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24469" w14:textId="77777777" w:rsidR="00DC446C" w:rsidRPr="00676047" w:rsidRDefault="00DC446C" w:rsidP="003D2EEB">
      <w:pPr>
        <w:pStyle w:val="211"/>
        <w:adjustRightInd w:val="0"/>
        <w:snapToGrid w:val="0"/>
        <w:rPr>
          <w:rFonts w:ascii="Times New Roman" w:hAnsi="Times New Roman"/>
          <w:color w:val="000000" w:themeColor="text1"/>
          <w:lang w:eastAsia="zh-CN"/>
        </w:rPr>
      </w:pPr>
    </w:p>
    <w:p w14:paraId="11073395" w14:textId="77777777" w:rsidR="00DC446C" w:rsidRPr="00676047" w:rsidRDefault="00DC446C" w:rsidP="003D2EEB">
      <w:pPr>
        <w:adjustRightInd w:val="0"/>
        <w:snapToGrid w:val="0"/>
        <w:spacing w:line="360" w:lineRule="auto"/>
        <w:ind w:firstLineChars="200" w:firstLine="400"/>
        <w:rPr>
          <w:rFonts w:ascii="Times New Roman" w:hAnsi="Times New Roman" w:cs="Times New Roman"/>
          <w:color w:val="000000" w:themeColor="text1"/>
          <w:sz w:val="20"/>
          <w:szCs w:val="20"/>
        </w:rPr>
      </w:pPr>
    </w:p>
    <w:p w14:paraId="5C52A0E3" w14:textId="77777777" w:rsidR="00DC446C" w:rsidRPr="00676047" w:rsidRDefault="00DC446C" w:rsidP="003D2EEB">
      <w:pPr>
        <w:adjustRightInd w:val="0"/>
        <w:snapToGrid w:val="0"/>
        <w:spacing w:line="360" w:lineRule="auto"/>
        <w:ind w:firstLineChars="200" w:firstLine="400"/>
        <w:rPr>
          <w:rFonts w:ascii="Times New Roman" w:hAnsi="Times New Roman" w:cs="Times New Roman"/>
          <w:color w:val="000000" w:themeColor="text1"/>
          <w:sz w:val="20"/>
          <w:szCs w:val="20"/>
        </w:rPr>
      </w:pPr>
    </w:p>
    <w:p w14:paraId="68F3026C" w14:textId="77777777" w:rsidR="00DC446C" w:rsidRPr="00676047" w:rsidRDefault="00DC446C" w:rsidP="003D2EEB">
      <w:pPr>
        <w:adjustRightInd w:val="0"/>
        <w:snapToGrid w:val="0"/>
        <w:spacing w:line="360" w:lineRule="auto"/>
        <w:ind w:firstLineChars="200" w:firstLine="480"/>
        <w:rPr>
          <w:rFonts w:ascii="Times New Roman" w:eastAsia="Times New Roman" w:hAnsi="Times New Roman" w:cs="Times New Roman"/>
          <w:color w:val="000000" w:themeColor="text1"/>
          <w:sz w:val="24"/>
          <w:szCs w:val="24"/>
        </w:rPr>
      </w:pPr>
    </w:p>
    <w:p w14:paraId="4DB0E0E5" w14:textId="0E5C2994" w:rsidR="00DC446C" w:rsidRPr="00092862" w:rsidRDefault="00215953" w:rsidP="003D2EEB">
      <w:pPr>
        <w:adjustRightInd w:val="0"/>
        <w:snapToGrid w:val="0"/>
        <w:spacing w:line="360" w:lineRule="auto"/>
        <w:jc w:val="center"/>
        <w:rPr>
          <w:rFonts w:ascii="Times New Roman" w:eastAsia="黑体" w:hAnsi="Times New Roman" w:cs="Times New Roman"/>
          <w:color w:val="000000" w:themeColor="text1"/>
          <w:spacing w:val="-37"/>
          <w:w w:val="95"/>
          <w:sz w:val="52"/>
          <w:szCs w:val="52"/>
        </w:rPr>
      </w:pPr>
      <w:r w:rsidRPr="00092862">
        <w:rPr>
          <w:rFonts w:ascii="Times New Roman" w:eastAsia="黑体" w:hAnsi="Times New Roman" w:cs="Times New Roman"/>
          <w:color w:val="000000" w:themeColor="text1"/>
          <w:spacing w:val="-37"/>
          <w:w w:val="95"/>
          <w:sz w:val="52"/>
          <w:szCs w:val="52"/>
        </w:rPr>
        <w:t>老君</w:t>
      </w:r>
      <w:r w:rsidRPr="00092862">
        <w:rPr>
          <w:rFonts w:ascii="Times New Roman" w:eastAsia="黑体" w:hAnsi="Times New Roman" w:cs="Times New Roman"/>
          <w:color w:val="000000" w:themeColor="text1"/>
          <w:spacing w:val="-37"/>
          <w:w w:val="95"/>
          <w:sz w:val="52"/>
          <w:szCs w:val="52"/>
        </w:rPr>
        <w:t>7011</w:t>
      </w:r>
      <w:r w:rsidRPr="00092862">
        <w:rPr>
          <w:rFonts w:ascii="Times New Roman" w:eastAsia="黑体" w:hAnsi="Times New Roman" w:cs="Times New Roman"/>
          <w:color w:val="000000" w:themeColor="text1"/>
          <w:spacing w:val="-37"/>
          <w:w w:val="95"/>
          <w:sz w:val="52"/>
          <w:szCs w:val="52"/>
        </w:rPr>
        <w:t>井台钻井及试采工程</w:t>
      </w:r>
    </w:p>
    <w:p w14:paraId="15B08E1B" w14:textId="77777777" w:rsidR="00DC446C" w:rsidRPr="00092862" w:rsidRDefault="003B1968" w:rsidP="003D2EEB">
      <w:pPr>
        <w:adjustRightInd w:val="0"/>
        <w:snapToGrid w:val="0"/>
        <w:spacing w:line="360" w:lineRule="auto"/>
        <w:jc w:val="center"/>
        <w:rPr>
          <w:rFonts w:ascii="Times New Roman" w:eastAsia="黑体" w:hAnsi="Times New Roman" w:cs="Times New Roman"/>
          <w:color w:val="000000" w:themeColor="text1"/>
          <w:sz w:val="52"/>
          <w:szCs w:val="52"/>
        </w:rPr>
      </w:pPr>
      <w:r w:rsidRPr="00092862">
        <w:rPr>
          <w:rFonts w:ascii="Times New Roman" w:eastAsia="黑体" w:hAnsi="Times New Roman" w:cs="Times New Roman"/>
          <w:color w:val="000000" w:themeColor="text1"/>
          <w:sz w:val="52"/>
          <w:szCs w:val="52"/>
        </w:rPr>
        <w:t>环境影响报告书</w:t>
      </w:r>
    </w:p>
    <w:p w14:paraId="31485E47" w14:textId="29B02816" w:rsidR="00DC446C" w:rsidRPr="00092862" w:rsidRDefault="003B1968" w:rsidP="003D2EEB">
      <w:pPr>
        <w:adjustRightInd w:val="0"/>
        <w:snapToGrid w:val="0"/>
        <w:spacing w:line="360" w:lineRule="auto"/>
        <w:jc w:val="center"/>
        <w:rPr>
          <w:rFonts w:ascii="Times New Roman" w:eastAsia="楷体" w:hAnsi="Times New Roman" w:cs="Times New Roman"/>
          <w:color w:val="000000" w:themeColor="text1"/>
          <w:sz w:val="44"/>
          <w:szCs w:val="44"/>
        </w:rPr>
      </w:pPr>
      <w:r w:rsidRPr="00092862">
        <w:rPr>
          <w:rFonts w:ascii="Times New Roman" w:eastAsia="楷体" w:hAnsi="Times New Roman" w:cs="Times New Roman"/>
          <w:color w:val="000000" w:themeColor="text1"/>
          <w:sz w:val="44"/>
          <w:szCs w:val="44"/>
        </w:rPr>
        <w:t>（</w:t>
      </w:r>
      <w:r w:rsidR="007A02DD">
        <w:rPr>
          <w:rFonts w:ascii="Times New Roman" w:eastAsia="楷体" w:hAnsi="Times New Roman" w:cs="Times New Roman" w:hint="eastAsia"/>
          <w:color w:val="000000" w:themeColor="text1"/>
          <w:sz w:val="44"/>
          <w:szCs w:val="44"/>
        </w:rPr>
        <w:t>公示</w:t>
      </w:r>
      <w:r w:rsidRPr="00092862">
        <w:rPr>
          <w:rFonts w:ascii="Times New Roman" w:eastAsia="楷体" w:hAnsi="Times New Roman" w:cs="Times New Roman"/>
          <w:color w:val="000000" w:themeColor="text1"/>
          <w:sz w:val="44"/>
          <w:szCs w:val="44"/>
        </w:rPr>
        <w:t>本）</w:t>
      </w:r>
    </w:p>
    <w:p w14:paraId="405593AC" w14:textId="31413797" w:rsidR="00DC446C" w:rsidRPr="00092862" w:rsidRDefault="00DC446C" w:rsidP="003D2EEB">
      <w:pPr>
        <w:adjustRightInd w:val="0"/>
        <w:snapToGrid w:val="0"/>
        <w:spacing w:line="360" w:lineRule="auto"/>
        <w:rPr>
          <w:rFonts w:ascii="Times New Roman" w:eastAsia="隶书" w:hAnsi="Times New Roman" w:cs="Times New Roman"/>
          <w:color w:val="000000" w:themeColor="text1"/>
          <w:sz w:val="20"/>
          <w:szCs w:val="20"/>
        </w:rPr>
      </w:pPr>
    </w:p>
    <w:p w14:paraId="2DFE6D4E" w14:textId="14B40DD3"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5A830BE0" w14:textId="706B815D"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674EC9B0" w14:textId="549C5D59"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0DB5F534" w14:textId="188C8583"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61EAC037" w14:textId="05DCDEB7"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0558D911" w14:textId="3C8C18B3"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659C555B" w14:textId="39836517"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00CA05D1" w14:textId="614DC9F6"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0049D490" w14:textId="2B6C505C"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7553AE2A" w14:textId="264D7A32"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05558A3D" w14:textId="3DA4F0DF"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7BB96304" w14:textId="12187FA6"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50E5CC0F" w14:textId="1AD2439A"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0F7830DB" w14:textId="10F70718"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6FD7ECC5" w14:textId="49A34597" w:rsidR="006E53D9" w:rsidRPr="00092862" w:rsidRDefault="006E53D9" w:rsidP="003D2EEB">
      <w:pPr>
        <w:adjustRightInd w:val="0"/>
        <w:snapToGrid w:val="0"/>
        <w:spacing w:line="360" w:lineRule="auto"/>
        <w:rPr>
          <w:rFonts w:ascii="Times New Roman" w:eastAsia="隶书" w:hAnsi="Times New Roman" w:cs="Times New Roman"/>
          <w:color w:val="000000" w:themeColor="text1"/>
          <w:sz w:val="20"/>
          <w:szCs w:val="20"/>
        </w:rPr>
      </w:pPr>
    </w:p>
    <w:p w14:paraId="1F6950F5"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6B9CF1B5"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155D492B"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67BFAF0F"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39F18E0D"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69FDEC53"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7B9E5E3C" w14:textId="77777777" w:rsidR="006E53D9" w:rsidRPr="00092862" w:rsidRDefault="006E53D9" w:rsidP="006E53D9">
      <w:pPr>
        <w:adjustRightInd w:val="0"/>
        <w:snapToGrid w:val="0"/>
        <w:spacing w:line="360" w:lineRule="auto"/>
        <w:rPr>
          <w:rFonts w:ascii="Times New Roman" w:eastAsia="隶书" w:hAnsi="Times New Roman" w:cs="Times New Roman"/>
          <w:b/>
          <w:bCs/>
          <w:color w:val="000000" w:themeColor="text1"/>
          <w:sz w:val="16"/>
          <w:szCs w:val="16"/>
        </w:rPr>
      </w:pPr>
    </w:p>
    <w:p w14:paraId="5A6E131D" w14:textId="4D601F52" w:rsidR="00DC446C" w:rsidRPr="00092862" w:rsidRDefault="003B1968" w:rsidP="006E53D9">
      <w:pPr>
        <w:adjustRightInd w:val="0"/>
        <w:snapToGrid w:val="0"/>
        <w:spacing w:line="360" w:lineRule="auto"/>
        <w:rPr>
          <w:rFonts w:ascii="Times New Roman" w:eastAsia="黑体" w:hAnsi="Times New Roman" w:cs="Times New Roman"/>
          <w:bCs/>
          <w:color w:val="000000" w:themeColor="text1"/>
          <w:sz w:val="32"/>
          <w:szCs w:val="32"/>
        </w:rPr>
      </w:pPr>
      <w:r w:rsidRPr="00092862">
        <w:rPr>
          <w:rFonts w:ascii="Times New Roman" w:eastAsia="黑体" w:hAnsi="Times New Roman" w:cs="Times New Roman"/>
          <w:bCs/>
          <w:color w:val="000000" w:themeColor="text1"/>
          <w:sz w:val="32"/>
          <w:szCs w:val="32"/>
        </w:rPr>
        <w:t>建设单位：</w:t>
      </w:r>
      <w:r w:rsidR="00812C9C" w:rsidRPr="00092862">
        <w:rPr>
          <w:rFonts w:ascii="Times New Roman" w:eastAsia="黑体" w:hAnsi="Times New Roman" w:cs="Times New Roman"/>
          <w:bCs/>
          <w:color w:val="000000" w:themeColor="text1"/>
          <w:sz w:val="32"/>
          <w:szCs w:val="32"/>
        </w:rPr>
        <w:t>中国石油化工股份有限公司中原油田</w:t>
      </w:r>
      <w:bookmarkStart w:id="0" w:name="_Hlk107154433"/>
      <w:r w:rsidR="00812C9C" w:rsidRPr="00092862">
        <w:rPr>
          <w:rFonts w:ascii="Times New Roman" w:eastAsia="黑体" w:hAnsi="Times New Roman" w:cs="Times New Roman"/>
          <w:bCs/>
          <w:color w:val="000000" w:themeColor="text1"/>
          <w:sz w:val="32"/>
          <w:szCs w:val="32"/>
        </w:rPr>
        <w:t>普光分公司</w:t>
      </w:r>
      <w:bookmarkEnd w:id="0"/>
    </w:p>
    <w:p w14:paraId="4BE018D9" w14:textId="6E898AE0" w:rsidR="00DC446C" w:rsidRPr="00092862" w:rsidRDefault="003B1968" w:rsidP="003D2EEB">
      <w:pPr>
        <w:adjustRightInd w:val="0"/>
        <w:snapToGrid w:val="0"/>
        <w:spacing w:line="360" w:lineRule="auto"/>
        <w:ind w:left="960" w:hangingChars="300" w:hanging="960"/>
        <w:rPr>
          <w:rFonts w:ascii="Times New Roman" w:eastAsia="黑体" w:hAnsi="Times New Roman" w:cs="Times New Roman"/>
          <w:bCs/>
          <w:color w:val="000000" w:themeColor="text1"/>
          <w:sz w:val="32"/>
          <w:szCs w:val="32"/>
        </w:rPr>
      </w:pPr>
      <w:r w:rsidRPr="00092862">
        <w:rPr>
          <w:rFonts w:ascii="Times New Roman" w:eastAsia="黑体" w:hAnsi="Times New Roman" w:cs="Times New Roman"/>
          <w:bCs/>
          <w:color w:val="000000" w:themeColor="text1"/>
          <w:sz w:val="32"/>
          <w:szCs w:val="32"/>
        </w:rPr>
        <w:t>环评单位：</w:t>
      </w:r>
      <w:r w:rsidR="00812C9C" w:rsidRPr="00092862">
        <w:rPr>
          <w:rFonts w:ascii="Times New Roman" w:eastAsia="黑体" w:hAnsi="Times New Roman" w:cs="Times New Roman"/>
          <w:bCs/>
          <w:color w:val="000000" w:themeColor="text1"/>
          <w:sz w:val="32"/>
          <w:szCs w:val="32"/>
        </w:rPr>
        <w:t>成都艺博环美环保科技有限公司</w:t>
      </w:r>
    </w:p>
    <w:p w14:paraId="1CBF9E62" w14:textId="65ECD564" w:rsidR="00DC446C" w:rsidRPr="00092862" w:rsidRDefault="003B1968" w:rsidP="003D2EEB">
      <w:pPr>
        <w:adjustRightInd w:val="0"/>
        <w:snapToGrid w:val="0"/>
        <w:spacing w:line="360" w:lineRule="auto"/>
        <w:jc w:val="center"/>
        <w:rPr>
          <w:rFonts w:ascii="Times New Roman" w:eastAsia="黑体" w:hAnsi="Times New Roman" w:cs="Times New Roman"/>
          <w:bCs/>
          <w:color w:val="000000" w:themeColor="text1"/>
          <w:sz w:val="32"/>
          <w:szCs w:val="32"/>
        </w:rPr>
      </w:pPr>
      <w:r w:rsidRPr="00092862">
        <w:rPr>
          <w:rFonts w:ascii="Times New Roman" w:eastAsia="黑体" w:hAnsi="Times New Roman" w:cs="Times New Roman"/>
          <w:bCs/>
          <w:color w:val="000000" w:themeColor="text1"/>
          <w:sz w:val="32"/>
          <w:szCs w:val="32"/>
        </w:rPr>
        <w:t>二〇二</w:t>
      </w:r>
      <w:r w:rsidR="00596C91" w:rsidRPr="00092862">
        <w:rPr>
          <w:rFonts w:ascii="Times New Roman" w:eastAsia="黑体" w:hAnsi="Times New Roman" w:cs="Times New Roman"/>
          <w:bCs/>
          <w:color w:val="000000" w:themeColor="text1"/>
          <w:sz w:val="32"/>
          <w:szCs w:val="32"/>
        </w:rPr>
        <w:t>三</w:t>
      </w:r>
      <w:r w:rsidRPr="00092862">
        <w:rPr>
          <w:rFonts w:ascii="Times New Roman" w:eastAsia="黑体" w:hAnsi="Times New Roman" w:cs="Times New Roman"/>
          <w:bCs/>
          <w:color w:val="000000" w:themeColor="text1"/>
          <w:sz w:val="32"/>
          <w:szCs w:val="32"/>
        </w:rPr>
        <w:t>年</w:t>
      </w:r>
      <w:r w:rsidR="00596C91" w:rsidRPr="00092862">
        <w:rPr>
          <w:rFonts w:ascii="Times New Roman" w:eastAsia="黑体" w:hAnsi="Times New Roman" w:cs="Times New Roman"/>
          <w:bCs/>
          <w:color w:val="000000" w:themeColor="text1"/>
          <w:sz w:val="32"/>
          <w:szCs w:val="32"/>
        </w:rPr>
        <w:t>一</w:t>
      </w:r>
      <w:r w:rsidRPr="00092862">
        <w:rPr>
          <w:rFonts w:ascii="Times New Roman" w:eastAsia="黑体" w:hAnsi="Times New Roman" w:cs="Times New Roman"/>
          <w:bCs/>
          <w:color w:val="000000" w:themeColor="text1"/>
          <w:sz w:val="32"/>
          <w:szCs w:val="32"/>
        </w:rPr>
        <w:t>月</w:t>
      </w:r>
    </w:p>
    <w:p w14:paraId="724944DD"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60FAE392"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5CC43656"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4363AF48"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06AF2F1B"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147538CC"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47C25D71"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1931324C"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6F73E743"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49CFAF85"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pPr>
    </w:p>
    <w:p w14:paraId="360F1BE8" w14:textId="77777777" w:rsidR="008775DE" w:rsidRPr="00092862" w:rsidRDefault="008775DE" w:rsidP="008775DE">
      <w:pPr>
        <w:adjustRightInd w:val="0"/>
        <w:snapToGrid w:val="0"/>
        <w:spacing w:line="360" w:lineRule="auto"/>
        <w:ind w:firstLineChars="200" w:firstLine="480"/>
        <w:rPr>
          <w:rFonts w:ascii="Times New Roman" w:hAnsi="Times New Roman" w:cs="Times New Roman"/>
          <w:color w:val="000000" w:themeColor="text1"/>
          <w:sz w:val="24"/>
        </w:rPr>
        <w:sectPr w:rsidR="008775DE" w:rsidRPr="00092862" w:rsidSect="00597B63">
          <w:type w:val="nextColumn"/>
          <w:pgSz w:w="11910" w:h="16840"/>
          <w:pgMar w:top="1440" w:right="1644" w:bottom="1440" w:left="1644" w:header="720" w:footer="720" w:gutter="0"/>
          <w:pgNumType w:fmt="upperRoman"/>
          <w:cols w:space="720"/>
        </w:sectPr>
      </w:pPr>
    </w:p>
    <w:p w14:paraId="26377404" w14:textId="77777777" w:rsidR="00DC446C" w:rsidRPr="00092862" w:rsidRDefault="003B1968" w:rsidP="005D19B8">
      <w:pPr>
        <w:tabs>
          <w:tab w:val="left" w:pos="583"/>
        </w:tabs>
        <w:adjustRightInd w:val="0"/>
        <w:snapToGrid w:val="0"/>
        <w:spacing w:beforeLines="100" w:before="240" w:line="360" w:lineRule="auto"/>
        <w:jc w:val="center"/>
        <w:rPr>
          <w:rFonts w:ascii="Times New Roman" w:hAnsi="Times New Roman" w:cs="Times New Roman"/>
          <w:b/>
          <w:bCs/>
          <w:color w:val="000000" w:themeColor="text1"/>
          <w:sz w:val="32"/>
          <w:szCs w:val="32"/>
        </w:rPr>
      </w:pPr>
      <w:r w:rsidRPr="00092862">
        <w:rPr>
          <w:rFonts w:ascii="Times New Roman" w:hAnsi="Times New Roman" w:cs="Times New Roman"/>
          <w:b/>
          <w:bCs/>
          <w:color w:val="000000" w:themeColor="text1"/>
          <w:w w:val="95"/>
          <w:sz w:val="32"/>
          <w:szCs w:val="32"/>
        </w:rPr>
        <w:lastRenderedPageBreak/>
        <w:t>目</w:t>
      </w:r>
      <w:r w:rsidRPr="00092862">
        <w:rPr>
          <w:rFonts w:ascii="Times New Roman" w:hAnsi="Times New Roman" w:cs="Times New Roman"/>
          <w:b/>
          <w:bCs/>
          <w:color w:val="000000" w:themeColor="text1"/>
          <w:sz w:val="32"/>
          <w:szCs w:val="32"/>
        </w:rPr>
        <w:t>录</w:t>
      </w:r>
    </w:p>
    <w:p w14:paraId="7BD72568" w14:textId="502B25E0" w:rsidR="00C82861" w:rsidRDefault="00C82861">
      <w:pPr>
        <w:pStyle w:val="TOC1"/>
        <w:tabs>
          <w:tab w:val="right" w:leader="dot" w:pos="8300"/>
        </w:tabs>
        <w:rPr>
          <w:rFonts w:asciiTheme="minorHAnsi" w:eastAsiaTheme="minorEastAsia" w:hAnsiTheme="minorHAnsi" w:cstheme="minorBidi"/>
          <w:noProof/>
          <w:kern w:val="2"/>
          <w:sz w:val="21"/>
          <w:lang w:eastAsia="zh-CN"/>
        </w:rPr>
      </w:pPr>
      <w:r>
        <w:rPr>
          <w:rFonts w:ascii="Times New Roman" w:hAnsi="Times New Roman"/>
          <w:color w:val="000000" w:themeColor="text1"/>
          <w:sz w:val="24"/>
          <w:szCs w:val="24"/>
        </w:rPr>
        <w:fldChar w:fldCharType="begin"/>
      </w:r>
      <w:r>
        <w:rPr>
          <w:rFonts w:ascii="Times New Roman" w:hAnsi="Times New Roman"/>
          <w:color w:val="000000" w:themeColor="text1"/>
          <w:sz w:val="24"/>
          <w:szCs w:val="24"/>
        </w:rPr>
        <w:instrText xml:space="preserve"> TOC \o "1-2" \h \z \u </w:instrText>
      </w:r>
      <w:r>
        <w:rPr>
          <w:rFonts w:ascii="Times New Roman" w:hAnsi="Times New Roman"/>
          <w:color w:val="000000" w:themeColor="text1"/>
          <w:sz w:val="24"/>
          <w:szCs w:val="24"/>
        </w:rPr>
        <w:fldChar w:fldCharType="separate"/>
      </w:r>
      <w:hyperlink w:anchor="_Toc123682512" w:history="1">
        <w:r w:rsidRPr="005537DE">
          <w:rPr>
            <w:rStyle w:val="aff5"/>
            <w:rFonts w:ascii="Times New Roman" w:eastAsia="黑体" w:hAnsi="Times New Roman"/>
            <w:noProof/>
            <w:lang w:eastAsia="zh-CN"/>
          </w:rPr>
          <w:t>1</w:t>
        </w:r>
        <w:r w:rsidRPr="005537DE">
          <w:rPr>
            <w:rStyle w:val="aff5"/>
            <w:rFonts w:ascii="Times New Roman" w:eastAsia="黑体" w:hAnsi="Times New Roman"/>
            <w:noProof/>
            <w:lang w:eastAsia="zh-CN"/>
          </w:rPr>
          <w:t>、概述</w:t>
        </w:r>
        <w:r>
          <w:rPr>
            <w:noProof/>
            <w:webHidden/>
          </w:rPr>
          <w:tab/>
        </w:r>
        <w:r>
          <w:rPr>
            <w:noProof/>
            <w:webHidden/>
          </w:rPr>
          <w:fldChar w:fldCharType="begin"/>
        </w:r>
        <w:r>
          <w:rPr>
            <w:noProof/>
            <w:webHidden/>
          </w:rPr>
          <w:instrText xml:space="preserve"> PAGEREF _Toc123682512 \h </w:instrText>
        </w:r>
        <w:r>
          <w:rPr>
            <w:noProof/>
            <w:webHidden/>
          </w:rPr>
        </w:r>
        <w:r>
          <w:rPr>
            <w:noProof/>
            <w:webHidden/>
          </w:rPr>
          <w:fldChar w:fldCharType="separate"/>
        </w:r>
        <w:r>
          <w:rPr>
            <w:noProof/>
            <w:webHidden/>
          </w:rPr>
          <w:t>7</w:t>
        </w:r>
        <w:r>
          <w:rPr>
            <w:noProof/>
            <w:webHidden/>
          </w:rPr>
          <w:fldChar w:fldCharType="end"/>
        </w:r>
      </w:hyperlink>
    </w:p>
    <w:p w14:paraId="07C30F61" w14:textId="4E29F576"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13" w:history="1">
        <w:r w:rsidR="00C82861" w:rsidRPr="005537DE">
          <w:rPr>
            <w:rStyle w:val="aff5"/>
            <w:noProof/>
            <w:lang w:eastAsia="zh-CN"/>
          </w:rPr>
          <w:t>1.1</w:t>
        </w:r>
        <w:r w:rsidR="00C82861" w:rsidRPr="005537DE">
          <w:rPr>
            <w:rStyle w:val="aff5"/>
            <w:noProof/>
            <w:lang w:eastAsia="zh-CN"/>
          </w:rPr>
          <w:t>项目背景</w:t>
        </w:r>
        <w:r w:rsidR="00C82861">
          <w:rPr>
            <w:noProof/>
            <w:webHidden/>
          </w:rPr>
          <w:tab/>
        </w:r>
        <w:r w:rsidR="00C82861">
          <w:rPr>
            <w:noProof/>
            <w:webHidden/>
          </w:rPr>
          <w:fldChar w:fldCharType="begin"/>
        </w:r>
        <w:r w:rsidR="00C82861">
          <w:rPr>
            <w:noProof/>
            <w:webHidden/>
          </w:rPr>
          <w:instrText xml:space="preserve"> PAGEREF _Toc123682513 \h </w:instrText>
        </w:r>
        <w:r w:rsidR="00C82861">
          <w:rPr>
            <w:noProof/>
            <w:webHidden/>
          </w:rPr>
        </w:r>
        <w:r w:rsidR="00C82861">
          <w:rPr>
            <w:noProof/>
            <w:webHidden/>
          </w:rPr>
          <w:fldChar w:fldCharType="separate"/>
        </w:r>
        <w:r w:rsidR="00C82861">
          <w:rPr>
            <w:noProof/>
            <w:webHidden/>
          </w:rPr>
          <w:t>7</w:t>
        </w:r>
        <w:r w:rsidR="00C82861">
          <w:rPr>
            <w:noProof/>
            <w:webHidden/>
          </w:rPr>
          <w:fldChar w:fldCharType="end"/>
        </w:r>
      </w:hyperlink>
    </w:p>
    <w:p w14:paraId="6131B4CF" w14:textId="56F077FB"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14" w:history="1">
        <w:r w:rsidR="00C82861" w:rsidRPr="005537DE">
          <w:rPr>
            <w:rStyle w:val="aff5"/>
            <w:noProof/>
            <w:lang w:eastAsia="zh-CN"/>
          </w:rPr>
          <w:t>1.2</w:t>
        </w:r>
        <w:r w:rsidR="00C82861" w:rsidRPr="005537DE">
          <w:rPr>
            <w:rStyle w:val="aff5"/>
            <w:noProof/>
            <w:lang w:eastAsia="zh-CN"/>
          </w:rPr>
          <w:t>建设项目特点</w:t>
        </w:r>
        <w:r w:rsidR="00C82861">
          <w:rPr>
            <w:noProof/>
            <w:webHidden/>
          </w:rPr>
          <w:tab/>
        </w:r>
        <w:r w:rsidR="00C82861">
          <w:rPr>
            <w:noProof/>
            <w:webHidden/>
          </w:rPr>
          <w:fldChar w:fldCharType="begin"/>
        </w:r>
        <w:r w:rsidR="00C82861">
          <w:rPr>
            <w:noProof/>
            <w:webHidden/>
          </w:rPr>
          <w:instrText xml:space="preserve"> PAGEREF _Toc123682514 \h </w:instrText>
        </w:r>
        <w:r w:rsidR="00C82861">
          <w:rPr>
            <w:noProof/>
            <w:webHidden/>
          </w:rPr>
        </w:r>
        <w:r w:rsidR="00C82861">
          <w:rPr>
            <w:noProof/>
            <w:webHidden/>
          </w:rPr>
          <w:fldChar w:fldCharType="separate"/>
        </w:r>
        <w:r w:rsidR="00C82861">
          <w:rPr>
            <w:noProof/>
            <w:webHidden/>
          </w:rPr>
          <w:t>11</w:t>
        </w:r>
        <w:r w:rsidR="00C82861">
          <w:rPr>
            <w:noProof/>
            <w:webHidden/>
          </w:rPr>
          <w:fldChar w:fldCharType="end"/>
        </w:r>
      </w:hyperlink>
    </w:p>
    <w:p w14:paraId="4AF2485C" w14:textId="21DEEB77"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15" w:history="1">
        <w:r w:rsidR="00C82861" w:rsidRPr="005537DE">
          <w:rPr>
            <w:rStyle w:val="aff5"/>
            <w:noProof/>
            <w:lang w:eastAsia="zh-CN"/>
          </w:rPr>
          <w:t>1.3</w:t>
        </w:r>
        <w:r w:rsidR="00C82861" w:rsidRPr="005537DE">
          <w:rPr>
            <w:rStyle w:val="aff5"/>
            <w:noProof/>
            <w:lang w:eastAsia="zh-CN"/>
          </w:rPr>
          <w:t>环境影响评价的工作过程</w:t>
        </w:r>
        <w:r w:rsidR="00C82861">
          <w:rPr>
            <w:noProof/>
            <w:webHidden/>
          </w:rPr>
          <w:tab/>
        </w:r>
        <w:r w:rsidR="00C82861">
          <w:rPr>
            <w:noProof/>
            <w:webHidden/>
          </w:rPr>
          <w:fldChar w:fldCharType="begin"/>
        </w:r>
        <w:r w:rsidR="00C82861">
          <w:rPr>
            <w:noProof/>
            <w:webHidden/>
          </w:rPr>
          <w:instrText xml:space="preserve"> PAGEREF _Toc123682515 \h </w:instrText>
        </w:r>
        <w:r w:rsidR="00C82861">
          <w:rPr>
            <w:noProof/>
            <w:webHidden/>
          </w:rPr>
        </w:r>
        <w:r w:rsidR="00C82861">
          <w:rPr>
            <w:noProof/>
            <w:webHidden/>
          </w:rPr>
          <w:fldChar w:fldCharType="separate"/>
        </w:r>
        <w:r w:rsidR="00C82861">
          <w:rPr>
            <w:noProof/>
            <w:webHidden/>
          </w:rPr>
          <w:t>11</w:t>
        </w:r>
        <w:r w:rsidR="00C82861">
          <w:rPr>
            <w:noProof/>
            <w:webHidden/>
          </w:rPr>
          <w:fldChar w:fldCharType="end"/>
        </w:r>
      </w:hyperlink>
    </w:p>
    <w:p w14:paraId="4BCEBF1F" w14:textId="0E1ACF66"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16" w:history="1">
        <w:r w:rsidR="00C82861" w:rsidRPr="005537DE">
          <w:rPr>
            <w:rStyle w:val="aff5"/>
            <w:noProof/>
            <w:lang w:eastAsia="zh-CN"/>
          </w:rPr>
          <w:t>1.4</w:t>
        </w:r>
        <w:r w:rsidR="00C82861" w:rsidRPr="005537DE">
          <w:rPr>
            <w:rStyle w:val="aff5"/>
            <w:noProof/>
            <w:lang w:eastAsia="zh-CN"/>
          </w:rPr>
          <w:t>分析判定相关情况</w:t>
        </w:r>
        <w:r w:rsidR="00C82861">
          <w:rPr>
            <w:noProof/>
            <w:webHidden/>
          </w:rPr>
          <w:tab/>
        </w:r>
        <w:r w:rsidR="00C82861">
          <w:rPr>
            <w:noProof/>
            <w:webHidden/>
          </w:rPr>
          <w:fldChar w:fldCharType="begin"/>
        </w:r>
        <w:r w:rsidR="00C82861">
          <w:rPr>
            <w:noProof/>
            <w:webHidden/>
          </w:rPr>
          <w:instrText xml:space="preserve"> PAGEREF _Toc123682516 \h </w:instrText>
        </w:r>
        <w:r w:rsidR="00C82861">
          <w:rPr>
            <w:noProof/>
            <w:webHidden/>
          </w:rPr>
        </w:r>
        <w:r w:rsidR="00C82861">
          <w:rPr>
            <w:noProof/>
            <w:webHidden/>
          </w:rPr>
          <w:fldChar w:fldCharType="separate"/>
        </w:r>
        <w:r w:rsidR="00C82861">
          <w:rPr>
            <w:noProof/>
            <w:webHidden/>
          </w:rPr>
          <w:t>12</w:t>
        </w:r>
        <w:r w:rsidR="00C82861">
          <w:rPr>
            <w:noProof/>
            <w:webHidden/>
          </w:rPr>
          <w:fldChar w:fldCharType="end"/>
        </w:r>
      </w:hyperlink>
    </w:p>
    <w:p w14:paraId="5586EFF6" w14:textId="1541C8F9"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17" w:history="1">
        <w:r w:rsidR="00C82861" w:rsidRPr="005537DE">
          <w:rPr>
            <w:rStyle w:val="aff5"/>
            <w:noProof/>
            <w:lang w:eastAsia="zh-CN"/>
          </w:rPr>
          <w:t>1.5</w:t>
        </w:r>
        <w:r w:rsidR="00C82861" w:rsidRPr="005537DE">
          <w:rPr>
            <w:rStyle w:val="aff5"/>
            <w:noProof/>
            <w:lang w:eastAsia="zh-CN"/>
          </w:rPr>
          <w:t>关注的主要环境问题</w:t>
        </w:r>
        <w:r w:rsidR="00C82861">
          <w:rPr>
            <w:noProof/>
            <w:webHidden/>
          </w:rPr>
          <w:tab/>
        </w:r>
        <w:r w:rsidR="00C82861">
          <w:rPr>
            <w:noProof/>
            <w:webHidden/>
          </w:rPr>
          <w:fldChar w:fldCharType="begin"/>
        </w:r>
        <w:r w:rsidR="00C82861">
          <w:rPr>
            <w:noProof/>
            <w:webHidden/>
          </w:rPr>
          <w:instrText xml:space="preserve"> PAGEREF _Toc123682517 \h </w:instrText>
        </w:r>
        <w:r w:rsidR="00C82861">
          <w:rPr>
            <w:noProof/>
            <w:webHidden/>
          </w:rPr>
        </w:r>
        <w:r w:rsidR="00C82861">
          <w:rPr>
            <w:noProof/>
            <w:webHidden/>
          </w:rPr>
          <w:fldChar w:fldCharType="separate"/>
        </w:r>
        <w:r w:rsidR="00C82861">
          <w:rPr>
            <w:noProof/>
            <w:webHidden/>
          </w:rPr>
          <w:t>13</w:t>
        </w:r>
        <w:r w:rsidR="00C82861">
          <w:rPr>
            <w:noProof/>
            <w:webHidden/>
          </w:rPr>
          <w:fldChar w:fldCharType="end"/>
        </w:r>
      </w:hyperlink>
    </w:p>
    <w:p w14:paraId="34B09931" w14:textId="0702D6F1"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18" w:history="1">
        <w:r w:rsidR="00C82861" w:rsidRPr="005537DE">
          <w:rPr>
            <w:rStyle w:val="aff5"/>
            <w:noProof/>
            <w:lang w:eastAsia="zh-CN"/>
          </w:rPr>
          <w:t>1.6</w:t>
        </w:r>
        <w:r w:rsidR="00C82861" w:rsidRPr="005537DE">
          <w:rPr>
            <w:rStyle w:val="aff5"/>
            <w:noProof/>
            <w:lang w:eastAsia="zh-CN"/>
          </w:rPr>
          <w:t>环境影响评价的主要结论</w:t>
        </w:r>
        <w:r w:rsidR="00C82861">
          <w:rPr>
            <w:noProof/>
            <w:webHidden/>
          </w:rPr>
          <w:tab/>
        </w:r>
        <w:r w:rsidR="00C82861">
          <w:rPr>
            <w:noProof/>
            <w:webHidden/>
          </w:rPr>
          <w:fldChar w:fldCharType="begin"/>
        </w:r>
        <w:r w:rsidR="00C82861">
          <w:rPr>
            <w:noProof/>
            <w:webHidden/>
          </w:rPr>
          <w:instrText xml:space="preserve"> PAGEREF _Toc123682518 \h </w:instrText>
        </w:r>
        <w:r w:rsidR="00C82861">
          <w:rPr>
            <w:noProof/>
            <w:webHidden/>
          </w:rPr>
        </w:r>
        <w:r w:rsidR="00C82861">
          <w:rPr>
            <w:noProof/>
            <w:webHidden/>
          </w:rPr>
          <w:fldChar w:fldCharType="separate"/>
        </w:r>
        <w:r w:rsidR="00C82861">
          <w:rPr>
            <w:noProof/>
            <w:webHidden/>
          </w:rPr>
          <w:t>13</w:t>
        </w:r>
        <w:r w:rsidR="00C82861">
          <w:rPr>
            <w:noProof/>
            <w:webHidden/>
          </w:rPr>
          <w:fldChar w:fldCharType="end"/>
        </w:r>
      </w:hyperlink>
    </w:p>
    <w:p w14:paraId="75F1CB0F" w14:textId="0943595A"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19" w:history="1">
        <w:r w:rsidR="00C82861" w:rsidRPr="005537DE">
          <w:rPr>
            <w:rStyle w:val="aff5"/>
            <w:rFonts w:ascii="Times New Roman" w:eastAsia="黑体" w:hAnsi="Times New Roman"/>
            <w:noProof/>
            <w:lang w:eastAsia="zh-CN"/>
          </w:rPr>
          <w:t>2</w:t>
        </w:r>
        <w:r w:rsidR="00C82861" w:rsidRPr="005537DE">
          <w:rPr>
            <w:rStyle w:val="aff5"/>
            <w:rFonts w:ascii="Times New Roman" w:eastAsia="黑体" w:hAnsi="Times New Roman"/>
            <w:noProof/>
            <w:lang w:eastAsia="zh-CN"/>
          </w:rPr>
          <w:t>总则</w:t>
        </w:r>
        <w:r w:rsidR="00C82861">
          <w:rPr>
            <w:noProof/>
            <w:webHidden/>
          </w:rPr>
          <w:tab/>
        </w:r>
        <w:r w:rsidR="00C82861">
          <w:rPr>
            <w:noProof/>
            <w:webHidden/>
          </w:rPr>
          <w:fldChar w:fldCharType="begin"/>
        </w:r>
        <w:r w:rsidR="00C82861">
          <w:rPr>
            <w:noProof/>
            <w:webHidden/>
          </w:rPr>
          <w:instrText xml:space="preserve"> PAGEREF _Toc123682519 \h </w:instrText>
        </w:r>
        <w:r w:rsidR="00C82861">
          <w:rPr>
            <w:noProof/>
            <w:webHidden/>
          </w:rPr>
        </w:r>
        <w:r w:rsidR="00C82861">
          <w:rPr>
            <w:noProof/>
            <w:webHidden/>
          </w:rPr>
          <w:fldChar w:fldCharType="separate"/>
        </w:r>
        <w:r w:rsidR="00C82861">
          <w:rPr>
            <w:noProof/>
            <w:webHidden/>
          </w:rPr>
          <w:t>15</w:t>
        </w:r>
        <w:r w:rsidR="00C82861">
          <w:rPr>
            <w:noProof/>
            <w:webHidden/>
          </w:rPr>
          <w:fldChar w:fldCharType="end"/>
        </w:r>
      </w:hyperlink>
    </w:p>
    <w:p w14:paraId="5807EB9E" w14:textId="293DB47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0" w:history="1">
        <w:r w:rsidR="00C82861" w:rsidRPr="005537DE">
          <w:rPr>
            <w:rStyle w:val="aff5"/>
            <w:noProof/>
            <w:lang w:eastAsia="zh-CN"/>
          </w:rPr>
          <w:t>2.1</w:t>
        </w:r>
        <w:r w:rsidR="00C82861" w:rsidRPr="005537DE">
          <w:rPr>
            <w:rStyle w:val="aff5"/>
            <w:noProof/>
            <w:lang w:eastAsia="zh-CN"/>
          </w:rPr>
          <w:t>评价目的</w:t>
        </w:r>
        <w:r w:rsidR="00C82861">
          <w:rPr>
            <w:noProof/>
            <w:webHidden/>
          </w:rPr>
          <w:tab/>
        </w:r>
        <w:r w:rsidR="00C82861">
          <w:rPr>
            <w:noProof/>
            <w:webHidden/>
          </w:rPr>
          <w:fldChar w:fldCharType="begin"/>
        </w:r>
        <w:r w:rsidR="00C82861">
          <w:rPr>
            <w:noProof/>
            <w:webHidden/>
          </w:rPr>
          <w:instrText xml:space="preserve"> PAGEREF _Toc123682520 \h </w:instrText>
        </w:r>
        <w:r w:rsidR="00C82861">
          <w:rPr>
            <w:noProof/>
            <w:webHidden/>
          </w:rPr>
        </w:r>
        <w:r w:rsidR="00C82861">
          <w:rPr>
            <w:noProof/>
            <w:webHidden/>
          </w:rPr>
          <w:fldChar w:fldCharType="separate"/>
        </w:r>
        <w:r w:rsidR="00C82861">
          <w:rPr>
            <w:noProof/>
            <w:webHidden/>
          </w:rPr>
          <w:t>15</w:t>
        </w:r>
        <w:r w:rsidR="00C82861">
          <w:rPr>
            <w:noProof/>
            <w:webHidden/>
          </w:rPr>
          <w:fldChar w:fldCharType="end"/>
        </w:r>
      </w:hyperlink>
    </w:p>
    <w:p w14:paraId="42E6FF43" w14:textId="06DF45EF"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1" w:history="1">
        <w:r w:rsidR="00C82861" w:rsidRPr="005537DE">
          <w:rPr>
            <w:rStyle w:val="aff5"/>
            <w:noProof/>
            <w:lang w:eastAsia="zh-CN"/>
          </w:rPr>
          <w:t>2.2</w:t>
        </w:r>
        <w:r w:rsidR="00C82861" w:rsidRPr="005537DE">
          <w:rPr>
            <w:rStyle w:val="aff5"/>
            <w:noProof/>
            <w:lang w:eastAsia="zh-CN"/>
          </w:rPr>
          <w:t>评价原则</w:t>
        </w:r>
        <w:r w:rsidR="00C82861">
          <w:rPr>
            <w:noProof/>
            <w:webHidden/>
          </w:rPr>
          <w:tab/>
        </w:r>
        <w:r w:rsidR="00C82861">
          <w:rPr>
            <w:noProof/>
            <w:webHidden/>
          </w:rPr>
          <w:fldChar w:fldCharType="begin"/>
        </w:r>
        <w:r w:rsidR="00C82861">
          <w:rPr>
            <w:noProof/>
            <w:webHidden/>
          </w:rPr>
          <w:instrText xml:space="preserve"> PAGEREF _Toc123682521 \h </w:instrText>
        </w:r>
        <w:r w:rsidR="00C82861">
          <w:rPr>
            <w:noProof/>
            <w:webHidden/>
          </w:rPr>
        </w:r>
        <w:r w:rsidR="00C82861">
          <w:rPr>
            <w:noProof/>
            <w:webHidden/>
          </w:rPr>
          <w:fldChar w:fldCharType="separate"/>
        </w:r>
        <w:r w:rsidR="00C82861">
          <w:rPr>
            <w:noProof/>
            <w:webHidden/>
          </w:rPr>
          <w:t>15</w:t>
        </w:r>
        <w:r w:rsidR="00C82861">
          <w:rPr>
            <w:noProof/>
            <w:webHidden/>
          </w:rPr>
          <w:fldChar w:fldCharType="end"/>
        </w:r>
      </w:hyperlink>
    </w:p>
    <w:p w14:paraId="32DB98A3" w14:textId="341D5035"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2" w:history="1">
        <w:r w:rsidR="00C82861" w:rsidRPr="005537DE">
          <w:rPr>
            <w:rStyle w:val="aff5"/>
            <w:noProof/>
            <w:lang w:eastAsia="zh-CN"/>
          </w:rPr>
          <w:t>2.3</w:t>
        </w:r>
        <w:r w:rsidR="00C82861" w:rsidRPr="005537DE">
          <w:rPr>
            <w:rStyle w:val="aff5"/>
            <w:noProof/>
            <w:lang w:eastAsia="zh-CN"/>
          </w:rPr>
          <w:t>编制依据</w:t>
        </w:r>
        <w:r w:rsidR="00C82861">
          <w:rPr>
            <w:noProof/>
            <w:webHidden/>
          </w:rPr>
          <w:tab/>
        </w:r>
        <w:r w:rsidR="00C82861">
          <w:rPr>
            <w:noProof/>
            <w:webHidden/>
          </w:rPr>
          <w:fldChar w:fldCharType="begin"/>
        </w:r>
        <w:r w:rsidR="00C82861">
          <w:rPr>
            <w:noProof/>
            <w:webHidden/>
          </w:rPr>
          <w:instrText xml:space="preserve"> PAGEREF _Toc123682522 \h </w:instrText>
        </w:r>
        <w:r w:rsidR="00C82861">
          <w:rPr>
            <w:noProof/>
            <w:webHidden/>
          </w:rPr>
        </w:r>
        <w:r w:rsidR="00C82861">
          <w:rPr>
            <w:noProof/>
            <w:webHidden/>
          </w:rPr>
          <w:fldChar w:fldCharType="separate"/>
        </w:r>
        <w:r w:rsidR="00C82861">
          <w:rPr>
            <w:noProof/>
            <w:webHidden/>
          </w:rPr>
          <w:t>15</w:t>
        </w:r>
        <w:r w:rsidR="00C82861">
          <w:rPr>
            <w:noProof/>
            <w:webHidden/>
          </w:rPr>
          <w:fldChar w:fldCharType="end"/>
        </w:r>
      </w:hyperlink>
    </w:p>
    <w:p w14:paraId="2D7B8340" w14:textId="4D70A20A"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3" w:history="1">
        <w:r w:rsidR="00C82861" w:rsidRPr="005537DE">
          <w:rPr>
            <w:rStyle w:val="aff5"/>
            <w:noProof/>
            <w:lang w:eastAsia="zh-CN"/>
          </w:rPr>
          <w:t>2.4</w:t>
        </w:r>
        <w:r w:rsidR="00C82861" w:rsidRPr="005537DE">
          <w:rPr>
            <w:rStyle w:val="aff5"/>
            <w:noProof/>
            <w:lang w:eastAsia="zh-CN"/>
          </w:rPr>
          <w:t>环境影响识别与评价因子筛选</w:t>
        </w:r>
        <w:r w:rsidR="00C82861">
          <w:rPr>
            <w:noProof/>
            <w:webHidden/>
          </w:rPr>
          <w:tab/>
        </w:r>
        <w:r w:rsidR="00C82861">
          <w:rPr>
            <w:noProof/>
            <w:webHidden/>
          </w:rPr>
          <w:fldChar w:fldCharType="begin"/>
        </w:r>
        <w:r w:rsidR="00C82861">
          <w:rPr>
            <w:noProof/>
            <w:webHidden/>
          </w:rPr>
          <w:instrText xml:space="preserve"> PAGEREF _Toc123682523 \h </w:instrText>
        </w:r>
        <w:r w:rsidR="00C82861">
          <w:rPr>
            <w:noProof/>
            <w:webHidden/>
          </w:rPr>
        </w:r>
        <w:r w:rsidR="00C82861">
          <w:rPr>
            <w:noProof/>
            <w:webHidden/>
          </w:rPr>
          <w:fldChar w:fldCharType="separate"/>
        </w:r>
        <w:r w:rsidR="00C82861">
          <w:rPr>
            <w:noProof/>
            <w:webHidden/>
          </w:rPr>
          <w:t>21</w:t>
        </w:r>
        <w:r w:rsidR="00C82861">
          <w:rPr>
            <w:noProof/>
            <w:webHidden/>
          </w:rPr>
          <w:fldChar w:fldCharType="end"/>
        </w:r>
      </w:hyperlink>
    </w:p>
    <w:p w14:paraId="76670683" w14:textId="29097378"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4" w:history="1">
        <w:r w:rsidR="00C82861" w:rsidRPr="005537DE">
          <w:rPr>
            <w:rStyle w:val="aff5"/>
            <w:noProof/>
            <w:lang w:eastAsia="zh-CN"/>
          </w:rPr>
          <w:t>2.5</w:t>
        </w:r>
        <w:r w:rsidR="00C82861" w:rsidRPr="005537DE">
          <w:rPr>
            <w:rStyle w:val="aff5"/>
            <w:noProof/>
            <w:lang w:eastAsia="zh-CN"/>
          </w:rPr>
          <w:t>环境功能区划与评价标准</w:t>
        </w:r>
        <w:r w:rsidR="00C82861">
          <w:rPr>
            <w:noProof/>
            <w:webHidden/>
          </w:rPr>
          <w:tab/>
        </w:r>
        <w:r w:rsidR="00C82861">
          <w:rPr>
            <w:noProof/>
            <w:webHidden/>
          </w:rPr>
          <w:fldChar w:fldCharType="begin"/>
        </w:r>
        <w:r w:rsidR="00C82861">
          <w:rPr>
            <w:noProof/>
            <w:webHidden/>
          </w:rPr>
          <w:instrText xml:space="preserve"> PAGEREF _Toc123682524 \h </w:instrText>
        </w:r>
        <w:r w:rsidR="00C82861">
          <w:rPr>
            <w:noProof/>
            <w:webHidden/>
          </w:rPr>
        </w:r>
        <w:r w:rsidR="00C82861">
          <w:rPr>
            <w:noProof/>
            <w:webHidden/>
          </w:rPr>
          <w:fldChar w:fldCharType="separate"/>
        </w:r>
        <w:r w:rsidR="00C82861">
          <w:rPr>
            <w:noProof/>
            <w:webHidden/>
          </w:rPr>
          <w:t>25</w:t>
        </w:r>
        <w:r w:rsidR="00C82861">
          <w:rPr>
            <w:noProof/>
            <w:webHidden/>
          </w:rPr>
          <w:fldChar w:fldCharType="end"/>
        </w:r>
      </w:hyperlink>
    </w:p>
    <w:p w14:paraId="6971CEBE" w14:textId="3FDFC3F1"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5" w:history="1">
        <w:r w:rsidR="00C82861" w:rsidRPr="005537DE">
          <w:rPr>
            <w:rStyle w:val="aff5"/>
            <w:noProof/>
            <w:lang w:eastAsia="zh-CN"/>
          </w:rPr>
          <w:t>2.6</w:t>
        </w:r>
        <w:r w:rsidR="00C82861" w:rsidRPr="005537DE">
          <w:rPr>
            <w:rStyle w:val="aff5"/>
            <w:noProof/>
            <w:lang w:eastAsia="zh-CN"/>
          </w:rPr>
          <w:t>评价工作等级和评价范围</w:t>
        </w:r>
        <w:r w:rsidR="00C82861">
          <w:rPr>
            <w:noProof/>
            <w:webHidden/>
          </w:rPr>
          <w:tab/>
        </w:r>
        <w:r w:rsidR="00C82861">
          <w:rPr>
            <w:noProof/>
            <w:webHidden/>
          </w:rPr>
          <w:fldChar w:fldCharType="begin"/>
        </w:r>
        <w:r w:rsidR="00C82861">
          <w:rPr>
            <w:noProof/>
            <w:webHidden/>
          </w:rPr>
          <w:instrText xml:space="preserve"> PAGEREF _Toc123682525 \h </w:instrText>
        </w:r>
        <w:r w:rsidR="00C82861">
          <w:rPr>
            <w:noProof/>
            <w:webHidden/>
          </w:rPr>
        </w:r>
        <w:r w:rsidR="00C82861">
          <w:rPr>
            <w:noProof/>
            <w:webHidden/>
          </w:rPr>
          <w:fldChar w:fldCharType="separate"/>
        </w:r>
        <w:r w:rsidR="00C82861">
          <w:rPr>
            <w:noProof/>
            <w:webHidden/>
          </w:rPr>
          <w:t>30</w:t>
        </w:r>
        <w:r w:rsidR="00C82861">
          <w:rPr>
            <w:noProof/>
            <w:webHidden/>
          </w:rPr>
          <w:fldChar w:fldCharType="end"/>
        </w:r>
      </w:hyperlink>
    </w:p>
    <w:p w14:paraId="4E15324E" w14:textId="5F5814F3"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6" w:history="1">
        <w:r w:rsidR="00C82861" w:rsidRPr="005537DE">
          <w:rPr>
            <w:rStyle w:val="aff5"/>
            <w:noProof/>
            <w:lang w:eastAsia="zh-CN"/>
          </w:rPr>
          <w:t>2.7</w:t>
        </w:r>
        <w:r w:rsidR="00C82861" w:rsidRPr="005537DE">
          <w:rPr>
            <w:rStyle w:val="aff5"/>
            <w:noProof/>
            <w:lang w:eastAsia="zh-CN"/>
          </w:rPr>
          <w:t>相关政策、规范符合性分析</w:t>
        </w:r>
        <w:r w:rsidR="00C82861">
          <w:rPr>
            <w:noProof/>
            <w:webHidden/>
          </w:rPr>
          <w:tab/>
        </w:r>
        <w:r w:rsidR="00C82861">
          <w:rPr>
            <w:noProof/>
            <w:webHidden/>
          </w:rPr>
          <w:fldChar w:fldCharType="begin"/>
        </w:r>
        <w:r w:rsidR="00C82861">
          <w:rPr>
            <w:noProof/>
            <w:webHidden/>
          </w:rPr>
          <w:instrText xml:space="preserve"> PAGEREF _Toc123682526 \h </w:instrText>
        </w:r>
        <w:r w:rsidR="00C82861">
          <w:rPr>
            <w:noProof/>
            <w:webHidden/>
          </w:rPr>
        </w:r>
        <w:r w:rsidR="00C82861">
          <w:rPr>
            <w:noProof/>
            <w:webHidden/>
          </w:rPr>
          <w:fldChar w:fldCharType="separate"/>
        </w:r>
        <w:r w:rsidR="00C82861">
          <w:rPr>
            <w:noProof/>
            <w:webHidden/>
          </w:rPr>
          <w:t>38</w:t>
        </w:r>
        <w:r w:rsidR="00C82861">
          <w:rPr>
            <w:noProof/>
            <w:webHidden/>
          </w:rPr>
          <w:fldChar w:fldCharType="end"/>
        </w:r>
      </w:hyperlink>
    </w:p>
    <w:p w14:paraId="1E37A7AA" w14:textId="05398336"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7" w:history="1">
        <w:r w:rsidR="00C82861" w:rsidRPr="005537DE">
          <w:rPr>
            <w:rStyle w:val="aff5"/>
            <w:noProof/>
            <w:lang w:eastAsia="zh-CN"/>
          </w:rPr>
          <w:t>2.8</w:t>
        </w:r>
        <w:r w:rsidR="00C82861" w:rsidRPr="005537DE">
          <w:rPr>
            <w:rStyle w:val="aff5"/>
            <w:noProof/>
            <w:lang w:eastAsia="zh-CN"/>
          </w:rPr>
          <w:t>评价内容及时段</w:t>
        </w:r>
        <w:r w:rsidR="00C82861">
          <w:rPr>
            <w:noProof/>
            <w:webHidden/>
          </w:rPr>
          <w:tab/>
        </w:r>
        <w:r w:rsidR="00C82861">
          <w:rPr>
            <w:noProof/>
            <w:webHidden/>
          </w:rPr>
          <w:fldChar w:fldCharType="begin"/>
        </w:r>
        <w:r w:rsidR="00C82861">
          <w:rPr>
            <w:noProof/>
            <w:webHidden/>
          </w:rPr>
          <w:instrText xml:space="preserve"> PAGEREF _Toc123682527 \h </w:instrText>
        </w:r>
        <w:r w:rsidR="00C82861">
          <w:rPr>
            <w:noProof/>
            <w:webHidden/>
          </w:rPr>
        </w:r>
        <w:r w:rsidR="00C82861">
          <w:rPr>
            <w:noProof/>
            <w:webHidden/>
          </w:rPr>
          <w:fldChar w:fldCharType="separate"/>
        </w:r>
        <w:r w:rsidR="00C82861">
          <w:rPr>
            <w:noProof/>
            <w:webHidden/>
          </w:rPr>
          <w:t>69</w:t>
        </w:r>
        <w:r w:rsidR="00C82861">
          <w:rPr>
            <w:noProof/>
            <w:webHidden/>
          </w:rPr>
          <w:fldChar w:fldCharType="end"/>
        </w:r>
      </w:hyperlink>
    </w:p>
    <w:p w14:paraId="5827E99E" w14:textId="04D48883"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8" w:history="1">
        <w:r w:rsidR="00C82861" w:rsidRPr="005537DE">
          <w:rPr>
            <w:rStyle w:val="aff5"/>
            <w:noProof/>
            <w:lang w:eastAsia="zh-CN"/>
          </w:rPr>
          <w:t>2.9</w:t>
        </w:r>
        <w:r w:rsidR="00C82861" w:rsidRPr="005537DE">
          <w:rPr>
            <w:rStyle w:val="aff5"/>
            <w:noProof/>
            <w:lang w:eastAsia="zh-CN"/>
          </w:rPr>
          <w:t>环境保护目标</w:t>
        </w:r>
        <w:r w:rsidR="00C82861">
          <w:rPr>
            <w:noProof/>
            <w:webHidden/>
          </w:rPr>
          <w:tab/>
        </w:r>
        <w:r w:rsidR="00C82861">
          <w:rPr>
            <w:noProof/>
            <w:webHidden/>
          </w:rPr>
          <w:fldChar w:fldCharType="begin"/>
        </w:r>
        <w:r w:rsidR="00C82861">
          <w:rPr>
            <w:noProof/>
            <w:webHidden/>
          </w:rPr>
          <w:instrText xml:space="preserve"> PAGEREF _Toc123682528 \h </w:instrText>
        </w:r>
        <w:r w:rsidR="00C82861">
          <w:rPr>
            <w:noProof/>
            <w:webHidden/>
          </w:rPr>
        </w:r>
        <w:r w:rsidR="00C82861">
          <w:rPr>
            <w:noProof/>
            <w:webHidden/>
          </w:rPr>
          <w:fldChar w:fldCharType="separate"/>
        </w:r>
        <w:r w:rsidR="00C82861">
          <w:rPr>
            <w:noProof/>
            <w:webHidden/>
          </w:rPr>
          <w:t>70</w:t>
        </w:r>
        <w:r w:rsidR="00C82861">
          <w:rPr>
            <w:noProof/>
            <w:webHidden/>
          </w:rPr>
          <w:fldChar w:fldCharType="end"/>
        </w:r>
      </w:hyperlink>
    </w:p>
    <w:p w14:paraId="0E3A2978" w14:textId="009E191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29" w:history="1">
        <w:r w:rsidR="00C82861" w:rsidRPr="005537DE">
          <w:rPr>
            <w:rStyle w:val="aff5"/>
            <w:noProof/>
            <w:lang w:eastAsia="zh-CN"/>
          </w:rPr>
          <w:t>2.10</w:t>
        </w:r>
        <w:r w:rsidR="00C82861" w:rsidRPr="005537DE">
          <w:rPr>
            <w:rStyle w:val="aff5"/>
            <w:noProof/>
            <w:lang w:eastAsia="zh-CN"/>
          </w:rPr>
          <w:t>工程方案的合理性分析</w:t>
        </w:r>
        <w:r w:rsidR="00C82861">
          <w:rPr>
            <w:noProof/>
            <w:webHidden/>
          </w:rPr>
          <w:tab/>
        </w:r>
        <w:r w:rsidR="00C82861">
          <w:rPr>
            <w:noProof/>
            <w:webHidden/>
          </w:rPr>
          <w:fldChar w:fldCharType="begin"/>
        </w:r>
        <w:r w:rsidR="00C82861">
          <w:rPr>
            <w:noProof/>
            <w:webHidden/>
          </w:rPr>
          <w:instrText xml:space="preserve"> PAGEREF _Toc123682529 \h </w:instrText>
        </w:r>
        <w:r w:rsidR="00C82861">
          <w:rPr>
            <w:noProof/>
            <w:webHidden/>
          </w:rPr>
        </w:r>
        <w:r w:rsidR="00C82861">
          <w:rPr>
            <w:noProof/>
            <w:webHidden/>
          </w:rPr>
          <w:fldChar w:fldCharType="separate"/>
        </w:r>
        <w:r w:rsidR="00C82861">
          <w:rPr>
            <w:noProof/>
            <w:webHidden/>
          </w:rPr>
          <w:t>72</w:t>
        </w:r>
        <w:r w:rsidR="00C82861">
          <w:rPr>
            <w:noProof/>
            <w:webHidden/>
          </w:rPr>
          <w:fldChar w:fldCharType="end"/>
        </w:r>
      </w:hyperlink>
    </w:p>
    <w:p w14:paraId="6855969D" w14:textId="0F15E5C4"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30" w:history="1">
        <w:r w:rsidR="00C82861" w:rsidRPr="005537DE">
          <w:rPr>
            <w:rStyle w:val="aff5"/>
            <w:rFonts w:ascii="Times New Roman" w:eastAsia="黑体" w:hAnsi="Times New Roman"/>
            <w:noProof/>
            <w:lang w:eastAsia="zh-CN"/>
          </w:rPr>
          <w:t>3</w:t>
        </w:r>
        <w:r w:rsidR="00C82861" w:rsidRPr="005537DE">
          <w:rPr>
            <w:rStyle w:val="aff5"/>
            <w:rFonts w:ascii="Times New Roman" w:eastAsia="黑体" w:hAnsi="Times New Roman"/>
            <w:noProof/>
            <w:lang w:eastAsia="zh-CN"/>
          </w:rPr>
          <w:t>工程分析</w:t>
        </w:r>
        <w:r w:rsidR="00C82861">
          <w:rPr>
            <w:noProof/>
            <w:webHidden/>
          </w:rPr>
          <w:tab/>
        </w:r>
        <w:r w:rsidR="00C82861">
          <w:rPr>
            <w:noProof/>
            <w:webHidden/>
          </w:rPr>
          <w:fldChar w:fldCharType="begin"/>
        </w:r>
        <w:r w:rsidR="00C82861">
          <w:rPr>
            <w:noProof/>
            <w:webHidden/>
          </w:rPr>
          <w:instrText xml:space="preserve"> PAGEREF _Toc123682530 \h </w:instrText>
        </w:r>
        <w:r w:rsidR="00C82861">
          <w:rPr>
            <w:noProof/>
            <w:webHidden/>
          </w:rPr>
        </w:r>
        <w:r w:rsidR="00C82861">
          <w:rPr>
            <w:noProof/>
            <w:webHidden/>
          </w:rPr>
          <w:fldChar w:fldCharType="separate"/>
        </w:r>
        <w:r w:rsidR="00C82861">
          <w:rPr>
            <w:noProof/>
            <w:webHidden/>
          </w:rPr>
          <w:t>76</w:t>
        </w:r>
        <w:r w:rsidR="00C82861">
          <w:rPr>
            <w:noProof/>
            <w:webHidden/>
          </w:rPr>
          <w:fldChar w:fldCharType="end"/>
        </w:r>
      </w:hyperlink>
    </w:p>
    <w:p w14:paraId="368003D1" w14:textId="605A576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1" w:history="1">
        <w:r w:rsidR="00C82861" w:rsidRPr="005537DE">
          <w:rPr>
            <w:rStyle w:val="aff5"/>
            <w:noProof/>
            <w:lang w:eastAsia="zh-CN"/>
          </w:rPr>
          <w:t>3.1</w:t>
        </w:r>
        <w:r w:rsidR="00C82861" w:rsidRPr="005537DE">
          <w:rPr>
            <w:rStyle w:val="aff5"/>
            <w:noProof/>
            <w:lang w:eastAsia="zh-CN"/>
          </w:rPr>
          <w:t>现有工程建设情况</w:t>
        </w:r>
        <w:r w:rsidR="00C82861">
          <w:rPr>
            <w:noProof/>
            <w:webHidden/>
          </w:rPr>
          <w:tab/>
        </w:r>
        <w:r w:rsidR="00C82861">
          <w:rPr>
            <w:noProof/>
            <w:webHidden/>
          </w:rPr>
          <w:fldChar w:fldCharType="begin"/>
        </w:r>
        <w:r w:rsidR="00C82861">
          <w:rPr>
            <w:noProof/>
            <w:webHidden/>
          </w:rPr>
          <w:instrText xml:space="preserve"> PAGEREF _Toc123682531 \h </w:instrText>
        </w:r>
        <w:r w:rsidR="00C82861">
          <w:rPr>
            <w:noProof/>
            <w:webHidden/>
          </w:rPr>
        </w:r>
        <w:r w:rsidR="00C82861">
          <w:rPr>
            <w:noProof/>
            <w:webHidden/>
          </w:rPr>
          <w:fldChar w:fldCharType="separate"/>
        </w:r>
        <w:r w:rsidR="00C82861">
          <w:rPr>
            <w:noProof/>
            <w:webHidden/>
          </w:rPr>
          <w:t>76</w:t>
        </w:r>
        <w:r w:rsidR="00C82861">
          <w:rPr>
            <w:noProof/>
            <w:webHidden/>
          </w:rPr>
          <w:fldChar w:fldCharType="end"/>
        </w:r>
      </w:hyperlink>
    </w:p>
    <w:p w14:paraId="681F2949" w14:textId="265B8E22"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2" w:history="1">
        <w:r w:rsidR="00C82861" w:rsidRPr="005537DE">
          <w:rPr>
            <w:rStyle w:val="aff5"/>
            <w:noProof/>
            <w:lang w:eastAsia="zh-CN"/>
          </w:rPr>
          <w:t>3.2</w:t>
        </w:r>
        <w:r w:rsidR="00C82861" w:rsidRPr="005537DE">
          <w:rPr>
            <w:rStyle w:val="aff5"/>
            <w:noProof/>
            <w:lang w:eastAsia="zh-CN"/>
          </w:rPr>
          <w:t>项目概况</w:t>
        </w:r>
        <w:r w:rsidR="00C82861">
          <w:rPr>
            <w:noProof/>
            <w:webHidden/>
          </w:rPr>
          <w:tab/>
        </w:r>
        <w:r w:rsidR="00C82861">
          <w:rPr>
            <w:noProof/>
            <w:webHidden/>
          </w:rPr>
          <w:fldChar w:fldCharType="begin"/>
        </w:r>
        <w:r w:rsidR="00C82861">
          <w:rPr>
            <w:noProof/>
            <w:webHidden/>
          </w:rPr>
          <w:instrText xml:space="preserve"> PAGEREF _Toc123682532 \h </w:instrText>
        </w:r>
        <w:r w:rsidR="00C82861">
          <w:rPr>
            <w:noProof/>
            <w:webHidden/>
          </w:rPr>
        </w:r>
        <w:r w:rsidR="00C82861">
          <w:rPr>
            <w:noProof/>
            <w:webHidden/>
          </w:rPr>
          <w:fldChar w:fldCharType="separate"/>
        </w:r>
        <w:r w:rsidR="00C82861">
          <w:rPr>
            <w:noProof/>
            <w:webHidden/>
          </w:rPr>
          <w:t>82</w:t>
        </w:r>
        <w:r w:rsidR="00C82861">
          <w:rPr>
            <w:noProof/>
            <w:webHidden/>
          </w:rPr>
          <w:fldChar w:fldCharType="end"/>
        </w:r>
      </w:hyperlink>
    </w:p>
    <w:p w14:paraId="0E7FD6D9" w14:textId="4D9838B6"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3" w:history="1">
        <w:r w:rsidR="00C82861" w:rsidRPr="005537DE">
          <w:rPr>
            <w:rStyle w:val="aff5"/>
            <w:noProof/>
            <w:lang w:eastAsia="zh-CN"/>
          </w:rPr>
          <w:t>3.3</w:t>
        </w:r>
        <w:r w:rsidR="00C82861" w:rsidRPr="005537DE">
          <w:rPr>
            <w:rStyle w:val="aff5"/>
            <w:noProof/>
            <w:lang w:eastAsia="zh-CN"/>
          </w:rPr>
          <w:t>建设项目工程分析</w:t>
        </w:r>
        <w:r w:rsidR="00C82861">
          <w:rPr>
            <w:noProof/>
            <w:webHidden/>
          </w:rPr>
          <w:tab/>
        </w:r>
        <w:r w:rsidR="00C82861">
          <w:rPr>
            <w:noProof/>
            <w:webHidden/>
          </w:rPr>
          <w:fldChar w:fldCharType="begin"/>
        </w:r>
        <w:r w:rsidR="00C82861">
          <w:rPr>
            <w:noProof/>
            <w:webHidden/>
          </w:rPr>
          <w:instrText xml:space="preserve"> PAGEREF _Toc123682533 \h </w:instrText>
        </w:r>
        <w:r w:rsidR="00C82861">
          <w:rPr>
            <w:noProof/>
            <w:webHidden/>
          </w:rPr>
        </w:r>
        <w:r w:rsidR="00C82861">
          <w:rPr>
            <w:noProof/>
            <w:webHidden/>
          </w:rPr>
          <w:fldChar w:fldCharType="separate"/>
        </w:r>
        <w:r w:rsidR="00C82861">
          <w:rPr>
            <w:noProof/>
            <w:webHidden/>
          </w:rPr>
          <w:t>111</w:t>
        </w:r>
        <w:r w:rsidR="00C82861">
          <w:rPr>
            <w:noProof/>
            <w:webHidden/>
          </w:rPr>
          <w:fldChar w:fldCharType="end"/>
        </w:r>
      </w:hyperlink>
    </w:p>
    <w:p w14:paraId="596209F0" w14:textId="5B36AA0F"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4" w:history="1">
        <w:r w:rsidR="00C82861" w:rsidRPr="005537DE">
          <w:rPr>
            <w:rStyle w:val="aff5"/>
            <w:noProof/>
            <w:lang w:eastAsia="zh-CN"/>
          </w:rPr>
          <w:t>3.4</w:t>
        </w:r>
        <w:r w:rsidR="00C82861" w:rsidRPr="005537DE">
          <w:rPr>
            <w:rStyle w:val="aff5"/>
            <w:noProof/>
            <w:lang w:eastAsia="zh-CN"/>
          </w:rPr>
          <w:t>污染源源强核算</w:t>
        </w:r>
        <w:r w:rsidR="00C82861">
          <w:rPr>
            <w:noProof/>
            <w:webHidden/>
          </w:rPr>
          <w:tab/>
        </w:r>
        <w:r w:rsidR="00C82861">
          <w:rPr>
            <w:noProof/>
            <w:webHidden/>
          </w:rPr>
          <w:fldChar w:fldCharType="begin"/>
        </w:r>
        <w:r w:rsidR="00C82861">
          <w:rPr>
            <w:noProof/>
            <w:webHidden/>
          </w:rPr>
          <w:instrText xml:space="preserve"> PAGEREF _Toc123682534 \h </w:instrText>
        </w:r>
        <w:r w:rsidR="00C82861">
          <w:rPr>
            <w:noProof/>
            <w:webHidden/>
          </w:rPr>
        </w:r>
        <w:r w:rsidR="00C82861">
          <w:rPr>
            <w:noProof/>
            <w:webHidden/>
          </w:rPr>
          <w:fldChar w:fldCharType="separate"/>
        </w:r>
        <w:r w:rsidR="00C82861">
          <w:rPr>
            <w:noProof/>
            <w:webHidden/>
          </w:rPr>
          <w:t>124</w:t>
        </w:r>
        <w:r w:rsidR="00C82861">
          <w:rPr>
            <w:noProof/>
            <w:webHidden/>
          </w:rPr>
          <w:fldChar w:fldCharType="end"/>
        </w:r>
      </w:hyperlink>
    </w:p>
    <w:p w14:paraId="0298A342" w14:textId="59AB2204"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36" w:history="1">
        <w:r w:rsidR="00C82861" w:rsidRPr="005537DE">
          <w:rPr>
            <w:rStyle w:val="aff5"/>
            <w:rFonts w:ascii="Times New Roman" w:eastAsia="黑体" w:hAnsi="Times New Roman"/>
            <w:noProof/>
            <w:lang w:eastAsia="zh-CN"/>
          </w:rPr>
          <w:t>4</w:t>
        </w:r>
        <w:r w:rsidR="00C82861" w:rsidRPr="005537DE">
          <w:rPr>
            <w:rStyle w:val="aff5"/>
            <w:rFonts w:ascii="Times New Roman" w:eastAsia="黑体" w:hAnsi="Times New Roman"/>
            <w:noProof/>
            <w:lang w:eastAsia="zh-CN"/>
          </w:rPr>
          <w:t>环境现状调查与评价</w:t>
        </w:r>
        <w:r w:rsidR="00C82861">
          <w:rPr>
            <w:noProof/>
            <w:webHidden/>
          </w:rPr>
          <w:tab/>
        </w:r>
        <w:r w:rsidR="00C82861">
          <w:rPr>
            <w:noProof/>
            <w:webHidden/>
          </w:rPr>
          <w:fldChar w:fldCharType="begin"/>
        </w:r>
        <w:r w:rsidR="00C82861">
          <w:rPr>
            <w:noProof/>
            <w:webHidden/>
          </w:rPr>
          <w:instrText xml:space="preserve"> PAGEREF _Toc123682536 \h </w:instrText>
        </w:r>
        <w:r w:rsidR="00C82861">
          <w:rPr>
            <w:noProof/>
            <w:webHidden/>
          </w:rPr>
        </w:r>
        <w:r w:rsidR="00C82861">
          <w:rPr>
            <w:noProof/>
            <w:webHidden/>
          </w:rPr>
          <w:fldChar w:fldCharType="separate"/>
        </w:r>
        <w:r w:rsidR="00C82861">
          <w:rPr>
            <w:noProof/>
            <w:webHidden/>
          </w:rPr>
          <w:t>143</w:t>
        </w:r>
        <w:r w:rsidR="00C82861">
          <w:rPr>
            <w:noProof/>
            <w:webHidden/>
          </w:rPr>
          <w:fldChar w:fldCharType="end"/>
        </w:r>
      </w:hyperlink>
    </w:p>
    <w:p w14:paraId="34BBD845" w14:textId="4EDFED33"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7" w:history="1">
        <w:r w:rsidR="00C82861" w:rsidRPr="005537DE">
          <w:rPr>
            <w:rStyle w:val="aff5"/>
            <w:noProof/>
            <w:lang w:eastAsia="zh-CN"/>
          </w:rPr>
          <w:t>4.1</w:t>
        </w:r>
        <w:r w:rsidR="00C82861" w:rsidRPr="005537DE">
          <w:rPr>
            <w:rStyle w:val="aff5"/>
            <w:noProof/>
            <w:lang w:eastAsia="zh-CN"/>
          </w:rPr>
          <w:t>自然环境现状</w:t>
        </w:r>
        <w:r w:rsidR="00C82861">
          <w:rPr>
            <w:noProof/>
            <w:webHidden/>
          </w:rPr>
          <w:tab/>
        </w:r>
        <w:r w:rsidR="00C82861">
          <w:rPr>
            <w:noProof/>
            <w:webHidden/>
          </w:rPr>
          <w:fldChar w:fldCharType="begin"/>
        </w:r>
        <w:r w:rsidR="00C82861">
          <w:rPr>
            <w:noProof/>
            <w:webHidden/>
          </w:rPr>
          <w:instrText xml:space="preserve"> PAGEREF _Toc123682537 \h </w:instrText>
        </w:r>
        <w:r w:rsidR="00C82861">
          <w:rPr>
            <w:noProof/>
            <w:webHidden/>
          </w:rPr>
        </w:r>
        <w:r w:rsidR="00C82861">
          <w:rPr>
            <w:noProof/>
            <w:webHidden/>
          </w:rPr>
          <w:fldChar w:fldCharType="separate"/>
        </w:r>
        <w:r w:rsidR="00C82861">
          <w:rPr>
            <w:noProof/>
            <w:webHidden/>
          </w:rPr>
          <w:t>143</w:t>
        </w:r>
        <w:r w:rsidR="00C82861">
          <w:rPr>
            <w:noProof/>
            <w:webHidden/>
          </w:rPr>
          <w:fldChar w:fldCharType="end"/>
        </w:r>
      </w:hyperlink>
    </w:p>
    <w:p w14:paraId="256498E0" w14:textId="20C2C5E7"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8" w:history="1">
        <w:r w:rsidR="00C82861" w:rsidRPr="005537DE">
          <w:rPr>
            <w:rStyle w:val="aff5"/>
            <w:noProof/>
            <w:lang w:eastAsia="zh-CN"/>
          </w:rPr>
          <w:t>4.2</w:t>
        </w:r>
        <w:r w:rsidR="00C82861" w:rsidRPr="005537DE">
          <w:rPr>
            <w:rStyle w:val="aff5"/>
            <w:noProof/>
            <w:lang w:eastAsia="zh-CN"/>
          </w:rPr>
          <w:t>环境质量现状评价</w:t>
        </w:r>
        <w:r w:rsidR="00C82861">
          <w:rPr>
            <w:noProof/>
            <w:webHidden/>
          </w:rPr>
          <w:tab/>
        </w:r>
        <w:r w:rsidR="00C82861">
          <w:rPr>
            <w:noProof/>
            <w:webHidden/>
          </w:rPr>
          <w:fldChar w:fldCharType="begin"/>
        </w:r>
        <w:r w:rsidR="00C82861">
          <w:rPr>
            <w:noProof/>
            <w:webHidden/>
          </w:rPr>
          <w:instrText xml:space="preserve"> PAGEREF _Toc123682538 \h </w:instrText>
        </w:r>
        <w:r w:rsidR="00C82861">
          <w:rPr>
            <w:noProof/>
            <w:webHidden/>
          </w:rPr>
        </w:r>
        <w:r w:rsidR="00C82861">
          <w:rPr>
            <w:noProof/>
            <w:webHidden/>
          </w:rPr>
          <w:fldChar w:fldCharType="separate"/>
        </w:r>
        <w:r w:rsidR="00C82861">
          <w:rPr>
            <w:noProof/>
            <w:webHidden/>
          </w:rPr>
          <w:t>146</w:t>
        </w:r>
        <w:r w:rsidR="00C82861">
          <w:rPr>
            <w:noProof/>
            <w:webHidden/>
          </w:rPr>
          <w:fldChar w:fldCharType="end"/>
        </w:r>
      </w:hyperlink>
    </w:p>
    <w:p w14:paraId="1F4990A2" w14:textId="08AC54BE"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39" w:history="1">
        <w:r w:rsidR="00C82861" w:rsidRPr="005537DE">
          <w:rPr>
            <w:rStyle w:val="aff5"/>
            <w:noProof/>
            <w:lang w:eastAsia="zh-CN"/>
          </w:rPr>
          <w:t>4.3</w:t>
        </w:r>
        <w:r w:rsidR="00C82861" w:rsidRPr="005537DE">
          <w:rPr>
            <w:rStyle w:val="aff5"/>
            <w:noProof/>
            <w:lang w:eastAsia="zh-CN"/>
          </w:rPr>
          <w:t>生态环境调查与评价</w:t>
        </w:r>
        <w:r w:rsidR="00C82861">
          <w:rPr>
            <w:noProof/>
            <w:webHidden/>
          </w:rPr>
          <w:tab/>
        </w:r>
        <w:r w:rsidR="00C82861">
          <w:rPr>
            <w:noProof/>
            <w:webHidden/>
          </w:rPr>
          <w:fldChar w:fldCharType="begin"/>
        </w:r>
        <w:r w:rsidR="00C82861">
          <w:rPr>
            <w:noProof/>
            <w:webHidden/>
          </w:rPr>
          <w:instrText xml:space="preserve"> PAGEREF _Toc123682539 \h </w:instrText>
        </w:r>
        <w:r w:rsidR="00C82861">
          <w:rPr>
            <w:noProof/>
            <w:webHidden/>
          </w:rPr>
        </w:r>
        <w:r w:rsidR="00C82861">
          <w:rPr>
            <w:noProof/>
            <w:webHidden/>
          </w:rPr>
          <w:fldChar w:fldCharType="separate"/>
        </w:r>
        <w:r w:rsidR="00C82861">
          <w:rPr>
            <w:noProof/>
            <w:webHidden/>
          </w:rPr>
          <w:t>159</w:t>
        </w:r>
        <w:r w:rsidR="00C82861">
          <w:rPr>
            <w:noProof/>
            <w:webHidden/>
          </w:rPr>
          <w:fldChar w:fldCharType="end"/>
        </w:r>
      </w:hyperlink>
    </w:p>
    <w:p w14:paraId="643E66B9" w14:textId="46BB9BDE"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40" w:history="1">
        <w:r w:rsidR="00C82861" w:rsidRPr="005537DE">
          <w:rPr>
            <w:rStyle w:val="aff5"/>
            <w:rFonts w:ascii="Times New Roman" w:eastAsia="黑体" w:hAnsi="Times New Roman"/>
            <w:noProof/>
            <w:lang w:eastAsia="zh-CN"/>
          </w:rPr>
          <w:t>5</w:t>
        </w:r>
        <w:r w:rsidR="00C82861" w:rsidRPr="005537DE">
          <w:rPr>
            <w:rStyle w:val="aff5"/>
            <w:rFonts w:ascii="Times New Roman" w:eastAsia="黑体" w:hAnsi="Times New Roman"/>
            <w:noProof/>
            <w:lang w:eastAsia="zh-CN"/>
          </w:rPr>
          <w:t>环境影响预测与评价</w:t>
        </w:r>
        <w:r w:rsidR="00C82861">
          <w:rPr>
            <w:noProof/>
            <w:webHidden/>
          </w:rPr>
          <w:tab/>
        </w:r>
        <w:r w:rsidR="00C82861">
          <w:rPr>
            <w:noProof/>
            <w:webHidden/>
          </w:rPr>
          <w:fldChar w:fldCharType="begin"/>
        </w:r>
        <w:r w:rsidR="00C82861">
          <w:rPr>
            <w:noProof/>
            <w:webHidden/>
          </w:rPr>
          <w:instrText xml:space="preserve"> PAGEREF _Toc123682540 \h </w:instrText>
        </w:r>
        <w:r w:rsidR="00C82861">
          <w:rPr>
            <w:noProof/>
            <w:webHidden/>
          </w:rPr>
        </w:r>
        <w:r w:rsidR="00C82861">
          <w:rPr>
            <w:noProof/>
            <w:webHidden/>
          </w:rPr>
          <w:fldChar w:fldCharType="separate"/>
        </w:r>
        <w:r w:rsidR="00C82861">
          <w:rPr>
            <w:noProof/>
            <w:webHidden/>
          </w:rPr>
          <w:t>202</w:t>
        </w:r>
        <w:r w:rsidR="00C82861">
          <w:rPr>
            <w:noProof/>
            <w:webHidden/>
          </w:rPr>
          <w:fldChar w:fldCharType="end"/>
        </w:r>
      </w:hyperlink>
    </w:p>
    <w:p w14:paraId="48F7B92C" w14:textId="505B36DB"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1" w:history="1">
        <w:r w:rsidR="00C82861" w:rsidRPr="005537DE">
          <w:rPr>
            <w:rStyle w:val="aff5"/>
            <w:noProof/>
            <w:lang w:eastAsia="zh-CN"/>
          </w:rPr>
          <w:t>5.1</w:t>
        </w:r>
        <w:r w:rsidR="00C82861" w:rsidRPr="005537DE">
          <w:rPr>
            <w:rStyle w:val="aff5"/>
            <w:noProof/>
            <w:lang w:eastAsia="zh-CN"/>
          </w:rPr>
          <w:t>施工期环境影响分析</w:t>
        </w:r>
        <w:r w:rsidR="00C82861">
          <w:rPr>
            <w:noProof/>
            <w:webHidden/>
          </w:rPr>
          <w:tab/>
        </w:r>
        <w:r w:rsidR="00C82861">
          <w:rPr>
            <w:noProof/>
            <w:webHidden/>
          </w:rPr>
          <w:fldChar w:fldCharType="begin"/>
        </w:r>
        <w:r w:rsidR="00C82861">
          <w:rPr>
            <w:noProof/>
            <w:webHidden/>
          </w:rPr>
          <w:instrText xml:space="preserve"> PAGEREF _Toc123682541 \h </w:instrText>
        </w:r>
        <w:r w:rsidR="00C82861">
          <w:rPr>
            <w:noProof/>
            <w:webHidden/>
          </w:rPr>
        </w:r>
        <w:r w:rsidR="00C82861">
          <w:rPr>
            <w:noProof/>
            <w:webHidden/>
          </w:rPr>
          <w:fldChar w:fldCharType="separate"/>
        </w:r>
        <w:r w:rsidR="00C82861">
          <w:rPr>
            <w:noProof/>
            <w:webHidden/>
          </w:rPr>
          <w:t>202</w:t>
        </w:r>
        <w:r w:rsidR="00C82861">
          <w:rPr>
            <w:noProof/>
            <w:webHidden/>
          </w:rPr>
          <w:fldChar w:fldCharType="end"/>
        </w:r>
      </w:hyperlink>
    </w:p>
    <w:p w14:paraId="6287B163" w14:textId="38F1E00D"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2" w:history="1">
        <w:r w:rsidR="00C82861" w:rsidRPr="005537DE">
          <w:rPr>
            <w:rStyle w:val="aff5"/>
            <w:noProof/>
            <w:lang w:eastAsia="zh-CN"/>
          </w:rPr>
          <w:t>5.2</w:t>
        </w:r>
        <w:r w:rsidR="00C82861" w:rsidRPr="005537DE">
          <w:rPr>
            <w:rStyle w:val="aff5"/>
            <w:noProof/>
            <w:lang w:eastAsia="zh-CN"/>
          </w:rPr>
          <w:t>试采期环境影响分析</w:t>
        </w:r>
        <w:r w:rsidR="00C82861">
          <w:rPr>
            <w:noProof/>
            <w:webHidden/>
          </w:rPr>
          <w:tab/>
        </w:r>
        <w:r w:rsidR="00C82861">
          <w:rPr>
            <w:noProof/>
            <w:webHidden/>
          </w:rPr>
          <w:fldChar w:fldCharType="begin"/>
        </w:r>
        <w:r w:rsidR="00C82861">
          <w:rPr>
            <w:noProof/>
            <w:webHidden/>
          </w:rPr>
          <w:instrText xml:space="preserve"> PAGEREF _Toc123682542 \h </w:instrText>
        </w:r>
        <w:r w:rsidR="00C82861">
          <w:rPr>
            <w:noProof/>
            <w:webHidden/>
          </w:rPr>
        </w:r>
        <w:r w:rsidR="00C82861">
          <w:rPr>
            <w:noProof/>
            <w:webHidden/>
          </w:rPr>
          <w:fldChar w:fldCharType="separate"/>
        </w:r>
        <w:r w:rsidR="00C82861">
          <w:rPr>
            <w:noProof/>
            <w:webHidden/>
          </w:rPr>
          <w:t>224</w:t>
        </w:r>
        <w:r w:rsidR="00C82861">
          <w:rPr>
            <w:noProof/>
            <w:webHidden/>
          </w:rPr>
          <w:fldChar w:fldCharType="end"/>
        </w:r>
      </w:hyperlink>
    </w:p>
    <w:p w14:paraId="0AAD0C18" w14:textId="7955E33F"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3" w:history="1">
        <w:r w:rsidR="00C82861" w:rsidRPr="005537DE">
          <w:rPr>
            <w:rStyle w:val="aff5"/>
            <w:noProof/>
            <w:lang w:eastAsia="zh-CN"/>
          </w:rPr>
          <w:t>5.3</w:t>
        </w:r>
        <w:r w:rsidR="00C82861" w:rsidRPr="005537DE">
          <w:rPr>
            <w:rStyle w:val="aff5"/>
            <w:noProof/>
            <w:lang w:eastAsia="zh-CN"/>
          </w:rPr>
          <w:t>地下水环境影响分析</w:t>
        </w:r>
        <w:r w:rsidR="00C82861">
          <w:rPr>
            <w:noProof/>
            <w:webHidden/>
          </w:rPr>
          <w:tab/>
        </w:r>
        <w:r w:rsidR="00C82861">
          <w:rPr>
            <w:noProof/>
            <w:webHidden/>
          </w:rPr>
          <w:fldChar w:fldCharType="begin"/>
        </w:r>
        <w:r w:rsidR="00C82861">
          <w:rPr>
            <w:noProof/>
            <w:webHidden/>
          </w:rPr>
          <w:instrText xml:space="preserve"> PAGEREF _Toc123682543 \h </w:instrText>
        </w:r>
        <w:r w:rsidR="00C82861">
          <w:rPr>
            <w:noProof/>
            <w:webHidden/>
          </w:rPr>
        </w:r>
        <w:r w:rsidR="00C82861">
          <w:rPr>
            <w:noProof/>
            <w:webHidden/>
          </w:rPr>
          <w:fldChar w:fldCharType="separate"/>
        </w:r>
        <w:r w:rsidR="00C82861">
          <w:rPr>
            <w:noProof/>
            <w:webHidden/>
          </w:rPr>
          <w:t>229</w:t>
        </w:r>
        <w:r w:rsidR="00C82861">
          <w:rPr>
            <w:noProof/>
            <w:webHidden/>
          </w:rPr>
          <w:fldChar w:fldCharType="end"/>
        </w:r>
      </w:hyperlink>
    </w:p>
    <w:p w14:paraId="2BB5A220" w14:textId="72FCD383"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4" w:history="1">
        <w:r w:rsidR="00C82861" w:rsidRPr="005537DE">
          <w:rPr>
            <w:rStyle w:val="aff5"/>
            <w:noProof/>
            <w:lang w:eastAsia="zh-CN"/>
          </w:rPr>
          <w:t>5.4</w:t>
        </w:r>
        <w:r w:rsidR="00C82861" w:rsidRPr="005537DE">
          <w:rPr>
            <w:rStyle w:val="aff5"/>
            <w:noProof/>
            <w:lang w:eastAsia="zh-CN"/>
          </w:rPr>
          <w:t>退役期环境影响分析</w:t>
        </w:r>
        <w:r w:rsidR="00C82861">
          <w:rPr>
            <w:noProof/>
            <w:webHidden/>
          </w:rPr>
          <w:tab/>
        </w:r>
        <w:r w:rsidR="00C82861">
          <w:rPr>
            <w:noProof/>
            <w:webHidden/>
          </w:rPr>
          <w:fldChar w:fldCharType="begin"/>
        </w:r>
        <w:r w:rsidR="00C82861">
          <w:rPr>
            <w:noProof/>
            <w:webHidden/>
          </w:rPr>
          <w:instrText xml:space="preserve"> PAGEREF _Toc123682544 \h </w:instrText>
        </w:r>
        <w:r w:rsidR="00C82861">
          <w:rPr>
            <w:noProof/>
            <w:webHidden/>
          </w:rPr>
        </w:r>
        <w:r w:rsidR="00C82861">
          <w:rPr>
            <w:noProof/>
            <w:webHidden/>
          </w:rPr>
          <w:fldChar w:fldCharType="separate"/>
        </w:r>
        <w:r w:rsidR="00C82861">
          <w:rPr>
            <w:noProof/>
            <w:webHidden/>
          </w:rPr>
          <w:t>249</w:t>
        </w:r>
        <w:r w:rsidR="00C82861">
          <w:rPr>
            <w:noProof/>
            <w:webHidden/>
          </w:rPr>
          <w:fldChar w:fldCharType="end"/>
        </w:r>
      </w:hyperlink>
    </w:p>
    <w:p w14:paraId="7219824F" w14:textId="6714955B"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45" w:history="1">
        <w:r w:rsidR="00C82861" w:rsidRPr="005537DE">
          <w:rPr>
            <w:rStyle w:val="aff5"/>
            <w:rFonts w:ascii="Times New Roman" w:eastAsia="黑体" w:hAnsi="Times New Roman"/>
            <w:noProof/>
            <w:lang w:eastAsia="zh-CN"/>
          </w:rPr>
          <w:t>6</w:t>
        </w:r>
        <w:r w:rsidR="00C82861" w:rsidRPr="005537DE">
          <w:rPr>
            <w:rStyle w:val="aff5"/>
            <w:rFonts w:ascii="Times New Roman" w:eastAsia="黑体" w:hAnsi="Times New Roman"/>
            <w:noProof/>
            <w:lang w:eastAsia="zh-CN"/>
          </w:rPr>
          <w:t>环境风险分析</w:t>
        </w:r>
        <w:r w:rsidR="00C82861">
          <w:rPr>
            <w:noProof/>
            <w:webHidden/>
          </w:rPr>
          <w:tab/>
        </w:r>
        <w:r w:rsidR="00C82861">
          <w:rPr>
            <w:noProof/>
            <w:webHidden/>
          </w:rPr>
          <w:fldChar w:fldCharType="begin"/>
        </w:r>
        <w:r w:rsidR="00C82861">
          <w:rPr>
            <w:noProof/>
            <w:webHidden/>
          </w:rPr>
          <w:instrText xml:space="preserve"> PAGEREF _Toc123682545 \h </w:instrText>
        </w:r>
        <w:r w:rsidR="00C82861">
          <w:rPr>
            <w:noProof/>
            <w:webHidden/>
          </w:rPr>
        </w:r>
        <w:r w:rsidR="00C82861">
          <w:rPr>
            <w:noProof/>
            <w:webHidden/>
          </w:rPr>
          <w:fldChar w:fldCharType="separate"/>
        </w:r>
        <w:r w:rsidR="00C82861">
          <w:rPr>
            <w:noProof/>
            <w:webHidden/>
          </w:rPr>
          <w:t>251</w:t>
        </w:r>
        <w:r w:rsidR="00C82861">
          <w:rPr>
            <w:noProof/>
            <w:webHidden/>
          </w:rPr>
          <w:fldChar w:fldCharType="end"/>
        </w:r>
      </w:hyperlink>
    </w:p>
    <w:p w14:paraId="57A904FD" w14:textId="519B933F"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6" w:history="1">
        <w:r w:rsidR="00C82861" w:rsidRPr="005537DE">
          <w:rPr>
            <w:rStyle w:val="aff5"/>
            <w:noProof/>
            <w:lang w:eastAsia="zh-CN"/>
          </w:rPr>
          <w:t>6.1</w:t>
        </w:r>
        <w:r w:rsidR="00C82861" w:rsidRPr="005537DE">
          <w:rPr>
            <w:rStyle w:val="aff5"/>
            <w:noProof/>
            <w:lang w:eastAsia="zh-CN"/>
          </w:rPr>
          <w:t>评价依据</w:t>
        </w:r>
        <w:r w:rsidR="00C82861">
          <w:rPr>
            <w:noProof/>
            <w:webHidden/>
          </w:rPr>
          <w:tab/>
        </w:r>
        <w:r w:rsidR="00C82861">
          <w:rPr>
            <w:noProof/>
            <w:webHidden/>
          </w:rPr>
          <w:fldChar w:fldCharType="begin"/>
        </w:r>
        <w:r w:rsidR="00C82861">
          <w:rPr>
            <w:noProof/>
            <w:webHidden/>
          </w:rPr>
          <w:instrText xml:space="preserve"> PAGEREF _Toc123682546 \h </w:instrText>
        </w:r>
        <w:r w:rsidR="00C82861">
          <w:rPr>
            <w:noProof/>
            <w:webHidden/>
          </w:rPr>
        </w:r>
        <w:r w:rsidR="00C82861">
          <w:rPr>
            <w:noProof/>
            <w:webHidden/>
          </w:rPr>
          <w:fldChar w:fldCharType="separate"/>
        </w:r>
        <w:r w:rsidR="00C82861">
          <w:rPr>
            <w:noProof/>
            <w:webHidden/>
          </w:rPr>
          <w:t>251</w:t>
        </w:r>
        <w:r w:rsidR="00C82861">
          <w:rPr>
            <w:noProof/>
            <w:webHidden/>
          </w:rPr>
          <w:fldChar w:fldCharType="end"/>
        </w:r>
      </w:hyperlink>
    </w:p>
    <w:p w14:paraId="0A313428" w14:textId="437FBEC9"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7" w:history="1">
        <w:r w:rsidR="00C82861" w:rsidRPr="005537DE">
          <w:rPr>
            <w:rStyle w:val="aff5"/>
            <w:noProof/>
            <w:lang w:eastAsia="zh-CN"/>
          </w:rPr>
          <w:t>6.2</w:t>
        </w:r>
        <w:r w:rsidR="00C82861" w:rsidRPr="005537DE">
          <w:rPr>
            <w:rStyle w:val="aff5"/>
            <w:noProof/>
            <w:lang w:eastAsia="zh-CN"/>
          </w:rPr>
          <w:t>环境敏感目标概况</w:t>
        </w:r>
        <w:r w:rsidR="00C82861">
          <w:rPr>
            <w:noProof/>
            <w:webHidden/>
          </w:rPr>
          <w:tab/>
        </w:r>
        <w:r w:rsidR="00C82861">
          <w:rPr>
            <w:noProof/>
            <w:webHidden/>
          </w:rPr>
          <w:fldChar w:fldCharType="begin"/>
        </w:r>
        <w:r w:rsidR="00C82861">
          <w:rPr>
            <w:noProof/>
            <w:webHidden/>
          </w:rPr>
          <w:instrText xml:space="preserve"> PAGEREF _Toc123682547 \h </w:instrText>
        </w:r>
        <w:r w:rsidR="00C82861">
          <w:rPr>
            <w:noProof/>
            <w:webHidden/>
          </w:rPr>
        </w:r>
        <w:r w:rsidR="00C82861">
          <w:rPr>
            <w:noProof/>
            <w:webHidden/>
          </w:rPr>
          <w:fldChar w:fldCharType="separate"/>
        </w:r>
        <w:r w:rsidR="00C82861">
          <w:rPr>
            <w:noProof/>
            <w:webHidden/>
          </w:rPr>
          <w:t>261</w:t>
        </w:r>
        <w:r w:rsidR="00C82861">
          <w:rPr>
            <w:noProof/>
            <w:webHidden/>
          </w:rPr>
          <w:fldChar w:fldCharType="end"/>
        </w:r>
      </w:hyperlink>
    </w:p>
    <w:p w14:paraId="1CAA98A2" w14:textId="43F646DA"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8" w:history="1">
        <w:r w:rsidR="00C82861" w:rsidRPr="005537DE">
          <w:rPr>
            <w:rStyle w:val="aff5"/>
            <w:noProof/>
            <w:lang w:eastAsia="zh-CN"/>
          </w:rPr>
          <w:t>6.3</w:t>
        </w:r>
        <w:r w:rsidR="00C82861" w:rsidRPr="005537DE">
          <w:rPr>
            <w:rStyle w:val="aff5"/>
            <w:noProof/>
            <w:lang w:eastAsia="zh-CN"/>
          </w:rPr>
          <w:t>环境风险识别</w:t>
        </w:r>
        <w:r w:rsidR="00C82861">
          <w:rPr>
            <w:noProof/>
            <w:webHidden/>
          </w:rPr>
          <w:tab/>
        </w:r>
        <w:r w:rsidR="00C82861">
          <w:rPr>
            <w:noProof/>
            <w:webHidden/>
          </w:rPr>
          <w:fldChar w:fldCharType="begin"/>
        </w:r>
        <w:r w:rsidR="00C82861">
          <w:rPr>
            <w:noProof/>
            <w:webHidden/>
          </w:rPr>
          <w:instrText xml:space="preserve"> PAGEREF _Toc123682548 \h </w:instrText>
        </w:r>
        <w:r w:rsidR="00C82861">
          <w:rPr>
            <w:noProof/>
            <w:webHidden/>
          </w:rPr>
        </w:r>
        <w:r w:rsidR="00C82861">
          <w:rPr>
            <w:noProof/>
            <w:webHidden/>
          </w:rPr>
          <w:fldChar w:fldCharType="separate"/>
        </w:r>
        <w:r w:rsidR="00C82861">
          <w:rPr>
            <w:noProof/>
            <w:webHidden/>
          </w:rPr>
          <w:t>261</w:t>
        </w:r>
        <w:r w:rsidR="00C82861">
          <w:rPr>
            <w:noProof/>
            <w:webHidden/>
          </w:rPr>
          <w:fldChar w:fldCharType="end"/>
        </w:r>
      </w:hyperlink>
    </w:p>
    <w:p w14:paraId="57AE37DF" w14:textId="65F9772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49" w:history="1">
        <w:r w:rsidR="00C82861" w:rsidRPr="005537DE">
          <w:rPr>
            <w:rStyle w:val="aff5"/>
            <w:noProof/>
            <w:lang w:eastAsia="zh-CN"/>
          </w:rPr>
          <w:t>6.4</w:t>
        </w:r>
        <w:r w:rsidR="00C82861" w:rsidRPr="005537DE">
          <w:rPr>
            <w:rStyle w:val="aff5"/>
            <w:noProof/>
            <w:lang w:eastAsia="zh-CN"/>
          </w:rPr>
          <w:t>环境风险分析</w:t>
        </w:r>
        <w:r w:rsidR="00C82861">
          <w:rPr>
            <w:noProof/>
            <w:webHidden/>
          </w:rPr>
          <w:tab/>
        </w:r>
        <w:r w:rsidR="00C82861">
          <w:rPr>
            <w:noProof/>
            <w:webHidden/>
          </w:rPr>
          <w:fldChar w:fldCharType="begin"/>
        </w:r>
        <w:r w:rsidR="00C82861">
          <w:rPr>
            <w:noProof/>
            <w:webHidden/>
          </w:rPr>
          <w:instrText xml:space="preserve"> PAGEREF _Toc123682549 \h </w:instrText>
        </w:r>
        <w:r w:rsidR="00C82861">
          <w:rPr>
            <w:noProof/>
            <w:webHidden/>
          </w:rPr>
        </w:r>
        <w:r w:rsidR="00C82861">
          <w:rPr>
            <w:noProof/>
            <w:webHidden/>
          </w:rPr>
          <w:fldChar w:fldCharType="separate"/>
        </w:r>
        <w:r w:rsidR="00C82861">
          <w:rPr>
            <w:noProof/>
            <w:webHidden/>
          </w:rPr>
          <w:t>264</w:t>
        </w:r>
        <w:r w:rsidR="00C82861">
          <w:rPr>
            <w:noProof/>
            <w:webHidden/>
          </w:rPr>
          <w:fldChar w:fldCharType="end"/>
        </w:r>
      </w:hyperlink>
    </w:p>
    <w:p w14:paraId="51A2489E" w14:textId="26D8B05E"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0" w:history="1">
        <w:r w:rsidR="00C82861" w:rsidRPr="005537DE">
          <w:rPr>
            <w:rStyle w:val="aff5"/>
            <w:noProof/>
            <w:lang w:eastAsia="zh-CN"/>
          </w:rPr>
          <w:t>6.5</w:t>
        </w:r>
        <w:r w:rsidR="00C82861" w:rsidRPr="005537DE">
          <w:rPr>
            <w:rStyle w:val="aff5"/>
            <w:noProof/>
            <w:lang w:eastAsia="zh-CN"/>
          </w:rPr>
          <w:t>环境风险防范措施</w:t>
        </w:r>
        <w:r w:rsidR="00C82861">
          <w:rPr>
            <w:noProof/>
            <w:webHidden/>
          </w:rPr>
          <w:tab/>
        </w:r>
        <w:r w:rsidR="00C82861">
          <w:rPr>
            <w:noProof/>
            <w:webHidden/>
          </w:rPr>
          <w:fldChar w:fldCharType="begin"/>
        </w:r>
        <w:r w:rsidR="00C82861">
          <w:rPr>
            <w:noProof/>
            <w:webHidden/>
          </w:rPr>
          <w:instrText xml:space="preserve"> PAGEREF _Toc123682550 \h </w:instrText>
        </w:r>
        <w:r w:rsidR="00C82861">
          <w:rPr>
            <w:noProof/>
            <w:webHidden/>
          </w:rPr>
        </w:r>
        <w:r w:rsidR="00C82861">
          <w:rPr>
            <w:noProof/>
            <w:webHidden/>
          </w:rPr>
          <w:fldChar w:fldCharType="separate"/>
        </w:r>
        <w:r w:rsidR="00C82861">
          <w:rPr>
            <w:noProof/>
            <w:webHidden/>
          </w:rPr>
          <w:t>283</w:t>
        </w:r>
        <w:r w:rsidR="00C82861">
          <w:rPr>
            <w:noProof/>
            <w:webHidden/>
          </w:rPr>
          <w:fldChar w:fldCharType="end"/>
        </w:r>
      </w:hyperlink>
    </w:p>
    <w:p w14:paraId="59C8B0BC" w14:textId="23DE554F"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1" w:history="1">
        <w:r w:rsidR="00C82861" w:rsidRPr="005537DE">
          <w:rPr>
            <w:rStyle w:val="aff5"/>
            <w:noProof/>
            <w:lang w:eastAsia="zh-CN"/>
          </w:rPr>
          <w:t>6.6</w:t>
        </w:r>
        <w:r w:rsidR="00C82861" w:rsidRPr="005537DE">
          <w:rPr>
            <w:rStyle w:val="aff5"/>
            <w:noProof/>
            <w:lang w:eastAsia="zh-CN"/>
          </w:rPr>
          <w:t>应急措施</w:t>
        </w:r>
        <w:r w:rsidR="00C82861">
          <w:rPr>
            <w:noProof/>
            <w:webHidden/>
          </w:rPr>
          <w:tab/>
        </w:r>
        <w:r w:rsidR="00C82861">
          <w:rPr>
            <w:noProof/>
            <w:webHidden/>
          </w:rPr>
          <w:fldChar w:fldCharType="begin"/>
        </w:r>
        <w:r w:rsidR="00C82861">
          <w:rPr>
            <w:noProof/>
            <w:webHidden/>
          </w:rPr>
          <w:instrText xml:space="preserve"> PAGEREF _Toc123682551 \h </w:instrText>
        </w:r>
        <w:r w:rsidR="00C82861">
          <w:rPr>
            <w:noProof/>
            <w:webHidden/>
          </w:rPr>
        </w:r>
        <w:r w:rsidR="00C82861">
          <w:rPr>
            <w:noProof/>
            <w:webHidden/>
          </w:rPr>
          <w:fldChar w:fldCharType="separate"/>
        </w:r>
        <w:r w:rsidR="00C82861">
          <w:rPr>
            <w:noProof/>
            <w:webHidden/>
          </w:rPr>
          <w:t>290</w:t>
        </w:r>
        <w:r w:rsidR="00C82861">
          <w:rPr>
            <w:noProof/>
            <w:webHidden/>
          </w:rPr>
          <w:fldChar w:fldCharType="end"/>
        </w:r>
      </w:hyperlink>
    </w:p>
    <w:p w14:paraId="03310640" w14:textId="325BD02A"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2" w:history="1">
        <w:r w:rsidR="00C82861" w:rsidRPr="005537DE">
          <w:rPr>
            <w:rStyle w:val="aff5"/>
            <w:noProof/>
            <w:lang w:eastAsia="zh-CN"/>
          </w:rPr>
          <w:t>6.7</w:t>
        </w:r>
        <w:r w:rsidR="00C82861" w:rsidRPr="005537DE">
          <w:rPr>
            <w:rStyle w:val="aff5"/>
            <w:noProof/>
            <w:lang w:eastAsia="zh-CN"/>
          </w:rPr>
          <w:t>分析结论</w:t>
        </w:r>
        <w:r w:rsidR="00C82861">
          <w:rPr>
            <w:noProof/>
            <w:webHidden/>
          </w:rPr>
          <w:tab/>
        </w:r>
        <w:r w:rsidR="00C82861">
          <w:rPr>
            <w:noProof/>
            <w:webHidden/>
          </w:rPr>
          <w:fldChar w:fldCharType="begin"/>
        </w:r>
        <w:r w:rsidR="00C82861">
          <w:rPr>
            <w:noProof/>
            <w:webHidden/>
          </w:rPr>
          <w:instrText xml:space="preserve"> PAGEREF _Toc123682552 \h </w:instrText>
        </w:r>
        <w:r w:rsidR="00C82861">
          <w:rPr>
            <w:noProof/>
            <w:webHidden/>
          </w:rPr>
        </w:r>
        <w:r w:rsidR="00C82861">
          <w:rPr>
            <w:noProof/>
            <w:webHidden/>
          </w:rPr>
          <w:fldChar w:fldCharType="separate"/>
        </w:r>
        <w:r w:rsidR="00C82861">
          <w:rPr>
            <w:noProof/>
            <w:webHidden/>
          </w:rPr>
          <w:t>314</w:t>
        </w:r>
        <w:r w:rsidR="00C82861">
          <w:rPr>
            <w:noProof/>
            <w:webHidden/>
          </w:rPr>
          <w:fldChar w:fldCharType="end"/>
        </w:r>
      </w:hyperlink>
    </w:p>
    <w:p w14:paraId="0AC97296" w14:textId="3D0DA122"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53" w:history="1">
        <w:r w:rsidR="00C82861" w:rsidRPr="005537DE">
          <w:rPr>
            <w:rStyle w:val="aff5"/>
            <w:rFonts w:ascii="Times New Roman" w:eastAsia="黑体" w:hAnsi="Times New Roman"/>
            <w:noProof/>
            <w:lang w:eastAsia="zh-CN"/>
          </w:rPr>
          <w:t>7</w:t>
        </w:r>
        <w:r w:rsidR="00C82861" w:rsidRPr="005537DE">
          <w:rPr>
            <w:rStyle w:val="aff5"/>
            <w:rFonts w:ascii="Times New Roman" w:eastAsia="黑体" w:hAnsi="Times New Roman"/>
            <w:noProof/>
            <w:lang w:eastAsia="zh-CN"/>
          </w:rPr>
          <w:t>环境保护措施及其可行性论证</w:t>
        </w:r>
        <w:r w:rsidR="00C82861">
          <w:rPr>
            <w:noProof/>
            <w:webHidden/>
          </w:rPr>
          <w:tab/>
        </w:r>
        <w:r w:rsidR="00C82861">
          <w:rPr>
            <w:noProof/>
            <w:webHidden/>
          </w:rPr>
          <w:fldChar w:fldCharType="begin"/>
        </w:r>
        <w:r w:rsidR="00C82861">
          <w:rPr>
            <w:noProof/>
            <w:webHidden/>
          </w:rPr>
          <w:instrText xml:space="preserve"> PAGEREF _Toc123682553 \h </w:instrText>
        </w:r>
        <w:r w:rsidR="00C82861">
          <w:rPr>
            <w:noProof/>
            <w:webHidden/>
          </w:rPr>
        </w:r>
        <w:r w:rsidR="00C82861">
          <w:rPr>
            <w:noProof/>
            <w:webHidden/>
          </w:rPr>
          <w:fldChar w:fldCharType="separate"/>
        </w:r>
        <w:r w:rsidR="00C82861">
          <w:rPr>
            <w:noProof/>
            <w:webHidden/>
          </w:rPr>
          <w:t>316</w:t>
        </w:r>
        <w:r w:rsidR="00C82861">
          <w:rPr>
            <w:noProof/>
            <w:webHidden/>
          </w:rPr>
          <w:fldChar w:fldCharType="end"/>
        </w:r>
      </w:hyperlink>
    </w:p>
    <w:p w14:paraId="6D3D93D9" w14:textId="63776B7D"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4" w:history="1">
        <w:r w:rsidR="00C82861" w:rsidRPr="005537DE">
          <w:rPr>
            <w:rStyle w:val="aff5"/>
            <w:noProof/>
            <w:lang w:eastAsia="zh-CN"/>
          </w:rPr>
          <w:t>7.1</w:t>
        </w:r>
        <w:r w:rsidR="00C82861" w:rsidRPr="005537DE">
          <w:rPr>
            <w:rStyle w:val="aff5"/>
            <w:noProof/>
            <w:lang w:eastAsia="zh-CN"/>
          </w:rPr>
          <w:t>施工期环境保护措施及可行性分析</w:t>
        </w:r>
        <w:r w:rsidR="00C82861">
          <w:rPr>
            <w:noProof/>
            <w:webHidden/>
          </w:rPr>
          <w:tab/>
        </w:r>
        <w:r w:rsidR="00C82861">
          <w:rPr>
            <w:noProof/>
            <w:webHidden/>
          </w:rPr>
          <w:fldChar w:fldCharType="begin"/>
        </w:r>
        <w:r w:rsidR="00C82861">
          <w:rPr>
            <w:noProof/>
            <w:webHidden/>
          </w:rPr>
          <w:instrText xml:space="preserve"> PAGEREF _Toc123682554 \h </w:instrText>
        </w:r>
        <w:r w:rsidR="00C82861">
          <w:rPr>
            <w:noProof/>
            <w:webHidden/>
          </w:rPr>
        </w:r>
        <w:r w:rsidR="00C82861">
          <w:rPr>
            <w:noProof/>
            <w:webHidden/>
          </w:rPr>
          <w:fldChar w:fldCharType="separate"/>
        </w:r>
        <w:r w:rsidR="00C82861">
          <w:rPr>
            <w:noProof/>
            <w:webHidden/>
          </w:rPr>
          <w:t>316</w:t>
        </w:r>
        <w:r w:rsidR="00C82861">
          <w:rPr>
            <w:noProof/>
            <w:webHidden/>
          </w:rPr>
          <w:fldChar w:fldCharType="end"/>
        </w:r>
      </w:hyperlink>
    </w:p>
    <w:p w14:paraId="6E5DD4DF" w14:textId="31D70AF3"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5" w:history="1">
        <w:r w:rsidR="00C82861" w:rsidRPr="005537DE">
          <w:rPr>
            <w:rStyle w:val="aff5"/>
            <w:noProof/>
            <w:lang w:eastAsia="zh-CN"/>
          </w:rPr>
          <w:t>7.2</w:t>
        </w:r>
        <w:r w:rsidR="00C82861" w:rsidRPr="005537DE">
          <w:rPr>
            <w:rStyle w:val="aff5"/>
            <w:noProof/>
            <w:lang w:eastAsia="zh-CN"/>
          </w:rPr>
          <w:t>试采期环境保护措施及可行性分析</w:t>
        </w:r>
        <w:r w:rsidR="00C82861">
          <w:rPr>
            <w:noProof/>
            <w:webHidden/>
          </w:rPr>
          <w:tab/>
        </w:r>
        <w:r w:rsidR="00C82861">
          <w:rPr>
            <w:noProof/>
            <w:webHidden/>
          </w:rPr>
          <w:fldChar w:fldCharType="begin"/>
        </w:r>
        <w:r w:rsidR="00C82861">
          <w:rPr>
            <w:noProof/>
            <w:webHidden/>
          </w:rPr>
          <w:instrText xml:space="preserve"> PAGEREF _Toc123682555 \h </w:instrText>
        </w:r>
        <w:r w:rsidR="00C82861">
          <w:rPr>
            <w:noProof/>
            <w:webHidden/>
          </w:rPr>
        </w:r>
        <w:r w:rsidR="00C82861">
          <w:rPr>
            <w:noProof/>
            <w:webHidden/>
          </w:rPr>
          <w:fldChar w:fldCharType="separate"/>
        </w:r>
        <w:r w:rsidR="00C82861">
          <w:rPr>
            <w:noProof/>
            <w:webHidden/>
          </w:rPr>
          <w:t>338</w:t>
        </w:r>
        <w:r w:rsidR="00C82861">
          <w:rPr>
            <w:noProof/>
            <w:webHidden/>
          </w:rPr>
          <w:fldChar w:fldCharType="end"/>
        </w:r>
      </w:hyperlink>
    </w:p>
    <w:p w14:paraId="20BC530B" w14:textId="559271E1"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6" w:history="1">
        <w:r w:rsidR="00C82861" w:rsidRPr="005537DE">
          <w:rPr>
            <w:rStyle w:val="aff5"/>
            <w:noProof/>
            <w:lang w:eastAsia="zh-CN"/>
          </w:rPr>
          <w:t>7.3</w:t>
        </w:r>
        <w:r w:rsidR="00C82861" w:rsidRPr="005537DE">
          <w:rPr>
            <w:rStyle w:val="aff5"/>
            <w:noProof/>
            <w:lang w:eastAsia="zh-CN"/>
          </w:rPr>
          <w:t>退役期环境保护措施及可行性分析</w:t>
        </w:r>
        <w:r w:rsidR="00C82861">
          <w:rPr>
            <w:noProof/>
            <w:webHidden/>
          </w:rPr>
          <w:tab/>
        </w:r>
        <w:r w:rsidR="00C82861">
          <w:rPr>
            <w:noProof/>
            <w:webHidden/>
          </w:rPr>
          <w:fldChar w:fldCharType="begin"/>
        </w:r>
        <w:r w:rsidR="00C82861">
          <w:rPr>
            <w:noProof/>
            <w:webHidden/>
          </w:rPr>
          <w:instrText xml:space="preserve"> PAGEREF _Toc123682556 \h </w:instrText>
        </w:r>
        <w:r w:rsidR="00C82861">
          <w:rPr>
            <w:noProof/>
            <w:webHidden/>
          </w:rPr>
        </w:r>
        <w:r w:rsidR="00C82861">
          <w:rPr>
            <w:noProof/>
            <w:webHidden/>
          </w:rPr>
          <w:fldChar w:fldCharType="separate"/>
        </w:r>
        <w:r w:rsidR="00C82861">
          <w:rPr>
            <w:noProof/>
            <w:webHidden/>
          </w:rPr>
          <w:t>341</w:t>
        </w:r>
        <w:r w:rsidR="00C82861">
          <w:rPr>
            <w:noProof/>
            <w:webHidden/>
          </w:rPr>
          <w:fldChar w:fldCharType="end"/>
        </w:r>
      </w:hyperlink>
    </w:p>
    <w:p w14:paraId="73CA935A" w14:textId="5481554F"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57" w:history="1">
        <w:r w:rsidR="00C82861" w:rsidRPr="005537DE">
          <w:rPr>
            <w:rStyle w:val="aff5"/>
            <w:rFonts w:ascii="Times New Roman" w:eastAsia="黑体" w:hAnsi="Times New Roman"/>
            <w:noProof/>
            <w:lang w:eastAsia="zh-CN"/>
          </w:rPr>
          <w:t>8</w:t>
        </w:r>
        <w:r w:rsidR="00C82861" w:rsidRPr="005537DE">
          <w:rPr>
            <w:rStyle w:val="aff5"/>
            <w:rFonts w:ascii="Times New Roman" w:eastAsia="黑体" w:hAnsi="Times New Roman"/>
            <w:noProof/>
            <w:lang w:eastAsia="zh-CN"/>
          </w:rPr>
          <w:t>环境影响经济损益分析</w:t>
        </w:r>
        <w:r w:rsidR="00C82861">
          <w:rPr>
            <w:noProof/>
            <w:webHidden/>
          </w:rPr>
          <w:tab/>
        </w:r>
        <w:r w:rsidR="00C82861">
          <w:rPr>
            <w:noProof/>
            <w:webHidden/>
          </w:rPr>
          <w:fldChar w:fldCharType="begin"/>
        </w:r>
        <w:r w:rsidR="00C82861">
          <w:rPr>
            <w:noProof/>
            <w:webHidden/>
          </w:rPr>
          <w:instrText xml:space="preserve"> PAGEREF _Toc123682557 \h </w:instrText>
        </w:r>
        <w:r w:rsidR="00C82861">
          <w:rPr>
            <w:noProof/>
            <w:webHidden/>
          </w:rPr>
        </w:r>
        <w:r w:rsidR="00C82861">
          <w:rPr>
            <w:noProof/>
            <w:webHidden/>
          </w:rPr>
          <w:fldChar w:fldCharType="separate"/>
        </w:r>
        <w:r w:rsidR="00C82861">
          <w:rPr>
            <w:noProof/>
            <w:webHidden/>
          </w:rPr>
          <w:t>342</w:t>
        </w:r>
        <w:r w:rsidR="00C82861">
          <w:rPr>
            <w:noProof/>
            <w:webHidden/>
          </w:rPr>
          <w:fldChar w:fldCharType="end"/>
        </w:r>
      </w:hyperlink>
    </w:p>
    <w:p w14:paraId="3D83D30A" w14:textId="55AE4A48"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8" w:history="1">
        <w:r w:rsidR="00C82861" w:rsidRPr="005537DE">
          <w:rPr>
            <w:rStyle w:val="aff5"/>
            <w:noProof/>
            <w:lang w:eastAsia="zh-CN"/>
          </w:rPr>
          <w:t>8.1</w:t>
        </w:r>
        <w:r w:rsidR="00C82861" w:rsidRPr="005537DE">
          <w:rPr>
            <w:rStyle w:val="aff5"/>
            <w:noProof/>
            <w:lang w:eastAsia="zh-CN"/>
          </w:rPr>
          <w:t>环保投资估算</w:t>
        </w:r>
        <w:r w:rsidR="00C82861">
          <w:rPr>
            <w:noProof/>
            <w:webHidden/>
          </w:rPr>
          <w:tab/>
        </w:r>
        <w:r w:rsidR="00C82861">
          <w:rPr>
            <w:noProof/>
            <w:webHidden/>
          </w:rPr>
          <w:fldChar w:fldCharType="begin"/>
        </w:r>
        <w:r w:rsidR="00C82861">
          <w:rPr>
            <w:noProof/>
            <w:webHidden/>
          </w:rPr>
          <w:instrText xml:space="preserve"> PAGEREF _Toc123682558 \h </w:instrText>
        </w:r>
        <w:r w:rsidR="00C82861">
          <w:rPr>
            <w:noProof/>
            <w:webHidden/>
          </w:rPr>
        </w:r>
        <w:r w:rsidR="00C82861">
          <w:rPr>
            <w:noProof/>
            <w:webHidden/>
          </w:rPr>
          <w:fldChar w:fldCharType="separate"/>
        </w:r>
        <w:r w:rsidR="00C82861">
          <w:rPr>
            <w:noProof/>
            <w:webHidden/>
          </w:rPr>
          <w:t>342</w:t>
        </w:r>
        <w:r w:rsidR="00C82861">
          <w:rPr>
            <w:noProof/>
            <w:webHidden/>
          </w:rPr>
          <w:fldChar w:fldCharType="end"/>
        </w:r>
      </w:hyperlink>
    </w:p>
    <w:p w14:paraId="0543FD7B" w14:textId="72EA8F8B"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59" w:history="1">
        <w:r w:rsidR="00C82861" w:rsidRPr="005537DE">
          <w:rPr>
            <w:rStyle w:val="aff5"/>
            <w:noProof/>
            <w:lang w:eastAsia="zh-CN"/>
          </w:rPr>
          <w:t>8.2“</w:t>
        </w:r>
        <w:r w:rsidR="00C82861" w:rsidRPr="005537DE">
          <w:rPr>
            <w:rStyle w:val="aff5"/>
            <w:noProof/>
            <w:lang w:eastAsia="zh-CN"/>
          </w:rPr>
          <w:t>三效益</w:t>
        </w:r>
        <w:r w:rsidR="00C82861" w:rsidRPr="005537DE">
          <w:rPr>
            <w:rStyle w:val="aff5"/>
            <w:noProof/>
            <w:lang w:eastAsia="zh-CN"/>
          </w:rPr>
          <w:t>”</w:t>
        </w:r>
        <w:r w:rsidR="00C82861" w:rsidRPr="005537DE">
          <w:rPr>
            <w:rStyle w:val="aff5"/>
            <w:noProof/>
            <w:lang w:eastAsia="zh-CN"/>
          </w:rPr>
          <w:t>分析</w:t>
        </w:r>
        <w:r w:rsidR="00C82861">
          <w:rPr>
            <w:noProof/>
            <w:webHidden/>
          </w:rPr>
          <w:tab/>
        </w:r>
        <w:r w:rsidR="00C82861">
          <w:rPr>
            <w:noProof/>
            <w:webHidden/>
          </w:rPr>
          <w:fldChar w:fldCharType="begin"/>
        </w:r>
        <w:r w:rsidR="00C82861">
          <w:rPr>
            <w:noProof/>
            <w:webHidden/>
          </w:rPr>
          <w:instrText xml:space="preserve"> PAGEREF _Toc123682559 \h </w:instrText>
        </w:r>
        <w:r w:rsidR="00C82861">
          <w:rPr>
            <w:noProof/>
            <w:webHidden/>
          </w:rPr>
        </w:r>
        <w:r w:rsidR="00C82861">
          <w:rPr>
            <w:noProof/>
            <w:webHidden/>
          </w:rPr>
          <w:fldChar w:fldCharType="separate"/>
        </w:r>
        <w:r w:rsidR="00C82861">
          <w:rPr>
            <w:noProof/>
            <w:webHidden/>
          </w:rPr>
          <w:t>343</w:t>
        </w:r>
        <w:r w:rsidR="00C82861">
          <w:rPr>
            <w:noProof/>
            <w:webHidden/>
          </w:rPr>
          <w:fldChar w:fldCharType="end"/>
        </w:r>
      </w:hyperlink>
    </w:p>
    <w:p w14:paraId="1C5FF8CE" w14:textId="74B82E7E"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0" w:history="1">
        <w:r w:rsidR="00C82861" w:rsidRPr="005537DE">
          <w:rPr>
            <w:rStyle w:val="aff5"/>
            <w:noProof/>
            <w:lang w:eastAsia="zh-CN"/>
          </w:rPr>
          <w:t>8.3</w:t>
        </w:r>
        <w:r w:rsidR="00C82861" w:rsidRPr="005537DE">
          <w:rPr>
            <w:rStyle w:val="aff5"/>
            <w:noProof/>
            <w:lang w:eastAsia="zh-CN"/>
          </w:rPr>
          <w:t>环境经济损益分析结论</w:t>
        </w:r>
        <w:r w:rsidR="00C82861">
          <w:rPr>
            <w:noProof/>
            <w:webHidden/>
          </w:rPr>
          <w:tab/>
        </w:r>
        <w:r w:rsidR="00C82861">
          <w:rPr>
            <w:noProof/>
            <w:webHidden/>
          </w:rPr>
          <w:fldChar w:fldCharType="begin"/>
        </w:r>
        <w:r w:rsidR="00C82861">
          <w:rPr>
            <w:noProof/>
            <w:webHidden/>
          </w:rPr>
          <w:instrText xml:space="preserve"> PAGEREF _Toc123682560 \h </w:instrText>
        </w:r>
        <w:r w:rsidR="00C82861">
          <w:rPr>
            <w:noProof/>
            <w:webHidden/>
          </w:rPr>
        </w:r>
        <w:r w:rsidR="00C82861">
          <w:rPr>
            <w:noProof/>
            <w:webHidden/>
          </w:rPr>
          <w:fldChar w:fldCharType="separate"/>
        </w:r>
        <w:r w:rsidR="00C82861">
          <w:rPr>
            <w:noProof/>
            <w:webHidden/>
          </w:rPr>
          <w:t>344</w:t>
        </w:r>
        <w:r w:rsidR="00C82861">
          <w:rPr>
            <w:noProof/>
            <w:webHidden/>
          </w:rPr>
          <w:fldChar w:fldCharType="end"/>
        </w:r>
      </w:hyperlink>
    </w:p>
    <w:p w14:paraId="28D8B541" w14:textId="66A6D915"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61" w:history="1">
        <w:r w:rsidR="00C82861" w:rsidRPr="005537DE">
          <w:rPr>
            <w:rStyle w:val="aff5"/>
            <w:rFonts w:ascii="Times New Roman" w:eastAsia="黑体" w:hAnsi="Times New Roman"/>
            <w:noProof/>
            <w:lang w:eastAsia="zh-CN"/>
          </w:rPr>
          <w:t>9</w:t>
        </w:r>
        <w:r w:rsidR="00C82861" w:rsidRPr="005537DE">
          <w:rPr>
            <w:rStyle w:val="aff5"/>
            <w:rFonts w:ascii="Times New Roman" w:eastAsia="黑体" w:hAnsi="Times New Roman"/>
            <w:noProof/>
            <w:lang w:eastAsia="zh-CN"/>
          </w:rPr>
          <w:t>清洁生产与总量控制</w:t>
        </w:r>
        <w:r w:rsidR="00C82861">
          <w:rPr>
            <w:noProof/>
            <w:webHidden/>
          </w:rPr>
          <w:tab/>
        </w:r>
        <w:r w:rsidR="00C82861">
          <w:rPr>
            <w:noProof/>
            <w:webHidden/>
          </w:rPr>
          <w:fldChar w:fldCharType="begin"/>
        </w:r>
        <w:r w:rsidR="00C82861">
          <w:rPr>
            <w:noProof/>
            <w:webHidden/>
          </w:rPr>
          <w:instrText xml:space="preserve"> PAGEREF _Toc123682561 \h </w:instrText>
        </w:r>
        <w:r w:rsidR="00C82861">
          <w:rPr>
            <w:noProof/>
            <w:webHidden/>
          </w:rPr>
        </w:r>
        <w:r w:rsidR="00C82861">
          <w:rPr>
            <w:noProof/>
            <w:webHidden/>
          </w:rPr>
          <w:fldChar w:fldCharType="separate"/>
        </w:r>
        <w:r w:rsidR="00C82861">
          <w:rPr>
            <w:noProof/>
            <w:webHidden/>
          </w:rPr>
          <w:t>345</w:t>
        </w:r>
        <w:r w:rsidR="00C82861">
          <w:rPr>
            <w:noProof/>
            <w:webHidden/>
          </w:rPr>
          <w:fldChar w:fldCharType="end"/>
        </w:r>
      </w:hyperlink>
    </w:p>
    <w:p w14:paraId="1CAE3DDB" w14:textId="1C4ADD6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2" w:history="1">
        <w:r w:rsidR="00C82861" w:rsidRPr="005537DE">
          <w:rPr>
            <w:rStyle w:val="aff5"/>
            <w:noProof/>
            <w:lang w:eastAsia="zh-CN"/>
          </w:rPr>
          <w:t>9.1</w:t>
        </w:r>
        <w:r w:rsidR="00C82861" w:rsidRPr="005537DE">
          <w:rPr>
            <w:rStyle w:val="aff5"/>
            <w:noProof/>
            <w:lang w:eastAsia="zh-CN"/>
          </w:rPr>
          <w:t>清洁生产分析</w:t>
        </w:r>
        <w:r w:rsidR="00C82861">
          <w:rPr>
            <w:noProof/>
            <w:webHidden/>
          </w:rPr>
          <w:tab/>
        </w:r>
        <w:r w:rsidR="00C82861">
          <w:rPr>
            <w:noProof/>
            <w:webHidden/>
          </w:rPr>
          <w:fldChar w:fldCharType="begin"/>
        </w:r>
        <w:r w:rsidR="00C82861">
          <w:rPr>
            <w:noProof/>
            <w:webHidden/>
          </w:rPr>
          <w:instrText xml:space="preserve"> PAGEREF _Toc123682562 \h </w:instrText>
        </w:r>
        <w:r w:rsidR="00C82861">
          <w:rPr>
            <w:noProof/>
            <w:webHidden/>
          </w:rPr>
        </w:r>
        <w:r w:rsidR="00C82861">
          <w:rPr>
            <w:noProof/>
            <w:webHidden/>
          </w:rPr>
          <w:fldChar w:fldCharType="separate"/>
        </w:r>
        <w:r w:rsidR="00C82861">
          <w:rPr>
            <w:noProof/>
            <w:webHidden/>
          </w:rPr>
          <w:t>345</w:t>
        </w:r>
        <w:r w:rsidR="00C82861">
          <w:rPr>
            <w:noProof/>
            <w:webHidden/>
          </w:rPr>
          <w:fldChar w:fldCharType="end"/>
        </w:r>
      </w:hyperlink>
    </w:p>
    <w:p w14:paraId="6387B9B9" w14:textId="545E7F49"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3" w:history="1">
        <w:r w:rsidR="00C82861" w:rsidRPr="005537DE">
          <w:rPr>
            <w:rStyle w:val="aff5"/>
            <w:noProof/>
            <w:lang w:eastAsia="zh-CN"/>
          </w:rPr>
          <w:t>9.2</w:t>
        </w:r>
        <w:r w:rsidR="00C82861" w:rsidRPr="005537DE">
          <w:rPr>
            <w:rStyle w:val="aff5"/>
            <w:noProof/>
            <w:lang w:eastAsia="zh-CN"/>
          </w:rPr>
          <w:t>总量控制</w:t>
        </w:r>
        <w:r w:rsidR="00C82861">
          <w:rPr>
            <w:noProof/>
            <w:webHidden/>
          </w:rPr>
          <w:tab/>
        </w:r>
        <w:r w:rsidR="00C82861">
          <w:rPr>
            <w:noProof/>
            <w:webHidden/>
          </w:rPr>
          <w:fldChar w:fldCharType="begin"/>
        </w:r>
        <w:r w:rsidR="00C82861">
          <w:rPr>
            <w:noProof/>
            <w:webHidden/>
          </w:rPr>
          <w:instrText xml:space="preserve"> PAGEREF _Toc123682563 \h </w:instrText>
        </w:r>
        <w:r w:rsidR="00C82861">
          <w:rPr>
            <w:noProof/>
            <w:webHidden/>
          </w:rPr>
        </w:r>
        <w:r w:rsidR="00C82861">
          <w:rPr>
            <w:noProof/>
            <w:webHidden/>
          </w:rPr>
          <w:fldChar w:fldCharType="separate"/>
        </w:r>
        <w:r w:rsidR="00C82861">
          <w:rPr>
            <w:noProof/>
            <w:webHidden/>
          </w:rPr>
          <w:t>346</w:t>
        </w:r>
        <w:r w:rsidR="00C82861">
          <w:rPr>
            <w:noProof/>
            <w:webHidden/>
          </w:rPr>
          <w:fldChar w:fldCharType="end"/>
        </w:r>
      </w:hyperlink>
    </w:p>
    <w:p w14:paraId="68ECCCC4" w14:textId="37878B8F"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64" w:history="1">
        <w:r w:rsidR="00C82861" w:rsidRPr="005537DE">
          <w:rPr>
            <w:rStyle w:val="aff5"/>
            <w:rFonts w:ascii="Times New Roman" w:eastAsia="黑体" w:hAnsi="Times New Roman"/>
            <w:noProof/>
            <w:lang w:eastAsia="zh-CN"/>
          </w:rPr>
          <w:t>10</w:t>
        </w:r>
        <w:r w:rsidR="00C82861" w:rsidRPr="005537DE">
          <w:rPr>
            <w:rStyle w:val="aff5"/>
            <w:rFonts w:ascii="Times New Roman" w:eastAsia="黑体" w:hAnsi="Times New Roman"/>
            <w:noProof/>
            <w:lang w:eastAsia="zh-CN"/>
          </w:rPr>
          <w:t>环境管理与环境监测</w:t>
        </w:r>
        <w:r w:rsidR="00C82861">
          <w:rPr>
            <w:noProof/>
            <w:webHidden/>
          </w:rPr>
          <w:tab/>
        </w:r>
        <w:r w:rsidR="00C82861">
          <w:rPr>
            <w:noProof/>
            <w:webHidden/>
          </w:rPr>
          <w:fldChar w:fldCharType="begin"/>
        </w:r>
        <w:r w:rsidR="00C82861">
          <w:rPr>
            <w:noProof/>
            <w:webHidden/>
          </w:rPr>
          <w:instrText xml:space="preserve"> PAGEREF _Toc123682564 \h </w:instrText>
        </w:r>
        <w:r w:rsidR="00C82861">
          <w:rPr>
            <w:noProof/>
            <w:webHidden/>
          </w:rPr>
        </w:r>
        <w:r w:rsidR="00C82861">
          <w:rPr>
            <w:noProof/>
            <w:webHidden/>
          </w:rPr>
          <w:fldChar w:fldCharType="separate"/>
        </w:r>
        <w:r w:rsidR="00C82861">
          <w:rPr>
            <w:noProof/>
            <w:webHidden/>
          </w:rPr>
          <w:t>348</w:t>
        </w:r>
        <w:r w:rsidR="00C82861">
          <w:rPr>
            <w:noProof/>
            <w:webHidden/>
          </w:rPr>
          <w:fldChar w:fldCharType="end"/>
        </w:r>
      </w:hyperlink>
    </w:p>
    <w:p w14:paraId="5F785DE2" w14:textId="2F2AD99D"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5" w:history="1">
        <w:r w:rsidR="00C82861" w:rsidRPr="005537DE">
          <w:rPr>
            <w:rStyle w:val="aff5"/>
            <w:noProof/>
            <w:lang w:eastAsia="zh-CN"/>
          </w:rPr>
          <w:t>10.1</w:t>
        </w:r>
        <w:r w:rsidR="00C82861" w:rsidRPr="005537DE">
          <w:rPr>
            <w:rStyle w:val="aff5"/>
            <w:noProof/>
            <w:lang w:eastAsia="zh-CN"/>
          </w:rPr>
          <w:t>环境管理</w:t>
        </w:r>
        <w:r w:rsidR="00C82861">
          <w:rPr>
            <w:noProof/>
            <w:webHidden/>
          </w:rPr>
          <w:tab/>
        </w:r>
        <w:r w:rsidR="00C82861">
          <w:rPr>
            <w:noProof/>
            <w:webHidden/>
          </w:rPr>
          <w:fldChar w:fldCharType="begin"/>
        </w:r>
        <w:r w:rsidR="00C82861">
          <w:rPr>
            <w:noProof/>
            <w:webHidden/>
          </w:rPr>
          <w:instrText xml:space="preserve"> PAGEREF _Toc123682565 \h </w:instrText>
        </w:r>
        <w:r w:rsidR="00C82861">
          <w:rPr>
            <w:noProof/>
            <w:webHidden/>
          </w:rPr>
        </w:r>
        <w:r w:rsidR="00C82861">
          <w:rPr>
            <w:noProof/>
            <w:webHidden/>
          </w:rPr>
          <w:fldChar w:fldCharType="separate"/>
        </w:r>
        <w:r w:rsidR="00C82861">
          <w:rPr>
            <w:noProof/>
            <w:webHidden/>
          </w:rPr>
          <w:t>348</w:t>
        </w:r>
        <w:r w:rsidR="00C82861">
          <w:rPr>
            <w:noProof/>
            <w:webHidden/>
          </w:rPr>
          <w:fldChar w:fldCharType="end"/>
        </w:r>
      </w:hyperlink>
    </w:p>
    <w:p w14:paraId="27B68969" w14:textId="7A7F272D"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6" w:history="1">
        <w:r w:rsidR="00C82861" w:rsidRPr="005537DE">
          <w:rPr>
            <w:rStyle w:val="aff5"/>
            <w:noProof/>
            <w:lang w:eastAsia="zh-CN"/>
          </w:rPr>
          <w:t>10.2</w:t>
        </w:r>
        <w:r w:rsidR="00C82861" w:rsidRPr="005537DE">
          <w:rPr>
            <w:rStyle w:val="aff5"/>
            <w:noProof/>
            <w:lang w:eastAsia="zh-CN"/>
          </w:rPr>
          <w:t>污染物排放清单</w:t>
        </w:r>
        <w:r w:rsidR="00C82861">
          <w:rPr>
            <w:noProof/>
            <w:webHidden/>
          </w:rPr>
          <w:tab/>
        </w:r>
        <w:r w:rsidR="00C82861">
          <w:rPr>
            <w:noProof/>
            <w:webHidden/>
          </w:rPr>
          <w:fldChar w:fldCharType="begin"/>
        </w:r>
        <w:r w:rsidR="00C82861">
          <w:rPr>
            <w:noProof/>
            <w:webHidden/>
          </w:rPr>
          <w:instrText xml:space="preserve"> PAGEREF _Toc123682566 \h </w:instrText>
        </w:r>
        <w:r w:rsidR="00C82861">
          <w:rPr>
            <w:noProof/>
            <w:webHidden/>
          </w:rPr>
        </w:r>
        <w:r w:rsidR="00C82861">
          <w:rPr>
            <w:noProof/>
            <w:webHidden/>
          </w:rPr>
          <w:fldChar w:fldCharType="separate"/>
        </w:r>
        <w:r w:rsidR="00C82861">
          <w:rPr>
            <w:noProof/>
            <w:webHidden/>
          </w:rPr>
          <w:t>350</w:t>
        </w:r>
        <w:r w:rsidR="00C82861">
          <w:rPr>
            <w:noProof/>
            <w:webHidden/>
          </w:rPr>
          <w:fldChar w:fldCharType="end"/>
        </w:r>
      </w:hyperlink>
    </w:p>
    <w:p w14:paraId="20C2409C" w14:textId="15EB658E"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7" w:history="1">
        <w:r w:rsidR="00C82861" w:rsidRPr="005537DE">
          <w:rPr>
            <w:rStyle w:val="aff5"/>
            <w:noProof/>
            <w:lang w:eastAsia="zh-CN"/>
          </w:rPr>
          <w:t>10.3</w:t>
        </w:r>
        <w:r w:rsidR="00C82861" w:rsidRPr="005537DE">
          <w:rPr>
            <w:rStyle w:val="aff5"/>
            <w:noProof/>
            <w:lang w:eastAsia="zh-CN"/>
          </w:rPr>
          <w:t>环境监测</w:t>
        </w:r>
        <w:r w:rsidR="00C82861">
          <w:rPr>
            <w:noProof/>
            <w:webHidden/>
          </w:rPr>
          <w:tab/>
        </w:r>
        <w:r w:rsidR="00C82861">
          <w:rPr>
            <w:noProof/>
            <w:webHidden/>
          </w:rPr>
          <w:fldChar w:fldCharType="begin"/>
        </w:r>
        <w:r w:rsidR="00C82861">
          <w:rPr>
            <w:noProof/>
            <w:webHidden/>
          </w:rPr>
          <w:instrText xml:space="preserve"> PAGEREF _Toc123682567 \h </w:instrText>
        </w:r>
        <w:r w:rsidR="00C82861">
          <w:rPr>
            <w:noProof/>
            <w:webHidden/>
          </w:rPr>
        </w:r>
        <w:r w:rsidR="00C82861">
          <w:rPr>
            <w:noProof/>
            <w:webHidden/>
          </w:rPr>
          <w:fldChar w:fldCharType="separate"/>
        </w:r>
        <w:r w:rsidR="00C82861">
          <w:rPr>
            <w:noProof/>
            <w:webHidden/>
          </w:rPr>
          <w:t>353</w:t>
        </w:r>
        <w:r w:rsidR="00C82861">
          <w:rPr>
            <w:noProof/>
            <w:webHidden/>
          </w:rPr>
          <w:fldChar w:fldCharType="end"/>
        </w:r>
      </w:hyperlink>
    </w:p>
    <w:p w14:paraId="573574BE" w14:textId="36802068"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8" w:history="1">
        <w:r w:rsidR="00C82861" w:rsidRPr="005537DE">
          <w:rPr>
            <w:rStyle w:val="aff5"/>
            <w:noProof/>
            <w:lang w:eastAsia="zh-CN"/>
          </w:rPr>
          <w:t>10.4</w:t>
        </w:r>
        <w:r w:rsidR="00C82861" w:rsidRPr="005537DE">
          <w:rPr>
            <w:rStyle w:val="aff5"/>
            <w:noProof/>
            <w:lang w:eastAsia="zh-CN"/>
          </w:rPr>
          <w:t>排污许可申请</w:t>
        </w:r>
        <w:r w:rsidR="00C82861">
          <w:rPr>
            <w:noProof/>
            <w:webHidden/>
          </w:rPr>
          <w:tab/>
        </w:r>
        <w:r w:rsidR="00C82861">
          <w:rPr>
            <w:noProof/>
            <w:webHidden/>
          </w:rPr>
          <w:fldChar w:fldCharType="begin"/>
        </w:r>
        <w:r w:rsidR="00C82861">
          <w:rPr>
            <w:noProof/>
            <w:webHidden/>
          </w:rPr>
          <w:instrText xml:space="preserve"> PAGEREF _Toc123682568 \h </w:instrText>
        </w:r>
        <w:r w:rsidR="00C82861">
          <w:rPr>
            <w:noProof/>
            <w:webHidden/>
          </w:rPr>
        </w:r>
        <w:r w:rsidR="00C82861">
          <w:rPr>
            <w:noProof/>
            <w:webHidden/>
          </w:rPr>
          <w:fldChar w:fldCharType="separate"/>
        </w:r>
        <w:r w:rsidR="00C82861">
          <w:rPr>
            <w:noProof/>
            <w:webHidden/>
          </w:rPr>
          <w:t>355</w:t>
        </w:r>
        <w:r w:rsidR="00C82861">
          <w:rPr>
            <w:noProof/>
            <w:webHidden/>
          </w:rPr>
          <w:fldChar w:fldCharType="end"/>
        </w:r>
      </w:hyperlink>
    </w:p>
    <w:p w14:paraId="38CC6F38" w14:textId="392A49ED"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69" w:history="1">
        <w:r w:rsidR="00C82861" w:rsidRPr="005537DE">
          <w:rPr>
            <w:rStyle w:val="aff5"/>
            <w:noProof/>
            <w:lang w:eastAsia="zh-CN"/>
          </w:rPr>
          <w:t>10.5</w:t>
        </w:r>
        <w:r w:rsidR="00C82861" w:rsidRPr="005537DE">
          <w:rPr>
            <w:rStyle w:val="aff5"/>
            <w:noProof/>
            <w:lang w:eastAsia="zh-CN"/>
          </w:rPr>
          <w:t>环保设施竣工验收</w:t>
        </w:r>
        <w:r w:rsidR="00C82861">
          <w:rPr>
            <w:noProof/>
            <w:webHidden/>
          </w:rPr>
          <w:tab/>
        </w:r>
        <w:r w:rsidR="00C82861">
          <w:rPr>
            <w:noProof/>
            <w:webHidden/>
          </w:rPr>
          <w:fldChar w:fldCharType="begin"/>
        </w:r>
        <w:r w:rsidR="00C82861">
          <w:rPr>
            <w:noProof/>
            <w:webHidden/>
          </w:rPr>
          <w:instrText xml:space="preserve"> PAGEREF _Toc123682569 \h </w:instrText>
        </w:r>
        <w:r w:rsidR="00C82861">
          <w:rPr>
            <w:noProof/>
            <w:webHidden/>
          </w:rPr>
        </w:r>
        <w:r w:rsidR="00C82861">
          <w:rPr>
            <w:noProof/>
            <w:webHidden/>
          </w:rPr>
          <w:fldChar w:fldCharType="separate"/>
        </w:r>
        <w:r w:rsidR="00C82861">
          <w:rPr>
            <w:noProof/>
            <w:webHidden/>
          </w:rPr>
          <w:t>355</w:t>
        </w:r>
        <w:r w:rsidR="00C82861">
          <w:rPr>
            <w:noProof/>
            <w:webHidden/>
          </w:rPr>
          <w:fldChar w:fldCharType="end"/>
        </w:r>
      </w:hyperlink>
    </w:p>
    <w:p w14:paraId="15D39B27" w14:textId="2F78E6AF" w:rsidR="00C82861" w:rsidRDefault="00000000">
      <w:pPr>
        <w:pStyle w:val="TOC1"/>
        <w:tabs>
          <w:tab w:val="right" w:leader="dot" w:pos="8300"/>
        </w:tabs>
        <w:rPr>
          <w:rFonts w:asciiTheme="minorHAnsi" w:eastAsiaTheme="minorEastAsia" w:hAnsiTheme="minorHAnsi" w:cstheme="minorBidi"/>
          <w:noProof/>
          <w:kern w:val="2"/>
          <w:sz w:val="21"/>
          <w:lang w:eastAsia="zh-CN"/>
        </w:rPr>
      </w:pPr>
      <w:hyperlink w:anchor="_Toc123682570" w:history="1">
        <w:r w:rsidR="00C82861" w:rsidRPr="005537DE">
          <w:rPr>
            <w:rStyle w:val="aff5"/>
            <w:rFonts w:ascii="Times New Roman" w:eastAsia="黑体" w:hAnsi="Times New Roman"/>
            <w:noProof/>
            <w:lang w:eastAsia="zh-CN"/>
          </w:rPr>
          <w:t>11</w:t>
        </w:r>
        <w:r w:rsidR="00C82861" w:rsidRPr="005537DE">
          <w:rPr>
            <w:rStyle w:val="aff5"/>
            <w:rFonts w:ascii="Times New Roman" w:eastAsia="黑体" w:hAnsi="Times New Roman"/>
            <w:noProof/>
            <w:lang w:eastAsia="zh-CN"/>
          </w:rPr>
          <w:t>结论与建议</w:t>
        </w:r>
        <w:r w:rsidR="00C82861">
          <w:rPr>
            <w:noProof/>
            <w:webHidden/>
          </w:rPr>
          <w:tab/>
        </w:r>
        <w:r w:rsidR="00C82861">
          <w:rPr>
            <w:noProof/>
            <w:webHidden/>
          </w:rPr>
          <w:fldChar w:fldCharType="begin"/>
        </w:r>
        <w:r w:rsidR="00C82861">
          <w:rPr>
            <w:noProof/>
            <w:webHidden/>
          </w:rPr>
          <w:instrText xml:space="preserve"> PAGEREF _Toc123682570 \h </w:instrText>
        </w:r>
        <w:r w:rsidR="00C82861">
          <w:rPr>
            <w:noProof/>
            <w:webHidden/>
          </w:rPr>
        </w:r>
        <w:r w:rsidR="00C82861">
          <w:rPr>
            <w:noProof/>
            <w:webHidden/>
          </w:rPr>
          <w:fldChar w:fldCharType="separate"/>
        </w:r>
        <w:r w:rsidR="00C82861">
          <w:rPr>
            <w:noProof/>
            <w:webHidden/>
          </w:rPr>
          <w:t>357</w:t>
        </w:r>
        <w:r w:rsidR="00C82861">
          <w:rPr>
            <w:noProof/>
            <w:webHidden/>
          </w:rPr>
          <w:fldChar w:fldCharType="end"/>
        </w:r>
      </w:hyperlink>
    </w:p>
    <w:p w14:paraId="71F3D88B" w14:textId="4B251EEC"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1" w:history="1">
        <w:r w:rsidR="00C82861" w:rsidRPr="005537DE">
          <w:rPr>
            <w:rStyle w:val="aff5"/>
            <w:noProof/>
            <w:lang w:eastAsia="zh-CN"/>
          </w:rPr>
          <w:t>11.1</w:t>
        </w:r>
        <w:r w:rsidR="00C82861" w:rsidRPr="005537DE">
          <w:rPr>
            <w:rStyle w:val="aff5"/>
            <w:noProof/>
            <w:lang w:eastAsia="zh-CN"/>
          </w:rPr>
          <w:t>项目概况</w:t>
        </w:r>
        <w:r w:rsidR="00C82861">
          <w:rPr>
            <w:noProof/>
            <w:webHidden/>
          </w:rPr>
          <w:tab/>
        </w:r>
        <w:r w:rsidR="00C82861">
          <w:rPr>
            <w:noProof/>
            <w:webHidden/>
          </w:rPr>
          <w:fldChar w:fldCharType="begin"/>
        </w:r>
        <w:r w:rsidR="00C82861">
          <w:rPr>
            <w:noProof/>
            <w:webHidden/>
          </w:rPr>
          <w:instrText xml:space="preserve"> PAGEREF _Toc123682571 \h </w:instrText>
        </w:r>
        <w:r w:rsidR="00C82861">
          <w:rPr>
            <w:noProof/>
            <w:webHidden/>
          </w:rPr>
        </w:r>
        <w:r w:rsidR="00C82861">
          <w:rPr>
            <w:noProof/>
            <w:webHidden/>
          </w:rPr>
          <w:fldChar w:fldCharType="separate"/>
        </w:r>
        <w:r w:rsidR="00C82861">
          <w:rPr>
            <w:noProof/>
            <w:webHidden/>
          </w:rPr>
          <w:t>357</w:t>
        </w:r>
        <w:r w:rsidR="00C82861">
          <w:rPr>
            <w:noProof/>
            <w:webHidden/>
          </w:rPr>
          <w:fldChar w:fldCharType="end"/>
        </w:r>
      </w:hyperlink>
    </w:p>
    <w:p w14:paraId="32C7413C" w14:textId="1168A26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2" w:history="1">
        <w:r w:rsidR="00C82861" w:rsidRPr="005537DE">
          <w:rPr>
            <w:rStyle w:val="aff5"/>
            <w:noProof/>
            <w:lang w:eastAsia="zh-CN"/>
          </w:rPr>
          <w:t>11.2</w:t>
        </w:r>
        <w:r w:rsidR="00C82861" w:rsidRPr="005537DE">
          <w:rPr>
            <w:rStyle w:val="aff5"/>
            <w:noProof/>
            <w:lang w:eastAsia="zh-CN"/>
          </w:rPr>
          <w:t>环境质量现状</w:t>
        </w:r>
        <w:r w:rsidR="00C82861">
          <w:rPr>
            <w:noProof/>
            <w:webHidden/>
          </w:rPr>
          <w:tab/>
        </w:r>
        <w:r w:rsidR="00C82861">
          <w:rPr>
            <w:noProof/>
            <w:webHidden/>
          </w:rPr>
          <w:fldChar w:fldCharType="begin"/>
        </w:r>
        <w:r w:rsidR="00C82861">
          <w:rPr>
            <w:noProof/>
            <w:webHidden/>
          </w:rPr>
          <w:instrText xml:space="preserve"> PAGEREF _Toc123682572 \h </w:instrText>
        </w:r>
        <w:r w:rsidR="00C82861">
          <w:rPr>
            <w:noProof/>
            <w:webHidden/>
          </w:rPr>
        </w:r>
        <w:r w:rsidR="00C82861">
          <w:rPr>
            <w:noProof/>
            <w:webHidden/>
          </w:rPr>
          <w:fldChar w:fldCharType="separate"/>
        </w:r>
        <w:r w:rsidR="00C82861">
          <w:rPr>
            <w:noProof/>
            <w:webHidden/>
          </w:rPr>
          <w:t>357</w:t>
        </w:r>
        <w:r w:rsidR="00C82861">
          <w:rPr>
            <w:noProof/>
            <w:webHidden/>
          </w:rPr>
          <w:fldChar w:fldCharType="end"/>
        </w:r>
      </w:hyperlink>
    </w:p>
    <w:p w14:paraId="211E74A3" w14:textId="5391D115"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3" w:history="1">
        <w:r w:rsidR="00C82861" w:rsidRPr="005537DE">
          <w:rPr>
            <w:rStyle w:val="aff5"/>
            <w:noProof/>
            <w:lang w:eastAsia="zh-CN"/>
          </w:rPr>
          <w:t>11.3</w:t>
        </w:r>
        <w:r w:rsidR="00C82861" w:rsidRPr="005537DE">
          <w:rPr>
            <w:rStyle w:val="aff5"/>
            <w:noProof/>
            <w:lang w:eastAsia="zh-CN"/>
          </w:rPr>
          <w:t>项目产业政策符合性分析与选址合理性分析</w:t>
        </w:r>
        <w:r w:rsidR="00C82861">
          <w:rPr>
            <w:noProof/>
            <w:webHidden/>
          </w:rPr>
          <w:tab/>
        </w:r>
        <w:r w:rsidR="00C82861">
          <w:rPr>
            <w:noProof/>
            <w:webHidden/>
          </w:rPr>
          <w:fldChar w:fldCharType="begin"/>
        </w:r>
        <w:r w:rsidR="00C82861">
          <w:rPr>
            <w:noProof/>
            <w:webHidden/>
          </w:rPr>
          <w:instrText xml:space="preserve"> PAGEREF _Toc123682573 \h </w:instrText>
        </w:r>
        <w:r w:rsidR="00C82861">
          <w:rPr>
            <w:noProof/>
            <w:webHidden/>
          </w:rPr>
        </w:r>
        <w:r w:rsidR="00C82861">
          <w:rPr>
            <w:noProof/>
            <w:webHidden/>
          </w:rPr>
          <w:fldChar w:fldCharType="separate"/>
        </w:r>
        <w:r w:rsidR="00C82861">
          <w:rPr>
            <w:noProof/>
            <w:webHidden/>
          </w:rPr>
          <w:t>357</w:t>
        </w:r>
        <w:r w:rsidR="00C82861">
          <w:rPr>
            <w:noProof/>
            <w:webHidden/>
          </w:rPr>
          <w:fldChar w:fldCharType="end"/>
        </w:r>
      </w:hyperlink>
    </w:p>
    <w:p w14:paraId="286D62E3" w14:textId="4CE3C245"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4" w:history="1">
        <w:r w:rsidR="00C82861" w:rsidRPr="005537DE">
          <w:rPr>
            <w:rStyle w:val="aff5"/>
            <w:noProof/>
            <w:lang w:eastAsia="zh-CN"/>
          </w:rPr>
          <w:t>11.4</w:t>
        </w:r>
        <w:r w:rsidR="00C82861" w:rsidRPr="005537DE">
          <w:rPr>
            <w:rStyle w:val="aff5"/>
            <w:noProof/>
            <w:lang w:eastAsia="zh-CN"/>
          </w:rPr>
          <w:t>环境影响评价结论</w:t>
        </w:r>
        <w:r w:rsidR="00C82861">
          <w:rPr>
            <w:noProof/>
            <w:webHidden/>
          </w:rPr>
          <w:tab/>
        </w:r>
        <w:r w:rsidR="00C82861">
          <w:rPr>
            <w:noProof/>
            <w:webHidden/>
          </w:rPr>
          <w:fldChar w:fldCharType="begin"/>
        </w:r>
        <w:r w:rsidR="00C82861">
          <w:rPr>
            <w:noProof/>
            <w:webHidden/>
          </w:rPr>
          <w:instrText xml:space="preserve"> PAGEREF _Toc123682574 \h </w:instrText>
        </w:r>
        <w:r w:rsidR="00C82861">
          <w:rPr>
            <w:noProof/>
            <w:webHidden/>
          </w:rPr>
        </w:r>
        <w:r w:rsidR="00C82861">
          <w:rPr>
            <w:noProof/>
            <w:webHidden/>
          </w:rPr>
          <w:fldChar w:fldCharType="separate"/>
        </w:r>
        <w:r w:rsidR="00C82861">
          <w:rPr>
            <w:noProof/>
            <w:webHidden/>
          </w:rPr>
          <w:t>358</w:t>
        </w:r>
        <w:r w:rsidR="00C82861">
          <w:rPr>
            <w:noProof/>
            <w:webHidden/>
          </w:rPr>
          <w:fldChar w:fldCharType="end"/>
        </w:r>
      </w:hyperlink>
    </w:p>
    <w:p w14:paraId="077777DC" w14:textId="7DF0DFD5"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5" w:history="1">
        <w:r w:rsidR="00C82861" w:rsidRPr="005537DE">
          <w:rPr>
            <w:rStyle w:val="aff5"/>
            <w:noProof/>
            <w:lang w:eastAsia="zh-CN"/>
          </w:rPr>
          <w:t>11.5</w:t>
        </w:r>
        <w:r w:rsidR="00C82861" w:rsidRPr="005537DE">
          <w:rPr>
            <w:rStyle w:val="aff5"/>
            <w:noProof/>
            <w:lang w:eastAsia="zh-CN"/>
          </w:rPr>
          <w:t>环境风险分析</w:t>
        </w:r>
        <w:r w:rsidR="00C82861">
          <w:rPr>
            <w:noProof/>
            <w:webHidden/>
          </w:rPr>
          <w:tab/>
        </w:r>
        <w:r w:rsidR="00C82861">
          <w:rPr>
            <w:noProof/>
            <w:webHidden/>
          </w:rPr>
          <w:fldChar w:fldCharType="begin"/>
        </w:r>
        <w:r w:rsidR="00C82861">
          <w:rPr>
            <w:noProof/>
            <w:webHidden/>
          </w:rPr>
          <w:instrText xml:space="preserve"> PAGEREF _Toc123682575 \h </w:instrText>
        </w:r>
        <w:r w:rsidR="00C82861">
          <w:rPr>
            <w:noProof/>
            <w:webHidden/>
          </w:rPr>
        </w:r>
        <w:r w:rsidR="00C82861">
          <w:rPr>
            <w:noProof/>
            <w:webHidden/>
          </w:rPr>
          <w:fldChar w:fldCharType="separate"/>
        </w:r>
        <w:r w:rsidR="00C82861">
          <w:rPr>
            <w:noProof/>
            <w:webHidden/>
          </w:rPr>
          <w:t>359</w:t>
        </w:r>
        <w:r w:rsidR="00C82861">
          <w:rPr>
            <w:noProof/>
            <w:webHidden/>
          </w:rPr>
          <w:fldChar w:fldCharType="end"/>
        </w:r>
      </w:hyperlink>
    </w:p>
    <w:p w14:paraId="0D3DDACA" w14:textId="549799E1"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6" w:history="1">
        <w:r w:rsidR="00C82861" w:rsidRPr="005537DE">
          <w:rPr>
            <w:rStyle w:val="aff5"/>
            <w:noProof/>
            <w:lang w:eastAsia="zh-CN"/>
          </w:rPr>
          <w:t>11.6</w:t>
        </w:r>
        <w:r w:rsidR="00C82861" w:rsidRPr="005537DE">
          <w:rPr>
            <w:rStyle w:val="aff5"/>
            <w:noProof/>
            <w:lang w:eastAsia="zh-CN"/>
          </w:rPr>
          <w:t>清洁生产和总量控制</w:t>
        </w:r>
        <w:r w:rsidR="00C82861">
          <w:rPr>
            <w:noProof/>
            <w:webHidden/>
          </w:rPr>
          <w:tab/>
        </w:r>
        <w:r w:rsidR="00C82861">
          <w:rPr>
            <w:noProof/>
            <w:webHidden/>
          </w:rPr>
          <w:fldChar w:fldCharType="begin"/>
        </w:r>
        <w:r w:rsidR="00C82861">
          <w:rPr>
            <w:noProof/>
            <w:webHidden/>
          </w:rPr>
          <w:instrText xml:space="preserve"> PAGEREF _Toc123682576 \h </w:instrText>
        </w:r>
        <w:r w:rsidR="00C82861">
          <w:rPr>
            <w:noProof/>
            <w:webHidden/>
          </w:rPr>
        </w:r>
        <w:r w:rsidR="00C82861">
          <w:rPr>
            <w:noProof/>
            <w:webHidden/>
          </w:rPr>
          <w:fldChar w:fldCharType="separate"/>
        </w:r>
        <w:r w:rsidR="00C82861">
          <w:rPr>
            <w:noProof/>
            <w:webHidden/>
          </w:rPr>
          <w:t>359</w:t>
        </w:r>
        <w:r w:rsidR="00C82861">
          <w:rPr>
            <w:noProof/>
            <w:webHidden/>
          </w:rPr>
          <w:fldChar w:fldCharType="end"/>
        </w:r>
      </w:hyperlink>
    </w:p>
    <w:p w14:paraId="18FF1CC6" w14:textId="5F879B1A"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7" w:history="1">
        <w:r w:rsidR="00C82861" w:rsidRPr="005537DE">
          <w:rPr>
            <w:rStyle w:val="aff5"/>
            <w:noProof/>
            <w:lang w:eastAsia="zh-CN"/>
          </w:rPr>
          <w:t>11.7</w:t>
        </w:r>
        <w:r w:rsidR="00C82861" w:rsidRPr="005537DE">
          <w:rPr>
            <w:rStyle w:val="aff5"/>
            <w:noProof/>
            <w:lang w:eastAsia="zh-CN"/>
          </w:rPr>
          <w:t>环境经济损益分析</w:t>
        </w:r>
        <w:r w:rsidR="00C82861">
          <w:rPr>
            <w:noProof/>
            <w:webHidden/>
          </w:rPr>
          <w:tab/>
        </w:r>
        <w:r w:rsidR="00C82861">
          <w:rPr>
            <w:noProof/>
            <w:webHidden/>
          </w:rPr>
          <w:fldChar w:fldCharType="begin"/>
        </w:r>
        <w:r w:rsidR="00C82861">
          <w:rPr>
            <w:noProof/>
            <w:webHidden/>
          </w:rPr>
          <w:instrText xml:space="preserve"> PAGEREF _Toc123682577 \h </w:instrText>
        </w:r>
        <w:r w:rsidR="00C82861">
          <w:rPr>
            <w:noProof/>
            <w:webHidden/>
          </w:rPr>
        </w:r>
        <w:r w:rsidR="00C82861">
          <w:rPr>
            <w:noProof/>
            <w:webHidden/>
          </w:rPr>
          <w:fldChar w:fldCharType="separate"/>
        </w:r>
        <w:r w:rsidR="00C82861">
          <w:rPr>
            <w:noProof/>
            <w:webHidden/>
          </w:rPr>
          <w:t>360</w:t>
        </w:r>
        <w:r w:rsidR="00C82861">
          <w:rPr>
            <w:noProof/>
            <w:webHidden/>
          </w:rPr>
          <w:fldChar w:fldCharType="end"/>
        </w:r>
      </w:hyperlink>
    </w:p>
    <w:p w14:paraId="0DFFA3E9" w14:textId="11269C64"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8" w:history="1">
        <w:r w:rsidR="00C82861" w:rsidRPr="005537DE">
          <w:rPr>
            <w:rStyle w:val="aff5"/>
            <w:noProof/>
            <w:lang w:eastAsia="zh-CN"/>
          </w:rPr>
          <w:t>11.8</w:t>
        </w:r>
        <w:r w:rsidR="00C82861" w:rsidRPr="005537DE">
          <w:rPr>
            <w:rStyle w:val="aff5"/>
            <w:noProof/>
            <w:lang w:eastAsia="zh-CN"/>
          </w:rPr>
          <w:t>公众参与调查结论</w:t>
        </w:r>
        <w:r w:rsidR="00C82861">
          <w:rPr>
            <w:noProof/>
            <w:webHidden/>
          </w:rPr>
          <w:tab/>
        </w:r>
        <w:r w:rsidR="00C82861">
          <w:rPr>
            <w:noProof/>
            <w:webHidden/>
          </w:rPr>
          <w:fldChar w:fldCharType="begin"/>
        </w:r>
        <w:r w:rsidR="00C82861">
          <w:rPr>
            <w:noProof/>
            <w:webHidden/>
          </w:rPr>
          <w:instrText xml:space="preserve"> PAGEREF _Toc123682578 \h </w:instrText>
        </w:r>
        <w:r w:rsidR="00C82861">
          <w:rPr>
            <w:noProof/>
            <w:webHidden/>
          </w:rPr>
        </w:r>
        <w:r w:rsidR="00C82861">
          <w:rPr>
            <w:noProof/>
            <w:webHidden/>
          </w:rPr>
          <w:fldChar w:fldCharType="separate"/>
        </w:r>
        <w:r w:rsidR="00C82861">
          <w:rPr>
            <w:noProof/>
            <w:webHidden/>
          </w:rPr>
          <w:t>360</w:t>
        </w:r>
        <w:r w:rsidR="00C82861">
          <w:rPr>
            <w:noProof/>
            <w:webHidden/>
          </w:rPr>
          <w:fldChar w:fldCharType="end"/>
        </w:r>
      </w:hyperlink>
    </w:p>
    <w:p w14:paraId="233FDC2A" w14:textId="08DC79F3"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79" w:history="1">
        <w:r w:rsidR="00C82861" w:rsidRPr="005537DE">
          <w:rPr>
            <w:rStyle w:val="aff5"/>
            <w:noProof/>
            <w:lang w:eastAsia="zh-CN"/>
          </w:rPr>
          <w:t>11.9</w:t>
        </w:r>
        <w:r w:rsidR="00C82861" w:rsidRPr="005537DE">
          <w:rPr>
            <w:rStyle w:val="aff5"/>
            <w:noProof/>
            <w:lang w:eastAsia="zh-CN"/>
          </w:rPr>
          <w:t>评价总结论</w:t>
        </w:r>
        <w:r w:rsidR="00C82861">
          <w:rPr>
            <w:noProof/>
            <w:webHidden/>
          </w:rPr>
          <w:tab/>
        </w:r>
        <w:r w:rsidR="00C82861">
          <w:rPr>
            <w:noProof/>
            <w:webHidden/>
          </w:rPr>
          <w:fldChar w:fldCharType="begin"/>
        </w:r>
        <w:r w:rsidR="00C82861">
          <w:rPr>
            <w:noProof/>
            <w:webHidden/>
          </w:rPr>
          <w:instrText xml:space="preserve"> PAGEREF _Toc123682579 \h </w:instrText>
        </w:r>
        <w:r w:rsidR="00C82861">
          <w:rPr>
            <w:noProof/>
            <w:webHidden/>
          </w:rPr>
        </w:r>
        <w:r w:rsidR="00C82861">
          <w:rPr>
            <w:noProof/>
            <w:webHidden/>
          </w:rPr>
          <w:fldChar w:fldCharType="separate"/>
        </w:r>
        <w:r w:rsidR="00C82861">
          <w:rPr>
            <w:noProof/>
            <w:webHidden/>
          </w:rPr>
          <w:t>360</w:t>
        </w:r>
        <w:r w:rsidR="00C82861">
          <w:rPr>
            <w:noProof/>
            <w:webHidden/>
          </w:rPr>
          <w:fldChar w:fldCharType="end"/>
        </w:r>
      </w:hyperlink>
    </w:p>
    <w:p w14:paraId="63EE0BC6" w14:textId="31FC45C7" w:rsidR="00C82861" w:rsidRDefault="00000000">
      <w:pPr>
        <w:pStyle w:val="TOC2"/>
        <w:tabs>
          <w:tab w:val="right" w:leader="dot" w:pos="8300"/>
        </w:tabs>
        <w:rPr>
          <w:rFonts w:asciiTheme="minorHAnsi" w:eastAsiaTheme="minorEastAsia" w:hAnsiTheme="minorHAnsi" w:cstheme="minorBidi"/>
          <w:noProof/>
          <w:kern w:val="2"/>
          <w:sz w:val="21"/>
          <w:lang w:eastAsia="zh-CN"/>
        </w:rPr>
      </w:pPr>
      <w:hyperlink w:anchor="_Toc123682580" w:history="1">
        <w:r w:rsidR="00C82861" w:rsidRPr="005537DE">
          <w:rPr>
            <w:rStyle w:val="aff5"/>
            <w:noProof/>
            <w:lang w:eastAsia="zh-CN"/>
          </w:rPr>
          <w:t>11.10</w:t>
        </w:r>
        <w:r w:rsidR="00C82861" w:rsidRPr="005537DE">
          <w:rPr>
            <w:rStyle w:val="aff5"/>
            <w:noProof/>
            <w:lang w:eastAsia="zh-CN"/>
          </w:rPr>
          <w:t>建议</w:t>
        </w:r>
        <w:r w:rsidR="00C82861">
          <w:rPr>
            <w:noProof/>
            <w:webHidden/>
          </w:rPr>
          <w:tab/>
        </w:r>
        <w:r w:rsidR="00C82861">
          <w:rPr>
            <w:noProof/>
            <w:webHidden/>
          </w:rPr>
          <w:fldChar w:fldCharType="begin"/>
        </w:r>
        <w:r w:rsidR="00C82861">
          <w:rPr>
            <w:noProof/>
            <w:webHidden/>
          </w:rPr>
          <w:instrText xml:space="preserve"> PAGEREF _Toc123682580 \h </w:instrText>
        </w:r>
        <w:r w:rsidR="00C82861">
          <w:rPr>
            <w:noProof/>
            <w:webHidden/>
          </w:rPr>
        </w:r>
        <w:r w:rsidR="00C82861">
          <w:rPr>
            <w:noProof/>
            <w:webHidden/>
          </w:rPr>
          <w:fldChar w:fldCharType="separate"/>
        </w:r>
        <w:r w:rsidR="00C82861">
          <w:rPr>
            <w:noProof/>
            <w:webHidden/>
          </w:rPr>
          <w:t>360</w:t>
        </w:r>
        <w:r w:rsidR="00C82861">
          <w:rPr>
            <w:noProof/>
            <w:webHidden/>
          </w:rPr>
          <w:fldChar w:fldCharType="end"/>
        </w:r>
      </w:hyperlink>
    </w:p>
    <w:p w14:paraId="4FF615D1" w14:textId="3E46A6F0" w:rsidR="00DC446C" w:rsidRPr="00092862" w:rsidRDefault="00C82861" w:rsidP="00837C2A">
      <w:pPr>
        <w:tabs>
          <w:tab w:val="left" w:pos="583"/>
        </w:tabs>
        <w:adjustRightInd w:val="0"/>
        <w:snapToGrid w:val="0"/>
        <w:ind w:firstLineChars="200" w:firstLine="480"/>
        <w:jc w:val="center"/>
        <w:rPr>
          <w:rFonts w:ascii="Times New Roman" w:eastAsia="Times New Roman" w:hAnsi="Times New Roman" w:cs="Times New Roman"/>
          <w:color w:val="000000" w:themeColor="text1"/>
        </w:rPr>
        <w:sectPr w:rsidR="00DC446C" w:rsidRPr="00092862" w:rsidSect="006B255A">
          <w:headerReference w:type="default" r:id="rId9"/>
          <w:pgSz w:w="11910" w:h="16840"/>
          <w:pgMar w:top="1440" w:right="1800" w:bottom="1440" w:left="1800" w:header="877" w:footer="1007" w:gutter="0"/>
          <w:cols w:space="720"/>
        </w:sectPr>
      </w:pPr>
      <w:r>
        <w:rPr>
          <w:rFonts w:ascii="Times New Roman" w:eastAsia="宋体" w:hAnsi="Times New Roman" w:cs="Times New Roman"/>
          <w:color w:val="000000" w:themeColor="text1"/>
          <w:kern w:val="0"/>
          <w:sz w:val="24"/>
          <w:szCs w:val="24"/>
        </w:rPr>
        <w:fldChar w:fldCharType="end"/>
      </w:r>
    </w:p>
    <w:p w14:paraId="2EAFE2DF" w14:textId="261263E7" w:rsidR="00DC446C" w:rsidRPr="00092862" w:rsidRDefault="003B1968" w:rsidP="003D2EEB">
      <w:pPr>
        <w:pStyle w:val="ac"/>
        <w:adjustRightInd w:val="0"/>
        <w:snapToGrid w:val="0"/>
        <w:spacing w:before="0" w:line="360" w:lineRule="auto"/>
        <w:ind w:left="0" w:firstLineChars="200" w:firstLine="480"/>
        <w:rPr>
          <w:rFonts w:ascii="Times New Roman" w:eastAsia="黑体" w:hAnsi="Times New Roman"/>
          <w:color w:val="000000" w:themeColor="text1"/>
          <w:lang w:eastAsia="zh-CN"/>
        </w:rPr>
      </w:pPr>
      <w:bookmarkStart w:id="1" w:name="_Toc41290497"/>
      <w:bookmarkStart w:id="2" w:name="_Hlk51679438"/>
      <w:r w:rsidRPr="00092862">
        <w:rPr>
          <w:rFonts w:ascii="Times New Roman" w:eastAsia="黑体" w:hAnsi="Times New Roman"/>
          <w:color w:val="000000" w:themeColor="text1"/>
          <w:lang w:eastAsia="zh-CN"/>
        </w:rPr>
        <w:lastRenderedPageBreak/>
        <w:t>附表</w:t>
      </w:r>
      <w:bookmarkEnd w:id="1"/>
    </w:p>
    <w:p w14:paraId="75690C82" w14:textId="21BBADBD" w:rsidR="00837C2A" w:rsidRPr="00092862" w:rsidRDefault="00837C2A" w:rsidP="00837C2A">
      <w:pPr>
        <w:pStyle w:val="ac"/>
        <w:adjustRightInd w:val="0"/>
        <w:snapToGrid w:val="0"/>
        <w:spacing w:before="0" w:line="360" w:lineRule="auto"/>
        <w:ind w:left="0" w:firstLineChars="200" w:firstLine="480"/>
        <w:rPr>
          <w:rFonts w:ascii="Times New Roman" w:hAnsi="Times New Roman"/>
          <w:color w:val="000000" w:themeColor="text1"/>
          <w:lang w:eastAsia="zh-CN"/>
        </w:rPr>
      </w:pPr>
      <w:bookmarkStart w:id="3" w:name="_Toc41290498"/>
      <w:r w:rsidRPr="00092862">
        <w:rPr>
          <w:rFonts w:ascii="Times New Roman" w:hAnsi="Times New Roman"/>
          <w:color w:val="000000" w:themeColor="text1"/>
          <w:lang w:eastAsia="zh-CN"/>
        </w:rPr>
        <w:t>附表</w:t>
      </w:r>
      <w:r w:rsidR="009D278E"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 xml:space="preserve"> </w:t>
      </w:r>
      <w:r w:rsidR="009D278E" w:rsidRPr="00092862">
        <w:rPr>
          <w:rFonts w:ascii="Times New Roman" w:hAnsi="Times New Roman"/>
          <w:color w:val="000000" w:themeColor="text1"/>
          <w:lang w:eastAsia="zh-CN"/>
        </w:rPr>
        <w:t>大气环境影响评价自查表</w:t>
      </w:r>
    </w:p>
    <w:p w14:paraId="5A11C73E" w14:textId="3804F4DE" w:rsidR="00837C2A" w:rsidRPr="00092862" w:rsidRDefault="00837C2A" w:rsidP="00837C2A">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附表</w:t>
      </w:r>
      <w:r w:rsidR="009D278E"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 xml:space="preserve"> </w:t>
      </w:r>
      <w:r w:rsidR="009D278E" w:rsidRPr="00092862">
        <w:rPr>
          <w:rFonts w:ascii="Times New Roman" w:hAnsi="Times New Roman"/>
          <w:color w:val="000000" w:themeColor="text1"/>
          <w:lang w:eastAsia="zh-CN"/>
        </w:rPr>
        <w:t>地表水环境影响评价自查表</w:t>
      </w:r>
    </w:p>
    <w:p w14:paraId="771584A4" w14:textId="22CF51CD" w:rsidR="00837C2A" w:rsidRPr="00092862" w:rsidRDefault="00837C2A" w:rsidP="00837C2A">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附表</w:t>
      </w:r>
      <w:r w:rsidR="009D278E"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土壤环境影响评价自查表</w:t>
      </w:r>
    </w:p>
    <w:p w14:paraId="2425CB9B" w14:textId="426EE5C8" w:rsidR="002B5835" w:rsidRPr="00092862" w:rsidRDefault="00837C2A"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附表</w:t>
      </w:r>
      <w:r w:rsidR="009D278E" w:rsidRPr="00092862">
        <w:rPr>
          <w:rFonts w:ascii="Times New Roman" w:hAnsi="Times New Roman"/>
          <w:color w:val="000000" w:themeColor="text1"/>
          <w:lang w:eastAsia="zh-CN"/>
        </w:rPr>
        <w:t>4</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环境风险评价自查表</w:t>
      </w:r>
    </w:p>
    <w:p w14:paraId="7F88BFFD" w14:textId="52CFE780" w:rsidR="009D278E" w:rsidRPr="00092862" w:rsidRDefault="009D278E"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附表</w:t>
      </w:r>
      <w:r w:rsidRPr="00092862">
        <w:rPr>
          <w:rFonts w:ascii="Times New Roman" w:hAnsi="Times New Roman"/>
          <w:color w:val="000000" w:themeColor="text1"/>
          <w:lang w:eastAsia="zh-CN"/>
        </w:rPr>
        <w:t>5</w:t>
      </w:r>
      <w:r w:rsidRPr="00092862">
        <w:rPr>
          <w:rFonts w:ascii="Times New Roman" w:hAnsi="Times New Roman"/>
          <w:color w:val="000000" w:themeColor="text1"/>
          <w:lang w:eastAsia="zh-CN"/>
        </w:rPr>
        <w:t>生态影响评价自查表</w:t>
      </w:r>
    </w:p>
    <w:p w14:paraId="0CF10DA4" w14:textId="0B78DCDD" w:rsidR="00D5380F" w:rsidRPr="00092862" w:rsidRDefault="00D5380F"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附表</w:t>
      </w:r>
      <w:r w:rsidRPr="00092862">
        <w:rPr>
          <w:rFonts w:ascii="Times New Roman" w:hAnsi="Times New Roman"/>
          <w:color w:val="000000" w:themeColor="text1"/>
          <w:lang w:eastAsia="zh-CN"/>
        </w:rPr>
        <w:t xml:space="preserve">6 </w:t>
      </w:r>
      <w:r w:rsidRPr="00092862">
        <w:rPr>
          <w:rFonts w:ascii="Times New Roman" w:hAnsi="Times New Roman"/>
          <w:color w:val="000000" w:themeColor="text1"/>
          <w:lang w:eastAsia="zh-CN"/>
        </w:rPr>
        <w:t>声环境影响评价自查表</w:t>
      </w:r>
    </w:p>
    <w:p w14:paraId="726CBE0B" w14:textId="561F06CE" w:rsidR="009D278E" w:rsidRPr="00092862" w:rsidRDefault="009D278E" w:rsidP="009D278E">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附表</w:t>
      </w:r>
      <w:r w:rsidR="00D5380F" w:rsidRPr="00092862">
        <w:rPr>
          <w:rFonts w:ascii="Times New Roman" w:hAnsi="Times New Roman"/>
          <w:color w:val="000000" w:themeColor="text1"/>
          <w:lang w:eastAsia="zh-CN"/>
        </w:rPr>
        <w:t>7</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审批基础信息表</w:t>
      </w:r>
    </w:p>
    <w:p w14:paraId="4C4F7D37" w14:textId="77777777" w:rsidR="009D278E" w:rsidRPr="00092862" w:rsidRDefault="009D278E"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p>
    <w:p w14:paraId="0621F345" w14:textId="1B0C5133" w:rsidR="002B5835" w:rsidRPr="00092862" w:rsidRDefault="002B5835" w:rsidP="002B5835">
      <w:pPr>
        <w:pStyle w:val="ac"/>
        <w:adjustRightInd w:val="0"/>
        <w:snapToGrid w:val="0"/>
        <w:spacing w:before="0" w:line="360" w:lineRule="auto"/>
        <w:ind w:left="0" w:firstLineChars="200" w:firstLine="480"/>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附图</w:t>
      </w:r>
    </w:p>
    <w:p w14:paraId="5F7E4075" w14:textId="0E977727" w:rsidR="002B5835" w:rsidRPr="00092862" w:rsidRDefault="002B5835"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附图</w:t>
      </w:r>
      <w:r w:rsidRPr="00092862">
        <w:rPr>
          <w:rFonts w:ascii="Times New Roman" w:hAnsi="Times New Roman"/>
          <w:color w:val="000000" w:themeColor="text1"/>
          <w:lang w:eastAsia="zh-CN"/>
        </w:rPr>
        <w:t xml:space="preserve">1 </w:t>
      </w:r>
      <w:r w:rsidRPr="00092862">
        <w:rPr>
          <w:rFonts w:ascii="Times New Roman" w:hAnsi="Times New Roman"/>
          <w:color w:val="000000" w:themeColor="text1"/>
          <w:lang w:eastAsia="zh-CN"/>
        </w:rPr>
        <w:t>项目地理位置图</w:t>
      </w:r>
    </w:p>
    <w:p w14:paraId="637E65EA"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2 </w:t>
      </w:r>
      <w:r w:rsidRPr="00092862">
        <w:rPr>
          <w:rFonts w:ascii="Times New Roman" w:hAnsi="Times New Roman"/>
          <w:color w:val="000000" w:themeColor="text1"/>
          <w:lang w:eastAsia="zh-CN"/>
        </w:rPr>
        <w:t>本项目与普光主体现有设施的位置关系图</w:t>
      </w:r>
    </w:p>
    <w:p w14:paraId="6254ABA6"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3 </w:t>
      </w:r>
      <w:r w:rsidRPr="00092862">
        <w:rPr>
          <w:rFonts w:ascii="Times New Roman" w:hAnsi="Times New Roman"/>
          <w:color w:val="000000" w:themeColor="text1"/>
          <w:lang w:eastAsia="zh-CN"/>
        </w:rPr>
        <w:t>项目所在地水文地质图</w:t>
      </w:r>
    </w:p>
    <w:p w14:paraId="5DBAD2DD"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4 </w:t>
      </w:r>
      <w:r w:rsidRPr="00092862">
        <w:rPr>
          <w:rFonts w:ascii="Times New Roman" w:hAnsi="Times New Roman"/>
          <w:color w:val="000000" w:themeColor="text1"/>
          <w:lang w:eastAsia="zh-CN"/>
        </w:rPr>
        <w:t>项目所在地生态类型图</w:t>
      </w:r>
    </w:p>
    <w:p w14:paraId="58D80112"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5 </w:t>
      </w:r>
      <w:r w:rsidRPr="00092862">
        <w:rPr>
          <w:rFonts w:ascii="Times New Roman" w:hAnsi="Times New Roman"/>
          <w:color w:val="000000" w:themeColor="text1"/>
          <w:lang w:eastAsia="zh-CN"/>
        </w:rPr>
        <w:t>项目所在地土地利用图</w:t>
      </w:r>
    </w:p>
    <w:p w14:paraId="357BBD56"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6 </w:t>
      </w:r>
      <w:r w:rsidRPr="00092862">
        <w:rPr>
          <w:rFonts w:ascii="Times New Roman" w:hAnsi="Times New Roman"/>
          <w:color w:val="000000" w:themeColor="text1"/>
          <w:lang w:eastAsia="zh-CN"/>
        </w:rPr>
        <w:t>项目所在植被类型图</w:t>
      </w:r>
    </w:p>
    <w:p w14:paraId="50207A83"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7 </w:t>
      </w:r>
      <w:r w:rsidRPr="00092862">
        <w:rPr>
          <w:rFonts w:ascii="Times New Roman" w:hAnsi="Times New Roman"/>
          <w:color w:val="000000" w:themeColor="text1"/>
          <w:lang w:eastAsia="zh-CN"/>
        </w:rPr>
        <w:t>植被覆盖度空间分布图</w:t>
      </w:r>
    </w:p>
    <w:p w14:paraId="3D968835"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8 </w:t>
      </w:r>
      <w:r w:rsidRPr="00092862">
        <w:rPr>
          <w:rFonts w:ascii="Times New Roman" w:hAnsi="Times New Roman"/>
          <w:color w:val="000000" w:themeColor="text1"/>
          <w:lang w:eastAsia="zh-CN"/>
        </w:rPr>
        <w:t>项目所在地土壤侵蚀图</w:t>
      </w:r>
    </w:p>
    <w:p w14:paraId="6610C112"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9 </w:t>
      </w:r>
      <w:r w:rsidRPr="00092862">
        <w:rPr>
          <w:rFonts w:ascii="Times New Roman" w:hAnsi="Times New Roman"/>
          <w:color w:val="000000" w:themeColor="text1"/>
          <w:lang w:eastAsia="zh-CN"/>
        </w:rPr>
        <w:t>项目所在地水系图</w:t>
      </w:r>
    </w:p>
    <w:p w14:paraId="0EF37F75"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10 </w:t>
      </w:r>
      <w:r w:rsidRPr="00092862">
        <w:rPr>
          <w:rFonts w:ascii="Times New Roman" w:hAnsi="Times New Roman"/>
          <w:color w:val="000000" w:themeColor="text1"/>
          <w:lang w:eastAsia="zh-CN"/>
        </w:rPr>
        <w:t>项目井口</w:t>
      </w:r>
      <w:r w:rsidRPr="00092862">
        <w:rPr>
          <w:rFonts w:ascii="Times New Roman" w:hAnsi="Times New Roman"/>
          <w:color w:val="000000" w:themeColor="text1"/>
          <w:lang w:eastAsia="zh-CN"/>
        </w:rPr>
        <w:t>500m</w:t>
      </w:r>
      <w:r w:rsidRPr="00092862">
        <w:rPr>
          <w:rFonts w:ascii="Times New Roman" w:hAnsi="Times New Roman"/>
          <w:color w:val="000000" w:themeColor="text1"/>
          <w:lang w:eastAsia="zh-CN"/>
        </w:rPr>
        <w:t>范围内居民分布图</w:t>
      </w:r>
    </w:p>
    <w:p w14:paraId="04976AB8"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11 </w:t>
      </w:r>
      <w:r w:rsidRPr="00092862">
        <w:rPr>
          <w:rFonts w:ascii="Times New Roman" w:hAnsi="Times New Roman"/>
          <w:color w:val="000000" w:themeColor="text1"/>
          <w:lang w:eastAsia="zh-CN"/>
        </w:rPr>
        <w:t>项目监测布点图（大气、土壤、噪声、包气带）</w:t>
      </w:r>
    </w:p>
    <w:p w14:paraId="4493D213"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12 </w:t>
      </w:r>
      <w:r w:rsidRPr="00092862">
        <w:rPr>
          <w:rFonts w:ascii="Times New Roman" w:hAnsi="Times New Roman"/>
          <w:color w:val="000000" w:themeColor="text1"/>
          <w:lang w:eastAsia="zh-CN"/>
        </w:rPr>
        <w:t>项目监测布点图（地下水）</w:t>
      </w:r>
    </w:p>
    <w:p w14:paraId="23B0399F"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13 </w:t>
      </w:r>
      <w:r w:rsidRPr="00092862">
        <w:rPr>
          <w:rFonts w:ascii="Times New Roman" w:hAnsi="Times New Roman"/>
          <w:color w:val="000000" w:themeColor="text1"/>
          <w:lang w:eastAsia="zh-CN"/>
        </w:rPr>
        <w:t>钻井工程平面布置图</w:t>
      </w:r>
    </w:p>
    <w:p w14:paraId="79B8F62F"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14 </w:t>
      </w:r>
      <w:r w:rsidRPr="00092862">
        <w:rPr>
          <w:rFonts w:ascii="Times New Roman" w:hAnsi="Times New Roman"/>
          <w:color w:val="000000" w:themeColor="text1"/>
          <w:lang w:eastAsia="zh-CN"/>
        </w:rPr>
        <w:t>钻井工程分区防渗图</w:t>
      </w:r>
    </w:p>
    <w:p w14:paraId="03137010"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15 </w:t>
      </w:r>
      <w:r w:rsidRPr="00092862">
        <w:rPr>
          <w:rFonts w:ascii="Times New Roman" w:hAnsi="Times New Roman"/>
          <w:color w:val="000000" w:themeColor="text1"/>
          <w:lang w:eastAsia="zh-CN"/>
        </w:rPr>
        <w:t>依托老君</w:t>
      </w:r>
      <w:r w:rsidRPr="00092862">
        <w:rPr>
          <w:rFonts w:ascii="Times New Roman" w:hAnsi="Times New Roman"/>
          <w:color w:val="000000" w:themeColor="text1"/>
          <w:lang w:eastAsia="zh-CN"/>
        </w:rPr>
        <w:t>701</w:t>
      </w:r>
      <w:r w:rsidRPr="00092862">
        <w:rPr>
          <w:rFonts w:ascii="Times New Roman" w:hAnsi="Times New Roman"/>
          <w:color w:val="000000" w:themeColor="text1"/>
          <w:lang w:eastAsia="zh-CN"/>
        </w:rPr>
        <w:t>集气站总平面布局图</w:t>
      </w:r>
    </w:p>
    <w:p w14:paraId="7E193261"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16 </w:t>
      </w:r>
      <w:r w:rsidRPr="00092862">
        <w:rPr>
          <w:rFonts w:ascii="Times New Roman" w:hAnsi="Times New Roman"/>
          <w:color w:val="000000" w:themeColor="text1"/>
          <w:lang w:eastAsia="zh-CN"/>
        </w:rPr>
        <w:t>陆生植被样方及动物样线调查分布图</w:t>
      </w:r>
    </w:p>
    <w:p w14:paraId="53CA4423"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17 </w:t>
      </w:r>
      <w:r w:rsidRPr="00092862">
        <w:rPr>
          <w:rFonts w:ascii="Times New Roman" w:hAnsi="Times New Roman"/>
          <w:color w:val="000000" w:themeColor="text1"/>
          <w:lang w:eastAsia="zh-CN"/>
        </w:rPr>
        <w:t>典型生态保护措施</w:t>
      </w:r>
    </w:p>
    <w:p w14:paraId="7AB054B6"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18 </w:t>
      </w:r>
      <w:r w:rsidRPr="00092862">
        <w:rPr>
          <w:rFonts w:ascii="Times New Roman" w:hAnsi="Times New Roman"/>
          <w:color w:val="000000" w:themeColor="text1"/>
          <w:lang w:eastAsia="zh-CN"/>
        </w:rPr>
        <w:t>生态监测布点图</w:t>
      </w:r>
    </w:p>
    <w:p w14:paraId="51AF51E5" w14:textId="7777777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附图</w:t>
      </w:r>
      <w:r w:rsidRPr="00092862">
        <w:rPr>
          <w:rFonts w:ascii="Times New Roman" w:hAnsi="Times New Roman"/>
          <w:color w:val="000000" w:themeColor="text1"/>
          <w:lang w:eastAsia="zh-CN"/>
        </w:rPr>
        <w:t xml:space="preserve">19 </w:t>
      </w:r>
      <w:r w:rsidRPr="00092862">
        <w:rPr>
          <w:rFonts w:ascii="Times New Roman" w:hAnsi="Times New Roman"/>
          <w:color w:val="000000" w:themeColor="text1"/>
          <w:lang w:eastAsia="zh-CN"/>
        </w:rPr>
        <w:t>重点保护野生动物分布图</w:t>
      </w:r>
    </w:p>
    <w:p w14:paraId="4870EF46" w14:textId="77777777" w:rsidR="00C82861" w:rsidRDefault="00C82861" w:rsidP="002B5835">
      <w:pPr>
        <w:pStyle w:val="ac"/>
        <w:adjustRightInd w:val="0"/>
        <w:snapToGrid w:val="0"/>
        <w:spacing w:before="0" w:line="360" w:lineRule="auto"/>
        <w:ind w:left="0" w:firstLineChars="200" w:firstLine="480"/>
        <w:rPr>
          <w:rFonts w:ascii="Times New Roman" w:eastAsia="黑体" w:hAnsi="Times New Roman"/>
          <w:color w:val="000000" w:themeColor="text1"/>
          <w:lang w:eastAsia="zh-CN"/>
        </w:rPr>
      </w:pPr>
    </w:p>
    <w:p w14:paraId="7E1EFFE2" w14:textId="360DBF4E" w:rsidR="002B5835" w:rsidRPr="00092862" w:rsidRDefault="002B5835" w:rsidP="002B5835">
      <w:pPr>
        <w:pStyle w:val="ac"/>
        <w:adjustRightInd w:val="0"/>
        <w:snapToGrid w:val="0"/>
        <w:spacing w:before="0" w:line="360" w:lineRule="auto"/>
        <w:ind w:left="0" w:firstLineChars="200" w:firstLine="480"/>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lastRenderedPageBreak/>
        <w:t>附件</w:t>
      </w:r>
    </w:p>
    <w:p w14:paraId="2F66B688" w14:textId="17B6D561" w:rsidR="002B5835" w:rsidRPr="00092862" w:rsidRDefault="002B5835"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附件</w:t>
      </w:r>
      <w:r w:rsidRPr="00092862">
        <w:rPr>
          <w:rFonts w:ascii="Times New Roman" w:hAnsi="Times New Roman"/>
          <w:color w:val="000000" w:themeColor="text1"/>
          <w:lang w:eastAsia="zh-CN"/>
        </w:rPr>
        <w:t xml:space="preserve">1 </w:t>
      </w:r>
      <w:r w:rsidRPr="00092862">
        <w:rPr>
          <w:rFonts w:ascii="Times New Roman" w:hAnsi="Times New Roman"/>
          <w:color w:val="000000" w:themeColor="text1"/>
          <w:lang w:eastAsia="zh-CN"/>
        </w:rPr>
        <w:t>项目委托书</w:t>
      </w:r>
    </w:p>
    <w:p w14:paraId="5BB571DC" w14:textId="5ADDE02F"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2 </w:t>
      </w:r>
      <w:r w:rsidRPr="00092862">
        <w:rPr>
          <w:rFonts w:ascii="Times New Roman" w:hAnsi="Times New Roman"/>
          <w:color w:val="000000" w:themeColor="text1"/>
          <w:lang w:eastAsia="zh-CN"/>
        </w:rPr>
        <w:t>中原油分投资〔</w:t>
      </w:r>
      <w:r w:rsidRPr="00092862">
        <w:rPr>
          <w:rFonts w:ascii="Times New Roman" w:hAnsi="Times New Roman"/>
          <w:color w:val="000000" w:themeColor="text1"/>
          <w:lang w:eastAsia="zh-CN"/>
        </w:rPr>
        <w:t>2022</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223</w:t>
      </w:r>
      <w:r w:rsidRPr="00092862">
        <w:rPr>
          <w:rFonts w:ascii="Times New Roman" w:hAnsi="Times New Roman"/>
          <w:color w:val="000000" w:themeColor="text1"/>
          <w:lang w:eastAsia="zh-CN"/>
        </w:rPr>
        <w:t>号</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关于</w:t>
      </w:r>
      <w:r w:rsidRPr="00092862">
        <w:rPr>
          <w:rFonts w:ascii="Times New Roman" w:hAnsi="Times New Roman"/>
          <w:color w:val="000000" w:themeColor="text1"/>
          <w:lang w:eastAsia="zh-CN"/>
        </w:rPr>
        <w:t>2023</w:t>
      </w:r>
      <w:r w:rsidRPr="00092862">
        <w:rPr>
          <w:rFonts w:ascii="Times New Roman" w:hAnsi="Times New Roman"/>
          <w:color w:val="000000" w:themeColor="text1"/>
          <w:lang w:eastAsia="zh-CN"/>
        </w:rPr>
        <w:t>年老君</w:t>
      </w:r>
      <w:r w:rsidRPr="00092862">
        <w:rPr>
          <w:rFonts w:ascii="Times New Roman" w:hAnsi="Times New Roman"/>
          <w:color w:val="000000" w:themeColor="text1"/>
          <w:lang w:eastAsia="zh-CN"/>
        </w:rPr>
        <w:t>7011</w:t>
      </w:r>
      <w:r w:rsidRPr="00092862">
        <w:rPr>
          <w:rFonts w:ascii="Times New Roman" w:hAnsi="Times New Roman"/>
          <w:color w:val="000000" w:themeColor="text1"/>
          <w:lang w:eastAsia="zh-CN"/>
        </w:rPr>
        <w:t>井台钻井及试采工程项目可研报告批复</w:t>
      </w:r>
    </w:p>
    <w:p w14:paraId="36D5FF98" w14:textId="3CF34546" w:rsidR="002B5835" w:rsidRPr="00092862" w:rsidRDefault="002B5835"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附件</w:t>
      </w:r>
      <w:r w:rsidR="009D278E"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普光气田原国家环保总局环评批复文件</w:t>
      </w:r>
    </w:p>
    <w:p w14:paraId="0E767662" w14:textId="7E45AD9A" w:rsidR="002B5835" w:rsidRPr="00092862" w:rsidRDefault="002B5835"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附件</w:t>
      </w:r>
      <w:r w:rsidR="009D278E" w:rsidRPr="00092862">
        <w:rPr>
          <w:rFonts w:ascii="Times New Roman" w:hAnsi="Times New Roman"/>
          <w:color w:val="000000" w:themeColor="text1"/>
          <w:lang w:eastAsia="zh-CN"/>
        </w:rPr>
        <w:t>4</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关于中国石化普光气田开发及川气东送管道工程竣工环境保护验收意见的函</w:t>
      </w:r>
    </w:p>
    <w:p w14:paraId="125B3BF8" w14:textId="6142F35D"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5 </w:t>
      </w:r>
      <w:r w:rsidRPr="00092862">
        <w:rPr>
          <w:rFonts w:ascii="Times New Roman" w:hAnsi="Times New Roman"/>
          <w:color w:val="000000" w:themeColor="text1"/>
          <w:lang w:eastAsia="zh-CN"/>
        </w:rPr>
        <w:t>赵家污水处理站环评批复</w:t>
      </w:r>
    </w:p>
    <w:p w14:paraId="607F2D78" w14:textId="63A52662"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6 </w:t>
      </w:r>
      <w:r w:rsidRPr="00092862">
        <w:rPr>
          <w:rFonts w:ascii="Times New Roman" w:hAnsi="Times New Roman"/>
          <w:color w:val="000000" w:themeColor="text1"/>
          <w:lang w:eastAsia="zh-CN"/>
        </w:rPr>
        <w:t>赵家污水处理站验收批复</w:t>
      </w:r>
    </w:p>
    <w:p w14:paraId="2BD113A0" w14:textId="1F50D137"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7 </w:t>
      </w:r>
      <w:r w:rsidRPr="00092862">
        <w:rPr>
          <w:rFonts w:ascii="Times New Roman" w:hAnsi="Times New Roman"/>
          <w:color w:val="000000" w:themeColor="text1"/>
          <w:lang w:eastAsia="zh-CN"/>
        </w:rPr>
        <w:t>普光</w:t>
      </w:r>
      <w:r w:rsidRPr="00092862">
        <w:rPr>
          <w:rFonts w:ascii="Times New Roman" w:hAnsi="Times New Roman"/>
          <w:color w:val="000000" w:themeColor="text1"/>
          <w:lang w:eastAsia="zh-CN"/>
        </w:rPr>
        <w:t>11</w:t>
      </w:r>
      <w:r w:rsidRPr="00092862">
        <w:rPr>
          <w:rFonts w:ascii="Times New Roman" w:hAnsi="Times New Roman"/>
          <w:color w:val="000000" w:themeColor="text1"/>
          <w:lang w:eastAsia="zh-CN"/>
        </w:rPr>
        <w:t>井回注站环境影响报告表的批复</w:t>
      </w:r>
    </w:p>
    <w:p w14:paraId="5E7AE2BF" w14:textId="60944E20"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8 </w:t>
      </w:r>
      <w:r w:rsidRPr="00092862">
        <w:rPr>
          <w:rFonts w:ascii="Times New Roman" w:hAnsi="Times New Roman"/>
          <w:color w:val="000000" w:themeColor="text1"/>
          <w:lang w:eastAsia="zh-CN"/>
        </w:rPr>
        <w:t>普光</w:t>
      </w:r>
      <w:r w:rsidRPr="00092862">
        <w:rPr>
          <w:rFonts w:ascii="Times New Roman" w:hAnsi="Times New Roman"/>
          <w:color w:val="000000" w:themeColor="text1"/>
          <w:lang w:eastAsia="zh-CN"/>
        </w:rPr>
        <w:t>11</w:t>
      </w:r>
      <w:r w:rsidRPr="00092862">
        <w:rPr>
          <w:rFonts w:ascii="Times New Roman" w:hAnsi="Times New Roman"/>
          <w:color w:val="000000" w:themeColor="text1"/>
          <w:lang w:eastAsia="zh-CN"/>
        </w:rPr>
        <w:t>井回注站竣工环境保护验收调查批复</w:t>
      </w:r>
    </w:p>
    <w:p w14:paraId="3485FE9D" w14:textId="657EE900"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hint="eastAsia"/>
          <w:color w:val="000000" w:themeColor="text1"/>
          <w:lang w:eastAsia="zh-CN"/>
        </w:rPr>
        <w:t>9</w:t>
      </w:r>
      <w:r w:rsidRPr="00092862">
        <w:rPr>
          <w:rFonts w:ascii="Times New Roman" w:hAnsi="Times New Roman"/>
          <w:color w:val="000000" w:themeColor="text1"/>
          <w:lang w:eastAsia="zh-CN"/>
        </w:rPr>
        <w:t xml:space="preserve"> </w:t>
      </w:r>
      <w:r w:rsidRPr="00092862">
        <w:rPr>
          <w:rFonts w:ascii="Times New Roman" w:hAnsi="Times New Roman"/>
          <w:color w:val="000000" w:themeColor="text1"/>
          <w:lang w:eastAsia="zh-CN"/>
        </w:rPr>
        <w:t>普光气田老君</w:t>
      </w:r>
      <w:r w:rsidRPr="00092862">
        <w:rPr>
          <w:rFonts w:ascii="Times New Roman" w:hAnsi="Times New Roman"/>
          <w:color w:val="000000" w:themeColor="text1"/>
          <w:lang w:eastAsia="zh-CN"/>
        </w:rPr>
        <w:t xml:space="preserve"> 701 </w:t>
      </w:r>
      <w:r w:rsidRPr="00092862">
        <w:rPr>
          <w:rFonts w:ascii="Times New Roman" w:hAnsi="Times New Roman"/>
          <w:color w:val="000000" w:themeColor="text1"/>
          <w:lang w:eastAsia="zh-CN"/>
        </w:rPr>
        <w:t>井台产能建设项目环境影响报告书</w:t>
      </w:r>
      <w:r w:rsidRPr="00092862">
        <w:rPr>
          <w:rFonts w:ascii="Times New Roman" w:hAnsi="Times New Roman" w:hint="eastAsia"/>
          <w:color w:val="000000" w:themeColor="text1"/>
          <w:lang w:eastAsia="zh-CN"/>
        </w:rPr>
        <w:t>的批复</w:t>
      </w:r>
    </w:p>
    <w:p w14:paraId="3BC9F071" w14:textId="1C4D6461"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hint="eastAsia"/>
          <w:color w:val="000000" w:themeColor="text1"/>
          <w:lang w:eastAsia="zh-CN"/>
        </w:rPr>
        <w:t>10</w:t>
      </w:r>
      <w:r w:rsidRPr="00092862">
        <w:rPr>
          <w:rFonts w:ascii="Times New Roman" w:hAnsi="Times New Roman"/>
          <w:color w:val="000000" w:themeColor="text1"/>
          <w:lang w:eastAsia="zh-CN"/>
        </w:rPr>
        <w:t xml:space="preserve"> L701-3H </w:t>
      </w:r>
      <w:r w:rsidRPr="00092862">
        <w:rPr>
          <w:rFonts w:ascii="Times New Roman" w:hAnsi="Times New Roman"/>
          <w:color w:val="000000" w:themeColor="text1"/>
          <w:lang w:eastAsia="zh-CN"/>
        </w:rPr>
        <w:t>钻井工程环境影响报告表</w:t>
      </w:r>
      <w:r w:rsidR="00AB0F91" w:rsidRPr="00092862">
        <w:rPr>
          <w:rFonts w:ascii="Times New Roman" w:hAnsi="Times New Roman" w:hint="eastAsia"/>
          <w:color w:val="000000" w:themeColor="text1"/>
          <w:lang w:eastAsia="zh-CN"/>
        </w:rPr>
        <w:t>的批复</w:t>
      </w:r>
    </w:p>
    <w:p w14:paraId="060437B8" w14:textId="5376AD39"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11 </w:t>
      </w:r>
      <w:r w:rsidRPr="00092862">
        <w:rPr>
          <w:rFonts w:ascii="Times New Roman" w:hAnsi="Times New Roman"/>
          <w:color w:val="000000" w:themeColor="text1"/>
          <w:lang w:eastAsia="zh-CN"/>
        </w:rPr>
        <w:t>普光分公司危险化学品与危险废物贮存改造工程环评批复</w:t>
      </w:r>
    </w:p>
    <w:p w14:paraId="7623AEE1" w14:textId="4F850FED"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12 </w:t>
      </w:r>
      <w:r w:rsidRPr="00092862">
        <w:rPr>
          <w:rFonts w:ascii="Times New Roman" w:hAnsi="Times New Roman"/>
          <w:color w:val="000000" w:themeColor="text1"/>
          <w:lang w:eastAsia="zh-CN"/>
        </w:rPr>
        <w:t>普光分公司危险化学品与危险废物贮存改造工程竣工环境保护验收公示</w:t>
      </w:r>
    </w:p>
    <w:p w14:paraId="3EC0E145" w14:textId="2AC6D93A"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13 </w:t>
      </w:r>
      <w:r w:rsidRPr="00092862">
        <w:rPr>
          <w:rFonts w:ascii="Times New Roman" w:hAnsi="Times New Roman"/>
          <w:color w:val="000000" w:themeColor="text1"/>
          <w:lang w:eastAsia="zh-CN"/>
        </w:rPr>
        <w:t>普光分公司和合资公司应急预案备案表</w:t>
      </w:r>
    </w:p>
    <w:p w14:paraId="553D4EC3" w14:textId="18B25A4F"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14 </w:t>
      </w:r>
      <w:r w:rsidRPr="00092862">
        <w:rPr>
          <w:rFonts w:ascii="Times New Roman" w:hAnsi="Times New Roman"/>
          <w:color w:val="000000" w:themeColor="text1"/>
          <w:lang w:eastAsia="zh-CN"/>
        </w:rPr>
        <w:t>达市府函〔</w:t>
      </w:r>
      <w:r w:rsidRPr="00092862">
        <w:rPr>
          <w:rFonts w:ascii="Times New Roman" w:hAnsi="Times New Roman"/>
          <w:color w:val="000000" w:themeColor="text1"/>
          <w:lang w:eastAsia="zh-CN"/>
        </w:rPr>
        <w:t>2020</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124</w:t>
      </w:r>
      <w:r w:rsidRPr="00092862">
        <w:rPr>
          <w:rFonts w:ascii="Times New Roman" w:hAnsi="Times New Roman"/>
          <w:color w:val="000000" w:themeColor="text1"/>
          <w:lang w:eastAsia="zh-CN"/>
        </w:rPr>
        <w:t>号关于划定万源市、宣汉县和大竹县乡镇及以下集中式饮用水水源地保护区的批复</w:t>
      </w:r>
    </w:p>
    <w:p w14:paraId="1CEFE910" w14:textId="3D281146"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15 </w:t>
      </w:r>
      <w:r w:rsidRPr="00092862">
        <w:rPr>
          <w:rFonts w:ascii="Times New Roman" w:hAnsi="Times New Roman"/>
          <w:color w:val="000000" w:themeColor="text1"/>
          <w:lang w:eastAsia="zh-CN"/>
        </w:rPr>
        <w:t>监测报告</w:t>
      </w:r>
      <w:r w:rsidRPr="00092862">
        <w:rPr>
          <w:rFonts w:ascii="Times New Roman" w:hAnsi="Times New Roman"/>
          <w:color w:val="000000" w:themeColor="text1"/>
          <w:lang w:eastAsia="zh-CN"/>
        </w:rPr>
        <w:t>-202211097-1</w:t>
      </w:r>
      <w:r w:rsidRPr="00092862">
        <w:rPr>
          <w:rFonts w:ascii="Times New Roman" w:hAnsi="Times New Roman"/>
          <w:color w:val="000000" w:themeColor="text1"/>
          <w:lang w:eastAsia="zh-CN"/>
        </w:rPr>
        <w:t>老君</w:t>
      </w:r>
      <w:r w:rsidRPr="00092862">
        <w:rPr>
          <w:rFonts w:ascii="Times New Roman" w:hAnsi="Times New Roman"/>
          <w:color w:val="000000" w:themeColor="text1"/>
          <w:lang w:eastAsia="zh-CN"/>
        </w:rPr>
        <w:t>7011</w:t>
      </w:r>
      <w:r w:rsidRPr="00092862">
        <w:rPr>
          <w:rFonts w:ascii="Times New Roman" w:hAnsi="Times New Roman"/>
          <w:color w:val="000000" w:themeColor="text1"/>
          <w:lang w:eastAsia="zh-CN"/>
        </w:rPr>
        <w:t>井台钻井及试采工程</w:t>
      </w:r>
    </w:p>
    <w:p w14:paraId="5D02FF2A" w14:textId="590341E3"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16-</w:t>
      </w:r>
      <w:r w:rsidRPr="00092862">
        <w:rPr>
          <w:rFonts w:ascii="Times New Roman" w:hAnsi="Times New Roman"/>
          <w:color w:val="000000" w:themeColor="text1"/>
          <w:lang w:eastAsia="zh-CN"/>
        </w:rPr>
        <w:t>监测报告</w:t>
      </w:r>
      <w:r w:rsidRPr="00092862">
        <w:rPr>
          <w:rFonts w:ascii="Times New Roman" w:hAnsi="Times New Roman"/>
          <w:color w:val="000000" w:themeColor="text1"/>
          <w:lang w:eastAsia="zh-CN"/>
        </w:rPr>
        <w:t>202211097-2</w:t>
      </w:r>
      <w:r w:rsidRPr="00092862">
        <w:rPr>
          <w:rFonts w:ascii="Times New Roman" w:hAnsi="Times New Roman"/>
          <w:color w:val="000000" w:themeColor="text1"/>
          <w:lang w:eastAsia="zh-CN"/>
        </w:rPr>
        <w:t>老君</w:t>
      </w:r>
      <w:r w:rsidRPr="00092862">
        <w:rPr>
          <w:rFonts w:ascii="Times New Roman" w:hAnsi="Times New Roman"/>
          <w:color w:val="000000" w:themeColor="text1"/>
          <w:lang w:eastAsia="zh-CN"/>
        </w:rPr>
        <w:t>7011</w:t>
      </w:r>
      <w:r w:rsidRPr="00092862">
        <w:rPr>
          <w:rFonts w:ascii="Times New Roman" w:hAnsi="Times New Roman"/>
          <w:color w:val="000000" w:themeColor="text1"/>
          <w:lang w:eastAsia="zh-CN"/>
        </w:rPr>
        <w:t>井台钻井及试采工程</w:t>
      </w:r>
    </w:p>
    <w:p w14:paraId="6D0386FE" w14:textId="0F74F988"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17 -</w:t>
      </w:r>
      <w:r w:rsidRPr="00092862">
        <w:rPr>
          <w:rFonts w:ascii="Times New Roman" w:hAnsi="Times New Roman"/>
          <w:color w:val="000000" w:themeColor="text1"/>
          <w:lang w:eastAsia="zh-CN"/>
        </w:rPr>
        <w:t>分包监测</w:t>
      </w:r>
      <w:r w:rsidRPr="00092862">
        <w:rPr>
          <w:rFonts w:ascii="Times New Roman" w:hAnsi="Times New Roman"/>
          <w:color w:val="000000" w:themeColor="text1"/>
          <w:lang w:eastAsia="zh-CN"/>
        </w:rPr>
        <w:t>-SJ105</w:t>
      </w:r>
      <w:r w:rsidRPr="00092862">
        <w:rPr>
          <w:rFonts w:ascii="Times New Roman" w:hAnsi="Times New Roman"/>
          <w:color w:val="000000" w:themeColor="text1"/>
          <w:lang w:eastAsia="zh-CN"/>
        </w:rPr>
        <w:t>老君</w:t>
      </w:r>
      <w:r w:rsidRPr="00092862">
        <w:rPr>
          <w:rFonts w:ascii="Times New Roman" w:hAnsi="Times New Roman"/>
          <w:color w:val="000000" w:themeColor="text1"/>
          <w:lang w:eastAsia="zh-CN"/>
        </w:rPr>
        <w:t>7011</w:t>
      </w:r>
      <w:r w:rsidRPr="00092862">
        <w:rPr>
          <w:rFonts w:ascii="Times New Roman" w:hAnsi="Times New Roman"/>
          <w:color w:val="000000" w:themeColor="text1"/>
          <w:lang w:eastAsia="zh-CN"/>
        </w:rPr>
        <w:t>井台钻井及试采工程</w:t>
      </w:r>
    </w:p>
    <w:p w14:paraId="37B37A36" w14:textId="7CB71FD5"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18-</w:t>
      </w:r>
      <w:r w:rsidRPr="00092862">
        <w:rPr>
          <w:rFonts w:ascii="Times New Roman" w:hAnsi="Times New Roman"/>
          <w:color w:val="000000" w:themeColor="text1"/>
          <w:lang w:eastAsia="zh-CN"/>
        </w:rPr>
        <w:t>分包监测</w:t>
      </w:r>
      <w:r w:rsidRPr="00092862">
        <w:rPr>
          <w:rFonts w:ascii="Times New Roman" w:hAnsi="Times New Roman"/>
          <w:color w:val="000000" w:themeColor="text1"/>
          <w:lang w:eastAsia="zh-CN"/>
        </w:rPr>
        <w:t>J106</w:t>
      </w:r>
      <w:r w:rsidRPr="00092862">
        <w:rPr>
          <w:rFonts w:ascii="Times New Roman" w:hAnsi="Times New Roman"/>
          <w:color w:val="000000" w:themeColor="text1"/>
          <w:lang w:eastAsia="zh-CN"/>
        </w:rPr>
        <w:t>老君</w:t>
      </w:r>
      <w:r w:rsidRPr="00092862">
        <w:rPr>
          <w:rFonts w:ascii="Times New Roman" w:hAnsi="Times New Roman"/>
          <w:color w:val="000000" w:themeColor="text1"/>
          <w:lang w:eastAsia="zh-CN"/>
        </w:rPr>
        <w:t>7011</w:t>
      </w:r>
      <w:r w:rsidRPr="00092862">
        <w:rPr>
          <w:rFonts w:ascii="Times New Roman" w:hAnsi="Times New Roman"/>
          <w:color w:val="000000" w:themeColor="text1"/>
          <w:lang w:eastAsia="zh-CN"/>
        </w:rPr>
        <w:t>井台钻井及试采工程</w:t>
      </w:r>
    </w:p>
    <w:p w14:paraId="4E186CB9" w14:textId="4A590D09" w:rsidR="00C65278" w:rsidRPr="00092862" w:rsidRDefault="00C65278" w:rsidP="002B5835">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hint="eastAsia"/>
          <w:color w:val="000000" w:themeColor="text1"/>
          <w:lang w:eastAsia="zh-CN"/>
        </w:rPr>
        <w:t>附件</w:t>
      </w:r>
      <w:r w:rsidRPr="00092862">
        <w:rPr>
          <w:rFonts w:ascii="Times New Roman" w:hAnsi="Times New Roman"/>
          <w:color w:val="000000" w:themeColor="text1"/>
          <w:lang w:eastAsia="zh-CN"/>
        </w:rPr>
        <w:t xml:space="preserve">19 </w:t>
      </w:r>
      <w:r w:rsidRPr="00092862">
        <w:rPr>
          <w:rFonts w:ascii="Times New Roman" w:hAnsi="Times New Roman"/>
          <w:color w:val="000000" w:themeColor="text1"/>
          <w:lang w:eastAsia="zh-CN"/>
        </w:rPr>
        <w:t>水土流失区划文件</w:t>
      </w:r>
    </w:p>
    <w:p w14:paraId="0A1DC942" w14:textId="77777777" w:rsidR="00F70006" w:rsidRPr="00092862" w:rsidRDefault="00F70006" w:rsidP="00837C2A">
      <w:pPr>
        <w:pStyle w:val="ac"/>
        <w:adjustRightInd w:val="0"/>
        <w:snapToGrid w:val="0"/>
        <w:spacing w:before="0" w:line="360" w:lineRule="auto"/>
        <w:ind w:left="0" w:firstLineChars="200" w:firstLine="480"/>
        <w:rPr>
          <w:rFonts w:ascii="Times New Roman" w:hAnsi="Times New Roman"/>
          <w:color w:val="000000" w:themeColor="text1"/>
          <w:lang w:eastAsia="zh-CN"/>
        </w:rPr>
      </w:pPr>
    </w:p>
    <w:bookmarkEnd w:id="2"/>
    <w:bookmarkEnd w:id="3"/>
    <w:p w14:paraId="5F07E213" w14:textId="77777777" w:rsidR="00DC446C" w:rsidRPr="00092862" w:rsidRDefault="00DC446C" w:rsidP="003D2EEB">
      <w:pPr>
        <w:adjustRightInd w:val="0"/>
        <w:snapToGrid w:val="0"/>
        <w:spacing w:line="360" w:lineRule="auto"/>
        <w:ind w:firstLineChars="200" w:firstLine="420"/>
        <w:rPr>
          <w:rFonts w:ascii="Times New Roman" w:hAnsi="Times New Roman" w:cs="Times New Roman"/>
          <w:color w:val="000000" w:themeColor="text1"/>
        </w:rPr>
        <w:sectPr w:rsidR="00DC446C" w:rsidRPr="00092862" w:rsidSect="006C1E5A">
          <w:footerReference w:type="default" r:id="rId10"/>
          <w:type w:val="nextColumn"/>
          <w:pgSz w:w="11910" w:h="16840"/>
          <w:pgMar w:top="1440" w:right="1800" w:bottom="1440" w:left="1800" w:header="877" w:footer="1007" w:gutter="0"/>
          <w:cols w:space="720"/>
        </w:sectPr>
      </w:pPr>
    </w:p>
    <w:p w14:paraId="4C78E910" w14:textId="77777777" w:rsidR="00DC446C" w:rsidRPr="00092862" w:rsidRDefault="00DC446C" w:rsidP="003D2EEB">
      <w:pPr>
        <w:adjustRightInd w:val="0"/>
        <w:snapToGrid w:val="0"/>
        <w:spacing w:line="360" w:lineRule="auto"/>
        <w:ind w:firstLineChars="200" w:firstLine="40"/>
        <w:rPr>
          <w:rFonts w:ascii="Times New Roman" w:hAnsi="Times New Roman" w:cs="Times New Roman"/>
          <w:color w:val="000000" w:themeColor="text1"/>
          <w:sz w:val="2"/>
          <w:szCs w:val="2"/>
        </w:rPr>
      </w:pPr>
    </w:p>
    <w:p w14:paraId="5591F5CF" w14:textId="77777777" w:rsidR="00DC446C" w:rsidRPr="00092862" w:rsidRDefault="00DC446C" w:rsidP="003D2EEB">
      <w:pPr>
        <w:adjustRightInd w:val="0"/>
        <w:snapToGrid w:val="0"/>
        <w:spacing w:line="360" w:lineRule="auto"/>
        <w:ind w:firstLineChars="200" w:firstLine="40"/>
        <w:rPr>
          <w:rFonts w:ascii="Times New Roman" w:hAnsi="Times New Roman" w:cs="Times New Roman"/>
          <w:color w:val="000000" w:themeColor="text1"/>
          <w:sz w:val="2"/>
          <w:szCs w:val="2"/>
        </w:rPr>
      </w:pPr>
    </w:p>
    <w:p w14:paraId="5B8FEEB9" w14:textId="77777777" w:rsidR="00DC446C" w:rsidRPr="00092862" w:rsidRDefault="003B1968"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4" w:name="_Toc123682512"/>
      <w:r w:rsidRPr="00092862">
        <w:rPr>
          <w:rFonts w:ascii="Times New Roman" w:eastAsia="黑体" w:hAnsi="Times New Roman"/>
          <w:b w:val="0"/>
          <w:color w:val="000000" w:themeColor="text1"/>
          <w:sz w:val="28"/>
          <w:szCs w:val="28"/>
          <w:lang w:eastAsia="zh-CN"/>
        </w:rPr>
        <w:t>1</w:t>
      </w:r>
      <w:r w:rsidRPr="00092862">
        <w:rPr>
          <w:rFonts w:ascii="Times New Roman" w:eastAsia="黑体" w:hAnsi="Times New Roman"/>
          <w:b w:val="0"/>
          <w:color w:val="000000" w:themeColor="text1"/>
          <w:sz w:val="28"/>
          <w:szCs w:val="28"/>
          <w:lang w:eastAsia="zh-CN"/>
        </w:rPr>
        <w:t>、概述</w:t>
      </w:r>
      <w:bookmarkEnd w:id="4"/>
    </w:p>
    <w:p w14:paraId="3BC617F5" w14:textId="77777777" w:rsidR="00DC446C" w:rsidRPr="00092862" w:rsidRDefault="003B1968" w:rsidP="003D2EEB">
      <w:pPr>
        <w:pStyle w:val="2"/>
        <w:ind w:firstLine="480"/>
        <w:rPr>
          <w:color w:val="000000" w:themeColor="text1"/>
          <w:lang w:eastAsia="zh-CN"/>
        </w:rPr>
      </w:pPr>
      <w:bookmarkStart w:id="5" w:name="_Toc123682513"/>
      <w:r w:rsidRPr="00092862">
        <w:rPr>
          <w:color w:val="000000" w:themeColor="text1"/>
          <w:lang w:eastAsia="zh-CN"/>
        </w:rPr>
        <w:t>1.1</w:t>
      </w:r>
      <w:r w:rsidRPr="00092862">
        <w:rPr>
          <w:color w:val="000000" w:themeColor="text1"/>
          <w:lang w:eastAsia="zh-CN"/>
        </w:rPr>
        <w:t>项目</w:t>
      </w:r>
      <w:r w:rsidR="00DB483E" w:rsidRPr="00092862">
        <w:rPr>
          <w:color w:val="000000" w:themeColor="text1"/>
          <w:lang w:eastAsia="zh-CN"/>
        </w:rPr>
        <w:t>背景</w:t>
      </w:r>
      <w:bookmarkEnd w:id="5"/>
    </w:p>
    <w:p w14:paraId="09F38BA4" w14:textId="77777777" w:rsidR="00215953" w:rsidRPr="00092862" w:rsidRDefault="00215953" w:rsidP="00215953">
      <w:pPr>
        <w:pStyle w:val="0"/>
        <w:rPr>
          <w:color w:val="000000" w:themeColor="text1"/>
        </w:rPr>
      </w:pPr>
      <w:bookmarkStart w:id="6" w:name="_Hlk80477079"/>
      <w:bookmarkStart w:id="7" w:name="_Hlk89782517"/>
      <w:r w:rsidRPr="00092862">
        <w:rPr>
          <w:color w:val="000000" w:themeColor="text1"/>
        </w:rPr>
        <w:t>普光气田老君区块位于四川省宣汉县老君乡境内，老君构造位置属四川盆地川东褶皱带老君山</w:t>
      </w:r>
      <w:r w:rsidRPr="00092862">
        <w:rPr>
          <w:color w:val="000000" w:themeColor="text1"/>
        </w:rPr>
        <w:t>NW</w:t>
      </w:r>
      <w:r w:rsidRPr="00092862">
        <w:rPr>
          <w:color w:val="000000" w:themeColor="text1"/>
        </w:rPr>
        <w:t>向构造，位于川东褶皱带东北段普光</w:t>
      </w:r>
      <w:r w:rsidRPr="00092862">
        <w:rPr>
          <w:color w:val="000000" w:themeColor="text1"/>
        </w:rPr>
        <w:t>-</w:t>
      </w:r>
      <w:r w:rsidRPr="00092862">
        <w:rPr>
          <w:color w:val="000000" w:themeColor="text1"/>
        </w:rPr>
        <w:t>双石构造带东侧，西接普光主体，南邻清溪场构造。整体上，该构造受老君山南断层控制，为一短轴状低缓背斜构造；西翼与普光构造</w:t>
      </w:r>
      <w:r w:rsidRPr="00092862">
        <w:rPr>
          <w:color w:val="000000" w:themeColor="text1"/>
        </w:rPr>
        <w:t>-</w:t>
      </w:r>
      <w:r w:rsidRPr="00092862">
        <w:rPr>
          <w:color w:val="000000" w:themeColor="text1"/>
        </w:rPr>
        <w:t>岩性复合圈闭鞍部相接，东翼过矿权线与中石油区块七里北构造相连。该构造主要受晚喜山期北东向大巴山挤压活动控制。</w:t>
      </w:r>
    </w:p>
    <w:p w14:paraId="11AFDAE0" w14:textId="28CE4892" w:rsidR="00215953" w:rsidRPr="00092862" w:rsidRDefault="00215953" w:rsidP="006E53D9">
      <w:pPr>
        <w:pStyle w:val="0"/>
        <w:adjustRightInd w:val="0"/>
        <w:snapToGrid w:val="0"/>
        <w:ind w:firstLine="482"/>
        <w:jc w:val="left"/>
        <w:rPr>
          <w:b/>
          <w:bCs/>
          <w:color w:val="000000" w:themeColor="text1"/>
        </w:rPr>
      </w:pPr>
      <w:r w:rsidRPr="00092862">
        <w:rPr>
          <w:b/>
          <w:bCs/>
          <w:color w:val="000000" w:themeColor="text1"/>
        </w:rPr>
        <w:t>由于老君区块已完钻井数量较少，为了研究老君构造区</w:t>
      </w:r>
      <w:r w:rsidR="007A02DD">
        <w:rPr>
          <w:b/>
          <w:bCs/>
          <w:color w:val="000000" w:themeColor="text1"/>
        </w:rPr>
        <w:t>****</w:t>
      </w:r>
      <w:r w:rsidRPr="00092862">
        <w:rPr>
          <w:b/>
          <w:bCs/>
          <w:color w:val="000000" w:themeColor="text1"/>
        </w:rPr>
        <w:t>飞一二段底部储层的气水关系问题，同时为了利用叠前地震信息进行含气性检测，明确老君构造区的气水关系。</w:t>
      </w:r>
      <w:bookmarkStart w:id="8" w:name="OLE_LINK262"/>
      <w:bookmarkStart w:id="9" w:name="OLE_LINK267"/>
      <w:r w:rsidRPr="00092862">
        <w:rPr>
          <w:b/>
          <w:bCs/>
          <w:color w:val="000000" w:themeColor="text1"/>
        </w:rPr>
        <w:t>中国石油化工股份有限公司中原油田普光分公司拟实施建设老君</w:t>
      </w:r>
      <w:r w:rsidRPr="00092862">
        <w:rPr>
          <w:b/>
          <w:bCs/>
          <w:color w:val="000000" w:themeColor="text1"/>
        </w:rPr>
        <w:t>7011</w:t>
      </w:r>
      <w:r w:rsidRPr="00092862">
        <w:rPr>
          <w:b/>
          <w:bCs/>
          <w:color w:val="000000" w:themeColor="text1"/>
        </w:rPr>
        <w:t>井台钻井及试采工程项目</w:t>
      </w:r>
      <w:bookmarkEnd w:id="8"/>
      <w:bookmarkEnd w:id="9"/>
      <w:r w:rsidRPr="00092862">
        <w:rPr>
          <w:b/>
          <w:bCs/>
          <w:color w:val="000000" w:themeColor="text1"/>
        </w:rPr>
        <w:t>（在老君区块共部署两口试验性探井</w:t>
      </w:r>
      <w:bookmarkStart w:id="10" w:name="_Hlk121084559"/>
      <w:r w:rsidRPr="00092862">
        <w:rPr>
          <w:b/>
          <w:bCs/>
          <w:color w:val="000000" w:themeColor="text1"/>
        </w:rPr>
        <w:t>老君</w:t>
      </w:r>
      <w:r w:rsidRPr="00092862">
        <w:rPr>
          <w:b/>
          <w:bCs/>
          <w:color w:val="000000" w:themeColor="text1"/>
        </w:rPr>
        <w:t>7011-4H</w:t>
      </w:r>
      <w:r w:rsidRPr="00092862">
        <w:rPr>
          <w:b/>
          <w:bCs/>
          <w:color w:val="000000" w:themeColor="text1"/>
        </w:rPr>
        <w:t>和老君</w:t>
      </w:r>
      <w:r w:rsidRPr="00092862">
        <w:rPr>
          <w:b/>
          <w:bCs/>
          <w:color w:val="000000" w:themeColor="text1"/>
        </w:rPr>
        <w:t>7011-5H</w:t>
      </w:r>
      <w:bookmarkEnd w:id="10"/>
      <w:r w:rsidRPr="00092862">
        <w:rPr>
          <w:b/>
          <w:bCs/>
          <w:color w:val="000000" w:themeColor="text1"/>
        </w:rPr>
        <w:t>）。拟通过上述两口井的实施，提高老君区块储量动用程度及试采速度，并从地层、构造、沉积、储层、含气性、气水关系、储层改造条件等多个方面开展对老君区块的深入研究。</w:t>
      </w:r>
    </w:p>
    <w:p w14:paraId="139597EC" w14:textId="226C7FC5" w:rsidR="009035A3" w:rsidRPr="00092862" w:rsidRDefault="00215953" w:rsidP="006E53D9">
      <w:pPr>
        <w:adjustRightInd w:val="0"/>
        <w:snapToGrid w:val="0"/>
        <w:spacing w:line="360" w:lineRule="auto"/>
        <w:ind w:firstLineChars="200" w:firstLine="480"/>
        <w:rPr>
          <w:rFonts w:ascii="Times New Roman"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因普光气田属于高含硫气田，其地质结构较为复杂，且目前对区域产能储量仍未探明，因此，在该区域部署探井两口进行试采，暂不具备区块开发条件。本项目试采期</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年，探明后为下一步普光主体区块开发做准备。</w:t>
      </w:r>
      <w:r w:rsidRPr="00092862">
        <w:rPr>
          <w:rFonts w:ascii="Times New Roman" w:eastAsia="宋体" w:hAnsi="Times New Roman" w:cs="Times New Roman"/>
          <w:b/>
          <w:bCs/>
          <w:color w:val="000000" w:themeColor="text1"/>
          <w:sz w:val="24"/>
          <w:szCs w:val="24"/>
        </w:rPr>
        <w:t>本项目试采期结束后，若能够满足后期普光主体区块开发需要，则现有设施设备继续服务于普光主体区块开发，并需按照区块开发相关要求另行办理区块环评手续</w:t>
      </w:r>
      <w:r w:rsidR="009035A3" w:rsidRPr="00092862">
        <w:rPr>
          <w:rFonts w:ascii="Times New Roman" w:eastAsia="宋体" w:hAnsi="Times New Roman" w:cs="Times New Roman"/>
          <w:b/>
          <w:bCs/>
          <w:color w:val="000000" w:themeColor="text1"/>
          <w:sz w:val="24"/>
          <w:szCs w:val="24"/>
        </w:rPr>
        <w:t>。</w:t>
      </w:r>
    </w:p>
    <w:p w14:paraId="42D5DB4E" w14:textId="77777777" w:rsidR="00215953" w:rsidRPr="00092862" w:rsidRDefault="00215953" w:rsidP="006E53D9">
      <w:pPr>
        <w:adjustRightInd w:val="0"/>
        <w:snapToGrid w:val="0"/>
        <w:spacing w:line="360" w:lineRule="auto"/>
        <w:ind w:firstLine="480"/>
        <w:rPr>
          <w:rFonts w:ascii="Times New Roman" w:eastAsia="宋体" w:hAnsi="Times New Roman" w:cs="Times New Roman"/>
          <w:color w:val="000000" w:themeColor="text1"/>
          <w:sz w:val="24"/>
          <w:szCs w:val="24"/>
        </w:rPr>
      </w:pPr>
      <w:bookmarkStart w:id="11" w:name="OLE_LINK248"/>
      <w:bookmarkEnd w:id="6"/>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7011</w:t>
      </w:r>
      <w:r w:rsidRPr="00092862">
        <w:rPr>
          <w:rFonts w:ascii="Times New Roman" w:eastAsia="宋体" w:hAnsi="Times New Roman" w:cs="Times New Roman"/>
          <w:color w:val="000000" w:themeColor="text1"/>
          <w:sz w:val="24"/>
          <w:szCs w:val="24"/>
        </w:rPr>
        <w:t>井台钻井及试采工程项目</w:t>
      </w:r>
      <w:bookmarkStart w:id="12" w:name="OLE_LINK300"/>
      <w:bookmarkStart w:id="13" w:name="OLE_LINK313"/>
      <w:bookmarkStart w:id="14" w:name="OLE_LINK232"/>
      <w:r w:rsidRPr="00092862">
        <w:rPr>
          <w:rFonts w:ascii="Times New Roman" w:eastAsia="宋体" w:hAnsi="Times New Roman" w:cs="Times New Roman"/>
          <w:color w:val="000000" w:themeColor="text1"/>
          <w:sz w:val="24"/>
          <w:szCs w:val="24"/>
        </w:rPr>
        <w:t>拟在老君</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井场旁边新建，具体建设内容为：</w:t>
      </w:r>
      <w:bookmarkEnd w:id="12"/>
      <w:bookmarkEnd w:id="13"/>
      <w:bookmarkEnd w:id="14"/>
    </w:p>
    <w:p w14:paraId="214B0865" w14:textId="77777777" w:rsidR="00215953" w:rsidRPr="00092862" w:rsidRDefault="00215953" w:rsidP="006E53D9">
      <w:pPr>
        <w:pStyle w:val="0"/>
        <w:adjustRightInd w:val="0"/>
        <w:snapToGrid w:val="0"/>
        <w:rPr>
          <w:color w:val="000000" w:themeColor="text1"/>
        </w:rPr>
      </w:pPr>
      <w:r w:rsidRPr="00092862">
        <w:rPr>
          <w:color w:val="000000" w:themeColor="text1"/>
        </w:rPr>
        <w:t>（</w:t>
      </w:r>
      <w:r w:rsidRPr="00092862">
        <w:rPr>
          <w:color w:val="000000" w:themeColor="text1"/>
        </w:rPr>
        <w:t>1</w:t>
      </w:r>
      <w:r w:rsidRPr="00092862">
        <w:rPr>
          <w:color w:val="000000" w:themeColor="text1"/>
        </w:rPr>
        <w:t>）钻前工程</w:t>
      </w:r>
    </w:p>
    <w:p w14:paraId="568DC1FD" w14:textId="77777777" w:rsidR="00215953" w:rsidRPr="00092862" w:rsidRDefault="00215953" w:rsidP="006E53D9">
      <w:pPr>
        <w:pStyle w:val="0"/>
        <w:adjustRightInd w:val="0"/>
        <w:snapToGrid w:val="0"/>
        <w:rPr>
          <w:color w:val="000000" w:themeColor="text1"/>
        </w:rPr>
      </w:pPr>
      <w:bookmarkStart w:id="15" w:name="OLE_LINK37"/>
      <w:bookmarkStart w:id="16" w:name="OLE_LINK90"/>
      <w:bookmarkStart w:id="17" w:name="OLE_LINK91"/>
      <w:r w:rsidRPr="00092862">
        <w:rPr>
          <w:color w:val="000000" w:themeColor="text1"/>
        </w:rPr>
        <w:t>新建井场</w:t>
      </w:r>
      <w:r w:rsidRPr="00092862">
        <w:rPr>
          <w:color w:val="000000" w:themeColor="text1"/>
        </w:rPr>
        <w:t>1</w:t>
      </w:r>
      <w:r w:rsidRPr="00092862">
        <w:rPr>
          <w:color w:val="000000" w:themeColor="text1"/>
        </w:rPr>
        <w:t>座，新建方井</w:t>
      </w:r>
      <w:r w:rsidRPr="00092862">
        <w:rPr>
          <w:color w:val="000000" w:themeColor="text1"/>
        </w:rPr>
        <w:t>2</w:t>
      </w:r>
      <w:r w:rsidRPr="00092862">
        <w:rPr>
          <w:color w:val="000000" w:themeColor="text1"/>
        </w:rPr>
        <w:t>座、井架基础</w:t>
      </w:r>
      <w:r w:rsidRPr="00092862">
        <w:rPr>
          <w:color w:val="000000" w:themeColor="text1"/>
        </w:rPr>
        <w:t>2</w:t>
      </w:r>
      <w:r w:rsidRPr="00092862">
        <w:rPr>
          <w:color w:val="000000" w:themeColor="text1"/>
        </w:rPr>
        <w:t>座、放喷池</w:t>
      </w:r>
      <w:r w:rsidRPr="00092862">
        <w:rPr>
          <w:color w:val="000000" w:themeColor="text1"/>
        </w:rPr>
        <w:t>1</w:t>
      </w:r>
      <w:r w:rsidRPr="00092862">
        <w:rPr>
          <w:color w:val="000000" w:themeColor="text1"/>
        </w:rPr>
        <w:t>座、循环罐、储备罐、泵机房等设备基础及边坡支护工程，修复利旧原老君</w:t>
      </w:r>
      <w:r w:rsidRPr="00092862">
        <w:rPr>
          <w:color w:val="000000" w:themeColor="text1"/>
        </w:rPr>
        <w:t>4</w:t>
      </w:r>
      <w:r w:rsidRPr="00092862">
        <w:rPr>
          <w:color w:val="000000" w:themeColor="text1"/>
        </w:rPr>
        <w:t>井场已建设清水池</w:t>
      </w:r>
      <w:r w:rsidRPr="00092862">
        <w:rPr>
          <w:color w:val="000000" w:themeColor="text1"/>
        </w:rPr>
        <w:t>1</w:t>
      </w:r>
      <w:r w:rsidRPr="00092862">
        <w:rPr>
          <w:color w:val="000000" w:themeColor="text1"/>
        </w:rPr>
        <w:t>座，修复利旧元老君</w:t>
      </w:r>
      <w:r w:rsidRPr="00092862">
        <w:rPr>
          <w:color w:val="000000" w:themeColor="text1"/>
        </w:rPr>
        <w:t>4</w:t>
      </w:r>
      <w:r w:rsidRPr="00092862">
        <w:rPr>
          <w:color w:val="000000" w:themeColor="text1"/>
        </w:rPr>
        <w:t>井场放喷池</w:t>
      </w:r>
      <w:r w:rsidRPr="00092862">
        <w:rPr>
          <w:color w:val="000000" w:themeColor="text1"/>
        </w:rPr>
        <w:t>1</w:t>
      </w:r>
      <w:r w:rsidRPr="00092862">
        <w:rPr>
          <w:color w:val="000000" w:themeColor="text1"/>
        </w:rPr>
        <w:t>座。</w:t>
      </w:r>
    </w:p>
    <w:p w14:paraId="1757E2B3" w14:textId="77777777" w:rsidR="00215953" w:rsidRPr="00092862" w:rsidRDefault="00215953" w:rsidP="006E53D9">
      <w:pPr>
        <w:pStyle w:val="0"/>
        <w:adjustRightInd w:val="0"/>
        <w:snapToGrid w:val="0"/>
        <w:rPr>
          <w:color w:val="000000" w:themeColor="text1"/>
        </w:rPr>
      </w:pPr>
      <w:r w:rsidRPr="00092862">
        <w:rPr>
          <w:color w:val="000000" w:themeColor="text1"/>
        </w:rPr>
        <w:t>（</w:t>
      </w:r>
      <w:r w:rsidRPr="00092862">
        <w:rPr>
          <w:color w:val="000000" w:themeColor="text1"/>
        </w:rPr>
        <w:t>2</w:t>
      </w:r>
      <w:r w:rsidRPr="00092862">
        <w:rPr>
          <w:color w:val="000000" w:themeColor="text1"/>
        </w:rPr>
        <w:t>）钻井工程</w:t>
      </w:r>
    </w:p>
    <w:p w14:paraId="21A0B410" w14:textId="147D965E" w:rsidR="00215953" w:rsidRPr="00092862" w:rsidRDefault="00215953" w:rsidP="006E53D9">
      <w:pPr>
        <w:pStyle w:val="0"/>
        <w:adjustRightInd w:val="0"/>
        <w:snapToGrid w:val="0"/>
        <w:rPr>
          <w:color w:val="000000" w:themeColor="text1"/>
        </w:rPr>
      </w:pPr>
      <w:r w:rsidRPr="00092862">
        <w:rPr>
          <w:color w:val="000000" w:themeColor="text1"/>
        </w:rPr>
        <w:t>新钻井</w:t>
      </w:r>
      <w:r w:rsidRPr="00092862">
        <w:rPr>
          <w:color w:val="000000" w:themeColor="text1"/>
        </w:rPr>
        <w:t>2</w:t>
      </w:r>
      <w:r w:rsidRPr="00092862">
        <w:rPr>
          <w:color w:val="000000" w:themeColor="text1"/>
        </w:rPr>
        <w:t>口，总进尺</w:t>
      </w:r>
      <w:r w:rsidR="007A02DD">
        <w:rPr>
          <w:color w:val="000000" w:themeColor="text1"/>
        </w:rPr>
        <w:t>****</w:t>
      </w:r>
      <w:r w:rsidRPr="00092862">
        <w:rPr>
          <w:color w:val="000000" w:themeColor="text1"/>
        </w:rPr>
        <w:t>米。其中：</w:t>
      </w:r>
      <w:r w:rsidRPr="00092862">
        <w:rPr>
          <w:color w:val="000000" w:themeColor="text1"/>
        </w:rPr>
        <w:t>L7011-4H</w:t>
      </w:r>
      <w:r w:rsidRPr="00092862">
        <w:rPr>
          <w:color w:val="000000" w:themeColor="text1"/>
        </w:rPr>
        <w:t>井目的层为</w:t>
      </w:r>
      <w:r w:rsidR="007A02DD">
        <w:rPr>
          <w:color w:val="000000" w:themeColor="text1"/>
        </w:rPr>
        <w:t>****</w:t>
      </w:r>
      <w:r w:rsidRPr="00092862">
        <w:rPr>
          <w:color w:val="000000" w:themeColor="text1"/>
        </w:rPr>
        <w:t>三段，井型</w:t>
      </w:r>
      <w:r w:rsidRPr="00092862">
        <w:rPr>
          <w:color w:val="000000" w:themeColor="text1"/>
        </w:rPr>
        <w:lastRenderedPageBreak/>
        <w:t>为水平井，套管完井，水平段长</w:t>
      </w:r>
      <w:r w:rsidRPr="00092862">
        <w:rPr>
          <w:color w:val="000000" w:themeColor="text1"/>
        </w:rPr>
        <w:t>470.53</w:t>
      </w:r>
      <w:r w:rsidRPr="00092862">
        <w:rPr>
          <w:color w:val="000000" w:themeColor="text1"/>
        </w:rPr>
        <w:t>米。采用三开井身结构：导管下深</w:t>
      </w:r>
      <w:r w:rsidRPr="00092862">
        <w:rPr>
          <w:color w:val="000000" w:themeColor="text1"/>
        </w:rPr>
        <w:t>50</w:t>
      </w:r>
      <w:r w:rsidRPr="00092862">
        <w:rPr>
          <w:color w:val="000000" w:themeColor="text1"/>
        </w:rPr>
        <w:t>米；一开钻至井深</w:t>
      </w:r>
      <w:r w:rsidRPr="00092862">
        <w:rPr>
          <w:color w:val="000000" w:themeColor="text1"/>
        </w:rPr>
        <w:t>1002</w:t>
      </w:r>
      <w:r w:rsidRPr="00092862">
        <w:rPr>
          <w:color w:val="000000" w:themeColor="text1"/>
        </w:rPr>
        <w:t>米，下</w:t>
      </w:r>
      <w:r w:rsidRPr="00092862">
        <w:rPr>
          <w:color w:val="000000" w:themeColor="text1"/>
        </w:rPr>
        <w:t>Φ346.1mm</w:t>
      </w:r>
      <w:r w:rsidRPr="00092862">
        <w:rPr>
          <w:color w:val="000000" w:themeColor="text1"/>
        </w:rPr>
        <w:t>套管；二开钻至井深</w:t>
      </w:r>
      <w:r w:rsidRPr="00092862">
        <w:rPr>
          <w:color w:val="000000" w:themeColor="text1"/>
        </w:rPr>
        <w:t>4572</w:t>
      </w:r>
      <w:r w:rsidRPr="00092862">
        <w:rPr>
          <w:color w:val="000000" w:themeColor="text1"/>
        </w:rPr>
        <w:t>米，下</w:t>
      </w:r>
      <w:r w:rsidRPr="00092862">
        <w:rPr>
          <w:color w:val="000000" w:themeColor="text1"/>
        </w:rPr>
        <w:t>Φ273.1mm</w:t>
      </w:r>
      <w:r w:rsidRPr="00092862">
        <w:rPr>
          <w:color w:val="000000" w:themeColor="text1"/>
        </w:rPr>
        <w:t>套管；三开自</w:t>
      </w:r>
      <w:r w:rsidRPr="00092862">
        <w:rPr>
          <w:color w:val="000000" w:themeColor="text1"/>
        </w:rPr>
        <w:t>4590</w:t>
      </w:r>
      <w:r w:rsidRPr="00092862">
        <w:rPr>
          <w:color w:val="000000" w:themeColor="text1"/>
        </w:rPr>
        <w:t>米造斜至设计井深</w:t>
      </w:r>
      <w:r w:rsidR="007A02DD">
        <w:rPr>
          <w:color w:val="000000" w:themeColor="text1"/>
        </w:rPr>
        <w:t>****</w:t>
      </w:r>
      <w:r w:rsidRPr="00092862">
        <w:rPr>
          <w:color w:val="000000" w:themeColor="text1"/>
        </w:rPr>
        <w:t>米（斜深）</w:t>
      </w:r>
      <w:r w:rsidRPr="00092862">
        <w:rPr>
          <w:color w:val="000000" w:themeColor="text1"/>
        </w:rPr>
        <w:t>/</w:t>
      </w:r>
      <w:r w:rsidR="007A02DD">
        <w:rPr>
          <w:color w:val="000000" w:themeColor="text1"/>
        </w:rPr>
        <w:t>****</w:t>
      </w:r>
      <w:r w:rsidRPr="00092862">
        <w:rPr>
          <w:color w:val="000000" w:themeColor="text1"/>
        </w:rPr>
        <w:t>米（垂深）完钻，下入</w:t>
      </w:r>
      <w:r w:rsidRPr="00092862">
        <w:rPr>
          <w:color w:val="000000" w:themeColor="text1"/>
        </w:rPr>
        <w:t>Ф177.8mm</w:t>
      </w:r>
      <w:r w:rsidRPr="00092862">
        <w:rPr>
          <w:color w:val="000000" w:themeColor="text1"/>
        </w:rPr>
        <w:t>套管，盐膏层上下</w:t>
      </w:r>
      <w:r w:rsidRPr="00092862">
        <w:rPr>
          <w:color w:val="000000" w:themeColor="text1"/>
        </w:rPr>
        <w:t>50</w:t>
      </w:r>
      <w:r w:rsidRPr="00092862">
        <w:rPr>
          <w:color w:val="000000" w:themeColor="text1"/>
        </w:rPr>
        <w:t>米选用外加厚</w:t>
      </w:r>
      <w:r w:rsidRPr="00092862">
        <w:rPr>
          <w:color w:val="000000" w:themeColor="text1"/>
        </w:rPr>
        <w:t>Ф193.7mm</w:t>
      </w:r>
      <w:r w:rsidRPr="00092862">
        <w:rPr>
          <w:color w:val="000000" w:themeColor="text1"/>
        </w:rPr>
        <w:t>套管。</w:t>
      </w:r>
      <w:r w:rsidRPr="00092862">
        <w:rPr>
          <w:color w:val="000000" w:themeColor="text1"/>
        </w:rPr>
        <w:t>L7011-5H</w:t>
      </w:r>
      <w:r w:rsidRPr="00092862">
        <w:rPr>
          <w:color w:val="000000" w:themeColor="text1"/>
        </w:rPr>
        <w:t>井目的层为</w:t>
      </w:r>
      <w:r w:rsidR="007A02DD">
        <w:rPr>
          <w:color w:val="000000" w:themeColor="text1"/>
        </w:rPr>
        <w:t>****</w:t>
      </w:r>
      <w:r w:rsidRPr="00092862">
        <w:rPr>
          <w:color w:val="000000" w:themeColor="text1"/>
        </w:rPr>
        <w:t>一二段，井型为水平井，套管完井，水平段长</w:t>
      </w:r>
      <w:r w:rsidRPr="00092862">
        <w:rPr>
          <w:color w:val="000000" w:themeColor="text1"/>
        </w:rPr>
        <w:t>270.7</w:t>
      </w:r>
      <w:r w:rsidRPr="00092862">
        <w:rPr>
          <w:color w:val="000000" w:themeColor="text1"/>
        </w:rPr>
        <w:t>米。采用三开井身结构：导管下深</w:t>
      </w:r>
      <w:r w:rsidRPr="00092862">
        <w:rPr>
          <w:color w:val="000000" w:themeColor="text1"/>
        </w:rPr>
        <w:t>50</w:t>
      </w:r>
      <w:r w:rsidRPr="00092862">
        <w:rPr>
          <w:color w:val="000000" w:themeColor="text1"/>
        </w:rPr>
        <w:t>米；一开钻至井深</w:t>
      </w:r>
      <w:r w:rsidRPr="00092862">
        <w:rPr>
          <w:color w:val="000000" w:themeColor="text1"/>
        </w:rPr>
        <w:t>1002</w:t>
      </w:r>
      <w:r w:rsidRPr="00092862">
        <w:rPr>
          <w:color w:val="000000" w:themeColor="text1"/>
        </w:rPr>
        <w:t>米，下</w:t>
      </w:r>
      <w:r w:rsidRPr="00092862">
        <w:rPr>
          <w:color w:val="000000" w:themeColor="text1"/>
        </w:rPr>
        <w:t>Φ346.1mm</w:t>
      </w:r>
      <w:r w:rsidRPr="00092862">
        <w:rPr>
          <w:color w:val="000000" w:themeColor="text1"/>
        </w:rPr>
        <w:t>套管；二开钻至井深</w:t>
      </w:r>
      <w:r w:rsidRPr="00092862">
        <w:rPr>
          <w:color w:val="000000" w:themeColor="text1"/>
        </w:rPr>
        <w:t>4582</w:t>
      </w:r>
      <w:r w:rsidRPr="00092862">
        <w:rPr>
          <w:color w:val="000000" w:themeColor="text1"/>
        </w:rPr>
        <w:t>米，下</w:t>
      </w:r>
      <w:r w:rsidRPr="00092862">
        <w:rPr>
          <w:color w:val="000000" w:themeColor="text1"/>
        </w:rPr>
        <w:t>Φ273.1mm</w:t>
      </w:r>
      <w:r w:rsidRPr="00092862">
        <w:rPr>
          <w:color w:val="000000" w:themeColor="text1"/>
        </w:rPr>
        <w:t>套管；三开自</w:t>
      </w:r>
      <w:r w:rsidRPr="00092862">
        <w:rPr>
          <w:color w:val="000000" w:themeColor="text1"/>
        </w:rPr>
        <w:t>4600</w:t>
      </w:r>
      <w:r w:rsidRPr="00092862">
        <w:rPr>
          <w:color w:val="000000" w:themeColor="text1"/>
        </w:rPr>
        <w:t>米造斜至设计井深</w:t>
      </w:r>
      <w:r w:rsidR="007A02DD">
        <w:rPr>
          <w:color w:val="000000" w:themeColor="text1"/>
        </w:rPr>
        <w:t>****</w:t>
      </w:r>
      <w:r w:rsidRPr="00092862">
        <w:rPr>
          <w:color w:val="000000" w:themeColor="text1"/>
        </w:rPr>
        <w:t>米（斜深）</w:t>
      </w:r>
      <w:r w:rsidRPr="00092862">
        <w:rPr>
          <w:color w:val="000000" w:themeColor="text1"/>
        </w:rPr>
        <w:t>/</w:t>
      </w:r>
      <w:r w:rsidR="007A02DD">
        <w:rPr>
          <w:color w:val="000000" w:themeColor="text1"/>
        </w:rPr>
        <w:t>****</w:t>
      </w:r>
      <w:r w:rsidRPr="00092862">
        <w:rPr>
          <w:color w:val="000000" w:themeColor="text1"/>
        </w:rPr>
        <w:t>米（垂深）完钻，下入</w:t>
      </w:r>
      <w:r w:rsidRPr="00092862">
        <w:rPr>
          <w:color w:val="000000" w:themeColor="text1"/>
        </w:rPr>
        <w:t>Ф177.8mm</w:t>
      </w:r>
      <w:r w:rsidRPr="00092862">
        <w:rPr>
          <w:color w:val="000000" w:themeColor="text1"/>
        </w:rPr>
        <w:t>套管，盐膏层上下</w:t>
      </w:r>
      <w:r w:rsidRPr="00092862">
        <w:rPr>
          <w:color w:val="000000" w:themeColor="text1"/>
        </w:rPr>
        <w:t>50</w:t>
      </w:r>
      <w:r w:rsidRPr="00092862">
        <w:rPr>
          <w:color w:val="000000" w:themeColor="text1"/>
        </w:rPr>
        <w:t>米选用外加厚</w:t>
      </w:r>
      <w:r w:rsidRPr="00092862">
        <w:rPr>
          <w:color w:val="000000" w:themeColor="text1"/>
        </w:rPr>
        <w:t>Ф193.7mm</w:t>
      </w:r>
      <w:r w:rsidRPr="00092862">
        <w:rPr>
          <w:color w:val="000000" w:themeColor="text1"/>
        </w:rPr>
        <w:t>套管。</w:t>
      </w:r>
    </w:p>
    <w:bookmarkEnd w:id="15"/>
    <w:bookmarkEnd w:id="16"/>
    <w:bookmarkEnd w:id="17"/>
    <w:p w14:paraId="2D2884C8" w14:textId="77777777" w:rsidR="00215953" w:rsidRPr="00092862" w:rsidRDefault="00215953" w:rsidP="006E53D9">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）采气工程</w:t>
      </w:r>
    </w:p>
    <w:p w14:paraId="067AC4A0" w14:textId="77777777" w:rsidR="00215953" w:rsidRPr="00092862" w:rsidRDefault="00215953" w:rsidP="006E53D9">
      <w:pPr>
        <w:pStyle w:val="0"/>
        <w:adjustRightInd w:val="0"/>
        <w:snapToGrid w:val="0"/>
        <w:rPr>
          <w:color w:val="000000" w:themeColor="text1"/>
          <w:kern w:val="0"/>
          <w:szCs w:val="22"/>
        </w:rPr>
      </w:pPr>
      <w:r w:rsidRPr="00092862">
        <w:rPr>
          <w:color w:val="000000" w:themeColor="text1"/>
        </w:rPr>
        <w:t>L7011-4H</w:t>
      </w:r>
      <w:r w:rsidRPr="00092862">
        <w:rPr>
          <w:color w:val="000000" w:themeColor="text1"/>
        </w:rPr>
        <w:t>采用</w:t>
      </w:r>
      <w:r w:rsidRPr="00092862">
        <w:rPr>
          <w:color w:val="000000" w:themeColor="text1"/>
        </w:rPr>
        <w:t>“</w:t>
      </w:r>
      <w:r w:rsidRPr="00092862">
        <w:rPr>
          <w:color w:val="000000" w:themeColor="text1"/>
        </w:rPr>
        <w:t>钻采一体化</w:t>
      </w:r>
      <w:r w:rsidRPr="00092862">
        <w:rPr>
          <w:color w:val="000000" w:themeColor="text1"/>
        </w:rPr>
        <w:t>”</w:t>
      </w:r>
      <w:r w:rsidRPr="00092862">
        <w:rPr>
          <w:color w:val="000000" w:themeColor="text1"/>
        </w:rPr>
        <w:t>投产模式，全井采用</w:t>
      </w:r>
      <w:r w:rsidRPr="00092862">
        <w:rPr>
          <w:color w:val="000000" w:themeColor="text1"/>
        </w:rPr>
        <w:t>Φ88.9mm</w:t>
      </w:r>
      <w:r w:rsidRPr="00092862">
        <w:rPr>
          <w:color w:val="000000" w:themeColor="text1"/>
        </w:rPr>
        <w:t>分段酸化</w:t>
      </w:r>
      <w:r w:rsidRPr="00092862">
        <w:rPr>
          <w:color w:val="000000" w:themeColor="text1"/>
        </w:rPr>
        <w:t>-</w:t>
      </w:r>
      <w:r w:rsidRPr="00092862">
        <w:rPr>
          <w:color w:val="000000" w:themeColor="text1"/>
        </w:rPr>
        <w:t>生产一体化完井管柱，第二投球滑套及以上完井油管采用</w:t>
      </w:r>
      <w:r w:rsidRPr="00092862">
        <w:rPr>
          <w:color w:val="000000" w:themeColor="text1"/>
        </w:rPr>
        <w:t>Φ88.9mm4c</w:t>
      </w:r>
      <w:r w:rsidRPr="00092862">
        <w:rPr>
          <w:color w:val="000000" w:themeColor="text1"/>
        </w:rPr>
        <w:t>类镍基合金油管，</w:t>
      </w:r>
      <w:r w:rsidRPr="00092862">
        <w:rPr>
          <w:color w:val="000000" w:themeColor="text1"/>
        </w:rPr>
        <w:t>718</w:t>
      </w:r>
      <w:r w:rsidRPr="00092862">
        <w:rPr>
          <w:color w:val="000000" w:themeColor="text1"/>
        </w:rPr>
        <w:t>材质完井工具；第二投球滑套以下采用</w:t>
      </w:r>
      <w:r w:rsidRPr="00092862">
        <w:rPr>
          <w:color w:val="000000" w:themeColor="text1"/>
        </w:rPr>
        <w:t>110SS</w:t>
      </w:r>
      <w:r w:rsidRPr="00092862">
        <w:rPr>
          <w:color w:val="000000" w:themeColor="text1"/>
        </w:rPr>
        <w:t>材质油管和完井工具。目的层飞三段以三类层为主，采用</w:t>
      </w:r>
      <w:r w:rsidRPr="00092862">
        <w:rPr>
          <w:color w:val="000000" w:themeColor="text1"/>
        </w:rPr>
        <w:t>Φ102mm</w:t>
      </w:r>
      <w:r w:rsidRPr="00092862">
        <w:rPr>
          <w:color w:val="000000" w:themeColor="text1"/>
        </w:rPr>
        <w:t>防硫射孔枪、大</w:t>
      </w:r>
      <w:r w:rsidRPr="00092862">
        <w:rPr>
          <w:color w:val="000000" w:themeColor="text1"/>
        </w:rPr>
        <w:t>1</w:t>
      </w:r>
      <w:r w:rsidRPr="00092862">
        <w:rPr>
          <w:color w:val="000000" w:themeColor="text1"/>
        </w:rPr>
        <w:t>米射孔弹一次性射开储层，</w:t>
      </w:r>
      <w:r w:rsidRPr="00092862">
        <w:rPr>
          <w:color w:val="000000" w:themeColor="text1"/>
        </w:rPr>
        <w:t>“</w:t>
      </w:r>
      <w:r w:rsidRPr="00092862">
        <w:rPr>
          <w:color w:val="000000" w:themeColor="text1"/>
        </w:rPr>
        <w:t>清洁酸</w:t>
      </w:r>
      <w:r w:rsidRPr="00092862">
        <w:rPr>
          <w:color w:val="000000" w:themeColor="text1"/>
        </w:rPr>
        <w:t>+</w:t>
      </w:r>
      <w:r w:rsidRPr="00092862">
        <w:rPr>
          <w:color w:val="000000" w:themeColor="text1"/>
        </w:rPr>
        <w:t>滑溜水</w:t>
      </w:r>
      <w:r w:rsidRPr="00092862">
        <w:rPr>
          <w:color w:val="000000" w:themeColor="text1"/>
        </w:rPr>
        <w:t>”</w:t>
      </w:r>
      <w:r w:rsidRPr="00092862">
        <w:rPr>
          <w:color w:val="000000" w:themeColor="text1"/>
        </w:rPr>
        <w:t>多级交替注入深度酸化，分</w:t>
      </w:r>
      <w:r w:rsidRPr="00092862">
        <w:rPr>
          <w:color w:val="000000" w:themeColor="text1"/>
        </w:rPr>
        <w:t>4</w:t>
      </w:r>
      <w:r w:rsidRPr="00092862">
        <w:rPr>
          <w:color w:val="000000" w:themeColor="text1"/>
        </w:rPr>
        <w:t>段进行酸化改造。采用</w:t>
      </w:r>
      <w:r w:rsidRPr="00092862">
        <w:rPr>
          <w:color w:val="000000" w:themeColor="text1"/>
        </w:rPr>
        <w:t>HH</w:t>
      </w:r>
      <w:r w:rsidRPr="00092862">
        <w:rPr>
          <w:color w:val="000000" w:themeColor="text1"/>
        </w:rPr>
        <w:t>级</w:t>
      </w:r>
      <w:r w:rsidRPr="00092862">
        <w:rPr>
          <w:color w:val="000000" w:themeColor="text1"/>
        </w:rPr>
        <w:t>105</w:t>
      </w:r>
      <w:r w:rsidRPr="00092862">
        <w:rPr>
          <w:color w:val="000000" w:themeColor="text1"/>
        </w:rPr>
        <w:t>兆帕采气井口，配套</w:t>
      </w:r>
      <w:r w:rsidRPr="00092862">
        <w:rPr>
          <w:color w:val="000000" w:themeColor="text1"/>
        </w:rPr>
        <w:t>70</w:t>
      </w:r>
      <w:r w:rsidRPr="00092862">
        <w:rPr>
          <w:color w:val="000000" w:themeColor="text1"/>
        </w:rPr>
        <w:t>兆帕地面控制系统。施工排量</w:t>
      </w:r>
      <w:r w:rsidRPr="00092862">
        <w:rPr>
          <w:color w:val="000000" w:themeColor="text1"/>
        </w:rPr>
        <w:t>4</w:t>
      </w:r>
      <w:r w:rsidRPr="00092862">
        <w:rPr>
          <w:color w:val="000000" w:themeColor="text1"/>
        </w:rPr>
        <w:t>立方米</w:t>
      </w:r>
      <w:r w:rsidRPr="00092862">
        <w:rPr>
          <w:color w:val="000000" w:themeColor="text1"/>
        </w:rPr>
        <w:t>/</w:t>
      </w:r>
      <w:r w:rsidRPr="00092862">
        <w:rPr>
          <w:color w:val="000000" w:themeColor="text1"/>
        </w:rPr>
        <w:t>分钟，井口最高压</w:t>
      </w:r>
      <w:r w:rsidRPr="00092862">
        <w:rPr>
          <w:color w:val="000000" w:themeColor="text1"/>
          <w:kern w:val="0"/>
          <w:szCs w:val="22"/>
        </w:rPr>
        <w:t>力</w:t>
      </w:r>
      <w:r w:rsidRPr="00092862">
        <w:rPr>
          <w:color w:val="000000" w:themeColor="text1"/>
          <w:kern w:val="0"/>
          <w:szCs w:val="22"/>
        </w:rPr>
        <w:t>89.61</w:t>
      </w:r>
      <w:r w:rsidRPr="00092862">
        <w:rPr>
          <w:color w:val="000000" w:themeColor="text1"/>
          <w:kern w:val="0"/>
          <w:szCs w:val="22"/>
        </w:rPr>
        <w:t>兆帕，总液量</w:t>
      </w:r>
      <w:r w:rsidRPr="00092862">
        <w:rPr>
          <w:color w:val="000000" w:themeColor="text1"/>
          <w:kern w:val="0"/>
          <w:szCs w:val="22"/>
        </w:rPr>
        <w:t>2090</w:t>
      </w:r>
      <w:r w:rsidRPr="00092862">
        <w:rPr>
          <w:color w:val="000000" w:themeColor="text1"/>
          <w:kern w:val="0"/>
          <w:szCs w:val="22"/>
        </w:rPr>
        <w:t>立方米。</w:t>
      </w:r>
      <w:r w:rsidRPr="00092862">
        <w:rPr>
          <w:color w:val="000000" w:themeColor="text1"/>
          <w:kern w:val="0"/>
          <w:szCs w:val="22"/>
        </w:rPr>
        <w:t>L7011-5H</w:t>
      </w:r>
      <w:r w:rsidRPr="00092862">
        <w:rPr>
          <w:color w:val="000000" w:themeColor="text1"/>
          <w:kern w:val="0"/>
          <w:szCs w:val="22"/>
        </w:rPr>
        <w:t>采用</w:t>
      </w:r>
      <w:r w:rsidRPr="00092862">
        <w:rPr>
          <w:color w:val="000000" w:themeColor="text1"/>
          <w:kern w:val="0"/>
          <w:szCs w:val="22"/>
        </w:rPr>
        <w:t>“</w:t>
      </w:r>
      <w:r w:rsidRPr="00092862">
        <w:rPr>
          <w:color w:val="000000" w:themeColor="text1"/>
          <w:kern w:val="0"/>
          <w:szCs w:val="22"/>
        </w:rPr>
        <w:t>钻采一体化</w:t>
      </w:r>
      <w:r w:rsidRPr="00092862">
        <w:rPr>
          <w:color w:val="000000" w:themeColor="text1"/>
          <w:kern w:val="0"/>
          <w:szCs w:val="22"/>
        </w:rPr>
        <w:t>”</w:t>
      </w:r>
      <w:r w:rsidRPr="00092862">
        <w:rPr>
          <w:color w:val="000000" w:themeColor="text1"/>
          <w:kern w:val="0"/>
          <w:szCs w:val="22"/>
        </w:rPr>
        <w:t>投产模式，全井采用</w:t>
      </w:r>
      <w:r w:rsidRPr="00092862">
        <w:rPr>
          <w:color w:val="000000" w:themeColor="text1"/>
          <w:kern w:val="0"/>
          <w:szCs w:val="22"/>
        </w:rPr>
        <w:t>Φ88.9mm</w:t>
      </w:r>
      <w:r w:rsidRPr="00092862">
        <w:rPr>
          <w:color w:val="000000" w:themeColor="text1"/>
          <w:kern w:val="0"/>
          <w:szCs w:val="22"/>
        </w:rPr>
        <w:t>笼统酸化</w:t>
      </w:r>
      <w:r w:rsidRPr="00092862">
        <w:rPr>
          <w:color w:val="000000" w:themeColor="text1"/>
          <w:kern w:val="0"/>
          <w:szCs w:val="22"/>
        </w:rPr>
        <w:t>-</w:t>
      </w:r>
      <w:r w:rsidRPr="00092862">
        <w:rPr>
          <w:color w:val="000000" w:themeColor="text1"/>
          <w:kern w:val="0"/>
          <w:szCs w:val="22"/>
        </w:rPr>
        <w:t>生产一体化完井管柱，</w:t>
      </w:r>
      <w:r w:rsidRPr="00092862">
        <w:rPr>
          <w:color w:val="000000" w:themeColor="text1"/>
          <w:kern w:val="0"/>
          <w:szCs w:val="22"/>
        </w:rPr>
        <w:t>4c</w:t>
      </w:r>
      <w:r w:rsidRPr="00092862">
        <w:rPr>
          <w:color w:val="000000" w:themeColor="text1"/>
          <w:kern w:val="0"/>
          <w:szCs w:val="22"/>
        </w:rPr>
        <w:t>类镍基合金油管，</w:t>
      </w:r>
      <w:r w:rsidRPr="00092862">
        <w:rPr>
          <w:color w:val="000000" w:themeColor="text1"/>
          <w:kern w:val="0"/>
          <w:szCs w:val="22"/>
        </w:rPr>
        <w:t>718</w:t>
      </w:r>
      <w:r w:rsidRPr="00092862">
        <w:rPr>
          <w:color w:val="000000" w:themeColor="text1"/>
          <w:kern w:val="0"/>
          <w:szCs w:val="22"/>
        </w:rPr>
        <w:t>材质完井工具。目的层以二、三类层为主，采用</w:t>
      </w:r>
      <w:r w:rsidRPr="00092862">
        <w:rPr>
          <w:color w:val="000000" w:themeColor="text1"/>
          <w:kern w:val="0"/>
          <w:szCs w:val="22"/>
        </w:rPr>
        <w:t>Φ102mm</w:t>
      </w:r>
      <w:r w:rsidRPr="00092862">
        <w:rPr>
          <w:color w:val="000000" w:themeColor="text1"/>
          <w:kern w:val="0"/>
          <w:szCs w:val="22"/>
        </w:rPr>
        <w:t>防硫射孔枪、大</w:t>
      </w:r>
      <w:r w:rsidRPr="00092862">
        <w:rPr>
          <w:color w:val="000000" w:themeColor="text1"/>
          <w:kern w:val="0"/>
          <w:szCs w:val="22"/>
        </w:rPr>
        <w:t>1</w:t>
      </w:r>
      <w:r w:rsidRPr="00092862">
        <w:rPr>
          <w:color w:val="000000" w:themeColor="text1"/>
          <w:kern w:val="0"/>
          <w:szCs w:val="22"/>
        </w:rPr>
        <w:t>米射孔弹一次性射开储层，笼统注入暂堵酸化改造。采用</w:t>
      </w:r>
      <w:r w:rsidRPr="00092862">
        <w:rPr>
          <w:color w:val="000000" w:themeColor="text1"/>
          <w:kern w:val="0"/>
          <w:szCs w:val="22"/>
        </w:rPr>
        <w:t>HH</w:t>
      </w:r>
      <w:r w:rsidRPr="00092862">
        <w:rPr>
          <w:color w:val="000000" w:themeColor="text1"/>
          <w:kern w:val="0"/>
          <w:szCs w:val="22"/>
        </w:rPr>
        <w:t>级</w:t>
      </w:r>
      <w:r w:rsidRPr="00092862">
        <w:rPr>
          <w:color w:val="000000" w:themeColor="text1"/>
          <w:kern w:val="0"/>
          <w:szCs w:val="22"/>
        </w:rPr>
        <w:t>105</w:t>
      </w:r>
      <w:r w:rsidRPr="00092862">
        <w:rPr>
          <w:color w:val="000000" w:themeColor="text1"/>
          <w:kern w:val="0"/>
          <w:szCs w:val="22"/>
        </w:rPr>
        <w:t>兆帕采气井口，配套</w:t>
      </w:r>
      <w:r w:rsidRPr="00092862">
        <w:rPr>
          <w:color w:val="000000" w:themeColor="text1"/>
          <w:kern w:val="0"/>
          <w:szCs w:val="22"/>
        </w:rPr>
        <w:t>70</w:t>
      </w:r>
      <w:r w:rsidRPr="00092862">
        <w:rPr>
          <w:color w:val="000000" w:themeColor="text1"/>
          <w:kern w:val="0"/>
          <w:szCs w:val="22"/>
        </w:rPr>
        <w:t>兆帕地面控制系统。最高施工排量</w:t>
      </w:r>
      <w:r w:rsidRPr="00092862">
        <w:rPr>
          <w:color w:val="000000" w:themeColor="text1"/>
          <w:kern w:val="0"/>
          <w:szCs w:val="22"/>
        </w:rPr>
        <w:t>4</w:t>
      </w:r>
      <w:r w:rsidRPr="00092862">
        <w:rPr>
          <w:color w:val="000000" w:themeColor="text1"/>
          <w:kern w:val="0"/>
          <w:szCs w:val="22"/>
        </w:rPr>
        <w:t>立方米</w:t>
      </w:r>
      <w:r w:rsidRPr="00092862">
        <w:rPr>
          <w:color w:val="000000" w:themeColor="text1"/>
          <w:kern w:val="0"/>
          <w:szCs w:val="22"/>
        </w:rPr>
        <w:t>/</w:t>
      </w:r>
      <w:r w:rsidRPr="00092862">
        <w:rPr>
          <w:color w:val="000000" w:themeColor="text1"/>
          <w:kern w:val="0"/>
          <w:szCs w:val="22"/>
        </w:rPr>
        <w:t>分钟，井口最高压力</w:t>
      </w:r>
      <w:r w:rsidRPr="00092862">
        <w:rPr>
          <w:color w:val="000000" w:themeColor="text1"/>
          <w:kern w:val="0"/>
          <w:szCs w:val="22"/>
        </w:rPr>
        <w:t>89.61</w:t>
      </w:r>
      <w:r w:rsidRPr="00092862">
        <w:rPr>
          <w:color w:val="000000" w:themeColor="text1"/>
          <w:kern w:val="0"/>
          <w:szCs w:val="22"/>
        </w:rPr>
        <w:t>兆帕，总液量</w:t>
      </w:r>
      <w:r w:rsidRPr="00092862">
        <w:rPr>
          <w:color w:val="000000" w:themeColor="text1"/>
          <w:kern w:val="0"/>
          <w:szCs w:val="22"/>
        </w:rPr>
        <w:t>375</w:t>
      </w:r>
      <w:r w:rsidRPr="00092862">
        <w:rPr>
          <w:color w:val="000000" w:themeColor="text1"/>
          <w:kern w:val="0"/>
          <w:szCs w:val="22"/>
        </w:rPr>
        <w:t>立方米。</w:t>
      </w:r>
    </w:p>
    <w:p w14:paraId="2ED5EB0B" w14:textId="77777777" w:rsidR="00215953" w:rsidRPr="00092862" w:rsidRDefault="00215953" w:rsidP="006E53D9">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）地面集输工程</w:t>
      </w:r>
    </w:p>
    <w:p w14:paraId="6710D594" w14:textId="77777777" w:rsidR="0094644D" w:rsidRDefault="00215953" w:rsidP="0094644D">
      <w:pPr>
        <w:adjustRightInd w:val="0"/>
        <w:snapToGrid w:val="0"/>
        <w:spacing w:line="360" w:lineRule="auto"/>
        <w:ind w:firstLineChars="200" w:firstLine="480"/>
        <w:rPr>
          <w:rFonts w:ascii="Times New Roman" w:eastAsia="宋体" w:hAnsi="Times New Roman" w:cs="Times New Roman"/>
          <w:color w:val="000000" w:themeColor="text1"/>
          <w:kern w:val="0"/>
          <w:sz w:val="24"/>
        </w:rPr>
      </w:pPr>
      <w:r w:rsidRPr="00092862">
        <w:rPr>
          <w:rFonts w:ascii="Times New Roman" w:eastAsia="宋体" w:hAnsi="Times New Roman" w:cs="Times New Roman"/>
          <w:color w:val="000000" w:themeColor="text1"/>
          <w:kern w:val="0"/>
          <w:sz w:val="24"/>
        </w:rPr>
        <w:t>L7011-4H</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L7011-5H</w:t>
      </w:r>
      <w:r w:rsidRPr="00092862">
        <w:rPr>
          <w:rFonts w:ascii="Times New Roman" w:eastAsia="宋体" w:hAnsi="Times New Roman" w:cs="Times New Roman"/>
          <w:color w:val="000000" w:themeColor="text1"/>
          <w:kern w:val="0"/>
          <w:sz w:val="24"/>
        </w:rPr>
        <w:t>井井口气汇合后通过新建采气管道（</w:t>
      </w:r>
      <w:r w:rsidRPr="00092862">
        <w:rPr>
          <w:rFonts w:ascii="Times New Roman" w:eastAsia="宋体" w:hAnsi="Times New Roman" w:cs="Times New Roman"/>
          <w:color w:val="000000" w:themeColor="text1"/>
          <w:kern w:val="0"/>
          <w:sz w:val="24"/>
        </w:rPr>
        <w:t>40m</w:t>
      </w:r>
      <w:r w:rsidRPr="00092862">
        <w:rPr>
          <w:rFonts w:ascii="Times New Roman" w:eastAsia="宋体" w:hAnsi="Times New Roman" w:cs="Times New Roman"/>
          <w:color w:val="000000" w:themeColor="text1"/>
          <w:kern w:val="0"/>
          <w:sz w:val="24"/>
        </w:rPr>
        <w:t>）输送至老君</w:t>
      </w:r>
      <w:r w:rsidRPr="00092862">
        <w:rPr>
          <w:rFonts w:ascii="Times New Roman" w:eastAsia="宋体" w:hAnsi="Times New Roman" w:cs="Times New Roman"/>
          <w:color w:val="000000" w:themeColor="text1"/>
          <w:kern w:val="0"/>
          <w:sz w:val="24"/>
        </w:rPr>
        <w:t>701</w:t>
      </w:r>
      <w:r w:rsidRPr="00092862">
        <w:rPr>
          <w:rFonts w:ascii="Times New Roman" w:eastAsia="宋体" w:hAnsi="Times New Roman" w:cs="Times New Roman"/>
          <w:color w:val="000000" w:themeColor="text1"/>
          <w:kern w:val="0"/>
          <w:sz w:val="24"/>
        </w:rPr>
        <w:t>集气站，在站内分酸、加热、节流、分离后输至天然气净化厂。新建老君</w:t>
      </w:r>
      <w:r w:rsidRPr="00092862">
        <w:rPr>
          <w:rFonts w:ascii="Times New Roman" w:eastAsia="宋体" w:hAnsi="Times New Roman" w:cs="Times New Roman"/>
          <w:color w:val="000000" w:themeColor="text1"/>
          <w:kern w:val="0"/>
          <w:sz w:val="24"/>
        </w:rPr>
        <w:t>7011</w:t>
      </w:r>
      <w:r w:rsidRPr="00092862">
        <w:rPr>
          <w:rFonts w:ascii="Times New Roman" w:eastAsia="宋体" w:hAnsi="Times New Roman" w:cs="Times New Roman"/>
          <w:color w:val="000000" w:themeColor="text1"/>
          <w:kern w:val="0"/>
          <w:sz w:val="24"/>
        </w:rPr>
        <w:t>采气站</w:t>
      </w:r>
      <w:r w:rsidRPr="00092862">
        <w:rPr>
          <w:rFonts w:ascii="Times New Roman" w:eastAsia="宋体" w:hAnsi="Times New Roman" w:cs="Times New Roman"/>
          <w:color w:val="000000" w:themeColor="text1"/>
          <w:kern w:val="0"/>
          <w:sz w:val="24"/>
        </w:rPr>
        <w:t>1</w:t>
      </w:r>
      <w:r w:rsidRPr="00092862">
        <w:rPr>
          <w:rFonts w:ascii="Times New Roman" w:eastAsia="宋体" w:hAnsi="Times New Roman" w:cs="Times New Roman"/>
          <w:color w:val="000000" w:themeColor="text1"/>
          <w:kern w:val="0"/>
          <w:sz w:val="24"/>
        </w:rPr>
        <w:t>座、水套加热炉</w:t>
      </w:r>
      <w:r w:rsidRPr="00092862">
        <w:rPr>
          <w:rFonts w:ascii="Times New Roman" w:eastAsia="宋体" w:hAnsi="Times New Roman" w:cs="Times New Roman"/>
          <w:color w:val="000000" w:themeColor="text1"/>
          <w:kern w:val="0"/>
          <w:sz w:val="24"/>
        </w:rPr>
        <w:t>1</w:t>
      </w:r>
      <w:r w:rsidRPr="00092862">
        <w:rPr>
          <w:rFonts w:ascii="Times New Roman" w:eastAsia="宋体" w:hAnsi="Times New Roman" w:cs="Times New Roman"/>
          <w:color w:val="000000" w:themeColor="text1"/>
          <w:kern w:val="0"/>
          <w:sz w:val="24"/>
        </w:rPr>
        <w:t>座，其余生产分离器等均依托老君</w:t>
      </w:r>
      <w:r w:rsidRPr="00092862">
        <w:rPr>
          <w:rFonts w:ascii="Times New Roman" w:eastAsia="宋体" w:hAnsi="Times New Roman" w:cs="Times New Roman"/>
          <w:color w:val="000000" w:themeColor="text1"/>
          <w:kern w:val="0"/>
          <w:sz w:val="24"/>
        </w:rPr>
        <w:t>701</w:t>
      </w:r>
      <w:r w:rsidRPr="00092862">
        <w:rPr>
          <w:rFonts w:ascii="Times New Roman" w:eastAsia="宋体" w:hAnsi="Times New Roman" w:cs="Times New Roman"/>
          <w:color w:val="000000" w:themeColor="text1"/>
          <w:kern w:val="0"/>
          <w:sz w:val="24"/>
        </w:rPr>
        <w:t>站内已建流程，配套建设自控、电力、结构等设施。</w:t>
      </w:r>
      <w:bookmarkEnd w:id="11"/>
    </w:p>
    <w:p w14:paraId="2398292A" w14:textId="4FB52176" w:rsidR="00215953" w:rsidRPr="00092862" w:rsidRDefault="00215953" w:rsidP="0094644D">
      <w:pPr>
        <w:adjustRightInd w:val="0"/>
        <w:snapToGrid w:val="0"/>
        <w:spacing w:line="360" w:lineRule="auto"/>
        <w:ind w:firstLineChars="200" w:firstLine="480"/>
        <w:rPr>
          <w:rFonts w:ascii="Times New Roman" w:eastAsia="宋体" w:hAnsi="Times New Roman" w:cs="Times New Roman"/>
          <w:color w:val="000000" w:themeColor="text1"/>
          <w:kern w:val="0"/>
          <w:sz w:val="24"/>
        </w:rPr>
      </w:pPr>
      <w:r w:rsidRPr="00092862">
        <w:rPr>
          <w:rFonts w:ascii="Times New Roman" w:eastAsia="宋体" w:hAnsi="Times New Roman" w:cs="Times New Roman"/>
          <w:color w:val="000000" w:themeColor="text1"/>
          <w:kern w:val="0"/>
          <w:sz w:val="24"/>
        </w:rPr>
        <w:t>本项目总投资</w:t>
      </w:r>
      <w:r w:rsidR="007A02DD">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万元，其中环保投资</w:t>
      </w:r>
      <w:r w:rsidR="007A02DD">
        <w:rPr>
          <w:rFonts w:ascii="Times New Roman" w:eastAsia="宋体" w:hAnsi="Times New Roman" w:cs="Times New Roman" w:hint="eastAsia"/>
          <w:color w:val="000000" w:themeColor="text1"/>
          <w:kern w:val="0"/>
          <w:sz w:val="24"/>
        </w:rPr>
        <w:t>****</w:t>
      </w:r>
      <w:r w:rsidRPr="00092862">
        <w:rPr>
          <w:rFonts w:ascii="Times New Roman" w:eastAsia="宋体" w:hAnsi="Times New Roman" w:cs="Times New Roman"/>
          <w:color w:val="000000" w:themeColor="text1"/>
          <w:kern w:val="0"/>
          <w:sz w:val="24"/>
        </w:rPr>
        <w:t>万元，占项目总投资的</w:t>
      </w:r>
      <w:r w:rsidRPr="00092862">
        <w:rPr>
          <w:rFonts w:ascii="Times New Roman" w:eastAsia="宋体" w:hAnsi="Times New Roman" w:cs="Times New Roman"/>
          <w:color w:val="000000" w:themeColor="text1"/>
          <w:kern w:val="0"/>
          <w:sz w:val="24"/>
        </w:rPr>
        <w:t>2.18%</w:t>
      </w:r>
      <w:r w:rsidRPr="00092862">
        <w:rPr>
          <w:rFonts w:ascii="Times New Roman" w:eastAsia="宋体" w:hAnsi="Times New Roman" w:cs="Times New Roman"/>
          <w:color w:val="000000" w:themeColor="text1"/>
          <w:kern w:val="0"/>
          <w:sz w:val="24"/>
        </w:rPr>
        <w:t>。</w:t>
      </w:r>
    </w:p>
    <w:p w14:paraId="7AC76832" w14:textId="3F2E73D0" w:rsidR="00812C9C" w:rsidRPr="00092862" w:rsidRDefault="00812C9C" w:rsidP="006E53D9">
      <w:pPr>
        <w:adjustRightInd w:val="0"/>
        <w:snapToGrid w:val="0"/>
        <w:spacing w:line="360" w:lineRule="auto"/>
        <w:ind w:firstLineChars="200" w:firstLine="480"/>
        <w:rPr>
          <w:rFonts w:ascii="Times New Roman" w:eastAsia="宋体" w:hAnsi="Times New Roman" w:cs="Times New Roman"/>
          <w:color w:val="000000" w:themeColor="text1"/>
          <w:kern w:val="0"/>
          <w:sz w:val="24"/>
        </w:rPr>
      </w:pPr>
      <w:r w:rsidRPr="00092862">
        <w:rPr>
          <w:rFonts w:ascii="Times New Roman" w:eastAsia="宋体" w:hAnsi="Times New Roman" w:cs="Times New Roman"/>
          <w:color w:val="000000" w:themeColor="text1"/>
          <w:kern w:val="0"/>
          <w:sz w:val="24"/>
        </w:rPr>
        <w:t>根据《中华人民共和国环境保护法》（</w:t>
      </w:r>
      <w:r w:rsidRPr="00092862">
        <w:rPr>
          <w:rFonts w:ascii="Times New Roman" w:eastAsia="宋体" w:hAnsi="Times New Roman" w:cs="Times New Roman"/>
          <w:color w:val="000000" w:themeColor="text1"/>
          <w:kern w:val="0"/>
          <w:sz w:val="24"/>
        </w:rPr>
        <w:t>2015</w:t>
      </w:r>
      <w:r w:rsidRPr="00092862">
        <w:rPr>
          <w:rFonts w:ascii="Times New Roman" w:eastAsia="宋体" w:hAnsi="Times New Roman" w:cs="Times New Roman"/>
          <w:color w:val="000000" w:themeColor="text1"/>
          <w:kern w:val="0"/>
          <w:sz w:val="24"/>
        </w:rPr>
        <w:t>年</w:t>
      </w:r>
      <w:r w:rsidRPr="00092862">
        <w:rPr>
          <w:rFonts w:ascii="Times New Roman" w:eastAsia="宋体" w:hAnsi="Times New Roman" w:cs="Times New Roman"/>
          <w:color w:val="000000" w:themeColor="text1"/>
          <w:kern w:val="0"/>
          <w:sz w:val="24"/>
        </w:rPr>
        <w:t>1</w:t>
      </w:r>
      <w:r w:rsidRPr="00092862">
        <w:rPr>
          <w:rFonts w:ascii="Times New Roman" w:eastAsia="宋体" w:hAnsi="Times New Roman" w:cs="Times New Roman"/>
          <w:color w:val="000000" w:themeColor="text1"/>
          <w:kern w:val="0"/>
          <w:sz w:val="24"/>
        </w:rPr>
        <w:t>月</w:t>
      </w:r>
      <w:r w:rsidRPr="00092862">
        <w:rPr>
          <w:rFonts w:ascii="Times New Roman" w:eastAsia="宋体" w:hAnsi="Times New Roman" w:cs="Times New Roman"/>
          <w:color w:val="000000" w:themeColor="text1"/>
          <w:kern w:val="0"/>
          <w:sz w:val="24"/>
        </w:rPr>
        <w:t>1</w:t>
      </w:r>
      <w:r w:rsidRPr="00092862">
        <w:rPr>
          <w:rFonts w:ascii="Times New Roman" w:eastAsia="宋体" w:hAnsi="Times New Roman" w:cs="Times New Roman"/>
          <w:color w:val="000000" w:themeColor="text1"/>
          <w:kern w:val="0"/>
          <w:sz w:val="24"/>
        </w:rPr>
        <w:t>日实施）、《中华人民共和国环境影响评价法》（</w:t>
      </w:r>
      <w:r w:rsidRPr="00092862">
        <w:rPr>
          <w:rFonts w:ascii="Times New Roman" w:eastAsia="宋体" w:hAnsi="Times New Roman" w:cs="Times New Roman"/>
          <w:color w:val="000000" w:themeColor="text1"/>
          <w:kern w:val="0"/>
          <w:sz w:val="24"/>
        </w:rPr>
        <w:t>2018</w:t>
      </w:r>
      <w:r w:rsidRPr="00092862">
        <w:rPr>
          <w:rFonts w:ascii="Times New Roman" w:eastAsia="宋体" w:hAnsi="Times New Roman" w:cs="Times New Roman"/>
          <w:color w:val="000000" w:themeColor="text1"/>
          <w:kern w:val="0"/>
          <w:sz w:val="24"/>
        </w:rPr>
        <w:t>年</w:t>
      </w:r>
      <w:r w:rsidRPr="00092862">
        <w:rPr>
          <w:rFonts w:ascii="Times New Roman" w:eastAsia="宋体" w:hAnsi="Times New Roman" w:cs="Times New Roman"/>
          <w:color w:val="000000" w:themeColor="text1"/>
          <w:kern w:val="0"/>
          <w:sz w:val="24"/>
        </w:rPr>
        <w:t>12</w:t>
      </w:r>
      <w:r w:rsidRPr="00092862">
        <w:rPr>
          <w:rFonts w:ascii="Times New Roman" w:eastAsia="宋体" w:hAnsi="Times New Roman" w:cs="Times New Roman"/>
          <w:color w:val="000000" w:themeColor="text1"/>
          <w:kern w:val="0"/>
          <w:sz w:val="24"/>
        </w:rPr>
        <w:t>月</w:t>
      </w:r>
      <w:r w:rsidRPr="00092862">
        <w:rPr>
          <w:rFonts w:ascii="Times New Roman" w:eastAsia="宋体" w:hAnsi="Times New Roman" w:cs="Times New Roman"/>
          <w:color w:val="000000" w:themeColor="text1"/>
          <w:kern w:val="0"/>
          <w:sz w:val="24"/>
        </w:rPr>
        <w:t>29</w:t>
      </w:r>
      <w:r w:rsidRPr="00092862">
        <w:rPr>
          <w:rFonts w:ascii="Times New Roman" w:eastAsia="宋体" w:hAnsi="Times New Roman" w:cs="Times New Roman"/>
          <w:color w:val="000000" w:themeColor="text1"/>
          <w:kern w:val="0"/>
          <w:sz w:val="24"/>
        </w:rPr>
        <w:t>日实施）、《建设项目环境影响</w:t>
      </w:r>
      <w:r w:rsidRPr="00092862">
        <w:rPr>
          <w:rFonts w:ascii="Times New Roman" w:eastAsia="宋体" w:hAnsi="Times New Roman" w:cs="Times New Roman"/>
          <w:color w:val="000000" w:themeColor="text1"/>
          <w:kern w:val="0"/>
          <w:sz w:val="24"/>
        </w:rPr>
        <w:lastRenderedPageBreak/>
        <w:t>评价分类管理名录》（</w:t>
      </w:r>
      <w:r w:rsidRPr="00092862">
        <w:rPr>
          <w:rFonts w:ascii="Times New Roman" w:eastAsia="宋体" w:hAnsi="Times New Roman" w:cs="Times New Roman"/>
          <w:color w:val="000000" w:themeColor="text1"/>
          <w:kern w:val="0"/>
          <w:sz w:val="24"/>
        </w:rPr>
        <w:t>2021</w:t>
      </w:r>
      <w:r w:rsidRPr="00092862">
        <w:rPr>
          <w:rFonts w:ascii="Times New Roman" w:eastAsia="宋体" w:hAnsi="Times New Roman" w:cs="Times New Roman"/>
          <w:color w:val="000000" w:themeColor="text1"/>
          <w:kern w:val="0"/>
          <w:sz w:val="24"/>
        </w:rPr>
        <w:t>年版）等的有关规定，建设过程中或者建成投产后可能对环境产生影响的新建、扩建、改建、迁建项目及区域开发建设项目，必须执行环境影响评价制度。根据国家生态环境部制定的《建设项目环境影响评价分类管理名录》（</w:t>
      </w:r>
      <w:r w:rsidRPr="00092862">
        <w:rPr>
          <w:rFonts w:ascii="Times New Roman" w:eastAsia="宋体" w:hAnsi="Times New Roman" w:cs="Times New Roman"/>
          <w:color w:val="000000" w:themeColor="text1"/>
          <w:kern w:val="0"/>
          <w:sz w:val="24"/>
        </w:rPr>
        <w:t>2021</w:t>
      </w:r>
      <w:r w:rsidRPr="00092862">
        <w:rPr>
          <w:rFonts w:ascii="Times New Roman" w:eastAsia="宋体" w:hAnsi="Times New Roman" w:cs="Times New Roman"/>
          <w:color w:val="000000" w:themeColor="text1"/>
          <w:kern w:val="0"/>
          <w:sz w:val="24"/>
        </w:rPr>
        <w:t>年版）中的相关要求，本项目属于</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五、石油和天然气开采业</w:t>
      </w:r>
      <w:r w:rsidRPr="00092862">
        <w:rPr>
          <w:rFonts w:ascii="Times New Roman" w:eastAsia="宋体" w:hAnsi="Times New Roman" w:cs="Times New Roman"/>
          <w:color w:val="000000" w:themeColor="text1"/>
          <w:kern w:val="0"/>
          <w:sz w:val="24"/>
        </w:rPr>
        <w:t>07-8</w:t>
      </w:r>
      <w:r w:rsidRPr="00092862">
        <w:rPr>
          <w:rFonts w:ascii="Times New Roman" w:eastAsia="宋体" w:hAnsi="Times New Roman" w:cs="Times New Roman"/>
          <w:color w:val="000000" w:themeColor="text1"/>
          <w:kern w:val="0"/>
          <w:sz w:val="24"/>
        </w:rPr>
        <w:t>、陆地天然气开采</w:t>
      </w:r>
      <w:r w:rsidRPr="00092862">
        <w:rPr>
          <w:rFonts w:ascii="Times New Roman" w:eastAsia="宋体" w:hAnsi="Times New Roman" w:cs="Times New Roman"/>
          <w:color w:val="000000" w:themeColor="text1"/>
          <w:kern w:val="0"/>
          <w:sz w:val="24"/>
        </w:rPr>
        <w:t>0721-</w:t>
      </w:r>
      <w:r w:rsidRPr="00092862">
        <w:rPr>
          <w:rFonts w:ascii="Times New Roman" w:eastAsia="宋体" w:hAnsi="Times New Roman" w:cs="Times New Roman"/>
          <w:color w:val="000000" w:themeColor="text1"/>
          <w:kern w:val="0"/>
          <w:sz w:val="24"/>
        </w:rPr>
        <w:t>新区块开发；年生产能力</w:t>
      </w:r>
      <w:r w:rsidRPr="00092862">
        <w:rPr>
          <w:rFonts w:ascii="Times New Roman" w:eastAsia="宋体" w:hAnsi="Times New Roman" w:cs="Times New Roman"/>
          <w:color w:val="000000" w:themeColor="text1"/>
          <w:kern w:val="0"/>
          <w:sz w:val="24"/>
        </w:rPr>
        <w:t>1</w:t>
      </w:r>
      <w:r w:rsidRPr="00092862">
        <w:rPr>
          <w:rFonts w:ascii="Times New Roman" w:eastAsia="宋体" w:hAnsi="Times New Roman" w:cs="Times New Roman"/>
          <w:color w:val="000000" w:themeColor="text1"/>
          <w:kern w:val="0"/>
          <w:sz w:val="24"/>
        </w:rPr>
        <w:t>亿立方米及以上的煤层气开采；涉及环境敏感区的（含内部集输管线建设）（本项目涉及水土流失重点治理区）</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的建设项目，环评类别为编制环境影响报告书。</w:t>
      </w:r>
    </w:p>
    <w:p w14:paraId="63737853" w14:textId="3349B9F7" w:rsidR="00B47DC7" w:rsidRPr="00092862" w:rsidRDefault="000846B2" w:rsidP="006E53D9">
      <w:pPr>
        <w:adjustRightInd w:val="0"/>
        <w:snapToGrid w:val="0"/>
        <w:spacing w:line="360" w:lineRule="auto"/>
        <w:ind w:firstLineChars="200" w:firstLine="480"/>
        <w:rPr>
          <w:rFonts w:ascii="Times New Roman" w:eastAsia="宋体" w:hAnsi="Times New Roman" w:cs="Times New Roman"/>
          <w:color w:val="000000" w:themeColor="text1"/>
          <w:kern w:val="0"/>
          <w:sz w:val="24"/>
        </w:rPr>
      </w:pPr>
      <w:r w:rsidRPr="00092862">
        <w:rPr>
          <w:rFonts w:ascii="Times New Roman" w:eastAsia="宋体" w:hAnsi="Times New Roman" w:cs="Times New Roman"/>
          <w:color w:val="000000" w:themeColor="text1"/>
          <w:kern w:val="0"/>
          <w:sz w:val="24"/>
        </w:rPr>
        <w:t>本项目位于达州市</w:t>
      </w:r>
      <w:r w:rsidR="00BD26E4" w:rsidRPr="00092862">
        <w:rPr>
          <w:rFonts w:ascii="Times New Roman" w:eastAsia="宋体" w:hAnsi="Times New Roman" w:cs="Times New Roman"/>
          <w:color w:val="000000" w:themeColor="text1"/>
          <w:kern w:val="0"/>
          <w:sz w:val="24"/>
        </w:rPr>
        <w:t>宣汉县</w:t>
      </w:r>
      <w:r w:rsidR="00215953" w:rsidRPr="00092862">
        <w:rPr>
          <w:rFonts w:ascii="Times New Roman" w:eastAsia="宋体" w:hAnsi="Times New Roman" w:cs="Times New Roman"/>
          <w:color w:val="000000" w:themeColor="text1"/>
          <w:kern w:val="0"/>
          <w:sz w:val="24"/>
        </w:rPr>
        <w:t>老君乡古楼村</w:t>
      </w:r>
      <w:r w:rsidR="00812C9C" w:rsidRPr="00092862">
        <w:rPr>
          <w:rFonts w:ascii="Times New Roman" w:eastAsia="宋体" w:hAnsi="Times New Roman" w:cs="Times New Roman"/>
          <w:color w:val="000000" w:themeColor="text1"/>
          <w:kern w:val="0"/>
          <w:sz w:val="24"/>
        </w:rPr>
        <w:t>，根据水利部办公厅关于印发《全国水士保持规划国家级水土流失重点预防区和重点治理区复核划分成果》（办水保〔</w:t>
      </w:r>
      <w:r w:rsidR="00812C9C" w:rsidRPr="00092862">
        <w:rPr>
          <w:rFonts w:ascii="Times New Roman" w:eastAsia="宋体" w:hAnsi="Times New Roman" w:cs="Times New Roman"/>
          <w:color w:val="000000" w:themeColor="text1"/>
          <w:kern w:val="0"/>
          <w:sz w:val="24"/>
        </w:rPr>
        <w:t>2013</w:t>
      </w:r>
      <w:r w:rsidR="00812C9C" w:rsidRPr="00092862">
        <w:rPr>
          <w:rFonts w:ascii="Times New Roman" w:eastAsia="宋体" w:hAnsi="Times New Roman" w:cs="Times New Roman"/>
          <w:color w:val="000000" w:themeColor="text1"/>
          <w:kern w:val="0"/>
          <w:sz w:val="24"/>
        </w:rPr>
        <w:t>〕</w:t>
      </w:r>
      <w:r w:rsidR="00812C9C" w:rsidRPr="00092862">
        <w:rPr>
          <w:rFonts w:ascii="Times New Roman" w:eastAsia="宋体" w:hAnsi="Times New Roman" w:cs="Times New Roman"/>
          <w:color w:val="000000" w:themeColor="text1"/>
          <w:kern w:val="0"/>
          <w:sz w:val="24"/>
        </w:rPr>
        <w:t>188</w:t>
      </w:r>
      <w:r w:rsidR="00812C9C" w:rsidRPr="00092862">
        <w:rPr>
          <w:rFonts w:ascii="Times New Roman" w:eastAsia="宋体" w:hAnsi="Times New Roman" w:cs="Times New Roman"/>
          <w:color w:val="000000" w:themeColor="text1"/>
          <w:kern w:val="0"/>
          <w:sz w:val="24"/>
        </w:rPr>
        <w:t>号）的通知，本项目属于四川省国家级水土流失重点治理区名单中所列区县，详见下表。</w:t>
      </w:r>
    </w:p>
    <w:p w14:paraId="1EA7B03E" w14:textId="056BD075" w:rsidR="00812C9C" w:rsidRPr="00092862" w:rsidRDefault="00812C9C"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6E70A7" w:rsidRPr="00092862">
        <w:rPr>
          <w:rFonts w:ascii="Times New Roman" w:eastAsia="黑体" w:hAnsi="Times New Roman"/>
          <w:color w:val="000000" w:themeColor="text1"/>
          <w:sz w:val="21"/>
          <w:szCs w:val="21"/>
          <w:lang w:eastAsia="zh-CN"/>
        </w:rPr>
        <w:t>1.1-1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四川省国家级水土流失重点治理区名单</w:t>
      </w:r>
    </w:p>
    <w:tbl>
      <w:tblPr>
        <w:tblStyle w:val="aff"/>
        <w:tblW w:w="0" w:type="auto"/>
        <w:tblLook w:val="04A0" w:firstRow="1" w:lastRow="0" w:firstColumn="1" w:lastColumn="0" w:noHBand="0" w:noVBand="1"/>
      </w:tblPr>
      <w:tblGrid>
        <w:gridCol w:w="1553"/>
        <w:gridCol w:w="6747"/>
      </w:tblGrid>
      <w:tr w:rsidR="00697429" w:rsidRPr="00092862" w14:paraId="649F2470" w14:textId="77777777" w:rsidTr="000846B2">
        <w:tc>
          <w:tcPr>
            <w:tcW w:w="8310" w:type="dxa"/>
            <w:gridSpan w:val="2"/>
            <w:vAlign w:val="center"/>
          </w:tcPr>
          <w:p w14:paraId="2220EFE0" w14:textId="77777777" w:rsidR="00812C9C" w:rsidRPr="00092862" w:rsidRDefault="00812C9C" w:rsidP="003F1F64">
            <w:pPr>
              <w:pStyle w:val="afffff6"/>
              <w:spacing w:line="240" w:lineRule="auto"/>
              <w:ind w:firstLineChars="0" w:firstLine="0"/>
              <w:jc w:val="center"/>
              <w:rPr>
                <w:b/>
                <w:bCs/>
                <w:color w:val="000000" w:themeColor="text1"/>
                <w:sz w:val="21"/>
                <w:szCs w:val="16"/>
              </w:rPr>
            </w:pPr>
            <w:r w:rsidRPr="00092862">
              <w:rPr>
                <w:b/>
                <w:bCs/>
                <w:color w:val="000000" w:themeColor="text1"/>
                <w:sz w:val="21"/>
                <w:szCs w:val="16"/>
              </w:rPr>
              <w:t>重点治理区</w:t>
            </w:r>
          </w:p>
        </w:tc>
      </w:tr>
      <w:tr w:rsidR="00697429" w:rsidRPr="00092862" w14:paraId="7A9CD3AA" w14:textId="77777777" w:rsidTr="000846B2">
        <w:tc>
          <w:tcPr>
            <w:tcW w:w="1554" w:type="dxa"/>
            <w:vAlign w:val="center"/>
          </w:tcPr>
          <w:p w14:paraId="4845C224"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嘉陵江及沱江中下游国家级水土流失重点治理区</w:t>
            </w:r>
          </w:p>
          <w:p w14:paraId="3735B6AC"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GII2</w:t>
            </w:r>
          </w:p>
        </w:tc>
        <w:tc>
          <w:tcPr>
            <w:tcW w:w="6756" w:type="dxa"/>
            <w:vAlign w:val="center"/>
          </w:tcPr>
          <w:p w14:paraId="22ADA4ED"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巴中市：巴州区、恩阳区、平昌县；成都市：金堂县、简阳市；达州市：达川区、大竹县、开江县、渠县、通川区、</w:t>
            </w:r>
            <w:r w:rsidRPr="00092862">
              <w:rPr>
                <w:b/>
                <w:bCs/>
                <w:color w:val="000000" w:themeColor="text1"/>
                <w:sz w:val="21"/>
                <w:szCs w:val="16"/>
              </w:rPr>
              <w:t>宣汉县</w:t>
            </w:r>
            <w:r w:rsidRPr="00092862">
              <w:rPr>
                <w:color w:val="000000" w:themeColor="text1"/>
                <w:sz w:val="21"/>
                <w:szCs w:val="16"/>
              </w:rPr>
              <w:t>；德阳市：中江县；广元市：苍溪县、剑阁县；乐山市：犍为县、井研县；眉山市：仁寿县；绵阳市：三台县、盐亭县、梓潼县；内江市：威远县、资中县；南充市：阆中市、仪陇县、营山县；遂宁市：大英县；宜宾市：宜宾县；资阳市：安岳县、乐至县、雁江区；自贡市；柴县（</w:t>
            </w:r>
            <w:r w:rsidRPr="00092862">
              <w:rPr>
                <w:color w:val="000000" w:themeColor="text1"/>
                <w:sz w:val="21"/>
                <w:szCs w:val="16"/>
              </w:rPr>
              <w:t>31</w:t>
            </w:r>
            <w:r w:rsidRPr="00092862">
              <w:rPr>
                <w:color w:val="000000" w:themeColor="text1"/>
                <w:sz w:val="21"/>
                <w:szCs w:val="16"/>
              </w:rPr>
              <w:t>）</w:t>
            </w:r>
          </w:p>
        </w:tc>
      </w:tr>
    </w:tbl>
    <w:p w14:paraId="6D710A1B" w14:textId="434CD7AD" w:rsidR="00812C9C" w:rsidRPr="00092862" w:rsidRDefault="00812C9C" w:rsidP="00812C9C">
      <w:pPr>
        <w:adjustRightInd w:val="0"/>
        <w:snapToGrid w:val="0"/>
        <w:spacing w:line="360" w:lineRule="auto"/>
        <w:ind w:firstLineChars="200" w:firstLine="480"/>
        <w:rPr>
          <w:rFonts w:ascii="Times New Roman" w:eastAsia="宋体" w:hAnsi="Times New Roman" w:cs="Times New Roman"/>
          <w:color w:val="000000" w:themeColor="text1"/>
          <w:kern w:val="0"/>
          <w:sz w:val="24"/>
        </w:rPr>
      </w:pPr>
      <w:r w:rsidRPr="00092862">
        <w:rPr>
          <w:rFonts w:ascii="Times New Roman" w:eastAsia="宋体" w:hAnsi="Times New Roman" w:cs="Times New Roman"/>
          <w:color w:val="000000" w:themeColor="text1"/>
          <w:kern w:val="0"/>
          <w:sz w:val="24"/>
        </w:rPr>
        <w:t>同时，根据达州市水利局《关于水土保持</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两区</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划分的公告》</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以下称《公告》</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（详见附件</w:t>
      </w:r>
      <w:r w:rsidRPr="00092862">
        <w:rPr>
          <w:rFonts w:ascii="Times New Roman" w:eastAsia="宋体" w:hAnsi="Times New Roman" w:cs="Times New Roman"/>
          <w:color w:val="000000" w:themeColor="text1"/>
          <w:kern w:val="0"/>
          <w:sz w:val="24"/>
        </w:rPr>
        <w:t>1</w:t>
      </w:r>
      <w:r w:rsidR="00621277" w:rsidRPr="00092862">
        <w:rPr>
          <w:rFonts w:ascii="Times New Roman" w:eastAsia="宋体" w:hAnsi="Times New Roman" w:cs="Times New Roman"/>
          <w:color w:val="000000" w:themeColor="text1"/>
          <w:kern w:val="0"/>
          <w:sz w:val="24"/>
        </w:rPr>
        <w:t>0</w:t>
      </w:r>
      <w:r w:rsidRPr="00092862">
        <w:rPr>
          <w:rFonts w:ascii="Times New Roman" w:eastAsia="宋体" w:hAnsi="Times New Roman" w:cs="Times New Roman"/>
          <w:color w:val="000000" w:themeColor="text1"/>
          <w:kern w:val="0"/>
          <w:sz w:val="24"/>
        </w:rPr>
        <w:t>），涉及《公告》中</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附件</w:t>
      </w:r>
      <w:r w:rsidRPr="00092862">
        <w:rPr>
          <w:rFonts w:ascii="Times New Roman" w:eastAsia="宋体" w:hAnsi="Times New Roman" w:cs="Times New Roman"/>
          <w:color w:val="000000" w:themeColor="text1"/>
          <w:kern w:val="0"/>
          <w:sz w:val="24"/>
        </w:rPr>
        <w:t>1</w:t>
      </w:r>
      <w:r w:rsidRPr="00092862">
        <w:rPr>
          <w:rFonts w:ascii="Times New Roman" w:eastAsia="宋体" w:hAnsi="Times New Roman" w:cs="Times New Roman"/>
          <w:color w:val="000000" w:themeColor="text1"/>
          <w:kern w:val="0"/>
          <w:sz w:val="24"/>
        </w:rPr>
        <w:t>达州市水土流失重点防治区划分表</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中所列生态分区中</w:t>
      </w:r>
      <w:r w:rsidRPr="00092862">
        <w:rPr>
          <w:rFonts w:ascii="Times New Roman" w:eastAsia="宋体" w:hAnsi="Times New Roman" w:cs="Times New Roman"/>
          <w:color w:val="000000" w:themeColor="text1"/>
          <w:kern w:val="0"/>
          <w:sz w:val="24"/>
        </w:rPr>
        <w:t>“Ⅱ</w:t>
      </w:r>
      <w:r w:rsidRPr="00092862">
        <w:rPr>
          <w:rFonts w:ascii="Times New Roman" w:eastAsia="宋体" w:hAnsi="Times New Roman" w:cs="Times New Roman"/>
          <w:color w:val="000000" w:themeColor="text1"/>
          <w:kern w:val="0"/>
          <w:sz w:val="24"/>
        </w:rPr>
        <w:t>区</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重点预防区、</w:t>
      </w:r>
      <w:r w:rsidRPr="00092862">
        <w:rPr>
          <w:rFonts w:ascii="Times New Roman" w:eastAsia="宋体" w:hAnsi="Times New Roman" w:cs="Times New Roman"/>
          <w:color w:val="000000" w:themeColor="text1"/>
          <w:kern w:val="0"/>
          <w:sz w:val="24"/>
        </w:rPr>
        <w:t>Ⅱ</w:t>
      </w:r>
      <w:r w:rsidRPr="00092862">
        <w:rPr>
          <w:rFonts w:ascii="Times New Roman" w:eastAsia="宋体" w:hAnsi="Times New Roman" w:cs="Times New Roman"/>
          <w:color w:val="000000" w:themeColor="text1"/>
          <w:kern w:val="0"/>
          <w:sz w:val="24"/>
        </w:rPr>
        <w:t>区</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重点治理区</w:t>
      </w:r>
      <w:r w:rsidRPr="00092862">
        <w:rPr>
          <w:rFonts w:ascii="Times New Roman" w:eastAsia="宋体" w:hAnsi="Times New Roman" w:cs="Times New Roman"/>
          <w:color w:val="000000" w:themeColor="text1"/>
          <w:kern w:val="0"/>
          <w:sz w:val="24"/>
        </w:rPr>
        <w:t>”</w:t>
      </w:r>
      <w:r w:rsidRPr="00092862">
        <w:rPr>
          <w:rFonts w:ascii="Times New Roman" w:eastAsia="宋体" w:hAnsi="Times New Roman" w:cs="Times New Roman"/>
          <w:color w:val="000000" w:themeColor="text1"/>
          <w:kern w:val="0"/>
          <w:sz w:val="24"/>
        </w:rPr>
        <w:t>，具体详见下表。</w:t>
      </w:r>
    </w:p>
    <w:p w14:paraId="249D96A3" w14:textId="7476DBF3" w:rsidR="00812C9C" w:rsidRPr="00092862" w:rsidRDefault="00812C9C"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6E70A7" w:rsidRPr="00092862">
        <w:rPr>
          <w:rFonts w:ascii="Times New Roman" w:eastAsia="黑体" w:hAnsi="Times New Roman"/>
          <w:color w:val="000000" w:themeColor="text1"/>
          <w:sz w:val="21"/>
          <w:szCs w:val="21"/>
          <w:lang w:eastAsia="zh-CN"/>
        </w:rPr>
        <w:t>1.1-</w:t>
      </w:r>
      <w:r w:rsidRPr="00092862">
        <w:rPr>
          <w:rFonts w:ascii="Times New Roman" w:eastAsia="黑体" w:hAnsi="Times New Roman"/>
          <w:color w:val="000000" w:themeColor="text1"/>
          <w:sz w:val="21"/>
          <w:szCs w:val="21"/>
          <w:lang w:eastAsia="zh-CN"/>
        </w:rPr>
        <w:t xml:space="preserve">2  </w:t>
      </w:r>
      <w:r w:rsidRPr="00092862">
        <w:rPr>
          <w:rFonts w:ascii="Times New Roman" w:eastAsia="黑体" w:hAnsi="Times New Roman"/>
          <w:color w:val="000000" w:themeColor="text1"/>
          <w:sz w:val="21"/>
          <w:szCs w:val="21"/>
          <w:lang w:eastAsia="zh-CN"/>
        </w:rPr>
        <w:t>达州市水土流失重点防治区划分表</w:t>
      </w:r>
    </w:p>
    <w:tbl>
      <w:tblPr>
        <w:tblStyle w:val="aff"/>
        <w:tblW w:w="0" w:type="auto"/>
        <w:tblLook w:val="04A0" w:firstRow="1" w:lastRow="0" w:firstColumn="1" w:lastColumn="0" w:noHBand="0" w:noVBand="1"/>
      </w:tblPr>
      <w:tblGrid>
        <w:gridCol w:w="1132"/>
        <w:gridCol w:w="1417"/>
        <w:gridCol w:w="5751"/>
      </w:tblGrid>
      <w:tr w:rsidR="00697429" w:rsidRPr="00092862" w14:paraId="6F38694C" w14:textId="77777777" w:rsidTr="000846B2">
        <w:tc>
          <w:tcPr>
            <w:tcW w:w="1134" w:type="dxa"/>
            <w:vAlign w:val="center"/>
          </w:tcPr>
          <w:p w14:paraId="4CA8A330" w14:textId="77777777" w:rsidR="00812C9C" w:rsidRPr="00092862" w:rsidRDefault="00812C9C" w:rsidP="003F1F64">
            <w:pPr>
              <w:pStyle w:val="afffff6"/>
              <w:spacing w:line="240" w:lineRule="auto"/>
              <w:ind w:firstLineChars="0" w:firstLine="0"/>
              <w:jc w:val="center"/>
              <w:rPr>
                <w:b/>
                <w:bCs/>
                <w:color w:val="000000" w:themeColor="text1"/>
                <w:sz w:val="21"/>
                <w:szCs w:val="16"/>
              </w:rPr>
            </w:pPr>
            <w:r w:rsidRPr="00092862">
              <w:rPr>
                <w:b/>
                <w:bCs/>
                <w:color w:val="000000" w:themeColor="text1"/>
                <w:sz w:val="21"/>
                <w:szCs w:val="16"/>
              </w:rPr>
              <w:t>生态分区</w:t>
            </w:r>
          </w:p>
        </w:tc>
        <w:tc>
          <w:tcPr>
            <w:tcW w:w="1418" w:type="dxa"/>
            <w:vAlign w:val="center"/>
          </w:tcPr>
          <w:p w14:paraId="7C893636" w14:textId="77777777" w:rsidR="00812C9C" w:rsidRPr="00092862" w:rsidRDefault="00812C9C" w:rsidP="003F1F64">
            <w:pPr>
              <w:pStyle w:val="afffff6"/>
              <w:spacing w:line="240" w:lineRule="auto"/>
              <w:ind w:firstLineChars="0" w:firstLine="0"/>
              <w:jc w:val="center"/>
              <w:rPr>
                <w:b/>
                <w:bCs/>
                <w:color w:val="000000" w:themeColor="text1"/>
                <w:sz w:val="21"/>
                <w:szCs w:val="16"/>
              </w:rPr>
            </w:pPr>
            <w:r w:rsidRPr="00092862">
              <w:rPr>
                <w:b/>
                <w:bCs/>
                <w:color w:val="000000" w:themeColor="text1"/>
                <w:sz w:val="21"/>
                <w:szCs w:val="16"/>
              </w:rPr>
              <w:t>治理分区</w:t>
            </w:r>
          </w:p>
        </w:tc>
        <w:tc>
          <w:tcPr>
            <w:tcW w:w="5758" w:type="dxa"/>
            <w:vAlign w:val="center"/>
          </w:tcPr>
          <w:p w14:paraId="36F1A44A" w14:textId="77777777" w:rsidR="00812C9C" w:rsidRPr="00092862" w:rsidRDefault="00812C9C" w:rsidP="003F1F64">
            <w:pPr>
              <w:pStyle w:val="afffff6"/>
              <w:spacing w:line="240" w:lineRule="auto"/>
              <w:ind w:firstLineChars="0" w:firstLine="0"/>
              <w:jc w:val="center"/>
              <w:rPr>
                <w:b/>
                <w:bCs/>
                <w:color w:val="000000" w:themeColor="text1"/>
                <w:sz w:val="21"/>
                <w:szCs w:val="16"/>
              </w:rPr>
            </w:pPr>
            <w:r w:rsidRPr="00092862">
              <w:rPr>
                <w:b/>
                <w:bCs/>
                <w:color w:val="000000" w:themeColor="text1"/>
                <w:sz w:val="21"/>
                <w:szCs w:val="16"/>
              </w:rPr>
              <w:t>乡镇</w:t>
            </w:r>
          </w:p>
        </w:tc>
      </w:tr>
      <w:tr w:rsidR="00697429" w:rsidRPr="00092862" w14:paraId="7C8B2FAD" w14:textId="77777777" w:rsidTr="000846B2">
        <w:tc>
          <w:tcPr>
            <w:tcW w:w="1134" w:type="dxa"/>
            <w:vMerge w:val="restart"/>
            <w:vAlign w:val="center"/>
          </w:tcPr>
          <w:p w14:paraId="622C6E36"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II</w:t>
            </w:r>
            <w:r w:rsidRPr="00092862">
              <w:rPr>
                <w:color w:val="000000" w:themeColor="text1"/>
                <w:sz w:val="21"/>
                <w:szCs w:val="16"/>
              </w:rPr>
              <w:t>区</w:t>
            </w:r>
          </w:p>
        </w:tc>
        <w:tc>
          <w:tcPr>
            <w:tcW w:w="1418" w:type="dxa"/>
            <w:vAlign w:val="center"/>
          </w:tcPr>
          <w:p w14:paraId="5D8CF325"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重点预防区</w:t>
            </w:r>
          </w:p>
        </w:tc>
        <w:tc>
          <w:tcPr>
            <w:tcW w:w="5758" w:type="dxa"/>
            <w:vAlign w:val="center"/>
          </w:tcPr>
          <w:p w14:paraId="0358B101"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宣汉县：龙泉乡、渡口乡、三墩乡、白马乡、大成镇、东乡镇、柳池乡、清溪镇、普光镇、桃花乡、双河镇、七里乡、柏树镇、天生镇、石铁乡、新华镇、厂溪乡、风鸣乡、红峰乡（</w:t>
            </w:r>
            <w:r w:rsidRPr="00092862">
              <w:rPr>
                <w:color w:val="000000" w:themeColor="text1"/>
                <w:sz w:val="21"/>
                <w:szCs w:val="16"/>
              </w:rPr>
              <w:t>19</w:t>
            </w:r>
            <w:r w:rsidRPr="00092862">
              <w:rPr>
                <w:color w:val="000000" w:themeColor="text1"/>
                <w:sz w:val="21"/>
                <w:szCs w:val="16"/>
              </w:rPr>
              <w:t>）</w:t>
            </w:r>
          </w:p>
        </w:tc>
      </w:tr>
      <w:tr w:rsidR="00697429" w:rsidRPr="00092862" w14:paraId="4712E1C5" w14:textId="77777777" w:rsidTr="000846B2">
        <w:tc>
          <w:tcPr>
            <w:tcW w:w="1134" w:type="dxa"/>
            <w:vMerge/>
            <w:vAlign w:val="center"/>
          </w:tcPr>
          <w:p w14:paraId="02B10885" w14:textId="77777777" w:rsidR="00812C9C" w:rsidRPr="00092862" w:rsidRDefault="00812C9C" w:rsidP="003F1F64">
            <w:pPr>
              <w:pStyle w:val="afffff6"/>
              <w:spacing w:line="240" w:lineRule="auto"/>
              <w:ind w:firstLineChars="0" w:firstLine="0"/>
              <w:jc w:val="center"/>
              <w:rPr>
                <w:color w:val="000000" w:themeColor="text1"/>
                <w:sz w:val="21"/>
                <w:szCs w:val="16"/>
              </w:rPr>
            </w:pPr>
          </w:p>
        </w:tc>
        <w:tc>
          <w:tcPr>
            <w:tcW w:w="1418" w:type="dxa"/>
            <w:vAlign w:val="center"/>
          </w:tcPr>
          <w:p w14:paraId="5CA095C7"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重点治理区</w:t>
            </w:r>
          </w:p>
        </w:tc>
        <w:tc>
          <w:tcPr>
            <w:tcW w:w="5758" w:type="dxa"/>
            <w:vAlign w:val="center"/>
          </w:tcPr>
          <w:p w14:paraId="179EEDBB" w14:textId="77777777" w:rsidR="00812C9C" w:rsidRPr="00092862" w:rsidRDefault="00812C9C" w:rsidP="003F1F64">
            <w:pPr>
              <w:pStyle w:val="afffff6"/>
              <w:spacing w:line="240" w:lineRule="auto"/>
              <w:ind w:firstLineChars="0" w:firstLine="0"/>
              <w:jc w:val="center"/>
              <w:rPr>
                <w:color w:val="000000" w:themeColor="text1"/>
                <w:sz w:val="21"/>
                <w:szCs w:val="16"/>
              </w:rPr>
            </w:pPr>
            <w:r w:rsidRPr="00092862">
              <w:rPr>
                <w:color w:val="000000" w:themeColor="text1"/>
                <w:sz w:val="21"/>
                <w:szCs w:val="16"/>
              </w:rPr>
              <w:t>宣汉县：三墩乡、土黄镇、樊哙镇、漆碑乡、华景镇、白马乡、庆云乡、马渡乡、隘口乡、清溪镇、</w:t>
            </w:r>
            <w:r w:rsidRPr="00092862">
              <w:rPr>
                <w:b/>
                <w:bCs/>
                <w:color w:val="000000" w:themeColor="text1"/>
                <w:sz w:val="21"/>
                <w:szCs w:val="16"/>
              </w:rPr>
              <w:t>老君乡、</w:t>
            </w:r>
            <w:r w:rsidRPr="00092862">
              <w:rPr>
                <w:color w:val="000000" w:themeColor="text1"/>
                <w:sz w:val="21"/>
                <w:szCs w:val="16"/>
              </w:rPr>
              <w:t>普光镇、峰城镇、凤林乡、五宝镇、天台乡、三河乡、君塘镇、明月乡、东乡镇、红岭乡、大成镇、柳池乡、东林乡、庙安乡、天宝乡、柏树镇、黄金镇、毛坝镇、胡家镇、花池乡、土主乡、南坪乡、观山乡（</w:t>
            </w:r>
            <w:r w:rsidRPr="00092862">
              <w:rPr>
                <w:color w:val="000000" w:themeColor="text1"/>
                <w:sz w:val="21"/>
                <w:szCs w:val="16"/>
              </w:rPr>
              <w:t>34</w:t>
            </w:r>
            <w:r w:rsidRPr="00092862">
              <w:rPr>
                <w:color w:val="000000" w:themeColor="text1"/>
                <w:sz w:val="21"/>
                <w:szCs w:val="16"/>
              </w:rPr>
              <w:t>）</w:t>
            </w:r>
          </w:p>
        </w:tc>
      </w:tr>
    </w:tbl>
    <w:p w14:paraId="60AD11E6" w14:textId="77777777" w:rsidR="00812C9C" w:rsidRPr="00092862" w:rsidRDefault="00812C9C" w:rsidP="00812C9C">
      <w:pPr>
        <w:pStyle w:val="afffff6"/>
        <w:ind w:firstLine="480"/>
        <w:rPr>
          <w:color w:val="000000" w:themeColor="text1"/>
        </w:rPr>
      </w:pPr>
      <w:r w:rsidRPr="00092862">
        <w:rPr>
          <w:color w:val="000000" w:themeColor="text1"/>
        </w:rPr>
        <w:t>本项目涉及水土流失重点治理区，故应当编制环境影响报告书。</w:t>
      </w:r>
    </w:p>
    <w:p w14:paraId="5490F527" w14:textId="5DD15F2B" w:rsidR="00812C9C" w:rsidRPr="00092862" w:rsidRDefault="00812C9C" w:rsidP="00812C9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中国石油化工股份有限公司中原油田普光分公司委托成都艺博环美环保科技有限公司承担本项目环境影响评价工作（见附件）。成都艺博环美环保科技有限公司接受委托后，成立项目组，并随即对该项目建设沿线及其周边的自然</w:t>
      </w:r>
      <w:r w:rsidRPr="00092862">
        <w:rPr>
          <w:rFonts w:ascii="Times New Roman" w:eastAsia="宋体" w:hAnsi="Times New Roman" w:cs="Times New Roman"/>
          <w:color w:val="000000" w:themeColor="text1"/>
          <w:kern w:val="0"/>
          <w:sz w:val="24"/>
          <w:szCs w:val="20"/>
        </w:rPr>
        <w:lastRenderedPageBreak/>
        <w:t>环境进行踏勘调查，并收集了与项目有关的建设及技术资料，根据建设项目环境影响评价导则、规范及要求，编制《</w:t>
      </w:r>
      <w:r w:rsidR="00215953" w:rsidRPr="00092862">
        <w:rPr>
          <w:rFonts w:ascii="Times New Roman" w:eastAsia="宋体" w:hAnsi="Times New Roman" w:cs="Times New Roman"/>
          <w:color w:val="000000" w:themeColor="text1"/>
          <w:kern w:val="0"/>
          <w:sz w:val="24"/>
          <w:szCs w:val="20"/>
        </w:rPr>
        <w:t>老君</w:t>
      </w:r>
      <w:r w:rsidR="00215953" w:rsidRPr="00092862">
        <w:rPr>
          <w:rFonts w:ascii="Times New Roman" w:eastAsia="宋体" w:hAnsi="Times New Roman" w:cs="Times New Roman"/>
          <w:color w:val="000000" w:themeColor="text1"/>
          <w:kern w:val="0"/>
          <w:sz w:val="24"/>
          <w:szCs w:val="20"/>
        </w:rPr>
        <w:t>7011</w:t>
      </w:r>
      <w:r w:rsidR="00215953" w:rsidRPr="00092862">
        <w:rPr>
          <w:rFonts w:ascii="Times New Roman" w:eastAsia="宋体" w:hAnsi="Times New Roman" w:cs="Times New Roman"/>
          <w:color w:val="000000" w:themeColor="text1"/>
          <w:kern w:val="0"/>
          <w:sz w:val="24"/>
          <w:szCs w:val="20"/>
        </w:rPr>
        <w:t>井台钻井及试采工程</w:t>
      </w:r>
      <w:r w:rsidRPr="00092862">
        <w:rPr>
          <w:rFonts w:ascii="Times New Roman" w:eastAsia="宋体" w:hAnsi="Times New Roman" w:cs="Times New Roman"/>
          <w:color w:val="000000" w:themeColor="text1"/>
          <w:kern w:val="0"/>
          <w:sz w:val="24"/>
          <w:szCs w:val="20"/>
        </w:rPr>
        <w:t>环境影响报告书》。</w:t>
      </w:r>
    </w:p>
    <w:p w14:paraId="118DBE0B" w14:textId="77777777" w:rsidR="00DC446C" w:rsidRPr="00092862" w:rsidRDefault="003B1968" w:rsidP="003D2EEB">
      <w:pPr>
        <w:pStyle w:val="2"/>
        <w:ind w:firstLine="480"/>
        <w:rPr>
          <w:color w:val="000000" w:themeColor="text1"/>
          <w:lang w:eastAsia="zh-CN"/>
        </w:rPr>
      </w:pPr>
      <w:bookmarkStart w:id="18" w:name="_Toc123682514"/>
      <w:bookmarkEnd w:id="7"/>
      <w:r w:rsidRPr="00092862">
        <w:rPr>
          <w:color w:val="000000" w:themeColor="text1"/>
          <w:lang w:eastAsia="zh-CN"/>
        </w:rPr>
        <w:t>1.2</w:t>
      </w:r>
      <w:r w:rsidRPr="00092862">
        <w:rPr>
          <w:color w:val="000000" w:themeColor="text1"/>
          <w:lang w:eastAsia="zh-CN"/>
        </w:rPr>
        <w:t>建设项目特点</w:t>
      </w:r>
      <w:bookmarkEnd w:id="18"/>
    </w:p>
    <w:p w14:paraId="422DFF94" w14:textId="5D8D333C" w:rsidR="003B63DE" w:rsidRPr="00092862" w:rsidRDefault="003B63DE"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本项目为天然气勘探井及</w:t>
      </w:r>
      <w:r w:rsidR="00644F03" w:rsidRPr="00092862">
        <w:rPr>
          <w:rFonts w:ascii="Times New Roman" w:eastAsia="宋体" w:hAnsi="Times New Roman" w:cs="Times New Roman"/>
          <w:color w:val="000000" w:themeColor="text1"/>
          <w:kern w:val="0"/>
          <w:sz w:val="24"/>
          <w:szCs w:val="20"/>
        </w:rPr>
        <w:t>天然气试采工程</w:t>
      </w:r>
      <w:r w:rsidRPr="00092862">
        <w:rPr>
          <w:rFonts w:ascii="Times New Roman" w:eastAsia="宋体" w:hAnsi="Times New Roman" w:cs="Times New Roman"/>
          <w:color w:val="000000" w:themeColor="text1"/>
          <w:kern w:val="0"/>
          <w:sz w:val="24"/>
          <w:szCs w:val="20"/>
        </w:rPr>
        <w:t>，具有如下特点：</w:t>
      </w:r>
    </w:p>
    <w:p w14:paraId="79B2AAE7" w14:textId="46FA80B9" w:rsidR="003B63DE" w:rsidRPr="00092862" w:rsidRDefault="003B63DE"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1</w:t>
      </w:r>
      <w:r w:rsidRPr="00092862">
        <w:rPr>
          <w:rFonts w:ascii="Times New Roman" w:eastAsia="宋体" w:hAnsi="Times New Roman" w:cs="Times New Roman"/>
          <w:color w:val="000000" w:themeColor="text1"/>
          <w:kern w:val="0"/>
          <w:sz w:val="24"/>
          <w:szCs w:val="20"/>
        </w:rPr>
        <w:t>）钻井期间主要为钻井废水、固废</w:t>
      </w:r>
      <w:r w:rsidR="0094644D">
        <w:rPr>
          <w:rFonts w:ascii="Times New Roman" w:eastAsia="宋体" w:hAnsi="Times New Roman" w:cs="Times New Roman" w:hint="eastAsia"/>
          <w:color w:val="000000" w:themeColor="text1"/>
          <w:kern w:val="0"/>
          <w:sz w:val="24"/>
          <w:szCs w:val="20"/>
        </w:rPr>
        <w:t>、噪声</w:t>
      </w:r>
      <w:r w:rsidRPr="00092862">
        <w:rPr>
          <w:rFonts w:ascii="Times New Roman" w:eastAsia="宋体" w:hAnsi="Times New Roman" w:cs="Times New Roman"/>
          <w:color w:val="000000" w:themeColor="text1"/>
          <w:kern w:val="0"/>
          <w:sz w:val="24"/>
          <w:szCs w:val="20"/>
        </w:rPr>
        <w:t>的环境影响分析及井场占地生态影响。</w:t>
      </w:r>
    </w:p>
    <w:p w14:paraId="56534D76" w14:textId="71050BDD" w:rsidR="003B63DE" w:rsidRPr="00092862" w:rsidRDefault="003B63DE"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2</w:t>
      </w:r>
      <w:r w:rsidRPr="00092862">
        <w:rPr>
          <w:rFonts w:ascii="Times New Roman" w:eastAsia="宋体" w:hAnsi="Times New Roman" w:cs="Times New Roman"/>
          <w:color w:val="000000" w:themeColor="text1"/>
          <w:kern w:val="0"/>
          <w:sz w:val="24"/>
          <w:szCs w:val="20"/>
        </w:rPr>
        <w:t>）</w:t>
      </w:r>
      <w:r w:rsidR="0094644D">
        <w:rPr>
          <w:rFonts w:ascii="Times New Roman" w:eastAsia="宋体" w:hAnsi="Times New Roman" w:cs="Times New Roman" w:hint="eastAsia"/>
          <w:color w:val="000000" w:themeColor="text1"/>
          <w:kern w:val="0"/>
          <w:sz w:val="24"/>
          <w:szCs w:val="20"/>
        </w:rPr>
        <w:t>钻井工程占地及</w:t>
      </w:r>
      <w:r w:rsidR="00644F03" w:rsidRPr="00092862">
        <w:rPr>
          <w:rFonts w:ascii="Times New Roman" w:eastAsia="宋体" w:hAnsi="Times New Roman" w:cs="Times New Roman"/>
          <w:color w:val="000000" w:themeColor="text1"/>
          <w:kern w:val="0"/>
          <w:sz w:val="24"/>
          <w:szCs w:val="20"/>
        </w:rPr>
        <w:t>天然气试采工程</w:t>
      </w:r>
      <w:r w:rsidRPr="00092862">
        <w:rPr>
          <w:rFonts w:ascii="Times New Roman" w:eastAsia="宋体" w:hAnsi="Times New Roman" w:cs="Times New Roman"/>
          <w:color w:val="000000" w:themeColor="text1"/>
          <w:kern w:val="0"/>
          <w:sz w:val="24"/>
          <w:szCs w:val="20"/>
        </w:rPr>
        <w:t>主要为</w:t>
      </w:r>
      <w:r w:rsidR="00BD26E4" w:rsidRPr="00092862">
        <w:rPr>
          <w:rFonts w:ascii="Times New Roman" w:eastAsia="宋体" w:hAnsi="Times New Roman" w:cs="Times New Roman"/>
          <w:color w:val="000000" w:themeColor="text1"/>
          <w:kern w:val="0"/>
          <w:sz w:val="24"/>
          <w:szCs w:val="20"/>
        </w:rPr>
        <w:t>集气站占地</w:t>
      </w:r>
      <w:r w:rsidRPr="00092862">
        <w:rPr>
          <w:rFonts w:ascii="Times New Roman" w:eastAsia="宋体" w:hAnsi="Times New Roman" w:cs="Times New Roman"/>
          <w:color w:val="000000" w:themeColor="text1"/>
          <w:kern w:val="0"/>
          <w:sz w:val="24"/>
          <w:szCs w:val="20"/>
        </w:rPr>
        <w:t>生态影响。</w:t>
      </w:r>
    </w:p>
    <w:p w14:paraId="05C0688B" w14:textId="12D1F151" w:rsidR="00DC446C" w:rsidRPr="00092862" w:rsidRDefault="003B63DE"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3</w:t>
      </w:r>
      <w:r w:rsidRPr="00092862">
        <w:rPr>
          <w:rFonts w:ascii="Times New Roman" w:eastAsia="宋体" w:hAnsi="Times New Roman" w:cs="Times New Roman"/>
          <w:color w:val="000000" w:themeColor="text1"/>
          <w:kern w:val="0"/>
          <w:sz w:val="24"/>
          <w:szCs w:val="20"/>
        </w:rPr>
        <w:t>）本项目</w:t>
      </w:r>
      <w:r w:rsidR="0094644D">
        <w:rPr>
          <w:rFonts w:ascii="Times New Roman" w:eastAsia="宋体" w:hAnsi="Times New Roman" w:cs="Times New Roman" w:hint="eastAsia"/>
          <w:color w:val="000000" w:themeColor="text1"/>
          <w:kern w:val="0"/>
          <w:sz w:val="24"/>
          <w:szCs w:val="20"/>
        </w:rPr>
        <w:t>开采原料及</w:t>
      </w:r>
      <w:r w:rsidRPr="00092862">
        <w:rPr>
          <w:rFonts w:ascii="Times New Roman" w:eastAsia="宋体" w:hAnsi="Times New Roman" w:cs="Times New Roman"/>
          <w:color w:val="000000" w:themeColor="text1"/>
          <w:kern w:val="0"/>
          <w:sz w:val="24"/>
          <w:szCs w:val="20"/>
        </w:rPr>
        <w:t>输送介质为含硫天然气</w:t>
      </w:r>
      <w:r w:rsidR="0094644D">
        <w:rPr>
          <w:rFonts w:ascii="Times New Roman" w:eastAsia="宋体" w:hAnsi="Times New Roman" w:cs="Times New Roman" w:hint="eastAsia"/>
          <w:color w:val="000000" w:themeColor="text1"/>
          <w:kern w:val="0"/>
          <w:sz w:val="24"/>
          <w:szCs w:val="20"/>
        </w:rPr>
        <w:t>，并涉</w:t>
      </w:r>
      <w:r w:rsidRPr="00092862">
        <w:rPr>
          <w:rFonts w:ascii="Times New Roman" w:eastAsia="宋体" w:hAnsi="Times New Roman" w:cs="Times New Roman"/>
          <w:color w:val="000000" w:themeColor="text1"/>
          <w:kern w:val="0"/>
          <w:sz w:val="24"/>
          <w:szCs w:val="20"/>
        </w:rPr>
        <w:t>及气田水，需考虑环境风险影响。</w:t>
      </w:r>
    </w:p>
    <w:p w14:paraId="417746FB" w14:textId="77777777" w:rsidR="00DC446C" w:rsidRPr="00092862" w:rsidRDefault="003B1968" w:rsidP="003D2EEB">
      <w:pPr>
        <w:pStyle w:val="2"/>
        <w:ind w:firstLine="480"/>
        <w:rPr>
          <w:color w:val="000000" w:themeColor="text1"/>
          <w:szCs w:val="24"/>
          <w:lang w:eastAsia="zh-CN"/>
        </w:rPr>
      </w:pPr>
      <w:bookmarkStart w:id="19" w:name="_Toc123682515"/>
      <w:r w:rsidRPr="00092862">
        <w:rPr>
          <w:color w:val="000000" w:themeColor="text1"/>
          <w:lang w:eastAsia="zh-CN"/>
        </w:rPr>
        <w:t>1.</w:t>
      </w:r>
      <w:r w:rsidR="008C73CE" w:rsidRPr="00092862">
        <w:rPr>
          <w:color w:val="000000" w:themeColor="text1"/>
          <w:lang w:eastAsia="zh-CN"/>
        </w:rPr>
        <w:t>3</w:t>
      </w:r>
      <w:r w:rsidRPr="00092862">
        <w:rPr>
          <w:color w:val="000000" w:themeColor="text1"/>
          <w:lang w:eastAsia="zh-CN"/>
        </w:rPr>
        <w:t>环境影响评价的工作过程</w:t>
      </w:r>
      <w:bookmarkEnd w:id="19"/>
    </w:p>
    <w:p w14:paraId="17EAE4A7"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主要评价工作过程如下：</w:t>
      </w:r>
    </w:p>
    <w:p w14:paraId="29528980"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1</w:t>
      </w:r>
      <w:r w:rsidRPr="00092862">
        <w:rPr>
          <w:rFonts w:ascii="Times New Roman" w:eastAsia="宋体" w:hAnsi="Times New Roman" w:cs="Times New Roman"/>
          <w:color w:val="000000" w:themeColor="text1"/>
          <w:kern w:val="0"/>
          <w:sz w:val="24"/>
          <w:szCs w:val="20"/>
        </w:rPr>
        <w:t>）研究国家和地方有关环境保护的法律法规、政策、标准及相关规划等，依据相关规定确定本项目环境影响评价文件类型；</w:t>
      </w:r>
    </w:p>
    <w:p w14:paraId="5E71BB21"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2</w:t>
      </w:r>
      <w:r w:rsidRPr="00092862">
        <w:rPr>
          <w:rFonts w:ascii="Times New Roman" w:eastAsia="宋体" w:hAnsi="Times New Roman" w:cs="Times New Roman"/>
          <w:color w:val="000000" w:themeColor="text1"/>
          <w:kern w:val="0"/>
          <w:sz w:val="24"/>
          <w:szCs w:val="20"/>
        </w:rPr>
        <w:t>）收集和研究项目相关技术文件和其他相关文件，进行初步工程分析，明确本项目的工程组成，根据工程特点确定产排污环节和主要污染物；</w:t>
      </w:r>
    </w:p>
    <w:p w14:paraId="4C24D3B4"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3</w:t>
      </w:r>
      <w:r w:rsidRPr="00092862">
        <w:rPr>
          <w:rFonts w:ascii="Times New Roman" w:eastAsia="宋体" w:hAnsi="Times New Roman" w:cs="Times New Roman"/>
          <w:color w:val="000000" w:themeColor="text1"/>
          <w:kern w:val="0"/>
          <w:sz w:val="24"/>
          <w:szCs w:val="20"/>
        </w:rPr>
        <w:t>）结合初步工程分析结果和环境现状资料，识别建设项目的环境影响因素，筛选主要的环境影响评价因子，明确评价重点，确定评价工作等级、评价范围及评价标准；</w:t>
      </w:r>
    </w:p>
    <w:p w14:paraId="3BDA7DC0"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4</w:t>
      </w:r>
      <w:r w:rsidRPr="00092862">
        <w:rPr>
          <w:rFonts w:ascii="Times New Roman" w:eastAsia="宋体" w:hAnsi="Times New Roman" w:cs="Times New Roman"/>
          <w:color w:val="000000" w:themeColor="text1"/>
          <w:kern w:val="0"/>
          <w:sz w:val="24"/>
          <w:szCs w:val="20"/>
        </w:rPr>
        <w:t>）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14:paraId="48171507"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5</w:t>
      </w:r>
      <w:r w:rsidRPr="00092862">
        <w:rPr>
          <w:rFonts w:ascii="Times New Roman" w:eastAsia="宋体" w:hAnsi="Times New Roman" w:cs="Times New Roman"/>
          <w:color w:val="000000" w:themeColor="text1"/>
          <w:kern w:val="0"/>
          <w:sz w:val="24"/>
          <w:szCs w:val="20"/>
        </w:rPr>
        <w:t>）在对建设项目实施后可能造成的环境影响进行分析、预测的基础上，提出预防或者减轻不良环境影响的对策和措施，从环境保护的角度提出项目建设的可行性结论，完成环境影响报告书编制。</w:t>
      </w:r>
    </w:p>
    <w:p w14:paraId="388E850F" w14:textId="77777777" w:rsidR="00DC446C" w:rsidRPr="00092862" w:rsidRDefault="003B1968"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本项目环境影响评价过程见下图：</w:t>
      </w:r>
    </w:p>
    <w:p w14:paraId="4E937048" w14:textId="77777777" w:rsidR="00DC446C" w:rsidRPr="00092862" w:rsidRDefault="003B1968" w:rsidP="003D2EEB">
      <w:pPr>
        <w:tabs>
          <w:tab w:val="left" w:pos="0"/>
        </w:tabs>
        <w:adjustRightInd w:val="0"/>
        <w:snapToGrid w:val="0"/>
        <w:spacing w:line="360" w:lineRule="auto"/>
        <w:rPr>
          <w:rFonts w:ascii="Times New Roman" w:hAnsi="Times New Roman" w:cs="Times New Roman"/>
          <w:color w:val="000000" w:themeColor="text1"/>
          <w:szCs w:val="21"/>
        </w:rPr>
      </w:pPr>
      <w:r w:rsidRPr="00092862">
        <w:rPr>
          <w:rFonts w:ascii="Times New Roman" w:hAnsi="Times New Roman" w:cs="Times New Roman"/>
          <w:noProof/>
          <w:color w:val="000000" w:themeColor="text1"/>
          <w:position w:val="-161"/>
          <w:szCs w:val="21"/>
        </w:rPr>
        <w:lastRenderedPageBreak/>
        <w:drawing>
          <wp:inline distT="0" distB="0" distL="0" distR="0" wp14:anchorId="61BD0651" wp14:editId="2BA83C0D">
            <wp:extent cx="5379720" cy="5130165"/>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79720" cy="5130165"/>
                    </a:xfrm>
                    <a:prstGeom prst="rect">
                      <a:avLst/>
                    </a:prstGeom>
                    <a:noFill/>
                    <a:ln>
                      <a:noFill/>
                    </a:ln>
                  </pic:spPr>
                </pic:pic>
              </a:graphicData>
            </a:graphic>
          </wp:inline>
        </w:drawing>
      </w:r>
    </w:p>
    <w:p w14:paraId="09476036" w14:textId="378A8DD5" w:rsidR="00DC446C" w:rsidRPr="00092862" w:rsidRDefault="003B1968" w:rsidP="0002261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000732EC"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环境影响评价程序</w:t>
      </w:r>
    </w:p>
    <w:p w14:paraId="1242BA3B" w14:textId="77777777" w:rsidR="00DC446C" w:rsidRPr="00092862" w:rsidRDefault="003B1968" w:rsidP="003E5E6C">
      <w:pPr>
        <w:pStyle w:val="2"/>
        <w:ind w:firstLine="480"/>
        <w:rPr>
          <w:color w:val="000000" w:themeColor="text1"/>
          <w:szCs w:val="24"/>
          <w:lang w:eastAsia="zh-CN"/>
        </w:rPr>
      </w:pPr>
      <w:bookmarkStart w:id="20" w:name="_Toc123682516"/>
      <w:r w:rsidRPr="00092862">
        <w:rPr>
          <w:color w:val="000000" w:themeColor="text1"/>
          <w:szCs w:val="24"/>
          <w:lang w:eastAsia="zh-CN"/>
        </w:rPr>
        <w:t>1.</w:t>
      </w:r>
      <w:r w:rsidR="008C73CE" w:rsidRPr="00092862">
        <w:rPr>
          <w:color w:val="000000" w:themeColor="text1"/>
          <w:szCs w:val="24"/>
          <w:lang w:eastAsia="zh-CN"/>
        </w:rPr>
        <w:t>4</w:t>
      </w:r>
      <w:r w:rsidRPr="00092862">
        <w:rPr>
          <w:color w:val="000000" w:themeColor="text1"/>
          <w:szCs w:val="24"/>
          <w:lang w:eastAsia="zh-CN"/>
        </w:rPr>
        <w:t>分析判定相关情况</w:t>
      </w:r>
      <w:bookmarkEnd w:id="20"/>
    </w:p>
    <w:p w14:paraId="15FCC2EA" w14:textId="45C48F06" w:rsidR="003B63DE" w:rsidRPr="00092862" w:rsidRDefault="003B63DE"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本项目符合</w:t>
      </w:r>
      <w:r w:rsidR="00A32347" w:rsidRPr="00092862">
        <w:rPr>
          <w:rFonts w:ascii="Times New Roman" w:eastAsia="宋体" w:hAnsi="Times New Roman" w:cs="Times New Roman"/>
          <w:color w:val="000000" w:themeColor="text1"/>
          <w:kern w:val="0"/>
          <w:sz w:val="24"/>
          <w:szCs w:val="20"/>
        </w:rPr>
        <w:t>《产业结构调整指导目录（</w:t>
      </w:r>
      <w:r w:rsidR="00A32347" w:rsidRPr="00092862">
        <w:rPr>
          <w:rFonts w:ascii="Times New Roman" w:eastAsia="宋体" w:hAnsi="Times New Roman" w:cs="Times New Roman"/>
          <w:color w:val="000000" w:themeColor="text1"/>
          <w:kern w:val="0"/>
          <w:sz w:val="24"/>
          <w:szCs w:val="20"/>
        </w:rPr>
        <w:t>2019</w:t>
      </w:r>
      <w:r w:rsidR="00A32347" w:rsidRPr="00092862">
        <w:rPr>
          <w:rFonts w:ascii="Times New Roman" w:eastAsia="宋体" w:hAnsi="Times New Roman" w:cs="Times New Roman"/>
          <w:color w:val="000000" w:themeColor="text1"/>
          <w:kern w:val="0"/>
          <w:sz w:val="24"/>
          <w:szCs w:val="20"/>
        </w:rPr>
        <w:t>年本）》与《国家发展改革委关于修改</w:t>
      </w:r>
      <w:r w:rsidR="00A32347" w:rsidRPr="00092862">
        <w:rPr>
          <w:rFonts w:ascii="Times New Roman" w:eastAsia="宋体" w:hAnsi="Times New Roman" w:cs="Times New Roman"/>
          <w:color w:val="000000" w:themeColor="text1"/>
          <w:kern w:val="0"/>
          <w:sz w:val="24"/>
          <w:szCs w:val="20"/>
        </w:rPr>
        <w:t>&lt;</w:t>
      </w:r>
      <w:r w:rsidR="00A32347" w:rsidRPr="00092862">
        <w:rPr>
          <w:rFonts w:ascii="Times New Roman" w:eastAsia="宋体" w:hAnsi="Times New Roman" w:cs="Times New Roman"/>
          <w:color w:val="000000" w:themeColor="text1"/>
          <w:kern w:val="0"/>
          <w:sz w:val="24"/>
          <w:szCs w:val="20"/>
        </w:rPr>
        <w:t>产业结构调整指导目录（</w:t>
      </w:r>
      <w:r w:rsidR="00A32347" w:rsidRPr="00092862">
        <w:rPr>
          <w:rFonts w:ascii="Times New Roman" w:eastAsia="宋体" w:hAnsi="Times New Roman" w:cs="Times New Roman"/>
          <w:color w:val="000000" w:themeColor="text1"/>
          <w:kern w:val="0"/>
          <w:sz w:val="24"/>
          <w:szCs w:val="20"/>
        </w:rPr>
        <w:t>2019</w:t>
      </w:r>
      <w:r w:rsidR="00A32347" w:rsidRPr="00092862">
        <w:rPr>
          <w:rFonts w:ascii="Times New Roman" w:eastAsia="宋体" w:hAnsi="Times New Roman" w:cs="Times New Roman"/>
          <w:color w:val="000000" w:themeColor="text1"/>
          <w:kern w:val="0"/>
          <w:sz w:val="24"/>
          <w:szCs w:val="20"/>
        </w:rPr>
        <w:t>年本）</w:t>
      </w:r>
      <w:r w:rsidR="00A32347" w:rsidRPr="00092862">
        <w:rPr>
          <w:rFonts w:ascii="Times New Roman" w:eastAsia="宋体" w:hAnsi="Times New Roman" w:cs="Times New Roman"/>
          <w:color w:val="000000" w:themeColor="text1"/>
          <w:kern w:val="0"/>
          <w:sz w:val="24"/>
          <w:szCs w:val="20"/>
        </w:rPr>
        <w:t>&gt;</w:t>
      </w:r>
      <w:r w:rsidR="00A32347" w:rsidRPr="00092862">
        <w:rPr>
          <w:rFonts w:ascii="Times New Roman" w:eastAsia="宋体" w:hAnsi="Times New Roman" w:cs="Times New Roman"/>
          <w:color w:val="000000" w:themeColor="text1"/>
          <w:kern w:val="0"/>
          <w:sz w:val="24"/>
          <w:szCs w:val="20"/>
        </w:rPr>
        <w:t>的决定》</w:t>
      </w:r>
      <w:r w:rsidR="00485439" w:rsidRPr="00092862">
        <w:rPr>
          <w:rFonts w:ascii="Times New Roman" w:eastAsia="宋体" w:hAnsi="Times New Roman" w:cs="Times New Roman"/>
          <w:color w:val="000000" w:themeColor="text1"/>
          <w:kern w:val="0"/>
          <w:sz w:val="24"/>
          <w:szCs w:val="20"/>
        </w:rPr>
        <w:t>（</w:t>
      </w:r>
      <w:r w:rsidR="00485439" w:rsidRPr="00092862">
        <w:rPr>
          <w:rFonts w:ascii="Times New Roman" w:eastAsia="宋体" w:hAnsi="Times New Roman" w:cs="Times New Roman"/>
          <w:color w:val="000000" w:themeColor="text1"/>
          <w:kern w:val="0"/>
          <w:sz w:val="24"/>
          <w:szCs w:val="20"/>
        </w:rPr>
        <w:t>2021</w:t>
      </w:r>
      <w:r w:rsidR="00485439" w:rsidRPr="00092862">
        <w:rPr>
          <w:rFonts w:ascii="Times New Roman" w:eastAsia="宋体" w:hAnsi="Times New Roman" w:cs="Times New Roman"/>
          <w:color w:val="000000" w:themeColor="text1"/>
          <w:kern w:val="0"/>
          <w:sz w:val="24"/>
          <w:szCs w:val="20"/>
        </w:rPr>
        <w:t>年修订）</w:t>
      </w:r>
      <w:r w:rsidRPr="00092862">
        <w:rPr>
          <w:rFonts w:ascii="Times New Roman" w:eastAsia="宋体" w:hAnsi="Times New Roman" w:cs="Times New Roman"/>
          <w:color w:val="000000" w:themeColor="text1"/>
          <w:kern w:val="0"/>
          <w:sz w:val="24"/>
          <w:szCs w:val="20"/>
        </w:rPr>
        <w:t>及相关环保政策要求。</w:t>
      </w:r>
    </w:p>
    <w:p w14:paraId="458295D4" w14:textId="60BD3EF4" w:rsidR="00DC446C" w:rsidRPr="00092862" w:rsidRDefault="003B63DE" w:rsidP="003E5E6C">
      <w:pPr>
        <w:adjustRightInd w:val="0"/>
        <w:snapToGrid w:val="0"/>
        <w:spacing w:line="360" w:lineRule="auto"/>
        <w:ind w:firstLineChars="200" w:firstLine="480"/>
        <w:rPr>
          <w:rFonts w:ascii="Times New Roman" w:eastAsia="宋体" w:hAnsi="Times New Roman" w:cs="Times New Roman"/>
          <w:color w:val="000000" w:themeColor="text1"/>
          <w:kern w:val="0"/>
          <w:sz w:val="24"/>
          <w:szCs w:val="20"/>
        </w:rPr>
      </w:pPr>
      <w:r w:rsidRPr="00092862">
        <w:rPr>
          <w:rFonts w:ascii="Times New Roman" w:eastAsia="宋体" w:hAnsi="Times New Roman" w:cs="Times New Roman"/>
          <w:color w:val="000000" w:themeColor="text1"/>
          <w:kern w:val="0"/>
          <w:sz w:val="24"/>
          <w:szCs w:val="20"/>
        </w:rPr>
        <w:t>本项目</w:t>
      </w:r>
      <w:r w:rsidR="00133FF9" w:rsidRPr="00092862">
        <w:rPr>
          <w:rFonts w:ascii="Times New Roman" w:eastAsia="宋体" w:hAnsi="Times New Roman" w:cs="Times New Roman"/>
          <w:color w:val="000000" w:themeColor="text1"/>
          <w:kern w:val="0"/>
          <w:sz w:val="24"/>
          <w:szCs w:val="20"/>
        </w:rPr>
        <w:t>未</w:t>
      </w:r>
      <w:r w:rsidRPr="00092862">
        <w:rPr>
          <w:rFonts w:ascii="Times New Roman" w:eastAsia="宋体" w:hAnsi="Times New Roman" w:cs="Times New Roman"/>
          <w:color w:val="000000" w:themeColor="text1"/>
          <w:kern w:val="0"/>
          <w:sz w:val="24"/>
          <w:szCs w:val="20"/>
        </w:rPr>
        <w:t>位于四川省达州市划定的生态保护红线区域内，与四川省</w:t>
      </w: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三线一单</w:t>
      </w:r>
      <w:r w:rsidRPr="00092862">
        <w:rPr>
          <w:rFonts w:ascii="Times New Roman" w:eastAsia="宋体" w:hAnsi="Times New Roman" w:cs="Times New Roman"/>
          <w:color w:val="000000" w:themeColor="text1"/>
          <w:kern w:val="0"/>
          <w:sz w:val="24"/>
          <w:szCs w:val="20"/>
        </w:rPr>
        <w:t>”</w:t>
      </w:r>
      <w:r w:rsidRPr="00092862">
        <w:rPr>
          <w:rFonts w:ascii="Times New Roman" w:eastAsia="宋体" w:hAnsi="Times New Roman" w:cs="Times New Roman"/>
          <w:color w:val="000000" w:themeColor="text1"/>
          <w:kern w:val="0"/>
          <w:sz w:val="24"/>
          <w:szCs w:val="20"/>
        </w:rPr>
        <w:t>不冲突；本项目建设不占用永久基本农田，</w:t>
      </w:r>
      <w:r w:rsidR="00133FF9" w:rsidRPr="00092862">
        <w:rPr>
          <w:rFonts w:ascii="Times New Roman" w:eastAsia="宋体" w:hAnsi="Times New Roman" w:cs="Times New Roman"/>
          <w:color w:val="000000" w:themeColor="text1"/>
          <w:kern w:val="0"/>
          <w:sz w:val="24"/>
          <w:szCs w:val="20"/>
        </w:rPr>
        <w:t>未</w:t>
      </w:r>
      <w:r w:rsidRPr="00092862">
        <w:rPr>
          <w:rFonts w:ascii="Times New Roman" w:eastAsia="宋体" w:hAnsi="Times New Roman" w:cs="Times New Roman"/>
          <w:color w:val="000000" w:themeColor="text1"/>
          <w:kern w:val="0"/>
          <w:sz w:val="24"/>
          <w:szCs w:val="20"/>
        </w:rPr>
        <w:t>位于自然保护区、森林公园、风景名胜区等生态敏感区范围内，拟建井场不涉及集中式饮用水源保护区。</w:t>
      </w:r>
    </w:p>
    <w:p w14:paraId="3DBAC553" w14:textId="77777777" w:rsidR="00DC446C" w:rsidRPr="00092862" w:rsidRDefault="003B1968" w:rsidP="003E5E6C">
      <w:pPr>
        <w:pStyle w:val="2"/>
        <w:ind w:firstLine="480"/>
        <w:rPr>
          <w:color w:val="000000" w:themeColor="text1"/>
          <w:szCs w:val="24"/>
          <w:lang w:eastAsia="zh-CN"/>
        </w:rPr>
      </w:pPr>
      <w:bookmarkStart w:id="21" w:name="_Toc123682517"/>
      <w:r w:rsidRPr="00092862">
        <w:rPr>
          <w:color w:val="000000" w:themeColor="text1"/>
          <w:szCs w:val="24"/>
          <w:lang w:eastAsia="zh-CN"/>
        </w:rPr>
        <w:t>1.5</w:t>
      </w:r>
      <w:r w:rsidRPr="00092862">
        <w:rPr>
          <w:color w:val="000000" w:themeColor="text1"/>
          <w:szCs w:val="24"/>
          <w:lang w:eastAsia="zh-CN"/>
        </w:rPr>
        <w:t>关注的主要环境问题</w:t>
      </w:r>
      <w:bookmarkEnd w:id="21"/>
    </w:p>
    <w:p w14:paraId="65987620" w14:textId="2AFC19C5" w:rsidR="003B63DE" w:rsidRPr="00092862" w:rsidRDefault="003B63DE" w:rsidP="003E5E6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）废气：施工期主要是开挖扬尘、部分机械设备运行产生的废气（主要污染物</w:t>
      </w:r>
      <w:r w:rsidRPr="00092862">
        <w:rPr>
          <w:rFonts w:ascii="Times New Roman" w:eastAsia="宋体" w:hAnsi="Times New Roman" w:cs="Times New Roman"/>
          <w:bCs/>
          <w:color w:val="000000" w:themeColor="text1"/>
          <w:sz w:val="24"/>
          <w:szCs w:val="24"/>
        </w:rPr>
        <w:t>NO</w:t>
      </w:r>
      <w:r w:rsidRPr="00092862">
        <w:rPr>
          <w:rFonts w:ascii="Times New Roman" w:eastAsia="宋体" w:hAnsi="Times New Roman" w:cs="Times New Roman"/>
          <w:bCs/>
          <w:color w:val="000000" w:themeColor="text1"/>
          <w:sz w:val="24"/>
          <w:szCs w:val="24"/>
          <w:vertAlign w:val="subscript"/>
        </w:rPr>
        <w:t>x</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CO</w:t>
      </w:r>
      <w:r w:rsidRPr="00092862">
        <w:rPr>
          <w:rFonts w:ascii="Times New Roman" w:eastAsia="宋体" w:hAnsi="Times New Roman" w:cs="Times New Roman"/>
          <w:bCs/>
          <w:color w:val="000000" w:themeColor="text1"/>
          <w:sz w:val="24"/>
          <w:szCs w:val="24"/>
        </w:rPr>
        <w:t>）等；</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期主要为</w:t>
      </w:r>
      <w:r w:rsidR="00133FF9" w:rsidRPr="00092862">
        <w:rPr>
          <w:rFonts w:ascii="Times New Roman" w:eastAsia="宋体" w:hAnsi="Times New Roman" w:cs="Times New Roman"/>
          <w:bCs/>
          <w:color w:val="000000" w:themeColor="text1"/>
          <w:sz w:val="24"/>
          <w:szCs w:val="24"/>
        </w:rPr>
        <w:t>水套加热炉废气、火炬长明灯废气</w:t>
      </w:r>
      <w:r w:rsidR="004B3D0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非正常工况下的检修废气和事故放空废气。环评中注重施工期废气的环境影响分析和</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期废气的达标排放及影响分析。</w:t>
      </w:r>
    </w:p>
    <w:p w14:paraId="24F8990C" w14:textId="339984C5" w:rsidR="003B63DE" w:rsidRPr="00092862" w:rsidRDefault="003B63DE" w:rsidP="003E5E6C">
      <w:pPr>
        <w:tabs>
          <w:tab w:val="left" w:pos="0"/>
        </w:tabs>
        <w:overflowPunct w:val="0"/>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）废水：施工期主要是钻井废水</w:t>
      </w:r>
      <w:r w:rsidR="004B3D0D" w:rsidRPr="00092862">
        <w:rPr>
          <w:rFonts w:ascii="Times New Roman" w:eastAsia="宋体" w:hAnsi="Times New Roman" w:cs="Times New Roman"/>
          <w:bCs/>
          <w:color w:val="000000" w:themeColor="text1"/>
          <w:sz w:val="24"/>
          <w:szCs w:val="24"/>
        </w:rPr>
        <w:t>、洗井废水、压裂返排液</w:t>
      </w:r>
      <w:r w:rsidRPr="00092862">
        <w:rPr>
          <w:rFonts w:ascii="Times New Roman" w:eastAsia="宋体" w:hAnsi="Times New Roman" w:cs="Times New Roman"/>
          <w:bCs/>
          <w:color w:val="000000" w:themeColor="text1"/>
          <w:sz w:val="24"/>
          <w:szCs w:val="24"/>
        </w:rPr>
        <w:t>以及施工人员生活污水；</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期主要为</w:t>
      </w:r>
      <w:r w:rsidR="00432775" w:rsidRPr="00092862">
        <w:rPr>
          <w:rFonts w:ascii="Times New Roman" w:eastAsia="宋体" w:hAnsi="Times New Roman" w:cs="Times New Roman"/>
          <w:bCs/>
          <w:color w:val="000000" w:themeColor="text1"/>
          <w:sz w:val="24"/>
          <w:szCs w:val="24"/>
        </w:rPr>
        <w:t>试采初期临时分酸分离器</w:t>
      </w:r>
      <w:r w:rsidRPr="00092862">
        <w:rPr>
          <w:rFonts w:ascii="Times New Roman" w:eastAsia="宋体" w:hAnsi="Times New Roman" w:cs="Times New Roman"/>
          <w:bCs/>
          <w:color w:val="000000" w:themeColor="text1"/>
          <w:sz w:val="24"/>
          <w:szCs w:val="24"/>
        </w:rPr>
        <w:t>产生的气田水</w:t>
      </w:r>
      <w:r w:rsidR="007C52BF" w:rsidRPr="00092862">
        <w:rPr>
          <w:rFonts w:ascii="Times New Roman" w:eastAsia="宋体" w:hAnsi="Times New Roman" w:cs="Times New Roman"/>
          <w:bCs/>
          <w:color w:val="000000" w:themeColor="text1"/>
          <w:sz w:val="24"/>
          <w:szCs w:val="24"/>
        </w:rPr>
        <w:t>与场站值班人员生活污水</w:t>
      </w:r>
      <w:r w:rsidRPr="00092862">
        <w:rPr>
          <w:rFonts w:ascii="Times New Roman" w:eastAsia="宋体" w:hAnsi="Times New Roman" w:cs="Times New Roman"/>
          <w:bCs/>
          <w:color w:val="000000" w:themeColor="text1"/>
          <w:sz w:val="24"/>
          <w:szCs w:val="24"/>
        </w:rPr>
        <w:t>。环评中注重施工期废水处理的可行性和可靠性论证，</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期气田水依托处置可行性分析。</w:t>
      </w:r>
    </w:p>
    <w:p w14:paraId="701418A7" w14:textId="0777F303" w:rsidR="003B63DE" w:rsidRPr="00092862" w:rsidRDefault="003B63DE" w:rsidP="003E5E6C">
      <w:pPr>
        <w:tabs>
          <w:tab w:val="left" w:pos="0"/>
        </w:tabs>
        <w:overflowPunct w:val="0"/>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）噪声：施工期为各类机械设备产生的噪声；</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期主要为</w:t>
      </w:r>
      <w:r w:rsidR="00F30AFD" w:rsidRPr="00092862">
        <w:rPr>
          <w:rFonts w:ascii="Times New Roman" w:eastAsia="宋体" w:hAnsi="Times New Roman" w:cs="Times New Roman"/>
          <w:bCs/>
          <w:color w:val="000000" w:themeColor="text1"/>
          <w:sz w:val="24"/>
          <w:szCs w:val="24"/>
        </w:rPr>
        <w:t>集气站</w:t>
      </w:r>
      <w:r w:rsidRPr="00092862">
        <w:rPr>
          <w:rFonts w:ascii="Times New Roman" w:eastAsia="宋体" w:hAnsi="Times New Roman" w:cs="Times New Roman"/>
          <w:bCs/>
          <w:color w:val="000000" w:themeColor="text1"/>
          <w:sz w:val="24"/>
          <w:szCs w:val="24"/>
        </w:rPr>
        <w:t>节流阀等因节流或流速改变造成部件的机械振动而产生的一定噪声</w:t>
      </w:r>
      <w:r w:rsidR="004B3D0D" w:rsidRPr="00092862">
        <w:rPr>
          <w:rFonts w:ascii="Times New Roman" w:eastAsia="宋体" w:hAnsi="Times New Roman" w:cs="Times New Roman"/>
          <w:bCs/>
          <w:color w:val="000000" w:themeColor="text1"/>
          <w:sz w:val="24"/>
          <w:szCs w:val="24"/>
        </w:rPr>
        <w:t>以及放空火炬噪声</w:t>
      </w:r>
      <w:r w:rsidRPr="00092862">
        <w:rPr>
          <w:rFonts w:ascii="Times New Roman" w:eastAsia="宋体" w:hAnsi="Times New Roman" w:cs="Times New Roman"/>
          <w:bCs/>
          <w:color w:val="000000" w:themeColor="text1"/>
          <w:sz w:val="24"/>
          <w:szCs w:val="24"/>
        </w:rPr>
        <w:t>。环评中注重施工期和</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期噪声控制措施的可行性论证。</w:t>
      </w:r>
    </w:p>
    <w:p w14:paraId="4E02C0D1" w14:textId="57E9D78A" w:rsidR="003B63DE" w:rsidRPr="00092862" w:rsidRDefault="003B63DE" w:rsidP="003E5E6C">
      <w:pPr>
        <w:tabs>
          <w:tab w:val="left" w:pos="0"/>
        </w:tabs>
        <w:overflowPunct w:val="0"/>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）固体废物：施工期主要是废弃土石方、生活垃圾</w:t>
      </w:r>
      <w:r w:rsidR="004B3D0D" w:rsidRPr="00092862">
        <w:rPr>
          <w:rFonts w:ascii="Times New Roman" w:eastAsia="宋体" w:hAnsi="Times New Roman" w:cs="Times New Roman"/>
          <w:bCs/>
          <w:color w:val="000000" w:themeColor="text1"/>
          <w:sz w:val="24"/>
          <w:szCs w:val="24"/>
        </w:rPr>
        <w:t>、</w:t>
      </w:r>
      <w:r w:rsidR="008E7B30" w:rsidRPr="00092862">
        <w:rPr>
          <w:rFonts w:ascii="Times New Roman" w:eastAsia="宋体" w:hAnsi="Times New Roman" w:cs="Times New Roman"/>
          <w:bCs/>
          <w:color w:val="000000" w:themeColor="text1"/>
          <w:sz w:val="24"/>
          <w:szCs w:val="24"/>
        </w:rPr>
        <w:t>水基钻井固废、废油</w:t>
      </w:r>
      <w:r w:rsidRPr="00092862">
        <w:rPr>
          <w:rFonts w:ascii="Times New Roman" w:eastAsia="宋体" w:hAnsi="Times New Roman" w:cs="Times New Roman"/>
          <w:bCs/>
          <w:color w:val="000000" w:themeColor="text1"/>
          <w:sz w:val="24"/>
          <w:szCs w:val="24"/>
        </w:rPr>
        <w:t>等；场站值班人员生活垃圾。环评中注重施工期固体废物处理的可行性进行论证。</w:t>
      </w:r>
    </w:p>
    <w:p w14:paraId="5AABFF65" w14:textId="04F01A71" w:rsidR="003B63DE" w:rsidRPr="00092862" w:rsidRDefault="003B63DE" w:rsidP="003E5E6C">
      <w:pPr>
        <w:tabs>
          <w:tab w:val="left" w:pos="0"/>
        </w:tabs>
        <w:overflowPunct w:val="0"/>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）生态环境：施工期生态环境影响主要来自站场施工过程中开挖管沟、施工机械和人员的践踏等活动，以及工程临时占地、施工产生的固体废物等对土壤、生态环境的影响；</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期主要为生态恢复。环评中注意对生态环境保护措施进行论证。</w:t>
      </w:r>
    </w:p>
    <w:p w14:paraId="1DA8F56D" w14:textId="39F98EAF" w:rsidR="007E1ED2" w:rsidRPr="00092862" w:rsidRDefault="003B63DE" w:rsidP="003E5E6C">
      <w:pPr>
        <w:tabs>
          <w:tab w:val="left" w:pos="0"/>
        </w:tabs>
        <w:overflowPunct w:val="0"/>
        <w:adjustRightInd w:val="0"/>
        <w:snapToGrid w:val="0"/>
        <w:spacing w:line="360" w:lineRule="auto"/>
        <w:ind w:firstLineChars="200" w:firstLine="480"/>
        <w:rPr>
          <w:rFonts w:ascii="Times New Roman"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）环境风险：主要为</w:t>
      </w:r>
      <w:r w:rsidR="00432775" w:rsidRPr="00092862">
        <w:rPr>
          <w:rFonts w:ascii="Times New Roman" w:eastAsia="宋体" w:hAnsi="Times New Roman" w:cs="Times New Roman"/>
          <w:bCs/>
          <w:color w:val="000000" w:themeColor="text1"/>
          <w:sz w:val="24"/>
          <w:szCs w:val="24"/>
        </w:rPr>
        <w:t>站内</w:t>
      </w:r>
      <w:r w:rsidRPr="00092862">
        <w:rPr>
          <w:rFonts w:ascii="Times New Roman" w:eastAsia="宋体" w:hAnsi="Times New Roman" w:cs="Times New Roman"/>
          <w:bCs/>
          <w:color w:val="000000" w:themeColor="text1"/>
          <w:sz w:val="24"/>
          <w:szCs w:val="24"/>
        </w:rPr>
        <w:t>输气管道、设备等受影响而产生泄漏风险以及</w:t>
      </w:r>
      <w:r w:rsidR="006D25F3">
        <w:rPr>
          <w:rFonts w:ascii="Times New Roman" w:eastAsia="宋体" w:hAnsi="Times New Roman" w:cs="Times New Roman" w:hint="eastAsia"/>
          <w:bCs/>
          <w:color w:val="000000" w:themeColor="text1"/>
          <w:sz w:val="24"/>
          <w:szCs w:val="24"/>
        </w:rPr>
        <w:t>钻井工程</w:t>
      </w:r>
      <w:r w:rsidRPr="00092862">
        <w:rPr>
          <w:rFonts w:ascii="Times New Roman" w:eastAsia="宋体" w:hAnsi="Times New Roman" w:cs="Times New Roman"/>
          <w:bCs/>
          <w:color w:val="000000" w:themeColor="text1"/>
          <w:sz w:val="24"/>
          <w:szCs w:val="24"/>
        </w:rPr>
        <w:t>井喷事故的环境风险。</w:t>
      </w:r>
    </w:p>
    <w:p w14:paraId="75DC1BD4" w14:textId="77777777" w:rsidR="00DC446C" w:rsidRPr="00092862" w:rsidRDefault="003B1968" w:rsidP="003E5E6C">
      <w:pPr>
        <w:pStyle w:val="2"/>
        <w:ind w:firstLine="480"/>
        <w:rPr>
          <w:color w:val="000000" w:themeColor="text1"/>
          <w:szCs w:val="24"/>
          <w:lang w:eastAsia="zh-CN"/>
        </w:rPr>
      </w:pPr>
      <w:bookmarkStart w:id="22" w:name="_Toc123682518"/>
      <w:r w:rsidRPr="00092862">
        <w:rPr>
          <w:color w:val="000000" w:themeColor="text1"/>
          <w:szCs w:val="24"/>
          <w:lang w:eastAsia="zh-CN"/>
        </w:rPr>
        <w:t>1.</w:t>
      </w:r>
      <w:r w:rsidR="001C7171" w:rsidRPr="00092862">
        <w:rPr>
          <w:color w:val="000000" w:themeColor="text1"/>
          <w:szCs w:val="24"/>
          <w:lang w:eastAsia="zh-CN"/>
        </w:rPr>
        <w:t>6</w:t>
      </w:r>
      <w:r w:rsidRPr="00092862">
        <w:rPr>
          <w:color w:val="000000" w:themeColor="text1"/>
          <w:szCs w:val="24"/>
          <w:lang w:eastAsia="zh-CN"/>
        </w:rPr>
        <w:t>环境影响评价的主要结论</w:t>
      </w:r>
      <w:bookmarkEnd w:id="22"/>
    </w:p>
    <w:p w14:paraId="1A30F2AC" w14:textId="4A83151C" w:rsidR="003B63DE" w:rsidRPr="00092862" w:rsidRDefault="003B63DE" w:rsidP="003E5E6C">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符合国家产业政策，与当地规划相容，符合石油天然气发展规划；所在区域环境空气质量现状较好；建设期间对生态环境、地表水、地下水、大气、土壤、声环境影响小，不改变区域的环境功能；该项目达到清洁生产国内先进水平，采用的环保措施可行，社会、经济效益十分显著；建设项目环境可行，选址选线合理；该工程采取的环境风险措施可靠，制定的应急预案切实可行，在落实风险防范措施及应急预案后，环境风险达到可接受水平；所采取的废水、固体废物和噪声防治措施以及水土保持措施可行有效，在建设过程认真落实报告提出的各项污染防治措施后，对周围环境不会造成污染影响。从环境角度而言，无明显制约项目建设的环境因素，本项目在拟选站址建设是可行的。</w:t>
      </w:r>
    </w:p>
    <w:p w14:paraId="4AAA65E6" w14:textId="1A11EDD1" w:rsidR="00DC446C" w:rsidRPr="00092862" w:rsidRDefault="003B63DE" w:rsidP="003E5E6C">
      <w:pPr>
        <w:tabs>
          <w:tab w:val="left" w:pos="0"/>
        </w:tabs>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综上，项目建设无明显制约的环境因素，建设过程中认真落实报告提出的各项污染防治、生态保护措施和应急预案后，从环境保护角度而言，本项目在拟选站址建设是可行的。</w:t>
      </w:r>
    </w:p>
    <w:p w14:paraId="0613F98E" w14:textId="77777777" w:rsidR="00DC446C" w:rsidRPr="00092862" w:rsidRDefault="00DC446C" w:rsidP="003D2EEB">
      <w:pPr>
        <w:adjustRightInd w:val="0"/>
        <w:snapToGrid w:val="0"/>
        <w:spacing w:line="360" w:lineRule="auto"/>
        <w:ind w:firstLineChars="200" w:firstLine="420"/>
        <w:rPr>
          <w:rFonts w:ascii="Times New Roman" w:hAnsi="Times New Roman" w:cs="Times New Roman"/>
          <w:color w:val="000000" w:themeColor="text1"/>
        </w:rPr>
        <w:sectPr w:rsidR="00DC446C" w:rsidRPr="00092862" w:rsidSect="00812C9C">
          <w:headerReference w:type="default" r:id="rId12"/>
          <w:type w:val="nextColumn"/>
          <w:pgSz w:w="11910" w:h="16840"/>
          <w:pgMar w:top="1440" w:right="1800" w:bottom="1440" w:left="1800" w:header="877" w:footer="1007" w:gutter="0"/>
          <w:cols w:space="720"/>
        </w:sectPr>
      </w:pPr>
    </w:p>
    <w:p w14:paraId="47597DA0" w14:textId="77777777" w:rsidR="00DC446C" w:rsidRPr="00092862" w:rsidRDefault="003B1968" w:rsidP="003D2EEB">
      <w:pPr>
        <w:pStyle w:val="1"/>
        <w:adjustRightInd w:val="0"/>
        <w:snapToGrid w:val="0"/>
        <w:spacing w:beforeLines="200" w:before="624" w:after="0" w:line="480" w:lineRule="auto"/>
        <w:jc w:val="center"/>
        <w:rPr>
          <w:rFonts w:ascii="Times New Roman" w:eastAsia="黑体" w:hAnsi="Times New Roman"/>
          <w:b w:val="0"/>
          <w:color w:val="000000" w:themeColor="text1"/>
          <w:sz w:val="28"/>
          <w:szCs w:val="28"/>
          <w:lang w:eastAsia="zh-CN"/>
        </w:rPr>
      </w:pPr>
      <w:bookmarkStart w:id="23" w:name="_Toc123682519"/>
      <w:r w:rsidRPr="00092862">
        <w:rPr>
          <w:rFonts w:ascii="Times New Roman" w:eastAsia="黑体" w:hAnsi="Times New Roman"/>
          <w:b w:val="0"/>
          <w:color w:val="000000" w:themeColor="text1"/>
          <w:sz w:val="28"/>
          <w:szCs w:val="28"/>
          <w:lang w:eastAsia="zh-CN"/>
        </w:rPr>
        <w:lastRenderedPageBreak/>
        <w:t>2</w:t>
      </w:r>
      <w:r w:rsidRPr="00092862">
        <w:rPr>
          <w:rFonts w:ascii="Times New Roman" w:eastAsia="黑体" w:hAnsi="Times New Roman"/>
          <w:b w:val="0"/>
          <w:color w:val="000000" w:themeColor="text1"/>
          <w:sz w:val="28"/>
          <w:szCs w:val="28"/>
          <w:lang w:eastAsia="zh-CN"/>
        </w:rPr>
        <w:t>总则</w:t>
      </w:r>
      <w:bookmarkEnd w:id="23"/>
    </w:p>
    <w:p w14:paraId="4F353013" w14:textId="77777777" w:rsidR="00DC446C" w:rsidRPr="00092862" w:rsidRDefault="003B1968" w:rsidP="003D2EEB">
      <w:pPr>
        <w:pStyle w:val="2"/>
        <w:ind w:firstLine="480"/>
        <w:rPr>
          <w:color w:val="000000" w:themeColor="text1"/>
          <w:szCs w:val="24"/>
          <w:lang w:eastAsia="zh-CN"/>
        </w:rPr>
      </w:pPr>
      <w:bookmarkStart w:id="24" w:name="_Toc123682520"/>
      <w:r w:rsidRPr="00092862">
        <w:rPr>
          <w:color w:val="000000" w:themeColor="text1"/>
          <w:szCs w:val="24"/>
          <w:lang w:eastAsia="zh-CN"/>
        </w:rPr>
        <w:t>2.1</w:t>
      </w:r>
      <w:r w:rsidRPr="00092862">
        <w:rPr>
          <w:color w:val="000000" w:themeColor="text1"/>
          <w:szCs w:val="24"/>
          <w:lang w:eastAsia="zh-CN"/>
        </w:rPr>
        <w:t>评价目的</w:t>
      </w:r>
      <w:bookmarkEnd w:id="24"/>
    </w:p>
    <w:p w14:paraId="468237A5"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的合理性做出结论，为环境保护部门提供可靠的决策依据，为项目顺利建设和运行提供有效的污染防治措施，为建设单位环境管理提供科学依据，达到保护好区域环境的目的。</w:t>
      </w:r>
    </w:p>
    <w:p w14:paraId="0C9DA09E" w14:textId="77777777" w:rsidR="00DC446C" w:rsidRPr="00092862" w:rsidRDefault="003B1968" w:rsidP="003D2EEB">
      <w:pPr>
        <w:pStyle w:val="2"/>
        <w:ind w:firstLine="480"/>
        <w:rPr>
          <w:color w:val="000000" w:themeColor="text1"/>
          <w:szCs w:val="24"/>
          <w:lang w:eastAsia="zh-CN"/>
        </w:rPr>
      </w:pPr>
      <w:bookmarkStart w:id="25" w:name="_Toc123682521"/>
      <w:r w:rsidRPr="00092862">
        <w:rPr>
          <w:color w:val="000000" w:themeColor="text1"/>
          <w:szCs w:val="24"/>
          <w:lang w:eastAsia="zh-CN"/>
        </w:rPr>
        <w:t>2.2</w:t>
      </w:r>
      <w:r w:rsidRPr="00092862">
        <w:rPr>
          <w:color w:val="000000" w:themeColor="text1"/>
          <w:szCs w:val="24"/>
          <w:lang w:eastAsia="zh-CN"/>
        </w:rPr>
        <w:t>评价原则</w:t>
      </w:r>
      <w:bookmarkEnd w:id="25"/>
    </w:p>
    <w:p w14:paraId="1627818D"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突出环境影响评价的源头预防作用，坚持保护和改善环境质量。</w:t>
      </w:r>
    </w:p>
    <w:p w14:paraId="04A1C1E3"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）依法评价</w:t>
      </w:r>
    </w:p>
    <w:p w14:paraId="4C97D5C4"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贯彻执行我国环境保护相关法律法规、标准、政策和规划等，优化项目建设，服务环境管理。</w:t>
      </w:r>
    </w:p>
    <w:p w14:paraId="77F091CC"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）科学评价</w:t>
      </w:r>
    </w:p>
    <w:p w14:paraId="631637E4"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规范环境影响评价方法，科学分析项目建设对环境质量的影响。</w:t>
      </w:r>
    </w:p>
    <w:p w14:paraId="666B1E89"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）突出重点</w:t>
      </w:r>
    </w:p>
    <w:p w14:paraId="367F5F83"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
          <w:color w:val="000000" w:themeColor="text1"/>
        </w:rPr>
      </w:pPr>
      <w:r w:rsidRPr="00092862">
        <w:rPr>
          <w:rFonts w:ascii="Times New Roman" w:eastAsia="宋体" w:hAnsi="Times New Roman" w:cs="Times New Roman"/>
          <w:bCs/>
          <w:color w:val="000000" w:themeColor="text1"/>
          <w:sz w:val="24"/>
          <w:szCs w:val="24"/>
        </w:rPr>
        <w:t>根据建设项目的工程内容及其特点，明确与环境要素间的作用效应关系，充分利用符合时效的数据资料及成果，对建设项目主要环境影响予以重点分析和评价。</w:t>
      </w:r>
    </w:p>
    <w:p w14:paraId="4F7FF417" w14:textId="77777777" w:rsidR="00DC446C" w:rsidRPr="00092862" w:rsidRDefault="003B1968" w:rsidP="003D2EEB">
      <w:pPr>
        <w:pStyle w:val="2"/>
        <w:ind w:firstLine="480"/>
        <w:rPr>
          <w:color w:val="000000" w:themeColor="text1"/>
          <w:szCs w:val="24"/>
          <w:lang w:eastAsia="zh-CN"/>
        </w:rPr>
      </w:pPr>
      <w:bookmarkStart w:id="26" w:name="_Toc123682522"/>
      <w:r w:rsidRPr="00092862">
        <w:rPr>
          <w:color w:val="000000" w:themeColor="text1"/>
          <w:szCs w:val="24"/>
          <w:lang w:eastAsia="zh-CN"/>
        </w:rPr>
        <w:t>2.3</w:t>
      </w:r>
      <w:r w:rsidRPr="00092862">
        <w:rPr>
          <w:color w:val="000000" w:themeColor="text1"/>
          <w:szCs w:val="24"/>
          <w:lang w:eastAsia="zh-CN"/>
        </w:rPr>
        <w:t>编制依据</w:t>
      </w:r>
      <w:bookmarkEnd w:id="26"/>
    </w:p>
    <w:p w14:paraId="7AC3E57A"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7" w:name="_Toc120173054"/>
      <w:r w:rsidRPr="00092862">
        <w:rPr>
          <w:rFonts w:ascii="Times New Roman" w:eastAsia="黑体" w:hAnsi="Times New Roman"/>
          <w:b w:val="0"/>
          <w:color w:val="000000" w:themeColor="text1"/>
          <w:sz w:val="24"/>
          <w:szCs w:val="24"/>
          <w:lang w:eastAsia="zh-CN"/>
        </w:rPr>
        <w:t>2.3.1</w:t>
      </w:r>
      <w:r w:rsidRPr="00092862">
        <w:rPr>
          <w:rFonts w:ascii="Times New Roman" w:eastAsia="黑体" w:hAnsi="Times New Roman"/>
          <w:b w:val="0"/>
          <w:color w:val="000000" w:themeColor="text1"/>
          <w:sz w:val="24"/>
          <w:szCs w:val="24"/>
          <w:lang w:eastAsia="zh-CN"/>
        </w:rPr>
        <w:t>法律、法规</w:t>
      </w:r>
      <w:bookmarkEnd w:id="27"/>
    </w:p>
    <w:p w14:paraId="48477254" w14:textId="77777777" w:rsidR="00DC446C" w:rsidRPr="00092862" w:rsidRDefault="003B1968" w:rsidP="003D2EEB">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w:t>
      </w:r>
      <w:r w:rsidRPr="00092862">
        <w:rPr>
          <w:rFonts w:ascii="Times New Roman" w:eastAsia="Times New Roman" w:hAnsi="Times New Roman"/>
          <w:color w:val="000000" w:themeColor="text1"/>
          <w:lang w:eastAsia="zh-CN"/>
        </w:rPr>
        <w:t>&lt;</w:t>
      </w:r>
      <w:r w:rsidRPr="00092862">
        <w:rPr>
          <w:rFonts w:ascii="Times New Roman" w:hAnsi="Times New Roman"/>
          <w:color w:val="000000" w:themeColor="text1"/>
          <w:lang w:eastAsia="zh-CN"/>
        </w:rPr>
        <w:t>中华人民共和国环境保护法</w:t>
      </w:r>
      <w:r w:rsidRPr="00092862">
        <w:rPr>
          <w:rFonts w:ascii="Times New Roman" w:eastAsia="Times New Roman" w:hAnsi="Times New Roman"/>
          <w:color w:val="000000" w:themeColor="text1"/>
          <w:lang w:eastAsia="zh-CN"/>
        </w:rPr>
        <w:t>&gt;</w:t>
      </w:r>
      <w:r w:rsidRPr="00092862">
        <w:rPr>
          <w:rFonts w:ascii="Times New Roman" w:hAnsi="Times New Roman"/>
          <w:color w:val="000000" w:themeColor="text1"/>
          <w:lang w:eastAsia="zh-CN"/>
        </w:rPr>
        <w:t>（</w:t>
      </w:r>
      <w:r w:rsidRPr="00092862">
        <w:rPr>
          <w:rFonts w:ascii="Times New Roman" w:eastAsia="Times New Roman" w:hAnsi="Times New Roman"/>
          <w:color w:val="000000" w:themeColor="text1"/>
          <w:lang w:eastAsia="zh-CN"/>
        </w:rPr>
        <w:t>2014</w:t>
      </w:r>
      <w:r w:rsidRPr="00092862">
        <w:rPr>
          <w:rFonts w:ascii="Times New Roman" w:hAnsi="Times New Roman"/>
          <w:color w:val="000000" w:themeColor="text1"/>
          <w:spacing w:val="-27"/>
          <w:lang w:eastAsia="zh-CN"/>
        </w:rPr>
        <w:t>修订）》，</w:t>
      </w:r>
      <w:r w:rsidRPr="00092862">
        <w:rPr>
          <w:rFonts w:ascii="Times New Roman" w:eastAsia="Times New Roman" w:hAnsi="Times New Roman"/>
          <w:color w:val="000000" w:themeColor="text1"/>
          <w:spacing w:val="-27"/>
          <w:lang w:eastAsia="zh-CN"/>
        </w:rPr>
        <w:t>2015</w:t>
      </w:r>
      <w:r w:rsidRPr="00092862">
        <w:rPr>
          <w:rFonts w:ascii="Times New Roman" w:hAnsi="Times New Roman"/>
          <w:color w:val="000000" w:themeColor="text1"/>
          <w:lang w:eastAsia="zh-CN"/>
        </w:rPr>
        <w:t>年</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月</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日起施行；</w:t>
      </w:r>
    </w:p>
    <w:p w14:paraId="77F9E7D7" w14:textId="77777777" w:rsidR="00DC446C" w:rsidRPr="00092862" w:rsidRDefault="003B1968" w:rsidP="003D2EEB">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eastAsia="Times New Roman" w:hAnsi="Times New Roman"/>
          <w:color w:val="000000" w:themeColor="text1"/>
          <w:lang w:eastAsia="zh-CN"/>
        </w:rPr>
        <w:t>2</w:t>
      </w:r>
      <w:r w:rsidRPr="00092862">
        <w:rPr>
          <w:rFonts w:ascii="Times New Roman" w:hAnsi="Times New Roman"/>
          <w:color w:val="000000" w:themeColor="text1"/>
          <w:lang w:eastAsia="zh-CN"/>
        </w:rPr>
        <w:t>）《中华人民共和国环境影响评价法（</w:t>
      </w:r>
      <w:r w:rsidRPr="00092862">
        <w:rPr>
          <w:rFonts w:ascii="Times New Roman" w:eastAsia="Times New Roman" w:hAnsi="Times New Roman"/>
          <w:color w:val="000000" w:themeColor="text1"/>
          <w:lang w:eastAsia="zh-CN"/>
        </w:rPr>
        <w:t>2018</w:t>
      </w:r>
      <w:r w:rsidRPr="00092862">
        <w:rPr>
          <w:rFonts w:ascii="Times New Roman" w:hAnsi="Times New Roman"/>
          <w:color w:val="000000" w:themeColor="text1"/>
          <w:spacing w:val="-27"/>
          <w:lang w:eastAsia="zh-CN"/>
        </w:rPr>
        <w:t>修订）》，</w:t>
      </w:r>
      <w:r w:rsidRPr="00092862">
        <w:rPr>
          <w:rFonts w:ascii="Times New Roman" w:eastAsia="Times New Roman" w:hAnsi="Times New Roman"/>
          <w:color w:val="000000" w:themeColor="text1"/>
          <w:spacing w:val="-27"/>
          <w:lang w:eastAsia="zh-CN"/>
        </w:rPr>
        <w:t>2018</w:t>
      </w:r>
      <w:r w:rsidRPr="00092862">
        <w:rPr>
          <w:rFonts w:ascii="Times New Roman" w:hAnsi="Times New Roman"/>
          <w:color w:val="000000" w:themeColor="text1"/>
          <w:lang w:eastAsia="zh-CN"/>
        </w:rPr>
        <w:t>年</w:t>
      </w:r>
      <w:r w:rsidRPr="00092862">
        <w:rPr>
          <w:rFonts w:ascii="Times New Roman" w:eastAsia="Times New Roman" w:hAnsi="Times New Roman"/>
          <w:color w:val="000000" w:themeColor="text1"/>
          <w:lang w:eastAsia="zh-CN"/>
        </w:rPr>
        <w:t>12</w:t>
      </w:r>
      <w:r w:rsidRPr="00092862">
        <w:rPr>
          <w:rFonts w:ascii="Times New Roman" w:hAnsi="Times New Roman"/>
          <w:color w:val="000000" w:themeColor="text1"/>
          <w:lang w:eastAsia="zh-CN"/>
        </w:rPr>
        <w:t>月</w:t>
      </w:r>
      <w:r w:rsidRPr="00092862">
        <w:rPr>
          <w:rFonts w:ascii="Times New Roman" w:eastAsia="Times New Roman" w:hAnsi="Times New Roman"/>
          <w:color w:val="000000" w:themeColor="text1"/>
          <w:lang w:eastAsia="zh-CN"/>
        </w:rPr>
        <w:t>29</w:t>
      </w:r>
      <w:r w:rsidRPr="00092862">
        <w:rPr>
          <w:rFonts w:ascii="Times New Roman" w:hAnsi="Times New Roman"/>
          <w:color w:val="000000" w:themeColor="text1"/>
          <w:lang w:eastAsia="zh-CN"/>
        </w:rPr>
        <w:t>日施行；</w:t>
      </w:r>
    </w:p>
    <w:p w14:paraId="49400F74" w14:textId="77777777"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lang w:eastAsia="zh-CN"/>
        </w:rPr>
      </w:pPr>
      <w:r w:rsidRPr="00092862">
        <w:rPr>
          <w:rFonts w:ascii="Times New Roman" w:hAnsi="Times New Roman"/>
          <w:color w:val="000000" w:themeColor="text1"/>
          <w:spacing w:val="-6"/>
          <w:lang w:eastAsia="zh-CN"/>
        </w:rPr>
        <w:t>（</w:t>
      </w:r>
      <w:r w:rsidRPr="00092862">
        <w:rPr>
          <w:rFonts w:ascii="Times New Roman" w:eastAsia="Times New Roman" w:hAnsi="Times New Roman"/>
          <w:color w:val="000000" w:themeColor="text1"/>
          <w:spacing w:val="-6"/>
          <w:lang w:eastAsia="zh-CN"/>
        </w:rPr>
        <w:t>3</w:t>
      </w:r>
      <w:r w:rsidRPr="00092862">
        <w:rPr>
          <w:rFonts w:ascii="Times New Roman" w:hAnsi="Times New Roman"/>
          <w:color w:val="000000" w:themeColor="text1"/>
          <w:spacing w:val="-6"/>
          <w:lang w:eastAsia="zh-CN"/>
        </w:rPr>
        <w:t>）《中华人民共和国水污染防治法》，</w:t>
      </w:r>
      <w:r w:rsidRPr="00092862">
        <w:rPr>
          <w:rFonts w:ascii="Times New Roman" w:eastAsia="Times New Roman" w:hAnsi="Times New Roman"/>
          <w:color w:val="000000" w:themeColor="text1"/>
          <w:spacing w:val="-6"/>
          <w:lang w:eastAsia="zh-CN"/>
        </w:rPr>
        <w:t>2018</w:t>
      </w:r>
      <w:r w:rsidRPr="00092862">
        <w:rPr>
          <w:rFonts w:ascii="Times New Roman" w:hAnsi="Times New Roman"/>
          <w:color w:val="000000" w:themeColor="text1"/>
          <w:lang w:eastAsia="zh-CN"/>
        </w:rPr>
        <w:t>年</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月</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日起施行；</w:t>
      </w:r>
    </w:p>
    <w:p w14:paraId="399DA1CB" w14:textId="77777777" w:rsidR="00DC446C" w:rsidRPr="00092862" w:rsidRDefault="003B1968" w:rsidP="003D2EEB">
      <w:pPr>
        <w:pStyle w:val="ac"/>
        <w:adjustRightInd w:val="0"/>
        <w:snapToGrid w:val="0"/>
        <w:spacing w:before="0" w:line="360" w:lineRule="auto"/>
        <w:ind w:left="0" w:firstLineChars="200" w:firstLine="470"/>
        <w:rPr>
          <w:rFonts w:ascii="Times New Roman" w:hAnsi="Times New Roman"/>
          <w:color w:val="000000" w:themeColor="text1"/>
          <w:lang w:eastAsia="zh-CN"/>
        </w:rPr>
      </w:pPr>
      <w:r w:rsidRPr="00092862">
        <w:rPr>
          <w:rFonts w:ascii="Times New Roman" w:hAnsi="Times New Roman"/>
          <w:color w:val="000000" w:themeColor="text1"/>
          <w:spacing w:val="-5"/>
          <w:lang w:eastAsia="zh-CN"/>
        </w:rPr>
        <w:t>（</w:t>
      </w:r>
      <w:r w:rsidRPr="00092862">
        <w:rPr>
          <w:rFonts w:ascii="Times New Roman" w:eastAsia="Times New Roman" w:hAnsi="Times New Roman"/>
          <w:color w:val="000000" w:themeColor="text1"/>
          <w:spacing w:val="-5"/>
          <w:lang w:eastAsia="zh-CN"/>
        </w:rPr>
        <w:t>4</w:t>
      </w:r>
      <w:r w:rsidRPr="00092862">
        <w:rPr>
          <w:rFonts w:ascii="Times New Roman" w:hAnsi="Times New Roman"/>
          <w:color w:val="000000" w:themeColor="text1"/>
          <w:spacing w:val="-5"/>
          <w:lang w:eastAsia="zh-CN"/>
        </w:rPr>
        <w:t>）《中华人民共和国大气污染防治法》，</w:t>
      </w:r>
      <w:r w:rsidRPr="00092862">
        <w:rPr>
          <w:rFonts w:ascii="Times New Roman" w:eastAsia="Times New Roman" w:hAnsi="Times New Roman"/>
          <w:color w:val="000000" w:themeColor="text1"/>
          <w:spacing w:val="-5"/>
          <w:lang w:eastAsia="zh-CN"/>
        </w:rPr>
        <w:t>2016</w:t>
      </w:r>
      <w:r w:rsidRPr="00092862">
        <w:rPr>
          <w:rFonts w:ascii="Times New Roman" w:hAnsi="Times New Roman"/>
          <w:color w:val="000000" w:themeColor="text1"/>
          <w:lang w:eastAsia="zh-CN"/>
        </w:rPr>
        <w:t>年</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月</w:t>
      </w: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日起施行；</w:t>
      </w:r>
    </w:p>
    <w:p w14:paraId="6F54BB9D" w14:textId="2D664067" w:rsidR="00DC446C" w:rsidRPr="00092862" w:rsidRDefault="003B1968" w:rsidP="003D2EEB">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w:t>
      </w:r>
      <w:r w:rsidRPr="00092862">
        <w:rPr>
          <w:rFonts w:ascii="Times New Roman" w:eastAsia="Times New Roman" w:hAnsi="Times New Roman"/>
          <w:color w:val="000000" w:themeColor="text1"/>
          <w:lang w:eastAsia="zh-CN"/>
        </w:rPr>
        <w:t>5</w:t>
      </w:r>
      <w:r w:rsidRPr="00092862">
        <w:rPr>
          <w:rFonts w:ascii="Times New Roman" w:hAnsi="Times New Roman"/>
          <w:color w:val="000000" w:themeColor="text1"/>
          <w:lang w:eastAsia="zh-CN"/>
        </w:rPr>
        <w:t>）《中华人民共和国环境噪声污染防治法（</w:t>
      </w:r>
      <w:r w:rsidRPr="00092862">
        <w:rPr>
          <w:rFonts w:ascii="Times New Roman" w:eastAsia="Times New Roman" w:hAnsi="Times New Roman"/>
          <w:color w:val="000000" w:themeColor="text1"/>
          <w:lang w:eastAsia="zh-CN"/>
        </w:rPr>
        <w:t>20</w:t>
      </w:r>
      <w:r w:rsidR="00E70139" w:rsidRPr="00092862">
        <w:rPr>
          <w:rFonts w:ascii="Times New Roman" w:eastAsia="Times New Roman" w:hAnsi="Times New Roman"/>
          <w:color w:val="000000" w:themeColor="text1"/>
          <w:lang w:eastAsia="zh-CN"/>
        </w:rPr>
        <w:t>21</w:t>
      </w:r>
      <w:r w:rsidRPr="00092862">
        <w:rPr>
          <w:rFonts w:ascii="Times New Roman" w:hAnsi="Times New Roman"/>
          <w:color w:val="000000" w:themeColor="text1"/>
          <w:spacing w:val="-27"/>
          <w:lang w:eastAsia="zh-CN"/>
        </w:rPr>
        <w:t>修订）》，</w:t>
      </w:r>
      <w:r w:rsidRPr="00092862">
        <w:rPr>
          <w:rFonts w:ascii="Times New Roman" w:eastAsia="Times New Roman" w:hAnsi="Times New Roman"/>
          <w:color w:val="000000" w:themeColor="text1"/>
          <w:spacing w:val="-27"/>
          <w:lang w:eastAsia="zh-CN"/>
        </w:rPr>
        <w:t>20</w:t>
      </w:r>
      <w:r w:rsidR="00E70139" w:rsidRPr="00092862">
        <w:rPr>
          <w:rFonts w:ascii="Times New Roman" w:eastAsia="Times New Roman" w:hAnsi="Times New Roman"/>
          <w:color w:val="000000" w:themeColor="text1"/>
          <w:spacing w:val="-27"/>
          <w:lang w:eastAsia="zh-CN"/>
        </w:rPr>
        <w:t>22</w:t>
      </w:r>
      <w:r w:rsidRPr="00092862">
        <w:rPr>
          <w:rFonts w:ascii="Times New Roman" w:hAnsi="Times New Roman"/>
          <w:color w:val="000000" w:themeColor="text1"/>
          <w:lang w:eastAsia="zh-CN"/>
        </w:rPr>
        <w:t>年</w:t>
      </w:r>
      <w:r w:rsidR="00E70139" w:rsidRPr="00092862">
        <w:rPr>
          <w:rFonts w:ascii="Times New Roman" w:eastAsia="Times New Roman" w:hAnsi="Times New Roman"/>
          <w:color w:val="000000" w:themeColor="text1"/>
          <w:lang w:eastAsia="zh-CN"/>
        </w:rPr>
        <w:t>6</w:t>
      </w:r>
      <w:r w:rsidRPr="00092862">
        <w:rPr>
          <w:rFonts w:ascii="Times New Roman" w:hAnsi="Times New Roman"/>
          <w:color w:val="000000" w:themeColor="text1"/>
          <w:lang w:eastAsia="zh-CN"/>
        </w:rPr>
        <w:t>月</w:t>
      </w:r>
      <w:r w:rsidR="00E70139" w:rsidRPr="00092862">
        <w:rPr>
          <w:rFonts w:ascii="Times New Roman" w:eastAsia="Times New Roman" w:hAnsi="Times New Roman"/>
          <w:color w:val="000000" w:themeColor="text1"/>
          <w:lang w:eastAsia="zh-CN"/>
        </w:rPr>
        <w:t>5</w:t>
      </w:r>
      <w:r w:rsidRPr="00092862">
        <w:rPr>
          <w:rFonts w:ascii="Times New Roman" w:hAnsi="Times New Roman"/>
          <w:color w:val="000000" w:themeColor="text1"/>
          <w:lang w:eastAsia="zh-CN"/>
        </w:rPr>
        <w:t>日施行；</w:t>
      </w:r>
    </w:p>
    <w:p w14:paraId="20AE7232" w14:textId="77777777" w:rsidR="00DC446C" w:rsidRPr="00092862" w:rsidRDefault="003B1968" w:rsidP="003D2EEB">
      <w:pPr>
        <w:pStyle w:val="ac"/>
        <w:adjustRightInd w:val="0"/>
        <w:snapToGrid w:val="0"/>
        <w:spacing w:before="0" w:line="360" w:lineRule="auto"/>
        <w:ind w:left="0" w:firstLineChars="200" w:firstLine="470"/>
        <w:rPr>
          <w:rFonts w:ascii="Times New Roman" w:hAnsi="Times New Roman"/>
          <w:color w:val="000000" w:themeColor="text1"/>
          <w:lang w:eastAsia="zh-CN"/>
        </w:rPr>
      </w:pPr>
      <w:r w:rsidRPr="00092862">
        <w:rPr>
          <w:rFonts w:ascii="Times New Roman" w:hAnsi="Times New Roman"/>
          <w:color w:val="000000" w:themeColor="text1"/>
          <w:spacing w:val="-5"/>
          <w:lang w:eastAsia="zh-CN"/>
        </w:rPr>
        <w:t>（</w:t>
      </w:r>
      <w:r w:rsidRPr="00092862">
        <w:rPr>
          <w:rFonts w:ascii="Times New Roman" w:eastAsia="Times New Roman" w:hAnsi="Times New Roman"/>
          <w:color w:val="000000" w:themeColor="text1"/>
          <w:spacing w:val="-5"/>
          <w:lang w:eastAsia="zh-CN"/>
        </w:rPr>
        <w:t>6</w:t>
      </w:r>
      <w:r w:rsidRPr="00092862">
        <w:rPr>
          <w:rFonts w:ascii="Times New Roman" w:hAnsi="Times New Roman"/>
          <w:color w:val="000000" w:themeColor="text1"/>
          <w:spacing w:val="-5"/>
          <w:lang w:eastAsia="zh-CN"/>
        </w:rPr>
        <w:t>）《中华人民共和国固体废物污染环境防治法》，</w:t>
      </w:r>
      <w:r w:rsidRPr="00092862">
        <w:rPr>
          <w:rFonts w:ascii="Times New Roman" w:eastAsia="Times New Roman" w:hAnsi="Times New Roman"/>
          <w:color w:val="000000" w:themeColor="text1"/>
          <w:spacing w:val="-5"/>
          <w:lang w:eastAsia="zh-CN"/>
        </w:rPr>
        <w:t>2020</w:t>
      </w:r>
      <w:r w:rsidRPr="00092862">
        <w:rPr>
          <w:rFonts w:ascii="Times New Roman" w:hAnsi="Times New Roman"/>
          <w:color w:val="000000" w:themeColor="text1"/>
          <w:spacing w:val="-5"/>
          <w:lang w:eastAsia="zh-CN"/>
        </w:rPr>
        <w:t>年修订</w:t>
      </w:r>
      <w:r w:rsidRPr="00092862">
        <w:rPr>
          <w:rFonts w:ascii="Times New Roman" w:hAnsi="Times New Roman"/>
          <w:color w:val="000000" w:themeColor="text1"/>
          <w:lang w:eastAsia="zh-CN"/>
        </w:rPr>
        <w:t>；</w:t>
      </w:r>
    </w:p>
    <w:p w14:paraId="5F5F9AE4" w14:textId="77777777" w:rsidR="00DC446C" w:rsidRPr="00092862" w:rsidRDefault="003B1968" w:rsidP="003D2EEB">
      <w:pPr>
        <w:pStyle w:val="ac"/>
        <w:adjustRightInd w:val="0"/>
        <w:snapToGrid w:val="0"/>
        <w:spacing w:before="0"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7</w:t>
      </w:r>
      <w:r w:rsidRPr="00092862">
        <w:rPr>
          <w:rFonts w:ascii="Times New Roman" w:hAnsi="Times New Roman"/>
          <w:color w:val="000000" w:themeColor="text1"/>
          <w:lang w:eastAsia="zh-CN"/>
        </w:rPr>
        <w:t>）《中华人民共和国土壤污染防治法》（</w:t>
      </w:r>
      <w:r w:rsidRPr="00092862">
        <w:rPr>
          <w:rFonts w:ascii="Times New Roman" w:hAnsi="Times New Roman"/>
          <w:color w:val="000000" w:themeColor="text1"/>
          <w:lang w:eastAsia="zh-CN"/>
        </w:rPr>
        <w:t>2019</w:t>
      </w:r>
      <w:r w:rsidRPr="00092862">
        <w:rPr>
          <w:rFonts w:ascii="Times New Roman" w:hAnsi="Times New Roman"/>
          <w:color w:val="000000" w:themeColor="text1"/>
          <w:lang w:eastAsia="zh-CN"/>
        </w:rPr>
        <w:t>年</w:t>
      </w: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月</w:t>
      </w: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日起实施）；</w:t>
      </w:r>
    </w:p>
    <w:p w14:paraId="71C5F58A" w14:textId="55E58F15"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u w:val="single"/>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8</w:t>
      </w:r>
      <w:r w:rsidRPr="00092862">
        <w:rPr>
          <w:rFonts w:ascii="Times New Roman" w:hAnsi="Times New Roman"/>
          <w:color w:val="000000" w:themeColor="text1"/>
          <w:spacing w:val="-6"/>
          <w:lang w:eastAsia="zh-CN"/>
        </w:rPr>
        <w:t>）</w:t>
      </w:r>
      <w:r w:rsidR="00D15CA7" w:rsidRPr="00092862">
        <w:rPr>
          <w:rFonts w:ascii="Times New Roman" w:eastAsia="新宋体" w:hAnsi="Times New Roman"/>
          <w:color w:val="000000" w:themeColor="text1"/>
          <w:szCs w:val="20"/>
          <w:lang w:eastAsia="zh-CN"/>
        </w:rPr>
        <w:t>《中华人民共和国土地管理法》，</w:t>
      </w:r>
      <w:r w:rsidR="00D15CA7" w:rsidRPr="00092862">
        <w:rPr>
          <w:rFonts w:ascii="Times New Roman" w:eastAsia="新宋体" w:hAnsi="Times New Roman"/>
          <w:color w:val="000000" w:themeColor="text1"/>
          <w:szCs w:val="20"/>
          <w:lang w:eastAsia="zh-CN"/>
        </w:rPr>
        <w:t>2020</w:t>
      </w:r>
      <w:r w:rsidR="00D15CA7" w:rsidRPr="00092862">
        <w:rPr>
          <w:rFonts w:ascii="Times New Roman" w:eastAsia="新宋体" w:hAnsi="Times New Roman"/>
          <w:color w:val="000000" w:themeColor="text1"/>
          <w:szCs w:val="20"/>
          <w:lang w:eastAsia="zh-CN"/>
        </w:rPr>
        <w:t>年</w:t>
      </w:r>
      <w:r w:rsidR="00D15CA7" w:rsidRPr="00092862">
        <w:rPr>
          <w:rFonts w:ascii="Times New Roman" w:eastAsia="新宋体" w:hAnsi="Times New Roman"/>
          <w:color w:val="000000" w:themeColor="text1"/>
          <w:szCs w:val="20"/>
          <w:lang w:eastAsia="zh-CN"/>
        </w:rPr>
        <w:t>1</w:t>
      </w:r>
      <w:r w:rsidR="00D15CA7" w:rsidRPr="00092862">
        <w:rPr>
          <w:rFonts w:ascii="Times New Roman" w:eastAsia="新宋体" w:hAnsi="Times New Roman"/>
          <w:color w:val="000000" w:themeColor="text1"/>
          <w:szCs w:val="20"/>
          <w:lang w:eastAsia="zh-CN"/>
        </w:rPr>
        <w:t>月</w:t>
      </w:r>
      <w:r w:rsidR="00D15CA7" w:rsidRPr="00092862">
        <w:rPr>
          <w:rFonts w:ascii="Times New Roman" w:eastAsia="新宋体" w:hAnsi="Times New Roman"/>
          <w:color w:val="000000" w:themeColor="text1"/>
          <w:szCs w:val="20"/>
          <w:lang w:eastAsia="zh-CN"/>
        </w:rPr>
        <w:t>1</w:t>
      </w:r>
      <w:r w:rsidR="00D15CA7" w:rsidRPr="00092862">
        <w:rPr>
          <w:rFonts w:ascii="Times New Roman" w:eastAsia="新宋体" w:hAnsi="Times New Roman"/>
          <w:color w:val="000000" w:themeColor="text1"/>
          <w:szCs w:val="20"/>
          <w:lang w:eastAsia="zh-CN"/>
        </w:rPr>
        <w:t>日实施</w:t>
      </w:r>
      <w:r w:rsidRPr="00092862">
        <w:rPr>
          <w:rFonts w:ascii="Times New Roman" w:hAnsi="Times New Roman"/>
          <w:color w:val="000000" w:themeColor="text1"/>
          <w:lang w:eastAsia="zh-CN"/>
        </w:rPr>
        <w:t>；</w:t>
      </w:r>
    </w:p>
    <w:p w14:paraId="5269B1BB" w14:textId="325941E2"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9</w:t>
      </w:r>
      <w:r w:rsidRPr="00092862">
        <w:rPr>
          <w:rFonts w:ascii="Times New Roman" w:hAnsi="Times New Roman"/>
          <w:color w:val="000000" w:themeColor="text1"/>
          <w:spacing w:val="-6"/>
          <w:lang w:eastAsia="zh-CN"/>
        </w:rPr>
        <w:t>）《中华人民共和国城乡规</w:t>
      </w:r>
      <w:r w:rsidRPr="00F95A48">
        <w:rPr>
          <w:rFonts w:ascii="Times New Roman" w:hAnsi="Times New Roman"/>
          <w:color w:val="000000" w:themeColor="text1"/>
          <w:lang w:eastAsia="zh-CN"/>
        </w:rPr>
        <w:t>划法》，</w:t>
      </w:r>
      <w:r w:rsidR="00F95A48" w:rsidRPr="00F95A48">
        <w:rPr>
          <w:rFonts w:ascii="Times New Roman" w:hAnsi="Times New Roman" w:hint="eastAsia"/>
          <w:color w:val="000000" w:themeColor="text1"/>
          <w:lang w:eastAsia="zh-CN"/>
        </w:rPr>
        <w:t>2019</w:t>
      </w:r>
      <w:r w:rsidR="00F95A48" w:rsidRPr="00F95A48">
        <w:rPr>
          <w:rFonts w:ascii="Times New Roman" w:hAnsi="Times New Roman" w:hint="eastAsia"/>
          <w:color w:val="000000" w:themeColor="text1"/>
          <w:lang w:eastAsia="zh-CN"/>
        </w:rPr>
        <w:t>年修订</w:t>
      </w:r>
      <w:r w:rsidRPr="00092862">
        <w:rPr>
          <w:rFonts w:ascii="Times New Roman" w:hAnsi="Times New Roman"/>
          <w:color w:val="000000" w:themeColor="text1"/>
          <w:lang w:eastAsia="zh-CN"/>
        </w:rPr>
        <w:t>；</w:t>
      </w:r>
    </w:p>
    <w:p w14:paraId="3BD443DA" w14:textId="77777777"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10</w:t>
      </w:r>
      <w:r w:rsidRPr="00092862">
        <w:rPr>
          <w:rFonts w:ascii="Times New Roman" w:hAnsi="Times New Roman"/>
          <w:color w:val="000000" w:themeColor="text1"/>
          <w:spacing w:val="-6"/>
          <w:lang w:eastAsia="zh-CN"/>
        </w:rPr>
        <w:t>）《中华人民共和国水土保持法》，</w:t>
      </w:r>
      <w:r w:rsidRPr="00092862">
        <w:rPr>
          <w:rFonts w:ascii="Times New Roman" w:eastAsia="Times New Roman" w:hAnsi="Times New Roman"/>
          <w:color w:val="000000" w:themeColor="text1"/>
          <w:spacing w:val="-6"/>
          <w:lang w:eastAsia="zh-CN"/>
        </w:rPr>
        <w:t>2011</w:t>
      </w:r>
      <w:r w:rsidRPr="00092862">
        <w:rPr>
          <w:rFonts w:ascii="Times New Roman" w:hAnsi="Times New Roman"/>
          <w:color w:val="000000" w:themeColor="text1"/>
          <w:lang w:eastAsia="zh-CN"/>
        </w:rPr>
        <w:t>年</w:t>
      </w:r>
      <w:r w:rsidRPr="00092862">
        <w:rPr>
          <w:rFonts w:ascii="Times New Roman" w:eastAsia="Times New Roman" w:hAnsi="Times New Roman"/>
          <w:color w:val="000000" w:themeColor="text1"/>
          <w:lang w:eastAsia="zh-CN"/>
        </w:rPr>
        <w:t>3</w:t>
      </w:r>
      <w:r w:rsidRPr="00092862">
        <w:rPr>
          <w:rFonts w:ascii="Times New Roman" w:hAnsi="Times New Roman"/>
          <w:color w:val="000000" w:themeColor="text1"/>
          <w:lang w:eastAsia="zh-CN"/>
        </w:rPr>
        <w:t>月</w:t>
      </w:r>
      <w:r w:rsidRPr="00092862">
        <w:rPr>
          <w:rFonts w:ascii="Times New Roman" w:eastAsia="Times New Roman" w:hAnsi="Times New Roman"/>
          <w:color w:val="000000" w:themeColor="text1"/>
          <w:lang w:eastAsia="zh-CN"/>
        </w:rPr>
        <w:t>1</w:t>
      </w:r>
      <w:r w:rsidRPr="00092862">
        <w:rPr>
          <w:rFonts w:ascii="Times New Roman" w:hAnsi="Times New Roman"/>
          <w:color w:val="000000" w:themeColor="text1"/>
          <w:lang w:eastAsia="zh-CN"/>
        </w:rPr>
        <w:t>日起施行；</w:t>
      </w:r>
    </w:p>
    <w:p w14:paraId="593BD1C5" w14:textId="77777777"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lang w:eastAsia="zh-CN"/>
        </w:rPr>
      </w:pPr>
      <w:r w:rsidRPr="00092862">
        <w:rPr>
          <w:rFonts w:ascii="Times New Roman" w:hAnsi="Times New Roman"/>
          <w:color w:val="000000" w:themeColor="text1"/>
          <w:spacing w:val="-6"/>
          <w:lang w:eastAsia="zh-CN"/>
        </w:rPr>
        <w:t>（</w:t>
      </w:r>
      <w:r w:rsidRPr="00092862">
        <w:rPr>
          <w:rFonts w:ascii="Times New Roman" w:eastAsia="Times New Roman" w:hAnsi="Times New Roman"/>
          <w:color w:val="000000" w:themeColor="text1"/>
          <w:spacing w:val="-6"/>
          <w:lang w:eastAsia="zh-CN"/>
        </w:rPr>
        <w:t>1</w:t>
      </w:r>
      <w:r w:rsidRPr="00092862">
        <w:rPr>
          <w:rFonts w:ascii="Times New Roman" w:hAnsi="Times New Roman"/>
          <w:color w:val="000000" w:themeColor="text1"/>
          <w:spacing w:val="-6"/>
          <w:lang w:eastAsia="zh-CN"/>
        </w:rPr>
        <w:t>1</w:t>
      </w:r>
      <w:r w:rsidRPr="00092862">
        <w:rPr>
          <w:rFonts w:ascii="Times New Roman" w:hAnsi="Times New Roman"/>
          <w:color w:val="000000" w:themeColor="text1"/>
          <w:spacing w:val="-6"/>
          <w:lang w:eastAsia="zh-CN"/>
        </w:rPr>
        <w:t>）《中华人民共和国水法》，</w:t>
      </w:r>
      <w:r w:rsidRPr="00092862">
        <w:rPr>
          <w:rFonts w:ascii="Times New Roman" w:eastAsia="Times New Roman" w:hAnsi="Times New Roman"/>
          <w:color w:val="000000" w:themeColor="text1"/>
          <w:spacing w:val="-6"/>
          <w:lang w:eastAsia="zh-CN"/>
        </w:rPr>
        <w:t>2016</w:t>
      </w:r>
      <w:r w:rsidRPr="00092862">
        <w:rPr>
          <w:rFonts w:ascii="Times New Roman" w:hAnsi="Times New Roman"/>
          <w:color w:val="000000" w:themeColor="text1"/>
          <w:lang w:eastAsia="zh-CN"/>
        </w:rPr>
        <w:t>年</w:t>
      </w:r>
      <w:r w:rsidRPr="00092862">
        <w:rPr>
          <w:rFonts w:ascii="Times New Roman" w:eastAsia="Times New Roman" w:hAnsi="Times New Roman"/>
          <w:color w:val="000000" w:themeColor="text1"/>
          <w:lang w:eastAsia="zh-CN"/>
        </w:rPr>
        <w:t>7</w:t>
      </w:r>
      <w:r w:rsidRPr="00092862">
        <w:rPr>
          <w:rFonts w:ascii="Times New Roman" w:hAnsi="Times New Roman"/>
          <w:color w:val="000000" w:themeColor="text1"/>
          <w:lang w:eastAsia="zh-CN"/>
        </w:rPr>
        <w:t>月</w:t>
      </w:r>
      <w:r w:rsidRPr="00092862">
        <w:rPr>
          <w:rFonts w:ascii="Times New Roman" w:eastAsia="Times New Roman" w:hAnsi="Times New Roman"/>
          <w:color w:val="000000" w:themeColor="text1"/>
          <w:lang w:eastAsia="zh-CN"/>
        </w:rPr>
        <w:t>2</w:t>
      </w:r>
      <w:r w:rsidRPr="00092862">
        <w:rPr>
          <w:rFonts w:ascii="Times New Roman" w:hAnsi="Times New Roman"/>
          <w:color w:val="000000" w:themeColor="text1"/>
          <w:lang w:eastAsia="zh-CN"/>
        </w:rPr>
        <w:t>日修订；</w:t>
      </w:r>
    </w:p>
    <w:p w14:paraId="66EB48A8" w14:textId="77777777"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spacing w:val="-6"/>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12</w:t>
      </w:r>
      <w:r w:rsidRPr="00092862">
        <w:rPr>
          <w:rFonts w:ascii="Times New Roman" w:hAnsi="Times New Roman"/>
          <w:color w:val="000000" w:themeColor="text1"/>
          <w:spacing w:val="-6"/>
          <w:lang w:eastAsia="zh-CN"/>
        </w:rPr>
        <w:t>）《中华人民共和国突发事件应对法》（</w:t>
      </w:r>
      <w:r w:rsidRPr="00092862">
        <w:rPr>
          <w:rFonts w:ascii="Times New Roman" w:hAnsi="Times New Roman"/>
          <w:color w:val="000000" w:themeColor="text1"/>
          <w:spacing w:val="-6"/>
          <w:lang w:eastAsia="zh-CN"/>
        </w:rPr>
        <w:t>2007</w:t>
      </w:r>
      <w:r w:rsidRPr="00092862">
        <w:rPr>
          <w:rFonts w:ascii="Times New Roman" w:hAnsi="Times New Roman"/>
          <w:color w:val="000000" w:themeColor="text1"/>
          <w:spacing w:val="-6"/>
          <w:lang w:eastAsia="zh-CN"/>
        </w:rPr>
        <w:t>年</w:t>
      </w:r>
      <w:r w:rsidRPr="00092862">
        <w:rPr>
          <w:rFonts w:ascii="Times New Roman" w:hAnsi="Times New Roman"/>
          <w:color w:val="000000" w:themeColor="text1"/>
          <w:spacing w:val="-6"/>
          <w:lang w:eastAsia="zh-CN"/>
        </w:rPr>
        <w:t>11</w:t>
      </w:r>
      <w:r w:rsidRPr="00092862">
        <w:rPr>
          <w:rFonts w:ascii="Times New Roman" w:hAnsi="Times New Roman"/>
          <w:color w:val="000000" w:themeColor="text1"/>
          <w:spacing w:val="-6"/>
          <w:lang w:eastAsia="zh-CN"/>
        </w:rPr>
        <w:t>月</w:t>
      </w:r>
      <w:r w:rsidRPr="00092862">
        <w:rPr>
          <w:rFonts w:ascii="Times New Roman" w:hAnsi="Times New Roman"/>
          <w:color w:val="000000" w:themeColor="text1"/>
          <w:spacing w:val="-6"/>
          <w:lang w:eastAsia="zh-CN"/>
        </w:rPr>
        <w:t>1</w:t>
      </w:r>
      <w:r w:rsidRPr="00092862">
        <w:rPr>
          <w:rFonts w:ascii="Times New Roman" w:hAnsi="Times New Roman"/>
          <w:color w:val="000000" w:themeColor="text1"/>
          <w:spacing w:val="-6"/>
          <w:lang w:eastAsia="zh-CN"/>
        </w:rPr>
        <w:t>日起实施）</w:t>
      </w:r>
    </w:p>
    <w:p w14:paraId="6B4F49EB" w14:textId="77777777"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spacing w:val="-6"/>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13</w:t>
      </w:r>
      <w:r w:rsidRPr="00092862">
        <w:rPr>
          <w:rFonts w:ascii="Times New Roman" w:hAnsi="Times New Roman"/>
          <w:color w:val="000000" w:themeColor="text1"/>
          <w:spacing w:val="-6"/>
          <w:lang w:eastAsia="zh-CN"/>
        </w:rPr>
        <w:t>）《中华人民共和国节约能源法》（</w:t>
      </w:r>
      <w:r w:rsidRPr="00092862">
        <w:rPr>
          <w:rFonts w:ascii="Times New Roman" w:hAnsi="Times New Roman"/>
          <w:color w:val="000000" w:themeColor="text1"/>
          <w:spacing w:val="-6"/>
          <w:lang w:eastAsia="zh-CN"/>
        </w:rPr>
        <w:t>2018</w:t>
      </w:r>
      <w:r w:rsidRPr="00092862">
        <w:rPr>
          <w:rFonts w:ascii="Times New Roman" w:hAnsi="Times New Roman"/>
          <w:color w:val="000000" w:themeColor="text1"/>
          <w:spacing w:val="-6"/>
          <w:lang w:eastAsia="zh-CN"/>
        </w:rPr>
        <w:t>年</w:t>
      </w:r>
      <w:r w:rsidRPr="00092862">
        <w:rPr>
          <w:rFonts w:ascii="Times New Roman" w:hAnsi="Times New Roman"/>
          <w:color w:val="000000" w:themeColor="text1"/>
          <w:spacing w:val="-6"/>
          <w:lang w:eastAsia="zh-CN"/>
        </w:rPr>
        <w:t>12</w:t>
      </w:r>
      <w:r w:rsidRPr="00092862">
        <w:rPr>
          <w:rFonts w:ascii="Times New Roman" w:hAnsi="Times New Roman"/>
          <w:color w:val="000000" w:themeColor="text1"/>
          <w:spacing w:val="-6"/>
          <w:lang w:eastAsia="zh-CN"/>
        </w:rPr>
        <w:t>月修订）；</w:t>
      </w:r>
    </w:p>
    <w:p w14:paraId="5BD3A3FF" w14:textId="77777777" w:rsidR="00DC446C"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spacing w:val="-6"/>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14</w:t>
      </w:r>
      <w:r w:rsidRPr="00092862">
        <w:rPr>
          <w:rFonts w:ascii="Times New Roman" w:hAnsi="Times New Roman"/>
          <w:color w:val="000000" w:themeColor="text1"/>
          <w:spacing w:val="-6"/>
          <w:lang w:eastAsia="zh-CN"/>
        </w:rPr>
        <w:t>）《中华人民共和国清洁生产促进法》，（</w:t>
      </w:r>
      <w:r w:rsidRPr="00092862">
        <w:rPr>
          <w:rFonts w:ascii="Times New Roman" w:hAnsi="Times New Roman"/>
          <w:color w:val="000000" w:themeColor="text1"/>
          <w:spacing w:val="-6"/>
          <w:lang w:eastAsia="zh-CN"/>
        </w:rPr>
        <w:t>2012</w:t>
      </w:r>
      <w:r w:rsidRPr="00092862">
        <w:rPr>
          <w:rFonts w:ascii="Times New Roman" w:hAnsi="Times New Roman"/>
          <w:color w:val="000000" w:themeColor="text1"/>
          <w:spacing w:val="-6"/>
          <w:lang w:eastAsia="zh-CN"/>
        </w:rPr>
        <w:t>年</w:t>
      </w:r>
      <w:r w:rsidRPr="00092862">
        <w:rPr>
          <w:rFonts w:ascii="Times New Roman" w:hAnsi="Times New Roman"/>
          <w:color w:val="000000" w:themeColor="text1"/>
          <w:spacing w:val="-6"/>
          <w:lang w:eastAsia="zh-CN"/>
        </w:rPr>
        <w:t>2</w:t>
      </w:r>
      <w:r w:rsidRPr="00092862">
        <w:rPr>
          <w:rFonts w:ascii="Times New Roman" w:hAnsi="Times New Roman"/>
          <w:color w:val="000000" w:themeColor="text1"/>
          <w:spacing w:val="-6"/>
          <w:lang w:eastAsia="zh-CN"/>
        </w:rPr>
        <w:t>月</w:t>
      </w:r>
      <w:r w:rsidRPr="00092862">
        <w:rPr>
          <w:rFonts w:ascii="Times New Roman" w:hAnsi="Times New Roman"/>
          <w:color w:val="000000" w:themeColor="text1"/>
          <w:spacing w:val="-6"/>
          <w:lang w:eastAsia="zh-CN"/>
        </w:rPr>
        <w:t>29</w:t>
      </w:r>
      <w:r w:rsidRPr="00092862">
        <w:rPr>
          <w:rFonts w:ascii="Times New Roman" w:hAnsi="Times New Roman"/>
          <w:color w:val="000000" w:themeColor="text1"/>
          <w:spacing w:val="-6"/>
          <w:lang w:eastAsia="zh-CN"/>
        </w:rPr>
        <w:t>日）；</w:t>
      </w:r>
    </w:p>
    <w:p w14:paraId="61474F91" w14:textId="77777777" w:rsidR="007E1ED2" w:rsidRPr="00092862" w:rsidRDefault="003B1968" w:rsidP="003D2EEB">
      <w:pPr>
        <w:pStyle w:val="ac"/>
        <w:adjustRightInd w:val="0"/>
        <w:snapToGrid w:val="0"/>
        <w:spacing w:before="0" w:line="360" w:lineRule="auto"/>
        <w:ind w:left="0" w:firstLineChars="200" w:firstLine="468"/>
        <w:rPr>
          <w:rFonts w:ascii="Times New Roman" w:hAnsi="Times New Roman"/>
          <w:color w:val="000000" w:themeColor="text1"/>
          <w:spacing w:val="-6"/>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15</w:t>
      </w:r>
      <w:r w:rsidRPr="00092862">
        <w:rPr>
          <w:rFonts w:ascii="Times New Roman" w:hAnsi="Times New Roman"/>
          <w:color w:val="000000" w:themeColor="text1"/>
          <w:spacing w:val="-6"/>
          <w:lang w:eastAsia="zh-CN"/>
        </w:rPr>
        <w:t>）《中华人民共和国循环经济促进法》（</w:t>
      </w:r>
      <w:r w:rsidRPr="00092862">
        <w:rPr>
          <w:rFonts w:ascii="Times New Roman" w:hAnsi="Times New Roman"/>
          <w:color w:val="000000" w:themeColor="text1"/>
          <w:spacing w:val="-6"/>
          <w:lang w:eastAsia="zh-CN"/>
        </w:rPr>
        <w:t>2018</w:t>
      </w:r>
      <w:r w:rsidRPr="00092862">
        <w:rPr>
          <w:rFonts w:ascii="Times New Roman" w:hAnsi="Times New Roman"/>
          <w:color w:val="000000" w:themeColor="text1"/>
          <w:spacing w:val="-6"/>
          <w:lang w:eastAsia="zh-CN"/>
        </w:rPr>
        <w:t>年</w:t>
      </w:r>
      <w:r w:rsidRPr="00092862">
        <w:rPr>
          <w:rFonts w:ascii="Times New Roman" w:hAnsi="Times New Roman"/>
          <w:color w:val="000000" w:themeColor="text1"/>
          <w:spacing w:val="-6"/>
          <w:lang w:eastAsia="zh-CN"/>
        </w:rPr>
        <w:t>10</w:t>
      </w:r>
      <w:r w:rsidRPr="00092862">
        <w:rPr>
          <w:rFonts w:ascii="Times New Roman" w:hAnsi="Times New Roman"/>
          <w:color w:val="000000" w:themeColor="text1"/>
          <w:spacing w:val="-6"/>
          <w:lang w:eastAsia="zh-CN"/>
        </w:rPr>
        <w:t>月</w:t>
      </w:r>
      <w:r w:rsidRPr="00092862">
        <w:rPr>
          <w:rFonts w:ascii="Times New Roman" w:hAnsi="Times New Roman"/>
          <w:color w:val="000000" w:themeColor="text1"/>
          <w:spacing w:val="-6"/>
          <w:lang w:eastAsia="zh-CN"/>
        </w:rPr>
        <w:t>26</w:t>
      </w:r>
      <w:r w:rsidRPr="00092862">
        <w:rPr>
          <w:rFonts w:ascii="Times New Roman" w:hAnsi="Times New Roman"/>
          <w:color w:val="000000" w:themeColor="text1"/>
          <w:spacing w:val="-6"/>
          <w:lang w:eastAsia="zh-CN"/>
        </w:rPr>
        <w:t>日修订）</w:t>
      </w:r>
      <w:r w:rsidR="007E1ED2" w:rsidRPr="00092862">
        <w:rPr>
          <w:rFonts w:ascii="Times New Roman" w:hAnsi="Times New Roman"/>
          <w:color w:val="000000" w:themeColor="text1"/>
          <w:spacing w:val="-6"/>
          <w:lang w:eastAsia="zh-CN"/>
        </w:rPr>
        <w:t>；</w:t>
      </w:r>
    </w:p>
    <w:p w14:paraId="07C45707" w14:textId="4756A0BD" w:rsidR="00DC446C" w:rsidRPr="00092862" w:rsidRDefault="007E1ED2" w:rsidP="003D2EEB">
      <w:pPr>
        <w:pStyle w:val="ac"/>
        <w:adjustRightInd w:val="0"/>
        <w:snapToGrid w:val="0"/>
        <w:spacing w:before="0" w:line="360" w:lineRule="auto"/>
        <w:ind w:left="0" w:firstLineChars="200" w:firstLine="468"/>
        <w:rPr>
          <w:rFonts w:ascii="Times New Roman" w:hAnsi="Times New Roman"/>
          <w:color w:val="000000" w:themeColor="text1"/>
          <w:spacing w:val="-6"/>
          <w:lang w:eastAsia="zh-CN"/>
        </w:rPr>
      </w:pPr>
      <w:r w:rsidRPr="00092862">
        <w:rPr>
          <w:rFonts w:ascii="Times New Roman" w:hAnsi="Times New Roman"/>
          <w:color w:val="000000" w:themeColor="text1"/>
          <w:spacing w:val="-6"/>
          <w:lang w:eastAsia="zh-CN"/>
        </w:rPr>
        <w:t>（</w:t>
      </w:r>
      <w:r w:rsidRPr="00092862">
        <w:rPr>
          <w:rFonts w:ascii="Times New Roman" w:hAnsi="Times New Roman"/>
          <w:color w:val="000000" w:themeColor="text1"/>
          <w:spacing w:val="-6"/>
          <w:lang w:eastAsia="zh-CN"/>
        </w:rPr>
        <w:t>16</w:t>
      </w:r>
      <w:r w:rsidRPr="00092862">
        <w:rPr>
          <w:rFonts w:ascii="Times New Roman" w:hAnsi="Times New Roman"/>
          <w:color w:val="000000" w:themeColor="text1"/>
          <w:spacing w:val="-6"/>
          <w:lang w:eastAsia="zh-CN"/>
        </w:rPr>
        <w:t>）《中华人民共和国石油天然气管道保护法》（</w:t>
      </w:r>
      <w:r w:rsidRPr="00092862">
        <w:rPr>
          <w:rFonts w:ascii="Times New Roman" w:hAnsi="Times New Roman"/>
          <w:color w:val="000000" w:themeColor="text1"/>
          <w:spacing w:val="-6"/>
          <w:lang w:eastAsia="zh-CN"/>
        </w:rPr>
        <w:t xml:space="preserve">2010.10.1 </w:t>
      </w:r>
      <w:r w:rsidRPr="00092862">
        <w:rPr>
          <w:rFonts w:ascii="Times New Roman" w:hAnsi="Times New Roman"/>
          <w:color w:val="000000" w:themeColor="text1"/>
          <w:spacing w:val="-6"/>
          <w:lang w:eastAsia="zh-CN"/>
        </w:rPr>
        <w:t>实施）。</w:t>
      </w:r>
    </w:p>
    <w:p w14:paraId="124B69DC" w14:textId="77777777" w:rsidR="00DC446C" w:rsidRPr="00092862" w:rsidRDefault="003B1968" w:rsidP="003D2EEB">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28" w:name="_Toc120173055"/>
      <w:r w:rsidRPr="00092862">
        <w:rPr>
          <w:rFonts w:ascii="Times New Roman" w:eastAsia="黑体" w:hAnsi="Times New Roman"/>
          <w:b w:val="0"/>
          <w:color w:val="000000" w:themeColor="text1"/>
          <w:sz w:val="24"/>
          <w:szCs w:val="24"/>
          <w:lang w:eastAsia="zh-CN"/>
        </w:rPr>
        <w:t>2.3.2</w:t>
      </w:r>
      <w:r w:rsidRPr="00092862">
        <w:rPr>
          <w:rFonts w:ascii="Times New Roman" w:eastAsia="黑体" w:hAnsi="Times New Roman"/>
          <w:b w:val="0"/>
          <w:color w:val="000000" w:themeColor="text1"/>
          <w:sz w:val="24"/>
          <w:szCs w:val="24"/>
          <w:lang w:eastAsia="zh-CN"/>
        </w:rPr>
        <w:t>行政法规</w:t>
      </w:r>
      <w:bookmarkEnd w:id="28"/>
    </w:p>
    <w:p w14:paraId="7228C6E1" w14:textId="77777777" w:rsidR="007E1ED2" w:rsidRPr="00092862" w:rsidRDefault="007E1ED2"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1</w:t>
      </w:r>
      <w:r w:rsidRPr="00092862">
        <w:rPr>
          <w:rFonts w:ascii="Times New Roman" w:hAnsi="Times New Roman"/>
          <w:color w:val="000000" w:themeColor="text1"/>
          <w:spacing w:val="-7"/>
          <w:lang w:eastAsia="zh-CN"/>
        </w:rPr>
        <w:t>）《国务院关于环境保护若干问题的决定》（国发〔</w:t>
      </w:r>
      <w:r w:rsidRPr="00092862">
        <w:rPr>
          <w:rFonts w:ascii="Times New Roman" w:hAnsi="Times New Roman"/>
          <w:color w:val="000000" w:themeColor="text1"/>
          <w:spacing w:val="-7"/>
          <w:lang w:eastAsia="zh-CN"/>
        </w:rPr>
        <w:t>1996</w:t>
      </w: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31</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1996.83</w:t>
      </w:r>
      <w:r w:rsidRPr="00092862">
        <w:rPr>
          <w:rFonts w:ascii="Times New Roman" w:hAnsi="Times New Roman"/>
          <w:color w:val="000000" w:themeColor="text1"/>
          <w:spacing w:val="-7"/>
          <w:lang w:eastAsia="zh-CN"/>
        </w:rPr>
        <w:t>）；</w:t>
      </w:r>
    </w:p>
    <w:p w14:paraId="21629B27" w14:textId="77777777" w:rsidR="007E1ED2" w:rsidRPr="00092862" w:rsidRDefault="007E1ED2"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2</w:t>
      </w:r>
      <w:r w:rsidRPr="00092862">
        <w:rPr>
          <w:rFonts w:ascii="Times New Roman" w:hAnsi="Times New Roman"/>
          <w:color w:val="000000" w:themeColor="text1"/>
          <w:spacing w:val="-7"/>
          <w:lang w:eastAsia="zh-CN"/>
        </w:rPr>
        <w:t>）《建设项目环境保护管理条例》（国务院令</w:t>
      </w:r>
      <w:r w:rsidRPr="00092862">
        <w:rPr>
          <w:rFonts w:ascii="Times New Roman" w:hAnsi="Times New Roman"/>
          <w:color w:val="000000" w:themeColor="text1"/>
          <w:spacing w:val="-7"/>
          <w:lang w:eastAsia="zh-CN"/>
        </w:rPr>
        <w:t>682</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2017.7</w:t>
      </w:r>
      <w:r w:rsidRPr="00092862">
        <w:rPr>
          <w:rFonts w:ascii="Times New Roman" w:hAnsi="Times New Roman"/>
          <w:color w:val="000000" w:themeColor="text1"/>
          <w:spacing w:val="-7"/>
          <w:lang w:eastAsia="zh-CN"/>
        </w:rPr>
        <w:t>）；</w:t>
      </w:r>
    </w:p>
    <w:p w14:paraId="5EE6F2EB" w14:textId="77777777" w:rsidR="007E1ED2" w:rsidRPr="00092862" w:rsidRDefault="007E1ED2"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3</w:t>
      </w:r>
      <w:r w:rsidRPr="00092862">
        <w:rPr>
          <w:rFonts w:ascii="Times New Roman" w:hAnsi="Times New Roman"/>
          <w:color w:val="000000" w:themeColor="text1"/>
          <w:spacing w:val="-7"/>
          <w:lang w:eastAsia="zh-CN"/>
        </w:rPr>
        <w:t>）《全国生态环境保护纲要》（国发</w:t>
      </w:r>
      <w:r w:rsidR="005C599D"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2000</w:t>
      </w:r>
      <w:r w:rsidR="005C599D"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 xml:space="preserve">38 </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2000.12.6</w:t>
      </w:r>
      <w:r w:rsidRPr="00092862">
        <w:rPr>
          <w:rFonts w:ascii="Times New Roman" w:hAnsi="Times New Roman"/>
          <w:color w:val="000000" w:themeColor="text1"/>
          <w:spacing w:val="-7"/>
          <w:lang w:eastAsia="zh-CN"/>
        </w:rPr>
        <w:t>）；</w:t>
      </w:r>
    </w:p>
    <w:p w14:paraId="5D0213B6" w14:textId="77777777" w:rsidR="00FE3795" w:rsidRPr="00092862" w:rsidRDefault="007E1ED2"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4</w:t>
      </w:r>
      <w:r w:rsidRPr="00092862">
        <w:rPr>
          <w:rFonts w:ascii="Times New Roman" w:hAnsi="Times New Roman"/>
          <w:color w:val="000000" w:themeColor="text1"/>
          <w:spacing w:val="-7"/>
          <w:lang w:eastAsia="zh-CN"/>
        </w:rPr>
        <w:t>）《国务院办公厅转发发展改革委等部门关于加快推进清洁生产意见</w:t>
      </w:r>
      <w:r w:rsidR="00FE3795" w:rsidRPr="00092862">
        <w:rPr>
          <w:rFonts w:ascii="Times New Roman" w:hAnsi="Times New Roman"/>
          <w:color w:val="000000" w:themeColor="text1"/>
          <w:spacing w:val="-7"/>
          <w:lang w:eastAsia="zh-CN"/>
        </w:rPr>
        <w:t>的通知》（国发</w:t>
      </w:r>
      <w:r w:rsidR="005C599D" w:rsidRPr="00092862">
        <w:rPr>
          <w:rFonts w:ascii="Times New Roman" w:hAnsi="Times New Roman"/>
          <w:color w:val="000000" w:themeColor="text1"/>
          <w:spacing w:val="-7"/>
          <w:lang w:eastAsia="zh-CN"/>
        </w:rPr>
        <w:t>〔</w:t>
      </w:r>
      <w:r w:rsidR="00FE3795" w:rsidRPr="00092862">
        <w:rPr>
          <w:rFonts w:ascii="Times New Roman" w:hAnsi="Times New Roman"/>
          <w:color w:val="000000" w:themeColor="text1"/>
          <w:spacing w:val="-7"/>
          <w:lang w:eastAsia="zh-CN"/>
        </w:rPr>
        <w:t>2003</w:t>
      </w:r>
      <w:r w:rsidR="005C599D" w:rsidRPr="00092862">
        <w:rPr>
          <w:rFonts w:ascii="Times New Roman" w:hAnsi="Times New Roman"/>
          <w:color w:val="000000" w:themeColor="text1"/>
          <w:spacing w:val="-7"/>
          <w:lang w:eastAsia="zh-CN"/>
        </w:rPr>
        <w:t>〕</w:t>
      </w:r>
      <w:r w:rsidR="00FE3795" w:rsidRPr="00092862">
        <w:rPr>
          <w:rFonts w:ascii="Times New Roman" w:hAnsi="Times New Roman"/>
          <w:color w:val="000000" w:themeColor="text1"/>
          <w:spacing w:val="-7"/>
          <w:lang w:eastAsia="zh-CN"/>
        </w:rPr>
        <w:t>100</w:t>
      </w:r>
      <w:r w:rsidR="00FE3795" w:rsidRPr="00092862">
        <w:rPr>
          <w:rFonts w:ascii="Times New Roman" w:hAnsi="Times New Roman"/>
          <w:color w:val="000000" w:themeColor="text1"/>
          <w:spacing w:val="-7"/>
          <w:lang w:eastAsia="zh-CN"/>
        </w:rPr>
        <w:t>号，</w:t>
      </w:r>
      <w:r w:rsidR="00FE3795" w:rsidRPr="00092862">
        <w:rPr>
          <w:rFonts w:ascii="Times New Roman" w:hAnsi="Times New Roman"/>
          <w:color w:val="000000" w:themeColor="text1"/>
          <w:spacing w:val="-7"/>
          <w:lang w:eastAsia="zh-CN"/>
        </w:rPr>
        <w:t>2003.12.17</w:t>
      </w:r>
      <w:r w:rsidR="00FE3795" w:rsidRPr="00092862">
        <w:rPr>
          <w:rFonts w:ascii="Times New Roman" w:hAnsi="Times New Roman"/>
          <w:color w:val="000000" w:themeColor="text1"/>
          <w:spacing w:val="-7"/>
          <w:lang w:eastAsia="zh-CN"/>
        </w:rPr>
        <w:t>）；</w:t>
      </w:r>
    </w:p>
    <w:p w14:paraId="2A14EA85" w14:textId="43EC46EB"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00187558" w:rsidRPr="00092862">
        <w:rPr>
          <w:rFonts w:ascii="Times New Roman" w:hAnsi="Times New Roman"/>
          <w:color w:val="000000" w:themeColor="text1"/>
          <w:spacing w:val="-7"/>
          <w:lang w:eastAsia="zh-CN"/>
        </w:rPr>
        <w:t>5</w:t>
      </w:r>
      <w:r w:rsidRPr="00092862">
        <w:rPr>
          <w:rFonts w:ascii="Times New Roman" w:hAnsi="Times New Roman"/>
          <w:color w:val="000000" w:themeColor="text1"/>
          <w:spacing w:val="-7"/>
          <w:lang w:eastAsia="zh-CN"/>
        </w:rPr>
        <w:t>）《国务院关于印发节能减排综合性工作方案的通知》（国发</w:t>
      </w:r>
      <w:r w:rsidR="005C599D"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2007</w:t>
      </w:r>
      <w:r w:rsidR="005C599D"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15</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2007.5.23</w:t>
      </w:r>
      <w:r w:rsidRPr="00092862">
        <w:rPr>
          <w:rFonts w:ascii="Times New Roman" w:hAnsi="Times New Roman"/>
          <w:color w:val="000000" w:themeColor="text1"/>
          <w:spacing w:val="-7"/>
          <w:lang w:eastAsia="zh-CN"/>
        </w:rPr>
        <w:t>）；</w:t>
      </w:r>
    </w:p>
    <w:p w14:paraId="7F75C5F5" w14:textId="1C7E6993"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00187558" w:rsidRPr="00092862">
        <w:rPr>
          <w:rFonts w:ascii="Times New Roman" w:hAnsi="Times New Roman"/>
          <w:color w:val="000000" w:themeColor="text1"/>
          <w:spacing w:val="-7"/>
          <w:lang w:eastAsia="zh-CN"/>
        </w:rPr>
        <w:t>6</w:t>
      </w:r>
      <w:r w:rsidRPr="00092862">
        <w:rPr>
          <w:rFonts w:ascii="Times New Roman" w:hAnsi="Times New Roman"/>
          <w:color w:val="000000" w:themeColor="text1"/>
          <w:spacing w:val="-7"/>
          <w:lang w:eastAsia="zh-CN"/>
        </w:rPr>
        <w:t>）《永久基本农田保护条例》（</w:t>
      </w:r>
      <w:r w:rsidRPr="00092862">
        <w:rPr>
          <w:rFonts w:ascii="Times New Roman" w:hAnsi="Times New Roman"/>
          <w:color w:val="000000" w:themeColor="text1"/>
          <w:spacing w:val="-7"/>
          <w:lang w:eastAsia="zh-CN"/>
        </w:rPr>
        <w:t>2011.1.8</w:t>
      </w:r>
      <w:r w:rsidRPr="00092862">
        <w:rPr>
          <w:rFonts w:ascii="Times New Roman" w:hAnsi="Times New Roman"/>
          <w:color w:val="000000" w:themeColor="text1"/>
          <w:spacing w:val="-7"/>
          <w:lang w:eastAsia="zh-CN"/>
        </w:rPr>
        <w:t>修订）；</w:t>
      </w:r>
    </w:p>
    <w:p w14:paraId="64383972" w14:textId="2C637BEA"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00187558" w:rsidRPr="00092862">
        <w:rPr>
          <w:rFonts w:ascii="Times New Roman" w:hAnsi="Times New Roman"/>
          <w:color w:val="000000" w:themeColor="text1"/>
          <w:spacing w:val="-7"/>
          <w:lang w:eastAsia="zh-CN"/>
        </w:rPr>
        <w:t>7</w:t>
      </w:r>
      <w:r w:rsidRPr="00092862">
        <w:rPr>
          <w:rFonts w:ascii="Times New Roman" w:hAnsi="Times New Roman"/>
          <w:color w:val="000000" w:themeColor="text1"/>
          <w:spacing w:val="-7"/>
          <w:lang w:eastAsia="zh-CN"/>
        </w:rPr>
        <w:t>）《土地复垦条例》（国务院令</w:t>
      </w:r>
      <w:r w:rsidRPr="00092862">
        <w:rPr>
          <w:rFonts w:ascii="Times New Roman" w:hAnsi="Times New Roman"/>
          <w:color w:val="000000" w:themeColor="text1"/>
          <w:spacing w:val="-7"/>
          <w:lang w:eastAsia="zh-CN"/>
        </w:rPr>
        <w:t>592</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2011.2.22</w:t>
      </w:r>
      <w:r w:rsidRPr="00092862">
        <w:rPr>
          <w:rFonts w:ascii="Times New Roman" w:hAnsi="Times New Roman"/>
          <w:color w:val="000000" w:themeColor="text1"/>
          <w:spacing w:val="-7"/>
          <w:lang w:eastAsia="zh-CN"/>
        </w:rPr>
        <w:t>）；</w:t>
      </w:r>
    </w:p>
    <w:p w14:paraId="5C00A48D" w14:textId="2789DF09"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00187558" w:rsidRPr="00092862">
        <w:rPr>
          <w:rFonts w:ascii="Times New Roman" w:hAnsi="Times New Roman"/>
          <w:color w:val="000000" w:themeColor="text1"/>
          <w:spacing w:val="-7"/>
          <w:lang w:eastAsia="zh-CN"/>
        </w:rPr>
        <w:t>8</w:t>
      </w:r>
      <w:r w:rsidRPr="00092862">
        <w:rPr>
          <w:rFonts w:ascii="Times New Roman" w:hAnsi="Times New Roman"/>
          <w:color w:val="000000" w:themeColor="text1"/>
          <w:spacing w:val="-7"/>
          <w:lang w:eastAsia="zh-CN"/>
        </w:rPr>
        <w:t>）《大气污染防治行动计划》（国发〔</w:t>
      </w:r>
      <w:r w:rsidRPr="00092862">
        <w:rPr>
          <w:rFonts w:ascii="Times New Roman" w:hAnsi="Times New Roman"/>
          <w:color w:val="000000" w:themeColor="text1"/>
          <w:spacing w:val="-7"/>
          <w:lang w:eastAsia="zh-CN"/>
        </w:rPr>
        <w:t>2013</w:t>
      </w: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37</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2013.9.10</w:t>
      </w:r>
      <w:r w:rsidRPr="00092862">
        <w:rPr>
          <w:rFonts w:ascii="Times New Roman" w:hAnsi="Times New Roman"/>
          <w:color w:val="000000" w:themeColor="text1"/>
          <w:spacing w:val="-7"/>
          <w:lang w:eastAsia="zh-CN"/>
        </w:rPr>
        <w:t>；</w:t>
      </w:r>
    </w:p>
    <w:p w14:paraId="1FB5A2C5" w14:textId="3C255618"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00187558" w:rsidRPr="00092862">
        <w:rPr>
          <w:rFonts w:ascii="Times New Roman" w:hAnsi="Times New Roman"/>
          <w:color w:val="000000" w:themeColor="text1"/>
          <w:spacing w:val="-7"/>
          <w:lang w:eastAsia="zh-CN"/>
        </w:rPr>
        <w:t>9</w:t>
      </w:r>
      <w:r w:rsidRPr="00092862">
        <w:rPr>
          <w:rFonts w:ascii="Times New Roman" w:hAnsi="Times New Roman"/>
          <w:color w:val="000000" w:themeColor="text1"/>
          <w:spacing w:val="-7"/>
          <w:lang w:eastAsia="zh-CN"/>
        </w:rPr>
        <w:t>）《全国生态保护与建设规划》（</w:t>
      </w:r>
      <w:r w:rsidRPr="00092862">
        <w:rPr>
          <w:rFonts w:ascii="Times New Roman" w:hAnsi="Times New Roman"/>
          <w:color w:val="000000" w:themeColor="text1"/>
          <w:spacing w:val="-7"/>
          <w:lang w:eastAsia="zh-CN"/>
        </w:rPr>
        <w:t>2013~2020</w:t>
      </w:r>
      <w:r w:rsidRPr="00092862">
        <w:rPr>
          <w:rFonts w:ascii="Times New Roman" w:hAnsi="Times New Roman"/>
          <w:color w:val="000000" w:themeColor="text1"/>
          <w:spacing w:val="-7"/>
          <w:lang w:eastAsia="zh-CN"/>
        </w:rPr>
        <w:t>年），</w:t>
      </w:r>
      <w:r w:rsidRPr="00092862">
        <w:rPr>
          <w:rFonts w:ascii="Times New Roman" w:hAnsi="Times New Roman"/>
          <w:color w:val="000000" w:themeColor="text1"/>
          <w:spacing w:val="-7"/>
          <w:lang w:eastAsia="zh-CN"/>
        </w:rPr>
        <w:t>2013.10</w:t>
      </w:r>
      <w:r w:rsidRPr="00092862">
        <w:rPr>
          <w:rFonts w:ascii="Times New Roman" w:hAnsi="Times New Roman"/>
          <w:color w:val="000000" w:themeColor="text1"/>
          <w:spacing w:val="-7"/>
          <w:lang w:eastAsia="zh-CN"/>
        </w:rPr>
        <w:t>；</w:t>
      </w:r>
    </w:p>
    <w:p w14:paraId="16322879" w14:textId="515557F8"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1</w:t>
      </w:r>
      <w:r w:rsidR="00187558" w:rsidRPr="00092862">
        <w:rPr>
          <w:rFonts w:ascii="Times New Roman" w:hAnsi="Times New Roman"/>
          <w:color w:val="000000" w:themeColor="text1"/>
          <w:spacing w:val="-7"/>
          <w:lang w:eastAsia="zh-CN"/>
        </w:rPr>
        <w:t>0</w:t>
      </w:r>
      <w:r w:rsidRPr="00092862">
        <w:rPr>
          <w:rFonts w:ascii="Times New Roman" w:hAnsi="Times New Roman"/>
          <w:color w:val="000000" w:themeColor="text1"/>
          <w:spacing w:val="-7"/>
          <w:lang w:eastAsia="zh-CN"/>
        </w:rPr>
        <w:t>）《水污染防治行动计划》（国发〔</w:t>
      </w:r>
      <w:r w:rsidRPr="00092862">
        <w:rPr>
          <w:rFonts w:ascii="Times New Roman" w:hAnsi="Times New Roman"/>
          <w:color w:val="000000" w:themeColor="text1"/>
          <w:spacing w:val="-7"/>
          <w:lang w:eastAsia="zh-CN"/>
        </w:rPr>
        <w:t>2015</w:t>
      </w: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17</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2015.4.2</w:t>
      </w:r>
      <w:r w:rsidRPr="00092862">
        <w:rPr>
          <w:rFonts w:ascii="Times New Roman" w:hAnsi="Times New Roman"/>
          <w:color w:val="000000" w:themeColor="text1"/>
          <w:spacing w:val="-7"/>
          <w:lang w:eastAsia="zh-CN"/>
        </w:rPr>
        <w:t>；</w:t>
      </w:r>
    </w:p>
    <w:p w14:paraId="1D4779AF" w14:textId="31F566DF" w:rsidR="00FE3795"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7"/>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1</w:t>
      </w:r>
      <w:r w:rsidR="00187558" w:rsidRPr="00092862">
        <w:rPr>
          <w:rFonts w:ascii="Times New Roman" w:hAnsi="Times New Roman"/>
          <w:color w:val="000000" w:themeColor="text1"/>
          <w:spacing w:val="-7"/>
          <w:lang w:eastAsia="zh-CN"/>
        </w:rPr>
        <w:t>1</w:t>
      </w:r>
      <w:r w:rsidRPr="00092862">
        <w:rPr>
          <w:rFonts w:ascii="Times New Roman" w:hAnsi="Times New Roman"/>
          <w:color w:val="000000" w:themeColor="text1"/>
          <w:spacing w:val="-7"/>
          <w:lang w:eastAsia="zh-CN"/>
        </w:rPr>
        <w:t>）《土壤污染防治行动计划》（国发〔</w:t>
      </w:r>
      <w:r w:rsidRPr="00092862">
        <w:rPr>
          <w:rFonts w:ascii="Times New Roman" w:hAnsi="Times New Roman"/>
          <w:color w:val="000000" w:themeColor="text1"/>
          <w:spacing w:val="-7"/>
          <w:lang w:eastAsia="zh-CN"/>
        </w:rPr>
        <w:t>2016</w:t>
      </w: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31</w:t>
      </w:r>
      <w:r w:rsidRPr="00092862">
        <w:rPr>
          <w:rFonts w:ascii="Times New Roman" w:hAnsi="Times New Roman"/>
          <w:color w:val="000000" w:themeColor="text1"/>
          <w:spacing w:val="-7"/>
          <w:lang w:eastAsia="zh-CN"/>
        </w:rPr>
        <w:t>号），</w:t>
      </w:r>
      <w:r w:rsidRPr="00092862">
        <w:rPr>
          <w:rFonts w:ascii="Times New Roman" w:hAnsi="Times New Roman"/>
          <w:color w:val="000000" w:themeColor="text1"/>
          <w:spacing w:val="-7"/>
          <w:lang w:eastAsia="zh-CN"/>
        </w:rPr>
        <w:t>2016.5.28</w:t>
      </w:r>
    </w:p>
    <w:p w14:paraId="4E6C696E" w14:textId="6D1BB25A" w:rsidR="00DC446C" w:rsidRPr="00092862" w:rsidRDefault="00FE3795" w:rsidP="003D2EEB">
      <w:pPr>
        <w:pStyle w:val="ac"/>
        <w:adjustRightInd w:val="0"/>
        <w:snapToGrid w:val="0"/>
        <w:spacing w:before="0" w:line="360" w:lineRule="auto"/>
        <w:ind w:left="0" w:firstLineChars="200" w:firstLine="466"/>
        <w:jc w:val="both"/>
        <w:rPr>
          <w:rFonts w:ascii="Times New Roman" w:hAnsi="Times New Roman"/>
          <w:color w:val="000000" w:themeColor="text1"/>
          <w:spacing w:val="-4"/>
          <w:lang w:eastAsia="zh-CN"/>
        </w:rPr>
      </w:pPr>
      <w:r w:rsidRPr="00092862">
        <w:rPr>
          <w:rFonts w:ascii="Times New Roman" w:hAnsi="Times New Roman"/>
          <w:color w:val="000000" w:themeColor="text1"/>
          <w:spacing w:val="-7"/>
          <w:lang w:eastAsia="zh-CN"/>
        </w:rPr>
        <w:t>（</w:t>
      </w:r>
      <w:r w:rsidRPr="00092862">
        <w:rPr>
          <w:rFonts w:ascii="Times New Roman" w:hAnsi="Times New Roman"/>
          <w:color w:val="000000" w:themeColor="text1"/>
          <w:spacing w:val="-7"/>
          <w:lang w:eastAsia="zh-CN"/>
        </w:rPr>
        <w:t>1</w:t>
      </w:r>
      <w:r w:rsidR="00F95A48">
        <w:rPr>
          <w:rFonts w:ascii="Times New Roman" w:hAnsi="Times New Roman" w:hint="eastAsia"/>
          <w:color w:val="000000" w:themeColor="text1"/>
          <w:spacing w:val="-7"/>
          <w:lang w:eastAsia="zh-CN"/>
        </w:rPr>
        <w:t>2</w:t>
      </w:r>
      <w:r w:rsidRPr="00092862">
        <w:rPr>
          <w:rFonts w:ascii="Times New Roman" w:hAnsi="Times New Roman"/>
          <w:color w:val="000000" w:themeColor="text1"/>
          <w:spacing w:val="-7"/>
          <w:lang w:eastAsia="zh-CN"/>
        </w:rPr>
        <w:t>）《中华人民共和国野生植物保护条例》（</w:t>
      </w:r>
      <w:r w:rsidRPr="00092862">
        <w:rPr>
          <w:rFonts w:ascii="Times New Roman" w:hAnsi="Times New Roman"/>
          <w:color w:val="000000" w:themeColor="text1"/>
          <w:spacing w:val="-7"/>
          <w:lang w:eastAsia="zh-CN"/>
        </w:rPr>
        <w:t>2017.10.7</w:t>
      </w:r>
      <w:r w:rsidRPr="00092862">
        <w:rPr>
          <w:rFonts w:ascii="Times New Roman" w:hAnsi="Times New Roman"/>
          <w:color w:val="000000" w:themeColor="text1"/>
          <w:spacing w:val="-7"/>
          <w:lang w:eastAsia="zh-CN"/>
        </w:rPr>
        <w:t>修订）。</w:t>
      </w:r>
    </w:p>
    <w:p w14:paraId="3015807F"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9" w:name="_Toc120173056"/>
      <w:r w:rsidRPr="00092862">
        <w:rPr>
          <w:rFonts w:ascii="Times New Roman" w:eastAsia="黑体" w:hAnsi="Times New Roman"/>
          <w:b w:val="0"/>
          <w:color w:val="000000" w:themeColor="text1"/>
          <w:sz w:val="24"/>
          <w:szCs w:val="24"/>
          <w:lang w:eastAsia="zh-CN"/>
        </w:rPr>
        <w:lastRenderedPageBreak/>
        <w:t>2.3.3</w:t>
      </w:r>
      <w:r w:rsidRPr="00092862">
        <w:rPr>
          <w:rFonts w:ascii="Times New Roman" w:eastAsia="黑体" w:hAnsi="Times New Roman"/>
          <w:b w:val="0"/>
          <w:color w:val="000000" w:themeColor="text1"/>
          <w:sz w:val="24"/>
          <w:szCs w:val="24"/>
          <w:lang w:eastAsia="zh-CN"/>
        </w:rPr>
        <w:t>部门规章</w:t>
      </w:r>
      <w:bookmarkEnd w:id="29"/>
    </w:p>
    <w:p w14:paraId="4F35C085" w14:textId="662317D0"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）《关于进一步加强建设项目环境保护管理工作的通知》（环发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2001</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19</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2001.2.21)</w:t>
      </w:r>
      <w:r w:rsidRPr="00092862">
        <w:rPr>
          <w:rFonts w:ascii="Times New Roman" w:eastAsia="宋体" w:hAnsi="Times New Roman" w:cs="Times New Roman"/>
          <w:bCs/>
          <w:color w:val="000000" w:themeColor="text1"/>
          <w:sz w:val="24"/>
          <w:szCs w:val="24"/>
        </w:rPr>
        <w:t>；</w:t>
      </w:r>
    </w:p>
    <w:p w14:paraId="5C279903" w14:textId="48513F35"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）《关于进一步加强石油天然气行业环境影响评价管理的通知》（环办环评函〔</w:t>
      </w:r>
      <w:r w:rsidRPr="00092862">
        <w:rPr>
          <w:rFonts w:ascii="Times New Roman" w:eastAsia="宋体" w:hAnsi="Times New Roman" w:cs="Times New Roman"/>
          <w:bCs/>
          <w:color w:val="000000" w:themeColor="text1"/>
          <w:sz w:val="24"/>
          <w:szCs w:val="24"/>
        </w:rPr>
        <w:t>2019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910</w:t>
      </w:r>
      <w:r w:rsidRPr="00092862">
        <w:rPr>
          <w:rFonts w:ascii="Times New Roman" w:eastAsia="宋体" w:hAnsi="Times New Roman" w:cs="Times New Roman"/>
          <w:bCs/>
          <w:color w:val="000000" w:themeColor="text1"/>
          <w:sz w:val="24"/>
          <w:szCs w:val="24"/>
        </w:rPr>
        <w:t>号）；</w:t>
      </w:r>
    </w:p>
    <w:p w14:paraId="7625FB1A" w14:textId="4B27AABC"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）《环境影响评价公众参与办法》（</w:t>
      </w:r>
      <w:r w:rsidRPr="00092862">
        <w:rPr>
          <w:rFonts w:ascii="Times New Roman" w:eastAsia="宋体" w:hAnsi="Times New Roman" w:cs="Times New Roman"/>
          <w:bCs/>
          <w:color w:val="000000" w:themeColor="text1"/>
          <w:sz w:val="24"/>
          <w:szCs w:val="24"/>
        </w:rPr>
        <w:t xml:space="preserve">2018 </w:t>
      </w:r>
      <w:r w:rsidRPr="00092862">
        <w:rPr>
          <w:rFonts w:ascii="Times New Roman" w:eastAsia="宋体" w:hAnsi="Times New Roman" w:cs="Times New Roman"/>
          <w:bCs/>
          <w:color w:val="000000" w:themeColor="text1"/>
          <w:sz w:val="24"/>
          <w:szCs w:val="24"/>
        </w:rPr>
        <w:t>年</w:t>
      </w:r>
      <w:r w:rsidRPr="00092862">
        <w:rPr>
          <w:rFonts w:ascii="Times New Roman" w:eastAsia="宋体" w:hAnsi="Times New Roman" w:cs="Times New Roman"/>
          <w:bCs/>
          <w:color w:val="000000" w:themeColor="text1"/>
          <w:sz w:val="24"/>
          <w:szCs w:val="24"/>
        </w:rPr>
        <w:t>7</w:t>
      </w:r>
      <w:r w:rsidRPr="00092862">
        <w:rPr>
          <w:rFonts w:ascii="Times New Roman" w:eastAsia="宋体" w:hAnsi="Times New Roman" w:cs="Times New Roman"/>
          <w:bCs/>
          <w:color w:val="000000" w:themeColor="text1"/>
          <w:sz w:val="24"/>
          <w:szCs w:val="24"/>
        </w:rPr>
        <w:t>月</w:t>
      </w:r>
      <w:r w:rsidRPr="00092862">
        <w:rPr>
          <w:rFonts w:ascii="Times New Roman" w:eastAsia="宋体" w:hAnsi="Times New Roman" w:cs="Times New Roman"/>
          <w:bCs/>
          <w:color w:val="000000" w:themeColor="text1"/>
          <w:sz w:val="24"/>
          <w:szCs w:val="24"/>
        </w:rPr>
        <w:t>16</w:t>
      </w:r>
      <w:r w:rsidRPr="00092862">
        <w:rPr>
          <w:rFonts w:ascii="Times New Roman" w:eastAsia="宋体" w:hAnsi="Times New Roman" w:cs="Times New Roman"/>
          <w:bCs/>
          <w:color w:val="000000" w:themeColor="text1"/>
          <w:sz w:val="24"/>
          <w:szCs w:val="24"/>
        </w:rPr>
        <w:t>日）；</w:t>
      </w:r>
    </w:p>
    <w:p w14:paraId="2A1F0DAE" w14:textId="33E2119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）《突发环境事件应急管理办法》（部令第</w:t>
      </w:r>
      <w:r w:rsidRPr="00092862">
        <w:rPr>
          <w:rFonts w:ascii="Times New Roman" w:eastAsia="宋体" w:hAnsi="Times New Roman" w:cs="Times New Roman"/>
          <w:bCs/>
          <w:color w:val="000000" w:themeColor="text1"/>
          <w:sz w:val="24"/>
          <w:szCs w:val="24"/>
        </w:rPr>
        <w:t xml:space="preserve"> 34 </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2015.6.5</w:t>
      </w:r>
      <w:r w:rsidRPr="00092862">
        <w:rPr>
          <w:rFonts w:ascii="Times New Roman" w:eastAsia="宋体" w:hAnsi="Times New Roman" w:cs="Times New Roman"/>
          <w:bCs/>
          <w:color w:val="000000" w:themeColor="text1"/>
          <w:sz w:val="24"/>
          <w:szCs w:val="24"/>
        </w:rPr>
        <w:t>）；</w:t>
      </w:r>
    </w:p>
    <w:p w14:paraId="045CA228" w14:textId="0BD4791E"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）《关于进一步加强环境影响评价管理防范环境风险的通知》（环发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2012</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 xml:space="preserve">77 </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2012.7.3)</w:t>
      </w:r>
      <w:r w:rsidRPr="00092862">
        <w:rPr>
          <w:rFonts w:ascii="Times New Roman" w:eastAsia="宋体" w:hAnsi="Times New Roman" w:cs="Times New Roman"/>
          <w:bCs/>
          <w:color w:val="000000" w:themeColor="text1"/>
          <w:sz w:val="24"/>
          <w:szCs w:val="24"/>
        </w:rPr>
        <w:t>；</w:t>
      </w:r>
    </w:p>
    <w:p w14:paraId="70C5991E" w14:textId="6C787055"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）《关于切实加强风险防范严格环境影响评价管理的通知》（环发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2012</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 xml:space="preserve">98 </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2012.8.8</w:t>
      </w:r>
      <w:r w:rsidRPr="00092862">
        <w:rPr>
          <w:rFonts w:ascii="Times New Roman" w:eastAsia="宋体" w:hAnsi="Times New Roman" w:cs="Times New Roman"/>
          <w:bCs/>
          <w:color w:val="000000" w:themeColor="text1"/>
          <w:sz w:val="24"/>
          <w:szCs w:val="24"/>
        </w:rPr>
        <w:t>）；</w:t>
      </w:r>
    </w:p>
    <w:p w14:paraId="679003C4" w14:textId="661D0566"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7</w:t>
      </w:r>
      <w:r w:rsidRPr="00092862">
        <w:rPr>
          <w:rFonts w:ascii="Times New Roman" w:eastAsia="宋体" w:hAnsi="Times New Roman" w:cs="Times New Roman"/>
          <w:bCs/>
          <w:color w:val="000000" w:themeColor="text1"/>
          <w:sz w:val="24"/>
          <w:szCs w:val="24"/>
        </w:rPr>
        <w:t>）《石油天然气开采业污染防治技术政策》（环保部公告</w:t>
      </w:r>
      <w:r w:rsidRPr="00092862">
        <w:rPr>
          <w:rFonts w:ascii="Times New Roman" w:eastAsia="宋体" w:hAnsi="Times New Roman" w:cs="Times New Roman"/>
          <w:bCs/>
          <w:color w:val="000000" w:themeColor="text1"/>
          <w:sz w:val="24"/>
          <w:szCs w:val="24"/>
        </w:rPr>
        <w:t>2012</w:t>
      </w:r>
      <w:r w:rsidRPr="00092862">
        <w:rPr>
          <w:rFonts w:ascii="Times New Roman" w:eastAsia="宋体" w:hAnsi="Times New Roman" w:cs="Times New Roman"/>
          <w:bCs/>
          <w:color w:val="000000" w:themeColor="text1"/>
          <w:sz w:val="24"/>
          <w:szCs w:val="24"/>
        </w:rPr>
        <w:t>年第</w:t>
      </w:r>
      <w:r w:rsidRPr="00092862">
        <w:rPr>
          <w:rFonts w:ascii="Times New Roman" w:eastAsia="宋体" w:hAnsi="Times New Roman" w:cs="Times New Roman"/>
          <w:bCs/>
          <w:color w:val="000000" w:themeColor="text1"/>
          <w:sz w:val="24"/>
          <w:szCs w:val="24"/>
        </w:rPr>
        <w:t>18</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 xml:space="preserve">2012.03.07 </w:t>
      </w:r>
      <w:r w:rsidRPr="00092862">
        <w:rPr>
          <w:rFonts w:ascii="Times New Roman" w:eastAsia="宋体" w:hAnsi="Times New Roman" w:cs="Times New Roman"/>
          <w:bCs/>
          <w:color w:val="000000" w:themeColor="text1"/>
          <w:sz w:val="24"/>
          <w:szCs w:val="24"/>
        </w:rPr>
        <w:t>实施；</w:t>
      </w:r>
    </w:p>
    <w:p w14:paraId="1AED5763" w14:textId="7726BBC4"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）《产业结构调整指导目录》（</w:t>
      </w:r>
      <w:r w:rsidRPr="00092862">
        <w:rPr>
          <w:rFonts w:ascii="Times New Roman" w:eastAsia="宋体" w:hAnsi="Times New Roman" w:cs="Times New Roman"/>
          <w:bCs/>
          <w:color w:val="000000" w:themeColor="text1"/>
          <w:sz w:val="24"/>
          <w:szCs w:val="24"/>
        </w:rPr>
        <w:t>2019</w:t>
      </w:r>
      <w:r w:rsidRPr="00092862">
        <w:rPr>
          <w:rFonts w:ascii="Times New Roman" w:eastAsia="宋体" w:hAnsi="Times New Roman" w:cs="Times New Roman"/>
          <w:bCs/>
          <w:color w:val="000000" w:themeColor="text1"/>
          <w:sz w:val="24"/>
          <w:szCs w:val="24"/>
        </w:rPr>
        <w:t>年修订）（</w:t>
      </w:r>
      <w:r w:rsidRPr="00092862">
        <w:rPr>
          <w:rFonts w:ascii="Times New Roman" w:eastAsia="宋体" w:hAnsi="Times New Roman" w:cs="Times New Roman"/>
          <w:bCs/>
          <w:color w:val="000000" w:themeColor="text1"/>
          <w:sz w:val="24"/>
          <w:szCs w:val="24"/>
        </w:rPr>
        <w:t>2020.1.1</w:t>
      </w:r>
      <w:r w:rsidRPr="00092862">
        <w:rPr>
          <w:rFonts w:ascii="Times New Roman" w:eastAsia="宋体" w:hAnsi="Times New Roman" w:cs="Times New Roman"/>
          <w:bCs/>
          <w:color w:val="000000" w:themeColor="text1"/>
          <w:sz w:val="24"/>
          <w:szCs w:val="24"/>
        </w:rPr>
        <w:t>施行）；</w:t>
      </w:r>
    </w:p>
    <w:p w14:paraId="5953D00D" w14:textId="627593C1" w:rsidR="003D450D" w:rsidRPr="00092862" w:rsidRDefault="003D450D" w:rsidP="003D450D">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）《国家发展改革委关于修改</w:t>
      </w:r>
      <w:r w:rsidRPr="00092862">
        <w:rPr>
          <w:rFonts w:ascii="Times New Roman" w:eastAsia="宋体" w:hAnsi="Times New Roman" w:cs="Times New Roman"/>
          <w:bCs/>
          <w:color w:val="000000" w:themeColor="text1"/>
          <w:sz w:val="24"/>
          <w:szCs w:val="24"/>
        </w:rPr>
        <w:t>&lt;</w:t>
      </w:r>
      <w:r w:rsidRPr="00092862">
        <w:rPr>
          <w:rFonts w:ascii="Times New Roman" w:eastAsia="宋体" w:hAnsi="Times New Roman" w:cs="Times New Roman"/>
          <w:bCs/>
          <w:color w:val="000000" w:themeColor="text1"/>
          <w:sz w:val="24"/>
          <w:szCs w:val="24"/>
        </w:rPr>
        <w:t>产业结构调整指导目录（</w:t>
      </w:r>
      <w:r w:rsidRPr="00092862">
        <w:rPr>
          <w:rFonts w:ascii="Times New Roman" w:eastAsia="宋体" w:hAnsi="Times New Roman" w:cs="Times New Roman"/>
          <w:bCs/>
          <w:color w:val="000000" w:themeColor="text1"/>
          <w:sz w:val="24"/>
          <w:szCs w:val="24"/>
        </w:rPr>
        <w:t>2019</w:t>
      </w:r>
      <w:r w:rsidRPr="00092862">
        <w:rPr>
          <w:rFonts w:ascii="Times New Roman" w:eastAsia="宋体" w:hAnsi="Times New Roman" w:cs="Times New Roman"/>
          <w:bCs/>
          <w:color w:val="000000" w:themeColor="text1"/>
          <w:sz w:val="24"/>
          <w:szCs w:val="24"/>
        </w:rPr>
        <w:t>年本）</w:t>
      </w:r>
      <w:r w:rsidRPr="00092862">
        <w:rPr>
          <w:rFonts w:ascii="Times New Roman" w:eastAsia="宋体" w:hAnsi="Times New Roman" w:cs="Times New Roman"/>
          <w:bCs/>
          <w:color w:val="000000" w:themeColor="text1"/>
          <w:sz w:val="24"/>
          <w:szCs w:val="24"/>
        </w:rPr>
        <w:t>&gt;</w:t>
      </w:r>
      <w:r w:rsidRPr="00092862">
        <w:rPr>
          <w:rFonts w:ascii="Times New Roman" w:eastAsia="宋体" w:hAnsi="Times New Roman" w:cs="Times New Roman"/>
          <w:bCs/>
          <w:color w:val="000000" w:themeColor="text1"/>
          <w:sz w:val="24"/>
          <w:szCs w:val="24"/>
        </w:rPr>
        <w:t>的决定》（中华人民共和国国家发展和改革委员会令第</w:t>
      </w:r>
      <w:r w:rsidRPr="00092862">
        <w:rPr>
          <w:rFonts w:ascii="Times New Roman" w:eastAsia="宋体" w:hAnsi="Times New Roman" w:cs="Times New Roman"/>
          <w:bCs/>
          <w:color w:val="000000" w:themeColor="text1"/>
          <w:sz w:val="24"/>
          <w:szCs w:val="24"/>
        </w:rPr>
        <w:t>49</w:t>
      </w:r>
      <w:r w:rsidRPr="00092862">
        <w:rPr>
          <w:rFonts w:ascii="Times New Roman" w:eastAsia="宋体" w:hAnsi="Times New Roman" w:cs="Times New Roman"/>
          <w:bCs/>
          <w:color w:val="000000" w:themeColor="text1"/>
          <w:sz w:val="24"/>
          <w:szCs w:val="24"/>
        </w:rPr>
        <w:t>号）</w:t>
      </w:r>
      <w:r w:rsidR="00485439" w:rsidRPr="00092862">
        <w:rPr>
          <w:rFonts w:ascii="Times New Roman" w:eastAsia="宋体" w:hAnsi="Times New Roman" w:cs="Times New Roman"/>
          <w:bCs/>
          <w:color w:val="000000" w:themeColor="text1"/>
          <w:sz w:val="24"/>
          <w:szCs w:val="24"/>
        </w:rPr>
        <w:t>（</w:t>
      </w:r>
      <w:r w:rsidR="00485439" w:rsidRPr="00092862">
        <w:rPr>
          <w:rFonts w:ascii="Times New Roman" w:eastAsia="宋体" w:hAnsi="Times New Roman" w:cs="Times New Roman"/>
          <w:bCs/>
          <w:color w:val="000000" w:themeColor="text1"/>
          <w:sz w:val="24"/>
          <w:szCs w:val="24"/>
        </w:rPr>
        <w:t>2021</w:t>
      </w:r>
      <w:r w:rsidR="00485439" w:rsidRPr="00092862">
        <w:rPr>
          <w:rFonts w:ascii="Times New Roman" w:eastAsia="宋体" w:hAnsi="Times New Roman" w:cs="Times New Roman"/>
          <w:bCs/>
          <w:color w:val="000000" w:themeColor="text1"/>
          <w:sz w:val="24"/>
          <w:szCs w:val="24"/>
        </w:rPr>
        <w:t>年修订）</w:t>
      </w:r>
      <w:r w:rsidRPr="00092862">
        <w:rPr>
          <w:rFonts w:ascii="Times New Roman" w:eastAsia="宋体" w:hAnsi="Times New Roman" w:cs="Times New Roman"/>
          <w:bCs/>
          <w:color w:val="000000" w:themeColor="text1"/>
          <w:sz w:val="24"/>
          <w:szCs w:val="24"/>
        </w:rPr>
        <w:t>；</w:t>
      </w:r>
    </w:p>
    <w:p w14:paraId="03A017B1" w14:textId="22D5CF23"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0</w:t>
      </w:r>
      <w:r w:rsidRPr="00092862">
        <w:rPr>
          <w:rFonts w:ascii="Times New Roman" w:eastAsia="宋体" w:hAnsi="Times New Roman" w:cs="Times New Roman"/>
          <w:bCs/>
          <w:color w:val="000000" w:themeColor="text1"/>
          <w:sz w:val="24"/>
          <w:szCs w:val="24"/>
        </w:rPr>
        <w:t>）《关于推进环境保护公众参与的指导意见》（环办</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2014</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48</w:t>
      </w:r>
      <w:r w:rsidRPr="00092862">
        <w:rPr>
          <w:rFonts w:ascii="Times New Roman" w:eastAsia="宋体" w:hAnsi="Times New Roman" w:cs="Times New Roman"/>
          <w:bCs/>
          <w:color w:val="000000" w:themeColor="text1"/>
          <w:sz w:val="24"/>
          <w:szCs w:val="24"/>
        </w:rPr>
        <w:t>号）；</w:t>
      </w:r>
    </w:p>
    <w:p w14:paraId="2FB986D7" w14:textId="422E7855"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）《关于落实大气污染防治行动计划严格环境影响评价准入的通知》（环办</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2014</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30</w:t>
      </w:r>
      <w:r w:rsidRPr="00092862">
        <w:rPr>
          <w:rFonts w:ascii="Times New Roman" w:eastAsia="宋体" w:hAnsi="Times New Roman" w:cs="Times New Roman"/>
          <w:bCs/>
          <w:color w:val="000000" w:themeColor="text1"/>
          <w:sz w:val="24"/>
          <w:szCs w:val="24"/>
        </w:rPr>
        <w:t>号）；</w:t>
      </w:r>
    </w:p>
    <w:p w14:paraId="7B76C004" w14:textId="0AAFB2D5"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）《建设项目环境影响评价分类管理名录》，生态环境部令第</w:t>
      </w:r>
      <w:r w:rsidRPr="00092862">
        <w:rPr>
          <w:rFonts w:ascii="Times New Roman" w:eastAsia="宋体" w:hAnsi="Times New Roman" w:cs="Times New Roman"/>
          <w:bCs/>
          <w:color w:val="000000" w:themeColor="text1"/>
          <w:sz w:val="24"/>
          <w:szCs w:val="24"/>
        </w:rPr>
        <w:t>16</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2021.1.1</w:t>
      </w:r>
      <w:r w:rsidRPr="00092862">
        <w:rPr>
          <w:rFonts w:ascii="Times New Roman" w:eastAsia="宋体" w:hAnsi="Times New Roman" w:cs="Times New Roman"/>
          <w:bCs/>
          <w:color w:val="000000" w:themeColor="text1"/>
          <w:sz w:val="24"/>
          <w:szCs w:val="24"/>
        </w:rPr>
        <w:t>起施行；</w:t>
      </w:r>
    </w:p>
    <w:p w14:paraId="15B15876" w14:textId="0341FF14"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）《国家危险废物名录》环境保护部令第</w:t>
      </w:r>
      <w:r w:rsidRPr="00092862">
        <w:rPr>
          <w:rFonts w:ascii="Times New Roman" w:eastAsia="宋体" w:hAnsi="Times New Roman" w:cs="Times New Roman"/>
          <w:bCs/>
          <w:color w:val="000000" w:themeColor="text1"/>
          <w:sz w:val="24"/>
          <w:szCs w:val="24"/>
        </w:rPr>
        <w:t>15</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2021.1.1</w:t>
      </w:r>
      <w:r w:rsidRPr="00092862">
        <w:rPr>
          <w:rFonts w:ascii="Times New Roman" w:eastAsia="宋体" w:hAnsi="Times New Roman" w:cs="Times New Roman"/>
          <w:bCs/>
          <w:color w:val="000000" w:themeColor="text1"/>
          <w:sz w:val="24"/>
          <w:szCs w:val="24"/>
        </w:rPr>
        <w:t>起施行；</w:t>
      </w:r>
    </w:p>
    <w:p w14:paraId="4F9B55D9" w14:textId="4CBC32F0"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）《关于划定并严守生态保护红线的若干意见》（中共中央办公厅、国务院办公厅，</w:t>
      </w:r>
      <w:r w:rsidRPr="00092862">
        <w:rPr>
          <w:rFonts w:ascii="Times New Roman" w:eastAsia="宋体" w:hAnsi="Times New Roman" w:cs="Times New Roman"/>
          <w:bCs/>
          <w:color w:val="000000" w:themeColor="text1"/>
          <w:sz w:val="24"/>
          <w:szCs w:val="24"/>
        </w:rPr>
        <w:t>2017.2.7</w:t>
      </w:r>
      <w:r w:rsidRPr="00092862">
        <w:rPr>
          <w:rFonts w:ascii="Times New Roman" w:eastAsia="宋体" w:hAnsi="Times New Roman" w:cs="Times New Roman"/>
          <w:bCs/>
          <w:color w:val="000000" w:themeColor="text1"/>
          <w:sz w:val="24"/>
          <w:szCs w:val="24"/>
        </w:rPr>
        <w:t>）；</w:t>
      </w:r>
    </w:p>
    <w:p w14:paraId="15393B67" w14:textId="3CF54541"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）《全国生态环境保护纲要》（国发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2000</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38</w:t>
      </w:r>
      <w:r w:rsidRPr="00092862">
        <w:rPr>
          <w:rFonts w:ascii="Times New Roman" w:eastAsia="宋体" w:hAnsi="Times New Roman" w:cs="Times New Roman"/>
          <w:bCs/>
          <w:color w:val="000000" w:themeColor="text1"/>
          <w:sz w:val="24"/>
          <w:szCs w:val="24"/>
        </w:rPr>
        <w:t>号）；</w:t>
      </w:r>
    </w:p>
    <w:p w14:paraId="4FA8A287" w14:textId="37164943"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D15CA7"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）《国家重点生态功能保护区规划纲要》（环发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2007</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165</w:t>
      </w:r>
      <w:r w:rsidRPr="00092862">
        <w:rPr>
          <w:rFonts w:ascii="Times New Roman" w:eastAsia="宋体" w:hAnsi="Times New Roman" w:cs="Times New Roman"/>
          <w:bCs/>
          <w:color w:val="000000" w:themeColor="text1"/>
          <w:sz w:val="24"/>
          <w:szCs w:val="24"/>
        </w:rPr>
        <w:t>号）；</w:t>
      </w:r>
    </w:p>
    <w:p w14:paraId="136FF328" w14:textId="1F9B030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17</w:t>
      </w:r>
      <w:r w:rsidRPr="00092862">
        <w:rPr>
          <w:rFonts w:ascii="Times New Roman" w:eastAsia="宋体" w:hAnsi="Times New Roman" w:cs="Times New Roman"/>
          <w:bCs/>
          <w:color w:val="000000" w:themeColor="text1"/>
          <w:sz w:val="24"/>
          <w:szCs w:val="24"/>
        </w:rPr>
        <w:t>）《全国生态功能区划（修编版）》</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环境保护部、中国科学院公告</w:t>
      </w:r>
      <w:r w:rsidRPr="00092862">
        <w:rPr>
          <w:rFonts w:ascii="Times New Roman" w:eastAsia="宋体" w:hAnsi="Times New Roman" w:cs="Times New Roman"/>
          <w:bCs/>
          <w:color w:val="000000" w:themeColor="text1"/>
          <w:sz w:val="24"/>
          <w:szCs w:val="24"/>
        </w:rPr>
        <w:t>2015</w:t>
      </w:r>
      <w:r w:rsidRPr="00092862">
        <w:rPr>
          <w:rFonts w:ascii="Times New Roman" w:eastAsia="宋体" w:hAnsi="Times New Roman" w:cs="Times New Roman"/>
          <w:bCs/>
          <w:color w:val="000000" w:themeColor="text1"/>
          <w:sz w:val="24"/>
          <w:szCs w:val="24"/>
        </w:rPr>
        <w:t>年第</w:t>
      </w:r>
      <w:r w:rsidRPr="00092862">
        <w:rPr>
          <w:rFonts w:ascii="Times New Roman" w:eastAsia="宋体" w:hAnsi="Times New Roman" w:cs="Times New Roman"/>
          <w:bCs/>
          <w:color w:val="000000" w:themeColor="text1"/>
          <w:sz w:val="24"/>
          <w:szCs w:val="24"/>
        </w:rPr>
        <w:t>61</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w:t>
      </w:r>
    </w:p>
    <w:p w14:paraId="48CFFE67" w14:textId="20A18AEC"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D15CA7" w:rsidRPr="00092862">
        <w:rPr>
          <w:rFonts w:ascii="Times New Roman" w:eastAsia="宋体" w:hAnsi="Times New Roman" w:cs="Times New Roman"/>
          <w:bCs/>
          <w:color w:val="000000" w:themeColor="text1"/>
          <w:sz w:val="24"/>
          <w:szCs w:val="24"/>
        </w:rPr>
        <w:t>18</w:t>
      </w:r>
      <w:r w:rsidRPr="00092862">
        <w:rPr>
          <w:rFonts w:ascii="Times New Roman" w:eastAsia="宋体" w:hAnsi="Times New Roman" w:cs="Times New Roman"/>
          <w:bCs/>
          <w:color w:val="000000" w:themeColor="text1"/>
          <w:sz w:val="24"/>
          <w:szCs w:val="24"/>
        </w:rPr>
        <w:t>）《关于加强国家重点生态功能区环境保护和管理的意见》</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环发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2013</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 xml:space="preserve">16 </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w:t>
      </w:r>
    </w:p>
    <w:p w14:paraId="740A5A79" w14:textId="7FF055EC" w:rsidR="006B6155" w:rsidRPr="00092862" w:rsidRDefault="00FE3795" w:rsidP="006B6155">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w:t>
      </w:r>
      <w:r w:rsidR="00D15CA7" w:rsidRPr="00092862">
        <w:rPr>
          <w:rFonts w:ascii="Times New Roman" w:eastAsia="宋体" w:hAnsi="Times New Roman" w:cs="Times New Roman"/>
          <w:bCs/>
          <w:color w:val="000000" w:themeColor="text1"/>
          <w:sz w:val="24"/>
          <w:szCs w:val="24"/>
        </w:rPr>
        <w:t>19</w:t>
      </w:r>
      <w:r w:rsidRPr="00092862">
        <w:rPr>
          <w:rFonts w:ascii="Times New Roman" w:eastAsia="宋体" w:hAnsi="Times New Roman" w:cs="Times New Roman"/>
          <w:bCs/>
          <w:color w:val="000000" w:themeColor="text1"/>
          <w:sz w:val="24"/>
          <w:szCs w:val="24"/>
        </w:rPr>
        <w:t>）《关于推进污水资源化利用的指导意见》（发改环资〔</w:t>
      </w:r>
      <w:r w:rsidRPr="00092862">
        <w:rPr>
          <w:rFonts w:ascii="Times New Roman" w:eastAsia="宋体" w:hAnsi="Times New Roman" w:cs="Times New Roman"/>
          <w:bCs/>
          <w:color w:val="000000" w:themeColor="text1"/>
          <w:sz w:val="24"/>
          <w:szCs w:val="24"/>
        </w:rPr>
        <w:t>2021</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13</w:t>
      </w:r>
      <w:r w:rsidRPr="00092862">
        <w:rPr>
          <w:rFonts w:ascii="Times New Roman" w:eastAsia="宋体" w:hAnsi="Times New Roman" w:cs="Times New Roman"/>
          <w:bCs/>
          <w:color w:val="000000" w:themeColor="text1"/>
          <w:sz w:val="24"/>
          <w:szCs w:val="24"/>
        </w:rPr>
        <w:t>号）</w:t>
      </w:r>
      <w:r w:rsidR="006B6155" w:rsidRPr="00092862">
        <w:rPr>
          <w:rFonts w:ascii="Times New Roman" w:eastAsia="宋体" w:hAnsi="Times New Roman" w:cs="Times New Roman"/>
          <w:bCs/>
          <w:color w:val="000000" w:themeColor="text1"/>
          <w:sz w:val="24"/>
          <w:szCs w:val="24"/>
        </w:rPr>
        <w:t>；</w:t>
      </w:r>
    </w:p>
    <w:p w14:paraId="4100B279" w14:textId="77044EEE" w:rsidR="00727A1A" w:rsidRPr="00092862" w:rsidRDefault="006B6155" w:rsidP="006B6155">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00D15CA7" w:rsidRPr="00092862">
        <w:rPr>
          <w:rFonts w:ascii="Times New Roman" w:eastAsia="宋体" w:hAnsi="Times New Roman" w:cs="Times New Roman"/>
          <w:bCs/>
          <w:color w:val="000000" w:themeColor="text1"/>
          <w:sz w:val="24"/>
          <w:szCs w:val="24"/>
        </w:rPr>
        <w:t>0</w:t>
      </w:r>
      <w:r w:rsidRPr="00092862">
        <w:rPr>
          <w:rFonts w:ascii="Times New Roman" w:eastAsia="宋体" w:hAnsi="Times New Roman" w:cs="Times New Roman"/>
          <w:bCs/>
          <w:color w:val="000000" w:themeColor="text1"/>
          <w:sz w:val="24"/>
          <w:szCs w:val="24"/>
        </w:rPr>
        <w:t>）《危险废物环境管理指南</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陆上石油天然气开采》（生态环境部公告</w:t>
      </w:r>
      <w:r w:rsidRPr="00092862">
        <w:rPr>
          <w:rFonts w:ascii="Times New Roman" w:eastAsia="宋体" w:hAnsi="Times New Roman" w:cs="Times New Roman"/>
          <w:bCs/>
          <w:color w:val="000000" w:themeColor="text1"/>
          <w:sz w:val="24"/>
          <w:szCs w:val="24"/>
        </w:rPr>
        <w:t>2021</w:t>
      </w:r>
      <w:r w:rsidRPr="00092862">
        <w:rPr>
          <w:rFonts w:ascii="Times New Roman" w:eastAsia="宋体" w:hAnsi="Times New Roman" w:cs="Times New Roman"/>
          <w:bCs/>
          <w:color w:val="000000" w:themeColor="text1"/>
          <w:sz w:val="24"/>
          <w:szCs w:val="24"/>
        </w:rPr>
        <w:t>年第</w:t>
      </w:r>
      <w:r w:rsidRPr="00092862">
        <w:rPr>
          <w:rFonts w:ascii="Times New Roman" w:eastAsia="宋体" w:hAnsi="Times New Roman" w:cs="Times New Roman"/>
          <w:bCs/>
          <w:color w:val="000000" w:themeColor="text1"/>
          <w:sz w:val="24"/>
          <w:szCs w:val="24"/>
        </w:rPr>
        <w:t>74</w:t>
      </w:r>
      <w:r w:rsidRPr="00092862">
        <w:rPr>
          <w:rFonts w:ascii="Times New Roman" w:eastAsia="宋体" w:hAnsi="Times New Roman" w:cs="Times New Roman"/>
          <w:bCs/>
          <w:color w:val="000000" w:themeColor="text1"/>
          <w:sz w:val="24"/>
          <w:szCs w:val="24"/>
        </w:rPr>
        <w:t>号）</w:t>
      </w:r>
      <w:r w:rsidR="00727A1A" w:rsidRPr="00092862">
        <w:rPr>
          <w:rFonts w:ascii="Times New Roman" w:eastAsia="宋体" w:hAnsi="Times New Roman" w:cs="Times New Roman"/>
          <w:bCs/>
          <w:color w:val="000000" w:themeColor="text1"/>
          <w:sz w:val="24"/>
          <w:szCs w:val="24"/>
        </w:rPr>
        <w:t>；</w:t>
      </w:r>
    </w:p>
    <w:p w14:paraId="49251D30" w14:textId="08016055" w:rsidR="00727A1A" w:rsidRPr="00092862" w:rsidRDefault="00727A1A" w:rsidP="006B6155">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00D15CA7"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）《自然资源部关于规范临时用地管理的通知》（自然资规〔</w:t>
      </w:r>
      <w:r w:rsidRPr="00092862">
        <w:rPr>
          <w:rFonts w:ascii="Times New Roman" w:eastAsia="宋体" w:hAnsi="Times New Roman" w:cs="Times New Roman"/>
          <w:bCs/>
          <w:color w:val="000000" w:themeColor="text1"/>
          <w:sz w:val="24"/>
          <w:szCs w:val="24"/>
        </w:rPr>
        <w:t>2021</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号）；</w:t>
      </w:r>
    </w:p>
    <w:p w14:paraId="06118976" w14:textId="77777777" w:rsidR="00485439" w:rsidRPr="00092862" w:rsidRDefault="00727A1A" w:rsidP="006B6155">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00D15CA7"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）《四川省自然资源厅关于进一步明确临时用地管理有关事项的通知》（川自然资规〔</w:t>
      </w:r>
      <w:r w:rsidRPr="00092862">
        <w:rPr>
          <w:rFonts w:ascii="Times New Roman" w:eastAsia="宋体" w:hAnsi="Times New Roman" w:cs="Times New Roman"/>
          <w:bCs/>
          <w:color w:val="000000" w:themeColor="text1"/>
          <w:sz w:val="24"/>
          <w:szCs w:val="24"/>
        </w:rPr>
        <w:t>2022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号）</w:t>
      </w:r>
      <w:r w:rsidR="00485439" w:rsidRPr="00092862">
        <w:rPr>
          <w:rFonts w:ascii="Times New Roman" w:eastAsia="宋体" w:hAnsi="Times New Roman" w:cs="Times New Roman"/>
          <w:bCs/>
          <w:color w:val="000000" w:themeColor="text1"/>
          <w:sz w:val="24"/>
          <w:szCs w:val="24"/>
        </w:rPr>
        <w:t>；</w:t>
      </w:r>
    </w:p>
    <w:p w14:paraId="6E5F8A16" w14:textId="226CB850" w:rsidR="00DC446C" w:rsidRPr="00092862" w:rsidRDefault="00485439" w:rsidP="006B6155">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23</w:t>
      </w:r>
      <w:r w:rsidRPr="00092862">
        <w:rPr>
          <w:rFonts w:ascii="Times New Roman" w:eastAsia="宋体" w:hAnsi="Times New Roman" w:cs="Times New Roman"/>
          <w:bCs/>
          <w:color w:val="000000" w:themeColor="text1"/>
          <w:sz w:val="24"/>
          <w:szCs w:val="24"/>
        </w:rPr>
        <w:t>）达州市人民政府《关于落实生态保护红线、环境质量底线、资源利用上线制定生态环境准入清单实施生态环境分区管控的通知》达市府发〔</w:t>
      </w:r>
      <w:r w:rsidRPr="00092862">
        <w:rPr>
          <w:rFonts w:ascii="Times New Roman" w:eastAsia="宋体" w:hAnsi="Times New Roman" w:cs="Times New Roman"/>
          <w:bCs/>
          <w:color w:val="000000" w:themeColor="text1"/>
          <w:sz w:val="24"/>
          <w:szCs w:val="24"/>
        </w:rPr>
        <w:t>2021</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 xml:space="preserve"> 17</w:t>
      </w:r>
      <w:r w:rsidRPr="00092862">
        <w:rPr>
          <w:rFonts w:ascii="Times New Roman" w:eastAsia="宋体" w:hAnsi="Times New Roman" w:cs="Times New Roman"/>
          <w:bCs/>
          <w:color w:val="000000" w:themeColor="text1"/>
          <w:sz w:val="24"/>
          <w:szCs w:val="24"/>
        </w:rPr>
        <w:t>号</w:t>
      </w:r>
      <w:r w:rsidR="006B6155" w:rsidRPr="00092862">
        <w:rPr>
          <w:rFonts w:ascii="Times New Roman" w:eastAsia="宋体" w:hAnsi="Times New Roman" w:cs="Times New Roman"/>
          <w:bCs/>
          <w:color w:val="000000" w:themeColor="text1"/>
          <w:sz w:val="24"/>
          <w:szCs w:val="24"/>
        </w:rPr>
        <w:t>。</w:t>
      </w:r>
    </w:p>
    <w:p w14:paraId="62415192"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 w:name="_Toc120173057"/>
      <w:r w:rsidRPr="00092862">
        <w:rPr>
          <w:rFonts w:ascii="Times New Roman" w:eastAsia="黑体" w:hAnsi="Times New Roman"/>
          <w:b w:val="0"/>
          <w:color w:val="000000" w:themeColor="text1"/>
          <w:sz w:val="24"/>
          <w:szCs w:val="24"/>
          <w:lang w:eastAsia="zh-CN"/>
        </w:rPr>
        <w:t>2.3.4</w:t>
      </w:r>
      <w:r w:rsidRPr="00092862">
        <w:rPr>
          <w:rFonts w:ascii="Times New Roman" w:eastAsia="黑体" w:hAnsi="Times New Roman"/>
          <w:b w:val="0"/>
          <w:color w:val="000000" w:themeColor="text1"/>
          <w:sz w:val="24"/>
          <w:szCs w:val="24"/>
          <w:lang w:eastAsia="zh-CN"/>
        </w:rPr>
        <w:t>地方性法规及规范性文件</w:t>
      </w:r>
      <w:bookmarkEnd w:id="30"/>
    </w:p>
    <w:p w14:paraId="7EE3374F" w14:textId="7777777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）《四川省重点保护野生动物名录》（</w:t>
      </w:r>
      <w:r w:rsidRPr="00092862">
        <w:rPr>
          <w:rFonts w:ascii="Times New Roman" w:eastAsia="宋体" w:hAnsi="Times New Roman" w:cs="Times New Roman"/>
          <w:bCs/>
          <w:color w:val="000000" w:themeColor="text1"/>
          <w:sz w:val="24"/>
          <w:szCs w:val="24"/>
        </w:rPr>
        <w:t>1990.3.12</w:t>
      </w:r>
      <w:r w:rsidRPr="00092862">
        <w:rPr>
          <w:rFonts w:ascii="Times New Roman" w:eastAsia="宋体" w:hAnsi="Times New Roman" w:cs="Times New Roman"/>
          <w:bCs/>
          <w:color w:val="000000" w:themeColor="text1"/>
          <w:sz w:val="24"/>
          <w:szCs w:val="24"/>
        </w:rPr>
        <w:t>）；</w:t>
      </w:r>
    </w:p>
    <w:p w14:paraId="6DCDD9C4" w14:textId="7777777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）《四川省新增重点保护野生动物名录》（</w:t>
      </w:r>
      <w:r w:rsidRPr="00092862">
        <w:rPr>
          <w:rFonts w:ascii="Times New Roman" w:eastAsia="宋体" w:hAnsi="Times New Roman" w:cs="Times New Roman"/>
          <w:bCs/>
          <w:color w:val="000000" w:themeColor="text1"/>
          <w:sz w:val="24"/>
          <w:szCs w:val="24"/>
        </w:rPr>
        <w:t>2000.9.13</w:t>
      </w:r>
      <w:r w:rsidRPr="00092862">
        <w:rPr>
          <w:rFonts w:ascii="Times New Roman" w:eastAsia="宋体" w:hAnsi="Times New Roman" w:cs="Times New Roman"/>
          <w:bCs/>
          <w:color w:val="000000" w:themeColor="text1"/>
          <w:sz w:val="24"/>
          <w:szCs w:val="24"/>
        </w:rPr>
        <w:t>）；</w:t>
      </w:r>
    </w:p>
    <w:p w14:paraId="0D282F04" w14:textId="7777777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）《四川省永久基本农田保护实施细则》（</w:t>
      </w:r>
      <w:r w:rsidRPr="00092862">
        <w:rPr>
          <w:rFonts w:ascii="Times New Roman" w:eastAsia="宋体" w:hAnsi="Times New Roman" w:cs="Times New Roman"/>
          <w:bCs/>
          <w:color w:val="000000" w:themeColor="text1"/>
          <w:sz w:val="24"/>
          <w:szCs w:val="24"/>
        </w:rPr>
        <w:t>1996.2.29</w:t>
      </w:r>
      <w:r w:rsidRPr="00092862">
        <w:rPr>
          <w:rFonts w:ascii="Times New Roman" w:eastAsia="宋体" w:hAnsi="Times New Roman" w:cs="Times New Roman"/>
          <w:bCs/>
          <w:color w:val="000000" w:themeColor="text1"/>
          <w:sz w:val="24"/>
          <w:szCs w:val="24"/>
        </w:rPr>
        <w:t>）；</w:t>
      </w:r>
    </w:p>
    <w:p w14:paraId="59A054D7" w14:textId="7777777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）《四川省环境保护条例》（</w:t>
      </w:r>
      <w:r w:rsidRPr="00092862">
        <w:rPr>
          <w:rFonts w:ascii="Times New Roman" w:eastAsia="宋体" w:hAnsi="Times New Roman" w:cs="Times New Roman"/>
          <w:bCs/>
          <w:color w:val="000000" w:themeColor="text1"/>
          <w:sz w:val="24"/>
          <w:szCs w:val="24"/>
        </w:rPr>
        <w:t>2017</w:t>
      </w:r>
      <w:r w:rsidRPr="00092862">
        <w:rPr>
          <w:rFonts w:ascii="Times New Roman" w:eastAsia="宋体" w:hAnsi="Times New Roman" w:cs="Times New Roman"/>
          <w:bCs/>
          <w:color w:val="000000" w:themeColor="text1"/>
          <w:sz w:val="24"/>
          <w:szCs w:val="24"/>
        </w:rPr>
        <w:t>年</w:t>
      </w:r>
      <w:r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月</w:t>
      </w:r>
      <w:r w:rsidRPr="00092862">
        <w:rPr>
          <w:rFonts w:ascii="Times New Roman" w:eastAsia="宋体" w:hAnsi="Times New Roman" w:cs="Times New Roman"/>
          <w:bCs/>
          <w:color w:val="000000" w:themeColor="text1"/>
          <w:sz w:val="24"/>
          <w:szCs w:val="24"/>
        </w:rPr>
        <w:t>22</w:t>
      </w:r>
      <w:r w:rsidRPr="00092862">
        <w:rPr>
          <w:rFonts w:ascii="Times New Roman" w:eastAsia="宋体" w:hAnsi="Times New Roman" w:cs="Times New Roman"/>
          <w:bCs/>
          <w:color w:val="000000" w:themeColor="text1"/>
          <w:sz w:val="24"/>
          <w:szCs w:val="24"/>
        </w:rPr>
        <w:t>日修订）；</w:t>
      </w:r>
    </w:p>
    <w:p w14:paraId="136F5CED" w14:textId="6C42FC33"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8A6850"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）《四川省生态功能区划》</w:t>
      </w:r>
      <w:r w:rsidR="008E7B30"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2010</w:t>
      </w:r>
      <w:r w:rsidRPr="00092862">
        <w:rPr>
          <w:rFonts w:ascii="Times New Roman" w:eastAsia="宋体" w:hAnsi="Times New Roman" w:cs="Times New Roman"/>
          <w:bCs/>
          <w:color w:val="000000" w:themeColor="text1"/>
          <w:sz w:val="24"/>
          <w:szCs w:val="24"/>
        </w:rPr>
        <w:t>年</w:t>
      </w:r>
      <w:r w:rsidR="008E7B30"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w:t>
      </w:r>
    </w:p>
    <w:p w14:paraId="324CAD51" w14:textId="79D830C9"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8A6850"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）《关于进一步加强我省农村饮用水水源保护区环境保护工作的通知》（川环办发</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2011</w:t>
      </w:r>
      <w:r w:rsidR="005C599D"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98</w:t>
      </w:r>
      <w:r w:rsidRPr="00092862">
        <w:rPr>
          <w:rFonts w:ascii="Times New Roman" w:eastAsia="宋体" w:hAnsi="Times New Roman" w:cs="Times New Roman"/>
          <w:bCs/>
          <w:color w:val="000000" w:themeColor="text1"/>
          <w:sz w:val="24"/>
          <w:szCs w:val="24"/>
        </w:rPr>
        <w:t>号）；</w:t>
      </w:r>
    </w:p>
    <w:p w14:paraId="42A1BF43" w14:textId="74510901"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8A6850" w:rsidRPr="00092862">
        <w:rPr>
          <w:rFonts w:ascii="Times New Roman" w:eastAsia="宋体" w:hAnsi="Times New Roman" w:cs="Times New Roman"/>
          <w:bCs/>
          <w:color w:val="000000" w:themeColor="text1"/>
          <w:sz w:val="24"/>
          <w:szCs w:val="24"/>
        </w:rPr>
        <w:t>7</w:t>
      </w:r>
      <w:r w:rsidRPr="00092862">
        <w:rPr>
          <w:rFonts w:ascii="Times New Roman" w:eastAsia="宋体" w:hAnsi="Times New Roman" w:cs="Times New Roman"/>
          <w:bCs/>
          <w:color w:val="000000" w:themeColor="text1"/>
          <w:sz w:val="24"/>
          <w:szCs w:val="24"/>
        </w:rPr>
        <w:t>）《四川省〈中华人民共和国野生动物保护法〉实施办法》（</w:t>
      </w:r>
      <w:r w:rsidRPr="00092862">
        <w:rPr>
          <w:rFonts w:ascii="Times New Roman" w:eastAsia="宋体" w:hAnsi="Times New Roman" w:cs="Times New Roman"/>
          <w:bCs/>
          <w:color w:val="000000" w:themeColor="text1"/>
          <w:sz w:val="24"/>
          <w:szCs w:val="24"/>
        </w:rPr>
        <w:t>2012.7.27</w:t>
      </w:r>
      <w:r w:rsidRPr="00092862">
        <w:rPr>
          <w:rFonts w:ascii="Times New Roman" w:eastAsia="宋体" w:hAnsi="Times New Roman" w:cs="Times New Roman"/>
          <w:bCs/>
          <w:color w:val="000000" w:themeColor="text1"/>
          <w:sz w:val="24"/>
          <w:szCs w:val="24"/>
        </w:rPr>
        <w:t>）；</w:t>
      </w:r>
    </w:p>
    <w:p w14:paraId="52334814" w14:textId="3E098B7F"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8A6850"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）《四川省</w:t>
      </w:r>
      <w:r w:rsidRPr="00092862">
        <w:rPr>
          <w:rFonts w:ascii="Times New Roman" w:eastAsia="宋体" w:hAnsi="Times New Roman" w:cs="Times New Roman"/>
          <w:bCs/>
          <w:color w:val="000000" w:themeColor="text1"/>
          <w:sz w:val="24"/>
          <w:szCs w:val="24"/>
        </w:rPr>
        <w:t>&lt;</w:t>
      </w:r>
      <w:r w:rsidRPr="00092862">
        <w:rPr>
          <w:rFonts w:ascii="Times New Roman" w:eastAsia="宋体" w:hAnsi="Times New Roman" w:cs="Times New Roman"/>
          <w:bCs/>
          <w:color w:val="000000" w:themeColor="text1"/>
          <w:sz w:val="24"/>
          <w:szCs w:val="24"/>
        </w:rPr>
        <w:t>中华人民共和国水土保持法</w:t>
      </w:r>
      <w:r w:rsidRPr="00092862">
        <w:rPr>
          <w:rFonts w:ascii="Times New Roman" w:eastAsia="宋体" w:hAnsi="Times New Roman" w:cs="Times New Roman"/>
          <w:bCs/>
          <w:color w:val="000000" w:themeColor="text1"/>
          <w:sz w:val="24"/>
          <w:szCs w:val="24"/>
        </w:rPr>
        <w:t>&gt;</w:t>
      </w:r>
      <w:r w:rsidRPr="00092862">
        <w:rPr>
          <w:rFonts w:ascii="Times New Roman" w:eastAsia="宋体" w:hAnsi="Times New Roman" w:cs="Times New Roman"/>
          <w:bCs/>
          <w:color w:val="000000" w:themeColor="text1"/>
          <w:sz w:val="24"/>
          <w:szCs w:val="24"/>
        </w:rPr>
        <w:t>实施办法》（</w:t>
      </w:r>
      <w:r w:rsidRPr="00092862">
        <w:rPr>
          <w:rFonts w:ascii="Times New Roman" w:eastAsia="宋体" w:hAnsi="Times New Roman" w:cs="Times New Roman"/>
          <w:bCs/>
          <w:color w:val="000000" w:themeColor="text1"/>
          <w:sz w:val="24"/>
          <w:szCs w:val="24"/>
        </w:rPr>
        <w:t>2012.12.1</w:t>
      </w:r>
      <w:r w:rsidRPr="00092862">
        <w:rPr>
          <w:rFonts w:ascii="Times New Roman" w:eastAsia="宋体" w:hAnsi="Times New Roman" w:cs="Times New Roman"/>
          <w:bCs/>
          <w:color w:val="000000" w:themeColor="text1"/>
          <w:sz w:val="24"/>
          <w:szCs w:val="24"/>
        </w:rPr>
        <w:t>）；</w:t>
      </w:r>
    </w:p>
    <w:p w14:paraId="7B4751EE" w14:textId="2633550A"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8A6850"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）《四川省固体废物污染环境防治条例》（</w:t>
      </w:r>
      <w:r w:rsidRPr="00092862">
        <w:rPr>
          <w:rFonts w:ascii="Times New Roman" w:eastAsia="宋体" w:hAnsi="Times New Roman" w:cs="Times New Roman"/>
          <w:bCs/>
          <w:color w:val="000000" w:themeColor="text1"/>
          <w:sz w:val="24"/>
          <w:szCs w:val="24"/>
        </w:rPr>
        <w:t>20</w:t>
      </w:r>
      <w:r w:rsidR="00187558" w:rsidRPr="00092862">
        <w:rPr>
          <w:rFonts w:ascii="Times New Roman" w:eastAsia="宋体" w:hAnsi="Times New Roman" w:cs="Times New Roman"/>
          <w:bCs/>
          <w:color w:val="000000" w:themeColor="text1"/>
          <w:sz w:val="24"/>
          <w:szCs w:val="24"/>
        </w:rPr>
        <w:t>22</w:t>
      </w:r>
      <w:r w:rsidRPr="00092862">
        <w:rPr>
          <w:rFonts w:ascii="Times New Roman" w:eastAsia="宋体" w:hAnsi="Times New Roman" w:cs="Times New Roman"/>
          <w:bCs/>
          <w:color w:val="000000" w:themeColor="text1"/>
          <w:sz w:val="24"/>
          <w:szCs w:val="24"/>
        </w:rPr>
        <w:t>.</w:t>
      </w:r>
      <w:r w:rsidR="00187558"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w:t>
      </w:r>
      <w:r w:rsidR="00187558"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修订）；</w:t>
      </w:r>
    </w:p>
    <w:p w14:paraId="7A1F05AD" w14:textId="5C330CD0"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0</w:t>
      </w:r>
      <w:r w:rsidRPr="00092862">
        <w:rPr>
          <w:rFonts w:ascii="Times New Roman" w:eastAsia="宋体" w:hAnsi="Times New Roman" w:cs="Times New Roman"/>
          <w:bCs/>
          <w:color w:val="000000" w:themeColor="text1"/>
          <w:sz w:val="24"/>
          <w:szCs w:val="24"/>
        </w:rPr>
        <w:t>）《四川省国民经济和社会发展第十四个五年规划和二〇三五年远景目标纲要》（</w:t>
      </w:r>
      <w:r w:rsidRPr="00092862">
        <w:rPr>
          <w:rFonts w:ascii="Times New Roman" w:eastAsia="宋体" w:hAnsi="Times New Roman" w:cs="Times New Roman"/>
          <w:bCs/>
          <w:color w:val="000000" w:themeColor="text1"/>
          <w:sz w:val="24"/>
          <w:szCs w:val="24"/>
        </w:rPr>
        <w:t>2021.2.2</w:t>
      </w:r>
      <w:r w:rsidRPr="00092862">
        <w:rPr>
          <w:rFonts w:ascii="Times New Roman" w:eastAsia="宋体" w:hAnsi="Times New Roman" w:cs="Times New Roman"/>
          <w:bCs/>
          <w:color w:val="000000" w:themeColor="text1"/>
          <w:sz w:val="24"/>
          <w:szCs w:val="24"/>
        </w:rPr>
        <w:t>）；</w:t>
      </w:r>
    </w:p>
    <w:p w14:paraId="448C3D89" w14:textId="0DDEFA87"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B97047"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）《四川省自然保护区管理条例》（</w:t>
      </w:r>
      <w:r w:rsidRPr="00092862">
        <w:rPr>
          <w:rFonts w:ascii="Times New Roman" w:eastAsia="宋体" w:hAnsi="Times New Roman" w:cs="Times New Roman"/>
          <w:bCs/>
          <w:color w:val="000000" w:themeColor="text1"/>
          <w:sz w:val="24"/>
          <w:szCs w:val="24"/>
        </w:rPr>
        <w:t xml:space="preserve">2018.9.30 </w:t>
      </w:r>
      <w:r w:rsidRPr="00092862">
        <w:rPr>
          <w:rFonts w:ascii="Times New Roman" w:eastAsia="宋体" w:hAnsi="Times New Roman" w:cs="Times New Roman"/>
          <w:bCs/>
          <w:color w:val="000000" w:themeColor="text1"/>
          <w:sz w:val="24"/>
          <w:szCs w:val="24"/>
        </w:rPr>
        <w:t>修订）；</w:t>
      </w:r>
    </w:p>
    <w:p w14:paraId="53219B04" w14:textId="64A1C25F"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）《四川省生态保护红线实施意见》（</w:t>
      </w:r>
      <w:r w:rsidRPr="00092862">
        <w:rPr>
          <w:rFonts w:ascii="Times New Roman" w:eastAsia="宋体" w:hAnsi="Times New Roman" w:cs="Times New Roman"/>
          <w:bCs/>
          <w:color w:val="000000" w:themeColor="text1"/>
          <w:sz w:val="24"/>
          <w:szCs w:val="24"/>
        </w:rPr>
        <w:t>2016.9.30</w:t>
      </w:r>
      <w:r w:rsidRPr="00092862">
        <w:rPr>
          <w:rFonts w:ascii="Times New Roman" w:eastAsia="宋体" w:hAnsi="Times New Roman" w:cs="Times New Roman"/>
          <w:bCs/>
          <w:color w:val="000000" w:themeColor="text1"/>
          <w:sz w:val="24"/>
          <w:szCs w:val="24"/>
        </w:rPr>
        <w:t>）；</w:t>
      </w:r>
    </w:p>
    <w:p w14:paraId="4B44D805" w14:textId="28ACA4A2"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）《关于印发四川省生态保护红线方案的通知》（川府发〔</w:t>
      </w:r>
      <w:r w:rsidRPr="00092862">
        <w:rPr>
          <w:rFonts w:ascii="Times New Roman" w:eastAsia="宋体" w:hAnsi="Times New Roman" w:cs="Times New Roman"/>
          <w:bCs/>
          <w:color w:val="000000" w:themeColor="text1"/>
          <w:sz w:val="24"/>
          <w:szCs w:val="24"/>
        </w:rPr>
        <w:t>2018</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24</w:t>
      </w:r>
      <w:r w:rsidRPr="00092862">
        <w:rPr>
          <w:rFonts w:ascii="Times New Roman" w:eastAsia="宋体" w:hAnsi="Times New Roman" w:cs="Times New Roman"/>
          <w:bCs/>
          <w:color w:val="000000" w:themeColor="text1"/>
          <w:sz w:val="24"/>
          <w:szCs w:val="24"/>
        </w:rPr>
        <w:t>号）；</w:t>
      </w:r>
    </w:p>
    <w:p w14:paraId="2B20236A" w14:textId="38C8B5B6" w:rsidR="00FE3795"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）《四川省人民政府关于落实生态保护红线、环境质量底线、资源利</w:t>
      </w:r>
      <w:r w:rsidRPr="00092862">
        <w:rPr>
          <w:rFonts w:ascii="Times New Roman" w:eastAsia="宋体" w:hAnsi="Times New Roman" w:cs="Times New Roman"/>
          <w:bCs/>
          <w:color w:val="000000" w:themeColor="text1"/>
          <w:sz w:val="24"/>
          <w:szCs w:val="24"/>
        </w:rPr>
        <w:lastRenderedPageBreak/>
        <w:t>用上线制定生态环境准入清单实施生态环境分区管控的通知》（川府发〔</w:t>
      </w:r>
      <w:r w:rsidRPr="00092862">
        <w:rPr>
          <w:rFonts w:ascii="Times New Roman" w:eastAsia="宋体" w:hAnsi="Times New Roman" w:cs="Times New Roman"/>
          <w:bCs/>
          <w:color w:val="000000" w:themeColor="text1"/>
          <w:sz w:val="24"/>
          <w:szCs w:val="24"/>
        </w:rPr>
        <w:t>2020</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号）</w:t>
      </w:r>
      <w:r w:rsidR="00113A28" w:rsidRPr="00092862">
        <w:rPr>
          <w:rFonts w:ascii="Times New Roman" w:eastAsia="宋体" w:hAnsi="Times New Roman" w:cs="Times New Roman"/>
          <w:bCs/>
          <w:color w:val="000000" w:themeColor="text1"/>
          <w:sz w:val="24"/>
          <w:szCs w:val="24"/>
        </w:rPr>
        <w:t>；</w:t>
      </w:r>
    </w:p>
    <w:p w14:paraId="0AFB6D0E" w14:textId="37EFC9B6" w:rsidR="00FE3795"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FE3795"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）《四川省饮用水水源保护管理条例》（</w:t>
      </w:r>
      <w:r w:rsidRPr="00092862">
        <w:rPr>
          <w:rFonts w:ascii="Times New Roman" w:eastAsia="宋体" w:hAnsi="Times New Roman" w:cs="Times New Roman"/>
          <w:bCs/>
          <w:color w:val="000000" w:themeColor="text1"/>
          <w:sz w:val="24"/>
          <w:szCs w:val="24"/>
        </w:rPr>
        <w:t>2012.1.1</w:t>
      </w:r>
      <w:r w:rsidRPr="00092862">
        <w:rPr>
          <w:rFonts w:ascii="Times New Roman" w:eastAsia="宋体" w:hAnsi="Times New Roman" w:cs="Times New Roman"/>
          <w:bCs/>
          <w:color w:val="000000" w:themeColor="text1"/>
          <w:sz w:val="24"/>
          <w:szCs w:val="24"/>
        </w:rPr>
        <w:t>施行）</w:t>
      </w:r>
      <w:r w:rsidR="00FE3795" w:rsidRPr="00092862">
        <w:rPr>
          <w:rFonts w:ascii="Times New Roman" w:eastAsia="宋体" w:hAnsi="Times New Roman" w:cs="Times New Roman"/>
          <w:bCs/>
          <w:color w:val="000000" w:themeColor="text1"/>
          <w:sz w:val="24"/>
          <w:szCs w:val="24"/>
        </w:rPr>
        <w:t>；</w:t>
      </w:r>
    </w:p>
    <w:p w14:paraId="430B4B38" w14:textId="2F23AF5D" w:rsidR="007D069E" w:rsidRPr="00092862" w:rsidRDefault="00FE3795"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7D069E" w:rsidRPr="00092862">
        <w:rPr>
          <w:rFonts w:ascii="Times New Roman" w:eastAsia="宋体" w:hAnsi="Times New Roman" w:cs="Times New Roman"/>
          <w:bCs/>
          <w:color w:val="000000" w:themeColor="text1"/>
          <w:sz w:val="24"/>
          <w:szCs w:val="24"/>
        </w:rPr>
        <w:t>1</w:t>
      </w:r>
      <w:r w:rsidR="008A6850"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）《四川省矿产资源总体规划（</w:t>
      </w:r>
      <w:r w:rsidRPr="00092862">
        <w:rPr>
          <w:rFonts w:ascii="Times New Roman" w:eastAsia="宋体" w:hAnsi="Times New Roman" w:cs="Times New Roman"/>
          <w:bCs/>
          <w:color w:val="000000" w:themeColor="text1"/>
          <w:sz w:val="24"/>
          <w:szCs w:val="24"/>
        </w:rPr>
        <w:t>2016-2020</w:t>
      </w:r>
      <w:r w:rsidRPr="00092862">
        <w:rPr>
          <w:rFonts w:ascii="Times New Roman" w:eastAsia="宋体" w:hAnsi="Times New Roman" w:cs="Times New Roman"/>
          <w:bCs/>
          <w:color w:val="000000" w:themeColor="text1"/>
          <w:sz w:val="24"/>
          <w:szCs w:val="24"/>
        </w:rPr>
        <w:t>年）》</w:t>
      </w:r>
      <w:r w:rsidR="00F97BCE" w:rsidRPr="00092862">
        <w:rPr>
          <w:rFonts w:ascii="Times New Roman" w:eastAsia="宋体" w:hAnsi="Times New Roman" w:cs="Times New Roman"/>
          <w:bCs/>
          <w:color w:val="000000" w:themeColor="text1"/>
          <w:sz w:val="24"/>
          <w:szCs w:val="24"/>
        </w:rPr>
        <w:t>（</w:t>
      </w:r>
      <w:r w:rsidR="00F97BCE" w:rsidRPr="00092862">
        <w:rPr>
          <w:rFonts w:ascii="Times New Roman" w:eastAsia="宋体" w:hAnsi="Times New Roman" w:cs="Times New Roman"/>
          <w:bCs/>
          <w:color w:val="000000" w:themeColor="text1"/>
          <w:sz w:val="24"/>
          <w:szCs w:val="24"/>
        </w:rPr>
        <w:t>2017.6.13</w:t>
      </w:r>
      <w:r w:rsidR="00F97BCE" w:rsidRPr="00092862">
        <w:rPr>
          <w:rFonts w:ascii="Times New Roman" w:eastAsia="宋体" w:hAnsi="Times New Roman" w:cs="Times New Roman"/>
          <w:bCs/>
          <w:color w:val="000000" w:themeColor="text1"/>
          <w:sz w:val="24"/>
          <w:szCs w:val="24"/>
        </w:rPr>
        <w:t>）</w:t>
      </w:r>
      <w:r w:rsidR="007D069E" w:rsidRPr="00092862">
        <w:rPr>
          <w:rFonts w:ascii="Times New Roman" w:eastAsia="宋体" w:hAnsi="Times New Roman" w:cs="Times New Roman"/>
          <w:bCs/>
          <w:color w:val="000000" w:themeColor="text1"/>
          <w:sz w:val="24"/>
          <w:szCs w:val="24"/>
        </w:rPr>
        <w:t>；</w:t>
      </w:r>
    </w:p>
    <w:p w14:paraId="070B4121" w14:textId="1A4B0F94" w:rsidR="002D58F0" w:rsidRPr="00092862" w:rsidRDefault="002D58F0" w:rsidP="002D58F0">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17</w:t>
      </w:r>
      <w:r w:rsidRPr="00092862">
        <w:rPr>
          <w:rFonts w:ascii="Times New Roman" w:eastAsia="宋体" w:hAnsi="Times New Roman" w:cs="Times New Roman"/>
          <w:bCs/>
          <w:color w:val="000000" w:themeColor="text1"/>
          <w:sz w:val="24"/>
          <w:szCs w:val="24"/>
        </w:rPr>
        <w:t>）《四川省矿产资源总体规划（</w:t>
      </w:r>
      <w:r w:rsidRPr="00092862">
        <w:rPr>
          <w:rFonts w:ascii="Times New Roman" w:eastAsia="宋体" w:hAnsi="Times New Roman" w:cs="Times New Roman"/>
          <w:bCs/>
          <w:color w:val="000000" w:themeColor="text1"/>
          <w:sz w:val="24"/>
          <w:szCs w:val="24"/>
        </w:rPr>
        <w:t>2021-2025</w:t>
      </w:r>
      <w:r w:rsidRPr="00092862">
        <w:rPr>
          <w:rFonts w:ascii="Times New Roman" w:eastAsia="宋体" w:hAnsi="Times New Roman" w:cs="Times New Roman"/>
          <w:bCs/>
          <w:color w:val="000000" w:themeColor="text1"/>
          <w:sz w:val="24"/>
          <w:szCs w:val="24"/>
        </w:rPr>
        <w:t>年）》（征求意见稿）；</w:t>
      </w:r>
    </w:p>
    <w:p w14:paraId="6A9379DD" w14:textId="46A5D608" w:rsidR="00DC446C" w:rsidRPr="00092862" w:rsidRDefault="007D069E"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002D58F0"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）《关于进一步加强固体废物污染防治工作的通知》（达市环办发</w:t>
      </w:r>
      <w:r w:rsidRPr="00092862">
        <w:rPr>
          <w:rFonts w:ascii="Times New Roman" w:eastAsia="宋体" w:hAnsi="Times New Roman" w:cs="Times New Roman"/>
          <w:bCs/>
          <w:color w:val="000000" w:themeColor="text1"/>
          <w:sz w:val="24"/>
          <w:szCs w:val="24"/>
        </w:rPr>
        <w:t>[2021]24</w:t>
      </w:r>
      <w:r w:rsidRPr="00092862">
        <w:rPr>
          <w:rFonts w:ascii="Times New Roman" w:eastAsia="宋体" w:hAnsi="Times New Roman" w:cs="Times New Roman"/>
          <w:bCs/>
          <w:color w:val="000000" w:themeColor="text1"/>
          <w:sz w:val="24"/>
          <w:szCs w:val="24"/>
        </w:rPr>
        <w:t>号）</w:t>
      </w:r>
      <w:r w:rsidR="003B1968" w:rsidRPr="00092862">
        <w:rPr>
          <w:rFonts w:ascii="Times New Roman" w:eastAsia="宋体" w:hAnsi="Times New Roman" w:cs="Times New Roman"/>
          <w:bCs/>
          <w:color w:val="000000" w:themeColor="text1"/>
          <w:sz w:val="24"/>
          <w:szCs w:val="24"/>
        </w:rPr>
        <w:t>。</w:t>
      </w:r>
    </w:p>
    <w:p w14:paraId="36B713F0"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1" w:name="_Toc120173058"/>
      <w:r w:rsidRPr="00092862">
        <w:rPr>
          <w:rFonts w:ascii="Times New Roman" w:eastAsia="黑体" w:hAnsi="Times New Roman"/>
          <w:b w:val="0"/>
          <w:color w:val="000000" w:themeColor="text1"/>
          <w:sz w:val="24"/>
          <w:szCs w:val="24"/>
          <w:lang w:eastAsia="zh-CN"/>
        </w:rPr>
        <w:t>2.3.5</w:t>
      </w:r>
      <w:r w:rsidRPr="00092862">
        <w:rPr>
          <w:rFonts w:ascii="Times New Roman" w:eastAsia="黑体" w:hAnsi="Times New Roman"/>
          <w:b w:val="0"/>
          <w:color w:val="000000" w:themeColor="text1"/>
          <w:sz w:val="24"/>
          <w:szCs w:val="24"/>
          <w:lang w:eastAsia="zh-CN"/>
        </w:rPr>
        <w:t>评价技术导则及规范</w:t>
      </w:r>
      <w:bookmarkEnd w:id="31"/>
    </w:p>
    <w:p w14:paraId="2884B34F"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）《建设项目环境影响评价技术导则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总纲》（</w:t>
      </w:r>
      <w:r w:rsidRPr="00092862">
        <w:rPr>
          <w:rFonts w:ascii="Times New Roman" w:eastAsia="宋体" w:hAnsi="Times New Roman" w:cs="Times New Roman"/>
          <w:bCs/>
          <w:color w:val="000000" w:themeColor="text1"/>
          <w:sz w:val="24"/>
          <w:szCs w:val="24"/>
        </w:rPr>
        <w:t>HJ2.1-2016</w:t>
      </w:r>
      <w:r w:rsidRPr="00092862">
        <w:rPr>
          <w:rFonts w:ascii="Times New Roman" w:eastAsia="宋体" w:hAnsi="Times New Roman" w:cs="Times New Roman"/>
          <w:bCs/>
          <w:color w:val="000000" w:themeColor="text1"/>
          <w:sz w:val="24"/>
          <w:szCs w:val="24"/>
        </w:rPr>
        <w:t>）；</w:t>
      </w:r>
    </w:p>
    <w:p w14:paraId="05DF9E5E"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地表水环境》</w:t>
      </w:r>
      <w:r w:rsidRPr="00092862">
        <w:rPr>
          <w:rFonts w:ascii="Times New Roman" w:eastAsia="宋体" w:hAnsi="Times New Roman" w:cs="Times New Roman"/>
          <w:bCs/>
          <w:color w:val="000000" w:themeColor="text1"/>
          <w:sz w:val="24"/>
          <w:szCs w:val="24"/>
        </w:rPr>
        <w:t>(HJ2.3-2018)</w:t>
      </w:r>
      <w:r w:rsidRPr="00092862">
        <w:rPr>
          <w:rFonts w:ascii="Times New Roman" w:eastAsia="宋体" w:hAnsi="Times New Roman" w:cs="Times New Roman"/>
          <w:bCs/>
          <w:color w:val="000000" w:themeColor="text1"/>
          <w:sz w:val="24"/>
          <w:szCs w:val="24"/>
        </w:rPr>
        <w:t>；</w:t>
      </w:r>
    </w:p>
    <w:p w14:paraId="6ECB2641" w14:textId="7353A3EE"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声环境》（</w:t>
      </w:r>
      <w:r w:rsidRPr="00092862">
        <w:rPr>
          <w:rFonts w:ascii="Times New Roman" w:eastAsia="宋体" w:hAnsi="Times New Roman" w:cs="Times New Roman"/>
          <w:bCs/>
          <w:color w:val="000000" w:themeColor="text1"/>
          <w:sz w:val="24"/>
          <w:szCs w:val="24"/>
        </w:rPr>
        <w:t>HJ2.4-20</w:t>
      </w:r>
      <w:r w:rsidR="00BF3A2C" w:rsidRPr="00092862">
        <w:rPr>
          <w:rFonts w:ascii="Times New Roman" w:eastAsia="宋体" w:hAnsi="Times New Roman" w:cs="Times New Roman"/>
          <w:bCs/>
          <w:color w:val="000000" w:themeColor="text1"/>
          <w:sz w:val="24"/>
          <w:szCs w:val="24"/>
        </w:rPr>
        <w:t>21</w:t>
      </w:r>
      <w:r w:rsidRPr="00092862">
        <w:rPr>
          <w:rFonts w:ascii="Times New Roman" w:eastAsia="宋体" w:hAnsi="Times New Roman" w:cs="Times New Roman"/>
          <w:bCs/>
          <w:color w:val="000000" w:themeColor="text1"/>
          <w:sz w:val="24"/>
          <w:szCs w:val="24"/>
        </w:rPr>
        <w:t>）；</w:t>
      </w:r>
    </w:p>
    <w:p w14:paraId="02878EF7"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地下水环境》（</w:t>
      </w:r>
      <w:r w:rsidRPr="00092862">
        <w:rPr>
          <w:rFonts w:ascii="Times New Roman" w:eastAsia="宋体" w:hAnsi="Times New Roman" w:cs="Times New Roman"/>
          <w:bCs/>
          <w:color w:val="000000" w:themeColor="text1"/>
          <w:sz w:val="24"/>
          <w:szCs w:val="24"/>
        </w:rPr>
        <w:t>HJ610-2016</w:t>
      </w:r>
      <w:r w:rsidRPr="00092862">
        <w:rPr>
          <w:rFonts w:ascii="Times New Roman" w:eastAsia="宋体" w:hAnsi="Times New Roman" w:cs="Times New Roman"/>
          <w:bCs/>
          <w:color w:val="000000" w:themeColor="text1"/>
          <w:sz w:val="24"/>
          <w:szCs w:val="24"/>
        </w:rPr>
        <w:t>）；</w:t>
      </w:r>
    </w:p>
    <w:p w14:paraId="25845D3E"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大气环境》</w:t>
      </w:r>
      <w:r w:rsidRPr="00092862">
        <w:rPr>
          <w:rFonts w:ascii="Times New Roman" w:eastAsia="宋体" w:hAnsi="Times New Roman" w:cs="Times New Roman"/>
          <w:bCs/>
          <w:color w:val="000000" w:themeColor="text1"/>
          <w:sz w:val="24"/>
          <w:szCs w:val="24"/>
        </w:rPr>
        <w:t>(HJ2.2-2018)</w:t>
      </w:r>
      <w:r w:rsidRPr="00092862">
        <w:rPr>
          <w:rFonts w:ascii="Times New Roman" w:eastAsia="宋体" w:hAnsi="Times New Roman" w:cs="Times New Roman"/>
          <w:bCs/>
          <w:color w:val="000000" w:themeColor="text1"/>
          <w:sz w:val="24"/>
          <w:szCs w:val="24"/>
        </w:rPr>
        <w:t>；</w:t>
      </w:r>
    </w:p>
    <w:p w14:paraId="61F9E040" w14:textId="4D13C80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生态影响》（</w:t>
      </w:r>
      <w:r w:rsidRPr="00092862">
        <w:rPr>
          <w:rFonts w:ascii="Times New Roman" w:eastAsia="宋体" w:hAnsi="Times New Roman" w:cs="Times New Roman"/>
          <w:bCs/>
          <w:color w:val="000000" w:themeColor="text1"/>
          <w:sz w:val="24"/>
          <w:szCs w:val="24"/>
        </w:rPr>
        <w:t>HJ19-20</w:t>
      </w:r>
      <w:r w:rsidR="007F3B46" w:rsidRPr="00092862">
        <w:rPr>
          <w:rFonts w:ascii="Times New Roman" w:eastAsia="宋体" w:hAnsi="Times New Roman" w:cs="Times New Roman"/>
          <w:bCs/>
          <w:color w:val="000000" w:themeColor="text1"/>
          <w:sz w:val="24"/>
          <w:szCs w:val="24"/>
        </w:rPr>
        <w:t>22</w:t>
      </w:r>
      <w:r w:rsidRPr="00092862">
        <w:rPr>
          <w:rFonts w:ascii="Times New Roman" w:eastAsia="宋体" w:hAnsi="Times New Roman" w:cs="Times New Roman"/>
          <w:bCs/>
          <w:color w:val="000000" w:themeColor="text1"/>
          <w:sz w:val="24"/>
          <w:szCs w:val="24"/>
        </w:rPr>
        <w:t>）；</w:t>
      </w:r>
    </w:p>
    <w:p w14:paraId="4A1CE817"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7</w:t>
      </w:r>
      <w:r w:rsidRPr="00092862">
        <w:rPr>
          <w:rFonts w:ascii="Times New Roman" w:eastAsia="宋体" w:hAnsi="Times New Roman" w:cs="Times New Roman"/>
          <w:bCs/>
          <w:color w:val="000000" w:themeColor="text1"/>
          <w:sz w:val="24"/>
          <w:szCs w:val="24"/>
        </w:rPr>
        <w:t>）《环境影响评价技术导则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土壤环境（试行）》（</w:t>
      </w:r>
      <w:r w:rsidRPr="00092862">
        <w:rPr>
          <w:rFonts w:ascii="Times New Roman" w:eastAsia="宋体" w:hAnsi="Times New Roman" w:cs="Times New Roman"/>
          <w:bCs/>
          <w:color w:val="000000" w:themeColor="text1"/>
          <w:sz w:val="24"/>
          <w:szCs w:val="24"/>
        </w:rPr>
        <w:t>HJ964-2018</w:t>
      </w:r>
      <w:r w:rsidRPr="00092862">
        <w:rPr>
          <w:rFonts w:ascii="Times New Roman" w:eastAsia="宋体" w:hAnsi="Times New Roman" w:cs="Times New Roman"/>
          <w:bCs/>
          <w:color w:val="000000" w:themeColor="text1"/>
          <w:sz w:val="24"/>
          <w:szCs w:val="24"/>
        </w:rPr>
        <w:t>）；</w:t>
      </w:r>
    </w:p>
    <w:p w14:paraId="5200A953"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）《建设项目环境风险评价技术导则》（</w:t>
      </w:r>
      <w:r w:rsidRPr="00092862">
        <w:rPr>
          <w:rFonts w:ascii="Times New Roman" w:eastAsia="宋体" w:hAnsi="Times New Roman" w:cs="Times New Roman"/>
          <w:bCs/>
          <w:color w:val="000000" w:themeColor="text1"/>
          <w:sz w:val="24"/>
          <w:szCs w:val="24"/>
        </w:rPr>
        <w:t>HJ169-2018</w:t>
      </w:r>
      <w:r w:rsidRPr="00092862">
        <w:rPr>
          <w:rFonts w:ascii="Times New Roman" w:eastAsia="宋体" w:hAnsi="Times New Roman" w:cs="Times New Roman"/>
          <w:bCs/>
          <w:color w:val="000000" w:themeColor="text1"/>
          <w:sz w:val="24"/>
          <w:szCs w:val="24"/>
        </w:rPr>
        <w:t>）；</w:t>
      </w:r>
    </w:p>
    <w:p w14:paraId="7E6CAF5D"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w:t>
      </w:r>
      <w:r w:rsidR="00F97BCE" w:rsidRPr="00092862">
        <w:rPr>
          <w:rFonts w:ascii="Times New Roman" w:eastAsia="宋体" w:hAnsi="Times New Roman" w:cs="Times New Roman"/>
          <w:bCs/>
          <w:color w:val="000000" w:themeColor="text1"/>
          <w:sz w:val="24"/>
          <w:szCs w:val="24"/>
        </w:rPr>
        <w:t>《环境影响评价技术导则</w:t>
      </w:r>
      <w:r w:rsidR="00F97BCE" w:rsidRPr="00092862">
        <w:rPr>
          <w:rFonts w:ascii="Times New Roman" w:eastAsia="宋体" w:hAnsi="Times New Roman" w:cs="Times New Roman"/>
          <w:bCs/>
          <w:color w:val="000000" w:themeColor="text1"/>
          <w:sz w:val="24"/>
          <w:szCs w:val="24"/>
        </w:rPr>
        <w:t xml:space="preserve"> </w:t>
      </w:r>
      <w:r w:rsidR="00F97BCE" w:rsidRPr="00092862">
        <w:rPr>
          <w:rFonts w:ascii="Times New Roman" w:eastAsia="宋体" w:hAnsi="Times New Roman" w:cs="Times New Roman"/>
          <w:bCs/>
          <w:color w:val="000000" w:themeColor="text1"/>
          <w:sz w:val="24"/>
          <w:szCs w:val="24"/>
        </w:rPr>
        <w:t>陆地石油天然气开发建设项目》</w:t>
      </w:r>
      <w:r w:rsidR="00F97BCE" w:rsidRPr="00092862">
        <w:rPr>
          <w:rFonts w:ascii="Times New Roman" w:eastAsia="宋体" w:hAnsi="Times New Roman" w:cs="Times New Roman"/>
          <w:bCs/>
          <w:color w:val="000000" w:themeColor="text1"/>
          <w:sz w:val="24"/>
          <w:szCs w:val="24"/>
        </w:rPr>
        <w:t xml:space="preserve"> </w:t>
      </w:r>
      <w:r w:rsidR="00F97BCE" w:rsidRPr="00092862">
        <w:rPr>
          <w:rFonts w:ascii="Times New Roman" w:eastAsia="宋体" w:hAnsi="Times New Roman" w:cs="Times New Roman"/>
          <w:bCs/>
          <w:color w:val="000000" w:themeColor="text1"/>
          <w:sz w:val="24"/>
          <w:szCs w:val="24"/>
        </w:rPr>
        <w:t>（</w:t>
      </w:r>
      <w:r w:rsidR="00F97BCE" w:rsidRPr="00092862">
        <w:rPr>
          <w:rFonts w:ascii="Times New Roman" w:eastAsia="宋体" w:hAnsi="Times New Roman" w:cs="Times New Roman"/>
          <w:bCs/>
          <w:color w:val="000000" w:themeColor="text1"/>
          <w:sz w:val="24"/>
          <w:szCs w:val="24"/>
        </w:rPr>
        <w:t>HJ/T349-2007</w:t>
      </w:r>
      <w:r w:rsidR="00F97BCE"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w:t>
      </w:r>
    </w:p>
    <w:p w14:paraId="2A90774D"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10</w:t>
      </w:r>
      <w:r w:rsidRPr="00092862">
        <w:rPr>
          <w:rFonts w:ascii="Times New Roman" w:eastAsia="宋体" w:hAnsi="Times New Roman" w:cs="Times New Roman"/>
          <w:bCs/>
          <w:color w:val="000000" w:themeColor="text1"/>
          <w:sz w:val="24"/>
          <w:szCs w:val="24"/>
        </w:rPr>
        <w:t>）《建设项目危险废物环境影响评价指南》（环境保护部公告〔</w:t>
      </w:r>
      <w:r w:rsidRPr="00092862">
        <w:rPr>
          <w:rFonts w:ascii="Times New Roman" w:eastAsia="宋体" w:hAnsi="Times New Roman" w:cs="Times New Roman"/>
          <w:bCs/>
          <w:color w:val="000000" w:themeColor="text1"/>
          <w:sz w:val="24"/>
          <w:szCs w:val="24"/>
        </w:rPr>
        <w:t>2017</w:t>
      </w:r>
      <w:r w:rsidRPr="00092862">
        <w:rPr>
          <w:rFonts w:ascii="Times New Roman" w:eastAsia="宋体" w:hAnsi="Times New Roman" w:cs="Times New Roman"/>
          <w:bCs/>
          <w:color w:val="000000" w:themeColor="text1"/>
          <w:sz w:val="24"/>
          <w:szCs w:val="24"/>
        </w:rPr>
        <w:t>〕年第</w:t>
      </w:r>
      <w:r w:rsidRPr="00092862">
        <w:rPr>
          <w:rFonts w:ascii="Times New Roman" w:eastAsia="宋体" w:hAnsi="Times New Roman" w:cs="Times New Roman"/>
          <w:bCs/>
          <w:color w:val="000000" w:themeColor="text1"/>
          <w:sz w:val="24"/>
          <w:szCs w:val="24"/>
        </w:rPr>
        <w:t>43</w:t>
      </w:r>
      <w:r w:rsidRPr="00092862">
        <w:rPr>
          <w:rFonts w:ascii="Times New Roman" w:eastAsia="宋体" w:hAnsi="Times New Roman" w:cs="Times New Roman"/>
          <w:bCs/>
          <w:color w:val="000000" w:themeColor="text1"/>
          <w:sz w:val="24"/>
          <w:szCs w:val="24"/>
        </w:rPr>
        <w:t>号）；</w:t>
      </w:r>
    </w:p>
    <w:p w14:paraId="033D89D6"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）《危险废物转移联单管理办法》（国家环境保护总局令第</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1999</w:t>
      </w:r>
      <w:r w:rsidRPr="00092862">
        <w:rPr>
          <w:rFonts w:ascii="Times New Roman" w:eastAsia="宋体" w:hAnsi="Times New Roman" w:cs="Times New Roman"/>
          <w:bCs/>
          <w:color w:val="000000" w:themeColor="text1"/>
          <w:sz w:val="24"/>
          <w:szCs w:val="24"/>
        </w:rPr>
        <w:t>年</w:t>
      </w:r>
      <w:r w:rsidRPr="00092862">
        <w:rPr>
          <w:rFonts w:ascii="Times New Roman" w:eastAsia="宋体" w:hAnsi="Times New Roman" w:cs="Times New Roman"/>
          <w:bCs/>
          <w:color w:val="000000" w:themeColor="text1"/>
          <w:sz w:val="24"/>
          <w:szCs w:val="24"/>
        </w:rPr>
        <w:t>10</w:t>
      </w:r>
      <w:r w:rsidRPr="00092862">
        <w:rPr>
          <w:rFonts w:ascii="Times New Roman" w:eastAsia="宋体" w:hAnsi="Times New Roman" w:cs="Times New Roman"/>
          <w:bCs/>
          <w:color w:val="000000" w:themeColor="text1"/>
          <w:sz w:val="24"/>
          <w:szCs w:val="24"/>
        </w:rPr>
        <w:t>月</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日起施行）。</w:t>
      </w:r>
    </w:p>
    <w:p w14:paraId="6ADD8771"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2" w:name="_Toc120173059"/>
      <w:r w:rsidRPr="00092862">
        <w:rPr>
          <w:rFonts w:ascii="Times New Roman" w:eastAsia="黑体" w:hAnsi="Times New Roman"/>
          <w:b w:val="0"/>
          <w:color w:val="000000" w:themeColor="text1"/>
          <w:sz w:val="24"/>
          <w:szCs w:val="24"/>
          <w:lang w:eastAsia="zh-CN"/>
        </w:rPr>
        <w:t>2.3.</w:t>
      </w:r>
      <w:r w:rsidR="00F97BCE" w:rsidRPr="00092862">
        <w:rPr>
          <w:rFonts w:ascii="Times New Roman" w:eastAsia="黑体" w:hAnsi="Times New Roman"/>
          <w:b w:val="0"/>
          <w:color w:val="000000" w:themeColor="text1"/>
          <w:sz w:val="24"/>
          <w:szCs w:val="24"/>
          <w:lang w:eastAsia="zh-CN"/>
        </w:rPr>
        <w:t>6</w:t>
      </w:r>
      <w:r w:rsidR="00F97BCE" w:rsidRPr="00092862">
        <w:rPr>
          <w:rFonts w:ascii="Times New Roman" w:eastAsia="黑体" w:hAnsi="Times New Roman"/>
          <w:b w:val="0"/>
          <w:color w:val="000000" w:themeColor="text1"/>
          <w:sz w:val="24"/>
          <w:szCs w:val="24"/>
          <w:lang w:eastAsia="zh-CN"/>
        </w:rPr>
        <w:t>石油天然气行业技术规范</w:t>
      </w:r>
      <w:bookmarkEnd w:id="32"/>
    </w:p>
    <w:p w14:paraId="4FA1FCCD"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）《石油天然气钻井健康、安全与环境管理体系指南》（</w:t>
      </w:r>
      <w:r w:rsidRPr="00092862">
        <w:rPr>
          <w:rFonts w:ascii="Times New Roman" w:eastAsia="宋体" w:hAnsi="Times New Roman" w:cs="Times New Roman"/>
          <w:bCs/>
          <w:color w:val="000000" w:themeColor="text1"/>
          <w:sz w:val="24"/>
          <w:szCs w:val="24"/>
        </w:rPr>
        <w:t>SY/T6283</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1997</w:t>
      </w:r>
      <w:r w:rsidRPr="00092862">
        <w:rPr>
          <w:rFonts w:ascii="Times New Roman" w:eastAsia="宋体" w:hAnsi="Times New Roman" w:cs="Times New Roman"/>
          <w:bCs/>
          <w:color w:val="000000" w:themeColor="text1"/>
          <w:sz w:val="24"/>
          <w:szCs w:val="24"/>
        </w:rPr>
        <w:t>）；</w:t>
      </w:r>
    </w:p>
    <w:p w14:paraId="146C33E5"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）《石油天然气设计防火规范》（</w:t>
      </w:r>
      <w:r w:rsidRPr="00092862">
        <w:rPr>
          <w:rFonts w:ascii="Times New Roman" w:eastAsia="宋体" w:hAnsi="Times New Roman" w:cs="Times New Roman"/>
          <w:bCs/>
          <w:color w:val="000000" w:themeColor="text1"/>
          <w:sz w:val="24"/>
          <w:szCs w:val="24"/>
        </w:rPr>
        <w:t>GB50183-2004</w:t>
      </w:r>
      <w:r w:rsidRPr="00092862">
        <w:rPr>
          <w:rFonts w:ascii="Times New Roman" w:eastAsia="宋体" w:hAnsi="Times New Roman" w:cs="Times New Roman"/>
          <w:bCs/>
          <w:color w:val="000000" w:themeColor="text1"/>
          <w:sz w:val="24"/>
          <w:szCs w:val="24"/>
        </w:rPr>
        <w:t>）；</w:t>
      </w:r>
    </w:p>
    <w:p w14:paraId="160F8F7E"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）《钻井井控技术规程》（</w:t>
      </w:r>
      <w:r w:rsidRPr="00092862">
        <w:rPr>
          <w:rFonts w:ascii="Times New Roman" w:eastAsia="宋体" w:hAnsi="Times New Roman" w:cs="Times New Roman"/>
          <w:bCs/>
          <w:color w:val="000000" w:themeColor="text1"/>
          <w:sz w:val="24"/>
          <w:szCs w:val="24"/>
        </w:rPr>
        <w:t>SY/T6426-2005</w:t>
      </w:r>
      <w:r w:rsidRPr="00092862">
        <w:rPr>
          <w:rFonts w:ascii="Times New Roman" w:eastAsia="宋体" w:hAnsi="Times New Roman" w:cs="Times New Roman"/>
          <w:bCs/>
          <w:color w:val="000000" w:themeColor="text1"/>
          <w:sz w:val="24"/>
          <w:szCs w:val="24"/>
        </w:rPr>
        <w:t>）；</w:t>
      </w:r>
    </w:p>
    <w:p w14:paraId="6E008A32"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）《石油天然气安全规程》（</w:t>
      </w:r>
      <w:r w:rsidRPr="00092862">
        <w:rPr>
          <w:rFonts w:ascii="Times New Roman" w:eastAsia="宋体" w:hAnsi="Times New Roman" w:cs="Times New Roman"/>
          <w:bCs/>
          <w:color w:val="000000" w:themeColor="text1"/>
          <w:sz w:val="24"/>
          <w:szCs w:val="24"/>
        </w:rPr>
        <w:t>AQ2012-2007</w:t>
      </w:r>
      <w:r w:rsidRPr="00092862">
        <w:rPr>
          <w:rFonts w:ascii="Times New Roman" w:eastAsia="宋体" w:hAnsi="Times New Roman" w:cs="Times New Roman"/>
          <w:bCs/>
          <w:color w:val="000000" w:themeColor="text1"/>
          <w:sz w:val="24"/>
          <w:szCs w:val="24"/>
        </w:rPr>
        <w:t>）；</w:t>
      </w:r>
    </w:p>
    <w:p w14:paraId="25C28D90"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）《石油天然气井控技术规范》（</w:t>
      </w:r>
      <w:r w:rsidRPr="00092862">
        <w:rPr>
          <w:rFonts w:ascii="Times New Roman" w:eastAsia="宋体" w:hAnsi="Times New Roman" w:cs="Times New Roman"/>
          <w:bCs/>
          <w:color w:val="000000" w:themeColor="text1"/>
          <w:sz w:val="24"/>
          <w:szCs w:val="24"/>
        </w:rPr>
        <w:t>GB/T31033-2014</w:t>
      </w:r>
      <w:r w:rsidRPr="00092862">
        <w:rPr>
          <w:rFonts w:ascii="Times New Roman" w:eastAsia="宋体" w:hAnsi="Times New Roman" w:cs="Times New Roman"/>
          <w:bCs/>
          <w:color w:val="000000" w:themeColor="text1"/>
          <w:sz w:val="24"/>
          <w:szCs w:val="24"/>
        </w:rPr>
        <w:t>）；</w:t>
      </w:r>
    </w:p>
    <w:p w14:paraId="33BD8848" w14:textId="3DD5AECD"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7</w:t>
      </w:r>
      <w:r w:rsidRPr="00092862">
        <w:rPr>
          <w:rFonts w:ascii="Times New Roman" w:eastAsia="宋体" w:hAnsi="Times New Roman" w:cs="Times New Roman"/>
          <w:bCs/>
          <w:color w:val="000000" w:themeColor="text1"/>
          <w:sz w:val="24"/>
          <w:szCs w:val="24"/>
        </w:rPr>
        <w:t>）《井下作业安全规程》（</w:t>
      </w:r>
      <w:r w:rsidRPr="00092862">
        <w:rPr>
          <w:rFonts w:ascii="Times New Roman" w:eastAsia="宋体" w:hAnsi="Times New Roman" w:cs="Times New Roman"/>
          <w:bCs/>
          <w:color w:val="000000" w:themeColor="text1"/>
          <w:sz w:val="24"/>
          <w:szCs w:val="24"/>
        </w:rPr>
        <w:t>SY5727-2014</w:t>
      </w:r>
      <w:r w:rsidRPr="00092862">
        <w:rPr>
          <w:rFonts w:ascii="Times New Roman" w:eastAsia="宋体" w:hAnsi="Times New Roman" w:cs="Times New Roman"/>
          <w:bCs/>
          <w:color w:val="000000" w:themeColor="text1"/>
          <w:sz w:val="24"/>
          <w:szCs w:val="24"/>
        </w:rPr>
        <w:t>）</w:t>
      </w:r>
      <w:r w:rsidR="00113A28" w:rsidRPr="00092862">
        <w:rPr>
          <w:rFonts w:ascii="Times New Roman" w:eastAsia="宋体" w:hAnsi="Times New Roman" w:cs="Times New Roman"/>
          <w:bCs/>
          <w:color w:val="000000" w:themeColor="text1"/>
          <w:sz w:val="24"/>
          <w:szCs w:val="24"/>
        </w:rPr>
        <w:t>；</w:t>
      </w:r>
    </w:p>
    <w:p w14:paraId="09220A20" w14:textId="499FC16B"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w:t>
      </w:r>
      <w:r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）《气井试气、采气及动态监测工艺规程》（</w:t>
      </w:r>
      <w:r w:rsidRPr="00092862">
        <w:rPr>
          <w:rFonts w:ascii="Times New Roman" w:eastAsia="宋体" w:hAnsi="Times New Roman" w:cs="Times New Roman"/>
          <w:bCs/>
          <w:color w:val="000000" w:themeColor="text1"/>
          <w:sz w:val="24"/>
          <w:szCs w:val="24"/>
        </w:rPr>
        <w:t>SYT6125-2013</w:t>
      </w:r>
      <w:r w:rsidRPr="00092862">
        <w:rPr>
          <w:rFonts w:ascii="Times New Roman" w:eastAsia="宋体" w:hAnsi="Times New Roman" w:cs="Times New Roman"/>
          <w:bCs/>
          <w:color w:val="000000" w:themeColor="text1"/>
          <w:sz w:val="24"/>
          <w:szCs w:val="24"/>
        </w:rPr>
        <w:t>）</w:t>
      </w:r>
      <w:r w:rsidR="00113A28" w:rsidRPr="00092862">
        <w:rPr>
          <w:rFonts w:ascii="Times New Roman" w:eastAsia="宋体" w:hAnsi="Times New Roman" w:cs="Times New Roman"/>
          <w:bCs/>
          <w:color w:val="000000" w:themeColor="text1"/>
          <w:sz w:val="24"/>
          <w:szCs w:val="24"/>
        </w:rPr>
        <w:t>；</w:t>
      </w:r>
    </w:p>
    <w:p w14:paraId="79EB2A8A" w14:textId="10CC02A3"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）《油气井井喷着火抢险作法》（</w:t>
      </w:r>
      <w:r w:rsidRPr="00092862">
        <w:rPr>
          <w:rFonts w:ascii="Times New Roman" w:eastAsia="宋体" w:hAnsi="Times New Roman" w:cs="Times New Roman"/>
          <w:bCs/>
          <w:color w:val="000000" w:themeColor="text1"/>
          <w:sz w:val="24"/>
          <w:szCs w:val="24"/>
        </w:rPr>
        <w:t>SYT6203-2014</w:t>
      </w:r>
      <w:r w:rsidRPr="00092862">
        <w:rPr>
          <w:rFonts w:ascii="Times New Roman" w:eastAsia="宋体" w:hAnsi="Times New Roman" w:cs="Times New Roman"/>
          <w:bCs/>
          <w:color w:val="000000" w:themeColor="text1"/>
          <w:sz w:val="24"/>
          <w:szCs w:val="24"/>
        </w:rPr>
        <w:t>）</w:t>
      </w:r>
      <w:r w:rsidR="00113A28" w:rsidRPr="00092862">
        <w:rPr>
          <w:rFonts w:ascii="Times New Roman" w:eastAsia="宋体" w:hAnsi="Times New Roman" w:cs="Times New Roman"/>
          <w:bCs/>
          <w:color w:val="000000" w:themeColor="text1"/>
          <w:sz w:val="24"/>
          <w:szCs w:val="24"/>
        </w:rPr>
        <w:t>；</w:t>
      </w:r>
    </w:p>
    <w:p w14:paraId="4DCBE3D2"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10</w:t>
      </w:r>
      <w:r w:rsidRPr="00092862">
        <w:rPr>
          <w:rFonts w:ascii="Times New Roman" w:eastAsia="宋体" w:hAnsi="Times New Roman" w:cs="Times New Roman"/>
          <w:bCs/>
          <w:color w:val="000000" w:themeColor="text1"/>
          <w:sz w:val="24"/>
          <w:szCs w:val="24"/>
        </w:rPr>
        <w:t>）《碎屑岩油藏注水水质推荐指标及分析方法》（</w:t>
      </w:r>
      <w:r w:rsidRPr="00092862">
        <w:rPr>
          <w:rFonts w:ascii="Times New Roman" w:eastAsia="宋体" w:hAnsi="Times New Roman" w:cs="Times New Roman"/>
          <w:bCs/>
          <w:color w:val="000000" w:themeColor="text1"/>
          <w:sz w:val="24"/>
          <w:szCs w:val="24"/>
        </w:rPr>
        <w:t>SY/T5329</w:t>
      </w:r>
      <w:r w:rsidRPr="00092862">
        <w:rPr>
          <w:rFonts w:ascii="Times New Roman" w:eastAsia="宋体" w:hAnsi="Times New Roman" w:cs="Times New Roman"/>
          <w:bCs/>
          <w:color w:val="000000" w:themeColor="text1"/>
          <w:sz w:val="24"/>
          <w:szCs w:val="24"/>
        </w:rPr>
        <w:t>）；</w:t>
      </w:r>
    </w:p>
    <w:p w14:paraId="21EFDA83"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12</w:t>
      </w:r>
      <w:r w:rsidRPr="00092862">
        <w:rPr>
          <w:rFonts w:ascii="Times New Roman" w:eastAsia="宋体" w:hAnsi="Times New Roman" w:cs="Times New Roman"/>
          <w:bCs/>
          <w:color w:val="000000" w:themeColor="text1"/>
          <w:sz w:val="24"/>
          <w:szCs w:val="24"/>
        </w:rPr>
        <w:t>）《丛式井井平台布置及井眼防碰技术要求》（</w:t>
      </w:r>
      <w:r w:rsidRPr="00092862">
        <w:rPr>
          <w:rFonts w:ascii="Times New Roman" w:eastAsia="宋体" w:hAnsi="Times New Roman" w:cs="Times New Roman"/>
          <w:bCs/>
          <w:color w:val="000000" w:themeColor="text1"/>
          <w:sz w:val="24"/>
          <w:szCs w:val="24"/>
        </w:rPr>
        <w:t>SY/T6396-2014</w:t>
      </w:r>
      <w:r w:rsidRPr="00092862">
        <w:rPr>
          <w:rFonts w:ascii="Times New Roman" w:eastAsia="宋体" w:hAnsi="Times New Roman" w:cs="Times New Roman"/>
          <w:bCs/>
          <w:color w:val="000000" w:themeColor="text1"/>
          <w:sz w:val="24"/>
          <w:szCs w:val="24"/>
        </w:rPr>
        <w:t>）；</w:t>
      </w:r>
    </w:p>
    <w:p w14:paraId="099EAAA9"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13</w:t>
      </w:r>
      <w:r w:rsidRPr="00092862">
        <w:rPr>
          <w:rFonts w:ascii="Times New Roman" w:eastAsia="宋体" w:hAnsi="Times New Roman" w:cs="Times New Roman"/>
          <w:bCs/>
          <w:color w:val="000000" w:themeColor="text1"/>
          <w:sz w:val="24"/>
          <w:szCs w:val="24"/>
        </w:rPr>
        <w:t>）《油井井下作业防喷技术规程》（</w:t>
      </w:r>
      <w:r w:rsidRPr="00092862">
        <w:rPr>
          <w:rFonts w:ascii="Times New Roman" w:eastAsia="宋体" w:hAnsi="Times New Roman" w:cs="Times New Roman"/>
          <w:bCs/>
          <w:color w:val="000000" w:themeColor="text1"/>
          <w:sz w:val="24"/>
          <w:szCs w:val="24"/>
        </w:rPr>
        <w:t>SYT5974-2014</w:t>
      </w:r>
      <w:r w:rsidRPr="00092862">
        <w:rPr>
          <w:rFonts w:ascii="Times New Roman" w:eastAsia="宋体" w:hAnsi="Times New Roman" w:cs="Times New Roman"/>
          <w:bCs/>
          <w:color w:val="000000" w:themeColor="text1"/>
          <w:sz w:val="24"/>
          <w:szCs w:val="24"/>
        </w:rPr>
        <w:t>）；</w:t>
      </w:r>
    </w:p>
    <w:p w14:paraId="2705CB6B"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14</w:t>
      </w:r>
      <w:r w:rsidRPr="00092862">
        <w:rPr>
          <w:rFonts w:ascii="Times New Roman" w:eastAsia="宋体" w:hAnsi="Times New Roman" w:cs="Times New Roman"/>
          <w:bCs/>
          <w:color w:val="000000" w:themeColor="text1"/>
          <w:sz w:val="24"/>
          <w:szCs w:val="24"/>
        </w:rPr>
        <w:t>）《石油天然气钻井、开发、储运防火防爆安全生产技术规程》（</w:t>
      </w:r>
      <w:r w:rsidRPr="00092862">
        <w:rPr>
          <w:rFonts w:ascii="Times New Roman" w:eastAsia="宋体" w:hAnsi="Times New Roman" w:cs="Times New Roman"/>
          <w:bCs/>
          <w:color w:val="000000" w:themeColor="text1"/>
          <w:sz w:val="24"/>
          <w:szCs w:val="24"/>
        </w:rPr>
        <w:t>SY_T5225-2019</w:t>
      </w:r>
      <w:r w:rsidRPr="00092862">
        <w:rPr>
          <w:rFonts w:ascii="Times New Roman" w:eastAsia="宋体" w:hAnsi="Times New Roman" w:cs="Times New Roman"/>
          <w:bCs/>
          <w:color w:val="000000" w:themeColor="text1"/>
          <w:sz w:val="24"/>
          <w:szCs w:val="24"/>
        </w:rPr>
        <w:t>）；</w:t>
      </w:r>
    </w:p>
    <w:p w14:paraId="2459A04A"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15</w:t>
      </w:r>
      <w:r w:rsidRPr="00092862">
        <w:rPr>
          <w:rFonts w:ascii="Times New Roman" w:eastAsia="宋体" w:hAnsi="Times New Roman" w:cs="Times New Roman"/>
          <w:bCs/>
          <w:color w:val="000000" w:themeColor="text1"/>
          <w:sz w:val="24"/>
          <w:szCs w:val="24"/>
        </w:rPr>
        <w:t>）《钻井井场、设备、作业安全技术规程》（</w:t>
      </w:r>
      <w:r w:rsidRPr="00092862">
        <w:rPr>
          <w:rFonts w:ascii="Times New Roman" w:eastAsia="宋体" w:hAnsi="Times New Roman" w:cs="Times New Roman"/>
          <w:bCs/>
          <w:color w:val="000000" w:themeColor="text1"/>
          <w:sz w:val="24"/>
          <w:szCs w:val="24"/>
        </w:rPr>
        <w:t>SYT 5974-2014</w:t>
      </w:r>
      <w:r w:rsidRPr="00092862">
        <w:rPr>
          <w:rFonts w:ascii="Times New Roman" w:eastAsia="宋体" w:hAnsi="Times New Roman" w:cs="Times New Roman"/>
          <w:bCs/>
          <w:color w:val="000000" w:themeColor="text1"/>
          <w:sz w:val="24"/>
          <w:szCs w:val="24"/>
        </w:rPr>
        <w:t>）；</w:t>
      </w:r>
    </w:p>
    <w:p w14:paraId="1D66F740"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16</w:t>
      </w:r>
      <w:r w:rsidRPr="00092862">
        <w:rPr>
          <w:rFonts w:ascii="Times New Roman" w:eastAsia="宋体" w:hAnsi="Times New Roman" w:cs="Times New Roman"/>
          <w:bCs/>
          <w:color w:val="000000" w:themeColor="text1"/>
          <w:sz w:val="24"/>
          <w:szCs w:val="24"/>
        </w:rPr>
        <w:t>）《输气管道工程设计规范》（</w:t>
      </w:r>
      <w:r w:rsidRPr="00092862">
        <w:rPr>
          <w:rFonts w:ascii="Times New Roman" w:eastAsia="宋体" w:hAnsi="Times New Roman" w:cs="Times New Roman"/>
          <w:bCs/>
          <w:color w:val="000000" w:themeColor="text1"/>
          <w:sz w:val="24"/>
          <w:szCs w:val="24"/>
        </w:rPr>
        <w:t>GB50251-2015</w:t>
      </w:r>
      <w:r w:rsidRPr="00092862">
        <w:rPr>
          <w:rFonts w:ascii="Times New Roman" w:eastAsia="宋体" w:hAnsi="Times New Roman" w:cs="Times New Roman"/>
          <w:bCs/>
          <w:color w:val="000000" w:themeColor="text1"/>
          <w:sz w:val="24"/>
          <w:szCs w:val="24"/>
        </w:rPr>
        <w:t>）；</w:t>
      </w:r>
    </w:p>
    <w:p w14:paraId="122806DA"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17</w:t>
      </w:r>
      <w:r w:rsidRPr="00092862">
        <w:rPr>
          <w:rFonts w:ascii="Times New Roman" w:eastAsia="宋体" w:hAnsi="Times New Roman" w:cs="Times New Roman"/>
          <w:bCs/>
          <w:color w:val="000000" w:themeColor="text1"/>
          <w:sz w:val="24"/>
          <w:szCs w:val="24"/>
        </w:rPr>
        <w:t>）《气田集输设计规范》（</w:t>
      </w:r>
      <w:r w:rsidRPr="00092862">
        <w:rPr>
          <w:rFonts w:ascii="Times New Roman" w:eastAsia="宋体" w:hAnsi="Times New Roman" w:cs="Times New Roman"/>
          <w:bCs/>
          <w:color w:val="000000" w:themeColor="text1"/>
          <w:sz w:val="24"/>
          <w:szCs w:val="24"/>
        </w:rPr>
        <w:t>GB50349-2015</w:t>
      </w:r>
      <w:r w:rsidRPr="00092862">
        <w:rPr>
          <w:rFonts w:ascii="Times New Roman" w:eastAsia="宋体" w:hAnsi="Times New Roman" w:cs="Times New Roman"/>
          <w:bCs/>
          <w:color w:val="000000" w:themeColor="text1"/>
          <w:sz w:val="24"/>
          <w:szCs w:val="24"/>
        </w:rPr>
        <w:t>）；</w:t>
      </w:r>
    </w:p>
    <w:p w14:paraId="249BA04E"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18</w:t>
      </w:r>
      <w:r w:rsidRPr="00092862">
        <w:rPr>
          <w:rFonts w:ascii="Times New Roman" w:eastAsia="宋体" w:hAnsi="Times New Roman" w:cs="Times New Roman"/>
          <w:bCs/>
          <w:color w:val="000000" w:themeColor="text1"/>
          <w:sz w:val="24"/>
          <w:szCs w:val="24"/>
        </w:rPr>
        <w:t>）《气田水注入技术要求》（</w:t>
      </w:r>
      <w:r w:rsidRPr="00092862">
        <w:rPr>
          <w:rFonts w:ascii="Times New Roman" w:eastAsia="宋体" w:hAnsi="Times New Roman" w:cs="Times New Roman"/>
          <w:bCs/>
          <w:color w:val="000000" w:themeColor="text1"/>
          <w:sz w:val="24"/>
          <w:szCs w:val="24"/>
        </w:rPr>
        <w:t>SY/T 6596-2016</w:t>
      </w:r>
      <w:r w:rsidRPr="00092862">
        <w:rPr>
          <w:rFonts w:ascii="Times New Roman" w:eastAsia="宋体" w:hAnsi="Times New Roman" w:cs="Times New Roman"/>
          <w:bCs/>
          <w:color w:val="000000" w:themeColor="text1"/>
          <w:sz w:val="24"/>
          <w:szCs w:val="24"/>
        </w:rPr>
        <w:t>）；</w:t>
      </w:r>
    </w:p>
    <w:p w14:paraId="01619247" w14:textId="77777777" w:rsidR="00F97BC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19</w:t>
      </w:r>
      <w:r w:rsidRPr="00092862">
        <w:rPr>
          <w:rFonts w:ascii="Times New Roman" w:eastAsia="宋体" w:hAnsi="Times New Roman" w:cs="Times New Roman"/>
          <w:bCs/>
          <w:color w:val="000000" w:themeColor="text1"/>
          <w:sz w:val="24"/>
          <w:szCs w:val="24"/>
        </w:rPr>
        <w:t>）《钻前工程及井场布置技术要求》（</w:t>
      </w:r>
      <w:r w:rsidRPr="00092862">
        <w:rPr>
          <w:rFonts w:ascii="Times New Roman" w:eastAsia="宋体" w:hAnsi="Times New Roman" w:cs="Times New Roman"/>
          <w:bCs/>
          <w:color w:val="000000" w:themeColor="text1"/>
          <w:sz w:val="24"/>
          <w:szCs w:val="24"/>
        </w:rPr>
        <w:t>SYT 5466-2013</w:t>
      </w:r>
      <w:r w:rsidRPr="00092862">
        <w:rPr>
          <w:rFonts w:ascii="Times New Roman" w:eastAsia="宋体" w:hAnsi="Times New Roman" w:cs="Times New Roman"/>
          <w:bCs/>
          <w:color w:val="000000" w:themeColor="text1"/>
          <w:sz w:val="24"/>
          <w:szCs w:val="24"/>
        </w:rPr>
        <w:t>）；</w:t>
      </w:r>
    </w:p>
    <w:p w14:paraId="54E11323" w14:textId="77777777" w:rsidR="00293B0E" w:rsidRPr="00092862" w:rsidRDefault="00F97BC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w:t>
      </w:r>
      <w:r w:rsidRPr="00092862">
        <w:rPr>
          <w:rFonts w:ascii="Times New Roman" w:eastAsia="宋体" w:hAnsi="Times New Roman" w:cs="Times New Roman"/>
          <w:bCs/>
          <w:color w:val="000000" w:themeColor="text1"/>
          <w:sz w:val="24"/>
          <w:szCs w:val="24"/>
        </w:rPr>
        <w:t>）《气田水注入技术要求》（</w:t>
      </w:r>
      <w:r w:rsidRPr="00092862">
        <w:rPr>
          <w:rFonts w:ascii="Times New Roman" w:eastAsia="宋体" w:hAnsi="Times New Roman" w:cs="Times New Roman"/>
          <w:bCs/>
          <w:color w:val="000000" w:themeColor="text1"/>
          <w:sz w:val="24"/>
          <w:szCs w:val="24"/>
        </w:rPr>
        <w:t>SY/T6596-2016</w:t>
      </w:r>
      <w:r w:rsidRPr="00092862">
        <w:rPr>
          <w:rFonts w:ascii="Times New Roman" w:eastAsia="宋体" w:hAnsi="Times New Roman" w:cs="Times New Roman"/>
          <w:bCs/>
          <w:color w:val="000000" w:themeColor="text1"/>
          <w:sz w:val="24"/>
          <w:szCs w:val="24"/>
        </w:rPr>
        <w:t>）</w:t>
      </w:r>
      <w:r w:rsidR="00293B0E" w:rsidRPr="00092862">
        <w:rPr>
          <w:rFonts w:ascii="Times New Roman" w:eastAsia="宋体" w:hAnsi="Times New Roman" w:cs="Times New Roman"/>
          <w:bCs/>
          <w:color w:val="000000" w:themeColor="text1"/>
          <w:sz w:val="24"/>
          <w:szCs w:val="24"/>
        </w:rPr>
        <w:t>；</w:t>
      </w:r>
    </w:p>
    <w:p w14:paraId="3AD1E20D" w14:textId="72622B74"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21</w:t>
      </w:r>
      <w:r w:rsidRPr="00092862">
        <w:rPr>
          <w:rFonts w:ascii="Times New Roman" w:eastAsia="宋体" w:hAnsi="Times New Roman" w:cs="Times New Roman"/>
          <w:bCs/>
          <w:color w:val="000000" w:themeColor="text1"/>
          <w:sz w:val="24"/>
          <w:szCs w:val="24"/>
        </w:rPr>
        <w:t>）《油气输送管道穿越工程设计规范》（</w:t>
      </w:r>
      <w:r w:rsidRPr="00092862">
        <w:rPr>
          <w:rFonts w:ascii="Times New Roman" w:eastAsia="宋体" w:hAnsi="Times New Roman" w:cs="Times New Roman"/>
          <w:bCs/>
          <w:color w:val="000000" w:themeColor="text1"/>
          <w:sz w:val="24"/>
          <w:szCs w:val="24"/>
        </w:rPr>
        <w:t>GB50423-2015</w:t>
      </w:r>
      <w:r w:rsidRPr="00092862">
        <w:rPr>
          <w:rFonts w:ascii="Times New Roman" w:eastAsia="宋体" w:hAnsi="Times New Roman" w:cs="Times New Roman"/>
          <w:bCs/>
          <w:color w:val="000000" w:themeColor="text1"/>
          <w:sz w:val="24"/>
          <w:szCs w:val="24"/>
        </w:rPr>
        <w:t>）；</w:t>
      </w:r>
    </w:p>
    <w:p w14:paraId="20D9E118" w14:textId="122C2167"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22</w:t>
      </w:r>
      <w:r w:rsidRPr="00092862">
        <w:rPr>
          <w:rFonts w:ascii="Times New Roman" w:eastAsia="宋体" w:hAnsi="Times New Roman" w:cs="Times New Roman"/>
          <w:bCs/>
          <w:color w:val="000000" w:themeColor="text1"/>
          <w:sz w:val="24"/>
          <w:szCs w:val="24"/>
        </w:rPr>
        <w:t>）《原油和天然气输送管道穿跨越工程设计规范穿越工程》（</w:t>
      </w:r>
      <w:r w:rsidRPr="00092862">
        <w:rPr>
          <w:rFonts w:ascii="Times New Roman" w:eastAsia="宋体" w:hAnsi="Times New Roman" w:cs="Times New Roman"/>
          <w:bCs/>
          <w:color w:val="000000" w:themeColor="text1"/>
          <w:sz w:val="24"/>
          <w:szCs w:val="24"/>
        </w:rPr>
        <w:t>SY/T0015.1-98</w:t>
      </w:r>
      <w:r w:rsidRPr="00092862">
        <w:rPr>
          <w:rFonts w:ascii="Times New Roman" w:eastAsia="宋体" w:hAnsi="Times New Roman" w:cs="Times New Roman"/>
          <w:bCs/>
          <w:color w:val="000000" w:themeColor="text1"/>
          <w:sz w:val="24"/>
          <w:szCs w:val="24"/>
        </w:rPr>
        <w:t>）；</w:t>
      </w:r>
    </w:p>
    <w:p w14:paraId="619D1D6C" w14:textId="0E7D3073"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23</w:t>
      </w:r>
      <w:r w:rsidRPr="00092862">
        <w:rPr>
          <w:rFonts w:ascii="Times New Roman" w:eastAsia="宋体" w:hAnsi="Times New Roman" w:cs="Times New Roman"/>
          <w:bCs/>
          <w:color w:val="000000" w:themeColor="text1"/>
          <w:sz w:val="24"/>
          <w:szCs w:val="24"/>
        </w:rPr>
        <w:t>）《埋地钢质管道阴极保护技术规范》（</w:t>
      </w:r>
      <w:r w:rsidRPr="00092862">
        <w:rPr>
          <w:rFonts w:ascii="Times New Roman" w:eastAsia="宋体" w:hAnsi="Times New Roman" w:cs="Times New Roman"/>
          <w:bCs/>
          <w:color w:val="000000" w:themeColor="text1"/>
          <w:sz w:val="24"/>
          <w:szCs w:val="24"/>
        </w:rPr>
        <w:t>GB/T21448-2017</w:t>
      </w:r>
      <w:r w:rsidRPr="00092862">
        <w:rPr>
          <w:rFonts w:ascii="Times New Roman" w:eastAsia="宋体" w:hAnsi="Times New Roman" w:cs="Times New Roman"/>
          <w:bCs/>
          <w:color w:val="000000" w:themeColor="text1"/>
          <w:sz w:val="24"/>
          <w:szCs w:val="24"/>
        </w:rPr>
        <w:t>）；</w:t>
      </w:r>
    </w:p>
    <w:p w14:paraId="637EB1EB" w14:textId="2F0E61BC"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24</w:t>
      </w:r>
      <w:r w:rsidRPr="00092862">
        <w:rPr>
          <w:rFonts w:ascii="Times New Roman" w:eastAsia="宋体" w:hAnsi="Times New Roman" w:cs="Times New Roman"/>
          <w:bCs/>
          <w:color w:val="000000" w:themeColor="text1"/>
          <w:sz w:val="24"/>
          <w:szCs w:val="24"/>
        </w:rPr>
        <w:t>）《天然气管道运行规范》（</w:t>
      </w:r>
      <w:r w:rsidRPr="00092862">
        <w:rPr>
          <w:rFonts w:ascii="Times New Roman" w:eastAsia="宋体" w:hAnsi="Times New Roman" w:cs="Times New Roman"/>
          <w:bCs/>
          <w:color w:val="000000" w:themeColor="text1"/>
          <w:sz w:val="24"/>
          <w:szCs w:val="24"/>
        </w:rPr>
        <w:t>SY/T5922-2003</w:t>
      </w:r>
      <w:r w:rsidRPr="00092862">
        <w:rPr>
          <w:rFonts w:ascii="Times New Roman" w:eastAsia="宋体" w:hAnsi="Times New Roman" w:cs="Times New Roman"/>
          <w:bCs/>
          <w:color w:val="000000" w:themeColor="text1"/>
          <w:sz w:val="24"/>
          <w:szCs w:val="24"/>
        </w:rPr>
        <w:t>）；</w:t>
      </w:r>
    </w:p>
    <w:p w14:paraId="54201053" w14:textId="6ACA42F3"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25</w:t>
      </w:r>
      <w:r w:rsidRPr="00092862">
        <w:rPr>
          <w:rFonts w:ascii="Times New Roman" w:eastAsia="宋体" w:hAnsi="Times New Roman" w:cs="Times New Roman"/>
          <w:bCs/>
          <w:color w:val="000000" w:themeColor="text1"/>
          <w:sz w:val="24"/>
          <w:szCs w:val="24"/>
        </w:rPr>
        <w:t>）《建筑设计防火规范》（</w:t>
      </w:r>
      <w:r w:rsidRPr="00092862">
        <w:rPr>
          <w:rFonts w:ascii="Times New Roman" w:eastAsia="宋体" w:hAnsi="Times New Roman" w:cs="Times New Roman"/>
          <w:bCs/>
          <w:color w:val="000000" w:themeColor="text1"/>
          <w:sz w:val="24"/>
          <w:szCs w:val="24"/>
        </w:rPr>
        <w:t>GB50016-2014</w:t>
      </w:r>
      <w:r w:rsidRPr="00092862">
        <w:rPr>
          <w:rFonts w:ascii="Times New Roman" w:eastAsia="宋体" w:hAnsi="Times New Roman" w:cs="Times New Roman"/>
          <w:bCs/>
          <w:color w:val="000000" w:themeColor="text1"/>
          <w:sz w:val="24"/>
          <w:szCs w:val="24"/>
        </w:rPr>
        <w:t>）；</w:t>
      </w:r>
    </w:p>
    <w:p w14:paraId="5C54C108" w14:textId="3EAC93C4"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26</w:t>
      </w:r>
      <w:r w:rsidRPr="00092862">
        <w:rPr>
          <w:rFonts w:ascii="Times New Roman" w:eastAsia="宋体" w:hAnsi="Times New Roman" w:cs="Times New Roman"/>
          <w:bCs/>
          <w:color w:val="000000" w:themeColor="text1"/>
          <w:sz w:val="24"/>
          <w:szCs w:val="24"/>
        </w:rPr>
        <w:t>）《陆上石油天然气集输环境保护推荐作法》（</w:t>
      </w:r>
      <w:r w:rsidRPr="00092862">
        <w:rPr>
          <w:rFonts w:ascii="Times New Roman" w:eastAsia="宋体" w:hAnsi="Times New Roman" w:cs="Times New Roman"/>
          <w:bCs/>
          <w:color w:val="000000" w:themeColor="text1"/>
          <w:sz w:val="24"/>
          <w:szCs w:val="24"/>
        </w:rPr>
        <w:t>SY/T7294-2016</w:t>
      </w:r>
      <w:r w:rsidRPr="00092862">
        <w:rPr>
          <w:rFonts w:ascii="Times New Roman" w:eastAsia="宋体" w:hAnsi="Times New Roman" w:cs="Times New Roman"/>
          <w:bCs/>
          <w:color w:val="000000" w:themeColor="text1"/>
          <w:sz w:val="24"/>
          <w:szCs w:val="24"/>
        </w:rPr>
        <w:t>）；</w:t>
      </w:r>
    </w:p>
    <w:p w14:paraId="3A7E37D5" w14:textId="4BB8638E"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27</w:t>
      </w:r>
      <w:r w:rsidRPr="00092862">
        <w:rPr>
          <w:rFonts w:ascii="Times New Roman" w:eastAsia="宋体" w:hAnsi="Times New Roman" w:cs="Times New Roman"/>
          <w:bCs/>
          <w:color w:val="000000" w:themeColor="text1"/>
          <w:sz w:val="24"/>
          <w:szCs w:val="24"/>
        </w:rPr>
        <w:t>）《高含硫气田水处理及回注工程设计规范》（</w:t>
      </w:r>
      <w:r w:rsidRPr="00092862">
        <w:rPr>
          <w:rFonts w:ascii="Times New Roman" w:eastAsia="宋体" w:hAnsi="Times New Roman" w:cs="Times New Roman"/>
          <w:bCs/>
          <w:color w:val="000000" w:themeColor="text1"/>
          <w:sz w:val="24"/>
          <w:szCs w:val="24"/>
        </w:rPr>
        <w:t>SY/T6881-2012</w:t>
      </w:r>
      <w:r w:rsidRPr="00092862">
        <w:rPr>
          <w:rFonts w:ascii="Times New Roman" w:eastAsia="宋体" w:hAnsi="Times New Roman" w:cs="Times New Roman"/>
          <w:bCs/>
          <w:color w:val="000000" w:themeColor="text1"/>
          <w:sz w:val="24"/>
          <w:szCs w:val="24"/>
        </w:rPr>
        <w:t>）；</w:t>
      </w:r>
    </w:p>
    <w:p w14:paraId="1730BDC0" w14:textId="3D7EEFAF"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28</w:t>
      </w:r>
      <w:r w:rsidRPr="00092862">
        <w:rPr>
          <w:rFonts w:ascii="Times New Roman" w:eastAsia="宋体" w:hAnsi="Times New Roman" w:cs="Times New Roman"/>
          <w:bCs/>
          <w:color w:val="000000" w:themeColor="text1"/>
          <w:sz w:val="24"/>
          <w:szCs w:val="24"/>
        </w:rPr>
        <w:t>）《高含硫化氢气田地面集输系统设计规范》</w:t>
      </w:r>
      <w:r w:rsidRPr="00092862">
        <w:rPr>
          <w:rFonts w:ascii="Times New Roman" w:eastAsia="宋体" w:hAnsi="Times New Roman" w:cs="Times New Roman"/>
          <w:bCs/>
          <w:color w:val="000000" w:themeColor="text1"/>
          <w:sz w:val="24"/>
          <w:szCs w:val="24"/>
        </w:rPr>
        <w:t>(SY/T0612-2014)</w:t>
      </w:r>
      <w:r w:rsidRPr="00092862">
        <w:rPr>
          <w:rFonts w:ascii="Times New Roman" w:eastAsia="宋体" w:hAnsi="Times New Roman" w:cs="Times New Roman"/>
          <w:bCs/>
          <w:color w:val="000000" w:themeColor="text1"/>
          <w:sz w:val="24"/>
          <w:szCs w:val="24"/>
        </w:rPr>
        <w:t>；</w:t>
      </w:r>
    </w:p>
    <w:p w14:paraId="43EC1A49" w14:textId="418C3ECF"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29</w:t>
      </w:r>
      <w:r w:rsidRPr="00092862">
        <w:rPr>
          <w:rFonts w:ascii="Times New Roman" w:eastAsia="宋体" w:hAnsi="Times New Roman" w:cs="Times New Roman"/>
          <w:bCs/>
          <w:color w:val="000000" w:themeColor="text1"/>
          <w:sz w:val="24"/>
          <w:szCs w:val="24"/>
        </w:rPr>
        <w:t>）《陆上石油天然气开采含油污泥处理处置及污染控制技术规范》（</w:t>
      </w:r>
      <w:r w:rsidRPr="00092862">
        <w:rPr>
          <w:rFonts w:ascii="Times New Roman" w:eastAsia="宋体" w:hAnsi="Times New Roman" w:cs="Times New Roman"/>
          <w:bCs/>
          <w:color w:val="000000" w:themeColor="text1"/>
          <w:sz w:val="24"/>
          <w:szCs w:val="24"/>
        </w:rPr>
        <w:t>SY/T 7300-2016</w:t>
      </w:r>
      <w:r w:rsidRPr="00092862">
        <w:rPr>
          <w:rFonts w:ascii="Times New Roman" w:eastAsia="宋体" w:hAnsi="Times New Roman" w:cs="Times New Roman"/>
          <w:bCs/>
          <w:color w:val="000000" w:themeColor="text1"/>
          <w:sz w:val="24"/>
          <w:szCs w:val="24"/>
        </w:rPr>
        <w:t>）；</w:t>
      </w:r>
    </w:p>
    <w:p w14:paraId="34BC013E" w14:textId="272F8317"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30</w:t>
      </w:r>
      <w:r w:rsidRPr="00092862">
        <w:rPr>
          <w:rFonts w:ascii="Times New Roman" w:eastAsia="宋体" w:hAnsi="Times New Roman" w:cs="Times New Roman"/>
          <w:bCs/>
          <w:color w:val="000000" w:themeColor="text1"/>
          <w:sz w:val="24"/>
          <w:szCs w:val="24"/>
        </w:rPr>
        <w:t>）《含硫化氢天然气井公众安全防护距离》（</w:t>
      </w:r>
      <w:r w:rsidRPr="00092862">
        <w:rPr>
          <w:rFonts w:ascii="Times New Roman" w:eastAsia="宋体" w:hAnsi="Times New Roman" w:cs="Times New Roman"/>
          <w:bCs/>
          <w:color w:val="000000" w:themeColor="text1"/>
          <w:sz w:val="24"/>
          <w:szCs w:val="24"/>
        </w:rPr>
        <w:t>AQ2018-2008</w:t>
      </w:r>
      <w:r w:rsidRPr="00092862">
        <w:rPr>
          <w:rFonts w:ascii="Times New Roman" w:eastAsia="宋体" w:hAnsi="Times New Roman" w:cs="Times New Roman"/>
          <w:bCs/>
          <w:color w:val="000000" w:themeColor="text1"/>
          <w:sz w:val="24"/>
          <w:szCs w:val="24"/>
        </w:rPr>
        <w:t>）；</w:t>
      </w:r>
    </w:p>
    <w:p w14:paraId="1F14A477" w14:textId="754397F6" w:rsidR="00293B0E" w:rsidRPr="00092862" w:rsidRDefault="00293B0E" w:rsidP="00271CF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31</w:t>
      </w:r>
      <w:r w:rsidRPr="00092862">
        <w:rPr>
          <w:rFonts w:ascii="Times New Roman" w:eastAsia="宋体" w:hAnsi="Times New Roman" w:cs="Times New Roman"/>
          <w:bCs/>
          <w:color w:val="000000" w:themeColor="text1"/>
          <w:sz w:val="24"/>
          <w:szCs w:val="24"/>
        </w:rPr>
        <w:t>）《含硫化氢油气井安全钻井推荐作法》（</w:t>
      </w:r>
      <w:r w:rsidRPr="00092862">
        <w:rPr>
          <w:rFonts w:ascii="Times New Roman" w:eastAsia="宋体" w:hAnsi="Times New Roman" w:cs="Times New Roman"/>
          <w:bCs/>
          <w:color w:val="000000" w:themeColor="text1"/>
          <w:sz w:val="24"/>
          <w:szCs w:val="24"/>
        </w:rPr>
        <w:t>SY/T5081-2017</w:t>
      </w:r>
      <w:r w:rsidRPr="00092862">
        <w:rPr>
          <w:rFonts w:ascii="Times New Roman" w:eastAsia="宋体" w:hAnsi="Times New Roman" w:cs="Times New Roman"/>
          <w:bCs/>
          <w:color w:val="000000" w:themeColor="text1"/>
          <w:sz w:val="24"/>
          <w:szCs w:val="24"/>
        </w:rPr>
        <w:t>）。</w:t>
      </w:r>
    </w:p>
    <w:p w14:paraId="74FB7015" w14:textId="77777777" w:rsidR="00F97BCE" w:rsidRPr="00092862" w:rsidRDefault="00F97BCE" w:rsidP="008E7B30">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33" w:name="_Toc120173060"/>
      <w:r w:rsidRPr="00092862">
        <w:rPr>
          <w:rFonts w:ascii="Times New Roman" w:eastAsia="黑体" w:hAnsi="Times New Roman"/>
          <w:b w:val="0"/>
          <w:color w:val="000000" w:themeColor="text1"/>
          <w:sz w:val="24"/>
          <w:szCs w:val="24"/>
          <w:lang w:eastAsia="zh-CN"/>
        </w:rPr>
        <w:t>2.3.7</w:t>
      </w:r>
      <w:r w:rsidRPr="00092862">
        <w:rPr>
          <w:rFonts w:ascii="Times New Roman" w:eastAsia="黑体" w:hAnsi="Times New Roman"/>
          <w:b w:val="0"/>
          <w:color w:val="000000" w:themeColor="text1"/>
          <w:sz w:val="24"/>
          <w:szCs w:val="24"/>
          <w:lang w:eastAsia="zh-CN"/>
        </w:rPr>
        <w:t>相关技术及工作文件</w:t>
      </w:r>
      <w:bookmarkEnd w:id="33"/>
    </w:p>
    <w:p w14:paraId="613C11F4" w14:textId="7F995791" w:rsidR="00293B0E" w:rsidRPr="00092862" w:rsidRDefault="00293B0E" w:rsidP="008E7B30">
      <w:pPr>
        <w:pStyle w:val="afffff6"/>
        <w:ind w:firstLine="480"/>
        <w:rPr>
          <w:color w:val="000000" w:themeColor="text1"/>
        </w:rPr>
      </w:pPr>
      <w:r w:rsidRPr="00092862">
        <w:rPr>
          <w:color w:val="000000" w:themeColor="text1"/>
        </w:rPr>
        <w:t>（</w:t>
      </w:r>
      <w:r w:rsidRPr="00092862">
        <w:rPr>
          <w:color w:val="000000" w:themeColor="text1"/>
        </w:rPr>
        <w:t>1</w:t>
      </w:r>
      <w:r w:rsidRPr="00092862">
        <w:rPr>
          <w:color w:val="000000" w:themeColor="text1"/>
        </w:rPr>
        <w:t>）环境影响评价委托书；</w:t>
      </w:r>
    </w:p>
    <w:p w14:paraId="27A73154" w14:textId="345380DD" w:rsidR="00293B0E" w:rsidRPr="00092862" w:rsidRDefault="00293B0E" w:rsidP="008E7B30">
      <w:pPr>
        <w:pStyle w:val="afffff6"/>
        <w:ind w:firstLine="480"/>
        <w:rPr>
          <w:color w:val="000000" w:themeColor="text1"/>
        </w:rPr>
      </w:pPr>
      <w:bookmarkStart w:id="34" w:name="_Hlk56956483"/>
      <w:r w:rsidRPr="00092862">
        <w:rPr>
          <w:color w:val="000000" w:themeColor="text1"/>
        </w:rPr>
        <w:t>（</w:t>
      </w:r>
      <w:r w:rsidRPr="00092862">
        <w:rPr>
          <w:color w:val="000000" w:themeColor="text1"/>
        </w:rPr>
        <w:t>2</w:t>
      </w:r>
      <w:r w:rsidRPr="00092862">
        <w:rPr>
          <w:color w:val="000000" w:themeColor="text1"/>
        </w:rPr>
        <w:t>）《</w:t>
      </w:r>
      <w:r w:rsidR="00215953" w:rsidRPr="00092862">
        <w:rPr>
          <w:color w:val="000000" w:themeColor="text1"/>
        </w:rPr>
        <w:t>老君</w:t>
      </w:r>
      <w:r w:rsidR="00215953" w:rsidRPr="00092862">
        <w:rPr>
          <w:color w:val="000000" w:themeColor="text1"/>
        </w:rPr>
        <w:t>7011</w:t>
      </w:r>
      <w:r w:rsidR="00215953" w:rsidRPr="00092862">
        <w:rPr>
          <w:color w:val="000000" w:themeColor="text1"/>
        </w:rPr>
        <w:t>井台钻井及试采工程</w:t>
      </w:r>
      <w:r w:rsidRPr="00092862">
        <w:rPr>
          <w:color w:val="000000" w:themeColor="text1"/>
        </w:rPr>
        <w:t>可行性研究报告》；</w:t>
      </w:r>
    </w:p>
    <w:p w14:paraId="541C1D6F" w14:textId="014B9FCE" w:rsidR="00293B0E" w:rsidRPr="00092862" w:rsidRDefault="00293B0E" w:rsidP="008E7B30">
      <w:pPr>
        <w:pStyle w:val="afffff6"/>
        <w:ind w:firstLine="480"/>
        <w:rPr>
          <w:color w:val="000000" w:themeColor="text1"/>
        </w:rPr>
      </w:pPr>
      <w:r w:rsidRPr="00092862">
        <w:rPr>
          <w:color w:val="000000" w:themeColor="text1"/>
        </w:rPr>
        <w:t>（</w:t>
      </w:r>
      <w:r w:rsidRPr="00092862">
        <w:rPr>
          <w:color w:val="000000" w:themeColor="text1"/>
        </w:rPr>
        <w:t>3</w:t>
      </w:r>
      <w:r w:rsidRPr="00092862">
        <w:rPr>
          <w:color w:val="000000" w:themeColor="text1"/>
        </w:rPr>
        <w:t>）《环境质量监测报告》；</w:t>
      </w:r>
    </w:p>
    <w:bookmarkEnd w:id="34"/>
    <w:p w14:paraId="2B3D6F87" w14:textId="4F9A9518" w:rsidR="00293B0E" w:rsidRPr="00092862" w:rsidRDefault="00293B0E" w:rsidP="008E7B30">
      <w:pPr>
        <w:pStyle w:val="afffff6"/>
        <w:ind w:firstLine="480"/>
        <w:rPr>
          <w:color w:val="000000" w:themeColor="text1"/>
        </w:rPr>
      </w:pPr>
      <w:r w:rsidRPr="00092862">
        <w:rPr>
          <w:color w:val="000000" w:themeColor="text1"/>
        </w:rPr>
        <w:lastRenderedPageBreak/>
        <w:t>（</w:t>
      </w:r>
      <w:r w:rsidRPr="00092862">
        <w:rPr>
          <w:color w:val="000000" w:themeColor="text1"/>
        </w:rPr>
        <w:t>4</w:t>
      </w:r>
      <w:r w:rsidRPr="00092862">
        <w:rPr>
          <w:color w:val="000000" w:themeColor="text1"/>
        </w:rPr>
        <w:t>）项目直接影响区、县及相关乡镇规划、土地利用规划、植被分布现状、水系分布情况、旅游区发展规划等相关文件、资料；</w:t>
      </w:r>
    </w:p>
    <w:p w14:paraId="6ED55B32" w14:textId="62A7A8A4" w:rsidR="00DC446C" w:rsidRPr="00092862" w:rsidRDefault="00293B0E" w:rsidP="008E7B30">
      <w:pPr>
        <w:pStyle w:val="afffff6"/>
        <w:ind w:firstLine="480"/>
        <w:rPr>
          <w:color w:val="000000" w:themeColor="text1"/>
        </w:rPr>
      </w:pPr>
      <w:r w:rsidRPr="00092862">
        <w:rPr>
          <w:color w:val="000000" w:themeColor="text1"/>
        </w:rPr>
        <w:t>（</w:t>
      </w:r>
      <w:r w:rsidRPr="00092862">
        <w:rPr>
          <w:color w:val="000000" w:themeColor="text1"/>
        </w:rPr>
        <w:t>5</w:t>
      </w:r>
      <w:r w:rsidRPr="00092862">
        <w:rPr>
          <w:color w:val="000000" w:themeColor="text1"/>
        </w:rPr>
        <w:t>）建设单位提供的项目其他有关资料。</w:t>
      </w:r>
    </w:p>
    <w:p w14:paraId="0A1890F7" w14:textId="77777777" w:rsidR="00DC446C" w:rsidRPr="00092862" w:rsidRDefault="003B1968" w:rsidP="008E7B30">
      <w:pPr>
        <w:pStyle w:val="2"/>
        <w:adjustRightInd/>
        <w:snapToGrid/>
        <w:ind w:firstLine="480"/>
        <w:rPr>
          <w:color w:val="000000" w:themeColor="text1"/>
          <w:szCs w:val="24"/>
          <w:lang w:eastAsia="zh-CN"/>
        </w:rPr>
      </w:pPr>
      <w:bookmarkStart w:id="35" w:name="_Toc123682523"/>
      <w:r w:rsidRPr="00092862">
        <w:rPr>
          <w:color w:val="000000" w:themeColor="text1"/>
          <w:szCs w:val="24"/>
          <w:lang w:eastAsia="zh-CN"/>
        </w:rPr>
        <w:t>2.4</w:t>
      </w:r>
      <w:r w:rsidRPr="00092862">
        <w:rPr>
          <w:color w:val="000000" w:themeColor="text1"/>
          <w:szCs w:val="24"/>
          <w:lang w:eastAsia="zh-CN"/>
        </w:rPr>
        <w:t>环境影响识别与评价因子筛选</w:t>
      </w:r>
      <w:bookmarkEnd w:id="35"/>
    </w:p>
    <w:p w14:paraId="6B7E1AAF" w14:textId="77777777" w:rsidR="00DC446C" w:rsidRPr="00092862" w:rsidRDefault="003B1968" w:rsidP="008E7B30">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36" w:name="_Toc120173062"/>
      <w:r w:rsidRPr="00092862">
        <w:rPr>
          <w:rFonts w:ascii="Times New Roman" w:eastAsia="黑体" w:hAnsi="Times New Roman"/>
          <w:b w:val="0"/>
          <w:color w:val="000000" w:themeColor="text1"/>
          <w:sz w:val="24"/>
          <w:szCs w:val="24"/>
          <w:lang w:eastAsia="zh-CN"/>
        </w:rPr>
        <w:t>2.4.1</w:t>
      </w:r>
      <w:r w:rsidRPr="00092862">
        <w:rPr>
          <w:rFonts w:ascii="Times New Roman" w:eastAsia="黑体" w:hAnsi="Times New Roman"/>
          <w:b w:val="0"/>
          <w:color w:val="000000" w:themeColor="text1"/>
          <w:sz w:val="24"/>
          <w:szCs w:val="24"/>
          <w:lang w:eastAsia="zh-CN"/>
        </w:rPr>
        <w:t>环境影响识别</w:t>
      </w:r>
      <w:bookmarkEnd w:id="36"/>
    </w:p>
    <w:p w14:paraId="31F99333" w14:textId="77777777" w:rsidR="00D845ED" w:rsidRPr="00092862" w:rsidRDefault="00D845ED" w:rsidP="008E7B30">
      <w:pPr>
        <w:pStyle w:val="afffff6"/>
        <w:ind w:firstLine="480"/>
        <w:rPr>
          <w:color w:val="000000" w:themeColor="text1"/>
        </w:rPr>
      </w:pPr>
      <w:r w:rsidRPr="00092862">
        <w:rPr>
          <w:color w:val="000000" w:themeColor="text1"/>
        </w:rPr>
        <w:t>本项目为生态影响型建设工程，主要就工程建设及运行对区域生态环境及其他环境要素所造成的影响进行识别。</w:t>
      </w:r>
    </w:p>
    <w:p w14:paraId="4E90C991" w14:textId="77777777" w:rsidR="00D845ED" w:rsidRPr="00092862" w:rsidRDefault="00D845ED" w:rsidP="008E7B30">
      <w:pPr>
        <w:pStyle w:val="afffff6"/>
        <w:ind w:firstLine="482"/>
        <w:rPr>
          <w:b/>
          <w:color w:val="000000" w:themeColor="text1"/>
        </w:rPr>
      </w:pPr>
      <w:r w:rsidRPr="00092862">
        <w:rPr>
          <w:b/>
          <w:color w:val="000000" w:themeColor="text1"/>
        </w:rPr>
        <w:t>1</w:t>
      </w:r>
      <w:r w:rsidRPr="00092862">
        <w:rPr>
          <w:b/>
          <w:color w:val="000000" w:themeColor="text1"/>
        </w:rPr>
        <w:t>、生态环境影响</w:t>
      </w:r>
    </w:p>
    <w:p w14:paraId="2391A8CD" w14:textId="1C22F90D" w:rsidR="00D845ED" w:rsidRPr="00092862" w:rsidRDefault="00D845ED" w:rsidP="00D845ED">
      <w:pPr>
        <w:pStyle w:val="afffff6"/>
        <w:ind w:firstLine="480"/>
        <w:rPr>
          <w:color w:val="000000" w:themeColor="text1"/>
          <w:kern w:val="2"/>
          <w:szCs w:val="22"/>
        </w:rPr>
      </w:pPr>
      <w:r w:rsidRPr="00092862">
        <w:rPr>
          <w:color w:val="000000" w:themeColor="text1"/>
          <w:kern w:val="2"/>
          <w:szCs w:val="22"/>
        </w:rPr>
        <w:t>本项目生态环境影响主要体现在施工期。工程施工期间对生态环境的影响主要是土石方工程开挖</w:t>
      </w:r>
      <w:r w:rsidR="00484AEA" w:rsidRPr="00092862">
        <w:rPr>
          <w:color w:val="000000" w:themeColor="text1"/>
          <w:kern w:val="2"/>
          <w:szCs w:val="22"/>
        </w:rPr>
        <w:t>（本项目土石方开挖量较小</w:t>
      </w:r>
      <w:r w:rsidR="002D58F0" w:rsidRPr="00092862">
        <w:rPr>
          <w:color w:val="000000" w:themeColor="text1"/>
          <w:kern w:val="2"/>
          <w:szCs w:val="22"/>
        </w:rPr>
        <w:t>，除施工期临时生活区外不新增占地</w:t>
      </w:r>
      <w:r w:rsidR="00484AEA" w:rsidRPr="00092862">
        <w:rPr>
          <w:color w:val="000000" w:themeColor="text1"/>
          <w:kern w:val="2"/>
          <w:szCs w:val="22"/>
        </w:rPr>
        <w:t>）</w:t>
      </w:r>
      <w:r w:rsidRPr="00092862">
        <w:rPr>
          <w:color w:val="000000" w:themeColor="text1"/>
          <w:kern w:val="2"/>
          <w:szCs w:val="22"/>
        </w:rPr>
        <w:t>引起的自然地貌的改变和地表自然及人工植被的破坏，进而引起对土地利用的改变，生物量和生产力的变化，由此引发区域生态系统稳定性下降，致使生态环境的破坏及水土流失。</w:t>
      </w:r>
    </w:p>
    <w:p w14:paraId="2605943F" w14:textId="138847A5" w:rsidR="00D845ED" w:rsidRPr="00092862" w:rsidRDefault="00625D3A" w:rsidP="00D845ED">
      <w:pPr>
        <w:pStyle w:val="afffff6"/>
        <w:ind w:firstLine="480"/>
        <w:rPr>
          <w:color w:val="000000" w:themeColor="text1"/>
          <w:kern w:val="2"/>
          <w:szCs w:val="22"/>
        </w:rPr>
      </w:pPr>
      <w:r w:rsidRPr="00092862">
        <w:rPr>
          <w:color w:val="000000" w:themeColor="text1"/>
          <w:kern w:val="2"/>
          <w:szCs w:val="22"/>
        </w:rPr>
        <w:t>试采</w:t>
      </w:r>
      <w:r w:rsidR="00D845ED" w:rsidRPr="00092862">
        <w:rPr>
          <w:color w:val="000000" w:themeColor="text1"/>
          <w:kern w:val="2"/>
          <w:szCs w:val="22"/>
        </w:rPr>
        <w:t>期不会带来新的生态影响，受施工期影响的生态环境按相应的环境保护措施，逐步恢复重建。</w:t>
      </w:r>
    </w:p>
    <w:p w14:paraId="3F14EB36" w14:textId="77777777" w:rsidR="00D845ED" w:rsidRPr="00092862" w:rsidRDefault="00D845ED" w:rsidP="00D845ED">
      <w:pPr>
        <w:pStyle w:val="afffff6"/>
        <w:ind w:firstLine="482"/>
        <w:rPr>
          <w:b/>
          <w:color w:val="000000" w:themeColor="text1"/>
        </w:rPr>
      </w:pPr>
      <w:r w:rsidRPr="00092862">
        <w:rPr>
          <w:b/>
          <w:color w:val="000000" w:themeColor="text1"/>
        </w:rPr>
        <w:t>2</w:t>
      </w:r>
      <w:r w:rsidRPr="00092862">
        <w:rPr>
          <w:b/>
          <w:color w:val="000000" w:themeColor="text1"/>
        </w:rPr>
        <w:t>、地表水环境影响</w:t>
      </w:r>
    </w:p>
    <w:p w14:paraId="2090448B" w14:textId="05933CE8" w:rsidR="00D845ED" w:rsidRPr="00092862" w:rsidRDefault="00D845ED" w:rsidP="00D845ED">
      <w:pPr>
        <w:pStyle w:val="afffff6"/>
        <w:ind w:firstLine="480"/>
        <w:rPr>
          <w:color w:val="000000" w:themeColor="text1"/>
          <w:kern w:val="2"/>
          <w:szCs w:val="22"/>
        </w:rPr>
      </w:pPr>
      <w:r w:rsidRPr="00092862">
        <w:rPr>
          <w:color w:val="000000" w:themeColor="text1"/>
          <w:kern w:val="2"/>
          <w:szCs w:val="22"/>
        </w:rPr>
        <w:t>（</w:t>
      </w:r>
      <w:r w:rsidRPr="00092862">
        <w:rPr>
          <w:color w:val="000000" w:themeColor="text1"/>
          <w:kern w:val="2"/>
          <w:szCs w:val="22"/>
        </w:rPr>
        <w:t>1</w:t>
      </w:r>
      <w:r w:rsidRPr="00092862">
        <w:rPr>
          <w:color w:val="000000" w:themeColor="text1"/>
          <w:kern w:val="2"/>
          <w:szCs w:val="22"/>
        </w:rPr>
        <w:t>）钻井</w:t>
      </w:r>
      <w:r w:rsidR="00BD2245" w:rsidRPr="00092862">
        <w:rPr>
          <w:color w:val="000000" w:themeColor="text1"/>
          <w:kern w:val="2"/>
          <w:szCs w:val="22"/>
        </w:rPr>
        <w:t>期</w:t>
      </w:r>
      <w:r w:rsidRPr="00092862">
        <w:rPr>
          <w:color w:val="000000" w:themeColor="text1"/>
          <w:kern w:val="2"/>
          <w:szCs w:val="22"/>
        </w:rPr>
        <w:t>废水对地表水的影响；</w:t>
      </w:r>
    </w:p>
    <w:p w14:paraId="59A25EBD" w14:textId="7C943E35" w:rsidR="00D845ED" w:rsidRPr="00092862" w:rsidRDefault="00D845ED" w:rsidP="00D845ED">
      <w:pPr>
        <w:pStyle w:val="afffff6"/>
        <w:ind w:firstLine="480"/>
        <w:rPr>
          <w:color w:val="000000" w:themeColor="text1"/>
          <w:kern w:val="2"/>
          <w:szCs w:val="22"/>
        </w:rPr>
      </w:pPr>
      <w:r w:rsidRPr="00092862">
        <w:rPr>
          <w:color w:val="000000" w:themeColor="text1"/>
          <w:kern w:val="2"/>
          <w:szCs w:val="22"/>
        </w:rPr>
        <w:t>（</w:t>
      </w:r>
      <w:r w:rsidRPr="00092862">
        <w:rPr>
          <w:color w:val="000000" w:themeColor="text1"/>
          <w:kern w:val="2"/>
          <w:szCs w:val="22"/>
        </w:rPr>
        <w:t>2</w:t>
      </w:r>
      <w:r w:rsidRPr="00092862">
        <w:rPr>
          <w:color w:val="000000" w:themeColor="text1"/>
          <w:kern w:val="2"/>
          <w:szCs w:val="22"/>
        </w:rPr>
        <w:t>）施工人员产生的生活污水对地表水环境的影响；</w:t>
      </w:r>
    </w:p>
    <w:p w14:paraId="4519551F" w14:textId="29EDD7DA" w:rsidR="00D845ED" w:rsidRPr="00092862" w:rsidRDefault="00D845ED" w:rsidP="00D845ED">
      <w:pPr>
        <w:pStyle w:val="afffff6"/>
        <w:ind w:firstLine="480"/>
        <w:rPr>
          <w:color w:val="000000" w:themeColor="text1"/>
          <w:kern w:val="2"/>
          <w:szCs w:val="22"/>
        </w:rPr>
      </w:pPr>
      <w:r w:rsidRPr="00092862">
        <w:rPr>
          <w:color w:val="000000" w:themeColor="text1"/>
          <w:kern w:val="2"/>
          <w:szCs w:val="22"/>
        </w:rPr>
        <w:t>（</w:t>
      </w:r>
      <w:r w:rsidRPr="00092862">
        <w:rPr>
          <w:color w:val="000000" w:themeColor="text1"/>
          <w:kern w:val="2"/>
          <w:szCs w:val="22"/>
        </w:rPr>
        <w:t>3</w:t>
      </w:r>
      <w:r w:rsidRPr="00092862">
        <w:rPr>
          <w:color w:val="000000" w:themeColor="text1"/>
          <w:kern w:val="2"/>
          <w:szCs w:val="22"/>
        </w:rPr>
        <w:t>）</w:t>
      </w:r>
      <w:r w:rsidR="001A6854" w:rsidRPr="00092862">
        <w:rPr>
          <w:color w:val="000000" w:themeColor="text1"/>
          <w:kern w:val="2"/>
          <w:szCs w:val="22"/>
        </w:rPr>
        <w:t>试采期</w:t>
      </w:r>
      <w:r w:rsidRPr="00092862">
        <w:rPr>
          <w:color w:val="000000" w:themeColor="text1"/>
          <w:kern w:val="2"/>
          <w:szCs w:val="22"/>
        </w:rPr>
        <w:t>气田水对地表水环境的影响。</w:t>
      </w:r>
    </w:p>
    <w:p w14:paraId="77E365A4" w14:textId="77777777" w:rsidR="00D845ED" w:rsidRPr="00092862" w:rsidRDefault="00D845ED" w:rsidP="00BD2245">
      <w:pPr>
        <w:pStyle w:val="afffff6"/>
        <w:ind w:firstLine="482"/>
        <w:rPr>
          <w:b/>
          <w:color w:val="000000" w:themeColor="text1"/>
        </w:rPr>
      </w:pPr>
      <w:r w:rsidRPr="00092862">
        <w:rPr>
          <w:b/>
          <w:color w:val="000000" w:themeColor="text1"/>
        </w:rPr>
        <w:t>3</w:t>
      </w:r>
      <w:r w:rsidRPr="00092862">
        <w:rPr>
          <w:b/>
          <w:color w:val="000000" w:themeColor="text1"/>
        </w:rPr>
        <w:t>、地下水环境影响</w:t>
      </w:r>
    </w:p>
    <w:p w14:paraId="21B46E9F" w14:textId="77777777" w:rsidR="00D72D31" w:rsidRPr="00092862" w:rsidRDefault="00D72D31" w:rsidP="00D72D31">
      <w:pPr>
        <w:adjustRightInd w:val="0"/>
        <w:snapToGrid w:val="0"/>
        <w:spacing w:line="360" w:lineRule="auto"/>
        <w:ind w:firstLine="482"/>
        <w:rPr>
          <w:rFonts w:ascii="Times New Roman" w:eastAsia="宋体" w:hAnsi="Times New Roman" w:cs="Times New Roman"/>
          <w:color w:val="000000" w:themeColor="text1"/>
          <w:sz w:val="24"/>
          <w:szCs w:val="20"/>
        </w:rPr>
      </w:pPr>
      <w:r w:rsidRPr="00092862">
        <w:rPr>
          <w:rFonts w:ascii="Times New Roman" w:eastAsia="宋体" w:hAnsi="Times New Roman" w:cs="Times New Roman"/>
          <w:color w:val="000000" w:themeColor="text1"/>
          <w:sz w:val="24"/>
          <w:szCs w:val="20"/>
        </w:rPr>
        <w:t>（</w:t>
      </w:r>
      <w:r w:rsidRPr="00092862">
        <w:rPr>
          <w:rFonts w:ascii="Times New Roman" w:eastAsia="宋体" w:hAnsi="Times New Roman" w:cs="Times New Roman"/>
          <w:color w:val="000000" w:themeColor="text1"/>
          <w:sz w:val="24"/>
          <w:szCs w:val="20"/>
        </w:rPr>
        <w:t>1</w:t>
      </w:r>
      <w:r w:rsidRPr="00092862">
        <w:rPr>
          <w:rFonts w:ascii="Times New Roman" w:eastAsia="宋体" w:hAnsi="Times New Roman" w:cs="Times New Roman"/>
          <w:color w:val="000000" w:themeColor="text1"/>
          <w:sz w:val="24"/>
          <w:szCs w:val="20"/>
        </w:rPr>
        <w:t>）本项目施工期对地下水的影响是施工期钻井过程中可能造成地下水的污染，同时施工废水及施工生活污水若处理不当外排，外排废水下渗对局部区域地下水水质造成影响；</w:t>
      </w:r>
    </w:p>
    <w:p w14:paraId="6B0ECF32" w14:textId="67B88F32" w:rsidR="00D845ED" w:rsidRPr="00092862" w:rsidRDefault="00D72D31" w:rsidP="00D72D31">
      <w:pPr>
        <w:pStyle w:val="0"/>
        <w:adjustRightInd w:val="0"/>
        <w:snapToGrid w:val="0"/>
        <w:ind w:firstLineChars="0" w:firstLine="482"/>
        <w:rPr>
          <w:color w:val="000000" w:themeColor="text1"/>
          <w:kern w:val="0"/>
          <w:szCs w:val="20"/>
        </w:rPr>
      </w:pPr>
      <w:r w:rsidRPr="00092862">
        <w:rPr>
          <w:color w:val="000000" w:themeColor="text1"/>
          <w:kern w:val="0"/>
          <w:szCs w:val="20"/>
        </w:rPr>
        <w:t>（</w:t>
      </w:r>
      <w:r w:rsidRPr="00092862">
        <w:rPr>
          <w:color w:val="000000" w:themeColor="text1"/>
          <w:kern w:val="0"/>
          <w:szCs w:val="20"/>
        </w:rPr>
        <w:t>2</w:t>
      </w:r>
      <w:r w:rsidRPr="00092862">
        <w:rPr>
          <w:color w:val="000000" w:themeColor="text1"/>
          <w:kern w:val="0"/>
          <w:szCs w:val="20"/>
        </w:rPr>
        <w:t>）本项目新建</w:t>
      </w:r>
      <w:r w:rsidRPr="00092862">
        <w:rPr>
          <w:color w:val="000000" w:themeColor="text1"/>
        </w:rPr>
        <w:t>L7011-4H</w:t>
      </w:r>
      <w:r w:rsidRPr="00092862">
        <w:rPr>
          <w:color w:val="000000" w:themeColor="text1"/>
          <w:kern w:val="0"/>
          <w:szCs w:val="20"/>
        </w:rPr>
        <w:t>井及</w:t>
      </w:r>
      <w:r w:rsidRPr="00092862">
        <w:rPr>
          <w:color w:val="000000" w:themeColor="text1"/>
        </w:rPr>
        <w:t>L7011-5H</w:t>
      </w:r>
      <w:r w:rsidRPr="00092862">
        <w:rPr>
          <w:color w:val="000000" w:themeColor="text1"/>
          <w:kern w:val="0"/>
          <w:szCs w:val="20"/>
        </w:rPr>
        <w:t>井不涉及工艺设施建设，故不涉及污水储存设施、污水处理构筑物，气液分离、污水暂存装置均依托老君</w:t>
      </w:r>
      <w:r w:rsidRPr="00092862">
        <w:rPr>
          <w:color w:val="000000" w:themeColor="text1"/>
          <w:kern w:val="0"/>
          <w:szCs w:val="20"/>
        </w:rPr>
        <w:t>701</w:t>
      </w:r>
      <w:r w:rsidRPr="00092862">
        <w:rPr>
          <w:color w:val="000000" w:themeColor="text1"/>
          <w:kern w:val="0"/>
          <w:szCs w:val="20"/>
        </w:rPr>
        <w:t>集气站既有设施。井场内集输管线破裂出现泄漏时，天然气将通过包气带土壤孔隙逸出进入大气，不会对地下水产生影响，天然气中所含少量的气田水为气态，如果发生上述泄漏，管道监测系统会立即切断并停止输气，所泄漏的气田水微乎其微，且同天然气一同扩散到大气中。因此，不会对地下水环境产生影响</w:t>
      </w:r>
      <w:r w:rsidR="00D845ED" w:rsidRPr="00092862">
        <w:rPr>
          <w:color w:val="000000" w:themeColor="text1"/>
          <w:kern w:val="0"/>
          <w:szCs w:val="20"/>
        </w:rPr>
        <w:t>。</w:t>
      </w:r>
    </w:p>
    <w:p w14:paraId="322F9B1D" w14:textId="77777777" w:rsidR="00D845ED" w:rsidRPr="00092862" w:rsidRDefault="00D845ED" w:rsidP="00D845ED">
      <w:pPr>
        <w:pStyle w:val="afffff6"/>
        <w:ind w:firstLine="482"/>
        <w:rPr>
          <w:b/>
          <w:bCs/>
          <w:color w:val="000000" w:themeColor="text1"/>
        </w:rPr>
      </w:pPr>
      <w:r w:rsidRPr="00092862">
        <w:rPr>
          <w:b/>
          <w:bCs/>
          <w:color w:val="000000" w:themeColor="text1"/>
        </w:rPr>
        <w:lastRenderedPageBreak/>
        <w:t>4</w:t>
      </w:r>
      <w:r w:rsidRPr="00092862">
        <w:rPr>
          <w:b/>
          <w:bCs/>
          <w:color w:val="000000" w:themeColor="text1"/>
        </w:rPr>
        <w:t>、大气环境影响</w:t>
      </w:r>
    </w:p>
    <w:p w14:paraId="675E7B61" w14:textId="77777777"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1</w:t>
      </w:r>
      <w:r w:rsidRPr="00092862">
        <w:rPr>
          <w:color w:val="000000" w:themeColor="text1"/>
        </w:rPr>
        <w:t>）施工机械排放的废气；</w:t>
      </w:r>
    </w:p>
    <w:p w14:paraId="2EB01BE5" w14:textId="77777777"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2</w:t>
      </w:r>
      <w:r w:rsidRPr="00092862">
        <w:rPr>
          <w:color w:val="000000" w:themeColor="text1"/>
        </w:rPr>
        <w:t>）施工产生的扬尘；</w:t>
      </w:r>
    </w:p>
    <w:p w14:paraId="352AE9FF" w14:textId="51723553"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3</w:t>
      </w:r>
      <w:r w:rsidRPr="00092862">
        <w:rPr>
          <w:color w:val="000000" w:themeColor="text1"/>
        </w:rPr>
        <w:t>）本项目</w:t>
      </w:r>
      <w:r w:rsidR="00625D3A" w:rsidRPr="00092862">
        <w:rPr>
          <w:color w:val="000000" w:themeColor="text1"/>
        </w:rPr>
        <w:t>试采</w:t>
      </w:r>
      <w:r w:rsidRPr="00092862">
        <w:rPr>
          <w:color w:val="000000" w:themeColor="text1"/>
        </w:rPr>
        <w:t>期</w:t>
      </w:r>
      <w:r w:rsidR="00BD2245" w:rsidRPr="00092862">
        <w:rPr>
          <w:color w:val="000000" w:themeColor="text1"/>
        </w:rPr>
        <w:t>水套加热炉废气、</w:t>
      </w:r>
      <w:r w:rsidR="007E1744" w:rsidRPr="00092862">
        <w:rPr>
          <w:color w:val="000000" w:themeColor="text1"/>
        </w:rPr>
        <w:t>放空火炬长明灯废气、</w:t>
      </w:r>
      <w:r w:rsidRPr="00092862">
        <w:rPr>
          <w:color w:val="000000" w:themeColor="text1"/>
        </w:rPr>
        <w:t>非正常工况外排的废气，事故放空时经</w:t>
      </w:r>
      <w:r w:rsidR="003C3238" w:rsidRPr="00092862">
        <w:rPr>
          <w:color w:val="000000" w:themeColor="text1"/>
        </w:rPr>
        <w:t>老君</w:t>
      </w:r>
      <w:r w:rsidR="003C3238" w:rsidRPr="00092862">
        <w:rPr>
          <w:color w:val="000000" w:themeColor="text1"/>
        </w:rPr>
        <w:t>701</w:t>
      </w:r>
      <w:r w:rsidR="00F30AFD" w:rsidRPr="00092862">
        <w:rPr>
          <w:color w:val="000000" w:themeColor="text1"/>
        </w:rPr>
        <w:t>集气站</w:t>
      </w:r>
      <w:r w:rsidR="002B3BBC" w:rsidRPr="00092862">
        <w:rPr>
          <w:color w:val="000000" w:themeColor="text1"/>
        </w:rPr>
        <w:t>原有</w:t>
      </w:r>
      <w:r w:rsidRPr="00092862">
        <w:rPr>
          <w:color w:val="000000" w:themeColor="text1"/>
        </w:rPr>
        <w:t>的点火放空系统进行放空。</w:t>
      </w:r>
    </w:p>
    <w:p w14:paraId="4A5FB241" w14:textId="77777777" w:rsidR="00D845ED" w:rsidRPr="00092862" w:rsidRDefault="00D845ED" w:rsidP="00D845ED">
      <w:pPr>
        <w:pStyle w:val="afffff6"/>
        <w:ind w:firstLine="482"/>
        <w:rPr>
          <w:b/>
          <w:bCs/>
          <w:color w:val="000000" w:themeColor="text1"/>
        </w:rPr>
      </w:pPr>
      <w:r w:rsidRPr="00092862">
        <w:rPr>
          <w:b/>
          <w:bCs/>
          <w:color w:val="000000" w:themeColor="text1"/>
        </w:rPr>
        <w:t>5</w:t>
      </w:r>
      <w:r w:rsidRPr="00092862">
        <w:rPr>
          <w:b/>
          <w:bCs/>
          <w:color w:val="000000" w:themeColor="text1"/>
        </w:rPr>
        <w:t>、声环境影响</w:t>
      </w:r>
    </w:p>
    <w:p w14:paraId="5446408D" w14:textId="77777777"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1</w:t>
      </w:r>
      <w:r w:rsidRPr="00092862">
        <w:rPr>
          <w:color w:val="000000" w:themeColor="text1"/>
        </w:rPr>
        <w:t>）施工期施工机械产生的机械噪声；</w:t>
      </w:r>
    </w:p>
    <w:p w14:paraId="2627525E" w14:textId="4DA8F2AB" w:rsidR="00D845ED" w:rsidRPr="00092862" w:rsidRDefault="00D845ED" w:rsidP="00D845ED">
      <w:pPr>
        <w:pStyle w:val="afffff6"/>
        <w:ind w:firstLine="480"/>
        <w:rPr>
          <w:color w:val="000000" w:themeColor="text1"/>
        </w:rPr>
      </w:pPr>
      <w:bookmarkStart w:id="37" w:name="_Hlk80470452"/>
      <w:r w:rsidRPr="00092862">
        <w:rPr>
          <w:color w:val="000000" w:themeColor="text1"/>
        </w:rPr>
        <w:t>（</w:t>
      </w:r>
      <w:r w:rsidRPr="00092862">
        <w:rPr>
          <w:color w:val="000000" w:themeColor="text1"/>
        </w:rPr>
        <w:t>2</w:t>
      </w:r>
      <w:r w:rsidRPr="00092862">
        <w:rPr>
          <w:color w:val="000000" w:themeColor="text1"/>
        </w:rPr>
        <w:t>）</w:t>
      </w:r>
      <w:r w:rsidR="00625D3A" w:rsidRPr="00092862">
        <w:rPr>
          <w:color w:val="000000" w:themeColor="text1"/>
        </w:rPr>
        <w:t>试采</w:t>
      </w:r>
      <w:r w:rsidRPr="00092862">
        <w:rPr>
          <w:color w:val="000000" w:themeColor="text1"/>
        </w:rPr>
        <w:t>期场站设备产生的机械噪声及场站输气产生的气流噪声。</w:t>
      </w:r>
    </w:p>
    <w:bookmarkEnd w:id="37"/>
    <w:p w14:paraId="4D8F9E43" w14:textId="77777777" w:rsidR="00D845ED" w:rsidRPr="00092862" w:rsidRDefault="00D845ED" w:rsidP="00D845ED">
      <w:pPr>
        <w:pStyle w:val="afffff6"/>
        <w:ind w:firstLine="482"/>
        <w:rPr>
          <w:b/>
          <w:bCs/>
          <w:color w:val="000000" w:themeColor="text1"/>
        </w:rPr>
      </w:pPr>
      <w:r w:rsidRPr="00092862">
        <w:rPr>
          <w:b/>
          <w:bCs/>
          <w:color w:val="000000" w:themeColor="text1"/>
        </w:rPr>
        <w:t>6</w:t>
      </w:r>
      <w:r w:rsidRPr="00092862">
        <w:rPr>
          <w:b/>
          <w:bCs/>
          <w:color w:val="000000" w:themeColor="text1"/>
        </w:rPr>
        <w:t>、固体废物环境影响</w:t>
      </w:r>
    </w:p>
    <w:p w14:paraId="19B7606F" w14:textId="77777777"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1</w:t>
      </w:r>
      <w:r w:rsidRPr="00092862">
        <w:rPr>
          <w:color w:val="000000" w:themeColor="text1"/>
        </w:rPr>
        <w:t>）施工期产生的固体废物主要为生活垃圾、土石方、施工废料、钻井固废等；</w:t>
      </w:r>
    </w:p>
    <w:p w14:paraId="2AFB51F9" w14:textId="0549A9D3"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2</w:t>
      </w:r>
      <w:r w:rsidRPr="00092862">
        <w:rPr>
          <w:color w:val="000000" w:themeColor="text1"/>
        </w:rPr>
        <w:t>）本项目</w:t>
      </w:r>
      <w:r w:rsidR="003C3238" w:rsidRPr="00092862">
        <w:rPr>
          <w:color w:val="000000" w:themeColor="text1"/>
          <w:szCs w:val="24"/>
        </w:rPr>
        <w:t>老君</w:t>
      </w:r>
      <w:r w:rsidR="003C3238" w:rsidRPr="00092862">
        <w:rPr>
          <w:color w:val="000000" w:themeColor="text1"/>
          <w:szCs w:val="24"/>
        </w:rPr>
        <w:t>701</w:t>
      </w:r>
      <w:r w:rsidR="00F30AFD" w:rsidRPr="00092862">
        <w:rPr>
          <w:color w:val="000000" w:themeColor="text1"/>
          <w:szCs w:val="24"/>
        </w:rPr>
        <w:t>集气站</w:t>
      </w:r>
      <w:r w:rsidR="00F30AFD" w:rsidRPr="00092862">
        <w:rPr>
          <w:color w:val="000000" w:themeColor="text1"/>
        </w:rPr>
        <w:t>工作人员产生的生活垃圾</w:t>
      </w:r>
      <w:r w:rsidRPr="00092862">
        <w:rPr>
          <w:color w:val="000000" w:themeColor="text1"/>
        </w:rPr>
        <w:t>。</w:t>
      </w:r>
    </w:p>
    <w:p w14:paraId="06849A86" w14:textId="77777777" w:rsidR="00D845ED" w:rsidRPr="00092862" w:rsidRDefault="00D845ED" w:rsidP="00D845ED">
      <w:pPr>
        <w:pStyle w:val="afffff6"/>
        <w:ind w:firstLine="482"/>
        <w:rPr>
          <w:b/>
          <w:bCs/>
          <w:color w:val="000000" w:themeColor="text1"/>
        </w:rPr>
      </w:pPr>
      <w:r w:rsidRPr="00092862">
        <w:rPr>
          <w:b/>
          <w:bCs/>
          <w:color w:val="000000" w:themeColor="text1"/>
        </w:rPr>
        <w:t>7</w:t>
      </w:r>
      <w:r w:rsidRPr="00092862">
        <w:rPr>
          <w:b/>
          <w:bCs/>
          <w:color w:val="000000" w:themeColor="text1"/>
        </w:rPr>
        <w:t>、土壤环境影响</w:t>
      </w:r>
    </w:p>
    <w:p w14:paraId="2828AAB9" w14:textId="75F8119C"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1</w:t>
      </w:r>
      <w:r w:rsidRPr="00092862">
        <w:rPr>
          <w:color w:val="000000" w:themeColor="text1"/>
        </w:rPr>
        <w:t>）施工期</w:t>
      </w:r>
      <w:r w:rsidR="007E1744" w:rsidRPr="00092862">
        <w:rPr>
          <w:color w:val="000000" w:themeColor="text1"/>
        </w:rPr>
        <w:t>钻前工程</w:t>
      </w:r>
      <w:r w:rsidR="001213B6" w:rsidRPr="00092862">
        <w:rPr>
          <w:color w:val="000000" w:themeColor="text1"/>
        </w:rPr>
        <w:t>等</w:t>
      </w:r>
      <w:r w:rsidRPr="00092862">
        <w:rPr>
          <w:color w:val="000000" w:themeColor="text1"/>
        </w:rPr>
        <w:t>造成土壤扰动；</w:t>
      </w:r>
    </w:p>
    <w:p w14:paraId="3B2A3CD8" w14:textId="77777777"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2</w:t>
      </w:r>
      <w:r w:rsidRPr="00092862">
        <w:rPr>
          <w:color w:val="000000" w:themeColor="text1"/>
        </w:rPr>
        <w:t>）施工期施工废水对土壤的影响；</w:t>
      </w:r>
    </w:p>
    <w:p w14:paraId="5E6D08CD" w14:textId="77777777" w:rsidR="00D845ED" w:rsidRPr="00092862" w:rsidRDefault="00D845ED" w:rsidP="00D845ED">
      <w:pPr>
        <w:pStyle w:val="afffff6"/>
        <w:ind w:firstLine="480"/>
        <w:rPr>
          <w:color w:val="000000" w:themeColor="text1"/>
        </w:rPr>
      </w:pPr>
      <w:r w:rsidRPr="00092862">
        <w:rPr>
          <w:color w:val="000000" w:themeColor="text1"/>
        </w:rPr>
        <w:t>（</w:t>
      </w:r>
      <w:r w:rsidRPr="00092862">
        <w:rPr>
          <w:color w:val="000000" w:themeColor="text1"/>
        </w:rPr>
        <w:t>3</w:t>
      </w:r>
      <w:r w:rsidRPr="00092862">
        <w:rPr>
          <w:color w:val="000000" w:themeColor="text1"/>
        </w:rPr>
        <w:t>）施工期施工机械废机油渗漏对土壤的影响；</w:t>
      </w:r>
    </w:p>
    <w:p w14:paraId="17F7949D" w14:textId="48C87167" w:rsidR="00D845ED" w:rsidRPr="00092862" w:rsidRDefault="00D845ED" w:rsidP="00D845ED">
      <w:pPr>
        <w:pStyle w:val="afffff6"/>
        <w:ind w:firstLine="480"/>
        <w:rPr>
          <w:color w:val="000000" w:themeColor="text1"/>
          <w:szCs w:val="24"/>
        </w:rPr>
      </w:pPr>
      <w:r w:rsidRPr="00092862">
        <w:rPr>
          <w:color w:val="000000" w:themeColor="text1"/>
        </w:rPr>
        <w:t>（</w:t>
      </w:r>
      <w:r w:rsidRPr="00092862">
        <w:rPr>
          <w:color w:val="000000" w:themeColor="text1"/>
        </w:rPr>
        <w:t>4</w:t>
      </w:r>
      <w:r w:rsidRPr="00092862">
        <w:rPr>
          <w:color w:val="000000" w:themeColor="text1"/>
        </w:rPr>
        <w:t>）</w:t>
      </w:r>
      <w:r w:rsidR="001A6854" w:rsidRPr="00092862">
        <w:rPr>
          <w:color w:val="000000" w:themeColor="text1"/>
        </w:rPr>
        <w:t>试采期</w:t>
      </w:r>
      <w:r w:rsidRPr="00092862">
        <w:rPr>
          <w:color w:val="000000" w:themeColor="text1"/>
        </w:rPr>
        <w:t>涉及新建污水储存设施（</w:t>
      </w:r>
      <w:r w:rsidR="00DD4FA1" w:rsidRPr="00092862">
        <w:rPr>
          <w:color w:val="000000" w:themeColor="text1"/>
        </w:rPr>
        <w:t>火炬分液罐</w:t>
      </w:r>
      <w:r w:rsidRPr="00092862">
        <w:rPr>
          <w:color w:val="000000" w:themeColor="text1"/>
        </w:rPr>
        <w:t>），可能存在地面漫流及垂直入渗污染土壤环境。</w:t>
      </w:r>
    </w:p>
    <w:p w14:paraId="60ABD54F" w14:textId="1F353814" w:rsidR="00D845ED" w:rsidRPr="00092862" w:rsidRDefault="00D845ED" w:rsidP="00D845ED">
      <w:pPr>
        <w:pStyle w:val="afffff6"/>
        <w:ind w:firstLine="480"/>
        <w:rPr>
          <w:color w:val="000000" w:themeColor="text1"/>
        </w:rPr>
      </w:pPr>
      <w:r w:rsidRPr="00092862">
        <w:rPr>
          <w:color w:val="000000" w:themeColor="text1"/>
        </w:rPr>
        <w:t>本项目环境影响具体内容见表</w:t>
      </w:r>
      <w:r w:rsidR="006E70A7" w:rsidRPr="00092862">
        <w:rPr>
          <w:color w:val="000000" w:themeColor="text1"/>
        </w:rPr>
        <w:t>2.4-1</w:t>
      </w:r>
      <w:r w:rsidRPr="00092862">
        <w:rPr>
          <w:color w:val="000000" w:themeColor="text1"/>
        </w:rPr>
        <w:t>。</w:t>
      </w:r>
    </w:p>
    <w:p w14:paraId="3B231656" w14:textId="0B0A0D5F" w:rsidR="00D845ED" w:rsidRPr="00092862" w:rsidRDefault="00D845ED"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6E70A7" w:rsidRPr="00092862">
        <w:rPr>
          <w:rFonts w:ascii="Times New Roman" w:eastAsia="黑体" w:hAnsi="Times New Roman"/>
          <w:color w:val="000000" w:themeColor="text1"/>
          <w:sz w:val="21"/>
          <w:szCs w:val="21"/>
          <w:lang w:eastAsia="zh-CN"/>
        </w:rPr>
        <w:t>2.4-1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本项目施工期和</w:t>
      </w:r>
      <w:r w:rsidR="001A6854" w:rsidRPr="00092862">
        <w:rPr>
          <w:rFonts w:ascii="Times New Roman" w:eastAsia="黑体" w:hAnsi="Times New Roman"/>
          <w:color w:val="000000" w:themeColor="text1"/>
          <w:sz w:val="21"/>
          <w:szCs w:val="21"/>
          <w:lang w:eastAsia="zh-CN"/>
        </w:rPr>
        <w:t>试采期</w:t>
      </w:r>
      <w:r w:rsidRPr="00092862">
        <w:rPr>
          <w:rFonts w:ascii="Times New Roman" w:eastAsia="黑体" w:hAnsi="Times New Roman"/>
          <w:color w:val="000000" w:themeColor="text1"/>
          <w:sz w:val="21"/>
          <w:szCs w:val="21"/>
          <w:lang w:eastAsia="zh-CN"/>
        </w:rPr>
        <w:t>环境影响分析表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
        <w:gridCol w:w="554"/>
        <w:gridCol w:w="1598"/>
        <w:gridCol w:w="5635"/>
      </w:tblGrid>
      <w:tr w:rsidR="00697429" w:rsidRPr="00092862" w14:paraId="1279FDFC" w14:textId="77777777" w:rsidTr="001213B6">
        <w:trPr>
          <w:trHeight w:val="17"/>
          <w:jc w:val="center"/>
        </w:trPr>
        <w:tc>
          <w:tcPr>
            <w:tcW w:w="307" w:type="pct"/>
            <w:vAlign w:val="center"/>
          </w:tcPr>
          <w:p w14:paraId="4C1CA487" w14:textId="77777777" w:rsidR="00D845ED" w:rsidRPr="00092862" w:rsidRDefault="00D845ED"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时段</w:t>
            </w:r>
          </w:p>
        </w:tc>
        <w:tc>
          <w:tcPr>
            <w:tcW w:w="1297" w:type="pct"/>
            <w:gridSpan w:val="2"/>
            <w:vAlign w:val="center"/>
          </w:tcPr>
          <w:p w14:paraId="01E0AD3B" w14:textId="77777777" w:rsidR="00D845ED" w:rsidRPr="00092862" w:rsidRDefault="00D845ED"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项目建设活动</w:t>
            </w:r>
          </w:p>
        </w:tc>
        <w:tc>
          <w:tcPr>
            <w:tcW w:w="3396" w:type="pct"/>
            <w:vAlign w:val="center"/>
          </w:tcPr>
          <w:p w14:paraId="23627046" w14:textId="77777777" w:rsidR="00D845ED" w:rsidRPr="00092862" w:rsidRDefault="00D845ED"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环境影响内容</w:t>
            </w:r>
          </w:p>
        </w:tc>
      </w:tr>
      <w:tr w:rsidR="00697429" w:rsidRPr="00092862" w14:paraId="6CEB39C4" w14:textId="77777777" w:rsidTr="001213B6">
        <w:trPr>
          <w:trHeight w:val="17"/>
          <w:jc w:val="center"/>
        </w:trPr>
        <w:tc>
          <w:tcPr>
            <w:tcW w:w="307" w:type="pct"/>
            <w:vMerge w:val="restart"/>
            <w:vAlign w:val="center"/>
          </w:tcPr>
          <w:p w14:paraId="6D115AC6"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w:t>
            </w:r>
          </w:p>
        </w:tc>
        <w:tc>
          <w:tcPr>
            <w:tcW w:w="334" w:type="pct"/>
            <w:vMerge w:val="restart"/>
            <w:vAlign w:val="center"/>
          </w:tcPr>
          <w:p w14:paraId="4DD460E7" w14:textId="15A8032C"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站场施工及钻</w:t>
            </w:r>
            <w:r w:rsidR="002B3BBC" w:rsidRPr="00092862">
              <w:rPr>
                <w:rFonts w:ascii="Times New Roman" w:eastAsia="宋体" w:hAnsi="Times New Roman" w:cs="Times New Roman"/>
                <w:color w:val="000000" w:themeColor="text1"/>
                <w:szCs w:val="21"/>
              </w:rPr>
              <w:t>完</w:t>
            </w:r>
            <w:r w:rsidRPr="00092862">
              <w:rPr>
                <w:rFonts w:ascii="Times New Roman" w:eastAsia="宋体" w:hAnsi="Times New Roman" w:cs="Times New Roman"/>
                <w:color w:val="000000" w:themeColor="text1"/>
                <w:szCs w:val="21"/>
              </w:rPr>
              <w:t>井工程</w:t>
            </w:r>
          </w:p>
        </w:tc>
        <w:tc>
          <w:tcPr>
            <w:tcW w:w="963" w:type="pct"/>
            <w:vAlign w:val="center"/>
          </w:tcPr>
          <w:p w14:paraId="67966B3C"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钻前工程</w:t>
            </w:r>
          </w:p>
        </w:tc>
        <w:tc>
          <w:tcPr>
            <w:tcW w:w="3396" w:type="pct"/>
            <w:vAlign w:val="center"/>
          </w:tcPr>
          <w:p w14:paraId="109CDD87"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破坏植被，改变自然地形地貌，占用土地，改变土地利用现状，新增水土流失。建设过程中车辆运行噪声、扬尘，废水和生活垃圾等</w:t>
            </w:r>
          </w:p>
        </w:tc>
      </w:tr>
      <w:tr w:rsidR="00697429" w:rsidRPr="00092862" w14:paraId="6D4B9E11" w14:textId="77777777" w:rsidTr="001213B6">
        <w:trPr>
          <w:trHeight w:val="17"/>
          <w:jc w:val="center"/>
        </w:trPr>
        <w:tc>
          <w:tcPr>
            <w:tcW w:w="307" w:type="pct"/>
            <w:vMerge/>
            <w:vAlign w:val="center"/>
          </w:tcPr>
          <w:p w14:paraId="1713F71C"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334" w:type="pct"/>
            <w:vMerge/>
            <w:vAlign w:val="center"/>
          </w:tcPr>
          <w:p w14:paraId="73FBBE04"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963" w:type="pct"/>
            <w:vAlign w:val="center"/>
          </w:tcPr>
          <w:p w14:paraId="1BB59F49" w14:textId="65EF4239"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w:t>
            </w:r>
            <w:r w:rsidR="002B3BBC" w:rsidRPr="00092862">
              <w:rPr>
                <w:rFonts w:ascii="Times New Roman" w:eastAsia="宋体" w:hAnsi="Times New Roman" w:cs="Times New Roman"/>
                <w:color w:val="000000" w:themeColor="text1"/>
                <w:szCs w:val="21"/>
              </w:rPr>
              <w:t>完</w:t>
            </w:r>
            <w:r w:rsidRPr="00092862">
              <w:rPr>
                <w:rFonts w:ascii="Times New Roman" w:eastAsia="宋体" w:hAnsi="Times New Roman" w:cs="Times New Roman"/>
                <w:color w:val="000000" w:themeColor="text1"/>
                <w:szCs w:val="21"/>
              </w:rPr>
              <w:t>井工程</w:t>
            </w:r>
          </w:p>
        </w:tc>
        <w:tc>
          <w:tcPr>
            <w:tcW w:w="3396" w:type="pct"/>
            <w:vAlign w:val="center"/>
          </w:tcPr>
          <w:p w14:paraId="21AC6280" w14:textId="00E2E670"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钻井废水</w:t>
            </w:r>
            <w:r w:rsidR="00D44445" w:rsidRPr="00092862">
              <w:rPr>
                <w:rFonts w:ascii="Times New Roman" w:eastAsia="宋体" w:hAnsi="Times New Roman" w:cs="Times New Roman"/>
                <w:color w:val="000000" w:themeColor="text1"/>
                <w:szCs w:val="21"/>
              </w:rPr>
              <w:t>、洗井废水、压裂返排液、初期雨水</w:t>
            </w:r>
            <w:r w:rsidRPr="00092862">
              <w:rPr>
                <w:rFonts w:ascii="Times New Roman" w:eastAsia="宋体" w:hAnsi="Times New Roman" w:cs="Times New Roman"/>
                <w:color w:val="000000" w:themeColor="text1"/>
                <w:szCs w:val="21"/>
              </w:rPr>
              <w:t>、生活污水；钻井岩屑、废泥浆及生活垃圾等；泥浆泵、钻机等设备噪声</w:t>
            </w:r>
          </w:p>
        </w:tc>
      </w:tr>
      <w:tr w:rsidR="00697429" w:rsidRPr="00092862" w14:paraId="072E83AD" w14:textId="77777777" w:rsidTr="001213B6">
        <w:trPr>
          <w:trHeight w:val="17"/>
          <w:jc w:val="center"/>
        </w:trPr>
        <w:tc>
          <w:tcPr>
            <w:tcW w:w="307" w:type="pct"/>
            <w:vMerge/>
            <w:vAlign w:val="center"/>
          </w:tcPr>
          <w:p w14:paraId="2F54D752"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334" w:type="pct"/>
            <w:vMerge/>
            <w:vAlign w:val="center"/>
          </w:tcPr>
          <w:p w14:paraId="64D531BD"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963" w:type="pct"/>
            <w:vAlign w:val="center"/>
          </w:tcPr>
          <w:p w14:paraId="61E20E67"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原材料运输</w:t>
            </w:r>
          </w:p>
        </w:tc>
        <w:tc>
          <w:tcPr>
            <w:tcW w:w="3396" w:type="pct"/>
            <w:vAlign w:val="center"/>
          </w:tcPr>
          <w:p w14:paraId="384F7117"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运输车辆产生尾气、噪声和扬尘；</w:t>
            </w:r>
          </w:p>
          <w:p w14:paraId="5AB259DE"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临时料场占用土地，短期影响土地的使用功能或类型</w:t>
            </w:r>
          </w:p>
        </w:tc>
      </w:tr>
      <w:tr w:rsidR="00697429" w:rsidRPr="00092862" w14:paraId="726B1F84" w14:textId="77777777" w:rsidTr="001213B6">
        <w:trPr>
          <w:trHeight w:val="17"/>
          <w:jc w:val="center"/>
        </w:trPr>
        <w:tc>
          <w:tcPr>
            <w:tcW w:w="307" w:type="pct"/>
            <w:vMerge/>
            <w:vAlign w:val="center"/>
          </w:tcPr>
          <w:p w14:paraId="1E7E3826"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334" w:type="pct"/>
            <w:vMerge/>
            <w:vAlign w:val="center"/>
          </w:tcPr>
          <w:p w14:paraId="6B3CDB66"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963" w:type="pct"/>
            <w:vAlign w:val="center"/>
          </w:tcPr>
          <w:p w14:paraId="18B9D0D8"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施工机械操作</w:t>
            </w:r>
          </w:p>
        </w:tc>
        <w:tc>
          <w:tcPr>
            <w:tcW w:w="3396" w:type="pct"/>
            <w:vAlign w:val="center"/>
          </w:tcPr>
          <w:p w14:paraId="2B8D9A74"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产生机械尾气和噪声</w:t>
            </w:r>
          </w:p>
        </w:tc>
      </w:tr>
      <w:tr w:rsidR="00697429" w:rsidRPr="00092862" w14:paraId="35199847" w14:textId="77777777" w:rsidTr="001213B6">
        <w:trPr>
          <w:trHeight w:val="17"/>
          <w:jc w:val="center"/>
        </w:trPr>
        <w:tc>
          <w:tcPr>
            <w:tcW w:w="307" w:type="pct"/>
            <w:vMerge/>
            <w:vAlign w:val="center"/>
          </w:tcPr>
          <w:p w14:paraId="110C4F31"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334" w:type="pct"/>
            <w:vMerge/>
            <w:vAlign w:val="center"/>
          </w:tcPr>
          <w:p w14:paraId="2046B6A3"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963" w:type="pct"/>
            <w:vAlign w:val="center"/>
          </w:tcPr>
          <w:p w14:paraId="51C52CC6" w14:textId="16D0CAA5" w:rsidR="00D845ED" w:rsidRPr="00092862" w:rsidRDefault="00D845ED" w:rsidP="00AD0E8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施工便道建设及使用</w:t>
            </w:r>
          </w:p>
        </w:tc>
        <w:tc>
          <w:tcPr>
            <w:tcW w:w="3396" w:type="pct"/>
            <w:vAlign w:val="center"/>
          </w:tcPr>
          <w:p w14:paraId="1453764F"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临时占用部分土地，产生扬尘及噪声；</w:t>
            </w:r>
          </w:p>
          <w:p w14:paraId="60EE6806"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施工结束后恢复，不改变土地利用的原有功能</w:t>
            </w:r>
          </w:p>
        </w:tc>
      </w:tr>
      <w:tr w:rsidR="00697429" w:rsidRPr="00092862" w14:paraId="5CFA2446" w14:textId="77777777" w:rsidTr="001213B6">
        <w:trPr>
          <w:trHeight w:val="17"/>
          <w:jc w:val="center"/>
        </w:trPr>
        <w:tc>
          <w:tcPr>
            <w:tcW w:w="307" w:type="pct"/>
            <w:vMerge/>
            <w:vAlign w:val="center"/>
          </w:tcPr>
          <w:p w14:paraId="31F3BD6D"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334" w:type="pct"/>
            <w:vMerge/>
            <w:vAlign w:val="center"/>
          </w:tcPr>
          <w:p w14:paraId="6EB6CC12"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963" w:type="pct"/>
            <w:vAlign w:val="center"/>
          </w:tcPr>
          <w:p w14:paraId="75BFC7B2"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施工人员日常生活</w:t>
            </w:r>
          </w:p>
        </w:tc>
        <w:tc>
          <w:tcPr>
            <w:tcW w:w="3396" w:type="pct"/>
            <w:vAlign w:val="center"/>
          </w:tcPr>
          <w:p w14:paraId="595CECED"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施工人员生活污水、生活垃圾产排</w:t>
            </w:r>
          </w:p>
        </w:tc>
      </w:tr>
      <w:tr w:rsidR="00697429" w:rsidRPr="00092862" w14:paraId="37A7A186" w14:textId="77777777" w:rsidTr="001213B6">
        <w:trPr>
          <w:trHeight w:val="17"/>
          <w:jc w:val="center"/>
        </w:trPr>
        <w:tc>
          <w:tcPr>
            <w:tcW w:w="307" w:type="pct"/>
            <w:vMerge/>
            <w:vAlign w:val="center"/>
          </w:tcPr>
          <w:p w14:paraId="034E8C04"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334" w:type="pct"/>
            <w:vMerge/>
            <w:vAlign w:val="center"/>
          </w:tcPr>
          <w:p w14:paraId="775E2F38" w14:textId="77777777" w:rsidR="00D845ED" w:rsidRPr="00092862" w:rsidRDefault="00D845ED" w:rsidP="003F1F64">
            <w:pPr>
              <w:jc w:val="center"/>
              <w:rPr>
                <w:rFonts w:ascii="Times New Roman" w:eastAsia="宋体" w:hAnsi="Times New Roman" w:cs="Times New Roman"/>
                <w:color w:val="000000" w:themeColor="text1"/>
                <w:szCs w:val="21"/>
              </w:rPr>
            </w:pPr>
          </w:p>
        </w:tc>
        <w:tc>
          <w:tcPr>
            <w:tcW w:w="963" w:type="pct"/>
            <w:vAlign w:val="center"/>
          </w:tcPr>
          <w:p w14:paraId="73467945" w14:textId="77777777"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施工作业场地</w:t>
            </w:r>
          </w:p>
        </w:tc>
        <w:tc>
          <w:tcPr>
            <w:tcW w:w="3396" w:type="pct"/>
            <w:vAlign w:val="center"/>
          </w:tcPr>
          <w:p w14:paraId="71A73BA2" w14:textId="193094AB" w:rsidR="00D845ED" w:rsidRPr="00092862" w:rsidRDefault="00D845ED"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临时占用部分土地</w:t>
            </w:r>
            <w:r w:rsidR="00B949D8" w:rsidRPr="00092862">
              <w:rPr>
                <w:rFonts w:ascii="Times New Roman" w:eastAsia="宋体" w:hAnsi="Times New Roman" w:cs="Times New Roman"/>
                <w:color w:val="000000" w:themeColor="text1"/>
                <w:szCs w:val="21"/>
              </w:rPr>
              <w:t>（仅施工期生活区临时占地涉及新增占地）</w:t>
            </w:r>
            <w:r w:rsidRPr="00092862">
              <w:rPr>
                <w:rFonts w:ascii="Times New Roman" w:eastAsia="宋体" w:hAnsi="Times New Roman" w:cs="Times New Roman"/>
                <w:color w:val="000000" w:themeColor="text1"/>
                <w:szCs w:val="21"/>
              </w:rPr>
              <w:t>，短期影响土地的使用功能或类型，破坏生态环境</w:t>
            </w:r>
          </w:p>
        </w:tc>
      </w:tr>
      <w:tr w:rsidR="00697429" w:rsidRPr="00092862" w14:paraId="64677F8B" w14:textId="77777777" w:rsidTr="001213B6">
        <w:trPr>
          <w:trHeight w:val="17"/>
          <w:jc w:val="center"/>
        </w:trPr>
        <w:tc>
          <w:tcPr>
            <w:tcW w:w="307" w:type="pct"/>
            <w:vAlign w:val="center"/>
          </w:tcPr>
          <w:p w14:paraId="2B40A2EB" w14:textId="153960C4" w:rsidR="002B3BBC" w:rsidRPr="00092862" w:rsidRDefault="002B3BBC" w:rsidP="007C52B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运营期</w:t>
            </w:r>
          </w:p>
        </w:tc>
        <w:tc>
          <w:tcPr>
            <w:tcW w:w="1297" w:type="pct"/>
            <w:gridSpan w:val="2"/>
            <w:vAlign w:val="center"/>
          </w:tcPr>
          <w:p w14:paraId="69B6D7F4" w14:textId="2F9BAB85" w:rsidR="002B3BBC" w:rsidRPr="00092862" w:rsidRDefault="003C3238" w:rsidP="002B3BBC">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w:t>
            </w:r>
            <w:r w:rsidR="00F30AFD" w:rsidRPr="00092862">
              <w:rPr>
                <w:rFonts w:ascii="Times New Roman" w:eastAsia="宋体" w:hAnsi="Times New Roman" w:cs="Times New Roman"/>
                <w:color w:val="000000" w:themeColor="text1"/>
                <w:szCs w:val="21"/>
              </w:rPr>
              <w:t>集气站</w:t>
            </w:r>
          </w:p>
        </w:tc>
        <w:tc>
          <w:tcPr>
            <w:tcW w:w="3396" w:type="pct"/>
            <w:vAlign w:val="center"/>
          </w:tcPr>
          <w:p w14:paraId="6D2BEF74" w14:textId="77777777" w:rsidR="002B3BBC" w:rsidRPr="00092862" w:rsidRDefault="002B3BBC" w:rsidP="002B3BBC">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废水：采气初期返排液；天然气试采产生气田水；</w:t>
            </w:r>
          </w:p>
          <w:p w14:paraId="498E3677" w14:textId="5E4CDA2D" w:rsidR="002B3BBC" w:rsidRPr="00092862" w:rsidRDefault="002B3BBC" w:rsidP="002B3BBC">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废气：水套加热炉废气、放空火炬长明灯废气、异常工况下</w:t>
            </w:r>
            <w:r w:rsidR="000140A5" w:rsidRPr="00092862">
              <w:rPr>
                <w:rFonts w:ascii="Times New Roman" w:eastAsia="宋体" w:hAnsi="Times New Roman" w:cs="Times New Roman"/>
                <w:color w:val="000000" w:themeColor="text1"/>
                <w:szCs w:val="21"/>
              </w:rPr>
              <w:lastRenderedPageBreak/>
              <w:t>站场</w:t>
            </w:r>
            <w:r w:rsidRPr="00092862">
              <w:rPr>
                <w:rFonts w:ascii="Times New Roman" w:eastAsia="宋体" w:hAnsi="Times New Roman" w:cs="Times New Roman"/>
                <w:color w:val="000000" w:themeColor="text1"/>
                <w:szCs w:val="21"/>
              </w:rPr>
              <w:t>检修排放的少量天然气以及超压放空排放废气；</w:t>
            </w:r>
          </w:p>
          <w:p w14:paraId="6FCC60D9" w14:textId="2C4A8855" w:rsidR="002B3BBC" w:rsidRPr="00092862" w:rsidRDefault="002B3BBC" w:rsidP="002B3BBC">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噪声：水套加热炉、</w:t>
            </w:r>
            <w:r w:rsidR="000140A5" w:rsidRPr="00092862">
              <w:rPr>
                <w:rFonts w:ascii="Times New Roman" w:eastAsia="宋体" w:hAnsi="Times New Roman" w:cs="Times New Roman"/>
                <w:color w:val="000000" w:themeColor="text1"/>
                <w:szCs w:val="21"/>
              </w:rPr>
              <w:t>分酸分离器</w:t>
            </w:r>
            <w:r w:rsidRPr="00092862">
              <w:rPr>
                <w:rFonts w:ascii="Times New Roman" w:eastAsia="宋体" w:hAnsi="Times New Roman" w:cs="Times New Roman"/>
                <w:color w:val="000000" w:themeColor="text1"/>
                <w:szCs w:val="21"/>
              </w:rPr>
              <w:t>、节流阀噪声等设施运行产生的噪声；</w:t>
            </w:r>
          </w:p>
          <w:p w14:paraId="0EAC5B12" w14:textId="464EB151" w:rsidR="002B3BBC" w:rsidRPr="00092862" w:rsidRDefault="002B3BBC" w:rsidP="002B3BBC">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w:t>
            </w:r>
            <w:r w:rsidR="007C52BF" w:rsidRPr="00092862">
              <w:rPr>
                <w:rFonts w:ascii="Times New Roman" w:eastAsia="宋体" w:hAnsi="Times New Roman" w:cs="Times New Roman"/>
                <w:color w:val="000000" w:themeColor="text1"/>
                <w:szCs w:val="21"/>
              </w:rPr>
              <w:t>生活垃圾与清管废渣</w:t>
            </w:r>
            <w:r w:rsidRPr="00092862">
              <w:rPr>
                <w:rFonts w:ascii="Times New Roman" w:eastAsia="宋体" w:hAnsi="Times New Roman" w:cs="Times New Roman"/>
                <w:color w:val="000000" w:themeColor="text1"/>
                <w:szCs w:val="21"/>
              </w:rPr>
              <w:t>；</w:t>
            </w:r>
          </w:p>
          <w:p w14:paraId="38B3CA5F" w14:textId="3CCF2BF5" w:rsidR="002B3BBC" w:rsidRPr="00092862" w:rsidRDefault="002B3BBC" w:rsidP="002B3BBC">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环境风险事故：</w:t>
            </w:r>
            <w:r w:rsidR="000140A5" w:rsidRPr="00092862">
              <w:rPr>
                <w:rFonts w:ascii="Times New Roman" w:eastAsia="宋体" w:hAnsi="Times New Roman" w:cs="Times New Roman"/>
                <w:color w:val="000000" w:themeColor="text1"/>
                <w:szCs w:val="21"/>
              </w:rPr>
              <w:t>钻井阶段井喷风险事故等；站内</w:t>
            </w:r>
            <w:r w:rsidRPr="00092862">
              <w:rPr>
                <w:rFonts w:ascii="Times New Roman" w:eastAsia="宋体" w:hAnsi="Times New Roman" w:cs="Times New Roman"/>
                <w:color w:val="000000" w:themeColor="text1"/>
                <w:szCs w:val="21"/>
              </w:rPr>
              <w:t>管线</w:t>
            </w:r>
            <w:r w:rsidR="00B949D8" w:rsidRPr="00092862">
              <w:rPr>
                <w:rFonts w:ascii="Times New Roman" w:eastAsia="宋体" w:hAnsi="Times New Roman" w:cs="Times New Roman"/>
                <w:color w:val="000000" w:themeColor="text1"/>
                <w:szCs w:val="21"/>
              </w:rPr>
              <w:t>、设备</w:t>
            </w:r>
            <w:r w:rsidRPr="00092862">
              <w:rPr>
                <w:rFonts w:ascii="Times New Roman" w:eastAsia="宋体" w:hAnsi="Times New Roman" w:cs="Times New Roman"/>
                <w:color w:val="000000" w:themeColor="text1"/>
                <w:szCs w:val="21"/>
              </w:rPr>
              <w:t>发生泄漏、火灾、爆炸事故对周围环境和人员的影响；非正常生产时，系统超压和站场检修时经放空装置直接排放的天然气燃烧后排放的废气</w:t>
            </w:r>
          </w:p>
        </w:tc>
      </w:tr>
    </w:tbl>
    <w:p w14:paraId="0726E36C" w14:textId="1F78C8D3" w:rsidR="00D845ED" w:rsidRPr="00092862" w:rsidRDefault="00D845ED" w:rsidP="00D845ED">
      <w:pPr>
        <w:pStyle w:val="afffff6"/>
        <w:ind w:firstLine="480"/>
        <w:rPr>
          <w:color w:val="000000" w:themeColor="text1"/>
        </w:rPr>
      </w:pPr>
      <w:r w:rsidRPr="00092862">
        <w:rPr>
          <w:color w:val="000000" w:themeColor="text1"/>
        </w:rPr>
        <w:t>根据环境影响矩阵表，分析环境影响因子的影响类型和影响程度，其结果见表</w:t>
      </w:r>
      <w:r w:rsidR="006E70A7" w:rsidRPr="00092862">
        <w:rPr>
          <w:color w:val="000000" w:themeColor="text1"/>
        </w:rPr>
        <w:t>2.4-2</w:t>
      </w:r>
      <w:r w:rsidRPr="00092862">
        <w:rPr>
          <w:color w:val="000000" w:themeColor="text1"/>
        </w:rPr>
        <w:t>。</w:t>
      </w:r>
    </w:p>
    <w:p w14:paraId="6DFE1089" w14:textId="3D4AFD0D" w:rsidR="00D845ED" w:rsidRPr="00092862" w:rsidRDefault="00D845ED"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6E70A7" w:rsidRPr="00092862">
        <w:rPr>
          <w:rFonts w:ascii="Times New Roman" w:eastAsia="黑体" w:hAnsi="Times New Roman"/>
          <w:color w:val="000000" w:themeColor="text1"/>
          <w:sz w:val="21"/>
          <w:szCs w:val="21"/>
          <w:lang w:eastAsia="zh-CN"/>
        </w:rPr>
        <w:t>2.4-2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环境影响要素矩阵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0"/>
        <w:gridCol w:w="1340"/>
        <w:gridCol w:w="556"/>
        <w:gridCol w:w="556"/>
        <w:gridCol w:w="556"/>
        <w:gridCol w:w="481"/>
        <w:gridCol w:w="534"/>
        <w:gridCol w:w="431"/>
        <w:gridCol w:w="559"/>
        <w:gridCol w:w="562"/>
        <w:gridCol w:w="562"/>
        <w:gridCol w:w="559"/>
        <w:gridCol w:w="559"/>
        <w:gridCol w:w="551"/>
      </w:tblGrid>
      <w:tr w:rsidR="00697429" w:rsidRPr="00092862" w14:paraId="068236FF" w14:textId="77777777" w:rsidTr="006059E5">
        <w:trPr>
          <w:trHeight w:val="18"/>
          <w:jc w:val="center"/>
        </w:trPr>
        <w:tc>
          <w:tcPr>
            <w:tcW w:w="295" w:type="pct"/>
            <w:vMerge w:val="restart"/>
            <w:vAlign w:val="center"/>
          </w:tcPr>
          <w:p w14:paraId="46CD5C05"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类别</w:t>
            </w:r>
          </w:p>
        </w:tc>
        <w:tc>
          <w:tcPr>
            <w:tcW w:w="807" w:type="pct"/>
            <w:vMerge w:val="restart"/>
            <w:vAlign w:val="center"/>
          </w:tcPr>
          <w:p w14:paraId="4F4FF638"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环境因子</w:t>
            </w:r>
          </w:p>
        </w:tc>
        <w:tc>
          <w:tcPr>
            <w:tcW w:w="1294" w:type="pct"/>
            <w:gridSpan w:val="4"/>
            <w:vAlign w:val="center"/>
          </w:tcPr>
          <w:p w14:paraId="49A5AA58"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工程施工</w:t>
            </w:r>
          </w:p>
        </w:tc>
        <w:tc>
          <w:tcPr>
            <w:tcW w:w="1258" w:type="pct"/>
            <w:gridSpan w:val="4"/>
            <w:vAlign w:val="center"/>
          </w:tcPr>
          <w:p w14:paraId="7384D04D"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正常运行</w:t>
            </w:r>
          </w:p>
        </w:tc>
        <w:tc>
          <w:tcPr>
            <w:tcW w:w="1345" w:type="pct"/>
            <w:gridSpan w:val="4"/>
            <w:vAlign w:val="center"/>
          </w:tcPr>
          <w:p w14:paraId="49380E1C"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非正常工况</w:t>
            </w:r>
          </w:p>
        </w:tc>
      </w:tr>
      <w:tr w:rsidR="00697429" w:rsidRPr="00092862" w14:paraId="7F2A8BA9" w14:textId="77777777" w:rsidTr="006059E5">
        <w:trPr>
          <w:trHeight w:val="18"/>
          <w:jc w:val="center"/>
        </w:trPr>
        <w:tc>
          <w:tcPr>
            <w:tcW w:w="295" w:type="pct"/>
            <w:vMerge/>
            <w:vAlign w:val="center"/>
          </w:tcPr>
          <w:p w14:paraId="4C847A8D" w14:textId="77777777" w:rsidR="00D845ED" w:rsidRPr="00092862" w:rsidRDefault="00D845ED" w:rsidP="003F1F64">
            <w:pPr>
              <w:jc w:val="center"/>
              <w:rPr>
                <w:rFonts w:ascii="Times New Roman" w:hAnsi="Times New Roman" w:cs="Times New Roman"/>
                <w:b/>
                <w:bCs/>
                <w:color w:val="000000" w:themeColor="text1"/>
              </w:rPr>
            </w:pPr>
          </w:p>
        </w:tc>
        <w:tc>
          <w:tcPr>
            <w:tcW w:w="807" w:type="pct"/>
            <w:vMerge/>
            <w:vAlign w:val="center"/>
          </w:tcPr>
          <w:p w14:paraId="115E499E" w14:textId="77777777" w:rsidR="00D845ED" w:rsidRPr="00092862" w:rsidRDefault="00D845ED" w:rsidP="003F1F64">
            <w:pPr>
              <w:jc w:val="center"/>
              <w:rPr>
                <w:rFonts w:ascii="Times New Roman" w:hAnsi="Times New Roman" w:cs="Times New Roman"/>
                <w:b/>
                <w:bCs/>
                <w:color w:val="000000" w:themeColor="text1"/>
              </w:rPr>
            </w:pPr>
          </w:p>
        </w:tc>
        <w:tc>
          <w:tcPr>
            <w:tcW w:w="335" w:type="pct"/>
            <w:vAlign w:val="center"/>
          </w:tcPr>
          <w:p w14:paraId="693AF66E"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有利</w:t>
            </w:r>
          </w:p>
          <w:p w14:paraId="160CD778"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tc>
        <w:tc>
          <w:tcPr>
            <w:tcW w:w="335" w:type="pct"/>
            <w:vAlign w:val="center"/>
          </w:tcPr>
          <w:p w14:paraId="05B2D397"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不利</w:t>
            </w:r>
          </w:p>
          <w:p w14:paraId="386BF5CA"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tc>
        <w:tc>
          <w:tcPr>
            <w:tcW w:w="335" w:type="pct"/>
            <w:vAlign w:val="center"/>
          </w:tcPr>
          <w:p w14:paraId="20C10720"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p w14:paraId="283B07B4"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较大</w:t>
            </w:r>
          </w:p>
        </w:tc>
        <w:tc>
          <w:tcPr>
            <w:tcW w:w="290" w:type="pct"/>
            <w:vAlign w:val="center"/>
          </w:tcPr>
          <w:p w14:paraId="7BA35D41"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p w14:paraId="453D70C9"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较轻</w:t>
            </w:r>
          </w:p>
        </w:tc>
        <w:tc>
          <w:tcPr>
            <w:tcW w:w="322" w:type="pct"/>
            <w:vAlign w:val="center"/>
          </w:tcPr>
          <w:p w14:paraId="611CB7B1"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有利</w:t>
            </w:r>
          </w:p>
          <w:p w14:paraId="25BFF7FD"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tc>
        <w:tc>
          <w:tcPr>
            <w:tcW w:w="260" w:type="pct"/>
            <w:vAlign w:val="center"/>
          </w:tcPr>
          <w:p w14:paraId="509973F5"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不利</w:t>
            </w:r>
          </w:p>
          <w:p w14:paraId="2A02700C"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tc>
        <w:tc>
          <w:tcPr>
            <w:tcW w:w="337" w:type="pct"/>
            <w:vAlign w:val="center"/>
          </w:tcPr>
          <w:p w14:paraId="3A91415E"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p w14:paraId="71859826"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较大</w:t>
            </w:r>
          </w:p>
        </w:tc>
        <w:tc>
          <w:tcPr>
            <w:tcW w:w="339" w:type="pct"/>
            <w:vAlign w:val="center"/>
          </w:tcPr>
          <w:p w14:paraId="2D2AE450"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p w14:paraId="6185AA4D"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较轻</w:t>
            </w:r>
          </w:p>
        </w:tc>
        <w:tc>
          <w:tcPr>
            <w:tcW w:w="339" w:type="pct"/>
            <w:vAlign w:val="center"/>
          </w:tcPr>
          <w:p w14:paraId="5FE3329F"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有利</w:t>
            </w:r>
          </w:p>
          <w:p w14:paraId="2A19F81F"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tc>
        <w:tc>
          <w:tcPr>
            <w:tcW w:w="337" w:type="pct"/>
            <w:vAlign w:val="center"/>
          </w:tcPr>
          <w:p w14:paraId="4150887D"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不利</w:t>
            </w:r>
          </w:p>
          <w:p w14:paraId="49910B56"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tc>
        <w:tc>
          <w:tcPr>
            <w:tcW w:w="337" w:type="pct"/>
            <w:vAlign w:val="center"/>
          </w:tcPr>
          <w:p w14:paraId="5C6CB99B"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p w14:paraId="52196791"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较大</w:t>
            </w:r>
          </w:p>
        </w:tc>
        <w:tc>
          <w:tcPr>
            <w:tcW w:w="332" w:type="pct"/>
            <w:vAlign w:val="center"/>
          </w:tcPr>
          <w:p w14:paraId="33A713F9"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影响</w:t>
            </w:r>
          </w:p>
          <w:p w14:paraId="2BB5F952" w14:textId="77777777" w:rsidR="00D845ED" w:rsidRPr="00092862" w:rsidRDefault="00D845ED" w:rsidP="003F1F64">
            <w:pPr>
              <w:jc w:val="center"/>
              <w:rPr>
                <w:rFonts w:ascii="Times New Roman" w:hAnsi="Times New Roman" w:cs="Times New Roman"/>
                <w:b/>
                <w:bCs/>
                <w:color w:val="000000" w:themeColor="text1"/>
              </w:rPr>
            </w:pPr>
            <w:r w:rsidRPr="00092862">
              <w:rPr>
                <w:rFonts w:ascii="Times New Roman" w:hAnsi="Times New Roman" w:cs="Times New Roman"/>
                <w:b/>
                <w:bCs/>
                <w:color w:val="000000" w:themeColor="text1"/>
              </w:rPr>
              <w:t>较轻</w:t>
            </w:r>
          </w:p>
        </w:tc>
      </w:tr>
      <w:tr w:rsidR="00697429" w:rsidRPr="00092862" w14:paraId="0E90A499" w14:textId="77777777" w:rsidTr="006059E5">
        <w:trPr>
          <w:trHeight w:val="18"/>
          <w:jc w:val="center"/>
        </w:trPr>
        <w:tc>
          <w:tcPr>
            <w:tcW w:w="295" w:type="pct"/>
            <w:vMerge w:val="restart"/>
            <w:vAlign w:val="center"/>
          </w:tcPr>
          <w:p w14:paraId="1E3CE08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环境质量</w:t>
            </w:r>
          </w:p>
        </w:tc>
        <w:tc>
          <w:tcPr>
            <w:tcW w:w="807" w:type="pct"/>
            <w:vAlign w:val="center"/>
          </w:tcPr>
          <w:p w14:paraId="207EB147"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地表水</w:t>
            </w:r>
          </w:p>
        </w:tc>
        <w:tc>
          <w:tcPr>
            <w:tcW w:w="335" w:type="pct"/>
            <w:vAlign w:val="center"/>
          </w:tcPr>
          <w:p w14:paraId="3763AB8A"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05B89033"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14809772"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243EBC9E"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15D6C8D3"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6BE30ECE"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00BBF1F8"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453E77C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9" w:type="pct"/>
            <w:vAlign w:val="center"/>
          </w:tcPr>
          <w:p w14:paraId="08851DF4"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75DADBB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682C505A"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07136830"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174FE098" w14:textId="77777777" w:rsidTr="006059E5">
        <w:trPr>
          <w:trHeight w:val="18"/>
          <w:jc w:val="center"/>
        </w:trPr>
        <w:tc>
          <w:tcPr>
            <w:tcW w:w="295" w:type="pct"/>
            <w:vMerge/>
            <w:vAlign w:val="center"/>
          </w:tcPr>
          <w:p w14:paraId="5E074D09"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592328B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环境空气</w:t>
            </w:r>
          </w:p>
        </w:tc>
        <w:tc>
          <w:tcPr>
            <w:tcW w:w="335" w:type="pct"/>
            <w:vAlign w:val="center"/>
          </w:tcPr>
          <w:p w14:paraId="34DEA5AA"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5C863DC7"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24FCDF06"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1404B9F5"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145E9824"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0BFF500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5CAE0A29"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1BC8BD2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9" w:type="pct"/>
            <w:vAlign w:val="center"/>
          </w:tcPr>
          <w:p w14:paraId="7F0C8CF3"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F88510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4B99FC1F"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2" w:type="pct"/>
            <w:vAlign w:val="center"/>
          </w:tcPr>
          <w:p w14:paraId="6D6A0507"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2649986A" w14:textId="77777777" w:rsidTr="006059E5">
        <w:trPr>
          <w:trHeight w:val="18"/>
          <w:jc w:val="center"/>
        </w:trPr>
        <w:tc>
          <w:tcPr>
            <w:tcW w:w="295" w:type="pct"/>
            <w:vMerge/>
            <w:vAlign w:val="center"/>
          </w:tcPr>
          <w:p w14:paraId="6E67F537"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2537428E"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声环境</w:t>
            </w:r>
          </w:p>
        </w:tc>
        <w:tc>
          <w:tcPr>
            <w:tcW w:w="335" w:type="pct"/>
            <w:vAlign w:val="center"/>
          </w:tcPr>
          <w:p w14:paraId="540119ED"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494C78DB"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15C548A5"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4C80A8A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7ED3BA4D"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1B9F2ACA"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443942F3"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63CA4DA0"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9" w:type="pct"/>
            <w:vAlign w:val="center"/>
          </w:tcPr>
          <w:p w14:paraId="6310DBCC"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8CD17C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0F16BC29"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763D3C9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72A0212C" w14:textId="77777777" w:rsidTr="006059E5">
        <w:trPr>
          <w:trHeight w:val="18"/>
          <w:jc w:val="center"/>
        </w:trPr>
        <w:tc>
          <w:tcPr>
            <w:tcW w:w="295" w:type="pct"/>
            <w:vMerge w:val="restart"/>
            <w:vAlign w:val="center"/>
          </w:tcPr>
          <w:p w14:paraId="7068D93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自然生态环境</w:t>
            </w:r>
          </w:p>
        </w:tc>
        <w:tc>
          <w:tcPr>
            <w:tcW w:w="807" w:type="pct"/>
            <w:vAlign w:val="center"/>
          </w:tcPr>
          <w:p w14:paraId="01623AD3"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地形地貌</w:t>
            </w:r>
          </w:p>
        </w:tc>
        <w:tc>
          <w:tcPr>
            <w:tcW w:w="335" w:type="pct"/>
            <w:vAlign w:val="center"/>
          </w:tcPr>
          <w:p w14:paraId="30775F55"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6E911FF0"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50831A48"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50942787"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5EBD4B0B"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1EF4DF82"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332F3107"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3478B93A"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1666BE30"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7E9B024A"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BB3BC55"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594CCEA3"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0E82E768" w14:textId="77777777" w:rsidTr="006059E5">
        <w:trPr>
          <w:trHeight w:val="18"/>
          <w:jc w:val="center"/>
        </w:trPr>
        <w:tc>
          <w:tcPr>
            <w:tcW w:w="295" w:type="pct"/>
            <w:vMerge/>
            <w:vAlign w:val="center"/>
          </w:tcPr>
          <w:p w14:paraId="04258CA6"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2F9172EE"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生态环境</w:t>
            </w:r>
          </w:p>
        </w:tc>
        <w:tc>
          <w:tcPr>
            <w:tcW w:w="335" w:type="pct"/>
            <w:vAlign w:val="center"/>
          </w:tcPr>
          <w:p w14:paraId="79F2D7E5"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7451584F"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6FB5D318"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2D703E6D"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46179511"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11BE933B"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5723010B"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74EBEF31"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9" w:type="pct"/>
            <w:vAlign w:val="center"/>
          </w:tcPr>
          <w:p w14:paraId="1A440FBB"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401C462F"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17BD5D55"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56B23AB4"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5CD45D4A" w14:textId="77777777" w:rsidTr="006059E5">
        <w:trPr>
          <w:trHeight w:val="18"/>
          <w:jc w:val="center"/>
        </w:trPr>
        <w:tc>
          <w:tcPr>
            <w:tcW w:w="295" w:type="pct"/>
            <w:vMerge/>
            <w:vAlign w:val="center"/>
          </w:tcPr>
          <w:p w14:paraId="4EF4365B"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09D6160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土壤</w:t>
            </w:r>
          </w:p>
        </w:tc>
        <w:tc>
          <w:tcPr>
            <w:tcW w:w="335" w:type="pct"/>
            <w:vAlign w:val="center"/>
          </w:tcPr>
          <w:p w14:paraId="7517E3A1"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30849691"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699114E9"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7DDC1F7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00B0C705"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18CFBEBF"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74D55424"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3709DB9B"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103AA88C"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3560B12B"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59797BD6"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2490A9F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6181DD08" w14:textId="77777777" w:rsidTr="006059E5">
        <w:trPr>
          <w:trHeight w:val="18"/>
          <w:jc w:val="center"/>
        </w:trPr>
        <w:tc>
          <w:tcPr>
            <w:tcW w:w="295" w:type="pct"/>
            <w:vMerge/>
            <w:vAlign w:val="center"/>
          </w:tcPr>
          <w:p w14:paraId="5A0BB872"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0EAFE215"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植被</w:t>
            </w:r>
          </w:p>
        </w:tc>
        <w:tc>
          <w:tcPr>
            <w:tcW w:w="335" w:type="pct"/>
            <w:vAlign w:val="center"/>
          </w:tcPr>
          <w:p w14:paraId="0C80EBFD"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48EA10C4"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56921076"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3C8E4FDD"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3A9AB8B0"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5CAC04E3"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4E446735"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313847ED"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572C299C"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54452FB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7D439A53"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25845A1D"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54DC0190" w14:textId="77777777" w:rsidTr="006059E5">
        <w:trPr>
          <w:trHeight w:val="18"/>
          <w:jc w:val="center"/>
        </w:trPr>
        <w:tc>
          <w:tcPr>
            <w:tcW w:w="295" w:type="pct"/>
            <w:vMerge/>
            <w:vAlign w:val="center"/>
          </w:tcPr>
          <w:p w14:paraId="4E095538"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571732F6"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水土流失</w:t>
            </w:r>
          </w:p>
        </w:tc>
        <w:tc>
          <w:tcPr>
            <w:tcW w:w="335" w:type="pct"/>
            <w:vAlign w:val="center"/>
          </w:tcPr>
          <w:p w14:paraId="300AFD9B"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30AFEEEA"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686D450C"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42FEC67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431156D1"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0B3C6C9E"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281F90F6"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5E09039C"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1ADC5423"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1947BBD"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085BBDE8"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42912241"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68F9807A" w14:textId="77777777" w:rsidTr="006059E5">
        <w:trPr>
          <w:trHeight w:val="18"/>
          <w:jc w:val="center"/>
        </w:trPr>
        <w:tc>
          <w:tcPr>
            <w:tcW w:w="295" w:type="pct"/>
            <w:vMerge/>
            <w:vAlign w:val="center"/>
          </w:tcPr>
          <w:p w14:paraId="1734C503"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5E76B371"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土地利用</w:t>
            </w:r>
          </w:p>
        </w:tc>
        <w:tc>
          <w:tcPr>
            <w:tcW w:w="335" w:type="pct"/>
            <w:vAlign w:val="center"/>
          </w:tcPr>
          <w:p w14:paraId="0ACEEE77"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3F9EFAB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5105DE48"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692D3DC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07A80264"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53707CE9"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D74D488"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260A2FBD"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6FD62054"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04A318FA"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0001D603"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617BE47D"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236815C5" w14:textId="77777777" w:rsidTr="006059E5">
        <w:trPr>
          <w:trHeight w:val="18"/>
          <w:jc w:val="center"/>
        </w:trPr>
        <w:tc>
          <w:tcPr>
            <w:tcW w:w="295" w:type="pct"/>
            <w:vMerge w:val="restart"/>
            <w:vAlign w:val="center"/>
          </w:tcPr>
          <w:p w14:paraId="46C2B3B1"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社会环境</w:t>
            </w:r>
          </w:p>
        </w:tc>
        <w:tc>
          <w:tcPr>
            <w:tcW w:w="807" w:type="pct"/>
            <w:vAlign w:val="center"/>
          </w:tcPr>
          <w:p w14:paraId="3674724E"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农业生产</w:t>
            </w:r>
          </w:p>
        </w:tc>
        <w:tc>
          <w:tcPr>
            <w:tcW w:w="335" w:type="pct"/>
            <w:vAlign w:val="center"/>
          </w:tcPr>
          <w:p w14:paraId="2C51EE7B"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5E36BDD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751E0D83"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1CF9591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24DAD265"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79C631C6"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437064E7"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49DBC204"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0EAEF3F7"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68D1FC68"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5ACD0C07"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0753581D"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02F3ACEF" w14:textId="77777777" w:rsidTr="006059E5">
        <w:trPr>
          <w:trHeight w:val="18"/>
          <w:jc w:val="center"/>
        </w:trPr>
        <w:tc>
          <w:tcPr>
            <w:tcW w:w="295" w:type="pct"/>
            <w:vMerge/>
            <w:vAlign w:val="center"/>
          </w:tcPr>
          <w:p w14:paraId="6B17FA1C"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11E2F252"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交通出行</w:t>
            </w:r>
          </w:p>
        </w:tc>
        <w:tc>
          <w:tcPr>
            <w:tcW w:w="335" w:type="pct"/>
            <w:vAlign w:val="center"/>
          </w:tcPr>
          <w:p w14:paraId="4A76E7DD"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4EA9EC57"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67DCA463"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169B618E"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61FA342A"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56B01635"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3C50DF1F"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058C895F"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7B7EC492"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494804AF"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6AE879ED"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739A5675"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5BD3973A" w14:textId="77777777" w:rsidTr="006059E5">
        <w:trPr>
          <w:trHeight w:val="18"/>
          <w:jc w:val="center"/>
        </w:trPr>
        <w:tc>
          <w:tcPr>
            <w:tcW w:w="295" w:type="pct"/>
            <w:vMerge/>
            <w:vAlign w:val="center"/>
          </w:tcPr>
          <w:p w14:paraId="593E0BFD"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3C5EC77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社会经济</w:t>
            </w:r>
          </w:p>
        </w:tc>
        <w:tc>
          <w:tcPr>
            <w:tcW w:w="335" w:type="pct"/>
            <w:vAlign w:val="center"/>
          </w:tcPr>
          <w:p w14:paraId="1B174048"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6609BD0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1EA5C28F"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5825BBF1"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3AA7FE25"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260" w:type="pct"/>
            <w:vAlign w:val="center"/>
          </w:tcPr>
          <w:p w14:paraId="59CD9301"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3E8D64BB"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9" w:type="pct"/>
            <w:vAlign w:val="center"/>
          </w:tcPr>
          <w:p w14:paraId="515E2BD4"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24C45250"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A9688ED"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1C0FB8FA"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2" w:type="pct"/>
            <w:vAlign w:val="center"/>
          </w:tcPr>
          <w:p w14:paraId="2238103C"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4CCA4F77" w14:textId="77777777" w:rsidTr="006059E5">
        <w:trPr>
          <w:trHeight w:val="18"/>
          <w:jc w:val="center"/>
        </w:trPr>
        <w:tc>
          <w:tcPr>
            <w:tcW w:w="295" w:type="pct"/>
            <w:vMerge/>
            <w:vAlign w:val="center"/>
          </w:tcPr>
          <w:p w14:paraId="5F5D6635"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1D26ECCD"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人体健康</w:t>
            </w:r>
          </w:p>
        </w:tc>
        <w:tc>
          <w:tcPr>
            <w:tcW w:w="335" w:type="pct"/>
            <w:vAlign w:val="center"/>
          </w:tcPr>
          <w:p w14:paraId="79573D60"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22DA81F7"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33B89E66"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4CA17556" w14:textId="77777777" w:rsidR="00D845ED" w:rsidRPr="00092862" w:rsidRDefault="00D845ED" w:rsidP="003F1F64">
            <w:pPr>
              <w:jc w:val="center"/>
              <w:rPr>
                <w:rFonts w:ascii="Times New Roman" w:hAnsi="Times New Roman" w:cs="Times New Roman"/>
                <w:color w:val="000000" w:themeColor="text1"/>
              </w:rPr>
            </w:pPr>
          </w:p>
        </w:tc>
        <w:tc>
          <w:tcPr>
            <w:tcW w:w="322" w:type="pct"/>
            <w:vAlign w:val="center"/>
          </w:tcPr>
          <w:p w14:paraId="691F4C9D"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70CB2435"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3C390B27"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736DA16B"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4FD6864C"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73EAF855"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1845D635"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4A377683"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70931DA2" w14:textId="77777777" w:rsidTr="006059E5">
        <w:trPr>
          <w:trHeight w:val="18"/>
          <w:jc w:val="center"/>
        </w:trPr>
        <w:tc>
          <w:tcPr>
            <w:tcW w:w="295" w:type="pct"/>
            <w:vMerge/>
            <w:vAlign w:val="center"/>
          </w:tcPr>
          <w:p w14:paraId="085753D6"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1937F6C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景观</w:t>
            </w:r>
          </w:p>
        </w:tc>
        <w:tc>
          <w:tcPr>
            <w:tcW w:w="335" w:type="pct"/>
            <w:vAlign w:val="center"/>
          </w:tcPr>
          <w:p w14:paraId="13033FC9"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7EB2AF6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5" w:type="pct"/>
            <w:vAlign w:val="center"/>
          </w:tcPr>
          <w:p w14:paraId="2800C54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290" w:type="pct"/>
            <w:vAlign w:val="center"/>
          </w:tcPr>
          <w:p w14:paraId="409D4F85" w14:textId="77777777" w:rsidR="00D845ED" w:rsidRPr="00092862" w:rsidRDefault="00D845ED" w:rsidP="003F1F64">
            <w:pPr>
              <w:jc w:val="center"/>
              <w:rPr>
                <w:rFonts w:ascii="Times New Roman" w:hAnsi="Times New Roman" w:cs="Times New Roman"/>
                <w:color w:val="000000" w:themeColor="text1"/>
              </w:rPr>
            </w:pPr>
          </w:p>
        </w:tc>
        <w:tc>
          <w:tcPr>
            <w:tcW w:w="322" w:type="pct"/>
            <w:vAlign w:val="center"/>
          </w:tcPr>
          <w:p w14:paraId="6E007E86"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2402D963"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1C5A6470"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52CBDC60"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71D237D9"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28B56C0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52FE2D78"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7C234821"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r>
      <w:tr w:rsidR="00697429" w:rsidRPr="00092862" w14:paraId="7565C419" w14:textId="77777777" w:rsidTr="006059E5">
        <w:trPr>
          <w:trHeight w:val="18"/>
          <w:jc w:val="center"/>
        </w:trPr>
        <w:tc>
          <w:tcPr>
            <w:tcW w:w="295" w:type="pct"/>
            <w:vMerge/>
            <w:vAlign w:val="center"/>
          </w:tcPr>
          <w:p w14:paraId="56E4D599"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23E33144"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旅游</w:t>
            </w:r>
          </w:p>
        </w:tc>
        <w:tc>
          <w:tcPr>
            <w:tcW w:w="335" w:type="pct"/>
            <w:vAlign w:val="center"/>
          </w:tcPr>
          <w:p w14:paraId="5DE5B9A5"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510FD4C5"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67625DA2"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43AF0869"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22" w:type="pct"/>
            <w:vAlign w:val="center"/>
          </w:tcPr>
          <w:p w14:paraId="2CE287F3" w14:textId="77777777" w:rsidR="00D845ED" w:rsidRPr="00092862" w:rsidRDefault="00D845ED" w:rsidP="003F1F64">
            <w:pPr>
              <w:jc w:val="center"/>
              <w:rPr>
                <w:rFonts w:ascii="Times New Roman" w:hAnsi="Times New Roman" w:cs="Times New Roman"/>
                <w:color w:val="000000" w:themeColor="text1"/>
              </w:rPr>
            </w:pPr>
          </w:p>
        </w:tc>
        <w:tc>
          <w:tcPr>
            <w:tcW w:w="260" w:type="pct"/>
            <w:vAlign w:val="center"/>
          </w:tcPr>
          <w:p w14:paraId="09864D06"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00458732"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06603C7E"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34FD7183"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79F8783A"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7" w:type="pct"/>
            <w:vAlign w:val="center"/>
          </w:tcPr>
          <w:p w14:paraId="4C294796"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332" w:type="pct"/>
            <w:vAlign w:val="center"/>
          </w:tcPr>
          <w:p w14:paraId="66AC271F" w14:textId="77777777" w:rsidR="00D845ED" w:rsidRPr="00092862" w:rsidRDefault="00D845ED" w:rsidP="003F1F64">
            <w:pPr>
              <w:jc w:val="center"/>
              <w:rPr>
                <w:rFonts w:ascii="Times New Roman" w:hAnsi="Times New Roman" w:cs="Times New Roman"/>
                <w:color w:val="000000" w:themeColor="text1"/>
              </w:rPr>
            </w:pPr>
          </w:p>
        </w:tc>
      </w:tr>
      <w:tr w:rsidR="00697429" w:rsidRPr="00092862" w14:paraId="464EE745" w14:textId="77777777" w:rsidTr="006059E5">
        <w:trPr>
          <w:trHeight w:val="18"/>
          <w:jc w:val="center"/>
        </w:trPr>
        <w:tc>
          <w:tcPr>
            <w:tcW w:w="295" w:type="pct"/>
            <w:vMerge/>
            <w:vAlign w:val="center"/>
          </w:tcPr>
          <w:p w14:paraId="5C20EC3D" w14:textId="77777777" w:rsidR="00D845ED" w:rsidRPr="00092862" w:rsidRDefault="00D845ED" w:rsidP="003F1F64">
            <w:pPr>
              <w:jc w:val="center"/>
              <w:rPr>
                <w:rFonts w:ascii="Times New Roman" w:hAnsi="Times New Roman" w:cs="Times New Roman"/>
                <w:color w:val="000000" w:themeColor="text1"/>
              </w:rPr>
            </w:pPr>
          </w:p>
        </w:tc>
        <w:tc>
          <w:tcPr>
            <w:tcW w:w="807" w:type="pct"/>
            <w:vAlign w:val="center"/>
          </w:tcPr>
          <w:p w14:paraId="7613D56C"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减少温室效应</w:t>
            </w:r>
          </w:p>
        </w:tc>
        <w:tc>
          <w:tcPr>
            <w:tcW w:w="335" w:type="pct"/>
            <w:vAlign w:val="center"/>
          </w:tcPr>
          <w:p w14:paraId="71EF7456"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0A4EFADC" w14:textId="77777777" w:rsidR="00D845ED" w:rsidRPr="00092862" w:rsidRDefault="00D845ED" w:rsidP="003F1F64">
            <w:pPr>
              <w:jc w:val="center"/>
              <w:rPr>
                <w:rFonts w:ascii="Times New Roman" w:hAnsi="Times New Roman" w:cs="Times New Roman"/>
                <w:color w:val="000000" w:themeColor="text1"/>
              </w:rPr>
            </w:pPr>
          </w:p>
        </w:tc>
        <w:tc>
          <w:tcPr>
            <w:tcW w:w="335" w:type="pct"/>
            <w:vAlign w:val="center"/>
          </w:tcPr>
          <w:p w14:paraId="12FA87E4" w14:textId="77777777" w:rsidR="00D845ED" w:rsidRPr="00092862" w:rsidRDefault="00D845ED" w:rsidP="003F1F64">
            <w:pPr>
              <w:jc w:val="center"/>
              <w:rPr>
                <w:rFonts w:ascii="Times New Roman" w:hAnsi="Times New Roman" w:cs="Times New Roman"/>
                <w:color w:val="000000" w:themeColor="text1"/>
              </w:rPr>
            </w:pPr>
          </w:p>
        </w:tc>
        <w:tc>
          <w:tcPr>
            <w:tcW w:w="290" w:type="pct"/>
            <w:vAlign w:val="center"/>
          </w:tcPr>
          <w:p w14:paraId="303BF19F" w14:textId="77777777" w:rsidR="00D845ED" w:rsidRPr="00092862" w:rsidRDefault="00D845ED" w:rsidP="003F1F64">
            <w:pPr>
              <w:jc w:val="center"/>
              <w:rPr>
                <w:rFonts w:ascii="Times New Roman" w:hAnsi="Times New Roman" w:cs="Times New Roman"/>
                <w:color w:val="000000" w:themeColor="text1"/>
              </w:rPr>
            </w:pPr>
          </w:p>
        </w:tc>
        <w:tc>
          <w:tcPr>
            <w:tcW w:w="322" w:type="pct"/>
            <w:vAlign w:val="center"/>
          </w:tcPr>
          <w:p w14:paraId="06B138A8" w14:textId="77777777" w:rsidR="00D845ED" w:rsidRPr="00092862" w:rsidRDefault="00D845ED" w:rsidP="003F1F64">
            <w:pPr>
              <w:jc w:val="center"/>
              <w:rPr>
                <w:rFonts w:ascii="Times New Roman" w:hAnsi="Times New Roman" w:cs="Times New Roman"/>
                <w:color w:val="000000" w:themeColor="text1"/>
              </w:rPr>
            </w:pPr>
            <w:r w:rsidRPr="00092862">
              <w:rPr>
                <w:rFonts w:ascii="Times New Roman" w:hAnsi="Times New Roman" w:cs="Times New Roman"/>
                <w:color w:val="000000" w:themeColor="text1"/>
              </w:rPr>
              <w:t>√</w:t>
            </w:r>
          </w:p>
        </w:tc>
        <w:tc>
          <w:tcPr>
            <w:tcW w:w="260" w:type="pct"/>
            <w:vAlign w:val="center"/>
          </w:tcPr>
          <w:p w14:paraId="57D73AFA"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76FE80A1"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1C998B57" w14:textId="77777777" w:rsidR="00D845ED" w:rsidRPr="00092862" w:rsidRDefault="00D845ED" w:rsidP="003F1F64">
            <w:pPr>
              <w:jc w:val="center"/>
              <w:rPr>
                <w:rFonts w:ascii="Times New Roman" w:hAnsi="Times New Roman" w:cs="Times New Roman"/>
                <w:color w:val="000000" w:themeColor="text1"/>
              </w:rPr>
            </w:pPr>
          </w:p>
        </w:tc>
        <w:tc>
          <w:tcPr>
            <w:tcW w:w="339" w:type="pct"/>
            <w:vAlign w:val="center"/>
          </w:tcPr>
          <w:p w14:paraId="49833CFB"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4AC741C0" w14:textId="77777777" w:rsidR="00D845ED" w:rsidRPr="00092862" w:rsidRDefault="00D845ED" w:rsidP="003F1F64">
            <w:pPr>
              <w:jc w:val="center"/>
              <w:rPr>
                <w:rFonts w:ascii="Times New Roman" w:hAnsi="Times New Roman" w:cs="Times New Roman"/>
                <w:color w:val="000000" w:themeColor="text1"/>
              </w:rPr>
            </w:pPr>
          </w:p>
        </w:tc>
        <w:tc>
          <w:tcPr>
            <w:tcW w:w="337" w:type="pct"/>
            <w:vAlign w:val="center"/>
          </w:tcPr>
          <w:p w14:paraId="5932310D" w14:textId="77777777" w:rsidR="00D845ED" w:rsidRPr="00092862" w:rsidRDefault="00D845ED" w:rsidP="003F1F64">
            <w:pPr>
              <w:jc w:val="center"/>
              <w:rPr>
                <w:rFonts w:ascii="Times New Roman" w:hAnsi="Times New Roman" w:cs="Times New Roman"/>
                <w:color w:val="000000" w:themeColor="text1"/>
              </w:rPr>
            </w:pPr>
          </w:p>
        </w:tc>
        <w:tc>
          <w:tcPr>
            <w:tcW w:w="332" w:type="pct"/>
            <w:vAlign w:val="center"/>
          </w:tcPr>
          <w:p w14:paraId="75909271" w14:textId="77777777" w:rsidR="00D845ED" w:rsidRPr="00092862" w:rsidRDefault="00D845ED" w:rsidP="003F1F64">
            <w:pPr>
              <w:jc w:val="center"/>
              <w:rPr>
                <w:rFonts w:ascii="Times New Roman" w:hAnsi="Times New Roman" w:cs="Times New Roman"/>
                <w:color w:val="000000" w:themeColor="text1"/>
              </w:rPr>
            </w:pPr>
          </w:p>
        </w:tc>
      </w:tr>
    </w:tbl>
    <w:p w14:paraId="44C32578" w14:textId="2EF5294B" w:rsidR="00351393" w:rsidRPr="00092862" w:rsidRDefault="00D845ED" w:rsidP="00AD0E84">
      <w:pPr>
        <w:tabs>
          <w:tab w:val="left" w:pos="0"/>
        </w:tabs>
        <w:spacing w:line="360" w:lineRule="auto"/>
        <w:ind w:firstLineChars="200" w:firstLine="480"/>
        <w:rPr>
          <w:rFonts w:ascii="Times New Roman" w:hAnsi="Times New Roman" w:cs="Times New Roman"/>
          <w:bCs/>
          <w:color w:val="000000" w:themeColor="text1"/>
          <w:sz w:val="24"/>
          <w:szCs w:val="24"/>
        </w:rPr>
      </w:pPr>
      <w:r w:rsidRPr="00092862">
        <w:rPr>
          <w:rFonts w:ascii="Times New Roman" w:hAnsi="Times New Roman" w:cs="Times New Roman"/>
          <w:bCs/>
          <w:color w:val="000000" w:themeColor="text1"/>
          <w:sz w:val="24"/>
          <w:szCs w:val="24"/>
        </w:rPr>
        <w:t>根据表</w:t>
      </w:r>
      <w:r w:rsidR="006E70A7" w:rsidRPr="00092862">
        <w:rPr>
          <w:rFonts w:ascii="Times New Roman" w:hAnsi="Times New Roman" w:cs="Times New Roman"/>
          <w:bCs/>
          <w:color w:val="000000" w:themeColor="text1"/>
          <w:sz w:val="24"/>
          <w:szCs w:val="24"/>
        </w:rPr>
        <w:t>2.4-1</w:t>
      </w:r>
      <w:r w:rsidRPr="00092862">
        <w:rPr>
          <w:rFonts w:ascii="Times New Roman" w:hAnsi="Times New Roman" w:cs="Times New Roman"/>
          <w:bCs/>
          <w:color w:val="000000" w:themeColor="text1"/>
          <w:sz w:val="24"/>
          <w:szCs w:val="24"/>
        </w:rPr>
        <w:t>和表</w:t>
      </w:r>
      <w:r w:rsidR="006E70A7" w:rsidRPr="00092862">
        <w:rPr>
          <w:rFonts w:ascii="Times New Roman" w:hAnsi="Times New Roman" w:cs="Times New Roman"/>
          <w:bCs/>
          <w:color w:val="000000" w:themeColor="text1"/>
          <w:sz w:val="24"/>
          <w:szCs w:val="24"/>
        </w:rPr>
        <w:t>2.4-2</w:t>
      </w:r>
      <w:r w:rsidRPr="00092862">
        <w:rPr>
          <w:rFonts w:ascii="Times New Roman" w:hAnsi="Times New Roman" w:cs="Times New Roman"/>
          <w:bCs/>
          <w:color w:val="000000" w:themeColor="text1"/>
          <w:sz w:val="24"/>
          <w:szCs w:val="24"/>
        </w:rPr>
        <w:t>的分析结果可知，就环境影响因子影响而言，拟建工程主要影响生态环境。</w:t>
      </w:r>
    </w:p>
    <w:p w14:paraId="24192312" w14:textId="77777777" w:rsidR="00DC446C" w:rsidRPr="00092862" w:rsidRDefault="003B1968" w:rsidP="006059E5">
      <w:pPr>
        <w:pStyle w:val="3"/>
        <w:spacing w:beforeLines="50" w:before="156" w:after="0" w:line="360" w:lineRule="auto"/>
        <w:ind w:firstLineChars="200" w:firstLine="480"/>
        <w:rPr>
          <w:rFonts w:ascii="Times New Roman" w:eastAsia="黑体" w:hAnsi="Times New Roman"/>
          <w:b w:val="0"/>
          <w:color w:val="000000" w:themeColor="text1"/>
          <w:sz w:val="24"/>
          <w:szCs w:val="24"/>
          <w:lang w:eastAsia="zh-CN"/>
        </w:rPr>
      </w:pPr>
      <w:bookmarkStart w:id="38" w:name="_Toc120173063"/>
      <w:r w:rsidRPr="00092862">
        <w:rPr>
          <w:rFonts w:ascii="Times New Roman" w:eastAsia="黑体" w:hAnsi="Times New Roman"/>
          <w:b w:val="0"/>
          <w:color w:val="000000" w:themeColor="text1"/>
          <w:sz w:val="24"/>
          <w:szCs w:val="24"/>
          <w:lang w:eastAsia="zh-CN"/>
        </w:rPr>
        <w:t>2.4.2</w:t>
      </w:r>
      <w:r w:rsidRPr="00092862">
        <w:rPr>
          <w:rFonts w:ascii="Times New Roman" w:eastAsia="黑体" w:hAnsi="Times New Roman"/>
          <w:b w:val="0"/>
          <w:color w:val="000000" w:themeColor="text1"/>
          <w:sz w:val="24"/>
          <w:szCs w:val="24"/>
          <w:lang w:eastAsia="zh-CN"/>
        </w:rPr>
        <w:t>评价因子筛选</w:t>
      </w:r>
      <w:bookmarkEnd w:id="38"/>
    </w:p>
    <w:p w14:paraId="73632DB9" w14:textId="77777777" w:rsidR="00DC446C" w:rsidRPr="00092862" w:rsidRDefault="003B1968" w:rsidP="006059E5">
      <w:pPr>
        <w:tabs>
          <w:tab w:val="left" w:pos="0"/>
        </w:tabs>
        <w:spacing w:line="360" w:lineRule="auto"/>
        <w:ind w:firstLineChars="200" w:firstLine="480"/>
        <w:rPr>
          <w:rFonts w:ascii="Times New Roman" w:hAnsi="Times New Roman" w:cs="Times New Roman"/>
          <w:bCs/>
          <w:color w:val="000000" w:themeColor="text1"/>
          <w:sz w:val="24"/>
          <w:szCs w:val="24"/>
        </w:rPr>
      </w:pPr>
      <w:r w:rsidRPr="00092862">
        <w:rPr>
          <w:rFonts w:ascii="Times New Roman" w:hAnsi="Times New Roman" w:cs="Times New Roman"/>
          <w:bCs/>
          <w:color w:val="000000" w:themeColor="text1"/>
          <w:sz w:val="24"/>
          <w:szCs w:val="24"/>
        </w:rPr>
        <w:t>根据工程环境影响要素识别结果，确定环境质量现状、影响评价的主要评价分析因子如下：</w:t>
      </w:r>
    </w:p>
    <w:p w14:paraId="3EDDF749" w14:textId="76E378DD"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2.4-</w:t>
      </w:r>
      <w:r w:rsidR="006E70A7" w:rsidRPr="00092862">
        <w:rPr>
          <w:rFonts w:ascii="Times New Roman" w:eastAsia="黑体" w:hAnsi="Times New Roman"/>
          <w:color w:val="000000" w:themeColor="text1"/>
          <w:sz w:val="21"/>
          <w:szCs w:val="21"/>
          <w:lang w:eastAsia="zh-CN"/>
        </w:rPr>
        <w:t>3</w:t>
      </w:r>
      <w:r w:rsidR="007C24A6"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评价因子筛选表</w:t>
      </w:r>
    </w:p>
    <w:tbl>
      <w:tblPr>
        <w:tblStyle w:val="aff"/>
        <w:tblW w:w="8222" w:type="dxa"/>
        <w:jc w:val="center"/>
        <w:tblLayout w:type="fixed"/>
        <w:tblLook w:val="04A0" w:firstRow="1" w:lastRow="0" w:firstColumn="1" w:lastColumn="0" w:noHBand="0" w:noVBand="1"/>
      </w:tblPr>
      <w:tblGrid>
        <w:gridCol w:w="1090"/>
        <w:gridCol w:w="3969"/>
        <w:gridCol w:w="3163"/>
      </w:tblGrid>
      <w:tr w:rsidR="00697429" w:rsidRPr="00092862" w14:paraId="4A855A1F" w14:textId="77777777" w:rsidTr="00BE7C4B">
        <w:trPr>
          <w:jc w:val="center"/>
        </w:trPr>
        <w:tc>
          <w:tcPr>
            <w:tcW w:w="1090" w:type="dxa"/>
            <w:vAlign w:val="center"/>
          </w:tcPr>
          <w:p w14:paraId="646486B5" w14:textId="77777777" w:rsidR="00646892" w:rsidRPr="00092862" w:rsidRDefault="00646892"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环境要素</w:t>
            </w:r>
          </w:p>
        </w:tc>
        <w:tc>
          <w:tcPr>
            <w:tcW w:w="3969" w:type="dxa"/>
            <w:vAlign w:val="center"/>
          </w:tcPr>
          <w:p w14:paraId="7F90A9C3" w14:textId="77777777" w:rsidR="00646892" w:rsidRPr="00092862" w:rsidRDefault="00646892"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现状评价因子</w:t>
            </w:r>
          </w:p>
        </w:tc>
        <w:tc>
          <w:tcPr>
            <w:tcW w:w="3163" w:type="dxa"/>
            <w:vAlign w:val="center"/>
          </w:tcPr>
          <w:p w14:paraId="6BCDA023" w14:textId="77777777" w:rsidR="00646892" w:rsidRPr="00092862" w:rsidRDefault="00646892"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影响评价因子</w:t>
            </w:r>
          </w:p>
        </w:tc>
      </w:tr>
      <w:tr w:rsidR="00697429" w:rsidRPr="00092862" w14:paraId="566391E1" w14:textId="77777777" w:rsidTr="00BE7C4B">
        <w:trPr>
          <w:jc w:val="center"/>
        </w:trPr>
        <w:tc>
          <w:tcPr>
            <w:tcW w:w="1090" w:type="dxa"/>
            <w:vAlign w:val="center"/>
          </w:tcPr>
          <w:p w14:paraId="78DF3764" w14:textId="77777777"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环境空气</w:t>
            </w:r>
          </w:p>
        </w:tc>
        <w:tc>
          <w:tcPr>
            <w:tcW w:w="3969" w:type="dxa"/>
            <w:vAlign w:val="center"/>
          </w:tcPr>
          <w:p w14:paraId="265CF941" w14:textId="4F43B25F"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PM</w:t>
            </w:r>
            <w:r w:rsidRPr="00092862">
              <w:rPr>
                <w:rFonts w:ascii="Times New Roman" w:hAnsi="Times New Roman"/>
                <w:color w:val="000000" w:themeColor="text1"/>
                <w:sz w:val="21"/>
                <w:szCs w:val="21"/>
                <w:vertAlign w:val="subscript"/>
                <w:lang w:eastAsia="zh-CN"/>
              </w:rPr>
              <w:t>10</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PM</w:t>
            </w:r>
            <w:r w:rsidRPr="00092862">
              <w:rPr>
                <w:rFonts w:ascii="Times New Roman" w:hAnsi="Times New Roman"/>
                <w:color w:val="000000" w:themeColor="text1"/>
                <w:sz w:val="21"/>
                <w:szCs w:val="21"/>
                <w:vertAlign w:val="subscript"/>
                <w:lang w:eastAsia="zh-CN"/>
              </w:rPr>
              <w:t>2.5</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SO</w:t>
            </w:r>
            <w:r w:rsidRPr="00092862">
              <w:rPr>
                <w:rFonts w:ascii="Times New Roman" w:hAnsi="Times New Roman"/>
                <w:color w:val="000000" w:themeColor="text1"/>
                <w:sz w:val="21"/>
                <w:szCs w:val="21"/>
                <w:vertAlign w:val="subscript"/>
                <w:lang w:eastAsia="zh-CN"/>
              </w:rPr>
              <w:t>2</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NO</w:t>
            </w:r>
            <w:r w:rsidRPr="00092862">
              <w:rPr>
                <w:rFonts w:ascii="Times New Roman" w:hAnsi="Times New Roman"/>
                <w:color w:val="000000" w:themeColor="text1"/>
                <w:sz w:val="21"/>
                <w:szCs w:val="21"/>
                <w:vertAlign w:val="subscript"/>
                <w:lang w:eastAsia="zh-CN"/>
              </w:rPr>
              <w:t>X</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CO</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O</w:t>
            </w:r>
            <w:r w:rsidRPr="00092862">
              <w:rPr>
                <w:rFonts w:ascii="Times New Roman" w:hAnsi="Times New Roman"/>
                <w:color w:val="000000" w:themeColor="text1"/>
                <w:sz w:val="21"/>
                <w:szCs w:val="21"/>
                <w:vertAlign w:val="subscript"/>
                <w:lang w:eastAsia="zh-CN"/>
              </w:rPr>
              <w:t>3</w:t>
            </w:r>
            <w:r w:rsidR="00D845ED" w:rsidRPr="00092862">
              <w:rPr>
                <w:rFonts w:ascii="Times New Roman" w:hAnsi="Times New Roman"/>
                <w:color w:val="000000" w:themeColor="text1"/>
                <w:kern w:val="2"/>
                <w:sz w:val="21"/>
                <w:szCs w:val="21"/>
                <w:lang w:eastAsia="zh-CN"/>
              </w:rPr>
              <w:t>、</w:t>
            </w:r>
            <w:r w:rsidR="00D845ED" w:rsidRPr="00092862">
              <w:rPr>
                <w:rFonts w:ascii="Times New Roman" w:hAnsi="Times New Roman"/>
                <w:color w:val="000000" w:themeColor="text1"/>
                <w:kern w:val="2"/>
                <w:sz w:val="21"/>
                <w:szCs w:val="21"/>
              </w:rPr>
              <w:t>H</w:t>
            </w:r>
            <w:r w:rsidR="00D845ED" w:rsidRPr="00092862">
              <w:rPr>
                <w:rFonts w:ascii="Times New Roman" w:hAnsi="Times New Roman"/>
                <w:color w:val="000000" w:themeColor="text1"/>
                <w:kern w:val="2"/>
                <w:sz w:val="21"/>
                <w:szCs w:val="21"/>
                <w:vertAlign w:val="subscript"/>
              </w:rPr>
              <w:t>2</w:t>
            </w:r>
            <w:r w:rsidR="00D845ED" w:rsidRPr="00092862">
              <w:rPr>
                <w:rFonts w:ascii="Times New Roman" w:hAnsi="Times New Roman"/>
                <w:color w:val="000000" w:themeColor="text1"/>
                <w:kern w:val="2"/>
                <w:sz w:val="21"/>
                <w:szCs w:val="21"/>
              </w:rPr>
              <w:t>S</w:t>
            </w:r>
            <w:r w:rsidR="00D845ED" w:rsidRPr="00092862">
              <w:rPr>
                <w:rFonts w:ascii="Times New Roman" w:hAnsi="Times New Roman"/>
                <w:color w:val="000000" w:themeColor="text1"/>
                <w:kern w:val="2"/>
                <w:sz w:val="21"/>
                <w:szCs w:val="21"/>
              </w:rPr>
              <w:t>、非甲烷总烃</w:t>
            </w:r>
          </w:p>
        </w:tc>
        <w:tc>
          <w:tcPr>
            <w:tcW w:w="3163" w:type="dxa"/>
            <w:vAlign w:val="center"/>
          </w:tcPr>
          <w:p w14:paraId="57D30B41" w14:textId="1FB47B89" w:rsidR="00646892" w:rsidRPr="00092862" w:rsidRDefault="007D069E"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颗粒物</w:t>
            </w:r>
            <w:r w:rsidR="000F59EB" w:rsidRPr="00092862">
              <w:rPr>
                <w:rFonts w:ascii="Times New Roman" w:hAnsi="Times New Roman"/>
                <w:color w:val="000000" w:themeColor="text1"/>
                <w:sz w:val="21"/>
                <w:szCs w:val="21"/>
                <w:lang w:eastAsia="zh-CN"/>
              </w:rPr>
              <w:t>、</w:t>
            </w:r>
            <w:r w:rsidR="000F59EB" w:rsidRPr="00092862">
              <w:rPr>
                <w:rFonts w:ascii="Times New Roman" w:hAnsi="Times New Roman"/>
                <w:color w:val="000000" w:themeColor="text1"/>
                <w:sz w:val="21"/>
                <w:szCs w:val="21"/>
                <w:lang w:eastAsia="zh-CN"/>
              </w:rPr>
              <w:t>SO</w:t>
            </w:r>
            <w:r w:rsidR="000F59EB" w:rsidRPr="00092862">
              <w:rPr>
                <w:rFonts w:ascii="Times New Roman" w:hAnsi="Times New Roman"/>
                <w:color w:val="000000" w:themeColor="text1"/>
                <w:sz w:val="21"/>
                <w:szCs w:val="21"/>
                <w:vertAlign w:val="subscript"/>
                <w:lang w:eastAsia="zh-CN"/>
              </w:rPr>
              <w:t>2</w:t>
            </w:r>
            <w:r w:rsidR="000F59EB" w:rsidRPr="00092862">
              <w:rPr>
                <w:rFonts w:ascii="Times New Roman" w:hAnsi="Times New Roman"/>
                <w:color w:val="000000" w:themeColor="text1"/>
                <w:sz w:val="21"/>
                <w:szCs w:val="21"/>
                <w:lang w:eastAsia="zh-CN"/>
              </w:rPr>
              <w:t>、</w:t>
            </w:r>
            <w:r w:rsidR="000F59EB" w:rsidRPr="00092862">
              <w:rPr>
                <w:rFonts w:ascii="Times New Roman" w:hAnsi="Times New Roman"/>
                <w:color w:val="000000" w:themeColor="text1"/>
                <w:sz w:val="21"/>
                <w:szCs w:val="21"/>
                <w:lang w:eastAsia="zh-CN"/>
              </w:rPr>
              <w:t>NO</w:t>
            </w:r>
            <w:r w:rsidR="000F59EB" w:rsidRPr="00092862">
              <w:rPr>
                <w:rFonts w:ascii="Times New Roman" w:hAnsi="Times New Roman"/>
                <w:color w:val="000000" w:themeColor="text1"/>
                <w:sz w:val="21"/>
                <w:szCs w:val="21"/>
                <w:vertAlign w:val="subscript"/>
                <w:lang w:eastAsia="zh-CN"/>
              </w:rPr>
              <w:t>X</w:t>
            </w:r>
            <w:r w:rsidR="00D845ED" w:rsidRPr="00092862">
              <w:rPr>
                <w:rFonts w:ascii="Times New Roman" w:hAnsi="Times New Roman"/>
                <w:color w:val="000000" w:themeColor="text1"/>
                <w:sz w:val="21"/>
                <w:szCs w:val="21"/>
                <w:lang w:eastAsia="zh-CN"/>
              </w:rPr>
              <w:t>、</w:t>
            </w:r>
            <w:r w:rsidR="00D845ED" w:rsidRPr="00092862">
              <w:rPr>
                <w:rFonts w:ascii="Times New Roman" w:hAnsi="Times New Roman"/>
                <w:color w:val="000000" w:themeColor="text1"/>
                <w:kern w:val="2"/>
                <w:sz w:val="21"/>
                <w:szCs w:val="21"/>
                <w:lang w:eastAsia="zh-CN"/>
              </w:rPr>
              <w:t>H</w:t>
            </w:r>
            <w:r w:rsidR="00D845ED" w:rsidRPr="00092862">
              <w:rPr>
                <w:rFonts w:ascii="Times New Roman" w:hAnsi="Times New Roman"/>
                <w:color w:val="000000" w:themeColor="text1"/>
                <w:kern w:val="2"/>
                <w:sz w:val="21"/>
                <w:szCs w:val="21"/>
                <w:vertAlign w:val="subscript"/>
                <w:lang w:eastAsia="zh-CN"/>
              </w:rPr>
              <w:t>2</w:t>
            </w:r>
            <w:r w:rsidR="00D845ED" w:rsidRPr="00092862">
              <w:rPr>
                <w:rFonts w:ascii="Times New Roman" w:hAnsi="Times New Roman"/>
                <w:color w:val="000000" w:themeColor="text1"/>
                <w:kern w:val="2"/>
                <w:sz w:val="21"/>
                <w:szCs w:val="21"/>
                <w:lang w:eastAsia="zh-CN"/>
              </w:rPr>
              <w:t>S</w:t>
            </w:r>
            <w:r w:rsidR="00D845ED" w:rsidRPr="00092862">
              <w:rPr>
                <w:rFonts w:ascii="Times New Roman" w:hAnsi="Times New Roman"/>
                <w:color w:val="000000" w:themeColor="text1"/>
                <w:kern w:val="2"/>
                <w:sz w:val="21"/>
                <w:szCs w:val="21"/>
                <w:lang w:eastAsia="zh-CN"/>
              </w:rPr>
              <w:t>、非甲烷总烃</w:t>
            </w:r>
          </w:p>
        </w:tc>
      </w:tr>
      <w:tr w:rsidR="00697429" w:rsidRPr="00092862" w14:paraId="0D577DF8" w14:textId="77777777" w:rsidTr="00BE7C4B">
        <w:trPr>
          <w:jc w:val="center"/>
        </w:trPr>
        <w:tc>
          <w:tcPr>
            <w:tcW w:w="1090" w:type="dxa"/>
            <w:vAlign w:val="center"/>
          </w:tcPr>
          <w:p w14:paraId="44E059B4" w14:textId="77777777"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地表水</w:t>
            </w:r>
          </w:p>
        </w:tc>
        <w:tc>
          <w:tcPr>
            <w:tcW w:w="3969" w:type="dxa"/>
            <w:vAlign w:val="center"/>
          </w:tcPr>
          <w:p w14:paraId="6DDE169E" w14:textId="77777777"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pH</w:t>
            </w:r>
            <w:r w:rsidRPr="00092862">
              <w:rPr>
                <w:rFonts w:ascii="Times New Roman" w:hAnsi="Times New Roman"/>
                <w:color w:val="000000" w:themeColor="text1"/>
                <w:sz w:val="21"/>
                <w:szCs w:val="21"/>
                <w:lang w:eastAsia="zh-CN"/>
              </w:rPr>
              <w:t>、氯化物、</w:t>
            </w:r>
            <w:r w:rsidRPr="00092862">
              <w:rPr>
                <w:rFonts w:ascii="Times New Roman" w:hAnsi="Times New Roman"/>
                <w:color w:val="000000" w:themeColor="text1"/>
                <w:sz w:val="21"/>
                <w:szCs w:val="21"/>
                <w:lang w:eastAsia="zh-CN"/>
              </w:rPr>
              <w:t>CODCr</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BOD</w:t>
            </w:r>
            <w:r w:rsidRPr="00092862">
              <w:rPr>
                <w:rFonts w:ascii="Times New Roman" w:hAnsi="Times New Roman"/>
                <w:color w:val="000000" w:themeColor="text1"/>
                <w:sz w:val="21"/>
                <w:szCs w:val="21"/>
                <w:vertAlign w:val="subscript"/>
                <w:lang w:eastAsia="zh-CN"/>
              </w:rPr>
              <w:t>5</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NH</w:t>
            </w:r>
            <w:r w:rsidRPr="00092862">
              <w:rPr>
                <w:rFonts w:ascii="Times New Roman" w:hAnsi="Times New Roman"/>
                <w:color w:val="000000" w:themeColor="text1"/>
                <w:sz w:val="21"/>
                <w:szCs w:val="21"/>
                <w:vertAlign w:val="subscript"/>
                <w:lang w:eastAsia="zh-CN"/>
              </w:rPr>
              <w:t>3</w:t>
            </w:r>
            <w:r w:rsidRPr="00092862">
              <w:rPr>
                <w:rFonts w:ascii="Times New Roman" w:hAnsi="Times New Roman"/>
                <w:color w:val="000000" w:themeColor="text1"/>
                <w:sz w:val="21"/>
                <w:szCs w:val="21"/>
                <w:lang w:eastAsia="zh-CN"/>
              </w:rPr>
              <w:t>-N</w:t>
            </w:r>
            <w:r w:rsidRPr="00092862">
              <w:rPr>
                <w:rFonts w:ascii="Times New Roman" w:hAnsi="Times New Roman"/>
                <w:color w:val="000000" w:themeColor="text1"/>
                <w:sz w:val="21"/>
                <w:szCs w:val="21"/>
                <w:lang w:eastAsia="zh-CN"/>
              </w:rPr>
              <w:t>、挥发酚、石油类、六价铬、</w:t>
            </w:r>
            <w:r w:rsidRPr="00092862">
              <w:rPr>
                <w:rFonts w:ascii="Times New Roman" w:hAnsi="Times New Roman"/>
                <w:color w:val="000000" w:themeColor="text1"/>
                <w:sz w:val="21"/>
                <w:szCs w:val="21"/>
                <w:lang w:eastAsia="zh-CN"/>
              </w:rPr>
              <w:t>S</w:t>
            </w:r>
            <w:r w:rsidRPr="00092862">
              <w:rPr>
                <w:rFonts w:ascii="Times New Roman" w:hAnsi="Times New Roman"/>
                <w:color w:val="000000" w:themeColor="text1"/>
                <w:sz w:val="21"/>
                <w:szCs w:val="21"/>
                <w:vertAlign w:val="superscript"/>
                <w:lang w:eastAsia="zh-CN"/>
              </w:rPr>
              <w:t>2-</w:t>
            </w:r>
          </w:p>
        </w:tc>
        <w:tc>
          <w:tcPr>
            <w:tcW w:w="3163" w:type="dxa"/>
            <w:vAlign w:val="center"/>
          </w:tcPr>
          <w:p w14:paraId="7C16AF7E"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（进行污水处理设施依托可行性分析）</w:t>
            </w:r>
          </w:p>
        </w:tc>
      </w:tr>
      <w:tr w:rsidR="00697429" w:rsidRPr="00092862" w14:paraId="5FC26905" w14:textId="77777777" w:rsidTr="00BE7C4B">
        <w:trPr>
          <w:jc w:val="center"/>
        </w:trPr>
        <w:tc>
          <w:tcPr>
            <w:tcW w:w="1090" w:type="dxa"/>
            <w:vAlign w:val="center"/>
          </w:tcPr>
          <w:p w14:paraId="70885D0C" w14:textId="77777777"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lastRenderedPageBreak/>
              <w:t>地下水</w:t>
            </w:r>
          </w:p>
        </w:tc>
        <w:tc>
          <w:tcPr>
            <w:tcW w:w="3969" w:type="dxa"/>
            <w:vAlign w:val="center"/>
          </w:tcPr>
          <w:p w14:paraId="3A6679EA" w14:textId="77777777"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K</w:t>
            </w:r>
            <w:r w:rsidRPr="00092862">
              <w:rPr>
                <w:rFonts w:ascii="Times New Roman" w:hAnsi="Times New Roman"/>
                <w:color w:val="000000" w:themeColor="text1"/>
                <w:sz w:val="21"/>
                <w:szCs w:val="21"/>
                <w:vertAlign w:val="superscript"/>
                <w:lang w:eastAsia="zh-CN"/>
              </w:rPr>
              <w:t>+</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Na</w:t>
            </w:r>
            <w:r w:rsidRPr="00092862">
              <w:rPr>
                <w:rFonts w:ascii="Times New Roman" w:hAnsi="Times New Roman"/>
                <w:color w:val="000000" w:themeColor="text1"/>
                <w:sz w:val="21"/>
                <w:szCs w:val="21"/>
                <w:vertAlign w:val="superscript"/>
                <w:lang w:eastAsia="zh-CN"/>
              </w:rPr>
              <w:t>+</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Ca</w:t>
            </w:r>
            <w:r w:rsidRPr="00092862">
              <w:rPr>
                <w:rFonts w:ascii="Times New Roman" w:hAnsi="Times New Roman"/>
                <w:color w:val="000000" w:themeColor="text1"/>
                <w:sz w:val="21"/>
                <w:szCs w:val="21"/>
                <w:vertAlign w:val="superscript"/>
                <w:lang w:eastAsia="zh-CN"/>
              </w:rPr>
              <w:t>2+</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Mg</w:t>
            </w:r>
            <w:r w:rsidRPr="00092862">
              <w:rPr>
                <w:rFonts w:ascii="Times New Roman" w:hAnsi="Times New Roman"/>
                <w:color w:val="000000" w:themeColor="text1"/>
                <w:sz w:val="21"/>
                <w:szCs w:val="21"/>
                <w:vertAlign w:val="superscript"/>
                <w:lang w:eastAsia="zh-CN"/>
              </w:rPr>
              <w:t>2+</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CO</w:t>
            </w:r>
            <w:r w:rsidRPr="00092862">
              <w:rPr>
                <w:rFonts w:ascii="Times New Roman" w:hAnsi="Times New Roman"/>
                <w:color w:val="000000" w:themeColor="text1"/>
                <w:sz w:val="21"/>
                <w:szCs w:val="21"/>
                <w:vertAlign w:val="subscript"/>
                <w:lang w:eastAsia="zh-CN"/>
              </w:rPr>
              <w:t>3</w:t>
            </w:r>
            <w:r w:rsidRPr="00092862">
              <w:rPr>
                <w:rFonts w:ascii="Times New Roman" w:hAnsi="Times New Roman"/>
                <w:color w:val="000000" w:themeColor="text1"/>
                <w:sz w:val="21"/>
                <w:szCs w:val="21"/>
                <w:vertAlign w:val="superscript"/>
                <w:lang w:eastAsia="zh-CN"/>
              </w:rPr>
              <w:t>2-</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HCO</w:t>
            </w:r>
            <w:r w:rsidRPr="00092862">
              <w:rPr>
                <w:rFonts w:ascii="Times New Roman" w:hAnsi="Times New Roman"/>
                <w:color w:val="000000" w:themeColor="text1"/>
                <w:sz w:val="21"/>
                <w:szCs w:val="21"/>
                <w:vertAlign w:val="subscript"/>
                <w:lang w:eastAsia="zh-CN"/>
              </w:rPr>
              <w:t>3</w:t>
            </w:r>
            <w:r w:rsidRPr="00092862">
              <w:rPr>
                <w:rFonts w:ascii="Times New Roman" w:hAnsi="Times New Roman"/>
                <w:color w:val="000000" w:themeColor="text1"/>
                <w:sz w:val="21"/>
                <w:szCs w:val="21"/>
                <w:vertAlign w:val="superscript"/>
                <w:lang w:eastAsia="zh-CN"/>
              </w:rPr>
              <w:t>-</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Cl</w:t>
            </w:r>
            <w:r w:rsidRPr="00092862">
              <w:rPr>
                <w:rFonts w:ascii="Times New Roman" w:hAnsi="Times New Roman"/>
                <w:color w:val="000000" w:themeColor="text1"/>
                <w:sz w:val="21"/>
                <w:szCs w:val="21"/>
                <w:vertAlign w:val="superscript"/>
                <w:lang w:eastAsia="zh-CN"/>
              </w:rPr>
              <w:t>-</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SO</w:t>
            </w:r>
            <w:r w:rsidRPr="00092862">
              <w:rPr>
                <w:rFonts w:ascii="Times New Roman" w:hAnsi="Times New Roman"/>
                <w:color w:val="000000" w:themeColor="text1"/>
                <w:sz w:val="21"/>
                <w:szCs w:val="21"/>
                <w:vertAlign w:val="subscript"/>
                <w:lang w:eastAsia="zh-CN"/>
              </w:rPr>
              <w:t>4</w:t>
            </w:r>
            <w:r w:rsidRPr="00092862">
              <w:rPr>
                <w:rFonts w:ascii="Times New Roman" w:hAnsi="Times New Roman"/>
                <w:color w:val="000000" w:themeColor="text1"/>
                <w:sz w:val="21"/>
                <w:szCs w:val="21"/>
                <w:vertAlign w:val="superscript"/>
                <w:lang w:eastAsia="zh-CN"/>
              </w:rPr>
              <w:t>2-</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pH</w:t>
            </w:r>
            <w:r w:rsidRPr="00092862">
              <w:rPr>
                <w:rFonts w:ascii="Times New Roman" w:hAnsi="Times New Roman"/>
                <w:color w:val="000000" w:themeColor="text1"/>
                <w:sz w:val="21"/>
                <w:szCs w:val="21"/>
                <w:lang w:eastAsia="zh-CN"/>
              </w:rPr>
              <w:t>、氨氮、硝酸盐、亚硝酸盐、挥发性酚类、氰化物、砷、汞、铬</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六价</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、总硬度、铅、氟、镉、铁、锰、溶解性总固体、耗氧量、硫酸盐、总大肠菌群、细菌总数、石油类</w:t>
            </w:r>
          </w:p>
        </w:tc>
        <w:tc>
          <w:tcPr>
            <w:tcW w:w="3163" w:type="dxa"/>
            <w:vAlign w:val="center"/>
          </w:tcPr>
          <w:p w14:paraId="085FD6DC"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CODcr</w:t>
            </w:r>
            <w:r w:rsidRPr="00092862">
              <w:rPr>
                <w:rFonts w:ascii="Times New Roman" w:hAnsi="Times New Roman"/>
                <w:color w:val="000000" w:themeColor="text1"/>
                <w:sz w:val="21"/>
                <w:szCs w:val="21"/>
                <w:lang w:eastAsia="zh-CN"/>
              </w:rPr>
              <w:t>、石油类、氯化物</w:t>
            </w:r>
          </w:p>
        </w:tc>
      </w:tr>
      <w:tr w:rsidR="00697429" w:rsidRPr="00092862" w14:paraId="691321E6" w14:textId="77777777" w:rsidTr="00BE7C4B">
        <w:trPr>
          <w:jc w:val="center"/>
        </w:trPr>
        <w:tc>
          <w:tcPr>
            <w:tcW w:w="1090" w:type="dxa"/>
            <w:vAlign w:val="center"/>
          </w:tcPr>
          <w:p w14:paraId="4043E060" w14:textId="77777777" w:rsidR="00646892" w:rsidRPr="00092862" w:rsidRDefault="000F59EB"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土壤</w:t>
            </w:r>
          </w:p>
        </w:tc>
        <w:tc>
          <w:tcPr>
            <w:tcW w:w="3969" w:type="dxa"/>
            <w:vAlign w:val="center"/>
          </w:tcPr>
          <w:p w14:paraId="07038A83" w14:textId="77777777" w:rsidR="000F59EB" w:rsidRPr="00092862" w:rsidRDefault="000F59EB" w:rsidP="003D2EEB">
            <w:pPr>
              <w:pStyle w:val="ac"/>
              <w:tabs>
                <w:tab w:val="left" w:pos="3864"/>
              </w:tabs>
              <w:adjustRightInd w:val="0"/>
              <w:snapToGrid w:val="0"/>
              <w:spacing w:before="0"/>
              <w:ind w:left="0"/>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1</w:t>
            </w:r>
            <w:r w:rsidRPr="00092862">
              <w:rPr>
                <w:rFonts w:ascii="Times New Roman" w:hAnsi="Times New Roman"/>
                <w:color w:val="000000" w:themeColor="text1"/>
                <w:sz w:val="21"/>
                <w:szCs w:val="21"/>
                <w:lang w:eastAsia="zh-CN"/>
              </w:rPr>
              <w:t>）建设用地：</w:t>
            </w:r>
            <w:r w:rsidRPr="00092862">
              <w:rPr>
                <w:rFonts w:cs="宋体" w:hint="eastAsia"/>
                <w:color w:val="000000" w:themeColor="text1"/>
                <w:sz w:val="21"/>
                <w:szCs w:val="21"/>
                <w:lang w:eastAsia="zh-CN"/>
              </w:rPr>
              <w:t>①</w:t>
            </w:r>
            <w:r w:rsidRPr="00092862">
              <w:rPr>
                <w:rFonts w:ascii="Times New Roman" w:hAnsi="Times New Roman"/>
                <w:color w:val="000000" w:themeColor="text1"/>
                <w:sz w:val="21"/>
                <w:szCs w:val="21"/>
                <w:lang w:eastAsia="zh-CN"/>
              </w:rPr>
              <w:t>重金属和无机物：砷、镉、铬（六价）、铜、铅、汞、镍；</w:t>
            </w:r>
            <w:r w:rsidRPr="00092862">
              <w:rPr>
                <w:rFonts w:cs="宋体" w:hint="eastAsia"/>
                <w:color w:val="000000" w:themeColor="text1"/>
                <w:sz w:val="21"/>
                <w:szCs w:val="21"/>
                <w:lang w:eastAsia="zh-CN"/>
              </w:rPr>
              <w:t>②</w:t>
            </w:r>
            <w:r w:rsidRPr="00092862">
              <w:rPr>
                <w:rFonts w:ascii="Times New Roman" w:hAnsi="Times New Roman"/>
                <w:color w:val="000000" w:themeColor="text1"/>
                <w:sz w:val="21"/>
                <w:szCs w:val="21"/>
                <w:lang w:eastAsia="zh-CN"/>
              </w:rPr>
              <w:t>挥发性有机物：四氯化碳、氯仿、氯甲烷、</w:t>
            </w:r>
            <w:r w:rsidRPr="00092862">
              <w:rPr>
                <w:rFonts w:ascii="Times New Roman" w:hAnsi="Times New Roman"/>
                <w:color w:val="000000" w:themeColor="text1"/>
                <w:sz w:val="21"/>
                <w:szCs w:val="21"/>
                <w:lang w:eastAsia="zh-CN"/>
              </w:rPr>
              <w:t>1,1-</w:t>
            </w:r>
            <w:r w:rsidRPr="00092862">
              <w:rPr>
                <w:rFonts w:ascii="Times New Roman" w:hAnsi="Times New Roman"/>
                <w:color w:val="000000" w:themeColor="text1"/>
                <w:sz w:val="21"/>
                <w:szCs w:val="21"/>
                <w:lang w:eastAsia="zh-CN"/>
              </w:rPr>
              <w:t>二氯乙烷、</w:t>
            </w:r>
            <w:r w:rsidRPr="00092862">
              <w:rPr>
                <w:rFonts w:ascii="Times New Roman" w:hAnsi="Times New Roman"/>
                <w:color w:val="000000" w:themeColor="text1"/>
                <w:sz w:val="21"/>
                <w:szCs w:val="21"/>
                <w:lang w:eastAsia="zh-CN"/>
              </w:rPr>
              <w:t>1,2-</w:t>
            </w:r>
            <w:r w:rsidRPr="00092862">
              <w:rPr>
                <w:rFonts w:ascii="Times New Roman" w:hAnsi="Times New Roman"/>
                <w:color w:val="000000" w:themeColor="text1"/>
                <w:sz w:val="21"/>
                <w:szCs w:val="21"/>
                <w:lang w:eastAsia="zh-CN"/>
              </w:rPr>
              <w:t>二氯乙烷、</w:t>
            </w:r>
            <w:r w:rsidRPr="00092862">
              <w:rPr>
                <w:rFonts w:ascii="Times New Roman" w:hAnsi="Times New Roman"/>
                <w:color w:val="000000" w:themeColor="text1"/>
                <w:sz w:val="21"/>
                <w:szCs w:val="21"/>
                <w:lang w:eastAsia="zh-CN"/>
              </w:rPr>
              <w:t>1,1-</w:t>
            </w:r>
            <w:r w:rsidRPr="00092862">
              <w:rPr>
                <w:rFonts w:ascii="Times New Roman" w:hAnsi="Times New Roman"/>
                <w:color w:val="000000" w:themeColor="text1"/>
                <w:sz w:val="21"/>
                <w:szCs w:val="21"/>
                <w:lang w:eastAsia="zh-CN"/>
              </w:rPr>
              <w:t>二氯乙烯、顺</w:t>
            </w:r>
            <w:r w:rsidRPr="00092862">
              <w:rPr>
                <w:rFonts w:ascii="Times New Roman" w:hAnsi="Times New Roman"/>
                <w:color w:val="000000" w:themeColor="text1"/>
                <w:sz w:val="21"/>
                <w:szCs w:val="21"/>
                <w:lang w:eastAsia="zh-CN"/>
              </w:rPr>
              <w:t>-1,2-</w:t>
            </w:r>
            <w:r w:rsidRPr="00092862">
              <w:rPr>
                <w:rFonts w:ascii="Times New Roman" w:hAnsi="Times New Roman"/>
                <w:color w:val="000000" w:themeColor="text1"/>
                <w:sz w:val="21"/>
                <w:szCs w:val="21"/>
                <w:lang w:eastAsia="zh-CN"/>
              </w:rPr>
              <w:t>二氯乙烯、反</w:t>
            </w:r>
            <w:r w:rsidRPr="00092862">
              <w:rPr>
                <w:rFonts w:ascii="Times New Roman" w:hAnsi="Times New Roman"/>
                <w:color w:val="000000" w:themeColor="text1"/>
                <w:sz w:val="21"/>
                <w:szCs w:val="21"/>
                <w:lang w:eastAsia="zh-CN"/>
              </w:rPr>
              <w:t>-1,2-</w:t>
            </w:r>
            <w:r w:rsidRPr="00092862">
              <w:rPr>
                <w:rFonts w:ascii="Times New Roman" w:hAnsi="Times New Roman"/>
                <w:color w:val="000000" w:themeColor="text1"/>
                <w:sz w:val="21"/>
                <w:szCs w:val="21"/>
                <w:lang w:eastAsia="zh-CN"/>
              </w:rPr>
              <w:t>二氯乙烯、二氯甲烷、</w:t>
            </w:r>
            <w:r w:rsidRPr="00092862">
              <w:rPr>
                <w:rFonts w:ascii="Times New Roman" w:hAnsi="Times New Roman"/>
                <w:color w:val="000000" w:themeColor="text1"/>
                <w:sz w:val="21"/>
                <w:szCs w:val="21"/>
                <w:lang w:eastAsia="zh-CN"/>
              </w:rPr>
              <w:t>1,2-</w:t>
            </w:r>
            <w:r w:rsidRPr="00092862">
              <w:rPr>
                <w:rFonts w:ascii="Times New Roman" w:hAnsi="Times New Roman"/>
                <w:color w:val="000000" w:themeColor="text1"/>
                <w:sz w:val="21"/>
                <w:szCs w:val="21"/>
                <w:lang w:eastAsia="zh-CN"/>
              </w:rPr>
              <w:t>二氯丙烷、</w:t>
            </w:r>
            <w:r w:rsidRPr="00092862">
              <w:rPr>
                <w:rFonts w:ascii="Times New Roman" w:hAnsi="Times New Roman"/>
                <w:color w:val="000000" w:themeColor="text1"/>
                <w:sz w:val="21"/>
                <w:szCs w:val="21"/>
                <w:lang w:eastAsia="zh-CN"/>
              </w:rPr>
              <w:t>1,1,1,2-</w:t>
            </w:r>
            <w:r w:rsidRPr="00092862">
              <w:rPr>
                <w:rFonts w:ascii="Times New Roman" w:hAnsi="Times New Roman"/>
                <w:color w:val="000000" w:themeColor="text1"/>
                <w:sz w:val="21"/>
                <w:szCs w:val="21"/>
                <w:lang w:eastAsia="zh-CN"/>
              </w:rPr>
              <w:t>四氯乙烷、</w:t>
            </w:r>
            <w:r w:rsidRPr="00092862">
              <w:rPr>
                <w:rFonts w:ascii="Times New Roman" w:hAnsi="Times New Roman"/>
                <w:color w:val="000000" w:themeColor="text1"/>
                <w:sz w:val="21"/>
                <w:szCs w:val="21"/>
                <w:lang w:eastAsia="zh-CN"/>
              </w:rPr>
              <w:t>1,1,2,2-</w:t>
            </w:r>
            <w:r w:rsidRPr="00092862">
              <w:rPr>
                <w:rFonts w:ascii="Times New Roman" w:hAnsi="Times New Roman"/>
                <w:color w:val="000000" w:themeColor="text1"/>
                <w:sz w:val="21"/>
                <w:szCs w:val="21"/>
                <w:lang w:eastAsia="zh-CN"/>
              </w:rPr>
              <w:t>四氯乙烷、四氯乙烯、</w:t>
            </w:r>
            <w:r w:rsidRPr="00092862">
              <w:rPr>
                <w:rFonts w:ascii="Times New Roman" w:hAnsi="Times New Roman"/>
                <w:color w:val="000000" w:themeColor="text1"/>
                <w:sz w:val="21"/>
                <w:szCs w:val="21"/>
                <w:lang w:eastAsia="zh-CN"/>
              </w:rPr>
              <w:t>1,1,1-</w:t>
            </w:r>
            <w:r w:rsidRPr="00092862">
              <w:rPr>
                <w:rFonts w:ascii="Times New Roman" w:hAnsi="Times New Roman"/>
                <w:color w:val="000000" w:themeColor="text1"/>
                <w:sz w:val="21"/>
                <w:szCs w:val="21"/>
                <w:lang w:eastAsia="zh-CN"/>
              </w:rPr>
              <w:t>三氯乙烷、</w:t>
            </w:r>
            <w:r w:rsidRPr="00092862">
              <w:rPr>
                <w:rFonts w:ascii="Times New Roman" w:hAnsi="Times New Roman"/>
                <w:color w:val="000000" w:themeColor="text1"/>
                <w:sz w:val="21"/>
                <w:szCs w:val="21"/>
                <w:lang w:eastAsia="zh-CN"/>
              </w:rPr>
              <w:t>1,1,2-</w:t>
            </w:r>
            <w:r w:rsidRPr="00092862">
              <w:rPr>
                <w:rFonts w:ascii="Times New Roman" w:hAnsi="Times New Roman"/>
                <w:color w:val="000000" w:themeColor="text1"/>
                <w:sz w:val="21"/>
                <w:szCs w:val="21"/>
                <w:lang w:eastAsia="zh-CN"/>
              </w:rPr>
              <w:t>三氯乙烷、三氯乙烯、</w:t>
            </w:r>
            <w:r w:rsidRPr="00092862">
              <w:rPr>
                <w:rFonts w:ascii="Times New Roman" w:hAnsi="Times New Roman"/>
                <w:color w:val="000000" w:themeColor="text1"/>
                <w:sz w:val="21"/>
                <w:szCs w:val="21"/>
                <w:lang w:eastAsia="zh-CN"/>
              </w:rPr>
              <w:t>1,2,3-</w:t>
            </w:r>
            <w:r w:rsidRPr="00092862">
              <w:rPr>
                <w:rFonts w:ascii="Times New Roman" w:hAnsi="Times New Roman"/>
                <w:color w:val="000000" w:themeColor="text1"/>
                <w:sz w:val="21"/>
                <w:szCs w:val="21"/>
                <w:lang w:eastAsia="zh-CN"/>
              </w:rPr>
              <w:t>三氯丙烷、氯乙烯、苯、氯苯、</w:t>
            </w:r>
            <w:r w:rsidRPr="00092862">
              <w:rPr>
                <w:rFonts w:ascii="Times New Roman" w:hAnsi="Times New Roman"/>
                <w:color w:val="000000" w:themeColor="text1"/>
                <w:sz w:val="21"/>
                <w:szCs w:val="21"/>
                <w:lang w:eastAsia="zh-CN"/>
              </w:rPr>
              <w:t>1,2-</w:t>
            </w:r>
            <w:r w:rsidRPr="00092862">
              <w:rPr>
                <w:rFonts w:ascii="Times New Roman" w:hAnsi="Times New Roman"/>
                <w:color w:val="000000" w:themeColor="text1"/>
                <w:sz w:val="21"/>
                <w:szCs w:val="21"/>
                <w:lang w:eastAsia="zh-CN"/>
              </w:rPr>
              <w:t>二氯苯、</w:t>
            </w:r>
            <w:r w:rsidRPr="00092862">
              <w:rPr>
                <w:rFonts w:ascii="Times New Roman" w:hAnsi="Times New Roman"/>
                <w:color w:val="000000" w:themeColor="text1"/>
                <w:sz w:val="21"/>
                <w:szCs w:val="21"/>
                <w:lang w:eastAsia="zh-CN"/>
              </w:rPr>
              <w:t>1,4-</w:t>
            </w:r>
            <w:r w:rsidRPr="00092862">
              <w:rPr>
                <w:rFonts w:ascii="Times New Roman" w:hAnsi="Times New Roman"/>
                <w:color w:val="000000" w:themeColor="text1"/>
                <w:sz w:val="21"/>
                <w:szCs w:val="21"/>
                <w:lang w:eastAsia="zh-CN"/>
              </w:rPr>
              <w:t>二氯苯、乙苯、苯乙烯、甲苯、间二甲苯</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对二甲苯、邻二甲苯；</w:t>
            </w:r>
            <w:r w:rsidRPr="00092862">
              <w:rPr>
                <w:rFonts w:cs="宋体" w:hint="eastAsia"/>
                <w:color w:val="000000" w:themeColor="text1"/>
                <w:sz w:val="21"/>
                <w:szCs w:val="21"/>
                <w:lang w:eastAsia="zh-CN"/>
              </w:rPr>
              <w:t>③</w:t>
            </w:r>
            <w:r w:rsidRPr="00092862">
              <w:rPr>
                <w:rFonts w:ascii="Times New Roman" w:hAnsi="Times New Roman"/>
                <w:color w:val="000000" w:themeColor="text1"/>
                <w:sz w:val="21"/>
                <w:szCs w:val="21"/>
                <w:lang w:eastAsia="zh-CN"/>
              </w:rPr>
              <w:t>半挥发性有机物：硝基苯、苯胺、</w:t>
            </w:r>
            <w:r w:rsidRPr="00092862">
              <w:rPr>
                <w:rFonts w:ascii="Times New Roman" w:hAnsi="Times New Roman"/>
                <w:color w:val="000000" w:themeColor="text1"/>
                <w:sz w:val="21"/>
                <w:szCs w:val="21"/>
                <w:lang w:eastAsia="zh-CN"/>
              </w:rPr>
              <w:t>2-</w:t>
            </w:r>
            <w:r w:rsidRPr="00092862">
              <w:rPr>
                <w:rFonts w:ascii="Times New Roman" w:hAnsi="Times New Roman"/>
                <w:color w:val="000000" w:themeColor="text1"/>
                <w:sz w:val="21"/>
                <w:szCs w:val="21"/>
                <w:lang w:eastAsia="zh-CN"/>
              </w:rPr>
              <w:t>氯酚、苯并〔</w:t>
            </w:r>
            <w:r w:rsidRPr="00092862">
              <w:rPr>
                <w:rFonts w:ascii="Times New Roman" w:hAnsi="Times New Roman"/>
                <w:color w:val="000000" w:themeColor="text1"/>
                <w:sz w:val="21"/>
                <w:szCs w:val="21"/>
                <w:lang w:eastAsia="zh-CN"/>
              </w:rPr>
              <w:t>a</w:t>
            </w:r>
            <w:r w:rsidRPr="00092862">
              <w:rPr>
                <w:rFonts w:ascii="Times New Roman" w:hAnsi="Times New Roman"/>
                <w:color w:val="000000" w:themeColor="text1"/>
                <w:sz w:val="21"/>
                <w:szCs w:val="21"/>
                <w:lang w:eastAsia="zh-CN"/>
              </w:rPr>
              <w:t>〕蒽、苯并〔</w:t>
            </w:r>
            <w:r w:rsidRPr="00092862">
              <w:rPr>
                <w:rFonts w:ascii="Times New Roman" w:hAnsi="Times New Roman"/>
                <w:color w:val="000000" w:themeColor="text1"/>
                <w:sz w:val="21"/>
                <w:szCs w:val="21"/>
                <w:lang w:eastAsia="zh-CN"/>
              </w:rPr>
              <w:t>a</w:t>
            </w:r>
            <w:r w:rsidRPr="00092862">
              <w:rPr>
                <w:rFonts w:ascii="Times New Roman" w:hAnsi="Times New Roman"/>
                <w:color w:val="000000" w:themeColor="text1"/>
                <w:sz w:val="21"/>
                <w:szCs w:val="21"/>
                <w:lang w:eastAsia="zh-CN"/>
              </w:rPr>
              <w:t>〕芘、苯并〔</w:t>
            </w:r>
            <w:r w:rsidRPr="00092862">
              <w:rPr>
                <w:rFonts w:ascii="Times New Roman" w:hAnsi="Times New Roman"/>
                <w:color w:val="000000" w:themeColor="text1"/>
                <w:sz w:val="21"/>
                <w:szCs w:val="21"/>
                <w:lang w:eastAsia="zh-CN"/>
              </w:rPr>
              <w:t>b</w:t>
            </w:r>
            <w:r w:rsidRPr="00092862">
              <w:rPr>
                <w:rFonts w:ascii="Times New Roman" w:hAnsi="Times New Roman"/>
                <w:color w:val="000000" w:themeColor="text1"/>
                <w:sz w:val="21"/>
                <w:szCs w:val="21"/>
                <w:lang w:eastAsia="zh-CN"/>
              </w:rPr>
              <w:t>〕荧蒽、苯并〔</w:t>
            </w:r>
            <w:r w:rsidRPr="00092862">
              <w:rPr>
                <w:rFonts w:ascii="Times New Roman" w:hAnsi="Times New Roman"/>
                <w:color w:val="000000" w:themeColor="text1"/>
                <w:sz w:val="21"/>
                <w:szCs w:val="21"/>
                <w:lang w:eastAsia="zh-CN"/>
              </w:rPr>
              <w:t>k</w:t>
            </w:r>
            <w:r w:rsidRPr="00092862">
              <w:rPr>
                <w:rFonts w:ascii="Times New Roman" w:hAnsi="Times New Roman"/>
                <w:color w:val="000000" w:themeColor="text1"/>
                <w:sz w:val="21"/>
                <w:szCs w:val="21"/>
                <w:lang w:eastAsia="zh-CN"/>
              </w:rPr>
              <w:t>〕荧蒽、䓛、二苯并〔</w:t>
            </w:r>
            <w:r w:rsidRPr="00092862">
              <w:rPr>
                <w:rFonts w:ascii="Times New Roman" w:hAnsi="Times New Roman"/>
                <w:color w:val="000000" w:themeColor="text1"/>
                <w:sz w:val="21"/>
                <w:szCs w:val="21"/>
                <w:lang w:eastAsia="zh-CN"/>
              </w:rPr>
              <w:t>a,h</w:t>
            </w:r>
            <w:r w:rsidRPr="00092862">
              <w:rPr>
                <w:rFonts w:ascii="Times New Roman" w:hAnsi="Times New Roman"/>
                <w:color w:val="000000" w:themeColor="text1"/>
                <w:sz w:val="21"/>
                <w:szCs w:val="21"/>
                <w:lang w:eastAsia="zh-CN"/>
              </w:rPr>
              <w:t>〕蒽、茚并〔</w:t>
            </w:r>
            <w:r w:rsidRPr="00092862">
              <w:rPr>
                <w:rFonts w:ascii="Times New Roman" w:hAnsi="Times New Roman"/>
                <w:color w:val="000000" w:themeColor="text1"/>
                <w:sz w:val="21"/>
                <w:szCs w:val="21"/>
                <w:lang w:eastAsia="zh-CN"/>
              </w:rPr>
              <w:t>1,2,2-cd</w:t>
            </w:r>
            <w:r w:rsidRPr="00092862">
              <w:rPr>
                <w:rFonts w:ascii="Times New Roman" w:hAnsi="Times New Roman"/>
                <w:color w:val="000000" w:themeColor="text1"/>
                <w:sz w:val="21"/>
                <w:szCs w:val="21"/>
                <w:lang w:eastAsia="zh-CN"/>
              </w:rPr>
              <w:t>〕芘、萘。</w:t>
            </w:r>
            <w:r w:rsidRPr="00092862">
              <w:rPr>
                <w:rFonts w:cs="宋体" w:hint="eastAsia"/>
                <w:color w:val="000000" w:themeColor="text1"/>
                <w:sz w:val="21"/>
                <w:szCs w:val="21"/>
                <w:lang w:eastAsia="zh-CN"/>
              </w:rPr>
              <w:t>④</w:t>
            </w:r>
            <w:r w:rsidRPr="00092862">
              <w:rPr>
                <w:rFonts w:ascii="Times New Roman" w:hAnsi="Times New Roman"/>
                <w:color w:val="000000" w:themeColor="text1"/>
                <w:sz w:val="21"/>
                <w:szCs w:val="21"/>
                <w:lang w:eastAsia="zh-CN"/>
              </w:rPr>
              <w:t>特征因子：</w:t>
            </w:r>
            <w:r w:rsidRPr="00092862">
              <w:rPr>
                <w:rFonts w:ascii="Times New Roman" w:hAnsi="Times New Roman"/>
                <w:color w:val="000000" w:themeColor="text1"/>
                <w:sz w:val="21"/>
                <w:szCs w:val="21"/>
                <w:lang w:eastAsia="zh-CN"/>
              </w:rPr>
              <w:t>pH</w:t>
            </w:r>
            <w:r w:rsidRPr="00092862">
              <w:rPr>
                <w:rFonts w:ascii="Times New Roman" w:hAnsi="Times New Roman"/>
                <w:color w:val="000000" w:themeColor="text1"/>
                <w:sz w:val="21"/>
                <w:szCs w:val="21"/>
                <w:lang w:eastAsia="zh-CN"/>
              </w:rPr>
              <w:t>、石油烃、氯化物；</w:t>
            </w:r>
          </w:p>
          <w:p w14:paraId="2DE56994" w14:textId="77777777" w:rsidR="00646892" w:rsidRPr="00092862" w:rsidRDefault="000F59EB" w:rsidP="003D2EEB">
            <w:pPr>
              <w:pStyle w:val="ac"/>
              <w:tabs>
                <w:tab w:val="left" w:pos="3864"/>
              </w:tabs>
              <w:adjustRightInd w:val="0"/>
              <w:snapToGrid w:val="0"/>
              <w:spacing w:before="0"/>
              <w:ind w:left="0"/>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2</w:t>
            </w:r>
            <w:r w:rsidRPr="00092862">
              <w:rPr>
                <w:rFonts w:ascii="Times New Roman" w:hAnsi="Times New Roman"/>
                <w:color w:val="000000" w:themeColor="text1"/>
                <w:sz w:val="21"/>
                <w:szCs w:val="21"/>
                <w:lang w:eastAsia="zh-CN"/>
              </w:rPr>
              <w:t>）农用地：</w:t>
            </w:r>
            <w:r w:rsidRPr="00092862">
              <w:rPr>
                <w:rFonts w:ascii="Times New Roman" w:hAnsi="Times New Roman"/>
                <w:color w:val="000000" w:themeColor="text1"/>
                <w:sz w:val="21"/>
                <w:szCs w:val="21"/>
                <w:lang w:eastAsia="zh-CN"/>
              </w:rPr>
              <w:t>pH</w:t>
            </w:r>
            <w:r w:rsidRPr="00092862">
              <w:rPr>
                <w:rFonts w:ascii="Times New Roman" w:hAnsi="Times New Roman"/>
                <w:color w:val="000000" w:themeColor="text1"/>
                <w:sz w:val="21"/>
                <w:szCs w:val="21"/>
                <w:lang w:eastAsia="zh-CN"/>
              </w:rPr>
              <w:t>、镉、汞、砷、铅、铬、铜、镍、锌、石油烃、氯化物</w:t>
            </w:r>
          </w:p>
        </w:tc>
        <w:tc>
          <w:tcPr>
            <w:tcW w:w="3163" w:type="dxa"/>
            <w:vAlign w:val="center"/>
          </w:tcPr>
          <w:p w14:paraId="55103020" w14:textId="4A7BD214"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（采用定性描述</w:t>
            </w:r>
            <w:r w:rsidR="006059E5" w:rsidRPr="00092862">
              <w:rPr>
                <w:rFonts w:ascii="Times New Roman" w:hAnsi="Times New Roman"/>
                <w:color w:val="000000" w:themeColor="text1"/>
                <w:sz w:val="21"/>
                <w:szCs w:val="21"/>
                <w:lang w:eastAsia="zh-CN"/>
              </w:rPr>
              <w:t>与类比</w:t>
            </w:r>
            <w:r w:rsidRPr="00092862">
              <w:rPr>
                <w:rFonts w:ascii="Times New Roman" w:hAnsi="Times New Roman"/>
                <w:color w:val="000000" w:themeColor="text1"/>
                <w:sz w:val="21"/>
                <w:szCs w:val="21"/>
                <w:lang w:eastAsia="zh-CN"/>
              </w:rPr>
              <w:t>分析）</w:t>
            </w:r>
          </w:p>
        </w:tc>
      </w:tr>
      <w:tr w:rsidR="00697429" w:rsidRPr="00092862" w14:paraId="75375D1A" w14:textId="77777777" w:rsidTr="00BE7C4B">
        <w:trPr>
          <w:jc w:val="center"/>
        </w:trPr>
        <w:tc>
          <w:tcPr>
            <w:tcW w:w="1090" w:type="dxa"/>
            <w:vAlign w:val="center"/>
          </w:tcPr>
          <w:p w14:paraId="1E087270"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声环境</w:t>
            </w:r>
          </w:p>
        </w:tc>
        <w:tc>
          <w:tcPr>
            <w:tcW w:w="3969" w:type="dxa"/>
            <w:vAlign w:val="center"/>
          </w:tcPr>
          <w:p w14:paraId="451AEC28"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等效声级</w:t>
            </w:r>
          </w:p>
        </w:tc>
        <w:tc>
          <w:tcPr>
            <w:tcW w:w="3163" w:type="dxa"/>
            <w:vAlign w:val="center"/>
          </w:tcPr>
          <w:p w14:paraId="34E2A096"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等效声级</w:t>
            </w:r>
          </w:p>
        </w:tc>
      </w:tr>
      <w:tr w:rsidR="00697429" w:rsidRPr="00092862" w14:paraId="48C3AEB4" w14:textId="77777777" w:rsidTr="00BE7C4B">
        <w:trPr>
          <w:jc w:val="center"/>
        </w:trPr>
        <w:tc>
          <w:tcPr>
            <w:tcW w:w="1090" w:type="dxa"/>
            <w:vAlign w:val="center"/>
          </w:tcPr>
          <w:p w14:paraId="67FB9AA4"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固体废物</w:t>
            </w:r>
          </w:p>
        </w:tc>
        <w:tc>
          <w:tcPr>
            <w:tcW w:w="3969" w:type="dxa"/>
            <w:vAlign w:val="center"/>
          </w:tcPr>
          <w:p w14:paraId="3A686A82"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3163" w:type="dxa"/>
            <w:vAlign w:val="center"/>
          </w:tcPr>
          <w:p w14:paraId="52CACA67" w14:textId="77777777" w:rsidR="00646892"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临时土石方、钻井固废、废油、废包装材料、生活垃圾、建筑垃圾</w:t>
            </w:r>
          </w:p>
        </w:tc>
      </w:tr>
      <w:tr w:rsidR="00697429" w:rsidRPr="00092862" w14:paraId="5AD09902" w14:textId="77777777" w:rsidTr="00BE7C4B">
        <w:trPr>
          <w:jc w:val="center"/>
        </w:trPr>
        <w:tc>
          <w:tcPr>
            <w:tcW w:w="1090" w:type="dxa"/>
            <w:vAlign w:val="center"/>
          </w:tcPr>
          <w:p w14:paraId="1781FEE1" w14:textId="77777777" w:rsidR="007C24A6"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环境风险</w:t>
            </w:r>
          </w:p>
        </w:tc>
        <w:tc>
          <w:tcPr>
            <w:tcW w:w="3969" w:type="dxa"/>
            <w:vAlign w:val="center"/>
          </w:tcPr>
          <w:p w14:paraId="711BC8AA" w14:textId="77777777" w:rsidR="007C24A6" w:rsidRPr="00092862" w:rsidRDefault="007C24A6" w:rsidP="003D2EEB">
            <w:pPr>
              <w:pStyle w:val="ac"/>
              <w:tabs>
                <w:tab w:val="left" w:pos="3864"/>
              </w:tabs>
              <w:adjustRightInd w:val="0"/>
              <w:snapToGrid w:val="0"/>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3163" w:type="dxa"/>
            <w:vAlign w:val="center"/>
          </w:tcPr>
          <w:p w14:paraId="51EE142C" w14:textId="2612A339" w:rsidR="007C24A6" w:rsidRPr="00092862" w:rsidRDefault="007C24A6" w:rsidP="003D2EEB">
            <w:pPr>
              <w:pStyle w:val="ac"/>
              <w:tabs>
                <w:tab w:val="left" w:pos="3864"/>
              </w:tabs>
              <w:adjustRightInd w:val="0"/>
              <w:snapToGrid w:val="0"/>
              <w:spacing w:before="0"/>
              <w:ind w:left="0"/>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涉气风险评价因子：</w:t>
            </w:r>
            <w:r w:rsidRPr="00092862">
              <w:rPr>
                <w:rFonts w:ascii="Times New Roman" w:hAnsi="Times New Roman"/>
                <w:color w:val="000000" w:themeColor="text1"/>
                <w:sz w:val="21"/>
                <w:szCs w:val="21"/>
                <w:lang w:eastAsia="zh-CN"/>
              </w:rPr>
              <w:t>CH</w:t>
            </w:r>
            <w:r w:rsidRPr="00092862">
              <w:rPr>
                <w:rFonts w:ascii="Times New Roman" w:hAnsi="Times New Roman"/>
                <w:color w:val="000000" w:themeColor="text1"/>
                <w:sz w:val="21"/>
                <w:szCs w:val="21"/>
                <w:vertAlign w:val="subscript"/>
                <w:lang w:eastAsia="zh-CN"/>
              </w:rPr>
              <w:t>4</w:t>
            </w:r>
            <w:r w:rsidR="00D845ED" w:rsidRPr="00092862">
              <w:rPr>
                <w:rFonts w:ascii="Times New Roman" w:hAnsi="Times New Roman"/>
                <w:color w:val="000000" w:themeColor="text1"/>
                <w:sz w:val="21"/>
                <w:szCs w:val="21"/>
                <w:lang w:eastAsia="zh-CN"/>
              </w:rPr>
              <w:t>、</w:t>
            </w:r>
            <w:r w:rsidR="00D845ED" w:rsidRPr="00092862">
              <w:rPr>
                <w:rFonts w:ascii="Times New Roman" w:hAnsi="Times New Roman"/>
                <w:color w:val="000000" w:themeColor="text1"/>
                <w:kern w:val="2"/>
                <w:sz w:val="21"/>
                <w:szCs w:val="21"/>
                <w:lang w:eastAsia="zh-CN"/>
              </w:rPr>
              <w:t>H</w:t>
            </w:r>
            <w:r w:rsidR="00D845ED" w:rsidRPr="00092862">
              <w:rPr>
                <w:rFonts w:ascii="Times New Roman" w:hAnsi="Times New Roman"/>
                <w:color w:val="000000" w:themeColor="text1"/>
                <w:kern w:val="2"/>
                <w:sz w:val="21"/>
                <w:szCs w:val="21"/>
                <w:vertAlign w:val="subscript"/>
                <w:lang w:eastAsia="zh-CN"/>
              </w:rPr>
              <w:t>2</w:t>
            </w:r>
            <w:r w:rsidR="00D845ED" w:rsidRPr="00092862">
              <w:rPr>
                <w:rFonts w:ascii="Times New Roman" w:hAnsi="Times New Roman"/>
                <w:color w:val="000000" w:themeColor="text1"/>
                <w:kern w:val="2"/>
                <w:sz w:val="21"/>
                <w:szCs w:val="21"/>
                <w:lang w:eastAsia="zh-CN"/>
              </w:rPr>
              <w:t>S</w:t>
            </w:r>
          </w:p>
          <w:p w14:paraId="3588C3E9" w14:textId="786F53F4" w:rsidR="007C24A6" w:rsidRPr="00092862" w:rsidRDefault="007C24A6" w:rsidP="003D2EEB">
            <w:pPr>
              <w:pStyle w:val="ac"/>
              <w:tabs>
                <w:tab w:val="left" w:pos="3864"/>
              </w:tabs>
              <w:adjustRightInd w:val="0"/>
              <w:snapToGrid w:val="0"/>
              <w:spacing w:before="0"/>
              <w:ind w:left="0"/>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涉水风险评价因子：</w:t>
            </w:r>
            <w:r w:rsidRPr="00092862">
              <w:rPr>
                <w:rFonts w:ascii="Times New Roman" w:hAnsi="Times New Roman"/>
                <w:color w:val="000000" w:themeColor="text1"/>
                <w:sz w:val="21"/>
                <w:szCs w:val="21"/>
                <w:lang w:eastAsia="zh-CN"/>
              </w:rPr>
              <w:t>CODcr</w:t>
            </w:r>
            <w:r w:rsidRPr="00092862">
              <w:rPr>
                <w:rFonts w:ascii="Times New Roman" w:hAnsi="Times New Roman"/>
                <w:color w:val="000000" w:themeColor="text1"/>
                <w:sz w:val="21"/>
                <w:szCs w:val="21"/>
                <w:lang w:eastAsia="zh-CN"/>
              </w:rPr>
              <w:t>、氯化物、</w:t>
            </w:r>
            <w:r w:rsidR="00D044C1" w:rsidRPr="00092862">
              <w:rPr>
                <w:rFonts w:ascii="Times New Roman" w:hAnsi="Times New Roman"/>
                <w:color w:val="000000" w:themeColor="text1"/>
                <w:sz w:val="21"/>
                <w:szCs w:val="21"/>
                <w:lang w:eastAsia="zh-CN"/>
              </w:rPr>
              <w:t>石油类</w:t>
            </w:r>
          </w:p>
        </w:tc>
      </w:tr>
    </w:tbl>
    <w:p w14:paraId="66A9284A" w14:textId="556D68F9" w:rsidR="00575F56" w:rsidRPr="00092862" w:rsidRDefault="00575F56" w:rsidP="0069742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项目主要建设内容为</w:t>
      </w:r>
      <w:r w:rsidR="00FD6438" w:rsidRPr="00092862">
        <w:rPr>
          <w:rFonts w:ascii="Times New Roman" w:eastAsia="宋体" w:hAnsi="Times New Roman" w:cs="Times New Roman"/>
          <w:color w:val="000000" w:themeColor="text1"/>
          <w:sz w:val="24"/>
        </w:rPr>
        <w:t>老君</w:t>
      </w:r>
      <w:r w:rsidR="00FD6438" w:rsidRPr="00092862">
        <w:rPr>
          <w:rFonts w:ascii="Times New Roman" w:eastAsia="宋体" w:hAnsi="Times New Roman" w:cs="Times New Roman"/>
          <w:color w:val="000000" w:themeColor="text1"/>
          <w:sz w:val="24"/>
        </w:rPr>
        <w:t>7011-4H</w:t>
      </w:r>
      <w:r w:rsidR="00FD6438" w:rsidRPr="00092862">
        <w:rPr>
          <w:rFonts w:ascii="Times New Roman" w:eastAsia="宋体" w:hAnsi="Times New Roman" w:cs="Times New Roman"/>
          <w:color w:val="000000" w:themeColor="text1"/>
          <w:sz w:val="24"/>
        </w:rPr>
        <w:t>和老君</w:t>
      </w:r>
      <w:r w:rsidR="00FD6438" w:rsidRPr="00092862">
        <w:rPr>
          <w:rFonts w:ascii="Times New Roman" w:eastAsia="宋体" w:hAnsi="Times New Roman" w:cs="Times New Roman"/>
          <w:color w:val="000000" w:themeColor="text1"/>
          <w:sz w:val="24"/>
        </w:rPr>
        <w:t>7011-5H</w:t>
      </w:r>
      <w:r w:rsidR="00FD6438" w:rsidRPr="00092862">
        <w:rPr>
          <w:rFonts w:ascii="Times New Roman" w:eastAsia="宋体" w:hAnsi="Times New Roman" w:cs="Times New Roman"/>
          <w:color w:val="000000" w:themeColor="text1"/>
          <w:sz w:val="24"/>
        </w:rPr>
        <w:t>井</w:t>
      </w:r>
      <w:r w:rsidRPr="00092862">
        <w:rPr>
          <w:rFonts w:ascii="Times New Roman" w:eastAsia="宋体" w:hAnsi="Times New Roman" w:cs="Times New Roman"/>
          <w:color w:val="000000" w:themeColor="text1"/>
          <w:sz w:val="24"/>
        </w:rPr>
        <w:t>钻井，钻前工程</w:t>
      </w:r>
      <w:r w:rsidR="00FD6438" w:rsidRPr="00092862">
        <w:rPr>
          <w:rFonts w:ascii="Times New Roman" w:eastAsia="宋体" w:hAnsi="Times New Roman" w:cs="Times New Roman"/>
          <w:color w:val="000000" w:themeColor="text1"/>
          <w:sz w:val="24"/>
        </w:rPr>
        <w:t>新建</w:t>
      </w:r>
      <w:r w:rsidRPr="00092862">
        <w:rPr>
          <w:rFonts w:ascii="Times New Roman" w:eastAsia="宋体" w:hAnsi="Times New Roman" w:cs="Times New Roman"/>
          <w:color w:val="000000" w:themeColor="text1"/>
          <w:sz w:val="24"/>
        </w:rPr>
        <w:t>，</w:t>
      </w:r>
      <w:r w:rsidR="00FD6438" w:rsidRPr="00092862">
        <w:rPr>
          <w:rFonts w:ascii="Times New Roman" w:eastAsia="宋体" w:hAnsi="Times New Roman" w:cs="Times New Roman"/>
          <w:color w:val="000000" w:themeColor="text1"/>
          <w:sz w:val="24"/>
        </w:rPr>
        <w:t>新建方井</w:t>
      </w:r>
      <w:r w:rsidR="00FD6438" w:rsidRPr="00092862">
        <w:rPr>
          <w:rFonts w:ascii="Times New Roman" w:eastAsia="宋体" w:hAnsi="Times New Roman" w:cs="Times New Roman"/>
          <w:color w:val="000000" w:themeColor="text1"/>
          <w:sz w:val="24"/>
        </w:rPr>
        <w:t>2</w:t>
      </w:r>
      <w:r w:rsidR="00FD6438" w:rsidRPr="00092862">
        <w:rPr>
          <w:rFonts w:ascii="Times New Roman" w:eastAsia="宋体" w:hAnsi="Times New Roman" w:cs="Times New Roman"/>
          <w:color w:val="000000" w:themeColor="text1"/>
          <w:sz w:val="24"/>
        </w:rPr>
        <w:t>座、井架基础</w:t>
      </w:r>
      <w:r w:rsidR="00FD6438" w:rsidRPr="00092862">
        <w:rPr>
          <w:rFonts w:ascii="Times New Roman" w:eastAsia="宋体" w:hAnsi="Times New Roman" w:cs="Times New Roman"/>
          <w:color w:val="000000" w:themeColor="text1"/>
          <w:sz w:val="24"/>
        </w:rPr>
        <w:t>2</w:t>
      </w:r>
      <w:r w:rsidR="00FD6438" w:rsidRPr="00092862">
        <w:rPr>
          <w:rFonts w:ascii="Times New Roman" w:eastAsia="宋体" w:hAnsi="Times New Roman" w:cs="Times New Roman"/>
          <w:color w:val="000000" w:themeColor="text1"/>
          <w:sz w:val="24"/>
        </w:rPr>
        <w:t>座、放喷池</w:t>
      </w:r>
      <w:r w:rsidR="00FD6438" w:rsidRPr="00092862">
        <w:rPr>
          <w:rFonts w:ascii="Times New Roman" w:eastAsia="宋体" w:hAnsi="Times New Roman" w:cs="Times New Roman"/>
          <w:color w:val="000000" w:themeColor="text1"/>
          <w:sz w:val="24"/>
        </w:rPr>
        <w:t>1</w:t>
      </w:r>
      <w:r w:rsidR="00FD6438" w:rsidRPr="00092862">
        <w:rPr>
          <w:rFonts w:ascii="Times New Roman" w:eastAsia="宋体" w:hAnsi="Times New Roman" w:cs="Times New Roman"/>
          <w:color w:val="000000" w:themeColor="text1"/>
          <w:sz w:val="24"/>
        </w:rPr>
        <w:t>座、循环罐、储备罐、泵机房等设备基础及边坡支护工程，修复利旧原老君</w:t>
      </w:r>
      <w:r w:rsidR="00FD6438" w:rsidRPr="00092862">
        <w:rPr>
          <w:rFonts w:ascii="Times New Roman" w:eastAsia="宋体" w:hAnsi="Times New Roman" w:cs="Times New Roman"/>
          <w:color w:val="000000" w:themeColor="text1"/>
          <w:sz w:val="24"/>
        </w:rPr>
        <w:t>4</w:t>
      </w:r>
      <w:r w:rsidR="00FD6438" w:rsidRPr="00092862">
        <w:rPr>
          <w:rFonts w:ascii="Times New Roman" w:eastAsia="宋体" w:hAnsi="Times New Roman" w:cs="Times New Roman"/>
          <w:color w:val="000000" w:themeColor="text1"/>
          <w:sz w:val="24"/>
        </w:rPr>
        <w:t>井场已建设清水池</w:t>
      </w:r>
      <w:r w:rsidR="00FD6438" w:rsidRPr="00092862">
        <w:rPr>
          <w:rFonts w:ascii="Times New Roman" w:eastAsia="宋体" w:hAnsi="Times New Roman" w:cs="Times New Roman"/>
          <w:color w:val="000000" w:themeColor="text1"/>
          <w:sz w:val="24"/>
        </w:rPr>
        <w:t>1</w:t>
      </w:r>
      <w:r w:rsidR="00FD6438" w:rsidRPr="00092862">
        <w:rPr>
          <w:rFonts w:ascii="Times New Roman" w:eastAsia="宋体" w:hAnsi="Times New Roman" w:cs="Times New Roman"/>
          <w:color w:val="000000" w:themeColor="text1"/>
          <w:sz w:val="24"/>
        </w:rPr>
        <w:t>座，修复利旧元老君</w:t>
      </w:r>
      <w:r w:rsidR="00FD6438" w:rsidRPr="00092862">
        <w:rPr>
          <w:rFonts w:ascii="Times New Roman" w:eastAsia="宋体" w:hAnsi="Times New Roman" w:cs="Times New Roman"/>
          <w:color w:val="000000" w:themeColor="text1"/>
          <w:sz w:val="24"/>
        </w:rPr>
        <w:t>4</w:t>
      </w:r>
      <w:r w:rsidR="00FD6438" w:rsidRPr="00092862">
        <w:rPr>
          <w:rFonts w:ascii="Times New Roman" w:eastAsia="宋体" w:hAnsi="Times New Roman" w:cs="Times New Roman"/>
          <w:color w:val="000000" w:themeColor="text1"/>
          <w:sz w:val="24"/>
        </w:rPr>
        <w:t>井场放喷池</w:t>
      </w:r>
      <w:r w:rsidR="00FD6438" w:rsidRPr="00092862">
        <w:rPr>
          <w:rFonts w:ascii="Times New Roman" w:eastAsia="宋体" w:hAnsi="Times New Roman" w:cs="Times New Roman"/>
          <w:color w:val="000000" w:themeColor="text1"/>
          <w:sz w:val="24"/>
        </w:rPr>
        <w:t>1</w:t>
      </w:r>
      <w:r w:rsidR="00FD6438" w:rsidRPr="00092862">
        <w:rPr>
          <w:rFonts w:ascii="Times New Roman" w:eastAsia="宋体" w:hAnsi="Times New Roman" w:cs="Times New Roman"/>
          <w:color w:val="000000" w:themeColor="text1"/>
          <w:sz w:val="24"/>
        </w:rPr>
        <w:t>座</w:t>
      </w:r>
      <w:r w:rsidRPr="00092862">
        <w:rPr>
          <w:rFonts w:ascii="Times New Roman" w:eastAsia="宋体" w:hAnsi="Times New Roman" w:cs="Times New Roman"/>
          <w:color w:val="000000" w:themeColor="text1"/>
          <w:sz w:val="24"/>
        </w:rPr>
        <w:t>，新建泥浆罐基础、泥浆不落地基础、循环罐基础、储备罐基础、油罐基础、发电机房基础等，施工运营期生态环境影响主要表现在施工运营活动对物种、生境、生物群落、自然景观、生态系统、生物多样性等方面的影响。</w:t>
      </w:r>
    </w:p>
    <w:p w14:paraId="027B9AE5" w14:textId="77777777" w:rsidR="00575F56" w:rsidRPr="00092862" w:rsidRDefault="00575F56" w:rsidP="0069742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在工程分析和现场调查的基础上，结合本项目的特点，进行项目环境影响识别与评价因子筛选，确定本次评价的重点，生态环境影响因素如下表所示。</w:t>
      </w:r>
    </w:p>
    <w:p w14:paraId="5A1BAA1A" w14:textId="77777777" w:rsidR="00D72D31" w:rsidRPr="00092862" w:rsidRDefault="00D72D31"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5D47A2FA" w14:textId="77777777" w:rsidR="00697429" w:rsidRPr="00092862" w:rsidRDefault="00697429"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75ABFE75" w14:textId="77777777" w:rsidR="00697429" w:rsidRPr="00092862" w:rsidRDefault="00697429"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5AF1E7E8" w14:textId="20444230" w:rsidR="00575F56" w:rsidRPr="00092862" w:rsidRDefault="00575F56"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10287F" w:rsidRPr="00092862">
        <w:rPr>
          <w:rFonts w:ascii="Times New Roman" w:eastAsia="黑体" w:hAnsi="Times New Roman"/>
          <w:color w:val="000000" w:themeColor="text1"/>
          <w:sz w:val="21"/>
          <w:szCs w:val="21"/>
          <w:lang w:eastAsia="zh-CN"/>
        </w:rPr>
        <w:t>2.4-4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施工期陆生生态影响评价因子筛选表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89"/>
        <w:gridCol w:w="2812"/>
        <w:gridCol w:w="3348"/>
        <w:gridCol w:w="539"/>
        <w:gridCol w:w="508"/>
      </w:tblGrid>
      <w:tr w:rsidR="00697429" w:rsidRPr="00092862" w14:paraId="4CA356AB" w14:textId="77777777" w:rsidTr="00575F56">
        <w:trPr>
          <w:trHeight w:val="436"/>
          <w:jc w:val="center"/>
        </w:trPr>
        <w:tc>
          <w:tcPr>
            <w:tcW w:w="656" w:type="pct"/>
            <w:vAlign w:val="center"/>
          </w:tcPr>
          <w:p w14:paraId="0D5A8947"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受影响对象</w:t>
            </w:r>
          </w:p>
        </w:tc>
        <w:tc>
          <w:tcPr>
            <w:tcW w:w="1694" w:type="pct"/>
            <w:vAlign w:val="center"/>
          </w:tcPr>
          <w:p w14:paraId="655112AD"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评价因子</w:t>
            </w:r>
          </w:p>
        </w:tc>
        <w:tc>
          <w:tcPr>
            <w:tcW w:w="2018" w:type="pct"/>
            <w:vAlign w:val="center"/>
          </w:tcPr>
          <w:p w14:paraId="7246654A"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工程内容及影响方式</w:t>
            </w:r>
          </w:p>
        </w:tc>
        <w:tc>
          <w:tcPr>
            <w:tcW w:w="325" w:type="pct"/>
            <w:vAlign w:val="center"/>
          </w:tcPr>
          <w:p w14:paraId="11A8BE0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影响性质</w:t>
            </w:r>
          </w:p>
        </w:tc>
        <w:tc>
          <w:tcPr>
            <w:tcW w:w="306" w:type="pct"/>
            <w:vAlign w:val="center"/>
          </w:tcPr>
          <w:p w14:paraId="118F9712"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影响程度</w:t>
            </w:r>
          </w:p>
        </w:tc>
      </w:tr>
      <w:tr w:rsidR="00697429" w:rsidRPr="00092862" w14:paraId="6716F582" w14:textId="77777777" w:rsidTr="00575F56">
        <w:trPr>
          <w:trHeight w:val="414"/>
          <w:jc w:val="center"/>
        </w:trPr>
        <w:tc>
          <w:tcPr>
            <w:tcW w:w="656" w:type="pct"/>
            <w:vAlign w:val="center"/>
          </w:tcPr>
          <w:p w14:paraId="3140C2C0"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物种</w:t>
            </w:r>
          </w:p>
        </w:tc>
        <w:tc>
          <w:tcPr>
            <w:tcW w:w="1694" w:type="pct"/>
            <w:vAlign w:val="center"/>
          </w:tcPr>
          <w:p w14:paraId="1C7C176B"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分布范围、种群数量、种群结构、行为等</w:t>
            </w:r>
          </w:p>
        </w:tc>
        <w:tc>
          <w:tcPr>
            <w:tcW w:w="2018" w:type="pct"/>
            <w:vMerge w:val="restart"/>
            <w:vAlign w:val="center"/>
          </w:tcPr>
          <w:p w14:paraId="5F9B2B47" w14:textId="62277DA8" w:rsidR="00575F56" w:rsidRPr="00092862" w:rsidRDefault="00FD6438" w:rsidP="00BA60D6">
            <w:pPr>
              <w:adjustRightInd w:val="0"/>
              <w:ind w:firstLineChars="200" w:firstLine="420"/>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老君</w:t>
            </w:r>
            <w:r w:rsidRPr="00092862">
              <w:rPr>
                <w:rFonts w:ascii="Times New Roman" w:eastAsia="宋体" w:hAnsi="Times New Roman" w:cs="Times New Roman"/>
                <w:bCs/>
                <w:color w:val="000000" w:themeColor="text1"/>
                <w:szCs w:val="21"/>
              </w:rPr>
              <w:t>7011-4H</w:t>
            </w:r>
            <w:r w:rsidRPr="00092862">
              <w:rPr>
                <w:rFonts w:ascii="Times New Roman" w:eastAsia="宋体" w:hAnsi="Times New Roman" w:cs="Times New Roman"/>
                <w:bCs/>
                <w:color w:val="000000" w:themeColor="text1"/>
                <w:szCs w:val="21"/>
              </w:rPr>
              <w:t>和老君</w:t>
            </w:r>
            <w:r w:rsidRPr="00092862">
              <w:rPr>
                <w:rFonts w:ascii="Times New Roman" w:eastAsia="宋体" w:hAnsi="Times New Roman" w:cs="Times New Roman"/>
                <w:bCs/>
                <w:color w:val="000000" w:themeColor="text1"/>
                <w:szCs w:val="21"/>
              </w:rPr>
              <w:t>7011-5H</w:t>
            </w:r>
            <w:r w:rsidRPr="00092862">
              <w:rPr>
                <w:rFonts w:ascii="Times New Roman" w:eastAsia="宋体" w:hAnsi="Times New Roman" w:cs="Times New Roman"/>
                <w:bCs/>
                <w:color w:val="000000" w:themeColor="text1"/>
                <w:szCs w:val="21"/>
              </w:rPr>
              <w:t>井</w:t>
            </w:r>
            <w:r w:rsidR="00575F56" w:rsidRPr="00092862">
              <w:rPr>
                <w:rFonts w:ascii="Times New Roman" w:eastAsia="宋体" w:hAnsi="Times New Roman" w:cs="Times New Roman"/>
                <w:bCs/>
                <w:color w:val="000000" w:themeColor="text1"/>
                <w:szCs w:val="21"/>
              </w:rPr>
              <w:t>钻井，间接影响；</w:t>
            </w:r>
          </w:p>
          <w:p w14:paraId="5ED8209A" w14:textId="7EF8B409" w:rsidR="00575F56" w:rsidRPr="00092862" w:rsidRDefault="00FD6438" w:rsidP="00BA60D6">
            <w:pPr>
              <w:adjustRightInd w:val="0"/>
              <w:ind w:firstLineChars="200" w:firstLine="420"/>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新建井场占地</w:t>
            </w:r>
            <w:r w:rsidR="00575F56" w:rsidRPr="00092862">
              <w:rPr>
                <w:rFonts w:ascii="Times New Roman" w:eastAsia="宋体" w:hAnsi="Times New Roman" w:cs="Times New Roman"/>
                <w:bCs/>
                <w:color w:val="000000" w:themeColor="text1"/>
                <w:szCs w:val="21"/>
              </w:rPr>
              <w:t>，直接影响。</w:t>
            </w:r>
          </w:p>
        </w:tc>
        <w:tc>
          <w:tcPr>
            <w:tcW w:w="325" w:type="pct"/>
            <w:vMerge w:val="restart"/>
            <w:vAlign w:val="center"/>
          </w:tcPr>
          <w:p w14:paraId="24679DA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短期、可逆</w:t>
            </w:r>
          </w:p>
        </w:tc>
        <w:tc>
          <w:tcPr>
            <w:tcW w:w="306" w:type="pct"/>
            <w:vMerge w:val="restart"/>
            <w:vAlign w:val="center"/>
          </w:tcPr>
          <w:p w14:paraId="36188E46"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弱</w:t>
            </w:r>
          </w:p>
        </w:tc>
      </w:tr>
      <w:tr w:rsidR="00697429" w:rsidRPr="00092862" w14:paraId="73316EEF" w14:textId="77777777" w:rsidTr="00575F56">
        <w:trPr>
          <w:trHeight w:val="403"/>
          <w:jc w:val="center"/>
        </w:trPr>
        <w:tc>
          <w:tcPr>
            <w:tcW w:w="656" w:type="pct"/>
            <w:vAlign w:val="center"/>
          </w:tcPr>
          <w:p w14:paraId="76D57382"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生境</w:t>
            </w:r>
          </w:p>
        </w:tc>
        <w:tc>
          <w:tcPr>
            <w:tcW w:w="1694" w:type="pct"/>
            <w:vAlign w:val="center"/>
          </w:tcPr>
          <w:p w14:paraId="75BD4905"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生境面积、质量、连通性等</w:t>
            </w:r>
          </w:p>
        </w:tc>
        <w:tc>
          <w:tcPr>
            <w:tcW w:w="2018" w:type="pct"/>
            <w:vMerge/>
            <w:vAlign w:val="center"/>
          </w:tcPr>
          <w:p w14:paraId="79A73C53"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25" w:type="pct"/>
            <w:vMerge/>
            <w:vAlign w:val="center"/>
          </w:tcPr>
          <w:p w14:paraId="1FC23191"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77F4536D"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78FE48DF" w14:textId="77777777" w:rsidTr="00575F56">
        <w:trPr>
          <w:trHeight w:val="402"/>
          <w:jc w:val="center"/>
        </w:trPr>
        <w:tc>
          <w:tcPr>
            <w:tcW w:w="656" w:type="pct"/>
            <w:vAlign w:val="center"/>
          </w:tcPr>
          <w:p w14:paraId="4A79CE38"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生物群落</w:t>
            </w:r>
          </w:p>
        </w:tc>
        <w:tc>
          <w:tcPr>
            <w:tcW w:w="1694" w:type="pct"/>
            <w:vAlign w:val="center"/>
          </w:tcPr>
          <w:p w14:paraId="3DE91CE0"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物种组成、群落结构等</w:t>
            </w:r>
          </w:p>
        </w:tc>
        <w:tc>
          <w:tcPr>
            <w:tcW w:w="2018" w:type="pct"/>
            <w:vMerge/>
            <w:vAlign w:val="center"/>
          </w:tcPr>
          <w:p w14:paraId="330591BF"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25" w:type="pct"/>
            <w:vMerge/>
            <w:vAlign w:val="center"/>
          </w:tcPr>
          <w:p w14:paraId="77B51417"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78D0B009"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269B7DF9" w14:textId="77777777" w:rsidTr="00575F56">
        <w:trPr>
          <w:trHeight w:val="403"/>
          <w:jc w:val="center"/>
        </w:trPr>
        <w:tc>
          <w:tcPr>
            <w:tcW w:w="656" w:type="pct"/>
            <w:vAlign w:val="center"/>
          </w:tcPr>
          <w:p w14:paraId="4E3E79BD"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生态系统</w:t>
            </w:r>
          </w:p>
        </w:tc>
        <w:tc>
          <w:tcPr>
            <w:tcW w:w="1694" w:type="pct"/>
            <w:vAlign w:val="center"/>
          </w:tcPr>
          <w:p w14:paraId="4DD122B3"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植被覆盖度、生产力、生物量、生态系统功能等</w:t>
            </w:r>
          </w:p>
        </w:tc>
        <w:tc>
          <w:tcPr>
            <w:tcW w:w="2018" w:type="pct"/>
            <w:vMerge/>
            <w:vAlign w:val="center"/>
          </w:tcPr>
          <w:p w14:paraId="6B2CFB1A"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25" w:type="pct"/>
            <w:vMerge/>
            <w:vAlign w:val="center"/>
          </w:tcPr>
          <w:p w14:paraId="37A9F8A0"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0EB3E66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6C7BC55B" w14:textId="77777777" w:rsidTr="00575F56">
        <w:trPr>
          <w:trHeight w:val="402"/>
          <w:jc w:val="center"/>
        </w:trPr>
        <w:tc>
          <w:tcPr>
            <w:tcW w:w="656" w:type="pct"/>
            <w:vAlign w:val="center"/>
          </w:tcPr>
          <w:p w14:paraId="363C90E6"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生物多样性</w:t>
            </w:r>
          </w:p>
        </w:tc>
        <w:tc>
          <w:tcPr>
            <w:tcW w:w="1694" w:type="pct"/>
            <w:vAlign w:val="center"/>
          </w:tcPr>
          <w:p w14:paraId="4C8FA06B"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物种丰富度、均匀度、优势度等</w:t>
            </w:r>
          </w:p>
        </w:tc>
        <w:tc>
          <w:tcPr>
            <w:tcW w:w="2018" w:type="pct"/>
            <w:vMerge/>
            <w:vAlign w:val="center"/>
          </w:tcPr>
          <w:p w14:paraId="3D0A130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25" w:type="pct"/>
            <w:vMerge/>
            <w:vAlign w:val="center"/>
          </w:tcPr>
          <w:p w14:paraId="46897599"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227137F0"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29BCAE8E" w14:textId="77777777" w:rsidTr="00575F56">
        <w:trPr>
          <w:trHeight w:val="403"/>
          <w:jc w:val="center"/>
        </w:trPr>
        <w:tc>
          <w:tcPr>
            <w:tcW w:w="656" w:type="pct"/>
            <w:vAlign w:val="center"/>
          </w:tcPr>
          <w:p w14:paraId="634F25B9"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自然景观</w:t>
            </w:r>
          </w:p>
        </w:tc>
        <w:tc>
          <w:tcPr>
            <w:tcW w:w="1694" w:type="pct"/>
            <w:vAlign w:val="center"/>
          </w:tcPr>
          <w:p w14:paraId="6E67192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景观多样性、完整性等</w:t>
            </w:r>
          </w:p>
        </w:tc>
        <w:tc>
          <w:tcPr>
            <w:tcW w:w="2018" w:type="pct"/>
            <w:vMerge/>
            <w:vAlign w:val="center"/>
          </w:tcPr>
          <w:p w14:paraId="043DAD91"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25" w:type="pct"/>
            <w:vMerge/>
            <w:vAlign w:val="center"/>
          </w:tcPr>
          <w:p w14:paraId="4D383B76"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014E0905"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bl>
    <w:p w14:paraId="468137BB" w14:textId="2D81F49D" w:rsidR="00575F56" w:rsidRPr="00092862" w:rsidRDefault="00575F56"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2.4-5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运营期陆生生态影响评价因子筛选表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5"/>
        <w:gridCol w:w="2841"/>
        <w:gridCol w:w="2895"/>
        <w:gridCol w:w="977"/>
        <w:gridCol w:w="508"/>
      </w:tblGrid>
      <w:tr w:rsidR="00697429" w:rsidRPr="00092862" w14:paraId="7A762A60" w14:textId="77777777" w:rsidTr="00575F56">
        <w:trPr>
          <w:trHeight w:val="436"/>
          <w:jc w:val="center"/>
        </w:trPr>
        <w:tc>
          <w:tcPr>
            <w:tcW w:w="648" w:type="pct"/>
            <w:vAlign w:val="center"/>
          </w:tcPr>
          <w:p w14:paraId="6643E479"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受影响对象</w:t>
            </w:r>
          </w:p>
        </w:tc>
        <w:tc>
          <w:tcPr>
            <w:tcW w:w="1712" w:type="pct"/>
            <w:vAlign w:val="center"/>
          </w:tcPr>
          <w:p w14:paraId="55A0EEE4"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评价因子</w:t>
            </w:r>
          </w:p>
        </w:tc>
        <w:tc>
          <w:tcPr>
            <w:tcW w:w="1745" w:type="pct"/>
            <w:vAlign w:val="center"/>
          </w:tcPr>
          <w:p w14:paraId="19F9811D"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工程内容及影响方式</w:t>
            </w:r>
          </w:p>
        </w:tc>
        <w:tc>
          <w:tcPr>
            <w:tcW w:w="589" w:type="pct"/>
            <w:vAlign w:val="center"/>
          </w:tcPr>
          <w:p w14:paraId="13DAF8AD"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影响性质</w:t>
            </w:r>
          </w:p>
        </w:tc>
        <w:tc>
          <w:tcPr>
            <w:tcW w:w="306" w:type="pct"/>
            <w:vAlign w:val="center"/>
          </w:tcPr>
          <w:p w14:paraId="5282AEBB"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影响程度</w:t>
            </w:r>
          </w:p>
        </w:tc>
      </w:tr>
      <w:tr w:rsidR="00697429" w:rsidRPr="00092862" w14:paraId="68D54A6D" w14:textId="77777777" w:rsidTr="00575F56">
        <w:trPr>
          <w:trHeight w:val="414"/>
          <w:jc w:val="center"/>
        </w:trPr>
        <w:tc>
          <w:tcPr>
            <w:tcW w:w="648" w:type="pct"/>
            <w:vAlign w:val="center"/>
          </w:tcPr>
          <w:p w14:paraId="22449B0A"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物种</w:t>
            </w:r>
          </w:p>
        </w:tc>
        <w:tc>
          <w:tcPr>
            <w:tcW w:w="1712" w:type="pct"/>
            <w:vAlign w:val="center"/>
          </w:tcPr>
          <w:p w14:paraId="3CFC9358"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分布范围、种群数量、种群结构、行为等</w:t>
            </w:r>
          </w:p>
        </w:tc>
        <w:tc>
          <w:tcPr>
            <w:tcW w:w="1745" w:type="pct"/>
            <w:vMerge w:val="restart"/>
            <w:vAlign w:val="center"/>
          </w:tcPr>
          <w:p w14:paraId="40AD6019"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不新增占地，间接影响</w:t>
            </w:r>
          </w:p>
        </w:tc>
        <w:tc>
          <w:tcPr>
            <w:tcW w:w="589" w:type="pct"/>
            <w:vMerge w:val="restart"/>
            <w:vAlign w:val="center"/>
          </w:tcPr>
          <w:p w14:paraId="564C83B6"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短期、可逆</w:t>
            </w:r>
          </w:p>
        </w:tc>
        <w:tc>
          <w:tcPr>
            <w:tcW w:w="306" w:type="pct"/>
            <w:vMerge w:val="restart"/>
            <w:vAlign w:val="center"/>
          </w:tcPr>
          <w:p w14:paraId="5065B4C8"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弱</w:t>
            </w:r>
          </w:p>
        </w:tc>
      </w:tr>
      <w:tr w:rsidR="00697429" w:rsidRPr="00092862" w14:paraId="0C7733BD" w14:textId="77777777" w:rsidTr="00575F56">
        <w:trPr>
          <w:trHeight w:val="403"/>
          <w:jc w:val="center"/>
        </w:trPr>
        <w:tc>
          <w:tcPr>
            <w:tcW w:w="648" w:type="pct"/>
            <w:vAlign w:val="center"/>
          </w:tcPr>
          <w:p w14:paraId="59951568"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生境</w:t>
            </w:r>
          </w:p>
        </w:tc>
        <w:tc>
          <w:tcPr>
            <w:tcW w:w="1712" w:type="pct"/>
            <w:vAlign w:val="center"/>
          </w:tcPr>
          <w:p w14:paraId="47632081"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生境面积、质量、连通性等</w:t>
            </w:r>
          </w:p>
        </w:tc>
        <w:tc>
          <w:tcPr>
            <w:tcW w:w="1745" w:type="pct"/>
            <w:vMerge/>
            <w:vAlign w:val="center"/>
          </w:tcPr>
          <w:p w14:paraId="40E2DA04"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589" w:type="pct"/>
            <w:vMerge/>
            <w:vAlign w:val="center"/>
          </w:tcPr>
          <w:p w14:paraId="59D2AD88"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025831B2"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4BCB4BA3" w14:textId="77777777" w:rsidTr="00575F56">
        <w:trPr>
          <w:trHeight w:val="402"/>
          <w:jc w:val="center"/>
        </w:trPr>
        <w:tc>
          <w:tcPr>
            <w:tcW w:w="648" w:type="pct"/>
            <w:vAlign w:val="center"/>
          </w:tcPr>
          <w:p w14:paraId="5408845F"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生物群落</w:t>
            </w:r>
          </w:p>
        </w:tc>
        <w:tc>
          <w:tcPr>
            <w:tcW w:w="1712" w:type="pct"/>
            <w:vAlign w:val="center"/>
          </w:tcPr>
          <w:p w14:paraId="65CB0F82"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物种组成、群落结构等</w:t>
            </w:r>
          </w:p>
        </w:tc>
        <w:tc>
          <w:tcPr>
            <w:tcW w:w="1745" w:type="pct"/>
            <w:vMerge/>
            <w:vAlign w:val="center"/>
          </w:tcPr>
          <w:p w14:paraId="3A1EEB6F"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589" w:type="pct"/>
            <w:vMerge/>
            <w:vAlign w:val="center"/>
          </w:tcPr>
          <w:p w14:paraId="4F3AC8CE"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1D366B9E"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61AC1D5E" w14:textId="77777777" w:rsidTr="00575F56">
        <w:trPr>
          <w:trHeight w:val="403"/>
          <w:jc w:val="center"/>
        </w:trPr>
        <w:tc>
          <w:tcPr>
            <w:tcW w:w="648" w:type="pct"/>
            <w:vAlign w:val="center"/>
          </w:tcPr>
          <w:p w14:paraId="512191BE"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生态系统</w:t>
            </w:r>
          </w:p>
        </w:tc>
        <w:tc>
          <w:tcPr>
            <w:tcW w:w="1712" w:type="pct"/>
            <w:vAlign w:val="center"/>
          </w:tcPr>
          <w:p w14:paraId="0FE10496"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植被覆盖度、生产力、生物量、生态系统功能等</w:t>
            </w:r>
          </w:p>
        </w:tc>
        <w:tc>
          <w:tcPr>
            <w:tcW w:w="1745" w:type="pct"/>
            <w:vMerge/>
            <w:vAlign w:val="center"/>
          </w:tcPr>
          <w:p w14:paraId="4679AACF"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589" w:type="pct"/>
            <w:vMerge/>
            <w:vAlign w:val="center"/>
          </w:tcPr>
          <w:p w14:paraId="449AA981"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7C659FB0"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0F7270C2" w14:textId="77777777" w:rsidTr="00575F56">
        <w:trPr>
          <w:trHeight w:val="402"/>
          <w:jc w:val="center"/>
        </w:trPr>
        <w:tc>
          <w:tcPr>
            <w:tcW w:w="648" w:type="pct"/>
            <w:vAlign w:val="center"/>
          </w:tcPr>
          <w:p w14:paraId="22EF97D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生物多样性</w:t>
            </w:r>
          </w:p>
        </w:tc>
        <w:tc>
          <w:tcPr>
            <w:tcW w:w="1712" w:type="pct"/>
            <w:vAlign w:val="center"/>
          </w:tcPr>
          <w:p w14:paraId="5CA19E4C"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物种丰富度、均匀度、优势度等</w:t>
            </w:r>
          </w:p>
        </w:tc>
        <w:tc>
          <w:tcPr>
            <w:tcW w:w="1745" w:type="pct"/>
            <w:vMerge/>
            <w:vAlign w:val="center"/>
          </w:tcPr>
          <w:p w14:paraId="3F42BF79"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589" w:type="pct"/>
            <w:vMerge/>
            <w:vAlign w:val="center"/>
          </w:tcPr>
          <w:p w14:paraId="7EB85414"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007E7C47"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r w:rsidR="00697429" w:rsidRPr="00092862" w14:paraId="7A64D3FA" w14:textId="77777777" w:rsidTr="00575F56">
        <w:trPr>
          <w:trHeight w:val="403"/>
          <w:jc w:val="center"/>
        </w:trPr>
        <w:tc>
          <w:tcPr>
            <w:tcW w:w="648" w:type="pct"/>
            <w:vAlign w:val="center"/>
          </w:tcPr>
          <w:p w14:paraId="345C8876"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自然景观</w:t>
            </w:r>
          </w:p>
        </w:tc>
        <w:tc>
          <w:tcPr>
            <w:tcW w:w="1712" w:type="pct"/>
            <w:vAlign w:val="center"/>
          </w:tcPr>
          <w:p w14:paraId="5CEBEEDE"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景观多样性、完整性等</w:t>
            </w:r>
          </w:p>
        </w:tc>
        <w:tc>
          <w:tcPr>
            <w:tcW w:w="1745" w:type="pct"/>
            <w:vMerge/>
            <w:vAlign w:val="center"/>
          </w:tcPr>
          <w:p w14:paraId="6237B498"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589" w:type="pct"/>
            <w:vMerge/>
            <w:vAlign w:val="center"/>
          </w:tcPr>
          <w:p w14:paraId="0E1809A2"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c>
          <w:tcPr>
            <w:tcW w:w="306" w:type="pct"/>
            <w:vMerge/>
            <w:vAlign w:val="center"/>
          </w:tcPr>
          <w:p w14:paraId="4B363A3B" w14:textId="77777777" w:rsidR="00575F56" w:rsidRPr="00092862" w:rsidRDefault="00575F56" w:rsidP="00BA60D6">
            <w:pPr>
              <w:adjustRightInd w:val="0"/>
              <w:jc w:val="center"/>
              <w:textAlignment w:val="baseline"/>
              <w:rPr>
                <w:rFonts w:ascii="Times New Roman" w:eastAsia="宋体" w:hAnsi="Times New Roman" w:cs="Times New Roman"/>
                <w:bCs/>
                <w:color w:val="000000" w:themeColor="text1"/>
                <w:szCs w:val="21"/>
              </w:rPr>
            </w:pPr>
          </w:p>
        </w:tc>
      </w:tr>
    </w:tbl>
    <w:p w14:paraId="0F8AD9FD" w14:textId="76431092" w:rsidR="00DC446C" w:rsidRPr="00092862" w:rsidRDefault="003B1968" w:rsidP="006059E5">
      <w:pPr>
        <w:pStyle w:val="2"/>
        <w:adjustRightInd/>
        <w:snapToGrid/>
        <w:spacing w:beforeLines="50" w:before="156"/>
        <w:ind w:firstLine="480"/>
        <w:rPr>
          <w:color w:val="000000" w:themeColor="text1"/>
          <w:szCs w:val="24"/>
          <w:lang w:eastAsia="zh-CN"/>
        </w:rPr>
      </w:pPr>
      <w:bookmarkStart w:id="39" w:name="_Toc123682524"/>
      <w:r w:rsidRPr="00092862">
        <w:rPr>
          <w:color w:val="000000" w:themeColor="text1"/>
          <w:szCs w:val="24"/>
          <w:lang w:eastAsia="zh-CN"/>
        </w:rPr>
        <w:t>2.5</w:t>
      </w:r>
      <w:r w:rsidRPr="00092862">
        <w:rPr>
          <w:color w:val="000000" w:themeColor="text1"/>
          <w:szCs w:val="24"/>
          <w:lang w:eastAsia="zh-CN"/>
        </w:rPr>
        <w:t>环境功能区划与评价标准</w:t>
      </w:r>
      <w:bookmarkEnd w:id="39"/>
    </w:p>
    <w:p w14:paraId="5CD986D7" w14:textId="77777777" w:rsidR="00DC446C" w:rsidRPr="00092862" w:rsidRDefault="003B1968" w:rsidP="006059E5">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40" w:name="_Toc120173065"/>
      <w:r w:rsidRPr="00092862">
        <w:rPr>
          <w:rFonts w:ascii="Times New Roman" w:eastAsia="黑体" w:hAnsi="Times New Roman"/>
          <w:b w:val="0"/>
          <w:color w:val="000000" w:themeColor="text1"/>
          <w:sz w:val="24"/>
          <w:szCs w:val="24"/>
          <w:lang w:eastAsia="zh-CN"/>
        </w:rPr>
        <w:t>2.5.1</w:t>
      </w:r>
      <w:r w:rsidRPr="00092862">
        <w:rPr>
          <w:rFonts w:ascii="Times New Roman" w:eastAsia="黑体" w:hAnsi="Times New Roman"/>
          <w:b w:val="0"/>
          <w:color w:val="000000" w:themeColor="text1"/>
          <w:sz w:val="24"/>
          <w:szCs w:val="24"/>
          <w:lang w:eastAsia="zh-CN"/>
        </w:rPr>
        <w:t>环境功能区划</w:t>
      </w:r>
      <w:bookmarkEnd w:id="40"/>
    </w:p>
    <w:p w14:paraId="2016CE55" w14:textId="77777777"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）大气环境功能区划</w:t>
      </w:r>
    </w:p>
    <w:p w14:paraId="25F65FC2" w14:textId="4631407F"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工程建设区域内主要为农业耕作区，散居农户较</w:t>
      </w:r>
      <w:r w:rsidR="00D845ED" w:rsidRPr="00092862">
        <w:rPr>
          <w:rFonts w:ascii="Times New Roman" w:eastAsia="宋体" w:hAnsi="Times New Roman" w:cs="Times New Roman"/>
          <w:bCs/>
          <w:color w:val="000000" w:themeColor="text1"/>
          <w:sz w:val="24"/>
          <w:szCs w:val="24"/>
        </w:rPr>
        <w:t>少</w:t>
      </w:r>
      <w:r w:rsidRPr="00092862">
        <w:rPr>
          <w:rFonts w:ascii="Times New Roman" w:eastAsia="宋体" w:hAnsi="Times New Roman" w:cs="Times New Roman"/>
          <w:bCs/>
          <w:color w:val="000000" w:themeColor="text1"/>
          <w:sz w:val="24"/>
          <w:szCs w:val="24"/>
        </w:rPr>
        <w:t>，属乡村区域环境，根据《环境空气质量标准》（</w:t>
      </w:r>
      <w:r w:rsidRPr="00092862">
        <w:rPr>
          <w:rFonts w:ascii="Times New Roman" w:eastAsia="宋体" w:hAnsi="Times New Roman" w:cs="Times New Roman"/>
          <w:bCs/>
          <w:color w:val="000000" w:themeColor="text1"/>
          <w:sz w:val="24"/>
          <w:szCs w:val="24"/>
        </w:rPr>
        <w:t>GB3095-2012</w:t>
      </w:r>
      <w:r w:rsidRPr="00092862">
        <w:rPr>
          <w:rFonts w:ascii="Times New Roman" w:eastAsia="宋体" w:hAnsi="Times New Roman" w:cs="Times New Roman"/>
          <w:bCs/>
          <w:color w:val="000000" w:themeColor="text1"/>
          <w:sz w:val="24"/>
          <w:szCs w:val="24"/>
        </w:rPr>
        <w:t>）划分，工程建设区属</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类地区，执行《环境空气质量标准》（</w:t>
      </w:r>
      <w:r w:rsidRPr="00092862">
        <w:rPr>
          <w:rFonts w:ascii="Times New Roman" w:eastAsia="宋体" w:hAnsi="Times New Roman" w:cs="Times New Roman"/>
          <w:bCs/>
          <w:color w:val="000000" w:themeColor="text1"/>
          <w:sz w:val="24"/>
          <w:szCs w:val="24"/>
        </w:rPr>
        <w:t>GB3095-2012</w:t>
      </w:r>
      <w:r w:rsidRPr="00092862">
        <w:rPr>
          <w:rFonts w:ascii="Times New Roman" w:eastAsia="宋体" w:hAnsi="Times New Roman" w:cs="Times New Roman"/>
          <w:bCs/>
          <w:color w:val="000000" w:themeColor="text1"/>
          <w:sz w:val="24"/>
          <w:szCs w:val="24"/>
        </w:rPr>
        <w:t>）中的二级标准。</w:t>
      </w:r>
    </w:p>
    <w:p w14:paraId="77C456E3" w14:textId="77777777"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r w:rsidR="009C0A80" w:rsidRPr="00092862">
        <w:rPr>
          <w:rFonts w:ascii="Times New Roman" w:eastAsia="宋体" w:hAnsi="Times New Roman" w:cs="Times New Roman"/>
          <w:bCs/>
          <w:color w:val="000000" w:themeColor="text1"/>
          <w:sz w:val="24"/>
          <w:szCs w:val="24"/>
        </w:rPr>
        <w:t>地表</w:t>
      </w:r>
      <w:r w:rsidRPr="00092862">
        <w:rPr>
          <w:rFonts w:ascii="Times New Roman" w:eastAsia="宋体" w:hAnsi="Times New Roman" w:cs="Times New Roman"/>
          <w:bCs/>
          <w:color w:val="000000" w:themeColor="text1"/>
          <w:sz w:val="24"/>
          <w:szCs w:val="24"/>
        </w:rPr>
        <w:t>水环境功能区划</w:t>
      </w:r>
    </w:p>
    <w:p w14:paraId="42463242" w14:textId="08BC32C7" w:rsidR="00DC446C" w:rsidRPr="00092862" w:rsidRDefault="007D069E"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根据宣汉县地表水功能区划，</w:t>
      </w:r>
      <w:r w:rsidR="00D845ED" w:rsidRPr="00092862">
        <w:rPr>
          <w:rFonts w:ascii="Times New Roman" w:eastAsia="宋体" w:hAnsi="Times New Roman" w:cs="Times New Roman"/>
          <w:bCs/>
          <w:color w:val="000000" w:themeColor="text1"/>
          <w:sz w:val="24"/>
          <w:szCs w:val="24"/>
        </w:rPr>
        <w:t>本项目周边地表水</w:t>
      </w:r>
      <w:r w:rsidRPr="00092862">
        <w:rPr>
          <w:rFonts w:ascii="Times New Roman" w:eastAsia="宋体" w:hAnsi="Times New Roman" w:cs="Times New Roman"/>
          <w:bCs/>
          <w:color w:val="000000" w:themeColor="text1"/>
          <w:sz w:val="24"/>
          <w:szCs w:val="24"/>
        </w:rPr>
        <w:t>后河</w:t>
      </w:r>
      <w:r w:rsidR="00D9312F" w:rsidRPr="00092862">
        <w:rPr>
          <w:rFonts w:ascii="Times New Roman" w:eastAsia="宋体" w:hAnsi="Times New Roman" w:cs="Times New Roman"/>
          <w:bCs/>
          <w:color w:val="000000" w:themeColor="text1"/>
          <w:sz w:val="24"/>
          <w:szCs w:val="24"/>
        </w:rPr>
        <w:t>与后河支流千河沟</w:t>
      </w:r>
      <w:r w:rsidR="00D845ED" w:rsidRPr="00092862">
        <w:rPr>
          <w:rFonts w:ascii="Times New Roman" w:eastAsia="宋体" w:hAnsi="Times New Roman" w:cs="Times New Roman"/>
          <w:bCs/>
          <w:color w:val="000000" w:themeColor="text1"/>
          <w:sz w:val="24"/>
          <w:szCs w:val="24"/>
        </w:rPr>
        <w:t>为《地表水环境质量标准》（</w:t>
      </w:r>
      <w:r w:rsidR="00D845ED" w:rsidRPr="00092862">
        <w:rPr>
          <w:rFonts w:ascii="Times New Roman" w:eastAsia="宋体" w:hAnsi="Times New Roman" w:cs="Times New Roman"/>
          <w:bCs/>
          <w:color w:val="000000" w:themeColor="text1"/>
          <w:sz w:val="24"/>
          <w:szCs w:val="24"/>
        </w:rPr>
        <w:t>GB3838-2002</w:t>
      </w:r>
      <w:r w:rsidR="00D845ED" w:rsidRPr="00092862">
        <w:rPr>
          <w:rFonts w:ascii="Times New Roman" w:eastAsia="宋体" w:hAnsi="Times New Roman" w:cs="Times New Roman"/>
          <w:bCs/>
          <w:color w:val="000000" w:themeColor="text1"/>
          <w:sz w:val="24"/>
          <w:szCs w:val="24"/>
        </w:rPr>
        <w:t>）</w:t>
      </w:r>
      <w:r w:rsidR="00D845ED" w:rsidRPr="00092862">
        <w:rPr>
          <w:rFonts w:ascii="Times New Roman" w:eastAsia="宋体" w:hAnsi="Times New Roman" w:cs="Times New Roman"/>
          <w:bCs/>
          <w:color w:val="000000" w:themeColor="text1"/>
          <w:sz w:val="24"/>
          <w:szCs w:val="24"/>
        </w:rPr>
        <w:t>Ⅲ</w:t>
      </w:r>
      <w:r w:rsidR="00D845ED" w:rsidRPr="00092862">
        <w:rPr>
          <w:rFonts w:ascii="Times New Roman" w:eastAsia="宋体" w:hAnsi="Times New Roman" w:cs="Times New Roman"/>
          <w:bCs/>
          <w:color w:val="000000" w:themeColor="text1"/>
          <w:sz w:val="24"/>
          <w:szCs w:val="24"/>
        </w:rPr>
        <w:t>类水域。</w:t>
      </w:r>
    </w:p>
    <w:p w14:paraId="1A02E81E" w14:textId="77777777" w:rsidR="009C0A80" w:rsidRPr="00092862" w:rsidRDefault="009C0A80"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）地下水环境功能区划</w:t>
      </w:r>
    </w:p>
    <w:p w14:paraId="7C8F8E14" w14:textId="05EBA4D7" w:rsidR="009C0A80" w:rsidRPr="00092862" w:rsidRDefault="00D845ED"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工程场站地下水环境质量评价均执行《地下水质量标准》（</w:t>
      </w:r>
      <w:r w:rsidRPr="00092862">
        <w:rPr>
          <w:rFonts w:ascii="Times New Roman" w:eastAsia="宋体" w:hAnsi="Times New Roman" w:cs="Times New Roman"/>
          <w:bCs/>
          <w:color w:val="000000" w:themeColor="text1"/>
          <w:sz w:val="24"/>
          <w:szCs w:val="24"/>
        </w:rPr>
        <w:t>GB/T14848-2017</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III</w:t>
      </w:r>
      <w:r w:rsidRPr="00092862">
        <w:rPr>
          <w:rFonts w:ascii="Times New Roman" w:eastAsia="宋体" w:hAnsi="Times New Roman" w:cs="Times New Roman"/>
          <w:bCs/>
          <w:color w:val="000000" w:themeColor="text1"/>
          <w:sz w:val="24"/>
          <w:szCs w:val="24"/>
        </w:rPr>
        <w:t>类标准，项目</w:t>
      </w:r>
      <w:r w:rsidR="00D9312F" w:rsidRPr="00092862">
        <w:rPr>
          <w:rFonts w:ascii="Times New Roman" w:eastAsia="宋体" w:hAnsi="Times New Roman" w:cs="Times New Roman"/>
          <w:bCs/>
          <w:color w:val="000000" w:themeColor="text1"/>
          <w:sz w:val="24"/>
          <w:szCs w:val="24"/>
        </w:rPr>
        <w:t>所在</w:t>
      </w:r>
      <w:r w:rsidRPr="00092862">
        <w:rPr>
          <w:rFonts w:ascii="Times New Roman" w:eastAsia="宋体" w:hAnsi="Times New Roman" w:cs="Times New Roman"/>
          <w:bCs/>
          <w:color w:val="000000" w:themeColor="text1"/>
          <w:sz w:val="24"/>
          <w:szCs w:val="24"/>
        </w:rPr>
        <w:t>区域地下水均属于</w:t>
      </w:r>
      <w:r w:rsidRPr="00092862">
        <w:rPr>
          <w:rFonts w:ascii="Times New Roman" w:eastAsia="宋体" w:hAnsi="Times New Roman" w:cs="Times New Roman"/>
          <w:bCs/>
          <w:color w:val="000000" w:themeColor="text1"/>
          <w:sz w:val="24"/>
          <w:szCs w:val="24"/>
        </w:rPr>
        <w:t>III</w:t>
      </w:r>
      <w:r w:rsidRPr="00092862">
        <w:rPr>
          <w:rFonts w:ascii="Times New Roman" w:eastAsia="宋体" w:hAnsi="Times New Roman" w:cs="Times New Roman"/>
          <w:bCs/>
          <w:color w:val="000000" w:themeColor="text1"/>
          <w:sz w:val="24"/>
          <w:szCs w:val="24"/>
        </w:rPr>
        <w:t>类地下水功能区。</w:t>
      </w:r>
    </w:p>
    <w:p w14:paraId="2A4A8489" w14:textId="77777777"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9C0A80"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）声环境功能区划</w:t>
      </w:r>
    </w:p>
    <w:p w14:paraId="07CB4B92" w14:textId="3BE55B02" w:rsidR="00DC446C" w:rsidRPr="00092862" w:rsidRDefault="006C03A1"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参照《达州市中心城区环境噪声标准适用区域划分规定》，</w:t>
      </w:r>
      <w:r w:rsidR="00D845ED" w:rsidRPr="00092862">
        <w:rPr>
          <w:rFonts w:ascii="Times New Roman" w:eastAsia="宋体" w:hAnsi="Times New Roman" w:cs="Times New Roman"/>
          <w:bCs/>
          <w:color w:val="000000" w:themeColor="text1"/>
          <w:sz w:val="24"/>
          <w:szCs w:val="24"/>
        </w:rPr>
        <w:t>工程建设区域内主要为散居农户，属一般居住环境，根据《声环境质量标准》（</w:t>
      </w:r>
      <w:r w:rsidR="00D845ED" w:rsidRPr="00092862">
        <w:rPr>
          <w:rFonts w:ascii="Times New Roman" w:eastAsia="宋体" w:hAnsi="Times New Roman" w:cs="Times New Roman"/>
          <w:bCs/>
          <w:color w:val="000000" w:themeColor="text1"/>
          <w:sz w:val="24"/>
          <w:szCs w:val="24"/>
        </w:rPr>
        <w:t>GB3096-2008</w:t>
      </w:r>
      <w:r w:rsidR="00D845ED" w:rsidRPr="00092862">
        <w:rPr>
          <w:rFonts w:ascii="Times New Roman" w:eastAsia="宋体" w:hAnsi="Times New Roman" w:cs="Times New Roman"/>
          <w:bCs/>
          <w:color w:val="000000" w:themeColor="text1"/>
          <w:sz w:val="24"/>
          <w:szCs w:val="24"/>
        </w:rPr>
        <w:t>），功能区划属</w:t>
      </w:r>
      <w:r w:rsidR="00D845ED" w:rsidRPr="00092862">
        <w:rPr>
          <w:rFonts w:ascii="Times New Roman" w:eastAsia="宋体" w:hAnsi="Times New Roman" w:cs="Times New Roman"/>
          <w:bCs/>
          <w:color w:val="000000" w:themeColor="text1"/>
          <w:sz w:val="24"/>
          <w:szCs w:val="24"/>
        </w:rPr>
        <w:t>2</w:t>
      </w:r>
      <w:r w:rsidR="00D845ED" w:rsidRPr="00092862">
        <w:rPr>
          <w:rFonts w:ascii="Times New Roman" w:eastAsia="宋体" w:hAnsi="Times New Roman" w:cs="Times New Roman"/>
          <w:bCs/>
          <w:color w:val="000000" w:themeColor="text1"/>
          <w:sz w:val="24"/>
          <w:szCs w:val="24"/>
        </w:rPr>
        <w:t>类区域</w:t>
      </w:r>
      <w:r w:rsidR="003B1968" w:rsidRPr="00092862">
        <w:rPr>
          <w:rFonts w:ascii="Times New Roman" w:eastAsia="宋体" w:hAnsi="Times New Roman" w:cs="Times New Roman"/>
          <w:bCs/>
          <w:color w:val="000000" w:themeColor="text1"/>
          <w:sz w:val="24"/>
          <w:szCs w:val="24"/>
        </w:rPr>
        <w:t>。</w:t>
      </w:r>
    </w:p>
    <w:p w14:paraId="1D1EE4AD" w14:textId="77777777"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9C0A80"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）生态功能区划</w:t>
      </w:r>
    </w:p>
    <w:p w14:paraId="45378302" w14:textId="05A92EA7" w:rsidR="00DC446C" w:rsidRPr="00092862" w:rsidRDefault="00D845ED" w:rsidP="006059E5">
      <w:pPr>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根据《四川省生态功能区划》，本项目位于四川盆地亚热带湿润气候生态区，属于大巴山水源涵养与土壤保持生态功能区（</w:t>
      </w:r>
      <w:r w:rsidRPr="00092862">
        <w:rPr>
          <w:rFonts w:ascii="Times New Roman" w:eastAsia="宋体" w:hAnsi="Times New Roman" w:cs="Times New Roman"/>
          <w:bCs/>
          <w:color w:val="000000" w:themeColor="text1"/>
          <w:sz w:val="24"/>
          <w:szCs w:val="24"/>
        </w:rPr>
        <w:t>I-3-2</w:t>
      </w:r>
      <w:r w:rsidRPr="00092862">
        <w:rPr>
          <w:rFonts w:ascii="Times New Roman" w:eastAsia="宋体" w:hAnsi="Times New Roman" w:cs="Times New Roman"/>
          <w:bCs/>
          <w:color w:val="000000" w:themeColor="text1"/>
          <w:sz w:val="24"/>
          <w:szCs w:val="24"/>
        </w:rPr>
        <w:t>），该生态功能区的主导功能是水源涵养功能，土壤保持功能。面临的主要环境问题是多洪灾，滑坡崩塌强烈发育，水土流失严重。</w:t>
      </w:r>
    </w:p>
    <w:p w14:paraId="7DA9CC79" w14:textId="77777777"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E15FED"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）水土流失防治区划分</w:t>
      </w:r>
    </w:p>
    <w:p w14:paraId="76163B9C" w14:textId="50C4BC62" w:rsidR="00DC446C" w:rsidRPr="00092862" w:rsidRDefault="00CC72AC"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根据达州市水利局《关于水土保持</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两区</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划分的公告》，本项目涉及水土流失重点治理区</w:t>
      </w:r>
      <w:r w:rsidR="003B1968" w:rsidRPr="00092862">
        <w:rPr>
          <w:rFonts w:ascii="Times New Roman" w:eastAsia="宋体" w:hAnsi="Times New Roman" w:cs="Times New Roman"/>
          <w:bCs/>
          <w:color w:val="000000" w:themeColor="text1"/>
          <w:sz w:val="24"/>
          <w:szCs w:val="24"/>
        </w:rPr>
        <w:t>。</w:t>
      </w:r>
    </w:p>
    <w:p w14:paraId="4DF9C10A" w14:textId="77777777" w:rsidR="00DC446C" w:rsidRPr="00092862" w:rsidRDefault="003B1968" w:rsidP="006059E5">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41" w:name="_Toc120173066"/>
      <w:r w:rsidRPr="00092862">
        <w:rPr>
          <w:rFonts w:ascii="Times New Roman" w:eastAsia="黑体" w:hAnsi="Times New Roman"/>
          <w:b w:val="0"/>
          <w:color w:val="000000" w:themeColor="text1"/>
          <w:sz w:val="24"/>
          <w:szCs w:val="24"/>
          <w:lang w:eastAsia="zh-CN"/>
        </w:rPr>
        <w:t>2.5.2</w:t>
      </w:r>
      <w:r w:rsidRPr="00092862">
        <w:rPr>
          <w:rFonts w:ascii="Times New Roman" w:eastAsia="黑体" w:hAnsi="Times New Roman"/>
          <w:b w:val="0"/>
          <w:color w:val="000000" w:themeColor="text1"/>
          <w:sz w:val="24"/>
          <w:szCs w:val="24"/>
          <w:lang w:eastAsia="zh-CN"/>
        </w:rPr>
        <w:t>环境质量标准</w:t>
      </w:r>
      <w:bookmarkEnd w:id="41"/>
    </w:p>
    <w:p w14:paraId="016F6FBC" w14:textId="77777777" w:rsidR="00DC446C" w:rsidRPr="00092862" w:rsidRDefault="003B1968" w:rsidP="006059E5">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）地表水</w:t>
      </w:r>
    </w:p>
    <w:p w14:paraId="2B1E1D45" w14:textId="77777777" w:rsidR="00DC446C" w:rsidRPr="00092862" w:rsidRDefault="003B1968" w:rsidP="006059E5">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本项目地表水执行《地表水环境质量标准》（</w:t>
      </w:r>
      <w:r w:rsidRPr="00092862">
        <w:rPr>
          <w:rFonts w:ascii="Times New Roman" w:hAnsi="Times New Roman"/>
          <w:bCs/>
          <w:color w:val="000000" w:themeColor="text1"/>
          <w:szCs w:val="24"/>
        </w:rPr>
        <w:t>GB3838-2002</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Ⅲ</w:t>
      </w:r>
      <w:r w:rsidRPr="00092862">
        <w:rPr>
          <w:rFonts w:ascii="Times New Roman" w:hAnsi="Times New Roman"/>
          <w:bCs/>
          <w:color w:val="000000" w:themeColor="text1"/>
          <w:szCs w:val="24"/>
        </w:rPr>
        <w:t>类水域标准，氯化物执行《地表水环境质量标准》（</w:t>
      </w:r>
      <w:r w:rsidRPr="00092862">
        <w:rPr>
          <w:rFonts w:ascii="Times New Roman" w:hAnsi="Times New Roman"/>
          <w:bCs/>
          <w:color w:val="000000" w:themeColor="text1"/>
          <w:szCs w:val="24"/>
        </w:rPr>
        <w:t>GB3838-2002</w:t>
      </w:r>
      <w:r w:rsidRPr="00092862">
        <w:rPr>
          <w:rFonts w:ascii="Times New Roman" w:hAnsi="Times New Roman"/>
          <w:bCs/>
          <w:color w:val="000000" w:themeColor="text1"/>
          <w:szCs w:val="24"/>
        </w:rPr>
        <w:t>）中表</w:t>
      </w:r>
      <w:r w:rsidRPr="00092862">
        <w:rPr>
          <w:rFonts w:ascii="Times New Roman" w:hAnsi="Times New Roman"/>
          <w:bCs/>
          <w:color w:val="000000" w:themeColor="text1"/>
          <w:szCs w:val="24"/>
        </w:rPr>
        <w:t>2</w:t>
      </w:r>
      <w:r w:rsidRPr="00092862">
        <w:rPr>
          <w:rFonts w:ascii="Times New Roman" w:hAnsi="Times New Roman"/>
          <w:bCs/>
          <w:color w:val="000000" w:themeColor="text1"/>
          <w:szCs w:val="24"/>
        </w:rPr>
        <w:t>标准限值。</w:t>
      </w:r>
    </w:p>
    <w:p w14:paraId="3D55ACB8"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2.5-1  </w:t>
      </w:r>
      <w:r w:rsidRPr="00092862">
        <w:rPr>
          <w:rFonts w:ascii="Times New Roman" w:eastAsia="黑体" w:hAnsi="Times New Roman"/>
          <w:color w:val="000000" w:themeColor="text1"/>
          <w:sz w:val="21"/>
          <w:szCs w:val="21"/>
          <w:lang w:eastAsia="zh-CN"/>
        </w:rPr>
        <w:t>地表水环境质量标准（</w:t>
      </w:r>
      <w:r w:rsidRPr="00092862">
        <w:rPr>
          <w:rFonts w:ascii="Times New Roman" w:eastAsia="黑体" w:hAnsi="Times New Roman"/>
          <w:color w:val="000000" w:themeColor="text1"/>
          <w:sz w:val="21"/>
          <w:szCs w:val="21"/>
          <w:lang w:eastAsia="zh-CN"/>
        </w:rPr>
        <w:t>Ⅲ</w:t>
      </w:r>
      <w:r w:rsidRPr="00092862">
        <w:rPr>
          <w:rFonts w:ascii="Times New Roman" w:eastAsia="黑体" w:hAnsi="Times New Roman"/>
          <w:color w:val="000000" w:themeColor="text1"/>
          <w:sz w:val="21"/>
          <w:szCs w:val="21"/>
          <w:lang w:eastAsia="zh-CN"/>
        </w:rPr>
        <w:t>类）</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680"/>
        <w:gridCol w:w="864"/>
        <w:gridCol w:w="738"/>
        <w:gridCol w:w="793"/>
        <w:gridCol w:w="779"/>
        <w:gridCol w:w="835"/>
        <w:gridCol w:w="794"/>
        <w:gridCol w:w="821"/>
        <w:gridCol w:w="812"/>
      </w:tblGrid>
      <w:tr w:rsidR="00697429" w:rsidRPr="00092862" w14:paraId="5E8DFA8E" w14:textId="77777777" w:rsidTr="00BE7C4B">
        <w:trPr>
          <w:jc w:val="center"/>
        </w:trPr>
        <w:tc>
          <w:tcPr>
            <w:tcW w:w="1106" w:type="dxa"/>
            <w:vAlign w:val="center"/>
          </w:tcPr>
          <w:p w14:paraId="1ACFED38"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680" w:type="dxa"/>
            <w:vAlign w:val="center"/>
          </w:tcPr>
          <w:p w14:paraId="35CC3B63"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pH</w:t>
            </w:r>
          </w:p>
        </w:tc>
        <w:tc>
          <w:tcPr>
            <w:tcW w:w="864" w:type="dxa"/>
            <w:vAlign w:val="center"/>
          </w:tcPr>
          <w:p w14:paraId="770F07B9"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COD</w:t>
            </w:r>
            <w:r w:rsidRPr="00092862">
              <w:rPr>
                <w:rFonts w:ascii="Times New Roman" w:eastAsia="宋体" w:hAnsi="Times New Roman" w:cs="Times New Roman"/>
                <w:b/>
                <w:color w:val="000000" w:themeColor="text1"/>
                <w:szCs w:val="21"/>
                <w:vertAlign w:val="subscript"/>
              </w:rPr>
              <w:t>Cr</w:t>
            </w:r>
          </w:p>
        </w:tc>
        <w:tc>
          <w:tcPr>
            <w:tcW w:w="738" w:type="dxa"/>
            <w:vAlign w:val="center"/>
          </w:tcPr>
          <w:p w14:paraId="16A83E58"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石油类</w:t>
            </w:r>
          </w:p>
        </w:tc>
        <w:tc>
          <w:tcPr>
            <w:tcW w:w="793" w:type="dxa"/>
            <w:vAlign w:val="center"/>
          </w:tcPr>
          <w:p w14:paraId="4F6C6C71"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BOD</w:t>
            </w:r>
            <w:r w:rsidRPr="00092862">
              <w:rPr>
                <w:rFonts w:ascii="Times New Roman" w:eastAsia="宋体" w:hAnsi="Times New Roman" w:cs="Times New Roman"/>
                <w:b/>
                <w:color w:val="000000" w:themeColor="text1"/>
                <w:szCs w:val="21"/>
                <w:vertAlign w:val="subscript"/>
              </w:rPr>
              <w:t>5</w:t>
            </w:r>
          </w:p>
        </w:tc>
        <w:tc>
          <w:tcPr>
            <w:tcW w:w="779" w:type="dxa"/>
            <w:vAlign w:val="center"/>
          </w:tcPr>
          <w:p w14:paraId="0D8906EB"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六价铬</w:t>
            </w:r>
          </w:p>
        </w:tc>
        <w:tc>
          <w:tcPr>
            <w:tcW w:w="835" w:type="dxa"/>
            <w:vAlign w:val="center"/>
          </w:tcPr>
          <w:p w14:paraId="5CDB0D02"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挥发酚</w:t>
            </w:r>
          </w:p>
        </w:tc>
        <w:tc>
          <w:tcPr>
            <w:tcW w:w="794" w:type="dxa"/>
            <w:vAlign w:val="center"/>
          </w:tcPr>
          <w:p w14:paraId="5A8EE2F0"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NH</w:t>
            </w:r>
            <w:r w:rsidRPr="00092862">
              <w:rPr>
                <w:rFonts w:ascii="Times New Roman" w:eastAsia="宋体" w:hAnsi="Times New Roman" w:cs="Times New Roman"/>
                <w:b/>
                <w:color w:val="000000" w:themeColor="text1"/>
                <w:szCs w:val="21"/>
                <w:vertAlign w:val="subscript"/>
              </w:rPr>
              <w:t>3</w:t>
            </w:r>
            <w:r w:rsidRPr="00092862">
              <w:rPr>
                <w:rFonts w:ascii="Times New Roman" w:eastAsia="宋体" w:hAnsi="Times New Roman" w:cs="Times New Roman"/>
                <w:b/>
                <w:color w:val="000000" w:themeColor="text1"/>
                <w:szCs w:val="21"/>
              </w:rPr>
              <w:t>-N</w:t>
            </w:r>
          </w:p>
        </w:tc>
        <w:tc>
          <w:tcPr>
            <w:tcW w:w="821" w:type="dxa"/>
            <w:vAlign w:val="center"/>
          </w:tcPr>
          <w:p w14:paraId="36A4E987"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硫化物</w:t>
            </w:r>
          </w:p>
        </w:tc>
        <w:tc>
          <w:tcPr>
            <w:tcW w:w="812" w:type="dxa"/>
            <w:vAlign w:val="center"/>
          </w:tcPr>
          <w:p w14:paraId="6F9FBFCC" w14:textId="77777777" w:rsidR="00DC446C" w:rsidRPr="00092862" w:rsidRDefault="003B1968" w:rsidP="003D2EEB">
            <w:pPr>
              <w:adjustRightInd w:val="0"/>
              <w:snapToGrid w:val="0"/>
              <w:spacing w:line="276" w:lineRule="auto"/>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氯化物</w:t>
            </w:r>
          </w:p>
        </w:tc>
      </w:tr>
      <w:tr w:rsidR="00697429" w:rsidRPr="00092862" w14:paraId="51484D21" w14:textId="77777777" w:rsidTr="00BE7C4B">
        <w:trPr>
          <w:jc w:val="center"/>
        </w:trPr>
        <w:tc>
          <w:tcPr>
            <w:tcW w:w="1106" w:type="dxa"/>
            <w:vAlign w:val="center"/>
          </w:tcPr>
          <w:p w14:paraId="07D206C3"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Ⅲ</w:t>
            </w:r>
            <w:r w:rsidRPr="00092862">
              <w:rPr>
                <w:rFonts w:ascii="Times New Roman" w:eastAsia="宋体" w:hAnsi="Times New Roman" w:cs="Times New Roman"/>
                <w:color w:val="000000" w:themeColor="text1"/>
                <w:szCs w:val="21"/>
              </w:rPr>
              <w:t>类标准</w:t>
            </w:r>
          </w:p>
        </w:tc>
        <w:tc>
          <w:tcPr>
            <w:tcW w:w="680" w:type="dxa"/>
            <w:vAlign w:val="center"/>
          </w:tcPr>
          <w:p w14:paraId="1F5A0CE8"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w:t>
            </w:r>
          </w:p>
        </w:tc>
        <w:tc>
          <w:tcPr>
            <w:tcW w:w="864" w:type="dxa"/>
            <w:vAlign w:val="center"/>
          </w:tcPr>
          <w:p w14:paraId="5CADDE3F"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p>
        </w:tc>
        <w:tc>
          <w:tcPr>
            <w:tcW w:w="738" w:type="dxa"/>
            <w:vAlign w:val="center"/>
          </w:tcPr>
          <w:p w14:paraId="1533F90C"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≤0.05</w:t>
            </w:r>
          </w:p>
        </w:tc>
        <w:tc>
          <w:tcPr>
            <w:tcW w:w="793" w:type="dxa"/>
            <w:vAlign w:val="center"/>
          </w:tcPr>
          <w:p w14:paraId="05E5F2E4"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779" w:type="dxa"/>
            <w:vAlign w:val="center"/>
          </w:tcPr>
          <w:p w14:paraId="61A3CAC6"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≤0.05</w:t>
            </w:r>
          </w:p>
        </w:tc>
        <w:tc>
          <w:tcPr>
            <w:tcW w:w="835" w:type="dxa"/>
            <w:vAlign w:val="center"/>
          </w:tcPr>
          <w:p w14:paraId="63A705BD"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≤0.005</w:t>
            </w:r>
          </w:p>
        </w:tc>
        <w:tc>
          <w:tcPr>
            <w:tcW w:w="794" w:type="dxa"/>
            <w:vAlign w:val="center"/>
          </w:tcPr>
          <w:p w14:paraId="19940E83"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821" w:type="dxa"/>
            <w:vAlign w:val="center"/>
          </w:tcPr>
          <w:p w14:paraId="5FFD6BD0"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≤0.2</w:t>
            </w:r>
          </w:p>
        </w:tc>
        <w:tc>
          <w:tcPr>
            <w:tcW w:w="812" w:type="dxa"/>
            <w:vAlign w:val="center"/>
          </w:tcPr>
          <w:p w14:paraId="181DFB8F" w14:textId="77777777" w:rsidR="00DC446C" w:rsidRPr="00092862" w:rsidRDefault="003B1968" w:rsidP="003D2EEB">
            <w:pPr>
              <w:adjustRightInd w:val="0"/>
              <w:snapToGrid w:val="0"/>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≤250</w:t>
            </w:r>
          </w:p>
        </w:tc>
      </w:tr>
    </w:tbl>
    <w:p w14:paraId="5DC3BCF5" w14:textId="77777777" w:rsidR="00DC446C" w:rsidRPr="00092862" w:rsidRDefault="003B1968" w:rsidP="001B0600">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2</w:t>
      </w:r>
      <w:r w:rsidRPr="00092862">
        <w:rPr>
          <w:rFonts w:ascii="Times New Roman" w:hAnsi="Times New Roman"/>
          <w:bCs/>
          <w:color w:val="000000" w:themeColor="text1"/>
          <w:szCs w:val="24"/>
        </w:rPr>
        <w:t>）地下水</w:t>
      </w:r>
    </w:p>
    <w:p w14:paraId="3934F844" w14:textId="77777777" w:rsidR="00DC446C" w:rsidRPr="00092862" w:rsidRDefault="003B1968" w:rsidP="001B0600">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本项目所在区域地下水质量标准执行《地下水质量标准》（</w:t>
      </w:r>
      <w:r w:rsidRPr="00092862">
        <w:rPr>
          <w:rFonts w:ascii="Times New Roman" w:hAnsi="Times New Roman"/>
          <w:bCs/>
          <w:color w:val="000000" w:themeColor="text1"/>
          <w:szCs w:val="24"/>
        </w:rPr>
        <w:t>GB/T14848-2017</w:t>
      </w:r>
      <w:r w:rsidRPr="00092862">
        <w:rPr>
          <w:rFonts w:ascii="Times New Roman" w:hAnsi="Times New Roman"/>
          <w:bCs/>
          <w:color w:val="000000" w:themeColor="text1"/>
          <w:szCs w:val="24"/>
        </w:rPr>
        <w:t>）中的</w:t>
      </w:r>
      <w:r w:rsidRPr="00092862">
        <w:rPr>
          <w:rFonts w:ascii="Times New Roman" w:hAnsi="Times New Roman"/>
          <w:bCs/>
          <w:color w:val="000000" w:themeColor="text1"/>
          <w:szCs w:val="24"/>
        </w:rPr>
        <w:t>Ⅲ</w:t>
      </w:r>
      <w:r w:rsidRPr="00092862">
        <w:rPr>
          <w:rFonts w:ascii="Times New Roman" w:hAnsi="Times New Roman"/>
          <w:bCs/>
          <w:color w:val="000000" w:themeColor="text1"/>
          <w:szCs w:val="24"/>
        </w:rPr>
        <w:t>类标准，标准值见表</w:t>
      </w:r>
      <w:r w:rsidRPr="00092862">
        <w:rPr>
          <w:rFonts w:ascii="Times New Roman" w:hAnsi="Times New Roman"/>
          <w:bCs/>
          <w:color w:val="000000" w:themeColor="text1"/>
          <w:szCs w:val="24"/>
        </w:rPr>
        <w:t>2.5-2</w:t>
      </w:r>
      <w:r w:rsidRPr="00092862">
        <w:rPr>
          <w:rFonts w:ascii="Times New Roman" w:hAnsi="Times New Roman"/>
          <w:bCs/>
          <w:color w:val="000000" w:themeColor="text1"/>
          <w:szCs w:val="24"/>
        </w:rPr>
        <w:t>。</w:t>
      </w:r>
    </w:p>
    <w:p w14:paraId="40252CCF"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2.5-2  </w:t>
      </w:r>
      <w:r w:rsidRPr="00092862">
        <w:rPr>
          <w:rFonts w:ascii="Times New Roman" w:eastAsia="黑体" w:hAnsi="Times New Roman"/>
          <w:color w:val="000000" w:themeColor="text1"/>
          <w:sz w:val="21"/>
          <w:szCs w:val="21"/>
          <w:lang w:eastAsia="zh-CN"/>
        </w:rPr>
        <w:t>地下水质量标准限值</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42"/>
        <w:gridCol w:w="960"/>
        <w:gridCol w:w="833"/>
        <w:gridCol w:w="1104"/>
        <w:gridCol w:w="1155"/>
        <w:gridCol w:w="778"/>
        <w:gridCol w:w="788"/>
        <w:gridCol w:w="826"/>
        <w:gridCol w:w="936"/>
      </w:tblGrid>
      <w:tr w:rsidR="00697429" w:rsidRPr="00092862" w14:paraId="5BCA6289" w14:textId="77777777" w:rsidTr="00BE7C4B">
        <w:trPr>
          <w:jc w:val="center"/>
        </w:trPr>
        <w:tc>
          <w:tcPr>
            <w:tcW w:w="871" w:type="dxa"/>
            <w:shd w:val="clear" w:color="auto" w:fill="FFFFFF"/>
            <w:vAlign w:val="center"/>
          </w:tcPr>
          <w:p w14:paraId="6D34CE73"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3" w:type="dxa"/>
            <w:shd w:val="clear" w:color="auto" w:fill="FFFFFF"/>
            <w:vAlign w:val="center"/>
          </w:tcPr>
          <w:p w14:paraId="1DE0F609"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pH</w:t>
            </w:r>
          </w:p>
        </w:tc>
        <w:tc>
          <w:tcPr>
            <w:tcW w:w="861" w:type="dxa"/>
            <w:shd w:val="clear" w:color="auto" w:fill="FFFFFF"/>
            <w:vAlign w:val="center"/>
          </w:tcPr>
          <w:p w14:paraId="5A4B6C3E"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氯化物</w:t>
            </w:r>
          </w:p>
        </w:tc>
        <w:tc>
          <w:tcPr>
            <w:tcW w:w="1144" w:type="dxa"/>
            <w:shd w:val="clear" w:color="auto" w:fill="FFFFFF"/>
            <w:vAlign w:val="center"/>
          </w:tcPr>
          <w:p w14:paraId="1A84707A"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耗氧量</w:t>
            </w:r>
          </w:p>
        </w:tc>
        <w:tc>
          <w:tcPr>
            <w:tcW w:w="1197" w:type="dxa"/>
            <w:shd w:val="clear" w:color="auto" w:fill="FFFFFF"/>
            <w:vAlign w:val="center"/>
          </w:tcPr>
          <w:p w14:paraId="65DBA5A6"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六价铬</w:t>
            </w:r>
          </w:p>
        </w:tc>
        <w:tc>
          <w:tcPr>
            <w:tcW w:w="803" w:type="dxa"/>
            <w:shd w:val="clear" w:color="auto" w:fill="FFFFFF"/>
            <w:vAlign w:val="center"/>
          </w:tcPr>
          <w:p w14:paraId="366ECD63"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铁</w:t>
            </w:r>
          </w:p>
        </w:tc>
        <w:tc>
          <w:tcPr>
            <w:tcW w:w="814" w:type="dxa"/>
            <w:shd w:val="clear" w:color="auto" w:fill="FFFFFF"/>
            <w:vAlign w:val="center"/>
          </w:tcPr>
          <w:p w14:paraId="53CA2103"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锰</w:t>
            </w:r>
          </w:p>
        </w:tc>
        <w:tc>
          <w:tcPr>
            <w:tcW w:w="853" w:type="dxa"/>
            <w:shd w:val="clear" w:color="auto" w:fill="FFFFFF"/>
            <w:vAlign w:val="center"/>
          </w:tcPr>
          <w:p w14:paraId="0C6145F6"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总硬度</w:t>
            </w:r>
          </w:p>
        </w:tc>
        <w:tc>
          <w:tcPr>
            <w:tcW w:w="968" w:type="dxa"/>
            <w:shd w:val="clear" w:color="auto" w:fill="FFFFFF"/>
            <w:vAlign w:val="center"/>
          </w:tcPr>
          <w:p w14:paraId="0AC5A7FE"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石油类</w:t>
            </w:r>
            <w:r w:rsidRPr="00092862">
              <w:rPr>
                <w:rFonts w:ascii="Times New Roman" w:eastAsia="宋体" w:hAnsi="Times New Roman" w:cs="Times New Roman"/>
                <w:b/>
                <w:color w:val="000000" w:themeColor="text1"/>
                <w:szCs w:val="21"/>
              </w:rPr>
              <w:t>*</w:t>
            </w:r>
          </w:p>
        </w:tc>
      </w:tr>
      <w:tr w:rsidR="00697429" w:rsidRPr="00092862" w14:paraId="5189597E" w14:textId="77777777" w:rsidTr="00BE7C4B">
        <w:trPr>
          <w:jc w:val="center"/>
        </w:trPr>
        <w:tc>
          <w:tcPr>
            <w:tcW w:w="871" w:type="dxa"/>
            <w:shd w:val="clear" w:color="auto" w:fill="FFFFFF"/>
            <w:vAlign w:val="center"/>
          </w:tcPr>
          <w:p w14:paraId="7E330280"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Ⅲ</w:t>
            </w:r>
            <w:r w:rsidRPr="00092862">
              <w:rPr>
                <w:rFonts w:ascii="Times New Roman" w:eastAsia="宋体" w:hAnsi="Times New Roman" w:cs="Times New Roman"/>
                <w:color w:val="000000" w:themeColor="text1"/>
                <w:szCs w:val="21"/>
              </w:rPr>
              <w:t>类</w:t>
            </w:r>
          </w:p>
        </w:tc>
        <w:tc>
          <w:tcPr>
            <w:tcW w:w="993" w:type="dxa"/>
            <w:shd w:val="clear" w:color="auto" w:fill="FFFFFF"/>
            <w:vAlign w:val="center"/>
          </w:tcPr>
          <w:p w14:paraId="05F3D573"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8.5</w:t>
            </w:r>
          </w:p>
        </w:tc>
        <w:tc>
          <w:tcPr>
            <w:tcW w:w="861" w:type="dxa"/>
            <w:shd w:val="clear" w:color="auto" w:fill="FFFFFF"/>
            <w:vAlign w:val="center"/>
          </w:tcPr>
          <w:p w14:paraId="76505472"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≤250</w:t>
            </w:r>
          </w:p>
        </w:tc>
        <w:tc>
          <w:tcPr>
            <w:tcW w:w="1144" w:type="dxa"/>
            <w:shd w:val="clear" w:color="auto" w:fill="FFFFFF"/>
            <w:vAlign w:val="center"/>
          </w:tcPr>
          <w:p w14:paraId="02C4980C"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w:t>
            </w:r>
          </w:p>
        </w:tc>
        <w:tc>
          <w:tcPr>
            <w:tcW w:w="1197" w:type="dxa"/>
            <w:shd w:val="clear" w:color="auto" w:fill="FFFFFF"/>
            <w:vAlign w:val="center"/>
          </w:tcPr>
          <w:p w14:paraId="4B09B6F0"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≤0.05</w:t>
            </w:r>
          </w:p>
        </w:tc>
        <w:tc>
          <w:tcPr>
            <w:tcW w:w="803" w:type="dxa"/>
            <w:shd w:val="clear" w:color="auto" w:fill="FFFFFF"/>
            <w:vAlign w:val="center"/>
          </w:tcPr>
          <w:p w14:paraId="4EBBDFF8"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≤0.3</w:t>
            </w:r>
          </w:p>
        </w:tc>
        <w:tc>
          <w:tcPr>
            <w:tcW w:w="814" w:type="dxa"/>
            <w:shd w:val="clear" w:color="auto" w:fill="FFFFFF"/>
            <w:vAlign w:val="center"/>
          </w:tcPr>
          <w:p w14:paraId="188C0237"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≤0.1</w:t>
            </w:r>
          </w:p>
        </w:tc>
        <w:tc>
          <w:tcPr>
            <w:tcW w:w="853" w:type="dxa"/>
            <w:shd w:val="clear" w:color="auto" w:fill="FFFFFF"/>
            <w:vAlign w:val="center"/>
          </w:tcPr>
          <w:p w14:paraId="4E3DB8A5"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≤450</w:t>
            </w:r>
          </w:p>
        </w:tc>
        <w:tc>
          <w:tcPr>
            <w:tcW w:w="968" w:type="dxa"/>
            <w:shd w:val="clear" w:color="auto" w:fill="FFFFFF"/>
            <w:vAlign w:val="center"/>
          </w:tcPr>
          <w:p w14:paraId="30E1626A"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≤0.05</w:t>
            </w:r>
          </w:p>
        </w:tc>
      </w:tr>
      <w:tr w:rsidR="00697429" w:rsidRPr="00092862" w14:paraId="49E4F8A2" w14:textId="77777777" w:rsidTr="00BE7C4B">
        <w:trPr>
          <w:jc w:val="center"/>
        </w:trPr>
        <w:tc>
          <w:tcPr>
            <w:tcW w:w="871" w:type="dxa"/>
            <w:shd w:val="clear" w:color="auto" w:fill="FFFFFF"/>
            <w:vAlign w:val="center"/>
          </w:tcPr>
          <w:p w14:paraId="1D3B2093"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3" w:type="dxa"/>
            <w:shd w:val="clear" w:color="auto" w:fill="FFFFFF"/>
            <w:vAlign w:val="center"/>
          </w:tcPr>
          <w:p w14:paraId="005D6D2A"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SO</w:t>
            </w:r>
            <w:r w:rsidRPr="00092862">
              <w:rPr>
                <w:rFonts w:ascii="Times New Roman" w:eastAsia="宋体" w:hAnsi="Times New Roman" w:cs="Times New Roman"/>
                <w:b/>
                <w:color w:val="000000" w:themeColor="text1"/>
                <w:szCs w:val="21"/>
                <w:vertAlign w:val="subscript"/>
              </w:rPr>
              <w:t>4</w:t>
            </w:r>
            <w:r w:rsidRPr="00092862">
              <w:rPr>
                <w:rFonts w:ascii="Times New Roman" w:eastAsia="宋体" w:hAnsi="Times New Roman" w:cs="Times New Roman"/>
                <w:b/>
                <w:color w:val="000000" w:themeColor="text1"/>
                <w:szCs w:val="21"/>
                <w:vertAlign w:val="superscript"/>
              </w:rPr>
              <w:t>2-</w:t>
            </w:r>
          </w:p>
        </w:tc>
        <w:tc>
          <w:tcPr>
            <w:tcW w:w="861" w:type="dxa"/>
            <w:shd w:val="clear" w:color="auto" w:fill="FFFFFF"/>
            <w:vAlign w:val="center"/>
          </w:tcPr>
          <w:p w14:paraId="1B319BDB"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氨氮</w:t>
            </w:r>
          </w:p>
        </w:tc>
        <w:tc>
          <w:tcPr>
            <w:tcW w:w="1144" w:type="dxa"/>
            <w:shd w:val="clear" w:color="auto" w:fill="FFFFFF"/>
            <w:vAlign w:val="center"/>
          </w:tcPr>
          <w:p w14:paraId="5934F1DB"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硝酸盐（以</w:t>
            </w:r>
            <w:r w:rsidRPr="00092862">
              <w:rPr>
                <w:rFonts w:ascii="Times New Roman" w:eastAsia="宋体" w:hAnsi="Times New Roman" w:cs="Times New Roman"/>
                <w:b/>
                <w:color w:val="000000" w:themeColor="text1"/>
                <w:szCs w:val="21"/>
              </w:rPr>
              <w:t>N</w:t>
            </w:r>
            <w:r w:rsidRPr="00092862">
              <w:rPr>
                <w:rFonts w:ascii="Times New Roman" w:eastAsia="宋体" w:hAnsi="Times New Roman" w:cs="Times New Roman"/>
                <w:b/>
                <w:color w:val="000000" w:themeColor="text1"/>
                <w:szCs w:val="21"/>
              </w:rPr>
              <w:t>计）</w:t>
            </w:r>
          </w:p>
        </w:tc>
        <w:tc>
          <w:tcPr>
            <w:tcW w:w="1197" w:type="dxa"/>
            <w:shd w:val="clear" w:color="auto" w:fill="FFFFFF"/>
            <w:vAlign w:val="center"/>
          </w:tcPr>
          <w:p w14:paraId="5F2F49DB"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亚硝酸盐（以</w:t>
            </w:r>
            <w:r w:rsidRPr="00092862">
              <w:rPr>
                <w:rFonts w:ascii="Times New Roman" w:eastAsia="宋体" w:hAnsi="Times New Roman" w:cs="Times New Roman"/>
                <w:b/>
                <w:color w:val="000000" w:themeColor="text1"/>
                <w:szCs w:val="21"/>
              </w:rPr>
              <w:t>N</w:t>
            </w:r>
            <w:r w:rsidRPr="00092862">
              <w:rPr>
                <w:rFonts w:ascii="Times New Roman" w:eastAsia="宋体" w:hAnsi="Times New Roman" w:cs="Times New Roman"/>
                <w:b/>
                <w:color w:val="000000" w:themeColor="text1"/>
                <w:szCs w:val="21"/>
              </w:rPr>
              <w:t>计）</w:t>
            </w:r>
          </w:p>
        </w:tc>
        <w:tc>
          <w:tcPr>
            <w:tcW w:w="803" w:type="dxa"/>
            <w:shd w:val="clear" w:color="auto" w:fill="FFFFFF"/>
            <w:vAlign w:val="center"/>
          </w:tcPr>
          <w:p w14:paraId="34313498"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氰化物</w:t>
            </w:r>
          </w:p>
        </w:tc>
        <w:tc>
          <w:tcPr>
            <w:tcW w:w="814" w:type="dxa"/>
            <w:shd w:val="clear" w:color="auto" w:fill="FFFFFF"/>
            <w:vAlign w:val="center"/>
          </w:tcPr>
          <w:p w14:paraId="5EBB837C"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砷</w:t>
            </w:r>
          </w:p>
        </w:tc>
        <w:tc>
          <w:tcPr>
            <w:tcW w:w="853" w:type="dxa"/>
            <w:shd w:val="clear" w:color="auto" w:fill="FFFFFF"/>
            <w:vAlign w:val="center"/>
          </w:tcPr>
          <w:p w14:paraId="5AB004D6"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汞</w:t>
            </w:r>
          </w:p>
        </w:tc>
        <w:tc>
          <w:tcPr>
            <w:tcW w:w="968" w:type="dxa"/>
            <w:shd w:val="clear" w:color="auto" w:fill="FFFFFF"/>
            <w:vAlign w:val="center"/>
          </w:tcPr>
          <w:p w14:paraId="2DB668F3"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挥发性酚类</w:t>
            </w:r>
          </w:p>
        </w:tc>
      </w:tr>
      <w:tr w:rsidR="00697429" w:rsidRPr="00092862" w14:paraId="34CF0478" w14:textId="77777777" w:rsidTr="00BE7C4B">
        <w:trPr>
          <w:jc w:val="center"/>
        </w:trPr>
        <w:tc>
          <w:tcPr>
            <w:tcW w:w="871" w:type="dxa"/>
            <w:shd w:val="clear" w:color="auto" w:fill="FFFFFF"/>
            <w:vAlign w:val="center"/>
          </w:tcPr>
          <w:p w14:paraId="70234E31"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Ⅲ</w:t>
            </w:r>
            <w:r w:rsidRPr="00092862">
              <w:rPr>
                <w:rFonts w:ascii="Times New Roman" w:eastAsia="宋体" w:hAnsi="Times New Roman" w:cs="Times New Roman"/>
                <w:color w:val="000000" w:themeColor="text1"/>
                <w:szCs w:val="21"/>
              </w:rPr>
              <w:t>类</w:t>
            </w:r>
          </w:p>
        </w:tc>
        <w:tc>
          <w:tcPr>
            <w:tcW w:w="993" w:type="dxa"/>
            <w:shd w:val="clear" w:color="auto" w:fill="FFFFFF"/>
            <w:vAlign w:val="center"/>
          </w:tcPr>
          <w:p w14:paraId="157BAADC"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≤250</w:t>
            </w:r>
          </w:p>
        </w:tc>
        <w:tc>
          <w:tcPr>
            <w:tcW w:w="861" w:type="dxa"/>
            <w:shd w:val="clear" w:color="auto" w:fill="FFFFFF"/>
            <w:vAlign w:val="center"/>
          </w:tcPr>
          <w:p w14:paraId="4456738B"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≤0.5</w:t>
            </w:r>
          </w:p>
        </w:tc>
        <w:tc>
          <w:tcPr>
            <w:tcW w:w="1144" w:type="dxa"/>
            <w:shd w:val="clear" w:color="auto" w:fill="FFFFFF"/>
            <w:vAlign w:val="center"/>
          </w:tcPr>
          <w:p w14:paraId="439B691F"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p>
        </w:tc>
        <w:tc>
          <w:tcPr>
            <w:tcW w:w="1197" w:type="dxa"/>
            <w:shd w:val="clear" w:color="auto" w:fill="FFFFFF"/>
            <w:vAlign w:val="center"/>
          </w:tcPr>
          <w:p w14:paraId="3C1CAAFF"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803" w:type="dxa"/>
            <w:shd w:val="clear" w:color="auto" w:fill="FFFFFF"/>
            <w:vAlign w:val="center"/>
          </w:tcPr>
          <w:p w14:paraId="32D8BF38"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≤0.05</w:t>
            </w:r>
          </w:p>
        </w:tc>
        <w:tc>
          <w:tcPr>
            <w:tcW w:w="814" w:type="dxa"/>
            <w:shd w:val="clear" w:color="auto" w:fill="FFFFFF"/>
            <w:vAlign w:val="center"/>
          </w:tcPr>
          <w:p w14:paraId="402CA53B"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≤0.01</w:t>
            </w:r>
          </w:p>
        </w:tc>
        <w:tc>
          <w:tcPr>
            <w:tcW w:w="853" w:type="dxa"/>
            <w:shd w:val="clear" w:color="auto" w:fill="FFFFFF"/>
            <w:vAlign w:val="center"/>
          </w:tcPr>
          <w:p w14:paraId="0BCB92C4"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≤0.001</w:t>
            </w:r>
          </w:p>
        </w:tc>
        <w:tc>
          <w:tcPr>
            <w:tcW w:w="968" w:type="dxa"/>
            <w:shd w:val="clear" w:color="auto" w:fill="FFFFFF"/>
            <w:vAlign w:val="center"/>
          </w:tcPr>
          <w:p w14:paraId="1BCA23E0"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≤0.002</w:t>
            </w:r>
          </w:p>
        </w:tc>
      </w:tr>
      <w:tr w:rsidR="00697429" w:rsidRPr="00092862" w14:paraId="385398CB" w14:textId="77777777" w:rsidTr="00BE7C4B">
        <w:trPr>
          <w:jc w:val="center"/>
        </w:trPr>
        <w:tc>
          <w:tcPr>
            <w:tcW w:w="871" w:type="dxa"/>
            <w:shd w:val="clear" w:color="auto" w:fill="FFFFFF"/>
            <w:vAlign w:val="center"/>
          </w:tcPr>
          <w:p w14:paraId="04EB3D00"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3" w:type="dxa"/>
            <w:shd w:val="clear" w:color="auto" w:fill="FFFFFF"/>
            <w:vAlign w:val="center"/>
          </w:tcPr>
          <w:p w14:paraId="4F8FCE77"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铅</w:t>
            </w:r>
          </w:p>
        </w:tc>
        <w:tc>
          <w:tcPr>
            <w:tcW w:w="861" w:type="dxa"/>
            <w:shd w:val="clear" w:color="auto" w:fill="FFFFFF"/>
            <w:vAlign w:val="center"/>
          </w:tcPr>
          <w:p w14:paraId="5AF07E2D"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氟</w:t>
            </w:r>
          </w:p>
        </w:tc>
        <w:tc>
          <w:tcPr>
            <w:tcW w:w="1144" w:type="dxa"/>
            <w:shd w:val="clear" w:color="auto" w:fill="FFFFFF"/>
            <w:vAlign w:val="center"/>
          </w:tcPr>
          <w:p w14:paraId="5725611C"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镉</w:t>
            </w:r>
          </w:p>
        </w:tc>
        <w:tc>
          <w:tcPr>
            <w:tcW w:w="1197" w:type="dxa"/>
            <w:shd w:val="clear" w:color="auto" w:fill="FFFFFF"/>
            <w:vAlign w:val="center"/>
          </w:tcPr>
          <w:p w14:paraId="500B4411"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溶解性固体</w:t>
            </w:r>
          </w:p>
        </w:tc>
        <w:tc>
          <w:tcPr>
            <w:tcW w:w="1617" w:type="dxa"/>
            <w:gridSpan w:val="2"/>
            <w:shd w:val="clear" w:color="auto" w:fill="FFFFFF"/>
            <w:vAlign w:val="center"/>
          </w:tcPr>
          <w:p w14:paraId="5B3F124C"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总大肠菌群</w:t>
            </w:r>
            <w:r w:rsidRPr="00092862">
              <w:rPr>
                <w:rFonts w:ascii="Times New Roman" w:eastAsia="宋体" w:hAnsi="Times New Roman" w:cs="Times New Roman"/>
                <w:color w:val="000000" w:themeColor="text1"/>
                <w:sz w:val="20"/>
                <w:szCs w:val="20"/>
              </w:rPr>
              <w:t>（</w:t>
            </w:r>
            <w:r w:rsidRPr="00092862">
              <w:rPr>
                <w:rFonts w:ascii="Times New Roman" w:eastAsia="宋体" w:hAnsi="Times New Roman" w:cs="Times New Roman"/>
                <w:color w:val="000000" w:themeColor="text1"/>
                <w:sz w:val="20"/>
                <w:szCs w:val="20"/>
              </w:rPr>
              <w:t>MPN/100ml</w:t>
            </w:r>
            <w:r w:rsidRPr="00092862">
              <w:rPr>
                <w:rFonts w:ascii="Times New Roman" w:eastAsia="宋体" w:hAnsi="Times New Roman" w:cs="Times New Roman"/>
                <w:color w:val="000000" w:themeColor="text1"/>
                <w:sz w:val="20"/>
                <w:szCs w:val="20"/>
              </w:rPr>
              <w:t>）</w:t>
            </w:r>
          </w:p>
        </w:tc>
        <w:tc>
          <w:tcPr>
            <w:tcW w:w="1821" w:type="dxa"/>
            <w:gridSpan w:val="2"/>
            <w:shd w:val="clear" w:color="auto" w:fill="FFFFFF"/>
            <w:vAlign w:val="center"/>
          </w:tcPr>
          <w:p w14:paraId="1DADCA73"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菌落总数</w:t>
            </w:r>
          </w:p>
          <w:p w14:paraId="2F3C5347" w14:textId="77777777" w:rsidR="00DC446C" w:rsidRPr="00092862" w:rsidRDefault="003B1968"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Cs/>
                <w:color w:val="000000" w:themeColor="text1"/>
                <w:sz w:val="20"/>
                <w:szCs w:val="20"/>
              </w:rPr>
              <w:t>（</w:t>
            </w:r>
            <w:r w:rsidRPr="00092862">
              <w:rPr>
                <w:rFonts w:ascii="Times New Roman" w:eastAsia="宋体" w:hAnsi="Times New Roman" w:cs="Times New Roman"/>
                <w:bCs/>
                <w:color w:val="000000" w:themeColor="text1"/>
                <w:sz w:val="20"/>
                <w:szCs w:val="20"/>
              </w:rPr>
              <w:t>CFU/ml</w:t>
            </w:r>
            <w:r w:rsidRPr="00092862">
              <w:rPr>
                <w:rFonts w:ascii="Times New Roman" w:eastAsia="宋体" w:hAnsi="Times New Roman" w:cs="Times New Roman"/>
                <w:bCs/>
                <w:color w:val="000000" w:themeColor="text1"/>
                <w:sz w:val="20"/>
                <w:szCs w:val="20"/>
              </w:rPr>
              <w:t>）</w:t>
            </w:r>
          </w:p>
        </w:tc>
      </w:tr>
      <w:tr w:rsidR="00697429" w:rsidRPr="00092862" w14:paraId="06F06D29" w14:textId="77777777" w:rsidTr="00BE7C4B">
        <w:trPr>
          <w:jc w:val="center"/>
        </w:trPr>
        <w:tc>
          <w:tcPr>
            <w:tcW w:w="871" w:type="dxa"/>
            <w:shd w:val="clear" w:color="auto" w:fill="FFFFFF"/>
            <w:vAlign w:val="center"/>
          </w:tcPr>
          <w:p w14:paraId="7A1980F4"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Ⅲ</w:t>
            </w:r>
            <w:r w:rsidRPr="00092862">
              <w:rPr>
                <w:rFonts w:ascii="Times New Roman" w:eastAsia="宋体" w:hAnsi="Times New Roman" w:cs="Times New Roman"/>
                <w:color w:val="000000" w:themeColor="text1"/>
                <w:szCs w:val="21"/>
              </w:rPr>
              <w:t>类</w:t>
            </w:r>
          </w:p>
        </w:tc>
        <w:tc>
          <w:tcPr>
            <w:tcW w:w="993" w:type="dxa"/>
            <w:shd w:val="clear" w:color="auto" w:fill="FFFFFF"/>
            <w:vAlign w:val="center"/>
          </w:tcPr>
          <w:p w14:paraId="3F750F58"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≤0.01</w:t>
            </w:r>
          </w:p>
        </w:tc>
        <w:tc>
          <w:tcPr>
            <w:tcW w:w="861" w:type="dxa"/>
            <w:shd w:val="clear" w:color="auto" w:fill="FFFFFF"/>
            <w:vAlign w:val="center"/>
          </w:tcPr>
          <w:p w14:paraId="08DA82CE"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1144" w:type="dxa"/>
            <w:shd w:val="clear" w:color="auto" w:fill="FFFFFF"/>
            <w:vAlign w:val="center"/>
          </w:tcPr>
          <w:p w14:paraId="41D8D886"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≤0.005</w:t>
            </w:r>
          </w:p>
        </w:tc>
        <w:tc>
          <w:tcPr>
            <w:tcW w:w="1197" w:type="dxa"/>
            <w:shd w:val="clear" w:color="auto" w:fill="FFFFFF"/>
            <w:vAlign w:val="center"/>
          </w:tcPr>
          <w:p w14:paraId="36F775A8"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≤1000</w:t>
            </w:r>
          </w:p>
        </w:tc>
        <w:tc>
          <w:tcPr>
            <w:tcW w:w="1617" w:type="dxa"/>
            <w:gridSpan w:val="2"/>
            <w:shd w:val="clear" w:color="auto" w:fill="FFFFFF"/>
            <w:vAlign w:val="center"/>
          </w:tcPr>
          <w:p w14:paraId="4E6973DD"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w:t>
            </w:r>
          </w:p>
        </w:tc>
        <w:tc>
          <w:tcPr>
            <w:tcW w:w="1821" w:type="dxa"/>
            <w:gridSpan w:val="2"/>
            <w:shd w:val="clear" w:color="auto" w:fill="FFFFFF"/>
            <w:vAlign w:val="center"/>
          </w:tcPr>
          <w:p w14:paraId="3E8ECA37"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w:t>
            </w:r>
          </w:p>
        </w:tc>
      </w:tr>
    </w:tbl>
    <w:p w14:paraId="509874D1" w14:textId="77777777" w:rsidR="00DC446C" w:rsidRPr="00092862" w:rsidRDefault="003B1968" w:rsidP="003D2EEB">
      <w:pPr>
        <w:pStyle w:val="afff3"/>
        <w:ind w:firstLine="420"/>
        <w:rPr>
          <w:color w:val="000000" w:themeColor="text1"/>
          <w:szCs w:val="21"/>
        </w:rPr>
      </w:pPr>
      <w:r w:rsidRPr="00092862">
        <w:rPr>
          <w:color w:val="000000" w:themeColor="text1"/>
          <w:szCs w:val="21"/>
        </w:rPr>
        <w:t>注：</w:t>
      </w:r>
      <w:r w:rsidRPr="00092862">
        <w:rPr>
          <w:color w:val="000000" w:themeColor="text1"/>
          <w:szCs w:val="21"/>
        </w:rPr>
        <w:t>*</w:t>
      </w:r>
      <w:r w:rsidRPr="00092862">
        <w:rPr>
          <w:color w:val="000000" w:themeColor="text1"/>
          <w:szCs w:val="21"/>
        </w:rPr>
        <w:t>为参考地表水标准。</w:t>
      </w:r>
    </w:p>
    <w:p w14:paraId="03C6553D" w14:textId="77777777" w:rsidR="00DC446C" w:rsidRPr="00092862" w:rsidRDefault="003B1968" w:rsidP="001B0600">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）环境空气</w:t>
      </w:r>
    </w:p>
    <w:p w14:paraId="6AC0BA6F" w14:textId="73ED4E70" w:rsidR="00DC446C" w:rsidRPr="00092862" w:rsidRDefault="00C65644" w:rsidP="001B0600">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lastRenderedPageBreak/>
        <w:t>评价区域环境空气执行《环境空气质量标准》（</w:t>
      </w:r>
      <w:r w:rsidRPr="00092862">
        <w:rPr>
          <w:rFonts w:ascii="Times New Roman" w:hAnsi="Times New Roman"/>
          <w:bCs/>
          <w:color w:val="000000" w:themeColor="text1"/>
          <w:szCs w:val="24"/>
        </w:rPr>
        <w:t>GB3095-2012</w:t>
      </w:r>
      <w:r w:rsidRPr="00092862">
        <w:rPr>
          <w:rFonts w:ascii="Times New Roman" w:hAnsi="Times New Roman"/>
          <w:bCs/>
          <w:color w:val="000000" w:themeColor="text1"/>
          <w:szCs w:val="24"/>
        </w:rPr>
        <w:t>）二级标准；非甲烷总烃执行《大气污染物综合排放标准详解》中标准限值；硫化氢执行《环境影响评价技术导则大气环境》（</w:t>
      </w:r>
      <w:r w:rsidRPr="00092862">
        <w:rPr>
          <w:rFonts w:ascii="Times New Roman" w:hAnsi="Times New Roman"/>
          <w:bCs/>
          <w:color w:val="000000" w:themeColor="text1"/>
          <w:szCs w:val="24"/>
        </w:rPr>
        <w:t>HJ2.2-2018</w:t>
      </w:r>
      <w:r w:rsidRPr="00092862">
        <w:rPr>
          <w:rFonts w:ascii="Times New Roman" w:hAnsi="Times New Roman"/>
          <w:bCs/>
          <w:color w:val="000000" w:themeColor="text1"/>
          <w:szCs w:val="24"/>
        </w:rPr>
        <w:t>）中附录</w:t>
      </w:r>
      <w:r w:rsidRPr="00092862">
        <w:rPr>
          <w:rFonts w:ascii="Times New Roman" w:hAnsi="Times New Roman"/>
          <w:bCs/>
          <w:color w:val="000000" w:themeColor="text1"/>
          <w:szCs w:val="24"/>
        </w:rPr>
        <w:t>D</w:t>
      </w:r>
      <w:r w:rsidRPr="00092862">
        <w:rPr>
          <w:rFonts w:ascii="Times New Roman" w:hAnsi="Times New Roman"/>
          <w:bCs/>
          <w:color w:val="000000" w:themeColor="text1"/>
          <w:szCs w:val="24"/>
        </w:rPr>
        <w:t>相关限值。具体标准限值见表</w:t>
      </w:r>
      <w:r w:rsidR="006E70A7" w:rsidRPr="00092862">
        <w:rPr>
          <w:rFonts w:ascii="Times New Roman" w:hAnsi="Times New Roman"/>
          <w:bCs/>
          <w:color w:val="000000" w:themeColor="text1"/>
          <w:szCs w:val="24"/>
        </w:rPr>
        <w:t>2.5-3</w:t>
      </w:r>
      <w:r w:rsidRPr="00092862">
        <w:rPr>
          <w:rFonts w:ascii="Times New Roman" w:hAnsi="Times New Roman"/>
          <w:bCs/>
          <w:color w:val="000000" w:themeColor="text1"/>
          <w:szCs w:val="24"/>
        </w:rPr>
        <w:t>。</w:t>
      </w:r>
    </w:p>
    <w:p w14:paraId="7EBD13C8"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2.5-3  </w:t>
      </w:r>
      <w:r w:rsidRPr="00092862">
        <w:rPr>
          <w:rFonts w:ascii="Times New Roman" w:eastAsia="黑体" w:hAnsi="Times New Roman"/>
          <w:color w:val="000000" w:themeColor="text1"/>
          <w:sz w:val="21"/>
          <w:szCs w:val="21"/>
          <w:lang w:eastAsia="zh-CN"/>
        </w:rPr>
        <w:t>环境空气质量标准</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mg/m</w:t>
      </w:r>
      <w:r w:rsidRPr="00092862">
        <w:rPr>
          <w:rFonts w:ascii="Times New Roman" w:eastAsia="黑体" w:hAnsi="Times New Roman"/>
          <w:color w:val="000000" w:themeColor="text1"/>
          <w:sz w:val="21"/>
          <w:szCs w:val="21"/>
          <w:vertAlign w:val="superscript"/>
          <w:lang w:eastAsia="zh-CN"/>
        </w:rPr>
        <w:t>3</w:t>
      </w:r>
    </w:p>
    <w:tbl>
      <w:tblPr>
        <w:tblW w:w="5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1"/>
        <w:gridCol w:w="1763"/>
        <w:gridCol w:w="1763"/>
        <w:gridCol w:w="3611"/>
      </w:tblGrid>
      <w:tr w:rsidR="00697429" w:rsidRPr="00092862" w14:paraId="7D47B87A" w14:textId="77777777" w:rsidTr="00C65644">
        <w:trPr>
          <w:trHeight w:val="50"/>
          <w:tblHeader/>
          <w:jc w:val="center"/>
        </w:trPr>
        <w:tc>
          <w:tcPr>
            <w:tcW w:w="1483" w:type="dxa"/>
            <w:vMerge w:val="restart"/>
            <w:vAlign w:val="center"/>
          </w:tcPr>
          <w:p w14:paraId="7765E188" w14:textId="77777777" w:rsidR="00C65644" w:rsidRPr="00092862" w:rsidRDefault="00C65644" w:rsidP="003F1F64">
            <w:pPr>
              <w:pStyle w:val="afffff7"/>
              <w:rPr>
                <w:b/>
                <w:color w:val="000000" w:themeColor="text1"/>
              </w:rPr>
            </w:pPr>
            <w:r w:rsidRPr="00092862">
              <w:rPr>
                <w:b/>
                <w:color w:val="000000" w:themeColor="text1"/>
              </w:rPr>
              <w:t>污染物</w:t>
            </w:r>
          </w:p>
        </w:tc>
        <w:tc>
          <w:tcPr>
            <w:tcW w:w="3530" w:type="dxa"/>
            <w:gridSpan w:val="2"/>
            <w:vAlign w:val="center"/>
          </w:tcPr>
          <w:p w14:paraId="1A8A249B" w14:textId="77777777" w:rsidR="00C65644" w:rsidRPr="00092862" w:rsidRDefault="00C65644" w:rsidP="003F1F64">
            <w:pPr>
              <w:pStyle w:val="afffff7"/>
              <w:rPr>
                <w:b/>
                <w:color w:val="000000" w:themeColor="text1"/>
              </w:rPr>
            </w:pPr>
            <w:r w:rsidRPr="00092862">
              <w:rPr>
                <w:b/>
                <w:color w:val="000000" w:themeColor="text1"/>
              </w:rPr>
              <w:t>浓度限值</w:t>
            </w:r>
          </w:p>
        </w:tc>
        <w:tc>
          <w:tcPr>
            <w:tcW w:w="3615" w:type="dxa"/>
            <w:vMerge w:val="restart"/>
            <w:vAlign w:val="center"/>
          </w:tcPr>
          <w:p w14:paraId="40AB0E13" w14:textId="77777777" w:rsidR="00C65644" w:rsidRPr="00092862" w:rsidRDefault="00C65644" w:rsidP="003F1F64">
            <w:pPr>
              <w:pStyle w:val="afffff7"/>
              <w:rPr>
                <w:b/>
                <w:color w:val="000000" w:themeColor="text1"/>
              </w:rPr>
            </w:pPr>
            <w:r w:rsidRPr="00092862">
              <w:rPr>
                <w:b/>
                <w:color w:val="000000" w:themeColor="text1"/>
              </w:rPr>
              <w:t>依据</w:t>
            </w:r>
          </w:p>
        </w:tc>
      </w:tr>
      <w:tr w:rsidR="00697429" w:rsidRPr="00092862" w14:paraId="63FDEE7B" w14:textId="77777777" w:rsidTr="00C65644">
        <w:trPr>
          <w:trHeight w:val="12"/>
          <w:tblHeader/>
          <w:jc w:val="center"/>
        </w:trPr>
        <w:tc>
          <w:tcPr>
            <w:tcW w:w="1483" w:type="dxa"/>
            <w:vMerge/>
            <w:vAlign w:val="center"/>
          </w:tcPr>
          <w:p w14:paraId="437D2EC2" w14:textId="77777777" w:rsidR="00C65644" w:rsidRPr="00092862" w:rsidRDefault="00C65644" w:rsidP="003F1F64">
            <w:pPr>
              <w:pStyle w:val="afffff7"/>
              <w:rPr>
                <w:b/>
                <w:color w:val="000000" w:themeColor="text1"/>
              </w:rPr>
            </w:pPr>
          </w:p>
        </w:tc>
        <w:tc>
          <w:tcPr>
            <w:tcW w:w="1765" w:type="dxa"/>
            <w:vAlign w:val="center"/>
          </w:tcPr>
          <w:p w14:paraId="3477ADDB" w14:textId="77777777" w:rsidR="00C65644" w:rsidRPr="00092862" w:rsidRDefault="00C65644" w:rsidP="003F1F64">
            <w:pPr>
              <w:pStyle w:val="afffff7"/>
              <w:rPr>
                <w:b/>
                <w:color w:val="000000" w:themeColor="text1"/>
              </w:rPr>
            </w:pPr>
            <w:r w:rsidRPr="00092862">
              <w:rPr>
                <w:b/>
                <w:color w:val="000000" w:themeColor="text1"/>
              </w:rPr>
              <w:t>取值时间</w:t>
            </w:r>
          </w:p>
        </w:tc>
        <w:tc>
          <w:tcPr>
            <w:tcW w:w="1765" w:type="dxa"/>
            <w:vAlign w:val="center"/>
          </w:tcPr>
          <w:p w14:paraId="6E557B2E" w14:textId="77777777" w:rsidR="00C65644" w:rsidRPr="00092862" w:rsidRDefault="00C65644" w:rsidP="003F1F64">
            <w:pPr>
              <w:pStyle w:val="afffff7"/>
              <w:rPr>
                <w:b/>
                <w:color w:val="000000" w:themeColor="text1"/>
              </w:rPr>
            </w:pPr>
            <w:r w:rsidRPr="00092862">
              <w:rPr>
                <w:b/>
                <w:color w:val="000000" w:themeColor="text1"/>
              </w:rPr>
              <w:t>标准限值</w:t>
            </w:r>
          </w:p>
        </w:tc>
        <w:tc>
          <w:tcPr>
            <w:tcW w:w="3615" w:type="dxa"/>
            <w:vMerge/>
            <w:vAlign w:val="center"/>
          </w:tcPr>
          <w:p w14:paraId="60637EA2" w14:textId="77777777" w:rsidR="00C65644" w:rsidRPr="00092862" w:rsidRDefault="00C65644" w:rsidP="003F1F64">
            <w:pPr>
              <w:pStyle w:val="afffff7"/>
              <w:rPr>
                <w:color w:val="000000" w:themeColor="text1"/>
              </w:rPr>
            </w:pPr>
          </w:p>
        </w:tc>
      </w:tr>
      <w:tr w:rsidR="00697429" w:rsidRPr="00092862" w14:paraId="0BADB137" w14:textId="77777777" w:rsidTr="00C65644">
        <w:trPr>
          <w:trHeight w:val="12"/>
          <w:jc w:val="center"/>
        </w:trPr>
        <w:tc>
          <w:tcPr>
            <w:tcW w:w="1483" w:type="dxa"/>
            <w:vMerge w:val="restart"/>
            <w:vAlign w:val="center"/>
          </w:tcPr>
          <w:p w14:paraId="1FB2D886" w14:textId="77777777" w:rsidR="00C65644" w:rsidRPr="00092862" w:rsidRDefault="00C65644" w:rsidP="003F1F64">
            <w:pPr>
              <w:pStyle w:val="afffff7"/>
              <w:rPr>
                <w:color w:val="000000" w:themeColor="text1"/>
              </w:rPr>
            </w:pPr>
            <w:r w:rsidRPr="00092862">
              <w:rPr>
                <w:color w:val="000000" w:themeColor="text1"/>
              </w:rPr>
              <w:t>PM</w:t>
            </w:r>
            <w:r w:rsidRPr="00092862">
              <w:rPr>
                <w:color w:val="000000" w:themeColor="text1"/>
                <w:vertAlign w:val="subscript"/>
              </w:rPr>
              <w:t>10</w:t>
            </w:r>
          </w:p>
        </w:tc>
        <w:tc>
          <w:tcPr>
            <w:tcW w:w="1765" w:type="dxa"/>
            <w:vAlign w:val="center"/>
          </w:tcPr>
          <w:p w14:paraId="2B295F7A" w14:textId="77777777" w:rsidR="00C65644" w:rsidRPr="00092862" w:rsidRDefault="00C65644" w:rsidP="003F1F64">
            <w:pPr>
              <w:pStyle w:val="afffff7"/>
              <w:rPr>
                <w:color w:val="000000" w:themeColor="text1"/>
              </w:rPr>
            </w:pPr>
            <w:r w:rsidRPr="00092862">
              <w:rPr>
                <w:color w:val="000000" w:themeColor="text1"/>
              </w:rPr>
              <w:t>年平均</w:t>
            </w:r>
          </w:p>
        </w:tc>
        <w:tc>
          <w:tcPr>
            <w:tcW w:w="1765" w:type="dxa"/>
            <w:vAlign w:val="center"/>
          </w:tcPr>
          <w:p w14:paraId="6D409A24" w14:textId="77777777" w:rsidR="00C65644" w:rsidRPr="00092862" w:rsidRDefault="00C65644" w:rsidP="003F1F64">
            <w:pPr>
              <w:pStyle w:val="afffff7"/>
              <w:rPr>
                <w:color w:val="000000" w:themeColor="text1"/>
              </w:rPr>
            </w:pPr>
            <w:r w:rsidRPr="00092862">
              <w:rPr>
                <w:color w:val="000000" w:themeColor="text1"/>
              </w:rPr>
              <w:t>70μg/m</w:t>
            </w:r>
            <w:r w:rsidRPr="00092862">
              <w:rPr>
                <w:color w:val="000000" w:themeColor="text1"/>
                <w:vertAlign w:val="superscript"/>
              </w:rPr>
              <w:t>3</w:t>
            </w:r>
          </w:p>
        </w:tc>
        <w:tc>
          <w:tcPr>
            <w:tcW w:w="3615" w:type="dxa"/>
            <w:vMerge w:val="restart"/>
            <w:vAlign w:val="center"/>
          </w:tcPr>
          <w:p w14:paraId="62665A93" w14:textId="77777777" w:rsidR="00C65644" w:rsidRPr="00092862" w:rsidRDefault="00C65644" w:rsidP="003F1F64">
            <w:pPr>
              <w:pStyle w:val="afffff7"/>
              <w:rPr>
                <w:color w:val="000000" w:themeColor="text1"/>
              </w:rPr>
            </w:pPr>
            <w:r w:rsidRPr="00092862">
              <w:rPr>
                <w:color w:val="000000" w:themeColor="text1"/>
              </w:rPr>
              <w:t>《环境空气质量标准》（</w:t>
            </w:r>
            <w:r w:rsidRPr="00092862">
              <w:rPr>
                <w:color w:val="000000" w:themeColor="text1"/>
              </w:rPr>
              <w:t>GB3095-2012</w:t>
            </w:r>
            <w:r w:rsidRPr="00092862">
              <w:rPr>
                <w:color w:val="000000" w:themeColor="text1"/>
              </w:rPr>
              <w:t>）二级标准</w:t>
            </w:r>
          </w:p>
        </w:tc>
      </w:tr>
      <w:tr w:rsidR="00697429" w:rsidRPr="00092862" w14:paraId="171B57FB" w14:textId="77777777" w:rsidTr="00C65644">
        <w:trPr>
          <w:trHeight w:val="12"/>
          <w:jc w:val="center"/>
        </w:trPr>
        <w:tc>
          <w:tcPr>
            <w:tcW w:w="1483" w:type="dxa"/>
            <w:vMerge/>
            <w:vAlign w:val="center"/>
          </w:tcPr>
          <w:p w14:paraId="21744F78" w14:textId="77777777" w:rsidR="00C65644" w:rsidRPr="00092862" w:rsidRDefault="00C65644" w:rsidP="003F1F64">
            <w:pPr>
              <w:pStyle w:val="afffff7"/>
              <w:rPr>
                <w:color w:val="000000" w:themeColor="text1"/>
                <w:vertAlign w:val="subscript"/>
              </w:rPr>
            </w:pPr>
          </w:p>
        </w:tc>
        <w:tc>
          <w:tcPr>
            <w:tcW w:w="1765" w:type="dxa"/>
            <w:vAlign w:val="center"/>
          </w:tcPr>
          <w:p w14:paraId="061962D3" w14:textId="77777777" w:rsidR="00C65644" w:rsidRPr="00092862" w:rsidRDefault="00C65644" w:rsidP="003F1F64">
            <w:pPr>
              <w:pStyle w:val="afffff7"/>
              <w:rPr>
                <w:color w:val="000000" w:themeColor="text1"/>
              </w:rPr>
            </w:pPr>
            <w:r w:rsidRPr="00092862">
              <w:rPr>
                <w:color w:val="000000" w:themeColor="text1"/>
              </w:rPr>
              <w:t>24</w:t>
            </w:r>
            <w:r w:rsidRPr="00092862">
              <w:rPr>
                <w:color w:val="000000" w:themeColor="text1"/>
              </w:rPr>
              <w:t>小时平均</w:t>
            </w:r>
          </w:p>
        </w:tc>
        <w:tc>
          <w:tcPr>
            <w:tcW w:w="1765" w:type="dxa"/>
            <w:vAlign w:val="center"/>
          </w:tcPr>
          <w:p w14:paraId="16F0DCEC" w14:textId="77777777" w:rsidR="00C65644" w:rsidRPr="00092862" w:rsidRDefault="00C65644" w:rsidP="003F1F64">
            <w:pPr>
              <w:pStyle w:val="afffff7"/>
              <w:rPr>
                <w:color w:val="000000" w:themeColor="text1"/>
              </w:rPr>
            </w:pPr>
            <w:r w:rsidRPr="00092862">
              <w:rPr>
                <w:color w:val="000000" w:themeColor="text1"/>
              </w:rPr>
              <w:t>150μg/m</w:t>
            </w:r>
            <w:r w:rsidRPr="00092862">
              <w:rPr>
                <w:color w:val="000000" w:themeColor="text1"/>
                <w:vertAlign w:val="superscript"/>
              </w:rPr>
              <w:t>3</w:t>
            </w:r>
          </w:p>
        </w:tc>
        <w:tc>
          <w:tcPr>
            <w:tcW w:w="3615" w:type="dxa"/>
            <w:vMerge/>
            <w:vAlign w:val="center"/>
          </w:tcPr>
          <w:p w14:paraId="3157F9EA" w14:textId="77777777" w:rsidR="00C65644" w:rsidRPr="00092862" w:rsidRDefault="00C65644" w:rsidP="003F1F64">
            <w:pPr>
              <w:pStyle w:val="afffff7"/>
              <w:rPr>
                <w:color w:val="000000" w:themeColor="text1"/>
              </w:rPr>
            </w:pPr>
          </w:p>
        </w:tc>
      </w:tr>
      <w:tr w:rsidR="00697429" w:rsidRPr="00092862" w14:paraId="68A39BDF" w14:textId="77777777" w:rsidTr="00C65644">
        <w:trPr>
          <w:trHeight w:val="12"/>
          <w:jc w:val="center"/>
        </w:trPr>
        <w:tc>
          <w:tcPr>
            <w:tcW w:w="1483" w:type="dxa"/>
            <w:vMerge w:val="restart"/>
            <w:vAlign w:val="center"/>
          </w:tcPr>
          <w:p w14:paraId="0F0B0716" w14:textId="77777777" w:rsidR="00C65644" w:rsidRPr="00092862" w:rsidRDefault="00C65644" w:rsidP="003F1F64">
            <w:pPr>
              <w:pStyle w:val="afffff7"/>
              <w:rPr>
                <w:color w:val="000000" w:themeColor="text1"/>
              </w:rPr>
            </w:pPr>
            <w:r w:rsidRPr="00092862">
              <w:rPr>
                <w:color w:val="000000" w:themeColor="text1"/>
              </w:rPr>
              <w:t>PM</w:t>
            </w:r>
            <w:r w:rsidRPr="00092862">
              <w:rPr>
                <w:color w:val="000000" w:themeColor="text1"/>
                <w:vertAlign w:val="subscript"/>
              </w:rPr>
              <w:t>2.5</w:t>
            </w:r>
          </w:p>
        </w:tc>
        <w:tc>
          <w:tcPr>
            <w:tcW w:w="1765" w:type="dxa"/>
            <w:vAlign w:val="center"/>
          </w:tcPr>
          <w:p w14:paraId="351B94BC" w14:textId="77777777" w:rsidR="00C65644" w:rsidRPr="00092862" w:rsidRDefault="00C65644" w:rsidP="003F1F64">
            <w:pPr>
              <w:pStyle w:val="afffff7"/>
              <w:rPr>
                <w:color w:val="000000" w:themeColor="text1"/>
              </w:rPr>
            </w:pPr>
            <w:r w:rsidRPr="00092862">
              <w:rPr>
                <w:color w:val="000000" w:themeColor="text1"/>
              </w:rPr>
              <w:t>年平均</w:t>
            </w:r>
          </w:p>
        </w:tc>
        <w:tc>
          <w:tcPr>
            <w:tcW w:w="1765" w:type="dxa"/>
            <w:vAlign w:val="center"/>
          </w:tcPr>
          <w:p w14:paraId="7E25BD8B" w14:textId="77777777" w:rsidR="00C65644" w:rsidRPr="00092862" w:rsidRDefault="00C65644" w:rsidP="003F1F64">
            <w:pPr>
              <w:pStyle w:val="afffff7"/>
              <w:rPr>
                <w:color w:val="000000" w:themeColor="text1"/>
              </w:rPr>
            </w:pPr>
            <w:r w:rsidRPr="00092862">
              <w:rPr>
                <w:color w:val="000000" w:themeColor="text1"/>
              </w:rPr>
              <w:t>35μg/m</w:t>
            </w:r>
            <w:r w:rsidRPr="00092862">
              <w:rPr>
                <w:color w:val="000000" w:themeColor="text1"/>
                <w:vertAlign w:val="superscript"/>
              </w:rPr>
              <w:t>3</w:t>
            </w:r>
          </w:p>
        </w:tc>
        <w:tc>
          <w:tcPr>
            <w:tcW w:w="3615" w:type="dxa"/>
            <w:vMerge/>
            <w:vAlign w:val="center"/>
          </w:tcPr>
          <w:p w14:paraId="08E5881E" w14:textId="77777777" w:rsidR="00C65644" w:rsidRPr="00092862" w:rsidRDefault="00C65644" w:rsidP="003F1F64">
            <w:pPr>
              <w:pStyle w:val="afffff7"/>
              <w:rPr>
                <w:color w:val="000000" w:themeColor="text1"/>
              </w:rPr>
            </w:pPr>
          </w:p>
        </w:tc>
      </w:tr>
      <w:tr w:rsidR="00697429" w:rsidRPr="00092862" w14:paraId="576D9A02" w14:textId="77777777" w:rsidTr="00C65644">
        <w:trPr>
          <w:trHeight w:val="12"/>
          <w:jc w:val="center"/>
        </w:trPr>
        <w:tc>
          <w:tcPr>
            <w:tcW w:w="1483" w:type="dxa"/>
            <w:vMerge/>
            <w:vAlign w:val="center"/>
          </w:tcPr>
          <w:p w14:paraId="679FA3F5" w14:textId="77777777" w:rsidR="00C65644" w:rsidRPr="00092862" w:rsidRDefault="00C65644" w:rsidP="003F1F64">
            <w:pPr>
              <w:pStyle w:val="afffff7"/>
              <w:rPr>
                <w:color w:val="000000" w:themeColor="text1"/>
                <w:vertAlign w:val="subscript"/>
              </w:rPr>
            </w:pPr>
          </w:p>
        </w:tc>
        <w:tc>
          <w:tcPr>
            <w:tcW w:w="1765" w:type="dxa"/>
            <w:vAlign w:val="center"/>
          </w:tcPr>
          <w:p w14:paraId="7261E80F" w14:textId="77777777" w:rsidR="00C65644" w:rsidRPr="00092862" w:rsidRDefault="00C65644" w:rsidP="003F1F64">
            <w:pPr>
              <w:pStyle w:val="afffff7"/>
              <w:rPr>
                <w:color w:val="000000" w:themeColor="text1"/>
              </w:rPr>
            </w:pPr>
            <w:r w:rsidRPr="00092862">
              <w:rPr>
                <w:color w:val="000000" w:themeColor="text1"/>
              </w:rPr>
              <w:t>24</w:t>
            </w:r>
            <w:r w:rsidRPr="00092862">
              <w:rPr>
                <w:color w:val="000000" w:themeColor="text1"/>
              </w:rPr>
              <w:t>小时平均</w:t>
            </w:r>
          </w:p>
        </w:tc>
        <w:tc>
          <w:tcPr>
            <w:tcW w:w="1765" w:type="dxa"/>
            <w:vAlign w:val="center"/>
          </w:tcPr>
          <w:p w14:paraId="31108388" w14:textId="77777777" w:rsidR="00C65644" w:rsidRPr="00092862" w:rsidRDefault="00C65644" w:rsidP="003F1F64">
            <w:pPr>
              <w:pStyle w:val="afffff7"/>
              <w:rPr>
                <w:color w:val="000000" w:themeColor="text1"/>
              </w:rPr>
            </w:pPr>
            <w:r w:rsidRPr="00092862">
              <w:rPr>
                <w:color w:val="000000" w:themeColor="text1"/>
              </w:rPr>
              <w:t>75μg/m</w:t>
            </w:r>
            <w:r w:rsidRPr="00092862">
              <w:rPr>
                <w:color w:val="000000" w:themeColor="text1"/>
                <w:vertAlign w:val="superscript"/>
              </w:rPr>
              <w:t>3</w:t>
            </w:r>
          </w:p>
        </w:tc>
        <w:tc>
          <w:tcPr>
            <w:tcW w:w="3615" w:type="dxa"/>
            <w:vMerge/>
            <w:vAlign w:val="center"/>
          </w:tcPr>
          <w:p w14:paraId="6192CA73" w14:textId="77777777" w:rsidR="00C65644" w:rsidRPr="00092862" w:rsidRDefault="00C65644" w:rsidP="003F1F64">
            <w:pPr>
              <w:pStyle w:val="afffff7"/>
              <w:rPr>
                <w:color w:val="000000" w:themeColor="text1"/>
              </w:rPr>
            </w:pPr>
          </w:p>
        </w:tc>
      </w:tr>
      <w:tr w:rsidR="00697429" w:rsidRPr="00092862" w14:paraId="6C49B07B" w14:textId="77777777" w:rsidTr="00C65644">
        <w:trPr>
          <w:trHeight w:val="12"/>
          <w:jc w:val="center"/>
        </w:trPr>
        <w:tc>
          <w:tcPr>
            <w:tcW w:w="1483" w:type="dxa"/>
            <w:vMerge w:val="restart"/>
            <w:vAlign w:val="center"/>
          </w:tcPr>
          <w:p w14:paraId="22BA1EB6" w14:textId="77777777" w:rsidR="00C65644" w:rsidRPr="00092862" w:rsidRDefault="00C65644" w:rsidP="003F1F64">
            <w:pPr>
              <w:pStyle w:val="afffff7"/>
              <w:rPr>
                <w:color w:val="000000" w:themeColor="text1"/>
                <w:vertAlign w:val="subscript"/>
              </w:rPr>
            </w:pPr>
            <w:r w:rsidRPr="00092862">
              <w:rPr>
                <w:color w:val="000000" w:themeColor="text1"/>
              </w:rPr>
              <w:t>SO</w:t>
            </w:r>
            <w:r w:rsidRPr="00092862">
              <w:rPr>
                <w:color w:val="000000" w:themeColor="text1"/>
                <w:vertAlign w:val="subscript"/>
              </w:rPr>
              <w:t>2</w:t>
            </w:r>
          </w:p>
        </w:tc>
        <w:tc>
          <w:tcPr>
            <w:tcW w:w="1765" w:type="dxa"/>
            <w:vAlign w:val="center"/>
          </w:tcPr>
          <w:p w14:paraId="5938F9BE" w14:textId="77777777" w:rsidR="00C65644" w:rsidRPr="00092862" w:rsidRDefault="00C65644" w:rsidP="003F1F64">
            <w:pPr>
              <w:pStyle w:val="afffff7"/>
              <w:rPr>
                <w:color w:val="000000" w:themeColor="text1"/>
              </w:rPr>
            </w:pPr>
            <w:r w:rsidRPr="00092862">
              <w:rPr>
                <w:color w:val="000000" w:themeColor="text1"/>
              </w:rPr>
              <w:t>年平均</w:t>
            </w:r>
          </w:p>
        </w:tc>
        <w:tc>
          <w:tcPr>
            <w:tcW w:w="1765" w:type="dxa"/>
            <w:vAlign w:val="center"/>
          </w:tcPr>
          <w:p w14:paraId="79D1CEC1" w14:textId="77777777" w:rsidR="00C65644" w:rsidRPr="00092862" w:rsidRDefault="00C65644" w:rsidP="003F1F64">
            <w:pPr>
              <w:pStyle w:val="afffff7"/>
              <w:rPr>
                <w:color w:val="000000" w:themeColor="text1"/>
              </w:rPr>
            </w:pPr>
            <w:r w:rsidRPr="00092862">
              <w:rPr>
                <w:color w:val="000000" w:themeColor="text1"/>
              </w:rPr>
              <w:t>60μg/m</w:t>
            </w:r>
            <w:r w:rsidRPr="00092862">
              <w:rPr>
                <w:color w:val="000000" w:themeColor="text1"/>
                <w:vertAlign w:val="superscript"/>
              </w:rPr>
              <w:t>3</w:t>
            </w:r>
          </w:p>
        </w:tc>
        <w:tc>
          <w:tcPr>
            <w:tcW w:w="3615" w:type="dxa"/>
            <w:vMerge/>
            <w:vAlign w:val="center"/>
          </w:tcPr>
          <w:p w14:paraId="00F5AF10" w14:textId="77777777" w:rsidR="00C65644" w:rsidRPr="00092862" w:rsidRDefault="00C65644" w:rsidP="003F1F64">
            <w:pPr>
              <w:pStyle w:val="afffff7"/>
              <w:rPr>
                <w:color w:val="000000" w:themeColor="text1"/>
              </w:rPr>
            </w:pPr>
          </w:p>
        </w:tc>
      </w:tr>
      <w:tr w:rsidR="00697429" w:rsidRPr="00092862" w14:paraId="6EA9AF7F" w14:textId="77777777" w:rsidTr="00C65644">
        <w:trPr>
          <w:trHeight w:val="53"/>
          <w:jc w:val="center"/>
        </w:trPr>
        <w:tc>
          <w:tcPr>
            <w:tcW w:w="1483" w:type="dxa"/>
            <w:vMerge/>
            <w:vAlign w:val="center"/>
          </w:tcPr>
          <w:p w14:paraId="62045D50" w14:textId="77777777" w:rsidR="00C65644" w:rsidRPr="00092862" w:rsidRDefault="00C65644" w:rsidP="003F1F64">
            <w:pPr>
              <w:pStyle w:val="afffff7"/>
              <w:rPr>
                <w:color w:val="000000" w:themeColor="text1"/>
              </w:rPr>
            </w:pPr>
          </w:p>
        </w:tc>
        <w:tc>
          <w:tcPr>
            <w:tcW w:w="1765" w:type="dxa"/>
            <w:vAlign w:val="center"/>
          </w:tcPr>
          <w:p w14:paraId="5C7CAA64" w14:textId="77777777" w:rsidR="00C65644" w:rsidRPr="00092862" w:rsidRDefault="00C65644" w:rsidP="003F1F64">
            <w:pPr>
              <w:pStyle w:val="afffff7"/>
              <w:rPr>
                <w:color w:val="000000" w:themeColor="text1"/>
              </w:rPr>
            </w:pPr>
            <w:r w:rsidRPr="00092862">
              <w:rPr>
                <w:color w:val="000000" w:themeColor="text1"/>
              </w:rPr>
              <w:t>24</w:t>
            </w:r>
            <w:r w:rsidRPr="00092862">
              <w:rPr>
                <w:color w:val="000000" w:themeColor="text1"/>
              </w:rPr>
              <w:t>小时平均</w:t>
            </w:r>
          </w:p>
        </w:tc>
        <w:tc>
          <w:tcPr>
            <w:tcW w:w="1765" w:type="dxa"/>
            <w:vAlign w:val="center"/>
          </w:tcPr>
          <w:p w14:paraId="35A1A07C" w14:textId="77777777" w:rsidR="00C65644" w:rsidRPr="00092862" w:rsidRDefault="00C65644" w:rsidP="003F1F64">
            <w:pPr>
              <w:pStyle w:val="afffff7"/>
              <w:rPr>
                <w:color w:val="000000" w:themeColor="text1"/>
              </w:rPr>
            </w:pPr>
            <w:r w:rsidRPr="00092862">
              <w:rPr>
                <w:color w:val="000000" w:themeColor="text1"/>
              </w:rPr>
              <w:t>150μg/m</w:t>
            </w:r>
            <w:r w:rsidRPr="00092862">
              <w:rPr>
                <w:color w:val="000000" w:themeColor="text1"/>
                <w:vertAlign w:val="superscript"/>
              </w:rPr>
              <w:t>3</w:t>
            </w:r>
          </w:p>
        </w:tc>
        <w:tc>
          <w:tcPr>
            <w:tcW w:w="3615" w:type="dxa"/>
            <w:vMerge/>
            <w:vAlign w:val="center"/>
          </w:tcPr>
          <w:p w14:paraId="14968CF1" w14:textId="77777777" w:rsidR="00C65644" w:rsidRPr="00092862" w:rsidRDefault="00C65644" w:rsidP="003F1F64">
            <w:pPr>
              <w:pStyle w:val="afffff7"/>
              <w:rPr>
                <w:color w:val="000000" w:themeColor="text1"/>
              </w:rPr>
            </w:pPr>
          </w:p>
        </w:tc>
      </w:tr>
      <w:tr w:rsidR="00697429" w:rsidRPr="00092862" w14:paraId="14088271" w14:textId="77777777" w:rsidTr="00C65644">
        <w:trPr>
          <w:trHeight w:val="53"/>
          <w:jc w:val="center"/>
        </w:trPr>
        <w:tc>
          <w:tcPr>
            <w:tcW w:w="1483" w:type="dxa"/>
            <w:vMerge/>
            <w:vAlign w:val="center"/>
          </w:tcPr>
          <w:p w14:paraId="7EBE92F2" w14:textId="77777777" w:rsidR="00C65644" w:rsidRPr="00092862" w:rsidRDefault="00C65644" w:rsidP="003F1F64">
            <w:pPr>
              <w:pStyle w:val="afffff7"/>
              <w:rPr>
                <w:color w:val="000000" w:themeColor="text1"/>
              </w:rPr>
            </w:pPr>
          </w:p>
        </w:tc>
        <w:tc>
          <w:tcPr>
            <w:tcW w:w="1765" w:type="dxa"/>
            <w:vAlign w:val="center"/>
          </w:tcPr>
          <w:p w14:paraId="701838D6" w14:textId="77777777" w:rsidR="00C65644" w:rsidRPr="00092862" w:rsidRDefault="00C65644" w:rsidP="003F1F64">
            <w:pPr>
              <w:pStyle w:val="afffff7"/>
              <w:rPr>
                <w:color w:val="000000" w:themeColor="text1"/>
              </w:rPr>
            </w:pPr>
            <w:r w:rsidRPr="00092862">
              <w:rPr>
                <w:color w:val="000000" w:themeColor="text1"/>
              </w:rPr>
              <w:t>1</w:t>
            </w:r>
            <w:r w:rsidRPr="00092862">
              <w:rPr>
                <w:color w:val="000000" w:themeColor="text1"/>
              </w:rPr>
              <w:t>小时平均</w:t>
            </w:r>
          </w:p>
        </w:tc>
        <w:tc>
          <w:tcPr>
            <w:tcW w:w="1765" w:type="dxa"/>
            <w:vAlign w:val="center"/>
          </w:tcPr>
          <w:p w14:paraId="6C494B5F" w14:textId="77777777" w:rsidR="00C65644" w:rsidRPr="00092862" w:rsidRDefault="00C65644" w:rsidP="003F1F64">
            <w:pPr>
              <w:pStyle w:val="afffff7"/>
              <w:rPr>
                <w:color w:val="000000" w:themeColor="text1"/>
              </w:rPr>
            </w:pPr>
            <w:r w:rsidRPr="00092862">
              <w:rPr>
                <w:color w:val="000000" w:themeColor="text1"/>
              </w:rPr>
              <w:t>500μg/m</w:t>
            </w:r>
            <w:r w:rsidRPr="00092862">
              <w:rPr>
                <w:color w:val="000000" w:themeColor="text1"/>
                <w:vertAlign w:val="superscript"/>
              </w:rPr>
              <w:t>3</w:t>
            </w:r>
          </w:p>
        </w:tc>
        <w:tc>
          <w:tcPr>
            <w:tcW w:w="3615" w:type="dxa"/>
            <w:vMerge/>
            <w:vAlign w:val="center"/>
          </w:tcPr>
          <w:p w14:paraId="52DD6F6D" w14:textId="77777777" w:rsidR="00C65644" w:rsidRPr="00092862" w:rsidRDefault="00C65644" w:rsidP="003F1F64">
            <w:pPr>
              <w:pStyle w:val="afffff7"/>
              <w:rPr>
                <w:color w:val="000000" w:themeColor="text1"/>
              </w:rPr>
            </w:pPr>
          </w:p>
        </w:tc>
      </w:tr>
      <w:tr w:rsidR="00697429" w:rsidRPr="00092862" w14:paraId="4126F6B1" w14:textId="77777777" w:rsidTr="00C65644">
        <w:trPr>
          <w:trHeight w:val="12"/>
          <w:jc w:val="center"/>
        </w:trPr>
        <w:tc>
          <w:tcPr>
            <w:tcW w:w="1483" w:type="dxa"/>
            <w:vMerge w:val="restart"/>
            <w:vAlign w:val="center"/>
          </w:tcPr>
          <w:p w14:paraId="2580D45C" w14:textId="77777777" w:rsidR="00C65644" w:rsidRPr="00092862" w:rsidRDefault="00C65644" w:rsidP="003F1F64">
            <w:pPr>
              <w:pStyle w:val="afffff7"/>
              <w:rPr>
                <w:color w:val="000000" w:themeColor="text1"/>
              </w:rPr>
            </w:pPr>
            <w:r w:rsidRPr="00092862">
              <w:rPr>
                <w:color w:val="000000" w:themeColor="text1"/>
              </w:rPr>
              <w:t>NO</w:t>
            </w:r>
            <w:r w:rsidRPr="00092862">
              <w:rPr>
                <w:color w:val="000000" w:themeColor="text1"/>
                <w:vertAlign w:val="subscript"/>
              </w:rPr>
              <w:t>2</w:t>
            </w:r>
          </w:p>
        </w:tc>
        <w:tc>
          <w:tcPr>
            <w:tcW w:w="1765" w:type="dxa"/>
            <w:vAlign w:val="center"/>
          </w:tcPr>
          <w:p w14:paraId="5A5FA6CF" w14:textId="77777777" w:rsidR="00C65644" w:rsidRPr="00092862" w:rsidRDefault="00C65644" w:rsidP="003F1F64">
            <w:pPr>
              <w:pStyle w:val="afffff7"/>
              <w:rPr>
                <w:color w:val="000000" w:themeColor="text1"/>
              </w:rPr>
            </w:pPr>
            <w:r w:rsidRPr="00092862">
              <w:rPr>
                <w:color w:val="000000" w:themeColor="text1"/>
              </w:rPr>
              <w:t>年平均</w:t>
            </w:r>
          </w:p>
        </w:tc>
        <w:tc>
          <w:tcPr>
            <w:tcW w:w="1765" w:type="dxa"/>
            <w:vAlign w:val="center"/>
          </w:tcPr>
          <w:p w14:paraId="228F47CA" w14:textId="77777777" w:rsidR="00C65644" w:rsidRPr="00092862" w:rsidRDefault="00C65644" w:rsidP="003F1F64">
            <w:pPr>
              <w:pStyle w:val="afffff7"/>
              <w:rPr>
                <w:color w:val="000000" w:themeColor="text1"/>
              </w:rPr>
            </w:pPr>
            <w:r w:rsidRPr="00092862">
              <w:rPr>
                <w:color w:val="000000" w:themeColor="text1"/>
              </w:rPr>
              <w:t>40μg/m</w:t>
            </w:r>
            <w:r w:rsidRPr="00092862">
              <w:rPr>
                <w:color w:val="000000" w:themeColor="text1"/>
                <w:vertAlign w:val="superscript"/>
              </w:rPr>
              <w:t>3</w:t>
            </w:r>
          </w:p>
        </w:tc>
        <w:tc>
          <w:tcPr>
            <w:tcW w:w="3615" w:type="dxa"/>
            <w:vMerge/>
            <w:vAlign w:val="center"/>
          </w:tcPr>
          <w:p w14:paraId="6DC1DC22" w14:textId="77777777" w:rsidR="00C65644" w:rsidRPr="00092862" w:rsidRDefault="00C65644" w:rsidP="003F1F64">
            <w:pPr>
              <w:pStyle w:val="afffff7"/>
              <w:rPr>
                <w:color w:val="000000" w:themeColor="text1"/>
              </w:rPr>
            </w:pPr>
          </w:p>
        </w:tc>
      </w:tr>
      <w:tr w:rsidR="00697429" w:rsidRPr="00092862" w14:paraId="37B2C983" w14:textId="77777777" w:rsidTr="00C65644">
        <w:trPr>
          <w:trHeight w:val="12"/>
          <w:jc w:val="center"/>
        </w:trPr>
        <w:tc>
          <w:tcPr>
            <w:tcW w:w="1483" w:type="dxa"/>
            <w:vMerge/>
            <w:vAlign w:val="center"/>
          </w:tcPr>
          <w:p w14:paraId="0ED2C556" w14:textId="77777777" w:rsidR="00C65644" w:rsidRPr="00092862" w:rsidRDefault="00C65644" w:rsidP="003F1F64">
            <w:pPr>
              <w:pStyle w:val="afffff7"/>
              <w:rPr>
                <w:color w:val="000000" w:themeColor="text1"/>
              </w:rPr>
            </w:pPr>
          </w:p>
        </w:tc>
        <w:tc>
          <w:tcPr>
            <w:tcW w:w="1765" w:type="dxa"/>
            <w:vAlign w:val="center"/>
          </w:tcPr>
          <w:p w14:paraId="46E93056" w14:textId="77777777" w:rsidR="00C65644" w:rsidRPr="00092862" w:rsidRDefault="00C65644" w:rsidP="003F1F64">
            <w:pPr>
              <w:pStyle w:val="afffff7"/>
              <w:rPr>
                <w:color w:val="000000" w:themeColor="text1"/>
              </w:rPr>
            </w:pPr>
            <w:r w:rsidRPr="00092862">
              <w:rPr>
                <w:color w:val="000000" w:themeColor="text1"/>
              </w:rPr>
              <w:t>24</w:t>
            </w:r>
            <w:r w:rsidRPr="00092862">
              <w:rPr>
                <w:color w:val="000000" w:themeColor="text1"/>
              </w:rPr>
              <w:t>小时平均</w:t>
            </w:r>
          </w:p>
        </w:tc>
        <w:tc>
          <w:tcPr>
            <w:tcW w:w="1765" w:type="dxa"/>
            <w:vAlign w:val="center"/>
          </w:tcPr>
          <w:p w14:paraId="7AF020A4" w14:textId="77777777" w:rsidR="00C65644" w:rsidRPr="00092862" w:rsidRDefault="00C65644" w:rsidP="003F1F64">
            <w:pPr>
              <w:pStyle w:val="afffff7"/>
              <w:rPr>
                <w:color w:val="000000" w:themeColor="text1"/>
              </w:rPr>
            </w:pPr>
            <w:r w:rsidRPr="00092862">
              <w:rPr>
                <w:color w:val="000000" w:themeColor="text1"/>
              </w:rPr>
              <w:t>80μg/m</w:t>
            </w:r>
            <w:r w:rsidRPr="00092862">
              <w:rPr>
                <w:color w:val="000000" w:themeColor="text1"/>
                <w:vertAlign w:val="superscript"/>
              </w:rPr>
              <w:t>3</w:t>
            </w:r>
          </w:p>
        </w:tc>
        <w:tc>
          <w:tcPr>
            <w:tcW w:w="3615" w:type="dxa"/>
            <w:vMerge/>
            <w:vAlign w:val="center"/>
          </w:tcPr>
          <w:p w14:paraId="692125C4" w14:textId="77777777" w:rsidR="00C65644" w:rsidRPr="00092862" w:rsidRDefault="00C65644" w:rsidP="003F1F64">
            <w:pPr>
              <w:pStyle w:val="afffff7"/>
              <w:rPr>
                <w:color w:val="000000" w:themeColor="text1"/>
              </w:rPr>
            </w:pPr>
          </w:p>
        </w:tc>
      </w:tr>
      <w:tr w:rsidR="00697429" w:rsidRPr="00092862" w14:paraId="48E339E5" w14:textId="77777777" w:rsidTr="00C65644">
        <w:trPr>
          <w:trHeight w:val="12"/>
          <w:jc w:val="center"/>
        </w:trPr>
        <w:tc>
          <w:tcPr>
            <w:tcW w:w="1483" w:type="dxa"/>
            <w:vMerge/>
            <w:vAlign w:val="center"/>
          </w:tcPr>
          <w:p w14:paraId="60E98359" w14:textId="77777777" w:rsidR="00C65644" w:rsidRPr="00092862" w:rsidRDefault="00C65644" w:rsidP="003F1F64">
            <w:pPr>
              <w:pStyle w:val="afffff7"/>
              <w:rPr>
                <w:color w:val="000000" w:themeColor="text1"/>
              </w:rPr>
            </w:pPr>
          </w:p>
        </w:tc>
        <w:tc>
          <w:tcPr>
            <w:tcW w:w="1765" w:type="dxa"/>
            <w:vAlign w:val="center"/>
          </w:tcPr>
          <w:p w14:paraId="7960E896" w14:textId="77777777" w:rsidR="00C65644" w:rsidRPr="00092862" w:rsidRDefault="00C65644" w:rsidP="003F1F64">
            <w:pPr>
              <w:pStyle w:val="afffff7"/>
              <w:rPr>
                <w:color w:val="000000" w:themeColor="text1"/>
              </w:rPr>
            </w:pPr>
            <w:r w:rsidRPr="00092862">
              <w:rPr>
                <w:color w:val="000000" w:themeColor="text1"/>
              </w:rPr>
              <w:t>1</w:t>
            </w:r>
            <w:r w:rsidRPr="00092862">
              <w:rPr>
                <w:color w:val="000000" w:themeColor="text1"/>
              </w:rPr>
              <w:t>小时平均</w:t>
            </w:r>
          </w:p>
        </w:tc>
        <w:tc>
          <w:tcPr>
            <w:tcW w:w="1765" w:type="dxa"/>
            <w:vAlign w:val="center"/>
          </w:tcPr>
          <w:p w14:paraId="15C7BAFB" w14:textId="77777777" w:rsidR="00C65644" w:rsidRPr="00092862" w:rsidRDefault="00C65644" w:rsidP="003F1F64">
            <w:pPr>
              <w:pStyle w:val="afffff7"/>
              <w:rPr>
                <w:color w:val="000000" w:themeColor="text1"/>
              </w:rPr>
            </w:pPr>
            <w:r w:rsidRPr="00092862">
              <w:rPr>
                <w:color w:val="000000" w:themeColor="text1"/>
              </w:rPr>
              <w:t>200μg/m</w:t>
            </w:r>
            <w:r w:rsidRPr="00092862">
              <w:rPr>
                <w:color w:val="000000" w:themeColor="text1"/>
                <w:vertAlign w:val="superscript"/>
              </w:rPr>
              <w:t>3</w:t>
            </w:r>
          </w:p>
        </w:tc>
        <w:tc>
          <w:tcPr>
            <w:tcW w:w="3615" w:type="dxa"/>
            <w:vMerge/>
            <w:vAlign w:val="center"/>
          </w:tcPr>
          <w:p w14:paraId="2A5CE5A8" w14:textId="77777777" w:rsidR="00C65644" w:rsidRPr="00092862" w:rsidRDefault="00C65644" w:rsidP="003F1F64">
            <w:pPr>
              <w:pStyle w:val="afffff7"/>
              <w:rPr>
                <w:color w:val="000000" w:themeColor="text1"/>
              </w:rPr>
            </w:pPr>
          </w:p>
        </w:tc>
      </w:tr>
      <w:tr w:rsidR="00697429" w:rsidRPr="00092862" w14:paraId="701C60CC" w14:textId="77777777" w:rsidTr="00C65644">
        <w:trPr>
          <w:trHeight w:val="12"/>
          <w:jc w:val="center"/>
        </w:trPr>
        <w:tc>
          <w:tcPr>
            <w:tcW w:w="1483" w:type="dxa"/>
            <w:vMerge w:val="restart"/>
            <w:vAlign w:val="center"/>
          </w:tcPr>
          <w:p w14:paraId="5030D431" w14:textId="77777777" w:rsidR="00C65644" w:rsidRPr="00092862" w:rsidRDefault="00C65644" w:rsidP="003F1F64">
            <w:pPr>
              <w:pStyle w:val="afffff7"/>
              <w:rPr>
                <w:color w:val="000000" w:themeColor="text1"/>
              </w:rPr>
            </w:pPr>
            <w:r w:rsidRPr="00092862">
              <w:rPr>
                <w:color w:val="000000" w:themeColor="text1"/>
              </w:rPr>
              <w:t>TSP</w:t>
            </w:r>
          </w:p>
        </w:tc>
        <w:tc>
          <w:tcPr>
            <w:tcW w:w="1765" w:type="dxa"/>
            <w:vAlign w:val="center"/>
          </w:tcPr>
          <w:p w14:paraId="7C493902" w14:textId="77777777" w:rsidR="00C65644" w:rsidRPr="00092862" w:rsidRDefault="00C65644" w:rsidP="003F1F64">
            <w:pPr>
              <w:pStyle w:val="afffff7"/>
              <w:rPr>
                <w:color w:val="000000" w:themeColor="text1"/>
              </w:rPr>
            </w:pPr>
            <w:r w:rsidRPr="00092862">
              <w:rPr>
                <w:color w:val="000000" w:themeColor="text1"/>
              </w:rPr>
              <w:t>年平均</w:t>
            </w:r>
          </w:p>
        </w:tc>
        <w:tc>
          <w:tcPr>
            <w:tcW w:w="1765" w:type="dxa"/>
            <w:vAlign w:val="center"/>
          </w:tcPr>
          <w:p w14:paraId="201D006F" w14:textId="77777777" w:rsidR="00C65644" w:rsidRPr="00092862" w:rsidRDefault="00C65644" w:rsidP="003F1F64">
            <w:pPr>
              <w:pStyle w:val="afffff7"/>
              <w:rPr>
                <w:color w:val="000000" w:themeColor="text1"/>
              </w:rPr>
            </w:pPr>
            <w:r w:rsidRPr="00092862">
              <w:rPr>
                <w:color w:val="000000" w:themeColor="text1"/>
              </w:rPr>
              <w:t>200μg/m</w:t>
            </w:r>
            <w:r w:rsidRPr="00092862">
              <w:rPr>
                <w:color w:val="000000" w:themeColor="text1"/>
                <w:vertAlign w:val="superscript"/>
              </w:rPr>
              <w:t>3</w:t>
            </w:r>
          </w:p>
        </w:tc>
        <w:tc>
          <w:tcPr>
            <w:tcW w:w="3615" w:type="dxa"/>
            <w:vMerge/>
            <w:vAlign w:val="center"/>
          </w:tcPr>
          <w:p w14:paraId="13A65BCC" w14:textId="77777777" w:rsidR="00C65644" w:rsidRPr="00092862" w:rsidRDefault="00C65644" w:rsidP="003F1F64">
            <w:pPr>
              <w:pStyle w:val="afffff7"/>
              <w:rPr>
                <w:color w:val="000000" w:themeColor="text1"/>
              </w:rPr>
            </w:pPr>
          </w:p>
        </w:tc>
      </w:tr>
      <w:tr w:rsidR="00697429" w:rsidRPr="00092862" w14:paraId="261155D4" w14:textId="77777777" w:rsidTr="00C65644">
        <w:trPr>
          <w:trHeight w:val="12"/>
          <w:jc w:val="center"/>
        </w:trPr>
        <w:tc>
          <w:tcPr>
            <w:tcW w:w="1483" w:type="dxa"/>
            <w:vMerge/>
            <w:vAlign w:val="center"/>
          </w:tcPr>
          <w:p w14:paraId="0BBA5B16" w14:textId="77777777" w:rsidR="00C65644" w:rsidRPr="00092862" w:rsidRDefault="00C65644" w:rsidP="003F1F64">
            <w:pPr>
              <w:pStyle w:val="afffff7"/>
              <w:rPr>
                <w:color w:val="000000" w:themeColor="text1"/>
              </w:rPr>
            </w:pPr>
          </w:p>
        </w:tc>
        <w:tc>
          <w:tcPr>
            <w:tcW w:w="1765" w:type="dxa"/>
            <w:vAlign w:val="center"/>
          </w:tcPr>
          <w:p w14:paraId="074520E7" w14:textId="77777777" w:rsidR="00C65644" w:rsidRPr="00092862" w:rsidRDefault="00C65644" w:rsidP="003F1F64">
            <w:pPr>
              <w:pStyle w:val="afffff7"/>
              <w:rPr>
                <w:color w:val="000000" w:themeColor="text1"/>
              </w:rPr>
            </w:pPr>
            <w:r w:rsidRPr="00092862">
              <w:rPr>
                <w:color w:val="000000" w:themeColor="text1"/>
              </w:rPr>
              <w:t>24</w:t>
            </w:r>
            <w:r w:rsidRPr="00092862">
              <w:rPr>
                <w:color w:val="000000" w:themeColor="text1"/>
              </w:rPr>
              <w:t>小时平均</w:t>
            </w:r>
          </w:p>
        </w:tc>
        <w:tc>
          <w:tcPr>
            <w:tcW w:w="1765" w:type="dxa"/>
            <w:vAlign w:val="center"/>
          </w:tcPr>
          <w:p w14:paraId="020C0375" w14:textId="77777777" w:rsidR="00C65644" w:rsidRPr="00092862" w:rsidRDefault="00C65644" w:rsidP="003F1F64">
            <w:pPr>
              <w:pStyle w:val="afffff7"/>
              <w:rPr>
                <w:color w:val="000000" w:themeColor="text1"/>
              </w:rPr>
            </w:pPr>
            <w:r w:rsidRPr="00092862">
              <w:rPr>
                <w:color w:val="000000" w:themeColor="text1"/>
              </w:rPr>
              <w:t>300μg/m</w:t>
            </w:r>
            <w:r w:rsidRPr="00092862">
              <w:rPr>
                <w:color w:val="000000" w:themeColor="text1"/>
                <w:vertAlign w:val="superscript"/>
              </w:rPr>
              <w:t>3</w:t>
            </w:r>
          </w:p>
        </w:tc>
        <w:tc>
          <w:tcPr>
            <w:tcW w:w="3615" w:type="dxa"/>
            <w:vMerge/>
            <w:vAlign w:val="center"/>
          </w:tcPr>
          <w:p w14:paraId="21ED4233" w14:textId="77777777" w:rsidR="00C65644" w:rsidRPr="00092862" w:rsidRDefault="00C65644" w:rsidP="003F1F64">
            <w:pPr>
              <w:pStyle w:val="afffff7"/>
              <w:rPr>
                <w:color w:val="000000" w:themeColor="text1"/>
              </w:rPr>
            </w:pPr>
          </w:p>
        </w:tc>
      </w:tr>
      <w:tr w:rsidR="00697429" w:rsidRPr="00092862" w14:paraId="33FFAEBD" w14:textId="77777777" w:rsidTr="00C65644">
        <w:trPr>
          <w:trHeight w:val="12"/>
          <w:jc w:val="center"/>
        </w:trPr>
        <w:tc>
          <w:tcPr>
            <w:tcW w:w="1483" w:type="dxa"/>
            <w:vMerge w:val="restart"/>
            <w:vAlign w:val="center"/>
          </w:tcPr>
          <w:p w14:paraId="02167272" w14:textId="77777777" w:rsidR="00C65644" w:rsidRPr="00092862" w:rsidRDefault="00C65644" w:rsidP="003F1F64">
            <w:pPr>
              <w:pStyle w:val="afffff7"/>
              <w:rPr>
                <w:color w:val="000000" w:themeColor="text1"/>
              </w:rPr>
            </w:pPr>
            <w:r w:rsidRPr="00092862">
              <w:rPr>
                <w:color w:val="000000" w:themeColor="text1"/>
              </w:rPr>
              <w:t>CO</w:t>
            </w:r>
          </w:p>
        </w:tc>
        <w:tc>
          <w:tcPr>
            <w:tcW w:w="1765" w:type="dxa"/>
            <w:vAlign w:val="center"/>
          </w:tcPr>
          <w:p w14:paraId="32313D62" w14:textId="77777777" w:rsidR="00C65644" w:rsidRPr="00092862" w:rsidRDefault="00C65644" w:rsidP="003F1F64">
            <w:pPr>
              <w:pStyle w:val="afffff7"/>
              <w:rPr>
                <w:color w:val="000000" w:themeColor="text1"/>
              </w:rPr>
            </w:pPr>
            <w:r w:rsidRPr="00092862">
              <w:rPr>
                <w:color w:val="000000" w:themeColor="text1"/>
              </w:rPr>
              <w:t>24</w:t>
            </w:r>
            <w:r w:rsidRPr="00092862">
              <w:rPr>
                <w:color w:val="000000" w:themeColor="text1"/>
              </w:rPr>
              <w:t>小时平均</w:t>
            </w:r>
          </w:p>
        </w:tc>
        <w:tc>
          <w:tcPr>
            <w:tcW w:w="1765" w:type="dxa"/>
            <w:vAlign w:val="center"/>
          </w:tcPr>
          <w:p w14:paraId="260C9466" w14:textId="77777777" w:rsidR="00C65644" w:rsidRPr="00092862" w:rsidRDefault="00C65644" w:rsidP="003F1F64">
            <w:pPr>
              <w:pStyle w:val="afffff7"/>
              <w:rPr>
                <w:color w:val="000000" w:themeColor="text1"/>
              </w:rPr>
            </w:pPr>
            <w:r w:rsidRPr="00092862">
              <w:rPr>
                <w:color w:val="000000" w:themeColor="text1"/>
              </w:rPr>
              <w:t>4mg/m</w:t>
            </w:r>
            <w:r w:rsidRPr="00092862">
              <w:rPr>
                <w:color w:val="000000" w:themeColor="text1"/>
                <w:vertAlign w:val="superscript"/>
              </w:rPr>
              <w:t>3</w:t>
            </w:r>
          </w:p>
        </w:tc>
        <w:tc>
          <w:tcPr>
            <w:tcW w:w="3615" w:type="dxa"/>
            <w:vMerge/>
            <w:vAlign w:val="center"/>
          </w:tcPr>
          <w:p w14:paraId="4BA5D596" w14:textId="77777777" w:rsidR="00C65644" w:rsidRPr="00092862" w:rsidRDefault="00C65644" w:rsidP="003F1F64">
            <w:pPr>
              <w:pStyle w:val="afffff7"/>
              <w:rPr>
                <w:color w:val="000000" w:themeColor="text1"/>
              </w:rPr>
            </w:pPr>
          </w:p>
        </w:tc>
      </w:tr>
      <w:tr w:rsidR="00697429" w:rsidRPr="00092862" w14:paraId="2A298AC4" w14:textId="77777777" w:rsidTr="00C65644">
        <w:trPr>
          <w:trHeight w:val="12"/>
          <w:jc w:val="center"/>
        </w:trPr>
        <w:tc>
          <w:tcPr>
            <w:tcW w:w="1483" w:type="dxa"/>
            <w:vMerge/>
            <w:vAlign w:val="center"/>
          </w:tcPr>
          <w:p w14:paraId="72DF5AEE" w14:textId="77777777" w:rsidR="00C65644" w:rsidRPr="00092862" w:rsidRDefault="00C65644" w:rsidP="003F1F64">
            <w:pPr>
              <w:pStyle w:val="afffff7"/>
              <w:rPr>
                <w:color w:val="000000" w:themeColor="text1"/>
              </w:rPr>
            </w:pPr>
          </w:p>
        </w:tc>
        <w:tc>
          <w:tcPr>
            <w:tcW w:w="1765" w:type="dxa"/>
            <w:vAlign w:val="center"/>
          </w:tcPr>
          <w:p w14:paraId="7DB0473B" w14:textId="77777777" w:rsidR="00C65644" w:rsidRPr="00092862" w:rsidRDefault="00C65644" w:rsidP="003F1F64">
            <w:pPr>
              <w:pStyle w:val="afffff7"/>
              <w:rPr>
                <w:color w:val="000000" w:themeColor="text1"/>
              </w:rPr>
            </w:pPr>
            <w:r w:rsidRPr="00092862">
              <w:rPr>
                <w:color w:val="000000" w:themeColor="text1"/>
              </w:rPr>
              <w:t>1</w:t>
            </w:r>
            <w:r w:rsidRPr="00092862">
              <w:rPr>
                <w:color w:val="000000" w:themeColor="text1"/>
              </w:rPr>
              <w:t>小时平均</w:t>
            </w:r>
          </w:p>
        </w:tc>
        <w:tc>
          <w:tcPr>
            <w:tcW w:w="1765" w:type="dxa"/>
            <w:vAlign w:val="center"/>
          </w:tcPr>
          <w:p w14:paraId="6EA99C7D" w14:textId="77777777" w:rsidR="00C65644" w:rsidRPr="00092862" w:rsidRDefault="00C65644" w:rsidP="003F1F64">
            <w:pPr>
              <w:pStyle w:val="afffff7"/>
              <w:rPr>
                <w:color w:val="000000" w:themeColor="text1"/>
              </w:rPr>
            </w:pPr>
            <w:r w:rsidRPr="00092862">
              <w:rPr>
                <w:color w:val="000000" w:themeColor="text1"/>
              </w:rPr>
              <w:t>10mg/m</w:t>
            </w:r>
            <w:r w:rsidRPr="00092862">
              <w:rPr>
                <w:color w:val="000000" w:themeColor="text1"/>
                <w:vertAlign w:val="superscript"/>
              </w:rPr>
              <w:t>3</w:t>
            </w:r>
          </w:p>
        </w:tc>
        <w:tc>
          <w:tcPr>
            <w:tcW w:w="3615" w:type="dxa"/>
            <w:vMerge/>
            <w:vAlign w:val="center"/>
          </w:tcPr>
          <w:p w14:paraId="7BE56390" w14:textId="77777777" w:rsidR="00C65644" w:rsidRPr="00092862" w:rsidRDefault="00C65644" w:rsidP="003F1F64">
            <w:pPr>
              <w:pStyle w:val="afffff7"/>
              <w:rPr>
                <w:color w:val="000000" w:themeColor="text1"/>
              </w:rPr>
            </w:pPr>
          </w:p>
        </w:tc>
      </w:tr>
      <w:tr w:rsidR="00697429" w:rsidRPr="00092862" w14:paraId="72A42861" w14:textId="77777777" w:rsidTr="00C65644">
        <w:trPr>
          <w:trHeight w:val="12"/>
          <w:jc w:val="center"/>
        </w:trPr>
        <w:tc>
          <w:tcPr>
            <w:tcW w:w="1483" w:type="dxa"/>
            <w:vMerge w:val="restart"/>
            <w:vAlign w:val="center"/>
          </w:tcPr>
          <w:p w14:paraId="16BD59FF" w14:textId="77777777" w:rsidR="00C65644" w:rsidRPr="00092862" w:rsidRDefault="00C65644" w:rsidP="003F1F64">
            <w:pPr>
              <w:pStyle w:val="afffff7"/>
              <w:rPr>
                <w:color w:val="000000" w:themeColor="text1"/>
              </w:rPr>
            </w:pPr>
            <w:r w:rsidRPr="00092862">
              <w:rPr>
                <w:iCs/>
                <w:color w:val="000000" w:themeColor="text1"/>
                <w:kern w:val="0"/>
                <w:szCs w:val="21"/>
              </w:rPr>
              <w:t>O</w:t>
            </w:r>
            <w:r w:rsidRPr="00092862">
              <w:rPr>
                <w:iCs/>
                <w:color w:val="000000" w:themeColor="text1"/>
                <w:kern w:val="0"/>
                <w:szCs w:val="21"/>
                <w:vertAlign w:val="subscript"/>
              </w:rPr>
              <w:t>3</w:t>
            </w:r>
          </w:p>
        </w:tc>
        <w:tc>
          <w:tcPr>
            <w:tcW w:w="1765" w:type="dxa"/>
          </w:tcPr>
          <w:p w14:paraId="7932487A" w14:textId="77777777" w:rsidR="00C65644" w:rsidRPr="00092862" w:rsidRDefault="00C65644" w:rsidP="003F1F64">
            <w:pPr>
              <w:pStyle w:val="afffff7"/>
              <w:rPr>
                <w:color w:val="000000" w:themeColor="text1"/>
              </w:rPr>
            </w:pPr>
            <w:r w:rsidRPr="00092862">
              <w:rPr>
                <w:iCs/>
                <w:color w:val="000000" w:themeColor="text1"/>
                <w:szCs w:val="21"/>
              </w:rPr>
              <w:t>8</w:t>
            </w:r>
            <w:r w:rsidRPr="00092862">
              <w:rPr>
                <w:iCs/>
                <w:color w:val="000000" w:themeColor="text1"/>
                <w:szCs w:val="21"/>
              </w:rPr>
              <w:t>小时平均</w:t>
            </w:r>
          </w:p>
        </w:tc>
        <w:tc>
          <w:tcPr>
            <w:tcW w:w="1765" w:type="dxa"/>
          </w:tcPr>
          <w:p w14:paraId="19135D0B" w14:textId="77777777" w:rsidR="00C65644" w:rsidRPr="00092862" w:rsidRDefault="00C65644" w:rsidP="003F1F64">
            <w:pPr>
              <w:pStyle w:val="afffff7"/>
              <w:rPr>
                <w:color w:val="000000" w:themeColor="text1"/>
              </w:rPr>
            </w:pPr>
            <w:r w:rsidRPr="00092862">
              <w:rPr>
                <w:iCs/>
                <w:color w:val="000000" w:themeColor="text1"/>
                <w:szCs w:val="21"/>
              </w:rPr>
              <w:t>160</w:t>
            </w:r>
            <w:r w:rsidRPr="00092862">
              <w:rPr>
                <w:iCs/>
                <w:color w:val="000000" w:themeColor="text1"/>
                <w:kern w:val="0"/>
                <w:szCs w:val="21"/>
              </w:rPr>
              <w:t>μg/m</w:t>
            </w:r>
            <w:r w:rsidRPr="00092862">
              <w:rPr>
                <w:iCs/>
                <w:color w:val="000000" w:themeColor="text1"/>
                <w:kern w:val="0"/>
                <w:szCs w:val="21"/>
                <w:vertAlign w:val="superscript"/>
              </w:rPr>
              <w:t>3</w:t>
            </w:r>
          </w:p>
        </w:tc>
        <w:tc>
          <w:tcPr>
            <w:tcW w:w="3615" w:type="dxa"/>
            <w:vMerge/>
            <w:vAlign w:val="center"/>
          </w:tcPr>
          <w:p w14:paraId="16E5380E" w14:textId="77777777" w:rsidR="00C65644" w:rsidRPr="00092862" w:rsidRDefault="00C65644" w:rsidP="003F1F64">
            <w:pPr>
              <w:pStyle w:val="afffff7"/>
              <w:rPr>
                <w:color w:val="000000" w:themeColor="text1"/>
              </w:rPr>
            </w:pPr>
          </w:p>
        </w:tc>
      </w:tr>
      <w:tr w:rsidR="00697429" w:rsidRPr="00092862" w14:paraId="63B732BF" w14:textId="77777777" w:rsidTr="00C65644">
        <w:trPr>
          <w:trHeight w:val="12"/>
          <w:jc w:val="center"/>
        </w:trPr>
        <w:tc>
          <w:tcPr>
            <w:tcW w:w="1483" w:type="dxa"/>
            <w:vMerge/>
            <w:vAlign w:val="center"/>
          </w:tcPr>
          <w:p w14:paraId="1EAE1364" w14:textId="77777777" w:rsidR="00C65644" w:rsidRPr="00092862" w:rsidRDefault="00C65644" w:rsidP="003F1F64">
            <w:pPr>
              <w:pStyle w:val="afffff7"/>
              <w:rPr>
                <w:color w:val="000000" w:themeColor="text1"/>
              </w:rPr>
            </w:pPr>
          </w:p>
        </w:tc>
        <w:tc>
          <w:tcPr>
            <w:tcW w:w="1765" w:type="dxa"/>
          </w:tcPr>
          <w:p w14:paraId="172AAA70" w14:textId="77777777" w:rsidR="00C65644" w:rsidRPr="00092862" w:rsidRDefault="00C65644" w:rsidP="003F1F64">
            <w:pPr>
              <w:pStyle w:val="afffff7"/>
              <w:rPr>
                <w:color w:val="000000" w:themeColor="text1"/>
              </w:rPr>
            </w:pPr>
            <w:r w:rsidRPr="00092862">
              <w:rPr>
                <w:iCs/>
                <w:color w:val="000000" w:themeColor="text1"/>
                <w:szCs w:val="21"/>
              </w:rPr>
              <w:t>1</w:t>
            </w:r>
            <w:r w:rsidRPr="00092862">
              <w:rPr>
                <w:iCs/>
                <w:color w:val="000000" w:themeColor="text1"/>
                <w:szCs w:val="21"/>
              </w:rPr>
              <w:t>小时平均</w:t>
            </w:r>
          </w:p>
        </w:tc>
        <w:tc>
          <w:tcPr>
            <w:tcW w:w="1765" w:type="dxa"/>
          </w:tcPr>
          <w:p w14:paraId="5AD94CA0" w14:textId="77777777" w:rsidR="00C65644" w:rsidRPr="00092862" w:rsidRDefault="00C65644" w:rsidP="003F1F64">
            <w:pPr>
              <w:pStyle w:val="afffff7"/>
              <w:rPr>
                <w:color w:val="000000" w:themeColor="text1"/>
              </w:rPr>
            </w:pPr>
            <w:r w:rsidRPr="00092862">
              <w:rPr>
                <w:iCs/>
                <w:color w:val="000000" w:themeColor="text1"/>
                <w:szCs w:val="21"/>
              </w:rPr>
              <w:t>200</w:t>
            </w:r>
            <w:r w:rsidRPr="00092862">
              <w:rPr>
                <w:iCs/>
                <w:color w:val="000000" w:themeColor="text1"/>
                <w:kern w:val="0"/>
                <w:szCs w:val="21"/>
              </w:rPr>
              <w:t>μg/m</w:t>
            </w:r>
            <w:r w:rsidRPr="00092862">
              <w:rPr>
                <w:iCs/>
                <w:color w:val="000000" w:themeColor="text1"/>
                <w:kern w:val="0"/>
                <w:szCs w:val="21"/>
                <w:vertAlign w:val="superscript"/>
              </w:rPr>
              <w:t>3</w:t>
            </w:r>
          </w:p>
        </w:tc>
        <w:tc>
          <w:tcPr>
            <w:tcW w:w="3615" w:type="dxa"/>
            <w:vMerge/>
            <w:vAlign w:val="center"/>
          </w:tcPr>
          <w:p w14:paraId="5D5D69F8" w14:textId="77777777" w:rsidR="00C65644" w:rsidRPr="00092862" w:rsidRDefault="00C65644" w:rsidP="003F1F64">
            <w:pPr>
              <w:pStyle w:val="afffff7"/>
              <w:rPr>
                <w:color w:val="000000" w:themeColor="text1"/>
              </w:rPr>
            </w:pPr>
          </w:p>
        </w:tc>
      </w:tr>
      <w:tr w:rsidR="00697429" w:rsidRPr="00092862" w14:paraId="3DC57AE2" w14:textId="77777777" w:rsidTr="00C65644">
        <w:trPr>
          <w:trHeight w:val="12"/>
          <w:jc w:val="center"/>
        </w:trPr>
        <w:tc>
          <w:tcPr>
            <w:tcW w:w="1483" w:type="dxa"/>
            <w:vAlign w:val="center"/>
          </w:tcPr>
          <w:p w14:paraId="0622B98F" w14:textId="77777777" w:rsidR="00C65644" w:rsidRPr="00092862" w:rsidRDefault="00C65644" w:rsidP="003F1F64">
            <w:pPr>
              <w:pStyle w:val="afffff7"/>
              <w:rPr>
                <w:color w:val="000000" w:themeColor="text1"/>
              </w:rPr>
            </w:pPr>
            <w:r w:rsidRPr="00092862">
              <w:rPr>
                <w:color w:val="000000" w:themeColor="text1"/>
              </w:rPr>
              <w:t>硫化氢</w:t>
            </w:r>
          </w:p>
        </w:tc>
        <w:tc>
          <w:tcPr>
            <w:tcW w:w="1765" w:type="dxa"/>
            <w:vAlign w:val="center"/>
          </w:tcPr>
          <w:p w14:paraId="7D355333" w14:textId="77777777" w:rsidR="00C65644" w:rsidRPr="00092862" w:rsidRDefault="00C65644" w:rsidP="003F1F64">
            <w:pPr>
              <w:pStyle w:val="afffff7"/>
              <w:rPr>
                <w:iCs/>
                <w:color w:val="000000" w:themeColor="text1"/>
                <w:szCs w:val="21"/>
              </w:rPr>
            </w:pPr>
            <w:r w:rsidRPr="00092862">
              <w:rPr>
                <w:color w:val="000000" w:themeColor="text1"/>
              </w:rPr>
              <w:t>1</w:t>
            </w:r>
            <w:r w:rsidRPr="00092862">
              <w:rPr>
                <w:color w:val="000000" w:themeColor="text1"/>
              </w:rPr>
              <w:t>小时平均</w:t>
            </w:r>
          </w:p>
        </w:tc>
        <w:tc>
          <w:tcPr>
            <w:tcW w:w="1765" w:type="dxa"/>
            <w:vAlign w:val="center"/>
          </w:tcPr>
          <w:p w14:paraId="01C5CAD6" w14:textId="77777777" w:rsidR="00C65644" w:rsidRPr="00092862" w:rsidRDefault="00C65644" w:rsidP="003F1F64">
            <w:pPr>
              <w:pStyle w:val="afffff7"/>
              <w:rPr>
                <w:iCs/>
                <w:color w:val="000000" w:themeColor="text1"/>
                <w:szCs w:val="21"/>
              </w:rPr>
            </w:pPr>
            <w:r w:rsidRPr="00092862">
              <w:rPr>
                <w:color w:val="000000" w:themeColor="text1"/>
              </w:rPr>
              <w:t>10</w:t>
            </w:r>
            <w:r w:rsidRPr="00092862">
              <w:rPr>
                <w:iCs/>
                <w:color w:val="000000" w:themeColor="text1"/>
                <w:kern w:val="0"/>
                <w:szCs w:val="21"/>
              </w:rPr>
              <w:t>μ</w:t>
            </w:r>
            <w:r w:rsidRPr="00092862">
              <w:rPr>
                <w:color w:val="000000" w:themeColor="text1"/>
              </w:rPr>
              <w:t>g/m</w:t>
            </w:r>
            <w:r w:rsidRPr="00092862">
              <w:rPr>
                <w:color w:val="000000" w:themeColor="text1"/>
                <w:vertAlign w:val="superscript"/>
              </w:rPr>
              <w:t>3</w:t>
            </w:r>
          </w:p>
        </w:tc>
        <w:tc>
          <w:tcPr>
            <w:tcW w:w="3615" w:type="dxa"/>
            <w:vAlign w:val="center"/>
          </w:tcPr>
          <w:p w14:paraId="1C03183C" w14:textId="77777777" w:rsidR="00C65644" w:rsidRPr="00092862" w:rsidRDefault="00C65644" w:rsidP="003F1F64">
            <w:pPr>
              <w:pStyle w:val="afffff7"/>
              <w:rPr>
                <w:color w:val="000000" w:themeColor="text1"/>
              </w:rPr>
            </w:pPr>
            <w:r w:rsidRPr="00092862">
              <w:rPr>
                <w:color w:val="000000" w:themeColor="text1"/>
                <w:szCs w:val="21"/>
              </w:rPr>
              <w:t>《环境影响评价技术导则大气环境》（</w:t>
            </w:r>
            <w:r w:rsidRPr="00092862">
              <w:rPr>
                <w:color w:val="000000" w:themeColor="text1"/>
                <w:szCs w:val="21"/>
              </w:rPr>
              <w:t>HJ2.2-2018</w:t>
            </w:r>
            <w:r w:rsidRPr="00092862">
              <w:rPr>
                <w:color w:val="000000" w:themeColor="text1"/>
                <w:szCs w:val="21"/>
              </w:rPr>
              <w:t>）中附录</w:t>
            </w:r>
            <w:r w:rsidRPr="00092862">
              <w:rPr>
                <w:color w:val="000000" w:themeColor="text1"/>
                <w:szCs w:val="21"/>
              </w:rPr>
              <w:t>D</w:t>
            </w:r>
          </w:p>
        </w:tc>
      </w:tr>
      <w:tr w:rsidR="00697429" w:rsidRPr="00092862" w14:paraId="42C3841B" w14:textId="77777777" w:rsidTr="00C65644">
        <w:trPr>
          <w:trHeight w:val="12"/>
          <w:jc w:val="center"/>
        </w:trPr>
        <w:tc>
          <w:tcPr>
            <w:tcW w:w="1483" w:type="dxa"/>
            <w:vAlign w:val="center"/>
          </w:tcPr>
          <w:p w14:paraId="5C080CB6" w14:textId="77777777" w:rsidR="00C65644" w:rsidRPr="00092862" w:rsidRDefault="00C65644" w:rsidP="003F1F64">
            <w:pPr>
              <w:pStyle w:val="afffff7"/>
              <w:rPr>
                <w:color w:val="000000" w:themeColor="text1"/>
              </w:rPr>
            </w:pPr>
            <w:r w:rsidRPr="00092862">
              <w:rPr>
                <w:color w:val="000000" w:themeColor="text1"/>
              </w:rPr>
              <w:t>非甲烷总烃</w:t>
            </w:r>
          </w:p>
        </w:tc>
        <w:tc>
          <w:tcPr>
            <w:tcW w:w="1765" w:type="dxa"/>
            <w:vAlign w:val="center"/>
          </w:tcPr>
          <w:p w14:paraId="3BDC8F70" w14:textId="77777777" w:rsidR="00C65644" w:rsidRPr="00092862" w:rsidRDefault="00C65644" w:rsidP="003F1F64">
            <w:pPr>
              <w:pStyle w:val="afffff7"/>
              <w:rPr>
                <w:color w:val="000000" w:themeColor="text1"/>
              </w:rPr>
            </w:pPr>
            <w:r w:rsidRPr="00092862">
              <w:rPr>
                <w:color w:val="000000" w:themeColor="text1"/>
              </w:rPr>
              <w:t>1</w:t>
            </w:r>
            <w:r w:rsidRPr="00092862">
              <w:rPr>
                <w:color w:val="000000" w:themeColor="text1"/>
              </w:rPr>
              <w:t>小时平均</w:t>
            </w:r>
          </w:p>
        </w:tc>
        <w:tc>
          <w:tcPr>
            <w:tcW w:w="1765" w:type="dxa"/>
            <w:vAlign w:val="center"/>
          </w:tcPr>
          <w:p w14:paraId="1777960E" w14:textId="77777777" w:rsidR="00C65644" w:rsidRPr="00092862" w:rsidRDefault="00C65644" w:rsidP="003F1F64">
            <w:pPr>
              <w:pStyle w:val="afffff7"/>
              <w:rPr>
                <w:color w:val="000000" w:themeColor="text1"/>
              </w:rPr>
            </w:pPr>
            <w:r w:rsidRPr="00092862">
              <w:rPr>
                <w:color w:val="000000" w:themeColor="text1"/>
              </w:rPr>
              <w:t>2mg/m</w:t>
            </w:r>
            <w:r w:rsidRPr="00092862">
              <w:rPr>
                <w:color w:val="000000" w:themeColor="text1"/>
                <w:vertAlign w:val="superscript"/>
              </w:rPr>
              <w:t>3</w:t>
            </w:r>
          </w:p>
        </w:tc>
        <w:tc>
          <w:tcPr>
            <w:tcW w:w="3615" w:type="dxa"/>
            <w:vAlign w:val="center"/>
          </w:tcPr>
          <w:p w14:paraId="61C44CCF" w14:textId="77777777" w:rsidR="00C65644" w:rsidRPr="00092862" w:rsidRDefault="00C65644" w:rsidP="003F1F64">
            <w:pPr>
              <w:pStyle w:val="afffff7"/>
              <w:rPr>
                <w:color w:val="000000" w:themeColor="text1"/>
                <w:szCs w:val="21"/>
              </w:rPr>
            </w:pPr>
            <w:r w:rsidRPr="00092862">
              <w:rPr>
                <w:color w:val="000000" w:themeColor="text1"/>
              </w:rPr>
              <w:t>《大气污染物综合排放标准详解》</w:t>
            </w:r>
          </w:p>
        </w:tc>
      </w:tr>
    </w:tbl>
    <w:p w14:paraId="73620073" w14:textId="77777777" w:rsidR="00DC446C" w:rsidRPr="00092862" w:rsidRDefault="003B1968" w:rsidP="001B0600">
      <w:pPr>
        <w:tabs>
          <w:tab w:val="left" w:pos="0"/>
        </w:tabs>
        <w:spacing w:beforeLines="50" w:before="156"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）声环境</w:t>
      </w:r>
    </w:p>
    <w:p w14:paraId="11B83B62" w14:textId="77777777" w:rsidR="00DC446C" w:rsidRPr="00092862" w:rsidRDefault="003B1968" w:rsidP="001B0600">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项目区</w:t>
      </w:r>
      <w:r w:rsidR="00390CDE" w:rsidRPr="00092862">
        <w:rPr>
          <w:rFonts w:ascii="Times New Roman" w:hAnsi="Times New Roman"/>
          <w:bCs/>
          <w:color w:val="000000" w:themeColor="text1"/>
          <w:szCs w:val="24"/>
        </w:rPr>
        <w:t>域</w:t>
      </w:r>
      <w:r w:rsidRPr="00092862">
        <w:rPr>
          <w:rFonts w:ascii="Times New Roman" w:hAnsi="Times New Roman"/>
          <w:bCs/>
          <w:color w:val="000000" w:themeColor="text1"/>
          <w:szCs w:val="24"/>
        </w:rPr>
        <w:t>声环境执行《声环境质量标准》（</w:t>
      </w:r>
      <w:r w:rsidRPr="00092862">
        <w:rPr>
          <w:rFonts w:ascii="Times New Roman" w:hAnsi="Times New Roman"/>
          <w:bCs/>
          <w:color w:val="000000" w:themeColor="text1"/>
          <w:szCs w:val="24"/>
        </w:rPr>
        <w:t>GB3096-2008</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2</w:t>
      </w:r>
      <w:r w:rsidRPr="00092862">
        <w:rPr>
          <w:rFonts w:ascii="Times New Roman" w:hAnsi="Times New Roman"/>
          <w:bCs/>
          <w:color w:val="000000" w:themeColor="text1"/>
          <w:szCs w:val="24"/>
        </w:rPr>
        <w:t>类功能区标准，标准限值见表</w:t>
      </w:r>
      <w:r w:rsidRPr="00092862">
        <w:rPr>
          <w:rFonts w:ascii="Times New Roman" w:hAnsi="Times New Roman"/>
          <w:bCs/>
          <w:color w:val="000000" w:themeColor="text1"/>
          <w:szCs w:val="24"/>
        </w:rPr>
        <w:t>2.5-4</w:t>
      </w:r>
      <w:r w:rsidRPr="00092862">
        <w:rPr>
          <w:rFonts w:ascii="Times New Roman" w:hAnsi="Times New Roman"/>
          <w:bCs/>
          <w:color w:val="000000" w:themeColor="text1"/>
          <w:szCs w:val="24"/>
        </w:rPr>
        <w:t>。</w:t>
      </w:r>
    </w:p>
    <w:p w14:paraId="63CADEF7" w14:textId="522A1F33"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2.5-4  </w:t>
      </w:r>
      <w:r w:rsidRPr="00092862">
        <w:rPr>
          <w:rFonts w:ascii="Times New Roman" w:eastAsia="黑体" w:hAnsi="Times New Roman"/>
          <w:color w:val="000000" w:themeColor="text1"/>
          <w:sz w:val="21"/>
          <w:szCs w:val="21"/>
          <w:lang w:eastAsia="zh-CN"/>
        </w:rPr>
        <w:t>声环境质量标准</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dB(A)</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3161"/>
        <w:gridCol w:w="3162"/>
      </w:tblGrid>
      <w:tr w:rsidR="00697429" w:rsidRPr="00092862" w14:paraId="5403705D" w14:textId="77777777" w:rsidTr="00BE7C4B">
        <w:trPr>
          <w:jc w:val="center"/>
        </w:trPr>
        <w:tc>
          <w:tcPr>
            <w:tcW w:w="1961" w:type="dxa"/>
            <w:vAlign w:val="center"/>
          </w:tcPr>
          <w:p w14:paraId="78D884B1" w14:textId="77777777" w:rsidR="00DC446C" w:rsidRPr="00092862" w:rsidRDefault="003B1968" w:rsidP="0036249F">
            <w:pPr>
              <w:adjustRightInd w:val="0"/>
              <w:snapToGrid w:val="0"/>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类别</w:t>
            </w:r>
          </w:p>
        </w:tc>
        <w:tc>
          <w:tcPr>
            <w:tcW w:w="3271" w:type="dxa"/>
            <w:vAlign w:val="center"/>
          </w:tcPr>
          <w:p w14:paraId="256767C6" w14:textId="77777777" w:rsidR="00DC446C" w:rsidRPr="00092862" w:rsidRDefault="003B1968" w:rsidP="0036249F">
            <w:pPr>
              <w:adjustRightInd w:val="0"/>
              <w:snapToGrid w:val="0"/>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昼间</w:t>
            </w:r>
          </w:p>
        </w:tc>
        <w:tc>
          <w:tcPr>
            <w:tcW w:w="3272" w:type="dxa"/>
            <w:vAlign w:val="center"/>
          </w:tcPr>
          <w:p w14:paraId="0B04D8F2" w14:textId="77777777" w:rsidR="00DC446C" w:rsidRPr="00092862" w:rsidRDefault="003B1968" w:rsidP="0036249F">
            <w:pPr>
              <w:pStyle w:val="3"/>
              <w:adjustRightInd w:val="0"/>
              <w:snapToGrid w:val="0"/>
              <w:spacing w:before="0" w:after="0" w:line="240" w:lineRule="auto"/>
              <w:jc w:val="center"/>
              <w:rPr>
                <w:rFonts w:ascii="Times New Roman" w:hAnsi="Times New Roman"/>
                <w:color w:val="000000" w:themeColor="text1"/>
                <w:sz w:val="21"/>
                <w:szCs w:val="21"/>
              </w:rPr>
            </w:pPr>
            <w:bookmarkStart w:id="42" w:name="_Toc88465928"/>
            <w:bookmarkStart w:id="43" w:name="_Toc89099427"/>
            <w:bookmarkStart w:id="44" w:name="_Toc107494216"/>
            <w:bookmarkStart w:id="45" w:name="_Toc120173067"/>
            <w:r w:rsidRPr="00092862">
              <w:rPr>
                <w:rFonts w:ascii="Times New Roman" w:hAnsi="Times New Roman"/>
                <w:color w:val="000000" w:themeColor="text1"/>
                <w:sz w:val="21"/>
                <w:szCs w:val="21"/>
              </w:rPr>
              <w:t>夜间</w:t>
            </w:r>
            <w:bookmarkEnd w:id="42"/>
            <w:bookmarkEnd w:id="43"/>
            <w:bookmarkEnd w:id="44"/>
            <w:bookmarkEnd w:id="45"/>
          </w:p>
        </w:tc>
      </w:tr>
      <w:tr w:rsidR="00697429" w:rsidRPr="00092862" w14:paraId="6D9E6B35" w14:textId="77777777" w:rsidTr="005D19B8">
        <w:trPr>
          <w:trHeight w:val="85"/>
          <w:jc w:val="center"/>
        </w:trPr>
        <w:tc>
          <w:tcPr>
            <w:tcW w:w="1961" w:type="dxa"/>
            <w:vAlign w:val="center"/>
          </w:tcPr>
          <w:p w14:paraId="22FA7F52" w14:textId="77777777" w:rsidR="00DC446C" w:rsidRPr="00092862" w:rsidRDefault="003B1968" w:rsidP="0036249F">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w:t>
            </w:r>
            <w:r w:rsidRPr="00092862">
              <w:rPr>
                <w:rFonts w:ascii="Times New Roman" w:hAnsi="Times New Roman" w:cs="Times New Roman"/>
                <w:color w:val="000000" w:themeColor="text1"/>
                <w:szCs w:val="21"/>
              </w:rPr>
              <w:t>类功能区</w:t>
            </w:r>
          </w:p>
        </w:tc>
        <w:tc>
          <w:tcPr>
            <w:tcW w:w="3271" w:type="dxa"/>
            <w:vAlign w:val="center"/>
          </w:tcPr>
          <w:p w14:paraId="7EF336F7" w14:textId="77777777" w:rsidR="00DC446C" w:rsidRPr="00092862" w:rsidRDefault="003B1968" w:rsidP="0036249F">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≤60</w:t>
            </w:r>
          </w:p>
        </w:tc>
        <w:tc>
          <w:tcPr>
            <w:tcW w:w="3272" w:type="dxa"/>
            <w:vAlign w:val="center"/>
          </w:tcPr>
          <w:p w14:paraId="53909B30" w14:textId="77777777" w:rsidR="00DC446C" w:rsidRPr="00092862" w:rsidRDefault="003B1968" w:rsidP="0036249F">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≤50</w:t>
            </w:r>
          </w:p>
        </w:tc>
      </w:tr>
    </w:tbl>
    <w:p w14:paraId="7183CA3C" w14:textId="77777777" w:rsidR="00DC446C" w:rsidRPr="00092862" w:rsidRDefault="003B1968" w:rsidP="001B0600">
      <w:pPr>
        <w:tabs>
          <w:tab w:val="left" w:pos="0"/>
        </w:tabs>
        <w:spacing w:beforeLines="50" w:before="156"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）土壤环境</w:t>
      </w:r>
    </w:p>
    <w:p w14:paraId="67F254E8" w14:textId="1649239D" w:rsidR="00DC446C" w:rsidRPr="00092862" w:rsidRDefault="003B1968" w:rsidP="001B0600">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本项目所在区域用地范围内土壤环境质量标准执行《土壤环境质量</w:t>
      </w:r>
      <w:r w:rsidRPr="00092862">
        <w:rPr>
          <w:rFonts w:ascii="Times New Roman" w:hAnsi="Times New Roman"/>
          <w:bCs/>
          <w:color w:val="000000" w:themeColor="text1"/>
          <w:szCs w:val="24"/>
        </w:rPr>
        <w:t xml:space="preserve"> </w:t>
      </w:r>
      <w:r w:rsidRPr="00092862">
        <w:rPr>
          <w:rFonts w:ascii="Times New Roman" w:hAnsi="Times New Roman"/>
          <w:bCs/>
          <w:color w:val="000000" w:themeColor="text1"/>
          <w:szCs w:val="24"/>
        </w:rPr>
        <w:t>建设用地土壤污染风险管控标准（试行）</w:t>
      </w:r>
      <w:r w:rsidRPr="00092862">
        <w:rPr>
          <w:rFonts w:ascii="Times New Roman" w:hAnsi="Times New Roman"/>
          <w:bCs/>
          <w:color w:val="000000" w:themeColor="text1"/>
          <w:szCs w:val="24"/>
        </w:rPr>
        <w:t>(GB36600—2018)</w:t>
      </w:r>
      <w:r w:rsidRPr="00092862">
        <w:rPr>
          <w:rFonts w:ascii="Times New Roman" w:hAnsi="Times New Roman"/>
          <w:bCs/>
          <w:color w:val="000000" w:themeColor="text1"/>
          <w:szCs w:val="24"/>
        </w:rPr>
        <w:t>》第二类用地筛选值，项目周边耕地执行《土壤环境质量</w:t>
      </w:r>
      <w:r w:rsidRPr="00092862">
        <w:rPr>
          <w:rFonts w:ascii="Times New Roman" w:hAnsi="Times New Roman"/>
          <w:bCs/>
          <w:color w:val="000000" w:themeColor="text1"/>
          <w:szCs w:val="24"/>
        </w:rPr>
        <w:t xml:space="preserve"> </w:t>
      </w:r>
      <w:r w:rsidRPr="00092862">
        <w:rPr>
          <w:rFonts w:ascii="Times New Roman" w:hAnsi="Times New Roman"/>
          <w:bCs/>
          <w:color w:val="000000" w:themeColor="text1"/>
          <w:szCs w:val="24"/>
        </w:rPr>
        <w:t>农用地土壤污染风险管控标准（试行）</w:t>
      </w:r>
      <w:r w:rsidRPr="00092862">
        <w:rPr>
          <w:rFonts w:ascii="Times New Roman" w:hAnsi="Times New Roman"/>
          <w:bCs/>
          <w:color w:val="000000" w:themeColor="text1"/>
          <w:szCs w:val="24"/>
        </w:rPr>
        <w:t>(GB15618—2018)</w:t>
      </w:r>
      <w:r w:rsidRPr="00092862">
        <w:rPr>
          <w:rFonts w:ascii="Times New Roman" w:hAnsi="Times New Roman"/>
          <w:bCs/>
          <w:color w:val="000000" w:themeColor="text1"/>
          <w:szCs w:val="24"/>
        </w:rPr>
        <w:t>》</w:t>
      </w:r>
      <w:r w:rsidR="007F38C5" w:rsidRPr="00092862">
        <w:rPr>
          <w:rFonts w:ascii="Times New Roman" w:hAnsi="Times New Roman"/>
          <w:bCs/>
          <w:color w:val="000000" w:themeColor="text1"/>
          <w:szCs w:val="24"/>
        </w:rPr>
        <w:t>风险</w:t>
      </w:r>
      <w:r w:rsidRPr="00092862">
        <w:rPr>
          <w:rFonts w:ascii="Times New Roman" w:hAnsi="Times New Roman"/>
          <w:bCs/>
          <w:color w:val="000000" w:themeColor="text1"/>
          <w:szCs w:val="24"/>
        </w:rPr>
        <w:t>筛选值，具体筛选值见表</w:t>
      </w:r>
      <w:r w:rsidR="00497868" w:rsidRPr="00092862">
        <w:rPr>
          <w:rFonts w:ascii="Times New Roman" w:hAnsi="Times New Roman"/>
          <w:bCs/>
          <w:color w:val="000000" w:themeColor="text1"/>
          <w:szCs w:val="24"/>
        </w:rPr>
        <w:t>2.5</w:t>
      </w:r>
      <w:r w:rsidRPr="00092862">
        <w:rPr>
          <w:rFonts w:ascii="Times New Roman" w:hAnsi="Times New Roman"/>
          <w:bCs/>
          <w:color w:val="000000" w:themeColor="text1"/>
          <w:szCs w:val="24"/>
        </w:rPr>
        <w:t>-5</w:t>
      </w:r>
      <w:r w:rsidRPr="00092862">
        <w:rPr>
          <w:rFonts w:ascii="Times New Roman" w:hAnsi="Times New Roman"/>
          <w:bCs/>
          <w:color w:val="000000" w:themeColor="text1"/>
          <w:szCs w:val="24"/>
        </w:rPr>
        <w:t>和表</w:t>
      </w:r>
      <w:r w:rsidR="00497868" w:rsidRPr="00092862">
        <w:rPr>
          <w:rFonts w:ascii="Times New Roman" w:hAnsi="Times New Roman"/>
          <w:bCs/>
          <w:color w:val="000000" w:themeColor="text1"/>
          <w:szCs w:val="24"/>
        </w:rPr>
        <w:t>2.5</w:t>
      </w:r>
      <w:r w:rsidRPr="00092862">
        <w:rPr>
          <w:rFonts w:ascii="Times New Roman" w:hAnsi="Times New Roman"/>
          <w:bCs/>
          <w:color w:val="000000" w:themeColor="text1"/>
          <w:szCs w:val="24"/>
        </w:rPr>
        <w:t>-6</w:t>
      </w:r>
      <w:r w:rsidRPr="00092862">
        <w:rPr>
          <w:rFonts w:ascii="Times New Roman" w:hAnsi="Times New Roman"/>
          <w:bCs/>
          <w:color w:val="000000" w:themeColor="text1"/>
          <w:szCs w:val="24"/>
        </w:rPr>
        <w:t>。</w:t>
      </w:r>
    </w:p>
    <w:p w14:paraId="56B044E3"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2.5-5  </w:t>
      </w:r>
      <w:r w:rsidRPr="00092862">
        <w:rPr>
          <w:rFonts w:ascii="Times New Roman" w:eastAsia="黑体" w:hAnsi="Times New Roman"/>
          <w:color w:val="000000" w:themeColor="text1"/>
          <w:sz w:val="21"/>
          <w:szCs w:val="21"/>
          <w:lang w:eastAsia="zh-CN"/>
        </w:rPr>
        <w:t>建设用地（第二类用地）土壤环境质量筛选值</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4A0" w:firstRow="1" w:lastRow="0" w:firstColumn="1" w:lastColumn="0" w:noHBand="0" w:noVBand="1"/>
      </w:tblPr>
      <w:tblGrid>
        <w:gridCol w:w="949"/>
        <w:gridCol w:w="992"/>
        <w:gridCol w:w="1276"/>
        <w:gridCol w:w="1134"/>
        <w:gridCol w:w="992"/>
        <w:gridCol w:w="984"/>
        <w:gridCol w:w="971"/>
        <w:gridCol w:w="924"/>
      </w:tblGrid>
      <w:tr w:rsidR="00697429" w:rsidRPr="00092862" w14:paraId="48C9FED6" w14:textId="77777777" w:rsidTr="00E67C84">
        <w:trPr>
          <w:jc w:val="center"/>
        </w:trPr>
        <w:tc>
          <w:tcPr>
            <w:tcW w:w="949" w:type="dxa"/>
            <w:shd w:val="clear" w:color="auto" w:fill="FFFFFF"/>
            <w:vAlign w:val="center"/>
          </w:tcPr>
          <w:p w14:paraId="434F94ED"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5F11277B"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砷</w:t>
            </w:r>
          </w:p>
        </w:tc>
        <w:tc>
          <w:tcPr>
            <w:tcW w:w="1276" w:type="dxa"/>
            <w:shd w:val="clear" w:color="auto" w:fill="FFFFFF"/>
            <w:vAlign w:val="center"/>
          </w:tcPr>
          <w:p w14:paraId="30247C4A"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镉</w:t>
            </w:r>
          </w:p>
        </w:tc>
        <w:tc>
          <w:tcPr>
            <w:tcW w:w="1134" w:type="dxa"/>
            <w:shd w:val="clear" w:color="auto" w:fill="FFFFFF"/>
            <w:vAlign w:val="center"/>
          </w:tcPr>
          <w:p w14:paraId="02C0FE3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铬（</w:t>
            </w:r>
            <w:r w:rsidRPr="00092862">
              <w:rPr>
                <w:rFonts w:ascii="Times New Roman" w:eastAsia="宋体" w:hAnsi="Times New Roman" w:cs="Times New Roman"/>
                <w:b/>
                <w:color w:val="000000" w:themeColor="text1"/>
                <w:szCs w:val="21"/>
              </w:rPr>
              <w:t>6</w:t>
            </w:r>
            <w:r w:rsidRPr="00092862">
              <w:rPr>
                <w:rFonts w:ascii="Times New Roman" w:eastAsia="宋体" w:hAnsi="Times New Roman" w:cs="Times New Roman"/>
                <w:b/>
                <w:color w:val="000000" w:themeColor="text1"/>
                <w:szCs w:val="21"/>
              </w:rPr>
              <w:t>价）</w:t>
            </w:r>
          </w:p>
        </w:tc>
        <w:tc>
          <w:tcPr>
            <w:tcW w:w="992" w:type="dxa"/>
            <w:shd w:val="clear" w:color="auto" w:fill="FFFFFF"/>
            <w:vAlign w:val="center"/>
          </w:tcPr>
          <w:p w14:paraId="40E5944B"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铜</w:t>
            </w:r>
          </w:p>
        </w:tc>
        <w:tc>
          <w:tcPr>
            <w:tcW w:w="984" w:type="dxa"/>
            <w:shd w:val="clear" w:color="auto" w:fill="FFFFFF"/>
            <w:vAlign w:val="center"/>
          </w:tcPr>
          <w:p w14:paraId="4276D4F2"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铅</w:t>
            </w:r>
          </w:p>
        </w:tc>
        <w:tc>
          <w:tcPr>
            <w:tcW w:w="971" w:type="dxa"/>
            <w:shd w:val="clear" w:color="auto" w:fill="FFFFFF"/>
            <w:vAlign w:val="center"/>
          </w:tcPr>
          <w:p w14:paraId="63D40E45"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汞</w:t>
            </w:r>
          </w:p>
        </w:tc>
        <w:tc>
          <w:tcPr>
            <w:tcW w:w="924" w:type="dxa"/>
            <w:shd w:val="clear" w:color="auto" w:fill="FFFFFF"/>
            <w:vAlign w:val="center"/>
          </w:tcPr>
          <w:p w14:paraId="59345C6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镍</w:t>
            </w:r>
          </w:p>
        </w:tc>
      </w:tr>
      <w:tr w:rsidR="00697429" w:rsidRPr="00092862" w14:paraId="0E239DD0" w14:textId="77777777" w:rsidTr="00E67C84">
        <w:trPr>
          <w:jc w:val="center"/>
        </w:trPr>
        <w:tc>
          <w:tcPr>
            <w:tcW w:w="949" w:type="dxa"/>
            <w:shd w:val="clear" w:color="auto" w:fill="FFFFFF"/>
            <w:vAlign w:val="center"/>
          </w:tcPr>
          <w:p w14:paraId="084237A7"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筛选值</w:t>
            </w:r>
          </w:p>
        </w:tc>
        <w:tc>
          <w:tcPr>
            <w:tcW w:w="992" w:type="dxa"/>
            <w:shd w:val="clear" w:color="auto" w:fill="FFFFFF"/>
            <w:vAlign w:val="center"/>
          </w:tcPr>
          <w:p w14:paraId="6F5DC853"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60</w:t>
            </w:r>
          </w:p>
        </w:tc>
        <w:tc>
          <w:tcPr>
            <w:tcW w:w="1276" w:type="dxa"/>
            <w:shd w:val="clear" w:color="auto" w:fill="FFFFFF"/>
            <w:vAlign w:val="center"/>
          </w:tcPr>
          <w:p w14:paraId="7BDAFD0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65</w:t>
            </w:r>
          </w:p>
        </w:tc>
        <w:tc>
          <w:tcPr>
            <w:tcW w:w="1134" w:type="dxa"/>
            <w:shd w:val="clear" w:color="auto" w:fill="FFFFFF"/>
            <w:vAlign w:val="center"/>
          </w:tcPr>
          <w:p w14:paraId="1B28FC16"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5.7</w:t>
            </w:r>
          </w:p>
        </w:tc>
        <w:tc>
          <w:tcPr>
            <w:tcW w:w="992" w:type="dxa"/>
            <w:shd w:val="clear" w:color="auto" w:fill="FFFFFF"/>
            <w:vAlign w:val="center"/>
          </w:tcPr>
          <w:p w14:paraId="0E5BA10D"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18000</w:t>
            </w:r>
          </w:p>
        </w:tc>
        <w:tc>
          <w:tcPr>
            <w:tcW w:w="984" w:type="dxa"/>
            <w:shd w:val="clear" w:color="auto" w:fill="FFFFFF"/>
            <w:vAlign w:val="center"/>
          </w:tcPr>
          <w:p w14:paraId="6C3E2704"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800</w:t>
            </w:r>
          </w:p>
        </w:tc>
        <w:tc>
          <w:tcPr>
            <w:tcW w:w="971" w:type="dxa"/>
            <w:shd w:val="clear" w:color="auto" w:fill="FFFFFF"/>
            <w:vAlign w:val="center"/>
          </w:tcPr>
          <w:p w14:paraId="276BC69B"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38</w:t>
            </w:r>
          </w:p>
        </w:tc>
        <w:tc>
          <w:tcPr>
            <w:tcW w:w="924" w:type="dxa"/>
            <w:shd w:val="clear" w:color="auto" w:fill="FFFFFF"/>
            <w:vAlign w:val="center"/>
          </w:tcPr>
          <w:p w14:paraId="6CAEEF6A"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900</w:t>
            </w:r>
          </w:p>
        </w:tc>
      </w:tr>
      <w:tr w:rsidR="00697429" w:rsidRPr="00092862" w14:paraId="37E052E4" w14:textId="77777777" w:rsidTr="00E67C84">
        <w:trPr>
          <w:jc w:val="center"/>
        </w:trPr>
        <w:tc>
          <w:tcPr>
            <w:tcW w:w="949" w:type="dxa"/>
            <w:shd w:val="clear" w:color="auto" w:fill="FFFFFF"/>
            <w:vAlign w:val="center"/>
          </w:tcPr>
          <w:p w14:paraId="0769E20C"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0411A3A8"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四氯化碳</w:t>
            </w:r>
          </w:p>
        </w:tc>
        <w:tc>
          <w:tcPr>
            <w:tcW w:w="1276" w:type="dxa"/>
            <w:shd w:val="clear" w:color="auto" w:fill="FFFFFF"/>
            <w:vAlign w:val="center"/>
          </w:tcPr>
          <w:p w14:paraId="33C00779"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氯仿</w:t>
            </w:r>
          </w:p>
        </w:tc>
        <w:tc>
          <w:tcPr>
            <w:tcW w:w="1134" w:type="dxa"/>
            <w:shd w:val="clear" w:color="auto" w:fill="FFFFFF"/>
            <w:vAlign w:val="center"/>
          </w:tcPr>
          <w:p w14:paraId="68EB8392"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氯甲烷</w:t>
            </w:r>
          </w:p>
        </w:tc>
        <w:tc>
          <w:tcPr>
            <w:tcW w:w="992" w:type="dxa"/>
            <w:shd w:val="clear" w:color="auto" w:fill="FFFFFF"/>
            <w:vAlign w:val="center"/>
          </w:tcPr>
          <w:p w14:paraId="2E237758"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1,1-</w:t>
            </w:r>
            <w:r w:rsidRPr="00092862">
              <w:rPr>
                <w:rFonts w:ascii="Times New Roman" w:eastAsia="宋体" w:hAnsi="Times New Roman" w:cs="Times New Roman"/>
                <w:b/>
                <w:color w:val="000000" w:themeColor="text1"/>
                <w:szCs w:val="21"/>
              </w:rPr>
              <w:t>二氯乙烷</w:t>
            </w:r>
          </w:p>
        </w:tc>
        <w:tc>
          <w:tcPr>
            <w:tcW w:w="984" w:type="dxa"/>
            <w:shd w:val="clear" w:color="auto" w:fill="FFFFFF"/>
            <w:vAlign w:val="center"/>
          </w:tcPr>
          <w:p w14:paraId="21A635C0"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1,2-</w:t>
            </w:r>
            <w:r w:rsidRPr="00092862">
              <w:rPr>
                <w:rFonts w:ascii="Times New Roman" w:eastAsia="宋体" w:hAnsi="Times New Roman" w:cs="Times New Roman"/>
                <w:b/>
                <w:color w:val="000000" w:themeColor="text1"/>
                <w:szCs w:val="21"/>
              </w:rPr>
              <w:t>二氯乙烷</w:t>
            </w:r>
          </w:p>
        </w:tc>
        <w:tc>
          <w:tcPr>
            <w:tcW w:w="971" w:type="dxa"/>
            <w:shd w:val="clear" w:color="auto" w:fill="FFFFFF"/>
            <w:vAlign w:val="center"/>
          </w:tcPr>
          <w:p w14:paraId="0068C4DF"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1,1-</w:t>
            </w:r>
            <w:r w:rsidRPr="00092862">
              <w:rPr>
                <w:rFonts w:ascii="Times New Roman" w:eastAsia="宋体" w:hAnsi="Times New Roman" w:cs="Times New Roman"/>
                <w:b/>
                <w:color w:val="000000" w:themeColor="text1"/>
                <w:szCs w:val="21"/>
              </w:rPr>
              <w:t>二氯乙烯</w:t>
            </w:r>
          </w:p>
        </w:tc>
        <w:tc>
          <w:tcPr>
            <w:tcW w:w="924" w:type="dxa"/>
            <w:shd w:val="clear" w:color="auto" w:fill="FFFFFF"/>
            <w:vAlign w:val="center"/>
          </w:tcPr>
          <w:p w14:paraId="4E55426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顺</w:t>
            </w:r>
            <w:r w:rsidRPr="00092862">
              <w:rPr>
                <w:rFonts w:ascii="Times New Roman" w:eastAsia="宋体" w:hAnsi="Times New Roman" w:cs="Times New Roman"/>
                <w:b/>
                <w:color w:val="000000" w:themeColor="text1"/>
                <w:szCs w:val="21"/>
              </w:rPr>
              <w:t>-1,1-</w:t>
            </w:r>
            <w:r w:rsidRPr="00092862">
              <w:rPr>
                <w:rFonts w:ascii="Times New Roman" w:eastAsia="宋体" w:hAnsi="Times New Roman" w:cs="Times New Roman"/>
                <w:b/>
                <w:color w:val="000000" w:themeColor="text1"/>
                <w:szCs w:val="21"/>
              </w:rPr>
              <w:t>二氯乙烯</w:t>
            </w:r>
          </w:p>
        </w:tc>
      </w:tr>
      <w:tr w:rsidR="00697429" w:rsidRPr="00092862" w14:paraId="29B35FF8" w14:textId="77777777" w:rsidTr="00E67C84">
        <w:trPr>
          <w:jc w:val="center"/>
        </w:trPr>
        <w:tc>
          <w:tcPr>
            <w:tcW w:w="949" w:type="dxa"/>
            <w:shd w:val="clear" w:color="auto" w:fill="FFFFFF"/>
            <w:vAlign w:val="center"/>
          </w:tcPr>
          <w:p w14:paraId="33D8B9EA"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筛选值</w:t>
            </w:r>
          </w:p>
        </w:tc>
        <w:tc>
          <w:tcPr>
            <w:tcW w:w="992" w:type="dxa"/>
            <w:shd w:val="clear" w:color="auto" w:fill="FFFFFF"/>
            <w:vAlign w:val="center"/>
          </w:tcPr>
          <w:p w14:paraId="1C610B9E"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2.8</w:t>
            </w:r>
          </w:p>
        </w:tc>
        <w:tc>
          <w:tcPr>
            <w:tcW w:w="1276" w:type="dxa"/>
            <w:shd w:val="clear" w:color="auto" w:fill="FFFFFF"/>
            <w:vAlign w:val="center"/>
          </w:tcPr>
          <w:p w14:paraId="52077C6C"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0.9</w:t>
            </w:r>
          </w:p>
        </w:tc>
        <w:tc>
          <w:tcPr>
            <w:tcW w:w="1134" w:type="dxa"/>
            <w:shd w:val="clear" w:color="auto" w:fill="FFFFFF"/>
            <w:vAlign w:val="center"/>
          </w:tcPr>
          <w:p w14:paraId="043D14C7"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37</w:t>
            </w:r>
          </w:p>
        </w:tc>
        <w:tc>
          <w:tcPr>
            <w:tcW w:w="992" w:type="dxa"/>
            <w:shd w:val="clear" w:color="auto" w:fill="FFFFFF"/>
            <w:vAlign w:val="center"/>
          </w:tcPr>
          <w:p w14:paraId="3652CC18"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w:t>
            </w:r>
          </w:p>
        </w:tc>
        <w:tc>
          <w:tcPr>
            <w:tcW w:w="984" w:type="dxa"/>
            <w:shd w:val="clear" w:color="auto" w:fill="FFFFFF"/>
            <w:vAlign w:val="center"/>
          </w:tcPr>
          <w:p w14:paraId="216C783B"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971" w:type="dxa"/>
            <w:shd w:val="clear" w:color="auto" w:fill="FFFFFF"/>
            <w:vAlign w:val="center"/>
          </w:tcPr>
          <w:p w14:paraId="594D3C29"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66</w:t>
            </w:r>
          </w:p>
        </w:tc>
        <w:tc>
          <w:tcPr>
            <w:tcW w:w="924" w:type="dxa"/>
            <w:shd w:val="clear" w:color="auto" w:fill="FFFFFF"/>
            <w:vAlign w:val="center"/>
          </w:tcPr>
          <w:p w14:paraId="0309CABD"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596</w:t>
            </w:r>
          </w:p>
        </w:tc>
      </w:tr>
      <w:tr w:rsidR="00697429" w:rsidRPr="00092862" w14:paraId="3F50CB27" w14:textId="77777777" w:rsidTr="00E67C84">
        <w:trPr>
          <w:jc w:val="center"/>
        </w:trPr>
        <w:tc>
          <w:tcPr>
            <w:tcW w:w="949" w:type="dxa"/>
            <w:shd w:val="clear" w:color="auto" w:fill="FFFFFF"/>
            <w:vAlign w:val="center"/>
          </w:tcPr>
          <w:p w14:paraId="6175867C"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74B52846"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反</w:t>
            </w:r>
            <w:r w:rsidRPr="00092862">
              <w:rPr>
                <w:rFonts w:ascii="Times New Roman" w:eastAsia="宋体" w:hAnsi="Times New Roman" w:cs="Times New Roman"/>
                <w:b/>
                <w:color w:val="000000" w:themeColor="text1"/>
                <w:szCs w:val="21"/>
              </w:rPr>
              <w:t>-1,1-</w:t>
            </w:r>
            <w:r w:rsidRPr="00092862">
              <w:rPr>
                <w:rFonts w:ascii="Times New Roman" w:eastAsia="宋体" w:hAnsi="Times New Roman" w:cs="Times New Roman"/>
                <w:b/>
                <w:color w:val="000000" w:themeColor="text1"/>
                <w:szCs w:val="21"/>
              </w:rPr>
              <w:t>二氯乙烯</w:t>
            </w:r>
          </w:p>
        </w:tc>
        <w:tc>
          <w:tcPr>
            <w:tcW w:w="1276" w:type="dxa"/>
            <w:shd w:val="clear" w:color="auto" w:fill="FFFFFF"/>
            <w:vAlign w:val="center"/>
          </w:tcPr>
          <w:p w14:paraId="64D6EE7A"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二氯甲烷</w:t>
            </w:r>
          </w:p>
        </w:tc>
        <w:tc>
          <w:tcPr>
            <w:tcW w:w="1134" w:type="dxa"/>
            <w:shd w:val="clear" w:color="auto" w:fill="FFFFFF"/>
            <w:vAlign w:val="center"/>
          </w:tcPr>
          <w:p w14:paraId="2487B1A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1,2-</w:t>
            </w:r>
            <w:r w:rsidRPr="00092862">
              <w:rPr>
                <w:rFonts w:ascii="Times New Roman" w:eastAsia="宋体" w:hAnsi="Times New Roman" w:cs="Times New Roman"/>
                <w:b/>
                <w:color w:val="000000" w:themeColor="text1"/>
                <w:szCs w:val="21"/>
              </w:rPr>
              <w:t>二氯丙烷</w:t>
            </w:r>
          </w:p>
        </w:tc>
        <w:tc>
          <w:tcPr>
            <w:tcW w:w="992" w:type="dxa"/>
            <w:shd w:val="clear" w:color="auto" w:fill="FFFFFF"/>
            <w:vAlign w:val="center"/>
          </w:tcPr>
          <w:p w14:paraId="04B6829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1,1</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1,2-</w:t>
            </w:r>
            <w:r w:rsidRPr="00092862">
              <w:rPr>
                <w:rFonts w:ascii="Times New Roman" w:eastAsia="宋体" w:hAnsi="Times New Roman" w:cs="Times New Roman"/>
                <w:b/>
                <w:color w:val="000000" w:themeColor="text1"/>
                <w:szCs w:val="21"/>
              </w:rPr>
              <w:t>四氯乙烷</w:t>
            </w:r>
          </w:p>
        </w:tc>
        <w:tc>
          <w:tcPr>
            <w:tcW w:w="984" w:type="dxa"/>
            <w:shd w:val="clear" w:color="auto" w:fill="FFFFFF"/>
            <w:vAlign w:val="center"/>
          </w:tcPr>
          <w:p w14:paraId="68BCECE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1,1</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2,2-</w:t>
            </w:r>
            <w:r w:rsidRPr="00092862">
              <w:rPr>
                <w:rFonts w:ascii="Times New Roman" w:eastAsia="宋体" w:hAnsi="Times New Roman" w:cs="Times New Roman"/>
                <w:b/>
                <w:color w:val="000000" w:themeColor="text1"/>
                <w:szCs w:val="21"/>
              </w:rPr>
              <w:t>四氯乙烷</w:t>
            </w:r>
          </w:p>
        </w:tc>
        <w:tc>
          <w:tcPr>
            <w:tcW w:w="971" w:type="dxa"/>
            <w:shd w:val="clear" w:color="auto" w:fill="FFFFFF"/>
            <w:vAlign w:val="center"/>
          </w:tcPr>
          <w:p w14:paraId="32D8C158"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四氯乙烯</w:t>
            </w:r>
          </w:p>
        </w:tc>
        <w:tc>
          <w:tcPr>
            <w:tcW w:w="924" w:type="dxa"/>
            <w:shd w:val="clear" w:color="auto" w:fill="FFFFFF"/>
            <w:vAlign w:val="center"/>
          </w:tcPr>
          <w:p w14:paraId="407E10A1"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1,1,1-</w:t>
            </w:r>
            <w:r w:rsidRPr="00092862">
              <w:rPr>
                <w:rFonts w:ascii="Times New Roman" w:eastAsia="宋体" w:hAnsi="Times New Roman" w:cs="Times New Roman"/>
                <w:b/>
                <w:color w:val="000000" w:themeColor="text1"/>
                <w:szCs w:val="21"/>
              </w:rPr>
              <w:t>三氯乙烷</w:t>
            </w:r>
          </w:p>
        </w:tc>
      </w:tr>
      <w:tr w:rsidR="00697429" w:rsidRPr="00092862" w14:paraId="430D1920" w14:textId="77777777" w:rsidTr="00E67C84">
        <w:trPr>
          <w:jc w:val="center"/>
        </w:trPr>
        <w:tc>
          <w:tcPr>
            <w:tcW w:w="949" w:type="dxa"/>
            <w:shd w:val="clear" w:color="auto" w:fill="FFFFFF"/>
            <w:vAlign w:val="center"/>
          </w:tcPr>
          <w:p w14:paraId="198E68C4"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筛选值</w:t>
            </w:r>
          </w:p>
        </w:tc>
        <w:tc>
          <w:tcPr>
            <w:tcW w:w="992" w:type="dxa"/>
            <w:shd w:val="clear" w:color="auto" w:fill="FFFFFF"/>
            <w:vAlign w:val="center"/>
          </w:tcPr>
          <w:p w14:paraId="0755F9A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54</w:t>
            </w:r>
          </w:p>
        </w:tc>
        <w:tc>
          <w:tcPr>
            <w:tcW w:w="1276" w:type="dxa"/>
            <w:shd w:val="clear" w:color="auto" w:fill="FFFFFF"/>
            <w:vAlign w:val="center"/>
          </w:tcPr>
          <w:p w14:paraId="0856417A"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616</w:t>
            </w:r>
          </w:p>
        </w:tc>
        <w:tc>
          <w:tcPr>
            <w:tcW w:w="1134" w:type="dxa"/>
            <w:shd w:val="clear" w:color="auto" w:fill="FFFFFF"/>
            <w:vAlign w:val="center"/>
          </w:tcPr>
          <w:p w14:paraId="701A8A55"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992" w:type="dxa"/>
            <w:shd w:val="clear" w:color="auto" w:fill="FFFFFF"/>
            <w:vAlign w:val="center"/>
          </w:tcPr>
          <w:p w14:paraId="4539D4BE"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984" w:type="dxa"/>
            <w:shd w:val="clear" w:color="auto" w:fill="FFFFFF"/>
            <w:vAlign w:val="center"/>
          </w:tcPr>
          <w:p w14:paraId="56A34C39"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6.8</w:t>
            </w:r>
          </w:p>
        </w:tc>
        <w:tc>
          <w:tcPr>
            <w:tcW w:w="971" w:type="dxa"/>
            <w:shd w:val="clear" w:color="auto" w:fill="FFFFFF"/>
            <w:vAlign w:val="center"/>
          </w:tcPr>
          <w:p w14:paraId="51B00052"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53</w:t>
            </w:r>
          </w:p>
        </w:tc>
        <w:tc>
          <w:tcPr>
            <w:tcW w:w="924" w:type="dxa"/>
            <w:shd w:val="clear" w:color="auto" w:fill="FFFFFF"/>
            <w:vAlign w:val="center"/>
          </w:tcPr>
          <w:p w14:paraId="68092CEB"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840</w:t>
            </w:r>
          </w:p>
        </w:tc>
      </w:tr>
      <w:tr w:rsidR="00697429" w:rsidRPr="00092862" w14:paraId="70ABD7A1" w14:textId="77777777" w:rsidTr="00E67C84">
        <w:trPr>
          <w:jc w:val="center"/>
        </w:trPr>
        <w:tc>
          <w:tcPr>
            <w:tcW w:w="949" w:type="dxa"/>
            <w:shd w:val="clear" w:color="auto" w:fill="FFFFFF"/>
            <w:vAlign w:val="center"/>
          </w:tcPr>
          <w:p w14:paraId="6889ADB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04DA8EE4"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1,1,2-</w:t>
            </w:r>
            <w:r w:rsidRPr="00092862">
              <w:rPr>
                <w:rFonts w:ascii="Times New Roman" w:eastAsia="宋体" w:hAnsi="Times New Roman" w:cs="Times New Roman"/>
                <w:b/>
                <w:color w:val="000000" w:themeColor="text1"/>
                <w:szCs w:val="21"/>
              </w:rPr>
              <w:t>三氯乙烷</w:t>
            </w:r>
          </w:p>
        </w:tc>
        <w:tc>
          <w:tcPr>
            <w:tcW w:w="1276" w:type="dxa"/>
            <w:shd w:val="clear" w:color="auto" w:fill="FFFFFF"/>
            <w:vAlign w:val="center"/>
          </w:tcPr>
          <w:p w14:paraId="4FA87DE5"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三氯乙烯</w:t>
            </w:r>
          </w:p>
        </w:tc>
        <w:tc>
          <w:tcPr>
            <w:tcW w:w="1134" w:type="dxa"/>
            <w:shd w:val="clear" w:color="auto" w:fill="FFFFFF"/>
            <w:vAlign w:val="center"/>
          </w:tcPr>
          <w:p w14:paraId="0DF29575"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1,2,3-</w:t>
            </w:r>
            <w:r w:rsidRPr="00092862">
              <w:rPr>
                <w:rFonts w:ascii="Times New Roman" w:eastAsia="宋体" w:hAnsi="Times New Roman" w:cs="Times New Roman"/>
                <w:b/>
                <w:color w:val="000000" w:themeColor="text1"/>
                <w:szCs w:val="21"/>
              </w:rPr>
              <w:t>三氯乙丙烷</w:t>
            </w:r>
          </w:p>
        </w:tc>
        <w:tc>
          <w:tcPr>
            <w:tcW w:w="992" w:type="dxa"/>
            <w:shd w:val="clear" w:color="auto" w:fill="FFFFFF"/>
            <w:vAlign w:val="center"/>
          </w:tcPr>
          <w:p w14:paraId="2E5C661F"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氯乙烯</w:t>
            </w:r>
          </w:p>
        </w:tc>
        <w:tc>
          <w:tcPr>
            <w:tcW w:w="984" w:type="dxa"/>
            <w:shd w:val="clear" w:color="auto" w:fill="FFFFFF"/>
            <w:vAlign w:val="center"/>
          </w:tcPr>
          <w:p w14:paraId="29C68B14"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w:t>
            </w:r>
          </w:p>
        </w:tc>
        <w:tc>
          <w:tcPr>
            <w:tcW w:w="971" w:type="dxa"/>
            <w:shd w:val="clear" w:color="auto" w:fill="FFFFFF"/>
            <w:vAlign w:val="center"/>
          </w:tcPr>
          <w:p w14:paraId="40D2539C"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氯苯</w:t>
            </w:r>
          </w:p>
        </w:tc>
        <w:tc>
          <w:tcPr>
            <w:tcW w:w="924" w:type="dxa"/>
            <w:shd w:val="clear" w:color="auto" w:fill="FFFFFF"/>
            <w:vAlign w:val="center"/>
          </w:tcPr>
          <w:p w14:paraId="5FDE5D3D"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1,2-</w:t>
            </w:r>
            <w:r w:rsidRPr="00092862">
              <w:rPr>
                <w:rFonts w:ascii="Times New Roman" w:eastAsia="宋体" w:hAnsi="Times New Roman" w:cs="Times New Roman"/>
                <w:b/>
                <w:color w:val="000000" w:themeColor="text1"/>
                <w:szCs w:val="21"/>
              </w:rPr>
              <w:t>二氯苯</w:t>
            </w:r>
          </w:p>
        </w:tc>
      </w:tr>
      <w:tr w:rsidR="00697429" w:rsidRPr="00092862" w14:paraId="15C1D138" w14:textId="77777777" w:rsidTr="00E67C84">
        <w:trPr>
          <w:jc w:val="center"/>
        </w:trPr>
        <w:tc>
          <w:tcPr>
            <w:tcW w:w="949" w:type="dxa"/>
            <w:shd w:val="clear" w:color="auto" w:fill="FFFFFF"/>
            <w:vAlign w:val="center"/>
          </w:tcPr>
          <w:p w14:paraId="0B7C3FF7"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筛选值</w:t>
            </w:r>
          </w:p>
        </w:tc>
        <w:tc>
          <w:tcPr>
            <w:tcW w:w="992" w:type="dxa"/>
            <w:shd w:val="clear" w:color="auto" w:fill="FFFFFF"/>
            <w:vAlign w:val="center"/>
          </w:tcPr>
          <w:p w14:paraId="38AE9F9A"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2.8</w:t>
            </w:r>
          </w:p>
        </w:tc>
        <w:tc>
          <w:tcPr>
            <w:tcW w:w="1276" w:type="dxa"/>
            <w:shd w:val="clear" w:color="auto" w:fill="FFFFFF"/>
            <w:vAlign w:val="center"/>
          </w:tcPr>
          <w:p w14:paraId="1E2DAB9E"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2.8</w:t>
            </w:r>
          </w:p>
        </w:tc>
        <w:tc>
          <w:tcPr>
            <w:tcW w:w="1134" w:type="dxa"/>
            <w:shd w:val="clear" w:color="auto" w:fill="FFFFFF"/>
            <w:vAlign w:val="center"/>
          </w:tcPr>
          <w:p w14:paraId="591D899D"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0.5</w:t>
            </w:r>
          </w:p>
        </w:tc>
        <w:tc>
          <w:tcPr>
            <w:tcW w:w="992" w:type="dxa"/>
            <w:shd w:val="clear" w:color="auto" w:fill="FFFFFF"/>
            <w:vAlign w:val="center"/>
          </w:tcPr>
          <w:p w14:paraId="5D35353C"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0.43</w:t>
            </w:r>
          </w:p>
        </w:tc>
        <w:tc>
          <w:tcPr>
            <w:tcW w:w="984" w:type="dxa"/>
            <w:shd w:val="clear" w:color="auto" w:fill="FFFFFF"/>
            <w:vAlign w:val="center"/>
          </w:tcPr>
          <w:p w14:paraId="5D481989"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971" w:type="dxa"/>
            <w:shd w:val="clear" w:color="auto" w:fill="FFFFFF"/>
            <w:vAlign w:val="center"/>
          </w:tcPr>
          <w:p w14:paraId="32087556"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270</w:t>
            </w:r>
          </w:p>
        </w:tc>
        <w:tc>
          <w:tcPr>
            <w:tcW w:w="924" w:type="dxa"/>
            <w:shd w:val="clear" w:color="auto" w:fill="FFFFFF"/>
            <w:vAlign w:val="center"/>
          </w:tcPr>
          <w:p w14:paraId="098A328C"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560</w:t>
            </w:r>
          </w:p>
        </w:tc>
      </w:tr>
      <w:tr w:rsidR="00697429" w:rsidRPr="00092862" w14:paraId="40E91BB7" w14:textId="77777777" w:rsidTr="00E67C84">
        <w:trPr>
          <w:jc w:val="center"/>
        </w:trPr>
        <w:tc>
          <w:tcPr>
            <w:tcW w:w="949" w:type="dxa"/>
            <w:shd w:val="clear" w:color="auto" w:fill="FFFFFF"/>
            <w:vAlign w:val="center"/>
          </w:tcPr>
          <w:p w14:paraId="4784193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31C79AC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1,4-</w:t>
            </w:r>
            <w:r w:rsidRPr="00092862">
              <w:rPr>
                <w:rFonts w:ascii="Times New Roman" w:eastAsia="宋体" w:hAnsi="Times New Roman" w:cs="Times New Roman"/>
                <w:b/>
                <w:color w:val="000000" w:themeColor="text1"/>
                <w:szCs w:val="21"/>
              </w:rPr>
              <w:t>二氯苯</w:t>
            </w:r>
          </w:p>
        </w:tc>
        <w:tc>
          <w:tcPr>
            <w:tcW w:w="1276" w:type="dxa"/>
            <w:shd w:val="clear" w:color="auto" w:fill="FFFFFF"/>
            <w:vAlign w:val="center"/>
          </w:tcPr>
          <w:p w14:paraId="5189E204"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乙苯</w:t>
            </w:r>
          </w:p>
        </w:tc>
        <w:tc>
          <w:tcPr>
            <w:tcW w:w="1134" w:type="dxa"/>
            <w:shd w:val="clear" w:color="auto" w:fill="FFFFFF"/>
            <w:vAlign w:val="center"/>
          </w:tcPr>
          <w:p w14:paraId="31B09ADB"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苯乙烯</w:t>
            </w:r>
          </w:p>
        </w:tc>
        <w:tc>
          <w:tcPr>
            <w:tcW w:w="992" w:type="dxa"/>
            <w:shd w:val="clear" w:color="auto" w:fill="FFFFFF"/>
            <w:vAlign w:val="center"/>
          </w:tcPr>
          <w:p w14:paraId="5F319082"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甲苯</w:t>
            </w:r>
          </w:p>
        </w:tc>
        <w:tc>
          <w:tcPr>
            <w:tcW w:w="1955" w:type="dxa"/>
            <w:gridSpan w:val="2"/>
            <w:shd w:val="clear" w:color="auto" w:fill="FFFFFF"/>
            <w:vAlign w:val="center"/>
          </w:tcPr>
          <w:p w14:paraId="0B81B9F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间二甲苯</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对二甲苯</w:t>
            </w:r>
          </w:p>
        </w:tc>
        <w:tc>
          <w:tcPr>
            <w:tcW w:w="924" w:type="dxa"/>
            <w:shd w:val="clear" w:color="auto" w:fill="FFFFFF"/>
            <w:vAlign w:val="center"/>
          </w:tcPr>
          <w:p w14:paraId="0AC84AC5"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邻二甲苯</w:t>
            </w:r>
          </w:p>
        </w:tc>
      </w:tr>
      <w:tr w:rsidR="00697429" w:rsidRPr="00092862" w14:paraId="068D2287" w14:textId="77777777" w:rsidTr="00E67C84">
        <w:trPr>
          <w:jc w:val="center"/>
        </w:trPr>
        <w:tc>
          <w:tcPr>
            <w:tcW w:w="949" w:type="dxa"/>
            <w:shd w:val="clear" w:color="auto" w:fill="FFFFFF"/>
            <w:vAlign w:val="center"/>
          </w:tcPr>
          <w:p w14:paraId="49D9258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筛选值</w:t>
            </w:r>
          </w:p>
        </w:tc>
        <w:tc>
          <w:tcPr>
            <w:tcW w:w="992" w:type="dxa"/>
            <w:shd w:val="clear" w:color="auto" w:fill="FFFFFF"/>
            <w:vAlign w:val="center"/>
          </w:tcPr>
          <w:p w14:paraId="2A80A087"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p>
        </w:tc>
        <w:tc>
          <w:tcPr>
            <w:tcW w:w="1276" w:type="dxa"/>
            <w:shd w:val="clear" w:color="auto" w:fill="FFFFFF"/>
            <w:vAlign w:val="center"/>
          </w:tcPr>
          <w:p w14:paraId="239B2CA4"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28</w:t>
            </w:r>
          </w:p>
        </w:tc>
        <w:tc>
          <w:tcPr>
            <w:tcW w:w="1134" w:type="dxa"/>
            <w:shd w:val="clear" w:color="auto" w:fill="FFFFFF"/>
            <w:vAlign w:val="center"/>
          </w:tcPr>
          <w:p w14:paraId="130C620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1290</w:t>
            </w:r>
          </w:p>
        </w:tc>
        <w:tc>
          <w:tcPr>
            <w:tcW w:w="992" w:type="dxa"/>
            <w:shd w:val="clear" w:color="auto" w:fill="FFFFFF"/>
            <w:vAlign w:val="center"/>
          </w:tcPr>
          <w:p w14:paraId="5D186C58"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1200</w:t>
            </w:r>
          </w:p>
        </w:tc>
        <w:tc>
          <w:tcPr>
            <w:tcW w:w="1955" w:type="dxa"/>
            <w:gridSpan w:val="2"/>
            <w:shd w:val="clear" w:color="auto" w:fill="FFFFFF"/>
            <w:vAlign w:val="center"/>
          </w:tcPr>
          <w:p w14:paraId="0D015DB7"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570</w:t>
            </w:r>
          </w:p>
        </w:tc>
        <w:tc>
          <w:tcPr>
            <w:tcW w:w="924" w:type="dxa"/>
            <w:shd w:val="clear" w:color="auto" w:fill="FFFFFF"/>
            <w:vAlign w:val="center"/>
          </w:tcPr>
          <w:p w14:paraId="0874DE9F"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640</w:t>
            </w:r>
          </w:p>
        </w:tc>
      </w:tr>
      <w:tr w:rsidR="00697429" w:rsidRPr="00092862" w14:paraId="16AAEBF0" w14:textId="77777777" w:rsidTr="00E67C84">
        <w:trPr>
          <w:jc w:val="center"/>
        </w:trPr>
        <w:tc>
          <w:tcPr>
            <w:tcW w:w="949" w:type="dxa"/>
            <w:shd w:val="clear" w:color="auto" w:fill="FFFFFF"/>
            <w:vAlign w:val="center"/>
          </w:tcPr>
          <w:p w14:paraId="6F72415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0D40F468"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硝基苯</w:t>
            </w:r>
          </w:p>
        </w:tc>
        <w:tc>
          <w:tcPr>
            <w:tcW w:w="1276" w:type="dxa"/>
            <w:shd w:val="clear" w:color="auto" w:fill="FFFFFF"/>
            <w:vAlign w:val="center"/>
          </w:tcPr>
          <w:p w14:paraId="0FECF8F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苯胺</w:t>
            </w:r>
          </w:p>
        </w:tc>
        <w:tc>
          <w:tcPr>
            <w:tcW w:w="1134" w:type="dxa"/>
            <w:shd w:val="clear" w:color="auto" w:fill="FFFFFF"/>
            <w:vAlign w:val="center"/>
          </w:tcPr>
          <w:p w14:paraId="11173A7A"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2-</w:t>
            </w:r>
            <w:r w:rsidRPr="00092862">
              <w:rPr>
                <w:rFonts w:ascii="Times New Roman" w:eastAsia="宋体" w:hAnsi="Times New Roman" w:cs="Times New Roman"/>
                <w:b/>
                <w:color w:val="000000" w:themeColor="text1"/>
                <w:szCs w:val="21"/>
              </w:rPr>
              <w:t>氯酚</w:t>
            </w:r>
          </w:p>
        </w:tc>
        <w:tc>
          <w:tcPr>
            <w:tcW w:w="992" w:type="dxa"/>
            <w:shd w:val="clear" w:color="auto" w:fill="FFFFFF"/>
            <w:vAlign w:val="center"/>
          </w:tcPr>
          <w:p w14:paraId="432B16A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苯并</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a</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蒽</w:t>
            </w:r>
          </w:p>
        </w:tc>
        <w:tc>
          <w:tcPr>
            <w:tcW w:w="984" w:type="dxa"/>
            <w:shd w:val="clear" w:color="auto" w:fill="FFFFFF"/>
            <w:vAlign w:val="center"/>
          </w:tcPr>
          <w:p w14:paraId="67104D85"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苯并</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a</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芘</w:t>
            </w:r>
          </w:p>
        </w:tc>
        <w:tc>
          <w:tcPr>
            <w:tcW w:w="971" w:type="dxa"/>
            <w:shd w:val="clear" w:color="auto" w:fill="FFFFFF"/>
            <w:vAlign w:val="center"/>
          </w:tcPr>
          <w:p w14:paraId="777ACD24"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苯并</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b</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荧蒽</w:t>
            </w:r>
          </w:p>
        </w:tc>
        <w:tc>
          <w:tcPr>
            <w:tcW w:w="924" w:type="dxa"/>
            <w:shd w:val="clear" w:color="auto" w:fill="FFFFFF"/>
            <w:vAlign w:val="center"/>
          </w:tcPr>
          <w:p w14:paraId="3D1CD883"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苯并</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k</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荧蒽</w:t>
            </w:r>
          </w:p>
        </w:tc>
      </w:tr>
      <w:tr w:rsidR="00697429" w:rsidRPr="00092862" w14:paraId="32C50BBD" w14:textId="77777777" w:rsidTr="00E67C84">
        <w:trPr>
          <w:jc w:val="center"/>
        </w:trPr>
        <w:tc>
          <w:tcPr>
            <w:tcW w:w="949" w:type="dxa"/>
            <w:shd w:val="clear" w:color="auto" w:fill="FFFFFF"/>
            <w:vAlign w:val="center"/>
          </w:tcPr>
          <w:p w14:paraId="362A219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筛选值</w:t>
            </w:r>
          </w:p>
        </w:tc>
        <w:tc>
          <w:tcPr>
            <w:tcW w:w="992" w:type="dxa"/>
            <w:shd w:val="clear" w:color="auto" w:fill="FFFFFF"/>
            <w:vAlign w:val="center"/>
          </w:tcPr>
          <w:p w14:paraId="0956872E"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76</w:t>
            </w:r>
          </w:p>
        </w:tc>
        <w:tc>
          <w:tcPr>
            <w:tcW w:w="1276" w:type="dxa"/>
            <w:shd w:val="clear" w:color="auto" w:fill="FFFFFF"/>
            <w:vAlign w:val="center"/>
          </w:tcPr>
          <w:p w14:paraId="578C9879"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260</w:t>
            </w:r>
          </w:p>
        </w:tc>
        <w:tc>
          <w:tcPr>
            <w:tcW w:w="1134" w:type="dxa"/>
            <w:shd w:val="clear" w:color="auto" w:fill="FFFFFF"/>
            <w:vAlign w:val="center"/>
          </w:tcPr>
          <w:p w14:paraId="47C22C9A"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2256</w:t>
            </w:r>
          </w:p>
        </w:tc>
        <w:tc>
          <w:tcPr>
            <w:tcW w:w="992" w:type="dxa"/>
            <w:shd w:val="clear" w:color="auto" w:fill="FFFFFF"/>
            <w:vAlign w:val="center"/>
          </w:tcPr>
          <w:p w14:paraId="7F35F73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984" w:type="dxa"/>
            <w:shd w:val="clear" w:color="auto" w:fill="FFFFFF"/>
            <w:vAlign w:val="center"/>
          </w:tcPr>
          <w:p w14:paraId="54591E8B"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971" w:type="dxa"/>
            <w:shd w:val="clear" w:color="auto" w:fill="FFFFFF"/>
            <w:vAlign w:val="center"/>
          </w:tcPr>
          <w:p w14:paraId="79F58B3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924" w:type="dxa"/>
            <w:shd w:val="clear" w:color="auto" w:fill="FFFFFF"/>
            <w:vAlign w:val="center"/>
          </w:tcPr>
          <w:p w14:paraId="5BE9C8B1"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151</w:t>
            </w:r>
          </w:p>
        </w:tc>
      </w:tr>
      <w:tr w:rsidR="00697429" w:rsidRPr="00092862" w14:paraId="3A8D60AB" w14:textId="77777777" w:rsidTr="00E67C84">
        <w:trPr>
          <w:jc w:val="center"/>
        </w:trPr>
        <w:tc>
          <w:tcPr>
            <w:tcW w:w="949" w:type="dxa"/>
            <w:shd w:val="clear" w:color="auto" w:fill="FFFFFF"/>
            <w:vAlign w:val="center"/>
          </w:tcPr>
          <w:p w14:paraId="4C60188B"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992" w:type="dxa"/>
            <w:shd w:val="clear" w:color="auto" w:fill="FFFFFF"/>
            <w:vAlign w:val="center"/>
          </w:tcPr>
          <w:p w14:paraId="1D9A5FE5"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䓛</w:t>
            </w:r>
          </w:p>
        </w:tc>
        <w:tc>
          <w:tcPr>
            <w:tcW w:w="1276" w:type="dxa"/>
            <w:shd w:val="clear" w:color="auto" w:fill="FFFFFF"/>
            <w:vAlign w:val="center"/>
          </w:tcPr>
          <w:p w14:paraId="465D8E09"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二苯并</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a,h</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蒽</w:t>
            </w:r>
          </w:p>
        </w:tc>
        <w:tc>
          <w:tcPr>
            <w:tcW w:w="2126" w:type="dxa"/>
            <w:gridSpan w:val="2"/>
            <w:shd w:val="clear" w:color="auto" w:fill="FFFFFF"/>
            <w:vAlign w:val="center"/>
          </w:tcPr>
          <w:p w14:paraId="0E1ED1CE"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茆并</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1,2,3-cd</w:t>
            </w:r>
            <w:r w:rsidR="005C599D"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芘</w:t>
            </w:r>
          </w:p>
        </w:tc>
        <w:tc>
          <w:tcPr>
            <w:tcW w:w="984" w:type="dxa"/>
            <w:shd w:val="clear" w:color="auto" w:fill="FFFFFF"/>
            <w:vAlign w:val="center"/>
          </w:tcPr>
          <w:p w14:paraId="4F6379D7"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萘</w:t>
            </w:r>
          </w:p>
        </w:tc>
        <w:tc>
          <w:tcPr>
            <w:tcW w:w="1895" w:type="dxa"/>
            <w:gridSpan w:val="2"/>
            <w:shd w:val="clear" w:color="auto" w:fill="FFFFFF"/>
            <w:vAlign w:val="center"/>
          </w:tcPr>
          <w:p w14:paraId="36461B2D" w14:textId="77777777" w:rsidR="00DC446C" w:rsidRPr="00092862" w:rsidRDefault="003B1968" w:rsidP="00985E16">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石油烃（</w:t>
            </w:r>
            <w:r w:rsidRPr="00092862">
              <w:rPr>
                <w:rFonts w:ascii="Times New Roman" w:eastAsia="宋体" w:hAnsi="Times New Roman" w:cs="Times New Roman"/>
                <w:b/>
                <w:color w:val="000000" w:themeColor="text1"/>
                <w:szCs w:val="21"/>
              </w:rPr>
              <w:t>C</w:t>
            </w:r>
            <w:r w:rsidRPr="00092862">
              <w:rPr>
                <w:rFonts w:ascii="Times New Roman" w:eastAsia="宋体" w:hAnsi="Times New Roman" w:cs="Times New Roman"/>
                <w:b/>
                <w:color w:val="000000" w:themeColor="text1"/>
                <w:szCs w:val="21"/>
                <w:vertAlign w:val="subscript"/>
              </w:rPr>
              <w:t>10</w:t>
            </w:r>
            <w:r w:rsidRPr="00092862">
              <w:rPr>
                <w:rFonts w:ascii="Times New Roman" w:eastAsia="宋体" w:hAnsi="Times New Roman" w:cs="Times New Roman"/>
                <w:b/>
                <w:color w:val="000000" w:themeColor="text1"/>
                <w:szCs w:val="21"/>
              </w:rPr>
              <w:t>~C</w:t>
            </w:r>
            <w:r w:rsidRPr="00092862">
              <w:rPr>
                <w:rFonts w:ascii="Times New Roman" w:eastAsia="宋体" w:hAnsi="Times New Roman" w:cs="Times New Roman"/>
                <w:b/>
                <w:color w:val="000000" w:themeColor="text1"/>
                <w:szCs w:val="21"/>
                <w:vertAlign w:val="subscript"/>
              </w:rPr>
              <w:t>40</w:t>
            </w:r>
            <w:r w:rsidRPr="00092862">
              <w:rPr>
                <w:rFonts w:ascii="Times New Roman" w:eastAsia="宋体" w:hAnsi="Times New Roman" w:cs="Times New Roman"/>
                <w:b/>
                <w:color w:val="000000" w:themeColor="text1"/>
                <w:szCs w:val="21"/>
              </w:rPr>
              <w:t>）</w:t>
            </w:r>
          </w:p>
        </w:tc>
      </w:tr>
      <w:tr w:rsidR="00697429" w:rsidRPr="00092862" w14:paraId="100DB009" w14:textId="77777777" w:rsidTr="00E67C84">
        <w:trPr>
          <w:jc w:val="center"/>
        </w:trPr>
        <w:tc>
          <w:tcPr>
            <w:tcW w:w="949" w:type="dxa"/>
            <w:shd w:val="clear" w:color="auto" w:fill="FFFFFF"/>
            <w:vAlign w:val="center"/>
          </w:tcPr>
          <w:p w14:paraId="5CC2595C"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筛选值</w:t>
            </w:r>
          </w:p>
        </w:tc>
        <w:tc>
          <w:tcPr>
            <w:tcW w:w="992" w:type="dxa"/>
            <w:shd w:val="clear" w:color="auto" w:fill="FFFFFF"/>
            <w:vAlign w:val="center"/>
          </w:tcPr>
          <w:p w14:paraId="26EB0513"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1293</w:t>
            </w:r>
          </w:p>
        </w:tc>
        <w:tc>
          <w:tcPr>
            <w:tcW w:w="1276" w:type="dxa"/>
            <w:shd w:val="clear" w:color="auto" w:fill="FFFFFF"/>
            <w:vAlign w:val="center"/>
          </w:tcPr>
          <w:p w14:paraId="212E7DE6"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2126" w:type="dxa"/>
            <w:gridSpan w:val="2"/>
            <w:shd w:val="clear" w:color="auto" w:fill="FFFFFF"/>
            <w:vAlign w:val="center"/>
          </w:tcPr>
          <w:p w14:paraId="0FA0ABC9"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984" w:type="dxa"/>
            <w:shd w:val="clear" w:color="auto" w:fill="FFFFFF"/>
            <w:vAlign w:val="center"/>
          </w:tcPr>
          <w:p w14:paraId="21EAFF95"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70</w:t>
            </w:r>
          </w:p>
        </w:tc>
        <w:tc>
          <w:tcPr>
            <w:tcW w:w="1895" w:type="dxa"/>
            <w:gridSpan w:val="2"/>
            <w:shd w:val="clear" w:color="auto" w:fill="FFFFFF"/>
            <w:vAlign w:val="center"/>
          </w:tcPr>
          <w:p w14:paraId="4F5BCE7F" w14:textId="77777777" w:rsidR="00DC446C" w:rsidRPr="00092862" w:rsidRDefault="003B1968" w:rsidP="00985E1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4500</w:t>
            </w:r>
          </w:p>
        </w:tc>
      </w:tr>
    </w:tbl>
    <w:p w14:paraId="78271133"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2.5-6  </w:t>
      </w:r>
      <w:r w:rsidRPr="00092862">
        <w:rPr>
          <w:rFonts w:ascii="Times New Roman" w:eastAsia="黑体" w:hAnsi="Times New Roman"/>
          <w:color w:val="000000" w:themeColor="text1"/>
          <w:sz w:val="21"/>
          <w:szCs w:val="21"/>
          <w:lang w:eastAsia="zh-CN"/>
        </w:rPr>
        <w:t>农用地（其他）土壤环境质量筛选值</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909"/>
        <w:gridCol w:w="914"/>
        <w:gridCol w:w="914"/>
        <w:gridCol w:w="914"/>
        <w:gridCol w:w="914"/>
        <w:gridCol w:w="914"/>
        <w:gridCol w:w="914"/>
        <w:gridCol w:w="914"/>
        <w:gridCol w:w="915"/>
      </w:tblGrid>
      <w:tr w:rsidR="00697429" w:rsidRPr="00092862" w14:paraId="6E36CA8E" w14:textId="77777777" w:rsidTr="00BE7C4B">
        <w:trPr>
          <w:jc w:val="center"/>
        </w:trPr>
        <w:tc>
          <w:tcPr>
            <w:tcW w:w="885" w:type="dxa"/>
            <w:vMerge w:val="restart"/>
            <w:shd w:val="clear" w:color="auto" w:fill="FFFFFF"/>
            <w:vAlign w:val="center"/>
          </w:tcPr>
          <w:p w14:paraId="0DCBB9C2"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污染物</w:t>
            </w:r>
          </w:p>
        </w:tc>
        <w:tc>
          <w:tcPr>
            <w:tcW w:w="7113" w:type="dxa"/>
            <w:gridSpan w:val="8"/>
            <w:shd w:val="clear" w:color="auto" w:fill="FFFFFF"/>
            <w:vAlign w:val="center"/>
          </w:tcPr>
          <w:p w14:paraId="5BA1EE10"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风险筛选值</w:t>
            </w:r>
          </w:p>
        </w:tc>
      </w:tr>
      <w:tr w:rsidR="00697429" w:rsidRPr="00092862" w14:paraId="00C3B82C" w14:textId="77777777" w:rsidTr="00BE7C4B">
        <w:trPr>
          <w:jc w:val="center"/>
        </w:trPr>
        <w:tc>
          <w:tcPr>
            <w:tcW w:w="885" w:type="dxa"/>
            <w:vMerge/>
            <w:shd w:val="clear" w:color="auto" w:fill="FFFFFF"/>
            <w:vAlign w:val="center"/>
          </w:tcPr>
          <w:p w14:paraId="47059542"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p>
        </w:tc>
        <w:tc>
          <w:tcPr>
            <w:tcW w:w="1778" w:type="dxa"/>
            <w:gridSpan w:val="2"/>
            <w:shd w:val="clear" w:color="auto" w:fill="FFFFFF"/>
            <w:vAlign w:val="center"/>
          </w:tcPr>
          <w:p w14:paraId="3C3BDF91"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pH≤5.5</w:t>
            </w:r>
          </w:p>
        </w:tc>
        <w:tc>
          <w:tcPr>
            <w:tcW w:w="1778" w:type="dxa"/>
            <w:gridSpan w:val="2"/>
            <w:shd w:val="clear" w:color="auto" w:fill="FFFFFF"/>
            <w:vAlign w:val="center"/>
          </w:tcPr>
          <w:p w14:paraId="5FFC884E"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5.5</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pH≤6.5</w:t>
            </w:r>
          </w:p>
        </w:tc>
        <w:tc>
          <w:tcPr>
            <w:tcW w:w="1778" w:type="dxa"/>
            <w:gridSpan w:val="2"/>
            <w:shd w:val="clear" w:color="auto" w:fill="FFFFFF"/>
            <w:vAlign w:val="center"/>
          </w:tcPr>
          <w:p w14:paraId="7605EEE0"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6.5</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pH≤7.5</w:t>
            </w:r>
          </w:p>
        </w:tc>
        <w:tc>
          <w:tcPr>
            <w:tcW w:w="1779" w:type="dxa"/>
            <w:gridSpan w:val="2"/>
            <w:shd w:val="clear" w:color="auto" w:fill="FFFFFF"/>
            <w:vAlign w:val="center"/>
          </w:tcPr>
          <w:p w14:paraId="5CA9FFB5"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pH</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7.5</w:t>
            </w:r>
          </w:p>
        </w:tc>
      </w:tr>
      <w:tr w:rsidR="00697429" w:rsidRPr="00092862" w14:paraId="49107285" w14:textId="77777777" w:rsidTr="00BE7C4B">
        <w:trPr>
          <w:jc w:val="center"/>
        </w:trPr>
        <w:tc>
          <w:tcPr>
            <w:tcW w:w="885" w:type="dxa"/>
            <w:vMerge/>
            <w:shd w:val="clear" w:color="auto" w:fill="FFFFFF"/>
            <w:vAlign w:val="center"/>
          </w:tcPr>
          <w:p w14:paraId="6F7D154C"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p>
        </w:tc>
        <w:tc>
          <w:tcPr>
            <w:tcW w:w="889" w:type="dxa"/>
            <w:shd w:val="clear" w:color="auto" w:fill="FFFFFF"/>
            <w:vAlign w:val="center"/>
          </w:tcPr>
          <w:p w14:paraId="2CA6EFFC"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水田</w:t>
            </w:r>
          </w:p>
        </w:tc>
        <w:tc>
          <w:tcPr>
            <w:tcW w:w="889" w:type="dxa"/>
            <w:shd w:val="clear" w:color="auto" w:fill="FFFFFF"/>
            <w:vAlign w:val="center"/>
          </w:tcPr>
          <w:p w14:paraId="1B5160CE"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其他</w:t>
            </w:r>
          </w:p>
        </w:tc>
        <w:tc>
          <w:tcPr>
            <w:tcW w:w="889" w:type="dxa"/>
            <w:shd w:val="clear" w:color="auto" w:fill="FFFFFF"/>
            <w:vAlign w:val="center"/>
          </w:tcPr>
          <w:p w14:paraId="1BFB728A"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水田</w:t>
            </w:r>
          </w:p>
        </w:tc>
        <w:tc>
          <w:tcPr>
            <w:tcW w:w="889" w:type="dxa"/>
            <w:shd w:val="clear" w:color="auto" w:fill="FFFFFF"/>
            <w:vAlign w:val="center"/>
          </w:tcPr>
          <w:p w14:paraId="1865D859"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其他</w:t>
            </w:r>
          </w:p>
        </w:tc>
        <w:tc>
          <w:tcPr>
            <w:tcW w:w="889" w:type="dxa"/>
            <w:shd w:val="clear" w:color="auto" w:fill="FFFFFF"/>
            <w:vAlign w:val="center"/>
          </w:tcPr>
          <w:p w14:paraId="16299B5C"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水田</w:t>
            </w:r>
          </w:p>
        </w:tc>
        <w:tc>
          <w:tcPr>
            <w:tcW w:w="889" w:type="dxa"/>
            <w:shd w:val="clear" w:color="auto" w:fill="FFFFFF"/>
            <w:vAlign w:val="center"/>
          </w:tcPr>
          <w:p w14:paraId="5539E7C5"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其他</w:t>
            </w:r>
          </w:p>
        </w:tc>
        <w:tc>
          <w:tcPr>
            <w:tcW w:w="889" w:type="dxa"/>
            <w:shd w:val="clear" w:color="auto" w:fill="FFFFFF"/>
            <w:vAlign w:val="center"/>
          </w:tcPr>
          <w:p w14:paraId="297D581E"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水田</w:t>
            </w:r>
          </w:p>
        </w:tc>
        <w:tc>
          <w:tcPr>
            <w:tcW w:w="890" w:type="dxa"/>
            <w:shd w:val="clear" w:color="auto" w:fill="FFFFFF"/>
            <w:vAlign w:val="center"/>
          </w:tcPr>
          <w:p w14:paraId="48AA51C9"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其他</w:t>
            </w:r>
          </w:p>
        </w:tc>
      </w:tr>
      <w:tr w:rsidR="00697429" w:rsidRPr="00092862" w14:paraId="0B2B4885" w14:textId="77777777" w:rsidTr="00BE7C4B">
        <w:trPr>
          <w:jc w:val="center"/>
        </w:trPr>
        <w:tc>
          <w:tcPr>
            <w:tcW w:w="885" w:type="dxa"/>
            <w:shd w:val="clear" w:color="auto" w:fill="FFFFFF"/>
            <w:vAlign w:val="center"/>
          </w:tcPr>
          <w:p w14:paraId="170644BE"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镉</w:t>
            </w:r>
          </w:p>
        </w:tc>
        <w:tc>
          <w:tcPr>
            <w:tcW w:w="889" w:type="dxa"/>
            <w:shd w:val="clear" w:color="auto" w:fill="FFFFFF"/>
            <w:vAlign w:val="center"/>
          </w:tcPr>
          <w:p w14:paraId="6687DA21"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0.3</w:t>
            </w:r>
          </w:p>
        </w:tc>
        <w:tc>
          <w:tcPr>
            <w:tcW w:w="889" w:type="dxa"/>
            <w:shd w:val="clear" w:color="auto" w:fill="FFFFFF"/>
            <w:vAlign w:val="center"/>
          </w:tcPr>
          <w:p w14:paraId="04C80B2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0.3</w:t>
            </w:r>
          </w:p>
        </w:tc>
        <w:tc>
          <w:tcPr>
            <w:tcW w:w="889" w:type="dxa"/>
            <w:shd w:val="clear" w:color="auto" w:fill="FFFFFF"/>
            <w:vAlign w:val="center"/>
          </w:tcPr>
          <w:p w14:paraId="096128AC"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889" w:type="dxa"/>
            <w:shd w:val="clear" w:color="auto" w:fill="FFFFFF"/>
            <w:vAlign w:val="center"/>
          </w:tcPr>
          <w:p w14:paraId="6F61FCDD"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0.3</w:t>
            </w:r>
          </w:p>
        </w:tc>
        <w:tc>
          <w:tcPr>
            <w:tcW w:w="889" w:type="dxa"/>
            <w:shd w:val="clear" w:color="auto" w:fill="FFFFFF"/>
            <w:vAlign w:val="center"/>
          </w:tcPr>
          <w:p w14:paraId="1D2E94D6"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889" w:type="dxa"/>
            <w:shd w:val="clear" w:color="auto" w:fill="FFFFFF"/>
            <w:vAlign w:val="center"/>
          </w:tcPr>
          <w:p w14:paraId="1F10949C"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0.3</w:t>
            </w:r>
          </w:p>
        </w:tc>
        <w:tc>
          <w:tcPr>
            <w:tcW w:w="889" w:type="dxa"/>
            <w:shd w:val="clear" w:color="auto" w:fill="FFFFFF"/>
            <w:vAlign w:val="center"/>
          </w:tcPr>
          <w:p w14:paraId="5A21E75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w:t>
            </w:r>
          </w:p>
        </w:tc>
        <w:tc>
          <w:tcPr>
            <w:tcW w:w="890" w:type="dxa"/>
            <w:shd w:val="clear" w:color="auto" w:fill="FFFFFF"/>
            <w:vAlign w:val="center"/>
          </w:tcPr>
          <w:p w14:paraId="61B58139"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r>
      <w:tr w:rsidR="00697429" w:rsidRPr="00092862" w14:paraId="3D6066D5" w14:textId="77777777" w:rsidTr="00BE7C4B">
        <w:trPr>
          <w:jc w:val="center"/>
        </w:trPr>
        <w:tc>
          <w:tcPr>
            <w:tcW w:w="885" w:type="dxa"/>
            <w:shd w:val="clear" w:color="auto" w:fill="FFFFFF"/>
            <w:vAlign w:val="center"/>
          </w:tcPr>
          <w:p w14:paraId="1689BD82"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汞</w:t>
            </w:r>
          </w:p>
        </w:tc>
        <w:tc>
          <w:tcPr>
            <w:tcW w:w="889" w:type="dxa"/>
            <w:shd w:val="clear" w:color="auto" w:fill="FFFFFF"/>
            <w:vAlign w:val="center"/>
          </w:tcPr>
          <w:p w14:paraId="3D37D7A1"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889" w:type="dxa"/>
            <w:shd w:val="clear" w:color="auto" w:fill="FFFFFF"/>
            <w:vAlign w:val="center"/>
          </w:tcPr>
          <w:p w14:paraId="22580632"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1.3</w:t>
            </w:r>
          </w:p>
        </w:tc>
        <w:tc>
          <w:tcPr>
            <w:tcW w:w="889" w:type="dxa"/>
            <w:shd w:val="clear" w:color="auto" w:fill="FFFFFF"/>
            <w:vAlign w:val="center"/>
          </w:tcPr>
          <w:p w14:paraId="25F26350"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889" w:type="dxa"/>
            <w:shd w:val="clear" w:color="auto" w:fill="FFFFFF"/>
            <w:vAlign w:val="center"/>
          </w:tcPr>
          <w:p w14:paraId="5ED8C1E9"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889" w:type="dxa"/>
            <w:shd w:val="clear" w:color="auto" w:fill="FFFFFF"/>
            <w:vAlign w:val="center"/>
          </w:tcPr>
          <w:p w14:paraId="3C93FD48"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889" w:type="dxa"/>
            <w:shd w:val="clear" w:color="auto" w:fill="FFFFFF"/>
            <w:vAlign w:val="center"/>
          </w:tcPr>
          <w:p w14:paraId="146893BE"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2.4</w:t>
            </w:r>
          </w:p>
        </w:tc>
        <w:tc>
          <w:tcPr>
            <w:tcW w:w="889" w:type="dxa"/>
            <w:shd w:val="clear" w:color="auto" w:fill="FFFFFF"/>
            <w:vAlign w:val="center"/>
          </w:tcPr>
          <w:p w14:paraId="0AF898AC"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890" w:type="dxa"/>
            <w:shd w:val="clear" w:color="auto" w:fill="FFFFFF"/>
            <w:vAlign w:val="center"/>
          </w:tcPr>
          <w:p w14:paraId="7E05BE3F"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3.4</w:t>
            </w:r>
          </w:p>
        </w:tc>
      </w:tr>
      <w:tr w:rsidR="00697429" w:rsidRPr="00092862" w14:paraId="42F7292F" w14:textId="77777777" w:rsidTr="00BE7C4B">
        <w:trPr>
          <w:jc w:val="center"/>
        </w:trPr>
        <w:tc>
          <w:tcPr>
            <w:tcW w:w="885" w:type="dxa"/>
            <w:shd w:val="clear" w:color="auto" w:fill="FFFFFF"/>
            <w:vAlign w:val="center"/>
          </w:tcPr>
          <w:p w14:paraId="3655BB3E"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砷</w:t>
            </w:r>
          </w:p>
        </w:tc>
        <w:tc>
          <w:tcPr>
            <w:tcW w:w="889" w:type="dxa"/>
            <w:shd w:val="clear" w:color="auto" w:fill="FFFFFF"/>
            <w:vAlign w:val="center"/>
          </w:tcPr>
          <w:p w14:paraId="11FD0667"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w:t>
            </w:r>
          </w:p>
        </w:tc>
        <w:tc>
          <w:tcPr>
            <w:tcW w:w="889" w:type="dxa"/>
            <w:shd w:val="clear" w:color="auto" w:fill="FFFFFF"/>
            <w:vAlign w:val="center"/>
          </w:tcPr>
          <w:p w14:paraId="32EB5ED5"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40</w:t>
            </w:r>
          </w:p>
        </w:tc>
        <w:tc>
          <w:tcPr>
            <w:tcW w:w="889" w:type="dxa"/>
            <w:shd w:val="clear" w:color="auto" w:fill="FFFFFF"/>
            <w:vAlign w:val="center"/>
          </w:tcPr>
          <w:p w14:paraId="0AA1DAD0"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w:t>
            </w:r>
          </w:p>
        </w:tc>
        <w:tc>
          <w:tcPr>
            <w:tcW w:w="889" w:type="dxa"/>
            <w:shd w:val="clear" w:color="auto" w:fill="FFFFFF"/>
            <w:vAlign w:val="center"/>
          </w:tcPr>
          <w:p w14:paraId="7E541156"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40</w:t>
            </w:r>
          </w:p>
        </w:tc>
        <w:tc>
          <w:tcPr>
            <w:tcW w:w="889" w:type="dxa"/>
            <w:shd w:val="clear" w:color="auto" w:fill="FFFFFF"/>
            <w:vAlign w:val="center"/>
          </w:tcPr>
          <w:p w14:paraId="7A29FDC9"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c>
          <w:tcPr>
            <w:tcW w:w="889" w:type="dxa"/>
            <w:shd w:val="clear" w:color="auto" w:fill="FFFFFF"/>
            <w:vAlign w:val="center"/>
          </w:tcPr>
          <w:p w14:paraId="37F9F770"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w:t>
            </w:r>
          </w:p>
        </w:tc>
        <w:tc>
          <w:tcPr>
            <w:tcW w:w="889" w:type="dxa"/>
            <w:shd w:val="clear" w:color="auto" w:fill="FFFFFF"/>
            <w:vAlign w:val="center"/>
          </w:tcPr>
          <w:p w14:paraId="0B96616D"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890" w:type="dxa"/>
            <w:shd w:val="clear" w:color="auto" w:fill="FFFFFF"/>
            <w:vAlign w:val="center"/>
          </w:tcPr>
          <w:p w14:paraId="23244EFE"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r>
      <w:tr w:rsidR="00697429" w:rsidRPr="00092862" w14:paraId="76BFB9D9" w14:textId="77777777" w:rsidTr="00BE7C4B">
        <w:trPr>
          <w:jc w:val="center"/>
        </w:trPr>
        <w:tc>
          <w:tcPr>
            <w:tcW w:w="885" w:type="dxa"/>
            <w:shd w:val="clear" w:color="auto" w:fill="FFFFFF"/>
            <w:vAlign w:val="center"/>
          </w:tcPr>
          <w:p w14:paraId="1EF3D1C8"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铅</w:t>
            </w:r>
          </w:p>
        </w:tc>
        <w:tc>
          <w:tcPr>
            <w:tcW w:w="889" w:type="dxa"/>
            <w:shd w:val="clear" w:color="auto" w:fill="FFFFFF"/>
            <w:vAlign w:val="center"/>
          </w:tcPr>
          <w:p w14:paraId="0AC3BA1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80</w:t>
            </w:r>
          </w:p>
        </w:tc>
        <w:tc>
          <w:tcPr>
            <w:tcW w:w="889" w:type="dxa"/>
            <w:shd w:val="clear" w:color="auto" w:fill="FFFFFF"/>
            <w:vAlign w:val="center"/>
          </w:tcPr>
          <w:p w14:paraId="11C74620"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70</w:t>
            </w:r>
          </w:p>
        </w:tc>
        <w:tc>
          <w:tcPr>
            <w:tcW w:w="889" w:type="dxa"/>
            <w:shd w:val="clear" w:color="auto" w:fill="FFFFFF"/>
            <w:vAlign w:val="center"/>
          </w:tcPr>
          <w:p w14:paraId="24D9E277"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w:t>
            </w:r>
          </w:p>
        </w:tc>
        <w:tc>
          <w:tcPr>
            <w:tcW w:w="889" w:type="dxa"/>
            <w:shd w:val="clear" w:color="auto" w:fill="FFFFFF"/>
            <w:vAlign w:val="center"/>
          </w:tcPr>
          <w:p w14:paraId="55D1A27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90</w:t>
            </w:r>
          </w:p>
        </w:tc>
        <w:tc>
          <w:tcPr>
            <w:tcW w:w="889" w:type="dxa"/>
            <w:shd w:val="clear" w:color="auto" w:fill="FFFFFF"/>
            <w:vAlign w:val="center"/>
          </w:tcPr>
          <w:p w14:paraId="66532BD0"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140</w:t>
            </w:r>
          </w:p>
        </w:tc>
        <w:tc>
          <w:tcPr>
            <w:tcW w:w="889" w:type="dxa"/>
            <w:shd w:val="clear" w:color="auto" w:fill="FFFFFF"/>
            <w:vAlign w:val="center"/>
          </w:tcPr>
          <w:p w14:paraId="1FC4B051"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120</w:t>
            </w:r>
          </w:p>
        </w:tc>
        <w:tc>
          <w:tcPr>
            <w:tcW w:w="889" w:type="dxa"/>
            <w:shd w:val="clear" w:color="auto" w:fill="FFFFFF"/>
            <w:vAlign w:val="center"/>
          </w:tcPr>
          <w:p w14:paraId="57ACE087"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240</w:t>
            </w:r>
          </w:p>
        </w:tc>
        <w:tc>
          <w:tcPr>
            <w:tcW w:w="890" w:type="dxa"/>
            <w:shd w:val="clear" w:color="auto" w:fill="FFFFFF"/>
            <w:vAlign w:val="center"/>
          </w:tcPr>
          <w:p w14:paraId="1E2E715D"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170</w:t>
            </w:r>
          </w:p>
        </w:tc>
      </w:tr>
      <w:tr w:rsidR="00697429" w:rsidRPr="00092862" w14:paraId="2526BE9B" w14:textId="77777777" w:rsidTr="00BE7C4B">
        <w:trPr>
          <w:jc w:val="center"/>
        </w:trPr>
        <w:tc>
          <w:tcPr>
            <w:tcW w:w="885" w:type="dxa"/>
            <w:shd w:val="clear" w:color="auto" w:fill="FFFFFF"/>
            <w:vAlign w:val="center"/>
          </w:tcPr>
          <w:p w14:paraId="3449BB76"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铬</w:t>
            </w:r>
          </w:p>
        </w:tc>
        <w:tc>
          <w:tcPr>
            <w:tcW w:w="889" w:type="dxa"/>
            <w:shd w:val="clear" w:color="auto" w:fill="FFFFFF"/>
            <w:vAlign w:val="center"/>
          </w:tcPr>
          <w:p w14:paraId="0BA95AA3"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250</w:t>
            </w:r>
          </w:p>
        </w:tc>
        <w:tc>
          <w:tcPr>
            <w:tcW w:w="889" w:type="dxa"/>
            <w:shd w:val="clear" w:color="auto" w:fill="FFFFFF"/>
            <w:vAlign w:val="center"/>
          </w:tcPr>
          <w:p w14:paraId="7B06DE9A"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150</w:t>
            </w:r>
          </w:p>
        </w:tc>
        <w:tc>
          <w:tcPr>
            <w:tcW w:w="889" w:type="dxa"/>
            <w:shd w:val="clear" w:color="auto" w:fill="FFFFFF"/>
            <w:vAlign w:val="center"/>
          </w:tcPr>
          <w:p w14:paraId="5196AD69"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250</w:t>
            </w:r>
          </w:p>
        </w:tc>
        <w:tc>
          <w:tcPr>
            <w:tcW w:w="889" w:type="dxa"/>
            <w:shd w:val="clear" w:color="auto" w:fill="FFFFFF"/>
            <w:vAlign w:val="center"/>
          </w:tcPr>
          <w:p w14:paraId="1C876B8A"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150</w:t>
            </w:r>
          </w:p>
        </w:tc>
        <w:tc>
          <w:tcPr>
            <w:tcW w:w="889" w:type="dxa"/>
            <w:shd w:val="clear" w:color="auto" w:fill="FFFFFF"/>
            <w:vAlign w:val="center"/>
          </w:tcPr>
          <w:p w14:paraId="1235512C"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300</w:t>
            </w:r>
          </w:p>
        </w:tc>
        <w:tc>
          <w:tcPr>
            <w:tcW w:w="889" w:type="dxa"/>
            <w:shd w:val="clear" w:color="auto" w:fill="FFFFFF"/>
            <w:vAlign w:val="center"/>
          </w:tcPr>
          <w:p w14:paraId="2277B5C4"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200</w:t>
            </w:r>
          </w:p>
        </w:tc>
        <w:tc>
          <w:tcPr>
            <w:tcW w:w="889" w:type="dxa"/>
            <w:shd w:val="clear" w:color="auto" w:fill="FFFFFF"/>
            <w:vAlign w:val="center"/>
          </w:tcPr>
          <w:p w14:paraId="6584DD31"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350</w:t>
            </w:r>
          </w:p>
        </w:tc>
        <w:tc>
          <w:tcPr>
            <w:tcW w:w="890" w:type="dxa"/>
            <w:shd w:val="clear" w:color="auto" w:fill="FFFFFF"/>
            <w:vAlign w:val="center"/>
          </w:tcPr>
          <w:p w14:paraId="35269B76"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250</w:t>
            </w:r>
          </w:p>
        </w:tc>
      </w:tr>
      <w:tr w:rsidR="00697429" w:rsidRPr="00092862" w14:paraId="22992585" w14:textId="77777777" w:rsidTr="00BE7C4B">
        <w:trPr>
          <w:jc w:val="center"/>
        </w:trPr>
        <w:tc>
          <w:tcPr>
            <w:tcW w:w="885" w:type="dxa"/>
            <w:shd w:val="clear" w:color="auto" w:fill="FFFFFF"/>
            <w:vAlign w:val="center"/>
          </w:tcPr>
          <w:p w14:paraId="5A6B17C0"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铜</w:t>
            </w:r>
          </w:p>
        </w:tc>
        <w:tc>
          <w:tcPr>
            <w:tcW w:w="889" w:type="dxa"/>
            <w:shd w:val="clear" w:color="auto" w:fill="FFFFFF"/>
            <w:vAlign w:val="center"/>
          </w:tcPr>
          <w:p w14:paraId="597AF99D"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150</w:t>
            </w:r>
          </w:p>
        </w:tc>
        <w:tc>
          <w:tcPr>
            <w:tcW w:w="889" w:type="dxa"/>
            <w:shd w:val="clear" w:color="auto" w:fill="FFFFFF"/>
            <w:vAlign w:val="center"/>
          </w:tcPr>
          <w:p w14:paraId="5DC6E635"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50</w:t>
            </w:r>
          </w:p>
        </w:tc>
        <w:tc>
          <w:tcPr>
            <w:tcW w:w="889" w:type="dxa"/>
            <w:shd w:val="clear" w:color="auto" w:fill="FFFFFF"/>
            <w:vAlign w:val="center"/>
          </w:tcPr>
          <w:p w14:paraId="327A67D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150</w:t>
            </w:r>
          </w:p>
        </w:tc>
        <w:tc>
          <w:tcPr>
            <w:tcW w:w="889" w:type="dxa"/>
            <w:shd w:val="clear" w:color="auto" w:fill="FFFFFF"/>
            <w:vAlign w:val="center"/>
          </w:tcPr>
          <w:p w14:paraId="1CEF05EA"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50</w:t>
            </w:r>
          </w:p>
        </w:tc>
        <w:tc>
          <w:tcPr>
            <w:tcW w:w="889" w:type="dxa"/>
            <w:shd w:val="clear" w:color="auto" w:fill="FFFFFF"/>
            <w:vAlign w:val="center"/>
          </w:tcPr>
          <w:p w14:paraId="18C2B52E"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200</w:t>
            </w:r>
          </w:p>
        </w:tc>
        <w:tc>
          <w:tcPr>
            <w:tcW w:w="889" w:type="dxa"/>
            <w:shd w:val="clear" w:color="auto" w:fill="FFFFFF"/>
            <w:vAlign w:val="center"/>
          </w:tcPr>
          <w:p w14:paraId="00AD7105"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w:t>
            </w:r>
          </w:p>
        </w:tc>
        <w:tc>
          <w:tcPr>
            <w:tcW w:w="889" w:type="dxa"/>
            <w:shd w:val="clear" w:color="auto" w:fill="FFFFFF"/>
            <w:vAlign w:val="center"/>
          </w:tcPr>
          <w:p w14:paraId="18D56EFD"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200</w:t>
            </w:r>
          </w:p>
        </w:tc>
        <w:tc>
          <w:tcPr>
            <w:tcW w:w="890" w:type="dxa"/>
            <w:shd w:val="clear" w:color="auto" w:fill="FFFFFF"/>
            <w:vAlign w:val="center"/>
          </w:tcPr>
          <w:p w14:paraId="4F0F8CC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w:t>
            </w:r>
          </w:p>
        </w:tc>
      </w:tr>
      <w:tr w:rsidR="00697429" w:rsidRPr="00092862" w14:paraId="0C8D768E" w14:textId="77777777" w:rsidTr="00BE7C4B">
        <w:trPr>
          <w:jc w:val="center"/>
        </w:trPr>
        <w:tc>
          <w:tcPr>
            <w:tcW w:w="885" w:type="dxa"/>
            <w:shd w:val="clear" w:color="auto" w:fill="FFFFFF"/>
            <w:vAlign w:val="center"/>
          </w:tcPr>
          <w:p w14:paraId="68413256"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镍</w:t>
            </w:r>
          </w:p>
        </w:tc>
        <w:tc>
          <w:tcPr>
            <w:tcW w:w="1778" w:type="dxa"/>
            <w:gridSpan w:val="2"/>
            <w:shd w:val="clear" w:color="auto" w:fill="FFFFFF"/>
            <w:vAlign w:val="center"/>
          </w:tcPr>
          <w:p w14:paraId="2834F0F9"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60</w:t>
            </w:r>
          </w:p>
        </w:tc>
        <w:tc>
          <w:tcPr>
            <w:tcW w:w="1778" w:type="dxa"/>
            <w:gridSpan w:val="2"/>
            <w:shd w:val="clear" w:color="auto" w:fill="FFFFFF"/>
            <w:vAlign w:val="center"/>
          </w:tcPr>
          <w:p w14:paraId="120D513C"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70</w:t>
            </w:r>
          </w:p>
        </w:tc>
        <w:tc>
          <w:tcPr>
            <w:tcW w:w="1778" w:type="dxa"/>
            <w:gridSpan w:val="2"/>
            <w:shd w:val="clear" w:color="auto" w:fill="FFFFFF"/>
            <w:vAlign w:val="center"/>
          </w:tcPr>
          <w:p w14:paraId="23F216EF"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w:t>
            </w:r>
          </w:p>
        </w:tc>
        <w:tc>
          <w:tcPr>
            <w:tcW w:w="1779" w:type="dxa"/>
            <w:gridSpan w:val="2"/>
            <w:shd w:val="clear" w:color="auto" w:fill="FFFFFF"/>
            <w:vAlign w:val="center"/>
          </w:tcPr>
          <w:p w14:paraId="196681C7"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190</w:t>
            </w:r>
          </w:p>
        </w:tc>
      </w:tr>
      <w:tr w:rsidR="00697429" w:rsidRPr="00092862" w14:paraId="7FA0E642" w14:textId="77777777" w:rsidTr="00BE7C4B">
        <w:trPr>
          <w:jc w:val="center"/>
        </w:trPr>
        <w:tc>
          <w:tcPr>
            <w:tcW w:w="885" w:type="dxa"/>
            <w:shd w:val="clear" w:color="auto" w:fill="FFFFFF"/>
            <w:vAlign w:val="center"/>
          </w:tcPr>
          <w:p w14:paraId="2A09CF19" w14:textId="77777777" w:rsidR="007F38C5" w:rsidRPr="00092862" w:rsidRDefault="007F38C5" w:rsidP="003D2EEB">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锌</w:t>
            </w:r>
          </w:p>
        </w:tc>
        <w:tc>
          <w:tcPr>
            <w:tcW w:w="1778" w:type="dxa"/>
            <w:gridSpan w:val="2"/>
            <w:shd w:val="clear" w:color="auto" w:fill="FFFFFF"/>
            <w:vAlign w:val="center"/>
          </w:tcPr>
          <w:p w14:paraId="555ABDAF"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200</w:t>
            </w:r>
          </w:p>
        </w:tc>
        <w:tc>
          <w:tcPr>
            <w:tcW w:w="1778" w:type="dxa"/>
            <w:gridSpan w:val="2"/>
            <w:shd w:val="clear" w:color="auto" w:fill="FFFFFF"/>
            <w:vAlign w:val="center"/>
          </w:tcPr>
          <w:p w14:paraId="152BC6FB"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200</w:t>
            </w:r>
          </w:p>
        </w:tc>
        <w:tc>
          <w:tcPr>
            <w:tcW w:w="1778" w:type="dxa"/>
            <w:gridSpan w:val="2"/>
            <w:shd w:val="clear" w:color="auto" w:fill="FFFFFF"/>
            <w:vAlign w:val="center"/>
          </w:tcPr>
          <w:p w14:paraId="4B7D4DF2"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250</w:t>
            </w:r>
          </w:p>
        </w:tc>
        <w:tc>
          <w:tcPr>
            <w:tcW w:w="1779" w:type="dxa"/>
            <w:gridSpan w:val="2"/>
            <w:shd w:val="clear" w:color="auto" w:fill="FFFFFF"/>
            <w:vAlign w:val="center"/>
          </w:tcPr>
          <w:p w14:paraId="212410B0" w14:textId="77777777" w:rsidR="007F38C5" w:rsidRPr="00092862" w:rsidRDefault="007F38C5" w:rsidP="003D2EE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300</w:t>
            </w:r>
          </w:p>
        </w:tc>
      </w:tr>
    </w:tbl>
    <w:p w14:paraId="5AAE6644" w14:textId="77777777" w:rsidR="00DC446C" w:rsidRPr="00092862" w:rsidRDefault="003B1968" w:rsidP="001B0600">
      <w:pPr>
        <w:pStyle w:val="af0"/>
        <w:spacing w:beforeLines="50" w:before="156"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土壤环境监测指标中农用地石油烃参考第一类建设用地筛选值为</w:t>
      </w:r>
      <w:r w:rsidRPr="00092862">
        <w:rPr>
          <w:rFonts w:ascii="Times New Roman" w:hAnsi="Times New Roman"/>
          <w:bCs/>
          <w:color w:val="000000" w:themeColor="text1"/>
          <w:szCs w:val="24"/>
        </w:rPr>
        <w:t>826mg/kg</w:t>
      </w:r>
      <w:r w:rsidRPr="00092862">
        <w:rPr>
          <w:rFonts w:ascii="Times New Roman" w:hAnsi="Times New Roman"/>
          <w:bCs/>
          <w:color w:val="000000" w:themeColor="text1"/>
          <w:szCs w:val="24"/>
        </w:rPr>
        <w:t>。</w:t>
      </w:r>
    </w:p>
    <w:p w14:paraId="6F9614F1" w14:textId="77777777" w:rsidR="00DC446C" w:rsidRPr="00092862" w:rsidRDefault="003B1968" w:rsidP="001B0600">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46" w:name="_Toc120173068"/>
      <w:r w:rsidRPr="00092862">
        <w:rPr>
          <w:rFonts w:ascii="Times New Roman" w:eastAsia="黑体" w:hAnsi="Times New Roman"/>
          <w:b w:val="0"/>
          <w:color w:val="000000" w:themeColor="text1"/>
          <w:sz w:val="24"/>
          <w:szCs w:val="24"/>
          <w:lang w:eastAsia="zh-CN"/>
        </w:rPr>
        <w:t>2.5.3</w:t>
      </w:r>
      <w:r w:rsidRPr="00092862">
        <w:rPr>
          <w:rFonts w:ascii="Times New Roman" w:eastAsia="黑体" w:hAnsi="Times New Roman"/>
          <w:b w:val="0"/>
          <w:color w:val="000000" w:themeColor="text1"/>
          <w:sz w:val="24"/>
          <w:szCs w:val="24"/>
          <w:lang w:eastAsia="zh-CN"/>
        </w:rPr>
        <w:t>污染物排放标准</w:t>
      </w:r>
      <w:bookmarkEnd w:id="46"/>
    </w:p>
    <w:p w14:paraId="7028FAF7" w14:textId="77777777" w:rsidR="00273994" w:rsidRPr="00092862" w:rsidRDefault="00273994" w:rsidP="001B0600">
      <w:pPr>
        <w:pStyle w:val="0"/>
        <w:rPr>
          <w:bCs/>
          <w:color w:val="000000" w:themeColor="text1"/>
        </w:rPr>
      </w:pPr>
      <w:bookmarkStart w:id="47" w:name="_Hlk48749861"/>
      <w:bookmarkStart w:id="48" w:name="_Hlk48749841"/>
      <w:r w:rsidRPr="00092862">
        <w:rPr>
          <w:bCs/>
          <w:color w:val="000000" w:themeColor="text1"/>
        </w:rPr>
        <w:t>（</w:t>
      </w:r>
      <w:r w:rsidRPr="00092862">
        <w:rPr>
          <w:bCs/>
          <w:color w:val="000000" w:themeColor="text1"/>
        </w:rPr>
        <w:t>1</w:t>
      </w:r>
      <w:r w:rsidRPr="00092862">
        <w:rPr>
          <w:bCs/>
          <w:color w:val="000000" w:themeColor="text1"/>
        </w:rPr>
        <w:t>）废水</w:t>
      </w:r>
    </w:p>
    <w:p w14:paraId="6F30C3F3" w14:textId="35B79271" w:rsidR="00273994" w:rsidRPr="00092862" w:rsidRDefault="00273994" w:rsidP="005D5A22">
      <w:pPr>
        <w:pStyle w:val="af0"/>
        <w:spacing w:line="360" w:lineRule="auto"/>
        <w:ind w:firstLineChars="200" w:firstLine="480"/>
        <w:rPr>
          <w:rFonts w:ascii="Times New Roman" w:hAnsi="Times New Roman"/>
          <w:bCs/>
          <w:color w:val="000000" w:themeColor="text1"/>
          <w:szCs w:val="24"/>
        </w:rPr>
      </w:pPr>
      <w:bookmarkStart w:id="49" w:name="_Hlk48749969"/>
      <w:bookmarkEnd w:id="47"/>
      <w:r w:rsidRPr="00092862">
        <w:rPr>
          <w:rFonts w:ascii="Times New Roman" w:hAnsi="Times New Roman"/>
          <w:bCs/>
          <w:color w:val="000000" w:themeColor="text1"/>
          <w:szCs w:val="24"/>
        </w:rPr>
        <w:t>剩余钻井废水暂存于清洁生产操作平台的废水罐内，经预处理后装车拉运至普光</w:t>
      </w:r>
      <w:r w:rsidRPr="00092862">
        <w:rPr>
          <w:rFonts w:ascii="Times New Roman" w:hAnsi="Times New Roman"/>
          <w:bCs/>
          <w:color w:val="000000" w:themeColor="text1"/>
          <w:szCs w:val="24"/>
        </w:rPr>
        <w:t>11</w:t>
      </w:r>
      <w:r w:rsidRPr="00092862">
        <w:rPr>
          <w:rFonts w:ascii="Times New Roman" w:hAnsi="Times New Roman"/>
          <w:bCs/>
          <w:color w:val="000000" w:themeColor="text1"/>
          <w:szCs w:val="24"/>
        </w:rPr>
        <w:t>井回注站回注；压裂废水和洗井废水暂存于放喷池，装车拉运至</w:t>
      </w:r>
      <w:bookmarkStart w:id="50" w:name="_Hlk117865028"/>
      <w:r w:rsidRPr="00092862">
        <w:rPr>
          <w:rFonts w:ascii="Times New Roman" w:hAnsi="Times New Roman"/>
          <w:bCs/>
          <w:color w:val="000000" w:themeColor="text1"/>
          <w:szCs w:val="24"/>
        </w:rPr>
        <w:t>赵家坝污水处理站</w:t>
      </w:r>
      <w:bookmarkEnd w:id="50"/>
      <w:r w:rsidRPr="00092862">
        <w:rPr>
          <w:rFonts w:ascii="Times New Roman" w:hAnsi="Times New Roman"/>
          <w:bCs/>
          <w:color w:val="000000" w:themeColor="text1"/>
          <w:szCs w:val="24"/>
        </w:rPr>
        <w:t>达标后管输至普光</w:t>
      </w:r>
      <w:r w:rsidRPr="00092862">
        <w:rPr>
          <w:rFonts w:ascii="Times New Roman" w:hAnsi="Times New Roman"/>
          <w:bCs/>
          <w:color w:val="000000" w:themeColor="text1"/>
          <w:szCs w:val="24"/>
        </w:rPr>
        <w:t>11</w:t>
      </w:r>
      <w:r w:rsidRPr="00092862">
        <w:rPr>
          <w:rFonts w:ascii="Times New Roman" w:hAnsi="Times New Roman"/>
          <w:bCs/>
          <w:color w:val="000000" w:themeColor="text1"/>
          <w:szCs w:val="24"/>
        </w:rPr>
        <w:t>井回注站回注；</w:t>
      </w:r>
      <w:r w:rsidR="00BD7B0C" w:rsidRPr="00092862">
        <w:rPr>
          <w:rFonts w:ascii="Times New Roman" w:hAnsi="Times New Roman"/>
          <w:bCs/>
          <w:color w:val="000000" w:themeColor="text1"/>
          <w:szCs w:val="24"/>
        </w:rPr>
        <w:t>生活污水经生态厕所收集后定期由密闭罐车拉运至周边生活污水处理厂处理</w:t>
      </w:r>
      <w:r w:rsidRPr="00092862">
        <w:rPr>
          <w:rFonts w:ascii="Times New Roman" w:hAnsi="Times New Roman"/>
          <w:bCs/>
          <w:color w:val="000000" w:themeColor="text1"/>
          <w:szCs w:val="24"/>
        </w:rPr>
        <w:t>。项目钻井期间无废水外排。为防止压裂返排液对地面集输管线造成腐蚀，设置分酸装置（分离器），站场投产期间采气废水进入</w:t>
      </w:r>
      <w:r w:rsidRPr="00092862">
        <w:rPr>
          <w:rFonts w:ascii="Times New Roman" w:hAnsi="Times New Roman"/>
          <w:color w:val="000000" w:themeColor="text1"/>
        </w:rPr>
        <w:t>火炬分液罐</w:t>
      </w:r>
      <w:r w:rsidRPr="00092862">
        <w:rPr>
          <w:rFonts w:ascii="Times New Roman" w:hAnsi="Times New Roman"/>
          <w:bCs/>
          <w:color w:val="000000" w:themeColor="text1"/>
          <w:szCs w:val="24"/>
        </w:rPr>
        <w:t>，由罐车拉运至赵家坝污水处理站处理达到</w:t>
      </w:r>
      <w:r w:rsidRPr="00092862">
        <w:rPr>
          <w:rFonts w:ascii="Times New Roman" w:hAnsi="Times New Roman"/>
          <w:bCs/>
          <w:color w:val="000000" w:themeColor="text1"/>
          <w:szCs w:val="24"/>
        </w:rPr>
        <w:lastRenderedPageBreak/>
        <w:t>《气田水回注方法》（</w:t>
      </w:r>
      <w:r w:rsidRPr="00092862">
        <w:rPr>
          <w:rFonts w:ascii="Times New Roman" w:hAnsi="Times New Roman"/>
          <w:bCs/>
          <w:color w:val="000000" w:themeColor="text1"/>
          <w:szCs w:val="24"/>
        </w:rPr>
        <w:t>SY/T 6596-2016</w:t>
      </w:r>
      <w:r w:rsidRPr="00092862">
        <w:rPr>
          <w:rFonts w:ascii="Times New Roman" w:hAnsi="Times New Roman"/>
          <w:bCs/>
          <w:color w:val="000000" w:themeColor="text1"/>
          <w:szCs w:val="24"/>
        </w:rPr>
        <w:t>）中注入水基本要求后管输至普光</w:t>
      </w:r>
      <w:r w:rsidRPr="00092862">
        <w:rPr>
          <w:rFonts w:ascii="Times New Roman" w:hAnsi="Times New Roman"/>
          <w:bCs/>
          <w:color w:val="000000" w:themeColor="text1"/>
          <w:szCs w:val="24"/>
        </w:rPr>
        <w:t>11</w:t>
      </w:r>
      <w:r w:rsidRPr="00092862">
        <w:rPr>
          <w:rFonts w:ascii="Times New Roman" w:hAnsi="Times New Roman"/>
          <w:bCs/>
          <w:color w:val="000000" w:themeColor="text1"/>
          <w:szCs w:val="24"/>
        </w:rPr>
        <w:t>井回注站回注；试采期</w:t>
      </w:r>
      <w:r w:rsidR="00271DF7" w:rsidRPr="00092862">
        <w:rPr>
          <w:rFonts w:ascii="Times New Roman" w:hAnsi="Times New Roman"/>
          <w:bCs/>
          <w:color w:val="000000" w:themeColor="text1"/>
          <w:szCs w:val="24"/>
        </w:rPr>
        <w:t>工作人员生活污水经站场化粪池处理后定期由密闭罐车拉运至周边生活污水处理厂处理</w:t>
      </w:r>
      <w:r w:rsidRPr="00092862">
        <w:rPr>
          <w:rFonts w:ascii="Times New Roman" w:hAnsi="Times New Roman"/>
          <w:bCs/>
          <w:color w:val="000000" w:themeColor="text1"/>
          <w:szCs w:val="24"/>
        </w:rPr>
        <w:t>。</w:t>
      </w:r>
    </w:p>
    <w:p w14:paraId="3CDA229C" w14:textId="77777777" w:rsidR="00273994" w:rsidRPr="00092862" w:rsidRDefault="00273994" w:rsidP="001B0600">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）废气</w:t>
      </w:r>
    </w:p>
    <w:p w14:paraId="176E92B7" w14:textId="7BF5EF3D" w:rsidR="00273994" w:rsidRPr="00092862" w:rsidRDefault="00273994" w:rsidP="001B0600">
      <w:pPr>
        <w:pStyle w:val="af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项目施工期间扬尘执行《四川省施工场地扬尘排放标准》（</w:t>
      </w:r>
      <w:r w:rsidRPr="00092862">
        <w:rPr>
          <w:rFonts w:ascii="Times New Roman" w:hAnsi="Times New Roman"/>
          <w:bCs/>
          <w:color w:val="000000" w:themeColor="text1"/>
          <w:szCs w:val="24"/>
        </w:rPr>
        <w:t>DB51/2682-2020</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2020</w:t>
      </w:r>
      <w:r w:rsidRPr="00092862">
        <w:rPr>
          <w:rFonts w:ascii="Times New Roman" w:hAnsi="Times New Roman"/>
          <w:bCs/>
          <w:color w:val="000000" w:themeColor="text1"/>
          <w:szCs w:val="24"/>
        </w:rPr>
        <w:t>年</w:t>
      </w:r>
      <w:r w:rsidRPr="00092862">
        <w:rPr>
          <w:rFonts w:ascii="Times New Roman" w:hAnsi="Times New Roman"/>
          <w:bCs/>
          <w:color w:val="000000" w:themeColor="text1"/>
          <w:szCs w:val="24"/>
        </w:rPr>
        <w:t>9</w:t>
      </w:r>
      <w:r w:rsidRPr="00092862">
        <w:rPr>
          <w:rFonts w:ascii="Times New Roman" w:hAnsi="Times New Roman"/>
          <w:bCs/>
          <w:color w:val="000000" w:themeColor="text1"/>
          <w:szCs w:val="24"/>
        </w:rPr>
        <w:t>月</w:t>
      </w:r>
      <w:r w:rsidRPr="00092862">
        <w:rPr>
          <w:rFonts w:ascii="Times New Roman" w:hAnsi="Times New Roman"/>
          <w:bCs/>
          <w:color w:val="000000" w:themeColor="text1"/>
          <w:szCs w:val="24"/>
        </w:rPr>
        <w:t>1</w:t>
      </w:r>
      <w:r w:rsidRPr="00092862">
        <w:rPr>
          <w:rFonts w:ascii="Times New Roman" w:hAnsi="Times New Roman"/>
          <w:bCs/>
          <w:color w:val="000000" w:themeColor="text1"/>
          <w:szCs w:val="24"/>
        </w:rPr>
        <w:t>日起）；钻井期间备用柴油机废气</w:t>
      </w:r>
      <w:r w:rsidR="00F95A48" w:rsidRPr="00F95A48">
        <w:rPr>
          <w:rFonts w:ascii="Times New Roman" w:hAnsi="Times New Roman"/>
          <w:bCs/>
          <w:color w:val="000000" w:themeColor="text1"/>
          <w:szCs w:val="24"/>
        </w:rPr>
        <w:t>执行《非道路移动机械用柴油机排气污染物排放限值及测量方法（中国第三、四阶段）》（</w:t>
      </w:r>
      <w:r w:rsidR="00F95A48" w:rsidRPr="00F95A48">
        <w:rPr>
          <w:rFonts w:ascii="Times New Roman" w:hAnsi="Times New Roman"/>
          <w:bCs/>
          <w:color w:val="000000" w:themeColor="text1"/>
          <w:szCs w:val="24"/>
        </w:rPr>
        <w:t>GB20891-2014</w:t>
      </w:r>
      <w:r w:rsidR="00F95A48" w:rsidRPr="00F95A48">
        <w:rPr>
          <w:rFonts w:ascii="Times New Roman" w:hAnsi="Times New Roman"/>
          <w:bCs/>
          <w:color w:val="000000" w:themeColor="text1"/>
          <w:szCs w:val="24"/>
        </w:rPr>
        <w:t>）表</w:t>
      </w:r>
      <w:r w:rsidR="00F95A48" w:rsidRPr="00F95A48">
        <w:rPr>
          <w:rFonts w:ascii="Times New Roman" w:hAnsi="Times New Roman"/>
          <w:bCs/>
          <w:color w:val="000000" w:themeColor="text1"/>
          <w:szCs w:val="24"/>
        </w:rPr>
        <w:t>2</w:t>
      </w:r>
      <w:r w:rsidR="00F95A48" w:rsidRPr="00F95A48">
        <w:rPr>
          <w:rFonts w:ascii="Times New Roman" w:hAnsi="Times New Roman"/>
          <w:bCs/>
          <w:color w:val="000000" w:themeColor="text1"/>
          <w:szCs w:val="24"/>
        </w:rPr>
        <w:t>规定的限值</w:t>
      </w:r>
      <w:r w:rsidR="00F95A48">
        <w:rPr>
          <w:rFonts w:ascii="Times New Roman" w:hAnsi="Times New Roman" w:hint="eastAsia"/>
          <w:bCs/>
          <w:color w:val="000000" w:themeColor="text1"/>
          <w:szCs w:val="24"/>
        </w:rPr>
        <w:t>，</w:t>
      </w:r>
      <w:r w:rsidRPr="00092862">
        <w:rPr>
          <w:rFonts w:ascii="Times New Roman" w:hAnsi="Times New Roman"/>
          <w:bCs/>
          <w:color w:val="000000" w:themeColor="text1"/>
          <w:szCs w:val="24"/>
        </w:rPr>
        <w:t>试采期间放散燃烧废气排放执行《大气污染物综合排放标准》</w:t>
      </w:r>
      <w:r w:rsidRPr="00092862">
        <w:rPr>
          <w:rFonts w:ascii="Times New Roman" w:hAnsi="Times New Roman"/>
          <w:bCs/>
          <w:color w:val="000000" w:themeColor="text1"/>
          <w:szCs w:val="24"/>
        </w:rPr>
        <w:t>(GB16297-1996)</w:t>
      </w:r>
      <w:r w:rsidRPr="00092862">
        <w:rPr>
          <w:rFonts w:ascii="Times New Roman" w:hAnsi="Times New Roman"/>
          <w:bCs/>
          <w:color w:val="000000" w:themeColor="text1"/>
          <w:szCs w:val="24"/>
        </w:rPr>
        <w:t>，试采期间水套加热炉废气排放执行《锅炉大气污染物排放标准》（</w:t>
      </w:r>
      <w:r w:rsidRPr="00092862">
        <w:rPr>
          <w:rFonts w:ascii="Times New Roman" w:hAnsi="Times New Roman"/>
          <w:bCs/>
          <w:color w:val="000000" w:themeColor="text1"/>
          <w:szCs w:val="24"/>
        </w:rPr>
        <w:t>GB13271-2014</w:t>
      </w:r>
      <w:r w:rsidRPr="00092862">
        <w:rPr>
          <w:rFonts w:ascii="Times New Roman" w:hAnsi="Times New Roman"/>
          <w:bCs/>
          <w:color w:val="000000" w:themeColor="text1"/>
          <w:szCs w:val="24"/>
        </w:rPr>
        <w:t>）；施工期和试采期挥发性有机物无组织排放执行《陆上石油天然气开采工业大气污染物排放标准》（</w:t>
      </w:r>
      <w:r w:rsidRPr="00092862">
        <w:rPr>
          <w:rFonts w:ascii="Times New Roman" w:hAnsi="Times New Roman"/>
          <w:bCs/>
          <w:color w:val="000000" w:themeColor="text1"/>
          <w:szCs w:val="24"/>
        </w:rPr>
        <w:t>GB39728-2020</w:t>
      </w:r>
      <w:r w:rsidRPr="00092862">
        <w:rPr>
          <w:rFonts w:ascii="Times New Roman" w:hAnsi="Times New Roman"/>
          <w:bCs/>
          <w:color w:val="000000" w:themeColor="text1"/>
          <w:szCs w:val="24"/>
        </w:rPr>
        <w:t>）。</w:t>
      </w:r>
    </w:p>
    <w:p w14:paraId="07FF3A5F" w14:textId="77777777" w:rsidR="00273994" w:rsidRPr="00092862" w:rsidRDefault="00273994"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2.5-7  </w:t>
      </w:r>
      <w:r w:rsidRPr="00092862">
        <w:rPr>
          <w:rFonts w:ascii="Times New Roman" w:eastAsia="黑体" w:hAnsi="Times New Roman"/>
          <w:color w:val="000000" w:themeColor="text1"/>
          <w:sz w:val="21"/>
          <w:szCs w:val="21"/>
          <w:lang w:eastAsia="zh-CN"/>
        </w:rPr>
        <w:t>四川省施工场地扬尘排放标准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2"/>
        <w:gridCol w:w="3020"/>
        <w:gridCol w:w="1666"/>
        <w:gridCol w:w="1389"/>
        <w:gridCol w:w="935"/>
      </w:tblGrid>
      <w:tr w:rsidR="00697429" w:rsidRPr="00092862" w14:paraId="0724FCE4" w14:textId="77777777" w:rsidTr="004F0878">
        <w:trPr>
          <w:jc w:val="center"/>
        </w:trPr>
        <w:tc>
          <w:tcPr>
            <w:tcW w:w="1235" w:type="dxa"/>
            <w:shd w:val="clear" w:color="auto" w:fill="auto"/>
            <w:vAlign w:val="center"/>
          </w:tcPr>
          <w:p w14:paraId="656EF15A" w14:textId="77777777" w:rsidR="00273994" w:rsidRPr="00092862" w:rsidRDefault="00273994" w:rsidP="004F0878">
            <w:pPr>
              <w:pStyle w:val="71"/>
              <w:widowControl w:val="0"/>
              <w:spacing w:line="240" w:lineRule="auto"/>
              <w:ind w:firstLineChars="0" w:firstLine="0"/>
              <w:rPr>
                <w:rFonts w:ascii="Times New Roman" w:hAnsi="Times New Roman"/>
                <w:b/>
                <w:bCs/>
                <w:color w:val="000000" w:themeColor="text1"/>
                <w:sz w:val="21"/>
                <w:szCs w:val="21"/>
              </w:rPr>
            </w:pPr>
            <w:r w:rsidRPr="00092862">
              <w:rPr>
                <w:rFonts w:ascii="Times New Roman" w:hAnsi="Times New Roman"/>
                <w:b/>
                <w:bCs/>
                <w:color w:val="000000" w:themeColor="text1"/>
                <w:sz w:val="21"/>
                <w:szCs w:val="21"/>
              </w:rPr>
              <w:t>监测项目</w:t>
            </w:r>
          </w:p>
        </w:tc>
        <w:tc>
          <w:tcPr>
            <w:tcW w:w="3087" w:type="dxa"/>
            <w:shd w:val="clear" w:color="auto" w:fill="auto"/>
            <w:vAlign w:val="center"/>
          </w:tcPr>
          <w:p w14:paraId="6C2DF54A" w14:textId="77777777" w:rsidR="00273994" w:rsidRPr="00092862" w:rsidRDefault="00273994" w:rsidP="004F0878">
            <w:pPr>
              <w:pStyle w:val="71"/>
              <w:widowControl w:val="0"/>
              <w:spacing w:line="240" w:lineRule="auto"/>
              <w:ind w:firstLineChars="0" w:firstLine="0"/>
              <w:rPr>
                <w:rFonts w:ascii="Times New Roman" w:hAnsi="Times New Roman"/>
                <w:b/>
                <w:bCs/>
                <w:color w:val="000000" w:themeColor="text1"/>
                <w:sz w:val="21"/>
                <w:szCs w:val="21"/>
              </w:rPr>
            </w:pPr>
            <w:r w:rsidRPr="00092862">
              <w:rPr>
                <w:rFonts w:ascii="Times New Roman" w:hAnsi="Times New Roman"/>
                <w:b/>
                <w:bCs/>
                <w:color w:val="000000" w:themeColor="text1"/>
                <w:sz w:val="21"/>
                <w:szCs w:val="21"/>
              </w:rPr>
              <w:t>区域</w:t>
            </w:r>
          </w:p>
        </w:tc>
        <w:tc>
          <w:tcPr>
            <w:tcW w:w="1701" w:type="dxa"/>
            <w:shd w:val="clear" w:color="auto" w:fill="auto"/>
            <w:vAlign w:val="center"/>
          </w:tcPr>
          <w:p w14:paraId="3A2811CB" w14:textId="77777777" w:rsidR="00273994" w:rsidRPr="00092862" w:rsidRDefault="00273994" w:rsidP="004F0878">
            <w:pPr>
              <w:pStyle w:val="71"/>
              <w:widowControl w:val="0"/>
              <w:spacing w:line="240" w:lineRule="auto"/>
              <w:ind w:firstLineChars="0" w:firstLine="0"/>
              <w:rPr>
                <w:rFonts w:ascii="Times New Roman" w:hAnsi="Times New Roman"/>
                <w:b/>
                <w:bCs/>
                <w:color w:val="000000" w:themeColor="text1"/>
                <w:sz w:val="21"/>
                <w:szCs w:val="21"/>
              </w:rPr>
            </w:pPr>
            <w:r w:rsidRPr="00092862">
              <w:rPr>
                <w:rFonts w:ascii="Times New Roman" w:hAnsi="Times New Roman"/>
                <w:b/>
                <w:bCs/>
                <w:color w:val="000000" w:themeColor="text1"/>
                <w:sz w:val="21"/>
                <w:szCs w:val="21"/>
              </w:rPr>
              <w:t>施工阶段</w:t>
            </w:r>
          </w:p>
        </w:tc>
        <w:tc>
          <w:tcPr>
            <w:tcW w:w="1417" w:type="dxa"/>
            <w:shd w:val="clear" w:color="auto" w:fill="auto"/>
            <w:vAlign w:val="center"/>
          </w:tcPr>
          <w:p w14:paraId="2E3F609B" w14:textId="77777777" w:rsidR="00273994" w:rsidRPr="00092862" w:rsidRDefault="00273994" w:rsidP="004F0878">
            <w:pPr>
              <w:pStyle w:val="71"/>
              <w:widowControl w:val="0"/>
              <w:spacing w:line="240" w:lineRule="auto"/>
              <w:ind w:firstLineChars="0" w:firstLine="0"/>
              <w:rPr>
                <w:rFonts w:ascii="Times New Roman" w:hAnsi="Times New Roman"/>
                <w:b/>
                <w:bCs/>
                <w:color w:val="000000" w:themeColor="text1"/>
                <w:sz w:val="21"/>
                <w:szCs w:val="21"/>
              </w:rPr>
            </w:pPr>
            <w:r w:rsidRPr="00092862">
              <w:rPr>
                <w:rFonts w:ascii="Times New Roman" w:hAnsi="Times New Roman"/>
                <w:b/>
                <w:bCs/>
                <w:color w:val="000000" w:themeColor="text1"/>
                <w:sz w:val="21"/>
                <w:szCs w:val="21"/>
              </w:rPr>
              <w:t>监测点排放限值（</w:t>
            </w:r>
            <w:r w:rsidRPr="00092862">
              <w:rPr>
                <w:rFonts w:ascii="Times New Roman" w:hAnsi="Times New Roman"/>
                <w:b/>
                <w:bCs/>
                <w:color w:val="000000" w:themeColor="text1"/>
                <w:sz w:val="21"/>
                <w:szCs w:val="21"/>
              </w:rPr>
              <w:t>μg/m</w:t>
            </w:r>
            <w:r w:rsidRPr="00092862">
              <w:rPr>
                <w:rFonts w:ascii="Times New Roman" w:hAnsi="Times New Roman"/>
                <w:b/>
                <w:bCs/>
                <w:color w:val="000000" w:themeColor="text1"/>
                <w:sz w:val="21"/>
                <w:szCs w:val="21"/>
                <w:vertAlign w:val="superscript"/>
              </w:rPr>
              <w:t>3</w:t>
            </w:r>
            <w:r w:rsidRPr="00092862">
              <w:rPr>
                <w:rFonts w:ascii="Times New Roman" w:hAnsi="Times New Roman"/>
                <w:b/>
                <w:bCs/>
                <w:color w:val="000000" w:themeColor="text1"/>
                <w:sz w:val="21"/>
                <w:szCs w:val="21"/>
              </w:rPr>
              <w:t>）</w:t>
            </w:r>
          </w:p>
        </w:tc>
        <w:tc>
          <w:tcPr>
            <w:tcW w:w="952" w:type="dxa"/>
            <w:shd w:val="clear" w:color="auto" w:fill="auto"/>
            <w:vAlign w:val="center"/>
          </w:tcPr>
          <w:p w14:paraId="5069D534" w14:textId="77777777" w:rsidR="00273994" w:rsidRPr="00092862" w:rsidRDefault="00273994" w:rsidP="004F0878">
            <w:pPr>
              <w:pStyle w:val="71"/>
              <w:widowControl w:val="0"/>
              <w:spacing w:line="240" w:lineRule="auto"/>
              <w:ind w:firstLineChars="0" w:firstLine="0"/>
              <w:rPr>
                <w:rFonts w:ascii="Times New Roman" w:hAnsi="Times New Roman"/>
                <w:b/>
                <w:bCs/>
                <w:color w:val="000000" w:themeColor="text1"/>
                <w:sz w:val="21"/>
                <w:szCs w:val="21"/>
              </w:rPr>
            </w:pPr>
            <w:r w:rsidRPr="00092862">
              <w:rPr>
                <w:rFonts w:ascii="Times New Roman" w:hAnsi="Times New Roman"/>
                <w:b/>
                <w:bCs/>
                <w:color w:val="000000" w:themeColor="text1"/>
                <w:sz w:val="21"/>
                <w:szCs w:val="21"/>
              </w:rPr>
              <w:t>监测时间</w:t>
            </w:r>
          </w:p>
        </w:tc>
      </w:tr>
      <w:tr w:rsidR="00697429" w:rsidRPr="00092862" w14:paraId="35AEF548" w14:textId="77777777" w:rsidTr="004F0878">
        <w:trPr>
          <w:jc w:val="center"/>
        </w:trPr>
        <w:tc>
          <w:tcPr>
            <w:tcW w:w="1235" w:type="dxa"/>
            <w:vMerge w:val="restart"/>
            <w:shd w:val="clear" w:color="auto" w:fill="auto"/>
            <w:vAlign w:val="center"/>
          </w:tcPr>
          <w:p w14:paraId="310677DE"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总悬浮颗粒物（</w:t>
            </w:r>
            <w:r w:rsidRPr="00092862">
              <w:rPr>
                <w:rFonts w:ascii="Times New Roman" w:hAnsi="Times New Roman"/>
                <w:color w:val="000000" w:themeColor="text1"/>
                <w:sz w:val="21"/>
                <w:szCs w:val="21"/>
              </w:rPr>
              <w:t>TSP</w:t>
            </w:r>
            <w:r w:rsidRPr="00092862">
              <w:rPr>
                <w:rFonts w:ascii="Times New Roman" w:hAnsi="Times New Roman"/>
                <w:color w:val="000000" w:themeColor="text1"/>
                <w:sz w:val="21"/>
                <w:szCs w:val="21"/>
              </w:rPr>
              <w:t>）</w:t>
            </w:r>
          </w:p>
        </w:tc>
        <w:tc>
          <w:tcPr>
            <w:tcW w:w="3087" w:type="dxa"/>
            <w:vMerge w:val="restart"/>
            <w:shd w:val="clear" w:color="auto" w:fill="auto"/>
            <w:vAlign w:val="center"/>
          </w:tcPr>
          <w:p w14:paraId="60314C99"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成都市、自贡市、泸州市、德阳市、绵阳市、广元市、遂宁市、内江市、乐山市、南充市、宜宾市、广安市、</w:t>
            </w:r>
            <w:r w:rsidRPr="00092862">
              <w:rPr>
                <w:rFonts w:ascii="Times New Roman" w:hAnsi="Times New Roman"/>
                <w:b/>
                <w:bCs/>
                <w:color w:val="000000" w:themeColor="text1"/>
                <w:sz w:val="21"/>
                <w:szCs w:val="21"/>
              </w:rPr>
              <w:t>达州市</w:t>
            </w:r>
            <w:r w:rsidRPr="00092862">
              <w:rPr>
                <w:rFonts w:ascii="Times New Roman" w:hAnsi="Times New Roman"/>
                <w:color w:val="000000" w:themeColor="text1"/>
                <w:sz w:val="21"/>
                <w:szCs w:val="21"/>
              </w:rPr>
              <w:t>、巴中市、雅安市、眉山市、资阳市</w:t>
            </w:r>
          </w:p>
        </w:tc>
        <w:tc>
          <w:tcPr>
            <w:tcW w:w="1701" w:type="dxa"/>
            <w:shd w:val="clear" w:color="auto" w:fill="auto"/>
            <w:vAlign w:val="center"/>
          </w:tcPr>
          <w:p w14:paraId="5E547853"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拆除工程</w:t>
            </w:r>
            <w:r w:rsidRPr="00092862">
              <w:rPr>
                <w:rFonts w:ascii="Times New Roman" w:hAnsi="Times New Roman"/>
                <w:color w:val="000000" w:themeColor="text1"/>
                <w:sz w:val="21"/>
                <w:szCs w:val="21"/>
              </w:rPr>
              <w:t>/</w:t>
            </w:r>
            <w:r w:rsidRPr="00092862">
              <w:rPr>
                <w:rFonts w:ascii="Times New Roman" w:hAnsi="Times New Roman"/>
                <w:color w:val="000000" w:themeColor="text1"/>
                <w:sz w:val="21"/>
                <w:szCs w:val="21"/>
              </w:rPr>
              <w:t>土方开挖</w:t>
            </w:r>
            <w:r w:rsidRPr="00092862">
              <w:rPr>
                <w:rFonts w:ascii="Times New Roman" w:hAnsi="Times New Roman"/>
                <w:color w:val="000000" w:themeColor="text1"/>
                <w:sz w:val="21"/>
                <w:szCs w:val="21"/>
              </w:rPr>
              <w:t>/</w:t>
            </w:r>
            <w:r w:rsidRPr="00092862">
              <w:rPr>
                <w:rFonts w:ascii="Times New Roman" w:hAnsi="Times New Roman"/>
                <w:color w:val="000000" w:themeColor="text1"/>
                <w:sz w:val="21"/>
                <w:szCs w:val="21"/>
              </w:rPr>
              <w:t>土方回填阶段</w:t>
            </w:r>
          </w:p>
        </w:tc>
        <w:tc>
          <w:tcPr>
            <w:tcW w:w="1417" w:type="dxa"/>
            <w:shd w:val="clear" w:color="auto" w:fill="auto"/>
            <w:vAlign w:val="center"/>
          </w:tcPr>
          <w:p w14:paraId="6998F3D2"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600</w:t>
            </w:r>
          </w:p>
        </w:tc>
        <w:tc>
          <w:tcPr>
            <w:tcW w:w="952" w:type="dxa"/>
            <w:vMerge w:val="restart"/>
            <w:shd w:val="clear" w:color="auto" w:fill="auto"/>
            <w:vAlign w:val="center"/>
          </w:tcPr>
          <w:p w14:paraId="2BCEC02B"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自监测起持续</w:t>
            </w:r>
            <w:r w:rsidRPr="00092862">
              <w:rPr>
                <w:rFonts w:ascii="Times New Roman" w:hAnsi="Times New Roman"/>
                <w:color w:val="000000" w:themeColor="text1"/>
                <w:sz w:val="21"/>
                <w:szCs w:val="21"/>
              </w:rPr>
              <w:t>15</w:t>
            </w:r>
            <w:r w:rsidRPr="00092862">
              <w:rPr>
                <w:rFonts w:ascii="Times New Roman" w:hAnsi="Times New Roman"/>
                <w:color w:val="000000" w:themeColor="text1"/>
                <w:sz w:val="21"/>
                <w:szCs w:val="21"/>
              </w:rPr>
              <w:t>分钟</w:t>
            </w:r>
          </w:p>
        </w:tc>
      </w:tr>
      <w:tr w:rsidR="00697429" w:rsidRPr="00092862" w14:paraId="4F8AD933" w14:textId="77777777" w:rsidTr="004F0878">
        <w:trPr>
          <w:jc w:val="center"/>
        </w:trPr>
        <w:tc>
          <w:tcPr>
            <w:tcW w:w="1235" w:type="dxa"/>
            <w:vMerge/>
            <w:shd w:val="clear" w:color="auto" w:fill="auto"/>
            <w:vAlign w:val="center"/>
          </w:tcPr>
          <w:p w14:paraId="1404A5D3"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p>
        </w:tc>
        <w:tc>
          <w:tcPr>
            <w:tcW w:w="3087" w:type="dxa"/>
            <w:vMerge/>
            <w:shd w:val="clear" w:color="auto" w:fill="auto"/>
            <w:vAlign w:val="center"/>
          </w:tcPr>
          <w:p w14:paraId="115A3AE4"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p>
        </w:tc>
        <w:tc>
          <w:tcPr>
            <w:tcW w:w="1701" w:type="dxa"/>
            <w:shd w:val="clear" w:color="auto" w:fill="auto"/>
            <w:vAlign w:val="center"/>
          </w:tcPr>
          <w:p w14:paraId="4D91E8E3"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其他工程阶段</w:t>
            </w:r>
          </w:p>
        </w:tc>
        <w:tc>
          <w:tcPr>
            <w:tcW w:w="1417" w:type="dxa"/>
            <w:shd w:val="clear" w:color="auto" w:fill="auto"/>
            <w:vAlign w:val="center"/>
          </w:tcPr>
          <w:p w14:paraId="71A01ECF"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r w:rsidRPr="00092862">
              <w:rPr>
                <w:rFonts w:ascii="Times New Roman" w:hAnsi="Times New Roman"/>
                <w:color w:val="000000" w:themeColor="text1"/>
                <w:sz w:val="21"/>
                <w:szCs w:val="21"/>
              </w:rPr>
              <w:t>250</w:t>
            </w:r>
          </w:p>
        </w:tc>
        <w:tc>
          <w:tcPr>
            <w:tcW w:w="952" w:type="dxa"/>
            <w:vMerge/>
            <w:shd w:val="clear" w:color="auto" w:fill="auto"/>
            <w:vAlign w:val="center"/>
          </w:tcPr>
          <w:p w14:paraId="26CADCF1" w14:textId="77777777" w:rsidR="00273994" w:rsidRPr="00092862" w:rsidRDefault="00273994" w:rsidP="004F0878">
            <w:pPr>
              <w:pStyle w:val="71"/>
              <w:widowControl w:val="0"/>
              <w:spacing w:line="240" w:lineRule="auto"/>
              <w:ind w:firstLineChars="0" w:firstLine="0"/>
              <w:rPr>
                <w:rFonts w:ascii="Times New Roman" w:hAnsi="Times New Roman"/>
                <w:color w:val="000000" w:themeColor="text1"/>
                <w:sz w:val="21"/>
                <w:szCs w:val="21"/>
              </w:rPr>
            </w:pPr>
          </w:p>
        </w:tc>
      </w:tr>
    </w:tbl>
    <w:p w14:paraId="1CBB5697" w14:textId="77777777" w:rsidR="00273994" w:rsidRPr="00092862" w:rsidRDefault="00273994"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2.5-8  </w:t>
      </w:r>
      <w:r w:rsidRPr="00092862">
        <w:rPr>
          <w:rFonts w:ascii="Times New Roman" w:eastAsia="黑体" w:hAnsi="Times New Roman"/>
          <w:color w:val="000000" w:themeColor="text1"/>
          <w:sz w:val="21"/>
          <w:szCs w:val="21"/>
          <w:lang w:eastAsia="zh-CN"/>
        </w:rPr>
        <w:t>大气污染物综合排放标准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525"/>
        <w:gridCol w:w="1337"/>
        <w:gridCol w:w="1638"/>
        <w:gridCol w:w="3055"/>
      </w:tblGrid>
      <w:tr w:rsidR="00697429" w:rsidRPr="00092862" w14:paraId="123292E3" w14:textId="77777777" w:rsidTr="005674B0">
        <w:trPr>
          <w:cantSplit/>
          <w:jc w:val="center"/>
        </w:trPr>
        <w:tc>
          <w:tcPr>
            <w:tcW w:w="447" w:type="pct"/>
            <w:vAlign w:val="center"/>
          </w:tcPr>
          <w:p w14:paraId="59F5A942" w14:textId="77777777" w:rsidR="00273994" w:rsidRPr="00092862" w:rsidRDefault="00273994" w:rsidP="004F0878">
            <w:pPr>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污染物</w:t>
            </w:r>
          </w:p>
        </w:tc>
        <w:tc>
          <w:tcPr>
            <w:tcW w:w="919" w:type="pct"/>
            <w:vAlign w:val="center"/>
          </w:tcPr>
          <w:p w14:paraId="406B30FA" w14:textId="77777777" w:rsidR="00273994" w:rsidRPr="00092862" w:rsidRDefault="00273994" w:rsidP="004F0878">
            <w:pPr>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最高允许排放浓度（</w:t>
            </w:r>
            <w:r w:rsidRPr="00092862">
              <w:rPr>
                <w:rFonts w:ascii="Times New Roman" w:eastAsia="宋体" w:hAnsi="Times New Roman" w:cs="Times New Roman"/>
                <w:b/>
                <w:bCs/>
                <w:color w:val="000000" w:themeColor="text1"/>
                <w:szCs w:val="21"/>
              </w:rPr>
              <w:t>mg/m</w:t>
            </w:r>
            <w:r w:rsidRPr="00092862">
              <w:rPr>
                <w:rFonts w:ascii="Times New Roman" w:eastAsia="宋体" w:hAnsi="Times New Roman" w:cs="Times New Roman"/>
                <w:b/>
                <w:bCs/>
                <w:color w:val="000000" w:themeColor="text1"/>
                <w:szCs w:val="21"/>
                <w:vertAlign w:val="superscript"/>
              </w:rPr>
              <w:t>3</w:t>
            </w:r>
            <w:r w:rsidRPr="00092862">
              <w:rPr>
                <w:rFonts w:ascii="Times New Roman" w:eastAsia="宋体" w:hAnsi="Times New Roman" w:cs="Times New Roman"/>
                <w:b/>
                <w:bCs/>
                <w:color w:val="000000" w:themeColor="text1"/>
                <w:szCs w:val="21"/>
              </w:rPr>
              <w:t>）</w:t>
            </w:r>
          </w:p>
        </w:tc>
        <w:tc>
          <w:tcPr>
            <w:tcW w:w="806" w:type="pct"/>
            <w:vAlign w:val="center"/>
          </w:tcPr>
          <w:p w14:paraId="6B42C527" w14:textId="77777777" w:rsidR="00273994" w:rsidRPr="00092862" w:rsidRDefault="00273994" w:rsidP="004F0878">
            <w:pPr>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最高允许排放速率（</w:t>
            </w:r>
            <w:r w:rsidRPr="00092862">
              <w:rPr>
                <w:rFonts w:ascii="Times New Roman" w:eastAsia="宋体" w:hAnsi="Times New Roman" w:cs="Times New Roman"/>
                <w:b/>
                <w:bCs/>
                <w:color w:val="000000" w:themeColor="text1"/>
                <w:szCs w:val="21"/>
              </w:rPr>
              <w:t>kg/h</w:t>
            </w:r>
            <w:r w:rsidRPr="00092862">
              <w:rPr>
                <w:rFonts w:ascii="Times New Roman" w:eastAsia="宋体" w:hAnsi="Times New Roman" w:cs="Times New Roman"/>
                <w:b/>
                <w:bCs/>
                <w:color w:val="000000" w:themeColor="text1"/>
                <w:szCs w:val="21"/>
              </w:rPr>
              <w:t>）</w:t>
            </w:r>
          </w:p>
        </w:tc>
        <w:tc>
          <w:tcPr>
            <w:tcW w:w="987" w:type="pct"/>
            <w:vAlign w:val="center"/>
          </w:tcPr>
          <w:p w14:paraId="7B925D4E" w14:textId="77777777" w:rsidR="00273994" w:rsidRPr="00092862" w:rsidRDefault="00273994" w:rsidP="004F0878">
            <w:pPr>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无组织排放监控浓度限值（</w:t>
            </w:r>
            <w:r w:rsidRPr="00092862">
              <w:rPr>
                <w:rFonts w:ascii="Times New Roman" w:eastAsia="宋体" w:hAnsi="Times New Roman" w:cs="Times New Roman"/>
                <w:b/>
                <w:bCs/>
                <w:color w:val="000000" w:themeColor="text1"/>
                <w:szCs w:val="21"/>
              </w:rPr>
              <w:t>mg/m</w:t>
            </w:r>
            <w:r w:rsidRPr="00092862">
              <w:rPr>
                <w:rFonts w:ascii="Times New Roman" w:eastAsia="宋体" w:hAnsi="Times New Roman" w:cs="Times New Roman"/>
                <w:b/>
                <w:bCs/>
                <w:color w:val="000000" w:themeColor="text1"/>
                <w:szCs w:val="21"/>
                <w:vertAlign w:val="superscript"/>
              </w:rPr>
              <w:t>3</w:t>
            </w:r>
            <w:r w:rsidRPr="00092862">
              <w:rPr>
                <w:rFonts w:ascii="Times New Roman" w:eastAsia="宋体" w:hAnsi="Times New Roman" w:cs="Times New Roman"/>
                <w:b/>
                <w:bCs/>
                <w:color w:val="000000" w:themeColor="text1"/>
                <w:szCs w:val="21"/>
              </w:rPr>
              <w:t>）</w:t>
            </w:r>
          </w:p>
        </w:tc>
        <w:tc>
          <w:tcPr>
            <w:tcW w:w="1842" w:type="pct"/>
            <w:vAlign w:val="center"/>
          </w:tcPr>
          <w:p w14:paraId="39126828" w14:textId="77777777" w:rsidR="00273994" w:rsidRPr="00092862" w:rsidRDefault="00273994" w:rsidP="004F0878">
            <w:pPr>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备注</w:t>
            </w:r>
          </w:p>
        </w:tc>
      </w:tr>
      <w:tr w:rsidR="00697429" w:rsidRPr="00092862" w14:paraId="0FD5C5B9" w14:textId="77777777" w:rsidTr="005674B0">
        <w:trPr>
          <w:cantSplit/>
          <w:jc w:val="center"/>
        </w:trPr>
        <w:tc>
          <w:tcPr>
            <w:tcW w:w="447" w:type="pct"/>
            <w:vAlign w:val="center"/>
          </w:tcPr>
          <w:p w14:paraId="3939C577"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*SO</w:t>
            </w:r>
            <w:r w:rsidRPr="00092862">
              <w:rPr>
                <w:rFonts w:ascii="Times New Roman" w:eastAsia="宋体" w:hAnsi="Times New Roman" w:cs="Times New Roman"/>
                <w:color w:val="000000" w:themeColor="text1"/>
                <w:szCs w:val="21"/>
                <w:vertAlign w:val="subscript"/>
              </w:rPr>
              <w:t>2</w:t>
            </w:r>
          </w:p>
        </w:tc>
        <w:tc>
          <w:tcPr>
            <w:tcW w:w="919" w:type="pct"/>
            <w:vAlign w:val="center"/>
          </w:tcPr>
          <w:p w14:paraId="78592624"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550</w:t>
            </w:r>
          </w:p>
        </w:tc>
        <w:tc>
          <w:tcPr>
            <w:tcW w:w="806" w:type="pct"/>
            <w:vAlign w:val="center"/>
          </w:tcPr>
          <w:p w14:paraId="0F1930F6"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87" w:type="pct"/>
            <w:vAlign w:val="center"/>
          </w:tcPr>
          <w:p w14:paraId="547806D6"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0.40</w:t>
            </w:r>
          </w:p>
        </w:tc>
        <w:tc>
          <w:tcPr>
            <w:tcW w:w="1842" w:type="pct"/>
            <w:vMerge w:val="restart"/>
            <w:vAlign w:val="center"/>
          </w:tcPr>
          <w:p w14:paraId="1BAB25CC"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根据</w:t>
            </w:r>
            <w:r w:rsidRPr="00092862">
              <w:rPr>
                <w:rFonts w:ascii="Times New Roman" w:eastAsia="宋体" w:hAnsi="Times New Roman" w:cs="Times New Roman"/>
                <w:color w:val="000000" w:themeColor="text1"/>
                <w:szCs w:val="21"/>
              </w:rPr>
              <w:t>2017.1.12</w:t>
            </w:r>
            <w:r w:rsidRPr="00092862">
              <w:rPr>
                <w:rFonts w:ascii="Times New Roman" w:eastAsia="宋体" w:hAnsi="Times New Roman" w:cs="Times New Roman"/>
                <w:color w:val="000000" w:themeColor="text1"/>
                <w:szCs w:val="21"/>
              </w:rPr>
              <w:t>环保部长《关于</w:t>
            </w:r>
            <w:r w:rsidRPr="00092862">
              <w:rPr>
                <w:rFonts w:ascii="Times New Roman" w:eastAsia="宋体" w:hAnsi="Times New Roman" w:cs="Times New Roman"/>
                <w:color w:val="000000" w:themeColor="text1"/>
                <w:szCs w:val="21"/>
              </w:rPr>
              <w:t xml:space="preserve">GB16297-1996 </w:t>
            </w:r>
            <w:r w:rsidRPr="00092862">
              <w:rPr>
                <w:rFonts w:ascii="Times New Roman" w:eastAsia="宋体" w:hAnsi="Times New Roman" w:cs="Times New Roman"/>
                <w:color w:val="000000" w:themeColor="text1"/>
                <w:szCs w:val="21"/>
              </w:rPr>
              <w:t>的适用范围的回复》，对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bCs/>
                <w:color w:val="000000" w:themeColor="text1"/>
                <w:szCs w:val="21"/>
              </w:rPr>
              <w:t>固定式柴油发电机排气筒高度和排放速率暂不作要求</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r>
      <w:tr w:rsidR="00697429" w:rsidRPr="00092862" w14:paraId="5E595C18" w14:textId="77777777" w:rsidTr="005674B0">
        <w:trPr>
          <w:cantSplit/>
          <w:jc w:val="center"/>
        </w:trPr>
        <w:tc>
          <w:tcPr>
            <w:tcW w:w="447" w:type="pct"/>
            <w:vAlign w:val="center"/>
          </w:tcPr>
          <w:p w14:paraId="170F100B"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*NO</w:t>
            </w:r>
            <w:r w:rsidRPr="00092862">
              <w:rPr>
                <w:rFonts w:ascii="Times New Roman" w:eastAsia="宋体" w:hAnsi="Times New Roman" w:cs="Times New Roman"/>
                <w:color w:val="000000" w:themeColor="text1"/>
                <w:szCs w:val="21"/>
                <w:vertAlign w:val="subscript"/>
              </w:rPr>
              <w:t>x</w:t>
            </w:r>
          </w:p>
        </w:tc>
        <w:tc>
          <w:tcPr>
            <w:tcW w:w="919" w:type="pct"/>
            <w:vAlign w:val="center"/>
          </w:tcPr>
          <w:p w14:paraId="37E73490"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240</w:t>
            </w:r>
          </w:p>
        </w:tc>
        <w:tc>
          <w:tcPr>
            <w:tcW w:w="806" w:type="pct"/>
            <w:vAlign w:val="center"/>
          </w:tcPr>
          <w:p w14:paraId="3BD8457D"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87" w:type="pct"/>
            <w:vAlign w:val="center"/>
          </w:tcPr>
          <w:p w14:paraId="72EEA9B1"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0.12</w:t>
            </w:r>
          </w:p>
        </w:tc>
        <w:tc>
          <w:tcPr>
            <w:tcW w:w="1842" w:type="pct"/>
            <w:vMerge/>
            <w:vAlign w:val="center"/>
          </w:tcPr>
          <w:p w14:paraId="48F0F0F9" w14:textId="77777777" w:rsidR="00273994" w:rsidRPr="00092862" w:rsidRDefault="00273994" w:rsidP="004F0878">
            <w:pPr>
              <w:snapToGrid w:val="0"/>
              <w:jc w:val="center"/>
              <w:rPr>
                <w:rFonts w:ascii="Times New Roman" w:eastAsia="宋体" w:hAnsi="Times New Roman" w:cs="Times New Roman"/>
                <w:color w:val="000000" w:themeColor="text1"/>
                <w:szCs w:val="21"/>
              </w:rPr>
            </w:pPr>
          </w:p>
        </w:tc>
      </w:tr>
      <w:tr w:rsidR="00697429" w:rsidRPr="00092862" w14:paraId="7F589D5F" w14:textId="77777777" w:rsidTr="005674B0">
        <w:trPr>
          <w:cantSplit/>
          <w:jc w:val="center"/>
        </w:trPr>
        <w:tc>
          <w:tcPr>
            <w:tcW w:w="447" w:type="pct"/>
            <w:vAlign w:val="center"/>
          </w:tcPr>
          <w:p w14:paraId="252EE42E"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颗粒物</w:t>
            </w:r>
          </w:p>
        </w:tc>
        <w:tc>
          <w:tcPr>
            <w:tcW w:w="919" w:type="pct"/>
            <w:vAlign w:val="center"/>
          </w:tcPr>
          <w:p w14:paraId="12F47BED"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120</w:t>
            </w:r>
          </w:p>
        </w:tc>
        <w:tc>
          <w:tcPr>
            <w:tcW w:w="806" w:type="pct"/>
            <w:vAlign w:val="center"/>
          </w:tcPr>
          <w:p w14:paraId="4842E3F3"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87" w:type="pct"/>
            <w:vAlign w:val="center"/>
          </w:tcPr>
          <w:p w14:paraId="492FCB9A" w14:textId="77777777" w:rsidR="00273994" w:rsidRPr="00092862" w:rsidRDefault="00273994" w:rsidP="004F0878">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1842" w:type="pct"/>
            <w:vMerge/>
            <w:vAlign w:val="center"/>
          </w:tcPr>
          <w:p w14:paraId="49A2A31E" w14:textId="77777777" w:rsidR="00273994" w:rsidRPr="00092862" w:rsidRDefault="00273994" w:rsidP="004F0878">
            <w:pPr>
              <w:snapToGrid w:val="0"/>
              <w:jc w:val="center"/>
              <w:rPr>
                <w:rFonts w:ascii="Times New Roman" w:eastAsia="宋体" w:hAnsi="Times New Roman" w:cs="Times New Roman"/>
                <w:color w:val="000000" w:themeColor="text1"/>
                <w:szCs w:val="21"/>
              </w:rPr>
            </w:pPr>
          </w:p>
        </w:tc>
      </w:tr>
      <w:tr w:rsidR="00697429" w:rsidRPr="00092862" w14:paraId="5A343DD0" w14:textId="77777777" w:rsidTr="005674B0">
        <w:trPr>
          <w:cantSplit/>
          <w:jc w:val="center"/>
        </w:trPr>
        <w:tc>
          <w:tcPr>
            <w:tcW w:w="447" w:type="pct"/>
            <w:vAlign w:val="center"/>
          </w:tcPr>
          <w:p w14:paraId="059A3FCC"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SO</w:t>
            </w:r>
            <w:r w:rsidRPr="00092862">
              <w:rPr>
                <w:rFonts w:ascii="Times New Roman" w:eastAsia="宋体" w:hAnsi="Times New Roman" w:cs="Times New Roman"/>
                <w:color w:val="000000" w:themeColor="text1"/>
                <w:szCs w:val="21"/>
                <w:vertAlign w:val="subscript"/>
              </w:rPr>
              <w:t>2</w:t>
            </w:r>
          </w:p>
        </w:tc>
        <w:tc>
          <w:tcPr>
            <w:tcW w:w="919" w:type="pct"/>
            <w:vAlign w:val="center"/>
          </w:tcPr>
          <w:p w14:paraId="098E395F"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550</w:t>
            </w:r>
          </w:p>
        </w:tc>
        <w:tc>
          <w:tcPr>
            <w:tcW w:w="806" w:type="pct"/>
            <w:vAlign w:val="center"/>
          </w:tcPr>
          <w:p w14:paraId="303BB732" w14:textId="124D4C3E" w:rsidR="00273994" w:rsidRPr="00092862" w:rsidRDefault="00E70139"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17</w:t>
            </w:r>
            <w:r w:rsidR="00273994" w:rsidRPr="00092862">
              <w:rPr>
                <w:rFonts w:ascii="Times New Roman" w:eastAsia="宋体" w:hAnsi="Times New Roman" w:cs="Times New Roman"/>
                <w:color w:val="000000" w:themeColor="text1"/>
                <w:szCs w:val="21"/>
              </w:rPr>
              <w:t>0</w:t>
            </w:r>
          </w:p>
        </w:tc>
        <w:tc>
          <w:tcPr>
            <w:tcW w:w="987" w:type="pct"/>
            <w:vAlign w:val="center"/>
          </w:tcPr>
          <w:p w14:paraId="7DEFD027"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0.40</w:t>
            </w:r>
          </w:p>
        </w:tc>
        <w:tc>
          <w:tcPr>
            <w:tcW w:w="1842" w:type="pct"/>
            <w:vMerge w:val="restart"/>
            <w:vAlign w:val="center"/>
          </w:tcPr>
          <w:p w14:paraId="741163F2" w14:textId="7C41B063" w:rsidR="00273994" w:rsidRPr="00092862" w:rsidRDefault="00E70139"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排放高度</w:t>
            </w:r>
            <w:r w:rsidRPr="00092862">
              <w:rPr>
                <w:rFonts w:ascii="Times New Roman" w:eastAsia="宋体" w:hAnsi="Times New Roman" w:cs="Times New Roman"/>
                <w:color w:val="000000" w:themeColor="text1"/>
                <w:szCs w:val="21"/>
              </w:rPr>
              <w:t>100m</w:t>
            </w:r>
          </w:p>
        </w:tc>
      </w:tr>
      <w:tr w:rsidR="00697429" w:rsidRPr="00092862" w14:paraId="0F25C07B" w14:textId="77777777" w:rsidTr="005674B0">
        <w:trPr>
          <w:cantSplit/>
          <w:jc w:val="center"/>
        </w:trPr>
        <w:tc>
          <w:tcPr>
            <w:tcW w:w="447" w:type="pct"/>
            <w:vAlign w:val="center"/>
          </w:tcPr>
          <w:p w14:paraId="21343AFE"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NO</w:t>
            </w:r>
            <w:r w:rsidRPr="00092862">
              <w:rPr>
                <w:rFonts w:ascii="Times New Roman" w:eastAsia="宋体" w:hAnsi="Times New Roman" w:cs="Times New Roman"/>
                <w:color w:val="000000" w:themeColor="text1"/>
                <w:szCs w:val="21"/>
                <w:vertAlign w:val="subscript"/>
              </w:rPr>
              <w:t>x</w:t>
            </w:r>
          </w:p>
        </w:tc>
        <w:tc>
          <w:tcPr>
            <w:tcW w:w="919" w:type="pct"/>
            <w:vAlign w:val="center"/>
          </w:tcPr>
          <w:p w14:paraId="6BC7E15C"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240</w:t>
            </w:r>
          </w:p>
        </w:tc>
        <w:tc>
          <w:tcPr>
            <w:tcW w:w="806" w:type="pct"/>
            <w:vAlign w:val="center"/>
          </w:tcPr>
          <w:p w14:paraId="6E1D8460" w14:textId="0A035F92" w:rsidR="00273994" w:rsidRPr="00092862" w:rsidRDefault="00E70139"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w:t>
            </w:r>
          </w:p>
        </w:tc>
        <w:tc>
          <w:tcPr>
            <w:tcW w:w="987" w:type="pct"/>
            <w:vAlign w:val="center"/>
          </w:tcPr>
          <w:p w14:paraId="7D6C3DC0"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0.12</w:t>
            </w:r>
          </w:p>
        </w:tc>
        <w:tc>
          <w:tcPr>
            <w:tcW w:w="1842" w:type="pct"/>
            <w:vMerge/>
            <w:vAlign w:val="center"/>
          </w:tcPr>
          <w:p w14:paraId="3C89D7BA" w14:textId="77777777" w:rsidR="00273994" w:rsidRPr="00092862" w:rsidRDefault="00273994" w:rsidP="005674B0">
            <w:pPr>
              <w:snapToGrid w:val="0"/>
              <w:jc w:val="center"/>
              <w:rPr>
                <w:rFonts w:ascii="Times New Roman" w:eastAsia="宋体" w:hAnsi="Times New Roman" w:cs="Times New Roman"/>
                <w:color w:val="000000" w:themeColor="text1"/>
                <w:szCs w:val="21"/>
              </w:rPr>
            </w:pPr>
          </w:p>
        </w:tc>
      </w:tr>
      <w:tr w:rsidR="00697429" w:rsidRPr="00092862" w14:paraId="06176D6B" w14:textId="77777777" w:rsidTr="005674B0">
        <w:trPr>
          <w:cantSplit/>
          <w:jc w:val="center"/>
        </w:trPr>
        <w:tc>
          <w:tcPr>
            <w:tcW w:w="447" w:type="pct"/>
            <w:vAlign w:val="center"/>
          </w:tcPr>
          <w:p w14:paraId="3655F438"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颗粒物</w:t>
            </w:r>
          </w:p>
        </w:tc>
        <w:tc>
          <w:tcPr>
            <w:tcW w:w="919" w:type="pct"/>
            <w:vAlign w:val="center"/>
          </w:tcPr>
          <w:p w14:paraId="1A86D167"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120</w:t>
            </w:r>
          </w:p>
        </w:tc>
        <w:tc>
          <w:tcPr>
            <w:tcW w:w="806" w:type="pct"/>
            <w:vAlign w:val="center"/>
          </w:tcPr>
          <w:p w14:paraId="411C13B7" w14:textId="7DB7593B" w:rsidR="00273994" w:rsidRPr="00092862" w:rsidRDefault="00E70139"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236</w:t>
            </w:r>
          </w:p>
        </w:tc>
        <w:tc>
          <w:tcPr>
            <w:tcW w:w="987" w:type="pct"/>
            <w:vAlign w:val="center"/>
          </w:tcPr>
          <w:p w14:paraId="6D2D2F44" w14:textId="77777777" w:rsidR="00273994" w:rsidRPr="00092862" w:rsidRDefault="00273994" w:rsidP="005674B0">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1842" w:type="pct"/>
            <w:vMerge/>
            <w:vAlign w:val="center"/>
          </w:tcPr>
          <w:p w14:paraId="797B3118" w14:textId="77777777" w:rsidR="00273994" w:rsidRPr="00092862" w:rsidRDefault="00273994" w:rsidP="005674B0">
            <w:pPr>
              <w:snapToGrid w:val="0"/>
              <w:jc w:val="center"/>
              <w:rPr>
                <w:rFonts w:ascii="Times New Roman" w:eastAsia="宋体" w:hAnsi="Times New Roman" w:cs="Times New Roman"/>
                <w:color w:val="000000" w:themeColor="text1"/>
                <w:szCs w:val="21"/>
              </w:rPr>
            </w:pPr>
          </w:p>
        </w:tc>
      </w:tr>
    </w:tbl>
    <w:p w14:paraId="4BCD538C" w14:textId="77777777" w:rsidR="00273994" w:rsidRPr="00092862" w:rsidRDefault="00273994"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2.5-9  </w:t>
      </w:r>
      <w:r w:rsidRPr="00092862">
        <w:rPr>
          <w:rFonts w:ascii="Times New Roman" w:eastAsia="黑体" w:hAnsi="Times New Roman"/>
          <w:color w:val="000000" w:themeColor="text1"/>
          <w:sz w:val="21"/>
          <w:szCs w:val="21"/>
          <w:lang w:eastAsia="zh-CN"/>
        </w:rPr>
        <w:t>锅炉大气污染物排放标准</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mg/m</w:t>
      </w:r>
      <w:r w:rsidRPr="00092862">
        <w:rPr>
          <w:rFonts w:ascii="Times New Roman" w:eastAsia="黑体" w:hAnsi="Times New Roman"/>
          <w:color w:val="000000" w:themeColor="text1"/>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463"/>
        <w:gridCol w:w="3416"/>
        <w:gridCol w:w="1417"/>
      </w:tblGrid>
      <w:tr w:rsidR="00697429" w:rsidRPr="00092862" w14:paraId="30D99A81" w14:textId="77777777" w:rsidTr="00853A0F">
        <w:trPr>
          <w:jc w:val="center"/>
        </w:trPr>
        <w:tc>
          <w:tcPr>
            <w:tcW w:w="0" w:type="auto"/>
            <w:shd w:val="clear" w:color="auto" w:fill="auto"/>
            <w:vAlign w:val="center"/>
          </w:tcPr>
          <w:p w14:paraId="1F0B0C1C" w14:textId="77777777" w:rsidR="00273994" w:rsidRPr="00092862" w:rsidRDefault="00273994" w:rsidP="003F1F64">
            <w:pPr>
              <w:pStyle w:val="04"/>
              <w:rPr>
                <w:rFonts w:cs="Times New Roman"/>
                <w:b/>
                <w:bCs/>
                <w:color w:val="000000" w:themeColor="text1"/>
              </w:rPr>
            </w:pPr>
            <w:r w:rsidRPr="00092862">
              <w:rPr>
                <w:rFonts w:cs="Times New Roman"/>
                <w:b/>
                <w:bCs/>
                <w:color w:val="000000" w:themeColor="text1"/>
                <w:lang w:bidi="ar"/>
              </w:rPr>
              <w:t>污染物</w:t>
            </w:r>
          </w:p>
        </w:tc>
        <w:tc>
          <w:tcPr>
            <w:tcW w:w="0" w:type="auto"/>
            <w:shd w:val="clear" w:color="auto" w:fill="auto"/>
            <w:vAlign w:val="center"/>
          </w:tcPr>
          <w:p w14:paraId="05DC5761" w14:textId="77777777" w:rsidR="00273994" w:rsidRPr="00092862" w:rsidRDefault="00273994" w:rsidP="003F1F64">
            <w:pPr>
              <w:pStyle w:val="04"/>
              <w:rPr>
                <w:rFonts w:cs="Times New Roman"/>
                <w:b/>
                <w:bCs/>
                <w:color w:val="000000" w:themeColor="text1"/>
              </w:rPr>
            </w:pPr>
            <w:r w:rsidRPr="00092862">
              <w:rPr>
                <w:rFonts w:cs="Times New Roman"/>
                <w:b/>
                <w:bCs/>
                <w:color w:val="000000" w:themeColor="text1"/>
                <w:lang w:bidi="ar"/>
              </w:rPr>
              <w:t>最高允许排放浓度（</w:t>
            </w:r>
            <w:r w:rsidRPr="00092862">
              <w:rPr>
                <w:rFonts w:cs="Times New Roman"/>
                <w:b/>
                <w:bCs/>
                <w:color w:val="000000" w:themeColor="text1"/>
                <w:lang w:bidi="ar"/>
              </w:rPr>
              <w:t>mg/m</w:t>
            </w:r>
            <w:r w:rsidRPr="00092862">
              <w:rPr>
                <w:rFonts w:cs="Times New Roman"/>
                <w:b/>
                <w:bCs/>
                <w:color w:val="000000" w:themeColor="text1"/>
                <w:vertAlign w:val="superscript"/>
                <w:lang w:bidi="ar"/>
              </w:rPr>
              <w:t>3</w:t>
            </w:r>
            <w:r w:rsidRPr="00092862">
              <w:rPr>
                <w:rFonts w:cs="Times New Roman"/>
                <w:b/>
                <w:bCs/>
                <w:color w:val="000000" w:themeColor="text1"/>
                <w:lang w:bidi="ar"/>
              </w:rPr>
              <w:t>）</w:t>
            </w:r>
          </w:p>
        </w:tc>
        <w:tc>
          <w:tcPr>
            <w:tcW w:w="0" w:type="auto"/>
            <w:shd w:val="clear" w:color="auto" w:fill="auto"/>
            <w:vAlign w:val="center"/>
          </w:tcPr>
          <w:p w14:paraId="7110E978" w14:textId="77777777" w:rsidR="00273994" w:rsidRPr="00092862" w:rsidRDefault="00273994" w:rsidP="003F1F64">
            <w:pPr>
              <w:pStyle w:val="04"/>
              <w:rPr>
                <w:rFonts w:cs="Times New Roman"/>
                <w:b/>
                <w:bCs/>
                <w:color w:val="000000" w:themeColor="text1"/>
              </w:rPr>
            </w:pPr>
            <w:r w:rsidRPr="00092862">
              <w:rPr>
                <w:rFonts w:cs="Times New Roman"/>
                <w:b/>
                <w:bCs/>
                <w:color w:val="000000" w:themeColor="text1"/>
                <w:lang w:bidi="ar"/>
              </w:rPr>
              <w:t>监控位置</w:t>
            </w:r>
          </w:p>
        </w:tc>
      </w:tr>
      <w:tr w:rsidR="00697429" w:rsidRPr="00092862" w14:paraId="07B84E75" w14:textId="77777777" w:rsidTr="00853A0F">
        <w:trPr>
          <w:jc w:val="center"/>
        </w:trPr>
        <w:tc>
          <w:tcPr>
            <w:tcW w:w="0" w:type="auto"/>
            <w:shd w:val="clear" w:color="auto" w:fill="auto"/>
            <w:vAlign w:val="center"/>
          </w:tcPr>
          <w:p w14:paraId="27090EB9"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NO</w:t>
            </w:r>
            <w:r w:rsidRPr="00092862">
              <w:rPr>
                <w:rFonts w:cs="Times New Roman"/>
                <w:color w:val="000000" w:themeColor="text1"/>
                <w:vertAlign w:val="subscript"/>
                <w:lang w:bidi="ar"/>
              </w:rPr>
              <w:t>x</w:t>
            </w:r>
          </w:p>
        </w:tc>
        <w:tc>
          <w:tcPr>
            <w:tcW w:w="0" w:type="auto"/>
            <w:shd w:val="clear" w:color="auto" w:fill="auto"/>
            <w:vAlign w:val="center"/>
          </w:tcPr>
          <w:p w14:paraId="21868A1A"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200</w:t>
            </w:r>
          </w:p>
        </w:tc>
        <w:tc>
          <w:tcPr>
            <w:tcW w:w="0" w:type="auto"/>
            <w:vMerge w:val="restart"/>
            <w:shd w:val="clear" w:color="auto" w:fill="auto"/>
            <w:vAlign w:val="center"/>
          </w:tcPr>
          <w:p w14:paraId="416CD871"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烟囱或烟道</w:t>
            </w:r>
          </w:p>
        </w:tc>
      </w:tr>
      <w:tr w:rsidR="00697429" w:rsidRPr="00092862" w14:paraId="2E154AA1" w14:textId="77777777" w:rsidTr="00853A0F">
        <w:trPr>
          <w:jc w:val="center"/>
        </w:trPr>
        <w:tc>
          <w:tcPr>
            <w:tcW w:w="0" w:type="auto"/>
            <w:shd w:val="clear" w:color="auto" w:fill="auto"/>
            <w:vAlign w:val="center"/>
          </w:tcPr>
          <w:p w14:paraId="44A68518"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SO</w:t>
            </w:r>
            <w:r w:rsidRPr="00092862">
              <w:rPr>
                <w:rFonts w:cs="Times New Roman"/>
                <w:color w:val="000000" w:themeColor="text1"/>
                <w:vertAlign w:val="subscript"/>
                <w:lang w:bidi="ar"/>
              </w:rPr>
              <w:t>2</w:t>
            </w:r>
          </w:p>
        </w:tc>
        <w:tc>
          <w:tcPr>
            <w:tcW w:w="0" w:type="auto"/>
            <w:shd w:val="clear" w:color="auto" w:fill="auto"/>
            <w:vAlign w:val="center"/>
          </w:tcPr>
          <w:p w14:paraId="434CB219"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50</w:t>
            </w:r>
          </w:p>
        </w:tc>
        <w:tc>
          <w:tcPr>
            <w:tcW w:w="0" w:type="auto"/>
            <w:vMerge/>
            <w:shd w:val="clear" w:color="auto" w:fill="auto"/>
            <w:vAlign w:val="center"/>
          </w:tcPr>
          <w:p w14:paraId="705954C0" w14:textId="77777777" w:rsidR="00273994" w:rsidRPr="00092862" w:rsidRDefault="00273994" w:rsidP="003F1F64">
            <w:pPr>
              <w:pStyle w:val="04"/>
              <w:rPr>
                <w:rFonts w:cs="Times New Roman"/>
                <w:color w:val="000000" w:themeColor="text1"/>
              </w:rPr>
            </w:pPr>
          </w:p>
        </w:tc>
      </w:tr>
      <w:tr w:rsidR="00697429" w:rsidRPr="00092862" w14:paraId="249E843A" w14:textId="77777777" w:rsidTr="00853A0F">
        <w:trPr>
          <w:jc w:val="center"/>
        </w:trPr>
        <w:tc>
          <w:tcPr>
            <w:tcW w:w="0" w:type="auto"/>
            <w:shd w:val="clear" w:color="auto" w:fill="auto"/>
            <w:vAlign w:val="center"/>
          </w:tcPr>
          <w:p w14:paraId="01DCC627"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颗粒物</w:t>
            </w:r>
          </w:p>
        </w:tc>
        <w:tc>
          <w:tcPr>
            <w:tcW w:w="0" w:type="auto"/>
            <w:shd w:val="clear" w:color="auto" w:fill="auto"/>
            <w:vAlign w:val="center"/>
          </w:tcPr>
          <w:p w14:paraId="0DAA7A79" w14:textId="77777777" w:rsidR="00273994" w:rsidRPr="00092862" w:rsidRDefault="00273994" w:rsidP="003F1F64">
            <w:pPr>
              <w:pStyle w:val="04"/>
              <w:rPr>
                <w:rFonts w:cs="Times New Roman"/>
                <w:color w:val="000000" w:themeColor="text1"/>
              </w:rPr>
            </w:pPr>
            <w:r w:rsidRPr="00092862">
              <w:rPr>
                <w:rFonts w:cs="Times New Roman"/>
                <w:color w:val="000000" w:themeColor="text1"/>
                <w:lang w:bidi="ar"/>
              </w:rPr>
              <w:t>20</w:t>
            </w:r>
          </w:p>
        </w:tc>
        <w:tc>
          <w:tcPr>
            <w:tcW w:w="0" w:type="auto"/>
            <w:vMerge/>
            <w:shd w:val="clear" w:color="auto" w:fill="auto"/>
            <w:vAlign w:val="center"/>
          </w:tcPr>
          <w:p w14:paraId="60291F31" w14:textId="77777777" w:rsidR="00273994" w:rsidRPr="00092862" w:rsidRDefault="00273994" w:rsidP="003F1F64">
            <w:pPr>
              <w:pStyle w:val="04"/>
              <w:rPr>
                <w:rFonts w:cs="Times New Roman"/>
                <w:color w:val="000000" w:themeColor="text1"/>
              </w:rPr>
            </w:pPr>
          </w:p>
        </w:tc>
      </w:tr>
      <w:tr w:rsidR="00697429" w:rsidRPr="00092862" w14:paraId="6FD16135" w14:textId="77777777" w:rsidTr="00853A0F">
        <w:trPr>
          <w:jc w:val="center"/>
        </w:trPr>
        <w:tc>
          <w:tcPr>
            <w:tcW w:w="0" w:type="auto"/>
            <w:shd w:val="clear" w:color="auto" w:fill="auto"/>
            <w:vAlign w:val="center"/>
          </w:tcPr>
          <w:p w14:paraId="70436E59" w14:textId="77777777" w:rsidR="00273994" w:rsidRPr="00092862" w:rsidRDefault="00273994" w:rsidP="003F1F64">
            <w:pPr>
              <w:pStyle w:val="04"/>
              <w:rPr>
                <w:rFonts w:cs="Times New Roman"/>
                <w:color w:val="000000" w:themeColor="text1"/>
                <w:lang w:bidi="ar"/>
              </w:rPr>
            </w:pPr>
            <w:r w:rsidRPr="00092862">
              <w:rPr>
                <w:rFonts w:cs="Times New Roman"/>
                <w:color w:val="000000" w:themeColor="text1"/>
                <w:lang w:bidi="ar"/>
              </w:rPr>
              <w:t>烟气黑度（林格曼黑度，级）</w:t>
            </w:r>
          </w:p>
        </w:tc>
        <w:tc>
          <w:tcPr>
            <w:tcW w:w="0" w:type="auto"/>
            <w:shd w:val="clear" w:color="auto" w:fill="auto"/>
            <w:vAlign w:val="center"/>
          </w:tcPr>
          <w:p w14:paraId="65ED3EE5" w14:textId="77777777" w:rsidR="00273994" w:rsidRPr="00092862" w:rsidRDefault="00273994" w:rsidP="003F1F64">
            <w:pPr>
              <w:pStyle w:val="04"/>
              <w:rPr>
                <w:rFonts w:cs="Times New Roman"/>
                <w:color w:val="000000" w:themeColor="text1"/>
                <w:lang w:bidi="ar"/>
              </w:rPr>
            </w:pPr>
            <w:r w:rsidRPr="00092862">
              <w:rPr>
                <w:rFonts w:cs="Times New Roman"/>
                <w:color w:val="000000" w:themeColor="text1"/>
                <w:lang w:bidi="ar"/>
              </w:rPr>
              <w:t>≤1</w:t>
            </w:r>
          </w:p>
        </w:tc>
        <w:tc>
          <w:tcPr>
            <w:tcW w:w="0" w:type="auto"/>
            <w:shd w:val="clear" w:color="auto" w:fill="auto"/>
            <w:vAlign w:val="center"/>
          </w:tcPr>
          <w:p w14:paraId="5992CD0D" w14:textId="77777777" w:rsidR="00273994" w:rsidRPr="00092862" w:rsidRDefault="00273994" w:rsidP="003F1F64">
            <w:pPr>
              <w:pStyle w:val="04"/>
              <w:rPr>
                <w:rFonts w:cs="Times New Roman"/>
                <w:color w:val="000000" w:themeColor="text1"/>
              </w:rPr>
            </w:pPr>
            <w:r w:rsidRPr="00092862">
              <w:rPr>
                <w:rFonts w:cs="Times New Roman"/>
                <w:color w:val="000000" w:themeColor="text1"/>
              </w:rPr>
              <w:t>烟囱排放口</w:t>
            </w:r>
          </w:p>
        </w:tc>
      </w:tr>
    </w:tbl>
    <w:p w14:paraId="41B567FE" w14:textId="39211FE6" w:rsidR="00B949D8" w:rsidRPr="00092862" w:rsidRDefault="00B949D8" w:rsidP="00B949D8">
      <w:pPr>
        <w:pStyle w:val="ac"/>
        <w:tabs>
          <w:tab w:val="left" w:pos="863"/>
        </w:tabs>
        <w:spacing w:before="0"/>
        <w:ind w:left="0"/>
        <w:jc w:val="center"/>
        <w:rPr>
          <w:rFonts w:ascii="Times New Roman" w:eastAsia="黑体" w:hAnsi="Times New Roman"/>
          <w:color w:val="000000" w:themeColor="text1"/>
          <w:sz w:val="21"/>
          <w:szCs w:val="21"/>
          <w:lang w:eastAsia="zh-CN"/>
        </w:rPr>
      </w:pPr>
      <w:bookmarkStart w:id="51" w:name="_Toc4534"/>
      <w:bookmarkStart w:id="52" w:name="_Toc24219"/>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w:t>
      </w:r>
      <w:r w:rsidR="0010287F"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w:t>
      </w:r>
      <w:r w:rsidR="0010287F" w:rsidRPr="00092862">
        <w:rPr>
          <w:rFonts w:ascii="Times New Roman" w:eastAsia="黑体" w:hAnsi="Times New Roman"/>
          <w:color w:val="000000" w:themeColor="text1"/>
          <w:sz w:val="21"/>
          <w:szCs w:val="21"/>
          <w:lang w:eastAsia="zh-CN"/>
        </w:rPr>
        <w:t>10</w:t>
      </w:r>
      <w:r w:rsidRPr="00092862">
        <w:rPr>
          <w:rFonts w:ascii="Times New Roman" w:eastAsia="黑体" w:hAnsi="Times New Roman"/>
          <w:color w:val="000000" w:themeColor="text1"/>
          <w:sz w:val="21"/>
          <w:szCs w:val="21"/>
          <w:lang w:eastAsia="zh-CN"/>
        </w:rPr>
        <w:t xml:space="preserve">  </w:t>
      </w:r>
      <w:bookmarkEnd w:id="51"/>
      <w:r w:rsidRPr="00092862">
        <w:rPr>
          <w:rFonts w:ascii="Times New Roman" w:eastAsia="黑体" w:hAnsi="Times New Roman"/>
          <w:color w:val="000000" w:themeColor="text1"/>
          <w:sz w:val="21"/>
          <w:szCs w:val="21"/>
          <w:lang w:eastAsia="zh-CN"/>
        </w:rPr>
        <w:t>陆上石油天然气开采工业大气污染物排放标准</w:t>
      </w:r>
      <w:bookmarkEnd w:id="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358"/>
        <w:gridCol w:w="5354"/>
      </w:tblGrid>
      <w:tr w:rsidR="00697429" w:rsidRPr="00092862" w14:paraId="64B9ABF3" w14:textId="77777777" w:rsidTr="00BA60D6">
        <w:trPr>
          <w:cantSplit/>
          <w:trHeight w:val="273"/>
          <w:jc w:val="center"/>
        </w:trPr>
        <w:tc>
          <w:tcPr>
            <w:tcW w:w="954" w:type="pct"/>
            <w:vMerge w:val="restart"/>
            <w:vAlign w:val="center"/>
          </w:tcPr>
          <w:p w14:paraId="676354A9"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lastRenderedPageBreak/>
              <w:t>污染物</w:t>
            </w:r>
          </w:p>
        </w:tc>
        <w:tc>
          <w:tcPr>
            <w:tcW w:w="818" w:type="pct"/>
            <w:vMerge w:val="restart"/>
            <w:vAlign w:val="center"/>
          </w:tcPr>
          <w:p w14:paraId="68B3CBFB"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无组织排放（周界外浓度最高点）</w:t>
            </w:r>
            <w:r w:rsidRPr="00092862">
              <w:rPr>
                <w:rFonts w:ascii="Times New Roman" w:hAnsi="Times New Roman" w:cs="Times New Roman"/>
                <w:snapToGrid/>
                <w:color w:val="000000" w:themeColor="text1"/>
                <w:spacing w:val="0"/>
                <w:sz w:val="21"/>
              </w:rPr>
              <w:t>/</w:t>
            </w:r>
            <w:r w:rsidRPr="00092862">
              <w:rPr>
                <w:rFonts w:ascii="Times New Roman" w:hAnsi="Times New Roman" w:cs="Times New Roman"/>
                <w:snapToGrid/>
                <w:color w:val="000000" w:themeColor="text1"/>
                <w:spacing w:val="0"/>
                <w:sz w:val="21"/>
              </w:rPr>
              <w:t>（</w:t>
            </w:r>
            <w:r w:rsidRPr="00092862">
              <w:rPr>
                <w:rFonts w:ascii="Times New Roman" w:hAnsi="Times New Roman" w:cs="Times New Roman"/>
                <w:snapToGrid/>
                <w:color w:val="000000" w:themeColor="text1"/>
                <w:spacing w:val="0"/>
                <w:sz w:val="21"/>
              </w:rPr>
              <w:t>mg/m</w:t>
            </w:r>
            <w:r w:rsidRPr="00092862">
              <w:rPr>
                <w:rFonts w:ascii="Times New Roman" w:hAnsi="Times New Roman" w:cs="Times New Roman"/>
                <w:snapToGrid/>
                <w:color w:val="000000" w:themeColor="text1"/>
                <w:spacing w:val="0"/>
                <w:sz w:val="21"/>
                <w:vertAlign w:val="superscript"/>
              </w:rPr>
              <w:t>3</w:t>
            </w:r>
            <w:r w:rsidRPr="00092862">
              <w:rPr>
                <w:rFonts w:ascii="Times New Roman" w:hAnsi="Times New Roman" w:cs="Times New Roman"/>
                <w:snapToGrid/>
                <w:color w:val="000000" w:themeColor="text1"/>
                <w:spacing w:val="0"/>
                <w:sz w:val="21"/>
              </w:rPr>
              <w:t>）</w:t>
            </w:r>
          </w:p>
        </w:tc>
        <w:tc>
          <w:tcPr>
            <w:tcW w:w="3226" w:type="pct"/>
            <w:vAlign w:val="center"/>
          </w:tcPr>
          <w:p w14:paraId="54A54E4C"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有组织排放标准要求</w:t>
            </w:r>
          </w:p>
        </w:tc>
      </w:tr>
      <w:tr w:rsidR="00697429" w:rsidRPr="00092862" w14:paraId="4B3B6106" w14:textId="77777777" w:rsidTr="00BA60D6">
        <w:trPr>
          <w:cantSplit/>
          <w:trHeight w:val="868"/>
          <w:jc w:val="center"/>
        </w:trPr>
        <w:tc>
          <w:tcPr>
            <w:tcW w:w="954" w:type="pct"/>
            <w:vMerge/>
            <w:vAlign w:val="center"/>
          </w:tcPr>
          <w:p w14:paraId="42066A29"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p>
        </w:tc>
        <w:tc>
          <w:tcPr>
            <w:tcW w:w="818" w:type="pct"/>
            <w:vMerge/>
            <w:vAlign w:val="center"/>
          </w:tcPr>
          <w:p w14:paraId="0B237B6B"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p>
        </w:tc>
        <w:tc>
          <w:tcPr>
            <w:tcW w:w="3226" w:type="pct"/>
            <w:vMerge w:val="restart"/>
            <w:vAlign w:val="center"/>
          </w:tcPr>
          <w:p w14:paraId="6B426726" w14:textId="77777777" w:rsidR="00B949D8" w:rsidRPr="00092862" w:rsidRDefault="00B949D8" w:rsidP="00BA60D6">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）非甲烷总烃排放浓度不超过</w:t>
            </w:r>
            <w:r w:rsidRPr="00092862">
              <w:rPr>
                <w:rFonts w:ascii="Times New Roman" w:eastAsia="宋体" w:hAnsi="Times New Roman" w:cs="Times New Roman"/>
                <w:color w:val="000000" w:themeColor="text1"/>
                <w:szCs w:val="21"/>
              </w:rPr>
              <w:t>120 mg/m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w:t>
            </w:r>
          </w:p>
          <w:p w14:paraId="6D7C0E3E" w14:textId="4270433B" w:rsidR="00B949D8" w:rsidRPr="00092862" w:rsidRDefault="00B949D8" w:rsidP="00BA60D6">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b</w:t>
            </w:r>
            <w:r w:rsidRPr="00092862">
              <w:rPr>
                <w:rFonts w:ascii="Times New Roman" w:eastAsia="宋体" w:hAnsi="Times New Roman" w:cs="Times New Roman"/>
                <w:color w:val="000000" w:themeColor="text1"/>
                <w:szCs w:val="21"/>
              </w:rPr>
              <w:t>）生产装置和设施排气中非甲烷总烃初始排放速率</w:t>
            </w:r>
            <w:r w:rsidRPr="00092862">
              <w:rPr>
                <w:rFonts w:ascii="Times New Roman" w:eastAsia="宋体" w:hAnsi="Times New Roman" w:cs="Times New Roman"/>
                <w:color w:val="000000" w:themeColor="text1"/>
                <w:szCs w:val="21"/>
              </w:rPr>
              <w:t>≥3kg/h</w:t>
            </w:r>
            <w:r w:rsidRPr="00092862">
              <w:rPr>
                <w:rFonts w:ascii="Times New Roman" w:eastAsia="宋体" w:hAnsi="Times New Roman" w:cs="Times New Roman"/>
                <w:color w:val="000000" w:themeColor="text1"/>
                <w:szCs w:val="21"/>
              </w:rPr>
              <w:t>的，废气处理设施非甲烷总烃去除效率不低于</w:t>
            </w:r>
            <w:r w:rsidRPr="00092862">
              <w:rPr>
                <w:rFonts w:ascii="Times New Roman" w:eastAsia="宋体" w:hAnsi="Times New Roman" w:cs="Times New Roman"/>
                <w:color w:val="000000" w:themeColor="text1"/>
                <w:szCs w:val="21"/>
              </w:rPr>
              <w:t>80%</w:t>
            </w:r>
            <w:r w:rsidRPr="00092862">
              <w:rPr>
                <w:rFonts w:ascii="Times New Roman" w:eastAsia="宋体" w:hAnsi="Times New Roman" w:cs="Times New Roman"/>
                <w:color w:val="000000" w:themeColor="text1"/>
                <w:szCs w:val="21"/>
              </w:rPr>
              <w:t>。重点地区生产装置和设施排气中非甲烷总烃初始排放速率</w:t>
            </w:r>
            <w:r w:rsidRPr="00092862">
              <w:rPr>
                <w:rFonts w:ascii="Times New Roman" w:eastAsia="宋体" w:hAnsi="Times New Roman" w:cs="Times New Roman"/>
                <w:color w:val="000000" w:themeColor="text1"/>
                <w:szCs w:val="21"/>
              </w:rPr>
              <w:t>≥2 kg/h</w:t>
            </w:r>
            <w:r w:rsidRPr="00092862">
              <w:rPr>
                <w:rFonts w:ascii="Times New Roman" w:eastAsia="宋体" w:hAnsi="Times New Roman" w:cs="Times New Roman"/>
                <w:color w:val="000000" w:themeColor="text1"/>
                <w:szCs w:val="21"/>
              </w:rPr>
              <w:t>的，废气处理设施非甲烷总烃去除效率不低于</w:t>
            </w:r>
            <w:r w:rsidRPr="00092862">
              <w:rPr>
                <w:rFonts w:ascii="Times New Roman" w:eastAsia="宋体" w:hAnsi="Times New Roman" w:cs="Times New Roman"/>
                <w:color w:val="000000" w:themeColor="text1"/>
                <w:szCs w:val="21"/>
              </w:rPr>
              <w:t>80%</w:t>
            </w:r>
          </w:p>
        </w:tc>
      </w:tr>
      <w:tr w:rsidR="00697429" w:rsidRPr="00092862" w14:paraId="71C8CA3A" w14:textId="77777777" w:rsidTr="00BA60D6">
        <w:trPr>
          <w:cantSplit/>
          <w:jc w:val="center"/>
        </w:trPr>
        <w:tc>
          <w:tcPr>
            <w:tcW w:w="954" w:type="pct"/>
            <w:vAlign w:val="center"/>
          </w:tcPr>
          <w:p w14:paraId="400610CD"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NMHC</w:t>
            </w:r>
          </w:p>
        </w:tc>
        <w:tc>
          <w:tcPr>
            <w:tcW w:w="818" w:type="pct"/>
            <w:vAlign w:val="center"/>
          </w:tcPr>
          <w:p w14:paraId="43BF5859"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4.0</w:t>
            </w:r>
          </w:p>
        </w:tc>
        <w:tc>
          <w:tcPr>
            <w:tcW w:w="3226" w:type="pct"/>
            <w:vMerge/>
            <w:vAlign w:val="center"/>
          </w:tcPr>
          <w:p w14:paraId="1EAD19F0" w14:textId="77777777" w:rsidR="00B949D8" w:rsidRPr="00092862" w:rsidRDefault="00B949D8" w:rsidP="00BA60D6">
            <w:pPr>
              <w:pStyle w:val="affffff2"/>
              <w:adjustRightInd w:val="0"/>
              <w:snapToGrid w:val="0"/>
              <w:rPr>
                <w:rFonts w:ascii="Times New Roman" w:hAnsi="Times New Roman" w:cs="Times New Roman"/>
                <w:snapToGrid/>
                <w:color w:val="000000" w:themeColor="text1"/>
                <w:spacing w:val="0"/>
                <w:sz w:val="21"/>
              </w:rPr>
            </w:pPr>
          </w:p>
        </w:tc>
      </w:tr>
    </w:tbl>
    <w:p w14:paraId="4E8B2743" w14:textId="0C448F00" w:rsidR="00273994" w:rsidRPr="00092862" w:rsidRDefault="00273994" w:rsidP="00072FEA">
      <w:pPr>
        <w:tabs>
          <w:tab w:val="left" w:pos="0"/>
        </w:tabs>
        <w:spacing w:beforeLines="50" w:before="156"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）噪声</w:t>
      </w:r>
    </w:p>
    <w:bookmarkEnd w:id="48"/>
    <w:p w14:paraId="4B6E1CAA" w14:textId="728CC8F9" w:rsidR="00273994" w:rsidRPr="00092862" w:rsidRDefault="00273994" w:rsidP="00072FEA">
      <w:pPr>
        <w:pStyle w:val="af0"/>
        <w:spacing w:line="360" w:lineRule="auto"/>
        <w:ind w:firstLineChars="200" w:firstLine="480"/>
        <w:rPr>
          <w:rFonts w:ascii="Times New Roman" w:hAnsi="Times New Roman"/>
          <w:color w:val="000000" w:themeColor="text1"/>
          <w:szCs w:val="24"/>
        </w:rPr>
      </w:pPr>
      <w:r w:rsidRPr="00092862">
        <w:rPr>
          <w:rFonts w:ascii="Times New Roman" w:hAnsi="Times New Roman"/>
          <w:bCs/>
          <w:color w:val="000000" w:themeColor="text1"/>
          <w:szCs w:val="24"/>
        </w:rPr>
        <w:t>项目施工期噪声执行《建筑施工场界环境噪声排放标准》（</w:t>
      </w:r>
      <w:r w:rsidRPr="00092862">
        <w:rPr>
          <w:rFonts w:ascii="Times New Roman" w:hAnsi="Times New Roman"/>
          <w:bCs/>
          <w:color w:val="000000" w:themeColor="text1"/>
          <w:szCs w:val="24"/>
        </w:rPr>
        <w:t>GB12523-2011</w:t>
      </w:r>
      <w:r w:rsidRPr="00092862">
        <w:rPr>
          <w:rFonts w:ascii="Times New Roman" w:hAnsi="Times New Roman"/>
          <w:bCs/>
          <w:color w:val="000000" w:themeColor="text1"/>
          <w:szCs w:val="24"/>
        </w:rPr>
        <w:t>），</w:t>
      </w:r>
      <w:r w:rsidRPr="00092862">
        <w:rPr>
          <w:rFonts w:ascii="Times New Roman" w:hAnsi="Times New Roman"/>
          <w:color w:val="000000" w:themeColor="text1"/>
          <w:szCs w:val="24"/>
        </w:rPr>
        <w:t>试采期</w:t>
      </w:r>
      <w:r w:rsidRPr="00092862">
        <w:rPr>
          <w:rFonts w:ascii="Times New Roman" w:hAnsi="Times New Roman"/>
          <w:bCs/>
          <w:snapToGrid w:val="0"/>
          <w:color w:val="000000" w:themeColor="text1"/>
          <w:szCs w:val="24"/>
        </w:rPr>
        <w:t>执</w:t>
      </w:r>
      <w:r w:rsidRPr="00092862">
        <w:rPr>
          <w:rFonts w:ascii="Times New Roman" w:hAnsi="Times New Roman"/>
          <w:color w:val="000000" w:themeColor="text1"/>
          <w:szCs w:val="24"/>
        </w:rPr>
        <w:t>行《工业企业厂界环境噪声排放标准》（</w:t>
      </w:r>
      <w:r w:rsidRPr="00092862">
        <w:rPr>
          <w:rFonts w:ascii="Times New Roman" w:hAnsi="Times New Roman"/>
          <w:color w:val="000000" w:themeColor="text1"/>
          <w:szCs w:val="24"/>
        </w:rPr>
        <w:t>GB12348-2008</w:t>
      </w:r>
      <w:r w:rsidRPr="00092862">
        <w:rPr>
          <w:rFonts w:ascii="Times New Roman" w:hAnsi="Times New Roman"/>
          <w:bCs/>
          <w:snapToGrid w:val="0"/>
          <w:color w:val="000000" w:themeColor="text1"/>
          <w:szCs w:val="24"/>
        </w:rPr>
        <w:t>）</w:t>
      </w:r>
      <w:r w:rsidRPr="00092862">
        <w:rPr>
          <w:rFonts w:ascii="Times New Roman" w:hAnsi="Times New Roman"/>
          <w:bCs/>
          <w:snapToGrid w:val="0"/>
          <w:color w:val="000000" w:themeColor="text1"/>
          <w:szCs w:val="24"/>
        </w:rPr>
        <w:t>2</w:t>
      </w:r>
      <w:r w:rsidRPr="00092862">
        <w:rPr>
          <w:rFonts w:ascii="Times New Roman" w:hAnsi="Times New Roman"/>
          <w:bCs/>
          <w:snapToGrid w:val="0"/>
          <w:color w:val="000000" w:themeColor="text1"/>
          <w:szCs w:val="24"/>
        </w:rPr>
        <w:t>类功能区标准，见表</w:t>
      </w:r>
      <w:r w:rsidRPr="00092862">
        <w:rPr>
          <w:rFonts w:ascii="Times New Roman" w:hAnsi="Times New Roman"/>
          <w:bCs/>
          <w:snapToGrid w:val="0"/>
          <w:color w:val="000000" w:themeColor="text1"/>
          <w:szCs w:val="24"/>
        </w:rPr>
        <w:t>2.5-1</w:t>
      </w:r>
      <w:r w:rsidR="0010287F" w:rsidRPr="00092862">
        <w:rPr>
          <w:rFonts w:ascii="Times New Roman" w:hAnsi="Times New Roman"/>
          <w:bCs/>
          <w:snapToGrid w:val="0"/>
          <w:color w:val="000000" w:themeColor="text1"/>
          <w:szCs w:val="24"/>
        </w:rPr>
        <w:t>1</w:t>
      </w:r>
      <w:r w:rsidRPr="00092862">
        <w:rPr>
          <w:rFonts w:ascii="Times New Roman" w:hAnsi="Times New Roman"/>
          <w:color w:val="000000" w:themeColor="text1"/>
          <w:szCs w:val="24"/>
        </w:rPr>
        <w:t>。</w:t>
      </w:r>
    </w:p>
    <w:p w14:paraId="5A4E921A" w14:textId="07EC51B5" w:rsidR="00273994" w:rsidRPr="00092862" w:rsidRDefault="00273994"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2.5-1</w:t>
      </w:r>
      <w:r w:rsidR="0010287F" w:rsidRPr="00092862">
        <w:rPr>
          <w:rFonts w:ascii="Times New Roman" w:eastAsia="黑体" w:hAnsi="Times New Roman"/>
          <w:color w:val="000000" w:themeColor="text1"/>
          <w:sz w:val="21"/>
          <w:szCs w:val="21"/>
          <w:lang w:eastAsia="zh-CN"/>
        </w:rPr>
        <w:t>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噪声污染物排放标准</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dB</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A</w:t>
      </w:r>
      <w:r w:rsidRPr="00092862">
        <w:rPr>
          <w:rFonts w:ascii="Times New Roman" w:eastAsia="黑体" w:hAnsi="Times New Roman"/>
          <w:color w:val="000000" w:themeColor="text1"/>
          <w:sz w:val="21"/>
          <w:szCs w:val="21"/>
          <w:lang w:eastAsia="zh-CN"/>
        </w:rPr>
        <w:t>）</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32"/>
        <w:gridCol w:w="3686"/>
        <w:gridCol w:w="992"/>
        <w:gridCol w:w="1134"/>
        <w:gridCol w:w="1178"/>
      </w:tblGrid>
      <w:tr w:rsidR="00697429" w:rsidRPr="00092862" w14:paraId="6C90D5BF" w14:textId="77777777" w:rsidTr="005B6F3E">
        <w:trPr>
          <w:jc w:val="center"/>
        </w:trPr>
        <w:tc>
          <w:tcPr>
            <w:tcW w:w="1232" w:type="dxa"/>
            <w:vAlign w:val="center"/>
          </w:tcPr>
          <w:p w14:paraId="1347E250" w14:textId="77777777" w:rsidR="00273994" w:rsidRPr="00092862" w:rsidRDefault="00273994" w:rsidP="003D2EEB">
            <w:pPr>
              <w:adjustRightInd w:val="0"/>
              <w:snapToGrid w:val="0"/>
              <w:jc w:val="center"/>
              <w:rPr>
                <w:rFonts w:ascii="Times New Roman" w:hAnsi="Times New Roman" w:cs="Times New Roman"/>
                <w:b/>
                <w:color w:val="000000" w:themeColor="text1"/>
                <w:szCs w:val="21"/>
              </w:rPr>
            </w:pPr>
            <w:r w:rsidRPr="00092862">
              <w:rPr>
                <w:rFonts w:ascii="Times New Roman" w:hAnsi="Times New Roman" w:cs="Times New Roman"/>
                <w:b/>
                <w:color w:val="000000" w:themeColor="text1"/>
                <w:szCs w:val="21"/>
              </w:rPr>
              <w:t>时段</w:t>
            </w:r>
          </w:p>
        </w:tc>
        <w:tc>
          <w:tcPr>
            <w:tcW w:w="3686" w:type="dxa"/>
            <w:vAlign w:val="center"/>
          </w:tcPr>
          <w:p w14:paraId="47C1DBFF" w14:textId="77777777" w:rsidR="00273994" w:rsidRPr="00092862" w:rsidRDefault="00273994" w:rsidP="003D2EEB">
            <w:pPr>
              <w:adjustRightInd w:val="0"/>
              <w:snapToGrid w:val="0"/>
              <w:jc w:val="center"/>
              <w:rPr>
                <w:rFonts w:ascii="Times New Roman" w:hAnsi="Times New Roman" w:cs="Times New Roman"/>
                <w:b/>
                <w:color w:val="000000" w:themeColor="text1"/>
                <w:szCs w:val="21"/>
              </w:rPr>
            </w:pPr>
            <w:r w:rsidRPr="00092862">
              <w:rPr>
                <w:rFonts w:ascii="Times New Roman" w:hAnsi="Times New Roman" w:cs="Times New Roman"/>
                <w:b/>
                <w:color w:val="000000" w:themeColor="text1"/>
                <w:szCs w:val="21"/>
              </w:rPr>
              <w:t>标准名称及级（类）别</w:t>
            </w:r>
          </w:p>
        </w:tc>
        <w:tc>
          <w:tcPr>
            <w:tcW w:w="3304" w:type="dxa"/>
            <w:gridSpan w:val="3"/>
            <w:vAlign w:val="center"/>
          </w:tcPr>
          <w:p w14:paraId="7321A3AB" w14:textId="77777777" w:rsidR="00273994" w:rsidRPr="00092862" w:rsidRDefault="00273994" w:rsidP="003D2EEB">
            <w:pPr>
              <w:adjustRightInd w:val="0"/>
              <w:snapToGrid w:val="0"/>
              <w:jc w:val="center"/>
              <w:rPr>
                <w:rFonts w:ascii="Times New Roman" w:hAnsi="Times New Roman" w:cs="Times New Roman"/>
                <w:b/>
                <w:color w:val="000000" w:themeColor="text1"/>
                <w:szCs w:val="21"/>
              </w:rPr>
            </w:pPr>
            <w:r w:rsidRPr="00092862">
              <w:rPr>
                <w:rFonts w:ascii="Times New Roman" w:hAnsi="Times New Roman" w:cs="Times New Roman"/>
                <w:b/>
                <w:color w:val="000000" w:themeColor="text1"/>
                <w:szCs w:val="21"/>
              </w:rPr>
              <w:t>标准值（单位：</w:t>
            </w:r>
            <w:r w:rsidRPr="00092862">
              <w:rPr>
                <w:rFonts w:ascii="Times New Roman" w:hAnsi="Times New Roman" w:cs="Times New Roman"/>
                <w:b/>
                <w:color w:val="000000" w:themeColor="text1"/>
                <w:szCs w:val="21"/>
              </w:rPr>
              <w:t>dB</w:t>
            </w:r>
            <w:r w:rsidRPr="00092862">
              <w:rPr>
                <w:rFonts w:ascii="Times New Roman" w:hAnsi="Times New Roman" w:cs="Times New Roman"/>
                <w:b/>
                <w:color w:val="000000" w:themeColor="text1"/>
                <w:szCs w:val="21"/>
              </w:rPr>
              <w:t>（</w:t>
            </w:r>
            <w:r w:rsidRPr="00092862">
              <w:rPr>
                <w:rFonts w:ascii="Times New Roman" w:hAnsi="Times New Roman" w:cs="Times New Roman"/>
                <w:b/>
                <w:color w:val="000000" w:themeColor="text1"/>
                <w:szCs w:val="21"/>
              </w:rPr>
              <w:t>A</w:t>
            </w:r>
            <w:r w:rsidRPr="00092862">
              <w:rPr>
                <w:rFonts w:ascii="Times New Roman" w:hAnsi="Times New Roman" w:cs="Times New Roman"/>
                <w:b/>
                <w:color w:val="000000" w:themeColor="text1"/>
                <w:szCs w:val="21"/>
              </w:rPr>
              <w:t>））</w:t>
            </w:r>
          </w:p>
        </w:tc>
      </w:tr>
      <w:tr w:rsidR="00697429" w:rsidRPr="00092862" w14:paraId="75C41949" w14:textId="77777777" w:rsidTr="005B6F3E">
        <w:trPr>
          <w:jc w:val="center"/>
        </w:trPr>
        <w:tc>
          <w:tcPr>
            <w:tcW w:w="1232" w:type="dxa"/>
            <w:vMerge w:val="restart"/>
            <w:vAlign w:val="center"/>
          </w:tcPr>
          <w:p w14:paraId="0B64FFB2"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施工期</w:t>
            </w:r>
          </w:p>
        </w:tc>
        <w:tc>
          <w:tcPr>
            <w:tcW w:w="3686" w:type="dxa"/>
            <w:vMerge w:val="restart"/>
            <w:vAlign w:val="center"/>
          </w:tcPr>
          <w:p w14:paraId="3CB1F428"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《建筑施工场界环境噪声排放标准》（</w:t>
            </w:r>
            <w:r w:rsidRPr="00092862">
              <w:rPr>
                <w:rFonts w:ascii="Times New Roman" w:hAnsi="Times New Roman" w:cs="Times New Roman"/>
                <w:bCs/>
                <w:color w:val="000000" w:themeColor="text1"/>
                <w:szCs w:val="21"/>
              </w:rPr>
              <w:t>GB12523-2011</w:t>
            </w:r>
            <w:r w:rsidRPr="00092862">
              <w:rPr>
                <w:rFonts w:ascii="Times New Roman" w:hAnsi="Times New Roman" w:cs="Times New Roman"/>
                <w:bCs/>
                <w:color w:val="000000" w:themeColor="text1"/>
                <w:szCs w:val="21"/>
              </w:rPr>
              <w:t>）</w:t>
            </w:r>
          </w:p>
        </w:tc>
        <w:tc>
          <w:tcPr>
            <w:tcW w:w="992" w:type="dxa"/>
            <w:vMerge w:val="restart"/>
            <w:vAlign w:val="center"/>
          </w:tcPr>
          <w:p w14:paraId="11F0679E"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场界</w:t>
            </w:r>
          </w:p>
        </w:tc>
        <w:tc>
          <w:tcPr>
            <w:tcW w:w="1134" w:type="dxa"/>
            <w:vAlign w:val="center"/>
          </w:tcPr>
          <w:p w14:paraId="4EC3DE02"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1178" w:type="dxa"/>
            <w:vAlign w:val="center"/>
          </w:tcPr>
          <w:p w14:paraId="4B28C2C0"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70</w:t>
            </w:r>
          </w:p>
        </w:tc>
      </w:tr>
      <w:tr w:rsidR="00697429" w:rsidRPr="00092862" w14:paraId="4477F60E" w14:textId="77777777" w:rsidTr="005B6F3E">
        <w:trPr>
          <w:jc w:val="center"/>
        </w:trPr>
        <w:tc>
          <w:tcPr>
            <w:tcW w:w="1232" w:type="dxa"/>
            <w:vMerge/>
            <w:vAlign w:val="center"/>
          </w:tcPr>
          <w:p w14:paraId="7F0B080B"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p>
        </w:tc>
        <w:tc>
          <w:tcPr>
            <w:tcW w:w="3686" w:type="dxa"/>
            <w:vMerge/>
            <w:vAlign w:val="center"/>
          </w:tcPr>
          <w:p w14:paraId="65407805"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p>
        </w:tc>
        <w:tc>
          <w:tcPr>
            <w:tcW w:w="992" w:type="dxa"/>
            <w:vMerge/>
            <w:vAlign w:val="center"/>
          </w:tcPr>
          <w:p w14:paraId="7549328D"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p>
        </w:tc>
        <w:tc>
          <w:tcPr>
            <w:tcW w:w="1134" w:type="dxa"/>
            <w:vAlign w:val="center"/>
          </w:tcPr>
          <w:p w14:paraId="14254A27"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1178" w:type="dxa"/>
            <w:vAlign w:val="center"/>
          </w:tcPr>
          <w:p w14:paraId="759A889D"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55</w:t>
            </w:r>
          </w:p>
        </w:tc>
      </w:tr>
      <w:tr w:rsidR="00697429" w:rsidRPr="00092862" w14:paraId="05C8C913" w14:textId="77777777" w:rsidTr="005B6F3E">
        <w:trPr>
          <w:jc w:val="center"/>
        </w:trPr>
        <w:tc>
          <w:tcPr>
            <w:tcW w:w="1232" w:type="dxa"/>
            <w:vMerge w:val="restart"/>
            <w:vAlign w:val="center"/>
          </w:tcPr>
          <w:p w14:paraId="49275D37"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试采期</w:t>
            </w:r>
          </w:p>
        </w:tc>
        <w:tc>
          <w:tcPr>
            <w:tcW w:w="3686" w:type="dxa"/>
            <w:vMerge w:val="restart"/>
            <w:vAlign w:val="center"/>
          </w:tcPr>
          <w:p w14:paraId="062FD090"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《工业企业厂界环境噪声排放标准》（</w:t>
            </w:r>
            <w:r w:rsidRPr="00092862">
              <w:rPr>
                <w:rFonts w:ascii="Times New Roman" w:hAnsi="Times New Roman" w:cs="Times New Roman"/>
                <w:color w:val="000000" w:themeColor="text1"/>
                <w:szCs w:val="21"/>
              </w:rPr>
              <w:t>GB12348-2008</w:t>
            </w:r>
            <w:r w:rsidRPr="00092862">
              <w:rPr>
                <w:rFonts w:ascii="Times New Roman" w:hAnsi="Times New Roman" w:cs="Times New Roman"/>
                <w:bCs/>
                <w:color w:val="000000" w:themeColor="text1"/>
                <w:szCs w:val="21"/>
              </w:rPr>
              <w:t>）</w:t>
            </w:r>
            <w:r w:rsidRPr="00092862">
              <w:rPr>
                <w:rFonts w:ascii="Times New Roman" w:hAnsi="Times New Roman" w:cs="Times New Roman"/>
                <w:bCs/>
                <w:color w:val="000000" w:themeColor="text1"/>
                <w:szCs w:val="21"/>
              </w:rPr>
              <w:t>2</w:t>
            </w:r>
            <w:r w:rsidRPr="00092862">
              <w:rPr>
                <w:rFonts w:ascii="Times New Roman" w:hAnsi="Times New Roman" w:cs="Times New Roman"/>
                <w:bCs/>
                <w:color w:val="000000" w:themeColor="text1"/>
                <w:szCs w:val="21"/>
              </w:rPr>
              <w:t>类标准</w:t>
            </w:r>
          </w:p>
        </w:tc>
        <w:tc>
          <w:tcPr>
            <w:tcW w:w="992" w:type="dxa"/>
            <w:vMerge w:val="restart"/>
            <w:vAlign w:val="center"/>
          </w:tcPr>
          <w:p w14:paraId="7360E606"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场界</w:t>
            </w:r>
          </w:p>
        </w:tc>
        <w:tc>
          <w:tcPr>
            <w:tcW w:w="1134" w:type="dxa"/>
            <w:vAlign w:val="center"/>
          </w:tcPr>
          <w:p w14:paraId="6765597B"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1178" w:type="dxa"/>
            <w:vAlign w:val="center"/>
          </w:tcPr>
          <w:p w14:paraId="3626B3B4" w14:textId="77777777" w:rsidR="00273994" w:rsidRPr="00092862" w:rsidRDefault="00273994" w:rsidP="008C0065">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60</w:t>
            </w:r>
          </w:p>
        </w:tc>
      </w:tr>
      <w:tr w:rsidR="00697429" w:rsidRPr="00092862" w14:paraId="77486111" w14:textId="77777777" w:rsidTr="005B6F3E">
        <w:trPr>
          <w:jc w:val="center"/>
        </w:trPr>
        <w:tc>
          <w:tcPr>
            <w:tcW w:w="1232" w:type="dxa"/>
            <w:vMerge/>
            <w:vAlign w:val="center"/>
          </w:tcPr>
          <w:p w14:paraId="02D698BA" w14:textId="77777777" w:rsidR="00273994" w:rsidRPr="00092862" w:rsidRDefault="00273994" w:rsidP="005B6F3E">
            <w:pPr>
              <w:adjustRightInd w:val="0"/>
              <w:snapToGrid w:val="0"/>
              <w:jc w:val="center"/>
              <w:rPr>
                <w:rFonts w:ascii="Times New Roman" w:hAnsi="Times New Roman" w:cs="Times New Roman"/>
                <w:color w:val="000000" w:themeColor="text1"/>
                <w:szCs w:val="21"/>
              </w:rPr>
            </w:pPr>
          </w:p>
        </w:tc>
        <w:tc>
          <w:tcPr>
            <w:tcW w:w="3686" w:type="dxa"/>
            <w:vMerge/>
            <w:vAlign w:val="center"/>
          </w:tcPr>
          <w:p w14:paraId="7DADBB3C" w14:textId="77777777" w:rsidR="00273994" w:rsidRPr="00092862" w:rsidRDefault="00273994" w:rsidP="005B6F3E">
            <w:pPr>
              <w:adjustRightInd w:val="0"/>
              <w:snapToGrid w:val="0"/>
              <w:jc w:val="center"/>
              <w:rPr>
                <w:rFonts w:ascii="Times New Roman" w:hAnsi="Times New Roman" w:cs="Times New Roman"/>
                <w:color w:val="000000" w:themeColor="text1"/>
                <w:szCs w:val="21"/>
              </w:rPr>
            </w:pPr>
          </w:p>
        </w:tc>
        <w:tc>
          <w:tcPr>
            <w:tcW w:w="992" w:type="dxa"/>
            <w:vMerge/>
            <w:vAlign w:val="center"/>
          </w:tcPr>
          <w:p w14:paraId="0CF4D853" w14:textId="77777777" w:rsidR="00273994" w:rsidRPr="00092862" w:rsidRDefault="00273994" w:rsidP="005B6F3E">
            <w:pPr>
              <w:adjustRightInd w:val="0"/>
              <w:snapToGrid w:val="0"/>
              <w:jc w:val="center"/>
              <w:rPr>
                <w:rFonts w:ascii="Times New Roman" w:hAnsi="Times New Roman" w:cs="Times New Roman"/>
                <w:color w:val="000000" w:themeColor="text1"/>
                <w:szCs w:val="21"/>
              </w:rPr>
            </w:pPr>
          </w:p>
        </w:tc>
        <w:tc>
          <w:tcPr>
            <w:tcW w:w="1134" w:type="dxa"/>
            <w:vAlign w:val="center"/>
          </w:tcPr>
          <w:p w14:paraId="281BA55F" w14:textId="77777777" w:rsidR="00273994" w:rsidRPr="00092862" w:rsidRDefault="00273994" w:rsidP="005B6F3E">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1178" w:type="dxa"/>
            <w:vAlign w:val="center"/>
          </w:tcPr>
          <w:p w14:paraId="47A3F059" w14:textId="77777777" w:rsidR="00273994" w:rsidRPr="00092862" w:rsidRDefault="00273994" w:rsidP="005B6F3E">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50</w:t>
            </w:r>
          </w:p>
        </w:tc>
      </w:tr>
    </w:tbl>
    <w:p w14:paraId="2EC0C81B" w14:textId="77777777" w:rsidR="00273994" w:rsidRPr="00092862" w:rsidRDefault="00273994"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）固废</w:t>
      </w:r>
    </w:p>
    <w:bookmarkEnd w:id="49"/>
    <w:p w14:paraId="42AE61A0" w14:textId="447FA178" w:rsidR="007552D4" w:rsidRPr="00092862" w:rsidRDefault="007552D4"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一般固体废物</w:t>
      </w:r>
      <w:r w:rsidR="00853A0F" w:rsidRPr="00092862">
        <w:rPr>
          <w:rFonts w:ascii="Times New Roman" w:eastAsia="宋体" w:hAnsi="Times New Roman" w:cs="Times New Roman"/>
          <w:bCs/>
          <w:color w:val="000000" w:themeColor="text1"/>
          <w:sz w:val="24"/>
          <w:szCs w:val="24"/>
        </w:rPr>
        <w:t>参照</w:t>
      </w:r>
      <w:r w:rsidRPr="00092862">
        <w:rPr>
          <w:rFonts w:ascii="Times New Roman" w:eastAsia="宋体" w:hAnsi="Times New Roman" w:cs="Times New Roman"/>
          <w:bCs/>
          <w:color w:val="000000" w:themeColor="text1"/>
          <w:sz w:val="24"/>
          <w:szCs w:val="24"/>
        </w:rPr>
        <w:t>执行《一般工业固体废物贮存和填埋污染控制标准》（</w:t>
      </w:r>
      <w:r w:rsidRPr="00092862">
        <w:rPr>
          <w:rFonts w:ascii="Times New Roman" w:eastAsia="宋体" w:hAnsi="Times New Roman" w:cs="Times New Roman"/>
          <w:bCs/>
          <w:color w:val="000000" w:themeColor="text1"/>
          <w:sz w:val="24"/>
          <w:szCs w:val="24"/>
        </w:rPr>
        <w:t>GB18599-2020</w:t>
      </w:r>
      <w:r w:rsidRPr="00092862">
        <w:rPr>
          <w:rFonts w:ascii="Times New Roman" w:eastAsia="宋体" w:hAnsi="Times New Roman" w:cs="Times New Roman"/>
          <w:bCs/>
          <w:color w:val="000000" w:themeColor="text1"/>
          <w:sz w:val="24"/>
          <w:szCs w:val="24"/>
        </w:rPr>
        <w:t>）；危险废物执行《危险废物贮存污染控制标准》（</w:t>
      </w:r>
      <w:r w:rsidRPr="00092862">
        <w:rPr>
          <w:rFonts w:ascii="Times New Roman" w:eastAsia="宋体" w:hAnsi="Times New Roman" w:cs="Times New Roman"/>
          <w:bCs/>
          <w:color w:val="000000" w:themeColor="text1"/>
          <w:sz w:val="24"/>
          <w:szCs w:val="24"/>
        </w:rPr>
        <w:t>GB18597-2001</w:t>
      </w:r>
      <w:r w:rsidRPr="00092862">
        <w:rPr>
          <w:rFonts w:ascii="Times New Roman" w:eastAsia="宋体" w:hAnsi="Times New Roman" w:cs="Times New Roman"/>
          <w:bCs/>
          <w:color w:val="000000" w:themeColor="text1"/>
          <w:sz w:val="24"/>
          <w:szCs w:val="24"/>
        </w:rPr>
        <w:t>）</w:t>
      </w:r>
      <w:r w:rsidR="00853A0F" w:rsidRPr="00092862">
        <w:rPr>
          <w:rFonts w:ascii="Times New Roman" w:eastAsia="宋体" w:hAnsi="Times New Roman" w:cs="Times New Roman"/>
          <w:bCs/>
          <w:color w:val="000000" w:themeColor="text1"/>
          <w:sz w:val="24"/>
          <w:szCs w:val="24"/>
        </w:rPr>
        <w:t>、《危险废物贮存污染控制标准》国家标准第</w:t>
      </w:r>
      <w:r w:rsidR="00853A0F" w:rsidRPr="00092862">
        <w:rPr>
          <w:rFonts w:ascii="Times New Roman" w:eastAsia="宋体" w:hAnsi="Times New Roman" w:cs="Times New Roman"/>
          <w:bCs/>
          <w:color w:val="000000" w:themeColor="text1"/>
          <w:sz w:val="24"/>
          <w:szCs w:val="24"/>
        </w:rPr>
        <w:t>1</w:t>
      </w:r>
      <w:r w:rsidR="00853A0F" w:rsidRPr="00092862">
        <w:rPr>
          <w:rFonts w:ascii="Times New Roman" w:eastAsia="宋体" w:hAnsi="Times New Roman" w:cs="Times New Roman"/>
          <w:bCs/>
          <w:color w:val="000000" w:themeColor="text1"/>
          <w:sz w:val="24"/>
          <w:szCs w:val="24"/>
        </w:rPr>
        <w:t>号修改单（</w:t>
      </w:r>
      <w:r w:rsidR="00853A0F" w:rsidRPr="00092862">
        <w:rPr>
          <w:rFonts w:ascii="Times New Roman" w:eastAsia="宋体" w:hAnsi="Times New Roman" w:cs="Times New Roman"/>
          <w:bCs/>
          <w:color w:val="000000" w:themeColor="text1"/>
          <w:sz w:val="24"/>
          <w:szCs w:val="24"/>
        </w:rPr>
        <w:t>GB18597</w:t>
      </w:r>
      <w:r w:rsidR="00853A0F" w:rsidRPr="00092862">
        <w:rPr>
          <w:rFonts w:ascii="Times New Roman" w:eastAsia="宋体" w:hAnsi="Times New Roman" w:cs="Times New Roman"/>
          <w:bCs/>
          <w:color w:val="000000" w:themeColor="text1"/>
          <w:sz w:val="24"/>
          <w:szCs w:val="24"/>
        </w:rPr>
        <w:t>－</w:t>
      </w:r>
      <w:r w:rsidR="00853A0F" w:rsidRPr="00092862">
        <w:rPr>
          <w:rFonts w:ascii="Times New Roman" w:eastAsia="宋体" w:hAnsi="Times New Roman" w:cs="Times New Roman"/>
          <w:bCs/>
          <w:color w:val="000000" w:themeColor="text1"/>
          <w:sz w:val="24"/>
          <w:szCs w:val="24"/>
        </w:rPr>
        <w:t>2001/XG1-2013</w:t>
      </w:r>
      <w:r w:rsidR="00853A0F"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和《关于发布</w:t>
      </w:r>
      <w:r w:rsidRPr="00092862">
        <w:rPr>
          <w:rFonts w:ascii="Times New Roman" w:eastAsia="宋体" w:hAnsi="Times New Roman" w:cs="Times New Roman"/>
          <w:bCs/>
          <w:color w:val="000000" w:themeColor="text1"/>
          <w:sz w:val="24"/>
          <w:szCs w:val="24"/>
        </w:rPr>
        <w:t>&lt;</w:t>
      </w:r>
      <w:r w:rsidRPr="00092862">
        <w:rPr>
          <w:rFonts w:ascii="Times New Roman" w:eastAsia="宋体" w:hAnsi="Times New Roman" w:cs="Times New Roman"/>
          <w:bCs/>
          <w:color w:val="000000" w:themeColor="text1"/>
          <w:sz w:val="24"/>
          <w:szCs w:val="24"/>
        </w:rPr>
        <w:t>一般工业固体废物贮存、处置场污染控制标准</w:t>
      </w:r>
      <w:r w:rsidRPr="00092862">
        <w:rPr>
          <w:rFonts w:ascii="Times New Roman" w:eastAsia="宋体" w:hAnsi="Times New Roman" w:cs="Times New Roman"/>
          <w:bCs/>
          <w:color w:val="000000" w:themeColor="text1"/>
          <w:sz w:val="24"/>
          <w:szCs w:val="24"/>
        </w:rPr>
        <w:t>&gt;</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GB18599-2001</w:t>
      </w:r>
      <w:r w:rsidRPr="00092862">
        <w:rPr>
          <w:rFonts w:ascii="Times New Roman" w:eastAsia="宋体" w:hAnsi="Times New Roman" w:cs="Times New Roman"/>
          <w:bCs/>
          <w:color w:val="000000" w:themeColor="text1"/>
          <w:sz w:val="24"/>
          <w:szCs w:val="24"/>
        </w:rPr>
        <w:t>）等</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项国家污染物控制标准修改单的公告》（环境保护部公告</w:t>
      </w:r>
      <w:r w:rsidRPr="00092862">
        <w:rPr>
          <w:rFonts w:ascii="Times New Roman" w:eastAsia="宋体" w:hAnsi="Times New Roman" w:cs="Times New Roman"/>
          <w:bCs/>
          <w:color w:val="000000" w:themeColor="text1"/>
          <w:sz w:val="24"/>
          <w:szCs w:val="24"/>
        </w:rPr>
        <w:t>2013</w:t>
      </w:r>
      <w:r w:rsidRPr="00092862">
        <w:rPr>
          <w:rFonts w:ascii="Times New Roman" w:eastAsia="宋体" w:hAnsi="Times New Roman" w:cs="Times New Roman"/>
          <w:bCs/>
          <w:color w:val="000000" w:themeColor="text1"/>
          <w:sz w:val="24"/>
          <w:szCs w:val="24"/>
        </w:rPr>
        <w:t>年第</w:t>
      </w:r>
      <w:r w:rsidRPr="00092862">
        <w:rPr>
          <w:rFonts w:ascii="Times New Roman" w:eastAsia="宋体" w:hAnsi="Times New Roman" w:cs="Times New Roman"/>
          <w:bCs/>
          <w:color w:val="000000" w:themeColor="text1"/>
          <w:sz w:val="24"/>
          <w:szCs w:val="24"/>
        </w:rPr>
        <w:t>36</w:t>
      </w:r>
      <w:r w:rsidRPr="00092862">
        <w:rPr>
          <w:rFonts w:ascii="Times New Roman" w:eastAsia="宋体" w:hAnsi="Times New Roman" w:cs="Times New Roman"/>
          <w:bCs/>
          <w:color w:val="000000" w:themeColor="text1"/>
          <w:sz w:val="24"/>
          <w:szCs w:val="24"/>
        </w:rPr>
        <w:t>号文）</w:t>
      </w:r>
      <w:r w:rsidR="006B6155" w:rsidRPr="00092862">
        <w:rPr>
          <w:rFonts w:ascii="Times New Roman" w:eastAsia="宋体" w:hAnsi="Times New Roman" w:cs="Times New Roman"/>
          <w:bCs/>
          <w:color w:val="000000" w:themeColor="text1"/>
          <w:sz w:val="24"/>
          <w:szCs w:val="24"/>
        </w:rPr>
        <w:t>和《危险废物环境管理指南</w:t>
      </w:r>
      <w:r w:rsidR="006B6155" w:rsidRPr="00092862">
        <w:rPr>
          <w:rFonts w:ascii="Times New Roman" w:eastAsia="宋体" w:hAnsi="Times New Roman" w:cs="Times New Roman"/>
          <w:bCs/>
          <w:color w:val="000000" w:themeColor="text1"/>
          <w:sz w:val="24"/>
          <w:szCs w:val="24"/>
        </w:rPr>
        <w:t xml:space="preserve"> </w:t>
      </w:r>
      <w:r w:rsidR="006B6155" w:rsidRPr="00092862">
        <w:rPr>
          <w:rFonts w:ascii="Times New Roman" w:eastAsia="宋体" w:hAnsi="Times New Roman" w:cs="Times New Roman"/>
          <w:bCs/>
          <w:color w:val="000000" w:themeColor="text1"/>
          <w:sz w:val="24"/>
          <w:szCs w:val="24"/>
        </w:rPr>
        <w:t>陆上石油天然气开采》</w:t>
      </w:r>
      <w:r w:rsidRPr="00092862">
        <w:rPr>
          <w:rFonts w:ascii="Times New Roman" w:eastAsia="宋体" w:hAnsi="Times New Roman" w:cs="Times New Roman"/>
          <w:bCs/>
          <w:color w:val="000000" w:themeColor="text1"/>
          <w:sz w:val="24"/>
          <w:szCs w:val="24"/>
        </w:rPr>
        <w:t>。</w:t>
      </w:r>
    </w:p>
    <w:p w14:paraId="65ADEDF0" w14:textId="77777777" w:rsidR="00DC446C" w:rsidRPr="00092862" w:rsidRDefault="003B1968" w:rsidP="00BA2AA3">
      <w:pPr>
        <w:pStyle w:val="2"/>
        <w:ind w:firstLine="480"/>
        <w:rPr>
          <w:color w:val="000000" w:themeColor="text1"/>
          <w:szCs w:val="24"/>
          <w:lang w:eastAsia="zh-CN"/>
        </w:rPr>
      </w:pPr>
      <w:bookmarkStart w:id="53" w:name="_Toc123682525"/>
      <w:r w:rsidRPr="00092862">
        <w:rPr>
          <w:color w:val="000000" w:themeColor="text1"/>
          <w:szCs w:val="24"/>
          <w:lang w:eastAsia="zh-CN"/>
        </w:rPr>
        <w:t>2.6</w:t>
      </w:r>
      <w:r w:rsidRPr="00092862">
        <w:rPr>
          <w:color w:val="000000" w:themeColor="text1"/>
          <w:szCs w:val="24"/>
          <w:lang w:eastAsia="zh-CN"/>
        </w:rPr>
        <w:t>评价工作等级和评价范围</w:t>
      </w:r>
      <w:bookmarkEnd w:id="53"/>
    </w:p>
    <w:p w14:paraId="5C8DED06" w14:textId="77777777" w:rsidR="00DC446C" w:rsidRPr="00092862" w:rsidRDefault="003B1968" w:rsidP="00BA2AA3">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54" w:name="_Toc120173070"/>
      <w:r w:rsidRPr="00092862">
        <w:rPr>
          <w:rFonts w:ascii="Times New Roman" w:eastAsia="黑体" w:hAnsi="Times New Roman"/>
          <w:b w:val="0"/>
          <w:color w:val="000000" w:themeColor="text1"/>
          <w:sz w:val="24"/>
          <w:szCs w:val="24"/>
          <w:lang w:eastAsia="zh-CN"/>
        </w:rPr>
        <w:t>2.6.1</w:t>
      </w:r>
      <w:r w:rsidR="002B051E" w:rsidRPr="00092862">
        <w:rPr>
          <w:rFonts w:ascii="Times New Roman" w:eastAsia="黑体" w:hAnsi="Times New Roman"/>
          <w:b w:val="0"/>
          <w:color w:val="000000" w:themeColor="text1"/>
          <w:sz w:val="24"/>
          <w:szCs w:val="24"/>
          <w:lang w:eastAsia="zh-CN"/>
        </w:rPr>
        <w:t>地表水</w:t>
      </w:r>
      <w:r w:rsidRPr="00092862">
        <w:rPr>
          <w:rFonts w:ascii="Times New Roman" w:eastAsia="黑体" w:hAnsi="Times New Roman"/>
          <w:b w:val="0"/>
          <w:color w:val="000000" w:themeColor="text1"/>
          <w:sz w:val="24"/>
          <w:szCs w:val="24"/>
          <w:lang w:eastAsia="zh-CN"/>
        </w:rPr>
        <w:t>环境</w:t>
      </w:r>
      <w:bookmarkEnd w:id="54"/>
    </w:p>
    <w:p w14:paraId="4BCADB0B" w14:textId="77777777" w:rsidR="00DC446C" w:rsidRPr="00092862" w:rsidRDefault="003B1968"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）评价工作等级</w:t>
      </w:r>
    </w:p>
    <w:p w14:paraId="404202FF" w14:textId="5B7C0F22" w:rsidR="002B051E" w:rsidRPr="00092862" w:rsidRDefault="00273994" w:rsidP="00BA2AA3">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剩余钻井废水暂存于清洁生产操作平台的废水罐内，经预处理后装车拉运至普光</w:t>
      </w:r>
      <w:r w:rsidRPr="00092862">
        <w:rPr>
          <w:rFonts w:ascii="Times New Roman" w:hAnsi="Times New Roman"/>
          <w:bCs/>
          <w:color w:val="000000" w:themeColor="text1"/>
          <w:szCs w:val="24"/>
        </w:rPr>
        <w:t>11</w:t>
      </w:r>
      <w:r w:rsidRPr="00092862">
        <w:rPr>
          <w:rFonts w:ascii="Times New Roman" w:hAnsi="Times New Roman"/>
          <w:bCs/>
          <w:color w:val="000000" w:themeColor="text1"/>
          <w:szCs w:val="24"/>
        </w:rPr>
        <w:t>井回注站回注；压裂废水和洗井废水暂存于放喷池，装车拉运至赵家坝污水处理站达标后管输至普光</w:t>
      </w:r>
      <w:r w:rsidRPr="00092862">
        <w:rPr>
          <w:rFonts w:ascii="Times New Roman" w:hAnsi="Times New Roman"/>
          <w:bCs/>
          <w:color w:val="000000" w:themeColor="text1"/>
          <w:szCs w:val="24"/>
        </w:rPr>
        <w:t>11</w:t>
      </w:r>
      <w:r w:rsidRPr="00092862">
        <w:rPr>
          <w:rFonts w:ascii="Times New Roman" w:hAnsi="Times New Roman"/>
          <w:bCs/>
          <w:color w:val="000000" w:themeColor="text1"/>
          <w:szCs w:val="24"/>
        </w:rPr>
        <w:t>井回注站回注</w:t>
      </w:r>
      <w:r w:rsidR="00576DE4" w:rsidRPr="00092862">
        <w:rPr>
          <w:rFonts w:ascii="Times New Roman" w:hAnsi="Times New Roman"/>
          <w:bCs/>
          <w:color w:val="000000" w:themeColor="text1"/>
          <w:szCs w:val="24"/>
        </w:rPr>
        <w:t>；</w:t>
      </w:r>
      <w:r w:rsidR="00BD7B0C" w:rsidRPr="00092862">
        <w:rPr>
          <w:rFonts w:ascii="Times New Roman" w:hAnsi="Times New Roman"/>
          <w:color w:val="000000" w:themeColor="text1"/>
        </w:rPr>
        <w:t>生活污水经生态厕所收集后定期由密闭罐车拉运至周边生活污水处理厂处理</w:t>
      </w:r>
      <w:r w:rsidR="00576DE4" w:rsidRPr="00092862">
        <w:rPr>
          <w:rFonts w:ascii="Times New Roman" w:hAnsi="Times New Roman"/>
          <w:bCs/>
          <w:color w:val="000000" w:themeColor="text1"/>
          <w:szCs w:val="24"/>
        </w:rPr>
        <w:t>。项目钻井期间无废水外排。为防止压裂返排液对地面集输管线造成腐蚀，</w:t>
      </w:r>
      <w:r w:rsidR="00072FEA" w:rsidRPr="00092862">
        <w:rPr>
          <w:rFonts w:ascii="Times New Roman" w:hAnsi="Times New Roman"/>
          <w:bCs/>
          <w:color w:val="000000" w:themeColor="text1"/>
          <w:szCs w:val="24"/>
        </w:rPr>
        <w:t>设置分酸装置（分离器）</w:t>
      </w:r>
      <w:r w:rsidR="00576DE4" w:rsidRPr="00092862">
        <w:rPr>
          <w:rFonts w:ascii="Times New Roman" w:hAnsi="Times New Roman"/>
          <w:bCs/>
          <w:color w:val="000000" w:themeColor="text1"/>
          <w:szCs w:val="24"/>
        </w:rPr>
        <w:t>，站场投产期间采气废水进入</w:t>
      </w:r>
      <w:r w:rsidR="00576DE4" w:rsidRPr="00092862">
        <w:rPr>
          <w:rFonts w:ascii="Times New Roman" w:hAnsi="Times New Roman"/>
          <w:color w:val="000000" w:themeColor="text1"/>
        </w:rPr>
        <w:t>火炬分液罐</w:t>
      </w:r>
      <w:r w:rsidR="00576DE4" w:rsidRPr="00092862">
        <w:rPr>
          <w:rFonts w:ascii="Times New Roman" w:hAnsi="Times New Roman"/>
          <w:bCs/>
          <w:color w:val="000000" w:themeColor="text1"/>
          <w:szCs w:val="24"/>
        </w:rPr>
        <w:t>，由罐车拉运至</w:t>
      </w:r>
      <w:r w:rsidR="005D5A22" w:rsidRPr="00092862">
        <w:rPr>
          <w:rFonts w:ascii="Times New Roman" w:hAnsi="Times New Roman"/>
          <w:bCs/>
          <w:color w:val="000000" w:themeColor="text1"/>
          <w:szCs w:val="24"/>
        </w:rPr>
        <w:t>赵家坝污水处理站达标后管输至普光</w:t>
      </w:r>
      <w:r w:rsidR="005D5A22" w:rsidRPr="00092862">
        <w:rPr>
          <w:rFonts w:ascii="Times New Roman" w:hAnsi="Times New Roman"/>
          <w:bCs/>
          <w:color w:val="000000" w:themeColor="text1"/>
          <w:szCs w:val="24"/>
        </w:rPr>
        <w:t>11</w:t>
      </w:r>
      <w:r w:rsidR="005D5A22" w:rsidRPr="00092862">
        <w:rPr>
          <w:rFonts w:ascii="Times New Roman" w:hAnsi="Times New Roman"/>
          <w:bCs/>
          <w:color w:val="000000" w:themeColor="text1"/>
          <w:szCs w:val="24"/>
        </w:rPr>
        <w:t>井回注站回注</w:t>
      </w:r>
      <w:r w:rsidR="00576DE4" w:rsidRPr="00092862">
        <w:rPr>
          <w:rFonts w:ascii="Times New Roman" w:hAnsi="Times New Roman"/>
          <w:bCs/>
          <w:color w:val="000000" w:themeColor="text1"/>
          <w:szCs w:val="24"/>
        </w:rPr>
        <w:t>；</w:t>
      </w:r>
      <w:r w:rsidR="00271DF7" w:rsidRPr="00092862">
        <w:rPr>
          <w:rFonts w:ascii="Times New Roman" w:hAnsi="Times New Roman"/>
          <w:bCs/>
          <w:color w:val="000000" w:themeColor="text1"/>
        </w:rPr>
        <w:t>试采期工作人员生活污水经站场化粪池处理后定期</w:t>
      </w:r>
      <w:r w:rsidR="00271DF7" w:rsidRPr="00092862">
        <w:rPr>
          <w:rFonts w:ascii="Times New Roman" w:hAnsi="Times New Roman"/>
          <w:bCs/>
          <w:color w:val="000000" w:themeColor="text1"/>
        </w:rPr>
        <w:lastRenderedPageBreak/>
        <w:t>由密闭罐车拉运至周边生活污水处理厂处理</w:t>
      </w:r>
      <w:r w:rsidR="00576DE4" w:rsidRPr="00092862">
        <w:rPr>
          <w:rFonts w:ascii="Times New Roman" w:hAnsi="Times New Roman"/>
          <w:bCs/>
          <w:color w:val="000000" w:themeColor="text1"/>
          <w:szCs w:val="24"/>
        </w:rPr>
        <w:t>。</w:t>
      </w:r>
    </w:p>
    <w:p w14:paraId="3F79CDD9" w14:textId="77777777" w:rsidR="00DC446C" w:rsidRPr="00092862" w:rsidRDefault="002B051E"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因此，本项目废水均不直接外排，</w:t>
      </w:r>
      <w:r w:rsidR="003B1968" w:rsidRPr="00092862">
        <w:rPr>
          <w:rFonts w:ascii="Times New Roman" w:eastAsia="宋体" w:hAnsi="Times New Roman" w:cs="Times New Roman"/>
          <w:bCs/>
          <w:color w:val="000000" w:themeColor="text1"/>
          <w:sz w:val="24"/>
          <w:szCs w:val="24"/>
        </w:rPr>
        <w:t>根据《环境影响评价技术导则地表水环境》（</w:t>
      </w:r>
      <w:r w:rsidR="003B1968" w:rsidRPr="00092862">
        <w:rPr>
          <w:rFonts w:ascii="Times New Roman" w:eastAsia="宋体" w:hAnsi="Times New Roman" w:cs="Times New Roman"/>
          <w:bCs/>
          <w:color w:val="000000" w:themeColor="text1"/>
          <w:sz w:val="24"/>
          <w:szCs w:val="24"/>
        </w:rPr>
        <w:t>HJ2.3-2018</w:t>
      </w:r>
      <w:r w:rsidR="003B1968" w:rsidRPr="00092862">
        <w:rPr>
          <w:rFonts w:ascii="Times New Roman" w:eastAsia="宋体" w:hAnsi="Times New Roman" w:cs="Times New Roman"/>
          <w:bCs/>
          <w:color w:val="000000" w:themeColor="text1"/>
          <w:sz w:val="24"/>
          <w:szCs w:val="24"/>
        </w:rPr>
        <w:t>）判定地表水评价等级为三级</w:t>
      </w:r>
      <w:r w:rsidR="003B1968" w:rsidRPr="00092862">
        <w:rPr>
          <w:rFonts w:ascii="Times New Roman" w:eastAsia="宋体" w:hAnsi="Times New Roman" w:cs="Times New Roman"/>
          <w:bCs/>
          <w:color w:val="000000" w:themeColor="text1"/>
          <w:sz w:val="24"/>
          <w:szCs w:val="24"/>
        </w:rPr>
        <w:t>B</w:t>
      </w:r>
      <w:r w:rsidR="003B1968" w:rsidRPr="00092862">
        <w:rPr>
          <w:rFonts w:ascii="Times New Roman" w:eastAsia="宋体" w:hAnsi="Times New Roman" w:cs="Times New Roman"/>
          <w:bCs/>
          <w:color w:val="000000" w:themeColor="text1"/>
          <w:sz w:val="24"/>
          <w:szCs w:val="24"/>
        </w:rPr>
        <w:t>。</w:t>
      </w:r>
    </w:p>
    <w:p w14:paraId="3EDAD62C"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2.6-1   </w:t>
      </w:r>
      <w:r w:rsidRPr="00092862">
        <w:rPr>
          <w:rFonts w:ascii="Times New Roman" w:eastAsia="黑体" w:hAnsi="Times New Roman"/>
          <w:color w:val="000000" w:themeColor="text1"/>
          <w:sz w:val="21"/>
          <w:szCs w:val="21"/>
          <w:lang w:eastAsia="zh-CN"/>
        </w:rPr>
        <w:t>地表水水污染型建设项目评价工作等级分级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42"/>
        <w:gridCol w:w="2356"/>
        <w:gridCol w:w="3124"/>
      </w:tblGrid>
      <w:tr w:rsidR="00697429" w:rsidRPr="00092862" w14:paraId="19BF8DFB" w14:textId="77777777">
        <w:trPr>
          <w:jc w:val="center"/>
        </w:trPr>
        <w:tc>
          <w:tcPr>
            <w:tcW w:w="2742" w:type="dxa"/>
            <w:vMerge w:val="restart"/>
            <w:tcBorders>
              <w:top w:val="single" w:sz="4" w:space="0" w:color="auto"/>
              <w:left w:val="single" w:sz="4" w:space="0" w:color="auto"/>
              <w:right w:val="single" w:sz="4" w:space="0" w:color="auto"/>
            </w:tcBorders>
            <w:vAlign w:val="center"/>
          </w:tcPr>
          <w:p w14:paraId="6C5735BE"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评价等级</w:t>
            </w:r>
          </w:p>
        </w:tc>
        <w:tc>
          <w:tcPr>
            <w:tcW w:w="5480" w:type="dxa"/>
            <w:gridSpan w:val="2"/>
            <w:tcBorders>
              <w:top w:val="single" w:sz="4" w:space="0" w:color="auto"/>
              <w:left w:val="single" w:sz="4" w:space="0" w:color="auto"/>
              <w:bottom w:val="single" w:sz="4" w:space="0" w:color="auto"/>
              <w:right w:val="single" w:sz="4" w:space="0" w:color="auto"/>
            </w:tcBorders>
            <w:vAlign w:val="center"/>
          </w:tcPr>
          <w:p w14:paraId="68B5991B"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判定依据</w:t>
            </w:r>
          </w:p>
        </w:tc>
      </w:tr>
      <w:tr w:rsidR="00697429" w:rsidRPr="00092862" w14:paraId="15D9476D" w14:textId="77777777">
        <w:trPr>
          <w:jc w:val="center"/>
        </w:trPr>
        <w:tc>
          <w:tcPr>
            <w:tcW w:w="2742" w:type="dxa"/>
            <w:vMerge/>
            <w:tcBorders>
              <w:left w:val="single" w:sz="4" w:space="0" w:color="auto"/>
              <w:bottom w:val="single" w:sz="4" w:space="0" w:color="auto"/>
              <w:right w:val="single" w:sz="4" w:space="0" w:color="auto"/>
            </w:tcBorders>
            <w:vAlign w:val="center"/>
          </w:tcPr>
          <w:p w14:paraId="64B6A29C" w14:textId="77777777" w:rsidR="00DC446C" w:rsidRPr="00092862" w:rsidRDefault="00DC446C" w:rsidP="003D2EEB">
            <w:pPr>
              <w:pStyle w:val="a5"/>
              <w:snapToGrid w:val="0"/>
              <w:spacing w:line="240" w:lineRule="auto"/>
              <w:rPr>
                <w:rFonts w:ascii="Times New Roman" w:hAnsi="Times New Roman"/>
                <w:color w:val="000000" w:themeColor="text1"/>
                <w:szCs w:val="21"/>
              </w:rPr>
            </w:pPr>
          </w:p>
        </w:tc>
        <w:tc>
          <w:tcPr>
            <w:tcW w:w="2356" w:type="dxa"/>
            <w:tcBorders>
              <w:top w:val="single" w:sz="4" w:space="0" w:color="auto"/>
              <w:left w:val="single" w:sz="4" w:space="0" w:color="auto"/>
              <w:bottom w:val="single" w:sz="4" w:space="0" w:color="auto"/>
              <w:right w:val="single" w:sz="4" w:space="0" w:color="auto"/>
            </w:tcBorders>
            <w:vAlign w:val="center"/>
          </w:tcPr>
          <w:p w14:paraId="4D891F00"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排放方式</w:t>
            </w:r>
          </w:p>
        </w:tc>
        <w:tc>
          <w:tcPr>
            <w:tcW w:w="3124" w:type="dxa"/>
            <w:tcBorders>
              <w:top w:val="single" w:sz="4" w:space="0" w:color="auto"/>
              <w:left w:val="single" w:sz="4" w:space="0" w:color="auto"/>
              <w:bottom w:val="single" w:sz="4" w:space="0" w:color="auto"/>
              <w:right w:val="single" w:sz="4" w:space="0" w:color="auto"/>
            </w:tcBorders>
            <w:vAlign w:val="center"/>
          </w:tcPr>
          <w:p w14:paraId="20772529" w14:textId="77777777" w:rsidR="00DC446C" w:rsidRPr="00092862" w:rsidRDefault="003B1968" w:rsidP="003D2EEB">
            <w:pPr>
              <w:pStyle w:val="a5"/>
              <w:snapToGrid w:val="0"/>
              <w:spacing w:line="240" w:lineRule="auto"/>
              <w:rPr>
                <w:rFonts w:ascii="Times New Roman" w:hAnsi="Times New Roman"/>
                <w:color w:val="000000" w:themeColor="text1"/>
                <w:szCs w:val="21"/>
                <w:shd w:val="pct10" w:color="auto" w:fill="FFFFFF"/>
              </w:rPr>
            </w:pPr>
            <w:r w:rsidRPr="00092862">
              <w:rPr>
                <w:rFonts w:ascii="Times New Roman" w:hAnsi="Times New Roman"/>
                <w:color w:val="000000" w:themeColor="text1"/>
                <w:szCs w:val="21"/>
              </w:rPr>
              <w:t>废水排放量</w:t>
            </w:r>
            <w:r w:rsidRPr="00092862">
              <w:rPr>
                <w:rFonts w:ascii="Times New Roman" w:hAnsi="Times New Roman"/>
                <w:color w:val="000000" w:themeColor="text1"/>
                <w:szCs w:val="21"/>
              </w:rPr>
              <w:t>Q/</w:t>
            </w:r>
            <w:r w:rsidRPr="00092862">
              <w:rPr>
                <w:rFonts w:ascii="Times New Roman" w:hAnsi="Times New Roman"/>
                <w:color w:val="000000" w:themeColor="text1"/>
                <w:szCs w:val="21"/>
              </w:rPr>
              <w:t>（</w:t>
            </w:r>
            <w:r w:rsidRPr="00092862">
              <w:rPr>
                <w:rFonts w:ascii="Times New Roman" w:hAnsi="Times New Roman"/>
                <w:color w:val="000000" w:themeColor="text1"/>
                <w:szCs w:val="21"/>
              </w:rPr>
              <w:t>m</w:t>
            </w:r>
            <w:r w:rsidRPr="00092862">
              <w:rPr>
                <w:rFonts w:ascii="Times New Roman" w:hAnsi="Times New Roman"/>
                <w:color w:val="000000" w:themeColor="text1"/>
                <w:szCs w:val="21"/>
                <w:vertAlign w:val="superscript"/>
              </w:rPr>
              <w:t>3</w:t>
            </w:r>
            <w:r w:rsidRPr="00092862">
              <w:rPr>
                <w:rFonts w:ascii="Times New Roman" w:hAnsi="Times New Roman"/>
                <w:color w:val="000000" w:themeColor="text1"/>
                <w:szCs w:val="21"/>
              </w:rPr>
              <w:t>/d</w:t>
            </w:r>
            <w:r w:rsidRPr="00092862">
              <w:rPr>
                <w:rFonts w:ascii="Times New Roman" w:hAnsi="Times New Roman"/>
                <w:color w:val="000000" w:themeColor="text1"/>
                <w:szCs w:val="21"/>
              </w:rPr>
              <w:t>）</w:t>
            </w:r>
            <w:r w:rsidR="007552D4" w:rsidRPr="00092862">
              <w:rPr>
                <w:rFonts w:ascii="Times New Roman" w:hAnsi="Times New Roman"/>
                <w:color w:val="000000" w:themeColor="text1"/>
                <w:szCs w:val="21"/>
              </w:rPr>
              <w:t>；</w:t>
            </w:r>
            <w:r w:rsidRPr="00092862">
              <w:rPr>
                <w:rFonts w:ascii="Times New Roman" w:hAnsi="Times New Roman"/>
                <w:color w:val="000000" w:themeColor="text1"/>
                <w:szCs w:val="21"/>
              </w:rPr>
              <w:t>水污染物当量</w:t>
            </w:r>
            <w:r w:rsidRPr="00092862">
              <w:rPr>
                <w:rFonts w:ascii="Times New Roman" w:hAnsi="Times New Roman"/>
                <w:color w:val="000000" w:themeColor="text1"/>
                <w:szCs w:val="21"/>
              </w:rPr>
              <w:t>W/</w:t>
            </w:r>
            <w:r w:rsidRPr="00092862">
              <w:rPr>
                <w:rFonts w:ascii="Times New Roman" w:hAnsi="Times New Roman"/>
                <w:color w:val="000000" w:themeColor="text1"/>
                <w:szCs w:val="21"/>
              </w:rPr>
              <w:t>（无量纲）</w:t>
            </w:r>
          </w:p>
        </w:tc>
      </w:tr>
      <w:tr w:rsidR="00697429" w:rsidRPr="00092862" w14:paraId="7A488EA9"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B95D68C"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一级</w:t>
            </w:r>
          </w:p>
        </w:tc>
        <w:tc>
          <w:tcPr>
            <w:tcW w:w="2356" w:type="dxa"/>
            <w:tcBorders>
              <w:top w:val="single" w:sz="4" w:space="0" w:color="auto"/>
              <w:left w:val="single" w:sz="4" w:space="0" w:color="auto"/>
              <w:bottom w:val="single" w:sz="4" w:space="0" w:color="auto"/>
              <w:right w:val="single" w:sz="4" w:space="0" w:color="auto"/>
            </w:tcBorders>
            <w:vAlign w:val="center"/>
          </w:tcPr>
          <w:p w14:paraId="4E548A4E"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C4ABD30"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Q≥20000</w:t>
            </w:r>
            <w:r w:rsidRPr="00092862">
              <w:rPr>
                <w:rFonts w:ascii="Times New Roman" w:hAnsi="Times New Roman"/>
                <w:color w:val="000000" w:themeColor="text1"/>
                <w:szCs w:val="21"/>
              </w:rPr>
              <w:t>或</w:t>
            </w:r>
            <w:r w:rsidRPr="00092862">
              <w:rPr>
                <w:rFonts w:ascii="Times New Roman" w:hAnsi="Times New Roman"/>
                <w:color w:val="000000" w:themeColor="text1"/>
                <w:szCs w:val="21"/>
              </w:rPr>
              <w:t>W≥600000</w:t>
            </w:r>
          </w:p>
        </w:tc>
      </w:tr>
      <w:tr w:rsidR="00697429" w:rsidRPr="00092862" w14:paraId="0B31BA6E"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C95DA63"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二级</w:t>
            </w:r>
          </w:p>
        </w:tc>
        <w:tc>
          <w:tcPr>
            <w:tcW w:w="2356" w:type="dxa"/>
            <w:tcBorders>
              <w:top w:val="single" w:sz="4" w:space="0" w:color="auto"/>
              <w:left w:val="single" w:sz="4" w:space="0" w:color="auto"/>
              <w:bottom w:val="single" w:sz="4" w:space="0" w:color="auto"/>
              <w:right w:val="single" w:sz="4" w:space="0" w:color="auto"/>
            </w:tcBorders>
            <w:vAlign w:val="center"/>
          </w:tcPr>
          <w:p w14:paraId="2BE7DE82"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794FF332"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其他</w:t>
            </w:r>
          </w:p>
        </w:tc>
      </w:tr>
      <w:tr w:rsidR="00697429" w:rsidRPr="00092862" w14:paraId="30B0BEC5"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DC9CBC8"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三级</w:t>
            </w:r>
            <w:r w:rsidRPr="00092862">
              <w:rPr>
                <w:rFonts w:ascii="Times New Roman" w:hAnsi="Times New Roman"/>
                <w:color w:val="000000" w:themeColor="text1"/>
                <w:szCs w:val="21"/>
              </w:rPr>
              <w:t>A</w:t>
            </w:r>
          </w:p>
        </w:tc>
        <w:tc>
          <w:tcPr>
            <w:tcW w:w="2356" w:type="dxa"/>
            <w:tcBorders>
              <w:top w:val="single" w:sz="4" w:space="0" w:color="auto"/>
              <w:left w:val="single" w:sz="4" w:space="0" w:color="auto"/>
              <w:bottom w:val="single" w:sz="4" w:space="0" w:color="auto"/>
              <w:right w:val="single" w:sz="4" w:space="0" w:color="auto"/>
            </w:tcBorders>
            <w:vAlign w:val="center"/>
          </w:tcPr>
          <w:p w14:paraId="119B6584"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119232BA"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Q</w:t>
            </w:r>
            <w:r w:rsidRPr="00092862">
              <w:rPr>
                <w:rFonts w:ascii="Times New Roman" w:hAnsi="Times New Roman"/>
                <w:color w:val="000000" w:themeColor="text1"/>
                <w:szCs w:val="21"/>
              </w:rPr>
              <w:t>＜</w:t>
            </w:r>
            <w:r w:rsidRPr="00092862">
              <w:rPr>
                <w:rFonts w:ascii="Times New Roman" w:hAnsi="Times New Roman"/>
                <w:color w:val="000000" w:themeColor="text1"/>
                <w:szCs w:val="21"/>
              </w:rPr>
              <w:t>200</w:t>
            </w:r>
            <w:r w:rsidRPr="00092862">
              <w:rPr>
                <w:rFonts w:ascii="Times New Roman" w:hAnsi="Times New Roman"/>
                <w:color w:val="000000" w:themeColor="text1"/>
                <w:szCs w:val="21"/>
              </w:rPr>
              <w:t>或</w:t>
            </w:r>
            <w:r w:rsidRPr="00092862">
              <w:rPr>
                <w:rFonts w:ascii="Times New Roman" w:hAnsi="Times New Roman"/>
                <w:color w:val="000000" w:themeColor="text1"/>
                <w:szCs w:val="21"/>
              </w:rPr>
              <w:t>W</w:t>
            </w:r>
            <w:r w:rsidRPr="00092862">
              <w:rPr>
                <w:rFonts w:ascii="Times New Roman" w:hAnsi="Times New Roman"/>
                <w:color w:val="000000" w:themeColor="text1"/>
                <w:szCs w:val="21"/>
              </w:rPr>
              <w:t>＜</w:t>
            </w:r>
            <w:r w:rsidRPr="00092862">
              <w:rPr>
                <w:rFonts w:ascii="Times New Roman" w:hAnsi="Times New Roman"/>
                <w:color w:val="000000" w:themeColor="text1"/>
                <w:szCs w:val="21"/>
              </w:rPr>
              <w:t>6000</w:t>
            </w:r>
          </w:p>
        </w:tc>
      </w:tr>
      <w:tr w:rsidR="00697429" w:rsidRPr="00092862" w14:paraId="5CA1D2FB"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0793640F"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三级</w:t>
            </w:r>
            <w:r w:rsidRPr="00092862">
              <w:rPr>
                <w:rFonts w:ascii="Times New Roman" w:hAnsi="Times New Roman"/>
                <w:color w:val="000000" w:themeColor="text1"/>
                <w:szCs w:val="21"/>
              </w:rPr>
              <w:t>B</w:t>
            </w:r>
          </w:p>
        </w:tc>
        <w:tc>
          <w:tcPr>
            <w:tcW w:w="2356" w:type="dxa"/>
            <w:tcBorders>
              <w:top w:val="single" w:sz="4" w:space="0" w:color="auto"/>
              <w:left w:val="single" w:sz="4" w:space="0" w:color="auto"/>
              <w:bottom w:val="single" w:sz="4" w:space="0" w:color="auto"/>
              <w:right w:val="single" w:sz="4" w:space="0" w:color="auto"/>
            </w:tcBorders>
            <w:vAlign w:val="center"/>
          </w:tcPr>
          <w:p w14:paraId="3C725AC8"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间接排放</w:t>
            </w:r>
          </w:p>
        </w:tc>
        <w:tc>
          <w:tcPr>
            <w:tcW w:w="3124" w:type="dxa"/>
            <w:tcBorders>
              <w:top w:val="single" w:sz="4" w:space="0" w:color="auto"/>
              <w:left w:val="single" w:sz="4" w:space="0" w:color="auto"/>
              <w:bottom w:val="single" w:sz="4" w:space="0" w:color="auto"/>
              <w:right w:val="single" w:sz="4" w:space="0" w:color="auto"/>
            </w:tcBorders>
            <w:vAlign w:val="center"/>
          </w:tcPr>
          <w:p w14:paraId="0A118180"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w:t>
            </w:r>
          </w:p>
        </w:tc>
      </w:tr>
    </w:tbl>
    <w:p w14:paraId="4727CBF6" w14:textId="77777777" w:rsidR="002B051E" w:rsidRPr="00092862" w:rsidRDefault="002B051E" w:rsidP="00072FEA">
      <w:pPr>
        <w:tabs>
          <w:tab w:val="left" w:pos="0"/>
        </w:tabs>
        <w:spacing w:beforeLines="50" w:before="156"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）评价范围</w:t>
      </w:r>
    </w:p>
    <w:p w14:paraId="545E47E3" w14:textId="77777777" w:rsidR="00576DE4" w:rsidRPr="00092862" w:rsidRDefault="00576DE4"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地表水环境》（</w:t>
      </w:r>
      <w:r w:rsidRPr="00092862">
        <w:rPr>
          <w:rFonts w:ascii="Times New Roman" w:eastAsia="宋体" w:hAnsi="Times New Roman" w:cs="Times New Roman"/>
          <w:bCs/>
          <w:color w:val="000000" w:themeColor="text1"/>
          <w:sz w:val="24"/>
          <w:szCs w:val="24"/>
        </w:rPr>
        <w:t>HJ2.3-2018</w:t>
      </w:r>
      <w:r w:rsidRPr="00092862">
        <w:rPr>
          <w:rFonts w:ascii="Times New Roman" w:eastAsia="宋体" w:hAnsi="Times New Roman" w:cs="Times New Roman"/>
          <w:bCs/>
          <w:color w:val="000000" w:themeColor="text1"/>
          <w:sz w:val="24"/>
          <w:szCs w:val="24"/>
        </w:rPr>
        <w:t>）中第</w:t>
      </w:r>
      <w:r w:rsidRPr="00092862">
        <w:rPr>
          <w:rFonts w:ascii="Times New Roman" w:eastAsia="宋体" w:hAnsi="Times New Roman" w:cs="Times New Roman"/>
          <w:bCs/>
          <w:color w:val="000000" w:themeColor="text1"/>
          <w:sz w:val="24"/>
          <w:szCs w:val="24"/>
        </w:rPr>
        <w:t>5.3.2.2</w:t>
      </w:r>
      <w:r w:rsidRPr="00092862">
        <w:rPr>
          <w:rFonts w:ascii="Times New Roman" w:eastAsia="宋体" w:hAnsi="Times New Roman" w:cs="Times New Roman"/>
          <w:bCs/>
          <w:color w:val="000000" w:themeColor="text1"/>
          <w:sz w:val="24"/>
          <w:szCs w:val="24"/>
        </w:rPr>
        <w:t>条规定，并结合项目实际情况，本次环评地表水环境影响评价不作预测评价，仅对污、废水的产生情况和气田水依托可行性等进行说明，并进行简单的环境影响分析。</w:t>
      </w:r>
    </w:p>
    <w:p w14:paraId="5CC881F8" w14:textId="3FF8A2C9" w:rsidR="002B051E" w:rsidRPr="00092862" w:rsidRDefault="00576DE4"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因此，本项目不设地表水评价范围。</w:t>
      </w:r>
    </w:p>
    <w:p w14:paraId="132EECA0" w14:textId="77777777" w:rsidR="002B051E" w:rsidRPr="00092862" w:rsidRDefault="002B051E" w:rsidP="00072FEA">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55" w:name="_Toc120173071"/>
      <w:r w:rsidRPr="00092862">
        <w:rPr>
          <w:rFonts w:ascii="Times New Roman" w:eastAsia="黑体" w:hAnsi="Times New Roman"/>
          <w:b w:val="0"/>
          <w:color w:val="000000" w:themeColor="text1"/>
          <w:sz w:val="24"/>
          <w:szCs w:val="24"/>
          <w:lang w:eastAsia="zh-CN"/>
        </w:rPr>
        <w:t>2.6.2</w:t>
      </w:r>
      <w:r w:rsidRPr="00092862">
        <w:rPr>
          <w:rFonts w:ascii="Times New Roman" w:eastAsia="黑体" w:hAnsi="Times New Roman"/>
          <w:b w:val="0"/>
          <w:color w:val="000000" w:themeColor="text1"/>
          <w:sz w:val="24"/>
          <w:szCs w:val="24"/>
          <w:lang w:eastAsia="zh-CN"/>
        </w:rPr>
        <w:t>地下水环境</w:t>
      </w:r>
      <w:bookmarkEnd w:id="55"/>
    </w:p>
    <w:p w14:paraId="0A386E53" w14:textId="77777777" w:rsidR="00DC446C" w:rsidRPr="00092862" w:rsidRDefault="003B1968"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2B051E"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）评价工作等级</w:t>
      </w:r>
    </w:p>
    <w:p w14:paraId="31ED2279" w14:textId="77777777" w:rsidR="00DC446C" w:rsidRPr="00092862" w:rsidRDefault="003B1968"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根据《环境影响评价导则</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地下水环境》（</w:t>
      </w:r>
      <w:r w:rsidRPr="00092862">
        <w:rPr>
          <w:rFonts w:ascii="Times New Roman" w:eastAsia="宋体" w:hAnsi="Times New Roman" w:cs="Times New Roman"/>
          <w:bCs/>
          <w:color w:val="000000" w:themeColor="text1"/>
          <w:sz w:val="24"/>
          <w:szCs w:val="24"/>
        </w:rPr>
        <w:t>HJ610-2016</w:t>
      </w:r>
      <w:r w:rsidRPr="00092862">
        <w:rPr>
          <w:rFonts w:ascii="Times New Roman" w:eastAsia="宋体" w:hAnsi="Times New Roman" w:cs="Times New Roman"/>
          <w:bCs/>
          <w:color w:val="000000" w:themeColor="text1"/>
          <w:sz w:val="24"/>
          <w:szCs w:val="24"/>
        </w:rPr>
        <w:t>），评价工作等级的划分应依据建设项目行业分类和地下水环境敏感程度分级进行判定，具体如下：</w:t>
      </w:r>
    </w:p>
    <w:p w14:paraId="715037E6" w14:textId="77777777" w:rsidR="00DC446C" w:rsidRPr="00092862" w:rsidRDefault="003B1968"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）建设项目行业分类</w:t>
      </w:r>
    </w:p>
    <w:p w14:paraId="2D7D5862" w14:textId="17B3FE10" w:rsidR="00DC446C" w:rsidRPr="00092862" w:rsidRDefault="003B1968"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本项目属天然气</w:t>
      </w:r>
      <w:r w:rsidR="008A6501"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项目，根据《环境影响评价导则</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地下水环境》（</w:t>
      </w:r>
      <w:r w:rsidRPr="00092862">
        <w:rPr>
          <w:rFonts w:ascii="Times New Roman" w:eastAsia="宋体" w:hAnsi="Times New Roman" w:cs="Times New Roman"/>
          <w:bCs/>
          <w:color w:val="000000" w:themeColor="text1"/>
          <w:sz w:val="24"/>
          <w:szCs w:val="24"/>
        </w:rPr>
        <w:t>HJ 610-2016</w:t>
      </w:r>
      <w:r w:rsidRPr="00092862">
        <w:rPr>
          <w:rFonts w:ascii="Times New Roman" w:eastAsia="宋体" w:hAnsi="Times New Roman" w:cs="Times New Roman"/>
          <w:bCs/>
          <w:color w:val="000000" w:themeColor="text1"/>
          <w:sz w:val="24"/>
          <w:szCs w:val="24"/>
        </w:rPr>
        <w:t>）附录</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地下水环境影响评价行业分类表，本项目属其中</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天然气、页岩气开采（含净化）</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，属于</w:t>
      </w:r>
      <w:r w:rsidRPr="00092862">
        <w:rPr>
          <w:rFonts w:ascii="Times New Roman" w:eastAsia="宋体" w:hAnsi="Times New Roman" w:cs="Times New Roman"/>
          <w:bCs/>
          <w:color w:val="000000" w:themeColor="text1"/>
          <w:sz w:val="24"/>
          <w:szCs w:val="24"/>
        </w:rPr>
        <w:t>II</w:t>
      </w:r>
      <w:r w:rsidRPr="00092862">
        <w:rPr>
          <w:rFonts w:ascii="Times New Roman" w:eastAsia="宋体" w:hAnsi="Times New Roman" w:cs="Times New Roman"/>
          <w:bCs/>
          <w:color w:val="000000" w:themeColor="text1"/>
          <w:sz w:val="24"/>
          <w:szCs w:val="24"/>
        </w:rPr>
        <w:t>类建设项目。</w:t>
      </w:r>
    </w:p>
    <w:p w14:paraId="3CB47BBF" w14:textId="77777777" w:rsidR="00DC446C" w:rsidRPr="00092862" w:rsidRDefault="003B1968" w:rsidP="00072FE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）建设项目地下水环境敏感程度</w:t>
      </w:r>
    </w:p>
    <w:p w14:paraId="72FC278C" w14:textId="77777777" w:rsidR="00DC446C" w:rsidRPr="00092862" w:rsidRDefault="003B1968" w:rsidP="00072FEA">
      <w:pPr>
        <w:tabs>
          <w:tab w:val="left" w:pos="0"/>
        </w:tabs>
        <w:spacing w:line="360" w:lineRule="auto"/>
        <w:ind w:firstLineChars="200" w:firstLine="480"/>
        <w:rPr>
          <w:rFonts w:ascii="Times New Roman" w:eastAsia="宋体" w:hAnsi="Times New Roman" w:cs="Times New Roman"/>
          <w:color w:val="000000" w:themeColor="text1"/>
          <w:szCs w:val="24"/>
        </w:rPr>
      </w:pPr>
      <w:r w:rsidRPr="00092862">
        <w:rPr>
          <w:rFonts w:ascii="Times New Roman" w:eastAsia="宋体" w:hAnsi="Times New Roman" w:cs="Times New Roman"/>
          <w:bCs/>
          <w:color w:val="000000" w:themeColor="text1"/>
          <w:sz w:val="24"/>
          <w:szCs w:val="24"/>
        </w:rPr>
        <w:t>建设项目地下水环境敏感程度可分为敏感、较敏感、不敏感三级，分级原则见表</w:t>
      </w:r>
      <w:r w:rsidR="007552D4" w:rsidRPr="00092862">
        <w:rPr>
          <w:rFonts w:ascii="Times New Roman" w:eastAsia="宋体" w:hAnsi="Times New Roman" w:cs="Times New Roman"/>
          <w:bCs/>
          <w:color w:val="000000" w:themeColor="text1"/>
          <w:sz w:val="24"/>
          <w:szCs w:val="24"/>
        </w:rPr>
        <w:t>2.6-2</w:t>
      </w:r>
      <w:r w:rsidRPr="00092862">
        <w:rPr>
          <w:rFonts w:ascii="Times New Roman" w:eastAsia="宋体" w:hAnsi="Times New Roman" w:cs="Times New Roman"/>
          <w:bCs/>
          <w:color w:val="000000" w:themeColor="text1"/>
          <w:sz w:val="24"/>
          <w:szCs w:val="24"/>
        </w:rPr>
        <w:t>。</w:t>
      </w:r>
    </w:p>
    <w:p w14:paraId="4E862BE8"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2.6-2  </w:t>
      </w:r>
      <w:r w:rsidRPr="00092862">
        <w:rPr>
          <w:rFonts w:ascii="Times New Roman" w:eastAsia="黑体" w:hAnsi="Times New Roman"/>
          <w:color w:val="000000" w:themeColor="text1"/>
          <w:sz w:val="21"/>
          <w:szCs w:val="21"/>
          <w:lang w:eastAsia="zh-CN"/>
        </w:rPr>
        <w:t>地下水环境敏感程度分级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1"/>
        <w:gridCol w:w="4231"/>
        <w:gridCol w:w="2840"/>
      </w:tblGrid>
      <w:tr w:rsidR="00697429" w:rsidRPr="00092862" w14:paraId="0777C0C0" w14:textId="77777777" w:rsidTr="0021034A">
        <w:trPr>
          <w:cantSplit/>
          <w:jc w:val="center"/>
        </w:trPr>
        <w:tc>
          <w:tcPr>
            <w:tcW w:w="1151" w:type="dxa"/>
            <w:vAlign w:val="center"/>
          </w:tcPr>
          <w:p w14:paraId="0C4F3B7A"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分级</w:t>
            </w:r>
          </w:p>
        </w:tc>
        <w:tc>
          <w:tcPr>
            <w:tcW w:w="4231" w:type="dxa"/>
            <w:vAlign w:val="center"/>
          </w:tcPr>
          <w:p w14:paraId="56A962C7"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项目场地的地下水环境敏感特征</w:t>
            </w:r>
          </w:p>
        </w:tc>
        <w:tc>
          <w:tcPr>
            <w:tcW w:w="2840" w:type="dxa"/>
            <w:vAlign w:val="center"/>
          </w:tcPr>
          <w:p w14:paraId="3B3F539F"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本工程</w:t>
            </w:r>
          </w:p>
        </w:tc>
      </w:tr>
      <w:tr w:rsidR="00697429" w:rsidRPr="00092862" w14:paraId="6373E5A4" w14:textId="77777777" w:rsidTr="0021034A">
        <w:trPr>
          <w:cantSplit/>
          <w:jc w:val="center"/>
        </w:trPr>
        <w:tc>
          <w:tcPr>
            <w:tcW w:w="1151" w:type="dxa"/>
            <w:vAlign w:val="center"/>
          </w:tcPr>
          <w:p w14:paraId="182A2BE4"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lastRenderedPageBreak/>
              <w:t>敏感</w:t>
            </w:r>
          </w:p>
        </w:tc>
        <w:tc>
          <w:tcPr>
            <w:tcW w:w="4231" w:type="dxa"/>
            <w:vAlign w:val="center"/>
          </w:tcPr>
          <w:p w14:paraId="24E28EC4"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14:paraId="228BACE1" w14:textId="7238E598" w:rsidR="00DC446C" w:rsidRPr="00092862" w:rsidRDefault="00BD31EB"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根据调查，本项目</w:t>
            </w:r>
            <w:r w:rsidR="00072FEA" w:rsidRPr="00092862">
              <w:rPr>
                <w:rFonts w:ascii="Times New Roman" w:eastAsia="宋体" w:hAnsi="Times New Roman" w:cs="Times New Roman"/>
                <w:color w:val="000000" w:themeColor="text1"/>
                <w:szCs w:val="21"/>
              </w:rPr>
              <w:t>未</w:t>
            </w:r>
            <w:r w:rsidRPr="00092862">
              <w:rPr>
                <w:rFonts w:ascii="Times New Roman" w:eastAsia="宋体" w:hAnsi="Times New Roman" w:cs="Times New Roman"/>
                <w:color w:val="000000" w:themeColor="text1"/>
                <w:szCs w:val="21"/>
              </w:rPr>
              <w:t>位于集中式饮用水源保护区和补给径流区内，也不涉及地下水环境相关的其它保护区和分布区；</w:t>
            </w:r>
            <w:r w:rsidR="00576DE4" w:rsidRPr="00092862">
              <w:rPr>
                <w:rFonts w:ascii="Times New Roman" w:eastAsia="宋体" w:hAnsi="Times New Roman" w:cs="Times New Roman"/>
                <w:color w:val="000000" w:themeColor="text1"/>
                <w:szCs w:val="21"/>
              </w:rPr>
              <w:t>根据现场问询，评价范围</w:t>
            </w:r>
            <w:r w:rsidR="00072FEA" w:rsidRPr="00092862">
              <w:rPr>
                <w:rFonts w:ascii="Times New Roman" w:eastAsia="宋体" w:hAnsi="Times New Roman" w:cs="Times New Roman"/>
                <w:color w:val="000000" w:themeColor="text1"/>
                <w:szCs w:val="21"/>
              </w:rPr>
              <w:t>内</w:t>
            </w:r>
            <w:r w:rsidR="00576DE4" w:rsidRPr="00092862">
              <w:rPr>
                <w:rFonts w:ascii="Times New Roman" w:eastAsia="宋体" w:hAnsi="Times New Roman" w:cs="Times New Roman"/>
                <w:color w:val="000000" w:themeColor="text1"/>
                <w:szCs w:val="21"/>
              </w:rPr>
              <w:t>农户饮水均为自来水</w:t>
            </w:r>
            <w:r w:rsidR="005514AD" w:rsidRPr="00092862">
              <w:rPr>
                <w:rFonts w:ascii="Times New Roman" w:eastAsia="宋体" w:hAnsi="Times New Roman" w:cs="Times New Roman"/>
                <w:color w:val="000000" w:themeColor="text1"/>
                <w:szCs w:val="21"/>
              </w:rPr>
              <w:t>（宣汉县普光镇供水站</w:t>
            </w:r>
            <w:r w:rsidR="005A2577" w:rsidRPr="00092862">
              <w:rPr>
                <w:rFonts w:ascii="Times New Roman" w:eastAsia="宋体" w:hAnsi="Times New Roman" w:cs="Times New Roman"/>
                <w:color w:val="000000" w:themeColor="text1"/>
                <w:szCs w:val="21"/>
              </w:rPr>
              <w:t>，水源为河流型，水源地名称为宣汉县普光镇千河沟徐家梁（村级）集中式饮用水水源地，本项目不涉及其一级、二级保护区</w:t>
            </w:r>
            <w:r w:rsidR="005514AD" w:rsidRPr="00092862">
              <w:rPr>
                <w:rFonts w:ascii="Times New Roman" w:eastAsia="宋体" w:hAnsi="Times New Roman" w:cs="Times New Roman"/>
                <w:color w:val="000000" w:themeColor="text1"/>
                <w:szCs w:val="21"/>
              </w:rPr>
              <w:t>）</w:t>
            </w:r>
            <w:r w:rsidR="005A2577" w:rsidRPr="00092862">
              <w:rPr>
                <w:rFonts w:ascii="Times New Roman" w:eastAsia="宋体" w:hAnsi="Times New Roman" w:cs="Times New Roman"/>
                <w:color w:val="000000" w:themeColor="text1"/>
                <w:szCs w:val="21"/>
              </w:rPr>
              <w:t>，评价范围内分布有少量井泉，居民均未饮用</w:t>
            </w:r>
            <w:r w:rsidR="00576DE4" w:rsidRPr="00092862">
              <w:rPr>
                <w:rFonts w:ascii="Times New Roman" w:eastAsia="宋体" w:hAnsi="Times New Roman" w:cs="Times New Roman"/>
                <w:color w:val="000000" w:themeColor="text1"/>
                <w:szCs w:val="21"/>
              </w:rPr>
              <w:t>。因此，评价区地下水环境敏感程度可定为</w:t>
            </w:r>
            <w:r w:rsidR="00576DE4" w:rsidRPr="00092862">
              <w:rPr>
                <w:rFonts w:ascii="Times New Roman" w:eastAsia="宋体" w:hAnsi="Times New Roman" w:cs="Times New Roman"/>
                <w:b/>
                <w:bCs/>
                <w:color w:val="000000" w:themeColor="text1"/>
                <w:szCs w:val="21"/>
              </w:rPr>
              <w:t>“</w:t>
            </w:r>
            <w:r w:rsidR="00576DE4" w:rsidRPr="00092862">
              <w:rPr>
                <w:rFonts w:ascii="Times New Roman" w:eastAsia="宋体" w:hAnsi="Times New Roman" w:cs="Times New Roman"/>
                <w:b/>
                <w:bCs/>
                <w:color w:val="000000" w:themeColor="text1"/>
                <w:szCs w:val="21"/>
              </w:rPr>
              <w:t>不敏感</w:t>
            </w:r>
            <w:r w:rsidR="00576DE4" w:rsidRPr="00092862">
              <w:rPr>
                <w:rFonts w:ascii="Times New Roman" w:eastAsia="宋体" w:hAnsi="Times New Roman" w:cs="Times New Roman"/>
                <w:b/>
                <w:bCs/>
                <w:color w:val="000000" w:themeColor="text1"/>
                <w:szCs w:val="21"/>
              </w:rPr>
              <w:t>”</w:t>
            </w:r>
            <w:r w:rsidR="00576DE4" w:rsidRPr="00092862">
              <w:rPr>
                <w:rFonts w:ascii="Times New Roman" w:eastAsia="宋体" w:hAnsi="Times New Roman" w:cs="Times New Roman"/>
                <w:color w:val="000000" w:themeColor="text1"/>
                <w:szCs w:val="21"/>
              </w:rPr>
              <w:t>。</w:t>
            </w:r>
            <w:r w:rsidR="003B2659" w:rsidRPr="00092862">
              <w:rPr>
                <w:rFonts w:ascii="Times New Roman" w:eastAsia="宋体" w:hAnsi="Times New Roman" w:cs="Times New Roman"/>
                <w:color w:val="000000" w:themeColor="text1"/>
                <w:szCs w:val="21"/>
              </w:rPr>
              <w:t>但本次评价从保守角度考虑，仍将评价区地下水环境敏感程度可定为</w:t>
            </w:r>
            <w:r w:rsidR="003B2659" w:rsidRPr="00092862">
              <w:rPr>
                <w:rFonts w:ascii="Times New Roman" w:eastAsia="宋体" w:hAnsi="Times New Roman" w:cs="Times New Roman"/>
                <w:b/>
                <w:bCs/>
                <w:color w:val="000000" w:themeColor="text1"/>
                <w:szCs w:val="21"/>
              </w:rPr>
              <w:t>“</w:t>
            </w:r>
            <w:r w:rsidR="003B2659" w:rsidRPr="00092862">
              <w:rPr>
                <w:rFonts w:ascii="Times New Roman" w:eastAsia="宋体" w:hAnsi="Times New Roman" w:cs="Times New Roman"/>
                <w:b/>
                <w:bCs/>
                <w:color w:val="000000" w:themeColor="text1"/>
                <w:szCs w:val="21"/>
              </w:rPr>
              <w:t>较敏感</w:t>
            </w:r>
            <w:r w:rsidR="003B2659" w:rsidRPr="00092862">
              <w:rPr>
                <w:rFonts w:ascii="Times New Roman" w:eastAsia="宋体" w:hAnsi="Times New Roman" w:cs="Times New Roman"/>
                <w:b/>
                <w:bCs/>
                <w:color w:val="000000" w:themeColor="text1"/>
                <w:szCs w:val="21"/>
              </w:rPr>
              <w:t>”</w:t>
            </w:r>
            <w:r w:rsidR="003B2659" w:rsidRPr="00092862">
              <w:rPr>
                <w:rFonts w:ascii="Times New Roman" w:eastAsia="宋体" w:hAnsi="Times New Roman" w:cs="Times New Roman"/>
                <w:color w:val="000000" w:themeColor="text1"/>
                <w:szCs w:val="21"/>
              </w:rPr>
              <w:t>进行分析预测</w:t>
            </w:r>
          </w:p>
        </w:tc>
      </w:tr>
      <w:tr w:rsidR="00697429" w:rsidRPr="00092862" w14:paraId="132988DB" w14:textId="77777777" w:rsidTr="0021034A">
        <w:trPr>
          <w:cantSplit/>
          <w:jc w:val="center"/>
        </w:trPr>
        <w:tc>
          <w:tcPr>
            <w:tcW w:w="1151" w:type="dxa"/>
            <w:vAlign w:val="center"/>
          </w:tcPr>
          <w:p w14:paraId="703D9D5E"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b/>
                <w:bCs/>
                <w:color w:val="000000" w:themeColor="text1"/>
                <w:szCs w:val="21"/>
              </w:rPr>
              <w:t>较敏感（</w:t>
            </w:r>
            <w:r w:rsidRPr="00092862">
              <w:rPr>
                <w:rFonts w:ascii="Times New Roman" w:hAnsi="Times New Roman"/>
                <w:b/>
                <w:bCs/>
                <w:color w:val="000000" w:themeColor="text1"/>
                <w:szCs w:val="21"/>
              </w:rPr>
              <w:t>√</w:t>
            </w:r>
            <w:r w:rsidRPr="00092862">
              <w:rPr>
                <w:rFonts w:ascii="Times New Roman" w:hAnsi="Times New Roman"/>
                <w:b/>
                <w:bCs/>
                <w:color w:val="000000" w:themeColor="text1"/>
                <w:szCs w:val="21"/>
              </w:rPr>
              <w:t>）</w:t>
            </w:r>
          </w:p>
        </w:tc>
        <w:tc>
          <w:tcPr>
            <w:tcW w:w="4231" w:type="dxa"/>
            <w:vAlign w:val="center"/>
          </w:tcPr>
          <w:p w14:paraId="06CB025B"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集中式饮用水源地（包括已建成的在用、备用、应急水源地，在建和规划的水源地）准保护区以外的补给径流区；</w:t>
            </w:r>
            <w:r w:rsidRPr="00092862">
              <w:rPr>
                <w:rFonts w:ascii="Times New Roman" w:hAnsi="Times New Roman"/>
                <w:bCs/>
                <w:color w:val="000000" w:themeColor="text1"/>
                <w:szCs w:val="21"/>
              </w:rPr>
              <w:t>未划定准保护区的集中式饮用水源地，</w:t>
            </w:r>
            <w:r w:rsidRPr="00092862">
              <w:rPr>
                <w:rFonts w:ascii="Times New Roman" w:hAnsi="Times New Roman"/>
                <w:color w:val="000000" w:themeColor="text1"/>
                <w:szCs w:val="21"/>
              </w:rPr>
              <w:t>其保护区以外的补给径流区；分散式饮用水源地；特殊地下水资源（如矿泉水、温泉等）保护区以外的分布区以及分散居民饮用水源等其它未列入上述敏感分级的环境敏感区</w:t>
            </w:r>
          </w:p>
        </w:tc>
        <w:tc>
          <w:tcPr>
            <w:tcW w:w="2840" w:type="dxa"/>
            <w:vMerge/>
            <w:vAlign w:val="center"/>
          </w:tcPr>
          <w:p w14:paraId="3526236B" w14:textId="77777777" w:rsidR="00DC446C" w:rsidRPr="00092862" w:rsidRDefault="00DC446C" w:rsidP="003D2EEB">
            <w:pPr>
              <w:pStyle w:val="a5"/>
              <w:snapToGrid w:val="0"/>
              <w:spacing w:line="240" w:lineRule="auto"/>
              <w:rPr>
                <w:rFonts w:ascii="Times New Roman" w:hAnsi="Times New Roman"/>
                <w:color w:val="000000" w:themeColor="text1"/>
                <w:szCs w:val="21"/>
              </w:rPr>
            </w:pPr>
          </w:p>
        </w:tc>
      </w:tr>
      <w:tr w:rsidR="00697429" w:rsidRPr="00092862" w14:paraId="5085BC42" w14:textId="77777777" w:rsidTr="0021034A">
        <w:trPr>
          <w:cantSplit/>
          <w:jc w:val="center"/>
        </w:trPr>
        <w:tc>
          <w:tcPr>
            <w:tcW w:w="1151" w:type="dxa"/>
            <w:vAlign w:val="center"/>
          </w:tcPr>
          <w:p w14:paraId="3B73E9E3" w14:textId="77777777" w:rsidR="00DC446C" w:rsidRPr="00092862" w:rsidRDefault="003B1968" w:rsidP="003D2EEB">
            <w:pPr>
              <w:pStyle w:val="a5"/>
              <w:snapToGrid w:val="0"/>
              <w:spacing w:line="240" w:lineRule="auto"/>
              <w:rPr>
                <w:rFonts w:ascii="Times New Roman" w:hAnsi="Times New Roman"/>
                <w:color w:val="000000" w:themeColor="text1"/>
                <w:szCs w:val="21"/>
                <w:u w:val="single"/>
              </w:rPr>
            </w:pPr>
            <w:r w:rsidRPr="00092862">
              <w:rPr>
                <w:rFonts w:ascii="Times New Roman" w:hAnsi="Times New Roman"/>
                <w:color w:val="000000" w:themeColor="text1"/>
                <w:szCs w:val="21"/>
              </w:rPr>
              <w:t>不敏感</w:t>
            </w:r>
          </w:p>
        </w:tc>
        <w:tc>
          <w:tcPr>
            <w:tcW w:w="4231" w:type="dxa"/>
            <w:vAlign w:val="center"/>
          </w:tcPr>
          <w:p w14:paraId="68E0895F"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上述地区之外的其它地区</w:t>
            </w:r>
          </w:p>
        </w:tc>
        <w:tc>
          <w:tcPr>
            <w:tcW w:w="2840" w:type="dxa"/>
            <w:vMerge/>
            <w:vAlign w:val="center"/>
          </w:tcPr>
          <w:p w14:paraId="0902EE89" w14:textId="77777777" w:rsidR="00DC446C" w:rsidRPr="00092862" w:rsidRDefault="00DC446C" w:rsidP="003D2EEB">
            <w:pPr>
              <w:pStyle w:val="a5"/>
              <w:snapToGrid w:val="0"/>
              <w:spacing w:line="240" w:lineRule="auto"/>
              <w:rPr>
                <w:rFonts w:ascii="Times New Roman" w:hAnsi="Times New Roman"/>
                <w:color w:val="000000" w:themeColor="text1"/>
                <w:szCs w:val="21"/>
              </w:rPr>
            </w:pPr>
          </w:p>
        </w:tc>
      </w:tr>
    </w:tbl>
    <w:p w14:paraId="35941C8C" w14:textId="3522DC75" w:rsidR="00DC446C" w:rsidRPr="00092862" w:rsidRDefault="003B1968" w:rsidP="00072FEA">
      <w:pPr>
        <w:tabs>
          <w:tab w:val="left" w:pos="0"/>
        </w:tabs>
        <w:spacing w:line="360" w:lineRule="auto"/>
        <w:ind w:firstLineChars="200" w:firstLine="480"/>
        <w:rPr>
          <w:rFonts w:ascii="Times New Roman" w:hAnsi="Times New Roman" w:cs="Times New Roman"/>
          <w:color w:val="000000" w:themeColor="text1"/>
          <w:sz w:val="24"/>
          <w:szCs w:val="24"/>
        </w:rPr>
      </w:pPr>
      <w:r w:rsidRPr="00092862">
        <w:rPr>
          <w:rFonts w:ascii="Times New Roman" w:hAnsi="Times New Roman" w:cs="Times New Roman"/>
          <w:color w:val="000000" w:themeColor="text1"/>
          <w:sz w:val="24"/>
          <w:szCs w:val="24"/>
        </w:rPr>
        <w:t>3</w:t>
      </w:r>
      <w:r w:rsidRPr="00092862">
        <w:rPr>
          <w:rFonts w:ascii="Times New Roman" w:hAnsi="Times New Roman" w:cs="Times New Roman"/>
          <w:color w:val="000000" w:themeColor="text1"/>
          <w:sz w:val="24"/>
          <w:szCs w:val="24"/>
        </w:rPr>
        <w:t>）地下水评价等级确定</w:t>
      </w:r>
    </w:p>
    <w:p w14:paraId="0E180845" w14:textId="77777777"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2.6-3  </w:t>
      </w:r>
      <w:r w:rsidRPr="00092862">
        <w:rPr>
          <w:rFonts w:ascii="Times New Roman" w:eastAsia="黑体" w:hAnsi="Times New Roman"/>
          <w:color w:val="000000" w:themeColor="text1"/>
          <w:sz w:val="21"/>
          <w:szCs w:val="21"/>
          <w:lang w:eastAsia="zh-CN"/>
        </w:rPr>
        <w:t>地下水评价工作等级分级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6"/>
        <w:gridCol w:w="2056"/>
        <w:gridCol w:w="2055"/>
        <w:gridCol w:w="2055"/>
      </w:tblGrid>
      <w:tr w:rsidR="00697429" w:rsidRPr="00092862" w14:paraId="1CEB5954" w14:textId="77777777" w:rsidTr="009F4E51">
        <w:trPr>
          <w:jc w:val="center"/>
        </w:trPr>
        <w:tc>
          <w:tcPr>
            <w:tcW w:w="2129" w:type="dxa"/>
            <w:tcBorders>
              <w:top w:val="single" w:sz="4" w:space="0" w:color="auto"/>
              <w:left w:val="single" w:sz="4" w:space="0" w:color="auto"/>
              <w:bottom w:val="single" w:sz="4" w:space="0" w:color="auto"/>
              <w:right w:val="single" w:sz="4" w:space="0" w:color="auto"/>
              <w:tl2br w:val="single" w:sz="4" w:space="0" w:color="auto"/>
            </w:tcBorders>
            <w:vAlign w:val="center"/>
          </w:tcPr>
          <w:p w14:paraId="4B01F7A3" w14:textId="77777777" w:rsidR="00DC446C" w:rsidRPr="00092862" w:rsidRDefault="003B1968" w:rsidP="003D2EEB">
            <w:pPr>
              <w:pStyle w:val="a5"/>
              <w:snapToGrid w:val="0"/>
              <w:spacing w:line="240" w:lineRule="auto"/>
              <w:jc w:val="right"/>
              <w:rPr>
                <w:rFonts w:ascii="Times New Roman" w:hAnsi="Times New Roman"/>
                <w:color w:val="000000" w:themeColor="text1"/>
                <w:szCs w:val="21"/>
              </w:rPr>
            </w:pPr>
            <w:r w:rsidRPr="00092862">
              <w:rPr>
                <w:rFonts w:ascii="Times New Roman" w:hAnsi="Times New Roman"/>
                <w:color w:val="000000" w:themeColor="text1"/>
                <w:szCs w:val="21"/>
              </w:rPr>
              <w:t>项目类别</w:t>
            </w:r>
          </w:p>
          <w:p w14:paraId="25860760" w14:textId="77777777" w:rsidR="00DC446C" w:rsidRPr="00092862" w:rsidRDefault="003B1968" w:rsidP="003D2EEB">
            <w:pPr>
              <w:pStyle w:val="a5"/>
              <w:snapToGrid w:val="0"/>
              <w:spacing w:line="240" w:lineRule="auto"/>
              <w:jc w:val="left"/>
              <w:rPr>
                <w:rFonts w:ascii="Times New Roman" w:hAnsi="Times New Roman"/>
                <w:color w:val="000000" w:themeColor="text1"/>
                <w:szCs w:val="21"/>
              </w:rPr>
            </w:pPr>
            <w:r w:rsidRPr="00092862">
              <w:rPr>
                <w:rFonts w:ascii="Times New Roman" w:hAnsi="Times New Roman"/>
                <w:color w:val="000000" w:themeColor="text1"/>
                <w:szCs w:val="21"/>
              </w:rPr>
              <w:t>环境敏感程度</w:t>
            </w:r>
          </w:p>
        </w:tc>
        <w:tc>
          <w:tcPr>
            <w:tcW w:w="2130" w:type="dxa"/>
            <w:tcBorders>
              <w:top w:val="single" w:sz="4" w:space="0" w:color="auto"/>
              <w:left w:val="single" w:sz="4" w:space="0" w:color="auto"/>
              <w:bottom w:val="single" w:sz="4" w:space="0" w:color="auto"/>
              <w:right w:val="single" w:sz="4" w:space="0" w:color="auto"/>
            </w:tcBorders>
            <w:vAlign w:val="center"/>
          </w:tcPr>
          <w:p w14:paraId="21D5BB94"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fldChar w:fldCharType="begin"/>
            </w:r>
            <w:r w:rsidRPr="00092862">
              <w:rPr>
                <w:rFonts w:ascii="Times New Roman" w:hAnsi="Times New Roman"/>
                <w:color w:val="000000" w:themeColor="text1"/>
                <w:szCs w:val="21"/>
              </w:rPr>
              <w:instrText xml:space="preserve"> = 1 \* ROMAN </w:instrText>
            </w:r>
            <w:r w:rsidRPr="00092862">
              <w:rPr>
                <w:rFonts w:ascii="Times New Roman" w:hAnsi="Times New Roman"/>
                <w:color w:val="000000" w:themeColor="text1"/>
                <w:szCs w:val="21"/>
              </w:rPr>
              <w:fldChar w:fldCharType="separate"/>
            </w:r>
            <w:r w:rsidRPr="00092862">
              <w:rPr>
                <w:rFonts w:ascii="Times New Roman" w:hAnsi="Times New Roman"/>
                <w:color w:val="000000" w:themeColor="text1"/>
                <w:szCs w:val="21"/>
              </w:rPr>
              <w:t>I</w:t>
            </w:r>
            <w:r w:rsidRPr="00092862">
              <w:rPr>
                <w:rFonts w:ascii="Times New Roman" w:hAnsi="Times New Roman"/>
                <w:color w:val="000000" w:themeColor="text1"/>
                <w:szCs w:val="21"/>
              </w:rPr>
              <w:fldChar w:fldCharType="end"/>
            </w:r>
            <w:r w:rsidRPr="00092862">
              <w:rPr>
                <w:rFonts w:ascii="Times New Roman" w:hAnsi="Times New Roman"/>
                <w:color w:val="000000" w:themeColor="text1"/>
                <w:szCs w:val="21"/>
              </w:rPr>
              <w:t>类项目</w:t>
            </w:r>
          </w:p>
        </w:tc>
        <w:tc>
          <w:tcPr>
            <w:tcW w:w="2128" w:type="dxa"/>
            <w:tcBorders>
              <w:top w:val="single" w:sz="4" w:space="0" w:color="auto"/>
              <w:left w:val="single" w:sz="4" w:space="0" w:color="auto"/>
              <w:bottom w:val="single" w:sz="4" w:space="0" w:color="auto"/>
              <w:right w:val="single" w:sz="4" w:space="0" w:color="auto"/>
            </w:tcBorders>
            <w:vAlign w:val="center"/>
          </w:tcPr>
          <w:p w14:paraId="1F89DE1B"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b/>
                <w:bCs/>
                <w:color w:val="000000" w:themeColor="text1"/>
                <w:szCs w:val="21"/>
              </w:rPr>
              <w:fldChar w:fldCharType="begin"/>
            </w:r>
            <w:r w:rsidRPr="00092862">
              <w:rPr>
                <w:rFonts w:ascii="Times New Roman" w:hAnsi="Times New Roman"/>
                <w:b/>
                <w:bCs/>
                <w:color w:val="000000" w:themeColor="text1"/>
                <w:szCs w:val="21"/>
              </w:rPr>
              <w:instrText xml:space="preserve"> = 2 \* ROMAN </w:instrText>
            </w:r>
            <w:r w:rsidRPr="00092862">
              <w:rPr>
                <w:rFonts w:ascii="Times New Roman" w:hAnsi="Times New Roman"/>
                <w:b/>
                <w:bCs/>
                <w:color w:val="000000" w:themeColor="text1"/>
                <w:szCs w:val="21"/>
              </w:rPr>
              <w:fldChar w:fldCharType="separate"/>
            </w:r>
            <w:r w:rsidRPr="00092862">
              <w:rPr>
                <w:rFonts w:ascii="Times New Roman" w:hAnsi="Times New Roman"/>
                <w:b/>
                <w:bCs/>
                <w:color w:val="000000" w:themeColor="text1"/>
                <w:szCs w:val="21"/>
              </w:rPr>
              <w:t>II</w:t>
            </w:r>
            <w:r w:rsidRPr="00092862">
              <w:rPr>
                <w:rFonts w:ascii="Times New Roman" w:hAnsi="Times New Roman"/>
                <w:b/>
                <w:bCs/>
                <w:color w:val="000000" w:themeColor="text1"/>
                <w:szCs w:val="21"/>
              </w:rPr>
              <w:fldChar w:fldCharType="end"/>
            </w:r>
            <w:r w:rsidRPr="00092862">
              <w:rPr>
                <w:rFonts w:ascii="Times New Roman" w:hAnsi="Times New Roman"/>
                <w:b/>
                <w:bCs/>
                <w:color w:val="000000" w:themeColor="text1"/>
                <w:szCs w:val="21"/>
              </w:rPr>
              <w:t>类项目</w:t>
            </w:r>
          </w:p>
        </w:tc>
        <w:tc>
          <w:tcPr>
            <w:tcW w:w="2129" w:type="dxa"/>
            <w:tcBorders>
              <w:top w:val="single" w:sz="4" w:space="0" w:color="auto"/>
              <w:left w:val="single" w:sz="4" w:space="0" w:color="auto"/>
              <w:bottom w:val="single" w:sz="4" w:space="0" w:color="auto"/>
              <w:right w:val="single" w:sz="4" w:space="0" w:color="auto"/>
            </w:tcBorders>
            <w:vAlign w:val="center"/>
          </w:tcPr>
          <w:p w14:paraId="071A7446"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fldChar w:fldCharType="begin"/>
            </w:r>
            <w:r w:rsidRPr="00092862">
              <w:rPr>
                <w:rFonts w:ascii="Times New Roman" w:hAnsi="Times New Roman"/>
                <w:color w:val="000000" w:themeColor="text1"/>
                <w:szCs w:val="21"/>
              </w:rPr>
              <w:instrText xml:space="preserve"> = 3 \* ROMAN </w:instrText>
            </w:r>
            <w:r w:rsidRPr="00092862">
              <w:rPr>
                <w:rFonts w:ascii="Times New Roman" w:hAnsi="Times New Roman"/>
                <w:color w:val="000000" w:themeColor="text1"/>
                <w:szCs w:val="21"/>
              </w:rPr>
              <w:fldChar w:fldCharType="separate"/>
            </w:r>
            <w:r w:rsidRPr="00092862">
              <w:rPr>
                <w:rFonts w:ascii="Times New Roman" w:hAnsi="Times New Roman"/>
                <w:color w:val="000000" w:themeColor="text1"/>
                <w:szCs w:val="21"/>
              </w:rPr>
              <w:t>III</w:t>
            </w:r>
            <w:r w:rsidRPr="00092862">
              <w:rPr>
                <w:rFonts w:ascii="Times New Roman" w:hAnsi="Times New Roman"/>
                <w:color w:val="000000" w:themeColor="text1"/>
                <w:szCs w:val="21"/>
              </w:rPr>
              <w:fldChar w:fldCharType="end"/>
            </w:r>
            <w:r w:rsidRPr="00092862">
              <w:rPr>
                <w:rFonts w:ascii="Times New Roman" w:hAnsi="Times New Roman"/>
                <w:color w:val="000000" w:themeColor="text1"/>
                <w:szCs w:val="21"/>
              </w:rPr>
              <w:t>类项目</w:t>
            </w:r>
          </w:p>
        </w:tc>
      </w:tr>
      <w:tr w:rsidR="00697429" w:rsidRPr="00092862" w14:paraId="42D55B44"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0BCEB254"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敏感</w:t>
            </w:r>
          </w:p>
        </w:tc>
        <w:tc>
          <w:tcPr>
            <w:tcW w:w="2130" w:type="dxa"/>
            <w:tcBorders>
              <w:top w:val="single" w:sz="4" w:space="0" w:color="auto"/>
              <w:left w:val="single" w:sz="4" w:space="0" w:color="auto"/>
              <w:bottom w:val="single" w:sz="4" w:space="0" w:color="auto"/>
              <w:right w:val="single" w:sz="4" w:space="0" w:color="auto"/>
            </w:tcBorders>
            <w:vAlign w:val="center"/>
          </w:tcPr>
          <w:p w14:paraId="139BE695"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一</w:t>
            </w:r>
          </w:p>
        </w:tc>
        <w:tc>
          <w:tcPr>
            <w:tcW w:w="2128" w:type="dxa"/>
            <w:tcBorders>
              <w:top w:val="single" w:sz="4" w:space="0" w:color="auto"/>
              <w:left w:val="single" w:sz="4" w:space="0" w:color="auto"/>
              <w:bottom w:val="single" w:sz="4" w:space="0" w:color="auto"/>
              <w:right w:val="single" w:sz="4" w:space="0" w:color="auto"/>
            </w:tcBorders>
            <w:vAlign w:val="center"/>
          </w:tcPr>
          <w:p w14:paraId="5EE9A018"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一</w:t>
            </w:r>
          </w:p>
        </w:tc>
        <w:tc>
          <w:tcPr>
            <w:tcW w:w="2129" w:type="dxa"/>
            <w:tcBorders>
              <w:top w:val="single" w:sz="4" w:space="0" w:color="auto"/>
              <w:left w:val="single" w:sz="4" w:space="0" w:color="auto"/>
              <w:bottom w:val="single" w:sz="4" w:space="0" w:color="auto"/>
              <w:right w:val="single" w:sz="4" w:space="0" w:color="auto"/>
            </w:tcBorders>
            <w:vAlign w:val="center"/>
          </w:tcPr>
          <w:p w14:paraId="43AF9AE0"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二</w:t>
            </w:r>
          </w:p>
        </w:tc>
      </w:tr>
      <w:tr w:rsidR="00697429" w:rsidRPr="00092862" w14:paraId="6556D95A"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0E1B1C05"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b/>
                <w:bCs/>
                <w:color w:val="000000" w:themeColor="text1"/>
                <w:szCs w:val="21"/>
              </w:rPr>
              <w:t>较敏感</w:t>
            </w:r>
          </w:p>
        </w:tc>
        <w:tc>
          <w:tcPr>
            <w:tcW w:w="2130" w:type="dxa"/>
            <w:tcBorders>
              <w:top w:val="single" w:sz="4" w:space="0" w:color="auto"/>
              <w:left w:val="single" w:sz="4" w:space="0" w:color="auto"/>
              <w:bottom w:val="single" w:sz="4" w:space="0" w:color="auto"/>
              <w:right w:val="single" w:sz="4" w:space="0" w:color="auto"/>
            </w:tcBorders>
            <w:vAlign w:val="center"/>
          </w:tcPr>
          <w:p w14:paraId="410E96E7"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一</w:t>
            </w:r>
          </w:p>
        </w:tc>
        <w:tc>
          <w:tcPr>
            <w:tcW w:w="2128" w:type="dxa"/>
            <w:tcBorders>
              <w:top w:val="single" w:sz="4" w:space="0" w:color="auto"/>
              <w:left w:val="single" w:sz="4" w:space="0" w:color="auto"/>
              <w:bottom w:val="single" w:sz="4" w:space="0" w:color="auto"/>
              <w:right w:val="single" w:sz="4" w:space="0" w:color="auto"/>
            </w:tcBorders>
            <w:vAlign w:val="center"/>
          </w:tcPr>
          <w:p w14:paraId="67BFE066"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b/>
                <w:bCs/>
                <w:color w:val="000000" w:themeColor="text1"/>
                <w:szCs w:val="21"/>
                <w:shd w:val="pct10" w:color="auto" w:fill="FFFFFF"/>
              </w:rPr>
              <w:t>二</w:t>
            </w:r>
          </w:p>
        </w:tc>
        <w:tc>
          <w:tcPr>
            <w:tcW w:w="2129" w:type="dxa"/>
            <w:tcBorders>
              <w:top w:val="single" w:sz="4" w:space="0" w:color="auto"/>
              <w:left w:val="single" w:sz="4" w:space="0" w:color="auto"/>
              <w:bottom w:val="single" w:sz="4" w:space="0" w:color="auto"/>
              <w:right w:val="single" w:sz="4" w:space="0" w:color="auto"/>
            </w:tcBorders>
            <w:vAlign w:val="center"/>
          </w:tcPr>
          <w:p w14:paraId="4710AA02"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三</w:t>
            </w:r>
          </w:p>
        </w:tc>
      </w:tr>
      <w:tr w:rsidR="00697429" w:rsidRPr="00092862" w14:paraId="7C15911A" w14:textId="77777777" w:rsidTr="009F4E51">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4FDD4E9A"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不敏感</w:t>
            </w:r>
          </w:p>
        </w:tc>
        <w:tc>
          <w:tcPr>
            <w:tcW w:w="2130" w:type="dxa"/>
            <w:tcBorders>
              <w:top w:val="single" w:sz="4" w:space="0" w:color="auto"/>
              <w:left w:val="single" w:sz="4" w:space="0" w:color="auto"/>
              <w:bottom w:val="single" w:sz="4" w:space="0" w:color="auto"/>
              <w:right w:val="single" w:sz="4" w:space="0" w:color="auto"/>
            </w:tcBorders>
            <w:vAlign w:val="center"/>
          </w:tcPr>
          <w:p w14:paraId="781D3BEA"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二</w:t>
            </w:r>
          </w:p>
        </w:tc>
        <w:tc>
          <w:tcPr>
            <w:tcW w:w="2128" w:type="dxa"/>
            <w:tcBorders>
              <w:top w:val="single" w:sz="4" w:space="0" w:color="auto"/>
              <w:left w:val="single" w:sz="4" w:space="0" w:color="auto"/>
              <w:bottom w:val="single" w:sz="4" w:space="0" w:color="auto"/>
              <w:right w:val="single" w:sz="4" w:space="0" w:color="auto"/>
            </w:tcBorders>
            <w:vAlign w:val="center"/>
          </w:tcPr>
          <w:p w14:paraId="14907546"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三</w:t>
            </w:r>
          </w:p>
        </w:tc>
        <w:tc>
          <w:tcPr>
            <w:tcW w:w="2129" w:type="dxa"/>
            <w:tcBorders>
              <w:top w:val="single" w:sz="4" w:space="0" w:color="auto"/>
              <w:left w:val="single" w:sz="4" w:space="0" w:color="auto"/>
              <w:bottom w:val="single" w:sz="4" w:space="0" w:color="auto"/>
              <w:right w:val="single" w:sz="4" w:space="0" w:color="auto"/>
            </w:tcBorders>
            <w:vAlign w:val="center"/>
          </w:tcPr>
          <w:p w14:paraId="04EFBC40" w14:textId="77777777" w:rsidR="00DC446C" w:rsidRPr="00092862" w:rsidRDefault="003B1968" w:rsidP="003D2EEB">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三</w:t>
            </w:r>
          </w:p>
        </w:tc>
      </w:tr>
    </w:tbl>
    <w:p w14:paraId="626C98F1" w14:textId="15B11895" w:rsidR="00DC446C" w:rsidRPr="00092862" w:rsidRDefault="003B1968"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综上所述，根据《环境影响评价技术导则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地下水环境》（</w:t>
      </w:r>
      <w:r w:rsidRPr="00092862">
        <w:rPr>
          <w:rFonts w:ascii="Times New Roman" w:eastAsia="宋体" w:hAnsi="Times New Roman" w:cs="Times New Roman"/>
          <w:color w:val="000000" w:themeColor="text1"/>
          <w:sz w:val="24"/>
          <w:szCs w:val="24"/>
        </w:rPr>
        <w:t>HJ610-2016</w:t>
      </w:r>
      <w:r w:rsidRPr="00092862">
        <w:rPr>
          <w:rFonts w:ascii="Times New Roman" w:eastAsia="宋体" w:hAnsi="Times New Roman" w:cs="Times New Roman"/>
          <w:color w:val="000000" w:themeColor="text1"/>
          <w:sz w:val="24"/>
          <w:szCs w:val="24"/>
        </w:rPr>
        <w:t>）规定，项目属</w:t>
      </w:r>
      <w:r w:rsidRPr="00092862">
        <w:rPr>
          <w:rFonts w:ascii="Times New Roman" w:eastAsia="宋体" w:hAnsi="Times New Roman" w:cs="Times New Roman"/>
          <w:color w:val="000000" w:themeColor="text1"/>
          <w:sz w:val="24"/>
          <w:szCs w:val="24"/>
        </w:rPr>
        <w:t>II</w:t>
      </w:r>
      <w:r w:rsidRPr="00092862">
        <w:rPr>
          <w:rFonts w:ascii="Times New Roman" w:eastAsia="宋体" w:hAnsi="Times New Roman" w:cs="Times New Roman"/>
          <w:color w:val="000000" w:themeColor="text1"/>
          <w:sz w:val="24"/>
          <w:szCs w:val="24"/>
        </w:rPr>
        <w:t>类项目、环境敏感程度为</w:t>
      </w:r>
      <w:r w:rsidR="003B2659" w:rsidRPr="00092862">
        <w:rPr>
          <w:rFonts w:ascii="Times New Roman" w:eastAsia="宋体" w:hAnsi="Times New Roman" w:cs="Times New Roman"/>
          <w:color w:val="000000" w:themeColor="text1"/>
          <w:sz w:val="24"/>
          <w:szCs w:val="24"/>
        </w:rPr>
        <w:t>较</w:t>
      </w:r>
      <w:r w:rsidRPr="00092862">
        <w:rPr>
          <w:rFonts w:ascii="Times New Roman" w:eastAsia="宋体" w:hAnsi="Times New Roman" w:cs="Times New Roman"/>
          <w:color w:val="000000" w:themeColor="text1"/>
          <w:sz w:val="24"/>
          <w:szCs w:val="24"/>
        </w:rPr>
        <w:t>敏感，最终确定本次地下水环境评价等级确定为</w:t>
      </w:r>
      <w:r w:rsidR="003B2659" w:rsidRPr="00092862">
        <w:rPr>
          <w:rFonts w:ascii="Times New Roman" w:eastAsia="宋体" w:hAnsi="Times New Roman" w:cs="Times New Roman"/>
          <w:color w:val="000000" w:themeColor="text1"/>
          <w:sz w:val="24"/>
          <w:szCs w:val="24"/>
        </w:rPr>
        <w:t>二</w:t>
      </w:r>
      <w:r w:rsidRPr="00092862">
        <w:rPr>
          <w:rFonts w:ascii="Times New Roman" w:eastAsia="宋体" w:hAnsi="Times New Roman" w:cs="Times New Roman"/>
          <w:color w:val="000000" w:themeColor="text1"/>
          <w:sz w:val="24"/>
          <w:szCs w:val="24"/>
        </w:rPr>
        <w:t>级</w:t>
      </w:r>
      <w:r w:rsidR="005B6F3E" w:rsidRPr="00092862">
        <w:rPr>
          <w:rFonts w:ascii="Times New Roman" w:eastAsia="宋体" w:hAnsi="Times New Roman" w:cs="Times New Roman"/>
          <w:color w:val="000000" w:themeColor="text1"/>
          <w:sz w:val="24"/>
          <w:szCs w:val="24"/>
        </w:rPr>
        <w:t>。</w:t>
      </w:r>
    </w:p>
    <w:p w14:paraId="7B34312F" w14:textId="77777777" w:rsidR="003D32FE" w:rsidRPr="00092862" w:rsidRDefault="005B6F3E"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）评价范围</w:t>
      </w:r>
    </w:p>
    <w:p w14:paraId="1C4FDDE6" w14:textId="77777777" w:rsidR="0021034A" w:rsidRPr="00092862" w:rsidRDefault="003D32FE"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根据《环境影响评价技术导则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地下水环境》（</w:t>
      </w:r>
      <w:r w:rsidRPr="00092862">
        <w:rPr>
          <w:rFonts w:ascii="Times New Roman" w:eastAsia="宋体" w:hAnsi="Times New Roman" w:cs="Times New Roman"/>
          <w:color w:val="000000" w:themeColor="text1"/>
          <w:sz w:val="24"/>
          <w:szCs w:val="24"/>
        </w:rPr>
        <w:t>HJ610-2016</w:t>
      </w:r>
      <w:r w:rsidRPr="00092862">
        <w:rPr>
          <w:rFonts w:ascii="Times New Roman" w:eastAsia="宋体" w:hAnsi="Times New Roman" w:cs="Times New Roman"/>
          <w:color w:val="000000" w:themeColor="text1"/>
          <w:sz w:val="24"/>
          <w:szCs w:val="24"/>
        </w:rPr>
        <w:t>）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r w:rsidR="0021034A" w:rsidRPr="00092862">
        <w:rPr>
          <w:rFonts w:ascii="Times New Roman" w:eastAsia="宋体" w:hAnsi="Times New Roman" w:cs="Times New Roman"/>
          <w:color w:val="000000" w:themeColor="text1"/>
          <w:sz w:val="24"/>
          <w:szCs w:val="24"/>
        </w:rPr>
        <w:t>。</w:t>
      </w:r>
    </w:p>
    <w:p w14:paraId="3F0083EA" w14:textId="44053B25" w:rsidR="003D32FE" w:rsidRPr="00092862" w:rsidRDefault="0021034A"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w:t>
      </w:r>
      <w:r w:rsidR="00C60850">
        <w:rPr>
          <w:rFonts w:ascii="Times New Roman" w:eastAsia="宋体" w:hAnsi="Times New Roman" w:cs="Times New Roman" w:hint="eastAsia"/>
          <w:color w:val="000000" w:themeColor="text1"/>
          <w:sz w:val="24"/>
          <w:szCs w:val="24"/>
        </w:rPr>
        <w:t>南面</w:t>
      </w:r>
      <w:r w:rsidR="00D10C17" w:rsidRPr="00092862">
        <w:rPr>
          <w:rFonts w:ascii="Times New Roman" w:eastAsia="宋体" w:hAnsi="Times New Roman" w:cs="Times New Roman"/>
          <w:color w:val="000000" w:themeColor="text1"/>
          <w:sz w:val="24"/>
          <w:szCs w:val="24"/>
        </w:rPr>
        <w:t>、</w:t>
      </w:r>
      <w:r w:rsidR="00C60850">
        <w:rPr>
          <w:rFonts w:ascii="Times New Roman" w:eastAsia="宋体" w:hAnsi="Times New Roman" w:cs="Times New Roman" w:hint="eastAsia"/>
          <w:color w:val="000000" w:themeColor="text1"/>
          <w:sz w:val="24"/>
          <w:szCs w:val="24"/>
        </w:rPr>
        <w:t>西面、背面</w:t>
      </w:r>
      <w:r w:rsidR="00557A00" w:rsidRPr="00092862">
        <w:rPr>
          <w:rFonts w:ascii="Times New Roman" w:eastAsia="宋体" w:hAnsi="Times New Roman" w:cs="Times New Roman"/>
          <w:color w:val="000000" w:themeColor="text1"/>
          <w:sz w:val="24"/>
          <w:szCs w:val="24"/>
        </w:rPr>
        <w:t>以山脊为界，</w:t>
      </w:r>
      <w:r w:rsidR="00C60850">
        <w:rPr>
          <w:rFonts w:ascii="Times New Roman" w:eastAsia="宋体" w:hAnsi="Times New Roman" w:cs="Times New Roman" w:hint="eastAsia"/>
          <w:color w:val="000000" w:themeColor="text1"/>
          <w:sz w:val="24"/>
          <w:szCs w:val="24"/>
        </w:rPr>
        <w:t>东面</w:t>
      </w:r>
      <w:r w:rsidR="00C60850" w:rsidRPr="00092862">
        <w:rPr>
          <w:rFonts w:ascii="Times New Roman" w:eastAsia="宋体" w:hAnsi="Times New Roman" w:cs="Times New Roman"/>
          <w:color w:val="000000" w:themeColor="text1"/>
          <w:sz w:val="24"/>
          <w:szCs w:val="24"/>
        </w:rPr>
        <w:t>以</w:t>
      </w:r>
      <w:r w:rsidR="00C60850">
        <w:rPr>
          <w:rFonts w:ascii="Times New Roman" w:eastAsia="宋体" w:hAnsi="Times New Roman" w:cs="Times New Roman" w:hint="eastAsia"/>
          <w:color w:val="000000" w:themeColor="text1"/>
          <w:sz w:val="24"/>
          <w:szCs w:val="24"/>
        </w:rPr>
        <w:t>胡子滩沟</w:t>
      </w:r>
      <w:r w:rsidR="00D10C17" w:rsidRPr="00092862">
        <w:rPr>
          <w:rFonts w:ascii="Times New Roman" w:eastAsia="宋体" w:hAnsi="Times New Roman" w:cs="Times New Roman"/>
          <w:color w:val="000000" w:themeColor="text1"/>
          <w:sz w:val="24"/>
          <w:szCs w:val="24"/>
        </w:rPr>
        <w:t>沟</w:t>
      </w:r>
      <w:r w:rsidR="00557A00" w:rsidRPr="00092862">
        <w:rPr>
          <w:rFonts w:ascii="Times New Roman" w:eastAsia="宋体" w:hAnsi="Times New Roman" w:cs="Times New Roman"/>
          <w:color w:val="000000" w:themeColor="text1"/>
          <w:sz w:val="24"/>
          <w:szCs w:val="24"/>
        </w:rPr>
        <w:lastRenderedPageBreak/>
        <w:t>为界</w:t>
      </w:r>
      <w:r w:rsidRPr="00092862">
        <w:rPr>
          <w:rFonts w:ascii="Times New Roman" w:eastAsia="宋体" w:hAnsi="Times New Roman" w:cs="Times New Roman"/>
          <w:color w:val="000000" w:themeColor="text1"/>
          <w:sz w:val="24"/>
          <w:szCs w:val="24"/>
        </w:rPr>
        <w:t>。根据测算，本项目地下水环境影响评价范围共计约</w:t>
      </w:r>
      <w:r w:rsidR="00C60850">
        <w:rPr>
          <w:rFonts w:ascii="Times New Roman" w:eastAsia="宋体" w:hAnsi="Times New Roman" w:cs="Times New Roman"/>
          <w:color w:val="000000" w:themeColor="text1"/>
          <w:sz w:val="24"/>
          <w:szCs w:val="24"/>
        </w:rPr>
        <w:t>13.46</w:t>
      </w:r>
      <w:r w:rsidRPr="00092862">
        <w:rPr>
          <w:rFonts w:ascii="Times New Roman" w:eastAsia="宋体" w:hAnsi="Times New Roman" w:cs="Times New Roman"/>
          <w:color w:val="000000" w:themeColor="text1"/>
          <w:sz w:val="24"/>
          <w:szCs w:val="24"/>
        </w:rPr>
        <w:t>km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w:t>
      </w:r>
    </w:p>
    <w:p w14:paraId="7D1589ED" w14:textId="77777777" w:rsidR="00FD6438" w:rsidRPr="00092862" w:rsidRDefault="00FD6438" w:rsidP="00BA2AA3">
      <w:pPr>
        <w:tabs>
          <w:tab w:val="left" w:pos="0"/>
        </w:tabs>
        <w:adjustRightInd w:val="0"/>
        <w:snapToGrid w:val="0"/>
        <w:spacing w:line="360" w:lineRule="auto"/>
        <w:jc w:val="center"/>
        <w:rPr>
          <w:rFonts w:ascii="Times New Roman" w:eastAsia="宋体"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14:paraId="046EC8ED" w14:textId="77777777" w:rsidR="00FD6438" w:rsidRPr="00092862" w:rsidRDefault="00FD6438" w:rsidP="00BA2AA3">
      <w:pPr>
        <w:tabs>
          <w:tab w:val="left" w:pos="0"/>
        </w:tabs>
        <w:adjustRightInd w:val="0"/>
        <w:snapToGrid w:val="0"/>
        <w:spacing w:line="360" w:lineRule="auto"/>
        <w:jc w:val="center"/>
        <w:rPr>
          <w:rFonts w:ascii="Times New Roman" w:eastAsia="宋体" w:hAnsi="Times New Roman" w:cs="Times New Roman"/>
          <w:snapToGrid w:val="0"/>
          <w:color w:val="000000" w:themeColor="text1"/>
          <w:w w:val="0"/>
          <w:sz w:val="0"/>
          <w:szCs w:val="0"/>
          <w:u w:color="000000"/>
          <w:bdr w:val="none" w:sz="0" w:space="0" w:color="000000"/>
          <w:shd w:val="clear" w:color="000000" w:fill="000000"/>
          <w:lang w:val="x-none" w:eastAsia="x-none" w:bidi="x-none"/>
        </w:rPr>
      </w:pPr>
    </w:p>
    <w:p w14:paraId="37AE7D82" w14:textId="209C417D" w:rsidR="0005352E" w:rsidRPr="00C60850" w:rsidRDefault="00C60850" w:rsidP="00C60850">
      <w:pPr>
        <w:tabs>
          <w:tab w:val="left" w:pos="0"/>
          <w:tab w:val="left" w:pos="6730"/>
        </w:tabs>
        <w:spacing w:line="360" w:lineRule="auto"/>
        <w:jc w:val="left"/>
        <w:rPr>
          <w:rFonts w:ascii="Times New Roman" w:hAnsi="Times New Roman" w:cs="Times New Roman"/>
          <w:color w:val="000000" w:themeColor="text1"/>
          <w:sz w:val="24"/>
          <w:szCs w:val="24"/>
        </w:rPr>
      </w:pPr>
      <w:r w:rsidRPr="00092862">
        <w:rPr>
          <w:rFonts w:ascii="Times New Roman" w:hAnsi="Times New Roman" w:cs="Times New Roman"/>
          <w:noProof/>
          <w:color w:val="000000" w:themeColor="text1"/>
        </w:rPr>
        <mc:AlternateContent>
          <mc:Choice Requires="wps">
            <w:drawing>
              <wp:anchor distT="0" distB="0" distL="114300" distR="114300" simplePos="0" relativeHeight="252173312" behindDoc="0" locked="0" layoutInCell="1" allowOverlap="1" wp14:anchorId="44598763" wp14:editId="2B2FF94A">
                <wp:simplePos x="0" y="0"/>
                <wp:positionH relativeFrom="margin">
                  <wp:posOffset>4225705</wp:posOffset>
                </wp:positionH>
                <wp:positionV relativeFrom="paragraph">
                  <wp:posOffset>1439821</wp:posOffset>
                </wp:positionV>
                <wp:extent cx="1046342" cy="479833"/>
                <wp:effectExtent l="0" t="0" r="0" b="0"/>
                <wp:wrapNone/>
                <wp:docPr id="22" name="文本框 22"/>
                <wp:cNvGraphicFramePr/>
                <a:graphic xmlns:a="http://schemas.openxmlformats.org/drawingml/2006/main">
                  <a:graphicData uri="http://schemas.microsoft.com/office/word/2010/wordprocessingShape">
                    <wps:wsp>
                      <wps:cNvSpPr txBox="1"/>
                      <wps:spPr bwMode="auto">
                        <a:xfrm>
                          <a:off x="0" y="0"/>
                          <a:ext cx="1046342" cy="479833"/>
                        </a:xfrm>
                        <a:prstGeom prst="rect">
                          <a:avLst/>
                        </a:prstGeom>
                        <a:noFill/>
                        <a:ln w="9525">
                          <a:noFill/>
                          <a:miter lim="800000"/>
                          <a:headEnd/>
                          <a:tailEnd/>
                        </a:ln>
                      </wps:spPr>
                      <wps:txbx>
                        <w:txbxContent>
                          <w:p w14:paraId="10FB931F" w14:textId="40914329" w:rsidR="0005352E" w:rsidRPr="00DF4DE8" w:rsidRDefault="00C60850" w:rsidP="0005352E">
                            <w:pPr>
                              <w:rPr>
                                <w:b/>
                                <w:bCs/>
                                <w:color w:val="FF0000"/>
                              </w:rPr>
                            </w:pPr>
                            <w:r w:rsidRPr="00C60850">
                              <w:rPr>
                                <w:rFonts w:hint="eastAsia"/>
                                <w:b/>
                                <w:bCs/>
                                <w:color w:val="FF0000"/>
                              </w:rPr>
                              <w:t>胡子滩沟</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598763" id="_x0000_t202" coordsize="21600,21600" o:spt="202" path="m,l,21600r21600,l21600,xe">
                <v:stroke joinstyle="miter"/>
                <v:path gradientshapeok="t" o:connecttype="rect"/>
              </v:shapetype>
              <v:shape id="文本框 22" o:spid="_x0000_s1026" type="#_x0000_t202" style="position:absolute;margin-left:332.75pt;margin-top:113.35pt;width:82.4pt;height:37.8pt;z-index:25217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" filled="f" stroked="f">
                <v:textbox>
                  <w:txbxContent>
                    <w:p w14:paraId="10FB931F" w14:textId="40914329" w:rsidR="0005352E" w:rsidRPr="00DF4DE8" w:rsidRDefault="00C60850" w:rsidP="0005352E">
                      <w:pPr>
                        <w:rPr>
                          <w:b/>
                          <w:bCs/>
                          <w:color w:val="FF0000"/>
                        </w:rPr>
                      </w:pPr>
                      <w:r w:rsidRPr="00C60850">
                        <w:rPr>
                          <w:rFonts w:hint="eastAsia"/>
                          <w:b/>
                          <w:bCs/>
                          <w:color w:val="FF0000"/>
                        </w:rPr>
                        <w:t>胡子滩沟</w:t>
                      </w:r>
                    </w:p>
                  </w:txbxContent>
                </v:textbox>
                <w10:wrap anchorx="margin"/>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179456" behindDoc="0" locked="0" layoutInCell="1" allowOverlap="1" wp14:anchorId="12E87BF3" wp14:editId="0EF4CF24">
                <wp:simplePos x="0" y="0"/>
                <wp:positionH relativeFrom="margin">
                  <wp:posOffset>1243035</wp:posOffset>
                </wp:positionH>
                <wp:positionV relativeFrom="paragraph">
                  <wp:posOffset>2807605</wp:posOffset>
                </wp:positionV>
                <wp:extent cx="663678" cy="327660"/>
                <wp:effectExtent l="0" t="0" r="0" b="0"/>
                <wp:wrapNone/>
                <wp:docPr id="82" name="文本框 82"/>
                <wp:cNvGraphicFramePr/>
                <a:graphic xmlns:a="http://schemas.openxmlformats.org/drawingml/2006/main">
                  <a:graphicData uri="http://schemas.microsoft.com/office/word/2010/wordprocessingShape">
                    <wps:wsp>
                      <wps:cNvSpPr txBox="1"/>
                      <wps:spPr bwMode="auto">
                        <a:xfrm>
                          <a:off x="0" y="0"/>
                          <a:ext cx="663678" cy="327660"/>
                        </a:xfrm>
                        <a:prstGeom prst="rect">
                          <a:avLst/>
                        </a:prstGeom>
                        <a:noFill/>
                        <a:ln w="9525">
                          <a:noFill/>
                          <a:miter lim="800000"/>
                          <a:headEnd/>
                          <a:tailEnd/>
                        </a:ln>
                      </wps:spPr>
                      <wps:txbx>
                        <w:txbxContent>
                          <w:p w14:paraId="54081748" w14:textId="6BE1F1A3" w:rsidR="0005352E" w:rsidRPr="00DF4DE8" w:rsidRDefault="0005352E" w:rsidP="0005352E">
                            <w:pPr>
                              <w:rPr>
                                <w:b/>
                                <w:bCs/>
                                <w:color w:val="FF0000"/>
                              </w:rPr>
                            </w:pPr>
                            <w:r>
                              <w:rPr>
                                <w:rFonts w:hint="eastAsia"/>
                                <w:b/>
                                <w:bCs/>
                                <w:color w:val="FF0000"/>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2E87BF3" id="文本框 82" o:spid="_x0000_s1027" type="#_x0000_t202" style="position:absolute;margin-left:97.9pt;margin-top:221.05pt;width:52.25pt;height:25.8pt;z-index:252179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" filled="f" stroked="f">
                <v:textbox>
                  <w:txbxContent>
                    <w:p w14:paraId="54081748" w14:textId="6BE1F1A3" w:rsidR="0005352E" w:rsidRPr="00DF4DE8" w:rsidRDefault="0005352E" w:rsidP="0005352E">
                      <w:pPr>
                        <w:rPr>
                          <w:b/>
                          <w:bCs/>
                          <w:color w:val="FF0000"/>
                        </w:rPr>
                      </w:pPr>
                      <w:r>
                        <w:rPr>
                          <w:rFonts w:hint="eastAsia"/>
                          <w:b/>
                          <w:bCs/>
                          <w:color w:val="FF0000"/>
                        </w:rPr>
                        <w:t>山脊</w:t>
                      </w:r>
                    </w:p>
                  </w:txbxContent>
                </v:textbox>
                <w10:wrap anchorx="margin"/>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193792" behindDoc="0" locked="0" layoutInCell="1" allowOverlap="1" wp14:anchorId="67DE4A05" wp14:editId="74586504">
                <wp:simplePos x="0" y="0"/>
                <wp:positionH relativeFrom="margin">
                  <wp:posOffset>2263455</wp:posOffset>
                </wp:positionH>
                <wp:positionV relativeFrom="paragraph">
                  <wp:posOffset>3793496</wp:posOffset>
                </wp:positionV>
                <wp:extent cx="929149" cy="327660"/>
                <wp:effectExtent l="0" t="0" r="0" b="0"/>
                <wp:wrapNone/>
                <wp:docPr id="3778" name="文本框 3778"/>
                <wp:cNvGraphicFramePr/>
                <a:graphic xmlns:a="http://schemas.openxmlformats.org/drawingml/2006/main">
                  <a:graphicData uri="http://schemas.microsoft.com/office/word/2010/wordprocessingShape">
                    <wps:wsp>
                      <wps:cNvSpPr txBox="1"/>
                      <wps:spPr bwMode="auto">
                        <a:xfrm>
                          <a:off x="0" y="0"/>
                          <a:ext cx="929149" cy="327660"/>
                        </a:xfrm>
                        <a:prstGeom prst="rect">
                          <a:avLst/>
                        </a:prstGeom>
                        <a:noFill/>
                        <a:ln w="9525">
                          <a:noFill/>
                          <a:miter lim="800000"/>
                          <a:headEnd/>
                          <a:tailEnd/>
                        </a:ln>
                      </wps:spPr>
                      <wps:txbx>
                        <w:txbxContent>
                          <w:p w14:paraId="7AD6C27D" w14:textId="18AEFE7D" w:rsidR="0005352E" w:rsidRPr="00DF4DE8" w:rsidRDefault="0005352E" w:rsidP="0005352E">
                            <w:pPr>
                              <w:rPr>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7DE4A05" id="文本框 3778" o:spid="_x0000_s1028" type="#_x0000_t202" style="position:absolute;margin-left:178.2pt;margin-top:298.7pt;width:73.15pt;height:25.8pt;z-index:252193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" filled="f" stroked="f">
                <v:textbox>
                  <w:txbxContent>
                    <w:p w14:paraId="7AD6C27D" w14:textId="18AEFE7D" w:rsidR="0005352E" w:rsidRPr="00DF4DE8" w:rsidRDefault="0005352E" w:rsidP="0005352E">
                      <w:pPr>
                        <w:rPr>
                          <w:b/>
                          <w:bCs/>
                          <w:color w:val="FF0000"/>
                        </w:rPr>
                      </w:pPr>
                      <w:r>
                        <w:rPr>
                          <w:rFonts w:hint="eastAsia"/>
                          <w:b/>
                          <w:bCs/>
                          <w:color w:val="FF0000"/>
                        </w:rPr>
                        <w:t>项目所在地</w:t>
                      </w:r>
                    </w:p>
                  </w:txbxContent>
                </v:textbox>
                <w10:wrap anchorx="margin"/>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471296" behindDoc="0" locked="0" layoutInCell="1" allowOverlap="1" wp14:anchorId="0C81BDAA" wp14:editId="1AF098B6">
                <wp:simplePos x="0" y="0"/>
                <wp:positionH relativeFrom="column">
                  <wp:posOffset>2989371</wp:posOffset>
                </wp:positionH>
                <wp:positionV relativeFrom="paragraph">
                  <wp:posOffset>2346959</wp:posOffset>
                </wp:positionV>
                <wp:extent cx="297180" cy="99060"/>
                <wp:effectExtent l="0" t="76200" r="0" b="91440"/>
                <wp:wrapNone/>
                <wp:docPr id="11" name="箭头: 右 11"/>
                <wp:cNvGraphicFramePr/>
                <a:graphic xmlns:a="http://schemas.openxmlformats.org/drawingml/2006/main">
                  <a:graphicData uri="http://schemas.microsoft.com/office/word/2010/wordprocessingShape">
                    <wps:wsp>
                      <wps:cNvSpPr/>
                      <wps:spPr>
                        <a:xfrm rot="19306509">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BCA22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11" o:spid="_x0000_s1026" type="#_x0000_t13" style="position:absolute;left:0;text-align:left;margin-left:235.4pt;margin-top:184.8pt;width:23.4pt;height:7.8pt;rotation:-2505104fd;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" adj="18000" fillcolor="yellow" strokecolor="yellow" strokeweight="1pt"/>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49056" behindDoc="0" locked="0" layoutInCell="1" allowOverlap="1" wp14:anchorId="56E59080" wp14:editId="4EAC1DAD">
                <wp:simplePos x="0" y="0"/>
                <wp:positionH relativeFrom="column">
                  <wp:posOffset>3809875</wp:posOffset>
                </wp:positionH>
                <wp:positionV relativeFrom="paragraph">
                  <wp:posOffset>3438519</wp:posOffset>
                </wp:positionV>
                <wp:extent cx="1230630" cy="327660"/>
                <wp:effectExtent l="76200" t="209550" r="26670" b="15240"/>
                <wp:wrapNone/>
                <wp:docPr id="1840" name="对话气泡: 矩形 1840"/>
                <wp:cNvGraphicFramePr/>
                <a:graphic xmlns:a="http://schemas.openxmlformats.org/drawingml/2006/main">
                  <a:graphicData uri="http://schemas.microsoft.com/office/word/2010/wordprocessingShape">
                    <wps:wsp>
                      <wps:cNvSpPr/>
                      <wps:spPr>
                        <a:xfrm>
                          <a:off x="0" y="0"/>
                          <a:ext cx="1230630" cy="327660"/>
                        </a:xfrm>
                        <a:prstGeom prst="wedgeRectCallout">
                          <a:avLst>
                            <a:gd name="adj1" fmla="val -52095"/>
                            <a:gd name="adj2" fmla="val -1075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1357EF" w14:textId="060B616B" w:rsidR="00D4664B" w:rsidRPr="00D4664B" w:rsidRDefault="00D4664B" w:rsidP="00D4664B">
                            <w:pPr>
                              <w:jc w:val="center"/>
                              <w:rPr>
                                <w:b/>
                                <w:bCs/>
                              </w:rPr>
                            </w:pPr>
                            <w:r w:rsidRPr="00D4664B">
                              <w:rPr>
                                <w:rFonts w:hint="eastAsia"/>
                                <w:b/>
                                <w:bCs/>
                              </w:rPr>
                              <w:t>地下水评价范围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6E5908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1840" o:spid="_x0000_s1029" type="#_x0000_t61" style="position:absolute;margin-left:300pt;margin-top:270.75pt;width:96.9pt;height:25.8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" adj="-453,-12434" fillcolor="#4472c4 [3204]" strokecolor="#1f3763 [1604]" strokeweight="1pt">
                <v:textbox>
                  <w:txbxContent>
                    <w:p w14:paraId="5C1357EF" w14:textId="060B616B" w:rsidR="00D4664B" w:rsidRPr="00D4664B" w:rsidRDefault="00D4664B" w:rsidP="00D4664B">
                      <w:pPr>
                        <w:jc w:val="center"/>
                        <w:rPr>
                          <w:b/>
                          <w:bCs/>
                        </w:rPr>
                      </w:pPr>
                      <w:r w:rsidRPr="00D4664B">
                        <w:rPr>
                          <w:rFonts w:hint="eastAsia"/>
                          <w:b/>
                          <w:bCs/>
                        </w:rPr>
                        <w:t>地下水评价范围</w:t>
                      </w:r>
                    </w:p>
                  </w:txbxContent>
                </v:textbox>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469248" behindDoc="0" locked="0" layoutInCell="1" allowOverlap="1" wp14:anchorId="33930D0A" wp14:editId="4D538FF4">
                <wp:simplePos x="0" y="0"/>
                <wp:positionH relativeFrom="column">
                  <wp:posOffset>3053363</wp:posOffset>
                </wp:positionH>
                <wp:positionV relativeFrom="paragraph">
                  <wp:posOffset>1223840</wp:posOffset>
                </wp:positionV>
                <wp:extent cx="297180" cy="99060"/>
                <wp:effectExtent l="19050" t="57150" r="7620" b="53340"/>
                <wp:wrapNone/>
                <wp:docPr id="7" name="箭头: 右 7"/>
                <wp:cNvGraphicFramePr/>
                <a:graphic xmlns:a="http://schemas.openxmlformats.org/drawingml/2006/main">
                  <a:graphicData uri="http://schemas.microsoft.com/office/word/2010/wordprocessingShape">
                    <wps:wsp>
                      <wps:cNvSpPr/>
                      <wps:spPr>
                        <a:xfrm rot="2005045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BF37E" id="箭头: 右 7" o:spid="_x0000_s1026" type="#_x0000_t13" style="position:absolute;left:0;text-align:left;margin-left:240.4pt;margin-top:96.35pt;width:23.4pt;height:7.8pt;rotation:-1692515fd;z-index:25246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" adj="18000" fillcolor="yellow" strokecolor="yellow" strokeweight="1pt"/>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382208" behindDoc="0" locked="0" layoutInCell="1" allowOverlap="1" wp14:anchorId="5112473F" wp14:editId="3FE60F05">
                <wp:simplePos x="0" y="0"/>
                <wp:positionH relativeFrom="column">
                  <wp:posOffset>1743634</wp:posOffset>
                </wp:positionH>
                <wp:positionV relativeFrom="paragraph">
                  <wp:posOffset>3936724</wp:posOffset>
                </wp:positionV>
                <wp:extent cx="297180" cy="99060"/>
                <wp:effectExtent l="80010" t="0" r="68580" b="11430"/>
                <wp:wrapNone/>
                <wp:docPr id="157" name="箭头: 右 157"/>
                <wp:cNvGraphicFramePr/>
                <a:graphic xmlns:a="http://schemas.openxmlformats.org/drawingml/2006/main">
                  <a:graphicData uri="http://schemas.microsoft.com/office/word/2010/wordprocessingShape">
                    <wps:wsp>
                      <wps:cNvSpPr/>
                      <wps:spPr>
                        <a:xfrm rot="18405707">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B6D9E" id="箭头: 右 157" o:spid="_x0000_s1026" type="#_x0000_t13" style="position:absolute;left:0;text-align:left;margin-left:137.3pt;margin-top:310pt;width:23.4pt;height:7.8pt;rotation:-3489020fd;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" adj="18000" fillcolor="yellow" strokecolor="yellow" strokeweight="1pt"/>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187648" behindDoc="0" locked="0" layoutInCell="1" allowOverlap="1" wp14:anchorId="70532883" wp14:editId="41D65E7C">
                <wp:simplePos x="0" y="0"/>
                <wp:positionH relativeFrom="column">
                  <wp:posOffset>2253614</wp:posOffset>
                </wp:positionH>
                <wp:positionV relativeFrom="paragraph">
                  <wp:posOffset>3351580</wp:posOffset>
                </wp:positionV>
                <wp:extent cx="297180" cy="99060"/>
                <wp:effectExtent l="99060" t="0" r="68580" b="0"/>
                <wp:wrapNone/>
                <wp:docPr id="86" name="箭头: 右 86"/>
                <wp:cNvGraphicFramePr/>
                <a:graphic xmlns:a="http://schemas.openxmlformats.org/drawingml/2006/main">
                  <a:graphicData uri="http://schemas.microsoft.com/office/word/2010/wordprocessingShape">
                    <wps:wsp>
                      <wps:cNvSpPr/>
                      <wps:spPr>
                        <a:xfrm rot="18778555">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56A36" id="箭头: 右 86" o:spid="_x0000_s1026" type="#_x0000_t13" style="position:absolute;left:0;text-align:left;margin-left:177.45pt;margin-top:263.9pt;width:23.4pt;height:7.8pt;rotation:-3081770fd;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" adj="18000" fillcolor="yellow" strokecolor="yellow" strokeweight="1pt"/>
            </w:pict>
          </mc:Fallback>
        </mc:AlternateContent>
      </w:r>
      <w:r w:rsidR="00FD6438" w:rsidRPr="00092862">
        <w:rPr>
          <w:rFonts w:ascii="Times New Roman" w:hAnsi="Times New Roman" w:cs="Times New Roman"/>
          <w:noProof/>
          <w:color w:val="000000" w:themeColor="text1"/>
        </w:rPr>
        <mc:AlternateContent>
          <mc:Choice Requires="wps">
            <w:drawing>
              <wp:anchor distT="0" distB="0" distL="114300" distR="114300" simplePos="0" relativeHeight="252171264" behindDoc="0" locked="0" layoutInCell="1" allowOverlap="1" wp14:anchorId="4253CDC0" wp14:editId="45816A39">
                <wp:simplePos x="0" y="0"/>
                <wp:positionH relativeFrom="column">
                  <wp:posOffset>1911992</wp:posOffset>
                </wp:positionH>
                <wp:positionV relativeFrom="paragraph">
                  <wp:posOffset>1376599</wp:posOffset>
                </wp:positionV>
                <wp:extent cx="525780" cy="327660"/>
                <wp:effectExtent l="0" t="0" r="0" b="0"/>
                <wp:wrapNone/>
                <wp:docPr id="19" name="文本框 19"/>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headEnd/>
                          <a:tailEnd/>
                        </a:ln>
                      </wps:spPr>
                      <wps:txbx>
                        <w:txbxContent>
                          <w:p w14:paraId="6A1697EB" w14:textId="77777777" w:rsidR="0005352E" w:rsidRPr="00DF4DE8" w:rsidRDefault="0005352E" w:rsidP="0005352E">
                            <w:pPr>
                              <w:rPr>
                                <w:b/>
                                <w:bCs/>
                                <w:color w:val="FF0000"/>
                              </w:rPr>
                            </w:pPr>
                            <w:r w:rsidRPr="00DF4DE8">
                              <w:rPr>
                                <w:rFonts w:hint="eastAsia"/>
                                <w:b/>
                                <w:bCs/>
                                <w:color w:val="FF0000"/>
                              </w:rPr>
                              <w:t>山脊</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4253CDC0" id="文本框 19" o:spid="_x0000_s1030" type="#_x0000_t202" style="position:absolute;margin-left:150.55pt;margin-top:108.4pt;width:41.4pt;height:25.8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" filled="f" stroked="f">
                <v:textbox>
                  <w:txbxContent>
                    <w:p w14:paraId="6A1697EB" w14:textId="77777777" w:rsidR="0005352E" w:rsidRPr="00DF4DE8" w:rsidRDefault="0005352E" w:rsidP="0005352E">
                      <w:pPr>
                        <w:rPr>
                          <w:b/>
                          <w:bCs/>
                          <w:color w:val="FF0000"/>
                        </w:rPr>
                      </w:pPr>
                      <w:r w:rsidRPr="00DF4DE8">
                        <w:rPr>
                          <w:rFonts w:hint="eastAsia"/>
                          <w:b/>
                          <w:bCs/>
                          <w:color w:val="FF0000"/>
                        </w:rPr>
                        <w:t>山脊</w:t>
                      </w:r>
                    </w:p>
                  </w:txbxContent>
                </v:textbox>
              </v:shape>
            </w:pict>
          </mc:Fallback>
        </mc:AlternateContent>
      </w:r>
      <w:r w:rsidRPr="00C60850">
        <w:rPr>
          <w:rFonts w:ascii="Times New Roman" w:hAnsi="Times New Roman" w:cs="Times New Roman"/>
          <w:noProof/>
          <w:color w:val="000000" w:themeColor="text1"/>
          <w:sz w:val="24"/>
          <w:szCs w:val="24"/>
        </w:rPr>
        <w:drawing>
          <wp:inline distT="0" distB="0" distL="0" distR="0" wp14:anchorId="799C9DA9" wp14:editId="16A8EFC1">
            <wp:extent cx="5274310" cy="432879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4328795"/>
                    </a:xfrm>
                    <a:prstGeom prst="rect">
                      <a:avLst/>
                    </a:prstGeom>
                    <a:noFill/>
                    <a:ln>
                      <a:noFill/>
                    </a:ln>
                  </pic:spPr>
                </pic:pic>
              </a:graphicData>
            </a:graphic>
          </wp:inline>
        </w:drawing>
      </w:r>
    </w:p>
    <w:p w14:paraId="11D18D2A" w14:textId="504F07C9" w:rsidR="003D32FE" w:rsidRPr="00092862" w:rsidRDefault="003D32FE" w:rsidP="0002261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00B12CCD" w:rsidRPr="00092862">
        <w:rPr>
          <w:rFonts w:ascii="Times New Roman" w:eastAsia="黑体" w:hAnsi="Times New Roman"/>
          <w:color w:val="000000" w:themeColor="text1"/>
          <w:sz w:val="21"/>
          <w:szCs w:val="21"/>
          <w:lang w:eastAsia="zh-CN"/>
        </w:rPr>
        <w:t>2.6-1</w:t>
      </w:r>
      <w:r w:rsidRPr="00092862">
        <w:rPr>
          <w:rFonts w:ascii="Times New Roman" w:eastAsia="黑体" w:hAnsi="Times New Roman"/>
          <w:color w:val="000000" w:themeColor="text1"/>
          <w:sz w:val="21"/>
          <w:szCs w:val="21"/>
          <w:lang w:eastAsia="zh-CN"/>
        </w:rPr>
        <w:t xml:space="preserve"> </w:t>
      </w:r>
      <w:r w:rsidR="0005352E" w:rsidRPr="00092862">
        <w:rPr>
          <w:rFonts w:ascii="Times New Roman" w:eastAsia="黑体" w:hAnsi="Times New Roman"/>
          <w:color w:val="000000" w:themeColor="text1"/>
          <w:sz w:val="21"/>
          <w:szCs w:val="21"/>
          <w:lang w:eastAsia="zh-CN"/>
        </w:rPr>
        <w:t xml:space="preserve"> </w:t>
      </w:r>
      <w:r w:rsidR="00D10C17" w:rsidRPr="00092862">
        <w:rPr>
          <w:rFonts w:ascii="Times New Roman" w:eastAsia="黑体" w:hAnsi="Times New Roman"/>
          <w:color w:val="000000" w:themeColor="text1"/>
          <w:sz w:val="21"/>
          <w:szCs w:val="21"/>
          <w:lang w:eastAsia="zh-CN"/>
        </w:rPr>
        <w:t>项目所在区</w:t>
      </w:r>
      <w:r w:rsidRPr="00092862">
        <w:rPr>
          <w:rFonts w:ascii="Times New Roman" w:eastAsia="黑体" w:hAnsi="Times New Roman"/>
          <w:color w:val="000000" w:themeColor="text1"/>
          <w:sz w:val="21"/>
          <w:szCs w:val="21"/>
          <w:lang w:eastAsia="zh-CN"/>
        </w:rPr>
        <w:t>地下水环境评价范围图</w:t>
      </w:r>
    </w:p>
    <w:p w14:paraId="2F213FFA" w14:textId="77777777" w:rsidR="00DC446C" w:rsidRPr="00092862" w:rsidRDefault="0097641A" w:rsidP="00C632E2">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56" w:name="_Toc120173072"/>
      <w:r w:rsidRPr="00092862">
        <w:rPr>
          <w:rFonts w:ascii="Times New Roman" w:eastAsia="黑体" w:hAnsi="Times New Roman"/>
          <w:b w:val="0"/>
          <w:color w:val="000000" w:themeColor="text1"/>
          <w:sz w:val="24"/>
          <w:szCs w:val="24"/>
          <w:lang w:eastAsia="zh-CN"/>
        </w:rPr>
        <w:t>2.6.3</w:t>
      </w:r>
      <w:r w:rsidR="003B1968" w:rsidRPr="00092862">
        <w:rPr>
          <w:rFonts w:ascii="Times New Roman" w:eastAsia="黑体" w:hAnsi="Times New Roman"/>
          <w:b w:val="0"/>
          <w:color w:val="000000" w:themeColor="text1"/>
          <w:sz w:val="24"/>
          <w:szCs w:val="24"/>
          <w:lang w:eastAsia="zh-CN"/>
        </w:rPr>
        <w:t>大气环境</w:t>
      </w:r>
      <w:bookmarkEnd w:id="56"/>
    </w:p>
    <w:p w14:paraId="29A02ABF" w14:textId="77777777" w:rsidR="0097641A" w:rsidRPr="00092862" w:rsidRDefault="0097641A" w:rsidP="00C632E2">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00777DEA"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）评价工作等级</w:t>
      </w:r>
    </w:p>
    <w:p w14:paraId="00949B76" w14:textId="77777777" w:rsidR="00DC446C" w:rsidRPr="00092862" w:rsidRDefault="003B1968" w:rsidP="00C632E2">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大气环境》（</w:t>
      </w:r>
      <w:r w:rsidRPr="00092862">
        <w:rPr>
          <w:rFonts w:ascii="Times New Roman" w:eastAsia="宋体" w:hAnsi="Times New Roman" w:cs="Times New Roman"/>
          <w:bCs/>
          <w:color w:val="000000" w:themeColor="text1"/>
          <w:sz w:val="24"/>
          <w:szCs w:val="24"/>
        </w:rPr>
        <w:t>HJ2.2-2018</w:t>
      </w:r>
      <w:r w:rsidRPr="00092862">
        <w:rPr>
          <w:rFonts w:ascii="Times New Roman" w:eastAsia="宋体" w:hAnsi="Times New Roman" w:cs="Times New Roman"/>
          <w:bCs/>
          <w:color w:val="000000" w:themeColor="text1"/>
          <w:sz w:val="24"/>
          <w:szCs w:val="24"/>
        </w:rPr>
        <w:t>）的规定，依据污染物最大地面浓度占标率确定空气环境评价等级。</w:t>
      </w:r>
    </w:p>
    <w:p w14:paraId="2DD81E85" w14:textId="2270DB19" w:rsidR="00DC446C" w:rsidRPr="00092862" w:rsidRDefault="003D32FE" w:rsidP="00363A96">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根据天然气开发项目环境影响特点，大气环境影响为钻井期间的施工机械、施工车辆产生的尾气、柴油发电机废气，</w:t>
      </w:r>
      <w:r w:rsidR="001A6854"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间正常工况下将产生</w:t>
      </w:r>
      <w:r w:rsidR="00C26134" w:rsidRPr="00092862">
        <w:rPr>
          <w:rFonts w:ascii="Times New Roman" w:eastAsia="宋体" w:hAnsi="Times New Roman" w:cs="Times New Roman"/>
          <w:bCs/>
          <w:color w:val="000000" w:themeColor="text1"/>
          <w:sz w:val="24"/>
          <w:szCs w:val="24"/>
        </w:rPr>
        <w:t>水套加热炉</w:t>
      </w:r>
      <w:r w:rsidRPr="00092862">
        <w:rPr>
          <w:rFonts w:ascii="Times New Roman" w:eastAsia="宋体" w:hAnsi="Times New Roman" w:cs="Times New Roman"/>
          <w:bCs/>
          <w:color w:val="000000" w:themeColor="text1"/>
          <w:sz w:val="24"/>
          <w:szCs w:val="24"/>
        </w:rPr>
        <w:t>燃烧废气</w:t>
      </w:r>
      <w:r w:rsidR="00C632E2" w:rsidRPr="00092862">
        <w:rPr>
          <w:rFonts w:ascii="Times New Roman" w:eastAsia="宋体" w:hAnsi="Times New Roman" w:cs="Times New Roman"/>
          <w:bCs/>
          <w:color w:val="000000" w:themeColor="text1"/>
          <w:sz w:val="24"/>
          <w:szCs w:val="24"/>
        </w:rPr>
        <w:t>、放空火炬长明灯废气</w:t>
      </w:r>
      <w:r w:rsidRPr="00092862">
        <w:rPr>
          <w:rFonts w:ascii="Times New Roman" w:eastAsia="宋体" w:hAnsi="Times New Roman" w:cs="Times New Roman"/>
          <w:bCs/>
          <w:color w:val="000000" w:themeColor="text1"/>
          <w:sz w:val="24"/>
          <w:szCs w:val="24"/>
        </w:rPr>
        <w:t>和采气、集输设备检修或事故状态下时产生少量的放空燃烧废气。由于施工期较短暂，</w:t>
      </w:r>
      <w:r w:rsidR="00D10C17" w:rsidRPr="00092862">
        <w:rPr>
          <w:rFonts w:ascii="Times New Roman" w:eastAsia="宋体" w:hAnsi="Times New Roman" w:cs="Times New Roman"/>
          <w:bCs/>
          <w:color w:val="000000" w:themeColor="text1"/>
          <w:sz w:val="24"/>
          <w:szCs w:val="24"/>
        </w:rPr>
        <w:t>钻井工程</w:t>
      </w:r>
      <w:r w:rsidR="001348A9" w:rsidRPr="00092862">
        <w:rPr>
          <w:rFonts w:ascii="Times New Roman" w:eastAsia="宋体" w:hAnsi="Times New Roman" w:cs="Times New Roman"/>
          <w:bCs/>
          <w:color w:val="000000" w:themeColor="text1"/>
          <w:sz w:val="24"/>
          <w:szCs w:val="24"/>
        </w:rPr>
        <w:t>工期</w:t>
      </w:r>
      <w:r w:rsidR="0005352E" w:rsidRPr="00092862">
        <w:rPr>
          <w:rFonts w:ascii="Times New Roman" w:eastAsia="宋体" w:hAnsi="Times New Roman" w:cs="Times New Roman"/>
          <w:bCs/>
          <w:color w:val="000000" w:themeColor="text1"/>
          <w:sz w:val="24"/>
          <w:szCs w:val="24"/>
        </w:rPr>
        <w:t>较短</w:t>
      </w:r>
      <w:r w:rsidRPr="00092862">
        <w:rPr>
          <w:rFonts w:ascii="Times New Roman" w:eastAsia="宋体" w:hAnsi="Times New Roman" w:cs="Times New Roman"/>
          <w:bCs/>
          <w:color w:val="000000" w:themeColor="text1"/>
          <w:sz w:val="24"/>
          <w:szCs w:val="24"/>
        </w:rPr>
        <w:t>，</w:t>
      </w:r>
      <w:r w:rsidR="0005352E" w:rsidRPr="00092862">
        <w:rPr>
          <w:rFonts w:ascii="Times New Roman" w:eastAsia="宋体" w:hAnsi="Times New Roman" w:cs="Times New Roman"/>
          <w:bCs/>
          <w:color w:val="000000" w:themeColor="text1"/>
          <w:sz w:val="24"/>
          <w:szCs w:val="24"/>
        </w:rPr>
        <w:t>试采期</w:t>
      </w:r>
      <w:r w:rsidR="00781497">
        <w:rPr>
          <w:rFonts w:ascii="Times New Roman" w:eastAsia="宋体" w:hAnsi="Times New Roman" w:cs="Times New Roman" w:hint="eastAsia"/>
          <w:bCs/>
          <w:color w:val="000000" w:themeColor="text1"/>
          <w:sz w:val="24"/>
          <w:szCs w:val="24"/>
        </w:rPr>
        <w:t>除新增一套水套加热炉外，其余主要生产设施均依托老君</w:t>
      </w:r>
      <w:r w:rsidR="00781497">
        <w:rPr>
          <w:rFonts w:ascii="Times New Roman" w:eastAsia="宋体" w:hAnsi="Times New Roman" w:cs="Times New Roman" w:hint="eastAsia"/>
          <w:bCs/>
          <w:color w:val="000000" w:themeColor="text1"/>
          <w:sz w:val="24"/>
          <w:szCs w:val="24"/>
        </w:rPr>
        <w:t>701</w:t>
      </w:r>
      <w:r w:rsidR="00781497">
        <w:rPr>
          <w:rFonts w:ascii="Times New Roman" w:eastAsia="宋体" w:hAnsi="Times New Roman" w:cs="Times New Roman" w:hint="eastAsia"/>
          <w:bCs/>
          <w:color w:val="000000" w:themeColor="text1"/>
          <w:sz w:val="24"/>
          <w:szCs w:val="24"/>
        </w:rPr>
        <w:t>集气站，且本工程的建设不会导致老君</w:t>
      </w:r>
      <w:r w:rsidR="00781497">
        <w:rPr>
          <w:rFonts w:ascii="Times New Roman" w:eastAsia="宋体" w:hAnsi="Times New Roman" w:cs="Times New Roman" w:hint="eastAsia"/>
          <w:bCs/>
          <w:color w:val="000000" w:themeColor="text1"/>
          <w:sz w:val="24"/>
          <w:szCs w:val="24"/>
        </w:rPr>
        <w:t>701</w:t>
      </w:r>
      <w:r w:rsidR="00781497">
        <w:rPr>
          <w:rFonts w:ascii="Times New Roman" w:eastAsia="宋体" w:hAnsi="Times New Roman" w:cs="Times New Roman" w:hint="eastAsia"/>
          <w:bCs/>
          <w:color w:val="000000" w:themeColor="text1"/>
          <w:sz w:val="24"/>
          <w:szCs w:val="24"/>
        </w:rPr>
        <w:t>集气站内的废气排放量增加。因此，本次大气环境影响大气环境影响评价等级以本工程新增的水套加热炉的废气源强进行预测后得出。</w:t>
      </w:r>
    </w:p>
    <w:p w14:paraId="667B7584" w14:textId="6F7A5AA6" w:rsidR="00540182" w:rsidRDefault="00540182" w:rsidP="00C632E2">
      <w:pPr>
        <w:tabs>
          <w:tab w:val="left" w:pos="0"/>
        </w:tabs>
        <w:spacing w:line="360" w:lineRule="auto"/>
        <w:ind w:firstLineChars="200" w:firstLine="480"/>
        <w:rPr>
          <w:rFonts w:ascii="Times New Roman" w:eastAsia="宋体" w:hAnsi="Times New Roman" w:cs="Times New Roman"/>
          <w:bCs/>
          <w:color w:val="000000" w:themeColor="text1"/>
          <w:sz w:val="24"/>
          <w:szCs w:val="24"/>
        </w:rPr>
      </w:pPr>
      <w:r>
        <w:rPr>
          <w:rFonts w:ascii="Times New Roman" w:eastAsia="宋体" w:hAnsi="Times New Roman" w:cs="Times New Roman" w:hint="eastAsia"/>
          <w:bCs/>
          <w:color w:val="000000" w:themeColor="text1"/>
          <w:sz w:val="24"/>
          <w:szCs w:val="24"/>
        </w:rPr>
        <w:t>根据后文大气环境影响评价内容部分，本项目水套加热炉有组织废气排放影响预测结果如下表所示。</w:t>
      </w:r>
    </w:p>
    <w:p w14:paraId="1C749B86" w14:textId="796AE164" w:rsidR="00540182" w:rsidRPr="00092862" w:rsidRDefault="00540182" w:rsidP="00540182">
      <w:pPr>
        <w:adjustRightInd w:val="0"/>
        <w:snapToGrid w:val="0"/>
        <w:spacing w:line="480" w:lineRule="exact"/>
        <w:jc w:val="center"/>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lastRenderedPageBreak/>
        <w:t>表</w:t>
      </w:r>
      <w:r>
        <w:rPr>
          <w:rFonts w:ascii="Times New Roman" w:eastAsia="黑体" w:hAnsi="Times New Roman" w:cs="Times New Roman" w:hint="eastAsia"/>
          <w:color w:val="000000" w:themeColor="text1"/>
          <w:sz w:val="24"/>
          <w:szCs w:val="24"/>
        </w:rPr>
        <w:t>2.6-4</w:t>
      </w:r>
      <w:r>
        <w:rPr>
          <w:rFonts w:ascii="Times New Roman" w:eastAsia="黑体" w:hAnsi="Times New Roman" w:cs="Times New Roman"/>
          <w:color w:val="000000" w:themeColor="text1"/>
          <w:sz w:val="24"/>
          <w:szCs w:val="24"/>
        </w:rPr>
        <w:t xml:space="preserve">   </w:t>
      </w:r>
      <w:r w:rsidRPr="00092862">
        <w:rPr>
          <w:rFonts w:ascii="Times New Roman" w:eastAsia="黑体" w:hAnsi="Times New Roman" w:cs="Times New Roman"/>
          <w:color w:val="000000" w:themeColor="text1"/>
          <w:sz w:val="24"/>
          <w:szCs w:val="24"/>
        </w:rPr>
        <w:t>有组织废气排放影响估算结果表</w:t>
      </w: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1459"/>
        <w:gridCol w:w="1416"/>
        <w:gridCol w:w="1559"/>
        <w:gridCol w:w="1937"/>
      </w:tblGrid>
      <w:tr w:rsidR="00540182" w:rsidRPr="00092862" w14:paraId="3BA1904F" w14:textId="77777777" w:rsidTr="00B10890">
        <w:trPr>
          <w:trHeight w:val="339"/>
          <w:tblHeader/>
          <w:jc w:val="center"/>
        </w:trPr>
        <w:tc>
          <w:tcPr>
            <w:tcW w:w="1166" w:type="pct"/>
            <w:vMerge w:val="restart"/>
            <w:vAlign w:val="center"/>
          </w:tcPr>
          <w:p w14:paraId="407F37F0"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距源中心下风向</w:t>
            </w:r>
          </w:p>
          <w:p w14:paraId="6B91C29F"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距离</w:t>
            </w:r>
            <w:r w:rsidRPr="00092862">
              <w:rPr>
                <w:rFonts w:ascii="Times New Roman" w:hAnsi="Times New Roman" w:cs="Times New Roman"/>
                <w:color w:val="000000" w:themeColor="text1"/>
                <w:szCs w:val="21"/>
              </w:rPr>
              <w:t>D/m</w:t>
            </w:r>
          </w:p>
        </w:tc>
        <w:tc>
          <w:tcPr>
            <w:tcW w:w="3834" w:type="pct"/>
            <w:gridSpan w:val="4"/>
            <w:vAlign w:val="center"/>
          </w:tcPr>
          <w:p w14:paraId="51E43A68" w14:textId="77777777" w:rsidR="00540182" w:rsidRPr="00092862" w:rsidRDefault="00540182" w:rsidP="00B10890">
            <w:pPr>
              <w:ind w:left="57" w:right="57"/>
              <w:jc w:val="center"/>
              <w:rPr>
                <w:rFonts w:ascii="Times New Roman" w:hAnsi="Times New Roman" w:cs="Times New Roman"/>
                <w:b/>
                <w:bCs/>
                <w:snapToGrid w:val="0"/>
                <w:color w:val="000000" w:themeColor="text1"/>
                <w:spacing w:val="-20"/>
                <w:szCs w:val="21"/>
              </w:rPr>
            </w:pPr>
            <w:r w:rsidRPr="00092862">
              <w:rPr>
                <w:rFonts w:ascii="Times New Roman" w:hAnsi="Times New Roman" w:cs="Times New Roman"/>
                <w:color w:val="000000" w:themeColor="text1"/>
                <w:szCs w:val="21"/>
              </w:rPr>
              <w:t>水套加热炉排气筒</w:t>
            </w:r>
            <w:r w:rsidRPr="00092862">
              <w:rPr>
                <w:rFonts w:ascii="Times New Roman" w:hAnsi="Times New Roman" w:cs="Times New Roman"/>
                <w:color w:val="000000" w:themeColor="text1"/>
                <w:szCs w:val="21"/>
              </w:rPr>
              <w:t>(P1)</w:t>
            </w:r>
          </w:p>
        </w:tc>
      </w:tr>
      <w:tr w:rsidR="00540182" w:rsidRPr="00092862" w14:paraId="48DAFED4" w14:textId="77777777" w:rsidTr="00B10890">
        <w:trPr>
          <w:trHeight w:val="339"/>
          <w:tblHeader/>
          <w:jc w:val="center"/>
        </w:trPr>
        <w:tc>
          <w:tcPr>
            <w:tcW w:w="1166" w:type="pct"/>
            <w:vMerge/>
            <w:vAlign w:val="center"/>
          </w:tcPr>
          <w:p w14:paraId="4029E916" w14:textId="77777777" w:rsidR="00540182" w:rsidRPr="00092862" w:rsidRDefault="00540182" w:rsidP="00B10890">
            <w:pPr>
              <w:ind w:left="57" w:right="57"/>
              <w:jc w:val="center"/>
              <w:rPr>
                <w:rFonts w:ascii="Times New Roman" w:hAnsi="Times New Roman" w:cs="Times New Roman"/>
                <w:color w:val="000000" w:themeColor="text1"/>
                <w:szCs w:val="21"/>
              </w:rPr>
            </w:pPr>
          </w:p>
        </w:tc>
        <w:tc>
          <w:tcPr>
            <w:tcW w:w="1730" w:type="pct"/>
            <w:gridSpan w:val="2"/>
            <w:vAlign w:val="center"/>
          </w:tcPr>
          <w:p w14:paraId="22DFC849"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SO</w:t>
            </w:r>
            <w:r w:rsidRPr="00092862">
              <w:rPr>
                <w:rFonts w:ascii="Times New Roman" w:hAnsi="Times New Roman" w:cs="Times New Roman"/>
                <w:color w:val="000000" w:themeColor="text1"/>
                <w:szCs w:val="21"/>
                <w:vertAlign w:val="subscript"/>
              </w:rPr>
              <w:t>2</w:t>
            </w:r>
          </w:p>
        </w:tc>
        <w:tc>
          <w:tcPr>
            <w:tcW w:w="2104" w:type="pct"/>
            <w:gridSpan w:val="2"/>
            <w:vAlign w:val="center"/>
          </w:tcPr>
          <w:p w14:paraId="7E136372" w14:textId="77777777" w:rsidR="00540182" w:rsidRPr="00092862" w:rsidRDefault="00540182" w:rsidP="00B10890">
            <w:pPr>
              <w:ind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NOx</w:t>
            </w:r>
          </w:p>
        </w:tc>
      </w:tr>
      <w:tr w:rsidR="00540182" w:rsidRPr="00092862" w14:paraId="7950340D" w14:textId="77777777" w:rsidTr="00B10890">
        <w:trPr>
          <w:trHeight w:val="339"/>
          <w:tblHeader/>
          <w:jc w:val="center"/>
        </w:trPr>
        <w:tc>
          <w:tcPr>
            <w:tcW w:w="1166" w:type="pct"/>
            <w:vMerge/>
            <w:vAlign w:val="center"/>
          </w:tcPr>
          <w:p w14:paraId="146EF2F2" w14:textId="77777777" w:rsidR="00540182" w:rsidRPr="00092862" w:rsidRDefault="00540182" w:rsidP="00B10890">
            <w:pPr>
              <w:ind w:left="57" w:right="57"/>
              <w:jc w:val="center"/>
              <w:rPr>
                <w:rFonts w:ascii="Times New Roman" w:hAnsi="Times New Roman" w:cs="Times New Roman"/>
                <w:color w:val="000000" w:themeColor="text1"/>
                <w:szCs w:val="21"/>
              </w:rPr>
            </w:pPr>
          </w:p>
        </w:tc>
        <w:tc>
          <w:tcPr>
            <w:tcW w:w="878" w:type="pct"/>
            <w:vAlign w:val="center"/>
          </w:tcPr>
          <w:p w14:paraId="7F6ADEEA"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μg/m³</w:t>
            </w:r>
            <w:r w:rsidRPr="00092862">
              <w:rPr>
                <w:rFonts w:ascii="Times New Roman" w:hAnsi="Times New Roman" w:cs="Times New Roman"/>
                <w:color w:val="000000" w:themeColor="text1"/>
                <w:szCs w:val="21"/>
              </w:rPr>
              <w:t>）</w:t>
            </w:r>
          </w:p>
        </w:tc>
        <w:tc>
          <w:tcPr>
            <w:tcW w:w="852" w:type="pct"/>
            <w:vAlign w:val="center"/>
          </w:tcPr>
          <w:p w14:paraId="41F6AF45"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P/%</w:t>
            </w:r>
          </w:p>
        </w:tc>
        <w:tc>
          <w:tcPr>
            <w:tcW w:w="938" w:type="pct"/>
            <w:vAlign w:val="center"/>
          </w:tcPr>
          <w:p w14:paraId="2FAEB213" w14:textId="77777777" w:rsidR="00540182" w:rsidRPr="00092862" w:rsidRDefault="00540182" w:rsidP="00B10890">
            <w:pPr>
              <w:ind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μg/m³</w:t>
            </w:r>
            <w:r w:rsidRPr="00092862">
              <w:rPr>
                <w:rFonts w:ascii="Times New Roman" w:hAnsi="Times New Roman" w:cs="Times New Roman"/>
                <w:color w:val="000000" w:themeColor="text1"/>
                <w:szCs w:val="21"/>
              </w:rPr>
              <w:t>）</w:t>
            </w:r>
          </w:p>
        </w:tc>
        <w:tc>
          <w:tcPr>
            <w:tcW w:w="1166" w:type="pct"/>
            <w:vAlign w:val="center"/>
          </w:tcPr>
          <w:p w14:paraId="5BF24BBB"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shd w:val="pct10" w:color="auto" w:fill="FFFFFF"/>
              </w:rPr>
              <w:t>P/%</w:t>
            </w:r>
          </w:p>
        </w:tc>
      </w:tr>
      <w:tr w:rsidR="00540182" w:rsidRPr="00092862" w14:paraId="7ACBC42F" w14:textId="77777777" w:rsidTr="00B10890">
        <w:trPr>
          <w:trHeight w:val="339"/>
          <w:tblHeader/>
          <w:jc w:val="center"/>
        </w:trPr>
        <w:tc>
          <w:tcPr>
            <w:tcW w:w="1166" w:type="pct"/>
            <w:vAlign w:val="center"/>
          </w:tcPr>
          <w:p w14:paraId="14E9BEE0"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下风向最大浓度</w:t>
            </w:r>
          </w:p>
        </w:tc>
        <w:tc>
          <w:tcPr>
            <w:tcW w:w="878" w:type="pct"/>
            <w:vAlign w:val="center"/>
          </w:tcPr>
          <w:p w14:paraId="664C5D6E" w14:textId="77777777" w:rsidR="00540182" w:rsidRPr="00092862" w:rsidRDefault="00540182" w:rsidP="00B10890">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0.368</w:t>
            </w:r>
          </w:p>
        </w:tc>
        <w:tc>
          <w:tcPr>
            <w:tcW w:w="852" w:type="pct"/>
            <w:vAlign w:val="center"/>
          </w:tcPr>
          <w:p w14:paraId="1AA93ECC" w14:textId="77777777" w:rsidR="00540182" w:rsidRPr="00092862" w:rsidRDefault="00540182" w:rsidP="00B10890">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0.07</w:t>
            </w:r>
          </w:p>
        </w:tc>
        <w:tc>
          <w:tcPr>
            <w:tcW w:w="938" w:type="pct"/>
            <w:vAlign w:val="center"/>
          </w:tcPr>
          <w:p w14:paraId="69DAD8EC" w14:textId="77777777" w:rsidR="00540182" w:rsidRPr="00092862" w:rsidRDefault="00540182" w:rsidP="00B10890">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17.62</w:t>
            </w:r>
          </w:p>
        </w:tc>
        <w:tc>
          <w:tcPr>
            <w:tcW w:w="1166" w:type="pct"/>
            <w:vAlign w:val="center"/>
          </w:tcPr>
          <w:p w14:paraId="0BC0B426" w14:textId="77777777" w:rsidR="00540182" w:rsidRPr="00092862" w:rsidRDefault="00540182" w:rsidP="00B10890">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shd w:val="pct10" w:color="auto" w:fill="FFFFFF"/>
              </w:rPr>
              <w:t>8.81</w:t>
            </w:r>
          </w:p>
        </w:tc>
      </w:tr>
      <w:tr w:rsidR="00540182" w:rsidRPr="00092862" w14:paraId="5780DC09" w14:textId="77777777" w:rsidTr="00B10890">
        <w:trPr>
          <w:trHeight w:val="339"/>
          <w:tblHeader/>
          <w:jc w:val="center"/>
        </w:trPr>
        <w:tc>
          <w:tcPr>
            <w:tcW w:w="1166" w:type="pct"/>
            <w:vAlign w:val="center"/>
          </w:tcPr>
          <w:p w14:paraId="7632299F"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最大浓度出现距离</w:t>
            </w:r>
          </w:p>
        </w:tc>
        <w:tc>
          <w:tcPr>
            <w:tcW w:w="3834" w:type="pct"/>
            <w:gridSpan w:val="4"/>
            <w:vAlign w:val="center"/>
          </w:tcPr>
          <w:p w14:paraId="7D739DFD"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1089m</w:t>
            </w:r>
          </w:p>
        </w:tc>
      </w:tr>
      <w:tr w:rsidR="00540182" w:rsidRPr="00092862" w14:paraId="7CFD8E9A" w14:textId="77777777" w:rsidTr="00B10890">
        <w:trPr>
          <w:trHeight w:val="339"/>
          <w:tblHeader/>
          <w:jc w:val="center"/>
        </w:trPr>
        <w:tc>
          <w:tcPr>
            <w:tcW w:w="1166" w:type="pct"/>
            <w:vAlign w:val="center"/>
          </w:tcPr>
          <w:p w14:paraId="0586191E"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距源最远距离</w:t>
            </w:r>
            <w:r w:rsidRPr="00092862">
              <w:rPr>
                <w:rFonts w:ascii="Times New Roman" w:hAnsi="Times New Roman" w:cs="Times New Roman"/>
                <w:color w:val="000000" w:themeColor="text1"/>
                <w:szCs w:val="21"/>
              </w:rPr>
              <w:t>D10%</w:t>
            </w:r>
          </w:p>
        </w:tc>
        <w:tc>
          <w:tcPr>
            <w:tcW w:w="3834" w:type="pct"/>
            <w:gridSpan w:val="4"/>
            <w:vAlign w:val="center"/>
          </w:tcPr>
          <w:p w14:paraId="047E5132" w14:textId="77777777" w:rsidR="00540182" w:rsidRPr="00092862" w:rsidRDefault="00540182" w:rsidP="00B10890">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Pmax</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10%</w:t>
            </w:r>
          </w:p>
        </w:tc>
      </w:tr>
    </w:tbl>
    <w:p w14:paraId="57179F18" w14:textId="75375316" w:rsidR="00DC446C" w:rsidRPr="00092862" w:rsidRDefault="003B1968" w:rsidP="00C632E2">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评价工作等级按《环境影响评价技术导则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大气环境》（</w:t>
      </w:r>
      <w:r w:rsidRPr="00092862">
        <w:rPr>
          <w:rFonts w:ascii="Times New Roman" w:eastAsia="宋体" w:hAnsi="Times New Roman" w:cs="Times New Roman"/>
          <w:bCs/>
          <w:color w:val="000000" w:themeColor="text1"/>
          <w:sz w:val="24"/>
          <w:szCs w:val="24"/>
        </w:rPr>
        <w:t>HJ2.2-2018</w:t>
      </w:r>
      <w:r w:rsidRPr="00092862">
        <w:rPr>
          <w:rFonts w:ascii="Times New Roman" w:eastAsia="宋体" w:hAnsi="Times New Roman" w:cs="Times New Roman"/>
          <w:bCs/>
          <w:color w:val="000000" w:themeColor="text1"/>
          <w:sz w:val="24"/>
          <w:szCs w:val="24"/>
        </w:rPr>
        <w:t>）规定的分级判据进行划分（见表</w:t>
      </w:r>
      <w:r w:rsidRPr="00092862">
        <w:rPr>
          <w:rFonts w:ascii="Times New Roman" w:eastAsia="宋体" w:hAnsi="Times New Roman" w:cs="Times New Roman"/>
          <w:bCs/>
          <w:color w:val="000000" w:themeColor="text1"/>
          <w:sz w:val="24"/>
          <w:szCs w:val="24"/>
        </w:rPr>
        <w:t>2.6-3</w:t>
      </w:r>
      <w:r w:rsidRPr="00092862">
        <w:rPr>
          <w:rFonts w:ascii="Times New Roman" w:eastAsia="宋体" w:hAnsi="Times New Roman" w:cs="Times New Roman"/>
          <w:bCs/>
          <w:color w:val="000000" w:themeColor="text1"/>
          <w:sz w:val="24"/>
          <w:szCs w:val="24"/>
        </w:rPr>
        <w:t>），如污染物数</w:t>
      </w:r>
      <w:r w:rsidRPr="00092862">
        <w:rPr>
          <w:rFonts w:ascii="Times New Roman" w:eastAsia="宋体" w:hAnsi="Times New Roman" w:cs="Times New Roman"/>
          <w:bCs/>
          <w:color w:val="000000" w:themeColor="text1"/>
          <w:sz w:val="24"/>
          <w:szCs w:val="24"/>
        </w:rPr>
        <w:t>i</w:t>
      </w:r>
      <w:r w:rsidRPr="00092862">
        <w:rPr>
          <w:rFonts w:ascii="Times New Roman" w:eastAsia="宋体" w:hAnsi="Times New Roman" w:cs="Times New Roman"/>
          <w:bCs/>
          <w:color w:val="000000" w:themeColor="text1"/>
          <w:sz w:val="24"/>
          <w:szCs w:val="24"/>
        </w:rPr>
        <w:t>大于</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，取</w:t>
      </w:r>
      <w:r w:rsidRPr="00092862">
        <w:rPr>
          <w:rFonts w:ascii="Times New Roman" w:eastAsia="宋体" w:hAnsi="Times New Roman" w:cs="Times New Roman"/>
          <w:bCs/>
          <w:color w:val="000000" w:themeColor="text1"/>
          <w:sz w:val="24"/>
          <w:szCs w:val="24"/>
        </w:rPr>
        <w:t>P</w:t>
      </w:r>
      <w:r w:rsidRPr="00092862">
        <w:rPr>
          <w:rFonts w:ascii="Times New Roman" w:eastAsia="宋体" w:hAnsi="Times New Roman" w:cs="Times New Roman"/>
          <w:bCs/>
          <w:color w:val="000000" w:themeColor="text1"/>
          <w:sz w:val="24"/>
          <w:szCs w:val="24"/>
        </w:rPr>
        <w:t>中最大值（</w:t>
      </w:r>
      <w:r w:rsidRPr="00092862">
        <w:rPr>
          <w:rFonts w:ascii="Times New Roman" w:eastAsia="宋体" w:hAnsi="Times New Roman" w:cs="Times New Roman"/>
          <w:bCs/>
          <w:color w:val="000000" w:themeColor="text1"/>
          <w:sz w:val="24"/>
          <w:szCs w:val="24"/>
        </w:rPr>
        <w:t>Pmax</w:t>
      </w:r>
      <w:r w:rsidRPr="00092862">
        <w:rPr>
          <w:rFonts w:ascii="Times New Roman" w:eastAsia="宋体" w:hAnsi="Times New Roman" w:cs="Times New Roman"/>
          <w:bCs/>
          <w:color w:val="000000" w:themeColor="text1"/>
          <w:sz w:val="24"/>
          <w:szCs w:val="24"/>
        </w:rPr>
        <w:t>）。</w:t>
      </w:r>
    </w:p>
    <w:p w14:paraId="403F4033" w14:textId="74F2C8EF" w:rsidR="00DC446C" w:rsidRPr="00092862" w:rsidRDefault="003B1968" w:rsidP="006E70A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2.6-</w:t>
      </w:r>
      <w:r w:rsidR="00540182">
        <w:rPr>
          <w:rFonts w:ascii="Times New Roman" w:eastAsia="黑体" w:hAnsi="Times New Roman" w:hint="eastAsia"/>
          <w:color w:val="000000" w:themeColor="text1"/>
          <w:sz w:val="21"/>
          <w:szCs w:val="21"/>
          <w:lang w:eastAsia="zh-CN"/>
        </w:rPr>
        <w:t>5</w:t>
      </w:r>
      <w:r w:rsidR="0054018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大气评价工作等级</w:t>
      </w:r>
    </w:p>
    <w:tbl>
      <w:tblPr>
        <w:tblW w:w="8222" w:type="dxa"/>
        <w:jc w:val="center"/>
        <w:tblLayout w:type="fixed"/>
        <w:tblCellMar>
          <w:left w:w="0" w:type="dxa"/>
          <w:right w:w="0" w:type="dxa"/>
        </w:tblCellMar>
        <w:tblLook w:val="04A0" w:firstRow="1" w:lastRow="0" w:firstColumn="1" w:lastColumn="0" w:noHBand="0" w:noVBand="1"/>
      </w:tblPr>
      <w:tblGrid>
        <w:gridCol w:w="2554"/>
        <w:gridCol w:w="5668"/>
      </w:tblGrid>
      <w:tr w:rsidR="00697429" w:rsidRPr="00092862" w14:paraId="26727C30"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558EAE41" w14:textId="77777777" w:rsidR="00DC446C" w:rsidRPr="00092862" w:rsidRDefault="003B1968" w:rsidP="003D2EEB">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评价工作等级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5DBFE9A0" w14:textId="77777777" w:rsidR="00DC446C" w:rsidRPr="00092862" w:rsidRDefault="003B1968" w:rsidP="003D2EEB">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评价工作分级判据</w:t>
            </w:r>
          </w:p>
        </w:tc>
      </w:tr>
      <w:tr w:rsidR="00697429" w:rsidRPr="00092862" w14:paraId="5A510924"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111307D8" w14:textId="77777777" w:rsidR="00DC446C" w:rsidRPr="00092862" w:rsidRDefault="003B1968" w:rsidP="003D2EEB">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一级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2220AB1C" w14:textId="77777777" w:rsidR="00DC446C" w:rsidRPr="00092862" w:rsidRDefault="003B1968" w:rsidP="003D2EEB">
            <w:pPr>
              <w:pStyle w:val="TableParagraph"/>
              <w:adjustRightInd w:val="0"/>
              <w:snapToGrid w:val="0"/>
              <w:jc w:val="center"/>
              <w:rPr>
                <w:rFonts w:ascii="Times New Roman" w:eastAsia="Times New Roman" w:hAnsi="Times New Roman"/>
                <w:color w:val="000000" w:themeColor="text1"/>
                <w:sz w:val="21"/>
                <w:szCs w:val="21"/>
              </w:rPr>
            </w:pPr>
            <w:r w:rsidRPr="00092862">
              <w:rPr>
                <w:rFonts w:ascii="Times New Roman" w:eastAsia="Times New Roman" w:hAnsi="Times New Roman"/>
                <w:color w:val="000000" w:themeColor="text1"/>
                <w:sz w:val="21"/>
                <w:szCs w:val="21"/>
              </w:rPr>
              <w:t>Pmax≥10%</w:t>
            </w:r>
          </w:p>
        </w:tc>
      </w:tr>
      <w:tr w:rsidR="00697429" w:rsidRPr="00092862" w14:paraId="4818CF15"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71D89E37" w14:textId="77777777" w:rsidR="00DC446C" w:rsidRPr="00092862" w:rsidRDefault="003B1968" w:rsidP="003D2EEB">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二级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1E3A92A7" w14:textId="77777777" w:rsidR="00DC446C" w:rsidRPr="00092862" w:rsidRDefault="003B1968" w:rsidP="003D2EEB">
            <w:pPr>
              <w:pStyle w:val="TableParagraph"/>
              <w:adjustRightInd w:val="0"/>
              <w:snapToGrid w:val="0"/>
              <w:jc w:val="center"/>
              <w:rPr>
                <w:rFonts w:ascii="Times New Roman" w:eastAsia="Times New Roman" w:hAnsi="Times New Roman"/>
                <w:color w:val="000000" w:themeColor="text1"/>
                <w:sz w:val="21"/>
                <w:szCs w:val="21"/>
              </w:rPr>
            </w:pPr>
            <w:r w:rsidRPr="00092862">
              <w:rPr>
                <w:rFonts w:ascii="Times New Roman" w:eastAsia="Times New Roman" w:hAnsi="Times New Roman"/>
                <w:color w:val="000000" w:themeColor="text1"/>
                <w:sz w:val="21"/>
                <w:szCs w:val="21"/>
              </w:rPr>
              <w:t>1%</w:t>
            </w:r>
            <w:r w:rsidRPr="00092862">
              <w:rPr>
                <w:rFonts w:ascii="Times New Roman" w:hAnsi="Times New Roman"/>
                <w:color w:val="000000" w:themeColor="text1"/>
                <w:sz w:val="21"/>
                <w:szCs w:val="21"/>
              </w:rPr>
              <w:t>≤</w:t>
            </w:r>
            <w:r w:rsidRPr="00092862">
              <w:rPr>
                <w:rFonts w:ascii="Times New Roman" w:eastAsia="Times New Roman" w:hAnsi="Times New Roman"/>
                <w:color w:val="000000" w:themeColor="text1"/>
                <w:sz w:val="21"/>
                <w:szCs w:val="21"/>
              </w:rPr>
              <w:t>Pmax</w:t>
            </w:r>
            <w:r w:rsidRPr="00092862">
              <w:rPr>
                <w:rFonts w:ascii="Times New Roman" w:hAnsi="Times New Roman"/>
                <w:color w:val="000000" w:themeColor="text1"/>
                <w:sz w:val="21"/>
                <w:szCs w:val="21"/>
              </w:rPr>
              <w:t>＜</w:t>
            </w:r>
            <w:r w:rsidRPr="00092862">
              <w:rPr>
                <w:rFonts w:ascii="Times New Roman" w:eastAsia="Times New Roman" w:hAnsi="Times New Roman"/>
                <w:color w:val="000000" w:themeColor="text1"/>
                <w:sz w:val="21"/>
                <w:szCs w:val="21"/>
              </w:rPr>
              <w:t>10%</w:t>
            </w:r>
          </w:p>
        </w:tc>
      </w:tr>
      <w:tr w:rsidR="00697429" w:rsidRPr="00092862" w14:paraId="5FEAB600"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7ACD3E3A" w14:textId="77777777" w:rsidR="00DC446C" w:rsidRPr="00092862" w:rsidRDefault="003B1968" w:rsidP="00BA2AA3">
            <w:pPr>
              <w:pStyle w:val="TableParagraph"/>
              <w:adjustRightInd w:val="0"/>
              <w:snapToGrid w:val="0"/>
              <w:spacing w:line="360" w:lineRule="auto"/>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三级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2ED942F6" w14:textId="77777777" w:rsidR="00DC446C" w:rsidRPr="00092862" w:rsidRDefault="003B1968" w:rsidP="00BA2AA3">
            <w:pPr>
              <w:pStyle w:val="TableParagraph"/>
              <w:adjustRightInd w:val="0"/>
              <w:snapToGrid w:val="0"/>
              <w:spacing w:line="360" w:lineRule="auto"/>
              <w:jc w:val="center"/>
              <w:rPr>
                <w:rFonts w:ascii="Times New Roman" w:eastAsia="Times New Roman" w:hAnsi="Times New Roman"/>
                <w:color w:val="000000" w:themeColor="text1"/>
                <w:sz w:val="21"/>
                <w:szCs w:val="21"/>
              </w:rPr>
            </w:pPr>
            <w:r w:rsidRPr="00092862">
              <w:rPr>
                <w:rFonts w:ascii="Times New Roman" w:eastAsia="Times New Roman" w:hAnsi="Times New Roman"/>
                <w:color w:val="000000" w:themeColor="text1"/>
                <w:sz w:val="21"/>
                <w:szCs w:val="21"/>
              </w:rPr>
              <w:t>P</w:t>
            </w:r>
            <w:r w:rsidRPr="00092862">
              <w:rPr>
                <w:rFonts w:ascii="Times New Roman" w:eastAsia="Times New Roman" w:hAnsi="Times New Roman"/>
                <w:color w:val="000000" w:themeColor="text1"/>
                <w:position w:val="-1"/>
                <w:sz w:val="21"/>
                <w:szCs w:val="21"/>
              </w:rPr>
              <w:t>max</w:t>
            </w:r>
            <w:r w:rsidRPr="00092862">
              <w:rPr>
                <w:rFonts w:ascii="Times New Roman" w:hAnsi="Times New Roman"/>
                <w:color w:val="000000" w:themeColor="text1"/>
                <w:sz w:val="21"/>
                <w:szCs w:val="21"/>
              </w:rPr>
              <w:t>＜</w:t>
            </w:r>
            <w:r w:rsidRPr="00092862">
              <w:rPr>
                <w:rFonts w:ascii="Times New Roman" w:eastAsia="Times New Roman" w:hAnsi="Times New Roman"/>
                <w:color w:val="000000" w:themeColor="text1"/>
                <w:sz w:val="21"/>
                <w:szCs w:val="21"/>
              </w:rPr>
              <w:t>1%</w:t>
            </w:r>
          </w:p>
        </w:tc>
      </w:tr>
    </w:tbl>
    <w:p w14:paraId="5A7049B7" w14:textId="3B58C04E" w:rsidR="00DC446C" w:rsidRPr="00092862" w:rsidRDefault="00363A96"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本项目大气评价等级为</w:t>
      </w:r>
      <w:r w:rsidR="00540182">
        <w:rPr>
          <w:rFonts w:ascii="Times New Roman" w:eastAsia="宋体" w:hAnsi="Times New Roman" w:cs="Times New Roman" w:hint="eastAsia"/>
          <w:bCs/>
          <w:color w:val="000000" w:themeColor="text1"/>
          <w:sz w:val="24"/>
          <w:szCs w:val="24"/>
        </w:rPr>
        <w:t>二</w:t>
      </w:r>
      <w:r w:rsidRPr="00092862">
        <w:rPr>
          <w:rFonts w:ascii="Times New Roman" w:eastAsia="宋体" w:hAnsi="Times New Roman" w:cs="Times New Roman"/>
          <w:bCs/>
          <w:color w:val="000000" w:themeColor="text1"/>
          <w:sz w:val="24"/>
          <w:szCs w:val="24"/>
        </w:rPr>
        <w:t>级</w:t>
      </w:r>
      <w:r w:rsidR="00724EF0" w:rsidRPr="00092862">
        <w:rPr>
          <w:rFonts w:ascii="Times New Roman" w:eastAsia="宋体" w:hAnsi="Times New Roman" w:cs="Times New Roman"/>
          <w:bCs/>
          <w:color w:val="000000" w:themeColor="text1"/>
          <w:sz w:val="24"/>
          <w:szCs w:val="24"/>
        </w:rPr>
        <w:t>。</w:t>
      </w:r>
    </w:p>
    <w:p w14:paraId="20C8D1D7" w14:textId="77777777" w:rsidR="003E487D" w:rsidRPr="00092862" w:rsidRDefault="003E487D"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）评价范围</w:t>
      </w:r>
    </w:p>
    <w:p w14:paraId="07FB1A3B" w14:textId="0B0F23B3" w:rsidR="000C3146" w:rsidRPr="00092862" w:rsidRDefault="00724EF0"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根据《环境影响评价技术导则大气环境》（</w:t>
      </w:r>
      <w:r w:rsidRPr="00092862">
        <w:rPr>
          <w:rFonts w:ascii="Times New Roman" w:eastAsia="宋体" w:hAnsi="Times New Roman" w:cs="Times New Roman"/>
          <w:color w:val="000000" w:themeColor="text1"/>
          <w:sz w:val="24"/>
          <w:szCs w:val="24"/>
        </w:rPr>
        <w:t>HJ 2.2-2018</w:t>
      </w:r>
      <w:r w:rsidRPr="00092862">
        <w:rPr>
          <w:rFonts w:ascii="Times New Roman" w:eastAsia="宋体" w:hAnsi="Times New Roman" w:cs="Times New Roman"/>
          <w:color w:val="000000" w:themeColor="text1"/>
          <w:sz w:val="24"/>
          <w:szCs w:val="24"/>
        </w:rPr>
        <w:t>），</w:t>
      </w:r>
      <w:r w:rsidR="00363A96" w:rsidRPr="00092862">
        <w:rPr>
          <w:rFonts w:ascii="Times New Roman" w:eastAsia="宋体" w:hAnsi="Times New Roman" w:cs="Times New Roman"/>
          <w:color w:val="000000" w:themeColor="text1"/>
          <w:sz w:val="24"/>
          <w:szCs w:val="24"/>
        </w:rPr>
        <w:t>三级评价项目不需要设置大气环境影响评价范围</w:t>
      </w:r>
      <w:r w:rsidRPr="00092862">
        <w:rPr>
          <w:rFonts w:ascii="Times New Roman" w:eastAsia="宋体" w:hAnsi="Times New Roman" w:cs="Times New Roman"/>
          <w:color w:val="000000" w:themeColor="text1"/>
          <w:sz w:val="24"/>
          <w:szCs w:val="24"/>
        </w:rPr>
        <w:t>。</w:t>
      </w:r>
    </w:p>
    <w:p w14:paraId="17B3B6BF" w14:textId="77777777" w:rsidR="00DC446C" w:rsidRPr="00092862" w:rsidRDefault="003E487D" w:rsidP="00BA2AA3">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57" w:name="_Toc120173073"/>
      <w:r w:rsidRPr="00092862">
        <w:rPr>
          <w:rFonts w:ascii="Times New Roman" w:eastAsia="黑体" w:hAnsi="Times New Roman"/>
          <w:b w:val="0"/>
          <w:color w:val="000000" w:themeColor="text1"/>
          <w:sz w:val="24"/>
          <w:szCs w:val="24"/>
          <w:lang w:eastAsia="zh-CN"/>
        </w:rPr>
        <w:t>2.6.4</w:t>
      </w:r>
      <w:r w:rsidR="003B1968" w:rsidRPr="00092862">
        <w:rPr>
          <w:rFonts w:ascii="Times New Roman" w:eastAsia="黑体" w:hAnsi="Times New Roman"/>
          <w:b w:val="0"/>
          <w:color w:val="000000" w:themeColor="text1"/>
          <w:sz w:val="24"/>
          <w:szCs w:val="24"/>
          <w:lang w:eastAsia="zh-CN"/>
        </w:rPr>
        <w:t>声环境</w:t>
      </w:r>
      <w:bookmarkEnd w:id="57"/>
    </w:p>
    <w:p w14:paraId="647685D7" w14:textId="77777777" w:rsidR="003E487D" w:rsidRPr="00092862" w:rsidRDefault="003E487D"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）评价工作等级</w:t>
      </w:r>
    </w:p>
    <w:p w14:paraId="31F97BBF" w14:textId="17FCAFA9" w:rsidR="00DC446C" w:rsidRPr="00092862" w:rsidRDefault="003B1968"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根据《环境影响评价技术导则</w:t>
      </w:r>
      <w:r w:rsidR="007162B5"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声</w:t>
      </w:r>
      <w:r w:rsidR="007162B5" w:rsidRPr="00092862">
        <w:rPr>
          <w:rFonts w:ascii="Times New Roman" w:eastAsia="宋体" w:hAnsi="Times New Roman" w:cs="Times New Roman"/>
          <w:bCs/>
          <w:color w:val="000000" w:themeColor="text1"/>
          <w:sz w:val="24"/>
          <w:szCs w:val="24"/>
        </w:rPr>
        <w:t>环境</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HJ2.4-20</w:t>
      </w:r>
      <w:r w:rsidR="00BF3A2C" w:rsidRPr="00092862">
        <w:rPr>
          <w:rFonts w:ascii="Times New Roman" w:eastAsia="宋体" w:hAnsi="Times New Roman" w:cs="Times New Roman"/>
          <w:bCs/>
          <w:color w:val="000000" w:themeColor="text1"/>
          <w:sz w:val="24"/>
          <w:szCs w:val="24"/>
        </w:rPr>
        <w:t>21</w:t>
      </w:r>
      <w:r w:rsidRPr="00092862">
        <w:rPr>
          <w:rFonts w:ascii="Times New Roman" w:eastAsia="宋体" w:hAnsi="Times New Roman" w:cs="Times New Roman"/>
          <w:bCs/>
          <w:color w:val="000000" w:themeColor="text1"/>
          <w:sz w:val="24"/>
          <w:szCs w:val="24"/>
        </w:rPr>
        <w:t>）规定，声环境评价等级的划分依据建设项目所在区域的声环境功能区类别，建设项目建设前后所在区域的声环境质量变化程度，受建设项目影响人口的数量。本项目位于《声环境质量标准》（</w:t>
      </w:r>
      <w:r w:rsidRPr="00092862">
        <w:rPr>
          <w:rFonts w:ascii="Times New Roman" w:eastAsia="宋体" w:hAnsi="Times New Roman" w:cs="Times New Roman"/>
          <w:bCs/>
          <w:color w:val="000000" w:themeColor="text1"/>
          <w:sz w:val="24"/>
          <w:szCs w:val="24"/>
        </w:rPr>
        <w:t>GB3096-2008</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类区域，</w:t>
      </w:r>
      <w:r w:rsidR="00C9516B" w:rsidRPr="00092862">
        <w:rPr>
          <w:rFonts w:ascii="Times New Roman" w:eastAsia="宋体" w:hAnsi="Times New Roman" w:cs="Times New Roman"/>
          <w:bCs/>
          <w:color w:val="000000" w:themeColor="text1"/>
          <w:sz w:val="24"/>
          <w:szCs w:val="24"/>
        </w:rPr>
        <w:t>平台周边</w:t>
      </w:r>
      <w:r w:rsidR="00C9516B" w:rsidRPr="00092862">
        <w:rPr>
          <w:rFonts w:ascii="Times New Roman" w:eastAsia="宋体" w:hAnsi="Times New Roman" w:cs="Times New Roman"/>
          <w:bCs/>
          <w:color w:val="000000" w:themeColor="text1"/>
          <w:sz w:val="24"/>
          <w:szCs w:val="24"/>
        </w:rPr>
        <w:t>200m</w:t>
      </w:r>
      <w:r w:rsidR="00C9516B" w:rsidRPr="00092862">
        <w:rPr>
          <w:rFonts w:ascii="Times New Roman" w:eastAsia="宋体" w:hAnsi="Times New Roman" w:cs="Times New Roman"/>
          <w:bCs/>
          <w:color w:val="000000" w:themeColor="text1"/>
          <w:sz w:val="24"/>
          <w:szCs w:val="24"/>
        </w:rPr>
        <w:t>范围内无居民分布</w:t>
      </w:r>
      <w:r w:rsidR="00CC2FED" w:rsidRPr="00092862">
        <w:rPr>
          <w:rFonts w:ascii="Times New Roman" w:eastAsia="宋体" w:hAnsi="Times New Roman" w:cs="Times New Roman"/>
          <w:bCs/>
          <w:color w:val="000000" w:themeColor="text1"/>
          <w:sz w:val="24"/>
          <w:szCs w:val="24"/>
        </w:rPr>
        <w:t>，</w:t>
      </w:r>
      <w:r w:rsidR="001A6854" w:rsidRPr="00092862">
        <w:rPr>
          <w:rFonts w:ascii="Times New Roman" w:eastAsia="宋体" w:hAnsi="Times New Roman" w:cs="Times New Roman"/>
          <w:bCs/>
          <w:color w:val="000000" w:themeColor="text1"/>
          <w:sz w:val="24"/>
          <w:szCs w:val="24"/>
        </w:rPr>
        <w:t>试采期</w:t>
      </w:r>
      <w:r w:rsidR="00F30AFD" w:rsidRPr="00092862">
        <w:rPr>
          <w:rFonts w:ascii="Times New Roman" w:eastAsia="宋体" w:hAnsi="Times New Roman" w:cs="Times New Roman"/>
          <w:bCs/>
          <w:color w:val="000000" w:themeColor="text1"/>
          <w:sz w:val="24"/>
          <w:szCs w:val="24"/>
        </w:rPr>
        <w:t>集气站</w:t>
      </w:r>
      <w:r w:rsidR="00CC2FED" w:rsidRPr="00092862">
        <w:rPr>
          <w:rFonts w:ascii="Times New Roman" w:eastAsia="宋体" w:hAnsi="Times New Roman" w:cs="Times New Roman"/>
          <w:bCs/>
          <w:color w:val="000000" w:themeColor="text1"/>
          <w:sz w:val="24"/>
          <w:szCs w:val="24"/>
        </w:rPr>
        <w:t>内设备噪声小</w:t>
      </w:r>
      <w:r w:rsidR="00371318" w:rsidRPr="00092862">
        <w:rPr>
          <w:rFonts w:ascii="Times New Roman" w:eastAsia="宋体" w:hAnsi="Times New Roman" w:cs="Times New Roman"/>
          <w:bCs/>
          <w:color w:val="000000" w:themeColor="text1"/>
          <w:sz w:val="24"/>
          <w:szCs w:val="24"/>
        </w:rPr>
        <w:t>，</w:t>
      </w:r>
      <w:r w:rsidR="00CC2FED" w:rsidRPr="00092862">
        <w:rPr>
          <w:rFonts w:ascii="Times New Roman" w:eastAsia="宋体" w:hAnsi="Times New Roman" w:cs="Times New Roman"/>
          <w:bCs/>
          <w:color w:val="000000" w:themeColor="text1"/>
          <w:sz w:val="24"/>
          <w:szCs w:val="24"/>
        </w:rPr>
        <w:t>项目</w:t>
      </w:r>
      <w:r w:rsidRPr="00092862">
        <w:rPr>
          <w:rFonts w:ascii="Times New Roman" w:eastAsia="宋体" w:hAnsi="Times New Roman" w:cs="Times New Roman"/>
          <w:bCs/>
          <w:color w:val="000000" w:themeColor="text1"/>
          <w:sz w:val="24"/>
          <w:szCs w:val="24"/>
        </w:rPr>
        <w:t>建设前后噪声级增加较小，且受影响人口变化不大。</w:t>
      </w:r>
    </w:p>
    <w:p w14:paraId="4B0D24C7" w14:textId="71C48CFC" w:rsidR="00DC446C" w:rsidRPr="00092862" w:rsidRDefault="003B1968"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因此，参照《环境影响评价技术导则</w:t>
      </w:r>
      <w:r w:rsidR="007162B5"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声环境》</w:t>
      </w:r>
      <w:r w:rsidRPr="00092862">
        <w:rPr>
          <w:rFonts w:ascii="Times New Roman" w:eastAsia="宋体" w:hAnsi="Times New Roman" w:cs="Times New Roman"/>
          <w:bCs/>
          <w:color w:val="000000" w:themeColor="text1"/>
          <w:sz w:val="24"/>
          <w:szCs w:val="24"/>
        </w:rPr>
        <w:t>(HJ2.4-20</w:t>
      </w:r>
      <w:r w:rsidR="00BF3A2C" w:rsidRPr="00092862">
        <w:rPr>
          <w:rFonts w:ascii="Times New Roman" w:eastAsia="宋体" w:hAnsi="Times New Roman" w:cs="Times New Roman"/>
          <w:bCs/>
          <w:color w:val="000000" w:themeColor="text1"/>
          <w:sz w:val="24"/>
          <w:szCs w:val="24"/>
        </w:rPr>
        <w:t>21</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第</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条的规定，本工程的声环境影响评价工作等级定为二级。</w:t>
      </w:r>
    </w:p>
    <w:p w14:paraId="5248D0B1" w14:textId="7F8B9C5F" w:rsidR="00CC2FED" w:rsidRPr="00092862" w:rsidRDefault="00CC2FED"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2.6-</w:t>
      </w:r>
      <w:r w:rsidR="0010287F"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声环境评价等级判别表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2835"/>
        <w:gridCol w:w="1559"/>
        <w:gridCol w:w="1178"/>
      </w:tblGrid>
      <w:tr w:rsidR="00697429" w:rsidRPr="00092862" w14:paraId="31328ECE" w14:textId="77777777" w:rsidTr="00CC2FED">
        <w:trPr>
          <w:jc w:val="center"/>
        </w:trPr>
        <w:tc>
          <w:tcPr>
            <w:tcW w:w="2650" w:type="dxa"/>
            <w:vAlign w:val="center"/>
          </w:tcPr>
          <w:p w14:paraId="4E7AED71"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划分依据</w:t>
            </w:r>
          </w:p>
        </w:tc>
        <w:tc>
          <w:tcPr>
            <w:tcW w:w="2835" w:type="dxa"/>
            <w:vAlign w:val="center"/>
          </w:tcPr>
          <w:p w14:paraId="5CF3EB67"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项目情况</w:t>
            </w:r>
          </w:p>
        </w:tc>
        <w:tc>
          <w:tcPr>
            <w:tcW w:w="1559" w:type="dxa"/>
            <w:vAlign w:val="center"/>
          </w:tcPr>
          <w:p w14:paraId="149AC914"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影响识别</w:t>
            </w:r>
          </w:p>
        </w:tc>
        <w:tc>
          <w:tcPr>
            <w:tcW w:w="1178" w:type="dxa"/>
            <w:vAlign w:val="center"/>
          </w:tcPr>
          <w:p w14:paraId="1120C502"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评级等级</w:t>
            </w:r>
          </w:p>
        </w:tc>
      </w:tr>
      <w:tr w:rsidR="00697429" w:rsidRPr="00092862" w14:paraId="52A49F08" w14:textId="77777777" w:rsidTr="00CC2FED">
        <w:trPr>
          <w:jc w:val="center"/>
        </w:trPr>
        <w:tc>
          <w:tcPr>
            <w:tcW w:w="2650" w:type="dxa"/>
            <w:vAlign w:val="center"/>
          </w:tcPr>
          <w:p w14:paraId="7B9D4DB3"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区域声环境功能区类别</w:t>
            </w:r>
          </w:p>
        </w:tc>
        <w:tc>
          <w:tcPr>
            <w:tcW w:w="2835" w:type="dxa"/>
            <w:vAlign w:val="center"/>
          </w:tcPr>
          <w:p w14:paraId="5CBAB633"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农村地区</w:t>
            </w:r>
          </w:p>
        </w:tc>
        <w:tc>
          <w:tcPr>
            <w:tcW w:w="1559" w:type="dxa"/>
            <w:vAlign w:val="center"/>
          </w:tcPr>
          <w:p w14:paraId="01ECAB35"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2</w:t>
            </w:r>
            <w:r w:rsidRPr="00092862">
              <w:rPr>
                <w:rFonts w:ascii="Times New Roman" w:hAnsi="Times New Roman"/>
                <w:color w:val="000000" w:themeColor="text1"/>
                <w:sz w:val="21"/>
                <w:szCs w:val="21"/>
                <w:lang w:eastAsia="zh-CN"/>
              </w:rPr>
              <w:t>类地区</w:t>
            </w:r>
          </w:p>
        </w:tc>
        <w:tc>
          <w:tcPr>
            <w:tcW w:w="1178" w:type="dxa"/>
            <w:vMerge w:val="restart"/>
            <w:vAlign w:val="center"/>
          </w:tcPr>
          <w:p w14:paraId="6F70BA36"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r>
      <w:tr w:rsidR="00697429" w:rsidRPr="00092862" w14:paraId="449C082C" w14:textId="77777777" w:rsidTr="00CC2FED">
        <w:trPr>
          <w:jc w:val="center"/>
        </w:trPr>
        <w:tc>
          <w:tcPr>
            <w:tcW w:w="2650" w:type="dxa"/>
            <w:vAlign w:val="center"/>
          </w:tcPr>
          <w:p w14:paraId="1075D897" w14:textId="77777777" w:rsidR="00CC2FED" w:rsidRPr="00092862" w:rsidRDefault="00CC2FED" w:rsidP="00CC2FE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lastRenderedPageBreak/>
              <w:t>本项目建设前后所在区域的声环境质量变化程度</w:t>
            </w:r>
          </w:p>
        </w:tc>
        <w:tc>
          <w:tcPr>
            <w:tcW w:w="2835" w:type="dxa"/>
            <w:vAlign w:val="center"/>
          </w:tcPr>
          <w:p w14:paraId="1402D4CD" w14:textId="77777777" w:rsidR="00CC2FED" w:rsidRPr="00092862" w:rsidRDefault="00CC2FED" w:rsidP="00CC2FE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厂界噪声达标，区域声环境质量变化程度小</w:t>
            </w:r>
          </w:p>
        </w:tc>
        <w:tc>
          <w:tcPr>
            <w:tcW w:w="1559" w:type="dxa"/>
            <w:vAlign w:val="center"/>
          </w:tcPr>
          <w:p w14:paraId="4BAA7BF0" w14:textId="77777777" w:rsidR="00CC2FED" w:rsidRPr="00092862" w:rsidRDefault="00CC2FED" w:rsidP="00CC2FE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变化幅度约小于</w:t>
            </w:r>
            <w:r w:rsidRPr="00092862">
              <w:rPr>
                <w:rFonts w:ascii="Times New Roman" w:hAnsi="Times New Roman"/>
                <w:color w:val="000000" w:themeColor="text1"/>
                <w:sz w:val="21"/>
                <w:szCs w:val="21"/>
                <w:lang w:eastAsia="zh-CN"/>
              </w:rPr>
              <w:t>3dB</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A</w:t>
            </w:r>
            <w:r w:rsidRPr="00092862">
              <w:rPr>
                <w:rFonts w:ascii="Times New Roman" w:hAnsi="Times New Roman"/>
                <w:color w:val="000000" w:themeColor="text1"/>
                <w:sz w:val="21"/>
                <w:szCs w:val="21"/>
                <w:lang w:eastAsia="zh-CN"/>
              </w:rPr>
              <w:t>）</w:t>
            </w:r>
          </w:p>
        </w:tc>
        <w:tc>
          <w:tcPr>
            <w:tcW w:w="1178" w:type="dxa"/>
            <w:vMerge/>
            <w:vAlign w:val="center"/>
          </w:tcPr>
          <w:p w14:paraId="66617A41"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p>
        </w:tc>
      </w:tr>
      <w:tr w:rsidR="00697429" w:rsidRPr="00092862" w14:paraId="75C36D08" w14:textId="77777777" w:rsidTr="00CC2FED">
        <w:trPr>
          <w:jc w:val="center"/>
        </w:trPr>
        <w:tc>
          <w:tcPr>
            <w:tcW w:w="2650" w:type="dxa"/>
            <w:vAlign w:val="center"/>
          </w:tcPr>
          <w:p w14:paraId="30F263CA" w14:textId="77777777" w:rsidR="00CC2FED" w:rsidRPr="00092862" w:rsidRDefault="00CC2FED" w:rsidP="00CC2FE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受影响人口的数量</w:t>
            </w:r>
          </w:p>
        </w:tc>
        <w:tc>
          <w:tcPr>
            <w:tcW w:w="2835" w:type="dxa"/>
            <w:vAlign w:val="center"/>
          </w:tcPr>
          <w:p w14:paraId="5DEB141F" w14:textId="2ADA18AD" w:rsidR="00CC2FED" w:rsidRPr="00092862" w:rsidRDefault="00CC2FED" w:rsidP="00CC2FE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井场声环境评价范围内</w:t>
            </w:r>
            <w:r w:rsidR="001348A9" w:rsidRPr="00092862">
              <w:rPr>
                <w:rFonts w:ascii="Times New Roman" w:hAnsi="Times New Roman"/>
                <w:color w:val="000000" w:themeColor="text1"/>
                <w:sz w:val="21"/>
                <w:szCs w:val="21"/>
                <w:lang w:eastAsia="zh-CN"/>
              </w:rPr>
              <w:t>无居民等敏感目标分布</w:t>
            </w:r>
          </w:p>
        </w:tc>
        <w:tc>
          <w:tcPr>
            <w:tcW w:w="1559" w:type="dxa"/>
            <w:vAlign w:val="center"/>
          </w:tcPr>
          <w:p w14:paraId="1E6FDE01" w14:textId="31112585" w:rsidR="00CC2FED" w:rsidRPr="00092862" w:rsidRDefault="00CC2FED" w:rsidP="00CC2FE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受噪声影响人口数量</w:t>
            </w:r>
            <w:r w:rsidR="001348A9" w:rsidRPr="00092862">
              <w:rPr>
                <w:rFonts w:ascii="Times New Roman" w:hAnsi="Times New Roman"/>
                <w:color w:val="000000" w:themeColor="text1"/>
                <w:sz w:val="21"/>
                <w:szCs w:val="21"/>
                <w:lang w:eastAsia="zh-CN"/>
              </w:rPr>
              <w:t>较少</w:t>
            </w:r>
          </w:p>
        </w:tc>
        <w:tc>
          <w:tcPr>
            <w:tcW w:w="1178" w:type="dxa"/>
            <w:vMerge/>
            <w:vAlign w:val="center"/>
          </w:tcPr>
          <w:p w14:paraId="44A47FB0" w14:textId="77777777" w:rsidR="00CC2FED" w:rsidRPr="00092862" w:rsidRDefault="00CC2FED" w:rsidP="00EC619E">
            <w:pPr>
              <w:pStyle w:val="TableParagraph"/>
              <w:adjustRightInd w:val="0"/>
              <w:snapToGrid w:val="0"/>
              <w:jc w:val="center"/>
              <w:rPr>
                <w:rFonts w:ascii="Times New Roman" w:hAnsi="Times New Roman"/>
                <w:color w:val="000000" w:themeColor="text1"/>
                <w:sz w:val="21"/>
                <w:szCs w:val="21"/>
                <w:lang w:eastAsia="zh-CN"/>
              </w:rPr>
            </w:pPr>
          </w:p>
        </w:tc>
      </w:tr>
    </w:tbl>
    <w:p w14:paraId="653AD3E6" w14:textId="77777777" w:rsidR="00CC2FED" w:rsidRPr="00092862" w:rsidRDefault="00CC2FED" w:rsidP="005D4F96">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）评价范围</w:t>
      </w:r>
    </w:p>
    <w:p w14:paraId="1CE01279" w14:textId="0E0903F8" w:rsidR="004551FB" w:rsidRPr="00092862" w:rsidRDefault="00E61D59" w:rsidP="005D4F96">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项目场界</w:t>
      </w:r>
      <w:r w:rsidR="00CC1E35" w:rsidRPr="00092862">
        <w:rPr>
          <w:rFonts w:ascii="Times New Roman" w:eastAsia="宋体" w:hAnsi="Times New Roman" w:cs="Times New Roman"/>
          <w:bCs/>
          <w:color w:val="000000" w:themeColor="text1"/>
          <w:sz w:val="24"/>
          <w:szCs w:val="24"/>
        </w:rPr>
        <w:t>（含进场道路、火炬区、放喷池等）</w:t>
      </w:r>
      <w:r w:rsidRPr="00092862">
        <w:rPr>
          <w:rFonts w:ascii="Times New Roman" w:eastAsia="宋体" w:hAnsi="Times New Roman" w:cs="Times New Roman"/>
          <w:bCs/>
          <w:color w:val="000000" w:themeColor="text1"/>
          <w:sz w:val="24"/>
          <w:szCs w:val="24"/>
        </w:rPr>
        <w:t>周边外</w:t>
      </w:r>
      <w:r w:rsidRPr="00092862">
        <w:rPr>
          <w:rFonts w:ascii="Times New Roman" w:eastAsia="宋体" w:hAnsi="Times New Roman" w:cs="Times New Roman"/>
          <w:bCs/>
          <w:color w:val="000000" w:themeColor="text1"/>
          <w:sz w:val="24"/>
          <w:szCs w:val="24"/>
        </w:rPr>
        <w:t>200m</w:t>
      </w:r>
      <w:r w:rsidRPr="00092862">
        <w:rPr>
          <w:rFonts w:ascii="Times New Roman" w:eastAsia="宋体" w:hAnsi="Times New Roman" w:cs="Times New Roman"/>
          <w:bCs/>
          <w:color w:val="000000" w:themeColor="text1"/>
          <w:sz w:val="24"/>
          <w:szCs w:val="24"/>
        </w:rPr>
        <w:t>范围。</w:t>
      </w:r>
    </w:p>
    <w:p w14:paraId="39D33E60" w14:textId="6BCA5D36" w:rsidR="00C9516B" w:rsidRPr="00092862" w:rsidRDefault="00520439" w:rsidP="00C9516B">
      <w:pPr>
        <w:tabs>
          <w:tab w:val="left" w:pos="0"/>
        </w:tabs>
        <w:spacing w:line="360" w:lineRule="auto"/>
        <w:jc w:val="center"/>
        <w:rPr>
          <w:rFonts w:ascii="Times New Roman" w:hAnsi="Times New Roman" w:cs="Times New Roman"/>
          <w:color w:val="000000" w:themeColor="text1"/>
          <w:sz w:val="24"/>
          <w:szCs w:val="24"/>
        </w:rPr>
      </w:pPr>
      <w:r w:rsidRPr="00092862">
        <w:rPr>
          <w:rFonts w:ascii="Times New Roman" w:hAnsi="Times New Roman" w:cs="Times New Roman"/>
          <w:noProof/>
          <w:color w:val="000000" w:themeColor="text1"/>
        </w:rPr>
        <mc:AlternateContent>
          <mc:Choice Requires="wps">
            <w:drawing>
              <wp:anchor distT="0" distB="0" distL="114300" distR="114300" simplePos="0" relativeHeight="252426240" behindDoc="0" locked="0" layoutInCell="1" allowOverlap="1" wp14:anchorId="59FB3851" wp14:editId="7EDC6108">
                <wp:simplePos x="0" y="0"/>
                <wp:positionH relativeFrom="column">
                  <wp:posOffset>1055676</wp:posOffset>
                </wp:positionH>
                <wp:positionV relativeFrom="paragraph">
                  <wp:posOffset>2049113</wp:posOffset>
                </wp:positionV>
                <wp:extent cx="1688457" cy="872796"/>
                <wp:effectExtent l="0" t="0" r="0" b="3810"/>
                <wp:wrapNone/>
                <wp:docPr id="190" name="文本框 190"/>
                <wp:cNvGraphicFramePr/>
                <a:graphic xmlns:a="http://schemas.openxmlformats.org/drawingml/2006/main">
                  <a:graphicData uri="http://schemas.microsoft.com/office/word/2010/wordprocessingShape">
                    <wps:wsp>
                      <wps:cNvSpPr txBox="1"/>
                      <wps:spPr bwMode="auto">
                        <a:xfrm>
                          <a:off x="0" y="0"/>
                          <a:ext cx="1688457" cy="872796"/>
                        </a:xfrm>
                        <a:prstGeom prst="rect">
                          <a:avLst/>
                        </a:prstGeom>
                        <a:noFill/>
                        <a:ln w="9525">
                          <a:noFill/>
                          <a:miter lim="800000"/>
                          <a:headEnd/>
                          <a:tailEnd/>
                        </a:ln>
                      </wps:spPr>
                      <wps:txbx>
                        <w:txbxContent>
                          <w:p w14:paraId="5C9F4FFE" w14:textId="77777777" w:rsidR="00520439" w:rsidRPr="00520439" w:rsidRDefault="00364F47" w:rsidP="00520439">
                            <w:pPr>
                              <w:jc w:val="center"/>
                              <w:rPr>
                                <w:b/>
                                <w:bCs/>
                                <w:color w:val="002060"/>
                              </w:rPr>
                            </w:pPr>
                            <w:r w:rsidRPr="00520439">
                              <w:rPr>
                                <w:rFonts w:hint="eastAsia"/>
                                <w:b/>
                                <w:bCs/>
                                <w:color w:val="002060"/>
                              </w:rPr>
                              <w:t>原老君4井</w:t>
                            </w:r>
                            <w:r w:rsidR="00520439" w:rsidRPr="00520439">
                              <w:rPr>
                                <w:rFonts w:hint="eastAsia"/>
                                <w:b/>
                                <w:bCs/>
                                <w:color w:val="002060"/>
                              </w:rPr>
                              <w:t>场</w:t>
                            </w:r>
                          </w:p>
                          <w:p w14:paraId="000922DC" w14:textId="026AF756" w:rsidR="00364F47" w:rsidRPr="00520439" w:rsidRDefault="00520439" w:rsidP="00520439">
                            <w:pPr>
                              <w:jc w:val="center"/>
                              <w:rPr>
                                <w:b/>
                                <w:bCs/>
                                <w:color w:val="002060"/>
                              </w:rPr>
                            </w:pPr>
                            <w:r w:rsidRPr="00520439">
                              <w:rPr>
                                <w:rFonts w:hint="eastAsia"/>
                                <w:b/>
                                <w:bCs/>
                                <w:color w:val="002060"/>
                              </w:rPr>
                              <w:t>（即老君7</w:t>
                            </w:r>
                            <w:r w:rsidRPr="00520439">
                              <w:rPr>
                                <w:b/>
                                <w:bCs/>
                                <w:color w:val="002060"/>
                              </w:rPr>
                              <w:t>01集</w:t>
                            </w:r>
                            <w:r w:rsidRPr="00520439">
                              <w:rPr>
                                <w:rFonts w:hint="eastAsia"/>
                                <w:b/>
                                <w:bCs/>
                                <w:color w:val="002060"/>
                              </w:rPr>
                              <w:t>气站）</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B3851" id="文本框 190" o:spid="_x0000_s1031" type="#_x0000_t202" style="position:absolute;left:0;text-align:left;margin-left:83.1pt;margin-top:161.35pt;width:132.95pt;height:68.7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" filled="f" stroked="f">
                <v:textbox>
                  <w:txbxContent>
                    <w:p w14:paraId="5C9F4FFE" w14:textId="77777777" w:rsidR="00520439" w:rsidRPr="00520439" w:rsidRDefault="00364F47" w:rsidP="00520439">
                      <w:pPr>
                        <w:jc w:val="center"/>
                        <w:rPr>
                          <w:b/>
                          <w:bCs/>
                          <w:color w:val="002060"/>
                        </w:rPr>
                      </w:pPr>
                      <w:r w:rsidRPr="00520439">
                        <w:rPr>
                          <w:rFonts w:hint="eastAsia"/>
                          <w:b/>
                          <w:bCs/>
                          <w:color w:val="002060"/>
                        </w:rPr>
                        <w:t>原老君4井</w:t>
                      </w:r>
                      <w:r w:rsidR="00520439" w:rsidRPr="00520439">
                        <w:rPr>
                          <w:rFonts w:hint="eastAsia"/>
                          <w:b/>
                          <w:bCs/>
                          <w:color w:val="002060"/>
                        </w:rPr>
                        <w:t>场</w:t>
                      </w:r>
                    </w:p>
                    <w:p w14:paraId="000922DC" w14:textId="026AF756" w:rsidR="00364F47" w:rsidRPr="00520439" w:rsidRDefault="00520439" w:rsidP="00520439">
                      <w:pPr>
                        <w:jc w:val="center"/>
                        <w:rPr>
                          <w:b/>
                          <w:bCs/>
                          <w:color w:val="002060"/>
                        </w:rPr>
                      </w:pPr>
                      <w:r w:rsidRPr="00520439">
                        <w:rPr>
                          <w:rFonts w:hint="eastAsia"/>
                          <w:b/>
                          <w:bCs/>
                          <w:color w:val="002060"/>
                        </w:rPr>
                        <w:t>（即老君7</w:t>
                      </w:r>
                      <w:r w:rsidRPr="00520439">
                        <w:rPr>
                          <w:b/>
                          <w:bCs/>
                          <w:color w:val="002060"/>
                        </w:rPr>
                        <w:t>01集</w:t>
                      </w:r>
                      <w:r w:rsidRPr="00520439">
                        <w:rPr>
                          <w:rFonts w:hint="eastAsia"/>
                          <w:b/>
                          <w:bCs/>
                          <w:color w:val="002060"/>
                        </w:rPr>
                        <w:t>气站）</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27264" behindDoc="0" locked="0" layoutInCell="1" allowOverlap="1" wp14:anchorId="654AD922" wp14:editId="03F366F3">
                <wp:simplePos x="0" y="0"/>
                <wp:positionH relativeFrom="column">
                  <wp:posOffset>2138413</wp:posOffset>
                </wp:positionH>
                <wp:positionV relativeFrom="paragraph">
                  <wp:posOffset>1956678</wp:posOffset>
                </wp:positionV>
                <wp:extent cx="340037" cy="607583"/>
                <wp:effectExtent l="152400" t="57150" r="79375" b="59690"/>
                <wp:wrapNone/>
                <wp:docPr id="191" name="矩形 191"/>
                <wp:cNvGraphicFramePr/>
                <a:graphic xmlns:a="http://schemas.openxmlformats.org/drawingml/2006/main">
                  <a:graphicData uri="http://schemas.microsoft.com/office/word/2010/wordprocessingShape">
                    <wps:wsp>
                      <wps:cNvSpPr/>
                      <wps:spPr>
                        <a:xfrm rot="19606331">
                          <a:off x="0" y="0"/>
                          <a:ext cx="340037" cy="607583"/>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9739D" id="矩形 191" o:spid="_x0000_s1026" style="position:absolute;left:0;text-align:left;margin-left:168.4pt;margin-top:154.05pt;width:26.75pt;height:47.85pt;rotation:-2177618fd;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" filled="f" strokecolor="yellow" strokeweight="1pt"/>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285952" behindDoc="0" locked="0" layoutInCell="1" allowOverlap="1" wp14:anchorId="39538FF1" wp14:editId="6CB36F88">
                <wp:simplePos x="0" y="0"/>
                <wp:positionH relativeFrom="column">
                  <wp:posOffset>2275467</wp:posOffset>
                </wp:positionH>
                <wp:positionV relativeFrom="paragraph">
                  <wp:posOffset>1592561</wp:posOffset>
                </wp:positionV>
                <wp:extent cx="801188" cy="322217"/>
                <wp:effectExtent l="0" t="0" r="0" b="1905"/>
                <wp:wrapNone/>
                <wp:docPr id="1516" name="文本框 1516"/>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0225D41C" w14:textId="7389B3FE" w:rsidR="00C9516B" w:rsidRPr="00E02022" w:rsidRDefault="003C3238" w:rsidP="00C9516B">
                            <w:pPr>
                              <w:rPr>
                                <w:b/>
                                <w:bCs/>
                                <w:color w:val="FF0000"/>
                              </w:rPr>
                            </w:pPr>
                            <w:r>
                              <w:rPr>
                                <w:rFonts w:hint="eastAsia"/>
                                <w:b/>
                                <w:bCs/>
                                <w:color w:val="FF0000"/>
                              </w:rPr>
                              <w:t>拟建井场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38FF1" id="文本框 1516" o:spid="_x0000_s1032" type="#_x0000_t202" style="position:absolute;left:0;text-align:left;margin-left:179.15pt;margin-top:125.4pt;width:63.1pt;height:25.3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" filled="f" stroked="f">
                <v:textbox>
                  <w:txbxContent>
                    <w:p w14:paraId="0225D41C" w14:textId="7389B3FE" w:rsidR="00C9516B" w:rsidRPr="00E02022" w:rsidRDefault="003C3238" w:rsidP="00C9516B">
                      <w:pPr>
                        <w:rPr>
                          <w:b/>
                          <w:bCs/>
                          <w:color w:val="FF0000"/>
                        </w:rPr>
                      </w:pPr>
                      <w:r>
                        <w:rPr>
                          <w:rFonts w:hint="eastAsia"/>
                          <w:b/>
                          <w:bCs/>
                          <w:color w:val="FF0000"/>
                        </w:rPr>
                        <w:t>拟建井场</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24192" behindDoc="0" locked="0" layoutInCell="1" allowOverlap="1" wp14:anchorId="54C55A74" wp14:editId="6BC3E53A">
                <wp:simplePos x="0" y="0"/>
                <wp:positionH relativeFrom="column">
                  <wp:posOffset>2491296</wp:posOffset>
                </wp:positionH>
                <wp:positionV relativeFrom="paragraph">
                  <wp:posOffset>2157830</wp:posOffset>
                </wp:positionV>
                <wp:extent cx="801188" cy="322217"/>
                <wp:effectExtent l="0" t="0" r="0" b="1905"/>
                <wp:wrapNone/>
                <wp:docPr id="189" name="文本框 189"/>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656980AA" w14:textId="11406A48" w:rsidR="00364F47" w:rsidRPr="00364F47" w:rsidRDefault="00364F47" w:rsidP="00C9516B">
                            <w:pPr>
                              <w:rPr>
                                <w:b/>
                                <w:bCs/>
                                <w:color w:val="FF0000"/>
                              </w:rPr>
                            </w:pPr>
                            <w:r w:rsidRPr="00364F47">
                              <w:rPr>
                                <w:b/>
                                <w:bCs/>
                                <w:color w:val="FF0000"/>
                              </w:rPr>
                              <w:t>进场</w:t>
                            </w:r>
                            <w:r w:rsidRPr="00364F47">
                              <w:rPr>
                                <w:rFonts w:hint="eastAsia"/>
                                <w:b/>
                                <w:bCs/>
                                <w:color w:val="FF0000"/>
                              </w:rPr>
                              <w:t>道路</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55A74" id="文本框 189" o:spid="_x0000_s1033" type="#_x0000_t202" style="position:absolute;left:0;text-align:left;margin-left:196.15pt;margin-top:169.9pt;width:63.1pt;height:25.3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" filled="f" stroked="f">
                <v:textbox>
                  <w:txbxContent>
                    <w:p w14:paraId="656980AA" w14:textId="11406A48" w:rsidR="00364F47" w:rsidRPr="00364F47" w:rsidRDefault="00364F47" w:rsidP="00C9516B">
                      <w:pPr>
                        <w:rPr>
                          <w:b/>
                          <w:bCs/>
                          <w:color w:val="FF0000"/>
                        </w:rPr>
                      </w:pPr>
                      <w:r w:rsidRPr="00364F47">
                        <w:rPr>
                          <w:b/>
                          <w:bCs/>
                          <w:color w:val="FF0000"/>
                        </w:rPr>
                        <w:t>进场</w:t>
                      </w:r>
                      <w:r w:rsidRPr="00364F47">
                        <w:rPr>
                          <w:rFonts w:hint="eastAsia"/>
                          <w:b/>
                          <w:bCs/>
                          <w:color w:val="FF0000"/>
                        </w:rPr>
                        <w:t>道路</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22144" behindDoc="0" locked="0" layoutInCell="1" allowOverlap="1" wp14:anchorId="784B159E" wp14:editId="2F27E6A5">
                <wp:simplePos x="0" y="0"/>
                <wp:positionH relativeFrom="column">
                  <wp:posOffset>2564658</wp:posOffset>
                </wp:positionH>
                <wp:positionV relativeFrom="paragraph">
                  <wp:posOffset>2159185</wp:posOffset>
                </wp:positionV>
                <wp:extent cx="43388" cy="216920"/>
                <wp:effectExtent l="19050" t="19050" r="13970" b="12065"/>
                <wp:wrapNone/>
                <wp:docPr id="188" name="任意多边形: 形状 188"/>
                <wp:cNvGraphicFramePr/>
                <a:graphic xmlns:a="http://schemas.openxmlformats.org/drawingml/2006/main">
                  <a:graphicData uri="http://schemas.microsoft.com/office/word/2010/wordprocessingShape">
                    <wps:wsp>
                      <wps:cNvSpPr/>
                      <wps:spPr>
                        <a:xfrm>
                          <a:off x="0" y="0"/>
                          <a:ext cx="43388" cy="216920"/>
                        </a:xfrm>
                        <a:custGeom>
                          <a:avLst/>
                          <a:gdLst>
                            <a:gd name="connsiteX0" fmla="*/ 0 w 43388"/>
                            <a:gd name="connsiteY0" fmla="*/ 216920 h 216920"/>
                            <a:gd name="connsiteX1" fmla="*/ 10012 w 43388"/>
                            <a:gd name="connsiteY1" fmla="*/ 136827 h 216920"/>
                            <a:gd name="connsiteX2" fmla="*/ 16687 w 43388"/>
                            <a:gd name="connsiteY2" fmla="*/ 116803 h 216920"/>
                            <a:gd name="connsiteX3" fmla="*/ 30035 w 43388"/>
                            <a:gd name="connsiteY3" fmla="*/ 60070 h 216920"/>
                            <a:gd name="connsiteX4" fmla="*/ 36710 w 43388"/>
                            <a:gd name="connsiteY4" fmla="*/ 20024 h 216920"/>
                            <a:gd name="connsiteX5" fmla="*/ 43384 w 43388"/>
                            <a:gd name="connsiteY5" fmla="*/ 0 h 216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3388" h="216920">
                              <a:moveTo>
                                <a:pt x="0" y="216920"/>
                              </a:moveTo>
                              <a:cubicBezTo>
                                <a:pt x="3337" y="190222"/>
                                <a:pt x="5589" y="163366"/>
                                <a:pt x="10012" y="136827"/>
                              </a:cubicBezTo>
                              <a:cubicBezTo>
                                <a:pt x="11169" y="129887"/>
                                <a:pt x="15530" y="123743"/>
                                <a:pt x="16687" y="116803"/>
                              </a:cubicBezTo>
                              <a:cubicBezTo>
                                <a:pt x="25930" y="61346"/>
                                <a:pt x="10534" y="92576"/>
                                <a:pt x="30035" y="60070"/>
                              </a:cubicBezTo>
                              <a:cubicBezTo>
                                <a:pt x="32260" y="46721"/>
                                <a:pt x="33610" y="33197"/>
                                <a:pt x="36710" y="20024"/>
                              </a:cubicBezTo>
                              <a:cubicBezTo>
                                <a:pt x="43797" y="-10096"/>
                                <a:pt x="43384" y="11632"/>
                                <a:pt x="43384" y="0"/>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217487" id="任意多边形: 形状 188" o:spid="_x0000_s1026" style="position:absolute;left:0;text-align:left;margin-left:201.95pt;margin-top:170pt;width:3.4pt;height:17.1pt;z-index:252422144;visibility:visible;mso-wrap-style:square;mso-wrap-distance-left:9pt;mso-wrap-distance-top:0;mso-wrap-distance-right:9pt;mso-wrap-distance-bottom:0;mso-position-horizontal:absolute;mso-position-horizontal-relative:text;mso-position-vertical:absolute;mso-position-vertical-relative:text;v-text-anchor:middle" coordsize="43388,21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" path="m,216920c3337,190222,5589,163366,10012,136827v1157,-6940,5518,-13084,6675,-20024c25930,61346,10534,92576,30035,60070,32260,46721,33610,33197,36710,20024,43797,-10096,43384,11632,43384,e" filled="f" strokecolor="red" strokeweight="3pt">
                <v:stroke joinstyle="miter"/>
                <v:path arrowok="t" o:connecttype="custom" o:connectlocs="0,216920;10012,136827;16687,116803;30035,60070;36710,20024;43384,0" o:connectangles="0,0,0,0,0,0"/>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294144" behindDoc="0" locked="0" layoutInCell="1" allowOverlap="1" wp14:anchorId="558C807E" wp14:editId="5AAEC19B">
                <wp:simplePos x="0" y="0"/>
                <wp:positionH relativeFrom="column">
                  <wp:posOffset>1385107</wp:posOffset>
                </wp:positionH>
                <wp:positionV relativeFrom="paragraph">
                  <wp:posOffset>1815376</wp:posOffset>
                </wp:positionV>
                <wp:extent cx="801188" cy="322217"/>
                <wp:effectExtent l="0" t="0" r="0" b="1905"/>
                <wp:wrapNone/>
                <wp:docPr id="13" name="文本框 13"/>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2CAD8114" w14:textId="27A3D14E" w:rsidR="00C9516B" w:rsidRPr="00364F47" w:rsidRDefault="00C9516B" w:rsidP="00C9516B">
                            <w:pPr>
                              <w:rPr>
                                <w:b/>
                                <w:bCs/>
                                <w:color w:val="FF0000"/>
                              </w:rPr>
                            </w:pPr>
                            <w:r w:rsidRPr="00364F47">
                              <w:rPr>
                                <w:b/>
                                <w:bCs/>
                                <w:color w:val="FF0000"/>
                              </w:rPr>
                              <w:t>2#</w:t>
                            </w:r>
                            <w:r w:rsidRPr="00364F47">
                              <w:rPr>
                                <w:rFonts w:hint="eastAsia"/>
                                <w:b/>
                                <w:bCs/>
                                <w:color w:val="FF0000"/>
                              </w:rPr>
                              <w:t>放喷池</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C807E" id="文本框 13" o:spid="_x0000_s1034" type="#_x0000_t202" style="position:absolute;left:0;text-align:left;margin-left:109.05pt;margin-top:142.95pt;width:63.1pt;height:25.3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" filled="f" stroked="f">
                <v:textbox>
                  <w:txbxContent>
                    <w:p w14:paraId="2CAD8114" w14:textId="27A3D14E" w:rsidR="00C9516B" w:rsidRPr="00364F47" w:rsidRDefault="00C9516B" w:rsidP="00C9516B">
                      <w:pPr>
                        <w:rPr>
                          <w:b/>
                          <w:bCs/>
                          <w:color w:val="FF0000"/>
                        </w:rPr>
                      </w:pPr>
                      <w:r w:rsidRPr="00364F47">
                        <w:rPr>
                          <w:b/>
                          <w:bCs/>
                          <w:color w:val="FF0000"/>
                        </w:rPr>
                        <w:t>2#</w:t>
                      </w:r>
                      <w:r w:rsidRPr="00364F47">
                        <w:rPr>
                          <w:rFonts w:hint="eastAsia"/>
                          <w:b/>
                          <w:bCs/>
                          <w:color w:val="FF0000"/>
                        </w:rPr>
                        <w:t>放喷池</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18048" behindDoc="0" locked="0" layoutInCell="1" allowOverlap="1" wp14:anchorId="465C7BFF" wp14:editId="425F5B7C">
                <wp:simplePos x="0" y="0"/>
                <wp:positionH relativeFrom="column">
                  <wp:posOffset>1681600</wp:posOffset>
                </wp:positionH>
                <wp:positionV relativeFrom="paragraph">
                  <wp:posOffset>1556895</wp:posOffset>
                </wp:positionV>
                <wp:extent cx="801188" cy="322217"/>
                <wp:effectExtent l="0" t="0" r="0" b="1905"/>
                <wp:wrapNone/>
                <wp:docPr id="184" name="文本框 184"/>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3AC1AA95" w14:textId="744577E0" w:rsidR="00364F47" w:rsidRPr="00364F47" w:rsidRDefault="00364F47" w:rsidP="00C9516B">
                            <w:pPr>
                              <w:rPr>
                                <w:b/>
                                <w:bCs/>
                                <w:color w:val="FF0000"/>
                              </w:rPr>
                            </w:pPr>
                            <w:r w:rsidRPr="00364F47">
                              <w:rPr>
                                <w:rFonts w:hint="eastAsia"/>
                                <w:b/>
                                <w:bCs/>
                                <w:color w:val="FF0000"/>
                              </w:rPr>
                              <w:t>表土堆场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C7BFF" id="文本框 184" o:spid="_x0000_s1035" type="#_x0000_t202" style="position:absolute;left:0;text-align:left;margin-left:132.4pt;margin-top:122.6pt;width:63.1pt;height:25.3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" filled="f" stroked="f">
                <v:textbox>
                  <w:txbxContent>
                    <w:p w14:paraId="3AC1AA95" w14:textId="744577E0" w:rsidR="00364F47" w:rsidRPr="00364F47" w:rsidRDefault="00364F47" w:rsidP="00C9516B">
                      <w:pPr>
                        <w:rPr>
                          <w:b/>
                          <w:bCs/>
                          <w:color w:val="FF0000"/>
                        </w:rPr>
                      </w:pPr>
                      <w:r w:rsidRPr="00364F47">
                        <w:rPr>
                          <w:rFonts w:hint="eastAsia"/>
                          <w:b/>
                          <w:bCs/>
                          <w:color w:val="FF0000"/>
                        </w:rPr>
                        <w:t>表土堆场</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21120" behindDoc="0" locked="0" layoutInCell="1" allowOverlap="1" wp14:anchorId="72F200FE" wp14:editId="232629D6">
                <wp:simplePos x="0" y="0"/>
                <wp:positionH relativeFrom="column">
                  <wp:posOffset>1819934</wp:posOffset>
                </wp:positionH>
                <wp:positionV relativeFrom="paragraph">
                  <wp:posOffset>1803653</wp:posOffset>
                </wp:positionV>
                <wp:extent cx="62263" cy="103454"/>
                <wp:effectExtent l="38100" t="38100" r="33020" b="30480"/>
                <wp:wrapNone/>
                <wp:docPr id="186" name="矩形 186"/>
                <wp:cNvGraphicFramePr/>
                <a:graphic xmlns:a="http://schemas.openxmlformats.org/drawingml/2006/main">
                  <a:graphicData uri="http://schemas.microsoft.com/office/word/2010/wordprocessingShape">
                    <wps:wsp>
                      <wps:cNvSpPr/>
                      <wps:spPr>
                        <a:xfrm rot="19445438">
                          <a:off x="0" y="0"/>
                          <a:ext cx="62263" cy="10345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934B2" id="矩形 186" o:spid="_x0000_s1026" style="position:absolute;left:0;text-align:left;margin-left:143.3pt;margin-top:142pt;width:4.9pt;height:8.15pt;rotation:-2353356fd;z-index:25242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" fillcolor="#4472c4 [3204]" strokecolor="#1f3763 [1604]" strokeweight="1pt"/>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19072" behindDoc="0" locked="0" layoutInCell="1" allowOverlap="1" wp14:anchorId="444D4D35" wp14:editId="59167636">
                <wp:simplePos x="0" y="0"/>
                <wp:positionH relativeFrom="column">
                  <wp:posOffset>2372244</wp:posOffset>
                </wp:positionH>
                <wp:positionV relativeFrom="paragraph">
                  <wp:posOffset>2699816</wp:posOffset>
                </wp:positionV>
                <wp:extent cx="62263" cy="103454"/>
                <wp:effectExtent l="19050" t="19050" r="33020" b="30480"/>
                <wp:wrapNone/>
                <wp:docPr id="185" name="矩形 185"/>
                <wp:cNvGraphicFramePr/>
                <a:graphic xmlns:a="http://schemas.openxmlformats.org/drawingml/2006/main">
                  <a:graphicData uri="http://schemas.microsoft.com/office/word/2010/wordprocessingShape">
                    <wps:wsp>
                      <wps:cNvSpPr/>
                      <wps:spPr>
                        <a:xfrm rot="391331">
                          <a:off x="0" y="0"/>
                          <a:ext cx="62263" cy="10345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89746E" id="矩形 185" o:spid="_x0000_s1026" style="position:absolute;left:0;text-align:left;margin-left:186.8pt;margin-top:212.6pt;width:4.9pt;height:8.15pt;rotation:427438fd;z-index:2524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" fillcolor="#4472c4 [3204]" strokecolor="#1f3763 [1604]" strokeweight="1pt"/>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290048" behindDoc="0" locked="0" layoutInCell="1" allowOverlap="1" wp14:anchorId="0D185560" wp14:editId="684C91C9">
                <wp:simplePos x="0" y="0"/>
                <wp:positionH relativeFrom="column">
                  <wp:posOffset>2101342</wp:posOffset>
                </wp:positionH>
                <wp:positionV relativeFrom="paragraph">
                  <wp:posOffset>2729644</wp:posOffset>
                </wp:positionV>
                <wp:extent cx="801188" cy="322217"/>
                <wp:effectExtent l="0" t="0" r="0" b="1905"/>
                <wp:wrapNone/>
                <wp:docPr id="1514" name="文本框 1514"/>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2299028A" w14:textId="77777777" w:rsidR="00C9516B" w:rsidRPr="00364F47" w:rsidRDefault="00C9516B" w:rsidP="00C9516B">
                            <w:pPr>
                              <w:rPr>
                                <w:b/>
                                <w:bCs/>
                                <w:color w:val="FF0000"/>
                              </w:rPr>
                            </w:pPr>
                            <w:r w:rsidRPr="00364F47">
                              <w:rPr>
                                <w:rFonts w:hint="eastAsia"/>
                                <w:b/>
                                <w:bCs/>
                                <w:color w:val="FF0000"/>
                              </w:rPr>
                              <w:t>1</w:t>
                            </w:r>
                            <w:r w:rsidRPr="00364F47">
                              <w:rPr>
                                <w:b/>
                                <w:bCs/>
                                <w:color w:val="FF0000"/>
                              </w:rPr>
                              <w:t>#</w:t>
                            </w:r>
                            <w:r w:rsidRPr="00364F47">
                              <w:rPr>
                                <w:rFonts w:hint="eastAsia"/>
                                <w:b/>
                                <w:bCs/>
                                <w:color w:val="FF0000"/>
                              </w:rPr>
                              <w:t>放喷池</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85560" id="文本框 1514" o:spid="_x0000_s1036" type="#_x0000_t202" style="position:absolute;left:0;text-align:left;margin-left:165.45pt;margin-top:214.95pt;width:63.1pt;height:25.3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" filled="f" stroked="f">
                <v:textbox>
                  <w:txbxContent>
                    <w:p w14:paraId="2299028A" w14:textId="77777777" w:rsidR="00C9516B" w:rsidRPr="00364F47" w:rsidRDefault="00C9516B" w:rsidP="00C9516B">
                      <w:pPr>
                        <w:rPr>
                          <w:b/>
                          <w:bCs/>
                          <w:color w:val="FF0000"/>
                        </w:rPr>
                      </w:pPr>
                      <w:r w:rsidRPr="00364F47">
                        <w:rPr>
                          <w:rFonts w:hint="eastAsia"/>
                          <w:b/>
                          <w:bCs/>
                          <w:color w:val="FF0000"/>
                        </w:rPr>
                        <w:t>1</w:t>
                      </w:r>
                      <w:r w:rsidRPr="00364F47">
                        <w:rPr>
                          <w:b/>
                          <w:bCs/>
                          <w:color w:val="FF0000"/>
                        </w:rPr>
                        <w:t>#</w:t>
                      </w:r>
                      <w:r w:rsidRPr="00364F47">
                        <w:rPr>
                          <w:rFonts w:hint="eastAsia"/>
                          <w:b/>
                          <w:bCs/>
                          <w:color w:val="FF0000"/>
                        </w:rPr>
                        <w:t>放喷池</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16000" behindDoc="0" locked="0" layoutInCell="1" allowOverlap="1" wp14:anchorId="0D7BDD48" wp14:editId="4B34ADE8">
                <wp:simplePos x="0" y="0"/>
                <wp:positionH relativeFrom="column">
                  <wp:posOffset>1996830</wp:posOffset>
                </wp:positionH>
                <wp:positionV relativeFrom="paragraph">
                  <wp:posOffset>1633155</wp:posOffset>
                </wp:positionV>
                <wp:extent cx="231536" cy="223475"/>
                <wp:effectExtent l="0" t="0" r="16510" b="43815"/>
                <wp:wrapNone/>
                <wp:docPr id="183" name="任意多边形: 形状 183"/>
                <wp:cNvGraphicFramePr/>
                <a:graphic xmlns:a="http://schemas.openxmlformats.org/drawingml/2006/main">
                  <a:graphicData uri="http://schemas.microsoft.com/office/word/2010/wordprocessingShape">
                    <wps:wsp>
                      <wps:cNvSpPr/>
                      <wps:spPr>
                        <a:xfrm>
                          <a:off x="0" y="0"/>
                          <a:ext cx="231536" cy="223475"/>
                        </a:xfrm>
                        <a:custGeom>
                          <a:avLst/>
                          <a:gdLst>
                            <a:gd name="connsiteX0" fmla="*/ 219596 w 231536"/>
                            <a:gd name="connsiteY0" fmla="*/ 223475 h 223475"/>
                            <a:gd name="connsiteX1" fmla="*/ 219596 w 231536"/>
                            <a:gd name="connsiteY1" fmla="*/ 223475 h 223475"/>
                            <a:gd name="connsiteX2" fmla="*/ 231523 w 231536"/>
                            <a:gd name="connsiteY2" fmla="*/ 179742 h 223475"/>
                            <a:gd name="connsiteX3" fmla="*/ 215620 w 231536"/>
                            <a:gd name="connsiteY3" fmla="*/ 68424 h 223475"/>
                            <a:gd name="connsiteX4" fmla="*/ 199718 w 231536"/>
                            <a:gd name="connsiteY4" fmla="*/ 52522 h 223475"/>
                            <a:gd name="connsiteX5" fmla="*/ 155986 w 231536"/>
                            <a:gd name="connsiteY5" fmla="*/ 40595 h 223475"/>
                            <a:gd name="connsiteX6" fmla="*/ 144059 w 231536"/>
                            <a:gd name="connsiteY6" fmla="*/ 36619 h 223475"/>
                            <a:gd name="connsiteX7" fmla="*/ 116229 w 231536"/>
                            <a:gd name="connsiteY7" fmla="*/ 20716 h 223475"/>
                            <a:gd name="connsiteX8" fmla="*/ 88400 w 231536"/>
                            <a:gd name="connsiteY8" fmla="*/ 16741 h 223475"/>
                            <a:gd name="connsiteX9" fmla="*/ 80448 w 231536"/>
                            <a:gd name="connsiteY9" fmla="*/ 4814 h 223475"/>
                            <a:gd name="connsiteX10" fmla="*/ 36716 w 231536"/>
                            <a:gd name="connsiteY10" fmla="*/ 4814 h 223475"/>
                            <a:gd name="connsiteX11" fmla="*/ 935 w 231536"/>
                            <a:gd name="connsiteY11" fmla="*/ 40595 h 223475"/>
                            <a:gd name="connsiteX12" fmla="*/ 28765 w 231536"/>
                            <a:gd name="connsiteY12" fmla="*/ 92278 h 223475"/>
                            <a:gd name="connsiteX13" fmla="*/ 40692 w 231536"/>
                            <a:gd name="connsiteY13" fmla="*/ 120108 h 223475"/>
                            <a:gd name="connsiteX14" fmla="*/ 68521 w 231536"/>
                            <a:gd name="connsiteY14" fmla="*/ 132035 h 223475"/>
                            <a:gd name="connsiteX15" fmla="*/ 100327 w 231536"/>
                            <a:gd name="connsiteY15" fmla="*/ 151913 h 223475"/>
                            <a:gd name="connsiteX16" fmla="*/ 112253 w 231536"/>
                            <a:gd name="connsiteY16" fmla="*/ 159864 h 223475"/>
                            <a:gd name="connsiteX17" fmla="*/ 148034 w 231536"/>
                            <a:gd name="connsiteY17" fmla="*/ 171791 h 223475"/>
                            <a:gd name="connsiteX18" fmla="*/ 163937 w 231536"/>
                            <a:gd name="connsiteY18" fmla="*/ 179742 h 223475"/>
                            <a:gd name="connsiteX19" fmla="*/ 179840 w 231536"/>
                            <a:gd name="connsiteY19" fmla="*/ 191669 h 223475"/>
                            <a:gd name="connsiteX20" fmla="*/ 195742 w 231536"/>
                            <a:gd name="connsiteY20" fmla="*/ 195645 h 223475"/>
                            <a:gd name="connsiteX21" fmla="*/ 207669 w 231536"/>
                            <a:gd name="connsiteY21" fmla="*/ 203596 h 223475"/>
                            <a:gd name="connsiteX22" fmla="*/ 219596 w 231536"/>
                            <a:gd name="connsiteY22" fmla="*/ 223475 h 223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31536" h="223475">
                              <a:moveTo>
                                <a:pt x="219596" y="223475"/>
                              </a:moveTo>
                              <a:lnTo>
                                <a:pt x="219596" y="223475"/>
                              </a:lnTo>
                              <a:cubicBezTo>
                                <a:pt x="223572" y="208897"/>
                                <a:pt x="231910" y="194847"/>
                                <a:pt x="231523" y="179742"/>
                              </a:cubicBezTo>
                              <a:cubicBezTo>
                                <a:pt x="230562" y="142272"/>
                                <a:pt x="224711" y="104788"/>
                                <a:pt x="215620" y="68424"/>
                              </a:cubicBezTo>
                              <a:cubicBezTo>
                                <a:pt x="213802" y="61152"/>
                                <a:pt x="206511" y="55692"/>
                                <a:pt x="199718" y="52522"/>
                              </a:cubicBezTo>
                              <a:cubicBezTo>
                                <a:pt x="186026" y="46132"/>
                                <a:pt x="170514" y="44746"/>
                                <a:pt x="155986" y="40595"/>
                              </a:cubicBezTo>
                              <a:cubicBezTo>
                                <a:pt x="151956" y="39444"/>
                                <a:pt x="147807" y="38493"/>
                                <a:pt x="144059" y="36619"/>
                              </a:cubicBezTo>
                              <a:cubicBezTo>
                                <a:pt x="131108" y="30144"/>
                                <a:pt x="131559" y="24897"/>
                                <a:pt x="116229" y="20716"/>
                              </a:cubicBezTo>
                              <a:cubicBezTo>
                                <a:pt x="107189" y="18250"/>
                                <a:pt x="97676" y="18066"/>
                                <a:pt x="88400" y="16741"/>
                              </a:cubicBezTo>
                              <a:cubicBezTo>
                                <a:pt x="85749" y="12765"/>
                                <a:pt x="84814" y="6755"/>
                                <a:pt x="80448" y="4814"/>
                              </a:cubicBezTo>
                              <a:cubicBezTo>
                                <a:pt x="61644" y="-3544"/>
                                <a:pt x="53293" y="670"/>
                                <a:pt x="36716" y="4814"/>
                              </a:cubicBezTo>
                              <a:cubicBezTo>
                                <a:pt x="24789" y="16741"/>
                                <a:pt x="-5709" y="25092"/>
                                <a:pt x="935" y="40595"/>
                              </a:cubicBezTo>
                              <a:cubicBezTo>
                                <a:pt x="33660" y="116951"/>
                                <a:pt x="-8865" y="22394"/>
                                <a:pt x="28765" y="92278"/>
                              </a:cubicBezTo>
                              <a:cubicBezTo>
                                <a:pt x="33550" y="101164"/>
                                <a:pt x="33555" y="112971"/>
                                <a:pt x="40692" y="120108"/>
                              </a:cubicBezTo>
                              <a:cubicBezTo>
                                <a:pt x="47828" y="127244"/>
                                <a:pt x="59245" y="128059"/>
                                <a:pt x="68521" y="132035"/>
                              </a:cubicBezTo>
                              <a:cubicBezTo>
                                <a:pt x="89450" y="152964"/>
                                <a:pt x="70207" y="136854"/>
                                <a:pt x="100327" y="151913"/>
                              </a:cubicBezTo>
                              <a:cubicBezTo>
                                <a:pt x="104600" y="154050"/>
                                <a:pt x="107843" y="158026"/>
                                <a:pt x="112253" y="159864"/>
                              </a:cubicBezTo>
                              <a:cubicBezTo>
                                <a:pt x="123858" y="164699"/>
                                <a:pt x="136789" y="166169"/>
                                <a:pt x="148034" y="171791"/>
                              </a:cubicBezTo>
                              <a:cubicBezTo>
                                <a:pt x="153335" y="174441"/>
                                <a:pt x="158911" y="176601"/>
                                <a:pt x="163937" y="179742"/>
                              </a:cubicBezTo>
                              <a:cubicBezTo>
                                <a:pt x="169556" y="183254"/>
                                <a:pt x="173913" y="188706"/>
                                <a:pt x="179840" y="191669"/>
                              </a:cubicBezTo>
                              <a:cubicBezTo>
                                <a:pt x="184727" y="194113"/>
                                <a:pt x="190441" y="194320"/>
                                <a:pt x="195742" y="195645"/>
                              </a:cubicBezTo>
                              <a:cubicBezTo>
                                <a:pt x="199718" y="198295"/>
                                <a:pt x="203938" y="200611"/>
                                <a:pt x="207669" y="203596"/>
                              </a:cubicBezTo>
                              <a:cubicBezTo>
                                <a:pt x="210596" y="205938"/>
                                <a:pt x="217608" y="220162"/>
                                <a:pt x="219596" y="223475"/>
                              </a:cubicBezTo>
                              <a:close/>
                            </a:path>
                          </a:pathLst>
                        </a:custGeom>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43ABE9" id="任意多边形: 形状 183" o:spid="_x0000_s1026" style="position:absolute;left:0;text-align:left;margin-left:157.25pt;margin-top:128.6pt;width:18.25pt;height:17.6pt;z-index:252416000;visibility:visible;mso-wrap-style:square;mso-wrap-distance-left:9pt;mso-wrap-distance-top:0;mso-wrap-distance-right:9pt;mso-wrap-distance-bottom:0;mso-position-horizontal:absolute;mso-position-horizontal-relative:text;mso-position-vertical:absolute;mso-position-vertical-relative:text;v-text-anchor:middle" coordsize="231536,22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" path="m219596,223475r,c223572,208897,231910,194847,231523,179742v-961,-37470,-6812,-74954,-15903,-111318c213802,61152,206511,55692,199718,52522,186026,46132,170514,44746,155986,40595v-4030,-1151,-8179,-2102,-11927,-3976c131108,30144,131559,24897,116229,20716,107189,18250,97676,18066,88400,16741,85749,12765,84814,6755,80448,4814,61644,-3544,53293,670,36716,4814,24789,16741,-5709,25092,935,40595,33660,116951,-8865,22394,28765,92278v4785,8886,4790,20693,11927,27830c47828,127244,59245,128059,68521,132035v20929,20929,1686,4819,31806,19878c104600,154050,107843,158026,112253,159864v11605,4835,24536,6305,35781,11927c153335,174441,158911,176601,163937,179742v5619,3512,9976,8964,15903,11927c184727,194113,190441,194320,195742,195645v3976,2650,8196,4966,11927,7951c210596,205938,217608,220162,219596,223475xe" fillcolor="#4472c4 [3204]" strokecolor="#00b0f0" strokeweight="1pt">
                <v:stroke joinstyle="miter"/>
                <v:path arrowok="t" o:connecttype="custom" o:connectlocs="219596,223475;219596,223475;231523,179742;215620,68424;199718,52522;155986,40595;144059,36619;116229,20716;88400,16741;80448,4814;36716,4814;935,40595;28765,92278;40692,120108;68521,132035;100327,151913;112253,159864;148034,171791;163937,179742;179840,191669;195742,195645;207669,203596;219596,223475" o:connectangles="0,0,0,0,0,0,0,0,0,0,0,0,0,0,0,0,0,0,0,0,0,0,0"/>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12928" behindDoc="0" locked="0" layoutInCell="1" allowOverlap="1" wp14:anchorId="7F6A9DC5" wp14:editId="4CF19ABF">
                <wp:simplePos x="0" y="0"/>
                <wp:positionH relativeFrom="column">
                  <wp:posOffset>1132840</wp:posOffset>
                </wp:positionH>
                <wp:positionV relativeFrom="paragraph">
                  <wp:posOffset>568960</wp:posOffset>
                </wp:positionV>
                <wp:extent cx="801188" cy="322217"/>
                <wp:effectExtent l="0" t="0" r="0" b="1905"/>
                <wp:wrapNone/>
                <wp:docPr id="181" name="文本框 181"/>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78C1878B" w14:textId="1A94DB48" w:rsidR="00364F47" w:rsidRPr="00364F47" w:rsidRDefault="00364F47" w:rsidP="00C9516B">
                            <w:pPr>
                              <w:rPr>
                                <w:b/>
                                <w:bCs/>
                                <w:color w:val="FFFF00"/>
                              </w:rPr>
                            </w:pPr>
                            <w:r w:rsidRPr="00364F47">
                              <w:rPr>
                                <w:b/>
                                <w:bCs/>
                                <w:color w:val="FFFF00"/>
                              </w:rPr>
                              <w:t>居民</w:t>
                            </w:r>
                            <w:r w:rsidRPr="00364F47">
                              <w:rPr>
                                <w:rFonts w:hint="eastAsia"/>
                                <w:b/>
                                <w:bCs/>
                                <w:color w:val="FFFF00"/>
                              </w:rPr>
                              <w:t>1户</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A9DC5" id="文本框 181" o:spid="_x0000_s1037" type="#_x0000_t202" style="position:absolute;left:0;text-align:left;margin-left:89.2pt;margin-top:44.8pt;width:63.1pt;height:25.3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" filled="f" stroked="f">
                <v:textbox>
                  <w:txbxContent>
                    <w:p w14:paraId="78C1878B" w14:textId="1A94DB48" w:rsidR="00364F47" w:rsidRPr="00364F47" w:rsidRDefault="00364F47" w:rsidP="00C9516B">
                      <w:pPr>
                        <w:rPr>
                          <w:b/>
                          <w:bCs/>
                          <w:color w:val="FFFF00"/>
                        </w:rPr>
                      </w:pPr>
                      <w:r w:rsidRPr="00364F47">
                        <w:rPr>
                          <w:b/>
                          <w:bCs/>
                          <w:color w:val="FFFF00"/>
                        </w:rPr>
                        <w:t>居民</w:t>
                      </w:r>
                      <w:r w:rsidRPr="00364F47">
                        <w:rPr>
                          <w:rFonts w:hint="eastAsia"/>
                          <w:b/>
                          <w:bCs/>
                          <w:color w:val="FFFF00"/>
                        </w:rPr>
                        <w:t>1户</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008448" behindDoc="0" locked="0" layoutInCell="1" allowOverlap="1" wp14:anchorId="7AEBF141" wp14:editId="4D66D9ED">
                <wp:simplePos x="0" y="0"/>
                <wp:positionH relativeFrom="margin">
                  <wp:posOffset>3937000</wp:posOffset>
                </wp:positionH>
                <wp:positionV relativeFrom="paragraph">
                  <wp:posOffset>381000</wp:posOffset>
                </wp:positionV>
                <wp:extent cx="1287780" cy="381000"/>
                <wp:effectExtent l="171450" t="0" r="26670" b="704850"/>
                <wp:wrapNone/>
                <wp:docPr id="149" name="对话气泡: 圆角矩形 149"/>
                <wp:cNvGraphicFramePr/>
                <a:graphic xmlns:a="http://schemas.openxmlformats.org/drawingml/2006/main">
                  <a:graphicData uri="http://schemas.microsoft.com/office/word/2010/wordprocessingShape">
                    <wps:wsp>
                      <wps:cNvSpPr/>
                      <wps:spPr>
                        <a:xfrm>
                          <a:off x="0" y="0"/>
                          <a:ext cx="1287780" cy="381000"/>
                        </a:xfrm>
                        <a:prstGeom prst="wedgeRoundRectCallout">
                          <a:avLst>
                            <a:gd name="adj1" fmla="val -60524"/>
                            <a:gd name="adj2" fmla="val 21969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B7D283" w14:textId="4683FF35" w:rsidR="00A1017D" w:rsidRPr="009F587F" w:rsidRDefault="00A1017D" w:rsidP="00A1017D">
                            <w:pPr>
                              <w:jc w:val="center"/>
                              <w:rPr>
                                <w:b/>
                                <w:bCs/>
                                <w:szCs w:val="21"/>
                              </w:rPr>
                            </w:pPr>
                            <w:r>
                              <w:rPr>
                                <w:rFonts w:hint="eastAsia"/>
                                <w:b/>
                                <w:bCs/>
                                <w:szCs w:val="21"/>
                              </w:rPr>
                              <w:t>声环境</w:t>
                            </w:r>
                            <w:r w:rsidRPr="009F587F">
                              <w:rPr>
                                <w:rFonts w:hint="eastAsia"/>
                                <w:b/>
                                <w:bCs/>
                                <w:szCs w:val="21"/>
                              </w:rPr>
                              <w:t>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AEBF1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49" o:spid="_x0000_s1038" type="#_x0000_t62" style="position:absolute;left:0;text-align:left;margin-left:310pt;margin-top:30pt;width:101.4pt;height:30pt;z-index:252008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" adj="-2273,58253" fillcolor="#4472c4 [3204]" strokecolor="#1f3763 [1604]" strokeweight="1pt">
                <v:textbox>
                  <w:txbxContent>
                    <w:p w14:paraId="40B7D283" w14:textId="4683FF35" w:rsidR="00A1017D" w:rsidRPr="009F587F" w:rsidRDefault="00A1017D" w:rsidP="00A1017D">
                      <w:pPr>
                        <w:jc w:val="center"/>
                        <w:rPr>
                          <w:b/>
                          <w:bCs/>
                          <w:szCs w:val="21"/>
                        </w:rPr>
                      </w:pPr>
                      <w:r>
                        <w:rPr>
                          <w:rFonts w:hint="eastAsia"/>
                          <w:b/>
                          <w:bCs/>
                          <w:szCs w:val="21"/>
                        </w:rPr>
                        <w:t>声环境</w:t>
                      </w:r>
                      <w:r w:rsidRPr="009F587F">
                        <w:rPr>
                          <w:rFonts w:hint="eastAsia"/>
                          <w:b/>
                          <w:bCs/>
                          <w:szCs w:val="21"/>
                        </w:rPr>
                        <w:t>评价范围</w:t>
                      </w:r>
                    </w:p>
                  </w:txbxContent>
                </v:textbox>
                <w10:wrap anchorx="margin"/>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08832" behindDoc="0" locked="0" layoutInCell="1" allowOverlap="1" wp14:anchorId="4A28AC17" wp14:editId="5AA5A66E">
                <wp:simplePos x="0" y="0"/>
                <wp:positionH relativeFrom="column">
                  <wp:posOffset>1200147</wp:posOffset>
                </wp:positionH>
                <wp:positionV relativeFrom="paragraph">
                  <wp:posOffset>596900</wp:posOffset>
                </wp:positionV>
                <wp:extent cx="200471" cy="244558"/>
                <wp:effectExtent l="0" t="19050" r="28575" b="22225"/>
                <wp:wrapNone/>
                <wp:docPr id="179" name="任意多边形: 形状 179"/>
                <wp:cNvGraphicFramePr/>
                <a:graphic xmlns:a="http://schemas.openxmlformats.org/drawingml/2006/main">
                  <a:graphicData uri="http://schemas.microsoft.com/office/word/2010/wordprocessingShape">
                    <wps:wsp>
                      <wps:cNvSpPr/>
                      <wps:spPr>
                        <a:xfrm>
                          <a:off x="0" y="0"/>
                          <a:ext cx="200471" cy="244558"/>
                        </a:xfrm>
                        <a:custGeom>
                          <a:avLst/>
                          <a:gdLst>
                            <a:gd name="connsiteX0" fmla="*/ 41278 w 200471"/>
                            <a:gd name="connsiteY0" fmla="*/ 212725 h 244558"/>
                            <a:gd name="connsiteX1" fmla="*/ 41278 w 200471"/>
                            <a:gd name="connsiteY1" fmla="*/ 212725 h 244558"/>
                            <a:gd name="connsiteX2" fmla="*/ 117478 w 200471"/>
                            <a:gd name="connsiteY2" fmla="*/ 244475 h 244558"/>
                            <a:gd name="connsiteX3" fmla="*/ 149228 w 200471"/>
                            <a:gd name="connsiteY3" fmla="*/ 241300 h 244558"/>
                            <a:gd name="connsiteX4" fmla="*/ 158753 w 200471"/>
                            <a:gd name="connsiteY4" fmla="*/ 222250 h 244558"/>
                            <a:gd name="connsiteX5" fmla="*/ 161928 w 200471"/>
                            <a:gd name="connsiteY5" fmla="*/ 212725 h 244558"/>
                            <a:gd name="connsiteX6" fmla="*/ 187328 w 200471"/>
                            <a:gd name="connsiteY6" fmla="*/ 193675 h 244558"/>
                            <a:gd name="connsiteX7" fmla="*/ 200028 w 200471"/>
                            <a:gd name="connsiteY7" fmla="*/ 161925 h 244558"/>
                            <a:gd name="connsiteX8" fmla="*/ 168278 w 200471"/>
                            <a:gd name="connsiteY8" fmla="*/ 111125 h 244558"/>
                            <a:gd name="connsiteX9" fmla="*/ 146053 w 200471"/>
                            <a:gd name="connsiteY9" fmla="*/ 41275 h 244558"/>
                            <a:gd name="connsiteX10" fmla="*/ 133353 w 200471"/>
                            <a:gd name="connsiteY10" fmla="*/ 22225 h 244558"/>
                            <a:gd name="connsiteX11" fmla="*/ 117478 w 200471"/>
                            <a:gd name="connsiteY11" fmla="*/ 12700 h 244558"/>
                            <a:gd name="connsiteX12" fmla="*/ 73028 w 200471"/>
                            <a:gd name="connsiteY12" fmla="*/ 0 h 244558"/>
                            <a:gd name="connsiteX13" fmla="*/ 44453 w 200471"/>
                            <a:gd name="connsiteY13" fmla="*/ 9525 h 244558"/>
                            <a:gd name="connsiteX14" fmla="*/ 28578 w 200471"/>
                            <a:gd name="connsiteY14" fmla="*/ 31750 h 244558"/>
                            <a:gd name="connsiteX15" fmla="*/ 6353 w 200471"/>
                            <a:gd name="connsiteY15" fmla="*/ 85725 h 244558"/>
                            <a:gd name="connsiteX16" fmla="*/ 3178 w 200471"/>
                            <a:gd name="connsiteY16" fmla="*/ 174625 h 244558"/>
                            <a:gd name="connsiteX17" fmla="*/ 25403 w 200471"/>
                            <a:gd name="connsiteY17" fmla="*/ 219075 h 244558"/>
                            <a:gd name="connsiteX18" fmla="*/ 41278 w 200471"/>
                            <a:gd name="connsiteY18" fmla="*/ 212725 h 2445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00471" h="244558">
                              <a:moveTo>
                                <a:pt x="41278" y="212725"/>
                              </a:moveTo>
                              <a:lnTo>
                                <a:pt x="41278" y="212725"/>
                              </a:lnTo>
                              <a:cubicBezTo>
                                <a:pt x="58346" y="221259"/>
                                <a:pt x="92859" y="243107"/>
                                <a:pt x="117478" y="244475"/>
                              </a:cubicBezTo>
                              <a:cubicBezTo>
                                <a:pt x="128098" y="245065"/>
                                <a:pt x="138645" y="242358"/>
                                <a:pt x="149228" y="241300"/>
                              </a:cubicBezTo>
                              <a:cubicBezTo>
                                <a:pt x="157208" y="217359"/>
                                <a:pt x="146443" y="246869"/>
                                <a:pt x="158753" y="222250"/>
                              </a:cubicBezTo>
                              <a:cubicBezTo>
                                <a:pt x="160250" y="219257"/>
                                <a:pt x="159561" y="215092"/>
                                <a:pt x="161928" y="212725"/>
                              </a:cubicBezTo>
                              <a:cubicBezTo>
                                <a:pt x="169412" y="205241"/>
                                <a:pt x="178861" y="200025"/>
                                <a:pt x="187328" y="193675"/>
                              </a:cubicBezTo>
                              <a:cubicBezTo>
                                <a:pt x="191379" y="186923"/>
                                <a:pt x="202857" y="171827"/>
                                <a:pt x="200028" y="161925"/>
                              </a:cubicBezTo>
                              <a:cubicBezTo>
                                <a:pt x="196162" y="148394"/>
                                <a:pt x="176758" y="122997"/>
                                <a:pt x="168278" y="111125"/>
                              </a:cubicBezTo>
                              <a:cubicBezTo>
                                <a:pt x="160219" y="76201"/>
                                <a:pt x="161676" y="70567"/>
                                <a:pt x="146053" y="41275"/>
                              </a:cubicBezTo>
                              <a:cubicBezTo>
                                <a:pt x="142462" y="34541"/>
                                <a:pt x="138749" y="27621"/>
                                <a:pt x="133353" y="22225"/>
                              </a:cubicBezTo>
                              <a:cubicBezTo>
                                <a:pt x="128989" y="17861"/>
                                <a:pt x="123150" y="15131"/>
                                <a:pt x="117478" y="12700"/>
                              </a:cubicBezTo>
                              <a:cubicBezTo>
                                <a:pt x="97823" y="4276"/>
                                <a:pt x="91202" y="3635"/>
                                <a:pt x="73028" y="0"/>
                              </a:cubicBezTo>
                              <a:cubicBezTo>
                                <a:pt x="63503" y="3175"/>
                                <a:pt x="52623" y="3689"/>
                                <a:pt x="44453" y="9525"/>
                              </a:cubicBezTo>
                              <a:cubicBezTo>
                                <a:pt x="37045" y="14817"/>
                                <a:pt x="32999" y="23792"/>
                                <a:pt x="28578" y="31750"/>
                              </a:cubicBezTo>
                              <a:cubicBezTo>
                                <a:pt x="16148" y="54124"/>
                                <a:pt x="13494" y="64302"/>
                                <a:pt x="6353" y="85725"/>
                              </a:cubicBezTo>
                              <a:cubicBezTo>
                                <a:pt x="2147" y="125680"/>
                                <a:pt x="-3722" y="140127"/>
                                <a:pt x="3178" y="174625"/>
                              </a:cubicBezTo>
                              <a:cubicBezTo>
                                <a:pt x="5979" y="188628"/>
                                <a:pt x="15985" y="209657"/>
                                <a:pt x="25403" y="219075"/>
                              </a:cubicBezTo>
                              <a:cubicBezTo>
                                <a:pt x="28489" y="222161"/>
                                <a:pt x="38632" y="213783"/>
                                <a:pt x="41278" y="212725"/>
                              </a:cubicBez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FE79D2" id="任意多边形: 形状 179" o:spid="_x0000_s1026" style="position:absolute;left:0;text-align:left;margin-left:94.5pt;margin-top:47pt;width:15.8pt;height:19.25pt;z-index:252408832;visibility:visible;mso-wrap-style:square;mso-wrap-distance-left:9pt;mso-wrap-distance-top:0;mso-wrap-distance-right:9pt;mso-wrap-distance-bottom:0;mso-position-horizontal:absolute;mso-position-horizontal-relative:text;mso-position-vertical:absolute;mso-position-vertical-relative:text;v-text-anchor:middle" coordsize="200471,244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" path="m41278,212725r,c58346,221259,92859,243107,117478,244475v10620,590,21167,-2117,31750,-3175c157208,217359,146443,246869,158753,222250v1497,-2993,808,-7158,3175,-9525c169412,205241,178861,200025,187328,193675v4051,-6752,15529,-21848,12700,-31750c196162,148394,176758,122997,168278,111125,160219,76201,161676,70567,146053,41275,142462,34541,138749,27621,133353,22225v-4364,-4364,-10203,-7094,-15875,-9525c97823,4276,91202,3635,73028,,63503,3175,52623,3689,44453,9525,37045,14817,32999,23792,28578,31750,16148,54124,13494,64302,6353,85725,2147,125680,-3722,140127,3178,174625v2801,14003,12807,35032,22225,44450c28489,222161,38632,213783,41278,212725xe" filled="f" strokecolor="yellow" strokeweight="1pt">
                <v:stroke joinstyle="miter"/>
                <v:path arrowok="t" o:connecttype="custom" o:connectlocs="41278,212725;41278,212725;117478,244475;149228,241300;158753,222250;161928,212725;187328,193675;200028,161925;168278,111125;146053,41275;133353,22225;117478,12700;73028,0;44453,9525;28578,31750;6353,85725;3178,174625;25403,219075;41278,212725" o:connectangles="0,0,0,0,0,0,0,0,0,0,0,0,0,0,0,0,0,0,0"/>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07808" behindDoc="0" locked="0" layoutInCell="1" allowOverlap="1" wp14:anchorId="5C0A2656" wp14:editId="34D059C9">
                <wp:simplePos x="0" y="0"/>
                <wp:positionH relativeFrom="column">
                  <wp:posOffset>1485645</wp:posOffset>
                </wp:positionH>
                <wp:positionV relativeFrom="paragraph">
                  <wp:posOffset>1356388</wp:posOffset>
                </wp:positionV>
                <wp:extent cx="801188" cy="322217"/>
                <wp:effectExtent l="0" t="0" r="0" b="1905"/>
                <wp:wrapNone/>
                <wp:docPr id="178" name="文本框 178"/>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1FACB7FA" w14:textId="77777777" w:rsidR="00364F47" w:rsidRPr="00364F47" w:rsidRDefault="00364F47" w:rsidP="00C9516B">
                            <w:pPr>
                              <w:rPr>
                                <w:b/>
                                <w:bCs/>
                              </w:rPr>
                            </w:pPr>
                            <w:r w:rsidRPr="00364F47">
                              <w:rPr>
                                <w:b/>
                                <w:bCs/>
                              </w:rPr>
                              <w:t>200m</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A2656" id="文本框 178" o:spid="_x0000_s1039" type="#_x0000_t202" style="position:absolute;left:0;text-align:left;margin-left:117pt;margin-top:106.8pt;width:63.1pt;height:25.3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" filled="f" stroked="f">
                <v:textbox>
                  <w:txbxContent>
                    <w:p w14:paraId="1FACB7FA" w14:textId="77777777" w:rsidR="00364F47" w:rsidRPr="00364F47" w:rsidRDefault="00364F47" w:rsidP="00C9516B">
                      <w:pPr>
                        <w:rPr>
                          <w:b/>
                          <w:bCs/>
                        </w:rPr>
                      </w:pPr>
                      <w:r w:rsidRPr="00364F47">
                        <w:rPr>
                          <w:b/>
                          <w:bCs/>
                        </w:rPr>
                        <w:t>200m</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05760" behindDoc="0" locked="0" layoutInCell="1" allowOverlap="1" wp14:anchorId="76E7B5BA" wp14:editId="526639B7">
                <wp:simplePos x="0" y="0"/>
                <wp:positionH relativeFrom="column">
                  <wp:posOffset>2591824</wp:posOffset>
                </wp:positionH>
                <wp:positionV relativeFrom="paragraph">
                  <wp:posOffset>2422469</wp:posOffset>
                </wp:positionV>
                <wp:extent cx="801188" cy="322217"/>
                <wp:effectExtent l="0" t="0" r="0" b="1905"/>
                <wp:wrapNone/>
                <wp:docPr id="177" name="文本框 177"/>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472F2646" w14:textId="77777777" w:rsidR="00364F47" w:rsidRPr="00364F47" w:rsidRDefault="00364F47" w:rsidP="00C9516B">
                            <w:pPr>
                              <w:rPr>
                                <w:b/>
                                <w:bCs/>
                              </w:rPr>
                            </w:pPr>
                            <w:r w:rsidRPr="00364F47">
                              <w:rPr>
                                <w:b/>
                                <w:bCs/>
                              </w:rPr>
                              <w:t>200m</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7B5BA" id="文本框 177" o:spid="_x0000_s1040" type="#_x0000_t202" style="position:absolute;left:0;text-align:left;margin-left:204.1pt;margin-top:190.75pt;width:63.1pt;height:25.3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" filled="f" stroked="f">
                <v:textbox>
                  <w:txbxContent>
                    <w:p w14:paraId="472F2646" w14:textId="77777777" w:rsidR="00364F47" w:rsidRPr="00364F47" w:rsidRDefault="00364F47" w:rsidP="00C9516B">
                      <w:pPr>
                        <w:rPr>
                          <w:b/>
                          <w:bCs/>
                        </w:rPr>
                      </w:pPr>
                      <w:r w:rsidRPr="00364F47">
                        <w:rPr>
                          <w:b/>
                          <w:bCs/>
                        </w:rPr>
                        <w:t>200m</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03712" behindDoc="0" locked="0" layoutInCell="1" allowOverlap="1" wp14:anchorId="74F61885" wp14:editId="5A4ECA67">
                <wp:simplePos x="0" y="0"/>
                <wp:positionH relativeFrom="column">
                  <wp:posOffset>3090118</wp:posOffset>
                </wp:positionH>
                <wp:positionV relativeFrom="paragraph">
                  <wp:posOffset>2019124</wp:posOffset>
                </wp:positionV>
                <wp:extent cx="801188" cy="322217"/>
                <wp:effectExtent l="0" t="0" r="0" b="1905"/>
                <wp:wrapNone/>
                <wp:docPr id="176" name="文本框 176"/>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60D83B29" w14:textId="77777777" w:rsidR="00364F47" w:rsidRPr="00364F47" w:rsidRDefault="00364F47" w:rsidP="00C9516B">
                            <w:pPr>
                              <w:rPr>
                                <w:b/>
                                <w:bCs/>
                              </w:rPr>
                            </w:pPr>
                            <w:r w:rsidRPr="00364F47">
                              <w:rPr>
                                <w:b/>
                                <w:bCs/>
                              </w:rPr>
                              <w:t>200m</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61885" id="文本框 176" o:spid="_x0000_s1041" type="#_x0000_t202" style="position:absolute;left:0;text-align:left;margin-left:243.3pt;margin-top:159pt;width:63.1pt;height:25.3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" filled="f" stroked="f">
                <v:textbox>
                  <w:txbxContent>
                    <w:p w14:paraId="60D83B29" w14:textId="77777777" w:rsidR="00364F47" w:rsidRPr="00364F47" w:rsidRDefault="00364F47" w:rsidP="00C9516B">
                      <w:pPr>
                        <w:rPr>
                          <w:b/>
                          <w:bCs/>
                        </w:rPr>
                      </w:pPr>
                      <w:r w:rsidRPr="00364F47">
                        <w:rPr>
                          <w:b/>
                          <w:bCs/>
                        </w:rPr>
                        <w:t>200m</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401664" behindDoc="0" locked="0" layoutInCell="1" allowOverlap="1" wp14:anchorId="3ED83E7E" wp14:editId="27C3285E">
                <wp:simplePos x="0" y="0"/>
                <wp:positionH relativeFrom="column">
                  <wp:posOffset>2276183</wp:posOffset>
                </wp:positionH>
                <wp:positionV relativeFrom="paragraph">
                  <wp:posOffset>806913</wp:posOffset>
                </wp:positionV>
                <wp:extent cx="801188" cy="322217"/>
                <wp:effectExtent l="0" t="0" r="0" b="1905"/>
                <wp:wrapNone/>
                <wp:docPr id="175" name="文本框 175"/>
                <wp:cNvGraphicFramePr/>
                <a:graphic xmlns:a="http://schemas.openxmlformats.org/drawingml/2006/main">
                  <a:graphicData uri="http://schemas.microsoft.com/office/word/2010/wordprocessingShape">
                    <wps:wsp>
                      <wps:cNvSpPr txBox="1"/>
                      <wps:spPr bwMode="auto">
                        <a:xfrm>
                          <a:off x="0" y="0"/>
                          <a:ext cx="801188" cy="322217"/>
                        </a:xfrm>
                        <a:prstGeom prst="rect">
                          <a:avLst/>
                        </a:prstGeom>
                        <a:noFill/>
                        <a:ln w="9525">
                          <a:noFill/>
                          <a:miter lim="800000"/>
                          <a:headEnd/>
                          <a:tailEnd/>
                        </a:ln>
                      </wps:spPr>
                      <wps:txbx>
                        <w:txbxContent>
                          <w:p w14:paraId="236C2FFC" w14:textId="19B591A4" w:rsidR="00364F47" w:rsidRPr="00364F47" w:rsidRDefault="00364F47" w:rsidP="00C9516B">
                            <w:pPr>
                              <w:rPr>
                                <w:b/>
                                <w:bCs/>
                              </w:rPr>
                            </w:pPr>
                            <w:r w:rsidRPr="00364F47">
                              <w:rPr>
                                <w:b/>
                                <w:bCs/>
                              </w:rPr>
                              <w:t>200m</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83E7E" id="文本框 175" o:spid="_x0000_s1042" type="#_x0000_t202" style="position:absolute;left:0;text-align:left;margin-left:179.25pt;margin-top:63.55pt;width:63.1pt;height:25.3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" filled="f" stroked="f">
                <v:textbox>
                  <w:txbxContent>
                    <w:p w14:paraId="236C2FFC" w14:textId="19B591A4" w:rsidR="00364F47" w:rsidRPr="00364F47" w:rsidRDefault="00364F47" w:rsidP="00C9516B">
                      <w:pPr>
                        <w:rPr>
                          <w:b/>
                          <w:bCs/>
                        </w:rPr>
                      </w:pPr>
                      <w:r w:rsidRPr="00364F47">
                        <w:rPr>
                          <w:b/>
                          <w:bCs/>
                        </w:rPr>
                        <w:t>200m</w:t>
                      </w:r>
                    </w:p>
                  </w:txbxContent>
                </v:textbox>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397568" behindDoc="0" locked="0" layoutInCell="1" allowOverlap="1" wp14:anchorId="01463B8A" wp14:editId="6F687AD8">
                <wp:simplePos x="0" y="0"/>
                <wp:positionH relativeFrom="column">
                  <wp:posOffset>1186384</wp:posOffset>
                </wp:positionH>
                <wp:positionV relativeFrom="paragraph">
                  <wp:posOffset>520607</wp:posOffset>
                </wp:positionV>
                <wp:extent cx="2613980" cy="2607320"/>
                <wp:effectExtent l="0" t="0" r="15240" b="21590"/>
                <wp:wrapNone/>
                <wp:docPr id="173" name="矩形 173"/>
                <wp:cNvGraphicFramePr/>
                <a:graphic xmlns:a="http://schemas.openxmlformats.org/drawingml/2006/main">
                  <a:graphicData uri="http://schemas.microsoft.com/office/word/2010/wordprocessingShape">
                    <wps:wsp>
                      <wps:cNvSpPr/>
                      <wps:spPr>
                        <a:xfrm>
                          <a:off x="0" y="0"/>
                          <a:ext cx="2613980" cy="2607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B4C72" id="矩形 173" o:spid="_x0000_s1026" style="position:absolute;left:0;text-align:left;margin-left:93.4pt;margin-top:41pt;width:205.85pt;height:205.3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" filled="f" strokecolor="red" strokeweight="1pt"/>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399616" behindDoc="0" locked="0" layoutInCell="1" allowOverlap="1" wp14:anchorId="15DF193B" wp14:editId="6CD5B884">
                <wp:simplePos x="0" y="0"/>
                <wp:positionH relativeFrom="column">
                  <wp:posOffset>2623653</wp:posOffset>
                </wp:positionH>
                <wp:positionV relativeFrom="paragraph">
                  <wp:posOffset>2245383</wp:posOffset>
                </wp:positionV>
                <wp:extent cx="45719" cy="884041"/>
                <wp:effectExtent l="76200" t="38100" r="50165" b="49530"/>
                <wp:wrapNone/>
                <wp:docPr id="174" name="直接箭头连接符 174"/>
                <wp:cNvGraphicFramePr/>
                <a:graphic xmlns:a="http://schemas.openxmlformats.org/drawingml/2006/main">
                  <a:graphicData uri="http://schemas.microsoft.com/office/word/2010/wordprocessingShape">
                    <wps:wsp>
                      <wps:cNvCnPr/>
                      <wps:spPr>
                        <a:xfrm flipV="1">
                          <a:off x="0" y="0"/>
                          <a:ext cx="45719" cy="88404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CE511C" id="_x0000_t32" coordsize="21600,21600" o:spt="32" o:oned="t" path="m,l21600,21600e" filled="f">
                <v:path arrowok="t" fillok="f" o:connecttype="none"/>
                <o:lock v:ext="edit" shapetype="t"/>
              </v:shapetype>
              <v:shape id="直接箭头连接符 174" o:spid="_x0000_s1026" type="#_x0000_t32" style="position:absolute;left:0;text-align:left;margin-left:206.6pt;margin-top:176.8pt;width:3.6pt;height:69.6pt;flip:y;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" strokecolor="red" strokeweight=".5pt">
                <v:stroke startarrow="block" endarrow="block" joinstyle="miter"/>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396544" behindDoc="0" locked="0" layoutInCell="1" allowOverlap="1" wp14:anchorId="77130140" wp14:editId="31A8365F">
                <wp:simplePos x="0" y="0"/>
                <wp:positionH relativeFrom="column">
                  <wp:posOffset>2327159</wp:posOffset>
                </wp:positionH>
                <wp:positionV relativeFrom="paragraph">
                  <wp:posOffset>520607</wp:posOffset>
                </wp:positionV>
                <wp:extent cx="45719" cy="884041"/>
                <wp:effectExtent l="76200" t="38100" r="50165" b="49530"/>
                <wp:wrapNone/>
                <wp:docPr id="171" name="直接箭头连接符 171"/>
                <wp:cNvGraphicFramePr/>
                <a:graphic xmlns:a="http://schemas.openxmlformats.org/drawingml/2006/main">
                  <a:graphicData uri="http://schemas.microsoft.com/office/word/2010/wordprocessingShape">
                    <wps:wsp>
                      <wps:cNvCnPr/>
                      <wps:spPr>
                        <a:xfrm flipV="1">
                          <a:off x="0" y="0"/>
                          <a:ext cx="45719" cy="88404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47E99A" id="直接箭头连接符 171" o:spid="_x0000_s1026" type="#_x0000_t32" style="position:absolute;left:0;text-align:left;margin-left:183.25pt;margin-top:41pt;width:3.6pt;height:69.6pt;flip:y;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" strokecolor="red" strokeweight=".5pt">
                <v:stroke startarrow="block" endarrow="block" joinstyle="miter"/>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394496" behindDoc="0" locked="0" layoutInCell="1" allowOverlap="1" wp14:anchorId="2336DBB7" wp14:editId="1D3A9E40">
                <wp:simplePos x="0" y="0"/>
                <wp:positionH relativeFrom="column">
                  <wp:posOffset>1207425</wp:posOffset>
                </wp:positionH>
                <wp:positionV relativeFrom="paragraph">
                  <wp:posOffset>1580284</wp:posOffset>
                </wp:positionV>
                <wp:extent cx="920867" cy="0"/>
                <wp:effectExtent l="38100" t="76200" r="12700" b="95250"/>
                <wp:wrapNone/>
                <wp:docPr id="170" name="直接箭头连接符 170"/>
                <wp:cNvGraphicFramePr/>
                <a:graphic xmlns:a="http://schemas.openxmlformats.org/drawingml/2006/main">
                  <a:graphicData uri="http://schemas.microsoft.com/office/word/2010/wordprocessingShape">
                    <wps:wsp>
                      <wps:cNvCnPr/>
                      <wps:spPr>
                        <a:xfrm>
                          <a:off x="0" y="0"/>
                          <a:ext cx="920867"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32BAEC" id="直接箭头连接符 170" o:spid="_x0000_s1026" type="#_x0000_t32" style="position:absolute;left:0;text-align:left;margin-left:95.05pt;margin-top:124.45pt;width:72.5pt;height:0;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" strokecolor="red" strokeweight=".5pt">
                <v:stroke startarrow="block" endarrow="block" joinstyle="miter"/>
              </v:shape>
            </w:pict>
          </mc:Fallback>
        </mc:AlternateContent>
      </w:r>
      <w:r w:rsidR="00364F47" w:rsidRPr="00092862">
        <w:rPr>
          <w:rFonts w:ascii="Times New Roman" w:hAnsi="Times New Roman" w:cs="Times New Roman"/>
          <w:noProof/>
          <w:color w:val="000000" w:themeColor="text1"/>
        </w:rPr>
        <mc:AlternateContent>
          <mc:Choice Requires="wps">
            <w:drawing>
              <wp:anchor distT="0" distB="0" distL="114300" distR="114300" simplePos="0" relativeHeight="252392448" behindDoc="0" locked="0" layoutInCell="1" allowOverlap="1" wp14:anchorId="7B5B9C3C" wp14:editId="209FE887">
                <wp:simplePos x="0" y="0"/>
                <wp:positionH relativeFrom="column">
                  <wp:posOffset>2880763</wp:posOffset>
                </wp:positionH>
                <wp:positionV relativeFrom="paragraph">
                  <wp:posOffset>2077221</wp:posOffset>
                </wp:positionV>
                <wp:extent cx="920867" cy="0"/>
                <wp:effectExtent l="38100" t="76200" r="12700" b="95250"/>
                <wp:wrapNone/>
                <wp:docPr id="169" name="直接箭头连接符 169"/>
                <wp:cNvGraphicFramePr/>
                <a:graphic xmlns:a="http://schemas.openxmlformats.org/drawingml/2006/main">
                  <a:graphicData uri="http://schemas.microsoft.com/office/word/2010/wordprocessingShape">
                    <wps:wsp>
                      <wps:cNvCnPr/>
                      <wps:spPr>
                        <a:xfrm>
                          <a:off x="0" y="0"/>
                          <a:ext cx="920867"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2CC27B" id="直接箭头连接符 169" o:spid="_x0000_s1026" type="#_x0000_t32" style="position:absolute;left:0;text-align:left;margin-left:226.85pt;margin-top:163.55pt;width:72.5pt;height:0;z-index:25239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" strokecolor="red" strokeweight=".5pt">
                <v:stroke startarrow="block" endarrow="block" joinstyle="miter"/>
              </v:shape>
            </w:pict>
          </mc:Fallback>
        </mc:AlternateContent>
      </w:r>
      <w:r w:rsidR="003C3238" w:rsidRPr="00092862">
        <w:rPr>
          <w:rFonts w:ascii="Times New Roman" w:hAnsi="Times New Roman" w:cs="Times New Roman"/>
          <w:noProof/>
          <w:color w:val="000000" w:themeColor="text1"/>
        </w:rPr>
        <mc:AlternateContent>
          <mc:Choice Requires="wps">
            <w:drawing>
              <wp:anchor distT="0" distB="0" distL="114300" distR="114300" simplePos="0" relativeHeight="252391424" behindDoc="0" locked="0" layoutInCell="1" allowOverlap="1" wp14:anchorId="413D16DE" wp14:editId="18ED14E0">
                <wp:simplePos x="0" y="0"/>
                <wp:positionH relativeFrom="column">
                  <wp:posOffset>2077566</wp:posOffset>
                </wp:positionH>
                <wp:positionV relativeFrom="paragraph">
                  <wp:posOffset>1700440</wp:posOffset>
                </wp:positionV>
                <wp:extent cx="857285" cy="264376"/>
                <wp:effectExtent l="220345" t="8255" r="258445" b="10795"/>
                <wp:wrapNone/>
                <wp:docPr id="168" name="矩形 168"/>
                <wp:cNvGraphicFramePr/>
                <a:graphic xmlns:a="http://schemas.openxmlformats.org/drawingml/2006/main">
                  <a:graphicData uri="http://schemas.microsoft.com/office/word/2010/wordprocessingShape">
                    <wps:wsp>
                      <wps:cNvSpPr/>
                      <wps:spPr>
                        <a:xfrm rot="3002534">
                          <a:off x="0" y="0"/>
                          <a:ext cx="857285" cy="2643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AF6E1" id="矩形 168" o:spid="_x0000_s1026" style="position:absolute;left:0;text-align:left;margin-left:163.6pt;margin-top:133.9pt;width:67.5pt;height:20.8pt;rotation:3279568fd;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" filled="f" strokecolor="red" strokeweight="1pt"/>
            </w:pict>
          </mc:Fallback>
        </mc:AlternateContent>
      </w:r>
      <w:r w:rsidR="003C3238" w:rsidRPr="00092862">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lang w:val="x-none" w:eastAsia="x-none" w:bidi="x-none"/>
        </w:rPr>
        <w:t xml:space="preserve"> </w:t>
      </w:r>
      <w:r w:rsidR="003C3238" w:rsidRPr="00092862">
        <w:rPr>
          <w:rFonts w:ascii="Times New Roman" w:hAnsi="Times New Roman" w:cs="Times New Roman"/>
          <w:noProof/>
          <w:color w:val="000000" w:themeColor="text1"/>
          <w:sz w:val="24"/>
          <w:szCs w:val="24"/>
        </w:rPr>
        <w:drawing>
          <wp:inline distT="0" distB="0" distL="0" distR="0" wp14:anchorId="2FEBF85D" wp14:editId="0D7B61FE">
            <wp:extent cx="5175277" cy="4259484"/>
            <wp:effectExtent l="0" t="0" r="6350" b="825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4">
                      <a:extLst>
                        <a:ext uri="{28A0092B-C50C-407E-A947-70E740481C1C}">
                          <a14:useLocalDpi xmlns:a14="http://schemas.microsoft.com/office/drawing/2010/main" val="0"/>
                        </a:ext>
                      </a:extLst>
                    </a:blip>
                    <a:srcRect l="8180" t="36043" r="-8" b="28955"/>
                    <a:stretch/>
                  </pic:blipFill>
                  <pic:spPr bwMode="auto">
                    <a:xfrm>
                      <a:off x="0" y="0"/>
                      <a:ext cx="5198488" cy="4278587"/>
                    </a:xfrm>
                    <a:prstGeom prst="rect">
                      <a:avLst/>
                    </a:prstGeom>
                    <a:noFill/>
                    <a:ln>
                      <a:noFill/>
                    </a:ln>
                    <a:extLst>
                      <a:ext uri="{53640926-AAD7-44D8-BBD7-CCE9431645EC}">
                        <a14:shadowObscured xmlns:a14="http://schemas.microsoft.com/office/drawing/2010/main"/>
                      </a:ext>
                    </a:extLst>
                  </pic:spPr>
                </pic:pic>
              </a:graphicData>
            </a:graphic>
          </wp:inline>
        </w:drawing>
      </w:r>
    </w:p>
    <w:p w14:paraId="5615539C" w14:textId="4D797FDD" w:rsidR="00A1017D" w:rsidRPr="00092862" w:rsidRDefault="00A1017D" w:rsidP="00697AAB">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2.6-</w:t>
      </w:r>
      <w:r w:rsidR="00697AAB" w:rsidRPr="00092862">
        <w:rPr>
          <w:rFonts w:ascii="Times New Roman" w:eastAsia="黑体" w:hAnsi="Times New Roman"/>
          <w:color w:val="000000" w:themeColor="text1"/>
          <w:sz w:val="21"/>
          <w:szCs w:val="21"/>
          <w:lang w:eastAsia="zh-CN"/>
        </w:rPr>
        <w:t>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声环境评价范围图</w:t>
      </w:r>
    </w:p>
    <w:p w14:paraId="5B315F5B" w14:textId="77777777" w:rsidR="00DC446C" w:rsidRPr="00092862" w:rsidRDefault="003E487D" w:rsidP="000D664A">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58" w:name="_Toc120173074"/>
      <w:r w:rsidRPr="00092862">
        <w:rPr>
          <w:rFonts w:ascii="Times New Roman" w:eastAsia="黑体" w:hAnsi="Times New Roman"/>
          <w:b w:val="0"/>
          <w:color w:val="000000" w:themeColor="text1"/>
          <w:sz w:val="24"/>
          <w:szCs w:val="24"/>
          <w:lang w:eastAsia="zh-CN"/>
        </w:rPr>
        <w:t>2.6.5</w:t>
      </w:r>
      <w:r w:rsidR="003B1968" w:rsidRPr="00092862">
        <w:rPr>
          <w:rFonts w:ascii="Times New Roman" w:eastAsia="黑体" w:hAnsi="Times New Roman"/>
          <w:b w:val="0"/>
          <w:color w:val="000000" w:themeColor="text1"/>
          <w:sz w:val="24"/>
          <w:szCs w:val="24"/>
          <w:lang w:eastAsia="zh-CN"/>
        </w:rPr>
        <w:t>土壤环境</w:t>
      </w:r>
      <w:bookmarkEnd w:id="58"/>
    </w:p>
    <w:p w14:paraId="10241721" w14:textId="77777777" w:rsidR="001E2759" w:rsidRPr="00092862" w:rsidRDefault="001E2759" w:rsidP="00BA2AA3">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bCs/>
          <w:color w:val="000000" w:themeColor="text1"/>
          <w:sz w:val="24"/>
          <w:szCs w:val="24"/>
        </w:rPr>
        <w:t>评价工作等级</w:t>
      </w:r>
    </w:p>
    <w:p w14:paraId="53980422" w14:textId="06D2CE92" w:rsidR="003D77EF" w:rsidRPr="00092862" w:rsidRDefault="003B1968"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根据《环境影响评价技术导则</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土壤环境（试行）》（</w:t>
      </w:r>
      <w:r w:rsidRPr="00092862">
        <w:rPr>
          <w:rFonts w:ascii="Times New Roman" w:eastAsia="宋体" w:hAnsi="Times New Roman" w:cs="Times New Roman"/>
          <w:color w:val="000000" w:themeColor="text1"/>
          <w:sz w:val="24"/>
          <w:szCs w:val="24"/>
        </w:rPr>
        <w:t>HJ964-2018</w:t>
      </w:r>
      <w:r w:rsidRPr="00092862">
        <w:rPr>
          <w:rFonts w:ascii="Times New Roman" w:eastAsia="宋体" w:hAnsi="Times New Roman" w:cs="Times New Roman"/>
          <w:color w:val="000000" w:themeColor="text1"/>
          <w:sz w:val="24"/>
          <w:szCs w:val="24"/>
        </w:rPr>
        <w:t>），本项目为天然气开采（</w:t>
      </w:r>
      <w:r w:rsidRPr="00092862">
        <w:rPr>
          <w:rFonts w:ascii="Times New Roman" w:eastAsia="宋体" w:hAnsi="Times New Roman" w:cs="Times New Roman"/>
          <w:color w:val="000000" w:themeColor="text1"/>
          <w:sz w:val="24"/>
          <w:szCs w:val="24"/>
        </w:rPr>
        <w:t>B072</w:t>
      </w:r>
      <w:r w:rsidRPr="00092862">
        <w:rPr>
          <w:rFonts w:ascii="Times New Roman" w:eastAsia="宋体" w:hAnsi="Times New Roman" w:cs="Times New Roman"/>
          <w:color w:val="000000" w:themeColor="text1"/>
          <w:sz w:val="24"/>
          <w:szCs w:val="24"/>
        </w:rPr>
        <w:t>），属于</w:t>
      </w:r>
      <w:r w:rsidRPr="00092862">
        <w:rPr>
          <w:rFonts w:ascii="Times New Roman" w:eastAsia="宋体" w:hAnsi="Times New Roman" w:cs="Times New Roman"/>
          <w:color w:val="000000" w:themeColor="text1"/>
          <w:sz w:val="24"/>
          <w:szCs w:val="24"/>
        </w:rPr>
        <w:t>Ⅱ</w:t>
      </w:r>
      <w:r w:rsidRPr="00092862">
        <w:rPr>
          <w:rFonts w:ascii="Times New Roman" w:eastAsia="宋体" w:hAnsi="Times New Roman" w:cs="Times New Roman"/>
          <w:color w:val="000000" w:themeColor="text1"/>
          <w:sz w:val="24"/>
          <w:szCs w:val="24"/>
        </w:rPr>
        <w:t>类建设项目。根据工程分析，项目对土壤环境的影响主要为污染物泄漏对其造成污染，属于污染影响型项目</w:t>
      </w:r>
      <w:r w:rsidR="003D77EF" w:rsidRPr="00092862">
        <w:rPr>
          <w:rFonts w:ascii="Times New Roman" w:eastAsia="宋体" w:hAnsi="Times New Roman" w:cs="Times New Roman"/>
          <w:color w:val="000000" w:themeColor="text1"/>
          <w:sz w:val="24"/>
          <w:szCs w:val="24"/>
        </w:rPr>
        <w:t>，周边环境敏感程度判别依据见表</w:t>
      </w:r>
      <w:r w:rsidR="003D77EF" w:rsidRPr="00092862">
        <w:rPr>
          <w:rFonts w:ascii="Times New Roman" w:eastAsia="宋体" w:hAnsi="Times New Roman" w:cs="Times New Roman"/>
          <w:color w:val="000000" w:themeColor="text1"/>
          <w:sz w:val="24"/>
          <w:szCs w:val="24"/>
        </w:rPr>
        <w:t>2.6-</w:t>
      </w:r>
      <w:r w:rsidR="0010287F" w:rsidRPr="00092862">
        <w:rPr>
          <w:rFonts w:ascii="Times New Roman" w:eastAsia="宋体" w:hAnsi="Times New Roman" w:cs="Times New Roman"/>
          <w:color w:val="000000" w:themeColor="text1"/>
          <w:sz w:val="24"/>
          <w:szCs w:val="24"/>
        </w:rPr>
        <w:t>6</w:t>
      </w:r>
      <w:r w:rsidR="003D77EF" w:rsidRPr="00092862">
        <w:rPr>
          <w:rFonts w:ascii="Times New Roman" w:eastAsia="宋体" w:hAnsi="Times New Roman" w:cs="Times New Roman"/>
          <w:color w:val="000000" w:themeColor="text1"/>
          <w:sz w:val="24"/>
          <w:szCs w:val="24"/>
        </w:rPr>
        <w:t>，土壤环境影响评价工作等级划分见表</w:t>
      </w:r>
      <w:r w:rsidR="003D77EF" w:rsidRPr="00092862">
        <w:rPr>
          <w:rFonts w:ascii="Times New Roman" w:eastAsia="宋体" w:hAnsi="Times New Roman" w:cs="Times New Roman"/>
          <w:color w:val="000000" w:themeColor="text1"/>
          <w:sz w:val="24"/>
          <w:szCs w:val="24"/>
        </w:rPr>
        <w:t>2.6-</w:t>
      </w:r>
      <w:r w:rsidR="0010287F" w:rsidRPr="00092862">
        <w:rPr>
          <w:rFonts w:ascii="Times New Roman" w:eastAsia="宋体" w:hAnsi="Times New Roman" w:cs="Times New Roman"/>
          <w:color w:val="000000" w:themeColor="text1"/>
          <w:sz w:val="24"/>
          <w:szCs w:val="24"/>
        </w:rPr>
        <w:t>7</w:t>
      </w:r>
      <w:r w:rsidR="003D77EF" w:rsidRPr="00092862">
        <w:rPr>
          <w:rFonts w:ascii="Times New Roman" w:eastAsia="宋体" w:hAnsi="Times New Roman" w:cs="Times New Roman"/>
          <w:color w:val="000000" w:themeColor="text1"/>
          <w:sz w:val="24"/>
          <w:szCs w:val="24"/>
        </w:rPr>
        <w:t>。</w:t>
      </w:r>
    </w:p>
    <w:p w14:paraId="09E38092" w14:textId="47BDE193" w:rsidR="003D77EF" w:rsidRPr="00092862" w:rsidRDefault="003D77EF" w:rsidP="002C40A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表</w:t>
      </w:r>
      <w:r w:rsidRPr="00092862">
        <w:rPr>
          <w:rFonts w:ascii="Times New Roman" w:hAnsi="Times New Roman"/>
          <w:color w:val="000000" w:themeColor="text1"/>
          <w:sz w:val="21"/>
          <w:szCs w:val="21"/>
          <w:lang w:eastAsia="zh-CN"/>
        </w:rPr>
        <w:t>2.6-</w:t>
      </w:r>
      <w:r w:rsidR="0010287F" w:rsidRPr="00092862">
        <w:rPr>
          <w:rFonts w:ascii="Times New Roman" w:hAnsi="Times New Roman"/>
          <w:color w:val="000000" w:themeColor="text1"/>
          <w:sz w:val="21"/>
          <w:szCs w:val="21"/>
          <w:lang w:eastAsia="zh-CN"/>
        </w:rPr>
        <w:t>6</w:t>
      </w:r>
      <w:r w:rsidRPr="00092862">
        <w:rPr>
          <w:rFonts w:ascii="Times New Roman" w:hAnsi="Times New Roman"/>
          <w:color w:val="000000" w:themeColor="text1"/>
          <w:sz w:val="21"/>
          <w:szCs w:val="21"/>
          <w:lang w:eastAsia="zh-CN"/>
        </w:rPr>
        <w:t xml:space="preserve">  </w:t>
      </w:r>
      <w:r w:rsidRPr="00092862">
        <w:rPr>
          <w:rFonts w:ascii="Times New Roman" w:hAnsi="Times New Roman"/>
          <w:color w:val="000000" w:themeColor="text1"/>
          <w:sz w:val="21"/>
          <w:szCs w:val="21"/>
          <w:lang w:eastAsia="zh-CN"/>
        </w:rPr>
        <w:t>污染影响型项目敏感程度分级表表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9"/>
        <w:gridCol w:w="6423"/>
      </w:tblGrid>
      <w:tr w:rsidR="00697429" w:rsidRPr="00092862" w14:paraId="3EC5CA02" w14:textId="77777777" w:rsidTr="003D77EF">
        <w:trPr>
          <w:jc w:val="center"/>
        </w:trPr>
        <w:tc>
          <w:tcPr>
            <w:tcW w:w="1799" w:type="dxa"/>
            <w:vAlign w:val="center"/>
          </w:tcPr>
          <w:p w14:paraId="77C809F2"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敏感程度</w:t>
            </w:r>
          </w:p>
        </w:tc>
        <w:tc>
          <w:tcPr>
            <w:tcW w:w="6423" w:type="dxa"/>
            <w:vAlign w:val="center"/>
          </w:tcPr>
          <w:p w14:paraId="50328FDC"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判别依据</w:t>
            </w:r>
          </w:p>
        </w:tc>
      </w:tr>
      <w:tr w:rsidR="00697429" w:rsidRPr="00092862" w14:paraId="4959599A" w14:textId="77777777" w:rsidTr="003D77EF">
        <w:trPr>
          <w:jc w:val="center"/>
        </w:trPr>
        <w:tc>
          <w:tcPr>
            <w:tcW w:w="1799" w:type="dxa"/>
            <w:vAlign w:val="center"/>
          </w:tcPr>
          <w:p w14:paraId="44E37575"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敏感</w:t>
            </w:r>
          </w:p>
        </w:tc>
        <w:tc>
          <w:tcPr>
            <w:tcW w:w="6423" w:type="dxa"/>
            <w:vAlign w:val="center"/>
          </w:tcPr>
          <w:p w14:paraId="651DF553" w14:textId="77777777" w:rsidR="003D77EF" w:rsidRPr="00092862" w:rsidRDefault="003D77EF" w:rsidP="003D77EF">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建设项目周边存在耕地、园地、牧草地、饮用水水源地或居民区、学校、医院、疗养院、养老院等土壤环境敏感目标的</w:t>
            </w:r>
          </w:p>
        </w:tc>
      </w:tr>
      <w:tr w:rsidR="00697429" w:rsidRPr="00092862" w14:paraId="41FD3A1A" w14:textId="77777777" w:rsidTr="003D77EF">
        <w:trPr>
          <w:jc w:val="center"/>
        </w:trPr>
        <w:tc>
          <w:tcPr>
            <w:tcW w:w="1799" w:type="dxa"/>
            <w:vAlign w:val="center"/>
          </w:tcPr>
          <w:p w14:paraId="03CF4ABB"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较敏感</w:t>
            </w:r>
          </w:p>
        </w:tc>
        <w:tc>
          <w:tcPr>
            <w:tcW w:w="6423" w:type="dxa"/>
            <w:vAlign w:val="center"/>
          </w:tcPr>
          <w:p w14:paraId="42729CFC"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建设项目周边存在其他土壤环境敏感目标的</w:t>
            </w:r>
          </w:p>
        </w:tc>
      </w:tr>
      <w:tr w:rsidR="00697429" w:rsidRPr="00092862" w14:paraId="013E192C" w14:textId="77777777" w:rsidTr="003D77EF">
        <w:trPr>
          <w:jc w:val="center"/>
        </w:trPr>
        <w:tc>
          <w:tcPr>
            <w:tcW w:w="1799" w:type="dxa"/>
            <w:vAlign w:val="center"/>
          </w:tcPr>
          <w:p w14:paraId="2AAAC705"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不敏感</w:t>
            </w:r>
          </w:p>
        </w:tc>
        <w:tc>
          <w:tcPr>
            <w:tcW w:w="6423" w:type="dxa"/>
            <w:vAlign w:val="center"/>
          </w:tcPr>
          <w:p w14:paraId="74A1E0E8" w14:textId="77777777" w:rsidR="003D77EF" w:rsidRPr="00092862" w:rsidRDefault="003D77EF"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其他情况</w:t>
            </w:r>
          </w:p>
        </w:tc>
      </w:tr>
    </w:tbl>
    <w:p w14:paraId="46586E3F" w14:textId="05F306DB" w:rsidR="003D77EF" w:rsidRPr="00092862" w:rsidRDefault="003D77EF" w:rsidP="002C40A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lastRenderedPageBreak/>
        <w:t>表</w:t>
      </w:r>
      <w:r w:rsidRPr="00092862">
        <w:rPr>
          <w:rFonts w:ascii="Times New Roman" w:hAnsi="Times New Roman"/>
          <w:color w:val="000000" w:themeColor="text1"/>
          <w:sz w:val="21"/>
          <w:szCs w:val="21"/>
          <w:lang w:eastAsia="zh-CN"/>
        </w:rPr>
        <w:t>2.6-</w:t>
      </w:r>
      <w:r w:rsidR="0010287F" w:rsidRPr="00092862">
        <w:rPr>
          <w:rFonts w:ascii="Times New Roman" w:hAnsi="Times New Roman"/>
          <w:color w:val="000000" w:themeColor="text1"/>
          <w:sz w:val="21"/>
          <w:szCs w:val="21"/>
          <w:lang w:eastAsia="zh-CN"/>
        </w:rPr>
        <w:t>7</w:t>
      </w:r>
      <w:r w:rsidRPr="00092862">
        <w:rPr>
          <w:rFonts w:ascii="Times New Roman" w:hAnsi="Times New Roman"/>
          <w:color w:val="000000" w:themeColor="text1"/>
          <w:sz w:val="21"/>
          <w:szCs w:val="21"/>
          <w:lang w:eastAsia="zh-CN"/>
        </w:rPr>
        <w:t xml:space="preserve">  </w:t>
      </w:r>
      <w:r w:rsidRPr="00092862">
        <w:rPr>
          <w:rFonts w:ascii="Times New Roman" w:hAnsi="Times New Roman"/>
          <w:color w:val="000000" w:themeColor="text1"/>
          <w:sz w:val="21"/>
          <w:szCs w:val="21"/>
          <w:lang w:eastAsia="zh-CN"/>
        </w:rPr>
        <w:t>污染影响型评价工作等级划分表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5"/>
        <w:gridCol w:w="730"/>
        <w:gridCol w:w="730"/>
        <w:gridCol w:w="731"/>
        <w:gridCol w:w="731"/>
        <w:gridCol w:w="731"/>
        <w:gridCol w:w="731"/>
        <w:gridCol w:w="731"/>
        <w:gridCol w:w="731"/>
        <w:gridCol w:w="731"/>
      </w:tblGrid>
      <w:tr w:rsidR="00697429" w:rsidRPr="00092862" w14:paraId="6B2D27A5" w14:textId="77777777" w:rsidTr="00EC619E">
        <w:trPr>
          <w:jc w:val="center"/>
        </w:trPr>
        <w:tc>
          <w:tcPr>
            <w:tcW w:w="1645" w:type="dxa"/>
            <w:vMerge w:val="restart"/>
            <w:tcBorders>
              <w:tl2br w:val="single" w:sz="4" w:space="0" w:color="auto"/>
            </w:tcBorders>
            <w:vAlign w:val="center"/>
          </w:tcPr>
          <w:p w14:paraId="498A48BE" w14:textId="77777777" w:rsidR="0098593D" w:rsidRPr="00092862" w:rsidRDefault="0098593D" w:rsidP="0098593D">
            <w:pPr>
              <w:pStyle w:val="TableParagraph"/>
              <w:adjustRightInd w:val="0"/>
              <w:snapToGrid w:val="0"/>
              <w:jc w:val="right"/>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占地规模</w:t>
            </w:r>
          </w:p>
          <w:p w14:paraId="59158EDE" w14:textId="77777777" w:rsidR="0098593D" w:rsidRPr="00092862" w:rsidRDefault="0098593D" w:rsidP="0098593D">
            <w:pPr>
              <w:pStyle w:val="TableParagraph"/>
              <w:adjustRightInd w:val="0"/>
              <w:snapToGrid w:val="0"/>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敏感程度</w:t>
            </w:r>
            <w:r w:rsidRPr="00092862">
              <w:rPr>
                <w:rFonts w:ascii="Times New Roman" w:hAnsi="Times New Roman"/>
                <w:color w:val="000000" w:themeColor="text1"/>
                <w:sz w:val="21"/>
                <w:szCs w:val="21"/>
                <w:lang w:eastAsia="zh-CN"/>
              </w:rPr>
              <w:t xml:space="preserve"> </w:t>
            </w:r>
          </w:p>
        </w:tc>
        <w:tc>
          <w:tcPr>
            <w:tcW w:w="2191" w:type="dxa"/>
            <w:gridSpan w:val="3"/>
            <w:vAlign w:val="center"/>
          </w:tcPr>
          <w:p w14:paraId="2B16BF6E" w14:textId="77777777" w:rsidR="0098593D" w:rsidRPr="00092862" w:rsidRDefault="0098593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I</w:t>
            </w:r>
            <w:r w:rsidRPr="00092862">
              <w:rPr>
                <w:rFonts w:ascii="Times New Roman" w:hAnsi="Times New Roman"/>
                <w:color w:val="000000" w:themeColor="text1"/>
                <w:sz w:val="21"/>
                <w:szCs w:val="21"/>
                <w:lang w:eastAsia="zh-CN"/>
              </w:rPr>
              <w:t>类</w:t>
            </w:r>
          </w:p>
        </w:tc>
        <w:tc>
          <w:tcPr>
            <w:tcW w:w="2193" w:type="dxa"/>
            <w:gridSpan w:val="3"/>
          </w:tcPr>
          <w:p w14:paraId="22BA9E34" w14:textId="77777777" w:rsidR="0098593D" w:rsidRPr="00092862" w:rsidRDefault="0098593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shd w:val="pct15" w:color="auto" w:fill="FFFFFF"/>
                <w:lang w:eastAsia="zh-CN"/>
              </w:rPr>
              <w:t>II</w:t>
            </w:r>
            <w:r w:rsidRPr="00092862">
              <w:rPr>
                <w:rFonts w:ascii="Times New Roman" w:hAnsi="Times New Roman"/>
                <w:color w:val="000000" w:themeColor="text1"/>
                <w:sz w:val="21"/>
                <w:szCs w:val="21"/>
                <w:shd w:val="pct15" w:color="auto" w:fill="FFFFFF"/>
                <w:lang w:eastAsia="zh-CN"/>
              </w:rPr>
              <w:t>类</w:t>
            </w:r>
          </w:p>
        </w:tc>
        <w:tc>
          <w:tcPr>
            <w:tcW w:w="2193" w:type="dxa"/>
            <w:gridSpan w:val="3"/>
          </w:tcPr>
          <w:p w14:paraId="6C53F00E" w14:textId="77777777" w:rsidR="0098593D" w:rsidRPr="00092862" w:rsidRDefault="0098593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III</w:t>
            </w:r>
            <w:r w:rsidRPr="00092862">
              <w:rPr>
                <w:rFonts w:ascii="Times New Roman" w:hAnsi="Times New Roman"/>
                <w:color w:val="000000" w:themeColor="text1"/>
                <w:sz w:val="21"/>
                <w:szCs w:val="21"/>
                <w:lang w:eastAsia="zh-CN"/>
              </w:rPr>
              <w:t>类</w:t>
            </w:r>
          </w:p>
        </w:tc>
      </w:tr>
      <w:tr w:rsidR="00697429" w:rsidRPr="00092862" w14:paraId="07FCE815" w14:textId="77777777" w:rsidTr="00EC619E">
        <w:trPr>
          <w:jc w:val="center"/>
        </w:trPr>
        <w:tc>
          <w:tcPr>
            <w:tcW w:w="1645" w:type="dxa"/>
            <w:vMerge/>
            <w:tcBorders>
              <w:tl2br w:val="single" w:sz="4" w:space="0" w:color="auto"/>
            </w:tcBorders>
            <w:vAlign w:val="center"/>
          </w:tcPr>
          <w:p w14:paraId="3E56C7C6"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p>
        </w:tc>
        <w:tc>
          <w:tcPr>
            <w:tcW w:w="730" w:type="dxa"/>
            <w:vAlign w:val="center"/>
          </w:tcPr>
          <w:p w14:paraId="223AC0E3"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大</w:t>
            </w:r>
          </w:p>
        </w:tc>
        <w:tc>
          <w:tcPr>
            <w:tcW w:w="730" w:type="dxa"/>
          </w:tcPr>
          <w:p w14:paraId="430682A8"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中</w:t>
            </w:r>
          </w:p>
        </w:tc>
        <w:tc>
          <w:tcPr>
            <w:tcW w:w="731" w:type="dxa"/>
          </w:tcPr>
          <w:p w14:paraId="6BCF37BA"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小</w:t>
            </w:r>
          </w:p>
        </w:tc>
        <w:tc>
          <w:tcPr>
            <w:tcW w:w="731" w:type="dxa"/>
            <w:vAlign w:val="center"/>
          </w:tcPr>
          <w:p w14:paraId="0799CC77"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大</w:t>
            </w:r>
          </w:p>
        </w:tc>
        <w:tc>
          <w:tcPr>
            <w:tcW w:w="731" w:type="dxa"/>
          </w:tcPr>
          <w:p w14:paraId="3245A84E"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中</w:t>
            </w:r>
          </w:p>
        </w:tc>
        <w:tc>
          <w:tcPr>
            <w:tcW w:w="731" w:type="dxa"/>
          </w:tcPr>
          <w:p w14:paraId="35567F38"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shd w:val="pct15" w:color="auto" w:fill="FFFFFF"/>
                <w:lang w:eastAsia="zh-CN"/>
              </w:rPr>
              <w:t>小</w:t>
            </w:r>
          </w:p>
        </w:tc>
        <w:tc>
          <w:tcPr>
            <w:tcW w:w="731" w:type="dxa"/>
            <w:vAlign w:val="center"/>
          </w:tcPr>
          <w:p w14:paraId="525B5ABD"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大</w:t>
            </w:r>
          </w:p>
        </w:tc>
        <w:tc>
          <w:tcPr>
            <w:tcW w:w="731" w:type="dxa"/>
          </w:tcPr>
          <w:p w14:paraId="15B4E4DF"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中</w:t>
            </w:r>
          </w:p>
        </w:tc>
        <w:tc>
          <w:tcPr>
            <w:tcW w:w="731" w:type="dxa"/>
          </w:tcPr>
          <w:p w14:paraId="57BCFB2E" w14:textId="77777777" w:rsidR="0098593D" w:rsidRPr="00092862" w:rsidRDefault="0098593D" w:rsidP="0098593D">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小</w:t>
            </w:r>
          </w:p>
        </w:tc>
      </w:tr>
      <w:tr w:rsidR="00697429" w:rsidRPr="00092862" w14:paraId="001FD7DF" w14:textId="77777777" w:rsidTr="0098593D">
        <w:trPr>
          <w:jc w:val="center"/>
        </w:trPr>
        <w:tc>
          <w:tcPr>
            <w:tcW w:w="1645" w:type="dxa"/>
            <w:vAlign w:val="center"/>
          </w:tcPr>
          <w:p w14:paraId="0C603557" w14:textId="77777777" w:rsidR="003D77EF" w:rsidRPr="00092862" w:rsidRDefault="0098593D"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shd w:val="pct15" w:color="auto" w:fill="FFFFFF"/>
                <w:lang w:eastAsia="zh-CN"/>
              </w:rPr>
              <w:t>敏感</w:t>
            </w:r>
          </w:p>
        </w:tc>
        <w:tc>
          <w:tcPr>
            <w:tcW w:w="730" w:type="dxa"/>
            <w:vAlign w:val="center"/>
          </w:tcPr>
          <w:p w14:paraId="61EAF790"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0" w:type="dxa"/>
          </w:tcPr>
          <w:p w14:paraId="0E28288E"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1" w:type="dxa"/>
          </w:tcPr>
          <w:p w14:paraId="35A88FE0"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1" w:type="dxa"/>
          </w:tcPr>
          <w:p w14:paraId="1EA4585F"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21DEFFBE"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0305DD97"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shd w:val="pct15" w:color="auto" w:fill="FFFFFF"/>
                <w:lang w:eastAsia="zh-CN"/>
              </w:rPr>
              <w:t>二级</w:t>
            </w:r>
          </w:p>
        </w:tc>
        <w:tc>
          <w:tcPr>
            <w:tcW w:w="731" w:type="dxa"/>
          </w:tcPr>
          <w:p w14:paraId="13129ADD"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4BCBBBD2"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61F14639" w14:textId="77777777" w:rsidR="003D77EF" w:rsidRPr="00092862" w:rsidRDefault="00B811F4" w:rsidP="00EC619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r>
      <w:tr w:rsidR="00697429" w:rsidRPr="00092862" w14:paraId="18038C4C" w14:textId="77777777" w:rsidTr="0098593D">
        <w:trPr>
          <w:jc w:val="center"/>
        </w:trPr>
        <w:tc>
          <w:tcPr>
            <w:tcW w:w="1645" w:type="dxa"/>
            <w:vAlign w:val="center"/>
          </w:tcPr>
          <w:p w14:paraId="60A92D59"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较敏感</w:t>
            </w:r>
          </w:p>
        </w:tc>
        <w:tc>
          <w:tcPr>
            <w:tcW w:w="730" w:type="dxa"/>
            <w:vAlign w:val="center"/>
          </w:tcPr>
          <w:p w14:paraId="553D9709"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0" w:type="dxa"/>
          </w:tcPr>
          <w:p w14:paraId="36D8051E"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1" w:type="dxa"/>
          </w:tcPr>
          <w:p w14:paraId="1849295E"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49C4A9FA"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18B9C9D1"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2A802348"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10D63828"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05351673"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60AAEAEE"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r>
      <w:tr w:rsidR="00697429" w:rsidRPr="00092862" w14:paraId="17578CDD" w14:textId="77777777" w:rsidTr="0098593D">
        <w:trPr>
          <w:jc w:val="center"/>
        </w:trPr>
        <w:tc>
          <w:tcPr>
            <w:tcW w:w="1645" w:type="dxa"/>
            <w:vAlign w:val="center"/>
          </w:tcPr>
          <w:p w14:paraId="5B29FF4C"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不敏感</w:t>
            </w:r>
          </w:p>
        </w:tc>
        <w:tc>
          <w:tcPr>
            <w:tcW w:w="730" w:type="dxa"/>
            <w:vAlign w:val="center"/>
          </w:tcPr>
          <w:p w14:paraId="7533EF95"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0" w:type="dxa"/>
          </w:tcPr>
          <w:p w14:paraId="647B1353"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一级</w:t>
            </w:r>
          </w:p>
        </w:tc>
        <w:tc>
          <w:tcPr>
            <w:tcW w:w="731" w:type="dxa"/>
          </w:tcPr>
          <w:p w14:paraId="60A13C14"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248ABECF"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二级</w:t>
            </w:r>
          </w:p>
        </w:tc>
        <w:tc>
          <w:tcPr>
            <w:tcW w:w="731" w:type="dxa"/>
          </w:tcPr>
          <w:p w14:paraId="79C6C21E"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5911FE92"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226002AE"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三级</w:t>
            </w:r>
          </w:p>
        </w:tc>
        <w:tc>
          <w:tcPr>
            <w:tcW w:w="731" w:type="dxa"/>
          </w:tcPr>
          <w:p w14:paraId="5853864E"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31" w:type="dxa"/>
          </w:tcPr>
          <w:p w14:paraId="175447EA"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r>
      <w:tr w:rsidR="00697429" w:rsidRPr="00092862" w14:paraId="34664710" w14:textId="77777777" w:rsidTr="00EC619E">
        <w:trPr>
          <w:jc w:val="center"/>
        </w:trPr>
        <w:tc>
          <w:tcPr>
            <w:tcW w:w="8222" w:type="dxa"/>
            <w:gridSpan w:val="10"/>
            <w:vAlign w:val="center"/>
          </w:tcPr>
          <w:p w14:paraId="14C3BE40" w14:textId="77777777" w:rsidR="00B811F4" w:rsidRPr="00092862" w:rsidRDefault="00B811F4" w:rsidP="00B811F4">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注</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表示可不开展土壤环境影响评价工作。</w:t>
            </w:r>
          </w:p>
        </w:tc>
      </w:tr>
    </w:tbl>
    <w:p w14:paraId="52C0F1ED" w14:textId="24243BA7" w:rsidR="001E2759" w:rsidRPr="00092862" w:rsidRDefault="003B1968" w:rsidP="000D664A">
      <w:pPr>
        <w:tabs>
          <w:tab w:val="left" w:pos="0"/>
        </w:tabs>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根据现场调查和收集资料，项目及周边存在耕地等土壤环境敏感目标，土壤环境敏感；</w:t>
      </w:r>
      <w:r w:rsidR="00371318" w:rsidRPr="00092862">
        <w:rPr>
          <w:rFonts w:ascii="Times New Roman" w:eastAsia="宋体" w:hAnsi="Times New Roman" w:cs="Times New Roman"/>
          <w:color w:val="000000" w:themeColor="text1"/>
          <w:sz w:val="24"/>
          <w:szCs w:val="24"/>
        </w:rPr>
        <w:t>建设项目占地主要为永久占地。</w:t>
      </w:r>
      <w:r w:rsidR="00371318" w:rsidRPr="00092862">
        <w:rPr>
          <w:rFonts w:ascii="Times New Roman" w:eastAsia="宋体" w:hAnsi="Times New Roman" w:cs="Times New Roman"/>
          <w:color w:val="000000" w:themeColor="text1"/>
          <w:sz w:val="24"/>
          <w:szCs w:val="24"/>
        </w:rPr>
        <w:t>”</w:t>
      </w:r>
      <w:r w:rsidR="00371318" w:rsidRPr="00092862">
        <w:rPr>
          <w:rFonts w:ascii="Times New Roman" w:eastAsia="宋体" w:hAnsi="Times New Roman" w:cs="Times New Roman"/>
          <w:color w:val="000000" w:themeColor="text1"/>
          <w:sz w:val="24"/>
          <w:szCs w:val="24"/>
        </w:rPr>
        <w:t>本项目站场新增永久占地小于</w:t>
      </w:r>
      <w:r w:rsidR="00371318" w:rsidRPr="00092862">
        <w:rPr>
          <w:rFonts w:ascii="Times New Roman" w:eastAsia="宋体" w:hAnsi="Times New Roman" w:cs="Times New Roman"/>
          <w:color w:val="000000" w:themeColor="text1"/>
          <w:sz w:val="24"/>
          <w:szCs w:val="24"/>
        </w:rPr>
        <w:t>5hm</w:t>
      </w:r>
      <w:r w:rsidR="00371318" w:rsidRPr="00092862">
        <w:rPr>
          <w:rFonts w:ascii="Times New Roman" w:eastAsia="宋体" w:hAnsi="Times New Roman" w:cs="Times New Roman"/>
          <w:color w:val="000000" w:themeColor="text1"/>
          <w:sz w:val="24"/>
          <w:szCs w:val="24"/>
          <w:vertAlign w:val="superscript"/>
        </w:rPr>
        <w:t>2</w:t>
      </w:r>
      <w:r w:rsidR="00363A96" w:rsidRPr="00092862">
        <w:rPr>
          <w:rFonts w:ascii="Times New Roman" w:eastAsia="宋体" w:hAnsi="Times New Roman" w:cs="Times New Roman"/>
          <w:color w:val="000000" w:themeColor="text1"/>
          <w:sz w:val="24"/>
          <w:szCs w:val="24"/>
        </w:rPr>
        <w:t>（本项目不新增永久占地）</w:t>
      </w:r>
      <w:r w:rsidR="00371318" w:rsidRPr="00092862">
        <w:rPr>
          <w:rFonts w:ascii="Times New Roman" w:eastAsia="宋体" w:hAnsi="Times New Roman" w:cs="Times New Roman"/>
          <w:color w:val="000000" w:themeColor="text1"/>
          <w:sz w:val="24"/>
          <w:szCs w:val="24"/>
        </w:rPr>
        <w:t>，因此占地规模为小型。</w:t>
      </w:r>
      <w:r w:rsidRPr="00092862">
        <w:rPr>
          <w:rFonts w:ascii="Times New Roman" w:eastAsia="宋体" w:hAnsi="Times New Roman" w:cs="Times New Roman"/>
          <w:color w:val="000000" w:themeColor="text1"/>
          <w:sz w:val="24"/>
          <w:szCs w:val="24"/>
        </w:rPr>
        <w:t>因此，根据污染影响型评价工作等级划分表，本项目土壤环境影响评价等级为二级</w:t>
      </w:r>
      <w:r w:rsidR="001E2759" w:rsidRPr="00092862">
        <w:rPr>
          <w:rFonts w:ascii="Times New Roman" w:eastAsia="宋体" w:hAnsi="Times New Roman" w:cs="Times New Roman"/>
          <w:color w:val="000000" w:themeColor="text1"/>
          <w:sz w:val="24"/>
          <w:szCs w:val="24"/>
        </w:rPr>
        <w:t>。</w:t>
      </w:r>
    </w:p>
    <w:p w14:paraId="4F0DE504" w14:textId="77777777" w:rsidR="001E2759" w:rsidRPr="00092862" w:rsidRDefault="001E2759" w:rsidP="000D664A">
      <w:pPr>
        <w:tabs>
          <w:tab w:val="left" w:pos="0"/>
        </w:tabs>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003B1968" w:rsidRPr="00092862">
        <w:rPr>
          <w:rFonts w:ascii="Times New Roman" w:eastAsia="宋体" w:hAnsi="Times New Roman" w:cs="Times New Roman"/>
          <w:color w:val="000000" w:themeColor="text1"/>
          <w:sz w:val="24"/>
          <w:szCs w:val="24"/>
        </w:rPr>
        <w:t>评价范围</w:t>
      </w:r>
    </w:p>
    <w:p w14:paraId="6317B513" w14:textId="3EDC33BC" w:rsidR="00DC446C" w:rsidRPr="00092862" w:rsidRDefault="001E2759" w:rsidP="000D664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根据《环境影响评价技术导则</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土壤环境（试行）》（</w:t>
      </w:r>
      <w:r w:rsidRPr="00092862">
        <w:rPr>
          <w:rFonts w:ascii="Times New Roman" w:eastAsia="宋体" w:hAnsi="Times New Roman" w:cs="Times New Roman"/>
          <w:color w:val="000000" w:themeColor="text1"/>
          <w:sz w:val="24"/>
          <w:szCs w:val="24"/>
        </w:rPr>
        <w:t>HJ964-2018</w:t>
      </w:r>
      <w:r w:rsidRPr="00092862">
        <w:rPr>
          <w:rFonts w:ascii="Times New Roman" w:eastAsia="宋体" w:hAnsi="Times New Roman" w:cs="Times New Roman"/>
          <w:color w:val="000000" w:themeColor="text1"/>
          <w:sz w:val="24"/>
          <w:szCs w:val="24"/>
        </w:rPr>
        <w:t>），本项目土壤环境评价范围</w:t>
      </w:r>
      <w:r w:rsidR="003B1968" w:rsidRPr="00092862">
        <w:rPr>
          <w:rFonts w:ascii="Times New Roman" w:eastAsia="宋体" w:hAnsi="Times New Roman" w:cs="Times New Roman"/>
          <w:color w:val="000000" w:themeColor="text1"/>
          <w:sz w:val="24"/>
          <w:szCs w:val="24"/>
        </w:rPr>
        <w:t>为项目占地范围内全部和占地范围外</w:t>
      </w:r>
      <w:r w:rsidR="003B1968" w:rsidRPr="00092862">
        <w:rPr>
          <w:rFonts w:ascii="Times New Roman" w:eastAsia="宋体" w:hAnsi="Times New Roman" w:cs="Times New Roman"/>
          <w:color w:val="000000" w:themeColor="text1"/>
          <w:sz w:val="24"/>
          <w:szCs w:val="24"/>
        </w:rPr>
        <w:t>0.2km</w:t>
      </w:r>
      <w:r w:rsidR="003B1968" w:rsidRPr="00092862">
        <w:rPr>
          <w:rFonts w:ascii="Times New Roman" w:eastAsia="宋体" w:hAnsi="Times New Roman" w:cs="Times New Roman"/>
          <w:bCs/>
          <w:color w:val="000000" w:themeColor="text1"/>
          <w:sz w:val="24"/>
          <w:szCs w:val="24"/>
        </w:rPr>
        <w:t>。</w:t>
      </w:r>
    </w:p>
    <w:p w14:paraId="131C1C6A" w14:textId="5B56BAD5" w:rsidR="004B0BF1" w:rsidRPr="00092862" w:rsidRDefault="005E6219" w:rsidP="004B0BF1">
      <w:pPr>
        <w:tabs>
          <w:tab w:val="left" w:pos="0"/>
        </w:tabs>
        <w:spacing w:line="360" w:lineRule="auto"/>
        <w:rPr>
          <w:rFonts w:ascii="Times New Roman" w:hAnsi="Times New Roman" w:cs="Times New Roman"/>
          <w:color w:val="000000" w:themeColor="text1"/>
          <w:sz w:val="24"/>
          <w:szCs w:val="24"/>
        </w:rPr>
      </w:pPr>
      <w:r w:rsidRPr="00092862">
        <w:rPr>
          <w:rFonts w:ascii="Times New Roman" w:hAnsi="Times New Roman" w:cs="Times New Roman"/>
          <w:noProof/>
          <w:color w:val="000000" w:themeColor="text1"/>
        </w:rPr>
        <mc:AlternateContent>
          <mc:Choice Requires="wps">
            <w:drawing>
              <wp:anchor distT="0" distB="0" distL="114300" distR="114300" simplePos="0" relativeHeight="252014592" behindDoc="0" locked="0" layoutInCell="1" allowOverlap="1" wp14:anchorId="4310C018" wp14:editId="657C502A">
                <wp:simplePos x="0" y="0"/>
                <wp:positionH relativeFrom="margin">
                  <wp:posOffset>3501976</wp:posOffset>
                </wp:positionH>
                <wp:positionV relativeFrom="paragraph">
                  <wp:posOffset>760388</wp:posOffset>
                </wp:positionV>
                <wp:extent cx="912495" cy="381000"/>
                <wp:effectExtent l="1352550" t="0" r="20955" b="1162050"/>
                <wp:wrapNone/>
                <wp:docPr id="156" name="对话气泡: 圆角矩形 156"/>
                <wp:cNvGraphicFramePr/>
                <a:graphic xmlns:a="http://schemas.openxmlformats.org/drawingml/2006/main">
                  <a:graphicData uri="http://schemas.microsoft.com/office/word/2010/wordprocessingShape">
                    <wps:wsp>
                      <wps:cNvSpPr/>
                      <wps:spPr>
                        <a:xfrm>
                          <a:off x="0" y="0"/>
                          <a:ext cx="912495" cy="381000"/>
                        </a:xfrm>
                        <a:prstGeom prst="wedgeRoundRectCallout">
                          <a:avLst>
                            <a:gd name="adj1" fmla="val -192229"/>
                            <a:gd name="adj2" fmla="val 3374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5D66D8" w14:textId="255557F8" w:rsidR="00E915A3" w:rsidRPr="009F587F" w:rsidRDefault="00E915A3" w:rsidP="00E915A3">
                            <w:pPr>
                              <w:jc w:val="center"/>
                              <w:rPr>
                                <w:b/>
                                <w:bCs/>
                                <w:szCs w:val="21"/>
                              </w:rPr>
                            </w:pPr>
                            <w:r>
                              <w:rPr>
                                <w:rFonts w:hint="eastAsia"/>
                                <w:b/>
                                <w:bCs/>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10C018" id="对话气泡: 圆角矩形 156" o:spid="_x0000_s1043" type="#_x0000_t62" style="position:absolute;left:0;text-align:left;margin-left:275.75pt;margin-top:59.85pt;width:71.85pt;height:30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" adj="-30721,83680" fillcolor="#4472c4 [3204]" strokecolor="#1f3763 [1604]" strokeweight="1pt">
                <v:textbox>
                  <w:txbxContent>
                    <w:p w14:paraId="515D66D8" w14:textId="255557F8" w:rsidR="00E915A3" w:rsidRPr="009F587F" w:rsidRDefault="00E915A3" w:rsidP="00E915A3">
                      <w:pPr>
                        <w:jc w:val="center"/>
                        <w:rPr>
                          <w:b/>
                          <w:bCs/>
                          <w:szCs w:val="21"/>
                        </w:rPr>
                      </w:pPr>
                      <w:r>
                        <w:rPr>
                          <w:rFonts w:hint="eastAsia"/>
                          <w:b/>
                          <w:bCs/>
                          <w:szCs w:val="21"/>
                        </w:rPr>
                        <w:t>项目所在地</w:t>
                      </w:r>
                    </w:p>
                  </w:txbxContent>
                </v:textbox>
                <w10:wrap anchorx="margin"/>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012544" behindDoc="0" locked="0" layoutInCell="1" allowOverlap="1" wp14:anchorId="139AA0AE" wp14:editId="59C49BDA">
                <wp:simplePos x="0" y="0"/>
                <wp:positionH relativeFrom="margin">
                  <wp:posOffset>-142357</wp:posOffset>
                </wp:positionH>
                <wp:positionV relativeFrom="paragraph">
                  <wp:posOffset>246854</wp:posOffset>
                </wp:positionV>
                <wp:extent cx="1391920" cy="381000"/>
                <wp:effectExtent l="0" t="0" r="132080" b="514350"/>
                <wp:wrapNone/>
                <wp:docPr id="155" name="对话气泡: 圆角矩形 155"/>
                <wp:cNvGraphicFramePr/>
                <a:graphic xmlns:a="http://schemas.openxmlformats.org/drawingml/2006/main">
                  <a:graphicData uri="http://schemas.microsoft.com/office/word/2010/wordprocessingShape">
                    <wps:wsp>
                      <wps:cNvSpPr/>
                      <wps:spPr>
                        <a:xfrm>
                          <a:off x="0" y="0"/>
                          <a:ext cx="1391920" cy="381000"/>
                        </a:xfrm>
                        <a:prstGeom prst="wedgeRoundRectCallout">
                          <a:avLst>
                            <a:gd name="adj1" fmla="val 55360"/>
                            <a:gd name="adj2" fmla="val 17013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CA1AFA9" w14:textId="07556358" w:rsidR="0045023A" w:rsidRPr="009F587F" w:rsidRDefault="0045023A" w:rsidP="0045023A">
                            <w:pPr>
                              <w:jc w:val="center"/>
                              <w:rPr>
                                <w:b/>
                                <w:bCs/>
                                <w:szCs w:val="21"/>
                              </w:rPr>
                            </w:pPr>
                            <w:r>
                              <w:rPr>
                                <w:rFonts w:hint="eastAsia"/>
                                <w:b/>
                                <w:bCs/>
                                <w:szCs w:val="21"/>
                              </w:rPr>
                              <w:t>土壤环境</w:t>
                            </w:r>
                            <w:r w:rsidRPr="009F587F">
                              <w:rPr>
                                <w:rFonts w:hint="eastAsia"/>
                                <w:b/>
                                <w:bCs/>
                                <w:szCs w:val="21"/>
                              </w:rPr>
                              <w:t>评价范围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9AA0AE" id="对话气泡: 圆角矩形 155" o:spid="_x0000_s1044" type="#_x0000_t62" style="position:absolute;left:0;text-align:left;margin-left:-11.2pt;margin-top:19.45pt;width:109.6pt;height:30pt;z-index:25201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" adj="22758,47549" fillcolor="#4472c4 [3204]" strokecolor="#1f3763 [1604]" strokeweight="1pt">
                <v:textbox>
                  <w:txbxContent>
                    <w:p w14:paraId="7CA1AFA9" w14:textId="07556358" w:rsidR="0045023A" w:rsidRPr="009F587F" w:rsidRDefault="0045023A" w:rsidP="0045023A">
                      <w:pPr>
                        <w:jc w:val="center"/>
                        <w:rPr>
                          <w:b/>
                          <w:bCs/>
                          <w:szCs w:val="21"/>
                        </w:rPr>
                      </w:pPr>
                      <w:r>
                        <w:rPr>
                          <w:rFonts w:hint="eastAsia"/>
                          <w:b/>
                          <w:bCs/>
                          <w:szCs w:val="21"/>
                        </w:rPr>
                        <w:t>土壤环境</w:t>
                      </w:r>
                      <w:r w:rsidRPr="009F587F">
                        <w:rPr>
                          <w:rFonts w:hint="eastAsia"/>
                          <w:b/>
                          <w:bCs/>
                          <w:szCs w:val="21"/>
                        </w:rPr>
                        <w:t>评价范围</w:t>
                      </w:r>
                    </w:p>
                  </w:txbxContent>
                </v:textbox>
                <w10:wrap anchorx="margin"/>
              </v:shape>
            </w:pict>
          </mc:Fallback>
        </mc:AlternateContent>
      </w:r>
      <w:r w:rsidR="00693296" w:rsidRPr="00092862">
        <w:rPr>
          <w:rFonts w:ascii="Times New Roman" w:hAnsi="Times New Roman" w:cs="Times New Roman"/>
          <w:noProof/>
          <w:color w:val="000000" w:themeColor="text1"/>
        </w:rPr>
        <w:drawing>
          <wp:anchor distT="0" distB="0" distL="114300" distR="114300" simplePos="0" relativeHeight="252139520" behindDoc="0" locked="0" layoutInCell="1" allowOverlap="1" wp14:anchorId="103B3AD0" wp14:editId="72BB5AD5">
            <wp:simplePos x="0" y="0"/>
            <wp:positionH relativeFrom="margin">
              <wp:align>right</wp:align>
            </wp:positionH>
            <wp:positionV relativeFrom="paragraph">
              <wp:posOffset>3100250</wp:posOffset>
            </wp:positionV>
            <wp:extent cx="947899" cy="1178763"/>
            <wp:effectExtent l="0" t="0" r="5080" b="2540"/>
            <wp:wrapNone/>
            <wp:docPr id="1519" name="图片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947899" cy="1178763"/>
                    </a:xfrm>
                    <a:prstGeom prst="rect">
                      <a:avLst/>
                    </a:prstGeom>
                  </pic:spPr>
                </pic:pic>
              </a:graphicData>
            </a:graphic>
            <wp14:sizeRelH relativeFrom="margin">
              <wp14:pctWidth>0</wp14:pctWidth>
            </wp14:sizeRelH>
            <wp14:sizeRelV relativeFrom="margin">
              <wp14:pctHeight>0</wp14:pctHeight>
            </wp14:sizeRelV>
          </wp:anchor>
        </w:drawing>
      </w:r>
      <w:r w:rsidRPr="00092862">
        <w:rPr>
          <w:rFonts w:ascii="Times New Roman" w:hAnsi="Times New Roman" w:cs="Times New Roman"/>
          <w:color w:val="000000" w:themeColor="text1"/>
        </w:rPr>
        <w:t xml:space="preserve"> </w:t>
      </w:r>
      <w:r w:rsidRPr="00092862">
        <w:rPr>
          <w:rFonts w:ascii="Times New Roman" w:hAnsi="Times New Roman" w:cs="Times New Roman"/>
          <w:noProof/>
          <w:color w:val="000000" w:themeColor="text1"/>
        </w:rPr>
        <w:drawing>
          <wp:inline distT="0" distB="0" distL="0" distR="0" wp14:anchorId="66FC7A37" wp14:editId="5FA1E95B">
            <wp:extent cx="5274310" cy="3940810"/>
            <wp:effectExtent l="19050" t="19050" r="21590" b="2159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940810"/>
                    </a:xfrm>
                    <a:prstGeom prst="rect">
                      <a:avLst/>
                    </a:prstGeom>
                    <a:noFill/>
                    <a:ln>
                      <a:solidFill>
                        <a:schemeClr val="tx1"/>
                      </a:solidFill>
                    </a:ln>
                  </pic:spPr>
                </pic:pic>
              </a:graphicData>
            </a:graphic>
          </wp:inline>
        </w:drawing>
      </w:r>
    </w:p>
    <w:p w14:paraId="6752CD94" w14:textId="6615CEC4" w:rsidR="0045023A" w:rsidRPr="00092862" w:rsidRDefault="00E915A3" w:rsidP="00697AAB">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2.6-</w:t>
      </w:r>
      <w:r w:rsidR="00697AAB"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  </w:t>
      </w:r>
      <w:r w:rsidR="003D0256" w:rsidRPr="00092862">
        <w:rPr>
          <w:rFonts w:ascii="Times New Roman" w:eastAsia="黑体" w:hAnsi="Times New Roman"/>
          <w:color w:val="000000" w:themeColor="text1"/>
          <w:sz w:val="21"/>
          <w:szCs w:val="21"/>
          <w:lang w:eastAsia="zh-CN"/>
        </w:rPr>
        <w:t>土壤</w:t>
      </w:r>
      <w:r w:rsidRPr="00092862">
        <w:rPr>
          <w:rFonts w:ascii="Times New Roman" w:eastAsia="黑体" w:hAnsi="Times New Roman"/>
          <w:color w:val="000000" w:themeColor="text1"/>
          <w:sz w:val="21"/>
          <w:szCs w:val="21"/>
          <w:lang w:eastAsia="zh-CN"/>
        </w:rPr>
        <w:t>环境评价范围图</w:t>
      </w:r>
    </w:p>
    <w:p w14:paraId="1F8A85F4" w14:textId="77777777" w:rsidR="00DC446C" w:rsidRPr="00092862" w:rsidRDefault="001E2759" w:rsidP="000D664A">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59" w:name="_Toc120173075"/>
      <w:r w:rsidRPr="00092862">
        <w:rPr>
          <w:rFonts w:ascii="Times New Roman" w:eastAsia="黑体" w:hAnsi="Times New Roman"/>
          <w:b w:val="0"/>
          <w:color w:val="000000" w:themeColor="text1"/>
          <w:sz w:val="24"/>
          <w:szCs w:val="24"/>
          <w:lang w:eastAsia="zh-CN"/>
        </w:rPr>
        <w:t>2.6.6</w:t>
      </w:r>
      <w:r w:rsidR="003B1968" w:rsidRPr="00092862">
        <w:rPr>
          <w:rFonts w:ascii="Times New Roman" w:eastAsia="黑体" w:hAnsi="Times New Roman"/>
          <w:b w:val="0"/>
          <w:color w:val="000000" w:themeColor="text1"/>
          <w:sz w:val="24"/>
          <w:szCs w:val="24"/>
          <w:lang w:eastAsia="zh-CN"/>
        </w:rPr>
        <w:t>生态环境</w:t>
      </w:r>
      <w:bookmarkEnd w:id="59"/>
    </w:p>
    <w:p w14:paraId="20419245" w14:textId="77777777" w:rsidR="001E2759" w:rsidRPr="00092862" w:rsidRDefault="001E2759" w:rsidP="000D664A">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bCs/>
          <w:color w:val="000000" w:themeColor="text1"/>
          <w:sz w:val="24"/>
          <w:szCs w:val="24"/>
        </w:rPr>
        <w:t>评价工作等级</w:t>
      </w:r>
    </w:p>
    <w:p w14:paraId="2572E7FA" w14:textId="596537A0" w:rsidR="00C954BB" w:rsidRPr="00092862" w:rsidRDefault="003B1968" w:rsidP="000D664A">
      <w:pPr>
        <w:pStyle w:val="ac"/>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根据《环境影响评价技术导则</w:t>
      </w:r>
      <w:r w:rsidRPr="00092862">
        <w:rPr>
          <w:rFonts w:ascii="Times New Roman" w:hAnsi="Times New Roman"/>
          <w:color w:val="000000" w:themeColor="text1"/>
          <w:spacing w:val="-8"/>
          <w:lang w:eastAsia="zh-CN"/>
        </w:rPr>
        <w:t xml:space="preserve"> </w:t>
      </w:r>
      <w:r w:rsidRPr="00092862">
        <w:rPr>
          <w:rFonts w:ascii="Times New Roman" w:hAnsi="Times New Roman"/>
          <w:color w:val="000000" w:themeColor="text1"/>
          <w:lang w:eastAsia="zh-CN"/>
        </w:rPr>
        <w:t>生态影响》</w:t>
      </w:r>
      <w:r w:rsidRPr="00092862">
        <w:rPr>
          <w:rFonts w:ascii="Times New Roman" w:hAnsi="Times New Roman"/>
          <w:color w:val="000000" w:themeColor="text1"/>
          <w:lang w:eastAsia="zh-CN"/>
        </w:rPr>
        <w:t>(HJ19-20</w:t>
      </w:r>
      <w:r w:rsidR="000D664A" w:rsidRPr="00092862">
        <w:rPr>
          <w:rFonts w:ascii="Times New Roman" w:hAnsi="Times New Roman"/>
          <w:color w:val="000000" w:themeColor="text1"/>
          <w:lang w:eastAsia="zh-CN"/>
        </w:rPr>
        <w:t>22</w:t>
      </w:r>
      <w:r w:rsidRPr="00092862">
        <w:rPr>
          <w:rFonts w:ascii="Times New Roman" w:hAnsi="Times New Roman"/>
          <w:color w:val="000000" w:themeColor="text1"/>
          <w:lang w:eastAsia="zh-CN"/>
        </w:rPr>
        <w:t>)</w:t>
      </w:r>
      <w:r w:rsidR="00C954BB" w:rsidRPr="00092862">
        <w:rPr>
          <w:rFonts w:ascii="Times New Roman" w:hAnsi="Times New Roman"/>
          <w:color w:val="000000" w:themeColor="text1"/>
          <w:lang w:eastAsia="zh-CN"/>
        </w:rPr>
        <w:t>，判断本项目是否涉及下文</w:t>
      </w:r>
      <w:r w:rsidR="00C954BB" w:rsidRPr="00092862">
        <w:rPr>
          <w:rFonts w:ascii="Times New Roman" w:hAnsi="Times New Roman"/>
          <w:color w:val="000000" w:themeColor="text1"/>
          <w:lang w:eastAsia="zh-CN"/>
        </w:rPr>
        <w:t>a~f</w:t>
      </w:r>
      <w:r w:rsidRPr="00092862">
        <w:rPr>
          <w:rFonts w:ascii="Times New Roman" w:hAnsi="Times New Roman"/>
          <w:color w:val="000000" w:themeColor="text1"/>
          <w:lang w:eastAsia="zh-CN"/>
        </w:rPr>
        <w:t>，</w:t>
      </w:r>
      <w:r w:rsidR="00C954BB" w:rsidRPr="00092862">
        <w:rPr>
          <w:rFonts w:ascii="Times New Roman" w:hAnsi="Times New Roman"/>
          <w:color w:val="000000" w:themeColor="text1"/>
          <w:lang w:eastAsia="zh-CN"/>
        </w:rPr>
        <w:t>以此来确定</w:t>
      </w:r>
      <w:r w:rsidRPr="00092862">
        <w:rPr>
          <w:rFonts w:ascii="Times New Roman" w:hAnsi="Times New Roman"/>
          <w:color w:val="000000" w:themeColor="text1"/>
          <w:lang w:eastAsia="zh-CN"/>
        </w:rPr>
        <w:t>本项目生态环境评价工作等级</w:t>
      </w:r>
      <w:r w:rsidR="00C954BB" w:rsidRPr="00092862">
        <w:rPr>
          <w:rFonts w:ascii="Times New Roman" w:hAnsi="Times New Roman"/>
          <w:color w:val="000000" w:themeColor="text1"/>
          <w:lang w:eastAsia="zh-CN"/>
        </w:rPr>
        <w:t>：</w:t>
      </w:r>
    </w:p>
    <w:p w14:paraId="1B13DC74" w14:textId="4CBE7B83" w:rsidR="00C954BB" w:rsidRPr="00092862" w:rsidRDefault="00C954BB"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2.6-</w:t>
      </w:r>
      <w:r w:rsidR="0010287F"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生态影响评价工作等级判定表</w:t>
      </w:r>
    </w:p>
    <w:tbl>
      <w:tblPr>
        <w:tblStyle w:val="aff"/>
        <w:tblW w:w="0" w:type="auto"/>
        <w:tblInd w:w="138" w:type="dxa"/>
        <w:tblLook w:val="04A0" w:firstRow="1" w:lastRow="0" w:firstColumn="1" w:lastColumn="0" w:noHBand="0" w:noVBand="1"/>
      </w:tblPr>
      <w:tblGrid>
        <w:gridCol w:w="850"/>
        <w:gridCol w:w="5528"/>
        <w:gridCol w:w="1780"/>
      </w:tblGrid>
      <w:tr w:rsidR="00697429" w:rsidRPr="00092862" w14:paraId="748DDD5B" w14:textId="77777777" w:rsidTr="00C954BB">
        <w:tc>
          <w:tcPr>
            <w:tcW w:w="850" w:type="dxa"/>
            <w:vAlign w:val="center"/>
          </w:tcPr>
          <w:p w14:paraId="496B252E" w14:textId="4ADA04CB"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序号</w:t>
            </w:r>
          </w:p>
        </w:tc>
        <w:tc>
          <w:tcPr>
            <w:tcW w:w="5528" w:type="dxa"/>
            <w:vAlign w:val="center"/>
          </w:tcPr>
          <w:p w14:paraId="2E7E261C" w14:textId="1F14A051"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导则规定</w:t>
            </w:r>
          </w:p>
        </w:tc>
        <w:tc>
          <w:tcPr>
            <w:tcW w:w="1780" w:type="dxa"/>
            <w:vAlign w:val="center"/>
          </w:tcPr>
          <w:p w14:paraId="3888D631" w14:textId="28559F09"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本项目情况</w:t>
            </w:r>
          </w:p>
        </w:tc>
      </w:tr>
      <w:tr w:rsidR="00697429" w:rsidRPr="00092862" w14:paraId="155F88D7" w14:textId="77777777" w:rsidTr="00C954BB">
        <w:tc>
          <w:tcPr>
            <w:tcW w:w="850" w:type="dxa"/>
            <w:vAlign w:val="center"/>
          </w:tcPr>
          <w:p w14:paraId="0171D7CF" w14:textId="14B52B8E"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w:t>
            </w:r>
          </w:p>
        </w:tc>
        <w:tc>
          <w:tcPr>
            <w:tcW w:w="5528" w:type="dxa"/>
            <w:vAlign w:val="center"/>
          </w:tcPr>
          <w:p w14:paraId="0770DB79" w14:textId="4A407CFA"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a</w:t>
            </w:r>
            <w:r w:rsidRPr="00092862">
              <w:rPr>
                <w:rFonts w:ascii="Times New Roman" w:hAnsi="Times New Roman"/>
                <w:color w:val="000000" w:themeColor="text1"/>
                <w:sz w:val="21"/>
                <w:szCs w:val="21"/>
                <w:lang w:eastAsia="zh-CN"/>
              </w:rPr>
              <w:t>）涉及国家公园、自然保护区、世界自然遗产、重要生境时，评价等级为一级</w:t>
            </w:r>
          </w:p>
        </w:tc>
        <w:tc>
          <w:tcPr>
            <w:tcW w:w="1780" w:type="dxa"/>
            <w:vAlign w:val="center"/>
          </w:tcPr>
          <w:p w14:paraId="0FA05813" w14:textId="362F2CC8"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r w:rsidR="00697429" w:rsidRPr="00092862" w14:paraId="60947761" w14:textId="77777777" w:rsidTr="00C954BB">
        <w:tc>
          <w:tcPr>
            <w:tcW w:w="850" w:type="dxa"/>
            <w:vAlign w:val="center"/>
          </w:tcPr>
          <w:p w14:paraId="0D115738" w14:textId="0554B5A4"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2</w:t>
            </w:r>
          </w:p>
        </w:tc>
        <w:tc>
          <w:tcPr>
            <w:tcW w:w="5528" w:type="dxa"/>
            <w:vAlign w:val="center"/>
          </w:tcPr>
          <w:p w14:paraId="6D4BB687" w14:textId="72EF5DE6"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b</w:t>
            </w:r>
            <w:r w:rsidRPr="00092862">
              <w:rPr>
                <w:rFonts w:ascii="Times New Roman" w:hAnsi="Times New Roman"/>
                <w:color w:val="000000" w:themeColor="text1"/>
                <w:sz w:val="21"/>
                <w:szCs w:val="21"/>
                <w:lang w:eastAsia="zh-CN"/>
              </w:rPr>
              <w:t>）涉及自然公园时，评价等级为二级</w:t>
            </w:r>
          </w:p>
        </w:tc>
        <w:tc>
          <w:tcPr>
            <w:tcW w:w="1780" w:type="dxa"/>
            <w:vAlign w:val="center"/>
          </w:tcPr>
          <w:p w14:paraId="0CA63D90" w14:textId="7EEE72C2"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r w:rsidR="00697429" w:rsidRPr="00092862" w14:paraId="686FB215" w14:textId="77777777" w:rsidTr="00C954BB">
        <w:tc>
          <w:tcPr>
            <w:tcW w:w="850" w:type="dxa"/>
            <w:vAlign w:val="center"/>
          </w:tcPr>
          <w:p w14:paraId="3AB4BBAD" w14:textId="1DC8F9E5"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3</w:t>
            </w:r>
          </w:p>
        </w:tc>
        <w:tc>
          <w:tcPr>
            <w:tcW w:w="5528" w:type="dxa"/>
            <w:vAlign w:val="center"/>
          </w:tcPr>
          <w:p w14:paraId="4290A3DB" w14:textId="5DFC55A7"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c</w:t>
            </w:r>
            <w:r w:rsidRPr="00092862">
              <w:rPr>
                <w:rFonts w:ascii="Times New Roman" w:hAnsi="Times New Roman"/>
                <w:color w:val="000000" w:themeColor="text1"/>
                <w:sz w:val="21"/>
                <w:szCs w:val="21"/>
                <w:lang w:eastAsia="zh-CN"/>
              </w:rPr>
              <w:t>）涉及生态保护红线时，评价等级不低于二级</w:t>
            </w:r>
          </w:p>
        </w:tc>
        <w:tc>
          <w:tcPr>
            <w:tcW w:w="1780" w:type="dxa"/>
            <w:vAlign w:val="center"/>
          </w:tcPr>
          <w:p w14:paraId="41EAD164" w14:textId="1CB56634"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r w:rsidR="00697429" w:rsidRPr="00092862" w14:paraId="76B921AB" w14:textId="77777777" w:rsidTr="00C954BB">
        <w:tc>
          <w:tcPr>
            <w:tcW w:w="850" w:type="dxa"/>
            <w:vAlign w:val="center"/>
          </w:tcPr>
          <w:p w14:paraId="200FB7C8" w14:textId="42278B33"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4</w:t>
            </w:r>
          </w:p>
        </w:tc>
        <w:tc>
          <w:tcPr>
            <w:tcW w:w="5528" w:type="dxa"/>
            <w:vAlign w:val="center"/>
          </w:tcPr>
          <w:p w14:paraId="160A3991" w14:textId="49E20EA3"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d</w:t>
            </w:r>
            <w:r w:rsidRPr="00092862">
              <w:rPr>
                <w:rFonts w:ascii="Times New Roman" w:hAnsi="Times New Roman"/>
                <w:color w:val="000000" w:themeColor="text1"/>
                <w:sz w:val="21"/>
                <w:szCs w:val="21"/>
                <w:lang w:eastAsia="zh-CN"/>
              </w:rPr>
              <w:t>）根据</w:t>
            </w:r>
            <w:r w:rsidRPr="00092862">
              <w:rPr>
                <w:rFonts w:ascii="Times New Roman" w:hAnsi="Times New Roman"/>
                <w:color w:val="000000" w:themeColor="text1"/>
                <w:sz w:val="21"/>
                <w:szCs w:val="21"/>
                <w:lang w:eastAsia="zh-CN"/>
              </w:rPr>
              <w:t>HJ2.3</w:t>
            </w:r>
            <w:r w:rsidRPr="00092862">
              <w:rPr>
                <w:rFonts w:ascii="Times New Roman" w:hAnsi="Times New Roman"/>
                <w:color w:val="000000" w:themeColor="text1"/>
                <w:sz w:val="21"/>
                <w:szCs w:val="21"/>
                <w:lang w:eastAsia="zh-CN"/>
              </w:rPr>
              <w:t>判断属于水文要素影响型且地表水评价等级不低于二级的建设项目，生态影响评价等级不低于二级</w:t>
            </w:r>
          </w:p>
        </w:tc>
        <w:tc>
          <w:tcPr>
            <w:tcW w:w="1780" w:type="dxa"/>
            <w:vAlign w:val="center"/>
          </w:tcPr>
          <w:p w14:paraId="214F3536" w14:textId="761E97C1"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r w:rsidR="00697429" w:rsidRPr="00092862" w14:paraId="21C3F459" w14:textId="77777777" w:rsidTr="00C954BB">
        <w:tc>
          <w:tcPr>
            <w:tcW w:w="850" w:type="dxa"/>
            <w:vAlign w:val="center"/>
          </w:tcPr>
          <w:p w14:paraId="374DA125" w14:textId="02140889"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5</w:t>
            </w:r>
          </w:p>
        </w:tc>
        <w:tc>
          <w:tcPr>
            <w:tcW w:w="5528" w:type="dxa"/>
            <w:vAlign w:val="center"/>
          </w:tcPr>
          <w:p w14:paraId="382BE461" w14:textId="6CE84F61"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e</w:t>
            </w:r>
            <w:r w:rsidRPr="00092862">
              <w:rPr>
                <w:rFonts w:ascii="Times New Roman" w:hAnsi="Times New Roman"/>
                <w:color w:val="000000" w:themeColor="text1"/>
                <w:sz w:val="21"/>
                <w:szCs w:val="21"/>
                <w:lang w:eastAsia="zh-CN"/>
              </w:rPr>
              <w:t>）根据</w:t>
            </w:r>
            <w:r w:rsidRPr="00092862">
              <w:rPr>
                <w:rFonts w:ascii="Times New Roman" w:hAnsi="Times New Roman"/>
                <w:color w:val="000000" w:themeColor="text1"/>
                <w:sz w:val="21"/>
                <w:szCs w:val="21"/>
                <w:lang w:eastAsia="zh-CN"/>
              </w:rPr>
              <w:t>HJ610</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HJ964</w:t>
            </w:r>
            <w:r w:rsidRPr="00092862">
              <w:rPr>
                <w:rFonts w:ascii="Times New Roman" w:hAnsi="Times New Roman"/>
                <w:color w:val="000000" w:themeColor="text1"/>
                <w:sz w:val="21"/>
                <w:szCs w:val="21"/>
                <w:lang w:eastAsia="zh-CN"/>
              </w:rPr>
              <w:t>判断地下水水位或土壤影响范围内分布有天然林、公益林、湿地等生态保护目标的建设项目，生态影响评价等级不低于二级</w:t>
            </w:r>
          </w:p>
        </w:tc>
        <w:tc>
          <w:tcPr>
            <w:tcW w:w="1780" w:type="dxa"/>
            <w:vAlign w:val="center"/>
          </w:tcPr>
          <w:p w14:paraId="06E53236" w14:textId="335D0B2D" w:rsidR="00C954BB" w:rsidRPr="00092862" w:rsidRDefault="005D49C5"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土壤</w:t>
            </w:r>
            <w:r w:rsidRPr="00092862">
              <w:rPr>
                <w:rFonts w:ascii="Times New Roman" w:hAnsi="Times New Roman"/>
                <w:color w:val="000000" w:themeColor="text1"/>
                <w:sz w:val="21"/>
                <w:szCs w:val="21"/>
                <w:lang w:eastAsia="zh-CN"/>
              </w:rPr>
              <w:t>200m</w:t>
            </w:r>
            <w:r w:rsidRPr="00092862">
              <w:rPr>
                <w:rFonts w:ascii="Times New Roman" w:hAnsi="Times New Roman"/>
                <w:color w:val="000000" w:themeColor="text1"/>
                <w:sz w:val="21"/>
                <w:szCs w:val="21"/>
                <w:lang w:eastAsia="zh-CN"/>
              </w:rPr>
              <w:t>影响范围涉及公益林</w:t>
            </w:r>
            <w:r w:rsidR="00F8574D" w:rsidRPr="00092862">
              <w:rPr>
                <w:rFonts w:ascii="Times New Roman" w:hAnsi="Times New Roman"/>
                <w:color w:val="000000" w:themeColor="text1"/>
                <w:sz w:val="21"/>
                <w:szCs w:val="21"/>
                <w:lang w:eastAsia="zh-CN"/>
              </w:rPr>
              <w:t>，最近处位于井场</w:t>
            </w:r>
            <w:r w:rsidR="005E6219" w:rsidRPr="00092862">
              <w:rPr>
                <w:rFonts w:ascii="Times New Roman" w:hAnsi="Times New Roman"/>
                <w:color w:val="000000" w:themeColor="text1"/>
                <w:sz w:val="21"/>
                <w:szCs w:val="21"/>
                <w:lang w:eastAsia="zh-CN"/>
              </w:rPr>
              <w:t>东</w:t>
            </w:r>
            <w:r w:rsidR="00F8574D" w:rsidRPr="00092862">
              <w:rPr>
                <w:rFonts w:ascii="Times New Roman" w:hAnsi="Times New Roman"/>
                <w:color w:val="000000" w:themeColor="text1"/>
                <w:sz w:val="21"/>
                <w:szCs w:val="21"/>
                <w:lang w:eastAsia="zh-CN"/>
              </w:rPr>
              <w:t>侧，距离井场约</w:t>
            </w:r>
            <w:r w:rsidR="005E6219" w:rsidRPr="00092862">
              <w:rPr>
                <w:rFonts w:ascii="Times New Roman" w:hAnsi="Times New Roman"/>
                <w:color w:val="000000" w:themeColor="text1"/>
                <w:sz w:val="21"/>
                <w:szCs w:val="21"/>
                <w:lang w:eastAsia="zh-CN"/>
              </w:rPr>
              <w:t>180</w:t>
            </w:r>
            <w:r w:rsidR="00F8574D" w:rsidRPr="00092862">
              <w:rPr>
                <w:rFonts w:ascii="Times New Roman" w:hAnsi="Times New Roman"/>
                <w:color w:val="000000" w:themeColor="text1"/>
                <w:sz w:val="21"/>
                <w:szCs w:val="21"/>
                <w:lang w:eastAsia="zh-CN"/>
              </w:rPr>
              <w:t>m</w:t>
            </w:r>
            <w:r w:rsidR="00853A0F" w:rsidRPr="00092862">
              <w:rPr>
                <w:rFonts w:ascii="Times New Roman" w:hAnsi="Times New Roman"/>
                <w:color w:val="000000" w:themeColor="text1"/>
                <w:sz w:val="21"/>
                <w:szCs w:val="21"/>
                <w:lang w:eastAsia="zh-CN"/>
              </w:rPr>
              <w:t>，具体见上图</w:t>
            </w:r>
          </w:p>
        </w:tc>
      </w:tr>
      <w:tr w:rsidR="00697429" w:rsidRPr="00092862" w14:paraId="35A68579" w14:textId="77777777" w:rsidTr="00C954BB">
        <w:tc>
          <w:tcPr>
            <w:tcW w:w="850" w:type="dxa"/>
            <w:vAlign w:val="center"/>
          </w:tcPr>
          <w:p w14:paraId="7581ACAE" w14:textId="55981D8D"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6</w:t>
            </w:r>
          </w:p>
        </w:tc>
        <w:tc>
          <w:tcPr>
            <w:tcW w:w="5528" w:type="dxa"/>
            <w:vAlign w:val="center"/>
          </w:tcPr>
          <w:p w14:paraId="0ACA91D1" w14:textId="6ED6D445"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f</w:t>
            </w:r>
            <w:r w:rsidRPr="00092862">
              <w:rPr>
                <w:rFonts w:ascii="Times New Roman" w:hAnsi="Times New Roman"/>
                <w:color w:val="000000" w:themeColor="text1"/>
                <w:sz w:val="21"/>
                <w:szCs w:val="21"/>
                <w:lang w:eastAsia="zh-CN"/>
              </w:rPr>
              <w:t>）当工程占地规模大于</w:t>
            </w:r>
            <w:r w:rsidRPr="00092862">
              <w:rPr>
                <w:rFonts w:ascii="Times New Roman" w:hAnsi="Times New Roman"/>
                <w:color w:val="000000" w:themeColor="text1"/>
                <w:sz w:val="21"/>
                <w:szCs w:val="21"/>
                <w:lang w:eastAsia="zh-CN"/>
              </w:rPr>
              <w:t>20km</w:t>
            </w:r>
            <w:r w:rsidRPr="00092862">
              <w:rPr>
                <w:rFonts w:ascii="Times New Roman" w:hAnsi="Times New Roman"/>
                <w:color w:val="000000" w:themeColor="text1"/>
                <w:sz w:val="21"/>
                <w:szCs w:val="21"/>
                <w:vertAlign w:val="superscript"/>
                <w:lang w:eastAsia="zh-CN"/>
              </w:rPr>
              <w:t>2</w:t>
            </w:r>
            <w:r w:rsidRPr="00092862">
              <w:rPr>
                <w:rFonts w:ascii="Times New Roman" w:hAnsi="Times New Roman"/>
                <w:color w:val="000000" w:themeColor="text1"/>
                <w:sz w:val="21"/>
                <w:szCs w:val="21"/>
                <w:lang w:eastAsia="zh-CN"/>
              </w:rPr>
              <w:t>时（包括永久和临时占用陆域和水域），评价等级不低于二级；改扩建项目的占地范围以新增占地（包括陆域和水域）确定</w:t>
            </w:r>
          </w:p>
        </w:tc>
        <w:tc>
          <w:tcPr>
            <w:tcW w:w="1780" w:type="dxa"/>
            <w:vAlign w:val="center"/>
          </w:tcPr>
          <w:p w14:paraId="1848A31E" w14:textId="2B630836"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r w:rsidR="00697429" w:rsidRPr="00092862" w14:paraId="4EAF3EEC" w14:textId="77777777" w:rsidTr="00C954BB">
        <w:tc>
          <w:tcPr>
            <w:tcW w:w="850" w:type="dxa"/>
            <w:vAlign w:val="center"/>
          </w:tcPr>
          <w:p w14:paraId="79AAEB90" w14:textId="340DC79D"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7</w:t>
            </w:r>
          </w:p>
        </w:tc>
        <w:tc>
          <w:tcPr>
            <w:tcW w:w="5528" w:type="dxa"/>
            <w:vAlign w:val="center"/>
          </w:tcPr>
          <w:p w14:paraId="2D1BEA26" w14:textId="73C904AE"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建设项目涉及经论证对保护生物多样性具有重要意义的区域时，可适当上调评价等级</w:t>
            </w:r>
          </w:p>
        </w:tc>
        <w:tc>
          <w:tcPr>
            <w:tcW w:w="1780" w:type="dxa"/>
            <w:vAlign w:val="center"/>
          </w:tcPr>
          <w:p w14:paraId="22F290F1" w14:textId="113EC800"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r w:rsidR="00697429" w:rsidRPr="00092862" w14:paraId="26008720" w14:textId="77777777" w:rsidTr="00C954BB">
        <w:tc>
          <w:tcPr>
            <w:tcW w:w="850" w:type="dxa"/>
            <w:vAlign w:val="center"/>
          </w:tcPr>
          <w:p w14:paraId="79E4FD33" w14:textId="0FAFB0BF" w:rsidR="00C954BB" w:rsidRPr="00092862" w:rsidRDefault="00C954BB"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w:t>
            </w:r>
          </w:p>
        </w:tc>
        <w:tc>
          <w:tcPr>
            <w:tcW w:w="5528" w:type="dxa"/>
            <w:vAlign w:val="center"/>
          </w:tcPr>
          <w:p w14:paraId="60D27AD9" w14:textId="1F5FB854" w:rsidR="00C954BB" w:rsidRPr="00092862" w:rsidRDefault="007F3B46" w:rsidP="00F00CF2">
            <w:pPr>
              <w:pStyle w:val="ac"/>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在矿山开采可能导致矿区土地利用类型明显改变，或拦河闸坝建设可能明显改变水文情势等情况下，评价等级应上调一级</w:t>
            </w:r>
          </w:p>
        </w:tc>
        <w:tc>
          <w:tcPr>
            <w:tcW w:w="1780" w:type="dxa"/>
            <w:vAlign w:val="center"/>
          </w:tcPr>
          <w:p w14:paraId="05BFB146" w14:textId="308B6D4F" w:rsidR="00C954BB" w:rsidRPr="00092862" w:rsidRDefault="007F3B46" w:rsidP="00C954BB">
            <w:pPr>
              <w:pStyle w:val="ac"/>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不涉及</w:t>
            </w:r>
          </w:p>
        </w:tc>
      </w:tr>
    </w:tbl>
    <w:p w14:paraId="18B131A7" w14:textId="24D3E80E" w:rsidR="00DC446C" w:rsidRPr="00092862" w:rsidRDefault="00271CF1" w:rsidP="007F3B46">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本项目占地</w:t>
      </w:r>
      <w:r w:rsidRPr="00092862">
        <w:rPr>
          <w:rFonts w:ascii="Times New Roman" w:eastAsia="宋体" w:hAnsi="Times New Roman" w:cs="Times New Roman"/>
          <w:bCs/>
          <w:color w:val="000000" w:themeColor="text1"/>
          <w:sz w:val="24"/>
          <w:szCs w:val="24"/>
        </w:rPr>
        <w:t>2.76hm</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评价区不属于及国家公园、自然保护区、世界自然遗产、重要生境、有天然林、公益林、湿地、饮用水源保护区等敏感目标，属一般区域，但项目土壤影响范围内分布有公益林，故生态环境影响评价工作等级定为二级</w:t>
      </w:r>
      <w:r w:rsidR="008911C4" w:rsidRPr="00092862">
        <w:rPr>
          <w:rFonts w:ascii="Times New Roman" w:eastAsia="宋体" w:hAnsi="Times New Roman" w:cs="Times New Roman"/>
          <w:bCs/>
          <w:color w:val="000000" w:themeColor="text1"/>
          <w:sz w:val="24"/>
          <w:szCs w:val="24"/>
        </w:rPr>
        <w:t>。</w:t>
      </w:r>
    </w:p>
    <w:p w14:paraId="60CA86D8" w14:textId="77777777" w:rsidR="001E2759" w:rsidRPr="00092862" w:rsidRDefault="001E2759" w:rsidP="007F3B46">
      <w:pPr>
        <w:tabs>
          <w:tab w:val="left" w:pos="0"/>
        </w:tabs>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）评价范围</w:t>
      </w:r>
    </w:p>
    <w:p w14:paraId="121C81C8" w14:textId="77777777" w:rsidR="00271CF1" w:rsidRPr="00092862" w:rsidRDefault="00271CF1" w:rsidP="00271CF1">
      <w:pPr>
        <w:tabs>
          <w:tab w:val="left" w:pos="0"/>
        </w:tabs>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根据《环境影响评价技术导则</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生态影响》（</w:t>
      </w:r>
      <w:r w:rsidRPr="00092862">
        <w:rPr>
          <w:rFonts w:ascii="Times New Roman" w:eastAsia="宋体" w:hAnsi="Times New Roman" w:cs="Times New Roman"/>
          <w:color w:val="000000" w:themeColor="text1"/>
          <w:sz w:val="24"/>
          <w:szCs w:val="24"/>
        </w:rPr>
        <w:t>HJ19-2022</w:t>
      </w:r>
      <w:r w:rsidRPr="00092862">
        <w:rPr>
          <w:rFonts w:ascii="Times New Roman" w:eastAsia="宋体" w:hAnsi="Times New Roman" w:cs="Times New Roman"/>
          <w:color w:val="000000" w:themeColor="text1"/>
          <w:sz w:val="24"/>
          <w:szCs w:val="24"/>
        </w:rPr>
        <w:t>）、《环境影响评价技术导则陆地石油天然气开发建设项目》（</w:t>
      </w:r>
      <w:r w:rsidRPr="00092862">
        <w:rPr>
          <w:rFonts w:ascii="Times New Roman" w:eastAsia="宋体" w:hAnsi="Times New Roman" w:cs="Times New Roman"/>
          <w:color w:val="000000" w:themeColor="text1"/>
          <w:sz w:val="24"/>
          <w:szCs w:val="24"/>
        </w:rPr>
        <w:t>HJ349-2007</w:t>
      </w:r>
      <w:r w:rsidRPr="00092862">
        <w:rPr>
          <w:rFonts w:ascii="Times New Roman" w:eastAsia="宋体" w:hAnsi="Times New Roman" w:cs="Times New Roman"/>
          <w:color w:val="000000" w:themeColor="text1"/>
          <w:sz w:val="24"/>
          <w:szCs w:val="24"/>
        </w:rPr>
        <w:t>）关于评价范围的划分原则和本项目现场踏勘调查实际情况，确定本评价范围如下：</w:t>
      </w:r>
    </w:p>
    <w:p w14:paraId="54A3E8A1" w14:textId="6AAB8CCD" w:rsidR="001E2759" w:rsidRPr="00092862" w:rsidRDefault="00271CF1" w:rsidP="00271CF1">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rPr>
        <w:t>老君</w:t>
      </w:r>
      <w:r w:rsidRPr="00092862">
        <w:rPr>
          <w:rFonts w:ascii="Times New Roman" w:eastAsia="宋体" w:hAnsi="Times New Roman" w:cs="Times New Roman"/>
          <w:color w:val="000000" w:themeColor="text1"/>
          <w:sz w:val="24"/>
        </w:rPr>
        <w:t>7011</w:t>
      </w:r>
      <w:r w:rsidRPr="00092862">
        <w:rPr>
          <w:rFonts w:ascii="Times New Roman" w:eastAsia="宋体" w:hAnsi="Times New Roman" w:cs="Times New Roman"/>
          <w:color w:val="000000" w:themeColor="text1"/>
          <w:sz w:val="24"/>
        </w:rPr>
        <w:t>井场（含方井</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座、井架基础</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座、放喷池</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座、循环罐、储备罐、泵机房等设备基础及边坡支护工程）、放喷池、进场道路、生活营区、清水池等</w:t>
      </w:r>
      <w:r w:rsidRPr="00092862">
        <w:rPr>
          <w:rFonts w:ascii="Times New Roman" w:eastAsia="宋体" w:hAnsi="Times New Roman" w:cs="Times New Roman"/>
          <w:color w:val="000000" w:themeColor="text1"/>
          <w:sz w:val="24"/>
          <w:szCs w:val="24"/>
        </w:rPr>
        <w:t>周边</w:t>
      </w:r>
      <w:r w:rsidRPr="00092862">
        <w:rPr>
          <w:rFonts w:ascii="Times New Roman" w:eastAsia="宋体" w:hAnsi="Times New Roman" w:cs="Times New Roman"/>
          <w:color w:val="000000" w:themeColor="text1"/>
          <w:sz w:val="24"/>
          <w:szCs w:val="24"/>
        </w:rPr>
        <w:t>2000m</w:t>
      </w:r>
      <w:r w:rsidRPr="00092862">
        <w:rPr>
          <w:rFonts w:ascii="Times New Roman" w:eastAsia="宋体" w:hAnsi="Times New Roman" w:cs="Times New Roman"/>
          <w:color w:val="000000" w:themeColor="text1"/>
          <w:sz w:val="24"/>
          <w:szCs w:val="24"/>
        </w:rPr>
        <w:t>，面积</w:t>
      </w:r>
      <w:r w:rsidRPr="00092862">
        <w:rPr>
          <w:rFonts w:ascii="Times New Roman" w:eastAsia="宋体" w:hAnsi="Times New Roman" w:cs="Times New Roman"/>
          <w:color w:val="000000" w:themeColor="text1"/>
          <w:sz w:val="24"/>
          <w:szCs w:val="24"/>
        </w:rPr>
        <w:t>1370.53hm</w:t>
      </w:r>
      <w:r w:rsidRPr="00092862">
        <w:rPr>
          <w:rFonts w:ascii="Times New Roman" w:eastAsia="宋体" w:hAnsi="Times New Roman" w:cs="Times New Roman"/>
          <w:color w:val="000000" w:themeColor="text1"/>
          <w:sz w:val="24"/>
          <w:szCs w:val="24"/>
          <w:vertAlign w:val="superscript"/>
        </w:rPr>
        <w:t>2</w:t>
      </w:r>
      <w:r w:rsidR="00575F56" w:rsidRPr="00092862">
        <w:rPr>
          <w:rFonts w:ascii="Times New Roman" w:eastAsia="宋体" w:hAnsi="Times New Roman" w:cs="Times New Roman"/>
          <w:color w:val="000000" w:themeColor="text1"/>
          <w:sz w:val="24"/>
          <w:szCs w:val="24"/>
        </w:rPr>
        <w:t>。</w:t>
      </w:r>
    </w:p>
    <w:p w14:paraId="2F20525D" w14:textId="77777777" w:rsidR="00DC446C" w:rsidRPr="00092862" w:rsidRDefault="001E2759" w:rsidP="00E15ED3">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60" w:name="_Toc120173076"/>
      <w:r w:rsidRPr="00092862">
        <w:rPr>
          <w:rFonts w:ascii="Times New Roman" w:eastAsia="黑体" w:hAnsi="Times New Roman"/>
          <w:b w:val="0"/>
          <w:color w:val="000000" w:themeColor="text1"/>
          <w:sz w:val="24"/>
          <w:szCs w:val="24"/>
          <w:lang w:eastAsia="zh-CN"/>
        </w:rPr>
        <w:t>2.6.7</w:t>
      </w:r>
      <w:r w:rsidR="003B1968" w:rsidRPr="00092862">
        <w:rPr>
          <w:rFonts w:ascii="Times New Roman" w:eastAsia="黑体" w:hAnsi="Times New Roman"/>
          <w:b w:val="0"/>
          <w:color w:val="000000" w:themeColor="text1"/>
          <w:sz w:val="24"/>
          <w:szCs w:val="24"/>
          <w:lang w:eastAsia="zh-CN"/>
        </w:rPr>
        <w:t>环境风险</w:t>
      </w:r>
      <w:bookmarkEnd w:id="60"/>
    </w:p>
    <w:p w14:paraId="06048684" w14:textId="77777777" w:rsidR="001E2759" w:rsidRPr="00092862" w:rsidRDefault="001E2759" w:rsidP="00E15ED3">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bCs/>
          <w:color w:val="000000" w:themeColor="text1"/>
          <w:sz w:val="24"/>
          <w:szCs w:val="24"/>
        </w:rPr>
        <w:t>评价工作等级</w:t>
      </w:r>
    </w:p>
    <w:p w14:paraId="30F5D0F0" w14:textId="51E76526" w:rsidR="008911C4" w:rsidRPr="00092862" w:rsidRDefault="008911C4" w:rsidP="00E15ED3">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根据《建设项目环境风险评价技术导则》（</w:t>
      </w:r>
      <w:r w:rsidRPr="00092862">
        <w:rPr>
          <w:rFonts w:ascii="Times New Roman" w:eastAsia="宋体" w:hAnsi="Times New Roman" w:cs="Times New Roman"/>
          <w:bCs/>
          <w:color w:val="000000" w:themeColor="text1"/>
          <w:sz w:val="24"/>
          <w:szCs w:val="24"/>
        </w:rPr>
        <w:t>HJ169-2018</w:t>
      </w:r>
      <w:r w:rsidRPr="00092862">
        <w:rPr>
          <w:rFonts w:ascii="Times New Roman" w:eastAsia="宋体" w:hAnsi="Times New Roman" w:cs="Times New Roman"/>
          <w:bCs/>
          <w:color w:val="000000" w:themeColor="text1"/>
          <w:sz w:val="24"/>
          <w:szCs w:val="24"/>
        </w:rPr>
        <w:t>）中关于环境风险</w:t>
      </w:r>
      <w:r w:rsidRPr="00092862">
        <w:rPr>
          <w:rFonts w:ascii="Times New Roman" w:eastAsia="宋体" w:hAnsi="Times New Roman" w:cs="Times New Roman"/>
          <w:bCs/>
          <w:color w:val="000000" w:themeColor="text1"/>
          <w:sz w:val="24"/>
          <w:szCs w:val="24"/>
        </w:rPr>
        <w:lastRenderedPageBreak/>
        <w:t>评价工作等级的划分方法，本工程输送的介质为含硫天然气，项目涉及的主要危险有害物质为甲烷、硫化氢</w:t>
      </w:r>
      <w:r w:rsidR="00485439" w:rsidRPr="00092862">
        <w:rPr>
          <w:rFonts w:ascii="Times New Roman" w:eastAsia="宋体" w:hAnsi="Times New Roman" w:cs="Times New Roman"/>
          <w:bCs/>
          <w:color w:val="000000" w:themeColor="text1"/>
          <w:sz w:val="24"/>
          <w:szCs w:val="24"/>
        </w:rPr>
        <w:t>、盐酸</w:t>
      </w:r>
      <w:r w:rsidRPr="00092862">
        <w:rPr>
          <w:rFonts w:ascii="Times New Roman" w:eastAsia="宋体" w:hAnsi="Times New Roman" w:cs="Times New Roman"/>
          <w:bCs/>
          <w:color w:val="000000" w:themeColor="text1"/>
          <w:sz w:val="24"/>
          <w:szCs w:val="24"/>
        </w:rPr>
        <w:t>和气田水。由于气田水不属于《建设项目风险评价技术导则》（</w:t>
      </w:r>
      <w:r w:rsidRPr="00092862">
        <w:rPr>
          <w:rFonts w:ascii="Times New Roman" w:eastAsia="宋体" w:hAnsi="Times New Roman" w:cs="Times New Roman"/>
          <w:bCs/>
          <w:color w:val="000000" w:themeColor="text1"/>
          <w:sz w:val="24"/>
          <w:szCs w:val="24"/>
        </w:rPr>
        <w:t>HJ169-2018</w:t>
      </w:r>
      <w:r w:rsidRPr="00092862">
        <w:rPr>
          <w:rFonts w:ascii="Times New Roman" w:eastAsia="宋体" w:hAnsi="Times New Roman" w:cs="Times New Roman"/>
          <w:bCs/>
          <w:color w:val="000000" w:themeColor="text1"/>
          <w:sz w:val="24"/>
          <w:szCs w:val="24"/>
        </w:rPr>
        <w:t>），附录</w:t>
      </w:r>
      <w:r w:rsidRPr="00092862">
        <w:rPr>
          <w:rFonts w:ascii="Times New Roman" w:eastAsia="宋体" w:hAnsi="Times New Roman" w:cs="Times New Roman"/>
          <w:bCs/>
          <w:color w:val="000000" w:themeColor="text1"/>
          <w:sz w:val="24"/>
          <w:szCs w:val="24"/>
        </w:rPr>
        <w:t>B</w:t>
      </w:r>
      <w:r w:rsidRPr="00092862">
        <w:rPr>
          <w:rFonts w:ascii="Times New Roman" w:eastAsia="宋体" w:hAnsi="Times New Roman" w:cs="Times New Roman"/>
          <w:bCs/>
          <w:color w:val="000000" w:themeColor="text1"/>
          <w:sz w:val="24"/>
          <w:szCs w:val="24"/>
        </w:rPr>
        <w:t>中重点关注的危险物质，根据分析气田水属于危害水环境物质，但不属于急性毒性类别</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中物质。故不作为环境风险等级判定物质，本次评价仅对其在储存过程中的风险提出措施。</w:t>
      </w:r>
    </w:p>
    <w:p w14:paraId="76A9296D" w14:textId="7A360378" w:rsidR="00DC446C" w:rsidRPr="00092862" w:rsidRDefault="00635CF6" w:rsidP="00E15ED3">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施工期天然气所含的甲烷、硫化氢和油类物质的</w:t>
      </w:r>
      <w:r w:rsidRPr="00092862">
        <w:rPr>
          <w:rFonts w:ascii="Times New Roman" w:eastAsia="宋体" w:hAnsi="Times New Roman" w:cs="Times New Roman"/>
          <w:bCs/>
          <w:color w:val="000000" w:themeColor="text1"/>
          <w:sz w:val="24"/>
          <w:szCs w:val="24"/>
        </w:rPr>
        <w:t>Q</w:t>
      </w:r>
      <w:r w:rsidRPr="00092862">
        <w:rPr>
          <w:rFonts w:ascii="Times New Roman" w:eastAsia="宋体" w:hAnsi="Times New Roman" w:cs="Times New Roman"/>
          <w:bCs/>
          <w:color w:val="000000" w:themeColor="text1"/>
          <w:sz w:val="24"/>
          <w:szCs w:val="24"/>
        </w:rPr>
        <w:t>值计算结果为</w:t>
      </w:r>
      <w:r w:rsidR="00D713D7" w:rsidRPr="00092862">
        <w:rPr>
          <w:rFonts w:ascii="Times New Roman" w:eastAsia="宋体" w:hAnsi="Times New Roman" w:cs="Times New Roman"/>
          <w:bCs/>
          <w:color w:val="000000" w:themeColor="text1"/>
          <w:sz w:val="24"/>
          <w:szCs w:val="24"/>
        </w:rPr>
        <w:t>1.325</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Q</w:t>
      </w:r>
      <w:r w:rsidRPr="00092862">
        <w:rPr>
          <w:rFonts w:ascii="Times New Roman" w:eastAsia="宋体" w:hAnsi="Times New Roman" w:cs="Times New Roman"/>
          <w:bCs/>
          <w:color w:val="000000" w:themeColor="text1"/>
          <w:sz w:val="24"/>
          <w:szCs w:val="24"/>
        </w:rPr>
        <w:t>值</w:t>
      </w:r>
      <w:r w:rsidR="00D713D7"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；试采期天然气所含的甲烷和硫化氢的</w:t>
      </w:r>
      <w:r w:rsidRPr="00092862">
        <w:rPr>
          <w:rFonts w:ascii="Times New Roman" w:eastAsia="宋体" w:hAnsi="Times New Roman" w:cs="Times New Roman"/>
          <w:bCs/>
          <w:color w:val="000000" w:themeColor="text1"/>
          <w:sz w:val="24"/>
          <w:szCs w:val="24"/>
        </w:rPr>
        <w:t>Q</w:t>
      </w:r>
      <w:r w:rsidRPr="00092862">
        <w:rPr>
          <w:rFonts w:ascii="Times New Roman" w:eastAsia="宋体" w:hAnsi="Times New Roman" w:cs="Times New Roman"/>
          <w:bCs/>
          <w:color w:val="000000" w:themeColor="text1"/>
          <w:sz w:val="24"/>
          <w:szCs w:val="24"/>
        </w:rPr>
        <w:t>值计算结果为</w:t>
      </w:r>
      <w:r w:rsidRPr="00092862">
        <w:rPr>
          <w:rFonts w:ascii="Times New Roman" w:eastAsia="宋体" w:hAnsi="Times New Roman" w:cs="Times New Roman"/>
          <w:bCs/>
          <w:color w:val="000000" w:themeColor="text1"/>
          <w:sz w:val="24"/>
          <w:szCs w:val="24"/>
        </w:rPr>
        <w:t>0.028</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Q</w:t>
      </w:r>
      <w:r w:rsidRPr="00092862">
        <w:rPr>
          <w:rFonts w:ascii="Times New Roman" w:eastAsia="宋体" w:hAnsi="Times New Roman" w:cs="Times New Roman"/>
          <w:bCs/>
          <w:color w:val="000000" w:themeColor="text1"/>
          <w:sz w:val="24"/>
          <w:szCs w:val="24"/>
        </w:rPr>
        <w:t>值＜</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w:t>
      </w:r>
      <w:r w:rsidR="00D713D7" w:rsidRPr="00092862">
        <w:rPr>
          <w:rFonts w:ascii="Times New Roman" w:eastAsia="宋体" w:hAnsi="Times New Roman" w:cs="Times New Roman"/>
          <w:bCs/>
          <w:color w:val="000000" w:themeColor="text1"/>
          <w:sz w:val="24"/>
          <w:szCs w:val="24"/>
        </w:rPr>
        <w:t>根据后文环境风险分析</w:t>
      </w:r>
      <w:r w:rsidRPr="00092862">
        <w:rPr>
          <w:rFonts w:ascii="Times New Roman" w:eastAsia="宋体" w:hAnsi="Times New Roman" w:cs="Times New Roman"/>
          <w:bCs/>
          <w:color w:val="000000" w:themeColor="text1"/>
          <w:sz w:val="24"/>
          <w:szCs w:val="24"/>
        </w:rPr>
        <w:t>，该项目环境风险潜势为</w:t>
      </w:r>
      <w:r w:rsidR="00D713D7" w:rsidRPr="00092862">
        <w:rPr>
          <w:rFonts w:ascii="Times New Roman" w:hAnsi="Times New Roman" w:cs="Times New Roman"/>
          <w:color w:val="000000" w:themeColor="text1"/>
          <w:szCs w:val="21"/>
        </w:rPr>
        <w:t>Ⅱ</w:t>
      </w:r>
      <w:r w:rsidRPr="00092862">
        <w:rPr>
          <w:rFonts w:ascii="Times New Roman" w:eastAsia="宋体" w:hAnsi="Times New Roman" w:cs="Times New Roman"/>
          <w:bCs/>
          <w:color w:val="000000" w:themeColor="text1"/>
          <w:sz w:val="24"/>
          <w:szCs w:val="24"/>
        </w:rPr>
        <w:t>。</w:t>
      </w:r>
    </w:p>
    <w:p w14:paraId="52A732A2" w14:textId="6F2D93C5"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2.6-</w:t>
      </w:r>
      <w:r w:rsidR="0010287F" w:rsidRPr="00092862">
        <w:rPr>
          <w:rFonts w:ascii="Times New Roman" w:eastAsia="黑体" w:hAnsi="Times New Roman"/>
          <w:color w:val="000000" w:themeColor="text1"/>
          <w:sz w:val="21"/>
          <w:szCs w:val="21"/>
          <w:lang w:eastAsia="zh-CN"/>
        </w:rPr>
        <w:t>9</w:t>
      </w:r>
      <w:r w:rsidR="001E2759"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环境风险评价工作等级划分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697429" w:rsidRPr="00092862" w14:paraId="35FEABA6" w14:textId="77777777" w:rsidTr="001E2759">
        <w:trPr>
          <w:jc w:val="center"/>
        </w:trPr>
        <w:tc>
          <w:tcPr>
            <w:tcW w:w="1555" w:type="dxa"/>
            <w:vAlign w:val="center"/>
          </w:tcPr>
          <w:p w14:paraId="734E4A63"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环境风险潜势</w:t>
            </w:r>
          </w:p>
        </w:tc>
        <w:tc>
          <w:tcPr>
            <w:tcW w:w="1586" w:type="dxa"/>
            <w:vAlign w:val="center"/>
          </w:tcPr>
          <w:p w14:paraId="1D88BA7E"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Ⅳ</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Ⅴ</w:t>
            </w:r>
            <w:r w:rsidRPr="00092862">
              <w:rPr>
                <w:rFonts w:ascii="Times New Roman" w:hAnsi="Times New Roman" w:cs="Times New Roman"/>
                <w:color w:val="000000" w:themeColor="text1"/>
                <w:szCs w:val="21"/>
                <w:vertAlign w:val="superscript"/>
              </w:rPr>
              <w:t>+</w:t>
            </w:r>
          </w:p>
        </w:tc>
        <w:tc>
          <w:tcPr>
            <w:tcW w:w="1601" w:type="dxa"/>
            <w:vAlign w:val="center"/>
          </w:tcPr>
          <w:p w14:paraId="21673770"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Ⅲ</w:t>
            </w:r>
          </w:p>
        </w:tc>
        <w:tc>
          <w:tcPr>
            <w:tcW w:w="1916" w:type="dxa"/>
            <w:vAlign w:val="center"/>
          </w:tcPr>
          <w:p w14:paraId="0FC677FE" w14:textId="77777777" w:rsidR="00DC446C" w:rsidRPr="00092862" w:rsidRDefault="003B1968" w:rsidP="003D2EEB">
            <w:pPr>
              <w:adjustRightInd w:val="0"/>
              <w:snapToGrid w:val="0"/>
              <w:jc w:val="center"/>
              <w:rPr>
                <w:rFonts w:ascii="Times New Roman" w:hAnsi="Times New Roman" w:cs="Times New Roman"/>
                <w:color w:val="000000" w:themeColor="text1"/>
                <w:szCs w:val="21"/>
                <w:shd w:val="pct15" w:color="auto" w:fill="FFFFFF"/>
              </w:rPr>
            </w:pPr>
            <w:r w:rsidRPr="00092862">
              <w:rPr>
                <w:rFonts w:ascii="Times New Roman" w:hAnsi="Times New Roman" w:cs="Times New Roman"/>
                <w:color w:val="000000" w:themeColor="text1"/>
                <w:szCs w:val="21"/>
                <w:shd w:val="pct15" w:color="auto" w:fill="FFFFFF"/>
              </w:rPr>
              <w:t>Ⅱ</w:t>
            </w:r>
          </w:p>
        </w:tc>
        <w:tc>
          <w:tcPr>
            <w:tcW w:w="1564" w:type="dxa"/>
            <w:vAlign w:val="center"/>
          </w:tcPr>
          <w:p w14:paraId="4BF5F682"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Ⅰ</w:t>
            </w:r>
          </w:p>
        </w:tc>
      </w:tr>
      <w:tr w:rsidR="00697429" w:rsidRPr="00092862" w14:paraId="5DFF059D" w14:textId="77777777" w:rsidTr="001E2759">
        <w:trPr>
          <w:jc w:val="center"/>
        </w:trPr>
        <w:tc>
          <w:tcPr>
            <w:tcW w:w="1555" w:type="dxa"/>
            <w:vAlign w:val="center"/>
          </w:tcPr>
          <w:p w14:paraId="060BD1A8"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评价工作等级</w:t>
            </w:r>
          </w:p>
        </w:tc>
        <w:tc>
          <w:tcPr>
            <w:tcW w:w="1586" w:type="dxa"/>
            <w:vAlign w:val="center"/>
          </w:tcPr>
          <w:p w14:paraId="0E76BF0D"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一</w:t>
            </w:r>
          </w:p>
        </w:tc>
        <w:tc>
          <w:tcPr>
            <w:tcW w:w="1601" w:type="dxa"/>
            <w:vAlign w:val="center"/>
          </w:tcPr>
          <w:p w14:paraId="7C8BFEDB"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二</w:t>
            </w:r>
          </w:p>
        </w:tc>
        <w:tc>
          <w:tcPr>
            <w:tcW w:w="1916" w:type="dxa"/>
            <w:vAlign w:val="center"/>
          </w:tcPr>
          <w:p w14:paraId="21BD0D0C" w14:textId="77777777" w:rsidR="00DC446C" w:rsidRPr="00092862" w:rsidRDefault="003B1968" w:rsidP="003D2EEB">
            <w:pPr>
              <w:adjustRightInd w:val="0"/>
              <w:snapToGrid w:val="0"/>
              <w:jc w:val="center"/>
              <w:rPr>
                <w:rFonts w:ascii="Times New Roman" w:hAnsi="Times New Roman" w:cs="Times New Roman"/>
                <w:color w:val="000000" w:themeColor="text1"/>
                <w:szCs w:val="21"/>
                <w:shd w:val="pct15" w:color="auto" w:fill="FFFFFF"/>
              </w:rPr>
            </w:pPr>
            <w:r w:rsidRPr="00092862">
              <w:rPr>
                <w:rFonts w:ascii="Times New Roman" w:hAnsi="Times New Roman" w:cs="Times New Roman"/>
                <w:color w:val="000000" w:themeColor="text1"/>
                <w:szCs w:val="21"/>
                <w:shd w:val="pct15" w:color="auto" w:fill="FFFFFF"/>
              </w:rPr>
              <w:t>三</w:t>
            </w:r>
          </w:p>
        </w:tc>
        <w:tc>
          <w:tcPr>
            <w:tcW w:w="1564" w:type="dxa"/>
            <w:vAlign w:val="center"/>
          </w:tcPr>
          <w:p w14:paraId="6CAA5801" w14:textId="77777777" w:rsidR="00DC446C" w:rsidRPr="00092862" w:rsidRDefault="003B1968" w:rsidP="003D2EEB">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简单分析</w:t>
            </w:r>
            <w:r w:rsidRPr="00092862">
              <w:rPr>
                <w:rFonts w:ascii="Times New Roman" w:hAnsi="Times New Roman" w:cs="Times New Roman"/>
                <w:color w:val="000000" w:themeColor="text1"/>
                <w:szCs w:val="21"/>
              </w:rPr>
              <w:t>a</w:t>
            </w:r>
          </w:p>
        </w:tc>
      </w:tr>
      <w:tr w:rsidR="00697429" w:rsidRPr="00092862" w14:paraId="0BD59CB2" w14:textId="77777777" w:rsidTr="001E2759">
        <w:trPr>
          <w:jc w:val="center"/>
        </w:trPr>
        <w:tc>
          <w:tcPr>
            <w:tcW w:w="8222" w:type="dxa"/>
            <w:gridSpan w:val="5"/>
            <w:vAlign w:val="center"/>
          </w:tcPr>
          <w:p w14:paraId="1B873D91" w14:textId="77777777" w:rsidR="00DC446C" w:rsidRPr="00092862" w:rsidRDefault="003B1968" w:rsidP="003D2EEB">
            <w:pPr>
              <w:adjustRightInd w:val="0"/>
              <w:snapToGrid w:val="0"/>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 xml:space="preserve">a </w:t>
            </w:r>
            <w:r w:rsidRPr="00092862">
              <w:rPr>
                <w:rFonts w:ascii="Times New Roman" w:hAnsi="Times New Roman" w:cs="Times New Roman"/>
                <w:color w:val="000000" w:themeColor="text1"/>
                <w:szCs w:val="21"/>
              </w:rPr>
              <w:t>是相对于详细评价工作内容而言，在描述危险物质、环境影响途径、环境危害后果、</w:t>
            </w:r>
          </w:p>
          <w:p w14:paraId="2E519BE0" w14:textId="77777777" w:rsidR="00DC446C" w:rsidRPr="00092862" w:rsidRDefault="003B1968" w:rsidP="003D2EEB">
            <w:pPr>
              <w:adjustRightInd w:val="0"/>
              <w:snapToGrid w:val="0"/>
              <w:rPr>
                <w:rFonts w:ascii="Times New Roman" w:hAnsi="Times New Roman" w:cs="Times New Roman"/>
                <w:color w:val="000000" w:themeColor="text1"/>
                <w:szCs w:val="21"/>
                <w:shd w:val="pct10" w:color="auto" w:fill="FFFFFF"/>
              </w:rPr>
            </w:pPr>
            <w:r w:rsidRPr="00092862">
              <w:rPr>
                <w:rFonts w:ascii="Times New Roman" w:hAnsi="Times New Roman" w:cs="Times New Roman"/>
                <w:color w:val="000000" w:themeColor="text1"/>
                <w:szCs w:val="21"/>
              </w:rPr>
              <w:t>风险防范措施等方面给出定性的说明。</w:t>
            </w:r>
          </w:p>
        </w:tc>
      </w:tr>
    </w:tbl>
    <w:p w14:paraId="3C49685C" w14:textId="77777777" w:rsidR="00D713D7" w:rsidRPr="00092862" w:rsidRDefault="00D713D7" w:rsidP="00BA2AA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根据上述环境风险潜势初判结果，本项目需做</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三级评价</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p>
    <w:p w14:paraId="1997D82C" w14:textId="1CDAC4D2" w:rsidR="00635CF6" w:rsidRPr="00092862" w:rsidRDefault="00D713D7" w:rsidP="00BA2AA3">
      <w:pPr>
        <w:tabs>
          <w:tab w:val="left" w:pos="0"/>
        </w:tabs>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但考虑到硫化氢毒性较大，一旦发生井喷事故后对环境空气影响较大，进而会对周边居民生命财产安全造成影响，因此本次评价将环境风险评价等级中的大气环境定为二级，地下水环境、地表水环境仍为三级评价，</w:t>
      </w:r>
      <w:r w:rsidR="00C60D55">
        <w:rPr>
          <w:rFonts w:ascii="Times New Roman" w:eastAsia="宋体" w:hAnsi="Times New Roman" w:cs="Times New Roman" w:hint="eastAsia"/>
          <w:b/>
          <w:color w:val="000000" w:themeColor="text1"/>
          <w:sz w:val="24"/>
          <w:szCs w:val="24"/>
        </w:rPr>
        <w:t>考虑到事故状态下的环境风险较大，本次评价环境风险等级按照</w:t>
      </w:r>
      <w:r w:rsidRPr="00092862">
        <w:rPr>
          <w:rFonts w:ascii="Times New Roman" w:eastAsia="宋体" w:hAnsi="Times New Roman" w:cs="Times New Roman"/>
          <w:b/>
          <w:color w:val="000000" w:themeColor="text1"/>
          <w:sz w:val="24"/>
          <w:szCs w:val="24"/>
        </w:rPr>
        <w:t>二级</w:t>
      </w:r>
      <w:r w:rsidR="00C60D55">
        <w:rPr>
          <w:rFonts w:ascii="Times New Roman" w:eastAsia="宋体" w:hAnsi="Times New Roman" w:cs="Times New Roman" w:hint="eastAsia"/>
          <w:b/>
          <w:color w:val="000000" w:themeColor="text1"/>
          <w:sz w:val="24"/>
          <w:szCs w:val="24"/>
        </w:rPr>
        <w:t>进行评价</w:t>
      </w:r>
      <w:r w:rsidR="00635CF6" w:rsidRPr="00092862">
        <w:rPr>
          <w:rFonts w:ascii="Times New Roman" w:eastAsia="宋体" w:hAnsi="Times New Roman" w:cs="Times New Roman"/>
          <w:b/>
          <w:color w:val="000000" w:themeColor="text1"/>
          <w:sz w:val="24"/>
          <w:szCs w:val="24"/>
        </w:rPr>
        <w:t>。</w:t>
      </w:r>
    </w:p>
    <w:p w14:paraId="1CE9149C" w14:textId="714CCDF3" w:rsidR="001E2759" w:rsidRPr="00092862" w:rsidRDefault="001E2759"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）评价范围</w:t>
      </w:r>
    </w:p>
    <w:p w14:paraId="06B666CA" w14:textId="7F279E60" w:rsidR="00D74C11" w:rsidRPr="00092862" w:rsidRDefault="00635CF6" w:rsidP="00BA2AA3">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地下水环境、地表水环境风险</w:t>
      </w:r>
      <w:r w:rsidR="008911C4" w:rsidRPr="00092862">
        <w:rPr>
          <w:rFonts w:ascii="Times New Roman" w:eastAsia="宋体" w:hAnsi="Times New Roman" w:cs="Times New Roman"/>
          <w:color w:val="000000" w:themeColor="text1"/>
          <w:sz w:val="24"/>
          <w:szCs w:val="24"/>
        </w:rPr>
        <w:t>简单分析，不设置环境风险评价范围，只对涉及的危险物质、环境影响途径、环境危害、风险防范措施等方面给出定性的说明</w:t>
      </w:r>
      <w:r w:rsidRPr="00092862">
        <w:rPr>
          <w:rFonts w:ascii="Times New Roman" w:eastAsia="宋体" w:hAnsi="Times New Roman" w:cs="Times New Roman"/>
          <w:color w:val="000000" w:themeColor="text1"/>
          <w:sz w:val="24"/>
          <w:szCs w:val="24"/>
        </w:rPr>
        <w:t>；大气环境风险评价范围确定为井口周边</w:t>
      </w:r>
      <w:r w:rsidRPr="00092862">
        <w:rPr>
          <w:rFonts w:ascii="Times New Roman" w:eastAsia="宋体" w:hAnsi="Times New Roman" w:cs="Times New Roman"/>
          <w:color w:val="000000" w:themeColor="text1"/>
          <w:sz w:val="24"/>
          <w:szCs w:val="24"/>
        </w:rPr>
        <w:t>5km</w:t>
      </w:r>
      <w:r w:rsidRPr="00092862">
        <w:rPr>
          <w:rFonts w:ascii="Times New Roman" w:eastAsia="宋体" w:hAnsi="Times New Roman" w:cs="Times New Roman"/>
          <w:color w:val="000000" w:themeColor="text1"/>
          <w:sz w:val="24"/>
          <w:szCs w:val="24"/>
        </w:rPr>
        <w:t>范围，具体评价范围与敏感目标分布见后文表</w:t>
      </w:r>
      <w:r w:rsidRPr="00092862">
        <w:rPr>
          <w:rFonts w:ascii="Times New Roman" w:eastAsia="宋体" w:hAnsi="Times New Roman" w:cs="Times New Roman"/>
          <w:color w:val="000000" w:themeColor="text1"/>
          <w:sz w:val="24"/>
          <w:szCs w:val="24"/>
        </w:rPr>
        <w:t>6.4-3</w:t>
      </w:r>
      <w:r w:rsidRPr="00092862">
        <w:rPr>
          <w:rFonts w:ascii="Times New Roman" w:eastAsia="宋体" w:hAnsi="Times New Roman" w:cs="Times New Roman"/>
          <w:color w:val="000000" w:themeColor="text1"/>
          <w:sz w:val="24"/>
          <w:szCs w:val="24"/>
        </w:rPr>
        <w:t>与图</w:t>
      </w:r>
      <w:r w:rsidRPr="00092862">
        <w:rPr>
          <w:rFonts w:ascii="Times New Roman" w:eastAsia="宋体" w:hAnsi="Times New Roman" w:cs="Times New Roman"/>
          <w:color w:val="000000" w:themeColor="text1"/>
          <w:sz w:val="24"/>
          <w:szCs w:val="24"/>
        </w:rPr>
        <w:t>6.4-1</w:t>
      </w:r>
      <w:r w:rsidR="008911C4" w:rsidRPr="00092862">
        <w:rPr>
          <w:rFonts w:ascii="Times New Roman" w:eastAsia="宋体" w:hAnsi="Times New Roman" w:cs="Times New Roman"/>
          <w:color w:val="000000" w:themeColor="text1"/>
          <w:sz w:val="24"/>
          <w:szCs w:val="24"/>
        </w:rPr>
        <w:t>。</w:t>
      </w:r>
    </w:p>
    <w:p w14:paraId="1BB89CAC" w14:textId="77777777" w:rsidR="00DC446C" w:rsidRPr="00092862" w:rsidRDefault="003B1968" w:rsidP="00FC0437">
      <w:pPr>
        <w:pStyle w:val="2"/>
        <w:adjustRightInd/>
        <w:snapToGrid/>
        <w:ind w:firstLine="480"/>
        <w:rPr>
          <w:color w:val="000000" w:themeColor="text1"/>
          <w:szCs w:val="24"/>
          <w:lang w:eastAsia="zh-CN"/>
        </w:rPr>
      </w:pPr>
      <w:bookmarkStart w:id="61" w:name="_Toc123682526"/>
      <w:r w:rsidRPr="00092862">
        <w:rPr>
          <w:color w:val="000000" w:themeColor="text1"/>
          <w:szCs w:val="24"/>
          <w:lang w:eastAsia="zh-CN"/>
        </w:rPr>
        <w:t>2.7</w:t>
      </w:r>
      <w:r w:rsidRPr="00092862">
        <w:rPr>
          <w:color w:val="000000" w:themeColor="text1"/>
          <w:szCs w:val="24"/>
          <w:lang w:eastAsia="zh-CN"/>
        </w:rPr>
        <w:t>相关政策、规范符合性分析</w:t>
      </w:r>
      <w:bookmarkEnd w:id="61"/>
    </w:p>
    <w:p w14:paraId="145F3639" w14:textId="37E9DA53" w:rsidR="00DC446C" w:rsidRPr="00092862" w:rsidRDefault="003B1968" w:rsidP="00FC0437">
      <w:pPr>
        <w:pStyle w:val="3"/>
        <w:spacing w:before="0" w:after="0" w:line="360" w:lineRule="auto"/>
        <w:ind w:firstLineChars="200" w:firstLine="480"/>
        <w:rPr>
          <w:rFonts w:ascii="Times New Roman" w:eastAsia="黑体" w:hAnsi="Times New Roman"/>
          <w:b w:val="0"/>
          <w:color w:val="000000" w:themeColor="text1"/>
          <w:sz w:val="24"/>
          <w:szCs w:val="24"/>
          <w:lang w:eastAsia="zh-CN"/>
        </w:rPr>
      </w:pPr>
      <w:bookmarkStart w:id="62" w:name="_Toc120173078"/>
      <w:r w:rsidRPr="00092862">
        <w:rPr>
          <w:rFonts w:ascii="Times New Roman" w:eastAsia="黑体" w:hAnsi="Times New Roman"/>
          <w:b w:val="0"/>
          <w:color w:val="000000" w:themeColor="text1"/>
          <w:sz w:val="24"/>
          <w:szCs w:val="24"/>
          <w:lang w:eastAsia="zh-CN"/>
        </w:rPr>
        <w:t>2.7.1</w:t>
      </w:r>
      <w:r w:rsidRPr="00092862">
        <w:rPr>
          <w:rFonts w:ascii="Times New Roman" w:eastAsia="黑体" w:hAnsi="Times New Roman"/>
          <w:b w:val="0"/>
          <w:color w:val="000000" w:themeColor="text1"/>
          <w:sz w:val="24"/>
          <w:szCs w:val="24"/>
          <w:lang w:eastAsia="zh-CN"/>
        </w:rPr>
        <w:t>产业政策</w:t>
      </w:r>
      <w:r w:rsidR="008E4753" w:rsidRPr="00092862">
        <w:rPr>
          <w:rFonts w:ascii="Times New Roman" w:eastAsia="黑体" w:hAnsi="Times New Roman"/>
          <w:b w:val="0"/>
          <w:color w:val="000000" w:themeColor="text1"/>
          <w:sz w:val="24"/>
          <w:szCs w:val="24"/>
          <w:lang w:eastAsia="zh-CN"/>
        </w:rPr>
        <w:t>及相关文件</w:t>
      </w:r>
      <w:r w:rsidRPr="00092862">
        <w:rPr>
          <w:rFonts w:ascii="Times New Roman" w:eastAsia="黑体" w:hAnsi="Times New Roman"/>
          <w:b w:val="0"/>
          <w:color w:val="000000" w:themeColor="text1"/>
          <w:sz w:val="24"/>
          <w:szCs w:val="24"/>
          <w:lang w:eastAsia="zh-CN"/>
        </w:rPr>
        <w:t>符合性分析</w:t>
      </w:r>
      <w:bookmarkEnd w:id="62"/>
    </w:p>
    <w:p w14:paraId="23AFE3FA" w14:textId="5D84C8A5" w:rsidR="00C859D8" w:rsidRPr="00092862" w:rsidRDefault="00C859D8" w:rsidP="00FC0437">
      <w:pPr>
        <w:tabs>
          <w:tab w:val="left" w:pos="0"/>
        </w:tabs>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1</w:t>
      </w:r>
      <w:r w:rsidRPr="00092862">
        <w:rPr>
          <w:rFonts w:ascii="Times New Roman" w:eastAsia="黑体" w:hAnsi="Times New Roman" w:cs="Times New Roman"/>
          <w:bCs/>
          <w:color w:val="000000" w:themeColor="text1"/>
          <w:sz w:val="24"/>
          <w:szCs w:val="24"/>
        </w:rPr>
        <w:t>、与《产业结构调整指导目录》的符合性分析</w:t>
      </w:r>
    </w:p>
    <w:p w14:paraId="3601A896" w14:textId="3BC34001" w:rsidR="008911C4" w:rsidRPr="00092862" w:rsidRDefault="008911C4" w:rsidP="00FC0437">
      <w:pPr>
        <w:tabs>
          <w:tab w:val="left" w:pos="0"/>
        </w:tabs>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根据《产业结构调整指导目录（</w:t>
      </w:r>
      <w:r w:rsidRPr="00092862">
        <w:rPr>
          <w:rFonts w:ascii="Times New Roman" w:eastAsia="宋体" w:hAnsi="Times New Roman" w:cs="Times New Roman"/>
          <w:color w:val="000000" w:themeColor="text1"/>
          <w:sz w:val="24"/>
        </w:rPr>
        <w:t>2019</w:t>
      </w:r>
      <w:r w:rsidRPr="00092862">
        <w:rPr>
          <w:rFonts w:ascii="Times New Roman" w:eastAsia="宋体" w:hAnsi="Times New Roman" w:cs="Times New Roman"/>
          <w:color w:val="000000" w:themeColor="text1"/>
          <w:sz w:val="24"/>
        </w:rPr>
        <w:t>年本）》与《国家发展改革委关于修改</w:t>
      </w:r>
      <w:r w:rsidRPr="00092862">
        <w:rPr>
          <w:rFonts w:ascii="Times New Roman" w:eastAsia="宋体" w:hAnsi="Times New Roman" w:cs="Times New Roman"/>
          <w:color w:val="000000" w:themeColor="text1"/>
          <w:sz w:val="24"/>
        </w:rPr>
        <w:t>&lt;</w:t>
      </w:r>
      <w:r w:rsidRPr="00092862">
        <w:rPr>
          <w:rFonts w:ascii="Times New Roman" w:eastAsia="宋体" w:hAnsi="Times New Roman" w:cs="Times New Roman"/>
          <w:color w:val="000000" w:themeColor="text1"/>
          <w:sz w:val="24"/>
        </w:rPr>
        <w:t>产业结构调整指导目录（</w:t>
      </w:r>
      <w:r w:rsidRPr="00092862">
        <w:rPr>
          <w:rFonts w:ascii="Times New Roman" w:eastAsia="宋体" w:hAnsi="Times New Roman" w:cs="Times New Roman"/>
          <w:color w:val="000000" w:themeColor="text1"/>
          <w:sz w:val="24"/>
        </w:rPr>
        <w:t>2019</w:t>
      </w:r>
      <w:r w:rsidRPr="00092862">
        <w:rPr>
          <w:rFonts w:ascii="Times New Roman" w:eastAsia="宋体" w:hAnsi="Times New Roman" w:cs="Times New Roman"/>
          <w:color w:val="000000" w:themeColor="text1"/>
          <w:sz w:val="24"/>
        </w:rPr>
        <w:t>年本）</w:t>
      </w:r>
      <w:r w:rsidRPr="00092862">
        <w:rPr>
          <w:rFonts w:ascii="Times New Roman" w:eastAsia="宋体" w:hAnsi="Times New Roman" w:cs="Times New Roman"/>
          <w:color w:val="000000" w:themeColor="text1"/>
          <w:sz w:val="24"/>
        </w:rPr>
        <w:t>&gt;</w:t>
      </w:r>
      <w:r w:rsidRPr="00092862">
        <w:rPr>
          <w:rFonts w:ascii="Times New Roman" w:eastAsia="宋体" w:hAnsi="Times New Roman" w:cs="Times New Roman"/>
          <w:color w:val="000000" w:themeColor="text1"/>
          <w:sz w:val="24"/>
        </w:rPr>
        <w:t>的决定》</w:t>
      </w:r>
      <w:r w:rsidR="00485439" w:rsidRPr="00092862">
        <w:rPr>
          <w:rFonts w:ascii="Times New Roman" w:eastAsia="宋体" w:hAnsi="Times New Roman" w:cs="Times New Roman"/>
          <w:bCs/>
          <w:color w:val="000000" w:themeColor="text1"/>
          <w:sz w:val="24"/>
          <w:szCs w:val="24"/>
        </w:rPr>
        <w:t>（</w:t>
      </w:r>
      <w:r w:rsidR="00485439" w:rsidRPr="00092862">
        <w:rPr>
          <w:rFonts w:ascii="Times New Roman" w:eastAsia="宋体" w:hAnsi="Times New Roman" w:cs="Times New Roman"/>
          <w:bCs/>
          <w:color w:val="000000" w:themeColor="text1"/>
          <w:sz w:val="24"/>
          <w:szCs w:val="24"/>
        </w:rPr>
        <w:t>2021</w:t>
      </w:r>
      <w:r w:rsidR="00485439" w:rsidRPr="00092862">
        <w:rPr>
          <w:rFonts w:ascii="Times New Roman" w:eastAsia="宋体" w:hAnsi="Times New Roman" w:cs="Times New Roman"/>
          <w:bCs/>
          <w:color w:val="000000" w:themeColor="text1"/>
          <w:sz w:val="24"/>
          <w:szCs w:val="24"/>
        </w:rPr>
        <w:t>年修订）</w:t>
      </w:r>
      <w:r w:rsidRPr="00092862">
        <w:rPr>
          <w:rFonts w:ascii="Times New Roman" w:eastAsia="宋体" w:hAnsi="Times New Roman" w:cs="Times New Roman"/>
          <w:color w:val="000000" w:themeColor="text1"/>
          <w:sz w:val="24"/>
        </w:rPr>
        <w:t>，本项目属于《产业结构调整指导目录》（</w:t>
      </w:r>
      <w:r w:rsidRPr="00092862">
        <w:rPr>
          <w:rFonts w:ascii="Times New Roman" w:eastAsia="宋体" w:hAnsi="Times New Roman" w:cs="Times New Roman"/>
          <w:color w:val="000000" w:themeColor="text1"/>
          <w:sz w:val="24"/>
        </w:rPr>
        <w:t>2019</w:t>
      </w:r>
      <w:r w:rsidRPr="00092862">
        <w:rPr>
          <w:rFonts w:ascii="Times New Roman" w:eastAsia="宋体" w:hAnsi="Times New Roman" w:cs="Times New Roman"/>
          <w:color w:val="000000" w:themeColor="text1"/>
          <w:sz w:val="24"/>
        </w:rPr>
        <w:t>年本）鼓励类中第七条</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石油、天然气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中的第</w:t>
      </w:r>
      <w:r w:rsidR="0071764F" w:rsidRPr="00092862">
        <w:rPr>
          <w:rFonts w:ascii="Times New Roman" w:eastAsia="宋体" w:hAnsi="Times New Roman" w:cs="Times New Roman"/>
          <w:color w:val="000000" w:themeColor="text1"/>
          <w:sz w:val="24"/>
        </w:rPr>
        <w:t>一</w:t>
      </w:r>
      <w:r w:rsidRPr="00092862">
        <w:rPr>
          <w:rFonts w:ascii="Times New Roman" w:eastAsia="宋体" w:hAnsi="Times New Roman" w:cs="Times New Roman"/>
          <w:color w:val="000000" w:themeColor="text1"/>
          <w:sz w:val="24"/>
        </w:rPr>
        <w:t>款：</w:t>
      </w:r>
      <w:r w:rsidRPr="00092862">
        <w:rPr>
          <w:rFonts w:ascii="Times New Roman" w:eastAsia="宋体" w:hAnsi="Times New Roman" w:cs="Times New Roman"/>
          <w:color w:val="000000" w:themeColor="text1"/>
          <w:sz w:val="24"/>
        </w:rPr>
        <w:t>“</w:t>
      </w:r>
      <w:r w:rsidR="0071764F" w:rsidRPr="00092862">
        <w:rPr>
          <w:rFonts w:ascii="Times New Roman" w:eastAsia="宋体" w:hAnsi="Times New Roman" w:cs="Times New Roman"/>
          <w:color w:val="000000" w:themeColor="text1"/>
          <w:sz w:val="24"/>
        </w:rPr>
        <w:t>常规石油、天然气勘探与开采</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w:t>
      </w:r>
    </w:p>
    <w:p w14:paraId="2DC9BB4C" w14:textId="78AD4D58" w:rsidR="00DC446C" w:rsidRPr="00092862" w:rsidRDefault="008911C4" w:rsidP="00FC0437">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rPr>
        <w:t>因此本项目建设符合国家产业政策。</w:t>
      </w:r>
    </w:p>
    <w:p w14:paraId="2F232568" w14:textId="77777777" w:rsidR="00C859D8" w:rsidRPr="00092862" w:rsidRDefault="00C859D8" w:rsidP="00FC0437">
      <w:pPr>
        <w:tabs>
          <w:tab w:val="left" w:pos="0"/>
        </w:tabs>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lastRenderedPageBreak/>
        <w:t>2</w:t>
      </w:r>
      <w:r w:rsidRPr="00092862">
        <w:rPr>
          <w:rFonts w:ascii="Times New Roman" w:eastAsia="黑体" w:hAnsi="Times New Roman" w:cs="Times New Roman"/>
          <w:bCs/>
          <w:color w:val="000000" w:themeColor="text1"/>
          <w:sz w:val="24"/>
          <w:szCs w:val="24"/>
        </w:rPr>
        <w:t>、与《石油天然气开采业污染防治技术政策》的符合性分析</w:t>
      </w:r>
    </w:p>
    <w:p w14:paraId="725ED59A" w14:textId="77777777" w:rsidR="00C859D8" w:rsidRPr="00092862" w:rsidRDefault="00C859D8" w:rsidP="00FC0437">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根据《石油天然气开采业污染防治技术政策》（</w:t>
      </w:r>
      <w:r w:rsidR="005C599D"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2012</w:t>
      </w:r>
      <w:r w:rsidR="005C599D"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18</w:t>
      </w:r>
      <w:r w:rsidRPr="00092862">
        <w:rPr>
          <w:rFonts w:ascii="Times New Roman" w:eastAsia="宋体" w:hAnsi="Times New Roman" w:cs="Times New Roman"/>
          <w:color w:val="000000" w:themeColor="text1"/>
          <w:sz w:val="24"/>
        </w:rPr>
        <w:t>号），本项目与《石油天然气开采业污染防治技术政策》符合性分析见下表。</w:t>
      </w:r>
    </w:p>
    <w:p w14:paraId="3B357872" w14:textId="77777777" w:rsidR="00C859D8" w:rsidRPr="00092862" w:rsidRDefault="00C859D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2.7-1  </w:t>
      </w:r>
      <w:r w:rsidRPr="00092862">
        <w:rPr>
          <w:rFonts w:ascii="Times New Roman" w:eastAsia="黑体" w:hAnsi="Times New Roman"/>
          <w:color w:val="000000" w:themeColor="text1"/>
          <w:sz w:val="21"/>
          <w:szCs w:val="21"/>
          <w:lang w:eastAsia="zh-CN"/>
        </w:rPr>
        <w:t>与《石油天然气开采业污染防治技术政策》符合性分析表</w:t>
      </w:r>
    </w:p>
    <w:tbl>
      <w:tblPr>
        <w:tblStyle w:val="aff"/>
        <w:tblW w:w="0" w:type="auto"/>
        <w:tblLook w:val="04A0" w:firstRow="1" w:lastRow="0" w:firstColumn="1" w:lastColumn="0" w:noHBand="0" w:noVBand="1"/>
      </w:tblPr>
      <w:tblGrid>
        <w:gridCol w:w="709"/>
        <w:gridCol w:w="3686"/>
        <w:gridCol w:w="2976"/>
        <w:gridCol w:w="925"/>
      </w:tblGrid>
      <w:tr w:rsidR="00697429" w:rsidRPr="00092862" w14:paraId="4FBBA62A" w14:textId="77777777" w:rsidTr="00BB01C2">
        <w:tc>
          <w:tcPr>
            <w:tcW w:w="709" w:type="dxa"/>
            <w:vAlign w:val="center"/>
          </w:tcPr>
          <w:p w14:paraId="3858036C"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3686" w:type="dxa"/>
            <w:vAlign w:val="center"/>
          </w:tcPr>
          <w:p w14:paraId="23881510"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技术政策要求</w:t>
            </w:r>
          </w:p>
        </w:tc>
        <w:tc>
          <w:tcPr>
            <w:tcW w:w="2976" w:type="dxa"/>
            <w:vAlign w:val="center"/>
          </w:tcPr>
          <w:p w14:paraId="369CBD96"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本工程内容</w:t>
            </w:r>
          </w:p>
        </w:tc>
        <w:tc>
          <w:tcPr>
            <w:tcW w:w="925" w:type="dxa"/>
            <w:vAlign w:val="center"/>
          </w:tcPr>
          <w:p w14:paraId="3621F4DE"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w:t>
            </w:r>
          </w:p>
        </w:tc>
      </w:tr>
      <w:tr w:rsidR="00697429" w:rsidRPr="00092862" w14:paraId="5F224378" w14:textId="77777777" w:rsidTr="00BB01C2">
        <w:tc>
          <w:tcPr>
            <w:tcW w:w="709" w:type="dxa"/>
            <w:vAlign w:val="center"/>
          </w:tcPr>
          <w:p w14:paraId="6CE277F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w:t>
            </w:r>
          </w:p>
        </w:tc>
        <w:tc>
          <w:tcPr>
            <w:tcW w:w="7587" w:type="dxa"/>
            <w:gridSpan w:val="3"/>
            <w:vAlign w:val="center"/>
          </w:tcPr>
          <w:p w14:paraId="47212F59"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清洁生产</w:t>
            </w:r>
          </w:p>
        </w:tc>
      </w:tr>
      <w:tr w:rsidR="00697429" w:rsidRPr="00092862" w14:paraId="0EE98071" w14:textId="77777777" w:rsidTr="00BB01C2">
        <w:tc>
          <w:tcPr>
            <w:tcW w:w="709" w:type="dxa"/>
            <w:vAlign w:val="center"/>
          </w:tcPr>
          <w:p w14:paraId="40834024"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3686" w:type="dxa"/>
            <w:vAlign w:val="center"/>
          </w:tcPr>
          <w:p w14:paraId="06406DF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油气田建设应总体规划，优化布局，整体开发，减少占地和油气损失，实现油气和废物的集中收集、处理处置。</w:t>
            </w:r>
          </w:p>
        </w:tc>
        <w:tc>
          <w:tcPr>
            <w:tcW w:w="2976" w:type="dxa"/>
            <w:vAlign w:val="center"/>
          </w:tcPr>
          <w:p w14:paraId="70C82C4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本项目属于气田的开发和管线建设，占地较少，废水收集集中处置，废物收集集中处置。</w:t>
            </w:r>
          </w:p>
        </w:tc>
        <w:tc>
          <w:tcPr>
            <w:tcW w:w="925" w:type="dxa"/>
            <w:vAlign w:val="center"/>
          </w:tcPr>
          <w:p w14:paraId="4A57371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2C742D1" w14:textId="77777777" w:rsidTr="00BB01C2">
        <w:tc>
          <w:tcPr>
            <w:tcW w:w="709" w:type="dxa"/>
            <w:vAlign w:val="center"/>
          </w:tcPr>
          <w:p w14:paraId="2EF1380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3686" w:type="dxa"/>
            <w:vAlign w:val="center"/>
          </w:tcPr>
          <w:p w14:paraId="76FF619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油气田开发不得使用含有国际公约禁用化学物质的油气田化学剂，逐步淘汰微毒及以上油气田化学剂，鼓励使用无毒油气田化学剂。</w:t>
            </w:r>
          </w:p>
        </w:tc>
        <w:tc>
          <w:tcPr>
            <w:tcW w:w="2976" w:type="dxa"/>
            <w:vAlign w:val="center"/>
          </w:tcPr>
          <w:p w14:paraId="3E500A7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本项目无国际公约禁用化学物质，符合要求。</w:t>
            </w:r>
          </w:p>
        </w:tc>
        <w:tc>
          <w:tcPr>
            <w:tcW w:w="925" w:type="dxa"/>
            <w:vAlign w:val="center"/>
          </w:tcPr>
          <w:p w14:paraId="1FAF4A6F"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9D39509" w14:textId="77777777" w:rsidTr="00BB01C2">
        <w:tc>
          <w:tcPr>
            <w:tcW w:w="709" w:type="dxa"/>
            <w:vAlign w:val="center"/>
          </w:tcPr>
          <w:p w14:paraId="515B1222"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3686" w:type="dxa"/>
            <w:vAlign w:val="center"/>
          </w:tcPr>
          <w:p w14:paraId="2DD383C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在油气勘探过程中，宜使用环保型炸药和可控震源，应采取防渗等措施预防燃料泄漏对环境的污染。</w:t>
            </w:r>
          </w:p>
        </w:tc>
        <w:tc>
          <w:tcPr>
            <w:tcW w:w="2976" w:type="dxa"/>
            <w:vAlign w:val="center"/>
          </w:tcPr>
          <w:p w14:paraId="2672886A"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本项目无需炸药，油罐区设置地面硬化防渗和设置集油池，符合要求。</w:t>
            </w:r>
          </w:p>
        </w:tc>
        <w:tc>
          <w:tcPr>
            <w:tcW w:w="925" w:type="dxa"/>
            <w:vAlign w:val="center"/>
          </w:tcPr>
          <w:p w14:paraId="12E8034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7CB4AB6" w14:textId="77777777" w:rsidTr="00BB01C2">
        <w:tc>
          <w:tcPr>
            <w:tcW w:w="709" w:type="dxa"/>
            <w:vAlign w:val="center"/>
          </w:tcPr>
          <w:p w14:paraId="750961F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3686" w:type="dxa"/>
            <w:vAlign w:val="center"/>
          </w:tcPr>
          <w:p w14:paraId="04004FEC"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在钻井过程中，鼓励采用环境友好的钻井液体系；配备完善的固控设备，钻井液循环率达到</w:t>
            </w:r>
            <w:r w:rsidRPr="00092862">
              <w:rPr>
                <w:rFonts w:ascii="Times New Roman" w:eastAsia="宋体" w:hAnsi="Times New Roman" w:cs="Times New Roman"/>
                <w:color w:val="000000" w:themeColor="text1"/>
                <w:szCs w:val="21"/>
              </w:rPr>
              <w:t>95%</w:t>
            </w:r>
            <w:r w:rsidRPr="00092862">
              <w:rPr>
                <w:rFonts w:ascii="Times New Roman" w:eastAsia="宋体" w:hAnsi="Times New Roman" w:cs="Times New Roman"/>
                <w:color w:val="000000" w:themeColor="text1"/>
                <w:szCs w:val="21"/>
              </w:rPr>
              <w:t>以上；钻井过程产生的废水应回用。</w:t>
            </w:r>
          </w:p>
        </w:tc>
        <w:tc>
          <w:tcPr>
            <w:tcW w:w="2976" w:type="dxa"/>
            <w:vAlign w:val="center"/>
          </w:tcPr>
          <w:p w14:paraId="1B06C8B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本项目采用水基钻井液，固控设备完善，钻井液循环率达到</w:t>
            </w:r>
            <w:r w:rsidRPr="00092862">
              <w:rPr>
                <w:rFonts w:ascii="Times New Roman" w:eastAsia="宋体" w:hAnsi="Times New Roman" w:cs="Times New Roman"/>
                <w:color w:val="000000" w:themeColor="text1"/>
                <w:szCs w:val="21"/>
              </w:rPr>
              <w:t>95%</w:t>
            </w:r>
            <w:r w:rsidRPr="00092862">
              <w:rPr>
                <w:rFonts w:ascii="Times New Roman" w:eastAsia="宋体" w:hAnsi="Times New Roman" w:cs="Times New Roman"/>
                <w:color w:val="000000" w:themeColor="text1"/>
                <w:szCs w:val="21"/>
              </w:rPr>
              <w:t>以上，钻井废水处理回用，符合要求。</w:t>
            </w:r>
          </w:p>
        </w:tc>
        <w:tc>
          <w:tcPr>
            <w:tcW w:w="925" w:type="dxa"/>
            <w:vAlign w:val="center"/>
          </w:tcPr>
          <w:p w14:paraId="6E4E958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7584E98" w14:textId="77777777" w:rsidTr="00BB01C2">
        <w:tc>
          <w:tcPr>
            <w:tcW w:w="709" w:type="dxa"/>
            <w:vAlign w:val="center"/>
          </w:tcPr>
          <w:p w14:paraId="2CFE0CE6"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3686" w:type="dxa"/>
            <w:vAlign w:val="center"/>
          </w:tcPr>
          <w:p w14:paraId="294192CC"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在井下作业过程中，酸化液和压裂液宜集中配制，酸化残液、压裂残液和返排液应回收利用或进行无害化处置，压裂放喷返排入罐率应达到</w:t>
            </w:r>
            <w:r w:rsidRPr="00092862">
              <w:rPr>
                <w:rFonts w:ascii="Times New Roman" w:eastAsia="宋体" w:hAnsi="Times New Roman" w:cs="Times New Roman"/>
                <w:color w:val="000000" w:themeColor="text1"/>
                <w:szCs w:val="21"/>
              </w:rPr>
              <w:t>100%</w:t>
            </w:r>
            <w:r w:rsidRPr="00092862">
              <w:rPr>
                <w:rFonts w:ascii="Times New Roman" w:eastAsia="宋体" w:hAnsi="Times New Roman" w:cs="Times New Roman"/>
                <w:color w:val="000000" w:themeColor="text1"/>
                <w:szCs w:val="21"/>
              </w:rPr>
              <w:t>。酸化、压裂作业和试油（气）过程应采取防喷、地面管线防刺、防漏、防溢等措施。</w:t>
            </w:r>
          </w:p>
        </w:tc>
        <w:tc>
          <w:tcPr>
            <w:tcW w:w="2976" w:type="dxa"/>
            <w:vAlign w:val="center"/>
          </w:tcPr>
          <w:p w14:paraId="53A95B46"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本项目酸化残液、压裂残液和返排液暂存放喷池后外运处置，压裂放喷返排入罐率为</w:t>
            </w:r>
            <w:r w:rsidRPr="00092862">
              <w:rPr>
                <w:rFonts w:ascii="Times New Roman" w:eastAsia="宋体" w:hAnsi="Times New Roman" w:cs="Times New Roman"/>
                <w:color w:val="000000" w:themeColor="text1"/>
                <w:szCs w:val="21"/>
              </w:rPr>
              <w:t>100%</w:t>
            </w:r>
            <w:r w:rsidRPr="00092862">
              <w:rPr>
                <w:rFonts w:ascii="Times New Roman" w:eastAsia="宋体" w:hAnsi="Times New Roman" w:cs="Times New Roman"/>
                <w:color w:val="000000" w:themeColor="text1"/>
                <w:szCs w:val="21"/>
              </w:rPr>
              <w:t>，采取了防漏、防溢措施，全部外运处理，符合要求。</w:t>
            </w:r>
          </w:p>
        </w:tc>
        <w:tc>
          <w:tcPr>
            <w:tcW w:w="925" w:type="dxa"/>
            <w:vAlign w:val="center"/>
          </w:tcPr>
          <w:p w14:paraId="231F6AF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3D19046" w14:textId="77777777" w:rsidTr="00BB01C2">
        <w:tc>
          <w:tcPr>
            <w:tcW w:w="709" w:type="dxa"/>
            <w:vAlign w:val="center"/>
          </w:tcPr>
          <w:p w14:paraId="61CBD929"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二</w:t>
            </w:r>
          </w:p>
        </w:tc>
        <w:tc>
          <w:tcPr>
            <w:tcW w:w="7587" w:type="dxa"/>
            <w:gridSpan w:val="3"/>
            <w:vAlign w:val="center"/>
          </w:tcPr>
          <w:p w14:paraId="6456DFB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生态保护</w:t>
            </w:r>
          </w:p>
        </w:tc>
      </w:tr>
      <w:tr w:rsidR="00697429" w:rsidRPr="00092862" w14:paraId="4546DE85" w14:textId="77777777" w:rsidTr="00BB01C2">
        <w:tc>
          <w:tcPr>
            <w:tcW w:w="709" w:type="dxa"/>
            <w:vAlign w:val="center"/>
          </w:tcPr>
          <w:p w14:paraId="4998C5F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3686" w:type="dxa"/>
            <w:vAlign w:val="center"/>
          </w:tcPr>
          <w:p w14:paraId="04F05ECB"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在开发过程中，伴生气应回收利用，减少温室气体排放，不具备回收利用条件的，应充分燃烧，伴生气回收利用率应达到</w:t>
            </w:r>
            <w:r w:rsidRPr="00092862">
              <w:rPr>
                <w:rFonts w:ascii="Times New Roman" w:eastAsia="宋体" w:hAnsi="Times New Roman" w:cs="Times New Roman"/>
                <w:color w:val="000000" w:themeColor="text1"/>
                <w:szCs w:val="21"/>
              </w:rPr>
              <w:t xml:space="preserve"> 80%</w:t>
            </w:r>
            <w:r w:rsidRPr="00092862">
              <w:rPr>
                <w:rFonts w:ascii="Times New Roman" w:eastAsia="宋体" w:hAnsi="Times New Roman" w:cs="Times New Roman"/>
                <w:color w:val="000000" w:themeColor="text1"/>
                <w:szCs w:val="21"/>
              </w:rPr>
              <w:t>以上；站场放空天然气应充分燃烧。燃烧放空设施应避开鸟类迁徙通道。</w:t>
            </w:r>
          </w:p>
        </w:tc>
        <w:tc>
          <w:tcPr>
            <w:tcW w:w="2976" w:type="dxa"/>
            <w:vAlign w:val="center"/>
          </w:tcPr>
          <w:p w14:paraId="14714A18" w14:textId="7146F418"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放喷过程中不具备利用条件，在放喷池进行充分燃烧。放喷池</w:t>
            </w:r>
            <w:r w:rsidR="00FC0437" w:rsidRPr="00092862">
              <w:rPr>
                <w:rFonts w:ascii="Times New Roman" w:eastAsia="宋体" w:hAnsi="Times New Roman" w:cs="Times New Roman"/>
                <w:color w:val="000000" w:themeColor="text1"/>
                <w:szCs w:val="21"/>
              </w:rPr>
              <w:t>未</w:t>
            </w:r>
            <w:r w:rsidRPr="00092862">
              <w:rPr>
                <w:rFonts w:ascii="Times New Roman" w:eastAsia="宋体" w:hAnsi="Times New Roman" w:cs="Times New Roman"/>
                <w:color w:val="000000" w:themeColor="text1"/>
                <w:szCs w:val="21"/>
              </w:rPr>
              <w:t>位于鸟类迁徙通道上。</w:t>
            </w:r>
          </w:p>
        </w:tc>
        <w:tc>
          <w:tcPr>
            <w:tcW w:w="925" w:type="dxa"/>
            <w:vAlign w:val="center"/>
          </w:tcPr>
          <w:p w14:paraId="593444F9"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0C3E3B1" w14:textId="77777777" w:rsidTr="00BB01C2">
        <w:tc>
          <w:tcPr>
            <w:tcW w:w="709" w:type="dxa"/>
            <w:vAlign w:val="center"/>
          </w:tcPr>
          <w:p w14:paraId="4AD37AE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w:t>
            </w:r>
          </w:p>
        </w:tc>
        <w:tc>
          <w:tcPr>
            <w:tcW w:w="7587" w:type="dxa"/>
            <w:gridSpan w:val="3"/>
            <w:vAlign w:val="center"/>
          </w:tcPr>
          <w:p w14:paraId="2E1E703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污染治理</w:t>
            </w:r>
          </w:p>
        </w:tc>
      </w:tr>
      <w:tr w:rsidR="00697429" w:rsidRPr="00092862" w14:paraId="10AF639F" w14:textId="77777777" w:rsidTr="00BB01C2">
        <w:tc>
          <w:tcPr>
            <w:tcW w:w="709" w:type="dxa"/>
            <w:vAlign w:val="center"/>
          </w:tcPr>
          <w:p w14:paraId="5602E4DA"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3686" w:type="dxa"/>
            <w:vAlign w:val="center"/>
          </w:tcPr>
          <w:p w14:paraId="48125A1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976" w:type="dxa"/>
            <w:vAlign w:val="center"/>
          </w:tcPr>
          <w:p w14:paraId="0316BE23" w14:textId="301645E8"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w:t>
            </w:r>
            <w:r w:rsidR="00273994" w:rsidRPr="00092862">
              <w:rPr>
                <w:rFonts w:ascii="Times New Roman" w:eastAsia="宋体" w:hAnsi="Times New Roman" w:cs="Times New Roman"/>
                <w:color w:val="000000" w:themeColor="text1"/>
                <w:szCs w:val="21"/>
              </w:rPr>
              <w:t>剩余钻井废水暂存于清洁生产操作平台的废水罐内，经预处理后装车拉运至普光</w:t>
            </w:r>
            <w:r w:rsidR="00273994" w:rsidRPr="00092862">
              <w:rPr>
                <w:rFonts w:ascii="Times New Roman" w:eastAsia="宋体" w:hAnsi="Times New Roman" w:cs="Times New Roman"/>
                <w:color w:val="000000" w:themeColor="text1"/>
                <w:szCs w:val="21"/>
              </w:rPr>
              <w:t>11</w:t>
            </w:r>
            <w:r w:rsidR="00273994" w:rsidRPr="00092862">
              <w:rPr>
                <w:rFonts w:ascii="Times New Roman" w:eastAsia="宋体" w:hAnsi="Times New Roman" w:cs="Times New Roman"/>
                <w:color w:val="000000" w:themeColor="text1"/>
                <w:szCs w:val="21"/>
              </w:rPr>
              <w:t>井回注站回注；压裂废水和洗井废水暂存于放喷池，装车拉运至赵家坝污水处理站达标后管输至普光</w:t>
            </w:r>
            <w:r w:rsidR="00273994" w:rsidRPr="00092862">
              <w:rPr>
                <w:rFonts w:ascii="Times New Roman" w:eastAsia="宋体" w:hAnsi="Times New Roman" w:cs="Times New Roman"/>
                <w:color w:val="000000" w:themeColor="text1"/>
                <w:szCs w:val="21"/>
              </w:rPr>
              <w:t>11</w:t>
            </w:r>
            <w:r w:rsidR="00273994" w:rsidRPr="00092862">
              <w:rPr>
                <w:rFonts w:ascii="Times New Roman" w:eastAsia="宋体" w:hAnsi="Times New Roman" w:cs="Times New Roman"/>
                <w:color w:val="000000" w:themeColor="text1"/>
                <w:szCs w:val="21"/>
              </w:rPr>
              <w:t>井回注站回注</w:t>
            </w:r>
            <w:r w:rsidRPr="00092862">
              <w:rPr>
                <w:rFonts w:ascii="Times New Roman" w:eastAsia="宋体" w:hAnsi="Times New Roman" w:cs="Times New Roman"/>
                <w:color w:val="000000" w:themeColor="text1"/>
                <w:szCs w:val="21"/>
              </w:rPr>
              <w:t>。</w:t>
            </w:r>
          </w:p>
        </w:tc>
        <w:tc>
          <w:tcPr>
            <w:tcW w:w="925" w:type="dxa"/>
            <w:vAlign w:val="center"/>
          </w:tcPr>
          <w:p w14:paraId="1A88E46A"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FCC328A" w14:textId="77777777" w:rsidTr="00BB01C2">
        <w:tc>
          <w:tcPr>
            <w:tcW w:w="709" w:type="dxa"/>
            <w:vAlign w:val="center"/>
          </w:tcPr>
          <w:p w14:paraId="338D7C3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3686" w:type="dxa"/>
            <w:vAlign w:val="center"/>
          </w:tcPr>
          <w:p w14:paraId="55E31F5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固体废物收集、贮存、处理处置设施应按照标准要求采取防渗措施。试油（气）后应立即封闭废弃钻井液贮池。</w:t>
            </w:r>
          </w:p>
        </w:tc>
        <w:tc>
          <w:tcPr>
            <w:tcW w:w="2976" w:type="dxa"/>
            <w:vAlign w:val="center"/>
          </w:tcPr>
          <w:p w14:paraId="053588B9"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钻井岩屑及泥浆采取资源化利用。完井后对泥浆不落地操作平台清理后复垦。</w:t>
            </w:r>
          </w:p>
        </w:tc>
        <w:tc>
          <w:tcPr>
            <w:tcW w:w="925" w:type="dxa"/>
            <w:vAlign w:val="center"/>
          </w:tcPr>
          <w:p w14:paraId="71CAE550"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4599FA0" w14:textId="77777777" w:rsidTr="00BB01C2">
        <w:tc>
          <w:tcPr>
            <w:tcW w:w="709" w:type="dxa"/>
            <w:vAlign w:val="center"/>
          </w:tcPr>
          <w:p w14:paraId="27BB9101"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3686" w:type="dxa"/>
            <w:vAlign w:val="center"/>
          </w:tcPr>
          <w:p w14:paraId="61B6A80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应回收落地原油，以及原油处理、废</w:t>
            </w:r>
            <w:r w:rsidRPr="00092862">
              <w:rPr>
                <w:rFonts w:ascii="Times New Roman" w:eastAsia="宋体" w:hAnsi="Times New Roman" w:cs="Times New Roman"/>
                <w:color w:val="000000" w:themeColor="text1"/>
                <w:szCs w:val="21"/>
              </w:rPr>
              <w:lastRenderedPageBreak/>
              <w:t>水处理产生的油泥（砂）等中的油类物质，含油污泥资源化利用率应达到</w:t>
            </w:r>
            <w:r w:rsidRPr="00092862">
              <w:rPr>
                <w:rFonts w:ascii="Times New Roman" w:eastAsia="宋体" w:hAnsi="Times New Roman" w:cs="Times New Roman"/>
                <w:color w:val="000000" w:themeColor="text1"/>
                <w:szCs w:val="21"/>
              </w:rPr>
              <w:t>90%</w:t>
            </w:r>
            <w:r w:rsidRPr="00092862">
              <w:rPr>
                <w:rFonts w:ascii="Times New Roman" w:eastAsia="宋体" w:hAnsi="Times New Roman" w:cs="Times New Roman"/>
                <w:color w:val="000000" w:themeColor="text1"/>
                <w:szCs w:val="21"/>
              </w:rPr>
              <w:t>以上，残余固体废物应按照《国家危险废物名录》和危险废物鉴别标准识别，根据识别结果资源化利用或无害化处置。</w:t>
            </w:r>
          </w:p>
        </w:tc>
        <w:tc>
          <w:tcPr>
            <w:tcW w:w="2976" w:type="dxa"/>
            <w:vAlign w:val="center"/>
          </w:tcPr>
          <w:p w14:paraId="37591E7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不涉及原油，本工程在井口及</w:t>
            </w:r>
            <w:r w:rsidRPr="00092862">
              <w:rPr>
                <w:rFonts w:ascii="Times New Roman" w:eastAsia="宋体" w:hAnsi="Times New Roman" w:cs="Times New Roman"/>
                <w:color w:val="000000" w:themeColor="text1"/>
                <w:szCs w:val="21"/>
              </w:rPr>
              <w:lastRenderedPageBreak/>
              <w:t>易产生油污的生产设施底部进行防渗处理，收集可能产生的废油，完钻后统一收集交有资质单位处置。</w:t>
            </w:r>
          </w:p>
        </w:tc>
        <w:tc>
          <w:tcPr>
            <w:tcW w:w="925" w:type="dxa"/>
            <w:vAlign w:val="center"/>
          </w:tcPr>
          <w:p w14:paraId="70F3643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符合</w:t>
            </w:r>
          </w:p>
        </w:tc>
      </w:tr>
      <w:tr w:rsidR="00697429" w:rsidRPr="00092862" w14:paraId="7CBC7971" w14:textId="77777777" w:rsidTr="00BB01C2">
        <w:tc>
          <w:tcPr>
            <w:tcW w:w="709" w:type="dxa"/>
            <w:vAlign w:val="center"/>
          </w:tcPr>
          <w:p w14:paraId="3D4D95C4"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3686" w:type="dxa"/>
            <w:vAlign w:val="center"/>
          </w:tcPr>
          <w:p w14:paraId="6477557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对受到油污染的土壤宜采取生物或物化方法进行修复。</w:t>
            </w:r>
          </w:p>
        </w:tc>
        <w:tc>
          <w:tcPr>
            <w:tcW w:w="2976" w:type="dxa"/>
            <w:vAlign w:val="center"/>
          </w:tcPr>
          <w:p w14:paraId="5116D18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不涉及原油，废油很少，通过采取防渗措施，总体不会造成土壤的油污染。</w:t>
            </w:r>
          </w:p>
        </w:tc>
        <w:tc>
          <w:tcPr>
            <w:tcW w:w="925" w:type="dxa"/>
            <w:vAlign w:val="center"/>
          </w:tcPr>
          <w:p w14:paraId="7372232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AB243A9" w14:textId="77777777" w:rsidTr="00BB01C2">
        <w:tc>
          <w:tcPr>
            <w:tcW w:w="709" w:type="dxa"/>
            <w:vAlign w:val="center"/>
          </w:tcPr>
          <w:p w14:paraId="658BED3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四</w:t>
            </w:r>
          </w:p>
        </w:tc>
        <w:tc>
          <w:tcPr>
            <w:tcW w:w="7587" w:type="dxa"/>
            <w:gridSpan w:val="3"/>
            <w:vAlign w:val="center"/>
          </w:tcPr>
          <w:p w14:paraId="441953D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运行风险和环境管理</w:t>
            </w:r>
          </w:p>
        </w:tc>
      </w:tr>
      <w:tr w:rsidR="00697429" w:rsidRPr="00092862" w14:paraId="0DC7C4AB" w14:textId="77777777" w:rsidTr="00BB01C2">
        <w:tc>
          <w:tcPr>
            <w:tcW w:w="709" w:type="dxa"/>
            <w:vAlign w:val="center"/>
          </w:tcPr>
          <w:p w14:paraId="43DA7B1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3686" w:type="dxa"/>
            <w:vAlign w:val="center"/>
          </w:tcPr>
          <w:p w14:paraId="2FB1133F"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油气田企业应制定环境保护管理规定，建立并运行健康、安全与环境管理体系。</w:t>
            </w:r>
          </w:p>
        </w:tc>
        <w:tc>
          <w:tcPr>
            <w:tcW w:w="2976" w:type="dxa"/>
            <w:vAlign w:val="center"/>
          </w:tcPr>
          <w:p w14:paraId="373C355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本项目业主制定有完善的环境保护管理规定，并建立运行健康、安全与环境管理体系。</w:t>
            </w:r>
          </w:p>
        </w:tc>
        <w:tc>
          <w:tcPr>
            <w:tcW w:w="925" w:type="dxa"/>
            <w:vAlign w:val="center"/>
          </w:tcPr>
          <w:p w14:paraId="1BD67809" w14:textId="1C3A3D68" w:rsidR="00BB01C2" w:rsidRPr="00092862" w:rsidRDefault="00C9516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F2913F9" w14:textId="77777777" w:rsidTr="00BB01C2">
        <w:tc>
          <w:tcPr>
            <w:tcW w:w="709" w:type="dxa"/>
            <w:vAlign w:val="center"/>
          </w:tcPr>
          <w:p w14:paraId="43D08DF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3686" w:type="dxa"/>
            <w:vAlign w:val="center"/>
          </w:tcPr>
          <w:p w14:paraId="32E31F4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加强油气田建设、开发过程的环境监督管理。油气田建设过程应开展工程环境监理。</w:t>
            </w:r>
          </w:p>
        </w:tc>
        <w:tc>
          <w:tcPr>
            <w:tcW w:w="2976" w:type="dxa"/>
            <w:vAlign w:val="center"/>
          </w:tcPr>
          <w:p w14:paraId="4E3321B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本项目制定有环境监理计划。</w:t>
            </w:r>
          </w:p>
        </w:tc>
        <w:tc>
          <w:tcPr>
            <w:tcW w:w="925" w:type="dxa"/>
            <w:vAlign w:val="center"/>
          </w:tcPr>
          <w:p w14:paraId="1AA10AD3" w14:textId="68B544D9" w:rsidR="00BB01C2" w:rsidRPr="00092862" w:rsidRDefault="00C9516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AC426BE" w14:textId="77777777" w:rsidTr="00BB01C2">
        <w:tc>
          <w:tcPr>
            <w:tcW w:w="709" w:type="dxa"/>
            <w:vAlign w:val="center"/>
          </w:tcPr>
          <w:p w14:paraId="55F010B2"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3686" w:type="dxa"/>
            <w:vAlign w:val="center"/>
          </w:tcPr>
          <w:p w14:paraId="75BD6350"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在开发过程中，企业应加强油气井套管的检测和维护，防止油气泄漏污染地下水。</w:t>
            </w:r>
          </w:p>
        </w:tc>
        <w:tc>
          <w:tcPr>
            <w:tcW w:w="2976" w:type="dxa"/>
            <w:vAlign w:val="center"/>
          </w:tcPr>
          <w:p w14:paraId="7D97EE6B"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本项目制定了套管检测和维护计划和制度，防止天然气泄露污染地下水。</w:t>
            </w:r>
          </w:p>
        </w:tc>
        <w:tc>
          <w:tcPr>
            <w:tcW w:w="925" w:type="dxa"/>
            <w:vAlign w:val="center"/>
          </w:tcPr>
          <w:p w14:paraId="48A2708A" w14:textId="0D1F2AA7" w:rsidR="00BB01C2" w:rsidRPr="00092862" w:rsidRDefault="00C9516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4C2F015" w14:textId="77777777" w:rsidTr="00BB01C2">
        <w:tc>
          <w:tcPr>
            <w:tcW w:w="709" w:type="dxa"/>
            <w:vAlign w:val="center"/>
          </w:tcPr>
          <w:p w14:paraId="720EFADF"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3686" w:type="dxa"/>
            <w:vAlign w:val="center"/>
          </w:tcPr>
          <w:p w14:paraId="43BB3186"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油气田企业应建立环境保护人员培训制度，环境监测人员、统计人员、污染治理设施操作人员应经培训合格后上岗。</w:t>
            </w:r>
          </w:p>
        </w:tc>
        <w:tc>
          <w:tcPr>
            <w:tcW w:w="2976" w:type="dxa"/>
            <w:vAlign w:val="center"/>
          </w:tcPr>
          <w:p w14:paraId="7F67CCE6"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本项目业主单位设置有专门的环境管理部门，并制定有完善的环境管理制度和培训制度。</w:t>
            </w:r>
          </w:p>
        </w:tc>
        <w:tc>
          <w:tcPr>
            <w:tcW w:w="925" w:type="dxa"/>
            <w:vAlign w:val="center"/>
          </w:tcPr>
          <w:p w14:paraId="4C2C90FC" w14:textId="7FB3F8C5" w:rsidR="00BB01C2" w:rsidRPr="00092862" w:rsidRDefault="00C9516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6D1D649" w14:textId="77777777" w:rsidTr="00BB01C2">
        <w:tc>
          <w:tcPr>
            <w:tcW w:w="709" w:type="dxa"/>
            <w:vAlign w:val="center"/>
          </w:tcPr>
          <w:p w14:paraId="25813BFC"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3686" w:type="dxa"/>
            <w:vAlign w:val="center"/>
          </w:tcPr>
          <w:p w14:paraId="69E6EAAA"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976" w:type="dxa"/>
            <w:vAlign w:val="center"/>
          </w:tcPr>
          <w:p w14:paraId="5AC57DD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本项目业主对钻井工程设置有突发环境事件应急预案，并定期举行演练。在井场周边设置有事故监测点，实时监测危险因子。</w:t>
            </w:r>
          </w:p>
        </w:tc>
        <w:tc>
          <w:tcPr>
            <w:tcW w:w="925" w:type="dxa"/>
            <w:vAlign w:val="center"/>
          </w:tcPr>
          <w:p w14:paraId="65793ACE" w14:textId="365B8EEF" w:rsidR="00BB01C2" w:rsidRPr="00092862" w:rsidRDefault="00C9516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7DFCD298" w14:textId="77777777" w:rsidR="00C859D8" w:rsidRPr="00092862" w:rsidRDefault="00C859D8" w:rsidP="00C859D8">
      <w:pPr>
        <w:autoSpaceDE w:val="0"/>
        <w:autoSpaceDN w:val="0"/>
        <w:adjustRightInd w:val="0"/>
        <w:snapToGrid w:val="0"/>
        <w:spacing w:beforeLines="50" w:before="156"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由上表可见，本项目与《石油天然气开采业污染防治技术政策》符合。</w:t>
      </w:r>
    </w:p>
    <w:p w14:paraId="67281611" w14:textId="77777777" w:rsidR="00C859D8" w:rsidRPr="00092862" w:rsidRDefault="00C859D8" w:rsidP="00C859D8">
      <w:pPr>
        <w:tabs>
          <w:tab w:val="left" w:pos="0"/>
        </w:tabs>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3</w:t>
      </w:r>
      <w:r w:rsidRPr="00092862">
        <w:rPr>
          <w:rFonts w:ascii="Times New Roman" w:eastAsia="黑体" w:hAnsi="Times New Roman" w:cs="Times New Roman"/>
          <w:bCs/>
          <w:color w:val="000000" w:themeColor="text1"/>
          <w:sz w:val="24"/>
          <w:szCs w:val="24"/>
        </w:rPr>
        <w:t>、与《关于进一步加强石油天然气行业环境影响评价管理的通知》符合性分析</w:t>
      </w:r>
    </w:p>
    <w:p w14:paraId="07E365F7" w14:textId="77777777" w:rsidR="00DC446C" w:rsidRPr="00092862" w:rsidRDefault="00C859D8" w:rsidP="00C859D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根据《关于进一步加强石油天然气行业环境影响评价管理的通知》（环办环评函</w:t>
      </w:r>
      <w:r w:rsidR="009E13C2" w:rsidRPr="00092862">
        <w:rPr>
          <w:rFonts w:ascii="Times New Roman" w:eastAsia="宋体" w:hAnsi="Times New Roman" w:cs="Times New Roman"/>
          <w:bCs/>
          <w:color w:val="000000" w:themeColor="text1"/>
          <w:sz w:val="24"/>
          <w:szCs w:val="24"/>
        </w:rPr>
        <w:t>〔</w:t>
      </w:r>
      <w:r w:rsidR="009E13C2" w:rsidRPr="00092862">
        <w:rPr>
          <w:rFonts w:ascii="Times New Roman" w:eastAsia="宋体" w:hAnsi="Times New Roman" w:cs="Times New Roman"/>
          <w:bCs/>
          <w:color w:val="000000" w:themeColor="text1"/>
          <w:sz w:val="24"/>
          <w:szCs w:val="24"/>
        </w:rPr>
        <w:t>2019</w:t>
      </w:r>
      <w:r w:rsidR="009E13C2"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910</w:t>
      </w:r>
      <w:r w:rsidRPr="00092862">
        <w:rPr>
          <w:rFonts w:ascii="Times New Roman" w:eastAsia="宋体" w:hAnsi="Times New Roman" w:cs="Times New Roman"/>
          <w:bCs/>
          <w:color w:val="000000" w:themeColor="text1"/>
          <w:sz w:val="24"/>
          <w:szCs w:val="24"/>
        </w:rPr>
        <w:t>号），本项目符合性分析如下。</w:t>
      </w:r>
    </w:p>
    <w:p w14:paraId="39CB7BC3" w14:textId="77777777" w:rsidR="00C859D8" w:rsidRPr="00092862" w:rsidRDefault="00C859D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2.7-2  </w:t>
      </w:r>
      <w:r w:rsidRPr="00092862">
        <w:rPr>
          <w:rFonts w:ascii="Times New Roman" w:eastAsia="黑体" w:hAnsi="Times New Roman"/>
          <w:color w:val="000000" w:themeColor="text1"/>
          <w:sz w:val="21"/>
          <w:szCs w:val="21"/>
          <w:lang w:eastAsia="zh-CN"/>
        </w:rPr>
        <w:t>与《关于进一步加强石油天然气行业环境影响评价管理的通知》符合性分析表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0"/>
        <w:gridCol w:w="4201"/>
        <w:gridCol w:w="2631"/>
        <w:gridCol w:w="874"/>
      </w:tblGrid>
      <w:tr w:rsidR="00697429" w:rsidRPr="00092862" w14:paraId="0A314136" w14:textId="77777777" w:rsidTr="00A24FE3">
        <w:trPr>
          <w:trHeight w:val="108"/>
          <w:tblHeader/>
          <w:jc w:val="center"/>
        </w:trPr>
        <w:tc>
          <w:tcPr>
            <w:tcW w:w="355" w:type="pct"/>
            <w:vAlign w:val="center"/>
          </w:tcPr>
          <w:p w14:paraId="11103F6F"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2532" w:type="pct"/>
            <w:vAlign w:val="center"/>
          </w:tcPr>
          <w:p w14:paraId="375E337B"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技术政策要求</w:t>
            </w:r>
          </w:p>
        </w:tc>
        <w:tc>
          <w:tcPr>
            <w:tcW w:w="1586" w:type="pct"/>
            <w:vAlign w:val="center"/>
          </w:tcPr>
          <w:p w14:paraId="33E9CB54"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项目内容</w:t>
            </w:r>
          </w:p>
        </w:tc>
        <w:tc>
          <w:tcPr>
            <w:tcW w:w="527" w:type="pct"/>
            <w:vAlign w:val="center"/>
          </w:tcPr>
          <w:p w14:paraId="2B2A2098" w14:textId="77777777" w:rsidR="00BB01C2" w:rsidRPr="00092862" w:rsidRDefault="00BB01C2"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w:t>
            </w:r>
          </w:p>
        </w:tc>
      </w:tr>
      <w:tr w:rsidR="00697429" w:rsidRPr="00092862" w14:paraId="5DECD94C" w14:textId="77777777" w:rsidTr="00A24FE3">
        <w:trPr>
          <w:trHeight w:val="269"/>
          <w:jc w:val="center"/>
        </w:trPr>
        <w:tc>
          <w:tcPr>
            <w:tcW w:w="355" w:type="pct"/>
            <w:vAlign w:val="center"/>
          </w:tcPr>
          <w:p w14:paraId="1E9F6DD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w:t>
            </w:r>
          </w:p>
        </w:tc>
        <w:tc>
          <w:tcPr>
            <w:tcW w:w="4645" w:type="pct"/>
            <w:gridSpan w:val="3"/>
            <w:vAlign w:val="center"/>
          </w:tcPr>
          <w:p w14:paraId="6546886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推进规划环境影响评价</w:t>
            </w:r>
          </w:p>
        </w:tc>
      </w:tr>
      <w:tr w:rsidR="00697429" w:rsidRPr="00092862" w14:paraId="05DA2275" w14:textId="77777777" w:rsidTr="00A24FE3">
        <w:trPr>
          <w:trHeight w:val="269"/>
          <w:jc w:val="center"/>
        </w:trPr>
        <w:tc>
          <w:tcPr>
            <w:tcW w:w="355" w:type="pct"/>
            <w:vAlign w:val="center"/>
          </w:tcPr>
          <w:p w14:paraId="625923A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w:t>
            </w:r>
          </w:p>
        </w:tc>
        <w:tc>
          <w:tcPr>
            <w:tcW w:w="2532" w:type="pct"/>
            <w:vAlign w:val="center"/>
          </w:tcPr>
          <w:p w14:paraId="10BAB9B5" w14:textId="77777777" w:rsidR="00BB01C2" w:rsidRPr="00092862" w:rsidRDefault="00BB01C2"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油气企业在编制内部相关油气开发专项规划时，鼓励同步编制规划环境影响报告书。</w:t>
            </w:r>
          </w:p>
        </w:tc>
        <w:tc>
          <w:tcPr>
            <w:tcW w:w="1586" w:type="pct"/>
            <w:vAlign w:val="center"/>
          </w:tcPr>
          <w:p w14:paraId="66731304" w14:textId="77777777" w:rsidR="00BB01C2" w:rsidRPr="00092862" w:rsidRDefault="00BB01C2"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未编制相油气开发专项规划环境影响报告书。</w:t>
            </w:r>
          </w:p>
        </w:tc>
        <w:tc>
          <w:tcPr>
            <w:tcW w:w="527" w:type="pct"/>
            <w:vAlign w:val="center"/>
          </w:tcPr>
          <w:p w14:paraId="67AD7E7B" w14:textId="77777777" w:rsidR="00BB01C2" w:rsidRPr="00092862" w:rsidRDefault="00BB01C2"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非强制性要求，不违背。</w:t>
            </w:r>
          </w:p>
        </w:tc>
      </w:tr>
      <w:tr w:rsidR="00697429" w:rsidRPr="00092862" w14:paraId="7C858A26" w14:textId="77777777" w:rsidTr="00A24FE3">
        <w:trPr>
          <w:trHeight w:val="269"/>
          <w:jc w:val="center"/>
        </w:trPr>
        <w:tc>
          <w:tcPr>
            <w:tcW w:w="355" w:type="pct"/>
            <w:vAlign w:val="center"/>
          </w:tcPr>
          <w:p w14:paraId="1C6899F4"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二</w:t>
            </w:r>
          </w:p>
        </w:tc>
        <w:tc>
          <w:tcPr>
            <w:tcW w:w="4645" w:type="pct"/>
            <w:gridSpan w:val="3"/>
            <w:vAlign w:val="center"/>
          </w:tcPr>
          <w:p w14:paraId="73E6E900"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深化项目环评</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放管服</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改革</w:t>
            </w:r>
          </w:p>
        </w:tc>
      </w:tr>
      <w:tr w:rsidR="00697429" w:rsidRPr="00092862" w14:paraId="4019BBF0" w14:textId="77777777" w:rsidTr="00A24FE3">
        <w:trPr>
          <w:trHeight w:val="269"/>
          <w:jc w:val="center"/>
        </w:trPr>
        <w:tc>
          <w:tcPr>
            <w:tcW w:w="355" w:type="pct"/>
            <w:vAlign w:val="center"/>
          </w:tcPr>
          <w:p w14:paraId="2A11DC6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w:t>
            </w:r>
          </w:p>
        </w:tc>
        <w:tc>
          <w:tcPr>
            <w:tcW w:w="2532" w:type="pct"/>
            <w:vAlign w:val="center"/>
          </w:tcPr>
          <w:p w14:paraId="0A4113F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油气开采项目（含新开发和滚动开发项目）原则上应当以区块为单位开展环评（以下简称区块环评），一般包括区块内拟建的新井、加密井、调整井、站场、设备、管道和</w:t>
            </w:r>
            <w:r w:rsidRPr="00092862">
              <w:rPr>
                <w:rFonts w:ascii="Times New Roman" w:eastAsia="宋体" w:hAnsi="Times New Roman" w:cs="Times New Roman"/>
                <w:color w:val="000000" w:themeColor="text1"/>
                <w:szCs w:val="21"/>
              </w:rPr>
              <w:lastRenderedPageBreak/>
              <w:t>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14:paraId="7DA8B011" w14:textId="2553BF34" w:rsidR="00BB01C2" w:rsidRPr="00092862" w:rsidRDefault="005E5D91"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2007</w:t>
            </w:r>
            <w:r w:rsidRPr="00092862">
              <w:rPr>
                <w:rFonts w:ascii="Times New Roman" w:eastAsia="宋体" w:hAnsi="Times New Roman" w:cs="Times New Roman"/>
                <w:color w:val="000000" w:themeColor="text1"/>
                <w:szCs w:val="21"/>
              </w:rPr>
              <w:t>年，《中国石化普光气田开发及川气东送管道工程环境影响报告书》经原环保部审批，报告中已分析了</w:t>
            </w:r>
            <w:r w:rsidR="0071764F" w:rsidRPr="00092862">
              <w:rPr>
                <w:rFonts w:ascii="Times New Roman" w:eastAsia="宋体" w:hAnsi="Times New Roman" w:cs="Times New Roman"/>
                <w:color w:val="000000" w:themeColor="text1"/>
                <w:szCs w:val="21"/>
              </w:rPr>
              <w:t>普</w:t>
            </w:r>
            <w:r w:rsidR="0071764F" w:rsidRPr="00092862">
              <w:rPr>
                <w:rFonts w:ascii="Times New Roman" w:eastAsia="宋体" w:hAnsi="Times New Roman" w:cs="Times New Roman"/>
                <w:color w:val="000000" w:themeColor="text1"/>
                <w:szCs w:val="21"/>
              </w:rPr>
              <w:lastRenderedPageBreak/>
              <w:t>光气田主体</w:t>
            </w:r>
            <w:r w:rsidR="00145BF6" w:rsidRPr="00092862">
              <w:rPr>
                <w:rFonts w:ascii="Times New Roman" w:eastAsia="宋体" w:hAnsi="Times New Roman" w:cs="Times New Roman"/>
                <w:color w:val="000000" w:themeColor="text1"/>
                <w:szCs w:val="21"/>
              </w:rPr>
              <w:t>区块</w:t>
            </w:r>
            <w:r w:rsidRPr="00092862">
              <w:rPr>
                <w:rFonts w:ascii="Times New Roman" w:eastAsia="宋体" w:hAnsi="Times New Roman" w:cs="Times New Roman"/>
                <w:color w:val="000000" w:themeColor="text1"/>
                <w:szCs w:val="21"/>
              </w:rPr>
              <w:t>相关内容。</w:t>
            </w:r>
            <w:r w:rsidRPr="00092862">
              <w:rPr>
                <w:rFonts w:ascii="Times New Roman" w:eastAsia="宋体" w:hAnsi="Times New Roman" w:cs="Times New Roman"/>
                <w:color w:val="000000" w:themeColor="text1"/>
                <w:szCs w:val="21"/>
              </w:rPr>
              <w:t>2018</w:t>
            </w:r>
            <w:r w:rsidRPr="00092862">
              <w:rPr>
                <w:rFonts w:ascii="Times New Roman" w:eastAsia="宋体" w:hAnsi="Times New Roman" w:cs="Times New Roman"/>
                <w:color w:val="000000" w:themeColor="text1"/>
                <w:szCs w:val="21"/>
              </w:rPr>
              <w:t>年</w:t>
            </w: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月，中原油田普光分公司组织开展了普光气田开发工程环境影响后评价，明确了普光气田</w:t>
            </w:r>
            <w:r w:rsidR="0071764F" w:rsidRPr="00092862">
              <w:rPr>
                <w:rFonts w:ascii="Times New Roman" w:eastAsia="宋体" w:hAnsi="Times New Roman" w:cs="Times New Roman"/>
                <w:color w:val="000000" w:themeColor="text1"/>
                <w:szCs w:val="21"/>
              </w:rPr>
              <w:t>主体</w:t>
            </w:r>
            <w:r w:rsidR="00145BF6" w:rsidRPr="00092862">
              <w:rPr>
                <w:rFonts w:ascii="Times New Roman" w:eastAsia="宋体" w:hAnsi="Times New Roman" w:cs="Times New Roman"/>
                <w:color w:val="000000" w:themeColor="text1"/>
                <w:szCs w:val="21"/>
              </w:rPr>
              <w:t>区块</w:t>
            </w:r>
            <w:r w:rsidRPr="00092862">
              <w:rPr>
                <w:rFonts w:ascii="Times New Roman" w:eastAsia="宋体" w:hAnsi="Times New Roman" w:cs="Times New Roman"/>
                <w:color w:val="000000" w:themeColor="text1"/>
                <w:szCs w:val="21"/>
              </w:rPr>
              <w:t>的建设内容和建设进度，后评价报告在国家生态环境部进行备案，非含新开发和滚动开发项目。本项目为气藏勘探井，</w:t>
            </w:r>
            <w:r w:rsidR="0079604B" w:rsidRPr="00092862">
              <w:rPr>
                <w:rFonts w:ascii="Times New Roman" w:eastAsia="宋体" w:hAnsi="Times New Roman" w:cs="Times New Roman"/>
                <w:color w:val="000000" w:themeColor="text1"/>
                <w:szCs w:val="21"/>
              </w:rPr>
              <w:t>为了研究老君构造区</w:t>
            </w:r>
            <w:r w:rsidR="007A02DD">
              <w:rPr>
                <w:rFonts w:ascii="Times New Roman" w:eastAsia="宋体" w:hAnsi="Times New Roman" w:cs="Times New Roman"/>
                <w:color w:val="000000" w:themeColor="text1"/>
                <w:szCs w:val="21"/>
              </w:rPr>
              <w:t>****</w:t>
            </w:r>
            <w:r w:rsidR="0079604B" w:rsidRPr="00092862">
              <w:rPr>
                <w:rFonts w:ascii="Times New Roman" w:eastAsia="宋体" w:hAnsi="Times New Roman" w:cs="Times New Roman"/>
                <w:color w:val="000000" w:themeColor="text1"/>
                <w:szCs w:val="21"/>
              </w:rPr>
              <w:t>飞一二段底部储层的气水关系问题，同时为了利用叠前地震信息进行含气性检测，明确老君构造区的气水关系，同时为提高老君区块储量动用程度及试采速度，并从地层、构造、沉积、储层、含气性、气水关系、储层改造条件等多个方面开展对老君区块的深入研究</w:t>
            </w:r>
            <w:r w:rsidRPr="00092862">
              <w:rPr>
                <w:rFonts w:ascii="Times New Roman" w:eastAsia="宋体" w:hAnsi="Times New Roman" w:cs="Times New Roman"/>
                <w:color w:val="000000" w:themeColor="text1"/>
                <w:szCs w:val="21"/>
              </w:rPr>
              <w:t>。同时普光气田属于高含硫气田，其地质结构较为复杂，且目前对普光区块产能储量仍未探明，暂不具备区块开发条件。并且本次评价提出了有效的生态环境保护和环境风险防范措施。充分论证了施工期和试采期各污染物处置的可行性。</w:t>
            </w:r>
          </w:p>
        </w:tc>
        <w:tc>
          <w:tcPr>
            <w:tcW w:w="527" w:type="pct"/>
            <w:vAlign w:val="center"/>
          </w:tcPr>
          <w:p w14:paraId="4B77703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符合</w:t>
            </w:r>
          </w:p>
        </w:tc>
      </w:tr>
      <w:tr w:rsidR="00697429" w:rsidRPr="00092862" w14:paraId="760FE750" w14:textId="77777777" w:rsidTr="00A24FE3">
        <w:trPr>
          <w:trHeight w:val="269"/>
          <w:jc w:val="center"/>
        </w:trPr>
        <w:tc>
          <w:tcPr>
            <w:tcW w:w="355" w:type="pct"/>
            <w:vAlign w:val="center"/>
          </w:tcPr>
          <w:p w14:paraId="364BAF9E"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w:t>
            </w:r>
          </w:p>
        </w:tc>
        <w:tc>
          <w:tcPr>
            <w:tcW w:w="4645" w:type="pct"/>
            <w:gridSpan w:val="3"/>
            <w:vAlign w:val="center"/>
          </w:tcPr>
          <w:p w14:paraId="109D1A8A"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强化生态环境保护措施</w:t>
            </w:r>
          </w:p>
        </w:tc>
      </w:tr>
      <w:tr w:rsidR="00697429" w:rsidRPr="00092862" w14:paraId="1DCC7907" w14:textId="77777777" w:rsidTr="00A24FE3">
        <w:trPr>
          <w:trHeight w:val="269"/>
          <w:jc w:val="center"/>
        </w:trPr>
        <w:tc>
          <w:tcPr>
            <w:tcW w:w="355" w:type="pct"/>
            <w:vAlign w:val="center"/>
          </w:tcPr>
          <w:p w14:paraId="5B29D754"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w:t>
            </w:r>
          </w:p>
        </w:tc>
        <w:tc>
          <w:tcPr>
            <w:tcW w:w="2532" w:type="pct"/>
            <w:vAlign w:val="center"/>
          </w:tcPr>
          <w:p w14:paraId="6F36A7A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涉及向地表水体排放污染物的陆地油气开采项目，应当符合国家和地方污染物排放标准，满足重点污染物排放总量控制要求。</w:t>
            </w:r>
          </w:p>
        </w:tc>
        <w:tc>
          <w:tcPr>
            <w:tcW w:w="1586" w:type="pct"/>
            <w:vAlign w:val="center"/>
          </w:tcPr>
          <w:p w14:paraId="1ECB82D9" w14:textId="2A82DC08" w:rsidR="00BB01C2" w:rsidRPr="00092862" w:rsidRDefault="00145BF6"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本项目涉及施工期和试采期废水均回注处理，无废水外排</w:t>
            </w:r>
            <w:r w:rsidR="00BB01C2" w:rsidRPr="00092862">
              <w:rPr>
                <w:rFonts w:ascii="Times New Roman" w:eastAsia="宋体" w:hAnsi="Times New Roman" w:cs="Times New Roman"/>
                <w:color w:val="000000" w:themeColor="text1"/>
                <w:szCs w:val="21"/>
              </w:rPr>
              <w:t>。</w:t>
            </w:r>
          </w:p>
        </w:tc>
        <w:tc>
          <w:tcPr>
            <w:tcW w:w="527" w:type="pct"/>
            <w:vAlign w:val="center"/>
          </w:tcPr>
          <w:p w14:paraId="006780FF"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EF7A72B" w14:textId="77777777" w:rsidTr="00A24FE3">
        <w:trPr>
          <w:trHeight w:val="269"/>
          <w:jc w:val="center"/>
        </w:trPr>
        <w:tc>
          <w:tcPr>
            <w:tcW w:w="355" w:type="pct"/>
            <w:vAlign w:val="center"/>
          </w:tcPr>
          <w:p w14:paraId="484BB279"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w:t>
            </w:r>
          </w:p>
        </w:tc>
        <w:tc>
          <w:tcPr>
            <w:tcW w:w="2532" w:type="pct"/>
            <w:vAlign w:val="center"/>
          </w:tcPr>
          <w:p w14:paraId="1B0AA546"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w:t>
            </w:r>
            <w:r w:rsidRPr="00092862">
              <w:rPr>
                <w:rFonts w:ascii="Times New Roman" w:eastAsia="宋体" w:hAnsi="Times New Roman" w:cs="Times New Roman"/>
                <w:color w:val="000000" w:themeColor="text1"/>
                <w:szCs w:val="21"/>
              </w:rPr>
              <w:t>SY/T5329</w:t>
            </w:r>
            <w:r w:rsidRPr="00092862">
              <w:rPr>
                <w:rFonts w:ascii="Times New Roman" w:eastAsia="宋体" w:hAnsi="Times New Roman" w:cs="Times New Roman"/>
                <w:color w:val="000000" w:themeColor="text1"/>
                <w:szCs w:val="21"/>
              </w:rPr>
              <w:t>）等相关标准要求后回注，同步采取切实可行措施防治污染。回注目的层应当为地质构造封闭地层，一般应当回注到现役油气藏或枯竭废弃油气藏。</w:t>
            </w:r>
          </w:p>
        </w:tc>
        <w:tc>
          <w:tcPr>
            <w:tcW w:w="1586" w:type="pct"/>
            <w:vAlign w:val="center"/>
          </w:tcPr>
          <w:p w14:paraId="027335B1" w14:textId="6145318E" w:rsidR="00BB01C2" w:rsidRPr="00092862" w:rsidRDefault="00145BF6"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本项目属于天然气钻井及试采工程。</w:t>
            </w:r>
            <w:r w:rsidR="0071764F" w:rsidRPr="00092862">
              <w:rPr>
                <w:rFonts w:ascii="Times New Roman" w:eastAsia="宋体" w:hAnsi="Times New Roman" w:cs="Times New Roman"/>
                <w:color w:val="000000" w:themeColor="text1"/>
                <w:szCs w:val="21"/>
              </w:rPr>
              <w:t>剩余钻井废水暂存于清洁生产操作平台的废水罐内，经预处理后装车拉运至普光</w:t>
            </w:r>
            <w:r w:rsidR="0071764F" w:rsidRPr="00092862">
              <w:rPr>
                <w:rFonts w:ascii="Times New Roman" w:eastAsia="宋体" w:hAnsi="Times New Roman" w:cs="Times New Roman"/>
                <w:color w:val="000000" w:themeColor="text1"/>
                <w:szCs w:val="21"/>
              </w:rPr>
              <w:t>11</w:t>
            </w:r>
            <w:r w:rsidR="0071764F" w:rsidRPr="00092862">
              <w:rPr>
                <w:rFonts w:ascii="Times New Roman" w:eastAsia="宋体" w:hAnsi="Times New Roman" w:cs="Times New Roman"/>
                <w:color w:val="000000" w:themeColor="text1"/>
                <w:szCs w:val="21"/>
              </w:rPr>
              <w:t>井回注站回注；压裂废水和洗井废水暂存于放喷池，装车拉运至赵家坝污水处理站达标后管输至普光</w:t>
            </w:r>
            <w:r w:rsidR="0071764F" w:rsidRPr="00092862">
              <w:rPr>
                <w:rFonts w:ascii="Times New Roman" w:eastAsia="宋体" w:hAnsi="Times New Roman" w:cs="Times New Roman"/>
                <w:color w:val="000000" w:themeColor="text1"/>
                <w:szCs w:val="21"/>
              </w:rPr>
              <w:t>11</w:t>
            </w:r>
            <w:r w:rsidR="0071764F" w:rsidRPr="00092862">
              <w:rPr>
                <w:rFonts w:ascii="Times New Roman" w:eastAsia="宋体" w:hAnsi="Times New Roman" w:cs="Times New Roman"/>
                <w:color w:val="000000" w:themeColor="text1"/>
                <w:szCs w:val="21"/>
              </w:rPr>
              <w:t>井回注站回注</w:t>
            </w:r>
            <w:r w:rsidRPr="00092862">
              <w:rPr>
                <w:rFonts w:ascii="Times New Roman" w:eastAsia="宋体" w:hAnsi="Times New Roman" w:cs="Times New Roman"/>
                <w:color w:val="000000" w:themeColor="text1"/>
                <w:szCs w:val="21"/>
              </w:rPr>
              <w:t>。</w:t>
            </w:r>
            <w:r w:rsidR="0071764F" w:rsidRPr="00092862">
              <w:rPr>
                <w:rFonts w:ascii="Times New Roman" w:eastAsia="宋体" w:hAnsi="Times New Roman" w:cs="Times New Roman"/>
                <w:color w:val="000000" w:themeColor="text1"/>
                <w:szCs w:val="21"/>
              </w:rPr>
              <w:t>赵家坝污水处理站</w:t>
            </w:r>
            <w:r w:rsidRPr="00092862">
              <w:rPr>
                <w:rFonts w:ascii="Times New Roman" w:eastAsia="宋体" w:hAnsi="Times New Roman" w:cs="Times New Roman"/>
                <w:color w:val="000000" w:themeColor="text1"/>
                <w:szCs w:val="21"/>
              </w:rPr>
              <w:t>和</w:t>
            </w:r>
            <w:r w:rsidR="0071764F" w:rsidRPr="00092862">
              <w:rPr>
                <w:rFonts w:ascii="Times New Roman" w:eastAsia="宋体" w:hAnsi="Times New Roman" w:cs="Times New Roman"/>
                <w:color w:val="000000" w:themeColor="text1"/>
                <w:szCs w:val="21"/>
              </w:rPr>
              <w:t>普光</w:t>
            </w:r>
            <w:r w:rsidR="0071764F" w:rsidRPr="00092862">
              <w:rPr>
                <w:rFonts w:ascii="Times New Roman" w:eastAsia="宋体" w:hAnsi="Times New Roman" w:cs="Times New Roman"/>
                <w:color w:val="000000" w:themeColor="text1"/>
                <w:szCs w:val="21"/>
              </w:rPr>
              <w:t>11</w:t>
            </w:r>
            <w:r w:rsidR="0071764F" w:rsidRPr="00092862">
              <w:rPr>
                <w:rFonts w:ascii="Times New Roman" w:eastAsia="宋体" w:hAnsi="Times New Roman" w:cs="Times New Roman"/>
                <w:color w:val="000000" w:themeColor="text1"/>
                <w:szCs w:val="21"/>
              </w:rPr>
              <w:t>井回注站</w:t>
            </w:r>
            <w:r w:rsidRPr="00092862">
              <w:rPr>
                <w:rFonts w:ascii="Times New Roman" w:eastAsia="宋体" w:hAnsi="Times New Roman" w:cs="Times New Roman"/>
                <w:color w:val="000000" w:themeColor="text1"/>
                <w:szCs w:val="21"/>
              </w:rPr>
              <w:t>已取得环评批复，并已开展竣工环保验收</w:t>
            </w:r>
            <w:r w:rsidR="0011655C" w:rsidRPr="00092862">
              <w:rPr>
                <w:rFonts w:ascii="Times New Roman" w:eastAsia="宋体" w:hAnsi="Times New Roman" w:cs="Times New Roman"/>
                <w:color w:val="000000" w:themeColor="text1"/>
                <w:szCs w:val="21"/>
              </w:rPr>
              <w:t>。</w:t>
            </w:r>
          </w:p>
        </w:tc>
        <w:tc>
          <w:tcPr>
            <w:tcW w:w="527" w:type="pct"/>
            <w:vAlign w:val="center"/>
          </w:tcPr>
          <w:p w14:paraId="18DF70D0"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BE5276C" w14:textId="77777777" w:rsidTr="00A24FE3">
        <w:trPr>
          <w:trHeight w:val="269"/>
          <w:jc w:val="center"/>
        </w:trPr>
        <w:tc>
          <w:tcPr>
            <w:tcW w:w="355" w:type="pct"/>
            <w:vAlign w:val="center"/>
          </w:tcPr>
          <w:p w14:paraId="0DD4F1AB"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w:t>
            </w:r>
          </w:p>
        </w:tc>
        <w:tc>
          <w:tcPr>
            <w:tcW w:w="2532" w:type="pct"/>
            <w:vAlign w:val="center"/>
          </w:tcPr>
          <w:p w14:paraId="3D47E6D1"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油气开采产生的废弃油基泥浆、含油钻屑及其他固体废物，应当遵循减量化、资源化、无害化原则，按照国家和地方有关固体废物的管理规定进行处置。鼓励企业自建含油污</w:t>
            </w:r>
            <w:r w:rsidRPr="00092862">
              <w:rPr>
                <w:rFonts w:ascii="Times New Roman" w:eastAsia="宋体" w:hAnsi="Times New Roman" w:cs="Times New Roman"/>
                <w:color w:val="000000" w:themeColor="text1"/>
                <w:szCs w:val="21"/>
              </w:rPr>
              <w:lastRenderedPageBreak/>
              <w:t>泥集中式处理和综合利用设施，提高废弃油基泥浆和含油钻屑及其处理产物的综合利用率。油气开采项目产生的危险废物，应当按照《建设项目危险废物环境影响评价指南》要求评价。</w:t>
            </w:r>
          </w:p>
        </w:tc>
        <w:tc>
          <w:tcPr>
            <w:tcW w:w="1586" w:type="pct"/>
            <w:vAlign w:val="center"/>
          </w:tcPr>
          <w:p w14:paraId="0A6EB486"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本项目不涉及油基钻井工艺，无废弃油基泥浆、含油钻屑产生。</w:t>
            </w:r>
          </w:p>
        </w:tc>
        <w:tc>
          <w:tcPr>
            <w:tcW w:w="527" w:type="pct"/>
            <w:vAlign w:val="center"/>
          </w:tcPr>
          <w:p w14:paraId="54102EED"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E5607C3" w14:textId="77777777" w:rsidTr="00A24FE3">
        <w:trPr>
          <w:trHeight w:val="269"/>
          <w:jc w:val="center"/>
        </w:trPr>
        <w:tc>
          <w:tcPr>
            <w:tcW w:w="355" w:type="pct"/>
            <w:vAlign w:val="center"/>
          </w:tcPr>
          <w:p w14:paraId="71260E3B"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w:t>
            </w:r>
          </w:p>
        </w:tc>
        <w:tc>
          <w:tcPr>
            <w:tcW w:w="2532" w:type="pct"/>
            <w:vAlign w:val="center"/>
          </w:tcPr>
          <w:p w14:paraId="5BFCEFE2"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14:paraId="118B9416" w14:textId="7FF5AC54"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本项目废水等污染物均为罐装，天然气均密闭输送。不涉及天然气净化。强化了钻井、输送等环节环境风险防范措施。</w:t>
            </w:r>
            <w:r w:rsidR="00F30AFD" w:rsidRPr="00092862">
              <w:rPr>
                <w:rFonts w:ascii="Times New Roman" w:eastAsia="宋体" w:hAnsi="Times New Roman" w:cs="Times New Roman"/>
                <w:color w:val="000000" w:themeColor="text1"/>
                <w:szCs w:val="21"/>
              </w:rPr>
              <w:t>集气站</w:t>
            </w:r>
            <w:r w:rsidRPr="00092862">
              <w:rPr>
                <w:rFonts w:ascii="Times New Roman" w:eastAsia="宋体" w:hAnsi="Times New Roman" w:cs="Times New Roman"/>
                <w:color w:val="000000" w:themeColor="text1"/>
                <w:szCs w:val="21"/>
              </w:rPr>
              <w:t>加热炉</w:t>
            </w:r>
            <w:r w:rsidR="00687264" w:rsidRPr="00092862">
              <w:rPr>
                <w:rFonts w:ascii="Times New Roman" w:eastAsia="宋体" w:hAnsi="Times New Roman" w:cs="Times New Roman"/>
                <w:color w:val="000000" w:themeColor="text1"/>
                <w:szCs w:val="21"/>
              </w:rPr>
              <w:t>与火炬长明灯</w:t>
            </w:r>
            <w:r w:rsidR="00B97430">
              <w:rPr>
                <w:rFonts w:ascii="Times New Roman" w:eastAsia="宋体" w:hAnsi="Times New Roman" w:cs="Times New Roman" w:hint="eastAsia"/>
                <w:color w:val="000000" w:themeColor="text1"/>
                <w:szCs w:val="21"/>
              </w:rPr>
              <w:t>及本次新增的水套加热炉均</w:t>
            </w:r>
            <w:r w:rsidRPr="00092862">
              <w:rPr>
                <w:rFonts w:ascii="Times New Roman" w:eastAsia="宋体" w:hAnsi="Times New Roman" w:cs="Times New Roman"/>
                <w:color w:val="000000" w:themeColor="text1"/>
                <w:szCs w:val="21"/>
              </w:rPr>
              <w:t>采用的燃料气为站外管线返输至</w:t>
            </w:r>
            <w:r w:rsidR="00F30AFD" w:rsidRPr="00092862">
              <w:rPr>
                <w:rFonts w:ascii="Times New Roman" w:eastAsia="宋体" w:hAnsi="Times New Roman" w:cs="Times New Roman"/>
                <w:color w:val="000000" w:themeColor="text1"/>
                <w:szCs w:val="21"/>
              </w:rPr>
              <w:t>集气站</w:t>
            </w:r>
            <w:r w:rsidRPr="00092862">
              <w:rPr>
                <w:rFonts w:ascii="Times New Roman" w:eastAsia="宋体" w:hAnsi="Times New Roman" w:cs="Times New Roman"/>
                <w:color w:val="000000" w:themeColor="text1"/>
                <w:szCs w:val="21"/>
              </w:rPr>
              <w:t>的净化后天然气作为燃料，满足国家大气污染物排放标准。</w:t>
            </w:r>
          </w:p>
        </w:tc>
        <w:tc>
          <w:tcPr>
            <w:tcW w:w="527" w:type="pct"/>
            <w:vAlign w:val="center"/>
          </w:tcPr>
          <w:p w14:paraId="32BCC172"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13B5ACC" w14:textId="77777777" w:rsidTr="00A24FE3">
        <w:trPr>
          <w:trHeight w:val="269"/>
          <w:jc w:val="center"/>
        </w:trPr>
        <w:tc>
          <w:tcPr>
            <w:tcW w:w="355" w:type="pct"/>
            <w:vAlign w:val="center"/>
          </w:tcPr>
          <w:p w14:paraId="1574730C"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w:t>
            </w:r>
          </w:p>
        </w:tc>
        <w:tc>
          <w:tcPr>
            <w:tcW w:w="2532" w:type="pct"/>
            <w:vAlign w:val="center"/>
          </w:tcPr>
          <w:p w14:paraId="2F6E5778"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保护措施。</w:t>
            </w:r>
          </w:p>
        </w:tc>
        <w:tc>
          <w:tcPr>
            <w:tcW w:w="1586" w:type="pct"/>
            <w:vAlign w:val="center"/>
          </w:tcPr>
          <w:p w14:paraId="371E74B4" w14:textId="7EF68F77" w:rsidR="00BB01C2" w:rsidRPr="00092862" w:rsidRDefault="00BB01C2" w:rsidP="003F1F64">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项目按标准化井场进行建设，</w:t>
            </w:r>
            <w:r w:rsidR="000210E0" w:rsidRPr="00092862">
              <w:rPr>
                <w:rFonts w:ascii="Times New Roman" w:eastAsia="宋体" w:cs="Times New Roman"/>
                <w:color w:val="000000" w:themeColor="text1"/>
                <w:sz w:val="21"/>
                <w:szCs w:val="21"/>
              </w:rPr>
              <w:t>试采井站</w:t>
            </w:r>
            <w:r w:rsidRPr="00092862">
              <w:rPr>
                <w:rFonts w:ascii="Times New Roman" w:eastAsia="宋体" w:cs="Times New Roman"/>
                <w:color w:val="000000" w:themeColor="text1"/>
                <w:sz w:val="21"/>
                <w:szCs w:val="21"/>
              </w:rPr>
              <w:t>在原钻井平台占地范围内实施。本次评价已提出施工结束后，应当及时落实生态保护措施。</w:t>
            </w:r>
          </w:p>
        </w:tc>
        <w:tc>
          <w:tcPr>
            <w:tcW w:w="527" w:type="pct"/>
            <w:vAlign w:val="center"/>
          </w:tcPr>
          <w:p w14:paraId="266FFCA0" w14:textId="77777777" w:rsidR="00BB01C2" w:rsidRPr="00092862" w:rsidRDefault="00BB01C2" w:rsidP="003F1F64">
            <w:pPr>
              <w:jc w:val="center"/>
              <w:rPr>
                <w:rFonts w:ascii="Times New Roman" w:eastAsia="宋体" w:hAnsi="Times New Roman" w:cs="Times New Roman"/>
                <w:color w:val="000000" w:themeColor="text1"/>
                <w:szCs w:val="21"/>
              </w:rPr>
            </w:pPr>
          </w:p>
        </w:tc>
      </w:tr>
      <w:tr w:rsidR="00697429" w:rsidRPr="00092862" w14:paraId="791F2846" w14:textId="77777777" w:rsidTr="00A24FE3">
        <w:trPr>
          <w:trHeight w:val="269"/>
          <w:jc w:val="center"/>
        </w:trPr>
        <w:tc>
          <w:tcPr>
            <w:tcW w:w="355" w:type="pct"/>
            <w:vAlign w:val="center"/>
          </w:tcPr>
          <w:p w14:paraId="4D17015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w:t>
            </w:r>
          </w:p>
        </w:tc>
        <w:tc>
          <w:tcPr>
            <w:tcW w:w="2532" w:type="pct"/>
            <w:vAlign w:val="center"/>
          </w:tcPr>
          <w:p w14:paraId="069AB65B"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陆地油气长输管道项目，原则上应当单独编制环评文件。</w:t>
            </w:r>
          </w:p>
        </w:tc>
        <w:tc>
          <w:tcPr>
            <w:tcW w:w="1586" w:type="pct"/>
            <w:vAlign w:val="center"/>
          </w:tcPr>
          <w:p w14:paraId="7852756E" w14:textId="53EACECD"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本项目不涉及油气长输管道。</w:t>
            </w:r>
          </w:p>
        </w:tc>
        <w:tc>
          <w:tcPr>
            <w:tcW w:w="527" w:type="pct"/>
            <w:vAlign w:val="center"/>
          </w:tcPr>
          <w:p w14:paraId="0E6FFBE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C4B44F0" w14:textId="77777777" w:rsidTr="00A24FE3">
        <w:trPr>
          <w:trHeight w:val="269"/>
          <w:jc w:val="center"/>
        </w:trPr>
        <w:tc>
          <w:tcPr>
            <w:tcW w:w="355" w:type="pct"/>
            <w:vAlign w:val="center"/>
          </w:tcPr>
          <w:p w14:paraId="3B590C7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7</w:t>
            </w:r>
            <w:r w:rsidRPr="00092862">
              <w:rPr>
                <w:rFonts w:ascii="Times New Roman" w:eastAsia="宋体" w:hAnsi="Times New Roman" w:cs="Times New Roman"/>
                <w:color w:val="000000" w:themeColor="text1"/>
                <w:szCs w:val="21"/>
              </w:rPr>
              <w:t>）</w:t>
            </w:r>
          </w:p>
        </w:tc>
        <w:tc>
          <w:tcPr>
            <w:tcW w:w="2532" w:type="pct"/>
            <w:vAlign w:val="center"/>
          </w:tcPr>
          <w:p w14:paraId="623F7DE7"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86" w:type="pct"/>
            <w:vAlign w:val="center"/>
          </w:tcPr>
          <w:p w14:paraId="38CDF6DD" w14:textId="77777777" w:rsidR="00BB01C2" w:rsidRPr="00092862" w:rsidRDefault="00BB01C2" w:rsidP="003F1F64">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本项目不涉及油气储存。本项目进行了非甲烷总烃和硫化氢监测，同时站场内设置了可燃气体报警仪、硫化氢气体检测仪、硫化氢气体报警仪。本次评价落实了地下水污染防治和跟踪监测要求。</w:t>
            </w:r>
          </w:p>
        </w:tc>
        <w:tc>
          <w:tcPr>
            <w:tcW w:w="527" w:type="pct"/>
            <w:vAlign w:val="center"/>
          </w:tcPr>
          <w:p w14:paraId="50843DFF"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ED279BA" w14:textId="77777777" w:rsidTr="00A24FE3">
        <w:trPr>
          <w:trHeight w:val="269"/>
          <w:jc w:val="center"/>
        </w:trPr>
        <w:tc>
          <w:tcPr>
            <w:tcW w:w="355" w:type="pct"/>
            <w:vAlign w:val="center"/>
          </w:tcPr>
          <w:p w14:paraId="6EA09B34"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w:t>
            </w:r>
            <w:r w:rsidRPr="00092862">
              <w:rPr>
                <w:rFonts w:ascii="Times New Roman" w:eastAsia="宋体" w:hAnsi="Times New Roman" w:cs="Times New Roman"/>
                <w:color w:val="000000" w:themeColor="text1"/>
                <w:szCs w:val="21"/>
              </w:rPr>
              <w:t>）</w:t>
            </w:r>
          </w:p>
        </w:tc>
        <w:tc>
          <w:tcPr>
            <w:tcW w:w="2532" w:type="pct"/>
            <w:vAlign w:val="center"/>
          </w:tcPr>
          <w:p w14:paraId="226F0903"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14:paraId="18B979F4" w14:textId="77777777" w:rsidR="00BB01C2" w:rsidRPr="00092862" w:rsidRDefault="00BB01C2" w:rsidP="003F1F64">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建设单位制定了突发环境事件应急预案，项目建成后，纳入预案进行统一管理，并根据项目情况对现有预案进行修订，报所在地生态环境主管部门备案。</w:t>
            </w:r>
          </w:p>
        </w:tc>
        <w:tc>
          <w:tcPr>
            <w:tcW w:w="527" w:type="pct"/>
            <w:vAlign w:val="center"/>
          </w:tcPr>
          <w:p w14:paraId="1E885285" w14:textId="77777777" w:rsidR="00BB01C2" w:rsidRPr="00092862" w:rsidRDefault="00BB01C2"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389AE7F8" w14:textId="77777777" w:rsidR="00C859D8" w:rsidRPr="00092862" w:rsidRDefault="0030310A" w:rsidP="00FC0437">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综上所述，本项目符合《关于进一步加强石油天然气行业环境影响评价管理的通知》（环办环评函〔</w:t>
      </w:r>
      <w:r w:rsidRPr="00092862">
        <w:rPr>
          <w:rFonts w:ascii="Times New Roman" w:eastAsia="宋体" w:hAnsi="Times New Roman" w:cs="Times New Roman"/>
          <w:bCs/>
          <w:color w:val="000000" w:themeColor="text1"/>
          <w:sz w:val="24"/>
          <w:szCs w:val="24"/>
        </w:rPr>
        <w:t>2019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910</w:t>
      </w:r>
      <w:r w:rsidRPr="00092862">
        <w:rPr>
          <w:rFonts w:ascii="Times New Roman" w:eastAsia="宋体" w:hAnsi="Times New Roman" w:cs="Times New Roman"/>
          <w:bCs/>
          <w:color w:val="000000" w:themeColor="text1"/>
          <w:sz w:val="24"/>
          <w:szCs w:val="24"/>
        </w:rPr>
        <w:t>号）的相关要求。</w:t>
      </w:r>
    </w:p>
    <w:p w14:paraId="29C1EF62" w14:textId="77777777" w:rsidR="00C859D8" w:rsidRPr="00092862" w:rsidRDefault="00C859D8" w:rsidP="00FC0437">
      <w:pPr>
        <w:tabs>
          <w:tab w:val="left" w:pos="0"/>
        </w:tabs>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4</w:t>
      </w:r>
      <w:r w:rsidRPr="00092862">
        <w:rPr>
          <w:rFonts w:ascii="Times New Roman" w:eastAsia="黑体" w:hAnsi="Times New Roman" w:cs="Times New Roman"/>
          <w:bCs/>
          <w:color w:val="000000" w:themeColor="text1"/>
          <w:sz w:val="24"/>
          <w:szCs w:val="24"/>
        </w:rPr>
        <w:t>、与其他环保政策及规定的符合性分析</w:t>
      </w:r>
    </w:p>
    <w:p w14:paraId="100957B9" w14:textId="77777777" w:rsidR="00C859D8" w:rsidRPr="00092862" w:rsidRDefault="00C859D8" w:rsidP="00FC0437">
      <w:pPr>
        <w:tabs>
          <w:tab w:val="left" w:pos="0"/>
        </w:tabs>
        <w:spacing w:line="360" w:lineRule="auto"/>
        <w:ind w:firstLineChars="200" w:firstLine="480"/>
        <w:rPr>
          <w:rFonts w:ascii="Times New Roman" w:eastAsia="宋体" w:hAnsi="Times New Roman" w:cs="Times New Roman"/>
          <w:color w:val="000000" w:themeColor="text1"/>
        </w:rPr>
      </w:pPr>
      <w:r w:rsidRPr="00092862">
        <w:rPr>
          <w:rFonts w:ascii="Times New Roman" w:eastAsia="宋体" w:hAnsi="Times New Roman" w:cs="Times New Roman"/>
          <w:bCs/>
          <w:color w:val="000000" w:themeColor="text1"/>
          <w:sz w:val="24"/>
          <w:szCs w:val="24"/>
        </w:rPr>
        <w:lastRenderedPageBreak/>
        <w:t>本项目涉及行业和地方的一些油气开发和环境保护政策，包括《关于贯彻实施国家主体功能区环境政策的若干意见》（环发〔</w:t>
      </w:r>
      <w:r w:rsidRPr="00092862">
        <w:rPr>
          <w:rFonts w:ascii="Times New Roman" w:eastAsia="宋体" w:hAnsi="Times New Roman" w:cs="Times New Roman"/>
          <w:bCs/>
          <w:color w:val="000000" w:themeColor="text1"/>
          <w:sz w:val="24"/>
          <w:szCs w:val="24"/>
        </w:rPr>
        <w:t>2015</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92</w:t>
      </w:r>
      <w:r w:rsidRPr="00092862">
        <w:rPr>
          <w:rFonts w:ascii="Times New Roman" w:eastAsia="宋体" w:hAnsi="Times New Roman" w:cs="Times New Roman"/>
          <w:bCs/>
          <w:color w:val="000000" w:themeColor="text1"/>
          <w:sz w:val="24"/>
          <w:szCs w:val="24"/>
        </w:rPr>
        <w:t>号）、《大气污染防治行动计划》（国发〔</w:t>
      </w:r>
      <w:r w:rsidRPr="00092862">
        <w:rPr>
          <w:rFonts w:ascii="Times New Roman" w:eastAsia="宋体" w:hAnsi="Times New Roman" w:cs="Times New Roman"/>
          <w:bCs/>
          <w:color w:val="000000" w:themeColor="text1"/>
          <w:sz w:val="24"/>
          <w:szCs w:val="24"/>
        </w:rPr>
        <w:t>2013</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37</w:t>
      </w:r>
      <w:r w:rsidRPr="00092862">
        <w:rPr>
          <w:rFonts w:ascii="Times New Roman" w:eastAsia="宋体" w:hAnsi="Times New Roman" w:cs="Times New Roman"/>
          <w:bCs/>
          <w:color w:val="000000" w:themeColor="text1"/>
          <w:sz w:val="24"/>
          <w:szCs w:val="24"/>
        </w:rPr>
        <w:t>号）、《土壤污染防治行动计划》、《水污染防治行动计划》等，与其相关内容符合性分析如下。</w:t>
      </w:r>
    </w:p>
    <w:p w14:paraId="3BC849AD" w14:textId="77777777" w:rsidR="001D78DB" w:rsidRPr="00092862" w:rsidRDefault="001D78DB"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517714DF" w14:textId="1A5F707F" w:rsidR="0030310A" w:rsidRPr="00092862" w:rsidRDefault="0030310A"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2.7-3  </w:t>
      </w:r>
      <w:r w:rsidRPr="00092862">
        <w:rPr>
          <w:rFonts w:ascii="Times New Roman" w:eastAsia="黑体" w:hAnsi="Times New Roman"/>
          <w:color w:val="000000" w:themeColor="text1"/>
          <w:sz w:val="21"/>
          <w:szCs w:val="21"/>
          <w:lang w:eastAsia="zh-CN"/>
        </w:rPr>
        <w:t>与其他环保政策符合性分析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71"/>
        <w:gridCol w:w="3758"/>
        <w:gridCol w:w="3001"/>
        <w:gridCol w:w="866"/>
      </w:tblGrid>
      <w:tr w:rsidR="00697429" w:rsidRPr="00092862" w14:paraId="2072958D" w14:textId="77777777" w:rsidTr="00A24FE3">
        <w:trPr>
          <w:cantSplit/>
          <w:jc w:val="center"/>
        </w:trPr>
        <w:tc>
          <w:tcPr>
            <w:tcW w:w="404" w:type="pct"/>
            <w:tcMar>
              <w:left w:w="57" w:type="dxa"/>
              <w:right w:w="57" w:type="dxa"/>
            </w:tcMar>
            <w:vAlign w:val="center"/>
          </w:tcPr>
          <w:p w14:paraId="60687F7C" w14:textId="77777777"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2265" w:type="pct"/>
            <w:tcMar>
              <w:left w:w="57" w:type="dxa"/>
              <w:right w:w="57" w:type="dxa"/>
            </w:tcMar>
            <w:vAlign w:val="center"/>
          </w:tcPr>
          <w:p w14:paraId="23EF9509" w14:textId="33CD1C6C"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规划名称</w:t>
            </w:r>
            <w:r w:rsidR="007274B4" w:rsidRPr="00092862">
              <w:rPr>
                <w:rFonts w:ascii="Times New Roman" w:eastAsia="宋体" w:hAnsi="Times New Roman" w:cs="Times New Roman"/>
                <w:color w:val="000000" w:themeColor="text1"/>
                <w:szCs w:val="21"/>
              </w:rPr>
              <w:t>与</w:t>
            </w:r>
            <w:r w:rsidRPr="00092862">
              <w:rPr>
                <w:rFonts w:ascii="Times New Roman" w:eastAsia="宋体" w:hAnsi="Times New Roman" w:cs="Times New Roman"/>
                <w:color w:val="000000" w:themeColor="text1"/>
                <w:szCs w:val="21"/>
              </w:rPr>
              <w:t>规划内容</w:t>
            </w:r>
          </w:p>
        </w:tc>
        <w:tc>
          <w:tcPr>
            <w:tcW w:w="1809" w:type="pct"/>
            <w:tcMar>
              <w:left w:w="57" w:type="dxa"/>
              <w:right w:w="57" w:type="dxa"/>
            </w:tcMar>
            <w:vAlign w:val="center"/>
          </w:tcPr>
          <w:p w14:paraId="39353DB5" w14:textId="77777777"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本项目情况</w:t>
            </w:r>
          </w:p>
        </w:tc>
        <w:tc>
          <w:tcPr>
            <w:tcW w:w="522" w:type="pct"/>
            <w:tcMar>
              <w:left w:w="57" w:type="dxa"/>
              <w:right w:w="57" w:type="dxa"/>
            </w:tcMar>
            <w:vAlign w:val="center"/>
          </w:tcPr>
          <w:p w14:paraId="4A8D0E83" w14:textId="77777777"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符合性</w:t>
            </w:r>
          </w:p>
        </w:tc>
      </w:tr>
      <w:tr w:rsidR="00697429" w:rsidRPr="00092862" w14:paraId="53953433" w14:textId="77777777" w:rsidTr="00A24FE3">
        <w:trPr>
          <w:cantSplit/>
          <w:jc w:val="center"/>
        </w:trPr>
        <w:tc>
          <w:tcPr>
            <w:tcW w:w="404" w:type="pct"/>
            <w:tcMar>
              <w:left w:w="57" w:type="dxa"/>
              <w:right w:w="57" w:type="dxa"/>
            </w:tcMar>
            <w:vAlign w:val="center"/>
          </w:tcPr>
          <w:p w14:paraId="66E01385" w14:textId="77777777"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2265" w:type="pct"/>
            <w:tcMar>
              <w:left w:w="57" w:type="dxa"/>
              <w:right w:w="57" w:type="dxa"/>
            </w:tcMar>
            <w:vAlign w:val="center"/>
          </w:tcPr>
          <w:p w14:paraId="3D59B23A" w14:textId="77777777" w:rsidR="0030310A" w:rsidRPr="00092862" w:rsidRDefault="0030310A" w:rsidP="0030310A">
            <w:pPr>
              <w:adjustRightInd w:val="0"/>
              <w:snapToGrid w:val="0"/>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《关于贯彻实施国家主体功能区环境政策的若干意见环发》〔</w:t>
            </w:r>
            <w:r w:rsidRPr="00092862">
              <w:rPr>
                <w:rFonts w:ascii="Times New Roman" w:eastAsia="宋体" w:hAnsi="Times New Roman" w:cs="Times New Roman"/>
                <w:b/>
                <w:bCs/>
                <w:color w:val="000000" w:themeColor="text1"/>
                <w:szCs w:val="21"/>
              </w:rPr>
              <w:t>2015</w:t>
            </w:r>
            <w:r w:rsidRPr="00092862">
              <w:rPr>
                <w:rFonts w:ascii="Times New Roman" w:eastAsia="宋体" w:hAnsi="Times New Roman" w:cs="Times New Roman"/>
                <w:b/>
                <w:bCs/>
                <w:color w:val="000000" w:themeColor="text1"/>
                <w:szCs w:val="21"/>
              </w:rPr>
              <w:t>〕</w:t>
            </w:r>
            <w:r w:rsidRPr="00092862">
              <w:rPr>
                <w:rFonts w:ascii="Times New Roman" w:eastAsia="宋体" w:hAnsi="Times New Roman" w:cs="Times New Roman"/>
                <w:b/>
                <w:bCs/>
                <w:color w:val="000000" w:themeColor="text1"/>
                <w:szCs w:val="21"/>
              </w:rPr>
              <w:t>92</w:t>
            </w:r>
            <w:r w:rsidRPr="00092862">
              <w:rPr>
                <w:rFonts w:ascii="Times New Roman" w:eastAsia="宋体" w:hAnsi="Times New Roman" w:cs="Times New Roman"/>
                <w:b/>
                <w:bCs/>
                <w:color w:val="000000" w:themeColor="text1"/>
                <w:szCs w:val="21"/>
              </w:rPr>
              <w:t>号</w:t>
            </w:r>
          </w:p>
          <w:p w14:paraId="35173DE7" w14:textId="77777777" w:rsidR="0030310A" w:rsidRPr="00092862" w:rsidRDefault="0030310A" w:rsidP="0030310A">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重点开发区域环境政策：成渝、黔中、滇中、藏中南等区域需严控有色金属产业项目审批，积极推动有色金属采冶的环境健康风险评估。要重视饮用水安全及水污染产生的环境健康问题和矿产资源开发带来的人群健康风险问题。</w:t>
            </w:r>
          </w:p>
          <w:p w14:paraId="57AE90CC" w14:textId="77777777" w:rsidR="0030310A" w:rsidRPr="00092862" w:rsidRDefault="0030310A" w:rsidP="0030310A">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成渝、黔中、滇中、藏中南等区域要强化酸雨污染防治，加强流域水土流失和水污染防治，加强石漠化治理、高原湖泊保护、大江大河防护林建设，保护和增强藏中南地区生态系统多样性及适应气候变化能力，优化并合理布局水电开发，开展有色金属采冶的环境健康风险评估。</w:t>
            </w:r>
          </w:p>
        </w:tc>
        <w:tc>
          <w:tcPr>
            <w:tcW w:w="1809" w:type="pct"/>
            <w:tcMar>
              <w:left w:w="57" w:type="dxa"/>
              <w:right w:w="57" w:type="dxa"/>
            </w:tcMar>
            <w:vAlign w:val="center"/>
          </w:tcPr>
          <w:p w14:paraId="5EF5BFB1" w14:textId="720C7100" w:rsidR="0030310A" w:rsidRPr="00092862" w:rsidRDefault="0030310A" w:rsidP="0030310A">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本项目为陆地天然气</w:t>
            </w:r>
            <w:r w:rsidR="00BC143B" w:rsidRPr="00092862">
              <w:rPr>
                <w:rFonts w:ascii="Times New Roman" w:eastAsia="宋体" w:hAnsi="Times New Roman" w:cs="Times New Roman"/>
                <w:color w:val="000000" w:themeColor="text1"/>
                <w:szCs w:val="21"/>
              </w:rPr>
              <w:t>勘探</w:t>
            </w:r>
            <w:r w:rsidRPr="00092862">
              <w:rPr>
                <w:rFonts w:ascii="Times New Roman" w:eastAsia="宋体" w:hAnsi="Times New Roman" w:cs="Times New Roman"/>
                <w:color w:val="000000" w:themeColor="text1"/>
                <w:szCs w:val="21"/>
              </w:rPr>
              <w:t>开发项目，实施总体对水环境影响很小，不涉及重金属污染，施工期加强水土保持措施、生态防护措施和各项污染物治理措施，以减少水土流失和生态影响，符合政策要求。</w:t>
            </w:r>
          </w:p>
        </w:tc>
        <w:tc>
          <w:tcPr>
            <w:tcW w:w="522" w:type="pct"/>
            <w:tcMar>
              <w:left w:w="57" w:type="dxa"/>
              <w:right w:w="57" w:type="dxa"/>
            </w:tcMar>
            <w:vAlign w:val="center"/>
          </w:tcPr>
          <w:p w14:paraId="14C7E47C" w14:textId="77777777"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95811D8" w14:textId="77777777" w:rsidTr="00A24FE3">
        <w:trPr>
          <w:cantSplit/>
          <w:jc w:val="center"/>
        </w:trPr>
        <w:tc>
          <w:tcPr>
            <w:tcW w:w="404" w:type="pct"/>
            <w:tcMar>
              <w:left w:w="57" w:type="dxa"/>
              <w:right w:w="57" w:type="dxa"/>
            </w:tcMar>
            <w:vAlign w:val="center"/>
          </w:tcPr>
          <w:p w14:paraId="1E00697D" w14:textId="77777777" w:rsidR="0030310A" w:rsidRPr="00092862" w:rsidRDefault="0030310A"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2265" w:type="pct"/>
            <w:tcMar>
              <w:left w:w="57" w:type="dxa"/>
              <w:right w:w="57" w:type="dxa"/>
            </w:tcMar>
            <w:vAlign w:val="center"/>
          </w:tcPr>
          <w:p w14:paraId="10DB958A" w14:textId="77777777" w:rsidR="0030310A" w:rsidRPr="00092862" w:rsidRDefault="0030310A" w:rsidP="0030310A">
            <w:pPr>
              <w:adjustRightInd w:val="0"/>
              <w:snapToGrid w:val="0"/>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《大气污染防治行动计划》（国发〔</w:t>
            </w:r>
            <w:r w:rsidRPr="00092862">
              <w:rPr>
                <w:rFonts w:ascii="Times New Roman" w:eastAsia="宋体" w:hAnsi="Times New Roman" w:cs="Times New Roman"/>
                <w:b/>
                <w:bCs/>
                <w:color w:val="000000" w:themeColor="text1"/>
                <w:szCs w:val="21"/>
              </w:rPr>
              <w:t>2013</w:t>
            </w:r>
            <w:r w:rsidRPr="00092862">
              <w:rPr>
                <w:rFonts w:ascii="Times New Roman" w:eastAsia="宋体" w:hAnsi="Times New Roman" w:cs="Times New Roman"/>
                <w:b/>
                <w:bCs/>
                <w:color w:val="000000" w:themeColor="text1"/>
                <w:szCs w:val="21"/>
              </w:rPr>
              <w:t>〕</w:t>
            </w:r>
            <w:r w:rsidRPr="00092862">
              <w:rPr>
                <w:rFonts w:ascii="Times New Roman" w:eastAsia="宋体" w:hAnsi="Times New Roman" w:cs="Times New Roman"/>
                <w:b/>
                <w:bCs/>
                <w:color w:val="000000" w:themeColor="text1"/>
                <w:szCs w:val="21"/>
              </w:rPr>
              <w:t>37</w:t>
            </w:r>
            <w:r w:rsidRPr="00092862">
              <w:rPr>
                <w:rFonts w:ascii="Times New Roman" w:eastAsia="宋体" w:hAnsi="Times New Roman" w:cs="Times New Roman"/>
                <w:b/>
                <w:bCs/>
                <w:color w:val="000000" w:themeColor="text1"/>
                <w:szCs w:val="21"/>
              </w:rPr>
              <w:t>）号）</w:t>
            </w:r>
          </w:p>
          <w:p w14:paraId="53047A4A" w14:textId="77777777" w:rsidR="0030310A" w:rsidRPr="00092862" w:rsidRDefault="0030310A" w:rsidP="0030310A">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加快清洁能源替代利用。加大天然气、煤制天然气、煤层气供应。到</w:t>
            </w:r>
            <w:r w:rsidRPr="00092862">
              <w:rPr>
                <w:rFonts w:ascii="Times New Roman" w:eastAsia="宋体" w:hAnsi="Times New Roman" w:cs="Times New Roman"/>
                <w:color w:val="000000" w:themeColor="text1"/>
                <w:szCs w:val="21"/>
              </w:rPr>
              <w:t xml:space="preserve">2015 </w:t>
            </w:r>
            <w:r w:rsidRPr="00092862">
              <w:rPr>
                <w:rFonts w:ascii="Times New Roman" w:eastAsia="宋体" w:hAnsi="Times New Roman" w:cs="Times New Roman"/>
                <w:color w:val="000000" w:themeColor="text1"/>
                <w:szCs w:val="21"/>
              </w:rPr>
              <w:t>年，新增天然气干线管输能力</w:t>
            </w:r>
            <w:r w:rsidRPr="00092862">
              <w:rPr>
                <w:rFonts w:ascii="Times New Roman" w:eastAsia="宋体" w:hAnsi="Times New Roman" w:cs="Times New Roman"/>
                <w:color w:val="000000" w:themeColor="text1"/>
                <w:szCs w:val="21"/>
              </w:rPr>
              <w:t>1500</w:t>
            </w:r>
            <w:r w:rsidRPr="00092862">
              <w:rPr>
                <w:rFonts w:ascii="Times New Roman" w:eastAsia="宋体" w:hAnsi="Times New Roman" w:cs="Times New Roman"/>
                <w:color w:val="000000" w:themeColor="text1"/>
                <w:szCs w:val="21"/>
              </w:rPr>
              <w:t>亿立方米以上，覆盖京津冀、长三角、珠三角等区域。</w:t>
            </w:r>
          </w:p>
          <w:p w14:paraId="6DD45AB2" w14:textId="77777777" w:rsidR="0030310A" w:rsidRPr="00092862" w:rsidRDefault="0030310A" w:rsidP="0030310A">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优化天然气使用方式，新增天然气应优先保障居民生活或用于替代燃煤；鼓励发展天然气分布式能源等高效利用项目，限制发展天然气化工项目；有序发展天然气调峰电站，原则上不再新建天然气发电项目。扩大城市高污染燃料禁燃区范围，逐步由城市建成区扩展到近郊。结合城中村、城乡结合部、棚户区改造，通过政策补偿和实施峰谷电价、季节性电价、阶梯电价、调峰电价等措施，逐步推行以天然气或电替代煤炭。</w:t>
            </w:r>
          </w:p>
        </w:tc>
        <w:tc>
          <w:tcPr>
            <w:tcW w:w="1809" w:type="pct"/>
            <w:tcMar>
              <w:left w:w="57" w:type="dxa"/>
              <w:right w:w="57" w:type="dxa"/>
            </w:tcMar>
            <w:vAlign w:val="center"/>
          </w:tcPr>
          <w:p w14:paraId="06A85B80" w14:textId="77777777" w:rsidR="0030310A" w:rsidRPr="00092862" w:rsidRDefault="00E82C4C" w:rsidP="00E82C4C">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本项目实施有利于加大天然气供应，总体符合文件要求。</w:t>
            </w:r>
          </w:p>
        </w:tc>
        <w:tc>
          <w:tcPr>
            <w:tcW w:w="522" w:type="pct"/>
            <w:tcMar>
              <w:left w:w="57" w:type="dxa"/>
              <w:right w:w="57" w:type="dxa"/>
            </w:tcMar>
            <w:vAlign w:val="center"/>
          </w:tcPr>
          <w:p w14:paraId="03CAE24B" w14:textId="77777777" w:rsidR="0030310A" w:rsidRPr="00092862" w:rsidRDefault="00E82C4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8F2B2FC" w14:textId="77777777" w:rsidTr="00A24FE3">
        <w:trPr>
          <w:cantSplit/>
          <w:jc w:val="center"/>
        </w:trPr>
        <w:tc>
          <w:tcPr>
            <w:tcW w:w="404" w:type="pct"/>
            <w:tcMar>
              <w:left w:w="57" w:type="dxa"/>
              <w:right w:w="57" w:type="dxa"/>
            </w:tcMar>
            <w:vAlign w:val="center"/>
          </w:tcPr>
          <w:p w14:paraId="62B14097" w14:textId="77777777" w:rsidR="0030310A" w:rsidRPr="00092862" w:rsidRDefault="00E82C4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3</w:t>
            </w:r>
          </w:p>
        </w:tc>
        <w:tc>
          <w:tcPr>
            <w:tcW w:w="2265" w:type="pct"/>
            <w:tcMar>
              <w:left w:w="57" w:type="dxa"/>
              <w:right w:w="57" w:type="dxa"/>
            </w:tcMar>
            <w:vAlign w:val="center"/>
          </w:tcPr>
          <w:p w14:paraId="4507D8BE" w14:textId="77777777" w:rsidR="00E82C4C" w:rsidRPr="00092862" w:rsidRDefault="00E82C4C" w:rsidP="00E82C4C">
            <w:pPr>
              <w:adjustRightInd w:val="0"/>
              <w:snapToGrid w:val="0"/>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《土壤污染防治行动计划》</w:t>
            </w:r>
          </w:p>
          <w:p w14:paraId="5912BC7A" w14:textId="77777777" w:rsidR="0030310A" w:rsidRPr="00092862" w:rsidRDefault="00E82C4C" w:rsidP="00E82C4C">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w:t>
            </w:r>
          </w:p>
        </w:tc>
        <w:tc>
          <w:tcPr>
            <w:tcW w:w="1809" w:type="pct"/>
            <w:tcMar>
              <w:left w:w="57" w:type="dxa"/>
              <w:right w:w="57" w:type="dxa"/>
            </w:tcMar>
            <w:vAlign w:val="center"/>
          </w:tcPr>
          <w:p w14:paraId="3ED56ACA" w14:textId="6906694C" w:rsidR="0030310A" w:rsidRPr="00092862" w:rsidRDefault="00E82C4C" w:rsidP="00E82C4C">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本项目水基钻井固废经泥浆不落地工艺固液分离后</w:t>
            </w:r>
            <w:r w:rsidR="00C96A6A" w:rsidRPr="00092862">
              <w:rPr>
                <w:rFonts w:ascii="Times New Roman" w:eastAsia="宋体" w:hAnsi="Times New Roman" w:cs="Times New Roman"/>
                <w:color w:val="000000" w:themeColor="text1"/>
                <w:szCs w:val="21"/>
              </w:rPr>
              <w:t>在泥浆不落地装置附近设置钻井固废暂存区由废渣收集罐收集后临时暂存</w:t>
            </w:r>
            <w:r w:rsidRPr="00092862">
              <w:rPr>
                <w:rFonts w:ascii="Times New Roman" w:eastAsia="宋体" w:hAnsi="Times New Roman" w:cs="Times New Roman"/>
                <w:color w:val="000000" w:themeColor="text1"/>
                <w:szCs w:val="21"/>
              </w:rPr>
              <w:t>，及时</w:t>
            </w:r>
            <w:r w:rsidR="000408D0" w:rsidRPr="00092862">
              <w:rPr>
                <w:rFonts w:ascii="Times New Roman" w:eastAsia="宋体" w:hAnsi="Times New Roman" w:cs="Times New Roman"/>
                <w:color w:val="000000" w:themeColor="text1"/>
                <w:szCs w:val="21"/>
              </w:rPr>
              <w:t>转运至达州地区环保手续齐全、环保设施稳定运行固废烧结厂进行烧结后综合利用</w:t>
            </w:r>
            <w:r w:rsidRPr="00092862">
              <w:rPr>
                <w:rFonts w:ascii="Times New Roman" w:eastAsia="宋体" w:hAnsi="Times New Roman" w:cs="Times New Roman"/>
                <w:color w:val="000000" w:themeColor="text1"/>
                <w:szCs w:val="21"/>
              </w:rPr>
              <w:t>。</w:t>
            </w:r>
          </w:p>
        </w:tc>
        <w:tc>
          <w:tcPr>
            <w:tcW w:w="522" w:type="pct"/>
            <w:tcMar>
              <w:left w:w="57" w:type="dxa"/>
              <w:right w:w="57" w:type="dxa"/>
            </w:tcMar>
            <w:vAlign w:val="center"/>
          </w:tcPr>
          <w:p w14:paraId="1C6E9263" w14:textId="77777777" w:rsidR="0030310A" w:rsidRPr="00092862" w:rsidRDefault="00E82C4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8BCDFCB" w14:textId="77777777" w:rsidTr="00A24FE3">
        <w:trPr>
          <w:cantSplit/>
          <w:jc w:val="center"/>
        </w:trPr>
        <w:tc>
          <w:tcPr>
            <w:tcW w:w="404" w:type="pct"/>
            <w:tcMar>
              <w:left w:w="57" w:type="dxa"/>
              <w:right w:w="57" w:type="dxa"/>
            </w:tcMar>
            <w:vAlign w:val="center"/>
          </w:tcPr>
          <w:p w14:paraId="71C95146" w14:textId="77777777" w:rsidR="00E82C4C" w:rsidRPr="00092862" w:rsidRDefault="00E82C4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2265" w:type="pct"/>
            <w:tcMar>
              <w:left w:w="57" w:type="dxa"/>
              <w:right w:w="57" w:type="dxa"/>
            </w:tcMar>
            <w:vAlign w:val="center"/>
          </w:tcPr>
          <w:p w14:paraId="533FE191" w14:textId="77777777" w:rsidR="00E82C4C" w:rsidRPr="00092862" w:rsidRDefault="00E82C4C" w:rsidP="00E82C4C">
            <w:pPr>
              <w:adjustRightInd w:val="0"/>
              <w:snapToGrid w:val="0"/>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《水污染防治行动计划》</w:t>
            </w:r>
          </w:p>
          <w:p w14:paraId="54BD4A52" w14:textId="77777777" w:rsidR="00E82C4C" w:rsidRPr="00092862" w:rsidRDefault="00E82C4C" w:rsidP="00E82C4C">
            <w:pPr>
              <w:adjustRightInd w:val="0"/>
              <w:snapToGrid w:val="0"/>
              <w:rPr>
                <w:rFonts w:ascii="Times New Roman" w:eastAsia="宋体" w:hAnsi="Times New Roman" w:cs="Times New Roman"/>
                <w:b/>
                <w:bCs/>
                <w:color w:val="000000" w:themeColor="text1"/>
                <w:szCs w:val="21"/>
              </w:rPr>
            </w:pPr>
            <w:r w:rsidRPr="00092862">
              <w:rPr>
                <w:rFonts w:ascii="Times New Roman" w:eastAsia="宋体" w:hAnsi="Times New Roman" w:cs="Times New Roman"/>
                <w:color w:val="000000" w:themeColor="text1"/>
                <w:szCs w:val="21"/>
              </w:rPr>
              <w:t>防治地下水污染。石化生产存贮销售企业和工业园区、矿山开采区、垃圾填埋场等区域应进行必要的防渗处理。报废矿井、钻井、取水井应实施封井回填</w:t>
            </w:r>
          </w:p>
        </w:tc>
        <w:tc>
          <w:tcPr>
            <w:tcW w:w="1809" w:type="pct"/>
            <w:tcMar>
              <w:left w:w="57" w:type="dxa"/>
              <w:right w:w="57" w:type="dxa"/>
            </w:tcMar>
            <w:vAlign w:val="center"/>
          </w:tcPr>
          <w:p w14:paraId="7CD91309" w14:textId="77777777" w:rsidR="00E82C4C" w:rsidRPr="00092862" w:rsidRDefault="00E82C4C" w:rsidP="00E82C4C">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本项目提出了钻井及采气井场的防渗要求，对废弃井提出封井要求，符合要求。</w:t>
            </w:r>
          </w:p>
        </w:tc>
        <w:tc>
          <w:tcPr>
            <w:tcW w:w="522" w:type="pct"/>
            <w:tcMar>
              <w:left w:w="57" w:type="dxa"/>
              <w:right w:w="57" w:type="dxa"/>
            </w:tcMar>
            <w:vAlign w:val="center"/>
          </w:tcPr>
          <w:p w14:paraId="2EBC4C03" w14:textId="77777777" w:rsidR="00E82C4C" w:rsidRPr="00092862" w:rsidRDefault="00E82C4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1118C8E3" w14:textId="02B90C66" w:rsidR="00111D11" w:rsidRPr="00092862" w:rsidRDefault="00111D11" w:rsidP="00111D11">
      <w:pPr>
        <w:tabs>
          <w:tab w:val="left" w:pos="0"/>
        </w:tabs>
        <w:spacing w:line="360" w:lineRule="auto"/>
        <w:ind w:firstLineChars="200" w:firstLine="480"/>
        <w:rPr>
          <w:rFonts w:ascii="Times New Roman" w:eastAsia="黑体" w:hAnsi="Times New Roman" w:cs="Times New Roman"/>
          <w:bCs/>
          <w:color w:val="000000" w:themeColor="text1"/>
          <w:sz w:val="24"/>
          <w:szCs w:val="24"/>
        </w:rPr>
      </w:pPr>
      <w:bookmarkStart w:id="63" w:name="_Toc120173079"/>
      <w:r w:rsidRPr="00092862">
        <w:rPr>
          <w:rFonts w:ascii="Times New Roman" w:eastAsia="黑体" w:hAnsi="Times New Roman" w:cs="Times New Roman"/>
          <w:bCs/>
          <w:color w:val="000000" w:themeColor="text1"/>
          <w:sz w:val="24"/>
          <w:szCs w:val="24"/>
        </w:rPr>
        <w:t>5</w:t>
      </w:r>
      <w:r w:rsidRPr="00092862">
        <w:rPr>
          <w:rFonts w:ascii="Times New Roman" w:eastAsia="黑体" w:hAnsi="Times New Roman" w:cs="Times New Roman"/>
          <w:bCs/>
          <w:color w:val="000000" w:themeColor="text1"/>
          <w:sz w:val="24"/>
          <w:szCs w:val="24"/>
        </w:rPr>
        <w:t>、与《四川省嘉陵江流域生态环境保护条例》的符合性分析</w:t>
      </w:r>
    </w:p>
    <w:p w14:paraId="101D4F2B" w14:textId="2177C5BE" w:rsidR="00111D11" w:rsidRPr="00092862" w:rsidRDefault="00111D11" w:rsidP="00111D11">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本项目与《四川省嘉陵江流域生态环境保护条例》的符合性分析见下表：</w:t>
      </w:r>
    </w:p>
    <w:p w14:paraId="0451DA54" w14:textId="1DC46521" w:rsidR="00111D11" w:rsidRPr="00092862" w:rsidRDefault="009466D3" w:rsidP="009466D3">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2.7-4  </w:t>
      </w:r>
      <w:r w:rsidRPr="00092862">
        <w:rPr>
          <w:rFonts w:ascii="Times New Roman" w:eastAsia="黑体" w:hAnsi="Times New Roman"/>
          <w:color w:val="000000" w:themeColor="text1"/>
          <w:sz w:val="21"/>
          <w:szCs w:val="21"/>
          <w:lang w:eastAsia="zh-CN"/>
        </w:rPr>
        <w:t>与《四川省嘉陵江流域生态环境保护条例》的符合性分析一览表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697429" w:rsidRPr="00092862" w14:paraId="59C2321C" w14:textId="77777777" w:rsidTr="002E0C20">
        <w:trPr>
          <w:trHeight w:val="108"/>
          <w:tblHeader/>
          <w:jc w:val="center"/>
        </w:trPr>
        <w:tc>
          <w:tcPr>
            <w:tcW w:w="356" w:type="pct"/>
            <w:vAlign w:val="center"/>
          </w:tcPr>
          <w:p w14:paraId="5E80AEEE" w14:textId="77777777" w:rsidR="00111D11" w:rsidRPr="00092862" w:rsidRDefault="00111D11"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2532" w:type="pct"/>
            <w:vAlign w:val="center"/>
          </w:tcPr>
          <w:p w14:paraId="09C3D01C" w14:textId="5DA5C87D" w:rsidR="00111D11" w:rsidRPr="00092862" w:rsidRDefault="002E0C20"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条例</w:t>
            </w:r>
            <w:r w:rsidR="00111D11" w:rsidRPr="00092862">
              <w:rPr>
                <w:rFonts w:ascii="Times New Roman" w:eastAsia="宋体" w:hAnsi="Times New Roman" w:cs="Times New Roman"/>
                <w:b/>
                <w:bCs/>
                <w:color w:val="000000" w:themeColor="text1"/>
                <w:szCs w:val="21"/>
              </w:rPr>
              <w:t>要求</w:t>
            </w:r>
          </w:p>
        </w:tc>
        <w:tc>
          <w:tcPr>
            <w:tcW w:w="1586" w:type="pct"/>
            <w:vAlign w:val="center"/>
          </w:tcPr>
          <w:p w14:paraId="38136803" w14:textId="77777777" w:rsidR="00111D11" w:rsidRPr="00092862" w:rsidRDefault="00111D11"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项目内容</w:t>
            </w:r>
          </w:p>
        </w:tc>
        <w:tc>
          <w:tcPr>
            <w:tcW w:w="526" w:type="pct"/>
            <w:vAlign w:val="center"/>
          </w:tcPr>
          <w:p w14:paraId="5B8A0A83" w14:textId="77777777" w:rsidR="00111D11" w:rsidRPr="00092862" w:rsidRDefault="00111D11"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w:t>
            </w:r>
          </w:p>
        </w:tc>
      </w:tr>
      <w:tr w:rsidR="00697429" w:rsidRPr="00092862" w14:paraId="7B59E244" w14:textId="77777777" w:rsidTr="002E0C20">
        <w:trPr>
          <w:trHeight w:val="269"/>
          <w:jc w:val="center"/>
        </w:trPr>
        <w:tc>
          <w:tcPr>
            <w:tcW w:w="356" w:type="pct"/>
            <w:vAlign w:val="center"/>
          </w:tcPr>
          <w:p w14:paraId="5BCDC958" w14:textId="77777777"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w:t>
            </w:r>
          </w:p>
        </w:tc>
        <w:tc>
          <w:tcPr>
            <w:tcW w:w="2532" w:type="pct"/>
            <w:vAlign w:val="center"/>
          </w:tcPr>
          <w:p w14:paraId="00B21E06" w14:textId="54F6AD1F" w:rsidR="00111D11" w:rsidRPr="00092862" w:rsidRDefault="002E0C2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九十九条：违反本条例规定，未按照规定设置下泄生态流量在线监控、监测装置，未按照规定与水行政主管部门的监管平台联网的，由县级以上地方人民政府水行政主管部门责令限期改正，处二万元以上二十万元以下罚款；逾期不改正的，责令停产整治。</w:t>
            </w:r>
          </w:p>
        </w:tc>
        <w:tc>
          <w:tcPr>
            <w:tcW w:w="1586" w:type="pct"/>
            <w:vAlign w:val="center"/>
          </w:tcPr>
          <w:p w14:paraId="4C36729E" w14:textId="16A9B882" w:rsidR="00111D11" w:rsidRPr="00092862" w:rsidRDefault="002E0C2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本项目不属于需设置下泄生态流量在线监控、监测装置的项目</w:t>
            </w:r>
            <w:r w:rsidR="00111D11" w:rsidRPr="00092862">
              <w:rPr>
                <w:rFonts w:ascii="Times New Roman" w:eastAsia="宋体" w:hAnsi="Times New Roman" w:cs="Times New Roman"/>
                <w:color w:val="000000" w:themeColor="text1"/>
                <w:szCs w:val="21"/>
              </w:rPr>
              <w:t>。</w:t>
            </w:r>
          </w:p>
        </w:tc>
        <w:tc>
          <w:tcPr>
            <w:tcW w:w="526" w:type="pct"/>
            <w:vAlign w:val="center"/>
          </w:tcPr>
          <w:p w14:paraId="5FD7F835" w14:textId="05A73BB0" w:rsidR="00111D11" w:rsidRPr="00092862" w:rsidRDefault="009466D3"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r w:rsidR="00111D11" w:rsidRPr="00092862">
              <w:rPr>
                <w:rFonts w:ascii="Times New Roman" w:eastAsia="宋体" w:hAnsi="Times New Roman" w:cs="Times New Roman"/>
                <w:color w:val="000000" w:themeColor="text1"/>
                <w:szCs w:val="21"/>
              </w:rPr>
              <w:t>。</w:t>
            </w:r>
          </w:p>
        </w:tc>
      </w:tr>
      <w:tr w:rsidR="00697429" w:rsidRPr="00092862" w14:paraId="23A096C5" w14:textId="77777777" w:rsidTr="002E0C20">
        <w:trPr>
          <w:trHeight w:val="269"/>
          <w:jc w:val="center"/>
        </w:trPr>
        <w:tc>
          <w:tcPr>
            <w:tcW w:w="356" w:type="pct"/>
            <w:vAlign w:val="center"/>
          </w:tcPr>
          <w:p w14:paraId="5372861F" w14:textId="1D1E8DC9"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2E0C20"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w:t>
            </w:r>
          </w:p>
        </w:tc>
        <w:tc>
          <w:tcPr>
            <w:tcW w:w="2532" w:type="pct"/>
            <w:vAlign w:val="center"/>
          </w:tcPr>
          <w:p w14:paraId="6B904274" w14:textId="6FD4366D" w:rsidR="00111D11" w:rsidRPr="00092862" w:rsidRDefault="002E0C20"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一百条：违反本条例规定，在嘉陵江流域未依法取得许可从事采砂活动，或者在禁止采砂区和禁止采砂期从事采砂活动的，由县级以上地方人民政府水行政主管部门责令停止违法行为，没收违法所得以及用于违法活动的船舶、设备、工具，并处货值金额二倍以上二十倍以下罚款；货值金额不足十万元的，并处二十万元以上二百万元以下罚款；已经取得河道采砂许可证的，吊销河道采砂许可证。</w:t>
            </w:r>
          </w:p>
        </w:tc>
        <w:tc>
          <w:tcPr>
            <w:tcW w:w="1586" w:type="pct"/>
            <w:vAlign w:val="center"/>
          </w:tcPr>
          <w:p w14:paraId="18524B43" w14:textId="691E8D8C" w:rsidR="00111D11" w:rsidRPr="00092862" w:rsidRDefault="002E0C20"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本项目不属于</w:t>
            </w:r>
            <w:r w:rsidR="009466D3" w:rsidRPr="00092862">
              <w:rPr>
                <w:rFonts w:ascii="Times New Roman" w:eastAsia="宋体" w:hAnsi="Times New Roman" w:cs="Times New Roman"/>
                <w:color w:val="000000" w:themeColor="text1"/>
                <w:szCs w:val="21"/>
              </w:rPr>
              <w:t>采砂项目，不涉及采砂。</w:t>
            </w:r>
          </w:p>
        </w:tc>
        <w:tc>
          <w:tcPr>
            <w:tcW w:w="526" w:type="pct"/>
            <w:vAlign w:val="center"/>
          </w:tcPr>
          <w:p w14:paraId="281E0B34" w14:textId="77777777"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A733A01" w14:textId="77777777" w:rsidTr="002E0C20">
        <w:trPr>
          <w:trHeight w:val="269"/>
          <w:jc w:val="center"/>
        </w:trPr>
        <w:tc>
          <w:tcPr>
            <w:tcW w:w="356" w:type="pct"/>
            <w:vAlign w:val="center"/>
          </w:tcPr>
          <w:p w14:paraId="3A88AC88" w14:textId="33CDEBA1"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9466D3"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w:t>
            </w:r>
          </w:p>
        </w:tc>
        <w:tc>
          <w:tcPr>
            <w:tcW w:w="2532" w:type="pct"/>
            <w:vAlign w:val="center"/>
          </w:tcPr>
          <w:p w14:paraId="284FA650" w14:textId="76DD1AB1"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一百零一条：违反本条例规定，未按照规定对医疗卫生机构、传染病疫情防控期间集中医学观察点产生的污水、传染病病人或者疑似传染病病人的排泄物，进行严格消毒，或者未达到国家规定的排放标准，排入污水处理系统的，由卫生健康主管部门或者生态环境主管部门按照各自的职责责令限期改正，给予警告，并处五千元以上一万元以下罚款；逾期不改正的，处一万元以上三万元以下罚款；造成传染病传播或者环境污染事故的，由原发证部门暂扣或者吊销执业许可证件或者经营许可证件；构成犯罪的，依法追究刑事责任。</w:t>
            </w:r>
          </w:p>
        </w:tc>
        <w:tc>
          <w:tcPr>
            <w:tcW w:w="1586" w:type="pct"/>
            <w:vAlign w:val="center"/>
          </w:tcPr>
          <w:p w14:paraId="12AC1ACA" w14:textId="75D2E1F0"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本项目不属于医疗企业。</w:t>
            </w:r>
          </w:p>
        </w:tc>
        <w:tc>
          <w:tcPr>
            <w:tcW w:w="526" w:type="pct"/>
            <w:vAlign w:val="center"/>
          </w:tcPr>
          <w:p w14:paraId="6F8C750C" w14:textId="77777777"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F3C4BC0" w14:textId="77777777" w:rsidTr="002E0C20">
        <w:trPr>
          <w:trHeight w:val="269"/>
          <w:jc w:val="center"/>
        </w:trPr>
        <w:tc>
          <w:tcPr>
            <w:tcW w:w="356" w:type="pct"/>
            <w:vAlign w:val="center"/>
          </w:tcPr>
          <w:p w14:paraId="318520E4" w14:textId="7CCAFD71"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9466D3"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w:t>
            </w:r>
          </w:p>
        </w:tc>
        <w:tc>
          <w:tcPr>
            <w:tcW w:w="2532" w:type="pct"/>
            <w:vAlign w:val="center"/>
          </w:tcPr>
          <w:p w14:paraId="5B4B8D4A" w14:textId="1AE06608"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第一百零二条：违反本条例规定，向水体以投放化肥、粪便、动物尸体（肢体、内脏）、动物源性饲料等污染水体的方式从事</w:t>
            </w:r>
            <w:r w:rsidRPr="00092862">
              <w:rPr>
                <w:rFonts w:ascii="Times New Roman" w:eastAsia="宋体" w:hAnsi="Times New Roman" w:cs="Times New Roman"/>
                <w:color w:val="000000" w:themeColor="text1"/>
                <w:szCs w:val="21"/>
              </w:rPr>
              <w:lastRenderedPageBreak/>
              <w:t>水产养殖的，由县级以上地方人民政府生态环境主管部门责令停止违法行为，处一万元以上十万元以下罚款。</w:t>
            </w:r>
          </w:p>
        </w:tc>
        <w:tc>
          <w:tcPr>
            <w:tcW w:w="1586" w:type="pct"/>
            <w:vAlign w:val="center"/>
          </w:tcPr>
          <w:p w14:paraId="7C782E24" w14:textId="541D2F96"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本项目所产生的生产废水均回用或预处理后回注，生活污水经收集后均由密闭罐车</w:t>
            </w:r>
            <w:r w:rsidRPr="00092862">
              <w:rPr>
                <w:rFonts w:ascii="Times New Roman" w:eastAsia="宋体" w:hAnsi="Times New Roman" w:cs="Times New Roman"/>
                <w:color w:val="000000" w:themeColor="text1"/>
                <w:szCs w:val="21"/>
              </w:rPr>
              <w:lastRenderedPageBreak/>
              <w:t>定期拉运至当地污水处理厂处理，不属于水产养殖业项目。</w:t>
            </w:r>
          </w:p>
        </w:tc>
        <w:tc>
          <w:tcPr>
            <w:tcW w:w="526" w:type="pct"/>
            <w:vAlign w:val="center"/>
          </w:tcPr>
          <w:p w14:paraId="298F0840" w14:textId="77777777"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符合</w:t>
            </w:r>
          </w:p>
        </w:tc>
      </w:tr>
      <w:tr w:rsidR="00697429" w:rsidRPr="00092862" w14:paraId="257817B7" w14:textId="77777777" w:rsidTr="002E0C20">
        <w:trPr>
          <w:trHeight w:val="269"/>
          <w:jc w:val="center"/>
        </w:trPr>
        <w:tc>
          <w:tcPr>
            <w:tcW w:w="356" w:type="pct"/>
            <w:vAlign w:val="center"/>
          </w:tcPr>
          <w:p w14:paraId="7732F00B" w14:textId="509B84F5"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9466D3"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w:t>
            </w:r>
          </w:p>
        </w:tc>
        <w:tc>
          <w:tcPr>
            <w:tcW w:w="2532" w:type="pct"/>
            <w:vAlign w:val="center"/>
          </w:tcPr>
          <w:p w14:paraId="60F150CB" w14:textId="5EAD6691" w:rsidR="009466D3" w:rsidRPr="00092862" w:rsidRDefault="009466D3" w:rsidP="009466D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第一百零三条：违反本条例规定，有下列行为之一的，由负责海事管理的机构按下列规定处罚：</w:t>
            </w:r>
          </w:p>
          <w:p w14:paraId="5D6D1878" w14:textId="77777777" w:rsidR="009466D3" w:rsidRPr="00092862" w:rsidRDefault="009466D3" w:rsidP="009466D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船舶装载运输油类或者有毒货物，未制定防止船舶溢漏应急预案的，或者未采取防溢流、防渗漏、防坠落等措施的；发生海损事故或者货物落水事故未立即采取措施控制和消除污染以及迟报、谎报、漏报、瞒报的，责令停止违法行为，处一万元以上十万元以下罚款；造成水污染的，责令限期采取治理措施，消除污染，处二万元以上二十万元以下罚款；逾期不采取治理措施的，可以指定有治理能力的单位代为治理，所需费用由船舶经营者承担；</w:t>
            </w:r>
          </w:p>
          <w:p w14:paraId="782FDA64" w14:textId="5AE937F9" w:rsidR="00111D11" w:rsidRPr="00092862" w:rsidRDefault="009466D3" w:rsidP="009466D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（二）船舶经营者未将餐厨垃圾贮存在专门的容器中，收集上岸集中处置的，或者未如实记录处置情况的，责令改正，处二千元以上二万元以下罚款。</w:t>
            </w:r>
          </w:p>
        </w:tc>
        <w:tc>
          <w:tcPr>
            <w:tcW w:w="1586" w:type="pct"/>
            <w:vAlign w:val="center"/>
          </w:tcPr>
          <w:p w14:paraId="5EDA2D08" w14:textId="095B0446"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本项目不涉及船舶运输。</w:t>
            </w:r>
          </w:p>
        </w:tc>
        <w:tc>
          <w:tcPr>
            <w:tcW w:w="526" w:type="pct"/>
            <w:vAlign w:val="center"/>
          </w:tcPr>
          <w:p w14:paraId="72FE6BBD" w14:textId="77777777"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D4EE2FE" w14:textId="77777777" w:rsidTr="002E0C20">
        <w:trPr>
          <w:trHeight w:val="269"/>
          <w:jc w:val="center"/>
        </w:trPr>
        <w:tc>
          <w:tcPr>
            <w:tcW w:w="356" w:type="pct"/>
            <w:vAlign w:val="center"/>
          </w:tcPr>
          <w:p w14:paraId="0B328A3F" w14:textId="6CBE2C14"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9466D3"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w:t>
            </w:r>
          </w:p>
        </w:tc>
        <w:tc>
          <w:tcPr>
            <w:tcW w:w="2532" w:type="pct"/>
            <w:vAlign w:val="center"/>
          </w:tcPr>
          <w:p w14:paraId="76B0B060" w14:textId="08FB1EAA" w:rsidR="009466D3" w:rsidRPr="00092862" w:rsidRDefault="009466D3" w:rsidP="009466D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一百零四条：因污染嘉陵江流域环境、破坏嘉陵江流域生态造成他人损害的，侵权人应当承担侵权责任。</w:t>
            </w:r>
          </w:p>
          <w:p w14:paraId="2CEE404B" w14:textId="789E09BB" w:rsidR="00111D11" w:rsidRPr="00092862" w:rsidRDefault="009466D3" w:rsidP="009466D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违反国家和本省规定造成嘉陵江流域生态环境损害的，国家规定的机关或者法律规定的组织有权请求侵权人承担修复责任、赔偿损失和有关费用。</w:t>
            </w:r>
          </w:p>
        </w:tc>
        <w:tc>
          <w:tcPr>
            <w:tcW w:w="1586" w:type="pct"/>
            <w:vAlign w:val="center"/>
          </w:tcPr>
          <w:p w14:paraId="4B2559EF" w14:textId="11A8760A"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w:t>
            </w:r>
            <w:r w:rsidR="009466D3" w:rsidRPr="00092862">
              <w:rPr>
                <w:rFonts w:ascii="Times New Roman" w:eastAsia="宋体" w:hAnsi="Times New Roman" w:cs="Times New Roman"/>
                <w:color w:val="000000" w:themeColor="text1"/>
                <w:szCs w:val="21"/>
              </w:rPr>
              <w:t>不属于污染损害嘉陵江流域环境、破坏嘉陵江流域生态造成他人损害的建设项目</w:t>
            </w:r>
            <w:r w:rsidRPr="00092862">
              <w:rPr>
                <w:rFonts w:ascii="Times New Roman" w:eastAsia="宋体" w:hAnsi="Times New Roman" w:cs="Times New Roman"/>
                <w:color w:val="000000" w:themeColor="text1"/>
                <w:szCs w:val="21"/>
              </w:rPr>
              <w:t>。</w:t>
            </w:r>
          </w:p>
        </w:tc>
        <w:tc>
          <w:tcPr>
            <w:tcW w:w="526" w:type="pct"/>
            <w:vAlign w:val="center"/>
          </w:tcPr>
          <w:p w14:paraId="72F7F3BF" w14:textId="77777777"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5D77E87" w14:textId="77777777" w:rsidTr="002E0C20">
        <w:trPr>
          <w:trHeight w:val="269"/>
          <w:jc w:val="center"/>
        </w:trPr>
        <w:tc>
          <w:tcPr>
            <w:tcW w:w="356" w:type="pct"/>
            <w:vAlign w:val="center"/>
          </w:tcPr>
          <w:p w14:paraId="466706CF" w14:textId="3F261FBF" w:rsidR="00111D11" w:rsidRPr="00092862" w:rsidRDefault="00111D11"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9466D3" w:rsidRPr="00092862">
              <w:rPr>
                <w:rFonts w:ascii="Times New Roman" w:eastAsia="宋体" w:hAnsi="Times New Roman" w:cs="Times New Roman"/>
                <w:color w:val="000000" w:themeColor="text1"/>
                <w:szCs w:val="21"/>
              </w:rPr>
              <w:t>7</w:t>
            </w:r>
            <w:r w:rsidRPr="00092862">
              <w:rPr>
                <w:rFonts w:ascii="Times New Roman" w:eastAsia="宋体" w:hAnsi="Times New Roman" w:cs="Times New Roman"/>
                <w:color w:val="000000" w:themeColor="text1"/>
                <w:szCs w:val="21"/>
              </w:rPr>
              <w:t>）</w:t>
            </w:r>
          </w:p>
        </w:tc>
        <w:tc>
          <w:tcPr>
            <w:tcW w:w="2532" w:type="pct"/>
            <w:vAlign w:val="center"/>
          </w:tcPr>
          <w:p w14:paraId="797D198C" w14:textId="5D7F6DF7"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第一百零五条：对嘉陵江流域污染环境、破坏生态，损害公共利益的行为，法律规定的机关和符合条件的社会组织可以依法向人民法院提起诉讼。</w:t>
            </w:r>
          </w:p>
        </w:tc>
        <w:tc>
          <w:tcPr>
            <w:tcW w:w="1586" w:type="pct"/>
            <w:vAlign w:val="center"/>
          </w:tcPr>
          <w:p w14:paraId="4F4A14B5" w14:textId="193BFE4D" w:rsidR="00111D11" w:rsidRPr="00092862" w:rsidRDefault="009466D3" w:rsidP="00030BF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本项目采取对应的环境保护措施，不会对嘉陵江流域污染环境、破坏生态。</w:t>
            </w:r>
          </w:p>
        </w:tc>
        <w:tc>
          <w:tcPr>
            <w:tcW w:w="526" w:type="pct"/>
            <w:vAlign w:val="center"/>
          </w:tcPr>
          <w:p w14:paraId="68093F8A" w14:textId="2D978DCA" w:rsidR="00111D11" w:rsidRPr="00092862" w:rsidRDefault="009466D3"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520E50BE" w14:textId="39507A0C" w:rsidR="00111D11" w:rsidRPr="00092862" w:rsidRDefault="009466D3" w:rsidP="00111D11">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综上所述，本项目与《四川省嘉陵江流域生态环境保护条例》相符。</w:t>
      </w:r>
    </w:p>
    <w:p w14:paraId="32E9E410" w14:textId="44ACC1CD" w:rsidR="0025149A" w:rsidRPr="00092862" w:rsidRDefault="0025149A" w:rsidP="0025149A">
      <w:pPr>
        <w:tabs>
          <w:tab w:val="left" w:pos="0"/>
        </w:tabs>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6</w:t>
      </w:r>
      <w:r w:rsidRPr="00092862">
        <w:rPr>
          <w:rFonts w:ascii="Times New Roman" w:eastAsia="黑体" w:hAnsi="Times New Roman" w:cs="Times New Roman"/>
          <w:bCs/>
          <w:color w:val="000000" w:themeColor="text1"/>
          <w:sz w:val="24"/>
          <w:szCs w:val="24"/>
        </w:rPr>
        <w:t>、与《达州市</w:t>
      </w:r>
      <w:r w:rsidRPr="00092862">
        <w:rPr>
          <w:rFonts w:ascii="Times New Roman" w:eastAsia="黑体" w:hAnsi="Times New Roman" w:cs="Times New Roman"/>
          <w:bCs/>
          <w:color w:val="000000" w:themeColor="text1"/>
          <w:sz w:val="24"/>
          <w:szCs w:val="24"/>
        </w:rPr>
        <w:t>“</w:t>
      </w:r>
      <w:r w:rsidRPr="00092862">
        <w:rPr>
          <w:rFonts w:ascii="Times New Roman" w:eastAsia="黑体" w:hAnsi="Times New Roman" w:cs="Times New Roman"/>
          <w:bCs/>
          <w:color w:val="000000" w:themeColor="text1"/>
          <w:sz w:val="24"/>
          <w:szCs w:val="24"/>
        </w:rPr>
        <w:t>十四五</w:t>
      </w:r>
      <w:r w:rsidRPr="00092862">
        <w:rPr>
          <w:rFonts w:ascii="Times New Roman" w:eastAsia="黑体" w:hAnsi="Times New Roman" w:cs="Times New Roman"/>
          <w:bCs/>
          <w:color w:val="000000" w:themeColor="text1"/>
          <w:sz w:val="24"/>
          <w:szCs w:val="24"/>
        </w:rPr>
        <w:t>”</w:t>
      </w:r>
      <w:r w:rsidRPr="00092862">
        <w:rPr>
          <w:rFonts w:ascii="Times New Roman" w:eastAsia="黑体" w:hAnsi="Times New Roman" w:cs="Times New Roman"/>
          <w:bCs/>
          <w:color w:val="000000" w:themeColor="text1"/>
          <w:sz w:val="24"/>
          <w:szCs w:val="24"/>
        </w:rPr>
        <w:t>生态环境保护规划》的符合性分析</w:t>
      </w:r>
    </w:p>
    <w:p w14:paraId="51DEF947" w14:textId="380075A4" w:rsidR="0025149A" w:rsidRPr="00092862" w:rsidRDefault="0025149A" w:rsidP="0025149A">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本项目与《达州市</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十四五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生态环境保护规划》的符合性分析见下表：</w:t>
      </w:r>
    </w:p>
    <w:p w14:paraId="720DECDC" w14:textId="20ED3CD7" w:rsidR="0025149A" w:rsidRPr="00092862" w:rsidRDefault="0025149A" w:rsidP="0025149A">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与《达州市</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十四五</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生态环境保护规划》的符合性分析一览表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697429" w:rsidRPr="00092862" w14:paraId="7B1ABD62" w14:textId="77777777" w:rsidTr="00030BF9">
        <w:trPr>
          <w:trHeight w:val="108"/>
          <w:tblHeader/>
          <w:jc w:val="center"/>
        </w:trPr>
        <w:tc>
          <w:tcPr>
            <w:tcW w:w="356" w:type="pct"/>
            <w:vAlign w:val="center"/>
          </w:tcPr>
          <w:p w14:paraId="1B44AC7C" w14:textId="77777777" w:rsidR="0025149A" w:rsidRPr="00092862" w:rsidRDefault="0025149A"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2532" w:type="pct"/>
            <w:vAlign w:val="center"/>
          </w:tcPr>
          <w:p w14:paraId="3499CE90" w14:textId="3177FF7F" w:rsidR="0025149A" w:rsidRPr="00092862" w:rsidRDefault="0025149A"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规划要求</w:t>
            </w:r>
          </w:p>
        </w:tc>
        <w:tc>
          <w:tcPr>
            <w:tcW w:w="1586" w:type="pct"/>
            <w:vAlign w:val="center"/>
          </w:tcPr>
          <w:p w14:paraId="0B964906" w14:textId="77777777" w:rsidR="0025149A" w:rsidRPr="00092862" w:rsidRDefault="0025149A"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项目内容</w:t>
            </w:r>
          </w:p>
        </w:tc>
        <w:tc>
          <w:tcPr>
            <w:tcW w:w="526" w:type="pct"/>
            <w:vAlign w:val="center"/>
          </w:tcPr>
          <w:p w14:paraId="1F7C3570" w14:textId="77777777" w:rsidR="0025149A" w:rsidRPr="00092862" w:rsidRDefault="0025149A" w:rsidP="00030BF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w:t>
            </w:r>
          </w:p>
        </w:tc>
      </w:tr>
      <w:tr w:rsidR="00697429" w:rsidRPr="00092862" w14:paraId="111305D0" w14:textId="77777777" w:rsidTr="00030BF9">
        <w:trPr>
          <w:trHeight w:val="269"/>
          <w:jc w:val="center"/>
        </w:trPr>
        <w:tc>
          <w:tcPr>
            <w:tcW w:w="356" w:type="pct"/>
            <w:vAlign w:val="center"/>
          </w:tcPr>
          <w:p w14:paraId="4BE0658B"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w:t>
            </w:r>
          </w:p>
        </w:tc>
        <w:tc>
          <w:tcPr>
            <w:tcW w:w="2532" w:type="pct"/>
            <w:vAlign w:val="center"/>
          </w:tcPr>
          <w:p w14:paraId="7AA45298" w14:textId="69E69CE1" w:rsidR="0025149A" w:rsidRPr="00092862" w:rsidRDefault="0025149A" w:rsidP="0025149A">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落实国土空间开发保护格局。以达川区、通川区、大竹县为重点开发区域，加快推进中心城市发展，优化城市空间布局，重点发展清洁能源、</w:t>
            </w:r>
            <w:r w:rsidRPr="00092862">
              <w:rPr>
                <w:rFonts w:ascii="Times New Roman" w:eastAsia="宋体" w:hAnsi="Times New Roman" w:cs="Times New Roman"/>
                <w:b/>
                <w:bCs/>
                <w:color w:val="000000" w:themeColor="text1"/>
                <w:szCs w:val="21"/>
              </w:rPr>
              <w:t>天然气化工</w:t>
            </w:r>
            <w:r w:rsidRPr="00092862">
              <w:rPr>
                <w:rFonts w:ascii="Times New Roman" w:eastAsia="宋体" w:hAnsi="Times New Roman" w:cs="Times New Roman"/>
                <w:color w:val="000000" w:themeColor="text1"/>
                <w:szCs w:val="21"/>
              </w:rPr>
              <w:t>、农产品加工业，加强生态环境保护和流域综合整治</w:t>
            </w:r>
            <w:r w:rsidRPr="00092862">
              <w:rPr>
                <w:rFonts w:ascii="Times New Roman" w:eastAsia="宋体" w:hAnsi="Times New Roman" w:cs="Times New Roman"/>
                <w:color w:val="000000" w:themeColor="text1"/>
                <w:szCs w:val="21"/>
              </w:rPr>
              <w:t>···</w:t>
            </w:r>
          </w:p>
        </w:tc>
        <w:tc>
          <w:tcPr>
            <w:tcW w:w="1586" w:type="pct"/>
            <w:vAlign w:val="center"/>
          </w:tcPr>
          <w:p w14:paraId="0D018DE7" w14:textId="585475BB" w:rsidR="0025149A" w:rsidRPr="00092862" w:rsidRDefault="0025149A"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本项目属于天然气试采项目。</w:t>
            </w:r>
          </w:p>
        </w:tc>
        <w:tc>
          <w:tcPr>
            <w:tcW w:w="526" w:type="pct"/>
            <w:vAlign w:val="center"/>
          </w:tcPr>
          <w:p w14:paraId="0FAD93FD" w14:textId="77777777" w:rsidR="0025149A" w:rsidRPr="00092862" w:rsidRDefault="0025149A"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110AFE2" w14:textId="77777777" w:rsidTr="00030BF9">
        <w:trPr>
          <w:trHeight w:val="269"/>
          <w:jc w:val="center"/>
        </w:trPr>
        <w:tc>
          <w:tcPr>
            <w:tcW w:w="356" w:type="pct"/>
            <w:vAlign w:val="center"/>
          </w:tcPr>
          <w:p w14:paraId="21D2B92F"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w:t>
            </w:r>
          </w:p>
        </w:tc>
        <w:tc>
          <w:tcPr>
            <w:tcW w:w="2532" w:type="pct"/>
            <w:vAlign w:val="center"/>
          </w:tcPr>
          <w:p w14:paraId="2C16F187" w14:textId="4869F919" w:rsidR="0025149A" w:rsidRPr="00092862" w:rsidRDefault="0025149A" w:rsidP="0025149A">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加强清洁能源示范建设，实施中国</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气大庆</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建设行动，推进国家天然气综合开发利用示范区建设，</w:t>
            </w:r>
            <w:r w:rsidRPr="00092862">
              <w:rPr>
                <w:rFonts w:ascii="Times New Roman" w:eastAsia="宋体" w:hAnsi="Times New Roman" w:cs="Times New Roman"/>
                <w:b/>
                <w:bCs/>
                <w:color w:val="000000" w:themeColor="text1"/>
                <w:szCs w:val="21"/>
              </w:rPr>
              <w:t>提高天然气就地转化效率</w:t>
            </w:r>
            <w:r w:rsidRPr="00092862">
              <w:rPr>
                <w:rFonts w:ascii="Times New Roman" w:eastAsia="宋体" w:hAnsi="Times New Roman" w:cs="Times New Roman"/>
                <w:color w:val="000000" w:themeColor="text1"/>
                <w:szCs w:val="21"/>
              </w:rPr>
              <w:t>，进一步提高非化石能源供给及其在能源消费结构中的比例</w:t>
            </w:r>
            <w:r w:rsidRPr="00092862">
              <w:rPr>
                <w:rFonts w:ascii="Times New Roman" w:eastAsia="宋体" w:hAnsi="Times New Roman" w:cs="Times New Roman"/>
                <w:color w:val="000000" w:themeColor="text1"/>
                <w:szCs w:val="21"/>
              </w:rPr>
              <w:t>···</w:t>
            </w:r>
          </w:p>
        </w:tc>
        <w:tc>
          <w:tcPr>
            <w:tcW w:w="1586" w:type="pct"/>
            <w:vAlign w:val="center"/>
          </w:tcPr>
          <w:p w14:paraId="073C9D64" w14:textId="55FBA89C"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本项目属于天然气试采项目。</w:t>
            </w:r>
          </w:p>
        </w:tc>
        <w:tc>
          <w:tcPr>
            <w:tcW w:w="526" w:type="pct"/>
            <w:vAlign w:val="center"/>
          </w:tcPr>
          <w:p w14:paraId="3B6EB489"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331AB8F" w14:textId="77777777" w:rsidTr="00030BF9">
        <w:trPr>
          <w:trHeight w:val="269"/>
          <w:jc w:val="center"/>
        </w:trPr>
        <w:tc>
          <w:tcPr>
            <w:tcW w:w="356" w:type="pct"/>
            <w:vAlign w:val="center"/>
          </w:tcPr>
          <w:p w14:paraId="183828DA"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w:t>
            </w:r>
          </w:p>
        </w:tc>
        <w:tc>
          <w:tcPr>
            <w:tcW w:w="2532" w:type="pct"/>
            <w:vAlign w:val="center"/>
          </w:tcPr>
          <w:p w14:paraId="3D83EC11" w14:textId="03BC4B9B" w:rsidR="0025149A" w:rsidRPr="00092862" w:rsidRDefault="0025149A" w:rsidP="0025149A">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加强矿产资源综合利用，合理开发利用煤炭、天然气、页岩气、卤水等矿产资源</w:t>
            </w:r>
            <w:r w:rsidRPr="00092862">
              <w:rPr>
                <w:rFonts w:ascii="Times New Roman" w:eastAsia="宋体" w:hAnsi="Times New Roman" w:cs="Times New Roman"/>
                <w:color w:val="000000" w:themeColor="text1"/>
                <w:szCs w:val="21"/>
              </w:rPr>
              <w:t>···</w:t>
            </w:r>
          </w:p>
        </w:tc>
        <w:tc>
          <w:tcPr>
            <w:tcW w:w="1586" w:type="pct"/>
            <w:vAlign w:val="center"/>
          </w:tcPr>
          <w:p w14:paraId="09041CD9" w14:textId="0CBA8CC8"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本项目属于天然气试采项目。</w:t>
            </w:r>
          </w:p>
        </w:tc>
        <w:tc>
          <w:tcPr>
            <w:tcW w:w="526" w:type="pct"/>
            <w:vAlign w:val="center"/>
          </w:tcPr>
          <w:p w14:paraId="7DD36E0C"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88F77E9" w14:textId="77777777" w:rsidTr="00030BF9">
        <w:trPr>
          <w:trHeight w:val="269"/>
          <w:jc w:val="center"/>
        </w:trPr>
        <w:tc>
          <w:tcPr>
            <w:tcW w:w="356" w:type="pct"/>
            <w:vAlign w:val="center"/>
          </w:tcPr>
          <w:p w14:paraId="138F67B1"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w:t>
            </w:r>
          </w:p>
        </w:tc>
        <w:tc>
          <w:tcPr>
            <w:tcW w:w="2532" w:type="pct"/>
            <w:vAlign w:val="center"/>
          </w:tcPr>
          <w:p w14:paraId="7F89A380" w14:textId="2D1FD73A" w:rsidR="0025149A" w:rsidRPr="00092862" w:rsidRDefault="0025149A" w:rsidP="0025149A">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加强矿山开采、天然气勘探开发全过程环境管理</w:t>
            </w:r>
            <w:r w:rsidRPr="00092862">
              <w:rPr>
                <w:rFonts w:ascii="Times New Roman" w:eastAsia="宋体" w:hAnsi="Times New Roman" w:cs="Times New Roman"/>
                <w:color w:val="000000" w:themeColor="text1"/>
                <w:szCs w:val="21"/>
              </w:rPr>
              <w:t>···</w:t>
            </w:r>
          </w:p>
        </w:tc>
        <w:tc>
          <w:tcPr>
            <w:tcW w:w="1586" w:type="pct"/>
            <w:vAlign w:val="center"/>
          </w:tcPr>
          <w:p w14:paraId="5E525A29" w14:textId="1C836995"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本项目在施工及运营期均严格落实各项环境保护措施，全过程加强对环境的管理。</w:t>
            </w:r>
          </w:p>
        </w:tc>
        <w:tc>
          <w:tcPr>
            <w:tcW w:w="526" w:type="pct"/>
            <w:vAlign w:val="center"/>
          </w:tcPr>
          <w:p w14:paraId="1859D00E" w14:textId="77777777"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F891B88" w14:textId="77777777" w:rsidTr="00030BF9">
        <w:trPr>
          <w:trHeight w:val="269"/>
          <w:jc w:val="center"/>
        </w:trPr>
        <w:tc>
          <w:tcPr>
            <w:tcW w:w="356" w:type="pct"/>
            <w:vAlign w:val="center"/>
          </w:tcPr>
          <w:p w14:paraId="36E30435" w14:textId="19F1FB6A"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2532" w:type="pct"/>
            <w:vAlign w:val="center"/>
          </w:tcPr>
          <w:p w14:paraId="3E2540BE" w14:textId="3645D4D3" w:rsidR="0025149A" w:rsidRPr="00092862" w:rsidRDefault="0025149A" w:rsidP="0025149A">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重点支持普光经济开发区开展天然气钻井岩屑资源化利用</w:t>
            </w:r>
            <w:r w:rsidRPr="00092862">
              <w:rPr>
                <w:rFonts w:ascii="Times New Roman" w:eastAsia="宋体" w:hAnsi="Times New Roman" w:cs="Times New Roman"/>
                <w:color w:val="000000" w:themeColor="text1"/>
                <w:szCs w:val="21"/>
              </w:rPr>
              <w:t>···</w:t>
            </w:r>
          </w:p>
        </w:tc>
        <w:tc>
          <w:tcPr>
            <w:tcW w:w="1586" w:type="pct"/>
            <w:vAlign w:val="center"/>
          </w:tcPr>
          <w:p w14:paraId="36318A8C" w14:textId="0E60902F"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本项目所产生的钻井岩屑均得到妥善的资源化利用</w:t>
            </w:r>
          </w:p>
        </w:tc>
        <w:tc>
          <w:tcPr>
            <w:tcW w:w="526" w:type="pct"/>
            <w:vAlign w:val="center"/>
          </w:tcPr>
          <w:p w14:paraId="259CE850" w14:textId="298808DB" w:rsidR="0025149A" w:rsidRPr="00092862" w:rsidRDefault="0025149A" w:rsidP="00030BF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5F66EF81" w14:textId="516F8BE4" w:rsidR="009466D3" w:rsidRPr="00092862" w:rsidRDefault="0025149A" w:rsidP="009466D3">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综上所述，本项目与《达州市</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十四五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生态环境保护规划》相符。</w:t>
      </w:r>
    </w:p>
    <w:p w14:paraId="3969FDED" w14:textId="6401D605" w:rsidR="00FF0EB6" w:rsidRPr="00092862" w:rsidRDefault="00FF0EB6" w:rsidP="00FF0EB6">
      <w:pPr>
        <w:tabs>
          <w:tab w:val="left" w:pos="0"/>
        </w:tabs>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7</w:t>
      </w:r>
      <w:r w:rsidRPr="00092862">
        <w:rPr>
          <w:rFonts w:ascii="Times New Roman" w:eastAsia="黑体" w:hAnsi="Times New Roman" w:cs="Times New Roman"/>
          <w:bCs/>
          <w:color w:val="000000" w:themeColor="text1"/>
          <w:sz w:val="24"/>
          <w:szCs w:val="24"/>
        </w:rPr>
        <w:t>、与《地下水管理条例》的符合性分析</w:t>
      </w:r>
    </w:p>
    <w:p w14:paraId="23AA37B7" w14:textId="3C62B5CB" w:rsidR="00FF0EB6" w:rsidRPr="00092862" w:rsidRDefault="00FF0EB6" w:rsidP="00FF0EB6">
      <w:pPr>
        <w:pStyle w:val="L-"/>
        <w:adjustRightInd w:val="0"/>
        <w:spacing w:line="360" w:lineRule="auto"/>
        <w:ind w:firstLineChars="200"/>
        <w:rPr>
          <w:rFonts w:ascii="Times New Roman" w:cs="Times New Roman"/>
          <w:color w:val="000000" w:themeColor="text1"/>
        </w:rPr>
      </w:pPr>
      <w:r w:rsidRPr="00092862">
        <w:rPr>
          <w:rFonts w:ascii="Times New Roman" w:cs="Times New Roman"/>
          <w:color w:val="000000" w:themeColor="text1"/>
        </w:rPr>
        <w:t>2021</w:t>
      </w:r>
      <w:r w:rsidRPr="00092862">
        <w:rPr>
          <w:rFonts w:ascii="Times New Roman" w:cs="Times New Roman"/>
          <w:color w:val="000000" w:themeColor="text1"/>
        </w:rPr>
        <w:t>年</w:t>
      </w:r>
      <w:r w:rsidRPr="00092862">
        <w:rPr>
          <w:rFonts w:ascii="Times New Roman" w:cs="Times New Roman"/>
          <w:color w:val="000000" w:themeColor="text1"/>
        </w:rPr>
        <w:t>9</w:t>
      </w:r>
      <w:r w:rsidRPr="00092862">
        <w:rPr>
          <w:rFonts w:ascii="Times New Roman" w:cs="Times New Roman"/>
          <w:color w:val="000000" w:themeColor="text1"/>
        </w:rPr>
        <w:t>月</w:t>
      </w:r>
      <w:r w:rsidRPr="00092862">
        <w:rPr>
          <w:rFonts w:ascii="Times New Roman" w:cs="Times New Roman"/>
          <w:color w:val="000000" w:themeColor="text1"/>
        </w:rPr>
        <w:t>15</w:t>
      </w:r>
      <w:r w:rsidRPr="00092862">
        <w:rPr>
          <w:rFonts w:ascii="Times New Roman" w:cs="Times New Roman"/>
          <w:color w:val="000000" w:themeColor="text1"/>
        </w:rPr>
        <w:t>日国务院第</w:t>
      </w:r>
      <w:r w:rsidRPr="00092862">
        <w:rPr>
          <w:rFonts w:ascii="Times New Roman" w:cs="Times New Roman"/>
          <w:color w:val="000000" w:themeColor="text1"/>
        </w:rPr>
        <w:t>149</w:t>
      </w:r>
      <w:r w:rsidRPr="00092862">
        <w:rPr>
          <w:rFonts w:ascii="Times New Roman" w:cs="Times New Roman"/>
          <w:color w:val="000000" w:themeColor="text1"/>
        </w:rPr>
        <w:t>次常务会议通过，</w:t>
      </w:r>
      <w:r w:rsidRPr="00092862">
        <w:rPr>
          <w:rFonts w:ascii="Times New Roman" w:cs="Times New Roman"/>
          <w:color w:val="000000" w:themeColor="text1"/>
        </w:rPr>
        <w:t>2021</w:t>
      </w:r>
      <w:r w:rsidRPr="00092862">
        <w:rPr>
          <w:rFonts w:ascii="Times New Roman" w:cs="Times New Roman"/>
          <w:color w:val="000000" w:themeColor="text1"/>
        </w:rPr>
        <w:t>年</w:t>
      </w:r>
      <w:r w:rsidRPr="00092862">
        <w:rPr>
          <w:rFonts w:ascii="Times New Roman" w:cs="Times New Roman"/>
          <w:color w:val="000000" w:themeColor="text1"/>
        </w:rPr>
        <w:t>10</w:t>
      </w:r>
      <w:r w:rsidRPr="00092862">
        <w:rPr>
          <w:rFonts w:ascii="Times New Roman" w:cs="Times New Roman"/>
          <w:color w:val="000000" w:themeColor="text1"/>
        </w:rPr>
        <w:t>月</w:t>
      </w:r>
      <w:r w:rsidRPr="00092862">
        <w:rPr>
          <w:rFonts w:ascii="Times New Roman" w:cs="Times New Roman"/>
          <w:color w:val="000000" w:themeColor="text1"/>
        </w:rPr>
        <w:t>29</w:t>
      </w:r>
      <w:r w:rsidRPr="00092862">
        <w:rPr>
          <w:rFonts w:ascii="Times New Roman" w:cs="Times New Roman"/>
          <w:color w:val="000000" w:themeColor="text1"/>
        </w:rPr>
        <w:t>日公布，自</w:t>
      </w:r>
      <w:r w:rsidRPr="00092862">
        <w:rPr>
          <w:rFonts w:ascii="Times New Roman" w:cs="Times New Roman"/>
          <w:color w:val="000000" w:themeColor="text1"/>
        </w:rPr>
        <w:t>2021</w:t>
      </w:r>
      <w:r w:rsidRPr="00092862">
        <w:rPr>
          <w:rFonts w:ascii="Times New Roman" w:cs="Times New Roman"/>
          <w:color w:val="000000" w:themeColor="text1"/>
        </w:rPr>
        <w:t>年</w:t>
      </w:r>
      <w:r w:rsidRPr="00092862">
        <w:rPr>
          <w:rFonts w:ascii="Times New Roman" w:cs="Times New Roman"/>
          <w:color w:val="000000" w:themeColor="text1"/>
        </w:rPr>
        <w:t>12</w:t>
      </w:r>
      <w:r w:rsidRPr="00092862">
        <w:rPr>
          <w:rFonts w:ascii="Times New Roman" w:cs="Times New Roman"/>
          <w:color w:val="000000" w:themeColor="text1"/>
        </w:rPr>
        <w:t>月</w:t>
      </w:r>
      <w:r w:rsidRPr="00092862">
        <w:rPr>
          <w:rFonts w:ascii="Times New Roman" w:cs="Times New Roman"/>
          <w:color w:val="000000" w:themeColor="text1"/>
        </w:rPr>
        <w:t>1</w:t>
      </w:r>
      <w:r w:rsidRPr="00092862">
        <w:rPr>
          <w:rFonts w:ascii="Times New Roman" w:cs="Times New Roman"/>
          <w:color w:val="000000" w:themeColor="text1"/>
        </w:rPr>
        <w:t>日起施行的《地下水管理条例》，本项目与其符合性分析见表</w:t>
      </w:r>
      <w:r w:rsidR="005D4C5B" w:rsidRPr="00092862">
        <w:rPr>
          <w:rFonts w:ascii="Times New Roman" w:cs="Times New Roman"/>
          <w:color w:val="000000" w:themeColor="text1"/>
        </w:rPr>
        <w:t>2.7-6</w:t>
      </w:r>
      <w:r w:rsidRPr="00092862">
        <w:rPr>
          <w:rFonts w:ascii="Times New Roman" w:cs="Times New Roman"/>
          <w:color w:val="000000" w:themeColor="text1"/>
        </w:rPr>
        <w:t>。通过对比分析，本项目符合该条例的相关要求。</w:t>
      </w:r>
    </w:p>
    <w:p w14:paraId="54282FDC" w14:textId="6FBF11F2" w:rsidR="00FF0EB6" w:rsidRPr="00092862" w:rsidRDefault="00FF0EB6" w:rsidP="00FF0EB6">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2.7-6  </w:t>
      </w:r>
      <w:r w:rsidRPr="00092862">
        <w:rPr>
          <w:rFonts w:ascii="Times New Roman" w:eastAsia="黑体" w:hAnsi="Times New Roman"/>
          <w:color w:val="000000" w:themeColor="text1"/>
          <w:sz w:val="21"/>
          <w:szCs w:val="21"/>
          <w:lang w:eastAsia="zh-CN"/>
        </w:rPr>
        <w:t>与《地下水管理条例》符合性分析</w:t>
      </w:r>
    </w:p>
    <w:tbl>
      <w:tblPr>
        <w:tblStyle w:val="aff"/>
        <w:tblW w:w="0" w:type="auto"/>
        <w:tblLook w:val="04A0" w:firstRow="1" w:lastRow="0" w:firstColumn="1" w:lastColumn="0" w:noHBand="0" w:noVBand="1"/>
      </w:tblPr>
      <w:tblGrid>
        <w:gridCol w:w="359"/>
        <w:gridCol w:w="4421"/>
        <w:gridCol w:w="3123"/>
        <w:gridCol w:w="393"/>
      </w:tblGrid>
      <w:tr w:rsidR="00697429" w:rsidRPr="00092862" w14:paraId="2941C0B8" w14:textId="77777777" w:rsidTr="00030BF9">
        <w:trPr>
          <w:tblHeader/>
        </w:trPr>
        <w:tc>
          <w:tcPr>
            <w:tcW w:w="0" w:type="auto"/>
            <w:tcMar>
              <w:left w:w="57" w:type="dxa"/>
              <w:right w:w="57" w:type="dxa"/>
            </w:tcMar>
            <w:vAlign w:val="center"/>
          </w:tcPr>
          <w:p w14:paraId="24C0F699"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bookmarkStart w:id="64" w:name="_Hlk95470983"/>
            <w:r w:rsidRPr="00092862">
              <w:rPr>
                <w:rFonts w:ascii="Times New Roman" w:hAnsi="Times New Roman" w:cs="Times New Roman"/>
                <w:snapToGrid/>
                <w:color w:val="000000" w:themeColor="text1"/>
                <w:spacing w:val="0"/>
                <w:sz w:val="21"/>
              </w:rPr>
              <w:t>序号</w:t>
            </w:r>
          </w:p>
        </w:tc>
        <w:tc>
          <w:tcPr>
            <w:tcW w:w="4421" w:type="dxa"/>
            <w:tcMar>
              <w:left w:w="57" w:type="dxa"/>
              <w:right w:w="57" w:type="dxa"/>
            </w:tcMar>
            <w:vAlign w:val="center"/>
          </w:tcPr>
          <w:p w14:paraId="19C0FFBC"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相关要求（摘录）</w:t>
            </w:r>
          </w:p>
        </w:tc>
        <w:tc>
          <w:tcPr>
            <w:tcW w:w="3123" w:type="dxa"/>
            <w:tcMar>
              <w:left w:w="57" w:type="dxa"/>
              <w:right w:w="57" w:type="dxa"/>
            </w:tcMar>
            <w:vAlign w:val="center"/>
          </w:tcPr>
          <w:p w14:paraId="1C1F92F6"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本项目情况</w:t>
            </w:r>
          </w:p>
        </w:tc>
        <w:tc>
          <w:tcPr>
            <w:tcW w:w="0" w:type="auto"/>
            <w:tcMar>
              <w:left w:w="57" w:type="dxa"/>
              <w:right w:w="57" w:type="dxa"/>
            </w:tcMar>
            <w:vAlign w:val="center"/>
          </w:tcPr>
          <w:p w14:paraId="02559BAC"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符合性</w:t>
            </w:r>
          </w:p>
        </w:tc>
      </w:tr>
      <w:tr w:rsidR="00697429" w:rsidRPr="00092862" w14:paraId="449F174A" w14:textId="77777777" w:rsidTr="00030BF9">
        <w:tc>
          <w:tcPr>
            <w:tcW w:w="0" w:type="auto"/>
            <w:tcMar>
              <w:left w:w="57" w:type="dxa"/>
              <w:right w:w="57" w:type="dxa"/>
            </w:tcMar>
            <w:vAlign w:val="center"/>
          </w:tcPr>
          <w:p w14:paraId="5A8B2544"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1</w:t>
            </w:r>
          </w:p>
        </w:tc>
        <w:tc>
          <w:tcPr>
            <w:tcW w:w="4421" w:type="dxa"/>
            <w:tcMar>
              <w:left w:w="57" w:type="dxa"/>
              <w:right w:w="57" w:type="dxa"/>
            </w:tcMar>
            <w:vAlign w:val="center"/>
          </w:tcPr>
          <w:p w14:paraId="27218B0E"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3123" w:type="dxa"/>
            <w:tcMar>
              <w:left w:w="57" w:type="dxa"/>
              <w:right w:w="57" w:type="dxa"/>
            </w:tcMar>
            <w:vAlign w:val="center"/>
          </w:tcPr>
          <w:p w14:paraId="4CE05A66" w14:textId="43143219"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本项目采取了严格措施（不涉及浅层钻、分区防渗等）防止地下工程建设对地下水补给、径流、排泄等造成重大不利影响</w:t>
            </w:r>
          </w:p>
        </w:tc>
        <w:tc>
          <w:tcPr>
            <w:tcW w:w="0" w:type="auto"/>
            <w:tcMar>
              <w:left w:w="57" w:type="dxa"/>
              <w:right w:w="57" w:type="dxa"/>
            </w:tcMar>
            <w:vAlign w:val="center"/>
          </w:tcPr>
          <w:p w14:paraId="55F8CB60"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7A46D3FB" w14:textId="77777777" w:rsidTr="00030BF9">
        <w:tc>
          <w:tcPr>
            <w:tcW w:w="0" w:type="auto"/>
            <w:tcMar>
              <w:left w:w="57" w:type="dxa"/>
              <w:right w:w="57" w:type="dxa"/>
            </w:tcMar>
            <w:vAlign w:val="center"/>
          </w:tcPr>
          <w:p w14:paraId="264D3D90"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2</w:t>
            </w:r>
          </w:p>
        </w:tc>
        <w:tc>
          <w:tcPr>
            <w:tcW w:w="4421" w:type="dxa"/>
            <w:tcMar>
              <w:left w:w="57" w:type="dxa"/>
              <w:right w:w="57" w:type="dxa"/>
            </w:tcMar>
            <w:vAlign w:val="center"/>
          </w:tcPr>
          <w:p w14:paraId="7C3F8251"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禁止下列污染或者可能污染地下水的行为</w:t>
            </w:r>
            <w:r w:rsidRPr="00092862">
              <w:rPr>
                <w:rFonts w:ascii="Times New Roman" w:hAnsi="Times New Roman" w:cs="Times New Roman"/>
                <w:snapToGrid/>
                <w:color w:val="000000" w:themeColor="text1"/>
                <w:spacing w:val="0"/>
                <w:sz w:val="21"/>
              </w:rPr>
              <w:t>:</w:t>
            </w:r>
          </w:p>
          <w:p w14:paraId="2B7768CB"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（一）利用渗井、渗坑、裂隙、溶洞以及私设暗管等逃避监管的方式排放水污染物；</w:t>
            </w:r>
          </w:p>
          <w:p w14:paraId="1EFC07E5"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（二）利用岩层孔隙、裂隙、溶洞、废弃矿坑等贮存石化原料及产品、农药、危险废物、城镇污水处理设施产生的污泥和处理后的污泥或者其他有毒有害物质；</w:t>
            </w:r>
          </w:p>
          <w:p w14:paraId="45C78EFE"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（三）利用无防渗漏措施的沟渠、坑塘等输送或者贮存含有毒污染物的废水、含病原体的污水和其他废弃物；</w:t>
            </w:r>
          </w:p>
          <w:p w14:paraId="13C585F6"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（四）法律、法规禁止的其他污染或者可能污染地下水的行为</w:t>
            </w:r>
          </w:p>
        </w:tc>
        <w:tc>
          <w:tcPr>
            <w:tcW w:w="3123" w:type="dxa"/>
            <w:tcMar>
              <w:left w:w="57" w:type="dxa"/>
              <w:right w:w="57" w:type="dxa"/>
            </w:tcMar>
            <w:vAlign w:val="center"/>
          </w:tcPr>
          <w:p w14:paraId="1BB0E01F"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本项目制定了严格措施防止项目建设运营对地下水造成污染</w:t>
            </w:r>
          </w:p>
        </w:tc>
        <w:tc>
          <w:tcPr>
            <w:tcW w:w="0" w:type="auto"/>
            <w:tcMar>
              <w:left w:w="57" w:type="dxa"/>
              <w:right w:w="57" w:type="dxa"/>
            </w:tcMar>
            <w:vAlign w:val="center"/>
          </w:tcPr>
          <w:p w14:paraId="6B92D01D"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7A0D9199" w14:textId="77777777" w:rsidTr="00030BF9">
        <w:tc>
          <w:tcPr>
            <w:tcW w:w="0" w:type="auto"/>
            <w:tcMar>
              <w:left w:w="57" w:type="dxa"/>
              <w:right w:w="57" w:type="dxa"/>
            </w:tcMar>
            <w:vAlign w:val="center"/>
          </w:tcPr>
          <w:p w14:paraId="0A3F304F"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3</w:t>
            </w:r>
          </w:p>
        </w:tc>
        <w:tc>
          <w:tcPr>
            <w:tcW w:w="4421" w:type="dxa"/>
            <w:tcMar>
              <w:left w:w="57" w:type="dxa"/>
              <w:right w:w="57" w:type="dxa"/>
            </w:tcMar>
            <w:vAlign w:val="center"/>
          </w:tcPr>
          <w:p w14:paraId="352CFE5F"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企业事业单位和其他生产经营者应当采取下列措施，防止地下水污染</w:t>
            </w:r>
            <w:r w:rsidRPr="00092862">
              <w:rPr>
                <w:rFonts w:ascii="Times New Roman" w:hAnsi="Times New Roman" w:cs="Times New Roman"/>
                <w:snapToGrid/>
                <w:color w:val="000000" w:themeColor="text1"/>
                <w:spacing w:val="0"/>
                <w:sz w:val="21"/>
              </w:rPr>
              <w:t>:</w:t>
            </w:r>
          </w:p>
          <w:p w14:paraId="1A275AC8"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（一）兴建地下工程设施或者进行地下勘探、采矿等活动，依法编制的环境影响评价文件中，应当包括地下水污染防治的内容，并采取防护性措施；</w:t>
            </w:r>
          </w:p>
          <w:p w14:paraId="72D25D15"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（二）化学品生产企业以及工业集聚区、矿山开采区、尾矿库、危险废物处置场、垃圾填埋场等的运营、管理单位，应当采取防渗漏等措施，并建设地下水水质监测井进行监测；</w:t>
            </w:r>
          </w:p>
          <w:p w14:paraId="0B49D1D6"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lastRenderedPageBreak/>
              <w:t>（三）加油站等的地下油罐应当使用双层罐或者采取建造防渗池等其他有效措施，并进行防渗漏监测；</w:t>
            </w:r>
          </w:p>
          <w:p w14:paraId="2A03C51A"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（四）存放可溶性剧毒废渣的场所，应当采取防水、防渗漏、防流失的措施；</w:t>
            </w:r>
          </w:p>
          <w:p w14:paraId="6DAD3F6C"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（五）法律、法规规定应当采取的其他防止地下水污染的措施</w:t>
            </w:r>
          </w:p>
        </w:tc>
        <w:tc>
          <w:tcPr>
            <w:tcW w:w="3123" w:type="dxa"/>
            <w:tcMar>
              <w:left w:w="57" w:type="dxa"/>
              <w:right w:w="57" w:type="dxa"/>
            </w:tcMar>
            <w:vAlign w:val="center"/>
          </w:tcPr>
          <w:p w14:paraId="2A670F4B"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lastRenderedPageBreak/>
              <w:t>（一）本项目依法编制的环境影响评价文件中，包括了地下水污染防治的内容，并采了取防护性措施；</w:t>
            </w:r>
          </w:p>
          <w:p w14:paraId="4EC269DE"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（二）本项目不属于化学品生产企业以及工业集聚区、矿山开采区、尾矿库、危险废物处置场、垃圾填埋场等的运营、管理单位；</w:t>
            </w:r>
          </w:p>
          <w:p w14:paraId="13643747"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lastRenderedPageBreak/>
              <w:t>（三）本项目没有地下油罐，同时项目采取了分区防渗措施；</w:t>
            </w:r>
          </w:p>
          <w:p w14:paraId="06A9592A"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（四）本项目设置的危险废物暂存区采取了重点防渗措施，满足防水、防渗漏、防流失的要求；</w:t>
            </w:r>
          </w:p>
          <w:p w14:paraId="29CE66D8"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（五）本项目落实了法律、法规规定的应当采取的其他防止地下水污染的措施</w:t>
            </w:r>
          </w:p>
        </w:tc>
        <w:tc>
          <w:tcPr>
            <w:tcW w:w="0" w:type="auto"/>
            <w:tcMar>
              <w:left w:w="57" w:type="dxa"/>
              <w:right w:w="57" w:type="dxa"/>
            </w:tcMar>
            <w:vAlign w:val="center"/>
          </w:tcPr>
          <w:p w14:paraId="6E4C23FD"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lastRenderedPageBreak/>
              <w:t>符合</w:t>
            </w:r>
          </w:p>
        </w:tc>
      </w:tr>
      <w:tr w:rsidR="00697429" w:rsidRPr="00092862" w14:paraId="7E461BAC" w14:textId="77777777" w:rsidTr="00030BF9">
        <w:tc>
          <w:tcPr>
            <w:tcW w:w="0" w:type="auto"/>
            <w:tcMar>
              <w:left w:w="57" w:type="dxa"/>
              <w:right w:w="57" w:type="dxa"/>
            </w:tcMar>
            <w:vAlign w:val="center"/>
          </w:tcPr>
          <w:p w14:paraId="7597A1F9"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4</w:t>
            </w:r>
          </w:p>
        </w:tc>
        <w:tc>
          <w:tcPr>
            <w:tcW w:w="4421" w:type="dxa"/>
            <w:tcMar>
              <w:left w:w="57" w:type="dxa"/>
              <w:right w:w="57" w:type="dxa"/>
            </w:tcMar>
            <w:vAlign w:val="center"/>
          </w:tcPr>
          <w:p w14:paraId="552DD65A" w14:textId="77777777" w:rsidR="00FF0EB6" w:rsidRPr="00092862" w:rsidRDefault="00FF0EB6"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在泉域保护范围以及岩溶强发育、存在较多落水洞和岩溶漏斗的区域内，不得新建、改建、扩建可能造成地下水污染的建设项目</w:t>
            </w:r>
          </w:p>
        </w:tc>
        <w:tc>
          <w:tcPr>
            <w:tcW w:w="3123" w:type="dxa"/>
            <w:tcMar>
              <w:left w:w="57" w:type="dxa"/>
              <w:right w:w="57" w:type="dxa"/>
            </w:tcMar>
            <w:vAlign w:val="center"/>
          </w:tcPr>
          <w:p w14:paraId="3DA2A6C1" w14:textId="22D51212" w:rsidR="00FF0EB6" w:rsidRPr="00092862" w:rsidRDefault="00733220" w:rsidP="00030BF9">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本项目不在泉域保护范围以及岩溶强发育、存在较多落水洞和岩溶漏斗的区域</w:t>
            </w:r>
          </w:p>
        </w:tc>
        <w:tc>
          <w:tcPr>
            <w:tcW w:w="0" w:type="auto"/>
            <w:tcMar>
              <w:left w:w="57" w:type="dxa"/>
              <w:right w:w="57" w:type="dxa"/>
            </w:tcMar>
            <w:vAlign w:val="center"/>
          </w:tcPr>
          <w:p w14:paraId="23E40951" w14:textId="77777777" w:rsidR="00FF0EB6" w:rsidRPr="00092862" w:rsidRDefault="00FF0EB6" w:rsidP="00030BF9">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bl>
    <w:bookmarkEnd w:id="64"/>
    <w:p w14:paraId="583FDE88" w14:textId="70DE2090" w:rsidR="009466D3" w:rsidRPr="00092862" w:rsidRDefault="00733220" w:rsidP="009466D3">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综上所述，本项目的建设与《地下水管理条例》相符。</w:t>
      </w:r>
    </w:p>
    <w:p w14:paraId="14943318" w14:textId="01EC2522" w:rsidR="008E4753" w:rsidRPr="00092862" w:rsidRDefault="008E4753" w:rsidP="008E4753">
      <w:pPr>
        <w:autoSpaceDE w:val="0"/>
        <w:autoSpaceDN w:val="0"/>
        <w:spacing w:line="360" w:lineRule="auto"/>
        <w:ind w:firstLineChars="200" w:firstLine="480"/>
        <w:rPr>
          <w:rFonts w:ascii="Times New Roman" w:hAnsi="Times New Roman" w:cs="Times New Roman"/>
          <w:color w:val="000000" w:themeColor="text1"/>
          <w:sz w:val="24"/>
        </w:rPr>
      </w:pPr>
      <w:r w:rsidRPr="00092862">
        <w:rPr>
          <w:rFonts w:ascii="Times New Roman" w:eastAsia="黑体" w:hAnsi="Times New Roman" w:cs="Times New Roman"/>
          <w:bCs/>
          <w:color w:val="000000" w:themeColor="text1"/>
          <w:sz w:val="24"/>
          <w:szCs w:val="24"/>
        </w:rPr>
        <w:t>8</w:t>
      </w:r>
      <w:r w:rsidRPr="00092862">
        <w:rPr>
          <w:rFonts w:ascii="Times New Roman" w:eastAsia="黑体" w:hAnsi="Times New Roman" w:cs="Times New Roman"/>
          <w:bCs/>
          <w:color w:val="000000" w:themeColor="text1"/>
          <w:sz w:val="24"/>
          <w:szCs w:val="24"/>
        </w:rPr>
        <w:t>、与达州市</w:t>
      </w:r>
      <w:r w:rsidRPr="00092862">
        <w:rPr>
          <w:rFonts w:ascii="Times New Roman" w:eastAsia="黑体" w:hAnsi="Times New Roman" w:cs="Times New Roman"/>
          <w:bCs/>
          <w:color w:val="000000" w:themeColor="text1"/>
          <w:sz w:val="24"/>
          <w:szCs w:val="24"/>
        </w:rPr>
        <w:t>“</w:t>
      </w:r>
      <w:r w:rsidRPr="00092862">
        <w:rPr>
          <w:rFonts w:ascii="Times New Roman" w:eastAsia="黑体" w:hAnsi="Times New Roman" w:cs="Times New Roman"/>
          <w:bCs/>
          <w:color w:val="000000" w:themeColor="text1"/>
          <w:sz w:val="24"/>
          <w:szCs w:val="24"/>
        </w:rPr>
        <w:t>三区三线</w:t>
      </w:r>
      <w:r w:rsidRPr="00092862">
        <w:rPr>
          <w:rFonts w:ascii="Times New Roman" w:eastAsia="黑体" w:hAnsi="Times New Roman" w:cs="Times New Roman"/>
          <w:bCs/>
          <w:color w:val="000000" w:themeColor="text1"/>
          <w:sz w:val="24"/>
          <w:szCs w:val="24"/>
        </w:rPr>
        <w:t>”</w:t>
      </w:r>
      <w:r w:rsidRPr="00092862">
        <w:rPr>
          <w:rFonts w:ascii="Times New Roman" w:eastAsia="黑体" w:hAnsi="Times New Roman" w:cs="Times New Roman"/>
          <w:bCs/>
          <w:color w:val="000000" w:themeColor="text1"/>
          <w:sz w:val="24"/>
          <w:szCs w:val="24"/>
        </w:rPr>
        <w:t>的符合性分析</w:t>
      </w:r>
    </w:p>
    <w:p w14:paraId="25A869B8" w14:textId="77777777" w:rsidR="00087418" w:rsidRPr="00092862" w:rsidRDefault="00087418" w:rsidP="00480CC0">
      <w:pPr>
        <w:pStyle w:val="ac"/>
        <w:tabs>
          <w:tab w:val="left" w:pos="863"/>
        </w:tabs>
        <w:spacing w:before="0"/>
        <w:ind w:left="0"/>
        <w:jc w:val="center"/>
        <w:rPr>
          <w:rFonts w:ascii="Times New Roman" w:eastAsia="黑体" w:hAnsi="Times New Roman"/>
          <w:color w:val="000000" w:themeColor="text1"/>
          <w:sz w:val="21"/>
          <w:szCs w:val="21"/>
          <w:lang w:eastAsia="zh-CN"/>
        </w:rPr>
      </w:pPr>
    </w:p>
    <w:p w14:paraId="7BE9D964" w14:textId="77777777" w:rsidR="000F151D" w:rsidRPr="00092862" w:rsidRDefault="000F151D" w:rsidP="00480CC0">
      <w:pPr>
        <w:pStyle w:val="ac"/>
        <w:tabs>
          <w:tab w:val="left" w:pos="863"/>
        </w:tabs>
        <w:spacing w:before="0"/>
        <w:ind w:left="0"/>
        <w:jc w:val="center"/>
        <w:rPr>
          <w:rFonts w:ascii="Times New Roman" w:eastAsia="黑体" w:hAnsi="Times New Roman"/>
          <w:color w:val="000000" w:themeColor="text1"/>
          <w:sz w:val="21"/>
          <w:szCs w:val="21"/>
          <w:lang w:eastAsia="zh-CN"/>
        </w:rPr>
      </w:pPr>
    </w:p>
    <w:p w14:paraId="72F71AFA" w14:textId="77777777" w:rsidR="000F151D" w:rsidRPr="00092862" w:rsidRDefault="000F151D" w:rsidP="00480CC0">
      <w:pPr>
        <w:pStyle w:val="ac"/>
        <w:tabs>
          <w:tab w:val="left" w:pos="863"/>
        </w:tabs>
        <w:spacing w:before="0"/>
        <w:ind w:left="0"/>
        <w:jc w:val="center"/>
        <w:rPr>
          <w:rFonts w:ascii="Times New Roman" w:eastAsia="黑体" w:hAnsi="Times New Roman"/>
          <w:color w:val="000000" w:themeColor="text1"/>
          <w:sz w:val="21"/>
          <w:szCs w:val="21"/>
          <w:lang w:eastAsia="zh-CN"/>
        </w:rPr>
      </w:pPr>
    </w:p>
    <w:p w14:paraId="5DEC00CA" w14:textId="5545D487" w:rsidR="00480CC0" w:rsidRPr="00092862" w:rsidRDefault="00480CC0" w:rsidP="00480CC0">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w:t>
      </w:r>
      <w:r w:rsidR="00EB7A6C" w:rsidRPr="00092862">
        <w:rPr>
          <w:rFonts w:ascii="Times New Roman" w:eastAsia="黑体" w:hAnsi="Times New Roman"/>
          <w:color w:val="000000" w:themeColor="text1"/>
          <w:sz w:val="21"/>
          <w:szCs w:val="21"/>
          <w:lang w:eastAsia="zh-CN"/>
        </w:rPr>
        <w:t>达州市</w:t>
      </w:r>
      <w:r w:rsidR="00EB7A6C" w:rsidRPr="00092862">
        <w:rPr>
          <w:rFonts w:ascii="Times New Roman" w:eastAsia="黑体" w:hAnsi="Times New Roman"/>
          <w:color w:val="000000" w:themeColor="text1"/>
          <w:sz w:val="21"/>
          <w:szCs w:val="21"/>
          <w:lang w:eastAsia="zh-CN"/>
        </w:rPr>
        <w:t>“</w:t>
      </w:r>
      <w:r w:rsidR="00EB7A6C" w:rsidRPr="00092862">
        <w:rPr>
          <w:rFonts w:ascii="Times New Roman" w:eastAsia="黑体" w:hAnsi="Times New Roman"/>
          <w:color w:val="000000" w:themeColor="text1"/>
          <w:sz w:val="21"/>
          <w:szCs w:val="21"/>
          <w:lang w:eastAsia="zh-CN"/>
        </w:rPr>
        <w:t>三区三线</w:t>
      </w:r>
      <w:r w:rsidR="00EB7A6C"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符合性分析</w:t>
      </w:r>
    </w:p>
    <w:tbl>
      <w:tblPr>
        <w:tblStyle w:val="aff"/>
        <w:tblW w:w="0" w:type="auto"/>
        <w:tblLook w:val="04A0" w:firstRow="1" w:lastRow="0" w:firstColumn="1" w:lastColumn="0" w:noHBand="0" w:noVBand="1"/>
      </w:tblPr>
      <w:tblGrid>
        <w:gridCol w:w="359"/>
        <w:gridCol w:w="4421"/>
        <w:gridCol w:w="3123"/>
        <w:gridCol w:w="393"/>
      </w:tblGrid>
      <w:tr w:rsidR="00697429" w:rsidRPr="00092862" w14:paraId="749026A6" w14:textId="77777777" w:rsidTr="00B92A11">
        <w:trPr>
          <w:tblHeader/>
        </w:trPr>
        <w:tc>
          <w:tcPr>
            <w:tcW w:w="0" w:type="auto"/>
            <w:tcMar>
              <w:left w:w="57" w:type="dxa"/>
              <w:right w:w="57" w:type="dxa"/>
            </w:tcMar>
            <w:vAlign w:val="center"/>
          </w:tcPr>
          <w:p w14:paraId="41E74104" w14:textId="77777777"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序号</w:t>
            </w:r>
          </w:p>
        </w:tc>
        <w:tc>
          <w:tcPr>
            <w:tcW w:w="4421" w:type="dxa"/>
            <w:tcMar>
              <w:left w:w="57" w:type="dxa"/>
              <w:right w:w="57" w:type="dxa"/>
            </w:tcMar>
            <w:vAlign w:val="center"/>
          </w:tcPr>
          <w:p w14:paraId="5FB6050D" w14:textId="325137D3"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相关要求</w:t>
            </w:r>
          </w:p>
        </w:tc>
        <w:tc>
          <w:tcPr>
            <w:tcW w:w="3123" w:type="dxa"/>
            <w:tcMar>
              <w:left w:w="57" w:type="dxa"/>
              <w:right w:w="57" w:type="dxa"/>
            </w:tcMar>
            <w:vAlign w:val="center"/>
          </w:tcPr>
          <w:p w14:paraId="64ECB251" w14:textId="77777777"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本项目情况</w:t>
            </w:r>
          </w:p>
        </w:tc>
        <w:tc>
          <w:tcPr>
            <w:tcW w:w="0" w:type="auto"/>
            <w:tcMar>
              <w:left w:w="57" w:type="dxa"/>
              <w:right w:w="57" w:type="dxa"/>
            </w:tcMar>
            <w:vAlign w:val="center"/>
          </w:tcPr>
          <w:p w14:paraId="6781AB29" w14:textId="77777777"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符合性</w:t>
            </w:r>
          </w:p>
        </w:tc>
      </w:tr>
      <w:tr w:rsidR="00697429" w:rsidRPr="00092862" w14:paraId="393AF61F" w14:textId="77777777" w:rsidTr="00B92A11">
        <w:tc>
          <w:tcPr>
            <w:tcW w:w="0" w:type="auto"/>
            <w:tcMar>
              <w:left w:w="57" w:type="dxa"/>
              <w:right w:w="57" w:type="dxa"/>
            </w:tcMar>
            <w:vAlign w:val="center"/>
          </w:tcPr>
          <w:p w14:paraId="59279794" w14:textId="77777777"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1</w:t>
            </w:r>
          </w:p>
        </w:tc>
        <w:tc>
          <w:tcPr>
            <w:tcW w:w="4421" w:type="dxa"/>
            <w:tcMar>
              <w:left w:w="57" w:type="dxa"/>
              <w:right w:w="57" w:type="dxa"/>
            </w:tcMar>
            <w:vAlign w:val="center"/>
          </w:tcPr>
          <w:p w14:paraId="5EEEEA8C" w14:textId="3DDA537F"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城镇空间：以城镇居民生产、生活为主体功能的国土空间，包括城镇建设空间、工矿建设空间以及部分乡级政府驻地的开发建设空间。</w:t>
            </w:r>
          </w:p>
        </w:tc>
        <w:tc>
          <w:tcPr>
            <w:tcW w:w="3123" w:type="dxa"/>
            <w:tcMar>
              <w:left w:w="57" w:type="dxa"/>
              <w:right w:w="57" w:type="dxa"/>
            </w:tcMar>
            <w:vAlign w:val="center"/>
          </w:tcPr>
          <w:p w14:paraId="0EA8D846" w14:textId="70D21F2D"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本项目为</w:t>
            </w:r>
            <w:r w:rsidR="000F151D" w:rsidRPr="00092862">
              <w:rPr>
                <w:rFonts w:ascii="Times New Roman" w:hAnsi="Times New Roman" w:cs="Times New Roman"/>
                <w:snapToGrid/>
                <w:color w:val="000000" w:themeColor="text1"/>
                <w:spacing w:val="0"/>
                <w:sz w:val="21"/>
              </w:rPr>
              <w:t>新增占地建设，占地范围为一般农田，不涉及城镇建设用地</w:t>
            </w:r>
          </w:p>
        </w:tc>
        <w:tc>
          <w:tcPr>
            <w:tcW w:w="0" w:type="auto"/>
            <w:tcMar>
              <w:left w:w="57" w:type="dxa"/>
              <w:right w:w="57" w:type="dxa"/>
            </w:tcMar>
            <w:vAlign w:val="center"/>
          </w:tcPr>
          <w:p w14:paraId="7E7DBFFB" w14:textId="77777777"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01C58B5B" w14:textId="77777777" w:rsidTr="00B92A11">
        <w:tc>
          <w:tcPr>
            <w:tcW w:w="0" w:type="auto"/>
            <w:tcMar>
              <w:left w:w="57" w:type="dxa"/>
              <w:right w:w="57" w:type="dxa"/>
            </w:tcMar>
            <w:vAlign w:val="center"/>
          </w:tcPr>
          <w:p w14:paraId="2600D982" w14:textId="77777777"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2</w:t>
            </w:r>
          </w:p>
        </w:tc>
        <w:tc>
          <w:tcPr>
            <w:tcW w:w="4421" w:type="dxa"/>
            <w:tcMar>
              <w:left w:w="57" w:type="dxa"/>
              <w:right w:w="57" w:type="dxa"/>
            </w:tcMar>
            <w:vAlign w:val="center"/>
          </w:tcPr>
          <w:p w14:paraId="7D073290" w14:textId="46A7A35E"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农业空间：以农业生产和农村居民生活为主体功能，承担农产品生产和农村生活功能的国土空间，主要包括永久基本农田、一般农田等农业生产用地以及村庄等农村生活用地。</w:t>
            </w:r>
          </w:p>
        </w:tc>
        <w:tc>
          <w:tcPr>
            <w:tcW w:w="3123" w:type="dxa"/>
            <w:vMerge w:val="restart"/>
            <w:tcMar>
              <w:left w:w="57" w:type="dxa"/>
              <w:right w:w="57" w:type="dxa"/>
            </w:tcMar>
            <w:vAlign w:val="center"/>
          </w:tcPr>
          <w:p w14:paraId="182BB860" w14:textId="614B4A2A" w:rsidR="00480CC0" w:rsidRPr="00092862" w:rsidRDefault="000F151D"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本项目为新增占地建设，工程建设将会涉及一部分农田，为一般农田，施工结束后将对</w:t>
            </w:r>
            <w:r w:rsidR="00480CC0" w:rsidRPr="00092862">
              <w:rPr>
                <w:rFonts w:ascii="Times New Roman" w:hAnsi="Times New Roman" w:cs="Times New Roman"/>
                <w:snapToGrid/>
                <w:color w:val="000000" w:themeColor="text1"/>
                <w:spacing w:val="0"/>
                <w:sz w:val="21"/>
              </w:rPr>
              <w:t>临时占地复垦区域。</w:t>
            </w:r>
          </w:p>
        </w:tc>
        <w:tc>
          <w:tcPr>
            <w:tcW w:w="0" w:type="auto"/>
            <w:tcMar>
              <w:left w:w="57" w:type="dxa"/>
              <w:right w:w="57" w:type="dxa"/>
            </w:tcMar>
            <w:vAlign w:val="center"/>
          </w:tcPr>
          <w:p w14:paraId="604CEA4E" w14:textId="77777777"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42898F74" w14:textId="77777777" w:rsidTr="00B92A11">
        <w:tc>
          <w:tcPr>
            <w:tcW w:w="0" w:type="auto"/>
            <w:tcMar>
              <w:left w:w="57" w:type="dxa"/>
              <w:right w:w="57" w:type="dxa"/>
            </w:tcMar>
            <w:vAlign w:val="center"/>
          </w:tcPr>
          <w:p w14:paraId="127FCD72" w14:textId="77777777"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3</w:t>
            </w:r>
          </w:p>
        </w:tc>
        <w:tc>
          <w:tcPr>
            <w:tcW w:w="4421" w:type="dxa"/>
            <w:tcMar>
              <w:left w:w="57" w:type="dxa"/>
              <w:right w:w="57" w:type="dxa"/>
            </w:tcMar>
            <w:vAlign w:val="center"/>
          </w:tcPr>
          <w:p w14:paraId="7A1C6839" w14:textId="7873185A"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生态空间：具有自然属性的，以提供生态服务或生态产品为主体功能的国土空间，包括森林、草原、湿地、河流、湖泊、滩涂、荒地、荒漠等。</w:t>
            </w:r>
          </w:p>
        </w:tc>
        <w:tc>
          <w:tcPr>
            <w:tcW w:w="3123" w:type="dxa"/>
            <w:vMerge/>
            <w:tcMar>
              <w:left w:w="57" w:type="dxa"/>
              <w:right w:w="57" w:type="dxa"/>
            </w:tcMar>
            <w:vAlign w:val="center"/>
          </w:tcPr>
          <w:p w14:paraId="1120830B" w14:textId="420FE826"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p>
        </w:tc>
        <w:tc>
          <w:tcPr>
            <w:tcW w:w="0" w:type="auto"/>
            <w:tcMar>
              <w:left w:w="57" w:type="dxa"/>
              <w:right w:w="57" w:type="dxa"/>
            </w:tcMar>
            <w:vAlign w:val="center"/>
          </w:tcPr>
          <w:p w14:paraId="274FFC2A" w14:textId="77777777"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74A4B5BB" w14:textId="77777777" w:rsidTr="00B92A11">
        <w:tc>
          <w:tcPr>
            <w:tcW w:w="0" w:type="auto"/>
            <w:tcMar>
              <w:left w:w="57" w:type="dxa"/>
              <w:right w:w="57" w:type="dxa"/>
            </w:tcMar>
            <w:vAlign w:val="center"/>
          </w:tcPr>
          <w:p w14:paraId="5DD0C9D3" w14:textId="6DDCC197"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4</w:t>
            </w:r>
          </w:p>
        </w:tc>
        <w:tc>
          <w:tcPr>
            <w:tcW w:w="4421" w:type="dxa"/>
            <w:tcMar>
              <w:left w:w="57" w:type="dxa"/>
              <w:right w:w="57" w:type="dxa"/>
            </w:tcMar>
            <w:vAlign w:val="center"/>
          </w:tcPr>
          <w:p w14:paraId="2DDB7A0C" w14:textId="05ED671D"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生态保护红线：是在生态空间范围内具有特殊重要的生态功能、必须强制性严格保护的区域，是保障和维护国家生态安全的底线和生命线。</w:t>
            </w:r>
          </w:p>
        </w:tc>
        <w:tc>
          <w:tcPr>
            <w:tcW w:w="3123" w:type="dxa"/>
            <w:tcMar>
              <w:left w:w="57" w:type="dxa"/>
              <w:right w:w="57" w:type="dxa"/>
            </w:tcMar>
            <w:vAlign w:val="center"/>
          </w:tcPr>
          <w:p w14:paraId="57E5E265" w14:textId="0F156A32"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本项目不涉及生态保护红线。</w:t>
            </w:r>
          </w:p>
        </w:tc>
        <w:tc>
          <w:tcPr>
            <w:tcW w:w="0" w:type="auto"/>
            <w:tcMar>
              <w:left w:w="57" w:type="dxa"/>
              <w:right w:w="57" w:type="dxa"/>
            </w:tcMar>
            <w:vAlign w:val="center"/>
          </w:tcPr>
          <w:p w14:paraId="292B13D6" w14:textId="32A9340D"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0EAD219C" w14:textId="77777777" w:rsidTr="00B92A11">
        <w:tc>
          <w:tcPr>
            <w:tcW w:w="0" w:type="auto"/>
            <w:tcMar>
              <w:left w:w="57" w:type="dxa"/>
              <w:right w:w="57" w:type="dxa"/>
            </w:tcMar>
            <w:vAlign w:val="center"/>
          </w:tcPr>
          <w:p w14:paraId="62FD8989" w14:textId="48FBA508"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5</w:t>
            </w:r>
          </w:p>
        </w:tc>
        <w:tc>
          <w:tcPr>
            <w:tcW w:w="4421" w:type="dxa"/>
            <w:tcMar>
              <w:left w:w="57" w:type="dxa"/>
              <w:right w:w="57" w:type="dxa"/>
            </w:tcMar>
            <w:vAlign w:val="center"/>
          </w:tcPr>
          <w:p w14:paraId="33924601" w14:textId="64C97AE7"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永久基本农田保护红线：是按照一定时期人口和社会经济发展对农产品的需求，依法确定的不得占用、不得开发、需要永久性保护的耕地空间边界。</w:t>
            </w:r>
          </w:p>
        </w:tc>
        <w:tc>
          <w:tcPr>
            <w:tcW w:w="3123" w:type="dxa"/>
            <w:tcMar>
              <w:left w:w="57" w:type="dxa"/>
              <w:right w:w="57" w:type="dxa"/>
            </w:tcMar>
            <w:vAlign w:val="center"/>
          </w:tcPr>
          <w:p w14:paraId="0D946A29" w14:textId="6EA899F7"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本项目不涉及永久基本农田。</w:t>
            </w:r>
          </w:p>
        </w:tc>
        <w:tc>
          <w:tcPr>
            <w:tcW w:w="0" w:type="auto"/>
            <w:tcMar>
              <w:left w:w="57" w:type="dxa"/>
              <w:right w:w="57" w:type="dxa"/>
            </w:tcMar>
            <w:vAlign w:val="center"/>
          </w:tcPr>
          <w:p w14:paraId="11B9598D" w14:textId="203EB73C"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r w:rsidR="00697429" w:rsidRPr="00092862" w14:paraId="2219D2BA" w14:textId="77777777" w:rsidTr="00B92A11">
        <w:tc>
          <w:tcPr>
            <w:tcW w:w="0" w:type="auto"/>
            <w:tcMar>
              <w:left w:w="57" w:type="dxa"/>
              <w:right w:w="57" w:type="dxa"/>
            </w:tcMar>
            <w:vAlign w:val="center"/>
          </w:tcPr>
          <w:p w14:paraId="5B5E6D73" w14:textId="78F70263"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6</w:t>
            </w:r>
          </w:p>
        </w:tc>
        <w:tc>
          <w:tcPr>
            <w:tcW w:w="4421" w:type="dxa"/>
            <w:tcMar>
              <w:left w:w="57" w:type="dxa"/>
              <w:right w:w="57" w:type="dxa"/>
            </w:tcMar>
            <w:vAlign w:val="center"/>
          </w:tcPr>
          <w:p w14:paraId="5099A94C" w14:textId="4D480766"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城镇开发边界：在一定时期内，可以进行城镇开发和集中建设的地域空间边界，包括城镇现状建成区、优化发展区，以及因城镇建设发展需要必须实行规划控制的区域。</w:t>
            </w:r>
          </w:p>
        </w:tc>
        <w:tc>
          <w:tcPr>
            <w:tcW w:w="3123" w:type="dxa"/>
            <w:tcMar>
              <w:left w:w="57" w:type="dxa"/>
              <w:right w:w="57" w:type="dxa"/>
            </w:tcMar>
            <w:vAlign w:val="center"/>
          </w:tcPr>
          <w:p w14:paraId="3200B542" w14:textId="1CDB897B" w:rsidR="00480CC0" w:rsidRPr="00092862" w:rsidRDefault="00480CC0" w:rsidP="00B92A11">
            <w:pPr>
              <w:pStyle w:val="affffff2"/>
              <w:ind w:left="0" w:right="0"/>
              <w:jc w:val="both"/>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本项目不涉及城镇开发区</w:t>
            </w:r>
            <w:r w:rsidR="00EB7A6C" w:rsidRPr="00092862">
              <w:rPr>
                <w:rFonts w:ascii="Times New Roman" w:hAnsi="Times New Roman" w:cs="Times New Roman"/>
                <w:snapToGrid/>
                <w:color w:val="000000" w:themeColor="text1"/>
                <w:spacing w:val="0"/>
                <w:sz w:val="21"/>
              </w:rPr>
              <w:t>。</w:t>
            </w:r>
          </w:p>
        </w:tc>
        <w:tc>
          <w:tcPr>
            <w:tcW w:w="0" w:type="auto"/>
            <w:tcMar>
              <w:left w:w="57" w:type="dxa"/>
              <w:right w:w="57" w:type="dxa"/>
            </w:tcMar>
            <w:vAlign w:val="center"/>
          </w:tcPr>
          <w:p w14:paraId="603666FD" w14:textId="21082A7A" w:rsidR="00480CC0" w:rsidRPr="00092862" w:rsidRDefault="00480CC0" w:rsidP="00B92A11">
            <w:pPr>
              <w:pStyle w:val="affffff2"/>
              <w:ind w:left="0" w:right="0"/>
              <w:rPr>
                <w:rFonts w:ascii="Times New Roman" w:hAnsi="Times New Roman" w:cs="Times New Roman"/>
                <w:snapToGrid/>
                <w:color w:val="000000" w:themeColor="text1"/>
                <w:spacing w:val="0"/>
                <w:sz w:val="21"/>
              </w:rPr>
            </w:pPr>
            <w:r w:rsidRPr="00092862">
              <w:rPr>
                <w:rFonts w:ascii="Times New Roman" w:hAnsi="Times New Roman" w:cs="Times New Roman"/>
                <w:snapToGrid/>
                <w:color w:val="000000" w:themeColor="text1"/>
                <w:spacing w:val="0"/>
                <w:sz w:val="21"/>
              </w:rPr>
              <w:t>符合</w:t>
            </w:r>
          </w:p>
        </w:tc>
      </w:tr>
    </w:tbl>
    <w:p w14:paraId="612EF4A6" w14:textId="5F053C23" w:rsidR="008E4753" w:rsidRPr="00092862" w:rsidRDefault="00480CC0" w:rsidP="00D72D31">
      <w:pPr>
        <w:autoSpaceDE w:val="0"/>
        <w:autoSpaceDN w:val="0"/>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t>综上所述，本项目与区域</w:t>
      </w:r>
      <w:r w:rsidRPr="00092862">
        <w:rPr>
          <w:rFonts w:ascii="Times New Roman" w:hAnsi="Times New Roman" w:cs="Times New Roman"/>
          <w:color w:val="000000" w:themeColor="text1"/>
          <w:sz w:val="24"/>
        </w:rPr>
        <w:t>“</w:t>
      </w:r>
      <w:r w:rsidRPr="00092862">
        <w:rPr>
          <w:rFonts w:ascii="Times New Roman" w:hAnsi="Times New Roman" w:cs="Times New Roman"/>
          <w:color w:val="000000" w:themeColor="text1"/>
          <w:sz w:val="24"/>
        </w:rPr>
        <w:t>三区三线</w:t>
      </w:r>
      <w:r w:rsidRPr="00092862">
        <w:rPr>
          <w:rFonts w:ascii="Times New Roman" w:hAnsi="Times New Roman" w:cs="Times New Roman"/>
          <w:color w:val="000000" w:themeColor="text1"/>
          <w:sz w:val="24"/>
        </w:rPr>
        <w:t>”</w:t>
      </w:r>
      <w:r w:rsidRPr="00092862">
        <w:rPr>
          <w:rFonts w:ascii="Times New Roman" w:hAnsi="Times New Roman" w:cs="Times New Roman"/>
          <w:color w:val="000000" w:themeColor="text1"/>
          <w:sz w:val="24"/>
        </w:rPr>
        <w:t>相符。</w:t>
      </w:r>
    </w:p>
    <w:p w14:paraId="50E213E9" w14:textId="647E0839" w:rsidR="00DC446C" w:rsidRPr="00092862" w:rsidRDefault="003B1968" w:rsidP="00D72D31">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r w:rsidRPr="00092862">
        <w:rPr>
          <w:rFonts w:ascii="Times New Roman" w:eastAsia="黑体" w:hAnsi="Times New Roman"/>
          <w:b w:val="0"/>
          <w:color w:val="000000" w:themeColor="text1"/>
          <w:sz w:val="24"/>
          <w:szCs w:val="24"/>
          <w:lang w:eastAsia="zh-CN"/>
        </w:rPr>
        <w:lastRenderedPageBreak/>
        <w:t>2.7.2</w:t>
      </w:r>
      <w:r w:rsidRPr="00092862">
        <w:rPr>
          <w:rFonts w:ascii="Times New Roman" w:eastAsia="黑体" w:hAnsi="Times New Roman"/>
          <w:b w:val="0"/>
          <w:color w:val="000000" w:themeColor="text1"/>
          <w:sz w:val="24"/>
          <w:szCs w:val="24"/>
          <w:lang w:eastAsia="zh-CN"/>
        </w:rPr>
        <w:t>规划符合性分析</w:t>
      </w:r>
      <w:bookmarkEnd w:id="63"/>
    </w:p>
    <w:p w14:paraId="393ECD84" w14:textId="3B7ACE1C" w:rsidR="006C3020" w:rsidRPr="00092862" w:rsidRDefault="006C3020" w:rsidP="00D72D31">
      <w:pPr>
        <w:tabs>
          <w:tab w:val="left" w:pos="0"/>
        </w:tabs>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1</w:t>
      </w:r>
      <w:r w:rsidRPr="00092862">
        <w:rPr>
          <w:rFonts w:ascii="Times New Roman" w:eastAsia="黑体" w:hAnsi="Times New Roman" w:cs="Times New Roman"/>
          <w:color w:val="000000" w:themeColor="text1"/>
          <w:sz w:val="24"/>
        </w:rPr>
        <w:t>、与《长江经济带生态环境保护规划》的符合性分析</w:t>
      </w:r>
    </w:p>
    <w:p w14:paraId="395F183F" w14:textId="1739CFCD" w:rsidR="006C3020" w:rsidRPr="00092862" w:rsidRDefault="006C3020" w:rsidP="00D72D31">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根据《长江经济带生态环境保护规划》专栏</w:t>
      </w:r>
      <w:r w:rsidRPr="00092862">
        <w:rPr>
          <w:rFonts w:ascii="Times New Roman" w:eastAsia="宋体" w:hAnsi="Times New Roman" w:cs="Times New Roman"/>
          <w:color w:val="000000" w:themeColor="text1"/>
          <w:sz w:val="24"/>
        </w:rPr>
        <w:t>11</w:t>
      </w:r>
      <w:r w:rsidRPr="00092862">
        <w:rPr>
          <w:rFonts w:ascii="Times New Roman" w:eastAsia="宋体" w:hAnsi="Times New Roman" w:cs="Times New Roman"/>
          <w:color w:val="000000" w:themeColor="text1"/>
          <w:sz w:val="24"/>
        </w:rPr>
        <w:t>城乡环境综合整治</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大气污染治理：开展燃煤电厂超低排放和节能改造。</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建设完善天然气输送管道、城市燃气管网、天然气储气库、城市调峰站储气罐等基础设施，实施民用部门</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煤改电</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煤改气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工程。本工程属于天然气</w:t>
      </w:r>
      <w:r w:rsidR="008A6501"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建设项目</w:t>
      </w:r>
      <w:r w:rsidR="00BC143B" w:rsidRPr="00092862">
        <w:rPr>
          <w:rFonts w:ascii="Times New Roman" w:eastAsia="宋体" w:hAnsi="Times New Roman" w:cs="Times New Roman"/>
          <w:color w:val="000000" w:themeColor="text1"/>
          <w:sz w:val="24"/>
        </w:rPr>
        <w:t>，属于天然气输送管道前置工程</w:t>
      </w:r>
      <w:r w:rsidRPr="00092862">
        <w:rPr>
          <w:rFonts w:ascii="Times New Roman" w:eastAsia="宋体" w:hAnsi="Times New Roman" w:cs="Times New Roman"/>
          <w:color w:val="000000" w:themeColor="text1"/>
          <w:sz w:val="24"/>
        </w:rPr>
        <w:t>，符合建设完善天然气输送管道的要求。</w:t>
      </w:r>
    </w:p>
    <w:p w14:paraId="1031F3D1" w14:textId="77777777" w:rsidR="006C3020" w:rsidRPr="00092862" w:rsidRDefault="006C3020" w:rsidP="00D72D31">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因此，本工程的建设符合《长江经济带生态环境保护规划》要求。</w:t>
      </w:r>
    </w:p>
    <w:p w14:paraId="45204E71" w14:textId="6117BEEB" w:rsidR="006C3020" w:rsidRPr="00092862" w:rsidRDefault="006C3020" w:rsidP="00D72D31">
      <w:pPr>
        <w:tabs>
          <w:tab w:val="left" w:pos="0"/>
        </w:tabs>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2</w:t>
      </w:r>
      <w:r w:rsidRPr="00092862">
        <w:rPr>
          <w:rFonts w:ascii="Times New Roman" w:eastAsia="黑体" w:hAnsi="Times New Roman" w:cs="Times New Roman"/>
          <w:color w:val="000000" w:themeColor="text1"/>
          <w:sz w:val="24"/>
        </w:rPr>
        <w:t>、与《中国石化普光气田开发及川气东送管道工程环境影响报告书》的符合性分析</w:t>
      </w:r>
    </w:p>
    <w:p w14:paraId="036E1707" w14:textId="44A34585" w:rsidR="006C3020" w:rsidRPr="00092862" w:rsidRDefault="006C3020" w:rsidP="00D074AC">
      <w:pPr>
        <w:pStyle w:val="afffff6"/>
        <w:ind w:firstLine="480"/>
        <w:rPr>
          <w:color w:val="000000" w:themeColor="text1"/>
        </w:rPr>
      </w:pPr>
      <w:r w:rsidRPr="00092862">
        <w:rPr>
          <w:color w:val="000000" w:themeColor="text1"/>
        </w:rPr>
        <w:t>2007</w:t>
      </w:r>
      <w:r w:rsidRPr="00092862">
        <w:rPr>
          <w:color w:val="000000" w:themeColor="text1"/>
        </w:rPr>
        <w:t>年中国石油化工股份有限公司中原油田分公司委托北京师范大学环境科学研究所编制完成了《中国石化普光气田开发及川气东送管道工程环境影响报告书》，</w:t>
      </w:r>
      <w:r w:rsidRPr="00092862">
        <w:rPr>
          <w:color w:val="000000" w:themeColor="text1"/>
        </w:rPr>
        <w:t>2007</w:t>
      </w:r>
      <w:r w:rsidRPr="00092862">
        <w:rPr>
          <w:color w:val="000000" w:themeColor="text1"/>
        </w:rPr>
        <w:t>年</w:t>
      </w:r>
      <w:r w:rsidRPr="00092862">
        <w:rPr>
          <w:color w:val="000000" w:themeColor="text1"/>
        </w:rPr>
        <w:t>12</w:t>
      </w:r>
      <w:r w:rsidRPr="00092862">
        <w:rPr>
          <w:color w:val="000000" w:themeColor="text1"/>
        </w:rPr>
        <w:t>月</w:t>
      </w:r>
      <w:r w:rsidRPr="00092862">
        <w:rPr>
          <w:color w:val="000000" w:themeColor="text1"/>
        </w:rPr>
        <w:t>14</w:t>
      </w:r>
      <w:r w:rsidRPr="00092862">
        <w:rPr>
          <w:color w:val="000000" w:themeColor="text1"/>
        </w:rPr>
        <w:t>日取得原国家环境保护总局《关于中国石化普光气田开发及川气东送管道工程环境影响报告书的批复》（环审〔</w:t>
      </w:r>
      <w:r w:rsidRPr="00092862">
        <w:rPr>
          <w:color w:val="000000" w:themeColor="text1"/>
        </w:rPr>
        <w:t>2007</w:t>
      </w:r>
      <w:r w:rsidRPr="00092862">
        <w:rPr>
          <w:color w:val="000000" w:themeColor="text1"/>
        </w:rPr>
        <w:t>〕</w:t>
      </w:r>
      <w:r w:rsidRPr="00092862">
        <w:rPr>
          <w:color w:val="000000" w:themeColor="text1"/>
        </w:rPr>
        <w:t>376</w:t>
      </w:r>
      <w:r w:rsidRPr="00092862">
        <w:rPr>
          <w:color w:val="000000" w:themeColor="text1"/>
        </w:rPr>
        <w:t>号），查阅了《中国石化普光气田开发及川气东送管道工程环境影响报告书》（以下称</w:t>
      </w:r>
      <w:r w:rsidRPr="00092862">
        <w:rPr>
          <w:color w:val="000000" w:themeColor="text1"/>
        </w:rPr>
        <w:t>“</w:t>
      </w:r>
      <w:r w:rsidRPr="00092862">
        <w:rPr>
          <w:color w:val="000000" w:themeColor="text1"/>
        </w:rPr>
        <w:t>报告书</w:t>
      </w:r>
      <w:r w:rsidRPr="00092862">
        <w:rPr>
          <w:color w:val="000000" w:themeColor="text1"/>
        </w:rPr>
        <w:t>”</w:t>
      </w:r>
      <w:r w:rsidRPr="00092862">
        <w:rPr>
          <w:color w:val="000000" w:themeColor="text1"/>
        </w:rPr>
        <w:t>），《中国石化普光气田开发及川气东送管道工程环境影响报告书》（以下称</w:t>
      </w:r>
      <w:r w:rsidRPr="00092862">
        <w:rPr>
          <w:color w:val="000000" w:themeColor="text1"/>
        </w:rPr>
        <w:t>“</w:t>
      </w:r>
      <w:r w:rsidRPr="00092862">
        <w:rPr>
          <w:color w:val="000000" w:themeColor="text1"/>
        </w:rPr>
        <w:t>报告书</w:t>
      </w:r>
      <w:r w:rsidRPr="00092862">
        <w:rPr>
          <w:color w:val="000000" w:themeColor="text1"/>
        </w:rPr>
        <w:t>”</w:t>
      </w:r>
      <w:r w:rsidRPr="00092862">
        <w:rPr>
          <w:color w:val="000000" w:themeColor="text1"/>
        </w:rPr>
        <w:t>）要求</w:t>
      </w:r>
      <w:r w:rsidRPr="00092862">
        <w:rPr>
          <w:color w:val="000000" w:themeColor="text1"/>
        </w:rPr>
        <w:t>“</w:t>
      </w:r>
      <w:r w:rsidRPr="00092862">
        <w:rPr>
          <w:color w:val="000000" w:themeColor="text1"/>
        </w:rPr>
        <w:t>气田后续开发过程中，如新增加建设项目，应当按照国家的有关规定开展相应的环境影响评价工作</w:t>
      </w:r>
      <w:r w:rsidRPr="00092862">
        <w:rPr>
          <w:color w:val="000000" w:themeColor="text1"/>
        </w:rPr>
        <w:t>”</w:t>
      </w:r>
      <w:r w:rsidRPr="00092862">
        <w:rPr>
          <w:color w:val="000000" w:themeColor="text1"/>
        </w:rPr>
        <w:t>，本项目拟建</w:t>
      </w:r>
      <w:r w:rsidR="00BC143B" w:rsidRPr="00092862">
        <w:rPr>
          <w:color w:val="000000" w:themeColor="text1"/>
        </w:rPr>
        <w:t>的</w:t>
      </w:r>
      <w:r w:rsidR="00EC70BF" w:rsidRPr="00092862">
        <w:rPr>
          <w:color w:val="000000" w:themeColor="text1"/>
        </w:rPr>
        <w:t>2</w:t>
      </w:r>
      <w:r w:rsidR="00EC70BF" w:rsidRPr="00092862">
        <w:rPr>
          <w:color w:val="000000" w:themeColor="text1"/>
        </w:rPr>
        <w:t>口井</w:t>
      </w:r>
      <w:r w:rsidRPr="00092862">
        <w:rPr>
          <w:color w:val="000000" w:themeColor="text1"/>
        </w:rPr>
        <w:t>在《报告书》中尚未进行评价</w:t>
      </w:r>
      <w:r w:rsidR="007C52BF" w:rsidRPr="00092862">
        <w:rPr>
          <w:color w:val="000000" w:themeColor="text1"/>
        </w:rPr>
        <w:t>（依托的原</w:t>
      </w:r>
      <w:r w:rsidR="00EC70BF" w:rsidRPr="00092862">
        <w:rPr>
          <w:color w:val="000000" w:themeColor="text1"/>
        </w:rPr>
        <w:t>2</w:t>
      </w:r>
      <w:r w:rsidR="00EC70BF" w:rsidRPr="00092862">
        <w:rPr>
          <w:color w:val="000000" w:themeColor="text1"/>
        </w:rPr>
        <w:t>口井</w:t>
      </w:r>
      <w:r w:rsidR="007C52BF" w:rsidRPr="00092862">
        <w:rPr>
          <w:color w:val="000000" w:themeColor="text1"/>
        </w:rPr>
        <w:t>与集气站已进行评价）</w:t>
      </w:r>
      <w:r w:rsidRPr="00092862">
        <w:rPr>
          <w:color w:val="000000" w:themeColor="text1"/>
        </w:rPr>
        <w:t>，按照《报告书》要求，需开展相应的环境影响评价工作。</w:t>
      </w:r>
    </w:p>
    <w:p w14:paraId="512AA8A6" w14:textId="1F8FF607" w:rsidR="006C3020" w:rsidRPr="00092862" w:rsidRDefault="008E4753" w:rsidP="00D074AC">
      <w:pPr>
        <w:tabs>
          <w:tab w:val="left" w:pos="0"/>
        </w:tabs>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3</w:t>
      </w:r>
      <w:r w:rsidR="006C3020" w:rsidRPr="00092862">
        <w:rPr>
          <w:rFonts w:ascii="Times New Roman" w:eastAsia="黑体" w:hAnsi="Times New Roman" w:cs="Times New Roman"/>
          <w:color w:val="000000" w:themeColor="text1"/>
          <w:sz w:val="24"/>
        </w:rPr>
        <w:t>、与四川省主体功能区规划的符合性分析</w:t>
      </w:r>
    </w:p>
    <w:p w14:paraId="6C94CECE" w14:textId="37F60D4A" w:rsidR="006C3020" w:rsidRPr="00092862" w:rsidRDefault="0079308B" w:rsidP="00D074AC">
      <w:pPr>
        <w:pStyle w:val="afffff6"/>
        <w:ind w:firstLine="482"/>
        <w:rPr>
          <w:b/>
          <w:bCs/>
          <w:color w:val="000000" w:themeColor="text1"/>
        </w:rPr>
      </w:pPr>
      <w:bookmarkStart w:id="65" w:name="_Hlk100174112"/>
      <w:r w:rsidRPr="00092862">
        <w:rPr>
          <w:b/>
          <w:bCs/>
          <w:color w:val="000000" w:themeColor="text1"/>
        </w:rPr>
        <w:t>（</w:t>
      </w:r>
      <w:r w:rsidRPr="00092862">
        <w:rPr>
          <w:b/>
          <w:bCs/>
          <w:color w:val="000000" w:themeColor="text1"/>
        </w:rPr>
        <w:t>1</w:t>
      </w:r>
      <w:r w:rsidRPr="00092862">
        <w:rPr>
          <w:b/>
          <w:bCs/>
          <w:color w:val="000000" w:themeColor="text1"/>
        </w:rPr>
        <w:t>）</w:t>
      </w:r>
      <w:r w:rsidR="006C3020" w:rsidRPr="00092862">
        <w:rPr>
          <w:b/>
          <w:bCs/>
          <w:color w:val="000000" w:themeColor="text1"/>
        </w:rPr>
        <w:t>四川省主体功能区规划</w:t>
      </w:r>
      <w:bookmarkEnd w:id="65"/>
      <w:r w:rsidR="006C3020" w:rsidRPr="00092862">
        <w:rPr>
          <w:b/>
          <w:bCs/>
          <w:color w:val="000000" w:themeColor="text1"/>
        </w:rPr>
        <w:t>概述</w:t>
      </w:r>
    </w:p>
    <w:p w14:paraId="23CEA142" w14:textId="77777777" w:rsidR="006C3020" w:rsidRPr="00092862" w:rsidRDefault="006C3020" w:rsidP="00D074AC">
      <w:pPr>
        <w:pStyle w:val="afffff6"/>
        <w:ind w:firstLine="480"/>
        <w:rPr>
          <w:color w:val="000000" w:themeColor="text1"/>
        </w:rPr>
      </w:pPr>
      <w:r w:rsidRPr="00092862">
        <w:rPr>
          <w:color w:val="000000" w:themeColor="text1"/>
        </w:rPr>
        <w:t>根据《四川省主体功能区规划》（川府发〔</w:t>
      </w:r>
      <w:r w:rsidRPr="00092862">
        <w:rPr>
          <w:color w:val="000000" w:themeColor="text1"/>
        </w:rPr>
        <w:t>2013</w:t>
      </w:r>
      <w:r w:rsidRPr="00092862">
        <w:rPr>
          <w:color w:val="000000" w:themeColor="text1"/>
        </w:rPr>
        <w:t>〕</w:t>
      </w:r>
      <w:r w:rsidRPr="00092862">
        <w:rPr>
          <w:color w:val="000000" w:themeColor="text1"/>
        </w:rPr>
        <w:t>16</w:t>
      </w:r>
      <w:r w:rsidRPr="00092862">
        <w:rPr>
          <w:color w:val="000000" w:themeColor="text1"/>
        </w:rPr>
        <w:t>号文）（以下简称《规划》），全省主体功能区分为以下四个大类：</w:t>
      </w:r>
    </w:p>
    <w:p w14:paraId="490D3485" w14:textId="756890B1" w:rsidR="006C3020" w:rsidRPr="00092862" w:rsidRDefault="006C3020" w:rsidP="00D074AC">
      <w:pPr>
        <w:pStyle w:val="afffff6"/>
        <w:ind w:firstLine="480"/>
        <w:rPr>
          <w:color w:val="000000" w:themeColor="text1"/>
        </w:rPr>
      </w:pPr>
      <w:r w:rsidRPr="00092862">
        <w:rPr>
          <w:color w:val="000000" w:themeColor="text1"/>
        </w:rPr>
        <w:t>1</w:t>
      </w:r>
      <w:r w:rsidRPr="00092862">
        <w:rPr>
          <w:color w:val="000000" w:themeColor="text1"/>
        </w:rPr>
        <w:t>）重点开发区域</w:t>
      </w:r>
    </w:p>
    <w:p w14:paraId="1AA4C077" w14:textId="77777777" w:rsidR="006C3020" w:rsidRPr="00092862" w:rsidRDefault="006C3020" w:rsidP="00D074AC">
      <w:pPr>
        <w:pStyle w:val="afffff6"/>
        <w:ind w:firstLine="480"/>
        <w:rPr>
          <w:color w:val="000000" w:themeColor="text1"/>
        </w:rPr>
      </w:pPr>
      <w:r w:rsidRPr="00092862">
        <w:rPr>
          <w:color w:val="000000" w:themeColor="text1"/>
        </w:rPr>
        <w:t>主要包括成都平原、川南、川东北和攀西地区</w:t>
      </w:r>
      <w:r w:rsidRPr="00092862">
        <w:rPr>
          <w:color w:val="000000" w:themeColor="text1"/>
        </w:rPr>
        <w:t>19</w:t>
      </w:r>
      <w:r w:rsidRPr="00092862">
        <w:rPr>
          <w:color w:val="000000" w:themeColor="text1"/>
        </w:rPr>
        <w:t>市（州）中的</w:t>
      </w:r>
      <w:r w:rsidRPr="00092862">
        <w:rPr>
          <w:color w:val="000000" w:themeColor="text1"/>
        </w:rPr>
        <w:t>89</w:t>
      </w:r>
      <w:r w:rsidRPr="00092862">
        <w:rPr>
          <w:color w:val="000000" w:themeColor="text1"/>
        </w:rPr>
        <w:t>个县（市、区），以及与之相连的</w:t>
      </w:r>
      <w:r w:rsidRPr="00092862">
        <w:rPr>
          <w:color w:val="000000" w:themeColor="text1"/>
        </w:rPr>
        <w:t>50</w:t>
      </w:r>
      <w:r w:rsidRPr="00092862">
        <w:rPr>
          <w:color w:val="000000" w:themeColor="text1"/>
        </w:rPr>
        <w:t>个点状开发城镇，该区域面积</w:t>
      </w:r>
      <w:r w:rsidRPr="00092862">
        <w:rPr>
          <w:color w:val="000000" w:themeColor="text1"/>
        </w:rPr>
        <w:t>10.3</w:t>
      </w:r>
      <w:r w:rsidRPr="00092862">
        <w:rPr>
          <w:color w:val="000000" w:themeColor="text1"/>
        </w:rPr>
        <w:t>万平方公里，占全省幅员面积</w:t>
      </w:r>
      <w:r w:rsidRPr="00092862">
        <w:rPr>
          <w:color w:val="000000" w:themeColor="text1"/>
        </w:rPr>
        <w:t>21.2%</w:t>
      </w:r>
      <w:r w:rsidRPr="00092862">
        <w:rPr>
          <w:color w:val="000000" w:themeColor="text1"/>
        </w:rPr>
        <w:t>；分为国家层面重点开发区域和省级层面重点开发区域。</w:t>
      </w:r>
    </w:p>
    <w:p w14:paraId="3D784928" w14:textId="77777777" w:rsidR="006C3020" w:rsidRPr="00092862" w:rsidRDefault="006C3020" w:rsidP="00D074AC">
      <w:pPr>
        <w:pStyle w:val="afffff6"/>
        <w:ind w:firstLine="480"/>
        <w:rPr>
          <w:color w:val="000000" w:themeColor="text1"/>
        </w:rPr>
      </w:pPr>
      <w:r w:rsidRPr="00092862">
        <w:rPr>
          <w:color w:val="000000" w:themeColor="text1"/>
        </w:rPr>
        <w:t>该功能区是全省经济增长的重要支撑区，实施加快推进新型工业化新型城镇化的主要承载区，是全省经济和人口密集区。</w:t>
      </w:r>
    </w:p>
    <w:p w14:paraId="4A9B58A6" w14:textId="4783DB13" w:rsidR="006C3020" w:rsidRPr="00092862" w:rsidRDefault="006C3020" w:rsidP="00D074AC">
      <w:pPr>
        <w:pStyle w:val="afffff6"/>
        <w:ind w:firstLine="480"/>
        <w:rPr>
          <w:color w:val="000000" w:themeColor="text1"/>
        </w:rPr>
      </w:pPr>
      <w:r w:rsidRPr="00092862">
        <w:rPr>
          <w:color w:val="000000" w:themeColor="text1"/>
        </w:rPr>
        <w:lastRenderedPageBreak/>
        <w:t>2</w:t>
      </w:r>
      <w:r w:rsidRPr="00092862">
        <w:rPr>
          <w:color w:val="000000" w:themeColor="text1"/>
        </w:rPr>
        <w:t>）限制开发区域（农产品主产区）</w:t>
      </w:r>
    </w:p>
    <w:p w14:paraId="44A4BF55" w14:textId="77777777" w:rsidR="006C3020" w:rsidRPr="00092862" w:rsidRDefault="006C3020" w:rsidP="00D074AC">
      <w:pPr>
        <w:pStyle w:val="afffff6"/>
        <w:ind w:firstLine="480"/>
        <w:rPr>
          <w:color w:val="000000" w:themeColor="text1"/>
        </w:rPr>
      </w:pPr>
      <w:r w:rsidRPr="00092862">
        <w:rPr>
          <w:color w:val="000000" w:themeColor="text1"/>
        </w:rPr>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14:paraId="7F4CF059" w14:textId="77777777" w:rsidR="006C3020" w:rsidRPr="00092862" w:rsidRDefault="006C3020" w:rsidP="00D074AC">
      <w:pPr>
        <w:pStyle w:val="afffff6"/>
        <w:ind w:firstLine="480"/>
        <w:rPr>
          <w:color w:val="000000" w:themeColor="text1"/>
        </w:rPr>
      </w:pPr>
      <w:r w:rsidRPr="00092862">
        <w:rPr>
          <w:color w:val="000000" w:themeColor="text1"/>
        </w:rPr>
        <w:t>全省农产品主产区包括盆地中部平原浅丘区、川南低中山区和盆地东部丘陵低山区、盆地西缘山区和安宁河流域</w:t>
      </w:r>
      <w:r w:rsidRPr="00092862">
        <w:rPr>
          <w:color w:val="000000" w:themeColor="text1"/>
        </w:rPr>
        <w:t>5</w:t>
      </w:r>
      <w:r w:rsidRPr="00092862">
        <w:rPr>
          <w:color w:val="000000" w:themeColor="text1"/>
        </w:rPr>
        <w:t>大农产品主产区，共</w:t>
      </w:r>
      <w:r w:rsidRPr="00092862">
        <w:rPr>
          <w:color w:val="000000" w:themeColor="text1"/>
        </w:rPr>
        <w:t>35</w:t>
      </w:r>
      <w:r w:rsidRPr="00092862">
        <w:rPr>
          <w:color w:val="000000" w:themeColor="text1"/>
        </w:rPr>
        <w:t>个县（市），面积</w:t>
      </w:r>
      <w:r w:rsidRPr="00092862">
        <w:rPr>
          <w:color w:val="000000" w:themeColor="text1"/>
        </w:rPr>
        <w:t>6.7</w:t>
      </w:r>
      <w:r w:rsidRPr="00092862">
        <w:rPr>
          <w:color w:val="000000" w:themeColor="text1"/>
        </w:rPr>
        <w:t>万平方公里，扣除其中重点开发的县城镇及重点镇规划面积</w:t>
      </w:r>
      <w:r w:rsidRPr="00092862">
        <w:rPr>
          <w:color w:val="000000" w:themeColor="text1"/>
        </w:rPr>
        <w:t>1750</w:t>
      </w:r>
      <w:r w:rsidRPr="00092862">
        <w:rPr>
          <w:color w:val="000000" w:themeColor="text1"/>
        </w:rPr>
        <w:t>平方公里，占全省幅员面积</w:t>
      </w:r>
      <w:r w:rsidRPr="00092862">
        <w:rPr>
          <w:color w:val="000000" w:themeColor="text1"/>
        </w:rPr>
        <w:t>13.4%</w:t>
      </w:r>
      <w:r w:rsidRPr="00092862">
        <w:rPr>
          <w:color w:val="000000" w:themeColor="text1"/>
        </w:rPr>
        <w:t>。</w:t>
      </w:r>
    </w:p>
    <w:p w14:paraId="45AD89AE" w14:textId="77777777" w:rsidR="006C3020" w:rsidRPr="00092862" w:rsidRDefault="006C3020" w:rsidP="00D074AC">
      <w:pPr>
        <w:pStyle w:val="afffff6"/>
        <w:ind w:firstLine="480"/>
        <w:rPr>
          <w:color w:val="000000" w:themeColor="text1"/>
        </w:rPr>
      </w:pPr>
      <w:r w:rsidRPr="00092862">
        <w:rPr>
          <w:color w:val="000000" w:themeColor="text1"/>
        </w:rPr>
        <w:t>该功能区是国家优质商品猪战略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14:paraId="2D87C216" w14:textId="28783CA6" w:rsidR="006C3020" w:rsidRPr="00092862" w:rsidRDefault="006C3020" w:rsidP="00D074AC">
      <w:pPr>
        <w:pStyle w:val="afffff6"/>
        <w:ind w:firstLine="480"/>
        <w:rPr>
          <w:color w:val="000000" w:themeColor="text1"/>
        </w:rPr>
      </w:pPr>
      <w:r w:rsidRPr="00092862">
        <w:rPr>
          <w:color w:val="000000" w:themeColor="text1"/>
        </w:rPr>
        <w:t>3</w:t>
      </w:r>
      <w:r w:rsidRPr="00092862">
        <w:rPr>
          <w:color w:val="000000" w:themeColor="text1"/>
        </w:rPr>
        <w:t>）限制开发区域（重点生态功能区）</w:t>
      </w:r>
    </w:p>
    <w:p w14:paraId="4C2D92B8" w14:textId="77777777" w:rsidR="006C3020" w:rsidRPr="00092862" w:rsidRDefault="006C3020" w:rsidP="00D074AC">
      <w:pPr>
        <w:pStyle w:val="afffff6"/>
        <w:ind w:firstLine="480"/>
        <w:rPr>
          <w:color w:val="000000" w:themeColor="text1"/>
        </w:rPr>
      </w:pPr>
      <w:r w:rsidRPr="00092862">
        <w:rPr>
          <w:color w:val="000000" w:themeColor="text1"/>
        </w:rPr>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14:paraId="0B6276B0" w14:textId="77777777" w:rsidR="006C3020" w:rsidRPr="00092862" w:rsidRDefault="006C3020" w:rsidP="00D074AC">
      <w:pPr>
        <w:pStyle w:val="afffff6"/>
        <w:ind w:firstLine="480"/>
        <w:rPr>
          <w:color w:val="000000" w:themeColor="text1"/>
        </w:rPr>
      </w:pPr>
      <w:r w:rsidRPr="00092862">
        <w:rPr>
          <w:color w:val="000000" w:themeColor="text1"/>
        </w:rPr>
        <w:t>重点生态功能区共</w:t>
      </w:r>
      <w:r w:rsidRPr="00092862">
        <w:rPr>
          <w:color w:val="000000" w:themeColor="text1"/>
        </w:rPr>
        <w:t>57</w:t>
      </w:r>
      <w:r w:rsidRPr="00092862">
        <w:rPr>
          <w:color w:val="000000" w:themeColor="text1"/>
        </w:rPr>
        <w:t>个县（市），总面积</w:t>
      </w:r>
      <w:r w:rsidRPr="00092862">
        <w:rPr>
          <w:color w:val="000000" w:themeColor="text1"/>
        </w:rPr>
        <w:t>31.8</w:t>
      </w:r>
      <w:r w:rsidRPr="00092862">
        <w:rPr>
          <w:color w:val="000000" w:themeColor="text1"/>
        </w:rPr>
        <w:t>万平方公里，扣除其中省级重点生态功能区中重点开发的县城镇及重点镇规划面积，占全省幅员面积</w:t>
      </w:r>
      <w:r w:rsidRPr="00092862">
        <w:rPr>
          <w:color w:val="000000" w:themeColor="text1"/>
        </w:rPr>
        <w:t>65.4%</w:t>
      </w:r>
      <w:r w:rsidRPr="00092862">
        <w:rPr>
          <w:color w:val="000000" w:themeColor="text1"/>
        </w:rPr>
        <w:t>；分为国家层面的重点生态功能区和省级层面的重点生态功能区。</w:t>
      </w:r>
    </w:p>
    <w:p w14:paraId="5B6FE93F" w14:textId="77777777" w:rsidR="006C3020" w:rsidRPr="00092862" w:rsidRDefault="006C3020" w:rsidP="00D074AC">
      <w:pPr>
        <w:pStyle w:val="afffff6"/>
        <w:ind w:firstLine="480"/>
        <w:rPr>
          <w:color w:val="000000" w:themeColor="text1"/>
        </w:rPr>
      </w:pPr>
      <w:r w:rsidRPr="00092862">
        <w:rPr>
          <w:color w:val="000000" w:themeColor="text1"/>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14:paraId="6F53EF46" w14:textId="27BB707E" w:rsidR="006C3020" w:rsidRPr="00092862" w:rsidRDefault="006C3020" w:rsidP="00D074AC">
      <w:pPr>
        <w:pStyle w:val="afffff6"/>
        <w:ind w:firstLine="480"/>
        <w:rPr>
          <w:color w:val="000000" w:themeColor="text1"/>
        </w:rPr>
      </w:pPr>
      <w:r w:rsidRPr="00092862">
        <w:rPr>
          <w:color w:val="000000" w:themeColor="text1"/>
        </w:rPr>
        <w:t>4</w:t>
      </w:r>
      <w:r w:rsidRPr="00092862">
        <w:rPr>
          <w:color w:val="000000" w:themeColor="text1"/>
        </w:rPr>
        <w:t>）禁止开发区域</w:t>
      </w:r>
    </w:p>
    <w:p w14:paraId="020F4506" w14:textId="77777777" w:rsidR="006C3020" w:rsidRPr="00092862" w:rsidRDefault="006C3020" w:rsidP="00D074AC">
      <w:pPr>
        <w:pStyle w:val="afffff6"/>
        <w:ind w:firstLine="480"/>
        <w:rPr>
          <w:color w:val="000000" w:themeColor="text1"/>
        </w:rPr>
      </w:pPr>
      <w:r w:rsidRPr="00092862">
        <w:rPr>
          <w:color w:val="000000" w:themeColor="text1"/>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w:t>
      </w:r>
      <w:r w:rsidRPr="00092862">
        <w:rPr>
          <w:color w:val="000000" w:themeColor="text1"/>
        </w:rPr>
        <w:lastRenderedPageBreak/>
        <w:t>重要湿地、国家湿地公园和国家地质公园；省级及以下各级各类自然文化资源保护区域、重要饮用水水源地以及其他省级人民政府根据需要确定的禁止开发区域。</w:t>
      </w:r>
    </w:p>
    <w:p w14:paraId="1ED79C92" w14:textId="77777777" w:rsidR="006C3020" w:rsidRPr="00092862" w:rsidRDefault="006C3020" w:rsidP="00D074AC">
      <w:pPr>
        <w:pStyle w:val="afffff6"/>
        <w:ind w:firstLine="480"/>
        <w:rPr>
          <w:color w:val="000000" w:themeColor="text1"/>
        </w:rPr>
      </w:pPr>
      <w:r w:rsidRPr="00092862">
        <w:rPr>
          <w:color w:val="000000" w:themeColor="text1"/>
        </w:rPr>
        <w:t>该区域是四川省自然文化资源的重要区域，森林、湿地生态、生物多样性和珍稀动植物基因资源保护地，重要水土保持区域与重要饮用水水源保护地。</w:t>
      </w:r>
    </w:p>
    <w:p w14:paraId="509E5905" w14:textId="77777777" w:rsidR="006C3020" w:rsidRPr="00092862" w:rsidRDefault="006C3020" w:rsidP="00D074AC">
      <w:pPr>
        <w:pStyle w:val="afffff6"/>
        <w:ind w:firstLine="480"/>
        <w:rPr>
          <w:color w:val="000000" w:themeColor="text1"/>
        </w:rPr>
      </w:pPr>
      <w:r w:rsidRPr="00092862">
        <w:rPr>
          <w:color w:val="000000" w:themeColor="text1"/>
        </w:rPr>
        <w:t>禁止开发区域要严格控制人为因素对自然生态的干扰，严禁不符合主体功能区定位的开发活动，引导人口逐步有序转移，实现污染物</w:t>
      </w:r>
      <w:r w:rsidRPr="00092862">
        <w:rPr>
          <w:color w:val="000000" w:themeColor="text1"/>
        </w:rPr>
        <w:t>“</w:t>
      </w:r>
      <w:r w:rsidRPr="00092862">
        <w:rPr>
          <w:color w:val="000000" w:themeColor="text1"/>
        </w:rPr>
        <w:t>零排放</w:t>
      </w:r>
      <w:r w:rsidRPr="00092862">
        <w:rPr>
          <w:color w:val="000000" w:themeColor="text1"/>
        </w:rPr>
        <w:t>”</w:t>
      </w:r>
      <w:r w:rsidRPr="00092862">
        <w:rPr>
          <w:color w:val="000000" w:themeColor="text1"/>
        </w:rPr>
        <w:t>，提高环境质量，提高可持续发展能力。自然保护区、文化自然遗产、风景名胜区、森林公园、湿地公园、地质公园，要逐步达到各类区域规定执行标准。</w:t>
      </w:r>
    </w:p>
    <w:p w14:paraId="65C9E656" w14:textId="30FC37B9" w:rsidR="006C3020" w:rsidRPr="00092862" w:rsidRDefault="0079308B" w:rsidP="00D074AC">
      <w:pPr>
        <w:pStyle w:val="afffff6"/>
        <w:ind w:firstLine="482"/>
        <w:rPr>
          <w:b/>
          <w:bCs/>
          <w:color w:val="000000" w:themeColor="text1"/>
        </w:rPr>
      </w:pPr>
      <w:r w:rsidRPr="00092862">
        <w:rPr>
          <w:b/>
          <w:bCs/>
          <w:color w:val="000000" w:themeColor="text1"/>
        </w:rPr>
        <w:t>（</w:t>
      </w:r>
      <w:r w:rsidRPr="00092862">
        <w:rPr>
          <w:b/>
          <w:bCs/>
          <w:color w:val="000000" w:themeColor="text1"/>
        </w:rPr>
        <w:t>2</w:t>
      </w:r>
      <w:r w:rsidRPr="00092862">
        <w:rPr>
          <w:b/>
          <w:bCs/>
          <w:color w:val="000000" w:themeColor="text1"/>
        </w:rPr>
        <w:t>）</w:t>
      </w:r>
      <w:r w:rsidR="006C3020" w:rsidRPr="00092862">
        <w:rPr>
          <w:b/>
          <w:bCs/>
          <w:color w:val="000000" w:themeColor="text1"/>
        </w:rPr>
        <w:t>与四川省主体功能区规划的符合性分析</w:t>
      </w:r>
    </w:p>
    <w:p w14:paraId="0D966310" w14:textId="77777777" w:rsidR="006C3020" w:rsidRPr="00092862" w:rsidRDefault="006C3020" w:rsidP="00D074AC">
      <w:pPr>
        <w:pStyle w:val="afffff6"/>
        <w:ind w:firstLine="480"/>
        <w:rPr>
          <w:color w:val="000000" w:themeColor="text1"/>
        </w:rPr>
      </w:pPr>
      <w:r w:rsidRPr="00092862">
        <w:rPr>
          <w:color w:val="000000" w:themeColor="text1"/>
        </w:rPr>
        <w:t>根据《四川省人民政府关于印发四川省主体功能区规划的通知》（川府发〔</w:t>
      </w:r>
      <w:r w:rsidRPr="00092862">
        <w:rPr>
          <w:color w:val="000000" w:themeColor="text1"/>
        </w:rPr>
        <w:t>2013</w:t>
      </w:r>
      <w:r w:rsidRPr="00092862">
        <w:rPr>
          <w:color w:val="000000" w:themeColor="text1"/>
        </w:rPr>
        <w:t>〕</w:t>
      </w:r>
      <w:r w:rsidRPr="00092862">
        <w:rPr>
          <w:color w:val="000000" w:themeColor="text1"/>
        </w:rPr>
        <w:t>16</w:t>
      </w:r>
      <w:r w:rsidRPr="00092862">
        <w:rPr>
          <w:color w:val="000000" w:themeColor="text1"/>
        </w:rPr>
        <w:t>号），本项目所在地属国家重点开发区域，不属于重点生态功能区，该地区无国家级自然保护区、世界文化遗产、国家风景名胜区、国家森林公园和国家地质公园。项目不在禁止开发区，不在重点保护区内，符合《四川省主体功能区规划》要求。</w:t>
      </w:r>
    </w:p>
    <w:p w14:paraId="6574096A" w14:textId="1CD93108" w:rsidR="0079308B" w:rsidRPr="00092862" w:rsidRDefault="008E4753" w:rsidP="00D074AC">
      <w:pPr>
        <w:tabs>
          <w:tab w:val="left" w:pos="0"/>
        </w:tabs>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4</w:t>
      </w:r>
      <w:r w:rsidR="0079308B" w:rsidRPr="00092862">
        <w:rPr>
          <w:rFonts w:ascii="Times New Roman" w:eastAsia="黑体" w:hAnsi="Times New Roman" w:cs="Times New Roman"/>
          <w:color w:val="000000" w:themeColor="text1"/>
          <w:sz w:val="24"/>
        </w:rPr>
        <w:t>、与土壤污染防治行动计划符合性</w:t>
      </w:r>
    </w:p>
    <w:p w14:paraId="2F9A2623" w14:textId="77777777" w:rsidR="0079308B" w:rsidRPr="00092862" w:rsidRDefault="0079308B" w:rsidP="00D074AC">
      <w:pPr>
        <w:pStyle w:val="afffff6"/>
        <w:ind w:firstLine="480"/>
        <w:rPr>
          <w:color w:val="000000" w:themeColor="text1"/>
        </w:rPr>
      </w:pPr>
      <w:r w:rsidRPr="00092862">
        <w:rPr>
          <w:color w:val="000000" w:themeColor="text1"/>
        </w:rPr>
        <w:t>项目与土壤污染防治行动计划</w:t>
      </w:r>
      <w:r w:rsidRPr="00092862">
        <w:rPr>
          <w:color w:val="000000" w:themeColor="text1"/>
        </w:rPr>
        <w:t>“</w:t>
      </w:r>
      <w:r w:rsidRPr="00092862">
        <w:rPr>
          <w:color w:val="000000" w:themeColor="text1"/>
        </w:rPr>
        <w:t>国发〔</w:t>
      </w:r>
      <w:r w:rsidRPr="00092862">
        <w:rPr>
          <w:color w:val="000000" w:themeColor="text1"/>
        </w:rPr>
        <w:t>2016</w:t>
      </w:r>
      <w:r w:rsidRPr="00092862">
        <w:rPr>
          <w:color w:val="000000" w:themeColor="text1"/>
        </w:rPr>
        <w:t>〕</w:t>
      </w:r>
      <w:r w:rsidRPr="00092862">
        <w:rPr>
          <w:color w:val="000000" w:themeColor="text1"/>
        </w:rPr>
        <w:t>31</w:t>
      </w:r>
      <w:r w:rsidRPr="00092862">
        <w:rPr>
          <w:color w:val="000000" w:themeColor="text1"/>
        </w:rPr>
        <w:t>号</w:t>
      </w:r>
      <w:r w:rsidRPr="00092862">
        <w:rPr>
          <w:color w:val="000000" w:themeColor="text1"/>
        </w:rPr>
        <w:t>”</w:t>
      </w:r>
      <w:r w:rsidRPr="00092862">
        <w:rPr>
          <w:color w:val="000000" w:themeColor="text1"/>
        </w:rPr>
        <w:t>及《土壤污染防治行动计划四川省工作方案》符合性如下：</w:t>
      </w:r>
    </w:p>
    <w:p w14:paraId="491407AF" w14:textId="70774879" w:rsidR="0079308B" w:rsidRPr="00092862" w:rsidRDefault="0079308B"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与土壤污染防治行动计划符合性</w:t>
      </w:r>
    </w:p>
    <w:tbl>
      <w:tblPr>
        <w:tblW w:w="52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28"/>
        <w:gridCol w:w="5809"/>
        <w:gridCol w:w="1095"/>
        <w:gridCol w:w="700"/>
      </w:tblGrid>
      <w:tr w:rsidR="00697429" w:rsidRPr="00092862" w14:paraId="4FED721D" w14:textId="77777777" w:rsidTr="0079308B">
        <w:trPr>
          <w:trHeight w:val="343"/>
          <w:tblHeader/>
          <w:jc w:val="center"/>
        </w:trPr>
        <w:tc>
          <w:tcPr>
            <w:tcW w:w="646" w:type="pct"/>
            <w:vAlign w:val="center"/>
          </w:tcPr>
          <w:p w14:paraId="2077A310" w14:textId="77777777" w:rsidR="0079308B" w:rsidRPr="00092862" w:rsidRDefault="0079308B"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土壤污染防治行动计划</w:t>
            </w:r>
          </w:p>
        </w:tc>
        <w:tc>
          <w:tcPr>
            <w:tcW w:w="3326" w:type="pct"/>
            <w:vAlign w:val="center"/>
          </w:tcPr>
          <w:p w14:paraId="28B7522A" w14:textId="77777777" w:rsidR="0079308B" w:rsidRPr="00092862" w:rsidRDefault="0079308B"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相关要求</w:t>
            </w:r>
          </w:p>
        </w:tc>
        <w:tc>
          <w:tcPr>
            <w:tcW w:w="627" w:type="pct"/>
            <w:vAlign w:val="center"/>
          </w:tcPr>
          <w:p w14:paraId="1BD7D553" w14:textId="77777777" w:rsidR="0079308B" w:rsidRPr="00092862" w:rsidRDefault="0079308B"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本项目情况</w:t>
            </w:r>
          </w:p>
        </w:tc>
        <w:tc>
          <w:tcPr>
            <w:tcW w:w="401" w:type="pct"/>
            <w:vAlign w:val="center"/>
          </w:tcPr>
          <w:p w14:paraId="421F903E" w14:textId="77777777" w:rsidR="0079308B" w:rsidRPr="00092862" w:rsidRDefault="0079308B"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符合性</w:t>
            </w:r>
          </w:p>
        </w:tc>
      </w:tr>
      <w:tr w:rsidR="00697429" w:rsidRPr="00092862" w14:paraId="75DF23E8" w14:textId="77777777" w:rsidTr="0079308B">
        <w:trPr>
          <w:trHeight w:val="848"/>
          <w:jc w:val="center"/>
        </w:trPr>
        <w:tc>
          <w:tcPr>
            <w:tcW w:w="646" w:type="pct"/>
            <w:vMerge w:val="restart"/>
            <w:vAlign w:val="center"/>
          </w:tcPr>
          <w:p w14:paraId="633FA956"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《土壤污染防治行动计划》（国发〔</w:t>
            </w:r>
            <w:r w:rsidRPr="00092862">
              <w:rPr>
                <w:rFonts w:ascii="Times New Roman" w:eastAsia="宋体" w:hAnsi="Times New Roman" w:cs="Times New Roman"/>
                <w:color w:val="000000" w:themeColor="text1"/>
                <w:szCs w:val="21"/>
              </w:rPr>
              <w:t>2016</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31</w:t>
            </w:r>
            <w:r w:rsidRPr="00092862">
              <w:rPr>
                <w:rFonts w:ascii="Times New Roman" w:eastAsia="宋体" w:hAnsi="Times New Roman" w:cs="Times New Roman"/>
                <w:color w:val="000000" w:themeColor="text1"/>
                <w:szCs w:val="21"/>
              </w:rPr>
              <w:t>号）</w:t>
            </w:r>
          </w:p>
        </w:tc>
        <w:tc>
          <w:tcPr>
            <w:tcW w:w="3326" w:type="pct"/>
            <w:vAlign w:val="center"/>
          </w:tcPr>
          <w:p w14:paraId="1C502A2D"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w:t>
            </w:r>
            <w:r w:rsidRPr="00092862">
              <w:rPr>
                <w:rFonts w:ascii="Times New Roman" w:eastAsia="宋体" w:hAnsi="Times New Roman" w:cs="Times New Roman"/>
                <w:color w:val="000000" w:themeColor="text1"/>
                <w:szCs w:val="21"/>
              </w:rPr>
              <w:t>2017</w:t>
            </w:r>
            <w:r w:rsidRPr="00092862">
              <w:rPr>
                <w:rFonts w:ascii="Times New Roman" w:eastAsia="宋体" w:hAnsi="Times New Roman" w:cs="Times New Roman"/>
                <w:color w:val="000000" w:themeColor="text1"/>
                <w:szCs w:val="21"/>
              </w:rPr>
              <w:t>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627" w:type="pct"/>
            <w:vAlign w:val="center"/>
          </w:tcPr>
          <w:p w14:paraId="4A6EC355"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不属于回收土地使用权的项目</w:t>
            </w:r>
          </w:p>
        </w:tc>
        <w:tc>
          <w:tcPr>
            <w:tcW w:w="401" w:type="pct"/>
            <w:vAlign w:val="center"/>
          </w:tcPr>
          <w:p w14:paraId="16487C8E"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801EDBF" w14:textId="77777777" w:rsidTr="0079308B">
        <w:trPr>
          <w:trHeight w:val="519"/>
          <w:jc w:val="center"/>
        </w:trPr>
        <w:tc>
          <w:tcPr>
            <w:tcW w:w="646" w:type="pct"/>
            <w:vMerge/>
            <w:vAlign w:val="center"/>
          </w:tcPr>
          <w:p w14:paraId="0C7170B3" w14:textId="77777777" w:rsidR="0079308B" w:rsidRPr="00092862" w:rsidRDefault="0079308B" w:rsidP="003F1F64">
            <w:pPr>
              <w:jc w:val="center"/>
              <w:rPr>
                <w:rFonts w:ascii="Times New Roman" w:eastAsia="宋体" w:hAnsi="Times New Roman" w:cs="Times New Roman"/>
                <w:color w:val="000000" w:themeColor="text1"/>
                <w:szCs w:val="21"/>
              </w:rPr>
            </w:pPr>
          </w:p>
        </w:tc>
        <w:tc>
          <w:tcPr>
            <w:tcW w:w="3326" w:type="pct"/>
            <w:vAlign w:val="center"/>
          </w:tcPr>
          <w:p w14:paraId="76FD286A"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627" w:type="pct"/>
            <w:vAlign w:val="center"/>
          </w:tcPr>
          <w:p w14:paraId="69045CD9"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不涉及重点污染物的排放</w:t>
            </w:r>
          </w:p>
        </w:tc>
        <w:tc>
          <w:tcPr>
            <w:tcW w:w="401" w:type="pct"/>
            <w:vAlign w:val="center"/>
          </w:tcPr>
          <w:p w14:paraId="676AD1DD"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D10A1E0" w14:textId="77777777" w:rsidTr="0079308B">
        <w:trPr>
          <w:trHeight w:val="788"/>
          <w:jc w:val="center"/>
        </w:trPr>
        <w:tc>
          <w:tcPr>
            <w:tcW w:w="646" w:type="pct"/>
            <w:vMerge/>
            <w:vAlign w:val="center"/>
          </w:tcPr>
          <w:p w14:paraId="4D0A5F6D" w14:textId="77777777" w:rsidR="0079308B" w:rsidRPr="00092862" w:rsidRDefault="0079308B" w:rsidP="003F1F64">
            <w:pPr>
              <w:jc w:val="center"/>
              <w:rPr>
                <w:rFonts w:ascii="Times New Roman" w:eastAsia="宋体" w:hAnsi="Times New Roman" w:cs="Times New Roman"/>
                <w:color w:val="000000" w:themeColor="text1"/>
                <w:szCs w:val="21"/>
              </w:rPr>
            </w:pPr>
          </w:p>
        </w:tc>
        <w:tc>
          <w:tcPr>
            <w:tcW w:w="3326" w:type="pct"/>
            <w:vAlign w:val="center"/>
          </w:tcPr>
          <w:p w14:paraId="21FBA46D"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严格执行相关行业企业布局选址要求，禁止在居民区、学校、医疗和养老机构等周边新建有色金属冶炼、焦化等行业企业</w:t>
            </w:r>
          </w:p>
        </w:tc>
        <w:tc>
          <w:tcPr>
            <w:tcW w:w="627" w:type="pct"/>
            <w:vAlign w:val="center"/>
          </w:tcPr>
          <w:p w14:paraId="4DDFBC8B"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不涉及</w:t>
            </w:r>
          </w:p>
        </w:tc>
        <w:tc>
          <w:tcPr>
            <w:tcW w:w="401" w:type="pct"/>
            <w:vAlign w:val="center"/>
          </w:tcPr>
          <w:p w14:paraId="1B50FD43"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8FE6068" w14:textId="77777777" w:rsidTr="0079308B">
        <w:trPr>
          <w:trHeight w:val="848"/>
          <w:jc w:val="center"/>
        </w:trPr>
        <w:tc>
          <w:tcPr>
            <w:tcW w:w="646" w:type="pct"/>
            <w:vMerge/>
            <w:vAlign w:val="center"/>
          </w:tcPr>
          <w:p w14:paraId="521EBA22" w14:textId="77777777" w:rsidR="0079308B" w:rsidRPr="00092862" w:rsidRDefault="0079308B" w:rsidP="003F1F64">
            <w:pPr>
              <w:jc w:val="center"/>
              <w:rPr>
                <w:rFonts w:ascii="Times New Roman" w:eastAsia="宋体" w:hAnsi="Times New Roman" w:cs="Times New Roman"/>
                <w:color w:val="000000" w:themeColor="text1"/>
                <w:szCs w:val="21"/>
              </w:rPr>
            </w:pPr>
          </w:p>
        </w:tc>
        <w:tc>
          <w:tcPr>
            <w:tcW w:w="3326" w:type="pct"/>
            <w:vAlign w:val="center"/>
          </w:tcPr>
          <w:p w14:paraId="7FD7872F"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627" w:type="pct"/>
            <w:vAlign w:val="center"/>
          </w:tcPr>
          <w:p w14:paraId="0A6A184E" w14:textId="77777777" w:rsidR="0079308B" w:rsidRPr="00092862" w:rsidRDefault="0079308B" w:rsidP="003F1F64">
            <w:pPr>
              <w:pStyle w:val="afffff8"/>
              <w:rPr>
                <w:color w:val="000000" w:themeColor="text1"/>
                <w:szCs w:val="21"/>
              </w:rPr>
            </w:pPr>
            <w:r w:rsidRPr="00092862">
              <w:rPr>
                <w:color w:val="000000" w:themeColor="text1"/>
                <w:szCs w:val="21"/>
              </w:rPr>
              <w:t>不属于电器电子、汽车等行业</w:t>
            </w:r>
          </w:p>
        </w:tc>
        <w:tc>
          <w:tcPr>
            <w:tcW w:w="401" w:type="pct"/>
            <w:vAlign w:val="center"/>
          </w:tcPr>
          <w:p w14:paraId="23331020"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820F7AA" w14:textId="77777777" w:rsidTr="0079308B">
        <w:trPr>
          <w:trHeight w:val="63"/>
          <w:jc w:val="center"/>
        </w:trPr>
        <w:tc>
          <w:tcPr>
            <w:tcW w:w="646" w:type="pct"/>
            <w:vMerge/>
            <w:vAlign w:val="center"/>
          </w:tcPr>
          <w:p w14:paraId="51C56C3E" w14:textId="77777777" w:rsidR="0079308B" w:rsidRPr="00092862" w:rsidRDefault="0079308B" w:rsidP="003F1F64">
            <w:pPr>
              <w:jc w:val="center"/>
              <w:rPr>
                <w:rFonts w:ascii="Times New Roman" w:eastAsia="宋体" w:hAnsi="Times New Roman" w:cs="Times New Roman"/>
                <w:color w:val="000000" w:themeColor="text1"/>
                <w:szCs w:val="21"/>
              </w:rPr>
            </w:pPr>
          </w:p>
        </w:tc>
        <w:tc>
          <w:tcPr>
            <w:tcW w:w="3326" w:type="pct"/>
            <w:vAlign w:val="center"/>
          </w:tcPr>
          <w:p w14:paraId="1DD6671C"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继续淘汰涉重金属重点行业落后产能，完善重金属相关行业准入条件，禁止新建落后产能或产能严重过剩行业的建设项目</w:t>
            </w:r>
          </w:p>
        </w:tc>
        <w:tc>
          <w:tcPr>
            <w:tcW w:w="627" w:type="pct"/>
            <w:vAlign w:val="center"/>
          </w:tcPr>
          <w:p w14:paraId="453E55D1"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不属于涉重企业</w:t>
            </w:r>
          </w:p>
        </w:tc>
        <w:tc>
          <w:tcPr>
            <w:tcW w:w="401" w:type="pct"/>
            <w:vAlign w:val="center"/>
          </w:tcPr>
          <w:p w14:paraId="036F190F" w14:textId="77777777" w:rsidR="0079308B" w:rsidRPr="00092862" w:rsidRDefault="0079308B"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4D78CF8B" w14:textId="03CA1CD6" w:rsidR="006C3020" w:rsidRPr="00092862" w:rsidRDefault="0079308B" w:rsidP="007440B9">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经上表分析，项目建设与《国务院关于印发土壤污染防治行动计划的通知》（国发〔</w:t>
      </w:r>
      <w:r w:rsidRPr="00092862">
        <w:rPr>
          <w:rFonts w:ascii="Times New Roman" w:eastAsia="宋体" w:hAnsi="Times New Roman" w:cs="Times New Roman"/>
          <w:color w:val="000000" w:themeColor="text1"/>
          <w:sz w:val="24"/>
          <w:szCs w:val="24"/>
        </w:rPr>
        <w:t>2016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31</w:t>
      </w:r>
      <w:r w:rsidRPr="00092862">
        <w:rPr>
          <w:rFonts w:ascii="Times New Roman" w:eastAsia="宋体" w:hAnsi="Times New Roman" w:cs="Times New Roman"/>
          <w:color w:val="000000" w:themeColor="text1"/>
          <w:sz w:val="24"/>
          <w:szCs w:val="24"/>
        </w:rPr>
        <w:t>号）相符。</w:t>
      </w:r>
    </w:p>
    <w:p w14:paraId="70E16620" w14:textId="10031121" w:rsidR="0079308B" w:rsidRPr="00092862" w:rsidRDefault="008E4753" w:rsidP="007440B9">
      <w:pPr>
        <w:tabs>
          <w:tab w:val="left" w:pos="0"/>
        </w:tabs>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5</w:t>
      </w:r>
      <w:r w:rsidR="0079308B" w:rsidRPr="00092862">
        <w:rPr>
          <w:rFonts w:ascii="Times New Roman" w:eastAsia="黑体" w:hAnsi="Times New Roman" w:cs="Times New Roman"/>
          <w:color w:val="000000" w:themeColor="text1"/>
          <w:sz w:val="24"/>
        </w:rPr>
        <w:t>、与长江经济带生态保护要求的相关规划符合性</w:t>
      </w:r>
    </w:p>
    <w:p w14:paraId="3896658E" w14:textId="77777777" w:rsidR="0079308B" w:rsidRPr="00092862" w:rsidRDefault="0079308B" w:rsidP="007440B9">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）与《长江经济带生态环境保护规划》（环规财〔</w:t>
      </w:r>
      <w:r w:rsidRPr="00092862">
        <w:rPr>
          <w:rFonts w:ascii="Times New Roman" w:eastAsia="宋体" w:hAnsi="Times New Roman" w:cs="Times New Roman"/>
          <w:bCs/>
          <w:color w:val="000000" w:themeColor="text1"/>
          <w:sz w:val="24"/>
          <w:szCs w:val="24"/>
        </w:rPr>
        <w:t>2017</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88</w:t>
      </w:r>
      <w:r w:rsidRPr="00092862">
        <w:rPr>
          <w:rFonts w:ascii="Times New Roman" w:eastAsia="宋体" w:hAnsi="Times New Roman" w:cs="Times New Roman"/>
          <w:bCs/>
          <w:color w:val="000000" w:themeColor="text1"/>
          <w:sz w:val="24"/>
          <w:szCs w:val="24"/>
        </w:rPr>
        <w:t>号）符合性</w:t>
      </w:r>
    </w:p>
    <w:p w14:paraId="7CC2D2F2" w14:textId="63B3AE23" w:rsidR="0079308B" w:rsidRPr="00092862" w:rsidRDefault="0079308B" w:rsidP="007440B9">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根据《长江经济带生态环境保护规划》中第六条指出：</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全面推进环境污染治理，建设宜居城乡环境专栏</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，该条要求中提出改善城市环境质量，推进成渝城市大气污染防治。增加天然气的开发程度，提供天然气供应量，有利于加速产业升级和能源结构的调整，本项目属于天然气</w:t>
      </w:r>
      <w:r w:rsidR="005036A4" w:rsidRPr="00092862">
        <w:rPr>
          <w:rFonts w:ascii="Times New Roman" w:eastAsia="宋体" w:hAnsi="Times New Roman" w:cs="Times New Roman"/>
          <w:bCs/>
          <w:color w:val="000000" w:themeColor="text1"/>
          <w:sz w:val="24"/>
          <w:szCs w:val="24"/>
        </w:rPr>
        <w:t>勘探</w:t>
      </w:r>
      <w:r w:rsidRPr="00092862">
        <w:rPr>
          <w:rFonts w:ascii="Times New Roman" w:eastAsia="宋体" w:hAnsi="Times New Roman" w:cs="Times New Roman"/>
          <w:bCs/>
          <w:color w:val="000000" w:themeColor="text1"/>
          <w:sz w:val="24"/>
          <w:szCs w:val="24"/>
        </w:rPr>
        <w:t>开发项目，项目的建设能够改善川渝地区区域大气环境质量，符合《长江经济带生态环境保护规划》要求。</w:t>
      </w:r>
    </w:p>
    <w:p w14:paraId="5923905D" w14:textId="3383C273" w:rsidR="0079308B" w:rsidRPr="00092862" w:rsidRDefault="0079308B" w:rsidP="007440B9">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）与《</w:t>
      </w:r>
      <w:r w:rsidR="00A7499F" w:rsidRPr="00092862">
        <w:rPr>
          <w:rFonts w:ascii="Times New Roman" w:eastAsia="宋体" w:hAnsi="Times New Roman" w:cs="Times New Roman"/>
          <w:bCs/>
          <w:color w:val="000000" w:themeColor="text1"/>
          <w:sz w:val="24"/>
          <w:szCs w:val="24"/>
        </w:rPr>
        <w:t>四川省、重庆市长江经济带发展负面清单实施细则（试行，</w:t>
      </w:r>
      <w:r w:rsidR="00A7499F" w:rsidRPr="00092862">
        <w:rPr>
          <w:rFonts w:ascii="Times New Roman" w:eastAsia="宋体" w:hAnsi="Times New Roman" w:cs="Times New Roman"/>
          <w:bCs/>
          <w:color w:val="000000" w:themeColor="text1"/>
          <w:sz w:val="24"/>
          <w:szCs w:val="24"/>
        </w:rPr>
        <w:t>2022</w:t>
      </w:r>
      <w:r w:rsidR="00A7499F" w:rsidRPr="00092862">
        <w:rPr>
          <w:rFonts w:ascii="Times New Roman" w:eastAsia="宋体" w:hAnsi="Times New Roman" w:cs="Times New Roman"/>
          <w:bCs/>
          <w:color w:val="000000" w:themeColor="text1"/>
          <w:sz w:val="24"/>
          <w:szCs w:val="24"/>
        </w:rPr>
        <w:t>年版）</w:t>
      </w:r>
      <w:r w:rsidRPr="00092862">
        <w:rPr>
          <w:rFonts w:ascii="Times New Roman" w:eastAsia="宋体" w:hAnsi="Times New Roman" w:cs="Times New Roman"/>
          <w:bCs/>
          <w:color w:val="000000" w:themeColor="text1"/>
          <w:sz w:val="24"/>
          <w:szCs w:val="24"/>
        </w:rPr>
        <w:t>》的符合性</w:t>
      </w:r>
    </w:p>
    <w:p w14:paraId="446622C4" w14:textId="0D4FAFE4" w:rsidR="0079308B" w:rsidRPr="00092862" w:rsidRDefault="0079308B" w:rsidP="007440B9">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本项目与《四川省</w:t>
      </w:r>
      <w:r w:rsidR="00083515" w:rsidRPr="00092862">
        <w:rPr>
          <w:rFonts w:ascii="Times New Roman" w:eastAsia="宋体" w:hAnsi="Times New Roman" w:cs="Times New Roman"/>
          <w:bCs/>
          <w:color w:val="000000" w:themeColor="text1"/>
          <w:sz w:val="24"/>
          <w:szCs w:val="24"/>
        </w:rPr>
        <w:t>、重庆市</w:t>
      </w:r>
      <w:r w:rsidRPr="00092862">
        <w:rPr>
          <w:rFonts w:ascii="Times New Roman" w:eastAsia="宋体" w:hAnsi="Times New Roman" w:cs="Times New Roman"/>
          <w:bCs/>
          <w:color w:val="000000" w:themeColor="text1"/>
          <w:sz w:val="24"/>
          <w:szCs w:val="24"/>
        </w:rPr>
        <w:t>长江经济带发展负面清单实施细则（试行</w:t>
      </w:r>
      <w:r w:rsidR="00083515" w:rsidRPr="00092862">
        <w:rPr>
          <w:rFonts w:ascii="Times New Roman" w:eastAsia="宋体" w:hAnsi="Times New Roman" w:cs="Times New Roman"/>
          <w:bCs/>
          <w:color w:val="000000" w:themeColor="text1"/>
          <w:sz w:val="24"/>
          <w:szCs w:val="24"/>
        </w:rPr>
        <w:t>，</w:t>
      </w:r>
      <w:r w:rsidR="00083515" w:rsidRPr="00092862">
        <w:rPr>
          <w:rFonts w:ascii="Times New Roman" w:eastAsia="宋体" w:hAnsi="Times New Roman" w:cs="Times New Roman"/>
          <w:bCs/>
          <w:color w:val="000000" w:themeColor="text1"/>
          <w:sz w:val="24"/>
          <w:szCs w:val="24"/>
        </w:rPr>
        <w:t>2022</w:t>
      </w:r>
      <w:r w:rsidR="00083515" w:rsidRPr="00092862">
        <w:rPr>
          <w:rFonts w:ascii="Times New Roman" w:eastAsia="宋体" w:hAnsi="Times New Roman" w:cs="Times New Roman"/>
          <w:bCs/>
          <w:color w:val="000000" w:themeColor="text1"/>
          <w:sz w:val="24"/>
          <w:szCs w:val="24"/>
        </w:rPr>
        <w:t>年版</w:t>
      </w:r>
      <w:r w:rsidRPr="00092862">
        <w:rPr>
          <w:rFonts w:ascii="Times New Roman" w:eastAsia="宋体" w:hAnsi="Times New Roman" w:cs="Times New Roman"/>
          <w:bCs/>
          <w:color w:val="000000" w:themeColor="text1"/>
          <w:sz w:val="24"/>
          <w:szCs w:val="24"/>
        </w:rPr>
        <w:t>）》</w:t>
      </w:r>
      <w:r w:rsidR="00BE1B6C" w:rsidRPr="00092862">
        <w:rPr>
          <w:rFonts w:ascii="Times New Roman" w:eastAsia="宋体" w:hAnsi="Times New Roman" w:cs="Times New Roman"/>
          <w:bCs/>
          <w:color w:val="000000" w:themeColor="text1"/>
          <w:sz w:val="24"/>
          <w:szCs w:val="24"/>
        </w:rPr>
        <w:t>（川长江办</w:t>
      </w:r>
      <w:r w:rsidR="00BE1B6C" w:rsidRPr="00092862">
        <w:rPr>
          <w:rFonts w:ascii="Times New Roman" w:eastAsia="宋体" w:hAnsi="Times New Roman" w:cs="Times New Roman"/>
          <w:bCs/>
          <w:color w:val="000000" w:themeColor="text1"/>
          <w:sz w:val="24"/>
          <w:szCs w:val="24"/>
        </w:rPr>
        <w:t>[2022]17</w:t>
      </w:r>
      <w:r w:rsidR="00BE1B6C"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对比分析详见下表。</w:t>
      </w:r>
    </w:p>
    <w:p w14:paraId="1D509106" w14:textId="272FFBD2" w:rsidR="0079308B" w:rsidRPr="00092862" w:rsidRDefault="0079308B"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9</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对比分析表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29"/>
        <w:gridCol w:w="5021"/>
        <w:gridCol w:w="1701"/>
        <w:gridCol w:w="1045"/>
      </w:tblGrid>
      <w:tr w:rsidR="00697429" w:rsidRPr="00092862" w14:paraId="46A11BB7" w14:textId="77777777" w:rsidTr="0079308B">
        <w:trPr>
          <w:jc w:val="center"/>
        </w:trPr>
        <w:tc>
          <w:tcPr>
            <w:tcW w:w="319" w:type="pct"/>
            <w:vAlign w:val="center"/>
          </w:tcPr>
          <w:p w14:paraId="36D84229" w14:textId="77777777" w:rsidR="0079308B" w:rsidRPr="00092862" w:rsidRDefault="0079308B" w:rsidP="003F1F64">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3026" w:type="pct"/>
            <w:vAlign w:val="center"/>
          </w:tcPr>
          <w:p w14:paraId="216EF477" w14:textId="77777777" w:rsidR="0079308B" w:rsidRPr="00092862" w:rsidRDefault="0079308B" w:rsidP="003F1F64">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污染防治技术政策要求</w:t>
            </w:r>
          </w:p>
        </w:tc>
        <w:tc>
          <w:tcPr>
            <w:tcW w:w="1025" w:type="pct"/>
            <w:vAlign w:val="center"/>
          </w:tcPr>
          <w:p w14:paraId="38A53D57" w14:textId="77777777" w:rsidR="0079308B" w:rsidRPr="00092862" w:rsidRDefault="0079308B" w:rsidP="003F1F64">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本工程内容</w:t>
            </w:r>
          </w:p>
        </w:tc>
        <w:tc>
          <w:tcPr>
            <w:tcW w:w="630" w:type="pct"/>
            <w:vAlign w:val="center"/>
          </w:tcPr>
          <w:p w14:paraId="362F10B7" w14:textId="77777777" w:rsidR="0079308B" w:rsidRPr="00092862" w:rsidRDefault="0079308B" w:rsidP="003F1F64">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符合性分析</w:t>
            </w:r>
          </w:p>
        </w:tc>
      </w:tr>
      <w:tr w:rsidR="00697429" w:rsidRPr="00092862" w14:paraId="6760A82E" w14:textId="77777777" w:rsidTr="0079308B">
        <w:trPr>
          <w:jc w:val="center"/>
        </w:trPr>
        <w:tc>
          <w:tcPr>
            <w:tcW w:w="319" w:type="pct"/>
            <w:vAlign w:val="center"/>
          </w:tcPr>
          <w:p w14:paraId="2DB11027" w14:textId="580F657B"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w:t>
            </w:r>
            <w:r w:rsidR="00083515" w:rsidRPr="00092862">
              <w:rPr>
                <w:rFonts w:ascii="Times New Roman" w:eastAsia="宋体" w:hAnsi="Times New Roman" w:cs="Times New Roman"/>
                <w:color w:val="000000" w:themeColor="text1"/>
                <w:szCs w:val="21"/>
              </w:rPr>
              <w:t>五</w:t>
            </w:r>
            <w:r w:rsidRPr="00092862">
              <w:rPr>
                <w:rFonts w:ascii="Times New Roman" w:eastAsia="宋体" w:hAnsi="Times New Roman" w:cs="Times New Roman"/>
                <w:color w:val="000000" w:themeColor="text1"/>
                <w:szCs w:val="21"/>
              </w:rPr>
              <w:t>条</w:t>
            </w:r>
          </w:p>
        </w:tc>
        <w:tc>
          <w:tcPr>
            <w:tcW w:w="3026" w:type="pct"/>
            <w:vAlign w:val="center"/>
          </w:tcPr>
          <w:p w14:paraId="7CC56562" w14:textId="6E241AE9"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禁止新建、改建和扩建</w:t>
            </w:r>
            <w:r w:rsidR="00083515" w:rsidRPr="00092862">
              <w:rPr>
                <w:rFonts w:ascii="Times New Roman" w:eastAsia="宋体" w:hAnsi="Times New Roman" w:cs="Times New Roman"/>
                <w:color w:val="000000" w:themeColor="text1"/>
                <w:szCs w:val="21"/>
              </w:rPr>
              <w:t>不符合全国港口布局规划，以及</w:t>
            </w:r>
            <w:r w:rsidRPr="00092862">
              <w:rPr>
                <w:rFonts w:ascii="Times New Roman" w:eastAsia="宋体" w:hAnsi="Times New Roman" w:cs="Times New Roman"/>
                <w:color w:val="000000" w:themeColor="text1"/>
                <w:szCs w:val="21"/>
              </w:rPr>
              <w:t>《四川省内河水运发展规划》、《泸州</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宜宾</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乐山港口群布局规划》</w:t>
            </w:r>
            <w:r w:rsidR="00083515" w:rsidRPr="00092862">
              <w:rPr>
                <w:rFonts w:ascii="Times New Roman" w:eastAsia="宋体" w:hAnsi="Times New Roman" w:cs="Times New Roman"/>
                <w:color w:val="000000" w:themeColor="text1"/>
                <w:szCs w:val="21"/>
              </w:rPr>
              <w:t>、《重庆港总体规划（</w:t>
            </w:r>
            <w:r w:rsidR="00083515" w:rsidRPr="00092862">
              <w:rPr>
                <w:rFonts w:ascii="Times New Roman" w:eastAsia="宋体" w:hAnsi="Times New Roman" w:cs="Times New Roman"/>
                <w:color w:val="000000" w:themeColor="text1"/>
                <w:szCs w:val="21"/>
              </w:rPr>
              <w:t>2035</w:t>
            </w:r>
            <w:r w:rsidR="00083515" w:rsidRPr="00092862">
              <w:rPr>
                <w:rFonts w:ascii="Times New Roman" w:eastAsia="宋体" w:hAnsi="Times New Roman" w:cs="Times New Roman"/>
                <w:color w:val="000000" w:themeColor="text1"/>
                <w:szCs w:val="21"/>
              </w:rPr>
              <w:t>年）》</w:t>
            </w:r>
            <w:r w:rsidRPr="00092862">
              <w:rPr>
                <w:rFonts w:ascii="Times New Roman" w:eastAsia="宋体" w:hAnsi="Times New Roman" w:cs="Times New Roman"/>
                <w:color w:val="000000" w:themeColor="text1"/>
                <w:szCs w:val="21"/>
              </w:rPr>
              <w:t>等省级港口布局规划及</w:t>
            </w:r>
            <w:r w:rsidR="00083515" w:rsidRPr="00092862">
              <w:rPr>
                <w:rFonts w:ascii="Times New Roman" w:eastAsia="宋体" w:hAnsi="Times New Roman" w:cs="Times New Roman"/>
                <w:color w:val="000000" w:themeColor="text1"/>
                <w:szCs w:val="21"/>
              </w:rPr>
              <w:t>市级</w:t>
            </w:r>
            <w:r w:rsidRPr="00092862">
              <w:rPr>
                <w:rFonts w:ascii="Times New Roman" w:eastAsia="宋体" w:hAnsi="Times New Roman" w:cs="Times New Roman"/>
                <w:color w:val="000000" w:themeColor="text1"/>
                <w:szCs w:val="21"/>
              </w:rPr>
              <w:t>港口总体规划的码头项目。</w:t>
            </w:r>
          </w:p>
        </w:tc>
        <w:tc>
          <w:tcPr>
            <w:tcW w:w="1025" w:type="pct"/>
            <w:vAlign w:val="center"/>
          </w:tcPr>
          <w:p w14:paraId="3BCF49CD"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本工程不属于该类项目。</w:t>
            </w:r>
          </w:p>
        </w:tc>
        <w:tc>
          <w:tcPr>
            <w:tcW w:w="630" w:type="pct"/>
            <w:vAlign w:val="center"/>
          </w:tcPr>
          <w:p w14:paraId="1A4F1837"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578C936" w14:textId="77777777" w:rsidTr="0079308B">
        <w:trPr>
          <w:jc w:val="center"/>
        </w:trPr>
        <w:tc>
          <w:tcPr>
            <w:tcW w:w="319" w:type="pct"/>
            <w:vAlign w:val="center"/>
          </w:tcPr>
          <w:p w14:paraId="0220E161" w14:textId="205FFCA2"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w:t>
            </w:r>
            <w:r w:rsidR="00083515" w:rsidRPr="00092862">
              <w:rPr>
                <w:rFonts w:ascii="Times New Roman" w:eastAsia="宋体" w:hAnsi="Times New Roman" w:cs="Times New Roman"/>
                <w:color w:val="000000" w:themeColor="text1"/>
                <w:szCs w:val="21"/>
              </w:rPr>
              <w:t>六</w:t>
            </w:r>
            <w:r w:rsidRPr="00092862">
              <w:rPr>
                <w:rFonts w:ascii="Times New Roman" w:eastAsia="宋体" w:hAnsi="Times New Roman" w:cs="Times New Roman"/>
                <w:color w:val="000000" w:themeColor="text1"/>
                <w:szCs w:val="21"/>
              </w:rPr>
              <w:t>条</w:t>
            </w:r>
          </w:p>
        </w:tc>
        <w:tc>
          <w:tcPr>
            <w:tcW w:w="3026" w:type="pct"/>
            <w:vAlign w:val="center"/>
          </w:tcPr>
          <w:p w14:paraId="4272F299" w14:textId="306C624B"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禁止新建、改建和扩建不符合《长江干线过江通道布局规划》的过长江通道项目（含桥梁、隧道）</w:t>
            </w:r>
            <w:r w:rsidR="00083515" w:rsidRPr="00092862">
              <w:rPr>
                <w:rFonts w:ascii="Times New Roman" w:eastAsia="宋体" w:hAnsi="Times New Roman" w:cs="Times New Roman"/>
                <w:color w:val="000000" w:themeColor="text1"/>
                <w:szCs w:val="21"/>
              </w:rPr>
              <w:t>，国家发展改革委同意过长江通道线位调整的除外</w:t>
            </w:r>
            <w:r w:rsidRPr="00092862">
              <w:rPr>
                <w:rFonts w:ascii="Times New Roman" w:eastAsia="宋体" w:hAnsi="Times New Roman" w:cs="Times New Roman"/>
                <w:color w:val="000000" w:themeColor="text1"/>
                <w:szCs w:val="21"/>
              </w:rPr>
              <w:t>。</w:t>
            </w:r>
          </w:p>
        </w:tc>
        <w:tc>
          <w:tcPr>
            <w:tcW w:w="1025" w:type="pct"/>
            <w:vAlign w:val="center"/>
          </w:tcPr>
          <w:p w14:paraId="4ED19F71"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本工程不属于该类项目。</w:t>
            </w:r>
          </w:p>
        </w:tc>
        <w:tc>
          <w:tcPr>
            <w:tcW w:w="630" w:type="pct"/>
            <w:vAlign w:val="center"/>
          </w:tcPr>
          <w:p w14:paraId="5ADE83F2"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4146124" w14:textId="77777777" w:rsidTr="0079308B">
        <w:trPr>
          <w:jc w:val="center"/>
        </w:trPr>
        <w:tc>
          <w:tcPr>
            <w:tcW w:w="319" w:type="pct"/>
            <w:vAlign w:val="center"/>
          </w:tcPr>
          <w:p w14:paraId="25CBDE7B" w14:textId="16D039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w:t>
            </w:r>
            <w:r w:rsidR="00083515" w:rsidRPr="00092862">
              <w:rPr>
                <w:rFonts w:ascii="Times New Roman" w:eastAsia="宋体" w:hAnsi="Times New Roman" w:cs="Times New Roman"/>
                <w:color w:val="000000" w:themeColor="text1"/>
                <w:szCs w:val="21"/>
              </w:rPr>
              <w:t>七</w:t>
            </w:r>
            <w:r w:rsidRPr="00092862">
              <w:rPr>
                <w:rFonts w:ascii="Times New Roman" w:eastAsia="宋体" w:hAnsi="Times New Roman" w:cs="Times New Roman"/>
                <w:color w:val="000000" w:themeColor="text1"/>
                <w:szCs w:val="21"/>
              </w:rPr>
              <w:t>条</w:t>
            </w:r>
          </w:p>
        </w:tc>
        <w:tc>
          <w:tcPr>
            <w:tcW w:w="3026" w:type="pct"/>
            <w:vAlign w:val="center"/>
          </w:tcPr>
          <w:p w14:paraId="1922E190" w14:textId="635857FA"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禁止在自然保护区核心区、缓冲区的岸线和河段范围内投资建设旅游和生产经营项目。</w:t>
            </w:r>
            <w:r w:rsidR="00083515" w:rsidRPr="00092862">
              <w:rPr>
                <w:rFonts w:ascii="Times New Roman" w:eastAsia="宋体" w:hAnsi="Times New Roman" w:cs="Times New Roman"/>
                <w:color w:val="000000" w:themeColor="text1"/>
                <w:szCs w:val="21"/>
              </w:rPr>
              <w:t>自然保护区内部未分区的，依照核心区和缓冲区的规定管控</w:t>
            </w:r>
            <w:r w:rsidRPr="00092862">
              <w:rPr>
                <w:rFonts w:ascii="Times New Roman" w:eastAsia="宋体" w:hAnsi="Times New Roman" w:cs="Times New Roman"/>
                <w:color w:val="000000" w:themeColor="text1"/>
                <w:szCs w:val="21"/>
              </w:rPr>
              <w:t>。</w:t>
            </w:r>
          </w:p>
        </w:tc>
        <w:tc>
          <w:tcPr>
            <w:tcW w:w="1025" w:type="pct"/>
            <w:vAlign w:val="center"/>
          </w:tcPr>
          <w:p w14:paraId="6A3412B9"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本工程不在当地自然保护区范围内。</w:t>
            </w:r>
          </w:p>
        </w:tc>
        <w:tc>
          <w:tcPr>
            <w:tcW w:w="630" w:type="pct"/>
            <w:vAlign w:val="center"/>
          </w:tcPr>
          <w:p w14:paraId="6ABF32FF"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612A2AA" w14:textId="77777777" w:rsidTr="0079308B">
        <w:trPr>
          <w:jc w:val="center"/>
        </w:trPr>
        <w:tc>
          <w:tcPr>
            <w:tcW w:w="319" w:type="pct"/>
            <w:vAlign w:val="center"/>
          </w:tcPr>
          <w:p w14:paraId="5CDF6942" w14:textId="29098E88"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w:t>
            </w:r>
            <w:r w:rsidR="00083515" w:rsidRPr="00092862">
              <w:rPr>
                <w:rFonts w:ascii="Times New Roman" w:eastAsia="宋体" w:hAnsi="Times New Roman" w:cs="Times New Roman"/>
                <w:color w:val="000000" w:themeColor="text1"/>
                <w:szCs w:val="21"/>
              </w:rPr>
              <w:t>八</w:t>
            </w:r>
            <w:r w:rsidRPr="00092862">
              <w:rPr>
                <w:rFonts w:ascii="Times New Roman" w:eastAsia="宋体" w:hAnsi="Times New Roman" w:cs="Times New Roman"/>
                <w:color w:val="000000" w:themeColor="text1"/>
                <w:szCs w:val="21"/>
              </w:rPr>
              <w:t>条</w:t>
            </w:r>
          </w:p>
        </w:tc>
        <w:tc>
          <w:tcPr>
            <w:tcW w:w="3026" w:type="pct"/>
            <w:vAlign w:val="center"/>
          </w:tcPr>
          <w:p w14:paraId="01D5F840" w14:textId="6EADAEED"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禁止违反风景名胜区规划，在风景名胜区内设立各类开发区；禁止在风景名胜区核心景区的岸线和河段范围内建设宾馆、招待所、培训中心、疗养院以及与风景名胜资源保护无关的其他建筑物。</w:t>
            </w:r>
          </w:p>
        </w:tc>
        <w:tc>
          <w:tcPr>
            <w:tcW w:w="1025" w:type="pct"/>
            <w:vAlign w:val="center"/>
          </w:tcPr>
          <w:p w14:paraId="08A1589D"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本工程不在当地风景名胜区范围内。</w:t>
            </w:r>
          </w:p>
        </w:tc>
        <w:tc>
          <w:tcPr>
            <w:tcW w:w="630" w:type="pct"/>
            <w:vAlign w:val="center"/>
          </w:tcPr>
          <w:p w14:paraId="30D13CB4"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23FB26F" w14:textId="77777777" w:rsidTr="0079308B">
        <w:trPr>
          <w:jc w:val="center"/>
        </w:trPr>
        <w:tc>
          <w:tcPr>
            <w:tcW w:w="319" w:type="pct"/>
            <w:vAlign w:val="center"/>
          </w:tcPr>
          <w:p w14:paraId="73F74A2E" w14:textId="23C13782" w:rsidR="0079308B" w:rsidRPr="00092862" w:rsidRDefault="00083515"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第九条、第</w:t>
            </w:r>
            <w:r w:rsidR="0079308B" w:rsidRPr="00092862">
              <w:rPr>
                <w:rFonts w:ascii="Times New Roman" w:eastAsia="宋体" w:hAnsi="Times New Roman" w:cs="Times New Roman"/>
                <w:color w:val="000000" w:themeColor="text1"/>
                <w:szCs w:val="21"/>
              </w:rPr>
              <w:t>十条、</w:t>
            </w:r>
            <w:r w:rsidR="0079308B" w:rsidRPr="00092862">
              <w:rPr>
                <w:rFonts w:ascii="Times New Roman" w:eastAsia="宋体" w:hAnsi="Times New Roman" w:cs="Times New Roman"/>
                <w:color w:val="000000" w:themeColor="text1"/>
                <w:szCs w:val="21"/>
              </w:rPr>
              <w:lastRenderedPageBreak/>
              <w:t>第十一条</w:t>
            </w:r>
          </w:p>
        </w:tc>
        <w:tc>
          <w:tcPr>
            <w:tcW w:w="3026" w:type="pct"/>
            <w:vAlign w:val="center"/>
          </w:tcPr>
          <w:p w14:paraId="7C85C9A8" w14:textId="77777777" w:rsidR="00083515" w:rsidRPr="00092862" w:rsidRDefault="0079308B" w:rsidP="00083515">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禁止在饮用水水源准保护区的岸线和河段范围内新建、扩建对水体污染严重的建设项目</w:t>
            </w:r>
            <w:r w:rsidR="00083515" w:rsidRPr="00092862">
              <w:rPr>
                <w:rFonts w:ascii="Times New Roman" w:eastAsia="宋体" w:hAnsi="Times New Roman" w:cs="Times New Roman"/>
                <w:color w:val="000000" w:themeColor="text1"/>
                <w:szCs w:val="21"/>
              </w:rPr>
              <w:t>，禁止改建增加排污量的建设项目。</w:t>
            </w:r>
          </w:p>
          <w:p w14:paraId="512EC7D6" w14:textId="7E30B5B6" w:rsidR="009A399D" w:rsidRPr="00092862" w:rsidRDefault="0079308B" w:rsidP="00083515">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饮用水水源二级保护区的岸线和河段范围内，除遵守</w:t>
            </w:r>
            <w:r w:rsidRPr="00092862">
              <w:rPr>
                <w:rFonts w:ascii="Times New Roman" w:eastAsia="宋体" w:hAnsi="Times New Roman" w:cs="Times New Roman"/>
                <w:color w:val="000000" w:themeColor="text1"/>
                <w:szCs w:val="21"/>
              </w:rPr>
              <w:lastRenderedPageBreak/>
              <w:t>准保护区规定外，禁止新建、改建、扩建排放污染物的</w:t>
            </w:r>
            <w:r w:rsidR="009A399D" w:rsidRPr="00092862">
              <w:rPr>
                <w:rFonts w:ascii="Times New Roman" w:eastAsia="宋体" w:hAnsi="Times New Roman" w:cs="Times New Roman"/>
                <w:color w:val="000000" w:themeColor="text1"/>
                <w:szCs w:val="21"/>
              </w:rPr>
              <w:t>投资</w:t>
            </w:r>
            <w:r w:rsidRPr="00092862">
              <w:rPr>
                <w:rFonts w:ascii="Times New Roman" w:eastAsia="宋体" w:hAnsi="Times New Roman" w:cs="Times New Roman"/>
                <w:color w:val="000000" w:themeColor="text1"/>
                <w:szCs w:val="21"/>
              </w:rPr>
              <w:t>建设项目；禁止从事</w:t>
            </w:r>
            <w:r w:rsidR="009A399D" w:rsidRPr="00092862">
              <w:rPr>
                <w:rFonts w:ascii="Times New Roman" w:eastAsia="宋体" w:hAnsi="Times New Roman" w:cs="Times New Roman"/>
                <w:color w:val="000000" w:themeColor="text1"/>
                <w:szCs w:val="21"/>
              </w:rPr>
              <w:t>对水体有污染的水产养殖活动。</w:t>
            </w:r>
          </w:p>
          <w:p w14:paraId="37A88C60" w14:textId="51770A31" w:rsidR="0079308B" w:rsidRPr="00092862" w:rsidRDefault="0079308B" w:rsidP="00083515">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饮用水水源一级保护区的岸线和河段范围内，除遵守二级保护区规定外，禁止新建、改建、扩建与供水设施和保护水源无关的项目，以及网箱养殖</w:t>
            </w:r>
            <w:r w:rsidR="009A399D" w:rsidRPr="00092862">
              <w:rPr>
                <w:rFonts w:ascii="Times New Roman" w:eastAsia="宋体" w:hAnsi="Times New Roman" w:cs="Times New Roman"/>
                <w:color w:val="000000" w:themeColor="text1"/>
                <w:szCs w:val="21"/>
              </w:rPr>
              <w:t>、畜禽养殖</w:t>
            </w:r>
            <w:r w:rsidRPr="00092862">
              <w:rPr>
                <w:rFonts w:ascii="Times New Roman" w:eastAsia="宋体" w:hAnsi="Times New Roman" w:cs="Times New Roman"/>
                <w:color w:val="000000" w:themeColor="text1"/>
                <w:szCs w:val="21"/>
              </w:rPr>
              <w:t>、旅游等可能污染饮用水水体的投资建设项目。</w:t>
            </w:r>
          </w:p>
        </w:tc>
        <w:tc>
          <w:tcPr>
            <w:tcW w:w="1025" w:type="pct"/>
            <w:vAlign w:val="center"/>
          </w:tcPr>
          <w:p w14:paraId="581E21B4"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本工程不在当地集中式饮用水源保护区范围内。</w:t>
            </w:r>
          </w:p>
        </w:tc>
        <w:tc>
          <w:tcPr>
            <w:tcW w:w="630" w:type="pct"/>
            <w:vAlign w:val="center"/>
          </w:tcPr>
          <w:p w14:paraId="16FFE6A3"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7E1BC31" w14:textId="77777777" w:rsidTr="0079308B">
        <w:trPr>
          <w:jc w:val="center"/>
        </w:trPr>
        <w:tc>
          <w:tcPr>
            <w:tcW w:w="319" w:type="pct"/>
            <w:vAlign w:val="center"/>
          </w:tcPr>
          <w:p w14:paraId="10AD4782" w14:textId="720A4A45"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w:t>
            </w:r>
            <w:r w:rsidR="009A399D" w:rsidRPr="00092862">
              <w:rPr>
                <w:rFonts w:ascii="Times New Roman" w:eastAsia="宋体" w:hAnsi="Times New Roman" w:cs="Times New Roman"/>
                <w:color w:val="000000" w:themeColor="text1"/>
                <w:szCs w:val="21"/>
              </w:rPr>
              <w:t>二</w:t>
            </w:r>
            <w:r w:rsidRPr="00092862">
              <w:rPr>
                <w:rFonts w:ascii="Times New Roman" w:eastAsia="宋体" w:hAnsi="Times New Roman" w:cs="Times New Roman"/>
                <w:color w:val="000000" w:themeColor="text1"/>
                <w:szCs w:val="21"/>
              </w:rPr>
              <w:t>条</w:t>
            </w:r>
          </w:p>
        </w:tc>
        <w:tc>
          <w:tcPr>
            <w:tcW w:w="3026" w:type="pct"/>
            <w:vAlign w:val="center"/>
          </w:tcPr>
          <w:p w14:paraId="629D1161" w14:textId="260F3BA0"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禁止在水产种质资源保护区的岸线和河段范围内新建围湖造田、围湖造地</w:t>
            </w:r>
            <w:r w:rsidR="009A399D" w:rsidRPr="00092862">
              <w:rPr>
                <w:rFonts w:ascii="Times New Roman" w:eastAsia="宋体" w:hAnsi="Times New Roman" w:cs="Times New Roman"/>
                <w:color w:val="000000" w:themeColor="text1"/>
                <w:szCs w:val="21"/>
              </w:rPr>
              <w:t>或</w:t>
            </w:r>
            <w:r w:rsidRPr="00092862">
              <w:rPr>
                <w:rFonts w:ascii="Times New Roman" w:eastAsia="宋体" w:hAnsi="Times New Roman" w:cs="Times New Roman"/>
                <w:color w:val="000000" w:themeColor="text1"/>
                <w:szCs w:val="21"/>
              </w:rPr>
              <w:t>挖沙采石</w:t>
            </w:r>
            <w:r w:rsidR="009A399D" w:rsidRPr="00092862">
              <w:rPr>
                <w:rFonts w:ascii="Times New Roman" w:eastAsia="宋体" w:hAnsi="Times New Roman" w:cs="Times New Roman"/>
                <w:color w:val="000000" w:themeColor="text1"/>
                <w:szCs w:val="21"/>
              </w:rPr>
              <w:t>等投资建设项目</w:t>
            </w:r>
            <w:r w:rsidRPr="00092862">
              <w:rPr>
                <w:rFonts w:ascii="Times New Roman" w:eastAsia="宋体" w:hAnsi="Times New Roman" w:cs="Times New Roman"/>
                <w:color w:val="000000" w:themeColor="text1"/>
                <w:szCs w:val="21"/>
              </w:rPr>
              <w:t>。</w:t>
            </w:r>
          </w:p>
        </w:tc>
        <w:tc>
          <w:tcPr>
            <w:tcW w:w="1025" w:type="pct"/>
            <w:vAlign w:val="center"/>
          </w:tcPr>
          <w:p w14:paraId="3EB09732"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本工程不在当地水产种质资源保护区范围内。</w:t>
            </w:r>
          </w:p>
        </w:tc>
        <w:tc>
          <w:tcPr>
            <w:tcW w:w="630" w:type="pct"/>
            <w:vAlign w:val="center"/>
          </w:tcPr>
          <w:p w14:paraId="17A534A7"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3B356BF" w14:textId="77777777" w:rsidTr="0079308B">
        <w:trPr>
          <w:jc w:val="center"/>
        </w:trPr>
        <w:tc>
          <w:tcPr>
            <w:tcW w:w="319" w:type="pct"/>
            <w:vAlign w:val="center"/>
          </w:tcPr>
          <w:p w14:paraId="69FD6F40" w14:textId="114F7319"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w:t>
            </w:r>
            <w:r w:rsidR="009A399D" w:rsidRPr="00092862">
              <w:rPr>
                <w:rFonts w:ascii="Times New Roman" w:eastAsia="宋体" w:hAnsi="Times New Roman" w:cs="Times New Roman"/>
                <w:color w:val="000000" w:themeColor="text1"/>
                <w:szCs w:val="21"/>
              </w:rPr>
              <w:t>三</w:t>
            </w:r>
            <w:r w:rsidRPr="00092862">
              <w:rPr>
                <w:rFonts w:ascii="Times New Roman" w:eastAsia="宋体" w:hAnsi="Times New Roman" w:cs="Times New Roman"/>
                <w:color w:val="000000" w:themeColor="text1"/>
                <w:szCs w:val="21"/>
              </w:rPr>
              <w:t>条</w:t>
            </w:r>
          </w:p>
        </w:tc>
        <w:tc>
          <w:tcPr>
            <w:tcW w:w="3026" w:type="pct"/>
            <w:vAlign w:val="center"/>
          </w:tcPr>
          <w:p w14:paraId="3AA1E715" w14:textId="70F90A75"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025" w:type="pct"/>
            <w:vAlign w:val="center"/>
          </w:tcPr>
          <w:p w14:paraId="702ADBA1"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本工程不涉及当地湿地公园。</w:t>
            </w:r>
          </w:p>
        </w:tc>
        <w:tc>
          <w:tcPr>
            <w:tcW w:w="630" w:type="pct"/>
            <w:vAlign w:val="center"/>
          </w:tcPr>
          <w:p w14:paraId="3738A8DF"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F31EEB2" w14:textId="77777777" w:rsidTr="0079308B">
        <w:trPr>
          <w:jc w:val="center"/>
        </w:trPr>
        <w:tc>
          <w:tcPr>
            <w:tcW w:w="319" w:type="pct"/>
            <w:vAlign w:val="center"/>
          </w:tcPr>
          <w:p w14:paraId="5587F0C5" w14:textId="0AF5CB32" w:rsidR="009A399D" w:rsidRPr="00092862" w:rsidRDefault="009A399D"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第十四条</w:t>
            </w:r>
          </w:p>
        </w:tc>
        <w:tc>
          <w:tcPr>
            <w:tcW w:w="3026" w:type="pct"/>
            <w:vAlign w:val="center"/>
          </w:tcPr>
          <w:p w14:paraId="5B2C8BBC" w14:textId="2E8F9A3C" w:rsidR="009A399D" w:rsidRPr="00092862" w:rsidRDefault="009A399D"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四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025" w:type="pct"/>
            <w:vAlign w:val="center"/>
          </w:tcPr>
          <w:p w14:paraId="56F980CA" w14:textId="51408B01" w:rsidR="009A399D" w:rsidRPr="00092862" w:rsidRDefault="009A399D"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本工程不在《长江岸线保护和开发利用总体规划》划定的岸线保护区范围内。</w:t>
            </w:r>
          </w:p>
        </w:tc>
        <w:tc>
          <w:tcPr>
            <w:tcW w:w="630" w:type="pct"/>
            <w:vAlign w:val="center"/>
          </w:tcPr>
          <w:p w14:paraId="3CCEA8E3" w14:textId="3790F270" w:rsidR="009A399D" w:rsidRPr="00092862" w:rsidRDefault="009A399D"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5C9A20A" w14:textId="77777777" w:rsidTr="0079308B">
        <w:trPr>
          <w:jc w:val="center"/>
        </w:trPr>
        <w:tc>
          <w:tcPr>
            <w:tcW w:w="319" w:type="pct"/>
            <w:vAlign w:val="center"/>
          </w:tcPr>
          <w:p w14:paraId="03720801" w14:textId="162AD3BF"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第十五条</w:t>
            </w:r>
          </w:p>
        </w:tc>
        <w:tc>
          <w:tcPr>
            <w:tcW w:w="3026" w:type="pct"/>
            <w:vAlign w:val="center"/>
          </w:tcPr>
          <w:p w14:paraId="48A9B7F3" w14:textId="0FB78E75"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禁止在《全国重要江河湖泊水功能区划》划定的河段及湖泊保护区、保留区内投资建设不利于水资源及自然生态保护的项目。</w:t>
            </w:r>
          </w:p>
        </w:tc>
        <w:tc>
          <w:tcPr>
            <w:tcW w:w="1025" w:type="pct"/>
            <w:vAlign w:val="center"/>
          </w:tcPr>
          <w:p w14:paraId="3202B7D9" w14:textId="1E2A35B2"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本工程不在《全国重要江河湖泊水功能区划》划定的河段保护区、保留区范围内。</w:t>
            </w:r>
          </w:p>
        </w:tc>
        <w:tc>
          <w:tcPr>
            <w:tcW w:w="630" w:type="pct"/>
            <w:vAlign w:val="center"/>
          </w:tcPr>
          <w:p w14:paraId="2D53E01E" w14:textId="545AA868"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B1C4C80" w14:textId="77777777" w:rsidTr="0079308B">
        <w:trPr>
          <w:jc w:val="center"/>
        </w:trPr>
        <w:tc>
          <w:tcPr>
            <w:tcW w:w="319" w:type="pct"/>
            <w:vAlign w:val="center"/>
          </w:tcPr>
          <w:p w14:paraId="1B046828" w14:textId="1A0338EC"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第十六条</w:t>
            </w:r>
          </w:p>
        </w:tc>
        <w:tc>
          <w:tcPr>
            <w:tcW w:w="3026" w:type="pct"/>
            <w:vAlign w:val="center"/>
          </w:tcPr>
          <w:p w14:paraId="131C913D" w14:textId="305723C0"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禁止在长江流域江河、湖泊新设、改设或者扩大排污口，经有管辖权的生态环境主管部门或者长江流域生态环境监督管理机构同意的除外。</w:t>
            </w:r>
          </w:p>
        </w:tc>
        <w:tc>
          <w:tcPr>
            <w:tcW w:w="1025" w:type="pct"/>
            <w:vAlign w:val="center"/>
          </w:tcPr>
          <w:p w14:paraId="49FC884F" w14:textId="582203F7"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w:t>
            </w:r>
            <w:r w:rsidR="00A7499F" w:rsidRPr="00092862">
              <w:rPr>
                <w:rFonts w:ascii="Times New Roman" w:eastAsia="宋体" w:hAnsi="Times New Roman" w:cs="Times New Roman"/>
                <w:color w:val="000000" w:themeColor="text1"/>
                <w:szCs w:val="21"/>
              </w:rPr>
              <w:t>工程</w:t>
            </w:r>
            <w:r w:rsidRPr="00092862">
              <w:rPr>
                <w:rFonts w:ascii="Times New Roman" w:eastAsia="宋体" w:hAnsi="Times New Roman" w:cs="Times New Roman"/>
                <w:color w:val="000000" w:themeColor="text1"/>
                <w:szCs w:val="21"/>
              </w:rPr>
              <w:t>不涉及排污口。</w:t>
            </w:r>
          </w:p>
        </w:tc>
        <w:tc>
          <w:tcPr>
            <w:tcW w:w="630" w:type="pct"/>
            <w:vAlign w:val="center"/>
          </w:tcPr>
          <w:p w14:paraId="78060C8C" w14:textId="622F633E" w:rsidR="009A399D" w:rsidRPr="00092862" w:rsidRDefault="009A399D" w:rsidP="009A399D">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1B0B27A" w14:textId="77777777" w:rsidTr="0079308B">
        <w:trPr>
          <w:jc w:val="center"/>
        </w:trPr>
        <w:tc>
          <w:tcPr>
            <w:tcW w:w="319" w:type="pct"/>
            <w:vAlign w:val="center"/>
          </w:tcPr>
          <w:p w14:paraId="621387CB" w14:textId="6A6D7556"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w:t>
            </w:r>
            <w:r w:rsidR="009A399D" w:rsidRPr="00092862">
              <w:rPr>
                <w:rFonts w:ascii="Times New Roman" w:eastAsia="宋体" w:hAnsi="Times New Roman" w:cs="Times New Roman"/>
                <w:color w:val="000000" w:themeColor="text1"/>
                <w:szCs w:val="21"/>
              </w:rPr>
              <w:t>七</w:t>
            </w:r>
            <w:r w:rsidRPr="00092862">
              <w:rPr>
                <w:rFonts w:ascii="Times New Roman" w:eastAsia="宋体" w:hAnsi="Times New Roman" w:cs="Times New Roman"/>
                <w:color w:val="000000" w:themeColor="text1"/>
                <w:szCs w:val="21"/>
              </w:rPr>
              <w:t>条</w:t>
            </w:r>
          </w:p>
        </w:tc>
        <w:tc>
          <w:tcPr>
            <w:tcW w:w="3026" w:type="pct"/>
            <w:vAlign w:val="center"/>
          </w:tcPr>
          <w:p w14:paraId="224D6F9C" w14:textId="5F1E99CB" w:rsidR="0079308B"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禁止在长江干流、大渡河、岷江、赤水河、沱江、嘉陵江、乌江、汉江和</w:t>
            </w:r>
            <w:r w:rsidRPr="00092862">
              <w:rPr>
                <w:rFonts w:ascii="Times New Roman" w:eastAsia="宋体" w:hAnsi="Times New Roman" w:cs="Times New Roman"/>
                <w:color w:val="000000" w:themeColor="text1"/>
                <w:szCs w:val="21"/>
              </w:rPr>
              <w:t>51</w:t>
            </w:r>
            <w:r w:rsidRPr="00092862">
              <w:rPr>
                <w:rFonts w:ascii="Times New Roman" w:eastAsia="宋体" w:hAnsi="Times New Roman" w:cs="Times New Roman"/>
                <w:color w:val="000000" w:themeColor="text1"/>
                <w:szCs w:val="21"/>
              </w:rPr>
              <w:t>个（四川省</w:t>
            </w:r>
            <w:r w:rsidRPr="00092862">
              <w:rPr>
                <w:rFonts w:ascii="Times New Roman" w:eastAsia="宋体" w:hAnsi="Times New Roman" w:cs="Times New Roman"/>
                <w:color w:val="000000" w:themeColor="text1"/>
                <w:szCs w:val="21"/>
              </w:rPr>
              <w:t>45</w:t>
            </w:r>
            <w:r w:rsidRPr="00092862">
              <w:rPr>
                <w:rFonts w:ascii="Times New Roman" w:eastAsia="宋体" w:hAnsi="Times New Roman" w:cs="Times New Roman"/>
                <w:color w:val="000000" w:themeColor="text1"/>
                <w:szCs w:val="21"/>
              </w:rPr>
              <w:t>个、重庆市</w:t>
            </w: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个）水生生物保护区开展生产性捕捞。</w:t>
            </w:r>
          </w:p>
        </w:tc>
        <w:tc>
          <w:tcPr>
            <w:tcW w:w="1025" w:type="pct"/>
            <w:vAlign w:val="center"/>
          </w:tcPr>
          <w:p w14:paraId="0FBF66A0" w14:textId="2F670AC1" w:rsidR="0079308B"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本工程不涉及捕捞，不涉及水域施工。</w:t>
            </w:r>
          </w:p>
        </w:tc>
        <w:tc>
          <w:tcPr>
            <w:tcW w:w="630" w:type="pct"/>
            <w:vAlign w:val="center"/>
          </w:tcPr>
          <w:p w14:paraId="3CD0CF62"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10AA310" w14:textId="77777777" w:rsidTr="0079308B">
        <w:trPr>
          <w:jc w:val="center"/>
        </w:trPr>
        <w:tc>
          <w:tcPr>
            <w:tcW w:w="319" w:type="pct"/>
            <w:vAlign w:val="center"/>
          </w:tcPr>
          <w:p w14:paraId="62BBBDEC" w14:textId="77777777" w:rsidR="0079308B" w:rsidRPr="00092862" w:rsidRDefault="0079308B"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第十八条</w:t>
            </w:r>
          </w:p>
        </w:tc>
        <w:tc>
          <w:tcPr>
            <w:tcW w:w="3026" w:type="pct"/>
            <w:vAlign w:val="center"/>
          </w:tcPr>
          <w:p w14:paraId="5771EB23" w14:textId="212BB7E7" w:rsidR="0079308B"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禁止在长江干支流、重要湖泊岸线一公里范围内新建、扩建化工园区和化工项目。</w:t>
            </w:r>
          </w:p>
        </w:tc>
        <w:tc>
          <w:tcPr>
            <w:tcW w:w="1025" w:type="pct"/>
            <w:vAlign w:val="center"/>
          </w:tcPr>
          <w:p w14:paraId="485686D7" w14:textId="2F1DB168" w:rsidR="0079308B"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本工程不属于化工园区和化工项目。</w:t>
            </w:r>
          </w:p>
        </w:tc>
        <w:tc>
          <w:tcPr>
            <w:tcW w:w="630" w:type="pct"/>
            <w:vAlign w:val="center"/>
          </w:tcPr>
          <w:p w14:paraId="3A7FB9E0" w14:textId="0930C5B7" w:rsidR="0079308B"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54165A1" w14:textId="77777777" w:rsidTr="0079308B">
        <w:trPr>
          <w:jc w:val="center"/>
        </w:trPr>
        <w:tc>
          <w:tcPr>
            <w:tcW w:w="319" w:type="pct"/>
            <w:vAlign w:val="center"/>
          </w:tcPr>
          <w:p w14:paraId="3F78FCFB" w14:textId="437511CF"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第十九条</w:t>
            </w:r>
          </w:p>
        </w:tc>
        <w:tc>
          <w:tcPr>
            <w:tcW w:w="3026" w:type="pct"/>
            <w:vAlign w:val="center"/>
          </w:tcPr>
          <w:p w14:paraId="1F8DFB3B" w14:textId="04B1F8EA"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禁止在长江干流岸线三公里范围内和重要支流岸线一公里范围内新建、改建、扩建尾矿库、冶炼渣库、磷石膏库，以提升安全、生态环境保护水平为目的的改建除外。</w:t>
            </w:r>
          </w:p>
        </w:tc>
        <w:tc>
          <w:tcPr>
            <w:tcW w:w="1025" w:type="pct"/>
            <w:vAlign w:val="center"/>
          </w:tcPr>
          <w:p w14:paraId="24EBDC4E" w14:textId="744F195E"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本工程不属于尾矿库、冶炼渣库、磷石膏库项目。</w:t>
            </w:r>
          </w:p>
        </w:tc>
        <w:tc>
          <w:tcPr>
            <w:tcW w:w="630" w:type="pct"/>
            <w:vAlign w:val="center"/>
          </w:tcPr>
          <w:p w14:paraId="076F55F6" w14:textId="198D2249"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71D4348" w14:textId="77777777" w:rsidTr="0079308B">
        <w:trPr>
          <w:jc w:val="center"/>
        </w:trPr>
        <w:tc>
          <w:tcPr>
            <w:tcW w:w="319" w:type="pct"/>
            <w:vAlign w:val="center"/>
          </w:tcPr>
          <w:p w14:paraId="02E1038E" w14:textId="79397FEE"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第二十条</w:t>
            </w:r>
          </w:p>
        </w:tc>
        <w:tc>
          <w:tcPr>
            <w:tcW w:w="3026" w:type="pct"/>
            <w:vAlign w:val="center"/>
          </w:tcPr>
          <w:p w14:paraId="0D521E47" w14:textId="5B5223EF"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禁止在生态保护红线区域、永久基本农田集中区域和其他需要特别保护的区域内选址建设尾矿库﹑冶炼渣库、磷石膏库。</w:t>
            </w:r>
          </w:p>
        </w:tc>
        <w:tc>
          <w:tcPr>
            <w:tcW w:w="1025" w:type="pct"/>
            <w:vAlign w:val="center"/>
          </w:tcPr>
          <w:p w14:paraId="22604C69" w14:textId="0EBA6E00"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本工程不属于尾矿库、冶炼渣库、磷石膏库项目。</w:t>
            </w:r>
          </w:p>
        </w:tc>
        <w:tc>
          <w:tcPr>
            <w:tcW w:w="630" w:type="pct"/>
            <w:vAlign w:val="center"/>
          </w:tcPr>
          <w:p w14:paraId="63600E9B" w14:textId="0866C6F9"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81AD60B" w14:textId="77777777" w:rsidTr="0079308B">
        <w:trPr>
          <w:jc w:val="center"/>
        </w:trPr>
        <w:tc>
          <w:tcPr>
            <w:tcW w:w="319" w:type="pct"/>
            <w:vAlign w:val="center"/>
          </w:tcPr>
          <w:p w14:paraId="20D4CF90" w14:textId="3C1BB657"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第二十一条</w:t>
            </w:r>
          </w:p>
        </w:tc>
        <w:tc>
          <w:tcPr>
            <w:tcW w:w="3026" w:type="pct"/>
            <w:vAlign w:val="center"/>
          </w:tcPr>
          <w:p w14:paraId="1F2B8847" w14:textId="7824F018"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禁止在合规园区外新建、扩建钢铁、石化、化工、焦化、建材、有色、制浆造纸等高污染项目。</w:t>
            </w:r>
          </w:p>
        </w:tc>
        <w:tc>
          <w:tcPr>
            <w:tcW w:w="1025" w:type="pct"/>
            <w:vAlign w:val="center"/>
          </w:tcPr>
          <w:p w14:paraId="6417D1C6" w14:textId="1CB183E5"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本工程不属于钢铁、石化、化工、焦化、建材、有色、制浆造纸等高污染项目。</w:t>
            </w:r>
          </w:p>
        </w:tc>
        <w:tc>
          <w:tcPr>
            <w:tcW w:w="630" w:type="pct"/>
            <w:vAlign w:val="center"/>
          </w:tcPr>
          <w:p w14:paraId="00D78BCD" w14:textId="418E5FCE"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3492363" w14:textId="77777777" w:rsidTr="0079308B">
        <w:trPr>
          <w:jc w:val="center"/>
        </w:trPr>
        <w:tc>
          <w:tcPr>
            <w:tcW w:w="319" w:type="pct"/>
            <w:vAlign w:val="center"/>
          </w:tcPr>
          <w:p w14:paraId="38C4C7E9" w14:textId="2425CAE2"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第二十二条</w:t>
            </w:r>
          </w:p>
        </w:tc>
        <w:tc>
          <w:tcPr>
            <w:tcW w:w="3026" w:type="pct"/>
            <w:vAlign w:val="center"/>
          </w:tcPr>
          <w:p w14:paraId="70361939" w14:textId="49A0428C"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禁止新建、扩建不符合国家石化、现代煤化工等产业布局规划的项目。</w:t>
            </w:r>
          </w:p>
        </w:tc>
        <w:tc>
          <w:tcPr>
            <w:tcW w:w="1025" w:type="pct"/>
            <w:vAlign w:val="center"/>
          </w:tcPr>
          <w:p w14:paraId="667288E8" w14:textId="6FC1BBF7"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本工程符合国家产业规划。</w:t>
            </w:r>
          </w:p>
        </w:tc>
        <w:tc>
          <w:tcPr>
            <w:tcW w:w="630" w:type="pct"/>
            <w:vAlign w:val="center"/>
          </w:tcPr>
          <w:p w14:paraId="52FB0705" w14:textId="6C2C1F30"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F3AA397" w14:textId="77777777" w:rsidTr="0079308B">
        <w:trPr>
          <w:jc w:val="center"/>
        </w:trPr>
        <w:tc>
          <w:tcPr>
            <w:tcW w:w="319" w:type="pct"/>
            <w:vAlign w:val="center"/>
          </w:tcPr>
          <w:p w14:paraId="6BB89831" w14:textId="3694BA6E"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第二十三条</w:t>
            </w:r>
          </w:p>
        </w:tc>
        <w:tc>
          <w:tcPr>
            <w:tcW w:w="3026" w:type="pct"/>
            <w:vAlign w:val="center"/>
          </w:tcPr>
          <w:p w14:paraId="23B39241" w14:textId="3EFF2455"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025" w:type="pct"/>
            <w:vAlign w:val="center"/>
          </w:tcPr>
          <w:p w14:paraId="3AFE843B" w14:textId="1384F2A2"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本工程为鼓励类项目。</w:t>
            </w:r>
          </w:p>
        </w:tc>
        <w:tc>
          <w:tcPr>
            <w:tcW w:w="630" w:type="pct"/>
            <w:vAlign w:val="center"/>
          </w:tcPr>
          <w:p w14:paraId="5123A340" w14:textId="175AB4B4"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9985AB8" w14:textId="77777777" w:rsidTr="0079308B">
        <w:trPr>
          <w:jc w:val="center"/>
        </w:trPr>
        <w:tc>
          <w:tcPr>
            <w:tcW w:w="319" w:type="pct"/>
            <w:vAlign w:val="center"/>
          </w:tcPr>
          <w:p w14:paraId="1D6A9E75" w14:textId="5BEF5893"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第二十四条</w:t>
            </w:r>
          </w:p>
        </w:tc>
        <w:tc>
          <w:tcPr>
            <w:tcW w:w="3026" w:type="pct"/>
            <w:vAlign w:val="center"/>
          </w:tcPr>
          <w:p w14:paraId="1E4DB2B1" w14:textId="0825EA8E"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禁止新建、扩建不符合国家产能置换要求的严重过剩产能行业的项目。对于不符合国家产能置换要求的严重过剩产能行业，不得以其他任何名义、任何方式备案新增产能项目。</w:t>
            </w:r>
          </w:p>
        </w:tc>
        <w:tc>
          <w:tcPr>
            <w:tcW w:w="1025" w:type="pct"/>
            <w:vAlign w:val="center"/>
          </w:tcPr>
          <w:p w14:paraId="25CCEF05" w14:textId="34A020DD"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本工程不属于不符合国家产能置换要求的严重过剩产能行业的项目。</w:t>
            </w:r>
          </w:p>
        </w:tc>
        <w:tc>
          <w:tcPr>
            <w:tcW w:w="630" w:type="pct"/>
            <w:vAlign w:val="center"/>
          </w:tcPr>
          <w:p w14:paraId="41FA4791" w14:textId="36625C3A"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750D551" w14:textId="77777777" w:rsidTr="0079308B">
        <w:trPr>
          <w:jc w:val="center"/>
        </w:trPr>
        <w:tc>
          <w:tcPr>
            <w:tcW w:w="319" w:type="pct"/>
            <w:vAlign w:val="center"/>
          </w:tcPr>
          <w:p w14:paraId="5AD95A1E" w14:textId="1726B505"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第二十五条</w:t>
            </w:r>
          </w:p>
        </w:tc>
        <w:tc>
          <w:tcPr>
            <w:tcW w:w="3026" w:type="pct"/>
            <w:vAlign w:val="center"/>
          </w:tcPr>
          <w:p w14:paraId="5F63093D" w14:textId="573E8ABC"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禁止建设以下燃油汽车投资项目（不在中国境内销售产品的投资项目除外）。</w:t>
            </w:r>
          </w:p>
        </w:tc>
        <w:tc>
          <w:tcPr>
            <w:tcW w:w="1025" w:type="pct"/>
            <w:vAlign w:val="center"/>
          </w:tcPr>
          <w:p w14:paraId="756648EA" w14:textId="4DE3BB95"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本工程不属于燃油汽车投资项目。</w:t>
            </w:r>
          </w:p>
        </w:tc>
        <w:tc>
          <w:tcPr>
            <w:tcW w:w="630" w:type="pct"/>
            <w:vAlign w:val="center"/>
          </w:tcPr>
          <w:p w14:paraId="70083E74" w14:textId="0DD30D46"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091EBAD" w14:textId="77777777" w:rsidTr="0079308B">
        <w:trPr>
          <w:jc w:val="center"/>
        </w:trPr>
        <w:tc>
          <w:tcPr>
            <w:tcW w:w="319" w:type="pct"/>
            <w:vAlign w:val="center"/>
          </w:tcPr>
          <w:p w14:paraId="26F755C7" w14:textId="1F4F9F57"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第二十六条</w:t>
            </w:r>
          </w:p>
        </w:tc>
        <w:tc>
          <w:tcPr>
            <w:tcW w:w="3026" w:type="pct"/>
            <w:vAlign w:val="center"/>
          </w:tcPr>
          <w:p w14:paraId="79A2692A" w14:textId="72E03B4B"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禁止新建、扩建不符合要求的高耗能、高排放、低水平项目。</w:t>
            </w:r>
          </w:p>
        </w:tc>
        <w:tc>
          <w:tcPr>
            <w:tcW w:w="1025" w:type="pct"/>
            <w:vAlign w:val="center"/>
          </w:tcPr>
          <w:p w14:paraId="66A96119" w14:textId="0F47F473"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本工程不属于不符合要求的高耗能、高排放、低水平项目。</w:t>
            </w:r>
          </w:p>
        </w:tc>
        <w:tc>
          <w:tcPr>
            <w:tcW w:w="630" w:type="pct"/>
            <w:vAlign w:val="center"/>
          </w:tcPr>
          <w:p w14:paraId="0AFEEB34" w14:textId="56799A4C" w:rsidR="00A7499F" w:rsidRPr="00092862" w:rsidRDefault="00A7499F"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16590088" w14:textId="05BA1214" w:rsidR="006C3020" w:rsidRPr="00092862" w:rsidRDefault="0079308B" w:rsidP="00DA2155">
      <w:pPr>
        <w:autoSpaceDE w:val="0"/>
        <w:autoSpaceDN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通过本项目内容与</w:t>
      </w:r>
      <w:r w:rsidR="00A7499F" w:rsidRPr="00092862">
        <w:rPr>
          <w:rFonts w:ascii="Times New Roman" w:eastAsia="宋体" w:hAnsi="Times New Roman" w:cs="Times New Roman"/>
          <w:bCs/>
          <w:color w:val="000000" w:themeColor="text1"/>
          <w:sz w:val="24"/>
          <w:szCs w:val="24"/>
        </w:rPr>
        <w:t>《四川省、重庆市长江经济带发展负面清单实施细则（试行，</w:t>
      </w:r>
      <w:r w:rsidR="00A7499F" w:rsidRPr="00092862">
        <w:rPr>
          <w:rFonts w:ascii="Times New Roman" w:eastAsia="宋体" w:hAnsi="Times New Roman" w:cs="Times New Roman"/>
          <w:bCs/>
          <w:color w:val="000000" w:themeColor="text1"/>
          <w:sz w:val="24"/>
          <w:szCs w:val="24"/>
        </w:rPr>
        <w:t>2022</w:t>
      </w:r>
      <w:r w:rsidR="00A7499F" w:rsidRPr="00092862">
        <w:rPr>
          <w:rFonts w:ascii="Times New Roman" w:eastAsia="宋体" w:hAnsi="Times New Roman" w:cs="Times New Roman"/>
          <w:bCs/>
          <w:color w:val="000000" w:themeColor="text1"/>
          <w:sz w:val="24"/>
          <w:szCs w:val="24"/>
        </w:rPr>
        <w:t>年版）》</w:t>
      </w:r>
      <w:r w:rsidRPr="00092862">
        <w:rPr>
          <w:rFonts w:ascii="Times New Roman" w:eastAsia="宋体" w:hAnsi="Times New Roman" w:cs="Times New Roman"/>
          <w:color w:val="000000" w:themeColor="text1"/>
          <w:sz w:val="24"/>
          <w:szCs w:val="24"/>
        </w:rPr>
        <w:t>中各项内容进行对比分析，本项目建设符合</w:t>
      </w:r>
      <w:r w:rsidR="00A7499F" w:rsidRPr="00092862">
        <w:rPr>
          <w:rFonts w:ascii="Times New Roman" w:eastAsia="宋体" w:hAnsi="Times New Roman" w:cs="Times New Roman"/>
          <w:bCs/>
          <w:color w:val="000000" w:themeColor="text1"/>
          <w:sz w:val="24"/>
          <w:szCs w:val="24"/>
        </w:rPr>
        <w:t>《四川省、重庆市长江经济带发展负面清单实施细则（试行，</w:t>
      </w:r>
      <w:r w:rsidR="00A7499F" w:rsidRPr="00092862">
        <w:rPr>
          <w:rFonts w:ascii="Times New Roman" w:eastAsia="宋体" w:hAnsi="Times New Roman" w:cs="Times New Roman"/>
          <w:bCs/>
          <w:color w:val="000000" w:themeColor="text1"/>
          <w:sz w:val="24"/>
          <w:szCs w:val="24"/>
        </w:rPr>
        <w:t>2022</w:t>
      </w:r>
      <w:r w:rsidR="00A7499F" w:rsidRPr="00092862">
        <w:rPr>
          <w:rFonts w:ascii="Times New Roman" w:eastAsia="宋体" w:hAnsi="Times New Roman" w:cs="Times New Roman"/>
          <w:bCs/>
          <w:color w:val="000000" w:themeColor="text1"/>
          <w:sz w:val="24"/>
          <w:szCs w:val="24"/>
        </w:rPr>
        <w:t>年版）》</w:t>
      </w:r>
      <w:r w:rsidRPr="00092862">
        <w:rPr>
          <w:rFonts w:ascii="Times New Roman" w:eastAsia="宋体" w:hAnsi="Times New Roman" w:cs="Times New Roman"/>
          <w:color w:val="000000" w:themeColor="text1"/>
          <w:sz w:val="24"/>
          <w:szCs w:val="24"/>
        </w:rPr>
        <w:t>要求。</w:t>
      </w:r>
    </w:p>
    <w:p w14:paraId="6E567EC1" w14:textId="129960D0" w:rsidR="00E82C4C" w:rsidRPr="00092862" w:rsidRDefault="008E4753" w:rsidP="00DA2155">
      <w:pPr>
        <w:tabs>
          <w:tab w:val="left" w:pos="0"/>
        </w:tabs>
        <w:spacing w:line="360" w:lineRule="auto"/>
        <w:ind w:firstLineChars="200" w:firstLine="480"/>
        <w:rPr>
          <w:rFonts w:ascii="Times New Roman" w:hAnsi="Times New Roman" w:cs="Times New Roman"/>
          <w:b/>
          <w:color w:val="000000" w:themeColor="text1"/>
          <w:sz w:val="24"/>
          <w:szCs w:val="24"/>
        </w:rPr>
      </w:pPr>
      <w:r w:rsidRPr="00092862">
        <w:rPr>
          <w:rFonts w:ascii="Times New Roman" w:hAnsi="Times New Roman" w:cs="Times New Roman"/>
          <w:bCs/>
          <w:color w:val="000000" w:themeColor="text1"/>
          <w:sz w:val="24"/>
          <w:szCs w:val="24"/>
        </w:rPr>
        <w:t>6</w:t>
      </w:r>
      <w:r w:rsidR="00E82C4C" w:rsidRPr="00092862">
        <w:rPr>
          <w:rFonts w:ascii="Times New Roman" w:hAnsi="Times New Roman" w:cs="Times New Roman"/>
          <w:bCs/>
          <w:color w:val="000000" w:themeColor="text1"/>
          <w:sz w:val="24"/>
          <w:szCs w:val="24"/>
        </w:rPr>
        <w:t>、</w:t>
      </w:r>
      <w:r w:rsidR="00E82C4C" w:rsidRPr="00092862">
        <w:rPr>
          <w:rFonts w:ascii="Times New Roman" w:eastAsia="黑体" w:hAnsi="Times New Roman" w:cs="Times New Roman"/>
          <w:color w:val="000000" w:themeColor="text1"/>
          <w:sz w:val="24"/>
        </w:rPr>
        <w:t>与能源发展规划符合性分析</w:t>
      </w:r>
    </w:p>
    <w:p w14:paraId="074994A6" w14:textId="77777777" w:rsidR="00E82C4C" w:rsidRPr="00092862" w:rsidRDefault="00E82C4C" w:rsidP="00DA2155">
      <w:pPr>
        <w:autoSpaceDE w:val="0"/>
        <w:autoSpaceDN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）与《能源发展战略行动计划（</w:t>
      </w:r>
      <w:r w:rsidRPr="00092862">
        <w:rPr>
          <w:rFonts w:ascii="Times New Roman" w:eastAsia="宋体" w:hAnsi="Times New Roman" w:cs="Times New Roman"/>
          <w:b/>
          <w:bCs/>
          <w:color w:val="000000" w:themeColor="text1"/>
          <w:sz w:val="24"/>
        </w:rPr>
        <w:t>2014-2020</w:t>
      </w:r>
      <w:r w:rsidRPr="00092862">
        <w:rPr>
          <w:rFonts w:ascii="Times New Roman" w:eastAsia="宋体" w:hAnsi="Times New Roman" w:cs="Times New Roman"/>
          <w:b/>
          <w:bCs/>
          <w:color w:val="000000" w:themeColor="text1"/>
          <w:sz w:val="24"/>
        </w:rPr>
        <w:t>年）》符合性分析</w:t>
      </w:r>
    </w:p>
    <w:p w14:paraId="2CD860C6" w14:textId="62E82295" w:rsidR="00E82C4C" w:rsidRPr="00092862" w:rsidRDefault="00E82C4C" w:rsidP="00DA2155">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根据国务院办公厅于</w:t>
      </w:r>
      <w:r w:rsidRPr="00092862">
        <w:rPr>
          <w:rFonts w:ascii="Times New Roman" w:eastAsia="宋体" w:hAnsi="Times New Roman" w:cs="Times New Roman"/>
          <w:color w:val="000000" w:themeColor="text1"/>
          <w:sz w:val="24"/>
        </w:rPr>
        <w:t>2014</w:t>
      </w:r>
      <w:r w:rsidRPr="00092862">
        <w:rPr>
          <w:rFonts w:ascii="Times New Roman" w:eastAsia="宋体" w:hAnsi="Times New Roman" w:cs="Times New Roman"/>
          <w:color w:val="000000" w:themeColor="text1"/>
          <w:sz w:val="24"/>
        </w:rPr>
        <w:t>年印发的《能源发展战略行动计划（</w:t>
      </w:r>
      <w:r w:rsidRPr="00092862">
        <w:rPr>
          <w:rFonts w:ascii="Times New Roman" w:eastAsia="宋体" w:hAnsi="Times New Roman" w:cs="Times New Roman"/>
          <w:color w:val="000000" w:themeColor="text1"/>
          <w:sz w:val="24"/>
        </w:rPr>
        <w:t>2014-2020</w:t>
      </w:r>
      <w:r w:rsidRPr="00092862">
        <w:rPr>
          <w:rFonts w:ascii="Times New Roman" w:eastAsia="宋体" w:hAnsi="Times New Roman" w:cs="Times New Roman"/>
          <w:color w:val="000000" w:themeColor="text1"/>
          <w:sz w:val="24"/>
        </w:rPr>
        <w:t>年）》（国办发〔</w:t>
      </w:r>
      <w:r w:rsidRPr="00092862">
        <w:rPr>
          <w:rFonts w:ascii="Times New Roman" w:eastAsia="宋体" w:hAnsi="Times New Roman" w:cs="Times New Roman"/>
          <w:color w:val="000000" w:themeColor="text1"/>
          <w:sz w:val="24"/>
        </w:rPr>
        <w:t>2014</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31</w:t>
      </w:r>
      <w:r w:rsidRPr="00092862">
        <w:rPr>
          <w:rFonts w:ascii="Times New Roman" w:eastAsia="宋体" w:hAnsi="Times New Roman" w:cs="Times New Roman"/>
          <w:color w:val="000000" w:themeColor="text1"/>
          <w:sz w:val="24"/>
        </w:rPr>
        <w:t>号）主要任务：按照陆地与海域并举、常规与非常规并重的原则，加快常规天然气增储上产，尽快突破非常规天然气发展瓶颈，促进天然气储量产量快速增长。加快常规天然气勘探开发、重点突破页岩气和煤层气开发、积极推进天然气水合物资源勘查与评价。本工程属于常规天然气</w:t>
      </w:r>
      <w:r w:rsidR="005036A4" w:rsidRPr="00092862">
        <w:rPr>
          <w:rFonts w:ascii="Times New Roman" w:eastAsia="宋体" w:hAnsi="Times New Roman" w:cs="Times New Roman"/>
          <w:color w:val="000000" w:themeColor="text1"/>
          <w:sz w:val="24"/>
        </w:rPr>
        <w:t>勘探</w:t>
      </w:r>
      <w:r w:rsidR="008A6501"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项目，符合大力发展天然气的要求。</w:t>
      </w:r>
    </w:p>
    <w:p w14:paraId="040555D0" w14:textId="77777777" w:rsidR="00E82C4C" w:rsidRPr="00092862" w:rsidRDefault="00E82C4C" w:rsidP="00DA2155">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因此，本工程的建设符合《能源发展战略行动计划（</w:t>
      </w:r>
      <w:r w:rsidRPr="00092862">
        <w:rPr>
          <w:rFonts w:ascii="Times New Roman" w:eastAsia="宋体" w:hAnsi="Times New Roman" w:cs="Times New Roman"/>
          <w:color w:val="000000" w:themeColor="text1"/>
          <w:sz w:val="24"/>
        </w:rPr>
        <w:t xml:space="preserve">2014-2020 </w:t>
      </w:r>
      <w:r w:rsidRPr="00092862">
        <w:rPr>
          <w:rFonts w:ascii="Times New Roman" w:eastAsia="宋体" w:hAnsi="Times New Roman" w:cs="Times New Roman"/>
          <w:color w:val="000000" w:themeColor="text1"/>
          <w:sz w:val="24"/>
        </w:rPr>
        <w:t>年）》要求。</w:t>
      </w:r>
    </w:p>
    <w:p w14:paraId="700476DD" w14:textId="1FAA2DC8" w:rsidR="00E82C4C" w:rsidRPr="00092862" w:rsidRDefault="00F07A6C" w:rsidP="00DA2155">
      <w:pPr>
        <w:autoSpaceDE w:val="0"/>
        <w:autoSpaceDN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00B26425"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w:t>
      </w:r>
      <w:r w:rsidR="00E82C4C" w:rsidRPr="00092862">
        <w:rPr>
          <w:rFonts w:ascii="Times New Roman" w:eastAsia="宋体" w:hAnsi="Times New Roman" w:cs="Times New Roman"/>
          <w:b/>
          <w:bCs/>
          <w:color w:val="000000" w:themeColor="text1"/>
          <w:sz w:val="24"/>
        </w:rPr>
        <w:t>与</w:t>
      </w:r>
      <w:r w:rsidRPr="00092862">
        <w:rPr>
          <w:rFonts w:ascii="Times New Roman" w:eastAsia="宋体" w:hAnsi="Times New Roman" w:cs="Times New Roman"/>
          <w:b/>
          <w:bCs/>
          <w:color w:val="000000" w:themeColor="text1"/>
          <w:sz w:val="24"/>
        </w:rPr>
        <w:t>《四川省矿产资源总体规划（</w:t>
      </w:r>
      <w:r w:rsidRPr="00092862">
        <w:rPr>
          <w:rFonts w:ascii="Times New Roman" w:eastAsia="宋体" w:hAnsi="Times New Roman" w:cs="Times New Roman"/>
          <w:b/>
          <w:bCs/>
          <w:color w:val="000000" w:themeColor="text1"/>
          <w:sz w:val="24"/>
        </w:rPr>
        <w:t>2016-2020</w:t>
      </w:r>
      <w:r w:rsidRPr="00092862">
        <w:rPr>
          <w:rFonts w:ascii="Times New Roman" w:eastAsia="宋体" w:hAnsi="Times New Roman" w:cs="Times New Roman"/>
          <w:b/>
          <w:bCs/>
          <w:color w:val="000000" w:themeColor="text1"/>
          <w:sz w:val="24"/>
        </w:rPr>
        <w:t>年）》及其规划环评的符合性分析</w:t>
      </w:r>
    </w:p>
    <w:p w14:paraId="7650F092" w14:textId="77777777" w:rsidR="00F07A6C" w:rsidRPr="00092862" w:rsidRDefault="0001015F" w:rsidP="00DA2155">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《四川省矿产资源总体规划（</w:t>
      </w:r>
      <w:r w:rsidRPr="00092862">
        <w:rPr>
          <w:rFonts w:ascii="Times New Roman" w:eastAsia="宋体" w:hAnsi="Times New Roman" w:cs="Times New Roman"/>
          <w:color w:val="000000" w:themeColor="text1"/>
          <w:sz w:val="24"/>
        </w:rPr>
        <w:t>2016-2020</w:t>
      </w:r>
      <w:r w:rsidRPr="00092862">
        <w:rPr>
          <w:rFonts w:ascii="Times New Roman" w:eastAsia="宋体" w:hAnsi="Times New Roman" w:cs="Times New Roman"/>
          <w:color w:val="000000" w:themeColor="text1"/>
          <w:sz w:val="24"/>
        </w:rPr>
        <w:t>年）》于</w:t>
      </w:r>
      <w:r w:rsidRPr="00092862">
        <w:rPr>
          <w:rFonts w:ascii="Times New Roman" w:eastAsia="宋体" w:hAnsi="Times New Roman" w:cs="Times New Roman"/>
          <w:color w:val="000000" w:themeColor="text1"/>
          <w:sz w:val="24"/>
        </w:rPr>
        <w:t>2017</w:t>
      </w:r>
      <w:r w:rsidRPr="00092862">
        <w:rPr>
          <w:rFonts w:ascii="Times New Roman" w:eastAsia="宋体" w:hAnsi="Times New Roman" w:cs="Times New Roman"/>
          <w:color w:val="000000" w:themeColor="text1"/>
          <w:sz w:val="24"/>
        </w:rPr>
        <w:t>年经国土资源部审批后由四川省国土资源厅会同省发改委、财政厅、环保厅、商务厅、经信委联合发布实施，本项目与之符合性分析见下表。</w:t>
      </w:r>
    </w:p>
    <w:p w14:paraId="1A2A0DA6" w14:textId="1CD2D515" w:rsidR="0001015F" w:rsidRPr="00092862" w:rsidRDefault="0001015F"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10</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与《四川省矿产资源总体规划（</w:t>
      </w:r>
      <w:r w:rsidRPr="00092862">
        <w:rPr>
          <w:rFonts w:ascii="Times New Roman" w:eastAsia="黑体" w:hAnsi="Times New Roman"/>
          <w:color w:val="000000" w:themeColor="text1"/>
          <w:sz w:val="21"/>
          <w:szCs w:val="21"/>
          <w:lang w:eastAsia="zh-CN"/>
        </w:rPr>
        <w:t>2016-2020</w:t>
      </w:r>
      <w:r w:rsidRPr="00092862">
        <w:rPr>
          <w:rFonts w:ascii="Times New Roman" w:eastAsia="黑体" w:hAnsi="Times New Roman"/>
          <w:color w:val="000000" w:themeColor="text1"/>
          <w:sz w:val="21"/>
          <w:szCs w:val="21"/>
          <w:lang w:eastAsia="zh-CN"/>
        </w:rPr>
        <w:t>年）》符合性分析表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067"/>
        <w:gridCol w:w="3297"/>
        <w:gridCol w:w="858"/>
      </w:tblGrid>
      <w:tr w:rsidR="00697429" w:rsidRPr="00092862" w14:paraId="458042CE" w14:textId="77777777" w:rsidTr="00F86789">
        <w:trPr>
          <w:cantSplit/>
          <w:jc w:val="center"/>
        </w:trPr>
        <w:tc>
          <w:tcPr>
            <w:tcW w:w="4067" w:type="dxa"/>
            <w:tcMar>
              <w:left w:w="57" w:type="dxa"/>
              <w:right w:w="57" w:type="dxa"/>
            </w:tcMar>
            <w:vAlign w:val="center"/>
          </w:tcPr>
          <w:p w14:paraId="5A5A4F7A" w14:textId="77777777" w:rsidR="0001015F" w:rsidRPr="00092862" w:rsidRDefault="0001015F"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文件内容</w:t>
            </w:r>
          </w:p>
        </w:tc>
        <w:tc>
          <w:tcPr>
            <w:tcW w:w="3297" w:type="dxa"/>
            <w:tcMar>
              <w:left w:w="57" w:type="dxa"/>
              <w:right w:w="57" w:type="dxa"/>
            </w:tcMar>
            <w:vAlign w:val="center"/>
          </w:tcPr>
          <w:p w14:paraId="55A7E1AC" w14:textId="77777777" w:rsidR="0001015F" w:rsidRPr="00092862" w:rsidRDefault="0001015F"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本项目情况</w:t>
            </w:r>
          </w:p>
        </w:tc>
        <w:tc>
          <w:tcPr>
            <w:tcW w:w="858" w:type="dxa"/>
            <w:tcMar>
              <w:left w:w="57" w:type="dxa"/>
              <w:right w:w="57" w:type="dxa"/>
            </w:tcMar>
            <w:vAlign w:val="center"/>
          </w:tcPr>
          <w:p w14:paraId="248961F9" w14:textId="77777777" w:rsidR="0001015F" w:rsidRPr="00092862" w:rsidRDefault="0001015F"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符合性</w:t>
            </w:r>
          </w:p>
        </w:tc>
      </w:tr>
      <w:tr w:rsidR="00697429" w:rsidRPr="00092862" w14:paraId="4838FEDF" w14:textId="77777777" w:rsidTr="00F86789">
        <w:trPr>
          <w:cantSplit/>
          <w:jc w:val="center"/>
        </w:trPr>
        <w:tc>
          <w:tcPr>
            <w:tcW w:w="4067" w:type="dxa"/>
            <w:tcMar>
              <w:left w:w="57" w:type="dxa"/>
              <w:right w:w="57" w:type="dxa"/>
            </w:tcMar>
            <w:vAlign w:val="center"/>
          </w:tcPr>
          <w:p w14:paraId="648FBF43" w14:textId="77777777" w:rsidR="0001015F" w:rsidRPr="00092862" w:rsidRDefault="00235E5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第三章、第二节：拓展矿产资源调查评价</w:t>
            </w:r>
          </w:p>
          <w:p w14:paraId="79A952CA" w14:textId="77777777" w:rsidR="00235E5C" w:rsidRPr="00092862" w:rsidRDefault="00235E5C" w:rsidP="00235E5C">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能源矿产，重点加强四川盆地及盆周山区天然气、页岩气、煤层气和川北地区铀矿资源的调查评价，因地制宜开展地热水资源和浅层地温能潜力评价</w:t>
            </w:r>
          </w:p>
        </w:tc>
        <w:tc>
          <w:tcPr>
            <w:tcW w:w="3297" w:type="dxa"/>
            <w:tcMar>
              <w:left w:w="57" w:type="dxa"/>
              <w:right w:w="57" w:type="dxa"/>
            </w:tcMar>
            <w:vAlign w:val="center"/>
          </w:tcPr>
          <w:p w14:paraId="6FDA0D56" w14:textId="15A1EBEA" w:rsidR="0001015F" w:rsidRPr="00092862" w:rsidRDefault="00235E5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w:t>
            </w:r>
            <w:r w:rsidR="009A7AD5" w:rsidRPr="00092862">
              <w:rPr>
                <w:rFonts w:ascii="Times New Roman" w:eastAsia="宋体" w:hAnsi="Times New Roman" w:cs="Times New Roman"/>
                <w:color w:val="000000" w:themeColor="text1"/>
                <w:szCs w:val="21"/>
              </w:rPr>
              <w:t>四川盆地及盆周山区</w:t>
            </w:r>
            <w:r w:rsidRPr="00092862">
              <w:rPr>
                <w:rFonts w:ascii="Times New Roman" w:eastAsia="宋体" w:hAnsi="Times New Roman" w:cs="Times New Roman"/>
                <w:color w:val="000000" w:themeColor="text1"/>
                <w:szCs w:val="21"/>
              </w:rPr>
              <w:t>天然气开发评价</w:t>
            </w:r>
          </w:p>
        </w:tc>
        <w:tc>
          <w:tcPr>
            <w:tcW w:w="858" w:type="dxa"/>
            <w:tcMar>
              <w:left w:w="57" w:type="dxa"/>
              <w:right w:w="57" w:type="dxa"/>
            </w:tcMar>
            <w:vAlign w:val="center"/>
          </w:tcPr>
          <w:p w14:paraId="1B3E831F" w14:textId="77777777" w:rsidR="0001015F" w:rsidRPr="00092862" w:rsidRDefault="00235E5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A477E15" w14:textId="77777777" w:rsidTr="00F86789">
        <w:trPr>
          <w:cantSplit/>
          <w:jc w:val="center"/>
        </w:trPr>
        <w:tc>
          <w:tcPr>
            <w:tcW w:w="4067" w:type="dxa"/>
            <w:tcMar>
              <w:left w:w="57" w:type="dxa"/>
              <w:right w:w="57" w:type="dxa"/>
            </w:tcMar>
            <w:vAlign w:val="center"/>
          </w:tcPr>
          <w:p w14:paraId="4D969D35" w14:textId="77777777" w:rsidR="00235E5C" w:rsidRPr="00092862" w:rsidRDefault="00235E5C" w:rsidP="00235E5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第五章、第一节：确保矿产资源有效供给</w:t>
            </w:r>
          </w:p>
          <w:p w14:paraId="2619DF2F" w14:textId="77777777" w:rsidR="0001015F" w:rsidRPr="00092862" w:rsidRDefault="00235E5C" w:rsidP="00235E5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能源矿产，加大天然气、页岩气</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等勘查开发力度，力争获得重大突破，增强供应基础并加快供应，优化能源开发利用结构，减轻对环境的负面影响</w:t>
            </w:r>
            <w:r w:rsidRPr="00092862">
              <w:rPr>
                <w:rFonts w:ascii="Times New Roman" w:eastAsia="宋体" w:hAnsi="Times New Roman" w:cs="Times New Roman"/>
                <w:color w:val="000000" w:themeColor="text1"/>
                <w:szCs w:val="21"/>
              </w:rPr>
              <w:t>……</w:t>
            </w:r>
          </w:p>
        </w:tc>
        <w:tc>
          <w:tcPr>
            <w:tcW w:w="3297" w:type="dxa"/>
            <w:tcMar>
              <w:left w:w="57" w:type="dxa"/>
              <w:right w:w="57" w:type="dxa"/>
            </w:tcMar>
            <w:vAlign w:val="center"/>
          </w:tcPr>
          <w:p w14:paraId="4993DB40" w14:textId="713FFA8A" w:rsidR="0001015F" w:rsidRPr="00092862" w:rsidRDefault="00235E5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w:t>
            </w:r>
            <w:r w:rsidR="009A7AD5" w:rsidRPr="00092862">
              <w:rPr>
                <w:rFonts w:ascii="Times New Roman" w:eastAsia="宋体" w:hAnsi="Times New Roman" w:cs="Times New Roman"/>
                <w:color w:val="000000" w:themeColor="text1"/>
                <w:szCs w:val="21"/>
              </w:rPr>
              <w:t>四川盆地及盆周山区</w:t>
            </w:r>
            <w:r w:rsidRPr="00092862">
              <w:rPr>
                <w:rFonts w:ascii="Times New Roman" w:eastAsia="宋体" w:hAnsi="Times New Roman" w:cs="Times New Roman"/>
                <w:color w:val="000000" w:themeColor="text1"/>
                <w:szCs w:val="21"/>
              </w:rPr>
              <w:t>天然气开发，利于增强供应基础并加快供应，优化能源开发利用结构，减轻对环境的负面影响</w:t>
            </w:r>
          </w:p>
        </w:tc>
        <w:tc>
          <w:tcPr>
            <w:tcW w:w="858" w:type="dxa"/>
            <w:tcMar>
              <w:left w:w="57" w:type="dxa"/>
              <w:right w:w="57" w:type="dxa"/>
            </w:tcMar>
            <w:vAlign w:val="center"/>
          </w:tcPr>
          <w:p w14:paraId="484F0389" w14:textId="77777777" w:rsidR="0001015F" w:rsidRPr="00092862" w:rsidRDefault="00235E5C"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43BCA0E7" w14:textId="38AA7D69" w:rsidR="0001015F" w:rsidRPr="00092862" w:rsidRDefault="00AB6425" w:rsidP="00DA2155">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2017</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月，四川省国土勘测规划研究院及四川省煤田地质工程勘察设计研究院编制完成了《四川省矿产资源总体规划（</w:t>
      </w:r>
      <w:r w:rsidRPr="00092862">
        <w:rPr>
          <w:rFonts w:ascii="Times New Roman" w:eastAsia="宋体" w:hAnsi="Times New Roman" w:cs="Times New Roman"/>
          <w:color w:val="000000" w:themeColor="text1"/>
          <w:sz w:val="24"/>
        </w:rPr>
        <w:t>2016-2020</w:t>
      </w:r>
      <w:r w:rsidRPr="00092862">
        <w:rPr>
          <w:rFonts w:ascii="Times New Roman" w:eastAsia="宋体" w:hAnsi="Times New Roman" w:cs="Times New Roman"/>
          <w:color w:val="000000" w:themeColor="text1"/>
          <w:sz w:val="24"/>
        </w:rPr>
        <w:t>年）环境影响报告书》，</w:t>
      </w:r>
      <w:r w:rsidRPr="00092862">
        <w:rPr>
          <w:rFonts w:ascii="Times New Roman" w:eastAsia="宋体" w:hAnsi="Times New Roman" w:cs="Times New Roman"/>
          <w:color w:val="000000" w:themeColor="text1"/>
          <w:sz w:val="24"/>
        </w:rPr>
        <w:t>2017</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月原国家环境保护部以</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环审〔</w:t>
      </w:r>
      <w:r w:rsidRPr="00092862">
        <w:rPr>
          <w:rFonts w:ascii="Times New Roman" w:eastAsia="宋体" w:hAnsi="Times New Roman" w:cs="Times New Roman"/>
          <w:color w:val="000000" w:themeColor="text1"/>
          <w:sz w:val="24"/>
        </w:rPr>
        <w:t>2017</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102</w:t>
      </w:r>
      <w:r w:rsidRPr="00092862">
        <w:rPr>
          <w:rFonts w:ascii="Times New Roman" w:eastAsia="宋体" w:hAnsi="Times New Roman" w:cs="Times New Roman"/>
          <w:color w:val="000000" w:themeColor="text1"/>
          <w:sz w:val="24"/>
        </w:rPr>
        <w:t>号</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出具了《关于</w:t>
      </w:r>
      <w:r w:rsidRPr="00092862">
        <w:rPr>
          <w:rFonts w:ascii="Times New Roman" w:eastAsia="宋体" w:hAnsi="Times New Roman" w:cs="Times New Roman"/>
          <w:color w:val="000000" w:themeColor="text1"/>
          <w:sz w:val="24"/>
        </w:rPr>
        <w:t>&lt;</w:t>
      </w:r>
      <w:r w:rsidRPr="00092862">
        <w:rPr>
          <w:rFonts w:ascii="Times New Roman" w:eastAsia="宋体" w:hAnsi="Times New Roman" w:cs="Times New Roman"/>
          <w:color w:val="000000" w:themeColor="text1"/>
          <w:sz w:val="24"/>
        </w:rPr>
        <w:t>四川省矿产资源总体规划（</w:t>
      </w:r>
      <w:r w:rsidRPr="00092862">
        <w:rPr>
          <w:rFonts w:ascii="Times New Roman" w:eastAsia="宋体" w:hAnsi="Times New Roman" w:cs="Times New Roman"/>
          <w:color w:val="000000" w:themeColor="text1"/>
          <w:sz w:val="24"/>
        </w:rPr>
        <w:t>2016-2020</w:t>
      </w:r>
      <w:r w:rsidRPr="00092862">
        <w:rPr>
          <w:rFonts w:ascii="Times New Roman" w:eastAsia="宋体" w:hAnsi="Times New Roman" w:cs="Times New Roman"/>
          <w:color w:val="000000" w:themeColor="text1"/>
          <w:sz w:val="24"/>
        </w:rPr>
        <w:t>年）环境影响报告书</w:t>
      </w:r>
      <w:r w:rsidRPr="00092862">
        <w:rPr>
          <w:rFonts w:ascii="Times New Roman" w:eastAsia="宋体" w:hAnsi="Times New Roman" w:cs="Times New Roman"/>
          <w:color w:val="000000" w:themeColor="text1"/>
          <w:sz w:val="24"/>
        </w:rPr>
        <w:t>&gt;</w:t>
      </w:r>
      <w:r w:rsidRPr="00092862">
        <w:rPr>
          <w:rFonts w:ascii="Times New Roman" w:eastAsia="宋体" w:hAnsi="Times New Roman" w:cs="Times New Roman"/>
          <w:color w:val="000000" w:themeColor="text1"/>
          <w:sz w:val="24"/>
        </w:rPr>
        <w:t>的审查意见》。本项目与之符合性分析见下表。</w:t>
      </w:r>
    </w:p>
    <w:p w14:paraId="36759D61" w14:textId="7BBF7B3A" w:rsidR="00AB6425" w:rsidRPr="00092862" w:rsidRDefault="00AB6425"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11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与《四川省矿产资源总体规划（</w:t>
      </w:r>
      <w:r w:rsidRPr="00092862">
        <w:rPr>
          <w:rFonts w:ascii="Times New Roman" w:eastAsia="黑体" w:hAnsi="Times New Roman"/>
          <w:color w:val="000000" w:themeColor="text1"/>
          <w:sz w:val="21"/>
          <w:szCs w:val="21"/>
          <w:lang w:eastAsia="zh-CN"/>
        </w:rPr>
        <w:t>2016-2020</w:t>
      </w:r>
      <w:r w:rsidRPr="00092862">
        <w:rPr>
          <w:rFonts w:ascii="Times New Roman" w:eastAsia="黑体" w:hAnsi="Times New Roman"/>
          <w:color w:val="000000" w:themeColor="text1"/>
          <w:sz w:val="21"/>
          <w:szCs w:val="21"/>
          <w:lang w:eastAsia="zh-CN"/>
        </w:rPr>
        <w:t>年）环境影响报告书》及其审查意见符合性分析表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823"/>
        <w:gridCol w:w="3685"/>
        <w:gridCol w:w="714"/>
      </w:tblGrid>
      <w:tr w:rsidR="00697429" w:rsidRPr="00092862" w14:paraId="60C35AC1" w14:textId="77777777" w:rsidTr="00F86789">
        <w:trPr>
          <w:jc w:val="center"/>
        </w:trPr>
        <w:tc>
          <w:tcPr>
            <w:tcW w:w="3823" w:type="dxa"/>
            <w:tcMar>
              <w:left w:w="57" w:type="dxa"/>
              <w:right w:w="57" w:type="dxa"/>
            </w:tcMar>
            <w:vAlign w:val="center"/>
          </w:tcPr>
          <w:p w14:paraId="59235573" w14:textId="77777777" w:rsidR="00AB6425" w:rsidRPr="00092862" w:rsidRDefault="00AB6425"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文件内容</w:t>
            </w:r>
          </w:p>
        </w:tc>
        <w:tc>
          <w:tcPr>
            <w:tcW w:w="3685" w:type="dxa"/>
            <w:tcMar>
              <w:left w:w="57" w:type="dxa"/>
              <w:right w:w="57" w:type="dxa"/>
            </w:tcMar>
            <w:vAlign w:val="center"/>
          </w:tcPr>
          <w:p w14:paraId="3B91F3FF" w14:textId="77777777" w:rsidR="00AB6425" w:rsidRPr="00092862" w:rsidRDefault="00AB6425"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本项目情况</w:t>
            </w:r>
          </w:p>
        </w:tc>
        <w:tc>
          <w:tcPr>
            <w:tcW w:w="714" w:type="dxa"/>
            <w:tcMar>
              <w:left w:w="57" w:type="dxa"/>
              <w:right w:w="57" w:type="dxa"/>
            </w:tcMar>
            <w:vAlign w:val="center"/>
          </w:tcPr>
          <w:p w14:paraId="694A4198" w14:textId="77777777" w:rsidR="00AB6425" w:rsidRPr="00092862" w:rsidRDefault="00AB6425"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符合性</w:t>
            </w:r>
          </w:p>
        </w:tc>
      </w:tr>
      <w:tr w:rsidR="00697429" w:rsidRPr="00092862" w14:paraId="21DF860F" w14:textId="77777777" w:rsidTr="00F86789">
        <w:trPr>
          <w:jc w:val="center"/>
        </w:trPr>
        <w:tc>
          <w:tcPr>
            <w:tcW w:w="3823" w:type="dxa"/>
            <w:tcMar>
              <w:left w:w="57" w:type="dxa"/>
              <w:right w:w="57" w:type="dxa"/>
            </w:tcMar>
            <w:vAlign w:val="center"/>
          </w:tcPr>
          <w:p w14:paraId="417D8597" w14:textId="77777777" w:rsidR="00380D42" w:rsidRPr="00092862" w:rsidRDefault="00AB6425"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严格保护生态空间</w:t>
            </w:r>
          </w:p>
          <w:p w14:paraId="077AC5C7" w14:textId="77777777" w:rsidR="00AB6425" w:rsidRPr="00092862" w:rsidRDefault="00AB6425" w:rsidP="00380D42">
            <w:pPr>
              <w:adjustRightInd w:val="0"/>
              <w:snapToGrid w:val="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引导优化《规划》空。间布局。将自然保护区、饮用水水源保护区、风景名胜区等环境敏感区及四川省生态保护红线作为保障和维护区域生态安全的底线，依法实施强制性保护。与生态保护红线存在空间冲突的勘查区、开采区、规划矿区及其他可能的矿产资源开发活动，有关重叠区域应予以避让或不纳入《规划》。</w:t>
            </w:r>
          </w:p>
        </w:tc>
        <w:tc>
          <w:tcPr>
            <w:tcW w:w="3685" w:type="dxa"/>
            <w:tcMar>
              <w:left w:w="57" w:type="dxa"/>
              <w:right w:w="57" w:type="dxa"/>
            </w:tcMar>
            <w:vAlign w:val="center"/>
          </w:tcPr>
          <w:p w14:paraId="0C02278E" w14:textId="77777777" w:rsidR="00AB6425" w:rsidRPr="00092862" w:rsidRDefault="00AB6425"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本项目不在四川省生态保护红线范围之内，符合《关于印发四川省生态保护红线方案的通知》（川府发〔</w:t>
            </w:r>
            <w:r w:rsidRPr="00092862">
              <w:rPr>
                <w:rFonts w:ascii="Times New Roman" w:eastAsia="宋体" w:hAnsi="Times New Roman" w:cs="Times New Roman"/>
                <w:color w:val="000000" w:themeColor="text1"/>
                <w:szCs w:val="21"/>
              </w:rPr>
              <w:t>2018</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24</w:t>
            </w:r>
            <w:r w:rsidRPr="00092862">
              <w:rPr>
                <w:rFonts w:ascii="Times New Roman" w:eastAsia="宋体" w:hAnsi="Times New Roman" w:cs="Times New Roman"/>
                <w:color w:val="000000" w:themeColor="text1"/>
                <w:szCs w:val="21"/>
              </w:rPr>
              <w:t>号）的相关要求。同时，本项目占地不涉及自然保护区、森林公园、风景名胜区、地质公园、饮用水水源保护区、湿地公园、水产种质资源保护区等各类自然保护地。</w:t>
            </w:r>
          </w:p>
        </w:tc>
        <w:tc>
          <w:tcPr>
            <w:tcW w:w="714" w:type="dxa"/>
            <w:tcMar>
              <w:left w:w="57" w:type="dxa"/>
              <w:right w:w="57" w:type="dxa"/>
            </w:tcMar>
            <w:vAlign w:val="center"/>
          </w:tcPr>
          <w:p w14:paraId="49B43845" w14:textId="77777777" w:rsidR="00AB6425" w:rsidRPr="00092862" w:rsidRDefault="00AB6425"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85A2558" w14:textId="77777777" w:rsidTr="00F86789">
        <w:trPr>
          <w:jc w:val="center"/>
        </w:trPr>
        <w:tc>
          <w:tcPr>
            <w:tcW w:w="3823" w:type="dxa"/>
            <w:tcMar>
              <w:left w:w="57" w:type="dxa"/>
              <w:right w:w="57" w:type="dxa"/>
            </w:tcMar>
            <w:vAlign w:val="center"/>
          </w:tcPr>
          <w:p w14:paraId="1726C2DF" w14:textId="77777777" w:rsidR="00380D42" w:rsidRPr="00092862" w:rsidRDefault="00AB6425"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严格矿产资源开发的环境准入条件。</w:t>
            </w:r>
          </w:p>
          <w:p w14:paraId="450E9B2F" w14:textId="77777777" w:rsidR="00AB6425" w:rsidRPr="00092862" w:rsidRDefault="00AB6425"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针对突出环境问题，提出差别化的降低污染排放负荷、提高矿区废石及尾矿综合利用率和废石场环境风险防控等对策措施，有效减缓矿产资源开发带来的环境影响和生态破坏。其中，磷矿应提高污染防治等准入要求，避免加剧岷江、沱江、佥沙江等水系总磷超标；有色金属矿应重点加强镉、汞、镍、铜等重金属排放总量控制。加强矿产资源综合利用，提高资源节约集约利用水平。</w:t>
            </w:r>
          </w:p>
        </w:tc>
        <w:tc>
          <w:tcPr>
            <w:tcW w:w="3685" w:type="dxa"/>
            <w:tcMar>
              <w:left w:w="57" w:type="dxa"/>
              <w:right w:w="57" w:type="dxa"/>
            </w:tcMar>
            <w:vAlign w:val="center"/>
          </w:tcPr>
          <w:p w14:paraId="5C64406D" w14:textId="59B08DDF" w:rsidR="00AB6425" w:rsidRPr="00092862" w:rsidRDefault="00AB6425"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本项目为天然气开发项目，不属于《四川省人民政府关于落实生态保护红线、环境质量底线、资源利用上线，制定生态环境准入清单，实施生态环境分区管控的通知》（川府发〔</w:t>
            </w:r>
            <w:r w:rsidRPr="00092862">
              <w:rPr>
                <w:rFonts w:ascii="Times New Roman" w:eastAsia="宋体" w:hAnsi="Times New Roman" w:cs="Times New Roman"/>
                <w:color w:val="000000" w:themeColor="text1"/>
                <w:szCs w:val="21"/>
              </w:rPr>
              <w:t>2020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w:t>
            </w:r>
            <w:r w:rsidRPr="00092862">
              <w:rPr>
                <w:rFonts w:ascii="Times New Roman" w:eastAsia="宋体" w:hAnsi="Times New Roman" w:cs="Times New Roman"/>
                <w:color w:val="000000" w:themeColor="text1"/>
                <w:szCs w:val="21"/>
              </w:rPr>
              <w:t>号）</w:t>
            </w:r>
            <w:r w:rsidR="00380D42" w:rsidRPr="00092862">
              <w:rPr>
                <w:rFonts w:ascii="Times New Roman" w:eastAsia="宋体" w:hAnsi="Times New Roman" w:cs="Times New Roman"/>
                <w:color w:val="000000" w:themeColor="text1"/>
                <w:szCs w:val="21"/>
              </w:rPr>
              <w:t>和</w:t>
            </w:r>
            <w:r w:rsidR="009A7AD5" w:rsidRPr="00092862">
              <w:rPr>
                <w:rFonts w:ascii="Times New Roman" w:eastAsia="宋体" w:hAnsi="Times New Roman" w:cs="Times New Roman"/>
                <w:bCs/>
                <w:color w:val="000000" w:themeColor="text1"/>
                <w:szCs w:val="21"/>
              </w:rPr>
              <w:t>《关于落实生态保护红线、环境质量底线、资源利用上线制定生态环境准入清单实施生态环境分区管控的通知》（达市府发〔</w:t>
            </w:r>
            <w:r w:rsidR="009A7AD5" w:rsidRPr="00092862">
              <w:rPr>
                <w:rFonts w:ascii="Times New Roman" w:eastAsia="宋体" w:hAnsi="Times New Roman" w:cs="Times New Roman"/>
                <w:bCs/>
                <w:color w:val="000000" w:themeColor="text1"/>
                <w:szCs w:val="21"/>
              </w:rPr>
              <w:t>2021</w:t>
            </w:r>
            <w:r w:rsidR="009A7AD5" w:rsidRPr="00092862">
              <w:rPr>
                <w:rFonts w:ascii="Times New Roman" w:eastAsia="宋体" w:hAnsi="Times New Roman" w:cs="Times New Roman"/>
                <w:bCs/>
                <w:color w:val="000000" w:themeColor="text1"/>
                <w:szCs w:val="21"/>
              </w:rPr>
              <w:t>〕</w:t>
            </w:r>
            <w:r w:rsidR="009A7AD5" w:rsidRPr="00092862">
              <w:rPr>
                <w:rFonts w:ascii="Times New Roman" w:eastAsia="宋体" w:hAnsi="Times New Roman" w:cs="Times New Roman"/>
                <w:bCs/>
                <w:color w:val="000000" w:themeColor="text1"/>
                <w:szCs w:val="21"/>
              </w:rPr>
              <w:t>17</w:t>
            </w:r>
            <w:r w:rsidR="009A7AD5" w:rsidRPr="00092862">
              <w:rPr>
                <w:rFonts w:ascii="Times New Roman" w:eastAsia="宋体" w:hAnsi="Times New Roman" w:cs="Times New Roman"/>
                <w:bCs/>
                <w:color w:val="000000" w:themeColor="text1"/>
                <w:szCs w:val="21"/>
              </w:rPr>
              <w:t>号）</w:t>
            </w:r>
            <w:r w:rsidRPr="00092862">
              <w:rPr>
                <w:rFonts w:ascii="Times New Roman" w:eastAsia="宋体" w:hAnsi="Times New Roman" w:cs="Times New Roman"/>
                <w:color w:val="000000" w:themeColor="text1"/>
                <w:szCs w:val="21"/>
              </w:rPr>
              <w:t>中所列的</w:t>
            </w:r>
            <w:r w:rsidR="009A7AD5" w:rsidRPr="00092862">
              <w:rPr>
                <w:rFonts w:ascii="Times New Roman" w:eastAsia="宋体" w:hAnsi="Times New Roman" w:cs="Times New Roman"/>
                <w:color w:val="000000" w:themeColor="text1"/>
                <w:szCs w:val="21"/>
              </w:rPr>
              <w:t>区域</w:t>
            </w:r>
            <w:r w:rsidR="00380D42" w:rsidRPr="00092862">
              <w:rPr>
                <w:rFonts w:ascii="Times New Roman" w:eastAsia="宋体" w:hAnsi="Times New Roman" w:cs="Times New Roman"/>
                <w:color w:val="000000" w:themeColor="text1"/>
                <w:szCs w:val="21"/>
              </w:rPr>
              <w:t>管控</w:t>
            </w:r>
            <w:r w:rsidRPr="00092862">
              <w:rPr>
                <w:rFonts w:ascii="Times New Roman" w:eastAsia="宋体" w:hAnsi="Times New Roman" w:cs="Times New Roman"/>
                <w:color w:val="000000" w:themeColor="text1"/>
                <w:szCs w:val="21"/>
              </w:rPr>
              <w:t>行业，项目施工期、</w:t>
            </w:r>
            <w:r w:rsidR="001A6854" w:rsidRPr="00092862">
              <w:rPr>
                <w:rFonts w:ascii="Times New Roman" w:eastAsia="宋体" w:hAnsi="Times New Roman" w:cs="Times New Roman"/>
                <w:color w:val="000000" w:themeColor="text1"/>
                <w:szCs w:val="21"/>
              </w:rPr>
              <w:t>试采期</w:t>
            </w:r>
            <w:r w:rsidRPr="00092862">
              <w:rPr>
                <w:rFonts w:ascii="Times New Roman" w:eastAsia="宋体" w:hAnsi="Times New Roman" w:cs="Times New Roman"/>
                <w:color w:val="000000" w:themeColor="text1"/>
                <w:szCs w:val="21"/>
              </w:rPr>
              <w:t>产生的废水及固废均得到妥善处置，不外排外环境，项目所在地生态环境良好，无突出环境问题。本项目属于清洁能源开发项目，项目的实施后能够改善区域能源结构，减少重能源废气排放量，对改善区域环境空气质量有积极作用。</w:t>
            </w:r>
          </w:p>
        </w:tc>
        <w:tc>
          <w:tcPr>
            <w:tcW w:w="714" w:type="dxa"/>
            <w:tcMar>
              <w:left w:w="57" w:type="dxa"/>
              <w:right w:w="57" w:type="dxa"/>
            </w:tcMar>
            <w:vAlign w:val="center"/>
          </w:tcPr>
          <w:p w14:paraId="0D087416" w14:textId="77777777" w:rsidR="00AB6425" w:rsidRPr="00092862" w:rsidRDefault="00AB6425"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06773C2" w14:textId="77777777" w:rsidTr="00F86789">
        <w:trPr>
          <w:jc w:val="center"/>
        </w:trPr>
        <w:tc>
          <w:tcPr>
            <w:tcW w:w="3823" w:type="dxa"/>
            <w:tcMar>
              <w:left w:w="57" w:type="dxa"/>
              <w:right w:w="57" w:type="dxa"/>
            </w:tcMar>
            <w:vAlign w:val="center"/>
          </w:tcPr>
          <w:p w14:paraId="55576108" w14:textId="77777777" w:rsidR="00380D42" w:rsidRPr="00092862" w:rsidRDefault="00380D42"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加强环境保护监测和预警。</w:t>
            </w:r>
          </w:p>
          <w:p w14:paraId="1432555D" w14:textId="77777777" w:rsidR="00AB6425" w:rsidRPr="00092862" w:rsidRDefault="00380D42"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结合自然保护区、饮用水水源保护区、重点生态功能区保护要求和土壤污染防治目标等，推进重点矿区建立完善地表水、地下水、土壤等环境要素的长期监测监控体系。适时组织开展重点开采区的生态恢复效果评估，针对地表水环境及土壤环境累积影响、地下水环境质量下降、生态退化等建立预警机制。</w:t>
            </w:r>
          </w:p>
        </w:tc>
        <w:tc>
          <w:tcPr>
            <w:tcW w:w="3685" w:type="dxa"/>
            <w:tcMar>
              <w:left w:w="57" w:type="dxa"/>
              <w:right w:w="57" w:type="dxa"/>
            </w:tcMar>
            <w:vAlign w:val="center"/>
          </w:tcPr>
          <w:p w14:paraId="6A018203" w14:textId="77777777" w:rsidR="00AB6425" w:rsidRPr="00092862" w:rsidRDefault="00380D42" w:rsidP="00380D42">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本项目按照导则要求，制定了相应的大</w:t>
            </w:r>
            <w:r w:rsidRPr="00092862">
              <w:rPr>
                <w:rFonts w:ascii="Times New Roman" w:eastAsia="宋体" w:hAnsi="Times New Roman" w:cs="Times New Roman"/>
                <w:color w:val="000000" w:themeColor="text1"/>
                <w:szCs w:val="21"/>
              </w:rPr>
              <w:lastRenderedPageBreak/>
              <w:t>气、地下水、土壤及噪声跟踪监测计划，并要求按照本次风险影响评价要求制定了相应的环境风险应急预案。</w:t>
            </w:r>
          </w:p>
        </w:tc>
        <w:tc>
          <w:tcPr>
            <w:tcW w:w="714" w:type="dxa"/>
            <w:tcMar>
              <w:left w:w="57" w:type="dxa"/>
              <w:right w:w="57" w:type="dxa"/>
            </w:tcMar>
            <w:vAlign w:val="center"/>
          </w:tcPr>
          <w:p w14:paraId="56E593E4" w14:textId="77777777" w:rsidR="00AB6425" w:rsidRPr="00092862" w:rsidRDefault="00380D42" w:rsidP="00EB10D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符合</w:t>
            </w:r>
          </w:p>
        </w:tc>
      </w:tr>
    </w:tbl>
    <w:p w14:paraId="5BD0C2D3" w14:textId="6CFDAB63" w:rsidR="00380D42" w:rsidRPr="00092862" w:rsidRDefault="00380D42" w:rsidP="00DA2155">
      <w:pPr>
        <w:autoSpaceDE w:val="0"/>
        <w:autoSpaceDN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本项目为天然气</w:t>
      </w:r>
      <w:r w:rsidR="005036A4" w:rsidRPr="00092862">
        <w:rPr>
          <w:rFonts w:ascii="Times New Roman" w:eastAsia="宋体" w:hAnsi="Times New Roman" w:cs="Times New Roman"/>
          <w:color w:val="000000" w:themeColor="text1"/>
          <w:sz w:val="24"/>
        </w:rPr>
        <w:t>勘探</w:t>
      </w:r>
      <w:r w:rsidR="008A6501" w:rsidRPr="00092862">
        <w:rPr>
          <w:rFonts w:ascii="Times New Roman" w:eastAsia="宋体" w:hAnsi="Times New Roman" w:cs="Times New Roman"/>
          <w:color w:val="000000" w:themeColor="text1"/>
          <w:sz w:val="24"/>
        </w:rPr>
        <w:t>试采</w:t>
      </w:r>
      <w:r w:rsidR="009F0DE4" w:rsidRPr="00092862">
        <w:rPr>
          <w:rFonts w:ascii="Times New Roman" w:eastAsia="宋体" w:hAnsi="Times New Roman" w:cs="Times New Roman"/>
          <w:color w:val="000000" w:themeColor="text1"/>
          <w:sz w:val="24"/>
        </w:rPr>
        <w:t>工程</w:t>
      </w:r>
      <w:r w:rsidRPr="00092862">
        <w:rPr>
          <w:rFonts w:ascii="Times New Roman" w:eastAsia="宋体" w:hAnsi="Times New Roman" w:cs="Times New Roman"/>
          <w:color w:val="000000" w:themeColor="text1"/>
          <w:sz w:val="24"/>
        </w:rPr>
        <w:t>，不属于限制开采的矿产资源，项目位于</w:t>
      </w:r>
      <w:r w:rsidR="009A7AD5" w:rsidRPr="00092862">
        <w:rPr>
          <w:rFonts w:ascii="Times New Roman" w:eastAsia="宋体" w:hAnsi="Times New Roman" w:cs="Times New Roman"/>
          <w:color w:val="000000" w:themeColor="text1"/>
          <w:sz w:val="24"/>
        </w:rPr>
        <w:t>达州市</w:t>
      </w:r>
      <w:r w:rsidR="005036A4" w:rsidRPr="00092862">
        <w:rPr>
          <w:rFonts w:ascii="Times New Roman" w:eastAsia="宋体" w:hAnsi="Times New Roman" w:cs="Times New Roman"/>
          <w:color w:val="000000" w:themeColor="text1"/>
          <w:sz w:val="24"/>
        </w:rPr>
        <w:t>宣汉县</w:t>
      </w:r>
      <w:r w:rsidR="00215953" w:rsidRPr="00092862">
        <w:rPr>
          <w:rFonts w:ascii="Times New Roman" w:eastAsia="宋体" w:hAnsi="Times New Roman" w:cs="Times New Roman"/>
          <w:color w:val="000000" w:themeColor="text1"/>
          <w:sz w:val="24"/>
        </w:rPr>
        <w:t>老君乡古楼村</w:t>
      </w:r>
      <w:r w:rsidRPr="00092862">
        <w:rPr>
          <w:rFonts w:ascii="Times New Roman" w:eastAsia="宋体" w:hAnsi="Times New Roman" w:cs="Times New Roman"/>
          <w:color w:val="000000" w:themeColor="text1"/>
          <w:sz w:val="24"/>
        </w:rPr>
        <w:t>，所在区域不属于四川省矿产资源勘查开采规划区中的重点勘查区、限制勘查区和禁止勘查区，也不属于国家和省的规划矿区、储备和保护矿区、限制开采区和禁止开采区，不在规划环评提出的</w:t>
      </w:r>
      <w:r w:rsidRPr="00092862">
        <w:rPr>
          <w:rFonts w:ascii="Times New Roman" w:eastAsia="宋体" w:hAnsi="Times New Roman" w:cs="Times New Roman"/>
          <w:color w:val="000000" w:themeColor="text1"/>
          <w:sz w:val="24"/>
        </w:rPr>
        <w:t>11</w:t>
      </w:r>
      <w:r w:rsidRPr="00092862">
        <w:rPr>
          <w:rFonts w:ascii="Times New Roman" w:eastAsia="宋体" w:hAnsi="Times New Roman" w:cs="Times New Roman"/>
          <w:color w:val="000000" w:themeColor="text1"/>
          <w:sz w:val="24"/>
        </w:rPr>
        <w:t>个省级限制开采区、</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个省级禁止开采区范围，同时也不涉及自然保护区、饮用水水源保护区、风景名胜区等环境敏感区及四川省生态保护红线。拟建项目属于天然气</w:t>
      </w:r>
      <w:r w:rsidR="005036A4" w:rsidRPr="00092862">
        <w:rPr>
          <w:rFonts w:ascii="Times New Roman" w:eastAsia="宋体" w:hAnsi="Times New Roman" w:cs="Times New Roman"/>
          <w:color w:val="000000" w:themeColor="text1"/>
          <w:sz w:val="24"/>
        </w:rPr>
        <w:t>勘探</w:t>
      </w:r>
      <w:r w:rsidR="00625D3A"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，符合《四川省矿产资源总体规划（</w:t>
      </w:r>
      <w:r w:rsidRPr="00092862">
        <w:rPr>
          <w:rFonts w:ascii="Times New Roman" w:eastAsia="宋体" w:hAnsi="Times New Roman" w:cs="Times New Roman"/>
          <w:color w:val="000000" w:themeColor="text1"/>
          <w:sz w:val="24"/>
        </w:rPr>
        <w:t>2016-2020</w:t>
      </w:r>
      <w:r w:rsidRPr="00092862">
        <w:rPr>
          <w:rFonts w:ascii="Times New Roman" w:eastAsia="宋体" w:hAnsi="Times New Roman" w:cs="Times New Roman"/>
          <w:color w:val="000000" w:themeColor="text1"/>
          <w:sz w:val="24"/>
        </w:rPr>
        <w:t>年）》和规划环评及审查意见要求。</w:t>
      </w:r>
    </w:p>
    <w:p w14:paraId="144EA5EB" w14:textId="01B1DE4F" w:rsidR="007274B4" w:rsidRPr="00092862" w:rsidRDefault="007274B4" w:rsidP="007274B4">
      <w:pPr>
        <w:autoSpaceDE w:val="0"/>
        <w:autoSpaceDN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）与《四川省矿产资源总体规划（</w:t>
      </w:r>
      <w:r w:rsidRPr="00092862">
        <w:rPr>
          <w:rFonts w:ascii="Times New Roman" w:eastAsia="宋体" w:hAnsi="Times New Roman" w:cs="Times New Roman"/>
          <w:b/>
          <w:bCs/>
          <w:color w:val="000000" w:themeColor="text1"/>
          <w:sz w:val="24"/>
        </w:rPr>
        <w:t>2021-2025</w:t>
      </w:r>
      <w:r w:rsidRPr="00092862">
        <w:rPr>
          <w:rFonts w:ascii="Times New Roman" w:eastAsia="宋体" w:hAnsi="Times New Roman" w:cs="Times New Roman"/>
          <w:b/>
          <w:bCs/>
          <w:color w:val="000000" w:themeColor="text1"/>
          <w:sz w:val="24"/>
        </w:rPr>
        <w:t>年）环境影响报告书》符合性分析</w:t>
      </w:r>
    </w:p>
    <w:p w14:paraId="1BF1A411" w14:textId="6501E1B6" w:rsidR="00575F56" w:rsidRPr="00092862" w:rsidRDefault="00575F56" w:rsidP="00575F5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生态环境部出具了《关于〈四川省矿产资源总体规划（</w:t>
      </w:r>
      <w:r w:rsidRPr="00092862">
        <w:rPr>
          <w:rFonts w:ascii="Times New Roman" w:eastAsia="宋体" w:hAnsi="Times New Roman" w:cs="Times New Roman"/>
          <w:color w:val="000000" w:themeColor="text1"/>
          <w:sz w:val="24"/>
        </w:rPr>
        <w:t>2021-2025</w:t>
      </w:r>
      <w:r w:rsidRPr="00092862">
        <w:rPr>
          <w:rFonts w:ascii="Times New Roman" w:eastAsia="宋体" w:hAnsi="Times New Roman" w:cs="Times New Roman"/>
          <w:color w:val="000000" w:themeColor="text1"/>
          <w:sz w:val="24"/>
        </w:rPr>
        <w:t>年）环境影响报告书〉的审查意见》（环审〔</w:t>
      </w:r>
      <w:r w:rsidRPr="00092862">
        <w:rPr>
          <w:rFonts w:ascii="Times New Roman" w:eastAsia="宋体" w:hAnsi="Times New Roman" w:cs="Times New Roman"/>
          <w:color w:val="000000" w:themeColor="text1"/>
          <w:sz w:val="24"/>
        </w:rPr>
        <w:t>2022</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105</w:t>
      </w:r>
      <w:r w:rsidRPr="00092862">
        <w:rPr>
          <w:rFonts w:ascii="Times New Roman" w:eastAsia="宋体" w:hAnsi="Times New Roman" w:cs="Times New Roman"/>
          <w:color w:val="000000" w:themeColor="text1"/>
          <w:sz w:val="24"/>
        </w:rPr>
        <w:t>号），该规划提出规划目标：</w:t>
      </w:r>
      <w:r w:rsidRPr="00092862">
        <w:rPr>
          <w:rFonts w:ascii="Times New Roman" w:eastAsia="宋体" w:hAnsi="Times New Roman" w:cs="Times New Roman"/>
          <w:b/>
          <w:bCs/>
          <w:color w:val="000000" w:themeColor="text1"/>
          <w:sz w:val="24"/>
        </w:rPr>
        <w:t>主要矿产资源实现找矿新突破。</w:t>
      </w:r>
      <w:r w:rsidRPr="00092862">
        <w:rPr>
          <w:rFonts w:ascii="Times New Roman" w:eastAsia="宋体" w:hAnsi="Times New Roman" w:cs="Times New Roman"/>
          <w:color w:val="000000" w:themeColor="text1"/>
          <w:sz w:val="24"/>
        </w:rPr>
        <w:t>加大政府性投资勘察项目投入，提高重要矿产资源综合勘察水平，天然气、页岩气铁、锰、铜、铅锌、金、锂、稀土、磷、钾盐、石墨、优质玄武岩等主要矿产保障程度进一步提升，新发现和评价战略性矿产资源大中型矿产地</w:t>
      </w:r>
      <w:r w:rsidRPr="00092862">
        <w:rPr>
          <w:rFonts w:ascii="Times New Roman" w:eastAsia="宋体" w:hAnsi="Times New Roman" w:cs="Times New Roman"/>
          <w:color w:val="000000" w:themeColor="text1"/>
          <w:sz w:val="24"/>
        </w:rPr>
        <w:t>10-15</w:t>
      </w:r>
      <w:r w:rsidRPr="00092862">
        <w:rPr>
          <w:rFonts w:ascii="Times New Roman" w:eastAsia="宋体" w:hAnsi="Times New Roman" w:cs="Times New Roman"/>
          <w:color w:val="000000" w:themeColor="text1"/>
          <w:sz w:val="24"/>
        </w:rPr>
        <w:t>处。有力支撑川渝天然气千亿产能基地、攀西战略资源创新开发试验区和乐山稀土深加工产业发展。</w:t>
      </w:r>
    </w:p>
    <w:p w14:paraId="202FE257" w14:textId="77777777" w:rsidR="00575F56" w:rsidRPr="00092862" w:rsidRDefault="00575F56" w:rsidP="00575F5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川南能源化工勘查开发区。包括自贡、宜宾、泸州、内江</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市，加快培育壮大优势产业集群，打造全省第二经济增长极。重点推进川南页岩气勘查开发试验区建设，持续推荐长宁</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威远页岩气田已发现规模开发，</w:t>
      </w:r>
      <w:r w:rsidRPr="00092862">
        <w:rPr>
          <w:rFonts w:ascii="Times New Roman" w:eastAsia="宋体" w:hAnsi="Times New Roman" w:cs="Times New Roman"/>
          <w:b/>
          <w:bCs/>
          <w:color w:val="000000" w:themeColor="text1"/>
          <w:sz w:val="24"/>
        </w:rPr>
        <w:t>打造川渝天然气千亿产能基地</w:t>
      </w:r>
      <w:r w:rsidRPr="00092862">
        <w:rPr>
          <w:rFonts w:ascii="Times New Roman" w:eastAsia="宋体" w:hAnsi="Times New Roman" w:cs="Times New Roman"/>
          <w:color w:val="000000" w:themeColor="text1"/>
          <w:sz w:val="24"/>
        </w:rPr>
        <w:t>；加快煤层气勘查开发，推动采煤采气一体化；优化煤炭勘查开发布局，加快淘汰落后产能，保障无烟煤安全供应；从严配置水泥、玻璃、陶瓷原料等矿产资源，遏制过剩产能，提高综合开发利用效益。</w:t>
      </w:r>
    </w:p>
    <w:p w14:paraId="67BC882A" w14:textId="4C6D88E5" w:rsidR="00575F56" w:rsidRPr="00092862" w:rsidRDefault="00575F56" w:rsidP="00575F5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本项目属于石油天然气行业的勘探试采项目，本项目的建设有利于评价下一步页岩气清洁能源的开采供应，保障资源储量的稳定增长。因此，本项目建</w:t>
      </w:r>
      <w:r w:rsidRPr="00092862">
        <w:rPr>
          <w:rFonts w:ascii="Times New Roman" w:eastAsia="宋体" w:hAnsi="Times New Roman" w:cs="Times New Roman"/>
          <w:color w:val="000000" w:themeColor="text1"/>
          <w:sz w:val="24"/>
        </w:rPr>
        <w:lastRenderedPageBreak/>
        <w:t>设符合《四川省矿产资源总体规划（</w:t>
      </w:r>
      <w:r w:rsidRPr="00092862">
        <w:rPr>
          <w:rFonts w:ascii="Times New Roman" w:eastAsia="宋体" w:hAnsi="Times New Roman" w:cs="Times New Roman"/>
          <w:color w:val="000000" w:themeColor="text1"/>
          <w:sz w:val="24"/>
        </w:rPr>
        <w:t>2021-2025</w:t>
      </w:r>
      <w:r w:rsidRPr="00092862">
        <w:rPr>
          <w:rFonts w:ascii="Times New Roman" w:eastAsia="宋体" w:hAnsi="Times New Roman" w:cs="Times New Roman"/>
          <w:color w:val="000000" w:themeColor="text1"/>
          <w:sz w:val="24"/>
        </w:rPr>
        <w:t>年）环境影响报告书》的相关要求。</w:t>
      </w:r>
    </w:p>
    <w:p w14:paraId="1189BBBC" w14:textId="748CC6FB" w:rsidR="009A7AD5" w:rsidRPr="00092862" w:rsidRDefault="008E4753" w:rsidP="00DA2155">
      <w:pPr>
        <w:tabs>
          <w:tab w:val="left" w:pos="0"/>
        </w:tabs>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7</w:t>
      </w:r>
      <w:r w:rsidR="009A7AD5" w:rsidRPr="00092862">
        <w:rPr>
          <w:rFonts w:ascii="Times New Roman" w:eastAsia="黑体" w:hAnsi="Times New Roman" w:cs="Times New Roman"/>
          <w:color w:val="000000" w:themeColor="text1"/>
          <w:sz w:val="24"/>
        </w:rPr>
        <w:t>、本项目与水源地合理性分析</w:t>
      </w:r>
    </w:p>
    <w:p w14:paraId="6BF3E65F" w14:textId="52B2464B" w:rsidR="009A7AD5" w:rsidRPr="00092862" w:rsidRDefault="009A7AD5" w:rsidP="00DA2155">
      <w:pPr>
        <w:pStyle w:val="afffff6"/>
        <w:ind w:firstLine="480"/>
        <w:rPr>
          <w:color w:val="000000" w:themeColor="text1"/>
        </w:rPr>
      </w:pPr>
      <w:r w:rsidRPr="00092862">
        <w:rPr>
          <w:color w:val="000000" w:themeColor="text1"/>
        </w:rPr>
        <w:t>根据达州市人民政府《关于划定万源市、宣汉县和大竹县乡镇及以下集中式饮用水水源地保护区的批复》（达市府发</w:t>
      </w:r>
      <w:r w:rsidRPr="00092862">
        <w:rPr>
          <w:color w:val="000000" w:themeColor="text1"/>
          <w:kern w:val="2"/>
        </w:rPr>
        <w:t>〔</w:t>
      </w:r>
      <w:r w:rsidRPr="00092862">
        <w:rPr>
          <w:color w:val="000000" w:themeColor="text1"/>
          <w:kern w:val="2"/>
        </w:rPr>
        <w:t>2020</w:t>
      </w:r>
      <w:r w:rsidRPr="00092862">
        <w:rPr>
          <w:color w:val="000000" w:themeColor="text1"/>
          <w:kern w:val="2"/>
        </w:rPr>
        <w:t>〕</w:t>
      </w:r>
      <w:r w:rsidRPr="00092862">
        <w:rPr>
          <w:color w:val="000000" w:themeColor="text1"/>
        </w:rPr>
        <w:t>124</w:t>
      </w:r>
      <w:r w:rsidRPr="00092862">
        <w:rPr>
          <w:color w:val="000000" w:themeColor="text1"/>
        </w:rPr>
        <w:t>号）结合现场调查，项目所在地不涉及水源地保护区。</w:t>
      </w:r>
    </w:p>
    <w:p w14:paraId="5E950E1F" w14:textId="77777777" w:rsidR="00DC446C" w:rsidRPr="00092862" w:rsidRDefault="003B1968" w:rsidP="00DA2155">
      <w:pPr>
        <w:pStyle w:val="3"/>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66" w:name="_Toc120173080"/>
      <w:r w:rsidRPr="00092862">
        <w:rPr>
          <w:rFonts w:ascii="Times New Roman" w:eastAsia="黑体" w:hAnsi="Times New Roman"/>
          <w:b w:val="0"/>
          <w:color w:val="000000" w:themeColor="text1"/>
          <w:sz w:val="24"/>
          <w:szCs w:val="24"/>
          <w:lang w:eastAsia="zh-CN"/>
        </w:rPr>
        <w:t>2.7.3</w:t>
      </w:r>
      <w:r w:rsidRPr="00092862">
        <w:rPr>
          <w:rFonts w:ascii="Times New Roman" w:hAnsi="Times New Roman"/>
          <w:b w:val="0"/>
          <w:color w:val="000000" w:themeColor="text1"/>
          <w:sz w:val="24"/>
          <w:szCs w:val="24"/>
          <w:lang w:eastAsia="zh-CN"/>
        </w:rPr>
        <w:t>“</w:t>
      </w:r>
      <w:r w:rsidRPr="00092862">
        <w:rPr>
          <w:rFonts w:ascii="Times New Roman" w:eastAsia="黑体" w:hAnsi="Times New Roman"/>
          <w:b w:val="0"/>
          <w:color w:val="000000" w:themeColor="text1"/>
          <w:sz w:val="24"/>
          <w:szCs w:val="24"/>
          <w:lang w:eastAsia="zh-CN"/>
        </w:rPr>
        <w:t>三线一单</w:t>
      </w:r>
      <w:r w:rsidRPr="00092862">
        <w:rPr>
          <w:rFonts w:ascii="Times New Roman" w:hAnsi="Times New Roman"/>
          <w:b w:val="0"/>
          <w:color w:val="000000" w:themeColor="text1"/>
          <w:sz w:val="24"/>
          <w:szCs w:val="24"/>
          <w:lang w:eastAsia="zh-CN"/>
        </w:rPr>
        <w:t>”</w:t>
      </w:r>
      <w:r w:rsidRPr="00092862">
        <w:rPr>
          <w:rFonts w:ascii="Times New Roman" w:eastAsia="黑体" w:hAnsi="Times New Roman"/>
          <w:b w:val="0"/>
          <w:color w:val="000000" w:themeColor="text1"/>
          <w:sz w:val="24"/>
          <w:szCs w:val="24"/>
          <w:lang w:eastAsia="zh-CN"/>
        </w:rPr>
        <w:t>符合性分析</w:t>
      </w:r>
      <w:bookmarkEnd w:id="66"/>
    </w:p>
    <w:p w14:paraId="4DDF8B7A" w14:textId="77777777" w:rsidR="009C5B8E" w:rsidRPr="00092862" w:rsidRDefault="009C5B8E" w:rsidP="00DA2155">
      <w:pPr>
        <w:tabs>
          <w:tab w:val="left" w:pos="0"/>
        </w:tabs>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、项目与</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三线一单</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符合性</w:t>
      </w:r>
    </w:p>
    <w:p w14:paraId="13F69AB8" w14:textId="77777777" w:rsidR="009C5B8E" w:rsidRPr="00092862" w:rsidRDefault="009C5B8E" w:rsidP="00DA2155">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本次评价根据《项目环评</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三线一单</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符合性分析技术要点（试行）》（川环办函〔</w:t>
      </w:r>
      <w:r w:rsidRPr="00092862">
        <w:rPr>
          <w:rFonts w:ascii="Times New Roman" w:eastAsia="宋体" w:hAnsi="Times New Roman" w:cs="Times New Roman"/>
          <w:color w:val="000000" w:themeColor="text1"/>
          <w:sz w:val="24"/>
          <w:szCs w:val="24"/>
        </w:rPr>
        <w:t>2021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469</w:t>
      </w:r>
      <w:r w:rsidRPr="00092862">
        <w:rPr>
          <w:rFonts w:ascii="Times New Roman" w:eastAsia="宋体" w:hAnsi="Times New Roman" w:cs="Times New Roman"/>
          <w:color w:val="000000" w:themeColor="text1"/>
          <w:sz w:val="24"/>
          <w:szCs w:val="24"/>
        </w:rPr>
        <w:t>号）相关要求对项目</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三线一单</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进行了符合性分析，具体如下。</w:t>
      </w:r>
    </w:p>
    <w:p w14:paraId="769A3EAF" w14:textId="0F2E5F3B" w:rsidR="009C5B8E" w:rsidRPr="00092862" w:rsidRDefault="009C5B8E"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12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项目与</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三线一单</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409"/>
        <w:gridCol w:w="6059"/>
        <w:gridCol w:w="828"/>
      </w:tblGrid>
      <w:tr w:rsidR="00697429" w:rsidRPr="00092862" w14:paraId="05D333E7" w14:textId="77777777" w:rsidTr="009C5B8E">
        <w:trPr>
          <w:jc w:val="center"/>
        </w:trPr>
        <w:tc>
          <w:tcPr>
            <w:tcW w:w="849" w:type="pct"/>
            <w:vAlign w:val="center"/>
          </w:tcPr>
          <w:p w14:paraId="1663C879" w14:textId="77777777" w:rsidR="009C5B8E" w:rsidRPr="00092862" w:rsidRDefault="009C5B8E"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类别</w:t>
            </w:r>
          </w:p>
        </w:tc>
        <w:tc>
          <w:tcPr>
            <w:tcW w:w="3652" w:type="pct"/>
            <w:vAlign w:val="center"/>
          </w:tcPr>
          <w:p w14:paraId="0D0E780B" w14:textId="77777777" w:rsidR="009C5B8E" w:rsidRPr="00092862" w:rsidRDefault="009C5B8E"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项目与</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三线一单</w:t>
            </w:r>
            <w:r w:rsidRPr="00092862">
              <w:rPr>
                <w:rFonts w:ascii="Times New Roman" w:eastAsia="宋体" w:hAnsi="Times New Roman" w:cs="Times New Roman"/>
                <w:b/>
                <w:color w:val="000000" w:themeColor="text1"/>
                <w:szCs w:val="21"/>
              </w:rPr>
              <w:t>”</w:t>
            </w:r>
            <w:r w:rsidRPr="00092862">
              <w:rPr>
                <w:rFonts w:ascii="Times New Roman" w:eastAsia="宋体" w:hAnsi="Times New Roman" w:cs="Times New Roman"/>
                <w:b/>
                <w:color w:val="000000" w:themeColor="text1"/>
                <w:szCs w:val="21"/>
              </w:rPr>
              <w:t>符合性分析</w:t>
            </w:r>
          </w:p>
        </w:tc>
        <w:tc>
          <w:tcPr>
            <w:tcW w:w="499" w:type="pct"/>
            <w:vAlign w:val="center"/>
          </w:tcPr>
          <w:p w14:paraId="7F1FE64E" w14:textId="77777777" w:rsidR="009C5B8E" w:rsidRPr="00092862" w:rsidRDefault="009C5B8E" w:rsidP="003F1F64">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符合性</w:t>
            </w:r>
          </w:p>
        </w:tc>
      </w:tr>
      <w:tr w:rsidR="00697429" w:rsidRPr="00092862" w14:paraId="3C48BD2B" w14:textId="77777777" w:rsidTr="009C5B8E">
        <w:trPr>
          <w:trHeight w:val="317"/>
          <w:jc w:val="center"/>
        </w:trPr>
        <w:tc>
          <w:tcPr>
            <w:tcW w:w="849" w:type="pct"/>
            <w:vAlign w:val="center"/>
          </w:tcPr>
          <w:p w14:paraId="127AD83F"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生态保护红线</w:t>
            </w:r>
          </w:p>
        </w:tc>
        <w:tc>
          <w:tcPr>
            <w:tcW w:w="3652" w:type="pct"/>
            <w:vAlign w:val="center"/>
          </w:tcPr>
          <w:p w14:paraId="0DC6ACA0"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根据《四川省生态保护红线方案》（川府发〔</w:t>
            </w:r>
            <w:r w:rsidRPr="00092862">
              <w:rPr>
                <w:rFonts w:ascii="Times New Roman" w:eastAsia="宋体" w:hAnsi="Times New Roman" w:cs="Times New Roman"/>
                <w:bCs/>
                <w:color w:val="000000" w:themeColor="text1"/>
                <w:szCs w:val="21"/>
              </w:rPr>
              <w:t>2018</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24</w:t>
            </w:r>
            <w:r w:rsidRPr="00092862">
              <w:rPr>
                <w:rFonts w:ascii="Times New Roman" w:eastAsia="宋体" w:hAnsi="Times New Roman" w:cs="Times New Roman"/>
                <w:bCs/>
                <w:color w:val="000000" w:themeColor="text1"/>
                <w:szCs w:val="21"/>
              </w:rPr>
              <w:t>号）和达州市人民政府《关于落实生态保护红线、环境质量底线、资源利用上线制定生态环境准入清单实施生态环境分区管控的通知》（达市府发〔</w:t>
            </w:r>
            <w:r w:rsidRPr="00092862">
              <w:rPr>
                <w:rFonts w:ascii="Times New Roman" w:eastAsia="宋体" w:hAnsi="Times New Roman" w:cs="Times New Roman"/>
                <w:bCs/>
                <w:color w:val="000000" w:themeColor="text1"/>
                <w:szCs w:val="21"/>
              </w:rPr>
              <w:t>2021</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17</w:t>
            </w:r>
            <w:r w:rsidRPr="00092862">
              <w:rPr>
                <w:rFonts w:ascii="Times New Roman" w:eastAsia="宋体" w:hAnsi="Times New Roman" w:cs="Times New Roman"/>
                <w:bCs/>
                <w:color w:val="000000" w:themeColor="text1"/>
                <w:szCs w:val="21"/>
              </w:rPr>
              <w:t>号）项目所在地不在达州市生态保护红线范围内。</w:t>
            </w:r>
          </w:p>
        </w:tc>
        <w:tc>
          <w:tcPr>
            <w:tcW w:w="499" w:type="pct"/>
            <w:vAlign w:val="center"/>
          </w:tcPr>
          <w:p w14:paraId="19D93165"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符合</w:t>
            </w:r>
          </w:p>
        </w:tc>
      </w:tr>
      <w:tr w:rsidR="00697429" w:rsidRPr="00092862" w14:paraId="102BBED9" w14:textId="77777777" w:rsidTr="009C5B8E">
        <w:trPr>
          <w:trHeight w:val="699"/>
          <w:jc w:val="center"/>
        </w:trPr>
        <w:tc>
          <w:tcPr>
            <w:tcW w:w="849" w:type="pct"/>
            <w:vAlign w:val="center"/>
          </w:tcPr>
          <w:p w14:paraId="4D8DED6B"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环境质量底线</w:t>
            </w:r>
          </w:p>
        </w:tc>
        <w:tc>
          <w:tcPr>
            <w:tcW w:w="3652" w:type="pct"/>
            <w:vAlign w:val="center"/>
          </w:tcPr>
          <w:p w14:paraId="58D9F0B2"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项目所在区域的环境质量底线为：环境空气质量目标为《环境空气质量标准》（</w:t>
            </w:r>
            <w:r w:rsidRPr="00092862">
              <w:rPr>
                <w:rFonts w:ascii="Times New Roman" w:eastAsia="宋体" w:hAnsi="Times New Roman" w:cs="Times New Roman"/>
                <w:bCs/>
                <w:color w:val="000000" w:themeColor="text1"/>
                <w:szCs w:val="21"/>
              </w:rPr>
              <w:t>GB3095-2012</w:t>
            </w:r>
            <w:r w:rsidRPr="00092862">
              <w:rPr>
                <w:rFonts w:ascii="Times New Roman" w:eastAsia="宋体" w:hAnsi="Times New Roman" w:cs="Times New Roman"/>
                <w:bCs/>
                <w:color w:val="000000" w:themeColor="text1"/>
                <w:szCs w:val="21"/>
              </w:rPr>
              <w:t>）二级标准，水环境质量目标为《地表水环境质量标准》（</w:t>
            </w:r>
            <w:r w:rsidRPr="00092862">
              <w:rPr>
                <w:rFonts w:ascii="Times New Roman" w:eastAsia="宋体" w:hAnsi="Times New Roman" w:cs="Times New Roman"/>
                <w:bCs/>
                <w:color w:val="000000" w:themeColor="text1"/>
                <w:szCs w:val="21"/>
              </w:rPr>
              <w:t>GB3838-2002</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III</w:t>
            </w:r>
            <w:r w:rsidRPr="00092862">
              <w:rPr>
                <w:rFonts w:ascii="Times New Roman" w:eastAsia="宋体" w:hAnsi="Times New Roman" w:cs="Times New Roman"/>
                <w:bCs/>
                <w:color w:val="000000" w:themeColor="text1"/>
                <w:szCs w:val="21"/>
              </w:rPr>
              <w:t>类标准和《地下水质量标准》（</w:t>
            </w:r>
            <w:r w:rsidRPr="00092862">
              <w:rPr>
                <w:rFonts w:ascii="Times New Roman" w:eastAsia="宋体" w:hAnsi="Times New Roman" w:cs="Times New Roman"/>
                <w:bCs/>
                <w:color w:val="000000" w:themeColor="text1"/>
                <w:szCs w:val="21"/>
              </w:rPr>
              <w:t>GB/T14848-2017</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III</w:t>
            </w:r>
            <w:r w:rsidRPr="00092862">
              <w:rPr>
                <w:rFonts w:ascii="Times New Roman" w:eastAsia="宋体" w:hAnsi="Times New Roman" w:cs="Times New Roman"/>
                <w:bCs/>
                <w:color w:val="000000" w:themeColor="text1"/>
                <w:szCs w:val="21"/>
              </w:rPr>
              <w:t>类标准，声环境质量目标为《声环境质量标准》（</w:t>
            </w:r>
            <w:r w:rsidRPr="00092862">
              <w:rPr>
                <w:rFonts w:ascii="Times New Roman" w:eastAsia="宋体" w:hAnsi="Times New Roman" w:cs="Times New Roman"/>
                <w:bCs/>
                <w:color w:val="000000" w:themeColor="text1"/>
                <w:szCs w:val="21"/>
              </w:rPr>
              <w:t>GB3096-2008</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2</w:t>
            </w:r>
            <w:r w:rsidRPr="00092862">
              <w:rPr>
                <w:rFonts w:ascii="Times New Roman" w:eastAsia="宋体" w:hAnsi="Times New Roman" w:cs="Times New Roman"/>
                <w:bCs/>
                <w:color w:val="000000" w:themeColor="text1"/>
                <w:szCs w:val="21"/>
              </w:rPr>
              <w:t>类，土壤环境质量目标为《土壤环境质量</w:t>
            </w:r>
            <w:r w:rsidRPr="00092862">
              <w:rPr>
                <w:rFonts w:ascii="Times New Roman" w:eastAsia="宋体" w:hAnsi="Times New Roman" w:cs="Times New Roman"/>
                <w:bCs/>
                <w:color w:val="000000" w:themeColor="text1"/>
                <w:szCs w:val="21"/>
              </w:rPr>
              <w:t xml:space="preserve"> </w:t>
            </w:r>
            <w:r w:rsidRPr="00092862">
              <w:rPr>
                <w:rFonts w:ascii="Times New Roman" w:eastAsia="宋体" w:hAnsi="Times New Roman" w:cs="Times New Roman"/>
                <w:bCs/>
                <w:color w:val="000000" w:themeColor="text1"/>
                <w:szCs w:val="21"/>
              </w:rPr>
              <w:t>建设用地土壤污染风险管控标准（试行）》（</w:t>
            </w:r>
            <w:r w:rsidRPr="00092862">
              <w:rPr>
                <w:rFonts w:ascii="Times New Roman" w:eastAsia="宋体" w:hAnsi="Times New Roman" w:cs="Times New Roman"/>
                <w:bCs/>
                <w:color w:val="000000" w:themeColor="text1"/>
                <w:szCs w:val="21"/>
              </w:rPr>
              <w:t>GB36600-2018</w:t>
            </w:r>
            <w:r w:rsidRPr="00092862">
              <w:rPr>
                <w:rFonts w:ascii="Times New Roman" w:eastAsia="宋体" w:hAnsi="Times New Roman" w:cs="Times New Roman"/>
                <w:bCs/>
                <w:color w:val="000000" w:themeColor="text1"/>
                <w:szCs w:val="21"/>
              </w:rPr>
              <w:t>）中风险筛选值。项目地环境质量现状较好，在严格执行环评提出的相关污染防治措施后，本项目对区域环境影响较小，环境质量可保持现有水平。因此本项目不触及区域环境质量底线。</w:t>
            </w:r>
          </w:p>
        </w:tc>
        <w:tc>
          <w:tcPr>
            <w:tcW w:w="499" w:type="pct"/>
            <w:vAlign w:val="center"/>
          </w:tcPr>
          <w:p w14:paraId="3BF3B9CD"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符合</w:t>
            </w:r>
          </w:p>
        </w:tc>
      </w:tr>
      <w:tr w:rsidR="00697429" w:rsidRPr="00092862" w14:paraId="16442664" w14:textId="77777777" w:rsidTr="009C5B8E">
        <w:trPr>
          <w:trHeight w:val="357"/>
          <w:jc w:val="center"/>
        </w:trPr>
        <w:tc>
          <w:tcPr>
            <w:tcW w:w="849" w:type="pct"/>
            <w:vAlign w:val="center"/>
          </w:tcPr>
          <w:p w14:paraId="79454858"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资源利用上线</w:t>
            </w:r>
          </w:p>
        </w:tc>
        <w:tc>
          <w:tcPr>
            <w:tcW w:w="3652" w:type="pct"/>
            <w:vAlign w:val="center"/>
          </w:tcPr>
          <w:p w14:paraId="71F55D0A" w14:textId="4A7E7C76"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本项目为天然气井建设及天然气</w:t>
            </w:r>
            <w:r w:rsidR="005036A4" w:rsidRPr="00092862">
              <w:rPr>
                <w:rFonts w:ascii="Times New Roman" w:eastAsia="宋体" w:hAnsi="Times New Roman" w:cs="Times New Roman"/>
                <w:bCs/>
                <w:color w:val="000000" w:themeColor="text1"/>
                <w:szCs w:val="21"/>
              </w:rPr>
              <w:t>试采</w:t>
            </w:r>
            <w:r w:rsidR="00402F3D" w:rsidRPr="00092862">
              <w:rPr>
                <w:rFonts w:ascii="Times New Roman" w:eastAsia="宋体" w:hAnsi="Times New Roman" w:cs="Times New Roman"/>
                <w:bCs/>
                <w:color w:val="000000" w:themeColor="text1"/>
                <w:szCs w:val="21"/>
              </w:rPr>
              <w:t>工程</w:t>
            </w:r>
            <w:r w:rsidRPr="00092862">
              <w:rPr>
                <w:rFonts w:ascii="Times New Roman" w:eastAsia="宋体" w:hAnsi="Times New Roman" w:cs="Times New Roman"/>
                <w:bCs/>
                <w:color w:val="000000" w:themeColor="text1"/>
                <w:szCs w:val="21"/>
              </w:rPr>
              <w:t>，主要为地区产业发展提供可靠的基础能源设施。本项目通过内部管理、设备选择、原辅材料的选用和管理、废物回收利用、污染治理等多方面采取合理可行的防治措施，以</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节能、降耗、减污</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为目标，有效地控制污染，资源消耗未达到区域资源利用上限。</w:t>
            </w:r>
          </w:p>
        </w:tc>
        <w:tc>
          <w:tcPr>
            <w:tcW w:w="499" w:type="pct"/>
            <w:vAlign w:val="center"/>
          </w:tcPr>
          <w:p w14:paraId="6CFF393F"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符合</w:t>
            </w:r>
          </w:p>
        </w:tc>
      </w:tr>
      <w:tr w:rsidR="00697429" w:rsidRPr="00092862" w14:paraId="4D7A5627" w14:textId="77777777" w:rsidTr="009C5B8E">
        <w:trPr>
          <w:trHeight w:val="718"/>
          <w:jc w:val="center"/>
        </w:trPr>
        <w:tc>
          <w:tcPr>
            <w:tcW w:w="849" w:type="pct"/>
            <w:vAlign w:val="center"/>
          </w:tcPr>
          <w:p w14:paraId="4F819196"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环境准入负面清单</w:t>
            </w:r>
          </w:p>
        </w:tc>
        <w:tc>
          <w:tcPr>
            <w:tcW w:w="3652" w:type="pct"/>
            <w:vAlign w:val="center"/>
          </w:tcPr>
          <w:p w14:paraId="38BAF75E" w14:textId="20E86A85"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本项目符合国家产业政策，项目采取有效的三废治理措施，具备污染物控制处理的条件，符合当地环保规划的要求。根据四川省政府常务会议</w:t>
            </w:r>
            <w:r w:rsidRPr="00092862">
              <w:rPr>
                <w:rFonts w:ascii="Times New Roman" w:eastAsia="宋体" w:hAnsi="Times New Roman" w:cs="Times New Roman"/>
                <w:bCs/>
                <w:color w:val="000000" w:themeColor="text1"/>
                <w:szCs w:val="21"/>
              </w:rPr>
              <w:t>2019</w:t>
            </w:r>
            <w:r w:rsidRPr="00092862">
              <w:rPr>
                <w:rFonts w:ascii="Times New Roman" w:eastAsia="宋体" w:hAnsi="Times New Roman" w:cs="Times New Roman"/>
                <w:bCs/>
                <w:color w:val="000000" w:themeColor="text1"/>
                <w:szCs w:val="21"/>
              </w:rPr>
              <w:t>年</w:t>
            </w:r>
            <w:r w:rsidRPr="00092862">
              <w:rPr>
                <w:rFonts w:ascii="Times New Roman" w:eastAsia="宋体" w:hAnsi="Times New Roman" w:cs="Times New Roman"/>
                <w:bCs/>
                <w:color w:val="000000" w:themeColor="text1"/>
                <w:szCs w:val="21"/>
              </w:rPr>
              <w:t>8</w:t>
            </w:r>
            <w:r w:rsidRPr="00092862">
              <w:rPr>
                <w:rFonts w:ascii="Times New Roman" w:eastAsia="宋体" w:hAnsi="Times New Roman" w:cs="Times New Roman"/>
                <w:bCs/>
                <w:color w:val="000000" w:themeColor="text1"/>
                <w:szCs w:val="21"/>
              </w:rPr>
              <w:t>月</w:t>
            </w:r>
            <w:r w:rsidRPr="00092862">
              <w:rPr>
                <w:rFonts w:ascii="Times New Roman" w:eastAsia="宋体" w:hAnsi="Times New Roman" w:cs="Times New Roman"/>
                <w:bCs/>
                <w:color w:val="000000" w:themeColor="text1"/>
                <w:szCs w:val="21"/>
              </w:rPr>
              <w:t>19</w:t>
            </w:r>
            <w:r w:rsidRPr="00092862">
              <w:rPr>
                <w:rFonts w:ascii="Times New Roman" w:eastAsia="宋体" w:hAnsi="Times New Roman" w:cs="Times New Roman"/>
                <w:bCs/>
                <w:color w:val="000000" w:themeColor="text1"/>
                <w:szCs w:val="21"/>
              </w:rPr>
              <w:t>日审议通过的相关实施细则，对长江经济带发展实行负面清单管控，明确列出了禁止投资建设的项目类别，管控重点为污染物排放量大、产能过剩严重、环境问题突出的产业，</w:t>
            </w:r>
            <w:r w:rsidR="005036A4" w:rsidRPr="00092862">
              <w:rPr>
                <w:rFonts w:ascii="Times New Roman" w:eastAsia="宋体" w:hAnsi="Times New Roman" w:cs="Times New Roman"/>
                <w:bCs/>
                <w:color w:val="000000" w:themeColor="text1"/>
                <w:szCs w:val="21"/>
              </w:rPr>
              <w:t>本项目为天然气井建设及天然气试采工程</w:t>
            </w:r>
            <w:r w:rsidRPr="00092862">
              <w:rPr>
                <w:rFonts w:ascii="Times New Roman" w:eastAsia="宋体" w:hAnsi="Times New Roman" w:cs="Times New Roman"/>
                <w:bCs/>
                <w:color w:val="000000" w:themeColor="text1"/>
                <w:szCs w:val="21"/>
              </w:rPr>
              <w:t>，不属于环境准入负面清单中的项目。</w:t>
            </w:r>
          </w:p>
        </w:tc>
        <w:tc>
          <w:tcPr>
            <w:tcW w:w="499" w:type="pct"/>
            <w:vAlign w:val="center"/>
          </w:tcPr>
          <w:p w14:paraId="77B09CBF" w14:textId="77777777" w:rsidR="009C5B8E" w:rsidRPr="00092862" w:rsidRDefault="009C5B8E" w:rsidP="003F1F64">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符合</w:t>
            </w:r>
          </w:p>
        </w:tc>
      </w:tr>
    </w:tbl>
    <w:p w14:paraId="3D7EF230" w14:textId="171555B1" w:rsidR="00951610" w:rsidRPr="00092862" w:rsidRDefault="00951610" w:rsidP="00951610">
      <w:pPr>
        <w:pStyle w:val="afffffffff4"/>
        <w:ind w:firstLineChars="200" w:firstLine="480"/>
        <w:rPr>
          <w:color w:val="000000" w:themeColor="text1"/>
        </w:rPr>
      </w:pPr>
      <w:r w:rsidRPr="00092862">
        <w:rPr>
          <w:color w:val="000000" w:themeColor="text1"/>
        </w:rPr>
        <w:t>根据四川省发展和改革委员会关于印发《四川省国家重点生态功能区产业</w:t>
      </w:r>
      <w:r w:rsidRPr="00092862">
        <w:rPr>
          <w:color w:val="000000" w:themeColor="text1"/>
        </w:rPr>
        <w:lastRenderedPageBreak/>
        <w:t>准人负面清单（第一批）（试行）》及《四川省重点生态功能区产业准人负面清单（第二批）（试行）》的通知，本项目不在四川省重点生态功能区产业准入负面清单中。同时，根据</w:t>
      </w:r>
      <w:r w:rsidRPr="00092862">
        <w:rPr>
          <w:bCs/>
          <w:color w:val="000000" w:themeColor="text1"/>
        </w:rPr>
        <w:t>《四川省、重庆市长江经济带发展负面清单实施细则（试行，</w:t>
      </w:r>
      <w:r w:rsidRPr="00092862">
        <w:rPr>
          <w:bCs/>
          <w:color w:val="000000" w:themeColor="text1"/>
        </w:rPr>
        <w:t>2022</w:t>
      </w:r>
      <w:r w:rsidRPr="00092862">
        <w:rPr>
          <w:bCs/>
          <w:color w:val="000000" w:themeColor="text1"/>
        </w:rPr>
        <w:t>年版）》（川长江办</w:t>
      </w:r>
      <w:r w:rsidRPr="00092862">
        <w:rPr>
          <w:bCs/>
          <w:color w:val="000000" w:themeColor="text1"/>
        </w:rPr>
        <w:t>[2022]17</w:t>
      </w:r>
      <w:r w:rsidRPr="00092862">
        <w:rPr>
          <w:bCs/>
          <w:color w:val="000000" w:themeColor="text1"/>
        </w:rPr>
        <w:t>号）</w:t>
      </w:r>
      <w:r w:rsidRPr="00092862">
        <w:rPr>
          <w:color w:val="000000" w:themeColor="text1"/>
        </w:rPr>
        <w:t>，本项目不涉及自然保护区、风景名胜区、湿地公园、水产种质资源保护区、饮用水源一级保护区、饮用水源一级保护区等。项目与</w:t>
      </w:r>
      <w:r w:rsidRPr="00092862">
        <w:rPr>
          <w:bCs/>
          <w:color w:val="000000" w:themeColor="text1"/>
        </w:rPr>
        <w:t>《四川省、重庆市长江经济带发展负面清单实施细则（试行，</w:t>
      </w:r>
      <w:r w:rsidRPr="00092862">
        <w:rPr>
          <w:bCs/>
          <w:color w:val="000000" w:themeColor="text1"/>
        </w:rPr>
        <w:t>2022</w:t>
      </w:r>
      <w:r w:rsidRPr="00092862">
        <w:rPr>
          <w:bCs/>
          <w:color w:val="000000" w:themeColor="text1"/>
        </w:rPr>
        <w:t>年版）》（川长江办</w:t>
      </w:r>
      <w:r w:rsidRPr="00092862">
        <w:rPr>
          <w:bCs/>
          <w:color w:val="000000" w:themeColor="text1"/>
        </w:rPr>
        <w:t>[2022]17</w:t>
      </w:r>
      <w:r w:rsidRPr="00092862">
        <w:rPr>
          <w:bCs/>
          <w:color w:val="000000" w:themeColor="text1"/>
        </w:rPr>
        <w:t>号）</w:t>
      </w:r>
      <w:r w:rsidRPr="00092862">
        <w:rPr>
          <w:color w:val="000000" w:themeColor="text1"/>
        </w:rPr>
        <w:t>符合性分析见下表。</w:t>
      </w:r>
    </w:p>
    <w:p w14:paraId="4A1E010A" w14:textId="6748375A" w:rsidR="00951610" w:rsidRPr="00092862" w:rsidRDefault="00951610" w:rsidP="00951610">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5D4C5B" w:rsidRPr="00092862">
        <w:rPr>
          <w:rFonts w:ascii="Times New Roman" w:eastAsia="黑体" w:hAnsi="Times New Roman"/>
          <w:color w:val="000000" w:themeColor="text1"/>
          <w:sz w:val="21"/>
          <w:szCs w:val="21"/>
          <w:lang w:eastAsia="zh-CN"/>
        </w:rPr>
        <w:t>2.7-13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与《四川省、重庆市长江经济带发展负面清单实施细则（试行，</w:t>
      </w:r>
      <w:r w:rsidRPr="00092862">
        <w:rPr>
          <w:rFonts w:ascii="Times New Roman" w:eastAsia="黑体" w:hAnsi="Times New Roman"/>
          <w:color w:val="000000" w:themeColor="text1"/>
          <w:sz w:val="21"/>
          <w:szCs w:val="21"/>
          <w:lang w:eastAsia="zh-CN"/>
        </w:rPr>
        <w:t>2022</w:t>
      </w:r>
      <w:r w:rsidRPr="00092862">
        <w:rPr>
          <w:rFonts w:ascii="Times New Roman" w:eastAsia="黑体" w:hAnsi="Times New Roman"/>
          <w:color w:val="000000" w:themeColor="text1"/>
          <w:sz w:val="21"/>
          <w:szCs w:val="21"/>
          <w:lang w:eastAsia="zh-CN"/>
        </w:rPr>
        <w:t>年版）》（川长江办</w:t>
      </w:r>
      <w:r w:rsidRPr="00092862">
        <w:rPr>
          <w:rFonts w:ascii="Times New Roman" w:eastAsia="黑体" w:hAnsi="Times New Roman"/>
          <w:color w:val="000000" w:themeColor="text1"/>
          <w:sz w:val="21"/>
          <w:szCs w:val="21"/>
          <w:lang w:eastAsia="zh-CN"/>
        </w:rPr>
        <w:t>[2022]17</w:t>
      </w:r>
      <w:r w:rsidRPr="00092862">
        <w:rPr>
          <w:rFonts w:ascii="Times New Roman" w:eastAsia="黑体" w:hAnsi="Times New Roman"/>
          <w:color w:val="000000" w:themeColor="text1"/>
          <w:sz w:val="21"/>
          <w:szCs w:val="21"/>
          <w:lang w:eastAsia="zh-CN"/>
        </w:rPr>
        <w:t>号）符合性分析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7"/>
        <w:gridCol w:w="5343"/>
        <w:gridCol w:w="1704"/>
        <w:gridCol w:w="412"/>
      </w:tblGrid>
      <w:tr w:rsidR="00697429" w:rsidRPr="00092862" w14:paraId="7BBE07D3" w14:textId="77777777" w:rsidTr="00D72D31">
        <w:trPr>
          <w:jc w:val="center"/>
        </w:trPr>
        <w:tc>
          <w:tcPr>
            <w:tcW w:w="0" w:type="auto"/>
            <w:vAlign w:val="center"/>
          </w:tcPr>
          <w:p w14:paraId="7C1AC228" w14:textId="77777777" w:rsidR="00951610" w:rsidRPr="00092862" w:rsidRDefault="00951610" w:rsidP="00030BF9">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0" w:type="auto"/>
            <w:vAlign w:val="center"/>
          </w:tcPr>
          <w:p w14:paraId="29977D75" w14:textId="77777777" w:rsidR="00951610" w:rsidRPr="00092862" w:rsidRDefault="00951610" w:rsidP="00030BF9">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污染防治技术政策要求</w:t>
            </w:r>
          </w:p>
        </w:tc>
        <w:tc>
          <w:tcPr>
            <w:tcW w:w="0" w:type="auto"/>
            <w:vAlign w:val="center"/>
          </w:tcPr>
          <w:p w14:paraId="33B4ADF9" w14:textId="77777777" w:rsidR="00951610" w:rsidRPr="00092862" w:rsidRDefault="00951610" w:rsidP="00030BF9">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本工程内容</w:t>
            </w:r>
          </w:p>
        </w:tc>
        <w:tc>
          <w:tcPr>
            <w:tcW w:w="0" w:type="auto"/>
            <w:vAlign w:val="center"/>
          </w:tcPr>
          <w:p w14:paraId="3582F356" w14:textId="77777777" w:rsidR="00951610" w:rsidRPr="00092862" w:rsidRDefault="00951610" w:rsidP="00030BF9">
            <w:pPr>
              <w:autoSpaceDE w:val="0"/>
              <w:autoSpaceDN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符合性分析</w:t>
            </w:r>
          </w:p>
        </w:tc>
      </w:tr>
      <w:tr w:rsidR="00697429" w:rsidRPr="00092862" w14:paraId="368439C5" w14:textId="77777777" w:rsidTr="00D72D31">
        <w:trPr>
          <w:jc w:val="center"/>
        </w:trPr>
        <w:tc>
          <w:tcPr>
            <w:tcW w:w="0" w:type="auto"/>
            <w:vAlign w:val="center"/>
          </w:tcPr>
          <w:p w14:paraId="443F24D6"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第五条</w:t>
            </w:r>
          </w:p>
        </w:tc>
        <w:tc>
          <w:tcPr>
            <w:tcW w:w="0" w:type="auto"/>
            <w:vAlign w:val="center"/>
          </w:tcPr>
          <w:p w14:paraId="4574F0E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禁止新建、改建和扩建不符合全国港口布局规划，以及《四川省内河水运发展规划》、《泸州</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宜宾</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乐山港口群布局规划》、《重庆港总体规划（</w:t>
            </w:r>
            <w:r w:rsidRPr="00092862">
              <w:rPr>
                <w:rFonts w:ascii="Times New Roman" w:eastAsia="宋体" w:hAnsi="Times New Roman" w:cs="Times New Roman"/>
                <w:color w:val="000000" w:themeColor="text1"/>
                <w:szCs w:val="21"/>
              </w:rPr>
              <w:t>2035</w:t>
            </w:r>
            <w:r w:rsidRPr="00092862">
              <w:rPr>
                <w:rFonts w:ascii="Times New Roman" w:eastAsia="宋体" w:hAnsi="Times New Roman" w:cs="Times New Roman"/>
                <w:color w:val="000000" w:themeColor="text1"/>
                <w:szCs w:val="21"/>
              </w:rPr>
              <w:t>年）》等省级港口布局规划及市级港口总体规划的码头项目。</w:t>
            </w:r>
          </w:p>
        </w:tc>
        <w:tc>
          <w:tcPr>
            <w:tcW w:w="0" w:type="auto"/>
            <w:vAlign w:val="center"/>
          </w:tcPr>
          <w:p w14:paraId="324A6226"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本工程不属于该类项目。</w:t>
            </w:r>
          </w:p>
        </w:tc>
        <w:tc>
          <w:tcPr>
            <w:tcW w:w="0" w:type="auto"/>
            <w:vAlign w:val="center"/>
          </w:tcPr>
          <w:p w14:paraId="6AA4274A"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2F248C3" w14:textId="77777777" w:rsidTr="00D72D31">
        <w:trPr>
          <w:jc w:val="center"/>
        </w:trPr>
        <w:tc>
          <w:tcPr>
            <w:tcW w:w="0" w:type="auto"/>
            <w:vAlign w:val="center"/>
          </w:tcPr>
          <w:p w14:paraId="09A90606"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第六条</w:t>
            </w:r>
          </w:p>
        </w:tc>
        <w:tc>
          <w:tcPr>
            <w:tcW w:w="0" w:type="auto"/>
            <w:vAlign w:val="center"/>
          </w:tcPr>
          <w:p w14:paraId="3458C449"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禁止新建、改建和扩建不符合《长江干线过江通道布局规划》的过长江通道项目（含桥梁、隧道），国家发展改革委同意过长江通道线位调整的除外。</w:t>
            </w:r>
          </w:p>
        </w:tc>
        <w:tc>
          <w:tcPr>
            <w:tcW w:w="0" w:type="auto"/>
            <w:vAlign w:val="center"/>
          </w:tcPr>
          <w:p w14:paraId="4C6EEF86" w14:textId="28851F46"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本工程不涉及长江</w:t>
            </w:r>
          </w:p>
        </w:tc>
        <w:tc>
          <w:tcPr>
            <w:tcW w:w="0" w:type="auto"/>
            <w:vAlign w:val="center"/>
          </w:tcPr>
          <w:p w14:paraId="56E7BAB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9B01A12" w14:textId="77777777" w:rsidTr="00D72D31">
        <w:trPr>
          <w:jc w:val="center"/>
        </w:trPr>
        <w:tc>
          <w:tcPr>
            <w:tcW w:w="0" w:type="auto"/>
            <w:vAlign w:val="center"/>
          </w:tcPr>
          <w:p w14:paraId="73DE0B3F"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第七条</w:t>
            </w:r>
          </w:p>
        </w:tc>
        <w:tc>
          <w:tcPr>
            <w:tcW w:w="0" w:type="auto"/>
            <w:vAlign w:val="center"/>
          </w:tcPr>
          <w:p w14:paraId="286268BF"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禁止在自然保护区核心区、缓冲区的岸线和河段范围内投资建设旅游和生产经营项目。自然保护区内部未分区的，依照核心区和缓冲区的规定管控。</w:t>
            </w:r>
          </w:p>
        </w:tc>
        <w:tc>
          <w:tcPr>
            <w:tcW w:w="0" w:type="auto"/>
            <w:vAlign w:val="center"/>
          </w:tcPr>
          <w:p w14:paraId="625940C6"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本工程不在当地自然保护区范围内。</w:t>
            </w:r>
          </w:p>
        </w:tc>
        <w:tc>
          <w:tcPr>
            <w:tcW w:w="0" w:type="auto"/>
            <w:vAlign w:val="center"/>
          </w:tcPr>
          <w:p w14:paraId="1516E08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1B055FA1" w14:textId="77777777" w:rsidTr="00D72D31">
        <w:trPr>
          <w:jc w:val="center"/>
        </w:trPr>
        <w:tc>
          <w:tcPr>
            <w:tcW w:w="0" w:type="auto"/>
            <w:vAlign w:val="center"/>
          </w:tcPr>
          <w:p w14:paraId="63E4F084"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第八条</w:t>
            </w:r>
          </w:p>
        </w:tc>
        <w:tc>
          <w:tcPr>
            <w:tcW w:w="0" w:type="auto"/>
            <w:vAlign w:val="center"/>
          </w:tcPr>
          <w:p w14:paraId="60EBD8D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禁止违反风景名胜区规划，在风景名胜区内设立各类开发区；禁止在风景名胜区核心景区的岸线和河段范围内建设宾馆、招待所、培训中心、疗养院以及与风景名胜资源保护无关的其他建筑物。</w:t>
            </w:r>
          </w:p>
        </w:tc>
        <w:tc>
          <w:tcPr>
            <w:tcW w:w="0" w:type="auto"/>
            <w:vAlign w:val="center"/>
          </w:tcPr>
          <w:p w14:paraId="52EA5E4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本工程不在当地风景名胜区范围内。</w:t>
            </w:r>
          </w:p>
        </w:tc>
        <w:tc>
          <w:tcPr>
            <w:tcW w:w="0" w:type="auto"/>
            <w:vAlign w:val="center"/>
          </w:tcPr>
          <w:p w14:paraId="042F05FD"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B2F06E2" w14:textId="77777777" w:rsidTr="00D72D31">
        <w:trPr>
          <w:jc w:val="center"/>
        </w:trPr>
        <w:tc>
          <w:tcPr>
            <w:tcW w:w="0" w:type="auto"/>
            <w:vAlign w:val="center"/>
          </w:tcPr>
          <w:p w14:paraId="3832571D"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第九条、第十条、第十一条</w:t>
            </w:r>
          </w:p>
        </w:tc>
        <w:tc>
          <w:tcPr>
            <w:tcW w:w="0" w:type="auto"/>
            <w:vAlign w:val="center"/>
          </w:tcPr>
          <w:p w14:paraId="7E44D324" w14:textId="77777777" w:rsidR="00951610" w:rsidRPr="00092862" w:rsidRDefault="00951610" w:rsidP="00030BF9">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禁止在饮用水水源准保护区的岸线和河段范围内新建、扩建对水体污染严重的建设项目，禁止改建增加排污量的建设项目。</w:t>
            </w:r>
          </w:p>
          <w:p w14:paraId="31650397" w14:textId="77777777" w:rsidR="00951610" w:rsidRPr="00092862" w:rsidRDefault="00951610" w:rsidP="00030BF9">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饮用水水源二级保护区的岸线和河段范围内，除遵守准保护区规定外，禁止新建、改建、扩建排放污染物的投资建设项目；禁止从事对水体有污染的水产养殖活动。</w:t>
            </w:r>
          </w:p>
          <w:p w14:paraId="0B4786E9" w14:textId="77777777" w:rsidR="00951610" w:rsidRPr="00092862" w:rsidRDefault="00951610" w:rsidP="00030BF9">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0" w:type="auto"/>
            <w:vAlign w:val="center"/>
          </w:tcPr>
          <w:p w14:paraId="520F3DF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本工程不在当地集中式饮用水源保护区范围内。</w:t>
            </w:r>
          </w:p>
        </w:tc>
        <w:tc>
          <w:tcPr>
            <w:tcW w:w="0" w:type="auto"/>
            <w:vAlign w:val="center"/>
          </w:tcPr>
          <w:p w14:paraId="2DC8CB61"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99C527B" w14:textId="77777777" w:rsidTr="00D72D31">
        <w:trPr>
          <w:jc w:val="center"/>
        </w:trPr>
        <w:tc>
          <w:tcPr>
            <w:tcW w:w="0" w:type="auto"/>
            <w:vAlign w:val="center"/>
          </w:tcPr>
          <w:p w14:paraId="2627B9E2"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第十二条</w:t>
            </w:r>
          </w:p>
        </w:tc>
        <w:tc>
          <w:tcPr>
            <w:tcW w:w="0" w:type="auto"/>
            <w:vAlign w:val="center"/>
          </w:tcPr>
          <w:p w14:paraId="5D12EC44"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禁止在水产种质资源保护区的岸线和河段范围内新建围湖造田、围湖造地或挖沙采石等投资建设项目。</w:t>
            </w:r>
          </w:p>
        </w:tc>
        <w:tc>
          <w:tcPr>
            <w:tcW w:w="0" w:type="auto"/>
            <w:vAlign w:val="center"/>
          </w:tcPr>
          <w:p w14:paraId="39FECC6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本工程不在当地水产种质资源保护区范围内。</w:t>
            </w:r>
          </w:p>
        </w:tc>
        <w:tc>
          <w:tcPr>
            <w:tcW w:w="0" w:type="auto"/>
            <w:vAlign w:val="center"/>
          </w:tcPr>
          <w:p w14:paraId="7EF3CA14"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902E32E" w14:textId="77777777" w:rsidTr="00D72D31">
        <w:trPr>
          <w:jc w:val="center"/>
        </w:trPr>
        <w:tc>
          <w:tcPr>
            <w:tcW w:w="0" w:type="auto"/>
            <w:vAlign w:val="center"/>
          </w:tcPr>
          <w:p w14:paraId="2D15243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第十三条</w:t>
            </w:r>
          </w:p>
        </w:tc>
        <w:tc>
          <w:tcPr>
            <w:tcW w:w="0" w:type="auto"/>
            <w:vAlign w:val="center"/>
          </w:tcPr>
          <w:p w14:paraId="1F1AD1D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国家湿地公园的岸线和河段范围内开（围）垦、填埋或者排干湿地，截断湿地水源，挖沙、采矿，倾倒有毒有害物质、废弃物、垃圾，从事房地产、度假村、高尔夫球场、风力发电、光伏发电等任何不符合主体功能定位的</w:t>
            </w:r>
            <w:r w:rsidRPr="00092862">
              <w:rPr>
                <w:rFonts w:ascii="Times New Roman" w:eastAsia="宋体" w:hAnsi="Times New Roman" w:cs="Times New Roman"/>
                <w:color w:val="000000" w:themeColor="text1"/>
                <w:szCs w:val="21"/>
              </w:rPr>
              <w:lastRenderedPageBreak/>
              <w:t>建设项目和开发活动，破坏野生动物栖息地和迁徙通道、鱼类洄游通道。</w:t>
            </w:r>
          </w:p>
        </w:tc>
        <w:tc>
          <w:tcPr>
            <w:tcW w:w="0" w:type="auto"/>
            <w:vAlign w:val="center"/>
          </w:tcPr>
          <w:p w14:paraId="62F0A448"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本工程不涉及当地湿地公园。</w:t>
            </w:r>
          </w:p>
        </w:tc>
        <w:tc>
          <w:tcPr>
            <w:tcW w:w="0" w:type="auto"/>
            <w:vAlign w:val="center"/>
          </w:tcPr>
          <w:p w14:paraId="44DB3812"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790DA32" w14:textId="77777777" w:rsidTr="00D72D31">
        <w:trPr>
          <w:jc w:val="center"/>
        </w:trPr>
        <w:tc>
          <w:tcPr>
            <w:tcW w:w="0" w:type="auto"/>
            <w:vAlign w:val="center"/>
          </w:tcPr>
          <w:p w14:paraId="6ED230FA"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第十四条</w:t>
            </w:r>
          </w:p>
        </w:tc>
        <w:tc>
          <w:tcPr>
            <w:tcW w:w="0" w:type="auto"/>
            <w:vAlign w:val="center"/>
          </w:tcPr>
          <w:p w14:paraId="10ADDBC9"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四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0" w:type="auto"/>
            <w:vAlign w:val="center"/>
          </w:tcPr>
          <w:p w14:paraId="78D57652"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本工程不在《长江岸线保护和开发利用总体规划》划定的岸线保护区范围内。</w:t>
            </w:r>
          </w:p>
        </w:tc>
        <w:tc>
          <w:tcPr>
            <w:tcW w:w="0" w:type="auto"/>
            <w:vAlign w:val="center"/>
          </w:tcPr>
          <w:p w14:paraId="302932DB"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60D2673" w14:textId="77777777" w:rsidTr="00D72D31">
        <w:trPr>
          <w:jc w:val="center"/>
        </w:trPr>
        <w:tc>
          <w:tcPr>
            <w:tcW w:w="0" w:type="auto"/>
            <w:vAlign w:val="center"/>
          </w:tcPr>
          <w:p w14:paraId="4B0F737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第十五条</w:t>
            </w:r>
          </w:p>
        </w:tc>
        <w:tc>
          <w:tcPr>
            <w:tcW w:w="0" w:type="auto"/>
            <w:vAlign w:val="center"/>
          </w:tcPr>
          <w:p w14:paraId="2ACCE0F7"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禁止在《全国重要江河湖泊水功能区划》划定的河段及湖泊保护区、保留区内投资建设不利于水资源及自然生态保护的项目。</w:t>
            </w:r>
          </w:p>
        </w:tc>
        <w:tc>
          <w:tcPr>
            <w:tcW w:w="0" w:type="auto"/>
            <w:vAlign w:val="center"/>
          </w:tcPr>
          <w:p w14:paraId="10DF239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本工程不在《全国重要江河湖泊水功能区划》划定的河段保护区、保留区范围内。</w:t>
            </w:r>
          </w:p>
        </w:tc>
        <w:tc>
          <w:tcPr>
            <w:tcW w:w="0" w:type="auto"/>
            <w:vAlign w:val="center"/>
          </w:tcPr>
          <w:p w14:paraId="5B646896"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0D00E412" w14:textId="77777777" w:rsidTr="00D72D31">
        <w:trPr>
          <w:jc w:val="center"/>
        </w:trPr>
        <w:tc>
          <w:tcPr>
            <w:tcW w:w="0" w:type="auto"/>
            <w:vAlign w:val="center"/>
          </w:tcPr>
          <w:p w14:paraId="3188C918"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第十六条</w:t>
            </w:r>
          </w:p>
        </w:tc>
        <w:tc>
          <w:tcPr>
            <w:tcW w:w="0" w:type="auto"/>
            <w:vAlign w:val="center"/>
          </w:tcPr>
          <w:p w14:paraId="679763D9"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禁止在长江流域江河、湖泊新设、改设或者扩大排污口，经有管辖权的生态环境主管部门或者长江流域生态环境监督管理机构同意的除外。</w:t>
            </w:r>
          </w:p>
        </w:tc>
        <w:tc>
          <w:tcPr>
            <w:tcW w:w="0" w:type="auto"/>
            <w:vAlign w:val="center"/>
          </w:tcPr>
          <w:p w14:paraId="35DE7CA2"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本工程不涉及排污口。</w:t>
            </w:r>
          </w:p>
        </w:tc>
        <w:tc>
          <w:tcPr>
            <w:tcW w:w="0" w:type="auto"/>
            <w:vAlign w:val="center"/>
          </w:tcPr>
          <w:p w14:paraId="336035E8"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9BAF292" w14:textId="77777777" w:rsidTr="00D72D31">
        <w:trPr>
          <w:jc w:val="center"/>
        </w:trPr>
        <w:tc>
          <w:tcPr>
            <w:tcW w:w="0" w:type="auto"/>
            <w:vAlign w:val="center"/>
          </w:tcPr>
          <w:p w14:paraId="763A316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第十七条</w:t>
            </w:r>
          </w:p>
        </w:tc>
        <w:tc>
          <w:tcPr>
            <w:tcW w:w="0" w:type="auto"/>
            <w:vAlign w:val="center"/>
          </w:tcPr>
          <w:p w14:paraId="3185EC00"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禁止在长江干流、大渡河、岷江、赤水河、沱江、嘉陵江、乌江、汉江和</w:t>
            </w:r>
            <w:r w:rsidRPr="00092862">
              <w:rPr>
                <w:rFonts w:ascii="Times New Roman" w:eastAsia="宋体" w:hAnsi="Times New Roman" w:cs="Times New Roman"/>
                <w:color w:val="000000" w:themeColor="text1"/>
                <w:szCs w:val="21"/>
              </w:rPr>
              <w:t>51</w:t>
            </w:r>
            <w:r w:rsidRPr="00092862">
              <w:rPr>
                <w:rFonts w:ascii="Times New Roman" w:eastAsia="宋体" w:hAnsi="Times New Roman" w:cs="Times New Roman"/>
                <w:color w:val="000000" w:themeColor="text1"/>
                <w:szCs w:val="21"/>
              </w:rPr>
              <w:t>个（四川省</w:t>
            </w:r>
            <w:r w:rsidRPr="00092862">
              <w:rPr>
                <w:rFonts w:ascii="Times New Roman" w:eastAsia="宋体" w:hAnsi="Times New Roman" w:cs="Times New Roman"/>
                <w:color w:val="000000" w:themeColor="text1"/>
                <w:szCs w:val="21"/>
              </w:rPr>
              <w:t>45</w:t>
            </w:r>
            <w:r w:rsidRPr="00092862">
              <w:rPr>
                <w:rFonts w:ascii="Times New Roman" w:eastAsia="宋体" w:hAnsi="Times New Roman" w:cs="Times New Roman"/>
                <w:color w:val="000000" w:themeColor="text1"/>
                <w:szCs w:val="21"/>
              </w:rPr>
              <w:t>个、重庆市</w:t>
            </w: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个）水生生物保护区开展生产性捕捞。</w:t>
            </w:r>
          </w:p>
        </w:tc>
        <w:tc>
          <w:tcPr>
            <w:tcW w:w="0" w:type="auto"/>
            <w:vAlign w:val="center"/>
          </w:tcPr>
          <w:p w14:paraId="79BB7CA9"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本工程不涉及捕捞，不涉及水域施工。</w:t>
            </w:r>
          </w:p>
        </w:tc>
        <w:tc>
          <w:tcPr>
            <w:tcW w:w="0" w:type="auto"/>
            <w:vAlign w:val="center"/>
          </w:tcPr>
          <w:p w14:paraId="28AA563C"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04A60B2" w14:textId="77777777" w:rsidTr="00D72D31">
        <w:trPr>
          <w:jc w:val="center"/>
        </w:trPr>
        <w:tc>
          <w:tcPr>
            <w:tcW w:w="0" w:type="auto"/>
            <w:vAlign w:val="center"/>
          </w:tcPr>
          <w:p w14:paraId="03F89C6A"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第十八条</w:t>
            </w:r>
          </w:p>
        </w:tc>
        <w:tc>
          <w:tcPr>
            <w:tcW w:w="0" w:type="auto"/>
            <w:vAlign w:val="center"/>
          </w:tcPr>
          <w:p w14:paraId="73954C0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禁止在长江干支流、重要湖泊岸线一公里范围内新建、扩建化工园区和化工项目。</w:t>
            </w:r>
          </w:p>
        </w:tc>
        <w:tc>
          <w:tcPr>
            <w:tcW w:w="0" w:type="auto"/>
            <w:vAlign w:val="center"/>
          </w:tcPr>
          <w:p w14:paraId="419260E4"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本工程不属于化工园区和化工项目。</w:t>
            </w:r>
          </w:p>
        </w:tc>
        <w:tc>
          <w:tcPr>
            <w:tcW w:w="0" w:type="auto"/>
            <w:vAlign w:val="center"/>
          </w:tcPr>
          <w:p w14:paraId="279BD51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3D22CD1" w14:textId="77777777" w:rsidTr="00D72D31">
        <w:trPr>
          <w:jc w:val="center"/>
        </w:trPr>
        <w:tc>
          <w:tcPr>
            <w:tcW w:w="0" w:type="auto"/>
            <w:vAlign w:val="center"/>
          </w:tcPr>
          <w:p w14:paraId="606C4CE0"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第十九条</w:t>
            </w:r>
          </w:p>
        </w:tc>
        <w:tc>
          <w:tcPr>
            <w:tcW w:w="0" w:type="auto"/>
            <w:vAlign w:val="center"/>
          </w:tcPr>
          <w:p w14:paraId="35CE20C4"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禁止在长江干流岸线三公里范围内和重要支流岸线一公里范围内新建、改建、扩建尾矿库、冶炼渣库、磷石膏库，以提升安全、生态环境保护水平为目的的改建除外。</w:t>
            </w:r>
          </w:p>
        </w:tc>
        <w:tc>
          <w:tcPr>
            <w:tcW w:w="0" w:type="auto"/>
            <w:vAlign w:val="center"/>
          </w:tcPr>
          <w:p w14:paraId="3FCBCE8D"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本工程不属于尾矿库、冶炼渣库、磷石膏库项目。</w:t>
            </w:r>
          </w:p>
        </w:tc>
        <w:tc>
          <w:tcPr>
            <w:tcW w:w="0" w:type="auto"/>
            <w:vAlign w:val="center"/>
          </w:tcPr>
          <w:p w14:paraId="08BFDEC7"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7D738F7" w14:textId="77777777" w:rsidTr="00D72D31">
        <w:trPr>
          <w:jc w:val="center"/>
        </w:trPr>
        <w:tc>
          <w:tcPr>
            <w:tcW w:w="0" w:type="auto"/>
            <w:vAlign w:val="center"/>
          </w:tcPr>
          <w:p w14:paraId="710E346D"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第二十条</w:t>
            </w:r>
          </w:p>
        </w:tc>
        <w:tc>
          <w:tcPr>
            <w:tcW w:w="0" w:type="auto"/>
            <w:vAlign w:val="center"/>
          </w:tcPr>
          <w:p w14:paraId="48FE260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禁止在生态保护红线区域、永久基本农田集中区域和其他需要特别保护的区域内选址建设尾矿库﹑冶炼渣库、磷石膏库。</w:t>
            </w:r>
          </w:p>
        </w:tc>
        <w:tc>
          <w:tcPr>
            <w:tcW w:w="0" w:type="auto"/>
            <w:vAlign w:val="center"/>
          </w:tcPr>
          <w:p w14:paraId="5905615C"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本工程不属于尾矿库、冶炼渣库、磷石膏库项目。</w:t>
            </w:r>
          </w:p>
        </w:tc>
        <w:tc>
          <w:tcPr>
            <w:tcW w:w="0" w:type="auto"/>
            <w:vAlign w:val="center"/>
          </w:tcPr>
          <w:p w14:paraId="3E74F491"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D39C8A5" w14:textId="77777777" w:rsidTr="00D72D31">
        <w:trPr>
          <w:jc w:val="center"/>
        </w:trPr>
        <w:tc>
          <w:tcPr>
            <w:tcW w:w="0" w:type="auto"/>
            <w:vAlign w:val="center"/>
          </w:tcPr>
          <w:p w14:paraId="06B130DA"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第二十一条</w:t>
            </w:r>
          </w:p>
        </w:tc>
        <w:tc>
          <w:tcPr>
            <w:tcW w:w="0" w:type="auto"/>
            <w:vAlign w:val="center"/>
          </w:tcPr>
          <w:p w14:paraId="56ABDBDB"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禁止在合规园区外新建、扩建钢铁、石化、化工、焦化、建材、有色、制浆造纸等高污染项目。</w:t>
            </w:r>
          </w:p>
        </w:tc>
        <w:tc>
          <w:tcPr>
            <w:tcW w:w="0" w:type="auto"/>
            <w:vAlign w:val="center"/>
          </w:tcPr>
          <w:p w14:paraId="1A1E5766"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本工程不属于钢铁、石化、化工、焦化、建材、有色、制浆造纸等高污染项目。</w:t>
            </w:r>
          </w:p>
        </w:tc>
        <w:tc>
          <w:tcPr>
            <w:tcW w:w="0" w:type="auto"/>
            <w:vAlign w:val="center"/>
          </w:tcPr>
          <w:p w14:paraId="190B9AAE"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576F2B37" w14:textId="77777777" w:rsidTr="00D72D31">
        <w:trPr>
          <w:jc w:val="center"/>
        </w:trPr>
        <w:tc>
          <w:tcPr>
            <w:tcW w:w="0" w:type="auto"/>
            <w:vAlign w:val="center"/>
          </w:tcPr>
          <w:p w14:paraId="5CD34E10"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第二十二条</w:t>
            </w:r>
          </w:p>
        </w:tc>
        <w:tc>
          <w:tcPr>
            <w:tcW w:w="0" w:type="auto"/>
            <w:vAlign w:val="center"/>
          </w:tcPr>
          <w:p w14:paraId="316699D9"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禁止新建、扩建不符合国家石化、现代煤化工等产业布局规划的项目。</w:t>
            </w:r>
          </w:p>
        </w:tc>
        <w:tc>
          <w:tcPr>
            <w:tcW w:w="0" w:type="auto"/>
            <w:vAlign w:val="center"/>
          </w:tcPr>
          <w:p w14:paraId="4828F219"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本工程符合国家产业规划。</w:t>
            </w:r>
          </w:p>
        </w:tc>
        <w:tc>
          <w:tcPr>
            <w:tcW w:w="0" w:type="auto"/>
            <w:vAlign w:val="center"/>
          </w:tcPr>
          <w:p w14:paraId="65DC81DF"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22350F22" w14:textId="77777777" w:rsidTr="00D72D31">
        <w:trPr>
          <w:jc w:val="center"/>
        </w:trPr>
        <w:tc>
          <w:tcPr>
            <w:tcW w:w="0" w:type="auto"/>
            <w:vAlign w:val="center"/>
          </w:tcPr>
          <w:p w14:paraId="5ED9C9B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第二十三条</w:t>
            </w:r>
          </w:p>
        </w:tc>
        <w:tc>
          <w:tcPr>
            <w:tcW w:w="0" w:type="auto"/>
            <w:vAlign w:val="center"/>
          </w:tcPr>
          <w:p w14:paraId="641BC75E"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0" w:type="auto"/>
            <w:vAlign w:val="center"/>
          </w:tcPr>
          <w:p w14:paraId="18BC5E3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本工程为鼓励类项目。</w:t>
            </w:r>
          </w:p>
        </w:tc>
        <w:tc>
          <w:tcPr>
            <w:tcW w:w="0" w:type="auto"/>
            <w:vAlign w:val="center"/>
          </w:tcPr>
          <w:p w14:paraId="0D76D0CD"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9DC9105" w14:textId="77777777" w:rsidTr="00D72D31">
        <w:trPr>
          <w:jc w:val="center"/>
        </w:trPr>
        <w:tc>
          <w:tcPr>
            <w:tcW w:w="0" w:type="auto"/>
            <w:vAlign w:val="center"/>
          </w:tcPr>
          <w:p w14:paraId="689249D7"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第二十四条</w:t>
            </w:r>
          </w:p>
        </w:tc>
        <w:tc>
          <w:tcPr>
            <w:tcW w:w="0" w:type="auto"/>
            <w:vAlign w:val="center"/>
          </w:tcPr>
          <w:p w14:paraId="4F27A9AD"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禁止新建、扩建不符合国家产能置换要求的严重过剩产能行业的项目。对于不符合国家产能置换要求的严重过剩产能行业，不得以其他任何名义、任何方式备案新增产能项目。</w:t>
            </w:r>
          </w:p>
        </w:tc>
        <w:tc>
          <w:tcPr>
            <w:tcW w:w="0" w:type="auto"/>
            <w:vAlign w:val="center"/>
          </w:tcPr>
          <w:p w14:paraId="3FA53341"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本工程不属于不符合国家产能置换要求的严重过剩产能行业的项目。</w:t>
            </w:r>
          </w:p>
        </w:tc>
        <w:tc>
          <w:tcPr>
            <w:tcW w:w="0" w:type="auto"/>
            <w:vAlign w:val="center"/>
          </w:tcPr>
          <w:p w14:paraId="3FAC238C"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02A2BF3" w14:textId="77777777" w:rsidTr="00D72D31">
        <w:trPr>
          <w:jc w:val="center"/>
        </w:trPr>
        <w:tc>
          <w:tcPr>
            <w:tcW w:w="0" w:type="auto"/>
            <w:vAlign w:val="center"/>
          </w:tcPr>
          <w:p w14:paraId="2DB43A8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第二十五条</w:t>
            </w:r>
          </w:p>
        </w:tc>
        <w:tc>
          <w:tcPr>
            <w:tcW w:w="0" w:type="auto"/>
            <w:vAlign w:val="center"/>
          </w:tcPr>
          <w:p w14:paraId="7635C1A7"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禁止建设以下燃油汽车投资项目（不在中国境内销售产品的投资项目除外）。</w:t>
            </w:r>
          </w:p>
        </w:tc>
        <w:tc>
          <w:tcPr>
            <w:tcW w:w="0" w:type="auto"/>
            <w:vAlign w:val="center"/>
          </w:tcPr>
          <w:p w14:paraId="07530C7F"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本工程不属于燃油汽车投资项目。</w:t>
            </w:r>
          </w:p>
        </w:tc>
        <w:tc>
          <w:tcPr>
            <w:tcW w:w="0" w:type="auto"/>
            <w:vAlign w:val="center"/>
          </w:tcPr>
          <w:p w14:paraId="18131C1C"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24DEFFF" w14:textId="77777777" w:rsidTr="00D72D31">
        <w:trPr>
          <w:jc w:val="center"/>
        </w:trPr>
        <w:tc>
          <w:tcPr>
            <w:tcW w:w="0" w:type="auto"/>
            <w:vAlign w:val="center"/>
          </w:tcPr>
          <w:p w14:paraId="5CE4D19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第二十六条</w:t>
            </w:r>
          </w:p>
        </w:tc>
        <w:tc>
          <w:tcPr>
            <w:tcW w:w="0" w:type="auto"/>
            <w:vAlign w:val="center"/>
          </w:tcPr>
          <w:p w14:paraId="514925D5"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禁止新建、扩建不符合要求的高耗能、高排放、低水平项目。</w:t>
            </w:r>
          </w:p>
        </w:tc>
        <w:tc>
          <w:tcPr>
            <w:tcW w:w="0" w:type="auto"/>
            <w:vAlign w:val="center"/>
          </w:tcPr>
          <w:p w14:paraId="7E3D3B03"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本工程不属于不符合要求的高耗能、高排放、低水平项目。</w:t>
            </w:r>
          </w:p>
        </w:tc>
        <w:tc>
          <w:tcPr>
            <w:tcW w:w="0" w:type="auto"/>
            <w:vAlign w:val="center"/>
          </w:tcPr>
          <w:p w14:paraId="0E0DCBBE" w14:textId="77777777" w:rsidR="00951610" w:rsidRPr="00092862" w:rsidRDefault="00951610" w:rsidP="00030BF9">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0EAFBD07" w14:textId="4D7C8D06" w:rsidR="00951610" w:rsidRPr="00092862" w:rsidRDefault="00951610" w:rsidP="00B22C9A">
      <w:pPr>
        <w:spacing w:line="360" w:lineRule="auto"/>
        <w:ind w:firstLineChars="2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b/>
          <w:color w:val="000000" w:themeColor="text1"/>
          <w:sz w:val="24"/>
          <w:szCs w:val="24"/>
        </w:rPr>
        <w:t>综上所述，本项目不在生态保护红线内、未超出环境质量底线及资源利用上线、不属于当地环境准入负面清单所列项目，不在四川省、重庆市长江经济带发展负面清单内。</w:t>
      </w:r>
    </w:p>
    <w:p w14:paraId="6947FF4A" w14:textId="0472D47C" w:rsidR="009C5B8E" w:rsidRPr="00092862" w:rsidRDefault="009C5B8E" w:rsidP="00B22C9A">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本项目与达州市环境管控单元位置关系见下图。</w:t>
      </w:r>
    </w:p>
    <w:p w14:paraId="0A19B405" w14:textId="77777777" w:rsidR="009C5B8E" w:rsidRPr="00092862" w:rsidRDefault="009C5B8E" w:rsidP="009C5B8E">
      <w:pPr>
        <w:pStyle w:val="1L"/>
        <w:rPr>
          <w:color w:val="000000" w:themeColor="text1"/>
        </w:rPr>
      </w:pPr>
      <w:r w:rsidRPr="00092862">
        <w:rPr>
          <w:noProof/>
          <w:color w:val="000000" w:themeColor="text1"/>
        </w:rPr>
        <mc:AlternateContent>
          <mc:Choice Requires="wps">
            <w:drawing>
              <wp:anchor distT="0" distB="0" distL="114300" distR="114300" simplePos="0" relativeHeight="251878400" behindDoc="0" locked="0" layoutInCell="1" allowOverlap="1" wp14:anchorId="4656CC06" wp14:editId="21460516">
                <wp:simplePos x="0" y="0"/>
                <wp:positionH relativeFrom="column">
                  <wp:posOffset>2332990</wp:posOffset>
                </wp:positionH>
                <wp:positionV relativeFrom="paragraph">
                  <wp:posOffset>1087000</wp:posOffset>
                </wp:positionV>
                <wp:extent cx="995134" cy="356427"/>
                <wp:effectExtent l="133350" t="0" r="14605" b="272415"/>
                <wp:wrapNone/>
                <wp:docPr id="10" name="对话气泡: 圆角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134" cy="356427"/>
                        </a:xfrm>
                        <a:prstGeom prst="wedgeRoundRectCallout">
                          <a:avLst>
                            <a:gd name="adj1" fmla="val -58861"/>
                            <a:gd name="adj2" fmla="val 108227"/>
                            <a:gd name="adj3" fmla="val 16667"/>
                          </a:avLst>
                        </a:prstGeom>
                        <a:solidFill>
                          <a:srgbClr val="FFFFFF"/>
                        </a:solidFill>
                        <a:ln w="9525" cmpd="sng">
                          <a:solidFill>
                            <a:srgbClr val="000000"/>
                          </a:solidFill>
                          <a:miter lim="800000"/>
                          <a:headEnd/>
                          <a:tailEnd/>
                        </a:ln>
                      </wps:spPr>
                      <wps:txbx>
                        <w:txbxContent>
                          <w:p w14:paraId="29055D78" w14:textId="77777777" w:rsidR="009C5B8E" w:rsidRDefault="009C5B8E" w:rsidP="009C5B8E">
                            <w:r>
                              <w:rPr>
                                <w:rFonts w:hint="eastAsia"/>
                              </w:rPr>
                              <w:t>项目所在地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6CC06" id="对话气泡: 圆角矩形 10" o:spid="_x0000_s1045" type="#_x0000_t62" style="position:absolute;left:0;text-align:left;margin-left:183.7pt;margin-top:85.6pt;width:78.35pt;height:28.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" adj="-1914,34177">
                <v:textbox>
                  <w:txbxContent>
                    <w:p w14:paraId="29055D78" w14:textId="77777777" w:rsidR="009C5B8E" w:rsidRDefault="009C5B8E" w:rsidP="009C5B8E">
                      <w:r>
                        <w:rPr>
                          <w:rFonts w:hint="eastAsia"/>
                        </w:rPr>
                        <w:t>项目所在地</w:t>
                      </w:r>
                    </w:p>
                  </w:txbxContent>
                </v:textbox>
              </v:shape>
            </w:pict>
          </mc:Fallback>
        </mc:AlternateContent>
      </w:r>
      <w:r w:rsidRPr="00092862">
        <w:rPr>
          <w:noProof/>
          <w:color w:val="000000" w:themeColor="text1"/>
        </w:rPr>
        <w:drawing>
          <wp:inline distT="0" distB="0" distL="0" distR="0" wp14:anchorId="79CA9A74" wp14:editId="7B7912BE">
            <wp:extent cx="5180522" cy="3377381"/>
            <wp:effectExtent l="0" t="0" r="1270" b="0"/>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7" cstate="print">
                      <a:extLst>
                        <a:ext uri="{28A0092B-C50C-407E-A947-70E740481C1C}">
                          <a14:useLocalDpi xmlns:a14="http://schemas.microsoft.com/office/drawing/2010/main" val="0"/>
                        </a:ext>
                      </a:extLst>
                    </a:blip>
                    <a:srcRect t="4350" b="3275"/>
                    <a:stretch>
                      <a:fillRect/>
                    </a:stretch>
                  </pic:blipFill>
                  <pic:spPr>
                    <a:xfrm>
                      <a:off x="0" y="0"/>
                      <a:ext cx="5183375" cy="3379241"/>
                    </a:xfrm>
                    <a:prstGeom prst="rect">
                      <a:avLst/>
                    </a:prstGeom>
                    <a:noFill/>
                    <a:ln>
                      <a:noFill/>
                    </a:ln>
                  </pic:spPr>
                </pic:pic>
              </a:graphicData>
            </a:graphic>
          </wp:inline>
        </w:drawing>
      </w:r>
    </w:p>
    <w:p w14:paraId="171BDA24" w14:textId="1E70E5C7" w:rsidR="009C5B8E" w:rsidRPr="00092862" w:rsidRDefault="009C5B8E" w:rsidP="00022611">
      <w:pPr>
        <w:pStyle w:val="ac"/>
        <w:tabs>
          <w:tab w:val="left" w:pos="3864"/>
        </w:tabs>
        <w:adjustRightInd w:val="0"/>
        <w:snapToGrid w:val="0"/>
        <w:spacing w:before="0"/>
        <w:ind w:left="0"/>
        <w:jc w:val="center"/>
        <w:rPr>
          <w:rFonts w:ascii="Times New Roman" w:hAnsi="Times New Roman"/>
          <w:b/>
          <w:bCs/>
          <w:color w:val="000000" w:themeColor="text1"/>
          <w:lang w:eastAsia="zh-CN"/>
        </w:rPr>
      </w:pPr>
      <w:r w:rsidRPr="00092862">
        <w:rPr>
          <w:rFonts w:ascii="Times New Roman" w:eastAsia="黑体" w:hAnsi="Times New Roman"/>
          <w:color w:val="000000" w:themeColor="text1"/>
          <w:sz w:val="21"/>
          <w:szCs w:val="21"/>
          <w:lang w:eastAsia="zh-CN"/>
        </w:rPr>
        <w:t>图</w:t>
      </w:r>
      <w:r w:rsidR="00022611" w:rsidRPr="00092862">
        <w:rPr>
          <w:rFonts w:ascii="Times New Roman" w:eastAsia="黑体" w:hAnsi="Times New Roman"/>
          <w:color w:val="000000" w:themeColor="text1"/>
          <w:sz w:val="21"/>
          <w:szCs w:val="21"/>
          <w:lang w:eastAsia="zh-CN"/>
        </w:rPr>
        <w:t>2.7</w:t>
      </w:r>
      <w:r w:rsidRPr="00092862">
        <w:rPr>
          <w:rFonts w:ascii="Times New Roman" w:eastAsia="黑体" w:hAnsi="Times New Roman"/>
          <w:color w:val="000000" w:themeColor="text1"/>
          <w:sz w:val="21"/>
          <w:szCs w:val="21"/>
          <w:lang w:eastAsia="zh-CN"/>
        </w:rPr>
        <w:t xml:space="preserve">-1  </w:t>
      </w:r>
      <w:r w:rsidRPr="00092862">
        <w:rPr>
          <w:rFonts w:ascii="Times New Roman" w:eastAsia="黑体" w:hAnsi="Times New Roman"/>
          <w:color w:val="000000" w:themeColor="text1"/>
          <w:sz w:val="21"/>
          <w:szCs w:val="21"/>
          <w:lang w:eastAsia="zh-CN"/>
        </w:rPr>
        <w:t>项目与达州市环境管控单元位置关系图</w:t>
      </w:r>
    </w:p>
    <w:p w14:paraId="228C6501" w14:textId="77777777" w:rsidR="009C5B8E" w:rsidRPr="00092862" w:rsidRDefault="009C5B8E" w:rsidP="00B22C9A">
      <w:pPr>
        <w:tabs>
          <w:tab w:val="left" w:pos="0"/>
        </w:tabs>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2</w:t>
      </w:r>
      <w:r w:rsidRPr="00092862">
        <w:rPr>
          <w:rFonts w:ascii="Times New Roman" w:eastAsia="黑体" w:hAnsi="Times New Roman" w:cs="Times New Roman"/>
          <w:color w:val="000000" w:themeColor="text1"/>
          <w:sz w:val="24"/>
        </w:rPr>
        <w:t>、与环境管控单元符合性分析</w:t>
      </w:r>
    </w:p>
    <w:p w14:paraId="7F0BAD9A" w14:textId="7BEF8BA8" w:rsidR="009C5B8E" w:rsidRPr="00092862" w:rsidRDefault="009C5B8E" w:rsidP="00B22C9A">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项目位于一般管控单元区域，本项目不在达州市生态保护红线范围内，也不在四川省其他生态空间范围内。</w:t>
      </w:r>
    </w:p>
    <w:p w14:paraId="7E0FEFC4" w14:textId="7E1AC28B" w:rsidR="009C5B8E" w:rsidRPr="00092862" w:rsidRDefault="00B51EA7" w:rsidP="00B22C9A">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项目涉及环境管控单元</w:t>
      </w:r>
      <w:r w:rsidR="009C5B8E" w:rsidRPr="00092862">
        <w:rPr>
          <w:rFonts w:ascii="Times New Roman" w:eastAsia="宋体" w:hAnsi="Times New Roman" w:cs="Times New Roman"/>
          <w:color w:val="000000" w:themeColor="text1"/>
          <w:sz w:val="24"/>
          <w:szCs w:val="24"/>
        </w:rPr>
        <w:t>如下。</w:t>
      </w:r>
    </w:p>
    <w:p w14:paraId="446E381A" w14:textId="5E7C71E8" w:rsidR="009C5B8E" w:rsidRPr="00092862" w:rsidRDefault="009C5B8E"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2.7-</w:t>
      </w:r>
      <w:r w:rsidR="005D4C5B" w:rsidRPr="00092862">
        <w:rPr>
          <w:rFonts w:ascii="Times New Roman" w:eastAsia="黑体" w:hAnsi="Times New Roman"/>
          <w:color w:val="000000" w:themeColor="text1"/>
          <w:sz w:val="21"/>
          <w:szCs w:val="21"/>
          <w:lang w:eastAsia="zh-CN"/>
        </w:rPr>
        <w:t>14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项目涉及环境管控单元表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516"/>
        <w:gridCol w:w="1113"/>
        <w:gridCol w:w="828"/>
        <w:gridCol w:w="1442"/>
        <w:gridCol w:w="1555"/>
      </w:tblGrid>
      <w:tr w:rsidR="00697429" w:rsidRPr="00092862" w14:paraId="2DDFA2C6" w14:textId="77777777" w:rsidTr="00E021E3">
        <w:trPr>
          <w:trHeight w:val="312"/>
        </w:trPr>
        <w:tc>
          <w:tcPr>
            <w:tcW w:w="1110" w:type="pct"/>
            <w:vAlign w:val="center"/>
          </w:tcPr>
          <w:p w14:paraId="7D3CB3DE" w14:textId="77777777" w:rsidR="00B51EA7" w:rsidRPr="00092862" w:rsidRDefault="00B51EA7" w:rsidP="00B51EA7">
            <w:pPr>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环境管控单元编码</w:t>
            </w:r>
          </w:p>
        </w:tc>
        <w:tc>
          <w:tcPr>
            <w:tcW w:w="914" w:type="pct"/>
            <w:vAlign w:val="center"/>
          </w:tcPr>
          <w:p w14:paraId="1CCD5299" w14:textId="77777777" w:rsidR="00B51EA7" w:rsidRPr="00092862" w:rsidRDefault="00B51EA7" w:rsidP="00B51EA7">
            <w:pPr>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环境管控单元名称</w:t>
            </w:r>
          </w:p>
        </w:tc>
        <w:tc>
          <w:tcPr>
            <w:tcW w:w="671" w:type="pct"/>
            <w:vAlign w:val="center"/>
          </w:tcPr>
          <w:p w14:paraId="0BE6704E" w14:textId="77777777" w:rsidR="00B51EA7" w:rsidRPr="00092862" w:rsidRDefault="00B51EA7" w:rsidP="00B51EA7">
            <w:pPr>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所属市（州）</w:t>
            </w:r>
          </w:p>
        </w:tc>
        <w:tc>
          <w:tcPr>
            <w:tcW w:w="499" w:type="pct"/>
            <w:vAlign w:val="center"/>
          </w:tcPr>
          <w:p w14:paraId="226F2712" w14:textId="77777777" w:rsidR="00B51EA7" w:rsidRPr="00092862" w:rsidRDefault="00B51EA7" w:rsidP="00B51EA7">
            <w:pPr>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所属区县</w:t>
            </w:r>
          </w:p>
        </w:tc>
        <w:tc>
          <w:tcPr>
            <w:tcW w:w="869" w:type="pct"/>
            <w:vAlign w:val="center"/>
          </w:tcPr>
          <w:p w14:paraId="1D3AA300" w14:textId="77777777" w:rsidR="00B51EA7" w:rsidRPr="00092862" w:rsidRDefault="00B51EA7" w:rsidP="00B51EA7">
            <w:pPr>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准入清单类型</w:t>
            </w:r>
          </w:p>
        </w:tc>
        <w:tc>
          <w:tcPr>
            <w:tcW w:w="937" w:type="pct"/>
            <w:vAlign w:val="center"/>
          </w:tcPr>
          <w:p w14:paraId="6D8BF916" w14:textId="77777777" w:rsidR="00B51EA7" w:rsidRPr="00092862" w:rsidRDefault="00B51EA7" w:rsidP="00B51EA7">
            <w:pPr>
              <w:jc w:val="center"/>
              <w:rPr>
                <w:rFonts w:ascii="Times New Roman" w:hAnsi="Times New Roman" w:cs="Times New Roman"/>
                <w:b/>
                <w:bCs/>
                <w:color w:val="000000" w:themeColor="text1"/>
                <w:szCs w:val="21"/>
              </w:rPr>
            </w:pPr>
            <w:r w:rsidRPr="00092862">
              <w:rPr>
                <w:rFonts w:ascii="Times New Roman" w:hAnsi="Times New Roman" w:cs="Times New Roman"/>
                <w:b/>
                <w:bCs/>
                <w:color w:val="000000" w:themeColor="text1"/>
                <w:szCs w:val="21"/>
              </w:rPr>
              <w:t>管控类型</w:t>
            </w:r>
          </w:p>
        </w:tc>
      </w:tr>
      <w:tr w:rsidR="00697429" w:rsidRPr="00092862" w14:paraId="3521F5E2" w14:textId="77777777" w:rsidTr="00E021E3">
        <w:trPr>
          <w:trHeight w:val="312"/>
        </w:trPr>
        <w:tc>
          <w:tcPr>
            <w:tcW w:w="1110" w:type="pct"/>
            <w:vAlign w:val="center"/>
          </w:tcPr>
          <w:p w14:paraId="7774616A"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ZH51172230001</w:t>
            </w:r>
          </w:p>
        </w:tc>
        <w:tc>
          <w:tcPr>
            <w:tcW w:w="914" w:type="pct"/>
            <w:vAlign w:val="center"/>
          </w:tcPr>
          <w:p w14:paraId="46CA1765"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宣汉县一般管控单元</w:t>
            </w:r>
          </w:p>
        </w:tc>
        <w:tc>
          <w:tcPr>
            <w:tcW w:w="671" w:type="pct"/>
            <w:vAlign w:val="center"/>
          </w:tcPr>
          <w:p w14:paraId="51F04925"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达州市</w:t>
            </w:r>
          </w:p>
        </w:tc>
        <w:tc>
          <w:tcPr>
            <w:tcW w:w="499" w:type="pct"/>
            <w:vAlign w:val="center"/>
          </w:tcPr>
          <w:p w14:paraId="0A32E6EA"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宣汉县</w:t>
            </w:r>
          </w:p>
        </w:tc>
        <w:tc>
          <w:tcPr>
            <w:tcW w:w="869" w:type="pct"/>
            <w:vAlign w:val="center"/>
          </w:tcPr>
          <w:p w14:paraId="5DD143A5"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环境管控单元</w:t>
            </w:r>
          </w:p>
        </w:tc>
        <w:tc>
          <w:tcPr>
            <w:tcW w:w="937" w:type="pct"/>
            <w:vAlign w:val="center"/>
          </w:tcPr>
          <w:p w14:paraId="401D0A53"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环境综合管控单元一般管控单元</w:t>
            </w:r>
          </w:p>
        </w:tc>
      </w:tr>
      <w:tr w:rsidR="00697429" w:rsidRPr="00092862" w14:paraId="06D4A68F" w14:textId="77777777" w:rsidTr="00E021E3">
        <w:trPr>
          <w:trHeight w:val="312"/>
        </w:trPr>
        <w:tc>
          <w:tcPr>
            <w:tcW w:w="1110" w:type="pct"/>
            <w:vAlign w:val="center"/>
          </w:tcPr>
          <w:p w14:paraId="72E2AFDF"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YS5117223210001</w:t>
            </w:r>
          </w:p>
        </w:tc>
        <w:tc>
          <w:tcPr>
            <w:tcW w:w="914" w:type="pct"/>
            <w:vAlign w:val="center"/>
          </w:tcPr>
          <w:p w14:paraId="7D81F6DE"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州河宣汉县张鼓坪控制单元</w:t>
            </w:r>
          </w:p>
        </w:tc>
        <w:tc>
          <w:tcPr>
            <w:tcW w:w="671" w:type="pct"/>
            <w:vAlign w:val="center"/>
          </w:tcPr>
          <w:p w14:paraId="7DE8A266"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达州市</w:t>
            </w:r>
          </w:p>
        </w:tc>
        <w:tc>
          <w:tcPr>
            <w:tcW w:w="499" w:type="pct"/>
            <w:vAlign w:val="center"/>
          </w:tcPr>
          <w:p w14:paraId="60AB17B7"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宣汉县</w:t>
            </w:r>
          </w:p>
        </w:tc>
        <w:tc>
          <w:tcPr>
            <w:tcW w:w="869" w:type="pct"/>
            <w:vAlign w:val="center"/>
          </w:tcPr>
          <w:p w14:paraId="1EB9C0A4"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水环境管控分区</w:t>
            </w:r>
          </w:p>
        </w:tc>
        <w:tc>
          <w:tcPr>
            <w:tcW w:w="937" w:type="pct"/>
            <w:vAlign w:val="center"/>
          </w:tcPr>
          <w:p w14:paraId="57202267"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水环境一般管控区</w:t>
            </w:r>
          </w:p>
        </w:tc>
      </w:tr>
      <w:tr w:rsidR="00697429" w:rsidRPr="00092862" w14:paraId="2174A871" w14:textId="77777777" w:rsidTr="00E021E3">
        <w:trPr>
          <w:trHeight w:val="312"/>
        </w:trPr>
        <w:tc>
          <w:tcPr>
            <w:tcW w:w="1110" w:type="pct"/>
            <w:vAlign w:val="center"/>
          </w:tcPr>
          <w:p w14:paraId="270666F6"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YS5117223310001</w:t>
            </w:r>
          </w:p>
        </w:tc>
        <w:tc>
          <w:tcPr>
            <w:tcW w:w="914" w:type="pct"/>
            <w:vAlign w:val="center"/>
          </w:tcPr>
          <w:p w14:paraId="3BA8A8E2"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宣汉县大气环境一般管控区</w:t>
            </w:r>
          </w:p>
        </w:tc>
        <w:tc>
          <w:tcPr>
            <w:tcW w:w="671" w:type="pct"/>
            <w:vAlign w:val="center"/>
          </w:tcPr>
          <w:p w14:paraId="5063C4CF"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达州市</w:t>
            </w:r>
          </w:p>
        </w:tc>
        <w:tc>
          <w:tcPr>
            <w:tcW w:w="499" w:type="pct"/>
            <w:vAlign w:val="center"/>
          </w:tcPr>
          <w:p w14:paraId="1E8229D2"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宣汉县</w:t>
            </w:r>
          </w:p>
        </w:tc>
        <w:tc>
          <w:tcPr>
            <w:tcW w:w="869" w:type="pct"/>
            <w:vAlign w:val="center"/>
          </w:tcPr>
          <w:p w14:paraId="028B10FE"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大气环境管控分区</w:t>
            </w:r>
          </w:p>
        </w:tc>
        <w:tc>
          <w:tcPr>
            <w:tcW w:w="937" w:type="pct"/>
            <w:vAlign w:val="center"/>
          </w:tcPr>
          <w:p w14:paraId="2C17A07D" w14:textId="77777777" w:rsidR="00B51EA7" w:rsidRPr="00092862" w:rsidRDefault="00B51EA7" w:rsidP="00B51EA7">
            <w:pPr>
              <w:pStyle w:val="Normal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大气环境一般管控区</w:t>
            </w:r>
          </w:p>
        </w:tc>
      </w:tr>
    </w:tbl>
    <w:p w14:paraId="39A0398E" w14:textId="3ADDB0FD" w:rsidR="00CD1270" w:rsidRPr="00092862" w:rsidRDefault="00E021E3" w:rsidP="00F1449E">
      <w:pPr>
        <w:pStyle w:val="afffff6"/>
        <w:ind w:firstLineChars="0" w:firstLine="0"/>
        <w:jc w:val="center"/>
        <w:rPr>
          <w:color w:val="000000" w:themeColor="text1"/>
          <w:sz w:val="28"/>
          <w:szCs w:val="28"/>
        </w:rPr>
      </w:pPr>
      <w:r w:rsidRPr="00092862">
        <w:rPr>
          <w:noProof/>
          <w:color w:val="000000" w:themeColor="text1"/>
        </w:rPr>
        <w:lastRenderedPageBreak/>
        <mc:AlternateContent>
          <mc:Choice Requires="wps">
            <w:drawing>
              <wp:anchor distT="0" distB="0" distL="114300" distR="114300" simplePos="0" relativeHeight="251978752" behindDoc="0" locked="0" layoutInCell="1" allowOverlap="1" wp14:anchorId="508D38C3" wp14:editId="180DFB1F">
                <wp:simplePos x="0" y="0"/>
                <wp:positionH relativeFrom="column">
                  <wp:posOffset>2529229</wp:posOffset>
                </wp:positionH>
                <wp:positionV relativeFrom="paragraph">
                  <wp:posOffset>4691870</wp:posOffset>
                </wp:positionV>
                <wp:extent cx="1260763" cy="360045"/>
                <wp:effectExtent l="266700" t="0" r="15875" b="421005"/>
                <wp:wrapNone/>
                <wp:docPr id="80" name="对话气泡: 圆角矩形 80"/>
                <wp:cNvGraphicFramePr/>
                <a:graphic xmlns:a="http://schemas.openxmlformats.org/drawingml/2006/main">
                  <a:graphicData uri="http://schemas.microsoft.com/office/word/2010/wordprocessingShape">
                    <wps:wsp>
                      <wps:cNvSpPr/>
                      <wps:spPr>
                        <a:xfrm>
                          <a:off x="0" y="0"/>
                          <a:ext cx="1260763" cy="360045"/>
                        </a:xfrm>
                        <a:prstGeom prst="wedgeRoundRectCallout">
                          <a:avLst>
                            <a:gd name="adj1" fmla="val -67165"/>
                            <a:gd name="adj2" fmla="val 1510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56ED07" w14:textId="7D65B1D3" w:rsidR="00F1449E" w:rsidRPr="00F1449E" w:rsidRDefault="00F1449E" w:rsidP="00F1449E">
                            <w:pPr>
                              <w:jc w:val="center"/>
                              <w:rPr>
                                <w:b/>
                                <w:bCs/>
                              </w:rPr>
                            </w:pPr>
                            <w:r w:rsidRPr="00F1449E">
                              <w:rPr>
                                <w:rFonts w:hint="eastAsia"/>
                                <w:b/>
                                <w:bCs/>
                              </w:rPr>
                              <w:t>项目所在地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8D38C3" id="对话气泡: 圆角矩形 80" o:spid="_x0000_s1046" type="#_x0000_t62" style="position:absolute;left:0;text-align:left;margin-left:199.15pt;margin-top:369.45pt;width:99.25pt;height:28.35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" adj="-3708,43417" fillcolor="#4472c4 [3204]" strokecolor="#1f3763 [1604]" strokeweight="1pt">
                <v:textbox>
                  <w:txbxContent>
                    <w:p w14:paraId="3956ED07" w14:textId="7D65B1D3" w:rsidR="00F1449E" w:rsidRPr="00F1449E" w:rsidRDefault="00F1449E" w:rsidP="00F1449E">
                      <w:pPr>
                        <w:jc w:val="center"/>
                        <w:rPr>
                          <w:b/>
                          <w:bCs/>
                        </w:rPr>
                      </w:pPr>
                      <w:r w:rsidRPr="00F1449E">
                        <w:rPr>
                          <w:rFonts w:hint="eastAsia"/>
                          <w:b/>
                          <w:bCs/>
                        </w:rPr>
                        <w:t>项目所在地</w:t>
                      </w:r>
                    </w:p>
                  </w:txbxContent>
                </v:textbox>
              </v:shape>
            </w:pict>
          </mc:Fallback>
        </mc:AlternateContent>
      </w:r>
      <w:r w:rsidRPr="00092862">
        <w:rPr>
          <w:noProof/>
          <w:color w:val="000000" w:themeColor="text1"/>
          <w:sz w:val="28"/>
          <w:szCs w:val="28"/>
        </w:rPr>
        <w:drawing>
          <wp:inline distT="0" distB="0" distL="0" distR="0" wp14:anchorId="234B2A86" wp14:editId="5772CD61">
            <wp:extent cx="5274310" cy="3627120"/>
            <wp:effectExtent l="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3627120"/>
                    </a:xfrm>
                    <a:prstGeom prst="rect">
                      <a:avLst/>
                    </a:prstGeom>
                    <a:noFill/>
                    <a:ln>
                      <a:noFill/>
                    </a:ln>
                  </pic:spPr>
                </pic:pic>
              </a:graphicData>
            </a:graphic>
          </wp:inline>
        </w:drawing>
      </w:r>
      <w:r w:rsidR="00CD1270" w:rsidRPr="00092862">
        <w:rPr>
          <w:color w:val="000000" w:themeColor="text1"/>
          <w:sz w:val="28"/>
          <w:szCs w:val="28"/>
        </w:rPr>
        <w:t xml:space="preserve"> </w:t>
      </w:r>
      <w:r w:rsidRPr="00092862">
        <w:rPr>
          <w:noProof/>
          <w:color w:val="000000" w:themeColor="text1"/>
          <w:sz w:val="28"/>
          <w:szCs w:val="28"/>
        </w:rPr>
        <w:drawing>
          <wp:inline distT="0" distB="0" distL="0" distR="0" wp14:anchorId="52BA6FE7" wp14:editId="0D3BEB32">
            <wp:extent cx="5274310" cy="3163570"/>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163570"/>
                    </a:xfrm>
                    <a:prstGeom prst="rect">
                      <a:avLst/>
                    </a:prstGeom>
                    <a:noFill/>
                    <a:ln>
                      <a:noFill/>
                    </a:ln>
                  </pic:spPr>
                </pic:pic>
              </a:graphicData>
            </a:graphic>
          </wp:inline>
        </w:drawing>
      </w:r>
    </w:p>
    <w:p w14:paraId="69604E54" w14:textId="1D0DF0DB" w:rsidR="007D1848" w:rsidRPr="00092862" w:rsidRDefault="007D1848" w:rsidP="00F1449E">
      <w:pPr>
        <w:pStyle w:val="afffff6"/>
        <w:ind w:firstLineChars="0" w:firstLine="0"/>
        <w:jc w:val="center"/>
        <w:rPr>
          <w:color w:val="000000" w:themeColor="text1"/>
          <w:sz w:val="28"/>
          <w:szCs w:val="28"/>
        </w:rPr>
      </w:pPr>
    </w:p>
    <w:p w14:paraId="4A5BED3C" w14:textId="13819C6B" w:rsidR="00F1449E" w:rsidRPr="00092862" w:rsidRDefault="00F1449E" w:rsidP="009C5B8E">
      <w:pPr>
        <w:pStyle w:val="afffff6"/>
        <w:ind w:firstLine="480"/>
        <w:rPr>
          <w:color w:val="000000" w:themeColor="text1"/>
        </w:rPr>
        <w:sectPr w:rsidR="00F1449E" w:rsidRPr="00092862">
          <w:footerReference w:type="default" r:id="rId20"/>
          <w:pgSz w:w="11906" w:h="16838"/>
          <w:pgMar w:top="1440" w:right="1800" w:bottom="1440" w:left="1800" w:header="851" w:footer="992" w:gutter="0"/>
          <w:cols w:space="425"/>
          <w:docGrid w:type="lines" w:linePitch="312"/>
        </w:sectPr>
      </w:pPr>
    </w:p>
    <w:p w14:paraId="43A8EBD7" w14:textId="6EE76869" w:rsidR="009C5B8E" w:rsidRPr="00092862" w:rsidRDefault="009C5B8E"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2C40AD" w:rsidRPr="00092862">
        <w:rPr>
          <w:rFonts w:ascii="Times New Roman" w:eastAsia="黑体" w:hAnsi="Times New Roman"/>
          <w:color w:val="000000" w:themeColor="text1"/>
          <w:sz w:val="21"/>
          <w:szCs w:val="21"/>
          <w:lang w:eastAsia="zh-CN"/>
        </w:rPr>
        <w:t>2.7-1</w:t>
      </w:r>
      <w:r w:rsidR="005D4C5B"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项目与</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三线一单</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相关要求的符合性分析表</w:t>
      </w:r>
    </w:p>
    <w:tbl>
      <w:tblPr>
        <w:tblStyle w:val="aff"/>
        <w:tblW w:w="4920" w:type="pct"/>
        <w:tblLook w:val="0000" w:firstRow="0" w:lastRow="0" w:firstColumn="0" w:lastColumn="0" w:noHBand="0" w:noVBand="0"/>
      </w:tblPr>
      <w:tblGrid>
        <w:gridCol w:w="1842"/>
        <w:gridCol w:w="821"/>
        <w:gridCol w:w="823"/>
        <w:gridCol w:w="7588"/>
        <w:gridCol w:w="1772"/>
        <w:gridCol w:w="879"/>
      </w:tblGrid>
      <w:tr w:rsidR="00697429" w:rsidRPr="00092862" w14:paraId="5BBC8128" w14:textId="77777777" w:rsidTr="00644F03">
        <w:trPr>
          <w:tblHeader/>
        </w:trPr>
        <w:tc>
          <w:tcPr>
            <w:tcW w:w="4027" w:type="pct"/>
            <w:gridSpan w:val="4"/>
            <w:vAlign w:val="center"/>
          </w:tcPr>
          <w:p w14:paraId="426C772A" w14:textId="77777777" w:rsidR="00644F03" w:rsidRPr="00092862" w:rsidRDefault="00644F03" w:rsidP="003F1F64">
            <w:pPr>
              <w:jc w:val="center"/>
              <w:rPr>
                <w:rFonts w:ascii="Times New Roman" w:hAnsi="Times New Roman" w:cs="Times New Roman"/>
                <w:b/>
                <w:bCs/>
                <w:snapToGrid w:val="0"/>
                <w:color w:val="000000" w:themeColor="text1"/>
                <w:szCs w:val="21"/>
              </w:rPr>
            </w:pPr>
            <w:r w:rsidRPr="00092862">
              <w:rPr>
                <w:rFonts w:ascii="Times New Roman" w:hAnsi="Times New Roman" w:cs="Times New Roman"/>
                <w:b/>
                <w:bCs/>
                <w:snapToGrid w:val="0"/>
                <w:color w:val="000000" w:themeColor="text1"/>
                <w:szCs w:val="21"/>
              </w:rPr>
              <w:t>“</w:t>
            </w:r>
            <w:r w:rsidRPr="00092862">
              <w:rPr>
                <w:rFonts w:ascii="Times New Roman" w:hAnsi="Times New Roman" w:cs="Times New Roman"/>
                <w:b/>
                <w:bCs/>
                <w:snapToGrid w:val="0"/>
                <w:color w:val="000000" w:themeColor="text1"/>
                <w:szCs w:val="21"/>
              </w:rPr>
              <w:t>三线一单</w:t>
            </w:r>
            <w:r w:rsidRPr="00092862">
              <w:rPr>
                <w:rFonts w:ascii="Times New Roman" w:hAnsi="Times New Roman" w:cs="Times New Roman"/>
                <w:b/>
                <w:bCs/>
                <w:snapToGrid w:val="0"/>
                <w:color w:val="000000" w:themeColor="text1"/>
                <w:szCs w:val="21"/>
              </w:rPr>
              <w:t>”</w:t>
            </w:r>
            <w:r w:rsidRPr="00092862">
              <w:rPr>
                <w:rFonts w:ascii="Times New Roman" w:hAnsi="Times New Roman" w:cs="Times New Roman"/>
                <w:b/>
                <w:bCs/>
                <w:snapToGrid w:val="0"/>
                <w:color w:val="000000" w:themeColor="text1"/>
                <w:szCs w:val="21"/>
              </w:rPr>
              <w:t>的具体要求</w:t>
            </w:r>
          </w:p>
        </w:tc>
        <w:tc>
          <w:tcPr>
            <w:tcW w:w="649" w:type="pct"/>
            <w:vMerge w:val="restart"/>
            <w:vAlign w:val="center"/>
          </w:tcPr>
          <w:p w14:paraId="56245ADA" w14:textId="77777777" w:rsidR="00644F03" w:rsidRPr="00092862" w:rsidRDefault="00644F03" w:rsidP="003F1F64">
            <w:pPr>
              <w:jc w:val="center"/>
              <w:rPr>
                <w:rFonts w:ascii="Times New Roman" w:hAnsi="Times New Roman" w:cs="Times New Roman"/>
                <w:b/>
                <w:bCs/>
                <w:snapToGrid w:val="0"/>
                <w:color w:val="000000" w:themeColor="text1"/>
                <w:szCs w:val="21"/>
              </w:rPr>
            </w:pPr>
            <w:r w:rsidRPr="00092862">
              <w:rPr>
                <w:rFonts w:ascii="Times New Roman" w:hAnsi="Times New Roman" w:cs="Times New Roman"/>
                <w:b/>
                <w:bCs/>
                <w:snapToGrid w:val="0"/>
                <w:color w:val="000000" w:themeColor="text1"/>
                <w:szCs w:val="21"/>
              </w:rPr>
              <w:t>项目对应情况介绍</w:t>
            </w:r>
          </w:p>
        </w:tc>
        <w:tc>
          <w:tcPr>
            <w:tcW w:w="324" w:type="pct"/>
            <w:vMerge w:val="restart"/>
            <w:vAlign w:val="center"/>
          </w:tcPr>
          <w:p w14:paraId="4BBE39CE" w14:textId="77777777" w:rsidR="00644F03" w:rsidRPr="00092862" w:rsidRDefault="00644F03" w:rsidP="003F1F64">
            <w:pPr>
              <w:jc w:val="center"/>
              <w:rPr>
                <w:rFonts w:ascii="Times New Roman" w:hAnsi="Times New Roman" w:cs="Times New Roman"/>
                <w:b/>
                <w:bCs/>
                <w:snapToGrid w:val="0"/>
                <w:color w:val="000000" w:themeColor="text1"/>
                <w:szCs w:val="21"/>
              </w:rPr>
            </w:pPr>
            <w:r w:rsidRPr="00092862">
              <w:rPr>
                <w:rFonts w:ascii="Times New Roman" w:hAnsi="Times New Roman" w:cs="Times New Roman"/>
                <w:b/>
                <w:bCs/>
                <w:snapToGrid w:val="0"/>
                <w:color w:val="000000" w:themeColor="text1"/>
                <w:szCs w:val="21"/>
              </w:rPr>
              <w:t>符合性分析</w:t>
            </w:r>
          </w:p>
        </w:tc>
      </w:tr>
      <w:tr w:rsidR="00697429" w:rsidRPr="00092862" w14:paraId="2BCA7DD7" w14:textId="77777777" w:rsidTr="00644F03">
        <w:trPr>
          <w:tblHeader/>
        </w:trPr>
        <w:tc>
          <w:tcPr>
            <w:tcW w:w="1259" w:type="pct"/>
            <w:gridSpan w:val="3"/>
            <w:vAlign w:val="center"/>
          </w:tcPr>
          <w:p w14:paraId="69B3B5E4" w14:textId="77777777" w:rsidR="00644F03" w:rsidRPr="00092862" w:rsidRDefault="00644F03" w:rsidP="003F1F64">
            <w:pPr>
              <w:jc w:val="center"/>
              <w:rPr>
                <w:rFonts w:ascii="Times New Roman" w:hAnsi="Times New Roman" w:cs="Times New Roman"/>
                <w:b/>
                <w:bCs/>
                <w:snapToGrid w:val="0"/>
                <w:color w:val="000000" w:themeColor="text1"/>
                <w:szCs w:val="21"/>
              </w:rPr>
            </w:pPr>
            <w:r w:rsidRPr="00092862">
              <w:rPr>
                <w:rFonts w:ascii="Times New Roman" w:hAnsi="Times New Roman" w:cs="Times New Roman"/>
                <w:b/>
                <w:bCs/>
                <w:snapToGrid w:val="0"/>
                <w:color w:val="000000" w:themeColor="text1"/>
                <w:szCs w:val="21"/>
              </w:rPr>
              <w:t>类别</w:t>
            </w:r>
          </w:p>
        </w:tc>
        <w:tc>
          <w:tcPr>
            <w:tcW w:w="2768" w:type="pct"/>
            <w:vAlign w:val="center"/>
          </w:tcPr>
          <w:p w14:paraId="2E55EE48" w14:textId="77777777" w:rsidR="00644F03" w:rsidRPr="00092862" w:rsidRDefault="00644F03" w:rsidP="003F1F64">
            <w:pPr>
              <w:jc w:val="center"/>
              <w:rPr>
                <w:rFonts w:ascii="Times New Roman" w:hAnsi="Times New Roman" w:cs="Times New Roman"/>
                <w:b/>
                <w:bCs/>
                <w:snapToGrid w:val="0"/>
                <w:color w:val="000000" w:themeColor="text1"/>
                <w:szCs w:val="21"/>
              </w:rPr>
            </w:pPr>
            <w:r w:rsidRPr="00092862">
              <w:rPr>
                <w:rFonts w:ascii="Times New Roman" w:hAnsi="Times New Roman" w:cs="Times New Roman"/>
                <w:b/>
                <w:bCs/>
                <w:snapToGrid w:val="0"/>
                <w:color w:val="000000" w:themeColor="text1"/>
                <w:szCs w:val="21"/>
              </w:rPr>
              <w:t>对应管控要求</w:t>
            </w:r>
          </w:p>
        </w:tc>
        <w:tc>
          <w:tcPr>
            <w:tcW w:w="649" w:type="pct"/>
            <w:vMerge/>
            <w:vAlign w:val="center"/>
          </w:tcPr>
          <w:p w14:paraId="31A2FCB3" w14:textId="77777777" w:rsidR="00644F03" w:rsidRPr="00092862" w:rsidRDefault="00644F03" w:rsidP="003F1F64">
            <w:pPr>
              <w:jc w:val="center"/>
              <w:rPr>
                <w:rFonts w:ascii="Times New Roman" w:hAnsi="Times New Roman" w:cs="Times New Roman"/>
                <w:b/>
                <w:bCs/>
                <w:snapToGrid w:val="0"/>
                <w:color w:val="000000" w:themeColor="text1"/>
                <w:szCs w:val="21"/>
              </w:rPr>
            </w:pPr>
          </w:p>
        </w:tc>
        <w:tc>
          <w:tcPr>
            <w:tcW w:w="324" w:type="pct"/>
            <w:vMerge/>
            <w:vAlign w:val="center"/>
          </w:tcPr>
          <w:p w14:paraId="54C52FE0" w14:textId="77777777" w:rsidR="00644F03" w:rsidRPr="00092862" w:rsidRDefault="00644F03" w:rsidP="003F1F64">
            <w:pPr>
              <w:jc w:val="center"/>
              <w:rPr>
                <w:rFonts w:ascii="Times New Roman" w:hAnsi="Times New Roman" w:cs="Times New Roman"/>
                <w:b/>
                <w:bCs/>
                <w:snapToGrid w:val="0"/>
                <w:color w:val="000000" w:themeColor="text1"/>
                <w:szCs w:val="21"/>
              </w:rPr>
            </w:pPr>
          </w:p>
        </w:tc>
      </w:tr>
      <w:tr w:rsidR="00697429" w:rsidRPr="00092862" w14:paraId="38E72015" w14:textId="77777777" w:rsidTr="00644F03">
        <w:tc>
          <w:tcPr>
            <w:tcW w:w="652" w:type="pct"/>
            <w:vMerge w:val="restart"/>
            <w:vAlign w:val="center"/>
          </w:tcPr>
          <w:p w14:paraId="124A764D" w14:textId="4311D815"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snapToGrid w:val="0"/>
                <w:color w:val="000000" w:themeColor="text1"/>
                <w:szCs w:val="21"/>
              </w:rPr>
              <w:t>/</w:t>
            </w:r>
          </w:p>
        </w:tc>
        <w:tc>
          <w:tcPr>
            <w:tcW w:w="303" w:type="pct"/>
            <w:vMerge w:val="restart"/>
            <w:vAlign w:val="center"/>
          </w:tcPr>
          <w:p w14:paraId="4DA92F9B"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达州市总体管控要求</w:t>
            </w:r>
          </w:p>
        </w:tc>
        <w:tc>
          <w:tcPr>
            <w:tcW w:w="304" w:type="pct"/>
            <w:vAlign w:val="center"/>
          </w:tcPr>
          <w:p w14:paraId="6E9419A8" w14:textId="77777777"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snapToGrid w:val="0"/>
                <w:color w:val="000000" w:themeColor="text1"/>
                <w:szCs w:val="21"/>
              </w:rPr>
              <w:t>空间布局约束</w:t>
            </w:r>
          </w:p>
        </w:tc>
        <w:tc>
          <w:tcPr>
            <w:tcW w:w="2768" w:type="pct"/>
            <w:vAlign w:val="center"/>
          </w:tcPr>
          <w:p w14:paraId="42A945C1"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禁止开发建设活动的要求：</w:t>
            </w:r>
          </w:p>
          <w:p w14:paraId="72E5E38A"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禁止在长江干支流</w:t>
            </w:r>
            <w:r w:rsidRPr="00092862">
              <w:rPr>
                <w:rFonts w:eastAsia="宋体"/>
                <w:color w:val="000000" w:themeColor="text1"/>
                <w:sz w:val="21"/>
              </w:rPr>
              <w:t>1</w:t>
            </w:r>
            <w:r w:rsidRPr="00092862">
              <w:rPr>
                <w:rFonts w:eastAsia="宋体"/>
                <w:color w:val="000000" w:themeColor="text1"/>
                <w:sz w:val="21"/>
              </w:rPr>
              <w:t>公里范围内新建、扩建化工园区和化工项目。</w:t>
            </w:r>
          </w:p>
          <w:p w14:paraId="78570A95"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禁止在法律法规规定的禁采区内新建矿山；禁止土法采、选、冶严重污染环境的矿产资源。</w:t>
            </w:r>
          </w:p>
          <w:p w14:paraId="3E3DF43C"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涉及永久基本农田的区域，除法律规定的重点建设项目选址确实无法避让外，其他任何建设不得占用。</w:t>
            </w:r>
          </w:p>
          <w:p w14:paraId="69CF703F"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拟新增：</w:t>
            </w:r>
          </w:p>
          <w:p w14:paraId="5612018B"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禁止在长江流域河湖管理范围内倾倒、填埋、堆放、弃置、处理固体废物。</w:t>
            </w:r>
          </w:p>
          <w:p w14:paraId="0BD2177A"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限制开发建设活动的要求：</w:t>
            </w:r>
          </w:p>
          <w:p w14:paraId="15DB5EF7"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按照相关要求严控水泥新增产能。</w:t>
            </w:r>
          </w:p>
          <w:p w14:paraId="1BD6F3B0"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拟新增：</w:t>
            </w:r>
          </w:p>
          <w:p w14:paraId="204F6521"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涉及法定保护地，严格按照国家及地方法律法规、管理办法等相关要求进行控制。配套旅游、基础设施等建设项目，在符合规划和相关保护要求的前提下，应实施生态避让、减缓影响及生态恢复措施。</w:t>
            </w:r>
          </w:p>
          <w:p w14:paraId="20E773B0"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按照相关要求严控水泥新增产能。</w:t>
            </w:r>
          </w:p>
          <w:p w14:paraId="6A4DF277"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禁止在长江干流岸线三公里范围内和重要支流岸线一公里范围内新建、改建、扩建尾矿库；但是以提升安全、生态环境保护水平为目的的改建除外。</w:t>
            </w:r>
          </w:p>
          <w:p w14:paraId="4B5B9CAA"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不符合空间布局要求活动的退出要求：</w:t>
            </w:r>
          </w:p>
          <w:p w14:paraId="14961302"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针对现有水泥企业，强化污染治理和污染物减排，依法依规整治或搬迁。</w:t>
            </w:r>
          </w:p>
          <w:p w14:paraId="5C63E0C2"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拟新增：</w:t>
            </w:r>
          </w:p>
          <w:p w14:paraId="7EB252AE"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全面取缔禁养区内规模化畜禽养殖场。</w:t>
            </w:r>
          </w:p>
          <w:p w14:paraId="1A1AE61C"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-2025</w:t>
            </w:r>
            <w:r w:rsidRPr="00092862">
              <w:rPr>
                <w:rFonts w:eastAsia="宋体"/>
                <w:color w:val="000000" w:themeColor="text1"/>
                <w:sz w:val="21"/>
              </w:rPr>
              <w:t>年基本完成全域内</w:t>
            </w:r>
            <w:r w:rsidRPr="00092862">
              <w:rPr>
                <w:rFonts w:eastAsia="宋体"/>
                <w:color w:val="000000" w:themeColor="text1"/>
                <w:sz w:val="21"/>
              </w:rPr>
              <w:t>“</w:t>
            </w:r>
            <w:r w:rsidRPr="00092862">
              <w:rPr>
                <w:rFonts w:eastAsia="宋体"/>
                <w:color w:val="000000" w:themeColor="text1"/>
                <w:sz w:val="21"/>
              </w:rPr>
              <w:t>散乱污</w:t>
            </w:r>
            <w:r w:rsidRPr="00092862">
              <w:rPr>
                <w:rFonts w:eastAsia="宋体"/>
                <w:color w:val="000000" w:themeColor="text1"/>
                <w:sz w:val="21"/>
              </w:rPr>
              <w:t>”</w:t>
            </w:r>
            <w:r w:rsidRPr="00092862">
              <w:rPr>
                <w:rFonts w:eastAsia="宋体"/>
                <w:color w:val="000000" w:themeColor="text1"/>
                <w:sz w:val="21"/>
              </w:rPr>
              <w:t>企业整治工作。</w:t>
            </w:r>
          </w:p>
        </w:tc>
        <w:tc>
          <w:tcPr>
            <w:tcW w:w="649" w:type="pct"/>
            <w:vAlign w:val="center"/>
          </w:tcPr>
          <w:p w14:paraId="14FA6E41" w14:textId="22736197" w:rsidR="00644F03" w:rsidRPr="00092862" w:rsidRDefault="00644F03" w:rsidP="003F1F64">
            <w:pPr>
              <w:pStyle w:val="21"/>
              <w:spacing w:line="240" w:lineRule="auto"/>
              <w:ind w:firstLine="0"/>
              <w:jc w:val="center"/>
              <w:rPr>
                <w:rFonts w:ascii="Times New Roman" w:eastAsia="宋体"/>
                <w:b w:val="0"/>
                <w:bCs w:val="0"/>
                <w:snapToGrid w:val="0"/>
                <w:color w:val="000000" w:themeColor="text1"/>
                <w:sz w:val="21"/>
                <w:szCs w:val="21"/>
              </w:rPr>
            </w:pPr>
            <w:r w:rsidRPr="00092862">
              <w:rPr>
                <w:rFonts w:ascii="Times New Roman" w:eastAsia="宋体"/>
                <w:b w:val="0"/>
                <w:bCs w:val="0"/>
                <w:snapToGrid w:val="0"/>
                <w:color w:val="000000" w:themeColor="text1"/>
                <w:sz w:val="21"/>
                <w:szCs w:val="21"/>
              </w:rPr>
              <w:t>本项目为天然气钻井和试采工程，不涉及空间约束管控内容。</w:t>
            </w:r>
          </w:p>
        </w:tc>
        <w:tc>
          <w:tcPr>
            <w:tcW w:w="324" w:type="pct"/>
            <w:vAlign w:val="center"/>
          </w:tcPr>
          <w:p w14:paraId="66648249" w14:textId="77777777"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snapToGrid w:val="0"/>
                <w:color w:val="000000" w:themeColor="text1"/>
                <w:szCs w:val="21"/>
              </w:rPr>
              <w:t>符合</w:t>
            </w:r>
          </w:p>
        </w:tc>
      </w:tr>
      <w:tr w:rsidR="00697429" w:rsidRPr="00092862" w14:paraId="337F3168" w14:textId="77777777" w:rsidTr="00644F03">
        <w:tc>
          <w:tcPr>
            <w:tcW w:w="652" w:type="pct"/>
            <w:vMerge/>
            <w:vAlign w:val="center"/>
          </w:tcPr>
          <w:p w14:paraId="15C69F3F" w14:textId="77777777" w:rsidR="00644F03" w:rsidRPr="00092862" w:rsidRDefault="00644F03" w:rsidP="003F1F64">
            <w:pPr>
              <w:jc w:val="center"/>
              <w:rPr>
                <w:rFonts w:ascii="Times New Roman" w:hAnsi="Times New Roman" w:cs="Times New Roman"/>
                <w:snapToGrid w:val="0"/>
                <w:color w:val="000000" w:themeColor="text1"/>
                <w:szCs w:val="21"/>
              </w:rPr>
            </w:pPr>
          </w:p>
        </w:tc>
        <w:tc>
          <w:tcPr>
            <w:tcW w:w="303" w:type="pct"/>
            <w:vMerge/>
            <w:vAlign w:val="center"/>
          </w:tcPr>
          <w:p w14:paraId="7FD7F0A6" w14:textId="77777777" w:rsidR="00644F03" w:rsidRPr="00092862" w:rsidRDefault="00644F03" w:rsidP="003F1F64">
            <w:pPr>
              <w:jc w:val="center"/>
              <w:rPr>
                <w:rFonts w:ascii="Times New Roman" w:hAnsi="Times New Roman" w:cs="Times New Roman"/>
                <w:color w:val="000000" w:themeColor="text1"/>
                <w:szCs w:val="21"/>
              </w:rPr>
            </w:pPr>
          </w:p>
        </w:tc>
        <w:tc>
          <w:tcPr>
            <w:tcW w:w="304" w:type="pct"/>
            <w:vAlign w:val="center"/>
          </w:tcPr>
          <w:p w14:paraId="1A381C6C" w14:textId="77777777"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color w:val="000000" w:themeColor="text1"/>
                <w:szCs w:val="21"/>
              </w:rPr>
              <w:t>污染物排放管控</w:t>
            </w:r>
          </w:p>
        </w:tc>
        <w:tc>
          <w:tcPr>
            <w:tcW w:w="2768" w:type="pct"/>
            <w:vAlign w:val="center"/>
          </w:tcPr>
          <w:p w14:paraId="75A7287C"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现有源提标升级改造：</w:t>
            </w:r>
          </w:p>
          <w:p w14:paraId="28C9014D"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在矿产资源开发活动集中区域，废水执行重金属污染物排放特别限值。</w:t>
            </w:r>
          </w:p>
          <w:p w14:paraId="4243C24F"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火电、水泥等行业按相关要求推进大气污染物超低排放和深度治理。</w:t>
            </w:r>
          </w:p>
          <w:p w14:paraId="3C823AA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砖瓦行业实施脱硫、除尘升级改造，污染物排放达到《砖瓦工业大气污染物排放标准》相关要求。</w:t>
            </w:r>
          </w:p>
          <w:p w14:paraId="6B10C5FF"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lastRenderedPageBreak/>
              <w:t>新增源等量或倍量替代：</w:t>
            </w:r>
          </w:p>
          <w:p w14:paraId="7D88C3B7"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上一年度水环境质量未完成目标的，新建排放水污染的建设项目按照总量管控要求进行倍量削减替代。</w:t>
            </w:r>
          </w:p>
          <w:p w14:paraId="02C93BE5"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上一年度空气质量年平均浓度不达标的城市，建设项目新增相关污染物按照总量管控要求进行倍量削减替代。</w:t>
            </w:r>
          </w:p>
          <w:p w14:paraId="7D0B6FC4"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大气环境重点管控区内，新增大气污染物排放的建设项目实施总量削减替代。</w:t>
            </w:r>
          </w:p>
          <w:p w14:paraId="3ACBBF85"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污染物排放绩效水平准入要求：</w:t>
            </w:r>
          </w:p>
          <w:p w14:paraId="357F31E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屠宰项目必须配套污水处理设施或进入城市污水管网。</w:t>
            </w:r>
          </w:p>
          <w:p w14:paraId="6BAA2390"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大气环境重点管控区内加强</w:t>
            </w:r>
            <w:r w:rsidRPr="00092862">
              <w:rPr>
                <w:rFonts w:eastAsia="宋体"/>
                <w:color w:val="000000" w:themeColor="text1"/>
                <w:sz w:val="21"/>
              </w:rPr>
              <w:t>“</w:t>
            </w:r>
            <w:r w:rsidRPr="00092862">
              <w:rPr>
                <w:rFonts w:eastAsia="宋体"/>
                <w:color w:val="000000" w:themeColor="text1"/>
                <w:sz w:val="21"/>
              </w:rPr>
              <w:t>高架源</w:t>
            </w:r>
            <w:r w:rsidRPr="00092862">
              <w:rPr>
                <w:rFonts w:eastAsia="宋体"/>
                <w:color w:val="000000" w:themeColor="text1"/>
                <w:sz w:val="21"/>
              </w:rPr>
              <w:t>”</w:t>
            </w:r>
            <w:r w:rsidRPr="00092862">
              <w:rPr>
                <w:rFonts w:eastAsia="宋体"/>
                <w:color w:val="000000" w:themeColor="text1"/>
                <w:sz w:val="21"/>
              </w:rPr>
              <w:t>污染治理，深化施工扬尘监管，严格落实</w:t>
            </w:r>
            <w:r w:rsidRPr="00092862">
              <w:rPr>
                <w:rFonts w:eastAsia="宋体"/>
                <w:color w:val="000000" w:themeColor="text1"/>
                <w:sz w:val="21"/>
              </w:rPr>
              <w:t>“</w:t>
            </w:r>
            <w:r w:rsidRPr="00092862">
              <w:rPr>
                <w:rFonts w:eastAsia="宋体"/>
                <w:color w:val="000000" w:themeColor="text1"/>
                <w:sz w:val="21"/>
              </w:rPr>
              <w:t>六必须、六不准</w:t>
            </w:r>
            <w:r w:rsidRPr="00092862">
              <w:rPr>
                <w:rFonts w:eastAsia="宋体"/>
                <w:color w:val="000000" w:themeColor="text1"/>
                <w:sz w:val="21"/>
              </w:rPr>
              <w:t>”</w:t>
            </w:r>
            <w:r w:rsidRPr="00092862">
              <w:rPr>
                <w:rFonts w:eastAsia="宋体"/>
                <w:color w:val="000000" w:themeColor="text1"/>
                <w:sz w:val="21"/>
              </w:rPr>
              <w:t>管控要求，强化道路施工管控，提高道路清扫机械化和精细化作业水平。</w:t>
            </w:r>
          </w:p>
          <w:p w14:paraId="79233170"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拟更新：</w:t>
            </w:r>
          </w:p>
          <w:p w14:paraId="562C85B4"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至</w:t>
            </w:r>
            <w:r w:rsidRPr="00092862">
              <w:rPr>
                <w:rFonts w:eastAsia="宋体"/>
                <w:color w:val="000000" w:themeColor="text1"/>
                <w:sz w:val="21"/>
              </w:rPr>
              <w:t>2022</w:t>
            </w:r>
            <w:r w:rsidRPr="00092862">
              <w:rPr>
                <w:rFonts w:eastAsia="宋体"/>
                <w:color w:val="000000" w:themeColor="text1"/>
                <w:sz w:val="21"/>
              </w:rPr>
              <w:t>年底，基本实现乡镇污水处理设施全覆盖，配套建设污水收集管网，乡镇污水处理率达到</w:t>
            </w:r>
            <w:r w:rsidRPr="00092862">
              <w:rPr>
                <w:rFonts w:eastAsia="宋体"/>
                <w:color w:val="000000" w:themeColor="text1"/>
                <w:sz w:val="21"/>
              </w:rPr>
              <w:t>65%</w:t>
            </w:r>
            <w:r w:rsidRPr="00092862">
              <w:rPr>
                <w:rFonts w:eastAsia="宋体"/>
                <w:color w:val="000000" w:themeColor="text1"/>
                <w:sz w:val="21"/>
              </w:rPr>
              <w:t>。</w:t>
            </w:r>
          </w:p>
          <w:p w14:paraId="05123983"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2023</w:t>
            </w:r>
            <w:r w:rsidRPr="00092862">
              <w:rPr>
                <w:rFonts w:eastAsia="宋体"/>
                <w:color w:val="000000" w:themeColor="text1"/>
                <w:sz w:val="21"/>
              </w:rPr>
              <w:t>年底，力争全市生活垃圾焚烧处理能力占比达</w:t>
            </w:r>
            <w:r w:rsidRPr="00092862">
              <w:rPr>
                <w:rFonts w:eastAsia="宋体"/>
                <w:color w:val="000000" w:themeColor="text1"/>
                <w:sz w:val="21"/>
              </w:rPr>
              <w:t>60%</w:t>
            </w:r>
            <w:r w:rsidRPr="00092862">
              <w:rPr>
                <w:rFonts w:eastAsia="宋体"/>
                <w:color w:val="000000" w:themeColor="text1"/>
                <w:sz w:val="21"/>
              </w:rPr>
              <w:t>以上，各县（市）生活垃圾无害化处理率保持</w:t>
            </w:r>
            <w:r w:rsidRPr="00092862">
              <w:rPr>
                <w:rFonts w:eastAsia="宋体"/>
                <w:color w:val="000000" w:themeColor="text1"/>
                <w:sz w:val="21"/>
              </w:rPr>
              <w:t>95%</w:t>
            </w:r>
            <w:r w:rsidRPr="00092862">
              <w:rPr>
                <w:rFonts w:eastAsia="宋体"/>
                <w:color w:val="000000" w:themeColor="text1"/>
                <w:sz w:val="21"/>
              </w:rPr>
              <w:t>以上，乡镇及行政村生活垃圾收转运处置体系基本实现全覆盖。</w:t>
            </w:r>
          </w:p>
          <w:p w14:paraId="27351861"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2025</w:t>
            </w:r>
            <w:r w:rsidRPr="00092862">
              <w:rPr>
                <w:rFonts w:eastAsia="宋体"/>
                <w:color w:val="000000" w:themeColor="text1"/>
                <w:sz w:val="21"/>
              </w:rPr>
              <w:t>年，农药包装废弃物回收率达</w:t>
            </w:r>
            <w:r w:rsidRPr="00092862">
              <w:rPr>
                <w:rFonts w:eastAsia="宋体"/>
                <w:color w:val="000000" w:themeColor="text1"/>
                <w:sz w:val="21"/>
              </w:rPr>
              <w:t>80%</w:t>
            </w:r>
            <w:r w:rsidRPr="00092862">
              <w:rPr>
                <w:rFonts w:eastAsia="宋体"/>
                <w:color w:val="000000" w:themeColor="text1"/>
                <w:sz w:val="21"/>
              </w:rPr>
              <w:t>；粮油绿色高质高效示范区、茶叶主产区和现代农业园区农药包装废弃物回收率</w:t>
            </w:r>
            <w:r w:rsidRPr="00092862">
              <w:rPr>
                <w:rFonts w:eastAsia="宋体"/>
                <w:color w:val="000000" w:themeColor="text1"/>
                <w:sz w:val="21"/>
              </w:rPr>
              <w:t>100%</w:t>
            </w:r>
            <w:r w:rsidRPr="00092862">
              <w:rPr>
                <w:rFonts w:eastAsia="宋体"/>
                <w:color w:val="000000" w:themeColor="text1"/>
                <w:sz w:val="21"/>
              </w:rPr>
              <w:t>。</w:t>
            </w:r>
          </w:p>
          <w:p w14:paraId="3AF5072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2025</w:t>
            </w:r>
            <w:r w:rsidRPr="00092862">
              <w:rPr>
                <w:rFonts w:eastAsia="宋体"/>
                <w:color w:val="000000" w:themeColor="text1"/>
                <w:sz w:val="21"/>
              </w:rPr>
              <w:t>年，全国主要农作物化肥、农药利用率达</w:t>
            </w:r>
            <w:r w:rsidRPr="00092862">
              <w:rPr>
                <w:rFonts w:eastAsia="宋体"/>
                <w:color w:val="000000" w:themeColor="text1"/>
                <w:sz w:val="21"/>
              </w:rPr>
              <w:t>43%</w:t>
            </w:r>
            <w:r w:rsidRPr="00092862">
              <w:rPr>
                <w:rFonts w:eastAsia="宋体"/>
                <w:color w:val="000000" w:themeColor="text1"/>
                <w:sz w:val="21"/>
              </w:rPr>
              <w:t>，测土配方施肥技术推广覆盖率保持在</w:t>
            </w:r>
            <w:r w:rsidRPr="00092862">
              <w:rPr>
                <w:rFonts w:eastAsia="宋体"/>
                <w:color w:val="000000" w:themeColor="text1"/>
                <w:sz w:val="21"/>
              </w:rPr>
              <w:t>90%</w:t>
            </w:r>
            <w:r w:rsidRPr="00092862">
              <w:rPr>
                <w:rFonts w:eastAsia="宋体"/>
                <w:color w:val="000000" w:themeColor="text1"/>
                <w:sz w:val="21"/>
              </w:rPr>
              <w:t>以上，控制农村面源污染，采取灌排分离等措施控制农田氮磷流失。</w:t>
            </w:r>
          </w:p>
          <w:p w14:paraId="6520025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2025</w:t>
            </w:r>
            <w:r w:rsidRPr="00092862">
              <w:rPr>
                <w:rFonts w:eastAsia="宋体"/>
                <w:color w:val="000000" w:themeColor="text1"/>
                <w:sz w:val="21"/>
              </w:rPr>
              <w:t>年，新、改扩建规模化畜禽养殖场（小区）要实施雨污分流、粪便污水资源化利用；规模化畜禽养殖场（小区）粪污处理设施装备配套率达到</w:t>
            </w:r>
            <w:r w:rsidRPr="00092862">
              <w:rPr>
                <w:rFonts w:eastAsia="宋体"/>
                <w:color w:val="000000" w:themeColor="text1"/>
                <w:sz w:val="21"/>
              </w:rPr>
              <w:t>95%</w:t>
            </w:r>
            <w:r w:rsidRPr="00092862">
              <w:rPr>
                <w:rFonts w:eastAsia="宋体"/>
                <w:color w:val="000000" w:themeColor="text1"/>
                <w:sz w:val="21"/>
              </w:rPr>
              <w:t>以上，粪污综合利用率达到</w:t>
            </w:r>
            <w:r w:rsidRPr="00092862">
              <w:rPr>
                <w:rFonts w:eastAsia="宋体"/>
                <w:color w:val="000000" w:themeColor="text1"/>
                <w:sz w:val="21"/>
              </w:rPr>
              <w:t>80%</w:t>
            </w:r>
            <w:r w:rsidRPr="00092862">
              <w:rPr>
                <w:rFonts w:eastAsia="宋体"/>
                <w:color w:val="000000" w:themeColor="text1"/>
                <w:sz w:val="21"/>
              </w:rPr>
              <w:t>以上，大型规模养殖场粪污处理设施装备配套率达到</w:t>
            </w:r>
            <w:r w:rsidRPr="00092862">
              <w:rPr>
                <w:rFonts w:eastAsia="宋体"/>
                <w:color w:val="000000" w:themeColor="text1"/>
                <w:sz w:val="21"/>
              </w:rPr>
              <w:t>100%</w:t>
            </w:r>
            <w:r w:rsidRPr="00092862">
              <w:rPr>
                <w:rFonts w:eastAsia="宋体"/>
                <w:color w:val="000000" w:themeColor="text1"/>
                <w:sz w:val="21"/>
              </w:rPr>
              <w:t>，畜禽粪污基本实现资源化利用；散养密集区要实行畜禽粪便污水分户收集、集中处理利用。</w:t>
            </w:r>
          </w:p>
          <w:p w14:paraId="18068CAA"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2025</w:t>
            </w:r>
            <w:r w:rsidRPr="00092862">
              <w:rPr>
                <w:rFonts w:eastAsia="宋体"/>
                <w:color w:val="000000" w:themeColor="text1"/>
                <w:sz w:val="21"/>
              </w:rPr>
              <w:t>年，废旧农膜回收利用率达到</w:t>
            </w:r>
            <w:r w:rsidRPr="00092862">
              <w:rPr>
                <w:rFonts w:eastAsia="宋体"/>
                <w:color w:val="000000" w:themeColor="text1"/>
                <w:sz w:val="21"/>
              </w:rPr>
              <w:t>85%</w:t>
            </w:r>
            <w:r w:rsidRPr="00092862">
              <w:rPr>
                <w:rFonts w:eastAsia="宋体"/>
                <w:color w:val="000000" w:themeColor="text1"/>
                <w:sz w:val="21"/>
              </w:rPr>
              <w:t>以上。</w:t>
            </w:r>
          </w:p>
        </w:tc>
        <w:tc>
          <w:tcPr>
            <w:tcW w:w="649" w:type="pct"/>
            <w:vAlign w:val="center"/>
          </w:tcPr>
          <w:p w14:paraId="4E4F0D0E" w14:textId="255C46E0" w:rsidR="00644F03" w:rsidRPr="00092862" w:rsidRDefault="00644F03" w:rsidP="003F1F64">
            <w:pPr>
              <w:pStyle w:val="21"/>
              <w:spacing w:line="240" w:lineRule="auto"/>
              <w:ind w:firstLine="0"/>
              <w:jc w:val="center"/>
              <w:rPr>
                <w:rFonts w:ascii="Times New Roman" w:eastAsia="宋体"/>
                <w:b w:val="0"/>
                <w:bCs w:val="0"/>
                <w:snapToGrid w:val="0"/>
                <w:color w:val="000000" w:themeColor="text1"/>
                <w:sz w:val="21"/>
                <w:szCs w:val="21"/>
              </w:rPr>
            </w:pPr>
            <w:r w:rsidRPr="00092862">
              <w:rPr>
                <w:rFonts w:ascii="Times New Roman" w:eastAsia="宋体"/>
                <w:b w:val="0"/>
                <w:bCs w:val="0"/>
                <w:color w:val="000000" w:themeColor="text1"/>
                <w:sz w:val="21"/>
                <w:szCs w:val="21"/>
              </w:rPr>
              <w:lastRenderedPageBreak/>
              <w:t>剩余钻井废水暂存于清洁生产操作平台的废水罐内，经预处理后装车拉运至普光</w:t>
            </w:r>
            <w:r w:rsidRPr="00092862">
              <w:rPr>
                <w:rFonts w:ascii="Times New Roman" w:eastAsia="宋体"/>
                <w:b w:val="0"/>
                <w:bCs w:val="0"/>
                <w:color w:val="000000" w:themeColor="text1"/>
                <w:sz w:val="21"/>
                <w:szCs w:val="21"/>
              </w:rPr>
              <w:lastRenderedPageBreak/>
              <w:t>11</w:t>
            </w:r>
            <w:r w:rsidRPr="00092862">
              <w:rPr>
                <w:rFonts w:ascii="Times New Roman" w:eastAsia="宋体"/>
                <w:b w:val="0"/>
                <w:bCs w:val="0"/>
                <w:color w:val="000000" w:themeColor="text1"/>
                <w:sz w:val="21"/>
                <w:szCs w:val="21"/>
              </w:rPr>
              <w:t>井回注站回注；压裂废水和洗井废水暂存于放喷池，装车拉运至赵家坝污水处理站达标后管输至普光</w:t>
            </w:r>
            <w:r w:rsidRPr="00092862">
              <w:rPr>
                <w:rFonts w:ascii="Times New Roman" w:eastAsia="宋体"/>
                <w:b w:val="0"/>
                <w:bCs w:val="0"/>
                <w:color w:val="000000" w:themeColor="text1"/>
                <w:sz w:val="21"/>
                <w:szCs w:val="21"/>
              </w:rPr>
              <w:t>11</w:t>
            </w:r>
            <w:r w:rsidRPr="00092862">
              <w:rPr>
                <w:rFonts w:ascii="Times New Roman" w:eastAsia="宋体"/>
                <w:b w:val="0"/>
                <w:bCs w:val="0"/>
                <w:color w:val="000000" w:themeColor="text1"/>
                <w:sz w:val="21"/>
                <w:szCs w:val="21"/>
              </w:rPr>
              <w:t>井回注站回注，</w:t>
            </w:r>
            <w:r w:rsidRPr="00092862">
              <w:rPr>
                <w:rFonts w:ascii="Times New Roman" w:eastAsia="宋体"/>
                <w:b w:val="0"/>
                <w:bCs w:val="0"/>
                <w:snapToGrid w:val="0"/>
                <w:color w:val="000000" w:themeColor="text1"/>
                <w:sz w:val="21"/>
                <w:szCs w:val="21"/>
              </w:rPr>
              <w:t>不外排。</w:t>
            </w:r>
          </w:p>
        </w:tc>
        <w:tc>
          <w:tcPr>
            <w:tcW w:w="324" w:type="pct"/>
            <w:vAlign w:val="center"/>
          </w:tcPr>
          <w:p w14:paraId="49B4ADDF" w14:textId="77777777"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snapToGrid w:val="0"/>
                <w:color w:val="000000" w:themeColor="text1"/>
                <w:szCs w:val="21"/>
              </w:rPr>
              <w:lastRenderedPageBreak/>
              <w:t>符合</w:t>
            </w:r>
          </w:p>
        </w:tc>
      </w:tr>
      <w:tr w:rsidR="00697429" w:rsidRPr="00092862" w14:paraId="6A8D160E" w14:textId="77777777" w:rsidTr="00644F03">
        <w:tc>
          <w:tcPr>
            <w:tcW w:w="652" w:type="pct"/>
            <w:vMerge/>
            <w:vAlign w:val="center"/>
          </w:tcPr>
          <w:p w14:paraId="3197441D" w14:textId="77777777" w:rsidR="00644F03" w:rsidRPr="00092862" w:rsidRDefault="00644F03" w:rsidP="003F1F64">
            <w:pPr>
              <w:jc w:val="center"/>
              <w:rPr>
                <w:rFonts w:ascii="Times New Roman" w:hAnsi="Times New Roman" w:cs="Times New Roman"/>
                <w:snapToGrid w:val="0"/>
                <w:color w:val="000000" w:themeColor="text1"/>
                <w:szCs w:val="21"/>
              </w:rPr>
            </w:pPr>
          </w:p>
        </w:tc>
        <w:tc>
          <w:tcPr>
            <w:tcW w:w="303" w:type="pct"/>
            <w:vMerge/>
            <w:vAlign w:val="center"/>
          </w:tcPr>
          <w:p w14:paraId="131CE481" w14:textId="77777777" w:rsidR="00644F03" w:rsidRPr="00092862" w:rsidRDefault="00644F03" w:rsidP="003F1F64">
            <w:pPr>
              <w:jc w:val="center"/>
              <w:rPr>
                <w:rFonts w:ascii="Times New Roman" w:hAnsi="Times New Roman" w:cs="Times New Roman"/>
                <w:color w:val="000000" w:themeColor="text1"/>
                <w:szCs w:val="21"/>
              </w:rPr>
            </w:pPr>
          </w:p>
        </w:tc>
        <w:tc>
          <w:tcPr>
            <w:tcW w:w="304" w:type="pct"/>
            <w:vAlign w:val="center"/>
          </w:tcPr>
          <w:p w14:paraId="5676E5C7"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环境风险防控</w:t>
            </w:r>
          </w:p>
        </w:tc>
        <w:tc>
          <w:tcPr>
            <w:tcW w:w="2768" w:type="pct"/>
            <w:vAlign w:val="center"/>
          </w:tcPr>
          <w:p w14:paraId="2A59F6FC"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企业环境风险防控要求：</w:t>
            </w:r>
          </w:p>
          <w:p w14:paraId="5864E668"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工业企业退出用地，须经评估、修复满足相应用地功能后，方可改变用途。</w:t>
            </w:r>
          </w:p>
          <w:p w14:paraId="31E7FAD9"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加强</w:t>
            </w:r>
            <w:r w:rsidRPr="00092862">
              <w:rPr>
                <w:rFonts w:eastAsia="宋体"/>
                <w:color w:val="000000" w:themeColor="text1"/>
                <w:sz w:val="21"/>
              </w:rPr>
              <w:t>“</w:t>
            </w:r>
            <w:r w:rsidRPr="00092862">
              <w:rPr>
                <w:rFonts w:eastAsia="宋体"/>
                <w:color w:val="000000" w:themeColor="text1"/>
                <w:sz w:val="21"/>
              </w:rPr>
              <w:t>散乱污</w:t>
            </w:r>
            <w:r w:rsidRPr="00092862">
              <w:rPr>
                <w:rFonts w:eastAsia="宋体"/>
                <w:color w:val="000000" w:themeColor="text1"/>
                <w:sz w:val="21"/>
              </w:rPr>
              <w:t>”</w:t>
            </w:r>
            <w:r w:rsidRPr="00092862">
              <w:rPr>
                <w:rFonts w:eastAsia="宋体"/>
                <w:color w:val="000000" w:themeColor="text1"/>
                <w:sz w:val="21"/>
              </w:rPr>
              <w:t>企业环境风险防控。</w:t>
            </w:r>
          </w:p>
          <w:p w14:paraId="2B8F3338"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拟新增：</w:t>
            </w:r>
          </w:p>
          <w:p w14:paraId="2FACC3C3"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w:t>
            </w:r>
          </w:p>
          <w:p w14:paraId="11DED035"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用地环境风险防控要求：</w:t>
            </w:r>
          </w:p>
          <w:p w14:paraId="2BE635DB"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严禁将城镇生活垃圾、污泥、工业废物直接用作肥料，禁止处理不达标的污泥进入耕地；禁止在农用地排放、倾倒、使用污泥、清淤底泥、尾矿（渣）等可能对土壤造成污染的固体废物。</w:t>
            </w:r>
          </w:p>
          <w:p w14:paraId="39ACD9AB"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定期对单元内尾矿库进行风险巡查，建立监测系统和环境风险应急预案；完善各尾矿库渗滤液收集、处理、回用系统，杜绝事故排放；尾矿库闭矿后因地制宜进行植被恢复和综合利用。</w:t>
            </w:r>
          </w:p>
          <w:p w14:paraId="3727370F"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规范排土场、渣场等整治。</w:t>
            </w:r>
          </w:p>
          <w:p w14:paraId="76780E4A"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拟新增：</w:t>
            </w:r>
          </w:p>
          <w:p w14:paraId="76C936E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禁止处理不达标的污泥进入耕地。</w:t>
            </w:r>
          </w:p>
          <w:p w14:paraId="204C05E0"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严格控制林地、草地、园地的农药使用量，禁止使用高毒、高残留农药。</w:t>
            </w:r>
          </w:p>
          <w:p w14:paraId="1F8A20A5"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2030</w:t>
            </w:r>
            <w:r w:rsidRPr="00092862">
              <w:rPr>
                <w:rFonts w:eastAsia="宋体"/>
                <w:color w:val="000000" w:themeColor="text1"/>
                <w:sz w:val="21"/>
              </w:rPr>
              <w:t>年，全市受污染耕地安全利用率达到</w:t>
            </w:r>
            <w:r w:rsidRPr="00092862">
              <w:rPr>
                <w:rFonts w:eastAsia="宋体"/>
                <w:color w:val="000000" w:themeColor="text1"/>
                <w:sz w:val="21"/>
              </w:rPr>
              <w:t>95%</w:t>
            </w:r>
            <w:r w:rsidRPr="00092862">
              <w:rPr>
                <w:rFonts w:eastAsia="宋体"/>
                <w:color w:val="000000" w:themeColor="text1"/>
                <w:sz w:val="21"/>
              </w:rPr>
              <w:t>以上，污染地块安全利用率达到</w:t>
            </w:r>
            <w:r w:rsidRPr="00092862">
              <w:rPr>
                <w:rFonts w:eastAsia="宋体"/>
                <w:color w:val="000000" w:themeColor="text1"/>
                <w:sz w:val="21"/>
              </w:rPr>
              <w:t>95%</w:t>
            </w:r>
            <w:r w:rsidRPr="00092862">
              <w:rPr>
                <w:rFonts w:eastAsia="宋体"/>
                <w:color w:val="000000" w:themeColor="text1"/>
                <w:sz w:val="21"/>
              </w:rPr>
              <w:t>以上。</w:t>
            </w:r>
          </w:p>
        </w:tc>
        <w:tc>
          <w:tcPr>
            <w:tcW w:w="649" w:type="pct"/>
            <w:vAlign w:val="center"/>
          </w:tcPr>
          <w:p w14:paraId="11130B3F" w14:textId="77777777" w:rsidR="00644F03" w:rsidRPr="00092862" w:rsidRDefault="00644F03" w:rsidP="003F1F64">
            <w:pPr>
              <w:pStyle w:val="21"/>
              <w:spacing w:line="240" w:lineRule="auto"/>
              <w:ind w:firstLine="0"/>
              <w:jc w:val="center"/>
              <w:rPr>
                <w:rFonts w:ascii="Times New Roman" w:eastAsia="宋体"/>
                <w:b w:val="0"/>
                <w:bCs w:val="0"/>
                <w:snapToGrid w:val="0"/>
                <w:color w:val="000000" w:themeColor="text1"/>
                <w:sz w:val="21"/>
                <w:szCs w:val="21"/>
              </w:rPr>
            </w:pPr>
            <w:r w:rsidRPr="00092862">
              <w:rPr>
                <w:rFonts w:ascii="Times New Roman" w:eastAsia="宋体"/>
                <w:b w:val="0"/>
                <w:bCs w:val="0"/>
                <w:snapToGrid w:val="0"/>
                <w:color w:val="000000" w:themeColor="text1"/>
                <w:sz w:val="21"/>
                <w:szCs w:val="21"/>
              </w:rPr>
              <w:t>本项目严格落实风险防控措施，普光分公司建立了环境突发事故应急预案体。不涉及环境风险防控要求。</w:t>
            </w:r>
          </w:p>
        </w:tc>
        <w:tc>
          <w:tcPr>
            <w:tcW w:w="324" w:type="pct"/>
            <w:vAlign w:val="center"/>
          </w:tcPr>
          <w:p w14:paraId="22A3374C" w14:textId="77777777"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snapToGrid w:val="0"/>
                <w:color w:val="000000" w:themeColor="text1"/>
                <w:szCs w:val="21"/>
              </w:rPr>
              <w:t>符合</w:t>
            </w:r>
          </w:p>
        </w:tc>
      </w:tr>
      <w:tr w:rsidR="00697429" w:rsidRPr="00092862" w14:paraId="7518D361" w14:textId="77777777" w:rsidTr="00644F03">
        <w:tc>
          <w:tcPr>
            <w:tcW w:w="652" w:type="pct"/>
            <w:vMerge/>
            <w:vAlign w:val="center"/>
          </w:tcPr>
          <w:p w14:paraId="419400CF" w14:textId="77777777" w:rsidR="00644F03" w:rsidRPr="00092862" w:rsidRDefault="00644F03" w:rsidP="003F1F64">
            <w:pPr>
              <w:jc w:val="center"/>
              <w:rPr>
                <w:rFonts w:ascii="Times New Roman" w:hAnsi="Times New Roman" w:cs="Times New Roman"/>
                <w:snapToGrid w:val="0"/>
                <w:color w:val="000000" w:themeColor="text1"/>
                <w:szCs w:val="21"/>
              </w:rPr>
            </w:pPr>
          </w:p>
        </w:tc>
        <w:tc>
          <w:tcPr>
            <w:tcW w:w="303" w:type="pct"/>
            <w:vMerge/>
            <w:vAlign w:val="center"/>
          </w:tcPr>
          <w:p w14:paraId="65EFEA5A" w14:textId="77777777" w:rsidR="00644F03" w:rsidRPr="00092862" w:rsidRDefault="00644F03" w:rsidP="003F1F64">
            <w:pPr>
              <w:jc w:val="center"/>
              <w:rPr>
                <w:rFonts w:ascii="Times New Roman" w:hAnsi="Times New Roman" w:cs="Times New Roman"/>
                <w:color w:val="000000" w:themeColor="text1"/>
                <w:szCs w:val="21"/>
              </w:rPr>
            </w:pPr>
          </w:p>
        </w:tc>
        <w:tc>
          <w:tcPr>
            <w:tcW w:w="304" w:type="pct"/>
            <w:vAlign w:val="center"/>
          </w:tcPr>
          <w:p w14:paraId="3FFE60C7"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资源开发效率</w:t>
            </w:r>
          </w:p>
        </w:tc>
        <w:tc>
          <w:tcPr>
            <w:tcW w:w="2768" w:type="pct"/>
            <w:vAlign w:val="center"/>
          </w:tcPr>
          <w:p w14:paraId="1CD38338"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水资源利用效率要求：</w:t>
            </w:r>
          </w:p>
          <w:p w14:paraId="795DB569"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更新：</w:t>
            </w:r>
          </w:p>
          <w:p w14:paraId="1B057495"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到</w:t>
            </w:r>
            <w:r w:rsidRPr="00092862">
              <w:rPr>
                <w:rFonts w:eastAsia="宋体"/>
                <w:color w:val="000000" w:themeColor="text1"/>
                <w:sz w:val="21"/>
              </w:rPr>
              <w:t>2025</w:t>
            </w:r>
            <w:r w:rsidRPr="00092862">
              <w:rPr>
                <w:rFonts w:eastAsia="宋体"/>
                <w:color w:val="000000" w:themeColor="text1"/>
                <w:sz w:val="21"/>
              </w:rPr>
              <w:t>年，农田灌溉水有效利用系数达到</w:t>
            </w:r>
            <w:r w:rsidRPr="00092862">
              <w:rPr>
                <w:rFonts w:eastAsia="宋体"/>
                <w:color w:val="000000" w:themeColor="text1"/>
                <w:sz w:val="21"/>
              </w:rPr>
              <w:t>0.57</w:t>
            </w:r>
            <w:r w:rsidRPr="00092862">
              <w:rPr>
                <w:rFonts w:eastAsia="宋体"/>
                <w:color w:val="000000" w:themeColor="text1"/>
                <w:sz w:val="21"/>
              </w:rPr>
              <w:t>以上。</w:t>
            </w:r>
          </w:p>
          <w:p w14:paraId="3B564049"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达州市</w:t>
            </w:r>
            <w:r w:rsidRPr="00092862">
              <w:rPr>
                <w:rFonts w:eastAsia="宋体"/>
                <w:color w:val="000000" w:themeColor="text1"/>
                <w:sz w:val="21"/>
              </w:rPr>
              <w:t>2025</w:t>
            </w:r>
            <w:r w:rsidRPr="00092862">
              <w:rPr>
                <w:rFonts w:eastAsia="宋体"/>
                <w:color w:val="000000" w:themeColor="text1"/>
                <w:sz w:val="21"/>
              </w:rPr>
              <w:t>年用水控制总量</w:t>
            </w:r>
            <w:r w:rsidRPr="00092862">
              <w:rPr>
                <w:rFonts w:eastAsia="宋体"/>
                <w:color w:val="000000" w:themeColor="text1"/>
                <w:sz w:val="21"/>
              </w:rPr>
              <w:t>14.6</w:t>
            </w:r>
            <w:r w:rsidRPr="00092862">
              <w:rPr>
                <w:rFonts w:eastAsia="宋体"/>
                <w:color w:val="000000" w:themeColor="text1"/>
                <w:sz w:val="21"/>
              </w:rPr>
              <w:t>亿</w:t>
            </w:r>
            <w:r w:rsidRPr="00092862">
              <w:rPr>
                <w:rFonts w:eastAsia="宋体"/>
                <w:color w:val="000000" w:themeColor="text1"/>
                <w:sz w:val="21"/>
              </w:rPr>
              <w:t>m</w:t>
            </w:r>
            <w:r w:rsidRPr="00092862">
              <w:rPr>
                <w:rFonts w:eastAsia="宋体"/>
                <w:color w:val="000000" w:themeColor="text1"/>
                <w:sz w:val="21"/>
                <w:vertAlign w:val="superscript"/>
              </w:rPr>
              <w:t>3</w:t>
            </w:r>
            <w:r w:rsidRPr="00092862">
              <w:rPr>
                <w:rFonts w:eastAsia="宋体"/>
                <w:color w:val="000000" w:themeColor="text1"/>
                <w:sz w:val="21"/>
              </w:rPr>
              <w:t>（其中地下水开采控制量</w:t>
            </w:r>
            <w:r w:rsidRPr="00092862">
              <w:rPr>
                <w:rFonts w:eastAsia="宋体"/>
                <w:color w:val="000000" w:themeColor="text1"/>
                <w:sz w:val="21"/>
              </w:rPr>
              <w:t>1.09m</w:t>
            </w:r>
            <w:r w:rsidRPr="00092862">
              <w:rPr>
                <w:rFonts w:eastAsia="宋体"/>
                <w:color w:val="000000" w:themeColor="text1"/>
                <w:sz w:val="21"/>
                <w:vertAlign w:val="superscript"/>
              </w:rPr>
              <w:t>3</w:t>
            </w:r>
            <w:r w:rsidRPr="00092862">
              <w:rPr>
                <w:rFonts w:eastAsia="宋体"/>
                <w:color w:val="000000" w:themeColor="text1"/>
                <w:sz w:val="21"/>
              </w:rPr>
              <w:t>），</w:t>
            </w:r>
            <w:r w:rsidRPr="00092862">
              <w:rPr>
                <w:rFonts w:eastAsia="宋体"/>
                <w:color w:val="000000" w:themeColor="text1"/>
                <w:sz w:val="21"/>
              </w:rPr>
              <w:t>2035</w:t>
            </w:r>
            <w:r w:rsidRPr="00092862">
              <w:rPr>
                <w:rFonts w:eastAsia="宋体"/>
                <w:color w:val="000000" w:themeColor="text1"/>
                <w:sz w:val="21"/>
              </w:rPr>
              <w:t>年用水控制总量为</w:t>
            </w:r>
            <w:r w:rsidRPr="00092862">
              <w:rPr>
                <w:rFonts w:eastAsia="宋体"/>
                <w:color w:val="000000" w:themeColor="text1"/>
                <w:sz w:val="21"/>
              </w:rPr>
              <w:t>15.0</w:t>
            </w:r>
            <w:r w:rsidRPr="00092862">
              <w:rPr>
                <w:rFonts w:eastAsia="宋体"/>
                <w:color w:val="000000" w:themeColor="text1"/>
                <w:sz w:val="21"/>
              </w:rPr>
              <w:t>亿</w:t>
            </w:r>
            <w:r w:rsidRPr="00092862">
              <w:rPr>
                <w:rFonts w:eastAsia="宋体"/>
                <w:color w:val="000000" w:themeColor="text1"/>
                <w:sz w:val="21"/>
              </w:rPr>
              <w:t>m</w:t>
            </w:r>
            <w:r w:rsidRPr="00092862">
              <w:rPr>
                <w:rFonts w:eastAsia="宋体"/>
                <w:color w:val="000000" w:themeColor="text1"/>
                <w:sz w:val="21"/>
                <w:vertAlign w:val="superscript"/>
              </w:rPr>
              <w:t>3</w:t>
            </w:r>
            <w:r w:rsidRPr="00092862">
              <w:rPr>
                <w:rFonts w:eastAsia="宋体"/>
                <w:color w:val="000000" w:themeColor="text1"/>
                <w:sz w:val="21"/>
              </w:rPr>
              <w:t>（其中地下水开采控制量</w:t>
            </w:r>
            <w:r w:rsidRPr="00092862">
              <w:rPr>
                <w:rFonts w:eastAsia="宋体"/>
                <w:color w:val="000000" w:themeColor="text1"/>
                <w:sz w:val="21"/>
              </w:rPr>
              <w:t>1.09m</w:t>
            </w:r>
            <w:r w:rsidRPr="00092862">
              <w:rPr>
                <w:rFonts w:eastAsia="宋体"/>
                <w:color w:val="000000" w:themeColor="text1"/>
                <w:sz w:val="21"/>
                <w:vertAlign w:val="superscript"/>
              </w:rPr>
              <w:t>3</w:t>
            </w:r>
            <w:r w:rsidRPr="00092862">
              <w:rPr>
                <w:rFonts w:eastAsia="宋体"/>
                <w:color w:val="000000" w:themeColor="text1"/>
                <w:sz w:val="21"/>
              </w:rPr>
              <w:t>）。</w:t>
            </w:r>
          </w:p>
          <w:p w14:paraId="76ED0749"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能源利用效率要求：</w:t>
            </w:r>
          </w:p>
          <w:p w14:paraId="7E3D6265"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lastRenderedPageBreak/>
              <w:t>-</w:t>
            </w:r>
            <w:r w:rsidRPr="00092862">
              <w:rPr>
                <w:rFonts w:eastAsia="宋体"/>
                <w:color w:val="000000" w:themeColor="text1"/>
                <w:sz w:val="21"/>
              </w:rPr>
              <w:t>推进清洁能源的推广使用，全面推进散煤清洁化整治；禁止新建每小时</w:t>
            </w:r>
            <w:r w:rsidRPr="00092862">
              <w:rPr>
                <w:rFonts w:eastAsia="宋体"/>
                <w:color w:val="000000" w:themeColor="text1"/>
                <w:sz w:val="21"/>
              </w:rPr>
              <w:t>10</w:t>
            </w:r>
            <w:r w:rsidRPr="00092862">
              <w:rPr>
                <w:rFonts w:eastAsia="宋体"/>
                <w:color w:val="000000" w:themeColor="text1"/>
                <w:sz w:val="21"/>
              </w:rPr>
              <w:t>蒸吨以下的燃煤锅炉及其他燃煤设施。</w:t>
            </w:r>
          </w:p>
          <w:p w14:paraId="13F4A5AB"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拟更新：</w:t>
            </w:r>
          </w:p>
          <w:p w14:paraId="2B845708"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color w:val="000000" w:themeColor="text1"/>
                <w:sz w:val="21"/>
              </w:rPr>
              <w:t>-</w:t>
            </w:r>
            <w:r w:rsidRPr="00092862">
              <w:rPr>
                <w:rFonts w:eastAsia="宋体"/>
                <w:color w:val="000000" w:themeColor="text1"/>
                <w:sz w:val="21"/>
              </w:rPr>
              <w:t>禁止焚烧秸秆和垃圾，到</w:t>
            </w:r>
            <w:r w:rsidRPr="00092862">
              <w:rPr>
                <w:rFonts w:eastAsia="宋体"/>
                <w:color w:val="000000" w:themeColor="text1"/>
                <w:sz w:val="21"/>
              </w:rPr>
              <w:t>2025</w:t>
            </w:r>
            <w:r w:rsidRPr="00092862">
              <w:rPr>
                <w:rFonts w:eastAsia="宋体"/>
                <w:color w:val="000000" w:themeColor="text1"/>
                <w:sz w:val="21"/>
              </w:rPr>
              <w:t>年底，秸秆综合利用率达到</w:t>
            </w:r>
            <w:r w:rsidRPr="00092862">
              <w:rPr>
                <w:rFonts w:eastAsia="宋体"/>
                <w:color w:val="000000" w:themeColor="text1"/>
                <w:sz w:val="21"/>
              </w:rPr>
              <w:t>86%</w:t>
            </w:r>
            <w:r w:rsidRPr="00092862">
              <w:rPr>
                <w:rFonts w:eastAsia="宋体"/>
                <w:color w:val="000000" w:themeColor="text1"/>
                <w:sz w:val="21"/>
              </w:rPr>
              <w:t>以上。</w:t>
            </w:r>
          </w:p>
        </w:tc>
        <w:tc>
          <w:tcPr>
            <w:tcW w:w="649" w:type="pct"/>
            <w:vAlign w:val="center"/>
          </w:tcPr>
          <w:p w14:paraId="0F0B9371" w14:textId="3F73A33D"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lastRenderedPageBreak/>
              <w:t>项目为天然气钻井和试采工程，天然气属于清洁能源，符合推进清洁能源的推广使用。</w:t>
            </w:r>
          </w:p>
          <w:p w14:paraId="4A241F1B" w14:textId="77777777"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lastRenderedPageBreak/>
              <w:t>本项目不涉及燃煤设施。</w:t>
            </w:r>
          </w:p>
        </w:tc>
        <w:tc>
          <w:tcPr>
            <w:tcW w:w="324" w:type="pct"/>
            <w:vAlign w:val="center"/>
          </w:tcPr>
          <w:p w14:paraId="66CA2C78" w14:textId="77777777"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lastRenderedPageBreak/>
              <w:t>符合</w:t>
            </w:r>
          </w:p>
        </w:tc>
      </w:tr>
      <w:tr w:rsidR="00697429" w:rsidRPr="00092862" w14:paraId="7E3427A4" w14:textId="77777777" w:rsidTr="00644F03">
        <w:tc>
          <w:tcPr>
            <w:tcW w:w="652" w:type="pct"/>
            <w:vMerge w:val="restart"/>
            <w:vAlign w:val="center"/>
          </w:tcPr>
          <w:p w14:paraId="54721DA2" w14:textId="77777777" w:rsidR="00644F03" w:rsidRPr="00092862" w:rsidRDefault="00644F03" w:rsidP="003F1F64">
            <w:pPr>
              <w:jc w:val="center"/>
              <w:rPr>
                <w:rFonts w:ascii="Times New Roman" w:hAnsi="Times New Roman" w:cs="Times New Roman"/>
                <w:snapToGrid w:val="0"/>
                <w:color w:val="000000" w:themeColor="text1"/>
                <w:szCs w:val="21"/>
              </w:rPr>
            </w:pPr>
            <w:r w:rsidRPr="00092862">
              <w:rPr>
                <w:rFonts w:ascii="Times New Roman" w:hAnsi="Times New Roman" w:cs="Times New Roman"/>
                <w:snapToGrid w:val="0"/>
                <w:color w:val="000000" w:themeColor="text1"/>
                <w:szCs w:val="21"/>
              </w:rPr>
              <w:t>ZH51172230001</w:t>
            </w:r>
          </w:p>
        </w:tc>
        <w:tc>
          <w:tcPr>
            <w:tcW w:w="303" w:type="pct"/>
            <w:vMerge w:val="restart"/>
            <w:vAlign w:val="center"/>
          </w:tcPr>
          <w:p w14:paraId="38E7B12F"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宣汉县一般管控单元</w:t>
            </w:r>
          </w:p>
        </w:tc>
        <w:tc>
          <w:tcPr>
            <w:tcW w:w="304" w:type="pct"/>
            <w:vAlign w:val="center"/>
          </w:tcPr>
          <w:p w14:paraId="2B85300B"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空间布局约束</w:t>
            </w:r>
          </w:p>
        </w:tc>
        <w:tc>
          <w:tcPr>
            <w:tcW w:w="2768" w:type="pct"/>
            <w:vAlign w:val="center"/>
          </w:tcPr>
          <w:p w14:paraId="2F90D2EA"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限制开发建设活动的要求：</w:t>
            </w:r>
          </w:p>
          <w:p w14:paraId="61F82855"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对四川省主体功能区划中的农产品主产区，应限制进行大规模高强度工业化城镇化开发，严格控制有色金属冶炼、石油加工、化工、焦化、电镀、制革等产能，原则上不增加产能。</w:t>
            </w:r>
          </w:p>
          <w:p w14:paraId="0830301B" w14:textId="77777777" w:rsidR="00644F03" w:rsidRPr="00092862" w:rsidRDefault="00644F03" w:rsidP="003F1F64">
            <w:pPr>
              <w:pStyle w:val="Normal00"/>
              <w:widowControl/>
              <w:spacing w:line="240" w:lineRule="auto"/>
              <w:ind w:firstLineChars="0" w:firstLine="0"/>
              <w:jc w:val="left"/>
              <w:rPr>
                <w:rFonts w:eastAsia="宋体"/>
                <w:b/>
                <w:bCs/>
                <w:color w:val="000000" w:themeColor="text1"/>
                <w:sz w:val="21"/>
              </w:rPr>
            </w:pPr>
            <w:r w:rsidRPr="00092862">
              <w:rPr>
                <w:rFonts w:eastAsia="宋体"/>
                <w:b/>
                <w:bCs/>
                <w:color w:val="000000" w:themeColor="text1"/>
                <w:sz w:val="21"/>
              </w:rPr>
              <w:t>位于城镇空间外的工业园区外工业企业：</w:t>
            </w:r>
          </w:p>
          <w:p w14:paraId="3BB22C83"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3D6279FA"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其他</w:t>
            </w:r>
            <w:r w:rsidRPr="00092862">
              <w:rPr>
                <w:rFonts w:eastAsia="宋体"/>
                <w:color w:val="000000" w:themeColor="text1"/>
                <w:sz w:val="21"/>
              </w:rPr>
              <w:t>-</w:t>
            </w:r>
            <w:r w:rsidRPr="00092862">
              <w:rPr>
                <w:rFonts w:eastAsia="宋体"/>
                <w:color w:val="000000" w:themeColor="text1"/>
                <w:sz w:val="21"/>
              </w:rPr>
              <w:t>其他参照达州市一般管控单元总体准入要求。</w:t>
            </w:r>
          </w:p>
        </w:tc>
        <w:tc>
          <w:tcPr>
            <w:tcW w:w="649" w:type="pct"/>
            <w:vAlign w:val="center"/>
          </w:tcPr>
          <w:p w14:paraId="05EE443D" w14:textId="6A703948"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本项目为天然气钻井和试采工程，</w:t>
            </w:r>
            <w:r w:rsidRPr="00092862">
              <w:rPr>
                <w:rFonts w:eastAsia="宋体"/>
                <w:snapToGrid w:val="0"/>
                <w:color w:val="000000" w:themeColor="text1"/>
                <w:sz w:val="21"/>
              </w:rPr>
              <w:t>符合空间布局要求。</w:t>
            </w:r>
          </w:p>
        </w:tc>
        <w:tc>
          <w:tcPr>
            <w:tcW w:w="324" w:type="pct"/>
            <w:vMerge w:val="restart"/>
            <w:vAlign w:val="center"/>
          </w:tcPr>
          <w:p w14:paraId="20BC9887" w14:textId="77777777"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符合</w:t>
            </w:r>
          </w:p>
        </w:tc>
      </w:tr>
      <w:tr w:rsidR="00697429" w:rsidRPr="00092862" w14:paraId="711441E3" w14:textId="77777777" w:rsidTr="00644F03">
        <w:tc>
          <w:tcPr>
            <w:tcW w:w="652" w:type="pct"/>
            <w:vMerge/>
            <w:vAlign w:val="center"/>
          </w:tcPr>
          <w:p w14:paraId="31E1AC0D" w14:textId="77777777" w:rsidR="00644F03" w:rsidRPr="00092862" w:rsidRDefault="00644F03" w:rsidP="003F1F64">
            <w:pPr>
              <w:jc w:val="center"/>
              <w:rPr>
                <w:rFonts w:ascii="Times New Roman" w:hAnsi="Times New Roman" w:cs="Times New Roman"/>
                <w:snapToGrid w:val="0"/>
                <w:color w:val="000000" w:themeColor="text1"/>
                <w:szCs w:val="21"/>
              </w:rPr>
            </w:pPr>
          </w:p>
        </w:tc>
        <w:tc>
          <w:tcPr>
            <w:tcW w:w="303" w:type="pct"/>
            <w:vMerge/>
            <w:vAlign w:val="center"/>
          </w:tcPr>
          <w:p w14:paraId="399230BC" w14:textId="77777777" w:rsidR="00644F03" w:rsidRPr="00092862" w:rsidRDefault="00644F03" w:rsidP="003F1F64">
            <w:pPr>
              <w:jc w:val="center"/>
              <w:rPr>
                <w:rFonts w:ascii="Times New Roman" w:hAnsi="Times New Roman" w:cs="Times New Roman"/>
                <w:color w:val="000000" w:themeColor="text1"/>
                <w:szCs w:val="21"/>
              </w:rPr>
            </w:pPr>
          </w:p>
        </w:tc>
        <w:tc>
          <w:tcPr>
            <w:tcW w:w="304" w:type="pct"/>
            <w:vAlign w:val="center"/>
          </w:tcPr>
          <w:p w14:paraId="3864771C"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污染物排放管控</w:t>
            </w:r>
          </w:p>
        </w:tc>
        <w:tc>
          <w:tcPr>
            <w:tcW w:w="2768" w:type="pct"/>
            <w:vAlign w:val="center"/>
          </w:tcPr>
          <w:p w14:paraId="013A4CB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污染物排放绩效水平准入要求：</w:t>
            </w:r>
          </w:p>
          <w:p w14:paraId="349D85EF"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大气环境布局敏感和弱扩散重点管控区内，现有大气污染重点企业，限期进行深度治理或关停并转。</w:t>
            </w:r>
          </w:p>
          <w:p w14:paraId="1A27F4EC"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其他参照达州市一般管控单元总体准入要求。</w:t>
            </w:r>
          </w:p>
        </w:tc>
        <w:tc>
          <w:tcPr>
            <w:tcW w:w="649" w:type="pct"/>
            <w:vAlign w:val="center"/>
          </w:tcPr>
          <w:p w14:paraId="09EBD193" w14:textId="69B9AE76"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本项目为天然气钻井和试采工程，</w:t>
            </w:r>
            <w:r w:rsidRPr="00092862">
              <w:rPr>
                <w:rFonts w:eastAsia="宋体"/>
                <w:snapToGrid w:val="0"/>
                <w:color w:val="000000" w:themeColor="text1"/>
                <w:sz w:val="21"/>
              </w:rPr>
              <w:t>不属于重点污染企业。</w:t>
            </w:r>
          </w:p>
        </w:tc>
        <w:tc>
          <w:tcPr>
            <w:tcW w:w="324" w:type="pct"/>
            <w:vMerge/>
            <w:vAlign w:val="center"/>
          </w:tcPr>
          <w:p w14:paraId="36D3A957" w14:textId="77777777" w:rsidR="00644F03" w:rsidRPr="00092862" w:rsidRDefault="00644F03" w:rsidP="003F1F64">
            <w:pPr>
              <w:pStyle w:val="Normal00"/>
              <w:spacing w:line="240" w:lineRule="auto"/>
              <w:ind w:firstLine="420"/>
              <w:jc w:val="center"/>
              <w:rPr>
                <w:rFonts w:eastAsia="宋体"/>
                <w:color w:val="000000" w:themeColor="text1"/>
                <w:sz w:val="21"/>
              </w:rPr>
            </w:pPr>
          </w:p>
        </w:tc>
      </w:tr>
      <w:tr w:rsidR="00697429" w:rsidRPr="00092862" w14:paraId="388F51E9" w14:textId="77777777" w:rsidTr="00644F03">
        <w:tc>
          <w:tcPr>
            <w:tcW w:w="652" w:type="pct"/>
            <w:vMerge/>
            <w:vAlign w:val="center"/>
          </w:tcPr>
          <w:p w14:paraId="31308A5E" w14:textId="77777777" w:rsidR="00644F03" w:rsidRPr="00092862" w:rsidRDefault="00644F03" w:rsidP="003F1F64">
            <w:pPr>
              <w:jc w:val="center"/>
              <w:rPr>
                <w:rFonts w:ascii="Times New Roman" w:hAnsi="Times New Roman" w:cs="Times New Roman"/>
                <w:snapToGrid w:val="0"/>
                <w:color w:val="000000" w:themeColor="text1"/>
                <w:szCs w:val="21"/>
              </w:rPr>
            </w:pPr>
          </w:p>
        </w:tc>
        <w:tc>
          <w:tcPr>
            <w:tcW w:w="303" w:type="pct"/>
            <w:vMerge/>
            <w:vAlign w:val="center"/>
          </w:tcPr>
          <w:p w14:paraId="2E38F704" w14:textId="77777777" w:rsidR="00644F03" w:rsidRPr="00092862" w:rsidRDefault="00644F03" w:rsidP="003F1F64">
            <w:pPr>
              <w:jc w:val="center"/>
              <w:rPr>
                <w:rFonts w:ascii="Times New Roman" w:hAnsi="Times New Roman" w:cs="Times New Roman"/>
                <w:color w:val="000000" w:themeColor="text1"/>
                <w:szCs w:val="21"/>
              </w:rPr>
            </w:pPr>
          </w:p>
        </w:tc>
        <w:tc>
          <w:tcPr>
            <w:tcW w:w="304" w:type="pct"/>
            <w:vAlign w:val="center"/>
          </w:tcPr>
          <w:p w14:paraId="5A691723"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环境风险防控</w:t>
            </w:r>
          </w:p>
        </w:tc>
        <w:tc>
          <w:tcPr>
            <w:tcW w:w="2768" w:type="pct"/>
            <w:vAlign w:val="center"/>
          </w:tcPr>
          <w:p w14:paraId="0CA98CE2"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其他参照达州市一般管控单元总体准入要求。</w:t>
            </w:r>
          </w:p>
        </w:tc>
        <w:tc>
          <w:tcPr>
            <w:tcW w:w="649" w:type="pct"/>
            <w:vAlign w:val="center"/>
          </w:tcPr>
          <w:p w14:paraId="5F8E748B" w14:textId="77777777"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Merge/>
            <w:vAlign w:val="center"/>
          </w:tcPr>
          <w:p w14:paraId="7719EC68" w14:textId="77777777" w:rsidR="00644F03" w:rsidRPr="00092862" w:rsidRDefault="00644F03" w:rsidP="003F1F64">
            <w:pPr>
              <w:pStyle w:val="Normal00"/>
              <w:spacing w:line="240" w:lineRule="auto"/>
              <w:ind w:firstLine="420"/>
              <w:jc w:val="center"/>
              <w:rPr>
                <w:rFonts w:eastAsia="宋体"/>
                <w:color w:val="000000" w:themeColor="text1"/>
                <w:sz w:val="21"/>
              </w:rPr>
            </w:pPr>
          </w:p>
        </w:tc>
      </w:tr>
      <w:tr w:rsidR="00697429" w:rsidRPr="00092862" w14:paraId="1709E8BA" w14:textId="77777777" w:rsidTr="00644F03">
        <w:tc>
          <w:tcPr>
            <w:tcW w:w="652" w:type="pct"/>
            <w:vMerge/>
            <w:vAlign w:val="center"/>
          </w:tcPr>
          <w:p w14:paraId="6D46227F" w14:textId="77777777" w:rsidR="00644F03" w:rsidRPr="00092862" w:rsidRDefault="00644F03" w:rsidP="003F1F64">
            <w:pPr>
              <w:jc w:val="center"/>
              <w:rPr>
                <w:rFonts w:ascii="Times New Roman" w:hAnsi="Times New Roman" w:cs="Times New Roman"/>
                <w:snapToGrid w:val="0"/>
                <w:color w:val="000000" w:themeColor="text1"/>
                <w:szCs w:val="21"/>
              </w:rPr>
            </w:pPr>
          </w:p>
        </w:tc>
        <w:tc>
          <w:tcPr>
            <w:tcW w:w="303" w:type="pct"/>
            <w:vMerge/>
            <w:vAlign w:val="center"/>
          </w:tcPr>
          <w:p w14:paraId="36A64D96" w14:textId="77777777" w:rsidR="00644F03" w:rsidRPr="00092862" w:rsidRDefault="00644F03" w:rsidP="003F1F64">
            <w:pPr>
              <w:jc w:val="center"/>
              <w:rPr>
                <w:rFonts w:ascii="Times New Roman" w:hAnsi="Times New Roman" w:cs="Times New Roman"/>
                <w:color w:val="000000" w:themeColor="text1"/>
                <w:szCs w:val="21"/>
              </w:rPr>
            </w:pPr>
          </w:p>
        </w:tc>
        <w:tc>
          <w:tcPr>
            <w:tcW w:w="304" w:type="pct"/>
            <w:vAlign w:val="center"/>
          </w:tcPr>
          <w:p w14:paraId="24FB3941" w14:textId="77777777" w:rsidR="00644F03" w:rsidRPr="00092862" w:rsidRDefault="00644F03" w:rsidP="003F1F6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资源开发效率</w:t>
            </w:r>
          </w:p>
        </w:tc>
        <w:tc>
          <w:tcPr>
            <w:tcW w:w="2768" w:type="pct"/>
            <w:vAlign w:val="center"/>
          </w:tcPr>
          <w:p w14:paraId="54D02A36" w14:textId="77777777" w:rsidR="00644F03" w:rsidRPr="00092862" w:rsidRDefault="00644F03" w:rsidP="003F1F64">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w:t>
            </w:r>
            <w:r w:rsidRPr="00092862">
              <w:rPr>
                <w:rFonts w:eastAsia="宋体"/>
                <w:color w:val="000000" w:themeColor="text1"/>
                <w:sz w:val="21"/>
              </w:rPr>
              <w:t>其他参照达州市一般管控单元总体准入要求。</w:t>
            </w:r>
          </w:p>
        </w:tc>
        <w:tc>
          <w:tcPr>
            <w:tcW w:w="649" w:type="pct"/>
            <w:vAlign w:val="center"/>
          </w:tcPr>
          <w:p w14:paraId="50F02AEA" w14:textId="77777777" w:rsidR="00644F03" w:rsidRPr="00092862" w:rsidRDefault="00644F03" w:rsidP="003F1F64">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Merge/>
            <w:vAlign w:val="center"/>
          </w:tcPr>
          <w:p w14:paraId="28AB2FEC" w14:textId="77777777" w:rsidR="00644F03" w:rsidRPr="00092862" w:rsidRDefault="00644F03" w:rsidP="003F1F64">
            <w:pPr>
              <w:pStyle w:val="Normal00"/>
              <w:widowControl/>
              <w:spacing w:line="240" w:lineRule="auto"/>
              <w:ind w:firstLineChars="0" w:firstLine="0"/>
              <w:jc w:val="center"/>
              <w:rPr>
                <w:rFonts w:eastAsia="宋体"/>
                <w:color w:val="000000" w:themeColor="text1"/>
                <w:sz w:val="21"/>
              </w:rPr>
            </w:pPr>
          </w:p>
        </w:tc>
      </w:tr>
      <w:tr w:rsidR="00697429" w:rsidRPr="00092862" w14:paraId="25DBA222" w14:textId="77777777" w:rsidTr="00644F03">
        <w:tc>
          <w:tcPr>
            <w:tcW w:w="652" w:type="pct"/>
            <w:vMerge w:val="restart"/>
            <w:vAlign w:val="center"/>
          </w:tcPr>
          <w:p w14:paraId="4BC04472" w14:textId="6057A4E8" w:rsidR="00644F03" w:rsidRPr="00092862" w:rsidRDefault="00644F03" w:rsidP="0083505E">
            <w:pPr>
              <w:jc w:val="center"/>
              <w:rPr>
                <w:rFonts w:ascii="Times New Roman" w:hAnsi="Times New Roman" w:cs="Times New Roman"/>
                <w:snapToGrid w:val="0"/>
                <w:color w:val="000000" w:themeColor="text1"/>
                <w:szCs w:val="21"/>
              </w:rPr>
            </w:pPr>
            <w:r w:rsidRPr="00092862">
              <w:rPr>
                <w:rFonts w:ascii="Times New Roman" w:hAnsi="Times New Roman" w:cs="Times New Roman"/>
                <w:color w:val="000000" w:themeColor="text1"/>
                <w:szCs w:val="21"/>
              </w:rPr>
              <w:t>YS5117223210001</w:t>
            </w:r>
          </w:p>
        </w:tc>
        <w:tc>
          <w:tcPr>
            <w:tcW w:w="303" w:type="pct"/>
            <w:vMerge w:val="restart"/>
            <w:vAlign w:val="center"/>
          </w:tcPr>
          <w:p w14:paraId="2A0EB41D" w14:textId="1D5E3678"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州河</w:t>
            </w:r>
            <w:r w:rsidRPr="00092862">
              <w:rPr>
                <w:rFonts w:ascii="Times New Roman" w:hAnsi="Times New Roman" w:cs="Times New Roman"/>
                <w:color w:val="000000" w:themeColor="text1"/>
                <w:szCs w:val="21"/>
              </w:rPr>
              <w:lastRenderedPageBreak/>
              <w:t>宣汉县张鼓坪控制单元</w:t>
            </w:r>
          </w:p>
        </w:tc>
        <w:tc>
          <w:tcPr>
            <w:tcW w:w="304" w:type="pct"/>
            <w:vAlign w:val="center"/>
          </w:tcPr>
          <w:p w14:paraId="11208931" w14:textId="23ABC393"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lastRenderedPageBreak/>
              <w:t>空间</w:t>
            </w:r>
            <w:r w:rsidRPr="00092862">
              <w:rPr>
                <w:rFonts w:ascii="Times New Roman" w:hAnsi="Times New Roman" w:cs="Times New Roman"/>
                <w:color w:val="000000" w:themeColor="text1"/>
                <w:szCs w:val="21"/>
              </w:rPr>
              <w:lastRenderedPageBreak/>
              <w:t>布局约束</w:t>
            </w:r>
          </w:p>
        </w:tc>
        <w:tc>
          <w:tcPr>
            <w:tcW w:w="2768" w:type="pct"/>
            <w:vAlign w:val="center"/>
          </w:tcPr>
          <w:p w14:paraId="283BC94F" w14:textId="23ECB3BA"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lastRenderedPageBreak/>
              <w:t>无</w:t>
            </w:r>
          </w:p>
        </w:tc>
        <w:tc>
          <w:tcPr>
            <w:tcW w:w="649" w:type="pct"/>
            <w:vAlign w:val="center"/>
          </w:tcPr>
          <w:p w14:paraId="18A6B17F" w14:textId="312A1833"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4DF407CA" w14:textId="36EF20A3"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97429" w:rsidRPr="00092862" w14:paraId="7806071C" w14:textId="77777777" w:rsidTr="00644F03">
        <w:tc>
          <w:tcPr>
            <w:tcW w:w="652" w:type="pct"/>
            <w:vMerge/>
            <w:vAlign w:val="center"/>
          </w:tcPr>
          <w:p w14:paraId="72F6376F" w14:textId="77777777" w:rsidR="00644F03" w:rsidRPr="00092862" w:rsidRDefault="00644F03" w:rsidP="0083505E">
            <w:pPr>
              <w:jc w:val="center"/>
              <w:rPr>
                <w:rFonts w:ascii="Times New Roman" w:hAnsi="Times New Roman" w:cs="Times New Roman"/>
                <w:snapToGrid w:val="0"/>
                <w:color w:val="000000" w:themeColor="text1"/>
                <w:szCs w:val="21"/>
              </w:rPr>
            </w:pPr>
          </w:p>
        </w:tc>
        <w:tc>
          <w:tcPr>
            <w:tcW w:w="303" w:type="pct"/>
            <w:vMerge/>
            <w:vAlign w:val="center"/>
          </w:tcPr>
          <w:p w14:paraId="6AB98818" w14:textId="77777777" w:rsidR="00644F03" w:rsidRPr="00092862" w:rsidRDefault="00644F03" w:rsidP="0083505E">
            <w:pPr>
              <w:jc w:val="center"/>
              <w:rPr>
                <w:rFonts w:ascii="Times New Roman" w:hAnsi="Times New Roman" w:cs="Times New Roman"/>
                <w:color w:val="000000" w:themeColor="text1"/>
                <w:szCs w:val="21"/>
              </w:rPr>
            </w:pPr>
          </w:p>
        </w:tc>
        <w:tc>
          <w:tcPr>
            <w:tcW w:w="304" w:type="pct"/>
            <w:vAlign w:val="center"/>
          </w:tcPr>
          <w:p w14:paraId="6AA6FAC6" w14:textId="0F7AA031"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污染物排放管控</w:t>
            </w:r>
          </w:p>
        </w:tc>
        <w:tc>
          <w:tcPr>
            <w:tcW w:w="2768" w:type="pct"/>
            <w:vAlign w:val="center"/>
          </w:tcPr>
          <w:p w14:paraId="22EF7A03" w14:textId="0133094F"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58289723" w14:textId="0EC3EB54"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283AEF96" w14:textId="0D27AE64"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97429" w:rsidRPr="00092862" w14:paraId="6BEB2B56" w14:textId="77777777" w:rsidTr="00644F03">
        <w:tc>
          <w:tcPr>
            <w:tcW w:w="652" w:type="pct"/>
            <w:vMerge/>
            <w:vAlign w:val="center"/>
          </w:tcPr>
          <w:p w14:paraId="391E4B1F" w14:textId="77777777" w:rsidR="00644F03" w:rsidRPr="00092862" w:rsidRDefault="00644F03" w:rsidP="0083505E">
            <w:pPr>
              <w:jc w:val="center"/>
              <w:rPr>
                <w:rFonts w:ascii="Times New Roman" w:hAnsi="Times New Roman" w:cs="Times New Roman"/>
                <w:snapToGrid w:val="0"/>
                <w:color w:val="000000" w:themeColor="text1"/>
                <w:szCs w:val="21"/>
              </w:rPr>
            </w:pPr>
          </w:p>
        </w:tc>
        <w:tc>
          <w:tcPr>
            <w:tcW w:w="303" w:type="pct"/>
            <w:vMerge/>
            <w:vAlign w:val="center"/>
          </w:tcPr>
          <w:p w14:paraId="5A34B6AE" w14:textId="77777777" w:rsidR="00644F03" w:rsidRPr="00092862" w:rsidRDefault="00644F03" w:rsidP="0083505E">
            <w:pPr>
              <w:jc w:val="center"/>
              <w:rPr>
                <w:rFonts w:ascii="Times New Roman" w:hAnsi="Times New Roman" w:cs="Times New Roman"/>
                <w:color w:val="000000" w:themeColor="text1"/>
                <w:szCs w:val="21"/>
              </w:rPr>
            </w:pPr>
          </w:p>
        </w:tc>
        <w:tc>
          <w:tcPr>
            <w:tcW w:w="304" w:type="pct"/>
            <w:vAlign w:val="center"/>
          </w:tcPr>
          <w:p w14:paraId="335129EC" w14:textId="6E603DB5"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环境风险防控</w:t>
            </w:r>
          </w:p>
        </w:tc>
        <w:tc>
          <w:tcPr>
            <w:tcW w:w="2768" w:type="pct"/>
            <w:vAlign w:val="center"/>
          </w:tcPr>
          <w:p w14:paraId="4BC20E1D" w14:textId="1DF8DE9D"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6EA43E08" w14:textId="4659E0A2"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2DECAE65" w14:textId="010B8A6F"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97429" w:rsidRPr="00092862" w14:paraId="5A61A9DF" w14:textId="77777777" w:rsidTr="00644F03">
        <w:tc>
          <w:tcPr>
            <w:tcW w:w="652" w:type="pct"/>
            <w:vMerge/>
            <w:vAlign w:val="center"/>
          </w:tcPr>
          <w:p w14:paraId="15E6B442" w14:textId="77777777" w:rsidR="00644F03" w:rsidRPr="00092862" w:rsidRDefault="00644F03" w:rsidP="0083505E">
            <w:pPr>
              <w:jc w:val="center"/>
              <w:rPr>
                <w:rFonts w:ascii="Times New Roman" w:hAnsi="Times New Roman" w:cs="Times New Roman"/>
                <w:snapToGrid w:val="0"/>
                <w:color w:val="000000" w:themeColor="text1"/>
                <w:szCs w:val="21"/>
              </w:rPr>
            </w:pPr>
          </w:p>
        </w:tc>
        <w:tc>
          <w:tcPr>
            <w:tcW w:w="303" w:type="pct"/>
            <w:vMerge/>
            <w:vAlign w:val="center"/>
          </w:tcPr>
          <w:p w14:paraId="4E9DF30F" w14:textId="77777777" w:rsidR="00644F03" w:rsidRPr="00092862" w:rsidRDefault="00644F03" w:rsidP="0083505E">
            <w:pPr>
              <w:jc w:val="center"/>
              <w:rPr>
                <w:rFonts w:ascii="Times New Roman" w:hAnsi="Times New Roman" w:cs="Times New Roman"/>
                <w:color w:val="000000" w:themeColor="text1"/>
                <w:szCs w:val="21"/>
              </w:rPr>
            </w:pPr>
          </w:p>
        </w:tc>
        <w:tc>
          <w:tcPr>
            <w:tcW w:w="304" w:type="pct"/>
            <w:vAlign w:val="center"/>
          </w:tcPr>
          <w:p w14:paraId="1C82714D" w14:textId="7D2C34A6"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资源开发效率</w:t>
            </w:r>
          </w:p>
        </w:tc>
        <w:tc>
          <w:tcPr>
            <w:tcW w:w="2768" w:type="pct"/>
            <w:vAlign w:val="center"/>
          </w:tcPr>
          <w:p w14:paraId="53414B32" w14:textId="6F80E861"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0AEEAE29" w14:textId="32CA8729"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019C0B14" w14:textId="1EB00AA3"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97429" w:rsidRPr="00092862" w14:paraId="37AE818A" w14:textId="77777777" w:rsidTr="00644F03">
        <w:tc>
          <w:tcPr>
            <w:tcW w:w="652" w:type="pct"/>
            <w:vMerge w:val="restart"/>
            <w:vAlign w:val="center"/>
          </w:tcPr>
          <w:p w14:paraId="37BD8FD2" w14:textId="3601C1FB" w:rsidR="00644F03" w:rsidRPr="00092862" w:rsidRDefault="00644F03" w:rsidP="0083505E">
            <w:pPr>
              <w:jc w:val="center"/>
              <w:rPr>
                <w:rFonts w:ascii="Times New Roman" w:hAnsi="Times New Roman" w:cs="Times New Roman"/>
                <w:snapToGrid w:val="0"/>
                <w:color w:val="000000" w:themeColor="text1"/>
                <w:szCs w:val="21"/>
              </w:rPr>
            </w:pPr>
            <w:r w:rsidRPr="00092862">
              <w:rPr>
                <w:rFonts w:ascii="Times New Roman" w:hAnsi="Times New Roman" w:cs="Times New Roman"/>
                <w:color w:val="000000" w:themeColor="text1"/>
                <w:szCs w:val="21"/>
              </w:rPr>
              <w:t>YS5117223310001</w:t>
            </w:r>
          </w:p>
        </w:tc>
        <w:tc>
          <w:tcPr>
            <w:tcW w:w="303" w:type="pct"/>
            <w:vMerge w:val="restart"/>
            <w:vAlign w:val="center"/>
          </w:tcPr>
          <w:p w14:paraId="7E432C8C" w14:textId="7C7B8449"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宣汉县大气环境一般管控区</w:t>
            </w:r>
          </w:p>
        </w:tc>
        <w:tc>
          <w:tcPr>
            <w:tcW w:w="304" w:type="pct"/>
            <w:vAlign w:val="center"/>
          </w:tcPr>
          <w:p w14:paraId="7210FF14" w14:textId="3672E7E9"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空间布局约束</w:t>
            </w:r>
          </w:p>
        </w:tc>
        <w:tc>
          <w:tcPr>
            <w:tcW w:w="2768" w:type="pct"/>
            <w:vAlign w:val="center"/>
          </w:tcPr>
          <w:p w14:paraId="111684CD" w14:textId="7137B7DF"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27F15A8E" w14:textId="6294CCEB"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712BC842" w14:textId="01863053"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97429" w:rsidRPr="00092862" w14:paraId="03634A00" w14:textId="77777777" w:rsidTr="00644F03">
        <w:tc>
          <w:tcPr>
            <w:tcW w:w="652" w:type="pct"/>
            <w:vMerge/>
            <w:vAlign w:val="center"/>
          </w:tcPr>
          <w:p w14:paraId="32AC80CA" w14:textId="77777777" w:rsidR="00644F03" w:rsidRPr="00092862" w:rsidRDefault="00644F03" w:rsidP="0083505E">
            <w:pPr>
              <w:jc w:val="center"/>
              <w:rPr>
                <w:rFonts w:ascii="Times New Roman" w:hAnsi="Times New Roman" w:cs="Times New Roman"/>
                <w:snapToGrid w:val="0"/>
                <w:color w:val="000000" w:themeColor="text1"/>
                <w:szCs w:val="21"/>
              </w:rPr>
            </w:pPr>
          </w:p>
        </w:tc>
        <w:tc>
          <w:tcPr>
            <w:tcW w:w="303" w:type="pct"/>
            <w:vMerge/>
            <w:vAlign w:val="center"/>
          </w:tcPr>
          <w:p w14:paraId="1ED5A225" w14:textId="77777777" w:rsidR="00644F03" w:rsidRPr="00092862" w:rsidRDefault="00644F03" w:rsidP="0083505E">
            <w:pPr>
              <w:jc w:val="center"/>
              <w:rPr>
                <w:rFonts w:ascii="Times New Roman" w:hAnsi="Times New Roman" w:cs="Times New Roman"/>
                <w:color w:val="000000" w:themeColor="text1"/>
                <w:szCs w:val="21"/>
              </w:rPr>
            </w:pPr>
          </w:p>
        </w:tc>
        <w:tc>
          <w:tcPr>
            <w:tcW w:w="304" w:type="pct"/>
            <w:vAlign w:val="center"/>
          </w:tcPr>
          <w:p w14:paraId="04BA3A57" w14:textId="0195EB3D"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污染物排放管控</w:t>
            </w:r>
          </w:p>
        </w:tc>
        <w:tc>
          <w:tcPr>
            <w:tcW w:w="2768" w:type="pct"/>
            <w:vAlign w:val="center"/>
          </w:tcPr>
          <w:p w14:paraId="775CC75C" w14:textId="6F6E3522"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3D59179F" w14:textId="13F88CF6"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1DEC0AB3" w14:textId="414484AC"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97429" w:rsidRPr="00092862" w14:paraId="773F327C" w14:textId="77777777" w:rsidTr="00644F03">
        <w:tc>
          <w:tcPr>
            <w:tcW w:w="652" w:type="pct"/>
            <w:vMerge/>
            <w:vAlign w:val="center"/>
          </w:tcPr>
          <w:p w14:paraId="6C5E3181" w14:textId="77777777" w:rsidR="00644F03" w:rsidRPr="00092862" w:rsidRDefault="00644F03" w:rsidP="0083505E">
            <w:pPr>
              <w:jc w:val="center"/>
              <w:rPr>
                <w:rFonts w:ascii="Times New Roman" w:hAnsi="Times New Roman" w:cs="Times New Roman"/>
                <w:snapToGrid w:val="0"/>
                <w:color w:val="000000" w:themeColor="text1"/>
                <w:szCs w:val="21"/>
              </w:rPr>
            </w:pPr>
          </w:p>
        </w:tc>
        <w:tc>
          <w:tcPr>
            <w:tcW w:w="303" w:type="pct"/>
            <w:vMerge/>
            <w:vAlign w:val="center"/>
          </w:tcPr>
          <w:p w14:paraId="749E1360" w14:textId="77777777" w:rsidR="00644F03" w:rsidRPr="00092862" w:rsidRDefault="00644F03" w:rsidP="0083505E">
            <w:pPr>
              <w:jc w:val="center"/>
              <w:rPr>
                <w:rFonts w:ascii="Times New Roman" w:hAnsi="Times New Roman" w:cs="Times New Roman"/>
                <w:color w:val="000000" w:themeColor="text1"/>
                <w:szCs w:val="21"/>
              </w:rPr>
            </w:pPr>
          </w:p>
        </w:tc>
        <w:tc>
          <w:tcPr>
            <w:tcW w:w="304" w:type="pct"/>
            <w:vAlign w:val="center"/>
          </w:tcPr>
          <w:p w14:paraId="6F5A5145" w14:textId="71F95F79"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环境风险防控</w:t>
            </w:r>
          </w:p>
        </w:tc>
        <w:tc>
          <w:tcPr>
            <w:tcW w:w="2768" w:type="pct"/>
            <w:vAlign w:val="center"/>
          </w:tcPr>
          <w:p w14:paraId="76ECA698" w14:textId="06D08F95"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6FC01006" w14:textId="18E5520D"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3633AB4B" w14:textId="1AA98436"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r w:rsidR="00644F03" w:rsidRPr="00092862" w14:paraId="69A39633" w14:textId="77777777" w:rsidTr="00644F03">
        <w:tc>
          <w:tcPr>
            <w:tcW w:w="652" w:type="pct"/>
            <w:vMerge/>
            <w:vAlign w:val="center"/>
          </w:tcPr>
          <w:p w14:paraId="7C512EA3" w14:textId="77777777" w:rsidR="00644F03" w:rsidRPr="00092862" w:rsidRDefault="00644F03" w:rsidP="0083505E">
            <w:pPr>
              <w:jc w:val="center"/>
              <w:rPr>
                <w:rFonts w:ascii="Times New Roman" w:hAnsi="Times New Roman" w:cs="Times New Roman"/>
                <w:snapToGrid w:val="0"/>
                <w:color w:val="000000" w:themeColor="text1"/>
                <w:szCs w:val="21"/>
              </w:rPr>
            </w:pPr>
          </w:p>
        </w:tc>
        <w:tc>
          <w:tcPr>
            <w:tcW w:w="303" w:type="pct"/>
            <w:vMerge/>
            <w:vAlign w:val="center"/>
          </w:tcPr>
          <w:p w14:paraId="51771CE6" w14:textId="77777777" w:rsidR="00644F03" w:rsidRPr="00092862" w:rsidRDefault="00644F03" w:rsidP="0083505E">
            <w:pPr>
              <w:jc w:val="center"/>
              <w:rPr>
                <w:rFonts w:ascii="Times New Roman" w:hAnsi="Times New Roman" w:cs="Times New Roman"/>
                <w:color w:val="000000" w:themeColor="text1"/>
                <w:szCs w:val="21"/>
              </w:rPr>
            </w:pPr>
          </w:p>
        </w:tc>
        <w:tc>
          <w:tcPr>
            <w:tcW w:w="304" w:type="pct"/>
            <w:vAlign w:val="center"/>
          </w:tcPr>
          <w:p w14:paraId="619C7CCB" w14:textId="0A210CE4" w:rsidR="00644F03" w:rsidRPr="00092862" w:rsidRDefault="00644F03" w:rsidP="0083505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资源开发效率</w:t>
            </w:r>
          </w:p>
        </w:tc>
        <w:tc>
          <w:tcPr>
            <w:tcW w:w="2768" w:type="pct"/>
            <w:vAlign w:val="center"/>
          </w:tcPr>
          <w:p w14:paraId="4B6C5E66" w14:textId="30F83E6D" w:rsidR="00644F03" w:rsidRPr="00092862" w:rsidRDefault="00644F03" w:rsidP="0083505E">
            <w:pPr>
              <w:pStyle w:val="Normal00"/>
              <w:widowControl/>
              <w:spacing w:line="240" w:lineRule="auto"/>
              <w:ind w:firstLineChars="0" w:firstLine="0"/>
              <w:jc w:val="left"/>
              <w:rPr>
                <w:rFonts w:eastAsia="宋体"/>
                <w:color w:val="000000" w:themeColor="text1"/>
                <w:sz w:val="21"/>
              </w:rPr>
            </w:pPr>
            <w:r w:rsidRPr="00092862">
              <w:rPr>
                <w:rFonts w:eastAsia="宋体"/>
                <w:color w:val="000000" w:themeColor="text1"/>
                <w:sz w:val="21"/>
              </w:rPr>
              <w:t>无</w:t>
            </w:r>
          </w:p>
        </w:tc>
        <w:tc>
          <w:tcPr>
            <w:tcW w:w="649" w:type="pct"/>
            <w:vAlign w:val="center"/>
          </w:tcPr>
          <w:p w14:paraId="176E430D" w14:textId="1D95E61C"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c>
          <w:tcPr>
            <w:tcW w:w="324" w:type="pct"/>
            <w:vAlign w:val="center"/>
          </w:tcPr>
          <w:p w14:paraId="7C0F14F3" w14:textId="7441BC65" w:rsidR="00644F03" w:rsidRPr="00092862" w:rsidRDefault="00644F03" w:rsidP="0083505E">
            <w:pPr>
              <w:pStyle w:val="Normal00"/>
              <w:widowControl/>
              <w:spacing w:line="240" w:lineRule="auto"/>
              <w:ind w:firstLineChars="0" w:firstLine="0"/>
              <w:jc w:val="center"/>
              <w:rPr>
                <w:rFonts w:eastAsia="宋体"/>
                <w:color w:val="000000" w:themeColor="text1"/>
                <w:sz w:val="21"/>
              </w:rPr>
            </w:pPr>
            <w:r w:rsidRPr="00092862">
              <w:rPr>
                <w:rFonts w:eastAsia="宋体"/>
                <w:color w:val="000000" w:themeColor="text1"/>
                <w:sz w:val="21"/>
              </w:rPr>
              <w:t>/</w:t>
            </w:r>
          </w:p>
        </w:tc>
      </w:tr>
    </w:tbl>
    <w:p w14:paraId="0084EDC6" w14:textId="77777777" w:rsidR="009C5B8E" w:rsidRPr="00092862" w:rsidRDefault="009C5B8E" w:rsidP="009C5B8E">
      <w:pPr>
        <w:pStyle w:val="afffff6"/>
        <w:ind w:firstLine="480"/>
        <w:rPr>
          <w:color w:val="000000" w:themeColor="text1"/>
        </w:rPr>
        <w:sectPr w:rsidR="009C5B8E" w:rsidRPr="00092862" w:rsidSect="007610AC">
          <w:pgSz w:w="16838" w:h="11906" w:orient="landscape"/>
          <w:pgMar w:top="1800" w:right="1440" w:bottom="1800" w:left="1440" w:header="851" w:footer="992" w:gutter="0"/>
          <w:cols w:space="425"/>
          <w:docGrid w:type="lines" w:linePitch="326"/>
        </w:sectPr>
      </w:pPr>
    </w:p>
    <w:p w14:paraId="06A27C28" w14:textId="77777777" w:rsidR="009C5B8E" w:rsidRPr="00092862" w:rsidRDefault="009C5B8E" w:rsidP="00402F3D">
      <w:pPr>
        <w:tabs>
          <w:tab w:val="left" w:pos="0"/>
        </w:tabs>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lastRenderedPageBreak/>
        <w:t>3</w:t>
      </w:r>
      <w:r w:rsidRPr="00092862">
        <w:rPr>
          <w:rFonts w:ascii="Times New Roman" w:eastAsia="黑体" w:hAnsi="Times New Roman" w:cs="Times New Roman"/>
          <w:color w:val="000000" w:themeColor="text1"/>
          <w:sz w:val="24"/>
        </w:rPr>
        <w:t>、与达州市人民政府《关于落实生态保护红线、环境质量底线、资源利用上线制定生态环境准入清单实施生态环境分区管控的通知》达市府发〔</w:t>
      </w:r>
      <w:r w:rsidRPr="00092862">
        <w:rPr>
          <w:rFonts w:ascii="Times New Roman" w:eastAsia="黑体" w:hAnsi="Times New Roman" w:cs="Times New Roman"/>
          <w:color w:val="000000" w:themeColor="text1"/>
          <w:sz w:val="24"/>
        </w:rPr>
        <w:t>2021</w:t>
      </w:r>
      <w:r w:rsidRPr="00092862">
        <w:rPr>
          <w:rFonts w:ascii="Times New Roman" w:eastAsia="黑体" w:hAnsi="Times New Roman" w:cs="Times New Roman"/>
          <w:color w:val="000000" w:themeColor="text1"/>
          <w:sz w:val="24"/>
        </w:rPr>
        <w:t>〕</w:t>
      </w:r>
      <w:r w:rsidRPr="00092862">
        <w:rPr>
          <w:rFonts w:ascii="Times New Roman" w:eastAsia="黑体" w:hAnsi="Times New Roman" w:cs="Times New Roman"/>
          <w:color w:val="000000" w:themeColor="text1"/>
          <w:sz w:val="24"/>
        </w:rPr>
        <w:t>17</w:t>
      </w:r>
      <w:r w:rsidRPr="00092862">
        <w:rPr>
          <w:rFonts w:ascii="Times New Roman" w:eastAsia="黑体" w:hAnsi="Times New Roman" w:cs="Times New Roman"/>
          <w:color w:val="000000" w:themeColor="text1"/>
          <w:sz w:val="24"/>
        </w:rPr>
        <w:t>号符合性分析</w:t>
      </w:r>
    </w:p>
    <w:p w14:paraId="2281B8FD" w14:textId="372E12A8" w:rsidR="009C5B8E" w:rsidRPr="00092862" w:rsidRDefault="009C5B8E" w:rsidP="00402F3D">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根据达州市人民政府《关于落实生态保护红线、环境质量底线、资源利用上线制定生态环境准入清单实施生态环境分区管控的通知》（达市府发〔</w:t>
      </w:r>
      <w:r w:rsidRPr="00092862">
        <w:rPr>
          <w:rFonts w:ascii="Times New Roman" w:eastAsia="宋体" w:hAnsi="Times New Roman" w:cs="Times New Roman"/>
          <w:color w:val="000000" w:themeColor="text1"/>
          <w:sz w:val="24"/>
          <w:szCs w:val="24"/>
        </w:rPr>
        <w:t>2021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17</w:t>
      </w:r>
      <w:r w:rsidRPr="00092862">
        <w:rPr>
          <w:rFonts w:ascii="Times New Roman" w:eastAsia="宋体" w:hAnsi="Times New Roman" w:cs="Times New Roman"/>
          <w:color w:val="000000" w:themeColor="text1"/>
          <w:sz w:val="24"/>
          <w:szCs w:val="24"/>
        </w:rPr>
        <w:t>号），结合达州市和宣汉县总体生态环境管控要求，项目与达市府发〔</w:t>
      </w:r>
      <w:r w:rsidRPr="00092862">
        <w:rPr>
          <w:rFonts w:ascii="Times New Roman" w:eastAsia="宋体" w:hAnsi="Times New Roman" w:cs="Times New Roman"/>
          <w:color w:val="000000" w:themeColor="text1"/>
          <w:sz w:val="24"/>
          <w:szCs w:val="24"/>
        </w:rPr>
        <w:t>2021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17</w:t>
      </w:r>
      <w:r w:rsidRPr="00092862">
        <w:rPr>
          <w:rFonts w:ascii="Times New Roman" w:eastAsia="宋体" w:hAnsi="Times New Roman" w:cs="Times New Roman"/>
          <w:color w:val="000000" w:themeColor="text1"/>
          <w:sz w:val="24"/>
          <w:szCs w:val="24"/>
        </w:rPr>
        <w:t>号符合性如下表</w:t>
      </w:r>
      <w:r w:rsidR="002C40AD" w:rsidRPr="00092862">
        <w:rPr>
          <w:rFonts w:ascii="Times New Roman" w:eastAsia="宋体" w:hAnsi="Times New Roman" w:cs="Times New Roman"/>
          <w:color w:val="000000" w:themeColor="text1"/>
          <w:sz w:val="24"/>
          <w:szCs w:val="24"/>
        </w:rPr>
        <w:t>2.7-1</w:t>
      </w:r>
      <w:r w:rsidR="005D4C5B"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所示。</w:t>
      </w:r>
    </w:p>
    <w:p w14:paraId="65A2988F" w14:textId="5E7B8DA9" w:rsidR="009C5B8E" w:rsidRPr="00092862" w:rsidRDefault="009C5B8E"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2.7-1</w:t>
      </w:r>
      <w:r w:rsidR="005D4C5B" w:rsidRPr="00092862">
        <w:rPr>
          <w:rFonts w:ascii="Times New Roman" w:eastAsia="黑体" w:hAnsi="Times New Roman"/>
          <w:color w:val="000000" w:themeColor="text1"/>
          <w:sz w:val="21"/>
          <w:szCs w:val="21"/>
          <w:lang w:eastAsia="zh-CN"/>
        </w:rPr>
        <w:t>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与达市府发〔</w:t>
      </w:r>
      <w:r w:rsidRPr="00092862">
        <w:rPr>
          <w:rFonts w:ascii="Times New Roman" w:eastAsia="黑体" w:hAnsi="Times New Roman"/>
          <w:color w:val="000000" w:themeColor="text1"/>
          <w:sz w:val="21"/>
          <w:szCs w:val="21"/>
          <w:lang w:eastAsia="zh-CN"/>
        </w:rPr>
        <w:t>2021</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17</w:t>
      </w:r>
      <w:r w:rsidRPr="00092862">
        <w:rPr>
          <w:rFonts w:ascii="Times New Roman" w:eastAsia="黑体" w:hAnsi="Times New Roman"/>
          <w:color w:val="000000" w:themeColor="text1"/>
          <w:sz w:val="21"/>
          <w:szCs w:val="21"/>
          <w:lang w:eastAsia="zh-CN"/>
        </w:rPr>
        <w:t>号符合性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697429" w:rsidRPr="00092862" w14:paraId="4F6255B7" w14:textId="77777777" w:rsidTr="009C5B8E">
        <w:trPr>
          <w:trHeight w:val="108"/>
          <w:tblHeader/>
          <w:jc w:val="center"/>
        </w:trPr>
        <w:tc>
          <w:tcPr>
            <w:tcW w:w="355" w:type="pct"/>
            <w:vAlign w:val="center"/>
          </w:tcPr>
          <w:p w14:paraId="29C38DEA" w14:textId="77777777" w:rsidR="009C5B8E" w:rsidRPr="00092862" w:rsidRDefault="009C5B8E"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行政区划</w:t>
            </w:r>
          </w:p>
        </w:tc>
        <w:tc>
          <w:tcPr>
            <w:tcW w:w="2532" w:type="pct"/>
            <w:vAlign w:val="center"/>
          </w:tcPr>
          <w:p w14:paraId="4E2811A4" w14:textId="77777777" w:rsidR="009C5B8E" w:rsidRPr="00092862" w:rsidRDefault="009C5B8E"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全市及各县（市、区）总体生态环境管控要求</w:t>
            </w:r>
          </w:p>
        </w:tc>
        <w:tc>
          <w:tcPr>
            <w:tcW w:w="1586" w:type="pct"/>
            <w:vAlign w:val="center"/>
          </w:tcPr>
          <w:p w14:paraId="72398CED" w14:textId="77777777" w:rsidR="009C5B8E" w:rsidRPr="00092862" w:rsidRDefault="009C5B8E"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本项目</w:t>
            </w:r>
          </w:p>
        </w:tc>
        <w:tc>
          <w:tcPr>
            <w:tcW w:w="527" w:type="pct"/>
            <w:vAlign w:val="center"/>
          </w:tcPr>
          <w:p w14:paraId="24E063D3" w14:textId="77777777" w:rsidR="009C5B8E" w:rsidRPr="00092862" w:rsidRDefault="009C5B8E" w:rsidP="003F1F64">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w:t>
            </w:r>
          </w:p>
        </w:tc>
      </w:tr>
      <w:tr w:rsidR="00697429" w:rsidRPr="00092862" w14:paraId="0FE4256D" w14:textId="77777777" w:rsidTr="009C5B8E">
        <w:trPr>
          <w:trHeight w:val="269"/>
          <w:jc w:val="center"/>
        </w:trPr>
        <w:tc>
          <w:tcPr>
            <w:tcW w:w="355" w:type="pct"/>
            <w:vAlign w:val="center"/>
          </w:tcPr>
          <w:p w14:paraId="0A7F32F0" w14:textId="77777777" w:rsidR="009C5B8E" w:rsidRPr="00092862" w:rsidRDefault="009C5B8E"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达州市</w:t>
            </w:r>
          </w:p>
        </w:tc>
        <w:tc>
          <w:tcPr>
            <w:tcW w:w="2532" w:type="pct"/>
            <w:vAlign w:val="center"/>
          </w:tcPr>
          <w:p w14:paraId="4CD1D26A"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．对钢铁行业提出严格资源环境绩效水平要求；</w:t>
            </w:r>
          </w:p>
          <w:p w14:paraId="28821350"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．高污染企业限期退城入园；</w:t>
            </w:r>
          </w:p>
          <w:p w14:paraId="212B9FA2"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．普光气田开发污染防治和环境管理等方面要达到国内先进水平；</w:t>
            </w:r>
          </w:p>
          <w:p w14:paraId="2197CCD7"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．引进项目应符合园区规划环评和区域产业准入清单要求；</w:t>
            </w:r>
          </w:p>
          <w:p w14:paraId="579A166A"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．长江干支流岸线</w:t>
            </w:r>
            <w:r w:rsidRPr="00092862">
              <w:rPr>
                <w:rFonts w:ascii="Times New Roman" w:eastAsia="宋体" w:hAnsi="Times New Roman" w:cs="Times New Roman"/>
                <w:color w:val="000000" w:themeColor="text1"/>
                <w:szCs w:val="21"/>
              </w:rPr>
              <w:t>1km</w:t>
            </w:r>
            <w:r w:rsidRPr="00092862">
              <w:rPr>
                <w:rFonts w:ascii="Times New Roman" w:eastAsia="宋体" w:hAnsi="Times New Roman" w:cs="Times New Roman"/>
                <w:color w:val="000000" w:themeColor="text1"/>
                <w:szCs w:val="21"/>
              </w:rPr>
              <w:t>范围内，不得新建、扩建化工园区和化工项目；</w:t>
            </w:r>
          </w:p>
          <w:p w14:paraId="4D5AD732"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．严控产业转移环境准入；</w:t>
            </w:r>
          </w:p>
          <w:p w14:paraId="30FE6837"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w:t>
            </w:r>
            <w:r w:rsidRPr="00092862">
              <w:rPr>
                <w:rFonts w:ascii="Times New Roman" w:eastAsia="宋体" w:hAnsi="Times New Roman" w:cs="Times New Roman"/>
                <w:color w:val="000000" w:themeColor="text1"/>
                <w:szCs w:val="21"/>
              </w:rPr>
              <w:t>．造纸等产业污染治理和环境管理应达到国内先进水平。优化制浆造纸产业布局，提升行业清洁生产水平，推动制浆造纸工业向节能、环保、绿色方向发展。</w:t>
            </w:r>
          </w:p>
        </w:tc>
        <w:tc>
          <w:tcPr>
            <w:tcW w:w="1586" w:type="pct"/>
            <w:vAlign w:val="center"/>
          </w:tcPr>
          <w:p w14:paraId="2AF0D1A9" w14:textId="0F261E0B" w:rsidR="009C5B8E" w:rsidRPr="00092862" w:rsidRDefault="00644F03"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本项目为天然气钻探和试采工程</w:t>
            </w:r>
            <w:r w:rsidR="009C5B8E" w:rsidRPr="00092862">
              <w:rPr>
                <w:rFonts w:ascii="Times New Roman" w:eastAsia="宋体" w:hAnsi="Times New Roman" w:cs="Times New Roman"/>
                <w:color w:val="000000" w:themeColor="text1"/>
                <w:szCs w:val="21"/>
              </w:rPr>
              <w:t>，污染防治和环境管理严格按照本环评报告书提出要求进行落实，同时落实中原油田普光分公司要求日常管理要求，确保本项目各种污染物得到妥善处置，不对项目所在地环境造成影响。</w:t>
            </w:r>
          </w:p>
        </w:tc>
        <w:tc>
          <w:tcPr>
            <w:tcW w:w="527" w:type="pct"/>
            <w:vAlign w:val="center"/>
          </w:tcPr>
          <w:p w14:paraId="73A80567" w14:textId="77777777" w:rsidR="009C5B8E" w:rsidRPr="00092862" w:rsidRDefault="009C5B8E"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7252D0A8" w14:textId="77777777" w:rsidTr="009C5B8E">
        <w:trPr>
          <w:trHeight w:val="269"/>
          <w:jc w:val="center"/>
        </w:trPr>
        <w:tc>
          <w:tcPr>
            <w:tcW w:w="355" w:type="pct"/>
            <w:vAlign w:val="center"/>
          </w:tcPr>
          <w:p w14:paraId="3E7C7461" w14:textId="77777777" w:rsidR="009C5B8E" w:rsidRPr="00092862" w:rsidRDefault="009C5B8E" w:rsidP="003F1F6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宣汉县</w:t>
            </w:r>
          </w:p>
        </w:tc>
        <w:tc>
          <w:tcPr>
            <w:tcW w:w="2532" w:type="pct"/>
            <w:vAlign w:val="center"/>
          </w:tcPr>
          <w:p w14:paraId="47898667"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．加强小流域水环境保护，推动农村环保基础设施建设，全面推进农村环境综合整治、生活污水处理项目。大力开展沿河畜禽养殖污染整治，大力推广生态种植，减少农药化肥使用量；</w:t>
            </w:r>
          </w:p>
          <w:p w14:paraId="01F5FD1B"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．打好升级版污染防治攻坚战。持续优化调整产业布局，以</w:t>
            </w:r>
            <w:r w:rsidRPr="00092862">
              <w:rPr>
                <w:rFonts w:ascii="Times New Roman" w:eastAsia="宋体" w:hAnsi="Times New Roman" w:cs="Times New Roman"/>
                <w:color w:val="000000" w:themeColor="text1"/>
                <w:szCs w:val="21"/>
              </w:rPr>
              <w:t>PM</w:t>
            </w:r>
            <w:r w:rsidRPr="00092862">
              <w:rPr>
                <w:rFonts w:ascii="Times New Roman" w:eastAsia="宋体" w:hAnsi="Times New Roman" w:cs="Times New Roman"/>
                <w:color w:val="000000" w:themeColor="text1"/>
                <w:szCs w:val="21"/>
                <w:vertAlign w:val="subscript"/>
              </w:rPr>
              <w:t>2.5</w:t>
            </w:r>
            <w:r w:rsidRPr="00092862">
              <w:rPr>
                <w:rFonts w:ascii="Times New Roman" w:eastAsia="宋体" w:hAnsi="Times New Roman" w:cs="Times New Roman"/>
                <w:color w:val="000000" w:themeColor="text1"/>
                <w:szCs w:val="21"/>
              </w:rPr>
              <w:t>和臭氧污染协同控制为重点，全面开展</w:t>
            </w:r>
            <w:r w:rsidRPr="00092862">
              <w:rPr>
                <w:rFonts w:ascii="Times New Roman" w:eastAsia="宋体" w:hAnsi="Times New Roman" w:cs="Times New Roman"/>
                <w:color w:val="000000" w:themeColor="text1"/>
                <w:szCs w:val="21"/>
              </w:rPr>
              <w:t>VOCs</w:t>
            </w:r>
            <w:r w:rsidRPr="00092862">
              <w:rPr>
                <w:rFonts w:ascii="Times New Roman" w:eastAsia="宋体" w:hAnsi="Times New Roman" w:cs="Times New Roman"/>
                <w:color w:val="000000" w:themeColor="text1"/>
                <w:szCs w:val="21"/>
              </w:rPr>
              <w:t>治理，实施移动源整治，持续推进空气质量精细化管理；</w:t>
            </w:r>
          </w:p>
          <w:p w14:paraId="54FBA68F" w14:textId="77777777" w:rsidR="009C5B8E" w:rsidRPr="00092862" w:rsidRDefault="009C5B8E" w:rsidP="003F1F6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．优化天然气化工、硫化工、锂钾综合开发、冶金建材、新材料等产业布局，切实做好危险化学品生产、使用、贮运、废弃全过程的安全防范措施，妥善处理好锂钾综合开发产业副产物及</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三废</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的综合利用途径或处置去向。</w:t>
            </w:r>
          </w:p>
        </w:tc>
        <w:tc>
          <w:tcPr>
            <w:tcW w:w="1586" w:type="pct"/>
            <w:vAlign w:val="center"/>
          </w:tcPr>
          <w:p w14:paraId="5531AD2B" w14:textId="22AF2AF7" w:rsidR="009C5B8E" w:rsidRPr="00092862" w:rsidRDefault="00644F03"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本项目为天然气钻探和试采工程</w:t>
            </w:r>
            <w:r w:rsidR="009C5B8E" w:rsidRPr="00092862">
              <w:rPr>
                <w:rFonts w:ascii="Times New Roman" w:eastAsia="宋体" w:hAnsi="Times New Roman" w:cs="Times New Roman"/>
                <w:color w:val="000000" w:themeColor="text1"/>
                <w:szCs w:val="21"/>
              </w:rPr>
              <w:t>，不涉及以上总体生态环境管控要求。</w:t>
            </w:r>
          </w:p>
        </w:tc>
        <w:tc>
          <w:tcPr>
            <w:tcW w:w="527" w:type="pct"/>
            <w:vAlign w:val="center"/>
          </w:tcPr>
          <w:p w14:paraId="6DCD26B5" w14:textId="77777777" w:rsidR="009C5B8E" w:rsidRPr="00092862" w:rsidRDefault="009C5B8E" w:rsidP="003F1F64">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6E1BB43D" w14:textId="64AC30BC" w:rsidR="009C5B8E" w:rsidRPr="00092862" w:rsidRDefault="009C5B8E" w:rsidP="008064BC">
      <w:pPr>
        <w:tabs>
          <w:tab w:val="left" w:pos="0"/>
        </w:tabs>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4</w:t>
      </w:r>
      <w:r w:rsidRPr="00092862">
        <w:rPr>
          <w:rFonts w:ascii="Times New Roman" w:eastAsia="黑体" w:hAnsi="Times New Roman" w:cs="Times New Roman"/>
          <w:color w:val="000000" w:themeColor="text1"/>
          <w:sz w:val="24"/>
        </w:rPr>
        <w:t>、与环境准入负面清单的符合性分析</w:t>
      </w:r>
    </w:p>
    <w:p w14:paraId="37DE8810" w14:textId="77777777" w:rsidR="009C5B8E" w:rsidRPr="00092862" w:rsidRDefault="009C5B8E" w:rsidP="008064BC">
      <w:pPr>
        <w:autoSpaceDE w:val="0"/>
        <w:autoSpaceDN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本工程选址位于达州市宣汉县，根据《四川省人民政府关于落实生态保护红线、环境质量底线、资源利用上线，制定生态环境准入清单，实施生态环境分区管控的通知》（川府发〔</w:t>
      </w:r>
      <w:r w:rsidRPr="00092862">
        <w:rPr>
          <w:rFonts w:ascii="Times New Roman" w:eastAsia="宋体" w:hAnsi="Times New Roman" w:cs="Times New Roman"/>
          <w:color w:val="000000" w:themeColor="text1"/>
          <w:sz w:val="24"/>
          <w:szCs w:val="24"/>
        </w:rPr>
        <w:t>2020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号），项目所在地属于川东北经济区，该</w:t>
      </w:r>
      <w:r w:rsidRPr="00092862">
        <w:rPr>
          <w:rFonts w:ascii="Times New Roman" w:eastAsia="宋体" w:hAnsi="Times New Roman" w:cs="Times New Roman"/>
          <w:color w:val="000000" w:themeColor="text1"/>
          <w:sz w:val="24"/>
          <w:szCs w:val="24"/>
        </w:rPr>
        <w:lastRenderedPageBreak/>
        <w:t>区域总体生态环境管控要求为：</w:t>
      </w: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控制农村面源污染，提高污水收集处理率，加快乡镇污水处理基础设施建设。</w:t>
      </w: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建设流域水环境风险联防联控体系。</w:t>
      </w: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提高大气污染治理水平。</w:t>
      </w:r>
    </w:p>
    <w:p w14:paraId="6F16AA0C" w14:textId="180279D0" w:rsidR="009C5B8E" w:rsidRPr="00092862" w:rsidRDefault="00644F03" w:rsidP="009C5B8E">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本项目为天然气钻探和试采工程</w:t>
      </w:r>
      <w:r w:rsidR="009C5B8E" w:rsidRPr="00092862">
        <w:rPr>
          <w:rFonts w:ascii="Times New Roman" w:eastAsia="宋体" w:hAnsi="Times New Roman" w:cs="Times New Roman"/>
          <w:color w:val="000000" w:themeColor="text1"/>
          <w:sz w:val="24"/>
          <w:szCs w:val="24"/>
        </w:rPr>
        <w:t>，不属于《四川省人民政府关于落实生态保护红线、环境质量底线、资源利用上线，制定生态环境准入清单，实施生态环境分区管控的通知》（川府发〔</w:t>
      </w:r>
      <w:r w:rsidR="009C5B8E" w:rsidRPr="00092862">
        <w:rPr>
          <w:rFonts w:ascii="Times New Roman" w:eastAsia="宋体" w:hAnsi="Times New Roman" w:cs="Times New Roman"/>
          <w:color w:val="000000" w:themeColor="text1"/>
          <w:sz w:val="24"/>
          <w:szCs w:val="24"/>
        </w:rPr>
        <w:t>2020</w:t>
      </w:r>
      <w:r w:rsidR="009C5B8E" w:rsidRPr="00092862">
        <w:rPr>
          <w:rFonts w:ascii="Times New Roman" w:eastAsia="宋体" w:hAnsi="Times New Roman" w:cs="Times New Roman"/>
          <w:color w:val="000000" w:themeColor="text1"/>
          <w:sz w:val="24"/>
          <w:szCs w:val="24"/>
        </w:rPr>
        <w:t>〕</w:t>
      </w:r>
      <w:r w:rsidR="009C5B8E" w:rsidRPr="00092862">
        <w:rPr>
          <w:rFonts w:ascii="Times New Roman" w:eastAsia="宋体" w:hAnsi="Times New Roman" w:cs="Times New Roman"/>
          <w:color w:val="000000" w:themeColor="text1"/>
          <w:sz w:val="24"/>
          <w:szCs w:val="24"/>
        </w:rPr>
        <w:t>9</w:t>
      </w:r>
      <w:r w:rsidR="009C5B8E" w:rsidRPr="00092862">
        <w:rPr>
          <w:rFonts w:ascii="Times New Roman" w:eastAsia="宋体" w:hAnsi="Times New Roman" w:cs="Times New Roman"/>
          <w:color w:val="000000" w:themeColor="text1"/>
          <w:sz w:val="24"/>
          <w:szCs w:val="24"/>
        </w:rPr>
        <w:t>号）中所列的建材、家具、电子信息、装备制造、先进材料、食品饮料、生物医药等行业，项目施工期</w:t>
      </w:r>
      <w:r w:rsidR="008064BC" w:rsidRPr="00092862">
        <w:rPr>
          <w:rFonts w:ascii="Times New Roman" w:eastAsia="宋体" w:hAnsi="Times New Roman" w:cs="Times New Roman"/>
          <w:color w:val="000000" w:themeColor="text1"/>
          <w:sz w:val="24"/>
          <w:szCs w:val="24"/>
        </w:rPr>
        <w:t>和</w:t>
      </w:r>
      <w:r w:rsidR="001A6854" w:rsidRPr="00092862">
        <w:rPr>
          <w:rFonts w:ascii="Times New Roman" w:eastAsia="宋体" w:hAnsi="Times New Roman" w:cs="Times New Roman"/>
          <w:color w:val="000000" w:themeColor="text1"/>
          <w:sz w:val="24"/>
          <w:szCs w:val="24"/>
        </w:rPr>
        <w:t>试采期</w:t>
      </w:r>
      <w:r w:rsidR="009C5B8E" w:rsidRPr="00092862">
        <w:rPr>
          <w:rFonts w:ascii="Times New Roman" w:eastAsia="宋体" w:hAnsi="Times New Roman" w:cs="Times New Roman"/>
          <w:color w:val="000000" w:themeColor="text1"/>
          <w:sz w:val="24"/>
          <w:szCs w:val="24"/>
        </w:rPr>
        <w:t>废水不外排，</w:t>
      </w:r>
      <w:r w:rsidR="00625D3A" w:rsidRPr="00092862">
        <w:rPr>
          <w:rFonts w:ascii="Times New Roman" w:eastAsia="宋体" w:hAnsi="Times New Roman" w:cs="Times New Roman"/>
          <w:color w:val="000000" w:themeColor="text1"/>
          <w:sz w:val="24"/>
          <w:szCs w:val="24"/>
        </w:rPr>
        <w:t>试采</w:t>
      </w:r>
      <w:r w:rsidR="009C5B8E" w:rsidRPr="00092862">
        <w:rPr>
          <w:rFonts w:ascii="Times New Roman" w:eastAsia="宋体" w:hAnsi="Times New Roman" w:cs="Times New Roman"/>
          <w:color w:val="000000" w:themeColor="text1"/>
          <w:sz w:val="24"/>
          <w:szCs w:val="24"/>
        </w:rPr>
        <w:t>期</w:t>
      </w:r>
      <w:r w:rsidR="00C26134" w:rsidRPr="00092862">
        <w:rPr>
          <w:rFonts w:ascii="Times New Roman" w:eastAsia="宋体" w:hAnsi="Times New Roman" w:cs="Times New Roman"/>
          <w:color w:val="000000" w:themeColor="text1"/>
          <w:sz w:val="24"/>
          <w:szCs w:val="24"/>
        </w:rPr>
        <w:t>水套加热炉</w:t>
      </w:r>
      <w:r w:rsidR="009C5B8E" w:rsidRPr="00092862">
        <w:rPr>
          <w:rFonts w:ascii="Times New Roman" w:eastAsia="宋体" w:hAnsi="Times New Roman" w:cs="Times New Roman"/>
          <w:color w:val="000000" w:themeColor="text1"/>
          <w:sz w:val="24"/>
          <w:szCs w:val="24"/>
        </w:rPr>
        <w:t>燃烧废气经排气筒排放</w:t>
      </w:r>
      <w:r w:rsidR="008064BC" w:rsidRPr="00092862">
        <w:rPr>
          <w:rFonts w:ascii="Times New Roman" w:eastAsia="宋体" w:hAnsi="Times New Roman" w:cs="Times New Roman"/>
          <w:color w:val="000000" w:themeColor="text1"/>
          <w:sz w:val="24"/>
          <w:szCs w:val="24"/>
        </w:rPr>
        <w:t>，放空火炬长明灯烟气通过放空火炬高空排放</w:t>
      </w:r>
      <w:r w:rsidR="009C5B8E" w:rsidRPr="00092862">
        <w:rPr>
          <w:rFonts w:ascii="Times New Roman" w:eastAsia="宋体" w:hAnsi="Times New Roman" w:cs="Times New Roman"/>
          <w:color w:val="000000" w:themeColor="text1"/>
          <w:sz w:val="24"/>
          <w:szCs w:val="24"/>
        </w:rPr>
        <w:t>，污染物排放量较小。项目所在地生态环境良好，无突出环境问题，因此，项目的建设满足《四川省人民政府关于落实生态保护红线、环境质量底线、资源利用上线，制定生态环境准入清单，实施生态环境分区管控的通知》（川府发〔</w:t>
      </w:r>
      <w:r w:rsidR="009C5B8E" w:rsidRPr="00092862">
        <w:rPr>
          <w:rFonts w:ascii="Times New Roman" w:eastAsia="宋体" w:hAnsi="Times New Roman" w:cs="Times New Roman"/>
          <w:color w:val="000000" w:themeColor="text1"/>
          <w:sz w:val="24"/>
          <w:szCs w:val="24"/>
        </w:rPr>
        <w:t>2020</w:t>
      </w:r>
      <w:r w:rsidR="009C5B8E" w:rsidRPr="00092862">
        <w:rPr>
          <w:rFonts w:ascii="Times New Roman" w:eastAsia="宋体" w:hAnsi="Times New Roman" w:cs="Times New Roman"/>
          <w:color w:val="000000" w:themeColor="text1"/>
          <w:sz w:val="24"/>
          <w:szCs w:val="24"/>
        </w:rPr>
        <w:t>〕</w:t>
      </w:r>
      <w:r w:rsidR="009C5B8E" w:rsidRPr="00092862">
        <w:rPr>
          <w:rFonts w:ascii="Times New Roman" w:eastAsia="宋体" w:hAnsi="Times New Roman" w:cs="Times New Roman"/>
          <w:color w:val="000000" w:themeColor="text1"/>
          <w:sz w:val="24"/>
          <w:szCs w:val="24"/>
        </w:rPr>
        <w:t>9</w:t>
      </w:r>
      <w:r w:rsidR="009C5B8E" w:rsidRPr="00092862">
        <w:rPr>
          <w:rFonts w:ascii="Times New Roman" w:eastAsia="宋体" w:hAnsi="Times New Roman" w:cs="Times New Roman"/>
          <w:color w:val="000000" w:themeColor="text1"/>
          <w:sz w:val="24"/>
          <w:szCs w:val="24"/>
        </w:rPr>
        <w:t>号）中川东北经济区的生态环境管控要求。</w:t>
      </w:r>
    </w:p>
    <w:p w14:paraId="53867F33" w14:textId="536E18A9" w:rsidR="009C5B8E" w:rsidRPr="00092862" w:rsidRDefault="009C5B8E" w:rsidP="009C5B8E">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本工程不涉及《四川省国家重点生态功能区产业准入负面清单（第一批）（试行）》</w:t>
      </w:r>
      <w:r w:rsidRPr="00092862">
        <w:rPr>
          <w:rFonts w:ascii="Times New Roman" w:eastAsia="宋体" w:hAnsi="Times New Roman" w:cs="Times New Roman"/>
          <w:color w:val="000000" w:themeColor="text1"/>
          <w:sz w:val="24"/>
          <w:szCs w:val="24"/>
        </w:rPr>
        <w:t>42</w:t>
      </w:r>
      <w:r w:rsidRPr="00092862">
        <w:rPr>
          <w:rFonts w:ascii="Times New Roman" w:eastAsia="宋体" w:hAnsi="Times New Roman" w:cs="Times New Roman"/>
          <w:color w:val="000000" w:themeColor="text1"/>
          <w:sz w:val="24"/>
          <w:szCs w:val="24"/>
        </w:rPr>
        <w:t>个市县、《四川省重点生态功能区产业准入负面清单</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第二批</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（试行）》</w:t>
      </w:r>
      <w:r w:rsidRPr="00092862">
        <w:rPr>
          <w:rFonts w:ascii="Times New Roman" w:eastAsia="宋体" w:hAnsi="Times New Roman" w:cs="Times New Roman"/>
          <w:color w:val="000000" w:themeColor="text1"/>
          <w:sz w:val="24"/>
          <w:szCs w:val="24"/>
        </w:rPr>
        <w:t>15</w:t>
      </w:r>
      <w:r w:rsidRPr="00092862">
        <w:rPr>
          <w:rFonts w:ascii="Times New Roman" w:eastAsia="宋体" w:hAnsi="Times New Roman" w:cs="Times New Roman"/>
          <w:color w:val="000000" w:themeColor="text1"/>
          <w:sz w:val="24"/>
          <w:szCs w:val="24"/>
        </w:rPr>
        <w:t>个县。因此，不属于区域环境准入负面清单行业内容。</w:t>
      </w:r>
    </w:p>
    <w:p w14:paraId="69CAB6A5" w14:textId="2A7DB38F" w:rsidR="009C5B8E" w:rsidRPr="00092862" w:rsidRDefault="00BE1B6C" w:rsidP="009C5B8E">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本项目不涉及</w:t>
      </w:r>
      <w:r w:rsidRPr="00092862">
        <w:rPr>
          <w:rFonts w:ascii="Times New Roman" w:eastAsia="宋体" w:hAnsi="Times New Roman" w:cs="Times New Roman"/>
          <w:bCs/>
          <w:color w:val="000000" w:themeColor="text1"/>
          <w:sz w:val="24"/>
          <w:szCs w:val="24"/>
        </w:rPr>
        <w:t>《四川省、重庆市长江经济带发展负面清单实施细则（试行，</w:t>
      </w:r>
      <w:r w:rsidRPr="00092862">
        <w:rPr>
          <w:rFonts w:ascii="Times New Roman" w:eastAsia="宋体" w:hAnsi="Times New Roman" w:cs="Times New Roman"/>
          <w:bCs/>
          <w:color w:val="000000" w:themeColor="text1"/>
          <w:sz w:val="24"/>
          <w:szCs w:val="24"/>
        </w:rPr>
        <w:t>2022</w:t>
      </w:r>
      <w:r w:rsidRPr="00092862">
        <w:rPr>
          <w:rFonts w:ascii="Times New Roman" w:eastAsia="宋体" w:hAnsi="Times New Roman" w:cs="Times New Roman"/>
          <w:bCs/>
          <w:color w:val="000000" w:themeColor="text1"/>
          <w:sz w:val="24"/>
          <w:szCs w:val="24"/>
        </w:rPr>
        <w:t>年版）》（川长江办</w:t>
      </w:r>
      <w:r w:rsidRPr="00092862">
        <w:rPr>
          <w:rFonts w:ascii="Times New Roman" w:eastAsia="宋体" w:hAnsi="Times New Roman" w:cs="Times New Roman"/>
          <w:bCs/>
          <w:color w:val="000000" w:themeColor="text1"/>
          <w:sz w:val="24"/>
          <w:szCs w:val="24"/>
        </w:rPr>
        <w:t>[2022]17</w:t>
      </w:r>
      <w:r w:rsidRPr="00092862">
        <w:rPr>
          <w:rFonts w:ascii="Times New Roman" w:eastAsia="宋体" w:hAnsi="Times New Roman" w:cs="Times New Roman"/>
          <w:bCs/>
          <w:color w:val="000000" w:themeColor="text1"/>
          <w:sz w:val="24"/>
          <w:szCs w:val="24"/>
        </w:rPr>
        <w:t>号）中限制与禁止建设的项目。</w:t>
      </w:r>
    </w:p>
    <w:p w14:paraId="20CDC018" w14:textId="35302F1E" w:rsidR="009C5B8E" w:rsidRPr="00092862" w:rsidRDefault="009C5B8E" w:rsidP="009C5B8E">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本项目位于达州市四川省达州市</w:t>
      </w:r>
      <w:r w:rsidR="005036A4" w:rsidRPr="00092862">
        <w:rPr>
          <w:rFonts w:ascii="Times New Roman" w:eastAsia="宋体" w:hAnsi="Times New Roman" w:cs="Times New Roman"/>
          <w:color w:val="000000" w:themeColor="text1"/>
          <w:sz w:val="24"/>
        </w:rPr>
        <w:t>宣汉县</w:t>
      </w:r>
      <w:r w:rsidR="00215953" w:rsidRPr="00092862">
        <w:rPr>
          <w:rFonts w:ascii="Times New Roman" w:eastAsia="宋体" w:hAnsi="Times New Roman" w:cs="Times New Roman"/>
          <w:color w:val="000000" w:themeColor="text1"/>
          <w:sz w:val="24"/>
        </w:rPr>
        <w:t>老君乡古楼村</w:t>
      </w:r>
      <w:r w:rsidRPr="00092862">
        <w:rPr>
          <w:rFonts w:ascii="Times New Roman" w:eastAsia="宋体" w:hAnsi="Times New Roman" w:cs="Times New Roman"/>
          <w:color w:val="000000" w:themeColor="text1"/>
          <w:sz w:val="24"/>
          <w:szCs w:val="24"/>
        </w:rPr>
        <w:t>，查阅相关资料，项目建设区域不属于自然保护区、风景名胜区、饮用水源保护区以及生态保护红线范围等。项目为</w:t>
      </w:r>
      <w:r w:rsidR="00644F03" w:rsidRPr="00092862">
        <w:rPr>
          <w:rFonts w:ascii="Times New Roman" w:eastAsia="宋体" w:hAnsi="Times New Roman" w:cs="Times New Roman"/>
          <w:color w:val="000000" w:themeColor="text1"/>
          <w:sz w:val="24"/>
          <w:szCs w:val="24"/>
        </w:rPr>
        <w:t>天然气钻探与试采项目</w:t>
      </w:r>
      <w:r w:rsidRPr="00092862">
        <w:rPr>
          <w:rFonts w:ascii="Times New Roman" w:eastAsia="宋体" w:hAnsi="Times New Roman" w:cs="Times New Roman"/>
          <w:color w:val="000000" w:themeColor="text1"/>
          <w:sz w:val="24"/>
          <w:szCs w:val="24"/>
        </w:rPr>
        <w:t>，属于鼓励类项目。</w:t>
      </w:r>
    </w:p>
    <w:p w14:paraId="729947AD" w14:textId="104F1EA1" w:rsidR="00DC446C" w:rsidRPr="00092862" w:rsidRDefault="009C5B8E" w:rsidP="009C5B8E">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综上，本项目的建设满足区域</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三线一单</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的环境管理要求。</w:t>
      </w:r>
    </w:p>
    <w:p w14:paraId="55C01FB4" w14:textId="78F650FA" w:rsidR="00DC446C" w:rsidRPr="00092862" w:rsidRDefault="003B1968" w:rsidP="003D2EEB">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67" w:name="_Toc120173081"/>
      <w:r w:rsidRPr="00092862">
        <w:rPr>
          <w:rFonts w:ascii="Times New Roman" w:eastAsia="黑体" w:hAnsi="Times New Roman"/>
          <w:b w:val="0"/>
          <w:color w:val="000000" w:themeColor="text1"/>
          <w:sz w:val="24"/>
          <w:szCs w:val="24"/>
          <w:lang w:eastAsia="zh-CN"/>
        </w:rPr>
        <w:t>2.7.</w:t>
      </w:r>
      <w:r w:rsidR="00FA1CF1" w:rsidRPr="00092862">
        <w:rPr>
          <w:rFonts w:ascii="Times New Roman" w:eastAsia="黑体" w:hAnsi="Times New Roman"/>
          <w:b w:val="0"/>
          <w:color w:val="000000" w:themeColor="text1"/>
          <w:sz w:val="24"/>
          <w:szCs w:val="24"/>
          <w:lang w:eastAsia="zh-CN"/>
        </w:rPr>
        <w:t>4</w:t>
      </w:r>
      <w:r w:rsidR="00FA1CF1" w:rsidRPr="00092862">
        <w:rPr>
          <w:rFonts w:ascii="Times New Roman" w:eastAsia="黑体" w:hAnsi="Times New Roman"/>
          <w:b w:val="0"/>
          <w:color w:val="000000" w:themeColor="text1"/>
          <w:sz w:val="24"/>
          <w:szCs w:val="24"/>
          <w:lang w:eastAsia="zh-CN"/>
        </w:rPr>
        <w:t>与场镇规划符合性分析</w:t>
      </w:r>
      <w:bookmarkEnd w:id="67"/>
    </w:p>
    <w:p w14:paraId="468D2105" w14:textId="7767FBB7" w:rsidR="00DC446C" w:rsidRPr="00092862" w:rsidRDefault="00FA1CF1" w:rsidP="003D2EE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根据现场调查，项目位于农村地区，距离</w:t>
      </w:r>
      <w:r w:rsidR="00E021E3" w:rsidRPr="00092862">
        <w:rPr>
          <w:rFonts w:ascii="Times New Roman" w:hAnsi="Times New Roman"/>
          <w:color w:val="000000" w:themeColor="text1"/>
          <w:lang w:eastAsia="zh-CN"/>
        </w:rPr>
        <w:t>清溪</w:t>
      </w:r>
      <w:r w:rsidRPr="00092862">
        <w:rPr>
          <w:rFonts w:ascii="Times New Roman" w:hAnsi="Times New Roman"/>
          <w:color w:val="000000" w:themeColor="text1"/>
          <w:lang w:eastAsia="zh-CN"/>
        </w:rPr>
        <w:t>镇约</w:t>
      </w:r>
      <w:r w:rsidR="00644F03"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km</w:t>
      </w:r>
      <w:r w:rsidR="00E021E3" w:rsidRPr="00092862">
        <w:rPr>
          <w:rFonts w:ascii="Times New Roman" w:hAnsi="Times New Roman"/>
          <w:color w:val="000000" w:themeColor="text1"/>
          <w:lang w:eastAsia="zh-CN"/>
        </w:rPr>
        <w:t>，距离老君乡约</w:t>
      </w:r>
      <w:r w:rsidR="00E021E3" w:rsidRPr="00092862">
        <w:rPr>
          <w:rFonts w:ascii="Times New Roman" w:hAnsi="Times New Roman"/>
          <w:color w:val="000000" w:themeColor="text1"/>
          <w:lang w:eastAsia="zh-CN"/>
        </w:rPr>
        <w:t>7km</w:t>
      </w:r>
      <w:r w:rsidRPr="00092862">
        <w:rPr>
          <w:rFonts w:ascii="Times New Roman" w:hAnsi="Times New Roman"/>
          <w:color w:val="000000" w:themeColor="text1"/>
          <w:lang w:eastAsia="zh-CN"/>
        </w:rPr>
        <w:t>，远离乡镇，不涉及乡镇规划建城范围；项目井场不占用永久基本农田，综上，本项目不涉及所属乡镇建城规划范围。项目建设前，建设单位应向宣汉县自然资源和规划局提出工程用地申请，得到批复后方可动工。</w:t>
      </w:r>
    </w:p>
    <w:p w14:paraId="7FCA9949" w14:textId="574652DB" w:rsidR="007868F0" w:rsidRPr="00092862" w:rsidRDefault="007868F0" w:rsidP="007868F0">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68" w:name="_Toc120173082"/>
      <w:bookmarkStart w:id="69" w:name="_Hlk108985671"/>
      <w:r w:rsidRPr="00092862">
        <w:rPr>
          <w:rFonts w:ascii="Times New Roman" w:eastAsia="黑体" w:hAnsi="Times New Roman"/>
          <w:b w:val="0"/>
          <w:color w:val="000000" w:themeColor="text1"/>
          <w:sz w:val="24"/>
          <w:szCs w:val="24"/>
          <w:lang w:eastAsia="zh-CN"/>
        </w:rPr>
        <w:t>2.7.5</w:t>
      </w:r>
      <w:r w:rsidRPr="00092862">
        <w:rPr>
          <w:rFonts w:ascii="Times New Roman" w:eastAsia="黑体" w:hAnsi="Times New Roman"/>
          <w:b w:val="0"/>
          <w:color w:val="000000" w:themeColor="text1"/>
          <w:sz w:val="24"/>
          <w:szCs w:val="24"/>
          <w:lang w:eastAsia="zh-CN"/>
        </w:rPr>
        <w:t>项目用地符合性分析</w:t>
      </w:r>
      <w:bookmarkEnd w:id="68"/>
    </w:p>
    <w:p w14:paraId="456830A9" w14:textId="3F1834F4" w:rsidR="007868F0" w:rsidRPr="00092862" w:rsidRDefault="00E021E3" w:rsidP="003D2EE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本项目为新建，新新增占地</w:t>
      </w:r>
      <w:r w:rsidRPr="00092862">
        <w:rPr>
          <w:rFonts w:ascii="Times New Roman" w:hAnsi="Times New Roman"/>
          <w:color w:val="000000" w:themeColor="text1"/>
          <w:lang w:eastAsia="zh-CN"/>
        </w:rPr>
        <w:t>25986.8</w:t>
      </w:r>
      <w:r w:rsidR="007032A1" w:rsidRPr="00092862">
        <w:rPr>
          <w:rFonts w:ascii="Times New Roman" w:hAnsi="Times New Roman"/>
          <w:color w:val="000000" w:themeColor="text1"/>
          <w:lang w:eastAsia="zh-CN"/>
        </w:rPr>
        <w:t>m</w:t>
      </w:r>
      <w:r w:rsidR="007032A1" w:rsidRPr="00092862">
        <w:rPr>
          <w:rFonts w:ascii="Times New Roman" w:hAnsi="Times New Roman"/>
          <w:color w:val="000000" w:themeColor="text1"/>
          <w:vertAlign w:val="superscript"/>
          <w:lang w:eastAsia="zh-CN"/>
        </w:rPr>
        <w:t>2</w:t>
      </w:r>
      <w:r w:rsidR="007032A1" w:rsidRPr="00092862">
        <w:rPr>
          <w:rFonts w:ascii="Times New Roman" w:hAnsi="Times New Roman"/>
          <w:color w:val="000000" w:themeColor="text1"/>
          <w:lang w:eastAsia="zh-CN"/>
        </w:rPr>
        <w:t>，建设单位需按相关要求对新增临时占地办理相关用地手续。</w:t>
      </w:r>
    </w:p>
    <w:p w14:paraId="5DD70D58" w14:textId="580ACE39" w:rsidR="007868F0" w:rsidRPr="00092862" w:rsidRDefault="0099481D" w:rsidP="003D2EE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本项目与《自然资源部关于规范临时用地管理的通知》（自然资规〔</w:t>
      </w:r>
      <w:r w:rsidRPr="00092862">
        <w:rPr>
          <w:rFonts w:ascii="Times New Roman" w:hAnsi="Times New Roman"/>
          <w:color w:val="000000" w:themeColor="text1"/>
          <w:lang w:eastAsia="zh-CN"/>
        </w:rPr>
        <w:t>2021</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号）</w:t>
      </w:r>
      <w:r w:rsidR="00F579A0" w:rsidRPr="00092862">
        <w:rPr>
          <w:rFonts w:ascii="Times New Roman" w:hAnsi="Times New Roman"/>
          <w:color w:val="000000" w:themeColor="text1"/>
          <w:lang w:eastAsia="zh-CN"/>
        </w:rPr>
        <w:t>、《四川省自然资源厅关于进一步明确临时用地管理有关事项的通知》（川自然资规〔</w:t>
      </w:r>
      <w:r w:rsidR="00F579A0" w:rsidRPr="00092862">
        <w:rPr>
          <w:rFonts w:ascii="Times New Roman" w:hAnsi="Times New Roman"/>
          <w:color w:val="000000" w:themeColor="text1"/>
          <w:lang w:eastAsia="zh-CN"/>
        </w:rPr>
        <w:t>2022</w:t>
      </w:r>
      <w:r w:rsidR="00F579A0" w:rsidRPr="00092862">
        <w:rPr>
          <w:rFonts w:ascii="Times New Roman" w:hAnsi="Times New Roman"/>
          <w:color w:val="000000" w:themeColor="text1"/>
          <w:lang w:eastAsia="zh-CN"/>
        </w:rPr>
        <w:t>〕</w:t>
      </w:r>
      <w:r w:rsidR="00F579A0" w:rsidRPr="00092862">
        <w:rPr>
          <w:rFonts w:ascii="Times New Roman" w:hAnsi="Times New Roman"/>
          <w:color w:val="000000" w:themeColor="text1"/>
          <w:lang w:eastAsia="zh-CN"/>
        </w:rPr>
        <w:t>3</w:t>
      </w:r>
      <w:r w:rsidR="00F579A0" w:rsidRPr="00092862">
        <w:rPr>
          <w:rFonts w:ascii="Times New Roman" w:hAnsi="Times New Roman"/>
          <w:color w:val="000000" w:themeColor="text1"/>
          <w:lang w:eastAsia="zh-CN"/>
        </w:rPr>
        <w:t>号）</w:t>
      </w:r>
      <w:r w:rsidRPr="00092862">
        <w:rPr>
          <w:rFonts w:ascii="Times New Roman" w:hAnsi="Times New Roman"/>
          <w:color w:val="000000" w:themeColor="text1"/>
          <w:lang w:eastAsia="zh-CN"/>
        </w:rPr>
        <w:t>的符合性见下表：</w:t>
      </w:r>
    </w:p>
    <w:p w14:paraId="6D0B541D" w14:textId="3DF0441F" w:rsidR="00511C61" w:rsidRPr="00092862" w:rsidRDefault="00511C6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w:t>
      </w:r>
      <w:r w:rsidR="000C4084"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w:t>
      </w:r>
      <w:r w:rsidR="000C4084" w:rsidRPr="00092862">
        <w:rPr>
          <w:rFonts w:ascii="Times New Roman" w:eastAsia="黑体" w:hAnsi="Times New Roman"/>
          <w:color w:val="000000" w:themeColor="text1"/>
          <w:sz w:val="21"/>
          <w:szCs w:val="21"/>
          <w:lang w:eastAsia="zh-CN"/>
        </w:rPr>
        <w:t>1</w:t>
      </w:r>
      <w:r w:rsidR="005D4C5B"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与《自然资源部关于规范临时用地管理的通知》</w:t>
      </w:r>
      <w:r w:rsidR="00F579A0" w:rsidRPr="00092862">
        <w:rPr>
          <w:rFonts w:ascii="Times New Roman" w:eastAsia="黑体" w:hAnsi="Times New Roman"/>
          <w:color w:val="000000" w:themeColor="text1"/>
          <w:sz w:val="21"/>
          <w:szCs w:val="21"/>
          <w:lang w:eastAsia="zh-CN"/>
        </w:rPr>
        <w:t>和《四川省自然资源厅关于进一步明确临时用地管理有关事项的通知》</w:t>
      </w:r>
      <w:r w:rsidRPr="00092862">
        <w:rPr>
          <w:rFonts w:ascii="Times New Roman" w:eastAsia="黑体" w:hAnsi="Times New Roman"/>
          <w:color w:val="000000" w:themeColor="text1"/>
          <w:sz w:val="21"/>
          <w:szCs w:val="21"/>
          <w:lang w:eastAsia="zh-CN"/>
        </w:rPr>
        <w:t>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9"/>
        <w:gridCol w:w="4203"/>
        <w:gridCol w:w="2633"/>
        <w:gridCol w:w="875"/>
      </w:tblGrid>
      <w:tr w:rsidR="00697429" w:rsidRPr="00092862" w14:paraId="6E374C33" w14:textId="77777777" w:rsidTr="007203CB">
        <w:trPr>
          <w:trHeight w:val="108"/>
          <w:tblHeader/>
          <w:jc w:val="center"/>
        </w:trPr>
        <w:tc>
          <w:tcPr>
            <w:tcW w:w="355" w:type="pct"/>
            <w:vAlign w:val="center"/>
          </w:tcPr>
          <w:p w14:paraId="50DC7792" w14:textId="05266515" w:rsidR="00511C61" w:rsidRPr="00092862" w:rsidRDefault="00511C61" w:rsidP="007203CB">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序号</w:t>
            </w:r>
          </w:p>
        </w:tc>
        <w:tc>
          <w:tcPr>
            <w:tcW w:w="2532" w:type="pct"/>
            <w:vAlign w:val="center"/>
          </w:tcPr>
          <w:p w14:paraId="34E40BC2" w14:textId="4E035FD9" w:rsidR="00511C61" w:rsidRPr="00092862" w:rsidRDefault="00511C61" w:rsidP="007203CB">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自然资源部关于规范临时用地管理的通知要求</w:t>
            </w:r>
          </w:p>
        </w:tc>
        <w:tc>
          <w:tcPr>
            <w:tcW w:w="1586" w:type="pct"/>
            <w:vAlign w:val="center"/>
          </w:tcPr>
          <w:p w14:paraId="2BA3E4A6" w14:textId="77777777" w:rsidR="00511C61" w:rsidRPr="00092862" w:rsidRDefault="00511C61" w:rsidP="007203CB">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本项目</w:t>
            </w:r>
          </w:p>
        </w:tc>
        <w:tc>
          <w:tcPr>
            <w:tcW w:w="527" w:type="pct"/>
            <w:vAlign w:val="center"/>
          </w:tcPr>
          <w:p w14:paraId="49877F9B" w14:textId="77777777" w:rsidR="00511C61" w:rsidRPr="00092862" w:rsidRDefault="00511C61" w:rsidP="007203CB">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符合性</w:t>
            </w:r>
          </w:p>
        </w:tc>
      </w:tr>
      <w:tr w:rsidR="00697429" w:rsidRPr="00092862" w14:paraId="1DAC4CA1" w14:textId="77777777" w:rsidTr="007203CB">
        <w:trPr>
          <w:trHeight w:val="269"/>
          <w:jc w:val="center"/>
        </w:trPr>
        <w:tc>
          <w:tcPr>
            <w:tcW w:w="355" w:type="pct"/>
            <w:vAlign w:val="center"/>
          </w:tcPr>
          <w:p w14:paraId="5A733A22" w14:textId="70BA8607" w:rsidR="00511C61" w:rsidRPr="00092862" w:rsidRDefault="00511C61" w:rsidP="007203CB">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2532" w:type="pct"/>
            <w:vAlign w:val="center"/>
          </w:tcPr>
          <w:p w14:paraId="57DBD0DE" w14:textId="1132FD3B" w:rsidR="00511C61" w:rsidRPr="00092862" w:rsidRDefault="00511C61" w:rsidP="00511C61">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586" w:type="pct"/>
            <w:vAlign w:val="center"/>
          </w:tcPr>
          <w:p w14:paraId="26E8C81D" w14:textId="4B9C155E" w:rsidR="00511C61" w:rsidRPr="00092862" w:rsidRDefault="00E021E3"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本项目为天然气资源得勘查项目，项目建设时钻井井场、配套管线、电力设施、进场道路等钻井及配套设施均需临时占用部分土地；后期试采工程将在原井场</w:t>
            </w:r>
            <w:r w:rsidR="00D72D31" w:rsidRPr="00092862">
              <w:rPr>
                <w:rFonts w:ascii="Times New Roman" w:eastAsia="宋体" w:hAnsi="Times New Roman" w:cs="Times New Roman"/>
                <w:color w:val="000000" w:themeColor="text1"/>
                <w:szCs w:val="21"/>
              </w:rPr>
              <w:t>建设，不格外新增占地</w:t>
            </w:r>
            <w:r w:rsidRPr="00092862">
              <w:rPr>
                <w:rFonts w:ascii="Times New Roman" w:eastAsia="宋体" w:hAnsi="Times New Roman" w:cs="Times New Roman"/>
                <w:color w:val="000000" w:themeColor="text1"/>
                <w:szCs w:val="21"/>
              </w:rPr>
              <w:t>。</w:t>
            </w:r>
          </w:p>
        </w:tc>
        <w:tc>
          <w:tcPr>
            <w:tcW w:w="527" w:type="pct"/>
            <w:vAlign w:val="center"/>
          </w:tcPr>
          <w:p w14:paraId="4B51D6DA" w14:textId="7CF3C8CE" w:rsidR="00511C61" w:rsidRPr="00092862" w:rsidRDefault="00511C61"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35C5351D" w14:textId="77777777" w:rsidTr="007203CB">
        <w:trPr>
          <w:trHeight w:val="269"/>
          <w:jc w:val="center"/>
        </w:trPr>
        <w:tc>
          <w:tcPr>
            <w:tcW w:w="355" w:type="pct"/>
            <w:vAlign w:val="center"/>
          </w:tcPr>
          <w:p w14:paraId="476F9799" w14:textId="13F8807D" w:rsidR="00511C61" w:rsidRPr="00092862" w:rsidRDefault="00A14714" w:rsidP="007203CB">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2532" w:type="pct"/>
            <w:vAlign w:val="center"/>
          </w:tcPr>
          <w:p w14:paraId="1F17AD4A" w14:textId="2236F310" w:rsidR="00511C61" w:rsidRPr="00092862" w:rsidRDefault="00A14714" w:rsidP="007203CB">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建设项目施工、地质勘查使用临时用地时应坚持</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用多少、批多少、占多少、恢复多少</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，尽量不占或者少占耕地。临时用地使用期限一般不超过两年。建设周期较长的能源、交通、水利等基础设施建设项目施工使用的临时用地，期限不超过四年。</w:t>
            </w:r>
          </w:p>
        </w:tc>
        <w:tc>
          <w:tcPr>
            <w:tcW w:w="1586" w:type="pct"/>
            <w:vAlign w:val="center"/>
          </w:tcPr>
          <w:p w14:paraId="6A5FA827" w14:textId="64334F08" w:rsidR="00511C61" w:rsidRPr="00092862" w:rsidRDefault="00856D37"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施工期临时</w:t>
            </w:r>
            <w:r w:rsidR="00E021E3" w:rsidRPr="00092862">
              <w:rPr>
                <w:rFonts w:ascii="Times New Roman" w:eastAsia="宋体" w:hAnsi="Times New Roman" w:cs="Times New Roman"/>
                <w:color w:val="000000" w:themeColor="text1"/>
                <w:szCs w:val="21"/>
              </w:rPr>
              <w:t>用地</w:t>
            </w:r>
            <w:r w:rsidRPr="00092862">
              <w:rPr>
                <w:rFonts w:ascii="Times New Roman" w:eastAsia="宋体" w:hAnsi="Times New Roman" w:cs="Times New Roman"/>
                <w:color w:val="000000" w:themeColor="text1"/>
                <w:szCs w:val="21"/>
              </w:rPr>
              <w:t>，使用期限不超过</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年</w:t>
            </w:r>
            <w:r w:rsidR="00F8574D" w:rsidRPr="00092862">
              <w:rPr>
                <w:rFonts w:ascii="Times New Roman" w:eastAsia="宋体" w:hAnsi="Times New Roman" w:cs="Times New Roman"/>
                <w:color w:val="000000" w:themeColor="text1"/>
                <w:szCs w:val="21"/>
              </w:rPr>
              <w:t>，施工结束后立即进行复垦，新增占地面积小</w:t>
            </w:r>
          </w:p>
        </w:tc>
        <w:tc>
          <w:tcPr>
            <w:tcW w:w="527" w:type="pct"/>
            <w:vAlign w:val="center"/>
          </w:tcPr>
          <w:p w14:paraId="72C2C9D0" w14:textId="634ACA15" w:rsidR="00511C61" w:rsidRPr="00092862" w:rsidRDefault="00A14714"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6C9CDC76" w14:textId="77777777" w:rsidTr="007203CB">
        <w:trPr>
          <w:trHeight w:val="269"/>
          <w:jc w:val="center"/>
        </w:trPr>
        <w:tc>
          <w:tcPr>
            <w:tcW w:w="355" w:type="pct"/>
            <w:vAlign w:val="center"/>
          </w:tcPr>
          <w:p w14:paraId="708573F7" w14:textId="58C27993" w:rsidR="00A14714" w:rsidRPr="00092862" w:rsidRDefault="00A14714" w:rsidP="007203CB">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2532" w:type="pct"/>
            <w:vAlign w:val="center"/>
          </w:tcPr>
          <w:p w14:paraId="4ABEBFEB" w14:textId="6BFC5085" w:rsidR="00A14714" w:rsidRPr="00092862" w:rsidRDefault="00A14714" w:rsidP="007203CB">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586" w:type="pct"/>
            <w:vAlign w:val="center"/>
          </w:tcPr>
          <w:p w14:paraId="12D57783" w14:textId="44B8D526" w:rsidR="00A14714" w:rsidRPr="00092862" w:rsidRDefault="00A14714"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本项目新增用地不涉及基本农田，本项目仅拟建的</w:t>
            </w:r>
            <w:r w:rsidR="00856D37" w:rsidRPr="00092862">
              <w:rPr>
                <w:rFonts w:ascii="Times New Roman" w:eastAsia="宋体" w:hAnsi="Times New Roman" w:cs="Times New Roman"/>
                <w:color w:val="000000" w:themeColor="text1"/>
                <w:szCs w:val="21"/>
              </w:rPr>
              <w:t>施工期生活区临时占地为新增占地</w:t>
            </w:r>
            <w:r w:rsidRPr="00092862">
              <w:rPr>
                <w:rFonts w:ascii="Times New Roman" w:eastAsia="宋体" w:hAnsi="Times New Roman" w:cs="Times New Roman"/>
                <w:color w:val="000000" w:themeColor="text1"/>
                <w:szCs w:val="21"/>
              </w:rPr>
              <w:t>，</w:t>
            </w:r>
            <w:r w:rsidR="00856D37" w:rsidRPr="00092862">
              <w:rPr>
                <w:rFonts w:ascii="Times New Roman" w:eastAsia="宋体" w:hAnsi="Times New Roman" w:cs="Times New Roman"/>
                <w:color w:val="000000" w:themeColor="text1"/>
                <w:szCs w:val="21"/>
              </w:rPr>
              <w:t>施工结束后立即进行复垦</w:t>
            </w:r>
            <w:r w:rsidR="00F8574D" w:rsidRPr="00092862">
              <w:rPr>
                <w:rFonts w:ascii="Times New Roman" w:eastAsia="宋体" w:hAnsi="Times New Roman" w:cs="Times New Roman"/>
                <w:color w:val="000000" w:themeColor="text1"/>
                <w:szCs w:val="21"/>
              </w:rPr>
              <w:t>，临时用地将按照要求办理用地手续</w:t>
            </w:r>
          </w:p>
        </w:tc>
        <w:tc>
          <w:tcPr>
            <w:tcW w:w="527" w:type="pct"/>
            <w:vAlign w:val="center"/>
          </w:tcPr>
          <w:p w14:paraId="2256879A" w14:textId="2DE38D7F" w:rsidR="00A14714" w:rsidRPr="00092862" w:rsidRDefault="00A14714"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r w:rsidR="00697429" w:rsidRPr="00092862" w14:paraId="4D48751A" w14:textId="77777777" w:rsidTr="007203CB">
        <w:trPr>
          <w:trHeight w:val="269"/>
          <w:jc w:val="center"/>
        </w:trPr>
        <w:tc>
          <w:tcPr>
            <w:tcW w:w="355" w:type="pct"/>
            <w:vAlign w:val="center"/>
          </w:tcPr>
          <w:p w14:paraId="78EEE1A7" w14:textId="37BEED05" w:rsidR="00A14714" w:rsidRPr="00092862" w:rsidRDefault="00A14714" w:rsidP="007203CB">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2532" w:type="pct"/>
            <w:vAlign w:val="center"/>
          </w:tcPr>
          <w:p w14:paraId="3801E40D" w14:textId="77777777" w:rsidR="00A14714" w:rsidRPr="00092862" w:rsidRDefault="00A14714" w:rsidP="00A1471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14:paraId="7F53ADD6" w14:textId="191F6E14" w:rsidR="00A14714" w:rsidRPr="00092862" w:rsidRDefault="00A14714" w:rsidP="00A14714">
            <w:pPr>
              <w:autoSpaceDE w:val="0"/>
              <w:autoSpaceDN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1586" w:type="pct"/>
            <w:vAlign w:val="center"/>
          </w:tcPr>
          <w:p w14:paraId="4840F9C8" w14:textId="0364D853" w:rsidR="00A14714" w:rsidRPr="00092862" w:rsidRDefault="00A14714"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建设单位不会</w:t>
            </w:r>
            <w:r w:rsidR="00F579A0" w:rsidRPr="00092862">
              <w:rPr>
                <w:rFonts w:ascii="Times New Roman" w:eastAsia="宋体" w:hAnsi="Times New Roman" w:cs="Times New Roman"/>
                <w:color w:val="000000" w:themeColor="text1"/>
                <w:szCs w:val="21"/>
              </w:rPr>
              <w:t>转让、出租、抵押临时用地。若临时用地期满且后续不在利用，建设单位将在用地期满之日起一年内完成土地复垦。并按照当地主管部门恢复用地性质</w:t>
            </w:r>
          </w:p>
        </w:tc>
        <w:tc>
          <w:tcPr>
            <w:tcW w:w="527" w:type="pct"/>
            <w:vAlign w:val="center"/>
          </w:tcPr>
          <w:p w14:paraId="7FBB3E0D" w14:textId="7C3C92DA" w:rsidR="00A14714" w:rsidRPr="00092862" w:rsidRDefault="00F579A0" w:rsidP="007203CB">
            <w:pPr>
              <w:autoSpaceDE w:val="0"/>
              <w:autoSpaceDN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w:t>
            </w:r>
          </w:p>
        </w:tc>
      </w:tr>
    </w:tbl>
    <w:p w14:paraId="767ACCF8" w14:textId="2AB8B902" w:rsidR="0099481D" w:rsidRPr="00092862" w:rsidRDefault="00F579A0" w:rsidP="003D2EE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综上所述，本项目新增的火炬区临时占地与《自然资源部关于规范临时用地管理的通知》（自然资规〔</w:t>
      </w:r>
      <w:r w:rsidRPr="00092862">
        <w:rPr>
          <w:rFonts w:ascii="Times New Roman" w:hAnsi="Times New Roman"/>
          <w:color w:val="000000" w:themeColor="text1"/>
          <w:lang w:eastAsia="zh-CN"/>
        </w:rPr>
        <w:t>2021</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号）、《四川省自然资源厅关于进一步明确临时用地管理有关事项的通知》（川自然资规〔</w:t>
      </w:r>
      <w:r w:rsidRPr="00092862">
        <w:rPr>
          <w:rFonts w:ascii="Times New Roman" w:hAnsi="Times New Roman"/>
          <w:color w:val="000000" w:themeColor="text1"/>
          <w:lang w:eastAsia="zh-CN"/>
        </w:rPr>
        <w:t>2022</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号）中相关要求相符。</w:t>
      </w:r>
      <w:bookmarkEnd w:id="69"/>
    </w:p>
    <w:p w14:paraId="2F38947C" w14:textId="77777777" w:rsidR="00DC446C" w:rsidRPr="00092862" w:rsidRDefault="003B1968" w:rsidP="003D2EEB">
      <w:pPr>
        <w:pStyle w:val="2"/>
        <w:ind w:firstLine="480"/>
        <w:rPr>
          <w:color w:val="000000" w:themeColor="text1"/>
          <w:sz w:val="26"/>
          <w:szCs w:val="26"/>
          <w:lang w:eastAsia="zh-CN"/>
        </w:rPr>
      </w:pPr>
      <w:bookmarkStart w:id="70" w:name="_Toc123682527"/>
      <w:r w:rsidRPr="00092862">
        <w:rPr>
          <w:color w:val="000000" w:themeColor="text1"/>
          <w:szCs w:val="24"/>
          <w:lang w:eastAsia="zh-CN"/>
        </w:rPr>
        <w:lastRenderedPageBreak/>
        <w:t>2.8</w:t>
      </w:r>
      <w:r w:rsidRPr="00092862">
        <w:rPr>
          <w:color w:val="000000" w:themeColor="text1"/>
          <w:szCs w:val="24"/>
          <w:lang w:eastAsia="zh-CN"/>
        </w:rPr>
        <w:t>评价内容及时段</w:t>
      </w:r>
      <w:bookmarkEnd w:id="70"/>
    </w:p>
    <w:p w14:paraId="28A52075" w14:textId="77777777" w:rsidR="00DC446C" w:rsidRPr="00092862" w:rsidRDefault="00EB10DE"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评价内容</w:t>
      </w:r>
    </w:p>
    <w:p w14:paraId="61DADFF3" w14:textId="31C89133"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）分析本项目建设方案与相关法律法规、环境经济技术政策、产业政策以及相关规划的协调性；</w:t>
      </w:r>
    </w:p>
    <w:p w14:paraId="24CE5701" w14:textId="77777777"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）调查项目建设现状，对污染源污染治理设施、污染物排放方式和去向进行回顾性调查，对存在的环境问题提出整改措施建议；</w:t>
      </w:r>
    </w:p>
    <w:p w14:paraId="1AEC8028" w14:textId="77777777"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）运用现状监测与资料收集等手段，对项目所在区域进行环境质量回顾性评价，分析环境空气、地表水、地下水、土壤、声环境等环境质量变化趋势；</w:t>
      </w:r>
    </w:p>
    <w:p w14:paraId="7DFD3A3F" w14:textId="77777777"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对可能会对区域内的环境空气、地表水环境、地下水环境、声环境、土壤环境、生态环境等带来的环境污染影响和环境风险影响进行全面深入的分析、预测和评价，同时结合项目选址的合理性，论证产能建设项目的环境可行性；</w:t>
      </w:r>
    </w:p>
    <w:p w14:paraId="76B07A2B" w14:textId="06C2CADF"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）调查项目依托环保基础设施现状，说明污水处理设施、回注井等设施的建设地点、规模、服务范围以及运行现状，分析评价依托处置规模合理性，工艺可行性，环保设施可依托性等，论证项目的可依托性</w:t>
      </w:r>
      <w:r w:rsidR="006F5B71" w:rsidRPr="00092862">
        <w:rPr>
          <w:rFonts w:ascii="Times New Roman" w:eastAsia="宋体" w:hAnsi="Times New Roman" w:cs="Times New Roman"/>
          <w:bCs/>
          <w:color w:val="000000" w:themeColor="text1"/>
          <w:sz w:val="24"/>
          <w:szCs w:val="24"/>
        </w:rPr>
        <w:t>；</w:t>
      </w:r>
    </w:p>
    <w:p w14:paraId="6B4BCA6A" w14:textId="77777777" w:rsidR="00DC446C"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）从天然气开发活动是否突破当地生态保护红线、环境质量底线、资源利用上线和生态环境准入清单，从环境保护角度分析建设项目区域环境的可承载性。</w:t>
      </w:r>
    </w:p>
    <w:p w14:paraId="55A13C04" w14:textId="77777777" w:rsidR="00DC446C" w:rsidRPr="00092862" w:rsidRDefault="00EB10DE" w:rsidP="003D2EEB">
      <w:pPr>
        <w:tabs>
          <w:tab w:val="left" w:pos="0"/>
        </w:tabs>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2</w:t>
      </w:r>
      <w:r w:rsidRPr="00092862">
        <w:rPr>
          <w:rFonts w:ascii="Times New Roman" w:eastAsia="黑体" w:hAnsi="Times New Roman" w:cs="Times New Roman"/>
          <w:bCs/>
          <w:color w:val="000000" w:themeColor="text1"/>
          <w:sz w:val="24"/>
          <w:szCs w:val="24"/>
        </w:rPr>
        <w:t>、</w:t>
      </w:r>
      <w:r w:rsidR="003B1968" w:rsidRPr="00092862">
        <w:rPr>
          <w:rFonts w:ascii="Times New Roman" w:eastAsia="黑体" w:hAnsi="Times New Roman" w:cs="Times New Roman"/>
          <w:bCs/>
          <w:color w:val="000000" w:themeColor="text1"/>
          <w:sz w:val="24"/>
          <w:szCs w:val="24"/>
        </w:rPr>
        <w:t>评价重点</w:t>
      </w:r>
    </w:p>
    <w:p w14:paraId="25885ADE" w14:textId="76771A34"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）分析本项目建设方案与相关政策、法规、规划在资源利用、环境保护要求等方面的符合性。</w:t>
      </w:r>
    </w:p>
    <w:p w14:paraId="7B12C253" w14:textId="77777777"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14:paraId="19B5D587" w14:textId="49C6B988"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）本项目天然气</w:t>
      </w:r>
      <w:r w:rsidR="00625D3A"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对区域环境质量的影响，对区域生态系统完整性所造成的影响，对主要环境敏感区和重点生态功能区等环境保护目标的影响性质与程度。</w:t>
      </w:r>
    </w:p>
    <w:p w14:paraId="6FCD5AC1" w14:textId="77777777" w:rsidR="00EB10DE" w:rsidRPr="00092862" w:rsidRDefault="00EB10DE" w:rsidP="00EB10DE">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）分析评价区域资源与环境承载能力对本项目天然气开发的支撑状况，综合论证建设方案的环境合理性，提出项目建设方案优化调整建议。</w:t>
      </w:r>
    </w:p>
    <w:p w14:paraId="341F9F97" w14:textId="77777777" w:rsidR="00EB10DE" w:rsidRPr="00092862" w:rsidRDefault="00EB10DE"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）以</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三线一单</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（生态保护红线、环境质量底线、资源利用上线和环境准入负面清单）为手段，强化空间、准入环境管理和总量控制。</w:t>
      </w:r>
    </w:p>
    <w:p w14:paraId="3C3A38E6" w14:textId="77777777" w:rsidR="00DC446C" w:rsidRPr="00092862" w:rsidRDefault="00EB10DE"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）提出预防或者减轻不良环境影响的对策和措施。</w:t>
      </w:r>
    </w:p>
    <w:p w14:paraId="20A5AF9D" w14:textId="77777777" w:rsidR="00DC446C" w:rsidRPr="00092862" w:rsidRDefault="00EB10DE" w:rsidP="00D72D31">
      <w:pPr>
        <w:tabs>
          <w:tab w:val="left" w:pos="0"/>
        </w:tabs>
        <w:adjustRightInd w:val="0"/>
        <w:snapToGrid w:val="0"/>
        <w:spacing w:line="360" w:lineRule="auto"/>
        <w:ind w:firstLineChars="200" w:firstLine="480"/>
        <w:rPr>
          <w:rFonts w:ascii="Times New Roman"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3</w:t>
      </w:r>
      <w:r w:rsidRPr="00092862">
        <w:rPr>
          <w:rFonts w:ascii="Times New Roman" w:eastAsia="黑体" w:hAnsi="Times New Roman" w:cs="Times New Roman"/>
          <w:bCs/>
          <w:color w:val="000000" w:themeColor="text1"/>
          <w:sz w:val="24"/>
          <w:szCs w:val="24"/>
        </w:rPr>
        <w:t>、</w:t>
      </w:r>
      <w:r w:rsidR="003B1968" w:rsidRPr="00092862">
        <w:rPr>
          <w:rFonts w:ascii="Times New Roman" w:eastAsia="黑体" w:hAnsi="Times New Roman" w:cs="Times New Roman"/>
          <w:bCs/>
          <w:color w:val="000000" w:themeColor="text1"/>
          <w:sz w:val="24"/>
          <w:szCs w:val="24"/>
        </w:rPr>
        <w:t>评价时段</w:t>
      </w:r>
    </w:p>
    <w:p w14:paraId="0F4EEEA2" w14:textId="627FD1AF" w:rsidR="00DC446C" w:rsidRPr="00092862" w:rsidRDefault="00BD4779" w:rsidP="00D72D31">
      <w:pPr>
        <w:tabs>
          <w:tab w:val="left" w:pos="0"/>
        </w:tabs>
        <w:adjustRightInd w:val="0"/>
        <w:snapToGrid w:val="0"/>
        <w:spacing w:line="360" w:lineRule="auto"/>
        <w:ind w:firstLineChars="200" w:firstLine="480"/>
        <w:rPr>
          <w:rFonts w:ascii="Times New Roman" w:eastAsia="宋体" w:hAnsi="Times New Roman" w:cs="Times New Roman"/>
          <w:color w:val="000000" w:themeColor="text1"/>
        </w:rPr>
      </w:pPr>
      <w:r w:rsidRPr="00092862">
        <w:rPr>
          <w:rFonts w:ascii="Times New Roman" w:eastAsia="宋体" w:hAnsi="Times New Roman" w:cs="Times New Roman"/>
          <w:bCs/>
          <w:color w:val="000000" w:themeColor="text1"/>
          <w:sz w:val="24"/>
          <w:szCs w:val="24"/>
        </w:rPr>
        <w:t>根据《环境影响评价技术导则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陆地石油天然气开发建设项目》</w:t>
      </w:r>
      <w:r w:rsidRPr="00092862">
        <w:rPr>
          <w:rFonts w:ascii="Times New Roman" w:eastAsia="宋体" w:hAnsi="Times New Roman" w:cs="Times New Roman"/>
          <w:bCs/>
          <w:color w:val="000000" w:themeColor="text1"/>
          <w:sz w:val="24"/>
          <w:szCs w:val="24"/>
        </w:rPr>
        <w:t>(HJ/T349-2007)</w:t>
      </w:r>
      <w:r w:rsidRPr="00092862">
        <w:rPr>
          <w:rFonts w:ascii="Times New Roman" w:eastAsia="宋体" w:hAnsi="Times New Roman" w:cs="Times New Roman"/>
          <w:bCs/>
          <w:color w:val="000000" w:themeColor="text1"/>
          <w:sz w:val="24"/>
          <w:szCs w:val="24"/>
        </w:rPr>
        <w:t>中的有关规定，本次评价时段分施工期、运行期</w:t>
      </w:r>
      <w:r w:rsidR="007E561D"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和退役期三个时段来开展环境影响评价。</w:t>
      </w:r>
    </w:p>
    <w:p w14:paraId="62257319" w14:textId="77777777" w:rsidR="00DC446C" w:rsidRPr="00092862" w:rsidRDefault="003B1968" w:rsidP="00D72D31">
      <w:pPr>
        <w:pStyle w:val="2"/>
        <w:ind w:firstLine="480"/>
        <w:rPr>
          <w:color w:val="000000" w:themeColor="text1"/>
          <w:szCs w:val="24"/>
          <w:lang w:eastAsia="zh-CN"/>
        </w:rPr>
      </w:pPr>
      <w:bookmarkStart w:id="71" w:name="_Toc123682528"/>
      <w:r w:rsidRPr="00092862">
        <w:rPr>
          <w:color w:val="000000" w:themeColor="text1"/>
          <w:szCs w:val="24"/>
          <w:lang w:eastAsia="zh-CN"/>
        </w:rPr>
        <w:t>2.9</w:t>
      </w:r>
      <w:r w:rsidRPr="00092862">
        <w:rPr>
          <w:color w:val="000000" w:themeColor="text1"/>
          <w:szCs w:val="24"/>
          <w:lang w:eastAsia="zh-CN"/>
        </w:rPr>
        <w:t>环境保护目标</w:t>
      </w:r>
      <w:bookmarkEnd w:id="71"/>
    </w:p>
    <w:p w14:paraId="51BD7367" w14:textId="77777777" w:rsidR="00EB10DE" w:rsidRPr="00092862" w:rsidRDefault="00EB10DE" w:rsidP="00D72D31">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72" w:name="_Toc120173085"/>
      <w:r w:rsidRPr="00092862">
        <w:rPr>
          <w:rFonts w:ascii="Times New Roman" w:eastAsia="黑体" w:hAnsi="Times New Roman"/>
          <w:b w:val="0"/>
          <w:color w:val="000000" w:themeColor="text1"/>
          <w:sz w:val="24"/>
          <w:szCs w:val="24"/>
          <w:lang w:eastAsia="zh-CN"/>
        </w:rPr>
        <w:t>2.9.1</w:t>
      </w:r>
      <w:r w:rsidRPr="00092862">
        <w:rPr>
          <w:rFonts w:ascii="Times New Roman" w:eastAsia="黑体" w:hAnsi="Times New Roman"/>
          <w:b w:val="0"/>
          <w:color w:val="000000" w:themeColor="text1"/>
          <w:sz w:val="24"/>
          <w:szCs w:val="24"/>
          <w:lang w:eastAsia="zh-CN"/>
        </w:rPr>
        <w:t>外环境关系</w:t>
      </w:r>
      <w:bookmarkEnd w:id="72"/>
    </w:p>
    <w:p w14:paraId="6C0110C7" w14:textId="77777777" w:rsidR="00EB10DE" w:rsidRPr="00092862" w:rsidRDefault="00EB10DE"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、井场外环境简况</w:t>
      </w:r>
    </w:p>
    <w:p w14:paraId="7EA338E9" w14:textId="77777777" w:rsidR="00E021E3" w:rsidRPr="00092862" w:rsidRDefault="00E021E3" w:rsidP="00D72D31">
      <w:pPr>
        <w:adjustRightInd w:val="0"/>
        <w:snapToGrid w:val="0"/>
        <w:spacing w:line="360" w:lineRule="auto"/>
        <w:ind w:firstLine="482"/>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根据现场调查，井场周围为农村环境，井场周边主要为林地、旱地等，井场</w:t>
      </w:r>
      <w:r w:rsidRPr="00092862">
        <w:rPr>
          <w:rFonts w:ascii="Times New Roman" w:eastAsia="宋体" w:hAnsi="Times New Roman" w:cs="Times New Roman"/>
          <w:bCs/>
          <w:color w:val="000000" w:themeColor="text1"/>
          <w:sz w:val="24"/>
          <w:szCs w:val="24"/>
        </w:rPr>
        <w:t xml:space="preserve">500m </w:t>
      </w:r>
      <w:r w:rsidRPr="00092862">
        <w:rPr>
          <w:rFonts w:ascii="Times New Roman" w:eastAsia="宋体" w:hAnsi="Times New Roman" w:cs="Times New Roman"/>
          <w:bCs/>
          <w:color w:val="000000" w:themeColor="text1"/>
          <w:sz w:val="24"/>
          <w:szCs w:val="24"/>
        </w:rPr>
        <w:t>范围内只有</w:t>
      </w:r>
      <w:r w:rsidRPr="00092862">
        <w:rPr>
          <w:rFonts w:ascii="Times New Roman" w:eastAsia="宋体" w:hAnsi="Times New Roman" w:cs="Times New Roman"/>
          <w:bCs/>
          <w:color w:val="000000" w:themeColor="text1"/>
          <w:sz w:val="24"/>
          <w:szCs w:val="24"/>
        </w:rPr>
        <w:t xml:space="preserve"> 4 </w:t>
      </w:r>
      <w:r w:rsidRPr="00092862">
        <w:rPr>
          <w:rFonts w:ascii="Times New Roman" w:eastAsia="宋体" w:hAnsi="Times New Roman" w:cs="Times New Roman"/>
          <w:bCs/>
          <w:color w:val="000000" w:themeColor="text1"/>
          <w:sz w:val="24"/>
          <w:szCs w:val="24"/>
        </w:rPr>
        <w:t>户农户分布，其中西北侧</w:t>
      </w:r>
      <w:r w:rsidRPr="00092862">
        <w:rPr>
          <w:rFonts w:ascii="Times New Roman" w:eastAsia="宋体" w:hAnsi="Times New Roman" w:cs="Times New Roman"/>
          <w:bCs/>
          <w:color w:val="000000" w:themeColor="text1"/>
          <w:sz w:val="24"/>
          <w:szCs w:val="24"/>
        </w:rPr>
        <w:t>312m</w:t>
      </w:r>
      <w:r w:rsidRPr="00092862">
        <w:rPr>
          <w:rFonts w:ascii="Times New Roman" w:eastAsia="宋体" w:hAnsi="Times New Roman" w:cs="Times New Roman"/>
          <w:bCs/>
          <w:color w:val="000000" w:themeColor="text1"/>
          <w:sz w:val="24"/>
          <w:szCs w:val="24"/>
        </w:rPr>
        <w:t>有</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户农户，西北侧</w:t>
      </w:r>
      <w:r w:rsidRPr="00092862">
        <w:rPr>
          <w:rFonts w:ascii="Times New Roman" w:eastAsia="宋体" w:hAnsi="Times New Roman" w:cs="Times New Roman"/>
          <w:bCs/>
          <w:color w:val="000000" w:themeColor="text1"/>
          <w:sz w:val="24"/>
          <w:szCs w:val="24"/>
        </w:rPr>
        <w:t>416m</w:t>
      </w:r>
      <w:r w:rsidRPr="00092862">
        <w:rPr>
          <w:rFonts w:ascii="Times New Roman" w:eastAsia="宋体" w:hAnsi="Times New Roman" w:cs="Times New Roman"/>
          <w:bCs/>
          <w:color w:val="000000" w:themeColor="text1"/>
          <w:sz w:val="24"/>
          <w:szCs w:val="24"/>
        </w:rPr>
        <w:t>有</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户农户（含</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处养殖场），西北侧</w:t>
      </w:r>
      <w:r w:rsidRPr="00092862">
        <w:rPr>
          <w:rFonts w:ascii="Times New Roman" w:eastAsia="宋体" w:hAnsi="Times New Roman" w:cs="Times New Roman"/>
          <w:bCs/>
          <w:color w:val="000000" w:themeColor="text1"/>
          <w:sz w:val="24"/>
          <w:szCs w:val="24"/>
        </w:rPr>
        <w:t>443m</w:t>
      </w:r>
      <w:r w:rsidRPr="00092862">
        <w:rPr>
          <w:rFonts w:ascii="Times New Roman" w:eastAsia="宋体" w:hAnsi="Times New Roman" w:cs="Times New Roman"/>
          <w:bCs/>
          <w:color w:val="000000" w:themeColor="text1"/>
          <w:sz w:val="24"/>
          <w:szCs w:val="24"/>
        </w:rPr>
        <w:t>有</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户农户，北侧</w:t>
      </w:r>
      <w:r w:rsidRPr="00092862">
        <w:rPr>
          <w:rFonts w:ascii="Times New Roman" w:eastAsia="宋体" w:hAnsi="Times New Roman" w:cs="Times New Roman"/>
          <w:bCs/>
          <w:color w:val="000000" w:themeColor="text1"/>
          <w:sz w:val="24"/>
          <w:szCs w:val="24"/>
        </w:rPr>
        <w:t>410m</w:t>
      </w:r>
      <w:r w:rsidRPr="00092862">
        <w:rPr>
          <w:rFonts w:ascii="Times New Roman" w:eastAsia="宋体" w:hAnsi="Times New Roman" w:cs="Times New Roman"/>
          <w:bCs/>
          <w:color w:val="000000" w:themeColor="text1"/>
          <w:sz w:val="24"/>
          <w:szCs w:val="24"/>
        </w:rPr>
        <w:t>有</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户农户。</w:t>
      </w:r>
    </w:p>
    <w:p w14:paraId="20CC42E1" w14:textId="2788555A" w:rsidR="00EB10DE" w:rsidRPr="00092862" w:rsidRDefault="00EB10DE"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、井场周边人地下水现状</w:t>
      </w:r>
    </w:p>
    <w:p w14:paraId="0A2500A1" w14:textId="6DA4F343" w:rsidR="005E317C" w:rsidRPr="00092862" w:rsidRDefault="002616A2"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项目区域内地下水类型</w:t>
      </w:r>
      <w:r w:rsidR="00336E6A" w:rsidRPr="00092862">
        <w:rPr>
          <w:rFonts w:ascii="Times New Roman" w:eastAsia="宋体" w:hAnsi="Times New Roman" w:cs="Times New Roman"/>
          <w:color w:val="000000" w:themeColor="text1"/>
          <w:sz w:val="24"/>
          <w:szCs w:val="24"/>
        </w:rPr>
        <w:t>以基岩裂隙水</w:t>
      </w:r>
      <w:r w:rsidR="00F64CF6" w:rsidRPr="00092862">
        <w:rPr>
          <w:rFonts w:ascii="Times New Roman" w:eastAsia="宋体" w:hAnsi="Times New Roman" w:cs="Times New Roman"/>
          <w:color w:val="000000" w:themeColor="text1"/>
          <w:sz w:val="24"/>
          <w:szCs w:val="24"/>
        </w:rPr>
        <w:t>与碎屑岩类裂隙水</w:t>
      </w:r>
      <w:r w:rsidR="00336E6A" w:rsidRPr="00092862">
        <w:rPr>
          <w:rFonts w:ascii="Times New Roman" w:eastAsia="宋体" w:hAnsi="Times New Roman" w:cs="Times New Roman"/>
          <w:color w:val="000000" w:themeColor="text1"/>
          <w:sz w:val="24"/>
          <w:szCs w:val="24"/>
        </w:rPr>
        <w:t>为主</w:t>
      </w:r>
      <w:r w:rsidR="00D555BD" w:rsidRPr="00092862">
        <w:rPr>
          <w:rFonts w:ascii="Times New Roman" w:eastAsia="宋体" w:hAnsi="Times New Roman" w:cs="Times New Roman"/>
          <w:bCs/>
          <w:color w:val="000000" w:themeColor="text1"/>
          <w:sz w:val="24"/>
          <w:szCs w:val="24"/>
        </w:rPr>
        <w:t>。根据外环境调查，井场附近居民家中</w:t>
      </w:r>
      <w:r w:rsidR="00E021E3" w:rsidRPr="00092862">
        <w:rPr>
          <w:rFonts w:ascii="Times New Roman" w:eastAsia="宋体" w:hAnsi="Times New Roman" w:cs="Times New Roman"/>
          <w:bCs/>
          <w:color w:val="000000" w:themeColor="text1"/>
          <w:sz w:val="24"/>
          <w:szCs w:val="24"/>
        </w:rPr>
        <w:t>部分</w:t>
      </w:r>
      <w:bookmarkStart w:id="73" w:name="_Hlk33089211"/>
      <w:r w:rsidR="00E021E3" w:rsidRPr="00092862">
        <w:rPr>
          <w:rFonts w:ascii="Times New Roman" w:eastAsia="宋体" w:hAnsi="Times New Roman" w:cs="Times New Roman"/>
          <w:bCs/>
          <w:color w:val="000000" w:themeColor="text1"/>
          <w:sz w:val="24"/>
          <w:szCs w:val="24"/>
        </w:rPr>
        <w:t>使用自建水井作为饮用水源，其中约</w:t>
      </w:r>
      <w:r w:rsidR="00E021E3" w:rsidRPr="00092862">
        <w:rPr>
          <w:rFonts w:ascii="Times New Roman" w:eastAsia="宋体" w:hAnsi="Times New Roman" w:cs="Times New Roman"/>
          <w:bCs/>
          <w:color w:val="000000" w:themeColor="text1"/>
          <w:sz w:val="24"/>
          <w:szCs w:val="24"/>
        </w:rPr>
        <w:t>3~5</w:t>
      </w:r>
      <w:r w:rsidR="00E021E3" w:rsidRPr="00092862">
        <w:rPr>
          <w:rFonts w:ascii="Times New Roman" w:eastAsia="宋体" w:hAnsi="Times New Roman" w:cs="Times New Roman"/>
          <w:bCs/>
          <w:color w:val="000000" w:themeColor="text1"/>
          <w:sz w:val="24"/>
          <w:szCs w:val="24"/>
        </w:rPr>
        <w:t>户</w:t>
      </w:r>
      <w:r w:rsidR="00E021E3" w:rsidRPr="00092862">
        <w:rPr>
          <w:rFonts w:ascii="Times New Roman" w:eastAsia="宋体" w:hAnsi="Times New Roman" w:cs="Times New Roman"/>
          <w:bCs/>
          <w:color w:val="000000" w:themeColor="text1"/>
          <w:sz w:val="24"/>
          <w:szCs w:val="24"/>
        </w:rPr>
        <w:t>1</w:t>
      </w:r>
      <w:r w:rsidR="00E021E3" w:rsidRPr="00092862">
        <w:rPr>
          <w:rFonts w:ascii="Times New Roman" w:eastAsia="宋体" w:hAnsi="Times New Roman" w:cs="Times New Roman"/>
          <w:bCs/>
          <w:color w:val="000000" w:themeColor="text1"/>
          <w:sz w:val="24"/>
          <w:szCs w:val="24"/>
        </w:rPr>
        <w:t>口</w:t>
      </w:r>
      <w:r w:rsidR="005E317C" w:rsidRPr="00092862">
        <w:rPr>
          <w:rFonts w:ascii="Times New Roman" w:eastAsia="宋体" w:hAnsi="Times New Roman" w:cs="Times New Roman"/>
          <w:bCs/>
          <w:color w:val="000000" w:themeColor="text1"/>
          <w:sz w:val="24"/>
          <w:szCs w:val="24"/>
        </w:rPr>
        <w:t>。</w:t>
      </w:r>
      <w:bookmarkEnd w:id="73"/>
    </w:p>
    <w:p w14:paraId="72B1E008" w14:textId="3143226B" w:rsidR="004B3162" w:rsidRPr="00092862" w:rsidRDefault="004B3162"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、井场周边植被及地表水现状</w:t>
      </w:r>
    </w:p>
    <w:p w14:paraId="142C03FB" w14:textId="2375EF39" w:rsidR="00F07492" w:rsidRPr="00092862" w:rsidRDefault="00F07492"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本项目井场所在地及周边地貌主要为</w:t>
      </w:r>
      <w:r w:rsidR="00DB62D6" w:rsidRPr="00092862">
        <w:rPr>
          <w:rFonts w:ascii="Times New Roman" w:eastAsia="宋体" w:hAnsi="Times New Roman" w:cs="Times New Roman"/>
          <w:bCs/>
          <w:color w:val="000000" w:themeColor="text1"/>
          <w:sz w:val="24"/>
          <w:szCs w:val="24"/>
        </w:rPr>
        <w:t>林地、</w:t>
      </w:r>
      <w:r w:rsidR="00542D3A" w:rsidRPr="00092862">
        <w:rPr>
          <w:rFonts w:ascii="Times New Roman" w:eastAsia="宋体" w:hAnsi="Times New Roman" w:cs="Times New Roman"/>
          <w:bCs/>
          <w:color w:val="000000" w:themeColor="text1"/>
          <w:sz w:val="24"/>
          <w:szCs w:val="24"/>
        </w:rPr>
        <w:t>耕地</w:t>
      </w:r>
      <w:r w:rsidRPr="00092862">
        <w:rPr>
          <w:rFonts w:ascii="Times New Roman" w:eastAsia="宋体" w:hAnsi="Times New Roman" w:cs="Times New Roman"/>
          <w:bCs/>
          <w:color w:val="000000" w:themeColor="text1"/>
          <w:sz w:val="24"/>
          <w:szCs w:val="24"/>
        </w:rPr>
        <w:t>，</w:t>
      </w:r>
      <w:r w:rsidR="00C03449" w:rsidRPr="00092862">
        <w:rPr>
          <w:rFonts w:ascii="Times New Roman" w:eastAsia="宋体" w:hAnsi="Times New Roman" w:cs="Times New Roman"/>
          <w:bCs/>
          <w:color w:val="000000" w:themeColor="text1"/>
          <w:sz w:val="24"/>
          <w:szCs w:val="24"/>
        </w:rPr>
        <w:t>中低山等较陡地段地表一般为植被覆盖，包括乔木、灌木，主要有</w:t>
      </w:r>
      <w:r w:rsidR="004570D7" w:rsidRPr="00092862">
        <w:rPr>
          <w:rFonts w:ascii="Times New Roman" w:eastAsia="宋体" w:hAnsi="Times New Roman" w:cs="Times New Roman"/>
          <w:bCs/>
          <w:color w:val="000000" w:themeColor="text1"/>
          <w:sz w:val="24"/>
          <w:szCs w:val="24"/>
        </w:rPr>
        <w:t>麻栎、青冈、栓皮栎、枫香、响叶杨、马尾松、杉木、柏木为主的针叶林植被</w:t>
      </w:r>
      <w:r w:rsidR="00C03449" w:rsidRPr="00092862">
        <w:rPr>
          <w:rFonts w:ascii="Times New Roman" w:eastAsia="宋体" w:hAnsi="Times New Roman" w:cs="Times New Roman"/>
          <w:bCs/>
          <w:color w:val="000000" w:themeColor="text1"/>
          <w:sz w:val="24"/>
          <w:szCs w:val="24"/>
        </w:rPr>
        <w:t>等林地等，</w:t>
      </w:r>
      <w:r w:rsidR="002021ED" w:rsidRPr="00092862">
        <w:rPr>
          <w:rFonts w:ascii="Times New Roman" w:eastAsia="宋体" w:hAnsi="Times New Roman" w:cs="Times New Roman"/>
          <w:bCs/>
          <w:color w:val="000000" w:themeColor="text1"/>
          <w:sz w:val="24"/>
          <w:szCs w:val="24"/>
        </w:rPr>
        <w:t>耕地主要种植</w:t>
      </w:r>
      <w:r w:rsidR="002021ED" w:rsidRPr="00092862">
        <w:rPr>
          <w:rFonts w:ascii="Times New Roman" w:eastAsia="宋体" w:hAnsi="Times New Roman" w:cs="Times New Roman"/>
          <w:color w:val="000000" w:themeColor="text1"/>
          <w:sz w:val="24"/>
        </w:rPr>
        <w:t>玉米、红苕、棉花、花生、小麦、马铃薯、豌豆</w:t>
      </w:r>
      <w:r w:rsidR="002021ED" w:rsidRPr="00092862">
        <w:rPr>
          <w:rFonts w:ascii="Times New Roman" w:eastAsia="宋体" w:hAnsi="Times New Roman" w:cs="Times New Roman"/>
          <w:bCs/>
          <w:color w:val="000000" w:themeColor="text1"/>
          <w:sz w:val="24"/>
          <w:szCs w:val="24"/>
        </w:rPr>
        <w:t>等</w:t>
      </w:r>
      <w:r w:rsidR="00C03449"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项目周边外环境无珍稀动植物。根据现场勘察，本项目</w:t>
      </w:r>
      <w:r w:rsidR="003E5DED" w:rsidRPr="00092862">
        <w:rPr>
          <w:rFonts w:ascii="Times New Roman" w:eastAsia="宋体" w:hAnsi="Times New Roman" w:cs="Times New Roman"/>
          <w:bCs/>
          <w:color w:val="000000" w:themeColor="text1"/>
          <w:sz w:val="24"/>
          <w:szCs w:val="24"/>
        </w:rPr>
        <w:t>最近的河流为</w:t>
      </w:r>
      <w:r w:rsidR="00542D3A" w:rsidRPr="00092862">
        <w:rPr>
          <w:rFonts w:ascii="Times New Roman" w:eastAsia="宋体" w:hAnsi="Times New Roman" w:cs="Times New Roman"/>
          <w:bCs/>
          <w:color w:val="000000" w:themeColor="text1"/>
          <w:sz w:val="24"/>
          <w:szCs w:val="24"/>
        </w:rPr>
        <w:t>场区</w:t>
      </w:r>
      <w:r w:rsidR="00704BC1" w:rsidRPr="00092862">
        <w:rPr>
          <w:rFonts w:ascii="Times New Roman" w:eastAsia="宋体" w:hAnsi="Times New Roman" w:cs="Times New Roman"/>
          <w:bCs/>
          <w:color w:val="000000" w:themeColor="text1"/>
          <w:sz w:val="24"/>
          <w:szCs w:val="24"/>
        </w:rPr>
        <w:t>西</w:t>
      </w:r>
      <w:r w:rsidR="00542D3A" w:rsidRPr="00092862">
        <w:rPr>
          <w:rFonts w:ascii="Times New Roman" w:eastAsia="宋体" w:hAnsi="Times New Roman" w:cs="Times New Roman"/>
          <w:bCs/>
          <w:color w:val="000000" w:themeColor="text1"/>
          <w:sz w:val="24"/>
          <w:szCs w:val="24"/>
        </w:rPr>
        <w:t>侧</w:t>
      </w:r>
      <w:r w:rsidR="00704BC1" w:rsidRPr="00092862">
        <w:rPr>
          <w:rFonts w:ascii="Times New Roman" w:eastAsia="宋体" w:hAnsi="Times New Roman" w:cs="Times New Roman"/>
          <w:bCs/>
          <w:color w:val="000000" w:themeColor="text1"/>
          <w:sz w:val="24"/>
          <w:szCs w:val="24"/>
        </w:rPr>
        <w:t>2.6</w:t>
      </w:r>
      <w:r w:rsidR="00542D3A" w:rsidRPr="00092862">
        <w:rPr>
          <w:rFonts w:ascii="Times New Roman" w:eastAsia="宋体" w:hAnsi="Times New Roman" w:cs="Times New Roman"/>
          <w:bCs/>
          <w:color w:val="000000" w:themeColor="text1"/>
          <w:sz w:val="24"/>
          <w:szCs w:val="24"/>
        </w:rPr>
        <w:t>km</w:t>
      </w:r>
      <w:r w:rsidR="00542D3A" w:rsidRPr="00092862">
        <w:rPr>
          <w:rFonts w:ascii="Times New Roman" w:eastAsia="宋体" w:hAnsi="Times New Roman" w:cs="Times New Roman"/>
          <w:bCs/>
          <w:color w:val="000000" w:themeColor="text1"/>
          <w:sz w:val="24"/>
          <w:szCs w:val="24"/>
        </w:rPr>
        <w:t>处为</w:t>
      </w:r>
      <w:r w:rsidR="00C56152" w:rsidRPr="00092862">
        <w:rPr>
          <w:rFonts w:ascii="Times New Roman" w:eastAsia="宋体" w:hAnsi="Times New Roman" w:cs="Times New Roman"/>
          <w:bCs/>
          <w:color w:val="000000" w:themeColor="text1"/>
          <w:sz w:val="24"/>
          <w:szCs w:val="24"/>
        </w:rPr>
        <w:t>后河。</w:t>
      </w:r>
    </w:p>
    <w:p w14:paraId="6413988C" w14:textId="1F74DC23" w:rsidR="004B3162" w:rsidRPr="00092862" w:rsidRDefault="004B3162"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、放喷池</w:t>
      </w:r>
      <w:r w:rsidR="00B42D85" w:rsidRPr="00092862">
        <w:rPr>
          <w:rFonts w:ascii="Times New Roman" w:eastAsia="宋体" w:hAnsi="Times New Roman" w:cs="Times New Roman"/>
          <w:bCs/>
          <w:color w:val="000000" w:themeColor="text1"/>
          <w:sz w:val="24"/>
          <w:szCs w:val="24"/>
        </w:rPr>
        <w:t>及火炬区</w:t>
      </w:r>
      <w:r w:rsidRPr="00092862">
        <w:rPr>
          <w:rFonts w:ascii="Times New Roman" w:eastAsia="宋体" w:hAnsi="Times New Roman" w:cs="Times New Roman"/>
          <w:bCs/>
          <w:color w:val="000000" w:themeColor="text1"/>
          <w:sz w:val="24"/>
          <w:szCs w:val="24"/>
        </w:rPr>
        <w:t>外环境简况</w:t>
      </w:r>
    </w:p>
    <w:p w14:paraId="5ED02D37" w14:textId="2FD0B3FB" w:rsidR="004B3162" w:rsidRPr="00092862" w:rsidRDefault="004570D7"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依托原</w:t>
      </w:r>
      <w:r w:rsidR="003C3238" w:rsidRPr="00092862">
        <w:rPr>
          <w:rFonts w:ascii="Times New Roman" w:eastAsia="宋体" w:hAnsi="Times New Roman" w:cs="Times New Roman"/>
          <w:bCs/>
          <w:color w:val="000000" w:themeColor="text1"/>
          <w:sz w:val="24"/>
          <w:szCs w:val="24"/>
        </w:rPr>
        <w:t>老君</w:t>
      </w:r>
      <w:r w:rsidR="003C3238" w:rsidRPr="00092862">
        <w:rPr>
          <w:rFonts w:ascii="Times New Roman" w:eastAsia="宋体" w:hAnsi="Times New Roman" w:cs="Times New Roman"/>
          <w:bCs/>
          <w:color w:val="000000" w:themeColor="text1"/>
          <w:sz w:val="24"/>
          <w:szCs w:val="24"/>
        </w:rPr>
        <w:t>701</w:t>
      </w:r>
      <w:r w:rsidRPr="00092862">
        <w:rPr>
          <w:rFonts w:ascii="Times New Roman" w:eastAsia="宋体" w:hAnsi="Times New Roman" w:cs="Times New Roman"/>
          <w:bCs/>
          <w:color w:val="000000" w:themeColor="text1"/>
          <w:sz w:val="24"/>
          <w:szCs w:val="24"/>
        </w:rPr>
        <w:t>井</w:t>
      </w:r>
      <w:r w:rsidR="0050517B" w:rsidRPr="00092862">
        <w:rPr>
          <w:rFonts w:ascii="Times New Roman" w:eastAsia="宋体" w:hAnsi="Times New Roman" w:cs="Times New Roman"/>
          <w:bCs/>
          <w:color w:val="000000" w:themeColor="text1"/>
          <w:sz w:val="24"/>
          <w:szCs w:val="24"/>
        </w:rPr>
        <w:t>台</w:t>
      </w:r>
      <w:r w:rsidR="004B3162" w:rsidRPr="00092862">
        <w:rPr>
          <w:rFonts w:ascii="Times New Roman" w:eastAsia="宋体" w:hAnsi="Times New Roman" w:cs="Times New Roman"/>
          <w:bCs/>
          <w:color w:val="000000" w:themeColor="text1"/>
          <w:sz w:val="24"/>
          <w:szCs w:val="24"/>
        </w:rPr>
        <w:t>放喷池</w:t>
      </w:r>
      <w:r w:rsidR="008A00EA" w:rsidRPr="00092862">
        <w:rPr>
          <w:rFonts w:ascii="Times New Roman" w:eastAsia="宋体" w:hAnsi="Times New Roman" w:cs="Times New Roman"/>
          <w:bCs/>
          <w:color w:val="000000" w:themeColor="text1"/>
          <w:sz w:val="24"/>
          <w:szCs w:val="24"/>
        </w:rPr>
        <w:t>2</w:t>
      </w:r>
      <w:r w:rsidR="00D23412" w:rsidRPr="00092862">
        <w:rPr>
          <w:rFonts w:ascii="Times New Roman" w:eastAsia="宋体" w:hAnsi="Times New Roman" w:cs="Times New Roman"/>
          <w:bCs/>
          <w:color w:val="000000" w:themeColor="text1"/>
          <w:sz w:val="24"/>
          <w:szCs w:val="24"/>
        </w:rPr>
        <w:t>座</w:t>
      </w:r>
      <w:r w:rsidR="00CE0918" w:rsidRPr="00092862">
        <w:rPr>
          <w:rFonts w:ascii="Times New Roman" w:eastAsia="宋体" w:hAnsi="Times New Roman" w:cs="Times New Roman"/>
          <w:bCs/>
          <w:color w:val="000000" w:themeColor="text1"/>
          <w:sz w:val="24"/>
          <w:szCs w:val="24"/>
        </w:rPr>
        <w:t>，根据调查，</w:t>
      </w:r>
      <w:r w:rsidR="00A84E4F" w:rsidRPr="00092862">
        <w:rPr>
          <w:rFonts w:ascii="Times New Roman" w:eastAsia="宋体" w:hAnsi="Times New Roman" w:cs="Times New Roman"/>
          <w:bCs/>
          <w:color w:val="000000" w:themeColor="text1"/>
          <w:sz w:val="24"/>
          <w:szCs w:val="24"/>
        </w:rPr>
        <w:t>1#</w:t>
      </w:r>
      <w:r w:rsidR="00CE0918" w:rsidRPr="00092862">
        <w:rPr>
          <w:rFonts w:ascii="Times New Roman" w:eastAsia="宋体" w:hAnsi="Times New Roman" w:cs="Times New Roman"/>
          <w:bCs/>
          <w:color w:val="000000" w:themeColor="text1"/>
          <w:sz w:val="24"/>
          <w:szCs w:val="24"/>
        </w:rPr>
        <w:t>放喷池</w:t>
      </w:r>
      <w:r w:rsidR="004B3162" w:rsidRPr="00092862">
        <w:rPr>
          <w:rFonts w:ascii="Times New Roman" w:eastAsia="宋体" w:hAnsi="Times New Roman" w:cs="Times New Roman"/>
          <w:bCs/>
          <w:color w:val="000000" w:themeColor="text1"/>
          <w:sz w:val="24"/>
          <w:szCs w:val="24"/>
        </w:rPr>
        <w:t>布置</w:t>
      </w:r>
      <w:r w:rsidR="00210DEE" w:rsidRPr="00092862">
        <w:rPr>
          <w:rFonts w:ascii="Times New Roman" w:eastAsia="宋体" w:hAnsi="Times New Roman" w:cs="Times New Roman"/>
          <w:bCs/>
          <w:color w:val="000000" w:themeColor="text1"/>
          <w:sz w:val="24"/>
          <w:szCs w:val="24"/>
        </w:rPr>
        <w:t>在井场外井口</w:t>
      </w:r>
      <w:r w:rsidR="00704BC1" w:rsidRPr="00092862">
        <w:rPr>
          <w:rFonts w:ascii="Times New Roman" w:eastAsia="宋体" w:hAnsi="Times New Roman" w:cs="Times New Roman"/>
          <w:bCs/>
          <w:color w:val="000000" w:themeColor="text1"/>
          <w:sz w:val="24"/>
          <w:szCs w:val="24"/>
        </w:rPr>
        <w:t>西南侧荒地内</w:t>
      </w:r>
      <w:r w:rsidR="00210DEE" w:rsidRPr="00092862">
        <w:rPr>
          <w:rFonts w:ascii="Times New Roman" w:eastAsia="宋体" w:hAnsi="Times New Roman" w:cs="Times New Roman"/>
          <w:bCs/>
          <w:color w:val="000000" w:themeColor="text1"/>
          <w:sz w:val="24"/>
          <w:szCs w:val="24"/>
        </w:rPr>
        <w:t>，</w:t>
      </w:r>
      <w:r w:rsidR="004B3162" w:rsidRPr="00092862">
        <w:rPr>
          <w:rFonts w:ascii="Times New Roman" w:eastAsia="宋体" w:hAnsi="Times New Roman" w:cs="Times New Roman"/>
          <w:bCs/>
          <w:color w:val="000000" w:themeColor="text1"/>
          <w:sz w:val="24"/>
          <w:szCs w:val="24"/>
        </w:rPr>
        <w:t>距离井口约</w:t>
      </w:r>
      <w:r w:rsidR="00704BC1" w:rsidRPr="00092862">
        <w:rPr>
          <w:rFonts w:ascii="Times New Roman" w:eastAsia="宋体" w:hAnsi="Times New Roman" w:cs="Times New Roman"/>
          <w:bCs/>
          <w:color w:val="000000" w:themeColor="text1"/>
          <w:sz w:val="24"/>
          <w:szCs w:val="24"/>
        </w:rPr>
        <w:t>160m</w:t>
      </w:r>
      <w:r w:rsidR="004B3162" w:rsidRPr="00092862">
        <w:rPr>
          <w:rFonts w:ascii="Times New Roman" w:eastAsia="宋体" w:hAnsi="Times New Roman" w:cs="Times New Roman"/>
          <w:bCs/>
          <w:color w:val="000000" w:themeColor="text1"/>
          <w:sz w:val="24"/>
          <w:szCs w:val="24"/>
        </w:rPr>
        <w:t>处</w:t>
      </w:r>
      <w:r w:rsidR="00D23412" w:rsidRPr="00092862">
        <w:rPr>
          <w:rFonts w:ascii="Times New Roman" w:eastAsia="宋体" w:hAnsi="Times New Roman" w:cs="Times New Roman"/>
          <w:bCs/>
          <w:color w:val="000000" w:themeColor="text1"/>
          <w:sz w:val="24"/>
          <w:szCs w:val="24"/>
        </w:rPr>
        <w:t>，</w:t>
      </w:r>
      <w:r w:rsidR="00A84E4F" w:rsidRPr="00092862">
        <w:rPr>
          <w:rFonts w:ascii="Times New Roman" w:eastAsia="宋体" w:hAnsi="Times New Roman" w:cs="Times New Roman"/>
          <w:bCs/>
          <w:color w:val="000000" w:themeColor="text1"/>
          <w:sz w:val="24"/>
          <w:szCs w:val="24"/>
        </w:rPr>
        <w:t>2#</w:t>
      </w:r>
      <w:r w:rsidR="00D23412" w:rsidRPr="00092862">
        <w:rPr>
          <w:rFonts w:ascii="Times New Roman" w:eastAsia="宋体" w:hAnsi="Times New Roman" w:cs="Times New Roman"/>
          <w:bCs/>
          <w:color w:val="000000" w:themeColor="text1"/>
          <w:sz w:val="24"/>
          <w:szCs w:val="24"/>
        </w:rPr>
        <w:t>放喷池布置在井场外井口</w:t>
      </w:r>
      <w:r w:rsidR="00704BC1" w:rsidRPr="00092862">
        <w:rPr>
          <w:rFonts w:ascii="Times New Roman" w:eastAsia="宋体" w:hAnsi="Times New Roman" w:cs="Times New Roman"/>
          <w:bCs/>
          <w:color w:val="000000" w:themeColor="text1"/>
          <w:sz w:val="24"/>
          <w:szCs w:val="24"/>
        </w:rPr>
        <w:t>西侧荒地</w:t>
      </w:r>
      <w:r w:rsidR="00D23412" w:rsidRPr="00092862">
        <w:rPr>
          <w:rFonts w:ascii="Times New Roman" w:eastAsia="宋体" w:hAnsi="Times New Roman" w:cs="Times New Roman"/>
          <w:bCs/>
          <w:color w:val="000000" w:themeColor="text1"/>
          <w:sz w:val="24"/>
          <w:szCs w:val="24"/>
        </w:rPr>
        <w:t>内，距离井口约</w:t>
      </w:r>
      <w:r w:rsidR="00704BC1" w:rsidRPr="00092862">
        <w:rPr>
          <w:rFonts w:ascii="Times New Roman" w:eastAsia="宋体" w:hAnsi="Times New Roman" w:cs="Times New Roman"/>
          <w:bCs/>
          <w:color w:val="000000" w:themeColor="text1"/>
          <w:sz w:val="24"/>
          <w:szCs w:val="24"/>
        </w:rPr>
        <w:t>171m</w:t>
      </w:r>
      <w:r w:rsidR="00D23412" w:rsidRPr="00092862">
        <w:rPr>
          <w:rFonts w:ascii="Times New Roman" w:eastAsia="宋体" w:hAnsi="Times New Roman" w:cs="Times New Roman"/>
          <w:bCs/>
          <w:color w:val="000000" w:themeColor="text1"/>
          <w:sz w:val="24"/>
          <w:szCs w:val="24"/>
        </w:rPr>
        <w:t>处</w:t>
      </w:r>
      <w:r w:rsidR="004B3162" w:rsidRPr="00092862">
        <w:rPr>
          <w:rFonts w:ascii="Times New Roman" w:eastAsia="宋体" w:hAnsi="Times New Roman" w:cs="Times New Roman"/>
          <w:bCs/>
          <w:color w:val="000000" w:themeColor="text1"/>
          <w:sz w:val="24"/>
          <w:szCs w:val="24"/>
        </w:rPr>
        <w:t>，</w:t>
      </w:r>
      <w:r w:rsidR="00FD7270" w:rsidRPr="00092862">
        <w:rPr>
          <w:rFonts w:ascii="Times New Roman" w:eastAsia="宋体" w:hAnsi="Times New Roman" w:cs="Times New Roman"/>
          <w:bCs/>
          <w:color w:val="000000" w:themeColor="text1"/>
          <w:sz w:val="24"/>
        </w:rPr>
        <w:t>区域主导风向为东北风，</w:t>
      </w:r>
      <w:r w:rsidR="004B3162" w:rsidRPr="00092862">
        <w:rPr>
          <w:rFonts w:ascii="Times New Roman" w:eastAsia="宋体" w:hAnsi="Times New Roman" w:cs="Times New Roman"/>
          <w:bCs/>
          <w:color w:val="000000" w:themeColor="text1"/>
          <w:sz w:val="24"/>
          <w:szCs w:val="24"/>
        </w:rPr>
        <w:t>位于井场区域最大风向的</w:t>
      </w:r>
      <w:r w:rsidR="00290AF2" w:rsidRPr="00092862">
        <w:rPr>
          <w:rFonts w:ascii="Times New Roman" w:eastAsia="宋体" w:hAnsi="Times New Roman" w:cs="Times New Roman"/>
          <w:bCs/>
          <w:color w:val="000000" w:themeColor="text1"/>
          <w:sz w:val="24"/>
          <w:szCs w:val="24"/>
        </w:rPr>
        <w:t>侧</w:t>
      </w:r>
      <w:r w:rsidR="004B3162" w:rsidRPr="00092862">
        <w:rPr>
          <w:rFonts w:ascii="Times New Roman" w:eastAsia="宋体" w:hAnsi="Times New Roman" w:cs="Times New Roman"/>
          <w:bCs/>
          <w:color w:val="000000" w:themeColor="text1"/>
          <w:sz w:val="24"/>
          <w:szCs w:val="24"/>
        </w:rPr>
        <w:t>风向。根据现场调查，放喷池周围</w:t>
      </w:r>
      <w:r w:rsidR="004B3162" w:rsidRPr="00092862">
        <w:rPr>
          <w:rFonts w:ascii="Times New Roman" w:eastAsia="宋体" w:hAnsi="Times New Roman" w:cs="Times New Roman"/>
          <w:bCs/>
          <w:color w:val="000000" w:themeColor="text1"/>
          <w:sz w:val="24"/>
          <w:szCs w:val="24"/>
        </w:rPr>
        <w:t>50m</w:t>
      </w:r>
      <w:r w:rsidR="004B3162" w:rsidRPr="00092862">
        <w:rPr>
          <w:rFonts w:ascii="Times New Roman" w:eastAsia="宋体" w:hAnsi="Times New Roman" w:cs="Times New Roman"/>
          <w:bCs/>
          <w:color w:val="000000" w:themeColor="text1"/>
          <w:sz w:val="24"/>
          <w:szCs w:val="24"/>
        </w:rPr>
        <w:t>范围内无民房等各类设施</w:t>
      </w:r>
      <w:r w:rsidR="00FD7270" w:rsidRPr="00092862">
        <w:rPr>
          <w:rFonts w:ascii="Times New Roman" w:eastAsia="宋体" w:hAnsi="Times New Roman" w:cs="Times New Roman"/>
          <w:bCs/>
          <w:color w:val="000000" w:themeColor="text1"/>
          <w:sz w:val="24"/>
          <w:szCs w:val="24"/>
        </w:rPr>
        <w:t>。</w:t>
      </w:r>
      <w:r w:rsidR="00982307" w:rsidRPr="00092862">
        <w:rPr>
          <w:rFonts w:ascii="Times New Roman" w:eastAsia="宋体" w:hAnsi="Times New Roman" w:cs="Times New Roman"/>
          <w:bCs/>
          <w:color w:val="000000" w:themeColor="text1"/>
          <w:sz w:val="24"/>
          <w:szCs w:val="24"/>
        </w:rPr>
        <w:t>1#</w:t>
      </w:r>
      <w:r w:rsidR="004B3162" w:rsidRPr="00092862">
        <w:rPr>
          <w:rFonts w:ascii="Times New Roman" w:eastAsia="宋体" w:hAnsi="Times New Roman" w:cs="Times New Roman"/>
          <w:bCs/>
          <w:color w:val="000000" w:themeColor="text1"/>
          <w:sz w:val="24"/>
          <w:szCs w:val="24"/>
        </w:rPr>
        <w:t>放喷池</w:t>
      </w:r>
      <w:r w:rsidR="00290AF2" w:rsidRPr="00092862">
        <w:rPr>
          <w:rFonts w:ascii="Times New Roman" w:eastAsia="宋体" w:hAnsi="Times New Roman" w:cs="Times New Roman"/>
          <w:bCs/>
          <w:color w:val="000000" w:themeColor="text1"/>
          <w:sz w:val="24"/>
          <w:szCs w:val="24"/>
        </w:rPr>
        <w:t>四周主要为耕地</w:t>
      </w:r>
      <w:r w:rsidR="007A6261" w:rsidRPr="00092862">
        <w:rPr>
          <w:rFonts w:ascii="Times New Roman" w:eastAsia="宋体" w:hAnsi="Times New Roman" w:cs="Times New Roman"/>
          <w:bCs/>
          <w:color w:val="000000" w:themeColor="text1"/>
          <w:sz w:val="24"/>
        </w:rPr>
        <w:t>，</w:t>
      </w:r>
      <w:r w:rsidR="00982307" w:rsidRPr="00092862">
        <w:rPr>
          <w:rFonts w:ascii="Times New Roman" w:eastAsia="宋体" w:hAnsi="Times New Roman" w:cs="Times New Roman"/>
          <w:bCs/>
          <w:color w:val="000000" w:themeColor="text1"/>
          <w:sz w:val="24"/>
          <w:szCs w:val="24"/>
        </w:rPr>
        <w:t>2#</w:t>
      </w:r>
      <w:r w:rsidR="007A6261" w:rsidRPr="00092862">
        <w:rPr>
          <w:rFonts w:ascii="Times New Roman" w:eastAsia="宋体" w:hAnsi="Times New Roman" w:cs="Times New Roman"/>
          <w:bCs/>
          <w:color w:val="000000" w:themeColor="text1"/>
          <w:sz w:val="24"/>
          <w:szCs w:val="24"/>
        </w:rPr>
        <w:t>放喷池</w:t>
      </w:r>
      <w:r w:rsidR="00290AF2" w:rsidRPr="00092862">
        <w:rPr>
          <w:rFonts w:ascii="Times New Roman" w:eastAsia="宋体" w:hAnsi="Times New Roman" w:cs="Times New Roman"/>
          <w:bCs/>
          <w:color w:val="000000" w:themeColor="text1"/>
          <w:sz w:val="24"/>
          <w:szCs w:val="24"/>
        </w:rPr>
        <w:t>南侧有</w:t>
      </w:r>
      <w:r w:rsidR="007A6261" w:rsidRPr="00092862">
        <w:rPr>
          <w:rFonts w:ascii="Times New Roman" w:eastAsia="宋体" w:hAnsi="Times New Roman" w:cs="Times New Roman"/>
          <w:bCs/>
          <w:color w:val="000000" w:themeColor="text1"/>
          <w:sz w:val="24"/>
          <w:szCs w:val="24"/>
        </w:rPr>
        <w:t>小片林木和灌木，放喷池在西、南、</w:t>
      </w:r>
      <w:r w:rsidR="00290AF2" w:rsidRPr="00092862">
        <w:rPr>
          <w:rFonts w:ascii="Times New Roman" w:eastAsia="宋体" w:hAnsi="Times New Roman" w:cs="Times New Roman"/>
          <w:bCs/>
          <w:color w:val="000000" w:themeColor="text1"/>
          <w:sz w:val="24"/>
          <w:szCs w:val="24"/>
        </w:rPr>
        <w:t>东</w:t>
      </w:r>
      <w:r w:rsidR="007A6261" w:rsidRPr="00092862">
        <w:rPr>
          <w:rFonts w:ascii="Times New Roman" w:eastAsia="宋体" w:hAnsi="Times New Roman" w:cs="Times New Roman"/>
          <w:bCs/>
          <w:color w:val="000000" w:themeColor="text1"/>
          <w:sz w:val="24"/>
          <w:szCs w:val="24"/>
        </w:rPr>
        <w:t>三面面</w:t>
      </w:r>
      <w:r w:rsidR="00290AF2" w:rsidRPr="00092862">
        <w:rPr>
          <w:rFonts w:ascii="Times New Roman" w:eastAsia="宋体" w:hAnsi="Times New Roman" w:cs="Times New Roman"/>
          <w:bCs/>
          <w:color w:val="000000" w:themeColor="text1"/>
          <w:sz w:val="24"/>
          <w:szCs w:val="24"/>
        </w:rPr>
        <w:t>均将</w:t>
      </w:r>
      <w:r w:rsidR="007A6261" w:rsidRPr="00092862">
        <w:rPr>
          <w:rFonts w:ascii="Times New Roman" w:eastAsia="宋体" w:hAnsi="Times New Roman" w:cs="Times New Roman"/>
          <w:bCs/>
          <w:color w:val="000000" w:themeColor="text1"/>
          <w:sz w:val="24"/>
          <w:szCs w:val="24"/>
        </w:rPr>
        <w:t>设置挡火墙，</w:t>
      </w:r>
      <w:r w:rsidR="007A6261" w:rsidRPr="00092862">
        <w:rPr>
          <w:rFonts w:ascii="Times New Roman" w:eastAsia="宋体" w:hAnsi="Times New Roman" w:cs="Times New Roman"/>
          <w:bCs/>
          <w:color w:val="000000" w:themeColor="text1"/>
          <w:sz w:val="24"/>
        </w:rPr>
        <w:t>仅在靠近井场较空旷处（放喷池</w:t>
      </w:r>
      <w:r w:rsidR="00290AF2" w:rsidRPr="00092862">
        <w:rPr>
          <w:rFonts w:ascii="Times New Roman" w:eastAsia="宋体" w:hAnsi="Times New Roman" w:cs="Times New Roman"/>
          <w:bCs/>
          <w:color w:val="000000" w:themeColor="text1"/>
          <w:sz w:val="24"/>
        </w:rPr>
        <w:t>北</w:t>
      </w:r>
      <w:r w:rsidR="007A6261" w:rsidRPr="00092862">
        <w:rPr>
          <w:rFonts w:ascii="Times New Roman" w:eastAsia="宋体" w:hAnsi="Times New Roman" w:cs="Times New Roman"/>
          <w:bCs/>
          <w:color w:val="000000" w:themeColor="text1"/>
          <w:sz w:val="24"/>
        </w:rPr>
        <w:t>侧）设置入口；</w:t>
      </w:r>
      <w:r w:rsidR="004B3162" w:rsidRPr="00092862">
        <w:rPr>
          <w:rFonts w:ascii="Times New Roman" w:eastAsia="宋体" w:hAnsi="Times New Roman" w:cs="Times New Roman"/>
          <w:bCs/>
          <w:color w:val="000000" w:themeColor="text1"/>
          <w:sz w:val="24"/>
          <w:szCs w:val="24"/>
        </w:rPr>
        <w:t>在放喷时临时清</w:t>
      </w:r>
      <w:r w:rsidR="004B3162" w:rsidRPr="00092862">
        <w:rPr>
          <w:rFonts w:ascii="Times New Roman" w:eastAsia="宋体" w:hAnsi="Times New Roman" w:cs="Times New Roman"/>
          <w:bCs/>
          <w:color w:val="000000" w:themeColor="text1"/>
          <w:sz w:val="24"/>
          <w:szCs w:val="24"/>
        </w:rPr>
        <w:lastRenderedPageBreak/>
        <w:t>理树林和放喷池之间的易燃物，加强监管，树林距离是满足放喷池防火要求的。周边无珍稀动植物和环境敏感目标。</w:t>
      </w:r>
    </w:p>
    <w:p w14:paraId="2D990202" w14:textId="16033107" w:rsidR="004B3162" w:rsidRPr="00092862" w:rsidRDefault="004B3162"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、井场道路周边外环境简况</w:t>
      </w:r>
    </w:p>
    <w:p w14:paraId="61EEC8F6" w14:textId="3B4CEBFF" w:rsidR="00EB10DE" w:rsidRPr="00092862" w:rsidRDefault="004B3162" w:rsidP="00D72D31">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szCs w:val="24"/>
        </w:rPr>
        <w:t>本</w:t>
      </w:r>
      <w:r w:rsidR="00210DEE" w:rsidRPr="00092862">
        <w:rPr>
          <w:rFonts w:ascii="Times New Roman" w:eastAsia="宋体" w:hAnsi="Times New Roman" w:cs="Times New Roman"/>
          <w:bCs/>
          <w:color w:val="000000" w:themeColor="text1"/>
          <w:sz w:val="24"/>
          <w:szCs w:val="24"/>
        </w:rPr>
        <w:t>项目</w:t>
      </w:r>
      <w:r w:rsidRPr="00092862">
        <w:rPr>
          <w:rFonts w:ascii="Times New Roman" w:eastAsia="宋体" w:hAnsi="Times New Roman" w:cs="Times New Roman"/>
          <w:bCs/>
          <w:color w:val="000000" w:themeColor="text1"/>
          <w:sz w:val="24"/>
          <w:szCs w:val="24"/>
        </w:rPr>
        <w:t>进场道路</w:t>
      </w:r>
      <w:r w:rsidR="00210DEE" w:rsidRPr="00092862">
        <w:rPr>
          <w:rFonts w:ascii="Times New Roman" w:eastAsia="宋体" w:hAnsi="Times New Roman" w:cs="Times New Roman"/>
          <w:bCs/>
          <w:color w:val="000000" w:themeColor="text1"/>
          <w:sz w:val="24"/>
          <w:szCs w:val="24"/>
        </w:rPr>
        <w:t>，位于井场</w:t>
      </w:r>
      <w:r w:rsidR="00704BC1" w:rsidRPr="00092862">
        <w:rPr>
          <w:rFonts w:ascii="Times New Roman" w:eastAsia="宋体" w:hAnsi="Times New Roman" w:cs="Times New Roman"/>
          <w:bCs/>
          <w:color w:val="000000" w:themeColor="text1"/>
          <w:sz w:val="24"/>
          <w:szCs w:val="24"/>
        </w:rPr>
        <w:t>西</w:t>
      </w:r>
      <w:r w:rsidR="00E90DA4" w:rsidRPr="00092862">
        <w:rPr>
          <w:rFonts w:ascii="Times New Roman" w:eastAsia="宋体" w:hAnsi="Times New Roman" w:cs="Times New Roman"/>
          <w:bCs/>
          <w:color w:val="000000" w:themeColor="text1"/>
          <w:sz w:val="24"/>
          <w:szCs w:val="24"/>
        </w:rPr>
        <w:t>南</w:t>
      </w:r>
      <w:r w:rsidR="00210DEE" w:rsidRPr="00092862">
        <w:rPr>
          <w:rFonts w:ascii="Times New Roman" w:eastAsia="宋体" w:hAnsi="Times New Roman" w:cs="Times New Roman"/>
          <w:bCs/>
          <w:color w:val="000000" w:themeColor="text1"/>
          <w:sz w:val="24"/>
          <w:szCs w:val="24"/>
        </w:rPr>
        <w:t>侧，道路</w:t>
      </w:r>
      <w:r w:rsidR="00704BC1" w:rsidRPr="00092862">
        <w:rPr>
          <w:rFonts w:ascii="Times New Roman" w:eastAsia="宋体" w:hAnsi="Times New Roman" w:cs="Times New Roman"/>
          <w:bCs/>
          <w:color w:val="000000" w:themeColor="text1"/>
          <w:sz w:val="24"/>
          <w:szCs w:val="24"/>
        </w:rPr>
        <w:t>两侧</w:t>
      </w:r>
      <w:r w:rsidR="00210DEE" w:rsidRPr="00092862">
        <w:rPr>
          <w:rFonts w:ascii="Times New Roman" w:eastAsia="宋体" w:hAnsi="Times New Roman" w:cs="Times New Roman"/>
          <w:bCs/>
          <w:color w:val="000000" w:themeColor="text1"/>
          <w:sz w:val="24"/>
          <w:szCs w:val="24"/>
        </w:rPr>
        <w:t>分布有</w:t>
      </w:r>
      <w:r w:rsidR="00B42D85" w:rsidRPr="00092862">
        <w:rPr>
          <w:rFonts w:ascii="Times New Roman" w:eastAsia="宋体" w:hAnsi="Times New Roman" w:cs="Times New Roman"/>
          <w:bCs/>
          <w:color w:val="000000" w:themeColor="text1"/>
          <w:sz w:val="24"/>
          <w:szCs w:val="24"/>
        </w:rPr>
        <w:t>林地</w:t>
      </w:r>
      <w:r w:rsidR="00210DEE" w:rsidRPr="00092862">
        <w:rPr>
          <w:rFonts w:ascii="Times New Roman" w:eastAsia="宋体" w:hAnsi="Times New Roman" w:cs="Times New Roman"/>
          <w:bCs/>
          <w:color w:val="000000" w:themeColor="text1"/>
          <w:sz w:val="24"/>
          <w:szCs w:val="24"/>
        </w:rPr>
        <w:t>。</w:t>
      </w:r>
      <w:r w:rsidR="00FD7270" w:rsidRPr="00092862">
        <w:rPr>
          <w:rFonts w:ascii="Times New Roman" w:eastAsia="宋体" w:hAnsi="Times New Roman" w:cs="Times New Roman"/>
          <w:bCs/>
          <w:color w:val="000000" w:themeColor="text1"/>
          <w:sz w:val="24"/>
        </w:rPr>
        <w:t>周边均无珍稀动植物和保护区分布。</w:t>
      </w:r>
    </w:p>
    <w:p w14:paraId="2820FF31" w14:textId="77777777" w:rsidR="00170F8C" w:rsidRPr="00092862" w:rsidRDefault="00170F8C" w:rsidP="00D72D31">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74" w:name="_Toc120173086"/>
      <w:r w:rsidRPr="00092862">
        <w:rPr>
          <w:rFonts w:ascii="Times New Roman" w:eastAsia="黑体" w:hAnsi="Times New Roman"/>
          <w:b w:val="0"/>
          <w:color w:val="000000" w:themeColor="text1"/>
          <w:sz w:val="24"/>
          <w:szCs w:val="24"/>
          <w:lang w:eastAsia="zh-CN"/>
        </w:rPr>
        <w:t>2.9.2</w:t>
      </w:r>
      <w:r w:rsidRPr="00092862">
        <w:rPr>
          <w:rFonts w:ascii="Times New Roman" w:eastAsia="黑体" w:hAnsi="Times New Roman"/>
          <w:b w:val="0"/>
          <w:color w:val="000000" w:themeColor="text1"/>
          <w:sz w:val="24"/>
          <w:szCs w:val="24"/>
          <w:lang w:eastAsia="zh-CN"/>
        </w:rPr>
        <w:t>主要环境保护目标</w:t>
      </w:r>
      <w:bookmarkEnd w:id="74"/>
    </w:p>
    <w:p w14:paraId="14EAC9EE" w14:textId="538D0B77" w:rsidR="00170F8C" w:rsidRPr="00092862" w:rsidRDefault="00170F8C" w:rsidP="00D72D31">
      <w:pPr>
        <w:tabs>
          <w:tab w:val="left" w:pos="0"/>
        </w:tabs>
        <w:adjustRightInd w:val="0"/>
        <w:snapToGrid w:val="0"/>
        <w:spacing w:line="360" w:lineRule="auto"/>
        <w:ind w:firstLineChars="200" w:firstLine="480"/>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 w:val="24"/>
          <w:szCs w:val="24"/>
        </w:rPr>
        <w:t>本项目位于</w:t>
      </w:r>
      <w:r w:rsidR="00AD5561" w:rsidRPr="00092862">
        <w:rPr>
          <w:rFonts w:ascii="Times New Roman" w:eastAsia="宋体" w:hAnsi="Times New Roman" w:cs="Times New Roman"/>
          <w:bCs/>
          <w:color w:val="000000" w:themeColor="text1"/>
          <w:sz w:val="24"/>
          <w:szCs w:val="24"/>
        </w:rPr>
        <w:t>四川省达州市</w:t>
      </w:r>
      <w:r w:rsidR="00BD26E4" w:rsidRPr="00092862">
        <w:rPr>
          <w:rFonts w:ascii="Times New Roman" w:eastAsia="宋体" w:hAnsi="Times New Roman" w:cs="Times New Roman"/>
          <w:bCs/>
          <w:color w:val="000000" w:themeColor="text1"/>
          <w:sz w:val="24"/>
          <w:szCs w:val="24"/>
        </w:rPr>
        <w:t>宣汉县</w:t>
      </w:r>
      <w:r w:rsidR="00215953" w:rsidRPr="00092862">
        <w:rPr>
          <w:rFonts w:ascii="Times New Roman" w:eastAsia="宋体" w:hAnsi="Times New Roman" w:cs="Times New Roman"/>
          <w:bCs/>
          <w:color w:val="000000" w:themeColor="text1"/>
          <w:sz w:val="24"/>
          <w:szCs w:val="24"/>
        </w:rPr>
        <w:t>老君乡古楼村</w:t>
      </w:r>
      <w:r w:rsidR="00E41C25" w:rsidRPr="00092862">
        <w:rPr>
          <w:rFonts w:ascii="Times New Roman" w:eastAsia="宋体" w:hAnsi="Times New Roman" w:cs="Times New Roman"/>
          <w:bCs/>
          <w:color w:val="000000" w:themeColor="text1"/>
          <w:sz w:val="24"/>
          <w:szCs w:val="24"/>
        </w:rPr>
        <w:t>（</w:t>
      </w:r>
      <w:r w:rsidR="004D07D0" w:rsidRPr="00092862">
        <w:rPr>
          <w:rFonts w:ascii="Times New Roman" w:eastAsia="宋体" w:hAnsi="Times New Roman" w:cs="Times New Roman"/>
          <w:bCs/>
          <w:color w:val="000000" w:themeColor="text1"/>
          <w:sz w:val="24"/>
          <w:szCs w:val="24"/>
        </w:rPr>
        <w:t>原老君</w:t>
      </w:r>
      <w:r w:rsidR="004D07D0" w:rsidRPr="00092862">
        <w:rPr>
          <w:rFonts w:ascii="Times New Roman" w:eastAsia="宋体" w:hAnsi="Times New Roman" w:cs="Times New Roman"/>
          <w:bCs/>
          <w:color w:val="000000" w:themeColor="text1"/>
          <w:sz w:val="24"/>
          <w:szCs w:val="24"/>
        </w:rPr>
        <w:t>701</w:t>
      </w:r>
      <w:r w:rsidR="004D07D0" w:rsidRPr="00092862">
        <w:rPr>
          <w:rFonts w:ascii="Times New Roman" w:eastAsia="宋体" w:hAnsi="Times New Roman" w:cs="Times New Roman"/>
          <w:bCs/>
          <w:color w:val="000000" w:themeColor="text1"/>
          <w:sz w:val="24"/>
          <w:szCs w:val="24"/>
        </w:rPr>
        <w:t>集气站旁</w:t>
      </w:r>
      <w:r w:rsidR="00704BC1" w:rsidRPr="00092862">
        <w:rPr>
          <w:rFonts w:ascii="Times New Roman" w:eastAsia="宋体" w:hAnsi="Times New Roman" w:cs="Times New Roman"/>
          <w:bCs/>
          <w:color w:val="000000" w:themeColor="text1"/>
          <w:sz w:val="24"/>
          <w:szCs w:val="24"/>
        </w:rPr>
        <w:t>旁</w:t>
      </w:r>
      <w:r w:rsidR="00E41C25"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，根据前文介绍的外环境关系，本项目外环境关系简单，无环境制约因素，项目与外环境相容。主要环境保护目标见表</w:t>
      </w:r>
      <w:r w:rsidRPr="00092862">
        <w:rPr>
          <w:rFonts w:ascii="Times New Roman" w:eastAsia="宋体" w:hAnsi="Times New Roman" w:cs="Times New Roman"/>
          <w:bCs/>
          <w:color w:val="000000" w:themeColor="text1"/>
          <w:sz w:val="24"/>
          <w:szCs w:val="24"/>
        </w:rPr>
        <w:t>2.9-</w:t>
      </w:r>
      <w:r w:rsidR="002C40AD"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w:t>
      </w:r>
    </w:p>
    <w:p w14:paraId="0E515BBF" w14:textId="3B1B0245" w:rsidR="00E41C25" w:rsidRPr="00092862" w:rsidRDefault="00170F8C"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2.9-</w:t>
      </w:r>
      <w:r w:rsidR="002C40AD" w:rsidRPr="00092862">
        <w:rPr>
          <w:rFonts w:ascii="Times New Roman" w:eastAsia="黑体" w:hAnsi="Times New Roman"/>
          <w:color w:val="000000" w:themeColor="text1"/>
          <w:sz w:val="21"/>
          <w:szCs w:val="21"/>
          <w:lang w:eastAsia="zh-CN"/>
        </w:rPr>
        <w:t>1</w:t>
      </w:r>
      <w:r w:rsidRPr="00092862">
        <w:rPr>
          <w:rFonts w:ascii="Times New Roman" w:eastAsia="黑体" w:hAnsi="Times New Roman"/>
          <w:color w:val="000000" w:themeColor="text1"/>
          <w:sz w:val="21"/>
          <w:szCs w:val="21"/>
          <w:lang w:eastAsia="zh-CN"/>
        </w:rPr>
        <w:t>环境敏感点统计表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861"/>
        <w:gridCol w:w="1182"/>
        <w:gridCol w:w="1626"/>
        <w:gridCol w:w="3817"/>
      </w:tblGrid>
      <w:tr w:rsidR="00697429" w:rsidRPr="00092862" w14:paraId="6C23B62C" w14:textId="77777777" w:rsidTr="009B0D13">
        <w:trPr>
          <w:jc w:val="center"/>
        </w:trPr>
        <w:tc>
          <w:tcPr>
            <w:tcW w:w="736" w:type="dxa"/>
            <w:vAlign w:val="center"/>
          </w:tcPr>
          <w:p w14:paraId="62396F46" w14:textId="77777777" w:rsidR="00E41C25" w:rsidRPr="00092862" w:rsidRDefault="00E41C25"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类别</w:t>
            </w:r>
          </w:p>
        </w:tc>
        <w:tc>
          <w:tcPr>
            <w:tcW w:w="2043" w:type="dxa"/>
            <w:gridSpan w:val="2"/>
            <w:vAlign w:val="center"/>
          </w:tcPr>
          <w:p w14:paraId="506EB5CF" w14:textId="77777777" w:rsidR="00E41C25" w:rsidRPr="00092862" w:rsidRDefault="00E41C25"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方位及距离</w:t>
            </w:r>
          </w:p>
        </w:tc>
        <w:tc>
          <w:tcPr>
            <w:tcW w:w="1626" w:type="dxa"/>
            <w:vAlign w:val="center"/>
          </w:tcPr>
          <w:p w14:paraId="424196D2" w14:textId="77777777" w:rsidR="00E41C25" w:rsidRPr="00092862" w:rsidRDefault="00E41C25"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主要环境敏感点</w:t>
            </w:r>
          </w:p>
        </w:tc>
        <w:tc>
          <w:tcPr>
            <w:tcW w:w="3817" w:type="dxa"/>
            <w:vAlign w:val="center"/>
          </w:tcPr>
          <w:p w14:paraId="6943E136" w14:textId="77777777" w:rsidR="00E41C25" w:rsidRPr="00092862" w:rsidRDefault="00E41C25"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规模及性质</w:t>
            </w:r>
          </w:p>
        </w:tc>
      </w:tr>
      <w:tr w:rsidR="00697429" w:rsidRPr="00092862" w14:paraId="1D2ED7E2" w14:textId="77777777" w:rsidTr="009B0D13">
        <w:trPr>
          <w:jc w:val="center"/>
        </w:trPr>
        <w:tc>
          <w:tcPr>
            <w:tcW w:w="736" w:type="dxa"/>
            <w:vMerge w:val="restart"/>
            <w:vAlign w:val="center"/>
          </w:tcPr>
          <w:p w14:paraId="3110A2DB"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大气</w:t>
            </w:r>
          </w:p>
          <w:p w14:paraId="6644828C"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w:t>
            </w:r>
          </w:p>
        </w:tc>
        <w:tc>
          <w:tcPr>
            <w:tcW w:w="861" w:type="dxa"/>
            <w:vMerge w:val="restart"/>
            <w:vAlign w:val="center"/>
          </w:tcPr>
          <w:p w14:paraId="6D5130A3"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距井口</w:t>
            </w: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范围内</w:t>
            </w:r>
          </w:p>
        </w:tc>
        <w:tc>
          <w:tcPr>
            <w:tcW w:w="1182" w:type="dxa"/>
            <w:vAlign w:val="center"/>
          </w:tcPr>
          <w:p w14:paraId="5EC3E01D"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100m</w:t>
            </w:r>
          </w:p>
        </w:tc>
        <w:tc>
          <w:tcPr>
            <w:tcW w:w="1626" w:type="dxa"/>
            <w:vAlign w:val="center"/>
          </w:tcPr>
          <w:p w14:paraId="1B799EF7"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分散居住农户</w:t>
            </w:r>
          </w:p>
        </w:tc>
        <w:tc>
          <w:tcPr>
            <w:tcW w:w="3817" w:type="dxa"/>
            <w:vAlign w:val="center"/>
          </w:tcPr>
          <w:p w14:paraId="23D428D2" w14:textId="32F51CC0" w:rsidR="008C15CE" w:rsidRPr="00092862" w:rsidRDefault="00733C28"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w:t>
            </w:r>
          </w:p>
        </w:tc>
      </w:tr>
      <w:tr w:rsidR="00697429" w:rsidRPr="00092862" w14:paraId="495A80C8" w14:textId="77777777" w:rsidTr="009B0D13">
        <w:trPr>
          <w:jc w:val="center"/>
        </w:trPr>
        <w:tc>
          <w:tcPr>
            <w:tcW w:w="736" w:type="dxa"/>
            <w:vMerge/>
            <w:vAlign w:val="center"/>
          </w:tcPr>
          <w:p w14:paraId="291CB98B"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861" w:type="dxa"/>
            <w:vMerge/>
            <w:vAlign w:val="center"/>
          </w:tcPr>
          <w:p w14:paraId="4E06C510"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1182" w:type="dxa"/>
            <w:vAlign w:val="center"/>
          </w:tcPr>
          <w:p w14:paraId="74C2E029"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300m</w:t>
            </w:r>
          </w:p>
        </w:tc>
        <w:tc>
          <w:tcPr>
            <w:tcW w:w="1626" w:type="dxa"/>
            <w:vAlign w:val="center"/>
          </w:tcPr>
          <w:p w14:paraId="731E6D91"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分散居住农户</w:t>
            </w:r>
          </w:p>
        </w:tc>
        <w:tc>
          <w:tcPr>
            <w:tcW w:w="3817" w:type="dxa"/>
            <w:vAlign w:val="center"/>
          </w:tcPr>
          <w:p w14:paraId="715E4A6F" w14:textId="7549880D" w:rsidR="008C15CE" w:rsidRPr="00092862" w:rsidRDefault="00733C28"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w:t>
            </w:r>
          </w:p>
        </w:tc>
      </w:tr>
      <w:tr w:rsidR="00697429" w:rsidRPr="00092862" w14:paraId="0DD3649E" w14:textId="77777777" w:rsidTr="009B0D13">
        <w:trPr>
          <w:jc w:val="center"/>
        </w:trPr>
        <w:tc>
          <w:tcPr>
            <w:tcW w:w="736" w:type="dxa"/>
            <w:vMerge/>
            <w:vAlign w:val="center"/>
          </w:tcPr>
          <w:p w14:paraId="300B4742"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861" w:type="dxa"/>
            <w:vMerge/>
            <w:vAlign w:val="center"/>
          </w:tcPr>
          <w:p w14:paraId="3BB97735"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1182" w:type="dxa"/>
            <w:vAlign w:val="center"/>
          </w:tcPr>
          <w:p w14:paraId="551F09FD" w14:textId="3DC2503E"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500m</w:t>
            </w:r>
          </w:p>
        </w:tc>
        <w:tc>
          <w:tcPr>
            <w:tcW w:w="1626" w:type="dxa"/>
            <w:vAlign w:val="center"/>
          </w:tcPr>
          <w:p w14:paraId="22CF11AB"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分散居住农户</w:t>
            </w:r>
          </w:p>
        </w:tc>
        <w:tc>
          <w:tcPr>
            <w:tcW w:w="3817" w:type="dxa"/>
            <w:vAlign w:val="center"/>
          </w:tcPr>
          <w:p w14:paraId="7CE59007" w14:textId="673C1CEB" w:rsidR="008C15CE" w:rsidRPr="00092862" w:rsidRDefault="00E90DA4"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00704BC1"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户</w:t>
            </w:r>
            <w:r w:rsidR="00704BC1" w:rsidRPr="00092862">
              <w:rPr>
                <w:rFonts w:ascii="Times New Roman" w:eastAsia="宋体" w:hAnsi="Times New Roman" w:cs="Times New Roman"/>
                <w:color w:val="000000" w:themeColor="text1"/>
                <w:szCs w:val="21"/>
              </w:rPr>
              <w:t>20</w:t>
            </w:r>
            <w:r w:rsidRPr="00092862">
              <w:rPr>
                <w:rFonts w:ascii="Times New Roman" w:eastAsia="宋体" w:hAnsi="Times New Roman" w:cs="Times New Roman"/>
                <w:color w:val="000000" w:themeColor="text1"/>
                <w:szCs w:val="21"/>
              </w:rPr>
              <w:t>人</w:t>
            </w:r>
            <w:r w:rsidR="00704BC1" w:rsidRPr="00092862">
              <w:rPr>
                <w:rFonts w:ascii="Times New Roman" w:eastAsia="宋体" w:hAnsi="Times New Roman" w:cs="Times New Roman"/>
                <w:color w:val="000000" w:themeColor="text1"/>
                <w:szCs w:val="21"/>
              </w:rPr>
              <w:t>（其中西北侧</w:t>
            </w:r>
            <w:r w:rsidR="00704BC1" w:rsidRPr="00092862">
              <w:rPr>
                <w:rFonts w:ascii="Times New Roman" w:eastAsia="宋体" w:hAnsi="Times New Roman" w:cs="Times New Roman"/>
                <w:color w:val="000000" w:themeColor="text1"/>
                <w:szCs w:val="21"/>
              </w:rPr>
              <w:t>312m</w:t>
            </w:r>
            <w:r w:rsidR="00704BC1" w:rsidRPr="00092862">
              <w:rPr>
                <w:rFonts w:ascii="Times New Roman" w:eastAsia="宋体" w:hAnsi="Times New Roman" w:cs="Times New Roman"/>
                <w:color w:val="000000" w:themeColor="text1"/>
                <w:szCs w:val="21"/>
              </w:rPr>
              <w:t>有</w:t>
            </w:r>
            <w:r w:rsidR="00704BC1" w:rsidRPr="00092862">
              <w:rPr>
                <w:rFonts w:ascii="Times New Roman" w:eastAsia="宋体" w:hAnsi="Times New Roman" w:cs="Times New Roman"/>
                <w:color w:val="000000" w:themeColor="text1"/>
                <w:szCs w:val="21"/>
              </w:rPr>
              <w:t>1</w:t>
            </w:r>
            <w:r w:rsidR="00704BC1" w:rsidRPr="00092862">
              <w:rPr>
                <w:rFonts w:ascii="Times New Roman" w:eastAsia="宋体" w:hAnsi="Times New Roman" w:cs="Times New Roman"/>
                <w:color w:val="000000" w:themeColor="text1"/>
                <w:szCs w:val="21"/>
              </w:rPr>
              <w:t>户农户，西北侧</w:t>
            </w:r>
            <w:r w:rsidR="00704BC1" w:rsidRPr="00092862">
              <w:rPr>
                <w:rFonts w:ascii="Times New Roman" w:eastAsia="宋体" w:hAnsi="Times New Roman" w:cs="Times New Roman"/>
                <w:color w:val="000000" w:themeColor="text1"/>
                <w:szCs w:val="21"/>
              </w:rPr>
              <w:t>416m</w:t>
            </w:r>
            <w:r w:rsidR="00704BC1" w:rsidRPr="00092862">
              <w:rPr>
                <w:rFonts w:ascii="Times New Roman" w:eastAsia="宋体" w:hAnsi="Times New Roman" w:cs="Times New Roman"/>
                <w:color w:val="000000" w:themeColor="text1"/>
                <w:szCs w:val="21"/>
              </w:rPr>
              <w:t>有</w:t>
            </w:r>
            <w:r w:rsidR="00704BC1" w:rsidRPr="00092862">
              <w:rPr>
                <w:rFonts w:ascii="Times New Roman" w:eastAsia="宋体" w:hAnsi="Times New Roman" w:cs="Times New Roman"/>
                <w:color w:val="000000" w:themeColor="text1"/>
                <w:szCs w:val="21"/>
              </w:rPr>
              <w:t>1</w:t>
            </w:r>
            <w:r w:rsidR="00704BC1" w:rsidRPr="00092862">
              <w:rPr>
                <w:rFonts w:ascii="Times New Roman" w:eastAsia="宋体" w:hAnsi="Times New Roman" w:cs="Times New Roman"/>
                <w:color w:val="000000" w:themeColor="text1"/>
                <w:szCs w:val="21"/>
              </w:rPr>
              <w:t>户农户（含</w:t>
            </w:r>
            <w:r w:rsidR="00704BC1" w:rsidRPr="00092862">
              <w:rPr>
                <w:rFonts w:ascii="Times New Roman" w:eastAsia="宋体" w:hAnsi="Times New Roman" w:cs="Times New Roman"/>
                <w:color w:val="000000" w:themeColor="text1"/>
                <w:szCs w:val="21"/>
              </w:rPr>
              <w:t>1</w:t>
            </w:r>
            <w:r w:rsidR="00704BC1" w:rsidRPr="00092862">
              <w:rPr>
                <w:rFonts w:ascii="Times New Roman" w:eastAsia="宋体" w:hAnsi="Times New Roman" w:cs="Times New Roman"/>
                <w:color w:val="000000" w:themeColor="text1"/>
                <w:szCs w:val="21"/>
              </w:rPr>
              <w:t>处养殖场），西北侧</w:t>
            </w:r>
            <w:r w:rsidR="00704BC1" w:rsidRPr="00092862">
              <w:rPr>
                <w:rFonts w:ascii="Times New Roman" w:eastAsia="宋体" w:hAnsi="Times New Roman" w:cs="Times New Roman"/>
                <w:color w:val="000000" w:themeColor="text1"/>
                <w:szCs w:val="21"/>
              </w:rPr>
              <w:t>443m</w:t>
            </w:r>
            <w:r w:rsidR="00704BC1" w:rsidRPr="00092862">
              <w:rPr>
                <w:rFonts w:ascii="Times New Roman" w:eastAsia="宋体" w:hAnsi="Times New Roman" w:cs="Times New Roman"/>
                <w:color w:val="000000" w:themeColor="text1"/>
                <w:szCs w:val="21"/>
              </w:rPr>
              <w:t>有</w:t>
            </w:r>
            <w:r w:rsidR="00704BC1" w:rsidRPr="00092862">
              <w:rPr>
                <w:rFonts w:ascii="Times New Roman" w:eastAsia="宋体" w:hAnsi="Times New Roman" w:cs="Times New Roman"/>
                <w:color w:val="000000" w:themeColor="text1"/>
                <w:szCs w:val="21"/>
              </w:rPr>
              <w:t>1</w:t>
            </w:r>
            <w:r w:rsidR="00704BC1" w:rsidRPr="00092862">
              <w:rPr>
                <w:rFonts w:ascii="Times New Roman" w:eastAsia="宋体" w:hAnsi="Times New Roman" w:cs="Times New Roman"/>
                <w:color w:val="000000" w:themeColor="text1"/>
                <w:szCs w:val="21"/>
              </w:rPr>
              <w:t>户农户，北侧</w:t>
            </w:r>
            <w:r w:rsidR="00704BC1" w:rsidRPr="00092862">
              <w:rPr>
                <w:rFonts w:ascii="Times New Roman" w:eastAsia="宋体" w:hAnsi="Times New Roman" w:cs="Times New Roman"/>
                <w:color w:val="000000" w:themeColor="text1"/>
                <w:szCs w:val="21"/>
              </w:rPr>
              <w:t>410m</w:t>
            </w:r>
            <w:r w:rsidR="00704BC1" w:rsidRPr="00092862">
              <w:rPr>
                <w:rFonts w:ascii="Times New Roman" w:eastAsia="宋体" w:hAnsi="Times New Roman" w:cs="Times New Roman"/>
                <w:color w:val="000000" w:themeColor="text1"/>
                <w:szCs w:val="21"/>
              </w:rPr>
              <w:t>有</w:t>
            </w:r>
            <w:r w:rsidR="00704BC1" w:rsidRPr="00092862">
              <w:rPr>
                <w:rFonts w:ascii="Times New Roman" w:eastAsia="宋体" w:hAnsi="Times New Roman" w:cs="Times New Roman"/>
                <w:color w:val="000000" w:themeColor="text1"/>
                <w:szCs w:val="21"/>
              </w:rPr>
              <w:t>1</w:t>
            </w:r>
            <w:r w:rsidR="00704BC1" w:rsidRPr="00092862">
              <w:rPr>
                <w:rFonts w:ascii="Times New Roman" w:eastAsia="宋体" w:hAnsi="Times New Roman" w:cs="Times New Roman"/>
                <w:color w:val="000000" w:themeColor="text1"/>
                <w:szCs w:val="21"/>
              </w:rPr>
              <w:t>户农户）。</w:t>
            </w:r>
          </w:p>
        </w:tc>
      </w:tr>
      <w:tr w:rsidR="00697429" w:rsidRPr="00092862" w14:paraId="21240667" w14:textId="77777777" w:rsidTr="00C43CC5">
        <w:trPr>
          <w:jc w:val="center"/>
        </w:trPr>
        <w:tc>
          <w:tcPr>
            <w:tcW w:w="736" w:type="dxa"/>
            <w:vMerge/>
            <w:vAlign w:val="center"/>
          </w:tcPr>
          <w:p w14:paraId="2B7DC7A8"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2043" w:type="dxa"/>
            <w:gridSpan w:val="2"/>
            <w:vAlign w:val="center"/>
          </w:tcPr>
          <w:p w14:paraId="14B76A68" w14:textId="6BDB25F3"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井口</w:t>
            </w:r>
            <w:r w:rsidR="00A00128" w:rsidRPr="00092862">
              <w:rPr>
                <w:rFonts w:ascii="Times New Roman" w:eastAsia="宋体" w:hAnsi="Times New Roman" w:cs="Times New Roman"/>
                <w:color w:val="000000" w:themeColor="text1"/>
                <w:szCs w:val="21"/>
              </w:rPr>
              <w:t>北</w:t>
            </w:r>
            <w:r w:rsidRPr="00092862">
              <w:rPr>
                <w:rFonts w:ascii="Times New Roman" w:eastAsia="宋体" w:hAnsi="Times New Roman" w:cs="Times New Roman"/>
                <w:color w:val="000000" w:themeColor="text1"/>
                <w:szCs w:val="21"/>
              </w:rPr>
              <w:t>侧约</w:t>
            </w:r>
            <w:r w:rsidR="00A00128" w:rsidRPr="00092862">
              <w:rPr>
                <w:rFonts w:ascii="Times New Roman" w:eastAsia="宋体" w:hAnsi="Times New Roman" w:cs="Times New Roman"/>
                <w:color w:val="000000" w:themeColor="text1"/>
                <w:szCs w:val="21"/>
              </w:rPr>
              <w:t>50</w:t>
            </w:r>
            <w:r w:rsidR="00704BC1"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m</w:t>
            </w:r>
          </w:p>
        </w:tc>
        <w:tc>
          <w:tcPr>
            <w:tcW w:w="1626" w:type="dxa"/>
            <w:vAlign w:val="center"/>
          </w:tcPr>
          <w:p w14:paraId="5B79D1A0" w14:textId="68D12177" w:rsidR="008C15CE" w:rsidRPr="00092862" w:rsidRDefault="00704BC1"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古楼</w:t>
            </w:r>
            <w:r w:rsidR="00A00128" w:rsidRPr="00092862">
              <w:rPr>
                <w:rFonts w:ascii="Times New Roman" w:eastAsia="宋体" w:hAnsi="Times New Roman" w:cs="Times New Roman"/>
                <w:color w:val="000000" w:themeColor="text1"/>
                <w:szCs w:val="21"/>
              </w:rPr>
              <w:t>村</w:t>
            </w:r>
            <w:r w:rsidR="008C15CE" w:rsidRPr="00092862">
              <w:rPr>
                <w:rFonts w:ascii="Times New Roman" w:eastAsia="宋体" w:hAnsi="Times New Roman" w:cs="Times New Roman"/>
                <w:color w:val="000000" w:themeColor="text1"/>
                <w:szCs w:val="21"/>
              </w:rPr>
              <w:t>民点</w:t>
            </w:r>
          </w:p>
        </w:tc>
        <w:tc>
          <w:tcPr>
            <w:tcW w:w="3817" w:type="dxa"/>
            <w:vAlign w:val="center"/>
          </w:tcPr>
          <w:p w14:paraId="6B6BC9A7" w14:textId="7FB48EBB" w:rsidR="008C15CE" w:rsidRPr="00092862" w:rsidRDefault="00700700"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00704BC1"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户</w:t>
            </w:r>
            <w:r w:rsidR="00704BC1" w:rsidRPr="00092862">
              <w:rPr>
                <w:rFonts w:ascii="Times New Roman" w:eastAsia="宋体" w:hAnsi="Times New Roman" w:cs="Times New Roman"/>
                <w:color w:val="000000" w:themeColor="text1"/>
                <w:szCs w:val="21"/>
              </w:rPr>
              <w:t>12</w:t>
            </w:r>
            <w:r w:rsidRPr="00092862">
              <w:rPr>
                <w:rFonts w:ascii="Times New Roman" w:eastAsia="宋体" w:hAnsi="Times New Roman" w:cs="Times New Roman"/>
                <w:color w:val="000000" w:themeColor="text1"/>
                <w:szCs w:val="21"/>
              </w:rPr>
              <w:t>人</w:t>
            </w:r>
          </w:p>
        </w:tc>
      </w:tr>
      <w:tr w:rsidR="00697429" w:rsidRPr="00092862" w14:paraId="486913D5" w14:textId="77777777" w:rsidTr="00C43CC5">
        <w:trPr>
          <w:jc w:val="center"/>
        </w:trPr>
        <w:tc>
          <w:tcPr>
            <w:tcW w:w="736" w:type="dxa"/>
            <w:vMerge/>
            <w:vAlign w:val="center"/>
          </w:tcPr>
          <w:p w14:paraId="28E18C7E"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2043" w:type="dxa"/>
            <w:gridSpan w:val="2"/>
            <w:vAlign w:val="center"/>
          </w:tcPr>
          <w:p w14:paraId="6FD77359" w14:textId="6853CABE"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井口</w:t>
            </w:r>
            <w:r w:rsidR="00A00128" w:rsidRPr="00092862">
              <w:rPr>
                <w:rFonts w:ascii="Times New Roman" w:eastAsia="宋体" w:hAnsi="Times New Roman" w:cs="Times New Roman"/>
                <w:color w:val="000000" w:themeColor="text1"/>
                <w:szCs w:val="21"/>
              </w:rPr>
              <w:t>东北</w:t>
            </w:r>
            <w:r w:rsidRPr="00092862">
              <w:rPr>
                <w:rFonts w:ascii="Times New Roman" w:eastAsia="宋体" w:hAnsi="Times New Roman" w:cs="Times New Roman"/>
                <w:color w:val="000000" w:themeColor="text1"/>
                <w:szCs w:val="21"/>
              </w:rPr>
              <w:t>侧约</w:t>
            </w:r>
            <w:r w:rsidR="00704BC1" w:rsidRPr="00092862">
              <w:rPr>
                <w:rFonts w:ascii="Times New Roman" w:eastAsia="宋体" w:hAnsi="Times New Roman" w:cs="Times New Roman"/>
                <w:color w:val="000000" w:themeColor="text1"/>
                <w:szCs w:val="21"/>
              </w:rPr>
              <w:t>920~2500</w:t>
            </w:r>
            <w:r w:rsidRPr="00092862">
              <w:rPr>
                <w:rFonts w:ascii="Times New Roman" w:eastAsia="宋体" w:hAnsi="Times New Roman" w:cs="Times New Roman"/>
                <w:color w:val="000000" w:themeColor="text1"/>
                <w:szCs w:val="21"/>
              </w:rPr>
              <w:t>m</w:t>
            </w:r>
          </w:p>
        </w:tc>
        <w:tc>
          <w:tcPr>
            <w:tcW w:w="1626" w:type="dxa"/>
            <w:vAlign w:val="center"/>
          </w:tcPr>
          <w:p w14:paraId="3771094E" w14:textId="0BEB3016" w:rsidR="008C15CE" w:rsidRPr="00092862" w:rsidRDefault="00704BC1"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毛鸭子</w:t>
            </w:r>
            <w:r w:rsidR="008C15CE" w:rsidRPr="00092862">
              <w:rPr>
                <w:rFonts w:ascii="Times New Roman" w:eastAsia="宋体" w:hAnsi="Times New Roman" w:cs="Times New Roman"/>
                <w:color w:val="000000" w:themeColor="text1"/>
                <w:szCs w:val="21"/>
              </w:rPr>
              <w:t>村民点</w:t>
            </w:r>
          </w:p>
        </w:tc>
        <w:tc>
          <w:tcPr>
            <w:tcW w:w="3817" w:type="dxa"/>
            <w:vAlign w:val="center"/>
          </w:tcPr>
          <w:p w14:paraId="067EC570" w14:textId="24E795B7" w:rsidR="008C15CE" w:rsidRPr="00092862" w:rsidRDefault="00B203B6"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00704BC1" w:rsidRPr="00092862">
              <w:rPr>
                <w:rFonts w:ascii="Times New Roman" w:eastAsia="宋体" w:hAnsi="Times New Roman" w:cs="Times New Roman"/>
                <w:color w:val="000000" w:themeColor="text1"/>
                <w:szCs w:val="21"/>
              </w:rPr>
              <w:t>120</w:t>
            </w:r>
            <w:r w:rsidRPr="00092862">
              <w:rPr>
                <w:rFonts w:ascii="Times New Roman" w:eastAsia="宋体" w:hAnsi="Times New Roman" w:cs="Times New Roman"/>
                <w:color w:val="000000" w:themeColor="text1"/>
                <w:szCs w:val="21"/>
              </w:rPr>
              <w:t>户</w:t>
            </w:r>
            <w:r w:rsidR="00704BC1"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00</w:t>
            </w:r>
            <w:r w:rsidRPr="00092862">
              <w:rPr>
                <w:rFonts w:ascii="Times New Roman" w:eastAsia="宋体" w:hAnsi="Times New Roman" w:cs="Times New Roman"/>
                <w:color w:val="000000" w:themeColor="text1"/>
                <w:szCs w:val="21"/>
              </w:rPr>
              <w:t>人</w:t>
            </w:r>
          </w:p>
        </w:tc>
      </w:tr>
      <w:tr w:rsidR="00697429" w:rsidRPr="00092862" w14:paraId="70B9AAF0" w14:textId="77777777" w:rsidTr="00C43CC5">
        <w:trPr>
          <w:jc w:val="center"/>
        </w:trPr>
        <w:tc>
          <w:tcPr>
            <w:tcW w:w="736" w:type="dxa"/>
            <w:vMerge/>
            <w:vAlign w:val="center"/>
          </w:tcPr>
          <w:p w14:paraId="70D13E4A"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2043" w:type="dxa"/>
            <w:gridSpan w:val="2"/>
            <w:vAlign w:val="center"/>
          </w:tcPr>
          <w:p w14:paraId="264F92BF" w14:textId="1AF84D91"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井口</w:t>
            </w:r>
            <w:r w:rsidR="00A00128" w:rsidRPr="00092862">
              <w:rPr>
                <w:rFonts w:ascii="Times New Roman" w:eastAsia="宋体" w:hAnsi="Times New Roman" w:cs="Times New Roman"/>
                <w:color w:val="000000" w:themeColor="text1"/>
                <w:szCs w:val="21"/>
              </w:rPr>
              <w:t>东</w:t>
            </w:r>
            <w:r w:rsidR="00704BC1" w:rsidRPr="00092862">
              <w:rPr>
                <w:rFonts w:ascii="Times New Roman" w:eastAsia="宋体" w:hAnsi="Times New Roman" w:cs="Times New Roman"/>
                <w:color w:val="000000" w:themeColor="text1"/>
                <w:szCs w:val="21"/>
              </w:rPr>
              <w:t>北</w:t>
            </w:r>
            <w:r w:rsidRPr="00092862">
              <w:rPr>
                <w:rFonts w:ascii="Times New Roman" w:eastAsia="宋体" w:hAnsi="Times New Roman" w:cs="Times New Roman"/>
                <w:color w:val="000000" w:themeColor="text1"/>
                <w:szCs w:val="21"/>
              </w:rPr>
              <w:t>侧约</w:t>
            </w:r>
            <w:r w:rsidR="00A00128" w:rsidRPr="00092862">
              <w:rPr>
                <w:rFonts w:ascii="Times New Roman" w:eastAsia="宋体" w:hAnsi="Times New Roman" w:cs="Times New Roman"/>
                <w:color w:val="000000" w:themeColor="text1"/>
                <w:szCs w:val="21"/>
              </w:rPr>
              <w:t>1</w:t>
            </w:r>
            <w:r w:rsidR="00704BC1" w:rsidRPr="00092862">
              <w:rPr>
                <w:rFonts w:ascii="Times New Roman" w:eastAsia="宋体" w:hAnsi="Times New Roman" w:cs="Times New Roman"/>
                <w:color w:val="000000" w:themeColor="text1"/>
                <w:szCs w:val="21"/>
              </w:rPr>
              <w:t>80</w:t>
            </w:r>
            <w:r w:rsidR="00A00128" w:rsidRPr="00092862">
              <w:rPr>
                <w:rFonts w:ascii="Times New Roman" w:eastAsia="宋体" w:hAnsi="Times New Roman" w:cs="Times New Roman"/>
                <w:color w:val="000000" w:themeColor="text1"/>
                <w:szCs w:val="21"/>
              </w:rPr>
              <w:t>0</w:t>
            </w:r>
            <w:r w:rsidR="00704BC1" w:rsidRPr="00092862">
              <w:rPr>
                <w:rFonts w:ascii="Times New Roman" w:eastAsia="宋体" w:hAnsi="Times New Roman" w:cs="Times New Roman"/>
                <w:color w:val="000000" w:themeColor="text1"/>
                <w:szCs w:val="21"/>
              </w:rPr>
              <w:t>~2500</w:t>
            </w:r>
            <w:r w:rsidRPr="00092862">
              <w:rPr>
                <w:rFonts w:ascii="Times New Roman" w:eastAsia="宋体" w:hAnsi="Times New Roman" w:cs="Times New Roman"/>
                <w:color w:val="000000" w:themeColor="text1"/>
                <w:szCs w:val="21"/>
              </w:rPr>
              <w:t>m</w:t>
            </w:r>
          </w:p>
        </w:tc>
        <w:tc>
          <w:tcPr>
            <w:tcW w:w="1626" w:type="dxa"/>
            <w:vAlign w:val="center"/>
          </w:tcPr>
          <w:p w14:paraId="55BD7896" w14:textId="1B1FA9A2" w:rsidR="008C15CE" w:rsidRPr="00092862" w:rsidRDefault="00704BC1"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毛鸭子村民点</w:t>
            </w:r>
          </w:p>
        </w:tc>
        <w:tc>
          <w:tcPr>
            <w:tcW w:w="3817" w:type="dxa"/>
            <w:vAlign w:val="center"/>
          </w:tcPr>
          <w:p w14:paraId="60C7EC1B" w14:textId="19308919" w:rsidR="008C15CE" w:rsidRPr="00092862" w:rsidRDefault="00700700"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00704BC1" w:rsidRPr="00092862">
              <w:rPr>
                <w:rFonts w:ascii="Times New Roman" w:eastAsia="宋体" w:hAnsi="Times New Roman" w:cs="Times New Roman"/>
                <w:color w:val="000000" w:themeColor="text1"/>
                <w:szCs w:val="21"/>
              </w:rPr>
              <w:t>40</w:t>
            </w:r>
            <w:r w:rsidRPr="00092862">
              <w:rPr>
                <w:rFonts w:ascii="Times New Roman" w:eastAsia="宋体" w:hAnsi="Times New Roman" w:cs="Times New Roman"/>
                <w:color w:val="000000" w:themeColor="text1"/>
                <w:szCs w:val="21"/>
              </w:rPr>
              <w:t>户</w:t>
            </w:r>
            <w:r w:rsidR="00704BC1" w:rsidRPr="00092862">
              <w:rPr>
                <w:rFonts w:ascii="Times New Roman" w:eastAsia="宋体" w:hAnsi="Times New Roman" w:cs="Times New Roman"/>
                <w:color w:val="000000" w:themeColor="text1"/>
                <w:szCs w:val="21"/>
              </w:rPr>
              <w:t>16</w:t>
            </w:r>
            <w:r w:rsidRPr="00092862">
              <w:rPr>
                <w:rFonts w:ascii="Times New Roman" w:eastAsia="宋体" w:hAnsi="Times New Roman" w:cs="Times New Roman"/>
                <w:color w:val="000000" w:themeColor="text1"/>
                <w:szCs w:val="21"/>
              </w:rPr>
              <w:t>0</w:t>
            </w:r>
            <w:r w:rsidRPr="00092862">
              <w:rPr>
                <w:rFonts w:ascii="Times New Roman" w:eastAsia="宋体" w:hAnsi="Times New Roman" w:cs="Times New Roman"/>
                <w:color w:val="000000" w:themeColor="text1"/>
                <w:szCs w:val="21"/>
              </w:rPr>
              <w:t>人</w:t>
            </w:r>
          </w:p>
        </w:tc>
      </w:tr>
      <w:tr w:rsidR="00697429" w:rsidRPr="00092862" w14:paraId="50112B98" w14:textId="77777777" w:rsidTr="00A87A8D">
        <w:trPr>
          <w:jc w:val="center"/>
        </w:trPr>
        <w:tc>
          <w:tcPr>
            <w:tcW w:w="736" w:type="dxa"/>
            <w:vMerge/>
            <w:vAlign w:val="center"/>
          </w:tcPr>
          <w:p w14:paraId="3C26F567" w14:textId="77777777"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p>
        </w:tc>
        <w:tc>
          <w:tcPr>
            <w:tcW w:w="2043" w:type="dxa"/>
            <w:gridSpan w:val="2"/>
            <w:vAlign w:val="center"/>
          </w:tcPr>
          <w:p w14:paraId="6F659AC0" w14:textId="5CA87210" w:rsidR="008C15CE" w:rsidRPr="00092862" w:rsidRDefault="008C15CE"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井口</w:t>
            </w:r>
            <w:r w:rsidR="00704BC1" w:rsidRPr="00092862">
              <w:rPr>
                <w:rFonts w:ascii="Times New Roman" w:eastAsia="宋体" w:hAnsi="Times New Roman" w:cs="Times New Roman"/>
                <w:color w:val="000000" w:themeColor="text1"/>
                <w:szCs w:val="21"/>
              </w:rPr>
              <w:t>西</w:t>
            </w:r>
            <w:r w:rsidRPr="00092862">
              <w:rPr>
                <w:rFonts w:ascii="Times New Roman" w:eastAsia="宋体" w:hAnsi="Times New Roman" w:cs="Times New Roman"/>
                <w:color w:val="000000" w:themeColor="text1"/>
                <w:szCs w:val="21"/>
              </w:rPr>
              <w:t>侧约</w:t>
            </w:r>
            <w:r w:rsidR="00704BC1" w:rsidRPr="00092862">
              <w:rPr>
                <w:rFonts w:ascii="Times New Roman" w:eastAsia="宋体" w:hAnsi="Times New Roman" w:cs="Times New Roman"/>
                <w:color w:val="000000" w:themeColor="text1"/>
                <w:szCs w:val="21"/>
              </w:rPr>
              <w:t>2100~2500</w:t>
            </w:r>
            <w:r w:rsidRPr="00092862">
              <w:rPr>
                <w:rFonts w:ascii="Times New Roman" w:eastAsia="宋体" w:hAnsi="Times New Roman" w:cs="Times New Roman"/>
                <w:color w:val="000000" w:themeColor="text1"/>
                <w:szCs w:val="21"/>
              </w:rPr>
              <w:t>m</w:t>
            </w:r>
          </w:p>
        </w:tc>
        <w:tc>
          <w:tcPr>
            <w:tcW w:w="1626" w:type="dxa"/>
            <w:vAlign w:val="center"/>
          </w:tcPr>
          <w:p w14:paraId="27EEA752" w14:textId="1D63F7C9" w:rsidR="008C15CE" w:rsidRPr="00092862" w:rsidRDefault="008A61C5"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铁尖</w:t>
            </w:r>
            <w:r w:rsidR="008C15CE" w:rsidRPr="00092862">
              <w:rPr>
                <w:rFonts w:ascii="Times New Roman" w:eastAsia="宋体" w:hAnsi="Times New Roman" w:cs="Times New Roman"/>
                <w:color w:val="000000" w:themeColor="text1"/>
                <w:szCs w:val="21"/>
              </w:rPr>
              <w:t>村村民点</w:t>
            </w:r>
          </w:p>
        </w:tc>
        <w:tc>
          <w:tcPr>
            <w:tcW w:w="3817" w:type="dxa"/>
            <w:vAlign w:val="center"/>
          </w:tcPr>
          <w:p w14:paraId="0995BA1A" w14:textId="1E177B37" w:rsidR="008C15CE" w:rsidRPr="00092862" w:rsidRDefault="00700700"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008A61C5"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0</w:t>
            </w:r>
            <w:r w:rsidRPr="00092862">
              <w:rPr>
                <w:rFonts w:ascii="Times New Roman" w:eastAsia="宋体" w:hAnsi="Times New Roman" w:cs="Times New Roman"/>
                <w:color w:val="000000" w:themeColor="text1"/>
                <w:szCs w:val="21"/>
              </w:rPr>
              <w:t>户</w:t>
            </w:r>
            <w:r w:rsidR="008A61C5" w:rsidRPr="00092862">
              <w:rPr>
                <w:rFonts w:ascii="Times New Roman" w:eastAsia="宋体" w:hAnsi="Times New Roman" w:cs="Times New Roman"/>
                <w:color w:val="000000" w:themeColor="text1"/>
                <w:szCs w:val="21"/>
              </w:rPr>
              <w:t>8</w:t>
            </w:r>
            <w:r w:rsidRPr="00092862">
              <w:rPr>
                <w:rFonts w:ascii="Times New Roman" w:eastAsia="宋体" w:hAnsi="Times New Roman" w:cs="Times New Roman"/>
                <w:color w:val="000000" w:themeColor="text1"/>
                <w:szCs w:val="21"/>
              </w:rPr>
              <w:t>0</w:t>
            </w:r>
            <w:r w:rsidRPr="00092862">
              <w:rPr>
                <w:rFonts w:ascii="Times New Roman" w:eastAsia="宋体" w:hAnsi="Times New Roman" w:cs="Times New Roman"/>
                <w:color w:val="000000" w:themeColor="text1"/>
                <w:szCs w:val="21"/>
              </w:rPr>
              <w:t>人</w:t>
            </w:r>
          </w:p>
        </w:tc>
      </w:tr>
      <w:tr w:rsidR="00697429" w:rsidRPr="00092862" w14:paraId="2F840FAE" w14:textId="77777777" w:rsidTr="00A87A8D">
        <w:trPr>
          <w:jc w:val="center"/>
        </w:trPr>
        <w:tc>
          <w:tcPr>
            <w:tcW w:w="736" w:type="dxa"/>
            <w:vMerge/>
            <w:vAlign w:val="center"/>
          </w:tcPr>
          <w:p w14:paraId="527507D2" w14:textId="77777777" w:rsidR="008A61C5" w:rsidRPr="00092862" w:rsidRDefault="008A61C5" w:rsidP="00E41C25">
            <w:pPr>
              <w:adjustRightInd w:val="0"/>
              <w:snapToGrid w:val="0"/>
              <w:jc w:val="center"/>
              <w:rPr>
                <w:rFonts w:ascii="Times New Roman" w:eastAsia="宋体" w:hAnsi="Times New Roman" w:cs="Times New Roman"/>
                <w:color w:val="000000" w:themeColor="text1"/>
                <w:szCs w:val="21"/>
              </w:rPr>
            </w:pPr>
          </w:p>
        </w:tc>
        <w:tc>
          <w:tcPr>
            <w:tcW w:w="2043" w:type="dxa"/>
            <w:gridSpan w:val="2"/>
            <w:vAlign w:val="center"/>
          </w:tcPr>
          <w:p w14:paraId="6EB9E6DE" w14:textId="5620D7C5" w:rsidR="008A61C5" w:rsidRPr="00092862" w:rsidRDefault="008A61C5"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井口南侧约</w:t>
            </w:r>
            <w:r w:rsidR="004D07D0" w:rsidRPr="00092862">
              <w:rPr>
                <w:rFonts w:ascii="Times New Roman" w:eastAsia="宋体" w:hAnsi="Times New Roman" w:cs="Times New Roman"/>
                <w:color w:val="000000" w:themeColor="text1"/>
                <w:szCs w:val="21"/>
              </w:rPr>
              <w:t>16</w:t>
            </w:r>
            <w:r w:rsidRPr="00092862">
              <w:rPr>
                <w:rFonts w:ascii="Times New Roman" w:eastAsia="宋体" w:hAnsi="Times New Roman" w:cs="Times New Roman"/>
                <w:color w:val="000000" w:themeColor="text1"/>
                <w:szCs w:val="21"/>
              </w:rPr>
              <w:t>00</w:t>
            </w:r>
            <w:r w:rsidR="004D07D0" w:rsidRPr="00092862">
              <w:rPr>
                <w:rFonts w:ascii="Times New Roman" w:eastAsia="宋体" w:hAnsi="Times New Roman" w:cs="Times New Roman"/>
                <w:color w:val="000000" w:themeColor="text1"/>
                <w:szCs w:val="21"/>
              </w:rPr>
              <w:t>~2500</w:t>
            </w:r>
            <w:r w:rsidRPr="00092862">
              <w:rPr>
                <w:rFonts w:ascii="Times New Roman" w:eastAsia="宋体" w:hAnsi="Times New Roman" w:cs="Times New Roman"/>
                <w:color w:val="000000" w:themeColor="text1"/>
                <w:szCs w:val="21"/>
              </w:rPr>
              <w:t>m</w:t>
            </w:r>
          </w:p>
        </w:tc>
        <w:tc>
          <w:tcPr>
            <w:tcW w:w="1626" w:type="dxa"/>
            <w:vAlign w:val="center"/>
          </w:tcPr>
          <w:p w14:paraId="6CDABBD8" w14:textId="3B21CC31" w:rsidR="008A61C5" w:rsidRPr="00092862" w:rsidRDefault="004D07D0"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磨坪</w:t>
            </w:r>
            <w:r w:rsidR="008A61C5" w:rsidRPr="00092862">
              <w:rPr>
                <w:rFonts w:ascii="Times New Roman" w:eastAsia="宋体" w:hAnsi="Times New Roman" w:cs="Times New Roman"/>
                <w:color w:val="000000" w:themeColor="text1"/>
                <w:szCs w:val="21"/>
              </w:rPr>
              <w:t>村民点</w:t>
            </w:r>
          </w:p>
        </w:tc>
        <w:tc>
          <w:tcPr>
            <w:tcW w:w="3817" w:type="dxa"/>
            <w:vAlign w:val="center"/>
          </w:tcPr>
          <w:p w14:paraId="1E654E93" w14:textId="29C6762B" w:rsidR="008A61C5" w:rsidRPr="00092862" w:rsidRDefault="00B203B6" w:rsidP="00E41C2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004D07D0" w:rsidRPr="00092862">
              <w:rPr>
                <w:rFonts w:ascii="Times New Roman" w:eastAsia="宋体" w:hAnsi="Times New Roman" w:cs="Times New Roman"/>
                <w:color w:val="000000" w:themeColor="text1"/>
                <w:szCs w:val="21"/>
              </w:rPr>
              <w:t>90</w:t>
            </w:r>
            <w:r w:rsidRPr="00092862">
              <w:rPr>
                <w:rFonts w:ascii="Times New Roman" w:eastAsia="宋体" w:hAnsi="Times New Roman" w:cs="Times New Roman"/>
                <w:color w:val="000000" w:themeColor="text1"/>
                <w:szCs w:val="21"/>
              </w:rPr>
              <w:t>户</w:t>
            </w:r>
            <w:r w:rsidR="004D07D0" w:rsidRPr="00092862">
              <w:rPr>
                <w:rFonts w:ascii="Times New Roman" w:eastAsia="宋体" w:hAnsi="Times New Roman" w:cs="Times New Roman"/>
                <w:color w:val="000000" w:themeColor="text1"/>
                <w:szCs w:val="21"/>
              </w:rPr>
              <w:t>360</w:t>
            </w:r>
            <w:r w:rsidRPr="00092862">
              <w:rPr>
                <w:rFonts w:ascii="Times New Roman" w:eastAsia="宋体" w:hAnsi="Times New Roman" w:cs="Times New Roman"/>
                <w:color w:val="000000" w:themeColor="text1"/>
                <w:szCs w:val="21"/>
              </w:rPr>
              <w:t>人</w:t>
            </w:r>
          </w:p>
        </w:tc>
      </w:tr>
      <w:tr w:rsidR="00697429" w:rsidRPr="00092862" w14:paraId="205AFF61" w14:textId="77777777" w:rsidTr="009B0D13">
        <w:trPr>
          <w:jc w:val="center"/>
        </w:trPr>
        <w:tc>
          <w:tcPr>
            <w:tcW w:w="736" w:type="dxa"/>
            <w:vMerge w:val="restart"/>
            <w:vAlign w:val="center"/>
          </w:tcPr>
          <w:p w14:paraId="01C7AF7C" w14:textId="77777777" w:rsidR="00B203B6" w:rsidRPr="00092862" w:rsidRDefault="00B203B6"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地下水环境</w:t>
            </w:r>
          </w:p>
        </w:tc>
        <w:tc>
          <w:tcPr>
            <w:tcW w:w="2043" w:type="dxa"/>
            <w:gridSpan w:val="2"/>
            <w:vAlign w:val="center"/>
          </w:tcPr>
          <w:p w14:paraId="64A3D05B" w14:textId="77777777" w:rsidR="00B203B6" w:rsidRPr="00092862" w:rsidRDefault="00B203B6"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距井口</w:t>
            </w: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范围内</w:t>
            </w:r>
          </w:p>
        </w:tc>
        <w:tc>
          <w:tcPr>
            <w:tcW w:w="1626" w:type="dxa"/>
            <w:vAlign w:val="center"/>
          </w:tcPr>
          <w:p w14:paraId="7B7D289F" w14:textId="77777777" w:rsidR="00B203B6" w:rsidRPr="00092862" w:rsidRDefault="00B203B6"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农户饮用水井</w:t>
            </w:r>
          </w:p>
        </w:tc>
        <w:tc>
          <w:tcPr>
            <w:tcW w:w="3817" w:type="dxa"/>
            <w:vAlign w:val="center"/>
          </w:tcPr>
          <w:p w14:paraId="0B8C4C62" w14:textId="23451FBA" w:rsidR="00B203B6" w:rsidRPr="00092862" w:rsidRDefault="004D07D0"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约</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口水井</w:t>
            </w:r>
          </w:p>
        </w:tc>
      </w:tr>
      <w:tr w:rsidR="00697429" w:rsidRPr="00092862" w14:paraId="3A1DD626" w14:textId="77777777" w:rsidTr="009B0D13">
        <w:trPr>
          <w:jc w:val="center"/>
        </w:trPr>
        <w:tc>
          <w:tcPr>
            <w:tcW w:w="736" w:type="dxa"/>
            <w:vMerge/>
            <w:vAlign w:val="center"/>
          </w:tcPr>
          <w:p w14:paraId="5E03F36B" w14:textId="77777777" w:rsidR="00B203B6" w:rsidRPr="00092862" w:rsidRDefault="00B203B6" w:rsidP="00B203B6">
            <w:pPr>
              <w:adjustRightInd w:val="0"/>
              <w:snapToGrid w:val="0"/>
              <w:jc w:val="center"/>
              <w:rPr>
                <w:rFonts w:ascii="Times New Roman" w:eastAsia="宋体" w:hAnsi="Times New Roman" w:cs="Times New Roman"/>
                <w:color w:val="000000" w:themeColor="text1"/>
                <w:szCs w:val="21"/>
              </w:rPr>
            </w:pPr>
          </w:p>
        </w:tc>
        <w:tc>
          <w:tcPr>
            <w:tcW w:w="2043" w:type="dxa"/>
            <w:gridSpan w:val="2"/>
            <w:vAlign w:val="center"/>
          </w:tcPr>
          <w:p w14:paraId="589E3F23" w14:textId="4B340C46" w:rsidR="00B203B6" w:rsidRPr="00092862" w:rsidRDefault="00E44693"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地下水评价范围</w:t>
            </w:r>
          </w:p>
        </w:tc>
        <w:tc>
          <w:tcPr>
            <w:tcW w:w="1626" w:type="dxa"/>
            <w:vAlign w:val="center"/>
          </w:tcPr>
          <w:p w14:paraId="49E917CD" w14:textId="5809BA0F" w:rsidR="00B203B6" w:rsidRPr="00092862" w:rsidRDefault="00E44693"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具有饮用功能的潜水</w:t>
            </w:r>
          </w:p>
        </w:tc>
        <w:tc>
          <w:tcPr>
            <w:tcW w:w="3817" w:type="dxa"/>
            <w:vAlign w:val="center"/>
          </w:tcPr>
          <w:p w14:paraId="0E42F781" w14:textId="5B0A46D5" w:rsidR="00B203B6" w:rsidRPr="00092862" w:rsidRDefault="00E44693" w:rsidP="00B203B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其环境功能类别不因项目建设而受影响</w:t>
            </w:r>
          </w:p>
        </w:tc>
      </w:tr>
      <w:tr w:rsidR="00697429" w:rsidRPr="00092862" w14:paraId="0126D36B" w14:textId="77777777" w:rsidTr="009B0D13">
        <w:trPr>
          <w:jc w:val="center"/>
        </w:trPr>
        <w:tc>
          <w:tcPr>
            <w:tcW w:w="736" w:type="dxa"/>
            <w:vAlign w:val="center"/>
          </w:tcPr>
          <w:p w14:paraId="16A3A13F" w14:textId="77777777" w:rsidR="004D07D0" w:rsidRPr="00092862" w:rsidRDefault="004D07D0" w:rsidP="004D07D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地表水环境</w:t>
            </w:r>
          </w:p>
        </w:tc>
        <w:tc>
          <w:tcPr>
            <w:tcW w:w="2043" w:type="dxa"/>
            <w:gridSpan w:val="2"/>
            <w:vAlign w:val="center"/>
          </w:tcPr>
          <w:p w14:paraId="1E6DA4A9" w14:textId="35B78323" w:rsidR="004D07D0" w:rsidRPr="00092862" w:rsidRDefault="004D07D0" w:rsidP="004D07D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平台西侧</w:t>
            </w:r>
            <w:r w:rsidRPr="00092862">
              <w:rPr>
                <w:rFonts w:ascii="Times New Roman" w:eastAsia="宋体" w:hAnsi="Times New Roman" w:cs="Times New Roman"/>
                <w:color w:val="000000" w:themeColor="text1"/>
                <w:szCs w:val="21"/>
              </w:rPr>
              <w:t>2.6km</w:t>
            </w:r>
          </w:p>
        </w:tc>
        <w:tc>
          <w:tcPr>
            <w:tcW w:w="1626" w:type="dxa"/>
            <w:vAlign w:val="center"/>
          </w:tcPr>
          <w:p w14:paraId="6F52B8C4" w14:textId="5388AD6F" w:rsidR="004D07D0" w:rsidRPr="00092862" w:rsidRDefault="004D07D0" w:rsidP="004D07D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后河</w:t>
            </w:r>
          </w:p>
        </w:tc>
        <w:tc>
          <w:tcPr>
            <w:tcW w:w="3817" w:type="dxa"/>
            <w:vAlign w:val="center"/>
          </w:tcPr>
          <w:p w14:paraId="53871B15" w14:textId="67CF4BB1" w:rsidR="004D07D0" w:rsidRPr="00092862" w:rsidRDefault="004D07D0" w:rsidP="004D07D0">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河宽约</w:t>
            </w:r>
            <w:r w:rsidRPr="00092862">
              <w:rPr>
                <w:rFonts w:ascii="Times New Roman" w:hAnsi="Times New Roman"/>
                <w:color w:val="000000" w:themeColor="text1"/>
                <w:szCs w:val="21"/>
              </w:rPr>
              <w:t>60m</w:t>
            </w:r>
            <w:r w:rsidRPr="00092862">
              <w:rPr>
                <w:rFonts w:ascii="Times New Roman" w:hAnsi="Times New Roman"/>
                <w:color w:val="000000" w:themeColor="text1"/>
                <w:szCs w:val="21"/>
              </w:rPr>
              <w:t>，项目所在区域水域功能主要为灌溉泄洪，最近处与项目井口高程差</w:t>
            </w:r>
            <w:r w:rsidRPr="00092862">
              <w:rPr>
                <w:rFonts w:ascii="Times New Roman" w:hAnsi="Times New Roman"/>
                <w:color w:val="000000" w:themeColor="text1"/>
                <w:szCs w:val="21"/>
              </w:rPr>
              <w:t>-439m</w:t>
            </w:r>
          </w:p>
        </w:tc>
      </w:tr>
      <w:tr w:rsidR="00697429" w:rsidRPr="00092862" w14:paraId="7EE6C0E7" w14:textId="77777777" w:rsidTr="00C748CB">
        <w:trPr>
          <w:jc w:val="center"/>
        </w:trPr>
        <w:tc>
          <w:tcPr>
            <w:tcW w:w="736" w:type="dxa"/>
            <w:vAlign w:val="center"/>
          </w:tcPr>
          <w:p w14:paraId="7254B246" w14:textId="77777777" w:rsidR="00733C28" w:rsidRPr="00092862" w:rsidRDefault="00733C28"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声环境</w:t>
            </w:r>
          </w:p>
        </w:tc>
        <w:tc>
          <w:tcPr>
            <w:tcW w:w="2043" w:type="dxa"/>
            <w:gridSpan w:val="2"/>
            <w:vAlign w:val="center"/>
          </w:tcPr>
          <w:p w14:paraId="076D7777" w14:textId="256CAFEE" w:rsidR="00733C28" w:rsidRPr="00092862" w:rsidRDefault="00733C28"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w:t>
            </w:r>
            <w:r w:rsidRPr="00092862">
              <w:rPr>
                <w:rFonts w:ascii="Times New Roman" w:eastAsia="宋体" w:hAnsi="Times New Roman" w:cs="Times New Roman"/>
                <w:color w:val="000000" w:themeColor="text1"/>
                <w:szCs w:val="21"/>
              </w:rPr>
              <w:t>200m</w:t>
            </w:r>
            <w:r w:rsidRPr="00092862">
              <w:rPr>
                <w:rFonts w:ascii="Times New Roman" w:eastAsia="宋体" w:hAnsi="Times New Roman" w:cs="Times New Roman"/>
                <w:color w:val="000000" w:themeColor="text1"/>
                <w:szCs w:val="21"/>
              </w:rPr>
              <w:t>范围内</w:t>
            </w:r>
          </w:p>
        </w:tc>
        <w:tc>
          <w:tcPr>
            <w:tcW w:w="1626" w:type="dxa"/>
            <w:vAlign w:val="center"/>
          </w:tcPr>
          <w:p w14:paraId="0D8CBB8B" w14:textId="046DC7DC" w:rsidR="00733C28" w:rsidRPr="00092862" w:rsidRDefault="00733C28"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分散居住农户</w:t>
            </w:r>
          </w:p>
        </w:tc>
        <w:tc>
          <w:tcPr>
            <w:tcW w:w="3817" w:type="dxa"/>
            <w:vAlign w:val="center"/>
          </w:tcPr>
          <w:p w14:paraId="6B037685" w14:textId="33F10034" w:rsidR="00733C28" w:rsidRPr="00092862" w:rsidRDefault="00733C28"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w:t>
            </w:r>
          </w:p>
        </w:tc>
      </w:tr>
      <w:tr w:rsidR="00697429" w:rsidRPr="00092862" w14:paraId="7F979282" w14:textId="77777777" w:rsidTr="009B0D13">
        <w:trPr>
          <w:jc w:val="center"/>
        </w:trPr>
        <w:tc>
          <w:tcPr>
            <w:tcW w:w="736" w:type="dxa"/>
            <w:vAlign w:val="center"/>
          </w:tcPr>
          <w:p w14:paraId="44923A4B" w14:textId="77777777" w:rsidR="00E44693" w:rsidRPr="00092862" w:rsidRDefault="00E446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w:t>
            </w:r>
          </w:p>
          <w:p w14:paraId="38D31CDF" w14:textId="77777777" w:rsidR="00E44693" w:rsidRPr="00092862" w:rsidRDefault="00E446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w:t>
            </w:r>
          </w:p>
        </w:tc>
        <w:tc>
          <w:tcPr>
            <w:tcW w:w="2043" w:type="dxa"/>
            <w:gridSpan w:val="2"/>
            <w:vAlign w:val="center"/>
          </w:tcPr>
          <w:p w14:paraId="160777BF" w14:textId="4CA9D13B" w:rsidR="00E44693" w:rsidRPr="00092862" w:rsidRDefault="004737AC"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w:t>
            </w:r>
            <w:r w:rsidR="00E44693" w:rsidRPr="00092862">
              <w:rPr>
                <w:rFonts w:ascii="Times New Roman" w:eastAsia="宋体" w:hAnsi="Times New Roman" w:cs="Times New Roman"/>
                <w:color w:val="000000" w:themeColor="text1"/>
                <w:szCs w:val="21"/>
              </w:rPr>
              <w:t>周围</w:t>
            </w:r>
            <w:r w:rsidR="0002567D" w:rsidRPr="00092862">
              <w:rPr>
                <w:rFonts w:ascii="Times New Roman" w:eastAsia="宋体" w:hAnsi="Times New Roman" w:cs="Times New Roman"/>
                <w:color w:val="000000" w:themeColor="text1"/>
                <w:szCs w:val="21"/>
              </w:rPr>
              <w:t>20</w:t>
            </w:r>
            <w:r w:rsidR="00E44693" w:rsidRPr="00092862">
              <w:rPr>
                <w:rFonts w:ascii="Times New Roman" w:eastAsia="宋体" w:hAnsi="Times New Roman" w:cs="Times New Roman"/>
                <w:color w:val="000000" w:themeColor="text1"/>
                <w:szCs w:val="21"/>
              </w:rPr>
              <w:t>00m</w:t>
            </w:r>
            <w:r w:rsidR="00E44693" w:rsidRPr="00092862">
              <w:rPr>
                <w:rFonts w:ascii="Times New Roman" w:eastAsia="宋体" w:hAnsi="Times New Roman" w:cs="Times New Roman"/>
                <w:color w:val="000000" w:themeColor="text1"/>
                <w:szCs w:val="21"/>
              </w:rPr>
              <w:t>范围内</w:t>
            </w:r>
          </w:p>
        </w:tc>
        <w:tc>
          <w:tcPr>
            <w:tcW w:w="1626" w:type="dxa"/>
            <w:vAlign w:val="center"/>
          </w:tcPr>
          <w:p w14:paraId="3789A0F8" w14:textId="513DAA28" w:rsidR="00E44693" w:rsidRPr="00092862" w:rsidRDefault="00E446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林木</w:t>
            </w:r>
            <w:r w:rsidR="00655393" w:rsidRPr="00092862">
              <w:rPr>
                <w:rFonts w:ascii="Times New Roman" w:eastAsia="宋体" w:hAnsi="Times New Roman" w:cs="Times New Roman"/>
                <w:color w:val="000000" w:themeColor="text1"/>
                <w:szCs w:val="21"/>
              </w:rPr>
              <w:t>、耕地</w:t>
            </w:r>
            <w:r w:rsidRPr="00092862">
              <w:rPr>
                <w:rFonts w:ascii="Times New Roman" w:eastAsia="宋体" w:hAnsi="Times New Roman" w:cs="Times New Roman"/>
                <w:color w:val="000000" w:themeColor="text1"/>
                <w:szCs w:val="21"/>
              </w:rPr>
              <w:t>、公益林</w:t>
            </w:r>
            <w:r w:rsidR="001E350D" w:rsidRPr="00092862">
              <w:rPr>
                <w:rFonts w:ascii="Times New Roman" w:eastAsia="宋体" w:hAnsi="Times New Roman" w:cs="Times New Roman"/>
                <w:color w:val="000000" w:themeColor="text1"/>
                <w:szCs w:val="21"/>
              </w:rPr>
              <w:t>（最近处位于井场</w:t>
            </w:r>
            <w:r w:rsidR="004D07D0" w:rsidRPr="00092862">
              <w:rPr>
                <w:rFonts w:ascii="Times New Roman" w:eastAsia="宋体" w:hAnsi="Times New Roman" w:cs="Times New Roman"/>
                <w:color w:val="000000" w:themeColor="text1"/>
                <w:szCs w:val="21"/>
              </w:rPr>
              <w:t>东</w:t>
            </w:r>
            <w:r w:rsidR="001E350D" w:rsidRPr="00092862">
              <w:rPr>
                <w:rFonts w:ascii="Times New Roman" w:eastAsia="宋体" w:hAnsi="Times New Roman" w:cs="Times New Roman"/>
                <w:color w:val="000000" w:themeColor="text1"/>
                <w:szCs w:val="21"/>
              </w:rPr>
              <w:t>侧，距离井场约</w:t>
            </w:r>
            <w:r w:rsidR="004D07D0" w:rsidRPr="00092862">
              <w:rPr>
                <w:rFonts w:ascii="Times New Roman" w:eastAsia="宋体" w:hAnsi="Times New Roman" w:cs="Times New Roman"/>
                <w:color w:val="000000" w:themeColor="text1"/>
                <w:szCs w:val="21"/>
              </w:rPr>
              <w:t>18</w:t>
            </w:r>
            <w:r w:rsidR="001E350D" w:rsidRPr="00092862">
              <w:rPr>
                <w:rFonts w:ascii="Times New Roman" w:eastAsia="宋体" w:hAnsi="Times New Roman" w:cs="Times New Roman"/>
                <w:color w:val="000000" w:themeColor="text1"/>
                <w:szCs w:val="21"/>
              </w:rPr>
              <w:t>0m</w:t>
            </w:r>
            <w:r w:rsidR="001E350D" w:rsidRPr="00092862">
              <w:rPr>
                <w:rFonts w:ascii="Times New Roman" w:eastAsia="宋体" w:hAnsi="Times New Roman" w:cs="Times New Roman"/>
                <w:color w:val="000000" w:themeColor="text1"/>
                <w:szCs w:val="21"/>
              </w:rPr>
              <w:t>）</w:t>
            </w:r>
            <w:r w:rsidR="007274B4" w:rsidRPr="00092862">
              <w:rPr>
                <w:rFonts w:ascii="Times New Roman" w:eastAsia="宋体" w:hAnsi="Times New Roman" w:cs="Times New Roman"/>
                <w:color w:val="000000" w:themeColor="text1"/>
                <w:szCs w:val="21"/>
              </w:rPr>
              <w:t>、动植物等</w:t>
            </w:r>
          </w:p>
        </w:tc>
        <w:tc>
          <w:tcPr>
            <w:tcW w:w="3817" w:type="dxa"/>
            <w:vAlign w:val="center"/>
          </w:tcPr>
          <w:p w14:paraId="35F127FB" w14:textId="77777777" w:rsidR="00E44693" w:rsidRPr="00092862" w:rsidRDefault="00E446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满足当地生态环境功能区划的要求</w:t>
            </w:r>
          </w:p>
        </w:tc>
      </w:tr>
      <w:tr w:rsidR="00697429" w:rsidRPr="00092862" w14:paraId="64AFFD2B" w14:textId="77777777" w:rsidTr="009B0D13">
        <w:trPr>
          <w:jc w:val="center"/>
        </w:trPr>
        <w:tc>
          <w:tcPr>
            <w:tcW w:w="736" w:type="dxa"/>
            <w:vAlign w:val="center"/>
          </w:tcPr>
          <w:p w14:paraId="74DC8C9E" w14:textId="77777777" w:rsidR="00E44693" w:rsidRPr="00092862" w:rsidRDefault="00E446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w:t>
            </w:r>
            <w:r w:rsidRPr="00092862">
              <w:rPr>
                <w:rFonts w:ascii="Times New Roman" w:eastAsia="宋体" w:hAnsi="Times New Roman" w:cs="Times New Roman"/>
                <w:color w:val="000000" w:themeColor="text1"/>
                <w:szCs w:val="21"/>
              </w:rPr>
              <w:lastRenderedPageBreak/>
              <w:t>风险</w:t>
            </w:r>
          </w:p>
        </w:tc>
        <w:tc>
          <w:tcPr>
            <w:tcW w:w="2043" w:type="dxa"/>
            <w:gridSpan w:val="2"/>
            <w:vAlign w:val="center"/>
          </w:tcPr>
          <w:p w14:paraId="4C0B924B" w14:textId="44DE807D" w:rsidR="00E44693" w:rsidRPr="00092862" w:rsidRDefault="004737AC"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厂界</w:t>
            </w:r>
            <w:r w:rsidR="00655393" w:rsidRPr="00092862">
              <w:rPr>
                <w:rFonts w:ascii="Times New Roman" w:eastAsia="宋体" w:hAnsi="Times New Roman" w:cs="Times New Roman"/>
                <w:bCs/>
                <w:color w:val="000000" w:themeColor="text1"/>
                <w:szCs w:val="21"/>
              </w:rPr>
              <w:t>四周</w:t>
            </w:r>
            <w:r w:rsidR="001E350D" w:rsidRPr="00092862">
              <w:rPr>
                <w:rFonts w:ascii="Times New Roman" w:eastAsia="宋体" w:hAnsi="Times New Roman" w:cs="Times New Roman"/>
                <w:bCs/>
                <w:color w:val="000000" w:themeColor="text1"/>
                <w:szCs w:val="21"/>
              </w:rPr>
              <w:t>5</w:t>
            </w:r>
            <w:r w:rsidR="00655393" w:rsidRPr="00092862">
              <w:rPr>
                <w:rFonts w:ascii="Times New Roman" w:eastAsia="宋体" w:hAnsi="Times New Roman" w:cs="Times New Roman"/>
                <w:bCs/>
                <w:color w:val="000000" w:themeColor="text1"/>
                <w:szCs w:val="21"/>
              </w:rPr>
              <w:t>km</w:t>
            </w:r>
            <w:r w:rsidR="00655393" w:rsidRPr="00092862">
              <w:rPr>
                <w:rFonts w:ascii="Times New Roman" w:eastAsia="宋体" w:hAnsi="Times New Roman" w:cs="Times New Roman"/>
                <w:bCs/>
                <w:color w:val="000000" w:themeColor="text1"/>
                <w:szCs w:val="21"/>
              </w:rPr>
              <w:t>范围</w:t>
            </w:r>
          </w:p>
        </w:tc>
        <w:tc>
          <w:tcPr>
            <w:tcW w:w="1626" w:type="dxa"/>
            <w:vAlign w:val="center"/>
          </w:tcPr>
          <w:p w14:paraId="72F81BB0" w14:textId="3CFB26D3" w:rsidR="00E44693" w:rsidRPr="00092862" w:rsidRDefault="006553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周边较为集中</w:t>
            </w:r>
            <w:r w:rsidRPr="00092862">
              <w:rPr>
                <w:rFonts w:ascii="Times New Roman" w:eastAsia="宋体" w:hAnsi="Times New Roman" w:cs="Times New Roman"/>
                <w:color w:val="000000" w:themeColor="text1"/>
                <w:szCs w:val="21"/>
              </w:rPr>
              <w:lastRenderedPageBreak/>
              <w:t>居民点</w:t>
            </w:r>
          </w:p>
        </w:tc>
        <w:tc>
          <w:tcPr>
            <w:tcW w:w="3817" w:type="dxa"/>
            <w:vAlign w:val="center"/>
          </w:tcPr>
          <w:p w14:paraId="334B23FA" w14:textId="66833D6E" w:rsidR="00E44693" w:rsidRPr="00092862" w:rsidRDefault="001E350D"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详见后文表</w:t>
            </w:r>
            <w:r w:rsidRPr="00092862">
              <w:rPr>
                <w:rFonts w:ascii="Times New Roman" w:eastAsia="宋体" w:hAnsi="Times New Roman" w:cs="Times New Roman"/>
                <w:color w:val="000000" w:themeColor="text1"/>
                <w:szCs w:val="21"/>
              </w:rPr>
              <w:t>6.4-3</w:t>
            </w:r>
          </w:p>
        </w:tc>
      </w:tr>
      <w:tr w:rsidR="00697429" w:rsidRPr="00092862" w14:paraId="42C2671C" w14:textId="77777777" w:rsidTr="009B0D13">
        <w:trPr>
          <w:jc w:val="center"/>
        </w:trPr>
        <w:tc>
          <w:tcPr>
            <w:tcW w:w="736" w:type="dxa"/>
            <w:vAlign w:val="center"/>
          </w:tcPr>
          <w:p w14:paraId="232B5C84" w14:textId="406FAE60" w:rsidR="00E44693" w:rsidRPr="00092862" w:rsidRDefault="00E44693"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土壤环境</w:t>
            </w:r>
          </w:p>
        </w:tc>
        <w:tc>
          <w:tcPr>
            <w:tcW w:w="2043" w:type="dxa"/>
            <w:gridSpan w:val="2"/>
            <w:vAlign w:val="center"/>
          </w:tcPr>
          <w:p w14:paraId="5189016E" w14:textId="4B701719" w:rsidR="00E44693" w:rsidRPr="00092862" w:rsidRDefault="004737AC"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w:t>
            </w:r>
            <w:r w:rsidR="00655393" w:rsidRPr="00092862">
              <w:rPr>
                <w:rFonts w:ascii="Times New Roman" w:eastAsia="宋体" w:hAnsi="Times New Roman" w:cs="Times New Roman"/>
                <w:color w:val="000000" w:themeColor="text1"/>
                <w:szCs w:val="21"/>
              </w:rPr>
              <w:t>四周</w:t>
            </w:r>
            <w:r w:rsidR="00E44693" w:rsidRPr="00092862">
              <w:rPr>
                <w:rFonts w:ascii="Times New Roman" w:eastAsia="宋体" w:hAnsi="Times New Roman" w:cs="Times New Roman"/>
                <w:color w:val="000000" w:themeColor="text1"/>
                <w:szCs w:val="21"/>
              </w:rPr>
              <w:t>200m</w:t>
            </w:r>
            <w:r w:rsidR="00E44693" w:rsidRPr="00092862">
              <w:rPr>
                <w:rFonts w:ascii="Times New Roman" w:eastAsia="宋体" w:hAnsi="Times New Roman" w:cs="Times New Roman"/>
                <w:color w:val="000000" w:themeColor="text1"/>
                <w:szCs w:val="21"/>
              </w:rPr>
              <w:t>范围内</w:t>
            </w:r>
          </w:p>
        </w:tc>
        <w:tc>
          <w:tcPr>
            <w:tcW w:w="1626" w:type="dxa"/>
            <w:vAlign w:val="center"/>
          </w:tcPr>
          <w:p w14:paraId="1008ABC3" w14:textId="72B4958A" w:rsidR="00E44693" w:rsidRPr="00092862" w:rsidRDefault="004737AC"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耕地</w:t>
            </w:r>
          </w:p>
        </w:tc>
        <w:tc>
          <w:tcPr>
            <w:tcW w:w="3817" w:type="dxa"/>
            <w:vAlign w:val="center"/>
          </w:tcPr>
          <w:p w14:paraId="37B2004D" w14:textId="0C59EFAF" w:rsidR="00E44693" w:rsidRPr="00092862" w:rsidRDefault="004737AC" w:rsidP="00E4469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200m</w:t>
            </w:r>
            <w:r w:rsidRPr="00092862">
              <w:rPr>
                <w:rFonts w:ascii="Times New Roman" w:eastAsia="宋体" w:hAnsi="Times New Roman" w:cs="Times New Roman"/>
                <w:color w:val="000000" w:themeColor="text1"/>
                <w:szCs w:val="21"/>
              </w:rPr>
              <w:t>范围内的耕地</w:t>
            </w:r>
          </w:p>
        </w:tc>
      </w:tr>
    </w:tbl>
    <w:p w14:paraId="7D59716E" w14:textId="77777777" w:rsidR="00DC446C" w:rsidRPr="00092862" w:rsidRDefault="003B1968" w:rsidP="003D2EEB">
      <w:pPr>
        <w:pStyle w:val="2"/>
        <w:keepNext w:val="0"/>
        <w:keepLines w:val="0"/>
        <w:widowControl w:val="0"/>
        <w:kinsoku w:val="0"/>
        <w:spacing w:beforeLines="50" w:before="120"/>
        <w:ind w:firstLine="480"/>
        <w:rPr>
          <w:color w:val="000000" w:themeColor="text1"/>
          <w:szCs w:val="24"/>
          <w:lang w:eastAsia="zh-CN"/>
        </w:rPr>
      </w:pPr>
      <w:bookmarkStart w:id="75" w:name="_Toc123682529"/>
      <w:r w:rsidRPr="00092862">
        <w:rPr>
          <w:color w:val="000000" w:themeColor="text1"/>
          <w:szCs w:val="24"/>
          <w:lang w:eastAsia="zh-CN"/>
        </w:rPr>
        <w:t>2.10</w:t>
      </w:r>
      <w:r w:rsidRPr="00092862">
        <w:rPr>
          <w:color w:val="000000" w:themeColor="text1"/>
          <w:szCs w:val="24"/>
          <w:lang w:eastAsia="zh-CN"/>
        </w:rPr>
        <w:t>工程方案的合理性分析</w:t>
      </w:r>
      <w:bookmarkEnd w:id="75"/>
    </w:p>
    <w:p w14:paraId="6B618B55"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76" w:name="_Toc120173088"/>
      <w:r w:rsidRPr="00092862">
        <w:rPr>
          <w:rFonts w:ascii="Times New Roman" w:eastAsia="黑体" w:hAnsi="Times New Roman"/>
          <w:b w:val="0"/>
          <w:color w:val="000000" w:themeColor="text1"/>
          <w:sz w:val="24"/>
          <w:szCs w:val="24"/>
          <w:lang w:eastAsia="zh-CN"/>
        </w:rPr>
        <w:t>2.10.1</w:t>
      </w:r>
      <w:r w:rsidRPr="00092862">
        <w:rPr>
          <w:rFonts w:ascii="Times New Roman" w:eastAsia="黑体" w:hAnsi="Times New Roman"/>
          <w:b w:val="0"/>
          <w:color w:val="000000" w:themeColor="text1"/>
          <w:sz w:val="24"/>
          <w:szCs w:val="24"/>
          <w:lang w:eastAsia="zh-CN"/>
        </w:rPr>
        <w:t>项目选址合理性分析</w:t>
      </w:r>
      <w:bookmarkEnd w:id="76"/>
    </w:p>
    <w:p w14:paraId="182B3E2F" w14:textId="5D165801" w:rsidR="00CE0918" w:rsidRPr="00092862" w:rsidRDefault="00CE0918" w:rsidP="00795CAD">
      <w:pPr>
        <w:tabs>
          <w:tab w:val="left" w:pos="0"/>
        </w:tabs>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根据《钻前工程及井场布置技术要求</w:t>
      </w:r>
      <w:r w:rsidRPr="00092862">
        <w:rPr>
          <w:rFonts w:ascii="Times New Roman" w:eastAsia="宋体" w:hAnsi="Times New Roman" w:cs="Times New Roman"/>
          <w:bCs/>
          <w:color w:val="000000" w:themeColor="text1"/>
          <w:sz w:val="24"/>
          <w:szCs w:val="24"/>
        </w:rPr>
        <w:t>SY/T5466-2013</w:t>
      </w:r>
      <w:r w:rsidRPr="00092862">
        <w:rPr>
          <w:rFonts w:ascii="Times New Roman" w:eastAsia="宋体" w:hAnsi="Times New Roman" w:cs="Times New Roman"/>
          <w:bCs/>
          <w:color w:val="000000" w:themeColor="text1"/>
          <w:sz w:val="24"/>
          <w:szCs w:val="24"/>
        </w:rPr>
        <w:t>》、《石油天然气钻井井控技术规范》（</w:t>
      </w:r>
      <w:r w:rsidRPr="00092862">
        <w:rPr>
          <w:rFonts w:ascii="Times New Roman" w:eastAsia="宋体" w:hAnsi="Times New Roman" w:cs="Times New Roman"/>
          <w:bCs/>
          <w:color w:val="000000" w:themeColor="text1"/>
          <w:sz w:val="24"/>
          <w:szCs w:val="24"/>
        </w:rPr>
        <w:t>GB/T 31033-2014</w:t>
      </w:r>
      <w:r w:rsidRPr="00092862">
        <w:rPr>
          <w:rFonts w:ascii="Times New Roman" w:eastAsia="宋体" w:hAnsi="Times New Roman" w:cs="Times New Roman"/>
          <w:bCs/>
          <w:color w:val="000000" w:themeColor="text1"/>
          <w:sz w:val="24"/>
          <w:szCs w:val="24"/>
        </w:rPr>
        <w:t>）、《钻井井控技术规程》</w:t>
      </w:r>
      <w:r w:rsidRPr="00092862">
        <w:rPr>
          <w:rFonts w:ascii="Times New Roman" w:eastAsia="宋体" w:hAnsi="Times New Roman" w:cs="Times New Roman"/>
          <w:bCs/>
          <w:color w:val="000000" w:themeColor="text1"/>
          <w:sz w:val="24"/>
          <w:szCs w:val="24"/>
        </w:rPr>
        <w:t>(SY/T6426-2005)</w:t>
      </w:r>
      <w:r w:rsidRPr="00092862">
        <w:rPr>
          <w:rFonts w:ascii="Times New Roman" w:eastAsia="宋体" w:hAnsi="Times New Roman" w:cs="Times New Roman"/>
          <w:bCs/>
          <w:color w:val="000000" w:themeColor="text1"/>
          <w:sz w:val="24"/>
          <w:szCs w:val="24"/>
        </w:rPr>
        <w:t>等规定：油气井井口距高压线及其他永久性设施不小于</w:t>
      </w:r>
      <w:r w:rsidRPr="00092862">
        <w:rPr>
          <w:rFonts w:ascii="Times New Roman" w:eastAsia="宋体" w:hAnsi="Times New Roman" w:cs="Times New Roman"/>
          <w:bCs/>
          <w:color w:val="000000" w:themeColor="text1"/>
          <w:sz w:val="24"/>
          <w:szCs w:val="24"/>
        </w:rPr>
        <w:t>75m</w:t>
      </w:r>
      <w:r w:rsidRPr="00092862">
        <w:rPr>
          <w:rFonts w:ascii="Times New Roman" w:eastAsia="宋体" w:hAnsi="Times New Roman" w:cs="Times New Roman"/>
          <w:bCs/>
          <w:color w:val="000000" w:themeColor="text1"/>
          <w:sz w:val="24"/>
          <w:szCs w:val="24"/>
        </w:rPr>
        <w:t>，距民宅不小于</w:t>
      </w:r>
      <w:r w:rsidRPr="00092862">
        <w:rPr>
          <w:rFonts w:ascii="Times New Roman" w:eastAsia="宋体" w:hAnsi="Times New Roman" w:cs="Times New Roman"/>
          <w:bCs/>
          <w:color w:val="000000" w:themeColor="text1"/>
          <w:sz w:val="24"/>
          <w:szCs w:val="24"/>
        </w:rPr>
        <w:t>100m</w:t>
      </w:r>
      <w:r w:rsidRPr="00092862">
        <w:rPr>
          <w:rFonts w:ascii="Times New Roman" w:eastAsia="宋体" w:hAnsi="Times New Roman" w:cs="Times New Roman"/>
          <w:bCs/>
          <w:color w:val="000000" w:themeColor="text1"/>
          <w:sz w:val="24"/>
          <w:szCs w:val="24"/>
        </w:rPr>
        <w:t>，距铁路、高速公路不小于</w:t>
      </w:r>
      <w:r w:rsidRPr="00092862">
        <w:rPr>
          <w:rFonts w:ascii="Times New Roman" w:eastAsia="宋体" w:hAnsi="Times New Roman" w:cs="Times New Roman"/>
          <w:bCs/>
          <w:color w:val="000000" w:themeColor="text1"/>
          <w:sz w:val="24"/>
          <w:szCs w:val="24"/>
        </w:rPr>
        <w:t>200m</w:t>
      </w:r>
      <w:r w:rsidRPr="00092862">
        <w:rPr>
          <w:rFonts w:ascii="Times New Roman" w:eastAsia="宋体" w:hAnsi="Times New Roman" w:cs="Times New Roman"/>
          <w:bCs/>
          <w:color w:val="000000" w:themeColor="text1"/>
          <w:sz w:val="24"/>
          <w:szCs w:val="24"/>
        </w:rPr>
        <w:t>，距学校、医院和大型油库等人口密集性、高危性场所不小于</w:t>
      </w:r>
      <w:r w:rsidRPr="00092862">
        <w:rPr>
          <w:rFonts w:ascii="Times New Roman" w:eastAsia="宋体" w:hAnsi="Times New Roman" w:cs="Times New Roman"/>
          <w:bCs/>
          <w:color w:val="000000" w:themeColor="text1"/>
          <w:sz w:val="24"/>
          <w:szCs w:val="24"/>
        </w:rPr>
        <w:t>500m</w:t>
      </w:r>
      <w:r w:rsidRPr="00092862">
        <w:rPr>
          <w:rFonts w:ascii="Times New Roman" w:eastAsia="宋体" w:hAnsi="Times New Roman" w:cs="Times New Roman"/>
          <w:bCs/>
          <w:color w:val="000000" w:themeColor="text1"/>
          <w:sz w:val="24"/>
          <w:szCs w:val="24"/>
        </w:rPr>
        <w:t>。根据现场调查，项目井口与各设施的距离及符合性分析见下表。</w:t>
      </w:r>
    </w:p>
    <w:p w14:paraId="635CF955" w14:textId="77777777" w:rsidR="0010287F" w:rsidRPr="00092862" w:rsidRDefault="0010287F"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4DFD3FC1" w14:textId="428AD6BD" w:rsidR="00CE0918" w:rsidRPr="00092862" w:rsidRDefault="00CE091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2.10-1  </w:t>
      </w:r>
      <w:r w:rsidRPr="00092862">
        <w:rPr>
          <w:rFonts w:ascii="Times New Roman" w:eastAsia="黑体" w:hAnsi="Times New Roman"/>
          <w:color w:val="000000" w:themeColor="text1"/>
          <w:sz w:val="21"/>
          <w:szCs w:val="21"/>
          <w:lang w:eastAsia="zh-CN"/>
        </w:rPr>
        <w:t>本项目井口与各设施距离</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1275"/>
        <w:gridCol w:w="2835"/>
        <w:gridCol w:w="1462"/>
      </w:tblGrid>
      <w:tr w:rsidR="00697429" w:rsidRPr="00092862" w14:paraId="5A713D87" w14:textId="77777777" w:rsidTr="00700700">
        <w:trPr>
          <w:jc w:val="center"/>
        </w:trPr>
        <w:tc>
          <w:tcPr>
            <w:tcW w:w="2650" w:type="dxa"/>
            <w:vAlign w:val="center"/>
          </w:tcPr>
          <w:p w14:paraId="0783AF2D"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名称</w:t>
            </w:r>
          </w:p>
        </w:tc>
        <w:tc>
          <w:tcPr>
            <w:tcW w:w="1275" w:type="dxa"/>
            <w:vAlign w:val="center"/>
          </w:tcPr>
          <w:p w14:paraId="61E3FF94"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钻前工程井场技术要求</w:t>
            </w:r>
          </w:p>
        </w:tc>
        <w:tc>
          <w:tcPr>
            <w:tcW w:w="2835" w:type="dxa"/>
            <w:vAlign w:val="center"/>
          </w:tcPr>
          <w:p w14:paraId="02D0AD62"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本工程是否涉及居民区、铁路等，以及距井口距离</w:t>
            </w:r>
          </w:p>
        </w:tc>
        <w:tc>
          <w:tcPr>
            <w:tcW w:w="1462" w:type="dxa"/>
            <w:vAlign w:val="center"/>
          </w:tcPr>
          <w:p w14:paraId="1A982933"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是否满足钻前技术要求</w:t>
            </w:r>
          </w:p>
        </w:tc>
      </w:tr>
      <w:tr w:rsidR="00697429" w:rsidRPr="00092862" w14:paraId="665A5C8F" w14:textId="77777777" w:rsidTr="00700700">
        <w:trPr>
          <w:jc w:val="center"/>
        </w:trPr>
        <w:tc>
          <w:tcPr>
            <w:tcW w:w="2650" w:type="dxa"/>
            <w:vAlign w:val="center"/>
          </w:tcPr>
          <w:p w14:paraId="45525722"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高压线及其他永久性设施</w:t>
            </w:r>
          </w:p>
        </w:tc>
        <w:tc>
          <w:tcPr>
            <w:tcW w:w="1275" w:type="dxa"/>
            <w:vAlign w:val="center"/>
          </w:tcPr>
          <w:p w14:paraId="02E58D32"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≥75m</w:t>
            </w:r>
          </w:p>
        </w:tc>
        <w:tc>
          <w:tcPr>
            <w:tcW w:w="2835" w:type="dxa"/>
            <w:vAlign w:val="center"/>
          </w:tcPr>
          <w:p w14:paraId="3B666279"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75m</w:t>
            </w:r>
            <w:r w:rsidRPr="00092862">
              <w:rPr>
                <w:rFonts w:ascii="Times New Roman" w:eastAsia="宋体" w:hAnsi="Times New Roman" w:cs="Times New Roman"/>
                <w:color w:val="000000" w:themeColor="text1"/>
                <w:szCs w:val="21"/>
              </w:rPr>
              <w:t>范围内不涉及</w:t>
            </w:r>
          </w:p>
        </w:tc>
        <w:tc>
          <w:tcPr>
            <w:tcW w:w="1462" w:type="dxa"/>
            <w:vAlign w:val="center"/>
          </w:tcPr>
          <w:p w14:paraId="61DC9559"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47352485" w14:textId="77777777" w:rsidTr="00700700">
        <w:trPr>
          <w:jc w:val="center"/>
        </w:trPr>
        <w:tc>
          <w:tcPr>
            <w:tcW w:w="2650" w:type="dxa"/>
            <w:vAlign w:val="center"/>
          </w:tcPr>
          <w:p w14:paraId="339DC300"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民宅</w:t>
            </w:r>
          </w:p>
        </w:tc>
        <w:tc>
          <w:tcPr>
            <w:tcW w:w="1275" w:type="dxa"/>
            <w:vAlign w:val="center"/>
          </w:tcPr>
          <w:p w14:paraId="464EA3CD"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≥100m</w:t>
            </w:r>
          </w:p>
        </w:tc>
        <w:tc>
          <w:tcPr>
            <w:tcW w:w="2835" w:type="dxa"/>
            <w:vAlign w:val="center"/>
          </w:tcPr>
          <w:p w14:paraId="51EED047" w14:textId="65E751A1"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100m</w:t>
            </w:r>
            <w:r w:rsidRPr="00092862">
              <w:rPr>
                <w:rFonts w:ascii="Times New Roman" w:eastAsia="宋体" w:hAnsi="Times New Roman" w:cs="Times New Roman"/>
                <w:color w:val="000000" w:themeColor="text1"/>
                <w:szCs w:val="21"/>
              </w:rPr>
              <w:t>内无民房，最近居民点距离井口约</w:t>
            </w:r>
            <w:r w:rsidR="004D07D0" w:rsidRPr="00092862">
              <w:rPr>
                <w:rFonts w:ascii="Times New Roman" w:eastAsia="宋体" w:hAnsi="Times New Roman" w:cs="Times New Roman"/>
                <w:color w:val="000000" w:themeColor="text1"/>
                <w:szCs w:val="21"/>
              </w:rPr>
              <w:t xml:space="preserve">312m </w:t>
            </w:r>
          </w:p>
        </w:tc>
        <w:tc>
          <w:tcPr>
            <w:tcW w:w="1462" w:type="dxa"/>
            <w:vAlign w:val="center"/>
          </w:tcPr>
          <w:p w14:paraId="51B927B5"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7F5832D0" w14:textId="77777777" w:rsidTr="00700700">
        <w:trPr>
          <w:jc w:val="center"/>
        </w:trPr>
        <w:tc>
          <w:tcPr>
            <w:tcW w:w="2650" w:type="dxa"/>
            <w:vAlign w:val="center"/>
          </w:tcPr>
          <w:p w14:paraId="5CC6CD05"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铁路</w:t>
            </w:r>
          </w:p>
        </w:tc>
        <w:tc>
          <w:tcPr>
            <w:tcW w:w="1275" w:type="dxa"/>
            <w:vAlign w:val="center"/>
          </w:tcPr>
          <w:p w14:paraId="51B41653"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≥200m</w:t>
            </w:r>
          </w:p>
        </w:tc>
        <w:tc>
          <w:tcPr>
            <w:tcW w:w="2835" w:type="dxa"/>
            <w:vAlign w:val="center"/>
          </w:tcPr>
          <w:p w14:paraId="04C9625F" w14:textId="41224908" w:rsidR="00CE0918" w:rsidRPr="00092862" w:rsidRDefault="009A0147"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200m</w:t>
            </w:r>
            <w:r w:rsidRPr="00092862">
              <w:rPr>
                <w:rFonts w:ascii="Times New Roman" w:eastAsia="宋体" w:hAnsi="Times New Roman" w:cs="Times New Roman"/>
                <w:color w:val="000000" w:themeColor="text1"/>
                <w:szCs w:val="21"/>
              </w:rPr>
              <w:t>范围内</w:t>
            </w:r>
            <w:r w:rsidR="00CE0918" w:rsidRPr="00092862">
              <w:rPr>
                <w:rFonts w:ascii="Times New Roman" w:eastAsia="宋体" w:hAnsi="Times New Roman" w:cs="Times New Roman"/>
                <w:color w:val="000000" w:themeColor="text1"/>
                <w:szCs w:val="21"/>
              </w:rPr>
              <w:t>不涉及</w:t>
            </w:r>
          </w:p>
        </w:tc>
        <w:tc>
          <w:tcPr>
            <w:tcW w:w="1462" w:type="dxa"/>
            <w:vAlign w:val="center"/>
          </w:tcPr>
          <w:p w14:paraId="3CCF7F6C"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2C8185F0" w14:textId="77777777" w:rsidTr="00700700">
        <w:trPr>
          <w:jc w:val="center"/>
        </w:trPr>
        <w:tc>
          <w:tcPr>
            <w:tcW w:w="2650" w:type="dxa"/>
            <w:vAlign w:val="center"/>
          </w:tcPr>
          <w:p w14:paraId="75A25AEF"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高速公路</w:t>
            </w:r>
          </w:p>
        </w:tc>
        <w:tc>
          <w:tcPr>
            <w:tcW w:w="1275" w:type="dxa"/>
            <w:vAlign w:val="center"/>
          </w:tcPr>
          <w:p w14:paraId="708768F3"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≥200m</w:t>
            </w:r>
          </w:p>
        </w:tc>
        <w:tc>
          <w:tcPr>
            <w:tcW w:w="2835" w:type="dxa"/>
            <w:vAlign w:val="center"/>
          </w:tcPr>
          <w:p w14:paraId="15D2224C" w14:textId="15A7C2BF"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200m</w:t>
            </w:r>
            <w:r w:rsidRPr="00092862">
              <w:rPr>
                <w:rFonts w:ascii="Times New Roman" w:eastAsia="宋体" w:hAnsi="Times New Roman" w:cs="Times New Roman"/>
                <w:color w:val="000000" w:themeColor="text1"/>
                <w:szCs w:val="21"/>
              </w:rPr>
              <w:t>范围内不涉及</w:t>
            </w:r>
          </w:p>
        </w:tc>
        <w:tc>
          <w:tcPr>
            <w:tcW w:w="1462" w:type="dxa"/>
            <w:vAlign w:val="center"/>
          </w:tcPr>
          <w:p w14:paraId="397A865E"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181D1F43" w14:textId="77777777" w:rsidTr="00700700">
        <w:trPr>
          <w:jc w:val="center"/>
        </w:trPr>
        <w:tc>
          <w:tcPr>
            <w:tcW w:w="2650" w:type="dxa"/>
            <w:vAlign w:val="center"/>
          </w:tcPr>
          <w:p w14:paraId="7FFC0E18"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学校</w:t>
            </w:r>
          </w:p>
        </w:tc>
        <w:tc>
          <w:tcPr>
            <w:tcW w:w="1275" w:type="dxa"/>
            <w:vAlign w:val="center"/>
          </w:tcPr>
          <w:p w14:paraId="03B59A9F"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p>
        </w:tc>
        <w:tc>
          <w:tcPr>
            <w:tcW w:w="2835" w:type="dxa"/>
            <w:vAlign w:val="center"/>
          </w:tcPr>
          <w:p w14:paraId="68F96874"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范围内不涉及</w:t>
            </w:r>
          </w:p>
        </w:tc>
        <w:tc>
          <w:tcPr>
            <w:tcW w:w="1462" w:type="dxa"/>
            <w:vAlign w:val="center"/>
          </w:tcPr>
          <w:p w14:paraId="432907CD"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2899A3A3" w14:textId="77777777" w:rsidTr="00700700">
        <w:trPr>
          <w:jc w:val="center"/>
        </w:trPr>
        <w:tc>
          <w:tcPr>
            <w:tcW w:w="2650" w:type="dxa"/>
            <w:vAlign w:val="center"/>
          </w:tcPr>
          <w:p w14:paraId="30451460"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医院</w:t>
            </w:r>
          </w:p>
        </w:tc>
        <w:tc>
          <w:tcPr>
            <w:tcW w:w="1275" w:type="dxa"/>
            <w:vAlign w:val="center"/>
          </w:tcPr>
          <w:p w14:paraId="652B61D7"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p>
        </w:tc>
        <w:tc>
          <w:tcPr>
            <w:tcW w:w="2835" w:type="dxa"/>
            <w:vAlign w:val="center"/>
          </w:tcPr>
          <w:p w14:paraId="4C55736F"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范围内不涉及</w:t>
            </w:r>
          </w:p>
        </w:tc>
        <w:tc>
          <w:tcPr>
            <w:tcW w:w="1462" w:type="dxa"/>
            <w:vAlign w:val="center"/>
          </w:tcPr>
          <w:p w14:paraId="053A4C9C"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761E4ACF" w14:textId="77777777" w:rsidTr="00700700">
        <w:trPr>
          <w:jc w:val="center"/>
        </w:trPr>
        <w:tc>
          <w:tcPr>
            <w:tcW w:w="2650" w:type="dxa"/>
            <w:vAlign w:val="center"/>
          </w:tcPr>
          <w:p w14:paraId="29276913"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油库等高危险场所</w:t>
            </w:r>
          </w:p>
        </w:tc>
        <w:tc>
          <w:tcPr>
            <w:tcW w:w="1275" w:type="dxa"/>
            <w:vAlign w:val="center"/>
          </w:tcPr>
          <w:p w14:paraId="67F6D4F8"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p>
        </w:tc>
        <w:tc>
          <w:tcPr>
            <w:tcW w:w="2835" w:type="dxa"/>
            <w:vAlign w:val="center"/>
          </w:tcPr>
          <w:p w14:paraId="03550A7C"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范围内不涉及</w:t>
            </w:r>
          </w:p>
        </w:tc>
        <w:tc>
          <w:tcPr>
            <w:tcW w:w="1462" w:type="dxa"/>
            <w:vAlign w:val="center"/>
          </w:tcPr>
          <w:p w14:paraId="707FE919"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r w:rsidR="00697429" w:rsidRPr="00092862" w14:paraId="0D929B2E" w14:textId="77777777" w:rsidTr="00700700">
        <w:trPr>
          <w:jc w:val="center"/>
        </w:trPr>
        <w:tc>
          <w:tcPr>
            <w:tcW w:w="2650" w:type="dxa"/>
            <w:vAlign w:val="center"/>
          </w:tcPr>
          <w:p w14:paraId="0328D92B"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集中居住地等人口密集区</w:t>
            </w:r>
          </w:p>
        </w:tc>
        <w:tc>
          <w:tcPr>
            <w:tcW w:w="1275" w:type="dxa"/>
            <w:vAlign w:val="center"/>
          </w:tcPr>
          <w:p w14:paraId="512004BC"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p>
        </w:tc>
        <w:tc>
          <w:tcPr>
            <w:tcW w:w="2835" w:type="dxa"/>
            <w:vAlign w:val="center"/>
          </w:tcPr>
          <w:p w14:paraId="54629064"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范围内不涉及</w:t>
            </w:r>
          </w:p>
        </w:tc>
        <w:tc>
          <w:tcPr>
            <w:tcW w:w="1462" w:type="dxa"/>
            <w:vAlign w:val="center"/>
          </w:tcPr>
          <w:p w14:paraId="644A32FA" w14:textId="77777777" w:rsidR="00CE0918" w:rsidRPr="00092862" w:rsidRDefault="00CE0918" w:rsidP="00F4492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满足要求</w:t>
            </w:r>
          </w:p>
        </w:tc>
      </w:tr>
    </w:tbl>
    <w:p w14:paraId="4C57FEF0" w14:textId="40C8CCC6" w:rsidR="00CE0918" w:rsidRPr="00092862" w:rsidRDefault="00CE0918" w:rsidP="00B16E3B">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由上表可知，项目井口与各项设施的距离均满足《钻前工程及井场布置技术要求</w:t>
      </w:r>
      <w:r w:rsidRPr="00092862">
        <w:rPr>
          <w:rFonts w:ascii="Times New Roman" w:eastAsia="宋体" w:hAnsi="Times New Roman" w:cs="Times New Roman"/>
          <w:bCs/>
          <w:color w:val="000000" w:themeColor="text1"/>
          <w:sz w:val="24"/>
        </w:rPr>
        <w:t>SY/T5466-2013</w:t>
      </w:r>
      <w:r w:rsidRPr="00092862">
        <w:rPr>
          <w:rFonts w:ascii="Times New Roman" w:eastAsia="宋体" w:hAnsi="Times New Roman" w:cs="Times New Roman"/>
          <w:bCs/>
          <w:color w:val="000000" w:themeColor="text1"/>
          <w:sz w:val="24"/>
        </w:rPr>
        <w:t>》、《石油天然气钻井井控技术规范》（</w:t>
      </w:r>
      <w:r w:rsidRPr="00092862">
        <w:rPr>
          <w:rFonts w:ascii="Times New Roman" w:eastAsia="宋体" w:hAnsi="Times New Roman" w:cs="Times New Roman"/>
          <w:bCs/>
          <w:color w:val="000000" w:themeColor="text1"/>
          <w:sz w:val="24"/>
        </w:rPr>
        <w:t>GB/T31033-2014</w:t>
      </w:r>
      <w:r w:rsidRPr="00092862">
        <w:rPr>
          <w:rFonts w:ascii="Times New Roman" w:eastAsia="宋体" w:hAnsi="Times New Roman" w:cs="Times New Roman"/>
          <w:bCs/>
          <w:color w:val="000000" w:themeColor="text1"/>
          <w:sz w:val="24"/>
        </w:rPr>
        <w:t>）、《钻井井控技术规程》</w:t>
      </w:r>
      <w:r w:rsidRPr="00092862">
        <w:rPr>
          <w:rFonts w:ascii="Times New Roman" w:eastAsia="宋体" w:hAnsi="Times New Roman" w:cs="Times New Roman"/>
          <w:bCs/>
          <w:color w:val="000000" w:themeColor="text1"/>
          <w:sz w:val="24"/>
        </w:rPr>
        <w:t>(SY/T6426-2005)</w:t>
      </w:r>
      <w:r w:rsidRPr="00092862">
        <w:rPr>
          <w:rFonts w:ascii="Times New Roman" w:eastAsia="宋体" w:hAnsi="Times New Roman" w:cs="Times New Roman"/>
          <w:bCs/>
          <w:color w:val="000000" w:themeColor="text1"/>
          <w:sz w:val="24"/>
        </w:rPr>
        <w:t>等中规定的要求。</w:t>
      </w:r>
    </w:p>
    <w:p w14:paraId="66DC251C" w14:textId="5DEE7812" w:rsidR="00CE0918" w:rsidRPr="00092862" w:rsidRDefault="00CE0918" w:rsidP="00B16E3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根据现场调查，本项目处于农村环境，本项目</w:t>
      </w:r>
      <w:r w:rsidR="009C4CA7" w:rsidRPr="00092862">
        <w:rPr>
          <w:rFonts w:ascii="Times New Roman" w:eastAsia="宋体" w:hAnsi="Times New Roman" w:cs="Times New Roman"/>
          <w:color w:val="000000" w:themeColor="text1"/>
          <w:sz w:val="24"/>
        </w:rPr>
        <w:t>试采期</w:t>
      </w:r>
      <w:r w:rsidRPr="00092862">
        <w:rPr>
          <w:rFonts w:ascii="Times New Roman" w:eastAsia="宋体" w:hAnsi="Times New Roman" w:cs="Times New Roman"/>
          <w:color w:val="000000" w:themeColor="text1"/>
          <w:sz w:val="24"/>
        </w:rPr>
        <w:t>井站为五级站场，周围</w:t>
      </w:r>
      <w:r w:rsidRPr="00092862">
        <w:rPr>
          <w:rFonts w:ascii="Times New Roman" w:eastAsia="宋体" w:hAnsi="Times New Roman" w:cs="Times New Roman"/>
          <w:color w:val="000000" w:themeColor="text1"/>
          <w:sz w:val="24"/>
        </w:rPr>
        <w:t>50m</w:t>
      </w:r>
      <w:r w:rsidRPr="00092862">
        <w:rPr>
          <w:rFonts w:ascii="Times New Roman" w:eastAsia="宋体" w:hAnsi="Times New Roman" w:cs="Times New Roman"/>
          <w:color w:val="000000" w:themeColor="text1"/>
          <w:sz w:val="24"/>
        </w:rPr>
        <w:t>范围内无</w:t>
      </w:r>
      <w:r w:rsidRPr="00092862">
        <w:rPr>
          <w:rFonts w:ascii="Times New Roman" w:eastAsia="宋体" w:hAnsi="Times New Roman" w:cs="Times New Roman"/>
          <w:color w:val="000000" w:themeColor="text1"/>
          <w:sz w:val="24"/>
        </w:rPr>
        <w:t>100</w:t>
      </w:r>
      <w:r w:rsidRPr="00092862">
        <w:rPr>
          <w:rFonts w:ascii="Times New Roman" w:eastAsia="宋体" w:hAnsi="Times New Roman" w:cs="Times New Roman"/>
          <w:color w:val="000000" w:themeColor="text1"/>
          <w:sz w:val="24"/>
        </w:rPr>
        <w:t>人以下的散居房屋和</w:t>
      </w:r>
      <w:r w:rsidRPr="00092862">
        <w:rPr>
          <w:rFonts w:ascii="Times New Roman" w:eastAsia="宋体" w:hAnsi="Times New Roman" w:cs="Times New Roman"/>
          <w:color w:val="000000" w:themeColor="text1"/>
          <w:sz w:val="24"/>
        </w:rPr>
        <w:t>100</w:t>
      </w:r>
      <w:r w:rsidRPr="00092862">
        <w:rPr>
          <w:rFonts w:ascii="Times New Roman" w:eastAsia="宋体" w:hAnsi="Times New Roman" w:cs="Times New Roman"/>
          <w:color w:val="000000" w:themeColor="text1"/>
          <w:sz w:val="24"/>
        </w:rPr>
        <w:t>人以上的居住区、厂矿企业、</w:t>
      </w:r>
      <w:r w:rsidRPr="00092862">
        <w:rPr>
          <w:rFonts w:ascii="Times New Roman" w:eastAsia="宋体" w:hAnsi="Times New Roman" w:cs="Times New Roman"/>
          <w:color w:val="000000" w:themeColor="text1"/>
          <w:sz w:val="24"/>
        </w:rPr>
        <w:t>35kV</w:t>
      </w:r>
      <w:r w:rsidRPr="00092862">
        <w:rPr>
          <w:rFonts w:ascii="Times New Roman" w:eastAsia="宋体" w:hAnsi="Times New Roman" w:cs="Times New Roman"/>
          <w:color w:val="000000" w:themeColor="text1"/>
          <w:sz w:val="24"/>
        </w:rPr>
        <w:t>及以上独立变电所、无林地、无高速公路和铁路、无架空电力线路，</w:t>
      </w:r>
      <w:r w:rsidRPr="00092862">
        <w:rPr>
          <w:rFonts w:ascii="Times New Roman" w:eastAsia="宋体" w:hAnsi="Times New Roman" w:cs="Times New Roman"/>
          <w:color w:val="000000" w:themeColor="text1"/>
          <w:sz w:val="24"/>
        </w:rPr>
        <w:t>300m</w:t>
      </w:r>
      <w:r w:rsidRPr="00092862">
        <w:rPr>
          <w:rFonts w:ascii="Times New Roman" w:eastAsia="宋体" w:hAnsi="Times New Roman" w:cs="Times New Roman"/>
          <w:color w:val="000000" w:themeColor="text1"/>
          <w:sz w:val="24"/>
        </w:rPr>
        <w:t>范围内无爆炸作业场地，满足《石油天然气工程设计防火规范》（</w:t>
      </w:r>
      <w:r w:rsidRPr="00092862">
        <w:rPr>
          <w:rFonts w:ascii="Times New Roman" w:eastAsia="宋体" w:hAnsi="Times New Roman" w:cs="Times New Roman"/>
          <w:color w:val="000000" w:themeColor="text1"/>
          <w:sz w:val="24"/>
        </w:rPr>
        <w:t>GB50183-2004</w:t>
      </w:r>
      <w:r w:rsidRPr="00092862">
        <w:rPr>
          <w:rFonts w:ascii="Times New Roman" w:eastAsia="宋体" w:hAnsi="Times New Roman" w:cs="Times New Roman"/>
          <w:color w:val="000000" w:themeColor="text1"/>
          <w:sz w:val="24"/>
        </w:rPr>
        <w:t>）等要求。</w:t>
      </w:r>
    </w:p>
    <w:p w14:paraId="2688A0E7" w14:textId="52A93D8C" w:rsidR="00DC446C" w:rsidRPr="00092862" w:rsidRDefault="00CE0918" w:rsidP="00B16E3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拟建项目选址内无泉眼、地下暗河等控制性水点分布，不涉及各类保护区即环境敏感区，符合规划和国土管理方面的规定，其选址比较理想。本项目</w:t>
      </w:r>
      <w:r w:rsidR="00D66566" w:rsidRPr="00092862">
        <w:rPr>
          <w:rFonts w:ascii="Times New Roman" w:eastAsia="宋体" w:hAnsi="Times New Roman" w:cs="Times New Roman"/>
          <w:bCs/>
          <w:color w:val="000000" w:themeColor="text1"/>
          <w:sz w:val="24"/>
        </w:rPr>
        <w:t>为</w:t>
      </w:r>
      <w:r w:rsidR="004D07D0" w:rsidRPr="00092862">
        <w:rPr>
          <w:rFonts w:ascii="Times New Roman" w:eastAsia="宋体" w:hAnsi="Times New Roman" w:cs="Times New Roman"/>
          <w:bCs/>
          <w:color w:val="000000" w:themeColor="text1"/>
          <w:sz w:val="24"/>
        </w:rPr>
        <w:t>新建</w:t>
      </w:r>
      <w:r w:rsidR="00795CAD" w:rsidRPr="00092862">
        <w:rPr>
          <w:rFonts w:ascii="Times New Roman" w:eastAsia="宋体" w:hAnsi="Times New Roman" w:cs="Times New Roman"/>
          <w:bCs/>
          <w:color w:val="000000" w:themeColor="text1"/>
          <w:sz w:val="24"/>
        </w:rPr>
        <w:t>，</w:t>
      </w:r>
      <w:r w:rsidR="0002567D" w:rsidRPr="00092862">
        <w:rPr>
          <w:rFonts w:ascii="Times New Roman" w:eastAsia="宋体" w:hAnsi="Times New Roman" w:cs="Times New Roman"/>
          <w:bCs/>
          <w:color w:val="000000" w:themeColor="text1"/>
          <w:sz w:val="24"/>
        </w:rPr>
        <w:t>本项目</w:t>
      </w:r>
      <w:r w:rsidR="007C377C" w:rsidRPr="00092862">
        <w:rPr>
          <w:rFonts w:ascii="Times New Roman" w:eastAsia="宋体" w:hAnsi="Times New Roman" w:cs="Times New Roman"/>
          <w:bCs/>
          <w:color w:val="000000" w:themeColor="text1"/>
          <w:sz w:val="24"/>
        </w:rPr>
        <w:t>运营期</w:t>
      </w:r>
      <w:r w:rsidR="0002567D" w:rsidRPr="00092862">
        <w:rPr>
          <w:rFonts w:ascii="Times New Roman" w:eastAsia="宋体" w:hAnsi="Times New Roman" w:cs="Times New Roman"/>
          <w:bCs/>
          <w:color w:val="000000" w:themeColor="text1"/>
          <w:sz w:val="24"/>
        </w:rPr>
        <w:t>不涉及</w:t>
      </w:r>
      <w:r w:rsidR="002F733C" w:rsidRPr="00092862">
        <w:rPr>
          <w:rFonts w:ascii="Times New Roman" w:eastAsia="宋体" w:hAnsi="Times New Roman" w:cs="Times New Roman"/>
          <w:bCs/>
          <w:color w:val="000000" w:themeColor="text1"/>
          <w:sz w:val="24"/>
        </w:rPr>
        <w:t>新增占地</w:t>
      </w:r>
      <w:r w:rsidR="007C377C" w:rsidRPr="00092862">
        <w:rPr>
          <w:rFonts w:ascii="Times New Roman" w:eastAsia="宋体" w:hAnsi="Times New Roman" w:cs="Times New Roman"/>
          <w:bCs/>
          <w:color w:val="000000" w:themeColor="text1"/>
          <w:sz w:val="24"/>
        </w:rPr>
        <w:t>（施工期仅新增施工期生活区临时占地，施工结束后复垦）</w:t>
      </w:r>
      <w:r w:rsidRPr="00092862">
        <w:rPr>
          <w:rFonts w:ascii="Times New Roman" w:eastAsia="宋体" w:hAnsi="Times New Roman" w:cs="Times New Roman"/>
          <w:bCs/>
          <w:color w:val="000000" w:themeColor="text1"/>
          <w:sz w:val="24"/>
        </w:rPr>
        <w:t>，在采取补偿等措施后，对失地农民的生活影响较小。选址</w:t>
      </w:r>
      <w:r w:rsidRPr="00092862">
        <w:rPr>
          <w:rFonts w:ascii="Times New Roman" w:eastAsia="宋体" w:hAnsi="Times New Roman" w:cs="Times New Roman"/>
          <w:bCs/>
          <w:color w:val="000000" w:themeColor="text1"/>
          <w:sz w:val="24"/>
        </w:rPr>
        <w:lastRenderedPageBreak/>
        <w:t>位于当地城镇规划区外，不涉及环境敏感区，符合</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三线一单</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管控要求，因此项目选址合理。</w:t>
      </w:r>
    </w:p>
    <w:p w14:paraId="62918FD0" w14:textId="77777777" w:rsidR="00DC446C" w:rsidRPr="00092862" w:rsidRDefault="003B1968" w:rsidP="00B16E3B">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77" w:name="_Toc120173089"/>
      <w:bookmarkStart w:id="78" w:name="_Hlk49360744"/>
      <w:r w:rsidRPr="00092862">
        <w:rPr>
          <w:rFonts w:ascii="Times New Roman" w:eastAsia="黑体" w:hAnsi="Times New Roman"/>
          <w:b w:val="0"/>
          <w:color w:val="000000" w:themeColor="text1"/>
          <w:sz w:val="24"/>
          <w:szCs w:val="24"/>
          <w:lang w:eastAsia="zh-CN"/>
        </w:rPr>
        <w:t>2.10.2</w:t>
      </w:r>
      <w:r w:rsidRPr="00092862">
        <w:rPr>
          <w:rFonts w:ascii="Times New Roman" w:eastAsia="黑体" w:hAnsi="Times New Roman"/>
          <w:b w:val="0"/>
          <w:color w:val="000000" w:themeColor="text1"/>
          <w:sz w:val="24"/>
          <w:szCs w:val="24"/>
          <w:lang w:eastAsia="zh-CN"/>
        </w:rPr>
        <w:t>平面布置合理性分析</w:t>
      </w:r>
      <w:bookmarkEnd w:id="77"/>
    </w:p>
    <w:p w14:paraId="05470CDC" w14:textId="77777777" w:rsidR="00DC446C" w:rsidRPr="00092862" w:rsidRDefault="00B205A2" w:rsidP="00B16E3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钻井工程平面布局合理性分析</w:t>
      </w:r>
    </w:p>
    <w:p w14:paraId="11C515C9" w14:textId="0442A871" w:rsidR="00B205A2" w:rsidRPr="00092862" w:rsidRDefault="00B205A2" w:rsidP="00B16E3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本项目施工期工程</w:t>
      </w:r>
      <w:r w:rsidR="00153B3F" w:rsidRPr="00092862">
        <w:rPr>
          <w:rFonts w:ascii="Times New Roman" w:eastAsia="宋体" w:hAnsi="Times New Roman" w:cs="Times New Roman"/>
          <w:bCs/>
          <w:color w:val="000000" w:themeColor="text1"/>
          <w:sz w:val="24"/>
          <w:szCs w:val="24"/>
        </w:rPr>
        <w:t>主要</w:t>
      </w:r>
      <w:r w:rsidRPr="00092862">
        <w:rPr>
          <w:rFonts w:ascii="Times New Roman" w:eastAsia="宋体" w:hAnsi="Times New Roman" w:cs="Times New Roman"/>
          <w:bCs/>
          <w:color w:val="000000" w:themeColor="text1"/>
          <w:sz w:val="24"/>
          <w:szCs w:val="24"/>
        </w:rPr>
        <w:t>位于</w:t>
      </w:r>
      <w:r w:rsidR="004D07D0" w:rsidRPr="00092862">
        <w:rPr>
          <w:rFonts w:ascii="Times New Roman" w:eastAsia="宋体" w:hAnsi="Times New Roman" w:cs="Times New Roman"/>
          <w:bCs/>
          <w:color w:val="000000" w:themeColor="text1"/>
          <w:sz w:val="24"/>
          <w:szCs w:val="24"/>
        </w:rPr>
        <w:t>原老君</w:t>
      </w:r>
      <w:r w:rsidR="004D07D0" w:rsidRPr="00092862">
        <w:rPr>
          <w:rFonts w:ascii="Times New Roman" w:eastAsia="宋体" w:hAnsi="Times New Roman" w:cs="Times New Roman"/>
          <w:bCs/>
          <w:color w:val="000000" w:themeColor="text1"/>
          <w:sz w:val="24"/>
          <w:szCs w:val="24"/>
        </w:rPr>
        <w:t>701</w:t>
      </w:r>
      <w:r w:rsidR="004D07D0" w:rsidRPr="00092862">
        <w:rPr>
          <w:rFonts w:ascii="Times New Roman" w:eastAsia="宋体" w:hAnsi="Times New Roman" w:cs="Times New Roman"/>
          <w:bCs/>
          <w:color w:val="000000" w:themeColor="text1"/>
          <w:sz w:val="24"/>
          <w:szCs w:val="24"/>
        </w:rPr>
        <w:t>集气站旁</w:t>
      </w:r>
      <w:r w:rsidRPr="00092862">
        <w:rPr>
          <w:rFonts w:ascii="Times New Roman" w:eastAsia="宋体" w:hAnsi="Times New Roman" w:cs="Times New Roman"/>
          <w:bCs/>
          <w:color w:val="000000" w:themeColor="text1"/>
          <w:sz w:val="24"/>
          <w:szCs w:val="24"/>
        </w:rPr>
        <w:t>，场平工程量小</w:t>
      </w:r>
      <w:r w:rsidR="00B16E3B"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钻井井场沿</w:t>
      </w:r>
      <w:r w:rsidR="004D07D0" w:rsidRPr="00092862">
        <w:rPr>
          <w:rFonts w:ascii="Times New Roman" w:eastAsia="宋体" w:hAnsi="Times New Roman" w:cs="Times New Roman"/>
          <w:bCs/>
          <w:color w:val="000000" w:themeColor="text1"/>
          <w:sz w:val="24"/>
          <w:szCs w:val="24"/>
        </w:rPr>
        <w:t>西北</w:t>
      </w:r>
      <w:r w:rsidRPr="00092862">
        <w:rPr>
          <w:rFonts w:ascii="Times New Roman" w:eastAsia="宋体" w:hAnsi="Times New Roman" w:cs="Times New Roman"/>
          <w:bCs/>
          <w:color w:val="000000" w:themeColor="text1"/>
          <w:sz w:val="24"/>
          <w:szCs w:val="24"/>
        </w:rPr>
        <w:t>-</w:t>
      </w:r>
      <w:r w:rsidR="004D07D0" w:rsidRPr="00092862">
        <w:rPr>
          <w:rFonts w:ascii="Times New Roman" w:eastAsia="宋体" w:hAnsi="Times New Roman" w:cs="Times New Roman"/>
          <w:bCs/>
          <w:color w:val="000000" w:themeColor="text1"/>
          <w:sz w:val="24"/>
          <w:szCs w:val="24"/>
        </w:rPr>
        <w:t>东南</w:t>
      </w:r>
      <w:r w:rsidRPr="00092862">
        <w:rPr>
          <w:rFonts w:ascii="Times New Roman" w:eastAsia="宋体" w:hAnsi="Times New Roman" w:cs="Times New Roman"/>
          <w:bCs/>
          <w:color w:val="000000" w:themeColor="text1"/>
          <w:sz w:val="24"/>
          <w:szCs w:val="24"/>
        </w:rPr>
        <w:t>方向布置</w:t>
      </w:r>
      <w:r w:rsidR="00785A62" w:rsidRPr="00092862">
        <w:rPr>
          <w:rFonts w:ascii="Times New Roman" w:eastAsia="宋体" w:hAnsi="Times New Roman" w:cs="Times New Roman"/>
          <w:bCs/>
          <w:color w:val="000000" w:themeColor="text1"/>
          <w:sz w:val="24"/>
          <w:szCs w:val="24"/>
        </w:rPr>
        <w:t>，</w:t>
      </w:r>
      <w:r w:rsidR="009B26F9" w:rsidRPr="00092862">
        <w:rPr>
          <w:rFonts w:ascii="Times New Roman" w:eastAsia="宋体" w:hAnsi="Times New Roman" w:cs="Times New Roman"/>
          <w:bCs/>
          <w:color w:val="000000" w:themeColor="text1"/>
          <w:sz w:val="24"/>
          <w:szCs w:val="24"/>
        </w:rPr>
        <w:t>井场（含集气站）长约</w:t>
      </w:r>
      <w:r w:rsidR="009B26F9" w:rsidRPr="00092862">
        <w:rPr>
          <w:rFonts w:ascii="Times New Roman" w:eastAsia="宋体" w:hAnsi="Times New Roman" w:cs="Times New Roman"/>
          <w:bCs/>
          <w:color w:val="000000" w:themeColor="text1"/>
          <w:sz w:val="24"/>
          <w:szCs w:val="24"/>
        </w:rPr>
        <w:t>1</w:t>
      </w:r>
      <w:r w:rsidR="004D07D0" w:rsidRPr="00092862">
        <w:rPr>
          <w:rFonts w:ascii="Times New Roman" w:eastAsia="宋体" w:hAnsi="Times New Roman" w:cs="Times New Roman"/>
          <w:bCs/>
          <w:color w:val="000000" w:themeColor="text1"/>
          <w:sz w:val="24"/>
          <w:szCs w:val="24"/>
        </w:rPr>
        <w:t>9</w:t>
      </w:r>
      <w:r w:rsidR="009B26F9" w:rsidRPr="00092862">
        <w:rPr>
          <w:rFonts w:ascii="Times New Roman" w:eastAsia="宋体" w:hAnsi="Times New Roman" w:cs="Times New Roman"/>
          <w:bCs/>
          <w:color w:val="000000" w:themeColor="text1"/>
          <w:sz w:val="24"/>
          <w:szCs w:val="24"/>
        </w:rPr>
        <w:t>0m</w:t>
      </w:r>
      <w:r w:rsidR="009B26F9" w:rsidRPr="00092862">
        <w:rPr>
          <w:rFonts w:ascii="Times New Roman" w:eastAsia="宋体" w:hAnsi="Times New Roman" w:cs="Times New Roman"/>
          <w:bCs/>
          <w:color w:val="000000" w:themeColor="text1"/>
          <w:sz w:val="24"/>
          <w:szCs w:val="24"/>
        </w:rPr>
        <w:t>，宽约</w:t>
      </w:r>
      <w:r w:rsidR="004D07D0" w:rsidRPr="00092862">
        <w:rPr>
          <w:rFonts w:ascii="Times New Roman" w:eastAsia="宋体" w:hAnsi="Times New Roman" w:cs="Times New Roman"/>
          <w:bCs/>
          <w:color w:val="000000" w:themeColor="text1"/>
          <w:sz w:val="24"/>
          <w:szCs w:val="24"/>
        </w:rPr>
        <w:t>55</w:t>
      </w:r>
      <w:r w:rsidR="009B26F9"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w:t>
      </w:r>
      <w:r w:rsidR="00153B3F" w:rsidRPr="00092862">
        <w:rPr>
          <w:rFonts w:ascii="Times New Roman" w:eastAsia="宋体" w:hAnsi="Times New Roman" w:cs="Times New Roman"/>
          <w:bCs/>
          <w:color w:val="000000" w:themeColor="text1"/>
          <w:sz w:val="24"/>
          <w:szCs w:val="24"/>
        </w:rPr>
        <w:t>已建</w:t>
      </w:r>
      <w:r w:rsidR="000210E0"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放喷池位于井场外</w:t>
      </w:r>
      <w:r w:rsidR="00153B3F" w:rsidRPr="00092862">
        <w:rPr>
          <w:rFonts w:ascii="Times New Roman" w:eastAsia="宋体" w:hAnsi="Times New Roman" w:cs="Times New Roman"/>
          <w:bCs/>
          <w:color w:val="000000" w:themeColor="text1"/>
          <w:sz w:val="24"/>
          <w:szCs w:val="24"/>
        </w:rPr>
        <w:t>西</w:t>
      </w:r>
      <w:r w:rsidR="009B26F9" w:rsidRPr="00092862">
        <w:rPr>
          <w:rFonts w:ascii="Times New Roman" w:eastAsia="宋体" w:hAnsi="Times New Roman" w:cs="Times New Roman"/>
          <w:bCs/>
          <w:color w:val="000000" w:themeColor="text1"/>
          <w:sz w:val="24"/>
          <w:szCs w:val="24"/>
        </w:rPr>
        <w:t>北</w:t>
      </w:r>
      <w:r w:rsidRPr="00092862">
        <w:rPr>
          <w:rFonts w:ascii="Times New Roman" w:eastAsia="宋体" w:hAnsi="Times New Roman" w:cs="Times New Roman"/>
          <w:bCs/>
          <w:color w:val="000000" w:themeColor="text1"/>
          <w:sz w:val="24"/>
          <w:szCs w:val="24"/>
        </w:rPr>
        <w:t>侧，距离井口</w:t>
      </w:r>
      <w:r w:rsidR="009B26F9" w:rsidRPr="00092862">
        <w:rPr>
          <w:rFonts w:ascii="Times New Roman" w:eastAsia="宋体" w:hAnsi="Times New Roman" w:cs="Times New Roman"/>
          <w:bCs/>
          <w:color w:val="000000" w:themeColor="text1"/>
          <w:sz w:val="24"/>
          <w:szCs w:val="24"/>
        </w:rPr>
        <w:t>（</w:t>
      </w:r>
      <w:r w:rsidR="007A3B3E" w:rsidRPr="00092862">
        <w:rPr>
          <w:rFonts w:ascii="Times New Roman" w:eastAsia="宋体" w:hAnsi="Times New Roman" w:cs="Times New Roman"/>
          <w:bCs/>
          <w:color w:val="000000" w:themeColor="text1"/>
          <w:sz w:val="24"/>
          <w:szCs w:val="24"/>
        </w:rPr>
        <w:t>老君</w:t>
      </w:r>
      <w:r w:rsidR="007A3B3E" w:rsidRPr="00092862">
        <w:rPr>
          <w:rFonts w:ascii="Times New Roman" w:eastAsia="宋体" w:hAnsi="Times New Roman" w:cs="Times New Roman"/>
          <w:bCs/>
          <w:color w:val="000000" w:themeColor="text1"/>
          <w:sz w:val="24"/>
          <w:szCs w:val="24"/>
        </w:rPr>
        <w:t>2</w:t>
      </w:r>
      <w:r w:rsidR="007A3B3E" w:rsidRPr="00092862">
        <w:rPr>
          <w:rFonts w:ascii="Times New Roman" w:eastAsia="宋体" w:hAnsi="Times New Roman" w:cs="Times New Roman"/>
          <w:bCs/>
          <w:color w:val="000000" w:themeColor="text1"/>
          <w:sz w:val="24"/>
          <w:szCs w:val="24"/>
        </w:rPr>
        <w:t>井</w:t>
      </w:r>
      <w:r w:rsidR="009B26F9"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约</w:t>
      </w:r>
      <w:r w:rsidR="00704BC1" w:rsidRPr="00092862">
        <w:rPr>
          <w:rFonts w:ascii="Times New Roman" w:eastAsia="宋体" w:hAnsi="Times New Roman" w:cs="Times New Roman"/>
          <w:bCs/>
          <w:color w:val="000000" w:themeColor="text1"/>
          <w:sz w:val="24"/>
          <w:szCs w:val="24"/>
        </w:rPr>
        <w:t>160m</w:t>
      </w:r>
      <w:r w:rsidR="00153B3F" w:rsidRPr="00092862">
        <w:rPr>
          <w:rFonts w:ascii="Times New Roman" w:eastAsia="宋体" w:hAnsi="Times New Roman" w:cs="Times New Roman"/>
          <w:bCs/>
          <w:color w:val="000000" w:themeColor="text1"/>
          <w:sz w:val="24"/>
          <w:szCs w:val="24"/>
        </w:rPr>
        <w:t>，</w:t>
      </w:r>
      <w:r w:rsidR="000210E0" w:rsidRPr="00092862">
        <w:rPr>
          <w:rFonts w:ascii="Times New Roman" w:eastAsia="宋体" w:hAnsi="Times New Roman" w:cs="Times New Roman"/>
          <w:bCs/>
          <w:color w:val="000000" w:themeColor="text1"/>
          <w:sz w:val="24"/>
          <w:szCs w:val="24"/>
        </w:rPr>
        <w:t>2#</w:t>
      </w:r>
      <w:r w:rsidR="00153B3F" w:rsidRPr="00092862">
        <w:rPr>
          <w:rFonts w:ascii="Times New Roman" w:eastAsia="宋体" w:hAnsi="Times New Roman" w:cs="Times New Roman"/>
          <w:bCs/>
          <w:color w:val="000000" w:themeColor="text1"/>
          <w:sz w:val="24"/>
          <w:szCs w:val="24"/>
        </w:rPr>
        <w:t>放喷池位于井场外</w:t>
      </w:r>
      <w:r w:rsidR="007C377C" w:rsidRPr="00092862">
        <w:rPr>
          <w:rFonts w:ascii="Times New Roman" w:eastAsia="宋体" w:hAnsi="Times New Roman" w:cs="Times New Roman"/>
          <w:bCs/>
          <w:color w:val="000000" w:themeColor="text1"/>
          <w:sz w:val="24"/>
          <w:szCs w:val="24"/>
        </w:rPr>
        <w:t>东南</w:t>
      </w:r>
      <w:r w:rsidR="00153B3F" w:rsidRPr="00092862">
        <w:rPr>
          <w:rFonts w:ascii="Times New Roman" w:eastAsia="宋体" w:hAnsi="Times New Roman" w:cs="Times New Roman"/>
          <w:bCs/>
          <w:color w:val="000000" w:themeColor="text1"/>
          <w:sz w:val="24"/>
          <w:szCs w:val="24"/>
        </w:rPr>
        <w:t>侧，距离井口约</w:t>
      </w:r>
      <w:r w:rsidR="00704BC1" w:rsidRPr="00092862">
        <w:rPr>
          <w:rFonts w:ascii="Times New Roman" w:eastAsia="宋体" w:hAnsi="Times New Roman" w:cs="Times New Roman"/>
          <w:bCs/>
          <w:color w:val="000000" w:themeColor="text1"/>
          <w:sz w:val="24"/>
          <w:szCs w:val="24"/>
        </w:rPr>
        <w:t>171m</w:t>
      </w:r>
      <w:r w:rsidRPr="00092862">
        <w:rPr>
          <w:rFonts w:ascii="Times New Roman" w:eastAsia="宋体" w:hAnsi="Times New Roman" w:cs="Times New Roman"/>
          <w:bCs/>
          <w:color w:val="000000" w:themeColor="text1"/>
          <w:sz w:val="24"/>
          <w:szCs w:val="24"/>
        </w:rPr>
        <w:t>，放喷池</w:t>
      </w:r>
      <w:r w:rsidR="00153B3F" w:rsidRPr="00092862">
        <w:rPr>
          <w:rFonts w:ascii="Times New Roman" w:eastAsia="宋体" w:hAnsi="Times New Roman" w:cs="Times New Roman"/>
          <w:bCs/>
          <w:color w:val="000000" w:themeColor="text1"/>
          <w:sz w:val="24"/>
          <w:szCs w:val="24"/>
        </w:rPr>
        <w:t>容积均为</w:t>
      </w:r>
      <w:r w:rsidR="00153B3F" w:rsidRPr="00092862">
        <w:rPr>
          <w:rFonts w:ascii="Times New Roman" w:eastAsia="宋体" w:hAnsi="Times New Roman" w:cs="Times New Roman"/>
          <w:bCs/>
          <w:color w:val="000000" w:themeColor="text1"/>
          <w:sz w:val="24"/>
          <w:szCs w:val="24"/>
        </w:rPr>
        <w:t>300</w:t>
      </w:r>
      <w:r w:rsidRPr="00092862">
        <w:rPr>
          <w:rFonts w:ascii="Times New Roman" w:eastAsia="宋体" w:hAnsi="Times New Roman" w:cs="Times New Roman"/>
          <w:bCs/>
          <w:color w:val="000000" w:themeColor="text1"/>
          <w:sz w:val="24"/>
          <w:szCs w:val="24"/>
        </w:rPr>
        <w:t>m</w:t>
      </w:r>
      <w:r w:rsidR="00153B3F"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，开口朝向井口方向设置；进场道路</w:t>
      </w:r>
      <w:r w:rsidR="004D07D0" w:rsidRPr="00092862">
        <w:rPr>
          <w:rFonts w:ascii="Times New Roman" w:eastAsia="宋体" w:hAnsi="Times New Roman" w:cs="Times New Roman"/>
          <w:bCs/>
          <w:color w:val="000000" w:themeColor="text1"/>
          <w:sz w:val="24"/>
          <w:szCs w:val="24"/>
        </w:rPr>
        <w:t>新建</w:t>
      </w:r>
      <w:r w:rsidR="009510D5"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从</w:t>
      </w:r>
      <w:r w:rsidR="004D07D0" w:rsidRPr="00092862">
        <w:rPr>
          <w:rFonts w:ascii="Times New Roman" w:eastAsia="宋体" w:hAnsi="Times New Roman" w:cs="Times New Roman"/>
          <w:bCs/>
          <w:color w:val="000000" w:themeColor="text1"/>
          <w:sz w:val="24"/>
          <w:szCs w:val="24"/>
        </w:rPr>
        <w:t>西南侧乡村道路</w:t>
      </w:r>
      <w:r w:rsidRPr="00092862">
        <w:rPr>
          <w:rFonts w:ascii="Times New Roman" w:eastAsia="宋体" w:hAnsi="Times New Roman" w:cs="Times New Roman"/>
          <w:bCs/>
          <w:color w:val="000000" w:themeColor="text1"/>
          <w:sz w:val="24"/>
          <w:szCs w:val="24"/>
        </w:rPr>
        <w:t>接入，路基宽</w:t>
      </w:r>
      <w:r w:rsidRPr="00092862">
        <w:rPr>
          <w:rFonts w:ascii="Times New Roman" w:eastAsia="宋体" w:hAnsi="Times New Roman" w:cs="Times New Roman"/>
          <w:bCs/>
          <w:color w:val="000000" w:themeColor="text1"/>
          <w:sz w:val="24"/>
          <w:szCs w:val="24"/>
        </w:rPr>
        <w:t>4.5m</w:t>
      </w:r>
      <w:r w:rsidR="00150C8F" w:rsidRPr="00092862">
        <w:rPr>
          <w:rFonts w:ascii="Times New Roman" w:eastAsia="宋体" w:hAnsi="Times New Roman" w:cs="Times New Roman"/>
          <w:bCs/>
          <w:color w:val="000000" w:themeColor="text1"/>
          <w:sz w:val="24"/>
          <w:szCs w:val="24"/>
        </w:rPr>
        <w:t>，总长度约</w:t>
      </w:r>
      <w:r w:rsidR="009B26F9" w:rsidRPr="00092862">
        <w:rPr>
          <w:rFonts w:ascii="Times New Roman" w:eastAsia="宋体" w:hAnsi="Times New Roman" w:cs="Times New Roman"/>
          <w:bCs/>
          <w:color w:val="000000" w:themeColor="text1"/>
          <w:sz w:val="24"/>
          <w:szCs w:val="24"/>
        </w:rPr>
        <w:t>7</w:t>
      </w:r>
      <w:r w:rsidR="003A5D13" w:rsidRPr="00092862">
        <w:rPr>
          <w:rFonts w:ascii="Times New Roman" w:eastAsia="宋体" w:hAnsi="Times New Roman" w:cs="Times New Roman"/>
          <w:bCs/>
          <w:color w:val="000000" w:themeColor="text1"/>
          <w:sz w:val="24"/>
          <w:szCs w:val="24"/>
        </w:rPr>
        <w:t>0</w:t>
      </w:r>
      <w:r w:rsidR="00150C8F"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w:t>
      </w:r>
    </w:p>
    <w:p w14:paraId="50E18CE5" w14:textId="27517C5D" w:rsidR="00B205A2" w:rsidRPr="00092862" w:rsidRDefault="00B205A2" w:rsidP="00B205A2">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总的来说，本项目钻井施工期平面布置按照《钻前工程及井场布置技术要求》</w:t>
      </w:r>
      <w:r w:rsidRPr="00092862">
        <w:rPr>
          <w:rFonts w:ascii="Times New Roman" w:eastAsia="宋体" w:hAnsi="Times New Roman" w:cs="Times New Roman"/>
          <w:bCs/>
          <w:color w:val="000000" w:themeColor="text1"/>
          <w:sz w:val="24"/>
          <w:szCs w:val="24"/>
        </w:rPr>
        <w:t>(SY/T5466-2013)</w:t>
      </w:r>
      <w:r w:rsidRPr="00092862">
        <w:rPr>
          <w:rFonts w:ascii="Times New Roman" w:eastAsia="宋体" w:hAnsi="Times New Roman" w:cs="Times New Roman"/>
          <w:bCs/>
          <w:color w:val="000000" w:themeColor="text1"/>
          <w:sz w:val="24"/>
          <w:szCs w:val="24"/>
        </w:rPr>
        <w:t>、《石油与天然气钻井、开发、储运防火防爆安全生产管理规定》</w:t>
      </w:r>
      <w:r w:rsidRPr="00092862">
        <w:rPr>
          <w:rFonts w:ascii="Times New Roman" w:eastAsia="宋体" w:hAnsi="Times New Roman" w:cs="Times New Roman"/>
          <w:bCs/>
          <w:color w:val="000000" w:themeColor="text1"/>
          <w:sz w:val="24"/>
          <w:szCs w:val="24"/>
        </w:rPr>
        <w:t>(SY5225-2019)</w:t>
      </w:r>
      <w:r w:rsidRPr="00092862">
        <w:rPr>
          <w:rFonts w:ascii="Times New Roman" w:eastAsia="宋体" w:hAnsi="Times New Roman" w:cs="Times New Roman"/>
          <w:bCs/>
          <w:color w:val="000000" w:themeColor="text1"/>
          <w:sz w:val="24"/>
          <w:szCs w:val="24"/>
        </w:rPr>
        <w:t>、《石油天然气工程设计防火规范》（</w:t>
      </w:r>
      <w:r w:rsidRPr="00092862">
        <w:rPr>
          <w:rFonts w:ascii="Times New Roman" w:eastAsia="宋体" w:hAnsi="Times New Roman" w:cs="Times New Roman"/>
          <w:bCs/>
          <w:color w:val="000000" w:themeColor="text1"/>
          <w:sz w:val="24"/>
          <w:szCs w:val="24"/>
        </w:rPr>
        <w:t>GB50183-2004</w:t>
      </w:r>
      <w:r w:rsidRPr="00092862">
        <w:rPr>
          <w:rFonts w:ascii="Times New Roman" w:eastAsia="宋体" w:hAnsi="Times New Roman" w:cs="Times New Roman"/>
          <w:bCs/>
          <w:color w:val="000000" w:themeColor="text1"/>
          <w:sz w:val="24"/>
          <w:szCs w:val="24"/>
        </w:rPr>
        <w:t>）等石油和天然气行业标准的要求进行，钻井井场主要包括井控台、柴油发电机组、泥浆循环系统、泥浆泵、泥浆不落地装置、值班室、技术房、油罐区等。井场外设置有放喷池等。井场平面布置满足防火、安全间距要求，各工程连通顺畅，尽量降低了占地，降低了钻前工程工程量，施工期钻井工程布局是合理的。</w:t>
      </w:r>
    </w:p>
    <w:p w14:paraId="771C3785" w14:textId="77777777" w:rsidR="00DC446C" w:rsidRPr="00092862" w:rsidRDefault="00B205A2" w:rsidP="003D2EEB">
      <w:pPr>
        <w:tabs>
          <w:tab w:val="left" w:pos="0"/>
        </w:tabs>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003B1968" w:rsidRPr="00092862">
        <w:rPr>
          <w:rFonts w:ascii="Times New Roman" w:eastAsia="宋体" w:hAnsi="Times New Roman" w:cs="Times New Roman"/>
          <w:b/>
          <w:color w:val="000000" w:themeColor="text1"/>
          <w:sz w:val="24"/>
          <w:szCs w:val="24"/>
        </w:rPr>
        <w:t>1</w:t>
      </w:r>
      <w:r w:rsidR="003B1968" w:rsidRPr="00092862">
        <w:rPr>
          <w:rFonts w:ascii="Times New Roman" w:eastAsia="宋体" w:hAnsi="Times New Roman" w:cs="Times New Roman"/>
          <w:b/>
          <w:color w:val="000000" w:themeColor="text1"/>
          <w:sz w:val="24"/>
          <w:szCs w:val="24"/>
        </w:rPr>
        <w:t>）噪声源布局合理性分析</w:t>
      </w:r>
    </w:p>
    <w:p w14:paraId="108AE9D2"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本工程井场噪声源布置与《钻前工程及井场布置技术要求》</w:t>
      </w:r>
      <w:r w:rsidRPr="00092862">
        <w:rPr>
          <w:rFonts w:ascii="Times New Roman" w:eastAsia="宋体" w:hAnsi="Times New Roman" w:cs="Times New Roman"/>
          <w:bCs/>
          <w:color w:val="000000" w:themeColor="text1"/>
          <w:sz w:val="24"/>
          <w:szCs w:val="24"/>
        </w:rPr>
        <w:t>(SY/T5466-2013)</w:t>
      </w:r>
      <w:r w:rsidRPr="00092862">
        <w:rPr>
          <w:rFonts w:ascii="Times New Roman" w:eastAsia="宋体" w:hAnsi="Times New Roman" w:cs="Times New Roman"/>
          <w:bCs/>
          <w:color w:val="000000" w:themeColor="text1"/>
          <w:sz w:val="24"/>
          <w:szCs w:val="24"/>
        </w:rPr>
        <w:t>等相关要求的符合性见下表。</w:t>
      </w:r>
    </w:p>
    <w:p w14:paraId="3C38E48C" w14:textId="77777777"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2.10-</w:t>
      </w:r>
      <w:r w:rsidR="00B205A2" w:rsidRPr="00092862">
        <w:rPr>
          <w:rFonts w:ascii="Times New Roman" w:eastAsia="黑体" w:hAnsi="Times New Roman"/>
          <w:color w:val="000000" w:themeColor="text1"/>
          <w:sz w:val="21"/>
          <w:szCs w:val="21"/>
          <w:lang w:eastAsia="zh-CN"/>
        </w:rPr>
        <w:t>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噪声源布局合理性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392"/>
        <w:gridCol w:w="2976"/>
        <w:gridCol w:w="895"/>
      </w:tblGrid>
      <w:tr w:rsidR="00697429" w:rsidRPr="00092862" w14:paraId="183893A7" w14:textId="77777777" w:rsidTr="00276CB3">
        <w:trPr>
          <w:jc w:val="center"/>
        </w:trPr>
        <w:tc>
          <w:tcPr>
            <w:tcW w:w="959" w:type="dxa"/>
            <w:vAlign w:val="center"/>
          </w:tcPr>
          <w:p w14:paraId="6DA49EBB"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井位编号</w:t>
            </w:r>
          </w:p>
        </w:tc>
        <w:tc>
          <w:tcPr>
            <w:tcW w:w="3392" w:type="dxa"/>
            <w:vAlign w:val="center"/>
          </w:tcPr>
          <w:p w14:paraId="5F6A5DE6"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标准及规范要求</w:t>
            </w:r>
          </w:p>
        </w:tc>
        <w:tc>
          <w:tcPr>
            <w:tcW w:w="2976" w:type="dxa"/>
            <w:vAlign w:val="center"/>
          </w:tcPr>
          <w:p w14:paraId="0EA12509"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本工程噪声源布置</w:t>
            </w:r>
          </w:p>
        </w:tc>
        <w:tc>
          <w:tcPr>
            <w:tcW w:w="895" w:type="dxa"/>
            <w:vAlign w:val="center"/>
          </w:tcPr>
          <w:p w14:paraId="571693FF"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是否符合要求</w:t>
            </w:r>
          </w:p>
        </w:tc>
      </w:tr>
      <w:tr w:rsidR="00697429" w:rsidRPr="00092862" w14:paraId="467E6DD9" w14:textId="77777777" w:rsidTr="00276CB3">
        <w:trPr>
          <w:jc w:val="center"/>
        </w:trPr>
        <w:tc>
          <w:tcPr>
            <w:tcW w:w="959" w:type="dxa"/>
            <w:vAlign w:val="center"/>
          </w:tcPr>
          <w:p w14:paraId="4D85245D" w14:textId="2C77B27F" w:rsidR="00DC446C" w:rsidRPr="00092862" w:rsidRDefault="007A3B3E"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井</w:t>
            </w:r>
            <w:r w:rsidR="009B26F9"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井</w:t>
            </w:r>
            <w:r w:rsidR="009B26F9"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L701-3H</w:t>
            </w:r>
            <w:r w:rsidR="009B26F9" w:rsidRPr="00092862">
              <w:rPr>
                <w:rFonts w:ascii="Times New Roman" w:eastAsia="宋体" w:hAnsi="Times New Roman" w:cs="Times New Roman"/>
                <w:color w:val="000000" w:themeColor="text1"/>
                <w:szCs w:val="21"/>
              </w:rPr>
              <w:t>井</w:t>
            </w:r>
          </w:p>
        </w:tc>
        <w:tc>
          <w:tcPr>
            <w:tcW w:w="3392" w:type="dxa"/>
            <w:vAlign w:val="center"/>
          </w:tcPr>
          <w:p w14:paraId="07D0F48E" w14:textId="77777777" w:rsidR="00DC446C" w:rsidRPr="00092862" w:rsidRDefault="003B1968" w:rsidP="003D2EEB">
            <w:pPr>
              <w:autoSpaceDE w:val="0"/>
              <w:autoSpaceDN w:val="0"/>
              <w:adjustRightInd w:val="0"/>
              <w:snapToGrid w:val="0"/>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《钻前工程及井场布置技术要求》（</w:t>
            </w:r>
            <w:r w:rsidRPr="00092862">
              <w:rPr>
                <w:rFonts w:ascii="Times New Roman" w:eastAsia="宋体" w:hAnsi="Times New Roman" w:cs="Times New Roman"/>
                <w:color w:val="000000" w:themeColor="text1"/>
                <w:szCs w:val="21"/>
              </w:rPr>
              <w:t>SY/T5466-2013</w:t>
            </w:r>
            <w:r w:rsidRPr="00092862">
              <w:rPr>
                <w:rFonts w:ascii="Times New Roman" w:eastAsia="宋体" w:hAnsi="Times New Roman" w:cs="Times New Roman"/>
                <w:color w:val="000000" w:themeColor="text1"/>
                <w:szCs w:val="21"/>
              </w:rPr>
              <w:t>）中的第</w:t>
            </w:r>
            <w:r w:rsidRPr="00092862">
              <w:rPr>
                <w:rFonts w:ascii="Times New Roman" w:eastAsia="宋体" w:hAnsi="Times New Roman" w:cs="Times New Roman"/>
                <w:color w:val="000000" w:themeColor="text1"/>
                <w:szCs w:val="21"/>
              </w:rPr>
              <w:t>4.3.2</w:t>
            </w:r>
            <w:r w:rsidRPr="00092862">
              <w:rPr>
                <w:rFonts w:ascii="Times New Roman" w:eastAsia="宋体" w:hAnsi="Times New Roman" w:cs="Times New Roman"/>
                <w:color w:val="000000" w:themeColor="text1"/>
                <w:szCs w:val="21"/>
              </w:rPr>
              <w:t>条规定：电动钻机发电机组和电控房应布置并排置于井场的后方。尽量远离敏感点或受噪声影响农户最少</w:t>
            </w:r>
          </w:p>
        </w:tc>
        <w:tc>
          <w:tcPr>
            <w:tcW w:w="2976" w:type="dxa"/>
            <w:vAlign w:val="center"/>
          </w:tcPr>
          <w:p w14:paraId="7642AD38" w14:textId="1DE5C165" w:rsidR="00DC446C" w:rsidRPr="00092862" w:rsidRDefault="003B1968" w:rsidP="003D2EEB">
            <w:pPr>
              <w:autoSpaceDE w:val="0"/>
              <w:autoSpaceDN w:val="0"/>
              <w:adjustRightInd w:val="0"/>
              <w:snapToGrid w:val="0"/>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柴油机、泥浆泵布置在中后场</w:t>
            </w:r>
            <w:r w:rsidR="00276CB3" w:rsidRPr="00092862">
              <w:rPr>
                <w:rFonts w:ascii="Times New Roman" w:eastAsia="宋体" w:hAnsi="Times New Roman" w:cs="Times New Roman"/>
                <w:color w:val="000000" w:themeColor="text1"/>
                <w:szCs w:val="21"/>
              </w:rPr>
              <w:t>（</w:t>
            </w:r>
            <w:r w:rsidR="004D07D0" w:rsidRPr="00092862">
              <w:rPr>
                <w:rFonts w:ascii="Times New Roman" w:eastAsia="宋体" w:hAnsi="Times New Roman" w:cs="Times New Roman"/>
                <w:color w:val="000000" w:themeColor="text1"/>
                <w:szCs w:val="21"/>
              </w:rPr>
              <w:t>南</w:t>
            </w:r>
            <w:r w:rsidR="00276CB3" w:rsidRPr="00092862">
              <w:rPr>
                <w:rFonts w:ascii="Times New Roman" w:eastAsia="宋体" w:hAnsi="Times New Roman" w:cs="Times New Roman"/>
                <w:color w:val="000000" w:themeColor="text1"/>
                <w:szCs w:val="21"/>
              </w:rPr>
              <w:t>侧）</w:t>
            </w:r>
            <w:r w:rsidRPr="00092862">
              <w:rPr>
                <w:rFonts w:ascii="Times New Roman" w:eastAsia="宋体" w:hAnsi="Times New Roman" w:cs="Times New Roman"/>
                <w:color w:val="000000" w:themeColor="text1"/>
                <w:szCs w:val="21"/>
              </w:rPr>
              <w:t>。散居农户主要分布在井口</w:t>
            </w:r>
            <w:r w:rsidR="009B26F9" w:rsidRPr="00092862">
              <w:rPr>
                <w:rFonts w:ascii="Times New Roman" w:eastAsia="宋体" w:hAnsi="Times New Roman" w:cs="Times New Roman"/>
                <w:color w:val="000000" w:themeColor="text1"/>
                <w:szCs w:val="21"/>
              </w:rPr>
              <w:t>2</w:t>
            </w:r>
            <w:r w:rsidR="00150C8F" w:rsidRPr="00092862">
              <w:rPr>
                <w:rFonts w:ascii="Times New Roman" w:eastAsia="宋体" w:hAnsi="Times New Roman" w:cs="Times New Roman"/>
                <w:color w:val="000000" w:themeColor="text1"/>
                <w:szCs w:val="21"/>
              </w:rPr>
              <w:t>00m</w:t>
            </w:r>
            <w:r w:rsidR="00150C8F" w:rsidRPr="00092862">
              <w:rPr>
                <w:rFonts w:ascii="Times New Roman" w:eastAsia="宋体" w:hAnsi="Times New Roman" w:cs="Times New Roman"/>
                <w:color w:val="000000" w:themeColor="text1"/>
                <w:szCs w:val="21"/>
              </w:rPr>
              <w:t>外</w:t>
            </w:r>
            <w:r w:rsidRPr="00092862">
              <w:rPr>
                <w:rFonts w:ascii="Times New Roman" w:eastAsia="宋体" w:hAnsi="Times New Roman" w:cs="Times New Roman"/>
                <w:color w:val="000000" w:themeColor="text1"/>
                <w:szCs w:val="21"/>
              </w:rPr>
              <w:t>，受噪声影响农户相对较少。</w:t>
            </w:r>
          </w:p>
        </w:tc>
        <w:tc>
          <w:tcPr>
            <w:tcW w:w="895" w:type="dxa"/>
            <w:vAlign w:val="center"/>
          </w:tcPr>
          <w:p w14:paraId="76FC420A"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符合要求</w:t>
            </w:r>
          </w:p>
        </w:tc>
      </w:tr>
    </w:tbl>
    <w:p w14:paraId="7B48ED2E" w14:textId="77777777" w:rsidR="00DC446C" w:rsidRPr="00092862" w:rsidRDefault="00276CB3" w:rsidP="00276CB3">
      <w:pPr>
        <w:tabs>
          <w:tab w:val="left" w:pos="0"/>
        </w:tabs>
        <w:adjustRightInd w:val="0"/>
        <w:snapToGrid w:val="0"/>
        <w:spacing w:beforeLines="50" w:before="120"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003B1968" w:rsidRPr="00092862">
        <w:rPr>
          <w:rFonts w:ascii="Times New Roman" w:eastAsia="宋体" w:hAnsi="Times New Roman" w:cs="Times New Roman"/>
          <w:b/>
          <w:color w:val="000000" w:themeColor="text1"/>
          <w:sz w:val="24"/>
          <w:szCs w:val="24"/>
        </w:rPr>
        <w:t>2</w:t>
      </w:r>
      <w:r w:rsidR="003B1968" w:rsidRPr="00092862">
        <w:rPr>
          <w:rFonts w:ascii="Times New Roman" w:eastAsia="宋体" w:hAnsi="Times New Roman" w:cs="Times New Roman"/>
          <w:b/>
          <w:color w:val="000000" w:themeColor="text1"/>
          <w:sz w:val="24"/>
          <w:szCs w:val="24"/>
        </w:rPr>
        <w:t>）放喷池布置合理性分析</w:t>
      </w:r>
    </w:p>
    <w:p w14:paraId="37BFE543" w14:textId="77777777"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w:t>
      </w:r>
      <w:r w:rsidR="00276CB3" w:rsidRPr="00092862">
        <w:rPr>
          <w:rFonts w:ascii="Times New Roman" w:eastAsia="宋体" w:hAnsi="Times New Roman" w:cs="Times New Roman"/>
          <w:bCs/>
          <w:color w:val="000000" w:themeColor="text1"/>
          <w:sz w:val="24"/>
          <w:szCs w:val="24"/>
        </w:rPr>
        <w:t>项目</w:t>
      </w:r>
      <w:r w:rsidRPr="00092862">
        <w:rPr>
          <w:rFonts w:ascii="Times New Roman" w:eastAsia="宋体" w:hAnsi="Times New Roman" w:cs="Times New Roman"/>
          <w:bCs/>
          <w:color w:val="000000" w:themeColor="text1"/>
          <w:sz w:val="24"/>
          <w:szCs w:val="24"/>
        </w:rPr>
        <w:t>井场放喷池布置与</w:t>
      </w:r>
      <w:r w:rsidR="00276CB3" w:rsidRPr="00092862">
        <w:rPr>
          <w:rFonts w:ascii="Times New Roman" w:eastAsia="宋体" w:hAnsi="Times New Roman" w:cs="Times New Roman"/>
          <w:bCs/>
          <w:color w:val="000000" w:themeColor="text1"/>
          <w:sz w:val="24"/>
          <w:szCs w:val="24"/>
        </w:rPr>
        <w:t>《钻井井控技术规程》</w:t>
      </w:r>
      <w:r w:rsidR="00276CB3" w:rsidRPr="00092862">
        <w:rPr>
          <w:rFonts w:ascii="Times New Roman" w:eastAsia="宋体" w:hAnsi="Times New Roman" w:cs="Times New Roman"/>
          <w:bCs/>
          <w:color w:val="000000" w:themeColor="text1"/>
          <w:sz w:val="24"/>
          <w:szCs w:val="24"/>
        </w:rPr>
        <w:t>(SY/T6426-2005)</w:t>
      </w:r>
      <w:r w:rsidRPr="00092862">
        <w:rPr>
          <w:rFonts w:ascii="Times New Roman" w:eastAsia="宋体" w:hAnsi="Times New Roman" w:cs="Times New Roman"/>
          <w:bCs/>
          <w:color w:val="000000" w:themeColor="text1"/>
          <w:sz w:val="24"/>
          <w:szCs w:val="24"/>
        </w:rPr>
        <w:t>等相关要求及规程的符合性见下表。</w:t>
      </w:r>
    </w:p>
    <w:p w14:paraId="57CB1660" w14:textId="77777777"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2.10-</w:t>
      </w:r>
      <w:r w:rsidR="00276CB3"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放喷池布置合理性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
        <w:gridCol w:w="3432"/>
        <w:gridCol w:w="2685"/>
        <w:gridCol w:w="1045"/>
      </w:tblGrid>
      <w:tr w:rsidR="00697429" w:rsidRPr="00092862" w14:paraId="61948718" w14:textId="77777777" w:rsidTr="00276CB3">
        <w:trPr>
          <w:jc w:val="center"/>
        </w:trPr>
        <w:tc>
          <w:tcPr>
            <w:tcW w:w="1060" w:type="dxa"/>
            <w:vAlign w:val="center"/>
          </w:tcPr>
          <w:p w14:paraId="25265551"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井位编号</w:t>
            </w:r>
          </w:p>
        </w:tc>
        <w:tc>
          <w:tcPr>
            <w:tcW w:w="3432" w:type="dxa"/>
            <w:vAlign w:val="center"/>
          </w:tcPr>
          <w:p w14:paraId="4AA3C23E"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标准及规范要求</w:t>
            </w:r>
          </w:p>
        </w:tc>
        <w:tc>
          <w:tcPr>
            <w:tcW w:w="2685" w:type="dxa"/>
            <w:vAlign w:val="center"/>
          </w:tcPr>
          <w:p w14:paraId="075F98BF"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本工程放喷池布置</w:t>
            </w:r>
          </w:p>
        </w:tc>
        <w:tc>
          <w:tcPr>
            <w:tcW w:w="1045" w:type="dxa"/>
            <w:vAlign w:val="center"/>
          </w:tcPr>
          <w:p w14:paraId="79739127"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是否符合要求</w:t>
            </w:r>
          </w:p>
        </w:tc>
      </w:tr>
      <w:tr w:rsidR="00697429" w:rsidRPr="00092862" w14:paraId="19D0E38B" w14:textId="77777777" w:rsidTr="00276CB3">
        <w:trPr>
          <w:jc w:val="center"/>
        </w:trPr>
        <w:tc>
          <w:tcPr>
            <w:tcW w:w="1060" w:type="dxa"/>
            <w:vAlign w:val="center"/>
          </w:tcPr>
          <w:p w14:paraId="1A0F7C5D" w14:textId="46B75152" w:rsidR="00DC446C" w:rsidRPr="00092862" w:rsidRDefault="007A3B3E"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老君</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井</w:t>
            </w:r>
            <w:r w:rsidR="009B26F9"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井</w:t>
            </w:r>
            <w:r w:rsidR="009B26F9"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L701-3H</w:t>
            </w:r>
            <w:r w:rsidR="009B26F9" w:rsidRPr="00092862">
              <w:rPr>
                <w:rFonts w:ascii="Times New Roman" w:eastAsia="宋体" w:hAnsi="Times New Roman" w:cs="Times New Roman"/>
                <w:color w:val="000000" w:themeColor="text1"/>
                <w:szCs w:val="21"/>
              </w:rPr>
              <w:t>井</w:t>
            </w:r>
          </w:p>
        </w:tc>
        <w:tc>
          <w:tcPr>
            <w:tcW w:w="3432" w:type="dxa"/>
            <w:vAlign w:val="center"/>
          </w:tcPr>
          <w:p w14:paraId="5F22AAB0"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《钻井井控技术规程》</w:t>
            </w:r>
            <w:r w:rsidRPr="00092862">
              <w:rPr>
                <w:rFonts w:ascii="Times New Roman" w:eastAsia="宋体" w:hAnsi="Times New Roman" w:cs="Times New Roman"/>
                <w:color w:val="000000" w:themeColor="text1"/>
                <w:szCs w:val="21"/>
              </w:rPr>
              <w:t>(SY/T6426-2005</w:t>
            </w:r>
            <w:r w:rsidR="00276CB3"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中的第</w:t>
            </w:r>
            <w:r w:rsidRPr="00092862">
              <w:rPr>
                <w:rFonts w:ascii="Times New Roman" w:eastAsia="宋体" w:hAnsi="Times New Roman" w:cs="Times New Roman"/>
                <w:color w:val="000000" w:themeColor="text1"/>
                <w:szCs w:val="21"/>
              </w:rPr>
              <w:t>4.1.2.3</w:t>
            </w:r>
            <w:r w:rsidRPr="00092862">
              <w:rPr>
                <w:rFonts w:ascii="Times New Roman" w:eastAsia="宋体" w:hAnsi="Times New Roman" w:cs="Times New Roman"/>
                <w:color w:val="000000" w:themeColor="text1"/>
                <w:szCs w:val="21"/>
              </w:rPr>
              <w:t>条规定：放喷管线应接至距井口</w:t>
            </w:r>
            <w:r w:rsidRPr="00092862">
              <w:rPr>
                <w:rFonts w:ascii="Times New Roman" w:eastAsia="宋体" w:hAnsi="Times New Roman" w:cs="Times New Roman"/>
                <w:color w:val="000000" w:themeColor="text1"/>
                <w:szCs w:val="21"/>
              </w:rPr>
              <w:t>75m</w:t>
            </w:r>
            <w:r w:rsidRPr="00092862">
              <w:rPr>
                <w:rFonts w:ascii="Times New Roman" w:eastAsia="宋体" w:hAnsi="Times New Roman" w:cs="Times New Roman"/>
                <w:color w:val="000000" w:themeColor="text1"/>
                <w:szCs w:val="21"/>
              </w:rPr>
              <w:t>以上的安全地带，距各种设施不小于</w:t>
            </w:r>
            <w:r w:rsidRPr="00092862">
              <w:rPr>
                <w:rFonts w:ascii="Times New Roman" w:eastAsia="宋体" w:hAnsi="Times New Roman" w:cs="Times New Roman"/>
                <w:color w:val="000000" w:themeColor="text1"/>
                <w:szCs w:val="21"/>
              </w:rPr>
              <w:t>50m</w:t>
            </w:r>
            <w:r w:rsidRPr="00092862">
              <w:rPr>
                <w:rFonts w:ascii="Times New Roman" w:eastAsia="宋体" w:hAnsi="Times New Roman" w:cs="Times New Roman"/>
                <w:color w:val="000000" w:themeColor="text1"/>
                <w:szCs w:val="21"/>
              </w:rPr>
              <w:t>。</w:t>
            </w:r>
          </w:p>
        </w:tc>
        <w:tc>
          <w:tcPr>
            <w:tcW w:w="2685" w:type="dxa"/>
            <w:vAlign w:val="center"/>
          </w:tcPr>
          <w:p w14:paraId="4FFB16E6" w14:textId="1238EF6D" w:rsidR="00DC446C" w:rsidRPr="00092862" w:rsidRDefault="00A84E4F"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1#</w:t>
            </w:r>
            <w:r w:rsidR="00E54E07" w:rsidRPr="00092862">
              <w:rPr>
                <w:rFonts w:ascii="Times New Roman" w:eastAsia="宋体" w:hAnsi="Times New Roman" w:cs="Times New Roman"/>
                <w:bCs/>
                <w:color w:val="000000" w:themeColor="text1"/>
                <w:szCs w:val="21"/>
              </w:rPr>
              <w:t>放喷池位于井场外西</w:t>
            </w:r>
            <w:r w:rsidR="007C377C" w:rsidRPr="00092862">
              <w:rPr>
                <w:rFonts w:ascii="Times New Roman" w:eastAsia="宋体" w:hAnsi="Times New Roman" w:cs="Times New Roman"/>
                <w:bCs/>
                <w:color w:val="000000" w:themeColor="text1"/>
                <w:szCs w:val="21"/>
              </w:rPr>
              <w:t>北</w:t>
            </w:r>
            <w:r w:rsidR="00E54E07" w:rsidRPr="00092862">
              <w:rPr>
                <w:rFonts w:ascii="Times New Roman" w:eastAsia="宋体" w:hAnsi="Times New Roman" w:cs="Times New Roman"/>
                <w:bCs/>
                <w:color w:val="000000" w:themeColor="text1"/>
                <w:szCs w:val="21"/>
              </w:rPr>
              <w:t>侧，距离井口约</w:t>
            </w:r>
            <w:r w:rsidR="00704BC1" w:rsidRPr="00092862">
              <w:rPr>
                <w:rFonts w:ascii="Times New Roman" w:eastAsia="宋体" w:hAnsi="Times New Roman" w:cs="Times New Roman"/>
                <w:bCs/>
                <w:color w:val="000000" w:themeColor="text1"/>
                <w:szCs w:val="21"/>
              </w:rPr>
              <w:t>160m</w:t>
            </w:r>
            <w:r w:rsidR="00E54E07"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2#</w:t>
            </w:r>
            <w:r w:rsidR="00E54E07" w:rsidRPr="00092862">
              <w:rPr>
                <w:rFonts w:ascii="Times New Roman" w:eastAsia="宋体" w:hAnsi="Times New Roman" w:cs="Times New Roman"/>
                <w:bCs/>
                <w:color w:val="000000" w:themeColor="text1"/>
                <w:szCs w:val="21"/>
              </w:rPr>
              <w:t>放喷池位于井场外</w:t>
            </w:r>
            <w:r w:rsidR="007C377C" w:rsidRPr="00092862">
              <w:rPr>
                <w:rFonts w:ascii="Times New Roman" w:eastAsia="宋体" w:hAnsi="Times New Roman" w:cs="Times New Roman"/>
                <w:bCs/>
                <w:color w:val="000000" w:themeColor="text1"/>
                <w:szCs w:val="21"/>
              </w:rPr>
              <w:t>东南</w:t>
            </w:r>
            <w:r w:rsidR="00E54E07" w:rsidRPr="00092862">
              <w:rPr>
                <w:rFonts w:ascii="Times New Roman" w:eastAsia="宋体" w:hAnsi="Times New Roman" w:cs="Times New Roman"/>
                <w:bCs/>
                <w:color w:val="000000" w:themeColor="text1"/>
                <w:szCs w:val="21"/>
              </w:rPr>
              <w:t>侧，距离井口约</w:t>
            </w:r>
            <w:r w:rsidR="00704BC1" w:rsidRPr="00092862">
              <w:rPr>
                <w:rFonts w:ascii="Times New Roman" w:eastAsia="宋体" w:hAnsi="Times New Roman" w:cs="Times New Roman"/>
                <w:bCs/>
                <w:color w:val="000000" w:themeColor="text1"/>
                <w:szCs w:val="21"/>
              </w:rPr>
              <w:t>171m</w:t>
            </w:r>
            <w:r w:rsidR="00E54E07" w:rsidRPr="00092862">
              <w:rPr>
                <w:rFonts w:ascii="Times New Roman" w:eastAsia="宋体" w:hAnsi="Times New Roman" w:cs="Times New Roman"/>
                <w:bCs/>
                <w:color w:val="000000" w:themeColor="text1"/>
                <w:szCs w:val="21"/>
              </w:rPr>
              <w:t>，</w:t>
            </w:r>
            <w:r w:rsidR="00697975" w:rsidRPr="00092862">
              <w:rPr>
                <w:rFonts w:ascii="Times New Roman" w:eastAsia="宋体" w:hAnsi="Times New Roman" w:cs="Times New Roman"/>
                <w:bCs/>
                <w:color w:val="000000" w:themeColor="text1"/>
                <w:szCs w:val="21"/>
              </w:rPr>
              <w:t>各放喷池</w:t>
            </w:r>
            <w:r w:rsidR="00E54E07" w:rsidRPr="00092862">
              <w:rPr>
                <w:rFonts w:ascii="Times New Roman" w:eastAsia="宋体" w:hAnsi="Times New Roman" w:cs="Times New Roman"/>
                <w:bCs/>
                <w:color w:val="000000" w:themeColor="text1"/>
                <w:szCs w:val="21"/>
              </w:rPr>
              <w:t>周边</w:t>
            </w:r>
            <w:r w:rsidR="00E54E07" w:rsidRPr="00092862">
              <w:rPr>
                <w:rFonts w:ascii="Times New Roman" w:eastAsia="宋体" w:hAnsi="Times New Roman" w:cs="Times New Roman"/>
                <w:bCs/>
                <w:color w:val="000000" w:themeColor="text1"/>
                <w:szCs w:val="21"/>
              </w:rPr>
              <w:t>200m</w:t>
            </w:r>
            <w:r w:rsidR="00E54E07" w:rsidRPr="00092862">
              <w:rPr>
                <w:rFonts w:ascii="Times New Roman" w:eastAsia="宋体" w:hAnsi="Times New Roman" w:cs="Times New Roman"/>
                <w:bCs/>
                <w:color w:val="000000" w:themeColor="text1"/>
                <w:szCs w:val="21"/>
              </w:rPr>
              <w:t>范围内均无居民等敏感目标</w:t>
            </w:r>
            <w:r w:rsidR="007C377C" w:rsidRPr="00092862">
              <w:rPr>
                <w:rFonts w:ascii="Times New Roman" w:eastAsia="宋体" w:hAnsi="Times New Roman" w:cs="Times New Roman"/>
                <w:bCs/>
                <w:color w:val="000000" w:themeColor="text1"/>
                <w:szCs w:val="21"/>
              </w:rPr>
              <w:t>分布</w:t>
            </w:r>
            <w:r w:rsidR="00276CB3" w:rsidRPr="00092862">
              <w:rPr>
                <w:rFonts w:ascii="Times New Roman" w:eastAsia="宋体" w:hAnsi="Times New Roman" w:cs="Times New Roman"/>
                <w:color w:val="000000" w:themeColor="text1"/>
                <w:szCs w:val="21"/>
              </w:rPr>
              <w:t>，</w:t>
            </w:r>
            <w:r w:rsidR="003B1968" w:rsidRPr="00092862">
              <w:rPr>
                <w:rFonts w:ascii="Times New Roman" w:eastAsia="宋体" w:hAnsi="Times New Roman" w:cs="Times New Roman"/>
                <w:color w:val="000000" w:themeColor="text1"/>
                <w:szCs w:val="21"/>
              </w:rPr>
              <w:t>位于井场</w:t>
            </w:r>
            <w:r w:rsidR="007C377C" w:rsidRPr="00092862">
              <w:rPr>
                <w:rFonts w:ascii="Times New Roman" w:eastAsia="宋体" w:hAnsi="Times New Roman" w:cs="Times New Roman"/>
                <w:color w:val="000000" w:themeColor="text1"/>
                <w:szCs w:val="21"/>
              </w:rPr>
              <w:t>侧</w:t>
            </w:r>
            <w:r w:rsidR="003B1968" w:rsidRPr="00092862">
              <w:rPr>
                <w:rFonts w:ascii="Times New Roman" w:eastAsia="宋体" w:hAnsi="Times New Roman" w:cs="Times New Roman"/>
                <w:color w:val="000000" w:themeColor="text1"/>
                <w:szCs w:val="21"/>
              </w:rPr>
              <w:t>风向。</w:t>
            </w:r>
          </w:p>
        </w:tc>
        <w:tc>
          <w:tcPr>
            <w:tcW w:w="1045" w:type="dxa"/>
            <w:vAlign w:val="center"/>
          </w:tcPr>
          <w:p w14:paraId="6EAA6425" w14:textId="77777777" w:rsidR="00DC446C" w:rsidRPr="00092862" w:rsidRDefault="003B1968" w:rsidP="003D2EEB">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符合要求</w:t>
            </w:r>
          </w:p>
        </w:tc>
      </w:tr>
    </w:tbl>
    <w:p w14:paraId="7DB607F6" w14:textId="08F7785E" w:rsidR="00DC446C" w:rsidRPr="00092862" w:rsidRDefault="003B1968" w:rsidP="00276CB3">
      <w:pPr>
        <w:tabs>
          <w:tab w:val="left" w:pos="0"/>
        </w:tabs>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综上所述，本工程钻井期井场布置合理，钻井期间平面布置图见附图</w:t>
      </w:r>
      <w:r w:rsidR="00621277"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w:t>
      </w:r>
    </w:p>
    <w:p w14:paraId="4B5C589C" w14:textId="0AE81276" w:rsidR="00DC446C" w:rsidRPr="00092862" w:rsidRDefault="00B205A2" w:rsidP="003D2EEB">
      <w:pPr>
        <w:tabs>
          <w:tab w:val="left" w:pos="0"/>
        </w:tabs>
        <w:adjustRightInd w:val="0"/>
        <w:snapToGrid w:val="0"/>
        <w:spacing w:line="360" w:lineRule="auto"/>
        <w:ind w:firstLineChars="200" w:firstLine="480"/>
        <w:rPr>
          <w:rFonts w:ascii="Times New Roman" w:eastAsia="黑体" w:hAnsi="Times New Roman" w:cs="Times New Roman"/>
          <w:bCs/>
          <w:color w:val="000000" w:themeColor="text1"/>
          <w:sz w:val="24"/>
          <w:szCs w:val="24"/>
        </w:rPr>
      </w:pPr>
      <w:bookmarkStart w:id="79" w:name="_Toc8802"/>
      <w:r w:rsidRPr="00092862">
        <w:rPr>
          <w:rFonts w:ascii="Times New Roman" w:eastAsia="黑体" w:hAnsi="Times New Roman" w:cs="Times New Roman"/>
          <w:bCs/>
          <w:color w:val="000000" w:themeColor="text1"/>
          <w:sz w:val="24"/>
          <w:szCs w:val="24"/>
        </w:rPr>
        <w:t>2</w:t>
      </w:r>
      <w:r w:rsidRPr="00092862">
        <w:rPr>
          <w:rFonts w:ascii="Times New Roman" w:eastAsia="黑体" w:hAnsi="Times New Roman" w:cs="Times New Roman"/>
          <w:bCs/>
          <w:color w:val="000000" w:themeColor="text1"/>
          <w:sz w:val="24"/>
          <w:szCs w:val="24"/>
        </w:rPr>
        <w:t>、</w:t>
      </w:r>
      <w:r w:rsidR="000210E0" w:rsidRPr="00092862">
        <w:rPr>
          <w:rFonts w:ascii="Times New Roman" w:eastAsia="黑体" w:hAnsi="Times New Roman" w:cs="Times New Roman"/>
          <w:bCs/>
          <w:color w:val="000000" w:themeColor="text1"/>
          <w:sz w:val="24"/>
          <w:szCs w:val="24"/>
        </w:rPr>
        <w:t>试采</w:t>
      </w:r>
      <w:r w:rsidR="003B1968" w:rsidRPr="00092862">
        <w:rPr>
          <w:rFonts w:ascii="Times New Roman" w:eastAsia="黑体" w:hAnsi="Times New Roman" w:cs="Times New Roman"/>
          <w:bCs/>
          <w:color w:val="000000" w:themeColor="text1"/>
          <w:sz w:val="24"/>
          <w:szCs w:val="24"/>
        </w:rPr>
        <w:t>工程平面布局合理性分析</w:t>
      </w:r>
      <w:bookmarkEnd w:id="79"/>
    </w:p>
    <w:p w14:paraId="29CA0727" w14:textId="6C17639B" w:rsidR="00F60357" w:rsidRPr="00092862" w:rsidRDefault="003C3238" w:rsidP="00800790">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701</w:t>
      </w:r>
      <w:r w:rsidR="0012569E" w:rsidRPr="00092862">
        <w:rPr>
          <w:rFonts w:ascii="Times New Roman" w:eastAsia="宋体" w:hAnsi="Times New Roman" w:cs="Times New Roman"/>
          <w:bCs/>
          <w:color w:val="000000" w:themeColor="text1"/>
          <w:sz w:val="24"/>
          <w:szCs w:val="24"/>
        </w:rPr>
        <w:t>集气站</w:t>
      </w:r>
      <w:r w:rsidR="00800790" w:rsidRPr="00092862">
        <w:rPr>
          <w:rFonts w:ascii="Times New Roman" w:eastAsia="宋体" w:hAnsi="Times New Roman" w:cs="Times New Roman"/>
          <w:bCs/>
          <w:color w:val="000000" w:themeColor="text1"/>
          <w:sz w:val="24"/>
          <w:szCs w:val="24"/>
        </w:rPr>
        <w:t>（</w:t>
      </w:r>
      <w:r w:rsidR="00F30AFD" w:rsidRPr="00092862">
        <w:rPr>
          <w:rFonts w:ascii="Times New Roman" w:eastAsia="宋体" w:hAnsi="Times New Roman" w:cs="Times New Roman"/>
          <w:bCs/>
          <w:color w:val="000000" w:themeColor="text1"/>
          <w:sz w:val="24"/>
          <w:szCs w:val="24"/>
        </w:rPr>
        <w:t>集气站</w:t>
      </w:r>
      <w:r w:rsidR="00800790" w:rsidRPr="00092862">
        <w:rPr>
          <w:rFonts w:ascii="Times New Roman" w:eastAsia="宋体" w:hAnsi="Times New Roman" w:cs="Times New Roman"/>
          <w:bCs/>
          <w:color w:val="000000" w:themeColor="text1"/>
          <w:sz w:val="24"/>
          <w:szCs w:val="24"/>
        </w:rPr>
        <w:t>）站场分四个区布置，主要由井场区、站场装置区、辅助生产站控室区和放空火炬区组成。根据现场地形情况，集气站场采用台阶式布置，井场、站场装置、辅助生产站控室、放空火炬四区依次升高布置在四个台阶上。每一级台阶场地为平坡式布置，便于场地排雨水及提高工作人员安全性。井场地面标高</w:t>
      </w:r>
      <w:r w:rsidR="00800790" w:rsidRPr="00092862">
        <w:rPr>
          <w:rFonts w:ascii="Times New Roman" w:eastAsia="宋体" w:hAnsi="Times New Roman" w:cs="Times New Roman"/>
          <w:bCs/>
          <w:color w:val="000000" w:themeColor="text1"/>
          <w:sz w:val="24"/>
          <w:szCs w:val="24"/>
        </w:rPr>
        <w:t>-0.30m</w:t>
      </w:r>
      <w:r w:rsidR="00800790" w:rsidRPr="00092862">
        <w:rPr>
          <w:rFonts w:ascii="Times New Roman" w:eastAsia="宋体" w:hAnsi="Times New Roman" w:cs="Times New Roman"/>
          <w:bCs/>
          <w:color w:val="000000" w:themeColor="text1"/>
          <w:sz w:val="24"/>
          <w:szCs w:val="24"/>
        </w:rPr>
        <w:t>，站场装置区地面标高</w:t>
      </w:r>
      <w:r w:rsidR="00800790" w:rsidRPr="00092862">
        <w:rPr>
          <w:rFonts w:ascii="Times New Roman" w:eastAsia="宋体" w:hAnsi="Times New Roman" w:cs="Times New Roman"/>
          <w:bCs/>
          <w:color w:val="000000" w:themeColor="text1"/>
          <w:sz w:val="24"/>
          <w:szCs w:val="24"/>
        </w:rPr>
        <w:t>-0.30m</w:t>
      </w:r>
      <w:r w:rsidR="00800790" w:rsidRPr="00092862">
        <w:rPr>
          <w:rFonts w:ascii="Times New Roman" w:eastAsia="宋体" w:hAnsi="Times New Roman" w:cs="Times New Roman"/>
          <w:bCs/>
          <w:color w:val="000000" w:themeColor="text1"/>
          <w:sz w:val="24"/>
          <w:szCs w:val="24"/>
        </w:rPr>
        <w:t>，放空区位于站场西北方向，距离站场约</w:t>
      </w:r>
      <w:r w:rsidR="00800790" w:rsidRPr="00092862">
        <w:rPr>
          <w:rFonts w:ascii="Times New Roman" w:eastAsia="宋体" w:hAnsi="Times New Roman" w:cs="Times New Roman"/>
          <w:bCs/>
          <w:color w:val="000000" w:themeColor="text1"/>
          <w:sz w:val="24"/>
          <w:szCs w:val="24"/>
        </w:rPr>
        <w:t>71m</w:t>
      </w:r>
      <w:r w:rsidR="00800790" w:rsidRPr="00092862">
        <w:rPr>
          <w:rFonts w:ascii="Times New Roman" w:eastAsia="宋体" w:hAnsi="Times New Roman" w:cs="Times New Roman"/>
          <w:bCs/>
          <w:color w:val="000000" w:themeColor="text1"/>
          <w:sz w:val="24"/>
          <w:szCs w:val="24"/>
        </w:rPr>
        <w:t>的高地处，相对站场装置区地面标高为</w:t>
      </w:r>
      <w:r w:rsidR="00800790" w:rsidRPr="00092862">
        <w:rPr>
          <w:rFonts w:ascii="Times New Roman" w:eastAsia="宋体" w:hAnsi="Times New Roman" w:cs="Times New Roman"/>
          <w:bCs/>
          <w:color w:val="000000" w:themeColor="text1"/>
          <w:sz w:val="24"/>
          <w:szCs w:val="24"/>
        </w:rPr>
        <w:t>42.85m</w:t>
      </w:r>
      <w:r w:rsidR="00800790" w:rsidRPr="00092862">
        <w:rPr>
          <w:rFonts w:ascii="Times New Roman" w:eastAsia="宋体" w:hAnsi="Times New Roman" w:cs="Times New Roman"/>
          <w:bCs/>
          <w:color w:val="000000" w:themeColor="text1"/>
          <w:sz w:val="24"/>
          <w:szCs w:val="24"/>
        </w:rPr>
        <w:t>。场地坡向由东向西为单面坡，坡度为</w:t>
      </w:r>
      <w:r w:rsidR="00800790" w:rsidRPr="00092862">
        <w:rPr>
          <w:rFonts w:ascii="Times New Roman" w:eastAsia="宋体" w:hAnsi="Times New Roman" w:cs="Times New Roman"/>
          <w:bCs/>
          <w:color w:val="000000" w:themeColor="text1"/>
          <w:sz w:val="24"/>
          <w:szCs w:val="24"/>
        </w:rPr>
        <w:t>0.3</w:t>
      </w:r>
      <w:r w:rsidR="00800790" w:rsidRPr="00092862">
        <w:rPr>
          <w:rFonts w:ascii="Times New Roman" w:eastAsia="宋体" w:hAnsi="Times New Roman" w:cs="Times New Roman"/>
          <w:bCs/>
          <w:color w:val="000000" w:themeColor="text1"/>
          <w:sz w:val="24"/>
          <w:szCs w:val="24"/>
        </w:rPr>
        <w:t>％。</w:t>
      </w:r>
    </w:p>
    <w:p w14:paraId="7FAFF36B" w14:textId="22C52B22" w:rsidR="00456CFD" w:rsidRPr="00092862" w:rsidRDefault="004D07D0" w:rsidP="00456CFD">
      <w:pPr>
        <w:tabs>
          <w:tab w:val="left" w:pos="0"/>
        </w:tabs>
        <w:adjustRightInd w:val="0"/>
        <w:snapToGrid w:val="0"/>
        <w:spacing w:line="360" w:lineRule="auto"/>
        <w:ind w:firstLineChars="200" w:firstLine="42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Cs w:val="20"/>
        </w:rPr>
        <w:t>L7011-4H</w:t>
      </w:r>
      <w:r w:rsidRPr="00092862">
        <w:rPr>
          <w:rFonts w:ascii="Times New Roman" w:eastAsia="宋体" w:hAnsi="Times New Roman" w:cs="Times New Roman"/>
          <w:color w:val="000000" w:themeColor="text1"/>
          <w:szCs w:val="20"/>
        </w:rPr>
        <w:t>、</w:t>
      </w:r>
      <w:r w:rsidRPr="00092862">
        <w:rPr>
          <w:rFonts w:ascii="Times New Roman" w:eastAsia="宋体" w:hAnsi="Times New Roman" w:cs="Times New Roman"/>
          <w:color w:val="000000" w:themeColor="text1"/>
          <w:szCs w:val="20"/>
        </w:rPr>
        <w:t>L7011-5H</w:t>
      </w:r>
      <w:r w:rsidRPr="00092862">
        <w:rPr>
          <w:rFonts w:ascii="Times New Roman" w:eastAsia="宋体" w:hAnsi="Times New Roman" w:cs="Times New Roman"/>
          <w:color w:val="000000" w:themeColor="text1"/>
          <w:szCs w:val="20"/>
        </w:rPr>
        <w:t>井井口气汇合后通过新建采气管道（</w:t>
      </w:r>
      <w:r w:rsidRPr="00092862">
        <w:rPr>
          <w:rFonts w:ascii="Times New Roman" w:eastAsia="宋体" w:hAnsi="Times New Roman" w:cs="Times New Roman"/>
          <w:color w:val="000000" w:themeColor="text1"/>
          <w:szCs w:val="20"/>
        </w:rPr>
        <w:t>40m</w:t>
      </w:r>
      <w:r w:rsidRPr="00092862">
        <w:rPr>
          <w:rFonts w:ascii="Times New Roman" w:eastAsia="宋体" w:hAnsi="Times New Roman" w:cs="Times New Roman"/>
          <w:color w:val="000000" w:themeColor="text1"/>
          <w:szCs w:val="20"/>
        </w:rPr>
        <w:t>）输送至老君</w:t>
      </w:r>
      <w:r w:rsidRPr="00092862">
        <w:rPr>
          <w:rFonts w:ascii="Times New Roman" w:eastAsia="宋体" w:hAnsi="Times New Roman" w:cs="Times New Roman"/>
          <w:color w:val="000000" w:themeColor="text1"/>
          <w:szCs w:val="20"/>
        </w:rPr>
        <w:t>701</w:t>
      </w:r>
      <w:r w:rsidRPr="00092862">
        <w:rPr>
          <w:rFonts w:ascii="Times New Roman" w:eastAsia="宋体" w:hAnsi="Times New Roman" w:cs="Times New Roman"/>
          <w:color w:val="000000" w:themeColor="text1"/>
          <w:szCs w:val="20"/>
        </w:rPr>
        <w:t>集气站，在站内分酸、加热、节流、分离后输至天然气净化厂。新建老君</w:t>
      </w:r>
      <w:r w:rsidRPr="00092862">
        <w:rPr>
          <w:rFonts w:ascii="Times New Roman" w:eastAsia="宋体" w:hAnsi="Times New Roman" w:cs="Times New Roman"/>
          <w:color w:val="000000" w:themeColor="text1"/>
          <w:szCs w:val="20"/>
        </w:rPr>
        <w:t>7011</w:t>
      </w:r>
      <w:r w:rsidRPr="00092862">
        <w:rPr>
          <w:rFonts w:ascii="Times New Roman" w:eastAsia="宋体" w:hAnsi="Times New Roman" w:cs="Times New Roman"/>
          <w:color w:val="000000" w:themeColor="text1"/>
          <w:szCs w:val="20"/>
        </w:rPr>
        <w:t>采气站</w:t>
      </w:r>
      <w:r w:rsidRPr="00092862">
        <w:rPr>
          <w:rFonts w:ascii="Times New Roman" w:eastAsia="宋体" w:hAnsi="Times New Roman" w:cs="Times New Roman"/>
          <w:color w:val="000000" w:themeColor="text1"/>
          <w:szCs w:val="20"/>
        </w:rPr>
        <w:t>1</w:t>
      </w:r>
      <w:r w:rsidRPr="00092862">
        <w:rPr>
          <w:rFonts w:ascii="Times New Roman" w:eastAsia="宋体" w:hAnsi="Times New Roman" w:cs="Times New Roman"/>
          <w:color w:val="000000" w:themeColor="text1"/>
          <w:szCs w:val="20"/>
        </w:rPr>
        <w:t>座、水套加热炉</w:t>
      </w:r>
      <w:r w:rsidRPr="00092862">
        <w:rPr>
          <w:rFonts w:ascii="Times New Roman" w:eastAsia="宋体" w:hAnsi="Times New Roman" w:cs="Times New Roman"/>
          <w:color w:val="000000" w:themeColor="text1"/>
          <w:szCs w:val="20"/>
        </w:rPr>
        <w:t>1</w:t>
      </w:r>
      <w:r w:rsidRPr="00092862">
        <w:rPr>
          <w:rFonts w:ascii="Times New Roman" w:eastAsia="宋体" w:hAnsi="Times New Roman" w:cs="Times New Roman"/>
          <w:color w:val="000000" w:themeColor="text1"/>
          <w:szCs w:val="20"/>
        </w:rPr>
        <w:t>座，其余生产分离器等均依托老君</w:t>
      </w:r>
      <w:r w:rsidRPr="00092862">
        <w:rPr>
          <w:rFonts w:ascii="Times New Roman" w:eastAsia="宋体" w:hAnsi="Times New Roman" w:cs="Times New Roman"/>
          <w:color w:val="000000" w:themeColor="text1"/>
          <w:szCs w:val="20"/>
        </w:rPr>
        <w:t>701</w:t>
      </w:r>
      <w:r w:rsidRPr="00092862">
        <w:rPr>
          <w:rFonts w:ascii="Times New Roman" w:eastAsia="宋体" w:hAnsi="Times New Roman" w:cs="Times New Roman"/>
          <w:color w:val="000000" w:themeColor="text1"/>
          <w:szCs w:val="20"/>
        </w:rPr>
        <w:t>站内已建流程，配套建设自控、电力、结构等设施</w:t>
      </w:r>
      <w:r w:rsidR="00456CFD" w:rsidRPr="00092862">
        <w:rPr>
          <w:rFonts w:ascii="Times New Roman" w:eastAsia="宋体" w:hAnsi="Times New Roman" w:cs="Times New Roman"/>
          <w:bCs/>
          <w:color w:val="000000" w:themeColor="text1"/>
          <w:sz w:val="24"/>
          <w:szCs w:val="24"/>
        </w:rPr>
        <w:t>。</w:t>
      </w:r>
    </w:p>
    <w:p w14:paraId="30C03669" w14:textId="7BE06143" w:rsidR="00276CB3" w:rsidRPr="00092862" w:rsidRDefault="00456CFD" w:rsidP="00456CFD">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据《石油天然气工程设计防火规范》（</w:t>
      </w:r>
      <w:r w:rsidRPr="00092862">
        <w:rPr>
          <w:rFonts w:ascii="Times New Roman" w:eastAsia="宋体" w:hAnsi="Times New Roman" w:cs="Times New Roman"/>
          <w:bCs/>
          <w:color w:val="000000" w:themeColor="text1"/>
          <w:sz w:val="24"/>
          <w:szCs w:val="24"/>
        </w:rPr>
        <w:t>GB50183-2004</w:t>
      </w:r>
      <w:r w:rsidRPr="00092862">
        <w:rPr>
          <w:rFonts w:ascii="Times New Roman" w:eastAsia="宋体" w:hAnsi="Times New Roman" w:cs="Times New Roman"/>
          <w:bCs/>
          <w:color w:val="000000" w:themeColor="text1"/>
          <w:sz w:val="24"/>
          <w:szCs w:val="24"/>
        </w:rPr>
        <w:t>）规定，</w:t>
      </w:r>
      <w:r w:rsidR="003C3238" w:rsidRPr="00092862">
        <w:rPr>
          <w:rFonts w:ascii="Times New Roman" w:eastAsia="宋体" w:hAnsi="Times New Roman" w:cs="Times New Roman"/>
          <w:bCs/>
          <w:color w:val="000000" w:themeColor="text1"/>
          <w:sz w:val="24"/>
          <w:szCs w:val="24"/>
        </w:rPr>
        <w:t>老君</w:t>
      </w:r>
      <w:r w:rsidR="003C3238" w:rsidRPr="00092862">
        <w:rPr>
          <w:rFonts w:ascii="Times New Roman" w:eastAsia="宋体" w:hAnsi="Times New Roman" w:cs="Times New Roman"/>
          <w:bCs/>
          <w:color w:val="000000" w:themeColor="text1"/>
          <w:sz w:val="24"/>
          <w:szCs w:val="24"/>
        </w:rPr>
        <w:t>701</w:t>
      </w:r>
      <w:r w:rsidRPr="00092862">
        <w:rPr>
          <w:rFonts w:ascii="Times New Roman" w:eastAsia="宋体" w:hAnsi="Times New Roman" w:cs="Times New Roman"/>
          <w:bCs/>
          <w:color w:val="000000" w:themeColor="text1"/>
          <w:sz w:val="24"/>
          <w:szCs w:val="24"/>
        </w:rPr>
        <w:t>集气站属于五级站场，本次</w:t>
      </w:r>
      <w:r w:rsidR="005C17E9" w:rsidRPr="00092862">
        <w:rPr>
          <w:rFonts w:ascii="Times New Roman" w:eastAsia="宋体" w:hAnsi="Times New Roman" w:cs="Times New Roman"/>
          <w:bCs/>
          <w:color w:val="000000" w:themeColor="text1"/>
          <w:sz w:val="24"/>
          <w:szCs w:val="24"/>
        </w:rPr>
        <w:t>井</w:t>
      </w:r>
      <w:r w:rsidRPr="00092862">
        <w:rPr>
          <w:rFonts w:ascii="Times New Roman" w:eastAsia="宋体" w:hAnsi="Times New Roman" w:cs="Times New Roman"/>
          <w:bCs/>
          <w:color w:val="000000" w:themeColor="text1"/>
          <w:sz w:val="24"/>
          <w:szCs w:val="24"/>
        </w:rPr>
        <w:t>均位于</w:t>
      </w:r>
      <w:r w:rsidR="003C3238" w:rsidRPr="00092862">
        <w:rPr>
          <w:rFonts w:ascii="Times New Roman" w:eastAsia="宋体" w:hAnsi="Times New Roman" w:cs="Times New Roman"/>
          <w:bCs/>
          <w:color w:val="000000" w:themeColor="text1"/>
          <w:sz w:val="24"/>
          <w:szCs w:val="24"/>
        </w:rPr>
        <w:t>老君</w:t>
      </w:r>
      <w:r w:rsidR="003C3238" w:rsidRPr="00092862">
        <w:rPr>
          <w:rFonts w:ascii="Times New Roman" w:eastAsia="宋体" w:hAnsi="Times New Roman" w:cs="Times New Roman"/>
          <w:bCs/>
          <w:color w:val="000000" w:themeColor="text1"/>
          <w:sz w:val="24"/>
          <w:szCs w:val="24"/>
        </w:rPr>
        <w:t>701</w:t>
      </w:r>
      <w:r w:rsidRPr="00092862">
        <w:rPr>
          <w:rFonts w:ascii="Times New Roman" w:eastAsia="宋体" w:hAnsi="Times New Roman" w:cs="Times New Roman"/>
          <w:bCs/>
          <w:color w:val="000000" w:themeColor="text1"/>
          <w:sz w:val="24"/>
          <w:szCs w:val="24"/>
        </w:rPr>
        <w:t>站内，站场等级未变，站场布置与已建站场一致。</w:t>
      </w:r>
      <w:r w:rsidR="00276CB3" w:rsidRPr="00092862">
        <w:rPr>
          <w:rFonts w:ascii="Times New Roman" w:eastAsia="宋体" w:hAnsi="Times New Roman" w:cs="Times New Roman"/>
          <w:bCs/>
          <w:color w:val="000000" w:themeColor="text1"/>
          <w:sz w:val="24"/>
          <w:szCs w:val="24"/>
        </w:rPr>
        <w:t>五级站场内设施的间距要求见下表</w:t>
      </w:r>
      <w:r w:rsidR="00276CB3" w:rsidRPr="00092862">
        <w:rPr>
          <w:rFonts w:ascii="Times New Roman" w:eastAsia="宋体" w:hAnsi="Times New Roman" w:cs="Times New Roman"/>
          <w:bCs/>
          <w:color w:val="000000" w:themeColor="text1"/>
          <w:sz w:val="24"/>
          <w:szCs w:val="24"/>
        </w:rPr>
        <w:t>2.10-4</w:t>
      </w:r>
      <w:r w:rsidR="00276CB3" w:rsidRPr="00092862">
        <w:rPr>
          <w:rFonts w:ascii="Times New Roman" w:eastAsia="宋体" w:hAnsi="Times New Roman" w:cs="Times New Roman"/>
          <w:bCs/>
          <w:color w:val="000000" w:themeColor="text1"/>
          <w:sz w:val="24"/>
          <w:szCs w:val="24"/>
        </w:rPr>
        <w:t>。</w:t>
      </w:r>
    </w:p>
    <w:p w14:paraId="58F41689" w14:textId="5FD7E41F" w:rsidR="00276CB3" w:rsidRPr="00092862" w:rsidRDefault="00276CB3"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2.10-4   </w:t>
      </w:r>
      <w:r w:rsidRPr="00092862">
        <w:rPr>
          <w:rFonts w:ascii="Times New Roman" w:eastAsia="黑体" w:hAnsi="Times New Roman"/>
          <w:color w:val="000000" w:themeColor="text1"/>
          <w:sz w:val="21"/>
          <w:szCs w:val="21"/>
          <w:lang w:eastAsia="zh-CN"/>
        </w:rPr>
        <w:t>站场总平面布置间距一览表</w:t>
      </w:r>
      <w:r w:rsidR="002C40AD"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 xml:space="preserve"> </w:t>
      </w:r>
      <w:r w:rsidR="002C40AD"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65"/>
        <w:gridCol w:w="858"/>
        <w:gridCol w:w="951"/>
        <w:gridCol w:w="967"/>
        <w:gridCol w:w="822"/>
        <w:gridCol w:w="777"/>
        <w:gridCol w:w="804"/>
        <w:gridCol w:w="795"/>
        <w:gridCol w:w="983"/>
      </w:tblGrid>
      <w:tr w:rsidR="00697429" w:rsidRPr="00092862" w14:paraId="11616AD7"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116F0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名称</w:t>
            </w:r>
          </w:p>
        </w:tc>
        <w:tc>
          <w:tcPr>
            <w:tcW w:w="858" w:type="dxa"/>
            <w:tcBorders>
              <w:top w:val="single" w:sz="4" w:space="0" w:color="auto"/>
              <w:left w:val="single" w:sz="4" w:space="0" w:color="auto"/>
              <w:bottom w:val="single" w:sz="4" w:space="0" w:color="auto"/>
              <w:right w:val="single" w:sz="4" w:space="0" w:color="auto"/>
            </w:tcBorders>
            <w:vAlign w:val="center"/>
            <w:hideMark/>
          </w:tcPr>
          <w:p w14:paraId="62DDDAB3" w14:textId="77777777"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油气井</w:t>
            </w:r>
          </w:p>
        </w:tc>
        <w:tc>
          <w:tcPr>
            <w:tcW w:w="951" w:type="dxa"/>
            <w:tcBorders>
              <w:top w:val="single" w:sz="4" w:space="0" w:color="auto"/>
              <w:left w:val="single" w:sz="4" w:space="0" w:color="auto"/>
              <w:bottom w:val="single" w:sz="4" w:space="0" w:color="auto"/>
              <w:right w:val="single" w:sz="4" w:space="0" w:color="auto"/>
            </w:tcBorders>
            <w:vAlign w:val="center"/>
            <w:hideMark/>
          </w:tcPr>
          <w:p w14:paraId="741BFFD5"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露天油气密闭设备及阀组</w:t>
            </w:r>
          </w:p>
        </w:tc>
        <w:tc>
          <w:tcPr>
            <w:tcW w:w="967" w:type="dxa"/>
            <w:tcBorders>
              <w:top w:val="single" w:sz="4" w:space="0" w:color="auto"/>
              <w:left w:val="single" w:sz="4" w:space="0" w:color="auto"/>
              <w:bottom w:val="single" w:sz="4" w:space="0" w:color="auto"/>
              <w:right w:val="single" w:sz="4" w:space="0" w:color="auto"/>
            </w:tcBorders>
            <w:vAlign w:val="center"/>
            <w:hideMark/>
          </w:tcPr>
          <w:p w14:paraId="7132836A"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可燃气体压缩机及压缩机房</w:t>
            </w:r>
          </w:p>
        </w:tc>
        <w:tc>
          <w:tcPr>
            <w:tcW w:w="822" w:type="dxa"/>
            <w:tcBorders>
              <w:top w:val="single" w:sz="4" w:space="0" w:color="auto"/>
              <w:left w:val="single" w:sz="4" w:space="0" w:color="auto"/>
              <w:bottom w:val="single" w:sz="4" w:space="0" w:color="auto"/>
              <w:right w:val="single" w:sz="4" w:space="0" w:color="auto"/>
            </w:tcBorders>
            <w:vAlign w:val="center"/>
            <w:hideMark/>
          </w:tcPr>
          <w:p w14:paraId="39E86F39" w14:textId="7471F1DE" w:rsidR="00276CB3" w:rsidRPr="00092862" w:rsidRDefault="00C26134"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水套加热炉</w:t>
            </w:r>
          </w:p>
        </w:tc>
        <w:tc>
          <w:tcPr>
            <w:tcW w:w="777" w:type="dxa"/>
            <w:tcBorders>
              <w:top w:val="single" w:sz="4" w:space="0" w:color="auto"/>
              <w:left w:val="single" w:sz="4" w:space="0" w:color="auto"/>
              <w:bottom w:val="single" w:sz="4" w:space="0" w:color="auto"/>
              <w:right w:val="single" w:sz="4" w:space="0" w:color="auto"/>
            </w:tcBorders>
            <w:vAlign w:val="center"/>
            <w:hideMark/>
          </w:tcPr>
          <w:p w14:paraId="24FF9EF9"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装卸车鹤管</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8271F2"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天然气凝液单罐</w:t>
            </w:r>
            <w:r w:rsidRPr="00092862">
              <w:rPr>
                <w:rFonts w:ascii="Times New Roman" w:eastAsia="宋体" w:hAnsi="Times New Roman" w:cs="Times New Roman"/>
                <w:color w:val="000000" w:themeColor="text1"/>
                <w:szCs w:val="21"/>
              </w:rPr>
              <w:t>&lt;50m³</w:t>
            </w:r>
          </w:p>
        </w:tc>
        <w:tc>
          <w:tcPr>
            <w:tcW w:w="795" w:type="dxa"/>
            <w:tcBorders>
              <w:top w:val="single" w:sz="4" w:space="0" w:color="auto"/>
              <w:left w:val="single" w:sz="4" w:space="0" w:color="auto"/>
              <w:bottom w:val="single" w:sz="4" w:space="0" w:color="auto"/>
              <w:right w:val="single" w:sz="4" w:space="0" w:color="auto"/>
            </w:tcBorders>
            <w:vAlign w:val="center"/>
            <w:hideMark/>
          </w:tcPr>
          <w:p w14:paraId="105A59A9" w14:textId="77777777"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计量仪表间、值班室</w:t>
            </w:r>
          </w:p>
        </w:tc>
        <w:tc>
          <w:tcPr>
            <w:tcW w:w="983" w:type="dxa"/>
            <w:tcBorders>
              <w:top w:val="single" w:sz="4" w:space="0" w:color="auto"/>
              <w:left w:val="single" w:sz="4" w:space="0" w:color="auto"/>
              <w:bottom w:val="single" w:sz="4" w:space="0" w:color="auto"/>
              <w:right w:val="single" w:sz="4" w:space="0" w:color="auto"/>
            </w:tcBorders>
            <w:vAlign w:val="center"/>
            <w:hideMark/>
          </w:tcPr>
          <w:p w14:paraId="752E6EE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辅助生产厂房及辅助生产设施</w:t>
            </w:r>
          </w:p>
        </w:tc>
      </w:tr>
      <w:tr w:rsidR="00697429" w:rsidRPr="00092862" w14:paraId="5925E62B"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4C6231" w14:textId="77777777"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油气井</w:t>
            </w:r>
          </w:p>
        </w:tc>
        <w:tc>
          <w:tcPr>
            <w:tcW w:w="858" w:type="dxa"/>
            <w:tcBorders>
              <w:top w:val="single" w:sz="4" w:space="0" w:color="auto"/>
              <w:left w:val="single" w:sz="4" w:space="0" w:color="auto"/>
              <w:bottom w:val="single" w:sz="4" w:space="0" w:color="auto"/>
              <w:right w:val="single" w:sz="4" w:space="0" w:color="auto"/>
            </w:tcBorders>
            <w:vAlign w:val="center"/>
            <w:hideMark/>
          </w:tcPr>
          <w:p w14:paraId="4A5FD275"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5919B87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67" w:type="dxa"/>
            <w:tcBorders>
              <w:top w:val="single" w:sz="4" w:space="0" w:color="auto"/>
              <w:left w:val="single" w:sz="4" w:space="0" w:color="auto"/>
              <w:bottom w:val="single" w:sz="4" w:space="0" w:color="auto"/>
              <w:right w:val="single" w:sz="4" w:space="0" w:color="auto"/>
            </w:tcBorders>
            <w:vAlign w:val="center"/>
            <w:hideMark/>
          </w:tcPr>
          <w:p w14:paraId="4AC728B1" w14:textId="00C970DB" w:rsidR="00276CB3" w:rsidRPr="00092862" w:rsidRDefault="005037BF"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5570D841"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65251A2A"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B69B451"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01377952"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835F5D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7450F703"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1DFBDE7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露天油气密闭设备及阀组</w:t>
            </w:r>
          </w:p>
        </w:tc>
        <w:tc>
          <w:tcPr>
            <w:tcW w:w="858" w:type="dxa"/>
            <w:tcBorders>
              <w:top w:val="single" w:sz="4" w:space="0" w:color="auto"/>
              <w:left w:val="single" w:sz="4" w:space="0" w:color="auto"/>
              <w:bottom w:val="single" w:sz="4" w:space="0" w:color="auto"/>
              <w:right w:val="single" w:sz="4" w:space="0" w:color="auto"/>
            </w:tcBorders>
            <w:vAlign w:val="center"/>
            <w:hideMark/>
          </w:tcPr>
          <w:p w14:paraId="6292ECDF"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951" w:type="dxa"/>
            <w:tcBorders>
              <w:top w:val="single" w:sz="4" w:space="0" w:color="auto"/>
              <w:left w:val="single" w:sz="4" w:space="0" w:color="auto"/>
              <w:bottom w:val="single" w:sz="4" w:space="0" w:color="auto"/>
              <w:right w:val="single" w:sz="4" w:space="0" w:color="auto"/>
            </w:tcBorders>
            <w:vAlign w:val="center"/>
            <w:hideMark/>
          </w:tcPr>
          <w:p w14:paraId="39961F3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4F37A87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2547AFC2"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4A2E71FA"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72D76F1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4DCEAFEF"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0D403C2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1DBE4660"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61213389"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可燃气体压缩机及压缩机房</w:t>
            </w:r>
          </w:p>
        </w:tc>
        <w:tc>
          <w:tcPr>
            <w:tcW w:w="858" w:type="dxa"/>
            <w:tcBorders>
              <w:top w:val="single" w:sz="4" w:space="0" w:color="auto"/>
              <w:left w:val="single" w:sz="4" w:space="0" w:color="auto"/>
              <w:bottom w:val="single" w:sz="4" w:space="0" w:color="auto"/>
              <w:right w:val="single" w:sz="4" w:space="0" w:color="auto"/>
            </w:tcBorders>
            <w:vAlign w:val="center"/>
            <w:hideMark/>
          </w:tcPr>
          <w:p w14:paraId="51C2FBF0" w14:textId="60572E44" w:rsidR="00276CB3" w:rsidRPr="00092862" w:rsidRDefault="005037BF"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404818FA"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28F31327"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10327AF7"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7BA40741"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EB74B49"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38D02755"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2481AC5E"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6AC63385"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279E9B81" w14:textId="31E8076E" w:rsidR="00276CB3" w:rsidRPr="00092862" w:rsidRDefault="00C26134"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水套加热炉</w:t>
            </w:r>
          </w:p>
        </w:tc>
        <w:tc>
          <w:tcPr>
            <w:tcW w:w="858" w:type="dxa"/>
            <w:tcBorders>
              <w:top w:val="single" w:sz="4" w:space="0" w:color="auto"/>
              <w:left w:val="single" w:sz="4" w:space="0" w:color="auto"/>
              <w:bottom w:val="single" w:sz="4" w:space="0" w:color="auto"/>
              <w:right w:val="single" w:sz="4" w:space="0" w:color="auto"/>
            </w:tcBorders>
            <w:vAlign w:val="center"/>
            <w:hideMark/>
          </w:tcPr>
          <w:p w14:paraId="0AC07A69" w14:textId="405FF4F7"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9</w:t>
            </w:r>
            <w:r w:rsidRPr="00092862">
              <w:rPr>
                <w:rFonts w:ascii="Times New Roman" w:eastAsia="宋体" w:hAnsi="Times New Roman" w:cs="Times New Roman"/>
                <w:b/>
                <w:color w:val="000000" w:themeColor="text1"/>
                <w:szCs w:val="21"/>
              </w:rPr>
              <w:t>（</w:t>
            </w:r>
            <w:r w:rsidR="006D6FAB" w:rsidRPr="00092862">
              <w:rPr>
                <w:rFonts w:ascii="Times New Roman" w:eastAsia="宋体" w:hAnsi="Times New Roman" w:cs="Times New Roman"/>
                <w:b/>
                <w:color w:val="000000" w:themeColor="text1"/>
                <w:szCs w:val="21"/>
              </w:rPr>
              <w:t>3</w:t>
            </w:r>
            <w:r w:rsidR="005037BF" w:rsidRPr="00092862">
              <w:rPr>
                <w:rFonts w:ascii="Times New Roman" w:eastAsia="宋体" w:hAnsi="Times New Roman" w:cs="Times New Roman"/>
                <w:b/>
                <w:color w:val="000000" w:themeColor="text1"/>
                <w:szCs w:val="21"/>
              </w:rPr>
              <w:t>8</w:t>
            </w:r>
            <w:r w:rsidRPr="00092862">
              <w:rPr>
                <w:rFonts w:ascii="Times New Roman" w:eastAsia="宋体" w:hAnsi="Times New Roman" w:cs="Times New Roman"/>
                <w:b/>
                <w:color w:val="000000" w:themeColor="text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1524B9C1"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F6F00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628731"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26E9566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60A504C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35B48807"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69D3508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4F4DD238"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0B370A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装卸车鹤管</w:t>
            </w:r>
          </w:p>
        </w:tc>
        <w:tc>
          <w:tcPr>
            <w:tcW w:w="858" w:type="dxa"/>
            <w:tcBorders>
              <w:top w:val="single" w:sz="4" w:space="0" w:color="auto"/>
              <w:left w:val="single" w:sz="4" w:space="0" w:color="auto"/>
              <w:bottom w:val="single" w:sz="4" w:space="0" w:color="auto"/>
              <w:right w:val="single" w:sz="4" w:space="0" w:color="auto"/>
            </w:tcBorders>
            <w:vAlign w:val="center"/>
            <w:hideMark/>
          </w:tcPr>
          <w:p w14:paraId="0EF5698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951" w:type="dxa"/>
            <w:tcBorders>
              <w:top w:val="single" w:sz="4" w:space="0" w:color="auto"/>
              <w:left w:val="single" w:sz="4" w:space="0" w:color="auto"/>
              <w:bottom w:val="single" w:sz="4" w:space="0" w:color="auto"/>
              <w:right w:val="single" w:sz="4" w:space="0" w:color="auto"/>
            </w:tcBorders>
            <w:vAlign w:val="center"/>
            <w:hideMark/>
          </w:tcPr>
          <w:p w14:paraId="77DEE025"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C49E5C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7A01B4C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777" w:type="dxa"/>
            <w:tcBorders>
              <w:top w:val="single" w:sz="4" w:space="0" w:color="auto"/>
              <w:left w:val="single" w:sz="4" w:space="0" w:color="auto"/>
              <w:bottom w:val="single" w:sz="4" w:space="0" w:color="auto"/>
              <w:right w:val="single" w:sz="4" w:space="0" w:color="auto"/>
            </w:tcBorders>
            <w:vAlign w:val="center"/>
            <w:hideMark/>
          </w:tcPr>
          <w:p w14:paraId="2E80FED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04" w:type="dxa"/>
            <w:tcBorders>
              <w:top w:val="single" w:sz="4" w:space="0" w:color="auto"/>
              <w:left w:val="single" w:sz="4" w:space="0" w:color="auto"/>
              <w:bottom w:val="single" w:sz="4" w:space="0" w:color="auto"/>
              <w:right w:val="single" w:sz="4" w:space="0" w:color="auto"/>
            </w:tcBorders>
            <w:vAlign w:val="center"/>
          </w:tcPr>
          <w:p w14:paraId="25BCB7E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53E7C4D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7D76BD6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36119F6A"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7867D17"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天然气凝液单罐</w:t>
            </w:r>
            <w:r w:rsidRPr="00092862">
              <w:rPr>
                <w:rFonts w:ascii="Times New Roman" w:eastAsia="宋体" w:hAnsi="Times New Roman" w:cs="Times New Roman"/>
                <w:color w:val="000000" w:themeColor="text1"/>
                <w:szCs w:val="21"/>
              </w:rPr>
              <w:t>&lt;50 m³</w:t>
            </w:r>
          </w:p>
        </w:tc>
        <w:tc>
          <w:tcPr>
            <w:tcW w:w="858" w:type="dxa"/>
            <w:tcBorders>
              <w:top w:val="single" w:sz="4" w:space="0" w:color="auto"/>
              <w:left w:val="single" w:sz="4" w:space="0" w:color="auto"/>
              <w:bottom w:val="single" w:sz="4" w:space="0" w:color="auto"/>
              <w:right w:val="single" w:sz="4" w:space="0" w:color="auto"/>
            </w:tcBorders>
            <w:vAlign w:val="center"/>
            <w:hideMark/>
          </w:tcPr>
          <w:p w14:paraId="7D79D7E2"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465BF51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67" w:type="dxa"/>
            <w:tcBorders>
              <w:top w:val="single" w:sz="4" w:space="0" w:color="auto"/>
              <w:left w:val="single" w:sz="4" w:space="0" w:color="auto"/>
              <w:bottom w:val="single" w:sz="4" w:space="0" w:color="auto"/>
              <w:right w:val="single" w:sz="4" w:space="0" w:color="auto"/>
            </w:tcBorders>
            <w:vAlign w:val="center"/>
            <w:hideMark/>
          </w:tcPr>
          <w:p w14:paraId="50D6FE5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w:t>
            </w:r>
          </w:p>
        </w:tc>
        <w:tc>
          <w:tcPr>
            <w:tcW w:w="822" w:type="dxa"/>
            <w:tcBorders>
              <w:top w:val="single" w:sz="4" w:space="0" w:color="auto"/>
              <w:left w:val="single" w:sz="4" w:space="0" w:color="auto"/>
              <w:bottom w:val="single" w:sz="4" w:space="0" w:color="auto"/>
              <w:right w:val="single" w:sz="4" w:space="0" w:color="auto"/>
            </w:tcBorders>
            <w:vAlign w:val="center"/>
            <w:hideMark/>
          </w:tcPr>
          <w:p w14:paraId="62E7971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w:t>
            </w:r>
          </w:p>
        </w:tc>
        <w:tc>
          <w:tcPr>
            <w:tcW w:w="777" w:type="dxa"/>
            <w:tcBorders>
              <w:top w:val="single" w:sz="4" w:space="0" w:color="auto"/>
              <w:left w:val="single" w:sz="4" w:space="0" w:color="auto"/>
              <w:bottom w:val="single" w:sz="4" w:space="0" w:color="auto"/>
              <w:right w:val="single" w:sz="4" w:space="0" w:color="auto"/>
            </w:tcBorders>
            <w:vAlign w:val="center"/>
            <w:hideMark/>
          </w:tcPr>
          <w:p w14:paraId="699CE8A8"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w:t>
            </w:r>
          </w:p>
        </w:tc>
        <w:tc>
          <w:tcPr>
            <w:tcW w:w="804" w:type="dxa"/>
            <w:tcBorders>
              <w:top w:val="single" w:sz="4" w:space="0" w:color="auto"/>
              <w:left w:val="single" w:sz="4" w:space="0" w:color="auto"/>
              <w:bottom w:val="single" w:sz="4" w:space="0" w:color="auto"/>
              <w:right w:val="single" w:sz="4" w:space="0" w:color="auto"/>
            </w:tcBorders>
            <w:vAlign w:val="center"/>
            <w:hideMark/>
          </w:tcPr>
          <w:p w14:paraId="43966CE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95" w:type="dxa"/>
            <w:tcBorders>
              <w:top w:val="single" w:sz="4" w:space="0" w:color="auto"/>
              <w:left w:val="single" w:sz="4" w:space="0" w:color="auto"/>
              <w:bottom w:val="single" w:sz="4" w:space="0" w:color="auto"/>
              <w:right w:val="single" w:sz="4" w:space="0" w:color="auto"/>
            </w:tcBorders>
            <w:vAlign w:val="center"/>
          </w:tcPr>
          <w:p w14:paraId="7CDD3ED2"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EBFFB1E"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44491C2B"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5D1D8677" w14:textId="77777777"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lastRenderedPageBreak/>
              <w:t>计量仪表间、值班室</w:t>
            </w:r>
          </w:p>
        </w:tc>
        <w:tc>
          <w:tcPr>
            <w:tcW w:w="858" w:type="dxa"/>
            <w:tcBorders>
              <w:top w:val="single" w:sz="4" w:space="0" w:color="auto"/>
              <w:left w:val="single" w:sz="4" w:space="0" w:color="auto"/>
              <w:bottom w:val="single" w:sz="4" w:space="0" w:color="auto"/>
              <w:right w:val="single" w:sz="4" w:space="0" w:color="auto"/>
            </w:tcBorders>
            <w:vAlign w:val="center"/>
            <w:hideMark/>
          </w:tcPr>
          <w:p w14:paraId="50BC5EB8" w14:textId="74418F4B"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9</w:t>
            </w:r>
            <w:r w:rsidRPr="00092862">
              <w:rPr>
                <w:rFonts w:ascii="Times New Roman" w:eastAsia="宋体" w:hAnsi="Times New Roman" w:cs="Times New Roman"/>
                <w:b/>
                <w:color w:val="000000" w:themeColor="text1"/>
                <w:szCs w:val="21"/>
              </w:rPr>
              <w:t>（</w:t>
            </w:r>
            <w:r w:rsidR="005037BF" w:rsidRPr="00092862">
              <w:rPr>
                <w:rFonts w:ascii="Times New Roman" w:eastAsia="宋体" w:hAnsi="Times New Roman" w:cs="Times New Roman"/>
                <w:b/>
                <w:color w:val="000000" w:themeColor="text1"/>
                <w:szCs w:val="21"/>
              </w:rPr>
              <w:t>75</w:t>
            </w:r>
            <w:r w:rsidRPr="00092862">
              <w:rPr>
                <w:rFonts w:ascii="Times New Roman" w:eastAsia="宋体" w:hAnsi="Times New Roman" w:cs="Times New Roman"/>
                <w:b/>
                <w:color w:val="000000" w:themeColor="text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658A8A5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EB039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822" w:type="dxa"/>
            <w:tcBorders>
              <w:top w:val="single" w:sz="4" w:space="0" w:color="auto"/>
              <w:left w:val="single" w:sz="4" w:space="0" w:color="auto"/>
              <w:bottom w:val="single" w:sz="4" w:space="0" w:color="auto"/>
              <w:right w:val="single" w:sz="4" w:space="0" w:color="auto"/>
            </w:tcBorders>
            <w:vAlign w:val="center"/>
            <w:hideMark/>
          </w:tcPr>
          <w:p w14:paraId="68F60169" w14:textId="367D65CC"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10</w:t>
            </w:r>
            <w:r w:rsidRPr="00092862">
              <w:rPr>
                <w:rFonts w:ascii="Times New Roman" w:eastAsia="宋体" w:hAnsi="Times New Roman" w:cs="Times New Roman"/>
                <w:b/>
                <w:color w:val="000000" w:themeColor="text1"/>
                <w:szCs w:val="21"/>
              </w:rPr>
              <w:t>（</w:t>
            </w:r>
            <w:r w:rsidR="005037BF" w:rsidRPr="00092862">
              <w:rPr>
                <w:rFonts w:ascii="Times New Roman" w:eastAsia="宋体" w:hAnsi="Times New Roman" w:cs="Times New Roman"/>
                <w:b/>
                <w:color w:val="000000" w:themeColor="text1"/>
                <w:szCs w:val="21"/>
              </w:rPr>
              <w:t>49</w:t>
            </w:r>
            <w:r w:rsidRPr="00092862">
              <w:rPr>
                <w:rFonts w:ascii="Times New Roman" w:eastAsia="宋体" w:hAnsi="Times New Roman" w:cs="Times New Roman"/>
                <w:b/>
                <w:color w:val="000000" w:themeColor="text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40A10A8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7D1D169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w:t>
            </w:r>
          </w:p>
        </w:tc>
        <w:tc>
          <w:tcPr>
            <w:tcW w:w="795" w:type="dxa"/>
            <w:tcBorders>
              <w:top w:val="single" w:sz="4" w:space="0" w:color="auto"/>
              <w:left w:val="single" w:sz="4" w:space="0" w:color="auto"/>
              <w:bottom w:val="single" w:sz="4" w:space="0" w:color="auto"/>
              <w:right w:val="single" w:sz="4" w:space="0" w:color="auto"/>
            </w:tcBorders>
            <w:vAlign w:val="center"/>
            <w:hideMark/>
          </w:tcPr>
          <w:p w14:paraId="5FF9426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83" w:type="dxa"/>
            <w:tcBorders>
              <w:top w:val="single" w:sz="4" w:space="0" w:color="auto"/>
              <w:left w:val="single" w:sz="4" w:space="0" w:color="auto"/>
              <w:bottom w:val="single" w:sz="4" w:space="0" w:color="auto"/>
              <w:right w:val="single" w:sz="4" w:space="0" w:color="auto"/>
            </w:tcBorders>
            <w:vAlign w:val="center"/>
          </w:tcPr>
          <w:p w14:paraId="78753A43"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r>
      <w:tr w:rsidR="00697429" w:rsidRPr="00092862" w14:paraId="063D36AA"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43CA72F7"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辅助生产厂房及辅助生产设施</w:t>
            </w:r>
          </w:p>
        </w:tc>
        <w:tc>
          <w:tcPr>
            <w:tcW w:w="858" w:type="dxa"/>
            <w:tcBorders>
              <w:top w:val="single" w:sz="4" w:space="0" w:color="auto"/>
              <w:left w:val="single" w:sz="4" w:space="0" w:color="auto"/>
              <w:bottom w:val="single" w:sz="4" w:space="0" w:color="auto"/>
              <w:right w:val="single" w:sz="4" w:space="0" w:color="auto"/>
            </w:tcBorders>
            <w:vAlign w:val="center"/>
            <w:hideMark/>
          </w:tcPr>
          <w:p w14:paraId="48A9434C"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p>
        </w:tc>
        <w:tc>
          <w:tcPr>
            <w:tcW w:w="951" w:type="dxa"/>
            <w:tcBorders>
              <w:top w:val="single" w:sz="4" w:space="0" w:color="auto"/>
              <w:left w:val="single" w:sz="4" w:space="0" w:color="auto"/>
              <w:bottom w:val="single" w:sz="4" w:space="0" w:color="auto"/>
              <w:right w:val="single" w:sz="4" w:space="0" w:color="auto"/>
            </w:tcBorders>
            <w:vAlign w:val="center"/>
            <w:hideMark/>
          </w:tcPr>
          <w:p w14:paraId="2087A51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w:t>
            </w:r>
          </w:p>
        </w:tc>
        <w:tc>
          <w:tcPr>
            <w:tcW w:w="967" w:type="dxa"/>
            <w:tcBorders>
              <w:top w:val="single" w:sz="4" w:space="0" w:color="auto"/>
              <w:left w:val="single" w:sz="4" w:space="0" w:color="auto"/>
              <w:bottom w:val="single" w:sz="4" w:space="0" w:color="auto"/>
              <w:right w:val="single" w:sz="4" w:space="0" w:color="auto"/>
            </w:tcBorders>
            <w:vAlign w:val="center"/>
            <w:hideMark/>
          </w:tcPr>
          <w:p w14:paraId="0ED4F4BE"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822" w:type="dxa"/>
            <w:tcBorders>
              <w:top w:val="single" w:sz="4" w:space="0" w:color="auto"/>
              <w:left w:val="single" w:sz="4" w:space="0" w:color="auto"/>
              <w:bottom w:val="single" w:sz="4" w:space="0" w:color="auto"/>
              <w:right w:val="single" w:sz="4" w:space="0" w:color="auto"/>
            </w:tcBorders>
            <w:vAlign w:val="center"/>
            <w:hideMark/>
          </w:tcPr>
          <w:p w14:paraId="1ABDD5E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7FC386DB"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804" w:type="dxa"/>
            <w:tcBorders>
              <w:top w:val="single" w:sz="4" w:space="0" w:color="auto"/>
              <w:left w:val="single" w:sz="4" w:space="0" w:color="auto"/>
              <w:bottom w:val="single" w:sz="4" w:space="0" w:color="auto"/>
              <w:right w:val="single" w:sz="4" w:space="0" w:color="auto"/>
            </w:tcBorders>
            <w:vAlign w:val="center"/>
            <w:hideMark/>
          </w:tcPr>
          <w:p w14:paraId="0B198981"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w:t>
            </w:r>
          </w:p>
        </w:tc>
        <w:tc>
          <w:tcPr>
            <w:tcW w:w="795" w:type="dxa"/>
            <w:tcBorders>
              <w:top w:val="single" w:sz="4" w:space="0" w:color="auto"/>
              <w:left w:val="single" w:sz="4" w:space="0" w:color="auto"/>
              <w:bottom w:val="single" w:sz="4" w:space="0" w:color="auto"/>
              <w:right w:val="single" w:sz="4" w:space="0" w:color="auto"/>
            </w:tcBorders>
            <w:vAlign w:val="center"/>
          </w:tcPr>
          <w:p w14:paraId="6DBCDCC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p>
        </w:tc>
        <w:tc>
          <w:tcPr>
            <w:tcW w:w="983" w:type="dxa"/>
            <w:tcBorders>
              <w:top w:val="single" w:sz="4" w:space="0" w:color="auto"/>
              <w:left w:val="single" w:sz="4" w:space="0" w:color="auto"/>
              <w:bottom w:val="single" w:sz="4" w:space="0" w:color="auto"/>
              <w:right w:val="single" w:sz="4" w:space="0" w:color="auto"/>
            </w:tcBorders>
            <w:vAlign w:val="center"/>
            <w:hideMark/>
          </w:tcPr>
          <w:p w14:paraId="016E79A4"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471F8B06" w14:textId="77777777" w:rsidTr="00F60AC4">
        <w:trPr>
          <w:jc w:val="center"/>
        </w:trPr>
        <w:tc>
          <w:tcPr>
            <w:tcW w:w="1265" w:type="dxa"/>
            <w:tcBorders>
              <w:top w:val="single" w:sz="4" w:space="0" w:color="auto"/>
              <w:left w:val="single" w:sz="4" w:space="0" w:color="auto"/>
              <w:bottom w:val="single" w:sz="4" w:space="0" w:color="auto"/>
              <w:right w:val="single" w:sz="4" w:space="0" w:color="auto"/>
            </w:tcBorders>
            <w:vAlign w:val="center"/>
            <w:hideMark/>
          </w:tcPr>
          <w:p w14:paraId="7566C011" w14:textId="77777777"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污水池</w:t>
            </w:r>
          </w:p>
        </w:tc>
        <w:tc>
          <w:tcPr>
            <w:tcW w:w="858" w:type="dxa"/>
            <w:tcBorders>
              <w:top w:val="single" w:sz="4" w:space="0" w:color="auto"/>
              <w:left w:val="single" w:sz="4" w:space="0" w:color="auto"/>
              <w:bottom w:val="single" w:sz="4" w:space="0" w:color="auto"/>
              <w:right w:val="single" w:sz="4" w:space="0" w:color="auto"/>
            </w:tcBorders>
            <w:vAlign w:val="center"/>
            <w:hideMark/>
          </w:tcPr>
          <w:p w14:paraId="01E34D3D" w14:textId="059D9B79"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5</w:t>
            </w:r>
            <w:r w:rsidRPr="00092862">
              <w:rPr>
                <w:rFonts w:ascii="Times New Roman" w:eastAsia="宋体" w:hAnsi="Times New Roman" w:cs="Times New Roman"/>
                <w:b/>
                <w:color w:val="000000" w:themeColor="text1"/>
                <w:szCs w:val="21"/>
              </w:rPr>
              <w:t>（</w:t>
            </w:r>
            <w:r w:rsidR="005037BF" w:rsidRPr="00092862">
              <w:rPr>
                <w:rFonts w:ascii="Times New Roman" w:eastAsia="宋体" w:hAnsi="Times New Roman" w:cs="Times New Roman"/>
                <w:b/>
                <w:color w:val="000000" w:themeColor="text1"/>
                <w:szCs w:val="21"/>
              </w:rPr>
              <w:t>45</w:t>
            </w:r>
            <w:r w:rsidRPr="00092862">
              <w:rPr>
                <w:rFonts w:ascii="Times New Roman" w:eastAsia="宋体" w:hAnsi="Times New Roman" w:cs="Times New Roman"/>
                <w:b/>
                <w:color w:val="000000" w:themeColor="text1"/>
                <w:szCs w:val="21"/>
              </w:rPr>
              <w:t>）</w:t>
            </w:r>
          </w:p>
        </w:tc>
        <w:tc>
          <w:tcPr>
            <w:tcW w:w="951" w:type="dxa"/>
            <w:tcBorders>
              <w:top w:val="single" w:sz="4" w:space="0" w:color="auto"/>
              <w:left w:val="single" w:sz="4" w:space="0" w:color="auto"/>
              <w:bottom w:val="single" w:sz="4" w:space="0" w:color="auto"/>
              <w:right w:val="single" w:sz="4" w:space="0" w:color="auto"/>
            </w:tcBorders>
            <w:vAlign w:val="center"/>
            <w:hideMark/>
          </w:tcPr>
          <w:p w14:paraId="0816D788"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6F5742F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822" w:type="dxa"/>
            <w:tcBorders>
              <w:top w:val="single" w:sz="4" w:space="0" w:color="auto"/>
              <w:left w:val="single" w:sz="4" w:space="0" w:color="auto"/>
              <w:bottom w:val="single" w:sz="4" w:space="0" w:color="auto"/>
              <w:right w:val="single" w:sz="4" w:space="0" w:color="auto"/>
            </w:tcBorders>
            <w:vAlign w:val="center"/>
            <w:hideMark/>
          </w:tcPr>
          <w:p w14:paraId="01B1D8CB" w14:textId="7C6D6FD2"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5</w:t>
            </w:r>
            <w:r w:rsidRPr="00092862">
              <w:rPr>
                <w:rFonts w:ascii="Times New Roman" w:eastAsia="宋体" w:hAnsi="Times New Roman" w:cs="Times New Roman"/>
                <w:b/>
                <w:color w:val="000000" w:themeColor="text1"/>
                <w:szCs w:val="21"/>
              </w:rPr>
              <w:t>（</w:t>
            </w:r>
            <w:r w:rsidR="005037BF" w:rsidRPr="00092862">
              <w:rPr>
                <w:rFonts w:ascii="Times New Roman" w:eastAsia="宋体" w:hAnsi="Times New Roman" w:cs="Times New Roman"/>
                <w:b/>
                <w:color w:val="000000" w:themeColor="text1"/>
                <w:szCs w:val="21"/>
              </w:rPr>
              <w:t>28</w:t>
            </w:r>
            <w:r w:rsidRPr="00092862">
              <w:rPr>
                <w:rFonts w:ascii="Times New Roman" w:eastAsia="宋体" w:hAnsi="Times New Roman" w:cs="Times New Roman"/>
                <w:b/>
                <w:color w:val="000000" w:themeColor="text1"/>
                <w:szCs w:val="21"/>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ED695E0"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804" w:type="dxa"/>
            <w:tcBorders>
              <w:top w:val="single" w:sz="4" w:space="0" w:color="auto"/>
              <w:left w:val="single" w:sz="4" w:space="0" w:color="auto"/>
              <w:bottom w:val="single" w:sz="4" w:space="0" w:color="auto"/>
              <w:right w:val="single" w:sz="4" w:space="0" w:color="auto"/>
            </w:tcBorders>
            <w:vAlign w:val="center"/>
            <w:hideMark/>
          </w:tcPr>
          <w:p w14:paraId="294079B6"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95" w:type="dxa"/>
            <w:tcBorders>
              <w:top w:val="single" w:sz="4" w:space="0" w:color="auto"/>
              <w:left w:val="single" w:sz="4" w:space="0" w:color="auto"/>
              <w:bottom w:val="single" w:sz="4" w:space="0" w:color="auto"/>
              <w:right w:val="single" w:sz="4" w:space="0" w:color="auto"/>
            </w:tcBorders>
            <w:vAlign w:val="center"/>
            <w:hideMark/>
          </w:tcPr>
          <w:p w14:paraId="298A029A" w14:textId="01B6C148" w:rsidR="00276CB3" w:rsidRPr="00092862" w:rsidRDefault="00276CB3" w:rsidP="00F60AC4">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10</w:t>
            </w:r>
            <w:r w:rsidRPr="00092862">
              <w:rPr>
                <w:rFonts w:ascii="Times New Roman" w:eastAsia="宋体" w:hAnsi="Times New Roman" w:cs="Times New Roman"/>
                <w:b/>
                <w:color w:val="000000" w:themeColor="text1"/>
                <w:szCs w:val="21"/>
              </w:rPr>
              <w:t>（</w:t>
            </w:r>
            <w:r w:rsidR="005037BF" w:rsidRPr="00092862">
              <w:rPr>
                <w:rFonts w:ascii="Times New Roman" w:eastAsia="宋体" w:hAnsi="Times New Roman" w:cs="Times New Roman"/>
                <w:b/>
                <w:color w:val="000000" w:themeColor="text1"/>
                <w:szCs w:val="21"/>
              </w:rPr>
              <w:t>85</w:t>
            </w:r>
            <w:r w:rsidRPr="00092862">
              <w:rPr>
                <w:rFonts w:ascii="Times New Roman" w:eastAsia="宋体" w:hAnsi="Times New Roman" w:cs="Times New Roman"/>
                <w:b/>
                <w:color w:val="000000" w:themeColor="text1"/>
                <w:szCs w:val="21"/>
              </w:rPr>
              <w:t>）</w:t>
            </w:r>
          </w:p>
        </w:tc>
        <w:tc>
          <w:tcPr>
            <w:tcW w:w="983" w:type="dxa"/>
            <w:tcBorders>
              <w:top w:val="single" w:sz="4" w:space="0" w:color="auto"/>
              <w:left w:val="single" w:sz="4" w:space="0" w:color="auto"/>
              <w:bottom w:val="single" w:sz="4" w:space="0" w:color="auto"/>
              <w:right w:val="single" w:sz="4" w:space="0" w:color="auto"/>
            </w:tcBorders>
            <w:vAlign w:val="center"/>
            <w:hideMark/>
          </w:tcPr>
          <w:p w14:paraId="2E928C5D" w14:textId="77777777" w:rsidR="00276CB3" w:rsidRPr="00092862" w:rsidRDefault="00276CB3" w:rsidP="00F60AC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r>
      <w:tr w:rsidR="00697429" w:rsidRPr="00092862" w14:paraId="51AFE050" w14:textId="77777777" w:rsidTr="00F60AC4">
        <w:trPr>
          <w:jc w:val="center"/>
        </w:trPr>
        <w:tc>
          <w:tcPr>
            <w:tcW w:w="8222" w:type="dxa"/>
            <w:gridSpan w:val="9"/>
            <w:tcBorders>
              <w:top w:val="single" w:sz="4" w:space="0" w:color="auto"/>
              <w:left w:val="single" w:sz="4" w:space="0" w:color="auto"/>
              <w:bottom w:val="single" w:sz="4" w:space="0" w:color="auto"/>
              <w:right w:val="single" w:sz="4" w:space="0" w:color="auto"/>
            </w:tcBorders>
            <w:vAlign w:val="center"/>
            <w:hideMark/>
          </w:tcPr>
          <w:p w14:paraId="20254AB6" w14:textId="709C0905" w:rsidR="00276CB3" w:rsidRPr="00092862" w:rsidRDefault="00276CB3" w:rsidP="006D6FAB">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注：括号内为本项目</w:t>
            </w:r>
            <w:r w:rsidR="00F30AFD" w:rsidRPr="00092862">
              <w:rPr>
                <w:rFonts w:ascii="Times New Roman" w:eastAsia="宋体" w:hAnsi="Times New Roman" w:cs="Times New Roman"/>
                <w:color w:val="000000" w:themeColor="text1"/>
                <w:szCs w:val="21"/>
              </w:rPr>
              <w:t>集气站</w:t>
            </w:r>
            <w:r w:rsidRPr="00092862">
              <w:rPr>
                <w:rFonts w:ascii="Times New Roman" w:eastAsia="宋体" w:hAnsi="Times New Roman" w:cs="Times New Roman"/>
                <w:color w:val="000000" w:themeColor="text1"/>
                <w:szCs w:val="21"/>
              </w:rPr>
              <w:t>实际距离</w:t>
            </w:r>
          </w:p>
        </w:tc>
      </w:tr>
    </w:tbl>
    <w:p w14:paraId="4BF90343" w14:textId="7805051D" w:rsidR="00DC446C" w:rsidRPr="00092862" w:rsidRDefault="00276CB3" w:rsidP="00276CB3">
      <w:pPr>
        <w:tabs>
          <w:tab w:val="left" w:pos="0"/>
        </w:tabs>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本项目站场为五级天然气井站，站内设施较少，主要涉及油气井、</w:t>
      </w:r>
      <w:r w:rsidR="006E1210" w:rsidRPr="00092862">
        <w:rPr>
          <w:rFonts w:ascii="Times New Roman" w:eastAsia="宋体" w:hAnsi="Times New Roman" w:cs="Times New Roman"/>
          <w:bCs/>
          <w:color w:val="000000" w:themeColor="text1"/>
          <w:sz w:val="24"/>
          <w:szCs w:val="24"/>
        </w:rPr>
        <w:t>火炬分液罐</w:t>
      </w:r>
      <w:r w:rsidR="006D6FAB" w:rsidRPr="00092862">
        <w:rPr>
          <w:rFonts w:ascii="Times New Roman" w:eastAsia="宋体" w:hAnsi="Times New Roman" w:cs="Times New Roman"/>
          <w:bCs/>
          <w:color w:val="000000" w:themeColor="text1"/>
          <w:sz w:val="24"/>
          <w:szCs w:val="24"/>
        </w:rPr>
        <w:t>、临时分酸分离器、计量分离器</w:t>
      </w:r>
      <w:r w:rsidRPr="00092862">
        <w:rPr>
          <w:rFonts w:ascii="Times New Roman" w:eastAsia="宋体" w:hAnsi="Times New Roman" w:cs="Times New Roman"/>
          <w:bCs/>
          <w:color w:val="000000" w:themeColor="text1"/>
          <w:sz w:val="24"/>
          <w:szCs w:val="24"/>
        </w:rPr>
        <w:t>、</w:t>
      </w:r>
      <w:r w:rsidR="00C26134" w:rsidRPr="00092862">
        <w:rPr>
          <w:rFonts w:ascii="Times New Roman" w:eastAsia="宋体" w:hAnsi="Times New Roman" w:cs="Times New Roman"/>
          <w:bCs/>
          <w:color w:val="000000" w:themeColor="text1"/>
          <w:sz w:val="24"/>
          <w:szCs w:val="24"/>
        </w:rPr>
        <w:t>水套加热炉</w:t>
      </w:r>
      <w:r w:rsidRPr="00092862">
        <w:rPr>
          <w:rFonts w:ascii="Times New Roman" w:eastAsia="宋体" w:hAnsi="Times New Roman" w:cs="Times New Roman"/>
          <w:bCs/>
          <w:color w:val="000000" w:themeColor="text1"/>
          <w:sz w:val="24"/>
          <w:szCs w:val="24"/>
        </w:rPr>
        <w:t>工艺区和值班房等。工艺流程区（</w:t>
      </w:r>
      <w:r w:rsidR="00C26134" w:rsidRPr="00092862">
        <w:rPr>
          <w:rFonts w:ascii="Times New Roman" w:eastAsia="宋体" w:hAnsi="Times New Roman" w:cs="Times New Roman"/>
          <w:bCs/>
          <w:color w:val="000000" w:themeColor="text1"/>
          <w:sz w:val="24"/>
          <w:szCs w:val="24"/>
        </w:rPr>
        <w:t>水套加热炉</w:t>
      </w:r>
      <w:r w:rsidR="006E1210" w:rsidRPr="00092862">
        <w:rPr>
          <w:rFonts w:ascii="Times New Roman" w:eastAsia="宋体" w:hAnsi="Times New Roman" w:cs="Times New Roman"/>
          <w:bCs/>
          <w:color w:val="000000" w:themeColor="text1"/>
          <w:sz w:val="24"/>
          <w:szCs w:val="24"/>
        </w:rPr>
        <w:t>、</w:t>
      </w:r>
      <w:r w:rsidR="006D6FAB" w:rsidRPr="00092862">
        <w:rPr>
          <w:rFonts w:ascii="Times New Roman" w:eastAsia="宋体" w:hAnsi="Times New Roman" w:cs="Times New Roman"/>
          <w:bCs/>
          <w:color w:val="000000" w:themeColor="text1"/>
          <w:sz w:val="24"/>
          <w:szCs w:val="24"/>
        </w:rPr>
        <w:t>临时分酸分离器、计量分离器</w:t>
      </w:r>
      <w:r w:rsidR="006E1210" w:rsidRPr="00092862">
        <w:rPr>
          <w:rFonts w:ascii="Times New Roman" w:eastAsia="宋体" w:hAnsi="Times New Roman" w:cs="Times New Roman"/>
          <w:bCs/>
          <w:color w:val="000000" w:themeColor="text1"/>
          <w:sz w:val="24"/>
          <w:szCs w:val="24"/>
        </w:rPr>
        <w:t>、燃料气调压撬和乙二醇加注撬</w:t>
      </w:r>
      <w:r w:rsidRPr="00092862">
        <w:rPr>
          <w:rFonts w:ascii="Times New Roman" w:eastAsia="宋体" w:hAnsi="Times New Roman" w:cs="Times New Roman"/>
          <w:bCs/>
          <w:color w:val="000000" w:themeColor="text1"/>
          <w:sz w:val="24"/>
          <w:szCs w:val="24"/>
        </w:rPr>
        <w:t>）位于站场中部，</w:t>
      </w:r>
      <w:r w:rsidR="006E1210" w:rsidRPr="00092862">
        <w:rPr>
          <w:rFonts w:ascii="Times New Roman" w:eastAsia="宋体" w:hAnsi="Times New Roman" w:cs="Times New Roman"/>
          <w:bCs/>
          <w:color w:val="000000" w:themeColor="text1"/>
          <w:sz w:val="24"/>
          <w:szCs w:val="24"/>
        </w:rPr>
        <w:t>火炬分液罐</w:t>
      </w:r>
      <w:r w:rsidRPr="00092862">
        <w:rPr>
          <w:rFonts w:ascii="Times New Roman" w:eastAsia="宋体" w:hAnsi="Times New Roman" w:cs="Times New Roman"/>
          <w:bCs/>
          <w:color w:val="000000" w:themeColor="text1"/>
          <w:sz w:val="24"/>
          <w:szCs w:val="24"/>
        </w:rPr>
        <w:t>位于</w:t>
      </w:r>
      <w:r w:rsidR="006D6FAB" w:rsidRPr="00092862">
        <w:rPr>
          <w:rFonts w:ascii="Times New Roman" w:eastAsia="宋体" w:hAnsi="Times New Roman" w:cs="Times New Roman"/>
          <w:bCs/>
          <w:color w:val="000000" w:themeColor="text1"/>
          <w:sz w:val="24"/>
          <w:szCs w:val="24"/>
        </w:rPr>
        <w:t>-2</w:t>
      </w:r>
      <w:r w:rsidR="006D6FAB" w:rsidRPr="00092862">
        <w:rPr>
          <w:rFonts w:ascii="Times New Roman" w:eastAsia="宋体" w:hAnsi="Times New Roman" w:cs="Times New Roman"/>
          <w:bCs/>
          <w:color w:val="000000" w:themeColor="text1"/>
          <w:sz w:val="24"/>
          <w:szCs w:val="24"/>
        </w:rPr>
        <w:t>水套加热炉东</w:t>
      </w:r>
      <w:r w:rsidR="006E1210" w:rsidRPr="00092862">
        <w:rPr>
          <w:rFonts w:ascii="Times New Roman" w:eastAsia="宋体" w:hAnsi="Times New Roman" w:cs="Times New Roman"/>
          <w:bCs/>
          <w:color w:val="000000" w:themeColor="text1"/>
          <w:sz w:val="24"/>
          <w:szCs w:val="24"/>
        </w:rPr>
        <w:t>侧</w:t>
      </w:r>
      <w:r w:rsidRPr="00092862">
        <w:rPr>
          <w:rFonts w:ascii="Times New Roman" w:eastAsia="宋体" w:hAnsi="Times New Roman" w:cs="Times New Roman"/>
          <w:bCs/>
          <w:color w:val="000000" w:themeColor="text1"/>
          <w:sz w:val="24"/>
          <w:szCs w:val="24"/>
        </w:rPr>
        <w:t>，值班室</w:t>
      </w:r>
      <w:r w:rsidR="006E1210" w:rsidRPr="00092862">
        <w:rPr>
          <w:rFonts w:ascii="Times New Roman" w:eastAsia="宋体" w:hAnsi="Times New Roman" w:cs="Times New Roman"/>
          <w:bCs/>
          <w:color w:val="000000" w:themeColor="text1"/>
          <w:sz w:val="24"/>
          <w:szCs w:val="24"/>
        </w:rPr>
        <w:t>位于</w:t>
      </w:r>
      <w:r w:rsidR="006D6FAB" w:rsidRPr="00092862">
        <w:rPr>
          <w:rFonts w:ascii="Times New Roman" w:eastAsia="宋体" w:hAnsi="Times New Roman" w:cs="Times New Roman"/>
          <w:bCs/>
          <w:color w:val="000000" w:themeColor="text1"/>
          <w:sz w:val="24"/>
          <w:szCs w:val="24"/>
        </w:rPr>
        <w:t>集气站外东南</w:t>
      </w:r>
      <w:r w:rsidR="006E1210" w:rsidRPr="00092862">
        <w:rPr>
          <w:rFonts w:ascii="Times New Roman" w:eastAsia="宋体" w:hAnsi="Times New Roman" w:cs="Times New Roman"/>
          <w:bCs/>
          <w:color w:val="000000" w:themeColor="text1"/>
          <w:sz w:val="24"/>
          <w:szCs w:val="24"/>
        </w:rPr>
        <w:t>侧，火炬</w:t>
      </w:r>
      <w:r w:rsidRPr="00092862">
        <w:rPr>
          <w:rFonts w:ascii="Times New Roman" w:eastAsia="宋体" w:hAnsi="Times New Roman" w:cs="Times New Roman"/>
          <w:bCs/>
          <w:color w:val="000000" w:themeColor="text1"/>
          <w:sz w:val="24"/>
          <w:szCs w:val="24"/>
        </w:rPr>
        <w:t>放散区位</w:t>
      </w:r>
      <w:r w:rsidR="006E1210" w:rsidRPr="00092862">
        <w:rPr>
          <w:rFonts w:ascii="Times New Roman" w:eastAsia="宋体" w:hAnsi="Times New Roman" w:cs="Times New Roman"/>
          <w:bCs/>
          <w:color w:val="000000" w:themeColor="text1"/>
          <w:sz w:val="24"/>
          <w:szCs w:val="24"/>
        </w:rPr>
        <w:t>于</w:t>
      </w:r>
      <w:r w:rsidR="006D6FAB" w:rsidRPr="00092862">
        <w:rPr>
          <w:rFonts w:ascii="Times New Roman" w:eastAsia="宋体" w:hAnsi="Times New Roman" w:cs="Times New Roman"/>
          <w:bCs/>
          <w:color w:val="000000" w:themeColor="text1"/>
          <w:sz w:val="24"/>
          <w:szCs w:val="24"/>
        </w:rPr>
        <w:t>集气站西北侧</w:t>
      </w:r>
      <w:r w:rsidR="006E1210" w:rsidRPr="00092862">
        <w:rPr>
          <w:rFonts w:ascii="Times New Roman" w:eastAsia="宋体" w:hAnsi="Times New Roman" w:cs="Times New Roman"/>
          <w:bCs/>
          <w:color w:val="000000" w:themeColor="text1"/>
          <w:sz w:val="24"/>
          <w:szCs w:val="24"/>
        </w:rPr>
        <w:t>所在区域</w:t>
      </w:r>
      <w:r w:rsidRPr="00092862">
        <w:rPr>
          <w:rFonts w:ascii="Times New Roman" w:eastAsia="宋体" w:hAnsi="Times New Roman" w:cs="Times New Roman"/>
          <w:bCs/>
          <w:color w:val="000000" w:themeColor="text1"/>
          <w:sz w:val="24"/>
          <w:szCs w:val="24"/>
        </w:rPr>
        <w:t>，</w:t>
      </w:r>
      <w:r w:rsidR="007F7902" w:rsidRPr="00092862">
        <w:rPr>
          <w:rFonts w:ascii="Times New Roman" w:eastAsia="宋体" w:hAnsi="Times New Roman" w:cs="Times New Roman"/>
          <w:bCs/>
          <w:color w:val="000000" w:themeColor="text1"/>
          <w:sz w:val="24"/>
          <w:szCs w:val="24"/>
        </w:rPr>
        <w:t>尽量减少</w:t>
      </w:r>
      <w:r w:rsidR="006E1210" w:rsidRPr="00092862">
        <w:rPr>
          <w:rFonts w:ascii="Times New Roman" w:eastAsia="宋体" w:hAnsi="Times New Roman" w:cs="Times New Roman"/>
          <w:bCs/>
          <w:color w:val="000000" w:themeColor="text1"/>
          <w:sz w:val="24"/>
          <w:szCs w:val="24"/>
        </w:rPr>
        <w:t>了</w:t>
      </w:r>
      <w:r w:rsidR="007F7902" w:rsidRPr="00092862">
        <w:rPr>
          <w:rFonts w:ascii="Times New Roman" w:eastAsia="宋体" w:hAnsi="Times New Roman" w:cs="Times New Roman"/>
          <w:bCs/>
          <w:color w:val="000000" w:themeColor="text1"/>
          <w:sz w:val="24"/>
          <w:szCs w:val="24"/>
        </w:rPr>
        <w:t>辅助设施的建设和占地，整个</w:t>
      </w:r>
      <w:r w:rsidR="00F30AFD" w:rsidRPr="00092862">
        <w:rPr>
          <w:rFonts w:ascii="Times New Roman" w:eastAsia="宋体" w:hAnsi="Times New Roman" w:cs="Times New Roman"/>
          <w:bCs/>
          <w:color w:val="000000" w:themeColor="text1"/>
          <w:sz w:val="24"/>
          <w:szCs w:val="24"/>
        </w:rPr>
        <w:t>集气站</w:t>
      </w:r>
      <w:r w:rsidRPr="00092862">
        <w:rPr>
          <w:rFonts w:ascii="Times New Roman" w:eastAsia="宋体" w:hAnsi="Times New Roman" w:cs="Times New Roman"/>
          <w:bCs/>
          <w:color w:val="000000" w:themeColor="text1"/>
          <w:sz w:val="24"/>
          <w:szCs w:val="24"/>
        </w:rPr>
        <w:t>能做到功能分区合理，不杂乱，便于物料进出，同时井口、</w:t>
      </w:r>
      <w:r w:rsidR="006E1210" w:rsidRPr="00092862">
        <w:rPr>
          <w:rFonts w:ascii="Times New Roman" w:eastAsia="宋体" w:hAnsi="Times New Roman" w:cs="Times New Roman"/>
          <w:bCs/>
          <w:color w:val="000000" w:themeColor="text1"/>
          <w:sz w:val="24"/>
          <w:szCs w:val="24"/>
        </w:rPr>
        <w:t>火炬分液罐</w:t>
      </w:r>
      <w:r w:rsidRPr="00092862">
        <w:rPr>
          <w:rFonts w:ascii="Times New Roman" w:eastAsia="宋体" w:hAnsi="Times New Roman" w:cs="Times New Roman"/>
          <w:bCs/>
          <w:color w:val="000000" w:themeColor="text1"/>
          <w:sz w:val="24"/>
          <w:szCs w:val="24"/>
        </w:rPr>
        <w:t>、</w:t>
      </w:r>
      <w:r w:rsidR="00C26134" w:rsidRPr="00092862">
        <w:rPr>
          <w:rFonts w:ascii="Times New Roman" w:eastAsia="宋体" w:hAnsi="Times New Roman" w:cs="Times New Roman"/>
          <w:bCs/>
          <w:color w:val="000000" w:themeColor="text1"/>
          <w:sz w:val="24"/>
          <w:szCs w:val="24"/>
        </w:rPr>
        <w:t>水套加热炉</w:t>
      </w:r>
      <w:r w:rsidRPr="00092862">
        <w:rPr>
          <w:rFonts w:ascii="Times New Roman" w:eastAsia="宋体" w:hAnsi="Times New Roman" w:cs="Times New Roman"/>
          <w:bCs/>
          <w:color w:val="000000" w:themeColor="text1"/>
          <w:sz w:val="24"/>
          <w:szCs w:val="24"/>
        </w:rPr>
        <w:t>和值班室相互之间的距离均大于防火间距，满足《石油天然气工程设计防火规范》（</w:t>
      </w:r>
      <w:r w:rsidRPr="00092862">
        <w:rPr>
          <w:rFonts w:ascii="Times New Roman" w:eastAsia="宋体" w:hAnsi="Times New Roman" w:cs="Times New Roman"/>
          <w:bCs/>
          <w:color w:val="000000" w:themeColor="text1"/>
          <w:sz w:val="24"/>
          <w:szCs w:val="24"/>
        </w:rPr>
        <w:t>GB50183-2004</w:t>
      </w:r>
      <w:r w:rsidRPr="00092862">
        <w:rPr>
          <w:rFonts w:ascii="Times New Roman" w:eastAsia="宋体" w:hAnsi="Times New Roman" w:cs="Times New Roman"/>
          <w:bCs/>
          <w:color w:val="000000" w:themeColor="text1"/>
          <w:sz w:val="24"/>
          <w:szCs w:val="24"/>
        </w:rPr>
        <w:t>）的第</w:t>
      </w:r>
      <w:r w:rsidRPr="00092862">
        <w:rPr>
          <w:rFonts w:ascii="Times New Roman" w:eastAsia="宋体" w:hAnsi="Times New Roman" w:cs="Times New Roman"/>
          <w:bCs/>
          <w:color w:val="000000" w:themeColor="text1"/>
          <w:sz w:val="24"/>
          <w:szCs w:val="24"/>
        </w:rPr>
        <w:t>5.2.3</w:t>
      </w:r>
      <w:r w:rsidRPr="00092862">
        <w:rPr>
          <w:rFonts w:ascii="Times New Roman" w:eastAsia="宋体" w:hAnsi="Times New Roman" w:cs="Times New Roman"/>
          <w:bCs/>
          <w:color w:val="000000" w:themeColor="text1"/>
          <w:sz w:val="24"/>
          <w:szCs w:val="24"/>
        </w:rPr>
        <w:t>条规定。</w:t>
      </w:r>
      <w:r w:rsidR="00111AB4" w:rsidRPr="00092862">
        <w:rPr>
          <w:rFonts w:ascii="Times New Roman" w:eastAsia="宋体" w:hAnsi="Times New Roman" w:cs="Times New Roman"/>
          <w:bCs/>
          <w:color w:val="000000" w:themeColor="text1"/>
          <w:sz w:val="24"/>
          <w:szCs w:val="24"/>
        </w:rPr>
        <w:t>火炬</w:t>
      </w:r>
      <w:r w:rsidRPr="00092862">
        <w:rPr>
          <w:rFonts w:ascii="Times New Roman" w:eastAsia="宋体" w:hAnsi="Times New Roman" w:cs="Times New Roman"/>
          <w:bCs/>
          <w:color w:val="000000" w:themeColor="text1"/>
          <w:sz w:val="24"/>
          <w:szCs w:val="24"/>
        </w:rPr>
        <w:t>区位于</w:t>
      </w:r>
      <w:r w:rsidR="006D6FAB" w:rsidRPr="00092862">
        <w:rPr>
          <w:rFonts w:ascii="Times New Roman" w:eastAsia="宋体" w:hAnsi="Times New Roman" w:cs="Times New Roman"/>
          <w:bCs/>
          <w:color w:val="000000" w:themeColor="text1"/>
          <w:sz w:val="24"/>
          <w:szCs w:val="24"/>
        </w:rPr>
        <w:t>集气站西北</w:t>
      </w:r>
      <w:r w:rsidR="00984446" w:rsidRPr="00092862">
        <w:rPr>
          <w:rFonts w:ascii="Times New Roman" w:eastAsia="宋体" w:hAnsi="Times New Roman" w:cs="Times New Roman"/>
          <w:bCs/>
          <w:color w:val="000000" w:themeColor="text1"/>
          <w:sz w:val="24"/>
          <w:szCs w:val="24"/>
        </w:rPr>
        <w:t>侧</w:t>
      </w:r>
      <w:r w:rsidRPr="00092862">
        <w:rPr>
          <w:rFonts w:ascii="Times New Roman" w:eastAsia="宋体" w:hAnsi="Times New Roman" w:cs="Times New Roman"/>
          <w:bCs/>
          <w:color w:val="000000" w:themeColor="text1"/>
          <w:sz w:val="24"/>
          <w:szCs w:val="24"/>
        </w:rPr>
        <w:t>，扩散条件良好，满足《石油天然气工程设计防火规范》（</w:t>
      </w:r>
      <w:r w:rsidRPr="00092862">
        <w:rPr>
          <w:rFonts w:ascii="Times New Roman" w:eastAsia="宋体" w:hAnsi="Times New Roman" w:cs="Times New Roman"/>
          <w:bCs/>
          <w:color w:val="000000" w:themeColor="text1"/>
          <w:sz w:val="24"/>
          <w:szCs w:val="24"/>
        </w:rPr>
        <w:t>GB50183-2004</w:t>
      </w:r>
      <w:r w:rsidRPr="00092862">
        <w:rPr>
          <w:rFonts w:ascii="Times New Roman" w:eastAsia="宋体" w:hAnsi="Times New Roman" w:cs="Times New Roman"/>
          <w:bCs/>
          <w:color w:val="000000" w:themeColor="text1"/>
          <w:sz w:val="24"/>
          <w:szCs w:val="24"/>
        </w:rPr>
        <w:t>）第</w:t>
      </w:r>
      <w:r w:rsidRPr="00092862">
        <w:rPr>
          <w:rFonts w:ascii="Times New Roman" w:eastAsia="宋体" w:hAnsi="Times New Roman" w:cs="Times New Roman"/>
          <w:bCs/>
          <w:color w:val="000000" w:themeColor="text1"/>
          <w:sz w:val="24"/>
          <w:szCs w:val="24"/>
        </w:rPr>
        <w:t>4.0.8</w:t>
      </w:r>
      <w:r w:rsidRPr="00092862">
        <w:rPr>
          <w:rFonts w:ascii="Times New Roman" w:eastAsia="宋体" w:hAnsi="Times New Roman" w:cs="Times New Roman"/>
          <w:bCs/>
          <w:color w:val="000000" w:themeColor="text1"/>
          <w:sz w:val="24"/>
          <w:szCs w:val="24"/>
        </w:rPr>
        <w:t>条规定。项目</w:t>
      </w:r>
      <w:r w:rsidR="00F30AFD" w:rsidRPr="00092862">
        <w:rPr>
          <w:rFonts w:ascii="Times New Roman" w:eastAsia="宋体" w:hAnsi="Times New Roman" w:cs="Times New Roman"/>
          <w:bCs/>
          <w:color w:val="000000" w:themeColor="text1"/>
          <w:sz w:val="24"/>
          <w:szCs w:val="24"/>
        </w:rPr>
        <w:t>集气站</w:t>
      </w:r>
      <w:r w:rsidRPr="00092862">
        <w:rPr>
          <w:rFonts w:ascii="Times New Roman" w:eastAsia="宋体" w:hAnsi="Times New Roman" w:cs="Times New Roman"/>
          <w:bCs/>
          <w:color w:val="000000" w:themeColor="text1"/>
          <w:sz w:val="24"/>
          <w:szCs w:val="24"/>
        </w:rPr>
        <w:t>运期噪声为气流摩擦噪声，由于采气规模小，噪声源声级值低，站界噪声和敏感点噪声均能满足相应标准要求。因此，</w:t>
      </w:r>
      <w:r w:rsidR="009C4CA7" w:rsidRPr="00092862">
        <w:rPr>
          <w:rFonts w:ascii="Times New Roman" w:eastAsia="宋体" w:hAnsi="Times New Roman" w:cs="Times New Roman"/>
          <w:bCs/>
          <w:color w:val="000000" w:themeColor="text1"/>
          <w:sz w:val="24"/>
          <w:szCs w:val="24"/>
        </w:rPr>
        <w:t>试采期</w:t>
      </w:r>
      <w:r w:rsidR="007F7902" w:rsidRPr="00092862">
        <w:rPr>
          <w:rFonts w:ascii="Times New Roman" w:eastAsia="宋体" w:hAnsi="Times New Roman" w:cs="Times New Roman"/>
          <w:bCs/>
          <w:color w:val="000000" w:themeColor="text1"/>
          <w:sz w:val="24"/>
          <w:szCs w:val="24"/>
        </w:rPr>
        <w:t>井站工程</w:t>
      </w:r>
      <w:r w:rsidRPr="00092862">
        <w:rPr>
          <w:rFonts w:ascii="Times New Roman" w:eastAsia="宋体" w:hAnsi="Times New Roman" w:cs="Times New Roman"/>
          <w:bCs/>
          <w:color w:val="000000" w:themeColor="text1"/>
          <w:sz w:val="24"/>
          <w:szCs w:val="24"/>
        </w:rPr>
        <w:t>布局是合理的。</w:t>
      </w:r>
      <w:bookmarkEnd w:id="78"/>
    </w:p>
    <w:p w14:paraId="73A21AC0" w14:textId="7CB31EE1" w:rsidR="00C67F07" w:rsidRPr="00092862" w:rsidRDefault="004D07D0" w:rsidP="00C67F07">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原老君</w:t>
      </w:r>
      <w:r w:rsidRPr="00092862">
        <w:rPr>
          <w:rFonts w:ascii="Times New Roman" w:eastAsia="宋体" w:hAnsi="Times New Roman" w:cs="Times New Roman"/>
          <w:bCs/>
          <w:color w:val="000000" w:themeColor="text1"/>
          <w:sz w:val="24"/>
          <w:szCs w:val="24"/>
        </w:rPr>
        <w:t>701</w:t>
      </w:r>
      <w:r w:rsidRPr="00092862">
        <w:rPr>
          <w:rFonts w:ascii="Times New Roman" w:eastAsia="宋体" w:hAnsi="Times New Roman" w:cs="Times New Roman"/>
          <w:bCs/>
          <w:color w:val="000000" w:themeColor="text1"/>
          <w:sz w:val="24"/>
          <w:szCs w:val="24"/>
        </w:rPr>
        <w:t>集气站旁</w:t>
      </w:r>
      <w:r w:rsidR="00C67F07" w:rsidRPr="00092862">
        <w:rPr>
          <w:rFonts w:ascii="Times New Roman" w:eastAsia="宋体" w:hAnsi="Times New Roman" w:cs="Times New Roman"/>
          <w:bCs/>
          <w:color w:val="000000" w:themeColor="text1"/>
          <w:sz w:val="24"/>
          <w:szCs w:val="24"/>
        </w:rPr>
        <w:t>采用雨污分流设计，四周设置了内外环排水沟，本次建设排水沟利旧，同时沿设备基础新建</w:t>
      </w:r>
      <w:r w:rsidR="00C67F07" w:rsidRPr="00092862">
        <w:rPr>
          <w:rFonts w:ascii="Times New Roman" w:eastAsia="宋体" w:hAnsi="Times New Roman" w:cs="Times New Roman"/>
          <w:bCs/>
          <w:color w:val="000000" w:themeColor="text1"/>
          <w:sz w:val="24"/>
          <w:szCs w:val="24"/>
        </w:rPr>
        <w:t>0.35m</w:t>
      </w:r>
      <w:r w:rsidR="00C67F07" w:rsidRPr="00092862">
        <w:rPr>
          <w:rFonts w:ascii="Times New Roman" w:eastAsia="宋体" w:hAnsi="Times New Roman" w:cs="Times New Roman"/>
          <w:bCs/>
          <w:color w:val="000000" w:themeColor="text1"/>
          <w:sz w:val="24"/>
          <w:szCs w:val="24"/>
        </w:rPr>
        <w:t>宽环状排污沟</w:t>
      </w:r>
      <w:r w:rsidR="00D92ABB" w:rsidRPr="00092862">
        <w:rPr>
          <w:rFonts w:ascii="Times New Roman" w:eastAsia="宋体" w:hAnsi="Times New Roman" w:cs="Times New Roman"/>
          <w:bCs/>
          <w:color w:val="000000" w:themeColor="text1"/>
          <w:sz w:val="24"/>
          <w:szCs w:val="24"/>
        </w:rPr>
        <w:t>390</w:t>
      </w:r>
      <w:r w:rsidR="00C67F07" w:rsidRPr="00092862">
        <w:rPr>
          <w:rFonts w:ascii="Times New Roman" w:eastAsia="宋体" w:hAnsi="Times New Roman" w:cs="Times New Roman"/>
          <w:bCs/>
          <w:color w:val="000000" w:themeColor="text1"/>
          <w:sz w:val="24"/>
          <w:szCs w:val="24"/>
        </w:rPr>
        <w:t>m</w:t>
      </w:r>
      <w:r w:rsidR="00C67F07" w:rsidRPr="00092862">
        <w:rPr>
          <w:rFonts w:ascii="Times New Roman" w:eastAsia="宋体" w:hAnsi="Times New Roman" w:cs="Times New Roman"/>
          <w:bCs/>
          <w:color w:val="000000" w:themeColor="text1"/>
          <w:sz w:val="24"/>
          <w:szCs w:val="24"/>
        </w:rPr>
        <w:t>，放坡坡度</w:t>
      </w:r>
      <w:r w:rsidR="00C67F07" w:rsidRPr="00092862">
        <w:rPr>
          <w:rFonts w:ascii="Times New Roman" w:eastAsia="宋体" w:hAnsi="Times New Roman" w:cs="Times New Roman"/>
          <w:bCs/>
          <w:color w:val="000000" w:themeColor="text1"/>
          <w:sz w:val="24"/>
          <w:szCs w:val="24"/>
        </w:rPr>
        <w:t>i=0.2%</w:t>
      </w:r>
      <w:r w:rsidR="00C67F07" w:rsidRPr="00092862">
        <w:rPr>
          <w:rFonts w:ascii="Times New Roman" w:eastAsia="宋体" w:hAnsi="Times New Roman" w:cs="Times New Roman"/>
          <w:bCs/>
          <w:color w:val="000000" w:themeColor="text1"/>
          <w:sz w:val="24"/>
          <w:szCs w:val="24"/>
        </w:rPr>
        <w:t>，与内环沟相连；井场场地</w:t>
      </w:r>
      <w:r w:rsidR="005037BF" w:rsidRPr="00092862">
        <w:rPr>
          <w:rFonts w:ascii="Times New Roman" w:eastAsia="宋体" w:hAnsi="Times New Roman" w:cs="Times New Roman"/>
          <w:bCs/>
          <w:color w:val="000000" w:themeColor="text1"/>
          <w:sz w:val="24"/>
          <w:szCs w:val="24"/>
        </w:rPr>
        <w:t>西南</w:t>
      </w:r>
      <w:r w:rsidR="00C67F07" w:rsidRPr="00092862">
        <w:rPr>
          <w:rFonts w:ascii="Times New Roman" w:eastAsia="宋体" w:hAnsi="Times New Roman" w:cs="Times New Roman"/>
          <w:bCs/>
          <w:color w:val="000000" w:themeColor="text1"/>
          <w:sz w:val="24"/>
          <w:szCs w:val="24"/>
        </w:rPr>
        <w:t>高</w:t>
      </w:r>
      <w:r w:rsidR="005037BF" w:rsidRPr="00092862">
        <w:rPr>
          <w:rFonts w:ascii="Times New Roman" w:eastAsia="宋体" w:hAnsi="Times New Roman" w:cs="Times New Roman"/>
          <w:bCs/>
          <w:color w:val="000000" w:themeColor="text1"/>
          <w:sz w:val="24"/>
          <w:szCs w:val="24"/>
        </w:rPr>
        <w:t>东北</w:t>
      </w:r>
      <w:r w:rsidR="00C67F07" w:rsidRPr="00092862">
        <w:rPr>
          <w:rFonts w:ascii="Times New Roman" w:eastAsia="宋体" w:hAnsi="Times New Roman" w:cs="Times New Roman"/>
          <w:bCs/>
          <w:color w:val="000000" w:themeColor="text1"/>
          <w:sz w:val="24"/>
          <w:szCs w:val="24"/>
        </w:rPr>
        <w:t>低，污水池位于集气站东偏</w:t>
      </w:r>
      <w:r w:rsidR="005037BF" w:rsidRPr="00092862">
        <w:rPr>
          <w:rFonts w:ascii="Times New Roman" w:eastAsia="宋体" w:hAnsi="Times New Roman" w:cs="Times New Roman"/>
          <w:bCs/>
          <w:color w:val="000000" w:themeColor="text1"/>
          <w:sz w:val="24"/>
          <w:szCs w:val="24"/>
        </w:rPr>
        <w:t>北</w:t>
      </w:r>
      <w:r w:rsidR="00C67F07" w:rsidRPr="00092862">
        <w:rPr>
          <w:rFonts w:ascii="Times New Roman" w:eastAsia="宋体" w:hAnsi="Times New Roman" w:cs="Times New Roman"/>
          <w:bCs/>
          <w:color w:val="000000" w:themeColor="text1"/>
          <w:sz w:val="24"/>
          <w:szCs w:val="24"/>
        </w:rPr>
        <w:t>侧，与场地内环沟相连，场地内雨污水可经内环沟自留进入污水池，集气站</w:t>
      </w:r>
      <w:r w:rsidR="009670A8" w:rsidRPr="00092862">
        <w:rPr>
          <w:rFonts w:ascii="Times New Roman" w:eastAsia="宋体" w:hAnsi="Times New Roman" w:cs="Times New Roman"/>
          <w:bCs/>
          <w:color w:val="000000" w:themeColor="text1"/>
          <w:sz w:val="24"/>
          <w:szCs w:val="24"/>
        </w:rPr>
        <w:t>整体平面布置合理。</w:t>
      </w:r>
    </w:p>
    <w:p w14:paraId="24EBCF3B" w14:textId="77777777" w:rsidR="00040516" w:rsidRPr="00092862" w:rsidRDefault="00040516" w:rsidP="00040516">
      <w:pPr>
        <w:tabs>
          <w:tab w:val="left" w:pos="0"/>
        </w:tabs>
        <w:adjustRightInd w:val="0"/>
        <w:snapToGrid w:val="0"/>
        <w:spacing w:beforeLines="50" w:before="120" w:line="360" w:lineRule="auto"/>
        <w:ind w:firstLineChars="200" w:firstLine="480"/>
        <w:rPr>
          <w:rFonts w:ascii="Times New Roman" w:hAnsi="Times New Roman" w:cs="Times New Roman"/>
          <w:bCs/>
          <w:color w:val="000000" w:themeColor="text1"/>
          <w:sz w:val="24"/>
          <w:szCs w:val="24"/>
        </w:rPr>
      </w:pPr>
    </w:p>
    <w:p w14:paraId="633D3FBE" w14:textId="5C863D55" w:rsidR="00040516" w:rsidRPr="00092862" w:rsidRDefault="00040516" w:rsidP="00040516">
      <w:pPr>
        <w:rPr>
          <w:rFonts w:ascii="Times New Roman" w:hAnsi="Times New Roman" w:cs="Times New Roman"/>
          <w:color w:val="000000" w:themeColor="text1"/>
        </w:rPr>
        <w:sectPr w:rsidR="00040516" w:rsidRPr="00092862" w:rsidSect="00351393">
          <w:headerReference w:type="default" r:id="rId21"/>
          <w:pgSz w:w="11910" w:h="16840"/>
          <w:pgMar w:top="1440" w:right="1800" w:bottom="1440" w:left="1800" w:header="877" w:footer="1114" w:gutter="0"/>
          <w:cols w:space="720"/>
        </w:sectPr>
      </w:pPr>
    </w:p>
    <w:p w14:paraId="3FC33E54" w14:textId="77777777" w:rsidR="00DC446C" w:rsidRPr="00092862" w:rsidRDefault="003B1968"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80" w:name="_Toc123682530"/>
      <w:r w:rsidRPr="00092862">
        <w:rPr>
          <w:rFonts w:ascii="Times New Roman" w:eastAsia="黑体" w:hAnsi="Times New Roman"/>
          <w:b w:val="0"/>
          <w:color w:val="000000" w:themeColor="text1"/>
          <w:sz w:val="28"/>
          <w:szCs w:val="28"/>
          <w:lang w:eastAsia="zh-CN"/>
        </w:rPr>
        <w:lastRenderedPageBreak/>
        <w:t>3</w:t>
      </w:r>
      <w:r w:rsidRPr="00092862">
        <w:rPr>
          <w:rFonts w:ascii="Times New Roman" w:eastAsia="黑体" w:hAnsi="Times New Roman"/>
          <w:b w:val="0"/>
          <w:color w:val="000000" w:themeColor="text1"/>
          <w:sz w:val="28"/>
          <w:szCs w:val="28"/>
          <w:lang w:eastAsia="zh-CN"/>
        </w:rPr>
        <w:t>工程分析</w:t>
      </w:r>
      <w:bookmarkEnd w:id="80"/>
    </w:p>
    <w:p w14:paraId="403B0258" w14:textId="5E380D46" w:rsidR="00DC446C" w:rsidRPr="00092862" w:rsidRDefault="003B1968" w:rsidP="003D2EEB">
      <w:pPr>
        <w:pStyle w:val="2"/>
        <w:ind w:firstLine="480"/>
        <w:rPr>
          <w:color w:val="000000" w:themeColor="text1"/>
          <w:szCs w:val="24"/>
          <w:lang w:eastAsia="zh-CN"/>
        </w:rPr>
      </w:pPr>
      <w:bookmarkStart w:id="81" w:name="_Toc123682531"/>
      <w:r w:rsidRPr="00092862">
        <w:rPr>
          <w:color w:val="000000" w:themeColor="text1"/>
          <w:szCs w:val="24"/>
          <w:lang w:eastAsia="zh-CN"/>
        </w:rPr>
        <w:t>3.1</w:t>
      </w:r>
      <w:r w:rsidR="0054512B" w:rsidRPr="00092862">
        <w:rPr>
          <w:color w:val="000000" w:themeColor="text1"/>
          <w:szCs w:val="24"/>
          <w:lang w:eastAsia="zh-CN"/>
        </w:rPr>
        <w:t>现有工程建设情况</w:t>
      </w:r>
      <w:bookmarkEnd w:id="81"/>
    </w:p>
    <w:p w14:paraId="32D5BE0A" w14:textId="77777777" w:rsidR="00FB783B" w:rsidRPr="00092862" w:rsidRDefault="00FB783B" w:rsidP="00FB783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82" w:name="_Toc120173093"/>
      <w:r w:rsidRPr="00092862">
        <w:rPr>
          <w:rFonts w:ascii="Times New Roman" w:eastAsia="黑体" w:hAnsi="Times New Roman"/>
          <w:b w:val="0"/>
          <w:color w:val="000000" w:themeColor="text1"/>
          <w:sz w:val="24"/>
          <w:szCs w:val="24"/>
          <w:lang w:eastAsia="zh-CN"/>
        </w:rPr>
        <w:t>3.1.1</w:t>
      </w:r>
      <w:r w:rsidRPr="00092862">
        <w:rPr>
          <w:rFonts w:ascii="Times New Roman" w:eastAsia="黑体" w:hAnsi="Times New Roman"/>
          <w:b w:val="0"/>
          <w:color w:val="000000" w:themeColor="text1"/>
          <w:sz w:val="24"/>
          <w:szCs w:val="24"/>
          <w:lang w:eastAsia="zh-CN"/>
        </w:rPr>
        <w:t>环保手续履行情况</w:t>
      </w:r>
      <w:bookmarkEnd w:id="82"/>
    </w:p>
    <w:p w14:paraId="61C76CC8" w14:textId="7F859064" w:rsidR="004D07D0" w:rsidRPr="00092862" w:rsidRDefault="004D07D0" w:rsidP="00AD44BA">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本项目为新建，为原老君</w:t>
      </w:r>
      <w:r w:rsidRPr="00092862">
        <w:rPr>
          <w:rFonts w:ascii="Times New Roman" w:eastAsia="宋体" w:hAnsi="Times New Roman" w:cs="Times New Roman"/>
          <w:color w:val="000000" w:themeColor="text1"/>
          <w:sz w:val="24"/>
          <w:szCs w:val="24"/>
        </w:rPr>
        <w:t>701</w:t>
      </w:r>
      <w:r w:rsidR="001001E6">
        <w:rPr>
          <w:rFonts w:ascii="Times New Roman" w:eastAsia="宋体" w:hAnsi="Times New Roman" w:cs="Times New Roman" w:hint="eastAsia"/>
          <w:color w:val="000000" w:themeColor="text1"/>
          <w:sz w:val="24"/>
          <w:szCs w:val="24"/>
        </w:rPr>
        <w:t>集气站</w:t>
      </w:r>
      <w:r w:rsidRPr="00092862">
        <w:rPr>
          <w:rFonts w:ascii="Times New Roman" w:eastAsia="宋体" w:hAnsi="Times New Roman" w:cs="Times New Roman"/>
          <w:color w:val="000000" w:themeColor="text1"/>
          <w:sz w:val="24"/>
          <w:szCs w:val="24"/>
        </w:rPr>
        <w:t>旁建设</w:t>
      </w:r>
      <w:r w:rsidR="001001E6">
        <w:rPr>
          <w:rFonts w:ascii="Times New Roman" w:eastAsia="宋体" w:hAnsi="Times New Roman" w:cs="Times New Roman" w:hint="eastAsia"/>
          <w:color w:val="000000" w:themeColor="text1"/>
          <w:sz w:val="24"/>
          <w:szCs w:val="24"/>
        </w:rPr>
        <w:t>，其相关既有工程情况介绍如下</w:t>
      </w:r>
      <w:r w:rsidRPr="00092862">
        <w:rPr>
          <w:rFonts w:ascii="Times New Roman" w:eastAsia="宋体" w:hAnsi="Times New Roman" w:cs="Times New Roman"/>
          <w:color w:val="000000" w:themeColor="text1"/>
          <w:sz w:val="24"/>
          <w:szCs w:val="24"/>
        </w:rPr>
        <w:t>。</w:t>
      </w:r>
    </w:p>
    <w:p w14:paraId="415F5DBE" w14:textId="3804C351" w:rsidR="003775A0" w:rsidRDefault="003775A0" w:rsidP="003775A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本项目依托的老君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集气站为在老君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井场拟建的为有人值守站，</w:t>
      </w:r>
      <w:r w:rsidR="007A3B3E" w:rsidRPr="00092862">
        <w:rPr>
          <w:rFonts w:ascii="Times New Roman" w:eastAsia="宋体" w:hAnsi="Times New Roman" w:cs="Times New Roman"/>
          <w:color w:val="000000" w:themeColor="text1"/>
          <w:sz w:val="24"/>
          <w:szCs w:val="24"/>
        </w:rPr>
        <w:t>目前</w:t>
      </w:r>
      <w:r w:rsidR="00A70D18" w:rsidRPr="00092862">
        <w:rPr>
          <w:rFonts w:ascii="Times New Roman" w:eastAsia="宋体" w:hAnsi="Times New Roman" w:cs="Times New Roman"/>
          <w:color w:val="000000" w:themeColor="text1"/>
          <w:sz w:val="24"/>
          <w:szCs w:val="24"/>
        </w:rPr>
        <w:t>该站已于</w:t>
      </w:r>
      <w:r w:rsidR="00A70D18" w:rsidRPr="00092862">
        <w:rPr>
          <w:rFonts w:ascii="Times New Roman" w:eastAsia="宋体" w:hAnsi="Times New Roman" w:cs="Times New Roman"/>
          <w:color w:val="000000" w:themeColor="text1"/>
          <w:sz w:val="24"/>
          <w:szCs w:val="24"/>
        </w:rPr>
        <w:t>2022</w:t>
      </w:r>
      <w:r w:rsidR="00A70D18" w:rsidRPr="00092862">
        <w:rPr>
          <w:rFonts w:ascii="Times New Roman" w:eastAsia="宋体" w:hAnsi="Times New Roman" w:cs="Times New Roman"/>
          <w:color w:val="000000" w:themeColor="text1"/>
          <w:sz w:val="24"/>
          <w:szCs w:val="24"/>
        </w:rPr>
        <w:t>年</w:t>
      </w:r>
      <w:r w:rsidR="00A70D18" w:rsidRPr="00092862">
        <w:rPr>
          <w:rFonts w:ascii="Times New Roman" w:eastAsia="宋体" w:hAnsi="Times New Roman" w:cs="Times New Roman"/>
          <w:color w:val="000000" w:themeColor="text1"/>
          <w:sz w:val="24"/>
          <w:szCs w:val="24"/>
        </w:rPr>
        <w:t>12</w:t>
      </w:r>
      <w:r w:rsidR="00A70D18" w:rsidRPr="00092862">
        <w:rPr>
          <w:rFonts w:ascii="Times New Roman" w:eastAsia="宋体" w:hAnsi="Times New Roman" w:cs="Times New Roman"/>
          <w:color w:val="000000" w:themeColor="text1"/>
          <w:sz w:val="24"/>
          <w:szCs w:val="24"/>
        </w:rPr>
        <w:t>月建成，正在进行试生产</w:t>
      </w:r>
      <w:r w:rsidR="007A3B3E"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站场利用钻井井场建设，不增加占地，井场区征地钻井工程已完成。火炬区布置于站场南侧约</w:t>
      </w:r>
      <w:r w:rsidRPr="00092862">
        <w:rPr>
          <w:rFonts w:ascii="Times New Roman" w:eastAsia="宋体" w:hAnsi="Times New Roman" w:cs="Times New Roman"/>
          <w:color w:val="000000" w:themeColor="text1"/>
          <w:sz w:val="24"/>
          <w:szCs w:val="24"/>
        </w:rPr>
        <w:t>36m</w:t>
      </w:r>
      <w:r w:rsidRPr="00092862">
        <w:rPr>
          <w:rFonts w:ascii="Times New Roman" w:eastAsia="宋体" w:hAnsi="Times New Roman" w:cs="Times New Roman"/>
          <w:color w:val="000000" w:themeColor="text1"/>
          <w:sz w:val="24"/>
          <w:szCs w:val="24"/>
        </w:rPr>
        <w:t>处，占地面积约</w:t>
      </w:r>
      <w:r w:rsidRPr="00092862">
        <w:rPr>
          <w:rFonts w:ascii="Times New Roman" w:eastAsia="宋体" w:hAnsi="Times New Roman" w:cs="Times New Roman"/>
          <w:color w:val="000000" w:themeColor="text1"/>
          <w:sz w:val="24"/>
          <w:szCs w:val="24"/>
        </w:rPr>
        <w:t>1.47</w:t>
      </w:r>
      <w:r w:rsidRPr="00092862">
        <w:rPr>
          <w:rFonts w:ascii="Times New Roman" w:eastAsia="宋体" w:hAnsi="Times New Roman" w:cs="Times New Roman"/>
          <w:color w:val="000000" w:themeColor="text1"/>
          <w:sz w:val="24"/>
          <w:szCs w:val="24"/>
        </w:rPr>
        <w:t>亩。老君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集气站布置气井</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口，总配产</w:t>
      </w:r>
      <w:r w:rsidRPr="00092862">
        <w:rPr>
          <w:rFonts w:ascii="Times New Roman" w:eastAsia="宋体" w:hAnsi="Times New Roman" w:cs="Times New Roman"/>
          <w:color w:val="000000" w:themeColor="text1"/>
          <w:sz w:val="24"/>
          <w:szCs w:val="24"/>
        </w:rPr>
        <w:t>100×10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Nm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。站内建设节流加热装置、分离计量装置、发球装置、放空设施及相关配套工程。该工程还包括新建老君</w:t>
      </w:r>
      <w:r w:rsidRPr="00092862">
        <w:rPr>
          <w:rFonts w:ascii="Times New Roman" w:eastAsia="宋体" w:hAnsi="Times New Roman" w:cs="Times New Roman"/>
          <w:color w:val="000000" w:themeColor="text1"/>
          <w:sz w:val="24"/>
          <w:szCs w:val="24"/>
        </w:rPr>
        <w:t xml:space="preserve"> 701 </w:t>
      </w:r>
      <w:r w:rsidRPr="00092862">
        <w:rPr>
          <w:rFonts w:ascii="Times New Roman" w:eastAsia="宋体" w:hAnsi="Times New Roman" w:cs="Times New Roman"/>
          <w:color w:val="000000" w:themeColor="text1"/>
          <w:sz w:val="24"/>
          <w:szCs w:val="24"/>
        </w:rPr>
        <w:t>集气站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 xml:space="preserve"> 305 </w:t>
      </w:r>
      <w:r w:rsidRPr="00092862">
        <w:rPr>
          <w:rFonts w:ascii="Times New Roman" w:eastAsia="宋体" w:hAnsi="Times New Roman" w:cs="Times New Roman"/>
          <w:color w:val="000000" w:themeColor="text1"/>
          <w:sz w:val="24"/>
          <w:szCs w:val="24"/>
        </w:rPr>
        <w:t>集气站管道：集气管道、燃料气管道、</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污水管道管线长度均为</w:t>
      </w:r>
      <w:r w:rsidRPr="00092862">
        <w:rPr>
          <w:rFonts w:ascii="Times New Roman" w:eastAsia="宋体" w:hAnsi="Times New Roman" w:cs="Times New Roman"/>
          <w:color w:val="000000" w:themeColor="text1"/>
          <w:sz w:val="24"/>
          <w:szCs w:val="24"/>
        </w:rPr>
        <w:t xml:space="preserve"> 6.2km</w:t>
      </w:r>
      <w:r w:rsidRPr="00092862">
        <w:rPr>
          <w:rFonts w:ascii="Times New Roman" w:eastAsia="宋体" w:hAnsi="Times New Roman" w:cs="Times New Roman"/>
          <w:color w:val="000000" w:themeColor="text1"/>
          <w:sz w:val="24"/>
          <w:szCs w:val="24"/>
        </w:rPr>
        <w:t>，集气管道（无缝钢管</w:t>
      </w:r>
      <w:r w:rsidRPr="00092862">
        <w:rPr>
          <w:rFonts w:ascii="Times New Roman" w:eastAsia="宋体" w:hAnsi="Times New Roman" w:cs="Times New Roman"/>
          <w:color w:val="000000" w:themeColor="text1"/>
          <w:sz w:val="24"/>
          <w:szCs w:val="24"/>
        </w:rPr>
        <w:t xml:space="preserve"> L360QS Φ168.3×8.5 DN150 </w:t>
      </w:r>
      <w:r w:rsidRPr="00092862">
        <w:rPr>
          <w:rFonts w:ascii="Times New Roman" w:eastAsia="宋体" w:hAnsi="Times New Roman" w:cs="Times New Roman"/>
          <w:color w:val="000000" w:themeColor="text1"/>
          <w:sz w:val="24"/>
          <w:szCs w:val="24"/>
        </w:rPr>
        <w:t>设计压力</w:t>
      </w:r>
      <w:r w:rsidRPr="00092862">
        <w:rPr>
          <w:rFonts w:ascii="Times New Roman" w:eastAsia="宋体" w:hAnsi="Times New Roman" w:cs="Times New Roman"/>
          <w:color w:val="000000" w:themeColor="text1"/>
          <w:sz w:val="24"/>
          <w:szCs w:val="24"/>
        </w:rPr>
        <w:t xml:space="preserve"> 11MPa </w:t>
      </w:r>
      <w:r w:rsidRPr="00092862">
        <w:rPr>
          <w:rFonts w:ascii="Times New Roman" w:eastAsia="宋体" w:hAnsi="Times New Roman" w:cs="Times New Roman"/>
          <w:color w:val="000000" w:themeColor="text1"/>
          <w:sz w:val="24"/>
          <w:szCs w:val="24"/>
        </w:rPr>
        <w:t>运行压力</w:t>
      </w:r>
      <w:r w:rsidRPr="00092862">
        <w:rPr>
          <w:rFonts w:ascii="Times New Roman" w:eastAsia="宋体" w:hAnsi="Times New Roman" w:cs="Times New Roman"/>
          <w:color w:val="000000" w:themeColor="text1"/>
          <w:sz w:val="24"/>
          <w:szCs w:val="24"/>
        </w:rPr>
        <w:t xml:space="preserve"> 9.2MPa</w:t>
      </w:r>
      <w:r w:rsidRPr="00092862">
        <w:rPr>
          <w:rFonts w:ascii="Times New Roman" w:eastAsia="宋体" w:hAnsi="Times New Roman" w:cs="Times New Roman"/>
          <w:color w:val="000000" w:themeColor="text1"/>
          <w:sz w:val="24"/>
          <w:szCs w:val="24"/>
        </w:rPr>
        <w:t>）、燃料气管道（无缝钢管</w:t>
      </w:r>
      <w:r w:rsidRPr="00092862">
        <w:rPr>
          <w:rFonts w:ascii="Times New Roman" w:eastAsia="宋体" w:hAnsi="Times New Roman" w:cs="Times New Roman"/>
          <w:color w:val="000000" w:themeColor="text1"/>
          <w:sz w:val="24"/>
          <w:szCs w:val="24"/>
        </w:rPr>
        <w:t xml:space="preserve"> Ф88.9×4.5 20 </w:t>
      </w:r>
      <w:r w:rsidRPr="00092862">
        <w:rPr>
          <w:rFonts w:ascii="Times New Roman" w:eastAsia="宋体" w:hAnsi="Times New Roman" w:cs="Times New Roman"/>
          <w:color w:val="000000" w:themeColor="text1"/>
          <w:sz w:val="24"/>
          <w:szCs w:val="24"/>
        </w:rPr>
        <w:t>无</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缝钢管</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设计压力</w:t>
      </w:r>
      <w:r w:rsidRPr="00092862">
        <w:rPr>
          <w:rFonts w:ascii="Times New Roman" w:eastAsia="宋体" w:hAnsi="Times New Roman" w:cs="Times New Roman"/>
          <w:color w:val="000000" w:themeColor="text1"/>
          <w:sz w:val="24"/>
          <w:szCs w:val="24"/>
        </w:rPr>
        <w:t xml:space="preserve"> 4.0MPa</w:t>
      </w:r>
      <w:r w:rsidRPr="00092862">
        <w:rPr>
          <w:rFonts w:ascii="Times New Roman" w:eastAsia="宋体" w:hAnsi="Times New Roman" w:cs="Times New Roman"/>
          <w:color w:val="000000" w:themeColor="text1"/>
          <w:sz w:val="24"/>
          <w:szCs w:val="24"/>
        </w:rPr>
        <w:t>，运行</w:t>
      </w:r>
      <w:r w:rsidRPr="00092862">
        <w:rPr>
          <w:rFonts w:ascii="Times New Roman" w:eastAsia="宋体" w:hAnsi="Times New Roman" w:cs="Times New Roman"/>
          <w:color w:val="000000" w:themeColor="text1"/>
          <w:sz w:val="24"/>
          <w:szCs w:val="24"/>
        </w:rPr>
        <w:t xml:space="preserve"> 2.5~3.5MPa</w:t>
      </w:r>
      <w:r w:rsidRPr="00092862">
        <w:rPr>
          <w:rFonts w:ascii="Times New Roman" w:eastAsia="宋体" w:hAnsi="Times New Roman" w:cs="Times New Roman"/>
          <w:color w:val="000000" w:themeColor="text1"/>
          <w:sz w:val="24"/>
          <w:szCs w:val="24"/>
        </w:rPr>
        <w:t>）、污水管道（增强型塑料复合管</w:t>
      </w:r>
      <w:r w:rsidRPr="00092862">
        <w:rPr>
          <w:rFonts w:ascii="Times New Roman" w:eastAsia="宋体" w:hAnsi="Times New Roman" w:cs="Times New Roman"/>
          <w:color w:val="000000" w:themeColor="text1"/>
          <w:sz w:val="24"/>
          <w:szCs w:val="24"/>
        </w:rPr>
        <w:t xml:space="preserve"> DN80</w:t>
      </w:r>
      <w:r w:rsidRPr="00092862">
        <w:rPr>
          <w:rFonts w:ascii="Times New Roman" w:eastAsia="宋体" w:hAnsi="Times New Roman" w:cs="Times New Roman"/>
          <w:color w:val="000000" w:themeColor="text1"/>
          <w:sz w:val="24"/>
          <w:szCs w:val="24"/>
        </w:rPr>
        <w:t>）和通信光缆同沟敷设等工程内容。上述工程于</w:t>
      </w:r>
      <w:r w:rsidRPr="00092862">
        <w:rPr>
          <w:rFonts w:ascii="Times New Roman" w:eastAsia="宋体" w:hAnsi="Times New Roman" w:cs="Times New Roman"/>
          <w:color w:val="000000" w:themeColor="text1"/>
          <w:sz w:val="24"/>
          <w:szCs w:val="24"/>
        </w:rPr>
        <w:t>20</w:t>
      </w:r>
      <w:r w:rsidR="00C70344" w:rsidRPr="00092862">
        <w:rPr>
          <w:rFonts w:ascii="Times New Roman" w:eastAsia="宋体" w:hAnsi="Times New Roman" w:cs="Times New Roman"/>
          <w:color w:val="000000" w:themeColor="text1"/>
          <w:sz w:val="24"/>
          <w:szCs w:val="24"/>
        </w:rPr>
        <w:t>21</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 xml:space="preserve"> 1</w:t>
      </w:r>
      <w:r w:rsidR="001001E6">
        <w:rPr>
          <w:rFonts w:ascii="Times New Roman" w:eastAsia="宋体" w:hAnsi="Times New Roman" w:cs="Times New Roman" w:hint="eastAsia"/>
          <w:color w:val="000000" w:themeColor="text1"/>
          <w:sz w:val="24"/>
          <w:szCs w:val="24"/>
        </w:rPr>
        <w:t>2</w:t>
      </w:r>
      <w:r w:rsidRPr="00092862">
        <w:rPr>
          <w:rFonts w:ascii="Times New Roman" w:eastAsia="宋体" w:hAnsi="Times New Roman" w:cs="Times New Roman"/>
          <w:color w:val="000000" w:themeColor="text1"/>
          <w:sz w:val="24"/>
          <w:szCs w:val="24"/>
        </w:rPr>
        <w:t>月</w:t>
      </w:r>
      <w:r w:rsidRPr="00092862">
        <w:rPr>
          <w:rFonts w:ascii="Times New Roman" w:eastAsia="宋体" w:hAnsi="Times New Roman" w:cs="Times New Roman"/>
          <w:color w:val="000000" w:themeColor="text1"/>
          <w:sz w:val="24"/>
          <w:szCs w:val="24"/>
        </w:rPr>
        <w:t xml:space="preserve"> 2</w:t>
      </w:r>
      <w:r w:rsidR="001001E6">
        <w:rPr>
          <w:rFonts w:ascii="Times New Roman" w:eastAsia="宋体" w:hAnsi="Times New Roman" w:cs="Times New Roman" w:hint="eastAsia"/>
          <w:color w:val="000000" w:themeColor="text1"/>
          <w:sz w:val="24"/>
          <w:szCs w:val="24"/>
        </w:rPr>
        <w:t>0</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日取得达州市生态环境局《关于</w:t>
      </w:r>
      <w:r w:rsidR="00C70344" w:rsidRPr="00092862">
        <w:rPr>
          <w:rFonts w:ascii="Times New Roman" w:eastAsia="宋体" w:hAnsi="Times New Roman" w:cs="Times New Roman"/>
          <w:color w:val="000000" w:themeColor="text1"/>
          <w:sz w:val="24"/>
          <w:szCs w:val="24"/>
        </w:rPr>
        <w:t>普光气田老君</w:t>
      </w:r>
      <w:r w:rsidR="00C70344" w:rsidRPr="00092862">
        <w:rPr>
          <w:rFonts w:ascii="Times New Roman" w:eastAsia="宋体" w:hAnsi="Times New Roman" w:cs="Times New Roman"/>
          <w:color w:val="000000" w:themeColor="text1"/>
          <w:sz w:val="24"/>
          <w:szCs w:val="24"/>
        </w:rPr>
        <w:t xml:space="preserve"> 701 </w:t>
      </w:r>
      <w:r w:rsidR="00C70344" w:rsidRPr="00092862">
        <w:rPr>
          <w:rFonts w:ascii="Times New Roman" w:eastAsia="宋体" w:hAnsi="Times New Roman" w:cs="Times New Roman"/>
          <w:color w:val="000000" w:themeColor="text1"/>
          <w:sz w:val="24"/>
          <w:szCs w:val="24"/>
        </w:rPr>
        <w:t>井台产能建设项目环境影响报告书</w:t>
      </w:r>
      <w:r w:rsidRPr="00092862">
        <w:rPr>
          <w:rFonts w:ascii="Times New Roman" w:eastAsia="宋体" w:hAnsi="Times New Roman" w:cs="Times New Roman"/>
          <w:color w:val="000000" w:themeColor="text1"/>
          <w:sz w:val="24"/>
          <w:szCs w:val="24"/>
        </w:rPr>
        <w:t>的批复》（</w:t>
      </w:r>
      <w:r w:rsidR="001001E6" w:rsidRPr="001001E6">
        <w:rPr>
          <w:rFonts w:ascii="Times New Roman" w:eastAsia="宋体" w:hAnsi="Times New Roman" w:cs="Times New Roman" w:hint="eastAsia"/>
          <w:color w:val="000000" w:themeColor="text1"/>
          <w:sz w:val="24"/>
          <w:szCs w:val="24"/>
        </w:rPr>
        <w:t>达市</w:t>
      </w:r>
      <w:r w:rsidR="001001E6" w:rsidRPr="001001E6">
        <w:rPr>
          <w:rFonts w:ascii="Times New Roman" w:eastAsia="宋体" w:hAnsi="Times New Roman" w:cs="Times New Roman"/>
          <w:color w:val="000000" w:themeColor="text1"/>
          <w:sz w:val="24"/>
          <w:szCs w:val="24"/>
        </w:rPr>
        <w:t>环审〔</w:t>
      </w:r>
      <w:r w:rsidR="001001E6" w:rsidRPr="001001E6">
        <w:rPr>
          <w:rFonts w:ascii="Times New Roman" w:eastAsia="宋体" w:hAnsi="Times New Roman" w:cs="Times New Roman"/>
          <w:color w:val="000000" w:themeColor="text1"/>
          <w:sz w:val="24"/>
          <w:szCs w:val="24"/>
        </w:rPr>
        <w:t>2021</w:t>
      </w:r>
      <w:r w:rsidR="001001E6" w:rsidRPr="001001E6">
        <w:rPr>
          <w:rFonts w:ascii="Times New Roman" w:eastAsia="宋体" w:hAnsi="Times New Roman" w:cs="Times New Roman"/>
          <w:color w:val="000000" w:themeColor="text1"/>
          <w:sz w:val="24"/>
          <w:szCs w:val="24"/>
        </w:rPr>
        <w:t>〕</w:t>
      </w:r>
      <w:r w:rsidR="001001E6" w:rsidRPr="001001E6">
        <w:rPr>
          <w:rFonts w:ascii="Times New Roman" w:eastAsia="宋体" w:hAnsi="Times New Roman" w:cs="Times New Roman" w:hint="eastAsia"/>
          <w:color w:val="000000" w:themeColor="text1"/>
          <w:sz w:val="24"/>
          <w:szCs w:val="24"/>
        </w:rPr>
        <w:t>35</w:t>
      </w:r>
      <w:r w:rsidR="001001E6" w:rsidRPr="001001E6">
        <w:rPr>
          <w:rFonts w:ascii="Times New Roman" w:eastAsia="宋体" w:hAnsi="Times New Roman" w:cs="Times New Roman"/>
          <w:color w:val="000000" w:themeColor="text1"/>
          <w:sz w:val="24"/>
          <w:szCs w:val="24"/>
        </w:rPr>
        <w:t>号</w:t>
      </w:r>
      <w:r w:rsidRPr="00092862">
        <w:rPr>
          <w:rFonts w:ascii="Times New Roman" w:eastAsia="宋体" w:hAnsi="Times New Roman" w:cs="Times New Roman"/>
          <w:color w:val="000000" w:themeColor="text1"/>
          <w:sz w:val="24"/>
          <w:szCs w:val="24"/>
        </w:rPr>
        <w:t>）</w:t>
      </w:r>
      <w:r w:rsidR="001001E6">
        <w:rPr>
          <w:rFonts w:ascii="Times New Roman" w:eastAsia="宋体" w:hAnsi="Times New Roman" w:cs="Times New Roman" w:hint="eastAsia"/>
          <w:color w:val="000000" w:themeColor="text1"/>
          <w:sz w:val="24"/>
          <w:szCs w:val="24"/>
        </w:rPr>
        <w:t>，目前老君</w:t>
      </w:r>
      <w:r w:rsidR="001001E6">
        <w:rPr>
          <w:rFonts w:ascii="Times New Roman" w:eastAsia="宋体" w:hAnsi="Times New Roman" w:cs="Times New Roman" w:hint="eastAsia"/>
          <w:color w:val="000000" w:themeColor="text1"/>
          <w:sz w:val="24"/>
          <w:szCs w:val="24"/>
        </w:rPr>
        <w:t>701</w:t>
      </w:r>
      <w:r w:rsidR="001001E6">
        <w:rPr>
          <w:rFonts w:ascii="Times New Roman" w:eastAsia="宋体" w:hAnsi="Times New Roman" w:cs="Times New Roman" w:hint="eastAsia"/>
          <w:color w:val="000000" w:themeColor="text1"/>
          <w:sz w:val="24"/>
          <w:szCs w:val="24"/>
        </w:rPr>
        <w:t>集气站已于</w:t>
      </w:r>
      <w:r w:rsidR="001001E6">
        <w:rPr>
          <w:rFonts w:ascii="Times New Roman" w:eastAsia="宋体" w:hAnsi="Times New Roman" w:cs="Times New Roman" w:hint="eastAsia"/>
          <w:color w:val="000000" w:themeColor="text1"/>
          <w:sz w:val="24"/>
          <w:szCs w:val="24"/>
        </w:rPr>
        <w:t>2022</w:t>
      </w:r>
      <w:r w:rsidR="001001E6">
        <w:rPr>
          <w:rFonts w:ascii="Times New Roman" w:eastAsia="宋体" w:hAnsi="Times New Roman" w:cs="Times New Roman" w:hint="eastAsia"/>
          <w:color w:val="000000" w:themeColor="text1"/>
          <w:sz w:val="24"/>
          <w:szCs w:val="24"/>
        </w:rPr>
        <w:t>年</w:t>
      </w:r>
      <w:r w:rsidR="001001E6">
        <w:rPr>
          <w:rFonts w:ascii="Times New Roman" w:eastAsia="宋体" w:hAnsi="Times New Roman" w:cs="Times New Roman" w:hint="eastAsia"/>
          <w:color w:val="000000" w:themeColor="text1"/>
          <w:sz w:val="24"/>
          <w:szCs w:val="24"/>
        </w:rPr>
        <w:t>12</w:t>
      </w:r>
      <w:r w:rsidR="001001E6">
        <w:rPr>
          <w:rFonts w:ascii="Times New Roman" w:eastAsia="宋体" w:hAnsi="Times New Roman" w:cs="Times New Roman" w:hint="eastAsia"/>
          <w:color w:val="000000" w:themeColor="text1"/>
          <w:sz w:val="24"/>
          <w:szCs w:val="24"/>
        </w:rPr>
        <w:t>月建成，目前正在进行试生产</w:t>
      </w:r>
      <w:r w:rsidRPr="00092862">
        <w:rPr>
          <w:rFonts w:ascii="Times New Roman" w:eastAsia="宋体" w:hAnsi="Times New Roman" w:cs="Times New Roman"/>
          <w:color w:val="000000" w:themeColor="text1"/>
          <w:sz w:val="24"/>
          <w:szCs w:val="24"/>
        </w:rPr>
        <w:t>。</w:t>
      </w:r>
    </w:p>
    <w:p w14:paraId="41D186F4" w14:textId="2D612313" w:rsidR="001001E6" w:rsidRPr="00092862"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hint="eastAsia"/>
          <w:color w:val="000000" w:themeColor="text1"/>
          <w:sz w:val="24"/>
          <w:szCs w:val="24"/>
        </w:rPr>
        <w:t>此外，该井场先期还建设有</w:t>
      </w: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w:t>
      </w:r>
      <w:r>
        <w:rPr>
          <w:rFonts w:ascii="Times New Roman" w:eastAsia="宋体" w:hAnsi="Times New Roman" w:cs="Times New Roman" w:hint="eastAsia"/>
          <w:color w:val="000000" w:themeColor="text1"/>
          <w:sz w:val="24"/>
          <w:szCs w:val="24"/>
        </w:rPr>
        <w:t>、老君</w:t>
      </w:r>
      <w:r>
        <w:rPr>
          <w:rFonts w:ascii="Times New Roman" w:eastAsia="宋体" w:hAnsi="Times New Roman" w:cs="Times New Roman" w:hint="eastAsia"/>
          <w:color w:val="000000" w:themeColor="text1"/>
          <w:sz w:val="24"/>
          <w:szCs w:val="24"/>
        </w:rPr>
        <w:t>4</w:t>
      </w:r>
      <w:r>
        <w:rPr>
          <w:rFonts w:ascii="Times New Roman" w:eastAsia="宋体" w:hAnsi="Times New Roman" w:cs="Times New Roman" w:hint="eastAsia"/>
          <w:color w:val="000000" w:themeColor="text1"/>
          <w:sz w:val="24"/>
          <w:szCs w:val="24"/>
        </w:rPr>
        <w:t>井，以及在建的</w:t>
      </w:r>
      <w:r w:rsidRPr="00092862">
        <w:rPr>
          <w:rFonts w:ascii="Times New Roman" w:eastAsia="宋体" w:hAnsi="Times New Roman" w:cs="Times New Roman"/>
          <w:color w:val="000000" w:themeColor="text1"/>
          <w:sz w:val="24"/>
          <w:szCs w:val="24"/>
        </w:rPr>
        <w:t>L701-3H</w:t>
      </w:r>
      <w:r>
        <w:rPr>
          <w:rFonts w:ascii="Times New Roman" w:eastAsia="宋体" w:hAnsi="Times New Roman" w:cs="Times New Roman" w:hint="eastAsia"/>
          <w:color w:val="000000" w:themeColor="text1"/>
          <w:sz w:val="24"/>
          <w:szCs w:val="24"/>
        </w:rPr>
        <w:t>等三口探井。上述探井的相关情况介绍如下：</w:t>
      </w:r>
    </w:p>
    <w:p w14:paraId="62916C3F" w14:textId="56772BFD" w:rsidR="001001E6"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hint="eastAsia"/>
          <w:color w:val="000000" w:themeColor="text1"/>
          <w:sz w:val="24"/>
          <w:szCs w:val="24"/>
        </w:rPr>
        <w:t>（</w:t>
      </w:r>
      <w:r>
        <w:rPr>
          <w:rFonts w:ascii="Times New Roman" w:eastAsia="宋体" w:hAnsi="Times New Roman" w:cs="Times New Roman" w:hint="eastAsia"/>
          <w:color w:val="000000" w:themeColor="text1"/>
          <w:sz w:val="24"/>
          <w:szCs w:val="24"/>
        </w:rPr>
        <w:t>1</w:t>
      </w:r>
      <w:r>
        <w:rPr>
          <w:rFonts w:ascii="Times New Roman" w:eastAsia="宋体" w:hAnsi="Times New Roman" w:cs="Times New Roman" w:hint="eastAsia"/>
          <w:color w:val="000000" w:themeColor="text1"/>
          <w:sz w:val="24"/>
          <w:szCs w:val="24"/>
        </w:rPr>
        <w:t>）老君</w:t>
      </w:r>
      <w:r>
        <w:rPr>
          <w:rFonts w:ascii="Times New Roman" w:eastAsia="宋体" w:hAnsi="Times New Roman" w:cs="Times New Roman" w:hint="eastAsia"/>
          <w:color w:val="000000" w:themeColor="text1"/>
          <w:sz w:val="24"/>
          <w:szCs w:val="24"/>
        </w:rPr>
        <w:t xml:space="preserve"> 1</w:t>
      </w:r>
      <w:r>
        <w:rPr>
          <w:rFonts w:ascii="Times New Roman" w:eastAsia="宋体" w:hAnsi="Times New Roman" w:cs="Times New Roman" w:hint="eastAsia"/>
          <w:color w:val="000000" w:themeColor="text1"/>
          <w:sz w:val="24"/>
          <w:szCs w:val="24"/>
        </w:rPr>
        <w:t>井</w:t>
      </w:r>
    </w:p>
    <w:p w14:paraId="1E330C32" w14:textId="2599448C" w:rsidR="001001E6" w:rsidRPr="00092862"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井位于四川省宣汉县老君乡古楼村</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社，为预探井（直井），目的层为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、长兴组，现已完井，现阶段处于封井期，</w:t>
      </w:r>
      <w:r w:rsidRPr="00092862">
        <w:rPr>
          <w:rFonts w:ascii="Times New Roman" w:eastAsia="宋体" w:hAnsi="Times New Roman" w:cs="Times New Roman"/>
          <w:color w:val="000000" w:themeColor="text1"/>
          <w:sz w:val="24"/>
          <w:szCs w:val="24"/>
        </w:rPr>
        <w:t>2007</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12</w:t>
      </w:r>
      <w:r w:rsidRPr="00092862">
        <w:rPr>
          <w:rFonts w:ascii="Times New Roman" w:eastAsia="宋体" w:hAnsi="Times New Roman" w:cs="Times New Roman"/>
          <w:color w:val="000000" w:themeColor="text1"/>
          <w:sz w:val="24"/>
          <w:szCs w:val="24"/>
        </w:rPr>
        <w:t>月</w:t>
      </w:r>
      <w:r w:rsidRPr="00092862">
        <w:rPr>
          <w:rFonts w:ascii="Times New Roman" w:eastAsia="宋体" w:hAnsi="Times New Roman" w:cs="Times New Roman"/>
          <w:color w:val="000000" w:themeColor="text1"/>
          <w:sz w:val="24"/>
          <w:szCs w:val="24"/>
        </w:rPr>
        <w:t>14</w:t>
      </w:r>
      <w:r w:rsidRPr="00092862">
        <w:rPr>
          <w:rFonts w:ascii="Times New Roman" w:eastAsia="宋体" w:hAnsi="Times New Roman" w:cs="Times New Roman"/>
          <w:color w:val="000000" w:themeColor="text1"/>
          <w:sz w:val="24"/>
          <w:szCs w:val="24"/>
        </w:rPr>
        <w:t>日取得原国家环境保护总局《关于中国石化普光气田开发及川气东送管道工程环境影响报告书的批复》（环审〔</w:t>
      </w:r>
      <w:r w:rsidRPr="00092862">
        <w:rPr>
          <w:rFonts w:ascii="Times New Roman" w:eastAsia="宋体" w:hAnsi="Times New Roman" w:cs="Times New Roman"/>
          <w:color w:val="000000" w:themeColor="text1"/>
          <w:sz w:val="24"/>
          <w:szCs w:val="24"/>
        </w:rPr>
        <w:t>2007</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376</w:t>
      </w:r>
      <w:r w:rsidRPr="00092862">
        <w:rPr>
          <w:rFonts w:ascii="Times New Roman" w:eastAsia="宋体" w:hAnsi="Times New Roman" w:cs="Times New Roman"/>
          <w:color w:val="000000" w:themeColor="text1"/>
          <w:sz w:val="24"/>
          <w:szCs w:val="24"/>
        </w:rPr>
        <w:t>号）（见附件</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），于</w:t>
      </w:r>
      <w:r w:rsidRPr="00092862">
        <w:rPr>
          <w:rFonts w:ascii="Times New Roman" w:eastAsia="宋体" w:hAnsi="Times New Roman" w:cs="Times New Roman"/>
          <w:color w:val="000000" w:themeColor="text1"/>
          <w:sz w:val="24"/>
          <w:szCs w:val="24"/>
        </w:rPr>
        <w:t>2013</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月</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日取得中华人民共和国环境保护部《关于中国石化普光气田开发及川气东送管道工程竣工环境保护验收意见的函》（环验〔</w:t>
      </w:r>
      <w:r w:rsidRPr="00092862">
        <w:rPr>
          <w:rFonts w:ascii="Times New Roman" w:eastAsia="宋体" w:hAnsi="Times New Roman" w:cs="Times New Roman"/>
          <w:color w:val="000000" w:themeColor="text1"/>
          <w:sz w:val="24"/>
          <w:szCs w:val="24"/>
        </w:rPr>
        <w:t>2013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92</w:t>
      </w:r>
      <w:r w:rsidRPr="00092862">
        <w:rPr>
          <w:rFonts w:ascii="Times New Roman" w:eastAsia="宋体" w:hAnsi="Times New Roman" w:cs="Times New Roman"/>
          <w:color w:val="000000" w:themeColor="text1"/>
          <w:sz w:val="24"/>
          <w:szCs w:val="24"/>
        </w:rPr>
        <w:t>号），同时</w:t>
      </w:r>
      <w:r w:rsidRPr="00092862">
        <w:rPr>
          <w:rFonts w:ascii="Times New Roman" w:eastAsia="宋体" w:hAnsi="Times New Roman" w:cs="Times New Roman"/>
          <w:color w:val="000000" w:themeColor="text1"/>
          <w:sz w:val="24"/>
          <w:szCs w:val="24"/>
        </w:rPr>
        <w:t>2018</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月</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日中原油田普光分公司、中国石化达州天然气净化有限公司《关于备案及的报告》</w:t>
      </w:r>
      <w:r w:rsidRPr="00092862">
        <w:rPr>
          <w:rFonts w:ascii="Times New Roman" w:eastAsia="宋体" w:hAnsi="Times New Roman" w:cs="Times New Roman"/>
          <w:color w:val="000000" w:themeColor="text1"/>
          <w:sz w:val="24"/>
          <w:szCs w:val="24"/>
        </w:rPr>
        <w:lastRenderedPageBreak/>
        <w:t>（普光合资〔</w:t>
      </w:r>
      <w:r w:rsidRPr="00092862">
        <w:rPr>
          <w:rFonts w:ascii="Times New Roman" w:eastAsia="宋体" w:hAnsi="Times New Roman" w:cs="Times New Roman"/>
          <w:color w:val="000000" w:themeColor="text1"/>
          <w:sz w:val="24"/>
          <w:szCs w:val="24"/>
        </w:rPr>
        <w:t>2018</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号），</w:t>
      </w:r>
      <w:r>
        <w:rPr>
          <w:rFonts w:ascii="Times New Roman" w:eastAsia="宋体" w:hAnsi="Times New Roman" w:cs="Times New Roman" w:hint="eastAsia"/>
          <w:b/>
          <w:bCs/>
          <w:color w:val="000000" w:themeColor="text1"/>
          <w:sz w:val="24"/>
          <w:szCs w:val="24"/>
        </w:rPr>
        <w:t>老</w:t>
      </w:r>
      <w:r w:rsidRPr="00092862">
        <w:rPr>
          <w:rFonts w:ascii="Times New Roman" w:eastAsia="宋体" w:hAnsi="Times New Roman" w:cs="Times New Roman"/>
          <w:b/>
          <w:bCs/>
          <w:color w:val="000000" w:themeColor="text1"/>
          <w:sz w:val="24"/>
          <w:szCs w:val="24"/>
        </w:rPr>
        <w:t>君</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井的建设内容包含其中</w:t>
      </w:r>
      <w:r w:rsidRPr="00092862">
        <w:rPr>
          <w:rFonts w:ascii="Times New Roman" w:eastAsia="宋体" w:hAnsi="Times New Roman" w:cs="Times New Roman"/>
          <w:color w:val="000000" w:themeColor="text1"/>
          <w:sz w:val="24"/>
          <w:szCs w:val="24"/>
        </w:rPr>
        <w:t>。</w:t>
      </w:r>
    </w:p>
    <w:p w14:paraId="27678D91" w14:textId="77777777" w:rsidR="001001E6" w:rsidRPr="00092862"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）已建老君</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井</w:t>
      </w:r>
    </w:p>
    <w:p w14:paraId="4AAEBE61" w14:textId="19449E9F" w:rsidR="001001E6" w:rsidRPr="00092862"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后期建设单位依托该井场（老君</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井场）实施了老君</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井的钻井工程，</w:t>
      </w:r>
      <w:r w:rsidRPr="00092862">
        <w:rPr>
          <w:rFonts w:ascii="Times New Roman" w:eastAsia="宋体" w:hAnsi="Times New Roman" w:cs="Times New Roman"/>
          <w:color w:val="000000" w:themeColor="text1"/>
          <w:sz w:val="24"/>
          <w:szCs w:val="24"/>
        </w:rPr>
        <w:t>2019</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月</w:t>
      </w:r>
      <w:r w:rsidRPr="00092862">
        <w:rPr>
          <w:rFonts w:ascii="Times New Roman" w:eastAsia="宋体" w:hAnsi="Times New Roman" w:cs="Times New Roman"/>
          <w:color w:val="000000" w:themeColor="text1"/>
          <w:sz w:val="24"/>
          <w:szCs w:val="24"/>
        </w:rPr>
        <w:t>22</w:t>
      </w:r>
      <w:r w:rsidRPr="00092862">
        <w:rPr>
          <w:rFonts w:ascii="Times New Roman" w:eastAsia="宋体" w:hAnsi="Times New Roman" w:cs="Times New Roman"/>
          <w:color w:val="000000" w:themeColor="text1"/>
          <w:sz w:val="24"/>
          <w:szCs w:val="24"/>
        </w:rPr>
        <w:t>日取得达州市宣汉生态环境局《关于老君</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井钻井工程环境影响报告表的批复》（宣环审〔</w:t>
      </w:r>
      <w:r w:rsidRPr="00092862">
        <w:rPr>
          <w:rFonts w:ascii="Times New Roman" w:eastAsia="宋体" w:hAnsi="Times New Roman" w:cs="Times New Roman"/>
          <w:color w:val="000000" w:themeColor="text1"/>
          <w:sz w:val="24"/>
          <w:szCs w:val="24"/>
        </w:rPr>
        <w:t>2019</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72</w:t>
      </w:r>
      <w:r w:rsidRPr="00092862">
        <w:rPr>
          <w:rFonts w:ascii="Times New Roman" w:eastAsia="宋体" w:hAnsi="Times New Roman" w:cs="Times New Roman"/>
          <w:color w:val="000000" w:themeColor="text1"/>
          <w:sz w:val="24"/>
          <w:szCs w:val="24"/>
        </w:rPr>
        <w:t>号），井型为定向井，目的层为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、长兴组，设计垂直井深</w:t>
      </w:r>
      <w:r w:rsidRPr="00092862">
        <w:rPr>
          <w:rFonts w:ascii="Times New Roman" w:eastAsia="宋体" w:hAnsi="Times New Roman" w:cs="Times New Roman"/>
          <w:color w:val="000000" w:themeColor="text1"/>
          <w:sz w:val="24"/>
          <w:szCs w:val="24"/>
        </w:rPr>
        <w:t>6266.55m</w:t>
      </w:r>
      <w:r w:rsidRPr="00092862">
        <w:rPr>
          <w:rFonts w:ascii="Times New Roman" w:eastAsia="宋体" w:hAnsi="Times New Roman" w:cs="Times New Roman"/>
          <w:color w:val="000000" w:themeColor="text1"/>
          <w:sz w:val="24"/>
          <w:szCs w:val="24"/>
        </w:rPr>
        <w:t>（海拔</w:t>
      </w:r>
      <w:r w:rsidRPr="00092862">
        <w:rPr>
          <w:rFonts w:ascii="Times New Roman" w:eastAsia="宋体" w:hAnsi="Times New Roman" w:cs="Times New Roman"/>
          <w:color w:val="000000" w:themeColor="text1"/>
          <w:sz w:val="24"/>
          <w:szCs w:val="24"/>
        </w:rPr>
        <w:t>1156.55m</w:t>
      </w:r>
      <w:r w:rsidRPr="00092862">
        <w:rPr>
          <w:rFonts w:ascii="Times New Roman" w:eastAsia="宋体" w:hAnsi="Times New Roman" w:cs="Times New Roman"/>
          <w:color w:val="000000" w:themeColor="text1"/>
          <w:sz w:val="24"/>
          <w:szCs w:val="24"/>
        </w:rPr>
        <w:t>），地质构造为四川盆地川东断褶带黄</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带老君山构造，目前该井已完钻，正在进行试生产，同时正在开展竣工环保验收工作。</w:t>
      </w:r>
    </w:p>
    <w:p w14:paraId="2CCA6CC0" w14:textId="77777777" w:rsidR="001001E6" w:rsidRPr="00092862"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L701-3H</w:t>
      </w:r>
      <w:r w:rsidRPr="00092862">
        <w:rPr>
          <w:rFonts w:ascii="Times New Roman" w:eastAsia="宋体" w:hAnsi="Times New Roman" w:cs="Times New Roman"/>
          <w:color w:val="000000" w:themeColor="text1"/>
          <w:sz w:val="24"/>
          <w:szCs w:val="24"/>
        </w:rPr>
        <w:t>井</w:t>
      </w:r>
    </w:p>
    <w:p w14:paraId="6CBACF99" w14:textId="65DF62E6" w:rsidR="001001E6" w:rsidRPr="00092862" w:rsidRDefault="001001E6" w:rsidP="001001E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 xml:space="preserve">L701-3H </w:t>
      </w:r>
      <w:r w:rsidRPr="00092862">
        <w:rPr>
          <w:rFonts w:ascii="Times New Roman" w:eastAsia="宋体" w:hAnsi="Times New Roman" w:cs="Times New Roman"/>
          <w:color w:val="000000" w:themeColor="text1"/>
          <w:sz w:val="24"/>
          <w:szCs w:val="24"/>
        </w:rPr>
        <w:t>井为拟计划依托原老君</w:t>
      </w:r>
      <w:r w:rsidRPr="00092862">
        <w:rPr>
          <w:rFonts w:ascii="Times New Roman" w:eastAsia="宋体" w:hAnsi="Times New Roman" w:cs="Times New Roman"/>
          <w:color w:val="000000" w:themeColor="text1"/>
          <w:sz w:val="24"/>
          <w:szCs w:val="24"/>
        </w:rPr>
        <w:t xml:space="preserve"> 4</w:t>
      </w:r>
      <w:r w:rsidRPr="00092862">
        <w:rPr>
          <w:rFonts w:ascii="Times New Roman" w:eastAsia="宋体" w:hAnsi="Times New Roman" w:cs="Times New Roman"/>
          <w:color w:val="000000" w:themeColor="text1"/>
          <w:sz w:val="24"/>
          <w:szCs w:val="24"/>
        </w:rPr>
        <w:t>井场进行实施的钻井</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工程，于</w:t>
      </w:r>
      <w:r w:rsidRPr="00092862">
        <w:rPr>
          <w:rFonts w:ascii="Times New Roman" w:eastAsia="宋体" w:hAnsi="Times New Roman" w:cs="Times New Roman"/>
          <w:color w:val="000000" w:themeColor="text1"/>
          <w:sz w:val="24"/>
          <w:szCs w:val="24"/>
        </w:rPr>
        <w:t xml:space="preserve">2019 </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 xml:space="preserve"> 11 </w:t>
      </w:r>
      <w:r w:rsidRPr="00092862">
        <w:rPr>
          <w:rFonts w:ascii="Times New Roman" w:eastAsia="宋体" w:hAnsi="Times New Roman" w:cs="Times New Roman"/>
          <w:color w:val="000000" w:themeColor="text1"/>
          <w:sz w:val="24"/>
          <w:szCs w:val="24"/>
        </w:rPr>
        <w:t>月</w:t>
      </w:r>
      <w:r w:rsidRPr="00092862">
        <w:rPr>
          <w:rFonts w:ascii="Times New Roman" w:eastAsia="宋体" w:hAnsi="Times New Roman" w:cs="Times New Roman"/>
          <w:color w:val="000000" w:themeColor="text1"/>
          <w:sz w:val="24"/>
          <w:szCs w:val="24"/>
        </w:rPr>
        <w:t xml:space="preserve"> 22 </w:t>
      </w:r>
      <w:r w:rsidRPr="00092862">
        <w:rPr>
          <w:rFonts w:ascii="Times New Roman" w:eastAsia="宋体" w:hAnsi="Times New Roman" w:cs="Times New Roman"/>
          <w:color w:val="000000" w:themeColor="text1"/>
          <w:sz w:val="24"/>
          <w:szCs w:val="24"/>
        </w:rPr>
        <w:t>日取得达州市宣汉生态环境局《关于普光气田</w:t>
      </w:r>
      <w:r w:rsidRPr="00092862">
        <w:rPr>
          <w:rFonts w:ascii="Times New Roman" w:eastAsia="宋体" w:hAnsi="Times New Roman" w:cs="Times New Roman"/>
          <w:color w:val="000000" w:themeColor="text1"/>
          <w:sz w:val="24"/>
          <w:szCs w:val="24"/>
        </w:rPr>
        <w:t xml:space="preserve"> L701-3H </w:t>
      </w:r>
      <w:r w:rsidRPr="00092862">
        <w:rPr>
          <w:rFonts w:ascii="Times New Roman" w:eastAsia="宋体" w:hAnsi="Times New Roman" w:cs="Times New Roman"/>
          <w:color w:val="000000" w:themeColor="text1"/>
          <w:sz w:val="24"/>
          <w:szCs w:val="24"/>
        </w:rPr>
        <w:t>钻井工程环境影响报告表的批复》（宣环审〔</w:t>
      </w:r>
      <w:r w:rsidRPr="00092862">
        <w:rPr>
          <w:rFonts w:ascii="Times New Roman" w:eastAsia="宋体" w:hAnsi="Times New Roman" w:cs="Times New Roman"/>
          <w:color w:val="000000" w:themeColor="text1"/>
          <w:sz w:val="24"/>
          <w:szCs w:val="24"/>
        </w:rPr>
        <w:t>2021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 xml:space="preserve">27 </w:t>
      </w:r>
      <w:r w:rsidRPr="00092862">
        <w:rPr>
          <w:rFonts w:ascii="Times New Roman" w:eastAsia="宋体" w:hAnsi="Times New Roman" w:cs="Times New Roman"/>
          <w:color w:val="000000" w:themeColor="text1"/>
          <w:sz w:val="24"/>
          <w:szCs w:val="24"/>
        </w:rPr>
        <w:t>号），为</w:t>
      </w:r>
      <w:r w:rsidRPr="00092862">
        <w:rPr>
          <w:rFonts w:ascii="Times New Roman" w:eastAsia="宋体" w:hAnsi="Times New Roman" w:cs="Times New Roman"/>
          <w:color w:val="000000" w:themeColor="text1"/>
          <w:sz w:val="24"/>
          <w:szCs w:val="24"/>
        </w:rPr>
        <w:t xml:space="preserve"> 1 </w:t>
      </w:r>
      <w:r w:rsidRPr="00092862">
        <w:rPr>
          <w:rFonts w:ascii="Times New Roman" w:eastAsia="宋体" w:hAnsi="Times New Roman" w:cs="Times New Roman"/>
          <w:color w:val="000000" w:themeColor="text1"/>
          <w:sz w:val="24"/>
          <w:szCs w:val="24"/>
        </w:rPr>
        <w:t>口勘探评价井，井型为水平井，设计井深</w:t>
      </w:r>
      <w:r w:rsidRPr="00092862">
        <w:rPr>
          <w:rFonts w:ascii="Times New Roman" w:eastAsia="宋体" w:hAnsi="Times New Roman" w:cs="Times New Roman"/>
          <w:color w:val="000000" w:themeColor="text1"/>
          <w:sz w:val="24"/>
          <w:szCs w:val="24"/>
        </w:rPr>
        <w:t xml:space="preserve"> 6091m</w:t>
      </w:r>
      <w:r w:rsidRPr="00092862">
        <w:rPr>
          <w:rFonts w:ascii="Times New Roman" w:eastAsia="宋体" w:hAnsi="Times New Roman" w:cs="Times New Roman"/>
          <w:color w:val="000000" w:themeColor="text1"/>
          <w:sz w:val="24"/>
          <w:szCs w:val="24"/>
        </w:rPr>
        <w:t>（垂深）</w:t>
      </w:r>
      <w:r w:rsidRPr="00092862">
        <w:rPr>
          <w:rFonts w:ascii="Times New Roman" w:eastAsia="宋体" w:hAnsi="Times New Roman" w:cs="Times New Roman"/>
          <w:color w:val="000000" w:themeColor="text1"/>
          <w:sz w:val="24"/>
          <w:szCs w:val="24"/>
        </w:rPr>
        <w:t>/6948.09m</w:t>
      </w:r>
      <w:r w:rsidRPr="00092862">
        <w:rPr>
          <w:rFonts w:ascii="Times New Roman" w:eastAsia="宋体" w:hAnsi="Times New Roman" w:cs="Times New Roman"/>
          <w:color w:val="000000" w:themeColor="text1"/>
          <w:sz w:val="24"/>
          <w:szCs w:val="24"/>
        </w:rPr>
        <w:t>（斜深），</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地面海拔</w:t>
      </w:r>
      <w:r w:rsidRPr="00092862">
        <w:rPr>
          <w:rFonts w:ascii="Times New Roman" w:eastAsia="宋体" w:hAnsi="Times New Roman" w:cs="Times New Roman"/>
          <w:color w:val="000000" w:themeColor="text1"/>
          <w:sz w:val="24"/>
          <w:szCs w:val="24"/>
        </w:rPr>
        <w:t xml:space="preserve"> 1151m</w:t>
      </w:r>
      <w:r w:rsidRPr="00092862">
        <w:rPr>
          <w:rFonts w:ascii="Times New Roman" w:eastAsia="宋体" w:hAnsi="Times New Roman" w:cs="Times New Roman"/>
          <w:color w:val="000000" w:themeColor="text1"/>
          <w:sz w:val="24"/>
          <w:szCs w:val="24"/>
        </w:rPr>
        <w:t>，目的层位</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一二段，完钻层位为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，目前该井正在钻井作业。</w:t>
      </w:r>
    </w:p>
    <w:p w14:paraId="490F6B22" w14:textId="2EECE4B8" w:rsidR="0054512B" w:rsidRPr="00092862" w:rsidRDefault="0054512B" w:rsidP="0054512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本项目依托的平台</w:t>
      </w:r>
      <w:r w:rsidR="00331456" w:rsidRPr="00092862">
        <w:rPr>
          <w:rFonts w:ascii="Times New Roman" w:eastAsia="宋体" w:hAnsi="Times New Roman" w:cs="Times New Roman"/>
          <w:color w:val="000000" w:themeColor="text1"/>
          <w:sz w:val="24"/>
          <w:szCs w:val="24"/>
        </w:rPr>
        <w:t>（集气站）</w:t>
      </w:r>
      <w:r w:rsidRPr="00092862">
        <w:rPr>
          <w:rFonts w:ascii="Times New Roman" w:eastAsia="宋体" w:hAnsi="Times New Roman" w:cs="Times New Roman"/>
          <w:color w:val="000000" w:themeColor="text1"/>
          <w:sz w:val="24"/>
          <w:szCs w:val="24"/>
        </w:rPr>
        <w:t>环评、竣工环境保护验收履行情况见表</w:t>
      </w:r>
      <w:r w:rsidR="002C40AD"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w:t>
      </w:r>
    </w:p>
    <w:p w14:paraId="6F8DD4B6" w14:textId="4621357D" w:rsidR="0054512B" w:rsidRPr="00092862" w:rsidRDefault="0054512B"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.1-1  </w:t>
      </w:r>
      <w:r w:rsidRPr="00092862">
        <w:rPr>
          <w:rFonts w:ascii="Times New Roman" w:eastAsia="黑体" w:hAnsi="Times New Roman"/>
          <w:color w:val="000000" w:themeColor="text1"/>
          <w:sz w:val="21"/>
          <w:szCs w:val="21"/>
          <w:lang w:eastAsia="zh-CN"/>
        </w:rPr>
        <w:t>依托工程环境保护手续履行情况一览表</w:t>
      </w:r>
    </w:p>
    <w:tbl>
      <w:tblPr>
        <w:tblStyle w:val="S"/>
        <w:tblW w:w="0" w:type="auto"/>
        <w:tblLook w:val="04A0" w:firstRow="1" w:lastRow="0" w:firstColumn="1" w:lastColumn="0" w:noHBand="0" w:noVBand="1"/>
      </w:tblPr>
      <w:tblGrid>
        <w:gridCol w:w="1298"/>
        <w:gridCol w:w="3556"/>
        <w:gridCol w:w="1929"/>
        <w:gridCol w:w="1517"/>
      </w:tblGrid>
      <w:tr w:rsidR="001001E6" w:rsidRPr="00092862" w14:paraId="5BE89CE4" w14:textId="77777777" w:rsidTr="00580873">
        <w:trPr>
          <w:trHeight w:val="454"/>
        </w:trPr>
        <w:tc>
          <w:tcPr>
            <w:tcW w:w="0" w:type="auto"/>
          </w:tcPr>
          <w:p w14:paraId="2F263065" w14:textId="77777777" w:rsidR="00AD44BA" w:rsidRPr="00092862" w:rsidRDefault="00AD44BA" w:rsidP="0054512B">
            <w:pPr>
              <w:pStyle w:val="06"/>
              <w:rPr>
                <w:rFonts w:cs="Times New Roman"/>
                <w:color w:val="000000" w:themeColor="text1"/>
              </w:rPr>
            </w:pPr>
            <w:r w:rsidRPr="00092862">
              <w:rPr>
                <w:rFonts w:cs="Times New Roman"/>
                <w:color w:val="000000" w:themeColor="text1"/>
              </w:rPr>
              <w:t>依托工程</w:t>
            </w:r>
          </w:p>
        </w:tc>
        <w:tc>
          <w:tcPr>
            <w:tcW w:w="0" w:type="auto"/>
          </w:tcPr>
          <w:p w14:paraId="671B6A48" w14:textId="77777777" w:rsidR="00AD44BA" w:rsidRPr="00092862" w:rsidRDefault="00AD44BA" w:rsidP="0054512B">
            <w:pPr>
              <w:pStyle w:val="06"/>
              <w:rPr>
                <w:rFonts w:cs="Times New Roman"/>
                <w:color w:val="000000" w:themeColor="text1"/>
              </w:rPr>
            </w:pPr>
            <w:r w:rsidRPr="00092862">
              <w:rPr>
                <w:rFonts w:cs="Times New Roman"/>
                <w:color w:val="000000" w:themeColor="text1"/>
              </w:rPr>
              <w:t>项目环评名称</w:t>
            </w:r>
          </w:p>
        </w:tc>
        <w:tc>
          <w:tcPr>
            <w:tcW w:w="0" w:type="auto"/>
          </w:tcPr>
          <w:p w14:paraId="21C932F6" w14:textId="64410450" w:rsidR="00AD44BA" w:rsidRPr="00092862" w:rsidRDefault="00AD44BA" w:rsidP="0054512B">
            <w:pPr>
              <w:pStyle w:val="06"/>
              <w:rPr>
                <w:rFonts w:cs="Times New Roman"/>
                <w:color w:val="000000" w:themeColor="text1"/>
              </w:rPr>
            </w:pPr>
            <w:r w:rsidRPr="00092862">
              <w:rPr>
                <w:rFonts w:cs="Times New Roman"/>
                <w:color w:val="000000" w:themeColor="text1"/>
              </w:rPr>
              <w:t>环评及验收批复</w:t>
            </w:r>
          </w:p>
        </w:tc>
        <w:tc>
          <w:tcPr>
            <w:tcW w:w="0" w:type="auto"/>
          </w:tcPr>
          <w:p w14:paraId="3EB4C2F0" w14:textId="55F391D9" w:rsidR="00AD44BA" w:rsidRPr="00092862" w:rsidRDefault="00AD44BA" w:rsidP="0054512B">
            <w:pPr>
              <w:pStyle w:val="06"/>
              <w:rPr>
                <w:rFonts w:cs="Times New Roman"/>
                <w:color w:val="000000" w:themeColor="text1"/>
              </w:rPr>
            </w:pPr>
            <w:r w:rsidRPr="00092862">
              <w:rPr>
                <w:rFonts w:cs="Times New Roman"/>
                <w:color w:val="000000" w:themeColor="text1"/>
              </w:rPr>
              <w:t>批复及验收时间</w:t>
            </w:r>
          </w:p>
        </w:tc>
      </w:tr>
      <w:tr w:rsidR="001001E6" w:rsidRPr="00092862" w14:paraId="50CCB43F" w14:textId="77777777" w:rsidTr="00580873">
        <w:trPr>
          <w:trHeight w:val="454"/>
        </w:trPr>
        <w:tc>
          <w:tcPr>
            <w:tcW w:w="0" w:type="auto"/>
          </w:tcPr>
          <w:p w14:paraId="1ECE9067" w14:textId="4DD6F565" w:rsidR="003775A0" w:rsidRPr="00092862" w:rsidRDefault="003775A0" w:rsidP="007F5310">
            <w:pPr>
              <w:pStyle w:val="04"/>
              <w:rPr>
                <w:rFonts w:cs="Times New Roman"/>
                <w:color w:val="000000" w:themeColor="text1"/>
              </w:rPr>
            </w:pPr>
            <w:r w:rsidRPr="00092862">
              <w:rPr>
                <w:rFonts w:cs="Times New Roman"/>
                <w:color w:val="000000" w:themeColor="text1"/>
              </w:rPr>
              <w:t>老君</w:t>
            </w:r>
            <w:r w:rsidRPr="00092862">
              <w:rPr>
                <w:rFonts w:cs="Times New Roman"/>
                <w:color w:val="000000" w:themeColor="text1"/>
              </w:rPr>
              <w:t>701</w:t>
            </w:r>
            <w:r w:rsidRPr="00092862">
              <w:rPr>
                <w:rFonts w:cs="Times New Roman"/>
                <w:color w:val="000000" w:themeColor="text1"/>
              </w:rPr>
              <w:t>集气站</w:t>
            </w:r>
          </w:p>
        </w:tc>
        <w:tc>
          <w:tcPr>
            <w:tcW w:w="0" w:type="auto"/>
          </w:tcPr>
          <w:p w14:paraId="75868B64" w14:textId="286BE345" w:rsidR="003775A0" w:rsidRPr="00092862" w:rsidRDefault="003775A0" w:rsidP="007F5310">
            <w:pPr>
              <w:pStyle w:val="04"/>
              <w:rPr>
                <w:rFonts w:cs="Times New Roman"/>
                <w:color w:val="000000" w:themeColor="text1"/>
              </w:rPr>
            </w:pPr>
            <w:r w:rsidRPr="00092862">
              <w:rPr>
                <w:rFonts w:cs="Times New Roman"/>
                <w:color w:val="000000" w:themeColor="text1"/>
              </w:rPr>
              <w:t>普光气田老君</w:t>
            </w:r>
            <w:r w:rsidRPr="00092862">
              <w:rPr>
                <w:rFonts w:cs="Times New Roman"/>
                <w:color w:val="000000" w:themeColor="text1"/>
              </w:rPr>
              <w:t xml:space="preserve"> 701 </w:t>
            </w:r>
            <w:r w:rsidRPr="00092862">
              <w:rPr>
                <w:rFonts w:cs="Times New Roman"/>
                <w:color w:val="000000" w:themeColor="text1"/>
              </w:rPr>
              <w:t>井台产能建设项目环境影响报告书</w:t>
            </w:r>
          </w:p>
        </w:tc>
        <w:tc>
          <w:tcPr>
            <w:tcW w:w="0" w:type="auto"/>
          </w:tcPr>
          <w:p w14:paraId="459E8293" w14:textId="20FAC5A9" w:rsidR="003775A0" w:rsidRPr="00092862" w:rsidRDefault="001001E6" w:rsidP="007F5310">
            <w:pPr>
              <w:pStyle w:val="04"/>
              <w:rPr>
                <w:rFonts w:cs="Times New Roman"/>
                <w:color w:val="000000" w:themeColor="text1"/>
              </w:rPr>
            </w:pPr>
            <w:r>
              <w:rPr>
                <w:rFonts w:cs="Times New Roman" w:hint="eastAsia"/>
                <w:color w:val="000000" w:themeColor="text1"/>
              </w:rPr>
              <w:t>达市</w:t>
            </w:r>
            <w:r w:rsidR="00C70344" w:rsidRPr="00092862">
              <w:rPr>
                <w:rFonts w:cs="Times New Roman"/>
                <w:color w:val="000000" w:themeColor="text1"/>
              </w:rPr>
              <w:t>环审〔</w:t>
            </w:r>
            <w:r w:rsidR="00C70344" w:rsidRPr="00092862">
              <w:rPr>
                <w:rFonts w:cs="Times New Roman"/>
                <w:color w:val="000000" w:themeColor="text1"/>
              </w:rPr>
              <w:t>2021</w:t>
            </w:r>
            <w:r w:rsidR="00C70344" w:rsidRPr="00092862">
              <w:rPr>
                <w:rFonts w:cs="Times New Roman"/>
                <w:color w:val="000000" w:themeColor="text1"/>
              </w:rPr>
              <w:t>〕</w:t>
            </w:r>
            <w:r>
              <w:rPr>
                <w:rFonts w:cs="Times New Roman" w:hint="eastAsia"/>
                <w:color w:val="000000" w:themeColor="text1"/>
              </w:rPr>
              <w:t>35</w:t>
            </w:r>
            <w:r w:rsidR="00C70344" w:rsidRPr="00092862">
              <w:rPr>
                <w:rFonts w:cs="Times New Roman"/>
                <w:color w:val="000000" w:themeColor="text1"/>
              </w:rPr>
              <w:t>号</w:t>
            </w:r>
          </w:p>
        </w:tc>
        <w:tc>
          <w:tcPr>
            <w:tcW w:w="0" w:type="auto"/>
          </w:tcPr>
          <w:p w14:paraId="6D0415FE" w14:textId="0E465000" w:rsidR="003775A0" w:rsidRPr="00092862" w:rsidRDefault="001001E6" w:rsidP="007F5310">
            <w:pPr>
              <w:pStyle w:val="04"/>
              <w:rPr>
                <w:rFonts w:cs="Times New Roman"/>
                <w:color w:val="000000" w:themeColor="text1"/>
              </w:rPr>
            </w:pPr>
            <w:r>
              <w:rPr>
                <w:rFonts w:cs="Times New Roman" w:hint="eastAsia"/>
                <w:color w:val="000000" w:themeColor="text1"/>
              </w:rPr>
              <w:t>2021.12.20</w:t>
            </w:r>
          </w:p>
        </w:tc>
      </w:tr>
    </w:tbl>
    <w:p w14:paraId="54AAE15D" w14:textId="0DD5B4FE" w:rsidR="00C36DC0" w:rsidRPr="00092862" w:rsidRDefault="00C36DC0" w:rsidP="00C36DC0">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83" w:name="_Toc120173095"/>
      <w:r w:rsidRPr="00092862">
        <w:rPr>
          <w:rFonts w:ascii="Times New Roman" w:eastAsia="黑体" w:hAnsi="Times New Roman"/>
          <w:b w:val="0"/>
          <w:color w:val="000000" w:themeColor="text1"/>
          <w:sz w:val="24"/>
          <w:szCs w:val="24"/>
          <w:lang w:eastAsia="zh-CN"/>
        </w:rPr>
        <w:t>3.1.</w:t>
      </w:r>
      <w:r w:rsidR="004D07D0" w:rsidRPr="00092862">
        <w:rPr>
          <w:rFonts w:ascii="Times New Roman" w:eastAsia="黑体" w:hAnsi="Times New Roman"/>
          <w:b w:val="0"/>
          <w:color w:val="000000" w:themeColor="text1"/>
          <w:sz w:val="24"/>
          <w:szCs w:val="24"/>
          <w:lang w:eastAsia="zh-CN"/>
        </w:rPr>
        <w:t>22</w:t>
      </w:r>
      <w:r w:rsidR="009D083C" w:rsidRPr="00092862">
        <w:rPr>
          <w:rFonts w:ascii="Times New Roman" w:eastAsia="黑体" w:hAnsi="Times New Roman"/>
          <w:b w:val="0"/>
          <w:color w:val="000000" w:themeColor="text1"/>
          <w:sz w:val="24"/>
          <w:szCs w:val="24"/>
          <w:lang w:eastAsia="zh-CN"/>
        </w:rPr>
        <w:t>现有工程污染防治措施及排放情况</w:t>
      </w:r>
      <w:bookmarkEnd w:id="83"/>
    </w:p>
    <w:p w14:paraId="51568175" w14:textId="5E914A40" w:rsidR="003775A0"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井、老君</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井及</w:t>
      </w:r>
      <w:r w:rsidRPr="00092862">
        <w:rPr>
          <w:rFonts w:ascii="Times New Roman" w:eastAsia="宋体" w:hAnsi="Times New Roman" w:cs="Times New Roman"/>
          <w:bCs/>
          <w:color w:val="000000" w:themeColor="text1"/>
          <w:sz w:val="24"/>
          <w:szCs w:val="24"/>
        </w:rPr>
        <w:t>L701-3H</w:t>
      </w:r>
      <w:r w:rsidRPr="00092862">
        <w:rPr>
          <w:rFonts w:ascii="Times New Roman" w:eastAsia="宋体" w:hAnsi="Times New Roman" w:cs="Times New Roman"/>
          <w:bCs/>
          <w:color w:val="000000" w:themeColor="text1"/>
          <w:sz w:val="24"/>
          <w:szCs w:val="24"/>
        </w:rPr>
        <w:t>井</w:t>
      </w:r>
    </w:p>
    <w:p w14:paraId="42D54F48" w14:textId="47CE3B43" w:rsidR="003775A0"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）废气</w:t>
      </w:r>
    </w:p>
    <w:p w14:paraId="05725454" w14:textId="00D4D912" w:rsidR="003775A0"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井工程环境空气污染物主要来自施工扬尘、施工机械尾气、柴油发电机组废气、测试放喷废气和事故放喷废气。施工扬尘采取了洒水防尘措施，影响较小；施工机械尾气为燃油发电机、车辆排放尾气，由于累计施工工时不长，废气扩散条件良好，对大气环境影响较小；柴油发电机废气主要污染物为</w:t>
      </w:r>
      <w:r w:rsidRPr="00092862">
        <w:rPr>
          <w:rFonts w:ascii="Times New Roman" w:eastAsia="宋体" w:hAnsi="Times New Roman" w:cs="Times New Roman"/>
          <w:bCs/>
          <w:color w:val="000000" w:themeColor="text1"/>
          <w:sz w:val="24"/>
          <w:szCs w:val="24"/>
        </w:rPr>
        <w:t>NO</w:t>
      </w:r>
      <w:r w:rsidRPr="00092862">
        <w:rPr>
          <w:rFonts w:ascii="Times New Roman" w:eastAsia="宋体" w:hAnsi="Times New Roman" w:cs="Times New Roman"/>
          <w:bCs/>
          <w:color w:val="000000" w:themeColor="text1"/>
          <w:sz w:val="24"/>
          <w:szCs w:val="24"/>
          <w:vertAlign w:val="subscript"/>
        </w:rPr>
        <w:t>x</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CO</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CO</w:t>
      </w:r>
      <w:r w:rsidRPr="00092862">
        <w:rPr>
          <w:rFonts w:ascii="Times New Roman" w:eastAsia="宋体" w:hAnsi="Times New Roman" w:cs="Times New Roman"/>
          <w:bCs/>
          <w:color w:val="000000" w:themeColor="text1"/>
          <w:sz w:val="24"/>
          <w:szCs w:val="24"/>
          <w:vertAlign w:val="subscript"/>
        </w:rPr>
        <w:t>2</w:t>
      </w:r>
      <w:r w:rsidRPr="00092862">
        <w:rPr>
          <w:rFonts w:ascii="Times New Roman" w:eastAsia="宋体" w:hAnsi="Times New Roman" w:cs="Times New Roman"/>
          <w:bCs/>
          <w:color w:val="000000" w:themeColor="text1"/>
          <w:sz w:val="24"/>
          <w:szCs w:val="24"/>
        </w:rPr>
        <w:t>、和少量烟尘等，经自带的烟气处理系统处理后进入大气中，对大气环境影响较小；测试放喷和事故放喷的天然气经点火燃烧，其主要污染物为</w:t>
      </w:r>
      <w:r w:rsidRPr="00092862">
        <w:rPr>
          <w:rFonts w:ascii="Times New Roman" w:eastAsia="宋体" w:hAnsi="Times New Roman" w:cs="Times New Roman"/>
          <w:bCs/>
          <w:color w:val="000000" w:themeColor="text1"/>
          <w:sz w:val="24"/>
          <w:szCs w:val="24"/>
        </w:rPr>
        <w:t>NO</w:t>
      </w:r>
      <w:r w:rsidRPr="00092862">
        <w:rPr>
          <w:rFonts w:ascii="Times New Roman" w:eastAsia="宋体" w:hAnsi="Times New Roman" w:cs="Times New Roman"/>
          <w:bCs/>
          <w:color w:val="000000" w:themeColor="text1"/>
          <w:sz w:val="24"/>
          <w:szCs w:val="24"/>
          <w:vertAlign w:val="subscript"/>
        </w:rPr>
        <w:t>X</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SO</w:t>
      </w:r>
      <w:r w:rsidRPr="00092862">
        <w:rPr>
          <w:rFonts w:ascii="Times New Roman" w:eastAsia="宋体" w:hAnsi="Times New Roman" w:cs="Times New Roman"/>
          <w:bCs/>
          <w:color w:val="000000" w:themeColor="text1"/>
          <w:sz w:val="24"/>
          <w:szCs w:val="24"/>
          <w:vertAlign w:val="subscript"/>
        </w:rPr>
        <w:t>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CO</w:t>
      </w:r>
      <w:r w:rsidRPr="00092862">
        <w:rPr>
          <w:rFonts w:ascii="Times New Roman" w:eastAsia="宋体" w:hAnsi="Times New Roman" w:cs="Times New Roman"/>
          <w:bCs/>
          <w:color w:val="000000" w:themeColor="text1"/>
          <w:sz w:val="24"/>
          <w:szCs w:val="24"/>
          <w:vertAlign w:val="subscript"/>
        </w:rPr>
        <w:t>2</w:t>
      </w:r>
      <w:r w:rsidRPr="00092862">
        <w:rPr>
          <w:rFonts w:ascii="Times New Roman" w:eastAsia="宋体" w:hAnsi="Times New Roman" w:cs="Times New Roman"/>
          <w:bCs/>
          <w:color w:val="000000" w:themeColor="text1"/>
          <w:sz w:val="24"/>
          <w:szCs w:val="24"/>
        </w:rPr>
        <w:t>，由于测试放喷和事故放喷时间较短，对大气环境影响较小。根据现场调查，老君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w:t>
      </w:r>
      <w:r w:rsidR="00642C3F" w:rsidRPr="00092862">
        <w:rPr>
          <w:rFonts w:ascii="Times New Roman" w:eastAsia="宋体" w:hAnsi="Times New Roman" w:cs="Times New Roman"/>
          <w:bCs/>
          <w:color w:val="000000" w:themeColor="text1"/>
          <w:sz w:val="24"/>
          <w:szCs w:val="24"/>
        </w:rPr>
        <w:t>、老君</w:t>
      </w:r>
      <w:r w:rsidR="00642C3F" w:rsidRPr="00092862">
        <w:rPr>
          <w:rFonts w:ascii="Times New Roman" w:eastAsia="宋体" w:hAnsi="Times New Roman" w:cs="Times New Roman"/>
          <w:bCs/>
          <w:color w:val="000000" w:themeColor="text1"/>
          <w:sz w:val="24"/>
          <w:szCs w:val="24"/>
        </w:rPr>
        <w:t>4</w:t>
      </w:r>
      <w:r w:rsidR="00642C3F" w:rsidRPr="00092862">
        <w:rPr>
          <w:rFonts w:ascii="Times New Roman" w:eastAsia="宋体" w:hAnsi="Times New Roman" w:cs="Times New Roman"/>
          <w:bCs/>
          <w:color w:val="000000" w:themeColor="text1"/>
          <w:sz w:val="24"/>
          <w:szCs w:val="24"/>
        </w:rPr>
        <w:t>井</w:t>
      </w:r>
      <w:r w:rsidRPr="00092862">
        <w:rPr>
          <w:rFonts w:ascii="Times New Roman" w:eastAsia="宋体" w:hAnsi="Times New Roman" w:cs="Times New Roman"/>
          <w:bCs/>
          <w:color w:val="000000" w:themeColor="text1"/>
          <w:sz w:val="24"/>
          <w:szCs w:val="24"/>
        </w:rPr>
        <w:t>钻井设备撤离工作已经完成，钻井期间的大气污染物已随钻井工程的结束而消除，对环境空气影响较小。</w:t>
      </w:r>
      <w:r w:rsidR="00642C3F" w:rsidRPr="00092862">
        <w:rPr>
          <w:rFonts w:ascii="Times New Roman" w:eastAsia="宋体" w:hAnsi="Times New Roman" w:cs="Times New Roman"/>
          <w:bCs/>
          <w:color w:val="000000" w:themeColor="text1"/>
          <w:sz w:val="24"/>
          <w:szCs w:val="24"/>
        </w:rPr>
        <w:t>L701-3H</w:t>
      </w:r>
      <w:r w:rsidRPr="00092862">
        <w:rPr>
          <w:rFonts w:ascii="Times New Roman" w:eastAsia="宋体" w:hAnsi="Times New Roman" w:cs="Times New Roman"/>
          <w:bCs/>
          <w:color w:val="000000" w:themeColor="text1"/>
          <w:sz w:val="24"/>
          <w:szCs w:val="24"/>
        </w:rPr>
        <w:t>井正</w:t>
      </w:r>
      <w:r w:rsidR="00642C3F" w:rsidRPr="00092862">
        <w:rPr>
          <w:rFonts w:ascii="Times New Roman" w:eastAsia="宋体" w:hAnsi="Times New Roman" w:cs="Times New Roman"/>
          <w:bCs/>
          <w:color w:val="000000" w:themeColor="text1"/>
          <w:sz w:val="24"/>
          <w:szCs w:val="24"/>
        </w:rPr>
        <w:lastRenderedPageBreak/>
        <w:t>在</w:t>
      </w:r>
      <w:r w:rsidRPr="00092862">
        <w:rPr>
          <w:rFonts w:ascii="Times New Roman" w:eastAsia="宋体" w:hAnsi="Times New Roman" w:cs="Times New Roman"/>
          <w:bCs/>
          <w:color w:val="000000" w:themeColor="text1"/>
          <w:sz w:val="24"/>
          <w:szCs w:val="24"/>
        </w:rPr>
        <w:t>开展钻进施工，施工期间地方生态环境主管部门及建设单位未接到周边农户的投诉，未对周边大气环境造成影响。</w:t>
      </w:r>
      <w:r w:rsidRPr="00092862">
        <w:rPr>
          <w:rFonts w:ascii="Times New Roman" w:eastAsia="宋体" w:hAnsi="Times New Roman" w:cs="Times New Roman"/>
          <w:bCs/>
          <w:color w:val="000000" w:themeColor="text1"/>
          <w:sz w:val="24"/>
          <w:szCs w:val="24"/>
        </w:rPr>
        <w:t xml:space="preserve"> </w:t>
      </w:r>
    </w:p>
    <w:p w14:paraId="0C6858D3" w14:textId="77777777" w:rsidR="003775A0"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）废水</w:t>
      </w:r>
      <w:r w:rsidRPr="00092862">
        <w:rPr>
          <w:rFonts w:ascii="Times New Roman" w:eastAsia="宋体" w:hAnsi="Times New Roman" w:cs="Times New Roman"/>
          <w:bCs/>
          <w:color w:val="000000" w:themeColor="text1"/>
          <w:sz w:val="24"/>
          <w:szCs w:val="24"/>
        </w:rPr>
        <w:t xml:space="preserve"> </w:t>
      </w:r>
    </w:p>
    <w:p w14:paraId="13ADD179" w14:textId="77777777" w:rsidR="00642C3F"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①</w:t>
      </w:r>
      <w:r w:rsidRPr="00092862">
        <w:rPr>
          <w:rFonts w:ascii="Times New Roman" w:eastAsia="宋体" w:hAnsi="Times New Roman" w:cs="Times New Roman"/>
          <w:bCs/>
          <w:color w:val="000000" w:themeColor="text1"/>
          <w:sz w:val="24"/>
          <w:szCs w:val="24"/>
        </w:rPr>
        <w:t>钻井废水</w:t>
      </w:r>
      <w:r w:rsidRPr="00092862">
        <w:rPr>
          <w:rFonts w:ascii="Times New Roman" w:eastAsia="宋体" w:hAnsi="Times New Roman" w:cs="Times New Roman"/>
          <w:bCs/>
          <w:color w:val="000000" w:themeColor="text1"/>
          <w:sz w:val="24"/>
          <w:szCs w:val="24"/>
        </w:rPr>
        <w:t xml:space="preserve"> </w:t>
      </w:r>
    </w:p>
    <w:p w14:paraId="6BF3911E" w14:textId="00984B0E" w:rsidR="00642C3F"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w:t>
      </w:r>
      <w:r w:rsidR="00642C3F"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井</w:t>
      </w:r>
      <w:r w:rsidR="00642C3F" w:rsidRPr="00092862">
        <w:rPr>
          <w:rFonts w:ascii="Times New Roman" w:eastAsia="宋体" w:hAnsi="Times New Roman" w:cs="Times New Roman"/>
          <w:bCs/>
          <w:color w:val="000000" w:themeColor="text1"/>
          <w:sz w:val="24"/>
          <w:szCs w:val="24"/>
        </w:rPr>
        <w:t>及</w:t>
      </w:r>
      <w:r w:rsidR="00642C3F" w:rsidRPr="00092862">
        <w:rPr>
          <w:rFonts w:ascii="Times New Roman" w:eastAsia="宋体" w:hAnsi="Times New Roman" w:cs="Times New Roman"/>
          <w:color w:val="000000" w:themeColor="text1"/>
          <w:sz w:val="24"/>
        </w:rPr>
        <w:t>L7011-3H</w:t>
      </w:r>
      <w:r w:rsidRPr="00092862">
        <w:rPr>
          <w:rFonts w:ascii="Times New Roman" w:eastAsia="宋体" w:hAnsi="Times New Roman" w:cs="Times New Roman"/>
          <w:bCs/>
          <w:color w:val="000000" w:themeColor="text1"/>
          <w:sz w:val="24"/>
          <w:szCs w:val="24"/>
        </w:rPr>
        <w:t>钻井工程废水主要包括钻井废水、雨水、生活污水。钻井废水主要污染物为钻井液体系成分，是钻井液体系的高倍稀释废水，</w:t>
      </w:r>
      <w:r w:rsidRPr="00092862">
        <w:rPr>
          <w:rFonts w:ascii="Times New Roman" w:eastAsia="宋体" w:hAnsi="Times New Roman" w:cs="Times New Roman"/>
          <w:bCs/>
          <w:color w:val="000000" w:themeColor="text1"/>
          <w:sz w:val="24"/>
          <w:szCs w:val="24"/>
        </w:rPr>
        <w:t>COD</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浓度较高；大部分水随泥浆进入泥浆净化系统，小部分水随钻屑进入岩屑池，经固液分离后，回收上清液用于泥浆配置，剩余废水处理达到毛开</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回注标准后回注，不外排，对周边地表水体影响很小。井场内四周设排水边沟，井场雨水随四周排水边沟汇至排放口，排放口设监控池，初期雨水收集进入污水池处理，后期雨水水质清洁后可直接外排。污水池收集雨水同钻井废水一同处理达到毛开</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井回注标准后回注，不外排。钻井施工期间井队施工人员生活污水经旱厕收集后用作农肥，对地表水的影响较小。</w:t>
      </w:r>
    </w:p>
    <w:p w14:paraId="0E58054C" w14:textId="4557AC8D" w:rsidR="00642C3F"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根据调查调查，</w:t>
      </w:r>
      <w:r w:rsidR="00642C3F" w:rsidRPr="00092862">
        <w:rPr>
          <w:rFonts w:ascii="Times New Roman" w:eastAsia="宋体" w:hAnsi="Times New Roman" w:cs="Times New Roman"/>
          <w:bCs/>
          <w:color w:val="000000" w:themeColor="text1"/>
          <w:sz w:val="24"/>
          <w:szCs w:val="24"/>
        </w:rPr>
        <w:t>老君</w:t>
      </w:r>
      <w:r w:rsidR="00642C3F" w:rsidRPr="00092862">
        <w:rPr>
          <w:rFonts w:ascii="Times New Roman" w:eastAsia="宋体" w:hAnsi="Times New Roman" w:cs="Times New Roman"/>
          <w:bCs/>
          <w:color w:val="000000" w:themeColor="text1"/>
          <w:sz w:val="24"/>
          <w:szCs w:val="24"/>
        </w:rPr>
        <w:t>1</w:t>
      </w:r>
      <w:r w:rsidR="00642C3F" w:rsidRPr="00092862">
        <w:rPr>
          <w:rFonts w:ascii="Times New Roman" w:eastAsia="宋体" w:hAnsi="Times New Roman" w:cs="Times New Roman"/>
          <w:bCs/>
          <w:color w:val="000000" w:themeColor="text1"/>
          <w:sz w:val="24"/>
          <w:szCs w:val="24"/>
        </w:rPr>
        <w:t>井及老君</w:t>
      </w:r>
      <w:r w:rsidR="00642C3F" w:rsidRPr="00092862">
        <w:rPr>
          <w:rFonts w:ascii="Times New Roman" w:eastAsia="宋体" w:hAnsi="Times New Roman" w:cs="Times New Roman"/>
          <w:bCs/>
          <w:color w:val="000000" w:themeColor="text1"/>
          <w:sz w:val="24"/>
          <w:szCs w:val="24"/>
        </w:rPr>
        <w:t>4</w:t>
      </w:r>
      <w:r w:rsidR="00642C3F" w:rsidRPr="00092862">
        <w:rPr>
          <w:rFonts w:ascii="Times New Roman" w:eastAsia="宋体" w:hAnsi="Times New Roman" w:cs="Times New Roman"/>
          <w:bCs/>
          <w:color w:val="000000" w:themeColor="text1"/>
          <w:sz w:val="24"/>
          <w:szCs w:val="24"/>
        </w:rPr>
        <w:t>井已钻井施工完毕，</w:t>
      </w:r>
      <w:r w:rsidRPr="00092862">
        <w:rPr>
          <w:rFonts w:ascii="Times New Roman" w:eastAsia="宋体" w:hAnsi="Times New Roman" w:cs="Times New Roman"/>
          <w:bCs/>
          <w:color w:val="000000" w:themeColor="text1"/>
          <w:sz w:val="24"/>
          <w:szCs w:val="24"/>
        </w:rPr>
        <w:t>现场无相关环境问题，老君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w:t>
      </w:r>
      <w:r w:rsidR="00642C3F" w:rsidRPr="00092862">
        <w:rPr>
          <w:rFonts w:ascii="Times New Roman" w:eastAsia="宋体" w:hAnsi="Times New Roman" w:cs="Times New Roman"/>
          <w:bCs/>
          <w:color w:val="000000" w:themeColor="text1"/>
          <w:sz w:val="24"/>
          <w:szCs w:val="24"/>
        </w:rPr>
        <w:t>、老君</w:t>
      </w:r>
      <w:r w:rsidR="00642C3F" w:rsidRPr="00092862">
        <w:rPr>
          <w:rFonts w:ascii="Times New Roman" w:eastAsia="宋体" w:hAnsi="Times New Roman" w:cs="Times New Roman"/>
          <w:bCs/>
          <w:color w:val="000000" w:themeColor="text1"/>
          <w:sz w:val="24"/>
          <w:szCs w:val="24"/>
        </w:rPr>
        <w:t>4</w:t>
      </w:r>
      <w:r w:rsidR="00642C3F" w:rsidRPr="00092862">
        <w:rPr>
          <w:rFonts w:ascii="Times New Roman" w:eastAsia="宋体" w:hAnsi="Times New Roman" w:cs="Times New Roman"/>
          <w:bCs/>
          <w:color w:val="000000" w:themeColor="text1"/>
          <w:sz w:val="24"/>
          <w:szCs w:val="24"/>
        </w:rPr>
        <w:t>井</w:t>
      </w:r>
      <w:r w:rsidRPr="00092862">
        <w:rPr>
          <w:rFonts w:ascii="Times New Roman" w:eastAsia="宋体" w:hAnsi="Times New Roman" w:cs="Times New Roman"/>
          <w:bCs/>
          <w:color w:val="000000" w:themeColor="text1"/>
          <w:sz w:val="24"/>
          <w:szCs w:val="24"/>
        </w:rPr>
        <w:t>钻井废水均已得到妥善处理。</w:t>
      </w:r>
      <w:r w:rsidR="00642C3F" w:rsidRPr="00092862">
        <w:rPr>
          <w:rFonts w:ascii="Times New Roman" w:eastAsia="宋体" w:hAnsi="Times New Roman" w:cs="Times New Roman"/>
          <w:color w:val="000000" w:themeColor="text1"/>
          <w:sz w:val="24"/>
        </w:rPr>
        <w:t>L7011-3H</w:t>
      </w:r>
      <w:r w:rsidRPr="00092862">
        <w:rPr>
          <w:rFonts w:ascii="Times New Roman" w:eastAsia="宋体" w:hAnsi="Times New Roman" w:cs="Times New Roman"/>
          <w:bCs/>
          <w:color w:val="000000" w:themeColor="text1"/>
          <w:sz w:val="24"/>
          <w:szCs w:val="24"/>
        </w:rPr>
        <w:t>钻井工程废水严格按照《</w:t>
      </w:r>
      <w:r w:rsidR="00642C3F" w:rsidRPr="00092862">
        <w:rPr>
          <w:rFonts w:ascii="Times New Roman" w:eastAsia="宋体" w:hAnsi="Times New Roman" w:cs="Times New Roman"/>
          <w:color w:val="000000" w:themeColor="text1"/>
          <w:sz w:val="24"/>
        </w:rPr>
        <w:t>L7011-3H</w:t>
      </w:r>
      <w:r w:rsidRPr="00092862">
        <w:rPr>
          <w:rFonts w:ascii="Times New Roman" w:eastAsia="宋体" w:hAnsi="Times New Roman" w:cs="Times New Roman"/>
          <w:bCs/>
          <w:color w:val="000000" w:themeColor="text1"/>
          <w:sz w:val="24"/>
          <w:szCs w:val="24"/>
        </w:rPr>
        <w:t>钻井工程环境影响报告表》要求措施进行落实。</w:t>
      </w:r>
    </w:p>
    <w:p w14:paraId="02A247AA" w14:textId="77777777" w:rsidR="00642C3F" w:rsidRPr="00092862" w:rsidRDefault="003775A0"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②</w:t>
      </w:r>
      <w:r w:rsidRPr="00092862">
        <w:rPr>
          <w:rFonts w:ascii="Times New Roman" w:eastAsia="宋体" w:hAnsi="Times New Roman" w:cs="Times New Roman"/>
          <w:bCs/>
          <w:color w:val="000000" w:themeColor="text1"/>
          <w:sz w:val="24"/>
          <w:szCs w:val="24"/>
        </w:rPr>
        <w:t>完井废水</w:t>
      </w:r>
    </w:p>
    <w:p w14:paraId="1BA10CC6" w14:textId="0DDD291E" w:rsidR="00642C3F" w:rsidRPr="00092862" w:rsidRDefault="00642C3F"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井及老君</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井</w:t>
      </w:r>
      <w:r w:rsidR="003775A0" w:rsidRPr="00092862">
        <w:rPr>
          <w:rFonts w:ascii="Times New Roman" w:eastAsia="宋体" w:hAnsi="Times New Roman" w:cs="Times New Roman"/>
          <w:bCs/>
          <w:color w:val="000000" w:themeColor="text1"/>
          <w:sz w:val="24"/>
          <w:szCs w:val="24"/>
        </w:rPr>
        <w:t>完井工程废水主要包括作业废水及生活污水。作业废水产生量，包括压裂返排液、洗井废水，废水临时储存于放喷池（放喷池预先储备部分碱性水用于中和返排液中的酸液），施工完成后</w:t>
      </w:r>
      <w:r w:rsidRPr="00092862">
        <w:rPr>
          <w:rFonts w:ascii="Times New Roman" w:eastAsia="宋体" w:hAnsi="Times New Roman" w:cs="Times New Roman"/>
          <w:bCs/>
          <w:color w:val="000000" w:themeColor="text1"/>
          <w:sz w:val="24"/>
          <w:szCs w:val="24"/>
        </w:rPr>
        <w:t>已</w:t>
      </w:r>
      <w:r w:rsidR="003775A0" w:rsidRPr="00092862">
        <w:rPr>
          <w:rFonts w:ascii="Times New Roman" w:eastAsia="宋体" w:hAnsi="Times New Roman" w:cs="Times New Roman"/>
          <w:bCs/>
          <w:color w:val="000000" w:themeColor="text1"/>
          <w:sz w:val="24"/>
          <w:szCs w:val="24"/>
        </w:rPr>
        <w:t>拉运至大湾</w:t>
      </w:r>
      <w:r w:rsidR="003775A0" w:rsidRPr="00092862">
        <w:rPr>
          <w:rFonts w:ascii="Times New Roman" w:eastAsia="宋体" w:hAnsi="Times New Roman" w:cs="Times New Roman"/>
          <w:bCs/>
          <w:color w:val="000000" w:themeColor="text1"/>
          <w:sz w:val="24"/>
          <w:szCs w:val="24"/>
        </w:rPr>
        <w:t>403</w:t>
      </w:r>
      <w:r w:rsidR="003775A0" w:rsidRPr="00092862">
        <w:rPr>
          <w:rFonts w:ascii="Times New Roman" w:eastAsia="宋体" w:hAnsi="Times New Roman" w:cs="Times New Roman"/>
          <w:bCs/>
          <w:color w:val="000000" w:themeColor="text1"/>
          <w:sz w:val="24"/>
          <w:szCs w:val="24"/>
        </w:rPr>
        <w:t>污水站处理达到毛开</w:t>
      </w:r>
      <w:r w:rsidR="003775A0" w:rsidRPr="00092862">
        <w:rPr>
          <w:rFonts w:ascii="Times New Roman" w:eastAsia="宋体" w:hAnsi="Times New Roman" w:cs="Times New Roman"/>
          <w:bCs/>
          <w:color w:val="000000" w:themeColor="text1"/>
          <w:sz w:val="24"/>
          <w:szCs w:val="24"/>
        </w:rPr>
        <w:t>1</w:t>
      </w:r>
      <w:r w:rsidR="003775A0" w:rsidRPr="00092862">
        <w:rPr>
          <w:rFonts w:ascii="Times New Roman" w:eastAsia="宋体" w:hAnsi="Times New Roman" w:cs="Times New Roman"/>
          <w:bCs/>
          <w:color w:val="000000" w:themeColor="text1"/>
          <w:sz w:val="24"/>
          <w:szCs w:val="24"/>
        </w:rPr>
        <w:t>井回注标准后回注，</w:t>
      </w:r>
      <w:r w:rsidRPr="00092862">
        <w:rPr>
          <w:rFonts w:ascii="Times New Roman" w:eastAsia="宋体" w:hAnsi="Times New Roman" w:cs="Times New Roman"/>
          <w:bCs/>
          <w:color w:val="000000" w:themeColor="text1"/>
          <w:sz w:val="24"/>
          <w:szCs w:val="24"/>
        </w:rPr>
        <w:t>未</w:t>
      </w:r>
      <w:r w:rsidR="003775A0" w:rsidRPr="00092862">
        <w:rPr>
          <w:rFonts w:ascii="Times New Roman" w:eastAsia="宋体" w:hAnsi="Times New Roman" w:cs="Times New Roman"/>
          <w:bCs/>
          <w:color w:val="000000" w:themeColor="text1"/>
          <w:sz w:val="24"/>
          <w:szCs w:val="24"/>
        </w:rPr>
        <w:t>外排，对周边地表水体基本无影响</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color w:val="000000" w:themeColor="text1"/>
          <w:sz w:val="24"/>
        </w:rPr>
        <w:t>L7011-3H</w:t>
      </w:r>
      <w:r w:rsidRPr="00092862">
        <w:rPr>
          <w:rFonts w:ascii="Times New Roman" w:eastAsia="宋体" w:hAnsi="Times New Roman" w:cs="Times New Roman"/>
          <w:bCs/>
          <w:color w:val="000000" w:themeColor="text1"/>
          <w:sz w:val="24"/>
          <w:szCs w:val="24"/>
        </w:rPr>
        <w:t>完井废水将严格按照《</w:t>
      </w:r>
      <w:r w:rsidRPr="00092862">
        <w:rPr>
          <w:rFonts w:ascii="Times New Roman" w:eastAsia="宋体" w:hAnsi="Times New Roman" w:cs="Times New Roman"/>
          <w:color w:val="000000" w:themeColor="text1"/>
          <w:sz w:val="24"/>
        </w:rPr>
        <w:t>L7011-3H</w:t>
      </w:r>
      <w:r w:rsidRPr="00092862">
        <w:rPr>
          <w:rFonts w:ascii="Times New Roman" w:eastAsia="宋体" w:hAnsi="Times New Roman" w:cs="Times New Roman"/>
          <w:bCs/>
          <w:color w:val="000000" w:themeColor="text1"/>
          <w:sz w:val="24"/>
          <w:szCs w:val="24"/>
        </w:rPr>
        <w:t>钻井工程环境影响报告表》要求措施进行落实。</w:t>
      </w:r>
    </w:p>
    <w:p w14:paraId="6F8D5383" w14:textId="0E199D99" w:rsidR="003775A0" w:rsidRPr="00092862" w:rsidRDefault="00642C3F"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通过调查，老君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井、老君</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井及</w:t>
      </w:r>
      <w:r w:rsidRPr="00092862">
        <w:rPr>
          <w:rFonts w:ascii="Times New Roman" w:eastAsia="宋体" w:hAnsi="Times New Roman" w:cs="Times New Roman"/>
          <w:color w:val="000000" w:themeColor="text1"/>
          <w:sz w:val="24"/>
        </w:rPr>
        <w:t>L7011-3H</w:t>
      </w:r>
      <w:r w:rsidRPr="00092862">
        <w:rPr>
          <w:rFonts w:ascii="Times New Roman" w:eastAsia="宋体" w:hAnsi="Times New Roman" w:cs="Times New Roman"/>
          <w:color w:val="000000" w:themeColor="text1"/>
          <w:sz w:val="24"/>
        </w:rPr>
        <w:t>井</w:t>
      </w:r>
      <w:r w:rsidR="003775A0" w:rsidRPr="00092862">
        <w:rPr>
          <w:rFonts w:ascii="Times New Roman" w:eastAsia="宋体" w:hAnsi="Times New Roman" w:cs="Times New Roman"/>
          <w:bCs/>
          <w:color w:val="000000" w:themeColor="text1"/>
          <w:sz w:val="24"/>
          <w:szCs w:val="24"/>
        </w:rPr>
        <w:t>施工期间井队施工人员生活污水经旱厕收集后用作农肥，对地表水的影响较小。</w:t>
      </w:r>
    </w:p>
    <w:p w14:paraId="4F82DC33" w14:textId="6D83FE73" w:rsidR="00642C3F" w:rsidRPr="00092862" w:rsidRDefault="00642C3F" w:rsidP="009243B8">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）噪声</w:t>
      </w:r>
    </w:p>
    <w:p w14:paraId="046CF6C1" w14:textId="395B4D2B" w:rsidR="00642C3F"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项目产生的噪声主要是钻井噪声、压裂噪声和放喷噪声，随着老君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井、老君</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井钻井工程的结束，噪声消失。对</w:t>
      </w:r>
      <w:r w:rsidRPr="00092862">
        <w:rPr>
          <w:rFonts w:ascii="Times New Roman" w:eastAsia="宋体" w:hAnsi="Times New Roman" w:cs="Times New Roman"/>
          <w:bCs/>
          <w:color w:val="000000" w:themeColor="text1"/>
          <w:sz w:val="24"/>
          <w:szCs w:val="24"/>
        </w:rPr>
        <w:t>L701-3H</w:t>
      </w:r>
      <w:r w:rsidRPr="00092862">
        <w:rPr>
          <w:rFonts w:ascii="Times New Roman" w:eastAsia="宋体" w:hAnsi="Times New Roman" w:cs="Times New Roman"/>
          <w:bCs/>
          <w:color w:val="000000" w:themeColor="text1"/>
          <w:sz w:val="24"/>
          <w:szCs w:val="24"/>
        </w:rPr>
        <w:t>井井场厂界进行了监测，钻井期间</w:t>
      </w:r>
      <w:r w:rsidRPr="00092862">
        <w:rPr>
          <w:rFonts w:ascii="Times New Roman" w:eastAsia="宋体" w:hAnsi="Times New Roman" w:cs="Times New Roman"/>
          <w:bCs/>
          <w:color w:val="000000" w:themeColor="text1"/>
          <w:sz w:val="24"/>
          <w:szCs w:val="24"/>
        </w:rPr>
        <w:t>L701-3H</w:t>
      </w:r>
      <w:r w:rsidRPr="00092862">
        <w:rPr>
          <w:rFonts w:ascii="Times New Roman" w:eastAsia="宋体" w:hAnsi="Times New Roman" w:cs="Times New Roman"/>
          <w:bCs/>
          <w:color w:val="000000" w:themeColor="text1"/>
          <w:sz w:val="24"/>
          <w:szCs w:val="24"/>
        </w:rPr>
        <w:t>井厂界噪声监测值在昼间</w:t>
      </w:r>
      <w:r w:rsidRPr="00092862">
        <w:rPr>
          <w:rFonts w:ascii="Times New Roman" w:eastAsia="宋体" w:hAnsi="Times New Roman" w:cs="Times New Roman"/>
          <w:bCs/>
          <w:color w:val="000000" w:themeColor="text1"/>
          <w:sz w:val="24"/>
          <w:szCs w:val="24"/>
        </w:rPr>
        <w:t>52dB</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~58dB</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）之间，夜间</w:t>
      </w:r>
      <w:r w:rsidRPr="00092862">
        <w:rPr>
          <w:rFonts w:ascii="Times New Roman" w:eastAsia="宋体" w:hAnsi="Times New Roman" w:cs="Times New Roman"/>
          <w:bCs/>
          <w:color w:val="000000" w:themeColor="text1"/>
          <w:sz w:val="24"/>
          <w:szCs w:val="24"/>
        </w:rPr>
        <w:t>43dB</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~47dB</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），满足《工业企业厂界环境噪声排放标准》</w:t>
      </w:r>
      <w:r w:rsidRPr="00092862">
        <w:rPr>
          <w:rFonts w:ascii="Times New Roman" w:eastAsia="宋体" w:hAnsi="Times New Roman" w:cs="Times New Roman"/>
          <w:bCs/>
          <w:color w:val="000000" w:themeColor="text1"/>
          <w:sz w:val="24"/>
          <w:szCs w:val="24"/>
        </w:rPr>
        <w:t>(GB12348-</w:t>
      </w:r>
      <w:r w:rsidRPr="00092862">
        <w:rPr>
          <w:rFonts w:ascii="Times New Roman" w:eastAsia="宋体" w:hAnsi="Times New Roman" w:cs="Times New Roman"/>
          <w:bCs/>
          <w:color w:val="000000" w:themeColor="text1"/>
          <w:sz w:val="24"/>
          <w:szCs w:val="24"/>
        </w:rPr>
        <w:lastRenderedPageBreak/>
        <w:t>2008)</w:t>
      </w:r>
      <w:r w:rsidRPr="00092862">
        <w:rPr>
          <w:rFonts w:ascii="Times New Roman" w:eastAsia="宋体" w:hAnsi="Times New Roman" w:cs="Times New Roman"/>
          <w:bCs/>
          <w:color w:val="000000" w:themeColor="text1"/>
          <w:sz w:val="24"/>
          <w:szCs w:val="24"/>
        </w:rPr>
        <w:t>中</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类标准限值要求。</w:t>
      </w:r>
      <w:r w:rsidRPr="00092862">
        <w:rPr>
          <w:rFonts w:ascii="Times New Roman" w:eastAsia="宋体" w:hAnsi="Times New Roman" w:cs="Times New Roman"/>
          <w:bCs/>
          <w:color w:val="000000" w:themeColor="text1"/>
          <w:sz w:val="24"/>
          <w:szCs w:val="24"/>
        </w:rPr>
        <w:t xml:space="preserve"> </w:t>
      </w:r>
    </w:p>
    <w:p w14:paraId="1E63005F" w14:textId="365426FB" w:rsidR="00642C3F"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）固废</w:t>
      </w:r>
    </w:p>
    <w:p w14:paraId="43A6F647" w14:textId="7EAC497A" w:rsidR="007A3B3E"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钻完井过程产生的固废主要包括钻井岩屑、废泥浆、废油、生活垃圾等。</w:t>
      </w:r>
    </w:p>
    <w:p w14:paraId="5BE21CA9" w14:textId="328BDA43" w:rsidR="007A3B3E"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①</w:t>
      </w:r>
      <w:r w:rsidRPr="00092862">
        <w:rPr>
          <w:rFonts w:ascii="Times New Roman" w:eastAsia="宋体" w:hAnsi="Times New Roman" w:cs="Times New Roman"/>
          <w:bCs/>
          <w:color w:val="000000" w:themeColor="text1"/>
          <w:sz w:val="24"/>
          <w:szCs w:val="24"/>
        </w:rPr>
        <w:t>钻井岩屑和废泥浆</w:t>
      </w:r>
    </w:p>
    <w:p w14:paraId="6EC6B07D" w14:textId="339E48AF" w:rsidR="007A3B3E"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井钻井工程</w:t>
      </w:r>
      <w:r w:rsidR="007A3B3E"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井钻井工程</w:t>
      </w:r>
      <w:r w:rsidR="007A3B3E" w:rsidRPr="00092862">
        <w:rPr>
          <w:rFonts w:ascii="Times New Roman" w:eastAsia="宋体" w:hAnsi="Times New Roman" w:cs="Times New Roman"/>
          <w:bCs/>
          <w:color w:val="000000" w:themeColor="text1"/>
          <w:sz w:val="24"/>
          <w:szCs w:val="24"/>
        </w:rPr>
        <w:t>及</w:t>
      </w:r>
      <w:r w:rsidR="007A3B3E" w:rsidRPr="00092862">
        <w:rPr>
          <w:rFonts w:ascii="Times New Roman" w:eastAsia="宋体" w:hAnsi="Times New Roman" w:cs="Times New Roman"/>
          <w:bCs/>
          <w:color w:val="000000" w:themeColor="text1"/>
          <w:sz w:val="24"/>
          <w:szCs w:val="24"/>
        </w:rPr>
        <w:t>L701-3H</w:t>
      </w:r>
      <w:r w:rsidR="007A3B3E" w:rsidRPr="00092862">
        <w:rPr>
          <w:rFonts w:ascii="Times New Roman" w:eastAsia="宋体" w:hAnsi="Times New Roman" w:cs="Times New Roman"/>
          <w:bCs/>
          <w:color w:val="000000" w:themeColor="text1"/>
          <w:sz w:val="24"/>
          <w:szCs w:val="24"/>
        </w:rPr>
        <w:t>井钻井工程</w:t>
      </w:r>
      <w:r w:rsidRPr="00092862">
        <w:rPr>
          <w:rFonts w:ascii="Times New Roman" w:eastAsia="宋体" w:hAnsi="Times New Roman" w:cs="Times New Roman"/>
          <w:bCs/>
          <w:color w:val="000000" w:themeColor="text1"/>
          <w:sz w:val="24"/>
          <w:szCs w:val="24"/>
        </w:rPr>
        <w:t>产生的钻井岩屑经固化后暂存于井场的岩屑池中，完井后钻井岩屑和废泥浆一同交四川光隆环保科技有限公司集中处置。</w:t>
      </w:r>
    </w:p>
    <w:p w14:paraId="59A99F95" w14:textId="77777777" w:rsidR="009A0A46"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②</w:t>
      </w:r>
      <w:r w:rsidRPr="00092862">
        <w:rPr>
          <w:rFonts w:ascii="Times New Roman" w:eastAsia="宋体" w:hAnsi="Times New Roman" w:cs="Times New Roman"/>
          <w:bCs/>
          <w:color w:val="000000" w:themeColor="text1"/>
          <w:sz w:val="24"/>
          <w:szCs w:val="24"/>
        </w:rPr>
        <w:t>废油</w:t>
      </w:r>
    </w:p>
    <w:p w14:paraId="22C295CA" w14:textId="712816FB" w:rsidR="007A3B3E"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钻井过程中废油的主要来源是：机械（泥浆泵、转盘、链条等）润滑废油；清洗、保养产生的废油。本项目严格执行《危险废物收集贮存运输技术规范》（</w:t>
      </w:r>
      <w:r w:rsidRPr="00092862">
        <w:rPr>
          <w:rFonts w:ascii="Times New Roman" w:eastAsia="宋体" w:hAnsi="Times New Roman" w:cs="Times New Roman"/>
          <w:bCs/>
          <w:color w:val="000000" w:themeColor="text1"/>
          <w:sz w:val="24"/>
          <w:szCs w:val="24"/>
        </w:rPr>
        <w:t>HJ2025-2012</w:t>
      </w:r>
      <w:r w:rsidRPr="00092862">
        <w:rPr>
          <w:rFonts w:ascii="Times New Roman" w:eastAsia="宋体" w:hAnsi="Times New Roman" w:cs="Times New Roman"/>
          <w:bCs/>
          <w:color w:val="000000" w:themeColor="text1"/>
          <w:sz w:val="24"/>
          <w:szCs w:val="24"/>
        </w:rPr>
        <w:t>）的相关规定，对产生的废油集中收集、贮存、运输和处置，不外排。废油由有资质单位处理。</w:t>
      </w:r>
    </w:p>
    <w:p w14:paraId="6C1D55EA" w14:textId="3C75D297" w:rsidR="009A0A46"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③</w:t>
      </w:r>
      <w:r w:rsidRPr="00092862">
        <w:rPr>
          <w:rFonts w:ascii="Times New Roman" w:eastAsia="宋体" w:hAnsi="Times New Roman" w:cs="Times New Roman"/>
          <w:bCs/>
          <w:color w:val="000000" w:themeColor="text1"/>
          <w:sz w:val="24"/>
          <w:szCs w:val="24"/>
        </w:rPr>
        <w:t>生活垃圾</w:t>
      </w:r>
    </w:p>
    <w:p w14:paraId="00CD65A4" w14:textId="6CE65E8C" w:rsidR="00642C3F" w:rsidRPr="00092862" w:rsidRDefault="00642C3F" w:rsidP="00642C3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钻完井期间产生的生活垃圾井场设垃圾桶进行收集，定期交由当地环卫部门统一处理，不外排。根据现场踏勘和实际调查，老君</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井</w:t>
      </w:r>
      <w:r w:rsidR="007A3B3E" w:rsidRPr="00092862">
        <w:rPr>
          <w:rFonts w:ascii="Times New Roman" w:eastAsia="宋体" w:hAnsi="Times New Roman" w:cs="Times New Roman"/>
          <w:bCs/>
          <w:color w:val="000000" w:themeColor="text1"/>
          <w:sz w:val="24"/>
          <w:szCs w:val="24"/>
        </w:rPr>
        <w:t>、老君</w:t>
      </w:r>
      <w:r w:rsidR="007A3B3E" w:rsidRPr="00092862">
        <w:rPr>
          <w:rFonts w:ascii="Times New Roman" w:eastAsia="宋体" w:hAnsi="Times New Roman" w:cs="Times New Roman"/>
          <w:bCs/>
          <w:color w:val="000000" w:themeColor="text1"/>
          <w:sz w:val="24"/>
          <w:szCs w:val="24"/>
        </w:rPr>
        <w:t>4</w:t>
      </w:r>
      <w:r w:rsidR="007A3B3E" w:rsidRPr="00092862">
        <w:rPr>
          <w:rFonts w:ascii="Times New Roman" w:eastAsia="宋体" w:hAnsi="Times New Roman" w:cs="Times New Roman"/>
          <w:bCs/>
          <w:color w:val="000000" w:themeColor="text1"/>
          <w:sz w:val="24"/>
          <w:szCs w:val="24"/>
        </w:rPr>
        <w:t>井及</w:t>
      </w:r>
      <w:r w:rsidR="007A3B3E" w:rsidRPr="00092862">
        <w:rPr>
          <w:rFonts w:ascii="Times New Roman" w:eastAsia="宋体" w:hAnsi="Times New Roman" w:cs="Times New Roman"/>
          <w:bCs/>
          <w:color w:val="000000" w:themeColor="text1"/>
          <w:sz w:val="24"/>
          <w:szCs w:val="24"/>
        </w:rPr>
        <w:t>L701-3H</w:t>
      </w:r>
      <w:r w:rsidR="007A3B3E" w:rsidRPr="00092862">
        <w:rPr>
          <w:rFonts w:ascii="Times New Roman" w:eastAsia="宋体" w:hAnsi="Times New Roman" w:cs="Times New Roman"/>
          <w:bCs/>
          <w:color w:val="000000" w:themeColor="text1"/>
          <w:sz w:val="24"/>
          <w:szCs w:val="24"/>
        </w:rPr>
        <w:t>井</w:t>
      </w:r>
      <w:r w:rsidRPr="00092862">
        <w:rPr>
          <w:rFonts w:ascii="Times New Roman" w:eastAsia="宋体" w:hAnsi="Times New Roman" w:cs="Times New Roman"/>
          <w:bCs/>
          <w:color w:val="000000" w:themeColor="text1"/>
          <w:sz w:val="24"/>
          <w:szCs w:val="24"/>
        </w:rPr>
        <w:t>钻井废水和作业废水已拉运至毛开</w:t>
      </w:r>
      <w:r w:rsidRPr="00092862">
        <w:rPr>
          <w:rFonts w:ascii="Times New Roman" w:eastAsia="宋体" w:hAnsi="Times New Roman" w:cs="Times New Roman"/>
          <w:bCs/>
          <w:color w:val="000000" w:themeColor="text1"/>
          <w:sz w:val="24"/>
          <w:szCs w:val="24"/>
        </w:rPr>
        <w:t>1</w:t>
      </w:r>
      <w:r w:rsidR="007A3B3E" w:rsidRPr="00092862">
        <w:rPr>
          <w:rFonts w:ascii="Times New Roman" w:eastAsia="宋体" w:hAnsi="Times New Roman" w:cs="Times New Roman"/>
          <w:bCs/>
          <w:color w:val="000000" w:themeColor="text1"/>
          <w:sz w:val="24"/>
          <w:szCs w:val="24"/>
        </w:rPr>
        <w:t>井</w:t>
      </w:r>
      <w:r w:rsidRPr="00092862">
        <w:rPr>
          <w:rFonts w:ascii="Times New Roman" w:eastAsia="宋体" w:hAnsi="Times New Roman" w:cs="Times New Roman"/>
          <w:bCs/>
          <w:color w:val="000000" w:themeColor="text1"/>
          <w:sz w:val="24"/>
          <w:szCs w:val="24"/>
        </w:rPr>
        <w:t>回注标准后回注，不外排；</w:t>
      </w:r>
      <w:r w:rsidR="007A3B3E" w:rsidRPr="00092862">
        <w:rPr>
          <w:rFonts w:ascii="Times New Roman" w:eastAsia="宋体" w:hAnsi="Times New Roman" w:cs="Times New Roman"/>
          <w:bCs/>
          <w:color w:val="000000" w:themeColor="text1"/>
          <w:sz w:val="24"/>
          <w:szCs w:val="24"/>
        </w:rPr>
        <w:t>各井</w:t>
      </w:r>
      <w:r w:rsidRPr="00092862">
        <w:rPr>
          <w:rFonts w:ascii="Times New Roman" w:eastAsia="宋体" w:hAnsi="Times New Roman" w:cs="Times New Roman"/>
          <w:bCs/>
          <w:color w:val="000000" w:themeColor="text1"/>
          <w:sz w:val="24"/>
          <w:szCs w:val="24"/>
        </w:rPr>
        <w:t>钻井施工期间井队施工人员生活污水经旱厕收集后用作农肥，对地表水的影响较小；</w:t>
      </w:r>
      <w:r w:rsidR="007A3B3E" w:rsidRPr="00092862">
        <w:rPr>
          <w:rFonts w:ascii="Times New Roman" w:eastAsia="宋体" w:hAnsi="Times New Roman" w:cs="Times New Roman"/>
          <w:bCs/>
          <w:color w:val="000000" w:themeColor="text1"/>
          <w:sz w:val="24"/>
          <w:szCs w:val="24"/>
        </w:rPr>
        <w:t>各井</w:t>
      </w:r>
      <w:r w:rsidRPr="00092862">
        <w:rPr>
          <w:rFonts w:ascii="Times New Roman" w:eastAsia="宋体" w:hAnsi="Times New Roman" w:cs="Times New Roman"/>
          <w:bCs/>
          <w:color w:val="000000" w:themeColor="text1"/>
          <w:sz w:val="24"/>
          <w:szCs w:val="24"/>
        </w:rPr>
        <w:t>钻井工程产生的钻井岩屑经固化后暂存于井场的岩屑池中，完井后与钻井废泥浆一同交四川光隆环保科技有限公司集中处置；废油已运送至有资质单位处理；生活垃圾已拉运至环卫部门指定地点，由环卫部门清运。</w:t>
      </w:r>
    </w:p>
    <w:p w14:paraId="278EE84E"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84" w:name="_Toc120173096"/>
      <w:r w:rsidRPr="00092862">
        <w:rPr>
          <w:rFonts w:ascii="Times New Roman" w:eastAsia="黑体" w:hAnsi="Times New Roman"/>
          <w:b w:val="0"/>
          <w:color w:val="000000" w:themeColor="text1"/>
          <w:sz w:val="24"/>
          <w:szCs w:val="24"/>
          <w:lang w:eastAsia="zh-CN"/>
        </w:rPr>
        <w:t>3.1.</w:t>
      </w:r>
      <w:r w:rsidR="00F36479" w:rsidRPr="00092862">
        <w:rPr>
          <w:rFonts w:ascii="Times New Roman" w:eastAsia="黑体" w:hAnsi="Times New Roman"/>
          <w:b w:val="0"/>
          <w:color w:val="000000" w:themeColor="text1"/>
          <w:sz w:val="24"/>
          <w:szCs w:val="24"/>
          <w:lang w:eastAsia="zh-CN"/>
        </w:rPr>
        <w:t>4</w:t>
      </w:r>
      <w:r w:rsidRPr="00092862">
        <w:rPr>
          <w:rFonts w:ascii="Times New Roman" w:eastAsia="黑体" w:hAnsi="Times New Roman"/>
          <w:b w:val="0"/>
          <w:color w:val="000000" w:themeColor="text1"/>
          <w:sz w:val="24"/>
          <w:szCs w:val="24"/>
          <w:lang w:eastAsia="zh-CN"/>
        </w:rPr>
        <w:t>项目存在的主要环境问题及整改措施</w:t>
      </w:r>
      <w:bookmarkEnd w:id="84"/>
    </w:p>
    <w:p w14:paraId="0D0BABD1" w14:textId="35A17B05" w:rsidR="00D8307F" w:rsidRPr="00092862" w:rsidRDefault="00E429E5" w:rsidP="00D8307F">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color w:val="000000" w:themeColor="text1"/>
          <w:sz w:val="24"/>
          <w:szCs w:val="24"/>
        </w:rPr>
        <w:t>根据现场调查，</w:t>
      </w:r>
      <w:r w:rsidR="007A3B3E" w:rsidRPr="00092862">
        <w:rPr>
          <w:rFonts w:ascii="Times New Roman" w:eastAsia="宋体" w:hAnsi="Times New Roman" w:cs="Times New Roman"/>
          <w:color w:val="000000" w:themeColor="text1"/>
          <w:sz w:val="24"/>
          <w:szCs w:val="24"/>
        </w:rPr>
        <w:t>老君</w:t>
      </w:r>
      <w:r w:rsidR="007A3B3E" w:rsidRPr="00092862">
        <w:rPr>
          <w:rFonts w:ascii="Times New Roman" w:eastAsia="宋体" w:hAnsi="Times New Roman" w:cs="Times New Roman"/>
          <w:color w:val="000000" w:themeColor="text1"/>
          <w:sz w:val="24"/>
          <w:szCs w:val="24"/>
        </w:rPr>
        <w:t>1</w:t>
      </w:r>
      <w:r w:rsidR="007A3B3E" w:rsidRPr="00092862">
        <w:rPr>
          <w:rFonts w:ascii="Times New Roman" w:eastAsia="宋体" w:hAnsi="Times New Roman" w:cs="Times New Roman"/>
          <w:color w:val="000000" w:themeColor="text1"/>
          <w:sz w:val="24"/>
          <w:szCs w:val="24"/>
        </w:rPr>
        <w:t>井</w:t>
      </w:r>
      <w:r w:rsidR="008618E4" w:rsidRPr="00092862">
        <w:rPr>
          <w:rFonts w:ascii="Times New Roman" w:eastAsia="宋体" w:hAnsi="Times New Roman" w:cs="Times New Roman"/>
          <w:color w:val="000000" w:themeColor="text1"/>
          <w:sz w:val="24"/>
          <w:szCs w:val="24"/>
        </w:rPr>
        <w:t>、</w:t>
      </w:r>
      <w:r w:rsidR="007A3B3E" w:rsidRPr="00092862">
        <w:rPr>
          <w:rFonts w:ascii="Times New Roman" w:eastAsia="宋体" w:hAnsi="Times New Roman" w:cs="Times New Roman"/>
          <w:color w:val="000000" w:themeColor="text1"/>
          <w:sz w:val="24"/>
          <w:szCs w:val="24"/>
        </w:rPr>
        <w:t>老君</w:t>
      </w:r>
      <w:r w:rsidR="00181498">
        <w:rPr>
          <w:rFonts w:ascii="Times New Roman" w:eastAsia="宋体" w:hAnsi="Times New Roman" w:cs="Times New Roman" w:hint="eastAsia"/>
          <w:color w:val="000000" w:themeColor="text1"/>
          <w:sz w:val="24"/>
          <w:szCs w:val="24"/>
        </w:rPr>
        <w:t>4</w:t>
      </w:r>
      <w:r w:rsidR="007A3B3E" w:rsidRPr="00092862">
        <w:rPr>
          <w:rFonts w:ascii="Times New Roman" w:eastAsia="宋体" w:hAnsi="Times New Roman" w:cs="Times New Roman"/>
          <w:color w:val="000000" w:themeColor="text1"/>
          <w:sz w:val="24"/>
          <w:szCs w:val="24"/>
        </w:rPr>
        <w:t>井</w:t>
      </w:r>
      <w:r w:rsidR="008618E4" w:rsidRPr="00092862">
        <w:rPr>
          <w:rFonts w:ascii="Times New Roman" w:eastAsia="宋体" w:hAnsi="Times New Roman" w:cs="Times New Roman"/>
          <w:color w:val="000000" w:themeColor="text1"/>
          <w:sz w:val="24"/>
          <w:szCs w:val="24"/>
        </w:rPr>
        <w:t>、</w:t>
      </w:r>
      <w:r w:rsidR="007A3B3E" w:rsidRPr="00092862">
        <w:rPr>
          <w:rFonts w:ascii="Times New Roman" w:eastAsia="宋体" w:hAnsi="Times New Roman" w:cs="Times New Roman"/>
          <w:color w:val="000000" w:themeColor="text1"/>
          <w:sz w:val="24"/>
          <w:szCs w:val="24"/>
        </w:rPr>
        <w:t>L701-3H</w:t>
      </w:r>
      <w:r w:rsidR="008618E4" w:rsidRPr="00092862">
        <w:rPr>
          <w:rFonts w:ascii="Times New Roman" w:eastAsia="宋体" w:hAnsi="Times New Roman" w:cs="Times New Roman"/>
          <w:color w:val="000000" w:themeColor="text1"/>
          <w:sz w:val="24"/>
          <w:szCs w:val="24"/>
        </w:rPr>
        <w:t>井</w:t>
      </w:r>
      <w:r w:rsidRPr="00092862">
        <w:rPr>
          <w:rFonts w:ascii="Times New Roman" w:eastAsia="宋体" w:hAnsi="Times New Roman" w:cs="Times New Roman"/>
          <w:color w:val="000000" w:themeColor="text1"/>
          <w:sz w:val="24"/>
          <w:szCs w:val="24"/>
        </w:rPr>
        <w:t>钻井施工期产生的各类污染物均已得到妥善的处置，现场无遗留</w:t>
      </w:r>
      <w:r w:rsidR="008618E4" w:rsidRPr="00092862">
        <w:rPr>
          <w:rFonts w:ascii="Times New Roman" w:eastAsia="宋体" w:hAnsi="Times New Roman" w:cs="Times New Roman"/>
          <w:color w:val="000000" w:themeColor="text1"/>
          <w:sz w:val="24"/>
          <w:szCs w:val="24"/>
        </w:rPr>
        <w:t>，</w:t>
      </w:r>
      <w:r w:rsidR="003C3238" w:rsidRPr="00092862">
        <w:rPr>
          <w:rFonts w:ascii="Times New Roman" w:eastAsia="宋体" w:hAnsi="Times New Roman" w:cs="Times New Roman"/>
          <w:color w:val="000000" w:themeColor="text1"/>
          <w:sz w:val="24"/>
          <w:szCs w:val="24"/>
        </w:rPr>
        <w:t>老君</w:t>
      </w:r>
      <w:r w:rsidR="003C3238" w:rsidRPr="00092862">
        <w:rPr>
          <w:rFonts w:ascii="Times New Roman" w:eastAsia="宋体" w:hAnsi="Times New Roman" w:cs="Times New Roman"/>
          <w:color w:val="000000" w:themeColor="text1"/>
          <w:sz w:val="24"/>
          <w:szCs w:val="24"/>
        </w:rPr>
        <w:t>701</w:t>
      </w:r>
      <w:r w:rsidR="008618E4" w:rsidRPr="00092862">
        <w:rPr>
          <w:rFonts w:ascii="Times New Roman" w:eastAsia="宋体" w:hAnsi="Times New Roman" w:cs="Times New Roman"/>
          <w:color w:val="000000" w:themeColor="text1"/>
          <w:sz w:val="24"/>
          <w:szCs w:val="24"/>
        </w:rPr>
        <w:t>集气站</w:t>
      </w:r>
      <w:r w:rsidR="00813B2A" w:rsidRPr="00092862">
        <w:rPr>
          <w:rFonts w:ascii="Times New Roman" w:eastAsia="宋体" w:hAnsi="Times New Roman" w:cs="Times New Roman"/>
          <w:color w:val="000000" w:themeColor="text1"/>
          <w:sz w:val="24"/>
          <w:szCs w:val="24"/>
        </w:rPr>
        <w:t>刚建成</w:t>
      </w:r>
      <w:r w:rsidR="007A3B3E" w:rsidRPr="00092862">
        <w:rPr>
          <w:rFonts w:ascii="Times New Roman" w:eastAsia="宋体" w:hAnsi="Times New Roman" w:cs="Times New Roman"/>
          <w:color w:val="000000" w:themeColor="text1"/>
          <w:sz w:val="24"/>
          <w:szCs w:val="24"/>
        </w:rPr>
        <w:t>，目前无工程内容和遗留环境问题</w:t>
      </w:r>
      <w:r w:rsidR="005C6C03" w:rsidRPr="00092862">
        <w:rPr>
          <w:rFonts w:ascii="Times New Roman" w:eastAsia="宋体" w:hAnsi="Times New Roman" w:cs="Times New Roman"/>
          <w:color w:val="000000" w:themeColor="text1"/>
          <w:sz w:val="24"/>
          <w:szCs w:val="24"/>
        </w:rPr>
        <w:t>。</w:t>
      </w:r>
      <w:bookmarkStart w:id="85" w:name="_Hlk112141388"/>
      <w:r w:rsidR="003B6869" w:rsidRPr="00092862">
        <w:rPr>
          <w:rFonts w:ascii="Times New Roman" w:eastAsia="宋体" w:hAnsi="Times New Roman" w:cs="Times New Roman"/>
          <w:color w:val="000000" w:themeColor="text1"/>
          <w:sz w:val="24"/>
          <w:szCs w:val="24"/>
        </w:rPr>
        <w:t>根据本次在</w:t>
      </w:r>
      <w:r w:rsidR="00D774F2" w:rsidRPr="00092862">
        <w:rPr>
          <w:rFonts w:ascii="Times New Roman" w:eastAsia="宋体" w:hAnsi="Times New Roman" w:cs="Times New Roman"/>
          <w:color w:val="000000" w:themeColor="text1"/>
          <w:sz w:val="24"/>
          <w:szCs w:val="24"/>
        </w:rPr>
        <w:t>污水</w:t>
      </w:r>
      <w:r w:rsidR="00693296" w:rsidRPr="00092862">
        <w:rPr>
          <w:rFonts w:ascii="Times New Roman" w:eastAsia="宋体" w:hAnsi="Times New Roman" w:cs="Times New Roman"/>
          <w:color w:val="000000" w:themeColor="text1"/>
          <w:sz w:val="24"/>
          <w:szCs w:val="24"/>
        </w:rPr>
        <w:t>池</w:t>
      </w:r>
      <w:r w:rsidR="008618E4" w:rsidRPr="00092862">
        <w:rPr>
          <w:rFonts w:ascii="Times New Roman" w:eastAsia="宋体" w:hAnsi="Times New Roman" w:cs="Times New Roman"/>
          <w:color w:val="000000" w:themeColor="text1"/>
          <w:sz w:val="24"/>
          <w:szCs w:val="24"/>
        </w:rPr>
        <w:t>、放喷池、集气站</w:t>
      </w:r>
      <w:r w:rsidR="00F868C7" w:rsidRPr="00092862">
        <w:rPr>
          <w:rFonts w:ascii="Times New Roman" w:eastAsia="宋体" w:hAnsi="Times New Roman" w:cs="Times New Roman"/>
          <w:color w:val="000000" w:themeColor="text1"/>
          <w:sz w:val="24"/>
          <w:szCs w:val="24"/>
        </w:rPr>
        <w:t>地下水流向下游设置的土壤柱状样监测点可知</w:t>
      </w:r>
      <w:r w:rsidR="008618E4" w:rsidRPr="00092862">
        <w:rPr>
          <w:rFonts w:ascii="Times New Roman" w:eastAsia="宋体" w:hAnsi="Times New Roman" w:cs="Times New Roman"/>
          <w:color w:val="000000" w:themeColor="text1"/>
          <w:sz w:val="24"/>
          <w:szCs w:val="24"/>
        </w:rPr>
        <w:t>项目建设</w:t>
      </w:r>
      <w:r w:rsidR="00F868C7" w:rsidRPr="00092862">
        <w:rPr>
          <w:rFonts w:ascii="Times New Roman" w:eastAsia="宋体" w:hAnsi="Times New Roman" w:cs="Times New Roman"/>
          <w:color w:val="000000" w:themeColor="text1"/>
          <w:sz w:val="24"/>
          <w:szCs w:val="24"/>
        </w:rPr>
        <w:t>至今未对区域土壤造成污染影响，根据本次在</w:t>
      </w:r>
      <w:r w:rsidR="00D774F2" w:rsidRPr="00092862">
        <w:rPr>
          <w:rFonts w:ascii="Times New Roman" w:eastAsia="宋体" w:hAnsi="Times New Roman" w:cs="Times New Roman"/>
          <w:color w:val="000000" w:themeColor="text1"/>
          <w:sz w:val="24"/>
          <w:szCs w:val="24"/>
        </w:rPr>
        <w:t>污水池</w:t>
      </w:r>
      <w:r w:rsidR="00F868C7" w:rsidRPr="00092862">
        <w:rPr>
          <w:rFonts w:ascii="Times New Roman" w:eastAsia="宋体" w:hAnsi="Times New Roman" w:cs="Times New Roman"/>
          <w:color w:val="000000" w:themeColor="text1"/>
          <w:sz w:val="24"/>
          <w:szCs w:val="24"/>
        </w:rPr>
        <w:t>地下水流向上下游设置的</w:t>
      </w:r>
      <w:r w:rsidR="00F868C7" w:rsidRPr="00092862">
        <w:rPr>
          <w:rFonts w:ascii="Times New Roman" w:eastAsia="宋体" w:hAnsi="Times New Roman" w:cs="Times New Roman"/>
          <w:color w:val="000000" w:themeColor="text1"/>
          <w:sz w:val="24"/>
          <w:szCs w:val="24"/>
        </w:rPr>
        <w:t>2</w:t>
      </w:r>
      <w:r w:rsidR="00F868C7" w:rsidRPr="00092862">
        <w:rPr>
          <w:rFonts w:ascii="Times New Roman" w:eastAsia="宋体" w:hAnsi="Times New Roman" w:cs="Times New Roman"/>
          <w:color w:val="000000" w:themeColor="text1"/>
          <w:sz w:val="24"/>
          <w:szCs w:val="24"/>
        </w:rPr>
        <w:t>个包气带现状监测可知区域包气带未受到污染影响</w:t>
      </w:r>
      <w:r w:rsidR="003B6869" w:rsidRPr="00092862">
        <w:rPr>
          <w:rFonts w:ascii="Times New Roman" w:eastAsia="宋体" w:hAnsi="Times New Roman" w:cs="Times New Roman"/>
          <w:color w:val="000000" w:themeColor="text1"/>
          <w:sz w:val="24"/>
          <w:szCs w:val="24"/>
        </w:rPr>
        <w:t>。</w:t>
      </w:r>
      <w:bookmarkEnd w:id="85"/>
      <w:r w:rsidR="00F868C7" w:rsidRPr="00092862">
        <w:rPr>
          <w:rFonts w:ascii="Times New Roman" w:eastAsia="宋体" w:hAnsi="Times New Roman" w:cs="Times New Roman"/>
          <w:color w:val="000000" w:themeColor="text1"/>
          <w:sz w:val="24"/>
          <w:szCs w:val="24"/>
        </w:rPr>
        <w:t>厂界噪声满足相关标准要求。</w:t>
      </w:r>
    </w:p>
    <w:p w14:paraId="0FF1F5F6" w14:textId="2289968E" w:rsidR="00387DF7" w:rsidRPr="00092862" w:rsidRDefault="00387DF7" w:rsidP="00387DF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经走访调查及咨询，</w:t>
      </w:r>
      <w:r w:rsidR="003C3238" w:rsidRPr="00092862">
        <w:rPr>
          <w:rFonts w:ascii="Times New Roman" w:eastAsia="宋体" w:hAnsi="Times New Roman" w:cs="Times New Roman"/>
          <w:color w:val="000000" w:themeColor="text1"/>
          <w:sz w:val="24"/>
          <w:szCs w:val="24"/>
        </w:rPr>
        <w:t>老君</w:t>
      </w:r>
      <w:r w:rsidR="003C3238" w:rsidRPr="00092862">
        <w:rPr>
          <w:rFonts w:ascii="Times New Roman" w:eastAsia="宋体" w:hAnsi="Times New Roman" w:cs="Times New Roman"/>
          <w:color w:val="000000" w:themeColor="text1"/>
          <w:sz w:val="24"/>
          <w:szCs w:val="24"/>
        </w:rPr>
        <w:t>701</w:t>
      </w:r>
      <w:r w:rsidR="008618E4" w:rsidRPr="00092862">
        <w:rPr>
          <w:rFonts w:ascii="Times New Roman" w:eastAsia="宋体" w:hAnsi="Times New Roman" w:cs="Times New Roman"/>
          <w:color w:val="000000" w:themeColor="text1"/>
          <w:sz w:val="24"/>
          <w:szCs w:val="24"/>
        </w:rPr>
        <w:t>集气站（含钻井阶段）</w:t>
      </w:r>
      <w:r w:rsidRPr="00092862">
        <w:rPr>
          <w:rFonts w:ascii="Times New Roman" w:eastAsia="宋体" w:hAnsi="Times New Roman" w:cs="Times New Roman"/>
          <w:color w:val="000000" w:themeColor="text1"/>
          <w:sz w:val="24"/>
          <w:szCs w:val="24"/>
        </w:rPr>
        <w:t>未发生污染事故及投诉事件。</w:t>
      </w:r>
    </w:p>
    <w:p w14:paraId="48E017D7" w14:textId="5BA3565A" w:rsidR="00387DF7" w:rsidRPr="00092862" w:rsidRDefault="00387DF7" w:rsidP="00387DF7">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86" w:name="_Toc120173097"/>
      <w:r w:rsidRPr="00092862">
        <w:rPr>
          <w:rFonts w:ascii="Times New Roman" w:eastAsia="黑体" w:hAnsi="Times New Roman"/>
          <w:b w:val="0"/>
          <w:color w:val="000000" w:themeColor="text1"/>
          <w:sz w:val="24"/>
          <w:szCs w:val="24"/>
          <w:lang w:eastAsia="zh-CN"/>
        </w:rPr>
        <w:lastRenderedPageBreak/>
        <w:t>3.1.5</w:t>
      </w:r>
      <w:r w:rsidRPr="00092862">
        <w:rPr>
          <w:rFonts w:ascii="Times New Roman" w:eastAsia="黑体" w:hAnsi="Times New Roman"/>
          <w:b w:val="0"/>
          <w:color w:val="000000" w:themeColor="text1"/>
          <w:sz w:val="24"/>
          <w:szCs w:val="24"/>
          <w:lang w:eastAsia="zh-CN"/>
        </w:rPr>
        <w:t>设施依托可行性</w:t>
      </w:r>
      <w:bookmarkEnd w:id="86"/>
    </w:p>
    <w:p w14:paraId="08480175" w14:textId="5CC61658" w:rsidR="00387DF7" w:rsidRPr="00092862" w:rsidRDefault="00387DF7" w:rsidP="007A3B3E">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w:t>
      </w:r>
      <w:r w:rsidR="007A3B3E" w:rsidRPr="00092862">
        <w:rPr>
          <w:rFonts w:ascii="Times New Roman" w:eastAsia="宋体" w:hAnsi="Times New Roman" w:cs="Times New Roman"/>
          <w:color w:val="000000" w:themeColor="text1"/>
          <w:sz w:val="24"/>
          <w:szCs w:val="24"/>
        </w:rPr>
        <w:t>为新建井场建设，仅试采期</w:t>
      </w:r>
      <w:r w:rsidRPr="00092862">
        <w:rPr>
          <w:rFonts w:ascii="Times New Roman" w:eastAsia="宋体" w:hAnsi="Times New Roman" w:cs="Times New Roman"/>
          <w:color w:val="000000" w:themeColor="text1"/>
          <w:sz w:val="24"/>
          <w:szCs w:val="24"/>
        </w:rPr>
        <w:t>依托</w:t>
      </w:r>
      <w:r w:rsidR="003C3238" w:rsidRPr="00092862">
        <w:rPr>
          <w:rFonts w:ascii="Times New Roman" w:eastAsia="宋体" w:hAnsi="Times New Roman" w:cs="Times New Roman"/>
          <w:color w:val="000000" w:themeColor="text1"/>
          <w:sz w:val="24"/>
          <w:szCs w:val="24"/>
        </w:rPr>
        <w:t>老君</w:t>
      </w:r>
      <w:r w:rsidR="003C3238" w:rsidRPr="00092862">
        <w:rPr>
          <w:rFonts w:ascii="Times New Roman" w:eastAsia="宋体" w:hAnsi="Times New Roman" w:cs="Times New Roman"/>
          <w:color w:val="000000" w:themeColor="text1"/>
          <w:sz w:val="24"/>
          <w:szCs w:val="24"/>
        </w:rPr>
        <w:t>701</w:t>
      </w:r>
      <w:r w:rsidR="008618E4" w:rsidRPr="00092862">
        <w:rPr>
          <w:rFonts w:ascii="Times New Roman" w:eastAsia="宋体" w:hAnsi="Times New Roman" w:cs="Times New Roman"/>
          <w:color w:val="000000" w:themeColor="text1"/>
          <w:sz w:val="24"/>
          <w:szCs w:val="24"/>
        </w:rPr>
        <w:t>集气站（含钻井）</w:t>
      </w:r>
      <w:r w:rsidR="007A3B3E" w:rsidRPr="00092862">
        <w:rPr>
          <w:rFonts w:ascii="Times New Roman" w:eastAsia="宋体" w:hAnsi="Times New Roman" w:cs="Times New Roman"/>
          <w:color w:val="000000" w:themeColor="text1"/>
          <w:sz w:val="24"/>
          <w:szCs w:val="24"/>
        </w:rPr>
        <w:t>拟建设</w:t>
      </w:r>
      <w:r w:rsidRPr="00092862">
        <w:rPr>
          <w:rFonts w:ascii="Times New Roman" w:eastAsia="宋体" w:hAnsi="Times New Roman" w:cs="Times New Roman"/>
          <w:color w:val="000000" w:themeColor="text1"/>
          <w:sz w:val="24"/>
          <w:szCs w:val="24"/>
        </w:rPr>
        <w:t>的</w:t>
      </w:r>
      <w:r w:rsidR="007A3B3E" w:rsidRPr="00092862">
        <w:rPr>
          <w:rFonts w:ascii="Times New Roman" w:eastAsia="宋体" w:hAnsi="Times New Roman" w:cs="Times New Roman"/>
          <w:color w:val="000000" w:themeColor="text1"/>
          <w:sz w:val="24"/>
          <w:szCs w:val="24"/>
        </w:rPr>
        <w:t>站内建设节流加热装置、分离计量装置、发球装置、放空设施及相关配套工程</w:t>
      </w:r>
      <w:r w:rsidRPr="00092862">
        <w:rPr>
          <w:rFonts w:ascii="Times New Roman" w:eastAsia="宋体" w:hAnsi="Times New Roman" w:cs="Times New Roman"/>
          <w:color w:val="000000" w:themeColor="text1"/>
          <w:sz w:val="24"/>
          <w:szCs w:val="24"/>
        </w:rPr>
        <w:t>等开展钻井工程</w:t>
      </w:r>
      <w:r w:rsidR="000E137E" w:rsidRPr="00092862">
        <w:rPr>
          <w:rFonts w:ascii="Times New Roman" w:eastAsia="宋体" w:hAnsi="Times New Roman" w:cs="Times New Roman"/>
          <w:color w:val="000000" w:themeColor="text1"/>
          <w:sz w:val="24"/>
          <w:szCs w:val="24"/>
        </w:rPr>
        <w:t>及试采</w:t>
      </w:r>
      <w:r w:rsidRPr="00092862">
        <w:rPr>
          <w:rFonts w:ascii="Times New Roman" w:eastAsia="宋体" w:hAnsi="Times New Roman" w:cs="Times New Roman"/>
          <w:color w:val="000000" w:themeColor="text1"/>
          <w:sz w:val="24"/>
          <w:szCs w:val="24"/>
        </w:rPr>
        <w:t>。</w:t>
      </w:r>
    </w:p>
    <w:p w14:paraId="0CE0336A" w14:textId="52C5BF96" w:rsidR="001F728D" w:rsidRPr="00092862" w:rsidRDefault="001F728D" w:rsidP="00387DF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00797842" w:rsidRPr="00092862">
        <w:rPr>
          <w:rFonts w:ascii="Times New Roman" w:eastAsia="宋体" w:hAnsi="Times New Roman" w:cs="Times New Roman"/>
          <w:color w:val="000000" w:themeColor="text1"/>
          <w:sz w:val="24"/>
          <w:szCs w:val="24"/>
        </w:rPr>
        <w:t>配产规模依托可行性分析</w:t>
      </w:r>
    </w:p>
    <w:p w14:paraId="28279A84" w14:textId="00284AF5" w:rsidR="00D912B5" w:rsidRPr="00092862" w:rsidRDefault="00D912B5" w:rsidP="00387DF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、站内占地</w:t>
      </w:r>
    </w:p>
    <w:p w14:paraId="5A9BCDCB" w14:textId="271A5286" w:rsidR="001F728D" w:rsidRPr="00092862" w:rsidRDefault="00797842" w:rsidP="00387DF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拟</w:t>
      </w:r>
      <w:r w:rsidR="003C3238" w:rsidRPr="00092862">
        <w:rPr>
          <w:rFonts w:ascii="Times New Roman" w:eastAsia="宋体" w:hAnsi="Times New Roman" w:cs="Times New Roman"/>
          <w:color w:val="000000" w:themeColor="text1"/>
          <w:sz w:val="24"/>
          <w:szCs w:val="24"/>
        </w:rPr>
        <w:t>老君</w:t>
      </w:r>
      <w:r w:rsidR="003C3238" w:rsidRPr="00092862">
        <w:rPr>
          <w:rFonts w:ascii="Times New Roman" w:eastAsia="宋体" w:hAnsi="Times New Roman" w:cs="Times New Roman"/>
          <w:color w:val="000000" w:themeColor="text1"/>
          <w:sz w:val="24"/>
          <w:szCs w:val="24"/>
        </w:rPr>
        <w:t>701</w:t>
      </w:r>
      <w:r w:rsidR="00D01B49" w:rsidRPr="00092862">
        <w:rPr>
          <w:rFonts w:ascii="Times New Roman" w:eastAsia="宋体" w:hAnsi="Times New Roman" w:cs="Times New Roman"/>
          <w:color w:val="000000" w:themeColor="text1"/>
          <w:sz w:val="24"/>
          <w:szCs w:val="24"/>
        </w:rPr>
        <w:t>集气站</w:t>
      </w:r>
      <w:r w:rsidRPr="00092862">
        <w:rPr>
          <w:rFonts w:ascii="Times New Roman" w:eastAsia="宋体" w:hAnsi="Times New Roman" w:cs="Times New Roman"/>
          <w:color w:val="000000" w:themeColor="text1"/>
          <w:sz w:val="24"/>
          <w:szCs w:val="24"/>
        </w:rPr>
        <w:t>占地面积约</w:t>
      </w:r>
      <w:r w:rsidRPr="00092862">
        <w:rPr>
          <w:rFonts w:ascii="Times New Roman" w:eastAsia="宋体" w:hAnsi="Times New Roman" w:cs="Times New Roman"/>
          <w:color w:val="000000" w:themeColor="text1"/>
          <w:sz w:val="24"/>
          <w:szCs w:val="24"/>
        </w:rPr>
        <w:t>1.47</w:t>
      </w:r>
      <w:r w:rsidRPr="00092862">
        <w:rPr>
          <w:rFonts w:ascii="Times New Roman" w:eastAsia="宋体" w:hAnsi="Times New Roman" w:cs="Times New Roman"/>
          <w:color w:val="000000" w:themeColor="text1"/>
          <w:sz w:val="24"/>
          <w:szCs w:val="24"/>
        </w:rPr>
        <w:t>亩。老君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集气站布置气井</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口，总配产</w:t>
      </w:r>
      <w:r w:rsidRPr="00092862">
        <w:rPr>
          <w:rFonts w:ascii="Times New Roman" w:eastAsia="宋体" w:hAnsi="Times New Roman" w:cs="Times New Roman"/>
          <w:color w:val="000000" w:themeColor="text1"/>
          <w:sz w:val="24"/>
          <w:szCs w:val="24"/>
        </w:rPr>
        <w:t>100×10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Nm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。站内建设节流加热装置、分离计量装置、发球装置、放空设施及相关配套工程</w:t>
      </w:r>
      <w:r w:rsidR="00D01B49" w:rsidRPr="00092862">
        <w:rPr>
          <w:rFonts w:ascii="Times New Roman" w:eastAsia="宋体" w:hAnsi="Times New Roman" w:cs="Times New Roman"/>
          <w:color w:val="000000" w:themeColor="text1"/>
          <w:sz w:val="24"/>
          <w:szCs w:val="24"/>
        </w:rPr>
        <w:t>。</w:t>
      </w:r>
    </w:p>
    <w:p w14:paraId="7C878614" w14:textId="73A41438" w:rsidR="00A80D37" w:rsidRPr="00092862" w:rsidRDefault="00A80D37" w:rsidP="00A80D3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b</w:t>
      </w:r>
      <w:r w:rsidRPr="00092862">
        <w:rPr>
          <w:rFonts w:ascii="Times New Roman" w:eastAsia="宋体" w:hAnsi="Times New Roman" w:cs="Times New Roman"/>
          <w:color w:val="000000" w:themeColor="text1"/>
          <w:sz w:val="24"/>
          <w:szCs w:val="24"/>
        </w:rPr>
        <w:t>、水套加热炉</w:t>
      </w:r>
    </w:p>
    <w:p w14:paraId="6BC114A4" w14:textId="433C5446" w:rsidR="00A80D37" w:rsidRPr="00092862" w:rsidRDefault="00797842" w:rsidP="00A80D3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w:t>
      </w:r>
      <w:r w:rsidR="009F2FB7" w:rsidRPr="00092862">
        <w:rPr>
          <w:rFonts w:ascii="Times New Roman" w:eastAsia="宋体" w:hAnsi="Times New Roman" w:cs="Times New Roman"/>
          <w:color w:val="000000" w:themeColor="text1"/>
          <w:sz w:val="24"/>
          <w:szCs w:val="24"/>
        </w:rPr>
        <w:t>两口井</w:t>
      </w:r>
      <w:r w:rsidRPr="00092862">
        <w:rPr>
          <w:rFonts w:ascii="Times New Roman" w:eastAsia="宋体" w:hAnsi="Times New Roman" w:cs="Times New Roman"/>
          <w:color w:val="000000" w:themeColor="text1"/>
          <w:sz w:val="24"/>
          <w:szCs w:val="24"/>
        </w:rPr>
        <w:t>所需加热负荷为</w:t>
      </w:r>
      <w:r w:rsidRPr="00092862">
        <w:rPr>
          <w:rFonts w:ascii="Times New Roman" w:eastAsia="宋体" w:hAnsi="Times New Roman" w:cs="Times New Roman"/>
          <w:color w:val="000000" w:themeColor="text1"/>
          <w:sz w:val="24"/>
          <w:szCs w:val="24"/>
        </w:rPr>
        <w:t>766.8kW</w:t>
      </w:r>
      <w:r w:rsidRPr="00092862">
        <w:rPr>
          <w:rFonts w:ascii="Times New Roman" w:eastAsia="宋体" w:hAnsi="Times New Roman" w:cs="Times New Roman"/>
          <w:color w:val="000000" w:themeColor="text1"/>
          <w:sz w:val="24"/>
          <w:szCs w:val="24"/>
        </w:rPr>
        <w:t>，采取两台水套加热炉总功率为</w:t>
      </w:r>
      <w:r w:rsidRPr="00092862">
        <w:rPr>
          <w:rFonts w:ascii="Times New Roman" w:eastAsia="宋体" w:hAnsi="Times New Roman" w:cs="Times New Roman"/>
          <w:color w:val="000000" w:themeColor="text1"/>
          <w:sz w:val="24"/>
          <w:szCs w:val="24"/>
        </w:rPr>
        <w:t>1000kW</w:t>
      </w:r>
      <w:r w:rsidRPr="00092862">
        <w:rPr>
          <w:rFonts w:ascii="Times New Roman" w:eastAsia="宋体" w:hAnsi="Times New Roman" w:cs="Times New Roman"/>
          <w:color w:val="000000" w:themeColor="text1"/>
          <w:sz w:val="24"/>
          <w:szCs w:val="24"/>
        </w:rPr>
        <w:t>，余量较小。且因节流后需要安全放空和分区放空要求，老君</w:t>
      </w:r>
      <w:r w:rsidRPr="00092862">
        <w:rPr>
          <w:rFonts w:ascii="Times New Roman" w:eastAsia="宋体" w:hAnsi="Times New Roman" w:cs="Times New Roman"/>
          <w:color w:val="000000" w:themeColor="text1"/>
          <w:sz w:val="24"/>
          <w:szCs w:val="24"/>
        </w:rPr>
        <w:t>7011</w:t>
      </w:r>
      <w:r w:rsidRPr="00092862">
        <w:rPr>
          <w:rFonts w:ascii="Times New Roman" w:eastAsia="宋体" w:hAnsi="Times New Roman" w:cs="Times New Roman"/>
          <w:color w:val="000000" w:themeColor="text1"/>
          <w:sz w:val="24"/>
          <w:szCs w:val="24"/>
        </w:rPr>
        <w:t>采气站两口新井需单独设置水套加热炉用于加热、节流，本次按剩余最大输气量</w:t>
      </w:r>
      <w:r w:rsidRPr="00092862">
        <w:rPr>
          <w:rFonts w:ascii="Times New Roman" w:eastAsia="宋体" w:hAnsi="Times New Roman" w:cs="Times New Roman"/>
          <w:color w:val="000000" w:themeColor="text1"/>
          <w:sz w:val="24"/>
          <w:szCs w:val="24"/>
        </w:rPr>
        <w:t>40×10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计算，所需计算负荷为</w:t>
      </w:r>
      <w:r w:rsidRPr="00092862">
        <w:rPr>
          <w:rFonts w:ascii="Times New Roman" w:eastAsia="宋体" w:hAnsi="Times New Roman" w:cs="Times New Roman"/>
          <w:color w:val="000000" w:themeColor="text1"/>
          <w:sz w:val="24"/>
          <w:szCs w:val="24"/>
        </w:rPr>
        <w:t>444.2kW</w:t>
      </w:r>
      <w:r w:rsidR="00A80D37" w:rsidRPr="00092862">
        <w:rPr>
          <w:rFonts w:ascii="Times New Roman" w:eastAsia="宋体" w:hAnsi="Times New Roman" w:cs="Times New Roman"/>
          <w:color w:val="000000" w:themeColor="text1"/>
          <w:sz w:val="24"/>
          <w:szCs w:val="24"/>
        </w:rPr>
        <w:t>，满足生产要求。因此</w:t>
      </w:r>
      <w:r w:rsidRPr="00092862">
        <w:rPr>
          <w:rFonts w:ascii="Times New Roman" w:eastAsia="宋体" w:hAnsi="Times New Roman" w:cs="Times New Roman"/>
          <w:color w:val="000000" w:themeColor="text1"/>
          <w:sz w:val="24"/>
          <w:szCs w:val="24"/>
        </w:rPr>
        <w:t>本项目单独建设水套加热炉，不依托老君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集气站内加热炉</w:t>
      </w:r>
      <w:r w:rsidR="00A80D37" w:rsidRPr="00092862">
        <w:rPr>
          <w:rFonts w:ascii="Times New Roman" w:eastAsia="宋体" w:hAnsi="Times New Roman" w:cs="Times New Roman"/>
          <w:color w:val="000000" w:themeColor="text1"/>
          <w:sz w:val="24"/>
          <w:szCs w:val="24"/>
        </w:rPr>
        <w:t>。</w:t>
      </w:r>
    </w:p>
    <w:p w14:paraId="1A14B29E" w14:textId="09A38C2D" w:rsidR="00A80D37" w:rsidRPr="00092862" w:rsidRDefault="00A80D37" w:rsidP="00387DF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c</w:t>
      </w:r>
      <w:r w:rsidRPr="00092862">
        <w:rPr>
          <w:rFonts w:ascii="Times New Roman" w:eastAsia="宋体" w:hAnsi="Times New Roman" w:cs="Times New Roman"/>
          <w:color w:val="000000" w:themeColor="text1"/>
          <w:sz w:val="24"/>
          <w:szCs w:val="24"/>
        </w:rPr>
        <w:t>、燃料气系统</w:t>
      </w:r>
    </w:p>
    <w:p w14:paraId="4BEA6F07" w14:textId="77777777" w:rsidR="00A80D37" w:rsidRPr="00092862" w:rsidRDefault="00A80D37" w:rsidP="00A80D3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普光主体区块建设有专门的燃料气返输管网，为各集气站提供燃料气，以满足环保要求。</w:t>
      </w:r>
    </w:p>
    <w:p w14:paraId="018CFB2A" w14:textId="1880EAEB" w:rsidR="00A80D37" w:rsidRPr="00092862" w:rsidRDefault="00797842" w:rsidP="00A80D3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7011</w:t>
      </w:r>
      <w:r w:rsidRPr="00092862">
        <w:rPr>
          <w:rFonts w:ascii="Times New Roman" w:eastAsia="宋体" w:hAnsi="Times New Roman" w:cs="Times New Roman"/>
          <w:color w:val="000000" w:themeColor="text1"/>
          <w:sz w:val="24"/>
          <w:szCs w:val="24"/>
        </w:rPr>
        <w:t>采气站生产所需燃料气利用老君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集气站已建燃料气系统，从燃料气调压计量橇的出口引取，保证站内的生产及吹扫用气</w:t>
      </w:r>
      <w:r w:rsidR="00A80D37" w:rsidRPr="00092862">
        <w:rPr>
          <w:rFonts w:ascii="Times New Roman" w:eastAsia="宋体" w:hAnsi="Times New Roman" w:cs="Times New Roman"/>
          <w:color w:val="000000" w:themeColor="text1"/>
          <w:sz w:val="24"/>
          <w:szCs w:val="24"/>
        </w:rPr>
        <w:t>。</w:t>
      </w:r>
    </w:p>
    <w:p w14:paraId="6C662F85" w14:textId="0D25862C" w:rsidR="00A80D37" w:rsidRPr="00092862" w:rsidRDefault="00A80D37" w:rsidP="00A80D3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本工程新增燃料气</w:t>
      </w:r>
      <w:r w:rsidR="00F55E13">
        <w:rPr>
          <w:rFonts w:ascii="Times New Roman" w:eastAsia="宋体" w:hAnsi="Times New Roman" w:cs="Times New Roman" w:hint="eastAsia"/>
          <w:color w:val="000000" w:themeColor="text1"/>
          <w:sz w:val="24"/>
          <w:szCs w:val="24"/>
        </w:rPr>
        <w:t>主要为新增水套加热炉用气，从老君</w:t>
      </w:r>
      <w:r w:rsidR="00F55E13">
        <w:rPr>
          <w:rFonts w:ascii="Times New Roman" w:eastAsia="宋体" w:hAnsi="Times New Roman" w:cs="Times New Roman" w:hint="eastAsia"/>
          <w:color w:val="000000" w:themeColor="text1"/>
          <w:sz w:val="24"/>
          <w:szCs w:val="24"/>
        </w:rPr>
        <w:t>701</w:t>
      </w:r>
      <w:r w:rsidR="00F55E13">
        <w:rPr>
          <w:rFonts w:ascii="Times New Roman" w:eastAsia="宋体" w:hAnsi="Times New Roman" w:cs="Times New Roman" w:hint="eastAsia"/>
          <w:color w:val="000000" w:themeColor="text1"/>
          <w:sz w:val="24"/>
          <w:szCs w:val="24"/>
        </w:rPr>
        <w:t>集气站既有管道引出</w:t>
      </w:r>
      <w:r w:rsidRPr="00092862">
        <w:rPr>
          <w:rFonts w:ascii="Times New Roman" w:eastAsia="宋体" w:hAnsi="Times New Roman" w:cs="Times New Roman"/>
          <w:color w:val="000000" w:themeColor="text1"/>
          <w:sz w:val="24"/>
          <w:szCs w:val="24"/>
        </w:rPr>
        <w:t>，</w:t>
      </w:r>
      <w:r w:rsidR="00F55E13">
        <w:rPr>
          <w:rFonts w:ascii="Times New Roman" w:eastAsia="宋体" w:hAnsi="Times New Roman" w:cs="Times New Roman" w:hint="eastAsia"/>
          <w:color w:val="000000" w:themeColor="text1"/>
          <w:sz w:val="24"/>
          <w:szCs w:val="24"/>
        </w:rPr>
        <w:t>本项目新增用气量小，老君</w:t>
      </w:r>
      <w:r w:rsidR="00F55E13">
        <w:rPr>
          <w:rFonts w:ascii="Times New Roman" w:eastAsia="宋体" w:hAnsi="Times New Roman" w:cs="Times New Roman" w:hint="eastAsia"/>
          <w:color w:val="000000" w:themeColor="text1"/>
          <w:sz w:val="24"/>
          <w:szCs w:val="24"/>
        </w:rPr>
        <w:t>701</w:t>
      </w:r>
      <w:r w:rsidR="00F55E13">
        <w:rPr>
          <w:rFonts w:ascii="Times New Roman" w:eastAsia="宋体" w:hAnsi="Times New Roman" w:cs="Times New Roman" w:hint="eastAsia"/>
          <w:color w:val="000000" w:themeColor="text1"/>
          <w:sz w:val="24"/>
          <w:szCs w:val="24"/>
        </w:rPr>
        <w:t>集气站原料气能够满足本次新增原料气需求，</w:t>
      </w:r>
      <w:r w:rsidRPr="00092862">
        <w:rPr>
          <w:rFonts w:ascii="Times New Roman" w:eastAsia="宋体" w:hAnsi="Times New Roman" w:cs="Times New Roman"/>
          <w:color w:val="000000" w:themeColor="text1"/>
          <w:sz w:val="24"/>
          <w:szCs w:val="24"/>
        </w:rPr>
        <w:t>依托可行。</w:t>
      </w:r>
    </w:p>
    <w:p w14:paraId="3E7CDDAA" w14:textId="1A385676" w:rsidR="00D912B5" w:rsidRPr="00092862" w:rsidRDefault="00F64969" w:rsidP="00D912B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r w:rsidR="00D912B5" w:rsidRPr="00092862">
        <w:rPr>
          <w:rFonts w:ascii="Times New Roman" w:eastAsia="宋体" w:hAnsi="Times New Roman" w:cs="Times New Roman"/>
          <w:color w:val="000000" w:themeColor="text1"/>
          <w:sz w:val="24"/>
          <w:szCs w:val="24"/>
        </w:rPr>
        <w:t>放空火炬</w:t>
      </w:r>
    </w:p>
    <w:p w14:paraId="1957F7D3" w14:textId="46CB8761" w:rsidR="00D912B5" w:rsidRPr="00092862" w:rsidRDefault="003C3238" w:rsidP="00D912B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00D912B5" w:rsidRPr="00092862">
        <w:rPr>
          <w:rFonts w:ascii="Times New Roman" w:eastAsia="宋体" w:hAnsi="Times New Roman" w:cs="Times New Roman"/>
          <w:color w:val="000000" w:themeColor="text1"/>
          <w:sz w:val="24"/>
          <w:szCs w:val="24"/>
        </w:rPr>
        <w:t>集气站</w:t>
      </w:r>
      <w:r w:rsidR="00797842" w:rsidRPr="00092862">
        <w:rPr>
          <w:rFonts w:ascii="Times New Roman" w:eastAsia="宋体" w:hAnsi="Times New Roman" w:cs="Times New Roman"/>
          <w:color w:val="000000" w:themeColor="text1"/>
          <w:sz w:val="24"/>
          <w:szCs w:val="24"/>
        </w:rPr>
        <w:t>拟</w:t>
      </w:r>
      <w:r w:rsidR="00D912B5" w:rsidRPr="00092862">
        <w:rPr>
          <w:rFonts w:ascii="Times New Roman" w:eastAsia="宋体" w:hAnsi="Times New Roman" w:cs="Times New Roman"/>
          <w:color w:val="000000" w:themeColor="text1"/>
          <w:sz w:val="24"/>
          <w:szCs w:val="24"/>
        </w:rPr>
        <w:t>建高压放空火炬</w:t>
      </w:r>
      <w:r w:rsidR="00D912B5" w:rsidRPr="00092862">
        <w:rPr>
          <w:rFonts w:ascii="Times New Roman" w:eastAsia="宋体" w:hAnsi="Times New Roman" w:cs="Times New Roman"/>
          <w:color w:val="000000" w:themeColor="text1"/>
          <w:sz w:val="24"/>
          <w:szCs w:val="24"/>
        </w:rPr>
        <w:t>1</w:t>
      </w:r>
      <w:r w:rsidR="00D912B5" w:rsidRPr="00092862">
        <w:rPr>
          <w:rFonts w:ascii="Times New Roman" w:eastAsia="宋体" w:hAnsi="Times New Roman" w:cs="Times New Roman"/>
          <w:color w:val="000000" w:themeColor="text1"/>
          <w:sz w:val="24"/>
          <w:szCs w:val="24"/>
        </w:rPr>
        <w:t>座，</w:t>
      </w:r>
      <w:r w:rsidR="00F64969" w:rsidRPr="00092862">
        <w:rPr>
          <w:rFonts w:ascii="Times New Roman" w:eastAsia="宋体" w:hAnsi="Times New Roman" w:cs="Times New Roman"/>
          <w:color w:val="000000" w:themeColor="text1"/>
          <w:sz w:val="24"/>
          <w:szCs w:val="24"/>
        </w:rPr>
        <w:t>60m</w:t>
      </w:r>
      <w:r w:rsidR="00F64969" w:rsidRPr="00092862">
        <w:rPr>
          <w:rFonts w:ascii="Times New Roman" w:eastAsia="宋体" w:hAnsi="Times New Roman" w:cs="Times New Roman"/>
          <w:color w:val="000000" w:themeColor="text1"/>
          <w:sz w:val="24"/>
          <w:szCs w:val="24"/>
        </w:rPr>
        <w:t>，</w:t>
      </w:r>
      <w:r w:rsidR="00D912B5" w:rsidRPr="00092862">
        <w:rPr>
          <w:rFonts w:ascii="Times New Roman" w:eastAsia="宋体" w:hAnsi="Times New Roman" w:cs="Times New Roman"/>
          <w:color w:val="000000" w:themeColor="text1"/>
          <w:sz w:val="24"/>
          <w:szCs w:val="24"/>
        </w:rPr>
        <w:t>火炬设长明灯，满足站内酸性气体排放燃烧要求，站内放空气经火炬分液罐分离后至放空火炬燃烧，</w:t>
      </w: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00D912B5" w:rsidRPr="00092862">
        <w:rPr>
          <w:rFonts w:ascii="Times New Roman" w:eastAsia="宋体" w:hAnsi="Times New Roman" w:cs="Times New Roman"/>
          <w:color w:val="000000" w:themeColor="text1"/>
          <w:sz w:val="24"/>
          <w:szCs w:val="24"/>
        </w:rPr>
        <w:t>站场放空火炬设计放空量为</w:t>
      </w:r>
      <w:r w:rsidR="00F64969" w:rsidRPr="00092862">
        <w:rPr>
          <w:rFonts w:ascii="Times New Roman" w:eastAsia="宋体" w:hAnsi="Times New Roman" w:cs="Times New Roman"/>
          <w:color w:val="000000" w:themeColor="text1"/>
          <w:sz w:val="24"/>
          <w:szCs w:val="24"/>
        </w:rPr>
        <w:t>115</w:t>
      </w:r>
      <w:r w:rsidR="00D912B5" w:rsidRPr="00092862">
        <w:rPr>
          <w:rFonts w:ascii="Times New Roman" w:eastAsia="宋体" w:hAnsi="Times New Roman" w:cs="Times New Roman"/>
          <w:color w:val="000000" w:themeColor="text1"/>
          <w:sz w:val="24"/>
          <w:szCs w:val="24"/>
        </w:rPr>
        <w:t>×10</w:t>
      </w:r>
      <w:r w:rsidR="00D912B5" w:rsidRPr="00092862">
        <w:rPr>
          <w:rFonts w:ascii="Times New Roman" w:eastAsia="宋体" w:hAnsi="Times New Roman" w:cs="Times New Roman"/>
          <w:color w:val="000000" w:themeColor="text1"/>
          <w:sz w:val="24"/>
          <w:szCs w:val="24"/>
          <w:vertAlign w:val="superscript"/>
        </w:rPr>
        <w:t>4</w:t>
      </w:r>
      <w:r w:rsidR="00D912B5" w:rsidRPr="00092862">
        <w:rPr>
          <w:rFonts w:ascii="Times New Roman" w:eastAsia="宋体" w:hAnsi="Times New Roman" w:cs="Times New Roman"/>
          <w:color w:val="000000" w:themeColor="text1"/>
          <w:sz w:val="24"/>
          <w:szCs w:val="24"/>
        </w:rPr>
        <w:t>Nm</w:t>
      </w:r>
      <w:r w:rsidR="00D912B5" w:rsidRPr="00092862">
        <w:rPr>
          <w:rFonts w:ascii="Times New Roman" w:eastAsia="宋体" w:hAnsi="Times New Roman" w:cs="Times New Roman"/>
          <w:color w:val="000000" w:themeColor="text1"/>
          <w:sz w:val="24"/>
          <w:szCs w:val="24"/>
          <w:vertAlign w:val="superscript"/>
        </w:rPr>
        <w:t>3</w:t>
      </w:r>
      <w:r w:rsidR="00D912B5" w:rsidRPr="00092862">
        <w:rPr>
          <w:rFonts w:ascii="Times New Roman" w:eastAsia="宋体" w:hAnsi="Times New Roman" w:cs="Times New Roman"/>
          <w:color w:val="000000" w:themeColor="text1"/>
          <w:sz w:val="24"/>
          <w:szCs w:val="24"/>
        </w:rPr>
        <w:t>/d</w:t>
      </w:r>
      <w:r w:rsidR="00D912B5" w:rsidRPr="00092862">
        <w:rPr>
          <w:rFonts w:ascii="Times New Roman" w:eastAsia="宋体" w:hAnsi="Times New Roman" w:cs="Times New Roman"/>
          <w:color w:val="000000" w:themeColor="text1"/>
          <w:sz w:val="24"/>
          <w:szCs w:val="24"/>
        </w:rPr>
        <w:t>，</w:t>
      </w:r>
      <w:r w:rsidR="00F64969" w:rsidRPr="00092862">
        <w:rPr>
          <w:rFonts w:ascii="Times New Roman" w:eastAsia="宋体" w:hAnsi="Times New Roman" w:cs="Times New Roman"/>
          <w:color w:val="000000" w:themeColor="text1"/>
          <w:sz w:val="24"/>
          <w:szCs w:val="24"/>
        </w:rPr>
        <w:t>本项目与前期</w:t>
      </w:r>
      <w:r w:rsidR="00813B2A" w:rsidRPr="00092862">
        <w:rPr>
          <w:rFonts w:ascii="Times New Roman" w:eastAsia="宋体" w:hAnsi="Times New Roman" w:cs="Times New Roman"/>
          <w:color w:val="000000" w:themeColor="text1"/>
          <w:sz w:val="24"/>
          <w:szCs w:val="24"/>
        </w:rPr>
        <w:t>在</w:t>
      </w:r>
      <w:r w:rsidR="00F64969" w:rsidRPr="00092862">
        <w:rPr>
          <w:rFonts w:ascii="Times New Roman" w:eastAsia="宋体" w:hAnsi="Times New Roman" w:cs="Times New Roman"/>
          <w:color w:val="000000" w:themeColor="text1"/>
          <w:sz w:val="24"/>
          <w:szCs w:val="24"/>
        </w:rPr>
        <w:t>建设的</w:t>
      </w:r>
      <w:r w:rsidR="00F64969" w:rsidRPr="00092862">
        <w:rPr>
          <w:rFonts w:ascii="Times New Roman" w:eastAsia="宋体" w:hAnsi="Times New Roman" w:cs="Times New Roman"/>
          <w:color w:val="000000" w:themeColor="text1"/>
          <w:sz w:val="24"/>
          <w:szCs w:val="24"/>
        </w:rPr>
        <w:t>L701-3H</w:t>
      </w:r>
      <w:r w:rsidR="00F64969" w:rsidRPr="00092862">
        <w:rPr>
          <w:rFonts w:ascii="Times New Roman" w:eastAsia="宋体" w:hAnsi="Times New Roman" w:cs="Times New Roman"/>
          <w:color w:val="000000" w:themeColor="text1"/>
          <w:sz w:val="24"/>
          <w:szCs w:val="24"/>
        </w:rPr>
        <w:t>共计</w:t>
      </w:r>
      <w:r w:rsidR="00D912B5" w:rsidRPr="00092862">
        <w:rPr>
          <w:rFonts w:ascii="Times New Roman" w:eastAsia="宋体" w:hAnsi="Times New Roman" w:cs="Times New Roman"/>
          <w:color w:val="000000" w:themeColor="text1"/>
          <w:sz w:val="24"/>
          <w:szCs w:val="24"/>
        </w:rPr>
        <w:t>投产后配产为</w:t>
      </w:r>
      <w:r w:rsidR="00F64969" w:rsidRPr="00092862">
        <w:rPr>
          <w:rFonts w:ascii="Times New Roman" w:eastAsia="宋体" w:hAnsi="Times New Roman" w:cs="Times New Roman"/>
          <w:color w:val="000000" w:themeColor="text1"/>
          <w:sz w:val="24"/>
          <w:szCs w:val="24"/>
        </w:rPr>
        <w:t>95</w:t>
      </w:r>
      <w:r w:rsidR="00D912B5" w:rsidRPr="00092862">
        <w:rPr>
          <w:rFonts w:ascii="Times New Roman" w:eastAsia="宋体" w:hAnsi="Times New Roman" w:cs="Times New Roman"/>
          <w:color w:val="000000" w:themeColor="text1"/>
          <w:sz w:val="24"/>
          <w:szCs w:val="24"/>
        </w:rPr>
        <w:t>×10</w:t>
      </w:r>
      <w:r w:rsidR="00D912B5" w:rsidRPr="00092862">
        <w:rPr>
          <w:rFonts w:ascii="Times New Roman" w:eastAsia="宋体" w:hAnsi="Times New Roman" w:cs="Times New Roman"/>
          <w:color w:val="000000" w:themeColor="text1"/>
          <w:sz w:val="24"/>
          <w:szCs w:val="24"/>
          <w:vertAlign w:val="superscript"/>
        </w:rPr>
        <w:t>4</w:t>
      </w:r>
      <w:r w:rsidR="00D912B5" w:rsidRPr="00092862">
        <w:rPr>
          <w:rFonts w:ascii="Times New Roman" w:eastAsia="宋体" w:hAnsi="Times New Roman" w:cs="Times New Roman"/>
          <w:color w:val="000000" w:themeColor="text1"/>
          <w:sz w:val="24"/>
          <w:szCs w:val="24"/>
        </w:rPr>
        <w:t>Nm</w:t>
      </w:r>
      <w:r w:rsidR="00D912B5" w:rsidRPr="00092862">
        <w:rPr>
          <w:rFonts w:ascii="Times New Roman" w:eastAsia="宋体" w:hAnsi="Times New Roman" w:cs="Times New Roman"/>
          <w:color w:val="000000" w:themeColor="text1"/>
          <w:sz w:val="24"/>
          <w:szCs w:val="24"/>
          <w:vertAlign w:val="superscript"/>
        </w:rPr>
        <w:t>3</w:t>
      </w:r>
      <w:r w:rsidR="00D912B5" w:rsidRPr="00092862">
        <w:rPr>
          <w:rFonts w:ascii="Times New Roman" w:eastAsia="宋体" w:hAnsi="Times New Roman" w:cs="Times New Roman"/>
          <w:color w:val="000000" w:themeColor="text1"/>
          <w:sz w:val="24"/>
          <w:szCs w:val="24"/>
        </w:rPr>
        <w:t>/d</w:t>
      </w:r>
      <w:r w:rsidR="00D912B5" w:rsidRPr="00092862">
        <w:rPr>
          <w:rFonts w:ascii="Times New Roman" w:eastAsia="宋体" w:hAnsi="Times New Roman" w:cs="Times New Roman"/>
          <w:color w:val="000000" w:themeColor="text1"/>
          <w:sz w:val="24"/>
          <w:szCs w:val="24"/>
        </w:rPr>
        <w:t>，站场放空量小于火炬的设计放空量（集气站最大放空量按单井配产量计算）。</w:t>
      </w:r>
    </w:p>
    <w:p w14:paraId="4CB3B2D0" w14:textId="26CECAF6" w:rsidR="00D912B5" w:rsidRPr="00092862" w:rsidRDefault="00D912B5" w:rsidP="00D912B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本工程依托</w:t>
      </w:r>
      <w:r w:rsidR="003C3238" w:rsidRPr="00092862">
        <w:rPr>
          <w:rFonts w:ascii="Times New Roman" w:eastAsia="宋体" w:hAnsi="Times New Roman" w:cs="Times New Roman"/>
          <w:color w:val="000000" w:themeColor="text1"/>
          <w:sz w:val="24"/>
          <w:szCs w:val="24"/>
        </w:rPr>
        <w:t>老君</w:t>
      </w:r>
      <w:r w:rsidR="003C3238"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w:t>
      </w:r>
      <w:r w:rsidR="00F64969" w:rsidRPr="00092862">
        <w:rPr>
          <w:rFonts w:ascii="Times New Roman" w:eastAsia="宋体" w:hAnsi="Times New Roman" w:cs="Times New Roman"/>
          <w:color w:val="000000" w:themeColor="text1"/>
          <w:sz w:val="24"/>
          <w:szCs w:val="24"/>
        </w:rPr>
        <w:t>拟建</w:t>
      </w:r>
      <w:r w:rsidRPr="00092862">
        <w:rPr>
          <w:rFonts w:ascii="Times New Roman" w:eastAsia="宋体" w:hAnsi="Times New Roman" w:cs="Times New Roman"/>
          <w:color w:val="000000" w:themeColor="text1"/>
          <w:sz w:val="24"/>
          <w:szCs w:val="24"/>
        </w:rPr>
        <w:t>的放空系统，站场的放空天然气直接进入</w:t>
      </w:r>
      <w:r w:rsidR="003C3238" w:rsidRPr="00092862">
        <w:rPr>
          <w:rFonts w:ascii="Times New Roman" w:eastAsia="宋体" w:hAnsi="Times New Roman" w:cs="Times New Roman"/>
          <w:color w:val="000000" w:themeColor="text1"/>
          <w:sz w:val="24"/>
          <w:szCs w:val="24"/>
        </w:rPr>
        <w:lastRenderedPageBreak/>
        <w:t>老君</w:t>
      </w:r>
      <w:r w:rsidR="003C3238"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集气站的火炬分液罐分离后输送至放空火炬进行燃烧。因此放空火炬依托可行。</w:t>
      </w:r>
    </w:p>
    <w:p w14:paraId="3F21F6DE" w14:textId="2FD339B1" w:rsidR="007402D2" w:rsidRPr="00092862" w:rsidRDefault="00F64969" w:rsidP="007402D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fldChar w:fldCharType="begin"/>
      </w:r>
      <w:r w:rsidRPr="00092862">
        <w:rPr>
          <w:rFonts w:ascii="Times New Roman" w:eastAsia="宋体" w:hAnsi="Times New Roman" w:cs="Times New Roman"/>
          <w:color w:val="000000" w:themeColor="text1"/>
          <w:sz w:val="24"/>
          <w:szCs w:val="24"/>
        </w:rPr>
        <w:instrText xml:space="preserve"> = 2 \* GB3 </w:instrText>
      </w:r>
      <w:r w:rsidRPr="00092862">
        <w:rPr>
          <w:rFonts w:ascii="Times New Roman" w:eastAsia="宋体" w:hAnsi="Times New Roman" w:cs="Times New Roman"/>
          <w:color w:val="000000" w:themeColor="text1"/>
          <w:sz w:val="24"/>
          <w:szCs w:val="24"/>
        </w:rPr>
        <w:fldChar w:fldCharType="separate"/>
      </w:r>
      <w:r w:rsidRPr="00092862">
        <w:rPr>
          <w:rFonts w:ascii="宋体" w:eastAsia="宋体" w:hAnsi="宋体" w:cs="宋体" w:hint="eastAsia"/>
          <w:noProof/>
          <w:color w:val="000000" w:themeColor="text1"/>
          <w:sz w:val="24"/>
          <w:szCs w:val="24"/>
        </w:rPr>
        <w:t>②</w:t>
      </w:r>
      <w:r w:rsidRPr="00092862">
        <w:rPr>
          <w:rFonts w:ascii="Times New Roman" w:eastAsia="宋体" w:hAnsi="Times New Roman" w:cs="Times New Roman"/>
          <w:color w:val="000000" w:themeColor="text1"/>
          <w:sz w:val="24"/>
          <w:szCs w:val="24"/>
        </w:rPr>
        <w:fldChar w:fldCharType="end"/>
      </w:r>
      <w:r w:rsidR="007402D2" w:rsidRPr="00092862">
        <w:rPr>
          <w:rFonts w:ascii="Times New Roman" w:eastAsia="宋体" w:hAnsi="Times New Roman" w:cs="Times New Roman"/>
          <w:color w:val="000000" w:themeColor="text1"/>
          <w:sz w:val="24"/>
          <w:szCs w:val="24"/>
        </w:rPr>
        <w:t>外输管线</w:t>
      </w:r>
    </w:p>
    <w:p w14:paraId="01FB74D1" w14:textId="7875AE3A" w:rsidR="007402D2" w:rsidRPr="00092862" w:rsidRDefault="001D3EC9" w:rsidP="007402D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普光气田分为普光主体区块和大湾区块两个部分，其中普光主体区块包括</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和</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线，设计输量总和为</w:t>
      </w:r>
      <w:r w:rsidRPr="00092862">
        <w:rPr>
          <w:rFonts w:ascii="Times New Roman" w:eastAsia="宋体" w:hAnsi="Times New Roman" w:cs="Times New Roman"/>
          <w:color w:val="000000" w:themeColor="text1"/>
          <w:sz w:val="24"/>
          <w:szCs w:val="24"/>
        </w:rPr>
        <w:t>3162×10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，于</w:t>
      </w:r>
      <w:r w:rsidRPr="00092862">
        <w:rPr>
          <w:rFonts w:ascii="Times New Roman" w:eastAsia="宋体" w:hAnsi="Times New Roman" w:cs="Times New Roman"/>
          <w:color w:val="000000" w:themeColor="text1"/>
          <w:sz w:val="24"/>
          <w:szCs w:val="24"/>
        </w:rPr>
        <w:t>2009</w:t>
      </w:r>
      <w:r w:rsidRPr="00092862">
        <w:rPr>
          <w:rFonts w:ascii="Times New Roman" w:eastAsia="宋体" w:hAnsi="Times New Roman" w:cs="Times New Roman"/>
          <w:color w:val="000000" w:themeColor="text1"/>
          <w:sz w:val="24"/>
          <w:szCs w:val="24"/>
        </w:rPr>
        <w:t>年</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月投产。主体主要工程内容包括：生产井</w:t>
      </w:r>
      <w:r w:rsidRPr="00092862">
        <w:rPr>
          <w:rFonts w:ascii="Times New Roman" w:eastAsia="宋体" w:hAnsi="Times New Roman" w:cs="Times New Roman"/>
          <w:color w:val="000000" w:themeColor="text1"/>
          <w:sz w:val="24"/>
          <w:szCs w:val="24"/>
        </w:rPr>
        <w:t>38</w:t>
      </w:r>
      <w:r w:rsidRPr="00092862">
        <w:rPr>
          <w:rFonts w:ascii="Times New Roman" w:eastAsia="宋体" w:hAnsi="Times New Roman" w:cs="Times New Roman"/>
          <w:color w:val="000000" w:themeColor="text1"/>
          <w:sz w:val="24"/>
          <w:szCs w:val="24"/>
        </w:rPr>
        <w:t>口，目前生产井</w:t>
      </w:r>
      <w:r w:rsidRPr="00092862">
        <w:rPr>
          <w:rFonts w:ascii="Times New Roman" w:eastAsia="宋体" w:hAnsi="Times New Roman" w:cs="Times New Roman"/>
          <w:color w:val="000000" w:themeColor="text1"/>
          <w:sz w:val="24"/>
          <w:szCs w:val="24"/>
        </w:rPr>
        <w:t>34</w:t>
      </w:r>
      <w:r w:rsidRPr="00092862">
        <w:rPr>
          <w:rFonts w:ascii="Times New Roman" w:eastAsia="宋体" w:hAnsi="Times New Roman" w:cs="Times New Roman"/>
          <w:color w:val="000000" w:themeColor="text1"/>
          <w:sz w:val="24"/>
          <w:szCs w:val="24"/>
        </w:rPr>
        <w:t>口；</w:t>
      </w:r>
      <w:r w:rsidRPr="00092862">
        <w:rPr>
          <w:rFonts w:ascii="Times New Roman" w:eastAsia="宋体" w:hAnsi="Times New Roman" w:cs="Times New Roman"/>
          <w:color w:val="000000" w:themeColor="text1"/>
          <w:sz w:val="24"/>
          <w:szCs w:val="24"/>
        </w:rPr>
        <w:t>23</w:t>
      </w:r>
      <w:r w:rsidRPr="00092862">
        <w:rPr>
          <w:rFonts w:ascii="Times New Roman" w:eastAsia="宋体" w:hAnsi="Times New Roman" w:cs="Times New Roman"/>
          <w:color w:val="000000" w:themeColor="text1"/>
          <w:sz w:val="24"/>
          <w:szCs w:val="24"/>
        </w:rPr>
        <w:t>座站场，其中</w:t>
      </w:r>
      <w:r w:rsidRPr="00092862">
        <w:rPr>
          <w:rFonts w:ascii="Times New Roman" w:eastAsia="宋体" w:hAnsi="Times New Roman" w:cs="Times New Roman"/>
          <w:color w:val="000000" w:themeColor="text1"/>
          <w:sz w:val="24"/>
          <w:szCs w:val="24"/>
        </w:rPr>
        <w:t>17</w:t>
      </w:r>
      <w:r w:rsidRPr="00092862">
        <w:rPr>
          <w:rFonts w:ascii="Times New Roman" w:eastAsia="宋体" w:hAnsi="Times New Roman" w:cs="Times New Roman"/>
          <w:color w:val="000000" w:themeColor="text1"/>
          <w:sz w:val="24"/>
          <w:szCs w:val="24"/>
        </w:rPr>
        <w:t>座集气站，</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座集气总站（位于净化厂内），</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座污水处理站、</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座污水回注站；管网</w:t>
      </w:r>
      <w:r w:rsidRPr="00092862">
        <w:rPr>
          <w:rFonts w:ascii="Times New Roman" w:eastAsia="宋体" w:hAnsi="Times New Roman" w:cs="Times New Roman"/>
          <w:color w:val="000000" w:themeColor="text1"/>
          <w:sz w:val="24"/>
          <w:szCs w:val="24"/>
        </w:rPr>
        <w:t>ESD</w:t>
      </w:r>
      <w:r w:rsidRPr="00092862">
        <w:rPr>
          <w:rFonts w:ascii="Times New Roman" w:eastAsia="宋体" w:hAnsi="Times New Roman" w:cs="Times New Roman"/>
          <w:color w:val="000000" w:themeColor="text1"/>
          <w:sz w:val="24"/>
          <w:szCs w:val="24"/>
        </w:rPr>
        <w:t>阀室</w:t>
      </w:r>
      <w:r w:rsidRPr="00092862">
        <w:rPr>
          <w:rFonts w:ascii="Times New Roman" w:eastAsia="宋体" w:hAnsi="Times New Roman" w:cs="Times New Roman"/>
          <w:color w:val="000000" w:themeColor="text1"/>
          <w:sz w:val="24"/>
          <w:szCs w:val="24"/>
        </w:rPr>
        <w:t>30</w:t>
      </w:r>
      <w:r w:rsidRPr="00092862">
        <w:rPr>
          <w:rFonts w:ascii="Times New Roman" w:eastAsia="宋体" w:hAnsi="Times New Roman" w:cs="Times New Roman"/>
          <w:color w:val="000000" w:themeColor="text1"/>
          <w:sz w:val="24"/>
          <w:szCs w:val="24"/>
        </w:rPr>
        <w:t>座、</w:t>
      </w:r>
      <w:r w:rsidRPr="00092862">
        <w:rPr>
          <w:rFonts w:ascii="Times New Roman" w:eastAsia="宋体" w:hAnsi="Times New Roman" w:cs="Times New Roman"/>
          <w:color w:val="000000" w:themeColor="text1"/>
          <w:sz w:val="24"/>
          <w:szCs w:val="24"/>
        </w:rPr>
        <w:t>ESD</w:t>
      </w:r>
      <w:r w:rsidRPr="00092862">
        <w:rPr>
          <w:rFonts w:ascii="Times New Roman" w:eastAsia="宋体" w:hAnsi="Times New Roman" w:cs="Times New Roman"/>
          <w:color w:val="000000" w:themeColor="text1"/>
          <w:sz w:val="24"/>
          <w:szCs w:val="24"/>
        </w:rPr>
        <w:t>阀</w:t>
      </w:r>
      <w:r w:rsidRPr="00092862">
        <w:rPr>
          <w:rFonts w:ascii="Times New Roman" w:eastAsia="宋体" w:hAnsi="Times New Roman" w:cs="Times New Roman"/>
          <w:color w:val="000000" w:themeColor="text1"/>
          <w:sz w:val="24"/>
          <w:szCs w:val="24"/>
        </w:rPr>
        <w:t>44</w:t>
      </w:r>
      <w:r w:rsidRPr="00092862">
        <w:rPr>
          <w:rFonts w:ascii="Times New Roman" w:eastAsia="宋体" w:hAnsi="Times New Roman" w:cs="Times New Roman"/>
          <w:color w:val="000000" w:themeColor="text1"/>
          <w:sz w:val="24"/>
          <w:szCs w:val="24"/>
        </w:rPr>
        <w:t>套；集气管线路由约</w:t>
      </w:r>
      <w:r w:rsidRPr="00092862">
        <w:rPr>
          <w:rFonts w:ascii="Times New Roman" w:eastAsia="宋体" w:hAnsi="Times New Roman" w:cs="Times New Roman"/>
          <w:color w:val="000000" w:themeColor="text1"/>
          <w:sz w:val="24"/>
          <w:szCs w:val="24"/>
        </w:rPr>
        <w:t>39.73km</w:t>
      </w:r>
      <w:r w:rsidRPr="00092862">
        <w:rPr>
          <w:rFonts w:ascii="Times New Roman" w:eastAsia="宋体" w:hAnsi="Times New Roman" w:cs="Times New Roman"/>
          <w:color w:val="000000" w:themeColor="text1"/>
          <w:sz w:val="24"/>
          <w:szCs w:val="24"/>
        </w:rPr>
        <w:t>；同沟敷设燃料气返输管线</w:t>
      </w:r>
      <w:r w:rsidRPr="00092862">
        <w:rPr>
          <w:rFonts w:ascii="Times New Roman" w:eastAsia="宋体" w:hAnsi="Times New Roman" w:cs="Times New Roman"/>
          <w:color w:val="000000" w:themeColor="text1"/>
          <w:sz w:val="24"/>
          <w:szCs w:val="24"/>
        </w:rPr>
        <w:t>32.19km</w:t>
      </w:r>
      <w:r w:rsidRPr="00092862">
        <w:rPr>
          <w:rFonts w:ascii="Times New Roman" w:eastAsia="宋体" w:hAnsi="Times New Roman" w:cs="Times New Roman"/>
          <w:color w:val="000000" w:themeColor="text1"/>
          <w:sz w:val="24"/>
          <w:szCs w:val="24"/>
        </w:rPr>
        <w:t>；光缆总长度</w:t>
      </w:r>
      <w:r w:rsidRPr="00092862">
        <w:rPr>
          <w:rFonts w:ascii="Times New Roman" w:eastAsia="宋体" w:hAnsi="Times New Roman" w:cs="Times New Roman"/>
          <w:color w:val="000000" w:themeColor="text1"/>
          <w:sz w:val="24"/>
          <w:szCs w:val="24"/>
        </w:rPr>
        <w:t>80km</w:t>
      </w:r>
      <w:r w:rsidRPr="00092862">
        <w:rPr>
          <w:rFonts w:ascii="Times New Roman" w:eastAsia="宋体" w:hAnsi="Times New Roman" w:cs="Times New Roman"/>
          <w:color w:val="000000" w:themeColor="text1"/>
          <w:sz w:val="24"/>
          <w:szCs w:val="24"/>
        </w:rPr>
        <w:t>，其中与集气管线同沟敷设</w:t>
      </w:r>
      <w:r w:rsidRPr="00092862">
        <w:rPr>
          <w:rFonts w:ascii="Times New Roman" w:eastAsia="宋体" w:hAnsi="Times New Roman" w:cs="Times New Roman"/>
          <w:color w:val="000000" w:themeColor="text1"/>
          <w:sz w:val="24"/>
          <w:szCs w:val="24"/>
        </w:rPr>
        <w:t>37km</w:t>
      </w:r>
      <w:r w:rsidRPr="00092862">
        <w:rPr>
          <w:rFonts w:ascii="Times New Roman" w:eastAsia="宋体" w:hAnsi="Times New Roman" w:cs="Times New Roman"/>
          <w:color w:val="000000" w:themeColor="text1"/>
          <w:sz w:val="24"/>
          <w:szCs w:val="24"/>
        </w:rPr>
        <w:t>，与电力线同线路架空</w:t>
      </w:r>
      <w:r w:rsidRPr="00092862">
        <w:rPr>
          <w:rFonts w:ascii="Times New Roman" w:eastAsia="宋体" w:hAnsi="Times New Roman" w:cs="Times New Roman"/>
          <w:color w:val="000000" w:themeColor="text1"/>
          <w:sz w:val="24"/>
          <w:szCs w:val="24"/>
        </w:rPr>
        <w:t>33km</w:t>
      </w:r>
      <w:r w:rsidRPr="00092862">
        <w:rPr>
          <w:rFonts w:ascii="Times New Roman" w:eastAsia="宋体" w:hAnsi="Times New Roman" w:cs="Times New Roman"/>
          <w:color w:val="000000" w:themeColor="text1"/>
          <w:sz w:val="24"/>
          <w:szCs w:val="24"/>
        </w:rPr>
        <w:t>，普通光缆；矿场道路</w:t>
      </w:r>
      <w:r w:rsidRPr="00092862">
        <w:rPr>
          <w:rFonts w:ascii="Times New Roman" w:eastAsia="宋体" w:hAnsi="Times New Roman" w:cs="Times New Roman"/>
          <w:color w:val="000000" w:themeColor="text1"/>
          <w:sz w:val="24"/>
          <w:szCs w:val="24"/>
        </w:rPr>
        <w:t>60.2km</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35kV</w:t>
      </w:r>
      <w:r w:rsidRPr="00092862">
        <w:rPr>
          <w:rFonts w:ascii="Times New Roman" w:eastAsia="宋体" w:hAnsi="Times New Roman" w:cs="Times New Roman"/>
          <w:color w:val="000000" w:themeColor="text1"/>
          <w:sz w:val="24"/>
          <w:szCs w:val="24"/>
        </w:rPr>
        <w:t>电力线路</w:t>
      </w:r>
      <w:r w:rsidRPr="00092862">
        <w:rPr>
          <w:rFonts w:ascii="Times New Roman" w:eastAsia="宋体" w:hAnsi="Times New Roman" w:cs="Times New Roman"/>
          <w:color w:val="000000" w:themeColor="text1"/>
          <w:sz w:val="24"/>
          <w:szCs w:val="24"/>
        </w:rPr>
        <w:t>33km</w:t>
      </w:r>
      <w:r w:rsidRPr="00092862">
        <w:rPr>
          <w:rFonts w:ascii="Times New Roman" w:eastAsia="宋体" w:hAnsi="Times New Roman" w:cs="Times New Roman"/>
          <w:color w:val="000000" w:themeColor="text1"/>
          <w:sz w:val="24"/>
          <w:szCs w:val="24"/>
        </w:rPr>
        <w:t>；山体隧道</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处；大中型河流跨越</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处；大中型冲沟跨越</w:t>
      </w:r>
      <w:r w:rsidRPr="00092862">
        <w:rPr>
          <w:rFonts w:ascii="Times New Roman" w:eastAsia="宋体" w:hAnsi="Times New Roman" w:cs="Times New Roman"/>
          <w:color w:val="000000" w:themeColor="text1"/>
          <w:sz w:val="24"/>
          <w:szCs w:val="24"/>
        </w:rPr>
        <w:t>23</w:t>
      </w:r>
      <w:r w:rsidRPr="00092862">
        <w:rPr>
          <w:rFonts w:ascii="Times New Roman" w:eastAsia="宋体" w:hAnsi="Times New Roman" w:cs="Times New Roman"/>
          <w:color w:val="000000" w:themeColor="text1"/>
          <w:sz w:val="24"/>
          <w:szCs w:val="24"/>
        </w:rPr>
        <w:t>处；冲沟穿越</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处；后巴河穿越</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处；应急计划区域（</w:t>
      </w:r>
      <w:r w:rsidRPr="00092862">
        <w:rPr>
          <w:rFonts w:ascii="Times New Roman" w:eastAsia="宋体" w:hAnsi="Times New Roman" w:cs="Times New Roman"/>
          <w:color w:val="000000" w:themeColor="text1"/>
          <w:sz w:val="24"/>
          <w:szCs w:val="24"/>
        </w:rPr>
        <w:t>EPZ</w:t>
      </w:r>
      <w:r w:rsidRPr="00092862">
        <w:rPr>
          <w:rFonts w:ascii="Times New Roman" w:eastAsia="宋体" w:hAnsi="Times New Roman" w:cs="Times New Roman"/>
          <w:color w:val="000000" w:themeColor="text1"/>
          <w:sz w:val="24"/>
          <w:szCs w:val="24"/>
        </w:rPr>
        <w:t>）范围约</w:t>
      </w:r>
      <w:r w:rsidRPr="00092862">
        <w:rPr>
          <w:rFonts w:ascii="Times New Roman" w:eastAsia="宋体" w:hAnsi="Times New Roman" w:cs="Times New Roman"/>
          <w:color w:val="000000" w:themeColor="text1"/>
          <w:sz w:val="24"/>
          <w:szCs w:val="24"/>
        </w:rPr>
        <w:t>120km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，预警人口约</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万人。其中：</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线设计输量</w:t>
      </w:r>
      <w:r w:rsidRPr="00092862">
        <w:rPr>
          <w:rFonts w:ascii="Times New Roman" w:eastAsia="宋体" w:hAnsi="Times New Roman" w:cs="Times New Roman"/>
          <w:color w:val="000000" w:themeColor="text1"/>
          <w:sz w:val="24"/>
          <w:szCs w:val="24"/>
        </w:rPr>
        <w:t>1110×10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，目前输量</w:t>
      </w:r>
      <w:r w:rsidRPr="00092862">
        <w:rPr>
          <w:rFonts w:ascii="Times New Roman" w:eastAsia="宋体" w:hAnsi="Times New Roman" w:cs="Times New Roman"/>
          <w:color w:val="000000" w:themeColor="text1"/>
          <w:sz w:val="24"/>
          <w:szCs w:val="24"/>
        </w:rPr>
        <w:t>424×10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线设计输量</w:t>
      </w:r>
      <w:r w:rsidRPr="00092862">
        <w:rPr>
          <w:rFonts w:ascii="Times New Roman" w:eastAsia="宋体" w:hAnsi="Times New Roman" w:cs="Times New Roman"/>
          <w:color w:val="000000" w:themeColor="text1"/>
          <w:sz w:val="24"/>
          <w:szCs w:val="24"/>
        </w:rPr>
        <w:t>808×10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，目前输量</w:t>
      </w:r>
      <w:r w:rsidRPr="00092862">
        <w:rPr>
          <w:rFonts w:ascii="Times New Roman" w:eastAsia="宋体" w:hAnsi="Times New Roman" w:cs="Times New Roman"/>
          <w:color w:val="000000" w:themeColor="text1"/>
          <w:sz w:val="24"/>
          <w:szCs w:val="24"/>
        </w:rPr>
        <w:t>409×10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线设计输量</w:t>
      </w:r>
      <w:r w:rsidRPr="00092862">
        <w:rPr>
          <w:rFonts w:ascii="Times New Roman" w:eastAsia="宋体" w:hAnsi="Times New Roman" w:cs="Times New Roman"/>
          <w:color w:val="000000" w:themeColor="text1"/>
          <w:sz w:val="24"/>
          <w:szCs w:val="24"/>
        </w:rPr>
        <w:t>1244×10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；目前输量</w:t>
      </w:r>
      <w:r w:rsidRPr="00092862">
        <w:rPr>
          <w:rFonts w:ascii="Times New Roman" w:eastAsia="宋体" w:hAnsi="Times New Roman" w:cs="Times New Roman"/>
          <w:color w:val="000000" w:themeColor="text1"/>
          <w:sz w:val="24"/>
          <w:szCs w:val="24"/>
        </w:rPr>
        <w:t>648×10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p>
    <w:p w14:paraId="4476A8BC" w14:textId="3E3D94A6" w:rsidR="007402D2" w:rsidRPr="00092862" w:rsidRDefault="003C3238" w:rsidP="007402D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007942F3" w:rsidRPr="00092862">
        <w:rPr>
          <w:rFonts w:ascii="Times New Roman" w:eastAsia="宋体" w:hAnsi="Times New Roman" w:cs="Times New Roman"/>
          <w:color w:val="000000" w:themeColor="text1"/>
          <w:sz w:val="24"/>
          <w:szCs w:val="24"/>
        </w:rPr>
        <w:t>集气站原设计产能为</w:t>
      </w:r>
      <w:r w:rsidR="00797842" w:rsidRPr="00092862">
        <w:rPr>
          <w:rFonts w:ascii="Times New Roman" w:eastAsia="宋体" w:hAnsi="Times New Roman" w:cs="Times New Roman"/>
          <w:color w:val="000000" w:themeColor="text1"/>
          <w:sz w:val="24"/>
          <w:szCs w:val="24"/>
        </w:rPr>
        <w:t>10</w:t>
      </w:r>
      <w:r w:rsidR="007942F3" w:rsidRPr="00092862">
        <w:rPr>
          <w:rFonts w:ascii="Times New Roman" w:eastAsia="宋体" w:hAnsi="Times New Roman" w:cs="Times New Roman"/>
          <w:color w:val="000000" w:themeColor="text1"/>
          <w:sz w:val="24"/>
          <w:szCs w:val="24"/>
        </w:rPr>
        <w:t>0×10</w:t>
      </w:r>
      <w:r w:rsidR="007942F3" w:rsidRPr="00092862">
        <w:rPr>
          <w:rFonts w:ascii="Times New Roman" w:eastAsia="宋体" w:hAnsi="Times New Roman" w:cs="Times New Roman"/>
          <w:color w:val="000000" w:themeColor="text1"/>
          <w:sz w:val="24"/>
          <w:szCs w:val="24"/>
          <w:vertAlign w:val="superscript"/>
        </w:rPr>
        <w:t>4</w:t>
      </w:r>
      <w:r w:rsidR="007942F3" w:rsidRPr="00092862">
        <w:rPr>
          <w:rFonts w:ascii="Times New Roman" w:eastAsia="宋体" w:hAnsi="Times New Roman" w:cs="Times New Roman"/>
          <w:color w:val="000000" w:themeColor="text1"/>
          <w:sz w:val="24"/>
          <w:szCs w:val="24"/>
        </w:rPr>
        <w:t>m</w:t>
      </w:r>
      <w:r w:rsidR="007942F3" w:rsidRPr="00092862">
        <w:rPr>
          <w:rFonts w:ascii="Times New Roman" w:eastAsia="宋体" w:hAnsi="Times New Roman" w:cs="Times New Roman"/>
          <w:color w:val="000000" w:themeColor="text1"/>
          <w:sz w:val="24"/>
          <w:szCs w:val="24"/>
          <w:vertAlign w:val="superscript"/>
        </w:rPr>
        <w:t>3</w:t>
      </w:r>
      <w:r w:rsidR="007942F3" w:rsidRPr="00092862">
        <w:rPr>
          <w:rFonts w:ascii="Times New Roman" w:eastAsia="宋体" w:hAnsi="Times New Roman" w:cs="Times New Roman"/>
          <w:color w:val="000000" w:themeColor="text1"/>
          <w:sz w:val="24"/>
          <w:szCs w:val="24"/>
        </w:rPr>
        <w:t>/d</w:t>
      </w:r>
      <w:r w:rsidR="007942F3" w:rsidRPr="00092862">
        <w:rPr>
          <w:rFonts w:ascii="Times New Roman" w:eastAsia="宋体" w:hAnsi="Times New Roman" w:cs="Times New Roman"/>
          <w:color w:val="000000" w:themeColor="text1"/>
          <w:sz w:val="24"/>
          <w:szCs w:val="24"/>
        </w:rPr>
        <w:t>，本项目</w:t>
      </w:r>
      <w:r w:rsidR="00797842" w:rsidRPr="00092862">
        <w:rPr>
          <w:rFonts w:ascii="Times New Roman" w:eastAsia="宋体" w:hAnsi="Times New Roman" w:cs="Times New Roman"/>
          <w:color w:val="000000" w:themeColor="text1"/>
          <w:sz w:val="24"/>
          <w:szCs w:val="24"/>
        </w:rPr>
        <w:t>2</w:t>
      </w:r>
      <w:r w:rsidR="007942F3" w:rsidRPr="00092862">
        <w:rPr>
          <w:rFonts w:ascii="Times New Roman" w:eastAsia="宋体" w:hAnsi="Times New Roman" w:cs="Times New Roman"/>
          <w:color w:val="000000" w:themeColor="text1"/>
          <w:sz w:val="24"/>
          <w:szCs w:val="24"/>
        </w:rPr>
        <w:t>口井</w:t>
      </w:r>
      <w:r w:rsidR="005C17E9" w:rsidRPr="00092862">
        <w:rPr>
          <w:rFonts w:ascii="Times New Roman" w:eastAsia="宋体" w:hAnsi="Times New Roman" w:cs="Times New Roman"/>
          <w:color w:val="000000" w:themeColor="text1"/>
          <w:sz w:val="24"/>
          <w:szCs w:val="24"/>
        </w:rPr>
        <w:t>井</w:t>
      </w:r>
      <w:r w:rsidR="007942F3" w:rsidRPr="00092862">
        <w:rPr>
          <w:rFonts w:ascii="Times New Roman" w:eastAsia="宋体" w:hAnsi="Times New Roman" w:cs="Times New Roman"/>
          <w:color w:val="000000" w:themeColor="text1"/>
          <w:sz w:val="24"/>
          <w:szCs w:val="24"/>
        </w:rPr>
        <w:t>完工后</w:t>
      </w:r>
      <w:r w:rsidR="00797842" w:rsidRPr="00092862">
        <w:rPr>
          <w:rFonts w:ascii="Times New Roman" w:eastAsia="宋体" w:hAnsi="Times New Roman" w:cs="Times New Roman"/>
          <w:color w:val="000000" w:themeColor="text1"/>
          <w:sz w:val="24"/>
          <w:szCs w:val="24"/>
        </w:rPr>
        <w:t>，包括前期已建的</w:t>
      </w:r>
      <w:r w:rsidR="00797842" w:rsidRPr="00092862">
        <w:rPr>
          <w:rFonts w:ascii="Times New Roman" w:eastAsia="宋体" w:hAnsi="Times New Roman" w:cs="Times New Roman"/>
          <w:color w:val="000000" w:themeColor="text1"/>
          <w:sz w:val="24"/>
          <w:szCs w:val="24"/>
        </w:rPr>
        <w:t>L701-3H</w:t>
      </w:r>
      <w:r w:rsidR="00797842" w:rsidRPr="00092862">
        <w:rPr>
          <w:rFonts w:ascii="Times New Roman" w:eastAsia="宋体" w:hAnsi="Times New Roman" w:cs="Times New Roman"/>
          <w:color w:val="000000" w:themeColor="text1"/>
          <w:sz w:val="24"/>
          <w:szCs w:val="24"/>
        </w:rPr>
        <w:t>井，</w:t>
      </w:r>
      <w:r w:rsidR="00EC70BF" w:rsidRPr="00092862">
        <w:rPr>
          <w:rFonts w:ascii="Times New Roman" w:eastAsia="宋体" w:hAnsi="Times New Roman" w:cs="Times New Roman"/>
          <w:color w:val="000000" w:themeColor="text1"/>
          <w:sz w:val="24"/>
          <w:szCs w:val="24"/>
        </w:rPr>
        <w:t>2</w:t>
      </w:r>
      <w:r w:rsidR="00EC70BF" w:rsidRPr="00092862">
        <w:rPr>
          <w:rFonts w:ascii="Times New Roman" w:eastAsia="宋体" w:hAnsi="Times New Roman" w:cs="Times New Roman"/>
          <w:color w:val="000000" w:themeColor="text1"/>
          <w:sz w:val="24"/>
          <w:szCs w:val="24"/>
        </w:rPr>
        <w:t>口井</w:t>
      </w:r>
      <w:r w:rsidR="00797842" w:rsidRPr="00092862">
        <w:rPr>
          <w:rFonts w:ascii="Times New Roman" w:eastAsia="宋体" w:hAnsi="Times New Roman" w:cs="Times New Roman"/>
          <w:color w:val="000000" w:themeColor="text1"/>
          <w:sz w:val="24"/>
          <w:szCs w:val="24"/>
        </w:rPr>
        <w:t>共计</w:t>
      </w:r>
      <w:r w:rsidR="007942F3" w:rsidRPr="00092862">
        <w:rPr>
          <w:rFonts w:ascii="Times New Roman" w:eastAsia="宋体" w:hAnsi="Times New Roman" w:cs="Times New Roman"/>
          <w:color w:val="000000" w:themeColor="text1"/>
          <w:sz w:val="24"/>
          <w:szCs w:val="24"/>
        </w:rPr>
        <w:t>试采期预计开采天然气量为</w:t>
      </w:r>
      <w:r w:rsidR="00797842" w:rsidRPr="00092862">
        <w:rPr>
          <w:rFonts w:ascii="Times New Roman" w:eastAsia="宋体" w:hAnsi="Times New Roman" w:cs="Times New Roman"/>
          <w:color w:val="000000" w:themeColor="text1"/>
          <w:sz w:val="24"/>
          <w:szCs w:val="24"/>
        </w:rPr>
        <w:t>75</w:t>
      </w:r>
      <w:r w:rsidR="007942F3" w:rsidRPr="00092862">
        <w:rPr>
          <w:rFonts w:ascii="Times New Roman" w:eastAsia="宋体" w:hAnsi="Times New Roman" w:cs="Times New Roman"/>
          <w:color w:val="000000" w:themeColor="text1"/>
          <w:sz w:val="24"/>
          <w:szCs w:val="24"/>
        </w:rPr>
        <w:t>×10</w:t>
      </w:r>
      <w:r w:rsidR="007942F3" w:rsidRPr="00092862">
        <w:rPr>
          <w:rFonts w:ascii="Times New Roman" w:eastAsia="宋体" w:hAnsi="Times New Roman" w:cs="Times New Roman"/>
          <w:color w:val="000000" w:themeColor="text1"/>
          <w:sz w:val="24"/>
          <w:szCs w:val="24"/>
          <w:vertAlign w:val="superscript"/>
        </w:rPr>
        <w:t>4</w:t>
      </w:r>
      <w:r w:rsidR="007942F3" w:rsidRPr="00092862">
        <w:rPr>
          <w:rFonts w:ascii="Times New Roman" w:eastAsia="宋体" w:hAnsi="Times New Roman" w:cs="Times New Roman"/>
          <w:color w:val="000000" w:themeColor="text1"/>
          <w:sz w:val="24"/>
          <w:szCs w:val="24"/>
        </w:rPr>
        <w:t>m</w:t>
      </w:r>
      <w:r w:rsidR="007942F3" w:rsidRPr="00092862">
        <w:rPr>
          <w:rFonts w:ascii="Times New Roman" w:eastAsia="宋体" w:hAnsi="Times New Roman" w:cs="Times New Roman"/>
          <w:color w:val="000000" w:themeColor="text1"/>
          <w:sz w:val="24"/>
          <w:szCs w:val="24"/>
          <w:vertAlign w:val="superscript"/>
        </w:rPr>
        <w:t>3</w:t>
      </w:r>
      <w:r w:rsidR="007942F3" w:rsidRPr="00092862">
        <w:rPr>
          <w:rFonts w:ascii="Times New Roman" w:eastAsia="宋体" w:hAnsi="Times New Roman" w:cs="Times New Roman"/>
          <w:color w:val="000000" w:themeColor="text1"/>
          <w:sz w:val="24"/>
          <w:szCs w:val="24"/>
        </w:rPr>
        <w:t>/d</w:t>
      </w:r>
      <w:r w:rsidR="007942F3"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007942F3" w:rsidRPr="00092862">
        <w:rPr>
          <w:rFonts w:ascii="Times New Roman" w:eastAsia="宋体" w:hAnsi="Times New Roman" w:cs="Times New Roman"/>
          <w:color w:val="000000" w:themeColor="text1"/>
          <w:sz w:val="24"/>
          <w:szCs w:val="24"/>
        </w:rPr>
        <w:t>集气站天然气外输进入</w:t>
      </w:r>
      <w:r w:rsidR="00797842" w:rsidRPr="00092862">
        <w:rPr>
          <w:rFonts w:ascii="Times New Roman" w:eastAsia="宋体" w:hAnsi="Times New Roman" w:cs="Times New Roman"/>
          <w:color w:val="000000" w:themeColor="text1"/>
          <w:sz w:val="24"/>
          <w:szCs w:val="24"/>
        </w:rPr>
        <w:t>3</w:t>
      </w:r>
      <w:r w:rsidR="007942F3" w:rsidRPr="00092862">
        <w:rPr>
          <w:rFonts w:ascii="Times New Roman" w:eastAsia="宋体" w:hAnsi="Times New Roman" w:cs="Times New Roman"/>
          <w:color w:val="000000" w:themeColor="text1"/>
          <w:sz w:val="24"/>
          <w:szCs w:val="24"/>
        </w:rPr>
        <w:t>#</w:t>
      </w:r>
      <w:r w:rsidR="007942F3" w:rsidRPr="00092862">
        <w:rPr>
          <w:rFonts w:ascii="Times New Roman" w:eastAsia="宋体" w:hAnsi="Times New Roman" w:cs="Times New Roman"/>
          <w:color w:val="000000" w:themeColor="text1"/>
          <w:sz w:val="24"/>
          <w:szCs w:val="24"/>
        </w:rPr>
        <w:t>线，现状仍有</w:t>
      </w:r>
      <w:r w:rsidR="007942F3" w:rsidRPr="00092862">
        <w:rPr>
          <w:rFonts w:ascii="Times New Roman" w:eastAsia="宋体" w:hAnsi="Times New Roman" w:cs="Times New Roman"/>
          <w:color w:val="000000" w:themeColor="text1"/>
          <w:sz w:val="24"/>
          <w:szCs w:val="24"/>
        </w:rPr>
        <w:t>6</w:t>
      </w:r>
      <w:r w:rsidR="00797842" w:rsidRPr="00092862">
        <w:rPr>
          <w:rFonts w:ascii="Times New Roman" w:eastAsia="宋体" w:hAnsi="Times New Roman" w:cs="Times New Roman"/>
          <w:color w:val="000000" w:themeColor="text1"/>
          <w:sz w:val="24"/>
          <w:szCs w:val="24"/>
        </w:rPr>
        <w:t>48</w:t>
      </w:r>
      <w:r w:rsidR="007942F3" w:rsidRPr="00092862">
        <w:rPr>
          <w:rFonts w:ascii="Times New Roman" w:eastAsia="宋体" w:hAnsi="Times New Roman" w:cs="Times New Roman"/>
          <w:color w:val="000000" w:themeColor="text1"/>
          <w:sz w:val="24"/>
          <w:szCs w:val="24"/>
        </w:rPr>
        <w:t>×10</w:t>
      </w:r>
      <w:r w:rsidR="007942F3" w:rsidRPr="00092862">
        <w:rPr>
          <w:rFonts w:ascii="Times New Roman" w:eastAsia="宋体" w:hAnsi="Times New Roman" w:cs="Times New Roman"/>
          <w:color w:val="000000" w:themeColor="text1"/>
          <w:sz w:val="24"/>
          <w:szCs w:val="24"/>
          <w:vertAlign w:val="superscript"/>
        </w:rPr>
        <w:t>4</w:t>
      </w:r>
      <w:r w:rsidR="007942F3" w:rsidRPr="00092862">
        <w:rPr>
          <w:rFonts w:ascii="Times New Roman" w:eastAsia="宋体" w:hAnsi="Times New Roman" w:cs="Times New Roman"/>
          <w:color w:val="000000" w:themeColor="text1"/>
          <w:sz w:val="24"/>
          <w:szCs w:val="24"/>
        </w:rPr>
        <w:t>m</w:t>
      </w:r>
      <w:r w:rsidR="007942F3" w:rsidRPr="00092862">
        <w:rPr>
          <w:rFonts w:ascii="Times New Roman" w:eastAsia="宋体" w:hAnsi="Times New Roman" w:cs="Times New Roman"/>
          <w:color w:val="000000" w:themeColor="text1"/>
          <w:sz w:val="24"/>
          <w:szCs w:val="24"/>
          <w:vertAlign w:val="superscript"/>
        </w:rPr>
        <w:t>3</w:t>
      </w:r>
      <w:r w:rsidR="007942F3" w:rsidRPr="00092862">
        <w:rPr>
          <w:rFonts w:ascii="Times New Roman" w:eastAsia="宋体" w:hAnsi="Times New Roman" w:cs="Times New Roman"/>
          <w:color w:val="000000" w:themeColor="text1"/>
          <w:sz w:val="24"/>
          <w:szCs w:val="24"/>
        </w:rPr>
        <w:t>/d</w:t>
      </w:r>
      <w:r w:rsidR="007942F3" w:rsidRPr="00092862">
        <w:rPr>
          <w:rFonts w:ascii="Times New Roman" w:eastAsia="宋体" w:hAnsi="Times New Roman" w:cs="Times New Roman"/>
          <w:color w:val="000000" w:themeColor="text1"/>
          <w:sz w:val="24"/>
          <w:szCs w:val="24"/>
        </w:rPr>
        <w:t>的剩余输气能力，因此本项目可依托其外输。</w:t>
      </w:r>
    </w:p>
    <w:p w14:paraId="443A18F0" w14:textId="0461D3CC" w:rsidR="007402D2" w:rsidRPr="00092862" w:rsidRDefault="007942F3" w:rsidP="007942F3">
      <w:pPr>
        <w:adjustRightInd w:val="0"/>
        <w:snapToGrid w:val="0"/>
        <w:spacing w:line="360" w:lineRule="auto"/>
        <w:jc w:val="center"/>
        <w:rPr>
          <w:rFonts w:ascii="Times New Roman" w:hAnsi="Times New Roman" w:cs="Times New Roman"/>
          <w:color w:val="000000" w:themeColor="text1"/>
          <w:sz w:val="24"/>
          <w:szCs w:val="24"/>
        </w:rPr>
      </w:pPr>
      <w:r w:rsidRPr="00092862">
        <w:rPr>
          <w:rFonts w:ascii="Times New Roman" w:hAnsi="Times New Roman" w:cs="Times New Roman"/>
          <w:noProof/>
          <w:color w:val="000000" w:themeColor="text1"/>
        </w:rPr>
        <w:drawing>
          <wp:inline distT="0" distB="0" distL="0" distR="0" wp14:anchorId="3806DCDA" wp14:editId="0C622400">
            <wp:extent cx="3990109" cy="2346529"/>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95337" cy="2349603"/>
                    </a:xfrm>
                    <a:prstGeom prst="rect">
                      <a:avLst/>
                    </a:prstGeom>
                  </pic:spPr>
                </pic:pic>
              </a:graphicData>
            </a:graphic>
          </wp:inline>
        </w:drawing>
      </w:r>
    </w:p>
    <w:p w14:paraId="17166F60" w14:textId="24C0FBC2" w:rsidR="007402D2" w:rsidRPr="00092862" w:rsidRDefault="007942F3" w:rsidP="00F96410">
      <w:pPr>
        <w:pStyle w:val="ac"/>
        <w:tabs>
          <w:tab w:val="left" w:pos="3864"/>
        </w:tabs>
        <w:adjustRightInd w:val="0"/>
        <w:snapToGrid w:val="0"/>
        <w:spacing w:before="0"/>
        <w:ind w:left="0"/>
        <w:jc w:val="center"/>
        <w:rPr>
          <w:rFonts w:ascii="Times New Roman" w:hAnsi="Times New Roman"/>
          <w:color w:val="000000" w:themeColor="text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3.1-</w:t>
      </w:r>
      <w:r w:rsidR="00F96410"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 </w:t>
      </w:r>
      <w:r w:rsidR="00F96410" w:rsidRPr="00092862">
        <w:rPr>
          <w:rFonts w:ascii="Times New Roman" w:eastAsia="黑体" w:hAnsi="Times New Roman"/>
          <w:color w:val="000000" w:themeColor="text1"/>
          <w:sz w:val="21"/>
          <w:szCs w:val="21"/>
          <w:lang w:eastAsia="zh-CN"/>
        </w:rPr>
        <w:t>普光气田管网</w:t>
      </w:r>
      <w:r w:rsidRPr="00092862">
        <w:rPr>
          <w:rFonts w:ascii="Times New Roman" w:eastAsia="黑体" w:hAnsi="Times New Roman"/>
          <w:color w:val="000000" w:themeColor="text1"/>
          <w:sz w:val="21"/>
          <w:szCs w:val="21"/>
          <w:lang w:eastAsia="zh-CN"/>
        </w:rPr>
        <w:t>图</w:t>
      </w:r>
    </w:p>
    <w:p w14:paraId="13CB1AD0" w14:textId="77777777" w:rsidR="00DC446C" w:rsidRPr="00092862" w:rsidRDefault="003B1968" w:rsidP="003D2EEB">
      <w:pPr>
        <w:pStyle w:val="2"/>
        <w:ind w:firstLine="480"/>
        <w:rPr>
          <w:color w:val="000000" w:themeColor="text1"/>
          <w:szCs w:val="24"/>
          <w:lang w:eastAsia="zh-CN"/>
        </w:rPr>
      </w:pPr>
      <w:bookmarkStart w:id="87" w:name="_Toc123682532"/>
      <w:r w:rsidRPr="00092862">
        <w:rPr>
          <w:color w:val="000000" w:themeColor="text1"/>
          <w:szCs w:val="24"/>
          <w:lang w:eastAsia="zh-CN"/>
        </w:rPr>
        <w:t>3.2</w:t>
      </w:r>
      <w:r w:rsidRPr="00092862">
        <w:rPr>
          <w:color w:val="000000" w:themeColor="text1"/>
          <w:szCs w:val="24"/>
          <w:lang w:eastAsia="zh-CN"/>
        </w:rPr>
        <w:t>项目概况</w:t>
      </w:r>
      <w:bookmarkEnd w:id="87"/>
    </w:p>
    <w:p w14:paraId="71D065A4"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88" w:name="_Toc120173099"/>
      <w:r w:rsidRPr="00092862">
        <w:rPr>
          <w:rFonts w:ascii="Times New Roman" w:eastAsia="黑体" w:hAnsi="Times New Roman"/>
          <w:b w:val="0"/>
          <w:color w:val="000000" w:themeColor="text1"/>
          <w:sz w:val="24"/>
          <w:szCs w:val="24"/>
          <w:lang w:eastAsia="zh-CN"/>
        </w:rPr>
        <w:t>3.2.1</w:t>
      </w:r>
      <w:r w:rsidRPr="00092862">
        <w:rPr>
          <w:rFonts w:ascii="Times New Roman" w:eastAsia="黑体" w:hAnsi="Times New Roman"/>
          <w:b w:val="0"/>
          <w:color w:val="000000" w:themeColor="text1"/>
          <w:sz w:val="24"/>
          <w:szCs w:val="24"/>
          <w:lang w:eastAsia="zh-CN"/>
        </w:rPr>
        <w:t>建设项目基本情况</w:t>
      </w:r>
      <w:bookmarkEnd w:id="88"/>
    </w:p>
    <w:p w14:paraId="62D83ABD" w14:textId="7FDFD5B2"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项目名称：</w:t>
      </w:r>
      <w:r w:rsidR="00215953" w:rsidRPr="00092862">
        <w:rPr>
          <w:rFonts w:ascii="Times New Roman" w:eastAsia="宋体" w:hAnsi="Times New Roman" w:cs="Times New Roman"/>
          <w:bCs/>
          <w:color w:val="000000" w:themeColor="text1"/>
          <w:sz w:val="24"/>
          <w:szCs w:val="24"/>
        </w:rPr>
        <w:t>老君</w:t>
      </w:r>
      <w:r w:rsidR="00215953" w:rsidRPr="00092862">
        <w:rPr>
          <w:rFonts w:ascii="Times New Roman" w:eastAsia="宋体" w:hAnsi="Times New Roman" w:cs="Times New Roman"/>
          <w:bCs/>
          <w:color w:val="000000" w:themeColor="text1"/>
          <w:sz w:val="24"/>
          <w:szCs w:val="24"/>
        </w:rPr>
        <w:t>7011</w:t>
      </w:r>
      <w:r w:rsidR="00215953" w:rsidRPr="00092862">
        <w:rPr>
          <w:rFonts w:ascii="Times New Roman" w:eastAsia="宋体" w:hAnsi="Times New Roman" w:cs="Times New Roman"/>
          <w:bCs/>
          <w:color w:val="000000" w:themeColor="text1"/>
          <w:sz w:val="24"/>
          <w:szCs w:val="24"/>
        </w:rPr>
        <w:t>井台钻井及试采工程</w:t>
      </w:r>
      <w:r w:rsidRPr="00092862">
        <w:rPr>
          <w:rFonts w:ascii="Times New Roman" w:eastAsia="宋体" w:hAnsi="Times New Roman" w:cs="Times New Roman"/>
          <w:bCs/>
          <w:color w:val="000000" w:themeColor="text1"/>
          <w:sz w:val="24"/>
          <w:szCs w:val="24"/>
        </w:rPr>
        <w:t>；</w:t>
      </w:r>
    </w:p>
    <w:p w14:paraId="1C524FBC" w14:textId="67AA7970"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建设单位：</w:t>
      </w:r>
      <w:r w:rsidR="003B412F" w:rsidRPr="00092862">
        <w:rPr>
          <w:rFonts w:ascii="Times New Roman" w:eastAsia="宋体" w:hAnsi="Times New Roman" w:cs="Times New Roman"/>
          <w:bCs/>
          <w:color w:val="000000" w:themeColor="text1"/>
          <w:sz w:val="24"/>
          <w:szCs w:val="24"/>
        </w:rPr>
        <w:t>中国石油化工股份有限公司中原油田普光分公司</w:t>
      </w:r>
      <w:r w:rsidRPr="00092862">
        <w:rPr>
          <w:rFonts w:ascii="Times New Roman" w:eastAsia="宋体" w:hAnsi="Times New Roman" w:cs="Times New Roman"/>
          <w:bCs/>
          <w:color w:val="000000" w:themeColor="text1"/>
          <w:sz w:val="24"/>
          <w:szCs w:val="24"/>
        </w:rPr>
        <w:t>；</w:t>
      </w:r>
    </w:p>
    <w:p w14:paraId="1CC9A86E" w14:textId="19748B1E" w:rsidR="00DC446C" w:rsidRPr="00092862" w:rsidRDefault="003B1968" w:rsidP="003D2EEB">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建设性质：</w:t>
      </w:r>
      <w:r w:rsidR="003B412F" w:rsidRPr="00092862">
        <w:rPr>
          <w:rFonts w:ascii="Times New Roman" w:eastAsia="宋体" w:hAnsi="Times New Roman" w:cs="Times New Roman"/>
          <w:bCs/>
          <w:color w:val="000000" w:themeColor="text1"/>
          <w:sz w:val="24"/>
          <w:szCs w:val="24"/>
        </w:rPr>
        <w:t>改扩建</w:t>
      </w:r>
      <w:r w:rsidRPr="00092862">
        <w:rPr>
          <w:rFonts w:ascii="Times New Roman" w:eastAsia="宋体" w:hAnsi="Times New Roman" w:cs="Times New Roman"/>
          <w:bCs/>
          <w:color w:val="000000" w:themeColor="text1"/>
          <w:sz w:val="24"/>
          <w:szCs w:val="24"/>
        </w:rPr>
        <w:t>；</w:t>
      </w:r>
    </w:p>
    <w:p w14:paraId="7F4F4239" w14:textId="5CC2CE7E" w:rsidR="00C716C7" w:rsidRPr="00092862" w:rsidRDefault="003B1968" w:rsidP="00C716C7">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建设地点：</w:t>
      </w:r>
      <w:r w:rsidR="00BD26E4" w:rsidRPr="00092862">
        <w:rPr>
          <w:rFonts w:ascii="Times New Roman" w:eastAsia="宋体" w:hAnsi="Times New Roman" w:cs="Times New Roman"/>
          <w:bCs/>
          <w:color w:val="000000" w:themeColor="text1"/>
          <w:sz w:val="24"/>
          <w:szCs w:val="24"/>
        </w:rPr>
        <w:t>宣汉县</w:t>
      </w:r>
      <w:r w:rsidR="00215953" w:rsidRPr="00092862">
        <w:rPr>
          <w:rFonts w:ascii="Times New Roman" w:eastAsia="宋体" w:hAnsi="Times New Roman" w:cs="Times New Roman"/>
          <w:bCs/>
          <w:color w:val="000000" w:themeColor="text1"/>
          <w:sz w:val="24"/>
          <w:szCs w:val="24"/>
        </w:rPr>
        <w:t>老君乡古楼村</w:t>
      </w:r>
      <w:r w:rsidRPr="00092862">
        <w:rPr>
          <w:rFonts w:ascii="Times New Roman" w:eastAsia="宋体" w:hAnsi="Times New Roman" w:cs="Times New Roman"/>
          <w:bCs/>
          <w:color w:val="000000" w:themeColor="text1"/>
          <w:sz w:val="24"/>
          <w:szCs w:val="24"/>
        </w:rPr>
        <w:t>；</w:t>
      </w:r>
    </w:p>
    <w:p w14:paraId="1EAC82BD" w14:textId="25063BA4" w:rsidR="00C716C7" w:rsidRPr="00092862" w:rsidRDefault="00C716C7" w:rsidP="00C716C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建设规模：项目投产后采气规模单井</w:t>
      </w:r>
      <w:r w:rsidR="006250BC" w:rsidRPr="00092862">
        <w:rPr>
          <w:rFonts w:ascii="Times New Roman" w:eastAsia="宋体" w:hAnsi="Times New Roman" w:cs="Times New Roman"/>
          <w:color w:val="000000" w:themeColor="text1"/>
          <w:sz w:val="24"/>
          <w:szCs w:val="24"/>
        </w:rPr>
        <w:t>最大</w:t>
      </w:r>
      <w:r w:rsidR="00A80D37" w:rsidRPr="00092862">
        <w:rPr>
          <w:rFonts w:ascii="Times New Roman" w:eastAsia="宋体" w:hAnsi="Times New Roman" w:cs="Times New Roman"/>
          <w:color w:val="000000" w:themeColor="text1"/>
          <w:sz w:val="24"/>
          <w:szCs w:val="24"/>
        </w:rPr>
        <w:t>20</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00826F01" w:rsidRPr="00092862">
        <w:rPr>
          <w:rFonts w:ascii="Times New Roman" w:eastAsia="宋体" w:hAnsi="Times New Roman" w:cs="Times New Roman"/>
          <w:color w:val="000000" w:themeColor="text1"/>
          <w:sz w:val="24"/>
          <w:szCs w:val="24"/>
        </w:rPr>
        <w:t>，</w:t>
      </w:r>
      <w:r w:rsidR="00826F01" w:rsidRPr="00092862">
        <w:rPr>
          <w:rFonts w:ascii="Times New Roman" w:eastAsia="宋体" w:hAnsi="Times New Roman" w:cs="Times New Roman"/>
          <w:color w:val="000000" w:themeColor="text1"/>
          <w:sz w:val="24"/>
          <w:szCs w:val="24"/>
        </w:rPr>
        <w:t>2</w:t>
      </w:r>
      <w:r w:rsidR="00826F01" w:rsidRPr="00092862">
        <w:rPr>
          <w:rFonts w:ascii="Times New Roman" w:eastAsia="宋体" w:hAnsi="Times New Roman" w:cs="Times New Roman"/>
          <w:color w:val="000000" w:themeColor="text1"/>
          <w:sz w:val="24"/>
          <w:szCs w:val="24"/>
        </w:rPr>
        <w:t>口井共计</w:t>
      </w:r>
      <w:r w:rsidR="00826F01" w:rsidRPr="00092862">
        <w:rPr>
          <w:rFonts w:ascii="Times New Roman" w:eastAsia="宋体" w:hAnsi="Times New Roman" w:cs="Times New Roman"/>
          <w:color w:val="000000" w:themeColor="text1"/>
          <w:sz w:val="24"/>
          <w:szCs w:val="24"/>
        </w:rPr>
        <w:t>40×10</w:t>
      </w:r>
      <w:r w:rsidR="00826F01" w:rsidRPr="00092862">
        <w:rPr>
          <w:rFonts w:ascii="Times New Roman" w:eastAsia="宋体" w:hAnsi="Times New Roman" w:cs="Times New Roman"/>
          <w:color w:val="000000" w:themeColor="text1"/>
          <w:sz w:val="24"/>
          <w:szCs w:val="24"/>
          <w:vertAlign w:val="superscript"/>
        </w:rPr>
        <w:t>4</w:t>
      </w:r>
      <w:r w:rsidR="00826F01" w:rsidRPr="00092862">
        <w:rPr>
          <w:rFonts w:ascii="Times New Roman" w:eastAsia="宋体" w:hAnsi="Times New Roman" w:cs="Times New Roman"/>
          <w:color w:val="000000" w:themeColor="text1"/>
          <w:sz w:val="24"/>
          <w:szCs w:val="24"/>
        </w:rPr>
        <w:t>m</w:t>
      </w:r>
      <w:r w:rsidR="00826F01" w:rsidRPr="00092862">
        <w:rPr>
          <w:rFonts w:ascii="Times New Roman" w:eastAsia="宋体" w:hAnsi="Times New Roman" w:cs="Times New Roman"/>
          <w:color w:val="000000" w:themeColor="text1"/>
          <w:sz w:val="24"/>
          <w:szCs w:val="24"/>
          <w:vertAlign w:val="superscript"/>
        </w:rPr>
        <w:t>3</w:t>
      </w:r>
      <w:r w:rsidR="00826F01"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p>
    <w:p w14:paraId="5B205437" w14:textId="011FECBA" w:rsidR="00C716C7" w:rsidRPr="00092862" w:rsidRDefault="00C716C7" w:rsidP="00C716C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项目投资：</w:t>
      </w:r>
      <w:r w:rsidR="007A02DD">
        <w:rPr>
          <w:rFonts w:ascii="Times New Roman" w:eastAsia="宋体" w:hAnsi="Times New Roman" w:cs="Times New Roman"/>
          <w:color w:val="000000" w:themeColor="text1"/>
          <w:sz w:val="24"/>
          <w:szCs w:val="24"/>
        </w:rPr>
        <w:t>****</w:t>
      </w:r>
      <w:r w:rsidR="00AE4A7F" w:rsidRPr="00092862">
        <w:rPr>
          <w:rFonts w:ascii="Times New Roman" w:eastAsia="宋体" w:hAnsi="Times New Roman" w:cs="Times New Roman"/>
          <w:color w:val="000000" w:themeColor="text1"/>
          <w:sz w:val="24"/>
          <w:szCs w:val="24"/>
        </w:rPr>
        <w:t>万元</w:t>
      </w:r>
      <w:r w:rsidRPr="00092862">
        <w:rPr>
          <w:rFonts w:ascii="Times New Roman" w:eastAsia="宋体" w:hAnsi="Times New Roman" w:cs="Times New Roman"/>
          <w:color w:val="000000" w:themeColor="text1"/>
          <w:sz w:val="24"/>
          <w:szCs w:val="24"/>
        </w:rPr>
        <w:t>；</w:t>
      </w:r>
    </w:p>
    <w:p w14:paraId="4D60CEEB" w14:textId="081027DB" w:rsidR="00B72EC7" w:rsidRPr="00092862" w:rsidRDefault="00B72EC7" w:rsidP="00B72EC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构造位置：</w:t>
      </w:r>
      <w:r w:rsidR="00A80D37" w:rsidRPr="00092862">
        <w:rPr>
          <w:rFonts w:ascii="Times New Roman" w:eastAsia="宋体" w:hAnsi="Times New Roman" w:cs="Times New Roman"/>
          <w:color w:val="000000" w:themeColor="text1"/>
          <w:sz w:val="24"/>
          <w:szCs w:val="24"/>
        </w:rPr>
        <w:t>四川盆地川东断褶带黄</w:t>
      </w:r>
      <w:r w:rsidR="007A02DD">
        <w:rPr>
          <w:rFonts w:ascii="Times New Roman" w:eastAsia="宋体" w:hAnsi="Times New Roman" w:cs="Times New Roman"/>
          <w:color w:val="000000" w:themeColor="text1"/>
          <w:sz w:val="24"/>
          <w:szCs w:val="24"/>
        </w:rPr>
        <w:t>****</w:t>
      </w:r>
      <w:r w:rsidR="00A80D37" w:rsidRPr="00092862">
        <w:rPr>
          <w:rFonts w:ascii="Times New Roman" w:eastAsia="宋体" w:hAnsi="Times New Roman" w:cs="Times New Roman"/>
          <w:color w:val="000000" w:themeColor="text1"/>
          <w:sz w:val="24"/>
          <w:szCs w:val="24"/>
        </w:rPr>
        <w:t>带</w:t>
      </w:r>
      <w:r w:rsidRPr="00092862">
        <w:rPr>
          <w:rFonts w:ascii="Times New Roman" w:eastAsia="宋体" w:hAnsi="Times New Roman" w:cs="Times New Roman"/>
          <w:color w:val="000000" w:themeColor="text1"/>
          <w:sz w:val="24"/>
          <w:szCs w:val="24"/>
        </w:rPr>
        <w:t>；</w:t>
      </w:r>
    </w:p>
    <w:p w14:paraId="0B05FED3" w14:textId="5959769F" w:rsidR="00B72EC7" w:rsidRPr="00092862" w:rsidRDefault="00B72EC7" w:rsidP="00B72EC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井型：</w:t>
      </w:r>
      <w:r w:rsidR="005C17E9" w:rsidRPr="00092862">
        <w:rPr>
          <w:rFonts w:ascii="Times New Roman" w:eastAsia="宋体" w:hAnsi="Times New Roman" w:cs="Times New Roman"/>
          <w:color w:val="000000" w:themeColor="text1"/>
          <w:sz w:val="24"/>
          <w:szCs w:val="24"/>
        </w:rPr>
        <w:t>井</w:t>
      </w:r>
      <w:r w:rsidRPr="00092862">
        <w:rPr>
          <w:rFonts w:ascii="Times New Roman" w:eastAsia="宋体" w:hAnsi="Times New Roman" w:cs="Times New Roman"/>
          <w:color w:val="000000" w:themeColor="text1"/>
          <w:sz w:val="24"/>
          <w:szCs w:val="24"/>
        </w:rPr>
        <w:t>；</w:t>
      </w:r>
    </w:p>
    <w:p w14:paraId="000D9E20" w14:textId="04A26500" w:rsidR="00B72EC7" w:rsidRPr="00092862" w:rsidRDefault="00B72EC7" w:rsidP="00B72EC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目的层位：</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p>
    <w:p w14:paraId="2577F151" w14:textId="347D2CB3" w:rsidR="00B72EC7" w:rsidRPr="00092862" w:rsidRDefault="00B72EC7" w:rsidP="009F2FB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89" w:name="_Hlk97284111"/>
      <w:r w:rsidRPr="00092862">
        <w:rPr>
          <w:rFonts w:ascii="Times New Roman" w:eastAsia="宋体" w:hAnsi="Times New Roman" w:cs="Times New Roman"/>
          <w:color w:val="000000" w:themeColor="text1"/>
          <w:sz w:val="24"/>
          <w:szCs w:val="24"/>
        </w:rPr>
        <w:t>完钻层</w:t>
      </w:r>
      <w:bookmarkEnd w:id="89"/>
      <w:r w:rsidRPr="00092862">
        <w:rPr>
          <w:rFonts w:ascii="Times New Roman" w:eastAsia="宋体" w:hAnsi="Times New Roman" w:cs="Times New Roman"/>
          <w:color w:val="000000" w:themeColor="text1"/>
          <w:sz w:val="24"/>
          <w:szCs w:val="24"/>
        </w:rPr>
        <w:t>位：</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p>
    <w:p w14:paraId="24FA6265" w14:textId="7F1954E3" w:rsidR="00B72EC7" w:rsidRPr="00092862" w:rsidRDefault="00B72EC7" w:rsidP="009F2FB7">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完井方式：套管完井；</w:t>
      </w:r>
    </w:p>
    <w:p w14:paraId="4F538A79" w14:textId="77777777" w:rsidR="00AE4A7F" w:rsidRPr="00092862" w:rsidRDefault="003B412F" w:rsidP="00813B2A">
      <w:pPr>
        <w:adjustRightInd w:val="0"/>
        <w:snapToGrid w:val="0"/>
        <w:spacing w:line="360" w:lineRule="auto"/>
        <w:ind w:firstLine="200"/>
        <w:rPr>
          <w:rFonts w:ascii="Times New Roman" w:eastAsia="宋体" w:hAnsi="Times New Roman" w:cs="Times New Roman"/>
          <w:b/>
          <w:color w:val="000000" w:themeColor="text1"/>
          <w:sz w:val="24"/>
          <w:szCs w:val="24"/>
        </w:rPr>
      </w:pPr>
      <w:r w:rsidRPr="00092862">
        <w:rPr>
          <w:rFonts w:ascii="Times New Roman" w:eastAsia="宋体" w:hAnsi="Times New Roman" w:cs="Times New Roman"/>
          <w:color w:val="000000" w:themeColor="text1"/>
          <w:sz w:val="24"/>
          <w:szCs w:val="24"/>
        </w:rPr>
        <w:t>项目基本情况：建设内容包括</w:t>
      </w:r>
      <w:r w:rsidR="00742E1A" w:rsidRPr="00092862">
        <w:rPr>
          <w:rFonts w:ascii="Times New Roman" w:eastAsia="宋体" w:hAnsi="Times New Roman" w:cs="Times New Roman"/>
          <w:color w:val="000000" w:themeColor="text1"/>
          <w:sz w:val="24"/>
          <w:szCs w:val="24"/>
        </w:rPr>
        <w:t>施工期钻前工程、钻完井工程及</w:t>
      </w:r>
      <w:r w:rsidR="00AE69C4" w:rsidRPr="00092862">
        <w:rPr>
          <w:rFonts w:ascii="Times New Roman" w:eastAsia="宋体" w:hAnsi="Times New Roman" w:cs="Times New Roman"/>
          <w:color w:val="000000" w:themeColor="text1"/>
          <w:sz w:val="24"/>
          <w:szCs w:val="24"/>
        </w:rPr>
        <w:t>集气站扩建</w:t>
      </w:r>
      <w:r w:rsidR="00742E1A" w:rsidRPr="00092862">
        <w:rPr>
          <w:rFonts w:ascii="Times New Roman" w:eastAsia="宋体" w:hAnsi="Times New Roman" w:cs="Times New Roman"/>
          <w:color w:val="000000" w:themeColor="text1"/>
          <w:sz w:val="24"/>
          <w:szCs w:val="24"/>
        </w:rPr>
        <w:t>工程和试采期试采工程</w:t>
      </w:r>
      <w:r w:rsidRPr="00092862">
        <w:rPr>
          <w:rFonts w:ascii="Times New Roman" w:eastAsia="宋体" w:hAnsi="Times New Roman" w:cs="Times New Roman"/>
          <w:color w:val="000000" w:themeColor="text1"/>
          <w:sz w:val="24"/>
          <w:szCs w:val="24"/>
        </w:rPr>
        <w:t>。</w:t>
      </w:r>
      <w:r w:rsidR="00AE4A7F" w:rsidRPr="00092862">
        <w:rPr>
          <w:rFonts w:ascii="Times New Roman" w:eastAsia="宋体" w:hAnsi="Times New Roman" w:cs="Times New Roman"/>
          <w:color w:val="000000" w:themeColor="text1"/>
          <w:sz w:val="24"/>
          <w:szCs w:val="24"/>
        </w:rPr>
        <w:t>具体建设内容为：</w:t>
      </w:r>
    </w:p>
    <w:p w14:paraId="52F42EF4" w14:textId="77777777" w:rsidR="00AE4A7F" w:rsidRPr="00092862" w:rsidRDefault="00AE4A7F" w:rsidP="00813B2A">
      <w:pPr>
        <w:pStyle w:val="0"/>
        <w:adjustRightInd w:val="0"/>
        <w:snapToGrid w:val="0"/>
        <w:rPr>
          <w:color w:val="000000" w:themeColor="text1"/>
        </w:rPr>
      </w:pPr>
      <w:r w:rsidRPr="00092862">
        <w:rPr>
          <w:color w:val="000000" w:themeColor="text1"/>
        </w:rPr>
        <w:t>（</w:t>
      </w:r>
      <w:r w:rsidRPr="00092862">
        <w:rPr>
          <w:color w:val="000000" w:themeColor="text1"/>
        </w:rPr>
        <w:t>1</w:t>
      </w:r>
      <w:r w:rsidRPr="00092862">
        <w:rPr>
          <w:color w:val="000000" w:themeColor="text1"/>
        </w:rPr>
        <w:t>）钻前工程</w:t>
      </w:r>
    </w:p>
    <w:p w14:paraId="7CBA2F2A" w14:textId="77777777" w:rsidR="00AE4A7F" w:rsidRPr="00092862" w:rsidRDefault="00AE4A7F" w:rsidP="00813B2A">
      <w:pPr>
        <w:pStyle w:val="0"/>
        <w:adjustRightInd w:val="0"/>
        <w:snapToGrid w:val="0"/>
        <w:rPr>
          <w:color w:val="000000" w:themeColor="text1"/>
        </w:rPr>
      </w:pPr>
      <w:r w:rsidRPr="00092862">
        <w:rPr>
          <w:color w:val="000000" w:themeColor="text1"/>
        </w:rPr>
        <w:t>新建井场</w:t>
      </w:r>
      <w:r w:rsidRPr="00092862">
        <w:rPr>
          <w:color w:val="000000" w:themeColor="text1"/>
        </w:rPr>
        <w:t>1</w:t>
      </w:r>
      <w:r w:rsidRPr="00092862">
        <w:rPr>
          <w:color w:val="000000" w:themeColor="text1"/>
        </w:rPr>
        <w:t>座，新建方井</w:t>
      </w:r>
      <w:r w:rsidRPr="00092862">
        <w:rPr>
          <w:color w:val="000000" w:themeColor="text1"/>
        </w:rPr>
        <w:t>2</w:t>
      </w:r>
      <w:r w:rsidRPr="00092862">
        <w:rPr>
          <w:color w:val="000000" w:themeColor="text1"/>
        </w:rPr>
        <w:t>座、井架基础</w:t>
      </w:r>
      <w:r w:rsidRPr="00092862">
        <w:rPr>
          <w:color w:val="000000" w:themeColor="text1"/>
        </w:rPr>
        <w:t>2</w:t>
      </w:r>
      <w:r w:rsidRPr="00092862">
        <w:rPr>
          <w:color w:val="000000" w:themeColor="text1"/>
        </w:rPr>
        <w:t>座、放喷池</w:t>
      </w:r>
      <w:r w:rsidRPr="00092862">
        <w:rPr>
          <w:color w:val="000000" w:themeColor="text1"/>
        </w:rPr>
        <w:t>1</w:t>
      </w:r>
      <w:r w:rsidRPr="00092862">
        <w:rPr>
          <w:color w:val="000000" w:themeColor="text1"/>
        </w:rPr>
        <w:t>座、循环罐、储备罐、泵机房等设备基础及边坡支护工程，修复利旧原老君</w:t>
      </w:r>
      <w:r w:rsidRPr="00092862">
        <w:rPr>
          <w:color w:val="000000" w:themeColor="text1"/>
        </w:rPr>
        <w:t>4</w:t>
      </w:r>
      <w:r w:rsidRPr="00092862">
        <w:rPr>
          <w:color w:val="000000" w:themeColor="text1"/>
        </w:rPr>
        <w:t>井场已建设清水池</w:t>
      </w:r>
      <w:r w:rsidRPr="00092862">
        <w:rPr>
          <w:color w:val="000000" w:themeColor="text1"/>
        </w:rPr>
        <w:t>1</w:t>
      </w:r>
      <w:r w:rsidRPr="00092862">
        <w:rPr>
          <w:color w:val="000000" w:themeColor="text1"/>
        </w:rPr>
        <w:t>座，修复利旧元老君</w:t>
      </w:r>
      <w:r w:rsidRPr="00092862">
        <w:rPr>
          <w:color w:val="000000" w:themeColor="text1"/>
        </w:rPr>
        <w:t>4</w:t>
      </w:r>
      <w:r w:rsidRPr="00092862">
        <w:rPr>
          <w:color w:val="000000" w:themeColor="text1"/>
        </w:rPr>
        <w:t>井场放喷池</w:t>
      </w:r>
      <w:r w:rsidRPr="00092862">
        <w:rPr>
          <w:color w:val="000000" w:themeColor="text1"/>
        </w:rPr>
        <w:t>1</w:t>
      </w:r>
      <w:r w:rsidRPr="00092862">
        <w:rPr>
          <w:color w:val="000000" w:themeColor="text1"/>
        </w:rPr>
        <w:t>座。</w:t>
      </w:r>
    </w:p>
    <w:p w14:paraId="0DB04703" w14:textId="77777777" w:rsidR="00AE4A7F" w:rsidRPr="00092862" w:rsidRDefault="00AE4A7F" w:rsidP="00813B2A">
      <w:pPr>
        <w:pStyle w:val="0"/>
        <w:adjustRightInd w:val="0"/>
        <w:snapToGrid w:val="0"/>
        <w:rPr>
          <w:color w:val="000000" w:themeColor="text1"/>
        </w:rPr>
      </w:pPr>
      <w:r w:rsidRPr="00092862">
        <w:rPr>
          <w:color w:val="000000" w:themeColor="text1"/>
        </w:rPr>
        <w:t>（</w:t>
      </w:r>
      <w:r w:rsidRPr="00092862">
        <w:rPr>
          <w:color w:val="000000" w:themeColor="text1"/>
        </w:rPr>
        <w:t>2</w:t>
      </w:r>
      <w:r w:rsidRPr="00092862">
        <w:rPr>
          <w:color w:val="000000" w:themeColor="text1"/>
        </w:rPr>
        <w:t>）钻井工程</w:t>
      </w:r>
    </w:p>
    <w:p w14:paraId="3EA0EF2B" w14:textId="65C22F03" w:rsidR="00AE4A7F" w:rsidRPr="00092862" w:rsidRDefault="00AE4A7F" w:rsidP="00813B2A">
      <w:pPr>
        <w:pStyle w:val="0"/>
        <w:adjustRightInd w:val="0"/>
        <w:snapToGrid w:val="0"/>
        <w:rPr>
          <w:color w:val="000000" w:themeColor="text1"/>
        </w:rPr>
      </w:pPr>
      <w:r w:rsidRPr="00092862">
        <w:rPr>
          <w:color w:val="000000" w:themeColor="text1"/>
        </w:rPr>
        <w:t>新钻井</w:t>
      </w:r>
      <w:r w:rsidRPr="00092862">
        <w:rPr>
          <w:color w:val="000000" w:themeColor="text1"/>
        </w:rPr>
        <w:t>2</w:t>
      </w:r>
      <w:r w:rsidRPr="00092862">
        <w:rPr>
          <w:color w:val="000000" w:themeColor="text1"/>
        </w:rPr>
        <w:t>口，总进尺</w:t>
      </w:r>
      <w:r w:rsidR="007A02DD">
        <w:rPr>
          <w:color w:val="000000" w:themeColor="text1"/>
        </w:rPr>
        <w:t>****</w:t>
      </w:r>
      <w:r w:rsidRPr="00092862">
        <w:rPr>
          <w:color w:val="000000" w:themeColor="text1"/>
        </w:rPr>
        <w:t>米。其中：</w:t>
      </w:r>
      <w:r w:rsidRPr="00092862">
        <w:rPr>
          <w:color w:val="000000" w:themeColor="text1"/>
        </w:rPr>
        <w:t>L7011-4H</w:t>
      </w:r>
      <w:r w:rsidRPr="00092862">
        <w:rPr>
          <w:color w:val="000000" w:themeColor="text1"/>
        </w:rPr>
        <w:t>井目的层为</w:t>
      </w:r>
      <w:r w:rsidR="007A02DD">
        <w:rPr>
          <w:color w:val="000000" w:themeColor="text1"/>
        </w:rPr>
        <w:t>****</w:t>
      </w:r>
      <w:r w:rsidRPr="00092862">
        <w:rPr>
          <w:color w:val="000000" w:themeColor="text1"/>
        </w:rPr>
        <w:t>三段，井型为水平井，套管完井，水平段长</w:t>
      </w:r>
      <w:r w:rsidRPr="00092862">
        <w:rPr>
          <w:color w:val="000000" w:themeColor="text1"/>
        </w:rPr>
        <w:t>470.53</w:t>
      </w:r>
      <w:r w:rsidRPr="00092862">
        <w:rPr>
          <w:color w:val="000000" w:themeColor="text1"/>
        </w:rPr>
        <w:t>米。采用三开井身结构：导管下深</w:t>
      </w:r>
      <w:r w:rsidRPr="00092862">
        <w:rPr>
          <w:color w:val="000000" w:themeColor="text1"/>
        </w:rPr>
        <w:t>50</w:t>
      </w:r>
      <w:r w:rsidRPr="00092862">
        <w:rPr>
          <w:color w:val="000000" w:themeColor="text1"/>
        </w:rPr>
        <w:t>米；一开钻至井深</w:t>
      </w:r>
      <w:r w:rsidRPr="00092862">
        <w:rPr>
          <w:color w:val="000000" w:themeColor="text1"/>
        </w:rPr>
        <w:t>1002</w:t>
      </w:r>
      <w:r w:rsidRPr="00092862">
        <w:rPr>
          <w:color w:val="000000" w:themeColor="text1"/>
        </w:rPr>
        <w:t>米，下</w:t>
      </w:r>
      <w:r w:rsidRPr="00092862">
        <w:rPr>
          <w:color w:val="000000" w:themeColor="text1"/>
        </w:rPr>
        <w:t>Φ346.1mm</w:t>
      </w:r>
      <w:r w:rsidRPr="00092862">
        <w:rPr>
          <w:color w:val="000000" w:themeColor="text1"/>
        </w:rPr>
        <w:t>套管；二开钻至井深</w:t>
      </w:r>
      <w:r w:rsidRPr="00092862">
        <w:rPr>
          <w:color w:val="000000" w:themeColor="text1"/>
        </w:rPr>
        <w:t>4572</w:t>
      </w:r>
      <w:r w:rsidRPr="00092862">
        <w:rPr>
          <w:color w:val="000000" w:themeColor="text1"/>
        </w:rPr>
        <w:t>米，下</w:t>
      </w:r>
      <w:r w:rsidRPr="00092862">
        <w:rPr>
          <w:color w:val="000000" w:themeColor="text1"/>
        </w:rPr>
        <w:t>Φ273.1mm</w:t>
      </w:r>
      <w:r w:rsidRPr="00092862">
        <w:rPr>
          <w:color w:val="000000" w:themeColor="text1"/>
        </w:rPr>
        <w:t>套管；三开自</w:t>
      </w:r>
      <w:r w:rsidRPr="00092862">
        <w:rPr>
          <w:color w:val="000000" w:themeColor="text1"/>
        </w:rPr>
        <w:t>4590</w:t>
      </w:r>
      <w:r w:rsidRPr="00092862">
        <w:rPr>
          <w:color w:val="000000" w:themeColor="text1"/>
        </w:rPr>
        <w:t>米造斜至设计井深</w:t>
      </w:r>
      <w:r w:rsidR="007A02DD">
        <w:rPr>
          <w:color w:val="000000" w:themeColor="text1"/>
        </w:rPr>
        <w:t>****</w:t>
      </w:r>
      <w:r w:rsidRPr="00092862">
        <w:rPr>
          <w:color w:val="000000" w:themeColor="text1"/>
        </w:rPr>
        <w:t>米（斜深）</w:t>
      </w:r>
      <w:r w:rsidRPr="00092862">
        <w:rPr>
          <w:color w:val="000000" w:themeColor="text1"/>
        </w:rPr>
        <w:t>/</w:t>
      </w:r>
      <w:r w:rsidR="007A02DD">
        <w:rPr>
          <w:color w:val="000000" w:themeColor="text1"/>
        </w:rPr>
        <w:t>****</w:t>
      </w:r>
      <w:r w:rsidRPr="00092862">
        <w:rPr>
          <w:color w:val="000000" w:themeColor="text1"/>
        </w:rPr>
        <w:t>米（垂深）完钻，下入</w:t>
      </w:r>
      <w:r w:rsidRPr="00092862">
        <w:rPr>
          <w:color w:val="000000" w:themeColor="text1"/>
        </w:rPr>
        <w:t>Ф177.8mm</w:t>
      </w:r>
      <w:r w:rsidRPr="00092862">
        <w:rPr>
          <w:color w:val="000000" w:themeColor="text1"/>
        </w:rPr>
        <w:t>套管，盐膏层上下</w:t>
      </w:r>
      <w:r w:rsidRPr="00092862">
        <w:rPr>
          <w:color w:val="000000" w:themeColor="text1"/>
        </w:rPr>
        <w:t>50</w:t>
      </w:r>
      <w:r w:rsidRPr="00092862">
        <w:rPr>
          <w:color w:val="000000" w:themeColor="text1"/>
        </w:rPr>
        <w:t>米选用外加厚</w:t>
      </w:r>
      <w:r w:rsidRPr="00092862">
        <w:rPr>
          <w:color w:val="000000" w:themeColor="text1"/>
        </w:rPr>
        <w:t>Ф193.7mm</w:t>
      </w:r>
      <w:r w:rsidRPr="00092862">
        <w:rPr>
          <w:color w:val="000000" w:themeColor="text1"/>
        </w:rPr>
        <w:t>套管。</w:t>
      </w:r>
      <w:r w:rsidRPr="00092862">
        <w:rPr>
          <w:color w:val="000000" w:themeColor="text1"/>
        </w:rPr>
        <w:t>L7011-5H</w:t>
      </w:r>
      <w:r w:rsidRPr="00092862">
        <w:rPr>
          <w:color w:val="000000" w:themeColor="text1"/>
        </w:rPr>
        <w:t>井目的层为</w:t>
      </w:r>
      <w:r w:rsidR="007A02DD">
        <w:rPr>
          <w:color w:val="000000" w:themeColor="text1"/>
        </w:rPr>
        <w:t>****</w:t>
      </w:r>
      <w:r w:rsidRPr="00092862">
        <w:rPr>
          <w:color w:val="000000" w:themeColor="text1"/>
        </w:rPr>
        <w:t>一二段，井型为水平井，套管完井，水平段长</w:t>
      </w:r>
      <w:r w:rsidRPr="00092862">
        <w:rPr>
          <w:color w:val="000000" w:themeColor="text1"/>
        </w:rPr>
        <w:t>270.7</w:t>
      </w:r>
      <w:r w:rsidRPr="00092862">
        <w:rPr>
          <w:color w:val="000000" w:themeColor="text1"/>
        </w:rPr>
        <w:t>米。采用三开井身结构：导管下深</w:t>
      </w:r>
      <w:r w:rsidRPr="00092862">
        <w:rPr>
          <w:color w:val="000000" w:themeColor="text1"/>
        </w:rPr>
        <w:t>50</w:t>
      </w:r>
      <w:r w:rsidRPr="00092862">
        <w:rPr>
          <w:color w:val="000000" w:themeColor="text1"/>
        </w:rPr>
        <w:t>米；一开钻至井深</w:t>
      </w:r>
      <w:r w:rsidRPr="00092862">
        <w:rPr>
          <w:color w:val="000000" w:themeColor="text1"/>
        </w:rPr>
        <w:t>1002</w:t>
      </w:r>
      <w:r w:rsidRPr="00092862">
        <w:rPr>
          <w:color w:val="000000" w:themeColor="text1"/>
        </w:rPr>
        <w:t>米，下</w:t>
      </w:r>
      <w:r w:rsidRPr="00092862">
        <w:rPr>
          <w:color w:val="000000" w:themeColor="text1"/>
        </w:rPr>
        <w:t>Φ346.1mm</w:t>
      </w:r>
      <w:r w:rsidRPr="00092862">
        <w:rPr>
          <w:color w:val="000000" w:themeColor="text1"/>
        </w:rPr>
        <w:t>套管；二开钻至井深</w:t>
      </w:r>
      <w:r w:rsidRPr="00092862">
        <w:rPr>
          <w:color w:val="000000" w:themeColor="text1"/>
        </w:rPr>
        <w:t>4582</w:t>
      </w:r>
      <w:r w:rsidRPr="00092862">
        <w:rPr>
          <w:color w:val="000000" w:themeColor="text1"/>
        </w:rPr>
        <w:t>米，下</w:t>
      </w:r>
      <w:r w:rsidRPr="00092862">
        <w:rPr>
          <w:color w:val="000000" w:themeColor="text1"/>
        </w:rPr>
        <w:t>Φ273.1mm</w:t>
      </w:r>
      <w:r w:rsidRPr="00092862">
        <w:rPr>
          <w:color w:val="000000" w:themeColor="text1"/>
        </w:rPr>
        <w:t>套管；三开自</w:t>
      </w:r>
      <w:r w:rsidRPr="00092862">
        <w:rPr>
          <w:color w:val="000000" w:themeColor="text1"/>
        </w:rPr>
        <w:t>4600</w:t>
      </w:r>
      <w:r w:rsidRPr="00092862">
        <w:rPr>
          <w:color w:val="000000" w:themeColor="text1"/>
        </w:rPr>
        <w:t>米造斜至设计井深</w:t>
      </w:r>
      <w:r w:rsidR="007A02DD">
        <w:rPr>
          <w:color w:val="000000" w:themeColor="text1"/>
        </w:rPr>
        <w:t>****</w:t>
      </w:r>
      <w:r w:rsidRPr="00092862">
        <w:rPr>
          <w:color w:val="000000" w:themeColor="text1"/>
        </w:rPr>
        <w:t>米（斜深）</w:t>
      </w:r>
      <w:r w:rsidRPr="00092862">
        <w:rPr>
          <w:color w:val="000000" w:themeColor="text1"/>
        </w:rPr>
        <w:t>/</w:t>
      </w:r>
      <w:r w:rsidR="007A02DD">
        <w:rPr>
          <w:color w:val="000000" w:themeColor="text1"/>
        </w:rPr>
        <w:t>****</w:t>
      </w:r>
      <w:r w:rsidRPr="00092862">
        <w:rPr>
          <w:color w:val="000000" w:themeColor="text1"/>
        </w:rPr>
        <w:t>米（垂深）完钻，下入</w:t>
      </w:r>
      <w:r w:rsidRPr="00092862">
        <w:rPr>
          <w:color w:val="000000" w:themeColor="text1"/>
        </w:rPr>
        <w:t>Ф177.8mm</w:t>
      </w:r>
      <w:r w:rsidRPr="00092862">
        <w:rPr>
          <w:color w:val="000000" w:themeColor="text1"/>
        </w:rPr>
        <w:t>套管，盐膏层上下</w:t>
      </w:r>
      <w:r w:rsidRPr="00092862">
        <w:rPr>
          <w:color w:val="000000" w:themeColor="text1"/>
        </w:rPr>
        <w:t>50</w:t>
      </w:r>
      <w:r w:rsidRPr="00092862">
        <w:rPr>
          <w:color w:val="000000" w:themeColor="text1"/>
        </w:rPr>
        <w:t>米选用外加厚</w:t>
      </w:r>
      <w:r w:rsidRPr="00092862">
        <w:rPr>
          <w:color w:val="000000" w:themeColor="text1"/>
        </w:rPr>
        <w:t>Ф193.7mm</w:t>
      </w:r>
      <w:r w:rsidRPr="00092862">
        <w:rPr>
          <w:color w:val="000000" w:themeColor="text1"/>
        </w:rPr>
        <w:t>套管。</w:t>
      </w:r>
    </w:p>
    <w:p w14:paraId="3F041D7D" w14:textId="77777777" w:rsidR="00AE4A7F" w:rsidRPr="00092862" w:rsidRDefault="00AE4A7F" w:rsidP="00813B2A">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）采气工程</w:t>
      </w:r>
    </w:p>
    <w:p w14:paraId="1BEC0839" w14:textId="77777777" w:rsidR="00AE4A7F" w:rsidRPr="00092862" w:rsidRDefault="00AE4A7F" w:rsidP="00813B2A">
      <w:pPr>
        <w:pStyle w:val="0"/>
        <w:adjustRightInd w:val="0"/>
        <w:snapToGrid w:val="0"/>
        <w:rPr>
          <w:color w:val="000000" w:themeColor="text1"/>
        </w:rPr>
      </w:pPr>
      <w:r w:rsidRPr="00092862">
        <w:rPr>
          <w:color w:val="000000" w:themeColor="text1"/>
        </w:rPr>
        <w:t>L7011-4H</w:t>
      </w:r>
      <w:r w:rsidRPr="00092862">
        <w:rPr>
          <w:color w:val="000000" w:themeColor="text1"/>
        </w:rPr>
        <w:t>采用</w:t>
      </w:r>
      <w:r w:rsidRPr="00092862">
        <w:rPr>
          <w:color w:val="000000" w:themeColor="text1"/>
        </w:rPr>
        <w:t>“</w:t>
      </w:r>
      <w:r w:rsidRPr="00092862">
        <w:rPr>
          <w:color w:val="000000" w:themeColor="text1"/>
        </w:rPr>
        <w:t>钻采一体化</w:t>
      </w:r>
      <w:r w:rsidRPr="00092862">
        <w:rPr>
          <w:color w:val="000000" w:themeColor="text1"/>
        </w:rPr>
        <w:t>”</w:t>
      </w:r>
      <w:r w:rsidRPr="00092862">
        <w:rPr>
          <w:color w:val="000000" w:themeColor="text1"/>
        </w:rPr>
        <w:t>投产模式，全井采用</w:t>
      </w:r>
      <w:r w:rsidRPr="00092862">
        <w:rPr>
          <w:color w:val="000000" w:themeColor="text1"/>
        </w:rPr>
        <w:t>Φ88.9mm</w:t>
      </w:r>
      <w:r w:rsidRPr="00092862">
        <w:rPr>
          <w:color w:val="000000" w:themeColor="text1"/>
        </w:rPr>
        <w:t>分段酸化</w:t>
      </w:r>
      <w:r w:rsidRPr="00092862">
        <w:rPr>
          <w:color w:val="000000" w:themeColor="text1"/>
        </w:rPr>
        <w:t>-</w:t>
      </w:r>
      <w:r w:rsidRPr="00092862">
        <w:rPr>
          <w:color w:val="000000" w:themeColor="text1"/>
        </w:rPr>
        <w:t>生产</w:t>
      </w:r>
      <w:r w:rsidRPr="00092862">
        <w:rPr>
          <w:color w:val="000000" w:themeColor="text1"/>
        </w:rPr>
        <w:lastRenderedPageBreak/>
        <w:t>一体化完井管柱，第二投球滑套及以上完井油管采用</w:t>
      </w:r>
      <w:r w:rsidRPr="00092862">
        <w:rPr>
          <w:color w:val="000000" w:themeColor="text1"/>
        </w:rPr>
        <w:t>Φ88.9mm4c</w:t>
      </w:r>
      <w:r w:rsidRPr="00092862">
        <w:rPr>
          <w:color w:val="000000" w:themeColor="text1"/>
        </w:rPr>
        <w:t>类镍基合金油管，</w:t>
      </w:r>
      <w:r w:rsidRPr="00092862">
        <w:rPr>
          <w:color w:val="000000" w:themeColor="text1"/>
        </w:rPr>
        <w:t>718</w:t>
      </w:r>
      <w:r w:rsidRPr="00092862">
        <w:rPr>
          <w:color w:val="000000" w:themeColor="text1"/>
        </w:rPr>
        <w:t>材质完井工具；第二投球滑套以下采用</w:t>
      </w:r>
      <w:r w:rsidRPr="00092862">
        <w:rPr>
          <w:color w:val="000000" w:themeColor="text1"/>
        </w:rPr>
        <w:t>110SS</w:t>
      </w:r>
      <w:r w:rsidRPr="00092862">
        <w:rPr>
          <w:color w:val="000000" w:themeColor="text1"/>
        </w:rPr>
        <w:t>材质油管和完井工具。目的层飞三段以三类层为主，采用</w:t>
      </w:r>
      <w:r w:rsidRPr="00092862">
        <w:rPr>
          <w:color w:val="000000" w:themeColor="text1"/>
        </w:rPr>
        <w:t>Φ102mm</w:t>
      </w:r>
      <w:r w:rsidRPr="00092862">
        <w:rPr>
          <w:color w:val="000000" w:themeColor="text1"/>
        </w:rPr>
        <w:t>防硫射孔枪、大</w:t>
      </w:r>
      <w:r w:rsidRPr="00092862">
        <w:rPr>
          <w:color w:val="000000" w:themeColor="text1"/>
        </w:rPr>
        <w:t>1</w:t>
      </w:r>
      <w:r w:rsidRPr="00092862">
        <w:rPr>
          <w:color w:val="000000" w:themeColor="text1"/>
        </w:rPr>
        <w:t>米射孔弹一次性射开储层，</w:t>
      </w:r>
      <w:r w:rsidRPr="00092862">
        <w:rPr>
          <w:color w:val="000000" w:themeColor="text1"/>
        </w:rPr>
        <w:t>“</w:t>
      </w:r>
      <w:r w:rsidRPr="00092862">
        <w:rPr>
          <w:color w:val="000000" w:themeColor="text1"/>
        </w:rPr>
        <w:t>清洁酸</w:t>
      </w:r>
      <w:r w:rsidRPr="00092862">
        <w:rPr>
          <w:color w:val="000000" w:themeColor="text1"/>
        </w:rPr>
        <w:t>+</w:t>
      </w:r>
      <w:r w:rsidRPr="00092862">
        <w:rPr>
          <w:color w:val="000000" w:themeColor="text1"/>
        </w:rPr>
        <w:t>滑溜水</w:t>
      </w:r>
      <w:r w:rsidRPr="00092862">
        <w:rPr>
          <w:color w:val="000000" w:themeColor="text1"/>
        </w:rPr>
        <w:t>”</w:t>
      </w:r>
      <w:r w:rsidRPr="00092862">
        <w:rPr>
          <w:color w:val="000000" w:themeColor="text1"/>
        </w:rPr>
        <w:t>多级交替注入深度酸化，分</w:t>
      </w:r>
      <w:r w:rsidRPr="00092862">
        <w:rPr>
          <w:color w:val="000000" w:themeColor="text1"/>
        </w:rPr>
        <w:t>4</w:t>
      </w:r>
      <w:r w:rsidRPr="00092862">
        <w:rPr>
          <w:color w:val="000000" w:themeColor="text1"/>
        </w:rPr>
        <w:t>段进行酸化改造。采用</w:t>
      </w:r>
      <w:r w:rsidRPr="00092862">
        <w:rPr>
          <w:color w:val="000000" w:themeColor="text1"/>
        </w:rPr>
        <w:t>HH</w:t>
      </w:r>
      <w:r w:rsidRPr="00092862">
        <w:rPr>
          <w:color w:val="000000" w:themeColor="text1"/>
        </w:rPr>
        <w:t>级</w:t>
      </w:r>
      <w:r w:rsidRPr="00092862">
        <w:rPr>
          <w:color w:val="000000" w:themeColor="text1"/>
        </w:rPr>
        <w:t>105</w:t>
      </w:r>
      <w:r w:rsidRPr="00092862">
        <w:rPr>
          <w:color w:val="000000" w:themeColor="text1"/>
        </w:rPr>
        <w:t>兆帕采气井口，配套</w:t>
      </w:r>
      <w:r w:rsidRPr="00092862">
        <w:rPr>
          <w:color w:val="000000" w:themeColor="text1"/>
        </w:rPr>
        <w:t>70</w:t>
      </w:r>
      <w:r w:rsidRPr="00092862">
        <w:rPr>
          <w:color w:val="000000" w:themeColor="text1"/>
        </w:rPr>
        <w:t>兆帕地面控制系统。施工排量</w:t>
      </w:r>
      <w:r w:rsidRPr="00092862">
        <w:rPr>
          <w:color w:val="000000" w:themeColor="text1"/>
        </w:rPr>
        <w:t>4</w:t>
      </w:r>
      <w:r w:rsidRPr="00092862">
        <w:rPr>
          <w:color w:val="000000" w:themeColor="text1"/>
        </w:rPr>
        <w:t>立方米</w:t>
      </w:r>
      <w:r w:rsidRPr="00092862">
        <w:rPr>
          <w:color w:val="000000" w:themeColor="text1"/>
        </w:rPr>
        <w:t>/</w:t>
      </w:r>
      <w:r w:rsidRPr="00092862">
        <w:rPr>
          <w:color w:val="000000" w:themeColor="text1"/>
        </w:rPr>
        <w:t>分钟，井口最高压力</w:t>
      </w:r>
      <w:r w:rsidRPr="00092862">
        <w:rPr>
          <w:color w:val="000000" w:themeColor="text1"/>
        </w:rPr>
        <w:t>89.61</w:t>
      </w:r>
      <w:r w:rsidRPr="00092862">
        <w:rPr>
          <w:color w:val="000000" w:themeColor="text1"/>
        </w:rPr>
        <w:t>兆帕，总液量</w:t>
      </w:r>
      <w:r w:rsidRPr="00092862">
        <w:rPr>
          <w:color w:val="000000" w:themeColor="text1"/>
        </w:rPr>
        <w:t>2090</w:t>
      </w:r>
      <w:r w:rsidRPr="00092862">
        <w:rPr>
          <w:color w:val="000000" w:themeColor="text1"/>
        </w:rPr>
        <w:t>立方米。</w:t>
      </w:r>
      <w:r w:rsidRPr="00092862">
        <w:rPr>
          <w:color w:val="000000" w:themeColor="text1"/>
        </w:rPr>
        <w:t>L7011-5H</w:t>
      </w:r>
      <w:r w:rsidRPr="00092862">
        <w:rPr>
          <w:color w:val="000000" w:themeColor="text1"/>
        </w:rPr>
        <w:t>采用</w:t>
      </w:r>
      <w:r w:rsidRPr="00092862">
        <w:rPr>
          <w:color w:val="000000" w:themeColor="text1"/>
        </w:rPr>
        <w:t>“</w:t>
      </w:r>
      <w:r w:rsidRPr="00092862">
        <w:rPr>
          <w:color w:val="000000" w:themeColor="text1"/>
        </w:rPr>
        <w:t>钻采一体化</w:t>
      </w:r>
      <w:r w:rsidRPr="00092862">
        <w:rPr>
          <w:color w:val="000000" w:themeColor="text1"/>
        </w:rPr>
        <w:t>”</w:t>
      </w:r>
      <w:r w:rsidRPr="00092862">
        <w:rPr>
          <w:color w:val="000000" w:themeColor="text1"/>
        </w:rPr>
        <w:t>投产模式，全井采用</w:t>
      </w:r>
      <w:r w:rsidRPr="00092862">
        <w:rPr>
          <w:color w:val="000000" w:themeColor="text1"/>
        </w:rPr>
        <w:t>Φ88.9mm</w:t>
      </w:r>
      <w:r w:rsidRPr="00092862">
        <w:rPr>
          <w:color w:val="000000" w:themeColor="text1"/>
        </w:rPr>
        <w:t>笼统酸化</w:t>
      </w:r>
      <w:r w:rsidRPr="00092862">
        <w:rPr>
          <w:color w:val="000000" w:themeColor="text1"/>
        </w:rPr>
        <w:t>-</w:t>
      </w:r>
      <w:r w:rsidRPr="00092862">
        <w:rPr>
          <w:color w:val="000000" w:themeColor="text1"/>
        </w:rPr>
        <w:t>生产一体化完井管柱，</w:t>
      </w:r>
      <w:r w:rsidRPr="00092862">
        <w:rPr>
          <w:color w:val="000000" w:themeColor="text1"/>
        </w:rPr>
        <w:t>4c</w:t>
      </w:r>
      <w:r w:rsidRPr="00092862">
        <w:rPr>
          <w:color w:val="000000" w:themeColor="text1"/>
        </w:rPr>
        <w:t>类镍基合金油管，</w:t>
      </w:r>
      <w:r w:rsidRPr="00092862">
        <w:rPr>
          <w:color w:val="000000" w:themeColor="text1"/>
        </w:rPr>
        <w:t>718</w:t>
      </w:r>
      <w:r w:rsidRPr="00092862">
        <w:rPr>
          <w:color w:val="000000" w:themeColor="text1"/>
        </w:rPr>
        <w:t>材质完井工具。目的层以二、三类层为主，采用</w:t>
      </w:r>
      <w:r w:rsidRPr="00092862">
        <w:rPr>
          <w:color w:val="000000" w:themeColor="text1"/>
        </w:rPr>
        <w:t>Φ102mm</w:t>
      </w:r>
      <w:r w:rsidRPr="00092862">
        <w:rPr>
          <w:color w:val="000000" w:themeColor="text1"/>
        </w:rPr>
        <w:t>防硫射孔枪、大</w:t>
      </w:r>
      <w:r w:rsidRPr="00092862">
        <w:rPr>
          <w:color w:val="000000" w:themeColor="text1"/>
        </w:rPr>
        <w:t>1</w:t>
      </w:r>
      <w:r w:rsidRPr="00092862">
        <w:rPr>
          <w:color w:val="000000" w:themeColor="text1"/>
        </w:rPr>
        <w:t>米射孔弹一次性射开储层，笼统注入暂堵酸化改造。采用</w:t>
      </w:r>
      <w:r w:rsidRPr="00092862">
        <w:rPr>
          <w:color w:val="000000" w:themeColor="text1"/>
        </w:rPr>
        <w:t>HH</w:t>
      </w:r>
      <w:r w:rsidRPr="00092862">
        <w:rPr>
          <w:color w:val="000000" w:themeColor="text1"/>
        </w:rPr>
        <w:t>级</w:t>
      </w:r>
      <w:r w:rsidRPr="00092862">
        <w:rPr>
          <w:color w:val="000000" w:themeColor="text1"/>
        </w:rPr>
        <w:t>105</w:t>
      </w:r>
      <w:r w:rsidRPr="00092862">
        <w:rPr>
          <w:color w:val="000000" w:themeColor="text1"/>
        </w:rPr>
        <w:t>兆帕采气井口，配套</w:t>
      </w:r>
      <w:r w:rsidRPr="00092862">
        <w:rPr>
          <w:color w:val="000000" w:themeColor="text1"/>
        </w:rPr>
        <w:t>70</w:t>
      </w:r>
      <w:r w:rsidRPr="00092862">
        <w:rPr>
          <w:color w:val="000000" w:themeColor="text1"/>
        </w:rPr>
        <w:t>兆帕地面控制系统。最高施工排量</w:t>
      </w:r>
      <w:r w:rsidRPr="00092862">
        <w:rPr>
          <w:color w:val="000000" w:themeColor="text1"/>
        </w:rPr>
        <w:t>4</w:t>
      </w:r>
      <w:r w:rsidRPr="00092862">
        <w:rPr>
          <w:color w:val="000000" w:themeColor="text1"/>
        </w:rPr>
        <w:t>立方米</w:t>
      </w:r>
      <w:r w:rsidRPr="00092862">
        <w:rPr>
          <w:color w:val="000000" w:themeColor="text1"/>
        </w:rPr>
        <w:t>/</w:t>
      </w:r>
      <w:r w:rsidRPr="00092862">
        <w:rPr>
          <w:color w:val="000000" w:themeColor="text1"/>
        </w:rPr>
        <w:t>分钟，井口最高压力</w:t>
      </w:r>
      <w:r w:rsidRPr="00092862">
        <w:rPr>
          <w:color w:val="000000" w:themeColor="text1"/>
        </w:rPr>
        <w:t>89.61</w:t>
      </w:r>
      <w:r w:rsidRPr="00092862">
        <w:rPr>
          <w:color w:val="000000" w:themeColor="text1"/>
        </w:rPr>
        <w:t>兆帕，总液量</w:t>
      </w:r>
      <w:r w:rsidRPr="00092862">
        <w:rPr>
          <w:color w:val="000000" w:themeColor="text1"/>
        </w:rPr>
        <w:t>375</w:t>
      </w:r>
      <w:r w:rsidRPr="00092862">
        <w:rPr>
          <w:color w:val="000000" w:themeColor="text1"/>
        </w:rPr>
        <w:t>立方米。</w:t>
      </w:r>
    </w:p>
    <w:p w14:paraId="490434F2" w14:textId="77777777" w:rsidR="00AE4A7F" w:rsidRPr="00092862" w:rsidRDefault="00AE4A7F" w:rsidP="00813B2A">
      <w:pPr>
        <w:pStyle w:val="0"/>
        <w:adjustRightInd w:val="0"/>
        <w:snapToGrid w:val="0"/>
        <w:rPr>
          <w:color w:val="000000" w:themeColor="text1"/>
        </w:rPr>
      </w:pPr>
      <w:r w:rsidRPr="00092862">
        <w:rPr>
          <w:color w:val="000000" w:themeColor="text1"/>
        </w:rPr>
        <w:t>（</w:t>
      </w:r>
      <w:r w:rsidRPr="00092862">
        <w:rPr>
          <w:color w:val="000000" w:themeColor="text1"/>
        </w:rPr>
        <w:t>4</w:t>
      </w:r>
      <w:r w:rsidRPr="00092862">
        <w:rPr>
          <w:color w:val="000000" w:themeColor="text1"/>
        </w:rPr>
        <w:t>）地面集输工程</w:t>
      </w:r>
    </w:p>
    <w:p w14:paraId="416FF145" w14:textId="01147A91" w:rsidR="00AE4A7F" w:rsidRPr="00092862" w:rsidRDefault="00AE4A7F" w:rsidP="00813B2A">
      <w:pPr>
        <w:pStyle w:val="0"/>
        <w:adjustRightInd w:val="0"/>
        <w:snapToGrid w:val="0"/>
        <w:rPr>
          <w:color w:val="000000" w:themeColor="text1"/>
        </w:rPr>
      </w:pPr>
      <w:r w:rsidRPr="00092862">
        <w:rPr>
          <w:color w:val="000000" w:themeColor="text1"/>
        </w:rPr>
        <w:t>L7011-4H</w:t>
      </w:r>
      <w:r w:rsidRPr="00092862">
        <w:rPr>
          <w:color w:val="000000" w:themeColor="text1"/>
        </w:rPr>
        <w:t>、</w:t>
      </w:r>
      <w:r w:rsidRPr="00092862">
        <w:rPr>
          <w:color w:val="000000" w:themeColor="text1"/>
        </w:rPr>
        <w:t>L7011-5H</w:t>
      </w:r>
      <w:r w:rsidRPr="00092862">
        <w:rPr>
          <w:color w:val="000000" w:themeColor="text1"/>
        </w:rPr>
        <w:t>井井口气汇合后通过新建采气管道（</w:t>
      </w:r>
      <w:r w:rsidRPr="00092862">
        <w:rPr>
          <w:color w:val="000000" w:themeColor="text1"/>
        </w:rPr>
        <w:t>40m</w:t>
      </w:r>
      <w:r w:rsidRPr="00092862">
        <w:rPr>
          <w:color w:val="000000" w:themeColor="text1"/>
        </w:rPr>
        <w:t>）输送至老君</w:t>
      </w:r>
      <w:r w:rsidRPr="00092862">
        <w:rPr>
          <w:color w:val="000000" w:themeColor="text1"/>
        </w:rPr>
        <w:t>701</w:t>
      </w:r>
      <w:r w:rsidRPr="00092862">
        <w:rPr>
          <w:color w:val="000000" w:themeColor="text1"/>
        </w:rPr>
        <w:t>集气站，在站内分酸、加热、节流、分离后输至天然气净化厂。新建老君</w:t>
      </w:r>
      <w:r w:rsidRPr="00092862">
        <w:rPr>
          <w:color w:val="000000" w:themeColor="text1"/>
        </w:rPr>
        <w:t>7011</w:t>
      </w:r>
      <w:r w:rsidRPr="00092862">
        <w:rPr>
          <w:color w:val="000000" w:themeColor="text1"/>
        </w:rPr>
        <w:t>采气站</w:t>
      </w:r>
      <w:r w:rsidRPr="00092862">
        <w:rPr>
          <w:color w:val="000000" w:themeColor="text1"/>
        </w:rPr>
        <w:t>1</w:t>
      </w:r>
      <w:r w:rsidRPr="00092862">
        <w:rPr>
          <w:color w:val="000000" w:themeColor="text1"/>
        </w:rPr>
        <w:t>座、水套加热炉</w:t>
      </w:r>
      <w:r w:rsidRPr="00092862">
        <w:rPr>
          <w:color w:val="000000" w:themeColor="text1"/>
        </w:rPr>
        <w:t>1</w:t>
      </w:r>
      <w:r w:rsidRPr="00092862">
        <w:rPr>
          <w:color w:val="000000" w:themeColor="text1"/>
        </w:rPr>
        <w:t>座，其余生产分离器等均依托老君</w:t>
      </w:r>
      <w:r w:rsidRPr="00092862">
        <w:rPr>
          <w:color w:val="000000" w:themeColor="text1"/>
        </w:rPr>
        <w:t>701</w:t>
      </w:r>
      <w:r w:rsidRPr="00092862">
        <w:rPr>
          <w:color w:val="000000" w:themeColor="text1"/>
        </w:rPr>
        <w:t>站内已建流程，配套建设自控、电力、结构等设施。</w:t>
      </w:r>
    </w:p>
    <w:p w14:paraId="70BE7A88" w14:textId="78BF4ADB"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90" w:name="_Toc120173100"/>
      <w:r w:rsidRPr="00092862">
        <w:rPr>
          <w:rFonts w:ascii="Times New Roman" w:eastAsia="黑体" w:hAnsi="Times New Roman"/>
          <w:b w:val="0"/>
          <w:color w:val="000000" w:themeColor="text1"/>
          <w:sz w:val="24"/>
          <w:szCs w:val="24"/>
          <w:lang w:eastAsia="zh-CN"/>
        </w:rPr>
        <w:t>3.2.</w:t>
      </w:r>
      <w:r w:rsidR="00B51F6A" w:rsidRPr="00092862">
        <w:rPr>
          <w:rFonts w:ascii="Times New Roman" w:eastAsia="黑体" w:hAnsi="Times New Roman"/>
          <w:b w:val="0"/>
          <w:color w:val="000000" w:themeColor="text1"/>
          <w:sz w:val="24"/>
          <w:szCs w:val="24"/>
          <w:lang w:eastAsia="zh-CN"/>
        </w:rPr>
        <w:t>2</w:t>
      </w:r>
      <w:r w:rsidR="00B72EC7" w:rsidRPr="00092862">
        <w:rPr>
          <w:rFonts w:ascii="Times New Roman" w:eastAsia="黑体" w:hAnsi="Times New Roman"/>
          <w:b w:val="0"/>
          <w:color w:val="000000" w:themeColor="text1"/>
          <w:sz w:val="24"/>
          <w:szCs w:val="24"/>
          <w:lang w:eastAsia="zh-CN"/>
        </w:rPr>
        <w:t>气藏地质特征</w:t>
      </w:r>
      <w:bookmarkEnd w:id="90"/>
    </w:p>
    <w:p w14:paraId="60223684" w14:textId="36DA3337" w:rsidR="004B4D44" w:rsidRPr="00092862" w:rsidRDefault="004B4D44" w:rsidP="004B4D44">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 xml:space="preserve">3.2.2.1 </w:t>
      </w:r>
      <w:r w:rsidRPr="00092862">
        <w:rPr>
          <w:rFonts w:ascii="Times New Roman" w:eastAsia="黑体" w:hAnsi="Times New Roman" w:cs="Times New Roman"/>
          <w:color w:val="000000" w:themeColor="text1"/>
          <w:sz w:val="24"/>
          <w:szCs w:val="24"/>
        </w:rPr>
        <w:t>气藏地质概况</w:t>
      </w:r>
    </w:p>
    <w:p w14:paraId="06EFC2D9" w14:textId="4252F167"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普光气田主体位于四川省宣汉县境内，构造上介于大巴山推覆带前缘褶断带与川中平缓褶皱带之间，属于川东断褶带东北段双石庙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普光北东向构造带上的一个鼻状构造。地层南西高北东低、主要呈单斜特征。断裂系统以北东向断层为主，主要包括东岳寨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普光断层、普光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断层、老君庙南断层及普光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等</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条断层。其中，普光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断层将主体构造分为普光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块、普光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块。</w:t>
      </w:r>
    </w:p>
    <w:p w14:paraId="62DF376A" w14:textId="3F53D2A5"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普光气田主体探明含气层系为下三叠统</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和上二叠统长兴组，储层岩性为溶孔白云岩、鲕粒白云岩等，储集空间类型以孔隙为主，裂缝发育较少。储层物性总体较好，平均孔隙度</w:t>
      </w:r>
      <w:r w:rsidRPr="00092862">
        <w:rPr>
          <w:rFonts w:ascii="Times New Roman" w:eastAsia="宋体" w:hAnsi="Times New Roman" w:cs="Times New Roman"/>
          <w:color w:val="000000" w:themeColor="text1"/>
          <w:sz w:val="24"/>
          <w:szCs w:val="24"/>
        </w:rPr>
        <w:t>8.2%</w:t>
      </w:r>
      <w:r w:rsidRPr="00092862">
        <w:rPr>
          <w:rFonts w:ascii="Times New Roman" w:eastAsia="宋体" w:hAnsi="Times New Roman" w:cs="Times New Roman"/>
          <w:color w:val="000000" w:themeColor="text1"/>
          <w:sz w:val="24"/>
          <w:szCs w:val="24"/>
        </w:rPr>
        <w:t>，以中</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高孔隙储层为主；平均渗透率</w:t>
      </w:r>
      <w:r w:rsidRPr="00092862">
        <w:rPr>
          <w:rFonts w:ascii="Times New Roman" w:eastAsia="宋体" w:hAnsi="Times New Roman" w:cs="Times New Roman"/>
          <w:color w:val="000000" w:themeColor="text1"/>
          <w:sz w:val="24"/>
          <w:szCs w:val="24"/>
        </w:rPr>
        <w:t>1.11mD</w:t>
      </w:r>
      <w:r w:rsidRPr="00092862">
        <w:rPr>
          <w:rFonts w:ascii="Times New Roman" w:eastAsia="宋体" w:hAnsi="Times New Roman" w:cs="Times New Roman"/>
          <w:color w:val="000000" w:themeColor="text1"/>
          <w:sz w:val="24"/>
          <w:szCs w:val="24"/>
        </w:rPr>
        <w:t>，以中</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低渗储层为主。其中，飞一二段储层物性较好，平均孔隙度</w:t>
      </w:r>
      <w:r w:rsidRPr="00092862">
        <w:rPr>
          <w:rFonts w:ascii="Times New Roman" w:eastAsia="宋体" w:hAnsi="Times New Roman" w:cs="Times New Roman"/>
          <w:color w:val="000000" w:themeColor="text1"/>
          <w:sz w:val="24"/>
          <w:szCs w:val="24"/>
        </w:rPr>
        <w:t>9.1%</w:t>
      </w:r>
      <w:r w:rsidRPr="00092862">
        <w:rPr>
          <w:rFonts w:ascii="Times New Roman" w:eastAsia="宋体" w:hAnsi="Times New Roman" w:cs="Times New Roman"/>
          <w:color w:val="000000" w:themeColor="text1"/>
          <w:sz w:val="24"/>
          <w:szCs w:val="24"/>
        </w:rPr>
        <w:t>，平均渗透率</w:t>
      </w:r>
      <w:r w:rsidRPr="00092862">
        <w:rPr>
          <w:rFonts w:ascii="Times New Roman" w:eastAsia="宋体" w:hAnsi="Times New Roman" w:cs="Times New Roman"/>
          <w:color w:val="000000" w:themeColor="text1"/>
          <w:sz w:val="24"/>
          <w:szCs w:val="24"/>
        </w:rPr>
        <w:t>1.77mD</w:t>
      </w:r>
      <w:r w:rsidRPr="00092862">
        <w:rPr>
          <w:rFonts w:ascii="Times New Roman" w:eastAsia="宋体" w:hAnsi="Times New Roman" w:cs="Times New Roman"/>
          <w:color w:val="000000" w:themeColor="text1"/>
          <w:sz w:val="24"/>
          <w:szCs w:val="24"/>
        </w:rPr>
        <w:t>。</w:t>
      </w:r>
    </w:p>
    <w:p w14:paraId="3EA74C57" w14:textId="15542117" w:rsidR="004B4D44" w:rsidRPr="00092862" w:rsidRDefault="004B4D44" w:rsidP="004B4D44">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 xml:space="preserve">3.2.2.2 </w:t>
      </w:r>
      <w:r w:rsidRPr="00092862">
        <w:rPr>
          <w:rFonts w:ascii="Times New Roman" w:eastAsia="黑体" w:hAnsi="Times New Roman" w:cs="Times New Roman"/>
          <w:color w:val="000000" w:themeColor="text1"/>
          <w:sz w:val="24"/>
          <w:szCs w:val="24"/>
        </w:rPr>
        <w:t>地层特征</w:t>
      </w:r>
    </w:p>
    <w:p w14:paraId="4DBADACA" w14:textId="4F7F7428"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根据钻井揭示及地表露头，普光地区下古生界地层较完整，仅缺失志留系</w:t>
      </w:r>
      <w:r w:rsidRPr="00092862">
        <w:rPr>
          <w:rFonts w:ascii="Times New Roman" w:eastAsia="宋体" w:hAnsi="Times New Roman" w:cs="Times New Roman"/>
          <w:color w:val="000000" w:themeColor="text1"/>
          <w:sz w:val="24"/>
          <w:szCs w:val="24"/>
        </w:rPr>
        <w:lastRenderedPageBreak/>
        <w:t>上统；上古生界缺失了泥盆系全部和石炭系大部，仅残留中石炭统黄龙组，二叠系齐全；中生界三叠系、侏罗系保留较全，早白垩世地层保留较好，上白垩统缺失；新生界基本没有沉积保留。受构造运动的影响，地层间发育较多不整合面，在海相地层中，志留系与石炭系、石炭系与二叠系、上、下二叠统之间皆为平行不整合接触关系。晚三叠世末期的印支运动，四川盆地整体抬升成陆，古特提斯海海水彻底退出扬子地台，接受以陆相碎屑岩为主的湖泊～三角洲～河流沉积。普光地区已探明含气层系主要为二叠系上统的长兴组及三叠系下统</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301-4-</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302-1</w:t>
      </w:r>
      <w:r w:rsidRPr="00092862">
        <w:rPr>
          <w:rFonts w:ascii="Times New Roman" w:eastAsia="宋体" w:hAnsi="Times New Roman" w:cs="Times New Roman"/>
          <w:color w:val="000000" w:themeColor="text1"/>
          <w:sz w:val="24"/>
          <w:szCs w:val="24"/>
        </w:rPr>
        <w:t>井区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地层较厚，向边部地层减薄。下面重点对目的层地层特征进行描述。</w:t>
      </w:r>
    </w:p>
    <w:p w14:paraId="029EB6C3" w14:textId="2FAE70F6" w:rsidR="004B4D44" w:rsidRPr="00092862" w:rsidRDefault="005533ED" w:rsidP="00FF312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中生界</w:t>
      </w:r>
    </w:p>
    <w:p w14:paraId="349376EA" w14:textId="73EB7F71" w:rsidR="004B4D44" w:rsidRPr="00092862" w:rsidRDefault="004B4D44" w:rsidP="00FF312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侏罗系</w:t>
      </w:r>
    </w:p>
    <w:p w14:paraId="3EF5C925" w14:textId="41FE501F"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侏罗系地层主要形发育湖泊、河流相沉积，可划分为上、中、下三个统，下统包括自流井组；中统包括千佛崖、下沙溪庙和上沙溪庙三个组；上统包括遂宁组和蓬莱镇组。侏罗系与下伏三叠系须家河组呈不整合－假整合接触。</w:t>
      </w:r>
    </w:p>
    <w:p w14:paraId="03DFA377" w14:textId="4B32AAF4"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蓬莱镇组厚度为</w:t>
      </w:r>
      <w:r w:rsidRPr="00092862">
        <w:rPr>
          <w:rFonts w:ascii="Times New Roman" w:eastAsia="宋体" w:hAnsi="Times New Roman" w:cs="Times New Roman"/>
          <w:color w:val="000000" w:themeColor="text1"/>
          <w:sz w:val="24"/>
          <w:szCs w:val="24"/>
        </w:rPr>
        <w:t>600-1000m</w:t>
      </w:r>
      <w:r w:rsidRPr="00092862">
        <w:rPr>
          <w:rFonts w:ascii="Times New Roman" w:eastAsia="宋体" w:hAnsi="Times New Roman" w:cs="Times New Roman"/>
          <w:color w:val="000000" w:themeColor="text1"/>
          <w:sz w:val="24"/>
          <w:szCs w:val="24"/>
        </w:rPr>
        <w:t>，为一套棕灰、棕红色泥岩与棕灰、紫色长石岩屑砂岩。</w:t>
      </w:r>
    </w:p>
    <w:p w14:paraId="358EC94C" w14:textId="71D523A3"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遂宁组厚度为</w:t>
      </w:r>
      <w:r w:rsidRPr="00092862">
        <w:rPr>
          <w:rFonts w:ascii="Times New Roman" w:eastAsia="宋体" w:hAnsi="Times New Roman" w:cs="Times New Roman"/>
          <w:color w:val="000000" w:themeColor="text1"/>
          <w:sz w:val="24"/>
          <w:szCs w:val="24"/>
        </w:rPr>
        <w:t>310-420m</w:t>
      </w:r>
      <w:r w:rsidRPr="00092862">
        <w:rPr>
          <w:rFonts w:ascii="Times New Roman" w:eastAsia="宋体" w:hAnsi="Times New Roman" w:cs="Times New Roman"/>
          <w:color w:val="000000" w:themeColor="text1"/>
          <w:sz w:val="24"/>
          <w:szCs w:val="24"/>
        </w:rPr>
        <w:t>，为一套棕红色泥岩夹细粒岩屑砂岩地层。</w:t>
      </w:r>
    </w:p>
    <w:p w14:paraId="7AB1A4FD" w14:textId="18C50B9E"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上沙溪庙组厚度为</w:t>
      </w:r>
      <w:r w:rsidRPr="00092862">
        <w:rPr>
          <w:rFonts w:ascii="Times New Roman" w:eastAsia="宋体" w:hAnsi="Times New Roman" w:cs="Times New Roman"/>
          <w:color w:val="000000" w:themeColor="text1"/>
          <w:sz w:val="24"/>
          <w:szCs w:val="24"/>
        </w:rPr>
        <w:t>13.5-2273m</w:t>
      </w:r>
      <w:r w:rsidRPr="00092862">
        <w:rPr>
          <w:rFonts w:ascii="Times New Roman" w:eastAsia="宋体" w:hAnsi="Times New Roman" w:cs="Times New Roman"/>
          <w:color w:val="000000" w:themeColor="text1"/>
          <w:sz w:val="24"/>
          <w:szCs w:val="24"/>
        </w:rPr>
        <w:t>，为棕紫色泥岩与灰绿色岩屑长石石英中、细砂岩互层，含钙质团块。</w:t>
      </w:r>
    </w:p>
    <w:p w14:paraId="628C53B2" w14:textId="5A5B7959"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下沙溪庙组厚度为</w:t>
      </w:r>
      <w:r w:rsidRPr="00092862">
        <w:rPr>
          <w:rFonts w:ascii="Times New Roman" w:eastAsia="宋体" w:hAnsi="Times New Roman" w:cs="Times New Roman"/>
          <w:color w:val="000000" w:themeColor="text1"/>
          <w:sz w:val="24"/>
          <w:szCs w:val="24"/>
        </w:rPr>
        <w:t>327.5-530m</w:t>
      </w:r>
      <w:r w:rsidRPr="00092862">
        <w:rPr>
          <w:rFonts w:ascii="Times New Roman" w:eastAsia="宋体" w:hAnsi="Times New Roman" w:cs="Times New Roman"/>
          <w:color w:val="000000" w:themeColor="text1"/>
          <w:sz w:val="24"/>
          <w:szCs w:val="24"/>
        </w:rPr>
        <w:t>，为棕紫色泥岩与细粒长石岩屑砂岩不等厚互层，顶有黑色页岩，底部发育厚层砂岩。</w:t>
      </w:r>
    </w:p>
    <w:p w14:paraId="41EFE4B1" w14:textId="024B3A15"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千佛崖组厚度为</w:t>
      </w:r>
      <w:r w:rsidRPr="00092862">
        <w:rPr>
          <w:rFonts w:ascii="Times New Roman" w:eastAsia="宋体" w:hAnsi="Times New Roman" w:cs="Times New Roman"/>
          <w:color w:val="000000" w:themeColor="text1"/>
          <w:sz w:val="24"/>
          <w:szCs w:val="24"/>
        </w:rPr>
        <w:t>274-504m</w:t>
      </w:r>
      <w:r w:rsidRPr="00092862">
        <w:rPr>
          <w:rFonts w:ascii="Times New Roman" w:eastAsia="宋体" w:hAnsi="Times New Roman" w:cs="Times New Roman"/>
          <w:color w:val="000000" w:themeColor="text1"/>
          <w:sz w:val="24"/>
          <w:szCs w:val="24"/>
        </w:rPr>
        <w:t>，中下部以棕色、灰色泥岩与浅灰、灰绿色细</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中粒岩屑砂岩不等厚互层，中部夹深灰、黑色页岩。</w:t>
      </w:r>
    </w:p>
    <w:p w14:paraId="484B1D99" w14:textId="42059612"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自流井组厚度为</w:t>
      </w:r>
      <w:r w:rsidRPr="00092862">
        <w:rPr>
          <w:rFonts w:ascii="Times New Roman" w:eastAsia="宋体" w:hAnsi="Times New Roman" w:cs="Times New Roman"/>
          <w:color w:val="000000" w:themeColor="text1"/>
          <w:sz w:val="24"/>
          <w:szCs w:val="24"/>
        </w:rPr>
        <w:t>253-464m</w:t>
      </w:r>
      <w:r w:rsidRPr="00092862">
        <w:rPr>
          <w:rFonts w:ascii="Times New Roman" w:eastAsia="宋体" w:hAnsi="Times New Roman" w:cs="Times New Roman"/>
          <w:color w:val="000000" w:themeColor="text1"/>
          <w:sz w:val="24"/>
          <w:szCs w:val="24"/>
        </w:rPr>
        <w:t>，顶部发育灰褐色介壳灰岩，中下部灰绿色、灰色泥岩，与灰色岩屑砂岩互层。</w:t>
      </w:r>
    </w:p>
    <w:p w14:paraId="48CAECFD" w14:textId="34B62731"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三叠系</w:t>
      </w:r>
    </w:p>
    <w:p w14:paraId="5EDE9563" w14:textId="4C9CDB7A"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三叠系分为上、中、下统。其中，中、下统的雷口坡组、嘉陵江组及</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为海相沉积，上统的须家河组为陆相沉积。</w:t>
      </w:r>
    </w:p>
    <w:p w14:paraId="19C63085" w14:textId="7FE0C0D7"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须家河组</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x)</w:t>
      </w:r>
      <w:r w:rsidRPr="00092862">
        <w:rPr>
          <w:rFonts w:ascii="Times New Roman" w:eastAsia="宋体" w:hAnsi="Times New Roman" w:cs="Times New Roman"/>
          <w:color w:val="000000" w:themeColor="text1"/>
          <w:sz w:val="24"/>
          <w:szCs w:val="24"/>
        </w:rPr>
        <w:t>：地层厚度一般为</w:t>
      </w:r>
      <w:r w:rsidRPr="00092862">
        <w:rPr>
          <w:rFonts w:ascii="Times New Roman" w:eastAsia="宋体" w:hAnsi="Times New Roman" w:cs="Times New Roman"/>
          <w:color w:val="000000" w:themeColor="text1"/>
          <w:sz w:val="24"/>
          <w:szCs w:val="24"/>
        </w:rPr>
        <w:t>446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999m</w:t>
      </w:r>
      <w:r w:rsidRPr="00092862">
        <w:rPr>
          <w:rFonts w:ascii="Times New Roman" w:eastAsia="宋体" w:hAnsi="Times New Roman" w:cs="Times New Roman"/>
          <w:color w:val="000000" w:themeColor="text1"/>
          <w:sz w:val="24"/>
          <w:szCs w:val="24"/>
        </w:rPr>
        <w:t>，主要形成于辫状河三角洲相，岩性主要为一套灰色中砂岩、细砂岩及含砾砂岩与灰色泥质岩不等厚互层，夹</w:t>
      </w:r>
      <w:r w:rsidRPr="00092862">
        <w:rPr>
          <w:rFonts w:ascii="Times New Roman" w:eastAsia="宋体" w:hAnsi="Times New Roman" w:cs="Times New Roman"/>
          <w:color w:val="000000" w:themeColor="text1"/>
          <w:sz w:val="24"/>
          <w:szCs w:val="24"/>
        </w:rPr>
        <w:lastRenderedPageBreak/>
        <w:t>黑色煤层及炭质页岩。一般自上而下划分为六段，其中须二段、须四段、须六段总体以砂岩为主、夹薄</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厚层灰黑、黑灰色泥、页岩，厚度较大；须一段、须三段、须五段总体以大段黑、黑灰色泥、页岩夹煤层为主、夹厚层灰、灰白色细</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粗粒岩屑砂岩、长石岩屑砂岩、长石岩屑石英砂岩、粉砂岩，厚度较小。底部砂岩或页岩与下伏雷口坡组碳酸盐岩呈不整合到假整合接触，岩性、电性特征上分界明显。</w:t>
      </w:r>
    </w:p>
    <w:p w14:paraId="0485D44B" w14:textId="6C530305"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雷口坡组（</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l</w:t>
      </w:r>
      <w:r w:rsidRPr="00092862">
        <w:rPr>
          <w:rFonts w:ascii="Times New Roman" w:eastAsia="宋体" w:hAnsi="Times New Roman" w:cs="Times New Roman"/>
          <w:color w:val="000000" w:themeColor="text1"/>
          <w:sz w:val="24"/>
          <w:szCs w:val="24"/>
        </w:rPr>
        <w:t>）：厚度一般为</w:t>
      </w:r>
      <w:r w:rsidRPr="00092862">
        <w:rPr>
          <w:rFonts w:ascii="Times New Roman" w:eastAsia="宋体" w:hAnsi="Times New Roman" w:cs="Times New Roman"/>
          <w:color w:val="000000" w:themeColor="text1"/>
          <w:sz w:val="24"/>
          <w:szCs w:val="24"/>
        </w:rPr>
        <w:t>43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928m</w:t>
      </w:r>
      <w:r w:rsidRPr="00092862">
        <w:rPr>
          <w:rFonts w:ascii="Times New Roman" w:eastAsia="宋体" w:hAnsi="Times New Roman" w:cs="Times New Roman"/>
          <w:color w:val="000000" w:themeColor="text1"/>
          <w:sz w:val="24"/>
          <w:szCs w:val="24"/>
        </w:rPr>
        <w:t>，主要形成于潮间～潮上膏云坪相，主要岩性为黄灰、深灰、灰色白云岩、灰岩，泥质灰岩与膏盐岩互层。岩性区域上可四分，本区钻井显示雷四段普遍遭受剥蚀，残余雷三段及以下地层。与下伏嘉陵江组呈整合接触。</w:t>
      </w:r>
    </w:p>
    <w:p w14:paraId="7A59500F" w14:textId="6EA13F6D"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嘉陵江组（</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j</w:t>
      </w:r>
      <w:r w:rsidRPr="00092862">
        <w:rPr>
          <w:rFonts w:ascii="Times New Roman" w:eastAsia="宋体" w:hAnsi="Times New Roman" w:cs="Times New Roman"/>
          <w:color w:val="000000" w:themeColor="text1"/>
          <w:sz w:val="24"/>
          <w:szCs w:val="24"/>
        </w:rPr>
        <w:t>）：厚度一般为</w:t>
      </w:r>
      <w:r w:rsidRPr="00092862">
        <w:rPr>
          <w:rFonts w:ascii="Times New Roman" w:eastAsia="宋体" w:hAnsi="Times New Roman" w:cs="Times New Roman"/>
          <w:color w:val="000000" w:themeColor="text1"/>
          <w:sz w:val="24"/>
          <w:szCs w:val="24"/>
        </w:rPr>
        <w:t>800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1100m</w:t>
      </w:r>
      <w:r w:rsidRPr="00092862">
        <w:rPr>
          <w:rFonts w:ascii="Times New Roman" w:eastAsia="宋体" w:hAnsi="Times New Roman" w:cs="Times New Roman"/>
          <w:color w:val="000000" w:themeColor="text1"/>
          <w:sz w:val="24"/>
          <w:szCs w:val="24"/>
        </w:rPr>
        <w:t>，主要形成于潮间～潮上膏云坪相，主要岩性为灰色及黄灰色灰岩、泥质灰岩、白云岩与膏盐岩互层。岩性上分为五段，以嘉五段、嘉四段膏岩极为发育、嘉三段～嘉一段碳酸盐岩发育为特征。与下伏</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呈整合接触。</w:t>
      </w:r>
    </w:p>
    <w:p w14:paraId="4DC965F7" w14:textId="678CD1AD" w:rsidR="004B4D44" w:rsidRPr="00092862" w:rsidRDefault="007A02DD"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T</w:t>
      </w:r>
      <w:r w:rsidR="004B4D44" w:rsidRPr="00092862">
        <w:rPr>
          <w:rFonts w:ascii="Times New Roman" w:eastAsia="宋体" w:hAnsi="Times New Roman" w:cs="Times New Roman"/>
          <w:color w:val="000000" w:themeColor="text1"/>
          <w:sz w:val="24"/>
          <w:szCs w:val="24"/>
          <w:vertAlign w:val="subscript"/>
        </w:rPr>
        <w:t>1</w:t>
      </w:r>
      <w:r w:rsidR="004B4D44" w:rsidRPr="00092862">
        <w:rPr>
          <w:rFonts w:ascii="Times New Roman" w:eastAsia="宋体" w:hAnsi="Times New Roman" w:cs="Times New Roman"/>
          <w:color w:val="000000" w:themeColor="text1"/>
          <w:sz w:val="24"/>
          <w:szCs w:val="24"/>
        </w:rPr>
        <w:t>f</w:t>
      </w:r>
      <w:r w:rsidR="004B4D44" w:rsidRPr="00092862">
        <w:rPr>
          <w:rFonts w:ascii="Times New Roman" w:eastAsia="宋体" w:hAnsi="Times New Roman" w:cs="Times New Roman"/>
          <w:color w:val="000000" w:themeColor="text1"/>
          <w:sz w:val="24"/>
          <w:szCs w:val="24"/>
        </w:rPr>
        <w:t>）：</w:t>
      </w:r>
      <w:r>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是气田的主要含气层系，与下伏长兴组、上覆嘉陵江组为整合接触，地层厚度为</w:t>
      </w:r>
      <w:r w:rsidR="004B4D44" w:rsidRPr="00092862">
        <w:rPr>
          <w:rFonts w:ascii="Times New Roman" w:eastAsia="宋体" w:hAnsi="Times New Roman" w:cs="Times New Roman"/>
          <w:color w:val="000000" w:themeColor="text1"/>
          <w:sz w:val="24"/>
          <w:szCs w:val="24"/>
        </w:rPr>
        <w:t>445</w:t>
      </w:r>
      <w:r w:rsidR="004B4D44" w:rsidRPr="00092862">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720m</w:t>
      </w:r>
      <w:r w:rsidR="004B4D44" w:rsidRPr="00092862">
        <w:rPr>
          <w:rFonts w:ascii="Times New Roman" w:eastAsia="宋体" w:hAnsi="Times New Roman" w:cs="Times New Roman"/>
          <w:color w:val="000000" w:themeColor="text1"/>
          <w:sz w:val="24"/>
          <w:szCs w:val="24"/>
        </w:rPr>
        <w:t>，在区域上具有明显的两分性，从川东北～川北地区存在一个整体呈</w:t>
      </w:r>
      <w:r w:rsidR="004B4D44" w:rsidRPr="00092862">
        <w:rPr>
          <w:rFonts w:ascii="Times New Roman" w:eastAsia="宋体" w:hAnsi="Times New Roman" w:cs="Times New Roman"/>
          <w:color w:val="000000" w:themeColor="text1"/>
          <w:sz w:val="24"/>
          <w:szCs w:val="24"/>
        </w:rPr>
        <w:t>NW</w:t>
      </w:r>
      <w:r w:rsidR="004B4D44" w:rsidRPr="00092862">
        <w:rPr>
          <w:rFonts w:ascii="Times New Roman" w:eastAsia="宋体" w:hAnsi="Times New Roman" w:cs="Times New Roman"/>
          <w:color w:val="000000" w:themeColor="text1"/>
          <w:sz w:val="24"/>
          <w:szCs w:val="24"/>
        </w:rPr>
        <w:t>向延伸的相变线。该相变线在铁山坡～大湾～普光～渡口河一线呈</w:t>
      </w:r>
      <w:r w:rsidR="004B4D44" w:rsidRPr="00092862">
        <w:rPr>
          <w:rFonts w:ascii="Times New Roman" w:eastAsia="宋体" w:hAnsi="Times New Roman" w:cs="Times New Roman"/>
          <w:color w:val="000000" w:themeColor="text1"/>
          <w:sz w:val="24"/>
          <w:szCs w:val="24"/>
        </w:rPr>
        <w:t>NWW</w:t>
      </w:r>
      <w:r w:rsidR="004B4D44" w:rsidRPr="00092862">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NNW</w:t>
      </w:r>
      <w:r w:rsidR="004B4D44" w:rsidRPr="00092862">
        <w:rPr>
          <w:rFonts w:ascii="Times New Roman" w:eastAsia="宋体" w:hAnsi="Times New Roman" w:cs="Times New Roman"/>
          <w:color w:val="000000" w:themeColor="text1"/>
          <w:sz w:val="24"/>
          <w:szCs w:val="24"/>
        </w:rPr>
        <w:t>向穿过，相变线以西主要为陆棚相灰岩沉积，以东主要为普光地区</w:t>
      </w:r>
      <w:r>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为台地相～台地边缘相沉积。</w:t>
      </w:r>
    </w:p>
    <w:p w14:paraId="2F5174D8" w14:textId="6EE27D0F"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普光地区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为台地边缘－台地鲕粒滩相沉积，飞一段与飞二段分段性不明显，根据区域地层对比、岩石类别、测井曲线特征大体可划分为飞一～二段、飞三段、飞四段。</w:t>
      </w:r>
    </w:p>
    <w:p w14:paraId="10C29E6F" w14:textId="65621C33"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飞四段（</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4</w:t>
      </w:r>
      <w:r w:rsidRPr="00092862">
        <w:rPr>
          <w:rFonts w:ascii="Times New Roman" w:eastAsia="宋体" w:hAnsi="Times New Roman" w:cs="Times New Roman"/>
          <w:color w:val="000000" w:themeColor="text1"/>
          <w:sz w:val="24"/>
          <w:szCs w:val="24"/>
        </w:rPr>
        <w:t>）：岩性为紫色、灰色白云岩、灰岩、石膏质白云岩与灰白色石膏不等厚互层，以石膏发育为特征；地层厚度一般在</w:t>
      </w:r>
      <w:r w:rsidRPr="00092862">
        <w:rPr>
          <w:rFonts w:ascii="Times New Roman" w:eastAsia="宋体" w:hAnsi="Times New Roman" w:cs="Times New Roman"/>
          <w:color w:val="000000" w:themeColor="text1"/>
          <w:sz w:val="24"/>
          <w:szCs w:val="24"/>
        </w:rPr>
        <w:t xml:space="preserve"> 50m </w:t>
      </w:r>
      <w:r w:rsidRPr="00092862">
        <w:rPr>
          <w:rFonts w:ascii="Times New Roman" w:eastAsia="宋体" w:hAnsi="Times New Roman" w:cs="Times New Roman"/>
          <w:color w:val="000000" w:themeColor="text1"/>
          <w:sz w:val="24"/>
          <w:szCs w:val="24"/>
        </w:rPr>
        <w:t>左右，整体由东向西增厚，并且石膏层趋于发育。测井曲线上自然伽玛具有幅度差较大、脉冲值总体较高的特点，视电阻率基值相对较低，但石膏呈高阻尖峰状，测井上以自然伽玛值由大变小、视电阻率由小增大，密度由高到底转变为特征划分飞四段与飞三段地层。</w:t>
      </w:r>
    </w:p>
    <w:p w14:paraId="0ABA0411" w14:textId="52C02F68" w:rsidR="004B4D44" w:rsidRPr="00092862" w:rsidRDefault="004B4D44"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3.2-</w:t>
      </w:r>
      <w:r w:rsidRPr="00092862">
        <w:rPr>
          <w:rFonts w:ascii="Times New Roman" w:eastAsia="黑体" w:hAnsi="Times New Roman"/>
          <w:color w:val="000000" w:themeColor="text1"/>
          <w:sz w:val="21"/>
          <w:szCs w:val="21"/>
          <w:lang w:eastAsia="zh-CN"/>
        </w:rPr>
        <w:t xml:space="preserve">1  </w:t>
      </w:r>
      <w:r w:rsidR="007A4B69" w:rsidRPr="00092862">
        <w:rPr>
          <w:rFonts w:ascii="Times New Roman" w:eastAsia="黑体" w:hAnsi="Times New Roman"/>
          <w:color w:val="000000" w:themeColor="text1"/>
          <w:sz w:val="21"/>
          <w:szCs w:val="21"/>
          <w:lang w:eastAsia="zh-CN"/>
        </w:rPr>
        <w:t>川东北宣汉～达县地区地层岩性特征</w:t>
      </w:r>
      <w:r w:rsidR="007A4B69" w:rsidRPr="00092862">
        <w:rPr>
          <w:rFonts w:ascii="Times New Roman" w:eastAsia="黑体" w:hAnsi="Times New Roman"/>
          <w:color w:val="000000" w:themeColor="text1"/>
          <w:sz w:val="21"/>
          <w:szCs w:val="21"/>
          <w:lang w:eastAsia="zh-CN"/>
        </w:rPr>
        <w:t>(</w:t>
      </w:r>
      <w:r w:rsidR="007A4B69" w:rsidRPr="00092862">
        <w:rPr>
          <w:rFonts w:ascii="Times New Roman" w:eastAsia="黑体" w:hAnsi="Times New Roman"/>
          <w:color w:val="000000" w:themeColor="text1"/>
          <w:sz w:val="21"/>
          <w:szCs w:val="21"/>
          <w:lang w:eastAsia="zh-CN"/>
        </w:rPr>
        <w:t>普光构造</w:t>
      </w:r>
      <w:r w:rsidR="007A4B69" w:rsidRPr="00092862">
        <w:rPr>
          <w:rFonts w:ascii="Times New Roman" w:eastAsia="黑体" w:hAnsi="Times New Roman"/>
          <w:color w:val="000000" w:themeColor="text1"/>
          <w:sz w:val="21"/>
          <w:szCs w:val="21"/>
          <w:lang w:eastAsia="zh-CN"/>
        </w:rPr>
        <w:t>)</w:t>
      </w:r>
      <w:r w:rsidR="007A4B69" w:rsidRPr="00092862">
        <w:rPr>
          <w:rFonts w:ascii="Times New Roman" w:eastAsia="黑体" w:hAnsi="Times New Roman"/>
          <w:color w:val="000000" w:themeColor="text1"/>
          <w:sz w:val="21"/>
          <w:szCs w:val="21"/>
          <w:lang w:eastAsia="zh-CN"/>
        </w:rPr>
        <w:t>表</w:t>
      </w:r>
    </w:p>
    <w:tbl>
      <w:tblPr>
        <w:tblStyle w:val="LL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1"/>
        <w:gridCol w:w="579"/>
        <w:gridCol w:w="697"/>
        <w:gridCol w:w="945"/>
        <w:gridCol w:w="3084"/>
        <w:gridCol w:w="969"/>
        <w:gridCol w:w="632"/>
        <w:gridCol w:w="903"/>
      </w:tblGrid>
      <w:tr w:rsidR="00697429" w:rsidRPr="00092862" w14:paraId="428DB161" w14:textId="77777777" w:rsidTr="007A4B69">
        <w:trPr>
          <w:trHeight w:val="535"/>
          <w:jc w:val="center"/>
        </w:trPr>
        <w:tc>
          <w:tcPr>
            <w:tcW w:w="295" w:type="pct"/>
          </w:tcPr>
          <w:p w14:paraId="4155E8B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系</w:t>
            </w:r>
          </w:p>
        </w:tc>
        <w:tc>
          <w:tcPr>
            <w:tcW w:w="349" w:type="pct"/>
          </w:tcPr>
          <w:p w14:paraId="17CEBE3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组</w:t>
            </w:r>
          </w:p>
        </w:tc>
        <w:tc>
          <w:tcPr>
            <w:tcW w:w="420" w:type="pct"/>
          </w:tcPr>
          <w:p w14:paraId="7164BBE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段</w:t>
            </w:r>
          </w:p>
        </w:tc>
        <w:tc>
          <w:tcPr>
            <w:tcW w:w="569" w:type="pct"/>
          </w:tcPr>
          <w:p w14:paraId="408A021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厚度</w:t>
            </w:r>
            <w:r w:rsidRPr="00092862">
              <w:rPr>
                <w:rFonts w:ascii="Times New Roman" w:eastAsia="宋体" w:hAnsi="Times New Roman" w:cs="Times New Roman"/>
                <w:color w:val="000000" w:themeColor="text1"/>
                <w:szCs w:val="21"/>
              </w:rPr>
              <w:t>(m)</w:t>
            </w:r>
          </w:p>
        </w:tc>
        <w:tc>
          <w:tcPr>
            <w:tcW w:w="1858" w:type="pct"/>
          </w:tcPr>
          <w:p w14:paraId="097EC60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岩性描述</w:t>
            </w:r>
          </w:p>
        </w:tc>
        <w:tc>
          <w:tcPr>
            <w:tcW w:w="584" w:type="pct"/>
          </w:tcPr>
          <w:p w14:paraId="5F80EC8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岩相特征</w:t>
            </w:r>
          </w:p>
        </w:tc>
        <w:tc>
          <w:tcPr>
            <w:tcW w:w="381" w:type="pct"/>
          </w:tcPr>
          <w:p w14:paraId="6FFF41B9"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构造</w:t>
            </w:r>
            <w:r w:rsidRPr="00092862">
              <w:rPr>
                <w:rFonts w:ascii="Times New Roman" w:eastAsia="宋体" w:hAnsi="Times New Roman" w:cs="Times New Roman"/>
                <w:color w:val="000000" w:themeColor="text1"/>
                <w:szCs w:val="21"/>
              </w:rPr>
              <w:lastRenderedPageBreak/>
              <w:t>事件</w:t>
            </w:r>
          </w:p>
        </w:tc>
        <w:tc>
          <w:tcPr>
            <w:tcW w:w="545" w:type="pct"/>
          </w:tcPr>
          <w:p w14:paraId="2E893D0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资料</w:t>
            </w:r>
          </w:p>
          <w:p w14:paraId="61F657A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来源</w:t>
            </w:r>
          </w:p>
        </w:tc>
      </w:tr>
      <w:tr w:rsidR="00697429" w:rsidRPr="00092862" w14:paraId="690AD1C2" w14:textId="77777777" w:rsidTr="007A4B69">
        <w:trPr>
          <w:trHeight w:val="574"/>
          <w:jc w:val="center"/>
        </w:trPr>
        <w:tc>
          <w:tcPr>
            <w:tcW w:w="295" w:type="pct"/>
          </w:tcPr>
          <w:p w14:paraId="50DABEE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白垩系</w:t>
            </w:r>
          </w:p>
        </w:tc>
        <w:tc>
          <w:tcPr>
            <w:tcW w:w="349" w:type="pct"/>
          </w:tcPr>
          <w:p w14:paraId="72DAE75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剑门关组</w:t>
            </w:r>
          </w:p>
        </w:tc>
        <w:tc>
          <w:tcPr>
            <w:tcW w:w="420" w:type="pct"/>
          </w:tcPr>
          <w:p w14:paraId="52E976E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61845436"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680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1100</w:t>
            </w:r>
          </w:p>
        </w:tc>
        <w:tc>
          <w:tcPr>
            <w:tcW w:w="1858" w:type="pct"/>
          </w:tcPr>
          <w:p w14:paraId="2C9F8DF6"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棕红色泥岩与灰白色岩屑长石石英砂岩。</w:t>
            </w:r>
          </w:p>
        </w:tc>
        <w:tc>
          <w:tcPr>
            <w:tcW w:w="584" w:type="pct"/>
          </w:tcPr>
          <w:p w14:paraId="0015D0E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浅湖与</w:t>
            </w:r>
          </w:p>
          <w:p w14:paraId="5FFB68F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河流相</w:t>
            </w:r>
          </w:p>
        </w:tc>
        <w:tc>
          <w:tcPr>
            <w:tcW w:w="381" w:type="pct"/>
            <w:vMerge w:val="restart"/>
          </w:tcPr>
          <w:p w14:paraId="4AF76131"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p w14:paraId="0F586D85"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燕山中幕</w:t>
            </w:r>
          </w:p>
        </w:tc>
        <w:tc>
          <w:tcPr>
            <w:tcW w:w="545" w:type="pct"/>
            <w:vMerge w:val="restart"/>
          </w:tcPr>
          <w:p w14:paraId="4E6E3D3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地表</w:t>
            </w:r>
          </w:p>
          <w:p w14:paraId="762E4B47" w14:textId="77777777" w:rsidR="007A4B69" w:rsidRPr="00092862" w:rsidRDefault="007A4B69" w:rsidP="00B94353">
            <w:pPr>
              <w:spacing w:line="240" w:lineRule="exact"/>
              <w:ind w:leftChars="-32" w:left="-54" w:rightChars="-18" w:right="-38" w:hanging="13"/>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资料</w:t>
            </w:r>
          </w:p>
        </w:tc>
      </w:tr>
      <w:tr w:rsidR="00697429" w:rsidRPr="00092862" w14:paraId="48AF74EC" w14:textId="77777777" w:rsidTr="007A4B69">
        <w:trPr>
          <w:trHeight w:val="535"/>
          <w:jc w:val="center"/>
        </w:trPr>
        <w:tc>
          <w:tcPr>
            <w:tcW w:w="295" w:type="pct"/>
            <w:vMerge w:val="restart"/>
          </w:tcPr>
          <w:p w14:paraId="5F1E002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侏</w:t>
            </w:r>
          </w:p>
          <w:p w14:paraId="1CF7C71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689E3DD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罗</w:t>
            </w:r>
          </w:p>
          <w:p w14:paraId="19B70B3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1E3619F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系</w:t>
            </w:r>
          </w:p>
        </w:tc>
        <w:tc>
          <w:tcPr>
            <w:tcW w:w="349" w:type="pct"/>
          </w:tcPr>
          <w:p w14:paraId="1C8F028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蓬莱镇组</w:t>
            </w:r>
          </w:p>
        </w:tc>
        <w:tc>
          <w:tcPr>
            <w:tcW w:w="420" w:type="pct"/>
          </w:tcPr>
          <w:p w14:paraId="3560E12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60AAE637"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1000</w:t>
            </w:r>
          </w:p>
        </w:tc>
        <w:tc>
          <w:tcPr>
            <w:tcW w:w="1858" w:type="pct"/>
          </w:tcPr>
          <w:p w14:paraId="174EC3A5"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棕灰、棕红色泥岩与棕灰、紫色长石岩屑砂岩。</w:t>
            </w:r>
          </w:p>
        </w:tc>
        <w:tc>
          <w:tcPr>
            <w:tcW w:w="584" w:type="pct"/>
          </w:tcPr>
          <w:p w14:paraId="43B4477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浅湖与</w:t>
            </w:r>
          </w:p>
          <w:p w14:paraId="7627693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河流相</w:t>
            </w:r>
          </w:p>
        </w:tc>
        <w:tc>
          <w:tcPr>
            <w:tcW w:w="381" w:type="pct"/>
            <w:vMerge/>
          </w:tcPr>
          <w:p w14:paraId="60FD396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6D90022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3FE27657" w14:textId="77777777" w:rsidTr="007A4B69">
        <w:trPr>
          <w:trHeight w:val="159"/>
          <w:jc w:val="center"/>
        </w:trPr>
        <w:tc>
          <w:tcPr>
            <w:tcW w:w="295" w:type="pct"/>
            <w:vMerge/>
          </w:tcPr>
          <w:p w14:paraId="0E256B2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4C8CCD2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遂宁组</w:t>
            </w:r>
          </w:p>
        </w:tc>
        <w:tc>
          <w:tcPr>
            <w:tcW w:w="420" w:type="pct"/>
          </w:tcPr>
          <w:p w14:paraId="50A8038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589D07A5"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420</w:t>
            </w:r>
          </w:p>
        </w:tc>
        <w:tc>
          <w:tcPr>
            <w:tcW w:w="1858" w:type="pct"/>
          </w:tcPr>
          <w:p w14:paraId="1B3B3377"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棕红色泥岩夹细粒岩屑砂岩。</w:t>
            </w:r>
          </w:p>
        </w:tc>
        <w:tc>
          <w:tcPr>
            <w:tcW w:w="584" w:type="pct"/>
          </w:tcPr>
          <w:p w14:paraId="49320CA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浅湖与</w:t>
            </w:r>
          </w:p>
          <w:p w14:paraId="201B89B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滨湖</w:t>
            </w:r>
          </w:p>
        </w:tc>
        <w:tc>
          <w:tcPr>
            <w:tcW w:w="381" w:type="pct"/>
            <w:vMerge w:val="restart"/>
          </w:tcPr>
          <w:p w14:paraId="5B7F8D78"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476319D2"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70F1563C" w14:textId="77777777" w:rsidTr="007A4B69">
        <w:trPr>
          <w:trHeight w:val="159"/>
          <w:jc w:val="center"/>
        </w:trPr>
        <w:tc>
          <w:tcPr>
            <w:tcW w:w="295" w:type="pct"/>
            <w:vMerge/>
          </w:tcPr>
          <w:p w14:paraId="6DE2B46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2D2FDA9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上沙溪庙组</w:t>
            </w:r>
          </w:p>
        </w:tc>
        <w:tc>
          <w:tcPr>
            <w:tcW w:w="420" w:type="pct"/>
          </w:tcPr>
          <w:p w14:paraId="1FE1A06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2DD38F8C"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1305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2273</w:t>
            </w:r>
          </w:p>
        </w:tc>
        <w:tc>
          <w:tcPr>
            <w:tcW w:w="1858" w:type="pct"/>
          </w:tcPr>
          <w:p w14:paraId="2836B891"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棕紫色泥岩与灰绿色岩屑长石石英中、细砂岩互层，含钙质团块。</w:t>
            </w:r>
          </w:p>
        </w:tc>
        <w:tc>
          <w:tcPr>
            <w:tcW w:w="584" w:type="pct"/>
          </w:tcPr>
          <w:p w14:paraId="565349D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浅湖与</w:t>
            </w:r>
          </w:p>
          <w:p w14:paraId="5443F18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河流相</w:t>
            </w:r>
          </w:p>
        </w:tc>
        <w:tc>
          <w:tcPr>
            <w:tcW w:w="381" w:type="pct"/>
            <w:vMerge/>
          </w:tcPr>
          <w:p w14:paraId="4D94B123"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val="restart"/>
          </w:tcPr>
          <w:p w14:paraId="5C5C6C4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1</w:t>
            </w:r>
          </w:p>
          <w:p w14:paraId="60B37E9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2</w:t>
            </w:r>
          </w:p>
          <w:p w14:paraId="610D598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3</w:t>
            </w:r>
          </w:p>
          <w:p w14:paraId="5830599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4</w:t>
            </w:r>
          </w:p>
          <w:p w14:paraId="51EB10D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5</w:t>
            </w:r>
          </w:p>
          <w:p w14:paraId="41F1C70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6</w:t>
            </w:r>
          </w:p>
          <w:p w14:paraId="736DE10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7</w:t>
            </w:r>
          </w:p>
          <w:p w14:paraId="595E1F2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8</w:t>
            </w:r>
          </w:p>
          <w:p w14:paraId="0ADD3CB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9</w:t>
            </w:r>
          </w:p>
          <w:p w14:paraId="646DDD8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10</w:t>
            </w:r>
          </w:p>
          <w:p w14:paraId="65D8DA6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11</w:t>
            </w: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101</w:t>
            </w:r>
          </w:p>
          <w:p w14:paraId="4B3FE1D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P102-2</w:t>
            </w:r>
          </w:p>
          <w:p w14:paraId="6CC79399" w14:textId="3B8FE2D9" w:rsidR="007A4B69" w:rsidRPr="00092862" w:rsidRDefault="0052043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w:t>
            </w:r>
            <w:r w:rsidR="007A4B69" w:rsidRPr="00092862">
              <w:rPr>
                <w:rFonts w:ascii="Times New Roman" w:eastAsia="宋体" w:hAnsi="Times New Roman" w:cs="Times New Roman"/>
                <w:color w:val="000000" w:themeColor="text1"/>
                <w:szCs w:val="21"/>
              </w:rPr>
              <w:t>-2</w:t>
            </w:r>
          </w:p>
          <w:p w14:paraId="3F76520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P104-2</w:t>
            </w:r>
          </w:p>
          <w:p w14:paraId="393519A1"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P201-2</w:t>
            </w:r>
          </w:p>
          <w:p w14:paraId="4524F57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P202-1</w:t>
            </w:r>
          </w:p>
          <w:p w14:paraId="35EA27C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P301-3</w:t>
            </w:r>
          </w:p>
          <w:p w14:paraId="7305E58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P301-4</w:t>
            </w:r>
          </w:p>
          <w:p w14:paraId="4444124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P302-1</w:t>
            </w:r>
          </w:p>
          <w:p w14:paraId="027E600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P302-2</w:t>
            </w:r>
          </w:p>
          <w:p w14:paraId="45378AE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P302-3</w:t>
            </w:r>
          </w:p>
          <w:p w14:paraId="7ED93C0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P303-1</w:t>
            </w:r>
          </w:p>
          <w:p w14:paraId="6EE1B80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P303-2</w:t>
            </w:r>
          </w:p>
          <w:p w14:paraId="0D6B859B" w14:textId="6F938E99" w:rsidR="007A4B69" w:rsidRPr="00092862" w:rsidRDefault="007A4B69" w:rsidP="00E3295F">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P304-3</w:t>
            </w:r>
            <w:r w:rsidRPr="00092862">
              <w:rPr>
                <w:rFonts w:ascii="Times New Roman" w:eastAsia="宋体" w:hAnsi="Times New Roman" w:cs="Times New Roman"/>
                <w:color w:val="000000" w:themeColor="text1"/>
                <w:szCs w:val="21"/>
              </w:rPr>
              <w:t>等</w:t>
            </w:r>
          </w:p>
        </w:tc>
      </w:tr>
      <w:tr w:rsidR="00697429" w:rsidRPr="00092862" w14:paraId="75BB3BEB" w14:textId="77777777" w:rsidTr="007A4B69">
        <w:trPr>
          <w:trHeight w:val="159"/>
          <w:jc w:val="center"/>
        </w:trPr>
        <w:tc>
          <w:tcPr>
            <w:tcW w:w="295" w:type="pct"/>
            <w:vMerge/>
          </w:tcPr>
          <w:p w14:paraId="75862E3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37A7B58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下沙溪庙组</w:t>
            </w:r>
          </w:p>
        </w:tc>
        <w:tc>
          <w:tcPr>
            <w:tcW w:w="420" w:type="pct"/>
          </w:tcPr>
          <w:p w14:paraId="37EC6CF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041C0C0E"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328</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530</w:t>
            </w:r>
          </w:p>
        </w:tc>
        <w:tc>
          <w:tcPr>
            <w:tcW w:w="1858" w:type="pct"/>
          </w:tcPr>
          <w:p w14:paraId="430738E5"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棕紫色泥岩与细粒长石岩屑砂岩不等厚互层，顶有黑色页岩，底部发育厚层砂岩。</w:t>
            </w:r>
          </w:p>
        </w:tc>
        <w:tc>
          <w:tcPr>
            <w:tcW w:w="584" w:type="pct"/>
          </w:tcPr>
          <w:p w14:paraId="071E91C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湖泊与</w:t>
            </w:r>
          </w:p>
          <w:p w14:paraId="3ACBE21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河流相</w:t>
            </w:r>
          </w:p>
        </w:tc>
        <w:tc>
          <w:tcPr>
            <w:tcW w:w="381" w:type="pct"/>
            <w:vMerge/>
          </w:tcPr>
          <w:p w14:paraId="3AADD29E"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3975C2B4"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1DEAB170" w14:textId="77777777" w:rsidTr="007A4B69">
        <w:trPr>
          <w:trHeight w:val="159"/>
          <w:jc w:val="center"/>
        </w:trPr>
        <w:tc>
          <w:tcPr>
            <w:tcW w:w="295" w:type="pct"/>
            <w:vMerge/>
          </w:tcPr>
          <w:p w14:paraId="2AF69FF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5264328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千佛崖组</w:t>
            </w:r>
          </w:p>
        </w:tc>
        <w:tc>
          <w:tcPr>
            <w:tcW w:w="420" w:type="pct"/>
          </w:tcPr>
          <w:p w14:paraId="68F356C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5A552C84"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274</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504</w:t>
            </w:r>
          </w:p>
        </w:tc>
        <w:tc>
          <w:tcPr>
            <w:tcW w:w="1858" w:type="pct"/>
          </w:tcPr>
          <w:p w14:paraId="1099B972"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中下部以棕色、灰色泥岩与浅灰、灰绿色细</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中粒岩屑砂岩不等厚互层，中部夹深灰、黑色页岩。</w:t>
            </w:r>
          </w:p>
        </w:tc>
        <w:tc>
          <w:tcPr>
            <w:tcW w:w="584" w:type="pct"/>
          </w:tcPr>
          <w:p w14:paraId="746BF6B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浅湖与</w:t>
            </w:r>
          </w:p>
          <w:p w14:paraId="6CE3F1E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滨湖相</w:t>
            </w:r>
          </w:p>
        </w:tc>
        <w:tc>
          <w:tcPr>
            <w:tcW w:w="381" w:type="pct"/>
            <w:vMerge w:val="restart"/>
          </w:tcPr>
          <w:p w14:paraId="7FC48388"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p w14:paraId="30F6FD68"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燕山早幕</w:t>
            </w:r>
          </w:p>
          <w:p w14:paraId="0E644225"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p w14:paraId="374A443B"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p w14:paraId="37286D84"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印支晚幕</w:t>
            </w:r>
          </w:p>
          <w:p w14:paraId="24FE31E1"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印支中幕</w:t>
            </w:r>
          </w:p>
          <w:p w14:paraId="46CC3ECF"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印支早幕</w:t>
            </w:r>
          </w:p>
        </w:tc>
        <w:tc>
          <w:tcPr>
            <w:tcW w:w="545" w:type="pct"/>
            <w:vMerge/>
          </w:tcPr>
          <w:p w14:paraId="24925C46"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13E964A9" w14:textId="77777777" w:rsidTr="007A4B69">
        <w:trPr>
          <w:trHeight w:val="159"/>
          <w:jc w:val="center"/>
        </w:trPr>
        <w:tc>
          <w:tcPr>
            <w:tcW w:w="295" w:type="pct"/>
            <w:vMerge/>
          </w:tcPr>
          <w:p w14:paraId="4FA5DE8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29565D1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自流井组</w:t>
            </w:r>
          </w:p>
        </w:tc>
        <w:tc>
          <w:tcPr>
            <w:tcW w:w="420" w:type="pct"/>
          </w:tcPr>
          <w:p w14:paraId="713D63B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5B264335"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253</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464</w:t>
            </w:r>
          </w:p>
        </w:tc>
        <w:tc>
          <w:tcPr>
            <w:tcW w:w="1858" w:type="pct"/>
          </w:tcPr>
          <w:p w14:paraId="65ED3439"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顶有灰褐色介壳灰岩，中下部灰绿色、灰色泥岩，与灰色岩屑砂岩互层。</w:t>
            </w:r>
          </w:p>
        </w:tc>
        <w:tc>
          <w:tcPr>
            <w:tcW w:w="584" w:type="pct"/>
          </w:tcPr>
          <w:p w14:paraId="57F9651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湖相与</w:t>
            </w:r>
          </w:p>
          <w:p w14:paraId="15A8234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河流相</w:t>
            </w:r>
          </w:p>
        </w:tc>
        <w:tc>
          <w:tcPr>
            <w:tcW w:w="381" w:type="pct"/>
            <w:vMerge/>
          </w:tcPr>
          <w:p w14:paraId="6E5D7723"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12B0639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23C8373C" w14:textId="77777777" w:rsidTr="007A4B69">
        <w:trPr>
          <w:trHeight w:val="1069"/>
          <w:jc w:val="center"/>
        </w:trPr>
        <w:tc>
          <w:tcPr>
            <w:tcW w:w="295" w:type="pct"/>
            <w:vMerge w:val="restart"/>
          </w:tcPr>
          <w:p w14:paraId="7BC761D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w:t>
            </w:r>
          </w:p>
          <w:p w14:paraId="2B0142A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6A6700D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0C993CB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6DB9DEF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0EAB77F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叠</w:t>
            </w:r>
          </w:p>
          <w:p w14:paraId="6325BDC1"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39ED877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68724E0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042810B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101578A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系</w:t>
            </w:r>
          </w:p>
        </w:tc>
        <w:tc>
          <w:tcPr>
            <w:tcW w:w="349" w:type="pct"/>
          </w:tcPr>
          <w:p w14:paraId="22C32991"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须家河组</w:t>
            </w:r>
          </w:p>
        </w:tc>
        <w:tc>
          <w:tcPr>
            <w:tcW w:w="420" w:type="pct"/>
          </w:tcPr>
          <w:p w14:paraId="341E534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0A6E9096"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468</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1000</w:t>
            </w:r>
          </w:p>
        </w:tc>
        <w:tc>
          <w:tcPr>
            <w:tcW w:w="1858" w:type="pct"/>
          </w:tcPr>
          <w:p w14:paraId="4EAD7547"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中上部黑色页岩、泥岩夹岩屑砂岩、煤线，中下部灰白色块状细粒岩屑砂岩、深灰色灰色泥岩互层，夹煤线，底部黑色页岩。</w:t>
            </w:r>
          </w:p>
        </w:tc>
        <w:tc>
          <w:tcPr>
            <w:tcW w:w="584" w:type="pct"/>
          </w:tcPr>
          <w:p w14:paraId="6F78F3C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辫状河三角洲</w:t>
            </w:r>
          </w:p>
        </w:tc>
        <w:tc>
          <w:tcPr>
            <w:tcW w:w="381" w:type="pct"/>
            <w:vMerge/>
          </w:tcPr>
          <w:p w14:paraId="0E2C914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5ECE19FF"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776ABC4F" w14:textId="77777777" w:rsidTr="007A4B69">
        <w:trPr>
          <w:trHeight w:val="159"/>
          <w:jc w:val="center"/>
        </w:trPr>
        <w:tc>
          <w:tcPr>
            <w:tcW w:w="295" w:type="pct"/>
            <w:vMerge/>
          </w:tcPr>
          <w:p w14:paraId="52FBCC5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val="restart"/>
          </w:tcPr>
          <w:p w14:paraId="20DB13C1"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雷</w:t>
            </w:r>
          </w:p>
          <w:p w14:paraId="0F91870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口</w:t>
            </w:r>
          </w:p>
          <w:p w14:paraId="5CF65FC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坡</w:t>
            </w:r>
          </w:p>
          <w:p w14:paraId="72C42FC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组</w:t>
            </w:r>
          </w:p>
        </w:tc>
        <w:tc>
          <w:tcPr>
            <w:tcW w:w="420" w:type="pct"/>
          </w:tcPr>
          <w:p w14:paraId="6B69B5C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三段</w:t>
            </w:r>
          </w:p>
        </w:tc>
        <w:tc>
          <w:tcPr>
            <w:tcW w:w="569" w:type="pct"/>
          </w:tcPr>
          <w:p w14:paraId="516EFD57"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333</w:t>
            </w:r>
          </w:p>
        </w:tc>
        <w:tc>
          <w:tcPr>
            <w:tcW w:w="1858" w:type="pct"/>
          </w:tcPr>
          <w:p w14:paraId="29F9C40E"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深灰色灰岩、云岩为主夹硬石膏灰岩</w:t>
            </w:r>
          </w:p>
        </w:tc>
        <w:tc>
          <w:tcPr>
            <w:tcW w:w="584" w:type="pct"/>
          </w:tcPr>
          <w:p w14:paraId="6DE31191" w14:textId="77777777" w:rsidR="007A4B69" w:rsidRPr="00092862" w:rsidRDefault="007A4B69" w:rsidP="00B94353">
            <w:pPr>
              <w:spacing w:line="240" w:lineRule="exact"/>
              <w:ind w:leftChars="-32" w:left="-67" w:rightChars="-18" w:right="-38"/>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浅滩、潮间</w:t>
            </w:r>
          </w:p>
        </w:tc>
        <w:tc>
          <w:tcPr>
            <w:tcW w:w="381" w:type="pct"/>
          </w:tcPr>
          <w:p w14:paraId="3B25E8A1"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385A3331"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01D632CA" w14:textId="77777777" w:rsidTr="007A4B69">
        <w:trPr>
          <w:trHeight w:val="159"/>
          <w:jc w:val="center"/>
        </w:trPr>
        <w:tc>
          <w:tcPr>
            <w:tcW w:w="295" w:type="pct"/>
            <w:vMerge/>
          </w:tcPr>
          <w:p w14:paraId="54C716E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tcPr>
          <w:p w14:paraId="74C6DE5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420" w:type="pct"/>
          </w:tcPr>
          <w:p w14:paraId="0C4D309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二段</w:t>
            </w:r>
          </w:p>
        </w:tc>
        <w:tc>
          <w:tcPr>
            <w:tcW w:w="569" w:type="pct"/>
          </w:tcPr>
          <w:p w14:paraId="084EABB7"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590</w:t>
            </w:r>
          </w:p>
        </w:tc>
        <w:tc>
          <w:tcPr>
            <w:tcW w:w="1858" w:type="pct"/>
          </w:tcPr>
          <w:p w14:paraId="4D1E3331"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深灰色云岩、灰岩或与硬石膏互层</w:t>
            </w:r>
          </w:p>
        </w:tc>
        <w:tc>
          <w:tcPr>
            <w:tcW w:w="584" w:type="pct"/>
          </w:tcPr>
          <w:p w14:paraId="1A9EC2F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潮间</w:t>
            </w:r>
          </w:p>
        </w:tc>
        <w:tc>
          <w:tcPr>
            <w:tcW w:w="381" w:type="pct"/>
          </w:tcPr>
          <w:p w14:paraId="57AAEB6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5315AE8D"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0B2797D8" w14:textId="77777777" w:rsidTr="007A4B69">
        <w:trPr>
          <w:trHeight w:val="159"/>
          <w:jc w:val="center"/>
        </w:trPr>
        <w:tc>
          <w:tcPr>
            <w:tcW w:w="295" w:type="pct"/>
            <w:vMerge/>
          </w:tcPr>
          <w:p w14:paraId="1167218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tcPr>
          <w:p w14:paraId="3C7D65E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420" w:type="pct"/>
          </w:tcPr>
          <w:p w14:paraId="31BBFC9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一段</w:t>
            </w:r>
          </w:p>
        </w:tc>
        <w:tc>
          <w:tcPr>
            <w:tcW w:w="569" w:type="pct"/>
          </w:tcPr>
          <w:p w14:paraId="13D59E8C"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243</w:t>
            </w:r>
          </w:p>
        </w:tc>
        <w:tc>
          <w:tcPr>
            <w:tcW w:w="1858" w:type="pct"/>
          </w:tcPr>
          <w:p w14:paraId="0530201A"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硬石膏夹云岩及砂屑灰岩，底为</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绿豆岩</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584" w:type="pct"/>
          </w:tcPr>
          <w:p w14:paraId="224C449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潮间</w:t>
            </w:r>
          </w:p>
        </w:tc>
        <w:tc>
          <w:tcPr>
            <w:tcW w:w="381" w:type="pct"/>
            <w:vMerge w:val="restart"/>
          </w:tcPr>
          <w:p w14:paraId="62F0F33B"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50B0011D"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6CFAD215" w14:textId="77777777" w:rsidTr="007A4B69">
        <w:trPr>
          <w:trHeight w:val="891"/>
          <w:jc w:val="center"/>
        </w:trPr>
        <w:tc>
          <w:tcPr>
            <w:tcW w:w="295" w:type="pct"/>
            <w:vMerge/>
          </w:tcPr>
          <w:p w14:paraId="08F8F8F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val="restart"/>
          </w:tcPr>
          <w:p w14:paraId="5272BCE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嘉</w:t>
            </w:r>
          </w:p>
          <w:p w14:paraId="16C56F6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陵</w:t>
            </w:r>
          </w:p>
          <w:p w14:paraId="2F4F0CC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江</w:t>
            </w:r>
          </w:p>
          <w:p w14:paraId="06A9B95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组</w:t>
            </w:r>
          </w:p>
        </w:tc>
        <w:tc>
          <w:tcPr>
            <w:tcW w:w="420" w:type="pct"/>
          </w:tcPr>
          <w:p w14:paraId="3836DA1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五～四段</w:t>
            </w:r>
          </w:p>
        </w:tc>
        <w:tc>
          <w:tcPr>
            <w:tcW w:w="569" w:type="pct"/>
          </w:tcPr>
          <w:p w14:paraId="2B58E498" w14:textId="6C73B4BB"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88</w:t>
            </w:r>
            <w:r w:rsidRPr="00092862">
              <w:rPr>
                <w:rFonts w:ascii="Times New Roman" w:eastAsia="宋体" w:hAnsi="Times New Roman" w:cs="Times New Roman"/>
                <w:color w:val="000000" w:themeColor="text1"/>
                <w:szCs w:val="21"/>
              </w:rPr>
              <w:t>～</w:t>
            </w:r>
            <w:r w:rsidR="007A02DD">
              <w:rPr>
                <w:rFonts w:ascii="Times New Roman" w:eastAsia="宋体" w:hAnsi="Times New Roman" w:cs="Times New Roman"/>
                <w:color w:val="000000" w:themeColor="text1"/>
                <w:szCs w:val="21"/>
              </w:rPr>
              <w:t>****</w:t>
            </w:r>
          </w:p>
        </w:tc>
        <w:tc>
          <w:tcPr>
            <w:tcW w:w="1858" w:type="pct"/>
          </w:tcPr>
          <w:p w14:paraId="0C465EF5"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硬石膏、盐岩互层，夹云岩、膏质灰岩、云质灰岩、灰质云岩，局部表现为上部膏盐岩为主，下部夹云岩夹鲕或粒屑云岩。</w:t>
            </w:r>
          </w:p>
        </w:tc>
        <w:tc>
          <w:tcPr>
            <w:tcW w:w="584" w:type="pct"/>
          </w:tcPr>
          <w:p w14:paraId="02B5984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潮间</w:t>
            </w:r>
          </w:p>
        </w:tc>
        <w:tc>
          <w:tcPr>
            <w:tcW w:w="381" w:type="pct"/>
            <w:vMerge/>
          </w:tcPr>
          <w:p w14:paraId="0B9F82E9"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016DD115"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43BF236B" w14:textId="77777777" w:rsidTr="007A4B69">
        <w:trPr>
          <w:trHeight w:val="159"/>
          <w:jc w:val="center"/>
        </w:trPr>
        <w:tc>
          <w:tcPr>
            <w:tcW w:w="295" w:type="pct"/>
            <w:vMerge/>
          </w:tcPr>
          <w:p w14:paraId="6D5A5AC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tcPr>
          <w:p w14:paraId="3E5A73F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420" w:type="pct"/>
          </w:tcPr>
          <w:p w14:paraId="2F1FB08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三段</w:t>
            </w:r>
          </w:p>
        </w:tc>
        <w:tc>
          <w:tcPr>
            <w:tcW w:w="569" w:type="pct"/>
          </w:tcPr>
          <w:p w14:paraId="6DC53204"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230</w:t>
            </w:r>
          </w:p>
        </w:tc>
        <w:tc>
          <w:tcPr>
            <w:tcW w:w="1858" w:type="pct"/>
          </w:tcPr>
          <w:p w14:paraId="411CBC03"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灰色云岩夹硬石膏及砂屑灰岩。</w:t>
            </w:r>
          </w:p>
        </w:tc>
        <w:tc>
          <w:tcPr>
            <w:tcW w:w="584" w:type="pct"/>
          </w:tcPr>
          <w:p w14:paraId="0665A2F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浅海台地</w:t>
            </w:r>
          </w:p>
        </w:tc>
        <w:tc>
          <w:tcPr>
            <w:tcW w:w="381" w:type="pct"/>
            <w:vMerge/>
          </w:tcPr>
          <w:p w14:paraId="0429E2CF"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55EEC31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35919984" w14:textId="77777777" w:rsidTr="007A4B69">
        <w:trPr>
          <w:trHeight w:val="159"/>
          <w:jc w:val="center"/>
        </w:trPr>
        <w:tc>
          <w:tcPr>
            <w:tcW w:w="295" w:type="pct"/>
            <w:vMerge/>
          </w:tcPr>
          <w:p w14:paraId="16BEA67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tcPr>
          <w:p w14:paraId="2B0456C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420" w:type="pct"/>
          </w:tcPr>
          <w:p w14:paraId="6082EC2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二段</w:t>
            </w:r>
          </w:p>
        </w:tc>
        <w:tc>
          <w:tcPr>
            <w:tcW w:w="569" w:type="pct"/>
          </w:tcPr>
          <w:p w14:paraId="19ABAEA1"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99</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211</w:t>
            </w:r>
          </w:p>
        </w:tc>
        <w:tc>
          <w:tcPr>
            <w:tcW w:w="1858" w:type="pct"/>
          </w:tcPr>
          <w:p w14:paraId="6A570B03"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云岩、砂屑云岩，间夹硬石膏。</w:t>
            </w:r>
          </w:p>
        </w:tc>
        <w:tc>
          <w:tcPr>
            <w:tcW w:w="584" w:type="pct"/>
          </w:tcPr>
          <w:p w14:paraId="284E589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潮间</w:t>
            </w:r>
          </w:p>
        </w:tc>
        <w:tc>
          <w:tcPr>
            <w:tcW w:w="381" w:type="pct"/>
            <w:vMerge w:val="restart"/>
          </w:tcPr>
          <w:p w14:paraId="60A98546"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626AC843"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0CE7DA3F" w14:textId="77777777" w:rsidTr="007A4B69">
        <w:trPr>
          <w:trHeight w:val="159"/>
          <w:jc w:val="center"/>
        </w:trPr>
        <w:tc>
          <w:tcPr>
            <w:tcW w:w="295" w:type="pct"/>
            <w:vMerge/>
          </w:tcPr>
          <w:p w14:paraId="2DBB3B5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tcPr>
          <w:p w14:paraId="02E1338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420" w:type="pct"/>
          </w:tcPr>
          <w:p w14:paraId="1482AC9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一段</w:t>
            </w:r>
          </w:p>
        </w:tc>
        <w:tc>
          <w:tcPr>
            <w:tcW w:w="569" w:type="pct"/>
          </w:tcPr>
          <w:p w14:paraId="742401EF"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263</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382</w:t>
            </w:r>
          </w:p>
        </w:tc>
        <w:tc>
          <w:tcPr>
            <w:tcW w:w="1858" w:type="pct"/>
          </w:tcPr>
          <w:p w14:paraId="246B1FF1"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深灰色、紫灰色灰岩、泥灰岩互层。</w:t>
            </w:r>
          </w:p>
        </w:tc>
        <w:tc>
          <w:tcPr>
            <w:tcW w:w="584" w:type="pct"/>
          </w:tcPr>
          <w:p w14:paraId="3CB52C9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浅海台地</w:t>
            </w:r>
          </w:p>
        </w:tc>
        <w:tc>
          <w:tcPr>
            <w:tcW w:w="381" w:type="pct"/>
            <w:vMerge/>
          </w:tcPr>
          <w:p w14:paraId="0D7CF7CD"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0E3B1D83"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3F6DF283" w14:textId="77777777" w:rsidTr="007A4B69">
        <w:trPr>
          <w:trHeight w:val="159"/>
          <w:jc w:val="center"/>
        </w:trPr>
        <w:tc>
          <w:tcPr>
            <w:tcW w:w="295" w:type="pct"/>
            <w:vMerge/>
          </w:tcPr>
          <w:p w14:paraId="35AC6A7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val="restart"/>
          </w:tcPr>
          <w:p w14:paraId="327C5CCC" w14:textId="3CC4F961" w:rsidR="007A4B69" w:rsidRPr="00092862" w:rsidRDefault="007A02DD" w:rsidP="00B94353">
            <w:pPr>
              <w:spacing w:line="240" w:lineRule="exact"/>
              <w:ind w:leftChars="-32" w:left="-67" w:rightChars="-18" w:right="-38" w:firstLine="1"/>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p>
        </w:tc>
        <w:tc>
          <w:tcPr>
            <w:tcW w:w="420" w:type="pct"/>
          </w:tcPr>
          <w:p w14:paraId="6800DF9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四段</w:t>
            </w:r>
          </w:p>
        </w:tc>
        <w:tc>
          <w:tcPr>
            <w:tcW w:w="569" w:type="pct"/>
          </w:tcPr>
          <w:p w14:paraId="048E89C3"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74</w:t>
            </w:r>
          </w:p>
        </w:tc>
        <w:tc>
          <w:tcPr>
            <w:tcW w:w="1858" w:type="pct"/>
          </w:tcPr>
          <w:p w14:paraId="6B47B283"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灰紫色泥岩与硬石膏，灰白色云岩。</w:t>
            </w:r>
          </w:p>
        </w:tc>
        <w:tc>
          <w:tcPr>
            <w:tcW w:w="584" w:type="pct"/>
          </w:tcPr>
          <w:p w14:paraId="3898400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蒸发台地</w:t>
            </w:r>
          </w:p>
        </w:tc>
        <w:tc>
          <w:tcPr>
            <w:tcW w:w="381" w:type="pct"/>
            <w:vMerge w:val="restart"/>
          </w:tcPr>
          <w:p w14:paraId="43DD30DF" w14:textId="77777777" w:rsidR="007A4B69" w:rsidRPr="00092862" w:rsidRDefault="007A4B69" w:rsidP="00B94353">
            <w:pPr>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川黔运动</w:t>
            </w:r>
          </w:p>
        </w:tc>
        <w:tc>
          <w:tcPr>
            <w:tcW w:w="545" w:type="pct"/>
            <w:vMerge/>
          </w:tcPr>
          <w:p w14:paraId="17A8BD2C"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6648BE16" w14:textId="77777777" w:rsidTr="007A4B69">
        <w:trPr>
          <w:trHeight w:val="159"/>
          <w:jc w:val="center"/>
        </w:trPr>
        <w:tc>
          <w:tcPr>
            <w:tcW w:w="295" w:type="pct"/>
            <w:vMerge/>
          </w:tcPr>
          <w:p w14:paraId="77FD67E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vMerge/>
          </w:tcPr>
          <w:p w14:paraId="4F87DA5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420" w:type="pct"/>
          </w:tcPr>
          <w:p w14:paraId="29D10CB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三～一段</w:t>
            </w:r>
          </w:p>
        </w:tc>
        <w:tc>
          <w:tcPr>
            <w:tcW w:w="569" w:type="pct"/>
          </w:tcPr>
          <w:p w14:paraId="53E15D4F"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640</w:t>
            </w:r>
          </w:p>
        </w:tc>
        <w:tc>
          <w:tcPr>
            <w:tcW w:w="1858" w:type="pct"/>
          </w:tcPr>
          <w:p w14:paraId="07C58C93"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部分地区为鲕粒云岩与灰色灰岩；部分地区为灰色灰岩，紫灰色泥质、泥灰岩，上部夹鲕灰岩。</w:t>
            </w:r>
          </w:p>
        </w:tc>
        <w:tc>
          <w:tcPr>
            <w:tcW w:w="584" w:type="pct"/>
          </w:tcPr>
          <w:p w14:paraId="40AE93F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陆棚－台地边缘－台地</w:t>
            </w:r>
          </w:p>
        </w:tc>
        <w:tc>
          <w:tcPr>
            <w:tcW w:w="381" w:type="pct"/>
            <w:vMerge/>
          </w:tcPr>
          <w:p w14:paraId="046EEC75"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2E71FECD"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2BA50752" w14:textId="77777777" w:rsidTr="007A4B69">
        <w:trPr>
          <w:trHeight w:val="535"/>
          <w:jc w:val="center"/>
        </w:trPr>
        <w:tc>
          <w:tcPr>
            <w:tcW w:w="295" w:type="pct"/>
            <w:vMerge w:val="restart"/>
          </w:tcPr>
          <w:p w14:paraId="0FB1340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二</w:t>
            </w:r>
          </w:p>
          <w:p w14:paraId="1C24ADF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46324E3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12EEA4D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68377DD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叠</w:t>
            </w:r>
          </w:p>
          <w:p w14:paraId="33E2720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113C30E3"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4D2C217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系</w:t>
            </w:r>
          </w:p>
        </w:tc>
        <w:tc>
          <w:tcPr>
            <w:tcW w:w="349" w:type="pct"/>
          </w:tcPr>
          <w:p w14:paraId="310DE559"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长兴组</w:t>
            </w:r>
          </w:p>
        </w:tc>
        <w:tc>
          <w:tcPr>
            <w:tcW w:w="420" w:type="pct"/>
          </w:tcPr>
          <w:p w14:paraId="7D24437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733E59DE"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92</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240</w:t>
            </w:r>
          </w:p>
        </w:tc>
        <w:tc>
          <w:tcPr>
            <w:tcW w:w="1858" w:type="pct"/>
          </w:tcPr>
          <w:p w14:paraId="3A0A87DE"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灰色生物灰岩和</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或溶孔云岩，含燧石层。</w:t>
            </w:r>
          </w:p>
        </w:tc>
        <w:tc>
          <w:tcPr>
            <w:tcW w:w="584" w:type="pct"/>
          </w:tcPr>
          <w:p w14:paraId="410B30FB"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陆棚－浅海台地</w:t>
            </w:r>
          </w:p>
        </w:tc>
        <w:tc>
          <w:tcPr>
            <w:tcW w:w="381" w:type="pct"/>
            <w:vMerge/>
          </w:tcPr>
          <w:p w14:paraId="6562E526"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1DFDC616"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7D58B1AC" w14:textId="77777777" w:rsidTr="007A4B69">
        <w:trPr>
          <w:trHeight w:val="159"/>
          <w:jc w:val="center"/>
        </w:trPr>
        <w:tc>
          <w:tcPr>
            <w:tcW w:w="295" w:type="pct"/>
            <w:vMerge/>
          </w:tcPr>
          <w:p w14:paraId="751699A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7F114C5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龙潭组</w:t>
            </w:r>
          </w:p>
        </w:tc>
        <w:tc>
          <w:tcPr>
            <w:tcW w:w="420" w:type="pct"/>
          </w:tcPr>
          <w:p w14:paraId="55ABB50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374D73CA"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91</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210</w:t>
            </w:r>
          </w:p>
        </w:tc>
        <w:tc>
          <w:tcPr>
            <w:tcW w:w="1858" w:type="pct"/>
          </w:tcPr>
          <w:p w14:paraId="315FCB79"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灰色燧石灰岩含燧石层，底为黑色页岩。</w:t>
            </w:r>
          </w:p>
        </w:tc>
        <w:tc>
          <w:tcPr>
            <w:tcW w:w="584" w:type="pct"/>
          </w:tcPr>
          <w:p w14:paraId="430DB88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浅海台地</w:t>
            </w:r>
          </w:p>
          <w:p w14:paraId="006DB9A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兼有台凹</w:t>
            </w:r>
          </w:p>
        </w:tc>
        <w:tc>
          <w:tcPr>
            <w:tcW w:w="381" w:type="pct"/>
            <w:vMerge/>
          </w:tcPr>
          <w:p w14:paraId="0C786A54"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0293DB82"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0DE8060B" w14:textId="77777777" w:rsidTr="007A4B69">
        <w:trPr>
          <w:trHeight w:val="159"/>
          <w:jc w:val="center"/>
        </w:trPr>
        <w:tc>
          <w:tcPr>
            <w:tcW w:w="295" w:type="pct"/>
            <w:vMerge/>
          </w:tcPr>
          <w:p w14:paraId="4EA518D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2EB616D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茅口组</w:t>
            </w:r>
          </w:p>
        </w:tc>
        <w:tc>
          <w:tcPr>
            <w:tcW w:w="420" w:type="pct"/>
          </w:tcPr>
          <w:p w14:paraId="1A980FAD"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569E2F32"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181</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270</w:t>
            </w:r>
          </w:p>
        </w:tc>
        <w:tc>
          <w:tcPr>
            <w:tcW w:w="1858" w:type="pct"/>
          </w:tcPr>
          <w:p w14:paraId="0D8578B8"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深灰色灰岩，顶有硅质，下部夹泥质灰岩。</w:t>
            </w:r>
          </w:p>
        </w:tc>
        <w:tc>
          <w:tcPr>
            <w:tcW w:w="584" w:type="pct"/>
          </w:tcPr>
          <w:p w14:paraId="5474DF5E"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浅海台地</w:t>
            </w:r>
          </w:p>
        </w:tc>
        <w:tc>
          <w:tcPr>
            <w:tcW w:w="381" w:type="pct"/>
            <w:vMerge/>
          </w:tcPr>
          <w:p w14:paraId="22A9FFA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6EC16FB9"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40CCA322" w14:textId="77777777" w:rsidTr="007A4B69">
        <w:trPr>
          <w:trHeight w:val="159"/>
          <w:jc w:val="center"/>
        </w:trPr>
        <w:tc>
          <w:tcPr>
            <w:tcW w:w="295" w:type="pct"/>
            <w:vMerge/>
          </w:tcPr>
          <w:p w14:paraId="193C94F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349" w:type="pct"/>
          </w:tcPr>
          <w:p w14:paraId="442B675A"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栖霞组</w:t>
            </w:r>
          </w:p>
        </w:tc>
        <w:tc>
          <w:tcPr>
            <w:tcW w:w="420" w:type="pct"/>
          </w:tcPr>
          <w:p w14:paraId="5028B432"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4495CD76"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130</w:t>
            </w:r>
          </w:p>
        </w:tc>
        <w:tc>
          <w:tcPr>
            <w:tcW w:w="1858" w:type="pct"/>
          </w:tcPr>
          <w:p w14:paraId="41F805E7"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深灰色灰岩，含燧石结核。</w:t>
            </w:r>
          </w:p>
        </w:tc>
        <w:tc>
          <w:tcPr>
            <w:tcW w:w="584" w:type="pct"/>
          </w:tcPr>
          <w:p w14:paraId="6307472F"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浅海台地</w:t>
            </w:r>
          </w:p>
        </w:tc>
        <w:tc>
          <w:tcPr>
            <w:tcW w:w="381" w:type="pct"/>
            <w:vMerge/>
          </w:tcPr>
          <w:p w14:paraId="2942AEDE"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7E3B377D"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208DB16E" w14:textId="77777777" w:rsidTr="007A4B69">
        <w:trPr>
          <w:trHeight w:val="159"/>
          <w:jc w:val="center"/>
        </w:trPr>
        <w:tc>
          <w:tcPr>
            <w:tcW w:w="295" w:type="pct"/>
            <w:vMerge/>
          </w:tcPr>
          <w:p w14:paraId="059B1869"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349" w:type="pct"/>
          </w:tcPr>
          <w:p w14:paraId="2A042B71"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梁山组</w:t>
            </w:r>
          </w:p>
        </w:tc>
        <w:tc>
          <w:tcPr>
            <w:tcW w:w="420" w:type="pct"/>
          </w:tcPr>
          <w:p w14:paraId="7D0369D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07002424"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w:t>
            </w:r>
          </w:p>
        </w:tc>
        <w:tc>
          <w:tcPr>
            <w:tcW w:w="1858" w:type="pct"/>
          </w:tcPr>
          <w:p w14:paraId="2B77340C"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黑色页岩夹砂岩</w:t>
            </w:r>
          </w:p>
        </w:tc>
        <w:tc>
          <w:tcPr>
            <w:tcW w:w="584" w:type="pct"/>
          </w:tcPr>
          <w:p w14:paraId="17148854"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滨岸</w:t>
            </w:r>
          </w:p>
        </w:tc>
        <w:tc>
          <w:tcPr>
            <w:tcW w:w="381" w:type="pct"/>
            <w:vMerge w:val="restart"/>
          </w:tcPr>
          <w:p w14:paraId="09BEBB7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p w14:paraId="75295EA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昆明运动</w:t>
            </w:r>
          </w:p>
          <w:p w14:paraId="4F20F18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加里东运动</w:t>
            </w:r>
          </w:p>
        </w:tc>
        <w:tc>
          <w:tcPr>
            <w:tcW w:w="545" w:type="pct"/>
            <w:vMerge/>
          </w:tcPr>
          <w:p w14:paraId="3DDE9F2F"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18896F99" w14:textId="77777777" w:rsidTr="007A4B69">
        <w:trPr>
          <w:trHeight w:val="464"/>
          <w:jc w:val="center"/>
        </w:trPr>
        <w:tc>
          <w:tcPr>
            <w:tcW w:w="295" w:type="pct"/>
          </w:tcPr>
          <w:p w14:paraId="76DC9D41"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石炭系</w:t>
            </w:r>
          </w:p>
        </w:tc>
        <w:tc>
          <w:tcPr>
            <w:tcW w:w="349" w:type="pct"/>
          </w:tcPr>
          <w:p w14:paraId="0889ADB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黄龙组</w:t>
            </w:r>
          </w:p>
        </w:tc>
        <w:tc>
          <w:tcPr>
            <w:tcW w:w="420" w:type="pct"/>
          </w:tcPr>
          <w:p w14:paraId="24DA1CE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5E946299"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70</w:t>
            </w:r>
          </w:p>
        </w:tc>
        <w:tc>
          <w:tcPr>
            <w:tcW w:w="1858" w:type="pct"/>
          </w:tcPr>
          <w:p w14:paraId="7D9771C1"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云岩夹灰岩</w:t>
            </w:r>
          </w:p>
        </w:tc>
        <w:tc>
          <w:tcPr>
            <w:tcW w:w="584" w:type="pct"/>
          </w:tcPr>
          <w:p w14:paraId="35F3E1B7"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浅海台地</w:t>
            </w:r>
          </w:p>
          <w:p w14:paraId="6826F2D5"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兼潮间</w:t>
            </w:r>
          </w:p>
        </w:tc>
        <w:tc>
          <w:tcPr>
            <w:tcW w:w="381" w:type="pct"/>
            <w:vMerge/>
          </w:tcPr>
          <w:p w14:paraId="393ECEEA"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3994B250"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r w:rsidR="00697429" w:rsidRPr="00092862" w14:paraId="0ECC6BF6" w14:textId="77777777" w:rsidTr="007A4B69">
        <w:trPr>
          <w:trHeight w:val="558"/>
          <w:jc w:val="center"/>
        </w:trPr>
        <w:tc>
          <w:tcPr>
            <w:tcW w:w="295" w:type="pct"/>
          </w:tcPr>
          <w:p w14:paraId="6B8AED76"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志留系</w:t>
            </w:r>
          </w:p>
        </w:tc>
        <w:tc>
          <w:tcPr>
            <w:tcW w:w="349" w:type="pct"/>
          </w:tcPr>
          <w:p w14:paraId="4BC4C080"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韩家店组</w:t>
            </w:r>
          </w:p>
        </w:tc>
        <w:tc>
          <w:tcPr>
            <w:tcW w:w="420" w:type="pct"/>
          </w:tcPr>
          <w:p w14:paraId="5619D96C"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p>
        </w:tc>
        <w:tc>
          <w:tcPr>
            <w:tcW w:w="569" w:type="pct"/>
          </w:tcPr>
          <w:p w14:paraId="38B6E5CB" w14:textId="77777777" w:rsidR="007A4B69" w:rsidRPr="00092862" w:rsidRDefault="007A4B69" w:rsidP="00B94353">
            <w:pPr>
              <w:adjustRightInd w:val="0"/>
              <w:snapToGrid w:val="0"/>
              <w:spacing w:line="240" w:lineRule="exac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600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900</w:t>
            </w:r>
          </w:p>
        </w:tc>
        <w:tc>
          <w:tcPr>
            <w:tcW w:w="1858" w:type="pct"/>
          </w:tcPr>
          <w:p w14:paraId="5B9A6341" w14:textId="77777777" w:rsidR="007A4B69" w:rsidRPr="00092862" w:rsidRDefault="007A4B69" w:rsidP="00B94353">
            <w:pPr>
              <w:spacing w:line="240" w:lineRule="exact"/>
              <w:ind w:leftChars="-32" w:left="-67" w:rightChars="-18" w:right="-38" w:firstLine="1"/>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灰绿、棕灰色砂质、粉砂质泥岩，泥岩，黑色、深灰色页岩。</w:t>
            </w:r>
          </w:p>
        </w:tc>
        <w:tc>
          <w:tcPr>
            <w:tcW w:w="584" w:type="pct"/>
          </w:tcPr>
          <w:p w14:paraId="4CDE8B88" w14:textId="77777777" w:rsidR="007A4B69" w:rsidRPr="00092862" w:rsidRDefault="007A4B69" w:rsidP="00B94353">
            <w:pPr>
              <w:spacing w:line="240" w:lineRule="exact"/>
              <w:ind w:leftChars="-32" w:left="-67" w:rightChars="-18" w:right="-38" w:firstLine="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陆棚</w:t>
            </w:r>
          </w:p>
        </w:tc>
        <w:tc>
          <w:tcPr>
            <w:tcW w:w="381" w:type="pct"/>
            <w:vMerge/>
          </w:tcPr>
          <w:p w14:paraId="109BAEDC"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c>
          <w:tcPr>
            <w:tcW w:w="545" w:type="pct"/>
            <w:vMerge/>
          </w:tcPr>
          <w:p w14:paraId="3F8FE837" w14:textId="77777777" w:rsidR="007A4B69" w:rsidRPr="00092862" w:rsidRDefault="007A4B69" w:rsidP="00B94353">
            <w:pPr>
              <w:spacing w:line="240" w:lineRule="exact"/>
              <w:rPr>
                <w:rFonts w:ascii="Times New Roman" w:eastAsia="宋体" w:hAnsi="Times New Roman" w:cs="Times New Roman"/>
                <w:color w:val="000000" w:themeColor="text1"/>
                <w:szCs w:val="21"/>
              </w:rPr>
            </w:pPr>
          </w:p>
        </w:tc>
      </w:tr>
    </w:tbl>
    <w:p w14:paraId="02A5CC80" w14:textId="77777777" w:rsidR="007A4B69" w:rsidRPr="00092862" w:rsidRDefault="007A4B69" w:rsidP="007A4B69">
      <w:pPr>
        <w:tabs>
          <w:tab w:val="left" w:pos="0"/>
        </w:tabs>
        <w:adjustRightInd w:val="0"/>
        <w:snapToGrid w:val="0"/>
        <w:spacing w:line="360" w:lineRule="auto"/>
        <w:jc w:val="center"/>
        <w:rPr>
          <w:rFonts w:ascii="Times New Roman" w:hAnsi="Times New Roman" w:cs="Times New Roman"/>
          <w:color w:val="000000" w:themeColor="text1"/>
        </w:rPr>
      </w:pPr>
    </w:p>
    <w:p w14:paraId="51104985" w14:textId="2795943D"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飞三段（</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以台缘向局限台地转变为沉积特征，灰岩较飞一、二段发育、针孔状白云岩不发育征。整体表现为东薄西厚。普光地区岩性为灰色、深灰色中至厚层状含泥灰岩、微晶灰岩、白云岩夹鲕粒灰岩、砂屑灰岩、溶孔状白云岩，形成于台地浅滩相。由普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井－普光</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井一线向四周的普光</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8</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等井白云岩逐渐减少，灰岩逐渐增多，向南特征明显，在毛坝</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、川付</w:t>
      </w:r>
      <w:r w:rsidRPr="00092862">
        <w:rPr>
          <w:rFonts w:ascii="Times New Roman" w:eastAsia="宋体" w:hAnsi="Times New Roman" w:cs="Times New Roman"/>
          <w:color w:val="000000" w:themeColor="text1"/>
          <w:sz w:val="24"/>
          <w:szCs w:val="24"/>
        </w:rPr>
        <w:t>85</w:t>
      </w:r>
      <w:r w:rsidRPr="00092862">
        <w:rPr>
          <w:rFonts w:ascii="Times New Roman" w:eastAsia="宋体" w:hAnsi="Times New Roman" w:cs="Times New Roman"/>
          <w:color w:val="000000" w:themeColor="text1"/>
          <w:sz w:val="24"/>
          <w:szCs w:val="24"/>
        </w:rPr>
        <w:t>井、东岳寨一带已变成灰岩或泥灰岩沉积，主要形成于开阔台地相。测井曲线上，自然伽玛呈较低幅度差、较低脉冲值特点，视电阻率相对平直微锯齿状至锯齿状，测井上以视电阻率由小相对增大为特征划分飞三段与飞二段界线。</w:t>
      </w:r>
    </w:p>
    <w:p w14:paraId="72CB1FA7" w14:textId="42D122DE"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飞一～二段（</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1-2</w:t>
      </w:r>
      <w:r w:rsidRPr="00092862">
        <w:rPr>
          <w:rFonts w:ascii="Times New Roman" w:eastAsia="宋体" w:hAnsi="Times New Roman" w:cs="Times New Roman"/>
          <w:color w:val="000000" w:themeColor="text1"/>
          <w:sz w:val="24"/>
          <w:szCs w:val="24"/>
        </w:rPr>
        <w:t>）：岩性为灰色、深灰色结晶白云岩、溶孔状白云岩、鲕状白云岩、残余藻屑白云岩，总体以溶孔状白云岩较发育为特征，形成于台地边缘暴露浅滩相，与北部的铁山坡、东部的渡口河地区形成了一个白云岩发育区。在毛坝</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、川付</w:t>
      </w:r>
      <w:r w:rsidRPr="00092862">
        <w:rPr>
          <w:rFonts w:ascii="Times New Roman" w:eastAsia="宋体" w:hAnsi="Times New Roman" w:cs="Times New Roman"/>
          <w:color w:val="000000" w:themeColor="text1"/>
          <w:sz w:val="24"/>
          <w:szCs w:val="24"/>
        </w:rPr>
        <w:t>85</w:t>
      </w:r>
      <w:r w:rsidRPr="00092862">
        <w:rPr>
          <w:rFonts w:ascii="Times New Roman" w:eastAsia="宋体" w:hAnsi="Times New Roman" w:cs="Times New Roman"/>
          <w:color w:val="000000" w:themeColor="text1"/>
          <w:sz w:val="24"/>
          <w:szCs w:val="24"/>
        </w:rPr>
        <w:t>、川岳</w:t>
      </w:r>
      <w:r w:rsidRPr="00092862">
        <w:rPr>
          <w:rFonts w:ascii="Times New Roman" w:eastAsia="宋体" w:hAnsi="Times New Roman" w:cs="Times New Roman"/>
          <w:color w:val="000000" w:themeColor="text1"/>
          <w:sz w:val="24"/>
          <w:szCs w:val="24"/>
        </w:rPr>
        <w:t>84</w:t>
      </w:r>
      <w:r w:rsidRPr="00092862">
        <w:rPr>
          <w:rFonts w:ascii="Times New Roman" w:eastAsia="宋体" w:hAnsi="Times New Roman" w:cs="Times New Roman"/>
          <w:color w:val="000000" w:themeColor="text1"/>
          <w:sz w:val="24"/>
          <w:szCs w:val="24"/>
        </w:rPr>
        <w:t>、渡</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等井一带主要位于陆棚区，主要岩性为灰色、深灰色灰岩、含泥灰岩及泥灰岩。在毛坝</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、大湾</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8</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一线，主要为台地边缘暴露浅滩相，岩性主要为浅灰色残余鲕粒白云岩、残余藻屑白云岩、溶孔状白云岩、砂屑白云岩。飞一～二段自然伽玛曲线总体平缓低值，底部因泥质所占比例增加呈</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齿状</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，深、浅侧向电阻率曲线呈</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齿状</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或</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峰状</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。飞一～二段内部发育一套稳定的泥灰岩，将飞一～二段地层划分为上部飞二段和下部飞一段。飞二段底界以海侵旋回结束为标志，暴露沉积间断特征，</w:t>
      </w:r>
      <w:r w:rsidRPr="00092862">
        <w:rPr>
          <w:rFonts w:ascii="Times New Roman" w:eastAsia="宋体" w:hAnsi="Times New Roman" w:cs="Times New Roman"/>
          <w:color w:val="000000" w:themeColor="text1"/>
          <w:sz w:val="24"/>
          <w:szCs w:val="24"/>
        </w:rPr>
        <w:t>GR</w:t>
      </w:r>
      <w:r w:rsidRPr="00092862">
        <w:rPr>
          <w:rFonts w:ascii="Times New Roman" w:eastAsia="宋体" w:hAnsi="Times New Roman" w:cs="Times New Roman"/>
          <w:color w:val="000000" w:themeColor="text1"/>
          <w:sz w:val="24"/>
          <w:szCs w:val="24"/>
        </w:rPr>
        <w:t>由小到大突变，成像特征差异明显。整个飞一段内部夹层不明显，测井曲线平直，具有块状特征。而飞一段底界岩性由长兴的云岩、灰</w:t>
      </w:r>
      <w:r w:rsidRPr="00092862">
        <w:rPr>
          <w:rFonts w:ascii="Times New Roman" w:eastAsia="宋体" w:hAnsi="Times New Roman" w:cs="Times New Roman"/>
          <w:color w:val="000000" w:themeColor="text1"/>
          <w:sz w:val="24"/>
          <w:szCs w:val="24"/>
        </w:rPr>
        <w:lastRenderedPageBreak/>
        <w:t>质云岩转变为泥灰岩、泥晶灰岩。测井上以自然伽玛由相对较小突变增大为特征划分飞一段与长兴组界线，与下伏长兴组灰岩或生物灰岩呈整合接触。</w:t>
      </w:r>
    </w:p>
    <w:p w14:paraId="535AF7B0" w14:textId="04C71E26" w:rsidR="004B4D44" w:rsidRPr="00092862" w:rsidRDefault="005533ED"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004B4D44" w:rsidRPr="00092862">
        <w:rPr>
          <w:rFonts w:ascii="Times New Roman" w:eastAsia="宋体" w:hAnsi="Times New Roman" w:cs="Times New Roman"/>
          <w:color w:val="000000" w:themeColor="text1"/>
          <w:sz w:val="24"/>
          <w:szCs w:val="24"/>
        </w:rPr>
        <w:t>上古生界</w:t>
      </w:r>
    </w:p>
    <w:p w14:paraId="3192A657" w14:textId="0456CA78"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二叠系</w:t>
      </w:r>
    </w:p>
    <w:p w14:paraId="4C14C193" w14:textId="0B7D61FE"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二叠系主要呈环带状出露于华蓥山主背斜轴部，宣汉～达县地区深埋地下，地层发育齐全，厚一般</w:t>
      </w:r>
      <w:r w:rsidRPr="00092862">
        <w:rPr>
          <w:rFonts w:ascii="Times New Roman" w:eastAsia="宋体" w:hAnsi="Times New Roman" w:cs="Times New Roman"/>
          <w:color w:val="000000" w:themeColor="text1"/>
          <w:sz w:val="24"/>
          <w:szCs w:val="24"/>
        </w:rPr>
        <w:t>500-900m</w:t>
      </w:r>
      <w:r w:rsidRPr="00092862">
        <w:rPr>
          <w:rFonts w:ascii="Times New Roman" w:eastAsia="宋体" w:hAnsi="Times New Roman" w:cs="Times New Roman"/>
          <w:color w:val="000000" w:themeColor="text1"/>
          <w:sz w:val="24"/>
          <w:szCs w:val="24"/>
        </w:rPr>
        <w:t>，化石丰富，主要为海相碳酸盐与海陆过渡相碳酸盐夹页岩沉积。自上而下划分为上统的长兴组、龙潭组、下统的茅口组、栖霞组、梁山组五个组。</w:t>
      </w:r>
    </w:p>
    <w:p w14:paraId="4262C769" w14:textId="27FFA012"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长兴组（</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ch</w:t>
      </w:r>
      <w:r w:rsidRPr="00092862">
        <w:rPr>
          <w:rFonts w:ascii="Times New Roman" w:eastAsia="宋体" w:hAnsi="Times New Roman" w:cs="Times New Roman"/>
          <w:color w:val="000000" w:themeColor="text1"/>
          <w:sz w:val="24"/>
          <w:szCs w:val="24"/>
        </w:rPr>
        <w:t>）：区域上，长兴组顶部为青灰色含白云质、硅质、泥质灰岩，含生物层、局部富集发育礁或滩。中、上部为中厚层状灰色白云质灰岩、灰岩，以富含燧石结核为特征，底部以灰岩质纯和下伏龙潭组灰岩质不纯夹页岩层呈整合接触。二叠纪末，扬子台地发生了大规模海平面下降事件，在浅水碳酸盐台地区长兴组顶部普遍沉积了一套厚几十米的白云岩。三叠纪初发生了海侵，飞一段底部普遍沉积了一套薄板状泥晶灰岩及含泥灰岩。薄板状泥晶灰岩、泥灰岩直接覆盖在白云岩之上。因此，如果二叠系与三叠系之间发育白云岩，可以将界线划在白云岩与灰岩接触面上。</w:t>
      </w:r>
    </w:p>
    <w:p w14:paraId="1C21BA2B" w14:textId="6AFE24CC"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长兴组是主体区块的主要含气层之一，二叠纪末在本区厚</w:t>
      </w:r>
      <w:r w:rsidRPr="00092862">
        <w:rPr>
          <w:rFonts w:ascii="Times New Roman" w:eastAsia="宋体" w:hAnsi="Times New Roman" w:cs="Times New Roman"/>
          <w:color w:val="000000" w:themeColor="text1"/>
          <w:sz w:val="24"/>
          <w:szCs w:val="24"/>
        </w:rPr>
        <w:t>92-290m</w:t>
      </w:r>
      <w:r w:rsidRPr="00092862">
        <w:rPr>
          <w:rFonts w:ascii="Times New Roman" w:eastAsia="宋体" w:hAnsi="Times New Roman" w:cs="Times New Roman"/>
          <w:color w:val="000000" w:themeColor="text1"/>
          <w:sz w:val="24"/>
          <w:szCs w:val="24"/>
        </w:rPr>
        <w:t>，整体表现为西薄东厚。测井曲线上，自然伽玛曲线平缓低值，深、浅侧向电阻率曲线局部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齿状</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中高阻，局部异常低阻；下部发育泥晶灰岩，自然伽玛曲线呈密集的低齿状，视电阻率曲线呈较密集较均匀的齿状～小尖峰状互层，与上覆</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以高自然伽玛明显区分。</w:t>
      </w:r>
    </w:p>
    <w:p w14:paraId="0DE24E24" w14:textId="28A89AFB"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龙潭组（</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l</w:t>
      </w:r>
      <w:r w:rsidRPr="00092862">
        <w:rPr>
          <w:rFonts w:ascii="Times New Roman" w:eastAsia="宋体" w:hAnsi="Times New Roman" w:cs="Times New Roman"/>
          <w:color w:val="000000" w:themeColor="text1"/>
          <w:sz w:val="24"/>
          <w:szCs w:val="24"/>
        </w:rPr>
        <w:t>）：龙潭组钻厚</w:t>
      </w:r>
      <w:r w:rsidRPr="00092862">
        <w:rPr>
          <w:rFonts w:ascii="Times New Roman" w:eastAsia="宋体" w:hAnsi="Times New Roman" w:cs="Times New Roman"/>
          <w:color w:val="000000" w:themeColor="text1"/>
          <w:sz w:val="24"/>
          <w:szCs w:val="24"/>
        </w:rPr>
        <w:t>91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210m</w:t>
      </w:r>
      <w:r w:rsidRPr="00092862">
        <w:rPr>
          <w:rFonts w:ascii="Times New Roman" w:eastAsia="宋体" w:hAnsi="Times New Roman" w:cs="Times New Roman"/>
          <w:color w:val="000000" w:themeColor="text1"/>
          <w:sz w:val="24"/>
          <w:szCs w:val="24"/>
        </w:rPr>
        <w:t>，东岳寨构造最厚，向四周减薄，厚度变化较大，但岩性组合具有一定的规律性，主要表现为灰岩与页岩的互层或间夹。</w:t>
      </w:r>
    </w:p>
    <w:p w14:paraId="4EC61585" w14:textId="5573A121"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茅口组（</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rPr>
        <w:t>）：茅口组区内仅</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口井钻遇，集中分布于南部、东南部，北侧的坡</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井也钻穿该套地层，最薄七里</w:t>
      </w:r>
      <w:r w:rsidRPr="00092862">
        <w:rPr>
          <w:rFonts w:ascii="Times New Roman" w:eastAsia="宋体" w:hAnsi="Times New Roman" w:cs="Times New Roman"/>
          <w:color w:val="000000" w:themeColor="text1"/>
          <w:sz w:val="24"/>
          <w:szCs w:val="24"/>
        </w:rPr>
        <w:t>23</w:t>
      </w:r>
      <w:r w:rsidRPr="00092862">
        <w:rPr>
          <w:rFonts w:ascii="Times New Roman" w:eastAsia="宋体" w:hAnsi="Times New Roman" w:cs="Times New Roman"/>
          <w:color w:val="000000" w:themeColor="text1"/>
          <w:sz w:val="24"/>
          <w:szCs w:val="24"/>
        </w:rPr>
        <w:t>井为</w:t>
      </w:r>
      <w:r w:rsidRPr="00092862">
        <w:rPr>
          <w:rFonts w:ascii="Times New Roman" w:eastAsia="宋体" w:hAnsi="Times New Roman" w:cs="Times New Roman"/>
          <w:color w:val="000000" w:themeColor="text1"/>
          <w:sz w:val="24"/>
          <w:szCs w:val="24"/>
        </w:rPr>
        <w:t>181.5m</w:t>
      </w:r>
      <w:r w:rsidRPr="00092862">
        <w:rPr>
          <w:rFonts w:ascii="Times New Roman" w:eastAsia="宋体" w:hAnsi="Times New Roman" w:cs="Times New Roman"/>
          <w:color w:val="000000" w:themeColor="text1"/>
          <w:sz w:val="24"/>
          <w:szCs w:val="24"/>
        </w:rPr>
        <w:t>、最厚双石</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井在</w:t>
      </w:r>
      <w:r w:rsidRPr="00092862">
        <w:rPr>
          <w:rFonts w:ascii="Times New Roman" w:eastAsia="宋体" w:hAnsi="Times New Roman" w:cs="Times New Roman"/>
          <w:color w:val="000000" w:themeColor="text1"/>
          <w:sz w:val="24"/>
          <w:szCs w:val="24"/>
        </w:rPr>
        <w:t>270m</w:t>
      </w:r>
      <w:r w:rsidRPr="00092862">
        <w:rPr>
          <w:rFonts w:ascii="Times New Roman" w:eastAsia="宋体" w:hAnsi="Times New Roman" w:cs="Times New Roman"/>
          <w:color w:val="000000" w:themeColor="text1"/>
          <w:sz w:val="24"/>
          <w:szCs w:val="24"/>
        </w:rPr>
        <w:t>以上。</w:t>
      </w:r>
    </w:p>
    <w:p w14:paraId="7DA098D8" w14:textId="1645DD12"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在区域上一般分为四段，宣汉～达县地区主要发育茅一、二段。其中，茅二段以灰白色块状灰岩为主，层间夹页岩。茅一段深灰色灰岩，含泥质较多，夹黑色炭质页岩。下部多为褐灰到深灰色灰岩、生物灰岩、含燧石灰岩等。底</w:t>
      </w:r>
      <w:r w:rsidRPr="00092862">
        <w:rPr>
          <w:rFonts w:ascii="Times New Roman" w:eastAsia="宋体" w:hAnsi="Times New Roman" w:cs="Times New Roman"/>
          <w:color w:val="000000" w:themeColor="text1"/>
          <w:sz w:val="24"/>
          <w:szCs w:val="24"/>
        </w:rPr>
        <w:lastRenderedPageBreak/>
        <w:t>为黑色薄层灰岩夹页岩与下伏栖霞组呈整合接触。</w:t>
      </w:r>
    </w:p>
    <w:p w14:paraId="6CDA929E" w14:textId="4FF9477A"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栖霞组（</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g</w:t>
      </w:r>
      <w:r w:rsidRPr="00092862">
        <w:rPr>
          <w:rFonts w:ascii="Times New Roman" w:eastAsia="宋体" w:hAnsi="Times New Roman" w:cs="Times New Roman"/>
          <w:color w:val="000000" w:themeColor="text1"/>
          <w:sz w:val="24"/>
          <w:szCs w:val="24"/>
        </w:rPr>
        <w:t>）：栖霞组厚</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130m</w:t>
      </w:r>
      <w:r w:rsidRPr="00092862">
        <w:rPr>
          <w:rFonts w:ascii="Times New Roman" w:eastAsia="宋体" w:hAnsi="Times New Roman" w:cs="Times New Roman"/>
          <w:color w:val="000000" w:themeColor="text1"/>
          <w:sz w:val="24"/>
          <w:szCs w:val="24"/>
        </w:rPr>
        <w:t>，总体为深灰色到灰黑色薄层～块状灰岩。上部硅质夹层与泥质灰岩较少，生物碎屑较多，灰岩色渐变浅、质较纯，层理不发育。中、下部泥质灰岩与硅质灰岩较多。底部以黑色生物碎屑灰岩夹炭质页岩与下伏梁山组呈整合接触。</w:t>
      </w:r>
    </w:p>
    <w:p w14:paraId="563FF035" w14:textId="29380104" w:rsidR="004B4D44" w:rsidRPr="00092862" w:rsidRDefault="004B4D44"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梁山组（</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l</w:t>
      </w:r>
      <w:r w:rsidRPr="00092862">
        <w:rPr>
          <w:rFonts w:ascii="Times New Roman" w:eastAsia="宋体" w:hAnsi="Times New Roman" w:cs="Times New Roman"/>
          <w:color w:val="000000" w:themeColor="text1"/>
          <w:sz w:val="24"/>
          <w:szCs w:val="24"/>
        </w:rPr>
        <w:t>）：梁山组厚度较薄，厚</w:t>
      </w:r>
      <w:r w:rsidRPr="00092862">
        <w:rPr>
          <w:rFonts w:ascii="Times New Roman" w:eastAsia="宋体" w:hAnsi="Times New Roman" w:cs="Times New Roman"/>
          <w:color w:val="000000" w:themeColor="text1"/>
          <w:sz w:val="24"/>
          <w:szCs w:val="24"/>
        </w:rPr>
        <w:t>5.5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7.5m</w:t>
      </w:r>
      <w:r w:rsidRPr="00092862">
        <w:rPr>
          <w:rFonts w:ascii="Times New Roman" w:eastAsia="宋体" w:hAnsi="Times New Roman" w:cs="Times New Roman"/>
          <w:color w:val="000000" w:themeColor="text1"/>
          <w:sz w:val="24"/>
          <w:szCs w:val="24"/>
        </w:rPr>
        <w:t>，深灰色、黑色碳质页岩、夹粘土岩及煤线，局部夹薄层灰岩，与下伏石炭系黄龙组灰岩或白云岩呈假整合接触。</w:t>
      </w:r>
    </w:p>
    <w:p w14:paraId="48EEBA65" w14:textId="77777777" w:rsidR="001D4AE2" w:rsidRPr="00092862" w:rsidRDefault="001D4AE2" w:rsidP="001D4AE2">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石炭系</w:t>
      </w:r>
    </w:p>
    <w:p w14:paraId="318A52D6" w14:textId="419FBFCC" w:rsidR="004B4D44" w:rsidRPr="00092862" w:rsidRDefault="001D4AE2" w:rsidP="001D4AE2">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主要发育中石炭统黄龙组，在宣汉～达县地区残厚</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70m</w:t>
      </w:r>
      <w:r w:rsidRPr="00092862">
        <w:rPr>
          <w:rFonts w:ascii="Times New Roman" w:eastAsia="宋体" w:hAnsi="Times New Roman" w:cs="Times New Roman"/>
          <w:color w:val="000000" w:themeColor="text1"/>
          <w:sz w:val="24"/>
          <w:szCs w:val="24"/>
        </w:rPr>
        <w:t>，东南厚度较大，向西北减小或缺失。主要为灰色角砾状白云岩，角砾状灰岩。大致可三分：上段以灰岩为主、间夹白云岩；中段白云岩较发育，中含生物屑、鲕粒、角砾白云岩，是主要的产气层段；下段为膏盐岩与灰岩，与下伏志留系页岩呈假整合接触。</w:t>
      </w:r>
    </w:p>
    <w:p w14:paraId="57022C3B" w14:textId="68EDA40D" w:rsidR="004B4D44" w:rsidRPr="00092862" w:rsidRDefault="005533ED"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1D4AE2" w:rsidRPr="00092862">
        <w:rPr>
          <w:rFonts w:ascii="Times New Roman" w:eastAsia="宋体" w:hAnsi="Times New Roman" w:cs="Times New Roman"/>
          <w:color w:val="000000" w:themeColor="text1"/>
          <w:sz w:val="24"/>
          <w:szCs w:val="24"/>
        </w:rPr>
        <w:t>下古生界</w:t>
      </w:r>
    </w:p>
    <w:p w14:paraId="6C4F06FE" w14:textId="62F4E499" w:rsidR="004B4D44" w:rsidRPr="00092862" w:rsidRDefault="001D4AE2" w:rsidP="001D4AE2">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主要描述志留系。志留系主要发育中下统地层，在本区厚度为</w:t>
      </w:r>
      <w:r w:rsidRPr="00092862">
        <w:rPr>
          <w:rFonts w:ascii="Times New Roman" w:eastAsia="宋体" w:hAnsi="Times New Roman" w:cs="Times New Roman"/>
          <w:color w:val="000000" w:themeColor="text1"/>
          <w:sz w:val="24"/>
          <w:szCs w:val="24"/>
        </w:rPr>
        <w:t>600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900m</w:t>
      </w:r>
      <w:r w:rsidRPr="00092862">
        <w:rPr>
          <w:rFonts w:ascii="Times New Roman" w:eastAsia="宋体" w:hAnsi="Times New Roman" w:cs="Times New Roman"/>
          <w:color w:val="000000" w:themeColor="text1"/>
          <w:sz w:val="24"/>
          <w:szCs w:val="24"/>
        </w:rPr>
        <w:t>，主要为灰绿、棕灰色、深灰色页岩、砂质页岩及泥质粉砂岩或砂岩等。据区域资料，下志留统黑色、深灰色页岩十分发育，向上变差。</w:t>
      </w:r>
    </w:p>
    <w:p w14:paraId="11E0CE8D" w14:textId="5153F1E8" w:rsidR="00267ABB" w:rsidRPr="00092862" w:rsidRDefault="00267ABB" w:rsidP="00267ABB">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 xml:space="preserve">3.2.2.3 </w:t>
      </w:r>
      <w:r w:rsidRPr="00092862">
        <w:rPr>
          <w:rFonts w:ascii="Times New Roman" w:eastAsia="黑体" w:hAnsi="Times New Roman" w:cs="Times New Roman"/>
          <w:color w:val="000000" w:themeColor="text1"/>
          <w:sz w:val="24"/>
          <w:szCs w:val="24"/>
        </w:rPr>
        <w:t>气藏构造特征</w:t>
      </w:r>
    </w:p>
    <w:p w14:paraId="5EA9099C" w14:textId="0BA41256"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）层位标定及反射特征</w:t>
      </w:r>
    </w:p>
    <w:p w14:paraId="15B418C0" w14:textId="27D62DD5" w:rsidR="004B4D44"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本次应用</w:t>
      </w:r>
      <w:r w:rsidRPr="00092862">
        <w:rPr>
          <w:rFonts w:ascii="Times New Roman" w:eastAsia="宋体" w:hAnsi="Times New Roman" w:cs="Times New Roman"/>
          <w:color w:val="000000" w:themeColor="text1"/>
          <w:sz w:val="24"/>
          <w:szCs w:val="24"/>
        </w:rPr>
        <w:t>2016-2018</w:t>
      </w:r>
      <w:r w:rsidRPr="00092862">
        <w:rPr>
          <w:rFonts w:ascii="Times New Roman" w:eastAsia="宋体" w:hAnsi="Times New Roman" w:cs="Times New Roman"/>
          <w:color w:val="000000" w:themeColor="text1"/>
          <w:sz w:val="24"/>
          <w:szCs w:val="24"/>
        </w:rPr>
        <w:t>年二次采集三维地震资料，取得的大部分地震资料品质较好，信噪比较高，分辨率较高，且在</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x</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j</w:t>
      </w:r>
      <w:r w:rsidRPr="00092862">
        <w:rPr>
          <w:rFonts w:ascii="Times New Roman" w:eastAsia="宋体" w:hAnsi="Times New Roman" w:cs="Times New Roman"/>
          <w:color w:val="000000" w:themeColor="text1"/>
          <w:sz w:val="24"/>
          <w:szCs w:val="24"/>
          <w:vertAlign w:val="subscript"/>
        </w:rPr>
        <w:t>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ch</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l</w:t>
      </w:r>
      <w:r w:rsidRPr="00092862">
        <w:rPr>
          <w:rFonts w:ascii="Times New Roman" w:eastAsia="宋体" w:hAnsi="Times New Roman" w:cs="Times New Roman"/>
          <w:color w:val="000000" w:themeColor="text1"/>
          <w:sz w:val="24"/>
          <w:szCs w:val="24"/>
        </w:rPr>
        <w:t>等主要反射层波形特征稳定，连续性好，且全区能对比追踪，为构造精细解释奠定良好基础。</w:t>
      </w:r>
    </w:p>
    <w:p w14:paraId="0D37CD56" w14:textId="6C13C6B5" w:rsidR="004B4D44"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地震反射特征：综合钻井岩性、电性资料，结合区域构造地质认识和本区地震波组特征，确定了</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各个层段在普光主体的地震反射特征：</w:t>
      </w:r>
    </w:p>
    <w:p w14:paraId="54039DCD" w14:textId="41FADA0E"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TJ</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q</w:t>
      </w:r>
      <w:r w:rsidRPr="00092862">
        <w:rPr>
          <w:rFonts w:ascii="Times New Roman" w:eastAsia="宋体" w:hAnsi="Times New Roman" w:cs="Times New Roman"/>
          <w:color w:val="000000" w:themeColor="text1"/>
          <w:sz w:val="24"/>
          <w:szCs w:val="24"/>
        </w:rPr>
        <w:t>：相当于下侏罗统千佛崖组底界反射，岩性为灰色、灰绿色泥岩夹岩屑砂岩、黑色页岩及介壳灰岩，与下伏自流井组暗色泥页岩呈不整合－假整合接触。地震反射上表现为</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个较强反射同相轴</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连续性较好，全区可以连续追踪。</w:t>
      </w:r>
    </w:p>
    <w:p w14:paraId="6DB96B21" w14:textId="3AE5DEBC"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TT</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x</w:t>
      </w:r>
      <w:r w:rsidRPr="00092862">
        <w:rPr>
          <w:rFonts w:ascii="Times New Roman" w:eastAsia="宋体" w:hAnsi="Times New Roman" w:cs="Times New Roman"/>
          <w:color w:val="000000" w:themeColor="text1"/>
          <w:sz w:val="24"/>
          <w:szCs w:val="24"/>
        </w:rPr>
        <w:t>：相当于上三叠统须家河组底界反射，岩性以厚层块状砂岩为主，电阻率曲线呈现高阻特征，与雷口坡组通过岩性特征比较容易分开。地震反射上表现为弱反射中的较强反射</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连续性较好，全区可以连续追踪，为海相地层与陆相地层的分界线。</w:t>
      </w:r>
    </w:p>
    <w:p w14:paraId="4048B8F1" w14:textId="573B4E02"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j</w:t>
      </w:r>
      <w:r w:rsidRPr="00092862">
        <w:rPr>
          <w:rFonts w:ascii="Times New Roman" w:eastAsia="宋体" w:hAnsi="Times New Roman" w:cs="Times New Roman"/>
          <w:color w:val="000000" w:themeColor="text1"/>
          <w:sz w:val="24"/>
          <w:szCs w:val="24"/>
          <w:vertAlign w:val="subscript"/>
        </w:rPr>
        <w:t>4</w:t>
      </w:r>
      <w:r w:rsidRPr="00092862">
        <w:rPr>
          <w:rFonts w:ascii="Times New Roman" w:eastAsia="宋体" w:hAnsi="Times New Roman" w:cs="Times New Roman"/>
          <w:color w:val="000000" w:themeColor="text1"/>
          <w:sz w:val="24"/>
          <w:szCs w:val="24"/>
        </w:rPr>
        <w:t>：相当于下三叠统嘉陵江组四段底界反射，为嘉五、四段膏盐岩与嘉三段灰岩、云岩的分界线。由于构造活动引起的塑性流动导致区内正向构造的主体部位膏盐层薄而两翼增厚。因此，正向构造为</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个相位的强反射而负向构造为厚度较大的杂乱反射。膏盐岩底部与围岩存在的较大的波阻抗差形成的反射包络面在工区内多数地区连续性好，是可全区追踪的区域标志层。</w:t>
      </w:r>
    </w:p>
    <w:p w14:paraId="0518BD64" w14:textId="1BEDE382"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4</w:t>
      </w:r>
      <w:r w:rsidRPr="00092862">
        <w:rPr>
          <w:rFonts w:ascii="Times New Roman" w:eastAsia="宋体" w:hAnsi="Times New Roman" w:cs="Times New Roman"/>
          <w:color w:val="000000" w:themeColor="text1"/>
          <w:sz w:val="24"/>
          <w:szCs w:val="24"/>
        </w:rPr>
        <w:t>：相当于下三叠统</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四段底界反射，岩性上以一套膏岩或泥灰岩的底部为特征划分飞四段与飞三段界线。反射特征为弱反射带中的较连续反射，由两个同相轴组成，局部地区连续性较差。</w:t>
      </w:r>
    </w:p>
    <w:p w14:paraId="1C71CB53" w14:textId="2C57AA88"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：相当于下三叠统</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三段底界反射，岩性上飞三段灰岩相对较发育，而飞二段白云岩相对较发育，划分标志不明显。反射特征由一个弱相位组成。</w:t>
      </w:r>
    </w:p>
    <w:p w14:paraId="645CD187" w14:textId="435E15C7"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TT</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：相当于下三叠统</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底界反射，岩性上飞一段底部一般发育一套泥灰岩等特征划分飞一段与长兴组界线，与下伏长兴组灰岩或生物灰岩整合接触。反射特征连续性中等的低频弱反射，东岳寨、柳池等地区难以有效连续追踪。</w:t>
      </w:r>
    </w:p>
    <w:p w14:paraId="25C10676" w14:textId="4422EFF4"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ch</w:t>
      </w:r>
      <w:r w:rsidRPr="00092862">
        <w:rPr>
          <w:rFonts w:ascii="Times New Roman" w:eastAsia="宋体" w:hAnsi="Times New Roman" w:cs="Times New Roman"/>
          <w:color w:val="000000" w:themeColor="text1"/>
          <w:sz w:val="24"/>
          <w:szCs w:val="24"/>
        </w:rPr>
        <w:t>：相当于上二叠统长兴组底界反射，为长兴组下部灰岩与龙潭组上部页岩、泥灰岩界面的反射。反射特征为低频较连续强反射，普光、老君庙、清溪场、东岳寨等地区连续性较好。</w:t>
      </w:r>
    </w:p>
    <w:p w14:paraId="473CA7DE" w14:textId="693B6D1F" w:rsidR="004B4D44"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l</w:t>
      </w:r>
      <w:r w:rsidRPr="00092862">
        <w:rPr>
          <w:rFonts w:ascii="Times New Roman" w:eastAsia="宋体" w:hAnsi="Times New Roman" w:cs="Times New Roman"/>
          <w:color w:val="000000" w:themeColor="text1"/>
          <w:sz w:val="24"/>
          <w:szCs w:val="24"/>
        </w:rPr>
        <w:t>：相当于上二叠统龙潭组底界反射，连续性好的低频强振幅反射，为全区的区域标志层。三维区内中侏罗统千佛崖组底界、上三叠统须家河组底界、下三叠统嘉陵江组四段底界以及上二叠统龙潭组底界反射在工区内多数地区连续性好，底部为强反射标志层，可以作为全区内四个区域性的地震反射标志层。</w:t>
      </w:r>
    </w:p>
    <w:p w14:paraId="223032BB" w14:textId="00500597" w:rsidR="004B4D44" w:rsidRPr="00092862" w:rsidRDefault="00267ABB" w:rsidP="004B4D44">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）断裂系统特征</w:t>
      </w:r>
    </w:p>
    <w:p w14:paraId="422721E6" w14:textId="60702C2E" w:rsidR="004B4D44"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普光主体构造整体为一东倾的鼻状半背斜构造。主体表现为两个方向的构造，北东</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南西向和北西</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南东向构造。高点位于东岳寨高点，低部位</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隆</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洼形态直观，主体东部以北东</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南西向构造为主，主体西部以北西</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南东向构造为主，构造整体向东北方向倾没。</w:t>
      </w:r>
    </w:p>
    <w:p w14:paraId="46D89DE2" w14:textId="133BF7D3"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综合研究表明，宣汉－达县三维区内上、中构造层的断层系统有明显差异，</w:t>
      </w:r>
      <w:r w:rsidRPr="00092862">
        <w:rPr>
          <w:rFonts w:ascii="Times New Roman" w:eastAsia="宋体" w:hAnsi="Times New Roman" w:cs="Times New Roman"/>
          <w:color w:val="000000" w:themeColor="text1"/>
          <w:sz w:val="24"/>
          <w:szCs w:val="24"/>
        </w:rPr>
        <w:lastRenderedPageBreak/>
        <w:t>上构造层断层较多，但是规摸较小，断层走向以</w:t>
      </w:r>
      <w:r w:rsidRPr="00092862">
        <w:rPr>
          <w:rFonts w:ascii="Times New Roman" w:eastAsia="宋体" w:hAnsi="Times New Roman" w:cs="Times New Roman"/>
          <w:color w:val="000000" w:themeColor="text1"/>
          <w:sz w:val="24"/>
          <w:szCs w:val="24"/>
        </w:rPr>
        <w:t>NW</w:t>
      </w:r>
      <w:r w:rsidRPr="00092862">
        <w:rPr>
          <w:rFonts w:ascii="Times New Roman" w:eastAsia="宋体" w:hAnsi="Times New Roman" w:cs="Times New Roman"/>
          <w:color w:val="000000" w:themeColor="text1"/>
          <w:sz w:val="24"/>
          <w:szCs w:val="24"/>
        </w:rPr>
        <w:t>为主。同时，存在</w:t>
      </w:r>
      <w:r w:rsidRPr="00092862">
        <w:rPr>
          <w:rFonts w:ascii="Times New Roman" w:eastAsia="宋体" w:hAnsi="Times New Roman" w:cs="Times New Roman"/>
          <w:color w:val="000000" w:themeColor="text1"/>
          <w:sz w:val="24"/>
          <w:szCs w:val="24"/>
        </w:rPr>
        <w:t>NE</w:t>
      </w:r>
      <w:r w:rsidRPr="00092862">
        <w:rPr>
          <w:rFonts w:ascii="Times New Roman" w:eastAsia="宋体" w:hAnsi="Times New Roman" w:cs="Times New Roman"/>
          <w:color w:val="000000" w:themeColor="text1"/>
          <w:sz w:val="24"/>
          <w:szCs w:val="24"/>
        </w:rPr>
        <w:t>向调节断层；中构造层断层发育数量较上层的少，中构造层断层规模较大，断层走向主要以</w:t>
      </w:r>
      <w:r w:rsidRPr="00092862">
        <w:rPr>
          <w:rFonts w:ascii="Times New Roman" w:eastAsia="宋体" w:hAnsi="Times New Roman" w:cs="Times New Roman"/>
          <w:color w:val="000000" w:themeColor="text1"/>
          <w:sz w:val="24"/>
          <w:szCs w:val="24"/>
        </w:rPr>
        <w:t>NE</w:t>
      </w:r>
      <w:r w:rsidRPr="00092862">
        <w:rPr>
          <w:rFonts w:ascii="Times New Roman" w:eastAsia="宋体" w:hAnsi="Times New Roman" w:cs="Times New Roman"/>
          <w:color w:val="000000" w:themeColor="text1"/>
          <w:sz w:val="24"/>
          <w:szCs w:val="24"/>
        </w:rPr>
        <w:t>向为主，局部地区发育了部分</w:t>
      </w:r>
      <w:r w:rsidRPr="00092862">
        <w:rPr>
          <w:rFonts w:ascii="Times New Roman" w:eastAsia="宋体" w:hAnsi="Times New Roman" w:cs="Times New Roman"/>
          <w:color w:val="000000" w:themeColor="text1"/>
          <w:sz w:val="24"/>
          <w:szCs w:val="24"/>
        </w:rPr>
        <w:t>NW</w:t>
      </w:r>
      <w:r w:rsidRPr="00092862">
        <w:rPr>
          <w:rFonts w:ascii="Times New Roman" w:eastAsia="宋体" w:hAnsi="Times New Roman" w:cs="Times New Roman"/>
          <w:color w:val="000000" w:themeColor="text1"/>
          <w:sz w:val="24"/>
          <w:szCs w:val="24"/>
        </w:rPr>
        <w:t>向断层。纵向上，由于嘉陵江组膏岩层的存在而形成滑脱分界面。因此，上、中构造层的断层互不相通。</w:t>
      </w:r>
    </w:p>
    <w:p w14:paraId="41B86D64" w14:textId="5C9F4E54"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依据其发育特征，中构造层断层又可分为燕山晚期与早喜山期高角度逆冲断层两种类型。采用井震结合、相干体、倾角导向滤波等技术，对区域内断裂系统进行精细构造解释。其中，对三维区内普光主体构造形成演化起到控制作用的</w:t>
      </w:r>
      <w:r w:rsidRPr="00092862">
        <w:rPr>
          <w:rFonts w:ascii="Times New Roman" w:eastAsia="宋体" w:hAnsi="Times New Roman" w:cs="Times New Roman"/>
          <w:color w:val="000000" w:themeColor="text1"/>
          <w:sz w:val="24"/>
          <w:szCs w:val="24"/>
        </w:rPr>
        <w:t>Ⅱ</w:t>
      </w:r>
      <w:r w:rsidRPr="00092862">
        <w:rPr>
          <w:rFonts w:ascii="Times New Roman" w:eastAsia="宋体" w:hAnsi="Times New Roman" w:cs="Times New Roman"/>
          <w:color w:val="000000" w:themeColor="text1"/>
          <w:sz w:val="24"/>
          <w:szCs w:val="24"/>
        </w:rPr>
        <w:t>级断层有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条，为普光东岳寨断层和普光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断层，对三级构造单元有影响的</w:t>
      </w:r>
      <w:r w:rsidRPr="00092862">
        <w:rPr>
          <w:rFonts w:ascii="Times New Roman" w:eastAsia="宋体" w:hAnsi="Times New Roman" w:cs="Times New Roman"/>
          <w:color w:val="000000" w:themeColor="text1"/>
          <w:sz w:val="24"/>
          <w:szCs w:val="24"/>
        </w:rPr>
        <w:t>Ⅲ</w:t>
      </w:r>
      <w:r w:rsidRPr="00092862">
        <w:rPr>
          <w:rFonts w:ascii="Times New Roman" w:eastAsia="宋体" w:hAnsi="Times New Roman" w:cs="Times New Roman"/>
          <w:color w:val="000000" w:themeColor="text1"/>
          <w:sz w:val="24"/>
          <w:szCs w:val="24"/>
        </w:rPr>
        <w:t>级断层主要有</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条，即普光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断层。这</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条断层与普光主体构造的形成有密切的关系。同时综合台缘滩体储层叠置发育特征识别普光主体南部及构造翼部多条低序级断层。</w:t>
      </w:r>
    </w:p>
    <w:p w14:paraId="2A6807C9" w14:textId="57A5303A"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）构造圈闭特征</w:t>
      </w:r>
    </w:p>
    <w:p w14:paraId="31CC9243" w14:textId="6176B6FE"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普光主体构造整体较为落实，表现为南宽北窄、西南高北东低、西翼陡东翼缓，与逆冲断层有关的</w:t>
      </w:r>
      <w:r w:rsidRPr="00092862">
        <w:rPr>
          <w:rFonts w:ascii="Times New Roman" w:eastAsia="宋体" w:hAnsi="Times New Roman" w:cs="Times New Roman"/>
          <w:color w:val="000000" w:themeColor="text1"/>
          <w:sz w:val="24"/>
          <w:szCs w:val="24"/>
        </w:rPr>
        <w:t>NNE</w:t>
      </w:r>
      <w:r w:rsidRPr="00092862">
        <w:rPr>
          <w:rFonts w:ascii="Times New Roman" w:eastAsia="宋体" w:hAnsi="Times New Roman" w:cs="Times New Roman"/>
          <w:color w:val="000000" w:themeColor="text1"/>
          <w:sz w:val="24"/>
          <w:szCs w:val="24"/>
        </w:rPr>
        <w:t>走向的大型长轴断背斜型构造，各层系构造继承性发育，构造高点在东岳寨、普光</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井一带。普光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断层将普光主体构造分割为普光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等两个次级圈闭。</w:t>
      </w:r>
    </w:p>
    <w:p w14:paraId="50E9BC9E" w14:textId="65D6A32D"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圈闭：西北分别与普光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井断层和普光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井断层（飞一段下部～长兴组）相邻，西南至相变带，东南与老君构造相邻。其西北侧靠东岳寨－普光断裂、普光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井断层和普光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井断层封闭，西南侧靠相变线遮挡，其东部推测受构造线的控制，为一典型的构造－岩性圈闭，圈闭落实可靠。</w:t>
      </w:r>
    </w:p>
    <w:p w14:paraId="2BE2A710" w14:textId="62CDACCE" w:rsidR="00267ABB" w:rsidRPr="00092862" w:rsidRDefault="00267ABB" w:rsidP="00267ABB">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圈闭：西侧与普光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断层相邻，西南侧上部与东岳寨－普光断层相接（下部飞一段－长兴组普光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断层直接与普光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断层相交），东侧为普光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井断层，向东北逐渐倾伏。该圈闭东北受储层边界线控制，其它各方向则受断层遮挡，也是一个构造－岩性圈闭，圈闭落实可靠。由于普光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断层和普光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断层背向逆冲，导致普光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圈闭自下而上逐渐增大，落实程度可靠。</w:t>
      </w:r>
    </w:p>
    <w:p w14:paraId="076B4E4E" w14:textId="4E310957" w:rsidR="007A4B69" w:rsidRPr="00092862" w:rsidRDefault="007A4B69" w:rsidP="007A4B69">
      <w:pPr>
        <w:tabs>
          <w:tab w:val="left" w:pos="0"/>
        </w:tabs>
        <w:adjustRightInd w:val="0"/>
        <w:snapToGrid w:val="0"/>
        <w:spacing w:line="360" w:lineRule="auto"/>
        <w:ind w:firstLineChars="200" w:firstLine="480"/>
        <w:rPr>
          <w:rFonts w:ascii="Times New Roman"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 xml:space="preserve">3.2.2.4 </w:t>
      </w:r>
      <w:r w:rsidRPr="00092862">
        <w:rPr>
          <w:rFonts w:ascii="Times New Roman" w:eastAsia="黑体" w:hAnsi="Times New Roman" w:cs="Times New Roman"/>
          <w:color w:val="000000" w:themeColor="text1"/>
          <w:sz w:val="24"/>
          <w:szCs w:val="24"/>
        </w:rPr>
        <w:t>地层层序及压力系数</w:t>
      </w:r>
    </w:p>
    <w:p w14:paraId="4F091850" w14:textId="48469862" w:rsidR="007A4B69" w:rsidRPr="00092862" w:rsidRDefault="007A4B69" w:rsidP="007A4B69">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本项目拟建</w:t>
      </w:r>
      <w:r w:rsidR="009F2FB7" w:rsidRPr="00092862">
        <w:rPr>
          <w:rFonts w:ascii="Times New Roman" w:eastAsia="宋体" w:hAnsi="Times New Roman" w:cs="Times New Roman"/>
          <w:color w:val="000000" w:themeColor="text1"/>
          <w:sz w:val="24"/>
          <w:szCs w:val="24"/>
        </w:rPr>
        <w:t>两口井</w:t>
      </w:r>
      <w:r w:rsidRPr="00092862">
        <w:rPr>
          <w:rFonts w:ascii="Times New Roman" w:eastAsia="宋体" w:hAnsi="Times New Roman" w:cs="Times New Roman"/>
          <w:color w:val="000000" w:themeColor="text1"/>
          <w:sz w:val="24"/>
          <w:szCs w:val="24"/>
        </w:rPr>
        <w:t>地层</w:t>
      </w:r>
      <w:r w:rsidR="009F2FB7" w:rsidRPr="00092862">
        <w:rPr>
          <w:rFonts w:ascii="Times New Roman" w:eastAsia="宋体" w:hAnsi="Times New Roman" w:cs="Times New Roman"/>
          <w:color w:val="000000" w:themeColor="text1"/>
          <w:sz w:val="24"/>
          <w:szCs w:val="24"/>
        </w:rPr>
        <w:t>剖面</w:t>
      </w:r>
      <w:r w:rsidRPr="00092862">
        <w:rPr>
          <w:rFonts w:ascii="Times New Roman" w:eastAsia="宋体" w:hAnsi="Times New Roman" w:cs="Times New Roman"/>
          <w:color w:val="000000" w:themeColor="text1"/>
          <w:sz w:val="24"/>
          <w:szCs w:val="24"/>
        </w:rPr>
        <w:t>及压力系数如下：</w:t>
      </w:r>
    </w:p>
    <w:p w14:paraId="6536216B" w14:textId="0F77CCA1" w:rsidR="007A4B69" w:rsidRPr="00092862" w:rsidRDefault="007A4B69"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 xml:space="preserve">3.2-2 </w:t>
      </w:r>
      <w:r w:rsidRPr="00092862">
        <w:rPr>
          <w:rFonts w:ascii="Times New Roman" w:eastAsia="黑体" w:hAnsi="Times New Roman"/>
          <w:color w:val="000000" w:themeColor="text1"/>
          <w:sz w:val="21"/>
          <w:szCs w:val="21"/>
          <w:lang w:eastAsia="zh-CN"/>
        </w:rPr>
        <w:t xml:space="preserve"> </w:t>
      </w:r>
      <w:r w:rsidR="009F2FB7" w:rsidRPr="00092862">
        <w:rPr>
          <w:rFonts w:ascii="Times New Roman" w:eastAsia="黑体" w:hAnsi="Times New Roman"/>
          <w:color w:val="000000" w:themeColor="text1"/>
          <w:sz w:val="21"/>
          <w:szCs w:val="21"/>
          <w:lang w:eastAsia="zh-CN"/>
        </w:rPr>
        <w:t>设计地层剖面</w:t>
      </w:r>
    </w:p>
    <w:tbl>
      <w:tblPr>
        <w:tblStyle w:val="aff"/>
        <w:tblW w:w="5000" w:type="pct"/>
        <w:tblLook w:val="04A0" w:firstRow="1" w:lastRow="0" w:firstColumn="1" w:lastColumn="0" w:noHBand="0" w:noVBand="1"/>
      </w:tblPr>
      <w:tblGrid>
        <w:gridCol w:w="847"/>
        <w:gridCol w:w="1062"/>
        <w:gridCol w:w="1142"/>
        <w:gridCol w:w="1313"/>
        <w:gridCol w:w="1315"/>
        <w:gridCol w:w="1315"/>
        <w:gridCol w:w="1306"/>
      </w:tblGrid>
      <w:tr w:rsidR="00697429" w:rsidRPr="00092862" w14:paraId="53CD96EF" w14:textId="77777777" w:rsidTr="0039401D">
        <w:tc>
          <w:tcPr>
            <w:tcW w:w="1150" w:type="pct"/>
            <w:gridSpan w:val="2"/>
            <w:vAlign w:val="center"/>
          </w:tcPr>
          <w:p w14:paraId="25F5BC60" w14:textId="700BBF70" w:rsidR="009F2FB7" w:rsidRPr="00092862" w:rsidRDefault="009F2FB7"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层</w:t>
            </w:r>
            <w:r w:rsidRPr="00092862">
              <w:rPr>
                <w:rFonts w:ascii="Times New Roman" w:hAnsi="Times New Roman"/>
                <w:color w:val="000000" w:themeColor="text1"/>
                <w:sz w:val="21"/>
                <w:szCs w:val="21"/>
              </w:rPr>
              <w:t xml:space="preserve"> </w:t>
            </w:r>
            <w:r w:rsidRPr="00092862">
              <w:rPr>
                <w:rFonts w:ascii="Times New Roman" w:hAnsi="Times New Roman"/>
                <w:color w:val="000000" w:themeColor="text1"/>
                <w:sz w:val="21"/>
                <w:szCs w:val="21"/>
              </w:rPr>
              <w:t>位</w:t>
            </w:r>
          </w:p>
        </w:tc>
        <w:tc>
          <w:tcPr>
            <w:tcW w:w="688" w:type="pct"/>
            <w:vAlign w:val="center"/>
          </w:tcPr>
          <w:p w14:paraId="5F4876A8" w14:textId="079AD882" w:rsidR="009F2FB7" w:rsidRPr="00092862" w:rsidRDefault="009F2FB7"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垂深（</w:t>
            </w:r>
            <w:r w:rsidRPr="00092862">
              <w:rPr>
                <w:rFonts w:ascii="Times New Roman" w:hAnsi="Times New Roman"/>
                <w:color w:val="000000" w:themeColor="text1"/>
                <w:sz w:val="21"/>
                <w:szCs w:val="21"/>
              </w:rPr>
              <w:t>m</w:t>
            </w:r>
            <w:r w:rsidRPr="00092862">
              <w:rPr>
                <w:rFonts w:ascii="Times New Roman" w:hAnsi="Times New Roman"/>
                <w:color w:val="000000" w:themeColor="text1"/>
                <w:sz w:val="21"/>
                <w:szCs w:val="21"/>
              </w:rPr>
              <w:t>）</w:t>
            </w:r>
          </w:p>
        </w:tc>
        <w:tc>
          <w:tcPr>
            <w:tcW w:w="791" w:type="pct"/>
            <w:vAlign w:val="center"/>
          </w:tcPr>
          <w:p w14:paraId="79FCE551" w14:textId="49B36D02" w:rsidR="009F2FB7" w:rsidRPr="00092862" w:rsidRDefault="009F2FB7"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断点海拔</w:t>
            </w:r>
            <w:r w:rsidRPr="00092862">
              <w:rPr>
                <w:rFonts w:ascii="Times New Roman" w:hAnsi="Times New Roman"/>
                <w:color w:val="000000" w:themeColor="text1"/>
                <w:sz w:val="21"/>
                <w:szCs w:val="21"/>
              </w:rPr>
              <w:t>/</w:t>
            </w:r>
            <w:r w:rsidRPr="00092862">
              <w:rPr>
                <w:rFonts w:ascii="Times New Roman" w:hAnsi="Times New Roman"/>
                <w:color w:val="000000" w:themeColor="text1"/>
                <w:sz w:val="21"/>
                <w:szCs w:val="21"/>
              </w:rPr>
              <w:t>断距（</w:t>
            </w:r>
            <w:r w:rsidRPr="00092862">
              <w:rPr>
                <w:rFonts w:ascii="Times New Roman" w:hAnsi="Times New Roman"/>
                <w:color w:val="000000" w:themeColor="text1"/>
                <w:sz w:val="21"/>
                <w:szCs w:val="21"/>
              </w:rPr>
              <w:t>m</w:t>
            </w:r>
            <w:r w:rsidRPr="00092862">
              <w:rPr>
                <w:rFonts w:ascii="Times New Roman" w:hAnsi="Times New Roman"/>
                <w:color w:val="000000" w:themeColor="text1"/>
                <w:sz w:val="21"/>
                <w:szCs w:val="21"/>
              </w:rPr>
              <w:t>）</w:t>
            </w:r>
          </w:p>
        </w:tc>
        <w:tc>
          <w:tcPr>
            <w:tcW w:w="792" w:type="pct"/>
            <w:vAlign w:val="center"/>
          </w:tcPr>
          <w:p w14:paraId="75F64FE8" w14:textId="5AB09F27" w:rsidR="009F2FB7" w:rsidRPr="00092862" w:rsidRDefault="009F2FB7"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地层倾向</w:t>
            </w:r>
          </w:p>
        </w:tc>
        <w:tc>
          <w:tcPr>
            <w:tcW w:w="792" w:type="pct"/>
            <w:vAlign w:val="center"/>
          </w:tcPr>
          <w:p w14:paraId="05645E50" w14:textId="39443F18" w:rsidR="009F2FB7" w:rsidRPr="00092862" w:rsidRDefault="009F2FB7"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地层倾角</w:t>
            </w:r>
          </w:p>
        </w:tc>
        <w:tc>
          <w:tcPr>
            <w:tcW w:w="787" w:type="pct"/>
            <w:vAlign w:val="center"/>
          </w:tcPr>
          <w:p w14:paraId="7682CD3E" w14:textId="63621435" w:rsidR="009F2FB7" w:rsidRPr="00092862" w:rsidRDefault="009F2FB7"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压力系数</w:t>
            </w:r>
          </w:p>
        </w:tc>
      </w:tr>
      <w:tr w:rsidR="00697429" w:rsidRPr="00092862" w14:paraId="69094679" w14:textId="77777777" w:rsidTr="0039401D">
        <w:tc>
          <w:tcPr>
            <w:tcW w:w="1150" w:type="pct"/>
            <w:gridSpan w:val="2"/>
            <w:vAlign w:val="center"/>
          </w:tcPr>
          <w:p w14:paraId="112422E6" w14:textId="5D736A99" w:rsidR="0039401D" w:rsidRPr="00092862" w:rsidRDefault="0039401D" w:rsidP="009F2FB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蓬莱镇组</w:t>
            </w:r>
          </w:p>
        </w:tc>
        <w:tc>
          <w:tcPr>
            <w:tcW w:w="688" w:type="pct"/>
            <w:vAlign w:val="center"/>
          </w:tcPr>
          <w:p w14:paraId="325B7D64" w14:textId="191719A7"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361.55</w:t>
            </w:r>
          </w:p>
        </w:tc>
        <w:tc>
          <w:tcPr>
            <w:tcW w:w="791" w:type="pct"/>
            <w:vAlign w:val="center"/>
          </w:tcPr>
          <w:p w14:paraId="7AE622C4" w14:textId="13E88DB0"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69D0B74E" w14:textId="7B54BA68"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07152027" w14:textId="42EC149B"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8°-12°</w:t>
            </w:r>
          </w:p>
        </w:tc>
        <w:tc>
          <w:tcPr>
            <w:tcW w:w="787" w:type="pct"/>
            <w:vMerge w:val="restart"/>
            <w:vAlign w:val="center"/>
          </w:tcPr>
          <w:p w14:paraId="507F3276" w14:textId="68661530"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0.89-1.01</w:t>
            </w:r>
          </w:p>
        </w:tc>
      </w:tr>
      <w:tr w:rsidR="00697429" w:rsidRPr="00092862" w14:paraId="63727412" w14:textId="77777777" w:rsidTr="0039401D">
        <w:tc>
          <w:tcPr>
            <w:tcW w:w="1150" w:type="pct"/>
            <w:gridSpan w:val="2"/>
            <w:vAlign w:val="center"/>
          </w:tcPr>
          <w:p w14:paraId="23E18047" w14:textId="74B38605"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遂宁组</w:t>
            </w:r>
          </w:p>
        </w:tc>
        <w:tc>
          <w:tcPr>
            <w:tcW w:w="688" w:type="pct"/>
            <w:vAlign w:val="center"/>
          </w:tcPr>
          <w:p w14:paraId="1D02E1FC" w14:textId="20A86F3A"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981.55</w:t>
            </w:r>
          </w:p>
        </w:tc>
        <w:tc>
          <w:tcPr>
            <w:tcW w:w="791" w:type="pct"/>
            <w:vAlign w:val="center"/>
          </w:tcPr>
          <w:p w14:paraId="12A4513F" w14:textId="5B906211"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44CDA96A" w14:textId="5D7C09D8"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20E924F2" w14:textId="2C98BAD2"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8°-12°</w:t>
            </w:r>
          </w:p>
        </w:tc>
        <w:tc>
          <w:tcPr>
            <w:tcW w:w="787" w:type="pct"/>
            <w:vMerge/>
            <w:vAlign w:val="center"/>
          </w:tcPr>
          <w:p w14:paraId="2B3B1ECC"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7A445955" w14:textId="77777777" w:rsidTr="0039401D">
        <w:tc>
          <w:tcPr>
            <w:tcW w:w="1150" w:type="pct"/>
            <w:gridSpan w:val="2"/>
            <w:vAlign w:val="center"/>
          </w:tcPr>
          <w:p w14:paraId="38DBB912" w14:textId="5423050F"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上沙溪庙组</w:t>
            </w:r>
          </w:p>
        </w:tc>
        <w:tc>
          <w:tcPr>
            <w:tcW w:w="688" w:type="pct"/>
            <w:vAlign w:val="center"/>
          </w:tcPr>
          <w:p w14:paraId="6057BBE8" w14:textId="6DD6B8CE"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2431</w:t>
            </w:r>
          </w:p>
        </w:tc>
        <w:tc>
          <w:tcPr>
            <w:tcW w:w="791" w:type="pct"/>
            <w:vAlign w:val="center"/>
          </w:tcPr>
          <w:p w14:paraId="20D0A15A" w14:textId="4D0F0ACE"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7ECACD03" w14:textId="6333F678"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4527EBB1" w14:textId="7A43E58C"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8°-12°</w:t>
            </w:r>
          </w:p>
        </w:tc>
        <w:tc>
          <w:tcPr>
            <w:tcW w:w="787" w:type="pct"/>
            <w:vMerge/>
            <w:vAlign w:val="center"/>
          </w:tcPr>
          <w:p w14:paraId="2789CC07"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2A9616BD" w14:textId="77777777" w:rsidTr="0039401D">
        <w:tc>
          <w:tcPr>
            <w:tcW w:w="1150" w:type="pct"/>
            <w:gridSpan w:val="2"/>
            <w:vAlign w:val="center"/>
          </w:tcPr>
          <w:p w14:paraId="2B23FA41" w14:textId="1F83EADE"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下沙溪庙组</w:t>
            </w:r>
          </w:p>
        </w:tc>
        <w:tc>
          <w:tcPr>
            <w:tcW w:w="688" w:type="pct"/>
            <w:vAlign w:val="center"/>
          </w:tcPr>
          <w:p w14:paraId="1E446A81" w14:textId="69DDE089"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2781</w:t>
            </w:r>
          </w:p>
        </w:tc>
        <w:tc>
          <w:tcPr>
            <w:tcW w:w="791" w:type="pct"/>
            <w:vAlign w:val="center"/>
          </w:tcPr>
          <w:p w14:paraId="41B69701" w14:textId="551E5880"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14CBC76D" w14:textId="5713500F"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68AE4DB4" w14:textId="19CA3535"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8°-12°</w:t>
            </w:r>
          </w:p>
        </w:tc>
        <w:tc>
          <w:tcPr>
            <w:tcW w:w="787" w:type="pct"/>
            <w:vMerge/>
            <w:vAlign w:val="center"/>
          </w:tcPr>
          <w:p w14:paraId="01E7D992"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611A5285" w14:textId="77777777" w:rsidTr="0039401D">
        <w:tc>
          <w:tcPr>
            <w:tcW w:w="1150" w:type="pct"/>
            <w:gridSpan w:val="2"/>
            <w:vAlign w:val="center"/>
          </w:tcPr>
          <w:p w14:paraId="5AF32BD9" w14:textId="3F82BA24" w:rsidR="0039401D" w:rsidRPr="00092862" w:rsidRDefault="0039401D" w:rsidP="009F2FB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千佛崖组</w:t>
            </w:r>
          </w:p>
        </w:tc>
        <w:tc>
          <w:tcPr>
            <w:tcW w:w="688" w:type="pct"/>
            <w:vAlign w:val="center"/>
          </w:tcPr>
          <w:p w14:paraId="3DE5FFD8" w14:textId="73CE4F00"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3391</w:t>
            </w:r>
          </w:p>
        </w:tc>
        <w:tc>
          <w:tcPr>
            <w:tcW w:w="791" w:type="pct"/>
            <w:vAlign w:val="center"/>
          </w:tcPr>
          <w:p w14:paraId="3B94DD68" w14:textId="08361446"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58FEB3C0" w14:textId="0104513D"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NW-NE</w:t>
            </w:r>
          </w:p>
        </w:tc>
        <w:tc>
          <w:tcPr>
            <w:tcW w:w="792" w:type="pct"/>
            <w:vAlign w:val="center"/>
          </w:tcPr>
          <w:p w14:paraId="3E42A5D7" w14:textId="49ED9B42"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20°-40°</w:t>
            </w:r>
          </w:p>
        </w:tc>
        <w:tc>
          <w:tcPr>
            <w:tcW w:w="787" w:type="pct"/>
            <w:vMerge w:val="restart"/>
            <w:vAlign w:val="center"/>
          </w:tcPr>
          <w:p w14:paraId="1DE101D3" w14:textId="58A86273"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1.09-1.27</w:t>
            </w:r>
          </w:p>
        </w:tc>
      </w:tr>
      <w:tr w:rsidR="00697429" w:rsidRPr="00092862" w14:paraId="2BFF9F7C" w14:textId="77777777" w:rsidTr="0039401D">
        <w:tc>
          <w:tcPr>
            <w:tcW w:w="1150" w:type="pct"/>
            <w:gridSpan w:val="2"/>
            <w:vAlign w:val="center"/>
          </w:tcPr>
          <w:p w14:paraId="49DCA749" w14:textId="3869E6F0"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自流井组</w:t>
            </w:r>
          </w:p>
        </w:tc>
        <w:tc>
          <w:tcPr>
            <w:tcW w:w="688" w:type="pct"/>
            <w:vAlign w:val="center"/>
          </w:tcPr>
          <w:p w14:paraId="23EDBBD8"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3481</w:t>
            </w:r>
          </w:p>
          <w:p w14:paraId="310A75BC" w14:textId="6D97BDF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3901</w:t>
            </w:r>
          </w:p>
        </w:tc>
        <w:tc>
          <w:tcPr>
            <w:tcW w:w="791" w:type="pct"/>
            <w:vAlign w:val="center"/>
          </w:tcPr>
          <w:p w14:paraId="79537B72" w14:textId="32867EB9"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-23330/-2750</w:t>
            </w:r>
          </w:p>
        </w:tc>
        <w:tc>
          <w:tcPr>
            <w:tcW w:w="792" w:type="pct"/>
            <w:vAlign w:val="center"/>
          </w:tcPr>
          <w:p w14:paraId="12B3AF91" w14:textId="1D56DA0F"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NE</w:t>
            </w:r>
          </w:p>
        </w:tc>
        <w:tc>
          <w:tcPr>
            <w:tcW w:w="792" w:type="pct"/>
            <w:vAlign w:val="center"/>
          </w:tcPr>
          <w:p w14:paraId="1262F790" w14:textId="0903EC1B"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40°-50°</w:t>
            </w:r>
          </w:p>
        </w:tc>
        <w:tc>
          <w:tcPr>
            <w:tcW w:w="787" w:type="pct"/>
            <w:vMerge/>
            <w:vAlign w:val="center"/>
          </w:tcPr>
          <w:p w14:paraId="79C01764"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4603DE6D" w14:textId="77777777" w:rsidTr="0039401D">
        <w:tc>
          <w:tcPr>
            <w:tcW w:w="1150" w:type="pct"/>
            <w:gridSpan w:val="2"/>
            <w:vAlign w:val="center"/>
          </w:tcPr>
          <w:p w14:paraId="0896212E" w14:textId="5974404C"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须家河组</w:t>
            </w:r>
          </w:p>
        </w:tc>
        <w:tc>
          <w:tcPr>
            <w:tcW w:w="688" w:type="pct"/>
            <w:vAlign w:val="center"/>
          </w:tcPr>
          <w:p w14:paraId="02839FFB" w14:textId="503ABFFC"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4551</w:t>
            </w:r>
          </w:p>
        </w:tc>
        <w:tc>
          <w:tcPr>
            <w:tcW w:w="791" w:type="pct"/>
            <w:vAlign w:val="center"/>
          </w:tcPr>
          <w:p w14:paraId="0E9D117D" w14:textId="1DB478E1"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3AB4AFD2" w14:textId="797D4DDC"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NE</w:t>
            </w:r>
          </w:p>
        </w:tc>
        <w:tc>
          <w:tcPr>
            <w:tcW w:w="792" w:type="pct"/>
            <w:vAlign w:val="center"/>
          </w:tcPr>
          <w:p w14:paraId="40C9D9BD" w14:textId="76858446"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40°-50°</w:t>
            </w:r>
          </w:p>
        </w:tc>
        <w:tc>
          <w:tcPr>
            <w:tcW w:w="787" w:type="pct"/>
            <w:vAlign w:val="center"/>
          </w:tcPr>
          <w:p w14:paraId="1AB30852" w14:textId="7F7057B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0.95-1.20</w:t>
            </w:r>
          </w:p>
        </w:tc>
      </w:tr>
      <w:tr w:rsidR="00697429" w:rsidRPr="00092862" w14:paraId="5CC861AE" w14:textId="77777777" w:rsidTr="0039401D">
        <w:tc>
          <w:tcPr>
            <w:tcW w:w="1150" w:type="pct"/>
            <w:gridSpan w:val="2"/>
            <w:vAlign w:val="center"/>
          </w:tcPr>
          <w:p w14:paraId="22EF0D5C" w14:textId="6646BC7E" w:rsidR="0039401D" w:rsidRPr="00092862" w:rsidRDefault="0039401D" w:rsidP="009F2FB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雷口坡组</w:t>
            </w:r>
          </w:p>
        </w:tc>
        <w:tc>
          <w:tcPr>
            <w:tcW w:w="688" w:type="pct"/>
            <w:vAlign w:val="center"/>
          </w:tcPr>
          <w:p w14:paraId="47E05957" w14:textId="2698AA25"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4851</w:t>
            </w:r>
          </w:p>
        </w:tc>
        <w:tc>
          <w:tcPr>
            <w:tcW w:w="791" w:type="pct"/>
            <w:vAlign w:val="center"/>
          </w:tcPr>
          <w:p w14:paraId="04D02D0F" w14:textId="2F8E131A"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415D52BE" w14:textId="25EA792F"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NE</w:t>
            </w:r>
          </w:p>
        </w:tc>
        <w:tc>
          <w:tcPr>
            <w:tcW w:w="792" w:type="pct"/>
            <w:vAlign w:val="center"/>
          </w:tcPr>
          <w:p w14:paraId="343C2900" w14:textId="0A1FE139"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10°</w:t>
            </w:r>
          </w:p>
        </w:tc>
        <w:tc>
          <w:tcPr>
            <w:tcW w:w="787" w:type="pct"/>
            <w:vMerge w:val="restart"/>
            <w:vAlign w:val="center"/>
          </w:tcPr>
          <w:p w14:paraId="02FDC703" w14:textId="39CFC1AC"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1.24-1.39</w:t>
            </w:r>
          </w:p>
        </w:tc>
      </w:tr>
      <w:tr w:rsidR="00697429" w:rsidRPr="00092862" w14:paraId="018BCD82" w14:textId="77777777" w:rsidTr="0039401D">
        <w:tc>
          <w:tcPr>
            <w:tcW w:w="510" w:type="pct"/>
            <w:vMerge w:val="restart"/>
            <w:vAlign w:val="center"/>
          </w:tcPr>
          <w:p w14:paraId="7C9BA1F0" w14:textId="2D98ADA8"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嘉陵江组</w:t>
            </w:r>
          </w:p>
        </w:tc>
        <w:tc>
          <w:tcPr>
            <w:tcW w:w="640" w:type="pct"/>
            <w:vAlign w:val="center"/>
          </w:tcPr>
          <w:p w14:paraId="5E6C3B3C" w14:textId="0662DD5A"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嘉四</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五</w:t>
            </w:r>
          </w:p>
        </w:tc>
        <w:tc>
          <w:tcPr>
            <w:tcW w:w="688" w:type="pct"/>
            <w:vAlign w:val="center"/>
          </w:tcPr>
          <w:p w14:paraId="79A06A7F" w14:textId="5B6B025E"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5101</w:t>
            </w:r>
          </w:p>
        </w:tc>
        <w:tc>
          <w:tcPr>
            <w:tcW w:w="791" w:type="pct"/>
            <w:vAlign w:val="center"/>
          </w:tcPr>
          <w:p w14:paraId="1A228326" w14:textId="787F8B3B"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390E09C5" w14:textId="35731A33"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NE-NW</w:t>
            </w:r>
          </w:p>
        </w:tc>
        <w:tc>
          <w:tcPr>
            <w:tcW w:w="792" w:type="pct"/>
            <w:vAlign w:val="center"/>
          </w:tcPr>
          <w:p w14:paraId="6A99908C" w14:textId="44668612"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8°-12°</w:t>
            </w:r>
          </w:p>
        </w:tc>
        <w:tc>
          <w:tcPr>
            <w:tcW w:w="787" w:type="pct"/>
            <w:vMerge/>
            <w:vAlign w:val="center"/>
          </w:tcPr>
          <w:p w14:paraId="204B3DBA"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2211BFC1" w14:textId="77777777" w:rsidTr="0039401D">
        <w:tc>
          <w:tcPr>
            <w:tcW w:w="510" w:type="pct"/>
            <w:vMerge/>
            <w:vAlign w:val="center"/>
          </w:tcPr>
          <w:p w14:paraId="31138723" w14:textId="77777777" w:rsidR="0039401D" w:rsidRPr="00092862" w:rsidRDefault="0039401D" w:rsidP="0039401D">
            <w:pPr>
              <w:jc w:val="center"/>
              <w:rPr>
                <w:rFonts w:ascii="Times New Roman" w:eastAsia="宋体" w:hAnsi="Times New Roman" w:cs="Times New Roman"/>
                <w:color w:val="000000" w:themeColor="text1"/>
                <w:szCs w:val="21"/>
              </w:rPr>
            </w:pPr>
          </w:p>
        </w:tc>
        <w:tc>
          <w:tcPr>
            <w:tcW w:w="640" w:type="pct"/>
            <w:vAlign w:val="center"/>
          </w:tcPr>
          <w:p w14:paraId="5534135E" w14:textId="5C4DDDC7"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嘉一</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三</w:t>
            </w:r>
          </w:p>
        </w:tc>
        <w:tc>
          <w:tcPr>
            <w:tcW w:w="688" w:type="pct"/>
            <w:vAlign w:val="center"/>
          </w:tcPr>
          <w:p w14:paraId="49D7EC31" w14:textId="6D0D73EF"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5791</w:t>
            </w:r>
          </w:p>
        </w:tc>
        <w:tc>
          <w:tcPr>
            <w:tcW w:w="791" w:type="pct"/>
            <w:vAlign w:val="center"/>
          </w:tcPr>
          <w:p w14:paraId="7B8CF4FB" w14:textId="500D5EE1"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699F3193" w14:textId="516533C1"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1B3DBFED" w14:textId="2C32423F"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8°-12°</w:t>
            </w:r>
          </w:p>
        </w:tc>
        <w:tc>
          <w:tcPr>
            <w:tcW w:w="787" w:type="pct"/>
            <w:vMerge/>
            <w:vAlign w:val="center"/>
          </w:tcPr>
          <w:p w14:paraId="2AF8B3AD"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609C3F63" w14:textId="77777777" w:rsidTr="0039401D">
        <w:tc>
          <w:tcPr>
            <w:tcW w:w="510" w:type="pct"/>
            <w:vMerge w:val="restart"/>
            <w:vAlign w:val="center"/>
          </w:tcPr>
          <w:p w14:paraId="0C64ACC6" w14:textId="5174A5D0" w:rsidR="0039401D" w:rsidRPr="00092862" w:rsidRDefault="007A02DD" w:rsidP="009F2FB7">
            <w:pPr>
              <w:jc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p>
        </w:tc>
        <w:tc>
          <w:tcPr>
            <w:tcW w:w="640" w:type="pct"/>
            <w:vAlign w:val="center"/>
          </w:tcPr>
          <w:p w14:paraId="380C514F" w14:textId="4FCF8BFD" w:rsidR="0039401D" w:rsidRPr="00092862" w:rsidRDefault="0039401D" w:rsidP="009F2FB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飞四</w:t>
            </w:r>
          </w:p>
        </w:tc>
        <w:tc>
          <w:tcPr>
            <w:tcW w:w="688" w:type="pct"/>
            <w:vAlign w:val="center"/>
          </w:tcPr>
          <w:p w14:paraId="0D44EA8B" w14:textId="0E96FB7C"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5841</w:t>
            </w:r>
          </w:p>
        </w:tc>
        <w:tc>
          <w:tcPr>
            <w:tcW w:w="791" w:type="pct"/>
            <w:vAlign w:val="center"/>
          </w:tcPr>
          <w:p w14:paraId="27E69C55" w14:textId="2BFDAEBD"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55082771" w14:textId="59D1B1A3"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34DE0D97" w14:textId="68115BEF"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10°</w:t>
            </w:r>
          </w:p>
        </w:tc>
        <w:tc>
          <w:tcPr>
            <w:tcW w:w="787" w:type="pct"/>
            <w:vMerge w:val="restart"/>
            <w:vAlign w:val="center"/>
          </w:tcPr>
          <w:p w14:paraId="45BC3724" w14:textId="1929B2A1" w:rsidR="0039401D" w:rsidRPr="00092862" w:rsidRDefault="0039401D" w:rsidP="0010287F">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0.94-1.11</w:t>
            </w:r>
          </w:p>
        </w:tc>
      </w:tr>
      <w:tr w:rsidR="00697429" w:rsidRPr="00092862" w14:paraId="4C86A8E7" w14:textId="77777777" w:rsidTr="0039401D">
        <w:tc>
          <w:tcPr>
            <w:tcW w:w="510" w:type="pct"/>
            <w:vMerge/>
            <w:vAlign w:val="center"/>
          </w:tcPr>
          <w:p w14:paraId="5AE57A9D" w14:textId="77777777" w:rsidR="0039401D" w:rsidRPr="00092862" w:rsidRDefault="0039401D" w:rsidP="0039401D">
            <w:pPr>
              <w:jc w:val="center"/>
              <w:rPr>
                <w:rFonts w:ascii="Times New Roman" w:eastAsia="宋体" w:hAnsi="Times New Roman" w:cs="Times New Roman"/>
                <w:color w:val="000000" w:themeColor="text1"/>
                <w:szCs w:val="21"/>
              </w:rPr>
            </w:pPr>
          </w:p>
        </w:tc>
        <w:tc>
          <w:tcPr>
            <w:tcW w:w="640" w:type="pct"/>
            <w:vAlign w:val="center"/>
          </w:tcPr>
          <w:p w14:paraId="309DBABF" w14:textId="0B46F2EC"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飞三</w:t>
            </w:r>
          </w:p>
        </w:tc>
        <w:tc>
          <w:tcPr>
            <w:tcW w:w="688" w:type="pct"/>
            <w:vAlign w:val="center"/>
          </w:tcPr>
          <w:p w14:paraId="2E11F679" w14:textId="743629C0"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6006</w:t>
            </w:r>
          </w:p>
        </w:tc>
        <w:tc>
          <w:tcPr>
            <w:tcW w:w="791" w:type="pct"/>
            <w:vAlign w:val="center"/>
          </w:tcPr>
          <w:p w14:paraId="02294592" w14:textId="3E2549B3"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045E9BB4" w14:textId="671B103C"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3C87FB92" w14:textId="76F6C96C"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10°</w:t>
            </w:r>
          </w:p>
        </w:tc>
        <w:tc>
          <w:tcPr>
            <w:tcW w:w="787" w:type="pct"/>
            <w:vMerge/>
            <w:vAlign w:val="center"/>
          </w:tcPr>
          <w:p w14:paraId="47CADCD5"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r w:rsidR="00697429" w:rsidRPr="00092862" w14:paraId="6DBEC095" w14:textId="77777777" w:rsidTr="0039401D">
        <w:tc>
          <w:tcPr>
            <w:tcW w:w="510" w:type="pct"/>
            <w:vMerge/>
            <w:vAlign w:val="center"/>
          </w:tcPr>
          <w:p w14:paraId="76BE3EF9" w14:textId="77777777" w:rsidR="0039401D" w:rsidRPr="00092862" w:rsidRDefault="0039401D" w:rsidP="0039401D">
            <w:pPr>
              <w:jc w:val="center"/>
              <w:rPr>
                <w:rFonts w:ascii="Times New Roman" w:eastAsia="宋体" w:hAnsi="Times New Roman" w:cs="Times New Roman"/>
                <w:color w:val="000000" w:themeColor="text1"/>
                <w:szCs w:val="21"/>
              </w:rPr>
            </w:pPr>
          </w:p>
        </w:tc>
        <w:tc>
          <w:tcPr>
            <w:tcW w:w="640" w:type="pct"/>
            <w:vAlign w:val="center"/>
          </w:tcPr>
          <w:p w14:paraId="7B82C473" w14:textId="6CE653F7" w:rsidR="0039401D" w:rsidRPr="00092862" w:rsidRDefault="0039401D" w:rsidP="0039401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飞一二</w:t>
            </w:r>
          </w:p>
        </w:tc>
        <w:tc>
          <w:tcPr>
            <w:tcW w:w="688" w:type="pct"/>
            <w:vAlign w:val="center"/>
          </w:tcPr>
          <w:p w14:paraId="62B7627E" w14:textId="4207113E"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6091</w:t>
            </w:r>
          </w:p>
        </w:tc>
        <w:tc>
          <w:tcPr>
            <w:tcW w:w="791" w:type="pct"/>
            <w:vAlign w:val="center"/>
          </w:tcPr>
          <w:p w14:paraId="304A5936" w14:textId="378924FB"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792" w:type="pct"/>
            <w:vAlign w:val="center"/>
          </w:tcPr>
          <w:p w14:paraId="2F4D3380" w14:textId="12B6FFBB"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NW</w:t>
            </w:r>
          </w:p>
        </w:tc>
        <w:tc>
          <w:tcPr>
            <w:tcW w:w="792" w:type="pct"/>
            <w:vAlign w:val="center"/>
          </w:tcPr>
          <w:p w14:paraId="3FBD88E5" w14:textId="280CDAB3"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10°</w:t>
            </w:r>
          </w:p>
        </w:tc>
        <w:tc>
          <w:tcPr>
            <w:tcW w:w="787" w:type="pct"/>
            <w:vMerge/>
            <w:vAlign w:val="center"/>
          </w:tcPr>
          <w:p w14:paraId="65399966" w14:textId="77777777" w:rsidR="0039401D" w:rsidRPr="00092862" w:rsidRDefault="0039401D" w:rsidP="0039401D">
            <w:pPr>
              <w:pStyle w:val="ac"/>
              <w:tabs>
                <w:tab w:val="left" w:pos="863"/>
              </w:tabs>
              <w:spacing w:before="0"/>
              <w:ind w:left="0"/>
              <w:jc w:val="center"/>
              <w:rPr>
                <w:rFonts w:ascii="Times New Roman" w:hAnsi="Times New Roman"/>
                <w:color w:val="000000" w:themeColor="text1"/>
                <w:sz w:val="21"/>
                <w:szCs w:val="21"/>
                <w:lang w:eastAsia="zh-CN"/>
              </w:rPr>
            </w:pPr>
          </w:p>
        </w:tc>
      </w:tr>
    </w:tbl>
    <w:p w14:paraId="09A5D0BF" w14:textId="1118912C" w:rsidR="007A4B69" w:rsidRPr="00092862" w:rsidRDefault="007A4B69"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 xml:space="preserve">3.2-3 </w:t>
      </w:r>
      <w:r w:rsidRPr="00092862">
        <w:rPr>
          <w:rFonts w:ascii="Times New Roman" w:eastAsia="黑体" w:hAnsi="Times New Roman"/>
          <w:color w:val="000000" w:themeColor="text1"/>
          <w:sz w:val="21"/>
          <w:szCs w:val="21"/>
          <w:lang w:eastAsia="zh-CN"/>
        </w:rPr>
        <w:t xml:space="preserve"> </w:t>
      </w:r>
      <w:r w:rsidR="009F2FB7" w:rsidRPr="00092862">
        <w:rPr>
          <w:rFonts w:ascii="Times New Roman" w:eastAsia="黑体" w:hAnsi="Times New Roman"/>
          <w:color w:val="000000" w:themeColor="text1"/>
          <w:sz w:val="21"/>
          <w:szCs w:val="21"/>
          <w:lang w:eastAsia="zh-CN"/>
        </w:rPr>
        <w:t>压力系数预测表</w:t>
      </w:r>
    </w:p>
    <w:tbl>
      <w:tblPr>
        <w:tblStyle w:val="afffffffff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51"/>
        <w:gridCol w:w="850"/>
        <w:gridCol w:w="5328"/>
      </w:tblGrid>
      <w:tr w:rsidR="00697429" w:rsidRPr="00092862" w14:paraId="099F5300" w14:textId="77777777" w:rsidTr="00AA4BEA">
        <w:trPr>
          <w:trHeight w:val="269"/>
        </w:trPr>
        <w:tc>
          <w:tcPr>
            <w:tcW w:w="1271" w:type="dxa"/>
            <w:hideMark/>
          </w:tcPr>
          <w:p w14:paraId="3945E9C2" w14:textId="77777777" w:rsidR="0039401D" w:rsidRPr="00092862" w:rsidRDefault="0039401D"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层位</w:t>
            </w:r>
          </w:p>
        </w:tc>
        <w:tc>
          <w:tcPr>
            <w:tcW w:w="851" w:type="dxa"/>
            <w:hideMark/>
          </w:tcPr>
          <w:p w14:paraId="4A257E0F" w14:textId="3A8959F2" w:rsidR="0039401D" w:rsidRPr="00092862" w:rsidRDefault="0039401D"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显示示</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类别</w:t>
            </w:r>
          </w:p>
        </w:tc>
        <w:tc>
          <w:tcPr>
            <w:tcW w:w="850" w:type="dxa"/>
            <w:hideMark/>
          </w:tcPr>
          <w:p w14:paraId="1B61E356" w14:textId="5FFDC6CD" w:rsidR="0039401D" w:rsidRPr="00092862" w:rsidRDefault="0039401D"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综合预测</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压力系数</w:t>
            </w:r>
          </w:p>
        </w:tc>
        <w:tc>
          <w:tcPr>
            <w:tcW w:w="5328" w:type="dxa"/>
            <w:noWrap/>
            <w:hideMark/>
          </w:tcPr>
          <w:p w14:paraId="155B2493" w14:textId="28695D5F" w:rsidR="0039401D" w:rsidRPr="00092862" w:rsidRDefault="0039401D"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31CDD75F" w14:textId="77777777" w:rsidTr="00AA4BEA">
        <w:trPr>
          <w:trHeight w:val="142"/>
        </w:trPr>
        <w:tc>
          <w:tcPr>
            <w:tcW w:w="1271" w:type="dxa"/>
            <w:hideMark/>
          </w:tcPr>
          <w:p w14:paraId="403FCE0A" w14:textId="73C52F2B" w:rsidR="0039401D" w:rsidRPr="00092862" w:rsidRDefault="00BB21A4"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蓬</w:t>
            </w:r>
            <w:r w:rsidR="0039401D" w:rsidRPr="00092862">
              <w:rPr>
                <w:rFonts w:ascii="Times New Roman" w:eastAsia="宋体" w:hAnsi="Times New Roman" w:cs="Times New Roman"/>
                <w:color w:val="000000" w:themeColor="text1"/>
                <w:szCs w:val="21"/>
              </w:rPr>
              <w:t>莱镇组</w:t>
            </w:r>
            <w:r w:rsidR="0039401D" w:rsidRPr="00092862">
              <w:rPr>
                <w:rFonts w:ascii="Times New Roman" w:eastAsia="宋体" w:hAnsi="Times New Roman" w:cs="Times New Roman"/>
                <w:color w:val="000000" w:themeColor="text1"/>
                <w:szCs w:val="21"/>
              </w:rPr>
              <w:t>-</w:t>
            </w:r>
            <w:r w:rsidR="0039401D" w:rsidRPr="00092862">
              <w:rPr>
                <w:rFonts w:ascii="Times New Roman" w:eastAsia="宋体" w:hAnsi="Times New Roman" w:cs="Times New Roman"/>
                <w:color w:val="000000" w:themeColor="text1"/>
                <w:szCs w:val="21"/>
              </w:rPr>
              <w:t>下沙溪庙组</w:t>
            </w:r>
          </w:p>
        </w:tc>
        <w:tc>
          <w:tcPr>
            <w:tcW w:w="851" w:type="dxa"/>
          </w:tcPr>
          <w:p w14:paraId="6AD02175" w14:textId="4BEF9966" w:rsidR="0039401D" w:rsidRPr="00092862" w:rsidRDefault="0039401D" w:rsidP="00B94353">
            <w:pPr>
              <w:rPr>
                <w:rFonts w:ascii="Times New Roman" w:eastAsia="宋体" w:hAnsi="Times New Roman" w:cs="Times New Roman"/>
                <w:color w:val="000000" w:themeColor="text1"/>
                <w:szCs w:val="21"/>
              </w:rPr>
            </w:pPr>
          </w:p>
        </w:tc>
        <w:tc>
          <w:tcPr>
            <w:tcW w:w="850" w:type="dxa"/>
            <w:hideMark/>
          </w:tcPr>
          <w:p w14:paraId="4DA07ED0" w14:textId="34A2C2E8" w:rsidR="0039401D" w:rsidRPr="00092862" w:rsidRDefault="00BB21A4"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0.89-1.01</w:t>
            </w:r>
          </w:p>
        </w:tc>
        <w:tc>
          <w:tcPr>
            <w:tcW w:w="5328" w:type="dxa"/>
            <w:noWrap/>
          </w:tcPr>
          <w:p w14:paraId="212DCE67" w14:textId="7981D994" w:rsidR="0039401D" w:rsidRPr="00092862" w:rsidRDefault="00BB21A4" w:rsidP="00B9435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24762CEA" w14:textId="77777777" w:rsidTr="00AA4BEA">
        <w:trPr>
          <w:trHeight w:val="142"/>
        </w:trPr>
        <w:tc>
          <w:tcPr>
            <w:tcW w:w="1271" w:type="dxa"/>
          </w:tcPr>
          <w:p w14:paraId="40CC34CC" w14:textId="079DB95D"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千佛崖组</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自</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流井组</w:t>
            </w:r>
          </w:p>
        </w:tc>
        <w:tc>
          <w:tcPr>
            <w:tcW w:w="851" w:type="dxa"/>
          </w:tcPr>
          <w:p w14:paraId="7512556A" w14:textId="41DCCA7A" w:rsidR="00BB21A4" w:rsidRPr="00092862" w:rsidRDefault="00BB21A4" w:rsidP="00BB21A4">
            <w:pPr>
              <w:rPr>
                <w:rFonts w:ascii="Times New Roman" w:eastAsia="宋体" w:hAnsi="Times New Roman" w:cs="Times New Roman"/>
                <w:color w:val="000000" w:themeColor="text1"/>
                <w:szCs w:val="21"/>
              </w:rPr>
            </w:pPr>
          </w:p>
        </w:tc>
        <w:tc>
          <w:tcPr>
            <w:tcW w:w="850" w:type="dxa"/>
          </w:tcPr>
          <w:p w14:paraId="5B63C582" w14:textId="5CCF20C4"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1.09-1.27</w:t>
            </w:r>
          </w:p>
        </w:tc>
        <w:tc>
          <w:tcPr>
            <w:tcW w:w="5328" w:type="dxa"/>
            <w:noWrap/>
          </w:tcPr>
          <w:p w14:paraId="1D9CEBC3" w14:textId="008ACDA6"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井</w:t>
            </w:r>
            <w:r w:rsidRPr="00092862">
              <w:rPr>
                <w:rFonts w:ascii="Times New Roman" w:eastAsia="宋体" w:hAnsi="Times New Roman" w:cs="Times New Roman"/>
                <w:color w:val="000000" w:themeColor="text1"/>
                <w:szCs w:val="21"/>
              </w:rPr>
              <w:t xml:space="preserve"> 2822.5-3253m </w:t>
            </w:r>
            <w:r w:rsidRPr="00092862">
              <w:rPr>
                <w:rFonts w:ascii="Times New Roman" w:eastAsia="宋体" w:hAnsi="Times New Roman" w:cs="Times New Roman"/>
                <w:color w:val="000000" w:themeColor="text1"/>
                <w:szCs w:val="21"/>
              </w:rPr>
              <w:t>为空气钻进，自千佛崖组</w:t>
            </w:r>
            <w:r w:rsidRPr="00092862">
              <w:rPr>
                <w:rFonts w:ascii="Times New Roman" w:eastAsia="宋体" w:hAnsi="Times New Roman" w:cs="Times New Roman"/>
                <w:color w:val="000000" w:themeColor="text1"/>
                <w:szCs w:val="21"/>
              </w:rPr>
              <w:t xml:space="preserve"> 3253.7-</w:t>
            </w:r>
            <w:r w:rsidRPr="00092862">
              <w:rPr>
                <w:rFonts w:ascii="Times New Roman" w:eastAsia="宋体" w:hAnsi="Times New Roman" w:cs="Times New Roman"/>
                <w:color w:val="000000" w:themeColor="text1"/>
                <w:szCs w:val="21"/>
              </w:rPr>
              <w:t>自流井组使用钻</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井液密度</w:t>
            </w:r>
            <w:r w:rsidRPr="00092862">
              <w:rPr>
                <w:rFonts w:ascii="Times New Roman" w:eastAsia="宋体" w:hAnsi="Times New Roman" w:cs="Times New Roman"/>
                <w:color w:val="000000" w:themeColor="text1"/>
                <w:szCs w:val="21"/>
              </w:rPr>
              <w:t xml:space="preserve"> 1.26</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1.42</w:t>
            </w:r>
            <w:r w:rsidRPr="00092862">
              <w:rPr>
                <w:rFonts w:ascii="Times New Roman" w:eastAsia="宋体" w:hAnsi="Times New Roman" w:cs="Times New Roman"/>
                <w:color w:val="000000" w:themeColor="text1"/>
                <w:szCs w:val="21"/>
              </w:rPr>
              <w:t>；井深</w:t>
            </w:r>
            <w:r w:rsidRPr="00092862">
              <w:rPr>
                <w:rFonts w:ascii="Times New Roman" w:eastAsia="宋体" w:hAnsi="Times New Roman" w:cs="Times New Roman"/>
                <w:color w:val="000000" w:themeColor="text1"/>
                <w:szCs w:val="21"/>
              </w:rPr>
              <w:t xml:space="preserve"> 3524.18m </w:t>
            </w:r>
            <w:r w:rsidRPr="00092862">
              <w:rPr>
                <w:rFonts w:ascii="Times New Roman" w:eastAsia="宋体" w:hAnsi="Times New Roman" w:cs="Times New Roman"/>
                <w:color w:val="000000" w:themeColor="text1"/>
                <w:szCs w:val="21"/>
              </w:rPr>
              <w:t>时，钻井液密度</w:t>
            </w:r>
            <w:r w:rsidRPr="00092862">
              <w:rPr>
                <w:rFonts w:ascii="Times New Roman" w:eastAsia="宋体" w:hAnsi="Times New Roman" w:cs="Times New Roman"/>
                <w:color w:val="000000" w:themeColor="text1"/>
                <w:szCs w:val="21"/>
              </w:rPr>
              <w:t xml:space="preserve"> 1.35g/cm3 </w:t>
            </w:r>
            <w:r w:rsidRPr="00092862">
              <w:rPr>
                <w:rFonts w:ascii="Times New Roman" w:eastAsia="宋体" w:hAnsi="Times New Roman" w:cs="Times New Roman"/>
                <w:color w:val="000000" w:themeColor="text1"/>
                <w:szCs w:val="21"/>
              </w:rPr>
              <w:t>时，循环</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测量后效显示全烃最高达到</w:t>
            </w:r>
            <w:r w:rsidRPr="00092862">
              <w:rPr>
                <w:rFonts w:ascii="Times New Roman" w:eastAsia="宋体" w:hAnsi="Times New Roman" w:cs="Times New Roman"/>
                <w:color w:val="000000" w:themeColor="text1"/>
                <w:szCs w:val="21"/>
              </w:rPr>
              <w:t xml:space="preserve"> 77.40</w:t>
            </w:r>
            <w:r w:rsidRPr="00092862">
              <w:rPr>
                <w:rFonts w:ascii="Times New Roman" w:eastAsia="宋体" w:hAnsi="Times New Roman" w:cs="Times New Roman"/>
                <w:color w:val="000000" w:themeColor="text1"/>
                <w:szCs w:val="21"/>
              </w:rPr>
              <w:t>％，气侵严重，将钻井液密度提高到</w:t>
            </w:r>
            <w:r w:rsidRPr="00092862">
              <w:rPr>
                <w:rFonts w:ascii="Times New Roman" w:eastAsia="宋体" w:hAnsi="Times New Roman" w:cs="Times New Roman"/>
                <w:color w:val="000000" w:themeColor="text1"/>
                <w:szCs w:val="21"/>
              </w:rPr>
              <w:t xml:space="preserve"> 1.45g/cm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，后效显示微弱，达到近平衡。在井深</w:t>
            </w:r>
            <w:r w:rsidRPr="00092862">
              <w:rPr>
                <w:rFonts w:ascii="Times New Roman" w:eastAsia="宋体" w:hAnsi="Times New Roman" w:cs="Times New Roman"/>
                <w:color w:val="000000" w:themeColor="text1"/>
                <w:szCs w:val="21"/>
              </w:rPr>
              <w:t xml:space="preserve"> 3453.0m </w:t>
            </w:r>
            <w:r w:rsidRPr="00092862">
              <w:rPr>
                <w:rFonts w:ascii="Times New Roman" w:eastAsia="宋体" w:hAnsi="Times New Roman" w:cs="Times New Roman"/>
                <w:color w:val="000000" w:themeColor="text1"/>
                <w:szCs w:val="21"/>
              </w:rPr>
              <w:t>时，由于气测</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出现异常，全烃值达到</w:t>
            </w:r>
            <w:r w:rsidRPr="00092862">
              <w:rPr>
                <w:rFonts w:ascii="Times New Roman" w:eastAsia="宋体" w:hAnsi="Times New Roman" w:cs="Times New Roman"/>
                <w:color w:val="000000" w:themeColor="text1"/>
                <w:szCs w:val="21"/>
              </w:rPr>
              <w:t xml:space="preserve"> 55.75%</w:t>
            </w:r>
            <w:r w:rsidRPr="00092862">
              <w:rPr>
                <w:rFonts w:ascii="Times New Roman" w:eastAsia="宋体" w:hAnsi="Times New Roman" w:cs="Times New Roman"/>
                <w:color w:val="000000" w:themeColor="text1"/>
                <w:szCs w:val="21"/>
              </w:rPr>
              <w:t>，于是提高钻井液密度至</w:t>
            </w:r>
            <w:r w:rsidRPr="00092862">
              <w:rPr>
                <w:rFonts w:ascii="Times New Roman" w:eastAsia="宋体" w:hAnsi="Times New Roman" w:cs="Times New Roman"/>
                <w:color w:val="000000" w:themeColor="text1"/>
                <w:szCs w:val="21"/>
              </w:rPr>
              <w:t xml:space="preserve"> 1.42g/cm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进行钻</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进，在该密度钻井液下，气测显示依然较为活跃，在井深</w:t>
            </w:r>
            <w:r w:rsidRPr="00092862">
              <w:rPr>
                <w:rFonts w:ascii="Times New Roman" w:eastAsia="宋体" w:hAnsi="Times New Roman" w:cs="Times New Roman"/>
                <w:color w:val="000000" w:themeColor="text1"/>
                <w:szCs w:val="21"/>
              </w:rPr>
              <w:t xml:space="preserve"> 3519.0m </w:t>
            </w:r>
            <w:r w:rsidRPr="00092862">
              <w:rPr>
                <w:rFonts w:ascii="Times New Roman" w:eastAsia="宋体" w:hAnsi="Times New Roman" w:cs="Times New Roman"/>
                <w:color w:val="000000" w:themeColor="text1"/>
                <w:szCs w:val="21"/>
              </w:rPr>
              <w:t>和</w:t>
            </w:r>
            <w:r w:rsidRPr="00092862">
              <w:rPr>
                <w:rFonts w:ascii="Times New Roman" w:eastAsia="宋体" w:hAnsi="Times New Roman" w:cs="Times New Roman"/>
                <w:color w:val="000000" w:themeColor="text1"/>
                <w:szCs w:val="21"/>
              </w:rPr>
              <w:t xml:space="preserve"> 3644.0m </w:t>
            </w:r>
            <w:r w:rsidRPr="00092862">
              <w:rPr>
                <w:rFonts w:ascii="Times New Roman" w:eastAsia="宋体" w:hAnsi="Times New Roman" w:cs="Times New Roman"/>
                <w:color w:val="000000" w:themeColor="text1"/>
                <w:szCs w:val="21"/>
              </w:rPr>
              <w:t>时，全烃值达到</w:t>
            </w:r>
            <w:r w:rsidRPr="00092862">
              <w:rPr>
                <w:rFonts w:ascii="Times New Roman" w:eastAsia="宋体" w:hAnsi="Times New Roman" w:cs="Times New Roman"/>
                <w:color w:val="000000" w:themeColor="text1"/>
                <w:szCs w:val="21"/>
              </w:rPr>
              <w:t xml:space="preserve"> 90.4%</w:t>
            </w:r>
            <w:r w:rsidRPr="00092862">
              <w:rPr>
                <w:rFonts w:ascii="Times New Roman" w:eastAsia="宋体" w:hAnsi="Times New Roman" w:cs="Times New Roman"/>
                <w:color w:val="000000" w:themeColor="text1"/>
                <w:szCs w:val="21"/>
              </w:rPr>
              <w:t>和</w:t>
            </w:r>
            <w:r w:rsidRPr="00092862">
              <w:rPr>
                <w:rFonts w:ascii="Times New Roman" w:eastAsia="宋体" w:hAnsi="Times New Roman" w:cs="Times New Roman"/>
                <w:color w:val="000000" w:themeColor="text1"/>
                <w:szCs w:val="21"/>
              </w:rPr>
              <w:t xml:space="preserve"> 75.94%</w:t>
            </w:r>
            <w:r w:rsidRPr="00092862">
              <w:rPr>
                <w:rFonts w:ascii="Times New Roman" w:eastAsia="宋体" w:hAnsi="Times New Roman" w:cs="Times New Roman"/>
                <w:color w:val="000000" w:themeColor="text1"/>
                <w:szCs w:val="21"/>
              </w:rPr>
              <w:t>。提高钻井液密度至</w:t>
            </w:r>
            <w:r w:rsidRPr="00092862">
              <w:rPr>
                <w:rFonts w:ascii="Times New Roman" w:eastAsia="宋体" w:hAnsi="Times New Roman" w:cs="Times New Roman"/>
                <w:color w:val="000000" w:themeColor="text1"/>
                <w:szCs w:val="21"/>
              </w:rPr>
              <w:t xml:space="preserve"> 1.45g/cm3 </w:t>
            </w:r>
            <w:r w:rsidRPr="00092862">
              <w:rPr>
                <w:rFonts w:ascii="Times New Roman" w:eastAsia="宋体" w:hAnsi="Times New Roman" w:cs="Times New Roman"/>
                <w:color w:val="000000" w:themeColor="text1"/>
                <w:szCs w:val="21"/>
              </w:rPr>
              <w:t>进行钻进；老君</w:t>
            </w:r>
            <w:r w:rsidRPr="00092862">
              <w:rPr>
                <w:rFonts w:ascii="Times New Roman" w:eastAsia="宋体" w:hAnsi="Times New Roman" w:cs="Times New Roman"/>
                <w:color w:val="000000" w:themeColor="text1"/>
                <w:szCs w:val="21"/>
              </w:rPr>
              <w:t xml:space="preserve"> 3 </w:t>
            </w:r>
            <w:r w:rsidRPr="00092862">
              <w:rPr>
                <w:rFonts w:ascii="Times New Roman" w:eastAsia="宋体" w:hAnsi="Times New Roman" w:cs="Times New Roman"/>
                <w:color w:val="000000" w:themeColor="text1"/>
                <w:szCs w:val="21"/>
              </w:rPr>
              <w:t>井</w:t>
            </w:r>
            <w:r w:rsidRPr="00092862">
              <w:rPr>
                <w:rFonts w:ascii="Times New Roman" w:eastAsia="宋体" w:hAnsi="Times New Roman" w:cs="Times New Roman"/>
                <w:color w:val="000000" w:themeColor="text1"/>
                <w:szCs w:val="21"/>
              </w:rPr>
              <w:t xml:space="preserve"> 1635-1745m </w:t>
            </w:r>
            <w:r w:rsidRPr="00092862">
              <w:rPr>
                <w:rFonts w:ascii="Times New Roman" w:eastAsia="宋体" w:hAnsi="Times New Roman" w:cs="Times New Roman"/>
                <w:color w:val="000000" w:themeColor="text1"/>
                <w:szCs w:val="21"/>
              </w:rPr>
              <w:t>空气钻进，井深</w:t>
            </w:r>
            <w:r w:rsidRPr="00092862">
              <w:rPr>
                <w:rFonts w:ascii="Times New Roman" w:eastAsia="宋体" w:hAnsi="Times New Roman" w:cs="Times New Roman"/>
                <w:color w:val="000000" w:themeColor="text1"/>
                <w:szCs w:val="21"/>
              </w:rPr>
              <w:t xml:space="preserve"> 1745.05m</w:t>
            </w:r>
            <w:r w:rsidRPr="00092862">
              <w:rPr>
                <w:rFonts w:ascii="Times New Roman" w:eastAsia="宋体" w:hAnsi="Times New Roman" w:cs="Times New Roman"/>
                <w:color w:val="000000" w:themeColor="text1"/>
                <w:szCs w:val="21"/>
              </w:rPr>
              <w:t>，漏失钻井液</w:t>
            </w:r>
            <w:r w:rsidRPr="00092862">
              <w:rPr>
                <w:rFonts w:ascii="Times New Roman" w:eastAsia="宋体" w:hAnsi="Times New Roman" w:cs="Times New Roman"/>
                <w:color w:val="000000" w:themeColor="text1"/>
                <w:szCs w:val="21"/>
              </w:rPr>
              <w:t xml:space="preserve"> 42.0m3</w:t>
            </w:r>
            <w:r w:rsidRPr="00092862">
              <w:rPr>
                <w:rFonts w:ascii="Times New Roman" w:eastAsia="宋体" w:hAnsi="Times New Roman" w:cs="Times New Roman"/>
                <w:color w:val="000000" w:themeColor="text1"/>
                <w:szCs w:val="21"/>
              </w:rPr>
              <w:t>，密度</w:t>
            </w:r>
            <w:r w:rsidRPr="00092862">
              <w:rPr>
                <w:rFonts w:ascii="Times New Roman" w:eastAsia="宋体" w:hAnsi="Times New Roman" w:cs="Times New Roman"/>
                <w:color w:val="000000" w:themeColor="text1"/>
                <w:szCs w:val="21"/>
              </w:rPr>
              <w:t xml:space="preserve"> 1.22g/cm3</w:t>
            </w:r>
            <w:r w:rsidRPr="00092862">
              <w:rPr>
                <w:rFonts w:ascii="Times New Roman" w:eastAsia="宋体" w:hAnsi="Times New Roman" w:cs="Times New Roman"/>
                <w:color w:val="000000" w:themeColor="text1"/>
                <w:szCs w:val="21"/>
              </w:rPr>
              <w:t>，自</w:t>
            </w:r>
            <w:r w:rsidRPr="00092862">
              <w:rPr>
                <w:rFonts w:ascii="Times New Roman" w:eastAsia="宋体" w:hAnsi="Times New Roman" w:cs="Times New Roman"/>
                <w:color w:val="000000" w:themeColor="text1"/>
                <w:szCs w:val="21"/>
              </w:rPr>
              <w:t xml:space="preserve"> 1745-</w:t>
            </w:r>
            <w:r w:rsidRPr="00092862">
              <w:rPr>
                <w:rFonts w:ascii="Times New Roman" w:eastAsia="宋体" w:hAnsi="Times New Roman" w:cs="Times New Roman"/>
                <w:color w:val="000000" w:themeColor="text1"/>
                <w:szCs w:val="21"/>
              </w:rPr>
              <w:t>下溪庙组使用钻井液密度</w:t>
            </w:r>
            <w:r w:rsidRPr="00092862">
              <w:rPr>
                <w:rFonts w:ascii="Times New Roman" w:eastAsia="宋体" w:hAnsi="Times New Roman" w:cs="Times New Roman"/>
                <w:color w:val="000000" w:themeColor="text1"/>
                <w:szCs w:val="21"/>
              </w:rPr>
              <w:t xml:space="preserve"> 1.25-1.30 </w:t>
            </w:r>
            <w:r w:rsidRPr="00092862">
              <w:rPr>
                <w:rFonts w:ascii="Times New Roman" w:eastAsia="宋体" w:hAnsi="Times New Roman" w:cs="Times New Roman"/>
                <w:color w:val="000000" w:themeColor="text1"/>
                <w:szCs w:val="21"/>
              </w:rPr>
              <w:t>正</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常钻进；老君</w:t>
            </w:r>
            <w:r w:rsidRPr="00092862">
              <w:rPr>
                <w:rFonts w:ascii="Times New Roman" w:eastAsia="宋体" w:hAnsi="Times New Roman" w:cs="Times New Roman"/>
                <w:color w:val="000000" w:themeColor="text1"/>
                <w:szCs w:val="21"/>
              </w:rPr>
              <w:t xml:space="preserve"> 2 </w:t>
            </w:r>
            <w:r w:rsidRPr="00092862">
              <w:rPr>
                <w:rFonts w:ascii="Times New Roman" w:eastAsia="宋体" w:hAnsi="Times New Roman" w:cs="Times New Roman"/>
                <w:color w:val="000000" w:themeColor="text1"/>
                <w:szCs w:val="21"/>
              </w:rPr>
              <w:t>井空气正常钻进。</w:t>
            </w:r>
          </w:p>
        </w:tc>
      </w:tr>
      <w:tr w:rsidR="00697429" w:rsidRPr="00092862" w14:paraId="365305C0" w14:textId="77777777" w:rsidTr="00AA4BEA">
        <w:trPr>
          <w:trHeight w:val="150"/>
        </w:trPr>
        <w:tc>
          <w:tcPr>
            <w:tcW w:w="1271" w:type="dxa"/>
            <w:noWrap/>
          </w:tcPr>
          <w:p w14:paraId="64A5D157" w14:textId="0EA0F364"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须家河组</w:t>
            </w:r>
          </w:p>
        </w:tc>
        <w:tc>
          <w:tcPr>
            <w:tcW w:w="851" w:type="dxa"/>
            <w:noWrap/>
          </w:tcPr>
          <w:p w14:paraId="485CE99F" w14:textId="4E507DCA" w:rsidR="00BB21A4" w:rsidRPr="00092862" w:rsidRDefault="00BB21A4" w:rsidP="00BB21A4">
            <w:pPr>
              <w:rPr>
                <w:rFonts w:ascii="Times New Roman" w:eastAsia="宋体" w:hAnsi="Times New Roman" w:cs="Times New Roman"/>
                <w:color w:val="000000" w:themeColor="text1"/>
                <w:szCs w:val="21"/>
              </w:rPr>
            </w:pPr>
          </w:p>
        </w:tc>
        <w:tc>
          <w:tcPr>
            <w:tcW w:w="850" w:type="dxa"/>
          </w:tcPr>
          <w:p w14:paraId="2F7B4BA2" w14:textId="48F6780D"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0.95-1.20</w:t>
            </w:r>
          </w:p>
        </w:tc>
        <w:tc>
          <w:tcPr>
            <w:tcW w:w="5328" w:type="dxa"/>
            <w:noWrap/>
          </w:tcPr>
          <w:p w14:paraId="28115BA5" w14:textId="6800194B"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普陆</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井须家河组测试压力系数</w:t>
            </w:r>
            <w:r w:rsidRPr="00092862">
              <w:rPr>
                <w:rFonts w:ascii="Times New Roman" w:eastAsia="宋体" w:hAnsi="Times New Roman" w:cs="Times New Roman"/>
                <w:color w:val="000000" w:themeColor="text1"/>
                <w:szCs w:val="21"/>
              </w:rPr>
              <w:t xml:space="preserve"> 0.95</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井使用钻井液密度</w:t>
            </w:r>
            <w:r w:rsidRPr="00092862">
              <w:rPr>
                <w:rFonts w:ascii="Times New Roman" w:eastAsia="宋体" w:hAnsi="Times New Roman" w:cs="Times New Roman"/>
                <w:color w:val="000000" w:themeColor="text1"/>
                <w:szCs w:val="21"/>
              </w:rPr>
              <w:t xml:space="preserve"> 1.38</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 1.46</w:t>
            </w:r>
            <w:r w:rsidRPr="00092862">
              <w:rPr>
                <w:rFonts w:ascii="Times New Roman" w:eastAsia="宋体" w:hAnsi="Times New Roman" w:cs="Times New Roman"/>
                <w:color w:val="000000" w:themeColor="text1"/>
                <w:szCs w:val="21"/>
              </w:rPr>
              <w:t>，须家河组在井段</w:t>
            </w:r>
            <w:r w:rsidRPr="00092862">
              <w:rPr>
                <w:rFonts w:ascii="Times New Roman" w:eastAsia="宋体" w:hAnsi="Times New Roman" w:cs="Times New Roman"/>
                <w:color w:val="000000" w:themeColor="text1"/>
                <w:szCs w:val="21"/>
              </w:rPr>
              <w:t xml:space="preserve"> 3942.69-4424.97m </w:t>
            </w:r>
            <w:r w:rsidRPr="00092862">
              <w:rPr>
                <w:rFonts w:ascii="Times New Roman" w:eastAsia="宋体" w:hAnsi="Times New Roman" w:cs="Times New Roman"/>
                <w:color w:val="000000" w:themeColor="text1"/>
                <w:szCs w:val="21"/>
              </w:rPr>
              <w:t>共计漏失密度为</w:t>
            </w:r>
            <w:r w:rsidRPr="00092862">
              <w:rPr>
                <w:rFonts w:ascii="Times New Roman" w:eastAsia="宋体" w:hAnsi="Times New Roman" w:cs="Times New Roman"/>
                <w:color w:val="000000" w:themeColor="text1"/>
                <w:szCs w:val="21"/>
              </w:rPr>
              <w:t xml:space="preserve"> 1.40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1.43 g/cm3 </w:t>
            </w:r>
            <w:r w:rsidRPr="00092862">
              <w:rPr>
                <w:rFonts w:ascii="Times New Roman" w:eastAsia="宋体" w:hAnsi="Times New Roman" w:cs="Times New Roman"/>
                <w:color w:val="000000" w:themeColor="text1"/>
                <w:szCs w:val="21"/>
              </w:rPr>
              <w:t>钻井液</w:t>
            </w:r>
            <w:r w:rsidRPr="00092862">
              <w:rPr>
                <w:rFonts w:ascii="Times New Roman" w:eastAsia="宋体" w:hAnsi="Times New Roman" w:cs="Times New Roman"/>
                <w:color w:val="000000" w:themeColor="text1"/>
                <w:szCs w:val="21"/>
              </w:rPr>
              <w:t xml:space="preserve"> 110.84m3</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2 </w:t>
            </w:r>
            <w:r w:rsidRPr="00092862">
              <w:rPr>
                <w:rFonts w:ascii="Times New Roman" w:eastAsia="宋体" w:hAnsi="Times New Roman" w:cs="Times New Roman"/>
                <w:color w:val="000000" w:themeColor="text1"/>
                <w:szCs w:val="21"/>
              </w:rPr>
              <w:t>井使用钻井液密度</w:t>
            </w:r>
            <w:r w:rsidRPr="00092862">
              <w:rPr>
                <w:rFonts w:ascii="Times New Roman" w:eastAsia="宋体" w:hAnsi="Times New Roman" w:cs="Times New Roman"/>
                <w:color w:val="000000" w:themeColor="text1"/>
                <w:szCs w:val="21"/>
              </w:rPr>
              <w:t xml:space="preserve"> 1.20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1.77</w:t>
            </w:r>
            <w:r w:rsidRPr="00092862">
              <w:rPr>
                <w:rFonts w:ascii="Times New Roman" w:eastAsia="宋体" w:hAnsi="Times New Roman" w:cs="Times New Roman"/>
                <w:color w:val="000000" w:themeColor="text1"/>
                <w:szCs w:val="21"/>
              </w:rPr>
              <w:t>，钻至井深</w:t>
            </w:r>
            <w:r w:rsidRPr="00092862">
              <w:rPr>
                <w:rFonts w:ascii="Times New Roman" w:eastAsia="宋体" w:hAnsi="Times New Roman" w:cs="Times New Roman"/>
                <w:color w:val="000000" w:themeColor="text1"/>
                <w:szCs w:val="21"/>
              </w:rPr>
              <w:t xml:space="preserve"> 3425.94m</w:t>
            </w:r>
            <w:r w:rsidRPr="00092862">
              <w:rPr>
                <w:rFonts w:ascii="Times New Roman" w:eastAsia="宋体" w:hAnsi="Times New Roman" w:cs="Times New Roman"/>
                <w:color w:val="000000" w:themeColor="text1"/>
                <w:szCs w:val="21"/>
              </w:rPr>
              <w:t>，在溢流后节流循环压井中发生井漏，</w:t>
            </w:r>
            <w:r w:rsidRPr="00092862">
              <w:rPr>
                <w:rFonts w:ascii="Times New Roman" w:eastAsia="宋体" w:hAnsi="Times New Roman" w:cs="Times New Roman"/>
                <w:color w:val="000000" w:themeColor="text1"/>
                <w:szCs w:val="21"/>
              </w:rPr>
              <w:t xml:space="preserve">3425.94-3543.95m </w:t>
            </w:r>
            <w:r w:rsidRPr="00092862">
              <w:rPr>
                <w:rFonts w:ascii="Times New Roman" w:eastAsia="宋体" w:hAnsi="Times New Roman" w:cs="Times New Roman"/>
                <w:color w:val="000000" w:themeColor="text1"/>
                <w:szCs w:val="21"/>
              </w:rPr>
              <w:t>共发生</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井漏</w:t>
            </w:r>
            <w:r w:rsidRPr="00092862">
              <w:rPr>
                <w:rFonts w:ascii="Times New Roman" w:eastAsia="宋体" w:hAnsi="Times New Roman" w:cs="Times New Roman"/>
                <w:color w:val="000000" w:themeColor="text1"/>
                <w:szCs w:val="21"/>
              </w:rPr>
              <w:t xml:space="preserve"> 31 </w:t>
            </w:r>
            <w:r w:rsidRPr="00092862">
              <w:rPr>
                <w:rFonts w:ascii="Times New Roman" w:eastAsia="宋体" w:hAnsi="Times New Roman" w:cs="Times New Roman"/>
                <w:color w:val="000000" w:themeColor="text1"/>
                <w:szCs w:val="21"/>
              </w:rPr>
              <w:t>次，累计漏失钻井液</w:t>
            </w:r>
            <w:r w:rsidRPr="00092862">
              <w:rPr>
                <w:rFonts w:ascii="Times New Roman" w:eastAsia="宋体" w:hAnsi="Times New Roman" w:cs="Times New Roman"/>
                <w:color w:val="000000" w:themeColor="text1"/>
                <w:szCs w:val="21"/>
              </w:rPr>
              <w:t xml:space="preserve"> 2249.38m3</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3 </w:t>
            </w:r>
            <w:r w:rsidRPr="00092862">
              <w:rPr>
                <w:rFonts w:ascii="Times New Roman" w:eastAsia="宋体" w:hAnsi="Times New Roman" w:cs="Times New Roman"/>
                <w:color w:val="000000" w:themeColor="text1"/>
                <w:szCs w:val="21"/>
              </w:rPr>
              <w:t>井使用钻井液密度</w:t>
            </w:r>
            <w:r w:rsidRPr="00092862">
              <w:rPr>
                <w:rFonts w:ascii="Times New Roman" w:eastAsia="宋体" w:hAnsi="Times New Roman" w:cs="Times New Roman"/>
                <w:color w:val="000000" w:themeColor="text1"/>
                <w:szCs w:val="21"/>
              </w:rPr>
              <w:t xml:space="preserve"> 1.30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1.35</w:t>
            </w:r>
            <w:r w:rsidRPr="00092862">
              <w:rPr>
                <w:rFonts w:ascii="Times New Roman" w:eastAsia="宋体" w:hAnsi="Times New Roman" w:cs="Times New Roman"/>
                <w:color w:val="000000" w:themeColor="text1"/>
                <w:szCs w:val="21"/>
              </w:rPr>
              <w:t>；分</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井须家河组测试压力系数</w:t>
            </w:r>
            <w:r w:rsidRPr="00092862">
              <w:rPr>
                <w:rFonts w:ascii="Times New Roman" w:eastAsia="宋体" w:hAnsi="Times New Roman" w:cs="Times New Roman"/>
                <w:color w:val="000000" w:themeColor="text1"/>
                <w:szCs w:val="21"/>
              </w:rPr>
              <w:t xml:space="preserve"> 1.01</w:t>
            </w:r>
            <w:r w:rsidRPr="00092862">
              <w:rPr>
                <w:rFonts w:ascii="Times New Roman" w:eastAsia="宋体" w:hAnsi="Times New Roman" w:cs="Times New Roman"/>
                <w:color w:val="000000" w:themeColor="text1"/>
                <w:szCs w:val="21"/>
              </w:rPr>
              <w:t>。</w:t>
            </w:r>
          </w:p>
        </w:tc>
      </w:tr>
      <w:tr w:rsidR="00697429" w:rsidRPr="00092862" w14:paraId="3148230D" w14:textId="77777777" w:rsidTr="00AA4BEA">
        <w:trPr>
          <w:trHeight w:val="150"/>
        </w:trPr>
        <w:tc>
          <w:tcPr>
            <w:tcW w:w="1271" w:type="dxa"/>
            <w:noWrap/>
          </w:tcPr>
          <w:p w14:paraId="0A4F23B4" w14:textId="41D31FAA"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雷口坡组</w:t>
            </w:r>
          </w:p>
        </w:tc>
        <w:tc>
          <w:tcPr>
            <w:tcW w:w="851" w:type="dxa"/>
            <w:noWrap/>
          </w:tcPr>
          <w:p w14:paraId="19197720" w14:textId="77777777" w:rsidR="00BB21A4" w:rsidRPr="00092862" w:rsidRDefault="00BB21A4" w:rsidP="00BB21A4">
            <w:pPr>
              <w:rPr>
                <w:rFonts w:ascii="Times New Roman" w:eastAsia="宋体" w:hAnsi="Times New Roman" w:cs="Times New Roman"/>
                <w:color w:val="000000" w:themeColor="text1"/>
                <w:szCs w:val="21"/>
              </w:rPr>
            </w:pPr>
          </w:p>
        </w:tc>
        <w:tc>
          <w:tcPr>
            <w:tcW w:w="850" w:type="dxa"/>
          </w:tcPr>
          <w:p w14:paraId="00FBCC16" w14:textId="6A961218"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1.24-1.39</w:t>
            </w:r>
          </w:p>
        </w:tc>
        <w:tc>
          <w:tcPr>
            <w:tcW w:w="5328" w:type="dxa"/>
            <w:noWrap/>
          </w:tcPr>
          <w:p w14:paraId="56D12A14" w14:textId="66D730BB"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实钻泥浆密度</w:t>
            </w:r>
            <w:r w:rsidRPr="00092862">
              <w:rPr>
                <w:rFonts w:ascii="Times New Roman" w:eastAsia="宋体" w:hAnsi="Times New Roman" w:cs="Times New Roman"/>
                <w:color w:val="000000" w:themeColor="text1"/>
                <w:szCs w:val="21"/>
              </w:rPr>
              <w:t xml:space="preserve"> 1.39</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1.54</w:t>
            </w:r>
            <w:r w:rsidRPr="00092862">
              <w:rPr>
                <w:rFonts w:ascii="Times New Roman" w:eastAsia="宋体" w:hAnsi="Times New Roman" w:cs="Times New Roman"/>
                <w:color w:val="000000" w:themeColor="text1"/>
                <w:szCs w:val="21"/>
              </w:rPr>
              <w:t>，井段</w:t>
            </w:r>
            <w:r w:rsidRPr="00092862">
              <w:rPr>
                <w:rFonts w:ascii="Times New Roman" w:eastAsia="宋体" w:hAnsi="Times New Roman" w:cs="Times New Roman"/>
                <w:color w:val="000000" w:themeColor="text1"/>
                <w:szCs w:val="21"/>
              </w:rPr>
              <w:t xml:space="preserve"> 4622.0-4626.27m </w:t>
            </w:r>
            <w:r w:rsidRPr="00092862">
              <w:rPr>
                <w:rFonts w:ascii="Times New Roman" w:eastAsia="宋体" w:hAnsi="Times New Roman" w:cs="Times New Roman"/>
                <w:color w:val="000000" w:themeColor="text1"/>
                <w:szCs w:val="21"/>
              </w:rPr>
              <w:t>处漏失密度为</w:t>
            </w:r>
            <w:r w:rsidRPr="00092862">
              <w:rPr>
                <w:rFonts w:ascii="Times New Roman" w:eastAsia="宋体" w:hAnsi="Times New Roman" w:cs="Times New Roman"/>
                <w:color w:val="000000" w:themeColor="text1"/>
                <w:szCs w:val="21"/>
              </w:rPr>
              <w:t xml:space="preserve"> 1.15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1.22 g/cm3 </w:t>
            </w:r>
            <w:r w:rsidRPr="00092862">
              <w:rPr>
                <w:rFonts w:ascii="Times New Roman" w:eastAsia="宋体" w:hAnsi="Times New Roman" w:cs="Times New Roman"/>
                <w:color w:val="000000" w:themeColor="text1"/>
                <w:szCs w:val="21"/>
              </w:rPr>
              <w:t>钻井液</w:t>
            </w:r>
            <w:r w:rsidRPr="00092862">
              <w:rPr>
                <w:rFonts w:ascii="Times New Roman" w:eastAsia="宋体" w:hAnsi="Times New Roman" w:cs="Times New Roman"/>
                <w:color w:val="000000" w:themeColor="text1"/>
                <w:szCs w:val="21"/>
              </w:rPr>
              <w:t xml:space="preserve"> 14.69m3</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2 </w:t>
            </w:r>
            <w:r w:rsidRPr="00092862">
              <w:rPr>
                <w:rFonts w:ascii="Times New Roman" w:eastAsia="宋体" w:hAnsi="Times New Roman" w:cs="Times New Roman"/>
                <w:color w:val="000000" w:themeColor="text1"/>
                <w:szCs w:val="21"/>
              </w:rPr>
              <w:t>钻井液密度</w:t>
            </w:r>
            <w:r w:rsidRPr="00092862">
              <w:rPr>
                <w:rFonts w:ascii="Times New Roman" w:eastAsia="宋体" w:hAnsi="Times New Roman" w:cs="Times New Roman"/>
                <w:color w:val="000000" w:themeColor="text1"/>
                <w:szCs w:val="21"/>
              </w:rPr>
              <w:t xml:space="preserve"> 1.28-1.58</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3 </w:t>
            </w:r>
            <w:r w:rsidRPr="00092862">
              <w:rPr>
                <w:rFonts w:ascii="Times New Roman" w:eastAsia="宋体" w:hAnsi="Times New Roman" w:cs="Times New Roman"/>
                <w:color w:val="000000" w:themeColor="text1"/>
                <w:szCs w:val="21"/>
              </w:rPr>
              <w:t>井</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使用钻井液密度</w:t>
            </w:r>
            <w:r w:rsidRPr="00092862">
              <w:rPr>
                <w:rFonts w:ascii="Times New Roman" w:eastAsia="宋体" w:hAnsi="Times New Roman" w:cs="Times New Roman"/>
                <w:color w:val="000000" w:themeColor="text1"/>
                <w:szCs w:val="21"/>
              </w:rPr>
              <w:t xml:space="preserve"> 1.32</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1.35</w:t>
            </w:r>
            <w:r w:rsidRPr="00092862">
              <w:rPr>
                <w:rFonts w:ascii="Times New Roman" w:eastAsia="宋体" w:hAnsi="Times New Roman" w:cs="Times New Roman"/>
                <w:color w:val="000000" w:themeColor="text1"/>
                <w:szCs w:val="21"/>
              </w:rPr>
              <w:t>。</w:t>
            </w:r>
          </w:p>
        </w:tc>
      </w:tr>
      <w:tr w:rsidR="00697429" w:rsidRPr="00092862" w14:paraId="134FE66D" w14:textId="77777777" w:rsidTr="00AA4BEA">
        <w:trPr>
          <w:trHeight w:val="150"/>
        </w:trPr>
        <w:tc>
          <w:tcPr>
            <w:tcW w:w="1271" w:type="dxa"/>
            <w:noWrap/>
          </w:tcPr>
          <w:p w14:paraId="53FCBA0E" w14:textId="5FD52EB4"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嘉陵江组</w:t>
            </w:r>
          </w:p>
        </w:tc>
        <w:tc>
          <w:tcPr>
            <w:tcW w:w="851" w:type="dxa"/>
            <w:noWrap/>
          </w:tcPr>
          <w:p w14:paraId="217A9A6E" w14:textId="77777777" w:rsidR="00BB21A4" w:rsidRPr="00092862" w:rsidRDefault="00BB21A4" w:rsidP="00BB21A4">
            <w:pPr>
              <w:rPr>
                <w:rFonts w:ascii="Times New Roman" w:eastAsia="宋体" w:hAnsi="Times New Roman" w:cs="Times New Roman"/>
                <w:color w:val="000000" w:themeColor="text1"/>
                <w:szCs w:val="21"/>
              </w:rPr>
            </w:pPr>
          </w:p>
        </w:tc>
        <w:tc>
          <w:tcPr>
            <w:tcW w:w="850" w:type="dxa"/>
          </w:tcPr>
          <w:p w14:paraId="778344A6" w14:textId="3657A9C5"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0.94-1.11</w:t>
            </w:r>
          </w:p>
        </w:tc>
        <w:tc>
          <w:tcPr>
            <w:tcW w:w="5328" w:type="dxa"/>
            <w:noWrap/>
          </w:tcPr>
          <w:p w14:paraId="01ED9A95" w14:textId="68755D1C"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实钻泥浆密度</w:t>
            </w:r>
            <w:r w:rsidRPr="00092862">
              <w:rPr>
                <w:rFonts w:ascii="Times New Roman" w:eastAsia="宋体" w:hAnsi="Times New Roman" w:cs="Times New Roman"/>
                <w:color w:val="000000" w:themeColor="text1"/>
                <w:szCs w:val="21"/>
              </w:rPr>
              <w:t xml:space="preserve"> 1.39</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1.54</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2 </w:t>
            </w:r>
            <w:r w:rsidRPr="00092862">
              <w:rPr>
                <w:rFonts w:ascii="Times New Roman" w:eastAsia="宋体" w:hAnsi="Times New Roman" w:cs="Times New Roman"/>
                <w:color w:val="000000" w:themeColor="text1"/>
                <w:szCs w:val="21"/>
              </w:rPr>
              <w:t>钻井液密度</w:t>
            </w:r>
            <w:r w:rsidRPr="00092862">
              <w:rPr>
                <w:rFonts w:ascii="Times New Roman" w:eastAsia="宋体" w:hAnsi="Times New Roman" w:cs="Times New Roman"/>
                <w:color w:val="000000" w:themeColor="text1"/>
                <w:szCs w:val="21"/>
              </w:rPr>
              <w:t xml:space="preserve"> 1.35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1.59</w:t>
            </w:r>
            <w:r w:rsidRPr="00092862">
              <w:rPr>
                <w:rFonts w:ascii="Times New Roman" w:eastAsia="宋体" w:hAnsi="Times New Roman" w:cs="Times New Roman"/>
                <w:color w:val="000000" w:themeColor="text1"/>
                <w:szCs w:val="21"/>
              </w:rPr>
              <w:t>，钻达井</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深</w:t>
            </w:r>
            <w:r w:rsidRPr="00092862">
              <w:rPr>
                <w:rFonts w:ascii="Times New Roman" w:eastAsia="宋体" w:hAnsi="Times New Roman" w:cs="Times New Roman"/>
                <w:color w:val="000000" w:themeColor="text1"/>
                <w:szCs w:val="21"/>
              </w:rPr>
              <w:t xml:space="preserve"> 4747.80m</w:t>
            </w:r>
            <w:r w:rsidRPr="00092862">
              <w:rPr>
                <w:rFonts w:ascii="Times New Roman" w:eastAsia="宋体" w:hAnsi="Times New Roman" w:cs="Times New Roman"/>
                <w:color w:val="000000" w:themeColor="text1"/>
                <w:szCs w:val="21"/>
              </w:rPr>
              <w:t>，层位嘉陵江组嘉四段，定向钻进中发生井漏，共漏失钻井</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液</w:t>
            </w:r>
            <w:r w:rsidRPr="00092862">
              <w:rPr>
                <w:rFonts w:ascii="Times New Roman" w:eastAsia="宋体" w:hAnsi="Times New Roman" w:cs="Times New Roman"/>
                <w:color w:val="000000" w:themeColor="text1"/>
                <w:szCs w:val="21"/>
              </w:rPr>
              <w:t xml:space="preserve"> 8.10m3</w:t>
            </w:r>
            <w:r w:rsidRPr="00092862">
              <w:rPr>
                <w:rFonts w:ascii="Times New Roman" w:eastAsia="宋体" w:hAnsi="Times New Roman" w:cs="Times New Roman"/>
                <w:color w:val="000000" w:themeColor="text1"/>
                <w:szCs w:val="21"/>
              </w:rPr>
              <w:t>，钻井液密度</w:t>
            </w:r>
            <w:r w:rsidRPr="00092862">
              <w:rPr>
                <w:rFonts w:ascii="Times New Roman" w:eastAsia="宋体" w:hAnsi="Times New Roman" w:cs="Times New Roman"/>
                <w:color w:val="000000" w:themeColor="text1"/>
                <w:szCs w:val="21"/>
              </w:rPr>
              <w:t xml:space="preserve"> 1.53-1.54g/cm3</w:t>
            </w:r>
            <w:r w:rsidRPr="00092862">
              <w:rPr>
                <w:rFonts w:ascii="Times New Roman" w:eastAsia="宋体" w:hAnsi="Times New Roman" w:cs="Times New Roman"/>
                <w:color w:val="000000" w:themeColor="text1"/>
                <w:szCs w:val="21"/>
              </w:rPr>
              <w:t>、黏度</w:t>
            </w:r>
            <w:r w:rsidRPr="00092862">
              <w:rPr>
                <w:rFonts w:ascii="Times New Roman" w:eastAsia="宋体" w:hAnsi="Times New Roman" w:cs="Times New Roman"/>
                <w:color w:val="000000" w:themeColor="text1"/>
                <w:szCs w:val="21"/>
              </w:rPr>
              <w:t xml:space="preserve"> 58-62s</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3 </w:t>
            </w:r>
            <w:r w:rsidRPr="00092862">
              <w:rPr>
                <w:rFonts w:ascii="Times New Roman" w:eastAsia="宋体" w:hAnsi="Times New Roman" w:cs="Times New Roman"/>
                <w:color w:val="000000" w:themeColor="text1"/>
                <w:szCs w:val="21"/>
              </w:rPr>
              <w:t>井使用钻</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井液密度</w:t>
            </w:r>
            <w:r w:rsidRPr="00092862">
              <w:rPr>
                <w:rFonts w:ascii="Times New Roman" w:eastAsia="宋体" w:hAnsi="Times New Roman" w:cs="Times New Roman"/>
                <w:color w:val="000000" w:themeColor="text1"/>
                <w:szCs w:val="21"/>
              </w:rPr>
              <w:t xml:space="preserve"> 1.29</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1.36</w:t>
            </w:r>
            <w:r w:rsidRPr="00092862">
              <w:rPr>
                <w:rFonts w:ascii="Times New Roman" w:eastAsia="宋体" w:hAnsi="Times New Roman" w:cs="Times New Roman"/>
                <w:color w:val="000000" w:themeColor="text1"/>
                <w:szCs w:val="21"/>
              </w:rPr>
              <w:t>。</w:t>
            </w:r>
          </w:p>
        </w:tc>
      </w:tr>
      <w:tr w:rsidR="00813B2A" w:rsidRPr="00092862" w14:paraId="0F4B4F78" w14:textId="77777777" w:rsidTr="00AA4BEA">
        <w:trPr>
          <w:trHeight w:val="150"/>
        </w:trPr>
        <w:tc>
          <w:tcPr>
            <w:tcW w:w="1271" w:type="dxa"/>
            <w:noWrap/>
          </w:tcPr>
          <w:p w14:paraId="4FCB393B" w14:textId="2F9506B9" w:rsidR="00BB21A4" w:rsidRPr="00092862" w:rsidRDefault="007A02DD" w:rsidP="00BB21A4">
            <w:pP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p>
        </w:tc>
        <w:tc>
          <w:tcPr>
            <w:tcW w:w="851" w:type="dxa"/>
            <w:noWrap/>
          </w:tcPr>
          <w:p w14:paraId="425F73C3" w14:textId="12381D9B"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气层</w:t>
            </w:r>
          </w:p>
        </w:tc>
        <w:tc>
          <w:tcPr>
            <w:tcW w:w="850" w:type="dxa"/>
          </w:tcPr>
          <w:p w14:paraId="62E8C5D2" w14:textId="6ABE44A7"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0.96</w:t>
            </w:r>
          </w:p>
        </w:tc>
        <w:tc>
          <w:tcPr>
            <w:tcW w:w="5328" w:type="dxa"/>
            <w:noWrap/>
          </w:tcPr>
          <w:p w14:paraId="16F9FC28" w14:textId="2E6C777B" w:rsidR="00BB21A4" w:rsidRPr="00092862" w:rsidRDefault="00BB21A4" w:rsidP="00BB21A4">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实测压力系数</w:t>
            </w:r>
            <w:r w:rsidRPr="00092862">
              <w:rPr>
                <w:rFonts w:ascii="Times New Roman" w:eastAsia="宋体" w:hAnsi="Times New Roman" w:cs="Times New Roman"/>
                <w:color w:val="000000" w:themeColor="text1"/>
                <w:szCs w:val="21"/>
              </w:rPr>
              <w:t xml:space="preserve"> 0.964</w:t>
            </w:r>
            <w:r w:rsidRPr="00092862">
              <w:rPr>
                <w:rFonts w:ascii="Times New Roman" w:eastAsia="宋体" w:hAnsi="Times New Roman" w:cs="Times New Roman"/>
                <w:color w:val="000000" w:themeColor="text1"/>
                <w:szCs w:val="21"/>
              </w:rPr>
              <w:t>，井深</w:t>
            </w:r>
            <w:r w:rsidRPr="00092862">
              <w:rPr>
                <w:rFonts w:ascii="Times New Roman" w:eastAsia="宋体" w:hAnsi="Times New Roman" w:cs="Times New Roman"/>
                <w:color w:val="000000" w:themeColor="text1"/>
                <w:szCs w:val="21"/>
              </w:rPr>
              <w:t xml:space="preserve"> 6131.21-6170.00m</w:t>
            </w:r>
            <w:r w:rsidRPr="00092862">
              <w:rPr>
                <w:rFonts w:ascii="Times New Roman" w:eastAsia="宋体" w:hAnsi="Times New Roman" w:cs="Times New Roman"/>
                <w:color w:val="000000" w:themeColor="text1"/>
                <w:szCs w:val="21"/>
              </w:rPr>
              <w:t>，漏</w:t>
            </w:r>
            <w:r w:rsidRPr="00092862">
              <w:rPr>
                <w:rFonts w:ascii="Times New Roman" w:eastAsia="宋体" w:hAnsi="Times New Roman" w:cs="Times New Roman"/>
                <w:color w:val="000000" w:themeColor="text1"/>
                <w:szCs w:val="21"/>
              </w:rPr>
              <w:lastRenderedPageBreak/>
              <w:t>失钻井液</w:t>
            </w:r>
            <w:r w:rsidRPr="00092862">
              <w:rPr>
                <w:rFonts w:ascii="Times New Roman" w:eastAsia="宋体" w:hAnsi="Times New Roman" w:cs="Times New Roman"/>
                <w:color w:val="000000" w:themeColor="text1"/>
                <w:szCs w:val="21"/>
              </w:rPr>
              <w:t xml:space="preserve"> 15.95m3</w:t>
            </w:r>
            <w:r w:rsidRPr="00092862">
              <w:rPr>
                <w:rFonts w:ascii="Times New Roman" w:eastAsia="宋体" w:hAnsi="Times New Roman" w:cs="Times New Roman"/>
                <w:color w:val="000000" w:themeColor="text1"/>
                <w:szCs w:val="21"/>
              </w:rPr>
              <w:t>；钻至井深</w:t>
            </w:r>
            <w:r w:rsidRPr="00092862">
              <w:rPr>
                <w:rFonts w:ascii="Times New Roman" w:eastAsia="宋体" w:hAnsi="Times New Roman" w:cs="Times New Roman"/>
                <w:color w:val="000000" w:themeColor="text1"/>
                <w:szCs w:val="21"/>
              </w:rPr>
              <w:t xml:space="preserve"> 6241.16-6243.53m </w:t>
            </w:r>
            <w:r w:rsidRPr="00092862">
              <w:rPr>
                <w:rFonts w:ascii="Times New Roman" w:eastAsia="宋体" w:hAnsi="Times New Roman" w:cs="Times New Roman"/>
                <w:color w:val="000000" w:themeColor="text1"/>
                <w:szCs w:val="21"/>
              </w:rPr>
              <w:t>时，漏失密度</w:t>
            </w:r>
            <w:r w:rsidRPr="00092862">
              <w:rPr>
                <w:rFonts w:ascii="Times New Roman" w:eastAsia="宋体" w:hAnsi="Times New Roman" w:cs="Times New Roman"/>
                <w:color w:val="000000" w:themeColor="text1"/>
                <w:szCs w:val="21"/>
              </w:rPr>
              <w:t xml:space="preserve"> 1.50g/cm3 ,</w:t>
            </w:r>
            <w:r w:rsidRPr="00092862">
              <w:rPr>
                <w:rFonts w:ascii="Times New Roman" w:eastAsia="宋体" w:hAnsi="Times New Roman" w:cs="Times New Roman"/>
                <w:color w:val="000000" w:themeColor="text1"/>
                <w:szCs w:val="21"/>
              </w:rPr>
              <w:t>黏度</w:t>
            </w:r>
            <w:r w:rsidRPr="00092862">
              <w:rPr>
                <w:rFonts w:ascii="Times New Roman" w:eastAsia="宋体" w:hAnsi="Times New Roman" w:cs="Times New Roman"/>
                <w:color w:val="000000" w:themeColor="text1"/>
                <w:szCs w:val="21"/>
              </w:rPr>
              <w:t xml:space="preserve"> 47s </w:t>
            </w:r>
            <w:r w:rsidRPr="00092862">
              <w:rPr>
                <w:rFonts w:ascii="Times New Roman" w:eastAsia="宋体" w:hAnsi="Times New Roman" w:cs="Times New Roman"/>
                <w:color w:val="000000" w:themeColor="text1"/>
                <w:szCs w:val="21"/>
              </w:rPr>
              <w:t>漏</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失钻井液</w:t>
            </w:r>
            <w:r w:rsidRPr="00092862">
              <w:rPr>
                <w:rFonts w:ascii="Times New Roman" w:eastAsia="宋体" w:hAnsi="Times New Roman" w:cs="Times New Roman"/>
                <w:color w:val="000000" w:themeColor="text1"/>
                <w:szCs w:val="21"/>
              </w:rPr>
              <w:t xml:space="preserve"> 50.75m3</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2 </w:t>
            </w:r>
            <w:r w:rsidRPr="00092862">
              <w:rPr>
                <w:rFonts w:ascii="Times New Roman" w:eastAsia="宋体" w:hAnsi="Times New Roman" w:cs="Times New Roman"/>
                <w:color w:val="000000" w:themeColor="text1"/>
                <w:szCs w:val="21"/>
              </w:rPr>
              <w:t>钻井液密度</w:t>
            </w:r>
            <w:r w:rsidRPr="00092862">
              <w:rPr>
                <w:rFonts w:ascii="Times New Roman" w:eastAsia="宋体" w:hAnsi="Times New Roman" w:cs="Times New Roman"/>
                <w:color w:val="000000" w:themeColor="text1"/>
                <w:szCs w:val="21"/>
              </w:rPr>
              <w:t xml:space="preserve"> 1.25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1.65</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 xml:space="preserve"> 3 </w:t>
            </w:r>
            <w:r w:rsidRPr="00092862">
              <w:rPr>
                <w:rFonts w:ascii="Times New Roman" w:eastAsia="宋体" w:hAnsi="Times New Roman" w:cs="Times New Roman"/>
                <w:color w:val="000000" w:themeColor="text1"/>
                <w:szCs w:val="21"/>
              </w:rPr>
              <w:t>井使用钻井液</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密度</w:t>
            </w:r>
            <w:r w:rsidRPr="00092862">
              <w:rPr>
                <w:rFonts w:ascii="Times New Roman" w:eastAsia="宋体" w:hAnsi="Times New Roman" w:cs="Times New Roman"/>
                <w:color w:val="000000" w:themeColor="text1"/>
                <w:szCs w:val="21"/>
              </w:rPr>
              <w:t xml:space="preserve"> 1.33</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1.35</w:t>
            </w: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 xml:space="preserve"> 2 </w:t>
            </w:r>
            <w:r w:rsidRPr="00092862">
              <w:rPr>
                <w:rFonts w:ascii="Times New Roman" w:eastAsia="宋体" w:hAnsi="Times New Roman" w:cs="Times New Roman"/>
                <w:color w:val="000000" w:themeColor="text1"/>
                <w:szCs w:val="21"/>
              </w:rPr>
              <w:t>实测</w:t>
            </w:r>
            <w:r w:rsidRPr="00092862">
              <w:rPr>
                <w:rFonts w:ascii="Times New Roman" w:eastAsia="宋体" w:hAnsi="Times New Roman" w:cs="Times New Roman"/>
                <w:color w:val="000000" w:themeColor="text1"/>
                <w:szCs w:val="21"/>
              </w:rPr>
              <w:t xml:space="preserve"> 1.12</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1.14</w:t>
            </w: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 xml:space="preserve"> 6 </w:t>
            </w:r>
            <w:r w:rsidRPr="00092862">
              <w:rPr>
                <w:rFonts w:ascii="Times New Roman" w:eastAsia="宋体" w:hAnsi="Times New Roman" w:cs="Times New Roman"/>
                <w:color w:val="000000" w:themeColor="text1"/>
                <w:szCs w:val="21"/>
              </w:rPr>
              <w:t>实测</w:t>
            </w:r>
            <w:r w:rsidRPr="00092862">
              <w:rPr>
                <w:rFonts w:ascii="Times New Roman" w:eastAsia="宋体" w:hAnsi="Times New Roman" w:cs="Times New Roman"/>
                <w:color w:val="000000" w:themeColor="text1"/>
                <w:szCs w:val="21"/>
              </w:rPr>
              <w:t xml:space="preserve"> 1.11</w:t>
            </w: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 xml:space="preserve"> 9 </w:t>
            </w:r>
            <w:r w:rsidRPr="00092862">
              <w:rPr>
                <w:rFonts w:ascii="Times New Roman" w:eastAsia="宋体" w:hAnsi="Times New Roman" w:cs="Times New Roman"/>
                <w:color w:val="000000" w:themeColor="text1"/>
                <w:szCs w:val="21"/>
              </w:rPr>
              <w:t>实测</w:t>
            </w:r>
            <w:r w:rsidRPr="00092862">
              <w:rPr>
                <w:rFonts w:ascii="Times New Roman" w:eastAsia="宋体" w:hAnsi="Times New Roman" w:cs="Times New Roman"/>
                <w:color w:val="000000" w:themeColor="text1"/>
                <w:szCs w:val="21"/>
              </w:rPr>
              <w:t xml:space="preserve"> 0.97</w:t>
            </w:r>
            <w:r w:rsidRPr="00092862">
              <w:rPr>
                <w:rFonts w:ascii="Times New Roman" w:eastAsia="宋体" w:hAnsi="Times New Roman" w:cs="Times New Roman"/>
                <w:color w:val="000000" w:themeColor="text1"/>
                <w:szCs w:val="21"/>
              </w:rPr>
              <w:t>、普光</w:t>
            </w:r>
            <w:r w:rsidRPr="00092862">
              <w:rPr>
                <w:rFonts w:ascii="Times New Roman" w:eastAsia="宋体" w:hAnsi="Times New Roman" w:cs="Times New Roman"/>
                <w:color w:val="000000" w:themeColor="text1"/>
                <w:szCs w:val="21"/>
              </w:rPr>
              <w:t xml:space="preserve"> 11 </w:t>
            </w:r>
            <w:r w:rsidRPr="00092862">
              <w:rPr>
                <w:rFonts w:ascii="Times New Roman" w:eastAsia="宋体" w:hAnsi="Times New Roman" w:cs="Times New Roman"/>
                <w:color w:val="000000" w:themeColor="text1"/>
                <w:szCs w:val="21"/>
              </w:rPr>
              <w:t>实测</w:t>
            </w:r>
            <w:r w:rsidRPr="00092862">
              <w:rPr>
                <w:rFonts w:ascii="Times New Roman" w:eastAsia="宋体" w:hAnsi="Times New Roman" w:cs="Times New Roman"/>
                <w:color w:val="000000" w:themeColor="text1"/>
                <w:szCs w:val="21"/>
              </w:rPr>
              <w:t xml:space="preserve"> 1.09</w:t>
            </w:r>
            <w:r w:rsidRPr="00092862">
              <w:rPr>
                <w:rFonts w:ascii="Times New Roman" w:eastAsia="宋体" w:hAnsi="Times New Roman" w:cs="Times New Roman"/>
                <w:color w:val="000000" w:themeColor="text1"/>
                <w:szCs w:val="21"/>
              </w:rPr>
              <w:t>。</w:t>
            </w:r>
          </w:p>
        </w:tc>
      </w:tr>
    </w:tbl>
    <w:p w14:paraId="500BA322" w14:textId="77777777" w:rsidR="007A4B69" w:rsidRPr="00092862" w:rsidRDefault="007A4B69" w:rsidP="007A4B69">
      <w:pPr>
        <w:tabs>
          <w:tab w:val="left" w:pos="0"/>
        </w:tabs>
        <w:adjustRightInd w:val="0"/>
        <w:snapToGrid w:val="0"/>
        <w:spacing w:line="360" w:lineRule="auto"/>
        <w:jc w:val="center"/>
        <w:rPr>
          <w:rFonts w:ascii="Times New Roman" w:hAnsi="Times New Roman" w:cs="Times New Roman"/>
          <w:color w:val="000000" w:themeColor="text1"/>
          <w:sz w:val="24"/>
          <w:szCs w:val="24"/>
        </w:rPr>
      </w:pPr>
    </w:p>
    <w:p w14:paraId="0DA0D023" w14:textId="050F1115" w:rsidR="0039680A" w:rsidRPr="00092862" w:rsidRDefault="0039680A" w:rsidP="0039680A">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3.2.2.</w:t>
      </w:r>
      <w:r w:rsidR="00AE4A7F" w:rsidRPr="00092862">
        <w:rPr>
          <w:rFonts w:ascii="Times New Roman" w:eastAsia="黑体" w:hAnsi="Times New Roman" w:cs="Times New Roman"/>
          <w:color w:val="000000" w:themeColor="text1"/>
          <w:sz w:val="24"/>
          <w:szCs w:val="24"/>
        </w:rPr>
        <w:t>4</w:t>
      </w:r>
      <w:r w:rsidRPr="00092862">
        <w:rPr>
          <w:rFonts w:ascii="Times New Roman" w:eastAsia="黑体" w:hAnsi="Times New Roman" w:cs="Times New Roman"/>
          <w:color w:val="000000" w:themeColor="text1"/>
          <w:sz w:val="24"/>
          <w:szCs w:val="24"/>
        </w:rPr>
        <w:t>井身结构</w:t>
      </w:r>
    </w:p>
    <w:p w14:paraId="6CFE26FA" w14:textId="30299266" w:rsidR="00AE4A7F" w:rsidRPr="00092862" w:rsidRDefault="00AE4A7F"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、井身结构设计</w:t>
      </w:r>
    </w:p>
    <w:p w14:paraId="00164371" w14:textId="562E1EA7" w:rsidR="00AE4A7F" w:rsidRPr="00092862" w:rsidRDefault="0039680A"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本项目主要目的层为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r w:rsidR="00AE4A7F" w:rsidRPr="00092862">
        <w:rPr>
          <w:rFonts w:ascii="Times New Roman" w:eastAsia="宋体" w:hAnsi="Times New Roman" w:cs="Times New Roman"/>
          <w:color w:val="000000" w:themeColor="text1"/>
          <w:sz w:val="24"/>
          <w:szCs w:val="24"/>
        </w:rPr>
        <w:t>井身结构设计如下：</w:t>
      </w:r>
    </w:p>
    <w:p w14:paraId="5377BFD4" w14:textId="77777777" w:rsidR="00AE4A7F" w:rsidRPr="00092862" w:rsidRDefault="00AE4A7F"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⑴</w:t>
      </w:r>
      <w:r w:rsidRPr="00092862">
        <w:rPr>
          <w:rFonts w:ascii="Times New Roman" w:eastAsia="宋体" w:hAnsi="Times New Roman" w:cs="Times New Roman"/>
          <w:color w:val="000000" w:themeColor="text1"/>
          <w:sz w:val="24"/>
          <w:szCs w:val="24"/>
        </w:rPr>
        <w:t>导管</w:t>
      </w:r>
      <w:r w:rsidRPr="00092862">
        <w:rPr>
          <w:rFonts w:ascii="Times New Roman" w:eastAsia="宋体" w:hAnsi="Times New Roman" w:cs="Times New Roman"/>
          <w:color w:val="000000" w:themeColor="text1"/>
          <w:sz w:val="24"/>
          <w:szCs w:val="24"/>
        </w:rPr>
        <w:t xml:space="preserve"> Φ508mm </w:t>
      </w:r>
      <w:r w:rsidRPr="00092862">
        <w:rPr>
          <w:rFonts w:ascii="Times New Roman" w:eastAsia="宋体" w:hAnsi="Times New Roman" w:cs="Times New Roman"/>
          <w:color w:val="000000" w:themeColor="text1"/>
          <w:sz w:val="24"/>
          <w:szCs w:val="24"/>
        </w:rPr>
        <w:t>导管下深</w:t>
      </w:r>
      <w:r w:rsidRPr="00092862">
        <w:rPr>
          <w:rFonts w:ascii="Times New Roman" w:eastAsia="宋体" w:hAnsi="Times New Roman" w:cs="Times New Roman"/>
          <w:color w:val="000000" w:themeColor="text1"/>
          <w:sz w:val="24"/>
          <w:szCs w:val="24"/>
        </w:rPr>
        <w:t xml:space="preserve"> 50m </w:t>
      </w:r>
      <w:r w:rsidRPr="00092862">
        <w:rPr>
          <w:rFonts w:ascii="Times New Roman" w:eastAsia="宋体" w:hAnsi="Times New Roman" w:cs="Times New Roman"/>
          <w:color w:val="000000" w:themeColor="text1"/>
          <w:sz w:val="24"/>
          <w:szCs w:val="24"/>
        </w:rPr>
        <w:t>左右，用水泥封固（返至地面），封隔地表松散流砂、砂砾</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层，封过表层水。</w:t>
      </w:r>
    </w:p>
    <w:p w14:paraId="0A7A9045" w14:textId="77777777" w:rsidR="00AE4A7F" w:rsidRPr="00092862" w:rsidRDefault="00AE4A7F"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 xml:space="preserve"> </w:t>
      </w:r>
      <w:r w:rsidRPr="00092862">
        <w:rPr>
          <w:rFonts w:ascii="宋体" w:eastAsia="宋体" w:hAnsi="宋体" w:cs="宋体" w:hint="eastAsia"/>
          <w:color w:val="000000" w:themeColor="text1"/>
          <w:sz w:val="24"/>
          <w:szCs w:val="24"/>
        </w:rPr>
        <w:t>⑵</w:t>
      </w:r>
      <w:r w:rsidRPr="00092862">
        <w:rPr>
          <w:rFonts w:ascii="Times New Roman" w:eastAsia="宋体" w:hAnsi="Times New Roman" w:cs="Times New Roman"/>
          <w:color w:val="000000" w:themeColor="text1"/>
          <w:sz w:val="24"/>
          <w:szCs w:val="24"/>
        </w:rPr>
        <w:t>表层套管</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一开采用</w:t>
      </w:r>
      <w:r w:rsidRPr="00092862">
        <w:rPr>
          <w:rFonts w:ascii="Times New Roman" w:eastAsia="宋体" w:hAnsi="Times New Roman" w:cs="Times New Roman"/>
          <w:color w:val="000000" w:themeColor="text1"/>
          <w:sz w:val="24"/>
          <w:szCs w:val="24"/>
        </w:rPr>
        <w:t xml:space="preserve"> Φ444.5mm </w:t>
      </w:r>
      <w:r w:rsidRPr="00092862">
        <w:rPr>
          <w:rFonts w:ascii="Times New Roman" w:eastAsia="宋体" w:hAnsi="Times New Roman" w:cs="Times New Roman"/>
          <w:color w:val="000000" w:themeColor="text1"/>
          <w:sz w:val="24"/>
          <w:szCs w:val="24"/>
        </w:rPr>
        <w:t>钻头钻进至井深</w:t>
      </w:r>
      <w:r w:rsidRPr="00092862">
        <w:rPr>
          <w:rFonts w:ascii="Times New Roman" w:eastAsia="宋体" w:hAnsi="Times New Roman" w:cs="Times New Roman"/>
          <w:color w:val="000000" w:themeColor="text1"/>
          <w:sz w:val="24"/>
          <w:szCs w:val="24"/>
        </w:rPr>
        <w:t xml:space="preserve"> 1002m</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 xml:space="preserve">Φ346.1mm </w:t>
      </w:r>
      <w:r w:rsidRPr="00092862">
        <w:rPr>
          <w:rFonts w:ascii="Times New Roman" w:eastAsia="宋体" w:hAnsi="Times New Roman" w:cs="Times New Roman"/>
          <w:color w:val="000000" w:themeColor="text1"/>
          <w:sz w:val="24"/>
          <w:szCs w:val="24"/>
        </w:rPr>
        <w:t>套管下深</w:t>
      </w:r>
      <w:r w:rsidRPr="00092862">
        <w:rPr>
          <w:rFonts w:ascii="Times New Roman" w:eastAsia="宋体" w:hAnsi="Times New Roman" w:cs="Times New Roman"/>
          <w:color w:val="000000" w:themeColor="text1"/>
          <w:sz w:val="24"/>
          <w:szCs w:val="24"/>
        </w:rPr>
        <w:t xml:space="preserve"> 1000m</w:t>
      </w:r>
      <w:r w:rsidRPr="00092862">
        <w:rPr>
          <w:rFonts w:ascii="Times New Roman" w:eastAsia="宋体" w:hAnsi="Times New Roman" w:cs="Times New Roman"/>
          <w:color w:val="000000" w:themeColor="text1"/>
          <w:sz w:val="24"/>
          <w:szCs w:val="24"/>
        </w:rPr>
        <w:t>，封过遂</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宁组易塌、易漏地层，水泥浆返至地面。</w:t>
      </w:r>
      <w:r w:rsidRPr="00092862">
        <w:rPr>
          <w:rFonts w:ascii="Times New Roman" w:eastAsia="宋体" w:hAnsi="Times New Roman" w:cs="Times New Roman"/>
          <w:color w:val="000000" w:themeColor="text1"/>
          <w:sz w:val="24"/>
          <w:szCs w:val="24"/>
        </w:rPr>
        <w:t xml:space="preserve"> </w:t>
      </w:r>
    </w:p>
    <w:p w14:paraId="064D83BD" w14:textId="77777777" w:rsidR="00AE4A7F" w:rsidRPr="00092862" w:rsidRDefault="00AE4A7F"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⑶</w:t>
      </w:r>
      <w:r w:rsidRPr="00092862">
        <w:rPr>
          <w:rFonts w:ascii="Times New Roman" w:eastAsia="宋体" w:hAnsi="Times New Roman" w:cs="Times New Roman"/>
          <w:color w:val="000000" w:themeColor="text1"/>
          <w:sz w:val="24"/>
          <w:szCs w:val="24"/>
        </w:rPr>
        <w:t>技术套管</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二开采用</w:t>
      </w:r>
      <w:r w:rsidRPr="00092862">
        <w:rPr>
          <w:rFonts w:ascii="Times New Roman" w:eastAsia="宋体" w:hAnsi="Times New Roman" w:cs="Times New Roman"/>
          <w:color w:val="000000" w:themeColor="text1"/>
          <w:sz w:val="24"/>
          <w:szCs w:val="24"/>
        </w:rPr>
        <w:t xml:space="preserve"> Φ320mm </w:t>
      </w:r>
      <w:r w:rsidRPr="00092862">
        <w:rPr>
          <w:rFonts w:ascii="Times New Roman" w:eastAsia="宋体" w:hAnsi="Times New Roman" w:cs="Times New Roman"/>
          <w:color w:val="000000" w:themeColor="text1"/>
          <w:sz w:val="24"/>
          <w:szCs w:val="24"/>
        </w:rPr>
        <w:t>钻头钻至须家河组底部，下入</w:t>
      </w:r>
      <w:r w:rsidRPr="00092862">
        <w:rPr>
          <w:rFonts w:ascii="Times New Roman" w:eastAsia="宋体" w:hAnsi="Times New Roman" w:cs="Times New Roman"/>
          <w:color w:val="000000" w:themeColor="text1"/>
          <w:sz w:val="24"/>
          <w:szCs w:val="24"/>
        </w:rPr>
        <w:t xml:space="preserve"> Φ273.1mm </w:t>
      </w:r>
      <w:r w:rsidRPr="00092862">
        <w:rPr>
          <w:rFonts w:ascii="Times New Roman" w:eastAsia="宋体" w:hAnsi="Times New Roman" w:cs="Times New Roman"/>
          <w:color w:val="000000" w:themeColor="text1"/>
          <w:sz w:val="24"/>
          <w:szCs w:val="24"/>
        </w:rPr>
        <w:t>套管，封隔须家河组</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及以上陆相复杂地层，为下一开次揭示目的层和安全钻井创造条件。水泥浆返至地面。</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二开须家河组及以上井段尽量采用空气（氮气）钻井。根据邻井的实钻情况，气体</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钻可能钻至千佛崖组</w:t>
      </w:r>
      <w:r w:rsidRPr="00092862">
        <w:rPr>
          <w:rFonts w:ascii="Times New Roman" w:eastAsia="宋体" w:hAnsi="Times New Roman" w:cs="Times New Roman"/>
          <w:color w:val="000000" w:themeColor="text1"/>
          <w:sz w:val="24"/>
          <w:szCs w:val="24"/>
        </w:rPr>
        <w:t xml:space="preserve"> 3200m </w:t>
      </w:r>
      <w:r w:rsidRPr="00092862">
        <w:rPr>
          <w:rFonts w:ascii="Times New Roman" w:eastAsia="宋体" w:hAnsi="Times New Roman" w:cs="Times New Roman"/>
          <w:color w:val="000000" w:themeColor="text1"/>
          <w:sz w:val="24"/>
          <w:szCs w:val="24"/>
        </w:rPr>
        <w:t>左右，若无法使用空气钻可转为氮气钻或钻井液钻井方式。</w:t>
      </w:r>
    </w:p>
    <w:p w14:paraId="79871859" w14:textId="77777777" w:rsidR="00AE4A7F" w:rsidRPr="00092862" w:rsidRDefault="00AE4A7F"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 xml:space="preserve"> </w:t>
      </w:r>
      <w:r w:rsidRPr="00092862">
        <w:rPr>
          <w:rFonts w:ascii="宋体" w:eastAsia="宋体" w:hAnsi="宋体" w:cs="宋体" w:hint="eastAsia"/>
          <w:color w:val="000000" w:themeColor="text1"/>
          <w:sz w:val="24"/>
          <w:szCs w:val="24"/>
        </w:rPr>
        <w:t>⑷</w:t>
      </w:r>
      <w:r w:rsidRPr="00092862">
        <w:rPr>
          <w:rFonts w:ascii="Times New Roman" w:eastAsia="宋体" w:hAnsi="Times New Roman" w:cs="Times New Roman"/>
          <w:color w:val="000000" w:themeColor="text1"/>
          <w:sz w:val="24"/>
          <w:szCs w:val="24"/>
        </w:rPr>
        <w:t>生产套管</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 xml:space="preserve">计划财务部　陈治江　</w:t>
      </w:r>
      <w:r w:rsidRPr="00092862">
        <w:rPr>
          <w:rFonts w:ascii="Times New Roman" w:eastAsia="宋体" w:hAnsi="Times New Roman" w:cs="Times New Roman"/>
          <w:color w:val="000000" w:themeColor="text1"/>
          <w:sz w:val="24"/>
          <w:szCs w:val="24"/>
        </w:rPr>
        <w:t xml:space="preserve">2022-11-07 23 </w:t>
      </w:r>
      <w:r w:rsidRPr="00092862">
        <w:rPr>
          <w:rFonts w:ascii="Times New Roman" w:eastAsia="宋体" w:hAnsi="Times New Roman" w:cs="Times New Roman"/>
          <w:color w:val="000000" w:themeColor="text1"/>
          <w:sz w:val="24"/>
          <w:szCs w:val="24"/>
        </w:rPr>
        <w:t>三开采用</w:t>
      </w:r>
      <w:r w:rsidRPr="00092862">
        <w:rPr>
          <w:rFonts w:ascii="Times New Roman" w:eastAsia="宋体" w:hAnsi="Times New Roman" w:cs="Times New Roman"/>
          <w:color w:val="000000" w:themeColor="text1"/>
          <w:sz w:val="24"/>
          <w:szCs w:val="24"/>
        </w:rPr>
        <w:t xml:space="preserve"> Φ241.3mm </w:t>
      </w:r>
      <w:r w:rsidRPr="00092862">
        <w:rPr>
          <w:rFonts w:ascii="Times New Roman" w:eastAsia="宋体" w:hAnsi="Times New Roman" w:cs="Times New Roman"/>
          <w:color w:val="000000" w:themeColor="text1"/>
          <w:sz w:val="24"/>
          <w:szCs w:val="24"/>
        </w:rPr>
        <w:t>钻头钻至设计井深，下入</w:t>
      </w:r>
      <w:r w:rsidRPr="00092862">
        <w:rPr>
          <w:rFonts w:ascii="Times New Roman" w:eastAsia="宋体" w:hAnsi="Times New Roman" w:cs="Times New Roman"/>
          <w:color w:val="000000" w:themeColor="text1"/>
          <w:sz w:val="24"/>
          <w:szCs w:val="24"/>
        </w:rPr>
        <w:t xml:space="preserve"> Φ177.8mm </w:t>
      </w:r>
      <w:r w:rsidRPr="00092862">
        <w:rPr>
          <w:rFonts w:ascii="Times New Roman" w:eastAsia="宋体" w:hAnsi="Times New Roman" w:cs="Times New Roman"/>
          <w:color w:val="000000" w:themeColor="text1"/>
          <w:sz w:val="24"/>
          <w:szCs w:val="24"/>
        </w:rPr>
        <w:t>生产套管，先悬挂后回接，</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盐膏层段采用</w:t>
      </w:r>
      <w:r w:rsidRPr="00092862">
        <w:rPr>
          <w:rFonts w:ascii="Times New Roman" w:eastAsia="宋体" w:hAnsi="Times New Roman" w:cs="Times New Roman"/>
          <w:color w:val="000000" w:themeColor="text1"/>
          <w:sz w:val="24"/>
          <w:szCs w:val="24"/>
        </w:rPr>
        <w:t xml:space="preserve"> Φ193.7mm </w:t>
      </w:r>
      <w:r w:rsidRPr="00092862">
        <w:rPr>
          <w:rFonts w:ascii="Times New Roman" w:eastAsia="宋体" w:hAnsi="Times New Roman" w:cs="Times New Roman"/>
          <w:color w:val="000000" w:themeColor="text1"/>
          <w:sz w:val="24"/>
          <w:szCs w:val="24"/>
        </w:rPr>
        <w:t>外加厚套管，产层顶至以上</w:t>
      </w:r>
      <w:r w:rsidRPr="00092862">
        <w:rPr>
          <w:rFonts w:ascii="Times New Roman" w:eastAsia="宋体" w:hAnsi="Times New Roman" w:cs="Times New Roman"/>
          <w:color w:val="000000" w:themeColor="text1"/>
          <w:sz w:val="24"/>
          <w:szCs w:val="24"/>
        </w:rPr>
        <w:t xml:space="preserve"> 80m </w:t>
      </w:r>
      <w:r w:rsidRPr="00092862">
        <w:rPr>
          <w:rFonts w:ascii="Times New Roman" w:eastAsia="宋体" w:hAnsi="Times New Roman" w:cs="Times New Roman"/>
          <w:color w:val="000000" w:themeColor="text1"/>
          <w:sz w:val="24"/>
          <w:szCs w:val="24"/>
        </w:rPr>
        <w:t>采用合金套管，下部采用镀</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钨套管，其余采用抗硫套管。盐膏层段及其上下</w:t>
      </w:r>
      <w:r w:rsidRPr="00092862">
        <w:rPr>
          <w:rFonts w:ascii="Times New Roman" w:eastAsia="宋体" w:hAnsi="Times New Roman" w:cs="Times New Roman"/>
          <w:color w:val="000000" w:themeColor="text1"/>
          <w:sz w:val="24"/>
          <w:szCs w:val="24"/>
        </w:rPr>
        <w:t xml:space="preserve"> 50m </w:t>
      </w:r>
      <w:r w:rsidRPr="00092862">
        <w:rPr>
          <w:rFonts w:ascii="Times New Roman" w:eastAsia="宋体" w:hAnsi="Times New Roman" w:cs="Times New Roman"/>
          <w:color w:val="000000" w:themeColor="text1"/>
          <w:sz w:val="24"/>
          <w:szCs w:val="24"/>
        </w:rPr>
        <w:t>采用厚壁套管。水泥浆返至地面。</w:t>
      </w:r>
      <w:r w:rsidRPr="00092862">
        <w:rPr>
          <w:rFonts w:ascii="Times New Roman" w:eastAsia="宋体" w:hAnsi="Times New Roman" w:cs="Times New Roman"/>
          <w:color w:val="000000" w:themeColor="text1"/>
          <w:sz w:val="24"/>
          <w:szCs w:val="24"/>
        </w:rPr>
        <w:t xml:space="preserve"> </w:t>
      </w:r>
    </w:p>
    <w:p w14:paraId="1C876EBE" w14:textId="66C39DBC" w:rsidR="002B4D1D" w:rsidRPr="00092862" w:rsidRDefault="00AE4A7F" w:rsidP="002B4D1D">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⑸</w:t>
      </w:r>
      <w:r w:rsidRPr="00092862">
        <w:rPr>
          <w:rFonts w:ascii="Times New Roman" w:eastAsia="宋体" w:hAnsi="Times New Roman" w:cs="Times New Roman"/>
          <w:color w:val="000000" w:themeColor="text1"/>
          <w:sz w:val="24"/>
          <w:szCs w:val="24"/>
        </w:rPr>
        <w:t>各层套管的下深按设计原则，以实钻地层深度加以修</w:t>
      </w:r>
      <w:r w:rsidR="0039680A" w:rsidRPr="00092862">
        <w:rPr>
          <w:rFonts w:ascii="Times New Roman" w:eastAsia="宋体" w:hAnsi="Times New Roman" w:cs="Times New Roman"/>
          <w:color w:val="000000" w:themeColor="text1"/>
          <w:sz w:val="24"/>
          <w:szCs w:val="24"/>
        </w:rPr>
        <w:t>。</w:t>
      </w:r>
    </w:p>
    <w:p w14:paraId="1B62D905" w14:textId="2AD935D3" w:rsidR="0039680A" w:rsidRPr="00092862" w:rsidRDefault="00AE4A7F" w:rsidP="0039680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0039680A" w:rsidRPr="00092862">
        <w:rPr>
          <w:rFonts w:ascii="Times New Roman" w:eastAsia="宋体" w:hAnsi="Times New Roman" w:cs="Times New Roman"/>
          <w:color w:val="000000" w:themeColor="text1"/>
          <w:sz w:val="24"/>
          <w:szCs w:val="24"/>
        </w:rPr>
        <w:t>井</w:t>
      </w:r>
      <w:r w:rsidRPr="00092862">
        <w:rPr>
          <w:rFonts w:ascii="Times New Roman" w:eastAsia="宋体" w:hAnsi="Times New Roman" w:cs="Times New Roman"/>
          <w:color w:val="000000" w:themeColor="text1"/>
          <w:sz w:val="24"/>
          <w:szCs w:val="24"/>
        </w:rPr>
        <w:t>身结构</w:t>
      </w:r>
    </w:p>
    <w:p w14:paraId="1CAC80C5" w14:textId="77777777" w:rsidR="00F85763" w:rsidRPr="00092862" w:rsidRDefault="00F85763" w:rsidP="0010287F">
      <w:pPr>
        <w:pStyle w:val="ac"/>
        <w:tabs>
          <w:tab w:val="left" w:pos="863"/>
        </w:tabs>
        <w:spacing w:before="0"/>
        <w:ind w:left="0"/>
        <w:jc w:val="center"/>
        <w:rPr>
          <w:rFonts w:ascii="Times New Roman" w:hAnsi="Times New Roman"/>
          <w:color w:val="000000" w:themeColor="text1"/>
          <w:sz w:val="21"/>
          <w:szCs w:val="21"/>
          <w:lang w:eastAsia="zh-CN"/>
        </w:rPr>
      </w:pPr>
    </w:p>
    <w:p w14:paraId="1E4CAFD5" w14:textId="77777777"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12704E09" w14:textId="77777777"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1BC08033" w14:textId="77777777"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5EF7721A" w14:textId="77777777"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3E0A3860" w14:textId="77777777"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08E87B6E" w14:textId="5DF3294D"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548456E6" w14:textId="74068CEB" w:rsidR="00813B2A" w:rsidRPr="00092862" w:rsidRDefault="00813B2A"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3A590BA2" w14:textId="77777777" w:rsidR="00813B2A" w:rsidRPr="00092862" w:rsidRDefault="00813B2A"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325965B8" w14:textId="77777777" w:rsidR="00F85763" w:rsidRPr="00092862" w:rsidRDefault="00F85763" w:rsidP="0010287F">
      <w:pPr>
        <w:pStyle w:val="ac"/>
        <w:tabs>
          <w:tab w:val="left" w:pos="863"/>
        </w:tabs>
        <w:spacing w:before="0"/>
        <w:ind w:left="0"/>
        <w:jc w:val="center"/>
        <w:rPr>
          <w:rFonts w:ascii="Times New Roman" w:eastAsia="黑体" w:hAnsi="Times New Roman"/>
          <w:color w:val="000000" w:themeColor="text1"/>
          <w:sz w:val="21"/>
          <w:szCs w:val="21"/>
          <w:lang w:eastAsia="zh-CN"/>
        </w:rPr>
      </w:pPr>
    </w:p>
    <w:p w14:paraId="382EA4AA" w14:textId="59D3EDDF" w:rsidR="0039680A" w:rsidRPr="00092862" w:rsidRDefault="0039680A"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 xml:space="preserve">3.2-5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井身结构设计</w:t>
      </w:r>
      <w:r w:rsidR="00AE4A7F" w:rsidRPr="00092862">
        <w:rPr>
          <w:rFonts w:ascii="Times New Roman" w:eastAsia="黑体" w:hAnsi="Times New Roman"/>
          <w:color w:val="000000" w:themeColor="text1"/>
          <w:sz w:val="21"/>
          <w:szCs w:val="21"/>
          <w:lang w:eastAsia="zh-CN"/>
        </w:rPr>
        <w:t>（以老君</w:t>
      </w:r>
      <w:r w:rsidR="00AE4A7F" w:rsidRPr="00092862">
        <w:rPr>
          <w:rFonts w:ascii="Times New Roman" w:eastAsia="黑体" w:hAnsi="Times New Roman"/>
          <w:color w:val="000000" w:themeColor="text1"/>
          <w:sz w:val="21"/>
          <w:szCs w:val="21"/>
          <w:lang w:eastAsia="zh-CN"/>
        </w:rPr>
        <w:t>7011-4H</w:t>
      </w:r>
      <w:r w:rsidR="00AE4A7F" w:rsidRPr="00092862">
        <w:rPr>
          <w:rFonts w:ascii="Times New Roman" w:eastAsia="黑体" w:hAnsi="Times New Roman"/>
          <w:color w:val="000000" w:themeColor="text1"/>
          <w:sz w:val="21"/>
          <w:szCs w:val="21"/>
          <w:lang w:eastAsia="zh-CN"/>
        </w:rPr>
        <w:t>井为例）</w:t>
      </w:r>
    </w:p>
    <w:p w14:paraId="17FDA0C0" w14:textId="3A4F1848" w:rsidR="00FC49D1" w:rsidRPr="00092862" w:rsidRDefault="00F85763" w:rsidP="00345259">
      <w:pPr>
        <w:adjustRightInd w:val="0"/>
        <w:spacing w:line="360" w:lineRule="auto"/>
        <w:jc w:val="center"/>
        <w:rPr>
          <w:rFonts w:ascii="Times New Roman" w:eastAsia="黑体" w:hAnsi="Times New Roman" w:cs="Times New Roman"/>
          <w:color w:val="000000" w:themeColor="text1"/>
          <w:szCs w:val="21"/>
        </w:rPr>
      </w:pPr>
      <w:r w:rsidRPr="00092862">
        <w:rPr>
          <w:rFonts w:ascii="Times New Roman" w:eastAsia="黑体" w:hAnsi="Times New Roman" w:cs="Times New Roman"/>
          <w:noProof/>
          <w:color w:val="000000" w:themeColor="text1"/>
          <w:szCs w:val="21"/>
        </w:rPr>
        <w:lastRenderedPageBreak/>
        <w:drawing>
          <wp:inline distT="0" distB="0" distL="0" distR="0" wp14:anchorId="25EDD928" wp14:editId="21C1D871">
            <wp:extent cx="4291935" cy="4027894"/>
            <wp:effectExtent l="0" t="0" r="0" b="0"/>
            <wp:docPr id="1805" name="图片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l="-1248" r="-1" b="6842"/>
                    <a:stretch/>
                  </pic:blipFill>
                  <pic:spPr bwMode="auto">
                    <a:xfrm>
                      <a:off x="0" y="0"/>
                      <a:ext cx="4299554" cy="4035044"/>
                    </a:xfrm>
                    <a:prstGeom prst="rect">
                      <a:avLst/>
                    </a:prstGeom>
                    <a:noFill/>
                    <a:ln>
                      <a:noFill/>
                    </a:ln>
                    <a:extLst>
                      <a:ext uri="{53640926-AAD7-44D8-BBD7-CCE9431645EC}">
                        <a14:shadowObscured xmlns:a14="http://schemas.microsoft.com/office/drawing/2010/main"/>
                      </a:ext>
                    </a:extLst>
                  </pic:spPr>
                </pic:pic>
              </a:graphicData>
            </a:graphic>
          </wp:inline>
        </w:drawing>
      </w:r>
    </w:p>
    <w:p w14:paraId="07634525" w14:textId="63DA388F" w:rsidR="00092862" w:rsidRPr="00092862" w:rsidRDefault="00092862" w:rsidP="00345259">
      <w:pPr>
        <w:adjustRightInd w:val="0"/>
        <w:spacing w:line="360" w:lineRule="auto"/>
        <w:jc w:val="center"/>
        <w:rPr>
          <w:rFonts w:ascii="Times New Roman" w:eastAsia="黑体" w:hAnsi="Times New Roman" w:cs="Times New Roman"/>
          <w:color w:val="000000" w:themeColor="text1"/>
          <w:szCs w:val="21"/>
        </w:rPr>
      </w:pPr>
      <w:bookmarkStart w:id="91" w:name="_Toc123681831"/>
      <w:r w:rsidRPr="00092862">
        <w:rPr>
          <w:noProof/>
          <w:color w:val="000000" w:themeColor="text1"/>
        </w:rPr>
        <w:drawing>
          <wp:inline distT="0" distB="0" distL="0" distR="0" wp14:anchorId="45B89FF0" wp14:editId="510F1D63">
            <wp:extent cx="4174619" cy="4146487"/>
            <wp:effectExtent l="0" t="0" r="0" b="6985"/>
            <wp:docPr id="1806" name="图片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2288" cy="4154104"/>
                    </a:xfrm>
                    <a:prstGeom prst="rect">
                      <a:avLst/>
                    </a:prstGeom>
                    <a:noFill/>
                    <a:ln>
                      <a:noFill/>
                    </a:ln>
                  </pic:spPr>
                </pic:pic>
              </a:graphicData>
            </a:graphic>
          </wp:inline>
        </w:drawing>
      </w:r>
      <w:bookmarkEnd w:id="91"/>
    </w:p>
    <w:p w14:paraId="5308D272" w14:textId="0AB59335" w:rsidR="0039680A" w:rsidRPr="00092862" w:rsidRDefault="00FC49D1" w:rsidP="00345259">
      <w:pPr>
        <w:adjustRightInd w:val="0"/>
        <w:spacing w:line="360" w:lineRule="auto"/>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697AAB" w:rsidRPr="00092862">
        <w:rPr>
          <w:rFonts w:ascii="Times New Roman" w:eastAsia="黑体" w:hAnsi="Times New Roman" w:cs="Times New Roman"/>
          <w:color w:val="000000" w:themeColor="text1"/>
          <w:szCs w:val="21"/>
        </w:rPr>
        <w:t>3.2-</w:t>
      </w:r>
      <w:r w:rsidRPr="00092862">
        <w:rPr>
          <w:rFonts w:ascii="Times New Roman" w:eastAsia="黑体" w:hAnsi="Times New Roman" w:cs="Times New Roman"/>
          <w:color w:val="000000" w:themeColor="text1"/>
          <w:szCs w:val="21"/>
        </w:rPr>
        <w:t>1</w:t>
      </w:r>
      <w:r w:rsidR="00697AAB"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井身结构示意图</w:t>
      </w:r>
      <w:r w:rsidR="00AE4A7F" w:rsidRPr="00092862">
        <w:rPr>
          <w:rFonts w:ascii="Times New Roman" w:eastAsia="黑体" w:hAnsi="Times New Roman" w:cs="Times New Roman"/>
          <w:color w:val="000000" w:themeColor="text1"/>
          <w:szCs w:val="21"/>
        </w:rPr>
        <w:t>（以老君</w:t>
      </w:r>
      <w:r w:rsidR="00AE4A7F" w:rsidRPr="00092862">
        <w:rPr>
          <w:rFonts w:ascii="Times New Roman" w:eastAsia="黑体" w:hAnsi="Times New Roman" w:cs="Times New Roman"/>
          <w:color w:val="000000" w:themeColor="text1"/>
          <w:szCs w:val="21"/>
        </w:rPr>
        <w:t>7011-4H</w:t>
      </w:r>
      <w:r w:rsidR="00AE4A7F" w:rsidRPr="00092862">
        <w:rPr>
          <w:rFonts w:ascii="Times New Roman" w:eastAsia="黑体" w:hAnsi="Times New Roman" w:cs="Times New Roman"/>
          <w:color w:val="000000" w:themeColor="text1"/>
          <w:szCs w:val="21"/>
        </w:rPr>
        <w:t>井为例）</w:t>
      </w:r>
    </w:p>
    <w:p w14:paraId="17DE3AC3" w14:textId="575B232F" w:rsidR="00A1010D" w:rsidRPr="00092862" w:rsidRDefault="00A1010D" w:rsidP="00345259">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 xml:space="preserve">3.2-9 </w:t>
      </w:r>
      <w:r w:rsidRPr="00092862">
        <w:rPr>
          <w:rFonts w:ascii="Times New Roman" w:eastAsia="黑体" w:hAnsi="Times New Roman"/>
          <w:color w:val="000000" w:themeColor="text1"/>
          <w:sz w:val="21"/>
          <w:szCs w:val="21"/>
          <w:lang w:eastAsia="zh-CN"/>
        </w:rPr>
        <w:t xml:space="preserve"> </w:t>
      </w:r>
      <w:r w:rsidR="00520439" w:rsidRPr="00092862">
        <w:rPr>
          <w:rFonts w:ascii="Times New Roman" w:eastAsia="黑体" w:hAnsi="Times New Roman"/>
          <w:color w:val="000000" w:themeColor="text1"/>
          <w:sz w:val="21"/>
          <w:szCs w:val="21"/>
          <w:lang w:eastAsia="zh-CN"/>
        </w:rPr>
        <w:t>老君</w:t>
      </w:r>
      <w:r w:rsidR="004D07D0" w:rsidRPr="00092862">
        <w:rPr>
          <w:rFonts w:ascii="Times New Roman" w:eastAsia="黑体" w:hAnsi="Times New Roman"/>
          <w:color w:val="000000" w:themeColor="text1"/>
          <w:sz w:val="21"/>
          <w:szCs w:val="21"/>
          <w:lang w:eastAsia="zh-CN"/>
        </w:rPr>
        <w:t>701-</w:t>
      </w:r>
      <w:r w:rsidR="00AE4A7F" w:rsidRPr="00092862">
        <w:rPr>
          <w:rFonts w:ascii="Times New Roman" w:eastAsia="黑体" w:hAnsi="Times New Roman"/>
          <w:color w:val="000000" w:themeColor="text1"/>
          <w:sz w:val="21"/>
          <w:szCs w:val="21"/>
          <w:lang w:eastAsia="zh-CN"/>
        </w:rPr>
        <w:t>4H</w:t>
      </w:r>
      <w:r w:rsidRPr="00092862">
        <w:rPr>
          <w:rFonts w:ascii="Times New Roman" w:eastAsia="黑体" w:hAnsi="Times New Roman"/>
          <w:color w:val="000000" w:themeColor="text1"/>
          <w:sz w:val="21"/>
          <w:szCs w:val="21"/>
          <w:lang w:eastAsia="zh-CN"/>
        </w:rPr>
        <w:t>井身结构设计数据表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202"/>
        <w:gridCol w:w="1127"/>
        <w:gridCol w:w="1300"/>
        <w:gridCol w:w="1152"/>
        <w:gridCol w:w="1079"/>
        <w:gridCol w:w="1595"/>
      </w:tblGrid>
      <w:tr w:rsidR="00697429" w:rsidRPr="00092862" w14:paraId="12860424" w14:textId="77777777" w:rsidTr="00A1010D">
        <w:trPr>
          <w:trHeight w:val="335"/>
        </w:trPr>
        <w:tc>
          <w:tcPr>
            <w:tcW w:w="509" w:type="pct"/>
            <w:vMerge w:val="restart"/>
            <w:shd w:val="clear" w:color="auto" w:fill="auto"/>
            <w:vAlign w:val="center"/>
          </w:tcPr>
          <w:p w14:paraId="43811A7D"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lastRenderedPageBreak/>
              <w:t>开次</w:t>
            </w:r>
          </w:p>
        </w:tc>
        <w:tc>
          <w:tcPr>
            <w:tcW w:w="724" w:type="pct"/>
            <w:vMerge w:val="restart"/>
            <w:shd w:val="clear" w:color="auto" w:fill="auto"/>
            <w:vAlign w:val="center"/>
          </w:tcPr>
          <w:p w14:paraId="4AE20A79"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钻头尺寸（</w:t>
            </w:r>
            <w:r w:rsidRPr="00092862">
              <w:rPr>
                <w:rFonts w:ascii="Times New Roman" w:eastAsia="宋体" w:hAnsi="Times New Roman" w:cs="Times New Roman"/>
                <w:color w:val="000000" w:themeColor="text1"/>
                <w:szCs w:val="21"/>
                <w:lang w:bidi="ar"/>
              </w:rPr>
              <w:t>mm</w:t>
            </w:r>
            <w:r w:rsidRPr="00092862">
              <w:rPr>
                <w:rFonts w:ascii="Times New Roman" w:eastAsia="宋体" w:hAnsi="Times New Roman" w:cs="Times New Roman"/>
                <w:color w:val="000000" w:themeColor="text1"/>
                <w:szCs w:val="21"/>
                <w:lang w:bidi="ar"/>
              </w:rPr>
              <w:t>）</w:t>
            </w:r>
          </w:p>
        </w:tc>
        <w:tc>
          <w:tcPr>
            <w:tcW w:w="679" w:type="pct"/>
            <w:vMerge w:val="restart"/>
            <w:shd w:val="clear" w:color="auto" w:fill="auto"/>
            <w:vAlign w:val="center"/>
          </w:tcPr>
          <w:p w14:paraId="5CB88E5C"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钻深</w:t>
            </w:r>
            <w:r w:rsidRPr="00092862">
              <w:rPr>
                <w:rFonts w:ascii="Times New Roman" w:eastAsia="宋体" w:hAnsi="Times New Roman" w:cs="Times New Roman"/>
                <w:color w:val="000000" w:themeColor="text1"/>
                <w:szCs w:val="21"/>
                <w:lang w:bidi="ar"/>
              </w:rPr>
              <w:br/>
            </w:r>
            <w:r w:rsidRPr="00092862">
              <w:rPr>
                <w:rFonts w:ascii="Times New Roman" w:eastAsia="宋体" w:hAnsi="Times New Roman" w:cs="Times New Roman"/>
                <w:color w:val="000000" w:themeColor="text1"/>
                <w:szCs w:val="21"/>
                <w:lang w:bidi="ar"/>
              </w:rPr>
              <w:t>（</w:t>
            </w:r>
            <w:r w:rsidRPr="00092862">
              <w:rPr>
                <w:rFonts w:ascii="Times New Roman" w:eastAsia="宋体" w:hAnsi="Times New Roman" w:cs="Times New Roman"/>
                <w:color w:val="000000" w:themeColor="text1"/>
                <w:szCs w:val="21"/>
                <w:lang w:bidi="ar"/>
              </w:rPr>
              <w:t>m</w:t>
            </w:r>
            <w:r w:rsidRPr="00092862">
              <w:rPr>
                <w:rFonts w:ascii="Times New Roman" w:eastAsia="宋体" w:hAnsi="Times New Roman" w:cs="Times New Roman"/>
                <w:color w:val="000000" w:themeColor="text1"/>
                <w:szCs w:val="21"/>
                <w:lang w:bidi="ar"/>
              </w:rPr>
              <w:t>）</w:t>
            </w:r>
          </w:p>
        </w:tc>
        <w:tc>
          <w:tcPr>
            <w:tcW w:w="783" w:type="pct"/>
            <w:vMerge w:val="restart"/>
            <w:shd w:val="clear" w:color="auto" w:fill="auto"/>
            <w:vAlign w:val="center"/>
          </w:tcPr>
          <w:p w14:paraId="2F3A476C"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套管尺寸（</w:t>
            </w:r>
            <w:r w:rsidRPr="00092862">
              <w:rPr>
                <w:rFonts w:ascii="Times New Roman" w:eastAsia="宋体" w:hAnsi="Times New Roman" w:cs="Times New Roman"/>
                <w:color w:val="000000" w:themeColor="text1"/>
                <w:szCs w:val="21"/>
                <w:lang w:bidi="ar"/>
              </w:rPr>
              <w:t>mm</w:t>
            </w:r>
            <w:r w:rsidRPr="00092862">
              <w:rPr>
                <w:rFonts w:ascii="Times New Roman" w:eastAsia="宋体" w:hAnsi="Times New Roman" w:cs="Times New Roman"/>
                <w:color w:val="000000" w:themeColor="text1"/>
                <w:szCs w:val="21"/>
                <w:lang w:bidi="ar"/>
              </w:rPr>
              <w:t>）</w:t>
            </w:r>
          </w:p>
        </w:tc>
        <w:tc>
          <w:tcPr>
            <w:tcW w:w="694" w:type="pct"/>
            <w:vMerge w:val="restart"/>
            <w:shd w:val="clear" w:color="auto" w:fill="auto"/>
            <w:vAlign w:val="center"/>
          </w:tcPr>
          <w:p w14:paraId="69D2D891"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套管下深（</w:t>
            </w:r>
            <w:r w:rsidRPr="00092862">
              <w:rPr>
                <w:rFonts w:ascii="Times New Roman" w:eastAsia="宋体" w:hAnsi="Times New Roman" w:cs="Times New Roman"/>
                <w:color w:val="000000" w:themeColor="text1"/>
                <w:szCs w:val="21"/>
                <w:lang w:bidi="ar"/>
              </w:rPr>
              <w:t>m</w:t>
            </w:r>
            <w:r w:rsidRPr="00092862">
              <w:rPr>
                <w:rFonts w:ascii="Times New Roman" w:eastAsia="宋体" w:hAnsi="Times New Roman" w:cs="Times New Roman"/>
                <w:color w:val="000000" w:themeColor="text1"/>
                <w:szCs w:val="21"/>
                <w:lang w:bidi="ar"/>
              </w:rPr>
              <w:t>）</w:t>
            </w:r>
          </w:p>
        </w:tc>
        <w:tc>
          <w:tcPr>
            <w:tcW w:w="650" w:type="pct"/>
            <w:vMerge w:val="restart"/>
            <w:shd w:val="clear" w:color="auto" w:fill="auto"/>
            <w:vAlign w:val="center"/>
          </w:tcPr>
          <w:p w14:paraId="58CB26D0"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水泥返高（</w:t>
            </w:r>
            <w:r w:rsidRPr="00092862">
              <w:rPr>
                <w:rFonts w:ascii="Times New Roman" w:eastAsia="宋体" w:hAnsi="Times New Roman" w:cs="Times New Roman"/>
                <w:color w:val="000000" w:themeColor="text1"/>
                <w:szCs w:val="21"/>
                <w:lang w:bidi="ar"/>
              </w:rPr>
              <w:t>m</w:t>
            </w:r>
            <w:r w:rsidRPr="00092862">
              <w:rPr>
                <w:rFonts w:ascii="Times New Roman" w:eastAsia="宋体" w:hAnsi="Times New Roman" w:cs="Times New Roman"/>
                <w:color w:val="000000" w:themeColor="text1"/>
                <w:szCs w:val="21"/>
                <w:lang w:bidi="ar"/>
              </w:rPr>
              <w:t>）</w:t>
            </w:r>
          </w:p>
        </w:tc>
        <w:tc>
          <w:tcPr>
            <w:tcW w:w="961" w:type="pct"/>
            <w:vMerge w:val="restart"/>
            <w:shd w:val="clear" w:color="auto" w:fill="auto"/>
            <w:vAlign w:val="center"/>
          </w:tcPr>
          <w:p w14:paraId="049CE83C"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备注</w:t>
            </w:r>
          </w:p>
        </w:tc>
      </w:tr>
      <w:tr w:rsidR="00697429" w:rsidRPr="00092862" w14:paraId="0E93C223" w14:textId="77777777" w:rsidTr="00A1010D">
        <w:trPr>
          <w:trHeight w:val="312"/>
        </w:trPr>
        <w:tc>
          <w:tcPr>
            <w:tcW w:w="509" w:type="pct"/>
            <w:vMerge/>
            <w:shd w:val="clear" w:color="auto" w:fill="auto"/>
            <w:vAlign w:val="center"/>
          </w:tcPr>
          <w:p w14:paraId="3A59915A" w14:textId="77777777" w:rsidR="00A1010D" w:rsidRPr="00092862" w:rsidRDefault="00A1010D" w:rsidP="00345259">
            <w:pPr>
              <w:jc w:val="center"/>
              <w:rPr>
                <w:rFonts w:ascii="Times New Roman" w:eastAsia="宋体" w:hAnsi="Times New Roman" w:cs="Times New Roman"/>
                <w:color w:val="000000" w:themeColor="text1"/>
                <w:szCs w:val="21"/>
              </w:rPr>
            </w:pPr>
          </w:p>
        </w:tc>
        <w:tc>
          <w:tcPr>
            <w:tcW w:w="724" w:type="pct"/>
            <w:vMerge/>
            <w:shd w:val="clear" w:color="auto" w:fill="auto"/>
            <w:vAlign w:val="center"/>
          </w:tcPr>
          <w:p w14:paraId="1929ECFC" w14:textId="77777777" w:rsidR="00A1010D" w:rsidRPr="00092862" w:rsidRDefault="00A1010D" w:rsidP="00345259">
            <w:pPr>
              <w:jc w:val="center"/>
              <w:rPr>
                <w:rFonts w:ascii="Times New Roman" w:eastAsia="宋体" w:hAnsi="Times New Roman" w:cs="Times New Roman"/>
                <w:color w:val="000000" w:themeColor="text1"/>
                <w:szCs w:val="21"/>
              </w:rPr>
            </w:pPr>
          </w:p>
        </w:tc>
        <w:tc>
          <w:tcPr>
            <w:tcW w:w="679" w:type="pct"/>
            <w:vMerge/>
            <w:shd w:val="clear" w:color="auto" w:fill="auto"/>
            <w:vAlign w:val="center"/>
          </w:tcPr>
          <w:p w14:paraId="7875375E" w14:textId="77777777" w:rsidR="00A1010D" w:rsidRPr="00092862" w:rsidRDefault="00A1010D" w:rsidP="00345259">
            <w:pPr>
              <w:jc w:val="center"/>
              <w:rPr>
                <w:rFonts w:ascii="Times New Roman" w:eastAsia="宋体" w:hAnsi="Times New Roman" w:cs="Times New Roman"/>
                <w:color w:val="000000" w:themeColor="text1"/>
                <w:szCs w:val="21"/>
              </w:rPr>
            </w:pPr>
          </w:p>
        </w:tc>
        <w:tc>
          <w:tcPr>
            <w:tcW w:w="783" w:type="pct"/>
            <w:vMerge/>
            <w:shd w:val="clear" w:color="auto" w:fill="auto"/>
            <w:vAlign w:val="center"/>
          </w:tcPr>
          <w:p w14:paraId="43D9F75A" w14:textId="77777777" w:rsidR="00A1010D" w:rsidRPr="00092862" w:rsidRDefault="00A1010D" w:rsidP="00345259">
            <w:pPr>
              <w:jc w:val="center"/>
              <w:rPr>
                <w:rFonts w:ascii="Times New Roman" w:eastAsia="宋体" w:hAnsi="Times New Roman" w:cs="Times New Roman"/>
                <w:color w:val="000000" w:themeColor="text1"/>
                <w:szCs w:val="21"/>
              </w:rPr>
            </w:pPr>
          </w:p>
        </w:tc>
        <w:tc>
          <w:tcPr>
            <w:tcW w:w="694" w:type="pct"/>
            <w:vMerge/>
            <w:shd w:val="clear" w:color="auto" w:fill="auto"/>
            <w:vAlign w:val="center"/>
          </w:tcPr>
          <w:p w14:paraId="1BF3083F" w14:textId="77777777" w:rsidR="00A1010D" w:rsidRPr="00092862" w:rsidRDefault="00A1010D" w:rsidP="00345259">
            <w:pPr>
              <w:jc w:val="center"/>
              <w:rPr>
                <w:rFonts w:ascii="Times New Roman" w:eastAsia="宋体" w:hAnsi="Times New Roman" w:cs="Times New Roman"/>
                <w:color w:val="000000" w:themeColor="text1"/>
                <w:szCs w:val="21"/>
              </w:rPr>
            </w:pPr>
          </w:p>
        </w:tc>
        <w:tc>
          <w:tcPr>
            <w:tcW w:w="650" w:type="pct"/>
            <w:vMerge/>
            <w:shd w:val="clear" w:color="auto" w:fill="auto"/>
            <w:vAlign w:val="center"/>
          </w:tcPr>
          <w:p w14:paraId="5590167A" w14:textId="77777777" w:rsidR="00A1010D" w:rsidRPr="00092862" w:rsidRDefault="00A1010D" w:rsidP="00345259">
            <w:pPr>
              <w:jc w:val="center"/>
              <w:rPr>
                <w:rFonts w:ascii="Times New Roman" w:eastAsia="宋体" w:hAnsi="Times New Roman" w:cs="Times New Roman"/>
                <w:color w:val="000000" w:themeColor="text1"/>
                <w:szCs w:val="21"/>
              </w:rPr>
            </w:pPr>
          </w:p>
        </w:tc>
        <w:tc>
          <w:tcPr>
            <w:tcW w:w="961" w:type="pct"/>
            <w:vMerge/>
            <w:shd w:val="clear" w:color="auto" w:fill="auto"/>
            <w:vAlign w:val="center"/>
          </w:tcPr>
          <w:p w14:paraId="13BB2C00" w14:textId="77777777" w:rsidR="00A1010D" w:rsidRPr="00092862" w:rsidRDefault="00A1010D" w:rsidP="00345259">
            <w:pPr>
              <w:jc w:val="center"/>
              <w:rPr>
                <w:rFonts w:ascii="Times New Roman" w:eastAsia="宋体" w:hAnsi="Times New Roman" w:cs="Times New Roman"/>
                <w:color w:val="000000" w:themeColor="text1"/>
                <w:szCs w:val="21"/>
              </w:rPr>
            </w:pPr>
          </w:p>
        </w:tc>
      </w:tr>
      <w:tr w:rsidR="00697429" w:rsidRPr="00092862" w14:paraId="307B3FE5" w14:textId="77777777" w:rsidTr="00A1010D">
        <w:trPr>
          <w:trHeight w:val="287"/>
        </w:trPr>
        <w:tc>
          <w:tcPr>
            <w:tcW w:w="509" w:type="pct"/>
            <w:shd w:val="clear" w:color="auto" w:fill="auto"/>
            <w:vAlign w:val="center"/>
          </w:tcPr>
          <w:p w14:paraId="558B6CCA"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导管</w:t>
            </w:r>
          </w:p>
        </w:tc>
        <w:tc>
          <w:tcPr>
            <w:tcW w:w="724" w:type="pct"/>
            <w:shd w:val="clear" w:color="auto" w:fill="auto"/>
            <w:vAlign w:val="center"/>
          </w:tcPr>
          <w:p w14:paraId="60D96470"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660.4</w:t>
            </w:r>
          </w:p>
        </w:tc>
        <w:tc>
          <w:tcPr>
            <w:tcW w:w="679" w:type="pct"/>
            <w:shd w:val="clear" w:color="auto" w:fill="auto"/>
            <w:vAlign w:val="center"/>
          </w:tcPr>
          <w:p w14:paraId="0EEEFB7A" w14:textId="7D33FBCA"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w:t>
            </w:r>
          </w:p>
        </w:tc>
        <w:tc>
          <w:tcPr>
            <w:tcW w:w="783" w:type="pct"/>
            <w:shd w:val="clear" w:color="auto" w:fill="auto"/>
            <w:vAlign w:val="center"/>
          </w:tcPr>
          <w:p w14:paraId="0132222F" w14:textId="76AF308A"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508</w:t>
            </w:r>
          </w:p>
        </w:tc>
        <w:tc>
          <w:tcPr>
            <w:tcW w:w="694" w:type="pct"/>
            <w:shd w:val="clear" w:color="auto" w:fill="auto"/>
            <w:vAlign w:val="center"/>
          </w:tcPr>
          <w:p w14:paraId="7B5614A7" w14:textId="6DF888B5"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0~50</w:t>
            </w:r>
          </w:p>
        </w:tc>
        <w:tc>
          <w:tcPr>
            <w:tcW w:w="650" w:type="pct"/>
            <w:shd w:val="clear" w:color="auto" w:fill="auto"/>
            <w:vAlign w:val="center"/>
          </w:tcPr>
          <w:p w14:paraId="3063319F"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687375CE" w14:textId="246C9100" w:rsidR="00A1010D" w:rsidRPr="00092862" w:rsidRDefault="00A1010D" w:rsidP="00345259">
            <w:pPr>
              <w:jc w:val="center"/>
              <w:textAlignment w:val="center"/>
              <w:rPr>
                <w:rFonts w:ascii="Times New Roman" w:eastAsia="宋体" w:hAnsi="Times New Roman" w:cs="Times New Roman"/>
                <w:color w:val="000000" w:themeColor="text1"/>
                <w:szCs w:val="21"/>
              </w:rPr>
            </w:pPr>
          </w:p>
        </w:tc>
      </w:tr>
      <w:tr w:rsidR="00697429" w:rsidRPr="00092862" w14:paraId="6B4910E0" w14:textId="77777777" w:rsidTr="00A1010D">
        <w:trPr>
          <w:trHeight w:val="287"/>
        </w:trPr>
        <w:tc>
          <w:tcPr>
            <w:tcW w:w="509" w:type="pct"/>
            <w:shd w:val="clear" w:color="auto" w:fill="auto"/>
            <w:vAlign w:val="center"/>
          </w:tcPr>
          <w:p w14:paraId="034F08CA"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一开</w:t>
            </w:r>
          </w:p>
        </w:tc>
        <w:tc>
          <w:tcPr>
            <w:tcW w:w="724" w:type="pct"/>
            <w:shd w:val="clear" w:color="auto" w:fill="auto"/>
            <w:vAlign w:val="center"/>
          </w:tcPr>
          <w:p w14:paraId="0A10E3A2"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444.5</w:t>
            </w:r>
          </w:p>
        </w:tc>
        <w:tc>
          <w:tcPr>
            <w:tcW w:w="679" w:type="pct"/>
            <w:shd w:val="clear" w:color="auto" w:fill="auto"/>
            <w:vAlign w:val="center"/>
          </w:tcPr>
          <w:p w14:paraId="44F984D0" w14:textId="5B26B0C0"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1002</w:t>
            </w:r>
          </w:p>
        </w:tc>
        <w:tc>
          <w:tcPr>
            <w:tcW w:w="783" w:type="pct"/>
            <w:shd w:val="clear" w:color="auto" w:fill="auto"/>
            <w:vAlign w:val="center"/>
          </w:tcPr>
          <w:p w14:paraId="3368EA8F" w14:textId="4A34CEAD"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346.1</w:t>
            </w:r>
          </w:p>
        </w:tc>
        <w:tc>
          <w:tcPr>
            <w:tcW w:w="694" w:type="pct"/>
            <w:shd w:val="clear" w:color="auto" w:fill="auto"/>
            <w:vAlign w:val="center"/>
          </w:tcPr>
          <w:p w14:paraId="5AFB33AF" w14:textId="18BCFE44"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0~1000</w:t>
            </w:r>
          </w:p>
        </w:tc>
        <w:tc>
          <w:tcPr>
            <w:tcW w:w="650" w:type="pct"/>
            <w:shd w:val="clear" w:color="auto" w:fill="auto"/>
            <w:vAlign w:val="center"/>
          </w:tcPr>
          <w:p w14:paraId="71FAA234" w14:textId="77777777" w:rsidR="00A1010D" w:rsidRPr="00092862" w:rsidRDefault="00A1010D"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372D98BB" w14:textId="7232DD9C" w:rsidR="00A1010D" w:rsidRPr="00092862" w:rsidRDefault="00AE4A7F" w:rsidP="00345259">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气体钻</w:t>
            </w:r>
          </w:p>
        </w:tc>
      </w:tr>
      <w:tr w:rsidR="00697429" w:rsidRPr="00092862" w14:paraId="42992403" w14:textId="77777777" w:rsidTr="00A1010D">
        <w:trPr>
          <w:trHeight w:val="287"/>
        </w:trPr>
        <w:tc>
          <w:tcPr>
            <w:tcW w:w="509" w:type="pct"/>
            <w:shd w:val="clear" w:color="auto" w:fill="auto"/>
            <w:vAlign w:val="center"/>
          </w:tcPr>
          <w:p w14:paraId="6D19647F" w14:textId="77777777" w:rsidR="00A1010D" w:rsidRPr="00092862" w:rsidRDefault="00A1010D"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二开</w:t>
            </w:r>
          </w:p>
        </w:tc>
        <w:tc>
          <w:tcPr>
            <w:tcW w:w="724" w:type="pct"/>
            <w:shd w:val="clear" w:color="auto" w:fill="auto"/>
            <w:vAlign w:val="center"/>
          </w:tcPr>
          <w:p w14:paraId="0231578C" w14:textId="75AB35A2"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320</w:t>
            </w:r>
          </w:p>
        </w:tc>
        <w:tc>
          <w:tcPr>
            <w:tcW w:w="679" w:type="pct"/>
            <w:shd w:val="clear" w:color="auto" w:fill="auto"/>
            <w:vAlign w:val="center"/>
          </w:tcPr>
          <w:p w14:paraId="39F84FA1" w14:textId="1FD053A7"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4572</w:t>
            </w:r>
          </w:p>
        </w:tc>
        <w:tc>
          <w:tcPr>
            <w:tcW w:w="783" w:type="pct"/>
            <w:shd w:val="clear" w:color="auto" w:fill="auto"/>
            <w:vAlign w:val="center"/>
          </w:tcPr>
          <w:p w14:paraId="0613AF0F" w14:textId="63B563E6"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273.1</w:t>
            </w:r>
          </w:p>
        </w:tc>
        <w:tc>
          <w:tcPr>
            <w:tcW w:w="694" w:type="pct"/>
            <w:shd w:val="clear" w:color="auto" w:fill="auto"/>
            <w:vAlign w:val="center"/>
          </w:tcPr>
          <w:p w14:paraId="3C2F7537" w14:textId="3D29EC3C"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0~4570</w:t>
            </w:r>
          </w:p>
        </w:tc>
        <w:tc>
          <w:tcPr>
            <w:tcW w:w="650" w:type="pct"/>
            <w:shd w:val="clear" w:color="auto" w:fill="auto"/>
            <w:vAlign w:val="center"/>
          </w:tcPr>
          <w:p w14:paraId="03B0A39D" w14:textId="77777777" w:rsidR="00A1010D" w:rsidRPr="00092862" w:rsidRDefault="00A1010D"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2A816F57" w14:textId="77F8C83A"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空气（氮气）</w:t>
            </w:r>
            <w:r w:rsidRPr="00092862">
              <w:rPr>
                <w:rFonts w:ascii="Times New Roman" w:eastAsia="宋体" w:hAnsi="Times New Roman" w:cs="Times New Roman"/>
                <w:color w:val="000000" w:themeColor="text1"/>
              </w:rPr>
              <w:t xml:space="preserve"> </w:t>
            </w:r>
            <w:r w:rsidRPr="00092862">
              <w:rPr>
                <w:rFonts w:ascii="Times New Roman" w:eastAsia="宋体" w:hAnsi="Times New Roman" w:cs="Times New Roman"/>
                <w:color w:val="000000" w:themeColor="text1"/>
              </w:rPr>
              <w:t>钻井或常规钻</w:t>
            </w:r>
            <w:r w:rsidRPr="00092862">
              <w:rPr>
                <w:rFonts w:ascii="Times New Roman" w:eastAsia="宋体" w:hAnsi="Times New Roman" w:cs="Times New Roman"/>
                <w:color w:val="000000" w:themeColor="text1"/>
              </w:rPr>
              <w:t xml:space="preserve"> </w:t>
            </w:r>
            <w:r w:rsidRPr="00092862">
              <w:rPr>
                <w:rFonts w:ascii="Times New Roman" w:eastAsia="宋体" w:hAnsi="Times New Roman" w:cs="Times New Roman"/>
                <w:color w:val="000000" w:themeColor="text1"/>
              </w:rPr>
              <w:t>井</w:t>
            </w:r>
          </w:p>
        </w:tc>
      </w:tr>
      <w:tr w:rsidR="00697429" w:rsidRPr="00092862" w14:paraId="68B35FDA" w14:textId="77777777" w:rsidTr="00A1010D">
        <w:trPr>
          <w:trHeight w:val="287"/>
        </w:trPr>
        <w:tc>
          <w:tcPr>
            <w:tcW w:w="509" w:type="pct"/>
            <w:shd w:val="clear" w:color="auto" w:fill="auto"/>
            <w:vAlign w:val="center"/>
          </w:tcPr>
          <w:p w14:paraId="080764E7" w14:textId="77777777" w:rsidR="00A1010D" w:rsidRPr="00092862" w:rsidRDefault="00A1010D"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三开</w:t>
            </w:r>
          </w:p>
        </w:tc>
        <w:tc>
          <w:tcPr>
            <w:tcW w:w="724" w:type="pct"/>
            <w:shd w:val="clear" w:color="auto" w:fill="auto"/>
            <w:vAlign w:val="center"/>
          </w:tcPr>
          <w:p w14:paraId="1EB6B548" w14:textId="77777777" w:rsidR="00A1010D" w:rsidRPr="00092862" w:rsidRDefault="00A1010D"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241.3</w:t>
            </w:r>
          </w:p>
        </w:tc>
        <w:tc>
          <w:tcPr>
            <w:tcW w:w="679" w:type="pct"/>
            <w:shd w:val="clear" w:color="auto" w:fill="auto"/>
            <w:vAlign w:val="center"/>
          </w:tcPr>
          <w:p w14:paraId="625549F2" w14:textId="5455903D" w:rsidR="00A1010D" w:rsidRPr="00092862" w:rsidRDefault="007A02DD" w:rsidP="00B94353">
            <w:pPr>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p>
        </w:tc>
        <w:tc>
          <w:tcPr>
            <w:tcW w:w="783" w:type="pct"/>
            <w:shd w:val="clear" w:color="auto" w:fill="auto"/>
            <w:vAlign w:val="center"/>
          </w:tcPr>
          <w:p w14:paraId="7D02AAFE" w14:textId="62A19815"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177.8+193.7</w:t>
            </w:r>
          </w:p>
        </w:tc>
        <w:tc>
          <w:tcPr>
            <w:tcW w:w="694" w:type="pct"/>
            <w:shd w:val="clear" w:color="auto" w:fill="auto"/>
            <w:vAlign w:val="center"/>
          </w:tcPr>
          <w:p w14:paraId="6A66C98F" w14:textId="312739BA"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0~6912</w:t>
            </w:r>
          </w:p>
        </w:tc>
        <w:tc>
          <w:tcPr>
            <w:tcW w:w="650" w:type="pct"/>
            <w:shd w:val="clear" w:color="auto" w:fill="auto"/>
            <w:vAlign w:val="center"/>
          </w:tcPr>
          <w:p w14:paraId="044F5363" w14:textId="77777777" w:rsidR="00A1010D" w:rsidRPr="00092862" w:rsidRDefault="00A1010D"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723EA7AC" w14:textId="43D343C8" w:rsidR="00A1010D" w:rsidRPr="00092862" w:rsidRDefault="00AE4A7F" w:rsidP="00B94353">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常规钻井</w:t>
            </w:r>
          </w:p>
        </w:tc>
      </w:tr>
    </w:tbl>
    <w:p w14:paraId="788AB6E0" w14:textId="30DDDA2B" w:rsidR="00A1010D" w:rsidRPr="00092862" w:rsidRDefault="00A1010D" w:rsidP="0010287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10287F" w:rsidRPr="00092862">
        <w:rPr>
          <w:rFonts w:ascii="Times New Roman" w:eastAsia="黑体" w:hAnsi="Times New Roman"/>
          <w:color w:val="000000" w:themeColor="text1"/>
          <w:sz w:val="21"/>
          <w:szCs w:val="21"/>
          <w:lang w:eastAsia="zh-CN"/>
        </w:rPr>
        <w:t xml:space="preserve">3.2-10 </w:t>
      </w:r>
      <w:r w:rsidRPr="00092862">
        <w:rPr>
          <w:rFonts w:ascii="Times New Roman" w:eastAsia="黑体" w:hAnsi="Times New Roman"/>
          <w:color w:val="000000" w:themeColor="text1"/>
          <w:sz w:val="21"/>
          <w:szCs w:val="21"/>
          <w:lang w:eastAsia="zh-CN"/>
        </w:rPr>
        <w:t xml:space="preserve"> </w:t>
      </w:r>
      <w:r w:rsidR="00520439" w:rsidRPr="00092862">
        <w:rPr>
          <w:rFonts w:ascii="Times New Roman" w:eastAsia="黑体" w:hAnsi="Times New Roman"/>
          <w:color w:val="000000" w:themeColor="text1"/>
          <w:sz w:val="21"/>
          <w:szCs w:val="21"/>
          <w:lang w:eastAsia="zh-CN"/>
        </w:rPr>
        <w:t>老君</w:t>
      </w:r>
      <w:r w:rsidR="004D07D0" w:rsidRPr="00092862">
        <w:rPr>
          <w:rFonts w:ascii="Times New Roman" w:eastAsia="黑体" w:hAnsi="Times New Roman"/>
          <w:color w:val="000000" w:themeColor="text1"/>
          <w:sz w:val="21"/>
          <w:szCs w:val="21"/>
          <w:lang w:eastAsia="zh-CN"/>
        </w:rPr>
        <w:t>701-</w:t>
      </w:r>
      <w:r w:rsidR="00AE4A7F" w:rsidRPr="00092862">
        <w:rPr>
          <w:rFonts w:ascii="Times New Roman" w:eastAsia="黑体" w:hAnsi="Times New Roman"/>
          <w:color w:val="000000" w:themeColor="text1"/>
          <w:sz w:val="21"/>
          <w:szCs w:val="21"/>
          <w:lang w:eastAsia="zh-CN"/>
        </w:rPr>
        <w:t>5H</w:t>
      </w:r>
      <w:r w:rsidRPr="00092862">
        <w:rPr>
          <w:rFonts w:ascii="Times New Roman" w:eastAsia="黑体" w:hAnsi="Times New Roman"/>
          <w:color w:val="000000" w:themeColor="text1"/>
          <w:sz w:val="21"/>
          <w:szCs w:val="21"/>
          <w:lang w:eastAsia="zh-CN"/>
        </w:rPr>
        <w:t>侧井身结构设计数据表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202"/>
        <w:gridCol w:w="1127"/>
        <w:gridCol w:w="1300"/>
        <w:gridCol w:w="1152"/>
        <w:gridCol w:w="1079"/>
        <w:gridCol w:w="1595"/>
      </w:tblGrid>
      <w:tr w:rsidR="00697429" w:rsidRPr="00092862" w14:paraId="0C0DB543" w14:textId="77777777" w:rsidTr="00F31BAF">
        <w:trPr>
          <w:trHeight w:val="335"/>
        </w:trPr>
        <w:tc>
          <w:tcPr>
            <w:tcW w:w="509" w:type="pct"/>
            <w:vMerge w:val="restart"/>
            <w:shd w:val="clear" w:color="auto" w:fill="auto"/>
            <w:vAlign w:val="center"/>
          </w:tcPr>
          <w:p w14:paraId="5EDB5091"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开次</w:t>
            </w:r>
          </w:p>
        </w:tc>
        <w:tc>
          <w:tcPr>
            <w:tcW w:w="724" w:type="pct"/>
            <w:vMerge w:val="restart"/>
            <w:shd w:val="clear" w:color="auto" w:fill="auto"/>
            <w:vAlign w:val="center"/>
          </w:tcPr>
          <w:p w14:paraId="1EAEA890"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钻头尺寸（</w:t>
            </w:r>
            <w:r w:rsidRPr="00092862">
              <w:rPr>
                <w:rFonts w:ascii="Times New Roman" w:eastAsia="宋体" w:hAnsi="Times New Roman" w:cs="Times New Roman"/>
                <w:color w:val="000000" w:themeColor="text1"/>
                <w:szCs w:val="21"/>
                <w:lang w:bidi="ar"/>
              </w:rPr>
              <w:t>mm</w:t>
            </w:r>
            <w:r w:rsidRPr="00092862">
              <w:rPr>
                <w:rFonts w:ascii="Times New Roman" w:eastAsia="宋体" w:hAnsi="Times New Roman" w:cs="Times New Roman"/>
                <w:color w:val="000000" w:themeColor="text1"/>
                <w:szCs w:val="21"/>
                <w:lang w:bidi="ar"/>
              </w:rPr>
              <w:t>）</w:t>
            </w:r>
          </w:p>
        </w:tc>
        <w:tc>
          <w:tcPr>
            <w:tcW w:w="679" w:type="pct"/>
            <w:vMerge w:val="restart"/>
            <w:shd w:val="clear" w:color="auto" w:fill="auto"/>
            <w:vAlign w:val="center"/>
          </w:tcPr>
          <w:p w14:paraId="2D8566A5"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钻深</w:t>
            </w:r>
            <w:r w:rsidRPr="00092862">
              <w:rPr>
                <w:rFonts w:ascii="Times New Roman" w:eastAsia="宋体" w:hAnsi="Times New Roman" w:cs="Times New Roman"/>
                <w:color w:val="000000" w:themeColor="text1"/>
                <w:szCs w:val="21"/>
                <w:lang w:bidi="ar"/>
              </w:rPr>
              <w:br/>
            </w:r>
            <w:r w:rsidRPr="00092862">
              <w:rPr>
                <w:rFonts w:ascii="Times New Roman" w:eastAsia="宋体" w:hAnsi="Times New Roman" w:cs="Times New Roman"/>
                <w:color w:val="000000" w:themeColor="text1"/>
                <w:szCs w:val="21"/>
                <w:lang w:bidi="ar"/>
              </w:rPr>
              <w:t>（</w:t>
            </w:r>
            <w:r w:rsidRPr="00092862">
              <w:rPr>
                <w:rFonts w:ascii="Times New Roman" w:eastAsia="宋体" w:hAnsi="Times New Roman" w:cs="Times New Roman"/>
                <w:color w:val="000000" w:themeColor="text1"/>
                <w:szCs w:val="21"/>
                <w:lang w:bidi="ar"/>
              </w:rPr>
              <w:t>m</w:t>
            </w:r>
            <w:r w:rsidRPr="00092862">
              <w:rPr>
                <w:rFonts w:ascii="Times New Roman" w:eastAsia="宋体" w:hAnsi="Times New Roman" w:cs="Times New Roman"/>
                <w:color w:val="000000" w:themeColor="text1"/>
                <w:szCs w:val="21"/>
                <w:lang w:bidi="ar"/>
              </w:rPr>
              <w:t>）</w:t>
            </w:r>
          </w:p>
        </w:tc>
        <w:tc>
          <w:tcPr>
            <w:tcW w:w="783" w:type="pct"/>
            <w:vMerge w:val="restart"/>
            <w:shd w:val="clear" w:color="auto" w:fill="auto"/>
            <w:vAlign w:val="center"/>
          </w:tcPr>
          <w:p w14:paraId="71BF829C"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套管尺寸（</w:t>
            </w:r>
            <w:r w:rsidRPr="00092862">
              <w:rPr>
                <w:rFonts w:ascii="Times New Roman" w:eastAsia="宋体" w:hAnsi="Times New Roman" w:cs="Times New Roman"/>
                <w:color w:val="000000" w:themeColor="text1"/>
                <w:szCs w:val="21"/>
                <w:lang w:bidi="ar"/>
              </w:rPr>
              <w:t>mm</w:t>
            </w:r>
            <w:r w:rsidRPr="00092862">
              <w:rPr>
                <w:rFonts w:ascii="Times New Roman" w:eastAsia="宋体" w:hAnsi="Times New Roman" w:cs="Times New Roman"/>
                <w:color w:val="000000" w:themeColor="text1"/>
                <w:szCs w:val="21"/>
                <w:lang w:bidi="ar"/>
              </w:rPr>
              <w:t>）</w:t>
            </w:r>
          </w:p>
        </w:tc>
        <w:tc>
          <w:tcPr>
            <w:tcW w:w="694" w:type="pct"/>
            <w:vMerge w:val="restart"/>
            <w:shd w:val="clear" w:color="auto" w:fill="auto"/>
            <w:vAlign w:val="center"/>
          </w:tcPr>
          <w:p w14:paraId="5B027D20"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套管下深（</w:t>
            </w:r>
            <w:r w:rsidRPr="00092862">
              <w:rPr>
                <w:rFonts w:ascii="Times New Roman" w:eastAsia="宋体" w:hAnsi="Times New Roman" w:cs="Times New Roman"/>
                <w:color w:val="000000" w:themeColor="text1"/>
                <w:szCs w:val="21"/>
                <w:lang w:bidi="ar"/>
              </w:rPr>
              <w:t>m</w:t>
            </w:r>
            <w:r w:rsidRPr="00092862">
              <w:rPr>
                <w:rFonts w:ascii="Times New Roman" w:eastAsia="宋体" w:hAnsi="Times New Roman" w:cs="Times New Roman"/>
                <w:color w:val="000000" w:themeColor="text1"/>
                <w:szCs w:val="21"/>
                <w:lang w:bidi="ar"/>
              </w:rPr>
              <w:t>）</w:t>
            </w:r>
          </w:p>
        </w:tc>
        <w:tc>
          <w:tcPr>
            <w:tcW w:w="650" w:type="pct"/>
            <w:vMerge w:val="restart"/>
            <w:shd w:val="clear" w:color="auto" w:fill="auto"/>
            <w:vAlign w:val="center"/>
          </w:tcPr>
          <w:p w14:paraId="0987288B"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水泥返高（</w:t>
            </w:r>
            <w:r w:rsidRPr="00092862">
              <w:rPr>
                <w:rFonts w:ascii="Times New Roman" w:eastAsia="宋体" w:hAnsi="Times New Roman" w:cs="Times New Roman"/>
                <w:color w:val="000000" w:themeColor="text1"/>
                <w:szCs w:val="21"/>
                <w:lang w:bidi="ar"/>
              </w:rPr>
              <w:t>m</w:t>
            </w:r>
            <w:r w:rsidRPr="00092862">
              <w:rPr>
                <w:rFonts w:ascii="Times New Roman" w:eastAsia="宋体" w:hAnsi="Times New Roman" w:cs="Times New Roman"/>
                <w:color w:val="000000" w:themeColor="text1"/>
                <w:szCs w:val="21"/>
                <w:lang w:bidi="ar"/>
              </w:rPr>
              <w:t>）</w:t>
            </w:r>
          </w:p>
        </w:tc>
        <w:tc>
          <w:tcPr>
            <w:tcW w:w="961" w:type="pct"/>
            <w:vMerge w:val="restart"/>
            <w:shd w:val="clear" w:color="auto" w:fill="auto"/>
            <w:vAlign w:val="center"/>
          </w:tcPr>
          <w:p w14:paraId="212B0FE6"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备注</w:t>
            </w:r>
          </w:p>
        </w:tc>
      </w:tr>
      <w:tr w:rsidR="00697429" w:rsidRPr="00092862" w14:paraId="5306AF4D" w14:textId="77777777" w:rsidTr="00F31BAF">
        <w:trPr>
          <w:trHeight w:val="312"/>
        </w:trPr>
        <w:tc>
          <w:tcPr>
            <w:tcW w:w="509" w:type="pct"/>
            <w:vMerge/>
            <w:shd w:val="clear" w:color="auto" w:fill="auto"/>
            <w:vAlign w:val="center"/>
          </w:tcPr>
          <w:p w14:paraId="04EF827E" w14:textId="77777777" w:rsidR="00AE4A7F" w:rsidRPr="00092862" w:rsidRDefault="00AE4A7F" w:rsidP="00F31BAF">
            <w:pPr>
              <w:jc w:val="center"/>
              <w:rPr>
                <w:rFonts w:ascii="Times New Roman" w:eastAsia="宋体" w:hAnsi="Times New Roman" w:cs="Times New Roman"/>
                <w:color w:val="000000" w:themeColor="text1"/>
                <w:szCs w:val="21"/>
              </w:rPr>
            </w:pPr>
          </w:p>
        </w:tc>
        <w:tc>
          <w:tcPr>
            <w:tcW w:w="724" w:type="pct"/>
            <w:vMerge/>
            <w:shd w:val="clear" w:color="auto" w:fill="auto"/>
            <w:vAlign w:val="center"/>
          </w:tcPr>
          <w:p w14:paraId="736DC342" w14:textId="77777777" w:rsidR="00AE4A7F" w:rsidRPr="00092862" w:rsidRDefault="00AE4A7F" w:rsidP="00F31BAF">
            <w:pPr>
              <w:jc w:val="center"/>
              <w:rPr>
                <w:rFonts w:ascii="Times New Roman" w:eastAsia="宋体" w:hAnsi="Times New Roman" w:cs="Times New Roman"/>
                <w:color w:val="000000" w:themeColor="text1"/>
                <w:szCs w:val="21"/>
              </w:rPr>
            </w:pPr>
          </w:p>
        </w:tc>
        <w:tc>
          <w:tcPr>
            <w:tcW w:w="679" w:type="pct"/>
            <w:vMerge/>
            <w:shd w:val="clear" w:color="auto" w:fill="auto"/>
            <w:vAlign w:val="center"/>
          </w:tcPr>
          <w:p w14:paraId="54E8B09D" w14:textId="77777777" w:rsidR="00AE4A7F" w:rsidRPr="00092862" w:rsidRDefault="00AE4A7F" w:rsidP="00F31BAF">
            <w:pPr>
              <w:jc w:val="center"/>
              <w:rPr>
                <w:rFonts w:ascii="Times New Roman" w:eastAsia="宋体" w:hAnsi="Times New Roman" w:cs="Times New Roman"/>
                <w:color w:val="000000" w:themeColor="text1"/>
                <w:szCs w:val="21"/>
              </w:rPr>
            </w:pPr>
          </w:p>
        </w:tc>
        <w:tc>
          <w:tcPr>
            <w:tcW w:w="783" w:type="pct"/>
            <w:vMerge/>
            <w:shd w:val="clear" w:color="auto" w:fill="auto"/>
            <w:vAlign w:val="center"/>
          </w:tcPr>
          <w:p w14:paraId="7DCC57C4" w14:textId="77777777" w:rsidR="00AE4A7F" w:rsidRPr="00092862" w:rsidRDefault="00AE4A7F" w:rsidP="00F31BAF">
            <w:pPr>
              <w:jc w:val="center"/>
              <w:rPr>
                <w:rFonts w:ascii="Times New Roman" w:eastAsia="宋体" w:hAnsi="Times New Roman" w:cs="Times New Roman"/>
                <w:color w:val="000000" w:themeColor="text1"/>
                <w:szCs w:val="21"/>
              </w:rPr>
            </w:pPr>
          </w:p>
        </w:tc>
        <w:tc>
          <w:tcPr>
            <w:tcW w:w="694" w:type="pct"/>
            <w:vMerge/>
            <w:shd w:val="clear" w:color="auto" w:fill="auto"/>
            <w:vAlign w:val="center"/>
          </w:tcPr>
          <w:p w14:paraId="234FE727" w14:textId="77777777" w:rsidR="00AE4A7F" w:rsidRPr="00092862" w:rsidRDefault="00AE4A7F" w:rsidP="00F31BAF">
            <w:pPr>
              <w:jc w:val="center"/>
              <w:rPr>
                <w:rFonts w:ascii="Times New Roman" w:eastAsia="宋体" w:hAnsi="Times New Roman" w:cs="Times New Roman"/>
                <w:color w:val="000000" w:themeColor="text1"/>
                <w:szCs w:val="21"/>
              </w:rPr>
            </w:pPr>
          </w:p>
        </w:tc>
        <w:tc>
          <w:tcPr>
            <w:tcW w:w="650" w:type="pct"/>
            <w:vMerge/>
            <w:shd w:val="clear" w:color="auto" w:fill="auto"/>
            <w:vAlign w:val="center"/>
          </w:tcPr>
          <w:p w14:paraId="4B637AD7" w14:textId="77777777" w:rsidR="00AE4A7F" w:rsidRPr="00092862" w:rsidRDefault="00AE4A7F" w:rsidP="00F31BAF">
            <w:pPr>
              <w:jc w:val="center"/>
              <w:rPr>
                <w:rFonts w:ascii="Times New Roman" w:eastAsia="宋体" w:hAnsi="Times New Roman" w:cs="Times New Roman"/>
                <w:color w:val="000000" w:themeColor="text1"/>
                <w:szCs w:val="21"/>
              </w:rPr>
            </w:pPr>
          </w:p>
        </w:tc>
        <w:tc>
          <w:tcPr>
            <w:tcW w:w="961" w:type="pct"/>
            <w:vMerge/>
            <w:shd w:val="clear" w:color="auto" w:fill="auto"/>
            <w:vAlign w:val="center"/>
          </w:tcPr>
          <w:p w14:paraId="426C625F" w14:textId="77777777" w:rsidR="00AE4A7F" w:rsidRPr="00092862" w:rsidRDefault="00AE4A7F" w:rsidP="00F31BAF">
            <w:pPr>
              <w:jc w:val="center"/>
              <w:rPr>
                <w:rFonts w:ascii="Times New Roman" w:eastAsia="宋体" w:hAnsi="Times New Roman" w:cs="Times New Roman"/>
                <w:color w:val="000000" w:themeColor="text1"/>
                <w:szCs w:val="21"/>
              </w:rPr>
            </w:pPr>
          </w:p>
        </w:tc>
      </w:tr>
      <w:tr w:rsidR="00697429" w:rsidRPr="00092862" w14:paraId="2A410BDC" w14:textId="77777777" w:rsidTr="00F31BAF">
        <w:trPr>
          <w:trHeight w:val="287"/>
        </w:trPr>
        <w:tc>
          <w:tcPr>
            <w:tcW w:w="509" w:type="pct"/>
            <w:shd w:val="clear" w:color="auto" w:fill="auto"/>
            <w:vAlign w:val="center"/>
          </w:tcPr>
          <w:p w14:paraId="4280002E"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导管</w:t>
            </w:r>
          </w:p>
        </w:tc>
        <w:tc>
          <w:tcPr>
            <w:tcW w:w="724" w:type="pct"/>
            <w:shd w:val="clear" w:color="auto" w:fill="auto"/>
            <w:vAlign w:val="center"/>
          </w:tcPr>
          <w:p w14:paraId="4393AB12"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660.4</w:t>
            </w:r>
          </w:p>
        </w:tc>
        <w:tc>
          <w:tcPr>
            <w:tcW w:w="679" w:type="pct"/>
            <w:shd w:val="clear" w:color="auto" w:fill="auto"/>
            <w:vAlign w:val="center"/>
          </w:tcPr>
          <w:p w14:paraId="13169A86"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w:t>
            </w:r>
          </w:p>
        </w:tc>
        <w:tc>
          <w:tcPr>
            <w:tcW w:w="783" w:type="pct"/>
            <w:shd w:val="clear" w:color="auto" w:fill="auto"/>
            <w:vAlign w:val="center"/>
          </w:tcPr>
          <w:p w14:paraId="6532B702"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508</w:t>
            </w:r>
          </w:p>
        </w:tc>
        <w:tc>
          <w:tcPr>
            <w:tcW w:w="694" w:type="pct"/>
            <w:shd w:val="clear" w:color="auto" w:fill="auto"/>
            <w:vAlign w:val="center"/>
          </w:tcPr>
          <w:p w14:paraId="65A3A7A2"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0~50</w:t>
            </w:r>
          </w:p>
        </w:tc>
        <w:tc>
          <w:tcPr>
            <w:tcW w:w="650" w:type="pct"/>
            <w:shd w:val="clear" w:color="auto" w:fill="auto"/>
            <w:vAlign w:val="center"/>
          </w:tcPr>
          <w:p w14:paraId="5262DEDF"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360CF5DE"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p>
        </w:tc>
      </w:tr>
      <w:tr w:rsidR="00697429" w:rsidRPr="00092862" w14:paraId="0B85951A" w14:textId="77777777" w:rsidTr="00F31BAF">
        <w:trPr>
          <w:trHeight w:val="287"/>
        </w:trPr>
        <w:tc>
          <w:tcPr>
            <w:tcW w:w="509" w:type="pct"/>
            <w:shd w:val="clear" w:color="auto" w:fill="auto"/>
            <w:vAlign w:val="center"/>
          </w:tcPr>
          <w:p w14:paraId="1C70B1F8"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一开</w:t>
            </w:r>
          </w:p>
        </w:tc>
        <w:tc>
          <w:tcPr>
            <w:tcW w:w="724" w:type="pct"/>
            <w:shd w:val="clear" w:color="auto" w:fill="auto"/>
            <w:vAlign w:val="center"/>
          </w:tcPr>
          <w:p w14:paraId="2A682FAB"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444.5</w:t>
            </w:r>
          </w:p>
        </w:tc>
        <w:tc>
          <w:tcPr>
            <w:tcW w:w="679" w:type="pct"/>
            <w:shd w:val="clear" w:color="auto" w:fill="auto"/>
            <w:vAlign w:val="center"/>
          </w:tcPr>
          <w:p w14:paraId="79F96BEA"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1002</w:t>
            </w:r>
          </w:p>
        </w:tc>
        <w:tc>
          <w:tcPr>
            <w:tcW w:w="783" w:type="pct"/>
            <w:shd w:val="clear" w:color="auto" w:fill="auto"/>
            <w:vAlign w:val="center"/>
          </w:tcPr>
          <w:p w14:paraId="70ADE412"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346.1</w:t>
            </w:r>
          </w:p>
        </w:tc>
        <w:tc>
          <w:tcPr>
            <w:tcW w:w="694" w:type="pct"/>
            <w:shd w:val="clear" w:color="auto" w:fill="auto"/>
            <w:vAlign w:val="center"/>
          </w:tcPr>
          <w:p w14:paraId="5A136E50"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0~1000</w:t>
            </w:r>
          </w:p>
        </w:tc>
        <w:tc>
          <w:tcPr>
            <w:tcW w:w="650" w:type="pct"/>
            <w:shd w:val="clear" w:color="auto" w:fill="auto"/>
            <w:vAlign w:val="center"/>
          </w:tcPr>
          <w:p w14:paraId="367BE2EE"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49BDA591"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气体钻</w:t>
            </w:r>
          </w:p>
        </w:tc>
      </w:tr>
      <w:tr w:rsidR="00697429" w:rsidRPr="00092862" w14:paraId="6496A62B" w14:textId="77777777" w:rsidTr="00F31BAF">
        <w:trPr>
          <w:trHeight w:val="287"/>
        </w:trPr>
        <w:tc>
          <w:tcPr>
            <w:tcW w:w="509" w:type="pct"/>
            <w:shd w:val="clear" w:color="auto" w:fill="auto"/>
            <w:vAlign w:val="center"/>
          </w:tcPr>
          <w:p w14:paraId="1EB5CFBA"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二开</w:t>
            </w:r>
          </w:p>
        </w:tc>
        <w:tc>
          <w:tcPr>
            <w:tcW w:w="724" w:type="pct"/>
            <w:shd w:val="clear" w:color="auto" w:fill="auto"/>
            <w:vAlign w:val="center"/>
          </w:tcPr>
          <w:p w14:paraId="3FEEDEC6"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320</w:t>
            </w:r>
          </w:p>
        </w:tc>
        <w:tc>
          <w:tcPr>
            <w:tcW w:w="679" w:type="pct"/>
            <w:shd w:val="clear" w:color="auto" w:fill="auto"/>
            <w:vAlign w:val="center"/>
          </w:tcPr>
          <w:p w14:paraId="49E5215A" w14:textId="488E6202" w:rsidR="00AE4A7F" w:rsidRPr="00092862" w:rsidRDefault="00507764"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4582</w:t>
            </w:r>
          </w:p>
        </w:tc>
        <w:tc>
          <w:tcPr>
            <w:tcW w:w="783" w:type="pct"/>
            <w:shd w:val="clear" w:color="auto" w:fill="auto"/>
            <w:vAlign w:val="center"/>
          </w:tcPr>
          <w:p w14:paraId="763D6836"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273.1</w:t>
            </w:r>
          </w:p>
        </w:tc>
        <w:tc>
          <w:tcPr>
            <w:tcW w:w="694" w:type="pct"/>
            <w:shd w:val="clear" w:color="auto" w:fill="auto"/>
            <w:vAlign w:val="center"/>
          </w:tcPr>
          <w:p w14:paraId="2CD3DCC0"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0~4570</w:t>
            </w:r>
          </w:p>
        </w:tc>
        <w:tc>
          <w:tcPr>
            <w:tcW w:w="650" w:type="pct"/>
            <w:shd w:val="clear" w:color="auto" w:fill="auto"/>
            <w:vAlign w:val="center"/>
          </w:tcPr>
          <w:p w14:paraId="56C87269"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62DA1CFB"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空气（氮气）</w:t>
            </w:r>
            <w:r w:rsidRPr="00092862">
              <w:rPr>
                <w:rFonts w:ascii="Times New Roman" w:eastAsia="宋体" w:hAnsi="Times New Roman" w:cs="Times New Roman"/>
                <w:color w:val="000000" w:themeColor="text1"/>
              </w:rPr>
              <w:t xml:space="preserve"> </w:t>
            </w:r>
            <w:r w:rsidRPr="00092862">
              <w:rPr>
                <w:rFonts w:ascii="Times New Roman" w:eastAsia="宋体" w:hAnsi="Times New Roman" w:cs="Times New Roman"/>
                <w:color w:val="000000" w:themeColor="text1"/>
              </w:rPr>
              <w:t>钻井或常规钻</w:t>
            </w:r>
            <w:r w:rsidRPr="00092862">
              <w:rPr>
                <w:rFonts w:ascii="Times New Roman" w:eastAsia="宋体" w:hAnsi="Times New Roman" w:cs="Times New Roman"/>
                <w:color w:val="000000" w:themeColor="text1"/>
              </w:rPr>
              <w:t xml:space="preserve"> </w:t>
            </w:r>
            <w:r w:rsidRPr="00092862">
              <w:rPr>
                <w:rFonts w:ascii="Times New Roman" w:eastAsia="宋体" w:hAnsi="Times New Roman" w:cs="Times New Roman"/>
                <w:color w:val="000000" w:themeColor="text1"/>
              </w:rPr>
              <w:t>井</w:t>
            </w:r>
          </w:p>
        </w:tc>
      </w:tr>
      <w:tr w:rsidR="00697429" w:rsidRPr="00092862" w14:paraId="238A54FE" w14:textId="77777777" w:rsidTr="00F31BAF">
        <w:trPr>
          <w:trHeight w:val="287"/>
        </w:trPr>
        <w:tc>
          <w:tcPr>
            <w:tcW w:w="509" w:type="pct"/>
            <w:shd w:val="clear" w:color="auto" w:fill="auto"/>
            <w:vAlign w:val="center"/>
          </w:tcPr>
          <w:p w14:paraId="0271A96D"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三开</w:t>
            </w:r>
          </w:p>
        </w:tc>
        <w:tc>
          <w:tcPr>
            <w:tcW w:w="724" w:type="pct"/>
            <w:shd w:val="clear" w:color="auto" w:fill="auto"/>
            <w:vAlign w:val="center"/>
          </w:tcPr>
          <w:p w14:paraId="5D7D59FE"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241.3</w:t>
            </w:r>
          </w:p>
        </w:tc>
        <w:tc>
          <w:tcPr>
            <w:tcW w:w="679" w:type="pct"/>
            <w:shd w:val="clear" w:color="auto" w:fill="auto"/>
            <w:vAlign w:val="center"/>
          </w:tcPr>
          <w:p w14:paraId="2CF2433D" w14:textId="19E52A0A" w:rsidR="00AE4A7F" w:rsidRPr="00092862" w:rsidRDefault="007A02DD" w:rsidP="00F31BAF">
            <w:pPr>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p>
        </w:tc>
        <w:tc>
          <w:tcPr>
            <w:tcW w:w="783" w:type="pct"/>
            <w:shd w:val="clear" w:color="auto" w:fill="auto"/>
            <w:vAlign w:val="center"/>
          </w:tcPr>
          <w:p w14:paraId="650A3D18"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177.8+193.7</w:t>
            </w:r>
          </w:p>
        </w:tc>
        <w:tc>
          <w:tcPr>
            <w:tcW w:w="694" w:type="pct"/>
            <w:shd w:val="clear" w:color="auto" w:fill="auto"/>
            <w:vAlign w:val="center"/>
          </w:tcPr>
          <w:p w14:paraId="54D6BBED" w14:textId="0D580A50"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r w:rsidR="00507764" w:rsidRPr="00092862">
              <w:rPr>
                <w:rFonts w:ascii="Times New Roman" w:eastAsia="宋体" w:hAnsi="Times New Roman" w:cs="Times New Roman"/>
                <w:color w:val="000000" w:themeColor="text1"/>
                <w:szCs w:val="21"/>
              </w:rPr>
              <w:t>7039</w:t>
            </w:r>
          </w:p>
        </w:tc>
        <w:tc>
          <w:tcPr>
            <w:tcW w:w="650" w:type="pct"/>
            <w:shd w:val="clear" w:color="auto" w:fill="auto"/>
            <w:vAlign w:val="center"/>
          </w:tcPr>
          <w:p w14:paraId="4CF456C0"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地面</w:t>
            </w:r>
          </w:p>
        </w:tc>
        <w:tc>
          <w:tcPr>
            <w:tcW w:w="961" w:type="pct"/>
            <w:shd w:val="clear" w:color="auto" w:fill="auto"/>
            <w:vAlign w:val="center"/>
          </w:tcPr>
          <w:p w14:paraId="54B0F3EB" w14:textId="77777777" w:rsidR="00AE4A7F" w:rsidRPr="00092862" w:rsidRDefault="00AE4A7F" w:rsidP="00F31BA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常规钻井</w:t>
            </w:r>
          </w:p>
        </w:tc>
      </w:tr>
    </w:tbl>
    <w:p w14:paraId="109B5725" w14:textId="30C293DD" w:rsidR="00997F9A" w:rsidRPr="00092862" w:rsidRDefault="00997F9A" w:rsidP="00997F9A">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3.2.2.6</w:t>
      </w:r>
      <w:r w:rsidRPr="00092862">
        <w:rPr>
          <w:rFonts w:ascii="Times New Roman" w:eastAsia="黑体" w:hAnsi="Times New Roman" w:cs="Times New Roman"/>
          <w:color w:val="000000" w:themeColor="text1"/>
          <w:sz w:val="24"/>
          <w:szCs w:val="24"/>
        </w:rPr>
        <w:t>地层产量预测</w:t>
      </w:r>
    </w:p>
    <w:p w14:paraId="38871C4C" w14:textId="646D29C6" w:rsidR="00267ABB"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根据周边其他已完钻井情况，</w:t>
      </w:r>
      <w:r w:rsidR="00507764" w:rsidRPr="00092862">
        <w:rPr>
          <w:rFonts w:ascii="Times New Roman" w:eastAsia="宋体" w:hAnsi="Times New Roman" w:cs="Times New Roman"/>
          <w:color w:val="000000" w:themeColor="text1"/>
          <w:sz w:val="24"/>
          <w:szCs w:val="24"/>
        </w:rPr>
        <w:t>本项目</w:t>
      </w:r>
      <w:r w:rsidRPr="00092862">
        <w:rPr>
          <w:rFonts w:ascii="Times New Roman" w:eastAsia="宋体" w:hAnsi="Times New Roman" w:cs="Times New Roman"/>
          <w:color w:val="000000" w:themeColor="text1"/>
          <w:sz w:val="24"/>
          <w:szCs w:val="24"/>
        </w:rPr>
        <w:t>预计日产气均为</w:t>
      </w:r>
      <w:r w:rsidRPr="00092862">
        <w:rPr>
          <w:rFonts w:ascii="Times New Roman" w:eastAsia="宋体" w:hAnsi="Times New Roman" w:cs="Times New Roman"/>
          <w:color w:val="000000" w:themeColor="text1"/>
          <w:sz w:val="24"/>
          <w:szCs w:val="24"/>
        </w:rPr>
        <w:t>20×10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p>
    <w:p w14:paraId="6E1A66BB" w14:textId="08867994"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）井口主要参数（预测）</w:t>
      </w:r>
    </w:p>
    <w:p w14:paraId="1A49F003" w14:textId="48740B25"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00520439" w:rsidRPr="00092862">
        <w:rPr>
          <w:rFonts w:ascii="Times New Roman" w:eastAsia="宋体" w:hAnsi="Times New Roman" w:cs="Times New Roman"/>
          <w:color w:val="000000" w:themeColor="text1"/>
          <w:sz w:val="24"/>
          <w:szCs w:val="24"/>
        </w:rPr>
        <w:t>老君</w:t>
      </w:r>
      <w:r w:rsidR="004D07D0" w:rsidRPr="00092862">
        <w:rPr>
          <w:rFonts w:ascii="Times New Roman" w:eastAsia="宋体" w:hAnsi="Times New Roman" w:cs="Times New Roman"/>
          <w:color w:val="000000" w:themeColor="text1"/>
          <w:sz w:val="24"/>
          <w:szCs w:val="24"/>
        </w:rPr>
        <w:t>701-</w:t>
      </w:r>
      <w:r w:rsidR="00507764" w:rsidRPr="00092862">
        <w:rPr>
          <w:rFonts w:ascii="Times New Roman" w:eastAsia="宋体" w:hAnsi="Times New Roman" w:cs="Times New Roman"/>
          <w:color w:val="000000" w:themeColor="text1"/>
          <w:sz w:val="24"/>
          <w:szCs w:val="24"/>
        </w:rPr>
        <w:t>4H</w:t>
      </w:r>
    </w:p>
    <w:p w14:paraId="3BE806F5" w14:textId="2426D8CD"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关井压力：</w:t>
      </w:r>
      <w:r w:rsidRPr="00092862">
        <w:rPr>
          <w:rFonts w:ascii="Times New Roman" w:eastAsia="宋体" w:hAnsi="Times New Roman" w:cs="Times New Roman"/>
          <w:color w:val="000000" w:themeColor="text1"/>
          <w:sz w:val="24"/>
          <w:szCs w:val="24"/>
        </w:rPr>
        <w:t>26.8Mpa</w:t>
      </w:r>
    </w:p>
    <w:p w14:paraId="09E68E28" w14:textId="77777777"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井口流动压力：</w:t>
      </w:r>
      <w:r w:rsidRPr="00092862">
        <w:rPr>
          <w:rFonts w:ascii="Times New Roman" w:eastAsia="宋体" w:hAnsi="Times New Roman" w:cs="Times New Roman"/>
          <w:color w:val="000000" w:themeColor="text1"/>
          <w:sz w:val="24"/>
          <w:szCs w:val="24"/>
        </w:rPr>
        <w:t>21.4MPa</w:t>
      </w:r>
    </w:p>
    <w:p w14:paraId="777EF40F" w14:textId="77777777"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井口流温：</w:t>
      </w:r>
      <w:r w:rsidRPr="00092862">
        <w:rPr>
          <w:rFonts w:ascii="Times New Roman" w:eastAsia="宋体" w:hAnsi="Times New Roman" w:cs="Times New Roman"/>
          <w:color w:val="000000" w:themeColor="text1"/>
          <w:sz w:val="24"/>
          <w:szCs w:val="24"/>
        </w:rPr>
        <w:t>34℃</w:t>
      </w:r>
    </w:p>
    <w:p w14:paraId="3031C32A" w14:textId="4B3776DC"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单井产量：</w:t>
      </w:r>
      <w:r w:rsidRPr="00092862">
        <w:rPr>
          <w:rFonts w:ascii="Times New Roman" w:eastAsia="宋体" w:hAnsi="Times New Roman" w:cs="Times New Roman"/>
          <w:color w:val="000000" w:themeColor="text1"/>
          <w:sz w:val="24"/>
          <w:szCs w:val="24"/>
        </w:rPr>
        <w:t>20×10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Nm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p>
    <w:p w14:paraId="565321DF" w14:textId="79FF6B9A"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00520439" w:rsidRPr="00092862">
        <w:rPr>
          <w:rFonts w:ascii="Times New Roman" w:eastAsia="宋体" w:hAnsi="Times New Roman" w:cs="Times New Roman"/>
          <w:color w:val="000000" w:themeColor="text1"/>
          <w:sz w:val="24"/>
          <w:szCs w:val="24"/>
        </w:rPr>
        <w:t>老君</w:t>
      </w:r>
      <w:r w:rsidR="004D07D0" w:rsidRPr="00092862">
        <w:rPr>
          <w:rFonts w:ascii="Times New Roman" w:eastAsia="宋体" w:hAnsi="Times New Roman" w:cs="Times New Roman"/>
          <w:color w:val="000000" w:themeColor="text1"/>
          <w:sz w:val="24"/>
          <w:szCs w:val="24"/>
        </w:rPr>
        <w:t>701-</w:t>
      </w:r>
      <w:r w:rsidR="00507764" w:rsidRPr="00092862">
        <w:rPr>
          <w:rFonts w:ascii="Times New Roman" w:eastAsia="宋体" w:hAnsi="Times New Roman" w:cs="Times New Roman"/>
          <w:color w:val="000000" w:themeColor="text1"/>
          <w:sz w:val="24"/>
          <w:szCs w:val="24"/>
        </w:rPr>
        <w:t>5H</w:t>
      </w:r>
    </w:p>
    <w:p w14:paraId="7E5B2012" w14:textId="77777777"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关井压力：</w:t>
      </w:r>
      <w:r w:rsidRPr="00092862">
        <w:rPr>
          <w:rFonts w:ascii="Times New Roman" w:eastAsia="宋体" w:hAnsi="Times New Roman" w:cs="Times New Roman"/>
          <w:color w:val="000000" w:themeColor="text1"/>
          <w:sz w:val="24"/>
          <w:szCs w:val="24"/>
        </w:rPr>
        <w:t>17.42MPa</w:t>
      </w:r>
    </w:p>
    <w:p w14:paraId="08EA5F8F" w14:textId="77777777"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井口流动压力：</w:t>
      </w:r>
      <w:r w:rsidRPr="00092862">
        <w:rPr>
          <w:rFonts w:ascii="Times New Roman" w:eastAsia="宋体" w:hAnsi="Times New Roman" w:cs="Times New Roman"/>
          <w:color w:val="000000" w:themeColor="text1"/>
          <w:sz w:val="24"/>
          <w:szCs w:val="24"/>
        </w:rPr>
        <w:t>12.57MPa</w:t>
      </w:r>
    </w:p>
    <w:p w14:paraId="22609EBC" w14:textId="77777777"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井口流温：</w:t>
      </w:r>
      <w:r w:rsidRPr="00092862">
        <w:rPr>
          <w:rFonts w:ascii="Times New Roman" w:eastAsia="宋体" w:hAnsi="Times New Roman" w:cs="Times New Roman"/>
          <w:color w:val="000000" w:themeColor="text1"/>
          <w:sz w:val="24"/>
          <w:szCs w:val="24"/>
        </w:rPr>
        <w:t>36℃</w:t>
      </w:r>
    </w:p>
    <w:p w14:paraId="1DAAD389" w14:textId="29B4CA65" w:rsidR="009E78EA" w:rsidRPr="00092862" w:rsidRDefault="009E78EA" w:rsidP="009E78EA">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单井产量：</w:t>
      </w:r>
      <w:r w:rsidRPr="00092862">
        <w:rPr>
          <w:rFonts w:ascii="Times New Roman" w:eastAsia="宋体" w:hAnsi="Times New Roman" w:cs="Times New Roman"/>
          <w:color w:val="000000" w:themeColor="text1"/>
          <w:sz w:val="24"/>
          <w:szCs w:val="24"/>
        </w:rPr>
        <w:t>20×10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Nm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p>
    <w:p w14:paraId="4FE42867" w14:textId="4D1D1953" w:rsidR="00852062" w:rsidRPr="00092862" w:rsidRDefault="00653910" w:rsidP="00AB3A5C">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）原料气组成及物性</w:t>
      </w:r>
    </w:p>
    <w:p w14:paraId="37484972" w14:textId="2E6A5E51" w:rsidR="00653910" w:rsidRPr="00092862" w:rsidRDefault="00653910" w:rsidP="00E02EE8">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根据普光分公司天然气技术管理部提供的相关资料，参考</w:t>
      </w:r>
      <w:r w:rsidR="00E02EE8" w:rsidRPr="00092862">
        <w:rPr>
          <w:rFonts w:ascii="Times New Roman" w:eastAsia="宋体" w:hAnsi="Times New Roman" w:cs="Times New Roman"/>
          <w:color w:val="000000" w:themeColor="text1"/>
          <w:sz w:val="24"/>
          <w:szCs w:val="24"/>
        </w:rPr>
        <w:t>周边</w:t>
      </w:r>
      <w:r w:rsidRPr="00092862">
        <w:rPr>
          <w:rFonts w:ascii="Times New Roman" w:eastAsia="宋体" w:hAnsi="Times New Roman" w:cs="Times New Roman"/>
          <w:color w:val="000000" w:themeColor="text1"/>
          <w:sz w:val="24"/>
          <w:szCs w:val="24"/>
        </w:rPr>
        <w:t>已建</w:t>
      </w:r>
      <w:r w:rsidR="00E02EE8" w:rsidRPr="00092862">
        <w:rPr>
          <w:rFonts w:ascii="Times New Roman" w:eastAsia="宋体" w:hAnsi="Times New Roman" w:cs="Times New Roman"/>
          <w:color w:val="000000" w:themeColor="text1"/>
          <w:sz w:val="24"/>
          <w:szCs w:val="24"/>
        </w:rPr>
        <w:t>的目的层为</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等井的气质组成及物性，</w:t>
      </w:r>
      <w:r w:rsidR="00850D78" w:rsidRPr="00092862">
        <w:rPr>
          <w:rFonts w:ascii="Times New Roman" w:eastAsia="宋体" w:hAnsi="Times New Roman" w:cs="Times New Roman"/>
          <w:color w:val="000000" w:themeColor="text1"/>
          <w:sz w:val="24"/>
          <w:szCs w:val="24"/>
        </w:rPr>
        <w:t>本项目所产</w:t>
      </w:r>
      <w:r w:rsidR="00E02EE8" w:rsidRPr="00092862">
        <w:rPr>
          <w:rFonts w:ascii="Times New Roman" w:eastAsia="宋体" w:hAnsi="Times New Roman" w:cs="Times New Roman"/>
          <w:color w:val="000000" w:themeColor="text1"/>
          <w:sz w:val="24"/>
          <w:szCs w:val="24"/>
        </w:rPr>
        <w:t>的酸性天然气组分预测见下表</w:t>
      </w:r>
      <w:r w:rsidRPr="00092862">
        <w:rPr>
          <w:rFonts w:ascii="Times New Roman" w:eastAsia="宋体" w:hAnsi="Times New Roman" w:cs="Times New Roman"/>
          <w:color w:val="000000" w:themeColor="text1"/>
          <w:sz w:val="24"/>
          <w:szCs w:val="24"/>
        </w:rPr>
        <w:t>：</w:t>
      </w:r>
    </w:p>
    <w:p w14:paraId="29AC4F1B" w14:textId="22D4141F" w:rsidR="00653910" w:rsidRPr="00092862" w:rsidRDefault="00653910"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3.2-</w:t>
      </w:r>
      <w:r w:rsidR="0010287F" w:rsidRPr="00092862">
        <w:rPr>
          <w:rFonts w:ascii="Times New Roman" w:eastAsia="黑体" w:hAnsi="Times New Roman"/>
          <w:color w:val="000000" w:themeColor="text1"/>
          <w:sz w:val="21"/>
          <w:szCs w:val="21"/>
          <w:lang w:eastAsia="zh-CN"/>
        </w:rPr>
        <w:t>11</w:t>
      </w:r>
      <w:r w:rsidRPr="00092862">
        <w:rPr>
          <w:rFonts w:ascii="Times New Roman" w:eastAsia="黑体" w:hAnsi="Times New Roman"/>
          <w:color w:val="000000" w:themeColor="text1"/>
          <w:sz w:val="21"/>
          <w:szCs w:val="21"/>
          <w:lang w:eastAsia="zh-CN"/>
        </w:rPr>
        <w:t xml:space="preserve">  </w:t>
      </w:r>
      <w:r w:rsidR="003C3238" w:rsidRPr="00092862">
        <w:rPr>
          <w:rFonts w:ascii="Times New Roman" w:eastAsia="黑体" w:hAnsi="Times New Roman"/>
          <w:color w:val="000000" w:themeColor="text1"/>
          <w:sz w:val="21"/>
          <w:szCs w:val="21"/>
          <w:lang w:eastAsia="zh-CN"/>
        </w:rPr>
        <w:t>老君</w:t>
      </w:r>
      <w:r w:rsidR="003C3238" w:rsidRPr="00092862">
        <w:rPr>
          <w:rFonts w:ascii="Times New Roman" w:eastAsia="黑体" w:hAnsi="Times New Roman"/>
          <w:color w:val="000000" w:themeColor="text1"/>
          <w:sz w:val="21"/>
          <w:szCs w:val="21"/>
          <w:lang w:eastAsia="zh-CN"/>
        </w:rPr>
        <w:t>701</w:t>
      </w:r>
      <w:r w:rsidR="00E02EE8" w:rsidRPr="00092862">
        <w:rPr>
          <w:rFonts w:ascii="Times New Roman" w:eastAsia="黑体" w:hAnsi="Times New Roman"/>
          <w:color w:val="000000" w:themeColor="text1"/>
          <w:sz w:val="21"/>
          <w:szCs w:val="21"/>
          <w:lang w:eastAsia="zh-CN"/>
        </w:rPr>
        <w:t>集气站</w:t>
      </w:r>
      <w:r w:rsidR="005C17E9" w:rsidRPr="00092862">
        <w:rPr>
          <w:rFonts w:ascii="Times New Roman" w:eastAsia="黑体" w:hAnsi="Times New Roman"/>
          <w:color w:val="000000" w:themeColor="text1"/>
          <w:sz w:val="21"/>
          <w:szCs w:val="21"/>
          <w:lang w:eastAsia="zh-CN"/>
        </w:rPr>
        <w:t>井</w:t>
      </w:r>
      <w:r w:rsidR="00E02EE8" w:rsidRPr="00092862">
        <w:rPr>
          <w:rFonts w:ascii="Times New Roman" w:eastAsia="黑体" w:hAnsi="Times New Roman"/>
          <w:color w:val="000000" w:themeColor="text1"/>
          <w:sz w:val="21"/>
          <w:szCs w:val="21"/>
          <w:lang w:eastAsia="zh-CN"/>
        </w:rPr>
        <w:t>的酸性天然气组分预测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5"/>
        <w:gridCol w:w="969"/>
        <w:gridCol w:w="1144"/>
        <w:gridCol w:w="1318"/>
        <w:gridCol w:w="1144"/>
        <w:gridCol w:w="1140"/>
      </w:tblGrid>
      <w:tr w:rsidR="00697429" w:rsidRPr="00092862" w14:paraId="454CDEA5" w14:textId="77777777" w:rsidTr="00850D78">
        <w:trPr>
          <w:jc w:val="center"/>
        </w:trPr>
        <w:tc>
          <w:tcPr>
            <w:tcW w:w="1557" w:type="pct"/>
            <w:vAlign w:val="center"/>
          </w:tcPr>
          <w:p w14:paraId="6F554549"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组分</w:t>
            </w:r>
          </w:p>
        </w:tc>
        <w:tc>
          <w:tcPr>
            <w:tcW w:w="584" w:type="pct"/>
            <w:vAlign w:val="center"/>
          </w:tcPr>
          <w:p w14:paraId="1382B950"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CO</w:t>
            </w:r>
            <w:r w:rsidRPr="00092862">
              <w:rPr>
                <w:rFonts w:ascii="Times New Roman" w:eastAsia="宋体" w:hAnsi="Times New Roman" w:cs="Times New Roman"/>
                <w:color w:val="000000" w:themeColor="text1"/>
                <w:szCs w:val="21"/>
                <w:vertAlign w:val="subscript"/>
              </w:rPr>
              <w:t>2</w:t>
            </w:r>
          </w:p>
        </w:tc>
        <w:tc>
          <w:tcPr>
            <w:tcW w:w="689" w:type="pct"/>
            <w:vAlign w:val="center"/>
          </w:tcPr>
          <w:p w14:paraId="190BFF9E"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w:t>
            </w:r>
            <w:r w:rsidRPr="00092862">
              <w:rPr>
                <w:rFonts w:ascii="Times New Roman" w:eastAsia="宋体" w:hAnsi="Times New Roman" w:cs="Times New Roman"/>
                <w:color w:val="000000" w:themeColor="text1"/>
                <w:szCs w:val="21"/>
                <w:vertAlign w:val="subscript"/>
              </w:rPr>
              <w:t>2</w:t>
            </w:r>
            <w:r w:rsidRPr="00092862">
              <w:rPr>
                <w:rFonts w:ascii="Times New Roman" w:eastAsia="宋体" w:hAnsi="Times New Roman" w:cs="Times New Roman"/>
                <w:color w:val="000000" w:themeColor="text1"/>
                <w:szCs w:val="21"/>
              </w:rPr>
              <w:t>S</w:t>
            </w:r>
          </w:p>
        </w:tc>
        <w:tc>
          <w:tcPr>
            <w:tcW w:w="794" w:type="pct"/>
            <w:vAlign w:val="center"/>
          </w:tcPr>
          <w:p w14:paraId="7C5A03CC"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CH</w:t>
            </w:r>
            <w:r w:rsidRPr="00092862">
              <w:rPr>
                <w:rFonts w:ascii="Times New Roman" w:eastAsia="宋体" w:hAnsi="Times New Roman" w:cs="Times New Roman"/>
                <w:color w:val="000000" w:themeColor="text1"/>
                <w:szCs w:val="21"/>
                <w:vertAlign w:val="subscript"/>
              </w:rPr>
              <w:t>4</w:t>
            </w:r>
          </w:p>
        </w:tc>
        <w:tc>
          <w:tcPr>
            <w:tcW w:w="689" w:type="pct"/>
            <w:vAlign w:val="center"/>
          </w:tcPr>
          <w:p w14:paraId="24509A2E"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w:t>
            </w:r>
            <w:r w:rsidRPr="00092862">
              <w:rPr>
                <w:rFonts w:ascii="Times New Roman" w:eastAsia="宋体" w:hAnsi="Times New Roman" w:cs="Times New Roman"/>
                <w:color w:val="000000" w:themeColor="text1"/>
                <w:szCs w:val="21"/>
                <w:vertAlign w:val="subscript"/>
              </w:rPr>
              <w:t>2</w:t>
            </w:r>
            <w:r w:rsidRPr="00092862">
              <w:rPr>
                <w:rFonts w:ascii="Times New Roman" w:eastAsia="宋体" w:hAnsi="Times New Roman" w:cs="Times New Roman"/>
                <w:color w:val="000000" w:themeColor="text1"/>
                <w:szCs w:val="21"/>
              </w:rPr>
              <w:t>H</w:t>
            </w:r>
            <w:r w:rsidRPr="00092862">
              <w:rPr>
                <w:rFonts w:ascii="Times New Roman" w:eastAsia="宋体" w:hAnsi="Times New Roman" w:cs="Times New Roman"/>
                <w:color w:val="000000" w:themeColor="text1"/>
                <w:szCs w:val="21"/>
                <w:vertAlign w:val="subscript"/>
              </w:rPr>
              <w:t>6</w:t>
            </w:r>
          </w:p>
        </w:tc>
        <w:tc>
          <w:tcPr>
            <w:tcW w:w="689" w:type="pct"/>
            <w:vAlign w:val="center"/>
          </w:tcPr>
          <w:p w14:paraId="43378DEF"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w:t>
            </w:r>
            <w:r w:rsidRPr="00092862">
              <w:rPr>
                <w:rFonts w:ascii="Times New Roman" w:eastAsia="宋体" w:hAnsi="Times New Roman" w:cs="Times New Roman"/>
                <w:color w:val="000000" w:themeColor="text1"/>
                <w:szCs w:val="21"/>
                <w:vertAlign w:val="subscript"/>
              </w:rPr>
              <w:t>3</w:t>
            </w:r>
            <w:r w:rsidRPr="00092862">
              <w:rPr>
                <w:rFonts w:ascii="Times New Roman" w:eastAsia="宋体" w:hAnsi="Times New Roman" w:cs="Times New Roman"/>
                <w:color w:val="000000" w:themeColor="text1"/>
                <w:szCs w:val="21"/>
              </w:rPr>
              <w:t>H</w:t>
            </w:r>
            <w:r w:rsidRPr="00092862">
              <w:rPr>
                <w:rFonts w:ascii="Times New Roman" w:eastAsia="宋体" w:hAnsi="Times New Roman" w:cs="Times New Roman"/>
                <w:color w:val="000000" w:themeColor="text1"/>
                <w:szCs w:val="21"/>
                <w:vertAlign w:val="subscript"/>
              </w:rPr>
              <w:t>8</w:t>
            </w:r>
          </w:p>
        </w:tc>
      </w:tr>
      <w:tr w:rsidR="00697429" w:rsidRPr="00092862" w14:paraId="1A3BBE88" w14:textId="77777777" w:rsidTr="00850D78">
        <w:trPr>
          <w:jc w:val="center"/>
        </w:trPr>
        <w:tc>
          <w:tcPr>
            <w:tcW w:w="1557" w:type="pct"/>
            <w:vAlign w:val="center"/>
          </w:tcPr>
          <w:p w14:paraId="31062B19"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含量（</w:t>
            </w:r>
            <w:r w:rsidRPr="00092862">
              <w:rPr>
                <w:rFonts w:ascii="Times New Roman" w:eastAsia="宋体" w:hAnsi="Times New Roman" w:cs="Times New Roman"/>
                <w:color w:val="000000" w:themeColor="text1"/>
                <w:szCs w:val="21"/>
              </w:rPr>
              <w:t>mol%</w:t>
            </w:r>
            <w:r w:rsidRPr="00092862">
              <w:rPr>
                <w:rFonts w:ascii="Times New Roman" w:eastAsia="宋体" w:hAnsi="Times New Roman" w:cs="Times New Roman"/>
                <w:color w:val="000000" w:themeColor="text1"/>
                <w:szCs w:val="21"/>
              </w:rPr>
              <w:t>）</w:t>
            </w:r>
          </w:p>
        </w:tc>
        <w:tc>
          <w:tcPr>
            <w:tcW w:w="584" w:type="pct"/>
            <w:vAlign w:val="center"/>
          </w:tcPr>
          <w:p w14:paraId="71840EA8" w14:textId="355C3A79"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8.73</w:t>
            </w:r>
          </w:p>
        </w:tc>
        <w:tc>
          <w:tcPr>
            <w:tcW w:w="689" w:type="pct"/>
            <w:vAlign w:val="center"/>
          </w:tcPr>
          <w:p w14:paraId="72333080" w14:textId="5D78A43D"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14.97</w:t>
            </w:r>
          </w:p>
        </w:tc>
        <w:tc>
          <w:tcPr>
            <w:tcW w:w="794" w:type="pct"/>
            <w:vAlign w:val="center"/>
          </w:tcPr>
          <w:p w14:paraId="30D886E0" w14:textId="72FA0C1E"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75.609</w:t>
            </w:r>
          </w:p>
        </w:tc>
        <w:tc>
          <w:tcPr>
            <w:tcW w:w="689" w:type="pct"/>
            <w:vAlign w:val="center"/>
          </w:tcPr>
          <w:p w14:paraId="7DBB1A42" w14:textId="31F9CA2E"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0.013</w:t>
            </w:r>
          </w:p>
        </w:tc>
        <w:tc>
          <w:tcPr>
            <w:tcW w:w="689" w:type="pct"/>
            <w:vAlign w:val="center"/>
          </w:tcPr>
          <w:p w14:paraId="0DEB62D8" w14:textId="77777777" w:rsidR="00850D78" w:rsidRPr="00092862" w:rsidRDefault="00850D78" w:rsidP="004B5DBF">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0.000</w:t>
            </w:r>
          </w:p>
        </w:tc>
      </w:tr>
    </w:tbl>
    <w:p w14:paraId="21564776" w14:textId="5E4B790E"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）燃料气组成及物性</w:t>
      </w:r>
    </w:p>
    <w:p w14:paraId="4D812699" w14:textId="41F64B5E" w:rsidR="00653910" w:rsidRPr="00092862" w:rsidRDefault="00E02EE8" w:rsidP="00E02EE8">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燃料气依托</w:t>
      </w:r>
      <w:r w:rsidR="0064169A" w:rsidRPr="00092862">
        <w:rPr>
          <w:rFonts w:ascii="Times New Roman" w:eastAsia="宋体" w:hAnsi="Times New Roman" w:cs="Times New Roman"/>
          <w:color w:val="000000" w:themeColor="text1"/>
          <w:sz w:val="24"/>
          <w:szCs w:val="24"/>
        </w:rPr>
        <w:t>周边官网</w:t>
      </w:r>
      <w:r w:rsidRPr="00092862">
        <w:rPr>
          <w:rFonts w:ascii="Times New Roman" w:eastAsia="宋体" w:hAnsi="Times New Roman" w:cs="Times New Roman"/>
          <w:color w:val="000000" w:themeColor="text1"/>
          <w:sz w:val="24"/>
          <w:szCs w:val="24"/>
        </w:rPr>
        <w:t>返输燃料气，来自净化厂，燃料气管道设计压力</w:t>
      </w:r>
      <w:r w:rsidRPr="00092862">
        <w:rPr>
          <w:rFonts w:ascii="Times New Roman" w:eastAsia="宋体" w:hAnsi="Times New Roman" w:cs="Times New Roman"/>
          <w:color w:val="000000" w:themeColor="text1"/>
          <w:sz w:val="24"/>
          <w:szCs w:val="24"/>
        </w:rPr>
        <w:t>4.0MPa</w:t>
      </w:r>
      <w:r w:rsidRPr="00092862">
        <w:rPr>
          <w:rFonts w:ascii="Times New Roman" w:eastAsia="宋体" w:hAnsi="Times New Roman" w:cs="Times New Roman"/>
          <w:color w:val="000000" w:themeColor="text1"/>
          <w:sz w:val="24"/>
          <w:szCs w:val="24"/>
        </w:rPr>
        <w:t>，运行压力</w:t>
      </w:r>
      <w:r w:rsidRPr="00092862">
        <w:rPr>
          <w:rFonts w:ascii="Times New Roman" w:eastAsia="宋体" w:hAnsi="Times New Roman" w:cs="Times New Roman"/>
          <w:color w:val="000000" w:themeColor="text1"/>
          <w:sz w:val="24"/>
          <w:szCs w:val="24"/>
        </w:rPr>
        <w:t>2.5~3.5MPa</w:t>
      </w:r>
      <w:r w:rsidRPr="00092862">
        <w:rPr>
          <w:rFonts w:ascii="Times New Roman" w:eastAsia="宋体" w:hAnsi="Times New Roman" w:cs="Times New Roman"/>
          <w:color w:val="000000" w:themeColor="text1"/>
          <w:sz w:val="24"/>
          <w:szCs w:val="24"/>
        </w:rPr>
        <w:t>，</w:t>
      </w:r>
      <w:r w:rsidR="00653910" w:rsidRPr="00092862">
        <w:rPr>
          <w:rFonts w:ascii="Times New Roman" w:eastAsia="宋体" w:hAnsi="Times New Roman" w:cs="Times New Roman"/>
          <w:color w:val="000000" w:themeColor="text1"/>
          <w:sz w:val="24"/>
          <w:szCs w:val="24"/>
        </w:rPr>
        <w:t>设计温度</w:t>
      </w:r>
      <w:r w:rsidR="00653910" w:rsidRPr="00092862">
        <w:rPr>
          <w:rFonts w:ascii="Times New Roman" w:eastAsia="宋体" w:hAnsi="Times New Roman" w:cs="Times New Roman"/>
          <w:color w:val="000000" w:themeColor="text1"/>
          <w:sz w:val="24"/>
          <w:szCs w:val="24"/>
        </w:rPr>
        <w:t>50℃</w:t>
      </w:r>
      <w:r w:rsidR="00653910" w:rsidRPr="00092862">
        <w:rPr>
          <w:rFonts w:ascii="Times New Roman" w:eastAsia="宋体" w:hAnsi="Times New Roman" w:cs="Times New Roman"/>
          <w:color w:val="000000" w:themeColor="text1"/>
          <w:sz w:val="24"/>
          <w:szCs w:val="24"/>
        </w:rPr>
        <w:t>，温度</w:t>
      </w:r>
      <w:r w:rsidR="00653910" w:rsidRPr="00092862">
        <w:rPr>
          <w:rFonts w:ascii="Times New Roman" w:eastAsia="宋体" w:hAnsi="Times New Roman" w:cs="Times New Roman"/>
          <w:color w:val="000000" w:themeColor="text1"/>
          <w:sz w:val="24"/>
          <w:szCs w:val="24"/>
        </w:rPr>
        <w:t>0~20℃</w:t>
      </w:r>
      <w:r w:rsidR="00653910" w:rsidRPr="00092862">
        <w:rPr>
          <w:rFonts w:ascii="Times New Roman" w:eastAsia="宋体" w:hAnsi="Times New Roman" w:cs="Times New Roman"/>
          <w:color w:val="000000" w:themeColor="text1"/>
          <w:sz w:val="24"/>
          <w:szCs w:val="24"/>
        </w:rPr>
        <w:t>。</w:t>
      </w:r>
    </w:p>
    <w:p w14:paraId="6EB2AAFF"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燃料气物性和组分如下：</w:t>
      </w:r>
    </w:p>
    <w:p w14:paraId="5756FCA9"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vertAlign w:val="superscript"/>
        </w:rPr>
      </w:pPr>
      <w:r w:rsidRPr="00092862">
        <w:rPr>
          <w:rFonts w:ascii="Times New Roman" w:eastAsia="宋体" w:hAnsi="Times New Roman" w:cs="Times New Roman"/>
          <w:color w:val="000000" w:themeColor="text1"/>
          <w:sz w:val="24"/>
          <w:szCs w:val="24"/>
        </w:rPr>
        <w:t>密度：</w:t>
      </w:r>
      <w:r w:rsidRPr="00092862">
        <w:rPr>
          <w:rFonts w:ascii="Times New Roman" w:eastAsia="宋体" w:hAnsi="Times New Roman" w:cs="Times New Roman"/>
          <w:color w:val="000000" w:themeColor="text1"/>
          <w:sz w:val="24"/>
          <w:szCs w:val="24"/>
        </w:rPr>
        <w:t>0.6990kg/m</w:t>
      </w:r>
      <w:r w:rsidRPr="00092862">
        <w:rPr>
          <w:rFonts w:ascii="Times New Roman" w:eastAsia="宋体" w:hAnsi="Times New Roman" w:cs="Times New Roman"/>
          <w:color w:val="000000" w:themeColor="text1"/>
          <w:sz w:val="24"/>
          <w:szCs w:val="24"/>
          <w:vertAlign w:val="superscript"/>
        </w:rPr>
        <w:t>3</w:t>
      </w:r>
    </w:p>
    <w:p w14:paraId="3F27BB55"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分子量：</w:t>
      </w:r>
      <w:r w:rsidRPr="00092862">
        <w:rPr>
          <w:rFonts w:ascii="Times New Roman" w:eastAsia="宋体" w:hAnsi="Times New Roman" w:cs="Times New Roman"/>
          <w:color w:val="000000" w:themeColor="text1"/>
          <w:sz w:val="24"/>
          <w:szCs w:val="24"/>
        </w:rPr>
        <w:t>16.81</w:t>
      </w:r>
    </w:p>
    <w:p w14:paraId="724A80D8"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燃料气温度：常温</w:t>
      </w:r>
    </w:p>
    <w:p w14:paraId="2F3DDDEC"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H</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S</w:t>
      </w:r>
      <w:r w:rsidRPr="00092862">
        <w:rPr>
          <w:rFonts w:ascii="Times New Roman" w:eastAsia="宋体" w:hAnsi="Times New Roman" w:cs="Times New Roman"/>
          <w:color w:val="000000" w:themeColor="text1"/>
          <w:sz w:val="24"/>
          <w:szCs w:val="24"/>
        </w:rPr>
        <w:t>含量：</w:t>
      </w:r>
      <w:r w:rsidRPr="00092862">
        <w:rPr>
          <w:rFonts w:ascii="Times New Roman" w:eastAsia="宋体" w:hAnsi="Times New Roman" w:cs="Times New Roman"/>
          <w:color w:val="000000" w:themeColor="text1"/>
          <w:sz w:val="24"/>
          <w:szCs w:val="24"/>
        </w:rPr>
        <w:t>≤6mg/m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（相当于</w:t>
      </w:r>
      <w:r w:rsidRPr="00092862">
        <w:rPr>
          <w:rFonts w:ascii="Times New Roman" w:eastAsia="宋体" w:hAnsi="Times New Roman" w:cs="Times New Roman"/>
          <w:color w:val="000000" w:themeColor="text1"/>
          <w:sz w:val="24"/>
          <w:szCs w:val="24"/>
        </w:rPr>
        <w:t>4ppm</w:t>
      </w:r>
      <w:r w:rsidRPr="00092862">
        <w:rPr>
          <w:rFonts w:ascii="Times New Roman" w:eastAsia="宋体" w:hAnsi="Times New Roman" w:cs="Times New Roman"/>
          <w:color w:val="000000" w:themeColor="text1"/>
          <w:sz w:val="24"/>
          <w:szCs w:val="24"/>
        </w:rPr>
        <w:t>）</w:t>
      </w:r>
    </w:p>
    <w:p w14:paraId="73777F86"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总</w:t>
      </w:r>
      <w:r w:rsidRPr="00092862">
        <w:rPr>
          <w:rFonts w:ascii="Times New Roman" w:eastAsia="宋体" w:hAnsi="Times New Roman" w:cs="Times New Roman"/>
          <w:color w:val="000000" w:themeColor="text1"/>
          <w:sz w:val="24"/>
          <w:szCs w:val="24"/>
        </w:rPr>
        <w:t>S</w:t>
      </w:r>
      <w:r w:rsidRPr="00092862">
        <w:rPr>
          <w:rFonts w:ascii="Times New Roman" w:eastAsia="宋体" w:hAnsi="Times New Roman" w:cs="Times New Roman"/>
          <w:color w:val="000000" w:themeColor="text1"/>
          <w:sz w:val="24"/>
          <w:szCs w:val="24"/>
        </w:rPr>
        <w:t>含量：</w:t>
      </w:r>
      <w:r w:rsidRPr="00092862">
        <w:rPr>
          <w:rFonts w:ascii="Times New Roman" w:eastAsia="宋体" w:hAnsi="Times New Roman" w:cs="Times New Roman"/>
          <w:color w:val="000000" w:themeColor="text1"/>
          <w:sz w:val="24"/>
          <w:szCs w:val="24"/>
        </w:rPr>
        <w:t>≤200mg/m</w:t>
      </w:r>
      <w:r w:rsidRPr="00092862">
        <w:rPr>
          <w:rFonts w:ascii="Times New Roman" w:eastAsia="宋体" w:hAnsi="Times New Roman" w:cs="Times New Roman"/>
          <w:color w:val="000000" w:themeColor="text1"/>
          <w:sz w:val="24"/>
          <w:szCs w:val="24"/>
          <w:vertAlign w:val="superscript"/>
        </w:rPr>
        <w:t>3</w:t>
      </w:r>
    </w:p>
    <w:p w14:paraId="4A641AE2" w14:textId="77777777"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水露点：</w:t>
      </w:r>
      <w:r w:rsidRPr="00092862">
        <w:rPr>
          <w:rFonts w:ascii="Times New Roman" w:eastAsia="宋体" w:hAnsi="Times New Roman" w:cs="Times New Roman"/>
          <w:color w:val="000000" w:themeColor="text1"/>
          <w:sz w:val="24"/>
          <w:szCs w:val="24"/>
        </w:rPr>
        <w:t>≤-15℃</w:t>
      </w:r>
    </w:p>
    <w:p w14:paraId="542828FB" w14:textId="7D683CD2" w:rsidR="00653910" w:rsidRPr="00092862" w:rsidRDefault="00653910" w:rsidP="00653910">
      <w:pPr>
        <w:tabs>
          <w:tab w:val="left" w:pos="0"/>
        </w:tabs>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烃露点：</w:t>
      </w:r>
      <w:r w:rsidRPr="00092862">
        <w:rPr>
          <w:rFonts w:ascii="Times New Roman" w:eastAsia="宋体" w:hAnsi="Times New Roman" w:cs="Times New Roman"/>
          <w:color w:val="000000" w:themeColor="text1"/>
          <w:sz w:val="24"/>
          <w:szCs w:val="24"/>
        </w:rPr>
        <w:t>≤-15℃</w:t>
      </w:r>
    </w:p>
    <w:p w14:paraId="72993690" w14:textId="7B2EE389" w:rsidR="00653910" w:rsidRPr="00092862" w:rsidRDefault="00653910"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12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燃料气组分表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5"/>
        <w:gridCol w:w="1904"/>
        <w:gridCol w:w="1921"/>
      </w:tblGrid>
      <w:tr w:rsidR="00697429" w:rsidRPr="00092862" w14:paraId="71CFF30B" w14:textId="77777777" w:rsidTr="00653910">
        <w:trPr>
          <w:cantSplit/>
          <w:trHeight w:val="230"/>
          <w:jc w:val="center"/>
        </w:trPr>
        <w:tc>
          <w:tcPr>
            <w:tcW w:w="2696" w:type="pct"/>
            <w:vAlign w:val="center"/>
          </w:tcPr>
          <w:p w14:paraId="7ACF38CE" w14:textId="77777777" w:rsidR="00653910" w:rsidRPr="00092862" w:rsidRDefault="00653910" w:rsidP="00E74664">
            <w:pPr>
              <w:pStyle w:val="afffff7"/>
              <w:rPr>
                <w:b/>
                <w:bCs/>
                <w:color w:val="000000" w:themeColor="text1"/>
              </w:rPr>
            </w:pPr>
            <w:r w:rsidRPr="00092862">
              <w:rPr>
                <w:b/>
                <w:bCs/>
                <w:color w:val="000000" w:themeColor="text1"/>
              </w:rPr>
              <w:t>组分</w:t>
            </w:r>
          </w:p>
        </w:tc>
        <w:tc>
          <w:tcPr>
            <w:tcW w:w="1147" w:type="pct"/>
            <w:vAlign w:val="center"/>
          </w:tcPr>
          <w:p w14:paraId="7AC338D5" w14:textId="77777777" w:rsidR="00653910" w:rsidRPr="00092862" w:rsidRDefault="00653910" w:rsidP="00E74664">
            <w:pPr>
              <w:pStyle w:val="afffff7"/>
              <w:rPr>
                <w:b/>
                <w:bCs/>
                <w:color w:val="000000" w:themeColor="text1"/>
              </w:rPr>
            </w:pPr>
            <w:r w:rsidRPr="00092862">
              <w:rPr>
                <w:b/>
                <w:bCs/>
                <w:color w:val="000000" w:themeColor="text1"/>
              </w:rPr>
              <w:t>分子量</w:t>
            </w:r>
          </w:p>
        </w:tc>
        <w:tc>
          <w:tcPr>
            <w:tcW w:w="1157" w:type="pct"/>
            <w:vAlign w:val="center"/>
          </w:tcPr>
          <w:p w14:paraId="2E684947" w14:textId="77777777" w:rsidR="00653910" w:rsidRPr="00092862" w:rsidRDefault="00653910" w:rsidP="00E74664">
            <w:pPr>
              <w:pStyle w:val="afffff7"/>
              <w:rPr>
                <w:b/>
                <w:bCs/>
                <w:color w:val="000000" w:themeColor="text1"/>
              </w:rPr>
            </w:pPr>
            <w:r w:rsidRPr="00092862">
              <w:rPr>
                <w:b/>
                <w:bCs/>
                <w:color w:val="000000" w:themeColor="text1"/>
              </w:rPr>
              <w:t>含量（</w:t>
            </w:r>
            <w:r w:rsidRPr="00092862">
              <w:rPr>
                <w:b/>
                <w:bCs/>
                <w:color w:val="000000" w:themeColor="text1"/>
              </w:rPr>
              <w:t>mol</w:t>
            </w:r>
            <w:r w:rsidRPr="00092862">
              <w:rPr>
                <w:b/>
                <w:bCs/>
                <w:color w:val="000000" w:themeColor="text1"/>
              </w:rPr>
              <w:t>％）</w:t>
            </w:r>
          </w:p>
        </w:tc>
      </w:tr>
      <w:tr w:rsidR="00697429" w:rsidRPr="00092862" w14:paraId="0B5379FD" w14:textId="77777777" w:rsidTr="00653910">
        <w:trPr>
          <w:cantSplit/>
          <w:trHeight w:val="230"/>
          <w:jc w:val="center"/>
        </w:trPr>
        <w:tc>
          <w:tcPr>
            <w:tcW w:w="2696" w:type="pct"/>
            <w:vAlign w:val="center"/>
          </w:tcPr>
          <w:p w14:paraId="51ABED6C" w14:textId="77777777" w:rsidR="00653910" w:rsidRPr="00092862" w:rsidRDefault="00653910" w:rsidP="00E74664">
            <w:pPr>
              <w:pStyle w:val="afffff7"/>
              <w:rPr>
                <w:color w:val="000000" w:themeColor="text1"/>
              </w:rPr>
            </w:pPr>
            <w:r w:rsidRPr="00092862">
              <w:rPr>
                <w:color w:val="000000" w:themeColor="text1"/>
              </w:rPr>
              <w:t>H</w:t>
            </w:r>
            <w:r w:rsidRPr="00092862">
              <w:rPr>
                <w:color w:val="000000" w:themeColor="text1"/>
                <w:vertAlign w:val="subscript"/>
              </w:rPr>
              <w:t>2</w:t>
            </w:r>
          </w:p>
        </w:tc>
        <w:tc>
          <w:tcPr>
            <w:tcW w:w="1147" w:type="pct"/>
            <w:vAlign w:val="center"/>
          </w:tcPr>
          <w:p w14:paraId="4BC02EF6" w14:textId="77777777" w:rsidR="00653910" w:rsidRPr="00092862" w:rsidRDefault="00653910" w:rsidP="00E74664">
            <w:pPr>
              <w:pStyle w:val="afffff7"/>
              <w:rPr>
                <w:color w:val="000000" w:themeColor="text1"/>
              </w:rPr>
            </w:pPr>
            <w:r w:rsidRPr="00092862">
              <w:rPr>
                <w:color w:val="000000" w:themeColor="text1"/>
              </w:rPr>
              <w:t>2.016</w:t>
            </w:r>
          </w:p>
        </w:tc>
        <w:tc>
          <w:tcPr>
            <w:tcW w:w="1157" w:type="pct"/>
            <w:vAlign w:val="center"/>
          </w:tcPr>
          <w:p w14:paraId="26D66E55" w14:textId="77777777" w:rsidR="00653910" w:rsidRPr="00092862" w:rsidRDefault="00653910" w:rsidP="00E74664">
            <w:pPr>
              <w:pStyle w:val="afffff7"/>
              <w:rPr>
                <w:color w:val="000000" w:themeColor="text1"/>
              </w:rPr>
            </w:pPr>
            <w:r w:rsidRPr="00092862">
              <w:rPr>
                <w:color w:val="000000" w:themeColor="text1"/>
              </w:rPr>
              <w:t>0.025467</w:t>
            </w:r>
          </w:p>
        </w:tc>
      </w:tr>
      <w:tr w:rsidR="00697429" w:rsidRPr="00092862" w14:paraId="3715E6AB" w14:textId="77777777" w:rsidTr="00653910">
        <w:trPr>
          <w:cantSplit/>
          <w:trHeight w:val="190"/>
          <w:jc w:val="center"/>
        </w:trPr>
        <w:tc>
          <w:tcPr>
            <w:tcW w:w="2696" w:type="pct"/>
            <w:vAlign w:val="center"/>
          </w:tcPr>
          <w:p w14:paraId="1C7BA0D9" w14:textId="77777777" w:rsidR="00653910" w:rsidRPr="00092862" w:rsidRDefault="00653910" w:rsidP="00E74664">
            <w:pPr>
              <w:pStyle w:val="afffff7"/>
              <w:rPr>
                <w:color w:val="000000" w:themeColor="text1"/>
              </w:rPr>
            </w:pPr>
            <w:r w:rsidRPr="00092862">
              <w:rPr>
                <w:color w:val="000000" w:themeColor="text1"/>
              </w:rPr>
              <w:t>N</w:t>
            </w:r>
            <w:r w:rsidRPr="00092862">
              <w:rPr>
                <w:color w:val="000000" w:themeColor="text1"/>
                <w:vertAlign w:val="subscript"/>
              </w:rPr>
              <w:t>2</w:t>
            </w:r>
          </w:p>
        </w:tc>
        <w:tc>
          <w:tcPr>
            <w:tcW w:w="1147" w:type="pct"/>
            <w:vAlign w:val="center"/>
          </w:tcPr>
          <w:p w14:paraId="4DD678AD" w14:textId="77777777" w:rsidR="00653910" w:rsidRPr="00092862" w:rsidRDefault="00653910" w:rsidP="00E74664">
            <w:pPr>
              <w:pStyle w:val="afffff7"/>
              <w:rPr>
                <w:color w:val="000000" w:themeColor="text1"/>
              </w:rPr>
            </w:pPr>
            <w:r w:rsidRPr="00092862">
              <w:rPr>
                <w:color w:val="000000" w:themeColor="text1"/>
              </w:rPr>
              <w:t>28.014</w:t>
            </w:r>
          </w:p>
        </w:tc>
        <w:tc>
          <w:tcPr>
            <w:tcW w:w="1157" w:type="pct"/>
            <w:vAlign w:val="center"/>
          </w:tcPr>
          <w:p w14:paraId="37E06881" w14:textId="77777777" w:rsidR="00653910" w:rsidRPr="00092862" w:rsidRDefault="00653910" w:rsidP="00E74664">
            <w:pPr>
              <w:pStyle w:val="afffff7"/>
              <w:rPr>
                <w:color w:val="000000" w:themeColor="text1"/>
              </w:rPr>
            </w:pPr>
            <w:r w:rsidRPr="00092862">
              <w:rPr>
                <w:color w:val="000000" w:themeColor="text1"/>
              </w:rPr>
              <w:t>0.705685</w:t>
            </w:r>
          </w:p>
        </w:tc>
      </w:tr>
      <w:tr w:rsidR="00697429" w:rsidRPr="00092862" w14:paraId="75911AAF" w14:textId="77777777" w:rsidTr="00653910">
        <w:trPr>
          <w:cantSplit/>
          <w:trHeight w:val="190"/>
          <w:jc w:val="center"/>
        </w:trPr>
        <w:tc>
          <w:tcPr>
            <w:tcW w:w="2696" w:type="pct"/>
            <w:vAlign w:val="center"/>
          </w:tcPr>
          <w:p w14:paraId="5E3F04BD" w14:textId="77777777" w:rsidR="00653910" w:rsidRPr="00092862" w:rsidRDefault="00653910" w:rsidP="00E74664">
            <w:pPr>
              <w:pStyle w:val="afffff7"/>
              <w:rPr>
                <w:color w:val="000000" w:themeColor="text1"/>
              </w:rPr>
            </w:pPr>
            <w:r w:rsidRPr="00092862">
              <w:rPr>
                <w:color w:val="000000" w:themeColor="text1"/>
              </w:rPr>
              <w:t>CO</w:t>
            </w:r>
            <w:r w:rsidRPr="00092862">
              <w:rPr>
                <w:color w:val="000000" w:themeColor="text1"/>
                <w:vertAlign w:val="subscript"/>
              </w:rPr>
              <w:t>2</w:t>
            </w:r>
          </w:p>
        </w:tc>
        <w:tc>
          <w:tcPr>
            <w:tcW w:w="1147" w:type="pct"/>
            <w:vAlign w:val="center"/>
          </w:tcPr>
          <w:p w14:paraId="32A59F9A" w14:textId="77777777" w:rsidR="00653910" w:rsidRPr="00092862" w:rsidRDefault="00653910" w:rsidP="00E74664">
            <w:pPr>
              <w:pStyle w:val="afffff7"/>
              <w:rPr>
                <w:color w:val="000000" w:themeColor="text1"/>
                <w:szCs w:val="21"/>
              </w:rPr>
            </w:pPr>
            <w:r w:rsidRPr="00092862">
              <w:rPr>
                <w:color w:val="000000" w:themeColor="text1"/>
                <w:szCs w:val="21"/>
              </w:rPr>
              <w:t>44.011</w:t>
            </w:r>
          </w:p>
        </w:tc>
        <w:tc>
          <w:tcPr>
            <w:tcW w:w="1157" w:type="pct"/>
            <w:vAlign w:val="center"/>
          </w:tcPr>
          <w:p w14:paraId="16E8A1BA" w14:textId="77777777" w:rsidR="00653910" w:rsidRPr="00092862" w:rsidRDefault="00653910" w:rsidP="00E74664">
            <w:pPr>
              <w:pStyle w:val="afffff7"/>
              <w:rPr>
                <w:color w:val="000000" w:themeColor="text1"/>
                <w:szCs w:val="21"/>
              </w:rPr>
            </w:pPr>
            <w:r w:rsidRPr="00092862">
              <w:rPr>
                <w:color w:val="000000" w:themeColor="text1"/>
              </w:rPr>
              <w:t>2.02909</w:t>
            </w:r>
          </w:p>
        </w:tc>
      </w:tr>
      <w:tr w:rsidR="00697429" w:rsidRPr="00092862" w14:paraId="4DEEB2E4" w14:textId="77777777" w:rsidTr="00653910">
        <w:trPr>
          <w:cantSplit/>
          <w:trHeight w:val="190"/>
          <w:jc w:val="center"/>
        </w:trPr>
        <w:tc>
          <w:tcPr>
            <w:tcW w:w="2696" w:type="pct"/>
            <w:vAlign w:val="center"/>
          </w:tcPr>
          <w:p w14:paraId="5AB99BAA" w14:textId="77777777" w:rsidR="00653910" w:rsidRPr="00092862" w:rsidRDefault="00653910" w:rsidP="00E74664">
            <w:pPr>
              <w:pStyle w:val="afffff7"/>
              <w:rPr>
                <w:color w:val="000000" w:themeColor="text1"/>
              </w:rPr>
            </w:pPr>
            <w:r w:rsidRPr="00092862">
              <w:rPr>
                <w:color w:val="000000" w:themeColor="text1"/>
              </w:rPr>
              <w:t>H</w:t>
            </w:r>
            <w:r w:rsidRPr="00092862">
              <w:rPr>
                <w:color w:val="000000" w:themeColor="text1"/>
                <w:vertAlign w:val="subscript"/>
              </w:rPr>
              <w:t>2</w:t>
            </w:r>
            <w:r w:rsidRPr="00092862">
              <w:rPr>
                <w:color w:val="000000" w:themeColor="text1"/>
              </w:rPr>
              <w:t>S</w:t>
            </w:r>
          </w:p>
        </w:tc>
        <w:tc>
          <w:tcPr>
            <w:tcW w:w="1147" w:type="pct"/>
            <w:vAlign w:val="center"/>
          </w:tcPr>
          <w:p w14:paraId="1D95BEC6" w14:textId="77777777" w:rsidR="00653910" w:rsidRPr="00092862" w:rsidRDefault="00653910" w:rsidP="00E74664">
            <w:pPr>
              <w:pStyle w:val="afffff7"/>
              <w:rPr>
                <w:color w:val="000000" w:themeColor="text1"/>
                <w:szCs w:val="21"/>
              </w:rPr>
            </w:pPr>
            <w:r w:rsidRPr="00092862">
              <w:rPr>
                <w:color w:val="000000" w:themeColor="text1"/>
                <w:szCs w:val="21"/>
              </w:rPr>
              <w:t>34.08</w:t>
            </w:r>
          </w:p>
        </w:tc>
        <w:tc>
          <w:tcPr>
            <w:tcW w:w="1157" w:type="pct"/>
            <w:vAlign w:val="center"/>
          </w:tcPr>
          <w:p w14:paraId="14C468A1" w14:textId="77777777" w:rsidR="00653910" w:rsidRPr="00092862" w:rsidRDefault="00653910" w:rsidP="00E74664">
            <w:pPr>
              <w:pStyle w:val="afffff7"/>
              <w:rPr>
                <w:color w:val="000000" w:themeColor="text1"/>
                <w:szCs w:val="21"/>
              </w:rPr>
            </w:pPr>
            <w:r w:rsidRPr="00092862">
              <w:rPr>
                <w:color w:val="000000" w:themeColor="text1"/>
                <w:szCs w:val="21"/>
              </w:rPr>
              <w:t>6mg/Nm</w:t>
            </w:r>
            <w:r w:rsidRPr="00092862">
              <w:rPr>
                <w:color w:val="000000" w:themeColor="text1"/>
                <w:szCs w:val="21"/>
                <w:vertAlign w:val="superscript"/>
              </w:rPr>
              <w:t>3</w:t>
            </w:r>
          </w:p>
        </w:tc>
      </w:tr>
      <w:tr w:rsidR="00697429" w:rsidRPr="00092862" w14:paraId="4F837343" w14:textId="77777777" w:rsidTr="00653910">
        <w:trPr>
          <w:cantSplit/>
          <w:trHeight w:val="190"/>
          <w:jc w:val="center"/>
        </w:trPr>
        <w:tc>
          <w:tcPr>
            <w:tcW w:w="2696" w:type="pct"/>
            <w:vAlign w:val="center"/>
          </w:tcPr>
          <w:p w14:paraId="5951BCD4" w14:textId="77777777" w:rsidR="00653910" w:rsidRPr="00092862" w:rsidRDefault="00653910" w:rsidP="00E74664">
            <w:pPr>
              <w:pStyle w:val="afffff7"/>
              <w:rPr>
                <w:color w:val="000000" w:themeColor="text1"/>
              </w:rPr>
            </w:pPr>
            <w:r w:rsidRPr="00092862">
              <w:rPr>
                <w:color w:val="000000" w:themeColor="text1"/>
              </w:rPr>
              <w:t>COS</w:t>
            </w:r>
          </w:p>
        </w:tc>
        <w:tc>
          <w:tcPr>
            <w:tcW w:w="1147" w:type="pct"/>
            <w:vAlign w:val="center"/>
          </w:tcPr>
          <w:p w14:paraId="2FC5EF5A" w14:textId="77777777" w:rsidR="00653910" w:rsidRPr="00092862" w:rsidRDefault="00653910" w:rsidP="00E74664">
            <w:pPr>
              <w:pStyle w:val="afffff7"/>
              <w:rPr>
                <w:color w:val="000000" w:themeColor="text1"/>
                <w:szCs w:val="21"/>
              </w:rPr>
            </w:pPr>
            <w:r w:rsidRPr="00092862">
              <w:rPr>
                <w:color w:val="000000" w:themeColor="text1"/>
                <w:szCs w:val="21"/>
              </w:rPr>
              <w:t>60.075</w:t>
            </w:r>
          </w:p>
        </w:tc>
        <w:tc>
          <w:tcPr>
            <w:tcW w:w="1157" w:type="pct"/>
            <w:vAlign w:val="center"/>
          </w:tcPr>
          <w:p w14:paraId="577C1D78" w14:textId="77777777" w:rsidR="00653910" w:rsidRPr="00092862" w:rsidRDefault="00653910" w:rsidP="00E74664">
            <w:pPr>
              <w:pStyle w:val="afffff7"/>
              <w:rPr>
                <w:color w:val="000000" w:themeColor="text1"/>
                <w:szCs w:val="21"/>
              </w:rPr>
            </w:pPr>
            <w:r w:rsidRPr="00092862">
              <w:rPr>
                <w:color w:val="000000" w:themeColor="text1"/>
              </w:rPr>
              <w:t>0.002559</w:t>
            </w:r>
          </w:p>
        </w:tc>
      </w:tr>
      <w:tr w:rsidR="00697429" w:rsidRPr="00092862" w14:paraId="059CFC68" w14:textId="77777777" w:rsidTr="00653910">
        <w:trPr>
          <w:cantSplit/>
          <w:trHeight w:val="190"/>
          <w:jc w:val="center"/>
        </w:trPr>
        <w:tc>
          <w:tcPr>
            <w:tcW w:w="2696" w:type="pct"/>
            <w:vAlign w:val="center"/>
          </w:tcPr>
          <w:p w14:paraId="00E9B60C" w14:textId="77777777" w:rsidR="00653910" w:rsidRPr="00092862" w:rsidRDefault="00653910" w:rsidP="00E74664">
            <w:pPr>
              <w:pStyle w:val="afffff7"/>
              <w:rPr>
                <w:color w:val="000000" w:themeColor="text1"/>
              </w:rPr>
            </w:pPr>
            <w:r w:rsidRPr="00092862">
              <w:rPr>
                <w:color w:val="000000" w:themeColor="text1"/>
              </w:rPr>
              <w:t>H</w:t>
            </w:r>
            <w:r w:rsidRPr="00092862">
              <w:rPr>
                <w:color w:val="000000" w:themeColor="text1"/>
                <w:vertAlign w:val="subscript"/>
              </w:rPr>
              <w:t>2</w:t>
            </w:r>
            <w:r w:rsidRPr="00092862">
              <w:rPr>
                <w:color w:val="000000" w:themeColor="text1"/>
              </w:rPr>
              <w:t>O</w:t>
            </w:r>
          </w:p>
        </w:tc>
        <w:tc>
          <w:tcPr>
            <w:tcW w:w="1147" w:type="pct"/>
            <w:vAlign w:val="center"/>
          </w:tcPr>
          <w:p w14:paraId="20F9A2A2" w14:textId="77777777" w:rsidR="00653910" w:rsidRPr="00092862" w:rsidRDefault="00653910" w:rsidP="00E74664">
            <w:pPr>
              <w:pStyle w:val="afffff7"/>
              <w:rPr>
                <w:color w:val="000000" w:themeColor="text1"/>
                <w:szCs w:val="21"/>
              </w:rPr>
            </w:pPr>
            <w:r w:rsidRPr="00092862">
              <w:rPr>
                <w:color w:val="000000" w:themeColor="text1"/>
                <w:szCs w:val="21"/>
              </w:rPr>
              <w:t>18.016</w:t>
            </w:r>
          </w:p>
        </w:tc>
        <w:tc>
          <w:tcPr>
            <w:tcW w:w="1157" w:type="pct"/>
            <w:vAlign w:val="center"/>
          </w:tcPr>
          <w:p w14:paraId="23E0E424" w14:textId="77777777" w:rsidR="00653910" w:rsidRPr="00092862" w:rsidRDefault="00653910" w:rsidP="00E74664">
            <w:pPr>
              <w:pStyle w:val="afffff7"/>
              <w:rPr>
                <w:color w:val="000000" w:themeColor="text1"/>
                <w:szCs w:val="21"/>
              </w:rPr>
            </w:pPr>
            <w:r w:rsidRPr="00092862">
              <w:rPr>
                <w:color w:val="000000" w:themeColor="text1"/>
              </w:rPr>
              <w:t>0.00358</w:t>
            </w:r>
          </w:p>
        </w:tc>
      </w:tr>
      <w:tr w:rsidR="00697429" w:rsidRPr="00092862" w14:paraId="7B44CF0C" w14:textId="77777777" w:rsidTr="00653910">
        <w:trPr>
          <w:cantSplit/>
          <w:trHeight w:val="190"/>
          <w:jc w:val="center"/>
        </w:trPr>
        <w:tc>
          <w:tcPr>
            <w:tcW w:w="2696" w:type="pct"/>
            <w:vAlign w:val="center"/>
          </w:tcPr>
          <w:p w14:paraId="728BC9E7" w14:textId="77777777" w:rsidR="00653910" w:rsidRPr="00092862" w:rsidRDefault="00653910" w:rsidP="00E74664">
            <w:pPr>
              <w:pStyle w:val="afffff7"/>
              <w:rPr>
                <w:color w:val="000000" w:themeColor="text1"/>
              </w:rPr>
            </w:pPr>
            <w:r w:rsidRPr="00092862">
              <w:rPr>
                <w:color w:val="000000" w:themeColor="text1"/>
              </w:rPr>
              <w:t>CH</w:t>
            </w:r>
            <w:r w:rsidRPr="00092862">
              <w:rPr>
                <w:color w:val="000000" w:themeColor="text1"/>
                <w:vertAlign w:val="subscript"/>
              </w:rPr>
              <w:t>4</w:t>
            </w:r>
          </w:p>
        </w:tc>
        <w:tc>
          <w:tcPr>
            <w:tcW w:w="1147" w:type="pct"/>
            <w:vAlign w:val="center"/>
          </w:tcPr>
          <w:p w14:paraId="77CD9A3D" w14:textId="77777777" w:rsidR="00653910" w:rsidRPr="00092862" w:rsidRDefault="00653910" w:rsidP="00E74664">
            <w:pPr>
              <w:pStyle w:val="afffff7"/>
              <w:rPr>
                <w:color w:val="000000" w:themeColor="text1"/>
                <w:szCs w:val="21"/>
              </w:rPr>
            </w:pPr>
            <w:r w:rsidRPr="00092862">
              <w:rPr>
                <w:color w:val="000000" w:themeColor="text1"/>
              </w:rPr>
              <w:t>16.043</w:t>
            </w:r>
          </w:p>
        </w:tc>
        <w:tc>
          <w:tcPr>
            <w:tcW w:w="1157" w:type="pct"/>
            <w:vAlign w:val="center"/>
          </w:tcPr>
          <w:p w14:paraId="25A30D5F" w14:textId="77777777" w:rsidR="00653910" w:rsidRPr="00092862" w:rsidRDefault="00653910" w:rsidP="00E74664">
            <w:pPr>
              <w:pStyle w:val="afffff7"/>
              <w:rPr>
                <w:color w:val="000000" w:themeColor="text1"/>
                <w:szCs w:val="21"/>
              </w:rPr>
            </w:pPr>
            <w:r w:rsidRPr="00092862">
              <w:rPr>
                <w:color w:val="000000" w:themeColor="text1"/>
              </w:rPr>
              <w:t>97.058</w:t>
            </w:r>
          </w:p>
        </w:tc>
      </w:tr>
      <w:tr w:rsidR="00697429" w:rsidRPr="00092862" w14:paraId="3D38437B" w14:textId="77777777" w:rsidTr="00653910">
        <w:trPr>
          <w:cantSplit/>
          <w:trHeight w:val="190"/>
          <w:jc w:val="center"/>
        </w:trPr>
        <w:tc>
          <w:tcPr>
            <w:tcW w:w="2696" w:type="pct"/>
            <w:vAlign w:val="center"/>
          </w:tcPr>
          <w:p w14:paraId="19C801E3" w14:textId="77777777" w:rsidR="00653910" w:rsidRPr="00092862" w:rsidRDefault="00653910" w:rsidP="00E74664">
            <w:pPr>
              <w:pStyle w:val="afffff7"/>
              <w:rPr>
                <w:color w:val="000000" w:themeColor="text1"/>
              </w:rPr>
            </w:pPr>
            <w:r w:rsidRPr="00092862">
              <w:rPr>
                <w:color w:val="000000" w:themeColor="text1"/>
              </w:rPr>
              <w:t>C</w:t>
            </w:r>
            <w:r w:rsidRPr="00092862">
              <w:rPr>
                <w:color w:val="000000" w:themeColor="text1"/>
                <w:vertAlign w:val="subscript"/>
              </w:rPr>
              <w:t>2</w:t>
            </w:r>
            <w:r w:rsidRPr="00092862">
              <w:rPr>
                <w:color w:val="000000" w:themeColor="text1"/>
              </w:rPr>
              <w:t>H</w:t>
            </w:r>
            <w:r w:rsidRPr="00092862">
              <w:rPr>
                <w:color w:val="000000" w:themeColor="text1"/>
                <w:vertAlign w:val="subscript"/>
              </w:rPr>
              <w:t>6</w:t>
            </w:r>
          </w:p>
        </w:tc>
        <w:tc>
          <w:tcPr>
            <w:tcW w:w="1147" w:type="pct"/>
            <w:vAlign w:val="center"/>
          </w:tcPr>
          <w:p w14:paraId="28FD2520" w14:textId="77777777" w:rsidR="00653910" w:rsidRPr="00092862" w:rsidRDefault="00653910" w:rsidP="00E74664">
            <w:pPr>
              <w:pStyle w:val="afffff7"/>
              <w:rPr>
                <w:color w:val="000000" w:themeColor="text1"/>
                <w:szCs w:val="21"/>
              </w:rPr>
            </w:pPr>
            <w:r w:rsidRPr="00092862">
              <w:rPr>
                <w:color w:val="000000" w:themeColor="text1"/>
                <w:szCs w:val="21"/>
              </w:rPr>
              <w:t>30.07</w:t>
            </w:r>
          </w:p>
        </w:tc>
        <w:tc>
          <w:tcPr>
            <w:tcW w:w="1157" w:type="pct"/>
            <w:vAlign w:val="center"/>
          </w:tcPr>
          <w:p w14:paraId="1286174B" w14:textId="77777777" w:rsidR="00653910" w:rsidRPr="00092862" w:rsidRDefault="00653910" w:rsidP="00E74664">
            <w:pPr>
              <w:pStyle w:val="afffff7"/>
              <w:rPr>
                <w:color w:val="000000" w:themeColor="text1"/>
                <w:szCs w:val="21"/>
              </w:rPr>
            </w:pPr>
            <w:r w:rsidRPr="00092862">
              <w:rPr>
                <w:color w:val="000000" w:themeColor="text1"/>
              </w:rPr>
              <w:t>0.152185</w:t>
            </w:r>
          </w:p>
        </w:tc>
      </w:tr>
      <w:tr w:rsidR="00697429" w:rsidRPr="00092862" w14:paraId="14450525" w14:textId="77777777" w:rsidTr="00653910">
        <w:trPr>
          <w:cantSplit/>
          <w:trHeight w:val="190"/>
          <w:jc w:val="center"/>
        </w:trPr>
        <w:tc>
          <w:tcPr>
            <w:tcW w:w="2696" w:type="pct"/>
            <w:vAlign w:val="center"/>
          </w:tcPr>
          <w:p w14:paraId="3281981B" w14:textId="77777777" w:rsidR="00653910" w:rsidRPr="00092862" w:rsidRDefault="00653910" w:rsidP="00E74664">
            <w:pPr>
              <w:pStyle w:val="afffff7"/>
              <w:rPr>
                <w:color w:val="000000" w:themeColor="text1"/>
              </w:rPr>
            </w:pPr>
            <w:r w:rsidRPr="00092862">
              <w:rPr>
                <w:color w:val="000000" w:themeColor="text1"/>
              </w:rPr>
              <w:t>C</w:t>
            </w:r>
            <w:r w:rsidRPr="00092862">
              <w:rPr>
                <w:color w:val="000000" w:themeColor="text1"/>
                <w:vertAlign w:val="subscript"/>
              </w:rPr>
              <w:t>3</w:t>
            </w:r>
            <w:r w:rsidRPr="00092862">
              <w:rPr>
                <w:color w:val="000000" w:themeColor="text1"/>
              </w:rPr>
              <w:t>H</w:t>
            </w:r>
            <w:r w:rsidRPr="00092862">
              <w:rPr>
                <w:color w:val="000000" w:themeColor="text1"/>
                <w:vertAlign w:val="subscript"/>
              </w:rPr>
              <w:t>8</w:t>
            </w:r>
          </w:p>
        </w:tc>
        <w:tc>
          <w:tcPr>
            <w:tcW w:w="1147" w:type="pct"/>
            <w:vAlign w:val="center"/>
          </w:tcPr>
          <w:p w14:paraId="30B51628" w14:textId="77777777" w:rsidR="00653910" w:rsidRPr="00092862" w:rsidRDefault="00653910" w:rsidP="00E74664">
            <w:pPr>
              <w:pStyle w:val="afffff7"/>
              <w:rPr>
                <w:color w:val="000000" w:themeColor="text1"/>
                <w:szCs w:val="21"/>
              </w:rPr>
            </w:pPr>
            <w:r w:rsidRPr="00092862">
              <w:rPr>
                <w:color w:val="000000" w:themeColor="text1"/>
              </w:rPr>
              <w:t>44.097</w:t>
            </w:r>
          </w:p>
        </w:tc>
        <w:tc>
          <w:tcPr>
            <w:tcW w:w="1157" w:type="pct"/>
            <w:vAlign w:val="center"/>
          </w:tcPr>
          <w:p w14:paraId="2E1FC7E9" w14:textId="77777777" w:rsidR="00653910" w:rsidRPr="00092862" w:rsidRDefault="00653910" w:rsidP="00E74664">
            <w:pPr>
              <w:pStyle w:val="afffff7"/>
              <w:rPr>
                <w:color w:val="000000" w:themeColor="text1"/>
                <w:szCs w:val="21"/>
              </w:rPr>
            </w:pPr>
            <w:r w:rsidRPr="00092862">
              <w:rPr>
                <w:color w:val="000000" w:themeColor="text1"/>
              </w:rPr>
              <w:t>0.010113</w:t>
            </w:r>
          </w:p>
        </w:tc>
      </w:tr>
      <w:tr w:rsidR="00697429" w:rsidRPr="00092862" w14:paraId="30BCBE03" w14:textId="77777777" w:rsidTr="00653910">
        <w:trPr>
          <w:cantSplit/>
          <w:trHeight w:val="190"/>
          <w:jc w:val="center"/>
        </w:trPr>
        <w:tc>
          <w:tcPr>
            <w:tcW w:w="2696" w:type="pct"/>
            <w:vAlign w:val="center"/>
          </w:tcPr>
          <w:p w14:paraId="36E32B91" w14:textId="77777777" w:rsidR="00653910" w:rsidRPr="00092862" w:rsidRDefault="00653910" w:rsidP="00E74664">
            <w:pPr>
              <w:pStyle w:val="afffff7"/>
              <w:rPr>
                <w:color w:val="000000" w:themeColor="text1"/>
              </w:rPr>
            </w:pPr>
            <w:r w:rsidRPr="00092862">
              <w:rPr>
                <w:color w:val="000000" w:themeColor="text1"/>
              </w:rPr>
              <w:t>CH</w:t>
            </w:r>
            <w:r w:rsidRPr="00092862">
              <w:rPr>
                <w:color w:val="000000" w:themeColor="text1"/>
                <w:vertAlign w:val="subscript"/>
              </w:rPr>
              <w:t>3</w:t>
            </w:r>
            <w:r w:rsidRPr="00092862">
              <w:rPr>
                <w:color w:val="000000" w:themeColor="text1"/>
              </w:rPr>
              <w:t>SH</w:t>
            </w:r>
            <w:r w:rsidRPr="00092862">
              <w:rPr>
                <w:color w:val="000000" w:themeColor="text1"/>
              </w:rPr>
              <w:t>（甲硫醇）</w:t>
            </w:r>
          </w:p>
        </w:tc>
        <w:tc>
          <w:tcPr>
            <w:tcW w:w="1147" w:type="pct"/>
            <w:vAlign w:val="center"/>
          </w:tcPr>
          <w:p w14:paraId="440B2C52" w14:textId="77777777" w:rsidR="00653910" w:rsidRPr="00092862" w:rsidRDefault="00653910" w:rsidP="00E74664">
            <w:pPr>
              <w:pStyle w:val="afffff7"/>
              <w:rPr>
                <w:color w:val="000000" w:themeColor="text1"/>
                <w:szCs w:val="21"/>
              </w:rPr>
            </w:pPr>
            <w:r w:rsidRPr="00092862">
              <w:rPr>
                <w:color w:val="000000" w:themeColor="text1"/>
                <w:szCs w:val="21"/>
              </w:rPr>
              <w:t>48.107</w:t>
            </w:r>
          </w:p>
        </w:tc>
        <w:tc>
          <w:tcPr>
            <w:tcW w:w="1157" w:type="pct"/>
            <w:vAlign w:val="center"/>
          </w:tcPr>
          <w:p w14:paraId="7BB02D09" w14:textId="77777777" w:rsidR="00653910" w:rsidRPr="00092862" w:rsidRDefault="00653910" w:rsidP="00E74664">
            <w:pPr>
              <w:pStyle w:val="afffff7"/>
              <w:rPr>
                <w:color w:val="000000" w:themeColor="text1"/>
                <w:szCs w:val="21"/>
              </w:rPr>
            </w:pPr>
            <w:r w:rsidRPr="00092862">
              <w:rPr>
                <w:color w:val="000000" w:themeColor="text1"/>
              </w:rPr>
              <w:t>0.000492</w:t>
            </w:r>
          </w:p>
        </w:tc>
      </w:tr>
      <w:tr w:rsidR="00697429" w:rsidRPr="00092862" w14:paraId="39DE9183" w14:textId="77777777" w:rsidTr="00653910">
        <w:trPr>
          <w:cantSplit/>
          <w:trHeight w:val="190"/>
          <w:jc w:val="center"/>
        </w:trPr>
        <w:tc>
          <w:tcPr>
            <w:tcW w:w="2696" w:type="pct"/>
            <w:vAlign w:val="center"/>
          </w:tcPr>
          <w:p w14:paraId="53D249C9" w14:textId="77777777" w:rsidR="00653910" w:rsidRPr="00092862" w:rsidRDefault="00653910" w:rsidP="00E74664">
            <w:pPr>
              <w:pStyle w:val="afffff7"/>
              <w:rPr>
                <w:color w:val="000000" w:themeColor="text1"/>
              </w:rPr>
            </w:pPr>
            <w:r w:rsidRPr="00092862">
              <w:rPr>
                <w:color w:val="000000" w:themeColor="text1"/>
              </w:rPr>
              <w:t>C</w:t>
            </w:r>
            <w:r w:rsidRPr="00092862">
              <w:rPr>
                <w:color w:val="000000" w:themeColor="text1"/>
                <w:vertAlign w:val="subscript"/>
              </w:rPr>
              <w:t>2</w:t>
            </w:r>
            <w:r w:rsidRPr="00092862">
              <w:rPr>
                <w:color w:val="000000" w:themeColor="text1"/>
              </w:rPr>
              <w:t>H</w:t>
            </w:r>
            <w:r w:rsidRPr="00092862">
              <w:rPr>
                <w:color w:val="000000" w:themeColor="text1"/>
                <w:vertAlign w:val="subscript"/>
              </w:rPr>
              <w:t>5</w:t>
            </w:r>
            <w:r w:rsidRPr="00092862">
              <w:rPr>
                <w:color w:val="000000" w:themeColor="text1"/>
              </w:rPr>
              <w:t>SH</w:t>
            </w:r>
            <w:r w:rsidRPr="00092862">
              <w:rPr>
                <w:color w:val="000000" w:themeColor="text1"/>
              </w:rPr>
              <w:t>（乙硫醇）</w:t>
            </w:r>
          </w:p>
        </w:tc>
        <w:tc>
          <w:tcPr>
            <w:tcW w:w="1147" w:type="pct"/>
            <w:vAlign w:val="center"/>
          </w:tcPr>
          <w:p w14:paraId="456595E9" w14:textId="77777777" w:rsidR="00653910" w:rsidRPr="00092862" w:rsidRDefault="00653910" w:rsidP="00E74664">
            <w:pPr>
              <w:pStyle w:val="afffff7"/>
              <w:rPr>
                <w:color w:val="000000" w:themeColor="text1"/>
                <w:szCs w:val="21"/>
              </w:rPr>
            </w:pPr>
            <w:r w:rsidRPr="00092862">
              <w:rPr>
                <w:color w:val="000000" w:themeColor="text1"/>
              </w:rPr>
              <w:t>62.134</w:t>
            </w:r>
          </w:p>
        </w:tc>
        <w:tc>
          <w:tcPr>
            <w:tcW w:w="1157" w:type="pct"/>
            <w:vAlign w:val="center"/>
          </w:tcPr>
          <w:p w14:paraId="6534E914" w14:textId="77777777" w:rsidR="00653910" w:rsidRPr="00092862" w:rsidRDefault="00653910" w:rsidP="00E74664">
            <w:pPr>
              <w:pStyle w:val="afffff7"/>
              <w:rPr>
                <w:color w:val="000000" w:themeColor="text1"/>
                <w:szCs w:val="21"/>
              </w:rPr>
            </w:pPr>
            <w:r w:rsidRPr="00092862">
              <w:rPr>
                <w:color w:val="000000" w:themeColor="text1"/>
              </w:rPr>
              <w:t>0.0000369</w:t>
            </w:r>
          </w:p>
        </w:tc>
      </w:tr>
      <w:tr w:rsidR="00697429" w:rsidRPr="00092862" w14:paraId="7150044F" w14:textId="77777777" w:rsidTr="00653910">
        <w:trPr>
          <w:cantSplit/>
          <w:trHeight w:val="190"/>
          <w:jc w:val="center"/>
        </w:trPr>
        <w:tc>
          <w:tcPr>
            <w:tcW w:w="2696" w:type="pct"/>
            <w:vAlign w:val="center"/>
          </w:tcPr>
          <w:p w14:paraId="2A8121FD" w14:textId="77777777" w:rsidR="00653910" w:rsidRPr="00092862" w:rsidRDefault="00653910" w:rsidP="00E74664">
            <w:pPr>
              <w:pStyle w:val="afffff7"/>
              <w:rPr>
                <w:color w:val="000000" w:themeColor="text1"/>
              </w:rPr>
            </w:pPr>
            <w:r w:rsidRPr="00092862">
              <w:rPr>
                <w:color w:val="000000" w:themeColor="text1"/>
              </w:rPr>
              <w:t>He</w:t>
            </w:r>
          </w:p>
        </w:tc>
        <w:tc>
          <w:tcPr>
            <w:tcW w:w="1147" w:type="pct"/>
            <w:vAlign w:val="center"/>
          </w:tcPr>
          <w:p w14:paraId="3701A0C1" w14:textId="77777777" w:rsidR="00653910" w:rsidRPr="00092862" w:rsidRDefault="00653910" w:rsidP="00E74664">
            <w:pPr>
              <w:pStyle w:val="afffff7"/>
              <w:rPr>
                <w:color w:val="000000" w:themeColor="text1"/>
                <w:szCs w:val="21"/>
              </w:rPr>
            </w:pPr>
            <w:r w:rsidRPr="00092862">
              <w:rPr>
                <w:color w:val="000000" w:themeColor="text1"/>
                <w:szCs w:val="21"/>
              </w:rPr>
              <w:t>4.003</w:t>
            </w:r>
          </w:p>
        </w:tc>
        <w:tc>
          <w:tcPr>
            <w:tcW w:w="1157" w:type="pct"/>
            <w:vAlign w:val="center"/>
          </w:tcPr>
          <w:p w14:paraId="5480EEA5" w14:textId="77777777" w:rsidR="00653910" w:rsidRPr="00092862" w:rsidRDefault="00653910" w:rsidP="00E74664">
            <w:pPr>
              <w:pStyle w:val="afffff7"/>
              <w:rPr>
                <w:color w:val="000000" w:themeColor="text1"/>
                <w:szCs w:val="21"/>
              </w:rPr>
            </w:pPr>
            <w:r w:rsidRPr="00092862">
              <w:rPr>
                <w:color w:val="000000" w:themeColor="text1"/>
              </w:rPr>
              <w:t>0.012795</w:t>
            </w:r>
          </w:p>
        </w:tc>
      </w:tr>
    </w:tbl>
    <w:p w14:paraId="7685E5AF" w14:textId="77777777" w:rsidR="00FF312D" w:rsidRPr="00092862" w:rsidRDefault="00FF312D" w:rsidP="00FF312D">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92" w:name="_Toc120173101"/>
      <w:r w:rsidRPr="00092862">
        <w:rPr>
          <w:rFonts w:ascii="Times New Roman" w:eastAsia="黑体" w:hAnsi="Times New Roman"/>
          <w:b w:val="0"/>
          <w:color w:val="000000" w:themeColor="text1"/>
          <w:sz w:val="24"/>
          <w:szCs w:val="24"/>
          <w:lang w:eastAsia="zh-CN"/>
        </w:rPr>
        <w:t>3.2.3</w:t>
      </w:r>
      <w:r w:rsidRPr="00092862">
        <w:rPr>
          <w:rFonts w:ascii="Times New Roman" w:eastAsia="黑体" w:hAnsi="Times New Roman"/>
          <w:b w:val="0"/>
          <w:color w:val="000000" w:themeColor="text1"/>
          <w:sz w:val="24"/>
          <w:szCs w:val="24"/>
          <w:lang w:eastAsia="zh-CN"/>
        </w:rPr>
        <w:t>项目组成及建设内容</w:t>
      </w:r>
      <w:bookmarkEnd w:id="92"/>
    </w:p>
    <w:p w14:paraId="09C96E87" w14:textId="16DD01BB" w:rsidR="00FF312D" w:rsidRPr="00092862" w:rsidRDefault="00FF312D" w:rsidP="00FF312D">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项目组成包括</w:t>
      </w:r>
      <w:r w:rsidR="0060562C" w:rsidRPr="00092862">
        <w:rPr>
          <w:rFonts w:ascii="Times New Roman" w:eastAsia="宋体" w:hAnsi="Times New Roman" w:cs="Times New Roman"/>
          <w:color w:val="000000" w:themeColor="text1"/>
          <w:sz w:val="24"/>
        </w:rPr>
        <w:t>施工期钻前工程、钻</w:t>
      </w:r>
      <w:r w:rsidR="00E31BE9" w:rsidRPr="00092862">
        <w:rPr>
          <w:rFonts w:ascii="Times New Roman" w:eastAsia="宋体" w:hAnsi="Times New Roman" w:cs="Times New Roman"/>
          <w:color w:val="000000" w:themeColor="text1"/>
          <w:sz w:val="24"/>
        </w:rPr>
        <w:t>完</w:t>
      </w:r>
      <w:r w:rsidR="0060562C" w:rsidRPr="00092862">
        <w:rPr>
          <w:rFonts w:ascii="Times New Roman" w:eastAsia="宋体" w:hAnsi="Times New Roman" w:cs="Times New Roman"/>
          <w:color w:val="000000" w:themeColor="text1"/>
          <w:sz w:val="24"/>
        </w:rPr>
        <w:t>井工程和</w:t>
      </w:r>
      <w:r w:rsidR="001A6854" w:rsidRPr="00092862">
        <w:rPr>
          <w:rFonts w:ascii="Times New Roman" w:eastAsia="宋体" w:hAnsi="Times New Roman" w:cs="Times New Roman"/>
          <w:color w:val="000000" w:themeColor="text1"/>
          <w:sz w:val="24"/>
        </w:rPr>
        <w:t>试采期</w:t>
      </w:r>
      <w:r w:rsidR="0060562C" w:rsidRPr="00092862">
        <w:rPr>
          <w:rFonts w:ascii="Times New Roman" w:eastAsia="宋体" w:hAnsi="Times New Roman" w:cs="Times New Roman"/>
          <w:color w:val="000000" w:themeColor="text1"/>
          <w:sz w:val="24"/>
        </w:rPr>
        <w:t>采气工程</w:t>
      </w:r>
      <w:r w:rsidRPr="00092862">
        <w:rPr>
          <w:rFonts w:ascii="Times New Roman" w:eastAsia="宋体" w:hAnsi="Times New Roman" w:cs="Times New Roman"/>
          <w:color w:val="000000" w:themeColor="text1"/>
          <w:sz w:val="24"/>
        </w:rPr>
        <w:t>。其中钻井工程包括钻井作业、完井测试及测试完成后污染物处置；</w:t>
      </w:r>
      <w:r w:rsidR="000210E0"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工程在钻井完毕并获得天然气</w:t>
      </w:r>
      <w:r w:rsidR="006250BC" w:rsidRPr="00092862">
        <w:rPr>
          <w:rFonts w:ascii="Times New Roman" w:eastAsia="宋体" w:hAnsi="Times New Roman" w:cs="Times New Roman"/>
          <w:bCs/>
          <w:color w:val="000000" w:themeColor="text1"/>
          <w:sz w:val="24"/>
        </w:rPr>
        <w:t>资源</w:t>
      </w:r>
      <w:r w:rsidRPr="00092862">
        <w:rPr>
          <w:rFonts w:ascii="Times New Roman" w:eastAsia="宋体" w:hAnsi="Times New Roman" w:cs="Times New Roman"/>
          <w:bCs/>
          <w:color w:val="000000" w:themeColor="text1"/>
          <w:sz w:val="24"/>
        </w:rPr>
        <w:t>后实施，</w:t>
      </w:r>
      <w:r w:rsidR="009C3ED0" w:rsidRPr="00092862">
        <w:rPr>
          <w:rFonts w:ascii="Times New Roman" w:eastAsia="宋体" w:hAnsi="Times New Roman" w:cs="Times New Roman"/>
          <w:bCs/>
          <w:color w:val="000000" w:themeColor="text1"/>
          <w:sz w:val="24"/>
        </w:rPr>
        <w:t>将</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12569E" w:rsidRPr="00092862">
        <w:rPr>
          <w:rFonts w:ascii="Times New Roman" w:eastAsia="宋体" w:hAnsi="Times New Roman" w:cs="Times New Roman"/>
          <w:bCs/>
          <w:color w:val="000000" w:themeColor="text1"/>
          <w:sz w:val="24"/>
        </w:rPr>
        <w:t>集气站</w:t>
      </w:r>
      <w:r w:rsidR="009C3ED0" w:rsidRPr="00092862">
        <w:rPr>
          <w:rFonts w:ascii="Times New Roman" w:eastAsia="宋体" w:hAnsi="Times New Roman" w:cs="Times New Roman"/>
          <w:bCs/>
          <w:color w:val="000000" w:themeColor="text1"/>
          <w:sz w:val="24"/>
        </w:rPr>
        <w:t>内</w:t>
      </w:r>
      <w:r w:rsidR="00F84CC6" w:rsidRPr="00092862">
        <w:rPr>
          <w:rFonts w:ascii="Times New Roman" w:eastAsia="宋体" w:hAnsi="Times New Roman" w:cs="Times New Roman"/>
          <w:bCs/>
          <w:color w:val="000000" w:themeColor="text1"/>
          <w:sz w:val="24"/>
        </w:rPr>
        <w:t>施工期拆除的设施复建，并将原批复的甲醇加注撬（为临时装置，站内现状已无甲醇加注撬）替换为乙二醇加注撬，</w:t>
      </w:r>
      <w:r w:rsidR="004B5DBF" w:rsidRPr="00092862">
        <w:rPr>
          <w:rFonts w:ascii="Times New Roman" w:eastAsia="宋体" w:hAnsi="Times New Roman" w:cs="Times New Roman"/>
          <w:color w:val="000000" w:themeColor="text1"/>
          <w:sz w:val="24"/>
        </w:rPr>
        <w:t>新增单井超声波流量计，</w:t>
      </w:r>
      <w:r w:rsidR="00F84CC6" w:rsidRPr="00092862">
        <w:rPr>
          <w:rFonts w:ascii="Times New Roman" w:eastAsia="宋体" w:hAnsi="Times New Roman" w:cs="Times New Roman"/>
          <w:bCs/>
          <w:color w:val="000000" w:themeColor="text1"/>
          <w:sz w:val="24"/>
        </w:rPr>
        <w:t>依托</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12569E" w:rsidRPr="00092862">
        <w:rPr>
          <w:rFonts w:ascii="Times New Roman" w:eastAsia="宋体" w:hAnsi="Times New Roman" w:cs="Times New Roman"/>
          <w:bCs/>
          <w:color w:val="000000" w:themeColor="text1"/>
          <w:sz w:val="24"/>
        </w:rPr>
        <w:t>集气站</w:t>
      </w:r>
      <w:r w:rsidR="00F84CC6" w:rsidRPr="00092862">
        <w:rPr>
          <w:rFonts w:ascii="Times New Roman" w:eastAsia="宋体" w:hAnsi="Times New Roman" w:cs="Times New Roman"/>
          <w:bCs/>
          <w:color w:val="000000" w:themeColor="text1"/>
          <w:sz w:val="24"/>
        </w:rPr>
        <w:t>进行试采</w:t>
      </w:r>
      <w:r w:rsidRPr="00092862">
        <w:rPr>
          <w:rFonts w:ascii="Times New Roman" w:eastAsia="宋体" w:hAnsi="Times New Roman" w:cs="Times New Roman"/>
          <w:bCs/>
          <w:color w:val="000000" w:themeColor="text1"/>
          <w:sz w:val="24"/>
        </w:rPr>
        <w:t>。</w:t>
      </w:r>
    </w:p>
    <w:p w14:paraId="0FA1DF94" w14:textId="77777777" w:rsidR="00DC446C" w:rsidRPr="00092862" w:rsidRDefault="002A22B7" w:rsidP="003D2EE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w:t>
      </w:r>
      <w:r w:rsidR="003B1968" w:rsidRPr="00092862">
        <w:rPr>
          <w:rFonts w:ascii="Times New Roman" w:eastAsia="宋体" w:hAnsi="Times New Roman" w:cs="Times New Roman"/>
          <w:color w:val="000000" w:themeColor="text1"/>
          <w:sz w:val="24"/>
        </w:rPr>
        <w:t>施工期</w:t>
      </w:r>
    </w:p>
    <w:p w14:paraId="500ADC86" w14:textId="77777777" w:rsidR="00DC446C" w:rsidRPr="00092862" w:rsidRDefault="002A22B7" w:rsidP="003D2EEB">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003B1968" w:rsidRPr="00092862">
        <w:rPr>
          <w:rFonts w:ascii="Times New Roman" w:eastAsia="宋体" w:hAnsi="Times New Roman" w:cs="Times New Roman"/>
          <w:b/>
          <w:bCs/>
          <w:color w:val="000000" w:themeColor="text1"/>
          <w:sz w:val="24"/>
        </w:rPr>
        <w:t>1</w:t>
      </w:r>
      <w:r w:rsidR="003B1968" w:rsidRPr="00092862">
        <w:rPr>
          <w:rFonts w:ascii="Times New Roman" w:eastAsia="宋体" w:hAnsi="Times New Roman" w:cs="Times New Roman"/>
          <w:b/>
          <w:bCs/>
          <w:color w:val="000000" w:themeColor="text1"/>
          <w:sz w:val="24"/>
        </w:rPr>
        <w:t>）钻前工程</w:t>
      </w:r>
    </w:p>
    <w:p w14:paraId="4BBADD84" w14:textId="09AD5623" w:rsidR="00DC446C" w:rsidRPr="00092862" w:rsidRDefault="00507764" w:rsidP="00357C7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在原老君</w:t>
      </w:r>
      <w:r w:rsidRPr="00092862">
        <w:rPr>
          <w:rFonts w:ascii="Times New Roman" w:eastAsia="宋体" w:hAnsi="Times New Roman" w:cs="Times New Roman"/>
          <w:color w:val="000000" w:themeColor="text1"/>
          <w:sz w:val="24"/>
        </w:rPr>
        <w:t>701</w:t>
      </w:r>
      <w:r w:rsidRPr="00092862">
        <w:rPr>
          <w:rFonts w:ascii="Times New Roman" w:eastAsia="宋体" w:hAnsi="Times New Roman" w:cs="Times New Roman"/>
          <w:color w:val="000000" w:themeColor="text1"/>
          <w:sz w:val="24"/>
        </w:rPr>
        <w:t>集气站旁</w:t>
      </w:r>
      <w:r w:rsidR="009D714C" w:rsidRPr="00092862">
        <w:rPr>
          <w:rFonts w:ascii="Times New Roman" w:eastAsia="宋体" w:hAnsi="Times New Roman" w:cs="Times New Roman"/>
          <w:color w:val="000000" w:themeColor="text1"/>
          <w:sz w:val="24"/>
        </w:rPr>
        <w:t>建设</w:t>
      </w:r>
      <w:r w:rsidR="00F84CC6" w:rsidRPr="00092862">
        <w:rPr>
          <w:rFonts w:ascii="Times New Roman" w:eastAsia="宋体" w:hAnsi="Times New Roman" w:cs="Times New Roman"/>
          <w:color w:val="000000" w:themeColor="text1"/>
          <w:sz w:val="24"/>
        </w:rPr>
        <w:t>，</w:t>
      </w:r>
      <w:r w:rsidR="009D714C" w:rsidRPr="00092862">
        <w:rPr>
          <w:rFonts w:ascii="Times New Roman" w:eastAsia="宋体" w:hAnsi="Times New Roman" w:cs="Times New Roman"/>
          <w:color w:val="000000" w:themeColor="text1"/>
          <w:sz w:val="24"/>
        </w:rPr>
        <w:t>钻前工程主要新建井场长</w:t>
      </w:r>
      <w:r w:rsidR="009D714C" w:rsidRPr="00092862">
        <w:rPr>
          <w:rFonts w:ascii="Times New Roman" w:eastAsia="宋体" w:hAnsi="Times New Roman" w:cs="Times New Roman"/>
          <w:color w:val="000000" w:themeColor="text1"/>
          <w:sz w:val="24"/>
        </w:rPr>
        <w:t xml:space="preserve"> 190m</w:t>
      </w:r>
      <w:r w:rsidR="009D714C" w:rsidRPr="00092862">
        <w:rPr>
          <w:rFonts w:ascii="Times New Roman" w:eastAsia="宋体" w:hAnsi="Times New Roman" w:cs="Times New Roman"/>
          <w:color w:val="000000" w:themeColor="text1"/>
          <w:sz w:val="24"/>
        </w:rPr>
        <w:t>，宽</w:t>
      </w:r>
      <w:r w:rsidR="009D714C" w:rsidRPr="00092862">
        <w:rPr>
          <w:rFonts w:ascii="Times New Roman" w:eastAsia="宋体" w:hAnsi="Times New Roman" w:cs="Times New Roman"/>
          <w:color w:val="000000" w:themeColor="text1"/>
          <w:sz w:val="24"/>
        </w:rPr>
        <w:t xml:space="preserve"> 55m</w:t>
      </w:r>
      <w:r w:rsidR="009D714C" w:rsidRPr="00092862">
        <w:rPr>
          <w:rFonts w:ascii="Times New Roman" w:eastAsia="宋体" w:hAnsi="Times New Roman" w:cs="Times New Roman"/>
          <w:color w:val="000000" w:themeColor="text1"/>
          <w:sz w:val="24"/>
        </w:rPr>
        <w:t>，并</w:t>
      </w:r>
      <w:r w:rsidR="00751B66" w:rsidRPr="00092862">
        <w:rPr>
          <w:rFonts w:ascii="Times New Roman" w:eastAsia="宋体" w:hAnsi="Times New Roman" w:cs="Times New Roman"/>
          <w:color w:val="000000" w:themeColor="text1"/>
          <w:sz w:val="24"/>
        </w:rPr>
        <w:t>新建</w:t>
      </w:r>
      <w:r w:rsidR="00CD6482" w:rsidRPr="00092862">
        <w:rPr>
          <w:rFonts w:ascii="Times New Roman" w:eastAsia="宋体" w:hAnsi="Times New Roman" w:cs="Times New Roman"/>
          <w:color w:val="000000" w:themeColor="text1"/>
          <w:sz w:val="24"/>
        </w:rPr>
        <w:t>井架基础、放喷池、</w:t>
      </w:r>
      <w:r w:rsidR="00751B66" w:rsidRPr="00092862">
        <w:rPr>
          <w:rFonts w:ascii="Times New Roman" w:eastAsia="宋体" w:hAnsi="Times New Roman" w:cs="Times New Roman"/>
          <w:color w:val="000000" w:themeColor="text1"/>
          <w:sz w:val="24"/>
        </w:rPr>
        <w:t>泥浆罐基础、泥浆不落地基础、循环罐基础、储备罐基础、油罐基础、发电机房基础等</w:t>
      </w:r>
      <w:r w:rsidR="00F84CC6" w:rsidRPr="00092862">
        <w:rPr>
          <w:rFonts w:ascii="Times New Roman" w:eastAsia="宋体" w:hAnsi="Times New Roman" w:cs="Times New Roman"/>
          <w:color w:val="000000" w:themeColor="text1"/>
          <w:sz w:val="24"/>
        </w:rPr>
        <w:t>，</w:t>
      </w:r>
      <w:r w:rsidR="00CD6482" w:rsidRPr="00092862">
        <w:rPr>
          <w:rFonts w:ascii="Times New Roman" w:eastAsia="宋体" w:hAnsi="Times New Roman" w:cs="Times New Roman"/>
          <w:color w:val="000000" w:themeColor="text1"/>
          <w:sz w:val="24"/>
        </w:rPr>
        <w:t>修复利旧原老君</w:t>
      </w:r>
      <w:r w:rsidR="00CD6482" w:rsidRPr="00092862">
        <w:rPr>
          <w:rFonts w:ascii="Times New Roman" w:eastAsia="宋体" w:hAnsi="Times New Roman" w:cs="Times New Roman"/>
          <w:color w:val="000000" w:themeColor="text1"/>
          <w:sz w:val="24"/>
        </w:rPr>
        <w:t>4</w:t>
      </w:r>
      <w:r w:rsidR="00CD6482" w:rsidRPr="00092862">
        <w:rPr>
          <w:rFonts w:ascii="Times New Roman" w:eastAsia="宋体" w:hAnsi="Times New Roman" w:cs="Times New Roman"/>
          <w:color w:val="000000" w:themeColor="text1"/>
          <w:sz w:val="24"/>
        </w:rPr>
        <w:t>井场已建设清水池</w:t>
      </w:r>
      <w:r w:rsidR="00CD6482" w:rsidRPr="00092862">
        <w:rPr>
          <w:rFonts w:ascii="Times New Roman" w:eastAsia="宋体" w:hAnsi="Times New Roman" w:cs="Times New Roman"/>
          <w:color w:val="000000" w:themeColor="text1"/>
          <w:sz w:val="24"/>
        </w:rPr>
        <w:t>1</w:t>
      </w:r>
      <w:r w:rsidR="00CD6482" w:rsidRPr="00092862">
        <w:rPr>
          <w:rFonts w:ascii="Times New Roman" w:eastAsia="宋体" w:hAnsi="Times New Roman" w:cs="Times New Roman"/>
          <w:color w:val="000000" w:themeColor="text1"/>
          <w:sz w:val="24"/>
        </w:rPr>
        <w:t>座，修复利旧元老君</w:t>
      </w:r>
      <w:r w:rsidR="00CD6482" w:rsidRPr="00092862">
        <w:rPr>
          <w:rFonts w:ascii="Times New Roman" w:eastAsia="宋体" w:hAnsi="Times New Roman" w:cs="Times New Roman"/>
          <w:color w:val="000000" w:themeColor="text1"/>
          <w:sz w:val="24"/>
        </w:rPr>
        <w:t>4</w:t>
      </w:r>
      <w:r w:rsidR="00CD6482" w:rsidRPr="00092862">
        <w:rPr>
          <w:rFonts w:ascii="Times New Roman" w:eastAsia="宋体" w:hAnsi="Times New Roman" w:cs="Times New Roman"/>
          <w:color w:val="000000" w:themeColor="text1"/>
          <w:sz w:val="24"/>
        </w:rPr>
        <w:t>井场放喷池</w:t>
      </w:r>
      <w:r w:rsidR="00CD6482" w:rsidRPr="00092862">
        <w:rPr>
          <w:rFonts w:ascii="Times New Roman" w:eastAsia="宋体" w:hAnsi="Times New Roman" w:cs="Times New Roman"/>
          <w:color w:val="000000" w:themeColor="text1"/>
          <w:sz w:val="24"/>
        </w:rPr>
        <w:t>1</w:t>
      </w:r>
      <w:r w:rsidR="00CD6482" w:rsidRPr="00092862">
        <w:rPr>
          <w:rFonts w:ascii="Times New Roman" w:eastAsia="宋体" w:hAnsi="Times New Roman" w:cs="Times New Roman"/>
          <w:color w:val="000000" w:themeColor="text1"/>
          <w:sz w:val="24"/>
        </w:rPr>
        <w:t>座</w:t>
      </w:r>
      <w:r w:rsidR="00F84CC6" w:rsidRPr="00092862">
        <w:rPr>
          <w:rFonts w:ascii="Times New Roman" w:eastAsia="宋体" w:hAnsi="Times New Roman" w:cs="Times New Roman"/>
          <w:color w:val="000000" w:themeColor="text1"/>
          <w:sz w:val="24"/>
        </w:rPr>
        <w:t>。</w:t>
      </w:r>
      <w:r w:rsidR="003B1968" w:rsidRPr="00092862">
        <w:rPr>
          <w:rFonts w:ascii="Times New Roman" w:eastAsia="宋体" w:hAnsi="Times New Roman" w:cs="Times New Roman"/>
          <w:color w:val="000000" w:themeColor="text1"/>
          <w:sz w:val="24"/>
        </w:rPr>
        <w:t>本项目钻前工程项目组成见表</w:t>
      </w:r>
      <w:r w:rsidR="00FF312D" w:rsidRPr="00092862">
        <w:rPr>
          <w:rFonts w:ascii="Times New Roman" w:eastAsia="宋体" w:hAnsi="Times New Roman" w:cs="Times New Roman"/>
          <w:color w:val="000000" w:themeColor="text1"/>
          <w:sz w:val="24"/>
        </w:rPr>
        <w:t>3</w:t>
      </w:r>
      <w:r w:rsidR="00D143FA" w:rsidRPr="00092862">
        <w:rPr>
          <w:rFonts w:ascii="Times New Roman" w:eastAsia="宋体" w:hAnsi="Times New Roman" w:cs="Times New Roman"/>
          <w:color w:val="000000" w:themeColor="text1"/>
          <w:sz w:val="24"/>
        </w:rPr>
        <w:t>.2-</w:t>
      </w:r>
      <w:r w:rsidR="001F5ACB" w:rsidRPr="00092862">
        <w:rPr>
          <w:rFonts w:ascii="Times New Roman" w:eastAsia="宋体" w:hAnsi="Times New Roman" w:cs="Times New Roman"/>
          <w:color w:val="000000" w:themeColor="text1"/>
          <w:sz w:val="24"/>
        </w:rPr>
        <w:t>13</w:t>
      </w:r>
      <w:r w:rsidR="003B1968" w:rsidRPr="00092862">
        <w:rPr>
          <w:rFonts w:ascii="Times New Roman" w:eastAsia="宋体" w:hAnsi="Times New Roman" w:cs="Times New Roman"/>
          <w:color w:val="000000" w:themeColor="text1"/>
          <w:sz w:val="24"/>
        </w:rPr>
        <w:t>。</w:t>
      </w:r>
    </w:p>
    <w:p w14:paraId="5AD0ECD0" w14:textId="63020AFF" w:rsidR="002A22B7"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FF312D" w:rsidRPr="00092862">
        <w:rPr>
          <w:rFonts w:ascii="Times New Roman" w:eastAsia="黑体" w:hAnsi="Times New Roman"/>
          <w:color w:val="000000" w:themeColor="text1"/>
          <w:sz w:val="21"/>
          <w:szCs w:val="21"/>
          <w:lang w:eastAsia="zh-CN"/>
        </w:rPr>
        <w:t>3.</w:t>
      </w:r>
      <w:r w:rsidR="00D143FA" w:rsidRPr="00092862">
        <w:rPr>
          <w:rFonts w:ascii="Times New Roman" w:eastAsia="黑体" w:hAnsi="Times New Roman"/>
          <w:color w:val="000000" w:themeColor="text1"/>
          <w:sz w:val="21"/>
          <w:szCs w:val="21"/>
          <w:lang w:eastAsia="zh-CN"/>
        </w:rPr>
        <w:t>2-</w:t>
      </w:r>
      <w:r w:rsidR="001F5ACB" w:rsidRPr="00092862">
        <w:rPr>
          <w:rFonts w:ascii="Times New Roman" w:eastAsia="黑体" w:hAnsi="Times New Roman"/>
          <w:color w:val="000000" w:themeColor="text1"/>
          <w:sz w:val="21"/>
          <w:szCs w:val="21"/>
          <w:lang w:eastAsia="zh-CN"/>
        </w:rPr>
        <w:t>13</w:t>
      </w:r>
      <w:r w:rsidRPr="00092862">
        <w:rPr>
          <w:rFonts w:ascii="Times New Roman" w:eastAsia="黑体" w:hAnsi="Times New Roman"/>
          <w:color w:val="000000" w:themeColor="text1"/>
          <w:sz w:val="21"/>
          <w:szCs w:val="21"/>
          <w:lang w:eastAsia="zh-CN"/>
        </w:rPr>
        <w:t xml:space="preserve"> </w:t>
      </w:r>
      <w:r w:rsidR="002A22B7"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钻前工程项目组成及主要环境影响一览表</w:t>
      </w:r>
    </w:p>
    <w:tbl>
      <w:tblPr>
        <w:tblW w:w="8222" w:type="dxa"/>
        <w:jc w:val="center"/>
        <w:tblBorders>
          <w:top w:val="single" w:sz="8" w:space="0" w:color="000000"/>
          <w:left w:val="single" w:sz="8" w:space="0" w:color="000000"/>
          <w:bottom w:val="single" w:sz="4" w:space="0" w:color="auto"/>
          <w:right w:val="single" w:sz="8" w:space="0" w:color="000000"/>
          <w:insideH w:val="single" w:sz="6" w:space="0" w:color="000000"/>
          <w:insideV w:val="single" w:sz="6" w:space="0" w:color="000000"/>
        </w:tblBorders>
        <w:tblLayout w:type="fixed"/>
        <w:tblCellMar>
          <w:left w:w="57" w:type="dxa"/>
          <w:right w:w="57" w:type="dxa"/>
        </w:tblCellMar>
        <w:tblLook w:val="0000" w:firstRow="0" w:lastRow="0" w:firstColumn="0" w:lastColumn="0" w:noHBand="0" w:noVBand="0"/>
      </w:tblPr>
      <w:tblGrid>
        <w:gridCol w:w="581"/>
        <w:gridCol w:w="1076"/>
        <w:gridCol w:w="3862"/>
        <w:gridCol w:w="1669"/>
        <w:gridCol w:w="1034"/>
      </w:tblGrid>
      <w:tr w:rsidR="00697429" w:rsidRPr="00092862" w14:paraId="2EACBF72" w14:textId="77777777" w:rsidTr="00E74664">
        <w:trPr>
          <w:jc w:val="center"/>
        </w:trPr>
        <w:tc>
          <w:tcPr>
            <w:tcW w:w="581" w:type="dxa"/>
            <w:vAlign w:val="center"/>
          </w:tcPr>
          <w:p w14:paraId="25517FED" w14:textId="77777777" w:rsidR="00E67F2B" w:rsidRPr="00092862" w:rsidRDefault="00E67F2B"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工程分类</w:t>
            </w:r>
          </w:p>
        </w:tc>
        <w:tc>
          <w:tcPr>
            <w:tcW w:w="1076" w:type="dxa"/>
            <w:vAlign w:val="center"/>
          </w:tcPr>
          <w:p w14:paraId="42A56104" w14:textId="77777777" w:rsidR="00E67F2B" w:rsidRPr="00092862" w:rsidRDefault="00E67F2B"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项目名称</w:t>
            </w:r>
          </w:p>
        </w:tc>
        <w:tc>
          <w:tcPr>
            <w:tcW w:w="3862" w:type="dxa"/>
            <w:vAlign w:val="center"/>
          </w:tcPr>
          <w:p w14:paraId="5D87BFF3" w14:textId="77777777" w:rsidR="00E67F2B" w:rsidRPr="00092862" w:rsidRDefault="00E67F2B"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主要建设内容</w:t>
            </w:r>
          </w:p>
        </w:tc>
        <w:tc>
          <w:tcPr>
            <w:tcW w:w="1669" w:type="dxa"/>
            <w:vAlign w:val="center"/>
          </w:tcPr>
          <w:p w14:paraId="3BDBC3E4" w14:textId="77777777" w:rsidR="00E67F2B" w:rsidRPr="00092862" w:rsidRDefault="00E67F2B"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可能存在的环境问题</w:t>
            </w:r>
          </w:p>
        </w:tc>
        <w:tc>
          <w:tcPr>
            <w:tcW w:w="1034" w:type="dxa"/>
            <w:vAlign w:val="center"/>
          </w:tcPr>
          <w:p w14:paraId="78F6C9E8" w14:textId="77777777" w:rsidR="00E67F2B" w:rsidRPr="00092862" w:rsidRDefault="00E67F2B"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备注</w:t>
            </w:r>
          </w:p>
        </w:tc>
      </w:tr>
      <w:tr w:rsidR="00697429" w:rsidRPr="00092862" w14:paraId="775D2390" w14:textId="77777777" w:rsidTr="00E74664">
        <w:trPr>
          <w:jc w:val="center"/>
        </w:trPr>
        <w:tc>
          <w:tcPr>
            <w:tcW w:w="581" w:type="dxa"/>
            <w:vMerge w:val="restart"/>
            <w:vAlign w:val="center"/>
          </w:tcPr>
          <w:p w14:paraId="34393D20" w14:textId="77777777"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主体工程</w:t>
            </w:r>
          </w:p>
        </w:tc>
        <w:tc>
          <w:tcPr>
            <w:tcW w:w="1076" w:type="dxa"/>
            <w:vAlign w:val="center"/>
          </w:tcPr>
          <w:p w14:paraId="12EABDC2" w14:textId="77777777"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场地平整</w:t>
            </w:r>
          </w:p>
        </w:tc>
        <w:tc>
          <w:tcPr>
            <w:tcW w:w="3862" w:type="dxa"/>
            <w:vAlign w:val="center"/>
          </w:tcPr>
          <w:p w14:paraId="527E79BE" w14:textId="27327C9B"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在原老君</w:t>
            </w:r>
            <w:r w:rsidRPr="00092862">
              <w:rPr>
                <w:rFonts w:ascii="Times New Roman" w:eastAsia="宋体" w:hAnsi="Times New Roman" w:cs="Times New Roman"/>
                <w:color w:val="000000" w:themeColor="text1"/>
                <w:szCs w:val="21"/>
              </w:rPr>
              <w:t>701</w:t>
            </w:r>
            <w:r w:rsidRPr="00092862">
              <w:rPr>
                <w:rFonts w:ascii="Times New Roman" w:eastAsia="宋体" w:hAnsi="Times New Roman" w:cs="Times New Roman"/>
                <w:color w:val="000000" w:themeColor="text1"/>
                <w:szCs w:val="21"/>
              </w:rPr>
              <w:t>集气站旁，新建井架基础、放喷池、泥浆罐基础、泥浆不落地基础、循环罐基础、储备罐基础、油罐基础、发电机房基础等</w:t>
            </w:r>
          </w:p>
        </w:tc>
        <w:tc>
          <w:tcPr>
            <w:tcW w:w="1669" w:type="dxa"/>
            <w:vMerge w:val="restart"/>
            <w:vAlign w:val="center"/>
          </w:tcPr>
          <w:p w14:paraId="591145B0" w14:textId="503869D4"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新增水土流失。施工扬尘、废水和施工人员生活污水、生活垃圾等。</w:t>
            </w:r>
          </w:p>
        </w:tc>
        <w:tc>
          <w:tcPr>
            <w:tcW w:w="1034" w:type="dxa"/>
            <w:vAlign w:val="center"/>
          </w:tcPr>
          <w:p w14:paraId="06AB5EB6" w14:textId="07E69EE0"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097B3DA6" w14:textId="77777777" w:rsidTr="00E74664">
        <w:trPr>
          <w:jc w:val="center"/>
        </w:trPr>
        <w:tc>
          <w:tcPr>
            <w:tcW w:w="581" w:type="dxa"/>
            <w:vMerge/>
            <w:vAlign w:val="center"/>
          </w:tcPr>
          <w:p w14:paraId="4B2A3509"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2D417F80" w14:textId="77777777"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井口方井</w:t>
            </w:r>
          </w:p>
        </w:tc>
        <w:tc>
          <w:tcPr>
            <w:tcW w:w="3862" w:type="dxa"/>
            <w:vAlign w:val="center"/>
          </w:tcPr>
          <w:p w14:paraId="44C51430" w14:textId="1AD99CF9"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新建两口方井井口</w:t>
            </w:r>
          </w:p>
        </w:tc>
        <w:tc>
          <w:tcPr>
            <w:tcW w:w="1669" w:type="dxa"/>
            <w:vMerge/>
            <w:vAlign w:val="center"/>
          </w:tcPr>
          <w:p w14:paraId="57A4423D"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34" w:type="dxa"/>
            <w:vAlign w:val="center"/>
          </w:tcPr>
          <w:p w14:paraId="538DFEF7" w14:textId="731D1E52"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48CF5741" w14:textId="77777777" w:rsidTr="00E74664">
        <w:trPr>
          <w:jc w:val="center"/>
        </w:trPr>
        <w:tc>
          <w:tcPr>
            <w:tcW w:w="581" w:type="dxa"/>
            <w:vMerge/>
            <w:vAlign w:val="center"/>
          </w:tcPr>
          <w:p w14:paraId="57F8BCB4"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7C6C3674" w14:textId="77777777"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设备、设施基础</w:t>
            </w:r>
          </w:p>
        </w:tc>
        <w:tc>
          <w:tcPr>
            <w:tcW w:w="3862" w:type="dxa"/>
            <w:vAlign w:val="center"/>
          </w:tcPr>
          <w:p w14:paraId="5E720403" w14:textId="0CC373BF"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采用</w:t>
            </w:r>
            <w:r w:rsidRPr="00092862">
              <w:rPr>
                <w:rFonts w:ascii="Times New Roman" w:eastAsia="宋体" w:hAnsi="Times New Roman" w:cs="Times New Roman"/>
                <w:color w:val="000000" w:themeColor="text1"/>
                <w:szCs w:val="21"/>
              </w:rPr>
              <w:t>ZJ70</w:t>
            </w:r>
            <w:r w:rsidRPr="00092862">
              <w:rPr>
                <w:rFonts w:ascii="Times New Roman" w:eastAsia="宋体" w:hAnsi="Times New Roman" w:cs="Times New Roman"/>
                <w:color w:val="000000" w:themeColor="text1"/>
                <w:szCs w:val="21"/>
              </w:rPr>
              <w:t>钻机设备，共计</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套，井架基础以粘土层为持力层，以</w:t>
            </w:r>
            <w:r w:rsidRPr="00092862">
              <w:rPr>
                <w:rFonts w:ascii="Times New Roman" w:eastAsia="宋体" w:hAnsi="Times New Roman" w:cs="Times New Roman"/>
                <w:color w:val="000000" w:themeColor="text1"/>
                <w:szCs w:val="21"/>
              </w:rPr>
              <w:t>C25</w:t>
            </w:r>
            <w:r w:rsidRPr="00092862">
              <w:rPr>
                <w:rFonts w:ascii="Times New Roman" w:eastAsia="宋体" w:hAnsi="Times New Roman" w:cs="Times New Roman"/>
                <w:color w:val="000000" w:themeColor="text1"/>
                <w:szCs w:val="21"/>
              </w:rPr>
              <w:t>钢筋混凝土基础，重点防渗处理</w:t>
            </w:r>
          </w:p>
        </w:tc>
        <w:tc>
          <w:tcPr>
            <w:tcW w:w="1669" w:type="dxa"/>
            <w:vMerge/>
            <w:vAlign w:val="center"/>
          </w:tcPr>
          <w:p w14:paraId="5710DB4D"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34" w:type="dxa"/>
            <w:vAlign w:val="center"/>
          </w:tcPr>
          <w:p w14:paraId="3CBA0E9C" w14:textId="65F9D8A4"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1363B6B9" w14:textId="77777777" w:rsidTr="00E74664">
        <w:trPr>
          <w:jc w:val="center"/>
        </w:trPr>
        <w:tc>
          <w:tcPr>
            <w:tcW w:w="581" w:type="dxa"/>
            <w:vMerge/>
            <w:vAlign w:val="center"/>
          </w:tcPr>
          <w:p w14:paraId="5553379F"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7489B4E3" w14:textId="77777777" w:rsidR="00CD6482" w:rsidRPr="00092862" w:rsidRDefault="00CD6482"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放喷池</w:t>
            </w:r>
          </w:p>
        </w:tc>
        <w:tc>
          <w:tcPr>
            <w:tcW w:w="3862" w:type="dxa"/>
            <w:vAlign w:val="center"/>
          </w:tcPr>
          <w:p w14:paraId="61ED5868" w14:textId="1EB8783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新建放喷池</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座，尺寸为</w:t>
            </w:r>
            <w:r w:rsidRPr="00092862">
              <w:rPr>
                <w:rFonts w:ascii="Times New Roman" w:eastAsia="宋体" w:hAnsi="Times New Roman" w:cs="Times New Roman"/>
                <w:color w:val="000000" w:themeColor="text1"/>
                <w:szCs w:val="21"/>
              </w:rPr>
              <w:t xml:space="preserve"> 10m×20m×1.5m</w:t>
            </w:r>
            <w:r w:rsidRPr="00092862">
              <w:rPr>
                <w:rFonts w:ascii="Times New Roman" w:eastAsia="宋体" w:hAnsi="Times New Roman" w:cs="Times New Roman"/>
                <w:color w:val="000000" w:themeColor="text1"/>
                <w:szCs w:val="21"/>
              </w:rPr>
              <w:t>，容积为</w:t>
            </w:r>
            <w:r w:rsidRPr="00092862">
              <w:rPr>
                <w:rFonts w:ascii="Times New Roman" w:eastAsia="宋体" w:hAnsi="Times New Roman" w:cs="Times New Roman"/>
                <w:color w:val="000000" w:themeColor="text1"/>
                <w:szCs w:val="21"/>
              </w:rPr>
              <w:t>300m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，用于测试放喷，池内重点防渗；同时修复利旧元老君</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井场放喷池</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座，尺寸为</w:t>
            </w:r>
            <w:r w:rsidRPr="00092862">
              <w:rPr>
                <w:rFonts w:ascii="Times New Roman" w:eastAsia="宋体" w:hAnsi="Times New Roman" w:cs="Times New Roman"/>
                <w:color w:val="000000" w:themeColor="text1"/>
                <w:szCs w:val="21"/>
              </w:rPr>
              <w:t xml:space="preserve"> 10m×20m×1.5m</w:t>
            </w:r>
            <w:r w:rsidRPr="00092862">
              <w:rPr>
                <w:rFonts w:ascii="Times New Roman" w:eastAsia="宋体" w:hAnsi="Times New Roman" w:cs="Times New Roman"/>
                <w:color w:val="000000" w:themeColor="text1"/>
                <w:szCs w:val="21"/>
              </w:rPr>
              <w:t>，容积为</w:t>
            </w:r>
            <w:r w:rsidRPr="00092862">
              <w:rPr>
                <w:rFonts w:ascii="Times New Roman" w:eastAsia="宋体" w:hAnsi="Times New Roman" w:cs="Times New Roman"/>
                <w:color w:val="000000" w:themeColor="text1"/>
                <w:szCs w:val="21"/>
              </w:rPr>
              <w:t>300m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，用于测试放喷，池内重点防渗。</w:t>
            </w:r>
          </w:p>
        </w:tc>
        <w:tc>
          <w:tcPr>
            <w:tcW w:w="1669" w:type="dxa"/>
            <w:vMerge/>
            <w:vAlign w:val="center"/>
          </w:tcPr>
          <w:p w14:paraId="69657601"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34" w:type="dxa"/>
            <w:vAlign w:val="center"/>
          </w:tcPr>
          <w:p w14:paraId="746CF79A" w14:textId="74AD61D3"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修复利旧</w:t>
            </w:r>
          </w:p>
        </w:tc>
      </w:tr>
      <w:tr w:rsidR="00697429" w:rsidRPr="00092862" w14:paraId="04EA3A6F" w14:textId="77777777" w:rsidTr="00E74664">
        <w:trPr>
          <w:jc w:val="center"/>
        </w:trPr>
        <w:tc>
          <w:tcPr>
            <w:tcW w:w="581" w:type="dxa"/>
            <w:vMerge/>
            <w:vAlign w:val="center"/>
          </w:tcPr>
          <w:p w14:paraId="372C8D25"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432F9EE1" w14:textId="692AFBE3"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清水池</w:t>
            </w:r>
          </w:p>
        </w:tc>
        <w:tc>
          <w:tcPr>
            <w:tcW w:w="3862" w:type="dxa"/>
            <w:vAlign w:val="center"/>
          </w:tcPr>
          <w:p w14:paraId="14EF00CC" w14:textId="1A4ACB26"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修复原老君</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井场清水池</w:t>
            </w:r>
            <w:r w:rsidRPr="00092862">
              <w:rPr>
                <w:rFonts w:ascii="Times New Roman" w:eastAsia="宋体" w:hAnsi="Times New Roman" w:cs="Times New Roman"/>
                <w:color w:val="000000" w:themeColor="text1"/>
                <w:szCs w:val="21"/>
              </w:rPr>
              <w:t xml:space="preserve"> 1 </w:t>
            </w:r>
            <w:r w:rsidRPr="00092862">
              <w:rPr>
                <w:rFonts w:ascii="Times New Roman" w:eastAsia="宋体" w:hAnsi="Times New Roman" w:cs="Times New Roman"/>
                <w:color w:val="000000" w:themeColor="text1"/>
                <w:szCs w:val="21"/>
              </w:rPr>
              <w:t>座，尺寸为</w:t>
            </w:r>
            <w:r w:rsidRPr="00092862">
              <w:rPr>
                <w:rFonts w:ascii="Times New Roman" w:eastAsia="宋体" w:hAnsi="Times New Roman" w:cs="Times New Roman"/>
                <w:color w:val="000000" w:themeColor="text1"/>
                <w:szCs w:val="21"/>
              </w:rPr>
              <w:t xml:space="preserve"> 10m×20m×4m</w:t>
            </w:r>
            <w:r w:rsidRPr="00092862">
              <w:rPr>
                <w:rFonts w:ascii="Times New Roman" w:eastAsia="宋体" w:hAnsi="Times New Roman" w:cs="Times New Roman"/>
                <w:color w:val="000000" w:themeColor="text1"/>
                <w:szCs w:val="21"/>
              </w:rPr>
              <w:t>，材料为</w:t>
            </w:r>
            <w:r w:rsidRPr="00092862">
              <w:rPr>
                <w:rFonts w:ascii="Times New Roman" w:eastAsia="宋体" w:hAnsi="Times New Roman" w:cs="Times New Roman"/>
                <w:color w:val="000000" w:themeColor="text1"/>
                <w:szCs w:val="21"/>
              </w:rPr>
              <w:t xml:space="preserve"> C30 </w:t>
            </w:r>
            <w:r w:rsidRPr="00092862">
              <w:rPr>
                <w:rFonts w:ascii="Times New Roman" w:eastAsia="宋体" w:hAnsi="Times New Roman" w:cs="Times New Roman"/>
                <w:color w:val="000000" w:themeColor="text1"/>
                <w:szCs w:val="21"/>
              </w:rPr>
              <w:t>抗渗钢筋混凝土，表面做防</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渗处理</w:t>
            </w:r>
          </w:p>
        </w:tc>
        <w:tc>
          <w:tcPr>
            <w:tcW w:w="1669" w:type="dxa"/>
            <w:vMerge/>
            <w:vAlign w:val="center"/>
          </w:tcPr>
          <w:p w14:paraId="2FFE4A88" w14:textId="77777777"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p>
        </w:tc>
        <w:tc>
          <w:tcPr>
            <w:tcW w:w="1034" w:type="dxa"/>
            <w:vAlign w:val="center"/>
          </w:tcPr>
          <w:p w14:paraId="497E14A1" w14:textId="3F93E86A" w:rsidR="00CD6482"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修复利旧</w:t>
            </w:r>
          </w:p>
        </w:tc>
      </w:tr>
      <w:tr w:rsidR="00697429" w:rsidRPr="00092862" w14:paraId="420A28C5" w14:textId="77777777" w:rsidTr="00E74664">
        <w:trPr>
          <w:jc w:val="center"/>
        </w:trPr>
        <w:tc>
          <w:tcPr>
            <w:tcW w:w="581" w:type="dxa"/>
            <w:vMerge w:val="restart"/>
            <w:vAlign w:val="center"/>
          </w:tcPr>
          <w:p w14:paraId="28B84487" w14:textId="77777777" w:rsidR="00C65A06" w:rsidRPr="00092862" w:rsidRDefault="00C65A06"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储运工程</w:t>
            </w:r>
          </w:p>
        </w:tc>
        <w:tc>
          <w:tcPr>
            <w:tcW w:w="1076" w:type="dxa"/>
            <w:vAlign w:val="center"/>
          </w:tcPr>
          <w:p w14:paraId="4029C68F" w14:textId="77777777" w:rsidR="00C65A06" w:rsidRPr="00092862" w:rsidRDefault="00C65A06"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表土临时堆场</w:t>
            </w:r>
          </w:p>
        </w:tc>
        <w:tc>
          <w:tcPr>
            <w:tcW w:w="3862" w:type="dxa"/>
            <w:vAlign w:val="center"/>
          </w:tcPr>
          <w:p w14:paraId="1DB33BC9" w14:textId="7A09CDE4" w:rsidR="00C65A06"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设置表土堆放区</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处，位于井场北侧、占地</w:t>
            </w:r>
            <w:r w:rsidRPr="00092862">
              <w:rPr>
                <w:rFonts w:ascii="Times New Roman" w:eastAsia="宋体" w:hAnsi="Times New Roman" w:cs="Times New Roman"/>
                <w:color w:val="000000" w:themeColor="text1"/>
                <w:szCs w:val="21"/>
              </w:rPr>
              <w:t>3533.4m</w:t>
            </w:r>
            <w:r w:rsidRPr="00092862">
              <w:rPr>
                <w:rFonts w:ascii="Times New Roman" w:eastAsia="宋体" w:hAnsi="Times New Roman" w:cs="Times New Roman"/>
                <w:color w:val="000000" w:themeColor="text1"/>
                <w:szCs w:val="21"/>
                <w:vertAlign w:val="superscript"/>
              </w:rPr>
              <w:t>2</w:t>
            </w:r>
          </w:p>
        </w:tc>
        <w:tc>
          <w:tcPr>
            <w:tcW w:w="1669" w:type="dxa"/>
            <w:vMerge/>
            <w:vAlign w:val="center"/>
          </w:tcPr>
          <w:p w14:paraId="00094DB6" w14:textId="4A5C6DDC" w:rsidR="00C65A06" w:rsidRPr="00092862" w:rsidRDefault="00C65A06" w:rsidP="00E67F2B">
            <w:pPr>
              <w:adjustRightInd w:val="0"/>
              <w:snapToGrid w:val="0"/>
              <w:jc w:val="center"/>
              <w:rPr>
                <w:rFonts w:ascii="Times New Roman" w:eastAsia="宋体" w:hAnsi="Times New Roman" w:cs="Times New Roman"/>
                <w:color w:val="000000" w:themeColor="text1"/>
                <w:szCs w:val="21"/>
              </w:rPr>
            </w:pPr>
          </w:p>
        </w:tc>
        <w:tc>
          <w:tcPr>
            <w:tcW w:w="1034" w:type="dxa"/>
            <w:vAlign w:val="center"/>
          </w:tcPr>
          <w:p w14:paraId="7FF701BA" w14:textId="2C9ED675" w:rsidR="00C65A06"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6433EF04" w14:textId="77777777" w:rsidTr="00E74664">
        <w:trPr>
          <w:jc w:val="center"/>
        </w:trPr>
        <w:tc>
          <w:tcPr>
            <w:tcW w:w="581" w:type="dxa"/>
            <w:vMerge/>
            <w:vAlign w:val="center"/>
          </w:tcPr>
          <w:p w14:paraId="1ACAD9EC" w14:textId="77777777" w:rsidR="00C65A06" w:rsidRPr="00092862" w:rsidRDefault="00C65A06"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7316E9BB" w14:textId="6A369BFE" w:rsidR="00C65A06" w:rsidRPr="00092862" w:rsidRDefault="00C65A06" w:rsidP="00E67F2B">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进场道路</w:t>
            </w:r>
          </w:p>
        </w:tc>
        <w:tc>
          <w:tcPr>
            <w:tcW w:w="3862" w:type="dxa"/>
            <w:vAlign w:val="center"/>
          </w:tcPr>
          <w:p w14:paraId="51119136" w14:textId="06BA5680" w:rsidR="00C65A06" w:rsidRPr="00092862" w:rsidRDefault="00CD6482"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新建进</w:t>
            </w:r>
            <w:r w:rsidRPr="00092862">
              <w:rPr>
                <w:rFonts w:ascii="Times New Roman" w:eastAsia="宋体" w:hAnsi="Times New Roman" w:cs="Times New Roman"/>
                <w:bCs/>
                <w:color w:val="000000" w:themeColor="text1"/>
                <w:szCs w:val="21"/>
              </w:rPr>
              <w:t>场道路</w:t>
            </w:r>
            <w:r w:rsidRPr="00092862">
              <w:rPr>
                <w:rFonts w:ascii="Times New Roman" w:eastAsia="宋体" w:hAnsi="Times New Roman" w:cs="Times New Roman"/>
                <w:color w:val="000000" w:themeColor="text1"/>
              </w:rPr>
              <w:t>，</w:t>
            </w:r>
            <w:r w:rsidR="009D714C" w:rsidRPr="00092862">
              <w:rPr>
                <w:rFonts w:ascii="Times New Roman" w:eastAsia="宋体" w:hAnsi="Times New Roman" w:cs="Times New Roman"/>
                <w:color w:val="000000" w:themeColor="text1"/>
              </w:rPr>
              <w:t>道路路基宽度</w:t>
            </w:r>
            <w:r w:rsidR="009D714C" w:rsidRPr="00092862">
              <w:rPr>
                <w:rFonts w:ascii="Times New Roman" w:eastAsia="宋体" w:hAnsi="Times New Roman" w:cs="Times New Roman"/>
                <w:color w:val="000000" w:themeColor="text1"/>
              </w:rPr>
              <w:t>4.5m</w:t>
            </w:r>
            <w:r w:rsidR="009D714C" w:rsidRPr="00092862">
              <w:rPr>
                <w:rFonts w:ascii="Times New Roman" w:eastAsia="宋体" w:hAnsi="Times New Roman" w:cs="Times New Roman"/>
                <w:color w:val="000000" w:themeColor="text1"/>
              </w:rPr>
              <w:t>，路面宽度</w:t>
            </w:r>
            <w:r w:rsidR="009D714C" w:rsidRPr="00092862">
              <w:rPr>
                <w:rFonts w:ascii="Times New Roman" w:eastAsia="宋体" w:hAnsi="Times New Roman" w:cs="Times New Roman"/>
                <w:color w:val="000000" w:themeColor="text1"/>
              </w:rPr>
              <w:t>4.0m</w:t>
            </w:r>
            <w:r w:rsidR="009D714C"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长度约</w:t>
            </w:r>
            <w:r w:rsidR="009D714C" w:rsidRPr="00092862">
              <w:rPr>
                <w:rFonts w:ascii="Times New Roman" w:eastAsia="宋体" w:hAnsi="Times New Roman" w:cs="Times New Roman"/>
                <w:color w:val="000000" w:themeColor="text1"/>
              </w:rPr>
              <w:t>70m</w:t>
            </w:r>
            <w:r w:rsidRPr="00092862">
              <w:rPr>
                <w:rFonts w:ascii="Times New Roman" w:eastAsia="宋体" w:hAnsi="Times New Roman" w:cs="Times New Roman"/>
                <w:color w:val="000000" w:themeColor="text1"/>
              </w:rPr>
              <w:t>，采用</w:t>
            </w:r>
            <w:r w:rsidRPr="00092862">
              <w:rPr>
                <w:rFonts w:ascii="Times New Roman" w:eastAsia="宋体" w:hAnsi="Times New Roman" w:cs="Times New Roman"/>
                <w:color w:val="000000" w:themeColor="text1"/>
              </w:rPr>
              <w:t xml:space="preserve"> 20cm </w:t>
            </w:r>
            <w:r w:rsidRPr="00092862">
              <w:rPr>
                <w:rFonts w:ascii="Times New Roman" w:eastAsia="宋体" w:hAnsi="Times New Roman" w:cs="Times New Roman"/>
                <w:color w:val="000000" w:themeColor="text1"/>
              </w:rPr>
              <w:t>厚</w:t>
            </w:r>
            <w:r w:rsidRPr="00092862">
              <w:rPr>
                <w:rFonts w:ascii="Times New Roman" w:eastAsia="宋体" w:hAnsi="Times New Roman" w:cs="Times New Roman"/>
                <w:color w:val="000000" w:themeColor="text1"/>
              </w:rPr>
              <w:t xml:space="preserve"> 6%</w:t>
            </w:r>
            <w:r w:rsidRPr="00092862">
              <w:rPr>
                <w:rFonts w:ascii="Times New Roman" w:eastAsia="宋体" w:hAnsi="Times New Roman" w:cs="Times New Roman"/>
                <w:color w:val="000000" w:themeColor="text1"/>
              </w:rPr>
              <w:t>水泥稳定碎石，</w:t>
            </w:r>
            <w:r w:rsidRPr="00092862">
              <w:rPr>
                <w:rFonts w:ascii="Times New Roman" w:eastAsia="宋体" w:hAnsi="Times New Roman" w:cs="Times New Roman"/>
                <w:bCs/>
                <w:color w:val="000000" w:themeColor="text1"/>
                <w:szCs w:val="21"/>
              </w:rPr>
              <w:t>新建</w:t>
            </w:r>
            <w:r w:rsidRPr="00092862">
              <w:rPr>
                <w:rFonts w:ascii="Times New Roman" w:eastAsia="宋体" w:hAnsi="Times New Roman" w:cs="Times New Roman"/>
                <w:bCs/>
                <w:color w:val="000000" w:themeColor="text1"/>
                <w:szCs w:val="21"/>
              </w:rPr>
              <w:t xml:space="preserve"> 0.4m </w:t>
            </w:r>
            <w:r w:rsidRPr="00092862">
              <w:rPr>
                <w:rFonts w:ascii="Times New Roman" w:eastAsia="宋体" w:hAnsi="Times New Roman" w:cs="Times New Roman"/>
                <w:bCs/>
                <w:color w:val="000000" w:themeColor="text1"/>
                <w:szCs w:val="21"/>
              </w:rPr>
              <w:t>宽道路排水沟，采用浆砌石修筑</w:t>
            </w:r>
            <w:r w:rsidR="009D714C" w:rsidRPr="00092862">
              <w:rPr>
                <w:rFonts w:ascii="Times New Roman" w:eastAsia="宋体" w:hAnsi="Times New Roman" w:cs="Times New Roman"/>
                <w:bCs/>
                <w:color w:val="000000" w:themeColor="text1"/>
                <w:szCs w:val="21"/>
              </w:rPr>
              <w:t>。</w:t>
            </w:r>
          </w:p>
        </w:tc>
        <w:tc>
          <w:tcPr>
            <w:tcW w:w="1669" w:type="dxa"/>
            <w:vMerge/>
            <w:vAlign w:val="center"/>
          </w:tcPr>
          <w:p w14:paraId="29FC9C36" w14:textId="77777777" w:rsidR="00C65A06" w:rsidRPr="00092862" w:rsidRDefault="00C65A06" w:rsidP="00E67F2B">
            <w:pPr>
              <w:adjustRightInd w:val="0"/>
              <w:snapToGrid w:val="0"/>
              <w:jc w:val="center"/>
              <w:rPr>
                <w:rFonts w:ascii="Times New Roman" w:eastAsia="宋体" w:hAnsi="Times New Roman" w:cs="Times New Roman"/>
                <w:color w:val="000000" w:themeColor="text1"/>
                <w:szCs w:val="21"/>
              </w:rPr>
            </w:pPr>
          </w:p>
        </w:tc>
        <w:tc>
          <w:tcPr>
            <w:tcW w:w="1034" w:type="dxa"/>
            <w:vAlign w:val="center"/>
          </w:tcPr>
          <w:p w14:paraId="5B01840E" w14:textId="28069A50" w:rsidR="00C65A06" w:rsidRPr="00092862" w:rsidRDefault="009D714C"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62673612" w14:textId="77777777" w:rsidTr="00E74664">
        <w:trPr>
          <w:jc w:val="center"/>
        </w:trPr>
        <w:tc>
          <w:tcPr>
            <w:tcW w:w="581" w:type="dxa"/>
            <w:vMerge w:val="restart"/>
            <w:vAlign w:val="center"/>
          </w:tcPr>
          <w:p w14:paraId="376555CE" w14:textId="77777777"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环保工程</w:t>
            </w:r>
          </w:p>
        </w:tc>
        <w:tc>
          <w:tcPr>
            <w:tcW w:w="1076" w:type="dxa"/>
            <w:vAlign w:val="center"/>
          </w:tcPr>
          <w:p w14:paraId="45998226" w14:textId="77777777"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生活污水收集</w:t>
            </w:r>
          </w:p>
        </w:tc>
        <w:tc>
          <w:tcPr>
            <w:tcW w:w="3862" w:type="dxa"/>
            <w:vAlign w:val="center"/>
          </w:tcPr>
          <w:p w14:paraId="2D22BC21" w14:textId="26B8746D" w:rsidR="00E67F2B" w:rsidRPr="00092862" w:rsidRDefault="00C46494"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站内已建</w:t>
            </w:r>
            <w:r w:rsidR="009D15CE" w:rsidRPr="00092862">
              <w:rPr>
                <w:rFonts w:ascii="Times New Roman" w:eastAsia="宋体" w:hAnsi="Times New Roman" w:cs="Times New Roman"/>
                <w:color w:val="000000" w:themeColor="text1"/>
                <w:szCs w:val="21"/>
              </w:rPr>
              <w:t>生态厕所</w:t>
            </w:r>
          </w:p>
        </w:tc>
        <w:tc>
          <w:tcPr>
            <w:tcW w:w="1669" w:type="dxa"/>
            <w:vAlign w:val="center"/>
          </w:tcPr>
          <w:p w14:paraId="28980D0A" w14:textId="77777777"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生活污水</w:t>
            </w:r>
          </w:p>
        </w:tc>
        <w:tc>
          <w:tcPr>
            <w:tcW w:w="1034" w:type="dxa"/>
            <w:vAlign w:val="center"/>
          </w:tcPr>
          <w:p w14:paraId="6C39044F" w14:textId="43D54CA3" w:rsidR="00E67F2B" w:rsidRPr="00092862" w:rsidRDefault="009D714C"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1F30EBC6" w14:textId="77777777" w:rsidTr="00E74664">
        <w:trPr>
          <w:jc w:val="center"/>
        </w:trPr>
        <w:tc>
          <w:tcPr>
            <w:tcW w:w="581" w:type="dxa"/>
            <w:vMerge/>
            <w:vAlign w:val="center"/>
          </w:tcPr>
          <w:p w14:paraId="1F8FE8AC" w14:textId="77777777" w:rsidR="00751B66" w:rsidRPr="00092862" w:rsidRDefault="00751B66"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6EDDBF2F" w14:textId="17C4E171" w:rsidR="00751B66" w:rsidRPr="00092862" w:rsidRDefault="00751B66"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排污沟</w:t>
            </w:r>
          </w:p>
        </w:tc>
        <w:tc>
          <w:tcPr>
            <w:tcW w:w="3862" w:type="dxa"/>
            <w:vAlign w:val="center"/>
          </w:tcPr>
          <w:p w14:paraId="4BFC70D3" w14:textId="73C66829" w:rsidR="00751B66" w:rsidRPr="00092862" w:rsidRDefault="00751B66" w:rsidP="00E67F2B">
            <w:pPr>
              <w:adjustRightInd w:val="0"/>
              <w:snapToGrid w:val="0"/>
              <w:jc w:val="center"/>
              <w:rPr>
                <w:rFonts w:ascii="Times New Roman" w:eastAsia="宋体" w:hAnsi="Times New Roman" w:cs="Times New Roman"/>
                <w:color w:val="000000" w:themeColor="text1"/>
                <w:szCs w:val="21"/>
              </w:rPr>
            </w:pPr>
            <w:bookmarkStart w:id="93" w:name="_Hlk120127492"/>
            <w:bookmarkStart w:id="94" w:name="_Hlk117849023"/>
            <w:r w:rsidRPr="00092862">
              <w:rPr>
                <w:rFonts w:ascii="Times New Roman" w:eastAsia="宋体" w:hAnsi="Times New Roman" w:cs="Times New Roman"/>
                <w:color w:val="000000" w:themeColor="text1"/>
                <w:szCs w:val="21"/>
              </w:rPr>
              <w:t>井场采用雨污分流设计，排水沟利旧。沿设备基础新建</w:t>
            </w:r>
            <w:r w:rsidRPr="00092862">
              <w:rPr>
                <w:rFonts w:ascii="Times New Roman" w:eastAsia="宋体" w:hAnsi="Times New Roman" w:cs="Times New Roman"/>
                <w:color w:val="000000" w:themeColor="text1"/>
                <w:szCs w:val="21"/>
              </w:rPr>
              <w:t>0.35m</w:t>
            </w:r>
            <w:r w:rsidRPr="00092862">
              <w:rPr>
                <w:rFonts w:ascii="Times New Roman" w:eastAsia="宋体" w:hAnsi="Times New Roman" w:cs="Times New Roman"/>
                <w:color w:val="000000" w:themeColor="text1"/>
                <w:szCs w:val="21"/>
              </w:rPr>
              <w:t>宽环状排污沟</w:t>
            </w:r>
            <w:r w:rsidR="007E5DB8" w:rsidRPr="00092862">
              <w:rPr>
                <w:rFonts w:ascii="Times New Roman" w:eastAsia="宋体" w:hAnsi="Times New Roman" w:cs="Times New Roman"/>
                <w:color w:val="000000" w:themeColor="text1"/>
                <w:szCs w:val="21"/>
              </w:rPr>
              <w:t>892</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，放坡坡度</w:t>
            </w:r>
            <w:r w:rsidRPr="00092862">
              <w:rPr>
                <w:rFonts w:ascii="Times New Roman" w:eastAsia="宋体" w:hAnsi="Times New Roman" w:cs="Times New Roman"/>
                <w:color w:val="000000" w:themeColor="text1"/>
                <w:szCs w:val="21"/>
              </w:rPr>
              <w:t>i=0.</w:t>
            </w:r>
            <w:r w:rsidR="009D714C"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w:t>
            </w:r>
            <w:bookmarkEnd w:id="93"/>
            <w:r w:rsidRPr="00092862">
              <w:rPr>
                <w:rFonts w:ascii="Times New Roman" w:eastAsia="宋体" w:hAnsi="Times New Roman" w:cs="Times New Roman"/>
                <w:color w:val="000000" w:themeColor="text1"/>
                <w:szCs w:val="21"/>
              </w:rPr>
              <w:t>。污水沟放坡开始位置可根据现场做适当调整，但必须满足正常放坡和无倒流</w:t>
            </w:r>
            <w:bookmarkEnd w:id="94"/>
          </w:p>
        </w:tc>
        <w:tc>
          <w:tcPr>
            <w:tcW w:w="1669" w:type="dxa"/>
            <w:vAlign w:val="center"/>
          </w:tcPr>
          <w:p w14:paraId="2E812725" w14:textId="4006D42B" w:rsidR="00751B66" w:rsidRPr="00092862" w:rsidRDefault="00751B66"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场地雨水</w:t>
            </w:r>
          </w:p>
        </w:tc>
        <w:tc>
          <w:tcPr>
            <w:tcW w:w="1034" w:type="dxa"/>
            <w:vAlign w:val="center"/>
          </w:tcPr>
          <w:p w14:paraId="2BC77DC6" w14:textId="107589C8" w:rsidR="00751B66" w:rsidRPr="00092862" w:rsidRDefault="00751B66"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54CD87F1" w14:textId="77777777" w:rsidTr="00E74664">
        <w:trPr>
          <w:jc w:val="center"/>
        </w:trPr>
        <w:tc>
          <w:tcPr>
            <w:tcW w:w="581" w:type="dxa"/>
            <w:vMerge/>
            <w:vAlign w:val="center"/>
          </w:tcPr>
          <w:p w14:paraId="2C92359E" w14:textId="77777777"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p>
        </w:tc>
        <w:tc>
          <w:tcPr>
            <w:tcW w:w="1076" w:type="dxa"/>
            <w:vAlign w:val="center"/>
          </w:tcPr>
          <w:p w14:paraId="001FC984" w14:textId="77777777"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生活垃圾收集</w:t>
            </w:r>
          </w:p>
        </w:tc>
        <w:tc>
          <w:tcPr>
            <w:tcW w:w="3862" w:type="dxa"/>
            <w:vAlign w:val="center"/>
          </w:tcPr>
          <w:p w14:paraId="5E827BA2" w14:textId="7A4927ED"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r w:rsidR="00E477EC" w:rsidRPr="00092862">
              <w:rPr>
                <w:rFonts w:ascii="Times New Roman" w:eastAsia="宋体" w:hAnsi="Times New Roman" w:cs="Times New Roman"/>
                <w:color w:val="000000" w:themeColor="text1"/>
                <w:szCs w:val="21"/>
              </w:rPr>
              <w:t>设置垃圾桶</w:t>
            </w:r>
            <w:r w:rsidRPr="00092862">
              <w:rPr>
                <w:rFonts w:ascii="Times New Roman" w:eastAsia="宋体" w:hAnsi="Times New Roman" w:cs="Times New Roman"/>
                <w:color w:val="000000" w:themeColor="text1"/>
                <w:szCs w:val="21"/>
              </w:rPr>
              <w:t>集中收集，交由当地环卫部门</w:t>
            </w:r>
            <w:r w:rsidR="001D7037" w:rsidRPr="00092862">
              <w:rPr>
                <w:rFonts w:ascii="Times New Roman" w:eastAsia="宋体" w:hAnsi="Times New Roman" w:cs="Times New Roman"/>
                <w:color w:val="000000" w:themeColor="text1"/>
                <w:szCs w:val="21"/>
              </w:rPr>
              <w:t>处置</w:t>
            </w:r>
          </w:p>
        </w:tc>
        <w:tc>
          <w:tcPr>
            <w:tcW w:w="1669" w:type="dxa"/>
            <w:vAlign w:val="center"/>
          </w:tcPr>
          <w:p w14:paraId="4ECDD5E9" w14:textId="77777777" w:rsidR="00E67F2B" w:rsidRPr="00092862" w:rsidRDefault="00E67F2B"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1034" w:type="dxa"/>
            <w:vAlign w:val="center"/>
          </w:tcPr>
          <w:p w14:paraId="49942EA0" w14:textId="67057E5E" w:rsidR="00E67F2B" w:rsidRPr="00092862" w:rsidRDefault="00E477EC" w:rsidP="00E67F2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bl>
    <w:p w14:paraId="3E9684C2" w14:textId="048F29D8" w:rsidR="00DC446C" w:rsidRPr="00092862" w:rsidRDefault="003B1968" w:rsidP="00DC4F5B">
      <w:pPr>
        <w:adjustRightInd w:val="0"/>
        <w:snapToGrid w:val="0"/>
        <w:spacing w:beforeLines="50" w:before="120"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）钻</w:t>
      </w:r>
      <w:r w:rsidR="006B457D" w:rsidRPr="00092862">
        <w:rPr>
          <w:rFonts w:ascii="Times New Roman" w:eastAsia="宋体" w:hAnsi="Times New Roman" w:cs="Times New Roman"/>
          <w:b/>
          <w:bCs/>
          <w:color w:val="000000" w:themeColor="text1"/>
          <w:sz w:val="24"/>
        </w:rPr>
        <w:t>、完</w:t>
      </w:r>
      <w:r w:rsidRPr="00092862">
        <w:rPr>
          <w:rFonts w:ascii="Times New Roman" w:eastAsia="宋体" w:hAnsi="Times New Roman" w:cs="Times New Roman"/>
          <w:b/>
          <w:bCs/>
          <w:color w:val="000000" w:themeColor="text1"/>
          <w:sz w:val="24"/>
        </w:rPr>
        <w:t>井工程</w:t>
      </w:r>
    </w:p>
    <w:p w14:paraId="2F6FEA6F" w14:textId="535ED356" w:rsidR="00DC446C" w:rsidRPr="00092862" w:rsidRDefault="003B1968" w:rsidP="003D2EE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钻井工程主要包括利用钻前工程构筑的井场以及设备基础对场内布置的</w:t>
      </w:r>
      <w:r w:rsidR="00EC70BF" w:rsidRPr="00092862">
        <w:rPr>
          <w:rFonts w:ascii="Times New Roman" w:eastAsia="宋体" w:hAnsi="Times New Roman" w:cs="Times New Roman"/>
          <w:color w:val="000000" w:themeColor="text1"/>
          <w:sz w:val="24"/>
        </w:rPr>
        <w:t>2</w:t>
      </w:r>
      <w:r w:rsidR="00EC70BF" w:rsidRPr="00092862">
        <w:rPr>
          <w:rFonts w:ascii="Times New Roman" w:eastAsia="宋体" w:hAnsi="Times New Roman" w:cs="Times New Roman"/>
          <w:color w:val="000000" w:themeColor="text1"/>
          <w:sz w:val="24"/>
        </w:rPr>
        <w:t>口井</w:t>
      </w:r>
      <w:r w:rsidR="00CE7A36" w:rsidRPr="00092862">
        <w:rPr>
          <w:rFonts w:ascii="Times New Roman" w:eastAsia="宋体" w:hAnsi="Times New Roman" w:cs="Times New Roman"/>
          <w:color w:val="000000" w:themeColor="text1"/>
          <w:sz w:val="24"/>
        </w:rPr>
        <w:t>依次</w:t>
      </w:r>
      <w:r w:rsidRPr="00092862">
        <w:rPr>
          <w:rFonts w:ascii="Times New Roman" w:eastAsia="宋体" w:hAnsi="Times New Roman" w:cs="Times New Roman"/>
          <w:color w:val="000000" w:themeColor="text1"/>
          <w:sz w:val="24"/>
        </w:rPr>
        <w:t>实施钻井、套管固井</w:t>
      </w:r>
      <w:r w:rsidR="00FA7B03" w:rsidRPr="00092862">
        <w:rPr>
          <w:rFonts w:ascii="Times New Roman" w:eastAsia="宋体" w:hAnsi="Times New Roman" w:cs="Times New Roman"/>
          <w:color w:val="000000" w:themeColor="text1"/>
          <w:sz w:val="24"/>
        </w:rPr>
        <w:t>及试气</w:t>
      </w:r>
      <w:r w:rsidRPr="00092862">
        <w:rPr>
          <w:rFonts w:ascii="Times New Roman" w:eastAsia="宋体" w:hAnsi="Times New Roman" w:cs="Times New Roman"/>
          <w:color w:val="000000" w:themeColor="text1"/>
          <w:sz w:val="24"/>
        </w:rPr>
        <w:t>作业。主要工程内容和工程量见表</w:t>
      </w:r>
      <w:r w:rsidR="00FF312D" w:rsidRPr="00092862">
        <w:rPr>
          <w:rFonts w:ascii="Times New Roman" w:eastAsia="宋体" w:hAnsi="Times New Roman" w:cs="Times New Roman"/>
          <w:color w:val="000000" w:themeColor="text1"/>
          <w:sz w:val="24"/>
        </w:rPr>
        <w:t>3.2-</w:t>
      </w:r>
      <w:r w:rsidR="001F5ACB" w:rsidRPr="00092862">
        <w:rPr>
          <w:rFonts w:ascii="Times New Roman" w:eastAsia="宋体" w:hAnsi="Times New Roman" w:cs="Times New Roman"/>
          <w:color w:val="000000" w:themeColor="text1"/>
          <w:sz w:val="24"/>
        </w:rPr>
        <w:t>14</w:t>
      </w:r>
      <w:r w:rsidRPr="00092862">
        <w:rPr>
          <w:rFonts w:ascii="Times New Roman" w:eastAsia="宋体" w:hAnsi="Times New Roman" w:cs="Times New Roman"/>
          <w:color w:val="000000" w:themeColor="text1"/>
          <w:sz w:val="24"/>
        </w:rPr>
        <w:t>。</w:t>
      </w:r>
    </w:p>
    <w:p w14:paraId="3EB9962A" w14:textId="77777777" w:rsidR="009D714C" w:rsidRPr="00092862" w:rsidRDefault="009D714C" w:rsidP="002C40AD">
      <w:pPr>
        <w:pStyle w:val="ac"/>
        <w:tabs>
          <w:tab w:val="left" w:pos="863"/>
        </w:tabs>
        <w:spacing w:before="0"/>
        <w:ind w:left="0"/>
        <w:jc w:val="center"/>
        <w:rPr>
          <w:rFonts w:ascii="Times New Roman" w:hAnsi="Times New Roman"/>
          <w:color w:val="000000" w:themeColor="text1"/>
          <w:sz w:val="21"/>
          <w:szCs w:val="21"/>
          <w:lang w:eastAsia="zh-CN"/>
        </w:rPr>
      </w:pPr>
    </w:p>
    <w:p w14:paraId="762E654B" w14:textId="77777777" w:rsidR="009D714C" w:rsidRPr="00092862" w:rsidRDefault="009D714C" w:rsidP="002C40AD">
      <w:pPr>
        <w:pStyle w:val="ac"/>
        <w:tabs>
          <w:tab w:val="left" w:pos="863"/>
        </w:tabs>
        <w:spacing w:before="0"/>
        <w:ind w:left="0"/>
        <w:jc w:val="center"/>
        <w:rPr>
          <w:rFonts w:ascii="Times New Roman" w:hAnsi="Times New Roman"/>
          <w:color w:val="000000" w:themeColor="text1"/>
          <w:sz w:val="21"/>
          <w:szCs w:val="21"/>
          <w:lang w:eastAsia="zh-CN"/>
        </w:rPr>
      </w:pPr>
    </w:p>
    <w:p w14:paraId="71ADC6E2" w14:textId="014C7AE3" w:rsidR="009D714C" w:rsidRPr="00092862" w:rsidRDefault="009D714C"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6E12FF00" w14:textId="69CD871A" w:rsidR="00813B2A" w:rsidRPr="00092862" w:rsidRDefault="00813B2A"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0CC4EF9A" w14:textId="7A28A3C9" w:rsidR="00813B2A" w:rsidRPr="00092862" w:rsidRDefault="00813B2A"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042042BF" w14:textId="64AD3C14" w:rsidR="00813B2A" w:rsidRPr="00092862" w:rsidRDefault="00813B2A"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64E6A8ED" w14:textId="77777777" w:rsidR="00813B2A" w:rsidRPr="00092862" w:rsidRDefault="00813B2A"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738163A3" w14:textId="6CF0EC7F" w:rsidR="00BB4559"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FF312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14</w:t>
      </w:r>
      <w:r w:rsidR="00DC4F5B" w:rsidRPr="00092862">
        <w:rPr>
          <w:rFonts w:ascii="Times New Roman" w:eastAsia="黑体" w:hAnsi="Times New Roman"/>
          <w:color w:val="000000" w:themeColor="text1"/>
          <w:sz w:val="21"/>
          <w:szCs w:val="21"/>
          <w:lang w:eastAsia="zh-CN"/>
        </w:rPr>
        <w:t xml:space="preserve"> </w:t>
      </w:r>
      <w:r w:rsidR="00BB4559"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w:t>
      </w:r>
      <w:r w:rsidR="00CE7A36" w:rsidRPr="00092862">
        <w:rPr>
          <w:rFonts w:ascii="Times New Roman" w:eastAsia="黑体" w:hAnsi="Times New Roman"/>
          <w:color w:val="000000" w:themeColor="text1"/>
          <w:sz w:val="21"/>
          <w:szCs w:val="21"/>
          <w:lang w:eastAsia="zh-CN"/>
        </w:rPr>
        <w:t>、完</w:t>
      </w:r>
      <w:r w:rsidRPr="00092862">
        <w:rPr>
          <w:rFonts w:ascii="Times New Roman" w:eastAsia="黑体" w:hAnsi="Times New Roman"/>
          <w:color w:val="000000" w:themeColor="text1"/>
          <w:sz w:val="21"/>
          <w:szCs w:val="21"/>
          <w:lang w:eastAsia="zh-CN"/>
        </w:rPr>
        <w:t>井工程项目组成及主要环境影响一览表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6"/>
        <w:gridCol w:w="485"/>
        <w:gridCol w:w="956"/>
        <w:gridCol w:w="3773"/>
        <w:gridCol w:w="1272"/>
        <w:gridCol w:w="1268"/>
      </w:tblGrid>
      <w:tr w:rsidR="00697429" w:rsidRPr="00092862" w14:paraId="4BA91EA9" w14:textId="2DCA1CAB" w:rsidTr="002F0533">
        <w:trPr>
          <w:trHeight w:val="256"/>
          <w:tblHeader/>
          <w:jc w:val="center"/>
        </w:trPr>
        <w:tc>
          <w:tcPr>
            <w:tcW w:w="329" w:type="pct"/>
            <w:vAlign w:val="center"/>
          </w:tcPr>
          <w:p w14:paraId="38B9252A" w14:textId="77777777" w:rsidR="005F3388" w:rsidRPr="00092862" w:rsidRDefault="005F3388" w:rsidP="00521779">
            <w:pPr>
              <w:jc w:val="center"/>
              <w:rPr>
                <w:rFonts w:ascii="Times New Roman" w:eastAsia="宋体" w:hAnsi="Times New Roman" w:cs="Times New Roman"/>
                <w:b/>
                <w:color w:val="000000" w:themeColor="text1"/>
                <w:kern w:val="28"/>
                <w:szCs w:val="21"/>
              </w:rPr>
            </w:pPr>
            <w:r w:rsidRPr="00092862">
              <w:rPr>
                <w:rFonts w:ascii="Times New Roman" w:eastAsia="宋体" w:hAnsi="Times New Roman" w:cs="Times New Roman"/>
                <w:b/>
                <w:color w:val="000000" w:themeColor="text1"/>
                <w:kern w:val="28"/>
                <w:szCs w:val="21"/>
              </w:rPr>
              <w:lastRenderedPageBreak/>
              <w:t>名称</w:t>
            </w:r>
          </w:p>
        </w:tc>
        <w:tc>
          <w:tcPr>
            <w:tcW w:w="868" w:type="pct"/>
            <w:gridSpan w:val="2"/>
            <w:vAlign w:val="center"/>
          </w:tcPr>
          <w:p w14:paraId="31D39ABE" w14:textId="77777777" w:rsidR="005F3388" w:rsidRPr="00092862" w:rsidRDefault="005F3388" w:rsidP="00521779">
            <w:pPr>
              <w:jc w:val="center"/>
              <w:rPr>
                <w:rFonts w:ascii="Times New Roman" w:eastAsia="宋体" w:hAnsi="Times New Roman" w:cs="Times New Roman"/>
                <w:b/>
                <w:color w:val="000000" w:themeColor="text1"/>
                <w:kern w:val="28"/>
                <w:szCs w:val="21"/>
              </w:rPr>
            </w:pPr>
            <w:r w:rsidRPr="00092862">
              <w:rPr>
                <w:rFonts w:ascii="Times New Roman" w:eastAsia="宋体" w:hAnsi="Times New Roman" w:cs="Times New Roman"/>
                <w:b/>
                <w:color w:val="000000" w:themeColor="text1"/>
                <w:kern w:val="28"/>
                <w:szCs w:val="21"/>
              </w:rPr>
              <w:t>建设内容</w:t>
            </w:r>
          </w:p>
        </w:tc>
        <w:tc>
          <w:tcPr>
            <w:tcW w:w="2273" w:type="pct"/>
            <w:vAlign w:val="center"/>
          </w:tcPr>
          <w:p w14:paraId="1DE446BD" w14:textId="77777777" w:rsidR="005F3388" w:rsidRPr="00092862" w:rsidRDefault="005F3388" w:rsidP="00521779">
            <w:pPr>
              <w:jc w:val="center"/>
              <w:rPr>
                <w:rFonts w:ascii="Times New Roman" w:eastAsia="宋体" w:hAnsi="Times New Roman" w:cs="Times New Roman"/>
                <w:b/>
                <w:color w:val="000000" w:themeColor="text1"/>
                <w:kern w:val="28"/>
                <w:szCs w:val="21"/>
              </w:rPr>
            </w:pPr>
            <w:r w:rsidRPr="00092862">
              <w:rPr>
                <w:rFonts w:ascii="Times New Roman" w:eastAsia="宋体" w:hAnsi="Times New Roman" w:cs="Times New Roman"/>
                <w:b/>
                <w:color w:val="000000" w:themeColor="text1"/>
                <w:kern w:val="28"/>
                <w:szCs w:val="21"/>
              </w:rPr>
              <w:t>建设规模</w:t>
            </w:r>
          </w:p>
        </w:tc>
        <w:tc>
          <w:tcPr>
            <w:tcW w:w="766" w:type="pct"/>
            <w:vAlign w:val="center"/>
          </w:tcPr>
          <w:p w14:paraId="597A80B9" w14:textId="77777777" w:rsidR="005F3388" w:rsidRPr="00092862" w:rsidRDefault="005F3388" w:rsidP="00521779">
            <w:pPr>
              <w:jc w:val="center"/>
              <w:rPr>
                <w:rFonts w:ascii="Times New Roman" w:eastAsia="宋体" w:hAnsi="Times New Roman" w:cs="Times New Roman"/>
                <w:b/>
                <w:color w:val="000000" w:themeColor="text1"/>
                <w:kern w:val="28"/>
                <w:szCs w:val="21"/>
              </w:rPr>
            </w:pPr>
            <w:r w:rsidRPr="00092862">
              <w:rPr>
                <w:rFonts w:ascii="Times New Roman" w:eastAsia="宋体" w:hAnsi="Times New Roman" w:cs="Times New Roman"/>
                <w:b/>
                <w:color w:val="000000" w:themeColor="text1"/>
                <w:kern w:val="28"/>
                <w:szCs w:val="21"/>
              </w:rPr>
              <w:t>可能产生的环境影响</w:t>
            </w:r>
          </w:p>
        </w:tc>
        <w:tc>
          <w:tcPr>
            <w:tcW w:w="764" w:type="pct"/>
            <w:vAlign w:val="center"/>
          </w:tcPr>
          <w:p w14:paraId="3DBAA968" w14:textId="02050B53" w:rsidR="005F3388" w:rsidRPr="00092862" w:rsidRDefault="005F3388" w:rsidP="00521779">
            <w:pPr>
              <w:jc w:val="center"/>
              <w:rPr>
                <w:rFonts w:ascii="Times New Roman" w:eastAsia="宋体" w:hAnsi="Times New Roman" w:cs="Times New Roman"/>
                <w:b/>
                <w:color w:val="000000" w:themeColor="text1"/>
                <w:kern w:val="28"/>
                <w:szCs w:val="21"/>
              </w:rPr>
            </w:pPr>
            <w:r w:rsidRPr="00092862">
              <w:rPr>
                <w:rFonts w:ascii="Times New Roman" w:eastAsia="宋体" w:hAnsi="Times New Roman" w:cs="Times New Roman"/>
                <w:b/>
                <w:color w:val="000000" w:themeColor="text1"/>
                <w:kern w:val="28"/>
                <w:szCs w:val="21"/>
              </w:rPr>
              <w:t>备注</w:t>
            </w:r>
          </w:p>
        </w:tc>
      </w:tr>
      <w:tr w:rsidR="00697429" w:rsidRPr="00092862" w14:paraId="66F1E99C" w14:textId="3D01DA17" w:rsidTr="002F0533">
        <w:trPr>
          <w:trHeight w:val="397"/>
          <w:jc w:val="center"/>
        </w:trPr>
        <w:tc>
          <w:tcPr>
            <w:tcW w:w="329" w:type="pct"/>
            <w:vMerge w:val="restart"/>
            <w:vAlign w:val="center"/>
          </w:tcPr>
          <w:p w14:paraId="320A10FD"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主体工程</w:t>
            </w:r>
          </w:p>
        </w:tc>
        <w:tc>
          <w:tcPr>
            <w:tcW w:w="868" w:type="pct"/>
            <w:gridSpan w:val="2"/>
            <w:vAlign w:val="center"/>
          </w:tcPr>
          <w:p w14:paraId="473A7A59" w14:textId="5EBAAE22"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钻井作业</w:t>
            </w:r>
          </w:p>
        </w:tc>
        <w:tc>
          <w:tcPr>
            <w:tcW w:w="2273" w:type="pct"/>
            <w:vAlign w:val="center"/>
          </w:tcPr>
          <w:p w14:paraId="29748A44" w14:textId="1E34B56D" w:rsidR="005F3388" w:rsidRPr="00092862" w:rsidRDefault="005F3388" w:rsidP="00521779">
            <w:pPr>
              <w:pStyle w:val="1CharCharCharChar"/>
              <w:jc w:val="center"/>
              <w:rPr>
                <w:color w:val="000000" w:themeColor="text1"/>
                <w:szCs w:val="21"/>
              </w:rPr>
            </w:pPr>
            <w:r w:rsidRPr="00092862">
              <w:rPr>
                <w:color w:val="000000" w:themeColor="text1"/>
                <w:szCs w:val="21"/>
              </w:rPr>
              <w:t>钻井工程采用</w:t>
            </w:r>
            <w:r w:rsidR="00507764" w:rsidRPr="00092862">
              <w:rPr>
                <w:color w:val="000000" w:themeColor="text1"/>
                <w:szCs w:val="21"/>
              </w:rPr>
              <w:t>ZJ70</w:t>
            </w:r>
            <w:r w:rsidRPr="00092862">
              <w:rPr>
                <w:color w:val="000000" w:themeColor="text1"/>
                <w:szCs w:val="21"/>
              </w:rPr>
              <w:t>型钻机，本次</w:t>
            </w:r>
            <w:r w:rsidR="00507764" w:rsidRPr="00092862">
              <w:rPr>
                <w:color w:val="000000" w:themeColor="text1"/>
                <w:szCs w:val="21"/>
              </w:rPr>
              <w:t>2</w:t>
            </w:r>
            <w:r w:rsidR="00490063" w:rsidRPr="00092862">
              <w:rPr>
                <w:color w:val="000000" w:themeColor="text1"/>
                <w:szCs w:val="21"/>
              </w:rPr>
              <w:t>口井</w:t>
            </w:r>
            <w:r w:rsidRPr="00092862">
              <w:rPr>
                <w:color w:val="000000" w:themeColor="text1"/>
                <w:szCs w:val="21"/>
              </w:rPr>
              <w:t>钻井</w:t>
            </w:r>
            <w:r w:rsidR="00490063" w:rsidRPr="00092862">
              <w:rPr>
                <w:color w:val="000000" w:themeColor="text1"/>
                <w:szCs w:val="21"/>
              </w:rPr>
              <w:t>总</w:t>
            </w:r>
            <w:r w:rsidRPr="00092862">
              <w:rPr>
                <w:color w:val="000000" w:themeColor="text1"/>
                <w:szCs w:val="21"/>
              </w:rPr>
              <w:t>深度为</w:t>
            </w:r>
            <w:r w:rsidR="007A02DD">
              <w:rPr>
                <w:color w:val="000000" w:themeColor="text1"/>
                <w:szCs w:val="21"/>
              </w:rPr>
              <w:t>****</w:t>
            </w:r>
            <w:r w:rsidRPr="00092862">
              <w:rPr>
                <w:color w:val="000000" w:themeColor="text1"/>
                <w:szCs w:val="21"/>
              </w:rPr>
              <w:t>m</w:t>
            </w:r>
            <w:r w:rsidRPr="00092862">
              <w:rPr>
                <w:color w:val="000000" w:themeColor="text1"/>
                <w:szCs w:val="21"/>
              </w:rPr>
              <w:t>，采用常规钻井工艺，本工程仅采用水基钻井液，不使用油基钻井液钻井。本项目仅进行</w:t>
            </w:r>
            <w:r w:rsidR="0019648E" w:rsidRPr="00092862">
              <w:rPr>
                <w:color w:val="000000" w:themeColor="text1"/>
                <w:szCs w:val="21"/>
              </w:rPr>
              <w:t>钻井</w:t>
            </w:r>
          </w:p>
        </w:tc>
        <w:tc>
          <w:tcPr>
            <w:tcW w:w="766" w:type="pct"/>
            <w:vAlign w:val="center"/>
          </w:tcPr>
          <w:p w14:paraId="76E915B0" w14:textId="6CAAF52B"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作业废水及员工生活污水；岩屑及废泥浆、员工生活垃圾；钻井设备噪声</w:t>
            </w:r>
          </w:p>
        </w:tc>
        <w:tc>
          <w:tcPr>
            <w:tcW w:w="764" w:type="pct"/>
            <w:vAlign w:val="center"/>
          </w:tcPr>
          <w:p w14:paraId="0B187FFF" w14:textId="75E2681B" w:rsidR="005F3388" w:rsidRPr="00092862" w:rsidRDefault="00E477EC"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改造（建）</w:t>
            </w:r>
          </w:p>
        </w:tc>
      </w:tr>
      <w:tr w:rsidR="00697429" w:rsidRPr="00092862" w14:paraId="3071E39F" w14:textId="5A9C4771" w:rsidTr="002F0533">
        <w:trPr>
          <w:trHeight w:val="397"/>
          <w:jc w:val="center"/>
        </w:trPr>
        <w:tc>
          <w:tcPr>
            <w:tcW w:w="329" w:type="pct"/>
            <w:vMerge/>
            <w:vAlign w:val="center"/>
          </w:tcPr>
          <w:p w14:paraId="368332F0"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6245F27C"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完钻测试作业</w:t>
            </w:r>
          </w:p>
        </w:tc>
        <w:tc>
          <w:tcPr>
            <w:tcW w:w="2273" w:type="pct"/>
            <w:vAlign w:val="center"/>
          </w:tcPr>
          <w:p w14:paraId="30745BF6" w14:textId="4C7AE782"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洗井作业、压裂酸化作业、放喷测试</w:t>
            </w:r>
          </w:p>
        </w:tc>
        <w:tc>
          <w:tcPr>
            <w:tcW w:w="766" w:type="pct"/>
            <w:vAlign w:val="center"/>
          </w:tcPr>
          <w:p w14:paraId="7AF8A8D5"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测试产生废气、放喷气流噪声，洗井废水、酸化废水</w:t>
            </w:r>
          </w:p>
        </w:tc>
        <w:tc>
          <w:tcPr>
            <w:tcW w:w="764" w:type="pct"/>
            <w:vAlign w:val="center"/>
          </w:tcPr>
          <w:p w14:paraId="386DA460" w14:textId="3D050D99" w:rsidR="005F3388" w:rsidRPr="00092862" w:rsidRDefault="00667C21"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1A2DE59D" w14:textId="6147C70C" w:rsidTr="002F0533">
        <w:trPr>
          <w:trHeight w:val="397"/>
          <w:jc w:val="center"/>
        </w:trPr>
        <w:tc>
          <w:tcPr>
            <w:tcW w:w="329" w:type="pct"/>
            <w:vMerge w:val="restart"/>
            <w:vAlign w:val="center"/>
          </w:tcPr>
          <w:p w14:paraId="1C362880"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辅助工程</w:t>
            </w:r>
          </w:p>
        </w:tc>
        <w:tc>
          <w:tcPr>
            <w:tcW w:w="868" w:type="pct"/>
            <w:gridSpan w:val="2"/>
            <w:vAlign w:val="center"/>
          </w:tcPr>
          <w:p w14:paraId="64BC72E4"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泥浆循环系统</w:t>
            </w:r>
          </w:p>
        </w:tc>
        <w:tc>
          <w:tcPr>
            <w:tcW w:w="2273" w:type="pct"/>
            <w:vAlign w:val="center"/>
          </w:tcPr>
          <w:p w14:paraId="2C907E1B" w14:textId="22104CE1"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含振动筛、除砂器、离心机、液气分离器、除泥砂除泥一体机、除气器等装置，及</w:t>
            </w: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个</w:t>
            </w:r>
            <w:r w:rsidRPr="00092862">
              <w:rPr>
                <w:rFonts w:ascii="Times New Roman" w:eastAsia="宋体" w:hAnsi="Times New Roman" w:cs="Times New Roman"/>
                <w:color w:val="000000" w:themeColor="text1"/>
                <w:szCs w:val="21"/>
              </w:rPr>
              <w:t>40m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个循环罐组成</w:t>
            </w:r>
          </w:p>
        </w:tc>
        <w:tc>
          <w:tcPr>
            <w:tcW w:w="766" w:type="pct"/>
            <w:vAlign w:val="center"/>
          </w:tcPr>
          <w:p w14:paraId="3E428D27"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设备噪声、岩屑、废泥浆、废水</w:t>
            </w:r>
          </w:p>
        </w:tc>
        <w:tc>
          <w:tcPr>
            <w:tcW w:w="764" w:type="pct"/>
            <w:vAlign w:val="center"/>
          </w:tcPr>
          <w:p w14:paraId="19ABFED7" w14:textId="05E771F7" w:rsidR="005F3388" w:rsidRPr="00092862" w:rsidRDefault="00667C21"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2153967C" w14:textId="765C2BA9" w:rsidTr="002F0533">
        <w:trPr>
          <w:trHeight w:val="60"/>
          <w:jc w:val="center"/>
        </w:trPr>
        <w:tc>
          <w:tcPr>
            <w:tcW w:w="329" w:type="pct"/>
            <w:vMerge/>
            <w:vAlign w:val="center"/>
          </w:tcPr>
          <w:p w14:paraId="6DCE86B5"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2712C351"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网电钻机系统</w:t>
            </w:r>
          </w:p>
        </w:tc>
        <w:tc>
          <w:tcPr>
            <w:tcW w:w="2273" w:type="pct"/>
            <w:vAlign w:val="center"/>
          </w:tcPr>
          <w:p w14:paraId="15DBD41E" w14:textId="666227BB"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台</w:t>
            </w:r>
            <w:r w:rsidRPr="00092862">
              <w:rPr>
                <w:rFonts w:ascii="Times New Roman" w:eastAsia="宋体" w:hAnsi="Times New Roman" w:cs="Times New Roman"/>
                <w:color w:val="000000" w:themeColor="text1"/>
                <w:szCs w:val="21"/>
              </w:rPr>
              <w:t>8</w:t>
            </w:r>
            <w:r w:rsidR="00C32BC7" w:rsidRPr="00092862">
              <w:rPr>
                <w:rFonts w:ascii="Times New Roman" w:eastAsia="宋体" w:hAnsi="Times New Roman" w:cs="Times New Roman"/>
                <w:color w:val="000000" w:themeColor="text1"/>
                <w:szCs w:val="21"/>
              </w:rPr>
              <w:t>82</w:t>
            </w:r>
            <w:r w:rsidRPr="00092862">
              <w:rPr>
                <w:rFonts w:ascii="Times New Roman" w:eastAsia="宋体" w:hAnsi="Times New Roman" w:cs="Times New Roman"/>
                <w:color w:val="000000" w:themeColor="text1"/>
                <w:szCs w:val="21"/>
              </w:rPr>
              <w:t>kW</w:t>
            </w:r>
            <w:r w:rsidRPr="00092862">
              <w:rPr>
                <w:rFonts w:ascii="Times New Roman" w:eastAsia="宋体" w:hAnsi="Times New Roman" w:cs="Times New Roman"/>
                <w:color w:val="000000" w:themeColor="text1"/>
                <w:szCs w:val="21"/>
              </w:rPr>
              <w:t>电动化机组</w:t>
            </w:r>
          </w:p>
        </w:tc>
        <w:tc>
          <w:tcPr>
            <w:tcW w:w="766" w:type="pct"/>
            <w:vAlign w:val="center"/>
          </w:tcPr>
          <w:p w14:paraId="2D6546A3"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噪声</w:t>
            </w:r>
          </w:p>
        </w:tc>
        <w:tc>
          <w:tcPr>
            <w:tcW w:w="764" w:type="pct"/>
            <w:vAlign w:val="center"/>
          </w:tcPr>
          <w:p w14:paraId="4903DD04" w14:textId="1B0BB9DE"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6B5A3923" w14:textId="3442CE93" w:rsidTr="002F0533">
        <w:trPr>
          <w:trHeight w:val="60"/>
          <w:jc w:val="center"/>
        </w:trPr>
        <w:tc>
          <w:tcPr>
            <w:tcW w:w="329" w:type="pct"/>
            <w:vMerge/>
            <w:vAlign w:val="center"/>
          </w:tcPr>
          <w:p w14:paraId="1EC0E086"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68724779"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备用发电机</w:t>
            </w:r>
          </w:p>
        </w:tc>
        <w:tc>
          <w:tcPr>
            <w:tcW w:w="2273" w:type="pct"/>
            <w:vAlign w:val="center"/>
          </w:tcPr>
          <w:p w14:paraId="032CE226" w14:textId="5E9B2286"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400kW</w:t>
            </w:r>
            <w:r w:rsidRPr="00092862">
              <w:rPr>
                <w:rFonts w:ascii="Times New Roman" w:eastAsia="宋体" w:hAnsi="Times New Roman" w:cs="Times New Roman"/>
                <w:color w:val="000000" w:themeColor="text1"/>
                <w:szCs w:val="21"/>
              </w:rPr>
              <w:t>功率柴油机</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台</w:t>
            </w:r>
          </w:p>
        </w:tc>
        <w:tc>
          <w:tcPr>
            <w:tcW w:w="766" w:type="pct"/>
            <w:vAlign w:val="center"/>
          </w:tcPr>
          <w:p w14:paraId="6BEC8293"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废气、噪声</w:t>
            </w:r>
          </w:p>
        </w:tc>
        <w:tc>
          <w:tcPr>
            <w:tcW w:w="764" w:type="pct"/>
            <w:vAlign w:val="center"/>
          </w:tcPr>
          <w:p w14:paraId="01FBBB5E" w14:textId="2BE648C6"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7064D4D1" w14:textId="314FB015" w:rsidTr="002F0533">
        <w:trPr>
          <w:trHeight w:val="397"/>
          <w:jc w:val="center"/>
        </w:trPr>
        <w:tc>
          <w:tcPr>
            <w:tcW w:w="329" w:type="pct"/>
            <w:vMerge/>
            <w:vAlign w:val="center"/>
          </w:tcPr>
          <w:p w14:paraId="7F4EEEAB"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restart"/>
            <w:vAlign w:val="center"/>
          </w:tcPr>
          <w:p w14:paraId="1227192C"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清洁生产操作平台（</w:t>
            </w:r>
            <w:r w:rsidRPr="00092862">
              <w:rPr>
                <w:rFonts w:ascii="Times New Roman" w:eastAsia="宋体" w:hAnsi="Times New Roman" w:cs="Times New Roman"/>
                <w:color w:val="000000" w:themeColor="text1"/>
                <w:kern w:val="28"/>
                <w:szCs w:val="21"/>
              </w:rPr>
              <w:t>310m</w:t>
            </w:r>
            <w:r w:rsidRPr="00092862">
              <w:rPr>
                <w:rFonts w:ascii="Times New Roman" w:eastAsia="宋体" w:hAnsi="Times New Roman" w:cs="Times New Roman"/>
                <w:color w:val="000000" w:themeColor="text1"/>
                <w:kern w:val="28"/>
                <w:szCs w:val="21"/>
                <w:vertAlign w:val="superscript"/>
              </w:rPr>
              <w:t>2</w:t>
            </w:r>
            <w:r w:rsidRPr="00092862">
              <w:rPr>
                <w:rFonts w:ascii="Times New Roman" w:eastAsia="宋体" w:hAnsi="Times New Roman" w:cs="Times New Roman"/>
                <w:color w:val="000000" w:themeColor="text1"/>
                <w:kern w:val="28"/>
                <w:szCs w:val="21"/>
              </w:rPr>
              <w:t>）</w:t>
            </w:r>
          </w:p>
        </w:tc>
        <w:tc>
          <w:tcPr>
            <w:tcW w:w="2273" w:type="pct"/>
            <w:vAlign w:val="center"/>
          </w:tcPr>
          <w:p w14:paraId="00FD7AFD" w14:textId="0088569C"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废水罐</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个（位于清洁化操作平台废水处理区，分为</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个隔油罐、</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个沉淀罐、</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个回用罐）</w:t>
            </w:r>
          </w:p>
        </w:tc>
        <w:tc>
          <w:tcPr>
            <w:tcW w:w="766" w:type="pct"/>
            <w:vMerge w:val="restart"/>
            <w:vAlign w:val="center"/>
          </w:tcPr>
          <w:p w14:paraId="1763F2C3"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28"/>
                <w:szCs w:val="21"/>
              </w:rPr>
              <w:t>用于暂存钻井泥浆、洗井作业、酸化作业废水，若处置不当或者发生泄漏现象，导致土壤、植被破坏以及地下水、地表水等污染</w:t>
            </w:r>
          </w:p>
        </w:tc>
        <w:tc>
          <w:tcPr>
            <w:tcW w:w="764" w:type="pct"/>
            <w:vAlign w:val="center"/>
          </w:tcPr>
          <w:p w14:paraId="5922F28B" w14:textId="3C82A693" w:rsidR="005F3388" w:rsidRPr="00092862" w:rsidRDefault="00667C21"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4741EB1B" w14:textId="2CBF91F8" w:rsidTr="002F0533">
        <w:trPr>
          <w:trHeight w:val="60"/>
          <w:jc w:val="center"/>
        </w:trPr>
        <w:tc>
          <w:tcPr>
            <w:tcW w:w="329" w:type="pct"/>
            <w:vMerge/>
            <w:vAlign w:val="center"/>
          </w:tcPr>
          <w:p w14:paraId="6745412F"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66E295D8"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1D9B5D48" w14:textId="096F4FAE"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岩屑固化罐</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个（位于清洁化操作平台储备罐区）</w:t>
            </w:r>
          </w:p>
        </w:tc>
        <w:tc>
          <w:tcPr>
            <w:tcW w:w="766" w:type="pct"/>
            <w:vMerge/>
            <w:vAlign w:val="center"/>
          </w:tcPr>
          <w:p w14:paraId="6C565684"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4C4F97E8" w14:textId="7B3D3CA6"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1E3E5D8D" w14:textId="24837DB1" w:rsidTr="002F0533">
        <w:trPr>
          <w:trHeight w:val="60"/>
          <w:jc w:val="center"/>
        </w:trPr>
        <w:tc>
          <w:tcPr>
            <w:tcW w:w="329" w:type="pct"/>
            <w:vMerge/>
            <w:vAlign w:val="center"/>
          </w:tcPr>
          <w:p w14:paraId="46E54D0A"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65C9577D"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782E54F6" w14:textId="0E5071C0"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岩屑收集罐</w:t>
            </w:r>
            <w:r w:rsidRPr="00092862">
              <w:rPr>
                <w:rFonts w:ascii="Times New Roman" w:eastAsia="宋体" w:hAnsi="Times New Roman" w:cs="Times New Roman"/>
                <w:color w:val="000000" w:themeColor="text1"/>
                <w:szCs w:val="21"/>
              </w:rPr>
              <w:t>8</w:t>
            </w:r>
            <w:r w:rsidRPr="00092862">
              <w:rPr>
                <w:rFonts w:ascii="Times New Roman" w:eastAsia="宋体" w:hAnsi="Times New Roman" w:cs="Times New Roman"/>
                <w:color w:val="000000" w:themeColor="text1"/>
                <w:szCs w:val="21"/>
              </w:rPr>
              <w:t>个（位于清洁化操作平台储备罐区）</w:t>
            </w:r>
          </w:p>
        </w:tc>
        <w:tc>
          <w:tcPr>
            <w:tcW w:w="766" w:type="pct"/>
            <w:vMerge/>
            <w:vAlign w:val="center"/>
          </w:tcPr>
          <w:p w14:paraId="247E598E"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6379C40B" w14:textId="774CB80B"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029EDEFB" w14:textId="5162C48B" w:rsidTr="002F0533">
        <w:trPr>
          <w:trHeight w:val="397"/>
          <w:jc w:val="center"/>
        </w:trPr>
        <w:tc>
          <w:tcPr>
            <w:tcW w:w="329" w:type="pct"/>
            <w:vMerge/>
            <w:vAlign w:val="center"/>
          </w:tcPr>
          <w:p w14:paraId="5997B034"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2B4FADC2"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2AC9B06A" w14:textId="3F287FD2"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化学品存放区：固化材料堆放棚（位于材料区），主要摆放固化材料、水处理药剂等</w:t>
            </w:r>
          </w:p>
        </w:tc>
        <w:tc>
          <w:tcPr>
            <w:tcW w:w="766" w:type="pct"/>
            <w:vMerge/>
            <w:vAlign w:val="center"/>
          </w:tcPr>
          <w:p w14:paraId="16818A2F"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551AED93" w14:textId="553D750E"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3242A2C1" w14:textId="0518FB85" w:rsidTr="002F0533">
        <w:trPr>
          <w:trHeight w:val="397"/>
          <w:jc w:val="center"/>
        </w:trPr>
        <w:tc>
          <w:tcPr>
            <w:tcW w:w="329" w:type="pct"/>
            <w:vMerge/>
            <w:vAlign w:val="center"/>
          </w:tcPr>
          <w:p w14:paraId="23DCF59D"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6EC744E0"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放喷池及放喷管线</w:t>
            </w:r>
          </w:p>
        </w:tc>
        <w:tc>
          <w:tcPr>
            <w:tcW w:w="2273" w:type="pct"/>
            <w:vAlign w:val="center"/>
          </w:tcPr>
          <w:p w14:paraId="6DAA4919" w14:textId="21685323"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300m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放喷池</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座</w:t>
            </w:r>
            <w:r w:rsidRPr="00092862">
              <w:rPr>
                <w:rFonts w:ascii="Times New Roman" w:eastAsia="宋体" w:hAnsi="Times New Roman" w:cs="Times New Roman"/>
                <w:color w:val="000000" w:themeColor="text1"/>
                <w:szCs w:val="21"/>
                <w:lang w:bidi="ar"/>
              </w:rPr>
              <w:t>，各配</w:t>
            </w:r>
            <w:r w:rsidRPr="00092862">
              <w:rPr>
                <w:rFonts w:ascii="Times New Roman" w:eastAsia="宋体" w:hAnsi="Times New Roman" w:cs="Times New Roman"/>
                <w:color w:val="000000" w:themeColor="text1"/>
                <w:szCs w:val="21"/>
                <w:lang w:bidi="ar"/>
              </w:rPr>
              <w:t>10m</w:t>
            </w:r>
            <w:r w:rsidRPr="00092862">
              <w:rPr>
                <w:rFonts w:ascii="Times New Roman" w:eastAsia="宋体" w:hAnsi="Times New Roman" w:cs="Times New Roman"/>
                <w:color w:val="000000" w:themeColor="text1"/>
                <w:szCs w:val="21"/>
                <w:vertAlign w:val="superscript"/>
                <w:lang w:bidi="ar"/>
              </w:rPr>
              <w:t>3</w:t>
            </w:r>
            <w:r w:rsidRPr="00092862">
              <w:rPr>
                <w:rFonts w:ascii="Times New Roman" w:eastAsia="宋体" w:hAnsi="Times New Roman" w:cs="Times New Roman"/>
                <w:color w:val="000000" w:themeColor="text1"/>
                <w:szCs w:val="21"/>
                <w:lang w:bidi="ar"/>
              </w:rPr>
              <w:t>集酸坑</w:t>
            </w:r>
            <w:r w:rsidRPr="00092862">
              <w:rPr>
                <w:rFonts w:ascii="Times New Roman" w:eastAsia="宋体" w:hAnsi="Times New Roman" w:cs="Times New Roman"/>
                <w:color w:val="000000" w:themeColor="text1"/>
                <w:szCs w:val="21"/>
                <w:lang w:bidi="ar"/>
              </w:rPr>
              <w:t>1</w:t>
            </w:r>
            <w:r w:rsidRPr="00092862">
              <w:rPr>
                <w:rFonts w:ascii="Times New Roman" w:eastAsia="宋体" w:hAnsi="Times New Roman" w:cs="Times New Roman"/>
                <w:color w:val="000000" w:themeColor="text1"/>
                <w:szCs w:val="21"/>
                <w:lang w:bidi="ar"/>
              </w:rPr>
              <w:t>座</w:t>
            </w:r>
            <w:r w:rsidRPr="00092862">
              <w:rPr>
                <w:rFonts w:ascii="Times New Roman" w:eastAsia="宋体" w:hAnsi="Times New Roman" w:cs="Times New Roman"/>
                <w:color w:val="000000" w:themeColor="text1"/>
                <w:kern w:val="28"/>
                <w:szCs w:val="21"/>
              </w:rPr>
              <w:t>。放喷管使用双四通、二条放喷管线。</w:t>
            </w:r>
            <w:r w:rsidR="00E477EC" w:rsidRPr="00092862">
              <w:rPr>
                <w:rFonts w:ascii="Times New Roman" w:eastAsia="宋体" w:hAnsi="Times New Roman" w:cs="Times New Roman"/>
                <w:color w:val="000000" w:themeColor="text1"/>
                <w:kern w:val="28"/>
                <w:szCs w:val="21"/>
              </w:rPr>
              <w:t>改造部分主要为放喷管线与放喷通道需重新完善设置</w:t>
            </w:r>
            <w:r w:rsidR="00490063" w:rsidRPr="00092862">
              <w:rPr>
                <w:rFonts w:ascii="Times New Roman" w:eastAsia="宋体" w:hAnsi="Times New Roman" w:cs="Times New Roman"/>
                <w:color w:val="000000" w:themeColor="text1"/>
                <w:kern w:val="28"/>
                <w:szCs w:val="21"/>
              </w:rPr>
              <w:t>，将现有使用功能为污水池的原放喷池恢复为原放喷池功能，并对</w:t>
            </w:r>
            <w:r w:rsidR="00490063" w:rsidRPr="00092862">
              <w:rPr>
                <w:rFonts w:ascii="Times New Roman" w:eastAsia="宋体" w:hAnsi="Times New Roman" w:cs="Times New Roman"/>
                <w:color w:val="000000" w:themeColor="text1"/>
                <w:kern w:val="28"/>
                <w:szCs w:val="21"/>
              </w:rPr>
              <w:t>2</w:t>
            </w:r>
            <w:r w:rsidR="00490063" w:rsidRPr="00092862">
              <w:rPr>
                <w:rFonts w:ascii="Times New Roman" w:eastAsia="宋体" w:hAnsi="Times New Roman" w:cs="Times New Roman"/>
                <w:color w:val="000000" w:themeColor="text1"/>
                <w:kern w:val="28"/>
                <w:szCs w:val="21"/>
              </w:rPr>
              <w:t>个放喷池修复</w:t>
            </w:r>
          </w:p>
        </w:tc>
        <w:tc>
          <w:tcPr>
            <w:tcW w:w="766" w:type="pct"/>
            <w:vAlign w:val="center"/>
          </w:tcPr>
          <w:p w14:paraId="38C32A83" w14:textId="2E0EAA04"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放喷废气、燃烧热辐射</w:t>
            </w:r>
          </w:p>
        </w:tc>
        <w:tc>
          <w:tcPr>
            <w:tcW w:w="764" w:type="pct"/>
            <w:vAlign w:val="center"/>
          </w:tcPr>
          <w:p w14:paraId="2A75CC00" w14:textId="64F64AC2" w:rsidR="005F3388" w:rsidRPr="00092862" w:rsidRDefault="00CE7A3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修复利旧</w:t>
            </w:r>
          </w:p>
        </w:tc>
      </w:tr>
      <w:tr w:rsidR="00697429" w:rsidRPr="00092862" w14:paraId="68D11125" w14:textId="041FD5B3" w:rsidTr="002F0533">
        <w:trPr>
          <w:trHeight w:val="60"/>
          <w:jc w:val="center"/>
        </w:trPr>
        <w:tc>
          <w:tcPr>
            <w:tcW w:w="329" w:type="pct"/>
            <w:vMerge/>
            <w:vAlign w:val="center"/>
          </w:tcPr>
          <w:p w14:paraId="416AA4AC"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333C3D2B"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放喷点火系统</w:t>
            </w:r>
          </w:p>
        </w:tc>
        <w:tc>
          <w:tcPr>
            <w:tcW w:w="2273" w:type="pct"/>
            <w:vAlign w:val="center"/>
          </w:tcPr>
          <w:p w14:paraId="29035691" w14:textId="0FBC6BCE"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自动、手动点火装置各</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套</w:t>
            </w:r>
          </w:p>
        </w:tc>
        <w:tc>
          <w:tcPr>
            <w:tcW w:w="766" w:type="pct"/>
            <w:vAlign w:val="center"/>
          </w:tcPr>
          <w:p w14:paraId="001CB825"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w:t>
            </w:r>
          </w:p>
        </w:tc>
        <w:tc>
          <w:tcPr>
            <w:tcW w:w="764" w:type="pct"/>
            <w:vAlign w:val="center"/>
          </w:tcPr>
          <w:p w14:paraId="5455E242" w14:textId="4A5F7B5D" w:rsidR="005F3388" w:rsidRPr="00092862" w:rsidRDefault="00667C21"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64F6C7B2" w14:textId="7DD5DA96" w:rsidTr="002F0533">
        <w:trPr>
          <w:trHeight w:val="60"/>
          <w:jc w:val="center"/>
        </w:trPr>
        <w:tc>
          <w:tcPr>
            <w:tcW w:w="329" w:type="pct"/>
            <w:vMerge/>
            <w:vAlign w:val="center"/>
          </w:tcPr>
          <w:p w14:paraId="378BB101"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05123F32" w14:textId="77777777"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生活垃圾箱</w:t>
            </w:r>
          </w:p>
        </w:tc>
        <w:tc>
          <w:tcPr>
            <w:tcW w:w="2273" w:type="pct"/>
            <w:vAlign w:val="center"/>
          </w:tcPr>
          <w:p w14:paraId="280F0DC0" w14:textId="4A8064CC"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井场区域设</w:t>
            </w:r>
            <w:r w:rsidRPr="00092862">
              <w:rPr>
                <w:rFonts w:ascii="Times New Roman" w:eastAsia="宋体" w:hAnsi="Times New Roman" w:cs="Times New Roman"/>
                <w:color w:val="000000" w:themeColor="text1"/>
                <w:szCs w:val="21"/>
                <w:lang w:bidi="ar"/>
              </w:rPr>
              <w:t>1</w:t>
            </w:r>
            <w:r w:rsidRPr="00092862">
              <w:rPr>
                <w:rFonts w:ascii="Times New Roman" w:eastAsia="宋体" w:hAnsi="Times New Roman" w:cs="Times New Roman"/>
                <w:color w:val="000000" w:themeColor="text1"/>
                <w:szCs w:val="21"/>
                <w:lang w:bidi="ar"/>
              </w:rPr>
              <w:t>个</w:t>
            </w:r>
          </w:p>
        </w:tc>
        <w:tc>
          <w:tcPr>
            <w:tcW w:w="766" w:type="pct"/>
            <w:vMerge w:val="restart"/>
            <w:vAlign w:val="center"/>
          </w:tcPr>
          <w:p w14:paraId="648F3525" w14:textId="0AD63F2C" w:rsidR="005F3388" w:rsidRPr="00092862" w:rsidRDefault="009D15CE"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102F99D1" w14:textId="4C0C7BFF"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66E955EE" w14:textId="0D2C9B01" w:rsidTr="002F0533">
        <w:trPr>
          <w:trHeight w:val="60"/>
          <w:jc w:val="center"/>
        </w:trPr>
        <w:tc>
          <w:tcPr>
            <w:tcW w:w="329" w:type="pct"/>
            <w:vMerge/>
            <w:vAlign w:val="center"/>
          </w:tcPr>
          <w:p w14:paraId="6A57F026"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4AA4BEA4" w14:textId="77777777"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油罐区隔油池</w:t>
            </w:r>
          </w:p>
        </w:tc>
        <w:tc>
          <w:tcPr>
            <w:tcW w:w="2273" w:type="pct"/>
            <w:vAlign w:val="center"/>
          </w:tcPr>
          <w:p w14:paraId="2D327571" w14:textId="3AA7D155"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混凝土结构，</w:t>
            </w:r>
            <w:r w:rsidRPr="00092862">
              <w:rPr>
                <w:rFonts w:ascii="Times New Roman" w:eastAsia="宋体" w:hAnsi="Times New Roman" w:cs="Times New Roman"/>
                <w:color w:val="000000" w:themeColor="text1"/>
                <w:szCs w:val="21"/>
                <w:lang w:bidi="ar"/>
              </w:rPr>
              <w:t>1</w:t>
            </w:r>
            <w:r w:rsidRPr="00092862">
              <w:rPr>
                <w:rFonts w:ascii="Times New Roman" w:eastAsia="宋体" w:hAnsi="Times New Roman" w:cs="Times New Roman"/>
                <w:color w:val="000000" w:themeColor="text1"/>
                <w:szCs w:val="21"/>
                <w:lang w:bidi="ar"/>
              </w:rPr>
              <w:t>个共</w:t>
            </w:r>
            <w:r w:rsidRPr="00092862">
              <w:rPr>
                <w:rFonts w:ascii="Times New Roman" w:eastAsia="宋体" w:hAnsi="Times New Roman" w:cs="Times New Roman"/>
                <w:color w:val="000000" w:themeColor="text1"/>
                <w:szCs w:val="21"/>
                <w:lang w:bidi="ar"/>
              </w:rPr>
              <w:t>1m</w:t>
            </w:r>
            <w:r w:rsidRPr="00092862">
              <w:rPr>
                <w:rFonts w:ascii="Times New Roman" w:eastAsia="宋体" w:hAnsi="Times New Roman" w:cs="Times New Roman"/>
                <w:color w:val="000000" w:themeColor="text1"/>
                <w:szCs w:val="21"/>
                <w:vertAlign w:val="superscript"/>
                <w:lang w:bidi="ar"/>
              </w:rPr>
              <w:t>3</w:t>
            </w:r>
          </w:p>
        </w:tc>
        <w:tc>
          <w:tcPr>
            <w:tcW w:w="766" w:type="pct"/>
            <w:vMerge/>
            <w:vAlign w:val="center"/>
          </w:tcPr>
          <w:p w14:paraId="03D03E0E"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0343320F" w14:textId="15FDBDFB"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1326F644" w14:textId="43E421DF" w:rsidTr="002F0533">
        <w:trPr>
          <w:trHeight w:val="397"/>
          <w:jc w:val="center"/>
        </w:trPr>
        <w:tc>
          <w:tcPr>
            <w:tcW w:w="329" w:type="pct"/>
            <w:vMerge w:val="restart"/>
            <w:vAlign w:val="center"/>
          </w:tcPr>
          <w:p w14:paraId="20928A2B"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公用工程</w:t>
            </w:r>
          </w:p>
        </w:tc>
        <w:tc>
          <w:tcPr>
            <w:tcW w:w="868" w:type="pct"/>
            <w:gridSpan w:val="2"/>
            <w:vAlign w:val="center"/>
          </w:tcPr>
          <w:p w14:paraId="30CB4D04"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给水</w:t>
            </w:r>
          </w:p>
        </w:tc>
        <w:tc>
          <w:tcPr>
            <w:tcW w:w="2273" w:type="pct"/>
            <w:vAlign w:val="center"/>
          </w:tcPr>
          <w:p w14:paraId="0256718B" w14:textId="7BD382C6"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宋体" w:eastAsia="宋体" w:hAnsi="宋体" w:cs="宋体" w:hint="eastAsia"/>
                <w:color w:val="000000" w:themeColor="text1"/>
                <w:kern w:val="28"/>
                <w:szCs w:val="21"/>
              </w:rPr>
              <w:t>①</w:t>
            </w:r>
            <w:r w:rsidRPr="00092862">
              <w:rPr>
                <w:rFonts w:ascii="Times New Roman" w:eastAsia="宋体" w:hAnsi="Times New Roman" w:cs="Times New Roman"/>
                <w:color w:val="000000" w:themeColor="text1"/>
                <w:kern w:val="28"/>
                <w:szCs w:val="21"/>
              </w:rPr>
              <w:t>生产用水：采用清洁化生产处理水作为生产用水，不足部分由水罐供给，采用运水车从周边的后河取水，存放于</w:t>
            </w:r>
            <w:r w:rsidR="00D774F2" w:rsidRPr="00092862">
              <w:rPr>
                <w:rFonts w:ascii="Times New Roman" w:eastAsia="宋体" w:hAnsi="Times New Roman" w:cs="Times New Roman"/>
                <w:color w:val="000000" w:themeColor="text1"/>
                <w:kern w:val="28"/>
                <w:szCs w:val="21"/>
              </w:rPr>
              <w:t>生产水罐</w:t>
            </w:r>
            <w:r w:rsidRPr="00092862">
              <w:rPr>
                <w:rFonts w:ascii="Times New Roman" w:eastAsia="宋体" w:hAnsi="Times New Roman" w:cs="Times New Roman"/>
                <w:color w:val="000000" w:themeColor="text1"/>
                <w:kern w:val="28"/>
                <w:szCs w:val="21"/>
              </w:rPr>
              <w:t>中；</w:t>
            </w:r>
          </w:p>
          <w:p w14:paraId="494E81DD" w14:textId="531680F2"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宋体" w:eastAsia="宋体" w:hAnsi="宋体" w:cs="宋体" w:hint="eastAsia"/>
                <w:color w:val="000000" w:themeColor="text1"/>
                <w:kern w:val="28"/>
                <w:szCs w:val="21"/>
              </w:rPr>
              <w:t>②</w:t>
            </w:r>
            <w:r w:rsidRPr="00092862">
              <w:rPr>
                <w:rFonts w:ascii="Times New Roman" w:eastAsia="宋体" w:hAnsi="Times New Roman" w:cs="Times New Roman"/>
                <w:color w:val="000000" w:themeColor="text1"/>
                <w:kern w:val="28"/>
                <w:szCs w:val="21"/>
              </w:rPr>
              <w:t>生活用水：车辆拉运桶装水至场地</w:t>
            </w:r>
          </w:p>
        </w:tc>
        <w:tc>
          <w:tcPr>
            <w:tcW w:w="766" w:type="pct"/>
            <w:vAlign w:val="center"/>
          </w:tcPr>
          <w:p w14:paraId="63D8E71C"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w:t>
            </w:r>
          </w:p>
        </w:tc>
        <w:tc>
          <w:tcPr>
            <w:tcW w:w="764" w:type="pct"/>
            <w:vAlign w:val="center"/>
          </w:tcPr>
          <w:p w14:paraId="21F4393D" w14:textId="426DFF94" w:rsidR="005F3388" w:rsidRPr="00092862" w:rsidRDefault="00667C21"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08E039B9" w14:textId="31449FBE" w:rsidTr="002F0533">
        <w:trPr>
          <w:trHeight w:val="397"/>
          <w:jc w:val="center"/>
        </w:trPr>
        <w:tc>
          <w:tcPr>
            <w:tcW w:w="329" w:type="pct"/>
            <w:vMerge/>
            <w:vAlign w:val="center"/>
          </w:tcPr>
          <w:p w14:paraId="58C2410E"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2F469253"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场外排水</w:t>
            </w:r>
          </w:p>
        </w:tc>
        <w:tc>
          <w:tcPr>
            <w:tcW w:w="2273" w:type="pct"/>
            <w:vAlign w:val="center"/>
          </w:tcPr>
          <w:p w14:paraId="416844A2" w14:textId="5A7557EE"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边坡坡顶设置截水沟，截水沟与自然水系连通</w:t>
            </w:r>
          </w:p>
        </w:tc>
        <w:tc>
          <w:tcPr>
            <w:tcW w:w="766" w:type="pct"/>
            <w:vAlign w:val="center"/>
          </w:tcPr>
          <w:p w14:paraId="581DC375"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w:t>
            </w:r>
          </w:p>
        </w:tc>
        <w:tc>
          <w:tcPr>
            <w:tcW w:w="764" w:type="pct"/>
            <w:vAlign w:val="center"/>
          </w:tcPr>
          <w:p w14:paraId="30B119E9" w14:textId="654ABA66" w:rsidR="005F3388" w:rsidRPr="00092862" w:rsidRDefault="00E477EC"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利旧</w:t>
            </w:r>
          </w:p>
        </w:tc>
      </w:tr>
      <w:tr w:rsidR="00697429" w:rsidRPr="00092862" w14:paraId="7ADD0863" w14:textId="153BC9FA" w:rsidTr="002F0533">
        <w:trPr>
          <w:trHeight w:val="397"/>
          <w:jc w:val="center"/>
        </w:trPr>
        <w:tc>
          <w:tcPr>
            <w:tcW w:w="329" w:type="pct"/>
            <w:vMerge/>
            <w:vAlign w:val="center"/>
          </w:tcPr>
          <w:p w14:paraId="1D1315FF"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restart"/>
            <w:vAlign w:val="center"/>
          </w:tcPr>
          <w:p w14:paraId="003F9C6D"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场内排水</w:t>
            </w:r>
          </w:p>
        </w:tc>
        <w:tc>
          <w:tcPr>
            <w:tcW w:w="2273" w:type="pct"/>
            <w:vAlign w:val="center"/>
          </w:tcPr>
          <w:p w14:paraId="2360AB56" w14:textId="6F35FCD4"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修建场内排水沟及隔油池，实现井场范围内清水与污水分流</w:t>
            </w:r>
            <w:r w:rsidR="00490063" w:rsidRPr="00092862">
              <w:rPr>
                <w:rFonts w:ascii="Times New Roman" w:eastAsia="宋体" w:hAnsi="Times New Roman" w:cs="Times New Roman"/>
                <w:color w:val="000000" w:themeColor="text1"/>
                <w:szCs w:val="21"/>
                <w:lang w:bidi="ar"/>
              </w:rPr>
              <w:t>（钻前工程修建）</w:t>
            </w:r>
          </w:p>
        </w:tc>
        <w:tc>
          <w:tcPr>
            <w:tcW w:w="766" w:type="pct"/>
            <w:vMerge w:val="restart"/>
            <w:vAlign w:val="center"/>
          </w:tcPr>
          <w:p w14:paraId="4E99BC63"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渗漏污染土壤、地下水环境</w:t>
            </w:r>
          </w:p>
        </w:tc>
        <w:tc>
          <w:tcPr>
            <w:tcW w:w="764" w:type="pct"/>
            <w:vAlign w:val="center"/>
          </w:tcPr>
          <w:p w14:paraId="31C0367E" w14:textId="54AAE0A6" w:rsidR="005F3388" w:rsidRPr="00092862" w:rsidRDefault="00490063"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利旧</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新建</w:t>
            </w:r>
          </w:p>
        </w:tc>
      </w:tr>
      <w:tr w:rsidR="00697429" w:rsidRPr="00092862" w14:paraId="6294E367" w14:textId="35F73BDE" w:rsidTr="002F0533">
        <w:trPr>
          <w:trHeight w:val="397"/>
          <w:jc w:val="center"/>
        </w:trPr>
        <w:tc>
          <w:tcPr>
            <w:tcW w:w="329" w:type="pct"/>
            <w:vMerge/>
            <w:vAlign w:val="center"/>
          </w:tcPr>
          <w:p w14:paraId="0C97C9C9"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3624D566"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3E1B786E" w14:textId="3A7923A9"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lang w:bidi="ar"/>
              </w:rPr>
              <w:t>产污区的废水经集水坑和井口方井集水坑通过泵入</w:t>
            </w:r>
            <w:r w:rsidRPr="00092862">
              <w:rPr>
                <w:rFonts w:ascii="Times New Roman" w:eastAsia="宋体" w:hAnsi="Times New Roman" w:cs="Times New Roman"/>
                <w:color w:val="000000" w:themeColor="text1"/>
                <w:kern w:val="28"/>
                <w:szCs w:val="21"/>
              </w:rPr>
              <w:t>清洁生产操作平台</w:t>
            </w:r>
            <w:r w:rsidRPr="00092862">
              <w:rPr>
                <w:rFonts w:ascii="Times New Roman" w:eastAsia="宋体" w:hAnsi="Times New Roman" w:cs="Times New Roman"/>
                <w:color w:val="000000" w:themeColor="text1"/>
                <w:szCs w:val="21"/>
              </w:rPr>
              <w:t>废水罐</w:t>
            </w:r>
            <w:r w:rsidRPr="00092862">
              <w:rPr>
                <w:rFonts w:ascii="Times New Roman" w:eastAsia="宋体" w:hAnsi="Times New Roman" w:cs="Times New Roman"/>
                <w:color w:val="000000" w:themeColor="text1"/>
                <w:kern w:val="28"/>
                <w:szCs w:val="21"/>
              </w:rPr>
              <w:t>处理回用</w:t>
            </w:r>
          </w:p>
        </w:tc>
        <w:tc>
          <w:tcPr>
            <w:tcW w:w="766" w:type="pct"/>
            <w:vMerge/>
            <w:vAlign w:val="center"/>
          </w:tcPr>
          <w:p w14:paraId="3EE7EDA7"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764" w:type="pct"/>
            <w:vAlign w:val="center"/>
          </w:tcPr>
          <w:p w14:paraId="68C0810C" w14:textId="07805234" w:rsidR="005F3388" w:rsidRPr="00092862" w:rsidRDefault="00121646"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330750F5" w14:textId="3C239B8D" w:rsidTr="002F0533">
        <w:trPr>
          <w:trHeight w:val="397"/>
          <w:jc w:val="center"/>
        </w:trPr>
        <w:tc>
          <w:tcPr>
            <w:tcW w:w="329" w:type="pct"/>
            <w:vMerge/>
            <w:vAlign w:val="center"/>
          </w:tcPr>
          <w:p w14:paraId="04E4C80E"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57DB6833"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17393F53" w14:textId="5459DEB0"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井场清洁区雨水通过排水沟和隔油池处理后排入自然水系。排放口出口设置环境监测池</w:t>
            </w:r>
          </w:p>
        </w:tc>
        <w:tc>
          <w:tcPr>
            <w:tcW w:w="766" w:type="pct"/>
            <w:vMerge/>
            <w:vAlign w:val="center"/>
          </w:tcPr>
          <w:p w14:paraId="0A3F21FB"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764" w:type="pct"/>
            <w:vAlign w:val="center"/>
          </w:tcPr>
          <w:p w14:paraId="3D13432B" w14:textId="60DE4F42" w:rsidR="005F3388" w:rsidRPr="00092862" w:rsidRDefault="00121646"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1B987659" w14:textId="2704A562" w:rsidTr="002F0533">
        <w:trPr>
          <w:trHeight w:val="397"/>
          <w:jc w:val="center"/>
        </w:trPr>
        <w:tc>
          <w:tcPr>
            <w:tcW w:w="329" w:type="pct"/>
            <w:vMerge/>
            <w:vAlign w:val="center"/>
          </w:tcPr>
          <w:p w14:paraId="3AB99860"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7D177EC0"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096690D4" w14:textId="16C0ED0B" w:rsidR="005F3388" w:rsidRPr="00092862" w:rsidRDefault="005F3388"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lang w:bidi="ar"/>
              </w:rPr>
              <w:t>水罐区雨水排入自然水系。油罐区设置隔油池</w:t>
            </w:r>
            <w:r w:rsidRPr="00092862">
              <w:rPr>
                <w:rFonts w:ascii="Times New Roman" w:eastAsia="宋体" w:hAnsi="Times New Roman" w:cs="Times New Roman"/>
                <w:color w:val="000000" w:themeColor="text1"/>
                <w:szCs w:val="21"/>
                <w:lang w:bidi="ar"/>
              </w:rPr>
              <w:t>1</w:t>
            </w:r>
            <w:r w:rsidRPr="00092862">
              <w:rPr>
                <w:rFonts w:ascii="Times New Roman" w:eastAsia="宋体" w:hAnsi="Times New Roman" w:cs="Times New Roman"/>
                <w:color w:val="000000" w:themeColor="text1"/>
                <w:szCs w:val="21"/>
                <w:lang w:bidi="ar"/>
              </w:rPr>
              <w:t>座处理排入自然水系</w:t>
            </w:r>
          </w:p>
        </w:tc>
        <w:tc>
          <w:tcPr>
            <w:tcW w:w="766" w:type="pct"/>
            <w:vMerge/>
            <w:vAlign w:val="center"/>
          </w:tcPr>
          <w:p w14:paraId="3ECEB8E8"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764" w:type="pct"/>
            <w:vAlign w:val="center"/>
          </w:tcPr>
          <w:p w14:paraId="7849757E" w14:textId="4B9383EC" w:rsidR="005F3388" w:rsidRPr="00092862" w:rsidRDefault="00121646"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新建</w:t>
            </w:r>
          </w:p>
        </w:tc>
      </w:tr>
      <w:tr w:rsidR="00697429" w:rsidRPr="00092862" w14:paraId="6184DC6C" w14:textId="352D5B42" w:rsidTr="002F0533">
        <w:trPr>
          <w:trHeight w:val="397"/>
          <w:jc w:val="center"/>
        </w:trPr>
        <w:tc>
          <w:tcPr>
            <w:tcW w:w="329" w:type="pct"/>
            <w:vMerge/>
            <w:vAlign w:val="center"/>
          </w:tcPr>
          <w:p w14:paraId="4300F48C"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Merge/>
            <w:vAlign w:val="center"/>
          </w:tcPr>
          <w:p w14:paraId="16B26BE3"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273" w:type="pct"/>
            <w:vAlign w:val="center"/>
          </w:tcPr>
          <w:p w14:paraId="55E1B2D0" w14:textId="663B008C" w:rsidR="005F3388" w:rsidRPr="00092862" w:rsidRDefault="00BD7B0C"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生活污水经生态厕所收集后定期由密闭罐车拉运至周边生活污水处理厂处理</w:t>
            </w:r>
          </w:p>
        </w:tc>
        <w:tc>
          <w:tcPr>
            <w:tcW w:w="766" w:type="pct"/>
            <w:vMerge/>
            <w:vAlign w:val="center"/>
          </w:tcPr>
          <w:p w14:paraId="4E95BD1D"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764" w:type="pct"/>
            <w:vAlign w:val="center"/>
          </w:tcPr>
          <w:p w14:paraId="2812CFD1" w14:textId="344965D7" w:rsidR="005F3388" w:rsidRPr="00092862" w:rsidRDefault="001D7037"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依托</w:t>
            </w:r>
          </w:p>
        </w:tc>
      </w:tr>
      <w:tr w:rsidR="00697429" w:rsidRPr="00092862" w14:paraId="7E2C434B" w14:textId="6EBE0BDD" w:rsidTr="002F0533">
        <w:trPr>
          <w:trHeight w:val="397"/>
          <w:jc w:val="center"/>
        </w:trPr>
        <w:tc>
          <w:tcPr>
            <w:tcW w:w="329" w:type="pct"/>
            <w:vMerge/>
            <w:vAlign w:val="center"/>
          </w:tcPr>
          <w:p w14:paraId="580CF6C8"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04644135"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供电</w:t>
            </w:r>
          </w:p>
        </w:tc>
        <w:tc>
          <w:tcPr>
            <w:tcW w:w="2273" w:type="pct"/>
            <w:vAlign w:val="center"/>
          </w:tcPr>
          <w:p w14:paraId="15264CF9" w14:textId="2CB9E8FF"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周边已建</w:t>
            </w:r>
            <w:r w:rsidRPr="00092862">
              <w:rPr>
                <w:rFonts w:ascii="Times New Roman" w:eastAsia="宋体" w:hAnsi="Times New Roman" w:cs="Times New Roman"/>
                <w:color w:val="000000" w:themeColor="text1"/>
                <w:szCs w:val="21"/>
              </w:rPr>
              <w:t>10kV</w:t>
            </w:r>
            <w:r w:rsidRPr="00092862">
              <w:rPr>
                <w:rFonts w:ascii="Times New Roman" w:eastAsia="宋体" w:hAnsi="Times New Roman" w:cs="Times New Roman"/>
                <w:color w:val="000000" w:themeColor="text1"/>
                <w:szCs w:val="21"/>
              </w:rPr>
              <w:t>高压电网供电，</w:t>
            </w:r>
            <w:r w:rsidR="003C3238" w:rsidRPr="00092862">
              <w:rPr>
                <w:rFonts w:ascii="Times New Roman" w:eastAsia="宋体" w:hAnsi="Times New Roman" w:cs="Times New Roman"/>
                <w:color w:val="000000" w:themeColor="text1"/>
                <w:kern w:val="28"/>
                <w:szCs w:val="21"/>
              </w:rPr>
              <w:t>老君</w:t>
            </w:r>
            <w:r w:rsidR="003C3238" w:rsidRPr="00092862">
              <w:rPr>
                <w:rFonts w:ascii="Times New Roman" w:eastAsia="宋体" w:hAnsi="Times New Roman" w:cs="Times New Roman"/>
                <w:color w:val="000000" w:themeColor="text1"/>
                <w:kern w:val="28"/>
                <w:szCs w:val="21"/>
              </w:rPr>
              <w:t>701</w:t>
            </w:r>
            <w:r w:rsidR="0012569E" w:rsidRPr="00092862">
              <w:rPr>
                <w:rFonts w:ascii="Times New Roman" w:eastAsia="宋体" w:hAnsi="Times New Roman" w:cs="Times New Roman"/>
                <w:color w:val="000000" w:themeColor="text1"/>
                <w:kern w:val="28"/>
                <w:szCs w:val="21"/>
              </w:rPr>
              <w:t>集气站</w:t>
            </w:r>
            <w:r w:rsidR="00BE618D" w:rsidRPr="00092862">
              <w:rPr>
                <w:rFonts w:ascii="Times New Roman" w:eastAsia="宋体" w:hAnsi="Times New Roman" w:cs="Times New Roman"/>
                <w:color w:val="000000" w:themeColor="text1"/>
                <w:kern w:val="28"/>
                <w:szCs w:val="21"/>
              </w:rPr>
              <w:t>已引入</w:t>
            </w:r>
          </w:p>
        </w:tc>
        <w:tc>
          <w:tcPr>
            <w:tcW w:w="766" w:type="pct"/>
            <w:vAlign w:val="center"/>
          </w:tcPr>
          <w:p w14:paraId="7963A134" w14:textId="48A76A74" w:rsidR="005F3388" w:rsidRPr="00092862" w:rsidRDefault="00490063"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0BDA22F6" w14:textId="342FEBC0" w:rsidR="005F3388" w:rsidRPr="00092862" w:rsidRDefault="00803BB7"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08E0B764" w14:textId="134355D9" w:rsidTr="002F0533">
        <w:trPr>
          <w:trHeight w:val="397"/>
          <w:jc w:val="center"/>
        </w:trPr>
        <w:tc>
          <w:tcPr>
            <w:tcW w:w="329" w:type="pct"/>
            <w:vMerge w:val="restart"/>
            <w:vAlign w:val="center"/>
          </w:tcPr>
          <w:p w14:paraId="55799F69"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仓储</w:t>
            </w:r>
          </w:p>
          <w:p w14:paraId="35E5759B"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工程</w:t>
            </w:r>
          </w:p>
        </w:tc>
        <w:tc>
          <w:tcPr>
            <w:tcW w:w="868" w:type="pct"/>
            <w:gridSpan w:val="2"/>
            <w:vAlign w:val="center"/>
          </w:tcPr>
          <w:p w14:paraId="3EDD9BD1"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柴油罐区</w:t>
            </w:r>
          </w:p>
        </w:tc>
        <w:tc>
          <w:tcPr>
            <w:tcW w:w="2273" w:type="pct"/>
            <w:vAlign w:val="center"/>
          </w:tcPr>
          <w:p w14:paraId="56AF78F7" w14:textId="2F68399A"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占地</w:t>
            </w:r>
            <w:r w:rsidRPr="00092862">
              <w:rPr>
                <w:rFonts w:ascii="Times New Roman" w:eastAsia="宋体" w:hAnsi="Times New Roman" w:cs="Times New Roman"/>
                <w:color w:val="000000" w:themeColor="text1"/>
                <w:szCs w:val="21"/>
              </w:rPr>
              <w:t>25m</w:t>
            </w:r>
            <w:r w:rsidRPr="00092862">
              <w:rPr>
                <w:rFonts w:ascii="Times New Roman" w:eastAsia="宋体" w:hAnsi="Times New Roman" w:cs="Times New Roman"/>
                <w:color w:val="000000" w:themeColor="text1"/>
                <w:szCs w:val="21"/>
                <w:vertAlign w:val="superscript"/>
              </w:rPr>
              <w:t>2</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个柴油罐，每个容积</w:t>
            </w:r>
            <w:r w:rsidRPr="00092862">
              <w:rPr>
                <w:rFonts w:ascii="Times New Roman" w:eastAsia="宋体" w:hAnsi="Times New Roman" w:cs="Times New Roman"/>
                <w:color w:val="000000" w:themeColor="text1"/>
                <w:szCs w:val="21"/>
              </w:rPr>
              <w:t>20m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。地面硬化，铺设防渗膜并设围堰</w:t>
            </w:r>
          </w:p>
        </w:tc>
        <w:tc>
          <w:tcPr>
            <w:tcW w:w="766" w:type="pct"/>
            <w:vAlign w:val="center"/>
          </w:tcPr>
          <w:p w14:paraId="24C085FB" w14:textId="704122AF"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泄漏污染、火灾爆炸环境风险影响</w:t>
            </w:r>
          </w:p>
        </w:tc>
        <w:tc>
          <w:tcPr>
            <w:tcW w:w="764" w:type="pct"/>
            <w:vAlign w:val="center"/>
          </w:tcPr>
          <w:p w14:paraId="194116B0" w14:textId="789F87A2" w:rsidR="005F3388" w:rsidRPr="00092862" w:rsidRDefault="00121646"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新建</w:t>
            </w:r>
          </w:p>
        </w:tc>
      </w:tr>
      <w:tr w:rsidR="00697429" w:rsidRPr="00092862" w14:paraId="59C54512" w14:textId="711021E5" w:rsidTr="002F0533">
        <w:trPr>
          <w:trHeight w:val="59"/>
          <w:jc w:val="center"/>
        </w:trPr>
        <w:tc>
          <w:tcPr>
            <w:tcW w:w="329" w:type="pct"/>
            <w:vMerge/>
            <w:vAlign w:val="center"/>
          </w:tcPr>
          <w:p w14:paraId="2FE83C90"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7B6833DB"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泥浆储备罐</w:t>
            </w:r>
          </w:p>
        </w:tc>
        <w:tc>
          <w:tcPr>
            <w:tcW w:w="2273" w:type="pct"/>
            <w:vAlign w:val="center"/>
          </w:tcPr>
          <w:p w14:paraId="679A46B3" w14:textId="4C7689C2"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储罐</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个，每个容积</w:t>
            </w:r>
            <w:r w:rsidRPr="00092862">
              <w:rPr>
                <w:rFonts w:ascii="Times New Roman" w:eastAsia="宋体" w:hAnsi="Times New Roman" w:cs="Times New Roman"/>
                <w:color w:val="000000" w:themeColor="text1"/>
                <w:szCs w:val="21"/>
              </w:rPr>
              <w:t>40m</w:t>
            </w:r>
            <w:r w:rsidRPr="00092862">
              <w:rPr>
                <w:rFonts w:ascii="Times New Roman" w:eastAsia="宋体" w:hAnsi="Times New Roman" w:cs="Times New Roman"/>
                <w:color w:val="000000" w:themeColor="text1"/>
                <w:szCs w:val="21"/>
                <w:vertAlign w:val="superscript"/>
              </w:rPr>
              <w:t>3</w:t>
            </w:r>
          </w:p>
        </w:tc>
        <w:tc>
          <w:tcPr>
            <w:tcW w:w="766" w:type="pct"/>
            <w:vMerge w:val="restart"/>
            <w:vAlign w:val="center"/>
          </w:tcPr>
          <w:p w14:paraId="249741D5" w14:textId="5372A56D"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泄漏污染</w:t>
            </w:r>
          </w:p>
        </w:tc>
        <w:tc>
          <w:tcPr>
            <w:tcW w:w="764" w:type="pct"/>
            <w:vAlign w:val="center"/>
          </w:tcPr>
          <w:p w14:paraId="12F144BB" w14:textId="1B23440B" w:rsidR="005F3388" w:rsidRPr="00092862" w:rsidRDefault="00121646"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新建</w:t>
            </w:r>
          </w:p>
        </w:tc>
      </w:tr>
      <w:tr w:rsidR="00697429" w:rsidRPr="00092862" w14:paraId="63E5583E" w14:textId="4CE67B32" w:rsidTr="002F0533">
        <w:trPr>
          <w:trHeight w:val="397"/>
          <w:jc w:val="center"/>
        </w:trPr>
        <w:tc>
          <w:tcPr>
            <w:tcW w:w="329" w:type="pct"/>
            <w:vMerge/>
            <w:vAlign w:val="center"/>
          </w:tcPr>
          <w:p w14:paraId="7FF7A252"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5A1B1B60"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酸化液储藏罐</w:t>
            </w:r>
          </w:p>
        </w:tc>
        <w:tc>
          <w:tcPr>
            <w:tcW w:w="2273" w:type="pct"/>
            <w:vAlign w:val="center"/>
          </w:tcPr>
          <w:p w14:paraId="5CF607D1" w14:textId="7A8FB5E2"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个</w:t>
            </w:r>
            <w:r w:rsidRPr="00092862">
              <w:rPr>
                <w:rFonts w:ascii="Times New Roman" w:eastAsia="宋体" w:hAnsi="Times New Roman" w:cs="Times New Roman"/>
                <w:color w:val="000000" w:themeColor="text1"/>
                <w:szCs w:val="21"/>
              </w:rPr>
              <w:t>50m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玻璃钢罐，酸化前三天运至现场暂存</w:t>
            </w:r>
          </w:p>
        </w:tc>
        <w:tc>
          <w:tcPr>
            <w:tcW w:w="766" w:type="pct"/>
            <w:vMerge/>
            <w:vAlign w:val="center"/>
          </w:tcPr>
          <w:p w14:paraId="6596C3E0"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41110F05" w14:textId="32F62CF1"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4AB72D3B" w14:textId="467A1532" w:rsidTr="002F0533">
        <w:trPr>
          <w:trHeight w:val="397"/>
          <w:jc w:val="center"/>
        </w:trPr>
        <w:tc>
          <w:tcPr>
            <w:tcW w:w="329" w:type="pct"/>
            <w:vMerge w:val="restart"/>
            <w:vAlign w:val="center"/>
          </w:tcPr>
          <w:p w14:paraId="707723A1"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kern w:val="28"/>
                <w:szCs w:val="21"/>
              </w:rPr>
              <w:t>环保工程</w:t>
            </w:r>
          </w:p>
        </w:tc>
        <w:tc>
          <w:tcPr>
            <w:tcW w:w="292" w:type="pct"/>
            <w:vMerge w:val="restart"/>
            <w:vAlign w:val="center"/>
          </w:tcPr>
          <w:p w14:paraId="259EC0EA"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废水处理</w:t>
            </w:r>
          </w:p>
        </w:tc>
        <w:tc>
          <w:tcPr>
            <w:tcW w:w="576" w:type="pct"/>
            <w:vAlign w:val="center"/>
          </w:tcPr>
          <w:p w14:paraId="565B9A5D" w14:textId="29C71EE6" w:rsidR="005F3388" w:rsidRPr="00092862" w:rsidRDefault="009D15CE"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污水</w:t>
            </w:r>
            <w:r w:rsidR="005F3388" w:rsidRPr="00092862">
              <w:rPr>
                <w:rFonts w:ascii="Times New Roman" w:eastAsia="宋体" w:hAnsi="Times New Roman" w:cs="Times New Roman"/>
                <w:color w:val="000000" w:themeColor="text1"/>
                <w:szCs w:val="21"/>
              </w:rPr>
              <w:t>池</w:t>
            </w:r>
          </w:p>
        </w:tc>
        <w:tc>
          <w:tcPr>
            <w:tcW w:w="2273" w:type="pct"/>
            <w:vAlign w:val="center"/>
          </w:tcPr>
          <w:p w14:paraId="133DB4F5" w14:textId="1C2A584D"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容积</w:t>
            </w:r>
            <w:r w:rsidR="00BE618D" w:rsidRPr="00092862">
              <w:rPr>
                <w:rFonts w:ascii="Times New Roman" w:eastAsia="宋体" w:hAnsi="Times New Roman" w:cs="Times New Roman"/>
                <w:color w:val="000000" w:themeColor="text1"/>
                <w:szCs w:val="21"/>
              </w:rPr>
              <w:t>150</w:t>
            </w:r>
            <w:r w:rsidRPr="00092862">
              <w:rPr>
                <w:rFonts w:ascii="Times New Roman" w:eastAsia="宋体" w:hAnsi="Times New Roman" w:cs="Times New Roman"/>
                <w:color w:val="000000" w:themeColor="text1"/>
                <w:szCs w:val="21"/>
              </w:rPr>
              <w:t>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，为钢筋混凝土结构，位于井场</w:t>
            </w:r>
            <w:r w:rsidR="00BE618D" w:rsidRPr="00092862">
              <w:rPr>
                <w:rFonts w:ascii="Times New Roman" w:eastAsia="宋体" w:hAnsi="Times New Roman" w:cs="Times New Roman"/>
                <w:color w:val="000000" w:themeColor="text1"/>
                <w:szCs w:val="21"/>
              </w:rPr>
              <w:t>东</w:t>
            </w:r>
            <w:r w:rsidRPr="00092862">
              <w:rPr>
                <w:rFonts w:ascii="Times New Roman" w:eastAsia="宋体" w:hAnsi="Times New Roman" w:cs="Times New Roman"/>
                <w:color w:val="000000" w:themeColor="text1"/>
                <w:szCs w:val="21"/>
              </w:rPr>
              <w:t>侧，事故状态下作为应急池，完钻后</w:t>
            </w:r>
            <w:r w:rsidR="00BE618D" w:rsidRPr="00092862">
              <w:rPr>
                <w:rFonts w:ascii="Times New Roman" w:eastAsia="宋体" w:hAnsi="Times New Roman" w:cs="Times New Roman"/>
                <w:color w:val="000000" w:themeColor="text1"/>
                <w:szCs w:val="21"/>
              </w:rPr>
              <w:t>可用于</w:t>
            </w:r>
            <w:r w:rsidRPr="00092862">
              <w:rPr>
                <w:rFonts w:ascii="Times New Roman" w:eastAsia="宋体" w:hAnsi="Times New Roman" w:cs="Times New Roman"/>
                <w:color w:val="000000" w:themeColor="text1"/>
                <w:szCs w:val="21"/>
              </w:rPr>
              <w:t>废水临时储存</w:t>
            </w:r>
          </w:p>
        </w:tc>
        <w:tc>
          <w:tcPr>
            <w:tcW w:w="766" w:type="pct"/>
            <w:vMerge w:val="restart"/>
            <w:vAlign w:val="center"/>
          </w:tcPr>
          <w:p w14:paraId="4153E64F" w14:textId="77777777" w:rsidR="005F3388" w:rsidRPr="00092862" w:rsidRDefault="005F3388" w:rsidP="00521779">
            <w:pPr>
              <w:jc w:val="center"/>
              <w:rPr>
                <w:rFonts w:ascii="Times New Roman" w:eastAsia="宋体" w:hAnsi="Times New Roman" w:cs="Times New Roman"/>
                <w:color w:val="000000" w:themeColor="text1"/>
                <w:kern w:val="28"/>
                <w:szCs w:val="21"/>
              </w:rPr>
            </w:pPr>
            <w:r w:rsidRPr="00092862">
              <w:rPr>
                <w:rFonts w:ascii="Times New Roman" w:eastAsia="宋体" w:hAnsi="Times New Roman" w:cs="Times New Roman"/>
                <w:color w:val="000000" w:themeColor="text1"/>
                <w:szCs w:val="21"/>
              </w:rPr>
              <w:t>渗漏污染土壤、地下水、地表水环境</w:t>
            </w:r>
          </w:p>
        </w:tc>
        <w:tc>
          <w:tcPr>
            <w:tcW w:w="764" w:type="pct"/>
            <w:vAlign w:val="center"/>
          </w:tcPr>
          <w:p w14:paraId="548C0BF6" w14:textId="579ED116" w:rsidR="005F3388" w:rsidRPr="00092862" w:rsidRDefault="00CE7A3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修复</w:t>
            </w:r>
            <w:r w:rsidR="00550685" w:rsidRPr="00092862">
              <w:rPr>
                <w:rFonts w:ascii="Times New Roman" w:eastAsia="宋体" w:hAnsi="Times New Roman" w:cs="Times New Roman"/>
                <w:color w:val="000000" w:themeColor="text1"/>
                <w:szCs w:val="21"/>
              </w:rPr>
              <w:t>利旧</w:t>
            </w:r>
          </w:p>
        </w:tc>
      </w:tr>
      <w:tr w:rsidR="00697429" w:rsidRPr="00092862" w14:paraId="471F4030" w14:textId="1BB3AC51" w:rsidTr="002F0533">
        <w:trPr>
          <w:trHeight w:val="397"/>
          <w:jc w:val="center"/>
        </w:trPr>
        <w:tc>
          <w:tcPr>
            <w:tcW w:w="329" w:type="pct"/>
            <w:vMerge/>
            <w:vAlign w:val="center"/>
          </w:tcPr>
          <w:p w14:paraId="704F03AD"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224CFC7C"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7E7EE59A"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钻井废水暂存</w:t>
            </w:r>
          </w:p>
        </w:tc>
        <w:tc>
          <w:tcPr>
            <w:tcW w:w="2273" w:type="pct"/>
            <w:vAlign w:val="center"/>
          </w:tcPr>
          <w:p w14:paraId="653B4CDD" w14:textId="1F8A3C92"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钻井废水全部回用于钻井补充泥浆的配置，完钻阶段钻井废水暂存在清洁生产操作平台的废水罐内，经预处理后装车拉运至</w:t>
            </w:r>
            <w:r w:rsidR="005D5A22" w:rsidRPr="00092862">
              <w:rPr>
                <w:rFonts w:ascii="Times New Roman" w:eastAsia="宋体" w:hAnsi="Times New Roman" w:cs="Times New Roman"/>
                <w:color w:val="000000" w:themeColor="text1"/>
                <w:szCs w:val="21"/>
              </w:rPr>
              <w:t>赵家坝污水处理站达标后管输至普光</w:t>
            </w:r>
            <w:r w:rsidR="005D5A22" w:rsidRPr="00092862">
              <w:rPr>
                <w:rFonts w:ascii="Times New Roman" w:eastAsia="宋体" w:hAnsi="Times New Roman" w:cs="Times New Roman"/>
                <w:color w:val="000000" w:themeColor="text1"/>
                <w:szCs w:val="21"/>
              </w:rPr>
              <w:t>11</w:t>
            </w:r>
            <w:r w:rsidR="005D5A22" w:rsidRPr="00092862">
              <w:rPr>
                <w:rFonts w:ascii="Times New Roman" w:eastAsia="宋体" w:hAnsi="Times New Roman" w:cs="Times New Roman"/>
                <w:color w:val="000000" w:themeColor="text1"/>
                <w:szCs w:val="21"/>
              </w:rPr>
              <w:t>井回注站回注</w:t>
            </w:r>
          </w:p>
        </w:tc>
        <w:tc>
          <w:tcPr>
            <w:tcW w:w="766" w:type="pct"/>
            <w:vMerge/>
            <w:vAlign w:val="center"/>
          </w:tcPr>
          <w:p w14:paraId="2F00A74F"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56E671FF" w14:textId="56C42FF5"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2264E017" w14:textId="61B023EB" w:rsidTr="002F0533">
        <w:trPr>
          <w:trHeight w:val="60"/>
          <w:jc w:val="center"/>
        </w:trPr>
        <w:tc>
          <w:tcPr>
            <w:tcW w:w="329" w:type="pct"/>
            <w:vMerge/>
            <w:vAlign w:val="center"/>
          </w:tcPr>
          <w:p w14:paraId="14EE5E03"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17995423"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703D7B48"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钻井废水完井处置</w:t>
            </w:r>
          </w:p>
        </w:tc>
        <w:tc>
          <w:tcPr>
            <w:tcW w:w="2273" w:type="pct"/>
            <w:vAlign w:val="center"/>
          </w:tcPr>
          <w:p w14:paraId="01AF7EAF" w14:textId="2EBCB6C8"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废水储存在废水罐</w:t>
            </w:r>
            <w:r w:rsidR="00550685" w:rsidRPr="00092862">
              <w:rPr>
                <w:rFonts w:ascii="Times New Roman" w:eastAsia="宋体" w:hAnsi="Times New Roman" w:cs="Times New Roman"/>
                <w:color w:val="000000" w:themeColor="text1"/>
                <w:szCs w:val="21"/>
              </w:rPr>
              <w:t>（新建）</w:t>
            </w:r>
            <w:r w:rsidRPr="00092862">
              <w:rPr>
                <w:rFonts w:ascii="Times New Roman" w:eastAsia="宋体" w:hAnsi="Times New Roman" w:cs="Times New Roman"/>
                <w:color w:val="000000" w:themeColor="text1"/>
                <w:szCs w:val="21"/>
              </w:rPr>
              <w:t>和</w:t>
            </w:r>
            <w:r w:rsidR="002F0533" w:rsidRPr="00092862">
              <w:rPr>
                <w:rFonts w:ascii="Times New Roman" w:eastAsia="宋体" w:hAnsi="Times New Roman" w:cs="Times New Roman"/>
                <w:color w:val="000000" w:themeColor="text1"/>
                <w:szCs w:val="21"/>
              </w:rPr>
              <w:t>污水</w:t>
            </w:r>
            <w:r w:rsidRPr="00092862">
              <w:rPr>
                <w:rFonts w:ascii="Times New Roman" w:eastAsia="宋体" w:hAnsi="Times New Roman" w:cs="Times New Roman"/>
                <w:color w:val="000000" w:themeColor="text1"/>
                <w:szCs w:val="21"/>
              </w:rPr>
              <w:t>池</w:t>
            </w:r>
            <w:r w:rsidR="00550685" w:rsidRPr="00092862">
              <w:rPr>
                <w:rFonts w:ascii="Times New Roman" w:eastAsia="宋体" w:hAnsi="Times New Roman" w:cs="Times New Roman"/>
                <w:color w:val="000000" w:themeColor="text1"/>
                <w:szCs w:val="21"/>
              </w:rPr>
              <w:t>（利旧）</w:t>
            </w:r>
            <w:r w:rsidRPr="00092862">
              <w:rPr>
                <w:rFonts w:ascii="Times New Roman" w:eastAsia="宋体" w:hAnsi="Times New Roman" w:cs="Times New Roman"/>
                <w:color w:val="000000" w:themeColor="text1"/>
                <w:szCs w:val="21"/>
              </w:rPr>
              <w:t>中，经预处理后装车拉</w:t>
            </w:r>
            <w:r w:rsidR="005D5A22" w:rsidRPr="00092862">
              <w:rPr>
                <w:rFonts w:ascii="Times New Roman" w:eastAsia="宋体" w:hAnsi="Times New Roman" w:cs="Times New Roman"/>
                <w:color w:val="000000" w:themeColor="text1"/>
                <w:szCs w:val="21"/>
              </w:rPr>
              <w:t>运至赵家坝污水处理站</w:t>
            </w:r>
            <w:r w:rsidR="00550685" w:rsidRPr="00092862">
              <w:rPr>
                <w:rFonts w:ascii="Times New Roman" w:eastAsia="宋体" w:hAnsi="Times New Roman" w:cs="Times New Roman"/>
                <w:color w:val="000000" w:themeColor="text1"/>
                <w:szCs w:val="21"/>
              </w:rPr>
              <w:t>（依托）</w:t>
            </w:r>
            <w:r w:rsidRPr="00092862">
              <w:rPr>
                <w:rFonts w:ascii="Times New Roman" w:eastAsia="宋体" w:hAnsi="Times New Roman" w:cs="Times New Roman"/>
                <w:color w:val="000000" w:themeColor="text1"/>
                <w:szCs w:val="21"/>
              </w:rPr>
              <w:t>处理达标后管输至</w:t>
            </w:r>
            <w:r w:rsidR="005D5A22" w:rsidRPr="00092862">
              <w:rPr>
                <w:rFonts w:ascii="Times New Roman" w:eastAsia="宋体" w:hAnsi="Times New Roman" w:cs="Times New Roman"/>
                <w:color w:val="000000" w:themeColor="text1"/>
                <w:szCs w:val="21"/>
              </w:rPr>
              <w:t>普光</w:t>
            </w:r>
            <w:r w:rsidR="005D5A22" w:rsidRPr="00092862">
              <w:rPr>
                <w:rFonts w:ascii="Times New Roman" w:eastAsia="宋体" w:hAnsi="Times New Roman" w:cs="Times New Roman"/>
                <w:color w:val="000000" w:themeColor="text1"/>
                <w:szCs w:val="21"/>
              </w:rPr>
              <w:t>11</w:t>
            </w:r>
            <w:r w:rsidR="005D5A22" w:rsidRPr="00092862">
              <w:rPr>
                <w:rFonts w:ascii="Times New Roman" w:eastAsia="宋体" w:hAnsi="Times New Roman" w:cs="Times New Roman"/>
                <w:color w:val="000000" w:themeColor="text1"/>
                <w:szCs w:val="21"/>
              </w:rPr>
              <w:t>井回注站</w:t>
            </w:r>
            <w:r w:rsidR="00550685" w:rsidRPr="00092862">
              <w:rPr>
                <w:rFonts w:ascii="Times New Roman" w:eastAsia="宋体" w:hAnsi="Times New Roman" w:cs="Times New Roman"/>
                <w:color w:val="000000" w:themeColor="text1"/>
                <w:szCs w:val="21"/>
              </w:rPr>
              <w:t>（依托）</w:t>
            </w:r>
            <w:r w:rsidRPr="00092862">
              <w:rPr>
                <w:rFonts w:ascii="Times New Roman" w:eastAsia="宋体" w:hAnsi="Times New Roman" w:cs="Times New Roman"/>
                <w:color w:val="000000" w:themeColor="text1"/>
                <w:szCs w:val="21"/>
              </w:rPr>
              <w:t>回注</w:t>
            </w:r>
          </w:p>
        </w:tc>
        <w:tc>
          <w:tcPr>
            <w:tcW w:w="766" w:type="pct"/>
            <w:vMerge/>
            <w:vAlign w:val="center"/>
          </w:tcPr>
          <w:p w14:paraId="449BA710"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3D5ED7DF" w14:textId="2A06EBA9"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r w:rsidR="00550685" w:rsidRPr="00092862">
              <w:rPr>
                <w:rFonts w:ascii="Times New Roman" w:eastAsia="宋体" w:hAnsi="Times New Roman" w:cs="Times New Roman"/>
                <w:color w:val="000000" w:themeColor="text1"/>
                <w:szCs w:val="21"/>
              </w:rPr>
              <w:t>+</w:t>
            </w:r>
            <w:r w:rsidR="00550685" w:rsidRPr="00092862">
              <w:rPr>
                <w:rFonts w:ascii="Times New Roman" w:eastAsia="宋体" w:hAnsi="Times New Roman" w:cs="Times New Roman"/>
                <w:color w:val="000000" w:themeColor="text1"/>
                <w:szCs w:val="21"/>
              </w:rPr>
              <w:t>利旧</w:t>
            </w:r>
            <w:r w:rsidR="00550685" w:rsidRPr="00092862">
              <w:rPr>
                <w:rFonts w:ascii="Times New Roman" w:eastAsia="宋体" w:hAnsi="Times New Roman" w:cs="Times New Roman"/>
                <w:color w:val="000000" w:themeColor="text1"/>
                <w:szCs w:val="21"/>
              </w:rPr>
              <w:t>+</w:t>
            </w:r>
            <w:r w:rsidR="00550685" w:rsidRPr="00092862">
              <w:rPr>
                <w:rFonts w:ascii="Times New Roman" w:eastAsia="宋体" w:hAnsi="Times New Roman" w:cs="Times New Roman"/>
                <w:color w:val="000000" w:themeColor="text1"/>
                <w:szCs w:val="21"/>
              </w:rPr>
              <w:t>依托</w:t>
            </w:r>
          </w:p>
        </w:tc>
      </w:tr>
      <w:tr w:rsidR="00697429" w:rsidRPr="00092862" w14:paraId="67D9F3E9" w14:textId="7A8C5642" w:rsidTr="002F0533">
        <w:trPr>
          <w:trHeight w:val="60"/>
          <w:jc w:val="center"/>
        </w:trPr>
        <w:tc>
          <w:tcPr>
            <w:tcW w:w="329" w:type="pct"/>
            <w:vMerge/>
            <w:vAlign w:val="center"/>
          </w:tcPr>
          <w:p w14:paraId="12F5A395"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restart"/>
            <w:vAlign w:val="center"/>
          </w:tcPr>
          <w:p w14:paraId="74913AB5"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废气处理</w:t>
            </w:r>
          </w:p>
        </w:tc>
        <w:tc>
          <w:tcPr>
            <w:tcW w:w="576" w:type="pct"/>
            <w:vAlign w:val="center"/>
          </w:tcPr>
          <w:p w14:paraId="028618B6"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施工粉尘</w:t>
            </w:r>
          </w:p>
        </w:tc>
        <w:tc>
          <w:tcPr>
            <w:tcW w:w="2273" w:type="pct"/>
            <w:vAlign w:val="center"/>
          </w:tcPr>
          <w:p w14:paraId="6D6EA168" w14:textId="1542622B"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硬化进出口并采取冲洗、洒水等措施控制扬尘</w:t>
            </w:r>
          </w:p>
        </w:tc>
        <w:tc>
          <w:tcPr>
            <w:tcW w:w="766" w:type="pct"/>
            <w:vAlign w:val="center"/>
          </w:tcPr>
          <w:p w14:paraId="483301D4"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74D6106B" w14:textId="5E225476"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52EE0042" w14:textId="5340CF2F" w:rsidTr="002F0533">
        <w:trPr>
          <w:trHeight w:val="397"/>
          <w:jc w:val="center"/>
        </w:trPr>
        <w:tc>
          <w:tcPr>
            <w:tcW w:w="329" w:type="pct"/>
            <w:vMerge/>
            <w:vAlign w:val="center"/>
          </w:tcPr>
          <w:p w14:paraId="2F6F1FF1"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55292269"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261A0963" w14:textId="2D73E27E"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备用柴油发电机</w:t>
            </w:r>
          </w:p>
        </w:tc>
        <w:tc>
          <w:tcPr>
            <w:tcW w:w="2273" w:type="pct"/>
            <w:vAlign w:val="center"/>
          </w:tcPr>
          <w:p w14:paraId="4FE6DC60" w14:textId="18BCE21D"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柴油机经自带尾气处理系统后经过自带排气筒排放</w:t>
            </w:r>
          </w:p>
        </w:tc>
        <w:tc>
          <w:tcPr>
            <w:tcW w:w="766" w:type="pct"/>
            <w:vAlign w:val="center"/>
          </w:tcPr>
          <w:p w14:paraId="66A13EAA"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785910B8" w14:textId="660F0EBA"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142CC7C3" w14:textId="0BE34A19" w:rsidTr="002F0533">
        <w:trPr>
          <w:trHeight w:val="397"/>
          <w:jc w:val="center"/>
        </w:trPr>
        <w:tc>
          <w:tcPr>
            <w:tcW w:w="329" w:type="pct"/>
            <w:vMerge/>
            <w:vAlign w:val="center"/>
          </w:tcPr>
          <w:p w14:paraId="0F8CD186"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284ECA96"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71BEAC37"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测试放喷废气</w:t>
            </w:r>
          </w:p>
        </w:tc>
        <w:tc>
          <w:tcPr>
            <w:tcW w:w="2273" w:type="pct"/>
            <w:vAlign w:val="center"/>
          </w:tcPr>
          <w:p w14:paraId="3AE19E03" w14:textId="213B22A4"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放喷期间应临时撤离放喷口周边</w:t>
            </w:r>
            <w:r w:rsidRPr="00092862">
              <w:rPr>
                <w:rFonts w:ascii="Times New Roman" w:eastAsia="宋体" w:hAnsi="Times New Roman" w:cs="Times New Roman"/>
                <w:color w:val="000000" w:themeColor="text1"/>
                <w:szCs w:val="21"/>
              </w:rPr>
              <w:t>500m</w:t>
            </w:r>
            <w:r w:rsidRPr="00092862">
              <w:rPr>
                <w:rFonts w:ascii="Times New Roman" w:eastAsia="宋体" w:hAnsi="Times New Roman" w:cs="Times New Roman"/>
                <w:color w:val="000000" w:themeColor="text1"/>
                <w:szCs w:val="21"/>
              </w:rPr>
              <w:t>的居民</w:t>
            </w:r>
          </w:p>
        </w:tc>
        <w:tc>
          <w:tcPr>
            <w:tcW w:w="766" w:type="pct"/>
            <w:vAlign w:val="center"/>
          </w:tcPr>
          <w:p w14:paraId="7C779F72"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299E6040" w14:textId="6AB4E9EF"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69DA32BC" w14:textId="3BDF2F72" w:rsidTr="002F0533">
        <w:trPr>
          <w:trHeight w:val="397"/>
          <w:jc w:val="center"/>
        </w:trPr>
        <w:tc>
          <w:tcPr>
            <w:tcW w:w="329" w:type="pct"/>
            <w:vMerge/>
            <w:vAlign w:val="center"/>
          </w:tcPr>
          <w:p w14:paraId="14F83452"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restart"/>
            <w:vAlign w:val="center"/>
          </w:tcPr>
          <w:p w14:paraId="10FBF546"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固废处理</w:t>
            </w:r>
          </w:p>
        </w:tc>
        <w:tc>
          <w:tcPr>
            <w:tcW w:w="576" w:type="pct"/>
            <w:vAlign w:val="center"/>
          </w:tcPr>
          <w:p w14:paraId="2CFD3CD9"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废水基泥浆及岩屑处置</w:t>
            </w:r>
          </w:p>
        </w:tc>
        <w:tc>
          <w:tcPr>
            <w:tcW w:w="2273" w:type="pct"/>
            <w:vAlign w:val="center"/>
          </w:tcPr>
          <w:p w14:paraId="0A141013" w14:textId="74ACB894"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本项目采用清洁化操作平台，并采取泥浆不落地措施。项目产生的废弃泥浆与常规钻产生的废岩屑</w:t>
            </w:r>
            <w:r w:rsidR="006A3C6A" w:rsidRPr="00092862">
              <w:rPr>
                <w:rFonts w:ascii="Times New Roman" w:eastAsia="宋体" w:hAnsi="Times New Roman" w:cs="Times New Roman"/>
                <w:color w:val="000000" w:themeColor="text1"/>
                <w:szCs w:val="21"/>
              </w:rPr>
              <w:t>暂存于固废临时堆放区，</w:t>
            </w:r>
            <w:r w:rsidR="000408D0" w:rsidRPr="00092862">
              <w:rPr>
                <w:rFonts w:ascii="Times New Roman" w:eastAsia="宋体" w:hAnsi="Times New Roman" w:cs="Times New Roman"/>
                <w:color w:val="000000" w:themeColor="text1"/>
                <w:szCs w:val="21"/>
              </w:rPr>
              <w:t>及时转运至达州地区环保手续齐全、环保设施稳定运行固废烧结厂进行烧结后综合利用</w:t>
            </w:r>
          </w:p>
        </w:tc>
        <w:tc>
          <w:tcPr>
            <w:tcW w:w="766" w:type="pct"/>
            <w:vMerge w:val="restart"/>
            <w:vAlign w:val="center"/>
          </w:tcPr>
          <w:p w14:paraId="3EB96811" w14:textId="02C82651"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泄漏污染</w:t>
            </w:r>
          </w:p>
        </w:tc>
        <w:tc>
          <w:tcPr>
            <w:tcW w:w="764" w:type="pct"/>
            <w:vAlign w:val="center"/>
          </w:tcPr>
          <w:p w14:paraId="7C2C0B17" w14:textId="397F5309" w:rsidR="005F3388" w:rsidRPr="00092862" w:rsidRDefault="00121646" w:rsidP="00521779">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新建</w:t>
            </w:r>
          </w:p>
        </w:tc>
      </w:tr>
      <w:tr w:rsidR="00697429" w:rsidRPr="00092862" w14:paraId="637ECD40" w14:textId="118C06CD" w:rsidTr="002F0533">
        <w:trPr>
          <w:trHeight w:val="397"/>
          <w:jc w:val="center"/>
        </w:trPr>
        <w:tc>
          <w:tcPr>
            <w:tcW w:w="329" w:type="pct"/>
            <w:vMerge/>
            <w:vAlign w:val="center"/>
          </w:tcPr>
          <w:p w14:paraId="7BE4BDE3"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1155A235"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1D3C7EBB" w14:textId="38D101FE"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表土临时堆放区</w:t>
            </w:r>
          </w:p>
        </w:tc>
        <w:tc>
          <w:tcPr>
            <w:tcW w:w="2273" w:type="pct"/>
            <w:vAlign w:val="center"/>
          </w:tcPr>
          <w:p w14:paraId="34D69D9B" w14:textId="7650193E"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w:t>
            </w:r>
            <w:r w:rsidR="00BE618D" w:rsidRPr="00092862">
              <w:rPr>
                <w:rFonts w:ascii="Times New Roman" w:eastAsia="宋体" w:hAnsi="Times New Roman" w:cs="Times New Roman"/>
                <w:color w:val="000000" w:themeColor="text1"/>
                <w:szCs w:val="21"/>
              </w:rPr>
              <w:t>不涉及</w:t>
            </w:r>
            <w:r w:rsidR="002F0533" w:rsidRPr="00092862">
              <w:rPr>
                <w:rFonts w:ascii="Times New Roman" w:eastAsia="宋体" w:hAnsi="Times New Roman" w:cs="Times New Roman"/>
                <w:color w:val="000000" w:themeColor="text1"/>
                <w:szCs w:val="21"/>
              </w:rPr>
              <w:t>表土剥离，</w:t>
            </w:r>
            <w:r w:rsidRPr="00092862">
              <w:rPr>
                <w:rFonts w:ascii="Times New Roman" w:eastAsia="宋体" w:hAnsi="Times New Roman" w:cs="Times New Roman"/>
                <w:color w:val="000000" w:themeColor="text1"/>
                <w:szCs w:val="21"/>
              </w:rPr>
              <w:t>无需设置表土临时堆放区</w:t>
            </w:r>
          </w:p>
        </w:tc>
        <w:tc>
          <w:tcPr>
            <w:tcW w:w="766" w:type="pct"/>
            <w:vMerge/>
            <w:vAlign w:val="center"/>
          </w:tcPr>
          <w:p w14:paraId="28691CB3"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764" w:type="pct"/>
            <w:vAlign w:val="center"/>
          </w:tcPr>
          <w:p w14:paraId="43ED924E" w14:textId="1CD1386F"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6F76A7DF" w14:textId="0C129E25" w:rsidTr="002F0533">
        <w:trPr>
          <w:trHeight w:val="397"/>
          <w:jc w:val="center"/>
        </w:trPr>
        <w:tc>
          <w:tcPr>
            <w:tcW w:w="329" w:type="pct"/>
            <w:vMerge/>
            <w:vAlign w:val="center"/>
          </w:tcPr>
          <w:p w14:paraId="1295025E"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79889C1F"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08DA5883"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2273" w:type="pct"/>
            <w:vAlign w:val="center"/>
          </w:tcPr>
          <w:p w14:paraId="3B8247D2" w14:textId="0E8A5A34"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井场区域设</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个垃圾箱，完工后外运</w:t>
            </w:r>
            <w:r w:rsidR="00803BB7" w:rsidRPr="00092862">
              <w:rPr>
                <w:rFonts w:ascii="Times New Roman" w:eastAsia="宋体" w:hAnsi="Times New Roman" w:cs="Times New Roman"/>
                <w:color w:val="000000" w:themeColor="text1"/>
                <w:szCs w:val="21"/>
              </w:rPr>
              <w:t>交由</w:t>
            </w:r>
            <w:r w:rsidR="00B6798C">
              <w:rPr>
                <w:rFonts w:ascii="Times New Roman" w:eastAsia="宋体" w:hAnsi="Times New Roman" w:cs="Times New Roman" w:hint="eastAsia"/>
                <w:color w:val="000000" w:themeColor="text1"/>
                <w:szCs w:val="21"/>
              </w:rPr>
              <w:t>老君乡</w:t>
            </w:r>
            <w:r w:rsidRPr="00092862">
              <w:rPr>
                <w:rFonts w:ascii="Times New Roman" w:eastAsia="宋体" w:hAnsi="Times New Roman" w:cs="Times New Roman"/>
                <w:color w:val="000000" w:themeColor="text1"/>
                <w:szCs w:val="21"/>
              </w:rPr>
              <w:t>环卫集中收集卫生填埋处置</w:t>
            </w:r>
          </w:p>
        </w:tc>
        <w:tc>
          <w:tcPr>
            <w:tcW w:w="766" w:type="pct"/>
            <w:vAlign w:val="center"/>
          </w:tcPr>
          <w:p w14:paraId="100A1FE7"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4149A2D2" w14:textId="216EB30C"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09C76D02" w14:textId="40F820AA" w:rsidTr="002F0533">
        <w:trPr>
          <w:trHeight w:val="397"/>
          <w:jc w:val="center"/>
        </w:trPr>
        <w:tc>
          <w:tcPr>
            <w:tcW w:w="329" w:type="pct"/>
            <w:vMerge/>
            <w:vAlign w:val="center"/>
          </w:tcPr>
          <w:p w14:paraId="361316BD"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155C2CE6"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0C333E09"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废油</w:t>
            </w:r>
          </w:p>
        </w:tc>
        <w:tc>
          <w:tcPr>
            <w:tcW w:w="2273" w:type="pct"/>
            <w:vAlign w:val="center"/>
          </w:tcPr>
          <w:p w14:paraId="24DFA7E1" w14:textId="3E9FEBA6"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钻井机械保养维修产生的废油由回收桶收集，</w:t>
            </w:r>
            <w:r w:rsidR="0082425F" w:rsidRPr="00092862">
              <w:rPr>
                <w:rFonts w:ascii="Times New Roman" w:eastAsia="宋体" w:hAnsi="Times New Roman" w:cs="Times New Roman"/>
                <w:color w:val="000000" w:themeColor="text1"/>
                <w:szCs w:val="21"/>
              </w:rPr>
              <w:t>暂存于泥浆不落地装置区临时堆放区内，并</w:t>
            </w:r>
            <w:r w:rsidRPr="00092862">
              <w:rPr>
                <w:rFonts w:ascii="Times New Roman" w:eastAsia="宋体" w:hAnsi="Times New Roman" w:cs="Times New Roman"/>
                <w:color w:val="000000" w:themeColor="text1"/>
                <w:szCs w:val="21"/>
              </w:rPr>
              <w:t>采取防扬散、防流失、防渗漏或者其他防止污染环境的措施，设置围堰或托盘，完钻后交由有资质的单位处置</w:t>
            </w:r>
          </w:p>
        </w:tc>
        <w:tc>
          <w:tcPr>
            <w:tcW w:w="766" w:type="pct"/>
            <w:vAlign w:val="center"/>
          </w:tcPr>
          <w:p w14:paraId="33381697"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泄漏污染</w:t>
            </w:r>
          </w:p>
        </w:tc>
        <w:tc>
          <w:tcPr>
            <w:tcW w:w="764" w:type="pct"/>
            <w:vAlign w:val="center"/>
          </w:tcPr>
          <w:p w14:paraId="0A09F373" w14:textId="2ED79A18"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3E3359AF" w14:textId="3ACD4683" w:rsidTr="002F0533">
        <w:trPr>
          <w:trHeight w:val="397"/>
          <w:jc w:val="center"/>
        </w:trPr>
        <w:tc>
          <w:tcPr>
            <w:tcW w:w="329" w:type="pct"/>
            <w:vMerge/>
            <w:vAlign w:val="center"/>
          </w:tcPr>
          <w:p w14:paraId="42ADAA83"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Align w:val="center"/>
          </w:tcPr>
          <w:p w14:paraId="1B7333B1"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w:t>
            </w:r>
          </w:p>
        </w:tc>
        <w:tc>
          <w:tcPr>
            <w:tcW w:w="576" w:type="pct"/>
            <w:vAlign w:val="center"/>
          </w:tcPr>
          <w:p w14:paraId="2D92C772"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噪声治理</w:t>
            </w:r>
          </w:p>
        </w:tc>
        <w:tc>
          <w:tcPr>
            <w:tcW w:w="2273" w:type="pct"/>
            <w:vAlign w:val="center"/>
          </w:tcPr>
          <w:p w14:paraId="72FA3874" w14:textId="1820249C"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本项目周边已有完善的供电系统，采用网电，噪声较小；选用低噪声的施工机械和工艺，加强各类施工设备的维护和保养；对振动较大的固定机械设备加装基座减振</w:t>
            </w:r>
          </w:p>
        </w:tc>
        <w:tc>
          <w:tcPr>
            <w:tcW w:w="766" w:type="pct"/>
            <w:vAlign w:val="center"/>
          </w:tcPr>
          <w:p w14:paraId="0454A465"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7016F138" w14:textId="203F502E"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2B9D3477" w14:textId="3B30E52F" w:rsidTr="002F0533">
        <w:trPr>
          <w:trHeight w:val="397"/>
          <w:jc w:val="center"/>
        </w:trPr>
        <w:tc>
          <w:tcPr>
            <w:tcW w:w="329" w:type="pct"/>
            <w:vMerge/>
            <w:vAlign w:val="center"/>
          </w:tcPr>
          <w:p w14:paraId="530461BE"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restart"/>
            <w:vAlign w:val="center"/>
          </w:tcPr>
          <w:p w14:paraId="6A26A7B0"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w:t>
            </w:r>
          </w:p>
        </w:tc>
        <w:tc>
          <w:tcPr>
            <w:tcW w:w="576" w:type="pct"/>
            <w:vAlign w:val="center"/>
          </w:tcPr>
          <w:p w14:paraId="67FBF9D4"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生态保护</w:t>
            </w:r>
          </w:p>
        </w:tc>
        <w:tc>
          <w:tcPr>
            <w:tcW w:w="2273" w:type="pct"/>
            <w:vAlign w:val="center"/>
          </w:tcPr>
          <w:p w14:paraId="48AC33A0" w14:textId="61E7705C" w:rsidR="005F3388" w:rsidRPr="00092862" w:rsidRDefault="00667C21"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r w:rsidR="005F3388" w:rsidRPr="00092862">
              <w:rPr>
                <w:rFonts w:ascii="Times New Roman" w:eastAsia="宋体" w:hAnsi="Times New Roman" w:cs="Times New Roman"/>
                <w:color w:val="000000" w:themeColor="text1"/>
                <w:szCs w:val="21"/>
              </w:rPr>
              <w:t>放喷池，建挡墙较小热辐射影响；对热辐射破坏的植被进行补偿</w:t>
            </w:r>
          </w:p>
        </w:tc>
        <w:tc>
          <w:tcPr>
            <w:tcW w:w="766" w:type="pct"/>
            <w:vAlign w:val="center"/>
          </w:tcPr>
          <w:p w14:paraId="11455366"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5DD50F05" w14:textId="3703647E" w:rsidR="005F3388" w:rsidRPr="00092862" w:rsidRDefault="00BE618D"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r w:rsidRPr="00092862">
              <w:rPr>
                <w:rFonts w:ascii="Times New Roman" w:eastAsia="宋体" w:hAnsi="Times New Roman" w:cs="Times New Roman"/>
                <w:color w:val="000000" w:themeColor="text1"/>
                <w:szCs w:val="21"/>
              </w:rPr>
              <w:t>+</w:t>
            </w:r>
            <w:r w:rsidR="00121646" w:rsidRPr="00092862">
              <w:rPr>
                <w:rFonts w:ascii="Times New Roman" w:eastAsia="宋体" w:hAnsi="Times New Roman" w:cs="Times New Roman"/>
                <w:color w:val="000000" w:themeColor="text1"/>
                <w:szCs w:val="21"/>
              </w:rPr>
              <w:t>新建</w:t>
            </w:r>
          </w:p>
        </w:tc>
      </w:tr>
      <w:tr w:rsidR="00697429" w:rsidRPr="00092862" w14:paraId="1903A370" w14:textId="51AE0F94" w:rsidTr="002F0533">
        <w:trPr>
          <w:trHeight w:val="66"/>
          <w:jc w:val="center"/>
        </w:trPr>
        <w:tc>
          <w:tcPr>
            <w:tcW w:w="329" w:type="pct"/>
            <w:vMerge/>
            <w:vAlign w:val="center"/>
          </w:tcPr>
          <w:p w14:paraId="48F28CDA"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292" w:type="pct"/>
            <w:vMerge/>
            <w:vAlign w:val="center"/>
          </w:tcPr>
          <w:p w14:paraId="1C1255F3" w14:textId="77777777" w:rsidR="005F3388" w:rsidRPr="00092862" w:rsidRDefault="005F3388" w:rsidP="00521779">
            <w:pPr>
              <w:jc w:val="center"/>
              <w:rPr>
                <w:rFonts w:ascii="Times New Roman" w:eastAsia="宋体" w:hAnsi="Times New Roman" w:cs="Times New Roman"/>
                <w:color w:val="000000" w:themeColor="text1"/>
                <w:szCs w:val="21"/>
              </w:rPr>
            </w:pPr>
          </w:p>
        </w:tc>
        <w:tc>
          <w:tcPr>
            <w:tcW w:w="576" w:type="pct"/>
            <w:vAlign w:val="center"/>
          </w:tcPr>
          <w:p w14:paraId="0677FB16"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生态恢复</w:t>
            </w:r>
          </w:p>
        </w:tc>
        <w:tc>
          <w:tcPr>
            <w:tcW w:w="2273" w:type="pct"/>
            <w:vAlign w:val="center"/>
          </w:tcPr>
          <w:p w14:paraId="43E82A1F" w14:textId="183301AE"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根据《土地管理法》规定相关地方规定对工程占地进行补偿</w:t>
            </w:r>
          </w:p>
        </w:tc>
        <w:tc>
          <w:tcPr>
            <w:tcW w:w="766" w:type="pct"/>
            <w:vAlign w:val="center"/>
          </w:tcPr>
          <w:p w14:paraId="3CA4CAC4"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4" w:type="pct"/>
            <w:vAlign w:val="center"/>
          </w:tcPr>
          <w:p w14:paraId="1D9875A9" w14:textId="1BB891E5"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r w:rsidR="00697429" w:rsidRPr="00092862" w14:paraId="04C5D7B7" w14:textId="7CE6A683" w:rsidTr="002F0533">
        <w:trPr>
          <w:trHeight w:val="60"/>
          <w:jc w:val="center"/>
        </w:trPr>
        <w:tc>
          <w:tcPr>
            <w:tcW w:w="329" w:type="pct"/>
            <w:vMerge/>
            <w:vAlign w:val="center"/>
          </w:tcPr>
          <w:p w14:paraId="3BA1B82F" w14:textId="77777777" w:rsidR="005F3388" w:rsidRPr="00092862" w:rsidRDefault="005F3388" w:rsidP="00521779">
            <w:pPr>
              <w:jc w:val="center"/>
              <w:rPr>
                <w:rFonts w:ascii="Times New Roman" w:eastAsia="宋体" w:hAnsi="Times New Roman" w:cs="Times New Roman"/>
                <w:color w:val="000000" w:themeColor="text1"/>
                <w:kern w:val="28"/>
                <w:szCs w:val="21"/>
              </w:rPr>
            </w:pPr>
          </w:p>
        </w:tc>
        <w:tc>
          <w:tcPr>
            <w:tcW w:w="868" w:type="pct"/>
            <w:gridSpan w:val="2"/>
            <w:vAlign w:val="center"/>
          </w:tcPr>
          <w:p w14:paraId="4623BB44"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围堰</w:t>
            </w:r>
          </w:p>
        </w:tc>
        <w:tc>
          <w:tcPr>
            <w:tcW w:w="2273" w:type="pct"/>
            <w:vAlign w:val="center"/>
          </w:tcPr>
          <w:p w14:paraId="63D3F186" w14:textId="77D423C2"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泥浆储备罐罐区周边设置</w:t>
            </w:r>
            <w:r w:rsidRPr="00092862">
              <w:rPr>
                <w:rFonts w:ascii="Times New Roman" w:eastAsia="宋体" w:hAnsi="Times New Roman" w:cs="Times New Roman"/>
                <w:color w:val="000000" w:themeColor="text1"/>
                <w:szCs w:val="21"/>
              </w:rPr>
              <w:t>0.3m</w:t>
            </w:r>
            <w:r w:rsidRPr="00092862">
              <w:rPr>
                <w:rFonts w:ascii="Times New Roman" w:eastAsia="宋体" w:hAnsi="Times New Roman" w:cs="Times New Roman"/>
                <w:color w:val="000000" w:themeColor="text1"/>
                <w:szCs w:val="21"/>
              </w:rPr>
              <w:t>高围堰，容积</w:t>
            </w:r>
            <w:r w:rsidRPr="00092862">
              <w:rPr>
                <w:rFonts w:ascii="Times New Roman" w:eastAsia="宋体" w:hAnsi="Times New Roman" w:cs="Times New Roman"/>
                <w:color w:val="000000" w:themeColor="text1"/>
                <w:szCs w:val="21"/>
              </w:rPr>
              <w:t>10m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；柴油罐区周边设置</w:t>
            </w:r>
            <w:r w:rsidRPr="00092862">
              <w:rPr>
                <w:rFonts w:ascii="Times New Roman" w:eastAsia="宋体" w:hAnsi="Times New Roman" w:cs="Times New Roman"/>
                <w:color w:val="000000" w:themeColor="text1"/>
                <w:szCs w:val="21"/>
              </w:rPr>
              <w:t>0.3m</w:t>
            </w:r>
            <w:r w:rsidRPr="00092862">
              <w:rPr>
                <w:rFonts w:ascii="Times New Roman" w:eastAsia="宋体" w:hAnsi="Times New Roman" w:cs="Times New Roman"/>
                <w:color w:val="000000" w:themeColor="text1"/>
                <w:szCs w:val="21"/>
              </w:rPr>
              <w:t>高围堰，容积</w:t>
            </w:r>
            <w:r w:rsidRPr="00092862">
              <w:rPr>
                <w:rFonts w:ascii="Times New Roman" w:eastAsia="宋体" w:hAnsi="Times New Roman" w:cs="Times New Roman"/>
                <w:color w:val="000000" w:themeColor="text1"/>
                <w:szCs w:val="21"/>
              </w:rPr>
              <w:t>20m</w:t>
            </w:r>
            <w:r w:rsidRPr="00092862">
              <w:rPr>
                <w:rFonts w:ascii="Times New Roman" w:eastAsia="宋体" w:hAnsi="Times New Roman" w:cs="Times New Roman"/>
                <w:color w:val="000000" w:themeColor="text1"/>
                <w:szCs w:val="21"/>
                <w:vertAlign w:val="superscript"/>
              </w:rPr>
              <w:t>3</w:t>
            </w:r>
          </w:p>
        </w:tc>
        <w:tc>
          <w:tcPr>
            <w:tcW w:w="766" w:type="pct"/>
            <w:vAlign w:val="center"/>
          </w:tcPr>
          <w:p w14:paraId="54E58901" w14:textId="77777777" w:rsidR="005F3388" w:rsidRPr="00092862" w:rsidRDefault="005F3388"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渗漏污染土壤、地下水、地表水环境</w:t>
            </w:r>
          </w:p>
        </w:tc>
        <w:tc>
          <w:tcPr>
            <w:tcW w:w="764" w:type="pct"/>
            <w:vAlign w:val="center"/>
          </w:tcPr>
          <w:p w14:paraId="378EF2CA" w14:textId="12C1B33E" w:rsidR="005F3388" w:rsidRPr="00092862" w:rsidRDefault="00121646" w:rsidP="0052177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w:t>
            </w:r>
          </w:p>
        </w:tc>
      </w:tr>
    </w:tbl>
    <w:p w14:paraId="1B314EC6" w14:textId="2C061C14" w:rsidR="009879F1" w:rsidRPr="00092862" w:rsidRDefault="009879F1" w:rsidP="005E6B78">
      <w:pPr>
        <w:adjustRightInd w:val="0"/>
        <w:snapToGrid w:val="0"/>
        <w:spacing w:beforeLines="50" w:before="120"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钻前工程满足钻井作业要求时，各类作业车辆将设备逐步运至井场进行安装，通过检查满足钻井要求时开始进行钻井作业。</w:t>
      </w:r>
    </w:p>
    <w:p w14:paraId="4DA7C464" w14:textId="56ACF38D" w:rsidR="00DC446C" w:rsidRPr="00092862" w:rsidRDefault="00BB4559" w:rsidP="009879F1">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2</w:t>
      </w:r>
      <w:r w:rsidRPr="00092862">
        <w:rPr>
          <w:rFonts w:ascii="Times New Roman" w:eastAsia="黑体" w:hAnsi="Times New Roman" w:cs="Times New Roman"/>
          <w:color w:val="000000" w:themeColor="text1"/>
          <w:sz w:val="24"/>
        </w:rPr>
        <w:t>、</w:t>
      </w:r>
      <w:r w:rsidR="001A6854" w:rsidRPr="00092862">
        <w:rPr>
          <w:rFonts w:ascii="Times New Roman" w:eastAsia="黑体" w:hAnsi="Times New Roman" w:cs="Times New Roman"/>
          <w:color w:val="000000" w:themeColor="text1"/>
          <w:sz w:val="24"/>
        </w:rPr>
        <w:t>试采期</w:t>
      </w:r>
    </w:p>
    <w:p w14:paraId="38260E97" w14:textId="09AEBD88" w:rsidR="00DC446C" w:rsidRPr="00092862" w:rsidRDefault="003B1968" w:rsidP="003D2EE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钻井完毕后，通过测试并获得天然气产量后，</w:t>
      </w:r>
      <w:r w:rsidR="00507764" w:rsidRPr="00092862">
        <w:rPr>
          <w:rFonts w:ascii="Times New Roman" w:eastAsia="宋体" w:hAnsi="Times New Roman" w:cs="Times New Roman"/>
          <w:color w:val="000000" w:themeColor="text1"/>
          <w:szCs w:val="20"/>
        </w:rPr>
        <w:t>L7011-4H</w:t>
      </w:r>
      <w:r w:rsidR="00507764" w:rsidRPr="00092862">
        <w:rPr>
          <w:rFonts w:ascii="Times New Roman" w:eastAsia="宋体" w:hAnsi="Times New Roman" w:cs="Times New Roman"/>
          <w:color w:val="000000" w:themeColor="text1"/>
          <w:szCs w:val="20"/>
        </w:rPr>
        <w:t>、</w:t>
      </w:r>
      <w:r w:rsidR="00507764" w:rsidRPr="00092862">
        <w:rPr>
          <w:rFonts w:ascii="Times New Roman" w:eastAsia="宋体" w:hAnsi="Times New Roman" w:cs="Times New Roman"/>
          <w:color w:val="000000" w:themeColor="text1"/>
          <w:szCs w:val="20"/>
        </w:rPr>
        <w:t>L7011-5H</w:t>
      </w:r>
      <w:r w:rsidR="00507764" w:rsidRPr="00092862">
        <w:rPr>
          <w:rFonts w:ascii="Times New Roman" w:eastAsia="宋体" w:hAnsi="Times New Roman" w:cs="Times New Roman"/>
          <w:color w:val="000000" w:themeColor="text1"/>
          <w:szCs w:val="20"/>
        </w:rPr>
        <w:t>井井口气汇合后通过新建采气管道（</w:t>
      </w:r>
      <w:r w:rsidR="00507764" w:rsidRPr="00092862">
        <w:rPr>
          <w:rFonts w:ascii="Times New Roman" w:eastAsia="宋体" w:hAnsi="Times New Roman" w:cs="Times New Roman"/>
          <w:color w:val="000000" w:themeColor="text1"/>
          <w:szCs w:val="20"/>
        </w:rPr>
        <w:t>40m</w:t>
      </w:r>
      <w:r w:rsidR="00507764" w:rsidRPr="00092862">
        <w:rPr>
          <w:rFonts w:ascii="Times New Roman" w:eastAsia="宋体" w:hAnsi="Times New Roman" w:cs="Times New Roman"/>
          <w:color w:val="000000" w:themeColor="text1"/>
          <w:szCs w:val="20"/>
        </w:rPr>
        <w:t>）输送至老君</w:t>
      </w:r>
      <w:r w:rsidR="00507764" w:rsidRPr="00092862">
        <w:rPr>
          <w:rFonts w:ascii="Times New Roman" w:eastAsia="宋体" w:hAnsi="Times New Roman" w:cs="Times New Roman"/>
          <w:color w:val="000000" w:themeColor="text1"/>
          <w:szCs w:val="20"/>
        </w:rPr>
        <w:t>701</w:t>
      </w:r>
      <w:r w:rsidR="00507764" w:rsidRPr="00092862">
        <w:rPr>
          <w:rFonts w:ascii="Times New Roman" w:eastAsia="宋体" w:hAnsi="Times New Roman" w:cs="Times New Roman"/>
          <w:color w:val="000000" w:themeColor="text1"/>
          <w:szCs w:val="20"/>
        </w:rPr>
        <w:t>集气站，在站内分酸、加热、节流、分离后输至天然气净化厂。新建老君</w:t>
      </w:r>
      <w:r w:rsidR="00507764" w:rsidRPr="00092862">
        <w:rPr>
          <w:rFonts w:ascii="Times New Roman" w:eastAsia="宋体" w:hAnsi="Times New Roman" w:cs="Times New Roman"/>
          <w:color w:val="000000" w:themeColor="text1"/>
          <w:szCs w:val="20"/>
        </w:rPr>
        <w:t>7011</w:t>
      </w:r>
      <w:r w:rsidR="00507764" w:rsidRPr="00092862">
        <w:rPr>
          <w:rFonts w:ascii="Times New Roman" w:eastAsia="宋体" w:hAnsi="Times New Roman" w:cs="Times New Roman"/>
          <w:color w:val="000000" w:themeColor="text1"/>
          <w:szCs w:val="20"/>
        </w:rPr>
        <w:t>采气站</w:t>
      </w:r>
      <w:r w:rsidR="00507764" w:rsidRPr="00092862">
        <w:rPr>
          <w:rFonts w:ascii="Times New Roman" w:eastAsia="宋体" w:hAnsi="Times New Roman" w:cs="Times New Roman"/>
          <w:color w:val="000000" w:themeColor="text1"/>
          <w:szCs w:val="20"/>
        </w:rPr>
        <w:t>1</w:t>
      </w:r>
      <w:r w:rsidR="00507764" w:rsidRPr="00092862">
        <w:rPr>
          <w:rFonts w:ascii="Times New Roman" w:eastAsia="宋体" w:hAnsi="Times New Roman" w:cs="Times New Roman"/>
          <w:color w:val="000000" w:themeColor="text1"/>
          <w:szCs w:val="20"/>
        </w:rPr>
        <w:t>座、水套加热炉</w:t>
      </w:r>
      <w:r w:rsidR="00507764" w:rsidRPr="00092862">
        <w:rPr>
          <w:rFonts w:ascii="Times New Roman" w:eastAsia="宋体" w:hAnsi="Times New Roman" w:cs="Times New Roman"/>
          <w:color w:val="000000" w:themeColor="text1"/>
          <w:szCs w:val="20"/>
        </w:rPr>
        <w:t>1</w:t>
      </w:r>
      <w:r w:rsidR="00507764" w:rsidRPr="00092862">
        <w:rPr>
          <w:rFonts w:ascii="Times New Roman" w:eastAsia="宋体" w:hAnsi="Times New Roman" w:cs="Times New Roman"/>
          <w:color w:val="000000" w:themeColor="text1"/>
          <w:szCs w:val="20"/>
        </w:rPr>
        <w:t>座，其余生产分离器等均依托老君</w:t>
      </w:r>
      <w:r w:rsidR="00507764" w:rsidRPr="00092862">
        <w:rPr>
          <w:rFonts w:ascii="Times New Roman" w:eastAsia="宋体" w:hAnsi="Times New Roman" w:cs="Times New Roman"/>
          <w:color w:val="000000" w:themeColor="text1"/>
          <w:szCs w:val="20"/>
        </w:rPr>
        <w:t>701</w:t>
      </w:r>
      <w:r w:rsidR="00507764" w:rsidRPr="00092862">
        <w:rPr>
          <w:rFonts w:ascii="Times New Roman" w:eastAsia="宋体" w:hAnsi="Times New Roman" w:cs="Times New Roman"/>
          <w:color w:val="000000" w:themeColor="text1"/>
          <w:szCs w:val="20"/>
        </w:rPr>
        <w:t>站内已建流程，配套建设自控、电力、结构等设施</w:t>
      </w:r>
      <w:r w:rsidRPr="00092862">
        <w:rPr>
          <w:rFonts w:ascii="Times New Roman" w:eastAsia="宋体" w:hAnsi="Times New Roman" w:cs="Times New Roman"/>
          <w:color w:val="000000" w:themeColor="text1"/>
          <w:sz w:val="24"/>
        </w:rPr>
        <w:t>。本项目</w:t>
      </w:r>
      <w:r w:rsidR="000210E0"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工程项目组成见表</w:t>
      </w:r>
      <w:r w:rsidR="00FF312D" w:rsidRPr="00092862">
        <w:rPr>
          <w:rFonts w:ascii="Times New Roman" w:eastAsia="宋体" w:hAnsi="Times New Roman" w:cs="Times New Roman"/>
          <w:color w:val="000000" w:themeColor="text1"/>
          <w:sz w:val="24"/>
        </w:rPr>
        <w:t>3.2-</w:t>
      </w:r>
      <w:r w:rsidR="001F5ACB" w:rsidRPr="00092862">
        <w:rPr>
          <w:rFonts w:ascii="Times New Roman" w:eastAsia="宋体" w:hAnsi="Times New Roman" w:cs="Times New Roman"/>
          <w:color w:val="000000" w:themeColor="text1"/>
          <w:sz w:val="24"/>
        </w:rPr>
        <w:t>15</w:t>
      </w:r>
      <w:r w:rsidR="00B31F4A" w:rsidRPr="00092862">
        <w:rPr>
          <w:rFonts w:ascii="Times New Roman" w:eastAsia="宋体" w:hAnsi="Times New Roman" w:cs="Times New Roman"/>
          <w:color w:val="000000" w:themeColor="text1"/>
          <w:sz w:val="24"/>
        </w:rPr>
        <w:t>。</w:t>
      </w:r>
    </w:p>
    <w:p w14:paraId="270A7DAA" w14:textId="26D38D72"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FF312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15</w:t>
      </w:r>
      <w:r w:rsidRPr="00092862">
        <w:rPr>
          <w:rFonts w:ascii="Times New Roman" w:eastAsia="黑体" w:hAnsi="Times New Roman"/>
          <w:color w:val="000000" w:themeColor="text1"/>
          <w:sz w:val="21"/>
          <w:szCs w:val="21"/>
          <w:lang w:eastAsia="zh-CN"/>
        </w:rPr>
        <w:t xml:space="preserve"> </w:t>
      </w:r>
      <w:r w:rsidR="00DC0E01" w:rsidRPr="00092862">
        <w:rPr>
          <w:rFonts w:ascii="Times New Roman" w:eastAsia="黑体" w:hAnsi="Times New Roman"/>
          <w:color w:val="000000" w:themeColor="text1"/>
          <w:sz w:val="21"/>
          <w:szCs w:val="21"/>
          <w:lang w:eastAsia="zh-CN"/>
        </w:rPr>
        <w:t xml:space="preserve"> </w:t>
      </w:r>
      <w:r w:rsidR="000210E0" w:rsidRPr="00092862">
        <w:rPr>
          <w:rFonts w:ascii="Times New Roman" w:eastAsia="黑体" w:hAnsi="Times New Roman"/>
          <w:color w:val="000000" w:themeColor="text1"/>
          <w:sz w:val="21"/>
          <w:szCs w:val="21"/>
          <w:lang w:eastAsia="zh-CN"/>
        </w:rPr>
        <w:t>试采</w:t>
      </w:r>
      <w:r w:rsidRPr="00092862">
        <w:rPr>
          <w:rFonts w:ascii="Times New Roman" w:eastAsia="黑体" w:hAnsi="Times New Roman"/>
          <w:color w:val="000000" w:themeColor="text1"/>
          <w:sz w:val="21"/>
          <w:szCs w:val="21"/>
          <w:lang w:eastAsia="zh-CN"/>
        </w:rPr>
        <w:t>工程项目组成及主要环境影响一览表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166"/>
        <w:gridCol w:w="814"/>
        <w:gridCol w:w="3827"/>
        <w:gridCol w:w="1134"/>
        <w:gridCol w:w="1359"/>
      </w:tblGrid>
      <w:tr w:rsidR="00697429" w:rsidRPr="00092862" w14:paraId="79EC3F8E" w14:textId="77777777" w:rsidTr="008E0CFF">
        <w:trPr>
          <w:cantSplit/>
          <w:jc w:val="center"/>
        </w:trPr>
        <w:tc>
          <w:tcPr>
            <w:tcW w:w="1166" w:type="dxa"/>
            <w:noWrap/>
            <w:vAlign w:val="center"/>
          </w:tcPr>
          <w:p w14:paraId="5883AF2F" w14:textId="77777777" w:rsidR="00DC446C" w:rsidRPr="00092862" w:rsidRDefault="003B1968"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工程类别</w:t>
            </w:r>
          </w:p>
        </w:tc>
        <w:tc>
          <w:tcPr>
            <w:tcW w:w="4641" w:type="dxa"/>
            <w:gridSpan w:val="2"/>
            <w:noWrap/>
            <w:vAlign w:val="center"/>
          </w:tcPr>
          <w:p w14:paraId="4EE48267" w14:textId="77777777" w:rsidR="00DC446C" w:rsidRPr="00092862" w:rsidRDefault="003B1968"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建设规模及主要内容</w:t>
            </w:r>
          </w:p>
        </w:tc>
        <w:tc>
          <w:tcPr>
            <w:tcW w:w="1134" w:type="dxa"/>
            <w:noWrap/>
            <w:vAlign w:val="center"/>
          </w:tcPr>
          <w:p w14:paraId="2F6B8B93" w14:textId="77777777" w:rsidR="00DC446C" w:rsidRPr="00092862" w:rsidRDefault="003B1968"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主要环境问题</w:t>
            </w:r>
          </w:p>
        </w:tc>
        <w:tc>
          <w:tcPr>
            <w:tcW w:w="1359" w:type="dxa"/>
            <w:noWrap/>
            <w:vAlign w:val="center"/>
          </w:tcPr>
          <w:p w14:paraId="4BD65E4B" w14:textId="77777777" w:rsidR="00DC446C" w:rsidRPr="00092862" w:rsidRDefault="003B1968"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1BA20461" w14:textId="77777777" w:rsidTr="008E0CFF">
        <w:trPr>
          <w:cantSplit/>
          <w:jc w:val="center"/>
        </w:trPr>
        <w:tc>
          <w:tcPr>
            <w:tcW w:w="1166" w:type="dxa"/>
            <w:vMerge w:val="restart"/>
            <w:noWrap/>
            <w:vAlign w:val="center"/>
          </w:tcPr>
          <w:p w14:paraId="774F2265" w14:textId="77777777" w:rsidR="001B45BE" w:rsidRPr="00092862" w:rsidRDefault="001B45BE"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主体工程</w:t>
            </w:r>
          </w:p>
        </w:tc>
        <w:tc>
          <w:tcPr>
            <w:tcW w:w="4641" w:type="dxa"/>
            <w:gridSpan w:val="2"/>
            <w:noWrap/>
            <w:vAlign w:val="center"/>
          </w:tcPr>
          <w:p w14:paraId="31E7679E" w14:textId="0FA9CE5F" w:rsidR="001B45BE" w:rsidRPr="00092862" w:rsidRDefault="00507764" w:rsidP="0012569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L7011-4H</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L7011-5H</w:t>
            </w:r>
            <w:r w:rsidRPr="00092862">
              <w:rPr>
                <w:rFonts w:ascii="Times New Roman" w:eastAsia="宋体" w:hAnsi="Times New Roman" w:cs="Times New Roman"/>
                <w:color w:val="000000" w:themeColor="text1"/>
                <w:szCs w:val="21"/>
              </w:rPr>
              <w:t>井井口气汇合后通过新建采气管道（</w:t>
            </w:r>
            <w:r w:rsidRPr="00092862">
              <w:rPr>
                <w:rFonts w:ascii="Times New Roman" w:eastAsia="宋体" w:hAnsi="Times New Roman" w:cs="Times New Roman"/>
                <w:color w:val="000000" w:themeColor="text1"/>
                <w:szCs w:val="21"/>
              </w:rPr>
              <w:t>40m</w:t>
            </w:r>
            <w:r w:rsidRPr="00092862">
              <w:rPr>
                <w:rFonts w:ascii="Times New Roman" w:eastAsia="宋体" w:hAnsi="Times New Roman" w:cs="Times New Roman"/>
                <w:color w:val="000000" w:themeColor="text1"/>
                <w:szCs w:val="21"/>
              </w:rPr>
              <w:t>）输送至老君</w:t>
            </w:r>
            <w:r w:rsidRPr="00092862">
              <w:rPr>
                <w:rFonts w:ascii="Times New Roman" w:eastAsia="宋体" w:hAnsi="Times New Roman" w:cs="Times New Roman"/>
                <w:color w:val="000000" w:themeColor="text1"/>
                <w:szCs w:val="21"/>
              </w:rPr>
              <w:t>701</w:t>
            </w:r>
            <w:r w:rsidRPr="00092862">
              <w:rPr>
                <w:rFonts w:ascii="Times New Roman" w:eastAsia="宋体" w:hAnsi="Times New Roman" w:cs="Times New Roman"/>
                <w:color w:val="000000" w:themeColor="text1"/>
                <w:szCs w:val="21"/>
              </w:rPr>
              <w:t>集气站，在站内分酸、加热、节流、分离后输至天然气净化厂。新建老君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采气站</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座、水套加热炉</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座，其余生产分离器等均依托老君</w:t>
            </w:r>
            <w:r w:rsidRPr="00092862">
              <w:rPr>
                <w:rFonts w:ascii="Times New Roman" w:eastAsia="宋体" w:hAnsi="Times New Roman" w:cs="Times New Roman"/>
                <w:color w:val="000000" w:themeColor="text1"/>
                <w:szCs w:val="21"/>
              </w:rPr>
              <w:t>701</w:t>
            </w:r>
            <w:r w:rsidRPr="00092862">
              <w:rPr>
                <w:rFonts w:ascii="Times New Roman" w:eastAsia="宋体" w:hAnsi="Times New Roman" w:cs="Times New Roman"/>
                <w:color w:val="000000" w:themeColor="text1"/>
                <w:szCs w:val="21"/>
              </w:rPr>
              <w:t>站内已建流程，配套建设自控、电力、结构等设施</w:t>
            </w:r>
          </w:p>
        </w:tc>
        <w:tc>
          <w:tcPr>
            <w:tcW w:w="1134" w:type="dxa"/>
            <w:noWrap/>
            <w:vAlign w:val="center"/>
          </w:tcPr>
          <w:p w14:paraId="157ED3AB" w14:textId="77777777" w:rsidR="001B45BE" w:rsidRPr="00092862" w:rsidRDefault="001B45BE"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废气、废水、噪声、环境风险</w:t>
            </w:r>
          </w:p>
        </w:tc>
        <w:tc>
          <w:tcPr>
            <w:tcW w:w="1359" w:type="dxa"/>
            <w:noWrap/>
            <w:vAlign w:val="center"/>
          </w:tcPr>
          <w:p w14:paraId="3D8B1499" w14:textId="62699638" w:rsidR="001B45BE" w:rsidRPr="00092862" w:rsidRDefault="00854B7F"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复建</w:t>
            </w:r>
            <w:r w:rsidR="0012569E" w:rsidRPr="00092862">
              <w:rPr>
                <w:rFonts w:ascii="Times New Roman" w:eastAsia="宋体" w:hAnsi="Times New Roman" w:cs="Times New Roman"/>
                <w:color w:val="000000" w:themeColor="text1"/>
                <w:szCs w:val="21"/>
              </w:rPr>
              <w:t>+</w:t>
            </w:r>
            <w:r w:rsidR="0012569E" w:rsidRPr="00092862">
              <w:rPr>
                <w:rFonts w:ascii="Times New Roman" w:eastAsia="宋体" w:hAnsi="Times New Roman" w:cs="Times New Roman"/>
                <w:color w:val="000000" w:themeColor="text1"/>
                <w:szCs w:val="21"/>
              </w:rPr>
              <w:t>新建</w:t>
            </w:r>
          </w:p>
        </w:tc>
      </w:tr>
      <w:tr w:rsidR="00697429" w:rsidRPr="00092862" w14:paraId="3296750A" w14:textId="77777777" w:rsidTr="008E0CFF">
        <w:trPr>
          <w:cantSplit/>
          <w:jc w:val="center"/>
        </w:trPr>
        <w:tc>
          <w:tcPr>
            <w:tcW w:w="1166" w:type="dxa"/>
            <w:vMerge/>
            <w:noWrap/>
            <w:vAlign w:val="center"/>
          </w:tcPr>
          <w:p w14:paraId="1721F3DD" w14:textId="77777777" w:rsidR="001B45BE" w:rsidRPr="00092862" w:rsidRDefault="001B45BE"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p>
        </w:tc>
        <w:tc>
          <w:tcPr>
            <w:tcW w:w="814" w:type="dxa"/>
            <w:noWrap/>
            <w:vAlign w:val="center"/>
          </w:tcPr>
          <w:p w14:paraId="0C951D43" w14:textId="118623A7" w:rsidR="001B45BE" w:rsidRPr="00092862" w:rsidRDefault="001B45BE"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外输管线</w:t>
            </w:r>
            <w:r w:rsidR="00550685" w:rsidRPr="00092862">
              <w:rPr>
                <w:rFonts w:ascii="Times New Roman" w:eastAsia="宋体" w:hAnsi="Times New Roman" w:cs="Times New Roman"/>
                <w:color w:val="000000" w:themeColor="text1"/>
                <w:szCs w:val="21"/>
              </w:rPr>
              <w:t>与反输管线</w:t>
            </w:r>
          </w:p>
        </w:tc>
        <w:tc>
          <w:tcPr>
            <w:tcW w:w="3827" w:type="dxa"/>
            <w:noWrap/>
            <w:vAlign w:val="center"/>
          </w:tcPr>
          <w:p w14:paraId="4F903AC0" w14:textId="06CEF406" w:rsidR="001B45BE" w:rsidRPr="00092862" w:rsidRDefault="00854B7F"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r w:rsidR="003C3238" w:rsidRPr="00092862">
              <w:rPr>
                <w:rFonts w:ascii="Times New Roman" w:eastAsia="宋体" w:hAnsi="Times New Roman" w:cs="Times New Roman"/>
                <w:color w:val="000000" w:themeColor="text1"/>
                <w:szCs w:val="21"/>
              </w:rPr>
              <w:t>老君</w:t>
            </w:r>
            <w:r w:rsidR="003C3238" w:rsidRPr="00092862">
              <w:rPr>
                <w:rFonts w:ascii="Times New Roman" w:eastAsia="宋体" w:hAnsi="Times New Roman" w:cs="Times New Roman"/>
                <w:color w:val="000000" w:themeColor="text1"/>
                <w:szCs w:val="21"/>
              </w:rPr>
              <w:t>701</w:t>
            </w:r>
            <w:r w:rsidR="0012569E" w:rsidRPr="00092862">
              <w:rPr>
                <w:rFonts w:ascii="Times New Roman" w:eastAsia="宋体" w:hAnsi="Times New Roman" w:cs="Times New Roman"/>
                <w:color w:val="000000" w:themeColor="text1"/>
                <w:szCs w:val="21"/>
              </w:rPr>
              <w:t>集气站</w:t>
            </w:r>
            <w:r w:rsidRPr="00092862">
              <w:rPr>
                <w:rFonts w:ascii="Times New Roman" w:eastAsia="宋体" w:hAnsi="Times New Roman" w:cs="Times New Roman"/>
                <w:color w:val="000000" w:themeColor="text1"/>
                <w:szCs w:val="21"/>
              </w:rPr>
              <w:t>现有外输管线与反输管线</w:t>
            </w:r>
          </w:p>
        </w:tc>
        <w:tc>
          <w:tcPr>
            <w:tcW w:w="1134" w:type="dxa"/>
            <w:noWrap/>
            <w:vAlign w:val="center"/>
          </w:tcPr>
          <w:p w14:paraId="6B2AC66B" w14:textId="2C130A54" w:rsidR="001B45BE" w:rsidRPr="00092862" w:rsidRDefault="001B45BE"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噪声、环境风险</w:t>
            </w:r>
          </w:p>
        </w:tc>
        <w:tc>
          <w:tcPr>
            <w:tcW w:w="1359" w:type="dxa"/>
            <w:noWrap/>
            <w:vAlign w:val="center"/>
          </w:tcPr>
          <w:p w14:paraId="630ADB93" w14:textId="49AC797D" w:rsidR="001B45BE" w:rsidRPr="00092862" w:rsidRDefault="00854B7F" w:rsidP="00DC0E01">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12800B37" w14:textId="77777777" w:rsidTr="008E0CFF">
        <w:trPr>
          <w:cantSplit/>
          <w:jc w:val="center"/>
        </w:trPr>
        <w:tc>
          <w:tcPr>
            <w:tcW w:w="1166" w:type="dxa"/>
            <w:vMerge w:val="restart"/>
            <w:noWrap/>
            <w:vAlign w:val="center"/>
          </w:tcPr>
          <w:p w14:paraId="1A36CF8F" w14:textId="77777777"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辅助公用工程</w:t>
            </w:r>
          </w:p>
        </w:tc>
        <w:tc>
          <w:tcPr>
            <w:tcW w:w="814" w:type="dxa"/>
            <w:noWrap/>
            <w:vAlign w:val="center"/>
          </w:tcPr>
          <w:p w14:paraId="43C56223" w14:textId="235063FB"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放空火炬</w:t>
            </w:r>
          </w:p>
        </w:tc>
        <w:tc>
          <w:tcPr>
            <w:tcW w:w="3827" w:type="dxa"/>
            <w:noWrap/>
            <w:vAlign w:val="center"/>
          </w:tcPr>
          <w:p w14:paraId="0652B39B" w14:textId="3F4501E2" w:rsidR="001B45BE" w:rsidRPr="00092862" w:rsidRDefault="003C3238" w:rsidP="004E461D">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w:t>
            </w:r>
            <w:r w:rsidR="004E461D" w:rsidRPr="00092862">
              <w:rPr>
                <w:rFonts w:ascii="Times New Roman" w:eastAsia="宋体" w:hAnsi="Times New Roman" w:cs="Times New Roman"/>
                <w:color w:val="000000" w:themeColor="text1"/>
                <w:szCs w:val="21"/>
              </w:rPr>
              <w:t>集气站已建高压放空火炬</w:t>
            </w:r>
            <w:r w:rsidR="004E461D" w:rsidRPr="00092862">
              <w:rPr>
                <w:rFonts w:ascii="Times New Roman" w:eastAsia="宋体" w:hAnsi="Times New Roman" w:cs="Times New Roman"/>
                <w:color w:val="000000" w:themeColor="text1"/>
                <w:szCs w:val="21"/>
              </w:rPr>
              <w:t>1</w:t>
            </w:r>
            <w:r w:rsidR="004E461D" w:rsidRPr="00092862">
              <w:rPr>
                <w:rFonts w:ascii="Times New Roman" w:eastAsia="宋体" w:hAnsi="Times New Roman" w:cs="Times New Roman"/>
                <w:color w:val="000000" w:themeColor="text1"/>
                <w:szCs w:val="21"/>
              </w:rPr>
              <w:t>座，火炬设长明灯，满足站内酸性气体排放燃烧要求，站内放空气经火炬分液罐分离后至放空火炬燃烧，</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w:t>
            </w:r>
            <w:r w:rsidR="004E461D" w:rsidRPr="00092862">
              <w:rPr>
                <w:rFonts w:ascii="Times New Roman" w:eastAsia="宋体" w:hAnsi="Times New Roman" w:cs="Times New Roman"/>
                <w:color w:val="000000" w:themeColor="text1"/>
                <w:szCs w:val="21"/>
              </w:rPr>
              <w:t>站场放空火炬设计放空量为</w:t>
            </w:r>
            <w:r w:rsidR="00507764" w:rsidRPr="00092862">
              <w:rPr>
                <w:rFonts w:ascii="Times New Roman" w:eastAsia="宋体" w:hAnsi="Times New Roman" w:cs="Times New Roman"/>
                <w:color w:val="000000" w:themeColor="text1"/>
                <w:szCs w:val="21"/>
              </w:rPr>
              <w:t>115</w:t>
            </w:r>
            <w:r w:rsidR="004E461D" w:rsidRPr="00092862">
              <w:rPr>
                <w:rFonts w:ascii="Times New Roman" w:eastAsia="宋体" w:hAnsi="Times New Roman" w:cs="Times New Roman"/>
                <w:color w:val="000000" w:themeColor="text1"/>
                <w:szCs w:val="21"/>
              </w:rPr>
              <w:t>×10</w:t>
            </w:r>
            <w:r w:rsidR="004E461D" w:rsidRPr="00092862">
              <w:rPr>
                <w:rFonts w:ascii="Times New Roman" w:eastAsia="宋体" w:hAnsi="Times New Roman" w:cs="Times New Roman"/>
                <w:color w:val="000000" w:themeColor="text1"/>
                <w:szCs w:val="21"/>
                <w:vertAlign w:val="superscript"/>
              </w:rPr>
              <w:t>4</w:t>
            </w:r>
            <w:r w:rsidR="004E461D" w:rsidRPr="00092862">
              <w:rPr>
                <w:rFonts w:ascii="Times New Roman" w:eastAsia="宋体" w:hAnsi="Times New Roman" w:cs="Times New Roman"/>
                <w:color w:val="000000" w:themeColor="text1"/>
                <w:szCs w:val="21"/>
              </w:rPr>
              <w:t>Nm</w:t>
            </w:r>
            <w:r w:rsidR="004E461D" w:rsidRPr="00092862">
              <w:rPr>
                <w:rFonts w:ascii="Times New Roman" w:eastAsia="宋体" w:hAnsi="Times New Roman" w:cs="Times New Roman"/>
                <w:color w:val="000000" w:themeColor="text1"/>
                <w:szCs w:val="21"/>
                <w:vertAlign w:val="superscript"/>
              </w:rPr>
              <w:t>3</w:t>
            </w:r>
            <w:r w:rsidR="004E461D" w:rsidRPr="00092862">
              <w:rPr>
                <w:rFonts w:ascii="Times New Roman" w:eastAsia="宋体" w:hAnsi="Times New Roman" w:cs="Times New Roman"/>
                <w:color w:val="000000" w:themeColor="text1"/>
                <w:szCs w:val="21"/>
              </w:rPr>
              <w:t>/d</w:t>
            </w:r>
            <w:r w:rsidR="004E461D" w:rsidRPr="00092862">
              <w:rPr>
                <w:rFonts w:ascii="Times New Roman" w:eastAsia="宋体" w:hAnsi="Times New Roman" w:cs="Times New Roman"/>
                <w:color w:val="000000" w:themeColor="text1"/>
                <w:szCs w:val="21"/>
              </w:rPr>
              <w:t>，高约</w:t>
            </w:r>
            <w:r w:rsidR="00507764" w:rsidRPr="00092862">
              <w:rPr>
                <w:rFonts w:ascii="Times New Roman" w:eastAsia="宋体" w:hAnsi="Times New Roman" w:cs="Times New Roman"/>
                <w:color w:val="000000" w:themeColor="text1"/>
                <w:szCs w:val="21"/>
              </w:rPr>
              <w:t>6</w:t>
            </w:r>
            <w:r w:rsidR="004E461D" w:rsidRPr="00092862">
              <w:rPr>
                <w:rFonts w:ascii="Times New Roman" w:eastAsia="宋体" w:hAnsi="Times New Roman" w:cs="Times New Roman"/>
                <w:color w:val="000000" w:themeColor="text1"/>
                <w:szCs w:val="21"/>
              </w:rPr>
              <w:t>0m</w:t>
            </w:r>
          </w:p>
        </w:tc>
        <w:tc>
          <w:tcPr>
            <w:tcW w:w="1134" w:type="dxa"/>
            <w:noWrap/>
            <w:vAlign w:val="center"/>
          </w:tcPr>
          <w:p w14:paraId="2DC10173" w14:textId="77777777"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废气、噪声</w:t>
            </w:r>
          </w:p>
        </w:tc>
        <w:tc>
          <w:tcPr>
            <w:tcW w:w="1359" w:type="dxa"/>
            <w:noWrap/>
            <w:vAlign w:val="center"/>
          </w:tcPr>
          <w:p w14:paraId="60615ED5" w14:textId="5D1C9FDC" w:rsidR="001B45BE" w:rsidRPr="00092862" w:rsidRDefault="004E461D"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21CF0D68" w14:textId="77777777" w:rsidTr="008E0CFF">
        <w:trPr>
          <w:cantSplit/>
          <w:jc w:val="center"/>
        </w:trPr>
        <w:tc>
          <w:tcPr>
            <w:tcW w:w="1166" w:type="dxa"/>
            <w:vMerge/>
            <w:noWrap/>
            <w:vAlign w:val="center"/>
          </w:tcPr>
          <w:p w14:paraId="67972C07" w14:textId="77777777"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p>
        </w:tc>
        <w:tc>
          <w:tcPr>
            <w:tcW w:w="814" w:type="dxa"/>
            <w:noWrap/>
            <w:vAlign w:val="center"/>
          </w:tcPr>
          <w:p w14:paraId="2D80EEE5" w14:textId="1F4206FB"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供配电</w:t>
            </w:r>
          </w:p>
        </w:tc>
        <w:tc>
          <w:tcPr>
            <w:tcW w:w="3827" w:type="dxa"/>
            <w:noWrap/>
            <w:vAlign w:val="center"/>
          </w:tcPr>
          <w:p w14:paraId="4659A5AD" w14:textId="2E2DA625"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套燃气发电机组为第二电源，功率</w:t>
            </w:r>
            <w:r w:rsidRPr="00092862">
              <w:rPr>
                <w:rFonts w:ascii="Times New Roman" w:eastAsia="宋体" w:hAnsi="Times New Roman" w:cs="Times New Roman"/>
                <w:color w:val="000000" w:themeColor="text1"/>
                <w:szCs w:val="21"/>
              </w:rPr>
              <w:t>60kW</w:t>
            </w:r>
            <w:r w:rsidRPr="00092862">
              <w:rPr>
                <w:rFonts w:ascii="Times New Roman" w:eastAsia="宋体" w:hAnsi="Times New Roman" w:cs="Times New Roman"/>
                <w:color w:val="000000" w:themeColor="text1"/>
                <w:szCs w:val="21"/>
              </w:rPr>
              <w:t>。重要负荷采用</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套冗余式</w:t>
            </w:r>
            <w:r w:rsidRPr="00092862">
              <w:rPr>
                <w:rFonts w:ascii="Times New Roman" w:eastAsia="宋体" w:hAnsi="Times New Roman" w:cs="Times New Roman"/>
                <w:color w:val="000000" w:themeColor="text1"/>
                <w:szCs w:val="21"/>
              </w:rPr>
              <w:t>UPS</w:t>
            </w:r>
            <w:r w:rsidRPr="00092862">
              <w:rPr>
                <w:rFonts w:ascii="Times New Roman" w:eastAsia="宋体" w:hAnsi="Times New Roman" w:cs="Times New Roman"/>
                <w:color w:val="000000" w:themeColor="text1"/>
                <w:szCs w:val="21"/>
              </w:rPr>
              <w:t>供电，容量</w:t>
            </w:r>
            <w:r w:rsidRPr="00092862">
              <w:rPr>
                <w:rFonts w:ascii="Times New Roman" w:eastAsia="宋体" w:hAnsi="Times New Roman" w:cs="Times New Roman"/>
                <w:color w:val="000000" w:themeColor="text1"/>
                <w:szCs w:val="21"/>
              </w:rPr>
              <w:t>30kVA</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2x0.5h</w:t>
            </w:r>
          </w:p>
        </w:tc>
        <w:tc>
          <w:tcPr>
            <w:tcW w:w="1134" w:type="dxa"/>
            <w:noWrap/>
            <w:vAlign w:val="center"/>
          </w:tcPr>
          <w:p w14:paraId="7835B98F" w14:textId="576653E3"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401C8960" w14:textId="5750044D" w:rsidR="001B45BE" w:rsidRPr="00092862" w:rsidRDefault="004E461D"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0E1229AA" w14:textId="77777777" w:rsidTr="008E0CFF">
        <w:trPr>
          <w:cantSplit/>
          <w:jc w:val="center"/>
        </w:trPr>
        <w:tc>
          <w:tcPr>
            <w:tcW w:w="1166" w:type="dxa"/>
            <w:vMerge/>
            <w:noWrap/>
            <w:vAlign w:val="center"/>
          </w:tcPr>
          <w:p w14:paraId="744A3109" w14:textId="77777777"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p>
        </w:tc>
        <w:tc>
          <w:tcPr>
            <w:tcW w:w="814" w:type="dxa"/>
            <w:noWrap/>
            <w:vAlign w:val="center"/>
          </w:tcPr>
          <w:p w14:paraId="5D4828F1" w14:textId="5748937A"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通讯工程</w:t>
            </w:r>
          </w:p>
        </w:tc>
        <w:tc>
          <w:tcPr>
            <w:tcW w:w="3827" w:type="dxa"/>
            <w:noWrap/>
            <w:vAlign w:val="center"/>
          </w:tcPr>
          <w:p w14:paraId="34579D5D" w14:textId="24F5415F"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含光缆线路、光传输系统、工业以太网、站场广播对讲系统（</w:t>
            </w:r>
            <w:r w:rsidRPr="00092862">
              <w:rPr>
                <w:rFonts w:ascii="Times New Roman" w:eastAsia="宋体" w:hAnsi="Times New Roman" w:cs="Times New Roman"/>
                <w:color w:val="000000" w:themeColor="text1"/>
                <w:szCs w:val="21"/>
              </w:rPr>
              <w:t>PA/GA</w:t>
            </w:r>
            <w:r w:rsidRPr="00092862">
              <w:rPr>
                <w:rFonts w:ascii="Times New Roman" w:eastAsia="宋体" w:hAnsi="Times New Roman" w:cs="Times New Roman"/>
                <w:color w:val="000000" w:themeColor="text1"/>
                <w:szCs w:val="21"/>
              </w:rPr>
              <w:t>）、工业电视监控系统、周界报警系统、办公网及语音系统、气象系统、紧急疏散广播系统扩容、通信基站</w:t>
            </w:r>
          </w:p>
        </w:tc>
        <w:tc>
          <w:tcPr>
            <w:tcW w:w="1134" w:type="dxa"/>
            <w:noWrap/>
            <w:vAlign w:val="center"/>
          </w:tcPr>
          <w:p w14:paraId="203CBD46" w14:textId="4740D719" w:rsidR="001B45BE" w:rsidRPr="00092862" w:rsidRDefault="008E0CFF"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5535DAA7" w14:textId="32246E55" w:rsidR="001B45BE" w:rsidRPr="00092862" w:rsidRDefault="004E461D"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7C209657" w14:textId="77777777" w:rsidTr="008E0CFF">
        <w:trPr>
          <w:cantSplit/>
          <w:jc w:val="center"/>
        </w:trPr>
        <w:tc>
          <w:tcPr>
            <w:tcW w:w="1166" w:type="dxa"/>
            <w:vMerge/>
            <w:noWrap/>
            <w:vAlign w:val="center"/>
          </w:tcPr>
          <w:p w14:paraId="0ECA9021" w14:textId="77777777"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p>
        </w:tc>
        <w:tc>
          <w:tcPr>
            <w:tcW w:w="814" w:type="dxa"/>
            <w:noWrap/>
            <w:vAlign w:val="center"/>
          </w:tcPr>
          <w:p w14:paraId="0C07FEE9" w14:textId="078E257B"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自动控制</w:t>
            </w:r>
          </w:p>
        </w:tc>
        <w:tc>
          <w:tcPr>
            <w:tcW w:w="3827" w:type="dxa"/>
            <w:noWrap/>
            <w:vAlign w:val="center"/>
          </w:tcPr>
          <w:p w14:paraId="29CAD79C" w14:textId="2A41B453"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设置</w:t>
            </w:r>
            <w:r w:rsidRPr="00092862">
              <w:rPr>
                <w:rFonts w:ascii="Times New Roman" w:eastAsia="宋体" w:hAnsi="Times New Roman" w:cs="Times New Roman"/>
                <w:color w:val="000000" w:themeColor="text1"/>
                <w:szCs w:val="21"/>
              </w:rPr>
              <w:t>RTU</w:t>
            </w:r>
            <w:r w:rsidRPr="00092862">
              <w:rPr>
                <w:rFonts w:ascii="Times New Roman" w:eastAsia="宋体" w:hAnsi="Times New Roman" w:cs="Times New Roman"/>
                <w:color w:val="000000" w:themeColor="text1"/>
                <w:szCs w:val="21"/>
              </w:rPr>
              <w:t>系统，安装可燃气体探测器</w:t>
            </w:r>
            <w:r w:rsidR="00803BB7" w:rsidRPr="00092862">
              <w:rPr>
                <w:rFonts w:ascii="Times New Roman" w:eastAsia="宋体" w:hAnsi="Times New Roman" w:cs="Times New Roman"/>
                <w:color w:val="000000" w:themeColor="text1"/>
                <w:szCs w:val="21"/>
              </w:rPr>
              <w:t>、硫化氢监测装置</w:t>
            </w:r>
            <w:r w:rsidRPr="00092862">
              <w:rPr>
                <w:rFonts w:ascii="Times New Roman" w:eastAsia="宋体" w:hAnsi="Times New Roman" w:cs="Times New Roman"/>
                <w:color w:val="000000" w:themeColor="text1"/>
                <w:szCs w:val="21"/>
              </w:rPr>
              <w:t>、摄像头和入侵检测报警装置</w:t>
            </w:r>
          </w:p>
        </w:tc>
        <w:tc>
          <w:tcPr>
            <w:tcW w:w="1134" w:type="dxa"/>
            <w:noWrap/>
            <w:vAlign w:val="center"/>
          </w:tcPr>
          <w:p w14:paraId="65BE4087" w14:textId="21066F6D" w:rsidR="001B45BE" w:rsidRPr="00092862" w:rsidRDefault="008E0CFF"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4EBE7879" w14:textId="1696745D" w:rsidR="001B45BE" w:rsidRPr="00092862" w:rsidRDefault="004E461D"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184BFEF7" w14:textId="77777777" w:rsidTr="008E0CFF">
        <w:trPr>
          <w:cantSplit/>
          <w:jc w:val="center"/>
        </w:trPr>
        <w:tc>
          <w:tcPr>
            <w:tcW w:w="1166" w:type="dxa"/>
            <w:vMerge/>
            <w:noWrap/>
            <w:vAlign w:val="center"/>
          </w:tcPr>
          <w:p w14:paraId="2B3BF300" w14:textId="77777777"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p>
        </w:tc>
        <w:tc>
          <w:tcPr>
            <w:tcW w:w="814" w:type="dxa"/>
            <w:noWrap/>
            <w:vAlign w:val="center"/>
          </w:tcPr>
          <w:p w14:paraId="35E5FEAC" w14:textId="383D23E3"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消防系统</w:t>
            </w:r>
          </w:p>
        </w:tc>
        <w:tc>
          <w:tcPr>
            <w:tcW w:w="3827" w:type="dxa"/>
            <w:noWrap/>
            <w:vAlign w:val="center"/>
          </w:tcPr>
          <w:p w14:paraId="5367E4C0" w14:textId="1C96977B" w:rsidR="001B45BE" w:rsidRPr="00092862" w:rsidRDefault="001B45BE"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场站内配置</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具</w:t>
            </w:r>
            <w:r w:rsidRPr="00092862">
              <w:rPr>
                <w:rFonts w:ascii="Times New Roman" w:eastAsia="宋体" w:hAnsi="Times New Roman" w:cs="Times New Roman"/>
                <w:color w:val="000000" w:themeColor="text1"/>
                <w:szCs w:val="21"/>
              </w:rPr>
              <w:t>MF/ABC8</w:t>
            </w:r>
            <w:r w:rsidRPr="00092862">
              <w:rPr>
                <w:rFonts w:ascii="Times New Roman" w:eastAsia="宋体" w:hAnsi="Times New Roman" w:cs="Times New Roman"/>
                <w:color w:val="000000" w:themeColor="text1"/>
                <w:szCs w:val="21"/>
              </w:rPr>
              <w:t>手提式干粉灭火器和</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台</w:t>
            </w:r>
            <w:r w:rsidRPr="00092862">
              <w:rPr>
                <w:rFonts w:ascii="Times New Roman" w:eastAsia="宋体" w:hAnsi="Times New Roman" w:cs="Times New Roman"/>
                <w:color w:val="000000" w:themeColor="text1"/>
                <w:szCs w:val="21"/>
              </w:rPr>
              <w:t>MFT/ABC20</w:t>
            </w:r>
            <w:r w:rsidRPr="00092862">
              <w:rPr>
                <w:rFonts w:ascii="Times New Roman" w:eastAsia="宋体" w:hAnsi="Times New Roman" w:cs="Times New Roman"/>
                <w:color w:val="000000" w:themeColor="text1"/>
                <w:szCs w:val="21"/>
              </w:rPr>
              <w:t>推车式干粉灭火器</w:t>
            </w:r>
          </w:p>
        </w:tc>
        <w:tc>
          <w:tcPr>
            <w:tcW w:w="1134" w:type="dxa"/>
            <w:noWrap/>
            <w:vAlign w:val="center"/>
          </w:tcPr>
          <w:p w14:paraId="53BF728A" w14:textId="44060A29" w:rsidR="001B45BE" w:rsidRPr="00092862" w:rsidRDefault="008E0CFF"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7299FB56" w14:textId="431A2E41" w:rsidR="001B45BE" w:rsidRPr="00092862" w:rsidRDefault="004E461D" w:rsidP="001B45BE">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444009BB" w14:textId="77777777" w:rsidTr="008E0CFF">
        <w:trPr>
          <w:cantSplit/>
          <w:jc w:val="center"/>
        </w:trPr>
        <w:tc>
          <w:tcPr>
            <w:tcW w:w="1166" w:type="dxa"/>
            <w:noWrap/>
            <w:vAlign w:val="center"/>
          </w:tcPr>
          <w:p w14:paraId="7AB4200A" w14:textId="77777777" w:rsidR="00DC0E01" w:rsidRPr="00092862" w:rsidRDefault="00DC0E01" w:rsidP="00DC0E01">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办公生活设施</w:t>
            </w:r>
          </w:p>
        </w:tc>
        <w:tc>
          <w:tcPr>
            <w:tcW w:w="4641" w:type="dxa"/>
            <w:gridSpan w:val="2"/>
            <w:noWrap/>
            <w:vAlign w:val="center"/>
          </w:tcPr>
          <w:p w14:paraId="6B3E1245" w14:textId="44D53ED5" w:rsidR="00DC0E01" w:rsidRPr="00092862" w:rsidRDefault="004E461D" w:rsidP="00DC0E01">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设置有管理楼</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栋</w:t>
            </w:r>
          </w:p>
        </w:tc>
        <w:tc>
          <w:tcPr>
            <w:tcW w:w="1134" w:type="dxa"/>
            <w:noWrap/>
            <w:vAlign w:val="center"/>
          </w:tcPr>
          <w:p w14:paraId="474FDDF9" w14:textId="3AD92B91" w:rsidR="00DC0E01" w:rsidRPr="00092862" w:rsidRDefault="004E461D" w:rsidP="00DC0E01">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生活污水、生活垃圾</w:t>
            </w:r>
          </w:p>
        </w:tc>
        <w:tc>
          <w:tcPr>
            <w:tcW w:w="1359" w:type="dxa"/>
            <w:noWrap/>
            <w:vAlign w:val="center"/>
          </w:tcPr>
          <w:p w14:paraId="5E036B81" w14:textId="0F43DD6E" w:rsidR="00DC0E01" w:rsidRPr="00092862" w:rsidRDefault="004E461D" w:rsidP="00DC0E01">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3A1AD6B8" w14:textId="77777777" w:rsidTr="008E0CFF">
        <w:trPr>
          <w:cantSplit/>
          <w:jc w:val="center"/>
        </w:trPr>
        <w:tc>
          <w:tcPr>
            <w:tcW w:w="1166" w:type="dxa"/>
            <w:vMerge w:val="restart"/>
            <w:noWrap/>
            <w:vAlign w:val="center"/>
          </w:tcPr>
          <w:p w14:paraId="3023C272" w14:textId="304EB2BB"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环保工程</w:t>
            </w:r>
          </w:p>
        </w:tc>
        <w:tc>
          <w:tcPr>
            <w:tcW w:w="814" w:type="dxa"/>
            <w:noWrap/>
            <w:vAlign w:val="center"/>
          </w:tcPr>
          <w:p w14:paraId="2153E8BE" w14:textId="1EA12AA9"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w:t>
            </w:r>
          </w:p>
        </w:tc>
        <w:tc>
          <w:tcPr>
            <w:tcW w:w="3827" w:type="dxa"/>
            <w:vAlign w:val="center"/>
          </w:tcPr>
          <w:p w14:paraId="2DA04272" w14:textId="77777777" w:rsidR="007E09BF" w:rsidRPr="00092862" w:rsidRDefault="00C26134"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水套加热炉</w:t>
            </w:r>
            <w:r w:rsidR="007E09BF" w:rsidRPr="00092862">
              <w:rPr>
                <w:rFonts w:ascii="Times New Roman" w:eastAsia="宋体" w:hAnsi="Times New Roman" w:cs="Times New Roman"/>
                <w:color w:val="000000" w:themeColor="text1"/>
                <w:szCs w:val="21"/>
              </w:rPr>
              <w:t>燃烧废气：通过</w:t>
            </w:r>
            <w:r w:rsidRPr="00092862">
              <w:rPr>
                <w:rFonts w:ascii="Times New Roman" w:eastAsia="宋体" w:hAnsi="Times New Roman" w:cs="Times New Roman"/>
                <w:color w:val="000000" w:themeColor="text1"/>
                <w:szCs w:val="21"/>
              </w:rPr>
              <w:t>水套加热炉</w:t>
            </w:r>
            <w:r w:rsidR="007E09BF" w:rsidRPr="00092862">
              <w:rPr>
                <w:rFonts w:ascii="Times New Roman" w:eastAsia="宋体" w:hAnsi="Times New Roman" w:cs="Times New Roman"/>
                <w:color w:val="000000" w:themeColor="text1"/>
                <w:szCs w:val="21"/>
              </w:rPr>
              <w:t>自带的</w:t>
            </w:r>
            <w:r w:rsidR="007E09BF" w:rsidRPr="00092862">
              <w:rPr>
                <w:rFonts w:ascii="Times New Roman" w:eastAsia="宋体" w:hAnsi="Times New Roman" w:cs="Times New Roman"/>
                <w:color w:val="000000" w:themeColor="text1"/>
                <w:szCs w:val="21"/>
              </w:rPr>
              <w:t>8m</w:t>
            </w:r>
            <w:r w:rsidR="007E09BF" w:rsidRPr="00092862">
              <w:rPr>
                <w:rFonts w:ascii="Times New Roman" w:eastAsia="宋体" w:hAnsi="Times New Roman" w:cs="Times New Roman"/>
                <w:color w:val="000000" w:themeColor="text1"/>
                <w:szCs w:val="21"/>
              </w:rPr>
              <w:t>高排气筒外排</w:t>
            </w:r>
          </w:p>
          <w:p w14:paraId="66E76521" w14:textId="1133E8C2" w:rsidR="004E461D" w:rsidRPr="00092862" w:rsidRDefault="004E461D" w:rsidP="004E461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放空火炬长明灯废气：</w:t>
            </w:r>
            <w:r w:rsidR="00507764" w:rsidRPr="00092862">
              <w:rPr>
                <w:rFonts w:ascii="Times New Roman" w:eastAsia="宋体" w:hAnsi="Times New Roman" w:cs="Times New Roman"/>
                <w:color w:val="000000" w:themeColor="text1"/>
                <w:szCs w:val="21"/>
              </w:rPr>
              <w:t>依托</w:t>
            </w:r>
            <w:r w:rsidR="00507764" w:rsidRPr="00092862">
              <w:rPr>
                <w:rFonts w:ascii="Times New Roman" w:eastAsia="宋体" w:hAnsi="Times New Roman" w:cs="Times New Roman"/>
                <w:color w:val="000000" w:themeColor="text1"/>
                <w:szCs w:val="21"/>
              </w:rPr>
              <w:t>60m</w:t>
            </w:r>
            <w:r w:rsidR="00507764" w:rsidRPr="00092862">
              <w:rPr>
                <w:rFonts w:ascii="Times New Roman" w:eastAsia="宋体" w:hAnsi="Times New Roman" w:cs="Times New Roman"/>
                <w:color w:val="000000" w:themeColor="text1"/>
                <w:szCs w:val="21"/>
              </w:rPr>
              <w:t>高</w:t>
            </w:r>
            <w:r w:rsidRPr="00092862">
              <w:rPr>
                <w:rFonts w:ascii="Times New Roman" w:eastAsia="宋体" w:hAnsi="Times New Roman" w:cs="Times New Roman"/>
                <w:color w:val="000000" w:themeColor="text1"/>
                <w:szCs w:val="21"/>
              </w:rPr>
              <w:t>放空火炬排放</w:t>
            </w:r>
          </w:p>
        </w:tc>
        <w:tc>
          <w:tcPr>
            <w:tcW w:w="1134" w:type="dxa"/>
            <w:noWrap/>
            <w:vAlign w:val="center"/>
          </w:tcPr>
          <w:p w14:paraId="561F9B66" w14:textId="318E2AF9"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15996DED" w14:textId="599B3F26" w:rsidR="007E09BF" w:rsidRPr="00092862" w:rsidRDefault="004E461D"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4F1629A8" w14:textId="77777777" w:rsidTr="008E0CFF">
        <w:trPr>
          <w:cantSplit/>
          <w:jc w:val="center"/>
        </w:trPr>
        <w:tc>
          <w:tcPr>
            <w:tcW w:w="1166" w:type="dxa"/>
            <w:vMerge/>
            <w:noWrap/>
            <w:vAlign w:val="center"/>
          </w:tcPr>
          <w:p w14:paraId="09231185" w14:textId="77777777"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p>
        </w:tc>
        <w:tc>
          <w:tcPr>
            <w:tcW w:w="814" w:type="dxa"/>
            <w:noWrap/>
            <w:vAlign w:val="center"/>
          </w:tcPr>
          <w:p w14:paraId="2163DEAE" w14:textId="14A116BB"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w:t>
            </w:r>
          </w:p>
        </w:tc>
        <w:tc>
          <w:tcPr>
            <w:tcW w:w="3827" w:type="dxa"/>
            <w:vAlign w:val="center"/>
          </w:tcPr>
          <w:p w14:paraId="0F627801" w14:textId="5AD6AC71"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本项目输气采取气液混输工艺，试采期</w:t>
            </w:r>
            <w:r w:rsidR="00302AAA" w:rsidRPr="00092862">
              <w:rPr>
                <w:rFonts w:ascii="Times New Roman" w:eastAsia="宋体" w:hAnsi="Times New Roman" w:cs="Times New Roman"/>
                <w:color w:val="000000" w:themeColor="text1"/>
                <w:szCs w:val="21"/>
              </w:rPr>
              <w:t>计量</w:t>
            </w:r>
            <w:r w:rsidRPr="00092862">
              <w:rPr>
                <w:rFonts w:ascii="Times New Roman" w:eastAsia="宋体" w:hAnsi="Times New Roman" w:cs="Times New Roman"/>
                <w:color w:val="000000" w:themeColor="text1"/>
                <w:szCs w:val="21"/>
              </w:rPr>
              <w:t>分离器产生少量气田水经</w:t>
            </w:r>
            <w:r w:rsidR="003C3238" w:rsidRPr="00092862">
              <w:rPr>
                <w:rFonts w:ascii="Times New Roman" w:eastAsia="宋体" w:hAnsi="Times New Roman" w:cs="Times New Roman"/>
                <w:color w:val="000000" w:themeColor="text1"/>
                <w:szCs w:val="21"/>
              </w:rPr>
              <w:t>老君</w:t>
            </w:r>
            <w:r w:rsidR="003C3238" w:rsidRPr="00092862">
              <w:rPr>
                <w:rFonts w:ascii="Times New Roman" w:eastAsia="宋体" w:hAnsi="Times New Roman" w:cs="Times New Roman"/>
                <w:color w:val="000000" w:themeColor="text1"/>
                <w:szCs w:val="21"/>
              </w:rPr>
              <w:t>701</w:t>
            </w:r>
            <w:r w:rsidR="004E461D" w:rsidRPr="00092862">
              <w:rPr>
                <w:rFonts w:ascii="Times New Roman" w:eastAsia="宋体" w:hAnsi="Times New Roman" w:cs="Times New Roman"/>
                <w:color w:val="000000" w:themeColor="text1"/>
                <w:szCs w:val="21"/>
              </w:rPr>
              <w:t>集气站已建</w:t>
            </w:r>
            <w:r w:rsidRPr="00092862">
              <w:rPr>
                <w:rFonts w:ascii="Times New Roman" w:eastAsia="宋体" w:hAnsi="Times New Roman" w:cs="Times New Roman"/>
                <w:color w:val="000000" w:themeColor="text1"/>
                <w:szCs w:val="21"/>
              </w:rPr>
              <w:t>的</w:t>
            </w:r>
            <w:r w:rsidR="00DD4FA1" w:rsidRPr="00092862">
              <w:rPr>
                <w:rFonts w:ascii="Times New Roman" w:eastAsia="宋体" w:hAnsi="Times New Roman" w:cs="Times New Roman"/>
                <w:color w:val="000000" w:themeColor="text1"/>
                <w:szCs w:val="21"/>
              </w:rPr>
              <w:t>火炬分液罐</w:t>
            </w:r>
            <w:r w:rsidRPr="00092862">
              <w:rPr>
                <w:rFonts w:ascii="Times New Roman" w:eastAsia="宋体" w:hAnsi="Times New Roman" w:cs="Times New Roman"/>
                <w:color w:val="000000" w:themeColor="text1"/>
                <w:szCs w:val="21"/>
              </w:rPr>
              <w:t>暂存，暂存一定量后密闭罐车</w:t>
            </w:r>
            <w:r w:rsidR="005D5A22" w:rsidRPr="00092862">
              <w:rPr>
                <w:rFonts w:ascii="Times New Roman" w:eastAsia="宋体" w:hAnsi="Times New Roman" w:cs="Times New Roman"/>
                <w:color w:val="000000" w:themeColor="text1"/>
                <w:szCs w:val="21"/>
              </w:rPr>
              <w:t>运至赵家坝污水处理站</w:t>
            </w:r>
            <w:r w:rsidRPr="00092862">
              <w:rPr>
                <w:rFonts w:ascii="Times New Roman" w:eastAsia="宋体" w:hAnsi="Times New Roman" w:cs="Times New Roman"/>
                <w:color w:val="000000" w:themeColor="text1"/>
                <w:szCs w:val="21"/>
              </w:rPr>
              <w:t>处理达到《气田水回注方法》（</w:t>
            </w:r>
            <w:r w:rsidRPr="00092862">
              <w:rPr>
                <w:rFonts w:ascii="Times New Roman" w:eastAsia="宋体" w:hAnsi="Times New Roman" w:cs="Times New Roman"/>
                <w:color w:val="000000" w:themeColor="text1"/>
                <w:szCs w:val="21"/>
              </w:rPr>
              <w:t>SY/T 6596-2016</w:t>
            </w:r>
            <w:r w:rsidRPr="00092862">
              <w:rPr>
                <w:rFonts w:ascii="Times New Roman" w:eastAsia="宋体" w:hAnsi="Times New Roman" w:cs="Times New Roman"/>
                <w:color w:val="000000" w:themeColor="text1"/>
                <w:szCs w:val="21"/>
              </w:rPr>
              <w:t>）中注入水基本要求后管输至</w:t>
            </w:r>
            <w:r w:rsidR="005D5A22" w:rsidRPr="00092862">
              <w:rPr>
                <w:rFonts w:ascii="Times New Roman" w:eastAsia="宋体" w:hAnsi="Times New Roman" w:cs="Times New Roman"/>
                <w:color w:val="000000" w:themeColor="text1"/>
                <w:szCs w:val="21"/>
              </w:rPr>
              <w:t>普光</w:t>
            </w:r>
            <w:r w:rsidR="005D5A22" w:rsidRPr="00092862">
              <w:rPr>
                <w:rFonts w:ascii="Times New Roman" w:eastAsia="宋体" w:hAnsi="Times New Roman" w:cs="Times New Roman"/>
                <w:color w:val="000000" w:themeColor="text1"/>
                <w:szCs w:val="21"/>
              </w:rPr>
              <w:t>11</w:t>
            </w:r>
            <w:r w:rsidR="005D5A22" w:rsidRPr="00092862">
              <w:rPr>
                <w:rFonts w:ascii="Times New Roman" w:eastAsia="宋体" w:hAnsi="Times New Roman" w:cs="Times New Roman"/>
                <w:color w:val="000000" w:themeColor="text1"/>
                <w:szCs w:val="21"/>
              </w:rPr>
              <w:t>井回注站</w:t>
            </w:r>
            <w:r w:rsidRPr="00092862">
              <w:rPr>
                <w:rFonts w:ascii="Times New Roman" w:eastAsia="宋体" w:hAnsi="Times New Roman" w:cs="Times New Roman"/>
                <w:color w:val="000000" w:themeColor="text1"/>
                <w:szCs w:val="21"/>
              </w:rPr>
              <w:t>回注处理，不外排</w:t>
            </w:r>
          </w:p>
        </w:tc>
        <w:tc>
          <w:tcPr>
            <w:tcW w:w="1134" w:type="dxa"/>
            <w:noWrap/>
            <w:vAlign w:val="center"/>
          </w:tcPr>
          <w:p w14:paraId="4FA27A15" w14:textId="6C85A46D"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2732488E" w14:textId="780ED04A" w:rsidR="007E09BF" w:rsidRPr="00092862" w:rsidRDefault="0012569E"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44D14B85" w14:textId="77777777" w:rsidTr="008E0CFF">
        <w:trPr>
          <w:cantSplit/>
          <w:jc w:val="center"/>
        </w:trPr>
        <w:tc>
          <w:tcPr>
            <w:tcW w:w="1166" w:type="dxa"/>
            <w:vMerge/>
            <w:noWrap/>
            <w:vAlign w:val="center"/>
          </w:tcPr>
          <w:p w14:paraId="191C72D2" w14:textId="77777777"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p>
        </w:tc>
        <w:tc>
          <w:tcPr>
            <w:tcW w:w="814" w:type="dxa"/>
            <w:noWrap/>
            <w:vAlign w:val="center"/>
          </w:tcPr>
          <w:p w14:paraId="736D9862" w14:textId="0FE264E1"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w:t>
            </w:r>
          </w:p>
        </w:tc>
        <w:tc>
          <w:tcPr>
            <w:tcW w:w="3827" w:type="dxa"/>
            <w:vAlign w:val="center"/>
          </w:tcPr>
          <w:p w14:paraId="4E7BED59" w14:textId="17F26A34" w:rsidR="007E09BF" w:rsidRPr="00092862" w:rsidRDefault="0012569E"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管理楼处设置垃圾桶，定期交由普光镇环卫部门处置</w:t>
            </w:r>
          </w:p>
        </w:tc>
        <w:tc>
          <w:tcPr>
            <w:tcW w:w="1134" w:type="dxa"/>
            <w:noWrap/>
            <w:vAlign w:val="center"/>
          </w:tcPr>
          <w:p w14:paraId="034D5204" w14:textId="46AEE2E0"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48501F65" w14:textId="69F8A253" w:rsidR="007E09BF" w:rsidRPr="00092862" w:rsidRDefault="0012569E"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6351BA66" w14:textId="77777777" w:rsidTr="008E0CFF">
        <w:trPr>
          <w:cantSplit/>
          <w:jc w:val="center"/>
        </w:trPr>
        <w:tc>
          <w:tcPr>
            <w:tcW w:w="1166" w:type="dxa"/>
            <w:vMerge/>
            <w:noWrap/>
            <w:vAlign w:val="center"/>
          </w:tcPr>
          <w:p w14:paraId="44C060EE" w14:textId="77777777"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p>
        </w:tc>
        <w:tc>
          <w:tcPr>
            <w:tcW w:w="814" w:type="dxa"/>
            <w:noWrap/>
            <w:vAlign w:val="center"/>
          </w:tcPr>
          <w:p w14:paraId="23535CF6" w14:textId="505E4948"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风险</w:t>
            </w:r>
          </w:p>
        </w:tc>
        <w:tc>
          <w:tcPr>
            <w:tcW w:w="3827" w:type="dxa"/>
            <w:vAlign w:val="center"/>
          </w:tcPr>
          <w:p w14:paraId="5021FC51" w14:textId="058FC11D"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事故放空：事故状态下站场内天然气通过</w:t>
            </w:r>
            <w:r w:rsidR="003C3238" w:rsidRPr="00092862">
              <w:rPr>
                <w:rFonts w:ascii="Times New Roman" w:eastAsia="宋体" w:hAnsi="Times New Roman" w:cs="Times New Roman"/>
                <w:color w:val="000000" w:themeColor="text1"/>
                <w:szCs w:val="21"/>
              </w:rPr>
              <w:t>老君</w:t>
            </w:r>
            <w:r w:rsidR="003C3238" w:rsidRPr="00092862">
              <w:rPr>
                <w:rFonts w:ascii="Times New Roman" w:eastAsia="宋体" w:hAnsi="Times New Roman" w:cs="Times New Roman"/>
                <w:color w:val="000000" w:themeColor="text1"/>
                <w:szCs w:val="21"/>
              </w:rPr>
              <w:t>701</w:t>
            </w:r>
            <w:r w:rsidR="0012569E" w:rsidRPr="00092862">
              <w:rPr>
                <w:rFonts w:ascii="Times New Roman" w:eastAsia="宋体" w:hAnsi="Times New Roman" w:cs="Times New Roman"/>
                <w:color w:val="000000" w:themeColor="text1"/>
                <w:szCs w:val="21"/>
              </w:rPr>
              <w:t>集气站</w:t>
            </w:r>
            <w:r w:rsidRPr="00092862">
              <w:rPr>
                <w:rFonts w:ascii="Times New Roman" w:eastAsia="宋体" w:hAnsi="Times New Roman" w:cs="Times New Roman"/>
                <w:color w:val="000000" w:themeColor="text1"/>
                <w:szCs w:val="21"/>
              </w:rPr>
              <w:t>的放空火炬燃烧排放</w:t>
            </w:r>
          </w:p>
        </w:tc>
        <w:tc>
          <w:tcPr>
            <w:tcW w:w="1134" w:type="dxa"/>
            <w:noWrap/>
            <w:vAlign w:val="center"/>
          </w:tcPr>
          <w:p w14:paraId="42D99D0C" w14:textId="0FD500B0"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316AA53C" w14:textId="1AE2660E" w:rsidR="007E09BF" w:rsidRPr="00092862" w:rsidRDefault="0012569E"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3AF22C8E" w14:textId="77777777" w:rsidTr="008E0CFF">
        <w:trPr>
          <w:cantSplit/>
          <w:jc w:val="center"/>
        </w:trPr>
        <w:tc>
          <w:tcPr>
            <w:tcW w:w="1166" w:type="dxa"/>
            <w:vMerge/>
            <w:noWrap/>
            <w:vAlign w:val="center"/>
          </w:tcPr>
          <w:p w14:paraId="6C9F40BC" w14:textId="77777777"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p>
        </w:tc>
        <w:tc>
          <w:tcPr>
            <w:tcW w:w="814" w:type="dxa"/>
            <w:noWrap/>
            <w:vAlign w:val="center"/>
          </w:tcPr>
          <w:p w14:paraId="34835E1D" w14:textId="22466C0B"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生态保护</w:t>
            </w:r>
          </w:p>
        </w:tc>
        <w:tc>
          <w:tcPr>
            <w:tcW w:w="3827" w:type="dxa"/>
            <w:vAlign w:val="center"/>
          </w:tcPr>
          <w:p w14:paraId="2EBE5514" w14:textId="7A71F096"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站场周边修建排水沟，进行绿化建设</w:t>
            </w:r>
          </w:p>
        </w:tc>
        <w:tc>
          <w:tcPr>
            <w:tcW w:w="1134" w:type="dxa"/>
            <w:noWrap/>
            <w:vAlign w:val="center"/>
          </w:tcPr>
          <w:p w14:paraId="56D2B23C" w14:textId="111EE50D"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6C0C9D0F" w14:textId="1CEF131D" w:rsidR="007E09BF" w:rsidRPr="00092862" w:rsidRDefault="0012569E"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w:t>
            </w:r>
          </w:p>
        </w:tc>
      </w:tr>
      <w:tr w:rsidR="00697429" w:rsidRPr="00092862" w14:paraId="4ED50952" w14:textId="77777777" w:rsidTr="008E0CFF">
        <w:trPr>
          <w:cantSplit/>
          <w:jc w:val="center"/>
        </w:trPr>
        <w:tc>
          <w:tcPr>
            <w:tcW w:w="1166" w:type="dxa"/>
            <w:noWrap/>
            <w:vAlign w:val="center"/>
          </w:tcPr>
          <w:p w14:paraId="36903501" w14:textId="3A61E818"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风险防范措施</w:t>
            </w:r>
          </w:p>
        </w:tc>
        <w:tc>
          <w:tcPr>
            <w:tcW w:w="4641" w:type="dxa"/>
            <w:gridSpan w:val="2"/>
            <w:noWrap/>
            <w:vAlign w:val="center"/>
          </w:tcPr>
          <w:p w14:paraId="554E440C" w14:textId="5911C040"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项目建成后运行过程中风险依托现有设施、设备，应急预案依托项目所属的中国石油化工股份有限公司中原油田普光分公司编制的应急预案</w:t>
            </w:r>
          </w:p>
        </w:tc>
        <w:tc>
          <w:tcPr>
            <w:tcW w:w="1134" w:type="dxa"/>
            <w:noWrap/>
            <w:vAlign w:val="center"/>
          </w:tcPr>
          <w:p w14:paraId="369574A6" w14:textId="6F786014"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359" w:type="dxa"/>
            <w:noWrap/>
            <w:vAlign w:val="center"/>
          </w:tcPr>
          <w:p w14:paraId="1EA8DA8D" w14:textId="61D87018" w:rsidR="007E09BF" w:rsidRPr="00092862" w:rsidRDefault="007E09BF" w:rsidP="007E09B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bl>
    <w:p w14:paraId="649B9556" w14:textId="04317441"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95" w:name="_Toc120173102"/>
      <w:r w:rsidRPr="00092862">
        <w:rPr>
          <w:rFonts w:ascii="Times New Roman" w:eastAsia="黑体" w:hAnsi="Times New Roman"/>
          <w:b w:val="0"/>
          <w:color w:val="000000" w:themeColor="text1"/>
          <w:sz w:val="24"/>
          <w:szCs w:val="24"/>
          <w:lang w:eastAsia="zh-CN"/>
        </w:rPr>
        <w:t>3.2.</w:t>
      </w:r>
      <w:r w:rsidR="007A352E" w:rsidRPr="00092862">
        <w:rPr>
          <w:rFonts w:ascii="Times New Roman" w:eastAsia="黑体" w:hAnsi="Times New Roman"/>
          <w:b w:val="0"/>
          <w:color w:val="000000" w:themeColor="text1"/>
          <w:sz w:val="24"/>
          <w:szCs w:val="24"/>
          <w:lang w:eastAsia="zh-CN"/>
        </w:rPr>
        <w:t>4</w:t>
      </w:r>
      <w:r w:rsidRPr="00092862">
        <w:rPr>
          <w:rFonts w:ascii="Times New Roman" w:eastAsia="黑体" w:hAnsi="Times New Roman"/>
          <w:b w:val="0"/>
          <w:color w:val="000000" w:themeColor="text1"/>
          <w:sz w:val="24"/>
          <w:szCs w:val="24"/>
          <w:lang w:eastAsia="zh-CN"/>
        </w:rPr>
        <w:t>主要设备</w:t>
      </w:r>
      <w:bookmarkEnd w:id="95"/>
    </w:p>
    <w:p w14:paraId="3FBCE6FF" w14:textId="77777777" w:rsidR="00DC446C" w:rsidRPr="00092862" w:rsidRDefault="00047E3B" w:rsidP="00047E3B">
      <w:pPr>
        <w:autoSpaceDE w:val="0"/>
        <w:autoSpaceDN w:val="0"/>
        <w:adjustRightInd w:val="0"/>
        <w:snapToGrid w:val="0"/>
        <w:spacing w:line="360" w:lineRule="auto"/>
        <w:ind w:firstLineChars="200" w:firstLine="480"/>
        <w:textAlignment w:val="baseline"/>
        <w:rPr>
          <w:rFonts w:ascii="Times New Roman" w:eastAsia="宋体" w:hAnsi="Times New Roman" w:cs="Times New Roman"/>
          <w:color w:val="000000" w:themeColor="text1"/>
          <w:sz w:val="24"/>
          <w:szCs w:val="24"/>
        </w:rPr>
      </w:pPr>
      <w:bookmarkStart w:id="96" w:name="3.2.4总平面布置及其合理性分析"/>
      <w:bookmarkStart w:id="97" w:name="3.2.3原辅材料及用量"/>
      <w:bookmarkStart w:id="98" w:name="3.2.5公用工程"/>
      <w:bookmarkEnd w:id="96"/>
      <w:bookmarkEnd w:id="97"/>
      <w:bookmarkEnd w:id="98"/>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003B1968" w:rsidRPr="00092862">
        <w:rPr>
          <w:rFonts w:ascii="Times New Roman" w:eastAsia="宋体" w:hAnsi="Times New Roman" w:cs="Times New Roman"/>
          <w:color w:val="000000" w:themeColor="text1"/>
          <w:sz w:val="24"/>
          <w:szCs w:val="24"/>
        </w:rPr>
        <w:t>施工期</w:t>
      </w:r>
    </w:p>
    <w:p w14:paraId="2E7AA55A" w14:textId="6B418FD8" w:rsidR="00DC446C" w:rsidRPr="00092862" w:rsidRDefault="003B1968" w:rsidP="00047E3B">
      <w:pPr>
        <w:autoSpaceDE w:val="0"/>
        <w:autoSpaceDN w:val="0"/>
        <w:adjustRightInd w:val="0"/>
        <w:snapToGrid w:val="0"/>
        <w:spacing w:line="360" w:lineRule="auto"/>
        <w:ind w:firstLineChars="200" w:firstLine="480"/>
        <w:textAlignment w:val="baseline"/>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本项目根据项目所在地地层实际情况，本项目采用机械钻机，为</w:t>
      </w:r>
      <w:r w:rsidR="00507764" w:rsidRPr="00092862">
        <w:rPr>
          <w:rFonts w:ascii="Times New Roman" w:eastAsia="宋体" w:hAnsi="Times New Roman" w:cs="Times New Roman"/>
          <w:color w:val="000000" w:themeColor="text1"/>
          <w:sz w:val="24"/>
          <w:szCs w:val="24"/>
        </w:rPr>
        <w:t>ZJ70</w:t>
      </w:r>
      <w:r w:rsidRPr="00092862">
        <w:rPr>
          <w:rFonts w:ascii="Times New Roman" w:eastAsia="宋体" w:hAnsi="Times New Roman" w:cs="Times New Roman"/>
          <w:color w:val="000000" w:themeColor="text1"/>
          <w:sz w:val="24"/>
          <w:szCs w:val="24"/>
        </w:rPr>
        <w:t>钻机</w:t>
      </w:r>
      <w:r w:rsidR="00A272DC" w:rsidRPr="00092862">
        <w:rPr>
          <w:rFonts w:ascii="Times New Roman" w:eastAsia="宋体" w:hAnsi="Times New Roman" w:cs="Times New Roman"/>
          <w:color w:val="000000" w:themeColor="text1"/>
          <w:sz w:val="24"/>
          <w:szCs w:val="24"/>
        </w:rPr>
        <w:t>，</w:t>
      </w:r>
      <w:r w:rsidR="00A272DC" w:rsidRPr="00092862">
        <w:rPr>
          <w:rFonts w:ascii="Times New Roman" w:eastAsia="宋体" w:hAnsi="Times New Roman" w:cs="Times New Roman"/>
          <w:color w:val="000000" w:themeColor="text1"/>
          <w:sz w:val="24"/>
          <w:szCs w:val="24"/>
        </w:rPr>
        <w:lastRenderedPageBreak/>
        <w:t>并配备顶驱装置</w:t>
      </w:r>
      <w:r w:rsidRPr="00092862">
        <w:rPr>
          <w:rFonts w:ascii="Times New Roman" w:eastAsia="宋体" w:hAnsi="Times New Roman" w:cs="Times New Roman"/>
          <w:color w:val="000000" w:themeColor="text1"/>
          <w:sz w:val="24"/>
          <w:szCs w:val="24"/>
        </w:rPr>
        <w:t>。井架设备和井场监控自动化设备共用，泥浆钻井系统（含现场泥浆的调配、储存、循环以及钻井时的井控设施等）独立配置。项目钻</w:t>
      </w:r>
      <w:r w:rsidR="001B5123" w:rsidRPr="00092862">
        <w:rPr>
          <w:rFonts w:ascii="Times New Roman" w:eastAsia="宋体" w:hAnsi="Times New Roman" w:cs="Times New Roman"/>
          <w:color w:val="000000" w:themeColor="text1"/>
          <w:sz w:val="24"/>
          <w:szCs w:val="24"/>
        </w:rPr>
        <w:t>、完</w:t>
      </w:r>
      <w:r w:rsidRPr="00092862">
        <w:rPr>
          <w:rFonts w:ascii="Times New Roman" w:eastAsia="宋体" w:hAnsi="Times New Roman" w:cs="Times New Roman"/>
          <w:color w:val="000000" w:themeColor="text1"/>
          <w:sz w:val="24"/>
          <w:szCs w:val="24"/>
        </w:rPr>
        <w:t>井工程所用设备见表</w:t>
      </w:r>
      <w:r w:rsidR="00FF312D" w:rsidRPr="00092862">
        <w:rPr>
          <w:rFonts w:ascii="Times New Roman" w:eastAsia="宋体" w:hAnsi="Times New Roman" w:cs="Times New Roman"/>
          <w:color w:val="000000" w:themeColor="text1"/>
          <w:sz w:val="24"/>
          <w:szCs w:val="24"/>
        </w:rPr>
        <w:t>3.2-</w:t>
      </w:r>
      <w:r w:rsidR="001F5ACB" w:rsidRPr="00092862">
        <w:rPr>
          <w:rFonts w:ascii="Times New Roman" w:eastAsia="宋体" w:hAnsi="Times New Roman" w:cs="Times New Roman"/>
          <w:color w:val="000000" w:themeColor="text1"/>
          <w:sz w:val="24"/>
          <w:szCs w:val="24"/>
        </w:rPr>
        <w:t>16</w:t>
      </w:r>
      <w:r w:rsidRPr="00092862">
        <w:rPr>
          <w:rFonts w:ascii="Times New Roman" w:eastAsia="宋体" w:hAnsi="Times New Roman" w:cs="Times New Roman"/>
          <w:color w:val="000000" w:themeColor="text1"/>
          <w:sz w:val="24"/>
          <w:szCs w:val="24"/>
        </w:rPr>
        <w:t>。</w:t>
      </w:r>
    </w:p>
    <w:p w14:paraId="32264224" w14:textId="743E8229"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FF312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16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本项目钻井工程所用主要设施一览表</w:t>
      </w:r>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2770"/>
        <w:gridCol w:w="1696"/>
        <w:gridCol w:w="1445"/>
        <w:gridCol w:w="1514"/>
      </w:tblGrid>
      <w:tr w:rsidR="00697429" w:rsidRPr="00092862" w14:paraId="444E6313" w14:textId="77777777" w:rsidTr="00813B2A">
        <w:trPr>
          <w:cantSplit/>
          <w:trHeight w:val="241"/>
          <w:jc w:val="center"/>
        </w:trPr>
        <w:tc>
          <w:tcPr>
            <w:tcW w:w="0" w:type="auto"/>
            <w:vMerge w:val="restart"/>
            <w:vAlign w:val="center"/>
          </w:tcPr>
          <w:p w14:paraId="7B7FF7C0" w14:textId="77777777" w:rsidR="001B5123" w:rsidRPr="00092862" w:rsidRDefault="001B5123" w:rsidP="00E74664">
            <w:pPr>
              <w:pStyle w:val="afffff7"/>
              <w:rPr>
                <w:b/>
                <w:bCs/>
                <w:color w:val="000000" w:themeColor="text1"/>
              </w:rPr>
            </w:pPr>
            <w:r w:rsidRPr="00092862">
              <w:rPr>
                <w:b/>
                <w:bCs/>
                <w:color w:val="000000" w:themeColor="text1"/>
              </w:rPr>
              <w:t>序号</w:t>
            </w:r>
          </w:p>
        </w:tc>
        <w:tc>
          <w:tcPr>
            <w:tcW w:w="0" w:type="auto"/>
            <w:vMerge w:val="restart"/>
            <w:vAlign w:val="center"/>
          </w:tcPr>
          <w:p w14:paraId="7750769C" w14:textId="77777777" w:rsidR="001B5123" w:rsidRPr="00092862" w:rsidRDefault="001B5123" w:rsidP="00E74664">
            <w:pPr>
              <w:pStyle w:val="afffff7"/>
              <w:rPr>
                <w:b/>
                <w:bCs/>
                <w:color w:val="000000" w:themeColor="text1"/>
              </w:rPr>
            </w:pPr>
            <w:r w:rsidRPr="00092862">
              <w:rPr>
                <w:b/>
                <w:bCs/>
                <w:color w:val="000000" w:themeColor="text1"/>
              </w:rPr>
              <w:t>设备或部件名称</w:t>
            </w:r>
          </w:p>
        </w:tc>
        <w:tc>
          <w:tcPr>
            <w:tcW w:w="0" w:type="auto"/>
            <w:vMerge w:val="restart"/>
            <w:vAlign w:val="center"/>
          </w:tcPr>
          <w:p w14:paraId="64E3343C" w14:textId="77777777" w:rsidR="001B5123" w:rsidRPr="00092862" w:rsidRDefault="001B5123" w:rsidP="00E74664">
            <w:pPr>
              <w:pStyle w:val="afffff7"/>
              <w:rPr>
                <w:b/>
                <w:bCs/>
                <w:color w:val="000000" w:themeColor="text1"/>
              </w:rPr>
            </w:pPr>
            <w:r w:rsidRPr="00092862">
              <w:rPr>
                <w:b/>
                <w:bCs/>
                <w:color w:val="000000" w:themeColor="text1"/>
              </w:rPr>
              <w:t>规格型号</w:t>
            </w:r>
          </w:p>
        </w:tc>
        <w:tc>
          <w:tcPr>
            <w:tcW w:w="0" w:type="auto"/>
            <w:vMerge w:val="restart"/>
            <w:vAlign w:val="center"/>
          </w:tcPr>
          <w:p w14:paraId="7B57BB7C" w14:textId="77777777" w:rsidR="001B5123" w:rsidRPr="00092862" w:rsidRDefault="001B5123" w:rsidP="00E74664">
            <w:pPr>
              <w:pStyle w:val="afffff7"/>
              <w:rPr>
                <w:b/>
                <w:bCs/>
                <w:color w:val="000000" w:themeColor="text1"/>
              </w:rPr>
            </w:pPr>
            <w:r w:rsidRPr="00092862">
              <w:rPr>
                <w:b/>
                <w:bCs/>
                <w:color w:val="000000" w:themeColor="text1"/>
              </w:rPr>
              <w:t>主参数</w:t>
            </w:r>
          </w:p>
        </w:tc>
        <w:tc>
          <w:tcPr>
            <w:tcW w:w="0" w:type="auto"/>
            <w:vMerge w:val="restart"/>
            <w:vAlign w:val="center"/>
          </w:tcPr>
          <w:p w14:paraId="6FC06E25" w14:textId="77777777" w:rsidR="001B5123" w:rsidRPr="00092862" w:rsidRDefault="001B5123" w:rsidP="00E74664">
            <w:pPr>
              <w:pStyle w:val="afffff7"/>
              <w:rPr>
                <w:b/>
                <w:bCs/>
                <w:color w:val="000000" w:themeColor="text1"/>
              </w:rPr>
            </w:pPr>
            <w:r w:rsidRPr="00092862">
              <w:rPr>
                <w:b/>
                <w:bCs/>
                <w:color w:val="000000" w:themeColor="text1"/>
              </w:rPr>
              <w:t>台</w:t>
            </w:r>
          </w:p>
        </w:tc>
      </w:tr>
      <w:tr w:rsidR="00697429" w:rsidRPr="00092862" w14:paraId="16E0C553" w14:textId="77777777" w:rsidTr="00813B2A">
        <w:trPr>
          <w:cantSplit/>
          <w:trHeight w:val="241"/>
          <w:jc w:val="center"/>
        </w:trPr>
        <w:tc>
          <w:tcPr>
            <w:tcW w:w="0" w:type="auto"/>
            <w:vMerge/>
            <w:vAlign w:val="center"/>
          </w:tcPr>
          <w:p w14:paraId="0E3B9D75" w14:textId="77777777" w:rsidR="001B5123" w:rsidRPr="00092862" w:rsidRDefault="001B5123" w:rsidP="00E74664">
            <w:pPr>
              <w:pStyle w:val="afffff7"/>
              <w:rPr>
                <w:b/>
                <w:bCs/>
                <w:color w:val="000000" w:themeColor="text1"/>
              </w:rPr>
            </w:pPr>
          </w:p>
        </w:tc>
        <w:tc>
          <w:tcPr>
            <w:tcW w:w="0" w:type="auto"/>
            <w:vMerge/>
            <w:vAlign w:val="center"/>
          </w:tcPr>
          <w:p w14:paraId="201444E8" w14:textId="77777777" w:rsidR="001B5123" w:rsidRPr="00092862" w:rsidRDefault="001B5123" w:rsidP="00E74664">
            <w:pPr>
              <w:pStyle w:val="afffff7"/>
              <w:rPr>
                <w:b/>
                <w:bCs/>
                <w:color w:val="000000" w:themeColor="text1"/>
              </w:rPr>
            </w:pPr>
          </w:p>
        </w:tc>
        <w:tc>
          <w:tcPr>
            <w:tcW w:w="0" w:type="auto"/>
            <w:vMerge/>
            <w:vAlign w:val="center"/>
          </w:tcPr>
          <w:p w14:paraId="44A442FC" w14:textId="77777777" w:rsidR="001B5123" w:rsidRPr="00092862" w:rsidRDefault="001B5123" w:rsidP="00E74664">
            <w:pPr>
              <w:pStyle w:val="afffff7"/>
              <w:rPr>
                <w:b/>
                <w:bCs/>
                <w:color w:val="000000" w:themeColor="text1"/>
              </w:rPr>
            </w:pPr>
          </w:p>
        </w:tc>
        <w:tc>
          <w:tcPr>
            <w:tcW w:w="0" w:type="auto"/>
            <w:vMerge/>
            <w:vAlign w:val="center"/>
          </w:tcPr>
          <w:p w14:paraId="6CAA9B0E" w14:textId="77777777" w:rsidR="001B5123" w:rsidRPr="00092862" w:rsidRDefault="001B5123" w:rsidP="00E74664">
            <w:pPr>
              <w:pStyle w:val="afffff7"/>
              <w:rPr>
                <w:b/>
                <w:bCs/>
                <w:color w:val="000000" w:themeColor="text1"/>
              </w:rPr>
            </w:pPr>
          </w:p>
        </w:tc>
        <w:tc>
          <w:tcPr>
            <w:tcW w:w="0" w:type="auto"/>
            <w:vMerge/>
            <w:vAlign w:val="center"/>
          </w:tcPr>
          <w:p w14:paraId="680B5C4C" w14:textId="77777777" w:rsidR="001B5123" w:rsidRPr="00092862" w:rsidRDefault="001B5123" w:rsidP="00E74664">
            <w:pPr>
              <w:pStyle w:val="afffff7"/>
              <w:rPr>
                <w:b/>
                <w:bCs/>
                <w:color w:val="000000" w:themeColor="text1"/>
              </w:rPr>
            </w:pPr>
          </w:p>
        </w:tc>
      </w:tr>
      <w:tr w:rsidR="00697429" w:rsidRPr="00092862" w14:paraId="259FEE47" w14:textId="77777777" w:rsidTr="00813B2A">
        <w:trPr>
          <w:cantSplit/>
          <w:trHeight w:val="271"/>
          <w:jc w:val="center"/>
        </w:trPr>
        <w:tc>
          <w:tcPr>
            <w:tcW w:w="0" w:type="auto"/>
            <w:vAlign w:val="center"/>
          </w:tcPr>
          <w:p w14:paraId="47FEC257" w14:textId="77777777" w:rsidR="001B5123" w:rsidRPr="00092862" w:rsidRDefault="001B5123" w:rsidP="00E74664">
            <w:pPr>
              <w:pStyle w:val="afffff7"/>
              <w:rPr>
                <w:color w:val="000000" w:themeColor="text1"/>
              </w:rPr>
            </w:pPr>
            <w:r w:rsidRPr="00092862">
              <w:rPr>
                <w:color w:val="000000" w:themeColor="text1"/>
              </w:rPr>
              <w:t>一</w:t>
            </w:r>
          </w:p>
        </w:tc>
        <w:tc>
          <w:tcPr>
            <w:tcW w:w="0" w:type="auto"/>
            <w:gridSpan w:val="4"/>
            <w:vAlign w:val="center"/>
          </w:tcPr>
          <w:p w14:paraId="13725E7F" w14:textId="77777777" w:rsidR="001B5123" w:rsidRPr="00092862" w:rsidRDefault="001B5123" w:rsidP="00E74664">
            <w:pPr>
              <w:pStyle w:val="afffff7"/>
              <w:rPr>
                <w:color w:val="000000" w:themeColor="text1"/>
              </w:rPr>
            </w:pPr>
            <w:r w:rsidRPr="00092862">
              <w:rPr>
                <w:color w:val="000000" w:themeColor="text1"/>
              </w:rPr>
              <w:t>钻井设备</w:t>
            </w:r>
          </w:p>
        </w:tc>
      </w:tr>
      <w:tr w:rsidR="00697429" w:rsidRPr="00092862" w14:paraId="53037AAE" w14:textId="77777777" w:rsidTr="00813B2A">
        <w:trPr>
          <w:cantSplit/>
          <w:trHeight w:val="260"/>
          <w:jc w:val="center"/>
        </w:trPr>
        <w:tc>
          <w:tcPr>
            <w:tcW w:w="0" w:type="auto"/>
            <w:vAlign w:val="center"/>
          </w:tcPr>
          <w:p w14:paraId="0384DFDB" w14:textId="77777777" w:rsidR="001B5123" w:rsidRPr="00092862" w:rsidRDefault="001B5123" w:rsidP="00E74664">
            <w:pPr>
              <w:pStyle w:val="afffff7"/>
              <w:rPr>
                <w:color w:val="000000" w:themeColor="text1"/>
              </w:rPr>
            </w:pPr>
            <w:r w:rsidRPr="00092862">
              <w:rPr>
                <w:color w:val="000000" w:themeColor="text1"/>
              </w:rPr>
              <w:t>1</w:t>
            </w:r>
          </w:p>
        </w:tc>
        <w:tc>
          <w:tcPr>
            <w:tcW w:w="0" w:type="auto"/>
            <w:vAlign w:val="center"/>
          </w:tcPr>
          <w:p w14:paraId="1B8C81AB" w14:textId="77777777" w:rsidR="001B5123" w:rsidRPr="00092862" w:rsidRDefault="001B5123" w:rsidP="00E74664">
            <w:pPr>
              <w:pStyle w:val="afffff7"/>
              <w:rPr>
                <w:color w:val="000000" w:themeColor="text1"/>
              </w:rPr>
            </w:pPr>
            <w:r w:rsidRPr="00092862">
              <w:rPr>
                <w:color w:val="000000" w:themeColor="text1"/>
              </w:rPr>
              <w:t>电动钻机</w:t>
            </w:r>
          </w:p>
        </w:tc>
        <w:tc>
          <w:tcPr>
            <w:tcW w:w="0" w:type="auto"/>
            <w:vAlign w:val="center"/>
          </w:tcPr>
          <w:p w14:paraId="78573DEE" w14:textId="0437AA18" w:rsidR="001B5123" w:rsidRPr="00092862" w:rsidRDefault="00507764" w:rsidP="00E74664">
            <w:pPr>
              <w:pStyle w:val="afffff7"/>
              <w:rPr>
                <w:color w:val="000000" w:themeColor="text1"/>
              </w:rPr>
            </w:pPr>
            <w:r w:rsidRPr="00092862">
              <w:rPr>
                <w:color w:val="000000" w:themeColor="text1"/>
              </w:rPr>
              <w:t>ZJ70</w:t>
            </w:r>
            <w:r w:rsidR="001B5123" w:rsidRPr="00092862">
              <w:rPr>
                <w:color w:val="000000" w:themeColor="text1"/>
              </w:rPr>
              <w:t>LDB</w:t>
            </w:r>
          </w:p>
        </w:tc>
        <w:tc>
          <w:tcPr>
            <w:tcW w:w="0" w:type="auto"/>
            <w:vAlign w:val="center"/>
          </w:tcPr>
          <w:p w14:paraId="45EFD83C" w14:textId="77777777" w:rsidR="001B5123" w:rsidRPr="00092862" w:rsidRDefault="001B5123" w:rsidP="00E74664">
            <w:pPr>
              <w:pStyle w:val="afffff7"/>
              <w:rPr>
                <w:color w:val="000000" w:themeColor="text1"/>
              </w:rPr>
            </w:pPr>
            <w:r w:rsidRPr="00092862">
              <w:rPr>
                <w:color w:val="000000" w:themeColor="text1"/>
              </w:rPr>
              <w:t>3150kN</w:t>
            </w:r>
          </w:p>
        </w:tc>
        <w:tc>
          <w:tcPr>
            <w:tcW w:w="0" w:type="auto"/>
            <w:vAlign w:val="center"/>
          </w:tcPr>
          <w:p w14:paraId="1D474A8B"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EB31402" w14:textId="77777777" w:rsidTr="00813B2A">
        <w:trPr>
          <w:cantSplit/>
          <w:trHeight w:val="271"/>
          <w:jc w:val="center"/>
        </w:trPr>
        <w:tc>
          <w:tcPr>
            <w:tcW w:w="0" w:type="auto"/>
            <w:vAlign w:val="center"/>
          </w:tcPr>
          <w:p w14:paraId="47864A4A" w14:textId="77777777" w:rsidR="001B5123" w:rsidRPr="00092862" w:rsidRDefault="001B5123" w:rsidP="00E74664">
            <w:pPr>
              <w:pStyle w:val="afffff7"/>
              <w:rPr>
                <w:color w:val="000000" w:themeColor="text1"/>
              </w:rPr>
            </w:pPr>
            <w:r w:rsidRPr="00092862">
              <w:rPr>
                <w:color w:val="000000" w:themeColor="text1"/>
              </w:rPr>
              <w:t>2</w:t>
            </w:r>
          </w:p>
        </w:tc>
        <w:tc>
          <w:tcPr>
            <w:tcW w:w="0" w:type="auto"/>
            <w:vAlign w:val="center"/>
          </w:tcPr>
          <w:p w14:paraId="05DCD400" w14:textId="77777777" w:rsidR="001B5123" w:rsidRPr="00092862" w:rsidRDefault="001B5123" w:rsidP="00E74664">
            <w:pPr>
              <w:pStyle w:val="afffff7"/>
              <w:rPr>
                <w:color w:val="000000" w:themeColor="text1"/>
              </w:rPr>
            </w:pPr>
            <w:r w:rsidRPr="00092862">
              <w:rPr>
                <w:color w:val="000000" w:themeColor="text1"/>
              </w:rPr>
              <w:t>井架</w:t>
            </w:r>
          </w:p>
        </w:tc>
        <w:tc>
          <w:tcPr>
            <w:tcW w:w="0" w:type="auto"/>
            <w:vAlign w:val="center"/>
          </w:tcPr>
          <w:p w14:paraId="03BDB2AF" w14:textId="77777777" w:rsidR="001B5123" w:rsidRPr="00092862" w:rsidRDefault="001B5123" w:rsidP="00E74664">
            <w:pPr>
              <w:pStyle w:val="afffff7"/>
              <w:rPr>
                <w:color w:val="000000" w:themeColor="text1"/>
              </w:rPr>
            </w:pPr>
            <w:r w:rsidRPr="00092862">
              <w:rPr>
                <w:color w:val="000000" w:themeColor="text1"/>
              </w:rPr>
              <w:t>JJ315/45-K</w:t>
            </w:r>
          </w:p>
        </w:tc>
        <w:tc>
          <w:tcPr>
            <w:tcW w:w="0" w:type="auto"/>
            <w:vAlign w:val="center"/>
          </w:tcPr>
          <w:p w14:paraId="1F7C9D45" w14:textId="77777777" w:rsidR="001B5123" w:rsidRPr="00092862" w:rsidRDefault="001B5123" w:rsidP="00E74664">
            <w:pPr>
              <w:pStyle w:val="afffff7"/>
              <w:rPr>
                <w:color w:val="000000" w:themeColor="text1"/>
              </w:rPr>
            </w:pPr>
            <w:r w:rsidRPr="00092862">
              <w:rPr>
                <w:color w:val="000000" w:themeColor="text1"/>
              </w:rPr>
              <w:t>3150kN</w:t>
            </w:r>
          </w:p>
        </w:tc>
        <w:tc>
          <w:tcPr>
            <w:tcW w:w="0" w:type="auto"/>
            <w:vAlign w:val="center"/>
          </w:tcPr>
          <w:p w14:paraId="0AAA34AA"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5E1A9CF7" w14:textId="77777777" w:rsidTr="00813B2A">
        <w:trPr>
          <w:cantSplit/>
          <w:trHeight w:val="260"/>
          <w:jc w:val="center"/>
        </w:trPr>
        <w:tc>
          <w:tcPr>
            <w:tcW w:w="0" w:type="auto"/>
            <w:vAlign w:val="center"/>
          </w:tcPr>
          <w:p w14:paraId="771357AE" w14:textId="77777777" w:rsidR="001B5123" w:rsidRPr="00092862" w:rsidRDefault="001B5123" w:rsidP="00E74664">
            <w:pPr>
              <w:pStyle w:val="afffff7"/>
              <w:rPr>
                <w:color w:val="000000" w:themeColor="text1"/>
              </w:rPr>
            </w:pPr>
            <w:r w:rsidRPr="00092862">
              <w:rPr>
                <w:color w:val="000000" w:themeColor="text1"/>
              </w:rPr>
              <w:t>3</w:t>
            </w:r>
          </w:p>
        </w:tc>
        <w:tc>
          <w:tcPr>
            <w:tcW w:w="0" w:type="auto"/>
            <w:vAlign w:val="center"/>
          </w:tcPr>
          <w:p w14:paraId="3C17AEF0" w14:textId="77777777" w:rsidR="001B5123" w:rsidRPr="00092862" w:rsidRDefault="001B5123" w:rsidP="00E74664">
            <w:pPr>
              <w:pStyle w:val="afffff7"/>
              <w:rPr>
                <w:color w:val="000000" w:themeColor="text1"/>
              </w:rPr>
            </w:pPr>
            <w:r w:rsidRPr="00092862">
              <w:rPr>
                <w:color w:val="000000" w:themeColor="text1"/>
              </w:rPr>
              <w:t>底座</w:t>
            </w:r>
          </w:p>
        </w:tc>
        <w:tc>
          <w:tcPr>
            <w:tcW w:w="0" w:type="auto"/>
            <w:vAlign w:val="center"/>
          </w:tcPr>
          <w:p w14:paraId="739F096C" w14:textId="77777777" w:rsidR="001B5123" w:rsidRPr="00092862" w:rsidRDefault="001B5123" w:rsidP="00E74664">
            <w:pPr>
              <w:pStyle w:val="afffff7"/>
              <w:rPr>
                <w:color w:val="000000" w:themeColor="text1"/>
              </w:rPr>
            </w:pPr>
            <w:r w:rsidRPr="00092862">
              <w:rPr>
                <w:color w:val="000000" w:themeColor="text1"/>
              </w:rPr>
              <w:t>底座</w:t>
            </w:r>
            <w:r w:rsidRPr="00092862">
              <w:rPr>
                <w:color w:val="000000" w:themeColor="text1"/>
              </w:rPr>
              <w:t>9.1m</w:t>
            </w:r>
          </w:p>
        </w:tc>
        <w:tc>
          <w:tcPr>
            <w:tcW w:w="0" w:type="auto"/>
            <w:vAlign w:val="center"/>
          </w:tcPr>
          <w:p w14:paraId="37396514" w14:textId="77777777" w:rsidR="001B5123" w:rsidRPr="00092862" w:rsidRDefault="001B5123" w:rsidP="00E74664">
            <w:pPr>
              <w:pStyle w:val="afffff7"/>
              <w:rPr>
                <w:color w:val="000000" w:themeColor="text1"/>
              </w:rPr>
            </w:pPr>
            <w:r w:rsidRPr="00092862">
              <w:rPr>
                <w:color w:val="000000" w:themeColor="text1"/>
              </w:rPr>
              <w:t>3150kN</w:t>
            </w:r>
          </w:p>
        </w:tc>
        <w:tc>
          <w:tcPr>
            <w:tcW w:w="0" w:type="auto"/>
            <w:vAlign w:val="center"/>
          </w:tcPr>
          <w:p w14:paraId="2FE77906"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216D43A" w14:textId="77777777" w:rsidTr="00813B2A">
        <w:trPr>
          <w:cantSplit/>
          <w:trHeight w:val="271"/>
          <w:jc w:val="center"/>
        </w:trPr>
        <w:tc>
          <w:tcPr>
            <w:tcW w:w="0" w:type="auto"/>
            <w:vAlign w:val="center"/>
          </w:tcPr>
          <w:p w14:paraId="3E049C01" w14:textId="77777777" w:rsidR="001B5123" w:rsidRPr="00092862" w:rsidRDefault="001B5123" w:rsidP="00E74664">
            <w:pPr>
              <w:pStyle w:val="afffff7"/>
              <w:rPr>
                <w:color w:val="000000" w:themeColor="text1"/>
              </w:rPr>
            </w:pPr>
            <w:r w:rsidRPr="00092862">
              <w:rPr>
                <w:color w:val="000000" w:themeColor="text1"/>
              </w:rPr>
              <w:t>4</w:t>
            </w:r>
          </w:p>
        </w:tc>
        <w:tc>
          <w:tcPr>
            <w:tcW w:w="0" w:type="auto"/>
            <w:vAlign w:val="center"/>
          </w:tcPr>
          <w:p w14:paraId="51E197E5" w14:textId="77777777" w:rsidR="001B5123" w:rsidRPr="00092862" w:rsidRDefault="001B5123" w:rsidP="00E74664">
            <w:pPr>
              <w:pStyle w:val="afffff7"/>
              <w:rPr>
                <w:color w:val="000000" w:themeColor="text1"/>
              </w:rPr>
            </w:pPr>
            <w:r w:rsidRPr="00092862">
              <w:rPr>
                <w:color w:val="000000" w:themeColor="text1"/>
              </w:rPr>
              <w:t>绞车</w:t>
            </w:r>
          </w:p>
        </w:tc>
        <w:tc>
          <w:tcPr>
            <w:tcW w:w="0" w:type="auto"/>
            <w:vAlign w:val="center"/>
          </w:tcPr>
          <w:p w14:paraId="568D1B9C" w14:textId="77777777" w:rsidR="001B5123" w:rsidRPr="00092862" w:rsidRDefault="001B5123" w:rsidP="00E74664">
            <w:pPr>
              <w:pStyle w:val="afffff7"/>
              <w:rPr>
                <w:color w:val="000000" w:themeColor="text1"/>
              </w:rPr>
            </w:pPr>
            <w:r w:rsidRPr="00092862">
              <w:rPr>
                <w:color w:val="000000" w:themeColor="text1"/>
              </w:rPr>
              <w:t>JC-50</w:t>
            </w:r>
          </w:p>
        </w:tc>
        <w:tc>
          <w:tcPr>
            <w:tcW w:w="0" w:type="auto"/>
            <w:vAlign w:val="center"/>
          </w:tcPr>
          <w:p w14:paraId="7E690D54" w14:textId="77777777" w:rsidR="001B5123" w:rsidRPr="00092862" w:rsidRDefault="001B5123" w:rsidP="00E74664">
            <w:pPr>
              <w:pStyle w:val="afffff7"/>
              <w:rPr>
                <w:color w:val="000000" w:themeColor="text1"/>
              </w:rPr>
            </w:pPr>
            <w:r w:rsidRPr="00092862">
              <w:rPr>
                <w:color w:val="000000" w:themeColor="text1"/>
              </w:rPr>
              <w:t>110kW</w:t>
            </w:r>
          </w:p>
        </w:tc>
        <w:tc>
          <w:tcPr>
            <w:tcW w:w="0" w:type="auto"/>
            <w:vAlign w:val="center"/>
          </w:tcPr>
          <w:p w14:paraId="1F3151AB"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2E7A4DD6" w14:textId="77777777" w:rsidTr="00813B2A">
        <w:trPr>
          <w:cantSplit/>
          <w:trHeight w:val="260"/>
          <w:jc w:val="center"/>
        </w:trPr>
        <w:tc>
          <w:tcPr>
            <w:tcW w:w="0" w:type="auto"/>
            <w:vAlign w:val="center"/>
          </w:tcPr>
          <w:p w14:paraId="00D89D60" w14:textId="77777777" w:rsidR="001B5123" w:rsidRPr="00092862" w:rsidRDefault="001B5123" w:rsidP="00E74664">
            <w:pPr>
              <w:pStyle w:val="afffff7"/>
              <w:rPr>
                <w:color w:val="000000" w:themeColor="text1"/>
              </w:rPr>
            </w:pPr>
            <w:r w:rsidRPr="00092862">
              <w:rPr>
                <w:color w:val="000000" w:themeColor="text1"/>
              </w:rPr>
              <w:t>5</w:t>
            </w:r>
          </w:p>
        </w:tc>
        <w:tc>
          <w:tcPr>
            <w:tcW w:w="0" w:type="auto"/>
            <w:vAlign w:val="center"/>
          </w:tcPr>
          <w:p w14:paraId="111A195C" w14:textId="77777777" w:rsidR="001B5123" w:rsidRPr="00092862" w:rsidRDefault="001B5123" w:rsidP="00E74664">
            <w:pPr>
              <w:pStyle w:val="afffff7"/>
              <w:rPr>
                <w:color w:val="000000" w:themeColor="text1"/>
              </w:rPr>
            </w:pPr>
            <w:r w:rsidRPr="00092862">
              <w:rPr>
                <w:color w:val="000000" w:themeColor="text1"/>
              </w:rPr>
              <w:t>天车</w:t>
            </w:r>
          </w:p>
        </w:tc>
        <w:tc>
          <w:tcPr>
            <w:tcW w:w="0" w:type="auto"/>
            <w:vAlign w:val="center"/>
          </w:tcPr>
          <w:p w14:paraId="314B9BB7" w14:textId="77777777" w:rsidR="001B5123" w:rsidRPr="00092862" w:rsidRDefault="001B5123" w:rsidP="00E74664">
            <w:pPr>
              <w:pStyle w:val="afffff7"/>
              <w:rPr>
                <w:color w:val="000000" w:themeColor="text1"/>
              </w:rPr>
            </w:pPr>
            <w:r w:rsidRPr="00092862">
              <w:rPr>
                <w:color w:val="000000" w:themeColor="text1"/>
              </w:rPr>
              <w:t>TC-315</w:t>
            </w:r>
          </w:p>
        </w:tc>
        <w:tc>
          <w:tcPr>
            <w:tcW w:w="0" w:type="auto"/>
            <w:vAlign w:val="center"/>
          </w:tcPr>
          <w:p w14:paraId="3CA190C9" w14:textId="77777777" w:rsidR="001B5123" w:rsidRPr="00092862" w:rsidRDefault="001B5123" w:rsidP="00E74664">
            <w:pPr>
              <w:pStyle w:val="afffff7"/>
              <w:rPr>
                <w:color w:val="000000" w:themeColor="text1"/>
              </w:rPr>
            </w:pPr>
            <w:r w:rsidRPr="00092862">
              <w:rPr>
                <w:color w:val="000000" w:themeColor="text1"/>
              </w:rPr>
              <w:t>3150kN</w:t>
            </w:r>
          </w:p>
        </w:tc>
        <w:tc>
          <w:tcPr>
            <w:tcW w:w="0" w:type="auto"/>
            <w:vAlign w:val="center"/>
          </w:tcPr>
          <w:p w14:paraId="1D3C544A"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DAA2E26" w14:textId="77777777" w:rsidTr="00813B2A">
        <w:trPr>
          <w:cantSplit/>
          <w:trHeight w:val="271"/>
          <w:jc w:val="center"/>
        </w:trPr>
        <w:tc>
          <w:tcPr>
            <w:tcW w:w="0" w:type="auto"/>
            <w:vAlign w:val="center"/>
          </w:tcPr>
          <w:p w14:paraId="2508D200" w14:textId="77777777" w:rsidR="001B5123" w:rsidRPr="00092862" w:rsidRDefault="001B5123" w:rsidP="00E74664">
            <w:pPr>
              <w:pStyle w:val="afffff7"/>
              <w:rPr>
                <w:color w:val="000000" w:themeColor="text1"/>
              </w:rPr>
            </w:pPr>
            <w:r w:rsidRPr="00092862">
              <w:rPr>
                <w:color w:val="000000" w:themeColor="text1"/>
              </w:rPr>
              <w:t>6</w:t>
            </w:r>
          </w:p>
        </w:tc>
        <w:tc>
          <w:tcPr>
            <w:tcW w:w="0" w:type="auto"/>
            <w:vAlign w:val="center"/>
          </w:tcPr>
          <w:p w14:paraId="5E6D19DF" w14:textId="77777777" w:rsidR="001B5123" w:rsidRPr="00092862" w:rsidRDefault="001B5123" w:rsidP="00E74664">
            <w:pPr>
              <w:pStyle w:val="afffff7"/>
              <w:rPr>
                <w:color w:val="000000" w:themeColor="text1"/>
              </w:rPr>
            </w:pPr>
            <w:r w:rsidRPr="00092862">
              <w:rPr>
                <w:color w:val="000000" w:themeColor="text1"/>
              </w:rPr>
              <w:t>游车</w:t>
            </w:r>
          </w:p>
        </w:tc>
        <w:tc>
          <w:tcPr>
            <w:tcW w:w="0" w:type="auto"/>
            <w:vAlign w:val="center"/>
          </w:tcPr>
          <w:p w14:paraId="1A8671FB" w14:textId="77777777" w:rsidR="001B5123" w:rsidRPr="00092862" w:rsidRDefault="001B5123" w:rsidP="00E74664">
            <w:pPr>
              <w:pStyle w:val="afffff7"/>
              <w:rPr>
                <w:color w:val="000000" w:themeColor="text1"/>
              </w:rPr>
            </w:pPr>
            <w:r w:rsidRPr="00092862">
              <w:rPr>
                <w:color w:val="000000" w:themeColor="text1"/>
              </w:rPr>
              <w:t>YC-315</w:t>
            </w:r>
          </w:p>
        </w:tc>
        <w:tc>
          <w:tcPr>
            <w:tcW w:w="0" w:type="auto"/>
            <w:vAlign w:val="center"/>
          </w:tcPr>
          <w:p w14:paraId="32CF683A" w14:textId="77777777" w:rsidR="001B5123" w:rsidRPr="00092862" w:rsidRDefault="001B5123" w:rsidP="00E74664">
            <w:pPr>
              <w:pStyle w:val="afffff7"/>
              <w:rPr>
                <w:color w:val="000000" w:themeColor="text1"/>
              </w:rPr>
            </w:pPr>
            <w:r w:rsidRPr="00092862">
              <w:rPr>
                <w:color w:val="000000" w:themeColor="text1"/>
              </w:rPr>
              <w:t>3150kN</w:t>
            </w:r>
          </w:p>
        </w:tc>
        <w:tc>
          <w:tcPr>
            <w:tcW w:w="0" w:type="auto"/>
            <w:vAlign w:val="center"/>
          </w:tcPr>
          <w:p w14:paraId="59DE3BD5"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B66D534" w14:textId="77777777" w:rsidTr="00813B2A">
        <w:trPr>
          <w:cantSplit/>
          <w:trHeight w:val="260"/>
          <w:jc w:val="center"/>
        </w:trPr>
        <w:tc>
          <w:tcPr>
            <w:tcW w:w="0" w:type="auto"/>
            <w:vAlign w:val="center"/>
          </w:tcPr>
          <w:p w14:paraId="44B9447E" w14:textId="77777777" w:rsidR="001B5123" w:rsidRPr="00092862" w:rsidRDefault="001B5123" w:rsidP="00E74664">
            <w:pPr>
              <w:pStyle w:val="afffff7"/>
              <w:rPr>
                <w:color w:val="000000" w:themeColor="text1"/>
              </w:rPr>
            </w:pPr>
            <w:r w:rsidRPr="00092862">
              <w:rPr>
                <w:color w:val="000000" w:themeColor="text1"/>
              </w:rPr>
              <w:t>7</w:t>
            </w:r>
          </w:p>
        </w:tc>
        <w:tc>
          <w:tcPr>
            <w:tcW w:w="0" w:type="auto"/>
            <w:vAlign w:val="center"/>
          </w:tcPr>
          <w:p w14:paraId="128563B4" w14:textId="77777777" w:rsidR="001B5123" w:rsidRPr="00092862" w:rsidRDefault="001B5123" w:rsidP="00E74664">
            <w:pPr>
              <w:pStyle w:val="afffff7"/>
              <w:rPr>
                <w:color w:val="000000" w:themeColor="text1"/>
              </w:rPr>
            </w:pPr>
            <w:r w:rsidRPr="00092862">
              <w:rPr>
                <w:color w:val="000000" w:themeColor="text1"/>
              </w:rPr>
              <w:t>大钩</w:t>
            </w:r>
          </w:p>
        </w:tc>
        <w:tc>
          <w:tcPr>
            <w:tcW w:w="0" w:type="auto"/>
            <w:vAlign w:val="center"/>
          </w:tcPr>
          <w:p w14:paraId="224EA046" w14:textId="77777777" w:rsidR="001B5123" w:rsidRPr="00092862" w:rsidRDefault="001B5123" w:rsidP="00E74664">
            <w:pPr>
              <w:pStyle w:val="afffff7"/>
              <w:rPr>
                <w:color w:val="000000" w:themeColor="text1"/>
              </w:rPr>
            </w:pPr>
            <w:r w:rsidRPr="00092862">
              <w:rPr>
                <w:color w:val="000000" w:themeColor="text1"/>
              </w:rPr>
              <w:t>DG-315</w:t>
            </w:r>
          </w:p>
        </w:tc>
        <w:tc>
          <w:tcPr>
            <w:tcW w:w="0" w:type="auto"/>
            <w:vAlign w:val="center"/>
          </w:tcPr>
          <w:p w14:paraId="3D675387" w14:textId="77777777" w:rsidR="001B5123" w:rsidRPr="00092862" w:rsidRDefault="001B5123" w:rsidP="00E74664">
            <w:pPr>
              <w:pStyle w:val="afffff7"/>
              <w:rPr>
                <w:color w:val="000000" w:themeColor="text1"/>
              </w:rPr>
            </w:pPr>
            <w:r w:rsidRPr="00092862">
              <w:rPr>
                <w:color w:val="000000" w:themeColor="text1"/>
              </w:rPr>
              <w:t>3150kN</w:t>
            </w:r>
          </w:p>
        </w:tc>
        <w:tc>
          <w:tcPr>
            <w:tcW w:w="0" w:type="auto"/>
            <w:vAlign w:val="center"/>
          </w:tcPr>
          <w:p w14:paraId="3FFC416D"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5A3D141" w14:textId="77777777" w:rsidTr="00813B2A">
        <w:trPr>
          <w:cantSplit/>
          <w:trHeight w:val="271"/>
          <w:jc w:val="center"/>
        </w:trPr>
        <w:tc>
          <w:tcPr>
            <w:tcW w:w="0" w:type="auto"/>
            <w:vAlign w:val="center"/>
          </w:tcPr>
          <w:p w14:paraId="430E073A" w14:textId="77777777" w:rsidR="001B5123" w:rsidRPr="00092862" w:rsidRDefault="001B5123" w:rsidP="00E74664">
            <w:pPr>
              <w:pStyle w:val="afffff7"/>
              <w:rPr>
                <w:color w:val="000000" w:themeColor="text1"/>
              </w:rPr>
            </w:pPr>
            <w:r w:rsidRPr="00092862">
              <w:rPr>
                <w:color w:val="000000" w:themeColor="text1"/>
              </w:rPr>
              <w:t>8</w:t>
            </w:r>
          </w:p>
        </w:tc>
        <w:tc>
          <w:tcPr>
            <w:tcW w:w="0" w:type="auto"/>
            <w:vAlign w:val="center"/>
          </w:tcPr>
          <w:p w14:paraId="0C382606" w14:textId="77777777" w:rsidR="001B5123" w:rsidRPr="00092862" w:rsidRDefault="001B5123" w:rsidP="00E74664">
            <w:pPr>
              <w:pStyle w:val="afffff7"/>
              <w:rPr>
                <w:color w:val="000000" w:themeColor="text1"/>
              </w:rPr>
            </w:pPr>
            <w:r w:rsidRPr="00092862">
              <w:rPr>
                <w:color w:val="000000" w:themeColor="text1"/>
              </w:rPr>
              <w:t>水龙头</w:t>
            </w:r>
          </w:p>
        </w:tc>
        <w:tc>
          <w:tcPr>
            <w:tcW w:w="0" w:type="auto"/>
            <w:vAlign w:val="center"/>
          </w:tcPr>
          <w:p w14:paraId="61176182" w14:textId="77777777" w:rsidR="001B5123" w:rsidRPr="00092862" w:rsidRDefault="001B5123" w:rsidP="00E74664">
            <w:pPr>
              <w:pStyle w:val="afffff7"/>
              <w:rPr>
                <w:color w:val="000000" w:themeColor="text1"/>
              </w:rPr>
            </w:pPr>
            <w:r w:rsidRPr="00092862">
              <w:rPr>
                <w:color w:val="000000" w:themeColor="text1"/>
              </w:rPr>
              <w:t>SL-450</w:t>
            </w:r>
          </w:p>
        </w:tc>
        <w:tc>
          <w:tcPr>
            <w:tcW w:w="0" w:type="auto"/>
            <w:vAlign w:val="center"/>
          </w:tcPr>
          <w:p w14:paraId="5904B44E" w14:textId="77777777" w:rsidR="001B5123" w:rsidRPr="00092862" w:rsidRDefault="001B5123" w:rsidP="00E74664">
            <w:pPr>
              <w:pStyle w:val="afffff7"/>
              <w:rPr>
                <w:color w:val="000000" w:themeColor="text1"/>
              </w:rPr>
            </w:pPr>
            <w:r w:rsidRPr="00092862">
              <w:rPr>
                <w:color w:val="000000" w:themeColor="text1"/>
              </w:rPr>
              <w:t>4500kN</w:t>
            </w:r>
          </w:p>
        </w:tc>
        <w:tc>
          <w:tcPr>
            <w:tcW w:w="0" w:type="auto"/>
            <w:vAlign w:val="center"/>
          </w:tcPr>
          <w:p w14:paraId="24860CBF"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19EDF278" w14:textId="77777777" w:rsidTr="00813B2A">
        <w:trPr>
          <w:cantSplit/>
          <w:trHeight w:val="260"/>
          <w:jc w:val="center"/>
        </w:trPr>
        <w:tc>
          <w:tcPr>
            <w:tcW w:w="0" w:type="auto"/>
            <w:vAlign w:val="center"/>
          </w:tcPr>
          <w:p w14:paraId="389F8A99" w14:textId="77777777" w:rsidR="001B5123" w:rsidRPr="00092862" w:rsidRDefault="001B5123" w:rsidP="00E74664">
            <w:pPr>
              <w:pStyle w:val="afffff7"/>
              <w:rPr>
                <w:color w:val="000000" w:themeColor="text1"/>
              </w:rPr>
            </w:pPr>
            <w:r w:rsidRPr="00092862">
              <w:rPr>
                <w:color w:val="000000" w:themeColor="text1"/>
              </w:rPr>
              <w:t>9</w:t>
            </w:r>
          </w:p>
        </w:tc>
        <w:tc>
          <w:tcPr>
            <w:tcW w:w="0" w:type="auto"/>
            <w:vAlign w:val="center"/>
          </w:tcPr>
          <w:p w14:paraId="5B94DD35" w14:textId="77777777" w:rsidR="001B5123" w:rsidRPr="00092862" w:rsidRDefault="001B5123" w:rsidP="00E74664">
            <w:pPr>
              <w:pStyle w:val="afffff7"/>
              <w:rPr>
                <w:color w:val="000000" w:themeColor="text1"/>
              </w:rPr>
            </w:pPr>
            <w:r w:rsidRPr="00092862">
              <w:rPr>
                <w:color w:val="000000" w:themeColor="text1"/>
              </w:rPr>
              <w:t>转盘</w:t>
            </w:r>
          </w:p>
        </w:tc>
        <w:tc>
          <w:tcPr>
            <w:tcW w:w="0" w:type="auto"/>
            <w:vAlign w:val="center"/>
          </w:tcPr>
          <w:p w14:paraId="78F71AFC" w14:textId="77777777" w:rsidR="001B5123" w:rsidRPr="00092862" w:rsidRDefault="001B5123" w:rsidP="00E74664">
            <w:pPr>
              <w:pStyle w:val="afffff7"/>
              <w:rPr>
                <w:color w:val="000000" w:themeColor="text1"/>
              </w:rPr>
            </w:pPr>
            <w:r w:rsidRPr="00092862">
              <w:rPr>
                <w:color w:val="000000" w:themeColor="text1"/>
              </w:rPr>
              <w:t>ZP275</w:t>
            </w:r>
          </w:p>
        </w:tc>
        <w:tc>
          <w:tcPr>
            <w:tcW w:w="0" w:type="auto"/>
            <w:vAlign w:val="center"/>
          </w:tcPr>
          <w:p w14:paraId="3AD3227E" w14:textId="77777777" w:rsidR="001B5123" w:rsidRPr="00092862" w:rsidRDefault="001B5123" w:rsidP="00E74664">
            <w:pPr>
              <w:pStyle w:val="afffff7"/>
              <w:rPr>
                <w:color w:val="000000" w:themeColor="text1"/>
              </w:rPr>
            </w:pPr>
            <w:r w:rsidRPr="00092862">
              <w:rPr>
                <w:color w:val="000000" w:themeColor="text1"/>
              </w:rPr>
              <w:t>4500kN</w:t>
            </w:r>
          </w:p>
        </w:tc>
        <w:tc>
          <w:tcPr>
            <w:tcW w:w="0" w:type="auto"/>
            <w:vAlign w:val="center"/>
          </w:tcPr>
          <w:p w14:paraId="50DF19CF"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2D63A0E" w14:textId="77777777" w:rsidTr="00813B2A">
        <w:trPr>
          <w:cantSplit/>
          <w:trHeight w:val="271"/>
          <w:jc w:val="center"/>
        </w:trPr>
        <w:tc>
          <w:tcPr>
            <w:tcW w:w="0" w:type="auto"/>
            <w:vAlign w:val="center"/>
          </w:tcPr>
          <w:p w14:paraId="587B9805" w14:textId="77777777" w:rsidR="001B5123" w:rsidRPr="00092862" w:rsidRDefault="001B5123" w:rsidP="00E74664">
            <w:pPr>
              <w:pStyle w:val="afffff7"/>
              <w:rPr>
                <w:color w:val="000000" w:themeColor="text1"/>
              </w:rPr>
            </w:pPr>
          </w:p>
        </w:tc>
        <w:tc>
          <w:tcPr>
            <w:tcW w:w="0" w:type="auto"/>
            <w:vAlign w:val="center"/>
          </w:tcPr>
          <w:p w14:paraId="1883DB06" w14:textId="77777777" w:rsidR="001B5123" w:rsidRPr="00092862" w:rsidRDefault="001B5123" w:rsidP="00E74664">
            <w:pPr>
              <w:pStyle w:val="afffff7"/>
              <w:rPr>
                <w:color w:val="000000" w:themeColor="text1"/>
              </w:rPr>
            </w:pPr>
            <w:r w:rsidRPr="00092862">
              <w:rPr>
                <w:color w:val="000000" w:themeColor="text1"/>
              </w:rPr>
              <w:t>柴油机</w:t>
            </w:r>
            <w:r w:rsidRPr="00092862">
              <w:rPr>
                <w:color w:val="000000" w:themeColor="text1"/>
              </w:rPr>
              <w:t>1#</w:t>
            </w:r>
          </w:p>
        </w:tc>
        <w:tc>
          <w:tcPr>
            <w:tcW w:w="0" w:type="auto"/>
            <w:vAlign w:val="center"/>
          </w:tcPr>
          <w:p w14:paraId="15763B8A" w14:textId="77777777" w:rsidR="001B5123" w:rsidRPr="00092862" w:rsidRDefault="001B5123" w:rsidP="00E74664">
            <w:pPr>
              <w:pStyle w:val="afffff7"/>
              <w:rPr>
                <w:color w:val="000000" w:themeColor="text1"/>
              </w:rPr>
            </w:pPr>
            <w:r w:rsidRPr="00092862">
              <w:rPr>
                <w:color w:val="000000" w:themeColor="text1"/>
              </w:rPr>
              <w:t>PZ12V190B</w:t>
            </w:r>
          </w:p>
        </w:tc>
        <w:tc>
          <w:tcPr>
            <w:tcW w:w="0" w:type="auto"/>
            <w:vAlign w:val="center"/>
          </w:tcPr>
          <w:p w14:paraId="73D6E61C" w14:textId="61F70B5A" w:rsidR="001B5123" w:rsidRPr="00092862" w:rsidRDefault="001B5123" w:rsidP="00E74664">
            <w:pPr>
              <w:pStyle w:val="afffff7"/>
              <w:rPr>
                <w:color w:val="000000" w:themeColor="text1"/>
              </w:rPr>
            </w:pPr>
            <w:r w:rsidRPr="00092862">
              <w:rPr>
                <w:color w:val="000000" w:themeColor="text1"/>
              </w:rPr>
              <w:t>8</w:t>
            </w:r>
            <w:r w:rsidR="00C32BC7" w:rsidRPr="00092862">
              <w:rPr>
                <w:color w:val="000000" w:themeColor="text1"/>
              </w:rPr>
              <w:t>82</w:t>
            </w:r>
            <w:r w:rsidRPr="00092862">
              <w:rPr>
                <w:color w:val="000000" w:themeColor="text1"/>
              </w:rPr>
              <w:t>kW</w:t>
            </w:r>
          </w:p>
        </w:tc>
        <w:tc>
          <w:tcPr>
            <w:tcW w:w="0" w:type="auto"/>
            <w:vAlign w:val="center"/>
          </w:tcPr>
          <w:p w14:paraId="1646BD3B"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1A2DAA52" w14:textId="77777777" w:rsidTr="00813B2A">
        <w:trPr>
          <w:cantSplit/>
          <w:trHeight w:val="260"/>
          <w:jc w:val="center"/>
        </w:trPr>
        <w:tc>
          <w:tcPr>
            <w:tcW w:w="0" w:type="auto"/>
            <w:vAlign w:val="center"/>
          </w:tcPr>
          <w:p w14:paraId="5F7DF8B6" w14:textId="77777777" w:rsidR="001B5123" w:rsidRPr="00092862" w:rsidRDefault="001B5123" w:rsidP="00E74664">
            <w:pPr>
              <w:pStyle w:val="afffff7"/>
              <w:rPr>
                <w:color w:val="000000" w:themeColor="text1"/>
              </w:rPr>
            </w:pPr>
          </w:p>
        </w:tc>
        <w:tc>
          <w:tcPr>
            <w:tcW w:w="0" w:type="auto"/>
            <w:vAlign w:val="center"/>
          </w:tcPr>
          <w:p w14:paraId="7EBB3ED9" w14:textId="77777777" w:rsidR="001B5123" w:rsidRPr="00092862" w:rsidRDefault="001B5123" w:rsidP="00E74664">
            <w:pPr>
              <w:pStyle w:val="afffff7"/>
              <w:rPr>
                <w:color w:val="000000" w:themeColor="text1"/>
              </w:rPr>
            </w:pPr>
            <w:r w:rsidRPr="00092862">
              <w:rPr>
                <w:color w:val="000000" w:themeColor="text1"/>
              </w:rPr>
              <w:t>柴油机</w:t>
            </w:r>
            <w:r w:rsidRPr="00092862">
              <w:rPr>
                <w:color w:val="000000" w:themeColor="text1"/>
              </w:rPr>
              <w:t>2#</w:t>
            </w:r>
          </w:p>
        </w:tc>
        <w:tc>
          <w:tcPr>
            <w:tcW w:w="0" w:type="auto"/>
            <w:vAlign w:val="center"/>
          </w:tcPr>
          <w:p w14:paraId="7066F7C6" w14:textId="77777777" w:rsidR="001B5123" w:rsidRPr="00092862" w:rsidRDefault="001B5123" w:rsidP="00E74664">
            <w:pPr>
              <w:pStyle w:val="afffff7"/>
              <w:rPr>
                <w:color w:val="000000" w:themeColor="text1"/>
              </w:rPr>
            </w:pPr>
            <w:r w:rsidRPr="00092862">
              <w:rPr>
                <w:color w:val="000000" w:themeColor="text1"/>
              </w:rPr>
              <w:t>PZ12V190B</w:t>
            </w:r>
          </w:p>
        </w:tc>
        <w:tc>
          <w:tcPr>
            <w:tcW w:w="0" w:type="auto"/>
            <w:vAlign w:val="center"/>
          </w:tcPr>
          <w:p w14:paraId="393C6B54" w14:textId="29AE4261" w:rsidR="001B5123" w:rsidRPr="00092862" w:rsidRDefault="001B5123" w:rsidP="00E74664">
            <w:pPr>
              <w:pStyle w:val="afffff7"/>
              <w:rPr>
                <w:color w:val="000000" w:themeColor="text1"/>
              </w:rPr>
            </w:pPr>
            <w:r w:rsidRPr="00092862">
              <w:rPr>
                <w:color w:val="000000" w:themeColor="text1"/>
              </w:rPr>
              <w:t>8</w:t>
            </w:r>
            <w:r w:rsidR="00C32BC7" w:rsidRPr="00092862">
              <w:rPr>
                <w:color w:val="000000" w:themeColor="text1"/>
              </w:rPr>
              <w:t>82</w:t>
            </w:r>
            <w:r w:rsidRPr="00092862">
              <w:rPr>
                <w:color w:val="000000" w:themeColor="text1"/>
              </w:rPr>
              <w:t>kW</w:t>
            </w:r>
          </w:p>
        </w:tc>
        <w:tc>
          <w:tcPr>
            <w:tcW w:w="0" w:type="auto"/>
            <w:vAlign w:val="center"/>
          </w:tcPr>
          <w:p w14:paraId="5DEE4DDB"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7C404268" w14:textId="77777777" w:rsidTr="00813B2A">
        <w:trPr>
          <w:cantSplit/>
          <w:trHeight w:val="271"/>
          <w:jc w:val="center"/>
        </w:trPr>
        <w:tc>
          <w:tcPr>
            <w:tcW w:w="0" w:type="auto"/>
            <w:vAlign w:val="center"/>
          </w:tcPr>
          <w:p w14:paraId="64EBC482" w14:textId="77777777" w:rsidR="001B5123" w:rsidRPr="00092862" w:rsidRDefault="001B5123" w:rsidP="00E74664">
            <w:pPr>
              <w:pStyle w:val="afffff7"/>
              <w:rPr>
                <w:color w:val="000000" w:themeColor="text1"/>
              </w:rPr>
            </w:pPr>
          </w:p>
        </w:tc>
        <w:tc>
          <w:tcPr>
            <w:tcW w:w="0" w:type="auto"/>
            <w:vAlign w:val="center"/>
          </w:tcPr>
          <w:p w14:paraId="43DE9C52" w14:textId="77777777" w:rsidR="001B5123" w:rsidRPr="00092862" w:rsidRDefault="001B5123" w:rsidP="00E74664">
            <w:pPr>
              <w:pStyle w:val="afffff7"/>
              <w:rPr>
                <w:color w:val="000000" w:themeColor="text1"/>
              </w:rPr>
            </w:pPr>
            <w:r w:rsidRPr="00092862">
              <w:rPr>
                <w:color w:val="000000" w:themeColor="text1"/>
              </w:rPr>
              <w:t>柴油机</w:t>
            </w:r>
            <w:r w:rsidRPr="00092862">
              <w:rPr>
                <w:color w:val="000000" w:themeColor="text1"/>
              </w:rPr>
              <w:t>3#</w:t>
            </w:r>
          </w:p>
        </w:tc>
        <w:tc>
          <w:tcPr>
            <w:tcW w:w="0" w:type="auto"/>
            <w:vAlign w:val="center"/>
          </w:tcPr>
          <w:p w14:paraId="4E1FE19C" w14:textId="77777777" w:rsidR="001B5123" w:rsidRPr="00092862" w:rsidRDefault="001B5123" w:rsidP="00E74664">
            <w:pPr>
              <w:pStyle w:val="afffff7"/>
              <w:rPr>
                <w:color w:val="000000" w:themeColor="text1"/>
              </w:rPr>
            </w:pPr>
            <w:r w:rsidRPr="00092862">
              <w:rPr>
                <w:color w:val="000000" w:themeColor="text1"/>
              </w:rPr>
              <w:t>G12V190PZL</w:t>
            </w:r>
          </w:p>
        </w:tc>
        <w:tc>
          <w:tcPr>
            <w:tcW w:w="0" w:type="auto"/>
            <w:vAlign w:val="center"/>
          </w:tcPr>
          <w:p w14:paraId="381F061F" w14:textId="77777777" w:rsidR="001B5123" w:rsidRPr="00092862" w:rsidRDefault="001B5123" w:rsidP="00E74664">
            <w:pPr>
              <w:pStyle w:val="afffff7"/>
              <w:rPr>
                <w:color w:val="000000" w:themeColor="text1"/>
              </w:rPr>
            </w:pPr>
            <w:r w:rsidRPr="00092862">
              <w:rPr>
                <w:color w:val="000000" w:themeColor="text1"/>
              </w:rPr>
              <w:t>882kW</w:t>
            </w:r>
          </w:p>
        </w:tc>
        <w:tc>
          <w:tcPr>
            <w:tcW w:w="0" w:type="auto"/>
            <w:vAlign w:val="center"/>
          </w:tcPr>
          <w:p w14:paraId="193AB50C"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5D6ABB0" w14:textId="77777777" w:rsidTr="00813B2A">
        <w:trPr>
          <w:cantSplit/>
          <w:trHeight w:val="260"/>
          <w:jc w:val="center"/>
        </w:trPr>
        <w:tc>
          <w:tcPr>
            <w:tcW w:w="0" w:type="auto"/>
            <w:vAlign w:val="center"/>
          </w:tcPr>
          <w:p w14:paraId="484080B3" w14:textId="77777777" w:rsidR="001B5123" w:rsidRPr="00092862" w:rsidRDefault="001B5123" w:rsidP="00E74664">
            <w:pPr>
              <w:pStyle w:val="afffff7"/>
              <w:rPr>
                <w:color w:val="000000" w:themeColor="text1"/>
              </w:rPr>
            </w:pPr>
          </w:p>
        </w:tc>
        <w:tc>
          <w:tcPr>
            <w:tcW w:w="0" w:type="auto"/>
            <w:vAlign w:val="center"/>
          </w:tcPr>
          <w:p w14:paraId="6D9622AC" w14:textId="77777777" w:rsidR="001B5123" w:rsidRPr="00092862" w:rsidRDefault="001B5123" w:rsidP="00E74664">
            <w:pPr>
              <w:pStyle w:val="afffff7"/>
              <w:rPr>
                <w:color w:val="000000" w:themeColor="text1"/>
              </w:rPr>
            </w:pPr>
            <w:r w:rsidRPr="00092862">
              <w:rPr>
                <w:color w:val="000000" w:themeColor="text1"/>
              </w:rPr>
              <w:t>发电机</w:t>
            </w:r>
            <w:r w:rsidRPr="00092862">
              <w:rPr>
                <w:color w:val="000000" w:themeColor="text1"/>
              </w:rPr>
              <w:t>1#</w:t>
            </w:r>
          </w:p>
        </w:tc>
        <w:tc>
          <w:tcPr>
            <w:tcW w:w="0" w:type="auto"/>
            <w:vAlign w:val="center"/>
          </w:tcPr>
          <w:p w14:paraId="33BD23E9" w14:textId="77777777" w:rsidR="001B5123" w:rsidRPr="00092862" w:rsidRDefault="001B5123" w:rsidP="00E74664">
            <w:pPr>
              <w:pStyle w:val="afffff7"/>
              <w:rPr>
                <w:color w:val="000000" w:themeColor="text1"/>
              </w:rPr>
            </w:pPr>
            <w:r w:rsidRPr="00092862">
              <w:rPr>
                <w:color w:val="000000" w:themeColor="text1"/>
              </w:rPr>
              <w:t>8V190B</w:t>
            </w:r>
          </w:p>
        </w:tc>
        <w:tc>
          <w:tcPr>
            <w:tcW w:w="0" w:type="auto"/>
            <w:vAlign w:val="center"/>
          </w:tcPr>
          <w:p w14:paraId="7A176C32" w14:textId="78F96BA9" w:rsidR="001B5123" w:rsidRPr="00092862" w:rsidRDefault="001B5123" w:rsidP="00E74664">
            <w:pPr>
              <w:pStyle w:val="afffff7"/>
              <w:rPr>
                <w:color w:val="000000" w:themeColor="text1"/>
              </w:rPr>
            </w:pPr>
            <w:r w:rsidRPr="00092862">
              <w:rPr>
                <w:color w:val="000000" w:themeColor="text1"/>
              </w:rPr>
              <w:t>3</w:t>
            </w:r>
            <w:r w:rsidR="00E01061" w:rsidRPr="00092862">
              <w:rPr>
                <w:color w:val="000000" w:themeColor="text1"/>
              </w:rPr>
              <w:t>2</w:t>
            </w:r>
            <w:r w:rsidRPr="00092862">
              <w:rPr>
                <w:color w:val="000000" w:themeColor="text1"/>
              </w:rPr>
              <w:t>0kW</w:t>
            </w:r>
          </w:p>
        </w:tc>
        <w:tc>
          <w:tcPr>
            <w:tcW w:w="0" w:type="auto"/>
            <w:vAlign w:val="center"/>
          </w:tcPr>
          <w:p w14:paraId="6F9EB019"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DA4B1DE" w14:textId="77777777" w:rsidTr="00813B2A">
        <w:trPr>
          <w:cantSplit/>
          <w:trHeight w:val="271"/>
          <w:jc w:val="center"/>
        </w:trPr>
        <w:tc>
          <w:tcPr>
            <w:tcW w:w="0" w:type="auto"/>
            <w:vAlign w:val="center"/>
          </w:tcPr>
          <w:p w14:paraId="07855B7A" w14:textId="77777777" w:rsidR="001B5123" w:rsidRPr="00092862" w:rsidRDefault="001B5123" w:rsidP="00E74664">
            <w:pPr>
              <w:pStyle w:val="afffff7"/>
              <w:rPr>
                <w:color w:val="000000" w:themeColor="text1"/>
              </w:rPr>
            </w:pPr>
          </w:p>
        </w:tc>
        <w:tc>
          <w:tcPr>
            <w:tcW w:w="0" w:type="auto"/>
            <w:vAlign w:val="center"/>
          </w:tcPr>
          <w:p w14:paraId="22131750" w14:textId="77777777" w:rsidR="001B5123" w:rsidRPr="00092862" w:rsidRDefault="001B5123" w:rsidP="00E74664">
            <w:pPr>
              <w:pStyle w:val="afffff7"/>
              <w:rPr>
                <w:color w:val="000000" w:themeColor="text1"/>
              </w:rPr>
            </w:pPr>
            <w:r w:rsidRPr="00092862">
              <w:rPr>
                <w:color w:val="000000" w:themeColor="text1"/>
              </w:rPr>
              <w:t>发电机</w:t>
            </w:r>
            <w:r w:rsidRPr="00092862">
              <w:rPr>
                <w:color w:val="000000" w:themeColor="text1"/>
              </w:rPr>
              <w:t>2#</w:t>
            </w:r>
          </w:p>
        </w:tc>
        <w:tc>
          <w:tcPr>
            <w:tcW w:w="0" w:type="auto"/>
            <w:vAlign w:val="center"/>
          </w:tcPr>
          <w:p w14:paraId="5172102F" w14:textId="77777777" w:rsidR="001B5123" w:rsidRPr="00092862" w:rsidRDefault="001B5123" w:rsidP="00E74664">
            <w:pPr>
              <w:pStyle w:val="afffff7"/>
              <w:rPr>
                <w:color w:val="000000" w:themeColor="text1"/>
              </w:rPr>
            </w:pPr>
            <w:r w:rsidRPr="00092862">
              <w:rPr>
                <w:color w:val="000000" w:themeColor="text1"/>
              </w:rPr>
              <w:t>8V190B</w:t>
            </w:r>
          </w:p>
        </w:tc>
        <w:tc>
          <w:tcPr>
            <w:tcW w:w="0" w:type="auto"/>
            <w:vAlign w:val="center"/>
          </w:tcPr>
          <w:p w14:paraId="1FE3B6CA" w14:textId="1CA0700E" w:rsidR="001B5123" w:rsidRPr="00092862" w:rsidRDefault="001B5123" w:rsidP="00E74664">
            <w:pPr>
              <w:pStyle w:val="afffff7"/>
              <w:rPr>
                <w:color w:val="000000" w:themeColor="text1"/>
              </w:rPr>
            </w:pPr>
            <w:r w:rsidRPr="00092862">
              <w:rPr>
                <w:color w:val="000000" w:themeColor="text1"/>
              </w:rPr>
              <w:t>3</w:t>
            </w:r>
            <w:r w:rsidR="00E01061" w:rsidRPr="00092862">
              <w:rPr>
                <w:color w:val="000000" w:themeColor="text1"/>
              </w:rPr>
              <w:t>2</w:t>
            </w:r>
            <w:r w:rsidRPr="00092862">
              <w:rPr>
                <w:color w:val="000000" w:themeColor="text1"/>
              </w:rPr>
              <w:t>0kW</w:t>
            </w:r>
          </w:p>
        </w:tc>
        <w:tc>
          <w:tcPr>
            <w:tcW w:w="0" w:type="auto"/>
            <w:vAlign w:val="center"/>
          </w:tcPr>
          <w:p w14:paraId="7DE82371"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8673C1C" w14:textId="77777777" w:rsidTr="00813B2A">
        <w:trPr>
          <w:cantSplit/>
          <w:trHeight w:val="260"/>
          <w:jc w:val="center"/>
        </w:trPr>
        <w:tc>
          <w:tcPr>
            <w:tcW w:w="0" w:type="auto"/>
            <w:vAlign w:val="center"/>
          </w:tcPr>
          <w:p w14:paraId="42486964" w14:textId="77777777" w:rsidR="001B5123" w:rsidRPr="00092862" w:rsidRDefault="001B5123" w:rsidP="00E74664">
            <w:pPr>
              <w:pStyle w:val="afffff7"/>
              <w:rPr>
                <w:color w:val="000000" w:themeColor="text1"/>
              </w:rPr>
            </w:pPr>
          </w:p>
        </w:tc>
        <w:tc>
          <w:tcPr>
            <w:tcW w:w="0" w:type="auto"/>
            <w:vAlign w:val="center"/>
          </w:tcPr>
          <w:p w14:paraId="6EFFEFB3" w14:textId="77777777" w:rsidR="001B5123" w:rsidRPr="00092862" w:rsidRDefault="001B5123" w:rsidP="00E74664">
            <w:pPr>
              <w:pStyle w:val="afffff7"/>
              <w:rPr>
                <w:color w:val="000000" w:themeColor="text1"/>
              </w:rPr>
            </w:pPr>
            <w:r w:rsidRPr="00092862">
              <w:rPr>
                <w:color w:val="000000" w:themeColor="text1"/>
              </w:rPr>
              <w:t>钻井泵</w:t>
            </w:r>
            <w:r w:rsidRPr="00092862">
              <w:rPr>
                <w:color w:val="000000" w:themeColor="text1"/>
              </w:rPr>
              <w:t>1#</w:t>
            </w:r>
          </w:p>
        </w:tc>
        <w:tc>
          <w:tcPr>
            <w:tcW w:w="0" w:type="auto"/>
            <w:vAlign w:val="center"/>
          </w:tcPr>
          <w:p w14:paraId="6B9BA614" w14:textId="77777777" w:rsidR="001B5123" w:rsidRPr="00092862" w:rsidRDefault="001B5123" w:rsidP="00E74664">
            <w:pPr>
              <w:pStyle w:val="afffff7"/>
              <w:rPr>
                <w:color w:val="000000" w:themeColor="text1"/>
              </w:rPr>
            </w:pPr>
            <w:r w:rsidRPr="00092862">
              <w:rPr>
                <w:color w:val="000000" w:themeColor="text1"/>
              </w:rPr>
              <w:t>F-1600</w:t>
            </w:r>
          </w:p>
        </w:tc>
        <w:tc>
          <w:tcPr>
            <w:tcW w:w="0" w:type="auto"/>
            <w:vAlign w:val="center"/>
          </w:tcPr>
          <w:p w14:paraId="4D3F3770" w14:textId="77777777" w:rsidR="001B5123" w:rsidRPr="00092862" w:rsidRDefault="001B5123" w:rsidP="00E74664">
            <w:pPr>
              <w:pStyle w:val="afffff7"/>
              <w:rPr>
                <w:color w:val="000000" w:themeColor="text1"/>
              </w:rPr>
            </w:pPr>
            <w:r w:rsidRPr="00092862">
              <w:rPr>
                <w:color w:val="000000" w:themeColor="text1"/>
              </w:rPr>
              <w:t>1193kW</w:t>
            </w:r>
          </w:p>
        </w:tc>
        <w:tc>
          <w:tcPr>
            <w:tcW w:w="0" w:type="auto"/>
            <w:vAlign w:val="center"/>
          </w:tcPr>
          <w:p w14:paraId="0D3EAC5E"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9E821BC" w14:textId="77777777" w:rsidTr="00813B2A">
        <w:trPr>
          <w:cantSplit/>
          <w:trHeight w:val="271"/>
          <w:jc w:val="center"/>
        </w:trPr>
        <w:tc>
          <w:tcPr>
            <w:tcW w:w="0" w:type="auto"/>
            <w:vAlign w:val="center"/>
          </w:tcPr>
          <w:p w14:paraId="6B79CD38" w14:textId="77777777" w:rsidR="001B5123" w:rsidRPr="00092862" w:rsidRDefault="001B5123" w:rsidP="00E74664">
            <w:pPr>
              <w:pStyle w:val="afffff7"/>
              <w:rPr>
                <w:color w:val="000000" w:themeColor="text1"/>
              </w:rPr>
            </w:pPr>
          </w:p>
        </w:tc>
        <w:tc>
          <w:tcPr>
            <w:tcW w:w="0" w:type="auto"/>
            <w:vAlign w:val="center"/>
          </w:tcPr>
          <w:p w14:paraId="3AC2CF63" w14:textId="77777777" w:rsidR="001B5123" w:rsidRPr="00092862" w:rsidRDefault="001B5123" w:rsidP="00E74664">
            <w:pPr>
              <w:pStyle w:val="afffff7"/>
              <w:rPr>
                <w:color w:val="000000" w:themeColor="text1"/>
              </w:rPr>
            </w:pPr>
            <w:r w:rsidRPr="00092862">
              <w:rPr>
                <w:color w:val="000000" w:themeColor="text1"/>
              </w:rPr>
              <w:t>钻井泵</w:t>
            </w:r>
            <w:r w:rsidRPr="00092862">
              <w:rPr>
                <w:color w:val="000000" w:themeColor="text1"/>
              </w:rPr>
              <w:t>2#</w:t>
            </w:r>
          </w:p>
        </w:tc>
        <w:tc>
          <w:tcPr>
            <w:tcW w:w="0" w:type="auto"/>
            <w:vAlign w:val="center"/>
          </w:tcPr>
          <w:p w14:paraId="5E9ACE1F" w14:textId="77777777" w:rsidR="001B5123" w:rsidRPr="00092862" w:rsidRDefault="001B5123" w:rsidP="00E74664">
            <w:pPr>
              <w:pStyle w:val="afffff7"/>
              <w:rPr>
                <w:color w:val="000000" w:themeColor="text1"/>
              </w:rPr>
            </w:pPr>
            <w:r w:rsidRPr="00092862">
              <w:rPr>
                <w:color w:val="000000" w:themeColor="text1"/>
              </w:rPr>
              <w:t>F-1600</w:t>
            </w:r>
          </w:p>
        </w:tc>
        <w:tc>
          <w:tcPr>
            <w:tcW w:w="0" w:type="auto"/>
            <w:vAlign w:val="center"/>
          </w:tcPr>
          <w:p w14:paraId="73E26E33" w14:textId="77777777" w:rsidR="001B5123" w:rsidRPr="00092862" w:rsidRDefault="001B5123" w:rsidP="00E74664">
            <w:pPr>
              <w:pStyle w:val="afffff7"/>
              <w:rPr>
                <w:color w:val="000000" w:themeColor="text1"/>
              </w:rPr>
            </w:pPr>
            <w:r w:rsidRPr="00092862">
              <w:rPr>
                <w:color w:val="000000" w:themeColor="text1"/>
              </w:rPr>
              <w:t>1193kW</w:t>
            </w:r>
          </w:p>
        </w:tc>
        <w:tc>
          <w:tcPr>
            <w:tcW w:w="0" w:type="auto"/>
            <w:vAlign w:val="center"/>
          </w:tcPr>
          <w:p w14:paraId="50AA8CCB"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5FDFB034" w14:textId="77777777" w:rsidTr="00813B2A">
        <w:trPr>
          <w:cantSplit/>
          <w:trHeight w:val="260"/>
          <w:jc w:val="center"/>
        </w:trPr>
        <w:tc>
          <w:tcPr>
            <w:tcW w:w="0" w:type="auto"/>
            <w:vAlign w:val="center"/>
          </w:tcPr>
          <w:p w14:paraId="196308E8" w14:textId="77777777" w:rsidR="001B5123" w:rsidRPr="00092862" w:rsidRDefault="001B5123" w:rsidP="00E74664">
            <w:pPr>
              <w:pStyle w:val="afffff7"/>
              <w:rPr>
                <w:color w:val="000000" w:themeColor="text1"/>
              </w:rPr>
            </w:pPr>
          </w:p>
        </w:tc>
        <w:tc>
          <w:tcPr>
            <w:tcW w:w="0" w:type="auto"/>
            <w:vAlign w:val="center"/>
          </w:tcPr>
          <w:p w14:paraId="07597D6F" w14:textId="77777777" w:rsidR="001B5123" w:rsidRPr="00092862" w:rsidRDefault="001B5123" w:rsidP="00E74664">
            <w:pPr>
              <w:pStyle w:val="afffff7"/>
              <w:rPr>
                <w:color w:val="000000" w:themeColor="text1"/>
              </w:rPr>
            </w:pPr>
            <w:r w:rsidRPr="00092862">
              <w:rPr>
                <w:color w:val="000000" w:themeColor="text1"/>
              </w:rPr>
              <w:t>泥浆循环罐</w:t>
            </w:r>
          </w:p>
        </w:tc>
        <w:tc>
          <w:tcPr>
            <w:tcW w:w="0" w:type="auto"/>
            <w:vAlign w:val="center"/>
          </w:tcPr>
          <w:p w14:paraId="0F2DB3F0" w14:textId="77777777" w:rsidR="001B5123" w:rsidRPr="00092862" w:rsidRDefault="001B5123" w:rsidP="00E74664">
            <w:pPr>
              <w:pStyle w:val="afffff7"/>
              <w:rPr>
                <w:color w:val="000000" w:themeColor="text1"/>
              </w:rPr>
            </w:pPr>
            <w:r w:rsidRPr="00092862">
              <w:rPr>
                <w:color w:val="000000" w:themeColor="text1"/>
              </w:rPr>
              <w:t>80m</w:t>
            </w:r>
            <w:r w:rsidRPr="00092862">
              <w:rPr>
                <w:color w:val="000000" w:themeColor="text1"/>
                <w:vertAlign w:val="superscript"/>
              </w:rPr>
              <w:t>3</w:t>
            </w:r>
            <w:r w:rsidRPr="00092862">
              <w:rPr>
                <w:color w:val="000000" w:themeColor="text1"/>
              </w:rPr>
              <w:t>/</w:t>
            </w:r>
            <w:r w:rsidRPr="00092862">
              <w:rPr>
                <w:color w:val="000000" w:themeColor="text1"/>
              </w:rPr>
              <w:t>个</w:t>
            </w:r>
          </w:p>
        </w:tc>
        <w:tc>
          <w:tcPr>
            <w:tcW w:w="0" w:type="auto"/>
            <w:vAlign w:val="center"/>
          </w:tcPr>
          <w:p w14:paraId="675CC2E5"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6CADBAAF" w14:textId="77777777" w:rsidR="001B5123" w:rsidRPr="00092862" w:rsidRDefault="001B5123" w:rsidP="00E74664">
            <w:pPr>
              <w:pStyle w:val="afffff7"/>
              <w:rPr>
                <w:color w:val="000000" w:themeColor="text1"/>
              </w:rPr>
            </w:pPr>
            <w:r w:rsidRPr="00092862">
              <w:rPr>
                <w:color w:val="000000" w:themeColor="text1"/>
              </w:rPr>
              <w:t>5</w:t>
            </w:r>
          </w:p>
        </w:tc>
      </w:tr>
      <w:tr w:rsidR="00697429" w:rsidRPr="00092862" w14:paraId="2B34A8D2" w14:textId="77777777" w:rsidTr="00813B2A">
        <w:trPr>
          <w:cantSplit/>
          <w:trHeight w:val="271"/>
          <w:jc w:val="center"/>
        </w:trPr>
        <w:tc>
          <w:tcPr>
            <w:tcW w:w="0" w:type="auto"/>
            <w:vAlign w:val="center"/>
          </w:tcPr>
          <w:p w14:paraId="237792A2" w14:textId="77777777" w:rsidR="001B5123" w:rsidRPr="00092862" w:rsidRDefault="001B5123" w:rsidP="00E74664">
            <w:pPr>
              <w:pStyle w:val="afffff7"/>
              <w:rPr>
                <w:color w:val="000000" w:themeColor="text1"/>
              </w:rPr>
            </w:pPr>
          </w:p>
        </w:tc>
        <w:tc>
          <w:tcPr>
            <w:tcW w:w="0" w:type="auto"/>
            <w:vAlign w:val="center"/>
          </w:tcPr>
          <w:p w14:paraId="3D411F3A" w14:textId="77777777" w:rsidR="001B5123" w:rsidRPr="00092862" w:rsidRDefault="001B5123" w:rsidP="00E74664">
            <w:pPr>
              <w:pStyle w:val="afffff7"/>
              <w:rPr>
                <w:color w:val="000000" w:themeColor="text1"/>
              </w:rPr>
            </w:pPr>
            <w:r w:rsidRPr="00092862">
              <w:rPr>
                <w:color w:val="000000" w:themeColor="text1"/>
              </w:rPr>
              <w:t>泥浆储备罐</w:t>
            </w:r>
          </w:p>
        </w:tc>
        <w:tc>
          <w:tcPr>
            <w:tcW w:w="0" w:type="auto"/>
            <w:vAlign w:val="center"/>
          </w:tcPr>
          <w:p w14:paraId="0657CDC3" w14:textId="77777777" w:rsidR="001B5123" w:rsidRPr="00092862" w:rsidRDefault="001B5123" w:rsidP="00E74664">
            <w:pPr>
              <w:pStyle w:val="afffff7"/>
              <w:rPr>
                <w:color w:val="000000" w:themeColor="text1"/>
              </w:rPr>
            </w:pPr>
            <w:r w:rsidRPr="00092862">
              <w:rPr>
                <w:color w:val="000000" w:themeColor="text1"/>
              </w:rPr>
              <w:t>60m</w:t>
            </w:r>
            <w:r w:rsidRPr="00092862">
              <w:rPr>
                <w:color w:val="000000" w:themeColor="text1"/>
                <w:vertAlign w:val="superscript"/>
              </w:rPr>
              <w:t>3</w:t>
            </w:r>
            <w:r w:rsidRPr="00092862">
              <w:rPr>
                <w:color w:val="000000" w:themeColor="text1"/>
              </w:rPr>
              <w:t>/</w:t>
            </w:r>
            <w:r w:rsidRPr="00092862">
              <w:rPr>
                <w:color w:val="000000" w:themeColor="text1"/>
              </w:rPr>
              <w:t>个</w:t>
            </w:r>
          </w:p>
        </w:tc>
        <w:tc>
          <w:tcPr>
            <w:tcW w:w="0" w:type="auto"/>
            <w:vAlign w:val="center"/>
          </w:tcPr>
          <w:p w14:paraId="717D7593"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75146A08" w14:textId="77777777" w:rsidR="001B5123" w:rsidRPr="00092862" w:rsidRDefault="001B5123" w:rsidP="00E74664">
            <w:pPr>
              <w:pStyle w:val="afffff7"/>
              <w:rPr>
                <w:color w:val="000000" w:themeColor="text1"/>
              </w:rPr>
            </w:pPr>
            <w:r w:rsidRPr="00092862">
              <w:rPr>
                <w:color w:val="000000" w:themeColor="text1"/>
              </w:rPr>
              <w:t>13</w:t>
            </w:r>
          </w:p>
        </w:tc>
      </w:tr>
      <w:tr w:rsidR="00697429" w:rsidRPr="00092862" w14:paraId="0DC6A18F" w14:textId="77777777" w:rsidTr="00813B2A">
        <w:trPr>
          <w:cantSplit/>
          <w:trHeight w:val="260"/>
          <w:jc w:val="center"/>
        </w:trPr>
        <w:tc>
          <w:tcPr>
            <w:tcW w:w="0" w:type="auto"/>
            <w:vAlign w:val="center"/>
          </w:tcPr>
          <w:p w14:paraId="1E3D5A21" w14:textId="77777777" w:rsidR="001B5123" w:rsidRPr="00092862" w:rsidRDefault="001B5123" w:rsidP="00E74664">
            <w:pPr>
              <w:pStyle w:val="afffff7"/>
              <w:rPr>
                <w:color w:val="000000" w:themeColor="text1"/>
              </w:rPr>
            </w:pPr>
          </w:p>
        </w:tc>
        <w:tc>
          <w:tcPr>
            <w:tcW w:w="0" w:type="auto"/>
            <w:vAlign w:val="center"/>
          </w:tcPr>
          <w:p w14:paraId="32B775A9" w14:textId="77777777" w:rsidR="001B5123" w:rsidRPr="00092862" w:rsidRDefault="001B5123" w:rsidP="00E74664">
            <w:pPr>
              <w:pStyle w:val="afffff7"/>
              <w:rPr>
                <w:color w:val="000000" w:themeColor="text1"/>
              </w:rPr>
            </w:pPr>
            <w:r w:rsidRPr="00092862">
              <w:rPr>
                <w:color w:val="000000" w:themeColor="text1"/>
              </w:rPr>
              <w:t>搅拌器</w:t>
            </w:r>
          </w:p>
        </w:tc>
        <w:tc>
          <w:tcPr>
            <w:tcW w:w="0" w:type="auto"/>
            <w:vAlign w:val="center"/>
          </w:tcPr>
          <w:p w14:paraId="4329ADC9"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30FCC63F"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6C4E2AA3" w14:textId="77777777" w:rsidR="001B5123" w:rsidRPr="00092862" w:rsidRDefault="001B5123" w:rsidP="00E74664">
            <w:pPr>
              <w:pStyle w:val="afffff7"/>
              <w:rPr>
                <w:color w:val="000000" w:themeColor="text1"/>
              </w:rPr>
            </w:pPr>
            <w:r w:rsidRPr="00092862">
              <w:rPr>
                <w:color w:val="000000" w:themeColor="text1"/>
              </w:rPr>
              <w:t>8~10</w:t>
            </w:r>
          </w:p>
        </w:tc>
      </w:tr>
      <w:tr w:rsidR="00697429" w:rsidRPr="00092862" w14:paraId="7825C2EE" w14:textId="77777777" w:rsidTr="00813B2A">
        <w:trPr>
          <w:cantSplit/>
          <w:trHeight w:val="271"/>
          <w:jc w:val="center"/>
        </w:trPr>
        <w:tc>
          <w:tcPr>
            <w:tcW w:w="0" w:type="auto"/>
            <w:vAlign w:val="center"/>
          </w:tcPr>
          <w:p w14:paraId="1830A59F" w14:textId="77777777" w:rsidR="001B5123" w:rsidRPr="00092862" w:rsidRDefault="001B5123" w:rsidP="00E74664">
            <w:pPr>
              <w:pStyle w:val="afffff7"/>
              <w:rPr>
                <w:color w:val="000000" w:themeColor="text1"/>
              </w:rPr>
            </w:pPr>
          </w:p>
        </w:tc>
        <w:tc>
          <w:tcPr>
            <w:tcW w:w="0" w:type="auto"/>
            <w:vAlign w:val="center"/>
          </w:tcPr>
          <w:p w14:paraId="1D4E80DB" w14:textId="77777777" w:rsidR="001B5123" w:rsidRPr="00092862" w:rsidRDefault="001B5123" w:rsidP="00E74664">
            <w:pPr>
              <w:pStyle w:val="afffff7"/>
              <w:rPr>
                <w:color w:val="000000" w:themeColor="text1"/>
              </w:rPr>
            </w:pPr>
            <w:r w:rsidRPr="00092862">
              <w:rPr>
                <w:color w:val="000000" w:themeColor="text1"/>
              </w:rPr>
              <w:t>自动压风机</w:t>
            </w:r>
          </w:p>
        </w:tc>
        <w:tc>
          <w:tcPr>
            <w:tcW w:w="0" w:type="auto"/>
            <w:vAlign w:val="center"/>
          </w:tcPr>
          <w:p w14:paraId="67B21EF5" w14:textId="77777777" w:rsidR="001B5123" w:rsidRPr="00092862" w:rsidRDefault="001B5123" w:rsidP="00E74664">
            <w:pPr>
              <w:pStyle w:val="afffff7"/>
              <w:rPr>
                <w:color w:val="000000" w:themeColor="text1"/>
              </w:rPr>
            </w:pPr>
            <w:r w:rsidRPr="00092862">
              <w:rPr>
                <w:color w:val="000000" w:themeColor="text1"/>
              </w:rPr>
              <w:t>2V6.5/12</w:t>
            </w:r>
          </w:p>
        </w:tc>
        <w:tc>
          <w:tcPr>
            <w:tcW w:w="0" w:type="auto"/>
            <w:vAlign w:val="center"/>
          </w:tcPr>
          <w:p w14:paraId="375A8F32" w14:textId="77777777" w:rsidR="001B5123" w:rsidRPr="00092862" w:rsidRDefault="001B5123" w:rsidP="00E74664">
            <w:pPr>
              <w:pStyle w:val="afffff7"/>
              <w:rPr>
                <w:color w:val="000000" w:themeColor="text1"/>
              </w:rPr>
            </w:pPr>
            <w:r w:rsidRPr="00092862">
              <w:rPr>
                <w:color w:val="000000" w:themeColor="text1"/>
              </w:rPr>
              <w:t>6.5m</w:t>
            </w:r>
            <w:r w:rsidRPr="00092862">
              <w:rPr>
                <w:color w:val="000000" w:themeColor="text1"/>
                <w:vertAlign w:val="superscript"/>
              </w:rPr>
              <w:t>3</w:t>
            </w:r>
            <w:r w:rsidRPr="00092862">
              <w:rPr>
                <w:color w:val="000000" w:themeColor="text1"/>
              </w:rPr>
              <w:t>/h</w:t>
            </w:r>
          </w:p>
        </w:tc>
        <w:tc>
          <w:tcPr>
            <w:tcW w:w="0" w:type="auto"/>
            <w:vAlign w:val="center"/>
          </w:tcPr>
          <w:p w14:paraId="2834441D"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7FDE55EE" w14:textId="77777777" w:rsidTr="00813B2A">
        <w:trPr>
          <w:cantSplit/>
          <w:trHeight w:val="260"/>
          <w:jc w:val="center"/>
        </w:trPr>
        <w:tc>
          <w:tcPr>
            <w:tcW w:w="0" w:type="auto"/>
            <w:vAlign w:val="center"/>
          </w:tcPr>
          <w:p w14:paraId="5BB41FB7" w14:textId="77777777" w:rsidR="001B5123" w:rsidRPr="00092862" w:rsidRDefault="001B5123" w:rsidP="00E74664">
            <w:pPr>
              <w:pStyle w:val="afffff7"/>
              <w:rPr>
                <w:color w:val="000000" w:themeColor="text1"/>
              </w:rPr>
            </w:pPr>
          </w:p>
        </w:tc>
        <w:tc>
          <w:tcPr>
            <w:tcW w:w="0" w:type="auto"/>
            <w:vAlign w:val="center"/>
          </w:tcPr>
          <w:p w14:paraId="2831A80B" w14:textId="77777777" w:rsidR="001B5123" w:rsidRPr="00092862" w:rsidRDefault="001B5123" w:rsidP="00E74664">
            <w:pPr>
              <w:pStyle w:val="afffff7"/>
              <w:rPr>
                <w:color w:val="000000" w:themeColor="text1"/>
              </w:rPr>
            </w:pPr>
            <w:r w:rsidRPr="00092862">
              <w:rPr>
                <w:color w:val="000000" w:themeColor="text1"/>
              </w:rPr>
              <w:t>电动压风机</w:t>
            </w:r>
          </w:p>
        </w:tc>
        <w:tc>
          <w:tcPr>
            <w:tcW w:w="0" w:type="auto"/>
            <w:vAlign w:val="center"/>
          </w:tcPr>
          <w:p w14:paraId="14086B71" w14:textId="77777777" w:rsidR="001B5123" w:rsidRPr="00092862" w:rsidRDefault="001B5123" w:rsidP="00E74664">
            <w:pPr>
              <w:pStyle w:val="afffff7"/>
              <w:rPr>
                <w:color w:val="000000" w:themeColor="text1"/>
              </w:rPr>
            </w:pPr>
            <w:r w:rsidRPr="00092862">
              <w:rPr>
                <w:color w:val="000000" w:themeColor="text1"/>
              </w:rPr>
              <w:t>LGD-3/10-X</w:t>
            </w:r>
          </w:p>
        </w:tc>
        <w:tc>
          <w:tcPr>
            <w:tcW w:w="0" w:type="auto"/>
            <w:vAlign w:val="center"/>
          </w:tcPr>
          <w:p w14:paraId="220E7F6E" w14:textId="77777777" w:rsidR="001B5123" w:rsidRPr="00092862" w:rsidRDefault="001B5123" w:rsidP="00E74664">
            <w:pPr>
              <w:pStyle w:val="afffff7"/>
              <w:rPr>
                <w:color w:val="000000" w:themeColor="text1"/>
              </w:rPr>
            </w:pPr>
            <w:r w:rsidRPr="00092862">
              <w:rPr>
                <w:color w:val="000000" w:themeColor="text1"/>
              </w:rPr>
              <w:t>3.5m</w:t>
            </w:r>
            <w:r w:rsidRPr="00092862">
              <w:rPr>
                <w:color w:val="000000" w:themeColor="text1"/>
                <w:vertAlign w:val="superscript"/>
              </w:rPr>
              <w:t>3</w:t>
            </w:r>
            <w:r w:rsidRPr="00092862">
              <w:rPr>
                <w:color w:val="000000" w:themeColor="text1"/>
              </w:rPr>
              <w:t>/h</w:t>
            </w:r>
          </w:p>
        </w:tc>
        <w:tc>
          <w:tcPr>
            <w:tcW w:w="0" w:type="auto"/>
            <w:vAlign w:val="center"/>
          </w:tcPr>
          <w:p w14:paraId="213B6D57"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D3CDFDC" w14:textId="77777777" w:rsidTr="00813B2A">
        <w:trPr>
          <w:cantSplit/>
          <w:trHeight w:val="271"/>
          <w:jc w:val="center"/>
        </w:trPr>
        <w:tc>
          <w:tcPr>
            <w:tcW w:w="0" w:type="auto"/>
            <w:vAlign w:val="center"/>
          </w:tcPr>
          <w:p w14:paraId="0F937590" w14:textId="77777777" w:rsidR="001B5123" w:rsidRPr="00092862" w:rsidRDefault="001B5123" w:rsidP="00E74664">
            <w:pPr>
              <w:pStyle w:val="afffff7"/>
              <w:rPr>
                <w:color w:val="000000" w:themeColor="text1"/>
              </w:rPr>
            </w:pPr>
          </w:p>
        </w:tc>
        <w:tc>
          <w:tcPr>
            <w:tcW w:w="0" w:type="auto"/>
            <w:vAlign w:val="center"/>
          </w:tcPr>
          <w:p w14:paraId="2711D095" w14:textId="77777777" w:rsidR="001B5123" w:rsidRPr="00092862" w:rsidRDefault="001B5123" w:rsidP="00E74664">
            <w:pPr>
              <w:pStyle w:val="afffff7"/>
              <w:rPr>
                <w:color w:val="000000" w:themeColor="text1"/>
              </w:rPr>
            </w:pPr>
            <w:r w:rsidRPr="00092862">
              <w:rPr>
                <w:color w:val="000000" w:themeColor="text1"/>
              </w:rPr>
              <w:t>刹车系统</w:t>
            </w:r>
          </w:p>
        </w:tc>
        <w:tc>
          <w:tcPr>
            <w:tcW w:w="0" w:type="auto"/>
            <w:vAlign w:val="center"/>
          </w:tcPr>
          <w:p w14:paraId="717BB19A"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31595A1B"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4BE28CB5"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1A623954" w14:textId="77777777" w:rsidTr="00813B2A">
        <w:trPr>
          <w:cantSplit/>
          <w:trHeight w:val="260"/>
          <w:jc w:val="center"/>
        </w:trPr>
        <w:tc>
          <w:tcPr>
            <w:tcW w:w="0" w:type="auto"/>
            <w:vAlign w:val="center"/>
          </w:tcPr>
          <w:p w14:paraId="3364C82D" w14:textId="77777777" w:rsidR="001B5123" w:rsidRPr="00092862" w:rsidRDefault="001B5123" w:rsidP="00E74664">
            <w:pPr>
              <w:pStyle w:val="afffff7"/>
              <w:rPr>
                <w:color w:val="000000" w:themeColor="text1"/>
              </w:rPr>
            </w:pPr>
          </w:p>
        </w:tc>
        <w:tc>
          <w:tcPr>
            <w:tcW w:w="0" w:type="auto"/>
            <w:vAlign w:val="center"/>
          </w:tcPr>
          <w:p w14:paraId="3C60243D" w14:textId="77777777" w:rsidR="001B5123" w:rsidRPr="00092862" w:rsidRDefault="001B5123" w:rsidP="00E74664">
            <w:pPr>
              <w:pStyle w:val="afffff7"/>
              <w:rPr>
                <w:color w:val="000000" w:themeColor="text1"/>
              </w:rPr>
            </w:pPr>
            <w:r w:rsidRPr="00092862">
              <w:rPr>
                <w:color w:val="000000" w:themeColor="text1"/>
              </w:rPr>
              <w:t>辅助刹车</w:t>
            </w:r>
          </w:p>
        </w:tc>
        <w:tc>
          <w:tcPr>
            <w:tcW w:w="0" w:type="auto"/>
            <w:vAlign w:val="center"/>
          </w:tcPr>
          <w:p w14:paraId="4F5B1359"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74021957"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F9320E9"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6D21F42" w14:textId="77777777" w:rsidTr="00813B2A">
        <w:trPr>
          <w:cantSplit/>
          <w:trHeight w:val="271"/>
          <w:jc w:val="center"/>
        </w:trPr>
        <w:tc>
          <w:tcPr>
            <w:tcW w:w="0" w:type="auto"/>
            <w:vAlign w:val="center"/>
          </w:tcPr>
          <w:p w14:paraId="453E0536" w14:textId="77777777" w:rsidR="001B5123" w:rsidRPr="00092862" w:rsidRDefault="001B5123" w:rsidP="00E74664">
            <w:pPr>
              <w:pStyle w:val="afffff7"/>
              <w:rPr>
                <w:color w:val="000000" w:themeColor="text1"/>
              </w:rPr>
            </w:pPr>
          </w:p>
        </w:tc>
        <w:tc>
          <w:tcPr>
            <w:tcW w:w="0" w:type="auto"/>
            <w:vAlign w:val="center"/>
          </w:tcPr>
          <w:p w14:paraId="775ABD35" w14:textId="77777777" w:rsidR="001B5123" w:rsidRPr="00092862" w:rsidRDefault="001B5123" w:rsidP="00E74664">
            <w:pPr>
              <w:pStyle w:val="afffff7"/>
              <w:rPr>
                <w:color w:val="000000" w:themeColor="text1"/>
              </w:rPr>
            </w:pPr>
            <w:r w:rsidRPr="00092862">
              <w:rPr>
                <w:color w:val="000000" w:themeColor="text1"/>
              </w:rPr>
              <w:t>振动筛</w:t>
            </w:r>
            <w:r w:rsidRPr="00092862">
              <w:rPr>
                <w:color w:val="000000" w:themeColor="text1"/>
              </w:rPr>
              <w:t>1#</w:t>
            </w:r>
          </w:p>
        </w:tc>
        <w:tc>
          <w:tcPr>
            <w:tcW w:w="0" w:type="auto"/>
            <w:vAlign w:val="center"/>
          </w:tcPr>
          <w:p w14:paraId="6F199D3A" w14:textId="77777777" w:rsidR="001B5123" w:rsidRPr="00092862" w:rsidRDefault="001B5123" w:rsidP="00E74664">
            <w:pPr>
              <w:pStyle w:val="afffff7"/>
              <w:rPr>
                <w:color w:val="000000" w:themeColor="text1"/>
              </w:rPr>
            </w:pPr>
            <w:r w:rsidRPr="00092862">
              <w:rPr>
                <w:color w:val="000000" w:themeColor="text1"/>
              </w:rPr>
              <w:t>ZS1*1.15</w:t>
            </w:r>
          </w:p>
        </w:tc>
        <w:tc>
          <w:tcPr>
            <w:tcW w:w="0" w:type="auto"/>
            <w:vAlign w:val="center"/>
          </w:tcPr>
          <w:p w14:paraId="44B1A764" w14:textId="77777777" w:rsidR="001B5123" w:rsidRPr="00092862" w:rsidRDefault="001B5123" w:rsidP="00E74664">
            <w:pPr>
              <w:pStyle w:val="afffff7"/>
              <w:rPr>
                <w:color w:val="000000" w:themeColor="text1"/>
              </w:rPr>
            </w:pPr>
            <w:r w:rsidRPr="00092862">
              <w:rPr>
                <w:color w:val="000000" w:themeColor="text1"/>
              </w:rPr>
              <w:t>5.5kW</w:t>
            </w:r>
          </w:p>
        </w:tc>
        <w:tc>
          <w:tcPr>
            <w:tcW w:w="0" w:type="auto"/>
            <w:vAlign w:val="center"/>
          </w:tcPr>
          <w:p w14:paraId="6E6F81C4"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3BBF835" w14:textId="77777777" w:rsidTr="00813B2A">
        <w:trPr>
          <w:cantSplit/>
          <w:trHeight w:val="260"/>
          <w:jc w:val="center"/>
        </w:trPr>
        <w:tc>
          <w:tcPr>
            <w:tcW w:w="0" w:type="auto"/>
            <w:vAlign w:val="center"/>
          </w:tcPr>
          <w:p w14:paraId="060605EA" w14:textId="77777777" w:rsidR="001B5123" w:rsidRPr="00092862" w:rsidRDefault="001B5123" w:rsidP="00E74664">
            <w:pPr>
              <w:pStyle w:val="afffff7"/>
              <w:rPr>
                <w:color w:val="000000" w:themeColor="text1"/>
              </w:rPr>
            </w:pPr>
          </w:p>
        </w:tc>
        <w:tc>
          <w:tcPr>
            <w:tcW w:w="0" w:type="auto"/>
            <w:vAlign w:val="center"/>
          </w:tcPr>
          <w:p w14:paraId="301D9ACE" w14:textId="77777777" w:rsidR="001B5123" w:rsidRPr="00092862" w:rsidRDefault="001B5123" w:rsidP="00E74664">
            <w:pPr>
              <w:pStyle w:val="afffff7"/>
              <w:rPr>
                <w:color w:val="000000" w:themeColor="text1"/>
              </w:rPr>
            </w:pPr>
            <w:r w:rsidRPr="00092862">
              <w:rPr>
                <w:color w:val="000000" w:themeColor="text1"/>
              </w:rPr>
              <w:t>振动筛</w:t>
            </w:r>
            <w:r w:rsidRPr="00092862">
              <w:rPr>
                <w:color w:val="000000" w:themeColor="text1"/>
              </w:rPr>
              <w:t>2#</w:t>
            </w:r>
          </w:p>
        </w:tc>
        <w:tc>
          <w:tcPr>
            <w:tcW w:w="0" w:type="auto"/>
            <w:vAlign w:val="center"/>
          </w:tcPr>
          <w:p w14:paraId="7AC89E89" w14:textId="77777777" w:rsidR="001B5123" w:rsidRPr="00092862" w:rsidRDefault="001B5123" w:rsidP="00E74664">
            <w:pPr>
              <w:pStyle w:val="afffff7"/>
              <w:rPr>
                <w:color w:val="000000" w:themeColor="text1"/>
              </w:rPr>
            </w:pPr>
            <w:r w:rsidRPr="00092862">
              <w:rPr>
                <w:color w:val="000000" w:themeColor="text1"/>
              </w:rPr>
              <w:t>ZS1*1.15</w:t>
            </w:r>
          </w:p>
        </w:tc>
        <w:tc>
          <w:tcPr>
            <w:tcW w:w="0" w:type="auto"/>
            <w:vAlign w:val="center"/>
          </w:tcPr>
          <w:p w14:paraId="7D76D578" w14:textId="77777777" w:rsidR="001B5123" w:rsidRPr="00092862" w:rsidRDefault="001B5123" w:rsidP="00E74664">
            <w:pPr>
              <w:pStyle w:val="afffff7"/>
              <w:rPr>
                <w:color w:val="000000" w:themeColor="text1"/>
              </w:rPr>
            </w:pPr>
            <w:r w:rsidRPr="00092862">
              <w:rPr>
                <w:color w:val="000000" w:themeColor="text1"/>
              </w:rPr>
              <w:t>5.5kW</w:t>
            </w:r>
          </w:p>
        </w:tc>
        <w:tc>
          <w:tcPr>
            <w:tcW w:w="0" w:type="auto"/>
            <w:vAlign w:val="center"/>
          </w:tcPr>
          <w:p w14:paraId="52E8456B"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6D9CBE6F" w14:textId="77777777" w:rsidTr="00813B2A">
        <w:trPr>
          <w:cantSplit/>
          <w:trHeight w:val="271"/>
          <w:jc w:val="center"/>
        </w:trPr>
        <w:tc>
          <w:tcPr>
            <w:tcW w:w="0" w:type="auto"/>
            <w:vAlign w:val="center"/>
          </w:tcPr>
          <w:p w14:paraId="4D2DD707" w14:textId="77777777" w:rsidR="001B5123" w:rsidRPr="00092862" w:rsidRDefault="001B5123" w:rsidP="00E74664">
            <w:pPr>
              <w:pStyle w:val="afffff7"/>
              <w:rPr>
                <w:color w:val="000000" w:themeColor="text1"/>
              </w:rPr>
            </w:pPr>
          </w:p>
        </w:tc>
        <w:tc>
          <w:tcPr>
            <w:tcW w:w="0" w:type="auto"/>
            <w:vAlign w:val="center"/>
          </w:tcPr>
          <w:p w14:paraId="729F1636" w14:textId="77777777" w:rsidR="001B5123" w:rsidRPr="00092862" w:rsidRDefault="001B5123" w:rsidP="00E74664">
            <w:pPr>
              <w:pStyle w:val="afffff7"/>
              <w:rPr>
                <w:color w:val="000000" w:themeColor="text1"/>
              </w:rPr>
            </w:pPr>
            <w:r w:rsidRPr="00092862">
              <w:rPr>
                <w:color w:val="000000" w:themeColor="text1"/>
              </w:rPr>
              <w:t>振动筛</w:t>
            </w:r>
            <w:r w:rsidRPr="00092862">
              <w:rPr>
                <w:color w:val="000000" w:themeColor="text1"/>
              </w:rPr>
              <w:t>3#</w:t>
            </w:r>
          </w:p>
        </w:tc>
        <w:tc>
          <w:tcPr>
            <w:tcW w:w="0" w:type="auto"/>
            <w:vAlign w:val="center"/>
          </w:tcPr>
          <w:p w14:paraId="5C23FA52" w14:textId="77777777" w:rsidR="001B5123" w:rsidRPr="00092862" w:rsidRDefault="001B5123" w:rsidP="00E74664">
            <w:pPr>
              <w:pStyle w:val="afffff7"/>
              <w:rPr>
                <w:color w:val="000000" w:themeColor="text1"/>
              </w:rPr>
            </w:pPr>
            <w:r w:rsidRPr="00092862">
              <w:rPr>
                <w:color w:val="000000" w:themeColor="text1"/>
              </w:rPr>
              <w:t>ZS1*1.15</w:t>
            </w:r>
          </w:p>
        </w:tc>
        <w:tc>
          <w:tcPr>
            <w:tcW w:w="0" w:type="auto"/>
            <w:vAlign w:val="center"/>
          </w:tcPr>
          <w:p w14:paraId="6B46FA6C" w14:textId="77777777" w:rsidR="001B5123" w:rsidRPr="00092862" w:rsidRDefault="001B5123" w:rsidP="00E74664">
            <w:pPr>
              <w:pStyle w:val="afffff7"/>
              <w:rPr>
                <w:color w:val="000000" w:themeColor="text1"/>
              </w:rPr>
            </w:pPr>
            <w:r w:rsidRPr="00092862">
              <w:rPr>
                <w:color w:val="000000" w:themeColor="text1"/>
              </w:rPr>
              <w:t>5.5kW</w:t>
            </w:r>
          </w:p>
        </w:tc>
        <w:tc>
          <w:tcPr>
            <w:tcW w:w="0" w:type="auto"/>
            <w:vAlign w:val="center"/>
          </w:tcPr>
          <w:p w14:paraId="1D01EAE3"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388B8C9" w14:textId="77777777" w:rsidTr="00813B2A">
        <w:trPr>
          <w:cantSplit/>
          <w:trHeight w:val="260"/>
          <w:jc w:val="center"/>
        </w:trPr>
        <w:tc>
          <w:tcPr>
            <w:tcW w:w="0" w:type="auto"/>
            <w:vAlign w:val="center"/>
          </w:tcPr>
          <w:p w14:paraId="31429C77" w14:textId="77777777" w:rsidR="001B5123" w:rsidRPr="00092862" w:rsidRDefault="001B5123" w:rsidP="00E74664">
            <w:pPr>
              <w:pStyle w:val="afffff7"/>
              <w:rPr>
                <w:color w:val="000000" w:themeColor="text1"/>
              </w:rPr>
            </w:pPr>
          </w:p>
        </w:tc>
        <w:tc>
          <w:tcPr>
            <w:tcW w:w="0" w:type="auto"/>
            <w:vAlign w:val="center"/>
          </w:tcPr>
          <w:p w14:paraId="637949AF" w14:textId="77777777" w:rsidR="001B5123" w:rsidRPr="00092862" w:rsidRDefault="001B5123" w:rsidP="00E74664">
            <w:pPr>
              <w:pStyle w:val="afffff7"/>
              <w:rPr>
                <w:color w:val="000000" w:themeColor="text1"/>
              </w:rPr>
            </w:pPr>
            <w:r w:rsidRPr="00092862">
              <w:rPr>
                <w:color w:val="000000" w:themeColor="text1"/>
              </w:rPr>
              <w:t>除砂器</w:t>
            </w:r>
          </w:p>
        </w:tc>
        <w:tc>
          <w:tcPr>
            <w:tcW w:w="0" w:type="auto"/>
            <w:vAlign w:val="center"/>
          </w:tcPr>
          <w:p w14:paraId="3F0CB137" w14:textId="77777777" w:rsidR="001B5123" w:rsidRPr="00092862" w:rsidRDefault="001B5123" w:rsidP="00E74664">
            <w:pPr>
              <w:pStyle w:val="afffff7"/>
              <w:rPr>
                <w:color w:val="000000" w:themeColor="text1"/>
              </w:rPr>
            </w:pPr>
            <w:r w:rsidRPr="00092862">
              <w:rPr>
                <w:color w:val="000000" w:themeColor="text1"/>
              </w:rPr>
              <w:t>XQJS300*2F</w:t>
            </w:r>
          </w:p>
        </w:tc>
        <w:tc>
          <w:tcPr>
            <w:tcW w:w="0" w:type="auto"/>
            <w:vAlign w:val="center"/>
          </w:tcPr>
          <w:p w14:paraId="64F7615F" w14:textId="77777777" w:rsidR="001B5123" w:rsidRPr="00092862" w:rsidRDefault="001B5123" w:rsidP="00E74664">
            <w:pPr>
              <w:pStyle w:val="afffff7"/>
              <w:rPr>
                <w:color w:val="000000" w:themeColor="text1"/>
              </w:rPr>
            </w:pPr>
            <w:r w:rsidRPr="00092862">
              <w:rPr>
                <w:color w:val="000000" w:themeColor="text1"/>
              </w:rPr>
              <w:t>55kW</w:t>
            </w:r>
          </w:p>
        </w:tc>
        <w:tc>
          <w:tcPr>
            <w:tcW w:w="0" w:type="auto"/>
            <w:vAlign w:val="center"/>
          </w:tcPr>
          <w:p w14:paraId="015F63EA"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1BC69A8" w14:textId="77777777" w:rsidTr="00813B2A">
        <w:trPr>
          <w:cantSplit/>
          <w:trHeight w:val="271"/>
          <w:jc w:val="center"/>
        </w:trPr>
        <w:tc>
          <w:tcPr>
            <w:tcW w:w="0" w:type="auto"/>
            <w:vAlign w:val="center"/>
          </w:tcPr>
          <w:p w14:paraId="6F25DA60" w14:textId="77777777" w:rsidR="001B5123" w:rsidRPr="00092862" w:rsidRDefault="001B5123" w:rsidP="00E74664">
            <w:pPr>
              <w:pStyle w:val="afffff7"/>
              <w:rPr>
                <w:color w:val="000000" w:themeColor="text1"/>
              </w:rPr>
            </w:pPr>
          </w:p>
        </w:tc>
        <w:tc>
          <w:tcPr>
            <w:tcW w:w="0" w:type="auto"/>
            <w:vAlign w:val="center"/>
          </w:tcPr>
          <w:p w14:paraId="1A3774A3" w14:textId="77777777" w:rsidR="001B5123" w:rsidRPr="00092862" w:rsidRDefault="001B5123" w:rsidP="00E74664">
            <w:pPr>
              <w:pStyle w:val="afffff7"/>
              <w:rPr>
                <w:color w:val="000000" w:themeColor="text1"/>
              </w:rPr>
            </w:pPr>
            <w:r w:rsidRPr="00092862">
              <w:rPr>
                <w:color w:val="000000" w:themeColor="text1"/>
              </w:rPr>
              <w:t>除泥器</w:t>
            </w:r>
          </w:p>
        </w:tc>
        <w:tc>
          <w:tcPr>
            <w:tcW w:w="0" w:type="auto"/>
            <w:vAlign w:val="center"/>
          </w:tcPr>
          <w:p w14:paraId="5C824A16"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D6102AA"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5DAFF0F9"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304819D0" w14:textId="77777777" w:rsidTr="00813B2A">
        <w:trPr>
          <w:cantSplit/>
          <w:trHeight w:val="260"/>
          <w:jc w:val="center"/>
        </w:trPr>
        <w:tc>
          <w:tcPr>
            <w:tcW w:w="0" w:type="auto"/>
            <w:vAlign w:val="center"/>
          </w:tcPr>
          <w:p w14:paraId="742E2CC4" w14:textId="77777777" w:rsidR="001B5123" w:rsidRPr="00092862" w:rsidRDefault="001B5123" w:rsidP="00E74664">
            <w:pPr>
              <w:pStyle w:val="afffff7"/>
              <w:rPr>
                <w:color w:val="000000" w:themeColor="text1"/>
              </w:rPr>
            </w:pPr>
          </w:p>
        </w:tc>
        <w:tc>
          <w:tcPr>
            <w:tcW w:w="0" w:type="auto"/>
            <w:vAlign w:val="center"/>
          </w:tcPr>
          <w:p w14:paraId="2A785A22" w14:textId="77777777" w:rsidR="001B5123" w:rsidRPr="00092862" w:rsidRDefault="001B5123" w:rsidP="00E74664">
            <w:pPr>
              <w:pStyle w:val="afffff7"/>
              <w:rPr>
                <w:color w:val="000000" w:themeColor="text1"/>
              </w:rPr>
            </w:pPr>
            <w:r w:rsidRPr="00092862">
              <w:rPr>
                <w:color w:val="000000" w:themeColor="text1"/>
              </w:rPr>
              <w:t>除气器</w:t>
            </w:r>
          </w:p>
        </w:tc>
        <w:tc>
          <w:tcPr>
            <w:tcW w:w="0" w:type="auto"/>
            <w:vAlign w:val="center"/>
          </w:tcPr>
          <w:p w14:paraId="662698CD"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71C0D121"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D23C4F8"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CE7F07E" w14:textId="77777777" w:rsidTr="00813B2A">
        <w:trPr>
          <w:cantSplit/>
          <w:trHeight w:val="260"/>
          <w:jc w:val="center"/>
        </w:trPr>
        <w:tc>
          <w:tcPr>
            <w:tcW w:w="0" w:type="auto"/>
            <w:vAlign w:val="center"/>
          </w:tcPr>
          <w:p w14:paraId="5913117C" w14:textId="77777777" w:rsidR="001B5123" w:rsidRPr="00092862" w:rsidRDefault="001B5123" w:rsidP="00E74664">
            <w:pPr>
              <w:pStyle w:val="afffff7"/>
              <w:rPr>
                <w:color w:val="000000" w:themeColor="text1"/>
              </w:rPr>
            </w:pPr>
          </w:p>
        </w:tc>
        <w:tc>
          <w:tcPr>
            <w:tcW w:w="0" w:type="auto"/>
            <w:vAlign w:val="center"/>
          </w:tcPr>
          <w:p w14:paraId="4B92A27B" w14:textId="77777777" w:rsidR="001B5123" w:rsidRPr="00092862" w:rsidRDefault="001B5123" w:rsidP="00E74664">
            <w:pPr>
              <w:pStyle w:val="afffff7"/>
              <w:rPr>
                <w:color w:val="000000" w:themeColor="text1"/>
              </w:rPr>
            </w:pPr>
            <w:r w:rsidRPr="00092862">
              <w:rPr>
                <w:color w:val="000000" w:themeColor="text1"/>
              </w:rPr>
              <w:t>离心机</w:t>
            </w:r>
          </w:p>
        </w:tc>
        <w:tc>
          <w:tcPr>
            <w:tcW w:w="0" w:type="auto"/>
            <w:vAlign w:val="center"/>
          </w:tcPr>
          <w:p w14:paraId="537019C1" w14:textId="77777777" w:rsidR="001B5123" w:rsidRPr="00092862" w:rsidRDefault="001B5123" w:rsidP="00E74664">
            <w:pPr>
              <w:pStyle w:val="afffff7"/>
              <w:rPr>
                <w:color w:val="000000" w:themeColor="text1"/>
              </w:rPr>
            </w:pPr>
            <w:r w:rsidRPr="00092862">
              <w:rPr>
                <w:color w:val="000000" w:themeColor="text1"/>
              </w:rPr>
              <w:t>LW600-945N</w:t>
            </w:r>
          </w:p>
        </w:tc>
        <w:tc>
          <w:tcPr>
            <w:tcW w:w="0" w:type="auto"/>
            <w:vAlign w:val="center"/>
          </w:tcPr>
          <w:p w14:paraId="0E98EF7C" w14:textId="77777777" w:rsidR="001B5123" w:rsidRPr="00092862" w:rsidRDefault="001B5123" w:rsidP="00E74664">
            <w:pPr>
              <w:pStyle w:val="afffff7"/>
              <w:rPr>
                <w:color w:val="000000" w:themeColor="text1"/>
              </w:rPr>
            </w:pPr>
            <w:r w:rsidRPr="00092862">
              <w:rPr>
                <w:color w:val="000000" w:themeColor="text1"/>
              </w:rPr>
              <w:t>60m</w:t>
            </w:r>
            <w:r w:rsidRPr="00092862">
              <w:rPr>
                <w:color w:val="000000" w:themeColor="text1"/>
                <w:vertAlign w:val="superscript"/>
              </w:rPr>
              <w:t>3</w:t>
            </w:r>
            <w:r w:rsidRPr="00092862">
              <w:rPr>
                <w:color w:val="000000" w:themeColor="text1"/>
              </w:rPr>
              <w:t>/h</w:t>
            </w:r>
          </w:p>
        </w:tc>
        <w:tc>
          <w:tcPr>
            <w:tcW w:w="0" w:type="auto"/>
            <w:vAlign w:val="center"/>
          </w:tcPr>
          <w:p w14:paraId="1C2830E1"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56789CAF" w14:textId="77777777" w:rsidTr="00813B2A">
        <w:trPr>
          <w:cantSplit/>
          <w:trHeight w:val="271"/>
          <w:jc w:val="center"/>
        </w:trPr>
        <w:tc>
          <w:tcPr>
            <w:tcW w:w="0" w:type="auto"/>
            <w:vAlign w:val="center"/>
          </w:tcPr>
          <w:p w14:paraId="7901F9EC" w14:textId="77777777" w:rsidR="001B5123" w:rsidRPr="00092862" w:rsidRDefault="001B5123" w:rsidP="00E74664">
            <w:pPr>
              <w:pStyle w:val="afffff7"/>
              <w:rPr>
                <w:color w:val="000000" w:themeColor="text1"/>
              </w:rPr>
            </w:pPr>
          </w:p>
        </w:tc>
        <w:tc>
          <w:tcPr>
            <w:tcW w:w="0" w:type="auto"/>
            <w:vAlign w:val="center"/>
          </w:tcPr>
          <w:p w14:paraId="5BDDBF01" w14:textId="77777777" w:rsidR="001B5123" w:rsidRPr="00092862" w:rsidRDefault="001B5123" w:rsidP="00E74664">
            <w:pPr>
              <w:pStyle w:val="afffff7"/>
              <w:rPr>
                <w:color w:val="000000" w:themeColor="text1"/>
              </w:rPr>
            </w:pPr>
            <w:r w:rsidRPr="00092862">
              <w:rPr>
                <w:color w:val="000000" w:themeColor="text1"/>
              </w:rPr>
              <w:t>加重漏斗</w:t>
            </w:r>
          </w:p>
        </w:tc>
        <w:tc>
          <w:tcPr>
            <w:tcW w:w="0" w:type="auto"/>
            <w:vAlign w:val="center"/>
          </w:tcPr>
          <w:p w14:paraId="64F57555"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37A33444"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B18EE3F"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50D9F01D" w14:textId="77777777" w:rsidTr="00813B2A">
        <w:trPr>
          <w:cantSplit/>
          <w:trHeight w:val="260"/>
          <w:jc w:val="center"/>
        </w:trPr>
        <w:tc>
          <w:tcPr>
            <w:tcW w:w="0" w:type="auto"/>
            <w:vAlign w:val="center"/>
          </w:tcPr>
          <w:p w14:paraId="6C1FCF72" w14:textId="77777777" w:rsidR="001B5123" w:rsidRPr="00092862" w:rsidRDefault="001B5123" w:rsidP="00E74664">
            <w:pPr>
              <w:pStyle w:val="afffff7"/>
              <w:rPr>
                <w:color w:val="000000" w:themeColor="text1"/>
              </w:rPr>
            </w:pPr>
          </w:p>
        </w:tc>
        <w:tc>
          <w:tcPr>
            <w:tcW w:w="0" w:type="auto"/>
            <w:vAlign w:val="center"/>
          </w:tcPr>
          <w:p w14:paraId="1B663B82" w14:textId="77777777" w:rsidR="001B5123" w:rsidRPr="00092862" w:rsidRDefault="001B5123" w:rsidP="00E74664">
            <w:pPr>
              <w:pStyle w:val="afffff7"/>
              <w:rPr>
                <w:color w:val="000000" w:themeColor="text1"/>
              </w:rPr>
            </w:pPr>
            <w:r w:rsidRPr="00092862">
              <w:rPr>
                <w:color w:val="000000" w:themeColor="text1"/>
              </w:rPr>
              <w:t>电动加重泵</w:t>
            </w:r>
          </w:p>
        </w:tc>
        <w:tc>
          <w:tcPr>
            <w:tcW w:w="0" w:type="auto"/>
            <w:vAlign w:val="center"/>
          </w:tcPr>
          <w:p w14:paraId="3C059DB4" w14:textId="77777777" w:rsidR="001B5123" w:rsidRPr="00092862" w:rsidRDefault="001B5123" w:rsidP="00E74664">
            <w:pPr>
              <w:pStyle w:val="afffff7"/>
              <w:rPr>
                <w:color w:val="000000" w:themeColor="text1"/>
              </w:rPr>
            </w:pPr>
            <w:r w:rsidRPr="00092862">
              <w:rPr>
                <w:color w:val="000000" w:themeColor="text1"/>
              </w:rPr>
              <w:t>PHQ-150</w:t>
            </w:r>
          </w:p>
        </w:tc>
        <w:tc>
          <w:tcPr>
            <w:tcW w:w="0" w:type="auto"/>
            <w:vAlign w:val="center"/>
          </w:tcPr>
          <w:p w14:paraId="3E7FD410"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48F74334"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62847F53" w14:textId="77777777" w:rsidTr="00813B2A">
        <w:trPr>
          <w:cantSplit/>
          <w:trHeight w:val="260"/>
          <w:jc w:val="center"/>
        </w:trPr>
        <w:tc>
          <w:tcPr>
            <w:tcW w:w="0" w:type="auto"/>
            <w:vAlign w:val="center"/>
          </w:tcPr>
          <w:p w14:paraId="53DD7AA6" w14:textId="77777777" w:rsidR="001B5123" w:rsidRPr="00092862" w:rsidRDefault="001B5123" w:rsidP="00E74664">
            <w:pPr>
              <w:pStyle w:val="afffff7"/>
              <w:rPr>
                <w:color w:val="000000" w:themeColor="text1"/>
              </w:rPr>
            </w:pPr>
          </w:p>
        </w:tc>
        <w:tc>
          <w:tcPr>
            <w:tcW w:w="0" w:type="auto"/>
            <w:vAlign w:val="center"/>
          </w:tcPr>
          <w:p w14:paraId="72B724A4" w14:textId="77777777" w:rsidR="001B5123" w:rsidRPr="00092862" w:rsidRDefault="001B5123" w:rsidP="00E74664">
            <w:pPr>
              <w:pStyle w:val="afffff7"/>
              <w:rPr>
                <w:color w:val="000000" w:themeColor="text1"/>
              </w:rPr>
            </w:pPr>
            <w:r w:rsidRPr="00092862">
              <w:rPr>
                <w:color w:val="000000" w:themeColor="text1"/>
              </w:rPr>
              <w:t>快速自动配浆加重系统</w:t>
            </w:r>
          </w:p>
        </w:tc>
        <w:tc>
          <w:tcPr>
            <w:tcW w:w="0" w:type="auto"/>
            <w:vAlign w:val="center"/>
          </w:tcPr>
          <w:p w14:paraId="7705AED2"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3010A93F"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A39B294"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939A8BE" w14:textId="77777777" w:rsidTr="00813B2A">
        <w:trPr>
          <w:cantSplit/>
          <w:trHeight w:val="271"/>
          <w:jc w:val="center"/>
        </w:trPr>
        <w:tc>
          <w:tcPr>
            <w:tcW w:w="0" w:type="auto"/>
            <w:vAlign w:val="center"/>
          </w:tcPr>
          <w:p w14:paraId="10158FC3" w14:textId="77777777" w:rsidR="001B5123" w:rsidRPr="00092862" w:rsidRDefault="001B5123" w:rsidP="00E74664">
            <w:pPr>
              <w:pStyle w:val="afffff7"/>
              <w:rPr>
                <w:color w:val="000000" w:themeColor="text1"/>
              </w:rPr>
            </w:pPr>
          </w:p>
        </w:tc>
        <w:tc>
          <w:tcPr>
            <w:tcW w:w="0" w:type="auto"/>
            <w:vAlign w:val="center"/>
          </w:tcPr>
          <w:p w14:paraId="2638E1F1" w14:textId="77777777" w:rsidR="001B5123" w:rsidRPr="00092862" w:rsidRDefault="001B5123" w:rsidP="00E74664">
            <w:pPr>
              <w:pStyle w:val="afffff7"/>
              <w:rPr>
                <w:color w:val="000000" w:themeColor="text1"/>
              </w:rPr>
            </w:pPr>
            <w:r w:rsidRPr="00092862">
              <w:rPr>
                <w:color w:val="000000" w:themeColor="text1"/>
              </w:rPr>
              <w:t>测斜仪</w:t>
            </w:r>
          </w:p>
        </w:tc>
        <w:tc>
          <w:tcPr>
            <w:tcW w:w="0" w:type="auto"/>
            <w:vAlign w:val="center"/>
          </w:tcPr>
          <w:p w14:paraId="6F409392" w14:textId="77777777" w:rsidR="001B5123" w:rsidRPr="00092862" w:rsidRDefault="001B5123" w:rsidP="00E74664">
            <w:pPr>
              <w:pStyle w:val="afffff7"/>
              <w:rPr>
                <w:color w:val="000000" w:themeColor="text1"/>
              </w:rPr>
            </w:pPr>
            <w:r w:rsidRPr="00092862">
              <w:rPr>
                <w:color w:val="000000" w:themeColor="text1"/>
              </w:rPr>
              <w:t>单点测斜仪</w:t>
            </w:r>
          </w:p>
        </w:tc>
        <w:tc>
          <w:tcPr>
            <w:tcW w:w="0" w:type="auto"/>
            <w:vAlign w:val="center"/>
          </w:tcPr>
          <w:p w14:paraId="1B6A2AA6"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52F2D747"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64834971" w14:textId="77777777" w:rsidTr="00813B2A">
        <w:trPr>
          <w:cantSplit/>
          <w:trHeight w:val="260"/>
          <w:jc w:val="center"/>
        </w:trPr>
        <w:tc>
          <w:tcPr>
            <w:tcW w:w="0" w:type="auto"/>
            <w:vAlign w:val="center"/>
          </w:tcPr>
          <w:p w14:paraId="440B54B8" w14:textId="77777777" w:rsidR="001B5123" w:rsidRPr="00092862" w:rsidRDefault="001B5123" w:rsidP="00E74664">
            <w:pPr>
              <w:pStyle w:val="afffff7"/>
              <w:rPr>
                <w:color w:val="000000" w:themeColor="text1"/>
              </w:rPr>
            </w:pPr>
          </w:p>
        </w:tc>
        <w:tc>
          <w:tcPr>
            <w:tcW w:w="0" w:type="auto"/>
            <w:vAlign w:val="center"/>
          </w:tcPr>
          <w:p w14:paraId="01BDEC91" w14:textId="77777777" w:rsidR="001B5123" w:rsidRPr="00092862" w:rsidRDefault="001B5123" w:rsidP="00E74664">
            <w:pPr>
              <w:pStyle w:val="afffff7"/>
              <w:rPr>
                <w:color w:val="000000" w:themeColor="text1"/>
              </w:rPr>
            </w:pPr>
            <w:r w:rsidRPr="00092862">
              <w:rPr>
                <w:color w:val="000000" w:themeColor="text1"/>
              </w:rPr>
              <w:t>测斜绞车</w:t>
            </w:r>
          </w:p>
        </w:tc>
        <w:tc>
          <w:tcPr>
            <w:tcW w:w="0" w:type="auto"/>
            <w:vAlign w:val="center"/>
          </w:tcPr>
          <w:p w14:paraId="6E29225B"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3B17F94B"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21C382F2"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2BD0C98" w14:textId="77777777" w:rsidTr="00813B2A">
        <w:trPr>
          <w:cantSplit/>
          <w:trHeight w:val="271"/>
          <w:jc w:val="center"/>
        </w:trPr>
        <w:tc>
          <w:tcPr>
            <w:tcW w:w="0" w:type="auto"/>
            <w:vAlign w:val="center"/>
          </w:tcPr>
          <w:p w14:paraId="1BA5517D" w14:textId="77777777" w:rsidR="001B5123" w:rsidRPr="00092862" w:rsidRDefault="001B5123" w:rsidP="00E74664">
            <w:pPr>
              <w:pStyle w:val="afffff7"/>
              <w:rPr>
                <w:color w:val="000000" w:themeColor="text1"/>
              </w:rPr>
            </w:pPr>
          </w:p>
        </w:tc>
        <w:tc>
          <w:tcPr>
            <w:tcW w:w="0" w:type="auto"/>
            <w:vAlign w:val="center"/>
          </w:tcPr>
          <w:p w14:paraId="3033EF4B" w14:textId="77777777" w:rsidR="001B5123" w:rsidRPr="00092862" w:rsidRDefault="001B5123" w:rsidP="00E74664">
            <w:pPr>
              <w:pStyle w:val="afffff7"/>
              <w:rPr>
                <w:color w:val="000000" w:themeColor="text1"/>
              </w:rPr>
            </w:pPr>
            <w:r w:rsidRPr="00092862">
              <w:rPr>
                <w:color w:val="000000" w:themeColor="text1"/>
              </w:rPr>
              <w:t>液位报警仪</w:t>
            </w:r>
          </w:p>
        </w:tc>
        <w:tc>
          <w:tcPr>
            <w:tcW w:w="0" w:type="auto"/>
            <w:vAlign w:val="center"/>
          </w:tcPr>
          <w:p w14:paraId="536FE3A4"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67CEACA"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0148038E"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4E7CB823" w14:textId="77777777" w:rsidTr="00813B2A">
        <w:trPr>
          <w:cantSplit/>
          <w:trHeight w:val="260"/>
          <w:jc w:val="center"/>
        </w:trPr>
        <w:tc>
          <w:tcPr>
            <w:tcW w:w="0" w:type="auto"/>
            <w:vAlign w:val="center"/>
          </w:tcPr>
          <w:p w14:paraId="6998EAED" w14:textId="77777777" w:rsidR="001B5123" w:rsidRPr="00092862" w:rsidRDefault="001B5123" w:rsidP="00E74664">
            <w:pPr>
              <w:pStyle w:val="afffff7"/>
              <w:rPr>
                <w:color w:val="000000" w:themeColor="text1"/>
              </w:rPr>
            </w:pPr>
          </w:p>
        </w:tc>
        <w:tc>
          <w:tcPr>
            <w:tcW w:w="0" w:type="auto"/>
            <w:vAlign w:val="center"/>
          </w:tcPr>
          <w:p w14:paraId="2A7964E2" w14:textId="77777777" w:rsidR="001B5123" w:rsidRPr="00092862" w:rsidRDefault="001B5123" w:rsidP="00E74664">
            <w:pPr>
              <w:pStyle w:val="afffff7"/>
              <w:rPr>
                <w:color w:val="000000" w:themeColor="text1"/>
              </w:rPr>
            </w:pPr>
            <w:r w:rsidRPr="00092862">
              <w:rPr>
                <w:color w:val="000000" w:themeColor="text1"/>
              </w:rPr>
              <w:t>液压大钳</w:t>
            </w:r>
          </w:p>
        </w:tc>
        <w:tc>
          <w:tcPr>
            <w:tcW w:w="0" w:type="auto"/>
            <w:vAlign w:val="center"/>
          </w:tcPr>
          <w:p w14:paraId="0E200354"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7D2C5D17"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29FC48AC"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1662E6FE" w14:textId="77777777" w:rsidTr="00813B2A">
        <w:trPr>
          <w:cantSplit/>
          <w:trHeight w:val="271"/>
          <w:jc w:val="center"/>
        </w:trPr>
        <w:tc>
          <w:tcPr>
            <w:tcW w:w="0" w:type="auto"/>
            <w:vAlign w:val="center"/>
          </w:tcPr>
          <w:p w14:paraId="21B105C3" w14:textId="77777777" w:rsidR="001B5123" w:rsidRPr="00092862" w:rsidRDefault="001B5123" w:rsidP="00E74664">
            <w:pPr>
              <w:pStyle w:val="afffff7"/>
              <w:rPr>
                <w:color w:val="000000" w:themeColor="text1"/>
              </w:rPr>
            </w:pPr>
          </w:p>
        </w:tc>
        <w:tc>
          <w:tcPr>
            <w:tcW w:w="0" w:type="auto"/>
            <w:vAlign w:val="center"/>
          </w:tcPr>
          <w:p w14:paraId="1F36C4A9" w14:textId="77777777" w:rsidR="001B5123" w:rsidRPr="00092862" w:rsidRDefault="001B5123" w:rsidP="00E74664">
            <w:pPr>
              <w:pStyle w:val="afffff7"/>
              <w:rPr>
                <w:color w:val="000000" w:themeColor="text1"/>
              </w:rPr>
            </w:pPr>
            <w:r w:rsidRPr="00092862">
              <w:rPr>
                <w:color w:val="000000" w:themeColor="text1"/>
              </w:rPr>
              <w:t>自动点火装置</w:t>
            </w:r>
          </w:p>
        </w:tc>
        <w:tc>
          <w:tcPr>
            <w:tcW w:w="0" w:type="auto"/>
            <w:vAlign w:val="center"/>
          </w:tcPr>
          <w:p w14:paraId="1323516D" w14:textId="77777777" w:rsidR="001B5123" w:rsidRPr="00092862" w:rsidRDefault="001B5123" w:rsidP="00E74664">
            <w:pPr>
              <w:pStyle w:val="afffff7"/>
              <w:rPr>
                <w:color w:val="000000" w:themeColor="text1"/>
              </w:rPr>
            </w:pPr>
            <w:r w:rsidRPr="00092862">
              <w:rPr>
                <w:color w:val="000000" w:themeColor="text1"/>
              </w:rPr>
              <w:t>按标准配备</w:t>
            </w:r>
          </w:p>
        </w:tc>
        <w:tc>
          <w:tcPr>
            <w:tcW w:w="0" w:type="auto"/>
            <w:vAlign w:val="center"/>
          </w:tcPr>
          <w:p w14:paraId="4CF787C2"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4F1FEA0D"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73D736DC" w14:textId="77777777" w:rsidTr="00813B2A">
        <w:trPr>
          <w:cantSplit/>
          <w:trHeight w:val="260"/>
          <w:jc w:val="center"/>
        </w:trPr>
        <w:tc>
          <w:tcPr>
            <w:tcW w:w="0" w:type="auto"/>
            <w:vAlign w:val="center"/>
          </w:tcPr>
          <w:p w14:paraId="6B4451D2" w14:textId="77777777" w:rsidR="001B5123" w:rsidRPr="00092862" w:rsidRDefault="001B5123" w:rsidP="00E74664">
            <w:pPr>
              <w:pStyle w:val="afffff7"/>
              <w:rPr>
                <w:color w:val="000000" w:themeColor="text1"/>
              </w:rPr>
            </w:pPr>
          </w:p>
        </w:tc>
        <w:tc>
          <w:tcPr>
            <w:tcW w:w="0" w:type="auto"/>
            <w:vAlign w:val="center"/>
          </w:tcPr>
          <w:p w14:paraId="3703E44B" w14:textId="77777777" w:rsidR="001B5123" w:rsidRPr="00092862" w:rsidRDefault="001B5123" w:rsidP="00E74664">
            <w:pPr>
              <w:pStyle w:val="afffff7"/>
              <w:rPr>
                <w:color w:val="000000" w:themeColor="text1"/>
              </w:rPr>
            </w:pPr>
            <w:r w:rsidRPr="00092862">
              <w:rPr>
                <w:color w:val="000000" w:themeColor="text1"/>
              </w:rPr>
              <w:t>柴油罐</w:t>
            </w:r>
          </w:p>
        </w:tc>
        <w:tc>
          <w:tcPr>
            <w:tcW w:w="0" w:type="auto"/>
            <w:vAlign w:val="center"/>
          </w:tcPr>
          <w:p w14:paraId="2B59E697" w14:textId="77777777" w:rsidR="001B5123" w:rsidRPr="00092862" w:rsidRDefault="001B5123" w:rsidP="00E74664">
            <w:pPr>
              <w:pStyle w:val="afffff7"/>
              <w:rPr>
                <w:color w:val="000000" w:themeColor="text1"/>
              </w:rPr>
            </w:pPr>
            <w:r w:rsidRPr="00092862">
              <w:rPr>
                <w:color w:val="000000" w:themeColor="text1"/>
              </w:rPr>
              <w:t>20m</w:t>
            </w:r>
            <w:r w:rsidRPr="00092862">
              <w:rPr>
                <w:color w:val="000000" w:themeColor="text1"/>
                <w:vertAlign w:val="superscript"/>
              </w:rPr>
              <w:t>3</w:t>
            </w:r>
            <w:r w:rsidRPr="00092862">
              <w:rPr>
                <w:color w:val="000000" w:themeColor="text1"/>
              </w:rPr>
              <w:t>/</w:t>
            </w:r>
            <w:r w:rsidRPr="00092862">
              <w:rPr>
                <w:color w:val="000000" w:themeColor="text1"/>
              </w:rPr>
              <w:t>个</w:t>
            </w:r>
          </w:p>
        </w:tc>
        <w:tc>
          <w:tcPr>
            <w:tcW w:w="0" w:type="auto"/>
            <w:vAlign w:val="center"/>
          </w:tcPr>
          <w:p w14:paraId="32F0046D" w14:textId="77777777" w:rsidR="001B5123" w:rsidRPr="00092862" w:rsidRDefault="001B5123" w:rsidP="00E74664">
            <w:pPr>
              <w:pStyle w:val="afffff7"/>
              <w:rPr>
                <w:color w:val="000000" w:themeColor="text1"/>
              </w:rPr>
            </w:pPr>
            <w:r w:rsidRPr="00092862">
              <w:rPr>
                <w:color w:val="000000" w:themeColor="text1"/>
              </w:rPr>
              <w:t>个</w:t>
            </w:r>
          </w:p>
        </w:tc>
        <w:tc>
          <w:tcPr>
            <w:tcW w:w="0" w:type="auto"/>
            <w:vAlign w:val="center"/>
          </w:tcPr>
          <w:p w14:paraId="3CE68DB5" w14:textId="77777777" w:rsidR="001B5123" w:rsidRPr="00092862" w:rsidRDefault="001B5123" w:rsidP="00E74664">
            <w:pPr>
              <w:pStyle w:val="afffff7"/>
              <w:rPr>
                <w:color w:val="000000" w:themeColor="text1"/>
              </w:rPr>
            </w:pPr>
            <w:r w:rsidRPr="00092862">
              <w:rPr>
                <w:color w:val="000000" w:themeColor="text1"/>
              </w:rPr>
              <w:t>2</w:t>
            </w:r>
          </w:p>
        </w:tc>
      </w:tr>
      <w:tr w:rsidR="00697429" w:rsidRPr="00092862" w14:paraId="08B6ED0C" w14:textId="77777777" w:rsidTr="00813B2A">
        <w:trPr>
          <w:cantSplit/>
          <w:trHeight w:val="271"/>
          <w:jc w:val="center"/>
        </w:trPr>
        <w:tc>
          <w:tcPr>
            <w:tcW w:w="0" w:type="auto"/>
            <w:vAlign w:val="center"/>
          </w:tcPr>
          <w:p w14:paraId="22609B85" w14:textId="77777777" w:rsidR="001B5123" w:rsidRPr="00092862" w:rsidRDefault="001B5123" w:rsidP="00E74664">
            <w:pPr>
              <w:pStyle w:val="afffff7"/>
              <w:rPr>
                <w:color w:val="000000" w:themeColor="text1"/>
              </w:rPr>
            </w:pPr>
          </w:p>
        </w:tc>
        <w:tc>
          <w:tcPr>
            <w:tcW w:w="0" w:type="auto"/>
            <w:vAlign w:val="center"/>
          </w:tcPr>
          <w:p w14:paraId="6F3B120F" w14:textId="77777777" w:rsidR="001B5123" w:rsidRPr="00092862" w:rsidRDefault="001B5123" w:rsidP="00E74664">
            <w:pPr>
              <w:pStyle w:val="afffff7"/>
              <w:rPr>
                <w:color w:val="000000" w:themeColor="text1"/>
              </w:rPr>
            </w:pPr>
            <w:r w:rsidRPr="00092862">
              <w:rPr>
                <w:color w:val="000000" w:themeColor="text1"/>
              </w:rPr>
              <w:t>生活水罐</w:t>
            </w:r>
          </w:p>
        </w:tc>
        <w:tc>
          <w:tcPr>
            <w:tcW w:w="0" w:type="auto"/>
            <w:vAlign w:val="center"/>
          </w:tcPr>
          <w:p w14:paraId="4830B3FF" w14:textId="77777777" w:rsidR="001B5123" w:rsidRPr="00092862" w:rsidRDefault="001B5123" w:rsidP="00E74664">
            <w:pPr>
              <w:pStyle w:val="afffff7"/>
              <w:rPr>
                <w:color w:val="000000" w:themeColor="text1"/>
              </w:rPr>
            </w:pPr>
            <w:r w:rsidRPr="00092862">
              <w:rPr>
                <w:color w:val="000000" w:themeColor="text1"/>
              </w:rPr>
              <w:t>10m</w:t>
            </w:r>
            <w:r w:rsidRPr="00092862">
              <w:rPr>
                <w:color w:val="000000" w:themeColor="text1"/>
                <w:vertAlign w:val="superscript"/>
              </w:rPr>
              <w:t>3</w:t>
            </w:r>
            <w:r w:rsidRPr="00092862">
              <w:rPr>
                <w:color w:val="000000" w:themeColor="text1"/>
              </w:rPr>
              <w:t>/</w:t>
            </w:r>
            <w:r w:rsidRPr="00092862">
              <w:rPr>
                <w:color w:val="000000" w:themeColor="text1"/>
              </w:rPr>
              <w:t>个</w:t>
            </w:r>
          </w:p>
        </w:tc>
        <w:tc>
          <w:tcPr>
            <w:tcW w:w="0" w:type="auto"/>
            <w:vAlign w:val="center"/>
          </w:tcPr>
          <w:p w14:paraId="0F7622DE" w14:textId="77777777" w:rsidR="001B5123" w:rsidRPr="00092862" w:rsidRDefault="001B5123" w:rsidP="00E74664">
            <w:pPr>
              <w:pStyle w:val="afffff7"/>
              <w:rPr>
                <w:color w:val="000000" w:themeColor="text1"/>
              </w:rPr>
            </w:pPr>
            <w:r w:rsidRPr="00092862">
              <w:rPr>
                <w:color w:val="000000" w:themeColor="text1"/>
              </w:rPr>
              <w:t>个</w:t>
            </w:r>
          </w:p>
        </w:tc>
        <w:tc>
          <w:tcPr>
            <w:tcW w:w="0" w:type="auto"/>
            <w:vAlign w:val="center"/>
          </w:tcPr>
          <w:p w14:paraId="42246156" w14:textId="77777777" w:rsidR="001B5123" w:rsidRPr="00092862" w:rsidRDefault="001B5123" w:rsidP="00E74664">
            <w:pPr>
              <w:pStyle w:val="afffff7"/>
              <w:rPr>
                <w:color w:val="000000" w:themeColor="text1"/>
              </w:rPr>
            </w:pPr>
            <w:r w:rsidRPr="00092862">
              <w:rPr>
                <w:color w:val="000000" w:themeColor="text1"/>
              </w:rPr>
              <w:t>1</w:t>
            </w:r>
          </w:p>
        </w:tc>
      </w:tr>
      <w:tr w:rsidR="00697429" w:rsidRPr="00092862" w14:paraId="529102CE" w14:textId="77777777" w:rsidTr="00813B2A">
        <w:trPr>
          <w:cantSplit/>
          <w:trHeight w:val="260"/>
          <w:jc w:val="center"/>
        </w:trPr>
        <w:tc>
          <w:tcPr>
            <w:tcW w:w="0" w:type="auto"/>
            <w:vAlign w:val="center"/>
          </w:tcPr>
          <w:p w14:paraId="6CB09FCD" w14:textId="77777777" w:rsidR="001B5123" w:rsidRPr="00092862" w:rsidRDefault="001B5123" w:rsidP="00E74664">
            <w:pPr>
              <w:pStyle w:val="afffff7"/>
              <w:rPr>
                <w:color w:val="000000" w:themeColor="text1"/>
              </w:rPr>
            </w:pPr>
            <w:r w:rsidRPr="00092862">
              <w:rPr>
                <w:color w:val="000000" w:themeColor="text1"/>
              </w:rPr>
              <w:lastRenderedPageBreak/>
              <w:t>二</w:t>
            </w:r>
          </w:p>
        </w:tc>
        <w:tc>
          <w:tcPr>
            <w:tcW w:w="0" w:type="auto"/>
            <w:gridSpan w:val="4"/>
            <w:vAlign w:val="center"/>
          </w:tcPr>
          <w:p w14:paraId="4EEF6F63" w14:textId="77777777" w:rsidR="001B5123" w:rsidRPr="00092862" w:rsidRDefault="001B5123" w:rsidP="00E74664">
            <w:pPr>
              <w:pStyle w:val="afffff7"/>
              <w:rPr>
                <w:color w:val="000000" w:themeColor="text1"/>
              </w:rPr>
            </w:pPr>
            <w:r w:rsidRPr="00092862">
              <w:rPr>
                <w:color w:val="000000" w:themeColor="text1"/>
              </w:rPr>
              <w:t>压裂设备</w:t>
            </w:r>
          </w:p>
        </w:tc>
      </w:tr>
      <w:tr w:rsidR="00697429" w:rsidRPr="00092862" w14:paraId="2B49AE84" w14:textId="77777777" w:rsidTr="00813B2A">
        <w:trPr>
          <w:cantSplit/>
          <w:trHeight w:val="271"/>
          <w:jc w:val="center"/>
        </w:trPr>
        <w:tc>
          <w:tcPr>
            <w:tcW w:w="0" w:type="auto"/>
            <w:vAlign w:val="center"/>
          </w:tcPr>
          <w:p w14:paraId="20256A83" w14:textId="77777777" w:rsidR="001B5123" w:rsidRPr="00092862" w:rsidRDefault="001B5123" w:rsidP="00E74664">
            <w:pPr>
              <w:pStyle w:val="afffff7"/>
              <w:rPr>
                <w:color w:val="000000" w:themeColor="text1"/>
              </w:rPr>
            </w:pPr>
          </w:p>
        </w:tc>
        <w:tc>
          <w:tcPr>
            <w:tcW w:w="0" w:type="auto"/>
            <w:vAlign w:val="center"/>
          </w:tcPr>
          <w:p w14:paraId="5673D69D" w14:textId="77777777" w:rsidR="001B5123" w:rsidRPr="00092862" w:rsidRDefault="001B5123" w:rsidP="00E74664">
            <w:pPr>
              <w:pStyle w:val="afffff7"/>
              <w:rPr>
                <w:color w:val="000000" w:themeColor="text1"/>
              </w:rPr>
            </w:pPr>
            <w:r w:rsidRPr="00092862">
              <w:rPr>
                <w:color w:val="000000" w:themeColor="text1"/>
              </w:rPr>
              <w:t>2500</w:t>
            </w:r>
            <w:r w:rsidRPr="00092862">
              <w:rPr>
                <w:color w:val="000000" w:themeColor="text1"/>
              </w:rPr>
              <w:t>型压裂车</w:t>
            </w:r>
          </w:p>
        </w:tc>
        <w:tc>
          <w:tcPr>
            <w:tcW w:w="0" w:type="auto"/>
            <w:vAlign w:val="center"/>
          </w:tcPr>
          <w:p w14:paraId="34FD39A0" w14:textId="77777777" w:rsidR="001B5123" w:rsidRPr="00092862" w:rsidRDefault="001B5123" w:rsidP="00E74664">
            <w:pPr>
              <w:pStyle w:val="afffff7"/>
              <w:rPr>
                <w:color w:val="000000" w:themeColor="text1"/>
              </w:rPr>
            </w:pPr>
            <w:r w:rsidRPr="00092862">
              <w:rPr>
                <w:color w:val="000000" w:themeColor="text1"/>
              </w:rPr>
              <w:t>YL40-1860</w:t>
            </w:r>
          </w:p>
        </w:tc>
        <w:tc>
          <w:tcPr>
            <w:tcW w:w="0" w:type="auto"/>
            <w:vAlign w:val="center"/>
          </w:tcPr>
          <w:p w14:paraId="71987AE0" w14:textId="77777777" w:rsidR="001B5123" w:rsidRPr="00092862" w:rsidRDefault="001B5123" w:rsidP="00E74664">
            <w:pPr>
              <w:pStyle w:val="afffff7"/>
              <w:rPr>
                <w:color w:val="000000" w:themeColor="text1"/>
              </w:rPr>
            </w:pPr>
            <w:r w:rsidRPr="00092862">
              <w:rPr>
                <w:color w:val="000000" w:themeColor="text1"/>
              </w:rPr>
              <w:t>2500</w:t>
            </w:r>
          </w:p>
        </w:tc>
        <w:tc>
          <w:tcPr>
            <w:tcW w:w="0" w:type="auto"/>
            <w:vAlign w:val="center"/>
          </w:tcPr>
          <w:p w14:paraId="01AED5B8" w14:textId="77777777" w:rsidR="001B5123" w:rsidRPr="00092862" w:rsidRDefault="001B5123" w:rsidP="00E74664">
            <w:pPr>
              <w:pStyle w:val="afffff7"/>
              <w:rPr>
                <w:color w:val="000000" w:themeColor="text1"/>
              </w:rPr>
            </w:pPr>
            <w:r w:rsidRPr="00092862">
              <w:rPr>
                <w:color w:val="000000" w:themeColor="text1"/>
              </w:rPr>
              <w:t>10</w:t>
            </w:r>
          </w:p>
        </w:tc>
      </w:tr>
      <w:tr w:rsidR="00697429" w:rsidRPr="00092862" w14:paraId="0C81BE42" w14:textId="77777777" w:rsidTr="00813B2A">
        <w:trPr>
          <w:cantSplit/>
          <w:trHeight w:val="260"/>
          <w:jc w:val="center"/>
        </w:trPr>
        <w:tc>
          <w:tcPr>
            <w:tcW w:w="0" w:type="auto"/>
            <w:vAlign w:val="center"/>
          </w:tcPr>
          <w:p w14:paraId="44B8BA0C" w14:textId="77777777" w:rsidR="001B5123" w:rsidRPr="00092862" w:rsidRDefault="001B5123" w:rsidP="00E74664">
            <w:pPr>
              <w:pStyle w:val="afffff7"/>
              <w:rPr>
                <w:color w:val="000000" w:themeColor="text1"/>
              </w:rPr>
            </w:pPr>
          </w:p>
        </w:tc>
        <w:tc>
          <w:tcPr>
            <w:tcW w:w="0" w:type="auto"/>
            <w:vAlign w:val="center"/>
          </w:tcPr>
          <w:p w14:paraId="7DC642C3" w14:textId="77777777" w:rsidR="001B5123" w:rsidRPr="00092862" w:rsidRDefault="001B5123" w:rsidP="00E74664">
            <w:pPr>
              <w:pStyle w:val="afffff7"/>
              <w:rPr>
                <w:color w:val="000000" w:themeColor="text1"/>
              </w:rPr>
            </w:pPr>
            <w:r w:rsidRPr="00092862">
              <w:rPr>
                <w:color w:val="000000" w:themeColor="text1"/>
              </w:rPr>
              <w:t>灌注撬</w:t>
            </w:r>
          </w:p>
        </w:tc>
        <w:tc>
          <w:tcPr>
            <w:tcW w:w="0" w:type="auto"/>
            <w:vAlign w:val="center"/>
          </w:tcPr>
          <w:p w14:paraId="39FC1BF7"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17C9A694"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2E08390F" w14:textId="77777777" w:rsidR="001B5123" w:rsidRPr="00092862" w:rsidRDefault="001B5123" w:rsidP="00E74664">
            <w:pPr>
              <w:pStyle w:val="afffff7"/>
              <w:rPr>
                <w:color w:val="000000" w:themeColor="text1"/>
              </w:rPr>
            </w:pPr>
            <w:r w:rsidRPr="00092862">
              <w:rPr>
                <w:color w:val="000000" w:themeColor="text1"/>
              </w:rPr>
              <w:t>2</w:t>
            </w:r>
          </w:p>
        </w:tc>
      </w:tr>
      <w:tr w:rsidR="00697429" w:rsidRPr="00092862" w14:paraId="1D35AC6C" w14:textId="77777777" w:rsidTr="00813B2A">
        <w:trPr>
          <w:cantSplit/>
          <w:trHeight w:val="271"/>
          <w:jc w:val="center"/>
        </w:trPr>
        <w:tc>
          <w:tcPr>
            <w:tcW w:w="0" w:type="auto"/>
            <w:vAlign w:val="center"/>
          </w:tcPr>
          <w:p w14:paraId="686C9A3A" w14:textId="77777777" w:rsidR="001B5123" w:rsidRPr="00092862" w:rsidRDefault="001B5123" w:rsidP="00E74664">
            <w:pPr>
              <w:pStyle w:val="afffff7"/>
              <w:rPr>
                <w:color w:val="000000" w:themeColor="text1"/>
              </w:rPr>
            </w:pPr>
          </w:p>
        </w:tc>
        <w:tc>
          <w:tcPr>
            <w:tcW w:w="0" w:type="auto"/>
            <w:vAlign w:val="center"/>
          </w:tcPr>
          <w:p w14:paraId="2965A260" w14:textId="77777777" w:rsidR="001B5123" w:rsidRPr="00092862" w:rsidRDefault="001B5123" w:rsidP="00E74664">
            <w:pPr>
              <w:pStyle w:val="afffff7"/>
              <w:rPr>
                <w:color w:val="000000" w:themeColor="text1"/>
              </w:rPr>
            </w:pPr>
            <w:r w:rsidRPr="00092862">
              <w:rPr>
                <w:color w:val="000000" w:themeColor="text1"/>
              </w:rPr>
              <w:t>混配车</w:t>
            </w:r>
          </w:p>
        </w:tc>
        <w:tc>
          <w:tcPr>
            <w:tcW w:w="0" w:type="auto"/>
            <w:vAlign w:val="center"/>
          </w:tcPr>
          <w:p w14:paraId="3B1307A7" w14:textId="77777777" w:rsidR="001B5123" w:rsidRPr="00092862" w:rsidRDefault="001B5123" w:rsidP="00E74664">
            <w:pPr>
              <w:pStyle w:val="afffff7"/>
              <w:rPr>
                <w:color w:val="000000" w:themeColor="text1"/>
              </w:rPr>
            </w:pPr>
            <w:r w:rsidRPr="00092862">
              <w:rPr>
                <w:color w:val="000000" w:themeColor="text1"/>
              </w:rPr>
              <w:t>S</w:t>
            </w:r>
          </w:p>
        </w:tc>
        <w:tc>
          <w:tcPr>
            <w:tcW w:w="0" w:type="auto"/>
            <w:vAlign w:val="center"/>
          </w:tcPr>
          <w:p w14:paraId="64197625" w14:textId="77777777" w:rsidR="001B5123" w:rsidRPr="00092862" w:rsidRDefault="001B5123" w:rsidP="00E74664">
            <w:pPr>
              <w:pStyle w:val="afffff7"/>
              <w:rPr>
                <w:color w:val="000000" w:themeColor="text1"/>
              </w:rPr>
            </w:pPr>
            <w:r w:rsidRPr="00092862">
              <w:rPr>
                <w:color w:val="000000" w:themeColor="text1"/>
              </w:rPr>
              <w:t>X5292TYC</w:t>
            </w:r>
          </w:p>
        </w:tc>
        <w:tc>
          <w:tcPr>
            <w:tcW w:w="0" w:type="auto"/>
            <w:vAlign w:val="center"/>
          </w:tcPr>
          <w:p w14:paraId="3FD65989" w14:textId="77777777" w:rsidR="001B5123" w:rsidRPr="00092862" w:rsidRDefault="001B5123" w:rsidP="00E74664">
            <w:pPr>
              <w:pStyle w:val="afffff7"/>
              <w:rPr>
                <w:color w:val="000000" w:themeColor="text1"/>
              </w:rPr>
            </w:pPr>
            <w:r w:rsidRPr="00092862">
              <w:rPr>
                <w:color w:val="000000" w:themeColor="text1"/>
              </w:rPr>
              <w:t>/</w:t>
            </w:r>
          </w:p>
        </w:tc>
      </w:tr>
      <w:tr w:rsidR="00697429" w:rsidRPr="00092862" w14:paraId="76796857" w14:textId="77777777" w:rsidTr="00813B2A">
        <w:trPr>
          <w:cantSplit/>
          <w:trHeight w:val="260"/>
          <w:jc w:val="center"/>
        </w:trPr>
        <w:tc>
          <w:tcPr>
            <w:tcW w:w="0" w:type="auto"/>
            <w:vAlign w:val="center"/>
          </w:tcPr>
          <w:p w14:paraId="2F2461EF" w14:textId="77777777" w:rsidR="001B5123" w:rsidRPr="00092862" w:rsidRDefault="001B5123" w:rsidP="00E74664">
            <w:pPr>
              <w:pStyle w:val="afffff7"/>
              <w:rPr>
                <w:color w:val="000000" w:themeColor="text1"/>
              </w:rPr>
            </w:pPr>
          </w:p>
        </w:tc>
        <w:tc>
          <w:tcPr>
            <w:tcW w:w="0" w:type="auto"/>
            <w:vAlign w:val="center"/>
          </w:tcPr>
          <w:p w14:paraId="21CDD83B" w14:textId="77777777" w:rsidR="001B5123" w:rsidRPr="00092862" w:rsidRDefault="001B5123" w:rsidP="00E74664">
            <w:pPr>
              <w:pStyle w:val="afffff7"/>
              <w:rPr>
                <w:color w:val="000000" w:themeColor="text1"/>
              </w:rPr>
            </w:pPr>
            <w:r w:rsidRPr="00092862">
              <w:rPr>
                <w:color w:val="000000" w:themeColor="text1"/>
              </w:rPr>
              <w:t>奔驰混砂车</w:t>
            </w:r>
          </w:p>
        </w:tc>
        <w:tc>
          <w:tcPr>
            <w:tcW w:w="0" w:type="auto"/>
            <w:vAlign w:val="center"/>
          </w:tcPr>
          <w:p w14:paraId="70ED1111" w14:textId="77777777" w:rsidR="001B5123" w:rsidRPr="00092862" w:rsidRDefault="001B5123" w:rsidP="00E74664">
            <w:pPr>
              <w:pStyle w:val="afffff7"/>
              <w:rPr>
                <w:color w:val="000000" w:themeColor="text1"/>
              </w:rPr>
            </w:pPr>
            <w:r w:rsidRPr="00092862">
              <w:rPr>
                <w:color w:val="000000" w:themeColor="text1"/>
              </w:rPr>
              <w:t>S1V0010</w:t>
            </w:r>
          </w:p>
        </w:tc>
        <w:tc>
          <w:tcPr>
            <w:tcW w:w="0" w:type="auto"/>
            <w:vAlign w:val="center"/>
          </w:tcPr>
          <w:p w14:paraId="51B4BDDF"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1DE5083A" w14:textId="77777777" w:rsidR="001B5123" w:rsidRPr="00092862" w:rsidRDefault="001B5123" w:rsidP="00E74664">
            <w:pPr>
              <w:pStyle w:val="afffff7"/>
              <w:rPr>
                <w:color w:val="000000" w:themeColor="text1"/>
              </w:rPr>
            </w:pPr>
            <w:r w:rsidRPr="00092862">
              <w:rPr>
                <w:color w:val="000000" w:themeColor="text1"/>
              </w:rPr>
              <w:t>2</w:t>
            </w:r>
          </w:p>
        </w:tc>
      </w:tr>
      <w:tr w:rsidR="00697429" w:rsidRPr="00092862" w14:paraId="064C9298" w14:textId="77777777" w:rsidTr="00813B2A">
        <w:trPr>
          <w:cantSplit/>
          <w:trHeight w:val="271"/>
          <w:jc w:val="center"/>
        </w:trPr>
        <w:tc>
          <w:tcPr>
            <w:tcW w:w="0" w:type="auto"/>
            <w:vAlign w:val="center"/>
          </w:tcPr>
          <w:p w14:paraId="2AA4D88E" w14:textId="77777777" w:rsidR="001B5123" w:rsidRPr="00092862" w:rsidRDefault="001B5123" w:rsidP="00E74664">
            <w:pPr>
              <w:pStyle w:val="afffff7"/>
              <w:rPr>
                <w:color w:val="000000" w:themeColor="text1"/>
              </w:rPr>
            </w:pPr>
          </w:p>
        </w:tc>
        <w:tc>
          <w:tcPr>
            <w:tcW w:w="0" w:type="auto"/>
            <w:vAlign w:val="center"/>
          </w:tcPr>
          <w:p w14:paraId="1114784F" w14:textId="77777777" w:rsidR="001B5123" w:rsidRPr="00092862" w:rsidRDefault="001B5123" w:rsidP="00E74664">
            <w:pPr>
              <w:pStyle w:val="afffff7"/>
              <w:rPr>
                <w:color w:val="000000" w:themeColor="text1"/>
              </w:rPr>
            </w:pPr>
            <w:r w:rsidRPr="00092862">
              <w:rPr>
                <w:color w:val="000000" w:themeColor="text1"/>
              </w:rPr>
              <w:t>压裂液罐</w:t>
            </w:r>
          </w:p>
        </w:tc>
        <w:tc>
          <w:tcPr>
            <w:tcW w:w="0" w:type="auto"/>
            <w:vAlign w:val="center"/>
          </w:tcPr>
          <w:p w14:paraId="5958356E" w14:textId="77777777" w:rsidR="001B5123" w:rsidRPr="00092862" w:rsidRDefault="001B5123" w:rsidP="00E74664">
            <w:pPr>
              <w:pStyle w:val="afffff7"/>
              <w:rPr>
                <w:color w:val="000000" w:themeColor="text1"/>
              </w:rPr>
            </w:pPr>
            <w:r w:rsidRPr="00092862">
              <w:rPr>
                <w:color w:val="000000" w:themeColor="text1"/>
              </w:rPr>
              <w:t>/</w:t>
            </w:r>
          </w:p>
        </w:tc>
        <w:tc>
          <w:tcPr>
            <w:tcW w:w="0" w:type="auto"/>
            <w:vAlign w:val="center"/>
          </w:tcPr>
          <w:p w14:paraId="2806A8C9" w14:textId="77777777" w:rsidR="001B5123" w:rsidRPr="00092862" w:rsidRDefault="001B5123" w:rsidP="00E74664">
            <w:pPr>
              <w:pStyle w:val="afffff7"/>
              <w:rPr>
                <w:color w:val="000000" w:themeColor="text1"/>
              </w:rPr>
            </w:pPr>
            <w:r w:rsidRPr="00092862">
              <w:rPr>
                <w:color w:val="000000" w:themeColor="text1"/>
              </w:rPr>
              <w:t>50m</w:t>
            </w:r>
            <w:r w:rsidRPr="00092862">
              <w:rPr>
                <w:color w:val="000000" w:themeColor="text1"/>
                <w:vertAlign w:val="superscript"/>
              </w:rPr>
              <w:t>3</w:t>
            </w:r>
          </w:p>
        </w:tc>
        <w:tc>
          <w:tcPr>
            <w:tcW w:w="0" w:type="auto"/>
            <w:vAlign w:val="center"/>
          </w:tcPr>
          <w:p w14:paraId="2285E91C" w14:textId="77777777" w:rsidR="001B5123" w:rsidRPr="00092862" w:rsidRDefault="001B5123" w:rsidP="00E74664">
            <w:pPr>
              <w:pStyle w:val="afffff7"/>
              <w:rPr>
                <w:color w:val="000000" w:themeColor="text1"/>
              </w:rPr>
            </w:pPr>
            <w:r w:rsidRPr="00092862">
              <w:rPr>
                <w:color w:val="000000" w:themeColor="text1"/>
              </w:rPr>
              <w:t>20</w:t>
            </w:r>
          </w:p>
        </w:tc>
      </w:tr>
      <w:tr w:rsidR="00697429" w:rsidRPr="00092862" w14:paraId="2E68D656" w14:textId="77777777" w:rsidTr="00813B2A">
        <w:trPr>
          <w:cantSplit/>
          <w:trHeight w:val="260"/>
          <w:jc w:val="center"/>
        </w:trPr>
        <w:tc>
          <w:tcPr>
            <w:tcW w:w="0" w:type="auto"/>
            <w:vAlign w:val="center"/>
          </w:tcPr>
          <w:p w14:paraId="42A08645" w14:textId="77777777" w:rsidR="001B5123" w:rsidRPr="00092862" w:rsidRDefault="001B5123" w:rsidP="00E74664">
            <w:pPr>
              <w:pStyle w:val="afffff7"/>
              <w:rPr>
                <w:color w:val="000000" w:themeColor="text1"/>
              </w:rPr>
            </w:pPr>
            <w:r w:rsidRPr="00092862">
              <w:rPr>
                <w:color w:val="000000" w:themeColor="text1"/>
              </w:rPr>
              <w:t>三</w:t>
            </w:r>
          </w:p>
        </w:tc>
        <w:tc>
          <w:tcPr>
            <w:tcW w:w="0" w:type="auto"/>
            <w:gridSpan w:val="4"/>
            <w:vAlign w:val="center"/>
          </w:tcPr>
          <w:p w14:paraId="234BCF9F" w14:textId="77777777" w:rsidR="001B5123" w:rsidRPr="00092862" w:rsidRDefault="001B5123" w:rsidP="00E74664">
            <w:pPr>
              <w:pStyle w:val="afffff7"/>
              <w:rPr>
                <w:color w:val="000000" w:themeColor="text1"/>
              </w:rPr>
            </w:pPr>
            <w:r w:rsidRPr="00092862">
              <w:rPr>
                <w:color w:val="000000" w:themeColor="text1"/>
              </w:rPr>
              <w:t>救生消防</w:t>
            </w:r>
          </w:p>
        </w:tc>
      </w:tr>
      <w:tr w:rsidR="00697429" w:rsidRPr="00092862" w14:paraId="74754232" w14:textId="77777777" w:rsidTr="00813B2A">
        <w:trPr>
          <w:cantSplit/>
          <w:trHeight w:val="271"/>
          <w:jc w:val="center"/>
        </w:trPr>
        <w:tc>
          <w:tcPr>
            <w:tcW w:w="0" w:type="auto"/>
            <w:vAlign w:val="center"/>
          </w:tcPr>
          <w:p w14:paraId="06F37757" w14:textId="77777777" w:rsidR="001B5123" w:rsidRPr="00092862" w:rsidRDefault="001B5123" w:rsidP="00E74664">
            <w:pPr>
              <w:pStyle w:val="afffff7"/>
              <w:rPr>
                <w:color w:val="000000" w:themeColor="text1"/>
              </w:rPr>
            </w:pPr>
          </w:p>
        </w:tc>
        <w:tc>
          <w:tcPr>
            <w:tcW w:w="0" w:type="auto"/>
            <w:vAlign w:val="center"/>
          </w:tcPr>
          <w:p w14:paraId="4535ECC4" w14:textId="77777777" w:rsidR="001B5123" w:rsidRPr="00092862" w:rsidRDefault="001B5123" w:rsidP="00E74664">
            <w:pPr>
              <w:pStyle w:val="afffff7"/>
              <w:rPr>
                <w:color w:val="000000" w:themeColor="text1"/>
              </w:rPr>
            </w:pPr>
            <w:r w:rsidRPr="00092862">
              <w:rPr>
                <w:color w:val="000000" w:themeColor="text1"/>
              </w:rPr>
              <w:t>消防房及消防工具</w:t>
            </w:r>
          </w:p>
        </w:tc>
        <w:tc>
          <w:tcPr>
            <w:tcW w:w="0" w:type="auto"/>
            <w:vAlign w:val="center"/>
          </w:tcPr>
          <w:p w14:paraId="40C902D4" w14:textId="77777777" w:rsidR="001B5123" w:rsidRPr="00092862" w:rsidRDefault="001B5123" w:rsidP="00E74664">
            <w:pPr>
              <w:pStyle w:val="afffff7"/>
              <w:rPr>
                <w:color w:val="000000" w:themeColor="text1"/>
              </w:rPr>
            </w:pPr>
          </w:p>
        </w:tc>
        <w:tc>
          <w:tcPr>
            <w:tcW w:w="0" w:type="auto"/>
            <w:vAlign w:val="center"/>
          </w:tcPr>
          <w:p w14:paraId="7A7E60DE" w14:textId="77777777" w:rsidR="001B5123" w:rsidRPr="00092862" w:rsidRDefault="001B5123" w:rsidP="00E74664">
            <w:pPr>
              <w:pStyle w:val="afffff7"/>
              <w:rPr>
                <w:color w:val="000000" w:themeColor="text1"/>
              </w:rPr>
            </w:pPr>
          </w:p>
        </w:tc>
        <w:tc>
          <w:tcPr>
            <w:tcW w:w="0" w:type="auto"/>
            <w:vAlign w:val="center"/>
          </w:tcPr>
          <w:p w14:paraId="5D572D64" w14:textId="77777777" w:rsidR="001B5123" w:rsidRPr="00092862" w:rsidRDefault="001B5123" w:rsidP="00E74664">
            <w:pPr>
              <w:pStyle w:val="afffff7"/>
              <w:rPr>
                <w:color w:val="000000" w:themeColor="text1"/>
              </w:rPr>
            </w:pPr>
            <w:r w:rsidRPr="00092862">
              <w:rPr>
                <w:color w:val="000000" w:themeColor="text1"/>
              </w:rPr>
              <w:t>按标准配置</w:t>
            </w:r>
          </w:p>
        </w:tc>
      </w:tr>
      <w:tr w:rsidR="00697429" w:rsidRPr="00092862" w14:paraId="25853AAE" w14:textId="77777777" w:rsidTr="00813B2A">
        <w:trPr>
          <w:cantSplit/>
          <w:trHeight w:val="260"/>
          <w:jc w:val="center"/>
        </w:trPr>
        <w:tc>
          <w:tcPr>
            <w:tcW w:w="0" w:type="auto"/>
            <w:vAlign w:val="center"/>
          </w:tcPr>
          <w:p w14:paraId="51797572" w14:textId="77777777" w:rsidR="001B5123" w:rsidRPr="00092862" w:rsidRDefault="001B5123" w:rsidP="00E74664">
            <w:pPr>
              <w:pStyle w:val="afffff7"/>
              <w:rPr>
                <w:color w:val="000000" w:themeColor="text1"/>
              </w:rPr>
            </w:pPr>
          </w:p>
        </w:tc>
        <w:tc>
          <w:tcPr>
            <w:tcW w:w="0" w:type="auto"/>
            <w:vAlign w:val="center"/>
          </w:tcPr>
          <w:p w14:paraId="3B9B64DD" w14:textId="77777777" w:rsidR="001B5123" w:rsidRPr="00092862" w:rsidRDefault="001B5123" w:rsidP="00E74664">
            <w:pPr>
              <w:pStyle w:val="afffff7"/>
              <w:rPr>
                <w:color w:val="000000" w:themeColor="text1"/>
              </w:rPr>
            </w:pPr>
            <w:r w:rsidRPr="00092862">
              <w:rPr>
                <w:color w:val="000000" w:themeColor="text1"/>
              </w:rPr>
              <w:t>二层台逃生装置</w:t>
            </w:r>
          </w:p>
        </w:tc>
        <w:tc>
          <w:tcPr>
            <w:tcW w:w="0" w:type="auto"/>
            <w:vAlign w:val="center"/>
          </w:tcPr>
          <w:p w14:paraId="537952F1" w14:textId="77777777" w:rsidR="001B5123" w:rsidRPr="00092862" w:rsidRDefault="001B5123" w:rsidP="00E74664">
            <w:pPr>
              <w:pStyle w:val="afffff7"/>
              <w:rPr>
                <w:color w:val="000000" w:themeColor="text1"/>
              </w:rPr>
            </w:pPr>
          </w:p>
        </w:tc>
        <w:tc>
          <w:tcPr>
            <w:tcW w:w="0" w:type="auto"/>
            <w:vAlign w:val="center"/>
          </w:tcPr>
          <w:p w14:paraId="706FCD87" w14:textId="77777777" w:rsidR="001B5123" w:rsidRPr="00092862" w:rsidRDefault="001B5123" w:rsidP="00E74664">
            <w:pPr>
              <w:pStyle w:val="afffff7"/>
              <w:rPr>
                <w:color w:val="000000" w:themeColor="text1"/>
              </w:rPr>
            </w:pPr>
          </w:p>
        </w:tc>
        <w:tc>
          <w:tcPr>
            <w:tcW w:w="0" w:type="auto"/>
            <w:vAlign w:val="center"/>
          </w:tcPr>
          <w:p w14:paraId="0C2C960D" w14:textId="77777777" w:rsidR="001B5123" w:rsidRPr="00092862" w:rsidRDefault="001B5123" w:rsidP="00E74664">
            <w:pPr>
              <w:pStyle w:val="afffff7"/>
              <w:rPr>
                <w:color w:val="000000" w:themeColor="text1"/>
              </w:rPr>
            </w:pPr>
          </w:p>
        </w:tc>
      </w:tr>
      <w:tr w:rsidR="00697429" w:rsidRPr="00092862" w14:paraId="707E2C12" w14:textId="77777777" w:rsidTr="00813B2A">
        <w:trPr>
          <w:cantSplit/>
          <w:trHeight w:val="271"/>
          <w:jc w:val="center"/>
        </w:trPr>
        <w:tc>
          <w:tcPr>
            <w:tcW w:w="0" w:type="auto"/>
            <w:vAlign w:val="center"/>
          </w:tcPr>
          <w:p w14:paraId="0328E368" w14:textId="77777777" w:rsidR="001B5123" w:rsidRPr="00092862" w:rsidRDefault="001B5123" w:rsidP="00E74664">
            <w:pPr>
              <w:pStyle w:val="afffff7"/>
              <w:rPr>
                <w:color w:val="000000" w:themeColor="text1"/>
              </w:rPr>
            </w:pPr>
          </w:p>
        </w:tc>
        <w:tc>
          <w:tcPr>
            <w:tcW w:w="0" w:type="auto"/>
            <w:vAlign w:val="center"/>
          </w:tcPr>
          <w:p w14:paraId="52A8B71D" w14:textId="77777777" w:rsidR="001B5123" w:rsidRPr="00092862" w:rsidRDefault="001B5123" w:rsidP="00E74664">
            <w:pPr>
              <w:pStyle w:val="afffff7"/>
              <w:rPr>
                <w:color w:val="000000" w:themeColor="text1"/>
              </w:rPr>
            </w:pPr>
            <w:r w:rsidRPr="00092862">
              <w:rPr>
                <w:color w:val="000000" w:themeColor="text1"/>
              </w:rPr>
              <w:t>钻台紧急滑道</w:t>
            </w:r>
          </w:p>
        </w:tc>
        <w:tc>
          <w:tcPr>
            <w:tcW w:w="0" w:type="auto"/>
            <w:vAlign w:val="center"/>
          </w:tcPr>
          <w:p w14:paraId="2D85C56E" w14:textId="77777777" w:rsidR="001B5123" w:rsidRPr="00092862" w:rsidRDefault="001B5123" w:rsidP="00E74664">
            <w:pPr>
              <w:pStyle w:val="afffff7"/>
              <w:rPr>
                <w:color w:val="000000" w:themeColor="text1"/>
              </w:rPr>
            </w:pPr>
          </w:p>
        </w:tc>
        <w:tc>
          <w:tcPr>
            <w:tcW w:w="0" w:type="auto"/>
            <w:vAlign w:val="center"/>
          </w:tcPr>
          <w:p w14:paraId="7FF3DB08" w14:textId="77777777" w:rsidR="001B5123" w:rsidRPr="00092862" w:rsidRDefault="001B5123" w:rsidP="00E74664">
            <w:pPr>
              <w:pStyle w:val="afffff7"/>
              <w:rPr>
                <w:color w:val="000000" w:themeColor="text1"/>
              </w:rPr>
            </w:pPr>
          </w:p>
        </w:tc>
        <w:tc>
          <w:tcPr>
            <w:tcW w:w="0" w:type="auto"/>
            <w:vAlign w:val="center"/>
          </w:tcPr>
          <w:p w14:paraId="4926CC73" w14:textId="77777777" w:rsidR="001B5123" w:rsidRPr="00092862" w:rsidRDefault="001B5123" w:rsidP="00E74664">
            <w:pPr>
              <w:pStyle w:val="afffff7"/>
              <w:rPr>
                <w:color w:val="000000" w:themeColor="text1"/>
              </w:rPr>
            </w:pPr>
          </w:p>
        </w:tc>
      </w:tr>
      <w:tr w:rsidR="00697429" w:rsidRPr="00092862" w14:paraId="4B8F951E" w14:textId="77777777" w:rsidTr="00813B2A">
        <w:trPr>
          <w:cantSplit/>
          <w:trHeight w:val="260"/>
          <w:jc w:val="center"/>
        </w:trPr>
        <w:tc>
          <w:tcPr>
            <w:tcW w:w="0" w:type="auto"/>
            <w:vAlign w:val="center"/>
          </w:tcPr>
          <w:p w14:paraId="336D95A4" w14:textId="77777777" w:rsidR="001B5123" w:rsidRPr="00092862" w:rsidRDefault="001B5123" w:rsidP="00E74664">
            <w:pPr>
              <w:pStyle w:val="afffff7"/>
              <w:rPr>
                <w:color w:val="000000" w:themeColor="text1"/>
              </w:rPr>
            </w:pPr>
          </w:p>
        </w:tc>
        <w:tc>
          <w:tcPr>
            <w:tcW w:w="0" w:type="auto"/>
            <w:vAlign w:val="center"/>
          </w:tcPr>
          <w:p w14:paraId="0E128C06" w14:textId="77777777" w:rsidR="001B5123" w:rsidRPr="00092862" w:rsidRDefault="001B5123" w:rsidP="00E74664">
            <w:pPr>
              <w:pStyle w:val="afffff7"/>
              <w:rPr>
                <w:color w:val="000000" w:themeColor="text1"/>
              </w:rPr>
            </w:pPr>
            <w:r w:rsidRPr="00092862">
              <w:rPr>
                <w:color w:val="000000" w:themeColor="text1"/>
              </w:rPr>
              <w:t>可燃气体监测仪</w:t>
            </w:r>
          </w:p>
        </w:tc>
        <w:tc>
          <w:tcPr>
            <w:tcW w:w="0" w:type="auto"/>
            <w:vAlign w:val="center"/>
          </w:tcPr>
          <w:p w14:paraId="789274AE" w14:textId="77777777" w:rsidR="001B5123" w:rsidRPr="00092862" w:rsidRDefault="001B5123" w:rsidP="00E74664">
            <w:pPr>
              <w:pStyle w:val="afffff7"/>
              <w:rPr>
                <w:color w:val="000000" w:themeColor="text1"/>
              </w:rPr>
            </w:pPr>
          </w:p>
        </w:tc>
        <w:tc>
          <w:tcPr>
            <w:tcW w:w="0" w:type="auto"/>
            <w:vAlign w:val="center"/>
          </w:tcPr>
          <w:p w14:paraId="25932163" w14:textId="77777777" w:rsidR="001B5123" w:rsidRPr="00092862" w:rsidRDefault="001B5123" w:rsidP="00E74664">
            <w:pPr>
              <w:pStyle w:val="afffff7"/>
              <w:rPr>
                <w:color w:val="000000" w:themeColor="text1"/>
              </w:rPr>
            </w:pPr>
          </w:p>
        </w:tc>
        <w:tc>
          <w:tcPr>
            <w:tcW w:w="0" w:type="auto"/>
            <w:vAlign w:val="center"/>
          </w:tcPr>
          <w:p w14:paraId="18749547" w14:textId="77777777" w:rsidR="001B5123" w:rsidRPr="00092862" w:rsidRDefault="001B5123" w:rsidP="00E74664">
            <w:pPr>
              <w:pStyle w:val="afffff7"/>
              <w:rPr>
                <w:color w:val="000000" w:themeColor="text1"/>
              </w:rPr>
            </w:pPr>
          </w:p>
        </w:tc>
      </w:tr>
      <w:tr w:rsidR="00697429" w:rsidRPr="00092862" w14:paraId="38941B03" w14:textId="77777777" w:rsidTr="00813B2A">
        <w:trPr>
          <w:cantSplit/>
          <w:trHeight w:val="271"/>
          <w:jc w:val="center"/>
        </w:trPr>
        <w:tc>
          <w:tcPr>
            <w:tcW w:w="0" w:type="auto"/>
            <w:vAlign w:val="center"/>
          </w:tcPr>
          <w:p w14:paraId="5E586EF2" w14:textId="77777777" w:rsidR="001B5123" w:rsidRPr="00092862" w:rsidRDefault="001B5123" w:rsidP="00E74664">
            <w:pPr>
              <w:pStyle w:val="afffff7"/>
              <w:rPr>
                <w:color w:val="000000" w:themeColor="text1"/>
              </w:rPr>
            </w:pPr>
            <w:r w:rsidRPr="00092862">
              <w:rPr>
                <w:color w:val="000000" w:themeColor="text1"/>
              </w:rPr>
              <w:t>四</w:t>
            </w:r>
          </w:p>
        </w:tc>
        <w:tc>
          <w:tcPr>
            <w:tcW w:w="0" w:type="auto"/>
            <w:gridSpan w:val="4"/>
            <w:vAlign w:val="center"/>
          </w:tcPr>
          <w:p w14:paraId="01A52BF6" w14:textId="77777777" w:rsidR="001B5123" w:rsidRPr="00092862" w:rsidRDefault="001B5123" w:rsidP="00E74664">
            <w:pPr>
              <w:pStyle w:val="afffff7"/>
              <w:rPr>
                <w:color w:val="000000" w:themeColor="text1"/>
              </w:rPr>
            </w:pPr>
            <w:r w:rsidRPr="00092862">
              <w:rPr>
                <w:color w:val="000000" w:themeColor="text1"/>
              </w:rPr>
              <w:t>硫化氫防护设备</w:t>
            </w:r>
          </w:p>
        </w:tc>
      </w:tr>
      <w:tr w:rsidR="00697429" w:rsidRPr="00092862" w14:paraId="61FB40DB" w14:textId="77777777" w:rsidTr="00813B2A">
        <w:trPr>
          <w:cantSplit/>
          <w:trHeight w:val="260"/>
          <w:jc w:val="center"/>
        </w:trPr>
        <w:tc>
          <w:tcPr>
            <w:tcW w:w="0" w:type="auto"/>
            <w:vAlign w:val="center"/>
          </w:tcPr>
          <w:p w14:paraId="24DD2719" w14:textId="77777777" w:rsidR="001B5123" w:rsidRPr="00092862" w:rsidRDefault="001B5123" w:rsidP="00E74664">
            <w:pPr>
              <w:pStyle w:val="afffff7"/>
              <w:rPr>
                <w:color w:val="000000" w:themeColor="text1"/>
              </w:rPr>
            </w:pPr>
          </w:p>
        </w:tc>
        <w:tc>
          <w:tcPr>
            <w:tcW w:w="0" w:type="auto"/>
            <w:vAlign w:val="center"/>
          </w:tcPr>
          <w:p w14:paraId="5331A354" w14:textId="77777777" w:rsidR="001B5123" w:rsidRPr="00092862" w:rsidRDefault="001B5123" w:rsidP="00E74664">
            <w:pPr>
              <w:pStyle w:val="afffff7"/>
              <w:rPr>
                <w:color w:val="000000" w:themeColor="text1"/>
              </w:rPr>
            </w:pPr>
            <w:r w:rsidRPr="00092862">
              <w:rPr>
                <w:color w:val="000000" w:themeColor="text1"/>
              </w:rPr>
              <w:t>固定式</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监测仪</w:t>
            </w:r>
          </w:p>
        </w:tc>
        <w:tc>
          <w:tcPr>
            <w:tcW w:w="0" w:type="auto"/>
            <w:vAlign w:val="center"/>
          </w:tcPr>
          <w:p w14:paraId="32539EAA" w14:textId="77777777" w:rsidR="001B5123" w:rsidRPr="00092862" w:rsidRDefault="001B5123" w:rsidP="00E74664">
            <w:pPr>
              <w:pStyle w:val="afffff7"/>
              <w:rPr>
                <w:color w:val="000000" w:themeColor="text1"/>
              </w:rPr>
            </w:pPr>
          </w:p>
        </w:tc>
        <w:tc>
          <w:tcPr>
            <w:tcW w:w="0" w:type="auto"/>
            <w:vAlign w:val="center"/>
          </w:tcPr>
          <w:p w14:paraId="4CFAAEBB" w14:textId="77777777" w:rsidR="001B5123" w:rsidRPr="00092862" w:rsidRDefault="001B5123" w:rsidP="00E74664">
            <w:pPr>
              <w:pStyle w:val="afffff7"/>
              <w:rPr>
                <w:color w:val="000000" w:themeColor="text1"/>
              </w:rPr>
            </w:pPr>
          </w:p>
        </w:tc>
        <w:tc>
          <w:tcPr>
            <w:tcW w:w="0" w:type="auto"/>
            <w:vAlign w:val="center"/>
          </w:tcPr>
          <w:p w14:paraId="480E2702" w14:textId="77777777" w:rsidR="001B5123" w:rsidRPr="00092862" w:rsidRDefault="001B5123" w:rsidP="00E74664">
            <w:pPr>
              <w:pStyle w:val="afffff7"/>
              <w:rPr>
                <w:color w:val="000000" w:themeColor="text1"/>
              </w:rPr>
            </w:pPr>
          </w:p>
        </w:tc>
      </w:tr>
      <w:tr w:rsidR="00697429" w:rsidRPr="00092862" w14:paraId="19C47743" w14:textId="77777777" w:rsidTr="00813B2A">
        <w:trPr>
          <w:cantSplit/>
          <w:trHeight w:val="271"/>
          <w:jc w:val="center"/>
        </w:trPr>
        <w:tc>
          <w:tcPr>
            <w:tcW w:w="0" w:type="auto"/>
            <w:vAlign w:val="center"/>
          </w:tcPr>
          <w:p w14:paraId="7EF3F62F" w14:textId="77777777" w:rsidR="001B5123" w:rsidRPr="00092862" w:rsidRDefault="001B5123" w:rsidP="00E74664">
            <w:pPr>
              <w:pStyle w:val="afffff7"/>
              <w:rPr>
                <w:color w:val="000000" w:themeColor="text1"/>
              </w:rPr>
            </w:pPr>
          </w:p>
        </w:tc>
        <w:tc>
          <w:tcPr>
            <w:tcW w:w="0" w:type="auto"/>
            <w:vAlign w:val="center"/>
          </w:tcPr>
          <w:p w14:paraId="7038671A" w14:textId="77777777" w:rsidR="001B5123" w:rsidRPr="00092862" w:rsidRDefault="001B5123" w:rsidP="00E74664">
            <w:pPr>
              <w:pStyle w:val="afffff7"/>
              <w:rPr>
                <w:color w:val="000000" w:themeColor="text1"/>
              </w:rPr>
            </w:pPr>
            <w:r w:rsidRPr="00092862">
              <w:rPr>
                <w:color w:val="000000" w:themeColor="text1"/>
              </w:rPr>
              <w:t>便携式</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监测仪</w:t>
            </w:r>
          </w:p>
        </w:tc>
        <w:tc>
          <w:tcPr>
            <w:tcW w:w="0" w:type="auto"/>
            <w:vAlign w:val="center"/>
          </w:tcPr>
          <w:p w14:paraId="3ED83E5E" w14:textId="77777777" w:rsidR="001B5123" w:rsidRPr="00092862" w:rsidRDefault="001B5123" w:rsidP="00E74664">
            <w:pPr>
              <w:pStyle w:val="afffff7"/>
              <w:rPr>
                <w:color w:val="000000" w:themeColor="text1"/>
              </w:rPr>
            </w:pPr>
          </w:p>
        </w:tc>
        <w:tc>
          <w:tcPr>
            <w:tcW w:w="0" w:type="auto"/>
            <w:vAlign w:val="center"/>
          </w:tcPr>
          <w:p w14:paraId="08DD619C" w14:textId="77777777" w:rsidR="001B5123" w:rsidRPr="00092862" w:rsidRDefault="001B5123" w:rsidP="00E74664">
            <w:pPr>
              <w:pStyle w:val="afffff7"/>
              <w:rPr>
                <w:color w:val="000000" w:themeColor="text1"/>
              </w:rPr>
            </w:pPr>
          </w:p>
        </w:tc>
        <w:tc>
          <w:tcPr>
            <w:tcW w:w="0" w:type="auto"/>
            <w:vAlign w:val="center"/>
          </w:tcPr>
          <w:p w14:paraId="2FF65FC3" w14:textId="77777777" w:rsidR="001B5123" w:rsidRPr="00092862" w:rsidRDefault="001B5123" w:rsidP="00E74664">
            <w:pPr>
              <w:pStyle w:val="afffff7"/>
              <w:rPr>
                <w:color w:val="000000" w:themeColor="text1"/>
              </w:rPr>
            </w:pPr>
          </w:p>
        </w:tc>
      </w:tr>
      <w:tr w:rsidR="00697429" w:rsidRPr="00092862" w14:paraId="22204788" w14:textId="77777777" w:rsidTr="00813B2A">
        <w:trPr>
          <w:cantSplit/>
          <w:trHeight w:val="260"/>
          <w:jc w:val="center"/>
        </w:trPr>
        <w:tc>
          <w:tcPr>
            <w:tcW w:w="0" w:type="auto"/>
            <w:vAlign w:val="center"/>
          </w:tcPr>
          <w:p w14:paraId="211FFA64" w14:textId="77777777" w:rsidR="001B5123" w:rsidRPr="00092862" w:rsidRDefault="001B5123" w:rsidP="00E74664">
            <w:pPr>
              <w:pStyle w:val="afffff7"/>
              <w:rPr>
                <w:color w:val="000000" w:themeColor="text1"/>
              </w:rPr>
            </w:pPr>
          </w:p>
        </w:tc>
        <w:tc>
          <w:tcPr>
            <w:tcW w:w="0" w:type="auto"/>
            <w:vAlign w:val="center"/>
          </w:tcPr>
          <w:p w14:paraId="62D598E1" w14:textId="77777777" w:rsidR="001B5123" w:rsidRPr="00092862" w:rsidRDefault="001B5123" w:rsidP="00E74664">
            <w:pPr>
              <w:pStyle w:val="afffff7"/>
              <w:rPr>
                <w:color w:val="000000" w:themeColor="text1"/>
              </w:rPr>
            </w:pPr>
            <w:r w:rsidRPr="00092862">
              <w:rPr>
                <w:color w:val="000000" w:themeColor="text1"/>
              </w:rPr>
              <w:t>空气呼吸器</w:t>
            </w:r>
          </w:p>
        </w:tc>
        <w:tc>
          <w:tcPr>
            <w:tcW w:w="0" w:type="auto"/>
            <w:vAlign w:val="center"/>
          </w:tcPr>
          <w:p w14:paraId="3756E5AD" w14:textId="77777777" w:rsidR="001B5123" w:rsidRPr="00092862" w:rsidRDefault="001B5123" w:rsidP="00E74664">
            <w:pPr>
              <w:pStyle w:val="afffff7"/>
              <w:rPr>
                <w:color w:val="000000" w:themeColor="text1"/>
              </w:rPr>
            </w:pPr>
          </w:p>
        </w:tc>
        <w:tc>
          <w:tcPr>
            <w:tcW w:w="0" w:type="auto"/>
            <w:vAlign w:val="center"/>
          </w:tcPr>
          <w:p w14:paraId="1BB5F3F1" w14:textId="77777777" w:rsidR="001B5123" w:rsidRPr="00092862" w:rsidRDefault="001B5123" w:rsidP="00E74664">
            <w:pPr>
              <w:pStyle w:val="afffff7"/>
              <w:rPr>
                <w:color w:val="000000" w:themeColor="text1"/>
              </w:rPr>
            </w:pPr>
          </w:p>
        </w:tc>
        <w:tc>
          <w:tcPr>
            <w:tcW w:w="0" w:type="auto"/>
            <w:vAlign w:val="center"/>
          </w:tcPr>
          <w:p w14:paraId="2E5C3314" w14:textId="77777777" w:rsidR="001B5123" w:rsidRPr="00092862" w:rsidRDefault="001B5123" w:rsidP="00E74664">
            <w:pPr>
              <w:pStyle w:val="afffff7"/>
              <w:rPr>
                <w:color w:val="000000" w:themeColor="text1"/>
              </w:rPr>
            </w:pPr>
          </w:p>
        </w:tc>
      </w:tr>
      <w:tr w:rsidR="00697429" w:rsidRPr="00092862" w14:paraId="0E832839" w14:textId="77777777" w:rsidTr="00813B2A">
        <w:trPr>
          <w:cantSplit/>
          <w:trHeight w:val="271"/>
          <w:jc w:val="center"/>
        </w:trPr>
        <w:tc>
          <w:tcPr>
            <w:tcW w:w="0" w:type="auto"/>
            <w:vAlign w:val="center"/>
          </w:tcPr>
          <w:p w14:paraId="4B64E7E6" w14:textId="77777777" w:rsidR="001B5123" w:rsidRPr="00092862" w:rsidRDefault="001B5123" w:rsidP="00E74664">
            <w:pPr>
              <w:pStyle w:val="afffff7"/>
              <w:rPr>
                <w:color w:val="000000" w:themeColor="text1"/>
              </w:rPr>
            </w:pPr>
          </w:p>
        </w:tc>
        <w:tc>
          <w:tcPr>
            <w:tcW w:w="0" w:type="auto"/>
            <w:vAlign w:val="center"/>
          </w:tcPr>
          <w:p w14:paraId="792144EF" w14:textId="77777777" w:rsidR="001B5123" w:rsidRPr="00092862" w:rsidRDefault="001B5123" w:rsidP="00E74664">
            <w:pPr>
              <w:pStyle w:val="afffff7"/>
              <w:rPr>
                <w:color w:val="000000" w:themeColor="text1"/>
              </w:rPr>
            </w:pPr>
            <w:r w:rsidRPr="00092862">
              <w:rPr>
                <w:color w:val="000000" w:themeColor="text1"/>
              </w:rPr>
              <w:t>空气压缩机</w:t>
            </w:r>
          </w:p>
        </w:tc>
        <w:tc>
          <w:tcPr>
            <w:tcW w:w="0" w:type="auto"/>
            <w:vAlign w:val="center"/>
          </w:tcPr>
          <w:p w14:paraId="0C5E71A0" w14:textId="77777777" w:rsidR="001B5123" w:rsidRPr="00092862" w:rsidRDefault="001B5123" w:rsidP="00E74664">
            <w:pPr>
              <w:pStyle w:val="afffff7"/>
              <w:rPr>
                <w:color w:val="000000" w:themeColor="text1"/>
              </w:rPr>
            </w:pPr>
          </w:p>
        </w:tc>
        <w:tc>
          <w:tcPr>
            <w:tcW w:w="0" w:type="auto"/>
            <w:vAlign w:val="center"/>
          </w:tcPr>
          <w:p w14:paraId="1E39B0B6" w14:textId="77777777" w:rsidR="001B5123" w:rsidRPr="00092862" w:rsidRDefault="001B5123" w:rsidP="00E74664">
            <w:pPr>
              <w:pStyle w:val="afffff7"/>
              <w:rPr>
                <w:color w:val="000000" w:themeColor="text1"/>
              </w:rPr>
            </w:pPr>
          </w:p>
        </w:tc>
        <w:tc>
          <w:tcPr>
            <w:tcW w:w="0" w:type="auto"/>
            <w:vAlign w:val="center"/>
          </w:tcPr>
          <w:p w14:paraId="263D08B1" w14:textId="77777777" w:rsidR="001B5123" w:rsidRPr="00092862" w:rsidRDefault="001B5123" w:rsidP="00E74664">
            <w:pPr>
              <w:pStyle w:val="afffff7"/>
              <w:rPr>
                <w:color w:val="000000" w:themeColor="text1"/>
              </w:rPr>
            </w:pPr>
          </w:p>
        </w:tc>
      </w:tr>
      <w:tr w:rsidR="00697429" w:rsidRPr="00092862" w14:paraId="1B6E91F7" w14:textId="77777777" w:rsidTr="00813B2A">
        <w:trPr>
          <w:cantSplit/>
          <w:trHeight w:val="260"/>
          <w:jc w:val="center"/>
        </w:trPr>
        <w:tc>
          <w:tcPr>
            <w:tcW w:w="0" w:type="auto"/>
            <w:vAlign w:val="center"/>
          </w:tcPr>
          <w:p w14:paraId="58AAD5D7" w14:textId="77777777" w:rsidR="001B5123" w:rsidRPr="00092862" w:rsidRDefault="001B5123" w:rsidP="00E74664">
            <w:pPr>
              <w:pStyle w:val="afffff7"/>
              <w:rPr>
                <w:color w:val="000000" w:themeColor="text1"/>
              </w:rPr>
            </w:pPr>
          </w:p>
        </w:tc>
        <w:tc>
          <w:tcPr>
            <w:tcW w:w="0" w:type="auto"/>
            <w:vAlign w:val="center"/>
          </w:tcPr>
          <w:p w14:paraId="2CDA8FB8" w14:textId="77777777" w:rsidR="001B5123" w:rsidRPr="00092862" w:rsidRDefault="001B5123" w:rsidP="00E74664">
            <w:pPr>
              <w:pStyle w:val="afffff7"/>
              <w:rPr>
                <w:color w:val="000000" w:themeColor="text1"/>
              </w:rPr>
            </w:pPr>
            <w:r w:rsidRPr="00092862">
              <w:rPr>
                <w:color w:val="000000" w:themeColor="text1"/>
              </w:rPr>
              <w:t>大功率防爆排风扇</w:t>
            </w:r>
          </w:p>
        </w:tc>
        <w:tc>
          <w:tcPr>
            <w:tcW w:w="0" w:type="auto"/>
            <w:vAlign w:val="center"/>
          </w:tcPr>
          <w:p w14:paraId="57C84DEC" w14:textId="77777777" w:rsidR="001B5123" w:rsidRPr="00092862" w:rsidRDefault="001B5123" w:rsidP="00E74664">
            <w:pPr>
              <w:pStyle w:val="afffff7"/>
              <w:rPr>
                <w:color w:val="000000" w:themeColor="text1"/>
              </w:rPr>
            </w:pPr>
          </w:p>
        </w:tc>
        <w:tc>
          <w:tcPr>
            <w:tcW w:w="0" w:type="auto"/>
            <w:vAlign w:val="center"/>
          </w:tcPr>
          <w:p w14:paraId="3A624CE6" w14:textId="77777777" w:rsidR="001B5123" w:rsidRPr="00092862" w:rsidRDefault="001B5123" w:rsidP="00E74664">
            <w:pPr>
              <w:pStyle w:val="afffff7"/>
              <w:rPr>
                <w:color w:val="000000" w:themeColor="text1"/>
              </w:rPr>
            </w:pPr>
          </w:p>
        </w:tc>
        <w:tc>
          <w:tcPr>
            <w:tcW w:w="0" w:type="auto"/>
            <w:vAlign w:val="center"/>
          </w:tcPr>
          <w:p w14:paraId="682CD830" w14:textId="77777777" w:rsidR="001B5123" w:rsidRPr="00092862" w:rsidRDefault="001B5123" w:rsidP="00E74664">
            <w:pPr>
              <w:pStyle w:val="afffff7"/>
              <w:rPr>
                <w:color w:val="000000" w:themeColor="text1"/>
              </w:rPr>
            </w:pPr>
          </w:p>
        </w:tc>
      </w:tr>
      <w:tr w:rsidR="00697429" w:rsidRPr="00092862" w14:paraId="2B59F8A8" w14:textId="77777777" w:rsidTr="00813B2A">
        <w:trPr>
          <w:cantSplit/>
          <w:trHeight w:val="271"/>
          <w:jc w:val="center"/>
        </w:trPr>
        <w:tc>
          <w:tcPr>
            <w:tcW w:w="0" w:type="auto"/>
            <w:vAlign w:val="center"/>
          </w:tcPr>
          <w:p w14:paraId="7BE2731D" w14:textId="77777777" w:rsidR="001B5123" w:rsidRPr="00092862" w:rsidRDefault="001B5123" w:rsidP="00E74664">
            <w:pPr>
              <w:pStyle w:val="afffff7"/>
              <w:rPr>
                <w:color w:val="000000" w:themeColor="text1"/>
              </w:rPr>
            </w:pPr>
          </w:p>
        </w:tc>
        <w:tc>
          <w:tcPr>
            <w:tcW w:w="0" w:type="auto"/>
            <w:vAlign w:val="center"/>
          </w:tcPr>
          <w:p w14:paraId="39671D31" w14:textId="77777777" w:rsidR="001B5123" w:rsidRPr="00092862" w:rsidRDefault="001B5123" w:rsidP="00E74664">
            <w:pPr>
              <w:pStyle w:val="afffff7"/>
              <w:rPr>
                <w:color w:val="000000" w:themeColor="text1"/>
              </w:rPr>
            </w:pPr>
            <w:r w:rsidRPr="00092862">
              <w:rPr>
                <w:color w:val="000000" w:themeColor="text1"/>
              </w:rPr>
              <w:t>点火装置</w:t>
            </w:r>
          </w:p>
        </w:tc>
        <w:tc>
          <w:tcPr>
            <w:tcW w:w="0" w:type="auto"/>
            <w:vAlign w:val="center"/>
          </w:tcPr>
          <w:p w14:paraId="43D7ABCE" w14:textId="77777777" w:rsidR="001B5123" w:rsidRPr="00092862" w:rsidRDefault="001B5123" w:rsidP="00E74664">
            <w:pPr>
              <w:pStyle w:val="afffff7"/>
              <w:rPr>
                <w:color w:val="000000" w:themeColor="text1"/>
              </w:rPr>
            </w:pPr>
          </w:p>
        </w:tc>
        <w:tc>
          <w:tcPr>
            <w:tcW w:w="0" w:type="auto"/>
            <w:vAlign w:val="center"/>
          </w:tcPr>
          <w:p w14:paraId="43E6D0DB" w14:textId="77777777" w:rsidR="001B5123" w:rsidRPr="00092862" w:rsidRDefault="001B5123" w:rsidP="00E74664">
            <w:pPr>
              <w:pStyle w:val="afffff7"/>
              <w:rPr>
                <w:color w:val="000000" w:themeColor="text1"/>
              </w:rPr>
            </w:pPr>
          </w:p>
        </w:tc>
        <w:tc>
          <w:tcPr>
            <w:tcW w:w="0" w:type="auto"/>
            <w:vAlign w:val="center"/>
          </w:tcPr>
          <w:p w14:paraId="08E7454B" w14:textId="77777777" w:rsidR="001B5123" w:rsidRPr="00092862" w:rsidRDefault="001B5123" w:rsidP="00E74664">
            <w:pPr>
              <w:pStyle w:val="afffff7"/>
              <w:rPr>
                <w:color w:val="000000" w:themeColor="text1"/>
              </w:rPr>
            </w:pPr>
          </w:p>
        </w:tc>
      </w:tr>
      <w:tr w:rsidR="00697429" w:rsidRPr="00092862" w14:paraId="2D51B0A0" w14:textId="77777777" w:rsidTr="00813B2A">
        <w:trPr>
          <w:cantSplit/>
          <w:trHeight w:val="260"/>
          <w:jc w:val="center"/>
        </w:trPr>
        <w:tc>
          <w:tcPr>
            <w:tcW w:w="0" w:type="auto"/>
            <w:vAlign w:val="center"/>
          </w:tcPr>
          <w:p w14:paraId="35A51787" w14:textId="77777777" w:rsidR="001B5123" w:rsidRPr="00092862" w:rsidRDefault="001B5123" w:rsidP="00E74664">
            <w:pPr>
              <w:pStyle w:val="afffff7"/>
              <w:rPr>
                <w:color w:val="000000" w:themeColor="text1"/>
              </w:rPr>
            </w:pPr>
          </w:p>
        </w:tc>
        <w:tc>
          <w:tcPr>
            <w:tcW w:w="0" w:type="auto"/>
            <w:vAlign w:val="center"/>
          </w:tcPr>
          <w:p w14:paraId="19846F5C" w14:textId="77777777" w:rsidR="001B5123" w:rsidRPr="00092862" w:rsidRDefault="001B5123" w:rsidP="00E74664">
            <w:pPr>
              <w:pStyle w:val="afffff7"/>
              <w:rPr>
                <w:color w:val="000000" w:themeColor="text1"/>
              </w:rPr>
            </w:pPr>
            <w:r w:rsidRPr="00092862">
              <w:rPr>
                <w:color w:val="000000" w:themeColor="text1"/>
              </w:rPr>
              <w:t>小型汽油发电机</w:t>
            </w:r>
          </w:p>
        </w:tc>
        <w:tc>
          <w:tcPr>
            <w:tcW w:w="0" w:type="auto"/>
            <w:vAlign w:val="center"/>
          </w:tcPr>
          <w:p w14:paraId="08B0E3AF" w14:textId="77777777" w:rsidR="001B5123" w:rsidRPr="00092862" w:rsidRDefault="001B5123" w:rsidP="00E74664">
            <w:pPr>
              <w:pStyle w:val="afffff7"/>
              <w:rPr>
                <w:color w:val="000000" w:themeColor="text1"/>
              </w:rPr>
            </w:pPr>
          </w:p>
        </w:tc>
        <w:tc>
          <w:tcPr>
            <w:tcW w:w="0" w:type="auto"/>
            <w:vAlign w:val="center"/>
          </w:tcPr>
          <w:p w14:paraId="051B5A17" w14:textId="77777777" w:rsidR="001B5123" w:rsidRPr="00092862" w:rsidRDefault="001B5123" w:rsidP="00E74664">
            <w:pPr>
              <w:pStyle w:val="afffff7"/>
              <w:rPr>
                <w:color w:val="000000" w:themeColor="text1"/>
              </w:rPr>
            </w:pPr>
          </w:p>
        </w:tc>
        <w:tc>
          <w:tcPr>
            <w:tcW w:w="0" w:type="auto"/>
            <w:vAlign w:val="center"/>
          </w:tcPr>
          <w:p w14:paraId="055BC999" w14:textId="77777777" w:rsidR="001B5123" w:rsidRPr="00092862" w:rsidRDefault="001B5123" w:rsidP="00E74664">
            <w:pPr>
              <w:pStyle w:val="afffff7"/>
              <w:rPr>
                <w:color w:val="000000" w:themeColor="text1"/>
              </w:rPr>
            </w:pPr>
          </w:p>
        </w:tc>
      </w:tr>
    </w:tbl>
    <w:p w14:paraId="25544574" w14:textId="0B56F770" w:rsidR="00DC446C" w:rsidRPr="00092862" w:rsidRDefault="00522647" w:rsidP="00145A1C">
      <w:pPr>
        <w:autoSpaceDE w:val="0"/>
        <w:autoSpaceDN w:val="0"/>
        <w:adjustRightInd w:val="0"/>
        <w:snapToGrid w:val="0"/>
        <w:spacing w:beforeLines="50" w:before="120" w:line="360" w:lineRule="auto"/>
        <w:ind w:firstLineChars="200" w:firstLine="480"/>
        <w:textAlignment w:val="baseline"/>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2</w:t>
      </w:r>
      <w:r w:rsidRPr="00092862">
        <w:rPr>
          <w:rFonts w:ascii="Times New Roman" w:eastAsia="黑体" w:hAnsi="Times New Roman" w:cs="Times New Roman"/>
          <w:color w:val="000000" w:themeColor="text1"/>
          <w:sz w:val="24"/>
          <w:szCs w:val="24"/>
        </w:rPr>
        <w:t>、</w:t>
      </w:r>
      <w:r w:rsidR="001A6854" w:rsidRPr="00092862">
        <w:rPr>
          <w:rFonts w:ascii="Times New Roman" w:eastAsia="黑体" w:hAnsi="Times New Roman" w:cs="Times New Roman"/>
          <w:color w:val="000000" w:themeColor="text1"/>
          <w:sz w:val="24"/>
          <w:szCs w:val="24"/>
        </w:rPr>
        <w:t>试采期</w:t>
      </w:r>
    </w:p>
    <w:p w14:paraId="2CF93813" w14:textId="0F751812" w:rsidR="00DC446C" w:rsidRPr="00092862" w:rsidRDefault="003C3238" w:rsidP="00145A1C">
      <w:pPr>
        <w:autoSpaceDE w:val="0"/>
        <w:autoSpaceDN w:val="0"/>
        <w:adjustRightInd w:val="0"/>
        <w:snapToGrid w:val="0"/>
        <w:spacing w:line="360" w:lineRule="auto"/>
        <w:ind w:firstLine="480"/>
        <w:textAlignment w:val="baseline"/>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00054513" w:rsidRPr="00092862">
        <w:rPr>
          <w:rFonts w:ascii="Times New Roman" w:eastAsia="宋体" w:hAnsi="Times New Roman" w:cs="Times New Roman"/>
          <w:color w:val="000000" w:themeColor="text1"/>
          <w:sz w:val="24"/>
          <w:szCs w:val="24"/>
        </w:rPr>
        <w:t>集气站主要设备一览表</w:t>
      </w:r>
      <w:r w:rsidR="003B1968" w:rsidRPr="00092862">
        <w:rPr>
          <w:rFonts w:ascii="Times New Roman" w:eastAsia="宋体" w:hAnsi="Times New Roman" w:cs="Times New Roman"/>
          <w:color w:val="000000" w:themeColor="text1"/>
          <w:sz w:val="24"/>
          <w:szCs w:val="24"/>
        </w:rPr>
        <w:t>见表</w:t>
      </w:r>
      <w:r w:rsidR="00FF312D" w:rsidRPr="00092862">
        <w:rPr>
          <w:rFonts w:ascii="Times New Roman" w:eastAsia="宋体" w:hAnsi="Times New Roman" w:cs="Times New Roman"/>
          <w:color w:val="000000" w:themeColor="text1"/>
          <w:sz w:val="24"/>
          <w:szCs w:val="24"/>
        </w:rPr>
        <w:t>3.2-</w:t>
      </w:r>
      <w:r w:rsidR="001F5ACB" w:rsidRPr="00092862">
        <w:rPr>
          <w:rFonts w:ascii="Times New Roman" w:eastAsia="宋体" w:hAnsi="Times New Roman" w:cs="Times New Roman"/>
          <w:color w:val="000000" w:themeColor="text1"/>
          <w:sz w:val="24"/>
          <w:szCs w:val="24"/>
        </w:rPr>
        <w:t>17</w:t>
      </w:r>
      <w:r w:rsidR="003B1968" w:rsidRPr="00092862">
        <w:rPr>
          <w:rFonts w:ascii="Times New Roman" w:eastAsia="宋体" w:hAnsi="Times New Roman" w:cs="Times New Roman"/>
          <w:color w:val="000000" w:themeColor="text1"/>
          <w:sz w:val="24"/>
          <w:szCs w:val="24"/>
        </w:rPr>
        <w:t>。</w:t>
      </w:r>
    </w:p>
    <w:p w14:paraId="6FE90EEF" w14:textId="1A2929DB"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FF312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17</w:t>
      </w:r>
      <w:r w:rsidRPr="00092862">
        <w:rPr>
          <w:rFonts w:ascii="Times New Roman" w:eastAsia="黑体" w:hAnsi="Times New Roman"/>
          <w:color w:val="000000" w:themeColor="text1"/>
          <w:sz w:val="21"/>
          <w:szCs w:val="21"/>
          <w:lang w:eastAsia="zh-CN"/>
        </w:rPr>
        <w:t xml:space="preserve">  </w:t>
      </w:r>
      <w:r w:rsidR="003C3238" w:rsidRPr="00092862">
        <w:rPr>
          <w:rFonts w:ascii="Times New Roman" w:eastAsia="黑体" w:hAnsi="Times New Roman"/>
          <w:color w:val="000000" w:themeColor="text1"/>
          <w:sz w:val="21"/>
          <w:szCs w:val="21"/>
          <w:lang w:eastAsia="zh-CN"/>
        </w:rPr>
        <w:t>老君</w:t>
      </w:r>
      <w:r w:rsidR="003C3238" w:rsidRPr="00092862">
        <w:rPr>
          <w:rFonts w:ascii="Times New Roman" w:eastAsia="黑体" w:hAnsi="Times New Roman"/>
          <w:color w:val="000000" w:themeColor="text1"/>
          <w:sz w:val="21"/>
          <w:szCs w:val="21"/>
          <w:lang w:eastAsia="zh-CN"/>
        </w:rPr>
        <w:t>701</w:t>
      </w:r>
      <w:r w:rsidR="0012569E" w:rsidRPr="00092862">
        <w:rPr>
          <w:rFonts w:ascii="Times New Roman" w:eastAsia="黑体" w:hAnsi="Times New Roman"/>
          <w:color w:val="000000" w:themeColor="text1"/>
          <w:sz w:val="21"/>
          <w:szCs w:val="21"/>
          <w:lang w:eastAsia="zh-CN"/>
        </w:rPr>
        <w:t>集气站</w:t>
      </w:r>
      <w:r w:rsidRPr="00092862">
        <w:rPr>
          <w:rFonts w:ascii="Times New Roman" w:eastAsia="黑体" w:hAnsi="Times New Roman"/>
          <w:color w:val="000000" w:themeColor="text1"/>
          <w:sz w:val="21"/>
          <w:szCs w:val="21"/>
          <w:lang w:eastAsia="zh-CN"/>
        </w:rPr>
        <w:t>主要设备一览表</w:t>
      </w:r>
    </w:p>
    <w:tbl>
      <w:tblPr>
        <w:tblStyle w:val="aff"/>
        <w:tblW w:w="0" w:type="auto"/>
        <w:tblLook w:val="04A0" w:firstRow="1" w:lastRow="0" w:firstColumn="1" w:lastColumn="0" w:noHBand="0" w:noVBand="1"/>
      </w:tblPr>
      <w:tblGrid>
        <w:gridCol w:w="704"/>
        <w:gridCol w:w="3119"/>
        <w:gridCol w:w="850"/>
        <w:gridCol w:w="851"/>
        <w:gridCol w:w="2776"/>
      </w:tblGrid>
      <w:tr w:rsidR="00697429" w:rsidRPr="00092862" w14:paraId="73ED5886" w14:textId="77777777" w:rsidTr="00054513">
        <w:tc>
          <w:tcPr>
            <w:tcW w:w="704" w:type="dxa"/>
            <w:vAlign w:val="center"/>
          </w:tcPr>
          <w:p w14:paraId="16E6387A" w14:textId="6CAEC2B9" w:rsidR="00054513" w:rsidRPr="00092862" w:rsidRDefault="00054513" w:rsidP="00054513">
            <w:pPr>
              <w:pStyle w:val="afffff7"/>
              <w:rPr>
                <w:color w:val="000000" w:themeColor="text1"/>
              </w:rPr>
            </w:pPr>
            <w:r w:rsidRPr="00092862">
              <w:rPr>
                <w:color w:val="000000" w:themeColor="text1"/>
              </w:rPr>
              <w:t>序号</w:t>
            </w:r>
          </w:p>
        </w:tc>
        <w:tc>
          <w:tcPr>
            <w:tcW w:w="3119" w:type="dxa"/>
            <w:vAlign w:val="center"/>
          </w:tcPr>
          <w:p w14:paraId="191169FB" w14:textId="02239209" w:rsidR="00054513" w:rsidRPr="00092862" w:rsidRDefault="00054513" w:rsidP="00054513">
            <w:pPr>
              <w:pStyle w:val="afffff7"/>
              <w:rPr>
                <w:color w:val="000000" w:themeColor="text1"/>
              </w:rPr>
            </w:pPr>
            <w:r w:rsidRPr="00092862">
              <w:rPr>
                <w:color w:val="000000" w:themeColor="text1"/>
              </w:rPr>
              <w:t>拆除复建明细</w:t>
            </w:r>
          </w:p>
        </w:tc>
        <w:tc>
          <w:tcPr>
            <w:tcW w:w="850" w:type="dxa"/>
            <w:vAlign w:val="center"/>
          </w:tcPr>
          <w:p w14:paraId="4C1B7000" w14:textId="29A612B3" w:rsidR="00054513" w:rsidRPr="00092862" w:rsidRDefault="00054513" w:rsidP="00054513">
            <w:pPr>
              <w:pStyle w:val="afffff7"/>
              <w:rPr>
                <w:color w:val="000000" w:themeColor="text1"/>
              </w:rPr>
            </w:pPr>
            <w:r w:rsidRPr="00092862">
              <w:rPr>
                <w:color w:val="000000" w:themeColor="text1"/>
              </w:rPr>
              <w:t>单位</w:t>
            </w:r>
          </w:p>
        </w:tc>
        <w:tc>
          <w:tcPr>
            <w:tcW w:w="851" w:type="dxa"/>
            <w:vAlign w:val="center"/>
          </w:tcPr>
          <w:p w14:paraId="53A49FD4" w14:textId="6328360B" w:rsidR="00054513" w:rsidRPr="00092862" w:rsidRDefault="00054513" w:rsidP="00054513">
            <w:pPr>
              <w:pStyle w:val="afffff7"/>
              <w:rPr>
                <w:color w:val="000000" w:themeColor="text1"/>
              </w:rPr>
            </w:pPr>
            <w:r w:rsidRPr="00092862">
              <w:rPr>
                <w:color w:val="000000" w:themeColor="text1"/>
              </w:rPr>
              <w:t>数量</w:t>
            </w:r>
          </w:p>
        </w:tc>
        <w:tc>
          <w:tcPr>
            <w:tcW w:w="2776" w:type="dxa"/>
            <w:vAlign w:val="center"/>
          </w:tcPr>
          <w:p w14:paraId="6D9478DB" w14:textId="18AE2CC0" w:rsidR="00054513" w:rsidRPr="00092862" w:rsidRDefault="00054513" w:rsidP="00054513">
            <w:pPr>
              <w:pStyle w:val="afffff7"/>
              <w:rPr>
                <w:color w:val="000000" w:themeColor="text1"/>
              </w:rPr>
            </w:pPr>
            <w:r w:rsidRPr="00092862">
              <w:rPr>
                <w:color w:val="000000" w:themeColor="text1"/>
              </w:rPr>
              <w:t>备注</w:t>
            </w:r>
          </w:p>
        </w:tc>
      </w:tr>
      <w:tr w:rsidR="00697429" w:rsidRPr="00092862" w14:paraId="77EE933D" w14:textId="77777777" w:rsidTr="00054513">
        <w:tc>
          <w:tcPr>
            <w:tcW w:w="704" w:type="dxa"/>
            <w:vAlign w:val="center"/>
          </w:tcPr>
          <w:p w14:paraId="736A0D54" w14:textId="65C7E9DC" w:rsidR="00054513" w:rsidRPr="00092862" w:rsidRDefault="00054513" w:rsidP="00054513">
            <w:pPr>
              <w:pStyle w:val="afffff7"/>
              <w:rPr>
                <w:color w:val="000000" w:themeColor="text1"/>
              </w:rPr>
            </w:pPr>
            <w:r w:rsidRPr="00092862">
              <w:rPr>
                <w:color w:val="000000" w:themeColor="text1"/>
              </w:rPr>
              <w:t>1</w:t>
            </w:r>
          </w:p>
        </w:tc>
        <w:tc>
          <w:tcPr>
            <w:tcW w:w="3119" w:type="dxa"/>
            <w:vAlign w:val="center"/>
          </w:tcPr>
          <w:p w14:paraId="468E4B13" w14:textId="7F38E151" w:rsidR="00054513" w:rsidRPr="00092862" w:rsidRDefault="00054513" w:rsidP="00054513">
            <w:pPr>
              <w:pStyle w:val="afffff7"/>
              <w:rPr>
                <w:color w:val="000000" w:themeColor="text1"/>
              </w:rPr>
            </w:pPr>
            <w:r w:rsidRPr="00092862">
              <w:rPr>
                <w:color w:val="000000" w:themeColor="text1"/>
              </w:rPr>
              <w:t>分酸分离器</w:t>
            </w:r>
          </w:p>
        </w:tc>
        <w:tc>
          <w:tcPr>
            <w:tcW w:w="850" w:type="dxa"/>
            <w:vAlign w:val="center"/>
          </w:tcPr>
          <w:p w14:paraId="5BE2DF9B" w14:textId="6EF40848" w:rsidR="00054513" w:rsidRPr="00092862" w:rsidRDefault="00054513" w:rsidP="00054513">
            <w:pPr>
              <w:pStyle w:val="afffff7"/>
              <w:rPr>
                <w:color w:val="000000" w:themeColor="text1"/>
              </w:rPr>
            </w:pPr>
            <w:r w:rsidRPr="00092862">
              <w:rPr>
                <w:color w:val="000000" w:themeColor="text1"/>
              </w:rPr>
              <w:t>台</w:t>
            </w:r>
          </w:p>
        </w:tc>
        <w:tc>
          <w:tcPr>
            <w:tcW w:w="851" w:type="dxa"/>
            <w:vAlign w:val="center"/>
          </w:tcPr>
          <w:p w14:paraId="29A936FE" w14:textId="7FD4B914" w:rsidR="00054513" w:rsidRPr="00092862" w:rsidRDefault="00054513" w:rsidP="00054513">
            <w:pPr>
              <w:pStyle w:val="afffff7"/>
              <w:rPr>
                <w:color w:val="000000" w:themeColor="text1"/>
              </w:rPr>
            </w:pPr>
            <w:r w:rsidRPr="00092862">
              <w:rPr>
                <w:color w:val="000000" w:themeColor="text1"/>
              </w:rPr>
              <w:t>1</w:t>
            </w:r>
          </w:p>
        </w:tc>
        <w:tc>
          <w:tcPr>
            <w:tcW w:w="2776" w:type="dxa"/>
            <w:vAlign w:val="center"/>
          </w:tcPr>
          <w:p w14:paraId="5BAF8783" w14:textId="341C7431" w:rsidR="00054513" w:rsidRPr="00092862" w:rsidRDefault="00054513" w:rsidP="00054513">
            <w:pPr>
              <w:pStyle w:val="afffff7"/>
              <w:rPr>
                <w:color w:val="000000" w:themeColor="text1"/>
              </w:rPr>
            </w:pPr>
            <w:r w:rsidRPr="00092862">
              <w:rPr>
                <w:color w:val="000000" w:themeColor="text1"/>
              </w:rPr>
              <w:t>/</w:t>
            </w:r>
          </w:p>
        </w:tc>
      </w:tr>
      <w:tr w:rsidR="00697429" w:rsidRPr="00092862" w14:paraId="6BFABAC4" w14:textId="77777777" w:rsidTr="00054513">
        <w:tc>
          <w:tcPr>
            <w:tcW w:w="704" w:type="dxa"/>
            <w:vAlign w:val="center"/>
          </w:tcPr>
          <w:p w14:paraId="16938585" w14:textId="41639016" w:rsidR="00054513" w:rsidRPr="00092862" w:rsidRDefault="00054513" w:rsidP="00054513">
            <w:pPr>
              <w:pStyle w:val="afffff7"/>
              <w:rPr>
                <w:color w:val="000000" w:themeColor="text1"/>
              </w:rPr>
            </w:pPr>
            <w:r w:rsidRPr="00092862">
              <w:rPr>
                <w:color w:val="000000" w:themeColor="text1"/>
              </w:rPr>
              <w:t>2</w:t>
            </w:r>
          </w:p>
        </w:tc>
        <w:tc>
          <w:tcPr>
            <w:tcW w:w="3119" w:type="dxa"/>
            <w:vAlign w:val="center"/>
          </w:tcPr>
          <w:p w14:paraId="34760A9F" w14:textId="7B1D4E4A" w:rsidR="00054513" w:rsidRPr="00092862" w:rsidRDefault="00054513" w:rsidP="00054513">
            <w:pPr>
              <w:pStyle w:val="afffff7"/>
              <w:rPr>
                <w:color w:val="000000" w:themeColor="text1"/>
              </w:rPr>
            </w:pPr>
            <w:r w:rsidRPr="00092862">
              <w:rPr>
                <w:color w:val="000000" w:themeColor="text1"/>
              </w:rPr>
              <w:t>水套加热炉</w:t>
            </w:r>
          </w:p>
        </w:tc>
        <w:tc>
          <w:tcPr>
            <w:tcW w:w="850" w:type="dxa"/>
            <w:vAlign w:val="center"/>
          </w:tcPr>
          <w:p w14:paraId="2F823E4B" w14:textId="34EC5D38" w:rsidR="00054513" w:rsidRPr="00092862" w:rsidRDefault="00054513" w:rsidP="00054513">
            <w:pPr>
              <w:pStyle w:val="afffff7"/>
              <w:rPr>
                <w:color w:val="000000" w:themeColor="text1"/>
              </w:rPr>
            </w:pPr>
            <w:r w:rsidRPr="00092862">
              <w:rPr>
                <w:color w:val="000000" w:themeColor="text1"/>
              </w:rPr>
              <w:t>台</w:t>
            </w:r>
          </w:p>
        </w:tc>
        <w:tc>
          <w:tcPr>
            <w:tcW w:w="851" w:type="dxa"/>
            <w:vAlign w:val="center"/>
          </w:tcPr>
          <w:p w14:paraId="329C967E" w14:textId="1ECD3A9D" w:rsidR="00054513" w:rsidRPr="00092862" w:rsidRDefault="00054513" w:rsidP="00054513">
            <w:pPr>
              <w:pStyle w:val="afffff7"/>
              <w:rPr>
                <w:color w:val="000000" w:themeColor="text1"/>
              </w:rPr>
            </w:pPr>
            <w:r w:rsidRPr="00092862">
              <w:rPr>
                <w:color w:val="000000" w:themeColor="text1"/>
              </w:rPr>
              <w:t>2</w:t>
            </w:r>
          </w:p>
        </w:tc>
        <w:tc>
          <w:tcPr>
            <w:tcW w:w="2776" w:type="dxa"/>
            <w:vAlign w:val="center"/>
          </w:tcPr>
          <w:p w14:paraId="3C46320C" w14:textId="2DDDB023" w:rsidR="00054513" w:rsidRPr="00092862" w:rsidRDefault="00054513" w:rsidP="00054513">
            <w:pPr>
              <w:pStyle w:val="afffff7"/>
              <w:rPr>
                <w:color w:val="000000" w:themeColor="text1"/>
              </w:rPr>
            </w:pPr>
            <w:r w:rsidRPr="00092862">
              <w:rPr>
                <w:color w:val="000000" w:themeColor="text1"/>
              </w:rPr>
              <w:t>/</w:t>
            </w:r>
          </w:p>
        </w:tc>
      </w:tr>
      <w:tr w:rsidR="00697429" w:rsidRPr="00092862" w14:paraId="2A57F4D6" w14:textId="77777777" w:rsidTr="00054513">
        <w:tc>
          <w:tcPr>
            <w:tcW w:w="704" w:type="dxa"/>
            <w:vAlign w:val="center"/>
          </w:tcPr>
          <w:p w14:paraId="0CDBEB31" w14:textId="239B7CCD" w:rsidR="00054513" w:rsidRPr="00092862" w:rsidRDefault="00054513" w:rsidP="00054513">
            <w:pPr>
              <w:pStyle w:val="afffff7"/>
              <w:rPr>
                <w:color w:val="000000" w:themeColor="text1"/>
              </w:rPr>
            </w:pPr>
            <w:r w:rsidRPr="00092862">
              <w:rPr>
                <w:color w:val="000000" w:themeColor="text1"/>
              </w:rPr>
              <w:t>3</w:t>
            </w:r>
          </w:p>
        </w:tc>
        <w:tc>
          <w:tcPr>
            <w:tcW w:w="3119" w:type="dxa"/>
            <w:vAlign w:val="center"/>
          </w:tcPr>
          <w:p w14:paraId="6BDA5F2F" w14:textId="1E5C235A" w:rsidR="00054513" w:rsidRPr="00092862" w:rsidRDefault="00054513" w:rsidP="00054513">
            <w:pPr>
              <w:pStyle w:val="afffff7"/>
              <w:rPr>
                <w:color w:val="000000" w:themeColor="text1"/>
              </w:rPr>
            </w:pPr>
            <w:r w:rsidRPr="00092862">
              <w:rPr>
                <w:color w:val="000000" w:themeColor="text1"/>
              </w:rPr>
              <w:t>限流孔板</w:t>
            </w:r>
          </w:p>
        </w:tc>
        <w:tc>
          <w:tcPr>
            <w:tcW w:w="850" w:type="dxa"/>
            <w:vAlign w:val="center"/>
          </w:tcPr>
          <w:p w14:paraId="33828A9B" w14:textId="6AC1054F" w:rsidR="00054513" w:rsidRPr="00092862" w:rsidRDefault="00054513" w:rsidP="00054513">
            <w:pPr>
              <w:pStyle w:val="afffff7"/>
              <w:rPr>
                <w:color w:val="000000" w:themeColor="text1"/>
              </w:rPr>
            </w:pPr>
            <w:r w:rsidRPr="00092862">
              <w:rPr>
                <w:color w:val="000000" w:themeColor="text1"/>
              </w:rPr>
              <w:t>台</w:t>
            </w:r>
          </w:p>
        </w:tc>
        <w:tc>
          <w:tcPr>
            <w:tcW w:w="851" w:type="dxa"/>
            <w:vAlign w:val="center"/>
          </w:tcPr>
          <w:p w14:paraId="320C31F4" w14:textId="424E66BC" w:rsidR="00054513" w:rsidRPr="00092862" w:rsidRDefault="00054513" w:rsidP="00054513">
            <w:pPr>
              <w:pStyle w:val="afffff7"/>
              <w:rPr>
                <w:color w:val="000000" w:themeColor="text1"/>
              </w:rPr>
            </w:pPr>
            <w:r w:rsidRPr="00092862">
              <w:rPr>
                <w:color w:val="000000" w:themeColor="text1"/>
              </w:rPr>
              <w:t>3</w:t>
            </w:r>
          </w:p>
        </w:tc>
        <w:tc>
          <w:tcPr>
            <w:tcW w:w="2776" w:type="dxa"/>
            <w:vAlign w:val="center"/>
          </w:tcPr>
          <w:p w14:paraId="18E528B9" w14:textId="2CBAE75D" w:rsidR="00054513" w:rsidRPr="00092862" w:rsidRDefault="00054513" w:rsidP="00054513">
            <w:pPr>
              <w:pStyle w:val="afffff7"/>
              <w:rPr>
                <w:color w:val="000000" w:themeColor="text1"/>
              </w:rPr>
            </w:pPr>
            <w:r w:rsidRPr="00092862">
              <w:rPr>
                <w:color w:val="000000" w:themeColor="text1"/>
              </w:rPr>
              <w:t>/</w:t>
            </w:r>
          </w:p>
        </w:tc>
      </w:tr>
      <w:tr w:rsidR="00697429" w:rsidRPr="00092862" w14:paraId="1B7B5711" w14:textId="77777777" w:rsidTr="00054513">
        <w:tc>
          <w:tcPr>
            <w:tcW w:w="704" w:type="dxa"/>
            <w:vAlign w:val="center"/>
          </w:tcPr>
          <w:p w14:paraId="3FE1D01C" w14:textId="1F0F9207" w:rsidR="00054513" w:rsidRPr="00092862" w:rsidRDefault="00054513" w:rsidP="00054513">
            <w:pPr>
              <w:pStyle w:val="afffff7"/>
              <w:rPr>
                <w:color w:val="000000" w:themeColor="text1"/>
              </w:rPr>
            </w:pPr>
            <w:r w:rsidRPr="00092862">
              <w:rPr>
                <w:color w:val="000000" w:themeColor="text1"/>
              </w:rPr>
              <w:t>4</w:t>
            </w:r>
          </w:p>
        </w:tc>
        <w:tc>
          <w:tcPr>
            <w:tcW w:w="3119" w:type="dxa"/>
            <w:vAlign w:val="center"/>
          </w:tcPr>
          <w:p w14:paraId="54F98A54" w14:textId="18F837E5" w:rsidR="00054513" w:rsidRPr="00092862" w:rsidRDefault="00054513" w:rsidP="00054513">
            <w:pPr>
              <w:pStyle w:val="afffff7"/>
              <w:rPr>
                <w:color w:val="000000" w:themeColor="text1"/>
              </w:rPr>
            </w:pPr>
            <w:r w:rsidRPr="00092862">
              <w:rPr>
                <w:color w:val="000000" w:themeColor="text1"/>
              </w:rPr>
              <w:t>井口</w:t>
            </w:r>
            <w:r w:rsidRPr="00092862">
              <w:rPr>
                <w:color w:val="000000" w:themeColor="text1"/>
              </w:rPr>
              <w:t>BDV</w:t>
            </w:r>
          </w:p>
        </w:tc>
        <w:tc>
          <w:tcPr>
            <w:tcW w:w="850" w:type="dxa"/>
            <w:vAlign w:val="center"/>
          </w:tcPr>
          <w:p w14:paraId="043C8F49" w14:textId="09F58AFC" w:rsidR="00054513" w:rsidRPr="00092862" w:rsidRDefault="00054513" w:rsidP="00054513">
            <w:pPr>
              <w:pStyle w:val="afffff7"/>
              <w:rPr>
                <w:color w:val="000000" w:themeColor="text1"/>
              </w:rPr>
            </w:pPr>
            <w:r w:rsidRPr="00092862">
              <w:rPr>
                <w:color w:val="000000" w:themeColor="text1"/>
              </w:rPr>
              <w:t>台</w:t>
            </w:r>
          </w:p>
        </w:tc>
        <w:tc>
          <w:tcPr>
            <w:tcW w:w="851" w:type="dxa"/>
            <w:vAlign w:val="center"/>
          </w:tcPr>
          <w:p w14:paraId="2251A409" w14:textId="54C821FF" w:rsidR="00054513" w:rsidRPr="00092862" w:rsidRDefault="00054513" w:rsidP="00054513">
            <w:pPr>
              <w:pStyle w:val="afffff7"/>
              <w:rPr>
                <w:color w:val="000000" w:themeColor="text1"/>
              </w:rPr>
            </w:pPr>
            <w:r w:rsidRPr="00092862">
              <w:rPr>
                <w:color w:val="000000" w:themeColor="text1"/>
              </w:rPr>
              <w:t>3</w:t>
            </w:r>
          </w:p>
        </w:tc>
        <w:tc>
          <w:tcPr>
            <w:tcW w:w="2776" w:type="dxa"/>
            <w:vAlign w:val="center"/>
          </w:tcPr>
          <w:p w14:paraId="310EAFCF" w14:textId="194A9A8D" w:rsidR="00054513" w:rsidRPr="00092862" w:rsidRDefault="00054513" w:rsidP="00054513">
            <w:pPr>
              <w:pStyle w:val="afffff7"/>
              <w:rPr>
                <w:color w:val="000000" w:themeColor="text1"/>
              </w:rPr>
            </w:pPr>
            <w:r w:rsidRPr="00092862">
              <w:rPr>
                <w:color w:val="000000" w:themeColor="text1"/>
              </w:rPr>
              <w:t>/</w:t>
            </w:r>
          </w:p>
        </w:tc>
      </w:tr>
      <w:tr w:rsidR="00697429" w:rsidRPr="00092862" w14:paraId="5180F739" w14:textId="77777777" w:rsidTr="00054513">
        <w:tc>
          <w:tcPr>
            <w:tcW w:w="704" w:type="dxa"/>
            <w:vAlign w:val="center"/>
          </w:tcPr>
          <w:p w14:paraId="6B740CCE" w14:textId="3361C9F2" w:rsidR="00054513" w:rsidRPr="00092862" w:rsidRDefault="00054513" w:rsidP="00054513">
            <w:pPr>
              <w:pStyle w:val="afffff7"/>
              <w:rPr>
                <w:color w:val="000000" w:themeColor="text1"/>
              </w:rPr>
            </w:pPr>
            <w:r w:rsidRPr="00092862">
              <w:rPr>
                <w:color w:val="000000" w:themeColor="text1"/>
              </w:rPr>
              <w:t>5</w:t>
            </w:r>
          </w:p>
        </w:tc>
        <w:tc>
          <w:tcPr>
            <w:tcW w:w="3119" w:type="dxa"/>
            <w:vAlign w:val="center"/>
          </w:tcPr>
          <w:p w14:paraId="5E1C272E" w14:textId="431BF118" w:rsidR="00054513" w:rsidRPr="00092862" w:rsidRDefault="00054513" w:rsidP="00054513">
            <w:pPr>
              <w:pStyle w:val="afffff7"/>
              <w:rPr>
                <w:color w:val="000000" w:themeColor="text1"/>
              </w:rPr>
            </w:pPr>
            <w:r w:rsidRPr="00092862">
              <w:rPr>
                <w:color w:val="000000" w:themeColor="text1"/>
              </w:rPr>
              <w:t>外输</w:t>
            </w:r>
            <w:r w:rsidRPr="00092862">
              <w:rPr>
                <w:color w:val="000000" w:themeColor="text1"/>
              </w:rPr>
              <w:t>BDV</w:t>
            </w:r>
          </w:p>
        </w:tc>
        <w:tc>
          <w:tcPr>
            <w:tcW w:w="850" w:type="dxa"/>
            <w:vAlign w:val="center"/>
          </w:tcPr>
          <w:p w14:paraId="791802B9" w14:textId="2BE18C83" w:rsidR="00054513" w:rsidRPr="00092862" w:rsidRDefault="00054513" w:rsidP="00054513">
            <w:pPr>
              <w:pStyle w:val="afffff7"/>
              <w:rPr>
                <w:color w:val="000000" w:themeColor="text1"/>
              </w:rPr>
            </w:pPr>
            <w:r w:rsidRPr="00092862">
              <w:rPr>
                <w:color w:val="000000" w:themeColor="text1"/>
              </w:rPr>
              <w:t>台</w:t>
            </w:r>
          </w:p>
        </w:tc>
        <w:tc>
          <w:tcPr>
            <w:tcW w:w="851" w:type="dxa"/>
            <w:vAlign w:val="center"/>
          </w:tcPr>
          <w:p w14:paraId="292D6C71" w14:textId="1CCD1C77" w:rsidR="00054513" w:rsidRPr="00092862" w:rsidRDefault="00054513" w:rsidP="00054513">
            <w:pPr>
              <w:pStyle w:val="afffff7"/>
              <w:rPr>
                <w:color w:val="000000" w:themeColor="text1"/>
              </w:rPr>
            </w:pPr>
            <w:r w:rsidRPr="00092862">
              <w:rPr>
                <w:color w:val="000000" w:themeColor="text1"/>
              </w:rPr>
              <w:t>2</w:t>
            </w:r>
          </w:p>
        </w:tc>
        <w:tc>
          <w:tcPr>
            <w:tcW w:w="2776" w:type="dxa"/>
            <w:vAlign w:val="center"/>
          </w:tcPr>
          <w:p w14:paraId="4EA600FE" w14:textId="5E17DCCD" w:rsidR="00054513" w:rsidRPr="00092862" w:rsidRDefault="00054513" w:rsidP="00054513">
            <w:pPr>
              <w:pStyle w:val="afffff7"/>
              <w:rPr>
                <w:color w:val="000000" w:themeColor="text1"/>
              </w:rPr>
            </w:pPr>
            <w:r w:rsidRPr="00092862">
              <w:rPr>
                <w:color w:val="000000" w:themeColor="text1"/>
              </w:rPr>
              <w:t>/</w:t>
            </w:r>
          </w:p>
        </w:tc>
      </w:tr>
      <w:tr w:rsidR="00697429" w:rsidRPr="00092862" w14:paraId="47593774" w14:textId="77777777" w:rsidTr="00054513">
        <w:tc>
          <w:tcPr>
            <w:tcW w:w="704" w:type="dxa"/>
            <w:vAlign w:val="center"/>
          </w:tcPr>
          <w:p w14:paraId="11F2E688" w14:textId="498D139E" w:rsidR="00054513" w:rsidRPr="00092862" w:rsidRDefault="00054513" w:rsidP="00054513">
            <w:pPr>
              <w:pStyle w:val="afffff7"/>
              <w:rPr>
                <w:color w:val="000000" w:themeColor="text1"/>
              </w:rPr>
            </w:pPr>
            <w:r w:rsidRPr="00092862">
              <w:rPr>
                <w:color w:val="000000" w:themeColor="text1"/>
              </w:rPr>
              <w:t>6</w:t>
            </w:r>
          </w:p>
        </w:tc>
        <w:tc>
          <w:tcPr>
            <w:tcW w:w="3119" w:type="dxa"/>
            <w:vAlign w:val="center"/>
          </w:tcPr>
          <w:p w14:paraId="2E82A79B" w14:textId="049F8BC1" w:rsidR="00054513" w:rsidRPr="00092862" w:rsidRDefault="00054513" w:rsidP="00054513">
            <w:pPr>
              <w:pStyle w:val="afffff7"/>
              <w:rPr>
                <w:color w:val="000000" w:themeColor="text1"/>
              </w:rPr>
            </w:pPr>
            <w:r w:rsidRPr="00092862">
              <w:rPr>
                <w:color w:val="000000" w:themeColor="text1"/>
              </w:rPr>
              <w:t>管廊</w:t>
            </w:r>
          </w:p>
        </w:tc>
        <w:tc>
          <w:tcPr>
            <w:tcW w:w="850" w:type="dxa"/>
            <w:vAlign w:val="center"/>
          </w:tcPr>
          <w:p w14:paraId="6564A1A0" w14:textId="3EC4800A" w:rsidR="00054513" w:rsidRPr="00092862" w:rsidRDefault="00054513" w:rsidP="00054513">
            <w:pPr>
              <w:pStyle w:val="afffff7"/>
              <w:rPr>
                <w:color w:val="000000" w:themeColor="text1"/>
              </w:rPr>
            </w:pPr>
            <w:r w:rsidRPr="00092862">
              <w:rPr>
                <w:color w:val="000000" w:themeColor="text1"/>
              </w:rPr>
              <w:t>m</w:t>
            </w:r>
          </w:p>
        </w:tc>
        <w:tc>
          <w:tcPr>
            <w:tcW w:w="851" w:type="dxa"/>
            <w:vAlign w:val="center"/>
          </w:tcPr>
          <w:p w14:paraId="6099596E" w14:textId="6CCFEDCB" w:rsidR="00054513" w:rsidRPr="00092862" w:rsidRDefault="00054513" w:rsidP="00054513">
            <w:pPr>
              <w:pStyle w:val="afffff7"/>
              <w:rPr>
                <w:color w:val="000000" w:themeColor="text1"/>
              </w:rPr>
            </w:pPr>
            <w:r w:rsidRPr="00092862">
              <w:rPr>
                <w:color w:val="000000" w:themeColor="text1"/>
              </w:rPr>
              <w:t>58</w:t>
            </w:r>
          </w:p>
        </w:tc>
        <w:tc>
          <w:tcPr>
            <w:tcW w:w="2776" w:type="dxa"/>
            <w:vAlign w:val="center"/>
          </w:tcPr>
          <w:p w14:paraId="7608B6C9" w14:textId="547E8C8C" w:rsidR="00054513" w:rsidRPr="00092862" w:rsidRDefault="00054513" w:rsidP="00054513">
            <w:pPr>
              <w:pStyle w:val="afffff7"/>
              <w:rPr>
                <w:color w:val="000000" w:themeColor="text1"/>
              </w:rPr>
            </w:pPr>
            <w:r w:rsidRPr="00092862">
              <w:rPr>
                <w:color w:val="000000" w:themeColor="text1"/>
              </w:rPr>
              <w:t>/</w:t>
            </w:r>
          </w:p>
        </w:tc>
      </w:tr>
      <w:tr w:rsidR="00697429" w:rsidRPr="00092862" w14:paraId="1FB71FB7" w14:textId="77777777" w:rsidTr="00054513">
        <w:tc>
          <w:tcPr>
            <w:tcW w:w="704" w:type="dxa"/>
            <w:vAlign w:val="center"/>
          </w:tcPr>
          <w:p w14:paraId="30A79AC6" w14:textId="443671E9" w:rsidR="00054513" w:rsidRPr="00092862" w:rsidRDefault="00054513" w:rsidP="00054513">
            <w:pPr>
              <w:pStyle w:val="afffff7"/>
              <w:rPr>
                <w:color w:val="000000" w:themeColor="text1"/>
              </w:rPr>
            </w:pPr>
            <w:r w:rsidRPr="00092862">
              <w:rPr>
                <w:color w:val="000000" w:themeColor="text1"/>
              </w:rPr>
              <w:t>7</w:t>
            </w:r>
          </w:p>
        </w:tc>
        <w:tc>
          <w:tcPr>
            <w:tcW w:w="3119" w:type="dxa"/>
            <w:vAlign w:val="center"/>
          </w:tcPr>
          <w:p w14:paraId="28E965F0" w14:textId="77C12481" w:rsidR="00054513" w:rsidRPr="00092862" w:rsidRDefault="00054513" w:rsidP="00054513">
            <w:pPr>
              <w:pStyle w:val="afffff7"/>
              <w:rPr>
                <w:color w:val="000000" w:themeColor="text1"/>
              </w:rPr>
            </w:pPr>
            <w:r w:rsidRPr="00092862">
              <w:rPr>
                <w:color w:val="000000" w:themeColor="text1"/>
              </w:rPr>
              <w:t>阀门</w:t>
            </w:r>
          </w:p>
        </w:tc>
        <w:tc>
          <w:tcPr>
            <w:tcW w:w="850" w:type="dxa"/>
            <w:vAlign w:val="center"/>
          </w:tcPr>
          <w:p w14:paraId="1CF87105" w14:textId="1370C6E5" w:rsidR="00054513" w:rsidRPr="00092862" w:rsidRDefault="00054513" w:rsidP="00054513">
            <w:pPr>
              <w:pStyle w:val="afffff7"/>
              <w:rPr>
                <w:color w:val="000000" w:themeColor="text1"/>
              </w:rPr>
            </w:pPr>
            <w:r w:rsidRPr="00092862">
              <w:rPr>
                <w:color w:val="000000" w:themeColor="text1"/>
              </w:rPr>
              <w:t>台</w:t>
            </w:r>
          </w:p>
        </w:tc>
        <w:tc>
          <w:tcPr>
            <w:tcW w:w="851" w:type="dxa"/>
            <w:vAlign w:val="center"/>
          </w:tcPr>
          <w:p w14:paraId="02149593" w14:textId="2E10A71A" w:rsidR="00054513" w:rsidRPr="00092862" w:rsidRDefault="00054513" w:rsidP="00054513">
            <w:pPr>
              <w:pStyle w:val="afffff7"/>
              <w:rPr>
                <w:color w:val="000000" w:themeColor="text1"/>
              </w:rPr>
            </w:pPr>
            <w:r w:rsidRPr="00092862">
              <w:rPr>
                <w:color w:val="000000" w:themeColor="text1"/>
              </w:rPr>
              <w:t>70</w:t>
            </w:r>
          </w:p>
        </w:tc>
        <w:tc>
          <w:tcPr>
            <w:tcW w:w="2776" w:type="dxa"/>
            <w:vAlign w:val="center"/>
          </w:tcPr>
          <w:p w14:paraId="6ABAEA30" w14:textId="15E2BC2A" w:rsidR="00054513" w:rsidRPr="00092862" w:rsidRDefault="00054513" w:rsidP="00054513">
            <w:pPr>
              <w:pStyle w:val="afffff7"/>
              <w:rPr>
                <w:color w:val="000000" w:themeColor="text1"/>
              </w:rPr>
            </w:pPr>
            <w:r w:rsidRPr="00092862">
              <w:rPr>
                <w:color w:val="000000" w:themeColor="text1"/>
              </w:rPr>
              <w:t>/</w:t>
            </w:r>
          </w:p>
        </w:tc>
      </w:tr>
      <w:tr w:rsidR="00697429" w:rsidRPr="00092862" w14:paraId="4E4C9DA5" w14:textId="77777777" w:rsidTr="00054513">
        <w:tc>
          <w:tcPr>
            <w:tcW w:w="704" w:type="dxa"/>
            <w:vAlign w:val="center"/>
          </w:tcPr>
          <w:p w14:paraId="0B586EFE" w14:textId="77BCC57E" w:rsidR="00054513" w:rsidRPr="00092862" w:rsidRDefault="00054513" w:rsidP="00054513">
            <w:pPr>
              <w:pStyle w:val="afffff7"/>
              <w:rPr>
                <w:color w:val="000000" w:themeColor="text1"/>
              </w:rPr>
            </w:pPr>
            <w:r w:rsidRPr="00092862">
              <w:rPr>
                <w:color w:val="000000" w:themeColor="text1"/>
              </w:rPr>
              <w:t>8</w:t>
            </w:r>
          </w:p>
        </w:tc>
        <w:tc>
          <w:tcPr>
            <w:tcW w:w="3119" w:type="dxa"/>
            <w:vAlign w:val="center"/>
          </w:tcPr>
          <w:p w14:paraId="5AA6B10E" w14:textId="54EFDCA9" w:rsidR="00054513" w:rsidRPr="00092862" w:rsidRDefault="00054513" w:rsidP="00054513">
            <w:pPr>
              <w:pStyle w:val="afffff7"/>
              <w:rPr>
                <w:color w:val="000000" w:themeColor="text1"/>
              </w:rPr>
            </w:pPr>
            <w:r w:rsidRPr="00092862">
              <w:rPr>
                <w:color w:val="000000" w:themeColor="text1"/>
              </w:rPr>
              <w:t>电缆桥架</w:t>
            </w:r>
          </w:p>
        </w:tc>
        <w:tc>
          <w:tcPr>
            <w:tcW w:w="850" w:type="dxa"/>
            <w:vAlign w:val="center"/>
          </w:tcPr>
          <w:p w14:paraId="47E35B6C" w14:textId="688AE8B3" w:rsidR="00054513" w:rsidRPr="00092862" w:rsidRDefault="00054513" w:rsidP="00054513">
            <w:pPr>
              <w:pStyle w:val="afffff7"/>
              <w:rPr>
                <w:color w:val="000000" w:themeColor="text1"/>
              </w:rPr>
            </w:pPr>
            <w:r w:rsidRPr="00092862">
              <w:rPr>
                <w:color w:val="000000" w:themeColor="text1"/>
              </w:rPr>
              <w:t>m</w:t>
            </w:r>
          </w:p>
        </w:tc>
        <w:tc>
          <w:tcPr>
            <w:tcW w:w="851" w:type="dxa"/>
            <w:vAlign w:val="center"/>
          </w:tcPr>
          <w:p w14:paraId="7837294E" w14:textId="776777EB" w:rsidR="00054513" w:rsidRPr="00092862" w:rsidRDefault="00054513" w:rsidP="00054513">
            <w:pPr>
              <w:pStyle w:val="afffff7"/>
              <w:rPr>
                <w:color w:val="000000" w:themeColor="text1"/>
              </w:rPr>
            </w:pPr>
            <w:r w:rsidRPr="00092862">
              <w:rPr>
                <w:color w:val="000000" w:themeColor="text1"/>
              </w:rPr>
              <w:t>60</w:t>
            </w:r>
          </w:p>
        </w:tc>
        <w:tc>
          <w:tcPr>
            <w:tcW w:w="2776" w:type="dxa"/>
            <w:vAlign w:val="center"/>
          </w:tcPr>
          <w:p w14:paraId="773884D4" w14:textId="365960EA" w:rsidR="00054513" w:rsidRPr="00092862" w:rsidRDefault="00054513" w:rsidP="00054513">
            <w:pPr>
              <w:pStyle w:val="afffff7"/>
              <w:rPr>
                <w:color w:val="000000" w:themeColor="text1"/>
              </w:rPr>
            </w:pPr>
            <w:r w:rsidRPr="00092862">
              <w:rPr>
                <w:color w:val="000000" w:themeColor="text1"/>
              </w:rPr>
              <w:t>/</w:t>
            </w:r>
          </w:p>
        </w:tc>
      </w:tr>
      <w:tr w:rsidR="00697429" w:rsidRPr="00092862" w14:paraId="6311492F" w14:textId="77777777" w:rsidTr="00054513">
        <w:tc>
          <w:tcPr>
            <w:tcW w:w="704" w:type="dxa"/>
            <w:vAlign w:val="center"/>
          </w:tcPr>
          <w:p w14:paraId="6C489AAE" w14:textId="1FF1686A" w:rsidR="00054513" w:rsidRPr="00092862" w:rsidRDefault="00054513" w:rsidP="00054513">
            <w:pPr>
              <w:pStyle w:val="afffff7"/>
              <w:rPr>
                <w:color w:val="000000" w:themeColor="text1"/>
              </w:rPr>
            </w:pPr>
            <w:r w:rsidRPr="00092862">
              <w:rPr>
                <w:color w:val="000000" w:themeColor="text1"/>
              </w:rPr>
              <w:t>9</w:t>
            </w:r>
          </w:p>
        </w:tc>
        <w:tc>
          <w:tcPr>
            <w:tcW w:w="3119" w:type="dxa"/>
            <w:vAlign w:val="center"/>
          </w:tcPr>
          <w:p w14:paraId="3862F9F3" w14:textId="6A5A3304" w:rsidR="00054513" w:rsidRPr="00092862" w:rsidRDefault="00054513" w:rsidP="00054513">
            <w:pPr>
              <w:pStyle w:val="afffff7"/>
              <w:rPr>
                <w:color w:val="000000" w:themeColor="text1"/>
              </w:rPr>
            </w:pPr>
            <w:r w:rsidRPr="00092862">
              <w:rPr>
                <w:color w:val="000000" w:themeColor="text1"/>
              </w:rPr>
              <w:t>外输</w:t>
            </w:r>
            <w:r w:rsidRPr="00092862">
              <w:rPr>
                <w:color w:val="000000" w:themeColor="text1"/>
              </w:rPr>
              <w:t>BDV</w:t>
            </w:r>
            <w:r w:rsidRPr="00092862">
              <w:rPr>
                <w:color w:val="000000" w:themeColor="text1"/>
              </w:rPr>
              <w:t>放空平台</w:t>
            </w:r>
          </w:p>
        </w:tc>
        <w:tc>
          <w:tcPr>
            <w:tcW w:w="850" w:type="dxa"/>
            <w:vAlign w:val="center"/>
          </w:tcPr>
          <w:p w14:paraId="481BB91E" w14:textId="2B9ED667" w:rsidR="00054513" w:rsidRPr="00092862" w:rsidRDefault="00054513" w:rsidP="00054513">
            <w:pPr>
              <w:pStyle w:val="afffff7"/>
              <w:rPr>
                <w:color w:val="000000" w:themeColor="text1"/>
              </w:rPr>
            </w:pPr>
            <w:r w:rsidRPr="00092862">
              <w:rPr>
                <w:color w:val="000000" w:themeColor="text1"/>
              </w:rPr>
              <w:t>m</w:t>
            </w:r>
            <w:r w:rsidRPr="00092862">
              <w:rPr>
                <w:color w:val="000000" w:themeColor="text1"/>
                <w:vertAlign w:val="superscript"/>
              </w:rPr>
              <w:t>2</w:t>
            </w:r>
          </w:p>
        </w:tc>
        <w:tc>
          <w:tcPr>
            <w:tcW w:w="851" w:type="dxa"/>
            <w:vAlign w:val="center"/>
          </w:tcPr>
          <w:p w14:paraId="6A998591" w14:textId="5DC2D5E6" w:rsidR="00054513" w:rsidRPr="00092862" w:rsidRDefault="00054513" w:rsidP="00054513">
            <w:pPr>
              <w:pStyle w:val="afffff7"/>
              <w:rPr>
                <w:color w:val="000000" w:themeColor="text1"/>
              </w:rPr>
            </w:pPr>
            <w:r w:rsidRPr="00092862">
              <w:rPr>
                <w:color w:val="000000" w:themeColor="text1"/>
              </w:rPr>
              <w:t>33</w:t>
            </w:r>
          </w:p>
        </w:tc>
        <w:tc>
          <w:tcPr>
            <w:tcW w:w="2776" w:type="dxa"/>
            <w:vAlign w:val="center"/>
          </w:tcPr>
          <w:p w14:paraId="1EA60B6E" w14:textId="1DE7B9B1" w:rsidR="00054513" w:rsidRPr="00092862" w:rsidRDefault="00054513" w:rsidP="00054513">
            <w:pPr>
              <w:pStyle w:val="afffff7"/>
              <w:rPr>
                <w:color w:val="000000" w:themeColor="text1"/>
              </w:rPr>
            </w:pPr>
            <w:r w:rsidRPr="00092862">
              <w:rPr>
                <w:color w:val="000000" w:themeColor="text1"/>
              </w:rPr>
              <w:t>/</w:t>
            </w:r>
          </w:p>
        </w:tc>
      </w:tr>
      <w:tr w:rsidR="00697429" w:rsidRPr="00092862" w14:paraId="4A898969" w14:textId="77777777" w:rsidTr="00054513">
        <w:tc>
          <w:tcPr>
            <w:tcW w:w="704" w:type="dxa"/>
            <w:vAlign w:val="center"/>
          </w:tcPr>
          <w:p w14:paraId="1B02482D" w14:textId="228CAF47" w:rsidR="00054513" w:rsidRPr="00092862" w:rsidRDefault="00054513" w:rsidP="00054513">
            <w:pPr>
              <w:pStyle w:val="afffff7"/>
              <w:rPr>
                <w:color w:val="000000" w:themeColor="text1"/>
              </w:rPr>
            </w:pPr>
            <w:r w:rsidRPr="00092862">
              <w:rPr>
                <w:color w:val="000000" w:themeColor="text1"/>
              </w:rPr>
              <w:t>10</w:t>
            </w:r>
          </w:p>
        </w:tc>
        <w:tc>
          <w:tcPr>
            <w:tcW w:w="3119" w:type="dxa"/>
            <w:vAlign w:val="center"/>
          </w:tcPr>
          <w:p w14:paraId="4197AEA7" w14:textId="21640BD4" w:rsidR="00054513" w:rsidRPr="00092862" w:rsidRDefault="00054513" w:rsidP="00054513">
            <w:pPr>
              <w:pStyle w:val="afffff7"/>
              <w:rPr>
                <w:color w:val="000000" w:themeColor="text1"/>
              </w:rPr>
            </w:pPr>
            <w:r w:rsidRPr="00092862">
              <w:rPr>
                <w:color w:val="000000" w:themeColor="text1"/>
              </w:rPr>
              <w:t>管线</w:t>
            </w:r>
          </w:p>
        </w:tc>
        <w:tc>
          <w:tcPr>
            <w:tcW w:w="850" w:type="dxa"/>
            <w:vAlign w:val="center"/>
          </w:tcPr>
          <w:p w14:paraId="7314215E" w14:textId="079403AA" w:rsidR="00054513" w:rsidRPr="00092862" w:rsidRDefault="00054513" w:rsidP="00054513">
            <w:pPr>
              <w:pStyle w:val="afffff7"/>
              <w:rPr>
                <w:color w:val="000000" w:themeColor="text1"/>
              </w:rPr>
            </w:pPr>
            <w:r w:rsidRPr="00092862">
              <w:rPr>
                <w:color w:val="000000" w:themeColor="text1"/>
              </w:rPr>
              <w:t>m</w:t>
            </w:r>
          </w:p>
        </w:tc>
        <w:tc>
          <w:tcPr>
            <w:tcW w:w="851" w:type="dxa"/>
            <w:vAlign w:val="center"/>
          </w:tcPr>
          <w:p w14:paraId="66511825" w14:textId="1694CBCC" w:rsidR="00054513" w:rsidRPr="00092862" w:rsidRDefault="00054513" w:rsidP="00054513">
            <w:pPr>
              <w:pStyle w:val="afffff7"/>
              <w:rPr>
                <w:color w:val="000000" w:themeColor="text1"/>
              </w:rPr>
            </w:pPr>
            <w:r w:rsidRPr="00092862">
              <w:rPr>
                <w:color w:val="000000" w:themeColor="text1"/>
              </w:rPr>
              <w:t>若干</w:t>
            </w:r>
          </w:p>
        </w:tc>
        <w:tc>
          <w:tcPr>
            <w:tcW w:w="2776" w:type="dxa"/>
            <w:vAlign w:val="center"/>
          </w:tcPr>
          <w:p w14:paraId="50182D2A" w14:textId="5DCB761E" w:rsidR="00054513" w:rsidRPr="00092862" w:rsidRDefault="00054513" w:rsidP="00054513">
            <w:pPr>
              <w:pStyle w:val="afffff7"/>
              <w:rPr>
                <w:color w:val="000000" w:themeColor="text1"/>
              </w:rPr>
            </w:pPr>
            <w:r w:rsidRPr="00092862">
              <w:rPr>
                <w:color w:val="000000" w:themeColor="text1"/>
              </w:rPr>
              <w:t>/</w:t>
            </w:r>
          </w:p>
        </w:tc>
      </w:tr>
      <w:tr w:rsidR="00697429" w:rsidRPr="00092862" w14:paraId="186060D7" w14:textId="77777777" w:rsidTr="00054513">
        <w:tc>
          <w:tcPr>
            <w:tcW w:w="704" w:type="dxa"/>
            <w:vAlign w:val="center"/>
          </w:tcPr>
          <w:p w14:paraId="0FDCEA37" w14:textId="77E4ED95" w:rsidR="00054513" w:rsidRPr="00092862" w:rsidRDefault="00054513" w:rsidP="00054513">
            <w:pPr>
              <w:pStyle w:val="afffff7"/>
              <w:rPr>
                <w:color w:val="000000" w:themeColor="text1"/>
              </w:rPr>
            </w:pPr>
            <w:r w:rsidRPr="00092862">
              <w:rPr>
                <w:color w:val="000000" w:themeColor="text1"/>
              </w:rPr>
              <w:t>11</w:t>
            </w:r>
          </w:p>
        </w:tc>
        <w:tc>
          <w:tcPr>
            <w:tcW w:w="3119" w:type="dxa"/>
            <w:vAlign w:val="center"/>
          </w:tcPr>
          <w:p w14:paraId="291202F8" w14:textId="3E6C1947" w:rsidR="00054513" w:rsidRPr="00092862" w:rsidRDefault="00054513" w:rsidP="00054513">
            <w:pPr>
              <w:pStyle w:val="afffff7"/>
              <w:rPr>
                <w:color w:val="000000" w:themeColor="text1"/>
              </w:rPr>
            </w:pPr>
            <w:r w:rsidRPr="00092862">
              <w:rPr>
                <w:color w:val="000000" w:themeColor="text1"/>
              </w:rPr>
              <w:t>镍基合金管（采气管线）</w:t>
            </w:r>
            <w:r w:rsidRPr="00092862">
              <w:rPr>
                <w:color w:val="000000" w:themeColor="text1"/>
              </w:rPr>
              <w:t>φ114.3×8.56</w:t>
            </w:r>
          </w:p>
        </w:tc>
        <w:tc>
          <w:tcPr>
            <w:tcW w:w="850" w:type="dxa"/>
            <w:vAlign w:val="center"/>
          </w:tcPr>
          <w:p w14:paraId="3308B1E8" w14:textId="545D46DB" w:rsidR="00054513" w:rsidRPr="00092862" w:rsidRDefault="00054513" w:rsidP="00054513">
            <w:pPr>
              <w:pStyle w:val="afffff7"/>
              <w:rPr>
                <w:color w:val="000000" w:themeColor="text1"/>
              </w:rPr>
            </w:pPr>
            <w:r w:rsidRPr="00092862">
              <w:rPr>
                <w:color w:val="000000" w:themeColor="text1"/>
              </w:rPr>
              <w:t>m</w:t>
            </w:r>
          </w:p>
        </w:tc>
        <w:tc>
          <w:tcPr>
            <w:tcW w:w="851" w:type="dxa"/>
            <w:vAlign w:val="center"/>
          </w:tcPr>
          <w:p w14:paraId="6F9DF040" w14:textId="71E2681B" w:rsidR="00054513" w:rsidRPr="00092862" w:rsidRDefault="00054513" w:rsidP="00054513">
            <w:pPr>
              <w:pStyle w:val="afffff7"/>
              <w:rPr>
                <w:color w:val="000000" w:themeColor="text1"/>
              </w:rPr>
            </w:pPr>
            <w:r w:rsidRPr="00092862">
              <w:rPr>
                <w:color w:val="000000" w:themeColor="text1"/>
              </w:rPr>
              <w:t>20</w:t>
            </w:r>
          </w:p>
        </w:tc>
        <w:tc>
          <w:tcPr>
            <w:tcW w:w="2776" w:type="dxa"/>
            <w:vAlign w:val="center"/>
          </w:tcPr>
          <w:p w14:paraId="1916BD14" w14:textId="4684625C" w:rsidR="00054513" w:rsidRPr="00092862" w:rsidRDefault="00054513" w:rsidP="00054513">
            <w:pPr>
              <w:pStyle w:val="afffff7"/>
              <w:rPr>
                <w:color w:val="000000" w:themeColor="text1"/>
              </w:rPr>
            </w:pPr>
            <w:r w:rsidRPr="00092862">
              <w:rPr>
                <w:color w:val="000000" w:themeColor="text1"/>
              </w:rPr>
              <w:t>新增</w:t>
            </w:r>
          </w:p>
        </w:tc>
      </w:tr>
      <w:tr w:rsidR="00697429" w:rsidRPr="00092862" w14:paraId="40A1F237" w14:textId="77777777" w:rsidTr="00054513">
        <w:tc>
          <w:tcPr>
            <w:tcW w:w="704" w:type="dxa"/>
            <w:vAlign w:val="center"/>
          </w:tcPr>
          <w:p w14:paraId="29318231" w14:textId="2A63D290" w:rsidR="00054513" w:rsidRPr="00092862" w:rsidRDefault="00054513" w:rsidP="00054513">
            <w:pPr>
              <w:pStyle w:val="afffff7"/>
              <w:rPr>
                <w:color w:val="000000" w:themeColor="text1"/>
              </w:rPr>
            </w:pPr>
            <w:r w:rsidRPr="00092862">
              <w:rPr>
                <w:color w:val="000000" w:themeColor="text1"/>
              </w:rPr>
              <w:t>12</w:t>
            </w:r>
          </w:p>
        </w:tc>
        <w:tc>
          <w:tcPr>
            <w:tcW w:w="3119" w:type="dxa"/>
            <w:vAlign w:val="center"/>
          </w:tcPr>
          <w:p w14:paraId="6B5C5DC7" w14:textId="633CA8FF" w:rsidR="00054513" w:rsidRPr="00092862" w:rsidRDefault="00054513" w:rsidP="00054513">
            <w:pPr>
              <w:pStyle w:val="afffff7"/>
              <w:rPr>
                <w:color w:val="000000" w:themeColor="text1"/>
              </w:rPr>
            </w:pPr>
            <w:r w:rsidRPr="00092862">
              <w:rPr>
                <w:color w:val="000000" w:themeColor="text1"/>
              </w:rPr>
              <w:t>外夹式超声波流量计</w:t>
            </w:r>
          </w:p>
        </w:tc>
        <w:tc>
          <w:tcPr>
            <w:tcW w:w="850" w:type="dxa"/>
            <w:vAlign w:val="center"/>
          </w:tcPr>
          <w:p w14:paraId="51867C2D" w14:textId="5A3167DE" w:rsidR="00054513" w:rsidRPr="00092862" w:rsidRDefault="00054513" w:rsidP="00054513">
            <w:pPr>
              <w:pStyle w:val="afffff7"/>
              <w:rPr>
                <w:color w:val="000000" w:themeColor="text1"/>
              </w:rPr>
            </w:pPr>
            <w:r w:rsidRPr="00092862">
              <w:rPr>
                <w:color w:val="000000" w:themeColor="text1"/>
              </w:rPr>
              <w:t>套</w:t>
            </w:r>
          </w:p>
        </w:tc>
        <w:tc>
          <w:tcPr>
            <w:tcW w:w="851" w:type="dxa"/>
            <w:vAlign w:val="center"/>
          </w:tcPr>
          <w:p w14:paraId="2F569EF1" w14:textId="15C0D450" w:rsidR="00054513" w:rsidRPr="00092862" w:rsidRDefault="00054513" w:rsidP="00054513">
            <w:pPr>
              <w:pStyle w:val="afffff7"/>
              <w:rPr>
                <w:color w:val="000000" w:themeColor="text1"/>
              </w:rPr>
            </w:pPr>
            <w:r w:rsidRPr="00092862">
              <w:rPr>
                <w:color w:val="000000" w:themeColor="text1"/>
              </w:rPr>
              <w:t>1</w:t>
            </w:r>
          </w:p>
        </w:tc>
        <w:tc>
          <w:tcPr>
            <w:tcW w:w="2776" w:type="dxa"/>
            <w:vAlign w:val="center"/>
          </w:tcPr>
          <w:p w14:paraId="291C602A" w14:textId="617F4D4A" w:rsidR="00054513" w:rsidRPr="00092862" w:rsidRDefault="00054513" w:rsidP="00054513">
            <w:pPr>
              <w:pStyle w:val="afffff7"/>
              <w:rPr>
                <w:color w:val="000000" w:themeColor="text1"/>
              </w:rPr>
            </w:pPr>
            <w:r w:rsidRPr="00092862">
              <w:rPr>
                <w:color w:val="000000" w:themeColor="text1"/>
              </w:rPr>
              <w:t>/</w:t>
            </w:r>
          </w:p>
        </w:tc>
      </w:tr>
      <w:tr w:rsidR="00697429" w:rsidRPr="00092862" w14:paraId="0959B0C4" w14:textId="77777777" w:rsidTr="00054513">
        <w:tc>
          <w:tcPr>
            <w:tcW w:w="704" w:type="dxa"/>
            <w:vAlign w:val="center"/>
          </w:tcPr>
          <w:p w14:paraId="1FD60259" w14:textId="4EB2AB20" w:rsidR="00054513" w:rsidRPr="00092862" w:rsidRDefault="00054513" w:rsidP="00054513">
            <w:pPr>
              <w:pStyle w:val="afffff7"/>
              <w:rPr>
                <w:color w:val="000000" w:themeColor="text1"/>
              </w:rPr>
            </w:pPr>
            <w:r w:rsidRPr="00092862">
              <w:rPr>
                <w:color w:val="000000" w:themeColor="text1"/>
              </w:rPr>
              <w:t>13</w:t>
            </w:r>
          </w:p>
        </w:tc>
        <w:tc>
          <w:tcPr>
            <w:tcW w:w="3119" w:type="dxa"/>
            <w:vAlign w:val="center"/>
          </w:tcPr>
          <w:p w14:paraId="7024C60E" w14:textId="7BB93F53" w:rsidR="00054513" w:rsidRPr="00092862" w:rsidRDefault="00054513" w:rsidP="00054513">
            <w:pPr>
              <w:pStyle w:val="afffff7"/>
              <w:rPr>
                <w:color w:val="000000" w:themeColor="text1"/>
              </w:rPr>
            </w:pPr>
            <w:r w:rsidRPr="00092862">
              <w:rPr>
                <w:color w:val="000000" w:themeColor="text1"/>
              </w:rPr>
              <w:t>乙二醇加注撬</w:t>
            </w:r>
          </w:p>
        </w:tc>
        <w:tc>
          <w:tcPr>
            <w:tcW w:w="850" w:type="dxa"/>
            <w:vAlign w:val="center"/>
          </w:tcPr>
          <w:p w14:paraId="4DCEE9FE" w14:textId="4761B783" w:rsidR="00054513" w:rsidRPr="00092862" w:rsidRDefault="00054513" w:rsidP="00054513">
            <w:pPr>
              <w:pStyle w:val="afffff7"/>
              <w:rPr>
                <w:color w:val="000000" w:themeColor="text1"/>
              </w:rPr>
            </w:pPr>
            <w:r w:rsidRPr="00092862">
              <w:rPr>
                <w:color w:val="000000" w:themeColor="text1"/>
              </w:rPr>
              <w:t>套</w:t>
            </w:r>
          </w:p>
        </w:tc>
        <w:tc>
          <w:tcPr>
            <w:tcW w:w="851" w:type="dxa"/>
            <w:vAlign w:val="center"/>
          </w:tcPr>
          <w:p w14:paraId="15F38620" w14:textId="219DC852" w:rsidR="00054513" w:rsidRPr="00092862" w:rsidRDefault="00054513" w:rsidP="00054513">
            <w:pPr>
              <w:pStyle w:val="afffff7"/>
              <w:rPr>
                <w:color w:val="000000" w:themeColor="text1"/>
              </w:rPr>
            </w:pPr>
            <w:r w:rsidRPr="00092862">
              <w:rPr>
                <w:color w:val="000000" w:themeColor="text1"/>
              </w:rPr>
              <w:t>1</w:t>
            </w:r>
          </w:p>
        </w:tc>
        <w:tc>
          <w:tcPr>
            <w:tcW w:w="2776" w:type="dxa"/>
            <w:vAlign w:val="center"/>
          </w:tcPr>
          <w:p w14:paraId="3A6D2CBA" w14:textId="49ED6A86" w:rsidR="00054513" w:rsidRPr="00092862" w:rsidRDefault="00054513" w:rsidP="00054513">
            <w:pPr>
              <w:pStyle w:val="afffff7"/>
              <w:rPr>
                <w:color w:val="000000" w:themeColor="text1"/>
              </w:rPr>
            </w:pPr>
            <w:r w:rsidRPr="00092862">
              <w:rPr>
                <w:color w:val="000000" w:themeColor="text1"/>
              </w:rPr>
              <w:t>甲醇加注撬（为临时装置，站内现状已无甲醇加注撬）替换为乙二醇加注撬</w:t>
            </w:r>
          </w:p>
        </w:tc>
      </w:tr>
      <w:tr w:rsidR="008B37BB" w:rsidRPr="00092862" w14:paraId="27DE13F6" w14:textId="77777777" w:rsidTr="00054513">
        <w:tc>
          <w:tcPr>
            <w:tcW w:w="704" w:type="dxa"/>
            <w:vAlign w:val="center"/>
          </w:tcPr>
          <w:p w14:paraId="40B14C5F" w14:textId="0B55A051" w:rsidR="00054513" w:rsidRPr="00092862" w:rsidRDefault="00054513" w:rsidP="00054513">
            <w:pPr>
              <w:pStyle w:val="afffff7"/>
              <w:rPr>
                <w:color w:val="000000" w:themeColor="text1"/>
              </w:rPr>
            </w:pPr>
            <w:r w:rsidRPr="00092862">
              <w:rPr>
                <w:color w:val="000000" w:themeColor="text1"/>
              </w:rPr>
              <w:t>14</w:t>
            </w:r>
          </w:p>
        </w:tc>
        <w:tc>
          <w:tcPr>
            <w:tcW w:w="3119" w:type="dxa"/>
            <w:vAlign w:val="center"/>
          </w:tcPr>
          <w:p w14:paraId="6CCBB1E6" w14:textId="2FCC49AE" w:rsidR="00054513" w:rsidRPr="00092862" w:rsidRDefault="00054513" w:rsidP="00054513">
            <w:pPr>
              <w:pStyle w:val="afffff7"/>
              <w:rPr>
                <w:color w:val="000000" w:themeColor="text1"/>
              </w:rPr>
            </w:pPr>
            <w:r w:rsidRPr="00092862">
              <w:rPr>
                <w:color w:val="000000" w:themeColor="text1"/>
              </w:rPr>
              <w:t>6m</w:t>
            </w:r>
            <w:r w:rsidRPr="00092862">
              <w:rPr>
                <w:color w:val="000000" w:themeColor="text1"/>
              </w:rPr>
              <w:t>宽电动伸缩门复建</w:t>
            </w:r>
          </w:p>
        </w:tc>
        <w:tc>
          <w:tcPr>
            <w:tcW w:w="850" w:type="dxa"/>
            <w:vAlign w:val="center"/>
          </w:tcPr>
          <w:p w14:paraId="5D74B924" w14:textId="0AC9EEA4" w:rsidR="00054513" w:rsidRPr="00092862" w:rsidRDefault="00054513" w:rsidP="00054513">
            <w:pPr>
              <w:pStyle w:val="afffff7"/>
              <w:rPr>
                <w:color w:val="000000" w:themeColor="text1"/>
              </w:rPr>
            </w:pPr>
            <w:r w:rsidRPr="00092862">
              <w:rPr>
                <w:color w:val="000000" w:themeColor="text1"/>
              </w:rPr>
              <w:t>套</w:t>
            </w:r>
          </w:p>
        </w:tc>
        <w:tc>
          <w:tcPr>
            <w:tcW w:w="851" w:type="dxa"/>
            <w:vAlign w:val="center"/>
          </w:tcPr>
          <w:p w14:paraId="61EF8C31" w14:textId="3D1AC1AA" w:rsidR="00054513" w:rsidRPr="00092862" w:rsidRDefault="00054513" w:rsidP="00054513">
            <w:pPr>
              <w:pStyle w:val="afffff7"/>
              <w:rPr>
                <w:color w:val="000000" w:themeColor="text1"/>
              </w:rPr>
            </w:pPr>
            <w:r w:rsidRPr="00092862">
              <w:rPr>
                <w:color w:val="000000" w:themeColor="text1"/>
              </w:rPr>
              <w:t>1</w:t>
            </w:r>
          </w:p>
        </w:tc>
        <w:tc>
          <w:tcPr>
            <w:tcW w:w="2776" w:type="dxa"/>
            <w:vAlign w:val="center"/>
          </w:tcPr>
          <w:p w14:paraId="3DE22624" w14:textId="6BC4FB67" w:rsidR="00054513" w:rsidRPr="00092862" w:rsidRDefault="00054513" w:rsidP="00054513">
            <w:pPr>
              <w:pStyle w:val="afffff7"/>
              <w:rPr>
                <w:color w:val="000000" w:themeColor="text1"/>
              </w:rPr>
            </w:pPr>
            <w:r w:rsidRPr="00092862">
              <w:rPr>
                <w:color w:val="000000" w:themeColor="text1"/>
              </w:rPr>
              <w:t>/</w:t>
            </w:r>
          </w:p>
        </w:tc>
      </w:tr>
    </w:tbl>
    <w:p w14:paraId="6CE1AFDB" w14:textId="29246211" w:rsidR="00054513" w:rsidRPr="00092862" w:rsidRDefault="00054513" w:rsidP="002C40AD">
      <w:pPr>
        <w:pStyle w:val="ac"/>
        <w:tabs>
          <w:tab w:val="left" w:pos="863"/>
        </w:tabs>
        <w:spacing w:before="0"/>
        <w:ind w:left="0"/>
        <w:jc w:val="center"/>
        <w:rPr>
          <w:rFonts w:ascii="Times New Roman" w:eastAsia="黑体" w:hAnsi="Times New Roman"/>
          <w:color w:val="000000" w:themeColor="text1"/>
          <w:sz w:val="21"/>
          <w:szCs w:val="21"/>
          <w:lang w:eastAsia="zh-CN"/>
        </w:rPr>
      </w:pPr>
    </w:p>
    <w:p w14:paraId="17D94BF7" w14:textId="327301C4" w:rsidR="00DC446C" w:rsidRPr="00092862" w:rsidRDefault="003B1968" w:rsidP="003D2EEB">
      <w:pPr>
        <w:pStyle w:val="3"/>
        <w:adjustRightInd w:val="0"/>
        <w:snapToGrid w:val="0"/>
        <w:spacing w:beforeLines="50" w:before="120" w:after="0" w:line="360" w:lineRule="auto"/>
        <w:ind w:firstLineChars="200" w:firstLine="480"/>
        <w:rPr>
          <w:rFonts w:ascii="Times New Roman" w:eastAsia="黑体" w:hAnsi="Times New Roman"/>
          <w:b w:val="0"/>
          <w:color w:val="000000" w:themeColor="text1"/>
          <w:sz w:val="24"/>
          <w:szCs w:val="24"/>
          <w:lang w:eastAsia="zh-CN"/>
        </w:rPr>
      </w:pPr>
      <w:bookmarkStart w:id="99" w:name="_Toc120173103"/>
      <w:r w:rsidRPr="00092862">
        <w:rPr>
          <w:rFonts w:ascii="Times New Roman" w:eastAsia="黑体" w:hAnsi="Times New Roman"/>
          <w:b w:val="0"/>
          <w:color w:val="000000" w:themeColor="text1"/>
          <w:sz w:val="24"/>
          <w:szCs w:val="24"/>
          <w:lang w:eastAsia="zh-CN"/>
        </w:rPr>
        <w:t>3.2.</w:t>
      </w:r>
      <w:r w:rsidR="00E31BE9" w:rsidRPr="00092862">
        <w:rPr>
          <w:rFonts w:ascii="Times New Roman" w:eastAsia="黑体" w:hAnsi="Times New Roman"/>
          <w:b w:val="0"/>
          <w:color w:val="000000" w:themeColor="text1"/>
          <w:sz w:val="24"/>
          <w:szCs w:val="24"/>
          <w:lang w:eastAsia="zh-CN"/>
        </w:rPr>
        <w:t>5</w:t>
      </w:r>
      <w:r w:rsidRPr="00092862">
        <w:rPr>
          <w:rFonts w:ascii="Times New Roman" w:eastAsia="黑体" w:hAnsi="Times New Roman"/>
          <w:b w:val="0"/>
          <w:color w:val="000000" w:themeColor="text1"/>
          <w:sz w:val="24"/>
          <w:szCs w:val="24"/>
          <w:lang w:eastAsia="zh-CN"/>
        </w:rPr>
        <w:t>原辅材料消耗</w:t>
      </w:r>
      <w:bookmarkEnd w:id="99"/>
    </w:p>
    <w:p w14:paraId="064401C0" w14:textId="2C6F2F66" w:rsidR="00DC446C" w:rsidRPr="00092862" w:rsidRDefault="006E4D52" w:rsidP="006E4D52">
      <w:pPr>
        <w:autoSpaceDE w:val="0"/>
        <w:autoSpaceDN w:val="0"/>
        <w:adjustRightInd w:val="0"/>
        <w:snapToGrid w:val="0"/>
        <w:spacing w:line="360" w:lineRule="auto"/>
        <w:ind w:firstLineChars="200" w:firstLine="480"/>
        <w:textAlignment w:val="baseline"/>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3.2.5.1</w:t>
      </w:r>
      <w:r w:rsidR="003B1968" w:rsidRPr="00092862">
        <w:rPr>
          <w:rFonts w:ascii="Times New Roman" w:eastAsia="黑体" w:hAnsi="Times New Roman" w:cs="Times New Roman"/>
          <w:color w:val="000000" w:themeColor="text1"/>
          <w:sz w:val="24"/>
          <w:szCs w:val="24"/>
        </w:rPr>
        <w:t>施工期</w:t>
      </w:r>
    </w:p>
    <w:p w14:paraId="7A03CD02" w14:textId="51EE5584" w:rsidR="00034161" w:rsidRPr="00092862" w:rsidRDefault="00034161" w:rsidP="00034161">
      <w:pPr>
        <w:autoSpaceDE w:val="0"/>
        <w:autoSpaceDN w:val="0"/>
        <w:adjustRightInd w:val="0"/>
        <w:snapToGrid w:val="0"/>
        <w:spacing w:line="360" w:lineRule="auto"/>
        <w:ind w:firstLine="480"/>
        <w:textAlignment w:val="baseline"/>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w:t>
      </w:r>
      <w:r w:rsidRPr="00092862">
        <w:rPr>
          <w:rFonts w:ascii="Times New Roman" w:hAnsi="Times New Roman" w:cs="Times New Roman"/>
          <w:b/>
          <w:bCs/>
          <w:color w:val="000000" w:themeColor="text1"/>
          <w:sz w:val="24"/>
          <w:szCs w:val="24"/>
        </w:rPr>
        <w:t>1</w:t>
      </w:r>
      <w:r w:rsidRPr="00092862">
        <w:rPr>
          <w:rFonts w:ascii="Times New Roman" w:hAnsi="Times New Roman" w:cs="Times New Roman"/>
          <w:b/>
          <w:bCs/>
          <w:color w:val="000000" w:themeColor="text1"/>
          <w:sz w:val="24"/>
          <w:szCs w:val="24"/>
        </w:rPr>
        <w:t>）钻井</w:t>
      </w:r>
      <w:r w:rsidR="0050686C" w:rsidRPr="00092862">
        <w:rPr>
          <w:rFonts w:ascii="Times New Roman" w:hAnsi="Times New Roman" w:cs="Times New Roman"/>
          <w:b/>
          <w:bCs/>
          <w:color w:val="000000" w:themeColor="text1"/>
          <w:sz w:val="24"/>
          <w:szCs w:val="24"/>
        </w:rPr>
        <w:t>作业</w:t>
      </w:r>
      <w:r w:rsidRPr="00092862">
        <w:rPr>
          <w:rFonts w:ascii="Times New Roman" w:hAnsi="Times New Roman" w:cs="Times New Roman"/>
          <w:b/>
          <w:bCs/>
          <w:color w:val="000000" w:themeColor="text1"/>
          <w:sz w:val="24"/>
          <w:szCs w:val="24"/>
        </w:rPr>
        <w:t>材料消耗</w:t>
      </w:r>
    </w:p>
    <w:p w14:paraId="22CE4592" w14:textId="55F938C6" w:rsidR="0050686C" w:rsidRPr="00092862" w:rsidRDefault="0050686C" w:rsidP="0050686C">
      <w:pPr>
        <w:pStyle w:val="afffff6"/>
        <w:ind w:firstLine="480"/>
        <w:rPr>
          <w:color w:val="000000" w:themeColor="text1"/>
        </w:rPr>
      </w:pPr>
      <w:r w:rsidRPr="00092862">
        <w:rPr>
          <w:color w:val="000000" w:themeColor="text1"/>
        </w:rPr>
        <w:t>本工程采用常规钻井工艺进行钻井，仅进行</w:t>
      </w:r>
      <w:r w:rsidR="0019648E" w:rsidRPr="00092862">
        <w:rPr>
          <w:color w:val="000000" w:themeColor="text1"/>
        </w:rPr>
        <w:t>钻井</w:t>
      </w:r>
      <w:r w:rsidRPr="00092862">
        <w:rPr>
          <w:color w:val="000000" w:themeColor="text1"/>
        </w:rPr>
        <w:t>。钻井初期在场地内配备</w:t>
      </w:r>
      <w:r w:rsidR="0068066B" w:rsidRPr="00092862">
        <w:rPr>
          <w:color w:val="000000" w:themeColor="text1"/>
        </w:rPr>
        <w:lastRenderedPageBreak/>
        <w:t>钻井液</w:t>
      </w:r>
      <w:r w:rsidRPr="00092862">
        <w:rPr>
          <w:color w:val="000000" w:themeColor="text1"/>
        </w:rPr>
        <w:t>并储存于钻井泥浆罐中循环使用，调配钻井液原料（如膨润等，分区分类贮存于井场内，贮存区上部设雨篷遮挡，钻井液原料按月需求量贮存于井场内）。储备钻井液压调配好后储存于泥浆罐中（泥浆储备罐区采取防渗措施）。项目主要原辅材料消耗情况见表：</w:t>
      </w:r>
    </w:p>
    <w:p w14:paraId="5E4FBE9D" w14:textId="04547B22" w:rsidR="0050686C" w:rsidRPr="00092862" w:rsidRDefault="0050686C"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3.2-1</w:t>
      </w:r>
      <w:r w:rsidR="001F5ACB" w:rsidRPr="00092862">
        <w:rPr>
          <w:rFonts w:ascii="Times New Roman" w:eastAsia="黑体" w:hAnsi="Times New Roman"/>
          <w:color w:val="000000" w:themeColor="text1"/>
          <w:sz w:val="21"/>
          <w:szCs w:val="21"/>
          <w:lang w:eastAsia="zh-CN"/>
        </w:rPr>
        <w:t>9</w:t>
      </w:r>
      <w:r w:rsidR="002C40AD"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钻井液储备（钻井液钻井方式）</w:t>
      </w:r>
    </w:p>
    <w:tbl>
      <w:tblPr>
        <w:tblStyle w:val="aff"/>
        <w:tblW w:w="0" w:type="auto"/>
        <w:tblLook w:val="04A0" w:firstRow="1" w:lastRow="0" w:firstColumn="1" w:lastColumn="0" w:noHBand="0" w:noVBand="1"/>
      </w:tblPr>
      <w:tblGrid>
        <w:gridCol w:w="2766"/>
        <w:gridCol w:w="2767"/>
        <w:gridCol w:w="2767"/>
      </w:tblGrid>
      <w:tr w:rsidR="00697429" w:rsidRPr="00092862" w14:paraId="53B38B1B" w14:textId="77777777" w:rsidTr="009879B7">
        <w:tc>
          <w:tcPr>
            <w:tcW w:w="2766" w:type="dxa"/>
            <w:vMerge w:val="restart"/>
            <w:vAlign w:val="center"/>
          </w:tcPr>
          <w:p w14:paraId="34507F4D" w14:textId="77777777" w:rsidR="0050686C" w:rsidRPr="00092862" w:rsidRDefault="0050686C"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开钻序号</w:t>
            </w:r>
          </w:p>
        </w:tc>
        <w:tc>
          <w:tcPr>
            <w:tcW w:w="5534" w:type="dxa"/>
            <w:gridSpan w:val="2"/>
            <w:vAlign w:val="center"/>
          </w:tcPr>
          <w:p w14:paraId="0F3086E4" w14:textId="6E8F8C54" w:rsidR="0050686C" w:rsidRPr="00092862" w:rsidRDefault="00123427"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封堵性聚合物防塌钻井液</w:t>
            </w:r>
          </w:p>
        </w:tc>
      </w:tr>
      <w:tr w:rsidR="00697429" w:rsidRPr="00092862" w14:paraId="4A0FC679" w14:textId="77777777" w:rsidTr="009879B7">
        <w:tc>
          <w:tcPr>
            <w:tcW w:w="2766" w:type="dxa"/>
            <w:vMerge/>
            <w:vAlign w:val="center"/>
          </w:tcPr>
          <w:p w14:paraId="29EC6014" w14:textId="77777777" w:rsidR="0050686C" w:rsidRPr="00092862" w:rsidRDefault="0050686C" w:rsidP="00E74664">
            <w:pPr>
              <w:pStyle w:val="afffff6"/>
              <w:spacing w:line="240" w:lineRule="auto"/>
              <w:ind w:firstLineChars="0" w:firstLine="0"/>
              <w:jc w:val="center"/>
              <w:rPr>
                <w:color w:val="000000" w:themeColor="text1"/>
                <w:sz w:val="21"/>
                <w:szCs w:val="21"/>
              </w:rPr>
            </w:pPr>
          </w:p>
        </w:tc>
        <w:tc>
          <w:tcPr>
            <w:tcW w:w="2767" w:type="dxa"/>
            <w:vAlign w:val="center"/>
          </w:tcPr>
          <w:p w14:paraId="6C2EADDD" w14:textId="77777777" w:rsidR="0050686C" w:rsidRPr="00092862" w:rsidRDefault="0050686C"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ρ(g/cm</w:t>
            </w:r>
            <w:r w:rsidRPr="00092862">
              <w:rPr>
                <w:color w:val="000000" w:themeColor="text1"/>
                <w:sz w:val="21"/>
                <w:szCs w:val="21"/>
                <w:vertAlign w:val="superscript"/>
              </w:rPr>
              <w:t>3</w:t>
            </w:r>
            <w:r w:rsidRPr="00092862">
              <w:rPr>
                <w:color w:val="000000" w:themeColor="text1"/>
                <w:sz w:val="21"/>
                <w:szCs w:val="21"/>
              </w:rPr>
              <w:t>)</w:t>
            </w:r>
          </w:p>
        </w:tc>
        <w:tc>
          <w:tcPr>
            <w:tcW w:w="2767" w:type="dxa"/>
            <w:vAlign w:val="center"/>
          </w:tcPr>
          <w:p w14:paraId="55D0E5E1" w14:textId="77777777" w:rsidR="0050686C" w:rsidRPr="00092862" w:rsidRDefault="0050686C"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数量</w:t>
            </w:r>
            <w:r w:rsidRPr="00092862">
              <w:rPr>
                <w:color w:val="000000" w:themeColor="text1"/>
                <w:sz w:val="21"/>
                <w:szCs w:val="21"/>
              </w:rPr>
              <w:t>(m</w:t>
            </w:r>
            <w:r w:rsidRPr="00092862">
              <w:rPr>
                <w:color w:val="000000" w:themeColor="text1"/>
                <w:sz w:val="21"/>
                <w:szCs w:val="21"/>
                <w:vertAlign w:val="superscript"/>
              </w:rPr>
              <w:t>3</w:t>
            </w:r>
            <w:r w:rsidRPr="00092862">
              <w:rPr>
                <w:color w:val="000000" w:themeColor="text1"/>
                <w:sz w:val="21"/>
                <w:szCs w:val="21"/>
              </w:rPr>
              <w:t>)</w:t>
            </w:r>
          </w:p>
        </w:tc>
      </w:tr>
      <w:tr w:rsidR="00697429" w:rsidRPr="00092862" w14:paraId="43A774B7" w14:textId="77777777" w:rsidTr="009879B7">
        <w:tc>
          <w:tcPr>
            <w:tcW w:w="2766" w:type="dxa"/>
            <w:vAlign w:val="center"/>
          </w:tcPr>
          <w:p w14:paraId="5A3DF2B6" w14:textId="12DDC388" w:rsidR="0050686C" w:rsidRPr="00092862" w:rsidRDefault="007A3B3E"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老君</w:t>
            </w:r>
            <w:r w:rsidRPr="00092862">
              <w:rPr>
                <w:color w:val="000000" w:themeColor="text1"/>
                <w:sz w:val="21"/>
                <w:szCs w:val="21"/>
              </w:rPr>
              <w:t>1</w:t>
            </w:r>
            <w:r w:rsidRPr="00092862">
              <w:rPr>
                <w:color w:val="000000" w:themeColor="text1"/>
                <w:sz w:val="21"/>
                <w:szCs w:val="21"/>
              </w:rPr>
              <w:t>井</w:t>
            </w:r>
            <w:r w:rsidR="0019648E" w:rsidRPr="00092862">
              <w:rPr>
                <w:color w:val="000000" w:themeColor="text1"/>
                <w:sz w:val="21"/>
                <w:szCs w:val="21"/>
              </w:rPr>
              <w:t>钻井</w:t>
            </w:r>
          </w:p>
        </w:tc>
        <w:tc>
          <w:tcPr>
            <w:tcW w:w="2767" w:type="dxa"/>
            <w:vAlign w:val="center"/>
          </w:tcPr>
          <w:p w14:paraId="15951965" w14:textId="34F82082" w:rsidR="0050686C" w:rsidRPr="00092862" w:rsidRDefault="0050686C"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1.</w:t>
            </w:r>
            <w:r w:rsidR="00123427" w:rsidRPr="00092862">
              <w:rPr>
                <w:color w:val="000000" w:themeColor="text1"/>
                <w:sz w:val="21"/>
                <w:szCs w:val="21"/>
              </w:rPr>
              <w:t>10</w:t>
            </w:r>
            <w:r w:rsidRPr="00092862">
              <w:rPr>
                <w:color w:val="000000" w:themeColor="text1"/>
                <w:sz w:val="21"/>
                <w:szCs w:val="21"/>
              </w:rPr>
              <w:t>~</w:t>
            </w:r>
            <w:r w:rsidR="00123427" w:rsidRPr="00092862">
              <w:rPr>
                <w:color w:val="000000" w:themeColor="text1"/>
                <w:sz w:val="21"/>
                <w:szCs w:val="21"/>
              </w:rPr>
              <w:t>1.34</w:t>
            </w:r>
          </w:p>
        </w:tc>
        <w:tc>
          <w:tcPr>
            <w:tcW w:w="2767" w:type="dxa"/>
            <w:vAlign w:val="center"/>
          </w:tcPr>
          <w:p w14:paraId="13FBF30A" w14:textId="417E9C77" w:rsidR="0050686C" w:rsidRPr="00092862" w:rsidRDefault="00123427"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376</w:t>
            </w:r>
          </w:p>
        </w:tc>
      </w:tr>
      <w:tr w:rsidR="00697429" w:rsidRPr="00092862" w14:paraId="30B93FBF" w14:textId="77777777" w:rsidTr="009879B7">
        <w:tc>
          <w:tcPr>
            <w:tcW w:w="2766" w:type="dxa"/>
            <w:vAlign w:val="center"/>
          </w:tcPr>
          <w:p w14:paraId="04FF5C64" w14:textId="660F0576" w:rsidR="00123427" w:rsidRPr="00092862" w:rsidRDefault="007A3B3E"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老君</w:t>
            </w:r>
            <w:r w:rsidRPr="00092862">
              <w:rPr>
                <w:color w:val="000000" w:themeColor="text1"/>
                <w:sz w:val="21"/>
                <w:szCs w:val="21"/>
              </w:rPr>
              <w:t>2</w:t>
            </w:r>
            <w:r w:rsidRPr="00092862">
              <w:rPr>
                <w:color w:val="000000" w:themeColor="text1"/>
                <w:sz w:val="21"/>
                <w:szCs w:val="21"/>
              </w:rPr>
              <w:t>井</w:t>
            </w:r>
            <w:r w:rsidR="0019648E" w:rsidRPr="00092862">
              <w:rPr>
                <w:color w:val="000000" w:themeColor="text1"/>
                <w:sz w:val="21"/>
                <w:szCs w:val="21"/>
              </w:rPr>
              <w:t>钻井</w:t>
            </w:r>
          </w:p>
        </w:tc>
        <w:tc>
          <w:tcPr>
            <w:tcW w:w="2767" w:type="dxa"/>
            <w:vAlign w:val="center"/>
          </w:tcPr>
          <w:p w14:paraId="53882133" w14:textId="1327B1BC" w:rsidR="00123427" w:rsidRPr="00092862" w:rsidRDefault="00123427"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1.19~1.34</w:t>
            </w:r>
          </w:p>
        </w:tc>
        <w:tc>
          <w:tcPr>
            <w:tcW w:w="2767" w:type="dxa"/>
            <w:vAlign w:val="center"/>
          </w:tcPr>
          <w:p w14:paraId="286E7633" w14:textId="317E88E9" w:rsidR="00123427" w:rsidRPr="00092862" w:rsidRDefault="00123427"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384</w:t>
            </w:r>
          </w:p>
        </w:tc>
      </w:tr>
      <w:tr w:rsidR="00697429" w:rsidRPr="00092862" w14:paraId="512375A0" w14:textId="77777777" w:rsidTr="009879B7">
        <w:tc>
          <w:tcPr>
            <w:tcW w:w="2766" w:type="dxa"/>
            <w:vAlign w:val="center"/>
          </w:tcPr>
          <w:p w14:paraId="7DDCF866" w14:textId="7260F59C" w:rsidR="00123427" w:rsidRPr="00092862" w:rsidRDefault="007A3B3E"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L701-3H</w:t>
            </w:r>
            <w:r w:rsidR="00123427" w:rsidRPr="00092862">
              <w:rPr>
                <w:color w:val="000000" w:themeColor="text1"/>
                <w:sz w:val="21"/>
                <w:szCs w:val="21"/>
              </w:rPr>
              <w:t>井</w:t>
            </w:r>
            <w:r w:rsidR="0019648E" w:rsidRPr="00092862">
              <w:rPr>
                <w:color w:val="000000" w:themeColor="text1"/>
                <w:sz w:val="21"/>
                <w:szCs w:val="21"/>
              </w:rPr>
              <w:t>钻井</w:t>
            </w:r>
          </w:p>
        </w:tc>
        <w:tc>
          <w:tcPr>
            <w:tcW w:w="2767" w:type="dxa"/>
            <w:vAlign w:val="center"/>
          </w:tcPr>
          <w:p w14:paraId="21325A5E" w14:textId="4EA1D5A4" w:rsidR="00123427" w:rsidRPr="00092862" w:rsidRDefault="00123427"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1.19~1.34</w:t>
            </w:r>
          </w:p>
        </w:tc>
        <w:tc>
          <w:tcPr>
            <w:tcW w:w="2767" w:type="dxa"/>
            <w:vAlign w:val="center"/>
          </w:tcPr>
          <w:p w14:paraId="23C17EA0" w14:textId="028BA5B6" w:rsidR="00123427" w:rsidRPr="00092862" w:rsidRDefault="00123427"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384</w:t>
            </w:r>
          </w:p>
        </w:tc>
      </w:tr>
    </w:tbl>
    <w:p w14:paraId="0A355F29" w14:textId="7E4C758F" w:rsidR="0050686C" w:rsidRPr="00092862" w:rsidRDefault="0050686C"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 xml:space="preserve">20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钻井作业主要原辅材料消耗情况表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7"/>
        <w:gridCol w:w="2881"/>
        <w:gridCol w:w="1725"/>
        <w:gridCol w:w="1725"/>
        <w:gridCol w:w="1422"/>
      </w:tblGrid>
      <w:tr w:rsidR="00697429" w:rsidRPr="00092862" w14:paraId="7D1AA9DB" w14:textId="77777777" w:rsidTr="00123427">
        <w:trPr>
          <w:trHeight w:val="229"/>
          <w:jc w:val="center"/>
        </w:trPr>
        <w:tc>
          <w:tcPr>
            <w:tcW w:w="0" w:type="auto"/>
            <w:vAlign w:val="center"/>
          </w:tcPr>
          <w:p w14:paraId="3C9050BB"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序号</w:t>
            </w:r>
          </w:p>
        </w:tc>
        <w:tc>
          <w:tcPr>
            <w:tcW w:w="0" w:type="auto"/>
            <w:vAlign w:val="center"/>
          </w:tcPr>
          <w:p w14:paraId="0775EF8D"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材料名称</w:t>
            </w:r>
          </w:p>
        </w:tc>
        <w:tc>
          <w:tcPr>
            <w:tcW w:w="0" w:type="auto"/>
            <w:vAlign w:val="center"/>
          </w:tcPr>
          <w:p w14:paraId="5273B0FD" w14:textId="1786037A"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老君</w:t>
            </w:r>
            <w:r w:rsidRPr="00092862">
              <w:rPr>
                <w:color w:val="000000" w:themeColor="text1"/>
                <w:sz w:val="21"/>
                <w:szCs w:val="21"/>
              </w:rPr>
              <w:t>701-4H</w:t>
            </w:r>
            <w:r w:rsidRPr="00092862">
              <w:rPr>
                <w:color w:val="000000" w:themeColor="text1"/>
                <w:sz w:val="21"/>
                <w:szCs w:val="21"/>
              </w:rPr>
              <w:t>井用量（</w:t>
            </w:r>
            <w:r w:rsidRPr="00092862">
              <w:rPr>
                <w:color w:val="000000" w:themeColor="text1"/>
                <w:sz w:val="21"/>
                <w:szCs w:val="21"/>
              </w:rPr>
              <w:t>t</w:t>
            </w:r>
            <w:r w:rsidRPr="00092862">
              <w:rPr>
                <w:color w:val="000000" w:themeColor="text1"/>
                <w:sz w:val="21"/>
                <w:szCs w:val="21"/>
              </w:rPr>
              <w:t>）</w:t>
            </w:r>
          </w:p>
        </w:tc>
        <w:tc>
          <w:tcPr>
            <w:tcW w:w="0" w:type="auto"/>
            <w:vAlign w:val="center"/>
          </w:tcPr>
          <w:p w14:paraId="2AEFF725" w14:textId="4775985B"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老君</w:t>
            </w:r>
            <w:r w:rsidRPr="00092862">
              <w:rPr>
                <w:color w:val="000000" w:themeColor="text1"/>
                <w:sz w:val="21"/>
                <w:szCs w:val="21"/>
              </w:rPr>
              <w:t>701-5H</w:t>
            </w:r>
            <w:r w:rsidRPr="00092862">
              <w:rPr>
                <w:color w:val="000000" w:themeColor="text1"/>
                <w:sz w:val="21"/>
                <w:szCs w:val="21"/>
              </w:rPr>
              <w:t>井用量（</w:t>
            </w:r>
            <w:r w:rsidRPr="00092862">
              <w:rPr>
                <w:color w:val="000000" w:themeColor="text1"/>
                <w:sz w:val="21"/>
                <w:szCs w:val="21"/>
              </w:rPr>
              <w:t>t</w:t>
            </w:r>
            <w:r w:rsidRPr="00092862">
              <w:rPr>
                <w:color w:val="000000" w:themeColor="text1"/>
                <w:sz w:val="21"/>
                <w:szCs w:val="21"/>
              </w:rPr>
              <w:t>）</w:t>
            </w:r>
          </w:p>
        </w:tc>
        <w:tc>
          <w:tcPr>
            <w:tcW w:w="0" w:type="auto"/>
            <w:vAlign w:val="center"/>
          </w:tcPr>
          <w:p w14:paraId="3B59BFAA" w14:textId="520C86CF"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现场最大储量（</w:t>
            </w:r>
            <w:r w:rsidRPr="00092862">
              <w:rPr>
                <w:color w:val="000000" w:themeColor="text1"/>
                <w:sz w:val="21"/>
                <w:szCs w:val="21"/>
              </w:rPr>
              <w:t>t</w:t>
            </w:r>
            <w:r w:rsidRPr="00092862">
              <w:rPr>
                <w:color w:val="000000" w:themeColor="text1"/>
                <w:sz w:val="21"/>
                <w:szCs w:val="21"/>
              </w:rPr>
              <w:t>）</w:t>
            </w:r>
          </w:p>
        </w:tc>
      </w:tr>
      <w:tr w:rsidR="00697429" w:rsidRPr="00092862" w14:paraId="31B766DA" w14:textId="77777777" w:rsidTr="00123427">
        <w:trPr>
          <w:trHeight w:val="229"/>
          <w:jc w:val="center"/>
        </w:trPr>
        <w:tc>
          <w:tcPr>
            <w:tcW w:w="0" w:type="auto"/>
            <w:vAlign w:val="center"/>
          </w:tcPr>
          <w:p w14:paraId="02F3333E"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w:t>
            </w:r>
          </w:p>
        </w:tc>
        <w:tc>
          <w:tcPr>
            <w:tcW w:w="0" w:type="auto"/>
            <w:vAlign w:val="center"/>
          </w:tcPr>
          <w:p w14:paraId="47018E97"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膨润土粉</w:t>
            </w:r>
          </w:p>
        </w:tc>
        <w:tc>
          <w:tcPr>
            <w:tcW w:w="0" w:type="auto"/>
            <w:vAlign w:val="center"/>
          </w:tcPr>
          <w:p w14:paraId="21C8121F" w14:textId="1054C6C6"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20</w:t>
            </w:r>
          </w:p>
        </w:tc>
        <w:tc>
          <w:tcPr>
            <w:tcW w:w="0" w:type="auto"/>
            <w:vAlign w:val="center"/>
          </w:tcPr>
          <w:p w14:paraId="5229B71D" w14:textId="1F5A435E"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20</w:t>
            </w:r>
          </w:p>
        </w:tc>
        <w:tc>
          <w:tcPr>
            <w:tcW w:w="0" w:type="auto"/>
            <w:vAlign w:val="center"/>
          </w:tcPr>
          <w:p w14:paraId="136C02E2" w14:textId="20A7F825"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10</w:t>
            </w:r>
          </w:p>
        </w:tc>
      </w:tr>
      <w:tr w:rsidR="00697429" w:rsidRPr="00092862" w14:paraId="638CBF0A" w14:textId="77777777" w:rsidTr="00123427">
        <w:trPr>
          <w:trHeight w:val="229"/>
          <w:jc w:val="center"/>
        </w:trPr>
        <w:tc>
          <w:tcPr>
            <w:tcW w:w="0" w:type="auto"/>
            <w:vAlign w:val="center"/>
          </w:tcPr>
          <w:p w14:paraId="63F18F5C"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c>
          <w:tcPr>
            <w:tcW w:w="0" w:type="auto"/>
            <w:vAlign w:val="center"/>
          </w:tcPr>
          <w:p w14:paraId="4515B847"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纯碱</w:t>
            </w:r>
            <w:r w:rsidRPr="00092862">
              <w:rPr>
                <w:color w:val="000000" w:themeColor="text1"/>
                <w:sz w:val="21"/>
                <w:szCs w:val="21"/>
              </w:rPr>
              <w:t>Na</w:t>
            </w:r>
            <w:r w:rsidRPr="00092862">
              <w:rPr>
                <w:color w:val="000000" w:themeColor="text1"/>
                <w:sz w:val="21"/>
                <w:szCs w:val="21"/>
                <w:vertAlign w:val="subscript"/>
              </w:rPr>
              <w:t>2</w:t>
            </w:r>
            <w:r w:rsidRPr="00092862">
              <w:rPr>
                <w:color w:val="000000" w:themeColor="text1"/>
                <w:sz w:val="21"/>
                <w:szCs w:val="21"/>
              </w:rPr>
              <w:t>CO</w:t>
            </w:r>
            <w:r w:rsidRPr="00092862">
              <w:rPr>
                <w:color w:val="000000" w:themeColor="text1"/>
                <w:sz w:val="21"/>
                <w:szCs w:val="21"/>
                <w:vertAlign w:val="subscript"/>
              </w:rPr>
              <w:t>3</w:t>
            </w:r>
          </w:p>
        </w:tc>
        <w:tc>
          <w:tcPr>
            <w:tcW w:w="0" w:type="auto"/>
            <w:vAlign w:val="center"/>
          </w:tcPr>
          <w:p w14:paraId="6D4B5F4C" w14:textId="72300375"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59650239" w14:textId="37019D29"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7F93C8D6" w14:textId="56C44719"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75786F0C" w14:textId="77777777" w:rsidTr="00123427">
        <w:trPr>
          <w:trHeight w:val="229"/>
          <w:jc w:val="center"/>
        </w:trPr>
        <w:tc>
          <w:tcPr>
            <w:tcW w:w="0" w:type="auto"/>
            <w:vAlign w:val="center"/>
          </w:tcPr>
          <w:p w14:paraId="2989C1DE"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c>
          <w:tcPr>
            <w:tcW w:w="0" w:type="auto"/>
            <w:vAlign w:val="center"/>
          </w:tcPr>
          <w:p w14:paraId="24DF3652"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氢氧化钠</w:t>
            </w:r>
            <w:r w:rsidRPr="00092862">
              <w:rPr>
                <w:color w:val="000000" w:themeColor="text1"/>
                <w:sz w:val="21"/>
                <w:szCs w:val="21"/>
              </w:rPr>
              <w:t>NaOH</w:t>
            </w:r>
          </w:p>
        </w:tc>
        <w:tc>
          <w:tcPr>
            <w:tcW w:w="0" w:type="auto"/>
            <w:vAlign w:val="center"/>
          </w:tcPr>
          <w:p w14:paraId="2233A502" w14:textId="4A4D8522"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3</w:t>
            </w:r>
          </w:p>
        </w:tc>
        <w:tc>
          <w:tcPr>
            <w:tcW w:w="0" w:type="auto"/>
            <w:vAlign w:val="center"/>
          </w:tcPr>
          <w:p w14:paraId="5F8A9266" w14:textId="1AF93A20"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3</w:t>
            </w:r>
          </w:p>
        </w:tc>
        <w:tc>
          <w:tcPr>
            <w:tcW w:w="0" w:type="auto"/>
            <w:vAlign w:val="center"/>
          </w:tcPr>
          <w:p w14:paraId="324E0090" w14:textId="6AEBE845"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3FA45678" w14:textId="77777777" w:rsidTr="00123427">
        <w:trPr>
          <w:trHeight w:val="229"/>
          <w:jc w:val="center"/>
        </w:trPr>
        <w:tc>
          <w:tcPr>
            <w:tcW w:w="0" w:type="auto"/>
            <w:vAlign w:val="center"/>
          </w:tcPr>
          <w:p w14:paraId="28491E4A"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4</w:t>
            </w:r>
          </w:p>
        </w:tc>
        <w:tc>
          <w:tcPr>
            <w:tcW w:w="0" w:type="auto"/>
            <w:vAlign w:val="center"/>
          </w:tcPr>
          <w:p w14:paraId="181BCB56"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丙烯酸盐多元共聚物</w:t>
            </w:r>
            <w:r w:rsidRPr="00092862">
              <w:rPr>
                <w:color w:val="000000" w:themeColor="text1"/>
                <w:sz w:val="21"/>
                <w:szCs w:val="21"/>
              </w:rPr>
              <w:t xml:space="preserve"> SK-Ⅱ</w:t>
            </w:r>
          </w:p>
        </w:tc>
        <w:tc>
          <w:tcPr>
            <w:tcW w:w="0" w:type="auto"/>
            <w:vAlign w:val="center"/>
          </w:tcPr>
          <w:p w14:paraId="7D545C88" w14:textId="37DAEB06"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3</w:t>
            </w:r>
          </w:p>
        </w:tc>
        <w:tc>
          <w:tcPr>
            <w:tcW w:w="0" w:type="auto"/>
            <w:vAlign w:val="center"/>
          </w:tcPr>
          <w:p w14:paraId="661A8489" w14:textId="6477150D"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3</w:t>
            </w:r>
          </w:p>
        </w:tc>
        <w:tc>
          <w:tcPr>
            <w:tcW w:w="0" w:type="auto"/>
            <w:vAlign w:val="center"/>
          </w:tcPr>
          <w:p w14:paraId="286ED9C0" w14:textId="1EC08E9B"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734D7826" w14:textId="77777777" w:rsidTr="00123427">
        <w:trPr>
          <w:trHeight w:val="229"/>
          <w:jc w:val="center"/>
        </w:trPr>
        <w:tc>
          <w:tcPr>
            <w:tcW w:w="0" w:type="auto"/>
            <w:vAlign w:val="center"/>
          </w:tcPr>
          <w:p w14:paraId="1E960A85"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5</w:t>
            </w:r>
          </w:p>
        </w:tc>
        <w:tc>
          <w:tcPr>
            <w:tcW w:w="0" w:type="auto"/>
            <w:vAlign w:val="center"/>
          </w:tcPr>
          <w:p w14:paraId="7D1E4A62"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聚合物增粘剂</w:t>
            </w:r>
            <w:r w:rsidRPr="00092862">
              <w:rPr>
                <w:color w:val="000000" w:themeColor="text1"/>
                <w:sz w:val="21"/>
                <w:szCs w:val="21"/>
              </w:rPr>
              <w:t xml:space="preserve"> JJZ-1</w:t>
            </w:r>
          </w:p>
        </w:tc>
        <w:tc>
          <w:tcPr>
            <w:tcW w:w="0" w:type="auto"/>
            <w:vAlign w:val="center"/>
          </w:tcPr>
          <w:p w14:paraId="0E18890A" w14:textId="5B4B5D00"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280C4F86" w14:textId="753BAFB9"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5E4E0CCA" w14:textId="0FEC5F58"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1587C794" w14:textId="77777777" w:rsidTr="00123427">
        <w:trPr>
          <w:trHeight w:val="229"/>
          <w:jc w:val="center"/>
        </w:trPr>
        <w:tc>
          <w:tcPr>
            <w:tcW w:w="0" w:type="auto"/>
            <w:vAlign w:val="center"/>
          </w:tcPr>
          <w:p w14:paraId="7E0730AE"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6</w:t>
            </w:r>
          </w:p>
        </w:tc>
        <w:tc>
          <w:tcPr>
            <w:tcW w:w="0" w:type="auto"/>
            <w:vAlign w:val="center"/>
          </w:tcPr>
          <w:p w14:paraId="74E36C2F"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螯合金属离子聚合物</w:t>
            </w:r>
            <w:r w:rsidRPr="00092862">
              <w:rPr>
                <w:color w:val="000000" w:themeColor="text1"/>
                <w:sz w:val="21"/>
                <w:szCs w:val="21"/>
              </w:rPr>
              <w:t xml:space="preserve"> CMP-1</w:t>
            </w:r>
          </w:p>
        </w:tc>
        <w:tc>
          <w:tcPr>
            <w:tcW w:w="0" w:type="auto"/>
            <w:vAlign w:val="center"/>
          </w:tcPr>
          <w:p w14:paraId="53BA3358" w14:textId="3A10046B"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4DFE8FD0" w14:textId="1386487A"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2950A2F1" w14:textId="31A895CA"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338201D7" w14:textId="77777777" w:rsidTr="00123427">
        <w:trPr>
          <w:trHeight w:val="229"/>
          <w:jc w:val="center"/>
        </w:trPr>
        <w:tc>
          <w:tcPr>
            <w:tcW w:w="0" w:type="auto"/>
            <w:vAlign w:val="center"/>
          </w:tcPr>
          <w:p w14:paraId="15002BF2"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7</w:t>
            </w:r>
          </w:p>
        </w:tc>
        <w:tc>
          <w:tcPr>
            <w:tcW w:w="0" w:type="auto"/>
            <w:vAlign w:val="center"/>
          </w:tcPr>
          <w:p w14:paraId="42A298B6"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有机高分子絮凝剂</w:t>
            </w:r>
            <w:r w:rsidRPr="00092862">
              <w:rPr>
                <w:color w:val="000000" w:themeColor="text1"/>
                <w:sz w:val="21"/>
                <w:szCs w:val="21"/>
              </w:rPr>
              <w:t xml:space="preserve"> LS-AOF</w:t>
            </w:r>
          </w:p>
        </w:tc>
        <w:tc>
          <w:tcPr>
            <w:tcW w:w="0" w:type="auto"/>
            <w:vAlign w:val="center"/>
          </w:tcPr>
          <w:p w14:paraId="72C967FD" w14:textId="38E996A1"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617A0B61" w14:textId="74447B2C"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33A74800" w14:textId="7EAC1CE5"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5D338D0C" w14:textId="77777777" w:rsidTr="00123427">
        <w:trPr>
          <w:trHeight w:val="229"/>
          <w:jc w:val="center"/>
        </w:trPr>
        <w:tc>
          <w:tcPr>
            <w:tcW w:w="0" w:type="auto"/>
            <w:vAlign w:val="center"/>
          </w:tcPr>
          <w:p w14:paraId="1D8D66C8"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8</w:t>
            </w:r>
          </w:p>
        </w:tc>
        <w:tc>
          <w:tcPr>
            <w:tcW w:w="0" w:type="auto"/>
            <w:vAlign w:val="center"/>
          </w:tcPr>
          <w:p w14:paraId="54ACB9AE"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高粘羧甲基纤维素钠盐</w:t>
            </w:r>
            <w:r w:rsidRPr="00092862">
              <w:rPr>
                <w:color w:val="000000" w:themeColor="text1"/>
                <w:sz w:val="21"/>
                <w:szCs w:val="21"/>
              </w:rPr>
              <w:t xml:space="preserve"> HV-CMC</w:t>
            </w:r>
          </w:p>
        </w:tc>
        <w:tc>
          <w:tcPr>
            <w:tcW w:w="0" w:type="auto"/>
            <w:vAlign w:val="center"/>
          </w:tcPr>
          <w:p w14:paraId="015C3CCE" w14:textId="34151CF3"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3</w:t>
            </w:r>
          </w:p>
        </w:tc>
        <w:tc>
          <w:tcPr>
            <w:tcW w:w="0" w:type="auto"/>
            <w:vAlign w:val="center"/>
          </w:tcPr>
          <w:p w14:paraId="601BC31A" w14:textId="29046661"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3</w:t>
            </w:r>
          </w:p>
        </w:tc>
        <w:tc>
          <w:tcPr>
            <w:tcW w:w="0" w:type="auto"/>
            <w:vAlign w:val="center"/>
          </w:tcPr>
          <w:p w14:paraId="4A95503A" w14:textId="67C7C3FA"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3672F902" w14:textId="77777777" w:rsidTr="00123427">
        <w:trPr>
          <w:trHeight w:val="229"/>
          <w:jc w:val="center"/>
        </w:trPr>
        <w:tc>
          <w:tcPr>
            <w:tcW w:w="0" w:type="auto"/>
            <w:vAlign w:val="center"/>
          </w:tcPr>
          <w:p w14:paraId="2DE6991D"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10</w:t>
            </w:r>
          </w:p>
        </w:tc>
        <w:tc>
          <w:tcPr>
            <w:tcW w:w="0" w:type="auto"/>
            <w:vAlign w:val="center"/>
          </w:tcPr>
          <w:p w14:paraId="028CAA62"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聚合物降滤失剂</w:t>
            </w:r>
            <w:r w:rsidRPr="00092862">
              <w:rPr>
                <w:color w:val="000000" w:themeColor="text1"/>
                <w:sz w:val="21"/>
                <w:szCs w:val="21"/>
              </w:rPr>
              <w:t xml:space="preserve"> DR-Ⅱ (</w:t>
            </w:r>
            <w:r w:rsidRPr="00092862">
              <w:rPr>
                <w:color w:val="000000" w:themeColor="text1"/>
                <w:sz w:val="21"/>
                <w:szCs w:val="21"/>
              </w:rPr>
              <w:t>或</w:t>
            </w:r>
            <w:r w:rsidRPr="00092862">
              <w:rPr>
                <w:color w:val="000000" w:themeColor="text1"/>
                <w:sz w:val="21"/>
                <w:szCs w:val="21"/>
              </w:rPr>
              <w:t xml:space="preserve"> JMP-1)</w:t>
            </w:r>
          </w:p>
        </w:tc>
        <w:tc>
          <w:tcPr>
            <w:tcW w:w="0" w:type="auto"/>
            <w:vAlign w:val="center"/>
          </w:tcPr>
          <w:p w14:paraId="69711198" w14:textId="54F0D1DD"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7DF4F0B3" w14:textId="35AFE5B9"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31BCE391" w14:textId="40BF0CA1"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1BECD41A" w14:textId="77777777" w:rsidTr="00123427">
        <w:trPr>
          <w:trHeight w:val="229"/>
          <w:jc w:val="center"/>
        </w:trPr>
        <w:tc>
          <w:tcPr>
            <w:tcW w:w="0" w:type="auto"/>
            <w:vAlign w:val="center"/>
          </w:tcPr>
          <w:p w14:paraId="73C79891"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11</w:t>
            </w:r>
          </w:p>
        </w:tc>
        <w:tc>
          <w:tcPr>
            <w:tcW w:w="0" w:type="auto"/>
            <w:vAlign w:val="center"/>
          </w:tcPr>
          <w:p w14:paraId="4B34E085"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抗高温降粘降滤失剂</w:t>
            </w:r>
            <w:r w:rsidRPr="00092862">
              <w:rPr>
                <w:color w:val="000000" w:themeColor="text1"/>
                <w:sz w:val="21"/>
                <w:szCs w:val="21"/>
              </w:rPr>
              <w:t xml:space="preserve"> SD-202</w:t>
            </w:r>
          </w:p>
        </w:tc>
        <w:tc>
          <w:tcPr>
            <w:tcW w:w="0" w:type="auto"/>
            <w:vAlign w:val="center"/>
          </w:tcPr>
          <w:p w14:paraId="4696333F" w14:textId="416036D9"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2DA77170" w14:textId="2324F8C7"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0B38C511" w14:textId="4A6F66F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5BB5C94E" w14:textId="77777777" w:rsidTr="00123427">
        <w:trPr>
          <w:trHeight w:val="229"/>
          <w:jc w:val="center"/>
        </w:trPr>
        <w:tc>
          <w:tcPr>
            <w:tcW w:w="0" w:type="auto"/>
            <w:vAlign w:val="center"/>
          </w:tcPr>
          <w:p w14:paraId="6791A264"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12</w:t>
            </w:r>
          </w:p>
        </w:tc>
        <w:tc>
          <w:tcPr>
            <w:tcW w:w="0" w:type="auto"/>
            <w:vAlign w:val="center"/>
          </w:tcPr>
          <w:p w14:paraId="590FB1F7"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聚合醇防塌剂</w:t>
            </w:r>
            <w:r w:rsidRPr="00092862">
              <w:rPr>
                <w:color w:val="000000" w:themeColor="text1"/>
                <w:sz w:val="21"/>
                <w:szCs w:val="21"/>
              </w:rPr>
              <w:t xml:space="preserve"> PEG</w:t>
            </w:r>
          </w:p>
        </w:tc>
        <w:tc>
          <w:tcPr>
            <w:tcW w:w="0" w:type="auto"/>
            <w:vAlign w:val="center"/>
          </w:tcPr>
          <w:p w14:paraId="4A2B3030" w14:textId="1190406B"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206584C3" w14:textId="66040BEE"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75E48B02" w14:textId="2AB6AA0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3F1A42A5" w14:textId="77777777" w:rsidTr="00123427">
        <w:trPr>
          <w:trHeight w:val="229"/>
          <w:jc w:val="center"/>
        </w:trPr>
        <w:tc>
          <w:tcPr>
            <w:tcW w:w="0" w:type="auto"/>
            <w:vAlign w:val="center"/>
          </w:tcPr>
          <w:p w14:paraId="4576F01A"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15</w:t>
            </w:r>
          </w:p>
        </w:tc>
        <w:tc>
          <w:tcPr>
            <w:tcW w:w="0" w:type="auto"/>
            <w:vAlign w:val="center"/>
          </w:tcPr>
          <w:p w14:paraId="7EE5EA56"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乳化石蜡基润滑剂（或无荧光润滑剂</w:t>
            </w:r>
            <w:r w:rsidRPr="00092862">
              <w:rPr>
                <w:color w:val="000000" w:themeColor="text1"/>
                <w:sz w:val="21"/>
                <w:szCs w:val="21"/>
              </w:rPr>
              <w:t xml:space="preserve"> CJ1-2</w:t>
            </w:r>
            <w:r w:rsidRPr="00092862">
              <w:rPr>
                <w:color w:val="000000" w:themeColor="text1"/>
                <w:sz w:val="21"/>
                <w:szCs w:val="21"/>
              </w:rPr>
              <w:t>）</w:t>
            </w:r>
          </w:p>
        </w:tc>
        <w:tc>
          <w:tcPr>
            <w:tcW w:w="0" w:type="auto"/>
            <w:vAlign w:val="center"/>
          </w:tcPr>
          <w:p w14:paraId="555BDDBA" w14:textId="3AB7EF18" w:rsidR="00507764" w:rsidRPr="00092862" w:rsidRDefault="00507764" w:rsidP="00123427">
            <w:pPr>
              <w:pStyle w:val="afffff6"/>
              <w:spacing w:line="240" w:lineRule="auto"/>
              <w:ind w:firstLineChars="0" w:firstLine="0"/>
              <w:jc w:val="center"/>
              <w:rPr>
                <w:color w:val="000000" w:themeColor="text1"/>
                <w:sz w:val="21"/>
                <w:szCs w:val="21"/>
              </w:rPr>
            </w:pPr>
            <w:r w:rsidRPr="00092862">
              <w:rPr>
                <w:bCs/>
                <w:color w:val="000000" w:themeColor="text1"/>
                <w:sz w:val="20"/>
                <w:szCs w:val="22"/>
              </w:rPr>
              <w:t>20</w:t>
            </w:r>
          </w:p>
        </w:tc>
        <w:tc>
          <w:tcPr>
            <w:tcW w:w="0" w:type="auto"/>
            <w:vAlign w:val="center"/>
          </w:tcPr>
          <w:p w14:paraId="759534AE" w14:textId="3D5C43FC" w:rsidR="00507764" w:rsidRPr="00092862" w:rsidRDefault="00507764" w:rsidP="00123427">
            <w:pPr>
              <w:pStyle w:val="afffff6"/>
              <w:spacing w:line="240" w:lineRule="auto"/>
              <w:ind w:firstLineChars="0" w:firstLine="0"/>
              <w:jc w:val="center"/>
              <w:rPr>
                <w:color w:val="000000" w:themeColor="text1"/>
                <w:sz w:val="21"/>
                <w:szCs w:val="21"/>
              </w:rPr>
            </w:pPr>
            <w:r w:rsidRPr="00092862">
              <w:rPr>
                <w:bCs/>
                <w:color w:val="000000" w:themeColor="text1"/>
                <w:sz w:val="20"/>
                <w:szCs w:val="22"/>
              </w:rPr>
              <w:t>20</w:t>
            </w:r>
          </w:p>
        </w:tc>
        <w:tc>
          <w:tcPr>
            <w:tcW w:w="0" w:type="auto"/>
            <w:vAlign w:val="center"/>
          </w:tcPr>
          <w:p w14:paraId="40560568" w14:textId="480390EA"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7DF99AAD" w14:textId="77777777" w:rsidTr="00123427">
        <w:trPr>
          <w:trHeight w:val="229"/>
          <w:jc w:val="center"/>
        </w:trPr>
        <w:tc>
          <w:tcPr>
            <w:tcW w:w="0" w:type="auto"/>
            <w:vAlign w:val="center"/>
          </w:tcPr>
          <w:p w14:paraId="6D7B81F0"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16</w:t>
            </w:r>
          </w:p>
        </w:tc>
        <w:tc>
          <w:tcPr>
            <w:tcW w:w="0" w:type="auto"/>
            <w:vAlign w:val="center"/>
          </w:tcPr>
          <w:p w14:paraId="3634D7C3"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超细活化石墨粉固体润滑剂</w:t>
            </w:r>
            <w:r w:rsidRPr="00092862">
              <w:rPr>
                <w:color w:val="000000" w:themeColor="text1"/>
                <w:sz w:val="21"/>
                <w:szCs w:val="21"/>
              </w:rPr>
              <w:t xml:space="preserve"> LSW</w:t>
            </w:r>
          </w:p>
        </w:tc>
        <w:tc>
          <w:tcPr>
            <w:tcW w:w="0" w:type="auto"/>
            <w:vAlign w:val="center"/>
          </w:tcPr>
          <w:p w14:paraId="24462C2F" w14:textId="62ECBB22" w:rsidR="00507764" w:rsidRPr="00092862" w:rsidRDefault="00507764" w:rsidP="00123427">
            <w:pPr>
              <w:pStyle w:val="afffff6"/>
              <w:spacing w:line="240" w:lineRule="auto"/>
              <w:ind w:firstLineChars="0" w:firstLine="0"/>
              <w:jc w:val="center"/>
              <w:rPr>
                <w:color w:val="000000" w:themeColor="text1"/>
                <w:sz w:val="21"/>
                <w:szCs w:val="21"/>
              </w:rPr>
            </w:pPr>
            <w:r w:rsidRPr="00092862">
              <w:rPr>
                <w:bCs/>
                <w:color w:val="000000" w:themeColor="text1"/>
                <w:sz w:val="20"/>
                <w:szCs w:val="22"/>
              </w:rPr>
              <w:t>6</w:t>
            </w:r>
          </w:p>
        </w:tc>
        <w:tc>
          <w:tcPr>
            <w:tcW w:w="0" w:type="auto"/>
            <w:vAlign w:val="center"/>
          </w:tcPr>
          <w:p w14:paraId="07FE64F7" w14:textId="2ED3F6B2" w:rsidR="00507764" w:rsidRPr="00092862" w:rsidRDefault="00507764" w:rsidP="00123427">
            <w:pPr>
              <w:pStyle w:val="afffff6"/>
              <w:spacing w:line="240" w:lineRule="auto"/>
              <w:ind w:firstLineChars="0" w:firstLine="0"/>
              <w:jc w:val="center"/>
              <w:rPr>
                <w:color w:val="000000" w:themeColor="text1"/>
                <w:sz w:val="21"/>
                <w:szCs w:val="21"/>
              </w:rPr>
            </w:pPr>
            <w:r w:rsidRPr="00092862">
              <w:rPr>
                <w:bCs/>
                <w:color w:val="000000" w:themeColor="text1"/>
                <w:sz w:val="20"/>
                <w:szCs w:val="22"/>
              </w:rPr>
              <w:t>6</w:t>
            </w:r>
          </w:p>
        </w:tc>
        <w:tc>
          <w:tcPr>
            <w:tcW w:w="0" w:type="auto"/>
            <w:vAlign w:val="center"/>
          </w:tcPr>
          <w:p w14:paraId="3319C078" w14:textId="342B4B7B"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41D7861C" w14:textId="77777777" w:rsidTr="00123427">
        <w:trPr>
          <w:trHeight w:val="229"/>
          <w:jc w:val="center"/>
        </w:trPr>
        <w:tc>
          <w:tcPr>
            <w:tcW w:w="0" w:type="auto"/>
            <w:vAlign w:val="center"/>
          </w:tcPr>
          <w:p w14:paraId="6BAFCBF1"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17</w:t>
            </w:r>
          </w:p>
        </w:tc>
        <w:tc>
          <w:tcPr>
            <w:tcW w:w="0" w:type="auto"/>
            <w:vAlign w:val="center"/>
          </w:tcPr>
          <w:p w14:paraId="522FC85F"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硅氟稳定剂</w:t>
            </w:r>
            <w:r w:rsidRPr="00092862">
              <w:rPr>
                <w:color w:val="000000" w:themeColor="text1"/>
                <w:sz w:val="21"/>
                <w:szCs w:val="21"/>
              </w:rPr>
              <w:t xml:space="preserve"> SF-4</w:t>
            </w:r>
          </w:p>
        </w:tc>
        <w:tc>
          <w:tcPr>
            <w:tcW w:w="0" w:type="auto"/>
            <w:vAlign w:val="center"/>
          </w:tcPr>
          <w:p w14:paraId="0E26CD0A" w14:textId="622FD3C0"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11B62CB8" w14:textId="5FDB519A"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0194BB06" w14:textId="786EB52C"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7F77E4BD" w14:textId="77777777" w:rsidTr="00123427">
        <w:trPr>
          <w:trHeight w:val="229"/>
          <w:jc w:val="center"/>
        </w:trPr>
        <w:tc>
          <w:tcPr>
            <w:tcW w:w="0" w:type="auto"/>
            <w:vAlign w:val="center"/>
          </w:tcPr>
          <w:p w14:paraId="0440AB1B"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18</w:t>
            </w:r>
          </w:p>
        </w:tc>
        <w:tc>
          <w:tcPr>
            <w:tcW w:w="0" w:type="auto"/>
            <w:vAlign w:val="center"/>
          </w:tcPr>
          <w:p w14:paraId="3FF0DBF6"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聚合物降粘剂</w:t>
            </w:r>
            <w:r w:rsidRPr="00092862">
              <w:rPr>
                <w:color w:val="000000" w:themeColor="text1"/>
                <w:sz w:val="21"/>
                <w:szCs w:val="21"/>
              </w:rPr>
              <w:t xml:space="preserve"> JN-1</w:t>
            </w:r>
          </w:p>
        </w:tc>
        <w:tc>
          <w:tcPr>
            <w:tcW w:w="0" w:type="auto"/>
            <w:vAlign w:val="center"/>
          </w:tcPr>
          <w:p w14:paraId="16334C34" w14:textId="2BE2A25C"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2FC53CE4" w14:textId="307B5C4B"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48FF2694" w14:textId="2DD9A900"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0B35549B" w14:textId="77777777" w:rsidTr="00123427">
        <w:trPr>
          <w:trHeight w:val="229"/>
          <w:jc w:val="center"/>
        </w:trPr>
        <w:tc>
          <w:tcPr>
            <w:tcW w:w="0" w:type="auto"/>
            <w:vAlign w:val="center"/>
          </w:tcPr>
          <w:p w14:paraId="358F12DC"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19</w:t>
            </w:r>
          </w:p>
        </w:tc>
        <w:tc>
          <w:tcPr>
            <w:tcW w:w="0" w:type="auto"/>
            <w:vAlign w:val="center"/>
          </w:tcPr>
          <w:p w14:paraId="4CD3407D"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硅氟稀释剂</w:t>
            </w:r>
            <w:r w:rsidRPr="00092862">
              <w:rPr>
                <w:color w:val="000000" w:themeColor="text1"/>
                <w:sz w:val="21"/>
                <w:szCs w:val="21"/>
              </w:rPr>
              <w:t xml:space="preserve"> SF-1</w:t>
            </w:r>
          </w:p>
        </w:tc>
        <w:tc>
          <w:tcPr>
            <w:tcW w:w="0" w:type="auto"/>
            <w:vAlign w:val="center"/>
          </w:tcPr>
          <w:p w14:paraId="5F5DC896" w14:textId="25960F40"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568E1DBA" w14:textId="08D3E07F"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2BE4FFC8" w14:textId="1ABF2912"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0E0B07A4" w14:textId="77777777" w:rsidTr="00123427">
        <w:trPr>
          <w:trHeight w:val="229"/>
          <w:jc w:val="center"/>
        </w:trPr>
        <w:tc>
          <w:tcPr>
            <w:tcW w:w="0" w:type="auto"/>
            <w:vAlign w:val="center"/>
          </w:tcPr>
          <w:p w14:paraId="61E82DD7"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21</w:t>
            </w:r>
          </w:p>
        </w:tc>
        <w:tc>
          <w:tcPr>
            <w:tcW w:w="0" w:type="auto"/>
            <w:vAlign w:val="center"/>
          </w:tcPr>
          <w:p w14:paraId="233378BC"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非渗透抗压处理剂</w:t>
            </w:r>
            <w:r w:rsidRPr="00092862">
              <w:rPr>
                <w:color w:val="000000" w:themeColor="text1"/>
                <w:sz w:val="21"/>
                <w:szCs w:val="21"/>
              </w:rPr>
              <w:t xml:space="preserve"> KSY</w:t>
            </w:r>
          </w:p>
        </w:tc>
        <w:tc>
          <w:tcPr>
            <w:tcW w:w="0" w:type="auto"/>
            <w:vAlign w:val="center"/>
          </w:tcPr>
          <w:p w14:paraId="08AB7FCB" w14:textId="707C76C9"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27454386" w14:textId="71E60294"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2</w:t>
            </w:r>
          </w:p>
        </w:tc>
        <w:tc>
          <w:tcPr>
            <w:tcW w:w="0" w:type="auto"/>
            <w:vAlign w:val="center"/>
          </w:tcPr>
          <w:p w14:paraId="36524AC4" w14:textId="56F93E7E"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w:t>
            </w:r>
          </w:p>
        </w:tc>
      </w:tr>
      <w:tr w:rsidR="00697429" w:rsidRPr="00092862" w14:paraId="7284616B" w14:textId="77777777" w:rsidTr="00123427">
        <w:trPr>
          <w:trHeight w:val="229"/>
          <w:jc w:val="center"/>
        </w:trPr>
        <w:tc>
          <w:tcPr>
            <w:tcW w:w="0" w:type="auto"/>
            <w:vAlign w:val="center"/>
          </w:tcPr>
          <w:p w14:paraId="5830C82A"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22</w:t>
            </w:r>
          </w:p>
        </w:tc>
        <w:tc>
          <w:tcPr>
            <w:tcW w:w="0" w:type="auto"/>
            <w:vAlign w:val="center"/>
          </w:tcPr>
          <w:p w14:paraId="627BC5D4"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固体消泡剂</w:t>
            </w:r>
            <w:r w:rsidRPr="00092862">
              <w:rPr>
                <w:color w:val="000000" w:themeColor="text1"/>
                <w:sz w:val="21"/>
                <w:szCs w:val="21"/>
              </w:rPr>
              <w:t>RLC-103A</w:t>
            </w:r>
          </w:p>
        </w:tc>
        <w:tc>
          <w:tcPr>
            <w:tcW w:w="0" w:type="auto"/>
            <w:vAlign w:val="center"/>
          </w:tcPr>
          <w:p w14:paraId="4161364C" w14:textId="669156B0"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1</w:t>
            </w:r>
          </w:p>
        </w:tc>
        <w:tc>
          <w:tcPr>
            <w:tcW w:w="0" w:type="auto"/>
            <w:vAlign w:val="center"/>
          </w:tcPr>
          <w:p w14:paraId="4C32E8C9" w14:textId="70B79AEA"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1</w:t>
            </w:r>
          </w:p>
        </w:tc>
        <w:tc>
          <w:tcPr>
            <w:tcW w:w="0" w:type="auto"/>
            <w:vAlign w:val="center"/>
          </w:tcPr>
          <w:p w14:paraId="496CEB1C" w14:textId="3D12711C"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w:t>
            </w:r>
          </w:p>
        </w:tc>
      </w:tr>
      <w:tr w:rsidR="00697429" w:rsidRPr="00092862" w14:paraId="730A6729" w14:textId="77777777" w:rsidTr="00123427">
        <w:trPr>
          <w:trHeight w:val="229"/>
          <w:jc w:val="center"/>
        </w:trPr>
        <w:tc>
          <w:tcPr>
            <w:tcW w:w="0" w:type="auto"/>
            <w:vAlign w:val="center"/>
          </w:tcPr>
          <w:p w14:paraId="5B9A3450"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23</w:t>
            </w:r>
          </w:p>
        </w:tc>
        <w:tc>
          <w:tcPr>
            <w:tcW w:w="0" w:type="auto"/>
            <w:vAlign w:val="center"/>
          </w:tcPr>
          <w:p w14:paraId="45D5D760"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石灰</w:t>
            </w:r>
            <w:r w:rsidRPr="00092862">
              <w:rPr>
                <w:color w:val="000000" w:themeColor="text1"/>
                <w:sz w:val="21"/>
                <w:szCs w:val="21"/>
              </w:rPr>
              <w:t>CaO</w:t>
            </w:r>
            <w:r w:rsidRPr="00092862">
              <w:rPr>
                <w:color w:val="000000" w:themeColor="text1"/>
                <w:sz w:val="21"/>
                <w:szCs w:val="21"/>
              </w:rPr>
              <w:t>备用</w:t>
            </w:r>
          </w:p>
        </w:tc>
        <w:tc>
          <w:tcPr>
            <w:tcW w:w="0" w:type="auto"/>
            <w:vAlign w:val="center"/>
          </w:tcPr>
          <w:p w14:paraId="37B45072" w14:textId="10C881EB"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1</w:t>
            </w:r>
          </w:p>
        </w:tc>
        <w:tc>
          <w:tcPr>
            <w:tcW w:w="0" w:type="auto"/>
            <w:vAlign w:val="center"/>
          </w:tcPr>
          <w:p w14:paraId="5A6FD9E3" w14:textId="772CD974"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1</w:t>
            </w:r>
          </w:p>
        </w:tc>
        <w:tc>
          <w:tcPr>
            <w:tcW w:w="0" w:type="auto"/>
            <w:vAlign w:val="center"/>
          </w:tcPr>
          <w:p w14:paraId="1B7F05B3" w14:textId="558FD50C"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w:t>
            </w:r>
          </w:p>
        </w:tc>
      </w:tr>
      <w:tr w:rsidR="00697429" w:rsidRPr="00092862" w14:paraId="3DEF0CF8" w14:textId="77777777" w:rsidTr="00123427">
        <w:trPr>
          <w:trHeight w:val="229"/>
          <w:jc w:val="center"/>
        </w:trPr>
        <w:tc>
          <w:tcPr>
            <w:tcW w:w="0" w:type="auto"/>
            <w:vAlign w:val="center"/>
          </w:tcPr>
          <w:p w14:paraId="71248681"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24</w:t>
            </w:r>
          </w:p>
        </w:tc>
        <w:tc>
          <w:tcPr>
            <w:tcW w:w="0" w:type="auto"/>
            <w:vAlign w:val="center"/>
          </w:tcPr>
          <w:p w14:paraId="2148F162"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抗硫缓蚀剂</w:t>
            </w:r>
            <w:r w:rsidRPr="00092862">
              <w:rPr>
                <w:color w:val="000000" w:themeColor="text1"/>
                <w:sz w:val="21"/>
                <w:szCs w:val="21"/>
              </w:rPr>
              <w:t xml:space="preserve"> CJ2-12 (</w:t>
            </w:r>
            <w:r w:rsidRPr="00092862">
              <w:rPr>
                <w:color w:val="000000" w:themeColor="text1"/>
                <w:sz w:val="21"/>
                <w:szCs w:val="21"/>
              </w:rPr>
              <w:t>碱式碳酸锌或海绵铁</w:t>
            </w:r>
            <w:r w:rsidRPr="00092862">
              <w:rPr>
                <w:color w:val="000000" w:themeColor="text1"/>
                <w:sz w:val="21"/>
                <w:szCs w:val="21"/>
              </w:rPr>
              <w:t>)</w:t>
            </w:r>
          </w:p>
        </w:tc>
        <w:tc>
          <w:tcPr>
            <w:tcW w:w="0" w:type="auto"/>
            <w:vAlign w:val="center"/>
          </w:tcPr>
          <w:p w14:paraId="06611373" w14:textId="0A12DFA3"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6F1BE659" w14:textId="111A2A5D"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5533C3E5" w14:textId="68FCF5DF"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64174B86" w14:textId="77777777" w:rsidTr="00123427">
        <w:trPr>
          <w:trHeight w:val="229"/>
          <w:jc w:val="center"/>
        </w:trPr>
        <w:tc>
          <w:tcPr>
            <w:tcW w:w="0" w:type="auto"/>
            <w:vAlign w:val="center"/>
          </w:tcPr>
          <w:p w14:paraId="665B255B"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26</w:t>
            </w:r>
          </w:p>
        </w:tc>
        <w:tc>
          <w:tcPr>
            <w:tcW w:w="0" w:type="auto"/>
            <w:vAlign w:val="center"/>
          </w:tcPr>
          <w:p w14:paraId="51B50F51"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重晶石</w:t>
            </w:r>
          </w:p>
        </w:tc>
        <w:tc>
          <w:tcPr>
            <w:tcW w:w="0" w:type="auto"/>
            <w:vAlign w:val="center"/>
          </w:tcPr>
          <w:p w14:paraId="2A19688D" w14:textId="43A31E7D" w:rsidR="00507764" w:rsidRPr="00092862" w:rsidRDefault="00507764" w:rsidP="00123427">
            <w:pPr>
              <w:pStyle w:val="afffff6"/>
              <w:spacing w:line="240" w:lineRule="auto"/>
              <w:ind w:firstLineChars="0" w:firstLine="0"/>
              <w:jc w:val="center"/>
              <w:rPr>
                <w:color w:val="000000" w:themeColor="text1"/>
                <w:sz w:val="21"/>
                <w:szCs w:val="21"/>
              </w:rPr>
            </w:pPr>
            <w:r w:rsidRPr="00092862">
              <w:rPr>
                <w:bCs/>
                <w:color w:val="000000" w:themeColor="text1"/>
                <w:sz w:val="20"/>
                <w:szCs w:val="22"/>
              </w:rPr>
              <w:t>220</w:t>
            </w:r>
          </w:p>
        </w:tc>
        <w:tc>
          <w:tcPr>
            <w:tcW w:w="0" w:type="auto"/>
            <w:vAlign w:val="center"/>
          </w:tcPr>
          <w:p w14:paraId="0595B109" w14:textId="63D56C09" w:rsidR="00507764" w:rsidRPr="00092862" w:rsidRDefault="00507764" w:rsidP="00123427">
            <w:pPr>
              <w:pStyle w:val="afffff6"/>
              <w:spacing w:line="240" w:lineRule="auto"/>
              <w:ind w:firstLineChars="0" w:firstLine="0"/>
              <w:jc w:val="center"/>
              <w:rPr>
                <w:color w:val="000000" w:themeColor="text1"/>
                <w:sz w:val="21"/>
                <w:szCs w:val="21"/>
              </w:rPr>
            </w:pPr>
            <w:r w:rsidRPr="00092862">
              <w:rPr>
                <w:bCs/>
                <w:color w:val="000000" w:themeColor="text1"/>
                <w:sz w:val="20"/>
                <w:szCs w:val="22"/>
              </w:rPr>
              <w:t>220</w:t>
            </w:r>
          </w:p>
        </w:tc>
        <w:tc>
          <w:tcPr>
            <w:tcW w:w="0" w:type="auto"/>
            <w:vAlign w:val="center"/>
          </w:tcPr>
          <w:p w14:paraId="2BCC9FB2" w14:textId="3490A0E1"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100</w:t>
            </w:r>
          </w:p>
        </w:tc>
      </w:tr>
      <w:tr w:rsidR="00697429" w:rsidRPr="00092862" w14:paraId="7A5CCC0D" w14:textId="77777777" w:rsidTr="00123427">
        <w:trPr>
          <w:trHeight w:val="229"/>
          <w:jc w:val="center"/>
        </w:trPr>
        <w:tc>
          <w:tcPr>
            <w:tcW w:w="0" w:type="auto"/>
            <w:vAlign w:val="center"/>
          </w:tcPr>
          <w:p w14:paraId="6CB9480A"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27</w:t>
            </w:r>
          </w:p>
        </w:tc>
        <w:tc>
          <w:tcPr>
            <w:tcW w:w="0" w:type="auto"/>
            <w:vAlign w:val="center"/>
          </w:tcPr>
          <w:p w14:paraId="1B0DAB36"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钻井液用固化剂</w:t>
            </w:r>
            <w:r w:rsidRPr="00092862">
              <w:rPr>
                <w:color w:val="000000" w:themeColor="text1"/>
                <w:sz w:val="21"/>
                <w:szCs w:val="21"/>
              </w:rPr>
              <w:t xml:space="preserve"> HB113</w:t>
            </w:r>
          </w:p>
        </w:tc>
        <w:tc>
          <w:tcPr>
            <w:tcW w:w="0" w:type="auto"/>
            <w:vAlign w:val="center"/>
          </w:tcPr>
          <w:p w14:paraId="766DE897" w14:textId="175A9A52"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7BDBD390" w14:textId="09DF0AB1"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7180EEF9" w14:textId="4D9DCAD4"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1DB7B40A" w14:textId="77777777" w:rsidTr="00123427">
        <w:trPr>
          <w:trHeight w:val="229"/>
          <w:jc w:val="center"/>
        </w:trPr>
        <w:tc>
          <w:tcPr>
            <w:tcW w:w="0" w:type="auto"/>
            <w:vAlign w:val="center"/>
          </w:tcPr>
          <w:p w14:paraId="550D09D4"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28</w:t>
            </w:r>
          </w:p>
        </w:tc>
        <w:tc>
          <w:tcPr>
            <w:tcW w:w="0" w:type="auto"/>
            <w:vAlign w:val="center"/>
          </w:tcPr>
          <w:p w14:paraId="703EF4A3"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随钻堵漏剂</w:t>
            </w:r>
          </w:p>
        </w:tc>
        <w:tc>
          <w:tcPr>
            <w:tcW w:w="0" w:type="auto"/>
            <w:vAlign w:val="center"/>
          </w:tcPr>
          <w:p w14:paraId="3A3BFD43" w14:textId="2CEB0140"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0DE30154" w14:textId="4E9BB224"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2A6FCA7C" w14:textId="4032B3D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196E6C2E" w14:textId="77777777" w:rsidTr="00123427">
        <w:trPr>
          <w:trHeight w:val="229"/>
          <w:jc w:val="center"/>
        </w:trPr>
        <w:tc>
          <w:tcPr>
            <w:tcW w:w="0" w:type="auto"/>
            <w:vAlign w:val="center"/>
          </w:tcPr>
          <w:p w14:paraId="2B82B7EE"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29</w:t>
            </w:r>
          </w:p>
        </w:tc>
        <w:tc>
          <w:tcPr>
            <w:tcW w:w="0" w:type="auto"/>
            <w:vAlign w:val="center"/>
          </w:tcPr>
          <w:p w14:paraId="50D6E633"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复合堵漏剂备用</w:t>
            </w:r>
          </w:p>
        </w:tc>
        <w:tc>
          <w:tcPr>
            <w:tcW w:w="0" w:type="auto"/>
            <w:vAlign w:val="center"/>
          </w:tcPr>
          <w:p w14:paraId="5F4A09F8" w14:textId="1EE10EB8"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7519AE72" w14:textId="3AFE5E6B"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366D47F6" w14:textId="0F39A003"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5FE45551" w14:textId="77777777" w:rsidTr="00123427">
        <w:trPr>
          <w:trHeight w:val="229"/>
          <w:jc w:val="center"/>
        </w:trPr>
        <w:tc>
          <w:tcPr>
            <w:tcW w:w="0" w:type="auto"/>
            <w:vAlign w:val="center"/>
          </w:tcPr>
          <w:p w14:paraId="3C38E2F3"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30</w:t>
            </w:r>
          </w:p>
        </w:tc>
        <w:tc>
          <w:tcPr>
            <w:tcW w:w="0" w:type="auto"/>
            <w:vAlign w:val="center"/>
          </w:tcPr>
          <w:p w14:paraId="6D674DA1"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可酸化膨胀堵漏剂（产层）</w:t>
            </w:r>
          </w:p>
        </w:tc>
        <w:tc>
          <w:tcPr>
            <w:tcW w:w="0" w:type="auto"/>
            <w:vAlign w:val="center"/>
          </w:tcPr>
          <w:p w14:paraId="2F1A1306" w14:textId="7C952831"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25C41314" w14:textId="0133DEE2"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165898A3" w14:textId="40428D7D"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r w:rsidR="00697429" w:rsidRPr="00092862" w14:paraId="543B2A06" w14:textId="77777777" w:rsidTr="00123427">
        <w:trPr>
          <w:trHeight w:val="229"/>
          <w:jc w:val="center"/>
        </w:trPr>
        <w:tc>
          <w:tcPr>
            <w:tcW w:w="0" w:type="auto"/>
            <w:vAlign w:val="center"/>
          </w:tcPr>
          <w:p w14:paraId="55A9F5CB"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31</w:t>
            </w:r>
          </w:p>
        </w:tc>
        <w:tc>
          <w:tcPr>
            <w:tcW w:w="0" w:type="auto"/>
            <w:vAlign w:val="center"/>
          </w:tcPr>
          <w:p w14:paraId="74473FC4" w14:textId="77777777"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可承压膨胀堵漏剂（非产层）</w:t>
            </w:r>
          </w:p>
        </w:tc>
        <w:tc>
          <w:tcPr>
            <w:tcW w:w="0" w:type="auto"/>
            <w:vAlign w:val="center"/>
          </w:tcPr>
          <w:p w14:paraId="6C6625EE" w14:textId="438EF64D"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5F33A6CA" w14:textId="5E8BBC0A" w:rsidR="00507764" w:rsidRPr="00092862" w:rsidRDefault="00507764" w:rsidP="00123427">
            <w:pPr>
              <w:pStyle w:val="afffff6"/>
              <w:spacing w:line="240" w:lineRule="auto"/>
              <w:ind w:firstLineChars="0" w:firstLine="0"/>
              <w:jc w:val="center"/>
              <w:rPr>
                <w:color w:val="000000" w:themeColor="text1"/>
                <w:sz w:val="21"/>
                <w:szCs w:val="21"/>
              </w:rPr>
            </w:pPr>
            <w:r w:rsidRPr="00092862">
              <w:rPr>
                <w:rFonts w:eastAsiaTheme="minorEastAsia"/>
                <w:bCs/>
                <w:color w:val="000000" w:themeColor="text1"/>
                <w:sz w:val="20"/>
                <w:szCs w:val="22"/>
              </w:rPr>
              <w:t>5</w:t>
            </w:r>
          </w:p>
        </w:tc>
        <w:tc>
          <w:tcPr>
            <w:tcW w:w="0" w:type="auto"/>
            <w:vAlign w:val="center"/>
          </w:tcPr>
          <w:p w14:paraId="25CA12AC" w14:textId="6E60866C" w:rsidR="00507764" w:rsidRPr="00092862" w:rsidRDefault="00507764" w:rsidP="00123427">
            <w:pPr>
              <w:pStyle w:val="afffff6"/>
              <w:spacing w:line="240" w:lineRule="auto"/>
              <w:ind w:firstLineChars="0" w:firstLine="0"/>
              <w:jc w:val="center"/>
              <w:rPr>
                <w:color w:val="000000" w:themeColor="text1"/>
                <w:sz w:val="21"/>
                <w:szCs w:val="21"/>
              </w:rPr>
            </w:pPr>
            <w:r w:rsidRPr="00092862">
              <w:rPr>
                <w:color w:val="000000" w:themeColor="text1"/>
                <w:sz w:val="21"/>
                <w:szCs w:val="21"/>
              </w:rPr>
              <w:t>3</w:t>
            </w:r>
          </w:p>
        </w:tc>
      </w:tr>
    </w:tbl>
    <w:p w14:paraId="205B677B" w14:textId="77777777" w:rsidR="0050686C" w:rsidRPr="00092862" w:rsidRDefault="0050686C" w:rsidP="0050686C">
      <w:pPr>
        <w:pStyle w:val="afffff6"/>
        <w:ind w:firstLine="482"/>
        <w:rPr>
          <w:color w:val="000000" w:themeColor="text1"/>
        </w:rPr>
      </w:pPr>
      <w:r w:rsidRPr="00092862">
        <w:rPr>
          <w:b/>
          <w:bCs/>
          <w:color w:val="000000" w:themeColor="text1"/>
        </w:rPr>
        <w:t>钻井液性质及作用：</w:t>
      </w:r>
      <w:r w:rsidRPr="00092862">
        <w:rPr>
          <w:color w:val="000000" w:themeColor="text1"/>
        </w:rPr>
        <w:t>钻井液是钻探过程中，孔内使用的循环冲洗介质。钻</w:t>
      </w:r>
      <w:r w:rsidRPr="00092862">
        <w:rPr>
          <w:color w:val="000000" w:themeColor="text1"/>
        </w:rPr>
        <w:lastRenderedPageBreak/>
        <w:t>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14:paraId="6D9DA67C" w14:textId="77777777" w:rsidR="0050686C" w:rsidRPr="00092862" w:rsidRDefault="0050686C" w:rsidP="0050686C">
      <w:pPr>
        <w:pStyle w:val="afffff6"/>
        <w:ind w:firstLine="482"/>
        <w:rPr>
          <w:color w:val="000000" w:themeColor="text1"/>
        </w:rPr>
      </w:pPr>
      <w:r w:rsidRPr="00092862">
        <w:rPr>
          <w:b/>
          <w:bCs/>
          <w:color w:val="000000" w:themeColor="text1"/>
        </w:rPr>
        <w:t>钻井液主要功用：</w:t>
      </w:r>
      <w:r w:rsidRPr="00092862">
        <w:rPr>
          <w:rFonts w:ascii="宋体" w:hAnsi="宋体" w:cs="宋体" w:hint="eastAsia"/>
          <w:color w:val="000000" w:themeColor="text1"/>
        </w:rPr>
        <w:t>①</w:t>
      </w:r>
      <w:r w:rsidRPr="00092862">
        <w:rPr>
          <w:color w:val="000000" w:themeColor="text1"/>
        </w:rPr>
        <w:t>冷却钻头、清净孔底、带出岩屑。</w:t>
      </w:r>
      <w:r w:rsidRPr="00092862">
        <w:rPr>
          <w:rFonts w:ascii="宋体" w:hAnsi="宋体" w:cs="宋体" w:hint="eastAsia"/>
          <w:color w:val="000000" w:themeColor="text1"/>
        </w:rPr>
        <w:t>②</w:t>
      </w:r>
      <w:r w:rsidRPr="00092862">
        <w:rPr>
          <w:color w:val="000000" w:themeColor="text1"/>
        </w:rPr>
        <w:t>润滑钻具。</w:t>
      </w:r>
      <w:r w:rsidRPr="00092862">
        <w:rPr>
          <w:rFonts w:ascii="宋体" w:hAnsi="宋体" w:cs="宋体" w:hint="eastAsia"/>
          <w:color w:val="000000" w:themeColor="text1"/>
        </w:rPr>
        <w:t>③</w:t>
      </w:r>
      <w:r w:rsidRPr="00092862">
        <w:rPr>
          <w:color w:val="000000" w:themeColor="text1"/>
        </w:rPr>
        <w:t>停钻时悬浮岩屑，保护孔壁防止坍塌，平衡地层压力、压住高压油气水层。</w:t>
      </w:r>
      <w:r w:rsidRPr="00092862">
        <w:rPr>
          <w:rFonts w:ascii="宋体" w:hAnsi="宋体" w:cs="宋体" w:hint="eastAsia"/>
          <w:color w:val="000000" w:themeColor="text1"/>
        </w:rPr>
        <w:t>④</w:t>
      </w:r>
      <w:r w:rsidRPr="00092862">
        <w:rPr>
          <w:color w:val="000000" w:themeColor="text1"/>
        </w:rPr>
        <w:t>输送岩心，为孔底动力机传递破碎孔底岩石需要的动力等。钻井中钻井液的循环程序包括：钻井、液罐、经泵</w:t>
      </w:r>
      <w:r w:rsidRPr="00092862">
        <w:rPr>
          <w:color w:val="000000" w:themeColor="text1"/>
        </w:rPr>
        <w:t>→</w:t>
      </w:r>
      <w:r w:rsidRPr="00092862">
        <w:rPr>
          <w:color w:val="000000" w:themeColor="text1"/>
        </w:rPr>
        <w:t>地面、管汇</w:t>
      </w:r>
      <w:r w:rsidRPr="00092862">
        <w:rPr>
          <w:color w:val="000000" w:themeColor="text1"/>
        </w:rPr>
        <w:t>→</w:t>
      </w:r>
      <w:r w:rsidRPr="00092862">
        <w:rPr>
          <w:color w:val="000000" w:themeColor="text1"/>
        </w:rPr>
        <w:t>立管</w:t>
      </w:r>
      <w:r w:rsidRPr="00092862">
        <w:rPr>
          <w:color w:val="000000" w:themeColor="text1"/>
        </w:rPr>
        <w:t>→</w:t>
      </w:r>
      <w:r w:rsidRPr="00092862">
        <w:rPr>
          <w:color w:val="000000" w:themeColor="text1"/>
        </w:rPr>
        <w:t>水龙带、水龙头</w:t>
      </w:r>
      <w:r w:rsidRPr="00092862">
        <w:rPr>
          <w:color w:val="000000" w:themeColor="text1"/>
        </w:rPr>
        <w:t>→</w:t>
      </w:r>
      <w:r w:rsidRPr="00092862">
        <w:rPr>
          <w:color w:val="000000" w:themeColor="text1"/>
        </w:rPr>
        <w:t>钻柱内</w:t>
      </w:r>
      <w:r w:rsidRPr="00092862">
        <w:rPr>
          <w:color w:val="000000" w:themeColor="text1"/>
        </w:rPr>
        <w:t>→</w:t>
      </w:r>
      <w:r w:rsidRPr="00092862">
        <w:rPr>
          <w:color w:val="000000" w:themeColor="text1"/>
        </w:rPr>
        <w:t>钻头</w:t>
      </w:r>
      <w:r w:rsidRPr="00092862">
        <w:rPr>
          <w:color w:val="000000" w:themeColor="text1"/>
        </w:rPr>
        <w:t>→</w:t>
      </w:r>
      <w:r w:rsidRPr="00092862">
        <w:rPr>
          <w:color w:val="000000" w:themeColor="text1"/>
        </w:rPr>
        <w:t>钻柱外环形空间</w:t>
      </w:r>
      <w:r w:rsidRPr="00092862">
        <w:rPr>
          <w:color w:val="000000" w:themeColor="text1"/>
        </w:rPr>
        <w:t>→</w:t>
      </w:r>
      <w:r w:rsidRPr="00092862">
        <w:rPr>
          <w:color w:val="000000" w:themeColor="text1"/>
        </w:rPr>
        <w:t>井口、泥浆（钻井液）槽</w:t>
      </w:r>
      <w:r w:rsidRPr="00092862">
        <w:rPr>
          <w:color w:val="000000" w:themeColor="text1"/>
        </w:rPr>
        <w:t>→</w:t>
      </w:r>
      <w:r w:rsidRPr="00092862">
        <w:rPr>
          <w:color w:val="000000" w:themeColor="text1"/>
        </w:rPr>
        <w:t>钻井液净化设备</w:t>
      </w:r>
      <w:r w:rsidRPr="00092862">
        <w:rPr>
          <w:color w:val="000000" w:themeColor="text1"/>
        </w:rPr>
        <w:t>→</w:t>
      </w:r>
      <w:r w:rsidRPr="00092862">
        <w:rPr>
          <w:color w:val="000000" w:themeColor="text1"/>
        </w:rPr>
        <w:t>钻井液罐。</w:t>
      </w:r>
    </w:p>
    <w:p w14:paraId="5408C3DA" w14:textId="77777777" w:rsidR="0050686C" w:rsidRPr="00092862" w:rsidRDefault="0050686C" w:rsidP="0050686C">
      <w:pPr>
        <w:pStyle w:val="afffff6"/>
        <w:ind w:firstLine="482"/>
        <w:rPr>
          <w:color w:val="000000" w:themeColor="text1"/>
        </w:rPr>
      </w:pPr>
      <w:r w:rsidRPr="00092862">
        <w:rPr>
          <w:b/>
          <w:bCs/>
          <w:color w:val="000000" w:themeColor="text1"/>
        </w:rPr>
        <w:t>本工程钻井液类型及组成：</w:t>
      </w:r>
      <w:r w:rsidRPr="00092862">
        <w:rPr>
          <w:color w:val="000000" w:themeColor="text1"/>
        </w:rPr>
        <w:t>钻井液的类型较多，根据不同的地层地质情况，选用不同的泥浆。泥浆主要分为水基钻井液和油基钻井液两种基本类型，本工程仅采用水基钻井液，不使用油基钻井液钻井。</w:t>
      </w:r>
    </w:p>
    <w:p w14:paraId="6F4E761B" w14:textId="227F4BA7" w:rsidR="0050686C" w:rsidRPr="00092862" w:rsidRDefault="0050686C" w:rsidP="0050686C">
      <w:pPr>
        <w:pStyle w:val="afffff6"/>
        <w:ind w:firstLine="482"/>
        <w:rPr>
          <w:color w:val="000000" w:themeColor="text1"/>
        </w:rPr>
      </w:pPr>
      <w:r w:rsidRPr="00092862">
        <w:rPr>
          <w:b/>
          <w:bCs/>
          <w:color w:val="000000" w:themeColor="text1"/>
        </w:rPr>
        <w:t>水基钻井液</w:t>
      </w:r>
      <w:r w:rsidRPr="00092862">
        <w:rPr>
          <w:color w:val="000000" w:themeColor="text1"/>
        </w:rPr>
        <w:t>由清水、增稠剂、抑制剂、防塌剂、堵塞剂、碱度调节剂、杀菌剂、加重剂等组成。实际钻井过程中，根据钻井深度、泥浆比重要求、地质等实际情况进行相应调整。</w:t>
      </w:r>
    </w:p>
    <w:p w14:paraId="3015E9F0" w14:textId="77777777" w:rsidR="0050686C" w:rsidRPr="00092862" w:rsidRDefault="0050686C" w:rsidP="0050686C">
      <w:pPr>
        <w:pStyle w:val="afffff6"/>
        <w:ind w:firstLine="480"/>
        <w:rPr>
          <w:color w:val="000000" w:themeColor="text1"/>
        </w:rPr>
      </w:pPr>
      <w:r w:rsidRPr="00092862">
        <w:rPr>
          <w:color w:val="000000" w:themeColor="text1"/>
        </w:rPr>
        <w:t>本工程钻井液成分：钻井液成分主要含水、有机物、一般金属盐和碱等，不含重金属。因此，本工程钻井液主要污染物为</w:t>
      </w:r>
      <w:r w:rsidRPr="00092862">
        <w:rPr>
          <w:color w:val="000000" w:themeColor="text1"/>
        </w:rPr>
        <w:t>COD</w:t>
      </w:r>
      <w:r w:rsidRPr="00092862">
        <w:rPr>
          <w:color w:val="000000" w:themeColor="text1"/>
        </w:rPr>
        <w:t>、</w:t>
      </w:r>
      <w:r w:rsidRPr="00092862">
        <w:rPr>
          <w:color w:val="000000" w:themeColor="text1"/>
        </w:rPr>
        <w:t>SS</w:t>
      </w:r>
      <w:r w:rsidRPr="00092862">
        <w:rPr>
          <w:color w:val="000000" w:themeColor="text1"/>
        </w:rPr>
        <w:t>、高</w:t>
      </w:r>
      <w:r w:rsidRPr="00092862">
        <w:rPr>
          <w:color w:val="000000" w:themeColor="text1"/>
        </w:rPr>
        <w:t>pH</w:t>
      </w:r>
      <w:r w:rsidRPr="00092862">
        <w:rPr>
          <w:color w:val="000000" w:themeColor="text1"/>
        </w:rPr>
        <w:t>值，最终完井时钻井液</w:t>
      </w:r>
      <w:r w:rsidRPr="00092862">
        <w:rPr>
          <w:color w:val="000000" w:themeColor="text1"/>
        </w:rPr>
        <w:t>pH</w:t>
      </w:r>
      <w:r w:rsidRPr="00092862">
        <w:rPr>
          <w:color w:val="000000" w:themeColor="text1"/>
        </w:rPr>
        <w:t>值达到</w:t>
      </w:r>
      <w:r w:rsidRPr="00092862">
        <w:rPr>
          <w:color w:val="000000" w:themeColor="text1"/>
        </w:rPr>
        <w:t>9~11</w:t>
      </w:r>
      <w:r w:rsidRPr="00092862">
        <w:rPr>
          <w:color w:val="000000" w:themeColor="text1"/>
        </w:rPr>
        <w:t>。工程所用钻井液体系及成分见下表：</w:t>
      </w:r>
    </w:p>
    <w:p w14:paraId="53BC670A" w14:textId="4073EA8C" w:rsidR="0050686C" w:rsidRPr="00092862" w:rsidRDefault="0050686C"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40AD" w:rsidRPr="00092862">
        <w:rPr>
          <w:rFonts w:ascii="Times New Roman" w:eastAsia="黑体" w:hAnsi="Times New Roman"/>
          <w:color w:val="000000" w:themeColor="text1"/>
          <w:sz w:val="21"/>
          <w:szCs w:val="21"/>
          <w:lang w:eastAsia="zh-CN"/>
        </w:rPr>
        <w:t>3.2-</w:t>
      </w:r>
      <w:r w:rsidR="001F5ACB" w:rsidRPr="00092862">
        <w:rPr>
          <w:rFonts w:ascii="Times New Roman" w:eastAsia="黑体" w:hAnsi="Times New Roman"/>
          <w:color w:val="000000" w:themeColor="text1"/>
          <w:sz w:val="21"/>
          <w:szCs w:val="21"/>
          <w:lang w:eastAsia="zh-CN"/>
        </w:rPr>
        <w:t>21</w:t>
      </w:r>
      <w:r w:rsidR="002C40AD"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工程钻井液体系及成分</w:t>
      </w:r>
    </w:p>
    <w:tbl>
      <w:tblPr>
        <w:tblStyle w:val="aff"/>
        <w:tblW w:w="0" w:type="auto"/>
        <w:tblLook w:val="04A0" w:firstRow="1" w:lastRow="0" w:firstColumn="1" w:lastColumn="0" w:noHBand="0" w:noVBand="1"/>
      </w:tblPr>
      <w:tblGrid>
        <w:gridCol w:w="558"/>
        <w:gridCol w:w="766"/>
        <w:gridCol w:w="865"/>
        <w:gridCol w:w="6111"/>
      </w:tblGrid>
      <w:tr w:rsidR="00697429" w:rsidRPr="00092862" w14:paraId="39D9703E" w14:textId="77777777" w:rsidTr="00E74664">
        <w:tc>
          <w:tcPr>
            <w:tcW w:w="0" w:type="auto"/>
            <w:vAlign w:val="center"/>
          </w:tcPr>
          <w:p w14:paraId="7DC9D614" w14:textId="77777777"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开钻序号</w:t>
            </w:r>
          </w:p>
        </w:tc>
        <w:tc>
          <w:tcPr>
            <w:tcW w:w="0" w:type="auto"/>
            <w:vAlign w:val="center"/>
          </w:tcPr>
          <w:p w14:paraId="4326A93D" w14:textId="77777777"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井眼尺寸</w:t>
            </w:r>
          </w:p>
        </w:tc>
        <w:tc>
          <w:tcPr>
            <w:tcW w:w="0" w:type="auto"/>
            <w:vAlign w:val="center"/>
          </w:tcPr>
          <w:p w14:paraId="0F68197D" w14:textId="77777777"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钻井液体系</w:t>
            </w:r>
          </w:p>
        </w:tc>
        <w:tc>
          <w:tcPr>
            <w:tcW w:w="0" w:type="auto"/>
            <w:vAlign w:val="center"/>
          </w:tcPr>
          <w:p w14:paraId="27A68217" w14:textId="77777777"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主要成分</w:t>
            </w:r>
          </w:p>
        </w:tc>
      </w:tr>
      <w:tr w:rsidR="008B37BB" w:rsidRPr="00092862" w14:paraId="6B40B309" w14:textId="77777777" w:rsidTr="00E74664">
        <w:tc>
          <w:tcPr>
            <w:tcW w:w="0" w:type="auto"/>
            <w:vAlign w:val="center"/>
          </w:tcPr>
          <w:p w14:paraId="65B3C3BA" w14:textId="0BC91E93" w:rsidR="00035523" w:rsidRPr="00092862" w:rsidRDefault="0019648E"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钻井</w:t>
            </w:r>
          </w:p>
        </w:tc>
        <w:tc>
          <w:tcPr>
            <w:tcW w:w="0" w:type="auto"/>
            <w:vAlign w:val="center"/>
          </w:tcPr>
          <w:p w14:paraId="3C68A22B" w14:textId="77777777"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149.2</w:t>
            </w:r>
          </w:p>
        </w:tc>
        <w:tc>
          <w:tcPr>
            <w:tcW w:w="0" w:type="auto"/>
            <w:vAlign w:val="center"/>
          </w:tcPr>
          <w:p w14:paraId="59127C67" w14:textId="6237F3FC"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封堵性聚合物防塌钻井液</w:t>
            </w:r>
          </w:p>
        </w:tc>
        <w:tc>
          <w:tcPr>
            <w:tcW w:w="0" w:type="auto"/>
            <w:vAlign w:val="center"/>
          </w:tcPr>
          <w:p w14:paraId="353B55B5" w14:textId="6F444268"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钻井液基本配方：</w:t>
            </w:r>
            <w:r w:rsidRPr="00092862">
              <w:rPr>
                <w:color w:val="000000" w:themeColor="text1"/>
                <w:sz w:val="21"/>
                <w:szCs w:val="21"/>
              </w:rPr>
              <w:t>3%</w:t>
            </w:r>
            <w:r w:rsidRPr="00092862">
              <w:rPr>
                <w:color w:val="000000" w:themeColor="text1"/>
                <w:sz w:val="21"/>
                <w:szCs w:val="21"/>
              </w:rPr>
              <w:t>膨润土</w:t>
            </w:r>
            <w:r w:rsidRPr="00092862">
              <w:rPr>
                <w:color w:val="000000" w:themeColor="text1"/>
                <w:sz w:val="21"/>
                <w:szCs w:val="21"/>
              </w:rPr>
              <w:t>+0.5</w:t>
            </w:r>
            <w:r w:rsidRPr="00092862">
              <w:rPr>
                <w:color w:val="000000" w:themeColor="text1"/>
                <w:sz w:val="21"/>
                <w:szCs w:val="21"/>
              </w:rPr>
              <w:t>～</w:t>
            </w:r>
            <w:r w:rsidRPr="00092862">
              <w:rPr>
                <w:color w:val="000000" w:themeColor="text1"/>
                <w:sz w:val="21"/>
                <w:szCs w:val="21"/>
              </w:rPr>
              <w:t>0.8%NaOH+0.3</w:t>
            </w:r>
            <w:r w:rsidRPr="00092862">
              <w:rPr>
                <w:color w:val="000000" w:themeColor="text1"/>
                <w:sz w:val="21"/>
                <w:szCs w:val="21"/>
              </w:rPr>
              <w:t>～</w:t>
            </w:r>
            <w:r w:rsidRPr="00092862">
              <w:rPr>
                <w:color w:val="000000" w:themeColor="text1"/>
                <w:sz w:val="21"/>
                <w:szCs w:val="21"/>
              </w:rPr>
              <w:t>0.5%CMP-1+1</w:t>
            </w:r>
            <w:r w:rsidRPr="00092862">
              <w:rPr>
                <w:color w:val="000000" w:themeColor="text1"/>
                <w:sz w:val="21"/>
                <w:szCs w:val="21"/>
              </w:rPr>
              <w:t>～</w:t>
            </w:r>
            <w:r w:rsidRPr="00092862">
              <w:rPr>
                <w:color w:val="000000" w:themeColor="text1"/>
                <w:sz w:val="21"/>
                <w:szCs w:val="21"/>
              </w:rPr>
              <w:t>1.5% DR-Ⅱ (</w:t>
            </w:r>
            <w:r w:rsidRPr="00092862">
              <w:rPr>
                <w:color w:val="000000" w:themeColor="text1"/>
                <w:sz w:val="21"/>
                <w:szCs w:val="21"/>
              </w:rPr>
              <w:t>或</w:t>
            </w:r>
            <w:r w:rsidRPr="00092862">
              <w:rPr>
                <w:color w:val="000000" w:themeColor="text1"/>
                <w:sz w:val="21"/>
                <w:szCs w:val="21"/>
              </w:rPr>
              <w:t>JMP-1)+3</w:t>
            </w:r>
            <w:r w:rsidRPr="00092862">
              <w:rPr>
                <w:color w:val="000000" w:themeColor="text1"/>
                <w:sz w:val="21"/>
                <w:szCs w:val="21"/>
              </w:rPr>
              <w:t>～</w:t>
            </w:r>
            <w:r w:rsidRPr="00092862">
              <w:rPr>
                <w:color w:val="000000" w:themeColor="text1"/>
                <w:sz w:val="21"/>
                <w:szCs w:val="21"/>
              </w:rPr>
              <w:t>5%</w:t>
            </w:r>
            <w:r w:rsidRPr="00092862">
              <w:rPr>
                <w:color w:val="000000" w:themeColor="text1"/>
                <w:sz w:val="21"/>
                <w:szCs w:val="21"/>
              </w:rPr>
              <w:t>抗盐抗高温降失水剂</w:t>
            </w:r>
            <w:r w:rsidRPr="00092862">
              <w:rPr>
                <w:color w:val="000000" w:themeColor="text1"/>
                <w:sz w:val="21"/>
                <w:szCs w:val="21"/>
              </w:rPr>
              <w:t>+3</w:t>
            </w:r>
            <w:r w:rsidRPr="00092862">
              <w:rPr>
                <w:color w:val="000000" w:themeColor="text1"/>
                <w:sz w:val="21"/>
                <w:szCs w:val="21"/>
              </w:rPr>
              <w:t>～</w:t>
            </w:r>
            <w:r w:rsidRPr="00092862">
              <w:rPr>
                <w:color w:val="000000" w:themeColor="text1"/>
                <w:sz w:val="21"/>
                <w:szCs w:val="21"/>
              </w:rPr>
              <w:t>4%</w:t>
            </w:r>
            <w:r w:rsidRPr="00092862">
              <w:rPr>
                <w:color w:val="000000" w:themeColor="text1"/>
                <w:sz w:val="21"/>
                <w:szCs w:val="21"/>
              </w:rPr>
              <w:t>无荧光防塌剂</w:t>
            </w:r>
            <w:r w:rsidRPr="00092862">
              <w:rPr>
                <w:color w:val="000000" w:themeColor="text1"/>
                <w:sz w:val="21"/>
                <w:szCs w:val="21"/>
              </w:rPr>
              <w:t>+2</w:t>
            </w:r>
            <w:r w:rsidRPr="00092862">
              <w:rPr>
                <w:color w:val="000000" w:themeColor="text1"/>
                <w:sz w:val="21"/>
                <w:szCs w:val="21"/>
              </w:rPr>
              <w:t>～</w:t>
            </w:r>
            <w:r w:rsidRPr="00092862">
              <w:rPr>
                <w:color w:val="000000" w:themeColor="text1"/>
                <w:sz w:val="21"/>
                <w:szCs w:val="21"/>
              </w:rPr>
              <w:t>3%SD-202+4</w:t>
            </w:r>
            <w:r w:rsidRPr="00092862">
              <w:rPr>
                <w:color w:val="000000" w:themeColor="text1"/>
                <w:sz w:val="21"/>
                <w:szCs w:val="21"/>
              </w:rPr>
              <w:t>～</w:t>
            </w:r>
            <w:r w:rsidRPr="00092862">
              <w:rPr>
                <w:color w:val="000000" w:themeColor="text1"/>
                <w:sz w:val="21"/>
                <w:szCs w:val="21"/>
              </w:rPr>
              <w:t>6%</w:t>
            </w:r>
            <w:r w:rsidRPr="00092862">
              <w:rPr>
                <w:color w:val="000000" w:themeColor="text1"/>
                <w:sz w:val="21"/>
                <w:szCs w:val="21"/>
              </w:rPr>
              <w:t>聚合醇防塌剂</w:t>
            </w:r>
            <w:r w:rsidRPr="00092862">
              <w:rPr>
                <w:color w:val="000000" w:themeColor="text1"/>
                <w:sz w:val="21"/>
                <w:szCs w:val="21"/>
              </w:rPr>
              <w:t>PEG+2</w:t>
            </w:r>
            <w:r w:rsidRPr="00092862">
              <w:rPr>
                <w:color w:val="000000" w:themeColor="text1"/>
                <w:sz w:val="21"/>
                <w:szCs w:val="21"/>
              </w:rPr>
              <w:t>～</w:t>
            </w:r>
            <w:r w:rsidRPr="00092862">
              <w:rPr>
                <w:color w:val="000000" w:themeColor="text1"/>
                <w:sz w:val="21"/>
                <w:szCs w:val="21"/>
              </w:rPr>
              <w:t>3%</w:t>
            </w:r>
            <w:r w:rsidRPr="00092862">
              <w:rPr>
                <w:color w:val="000000" w:themeColor="text1"/>
                <w:sz w:val="21"/>
                <w:szCs w:val="21"/>
              </w:rPr>
              <w:t>低荧光封堵防塌剂</w:t>
            </w:r>
            <w:r w:rsidRPr="00092862">
              <w:rPr>
                <w:color w:val="000000" w:themeColor="text1"/>
                <w:sz w:val="21"/>
                <w:szCs w:val="21"/>
              </w:rPr>
              <w:t>+2%KSY+5</w:t>
            </w:r>
            <w:r w:rsidRPr="00092862">
              <w:rPr>
                <w:color w:val="000000" w:themeColor="text1"/>
                <w:sz w:val="21"/>
                <w:szCs w:val="21"/>
              </w:rPr>
              <w:t>～</w:t>
            </w:r>
            <w:r w:rsidRPr="00092862">
              <w:rPr>
                <w:color w:val="000000" w:themeColor="text1"/>
                <w:sz w:val="21"/>
                <w:szCs w:val="21"/>
              </w:rPr>
              <w:t>8%</w:t>
            </w:r>
            <w:r w:rsidRPr="00092862">
              <w:rPr>
                <w:color w:val="000000" w:themeColor="text1"/>
                <w:sz w:val="21"/>
                <w:szCs w:val="21"/>
              </w:rPr>
              <w:t>乳化石蜡基润滑剂</w:t>
            </w:r>
          </w:p>
          <w:p w14:paraId="4053D5DF" w14:textId="77777777" w:rsidR="00035523" w:rsidRPr="00092862" w:rsidRDefault="00035523" w:rsidP="00E74664">
            <w:pPr>
              <w:pStyle w:val="afffff6"/>
              <w:spacing w:line="240" w:lineRule="auto"/>
              <w:ind w:firstLineChars="0" w:firstLine="0"/>
              <w:jc w:val="center"/>
              <w:rPr>
                <w:color w:val="000000" w:themeColor="text1"/>
                <w:sz w:val="21"/>
                <w:szCs w:val="21"/>
              </w:rPr>
            </w:pPr>
            <w:r w:rsidRPr="00092862">
              <w:rPr>
                <w:color w:val="000000" w:themeColor="text1"/>
                <w:sz w:val="21"/>
                <w:szCs w:val="21"/>
              </w:rPr>
              <w:t>处理添加剂：</w:t>
            </w:r>
            <w:r w:rsidRPr="00092862">
              <w:rPr>
                <w:color w:val="000000" w:themeColor="text1"/>
                <w:sz w:val="21"/>
                <w:szCs w:val="21"/>
              </w:rPr>
              <w:t>SF-1</w:t>
            </w:r>
            <w:r w:rsidRPr="00092862">
              <w:rPr>
                <w:color w:val="000000" w:themeColor="text1"/>
                <w:sz w:val="21"/>
                <w:szCs w:val="21"/>
              </w:rPr>
              <w:t>、</w:t>
            </w:r>
            <w:r w:rsidRPr="00092862">
              <w:rPr>
                <w:color w:val="000000" w:themeColor="text1"/>
                <w:sz w:val="21"/>
                <w:szCs w:val="21"/>
              </w:rPr>
              <w:t>SF-4</w:t>
            </w:r>
            <w:r w:rsidRPr="00092862">
              <w:rPr>
                <w:color w:val="000000" w:themeColor="text1"/>
                <w:sz w:val="21"/>
                <w:szCs w:val="21"/>
              </w:rPr>
              <w:t>、</w:t>
            </w:r>
            <w:r w:rsidRPr="00092862">
              <w:rPr>
                <w:color w:val="000000" w:themeColor="text1"/>
                <w:sz w:val="21"/>
                <w:szCs w:val="21"/>
              </w:rPr>
              <w:t>SK-Ⅱ</w:t>
            </w:r>
            <w:r w:rsidRPr="00092862">
              <w:rPr>
                <w:color w:val="000000" w:themeColor="text1"/>
                <w:sz w:val="21"/>
                <w:szCs w:val="21"/>
              </w:rPr>
              <w:t>、固体润滑剂、石灰、加重剂、除硫剂、堵漏剂等依需而定</w:t>
            </w:r>
          </w:p>
        </w:tc>
      </w:tr>
    </w:tbl>
    <w:p w14:paraId="39C9E140" w14:textId="02CD4BE9" w:rsidR="00E51D58" w:rsidRPr="00092862" w:rsidRDefault="00E51D58" w:rsidP="00E51D58">
      <w:pPr>
        <w:autoSpaceDE w:val="0"/>
        <w:autoSpaceDN w:val="0"/>
        <w:adjustRightInd w:val="0"/>
        <w:snapToGrid w:val="0"/>
        <w:spacing w:beforeLines="50" w:before="120" w:line="360" w:lineRule="auto"/>
        <w:ind w:firstLineChars="200" w:firstLine="482"/>
        <w:textAlignment w:val="baseline"/>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0050686C" w:rsidRPr="00092862">
        <w:rPr>
          <w:rFonts w:ascii="Times New Roman" w:eastAsia="宋体" w:hAnsi="Times New Roman" w:cs="Times New Roman"/>
          <w:b/>
          <w:bCs/>
          <w:color w:val="000000" w:themeColor="text1"/>
          <w:sz w:val="24"/>
          <w:szCs w:val="24"/>
        </w:rPr>
        <w:t>2</w:t>
      </w:r>
      <w:r w:rsidR="003B1968" w:rsidRPr="00092862">
        <w:rPr>
          <w:rFonts w:ascii="Times New Roman" w:eastAsia="宋体" w:hAnsi="Times New Roman" w:cs="Times New Roman"/>
          <w:b/>
          <w:bCs/>
          <w:color w:val="000000" w:themeColor="text1"/>
          <w:sz w:val="24"/>
          <w:szCs w:val="24"/>
        </w:rPr>
        <w:t>）固井作业</w:t>
      </w:r>
      <w:r w:rsidRPr="00092862">
        <w:rPr>
          <w:rFonts w:ascii="Times New Roman" w:eastAsia="宋体" w:hAnsi="Times New Roman" w:cs="Times New Roman"/>
          <w:b/>
          <w:bCs/>
          <w:color w:val="000000" w:themeColor="text1"/>
          <w:sz w:val="24"/>
          <w:szCs w:val="24"/>
        </w:rPr>
        <w:t>材料消耗</w:t>
      </w:r>
    </w:p>
    <w:p w14:paraId="319D0CF3" w14:textId="3F9268BC" w:rsidR="00035523" w:rsidRPr="00092862" w:rsidRDefault="00035523" w:rsidP="00E51D58">
      <w:pPr>
        <w:autoSpaceDE w:val="0"/>
        <w:autoSpaceDN w:val="0"/>
        <w:adjustRightInd w:val="0"/>
        <w:snapToGrid w:val="0"/>
        <w:spacing w:line="360" w:lineRule="auto"/>
        <w:ind w:firstLine="482"/>
        <w:textAlignment w:val="baseline"/>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）水泥浆体系</w:t>
      </w:r>
    </w:p>
    <w:p w14:paraId="46F38D07" w14:textId="557F3887" w:rsidR="00035523" w:rsidRPr="00092862" w:rsidRDefault="00035523" w:rsidP="00E51D58">
      <w:pPr>
        <w:autoSpaceDE w:val="0"/>
        <w:autoSpaceDN w:val="0"/>
        <w:adjustRightInd w:val="0"/>
        <w:snapToGrid w:val="0"/>
        <w:spacing w:line="360" w:lineRule="auto"/>
        <w:ind w:firstLine="482"/>
        <w:textAlignment w:val="baseline"/>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水泥浆体系设计</w:t>
      </w:r>
    </w:p>
    <w:p w14:paraId="26700E1D" w14:textId="37119DDF" w:rsidR="00035523" w:rsidRPr="00092862" w:rsidRDefault="005C17E9" w:rsidP="00E51D58">
      <w:pPr>
        <w:autoSpaceDE w:val="0"/>
        <w:autoSpaceDN w:val="0"/>
        <w:adjustRightInd w:val="0"/>
        <w:snapToGrid w:val="0"/>
        <w:spacing w:line="360" w:lineRule="auto"/>
        <w:ind w:firstLine="482"/>
        <w:textAlignment w:val="baseline"/>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井</w:t>
      </w:r>
      <w:r w:rsidR="00035523" w:rsidRPr="00092862">
        <w:rPr>
          <w:rFonts w:ascii="Times New Roman" w:eastAsia="宋体" w:hAnsi="Times New Roman" w:cs="Times New Roman"/>
          <w:color w:val="000000" w:themeColor="text1"/>
          <w:sz w:val="24"/>
          <w:szCs w:val="24"/>
        </w:rPr>
        <w:t>采用胶乳防窜水泥浆体系。</w:t>
      </w:r>
    </w:p>
    <w:p w14:paraId="57CC9FE8" w14:textId="2816CB24" w:rsidR="00035523" w:rsidRPr="00092862" w:rsidRDefault="00035523" w:rsidP="00E51D58">
      <w:pPr>
        <w:autoSpaceDE w:val="0"/>
        <w:autoSpaceDN w:val="0"/>
        <w:adjustRightInd w:val="0"/>
        <w:snapToGrid w:val="0"/>
        <w:spacing w:line="360" w:lineRule="auto"/>
        <w:ind w:firstLine="482"/>
        <w:textAlignment w:val="baseline"/>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00BF2B81" w:rsidRPr="00092862">
        <w:rPr>
          <w:rFonts w:ascii="Times New Roman" w:eastAsia="宋体" w:hAnsi="Times New Roman" w:cs="Times New Roman"/>
          <w:color w:val="000000" w:themeColor="text1"/>
          <w:sz w:val="24"/>
          <w:szCs w:val="24"/>
        </w:rPr>
        <w:t>注水泥设计</w:t>
      </w:r>
    </w:p>
    <w:p w14:paraId="05EDA45F" w14:textId="494DA426" w:rsidR="00BF2B81" w:rsidRPr="00092862" w:rsidRDefault="00BF2B81" w:rsidP="001F5ACB">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1F5ACB" w:rsidRPr="00092862">
        <w:rPr>
          <w:rFonts w:ascii="Times New Roman" w:eastAsia="黑体" w:hAnsi="Times New Roman"/>
          <w:color w:val="000000" w:themeColor="text1"/>
          <w:sz w:val="21"/>
          <w:szCs w:val="21"/>
          <w:lang w:eastAsia="zh-CN"/>
        </w:rPr>
        <w:t xml:space="preserve">3.2-22 </w:t>
      </w:r>
      <w:r w:rsidRPr="00092862">
        <w:rPr>
          <w:rFonts w:ascii="Times New Roman" w:eastAsia="黑体" w:hAnsi="Times New Roman"/>
          <w:color w:val="000000" w:themeColor="text1"/>
          <w:sz w:val="21"/>
          <w:szCs w:val="21"/>
          <w:lang w:eastAsia="zh-CN"/>
        </w:rPr>
        <w:t xml:space="preserve"> </w:t>
      </w:r>
      <w:r w:rsidR="00520439" w:rsidRPr="00092862">
        <w:rPr>
          <w:rFonts w:ascii="Times New Roman" w:eastAsia="黑体" w:hAnsi="Times New Roman"/>
          <w:color w:val="000000" w:themeColor="text1"/>
          <w:sz w:val="21"/>
          <w:szCs w:val="21"/>
          <w:lang w:eastAsia="zh-CN"/>
        </w:rPr>
        <w:t>老君</w:t>
      </w:r>
      <w:r w:rsidR="004D07D0" w:rsidRPr="00092862">
        <w:rPr>
          <w:rFonts w:ascii="Times New Roman" w:eastAsia="黑体" w:hAnsi="Times New Roman"/>
          <w:color w:val="000000" w:themeColor="text1"/>
          <w:sz w:val="21"/>
          <w:szCs w:val="21"/>
          <w:lang w:eastAsia="zh-CN"/>
        </w:rPr>
        <w:t>701-</w:t>
      </w:r>
      <w:r w:rsidR="00507764" w:rsidRPr="00092862">
        <w:rPr>
          <w:rFonts w:ascii="Times New Roman" w:eastAsia="黑体" w:hAnsi="Times New Roman"/>
          <w:color w:val="000000" w:themeColor="text1"/>
          <w:sz w:val="21"/>
          <w:szCs w:val="21"/>
          <w:lang w:eastAsia="zh-CN"/>
        </w:rPr>
        <w:t>4H</w:t>
      </w:r>
      <w:r w:rsidRPr="00092862">
        <w:rPr>
          <w:rFonts w:ascii="Times New Roman" w:eastAsia="黑体" w:hAnsi="Times New Roman"/>
          <w:color w:val="000000" w:themeColor="text1"/>
          <w:sz w:val="21"/>
          <w:szCs w:val="21"/>
          <w:lang w:eastAsia="zh-CN"/>
        </w:rPr>
        <w:t>注水泥设计表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886"/>
        <w:gridCol w:w="1316"/>
        <w:gridCol w:w="989"/>
        <w:gridCol w:w="865"/>
        <w:gridCol w:w="1139"/>
        <w:gridCol w:w="634"/>
        <w:gridCol w:w="626"/>
        <w:gridCol w:w="860"/>
      </w:tblGrid>
      <w:tr w:rsidR="00697429" w:rsidRPr="00092862" w14:paraId="00DB0BCD" w14:textId="77777777" w:rsidTr="00BF2B81">
        <w:trPr>
          <w:trHeight w:val="543"/>
        </w:trPr>
        <w:tc>
          <w:tcPr>
            <w:tcW w:w="593" w:type="pct"/>
            <w:vAlign w:val="center"/>
          </w:tcPr>
          <w:p w14:paraId="08C796A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开钻</w:t>
            </w:r>
          </w:p>
          <w:p w14:paraId="6BEB1261"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534" w:type="pct"/>
            <w:vAlign w:val="center"/>
          </w:tcPr>
          <w:p w14:paraId="342CF64B"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套管</w:t>
            </w:r>
          </w:p>
          <w:p w14:paraId="3BF17A2E"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外径</w:t>
            </w:r>
          </w:p>
          <w:p w14:paraId="39E915DF"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mm</w:t>
            </w:r>
          </w:p>
        </w:tc>
        <w:tc>
          <w:tcPr>
            <w:tcW w:w="793" w:type="pct"/>
            <w:vAlign w:val="center"/>
          </w:tcPr>
          <w:p w14:paraId="3DF8D9B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套管</w:t>
            </w:r>
          </w:p>
          <w:p w14:paraId="0EC502D2"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下深</w:t>
            </w:r>
          </w:p>
          <w:p w14:paraId="3709F4C0"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w:t>
            </w:r>
          </w:p>
        </w:tc>
        <w:tc>
          <w:tcPr>
            <w:tcW w:w="596" w:type="pct"/>
            <w:vAlign w:val="center"/>
          </w:tcPr>
          <w:p w14:paraId="13FF4803" w14:textId="77777777" w:rsidR="00BF2B81" w:rsidRPr="00092862" w:rsidRDefault="00BF2B81" w:rsidP="00B94353">
            <w:pPr>
              <w:ind w:leftChars="-38" w:left="-80" w:rightChars="-34" w:right="-71"/>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固井时钻</w:t>
            </w:r>
          </w:p>
          <w:p w14:paraId="437A61E6" w14:textId="77777777" w:rsidR="00BF2B81" w:rsidRPr="00092862" w:rsidRDefault="00BF2B81" w:rsidP="00B94353">
            <w:pPr>
              <w:ind w:leftChars="-38" w:left="-80" w:rightChars="-34" w:right="-71"/>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井液密度</w:t>
            </w:r>
          </w:p>
          <w:p w14:paraId="490A80FB" w14:textId="77777777" w:rsidR="00BF2B81" w:rsidRPr="00092862" w:rsidRDefault="00BF2B81" w:rsidP="00B94353">
            <w:pPr>
              <w:ind w:leftChars="-38" w:left="-80" w:rightChars="-34" w:right="-71"/>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g/cm</w:t>
            </w:r>
            <w:r w:rsidRPr="00092862">
              <w:rPr>
                <w:rFonts w:ascii="Times New Roman" w:eastAsia="宋体" w:hAnsi="Times New Roman" w:cs="Times New Roman"/>
                <w:color w:val="000000" w:themeColor="text1"/>
                <w:szCs w:val="21"/>
                <w:vertAlign w:val="superscript"/>
              </w:rPr>
              <w:t>3</w:t>
            </w:r>
          </w:p>
        </w:tc>
        <w:tc>
          <w:tcPr>
            <w:tcW w:w="521" w:type="pct"/>
            <w:vAlign w:val="center"/>
          </w:tcPr>
          <w:p w14:paraId="33030184" w14:textId="77777777" w:rsidR="00BF2B81" w:rsidRPr="00092862" w:rsidRDefault="00BF2B81" w:rsidP="00B94353">
            <w:pPr>
              <w:autoSpaceDE w:val="0"/>
              <w:autoSpaceDN w:val="0"/>
              <w:adjustRightInd w:val="0"/>
              <w:ind w:leftChars="-38" w:rightChars="-34" w:right="-71" w:hangingChars="38" w:hanging="80"/>
              <w:jc w:val="center"/>
              <w:rPr>
                <w:rFonts w:ascii="Times New Roman" w:eastAsia="宋体" w:hAnsi="Times New Roman" w:cs="Times New Roman"/>
                <w:color w:val="000000" w:themeColor="text1"/>
                <w:szCs w:val="21"/>
                <w:lang w:val="zh-CN"/>
              </w:rPr>
            </w:pPr>
            <w:r w:rsidRPr="00092862">
              <w:rPr>
                <w:rFonts w:ascii="Times New Roman" w:eastAsia="宋体" w:hAnsi="Times New Roman" w:cs="Times New Roman"/>
                <w:color w:val="000000" w:themeColor="text1"/>
                <w:szCs w:val="21"/>
                <w:lang w:val="zh-CN"/>
              </w:rPr>
              <w:t>水泥上</w:t>
            </w:r>
          </w:p>
          <w:p w14:paraId="155DE0C0"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返深度</w:t>
            </w:r>
          </w:p>
          <w:p w14:paraId="4D83D747"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w:t>
            </w:r>
          </w:p>
        </w:tc>
        <w:tc>
          <w:tcPr>
            <w:tcW w:w="686" w:type="pct"/>
            <w:vAlign w:val="center"/>
          </w:tcPr>
          <w:p w14:paraId="55E69B1B"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水泥浆</w:t>
            </w:r>
          </w:p>
          <w:p w14:paraId="0AD92C42"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密度</w:t>
            </w:r>
          </w:p>
          <w:p w14:paraId="4883A47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g/cm</w:t>
            </w:r>
            <w:r w:rsidRPr="00092862">
              <w:rPr>
                <w:rFonts w:ascii="Times New Roman" w:eastAsia="宋体" w:hAnsi="Times New Roman" w:cs="Times New Roman"/>
                <w:color w:val="000000" w:themeColor="text1"/>
                <w:szCs w:val="21"/>
                <w:vertAlign w:val="superscript"/>
              </w:rPr>
              <w:t>3</w:t>
            </w:r>
          </w:p>
        </w:tc>
        <w:tc>
          <w:tcPr>
            <w:tcW w:w="382" w:type="pct"/>
            <w:vAlign w:val="center"/>
          </w:tcPr>
          <w:p w14:paraId="7D491D74"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水泥</w:t>
            </w:r>
          </w:p>
          <w:p w14:paraId="78FBDC21"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型号</w:t>
            </w:r>
          </w:p>
        </w:tc>
        <w:tc>
          <w:tcPr>
            <w:tcW w:w="377" w:type="pct"/>
            <w:vAlign w:val="center"/>
          </w:tcPr>
          <w:p w14:paraId="7138DAE4"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注水</w:t>
            </w:r>
          </w:p>
          <w:p w14:paraId="2D32553D"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泥量</w:t>
            </w:r>
          </w:p>
          <w:p w14:paraId="7EFCDB19"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t</w:t>
            </w:r>
          </w:p>
        </w:tc>
        <w:tc>
          <w:tcPr>
            <w:tcW w:w="518" w:type="pct"/>
            <w:vAlign w:val="center"/>
          </w:tcPr>
          <w:p w14:paraId="456E5B6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固井</w:t>
            </w:r>
          </w:p>
          <w:p w14:paraId="35B521B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方式</w:t>
            </w:r>
          </w:p>
        </w:tc>
      </w:tr>
      <w:tr w:rsidR="00697429" w:rsidRPr="00092862" w14:paraId="0C3C8BF8" w14:textId="77777777" w:rsidTr="00BF2B81">
        <w:trPr>
          <w:trHeight w:val="544"/>
        </w:trPr>
        <w:tc>
          <w:tcPr>
            <w:tcW w:w="593" w:type="pct"/>
            <w:vAlign w:val="center"/>
          </w:tcPr>
          <w:p w14:paraId="6E60724A" w14:textId="3BC7514D" w:rsidR="00BF2B81" w:rsidRPr="00092862" w:rsidRDefault="0019648E"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w:t>
            </w:r>
            <w:r w:rsidR="00BF2B81" w:rsidRPr="00092862">
              <w:rPr>
                <w:rFonts w:ascii="Times New Roman" w:eastAsia="宋体" w:hAnsi="Times New Roman" w:cs="Times New Roman"/>
                <w:color w:val="000000" w:themeColor="text1"/>
                <w:szCs w:val="21"/>
              </w:rPr>
              <w:t>段</w:t>
            </w:r>
          </w:p>
        </w:tc>
        <w:tc>
          <w:tcPr>
            <w:tcW w:w="534" w:type="pct"/>
            <w:vAlign w:val="center"/>
          </w:tcPr>
          <w:p w14:paraId="050D7148"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114.3</w:t>
            </w:r>
          </w:p>
        </w:tc>
        <w:tc>
          <w:tcPr>
            <w:tcW w:w="793" w:type="pct"/>
            <w:vAlign w:val="center"/>
          </w:tcPr>
          <w:p w14:paraId="6FBF817D"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4478</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6437</w:t>
            </w:r>
          </w:p>
        </w:tc>
        <w:tc>
          <w:tcPr>
            <w:tcW w:w="596" w:type="pct"/>
            <w:vAlign w:val="center"/>
          </w:tcPr>
          <w:p w14:paraId="20D78A4E"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1.34</w:t>
            </w:r>
          </w:p>
        </w:tc>
        <w:tc>
          <w:tcPr>
            <w:tcW w:w="521" w:type="pct"/>
            <w:vAlign w:val="center"/>
          </w:tcPr>
          <w:p w14:paraId="07E18969"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4025</w:t>
            </w:r>
          </w:p>
        </w:tc>
        <w:tc>
          <w:tcPr>
            <w:tcW w:w="686" w:type="pct"/>
            <w:vAlign w:val="center"/>
          </w:tcPr>
          <w:p w14:paraId="72614806"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1.90</w:t>
            </w:r>
          </w:p>
        </w:tc>
        <w:tc>
          <w:tcPr>
            <w:tcW w:w="382" w:type="pct"/>
            <w:vAlign w:val="center"/>
          </w:tcPr>
          <w:p w14:paraId="191507F1"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G</w:t>
            </w:r>
          </w:p>
        </w:tc>
        <w:tc>
          <w:tcPr>
            <w:tcW w:w="377" w:type="pct"/>
            <w:vAlign w:val="center"/>
          </w:tcPr>
          <w:p w14:paraId="56DE6278"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w:t>
            </w:r>
          </w:p>
        </w:tc>
        <w:tc>
          <w:tcPr>
            <w:tcW w:w="518" w:type="pct"/>
            <w:vAlign w:val="center"/>
          </w:tcPr>
          <w:p w14:paraId="2C747F18"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尾管</w:t>
            </w:r>
          </w:p>
        </w:tc>
      </w:tr>
    </w:tbl>
    <w:p w14:paraId="3AE8C571" w14:textId="11DB9959" w:rsidR="00BF2B81" w:rsidRPr="00092862" w:rsidRDefault="00BF2B81" w:rsidP="002C77F6">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77F6" w:rsidRPr="00092862">
        <w:rPr>
          <w:rFonts w:ascii="Times New Roman" w:eastAsia="黑体" w:hAnsi="Times New Roman"/>
          <w:color w:val="000000" w:themeColor="text1"/>
          <w:sz w:val="21"/>
          <w:szCs w:val="21"/>
          <w:lang w:eastAsia="zh-CN"/>
        </w:rPr>
        <w:t xml:space="preserve">3.2-23 </w:t>
      </w:r>
      <w:r w:rsidRPr="00092862">
        <w:rPr>
          <w:rFonts w:ascii="Times New Roman" w:eastAsia="黑体" w:hAnsi="Times New Roman"/>
          <w:color w:val="000000" w:themeColor="text1"/>
          <w:sz w:val="21"/>
          <w:szCs w:val="21"/>
          <w:lang w:eastAsia="zh-CN"/>
        </w:rPr>
        <w:t xml:space="preserve"> </w:t>
      </w:r>
      <w:r w:rsidR="00520439" w:rsidRPr="00092862">
        <w:rPr>
          <w:rFonts w:ascii="Times New Roman" w:eastAsia="黑体" w:hAnsi="Times New Roman"/>
          <w:color w:val="000000" w:themeColor="text1"/>
          <w:sz w:val="21"/>
          <w:szCs w:val="21"/>
          <w:lang w:eastAsia="zh-CN"/>
        </w:rPr>
        <w:t>老君</w:t>
      </w:r>
      <w:r w:rsidR="004D07D0" w:rsidRPr="00092862">
        <w:rPr>
          <w:rFonts w:ascii="Times New Roman" w:eastAsia="黑体" w:hAnsi="Times New Roman"/>
          <w:color w:val="000000" w:themeColor="text1"/>
          <w:sz w:val="21"/>
          <w:szCs w:val="21"/>
          <w:lang w:eastAsia="zh-CN"/>
        </w:rPr>
        <w:t>701-</w:t>
      </w:r>
      <w:r w:rsidR="00507764" w:rsidRPr="00092862">
        <w:rPr>
          <w:rFonts w:ascii="Times New Roman" w:eastAsia="黑体" w:hAnsi="Times New Roman"/>
          <w:color w:val="000000" w:themeColor="text1"/>
          <w:sz w:val="21"/>
          <w:szCs w:val="21"/>
          <w:lang w:eastAsia="zh-CN"/>
        </w:rPr>
        <w:t>5H</w:t>
      </w:r>
      <w:r w:rsidRPr="00092862">
        <w:rPr>
          <w:rFonts w:ascii="Times New Roman" w:eastAsia="黑体" w:hAnsi="Times New Roman"/>
          <w:color w:val="000000" w:themeColor="text1"/>
          <w:sz w:val="21"/>
          <w:szCs w:val="21"/>
          <w:lang w:eastAsia="zh-CN"/>
        </w:rPr>
        <w:t>注水泥设计表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886"/>
        <w:gridCol w:w="1316"/>
        <w:gridCol w:w="989"/>
        <w:gridCol w:w="865"/>
        <w:gridCol w:w="1139"/>
        <w:gridCol w:w="634"/>
        <w:gridCol w:w="626"/>
        <w:gridCol w:w="860"/>
      </w:tblGrid>
      <w:tr w:rsidR="00697429" w:rsidRPr="00092862" w14:paraId="0D5DF0CC" w14:textId="77777777" w:rsidTr="00BF2B81">
        <w:trPr>
          <w:trHeight w:val="543"/>
        </w:trPr>
        <w:tc>
          <w:tcPr>
            <w:tcW w:w="593" w:type="pct"/>
            <w:vAlign w:val="center"/>
          </w:tcPr>
          <w:p w14:paraId="0EEB4237"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开钻</w:t>
            </w:r>
          </w:p>
          <w:p w14:paraId="7257FA5D"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534" w:type="pct"/>
            <w:vAlign w:val="center"/>
          </w:tcPr>
          <w:p w14:paraId="342CBF71"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套管</w:t>
            </w:r>
          </w:p>
          <w:p w14:paraId="33B91D0E"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外径</w:t>
            </w:r>
          </w:p>
          <w:p w14:paraId="5F9C751B"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mm</w:t>
            </w:r>
          </w:p>
        </w:tc>
        <w:tc>
          <w:tcPr>
            <w:tcW w:w="793" w:type="pct"/>
            <w:vAlign w:val="center"/>
          </w:tcPr>
          <w:p w14:paraId="1045708B"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套管</w:t>
            </w:r>
          </w:p>
          <w:p w14:paraId="52FB2EE8"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下深</w:t>
            </w:r>
          </w:p>
          <w:p w14:paraId="09434CC8"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w:t>
            </w:r>
          </w:p>
        </w:tc>
        <w:tc>
          <w:tcPr>
            <w:tcW w:w="596" w:type="pct"/>
            <w:vAlign w:val="center"/>
          </w:tcPr>
          <w:p w14:paraId="75E5479B" w14:textId="77777777" w:rsidR="00BF2B81" w:rsidRPr="00092862" w:rsidRDefault="00BF2B81" w:rsidP="00B94353">
            <w:pPr>
              <w:ind w:leftChars="-38" w:left="-80" w:rightChars="-34" w:right="-71"/>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固井时钻</w:t>
            </w:r>
          </w:p>
          <w:p w14:paraId="77F8F2ED" w14:textId="77777777" w:rsidR="00BF2B81" w:rsidRPr="00092862" w:rsidRDefault="00BF2B81" w:rsidP="00B94353">
            <w:pPr>
              <w:ind w:leftChars="-38" w:left="-80" w:rightChars="-34" w:right="-71"/>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井液密度</w:t>
            </w:r>
          </w:p>
          <w:p w14:paraId="248C6469" w14:textId="77777777" w:rsidR="00BF2B81" w:rsidRPr="00092862" w:rsidRDefault="00BF2B81" w:rsidP="00B94353">
            <w:pPr>
              <w:ind w:leftChars="-38" w:left="-80" w:rightChars="-34" w:right="-71"/>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g/cm</w:t>
            </w:r>
            <w:r w:rsidRPr="00092862">
              <w:rPr>
                <w:rFonts w:ascii="Times New Roman" w:eastAsia="宋体" w:hAnsi="Times New Roman" w:cs="Times New Roman"/>
                <w:color w:val="000000" w:themeColor="text1"/>
                <w:szCs w:val="21"/>
                <w:vertAlign w:val="superscript"/>
              </w:rPr>
              <w:t>3</w:t>
            </w:r>
          </w:p>
        </w:tc>
        <w:tc>
          <w:tcPr>
            <w:tcW w:w="521" w:type="pct"/>
            <w:vAlign w:val="center"/>
          </w:tcPr>
          <w:p w14:paraId="38F4E2CB" w14:textId="77777777" w:rsidR="00BF2B81" w:rsidRPr="00092862" w:rsidRDefault="00BF2B81" w:rsidP="00B94353">
            <w:pPr>
              <w:autoSpaceDE w:val="0"/>
              <w:autoSpaceDN w:val="0"/>
              <w:adjustRightInd w:val="0"/>
              <w:ind w:leftChars="-38" w:rightChars="-34" w:right="-71" w:hangingChars="38" w:hanging="80"/>
              <w:jc w:val="center"/>
              <w:rPr>
                <w:rFonts w:ascii="Times New Roman" w:eastAsia="宋体" w:hAnsi="Times New Roman" w:cs="Times New Roman"/>
                <w:color w:val="000000" w:themeColor="text1"/>
                <w:szCs w:val="21"/>
                <w:lang w:val="zh-CN"/>
              </w:rPr>
            </w:pPr>
            <w:r w:rsidRPr="00092862">
              <w:rPr>
                <w:rFonts w:ascii="Times New Roman" w:eastAsia="宋体" w:hAnsi="Times New Roman" w:cs="Times New Roman"/>
                <w:color w:val="000000" w:themeColor="text1"/>
                <w:szCs w:val="21"/>
                <w:lang w:val="zh-CN"/>
              </w:rPr>
              <w:t>水泥上</w:t>
            </w:r>
          </w:p>
          <w:p w14:paraId="25AD46A3"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返深度</w:t>
            </w:r>
          </w:p>
          <w:p w14:paraId="037B9A3C"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w:t>
            </w:r>
          </w:p>
        </w:tc>
        <w:tc>
          <w:tcPr>
            <w:tcW w:w="686" w:type="pct"/>
            <w:vAlign w:val="center"/>
          </w:tcPr>
          <w:p w14:paraId="37D89A0F"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水泥浆</w:t>
            </w:r>
          </w:p>
          <w:p w14:paraId="0B9AF603"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密度</w:t>
            </w:r>
          </w:p>
          <w:p w14:paraId="52DC8C48"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g/cm</w:t>
            </w:r>
            <w:r w:rsidRPr="00092862">
              <w:rPr>
                <w:rFonts w:ascii="Times New Roman" w:eastAsia="宋体" w:hAnsi="Times New Roman" w:cs="Times New Roman"/>
                <w:color w:val="000000" w:themeColor="text1"/>
                <w:szCs w:val="21"/>
                <w:vertAlign w:val="superscript"/>
              </w:rPr>
              <w:t>3</w:t>
            </w:r>
          </w:p>
        </w:tc>
        <w:tc>
          <w:tcPr>
            <w:tcW w:w="382" w:type="pct"/>
            <w:vAlign w:val="center"/>
          </w:tcPr>
          <w:p w14:paraId="71FE930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水泥</w:t>
            </w:r>
          </w:p>
          <w:p w14:paraId="4E5B4A7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型号</w:t>
            </w:r>
          </w:p>
        </w:tc>
        <w:tc>
          <w:tcPr>
            <w:tcW w:w="377" w:type="pct"/>
            <w:vAlign w:val="center"/>
          </w:tcPr>
          <w:p w14:paraId="1F445F52"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注水</w:t>
            </w:r>
          </w:p>
          <w:p w14:paraId="1D098716"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泥量</w:t>
            </w:r>
          </w:p>
          <w:p w14:paraId="1190169C"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t</w:t>
            </w:r>
          </w:p>
        </w:tc>
        <w:tc>
          <w:tcPr>
            <w:tcW w:w="518" w:type="pct"/>
            <w:vAlign w:val="center"/>
          </w:tcPr>
          <w:p w14:paraId="5FC01A50"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固井</w:t>
            </w:r>
          </w:p>
          <w:p w14:paraId="67BE5F61"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方式</w:t>
            </w:r>
          </w:p>
        </w:tc>
      </w:tr>
      <w:tr w:rsidR="00697429" w:rsidRPr="00092862" w14:paraId="3560C6CF" w14:textId="77777777" w:rsidTr="00BF2B81">
        <w:trPr>
          <w:trHeight w:val="544"/>
        </w:trPr>
        <w:tc>
          <w:tcPr>
            <w:tcW w:w="593" w:type="pct"/>
            <w:vAlign w:val="center"/>
          </w:tcPr>
          <w:p w14:paraId="67EB6C71" w14:textId="14620BA1" w:rsidR="00BF2B81" w:rsidRPr="00092862" w:rsidRDefault="0019648E"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w:t>
            </w:r>
            <w:r w:rsidR="00BF2B81" w:rsidRPr="00092862">
              <w:rPr>
                <w:rFonts w:ascii="Times New Roman" w:eastAsia="宋体" w:hAnsi="Times New Roman" w:cs="Times New Roman"/>
                <w:color w:val="000000" w:themeColor="text1"/>
                <w:szCs w:val="21"/>
              </w:rPr>
              <w:t>段</w:t>
            </w:r>
          </w:p>
        </w:tc>
        <w:tc>
          <w:tcPr>
            <w:tcW w:w="534" w:type="pct"/>
            <w:vAlign w:val="center"/>
          </w:tcPr>
          <w:p w14:paraId="4DAC1CF1"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114.3</w:t>
            </w:r>
          </w:p>
        </w:tc>
        <w:tc>
          <w:tcPr>
            <w:tcW w:w="793" w:type="pct"/>
            <w:vAlign w:val="center"/>
          </w:tcPr>
          <w:p w14:paraId="5EDF26FC"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4150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6293</w:t>
            </w:r>
          </w:p>
        </w:tc>
        <w:tc>
          <w:tcPr>
            <w:tcW w:w="596" w:type="pct"/>
            <w:vAlign w:val="center"/>
          </w:tcPr>
          <w:p w14:paraId="31E77ECB"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1.34</w:t>
            </w:r>
          </w:p>
        </w:tc>
        <w:tc>
          <w:tcPr>
            <w:tcW w:w="521" w:type="pct"/>
            <w:vAlign w:val="center"/>
          </w:tcPr>
          <w:p w14:paraId="18F80525"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4150</w:t>
            </w:r>
          </w:p>
        </w:tc>
        <w:tc>
          <w:tcPr>
            <w:tcW w:w="686" w:type="pct"/>
            <w:vAlign w:val="center"/>
          </w:tcPr>
          <w:p w14:paraId="7DEA1648"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1.90</w:t>
            </w:r>
          </w:p>
        </w:tc>
        <w:tc>
          <w:tcPr>
            <w:tcW w:w="382" w:type="pct"/>
            <w:vAlign w:val="center"/>
          </w:tcPr>
          <w:p w14:paraId="1865D10E"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G</w:t>
            </w:r>
          </w:p>
        </w:tc>
        <w:tc>
          <w:tcPr>
            <w:tcW w:w="377" w:type="pct"/>
            <w:vAlign w:val="center"/>
          </w:tcPr>
          <w:p w14:paraId="1511B42B" w14:textId="77777777" w:rsidR="00BF2B81" w:rsidRPr="00092862" w:rsidRDefault="00BF2B81" w:rsidP="00B94353">
            <w:pPr>
              <w:ind w:left="-38" w:right="-34"/>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w:t>
            </w:r>
          </w:p>
        </w:tc>
        <w:tc>
          <w:tcPr>
            <w:tcW w:w="518" w:type="pct"/>
            <w:vAlign w:val="center"/>
          </w:tcPr>
          <w:p w14:paraId="6339A44B" w14:textId="77777777" w:rsidR="00BF2B81" w:rsidRPr="00092862" w:rsidRDefault="00BF2B81" w:rsidP="00B94353">
            <w:pPr>
              <w:ind w:leftChars="-38" w:rightChars="-34" w:right="-71" w:hangingChars="38" w:hanging="8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尾管</w:t>
            </w:r>
          </w:p>
        </w:tc>
      </w:tr>
    </w:tbl>
    <w:p w14:paraId="5881208D" w14:textId="77777777" w:rsidR="00BF2B81" w:rsidRPr="00092862" w:rsidRDefault="00BF2B81" w:rsidP="00BF2B81">
      <w:pPr>
        <w:ind w:firstLineChars="200" w:firstLine="360"/>
        <w:rPr>
          <w:rFonts w:ascii="Times New Roman" w:eastAsia="黑体" w:hAnsi="Times New Roman" w:cs="Times New Roman"/>
          <w:color w:val="000000" w:themeColor="text1"/>
          <w:sz w:val="18"/>
          <w:szCs w:val="18"/>
        </w:rPr>
      </w:pPr>
      <w:r w:rsidRPr="00092862">
        <w:rPr>
          <w:rFonts w:ascii="Times New Roman" w:eastAsia="黑体" w:hAnsi="Times New Roman" w:cs="Times New Roman"/>
          <w:color w:val="000000" w:themeColor="text1"/>
          <w:sz w:val="18"/>
          <w:szCs w:val="18"/>
        </w:rPr>
        <w:t>注：</w:t>
      </w:r>
      <w:r w:rsidRPr="00092862">
        <w:rPr>
          <w:rFonts w:ascii="宋体" w:eastAsia="宋体" w:hAnsi="宋体" w:cs="宋体" w:hint="eastAsia"/>
          <w:color w:val="000000" w:themeColor="text1"/>
          <w:sz w:val="18"/>
          <w:szCs w:val="18"/>
        </w:rPr>
        <w:t>①</w:t>
      </w:r>
      <w:r w:rsidRPr="00092862">
        <w:rPr>
          <w:rFonts w:ascii="Times New Roman" w:eastAsia="黑体" w:hAnsi="Times New Roman" w:cs="Times New Roman"/>
          <w:color w:val="000000" w:themeColor="text1"/>
          <w:sz w:val="18"/>
          <w:szCs w:val="18"/>
        </w:rPr>
        <w:t>水泥用量及上返深度为理论数据，施工中应根据实测井径进行修正。</w:t>
      </w:r>
    </w:p>
    <w:p w14:paraId="6CCAABFE" w14:textId="77777777" w:rsidR="00BF2B81" w:rsidRPr="00092862" w:rsidRDefault="00BF2B81" w:rsidP="00BF2B81">
      <w:pPr>
        <w:ind w:firstLineChars="200" w:firstLine="360"/>
        <w:rPr>
          <w:rFonts w:ascii="Times New Roman" w:eastAsia="黑体" w:hAnsi="Times New Roman" w:cs="Times New Roman"/>
          <w:color w:val="000000" w:themeColor="text1"/>
          <w:sz w:val="18"/>
          <w:szCs w:val="18"/>
        </w:rPr>
      </w:pPr>
      <w:r w:rsidRPr="00092862">
        <w:rPr>
          <w:rFonts w:ascii="宋体" w:eastAsia="宋体" w:hAnsi="宋体" w:cs="宋体" w:hint="eastAsia"/>
          <w:color w:val="000000" w:themeColor="text1"/>
          <w:sz w:val="18"/>
          <w:szCs w:val="18"/>
        </w:rPr>
        <w:t>②</w:t>
      </w:r>
      <w:r w:rsidRPr="00092862">
        <w:rPr>
          <w:rFonts w:ascii="Times New Roman" w:eastAsia="黑体" w:hAnsi="Times New Roman" w:cs="Times New Roman"/>
          <w:color w:val="000000" w:themeColor="text1"/>
          <w:sz w:val="18"/>
          <w:szCs w:val="18"/>
        </w:rPr>
        <w:t>现场水泥浆密度应根据实际地层压力需要进行调整。</w:t>
      </w:r>
    </w:p>
    <w:p w14:paraId="36352942" w14:textId="77777777" w:rsidR="00BF2B81" w:rsidRPr="00092862" w:rsidRDefault="00BF2B81" w:rsidP="00BF2B81">
      <w:pPr>
        <w:ind w:firstLineChars="200" w:firstLine="360"/>
        <w:rPr>
          <w:rFonts w:ascii="Times New Roman" w:eastAsia="黑体" w:hAnsi="Times New Roman" w:cs="Times New Roman"/>
          <w:color w:val="000000" w:themeColor="text1"/>
          <w:sz w:val="18"/>
          <w:szCs w:val="18"/>
        </w:rPr>
      </w:pPr>
      <w:r w:rsidRPr="00092862">
        <w:rPr>
          <w:rFonts w:ascii="宋体" w:eastAsia="宋体" w:hAnsi="宋体" w:cs="宋体" w:hint="eastAsia"/>
          <w:color w:val="000000" w:themeColor="text1"/>
          <w:sz w:val="18"/>
          <w:szCs w:val="18"/>
        </w:rPr>
        <w:t>③</w:t>
      </w:r>
      <w:r w:rsidRPr="00092862">
        <w:rPr>
          <w:rFonts w:ascii="Times New Roman" w:eastAsia="黑体" w:hAnsi="Times New Roman" w:cs="Times New Roman"/>
          <w:color w:val="000000" w:themeColor="text1"/>
          <w:sz w:val="18"/>
          <w:szCs w:val="18"/>
        </w:rPr>
        <w:t>注水泥前，采取</w:t>
      </w:r>
      <w:r w:rsidRPr="00092862">
        <w:rPr>
          <w:rFonts w:ascii="Times New Roman" w:eastAsia="黑体" w:hAnsi="Times New Roman" w:cs="Times New Roman"/>
          <w:color w:val="000000" w:themeColor="text1"/>
          <w:sz w:val="18"/>
          <w:szCs w:val="18"/>
        </w:rPr>
        <w:t>KSY</w:t>
      </w:r>
      <w:r w:rsidRPr="00092862">
        <w:rPr>
          <w:rFonts w:ascii="Times New Roman" w:eastAsia="黑体" w:hAnsi="Times New Roman" w:cs="Times New Roman"/>
          <w:color w:val="000000" w:themeColor="text1"/>
          <w:sz w:val="18"/>
          <w:szCs w:val="18"/>
        </w:rPr>
        <w:t>等堵漏方法提高裸眼承压能力，确保在压稳、不漏的基础上进行固井施工。</w:t>
      </w:r>
    </w:p>
    <w:p w14:paraId="335B8034" w14:textId="307C97BA" w:rsidR="00035523" w:rsidRPr="00092862" w:rsidRDefault="00BF2B81" w:rsidP="00BF2B81">
      <w:pPr>
        <w:autoSpaceDE w:val="0"/>
        <w:autoSpaceDN w:val="0"/>
        <w:adjustRightInd w:val="0"/>
        <w:snapToGrid w:val="0"/>
        <w:ind w:firstLineChars="200" w:firstLine="360"/>
        <w:textAlignment w:val="baseline"/>
        <w:rPr>
          <w:rFonts w:ascii="Times New Roman" w:eastAsia="黑体" w:hAnsi="Times New Roman" w:cs="Times New Roman"/>
          <w:color w:val="000000" w:themeColor="text1"/>
          <w:sz w:val="18"/>
          <w:szCs w:val="18"/>
        </w:rPr>
      </w:pPr>
      <w:r w:rsidRPr="00092862">
        <w:rPr>
          <w:rFonts w:ascii="宋体" w:eastAsia="宋体" w:hAnsi="宋体" w:cs="宋体" w:hint="eastAsia"/>
          <w:color w:val="000000" w:themeColor="text1"/>
          <w:sz w:val="18"/>
          <w:szCs w:val="18"/>
        </w:rPr>
        <w:t>④</w:t>
      </w:r>
      <w:r w:rsidRPr="00092862">
        <w:rPr>
          <w:rFonts w:ascii="Times New Roman" w:eastAsia="黑体" w:hAnsi="Times New Roman" w:cs="Times New Roman"/>
          <w:color w:val="000000" w:themeColor="text1"/>
          <w:sz w:val="18"/>
          <w:szCs w:val="18"/>
        </w:rPr>
        <w:t>如果固井质量不好应采取挤水泥、短回接等方式补救至合格。</w:t>
      </w:r>
    </w:p>
    <w:p w14:paraId="6DD8B1C8" w14:textId="134091F7" w:rsidR="00BF2B81" w:rsidRPr="00092862" w:rsidRDefault="00BF2B81" w:rsidP="002C77F6">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C77F6" w:rsidRPr="00092862">
        <w:rPr>
          <w:rFonts w:ascii="Times New Roman" w:eastAsia="黑体" w:hAnsi="Times New Roman"/>
          <w:color w:val="000000" w:themeColor="text1"/>
          <w:sz w:val="21"/>
          <w:szCs w:val="21"/>
          <w:lang w:eastAsia="zh-CN"/>
        </w:rPr>
        <w:t xml:space="preserve">3.2-25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水泥浆体系及性能参数</w:t>
      </w:r>
    </w:p>
    <w:tbl>
      <w:tblPr>
        <w:tblStyle w:val="afffffffff2"/>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9"/>
        <w:gridCol w:w="4304"/>
      </w:tblGrid>
      <w:tr w:rsidR="00697429" w:rsidRPr="00092862" w14:paraId="4963DECE" w14:textId="77777777" w:rsidTr="00BF2B81">
        <w:trPr>
          <w:trHeight w:val="275"/>
        </w:trPr>
        <w:tc>
          <w:tcPr>
            <w:tcW w:w="2411" w:type="pct"/>
          </w:tcPr>
          <w:p w14:paraId="2D2924BE"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项</w:t>
            </w:r>
            <w:r w:rsidRPr="00092862">
              <w:rPr>
                <w:rFonts w:ascii="Times New Roman"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目</w:t>
            </w:r>
          </w:p>
        </w:tc>
        <w:tc>
          <w:tcPr>
            <w:tcW w:w="2589" w:type="pct"/>
          </w:tcPr>
          <w:p w14:paraId="1E7353D5" w14:textId="08543004" w:rsidR="00BF2B81" w:rsidRPr="00092862" w:rsidRDefault="0019648E"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钻井</w:t>
            </w:r>
          </w:p>
        </w:tc>
      </w:tr>
      <w:tr w:rsidR="00697429" w:rsidRPr="00092862" w14:paraId="59788466" w14:textId="77777777" w:rsidTr="00BF2B81">
        <w:trPr>
          <w:trHeight w:val="311"/>
        </w:trPr>
        <w:tc>
          <w:tcPr>
            <w:tcW w:w="2411" w:type="pct"/>
          </w:tcPr>
          <w:p w14:paraId="1767692B"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设计体系</w:t>
            </w:r>
          </w:p>
        </w:tc>
        <w:tc>
          <w:tcPr>
            <w:tcW w:w="2589" w:type="pct"/>
          </w:tcPr>
          <w:p w14:paraId="753A5269"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胶乳</w:t>
            </w:r>
            <w:r w:rsidRPr="00092862">
              <w:rPr>
                <w:rFonts w:ascii="Times New Roman" w:eastAsia="宋体" w:hAnsi="Times New Roman" w:cs="Times New Roman"/>
                <w:bCs/>
                <w:color w:val="000000" w:themeColor="text1"/>
                <w:szCs w:val="21"/>
              </w:rPr>
              <w:t>防气窜</w:t>
            </w:r>
            <w:r w:rsidRPr="00092862">
              <w:rPr>
                <w:rFonts w:ascii="Times New Roman" w:eastAsia="宋体" w:hAnsi="Times New Roman" w:cs="Times New Roman"/>
                <w:color w:val="000000" w:themeColor="text1"/>
                <w:szCs w:val="21"/>
              </w:rPr>
              <w:t>水泥浆</w:t>
            </w:r>
          </w:p>
        </w:tc>
      </w:tr>
      <w:tr w:rsidR="00697429" w:rsidRPr="00092862" w14:paraId="3E5EA7F5" w14:textId="77777777" w:rsidTr="00BF2B81">
        <w:trPr>
          <w:trHeight w:val="227"/>
        </w:trPr>
        <w:tc>
          <w:tcPr>
            <w:tcW w:w="2411" w:type="pct"/>
          </w:tcPr>
          <w:p w14:paraId="7F7C1970"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密度，</w:t>
            </w:r>
            <w:r w:rsidRPr="00092862">
              <w:rPr>
                <w:rFonts w:ascii="Times New Roman" w:hAnsi="Times New Roman" w:cs="Times New Roman"/>
                <w:color w:val="000000" w:themeColor="text1"/>
                <w:szCs w:val="21"/>
              </w:rPr>
              <w:t>g/cm</w:t>
            </w:r>
            <w:r w:rsidRPr="00092862">
              <w:rPr>
                <w:rFonts w:ascii="Times New Roman" w:hAnsi="Times New Roman" w:cs="Times New Roman"/>
                <w:color w:val="000000" w:themeColor="text1"/>
                <w:szCs w:val="21"/>
                <w:vertAlign w:val="superscript"/>
              </w:rPr>
              <w:t>3</w:t>
            </w:r>
          </w:p>
        </w:tc>
        <w:tc>
          <w:tcPr>
            <w:tcW w:w="2589" w:type="pct"/>
          </w:tcPr>
          <w:p w14:paraId="56E8DC77"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1.90</w:t>
            </w:r>
          </w:p>
        </w:tc>
      </w:tr>
      <w:tr w:rsidR="00697429" w:rsidRPr="00092862" w14:paraId="564835D4" w14:textId="77777777" w:rsidTr="00BF2B81">
        <w:trPr>
          <w:trHeight w:val="227"/>
        </w:trPr>
        <w:tc>
          <w:tcPr>
            <w:tcW w:w="2411" w:type="pct"/>
          </w:tcPr>
          <w:p w14:paraId="505E3CF7"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游离液，</w:t>
            </w:r>
            <w:r w:rsidRPr="00092862">
              <w:rPr>
                <w:rFonts w:ascii="Times New Roman" w:hAnsi="Times New Roman" w:cs="Times New Roman"/>
                <w:color w:val="000000" w:themeColor="text1"/>
                <w:szCs w:val="21"/>
              </w:rPr>
              <w:t>%</w:t>
            </w:r>
          </w:p>
        </w:tc>
        <w:tc>
          <w:tcPr>
            <w:tcW w:w="2589" w:type="pct"/>
          </w:tcPr>
          <w:p w14:paraId="4A55BD33"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w:t>
            </w:r>
          </w:p>
        </w:tc>
      </w:tr>
      <w:tr w:rsidR="00697429" w:rsidRPr="00092862" w14:paraId="3B59E792" w14:textId="77777777" w:rsidTr="00BF2B81">
        <w:trPr>
          <w:trHeight w:val="275"/>
        </w:trPr>
        <w:tc>
          <w:tcPr>
            <w:tcW w:w="2411" w:type="pct"/>
          </w:tcPr>
          <w:p w14:paraId="2B45D9DD" w14:textId="77777777" w:rsidR="00BF2B81" w:rsidRPr="00092862" w:rsidRDefault="00BF2B81" w:rsidP="00813B2A">
            <w:pPr>
              <w:adjustRightInd w:val="0"/>
              <w:snapToGrid w:val="0"/>
              <w:jc w:val="center"/>
              <w:rPr>
                <w:rFonts w:ascii="Times New Roman" w:hAnsi="Times New Roman" w:cs="Times New Roman"/>
                <w:color w:val="000000" w:themeColor="text1"/>
                <w:szCs w:val="21"/>
                <w:lang w:val="nb-NO"/>
              </w:rPr>
            </w:pPr>
            <w:r w:rsidRPr="00092862">
              <w:rPr>
                <w:rFonts w:ascii="Times New Roman" w:eastAsia="宋体" w:hAnsi="Times New Roman" w:cs="Times New Roman"/>
                <w:color w:val="000000" w:themeColor="text1"/>
                <w:szCs w:val="21"/>
              </w:rPr>
              <w:t>失水量</w:t>
            </w:r>
            <w:r w:rsidRPr="00092862">
              <w:rPr>
                <w:rFonts w:ascii="Times New Roman" w:hAnsi="Times New Roman" w:cs="Times New Roman"/>
                <w:color w:val="000000" w:themeColor="text1"/>
                <w:szCs w:val="21"/>
                <w:lang w:val="nb-NO"/>
              </w:rPr>
              <w:t>mL</w:t>
            </w:r>
            <w:r w:rsidRPr="00092862">
              <w:rPr>
                <w:rFonts w:ascii="Times New Roman" w:eastAsia="宋体" w:hAnsi="Times New Roman" w:cs="Times New Roman"/>
                <w:color w:val="000000" w:themeColor="text1"/>
                <w:szCs w:val="21"/>
                <w:lang w:val="nb-NO"/>
              </w:rPr>
              <w:t>（</w:t>
            </w:r>
            <w:r w:rsidRPr="00092862">
              <w:rPr>
                <w:rFonts w:ascii="Times New Roman" w:hAnsi="Times New Roman" w:cs="Times New Roman"/>
                <w:color w:val="000000" w:themeColor="text1"/>
                <w:szCs w:val="21"/>
                <w:lang w:val="nb-NO"/>
              </w:rPr>
              <w:t>30min/6.9 MPa</w:t>
            </w:r>
            <w:r w:rsidRPr="00092862">
              <w:rPr>
                <w:rFonts w:ascii="Times New Roman" w:eastAsia="宋体" w:hAnsi="Times New Roman" w:cs="Times New Roman"/>
                <w:color w:val="000000" w:themeColor="text1"/>
                <w:szCs w:val="21"/>
                <w:lang w:val="nb-NO"/>
              </w:rPr>
              <w:t>）</w:t>
            </w:r>
          </w:p>
        </w:tc>
        <w:tc>
          <w:tcPr>
            <w:tcW w:w="2589" w:type="pct"/>
          </w:tcPr>
          <w:p w14:paraId="31C3B094"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&lt;50</w:t>
            </w:r>
          </w:p>
        </w:tc>
      </w:tr>
      <w:tr w:rsidR="00697429" w:rsidRPr="00092862" w14:paraId="5F561E3C" w14:textId="77777777" w:rsidTr="00BF2B81">
        <w:trPr>
          <w:trHeight w:val="275"/>
        </w:trPr>
        <w:tc>
          <w:tcPr>
            <w:tcW w:w="2411" w:type="pct"/>
          </w:tcPr>
          <w:p w14:paraId="0315A2A9"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24h</w:t>
            </w:r>
            <w:r w:rsidRPr="00092862">
              <w:rPr>
                <w:rFonts w:ascii="Times New Roman" w:eastAsia="宋体" w:hAnsi="Times New Roman" w:cs="Times New Roman"/>
                <w:color w:val="000000" w:themeColor="text1"/>
                <w:szCs w:val="21"/>
              </w:rPr>
              <w:t>抗压强度，</w:t>
            </w:r>
            <w:r w:rsidRPr="00092862">
              <w:rPr>
                <w:rFonts w:ascii="Times New Roman" w:hAnsi="Times New Roman" w:cs="Times New Roman"/>
                <w:color w:val="000000" w:themeColor="text1"/>
                <w:szCs w:val="21"/>
              </w:rPr>
              <w:t>MPa</w:t>
            </w:r>
          </w:p>
        </w:tc>
        <w:tc>
          <w:tcPr>
            <w:tcW w:w="2589" w:type="pct"/>
          </w:tcPr>
          <w:p w14:paraId="700DDFF8"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&gt;14.0</w:t>
            </w:r>
          </w:p>
        </w:tc>
      </w:tr>
      <w:tr w:rsidR="00697429" w:rsidRPr="00092862" w14:paraId="01AFEBA8" w14:textId="77777777" w:rsidTr="00BF2B81">
        <w:trPr>
          <w:trHeight w:val="227"/>
        </w:trPr>
        <w:tc>
          <w:tcPr>
            <w:tcW w:w="2411" w:type="pct"/>
          </w:tcPr>
          <w:p w14:paraId="05D2DF5C"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稠化安全附加时间，</w:t>
            </w:r>
            <w:r w:rsidRPr="00092862">
              <w:rPr>
                <w:rFonts w:ascii="Times New Roman" w:hAnsi="Times New Roman" w:cs="Times New Roman"/>
                <w:color w:val="000000" w:themeColor="text1"/>
                <w:szCs w:val="21"/>
              </w:rPr>
              <w:t>min</w:t>
            </w:r>
          </w:p>
        </w:tc>
        <w:tc>
          <w:tcPr>
            <w:tcW w:w="2589" w:type="pct"/>
          </w:tcPr>
          <w:p w14:paraId="05CF6DB2"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60-90</w:t>
            </w:r>
          </w:p>
        </w:tc>
      </w:tr>
      <w:tr w:rsidR="00697429" w:rsidRPr="00092862" w14:paraId="1044EBD0" w14:textId="77777777" w:rsidTr="00BF2B81">
        <w:trPr>
          <w:trHeight w:val="227"/>
        </w:trPr>
        <w:tc>
          <w:tcPr>
            <w:tcW w:w="2411" w:type="pct"/>
          </w:tcPr>
          <w:p w14:paraId="54F04307"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初始稠度，</w:t>
            </w:r>
            <w:r w:rsidRPr="00092862">
              <w:rPr>
                <w:rFonts w:ascii="Times New Roman" w:hAnsi="Times New Roman" w:cs="Times New Roman"/>
                <w:color w:val="000000" w:themeColor="text1"/>
                <w:szCs w:val="21"/>
              </w:rPr>
              <w:t>Bc</w:t>
            </w:r>
          </w:p>
        </w:tc>
        <w:tc>
          <w:tcPr>
            <w:tcW w:w="2589" w:type="pct"/>
          </w:tcPr>
          <w:p w14:paraId="204849D3"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&lt;30</w:t>
            </w:r>
          </w:p>
        </w:tc>
      </w:tr>
      <w:tr w:rsidR="00697429" w:rsidRPr="00092862" w14:paraId="5A10AF35" w14:textId="77777777" w:rsidTr="00BF2B81">
        <w:trPr>
          <w:trHeight w:val="250"/>
        </w:trPr>
        <w:tc>
          <w:tcPr>
            <w:tcW w:w="2411" w:type="pct"/>
          </w:tcPr>
          <w:p w14:paraId="3F173AF7" w14:textId="77777777" w:rsidR="00BF2B81" w:rsidRPr="00092862" w:rsidRDefault="00BF2B81" w:rsidP="00813B2A">
            <w:pPr>
              <w:adjustRightInd w:val="0"/>
              <w:snapToGrid w:val="0"/>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防气窜性能（</w:t>
            </w:r>
            <w:r w:rsidRPr="00092862">
              <w:rPr>
                <w:rFonts w:ascii="Times New Roman" w:hAnsi="Times New Roman" w:cs="Times New Roman"/>
                <w:color w:val="000000" w:themeColor="text1"/>
                <w:szCs w:val="21"/>
              </w:rPr>
              <w:t>SPN</w:t>
            </w:r>
            <w:r w:rsidRPr="00092862">
              <w:rPr>
                <w:rFonts w:ascii="Times New Roman" w:eastAsia="宋体" w:hAnsi="Times New Roman" w:cs="Times New Roman"/>
                <w:color w:val="000000" w:themeColor="text1"/>
                <w:szCs w:val="21"/>
              </w:rPr>
              <w:t>值）</w:t>
            </w:r>
          </w:p>
        </w:tc>
        <w:tc>
          <w:tcPr>
            <w:tcW w:w="2589" w:type="pct"/>
          </w:tcPr>
          <w:p w14:paraId="793DFC9B" w14:textId="77777777" w:rsidR="00BF2B81" w:rsidRPr="00092862" w:rsidRDefault="00BF2B81" w:rsidP="00813B2A">
            <w:pPr>
              <w:adjustRightIn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w:t>
            </w:r>
          </w:p>
        </w:tc>
      </w:tr>
    </w:tbl>
    <w:p w14:paraId="67962D47" w14:textId="330AA693" w:rsidR="00035523" w:rsidRPr="00092862" w:rsidRDefault="00035523" w:rsidP="00E51D58">
      <w:pPr>
        <w:autoSpaceDE w:val="0"/>
        <w:autoSpaceDN w:val="0"/>
        <w:adjustRightInd w:val="0"/>
        <w:snapToGrid w:val="0"/>
        <w:spacing w:line="360" w:lineRule="auto"/>
        <w:ind w:firstLine="482"/>
        <w:textAlignment w:val="baseline"/>
        <w:rPr>
          <w:rFonts w:ascii="Times New Roman" w:hAnsi="Times New Roman" w:cs="Times New Roman"/>
          <w:color w:val="000000" w:themeColor="text1"/>
          <w:sz w:val="24"/>
          <w:szCs w:val="24"/>
        </w:rPr>
      </w:pPr>
      <w:r w:rsidRPr="00092862">
        <w:rPr>
          <w:rFonts w:ascii="Times New Roman" w:hAnsi="Times New Roman" w:cs="Times New Roman"/>
          <w:color w:val="000000" w:themeColor="text1"/>
          <w:sz w:val="24"/>
          <w:szCs w:val="24"/>
        </w:rPr>
        <w:t>2</w:t>
      </w:r>
      <w:r w:rsidRPr="00092862">
        <w:rPr>
          <w:rFonts w:ascii="Times New Roman" w:hAnsi="Times New Roman" w:cs="Times New Roman"/>
          <w:color w:val="000000" w:themeColor="text1"/>
          <w:sz w:val="24"/>
          <w:szCs w:val="24"/>
        </w:rPr>
        <w:t>）固井材料</w:t>
      </w:r>
    </w:p>
    <w:p w14:paraId="10D326E6" w14:textId="4B733C54" w:rsidR="00DC446C" w:rsidRPr="00092862" w:rsidRDefault="00E51D58" w:rsidP="00E51D58">
      <w:pPr>
        <w:autoSpaceDE w:val="0"/>
        <w:autoSpaceDN w:val="0"/>
        <w:adjustRightInd w:val="0"/>
        <w:snapToGrid w:val="0"/>
        <w:spacing w:line="360" w:lineRule="auto"/>
        <w:ind w:firstLine="482"/>
        <w:textAlignment w:val="baseline"/>
        <w:rPr>
          <w:rFonts w:ascii="Times New Roman" w:hAnsi="Times New Roman" w:cs="Times New Roman"/>
          <w:color w:val="000000" w:themeColor="text1"/>
          <w:sz w:val="24"/>
          <w:szCs w:val="24"/>
        </w:rPr>
      </w:pPr>
      <w:r w:rsidRPr="00092862">
        <w:rPr>
          <w:rFonts w:ascii="Times New Roman" w:hAnsi="Times New Roman" w:cs="Times New Roman"/>
          <w:color w:val="000000" w:themeColor="text1"/>
          <w:sz w:val="24"/>
          <w:szCs w:val="24"/>
        </w:rPr>
        <w:t>固井作业</w:t>
      </w:r>
      <w:r w:rsidR="003B1968" w:rsidRPr="00092862">
        <w:rPr>
          <w:rFonts w:ascii="Times New Roman" w:hAnsi="Times New Roman" w:cs="Times New Roman"/>
          <w:color w:val="000000" w:themeColor="text1"/>
          <w:sz w:val="24"/>
          <w:szCs w:val="24"/>
        </w:rPr>
        <w:t>主要原辅材料、能源消耗及来源统计如下表</w:t>
      </w:r>
      <w:r w:rsidR="00FF312D" w:rsidRPr="00092862">
        <w:rPr>
          <w:rFonts w:ascii="Times New Roman" w:hAnsi="Times New Roman" w:cs="Times New Roman"/>
          <w:color w:val="000000" w:themeColor="text1"/>
          <w:sz w:val="24"/>
          <w:szCs w:val="24"/>
        </w:rPr>
        <w:t>3.2-</w:t>
      </w:r>
      <w:r w:rsidR="002C77F6" w:rsidRPr="00092862">
        <w:rPr>
          <w:rFonts w:ascii="Times New Roman" w:hAnsi="Times New Roman" w:cs="Times New Roman"/>
          <w:color w:val="000000" w:themeColor="text1"/>
          <w:sz w:val="24"/>
          <w:szCs w:val="24"/>
        </w:rPr>
        <w:t>26</w:t>
      </w:r>
      <w:r w:rsidR="003B1968" w:rsidRPr="00092862">
        <w:rPr>
          <w:rFonts w:ascii="Times New Roman" w:hAnsi="Times New Roman" w:cs="Times New Roman"/>
          <w:color w:val="000000" w:themeColor="text1"/>
          <w:sz w:val="24"/>
          <w:szCs w:val="24"/>
        </w:rPr>
        <w:t>。</w:t>
      </w:r>
    </w:p>
    <w:p w14:paraId="0F880672" w14:textId="3FBD6990" w:rsidR="00DC446C" w:rsidRPr="00092862" w:rsidRDefault="003B1968" w:rsidP="002C40AD">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FF312D" w:rsidRPr="00092862">
        <w:rPr>
          <w:rFonts w:ascii="Times New Roman" w:eastAsia="黑体" w:hAnsi="Times New Roman"/>
          <w:color w:val="000000" w:themeColor="text1"/>
          <w:sz w:val="21"/>
          <w:szCs w:val="21"/>
          <w:lang w:eastAsia="zh-CN"/>
        </w:rPr>
        <w:t>3.2-</w:t>
      </w:r>
      <w:r w:rsidR="002C77F6" w:rsidRPr="00092862">
        <w:rPr>
          <w:rFonts w:ascii="Times New Roman" w:eastAsia="黑体" w:hAnsi="Times New Roman"/>
          <w:color w:val="000000" w:themeColor="text1"/>
          <w:sz w:val="21"/>
          <w:szCs w:val="21"/>
          <w:lang w:eastAsia="zh-CN"/>
        </w:rPr>
        <w:t>26</w:t>
      </w:r>
      <w:r w:rsidR="00E51D58"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 xml:space="preserve"> </w:t>
      </w:r>
      <w:r w:rsidR="00E51D58" w:rsidRPr="00092862">
        <w:rPr>
          <w:rFonts w:ascii="Times New Roman" w:eastAsia="黑体" w:hAnsi="Times New Roman"/>
          <w:color w:val="000000" w:themeColor="text1"/>
          <w:sz w:val="21"/>
          <w:szCs w:val="21"/>
          <w:lang w:eastAsia="zh-CN"/>
        </w:rPr>
        <w:t>固井</w:t>
      </w:r>
      <w:r w:rsidRPr="00092862">
        <w:rPr>
          <w:rFonts w:ascii="Times New Roman" w:eastAsia="黑体" w:hAnsi="Times New Roman"/>
          <w:color w:val="000000" w:themeColor="text1"/>
          <w:sz w:val="21"/>
          <w:szCs w:val="21"/>
          <w:lang w:eastAsia="zh-CN"/>
        </w:rPr>
        <w:t>作业主要原辅材料和能源种类及用量</w:t>
      </w:r>
      <w:r w:rsidRPr="00092862">
        <w:rPr>
          <w:rFonts w:ascii="Times New Roman" w:eastAsia="黑体" w:hAnsi="Times New Roman"/>
          <w:color w:val="000000" w:themeColor="text1"/>
          <w:sz w:val="21"/>
          <w:szCs w:val="21"/>
          <w:lang w:eastAsia="zh-CN"/>
        </w:rPr>
        <w:t xml:space="preserve">  t</w:t>
      </w:r>
    </w:p>
    <w:tbl>
      <w:tblPr>
        <w:tblStyle w:val="afffffffff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1492"/>
        <w:gridCol w:w="812"/>
        <w:gridCol w:w="852"/>
        <w:gridCol w:w="812"/>
        <w:gridCol w:w="852"/>
        <w:gridCol w:w="2842"/>
      </w:tblGrid>
      <w:tr w:rsidR="00697429" w:rsidRPr="00092862" w14:paraId="64B1C157" w14:textId="77777777" w:rsidTr="00813B2A">
        <w:trPr>
          <w:jc w:val="center"/>
        </w:trPr>
        <w:tc>
          <w:tcPr>
            <w:tcW w:w="1284" w:type="pct"/>
            <w:gridSpan w:val="2"/>
            <w:vMerge w:val="restart"/>
          </w:tcPr>
          <w:p w14:paraId="62D178D3"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材料名称</w:t>
            </w:r>
          </w:p>
        </w:tc>
        <w:tc>
          <w:tcPr>
            <w:tcW w:w="1002" w:type="pct"/>
            <w:gridSpan w:val="2"/>
          </w:tcPr>
          <w:p w14:paraId="59F82E7E" w14:textId="462D9DB4"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hAnsi="Times New Roman" w:cs="Times New Roman"/>
                <w:color w:val="000000" w:themeColor="text1"/>
                <w:szCs w:val="21"/>
              </w:rPr>
              <w:t>701-4H</w:t>
            </w:r>
            <w:r w:rsidRPr="00092862">
              <w:rPr>
                <w:rFonts w:ascii="Times New Roman" w:eastAsia="宋体" w:hAnsi="Times New Roman" w:cs="Times New Roman"/>
                <w:color w:val="000000" w:themeColor="text1"/>
                <w:szCs w:val="21"/>
              </w:rPr>
              <w:t>井用量</w:t>
            </w:r>
          </w:p>
        </w:tc>
        <w:tc>
          <w:tcPr>
            <w:tcW w:w="1002" w:type="pct"/>
            <w:gridSpan w:val="2"/>
          </w:tcPr>
          <w:p w14:paraId="211C8818" w14:textId="2215A7F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hAnsi="Times New Roman" w:cs="Times New Roman"/>
                <w:color w:val="000000" w:themeColor="text1"/>
                <w:szCs w:val="21"/>
              </w:rPr>
              <w:t>701-5H</w:t>
            </w:r>
            <w:r w:rsidRPr="00092862">
              <w:rPr>
                <w:rFonts w:ascii="Times New Roman" w:eastAsia="宋体" w:hAnsi="Times New Roman" w:cs="Times New Roman"/>
                <w:color w:val="000000" w:themeColor="text1"/>
                <w:szCs w:val="21"/>
              </w:rPr>
              <w:t>侧井用量</w:t>
            </w:r>
          </w:p>
        </w:tc>
        <w:tc>
          <w:tcPr>
            <w:tcW w:w="1712" w:type="pct"/>
            <w:vMerge w:val="restart"/>
          </w:tcPr>
          <w:p w14:paraId="5E9DBEE8"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7EBC6138" w14:textId="77777777" w:rsidTr="00813B2A">
        <w:trPr>
          <w:trHeight w:val="55"/>
          <w:jc w:val="center"/>
        </w:trPr>
        <w:tc>
          <w:tcPr>
            <w:tcW w:w="1284" w:type="pct"/>
            <w:gridSpan w:val="2"/>
            <w:vMerge/>
          </w:tcPr>
          <w:p w14:paraId="12531880" w14:textId="77777777" w:rsidR="00507764" w:rsidRPr="00092862" w:rsidRDefault="00507764" w:rsidP="00BF2B81">
            <w:pPr>
              <w:rPr>
                <w:rFonts w:ascii="Times New Roman" w:hAnsi="Times New Roman" w:cs="Times New Roman"/>
                <w:color w:val="000000" w:themeColor="text1"/>
                <w:szCs w:val="21"/>
              </w:rPr>
            </w:pPr>
          </w:p>
        </w:tc>
        <w:tc>
          <w:tcPr>
            <w:tcW w:w="489" w:type="pct"/>
          </w:tcPr>
          <w:p w14:paraId="62CBDEEA"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水泥塞</w:t>
            </w:r>
          </w:p>
        </w:tc>
        <w:tc>
          <w:tcPr>
            <w:tcW w:w="513" w:type="pct"/>
          </w:tcPr>
          <w:p w14:paraId="42339737" w14:textId="6B049A8D" w:rsidR="00507764" w:rsidRPr="00092862" w:rsidRDefault="0019648E" w:rsidP="00813B2A">
            <w:pPr>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钻井</w:t>
            </w:r>
          </w:p>
        </w:tc>
        <w:tc>
          <w:tcPr>
            <w:tcW w:w="489" w:type="pct"/>
          </w:tcPr>
          <w:p w14:paraId="503CFB8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水泥塞</w:t>
            </w:r>
          </w:p>
        </w:tc>
        <w:tc>
          <w:tcPr>
            <w:tcW w:w="513" w:type="pct"/>
          </w:tcPr>
          <w:p w14:paraId="4E89A4F5" w14:textId="580BC1B0" w:rsidR="00507764" w:rsidRPr="00092862" w:rsidRDefault="0019648E" w:rsidP="00813B2A">
            <w:pPr>
              <w:jc w:val="cente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钻井</w:t>
            </w:r>
          </w:p>
        </w:tc>
        <w:tc>
          <w:tcPr>
            <w:tcW w:w="1712" w:type="pct"/>
            <w:vMerge/>
          </w:tcPr>
          <w:p w14:paraId="118A3914"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3FC5557B" w14:textId="77777777" w:rsidTr="00813B2A">
        <w:trPr>
          <w:jc w:val="center"/>
        </w:trPr>
        <w:tc>
          <w:tcPr>
            <w:tcW w:w="385" w:type="pct"/>
            <w:vMerge w:val="restart"/>
          </w:tcPr>
          <w:p w14:paraId="3A3FAB9B"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水泥</w:t>
            </w:r>
          </w:p>
          <w:p w14:paraId="37A71B3F"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添加剂</w:t>
            </w:r>
          </w:p>
        </w:tc>
        <w:tc>
          <w:tcPr>
            <w:tcW w:w="899" w:type="pct"/>
          </w:tcPr>
          <w:p w14:paraId="20CD13BC"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减阻剂（</w:t>
            </w:r>
            <w:r w:rsidRPr="00092862">
              <w:rPr>
                <w:rFonts w:ascii="Times New Roman"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489" w:type="pct"/>
          </w:tcPr>
          <w:p w14:paraId="1ABCFC17"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0.16</w:t>
            </w:r>
          </w:p>
        </w:tc>
        <w:tc>
          <w:tcPr>
            <w:tcW w:w="513" w:type="pct"/>
          </w:tcPr>
          <w:p w14:paraId="5F1FB7E6"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w:t>
            </w:r>
          </w:p>
        </w:tc>
        <w:tc>
          <w:tcPr>
            <w:tcW w:w="489" w:type="pct"/>
          </w:tcPr>
          <w:p w14:paraId="5EDEDF9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0.16</w:t>
            </w:r>
          </w:p>
        </w:tc>
        <w:tc>
          <w:tcPr>
            <w:tcW w:w="513" w:type="pct"/>
          </w:tcPr>
          <w:p w14:paraId="2733EF42"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w:t>
            </w:r>
          </w:p>
        </w:tc>
        <w:tc>
          <w:tcPr>
            <w:tcW w:w="1712" w:type="pct"/>
            <w:vMerge w:val="restart"/>
          </w:tcPr>
          <w:p w14:paraId="0E6E7D30"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添加剂加量可根据实际情况进行调整，必须满足水泥浆性能要求和施工要求。</w:t>
            </w:r>
          </w:p>
        </w:tc>
      </w:tr>
      <w:tr w:rsidR="00697429" w:rsidRPr="00092862" w14:paraId="4DB77B6F" w14:textId="77777777" w:rsidTr="00813B2A">
        <w:trPr>
          <w:jc w:val="center"/>
        </w:trPr>
        <w:tc>
          <w:tcPr>
            <w:tcW w:w="385" w:type="pct"/>
            <w:vMerge/>
          </w:tcPr>
          <w:p w14:paraId="106D2E9F"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47A2428F"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降失水剂</w:t>
            </w:r>
            <w:r w:rsidRPr="00092862">
              <w:rPr>
                <w:rFonts w:ascii="Times New Roman" w:hAnsi="Times New Roman" w:cs="Times New Roman"/>
                <w:color w:val="000000" w:themeColor="text1"/>
                <w:szCs w:val="21"/>
              </w:rPr>
              <w:t>(t)</w:t>
            </w:r>
          </w:p>
        </w:tc>
        <w:tc>
          <w:tcPr>
            <w:tcW w:w="489" w:type="pct"/>
          </w:tcPr>
          <w:p w14:paraId="3BA15430"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372793B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489" w:type="pct"/>
          </w:tcPr>
          <w:p w14:paraId="045A00D7"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0BDEDE2C"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1712" w:type="pct"/>
            <w:vMerge/>
          </w:tcPr>
          <w:p w14:paraId="7FFDFBF2"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603896AA" w14:textId="77777777" w:rsidTr="00813B2A">
        <w:trPr>
          <w:jc w:val="center"/>
        </w:trPr>
        <w:tc>
          <w:tcPr>
            <w:tcW w:w="385" w:type="pct"/>
            <w:vMerge/>
          </w:tcPr>
          <w:p w14:paraId="1307295E"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14CABF09"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消泡剂</w:t>
            </w:r>
            <w:r w:rsidRPr="00092862">
              <w:rPr>
                <w:rFonts w:ascii="Times New Roman" w:hAnsi="Times New Roman" w:cs="Times New Roman"/>
                <w:color w:val="000000" w:themeColor="text1"/>
                <w:szCs w:val="21"/>
              </w:rPr>
              <w:t>(t)</w:t>
            </w:r>
          </w:p>
        </w:tc>
        <w:tc>
          <w:tcPr>
            <w:tcW w:w="489" w:type="pct"/>
          </w:tcPr>
          <w:p w14:paraId="56B84121"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0.05</w:t>
            </w:r>
          </w:p>
        </w:tc>
        <w:tc>
          <w:tcPr>
            <w:tcW w:w="513" w:type="pct"/>
          </w:tcPr>
          <w:p w14:paraId="75A77D21"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0.30</w:t>
            </w:r>
          </w:p>
        </w:tc>
        <w:tc>
          <w:tcPr>
            <w:tcW w:w="489" w:type="pct"/>
          </w:tcPr>
          <w:p w14:paraId="35785BA4"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0.05</w:t>
            </w:r>
          </w:p>
        </w:tc>
        <w:tc>
          <w:tcPr>
            <w:tcW w:w="513" w:type="pct"/>
          </w:tcPr>
          <w:p w14:paraId="656077C5"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0.30</w:t>
            </w:r>
          </w:p>
        </w:tc>
        <w:tc>
          <w:tcPr>
            <w:tcW w:w="1712" w:type="pct"/>
            <w:vMerge/>
          </w:tcPr>
          <w:p w14:paraId="40DFAE90"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1913258B" w14:textId="77777777" w:rsidTr="00813B2A">
        <w:trPr>
          <w:jc w:val="center"/>
        </w:trPr>
        <w:tc>
          <w:tcPr>
            <w:tcW w:w="385" w:type="pct"/>
            <w:vMerge/>
          </w:tcPr>
          <w:p w14:paraId="75F8D51E"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6614C62C"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缓凝剂（</w:t>
            </w:r>
            <w:r w:rsidRPr="00092862">
              <w:rPr>
                <w:rFonts w:ascii="Times New Roman"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489" w:type="pct"/>
          </w:tcPr>
          <w:p w14:paraId="0A39EFD8"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0.16</w:t>
            </w:r>
          </w:p>
        </w:tc>
        <w:tc>
          <w:tcPr>
            <w:tcW w:w="513" w:type="pct"/>
          </w:tcPr>
          <w:p w14:paraId="6BB2F474"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w:t>
            </w:r>
          </w:p>
        </w:tc>
        <w:tc>
          <w:tcPr>
            <w:tcW w:w="489" w:type="pct"/>
          </w:tcPr>
          <w:p w14:paraId="4B58EED1"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0.16</w:t>
            </w:r>
          </w:p>
        </w:tc>
        <w:tc>
          <w:tcPr>
            <w:tcW w:w="513" w:type="pct"/>
          </w:tcPr>
          <w:p w14:paraId="2DCE985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w:t>
            </w:r>
          </w:p>
        </w:tc>
        <w:tc>
          <w:tcPr>
            <w:tcW w:w="1712" w:type="pct"/>
            <w:vMerge/>
          </w:tcPr>
          <w:p w14:paraId="69B67E2B"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00D9B245" w14:textId="77777777" w:rsidTr="00813B2A">
        <w:trPr>
          <w:jc w:val="center"/>
        </w:trPr>
        <w:tc>
          <w:tcPr>
            <w:tcW w:w="385" w:type="pct"/>
            <w:vMerge/>
          </w:tcPr>
          <w:p w14:paraId="0E940AE2"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60723B38"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防气窜剂</w:t>
            </w:r>
            <w:r w:rsidRPr="00092862">
              <w:rPr>
                <w:rFonts w:ascii="Times New Roman" w:hAnsi="Times New Roman" w:cs="Times New Roman"/>
                <w:color w:val="000000" w:themeColor="text1"/>
                <w:szCs w:val="21"/>
              </w:rPr>
              <w:t>(t)</w:t>
            </w:r>
          </w:p>
        </w:tc>
        <w:tc>
          <w:tcPr>
            <w:tcW w:w="489" w:type="pct"/>
          </w:tcPr>
          <w:p w14:paraId="3417D22D"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10E6C62B"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489" w:type="pct"/>
          </w:tcPr>
          <w:p w14:paraId="004D0D7B"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270AE175"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1712" w:type="pct"/>
            <w:vMerge/>
          </w:tcPr>
          <w:p w14:paraId="6777FAB4"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170BE958" w14:textId="77777777" w:rsidTr="00813B2A">
        <w:trPr>
          <w:jc w:val="center"/>
        </w:trPr>
        <w:tc>
          <w:tcPr>
            <w:tcW w:w="385" w:type="pct"/>
            <w:vMerge/>
          </w:tcPr>
          <w:p w14:paraId="3A98C39A"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1194D02E"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增强剂（</w:t>
            </w:r>
            <w:r w:rsidRPr="00092862">
              <w:rPr>
                <w:rFonts w:ascii="Times New Roman"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489" w:type="pct"/>
          </w:tcPr>
          <w:p w14:paraId="62E2039E"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13B1A4E9"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489" w:type="pct"/>
          </w:tcPr>
          <w:p w14:paraId="2110305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051AA40B"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1712" w:type="pct"/>
            <w:vMerge/>
          </w:tcPr>
          <w:p w14:paraId="6A13DCD6"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5C228C7B" w14:textId="77777777" w:rsidTr="00813B2A">
        <w:trPr>
          <w:jc w:val="center"/>
        </w:trPr>
        <w:tc>
          <w:tcPr>
            <w:tcW w:w="385" w:type="pct"/>
            <w:vMerge/>
          </w:tcPr>
          <w:p w14:paraId="3F038227"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04A4D9F4"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膨胀剂（</w:t>
            </w:r>
            <w:r w:rsidRPr="00092862">
              <w:rPr>
                <w:rFonts w:ascii="Times New Roman"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489" w:type="pct"/>
          </w:tcPr>
          <w:p w14:paraId="4895E6C6"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39C30A67"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489" w:type="pct"/>
          </w:tcPr>
          <w:p w14:paraId="0A72EE68"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0.24</w:t>
            </w:r>
          </w:p>
        </w:tc>
        <w:tc>
          <w:tcPr>
            <w:tcW w:w="513" w:type="pct"/>
          </w:tcPr>
          <w:p w14:paraId="7630CF37"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1.50</w:t>
            </w:r>
          </w:p>
        </w:tc>
        <w:tc>
          <w:tcPr>
            <w:tcW w:w="1712" w:type="pct"/>
            <w:vMerge/>
          </w:tcPr>
          <w:p w14:paraId="498A5D1A"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1BBDF420" w14:textId="77777777" w:rsidTr="00813B2A">
        <w:trPr>
          <w:trHeight w:val="308"/>
          <w:jc w:val="center"/>
        </w:trPr>
        <w:tc>
          <w:tcPr>
            <w:tcW w:w="385" w:type="pct"/>
            <w:vMerge/>
          </w:tcPr>
          <w:p w14:paraId="347422F3"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666D9D11"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硅粉（</w:t>
            </w:r>
            <w:r w:rsidRPr="00092862">
              <w:rPr>
                <w:rFonts w:ascii="Times New Roman"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489" w:type="pct"/>
          </w:tcPr>
          <w:p w14:paraId="06665F5A"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2.10</w:t>
            </w:r>
          </w:p>
        </w:tc>
        <w:tc>
          <w:tcPr>
            <w:tcW w:w="513" w:type="pct"/>
          </w:tcPr>
          <w:p w14:paraId="2064B007"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13.00</w:t>
            </w:r>
          </w:p>
        </w:tc>
        <w:tc>
          <w:tcPr>
            <w:tcW w:w="489" w:type="pct"/>
          </w:tcPr>
          <w:p w14:paraId="51C1B616"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2.10</w:t>
            </w:r>
          </w:p>
        </w:tc>
        <w:tc>
          <w:tcPr>
            <w:tcW w:w="513" w:type="pct"/>
          </w:tcPr>
          <w:p w14:paraId="0F735704"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13.00</w:t>
            </w:r>
          </w:p>
        </w:tc>
        <w:tc>
          <w:tcPr>
            <w:tcW w:w="1712" w:type="pct"/>
            <w:vMerge/>
          </w:tcPr>
          <w:p w14:paraId="56DDF2F1"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11FB9464" w14:textId="77777777" w:rsidTr="00813B2A">
        <w:trPr>
          <w:jc w:val="center"/>
        </w:trPr>
        <w:tc>
          <w:tcPr>
            <w:tcW w:w="385" w:type="pct"/>
            <w:vMerge/>
          </w:tcPr>
          <w:p w14:paraId="614B2AAB"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1BB0C10F"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增韧剂（</w:t>
            </w:r>
            <w:r w:rsidRPr="00092862">
              <w:rPr>
                <w:rFonts w:ascii="Times New Roman"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489" w:type="pct"/>
          </w:tcPr>
          <w:p w14:paraId="47806531"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23B6F1A1"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w:t>
            </w:r>
          </w:p>
        </w:tc>
        <w:tc>
          <w:tcPr>
            <w:tcW w:w="489" w:type="pct"/>
          </w:tcPr>
          <w:p w14:paraId="3C60656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591E4DC5"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w:t>
            </w:r>
          </w:p>
        </w:tc>
        <w:tc>
          <w:tcPr>
            <w:tcW w:w="1712" w:type="pct"/>
            <w:vMerge/>
          </w:tcPr>
          <w:p w14:paraId="7A9A715A"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7553FF6D" w14:textId="77777777" w:rsidTr="00813B2A">
        <w:trPr>
          <w:jc w:val="center"/>
        </w:trPr>
        <w:tc>
          <w:tcPr>
            <w:tcW w:w="385" w:type="pct"/>
            <w:vMerge/>
          </w:tcPr>
          <w:p w14:paraId="7B787C31"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58416906"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胶乳水泥浆（</w:t>
            </w:r>
            <w:r w:rsidRPr="00092862">
              <w:rPr>
                <w:rFonts w:ascii="Times New Roman" w:hAnsi="Times New Roman" w:cs="Times New Roman"/>
                <w:color w:val="000000" w:themeColor="text1"/>
                <w:szCs w:val="21"/>
              </w:rPr>
              <w:t>m</w:t>
            </w:r>
            <w:r w:rsidRPr="00092862">
              <w:rPr>
                <w:rFonts w:ascii="Times New Roman"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w:t>
            </w:r>
          </w:p>
        </w:tc>
        <w:tc>
          <w:tcPr>
            <w:tcW w:w="489" w:type="pct"/>
          </w:tcPr>
          <w:p w14:paraId="57EDC8FC"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584458A4"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10.00</w:t>
            </w:r>
          </w:p>
        </w:tc>
        <w:tc>
          <w:tcPr>
            <w:tcW w:w="489" w:type="pct"/>
          </w:tcPr>
          <w:p w14:paraId="51097766"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73366C80"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10.00</w:t>
            </w:r>
          </w:p>
        </w:tc>
        <w:tc>
          <w:tcPr>
            <w:tcW w:w="1712" w:type="pct"/>
          </w:tcPr>
          <w:p w14:paraId="09ED72A6"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314B91CB" w14:textId="77777777" w:rsidTr="00813B2A">
        <w:trPr>
          <w:jc w:val="center"/>
        </w:trPr>
        <w:tc>
          <w:tcPr>
            <w:tcW w:w="1284" w:type="pct"/>
            <w:gridSpan w:val="2"/>
          </w:tcPr>
          <w:p w14:paraId="327AF07C"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隔离液（</w:t>
            </w:r>
            <w:r w:rsidRPr="00092862">
              <w:rPr>
                <w:rFonts w:ascii="Times New Roman" w:hAnsi="Times New Roman" w:cs="Times New Roman"/>
                <w:color w:val="000000" w:themeColor="text1"/>
                <w:szCs w:val="21"/>
              </w:rPr>
              <w:t>m</w:t>
            </w:r>
            <w:r w:rsidRPr="00092862">
              <w:rPr>
                <w:rFonts w:ascii="Times New Roman"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w:t>
            </w:r>
          </w:p>
        </w:tc>
        <w:tc>
          <w:tcPr>
            <w:tcW w:w="489" w:type="pct"/>
          </w:tcPr>
          <w:p w14:paraId="23D47919"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2936871B"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w:t>
            </w:r>
          </w:p>
        </w:tc>
        <w:tc>
          <w:tcPr>
            <w:tcW w:w="489" w:type="pct"/>
          </w:tcPr>
          <w:p w14:paraId="2BE9D42D" w14:textId="77777777" w:rsidR="00507764" w:rsidRPr="00092862" w:rsidRDefault="00507764" w:rsidP="00813B2A">
            <w:pPr>
              <w:jc w:val="center"/>
              <w:rPr>
                <w:rFonts w:ascii="Times New Roman" w:hAnsi="Times New Roman" w:cs="Times New Roman"/>
                <w:color w:val="000000" w:themeColor="text1"/>
                <w:szCs w:val="21"/>
              </w:rPr>
            </w:pPr>
          </w:p>
        </w:tc>
        <w:tc>
          <w:tcPr>
            <w:tcW w:w="513" w:type="pct"/>
          </w:tcPr>
          <w:p w14:paraId="447D931F"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1712" w:type="pct"/>
          </w:tcPr>
          <w:p w14:paraId="2081DEC3"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w:t>
            </w:r>
          </w:p>
        </w:tc>
      </w:tr>
      <w:tr w:rsidR="00697429" w:rsidRPr="00092862" w14:paraId="7A60F2D5" w14:textId="77777777" w:rsidTr="00813B2A">
        <w:trPr>
          <w:jc w:val="center"/>
        </w:trPr>
        <w:tc>
          <w:tcPr>
            <w:tcW w:w="385" w:type="pct"/>
            <w:vMerge w:val="restart"/>
          </w:tcPr>
          <w:p w14:paraId="3B24E001"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固井</w:t>
            </w:r>
          </w:p>
          <w:p w14:paraId="10B2563D"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附件</w:t>
            </w:r>
          </w:p>
        </w:tc>
        <w:tc>
          <w:tcPr>
            <w:tcW w:w="899" w:type="pct"/>
          </w:tcPr>
          <w:p w14:paraId="24A32DC4"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常规附件</w:t>
            </w:r>
            <w:r w:rsidRPr="00092862">
              <w:rPr>
                <w:rFonts w:ascii="Times New Roman" w:hAnsi="Times New Roman" w:cs="Times New Roman"/>
                <w:color w:val="000000" w:themeColor="text1"/>
                <w:szCs w:val="21"/>
              </w:rPr>
              <w:t>(</w:t>
            </w:r>
            <w:r w:rsidRPr="00092862">
              <w:rPr>
                <w:rFonts w:ascii="Times New Roman" w:eastAsia="宋体" w:hAnsi="Times New Roman" w:cs="Times New Roman"/>
                <w:color w:val="000000" w:themeColor="text1"/>
                <w:szCs w:val="21"/>
              </w:rPr>
              <w:t>套</w:t>
            </w:r>
            <w:r w:rsidRPr="00092862">
              <w:rPr>
                <w:rFonts w:ascii="Times New Roman" w:hAnsi="Times New Roman" w:cs="Times New Roman"/>
                <w:color w:val="000000" w:themeColor="text1"/>
                <w:szCs w:val="21"/>
              </w:rPr>
              <w:t>)</w:t>
            </w:r>
          </w:p>
        </w:tc>
        <w:tc>
          <w:tcPr>
            <w:tcW w:w="489" w:type="pct"/>
          </w:tcPr>
          <w:p w14:paraId="1599E114"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4B5C7297"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w:t>
            </w:r>
          </w:p>
        </w:tc>
        <w:tc>
          <w:tcPr>
            <w:tcW w:w="489" w:type="pct"/>
          </w:tcPr>
          <w:p w14:paraId="34A4D8C8"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331D46E6"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w:t>
            </w:r>
          </w:p>
        </w:tc>
        <w:tc>
          <w:tcPr>
            <w:tcW w:w="1712" w:type="pct"/>
          </w:tcPr>
          <w:p w14:paraId="0535C205"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29B3BDD3" w14:textId="77777777" w:rsidTr="00813B2A">
        <w:trPr>
          <w:jc w:val="center"/>
        </w:trPr>
        <w:tc>
          <w:tcPr>
            <w:tcW w:w="385" w:type="pct"/>
            <w:vMerge/>
          </w:tcPr>
          <w:p w14:paraId="7450DE58"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5D6ED7AB"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尾管悬挂器（套）</w:t>
            </w:r>
          </w:p>
        </w:tc>
        <w:tc>
          <w:tcPr>
            <w:tcW w:w="489" w:type="pct"/>
          </w:tcPr>
          <w:p w14:paraId="072A7869"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035A0E98"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w:t>
            </w:r>
          </w:p>
        </w:tc>
        <w:tc>
          <w:tcPr>
            <w:tcW w:w="489" w:type="pct"/>
          </w:tcPr>
          <w:p w14:paraId="30EE8468"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495A638C"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w:t>
            </w:r>
          </w:p>
        </w:tc>
        <w:tc>
          <w:tcPr>
            <w:tcW w:w="1712" w:type="pct"/>
          </w:tcPr>
          <w:p w14:paraId="2BA9BC90"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08102C63" w14:textId="77777777" w:rsidTr="00813B2A">
        <w:trPr>
          <w:jc w:val="center"/>
        </w:trPr>
        <w:tc>
          <w:tcPr>
            <w:tcW w:w="385" w:type="pct"/>
            <w:vMerge w:val="restart"/>
          </w:tcPr>
          <w:p w14:paraId="6F861580"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套管</w:t>
            </w:r>
          </w:p>
          <w:p w14:paraId="05F3C524"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扶正器</w:t>
            </w:r>
          </w:p>
        </w:tc>
        <w:tc>
          <w:tcPr>
            <w:tcW w:w="899" w:type="pct"/>
          </w:tcPr>
          <w:p w14:paraId="73DEB072"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扶正短节（只）</w:t>
            </w:r>
          </w:p>
        </w:tc>
        <w:tc>
          <w:tcPr>
            <w:tcW w:w="489" w:type="pct"/>
          </w:tcPr>
          <w:p w14:paraId="257A0DC5"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566F175B"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489" w:type="pct"/>
          </w:tcPr>
          <w:p w14:paraId="7EDFE143"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6DD1B40F"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1712" w:type="pct"/>
            <w:vMerge w:val="restart"/>
          </w:tcPr>
          <w:p w14:paraId="20F592DF"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扶正器规格必须与井眼及套管尺寸匹配。</w:t>
            </w:r>
          </w:p>
        </w:tc>
      </w:tr>
      <w:tr w:rsidR="00697429" w:rsidRPr="00092862" w14:paraId="28684E5A" w14:textId="77777777" w:rsidTr="00813B2A">
        <w:trPr>
          <w:jc w:val="center"/>
        </w:trPr>
        <w:tc>
          <w:tcPr>
            <w:tcW w:w="385" w:type="pct"/>
            <w:vMerge/>
          </w:tcPr>
          <w:p w14:paraId="6F838E5B"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24F92256"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弹性扶正器（只）</w:t>
            </w:r>
          </w:p>
        </w:tc>
        <w:tc>
          <w:tcPr>
            <w:tcW w:w="489" w:type="pct"/>
          </w:tcPr>
          <w:p w14:paraId="170F3DC1"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3EC0E4B0"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w:t>
            </w:r>
          </w:p>
        </w:tc>
        <w:tc>
          <w:tcPr>
            <w:tcW w:w="489" w:type="pct"/>
          </w:tcPr>
          <w:p w14:paraId="09120A09"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1417A36F"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w:t>
            </w:r>
          </w:p>
        </w:tc>
        <w:tc>
          <w:tcPr>
            <w:tcW w:w="1712" w:type="pct"/>
            <w:vMerge/>
          </w:tcPr>
          <w:p w14:paraId="69E59A96"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697E2C93" w14:textId="77777777" w:rsidTr="00813B2A">
        <w:trPr>
          <w:jc w:val="center"/>
        </w:trPr>
        <w:tc>
          <w:tcPr>
            <w:tcW w:w="385" w:type="pct"/>
            <w:vMerge/>
          </w:tcPr>
          <w:p w14:paraId="44928EB7"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4579C8EA"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整体式扶正器（只）</w:t>
            </w:r>
          </w:p>
        </w:tc>
        <w:tc>
          <w:tcPr>
            <w:tcW w:w="489" w:type="pct"/>
          </w:tcPr>
          <w:p w14:paraId="7F0F74D5"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0F0206D1"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50</w:t>
            </w:r>
          </w:p>
        </w:tc>
        <w:tc>
          <w:tcPr>
            <w:tcW w:w="489" w:type="pct"/>
          </w:tcPr>
          <w:p w14:paraId="5BCC4815"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46F62465"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50</w:t>
            </w:r>
          </w:p>
        </w:tc>
        <w:tc>
          <w:tcPr>
            <w:tcW w:w="1712" w:type="pct"/>
          </w:tcPr>
          <w:p w14:paraId="6BDF1D91" w14:textId="77777777" w:rsidR="00507764" w:rsidRPr="00092862" w:rsidRDefault="00507764" w:rsidP="00BF2B81">
            <w:pPr>
              <w:rPr>
                <w:rFonts w:ascii="Times New Roman" w:hAnsi="Times New Roman" w:cs="Times New Roman"/>
                <w:color w:val="000000" w:themeColor="text1"/>
                <w:szCs w:val="21"/>
              </w:rPr>
            </w:pPr>
          </w:p>
        </w:tc>
      </w:tr>
      <w:tr w:rsidR="00697429" w:rsidRPr="00092862" w14:paraId="7C27545D" w14:textId="77777777" w:rsidTr="00813B2A">
        <w:trPr>
          <w:jc w:val="center"/>
        </w:trPr>
        <w:tc>
          <w:tcPr>
            <w:tcW w:w="385" w:type="pct"/>
            <w:vMerge/>
          </w:tcPr>
          <w:p w14:paraId="2880E8A2" w14:textId="77777777" w:rsidR="00507764" w:rsidRPr="00092862" w:rsidRDefault="00507764" w:rsidP="00BF2B81">
            <w:pPr>
              <w:rPr>
                <w:rFonts w:ascii="Times New Roman" w:hAnsi="Times New Roman" w:cs="Times New Roman"/>
                <w:color w:val="000000" w:themeColor="text1"/>
                <w:szCs w:val="21"/>
              </w:rPr>
            </w:pPr>
          </w:p>
        </w:tc>
        <w:tc>
          <w:tcPr>
            <w:tcW w:w="899" w:type="pct"/>
          </w:tcPr>
          <w:p w14:paraId="74695189"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eastAsia="宋体" w:hAnsi="Times New Roman" w:cs="Times New Roman"/>
                <w:color w:val="000000" w:themeColor="text1"/>
                <w:szCs w:val="21"/>
              </w:rPr>
              <w:t>滚珠刚性扶正器（只）</w:t>
            </w:r>
          </w:p>
        </w:tc>
        <w:tc>
          <w:tcPr>
            <w:tcW w:w="489" w:type="pct"/>
          </w:tcPr>
          <w:p w14:paraId="10CFA047" w14:textId="77777777" w:rsidR="00507764" w:rsidRPr="00092862" w:rsidRDefault="00507764" w:rsidP="00BF2B81">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08447314"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70</w:t>
            </w:r>
          </w:p>
        </w:tc>
        <w:tc>
          <w:tcPr>
            <w:tcW w:w="489" w:type="pct"/>
          </w:tcPr>
          <w:p w14:paraId="44FF6AFB"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p>
        </w:tc>
        <w:tc>
          <w:tcPr>
            <w:tcW w:w="513" w:type="pct"/>
          </w:tcPr>
          <w:p w14:paraId="15B7F92D" w14:textId="77777777" w:rsidR="00507764" w:rsidRPr="00092862" w:rsidRDefault="00507764" w:rsidP="00813B2A">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63</w:t>
            </w:r>
          </w:p>
        </w:tc>
        <w:tc>
          <w:tcPr>
            <w:tcW w:w="1712" w:type="pct"/>
          </w:tcPr>
          <w:p w14:paraId="4DDEEC98" w14:textId="77777777" w:rsidR="00507764" w:rsidRPr="00092862" w:rsidRDefault="00507764" w:rsidP="00BF2B81">
            <w:pPr>
              <w:rPr>
                <w:rFonts w:ascii="Times New Roman" w:hAnsi="Times New Roman" w:cs="Times New Roman"/>
                <w:color w:val="000000" w:themeColor="text1"/>
                <w:szCs w:val="21"/>
              </w:rPr>
            </w:pPr>
          </w:p>
        </w:tc>
      </w:tr>
    </w:tbl>
    <w:p w14:paraId="5F881F8E" w14:textId="6CADEB48" w:rsidR="00E51D58" w:rsidRPr="00092862" w:rsidRDefault="00E51D58" w:rsidP="00E51D58">
      <w:pPr>
        <w:autoSpaceDE w:val="0"/>
        <w:autoSpaceDN w:val="0"/>
        <w:adjustRightInd w:val="0"/>
        <w:snapToGrid w:val="0"/>
        <w:textAlignment w:val="baseline"/>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注：固井材料可根据实际情况进行调整，必须满足水泥浆性能要求和施工要求</w:t>
      </w:r>
      <w:r w:rsidR="00A65C27" w:rsidRPr="00092862">
        <w:rPr>
          <w:rFonts w:ascii="Times New Roman" w:hAnsi="Times New Roman" w:cs="Times New Roman"/>
          <w:color w:val="000000" w:themeColor="text1"/>
          <w:szCs w:val="21"/>
        </w:rPr>
        <w:t>。</w:t>
      </w:r>
    </w:p>
    <w:p w14:paraId="042F682D" w14:textId="77777777" w:rsidR="00E51D58" w:rsidRPr="00092862" w:rsidRDefault="00E51D58" w:rsidP="00E51D58">
      <w:pPr>
        <w:autoSpaceDE w:val="0"/>
        <w:autoSpaceDN w:val="0"/>
        <w:adjustRightInd w:val="0"/>
        <w:snapToGrid w:val="0"/>
        <w:spacing w:beforeLines="50" w:before="120" w:line="360" w:lineRule="auto"/>
        <w:ind w:firstLine="482"/>
        <w:textAlignment w:val="baseline"/>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4</w:t>
      </w:r>
      <w:r w:rsidR="003B1968"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压裂作业材料消耗</w:t>
      </w:r>
    </w:p>
    <w:p w14:paraId="29BC34CE" w14:textId="10B08B51" w:rsidR="007B497F" w:rsidRPr="00092862" w:rsidRDefault="00A65C27" w:rsidP="007B497F">
      <w:pPr>
        <w:autoSpaceDE w:val="0"/>
        <w:autoSpaceDN w:val="0"/>
        <w:adjustRightInd w:val="0"/>
        <w:snapToGrid w:val="0"/>
        <w:spacing w:line="360" w:lineRule="auto"/>
        <w:ind w:firstLine="482"/>
        <w:textAlignment w:val="baseline"/>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本项目酸化压裂使用酸液主要为盐酸、缓蚀剂、铁离子、</w:t>
      </w:r>
      <w:r w:rsidRPr="00092862">
        <w:rPr>
          <w:rFonts w:ascii="Times New Roman" w:eastAsia="宋体" w:hAnsi="Times New Roman" w:cs="Times New Roman"/>
          <w:color w:val="000000" w:themeColor="text1"/>
          <w:sz w:val="24"/>
          <w:szCs w:val="24"/>
        </w:rPr>
        <w:t>KCl</w:t>
      </w:r>
      <w:r w:rsidRPr="00092862">
        <w:rPr>
          <w:rFonts w:ascii="Times New Roman" w:eastAsia="宋体" w:hAnsi="Times New Roman" w:cs="Times New Roman"/>
          <w:color w:val="000000" w:themeColor="text1"/>
          <w:sz w:val="24"/>
          <w:szCs w:val="24"/>
        </w:rPr>
        <w:t>、降阻剂、防膨剂、稳定剂等按照比例组成，不含重金属。项目酸化压裂液均不在现场配制，由罐车拉运至井场，所有压裂液均储存在罐中。</w:t>
      </w:r>
    </w:p>
    <w:p w14:paraId="341B9D45" w14:textId="5339FF8C" w:rsidR="00507764" w:rsidRPr="00092862" w:rsidRDefault="00507764" w:rsidP="00224BF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L7011-4H</w:t>
      </w:r>
      <w:r w:rsidRPr="00092862">
        <w:rPr>
          <w:rFonts w:ascii="Times New Roman" w:eastAsia="宋体" w:hAnsi="Times New Roman" w:cs="Times New Roman"/>
          <w:color w:val="000000" w:themeColor="text1"/>
          <w:sz w:val="24"/>
          <w:szCs w:val="24"/>
        </w:rPr>
        <w:t>采用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钻采一体化</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投产模式，全井采用</w:t>
      </w:r>
      <w:r w:rsidRPr="00092862">
        <w:rPr>
          <w:rFonts w:ascii="Times New Roman" w:eastAsia="宋体" w:hAnsi="Times New Roman" w:cs="Times New Roman"/>
          <w:color w:val="000000" w:themeColor="text1"/>
          <w:sz w:val="24"/>
          <w:szCs w:val="24"/>
        </w:rPr>
        <w:t>Φ88.9mm</w:t>
      </w:r>
      <w:r w:rsidRPr="00092862">
        <w:rPr>
          <w:rFonts w:ascii="Times New Roman" w:eastAsia="宋体" w:hAnsi="Times New Roman" w:cs="Times New Roman"/>
          <w:color w:val="000000" w:themeColor="text1"/>
          <w:sz w:val="24"/>
          <w:szCs w:val="24"/>
        </w:rPr>
        <w:t>分段酸化</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生产一体化完井管柱，第二投球滑套及以上完井油管采用</w:t>
      </w:r>
      <w:r w:rsidRPr="00092862">
        <w:rPr>
          <w:rFonts w:ascii="Times New Roman" w:eastAsia="宋体" w:hAnsi="Times New Roman" w:cs="Times New Roman"/>
          <w:color w:val="000000" w:themeColor="text1"/>
          <w:sz w:val="24"/>
          <w:szCs w:val="24"/>
        </w:rPr>
        <w:t>Φ88.9mm4c</w:t>
      </w:r>
      <w:r w:rsidRPr="00092862">
        <w:rPr>
          <w:rFonts w:ascii="Times New Roman" w:eastAsia="宋体" w:hAnsi="Times New Roman" w:cs="Times New Roman"/>
          <w:color w:val="000000" w:themeColor="text1"/>
          <w:sz w:val="24"/>
          <w:szCs w:val="24"/>
        </w:rPr>
        <w:t>类镍基合金油管，</w:t>
      </w:r>
      <w:r w:rsidRPr="00092862">
        <w:rPr>
          <w:rFonts w:ascii="Times New Roman" w:eastAsia="宋体" w:hAnsi="Times New Roman" w:cs="Times New Roman"/>
          <w:color w:val="000000" w:themeColor="text1"/>
          <w:sz w:val="24"/>
          <w:szCs w:val="24"/>
        </w:rPr>
        <w:t>718</w:t>
      </w:r>
      <w:r w:rsidRPr="00092862">
        <w:rPr>
          <w:rFonts w:ascii="Times New Roman" w:eastAsia="宋体" w:hAnsi="Times New Roman" w:cs="Times New Roman"/>
          <w:color w:val="000000" w:themeColor="text1"/>
          <w:sz w:val="24"/>
          <w:szCs w:val="24"/>
        </w:rPr>
        <w:t>材质完井工具；第二投球滑套以下采用</w:t>
      </w:r>
      <w:r w:rsidRPr="00092862">
        <w:rPr>
          <w:rFonts w:ascii="Times New Roman" w:eastAsia="宋体" w:hAnsi="Times New Roman" w:cs="Times New Roman"/>
          <w:color w:val="000000" w:themeColor="text1"/>
          <w:sz w:val="24"/>
          <w:szCs w:val="24"/>
        </w:rPr>
        <w:t>110SS</w:t>
      </w:r>
      <w:r w:rsidRPr="00092862">
        <w:rPr>
          <w:rFonts w:ascii="Times New Roman" w:eastAsia="宋体" w:hAnsi="Times New Roman" w:cs="Times New Roman"/>
          <w:color w:val="000000" w:themeColor="text1"/>
          <w:sz w:val="24"/>
          <w:szCs w:val="24"/>
        </w:rPr>
        <w:t>材质油管和完井工具。目的层飞三段以三类层为主，采用</w:t>
      </w:r>
      <w:r w:rsidRPr="00092862">
        <w:rPr>
          <w:rFonts w:ascii="Times New Roman" w:eastAsia="宋体" w:hAnsi="Times New Roman" w:cs="Times New Roman"/>
          <w:color w:val="000000" w:themeColor="text1"/>
          <w:sz w:val="24"/>
          <w:szCs w:val="24"/>
        </w:rPr>
        <w:t>Φ102mm</w:t>
      </w:r>
      <w:r w:rsidRPr="00092862">
        <w:rPr>
          <w:rFonts w:ascii="Times New Roman" w:eastAsia="宋体" w:hAnsi="Times New Roman" w:cs="Times New Roman"/>
          <w:color w:val="000000" w:themeColor="text1"/>
          <w:sz w:val="24"/>
          <w:szCs w:val="24"/>
        </w:rPr>
        <w:t>防硫射孔枪、大</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米射孔弹一次性射开储层，</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清洁酸</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滑溜水</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多级交替注入深度酸化，分</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段进行酸化改造。采用</w:t>
      </w:r>
      <w:r w:rsidRPr="00092862">
        <w:rPr>
          <w:rFonts w:ascii="Times New Roman" w:eastAsia="宋体" w:hAnsi="Times New Roman" w:cs="Times New Roman"/>
          <w:color w:val="000000" w:themeColor="text1"/>
          <w:sz w:val="24"/>
          <w:szCs w:val="24"/>
        </w:rPr>
        <w:t>HH</w:t>
      </w:r>
      <w:r w:rsidRPr="00092862">
        <w:rPr>
          <w:rFonts w:ascii="Times New Roman" w:eastAsia="宋体" w:hAnsi="Times New Roman" w:cs="Times New Roman"/>
          <w:color w:val="000000" w:themeColor="text1"/>
          <w:sz w:val="24"/>
          <w:szCs w:val="24"/>
        </w:rPr>
        <w:t>级</w:t>
      </w:r>
      <w:r w:rsidRPr="00092862">
        <w:rPr>
          <w:rFonts w:ascii="Times New Roman" w:eastAsia="宋体" w:hAnsi="Times New Roman" w:cs="Times New Roman"/>
          <w:color w:val="000000" w:themeColor="text1"/>
          <w:sz w:val="24"/>
          <w:szCs w:val="24"/>
        </w:rPr>
        <w:t>105</w:t>
      </w:r>
      <w:r w:rsidRPr="00092862">
        <w:rPr>
          <w:rFonts w:ascii="Times New Roman" w:eastAsia="宋体" w:hAnsi="Times New Roman" w:cs="Times New Roman"/>
          <w:color w:val="000000" w:themeColor="text1"/>
          <w:sz w:val="24"/>
          <w:szCs w:val="24"/>
        </w:rPr>
        <w:t>兆帕采气井口，配套</w:t>
      </w:r>
      <w:r w:rsidRPr="00092862">
        <w:rPr>
          <w:rFonts w:ascii="Times New Roman" w:eastAsia="宋体" w:hAnsi="Times New Roman" w:cs="Times New Roman"/>
          <w:color w:val="000000" w:themeColor="text1"/>
          <w:sz w:val="24"/>
          <w:szCs w:val="24"/>
        </w:rPr>
        <w:t>70</w:t>
      </w:r>
      <w:r w:rsidRPr="00092862">
        <w:rPr>
          <w:rFonts w:ascii="Times New Roman" w:eastAsia="宋体" w:hAnsi="Times New Roman" w:cs="Times New Roman"/>
          <w:color w:val="000000" w:themeColor="text1"/>
          <w:sz w:val="24"/>
          <w:szCs w:val="24"/>
        </w:rPr>
        <w:t>兆帕地面控制系统。施工排量</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立方米</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分钟，井口最高压力</w:t>
      </w:r>
      <w:r w:rsidRPr="00092862">
        <w:rPr>
          <w:rFonts w:ascii="Times New Roman" w:eastAsia="宋体" w:hAnsi="Times New Roman" w:cs="Times New Roman"/>
          <w:color w:val="000000" w:themeColor="text1"/>
          <w:sz w:val="24"/>
          <w:szCs w:val="24"/>
        </w:rPr>
        <w:t>89.61</w:t>
      </w:r>
      <w:r w:rsidRPr="00092862">
        <w:rPr>
          <w:rFonts w:ascii="Times New Roman" w:eastAsia="宋体" w:hAnsi="Times New Roman" w:cs="Times New Roman"/>
          <w:color w:val="000000" w:themeColor="text1"/>
          <w:sz w:val="24"/>
          <w:szCs w:val="24"/>
        </w:rPr>
        <w:t>兆帕，总液量</w:t>
      </w:r>
      <w:r w:rsidRPr="00092862">
        <w:rPr>
          <w:rFonts w:ascii="Times New Roman" w:eastAsia="宋体" w:hAnsi="Times New Roman" w:cs="Times New Roman"/>
          <w:color w:val="000000" w:themeColor="text1"/>
          <w:sz w:val="24"/>
          <w:szCs w:val="24"/>
        </w:rPr>
        <w:t>2090</w:t>
      </w:r>
      <w:r w:rsidRPr="00092862">
        <w:rPr>
          <w:rFonts w:ascii="Times New Roman" w:eastAsia="宋体" w:hAnsi="Times New Roman" w:cs="Times New Roman"/>
          <w:color w:val="000000" w:themeColor="text1"/>
          <w:sz w:val="24"/>
          <w:szCs w:val="24"/>
        </w:rPr>
        <w:t>立方米。</w:t>
      </w:r>
      <w:r w:rsidRPr="00092862">
        <w:rPr>
          <w:rFonts w:ascii="Times New Roman" w:eastAsia="宋体" w:hAnsi="Times New Roman" w:cs="Times New Roman"/>
          <w:color w:val="000000" w:themeColor="text1"/>
          <w:sz w:val="24"/>
          <w:szCs w:val="24"/>
        </w:rPr>
        <w:t>L7011-5H</w:t>
      </w:r>
      <w:r w:rsidRPr="00092862">
        <w:rPr>
          <w:rFonts w:ascii="Times New Roman" w:eastAsia="宋体" w:hAnsi="Times New Roman" w:cs="Times New Roman"/>
          <w:color w:val="000000" w:themeColor="text1"/>
          <w:sz w:val="24"/>
          <w:szCs w:val="24"/>
        </w:rPr>
        <w:t>采用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钻采一体化</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投产模式，全井采用</w:t>
      </w:r>
      <w:r w:rsidRPr="00092862">
        <w:rPr>
          <w:rFonts w:ascii="Times New Roman" w:eastAsia="宋体" w:hAnsi="Times New Roman" w:cs="Times New Roman"/>
          <w:color w:val="000000" w:themeColor="text1"/>
          <w:sz w:val="24"/>
          <w:szCs w:val="24"/>
        </w:rPr>
        <w:t>Φ88.9mm</w:t>
      </w:r>
      <w:r w:rsidRPr="00092862">
        <w:rPr>
          <w:rFonts w:ascii="Times New Roman" w:eastAsia="宋体" w:hAnsi="Times New Roman" w:cs="Times New Roman"/>
          <w:color w:val="000000" w:themeColor="text1"/>
          <w:sz w:val="24"/>
          <w:szCs w:val="24"/>
        </w:rPr>
        <w:t>笼统酸化</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生产一体化完井管柱，</w:t>
      </w:r>
      <w:r w:rsidRPr="00092862">
        <w:rPr>
          <w:rFonts w:ascii="Times New Roman" w:eastAsia="宋体" w:hAnsi="Times New Roman" w:cs="Times New Roman"/>
          <w:color w:val="000000" w:themeColor="text1"/>
          <w:sz w:val="24"/>
          <w:szCs w:val="24"/>
        </w:rPr>
        <w:t>4c</w:t>
      </w:r>
      <w:r w:rsidRPr="00092862">
        <w:rPr>
          <w:rFonts w:ascii="Times New Roman" w:eastAsia="宋体" w:hAnsi="Times New Roman" w:cs="Times New Roman"/>
          <w:color w:val="000000" w:themeColor="text1"/>
          <w:sz w:val="24"/>
          <w:szCs w:val="24"/>
        </w:rPr>
        <w:t>类镍基合金油管，</w:t>
      </w:r>
      <w:r w:rsidRPr="00092862">
        <w:rPr>
          <w:rFonts w:ascii="Times New Roman" w:eastAsia="宋体" w:hAnsi="Times New Roman" w:cs="Times New Roman"/>
          <w:color w:val="000000" w:themeColor="text1"/>
          <w:sz w:val="24"/>
          <w:szCs w:val="24"/>
        </w:rPr>
        <w:t>718</w:t>
      </w:r>
      <w:r w:rsidRPr="00092862">
        <w:rPr>
          <w:rFonts w:ascii="Times New Roman" w:eastAsia="宋体" w:hAnsi="Times New Roman" w:cs="Times New Roman"/>
          <w:color w:val="000000" w:themeColor="text1"/>
          <w:sz w:val="24"/>
          <w:szCs w:val="24"/>
        </w:rPr>
        <w:t>材质完井工具。目的层以二、三类层为主，采用</w:t>
      </w:r>
      <w:r w:rsidRPr="00092862">
        <w:rPr>
          <w:rFonts w:ascii="Times New Roman" w:eastAsia="宋体" w:hAnsi="Times New Roman" w:cs="Times New Roman"/>
          <w:color w:val="000000" w:themeColor="text1"/>
          <w:sz w:val="24"/>
          <w:szCs w:val="24"/>
        </w:rPr>
        <w:t>Φ102mm</w:t>
      </w:r>
      <w:r w:rsidRPr="00092862">
        <w:rPr>
          <w:rFonts w:ascii="Times New Roman" w:eastAsia="宋体" w:hAnsi="Times New Roman" w:cs="Times New Roman"/>
          <w:color w:val="000000" w:themeColor="text1"/>
          <w:sz w:val="24"/>
          <w:szCs w:val="24"/>
        </w:rPr>
        <w:t>防硫射孔枪、大</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米射孔弹一次性射开储层，笼统注入暂堵酸化改造。采用</w:t>
      </w:r>
      <w:r w:rsidRPr="00092862">
        <w:rPr>
          <w:rFonts w:ascii="Times New Roman" w:eastAsia="宋体" w:hAnsi="Times New Roman" w:cs="Times New Roman"/>
          <w:color w:val="000000" w:themeColor="text1"/>
          <w:sz w:val="24"/>
          <w:szCs w:val="24"/>
        </w:rPr>
        <w:t>HH</w:t>
      </w:r>
      <w:r w:rsidRPr="00092862">
        <w:rPr>
          <w:rFonts w:ascii="Times New Roman" w:eastAsia="宋体" w:hAnsi="Times New Roman" w:cs="Times New Roman"/>
          <w:color w:val="000000" w:themeColor="text1"/>
          <w:sz w:val="24"/>
          <w:szCs w:val="24"/>
        </w:rPr>
        <w:t>级</w:t>
      </w:r>
      <w:r w:rsidRPr="00092862">
        <w:rPr>
          <w:rFonts w:ascii="Times New Roman" w:eastAsia="宋体" w:hAnsi="Times New Roman" w:cs="Times New Roman"/>
          <w:color w:val="000000" w:themeColor="text1"/>
          <w:sz w:val="24"/>
          <w:szCs w:val="24"/>
        </w:rPr>
        <w:t>105</w:t>
      </w:r>
      <w:r w:rsidRPr="00092862">
        <w:rPr>
          <w:rFonts w:ascii="Times New Roman" w:eastAsia="宋体" w:hAnsi="Times New Roman" w:cs="Times New Roman"/>
          <w:color w:val="000000" w:themeColor="text1"/>
          <w:sz w:val="24"/>
          <w:szCs w:val="24"/>
        </w:rPr>
        <w:t>兆帕采气井口，配套</w:t>
      </w:r>
      <w:r w:rsidRPr="00092862">
        <w:rPr>
          <w:rFonts w:ascii="Times New Roman" w:eastAsia="宋体" w:hAnsi="Times New Roman" w:cs="Times New Roman"/>
          <w:color w:val="000000" w:themeColor="text1"/>
          <w:sz w:val="24"/>
          <w:szCs w:val="24"/>
        </w:rPr>
        <w:t>70</w:t>
      </w:r>
      <w:r w:rsidRPr="00092862">
        <w:rPr>
          <w:rFonts w:ascii="Times New Roman" w:eastAsia="宋体" w:hAnsi="Times New Roman" w:cs="Times New Roman"/>
          <w:color w:val="000000" w:themeColor="text1"/>
          <w:sz w:val="24"/>
          <w:szCs w:val="24"/>
        </w:rPr>
        <w:t>兆帕地面控制系统。最高施工排量</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立方米</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分钟，井口最高压力</w:t>
      </w:r>
      <w:r w:rsidRPr="00092862">
        <w:rPr>
          <w:rFonts w:ascii="Times New Roman" w:eastAsia="宋体" w:hAnsi="Times New Roman" w:cs="Times New Roman"/>
          <w:color w:val="000000" w:themeColor="text1"/>
          <w:sz w:val="24"/>
          <w:szCs w:val="24"/>
        </w:rPr>
        <w:t>89.61</w:t>
      </w:r>
      <w:r w:rsidRPr="00092862">
        <w:rPr>
          <w:rFonts w:ascii="Times New Roman" w:eastAsia="宋体" w:hAnsi="Times New Roman" w:cs="Times New Roman"/>
          <w:color w:val="000000" w:themeColor="text1"/>
          <w:sz w:val="24"/>
          <w:szCs w:val="24"/>
        </w:rPr>
        <w:t>兆帕，总液量</w:t>
      </w:r>
      <w:r w:rsidRPr="00092862">
        <w:rPr>
          <w:rFonts w:ascii="Times New Roman" w:eastAsia="宋体" w:hAnsi="Times New Roman" w:cs="Times New Roman"/>
          <w:color w:val="000000" w:themeColor="text1"/>
          <w:sz w:val="24"/>
          <w:szCs w:val="24"/>
        </w:rPr>
        <w:t>375</w:t>
      </w:r>
      <w:r w:rsidRPr="00092862">
        <w:rPr>
          <w:rFonts w:ascii="Times New Roman" w:eastAsia="宋体" w:hAnsi="Times New Roman" w:cs="Times New Roman"/>
          <w:color w:val="000000" w:themeColor="text1"/>
          <w:sz w:val="24"/>
          <w:szCs w:val="24"/>
        </w:rPr>
        <w:t>立方米。</w:t>
      </w:r>
    </w:p>
    <w:p w14:paraId="35C331B0" w14:textId="28FA86CD" w:rsidR="00DC446C" w:rsidRPr="00092862" w:rsidRDefault="006E4D52" w:rsidP="006E4D52">
      <w:pPr>
        <w:autoSpaceDE w:val="0"/>
        <w:autoSpaceDN w:val="0"/>
        <w:adjustRightInd w:val="0"/>
        <w:snapToGrid w:val="0"/>
        <w:spacing w:line="360" w:lineRule="auto"/>
        <w:ind w:firstLineChars="200" w:firstLine="480"/>
        <w:textAlignment w:val="baseline"/>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3.2.5.2</w:t>
      </w:r>
      <w:r w:rsidR="001A6854" w:rsidRPr="00092862">
        <w:rPr>
          <w:rFonts w:ascii="Times New Roman" w:eastAsia="黑体" w:hAnsi="Times New Roman" w:cs="Times New Roman"/>
          <w:color w:val="000000" w:themeColor="text1"/>
          <w:sz w:val="24"/>
          <w:szCs w:val="24"/>
        </w:rPr>
        <w:t>试采期</w:t>
      </w:r>
    </w:p>
    <w:p w14:paraId="1C55F193" w14:textId="16560E55" w:rsidR="00DC446C" w:rsidRPr="00092862" w:rsidRDefault="003B1968" w:rsidP="006E4D52">
      <w:pPr>
        <w:autoSpaceDE w:val="0"/>
        <w:autoSpaceDN w:val="0"/>
        <w:adjustRightInd w:val="0"/>
        <w:snapToGrid w:val="0"/>
        <w:spacing w:line="360" w:lineRule="auto"/>
        <w:ind w:firstLineChars="200" w:firstLine="480"/>
        <w:textAlignment w:val="baseline"/>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w:t>
      </w:r>
      <w:r w:rsidR="00625D3A"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期为天然气的</w:t>
      </w:r>
      <w:r w:rsidR="009879B7" w:rsidRPr="00092862">
        <w:rPr>
          <w:rFonts w:ascii="Times New Roman" w:eastAsia="宋体" w:hAnsi="Times New Roman" w:cs="Times New Roman"/>
          <w:color w:val="000000" w:themeColor="text1"/>
          <w:sz w:val="24"/>
          <w:szCs w:val="24"/>
        </w:rPr>
        <w:t>试</w:t>
      </w:r>
      <w:r w:rsidRPr="00092862">
        <w:rPr>
          <w:rFonts w:ascii="Times New Roman" w:eastAsia="宋体" w:hAnsi="Times New Roman" w:cs="Times New Roman"/>
          <w:color w:val="000000" w:themeColor="text1"/>
          <w:sz w:val="24"/>
          <w:szCs w:val="24"/>
        </w:rPr>
        <w:t>采，控制系统消耗一定的电能，</w:t>
      </w:r>
      <w:r w:rsidR="00C26134" w:rsidRPr="00092862">
        <w:rPr>
          <w:rFonts w:ascii="Times New Roman" w:eastAsia="宋体" w:hAnsi="Times New Roman" w:cs="Times New Roman"/>
          <w:color w:val="000000" w:themeColor="text1"/>
          <w:sz w:val="24"/>
          <w:szCs w:val="24"/>
        </w:rPr>
        <w:t>水套加热炉</w:t>
      </w:r>
      <w:r w:rsidRPr="00092862">
        <w:rPr>
          <w:rFonts w:ascii="Times New Roman" w:eastAsia="宋体" w:hAnsi="Times New Roman" w:cs="Times New Roman"/>
          <w:color w:val="000000" w:themeColor="text1"/>
          <w:sz w:val="24"/>
          <w:szCs w:val="24"/>
        </w:rPr>
        <w:t>加热系统消耗一定的天然气</w:t>
      </w:r>
      <w:r w:rsidR="00ED4F93" w:rsidRPr="00092862">
        <w:rPr>
          <w:rFonts w:ascii="Times New Roman" w:eastAsia="宋体" w:hAnsi="Times New Roman" w:cs="Times New Roman"/>
          <w:color w:val="000000" w:themeColor="text1"/>
          <w:sz w:val="24"/>
          <w:szCs w:val="24"/>
        </w:rPr>
        <w:t>，</w:t>
      </w:r>
      <w:r w:rsidR="0064169A" w:rsidRPr="00092862">
        <w:rPr>
          <w:rFonts w:ascii="Times New Roman" w:eastAsia="宋体" w:hAnsi="Times New Roman" w:cs="Times New Roman"/>
          <w:color w:val="000000" w:themeColor="text1"/>
          <w:sz w:val="24"/>
          <w:szCs w:val="24"/>
        </w:rPr>
        <w:t>新建</w:t>
      </w:r>
      <w:r w:rsidR="0064169A" w:rsidRPr="00092862">
        <w:rPr>
          <w:rFonts w:ascii="Times New Roman" w:eastAsia="宋体" w:hAnsi="Times New Roman" w:cs="Times New Roman"/>
          <w:color w:val="000000" w:themeColor="text1"/>
          <w:sz w:val="24"/>
          <w:szCs w:val="24"/>
        </w:rPr>
        <w:t>1</w:t>
      </w:r>
      <w:r w:rsidR="0064169A" w:rsidRPr="00092862">
        <w:rPr>
          <w:rFonts w:ascii="Times New Roman" w:eastAsia="宋体" w:hAnsi="Times New Roman" w:cs="Times New Roman"/>
          <w:color w:val="000000" w:themeColor="text1"/>
          <w:sz w:val="24"/>
          <w:szCs w:val="24"/>
        </w:rPr>
        <w:t>座采气站将产生生产用电</w:t>
      </w:r>
      <w:r w:rsidRPr="00092862">
        <w:rPr>
          <w:rFonts w:ascii="Times New Roman" w:eastAsia="宋体" w:hAnsi="Times New Roman" w:cs="Times New Roman"/>
          <w:color w:val="000000" w:themeColor="text1"/>
          <w:sz w:val="24"/>
          <w:szCs w:val="24"/>
        </w:rPr>
        <w:t>，</w:t>
      </w:r>
      <w:r w:rsidR="009879B7"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工程主要原辅材料消耗情况见下表</w:t>
      </w:r>
      <w:r w:rsidR="00FF312D" w:rsidRPr="00092862">
        <w:rPr>
          <w:rFonts w:ascii="Times New Roman" w:eastAsia="宋体" w:hAnsi="Times New Roman" w:cs="Times New Roman"/>
          <w:color w:val="000000" w:themeColor="text1"/>
          <w:sz w:val="24"/>
          <w:szCs w:val="24"/>
        </w:rPr>
        <w:t>3.2-</w:t>
      </w:r>
      <w:r w:rsidR="002C77F6" w:rsidRPr="00092862">
        <w:rPr>
          <w:rFonts w:ascii="Times New Roman" w:eastAsia="宋体" w:hAnsi="Times New Roman" w:cs="Times New Roman"/>
          <w:color w:val="000000" w:themeColor="text1"/>
          <w:sz w:val="24"/>
          <w:szCs w:val="24"/>
        </w:rPr>
        <w:t>30</w:t>
      </w:r>
      <w:r w:rsidRPr="00092862">
        <w:rPr>
          <w:rFonts w:ascii="Times New Roman" w:eastAsia="宋体" w:hAnsi="Times New Roman" w:cs="Times New Roman"/>
          <w:color w:val="000000" w:themeColor="text1"/>
          <w:sz w:val="24"/>
          <w:szCs w:val="24"/>
        </w:rPr>
        <w:t>。</w:t>
      </w:r>
    </w:p>
    <w:p w14:paraId="28215691" w14:textId="40B99758" w:rsidR="00DC446C" w:rsidRPr="00092862" w:rsidRDefault="003B1968" w:rsidP="002C77F6">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表</w:t>
      </w:r>
      <w:r w:rsidR="00FF312D" w:rsidRPr="00092862">
        <w:rPr>
          <w:rFonts w:ascii="Times New Roman" w:eastAsia="黑体" w:hAnsi="Times New Roman" w:cs="Times New Roman"/>
          <w:color w:val="000000" w:themeColor="text1"/>
          <w:szCs w:val="21"/>
        </w:rPr>
        <w:t>3.2-</w:t>
      </w:r>
      <w:r w:rsidR="002C77F6" w:rsidRPr="00092862">
        <w:rPr>
          <w:rFonts w:ascii="Times New Roman" w:eastAsia="黑体" w:hAnsi="Times New Roman" w:cs="Times New Roman"/>
          <w:color w:val="000000" w:themeColor="text1"/>
          <w:szCs w:val="21"/>
        </w:rPr>
        <w:t>30</w:t>
      </w:r>
      <w:r w:rsidRPr="00092862">
        <w:rPr>
          <w:rFonts w:ascii="Times New Roman" w:eastAsia="黑体" w:hAnsi="Times New Roman" w:cs="Times New Roman"/>
          <w:color w:val="000000" w:themeColor="text1"/>
          <w:szCs w:val="21"/>
        </w:rPr>
        <w:t xml:space="preserve">  </w:t>
      </w:r>
      <w:r w:rsidR="00D26362" w:rsidRPr="00092862">
        <w:rPr>
          <w:rFonts w:ascii="Times New Roman" w:eastAsia="黑体" w:hAnsi="Times New Roman" w:cs="Times New Roman"/>
          <w:color w:val="000000" w:themeColor="text1"/>
          <w:szCs w:val="21"/>
        </w:rPr>
        <w:t>试采</w:t>
      </w:r>
      <w:r w:rsidRPr="00092862">
        <w:rPr>
          <w:rFonts w:ascii="Times New Roman" w:eastAsia="黑体" w:hAnsi="Times New Roman" w:cs="Times New Roman"/>
          <w:color w:val="000000" w:themeColor="text1"/>
          <w:szCs w:val="21"/>
        </w:rPr>
        <w:t>工程材料消耗一览表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875"/>
        <w:gridCol w:w="1164"/>
        <w:gridCol w:w="1461"/>
        <w:gridCol w:w="948"/>
        <w:gridCol w:w="2898"/>
      </w:tblGrid>
      <w:tr w:rsidR="00697429" w:rsidRPr="00092862" w14:paraId="49A050AE" w14:textId="77777777" w:rsidTr="00E202C7">
        <w:trPr>
          <w:jc w:val="center"/>
        </w:trPr>
        <w:tc>
          <w:tcPr>
            <w:tcW w:w="0" w:type="auto"/>
            <w:vAlign w:val="center"/>
          </w:tcPr>
          <w:p w14:paraId="2202BB10" w14:textId="77777777" w:rsidR="00DC446C" w:rsidRPr="00092862" w:rsidRDefault="00A94A24"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类别</w:t>
            </w:r>
          </w:p>
        </w:tc>
        <w:tc>
          <w:tcPr>
            <w:tcW w:w="0" w:type="auto"/>
            <w:vAlign w:val="center"/>
          </w:tcPr>
          <w:p w14:paraId="5DCF2C1A"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0" w:type="auto"/>
            <w:vAlign w:val="center"/>
          </w:tcPr>
          <w:p w14:paraId="6FDBD2BC"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名称</w:t>
            </w:r>
          </w:p>
        </w:tc>
        <w:tc>
          <w:tcPr>
            <w:tcW w:w="0" w:type="auto"/>
            <w:vAlign w:val="center"/>
          </w:tcPr>
          <w:p w14:paraId="5F3068B6"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单位</w:t>
            </w:r>
          </w:p>
        </w:tc>
        <w:tc>
          <w:tcPr>
            <w:tcW w:w="0" w:type="auto"/>
            <w:vAlign w:val="center"/>
          </w:tcPr>
          <w:p w14:paraId="5F2DF60B"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数量</w:t>
            </w:r>
          </w:p>
        </w:tc>
        <w:tc>
          <w:tcPr>
            <w:tcW w:w="0" w:type="auto"/>
            <w:vAlign w:val="center"/>
          </w:tcPr>
          <w:p w14:paraId="0144DB5E"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0011355F" w14:textId="77777777" w:rsidTr="00E202C7">
        <w:trPr>
          <w:jc w:val="center"/>
        </w:trPr>
        <w:tc>
          <w:tcPr>
            <w:tcW w:w="0" w:type="auto"/>
            <w:vMerge w:val="restart"/>
            <w:vAlign w:val="center"/>
          </w:tcPr>
          <w:p w14:paraId="26441182"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能源</w:t>
            </w:r>
          </w:p>
        </w:tc>
        <w:tc>
          <w:tcPr>
            <w:tcW w:w="0" w:type="auto"/>
            <w:vAlign w:val="center"/>
          </w:tcPr>
          <w:p w14:paraId="1C60758E"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0" w:type="auto"/>
            <w:vAlign w:val="center"/>
          </w:tcPr>
          <w:p w14:paraId="3B8A8D72"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天然气</w:t>
            </w:r>
          </w:p>
        </w:tc>
        <w:tc>
          <w:tcPr>
            <w:tcW w:w="0" w:type="auto"/>
            <w:vAlign w:val="center"/>
          </w:tcPr>
          <w:p w14:paraId="4D61257B" w14:textId="409AF5CE" w:rsidR="00DC446C" w:rsidRPr="00092862" w:rsidRDefault="008632E7"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万</w:t>
            </w:r>
            <w:r w:rsidR="003B1968" w:rsidRPr="00092862">
              <w:rPr>
                <w:rFonts w:ascii="Times New Roman" w:eastAsia="宋体" w:hAnsi="Times New Roman" w:cs="Times New Roman"/>
                <w:color w:val="000000" w:themeColor="text1"/>
                <w:szCs w:val="21"/>
              </w:rPr>
              <w:t>m</w:t>
            </w:r>
            <w:r w:rsidR="003B1968" w:rsidRPr="00092862">
              <w:rPr>
                <w:rFonts w:ascii="Times New Roman" w:eastAsia="宋体" w:hAnsi="Times New Roman" w:cs="Times New Roman"/>
                <w:color w:val="000000" w:themeColor="text1"/>
                <w:szCs w:val="21"/>
                <w:vertAlign w:val="superscript"/>
              </w:rPr>
              <w:t>3</w:t>
            </w:r>
            <w:r w:rsidR="003B1968" w:rsidRPr="00092862">
              <w:rPr>
                <w:rFonts w:ascii="Times New Roman" w:eastAsia="宋体" w:hAnsi="Times New Roman" w:cs="Times New Roman"/>
                <w:color w:val="000000" w:themeColor="text1"/>
                <w:szCs w:val="21"/>
              </w:rPr>
              <w:t>/a</w:t>
            </w:r>
          </w:p>
        </w:tc>
        <w:tc>
          <w:tcPr>
            <w:tcW w:w="0" w:type="auto"/>
            <w:vAlign w:val="center"/>
          </w:tcPr>
          <w:p w14:paraId="22E7BC13" w14:textId="2F96AE0E" w:rsidR="00DC446C" w:rsidRPr="00092862" w:rsidRDefault="00996889"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19.8</w:t>
            </w:r>
          </w:p>
        </w:tc>
        <w:tc>
          <w:tcPr>
            <w:tcW w:w="0" w:type="auto"/>
            <w:vAlign w:val="center"/>
          </w:tcPr>
          <w:p w14:paraId="2F26D6F5" w14:textId="03FDE697" w:rsidR="00DC446C" w:rsidRPr="00092862" w:rsidRDefault="0064169A"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水套加热炉消耗燃气</w:t>
            </w:r>
          </w:p>
        </w:tc>
      </w:tr>
      <w:tr w:rsidR="00697429" w:rsidRPr="00092862" w14:paraId="3C37C06D" w14:textId="77777777" w:rsidTr="00E202C7">
        <w:trPr>
          <w:jc w:val="center"/>
        </w:trPr>
        <w:tc>
          <w:tcPr>
            <w:tcW w:w="0" w:type="auto"/>
            <w:vMerge/>
            <w:vAlign w:val="center"/>
          </w:tcPr>
          <w:p w14:paraId="2F39321D" w14:textId="77777777" w:rsidR="00DC446C" w:rsidRPr="00092862" w:rsidRDefault="00DC446C" w:rsidP="003D2EEB">
            <w:pPr>
              <w:adjustRightInd w:val="0"/>
              <w:snapToGrid w:val="0"/>
              <w:jc w:val="center"/>
              <w:rPr>
                <w:rFonts w:ascii="Times New Roman" w:eastAsia="宋体" w:hAnsi="Times New Roman" w:cs="Times New Roman"/>
                <w:color w:val="000000" w:themeColor="text1"/>
                <w:szCs w:val="21"/>
              </w:rPr>
            </w:pPr>
          </w:p>
        </w:tc>
        <w:tc>
          <w:tcPr>
            <w:tcW w:w="0" w:type="auto"/>
            <w:vAlign w:val="center"/>
          </w:tcPr>
          <w:p w14:paraId="404449A5"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0" w:type="auto"/>
            <w:vAlign w:val="center"/>
          </w:tcPr>
          <w:p w14:paraId="16CA0E85"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电</w:t>
            </w:r>
          </w:p>
        </w:tc>
        <w:tc>
          <w:tcPr>
            <w:tcW w:w="0" w:type="auto"/>
            <w:vAlign w:val="center"/>
          </w:tcPr>
          <w:p w14:paraId="609BB40B" w14:textId="13D4B602" w:rsidR="00DC446C" w:rsidRPr="00092862" w:rsidRDefault="008632E7"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万</w:t>
            </w:r>
            <w:r w:rsidR="003B1968" w:rsidRPr="00092862">
              <w:rPr>
                <w:rFonts w:ascii="Times New Roman" w:eastAsia="宋体" w:hAnsi="Times New Roman" w:cs="Times New Roman"/>
                <w:color w:val="000000" w:themeColor="text1"/>
                <w:szCs w:val="21"/>
              </w:rPr>
              <w:t>kw·h/a</w:t>
            </w:r>
          </w:p>
        </w:tc>
        <w:tc>
          <w:tcPr>
            <w:tcW w:w="0" w:type="auto"/>
            <w:vAlign w:val="center"/>
          </w:tcPr>
          <w:p w14:paraId="5056FEE2" w14:textId="6420244A" w:rsidR="00DC446C" w:rsidRPr="00092862" w:rsidRDefault="0064169A"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25.88</w:t>
            </w:r>
          </w:p>
        </w:tc>
        <w:tc>
          <w:tcPr>
            <w:tcW w:w="0" w:type="auto"/>
            <w:vAlign w:val="center"/>
          </w:tcPr>
          <w:p w14:paraId="347D0BBA" w14:textId="77777777" w:rsidR="00DC446C" w:rsidRPr="00092862" w:rsidRDefault="003B1968" w:rsidP="003D2EE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当地电网</w:t>
            </w:r>
          </w:p>
        </w:tc>
      </w:tr>
    </w:tbl>
    <w:p w14:paraId="4A571420" w14:textId="7D072227" w:rsidR="00A44666" w:rsidRPr="00092862" w:rsidRDefault="00A44666" w:rsidP="00A44666">
      <w:pPr>
        <w:pStyle w:val="3"/>
        <w:adjustRightInd w:val="0"/>
        <w:snapToGrid w:val="0"/>
        <w:spacing w:beforeLines="50" w:before="120" w:after="0" w:line="360" w:lineRule="auto"/>
        <w:ind w:firstLineChars="200" w:firstLine="480"/>
        <w:jc w:val="both"/>
        <w:rPr>
          <w:rFonts w:ascii="Times New Roman" w:eastAsia="黑体" w:hAnsi="Times New Roman"/>
          <w:b w:val="0"/>
          <w:color w:val="000000" w:themeColor="text1"/>
          <w:sz w:val="24"/>
          <w:szCs w:val="24"/>
          <w:lang w:eastAsia="zh-CN"/>
        </w:rPr>
      </w:pPr>
      <w:bookmarkStart w:id="100" w:name="3.3建设项目环境影响因素分析"/>
      <w:bookmarkStart w:id="101" w:name="_bookmark19"/>
      <w:bookmarkStart w:id="102" w:name="_Toc120173104"/>
      <w:bookmarkEnd w:id="100"/>
      <w:bookmarkEnd w:id="101"/>
      <w:r w:rsidRPr="00092862">
        <w:rPr>
          <w:rFonts w:ascii="Times New Roman" w:eastAsia="黑体" w:hAnsi="Times New Roman"/>
          <w:b w:val="0"/>
          <w:color w:val="000000" w:themeColor="text1"/>
          <w:sz w:val="24"/>
          <w:szCs w:val="24"/>
          <w:lang w:eastAsia="zh-CN"/>
        </w:rPr>
        <w:lastRenderedPageBreak/>
        <w:t>3.2.</w:t>
      </w:r>
      <w:r w:rsidR="00E31BE9" w:rsidRPr="00092862">
        <w:rPr>
          <w:rFonts w:ascii="Times New Roman" w:eastAsia="黑体" w:hAnsi="Times New Roman"/>
          <w:b w:val="0"/>
          <w:color w:val="000000" w:themeColor="text1"/>
          <w:sz w:val="24"/>
          <w:szCs w:val="24"/>
          <w:lang w:eastAsia="zh-CN"/>
        </w:rPr>
        <w:t>6</w:t>
      </w:r>
      <w:r w:rsidRPr="00092862">
        <w:rPr>
          <w:rFonts w:ascii="Times New Roman" w:eastAsia="黑体" w:hAnsi="Times New Roman"/>
          <w:b w:val="0"/>
          <w:color w:val="000000" w:themeColor="text1"/>
          <w:sz w:val="24"/>
          <w:szCs w:val="24"/>
          <w:lang w:eastAsia="zh-CN"/>
        </w:rPr>
        <w:t>项目给排水及供电</w:t>
      </w:r>
      <w:bookmarkEnd w:id="102"/>
    </w:p>
    <w:p w14:paraId="09ABF0A9" w14:textId="77777777" w:rsidR="00A44666" w:rsidRPr="00092862" w:rsidRDefault="00A44666" w:rsidP="00A44666">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1</w:t>
      </w:r>
      <w:r w:rsidRPr="00092862">
        <w:rPr>
          <w:rFonts w:ascii="Times New Roman" w:eastAsia="黑体" w:hAnsi="Times New Roman"/>
          <w:color w:val="000000" w:themeColor="text1"/>
          <w:lang w:eastAsia="zh-CN"/>
        </w:rPr>
        <w:t>、项目给水</w:t>
      </w:r>
    </w:p>
    <w:p w14:paraId="243C3F7D" w14:textId="4305760E" w:rsidR="00A44666" w:rsidRPr="00092862" w:rsidRDefault="00A44666" w:rsidP="00A44666">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本项目施工期的生产用水就近采用周边地表水</w:t>
      </w:r>
      <w:r w:rsidR="0068664D" w:rsidRPr="00092862">
        <w:rPr>
          <w:rFonts w:ascii="Times New Roman" w:hAnsi="Times New Roman"/>
          <w:color w:val="000000" w:themeColor="text1"/>
          <w:lang w:eastAsia="zh-CN"/>
        </w:rPr>
        <w:t>（可从后河罐车拉运）</w:t>
      </w:r>
      <w:r w:rsidRPr="00092862">
        <w:rPr>
          <w:rFonts w:ascii="Times New Roman" w:hAnsi="Times New Roman"/>
          <w:color w:val="000000" w:themeColor="text1"/>
          <w:lang w:eastAsia="zh-CN"/>
        </w:rPr>
        <w:t>，生活用水</w:t>
      </w:r>
      <w:r w:rsidR="00B02B53" w:rsidRPr="00092862">
        <w:rPr>
          <w:rFonts w:ascii="Times New Roman" w:hAnsi="Times New Roman"/>
          <w:color w:val="000000" w:themeColor="text1"/>
          <w:kern w:val="28"/>
          <w:szCs w:val="21"/>
          <w:lang w:eastAsia="zh-CN"/>
        </w:rPr>
        <w:t>车辆拉运桶装水至场地</w:t>
      </w:r>
      <w:bookmarkStart w:id="103" w:name="_Hlk91062915"/>
      <w:r w:rsidR="00ED4F93" w:rsidRPr="00092862">
        <w:rPr>
          <w:rFonts w:ascii="Times New Roman" w:hAnsi="Times New Roman"/>
          <w:color w:val="000000" w:themeColor="text1"/>
          <w:lang w:eastAsia="zh-CN"/>
        </w:rPr>
        <w:t>。试采期用水为</w:t>
      </w:r>
      <w:r w:rsidR="00ED4F93" w:rsidRPr="00092862">
        <w:rPr>
          <w:rFonts w:ascii="Times New Roman" w:hAnsi="Times New Roman"/>
          <w:color w:val="000000" w:themeColor="text1"/>
          <w:kern w:val="28"/>
          <w:szCs w:val="21"/>
          <w:lang w:eastAsia="zh-CN"/>
        </w:rPr>
        <w:t>车辆拉运桶装水至场地</w:t>
      </w:r>
      <w:r w:rsidR="00ED4F93" w:rsidRPr="00092862">
        <w:rPr>
          <w:rFonts w:ascii="Times New Roman" w:hAnsi="Times New Roman"/>
          <w:color w:val="000000" w:themeColor="text1"/>
          <w:lang w:eastAsia="zh-CN"/>
        </w:rPr>
        <w:t>。</w:t>
      </w:r>
      <w:bookmarkEnd w:id="103"/>
    </w:p>
    <w:p w14:paraId="12A0D665" w14:textId="77777777" w:rsidR="00A44666" w:rsidRPr="00092862" w:rsidRDefault="00A44666" w:rsidP="00A44666">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2</w:t>
      </w:r>
      <w:r w:rsidRPr="00092862">
        <w:rPr>
          <w:rFonts w:ascii="Times New Roman" w:eastAsia="黑体" w:hAnsi="Times New Roman"/>
          <w:color w:val="000000" w:themeColor="text1"/>
          <w:lang w:eastAsia="zh-CN"/>
        </w:rPr>
        <w:t>、项目排水</w:t>
      </w:r>
    </w:p>
    <w:p w14:paraId="3F4D8D46" w14:textId="23C35367" w:rsidR="00A44666" w:rsidRPr="00092862" w:rsidRDefault="00A44666" w:rsidP="00A44666">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本项目井场排水采用雨污分流，井场四周设置排水沟，并设置集水坑，场内雨水通过场内排水沟和集水坑（</w:t>
      </w:r>
      <w:r w:rsidRPr="00092862">
        <w:rPr>
          <w:rFonts w:ascii="Times New Roman" w:hAnsi="Times New Roman"/>
          <w:color w:val="000000" w:themeColor="text1"/>
          <w:lang w:eastAsia="zh-CN"/>
        </w:rPr>
        <w:t>4</w:t>
      </w:r>
      <w:r w:rsidRPr="00092862">
        <w:rPr>
          <w:rFonts w:ascii="Times New Roman" w:hAnsi="Times New Roman"/>
          <w:color w:val="000000" w:themeColor="text1"/>
          <w:lang w:eastAsia="zh-CN"/>
        </w:rPr>
        <w:t>个）隔油收集后，初期雨水、井口方井内收集的雨水通过泵提升至泥浆不落地区域暂存，与钻井废水合并处理，后期雨水散排至附近沟渠。若场内雨水被污染流入外环沟，则需封闭外环沟由作业队伍从集水坑抽汲至</w:t>
      </w:r>
      <w:r w:rsidR="00400A6A" w:rsidRPr="00092862">
        <w:rPr>
          <w:rFonts w:ascii="Times New Roman" w:hAnsi="Times New Roman"/>
          <w:color w:val="000000" w:themeColor="text1"/>
          <w:lang w:eastAsia="zh-CN"/>
        </w:rPr>
        <w:t>废</w:t>
      </w:r>
      <w:r w:rsidRPr="00092862">
        <w:rPr>
          <w:rFonts w:ascii="Times New Roman" w:hAnsi="Times New Roman"/>
          <w:color w:val="000000" w:themeColor="text1"/>
          <w:lang w:eastAsia="zh-CN"/>
        </w:rPr>
        <w:t>水罐或放喷池。</w:t>
      </w:r>
    </w:p>
    <w:p w14:paraId="1D319332" w14:textId="0590EE04" w:rsidR="00A44666" w:rsidRPr="00092862" w:rsidRDefault="00A44666" w:rsidP="00A44666">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经固液分离后的钻井液满足要求的全部在钻井过程中回用，剩余部分和设备冲洗废水、方井雨水、失效泥浆、岩屑等经泥浆不落地装置接收处理后形成钻井废水，部分回用于钻井过程，不可回用于钻井过程的钻井废水</w:t>
      </w:r>
      <w:r w:rsidR="002F5871"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洗井废水</w:t>
      </w:r>
      <w:r w:rsidR="002F5871" w:rsidRPr="00092862">
        <w:rPr>
          <w:rFonts w:ascii="Times New Roman" w:hAnsi="Times New Roman"/>
          <w:color w:val="000000" w:themeColor="text1"/>
          <w:lang w:eastAsia="zh-CN"/>
        </w:rPr>
        <w:t>（固液分离的上清液）与压裂返排液</w:t>
      </w:r>
      <w:r w:rsidRPr="00092862">
        <w:rPr>
          <w:rFonts w:ascii="Times New Roman" w:hAnsi="Times New Roman"/>
          <w:color w:val="000000" w:themeColor="text1"/>
          <w:lang w:eastAsia="zh-CN"/>
        </w:rPr>
        <w:t>一起通过密闭罐车</w:t>
      </w:r>
      <w:r w:rsidR="00313593" w:rsidRPr="00092862">
        <w:rPr>
          <w:rFonts w:ascii="Times New Roman" w:hAnsi="Times New Roman"/>
          <w:color w:val="000000" w:themeColor="text1"/>
          <w:lang w:eastAsia="zh-CN"/>
        </w:rPr>
        <w:t>拉运至</w:t>
      </w:r>
      <w:r w:rsidR="005D5A22" w:rsidRPr="00092862">
        <w:rPr>
          <w:rFonts w:ascii="Times New Roman" w:hAnsi="Times New Roman"/>
          <w:color w:val="000000" w:themeColor="text1"/>
          <w:lang w:eastAsia="zh-CN"/>
        </w:rPr>
        <w:t>赵家坝污水处理站达标后管输至普光</w:t>
      </w:r>
      <w:r w:rsidR="005D5A22" w:rsidRPr="00092862">
        <w:rPr>
          <w:rFonts w:ascii="Times New Roman" w:hAnsi="Times New Roman"/>
          <w:color w:val="000000" w:themeColor="text1"/>
          <w:lang w:eastAsia="zh-CN"/>
        </w:rPr>
        <w:t>11</w:t>
      </w:r>
      <w:r w:rsidR="005D5A22" w:rsidRPr="00092862">
        <w:rPr>
          <w:rFonts w:ascii="Times New Roman" w:hAnsi="Times New Roman"/>
          <w:color w:val="000000" w:themeColor="text1"/>
          <w:lang w:eastAsia="zh-CN"/>
        </w:rPr>
        <w:t>井回注站回注</w:t>
      </w:r>
      <w:r w:rsidR="00313593" w:rsidRPr="00092862">
        <w:rPr>
          <w:rFonts w:ascii="Times New Roman" w:hAnsi="Times New Roman"/>
          <w:color w:val="000000" w:themeColor="text1"/>
          <w:lang w:eastAsia="zh-CN"/>
        </w:rPr>
        <w:t>，不外排</w:t>
      </w:r>
      <w:r w:rsidRPr="00092862">
        <w:rPr>
          <w:rFonts w:ascii="Times New Roman" w:hAnsi="Times New Roman"/>
          <w:color w:val="000000" w:themeColor="text1"/>
          <w:lang w:eastAsia="zh-CN"/>
        </w:rPr>
        <w:t>；</w:t>
      </w:r>
      <w:r w:rsidR="00271DF7" w:rsidRPr="00092862">
        <w:rPr>
          <w:rFonts w:ascii="Times New Roman" w:hAnsi="Times New Roman"/>
          <w:color w:val="000000" w:themeColor="text1"/>
          <w:lang w:eastAsia="zh-CN"/>
        </w:rPr>
        <w:t>生活污水经生态厕所收集后定期由密闭罐车拉运至周边生活污水处理厂处理</w:t>
      </w:r>
      <w:r w:rsidRPr="00092862">
        <w:rPr>
          <w:rFonts w:ascii="Times New Roman" w:hAnsi="Times New Roman"/>
          <w:color w:val="000000" w:themeColor="text1"/>
          <w:lang w:eastAsia="zh-CN"/>
        </w:rPr>
        <w:t>。在井场主要设备基础周边均设置了环状污水沟，用于收集可能产生的污水及雨季时雨水淋滤水，这部分废水通过连接处的集污坑隔油沉淀后最终汇入废水接收罐，接收罐及排污沟围堰上边缘均要高出井场</w:t>
      </w:r>
      <w:r w:rsidRPr="00092862">
        <w:rPr>
          <w:rFonts w:ascii="Times New Roman" w:hAnsi="Times New Roman"/>
          <w:color w:val="000000" w:themeColor="text1"/>
          <w:lang w:eastAsia="zh-CN"/>
        </w:rPr>
        <w:t>20cm</w:t>
      </w:r>
      <w:r w:rsidRPr="00092862">
        <w:rPr>
          <w:rFonts w:ascii="Times New Roman" w:hAnsi="Times New Roman"/>
          <w:color w:val="000000" w:themeColor="text1"/>
          <w:lang w:eastAsia="zh-CN"/>
        </w:rPr>
        <w:t>左右，确保污水不进入雨水排水系统，也防止雨水进入污水系统增加废水量。项目天然气</w:t>
      </w:r>
      <w:r w:rsidR="00625D3A" w:rsidRPr="00092862">
        <w:rPr>
          <w:rFonts w:ascii="Times New Roman" w:hAnsi="Times New Roman"/>
          <w:color w:val="000000" w:themeColor="text1"/>
          <w:lang w:eastAsia="zh-CN"/>
        </w:rPr>
        <w:t>试采</w:t>
      </w:r>
      <w:r w:rsidRPr="00092862">
        <w:rPr>
          <w:rFonts w:ascii="Times New Roman" w:hAnsi="Times New Roman"/>
          <w:color w:val="000000" w:themeColor="text1"/>
          <w:lang w:eastAsia="zh-CN"/>
        </w:rPr>
        <w:t>产生的采气废水</w:t>
      </w:r>
      <w:r w:rsidR="002F5871" w:rsidRPr="00092862">
        <w:rPr>
          <w:rFonts w:ascii="Times New Roman" w:hAnsi="Times New Roman"/>
          <w:color w:val="000000" w:themeColor="text1"/>
          <w:lang w:eastAsia="zh-CN"/>
        </w:rPr>
        <w:t>（气田水）</w:t>
      </w:r>
      <w:r w:rsidRPr="00092862">
        <w:rPr>
          <w:rFonts w:ascii="Times New Roman" w:hAnsi="Times New Roman"/>
          <w:color w:val="000000" w:themeColor="text1"/>
          <w:lang w:eastAsia="zh-CN"/>
        </w:rPr>
        <w:t>用</w:t>
      </w:r>
      <w:r w:rsidR="00DD4FA1" w:rsidRPr="00092862">
        <w:rPr>
          <w:rFonts w:ascii="Times New Roman" w:hAnsi="Times New Roman"/>
          <w:color w:val="000000" w:themeColor="text1"/>
          <w:lang w:eastAsia="zh-CN"/>
        </w:rPr>
        <w:t>火炬分液罐</w:t>
      </w:r>
      <w:r w:rsidRPr="00092862">
        <w:rPr>
          <w:rFonts w:ascii="Times New Roman" w:hAnsi="Times New Roman"/>
          <w:color w:val="000000" w:themeColor="text1"/>
          <w:lang w:eastAsia="zh-CN"/>
        </w:rPr>
        <w:t>收集</w:t>
      </w:r>
      <w:r w:rsidR="002F5871" w:rsidRPr="00092862">
        <w:rPr>
          <w:rFonts w:ascii="Times New Roman" w:hAnsi="Times New Roman"/>
          <w:color w:val="000000" w:themeColor="text1"/>
          <w:lang w:eastAsia="zh-CN"/>
        </w:rPr>
        <w:t>暂存</w:t>
      </w:r>
      <w:r w:rsidRPr="00092862">
        <w:rPr>
          <w:rFonts w:ascii="Times New Roman" w:hAnsi="Times New Roman"/>
          <w:color w:val="000000" w:themeColor="text1"/>
          <w:lang w:eastAsia="zh-CN"/>
        </w:rPr>
        <w:t>，</w:t>
      </w:r>
      <w:r w:rsidR="002F5871" w:rsidRPr="00092862">
        <w:rPr>
          <w:rFonts w:ascii="Times New Roman" w:hAnsi="Times New Roman"/>
          <w:color w:val="000000" w:themeColor="text1"/>
          <w:lang w:eastAsia="zh-CN"/>
        </w:rPr>
        <w:t>暂存一定量后密闭罐车</w:t>
      </w:r>
      <w:r w:rsidR="005D5A22" w:rsidRPr="00092862">
        <w:rPr>
          <w:rFonts w:ascii="Times New Roman" w:hAnsi="Times New Roman"/>
          <w:color w:val="000000" w:themeColor="text1"/>
          <w:lang w:eastAsia="zh-CN"/>
        </w:rPr>
        <w:t>运至赵家坝污水处理站</w:t>
      </w:r>
      <w:r w:rsidR="002F5871" w:rsidRPr="00092862">
        <w:rPr>
          <w:rFonts w:ascii="Times New Roman" w:hAnsi="Times New Roman"/>
          <w:color w:val="000000" w:themeColor="text1"/>
          <w:lang w:eastAsia="zh-CN"/>
        </w:rPr>
        <w:t>处理达到《气田水回注方法》（</w:t>
      </w:r>
      <w:r w:rsidR="002F5871" w:rsidRPr="00092862">
        <w:rPr>
          <w:rFonts w:ascii="Times New Roman" w:hAnsi="Times New Roman"/>
          <w:color w:val="000000" w:themeColor="text1"/>
          <w:lang w:eastAsia="zh-CN"/>
        </w:rPr>
        <w:t>SY/T 6596-2016</w:t>
      </w:r>
      <w:r w:rsidR="002F5871" w:rsidRPr="00092862">
        <w:rPr>
          <w:rFonts w:ascii="Times New Roman" w:hAnsi="Times New Roman"/>
          <w:color w:val="000000" w:themeColor="text1"/>
          <w:lang w:eastAsia="zh-CN"/>
        </w:rPr>
        <w:t>）中注入水基本要求后管输至</w:t>
      </w:r>
      <w:r w:rsidR="005D5A22" w:rsidRPr="00092862">
        <w:rPr>
          <w:rFonts w:ascii="Times New Roman" w:hAnsi="Times New Roman"/>
          <w:color w:val="000000" w:themeColor="text1"/>
          <w:lang w:eastAsia="zh-CN"/>
        </w:rPr>
        <w:t>普光</w:t>
      </w:r>
      <w:r w:rsidR="005D5A22" w:rsidRPr="00092862">
        <w:rPr>
          <w:rFonts w:ascii="Times New Roman" w:hAnsi="Times New Roman"/>
          <w:color w:val="000000" w:themeColor="text1"/>
          <w:lang w:eastAsia="zh-CN"/>
        </w:rPr>
        <w:t>11</w:t>
      </w:r>
      <w:r w:rsidR="005D5A22" w:rsidRPr="00092862">
        <w:rPr>
          <w:rFonts w:ascii="Times New Roman" w:hAnsi="Times New Roman"/>
          <w:color w:val="000000" w:themeColor="text1"/>
          <w:lang w:eastAsia="zh-CN"/>
        </w:rPr>
        <w:t>井回注站</w:t>
      </w:r>
      <w:r w:rsidR="002F5871" w:rsidRPr="00092862">
        <w:rPr>
          <w:rFonts w:ascii="Times New Roman" w:hAnsi="Times New Roman"/>
          <w:color w:val="000000" w:themeColor="text1"/>
          <w:lang w:eastAsia="zh-CN"/>
        </w:rPr>
        <w:t>回注处理，不外排</w:t>
      </w:r>
      <w:r w:rsidR="003F5110" w:rsidRPr="00092862">
        <w:rPr>
          <w:rFonts w:ascii="Times New Roman" w:hAnsi="Times New Roman"/>
          <w:color w:val="000000" w:themeColor="text1"/>
          <w:lang w:eastAsia="zh-CN"/>
        </w:rPr>
        <w:t>。</w:t>
      </w:r>
    </w:p>
    <w:p w14:paraId="11E893B3" w14:textId="77777777" w:rsidR="00A44666" w:rsidRPr="00092862" w:rsidRDefault="00E35A65" w:rsidP="00E27787">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3</w:t>
      </w:r>
      <w:r w:rsidRPr="00092862">
        <w:rPr>
          <w:rFonts w:ascii="Times New Roman" w:eastAsia="黑体" w:hAnsi="Times New Roman"/>
          <w:color w:val="000000" w:themeColor="text1"/>
          <w:lang w:eastAsia="zh-CN"/>
        </w:rPr>
        <w:t>、</w:t>
      </w:r>
      <w:r w:rsidR="00A44666" w:rsidRPr="00092862">
        <w:rPr>
          <w:rFonts w:ascii="Times New Roman" w:eastAsia="黑体" w:hAnsi="Times New Roman"/>
          <w:color w:val="000000" w:themeColor="text1"/>
          <w:lang w:eastAsia="zh-CN"/>
        </w:rPr>
        <w:t>项目供电</w:t>
      </w:r>
    </w:p>
    <w:p w14:paraId="2276E5CA" w14:textId="3F6FFDE6" w:rsidR="00E27787" w:rsidRPr="00092862" w:rsidRDefault="00A44666" w:rsidP="00E27787">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项目施工期用电优先采用电网接入，在停电等紧急情况下则启用备用柴油发电机组供电。项目</w:t>
      </w:r>
      <w:r w:rsidR="001A6854" w:rsidRPr="00092862">
        <w:rPr>
          <w:rFonts w:ascii="Times New Roman" w:hAnsi="Times New Roman"/>
          <w:color w:val="000000" w:themeColor="text1"/>
          <w:lang w:eastAsia="zh-CN"/>
        </w:rPr>
        <w:t>试采期</w:t>
      </w:r>
      <w:r w:rsidRPr="00092862">
        <w:rPr>
          <w:rFonts w:ascii="Times New Roman" w:hAnsi="Times New Roman"/>
          <w:color w:val="000000" w:themeColor="text1"/>
          <w:lang w:eastAsia="zh-CN"/>
        </w:rPr>
        <w:t>，场站内的控制系统计量系统用电等均由地方电网供给。</w:t>
      </w:r>
    </w:p>
    <w:p w14:paraId="465A2CDB" w14:textId="096107AE" w:rsidR="00E27787" w:rsidRPr="00092862" w:rsidRDefault="00E27787" w:rsidP="00E27787">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104" w:name="_Toc120173105"/>
      <w:r w:rsidRPr="00092862">
        <w:rPr>
          <w:rFonts w:ascii="Times New Roman" w:eastAsia="黑体" w:hAnsi="Times New Roman"/>
          <w:b w:val="0"/>
          <w:color w:val="000000" w:themeColor="text1"/>
          <w:sz w:val="24"/>
          <w:szCs w:val="24"/>
          <w:lang w:eastAsia="zh-CN"/>
        </w:rPr>
        <w:t>3.2.</w:t>
      </w:r>
      <w:r w:rsidR="00E31BE9" w:rsidRPr="00092862">
        <w:rPr>
          <w:rFonts w:ascii="Times New Roman" w:eastAsia="黑体" w:hAnsi="Times New Roman"/>
          <w:b w:val="0"/>
          <w:color w:val="000000" w:themeColor="text1"/>
          <w:sz w:val="24"/>
          <w:szCs w:val="24"/>
          <w:lang w:eastAsia="zh-CN"/>
        </w:rPr>
        <w:t>7</w:t>
      </w:r>
      <w:r w:rsidR="00DC4F5B" w:rsidRPr="00092862">
        <w:rPr>
          <w:rFonts w:ascii="Times New Roman" w:eastAsia="黑体" w:hAnsi="Times New Roman"/>
          <w:b w:val="0"/>
          <w:color w:val="000000" w:themeColor="text1"/>
          <w:sz w:val="24"/>
          <w:szCs w:val="24"/>
          <w:lang w:eastAsia="zh-CN"/>
        </w:rPr>
        <w:t>工程占地及土石方平衡</w:t>
      </w:r>
      <w:bookmarkEnd w:id="104"/>
    </w:p>
    <w:p w14:paraId="0C77A96D" w14:textId="6DD7C762" w:rsidR="00B40D7D" w:rsidRPr="00092862" w:rsidRDefault="00754770" w:rsidP="00754770">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w:t>
      </w:r>
      <w:r w:rsidR="00507764" w:rsidRPr="00092862">
        <w:rPr>
          <w:rFonts w:ascii="Times New Roman" w:hAnsi="Times New Roman"/>
          <w:color w:val="000000" w:themeColor="text1"/>
          <w:lang w:eastAsia="zh-CN"/>
        </w:rPr>
        <w:t>为新建</w:t>
      </w:r>
      <w:r w:rsidRPr="00092862">
        <w:rPr>
          <w:rFonts w:ascii="Times New Roman" w:hAnsi="Times New Roman"/>
          <w:color w:val="000000" w:themeColor="text1"/>
          <w:lang w:eastAsia="zh-CN"/>
        </w:rPr>
        <w:t>，</w:t>
      </w:r>
      <w:r w:rsidR="00507764" w:rsidRPr="00092862">
        <w:rPr>
          <w:rFonts w:ascii="Times New Roman" w:hAnsi="Times New Roman"/>
          <w:color w:val="000000" w:themeColor="text1"/>
          <w:lang w:eastAsia="zh-CN"/>
        </w:rPr>
        <w:t>主要建设内容为新建井场、</w:t>
      </w:r>
      <w:r w:rsidRPr="00092862">
        <w:rPr>
          <w:rFonts w:ascii="Times New Roman" w:hAnsi="Times New Roman"/>
          <w:color w:val="000000" w:themeColor="text1"/>
          <w:lang w:eastAsia="zh-CN"/>
        </w:rPr>
        <w:t>进场道路、放喷池、</w:t>
      </w:r>
      <w:r w:rsidR="00ED4F93" w:rsidRPr="00092862">
        <w:rPr>
          <w:rFonts w:ascii="Times New Roman" w:hAnsi="Times New Roman"/>
          <w:color w:val="000000" w:themeColor="text1"/>
          <w:lang w:eastAsia="zh-CN"/>
        </w:rPr>
        <w:t>污水池、火炬区</w:t>
      </w:r>
      <w:r w:rsidRPr="00092862">
        <w:rPr>
          <w:rFonts w:ascii="Times New Roman" w:hAnsi="Times New Roman"/>
          <w:color w:val="000000" w:themeColor="text1"/>
          <w:lang w:eastAsia="zh-CN"/>
        </w:rPr>
        <w:t>等。</w:t>
      </w:r>
      <w:r w:rsidR="00B40D7D" w:rsidRPr="00092862">
        <w:rPr>
          <w:rFonts w:ascii="Times New Roman" w:hAnsi="Times New Roman"/>
          <w:color w:val="000000" w:themeColor="text1"/>
          <w:lang w:eastAsia="zh-CN"/>
        </w:rPr>
        <w:t>工程占地及土石方情况如下。</w:t>
      </w:r>
    </w:p>
    <w:p w14:paraId="65AB623C" w14:textId="77777777" w:rsidR="00DC4F5B" w:rsidRPr="00092862" w:rsidRDefault="00E27787" w:rsidP="00DC4F5B">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lastRenderedPageBreak/>
        <w:t>1</w:t>
      </w:r>
      <w:r w:rsidRPr="00092862">
        <w:rPr>
          <w:rFonts w:ascii="Times New Roman" w:eastAsia="黑体" w:hAnsi="Times New Roman"/>
          <w:color w:val="000000" w:themeColor="text1"/>
          <w:lang w:eastAsia="zh-CN"/>
        </w:rPr>
        <w:t>、工程</w:t>
      </w:r>
      <w:r w:rsidR="00DC4F5B" w:rsidRPr="00092862">
        <w:rPr>
          <w:rFonts w:ascii="Times New Roman" w:eastAsia="黑体" w:hAnsi="Times New Roman"/>
          <w:color w:val="000000" w:themeColor="text1"/>
          <w:lang w:eastAsia="zh-CN"/>
        </w:rPr>
        <w:t>占地</w:t>
      </w:r>
    </w:p>
    <w:p w14:paraId="7AE47501" w14:textId="63A03436" w:rsidR="00DC4F5B" w:rsidRPr="00092862" w:rsidRDefault="00507764" w:rsidP="00DC4F5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拟建工程用新增临时占地约</w:t>
      </w:r>
      <w:r w:rsidRPr="00092862">
        <w:rPr>
          <w:rFonts w:ascii="Times New Roman" w:hAnsi="Times New Roman"/>
          <w:color w:val="000000" w:themeColor="text1"/>
          <w:lang w:eastAsia="zh-CN"/>
        </w:rPr>
        <w:t>25986.8m</w:t>
      </w:r>
      <w:r w:rsidRPr="00092862">
        <w:rPr>
          <w:rFonts w:ascii="Times New Roman" w:hAnsi="Times New Roman"/>
          <w:color w:val="000000" w:themeColor="text1"/>
          <w:vertAlign w:val="superscript"/>
          <w:lang w:eastAsia="zh-CN"/>
        </w:rPr>
        <w:t>2</w:t>
      </w:r>
      <w:r w:rsidRPr="00092862">
        <w:rPr>
          <w:rFonts w:ascii="Times New Roman" w:hAnsi="Times New Roman"/>
          <w:color w:val="000000" w:themeColor="text1"/>
          <w:lang w:eastAsia="zh-CN"/>
        </w:rPr>
        <w:t>。主要占地类型为乔木林地、旱地及荒草地</w:t>
      </w:r>
      <w:r w:rsidR="005D0B23" w:rsidRPr="00092862">
        <w:rPr>
          <w:rFonts w:ascii="Times New Roman" w:hAnsi="Times New Roman"/>
          <w:color w:val="000000" w:themeColor="text1"/>
          <w:lang w:eastAsia="zh-CN"/>
        </w:rPr>
        <w:t>，</w:t>
      </w:r>
      <w:r w:rsidR="00DC4F5B" w:rsidRPr="00092862">
        <w:rPr>
          <w:rFonts w:ascii="Times New Roman" w:hAnsi="Times New Roman"/>
          <w:color w:val="000000" w:themeColor="text1"/>
          <w:lang w:eastAsia="zh-CN"/>
        </w:rPr>
        <w:t>工程的具体占地情况见表</w:t>
      </w:r>
      <w:r w:rsidR="00CD305E" w:rsidRPr="00092862">
        <w:rPr>
          <w:rFonts w:ascii="Times New Roman" w:hAnsi="Times New Roman"/>
          <w:color w:val="000000" w:themeColor="text1"/>
          <w:lang w:eastAsia="zh-CN"/>
        </w:rPr>
        <w:t>3.2-</w:t>
      </w:r>
      <w:r w:rsidR="002C77F6" w:rsidRPr="00092862">
        <w:rPr>
          <w:rFonts w:ascii="Times New Roman" w:hAnsi="Times New Roman"/>
          <w:color w:val="000000" w:themeColor="text1"/>
          <w:lang w:eastAsia="zh-CN"/>
        </w:rPr>
        <w:t>31</w:t>
      </w:r>
      <w:r w:rsidR="00DC4F5B" w:rsidRPr="00092862">
        <w:rPr>
          <w:rFonts w:ascii="Times New Roman" w:hAnsi="Times New Roman"/>
          <w:color w:val="000000" w:themeColor="text1"/>
          <w:lang w:eastAsia="zh-CN"/>
        </w:rPr>
        <w:t>。</w:t>
      </w:r>
    </w:p>
    <w:p w14:paraId="2969A612" w14:textId="0303BF53" w:rsidR="00DC4F5B" w:rsidRPr="00092862" w:rsidRDefault="00DC4F5B" w:rsidP="002C77F6">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表</w:t>
      </w:r>
      <w:r w:rsidR="00CD305E" w:rsidRPr="00092862">
        <w:rPr>
          <w:rFonts w:ascii="Times New Roman" w:eastAsia="黑体" w:hAnsi="Times New Roman" w:cs="Times New Roman"/>
          <w:color w:val="000000" w:themeColor="text1"/>
          <w:szCs w:val="21"/>
        </w:rPr>
        <w:t>3.2-</w:t>
      </w:r>
      <w:r w:rsidR="002C77F6" w:rsidRPr="00092862">
        <w:rPr>
          <w:rFonts w:ascii="Times New Roman" w:eastAsia="黑体" w:hAnsi="Times New Roman" w:cs="Times New Roman"/>
          <w:color w:val="000000" w:themeColor="text1"/>
          <w:szCs w:val="21"/>
        </w:rPr>
        <w:t>31</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工程占地类型一览表</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单位：</w:t>
      </w:r>
      <w:r w:rsidRPr="00092862">
        <w:rPr>
          <w:rFonts w:ascii="Times New Roman" w:eastAsia="黑体" w:hAnsi="Times New Roman" w:cs="Times New Roman"/>
          <w:color w:val="000000" w:themeColor="text1"/>
          <w:szCs w:val="21"/>
        </w:rPr>
        <w:t>m</w:t>
      </w:r>
      <w:r w:rsidRPr="00092862">
        <w:rPr>
          <w:rFonts w:ascii="Times New Roman" w:eastAsia="黑体" w:hAnsi="Times New Roman" w:cs="Times New Roman"/>
          <w:color w:val="000000" w:themeColor="text1"/>
          <w:szCs w:val="21"/>
          <w:vertAlign w:val="superscript"/>
        </w:rPr>
        <w:t>2</w:t>
      </w:r>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2"/>
        <w:gridCol w:w="1566"/>
        <w:gridCol w:w="1330"/>
        <w:gridCol w:w="1418"/>
        <w:gridCol w:w="1275"/>
        <w:gridCol w:w="1753"/>
      </w:tblGrid>
      <w:tr w:rsidR="00697429" w:rsidRPr="00092862" w14:paraId="13AB0D00" w14:textId="77777777" w:rsidTr="00507764">
        <w:trPr>
          <w:trHeight w:val="47"/>
          <w:jc w:val="center"/>
        </w:trPr>
        <w:tc>
          <w:tcPr>
            <w:tcW w:w="1462" w:type="dxa"/>
            <w:vMerge w:val="restart"/>
            <w:vAlign w:val="center"/>
          </w:tcPr>
          <w:p w14:paraId="4AE5F653"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项目组成</w:t>
            </w:r>
          </w:p>
        </w:tc>
        <w:tc>
          <w:tcPr>
            <w:tcW w:w="4314" w:type="dxa"/>
            <w:gridSpan w:val="3"/>
            <w:vAlign w:val="center"/>
          </w:tcPr>
          <w:p w14:paraId="7327B759"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占地类型（亩）</w:t>
            </w:r>
          </w:p>
        </w:tc>
        <w:tc>
          <w:tcPr>
            <w:tcW w:w="1275" w:type="dxa"/>
            <w:vMerge w:val="restart"/>
            <w:vAlign w:val="center"/>
          </w:tcPr>
          <w:p w14:paraId="55B1D26F"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合计</w:t>
            </w:r>
          </w:p>
        </w:tc>
        <w:tc>
          <w:tcPr>
            <w:tcW w:w="1753" w:type="dxa"/>
            <w:vMerge w:val="restart"/>
            <w:vAlign w:val="center"/>
          </w:tcPr>
          <w:p w14:paraId="21E2C4F7"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占地性质</w:t>
            </w:r>
          </w:p>
        </w:tc>
      </w:tr>
      <w:tr w:rsidR="00697429" w:rsidRPr="00092862" w14:paraId="09A87814" w14:textId="77777777" w:rsidTr="00507764">
        <w:trPr>
          <w:trHeight w:val="64"/>
          <w:jc w:val="center"/>
        </w:trPr>
        <w:tc>
          <w:tcPr>
            <w:tcW w:w="1462" w:type="dxa"/>
            <w:vMerge/>
            <w:vAlign w:val="center"/>
          </w:tcPr>
          <w:p w14:paraId="241E879A" w14:textId="77777777" w:rsidR="00507764" w:rsidRPr="00092862" w:rsidRDefault="00507764" w:rsidP="00F31BAF">
            <w:pPr>
              <w:jc w:val="center"/>
              <w:rPr>
                <w:rFonts w:ascii="Times New Roman" w:eastAsia="宋体" w:hAnsi="Times New Roman" w:cs="Times New Roman"/>
                <w:b/>
                <w:bCs/>
                <w:color w:val="000000" w:themeColor="text1"/>
                <w:szCs w:val="21"/>
              </w:rPr>
            </w:pPr>
          </w:p>
        </w:tc>
        <w:tc>
          <w:tcPr>
            <w:tcW w:w="1566" w:type="dxa"/>
            <w:vAlign w:val="center"/>
          </w:tcPr>
          <w:p w14:paraId="4244E72D"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乔木林地</w:t>
            </w:r>
          </w:p>
        </w:tc>
        <w:tc>
          <w:tcPr>
            <w:tcW w:w="1330" w:type="dxa"/>
            <w:vAlign w:val="center"/>
          </w:tcPr>
          <w:p w14:paraId="68658715"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旱地</w:t>
            </w:r>
          </w:p>
        </w:tc>
        <w:tc>
          <w:tcPr>
            <w:tcW w:w="1418" w:type="dxa"/>
            <w:vAlign w:val="center"/>
          </w:tcPr>
          <w:p w14:paraId="19FC1363" w14:textId="77777777" w:rsidR="00507764" w:rsidRPr="00092862" w:rsidRDefault="00507764" w:rsidP="00F31BAF">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bCs/>
                <w:color w:val="000000" w:themeColor="text1"/>
                <w:szCs w:val="21"/>
              </w:rPr>
              <w:t>其他草地</w:t>
            </w:r>
          </w:p>
        </w:tc>
        <w:tc>
          <w:tcPr>
            <w:tcW w:w="1275" w:type="dxa"/>
            <w:vMerge/>
            <w:vAlign w:val="center"/>
          </w:tcPr>
          <w:p w14:paraId="76807FDF" w14:textId="77777777" w:rsidR="00507764" w:rsidRPr="00092862" w:rsidRDefault="00507764" w:rsidP="00F31BAF">
            <w:pPr>
              <w:jc w:val="center"/>
              <w:rPr>
                <w:rFonts w:ascii="Times New Roman" w:eastAsia="宋体" w:hAnsi="Times New Roman" w:cs="Times New Roman"/>
                <w:b/>
                <w:bCs/>
                <w:color w:val="000000" w:themeColor="text1"/>
                <w:szCs w:val="21"/>
              </w:rPr>
            </w:pPr>
          </w:p>
        </w:tc>
        <w:tc>
          <w:tcPr>
            <w:tcW w:w="1753" w:type="dxa"/>
            <w:vMerge/>
            <w:vAlign w:val="center"/>
          </w:tcPr>
          <w:p w14:paraId="3AB69615" w14:textId="77777777" w:rsidR="00507764" w:rsidRPr="00092862" w:rsidRDefault="00507764" w:rsidP="00F31BAF">
            <w:pPr>
              <w:jc w:val="center"/>
              <w:rPr>
                <w:rFonts w:ascii="Times New Roman" w:eastAsia="宋体" w:hAnsi="Times New Roman" w:cs="Times New Roman"/>
                <w:b/>
                <w:bCs/>
                <w:color w:val="000000" w:themeColor="text1"/>
                <w:szCs w:val="21"/>
              </w:rPr>
            </w:pPr>
          </w:p>
        </w:tc>
      </w:tr>
      <w:tr w:rsidR="00697429" w:rsidRPr="00092862" w14:paraId="7B11DDDC" w14:textId="77777777" w:rsidTr="00507764">
        <w:trPr>
          <w:trHeight w:val="124"/>
          <w:jc w:val="center"/>
        </w:trPr>
        <w:tc>
          <w:tcPr>
            <w:tcW w:w="1462" w:type="dxa"/>
            <w:vAlign w:val="center"/>
          </w:tcPr>
          <w:p w14:paraId="1F133F94"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新建井场用地面积为</w:t>
            </w:r>
          </w:p>
        </w:tc>
        <w:tc>
          <w:tcPr>
            <w:tcW w:w="1566" w:type="dxa"/>
            <w:vAlign w:val="center"/>
          </w:tcPr>
          <w:p w14:paraId="407ADFF7"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6794.7</w:t>
            </w:r>
          </w:p>
        </w:tc>
        <w:tc>
          <w:tcPr>
            <w:tcW w:w="1330" w:type="dxa"/>
            <w:vAlign w:val="center"/>
          </w:tcPr>
          <w:p w14:paraId="44EEE058"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2420.2</w:t>
            </w:r>
          </w:p>
        </w:tc>
        <w:tc>
          <w:tcPr>
            <w:tcW w:w="1418" w:type="dxa"/>
            <w:vAlign w:val="center"/>
          </w:tcPr>
          <w:p w14:paraId="1B21731A"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1238.5</w:t>
            </w:r>
          </w:p>
        </w:tc>
        <w:tc>
          <w:tcPr>
            <w:tcW w:w="1275" w:type="dxa"/>
            <w:vAlign w:val="center"/>
          </w:tcPr>
          <w:p w14:paraId="6D496BD5"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10453.4</w:t>
            </w:r>
          </w:p>
        </w:tc>
        <w:tc>
          <w:tcPr>
            <w:tcW w:w="1753" w:type="dxa"/>
            <w:vMerge w:val="restart"/>
            <w:vAlign w:val="center"/>
          </w:tcPr>
          <w:p w14:paraId="34BABDD8"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临时占地</w:t>
            </w:r>
          </w:p>
        </w:tc>
      </w:tr>
      <w:tr w:rsidR="00697429" w:rsidRPr="00092862" w14:paraId="528B1EFF" w14:textId="77777777" w:rsidTr="00507764">
        <w:trPr>
          <w:trHeight w:val="124"/>
          <w:jc w:val="center"/>
        </w:trPr>
        <w:tc>
          <w:tcPr>
            <w:tcW w:w="1462" w:type="dxa"/>
            <w:vAlign w:val="center"/>
          </w:tcPr>
          <w:p w14:paraId="77792B51"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井场边坡用地面积</w:t>
            </w:r>
          </w:p>
        </w:tc>
        <w:tc>
          <w:tcPr>
            <w:tcW w:w="1566" w:type="dxa"/>
            <w:vAlign w:val="center"/>
          </w:tcPr>
          <w:p w14:paraId="7E7FBFED"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2790.0 </w:t>
            </w:r>
          </w:p>
        </w:tc>
        <w:tc>
          <w:tcPr>
            <w:tcW w:w="1330" w:type="dxa"/>
            <w:vAlign w:val="center"/>
          </w:tcPr>
          <w:p w14:paraId="05F2F0E5"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2376.7 </w:t>
            </w:r>
          </w:p>
        </w:tc>
        <w:tc>
          <w:tcPr>
            <w:tcW w:w="1418" w:type="dxa"/>
            <w:vAlign w:val="center"/>
          </w:tcPr>
          <w:p w14:paraId="5410362A"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275" w:type="dxa"/>
            <w:vAlign w:val="center"/>
          </w:tcPr>
          <w:p w14:paraId="0CFAD336"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5166.7 </w:t>
            </w:r>
          </w:p>
        </w:tc>
        <w:tc>
          <w:tcPr>
            <w:tcW w:w="1753" w:type="dxa"/>
            <w:vMerge/>
            <w:vAlign w:val="center"/>
          </w:tcPr>
          <w:p w14:paraId="0D856BF4" w14:textId="77777777" w:rsidR="00507764" w:rsidRPr="00092862" w:rsidRDefault="00507764" w:rsidP="00F31BAF">
            <w:pPr>
              <w:jc w:val="center"/>
              <w:rPr>
                <w:rFonts w:ascii="Times New Roman" w:eastAsia="宋体" w:hAnsi="Times New Roman" w:cs="Times New Roman"/>
                <w:color w:val="000000" w:themeColor="text1"/>
                <w:szCs w:val="21"/>
              </w:rPr>
            </w:pPr>
          </w:p>
        </w:tc>
      </w:tr>
      <w:tr w:rsidR="00697429" w:rsidRPr="00092862" w14:paraId="4F1E7A4C" w14:textId="77777777" w:rsidTr="00507764">
        <w:trPr>
          <w:trHeight w:val="124"/>
          <w:jc w:val="center"/>
        </w:trPr>
        <w:tc>
          <w:tcPr>
            <w:tcW w:w="1462" w:type="dxa"/>
            <w:vAlign w:val="center"/>
          </w:tcPr>
          <w:p w14:paraId="3E30EEAF"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进场道路用</w:t>
            </w:r>
          </w:p>
        </w:tc>
        <w:tc>
          <w:tcPr>
            <w:tcW w:w="1566" w:type="dxa"/>
            <w:vAlign w:val="center"/>
          </w:tcPr>
          <w:p w14:paraId="76418570"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224.8 </w:t>
            </w:r>
          </w:p>
        </w:tc>
        <w:tc>
          <w:tcPr>
            <w:tcW w:w="1330" w:type="dxa"/>
            <w:vAlign w:val="center"/>
          </w:tcPr>
          <w:p w14:paraId="4AA92009"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1648.5 </w:t>
            </w:r>
          </w:p>
        </w:tc>
        <w:tc>
          <w:tcPr>
            <w:tcW w:w="1418" w:type="dxa"/>
          </w:tcPr>
          <w:p w14:paraId="553EC6F8" w14:textId="77777777" w:rsidR="00507764" w:rsidRPr="00092862" w:rsidRDefault="00507764" w:rsidP="00F31BAF">
            <w:pPr>
              <w:ind w:firstLine="42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w:t>
            </w:r>
          </w:p>
        </w:tc>
        <w:tc>
          <w:tcPr>
            <w:tcW w:w="1275" w:type="dxa"/>
            <w:vAlign w:val="center"/>
          </w:tcPr>
          <w:p w14:paraId="6463FFCB"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1873.3 </w:t>
            </w:r>
          </w:p>
        </w:tc>
        <w:tc>
          <w:tcPr>
            <w:tcW w:w="1753" w:type="dxa"/>
            <w:vMerge/>
            <w:vAlign w:val="center"/>
          </w:tcPr>
          <w:p w14:paraId="6B58F792" w14:textId="77777777" w:rsidR="00507764" w:rsidRPr="00092862" w:rsidRDefault="00507764" w:rsidP="00F31BAF">
            <w:pPr>
              <w:jc w:val="center"/>
              <w:rPr>
                <w:rFonts w:ascii="Times New Roman" w:eastAsia="宋体" w:hAnsi="Times New Roman" w:cs="Times New Roman"/>
                <w:color w:val="000000" w:themeColor="text1"/>
                <w:szCs w:val="21"/>
              </w:rPr>
            </w:pPr>
          </w:p>
        </w:tc>
      </w:tr>
      <w:tr w:rsidR="00697429" w:rsidRPr="00092862" w14:paraId="7BCE6EEB" w14:textId="77777777" w:rsidTr="00507764">
        <w:trPr>
          <w:trHeight w:val="124"/>
          <w:jc w:val="center"/>
        </w:trPr>
        <w:tc>
          <w:tcPr>
            <w:tcW w:w="1462" w:type="dxa"/>
            <w:vAlign w:val="center"/>
          </w:tcPr>
          <w:p w14:paraId="5F46A2EE"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放喷池</w:t>
            </w:r>
          </w:p>
        </w:tc>
        <w:tc>
          <w:tcPr>
            <w:tcW w:w="1566" w:type="dxa"/>
            <w:vAlign w:val="center"/>
          </w:tcPr>
          <w:p w14:paraId="33E55ED3" w14:textId="77777777" w:rsidR="00507764" w:rsidRPr="00092862" w:rsidRDefault="00507764" w:rsidP="00F31BAF">
            <w:pPr>
              <w:jc w:val="center"/>
              <w:rPr>
                <w:rFonts w:ascii="Times New Roman" w:eastAsia="宋体" w:hAnsi="Times New Roman" w:cs="Times New Roman"/>
                <w:color w:val="000000" w:themeColor="text1"/>
                <w:szCs w:val="21"/>
              </w:rPr>
            </w:pPr>
          </w:p>
        </w:tc>
        <w:tc>
          <w:tcPr>
            <w:tcW w:w="1330" w:type="dxa"/>
            <w:vAlign w:val="center"/>
          </w:tcPr>
          <w:p w14:paraId="0173A0BE"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800.0 </w:t>
            </w:r>
          </w:p>
        </w:tc>
        <w:tc>
          <w:tcPr>
            <w:tcW w:w="1418" w:type="dxa"/>
          </w:tcPr>
          <w:p w14:paraId="4BEA5591" w14:textId="77777777" w:rsidR="00507764" w:rsidRPr="00092862" w:rsidRDefault="00507764" w:rsidP="00F31BAF">
            <w:pPr>
              <w:ind w:firstLine="42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w:t>
            </w:r>
          </w:p>
        </w:tc>
        <w:tc>
          <w:tcPr>
            <w:tcW w:w="1275" w:type="dxa"/>
            <w:vAlign w:val="center"/>
          </w:tcPr>
          <w:p w14:paraId="77E16C86"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800.0 </w:t>
            </w:r>
          </w:p>
        </w:tc>
        <w:tc>
          <w:tcPr>
            <w:tcW w:w="1753" w:type="dxa"/>
            <w:vMerge/>
            <w:vAlign w:val="center"/>
          </w:tcPr>
          <w:p w14:paraId="1E0D359C" w14:textId="77777777" w:rsidR="00507764" w:rsidRPr="00092862" w:rsidRDefault="00507764" w:rsidP="00F31BAF">
            <w:pPr>
              <w:jc w:val="center"/>
              <w:rPr>
                <w:rFonts w:ascii="Times New Roman" w:eastAsia="宋体" w:hAnsi="Times New Roman" w:cs="Times New Roman"/>
                <w:color w:val="000000" w:themeColor="text1"/>
                <w:szCs w:val="21"/>
              </w:rPr>
            </w:pPr>
          </w:p>
        </w:tc>
      </w:tr>
      <w:tr w:rsidR="00697429" w:rsidRPr="00092862" w14:paraId="4500C6E2" w14:textId="77777777" w:rsidTr="00507764">
        <w:trPr>
          <w:trHeight w:val="124"/>
          <w:jc w:val="center"/>
        </w:trPr>
        <w:tc>
          <w:tcPr>
            <w:tcW w:w="1462" w:type="dxa"/>
            <w:vAlign w:val="center"/>
          </w:tcPr>
          <w:p w14:paraId="398237FD"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放喷管线、施工便道用地</w:t>
            </w:r>
          </w:p>
        </w:tc>
        <w:tc>
          <w:tcPr>
            <w:tcW w:w="1566" w:type="dxa"/>
            <w:vAlign w:val="center"/>
          </w:tcPr>
          <w:p w14:paraId="53AAC03F"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717.6 </w:t>
            </w:r>
          </w:p>
        </w:tc>
        <w:tc>
          <w:tcPr>
            <w:tcW w:w="1330" w:type="dxa"/>
            <w:vAlign w:val="center"/>
          </w:tcPr>
          <w:p w14:paraId="589E1AD6"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1344.4 </w:t>
            </w:r>
          </w:p>
        </w:tc>
        <w:tc>
          <w:tcPr>
            <w:tcW w:w="1418" w:type="dxa"/>
            <w:vAlign w:val="center"/>
          </w:tcPr>
          <w:p w14:paraId="44785770"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698.0</w:t>
            </w:r>
          </w:p>
        </w:tc>
        <w:tc>
          <w:tcPr>
            <w:tcW w:w="1275" w:type="dxa"/>
            <w:vAlign w:val="center"/>
          </w:tcPr>
          <w:p w14:paraId="57BF3968"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2760.0 </w:t>
            </w:r>
          </w:p>
        </w:tc>
        <w:tc>
          <w:tcPr>
            <w:tcW w:w="1753" w:type="dxa"/>
            <w:vMerge/>
            <w:vAlign w:val="center"/>
          </w:tcPr>
          <w:p w14:paraId="5E0A1CD4" w14:textId="77777777" w:rsidR="00507764" w:rsidRPr="00092862" w:rsidRDefault="00507764" w:rsidP="00F31BAF">
            <w:pPr>
              <w:jc w:val="center"/>
              <w:rPr>
                <w:rFonts w:ascii="Times New Roman" w:eastAsia="宋体" w:hAnsi="Times New Roman" w:cs="Times New Roman"/>
                <w:color w:val="000000" w:themeColor="text1"/>
                <w:szCs w:val="21"/>
              </w:rPr>
            </w:pPr>
          </w:p>
        </w:tc>
      </w:tr>
      <w:tr w:rsidR="00697429" w:rsidRPr="00092862" w14:paraId="37DB9972" w14:textId="77777777" w:rsidTr="00507764">
        <w:trPr>
          <w:trHeight w:val="124"/>
          <w:jc w:val="center"/>
        </w:trPr>
        <w:tc>
          <w:tcPr>
            <w:tcW w:w="1462" w:type="dxa"/>
            <w:vAlign w:val="center"/>
          </w:tcPr>
          <w:p w14:paraId="49DAAC16"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表土堆场</w:t>
            </w:r>
          </w:p>
        </w:tc>
        <w:tc>
          <w:tcPr>
            <w:tcW w:w="1566" w:type="dxa"/>
            <w:vAlign w:val="center"/>
          </w:tcPr>
          <w:p w14:paraId="6508959E"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1024.7 </w:t>
            </w:r>
          </w:p>
        </w:tc>
        <w:tc>
          <w:tcPr>
            <w:tcW w:w="1330" w:type="dxa"/>
            <w:vAlign w:val="center"/>
          </w:tcPr>
          <w:p w14:paraId="1560AF22"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2508.7 </w:t>
            </w:r>
          </w:p>
        </w:tc>
        <w:tc>
          <w:tcPr>
            <w:tcW w:w="1418" w:type="dxa"/>
          </w:tcPr>
          <w:p w14:paraId="392B71EF" w14:textId="77777777" w:rsidR="00507764" w:rsidRPr="00092862" w:rsidRDefault="00507764" w:rsidP="00F31BAF">
            <w:pPr>
              <w:ind w:firstLine="42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w:t>
            </w:r>
          </w:p>
        </w:tc>
        <w:tc>
          <w:tcPr>
            <w:tcW w:w="1275" w:type="dxa"/>
            <w:vAlign w:val="center"/>
          </w:tcPr>
          <w:p w14:paraId="52BEBBB5"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3533.4 </w:t>
            </w:r>
          </w:p>
        </w:tc>
        <w:tc>
          <w:tcPr>
            <w:tcW w:w="1753" w:type="dxa"/>
            <w:vAlign w:val="center"/>
          </w:tcPr>
          <w:p w14:paraId="7A33FF71" w14:textId="77777777" w:rsidR="00507764" w:rsidRPr="00092862" w:rsidRDefault="00507764" w:rsidP="00F31BAF">
            <w:pPr>
              <w:jc w:val="center"/>
              <w:rPr>
                <w:rFonts w:ascii="Times New Roman" w:eastAsia="宋体" w:hAnsi="Times New Roman" w:cs="Times New Roman"/>
                <w:color w:val="000000" w:themeColor="text1"/>
                <w:szCs w:val="21"/>
              </w:rPr>
            </w:pPr>
          </w:p>
        </w:tc>
      </w:tr>
      <w:tr w:rsidR="00697429" w:rsidRPr="00092862" w14:paraId="68CC833F" w14:textId="77777777" w:rsidTr="00507764">
        <w:trPr>
          <w:trHeight w:val="124"/>
          <w:jc w:val="center"/>
        </w:trPr>
        <w:tc>
          <w:tcPr>
            <w:tcW w:w="1462" w:type="dxa"/>
            <w:vAlign w:val="center"/>
          </w:tcPr>
          <w:p w14:paraId="7E9A8CF1"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生活营地</w:t>
            </w:r>
          </w:p>
        </w:tc>
        <w:tc>
          <w:tcPr>
            <w:tcW w:w="1566" w:type="dxa"/>
            <w:vAlign w:val="center"/>
          </w:tcPr>
          <w:p w14:paraId="0A1DF449"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532.0 </w:t>
            </w:r>
          </w:p>
        </w:tc>
        <w:tc>
          <w:tcPr>
            <w:tcW w:w="1330" w:type="dxa"/>
            <w:vAlign w:val="center"/>
          </w:tcPr>
          <w:p w14:paraId="3A315C60"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868.0 </w:t>
            </w:r>
          </w:p>
        </w:tc>
        <w:tc>
          <w:tcPr>
            <w:tcW w:w="1418" w:type="dxa"/>
          </w:tcPr>
          <w:p w14:paraId="12B1B023" w14:textId="77777777" w:rsidR="00507764" w:rsidRPr="00092862" w:rsidRDefault="00507764" w:rsidP="00F31BAF">
            <w:pPr>
              <w:ind w:firstLine="42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w:t>
            </w:r>
          </w:p>
        </w:tc>
        <w:tc>
          <w:tcPr>
            <w:tcW w:w="1275" w:type="dxa"/>
            <w:vAlign w:val="center"/>
          </w:tcPr>
          <w:p w14:paraId="45BED959"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1400.0 </w:t>
            </w:r>
          </w:p>
        </w:tc>
        <w:tc>
          <w:tcPr>
            <w:tcW w:w="1753" w:type="dxa"/>
            <w:vAlign w:val="center"/>
          </w:tcPr>
          <w:p w14:paraId="45A512BC" w14:textId="77777777" w:rsidR="00507764" w:rsidRPr="00092862" w:rsidRDefault="00507764" w:rsidP="00F31BAF">
            <w:pPr>
              <w:jc w:val="center"/>
              <w:rPr>
                <w:rFonts w:ascii="Times New Roman" w:eastAsia="宋体" w:hAnsi="Times New Roman" w:cs="Times New Roman"/>
                <w:color w:val="000000" w:themeColor="text1"/>
                <w:szCs w:val="21"/>
              </w:rPr>
            </w:pPr>
          </w:p>
        </w:tc>
      </w:tr>
      <w:tr w:rsidR="00697429" w:rsidRPr="00092862" w14:paraId="3F710865" w14:textId="77777777" w:rsidTr="00507764">
        <w:trPr>
          <w:trHeight w:val="124"/>
          <w:jc w:val="center"/>
        </w:trPr>
        <w:tc>
          <w:tcPr>
            <w:tcW w:w="1462" w:type="dxa"/>
            <w:vAlign w:val="center"/>
          </w:tcPr>
          <w:p w14:paraId="08D3F6A2"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1566" w:type="dxa"/>
            <w:vAlign w:val="center"/>
          </w:tcPr>
          <w:p w14:paraId="46A96A29"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12083.8 </w:t>
            </w:r>
          </w:p>
        </w:tc>
        <w:tc>
          <w:tcPr>
            <w:tcW w:w="1330" w:type="dxa"/>
            <w:vAlign w:val="center"/>
          </w:tcPr>
          <w:p w14:paraId="6C5A8168"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11966.5 </w:t>
            </w:r>
          </w:p>
        </w:tc>
        <w:tc>
          <w:tcPr>
            <w:tcW w:w="1418" w:type="dxa"/>
            <w:vAlign w:val="center"/>
          </w:tcPr>
          <w:p w14:paraId="67235CCD"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1936.5 </w:t>
            </w:r>
          </w:p>
        </w:tc>
        <w:tc>
          <w:tcPr>
            <w:tcW w:w="1275" w:type="dxa"/>
            <w:vAlign w:val="center"/>
          </w:tcPr>
          <w:p w14:paraId="52AC2593" w14:textId="77777777" w:rsidR="00507764" w:rsidRPr="00092862" w:rsidRDefault="00507764" w:rsidP="00F31BAF">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25986.8 </w:t>
            </w:r>
          </w:p>
        </w:tc>
        <w:tc>
          <w:tcPr>
            <w:tcW w:w="1753" w:type="dxa"/>
            <w:vAlign w:val="center"/>
          </w:tcPr>
          <w:p w14:paraId="312A50F8" w14:textId="77777777" w:rsidR="00507764" w:rsidRPr="00092862" w:rsidRDefault="00507764" w:rsidP="00F31BAF">
            <w:pPr>
              <w:jc w:val="center"/>
              <w:rPr>
                <w:rFonts w:ascii="Times New Roman" w:eastAsia="宋体" w:hAnsi="Times New Roman" w:cs="Times New Roman"/>
                <w:color w:val="000000" w:themeColor="text1"/>
                <w:szCs w:val="21"/>
              </w:rPr>
            </w:pPr>
          </w:p>
        </w:tc>
      </w:tr>
    </w:tbl>
    <w:p w14:paraId="5962538A" w14:textId="77777777" w:rsidR="00DC4F5B" w:rsidRPr="00092862" w:rsidRDefault="00DC4F5B" w:rsidP="00CD305E">
      <w:pPr>
        <w:pStyle w:val="ac"/>
        <w:adjustRightInd w:val="0"/>
        <w:snapToGrid w:val="0"/>
        <w:spacing w:beforeLines="50" w:before="12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2</w:t>
      </w:r>
      <w:r w:rsidRPr="00092862">
        <w:rPr>
          <w:rFonts w:ascii="Times New Roman" w:eastAsia="黑体" w:hAnsi="Times New Roman"/>
          <w:color w:val="000000" w:themeColor="text1"/>
          <w:lang w:eastAsia="zh-CN"/>
        </w:rPr>
        <w:t>、工程土石方工程量</w:t>
      </w:r>
    </w:p>
    <w:p w14:paraId="109B8FC5" w14:textId="242E390E" w:rsidR="00507764" w:rsidRPr="00092862" w:rsidRDefault="00507764" w:rsidP="00507764">
      <w:pPr>
        <w:adjustRightInd w:val="0"/>
        <w:snapToGrid w:val="0"/>
        <w:spacing w:line="360" w:lineRule="auto"/>
        <w:ind w:firstLine="420"/>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）表土剥离</w:t>
      </w:r>
    </w:p>
    <w:p w14:paraId="3AE728AC" w14:textId="77777777" w:rsidR="00507764" w:rsidRPr="00092862" w:rsidRDefault="00507764" w:rsidP="00507764">
      <w:pPr>
        <w:adjustRightInd w:val="0"/>
        <w:snapToGrid w:val="0"/>
        <w:spacing w:line="360" w:lineRule="auto"/>
        <w:ind w:firstLine="432"/>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szCs w:val="24"/>
        </w:rPr>
        <w:t>根据项目设计资料可知，剥离表土就近堆放于项目设置的表土堆放场，堆放场采用密目网对其进行遮盖，定期洒水保持土壤的含水量。本项目施工期剥离表土总计约</w:t>
      </w:r>
      <w:r w:rsidRPr="00092862">
        <w:rPr>
          <w:rFonts w:ascii="Times New Roman" w:eastAsia="宋体" w:hAnsi="Times New Roman" w:cs="Times New Roman"/>
          <w:bCs/>
          <w:color w:val="000000" w:themeColor="text1"/>
          <w:sz w:val="24"/>
          <w:szCs w:val="24"/>
        </w:rPr>
        <w:t>3690m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，回填表土</w:t>
      </w:r>
      <w:r w:rsidRPr="00092862">
        <w:rPr>
          <w:rFonts w:ascii="Times New Roman" w:eastAsia="宋体" w:hAnsi="Times New Roman" w:cs="Times New Roman"/>
          <w:bCs/>
          <w:color w:val="000000" w:themeColor="text1"/>
          <w:sz w:val="24"/>
          <w:szCs w:val="24"/>
        </w:rPr>
        <w:t>3690m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，用于施工开挖剥离面绿化耕植。</w:t>
      </w:r>
    </w:p>
    <w:p w14:paraId="5110197D" w14:textId="2AA7BC35" w:rsidR="00507764" w:rsidRPr="00092862" w:rsidRDefault="00507764" w:rsidP="00507764">
      <w:pPr>
        <w:adjustRightInd w:val="0"/>
        <w:snapToGrid w:val="0"/>
        <w:spacing w:line="360" w:lineRule="auto"/>
        <w:ind w:firstLine="43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）土石方</w:t>
      </w:r>
    </w:p>
    <w:p w14:paraId="71AEA36E" w14:textId="77777777" w:rsidR="00507764" w:rsidRPr="00092862" w:rsidRDefault="00507764" w:rsidP="00507764">
      <w:pPr>
        <w:pStyle w:val="0"/>
        <w:adjustRightInd w:val="0"/>
        <w:snapToGrid w:val="0"/>
        <w:rPr>
          <w:color w:val="000000" w:themeColor="text1"/>
        </w:rPr>
      </w:pPr>
      <w:r w:rsidRPr="00092862">
        <w:rPr>
          <w:color w:val="000000" w:themeColor="text1"/>
        </w:rPr>
        <w:t>根据钻前工程设计可知，项目井场平场、设备基础等土石方开总挖方量</w:t>
      </w:r>
      <w:r w:rsidRPr="00092862">
        <w:rPr>
          <w:color w:val="000000" w:themeColor="text1"/>
        </w:rPr>
        <w:t>11095.8m</w:t>
      </w:r>
      <w:r w:rsidRPr="00092862">
        <w:rPr>
          <w:color w:val="000000" w:themeColor="text1"/>
          <w:vertAlign w:val="superscript"/>
        </w:rPr>
        <w:t>3</w:t>
      </w:r>
      <w:r w:rsidRPr="00092862">
        <w:rPr>
          <w:color w:val="000000" w:themeColor="text1"/>
        </w:rPr>
        <w:t>，总填方量</w:t>
      </w:r>
      <w:r w:rsidRPr="00092862">
        <w:rPr>
          <w:color w:val="000000" w:themeColor="text1"/>
        </w:rPr>
        <w:t>11095.8m</w:t>
      </w:r>
      <w:r w:rsidRPr="00092862">
        <w:rPr>
          <w:color w:val="000000" w:themeColor="text1"/>
          <w:vertAlign w:val="superscript"/>
        </w:rPr>
        <w:t>3</w:t>
      </w:r>
      <w:r w:rsidRPr="00092862">
        <w:rPr>
          <w:color w:val="000000" w:themeColor="text1"/>
        </w:rPr>
        <w:t>，弃方约</w:t>
      </w:r>
      <w:r w:rsidRPr="00092862">
        <w:rPr>
          <w:color w:val="000000" w:themeColor="text1"/>
        </w:rPr>
        <w:t>0m</w:t>
      </w:r>
      <w:r w:rsidRPr="00092862">
        <w:rPr>
          <w:color w:val="000000" w:themeColor="text1"/>
          <w:vertAlign w:val="superscript"/>
        </w:rPr>
        <w:t>3</w:t>
      </w:r>
      <w:r w:rsidRPr="00092862">
        <w:rPr>
          <w:color w:val="000000" w:themeColor="text1"/>
        </w:rPr>
        <w:t>。剥离表土集中堆放至表土堆场，表土用于后期生态恢复，综合利用。</w:t>
      </w:r>
    </w:p>
    <w:p w14:paraId="2C2BC12E" w14:textId="3B6AF090" w:rsidR="00DC4F5B" w:rsidRPr="00092862" w:rsidRDefault="00DC4F5B" w:rsidP="00CD305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项目土石方平衡见下表</w:t>
      </w:r>
      <w:r w:rsidR="00CD305E" w:rsidRPr="00092862">
        <w:rPr>
          <w:rFonts w:ascii="Times New Roman" w:hAnsi="Times New Roman"/>
          <w:color w:val="000000" w:themeColor="text1"/>
          <w:lang w:eastAsia="zh-CN"/>
        </w:rPr>
        <w:t>3.2-</w:t>
      </w:r>
      <w:r w:rsidR="002C77F6" w:rsidRPr="00092862">
        <w:rPr>
          <w:rFonts w:ascii="Times New Roman" w:hAnsi="Times New Roman"/>
          <w:color w:val="000000" w:themeColor="text1"/>
          <w:lang w:eastAsia="zh-CN"/>
        </w:rPr>
        <w:t>32</w:t>
      </w:r>
      <w:r w:rsidRPr="00092862">
        <w:rPr>
          <w:rFonts w:ascii="Times New Roman" w:hAnsi="Times New Roman"/>
          <w:color w:val="000000" w:themeColor="text1"/>
          <w:lang w:eastAsia="zh-CN"/>
        </w:rPr>
        <w:t>。</w:t>
      </w:r>
    </w:p>
    <w:p w14:paraId="259ED8B4" w14:textId="55280824" w:rsidR="00DC4F5B" w:rsidRPr="00092862" w:rsidRDefault="00DC4F5B"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D305E" w:rsidRPr="00092862">
        <w:rPr>
          <w:rFonts w:ascii="Times New Roman" w:eastAsia="黑体" w:hAnsi="Times New Roman"/>
          <w:color w:val="000000" w:themeColor="text1"/>
          <w:sz w:val="21"/>
          <w:szCs w:val="21"/>
          <w:lang w:eastAsia="zh-CN"/>
        </w:rPr>
        <w:t>3.2-</w:t>
      </w:r>
      <w:r w:rsidR="002C77F6" w:rsidRPr="00092862">
        <w:rPr>
          <w:rFonts w:ascii="Times New Roman" w:eastAsia="黑体" w:hAnsi="Times New Roman"/>
          <w:color w:val="000000" w:themeColor="text1"/>
          <w:sz w:val="21"/>
          <w:szCs w:val="21"/>
          <w:lang w:eastAsia="zh-CN"/>
        </w:rPr>
        <w:t>32</w:t>
      </w:r>
      <w:r w:rsidRPr="00092862">
        <w:rPr>
          <w:rFonts w:ascii="Times New Roman" w:eastAsia="黑体" w:hAnsi="Times New Roman"/>
          <w:color w:val="000000" w:themeColor="text1"/>
          <w:sz w:val="21"/>
          <w:szCs w:val="21"/>
          <w:lang w:eastAsia="zh-CN"/>
        </w:rPr>
        <w:t xml:space="preserve">  </w:t>
      </w:r>
      <w:r w:rsidR="00FA2743" w:rsidRPr="00092862">
        <w:rPr>
          <w:rFonts w:ascii="Times New Roman" w:eastAsia="黑体" w:hAnsi="Times New Roman"/>
          <w:color w:val="000000" w:themeColor="text1"/>
          <w:sz w:val="21"/>
          <w:szCs w:val="21"/>
          <w:lang w:eastAsia="zh-CN"/>
        </w:rPr>
        <w:t>本项目</w:t>
      </w:r>
      <w:r w:rsidRPr="00092862">
        <w:rPr>
          <w:rFonts w:ascii="Times New Roman" w:eastAsia="黑体" w:hAnsi="Times New Roman"/>
          <w:color w:val="000000" w:themeColor="text1"/>
          <w:sz w:val="21"/>
          <w:szCs w:val="21"/>
          <w:lang w:eastAsia="zh-CN"/>
        </w:rPr>
        <w:t>土石方平衡一览表</w:t>
      </w:r>
    </w:p>
    <w:tbl>
      <w:tblPr>
        <w:tblW w:w="8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3"/>
        <w:gridCol w:w="1438"/>
        <w:gridCol w:w="1149"/>
        <w:gridCol w:w="1149"/>
        <w:gridCol w:w="1432"/>
        <w:gridCol w:w="1687"/>
      </w:tblGrid>
      <w:tr w:rsidR="00697429" w:rsidRPr="00092862" w14:paraId="1C0BCB95" w14:textId="77777777" w:rsidTr="00507764">
        <w:trPr>
          <w:trHeight w:val="24"/>
        </w:trPr>
        <w:tc>
          <w:tcPr>
            <w:tcW w:w="1863" w:type="dxa"/>
            <w:vAlign w:val="center"/>
          </w:tcPr>
          <w:p w14:paraId="5195B7D9" w14:textId="77777777" w:rsidR="00507764" w:rsidRPr="00092862" w:rsidRDefault="00507764" w:rsidP="00507764">
            <w:pPr>
              <w:adjustRightInd w:val="0"/>
              <w:snapToGrid w:val="0"/>
              <w:jc w:val="center"/>
              <w:rPr>
                <w:rFonts w:ascii="Times New Roman" w:eastAsia="宋体" w:hAnsi="Times New Roman" w:cs="Times New Roman"/>
                <w:b/>
                <w:color w:val="000000" w:themeColor="text1"/>
                <w:szCs w:val="18"/>
              </w:rPr>
            </w:pPr>
            <w:r w:rsidRPr="00092862">
              <w:rPr>
                <w:rFonts w:ascii="Times New Roman" w:eastAsia="宋体" w:hAnsi="Times New Roman" w:cs="Times New Roman"/>
                <w:b/>
                <w:color w:val="000000" w:themeColor="text1"/>
                <w:szCs w:val="18"/>
              </w:rPr>
              <w:t>项目</w:t>
            </w:r>
          </w:p>
        </w:tc>
        <w:tc>
          <w:tcPr>
            <w:tcW w:w="1438" w:type="dxa"/>
            <w:vAlign w:val="center"/>
          </w:tcPr>
          <w:p w14:paraId="77BAEE20" w14:textId="77777777" w:rsidR="00507764" w:rsidRPr="00092862" w:rsidRDefault="00507764" w:rsidP="00507764">
            <w:pPr>
              <w:adjustRightInd w:val="0"/>
              <w:snapToGrid w:val="0"/>
              <w:jc w:val="center"/>
              <w:rPr>
                <w:rFonts w:ascii="Times New Roman" w:eastAsia="宋体" w:hAnsi="Times New Roman" w:cs="Times New Roman"/>
                <w:b/>
                <w:color w:val="000000" w:themeColor="text1"/>
                <w:szCs w:val="18"/>
              </w:rPr>
            </w:pPr>
            <w:r w:rsidRPr="00092862">
              <w:rPr>
                <w:rFonts w:ascii="Times New Roman" w:eastAsia="宋体" w:hAnsi="Times New Roman" w:cs="Times New Roman"/>
                <w:b/>
                <w:color w:val="000000" w:themeColor="text1"/>
                <w:szCs w:val="18"/>
              </w:rPr>
              <w:t>挖方</w:t>
            </w:r>
          </w:p>
        </w:tc>
        <w:tc>
          <w:tcPr>
            <w:tcW w:w="1149" w:type="dxa"/>
            <w:vAlign w:val="center"/>
          </w:tcPr>
          <w:p w14:paraId="594E29D9" w14:textId="77777777" w:rsidR="00507764" w:rsidRPr="00092862" w:rsidRDefault="00507764" w:rsidP="00507764">
            <w:pPr>
              <w:adjustRightInd w:val="0"/>
              <w:snapToGrid w:val="0"/>
              <w:jc w:val="center"/>
              <w:rPr>
                <w:rFonts w:ascii="Times New Roman" w:eastAsia="宋体" w:hAnsi="Times New Roman" w:cs="Times New Roman"/>
                <w:b/>
                <w:color w:val="000000" w:themeColor="text1"/>
                <w:szCs w:val="18"/>
              </w:rPr>
            </w:pPr>
            <w:r w:rsidRPr="00092862">
              <w:rPr>
                <w:rFonts w:ascii="Times New Roman" w:eastAsia="宋体" w:hAnsi="Times New Roman" w:cs="Times New Roman"/>
                <w:b/>
                <w:color w:val="000000" w:themeColor="text1"/>
                <w:szCs w:val="18"/>
              </w:rPr>
              <w:t>填方</w:t>
            </w:r>
          </w:p>
        </w:tc>
        <w:tc>
          <w:tcPr>
            <w:tcW w:w="1149" w:type="dxa"/>
            <w:vAlign w:val="center"/>
          </w:tcPr>
          <w:p w14:paraId="240A4330" w14:textId="71F08A5F" w:rsidR="00507764" w:rsidRPr="00092862" w:rsidRDefault="00507764" w:rsidP="00507764">
            <w:pPr>
              <w:adjustRightInd w:val="0"/>
              <w:snapToGrid w:val="0"/>
              <w:jc w:val="center"/>
              <w:rPr>
                <w:rFonts w:ascii="Times New Roman" w:eastAsia="宋体" w:hAnsi="Times New Roman" w:cs="Times New Roman"/>
                <w:b/>
                <w:color w:val="000000" w:themeColor="text1"/>
                <w:szCs w:val="18"/>
              </w:rPr>
            </w:pPr>
            <w:r w:rsidRPr="00092862">
              <w:rPr>
                <w:rFonts w:ascii="Times New Roman" w:eastAsia="宋体" w:hAnsi="Times New Roman" w:cs="Times New Roman"/>
                <w:b/>
                <w:color w:val="000000" w:themeColor="text1"/>
                <w:szCs w:val="18"/>
              </w:rPr>
              <w:t>借方（调方）</w:t>
            </w:r>
          </w:p>
        </w:tc>
        <w:tc>
          <w:tcPr>
            <w:tcW w:w="1432" w:type="dxa"/>
            <w:vAlign w:val="center"/>
          </w:tcPr>
          <w:p w14:paraId="38C04DBF" w14:textId="77777777" w:rsidR="00507764" w:rsidRPr="00092862" w:rsidRDefault="00507764" w:rsidP="00507764">
            <w:pPr>
              <w:adjustRightInd w:val="0"/>
              <w:snapToGrid w:val="0"/>
              <w:jc w:val="center"/>
              <w:rPr>
                <w:rFonts w:ascii="Times New Roman" w:eastAsia="宋体" w:hAnsi="Times New Roman" w:cs="Times New Roman"/>
                <w:b/>
                <w:color w:val="000000" w:themeColor="text1"/>
                <w:szCs w:val="18"/>
              </w:rPr>
            </w:pPr>
            <w:r w:rsidRPr="00092862">
              <w:rPr>
                <w:rFonts w:ascii="Times New Roman" w:eastAsia="宋体" w:hAnsi="Times New Roman" w:cs="Times New Roman"/>
                <w:b/>
                <w:color w:val="000000" w:themeColor="text1"/>
                <w:szCs w:val="18"/>
              </w:rPr>
              <w:t>余方</w:t>
            </w:r>
          </w:p>
        </w:tc>
        <w:tc>
          <w:tcPr>
            <w:tcW w:w="1687" w:type="dxa"/>
            <w:vAlign w:val="center"/>
          </w:tcPr>
          <w:p w14:paraId="447372E6" w14:textId="77777777" w:rsidR="00507764" w:rsidRPr="00092862" w:rsidRDefault="00507764" w:rsidP="00507764">
            <w:pPr>
              <w:adjustRightInd w:val="0"/>
              <w:snapToGrid w:val="0"/>
              <w:jc w:val="center"/>
              <w:rPr>
                <w:rFonts w:ascii="Times New Roman" w:eastAsia="宋体" w:hAnsi="Times New Roman" w:cs="Times New Roman"/>
                <w:b/>
                <w:color w:val="000000" w:themeColor="text1"/>
                <w:szCs w:val="18"/>
              </w:rPr>
            </w:pPr>
            <w:r w:rsidRPr="00092862">
              <w:rPr>
                <w:rFonts w:ascii="Times New Roman" w:eastAsia="宋体" w:hAnsi="Times New Roman" w:cs="Times New Roman"/>
                <w:b/>
                <w:color w:val="000000" w:themeColor="text1"/>
                <w:szCs w:val="18"/>
              </w:rPr>
              <w:t>备注</w:t>
            </w:r>
          </w:p>
        </w:tc>
      </w:tr>
      <w:tr w:rsidR="00697429" w:rsidRPr="00092862" w14:paraId="7A7A5ED2" w14:textId="77777777" w:rsidTr="00507764">
        <w:trPr>
          <w:trHeight w:val="52"/>
        </w:trPr>
        <w:tc>
          <w:tcPr>
            <w:tcW w:w="1863" w:type="dxa"/>
            <w:vAlign w:val="center"/>
          </w:tcPr>
          <w:p w14:paraId="0B8DC76F"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井场场坪</w:t>
            </w:r>
          </w:p>
        </w:tc>
        <w:tc>
          <w:tcPr>
            <w:tcW w:w="1438" w:type="dxa"/>
            <w:vAlign w:val="center"/>
          </w:tcPr>
          <w:p w14:paraId="5928988E"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9195.8</w:t>
            </w:r>
          </w:p>
        </w:tc>
        <w:tc>
          <w:tcPr>
            <w:tcW w:w="1149" w:type="dxa"/>
            <w:vAlign w:val="center"/>
          </w:tcPr>
          <w:p w14:paraId="05717860"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11095.8</w:t>
            </w:r>
          </w:p>
        </w:tc>
        <w:tc>
          <w:tcPr>
            <w:tcW w:w="1149" w:type="dxa"/>
            <w:vAlign w:val="center"/>
          </w:tcPr>
          <w:p w14:paraId="6D23A6DB"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1900</w:t>
            </w:r>
          </w:p>
        </w:tc>
        <w:tc>
          <w:tcPr>
            <w:tcW w:w="1432" w:type="dxa"/>
            <w:vAlign w:val="center"/>
          </w:tcPr>
          <w:p w14:paraId="0BC5114E"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0</w:t>
            </w:r>
          </w:p>
        </w:tc>
        <w:tc>
          <w:tcPr>
            <w:tcW w:w="1687" w:type="dxa"/>
            <w:vMerge w:val="restart"/>
            <w:vAlign w:val="center"/>
          </w:tcPr>
          <w:p w14:paraId="223586A0"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挖填方平衡</w:t>
            </w:r>
          </w:p>
        </w:tc>
      </w:tr>
      <w:tr w:rsidR="00697429" w:rsidRPr="00092862" w14:paraId="034685A4" w14:textId="77777777" w:rsidTr="00507764">
        <w:trPr>
          <w:trHeight w:val="52"/>
        </w:trPr>
        <w:tc>
          <w:tcPr>
            <w:tcW w:w="1863" w:type="dxa"/>
            <w:vAlign w:val="center"/>
          </w:tcPr>
          <w:p w14:paraId="43948F0E"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设备基础</w:t>
            </w:r>
          </w:p>
        </w:tc>
        <w:tc>
          <w:tcPr>
            <w:tcW w:w="1438" w:type="dxa"/>
            <w:vAlign w:val="center"/>
          </w:tcPr>
          <w:p w14:paraId="3540F42A"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1900</w:t>
            </w:r>
          </w:p>
        </w:tc>
        <w:tc>
          <w:tcPr>
            <w:tcW w:w="1149" w:type="dxa"/>
            <w:vAlign w:val="center"/>
          </w:tcPr>
          <w:p w14:paraId="17E3AE33"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0</w:t>
            </w:r>
          </w:p>
        </w:tc>
        <w:tc>
          <w:tcPr>
            <w:tcW w:w="1149" w:type="dxa"/>
            <w:vAlign w:val="center"/>
          </w:tcPr>
          <w:p w14:paraId="149EA42F"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0</w:t>
            </w:r>
          </w:p>
        </w:tc>
        <w:tc>
          <w:tcPr>
            <w:tcW w:w="1432" w:type="dxa"/>
            <w:vAlign w:val="center"/>
          </w:tcPr>
          <w:p w14:paraId="250D67C2"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0</w:t>
            </w:r>
          </w:p>
        </w:tc>
        <w:tc>
          <w:tcPr>
            <w:tcW w:w="1687" w:type="dxa"/>
            <w:vMerge/>
            <w:vAlign w:val="center"/>
          </w:tcPr>
          <w:p w14:paraId="0E52384C" w14:textId="77777777" w:rsidR="00507764" w:rsidRPr="00092862" w:rsidRDefault="00507764" w:rsidP="00507764">
            <w:pPr>
              <w:adjustRightInd w:val="0"/>
              <w:snapToGrid w:val="0"/>
              <w:ind w:firstLine="480"/>
              <w:jc w:val="center"/>
              <w:rPr>
                <w:rFonts w:ascii="Times New Roman" w:eastAsia="宋体" w:hAnsi="Times New Roman" w:cs="Times New Roman"/>
                <w:bCs/>
                <w:color w:val="000000" w:themeColor="text1"/>
                <w:szCs w:val="18"/>
              </w:rPr>
            </w:pPr>
          </w:p>
        </w:tc>
      </w:tr>
      <w:tr w:rsidR="00697429" w:rsidRPr="00092862" w14:paraId="20556C17" w14:textId="77777777" w:rsidTr="00507764">
        <w:trPr>
          <w:trHeight w:val="52"/>
        </w:trPr>
        <w:tc>
          <w:tcPr>
            <w:tcW w:w="1863" w:type="dxa"/>
            <w:vAlign w:val="center"/>
          </w:tcPr>
          <w:p w14:paraId="4381A9BD"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合计</w:t>
            </w:r>
          </w:p>
        </w:tc>
        <w:tc>
          <w:tcPr>
            <w:tcW w:w="1438" w:type="dxa"/>
            <w:vAlign w:val="center"/>
          </w:tcPr>
          <w:p w14:paraId="6059843D"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11095.8</w:t>
            </w:r>
          </w:p>
        </w:tc>
        <w:tc>
          <w:tcPr>
            <w:tcW w:w="1149" w:type="dxa"/>
            <w:vAlign w:val="center"/>
          </w:tcPr>
          <w:p w14:paraId="6532FB10"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11095.8</w:t>
            </w:r>
          </w:p>
        </w:tc>
        <w:tc>
          <w:tcPr>
            <w:tcW w:w="1149" w:type="dxa"/>
            <w:vAlign w:val="center"/>
          </w:tcPr>
          <w:p w14:paraId="6FD68C05"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0</w:t>
            </w:r>
          </w:p>
        </w:tc>
        <w:tc>
          <w:tcPr>
            <w:tcW w:w="1432" w:type="dxa"/>
            <w:vAlign w:val="center"/>
          </w:tcPr>
          <w:p w14:paraId="14C69BA6" w14:textId="77777777" w:rsidR="00507764" w:rsidRPr="00092862" w:rsidRDefault="00507764" w:rsidP="00507764">
            <w:pPr>
              <w:adjustRightInd w:val="0"/>
              <w:snapToGrid w:val="0"/>
              <w:jc w:val="center"/>
              <w:rPr>
                <w:rFonts w:ascii="Times New Roman" w:eastAsia="宋体" w:hAnsi="Times New Roman" w:cs="Times New Roman"/>
                <w:bCs/>
                <w:color w:val="000000" w:themeColor="text1"/>
                <w:szCs w:val="18"/>
              </w:rPr>
            </w:pPr>
            <w:r w:rsidRPr="00092862">
              <w:rPr>
                <w:rFonts w:ascii="Times New Roman" w:eastAsia="宋体" w:hAnsi="Times New Roman" w:cs="Times New Roman"/>
                <w:bCs/>
                <w:color w:val="000000" w:themeColor="text1"/>
                <w:szCs w:val="18"/>
              </w:rPr>
              <w:t>0</w:t>
            </w:r>
          </w:p>
        </w:tc>
        <w:tc>
          <w:tcPr>
            <w:tcW w:w="1687" w:type="dxa"/>
            <w:vMerge/>
            <w:vAlign w:val="center"/>
          </w:tcPr>
          <w:p w14:paraId="224DDE49" w14:textId="77777777" w:rsidR="00507764" w:rsidRPr="00092862" w:rsidRDefault="00507764" w:rsidP="00507764">
            <w:pPr>
              <w:adjustRightInd w:val="0"/>
              <w:snapToGrid w:val="0"/>
              <w:ind w:firstLine="480"/>
              <w:jc w:val="center"/>
              <w:rPr>
                <w:rFonts w:ascii="Times New Roman" w:eastAsia="宋体" w:hAnsi="Times New Roman" w:cs="Times New Roman"/>
                <w:bCs/>
                <w:color w:val="000000" w:themeColor="text1"/>
                <w:szCs w:val="18"/>
              </w:rPr>
            </w:pPr>
          </w:p>
        </w:tc>
      </w:tr>
    </w:tbl>
    <w:p w14:paraId="3B135809" w14:textId="4F95F635" w:rsidR="00E27787" w:rsidRPr="00092862" w:rsidRDefault="00DC4F5B" w:rsidP="00B40D7D">
      <w:pPr>
        <w:pStyle w:val="ac"/>
        <w:adjustRightInd w:val="0"/>
        <w:snapToGrid w:val="0"/>
        <w:spacing w:beforeLines="50" w:before="120" w:line="360" w:lineRule="auto"/>
        <w:ind w:left="0" w:firstLineChars="200" w:firstLine="480"/>
        <w:jc w:val="both"/>
        <w:rPr>
          <w:rFonts w:ascii="Times New Roman" w:eastAsia="黑体" w:hAnsi="Times New Roman"/>
          <w:color w:val="000000" w:themeColor="text1"/>
          <w:lang w:eastAsia="zh-CN"/>
        </w:rPr>
      </w:pPr>
      <w:r w:rsidRPr="00092862">
        <w:rPr>
          <w:rFonts w:ascii="Times New Roman" w:hAnsi="Times New Roman"/>
          <w:color w:val="000000" w:themeColor="text1"/>
          <w:lang w:eastAsia="zh-CN"/>
        </w:rPr>
        <w:t>从上表可以看出，本项目</w:t>
      </w:r>
      <w:r w:rsidR="00A82375" w:rsidRPr="00092862">
        <w:rPr>
          <w:rFonts w:ascii="Times New Roman" w:hAnsi="Times New Roman"/>
          <w:color w:val="000000" w:themeColor="text1"/>
          <w:lang w:eastAsia="zh-CN"/>
        </w:rPr>
        <w:t>无弃方产生，</w:t>
      </w:r>
      <w:r w:rsidR="00F25424" w:rsidRPr="00092862">
        <w:rPr>
          <w:rFonts w:ascii="Times New Roman" w:hAnsi="Times New Roman"/>
          <w:color w:val="000000" w:themeColor="text1"/>
          <w:lang w:eastAsia="zh-CN"/>
        </w:rPr>
        <w:t>井场设备基础与集污坑开挖所产生的土石方在井场内平整</w:t>
      </w:r>
      <w:r w:rsidRPr="00092862">
        <w:rPr>
          <w:rFonts w:ascii="Times New Roman" w:hAnsi="Times New Roman"/>
          <w:color w:val="000000" w:themeColor="text1"/>
          <w:lang w:eastAsia="zh-CN"/>
        </w:rPr>
        <w:t>。</w:t>
      </w:r>
    </w:p>
    <w:p w14:paraId="702518AC" w14:textId="7414266C" w:rsidR="00DC4F5B" w:rsidRPr="00092862" w:rsidRDefault="00DC4F5B" w:rsidP="00DC4F5B">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105" w:name="_Toc120173106"/>
      <w:r w:rsidRPr="00092862">
        <w:rPr>
          <w:rFonts w:ascii="Times New Roman" w:eastAsia="黑体" w:hAnsi="Times New Roman"/>
          <w:b w:val="0"/>
          <w:color w:val="000000" w:themeColor="text1"/>
          <w:sz w:val="24"/>
          <w:szCs w:val="24"/>
          <w:lang w:eastAsia="zh-CN"/>
        </w:rPr>
        <w:t>3.2.</w:t>
      </w:r>
      <w:r w:rsidR="00E31BE9" w:rsidRPr="00092862">
        <w:rPr>
          <w:rFonts w:ascii="Times New Roman" w:eastAsia="黑体" w:hAnsi="Times New Roman"/>
          <w:b w:val="0"/>
          <w:color w:val="000000" w:themeColor="text1"/>
          <w:sz w:val="24"/>
          <w:szCs w:val="24"/>
          <w:lang w:eastAsia="zh-CN"/>
        </w:rPr>
        <w:t>8</w:t>
      </w:r>
      <w:r w:rsidRPr="00092862">
        <w:rPr>
          <w:rFonts w:ascii="Times New Roman" w:eastAsia="黑体" w:hAnsi="Times New Roman"/>
          <w:b w:val="0"/>
          <w:color w:val="000000" w:themeColor="text1"/>
          <w:sz w:val="24"/>
          <w:szCs w:val="24"/>
          <w:lang w:eastAsia="zh-CN"/>
        </w:rPr>
        <w:t>劳动定员及工作制度</w:t>
      </w:r>
      <w:bookmarkEnd w:id="105"/>
    </w:p>
    <w:p w14:paraId="5A3082A8" w14:textId="77777777" w:rsidR="00DC4F5B" w:rsidRPr="00092862" w:rsidRDefault="00DC4F5B" w:rsidP="00DC4F5B">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1</w:t>
      </w:r>
      <w:r w:rsidRPr="00092862">
        <w:rPr>
          <w:rFonts w:ascii="Times New Roman" w:eastAsia="黑体" w:hAnsi="Times New Roman"/>
          <w:color w:val="000000" w:themeColor="text1"/>
          <w:lang w:eastAsia="zh-CN"/>
        </w:rPr>
        <w:t>、钻前工程</w:t>
      </w:r>
    </w:p>
    <w:p w14:paraId="121150C2" w14:textId="39F2BB7F" w:rsidR="00DC4F5B" w:rsidRPr="00092862" w:rsidRDefault="00DC4F5B" w:rsidP="00DC4F5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为土建施工，由专业施工单位组织当地民工施工作业为主，高峰时每天施工人员约</w:t>
      </w:r>
      <w:r w:rsidRPr="00092862">
        <w:rPr>
          <w:rFonts w:ascii="Times New Roman" w:hAnsi="Times New Roman"/>
          <w:color w:val="000000" w:themeColor="text1"/>
          <w:lang w:eastAsia="zh-CN"/>
        </w:rPr>
        <w:t>30</w:t>
      </w:r>
      <w:r w:rsidRPr="00092862">
        <w:rPr>
          <w:rFonts w:ascii="Times New Roman" w:hAnsi="Times New Roman"/>
          <w:color w:val="000000" w:themeColor="text1"/>
          <w:lang w:eastAsia="zh-CN"/>
        </w:rPr>
        <w:t>人，</w:t>
      </w:r>
      <w:r w:rsidR="00E61894" w:rsidRPr="00092862">
        <w:rPr>
          <w:rFonts w:ascii="Times New Roman" w:hAnsi="Times New Roman"/>
          <w:color w:val="000000" w:themeColor="text1"/>
          <w:lang w:eastAsia="zh-CN"/>
        </w:rPr>
        <w:t>本项目依托</w:t>
      </w:r>
      <w:r w:rsidR="004D07D0" w:rsidRPr="00092862">
        <w:rPr>
          <w:rFonts w:ascii="Times New Roman" w:hAnsi="Times New Roman"/>
          <w:color w:val="000000" w:themeColor="text1"/>
          <w:lang w:eastAsia="zh-CN"/>
        </w:rPr>
        <w:t>原老君</w:t>
      </w:r>
      <w:r w:rsidR="004D07D0" w:rsidRPr="00092862">
        <w:rPr>
          <w:rFonts w:ascii="Times New Roman" w:hAnsi="Times New Roman"/>
          <w:color w:val="000000" w:themeColor="text1"/>
          <w:lang w:eastAsia="zh-CN"/>
        </w:rPr>
        <w:t>701</w:t>
      </w:r>
      <w:r w:rsidR="004D07D0" w:rsidRPr="00092862">
        <w:rPr>
          <w:rFonts w:ascii="Times New Roman" w:hAnsi="Times New Roman"/>
          <w:color w:val="000000" w:themeColor="text1"/>
          <w:lang w:eastAsia="zh-CN"/>
        </w:rPr>
        <w:t>集气站旁</w:t>
      </w:r>
      <w:r w:rsidR="00E61894" w:rsidRPr="00092862">
        <w:rPr>
          <w:rFonts w:ascii="Times New Roman" w:hAnsi="Times New Roman"/>
          <w:color w:val="000000" w:themeColor="text1"/>
          <w:lang w:eastAsia="zh-CN"/>
        </w:rPr>
        <w:t>建设，</w:t>
      </w:r>
      <w:r w:rsidRPr="00092862">
        <w:rPr>
          <w:rFonts w:ascii="Times New Roman" w:hAnsi="Times New Roman"/>
          <w:color w:val="000000" w:themeColor="text1"/>
          <w:lang w:eastAsia="zh-CN"/>
        </w:rPr>
        <w:t>施工工期约</w:t>
      </w:r>
      <w:r w:rsidR="00B156B0" w:rsidRPr="00092862">
        <w:rPr>
          <w:rFonts w:ascii="Times New Roman" w:hAnsi="Times New Roman"/>
          <w:color w:val="000000" w:themeColor="text1"/>
          <w:lang w:eastAsia="zh-CN"/>
        </w:rPr>
        <w:t>30</w:t>
      </w:r>
      <w:r w:rsidRPr="00092862">
        <w:rPr>
          <w:rFonts w:ascii="Times New Roman" w:hAnsi="Times New Roman"/>
          <w:color w:val="000000" w:themeColor="text1"/>
          <w:lang w:eastAsia="zh-CN"/>
        </w:rPr>
        <w:t>天，白天施工，夜间不作业。</w:t>
      </w:r>
    </w:p>
    <w:p w14:paraId="3D53E144" w14:textId="77777777" w:rsidR="00E27787" w:rsidRPr="00092862" w:rsidRDefault="00E27787" w:rsidP="00E27787">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2</w:t>
      </w:r>
      <w:r w:rsidRPr="00092862">
        <w:rPr>
          <w:rFonts w:ascii="Times New Roman" w:eastAsia="黑体" w:hAnsi="Times New Roman"/>
          <w:color w:val="000000" w:themeColor="text1"/>
          <w:lang w:eastAsia="zh-CN"/>
        </w:rPr>
        <w:t>、钻井工程</w:t>
      </w:r>
    </w:p>
    <w:p w14:paraId="55F5CFC9" w14:textId="183E3039" w:rsidR="00E27787" w:rsidRPr="00092862" w:rsidRDefault="00E27787" w:rsidP="00E27787">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由专业人员组成，钻井队编制约</w:t>
      </w:r>
      <w:r w:rsidRPr="00092862">
        <w:rPr>
          <w:rFonts w:ascii="Times New Roman" w:hAnsi="Times New Roman"/>
          <w:color w:val="000000" w:themeColor="text1"/>
          <w:lang w:eastAsia="zh-CN"/>
        </w:rPr>
        <w:t>45</w:t>
      </w:r>
      <w:r w:rsidRPr="00092862">
        <w:rPr>
          <w:rFonts w:ascii="Times New Roman" w:hAnsi="Times New Roman"/>
          <w:color w:val="000000" w:themeColor="text1"/>
          <w:lang w:eastAsia="zh-CN"/>
        </w:rPr>
        <w:t>人，其中，管理人员有队长、副队长、钻井工程师、地质工程师、泥浆工程师、动力机械师、</w:t>
      </w:r>
      <w:r w:rsidRPr="00092862">
        <w:rPr>
          <w:rFonts w:ascii="Times New Roman" w:hAnsi="Times New Roman"/>
          <w:color w:val="000000" w:themeColor="text1"/>
          <w:lang w:eastAsia="zh-CN"/>
        </w:rPr>
        <w:t>HSE</w:t>
      </w:r>
      <w:r w:rsidRPr="00092862">
        <w:rPr>
          <w:rFonts w:ascii="Times New Roman" w:hAnsi="Times New Roman"/>
          <w:color w:val="000000" w:themeColor="text1"/>
          <w:lang w:eastAsia="zh-CN"/>
        </w:rPr>
        <w:t>管理员；下设</w:t>
      </w:r>
      <w:r w:rsidR="00A54F2D"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个钻井班、一个地质资料组、一个后勤组，外加炊事人员、医疗人员、勤杂人员等。</w:t>
      </w:r>
    </w:p>
    <w:p w14:paraId="523122F1" w14:textId="77777777" w:rsidR="00E27787" w:rsidRPr="00092862" w:rsidRDefault="00E27787" w:rsidP="00E27787">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3</w:t>
      </w:r>
      <w:r w:rsidRPr="00092862">
        <w:rPr>
          <w:rFonts w:ascii="Times New Roman" w:eastAsia="黑体" w:hAnsi="Times New Roman"/>
          <w:color w:val="000000" w:themeColor="text1"/>
          <w:lang w:eastAsia="zh-CN"/>
        </w:rPr>
        <w:t>、压裂测试</w:t>
      </w:r>
    </w:p>
    <w:p w14:paraId="421657FC" w14:textId="43D91CC2" w:rsidR="00E27787" w:rsidRPr="00092862" w:rsidRDefault="00DC4F5B" w:rsidP="00DC4F5B">
      <w:pPr>
        <w:pStyle w:val="ac"/>
        <w:adjustRightInd w:val="0"/>
        <w:snapToGrid w:val="0"/>
        <w:spacing w:line="360" w:lineRule="auto"/>
        <w:ind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储层改造（压裂作业）单井压裂作业时间为</w:t>
      </w:r>
      <w:r w:rsidRPr="00092862">
        <w:rPr>
          <w:rFonts w:ascii="Times New Roman" w:hAnsi="Times New Roman"/>
          <w:color w:val="000000" w:themeColor="text1"/>
          <w:lang w:eastAsia="zh-CN"/>
        </w:rPr>
        <w:t>5~10</w:t>
      </w:r>
      <w:r w:rsidRPr="00092862">
        <w:rPr>
          <w:rFonts w:ascii="Times New Roman" w:hAnsi="Times New Roman"/>
          <w:color w:val="000000" w:themeColor="text1"/>
          <w:lang w:eastAsia="zh-CN"/>
        </w:rPr>
        <w:t>天，平均约</w:t>
      </w:r>
      <w:r w:rsidRPr="00092862">
        <w:rPr>
          <w:rFonts w:ascii="Times New Roman" w:hAnsi="Times New Roman"/>
          <w:color w:val="000000" w:themeColor="text1"/>
          <w:lang w:eastAsia="zh-CN"/>
        </w:rPr>
        <w:t>7</w:t>
      </w:r>
      <w:r w:rsidRPr="00092862">
        <w:rPr>
          <w:rFonts w:ascii="Times New Roman" w:hAnsi="Times New Roman"/>
          <w:color w:val="000000" w:themeColor="text1"/>
          <w:lang w:eastAsia="zh-CN"/>
        </w:rPr>
        <w:t>天，单井压裂作业人员</w:t>
      </w:r>
      <w:r w:rsidRPr="00092862">
        <w:rPr>
          <w:rFonts w:ascii="Times New Roman" w:hAnsi="Times New Roman"/>
          <w:color w:val="000000" w:themeColor="text1"/>
          <w:lang w:eastAsia="zh-CN"/>
        </w:rPr>
        <w:t>40</w:t>
      </w:r>
      <w:r w:rsidRPr="00092862">
        <w:rPr>
          <w:rFonts w:ascii="Times New Roman" w:hAnsi="Times New Roman"/>
          <w:color w:val="000000" w:themeColor="text1"/>
          <w:lang w:eastAsia="zh-CN"/>
        </w:rPr>
        <w:t>人，仅白天施工，夜间不作业。</w:t>
      </w:r>
    </w:p>
    <w:p w14:paraId="23D2605F" w14:textId="3A79A2DA" w:rsidR="00B156B0" w:rsidRPr="00092862" w:rsidRDefault="00B156B0" w:rsidP="00B156B0">
      <w:pPr>
        <w:pStyle w:val="ac"/>
        <w:adjustRightInd w:val="0"/>
        <w:snapToGrid w:val="0"/>
        <w:spacing w:before="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4</w:t>
      </w:r>
      <w:r w:rsidRPr="00092862">
        <w:rPr>
          <w:rFonts w:ascii="Times New Roman" w:eastAsia="黑体" w:hAnsi="Times New Roman"/>
          <w:color w:val="000000" w:themeColor="text1"/>
          <w:lang w:eastAsia="zh-CN"/>
        </w:rPr>
        <w:t>、</w:t>
      </w:r>
      <w:r w:rsidR="00B91DAA" w:rsidRPr="00092862">
        <w:rPr>
          <w:rFonts w:ascii="Times New Roman" w:eastAsia="黑体" w:hAnsi="Times New Roman"/>
          <w:color w:val="000000" w:themeColor="text1"/>
          <w:lang w:eastAsia="zh-CN"/>
        </w:rPr>
        <w:t>地面工程</w:t>
      </w:r>
    </w:p>
    <w:p w14:paraId="7B310D26" w14:textId="67696062" w:rsidR="00B156B0" w:rsidRPr="00092862" w:rsidRDefault="00B91DAA" w:rsidP="00B156B0">
      <w:pPr>
        <w:pStyle w:val="ac"/>
        <w:adjustRightInd w:val="0"/>
        <w:snapToGrid w:val="0"/>
        <w:spacing w:line="360" w:lineRule="auto"/>
        <w:ind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地面工程高峰施工期约</w:t>
      </w:r>
      <w:r w:rsidRPr="00092862">
        <w:rPr>
          <w:rFonts w:ascii="Times New Roman" w:hAnsi="Times New Roman"/>
          <w:color w:val="000000" w:themeColor="text1"/>
          <w:lang w:eastAsia="zh-CN"/>
        </w:rPr>
        <w:t>20</w:t>
      </w:r>
      <w:r w:rsidRPr="00092862">
        <w:rPr>
          <w:rFonts w:ascii="Times New Roman" w:hAnsi="Times New Roman"/>
          <w:color w:val="000000" w:themeColor="text1"/>
          <w:lang w:eastAsia="zh-CN"/>
        </w:rPr>
        <w:t>人</w:t>
      </w:r>
      <w:r w:rsidR="00B156B0"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施工工期约</w:t>
      </w:r>
      <w:r w:rsidRPr="00092862">
        <w:rPr>
          <w:rFonts w:ascii="Times New Roman" w:hAnsi="Times New Roman"/>
          <w:color w:val="000000" w:themeColor="text1"/>
          <w:lang w:eastAsia="zh-CN"/>
        </w:rPr>
        <w:t>90</w:t>
      </w:r>
      <w:r w:rsidRPr="00092862">
        <w:rPr>
          <w:rFonts w:ascii="Times New Roman" w:hAnsi="Times New Roman"/>
          <w:color w:val="000000" w:themeColor="text1"/>
          <w:lang w:eastAsia="zh-CN"/>
        </w:rPr>
        <w:t>天，</w:t>
      </w:r>
      <w:r w:rsidR="00B156B0" w:rsidRPr="00092862">
        <w:rPr>
          <w:rFonts w:ascii="Times New Roman" w:hAnsi="Times New Roman"/>
          <w:color w:val="000000" w:themeColor="text1"/>
          <w:lang w:eastAsia="zh-CN"/>
        </w:rPr>
        <w:t>仅白天施工，夜间不作业。</w:t>
      </w:r>
    </w:p>
    <w:p w14:paraId="6E3A2F9E" w14:textId="64F86D0D" w:rsidR="00E27787" w:rsidRPr="00092862" w:rsidRDefault="00E27787"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3.2-</w:t>
      </w:r>
      <w:r w:rsidR="002C77F6" w:rsidRPr="00092862">
        <w:rPr>
          <w:rFonts w:ascii="Times New Roman" w:eastAsia="黑体" w:hAnsi="Times New Roman"/>
          <w:color w:val="000000" w:themeColor="text1"/>
          <w:sz w:val="21"/>
          <w:szCs w:val="21"/>
          <w:lang w:eastAsia="zh-CN"/>
        </w:rPr>
        <w:t>33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项目钻井施工工期一览表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135"/>
        <w:gridCol w:w="3030"/>
        <w:gridCol w:w="1378"/>
        <w:gridCol w:w="1379"/>
        <w:gridCol w:w="1378"/>
      </w:tblGrid>
      <w:tr w:rsidR="00697429" w:rsidRPr="00092862" w14:paraId="2CD35047" w14:textId="4783E13E" w:rsidTr="007F03A2">
        <w:trPr>
          <w:jc w:val="center"/>
        </w:trPr>
        <w:tc>
          <w:tcPr>
            <w:tcW w:w="2509" w:type="pct"/>
            <w:gridSpan w:val="2"/>
            <w:tcBorders>
              <w:top w:val="single" w:sz="4" w:space="0" w:color="auto"/>
              <w:left w:val="single" w:sz="4" w:space="0" w:color="auto"/>
              <w:tl2br w:val="single" w:sz="4" w:space="0" w:color="auto"/>
            </w:tcBorders>
            <w:vAlign w:val="center"/>
          </w:tcPr>
          <w:p w14:paraId="3E0B6394" w14:textId="77777777" w:rsidR="007F03A2" w:rsidRPr="00092862" w:rsidRDefault="007F03A2" w:rsidP="001C1EAF">
            <w:pPr>
              <w:adjustRightInd w:val="0"/>
              <w:snapToGrid w:val="0"/>
              <w:jc w:val="righ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井号</w:t>
            </w:r>
          </w:p>
          <w:p w14:paraId="1EF6B969" w14:textId="55F7F1DE"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周期</w:t>
            </w:r>
          </w:p>
        </w:tc>
        <w:tc>
          <w:tcPr>
            <w:tcW w:w="830" w:type="pct"/>
            <w:tcBorders>
              <w:top w:val="single" w:sz="4" w:space="0" w:color="auto"/>
              <w:right w:val="single" w:sz="4" w:space="0" w:color="auto"/>
            </w:tcBorders>
            <w:vAlign w:val="center"/>
          </w:tcPr>
          <w:p w14:paraId="1518E5AF" w14:textId="644C7811"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701-4H</w:t>
            </w:r>
            <w:r w:rsidRPr="00092862">
              <w:rPr>
                <w:rFonts w:ascii="Times New Roman" w:eastAsia="宋体" w:hAnsi="Times New Roman" w:cs="Times New Roman"/>
                <w:color w:val="000000" w:themeColor="text1"/>
                <w:szCs w:val="21"/>
              </w:rPr>
              <w:t>井</w:t>
            </w:r>
          </w:p>
        </w:tc>
        <w:tc>
          <w:tcPr>
            <w:tcW w:w="831" w:type="pct"/>
            <w:tcBorders>
              <w:top w:val="single" w:sz="4" w:space="0" w:color="auto"/>
              <w:right w:val="single" w:sz="4" w:space="0" w:color="auto"/>
            </w:tcBorders>
          </w:tcPr>
          <w:p w14:paraId="0F00FDDF" w14:textId="3C178252"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701-5H</w:t>
            </w:r>
            <w:r w:rsidRPr="00092862">
              <w:rPr>
                <w:rFonts w:ascii="Times New Roman" w:eastAsia="宋体" w:hAnsi="Times New Roman" w:cs="Times New Roman"/>
                <w:color w:val="000000" w:themeColor="text1"/>
                <w:szCs w:val="21"/>
              </w:rPr>
              <w:t>井</w:t>
            </w:r>
          </w:p>
        </w:tc>
        <w:tc>
          <w:tcPr>
            <w:tcW w:w="830" w:type="pct"/>
            <w:tcBorders>
              <w:top w:val="single" w:sz="4" w:space="0" w:color="auto"/>
              <w:right w:val="single" w:sz="4" w:space="0" w:color="auto"/>
            </w:tcBorders>
          </w:tcPr>
          <w:p w14:paraId="2964DA3F" w14:textId="3243978C"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r>
      <w:tr w:rsidR="00697429" w:rsidRPr="00092862" w14:paraId="7A401E53" w14:textId="1D156ABF" w:rsidTr="007F03A2">
        <w:trPr>
          <w:jc w:val="center"/>
        </w:trPr>
        <w:tc>
          <w:tcPr>
            <w:tcW w:w="2509" w:type="pct"/>
            <w:gridSpan w:val="2"/>
            <w:tcBorders>
              <w:left w:val="single" w:sz="4" w:space="0" w:color="auto"/>
            </w:tcBorders>
            <w:vAlign w:val="center"/>
          </w:tcPr>
          <w:p w14:paraId="2BFCC564" w14:textId="675E1067"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w:t>
            </w:r>
            <w:r w:rsidRPr="00092862">
              <w:rPr>
                <w:rFonts w:ascii="Times New Roman" w:eastAsia="宋体" w:hAnsi="Times New Roman" w:cs="Times New Roman"/>
                <w:color w:val="000000" w:themeColor="text1"/>
                <w:szCs w:val="21"/>
              </w:rPr>
              <w:t>d</w:t>
            </w:r>
            <w:r w:rsidRPr="00092862">
              <w:rPr>
                <w:rFonts w:ascii="Times New Roman" w:eastAsia="宋体" w:hAnsi="Times New Roman" w:cs="Times New Roman"/>
                <w:color w:val="000000" w:themeColor="text1"/>
                <w:szCs w:val="21"/>
              </w:rPr>
              <w:t>）</w:t>
            </w:r>
          </w:p>
        </w:tc>
        <w:tc>
          <w:tcPr>
            <w:tcW w:w="1661" w:type="pct"/>
            <w:gridSpan w:val="2"/>
            <w:tcBorders>
              <w:right w:val="single" w:sz="4" w:space="0" w:color="auto"/>
            </w:tcBorders>
            <w:vAlign w:val="center"/>
          </w:tcPr>
          <w:p w14:paraId="498AD691" w14:textId="0425E731"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w:t>
            </w:r>
          </w:p>
        </w:tc>
        <w:tc>
          <w:tcPr>
            <w:tcW w:w="830" w:type="pct"/>
            <w:tcBorders>
              <w:right w:val="single" w:sz="4" w:space="0" w:color="auto"/>
            </w:tcBorders>
          </w:tcPr>
          <w:p w14:paraId="59ACDC47" w14:textId="3FE92B97" w:rsidR="007F03A2" w:rsidRPr="00092862" w:rsidRDefault="007F03A2" w:rsidP="001C1EA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w:t>
            </w:r>
          </w:p>
        </w:tc>
      </w:tr>
      <w:tr w:rsidR="00697429" w:rsidRPr="00092862" w14:paraId="030F39CC" w14:textId="578B8727" w:rsidTr="0029533C">
        <w:trPr>
          <w:jc w:val="center"/>
        </w:trPr>
        <w:tc>
          <w:tcPr>
            <w:tcW w:w="684" w:type="pct"/>
            <w:tcBorders>
              <w:left w:val="single" w:sz="4" w:space="0" w:color="auto"/>
            </w:tcBorders>
            <w:vAlign w:val="center"/>
          </w:tcPr>
          <w:p w14:paraId="08D85E00" w14:textId="6FE54B90"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钻井工程（</w:t>
            </w:r>
            <w:r w:rsidRPr="00092862">
              <w:rPr>
                <w:rFonts w:ascii="Times New Roman" w:eastAsia="宋体" w:hAnsi="Times New Roman" w:cs="Times New Roman"/>
                <w:color w:val="000000" w:themeColor="text1"/>
                <w:szCs w:val="21"/>
              </w:rPr>
              <w:t>d</w:t>
            </w:r>
            <w:r w:rsidRPr="00092862">
              <w:rPr>
                <w:rFonts w:ascii="Times New Roman" w:eastAsia="宋体" w:hAnsi="Times New Roman" w:cs="Times New Roman"/>
                <w:color w:val="000000" w:themeColor="text1"/>
                <w:szCs w:val="21"/>
              </w:rPr>
              <w:t>）</w:t>
            </w:r>
          </w:p>
        </w:tc>
        <w:tc>
          <w:tcPr>
            <w:tcW w:w="1825" w:type="pct"/>
            <w:vAlign w:val="center"/>
          </w:tcPr>
          <w:p w14:paraId="34101A02" w14:textId="22FABB7A"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导管、一开、二开、三开钻进</w:t>
            </w:r>
          </w:p>
        </w:tc>
        <w:tc>
          <w:tcPr>
            <w:tcW w:w="830" w:type="pct"/>
            <w:tcBorders>
              <w:right w:val="single" w:sz="4" w:space="0" w:color="auto"/>
            </w:tcBorders>
            <w:vAlign w:val="center"/>
          </w:tcPr>
          <w:p w14:paraId="6F9AE59D" w14:textId="32B1C1BC"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76.6</w:t>
            </w:r>
          </w:p>
        </w:tc>
        <w:tc>
          <w:tcPr>
            <w:tcW w:w="831" w:type="pct"/>
            <w:tcBorders>
              <w:right w:val="single" w:sz="4" w:space="0" w:color="auto"/>
            </w:tcBorders>
            <w:vAlign w:val="center"/>
          </w:tcPr>
          <w:p w14:paraId="640EE55A" w14:textId="17C848F1"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77.1</w:t>
            </w:r>
          </w:p>
        </w:tc>
        <w:tc>
          <w:tcPr>
            <w:tcW w:w="830" w:type="pct"/>
            <w:tcBorders>
              <w:right w:val="single" w:sz="4" w:space="0" w:color="auto"/>
            </w:tcBorders>
            <w:vAlign w:val="center"/>
          </w:tcPr>
          <w:p w14:paraId="1ECCCA92" w14:textId="79A303AA"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153.7</w:t>
            </w:r>
          </w:p>
        </w:tc>
      </w:tr>
      <w:tr w:rsidR="00697429" w:rsidRPr="00092862" w14:paraId="2AC565E8" w14:textId="46384176" w:rsidTr="0029533C">
        <w:trPr>
          <w:jc w:val="center"/>
        </w:trPr>
        <w:tc>
          <w:tcPr>
            <w:tcW w:w="684" w:type="pct"/>
            <w:tcBorders>
              <w:left w:val="single" w:sz="4" w:space="0" w:color="auto"/>
            </w:tcBorders>
            <w:vAlign w:val="center"/>
          </w:tcPr>
          <w:p w14:paraId="7A28FE2E" w14:textId="626B9B28"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完井、试气、设备拆迁（</w:t>
            </w:r>
            <w:r w:rsidRPr="00092862">
              <w:rPr>
                <w:rFonts w:ascii="Times New Roman" w:eastAsia="宋体" w:hAnsi="Times New Roman" w:cs="Times New Roman"/>
                <w:color w:val="000000" w:themeColor="text1"/>
                <w:szCs w:val="21"/>
              </w:rPr>
              <w:t>d</w:t>
            </w:r>
            <w:r w:rsidRPr="00092862">
              <w:rPr>
                <w:rFonts w:ascii="Times New Roman" w:eastAsia="宋体" w:hAnsi="Times New Roman" w:cs="Times New Roman"/>
                <w:color w:val="000000" w:themeColor="text1"/>
                <w:szCs w:val="21"/>
              </w:rPr>
              <w:t>）</w:t>
            </w:r>
          </w:p>
        </w:tc>
        <w:tc>
          <w:tcPr>
            <w:tcW w:w="1825" w:type="pct"/>
          </w:tcPr>
          <w:p w14:paraId="0858F2E9" w14:textId="03845359"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测井、固井、完井作业等</w:t>
            </w:r>
          </w:p>
        </w:tc>
        <w:tc>
          <w:tcPr>
            <w:tcW w:w="830" w:type="pct"/>
            <w:tcBorders>
              <w:right w:val="single" w:sz="4" w:space="0" w:color="auto"/>
            </w:tcBorders>
            <w:vAlign w:val="center"/>
          </w:tcPr>
          <w:p w14:paraId="5FC0D788" w14:textId="42EBFAD8"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61.9</w:t>
            </w:r>
          </w:p>
        </w:tc>
        <w:tc>
          <w:tcPr>
            <w:tcW w:w="831" w:type="pct"/>
            <w:tcBorders>
              <w:right w:val="single" w:sz="4" w:space="0" w:color="auto"/>
            </w:tcBorders>
            <w:vAlign w:val="center"/>
          </w:tcPr>
          <w:p w14:paraId="5E59BD3D" w14:textId="7A2DC4AD"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62.4</w:t>
            </w:r>
          </w:p>
        </w:tc>
        <w:tc>
          <w:tcPr>
            <w:tcW w:w="830" w:type="pct"/>
            <w:tcBorders>
              <w:right w:val="single" w:sz="4" w:space="0" w:color="auto"/>
            </w:tcBorders>
            <w:vAlign w:val="center"/>
          </w:tcPr>
          <w:p w14:paraId="77341465" w14:textId="48DF2B3D" w:rsidR="007F03A2" w:rsidRPr="00092862" w:rsidRDefault="007F03A2" w:rsidP="007F03A2">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124.3</w:t>
            </w:r>
          </w:p>
        </w:tc>
      </w:tr>
      <w:tr w:rsidR="00697429" w:rsidRPr="00092862" w14:paraId="48EF0E21" w14:textId="13169B1E" w:rsidTr="007F03A2">
        <w:trPr>
          <w:jc w:val="center"/>
        </w:trPr>
        <w:tc>
          <w:tcPr>
            <w:tcW w:w="2509" w:type="pct"/>
            <w:gridSpan w:val="2"/>
            <w:tcBorders>
              <w:left w:val="single" w:sz="4" w:space="0" w:color="auto"/>
            </w:tcBorders>
            <w:vAlign w:val="center"/>
          </w:tcPr>
          <w:p w14:paraId="515DB56F" w14:textId="03F03340" w:rsidR="007F03A2" w:rsidRPr="00092862" w:rsidRDefault="007F03A2" w:rsidP="00A81C7A">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地面工程（</w:t>
            </w:r>
            <w:r w:rsidRPr="00092862">
              <w:rPr>
                <w:rFonts w:ascii="Times New Roman" w:eastAsia="宋体" w:hAnsi="Times New Roman" w:cs="Times New Roman"/>
                <w:color w:val="000000" w:themeColor="text1"/>
                <w:szCs w:val="21"/>
              </w:rPr>
              <w:t>d</w:t>
            </w:r>
            <w:r w:rsidRPr="00092862">
              <w:rPr>
                <w:rFonts w:ascii="Times New Roman" w:eastAsia="宋体" w:hAnsi="Times New Roman" w:cs="Times New Roman"/>
                <w:color w:val="000000" w:themeColor="text1"/>
                <w:szCs w:val="21"/>
              </w:rPr>
              <w:t>）</w:t>
            </w:r>
          </w:p>
        </w:tc>
        <w:tc>
          <w:tcPr>
            <w:tcW w:w="1661" w:type="pct"/>
            <w:gridSpan w:val="2"/>
            <w:tcBorders>
              <w:right w:val="single" w:sz="4" w:space="0" w:color="auto"/>
            </w:tcBorders>
            <w:vAlign w:val="center"/>
          </w:tcPr>
          <w:p w14:paraId="47EFF89D" w14:textId="360F8D3B" w:rsidR="007F03A2" w:rsidRPr="00092862" w:rsidRDefault="007F03A2" w:rsidP="00A81C7A">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w:t>
            </w:r>
          </w:p>
        </w:tc>
        <w:tc>
          <w:tcPr>
            <w:tcW w:w="830" w:type="pct"/>
            <w:tcBorders>
              <w:right w:val="single" w:sz="4" w:space="0" w:color="auto"/>
            </w:tcBorders>
          </w:tcPr>
          <w:p w14:paraId="6549833F" w14:textId="5FC562AB" w:rsidR="007F03A2" w:rsidRPr="00092862" w:rsidRDefault="007F03A2" w:rsidP="00A81C7A">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w:t>
            </w:r>
          </w:p>
        </w:tc>
      </w:tr>
      <w:tr w:rsidR="00697429" w:rsidRPr="00092862" w14:paraId="3A222327" w14:textId="503CEE50" w:rsidTr="007F03A2">
        <w:trPr>
          <w:jc w:val="center"/>
        </w:trPr>
        <w:tc>
          <w:tcPr>
            <w:tcW w:w="2509" w:type="pct"/>
            <w:gridSpan w:val="2"/>
            <w:tcBorders>
              <w:left w:val="single" w:sz="4" w:space="0" w:color="auto"/>
              <w:bottom w:val="single" w:sz="4" w:space="0" w:color="auto"/>
            </w:tcBorders>
            <w:vAlign w:val="center"/>
          </w:tcPr>
          <w:p w14:paraId="754D98EC" w14:textId="216ED6C4" w:rsidR="007F03A2" w:rsidRPr="00092862" w:rsidRDefault="007F03A2" w:rsidP="00A81C7A">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总计（</w:t>
            </w:r>
            <w:r w:rsidRPr="00092862">
              <w:rPr>
                <w:rFonts w:ascii="Times New Roman" w:eastAsia="宋体" w:hAnsi="Times New Roman" w:cs="Times New Roman"/>
                <w:color w:val="000000" w:themeColor="text1"/>
                <w:szCs w:val="21"/>
              </w:rPr>
              <w:t>d</w:t>
            </w:r>
            <w:r w:rsidRPr="00092862">
              <w:rPr>
                <w:rFonts w:ascii="Times New Roman" w:eastAsia="宋体" w:hAnsi="Times New Roman" w:cs="Times New Roman"/>
                <w:color w:val="000000" w:themeColor="text1"/>
                <w:szCs w:val="21"/>
              </w:rPr>
              <w:t>）取整</w:t>
            </w:r>
          </w:p>
        </w:tc>
        <w:tc>
          <w:tcPr>
            <w:tcW w:w="1661" w:type="pct"/>
            <w:gridSpan w:val="2"/>
            <w:tcBorders>
              <w:bottom w:val="single" w:sz="4" w:space="0" w:color="auto"/>
              <w:right w:val="single" w:sz="4" w:space="0" w:color="auto"/>
            </w:tcBorders>
            <w:vAlign w:val="center"/>
          </w:tcPr>
          <w:p w14:paraId="0BF5F1BD" w14:textId="09062FF1" w:rsidR="007F03A2" w:rsidRPr="00092862" w:rsidRDefault="007F03A2" w:rsidP="00A81C7A">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30" w:type="pct"/>
            <w:tcBorders>
              <w:bottom w:val="single" w:sz="4" w:space="0" w:color="auto"/>
              <w:right w:val="single" w:sz="4" w:space="0" w:color="auto"/>
            </w:tcBorders>
          </w:tcPr>
          <w:p w14:paraId="4C8F5884" w14:textId="4DA93FB2" w:rsidR="007F03A2" w:rsidRPr="00092862" w:rsidRDefault="007F03A2" w:rsidP="00A81C7A">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338</w:t>
            </w:r>
          </w:p>
        </w:tc>
      </w:tr>
    </w:tbl>
    <w:p w14:paraId="4AAB6A21" w14:textId="216ACE87" w:rsidR="00E27787" w:rsidRPr="00092862" w:rsidRDefault="00B91DAA" w:rsidP="00E27787">
      <w:pPr>
        <w:pStyle w:val="ac"/>
        <w:adjustRightInd w:val="0"/>
        <w:snapToGrid w:val="0"/>
        <w:spacing w:beforeLines="50" w:before="120" w:line="360" w:lineRule="auto"/>
        <w:ind w:left="0" w:firstLineChars="200" w:firstLine="480"/>
        <w:jc w:val="both"/>
        <w:rPr>
          <w:rFonts w:ascii="Times New Roman" w:eastAsia="黑体" w:hAnsi="Times New Roman"/>
          <w:color w:val="000000" w:themeColor="text1"/>
          <w:lang w:eastAsia="zh-CN"/>
        </w:rPr>
      </w:pPr>
      <w:r w:rsidRPr="00092862">
        <w:rPr>
          <w:rFonts w:ascii="Times New Roman" w:eastAsia="黑体" w:hAnsi="Times New Roman"/>
          <w:color w:val="000000" w:themeColor="text1"/>
          <w:lang w:eastAsia="zh-CN"/>
        </w:rPr>
        <w:t>5</w:t>
      </w:r>
      <w:r w:rsidR="00E27787" w:rsidRPr="00092862">
        <w:rPr>
          <w:rFonts w:ascii="Times New Roman" w:eastAsia="黑体" w:hAnsi="Times New Roman"/>
          <w:color w:val="000000" w:themeColor="text1"/>
          <w:lang w:eastAsia="zh-CN"/>
        </w:rPr>
        <w:t>、</w:t>
      </w:r>
      <w:r w:rsidRPr="00092862">
        <w:rPr>
          <w:rFonts w:ascii="Times New Roman" w:eastAsia="黑体" w:hAnsi="Times New Roman"/>
          <w:color w:val="000000" w:themeColor="text1"/>
          <w:lang w:eastAsia="zh-CN"/>
        </w:rPr>
        <w:t>试采</w:t>
      </w:r>
      <w:r w:rsidR="00E27787" w:rsidRPr="00092862">
        <w:rPr>
          <w:rFonts w:ascii="Times New Roman" w:eastAsia="黑体" w:hAnsi="Times New Roman"/>
          <w:color w:val="000000" w:themeColor="text1"/>
          <w:lang w:eastAsia="zh-CN"/>
        </w:rPr>
        <w:t>工程</w:t>
      </w:r>
    </w:p>
    <w:p w14:paraId="2D136176" w14:textId="54BF4A65" w:rsidR="00A44666" w:rsidRPr="00092862" w:rsidRDefault="001C1EAF" w:rsidP="00DC4F5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项目</w:t>
      </w:r>
      <w:r w:rsidR="00F30AFD" w:rsidRPr="00092862">
        <w:rPr>
          <w:rFonts w:ascii="Times New Roman" w:hAnsi="Times New Roman"/>
          <w:color w:val="000000" w:themeColor="text1"/>
          <w:lang w:eastAsia="zh-CN"/>
        </w:rPr>
        <w:t>集气站</w:t>
      </w:r>
      <w:r w:rsidR="00D10F07" w:rsidRPr="00092862">
        <w:rPr>
          <w:rFonts w:ascii="Times New Roman" w:hAnsi="Times New Roman"/>
          <w:color w:val="000000" w:themeColor="text1"/>
          <w:lang w:eastAsia="zh-CN"/>
        </w:rPr>
        <w:t>场</w:t>
      </w:r>
      <w:r w:rsidRPr="00092862">
        <w:rPr>
          <w:rFonts w:ascii="Times New Roman" w:hAnsi="Times New Roman"/>
          <w:color w:val="000000" w:themeColor="text1"/>
          <w:lang w:eastAsia="zh-CN"/>
        </w:rPr>
        <w:t>依托</w:t>
      </w:r>
      <w:r w:rsidR="003C3238" w:rsidRPr="00092862">
        <w:rPr>
          <w:rFonts w:ascii="Times New Roman" w:hAnsi="Times New Roman"/>
          <w:color w:val="000000" w:themeColor="text1"/>
          <w:lang w:eastAsia="zh-CN"/>
        </w:rPr>
        <w:t>老君</w:t>
      </w:r>
      <w:r w:rsidR="003C3238" w:rsidRPr="00092862">
        <w:rPr>
          <w:rFonts w:ascii="Times New Roman" w:hAnsi="Times New Roman"/>
          <w:color w:val="000000" w:themeColor="text1"/>
          <w:lang w:eastAsia="zh-CN"/>
        </w:rPr>
        <w:t>701</w:t>
      </w:r>
      <w:r w:rsidR="00196791" w:rsidRPr="00092862">
        <w:rPr>
          <w:rFonts w:ascii="Times New Roman" w:hAnsi="Times New Roman"/>
          <w:color w:val="000000" w:themeColor="text1"/>
          <w:lang w:eastAsia="zh-CN"/>
        </w:rPr>
        <w:t>集气站</w:t>
      </w:r>
      <w:r w:rsidR="00AD5F36" w:rsidRPr="00092862">
        <w:rPr>
          <w:rFonts w:ascii="Times New Roman" w:hAnsi="Times New Roman"/>
          <w:color w:val="000000" w:themeColor="text1"/>
          <w:lang w:eastAsia="zh-CN"/>
        </w:rPr>
        <w:t>进行建设</w:t>
      </w:r>
      <w:r w:rsidRPr="00092862">
        <w:rPr>
          <w:rFonts w:ascii="Times New Roman" w:hAnsi="Times New Roman"/>
          <w:color w:val="000000" w:themeColor="text1"/>
          <w:lang w:eastAsia="zh-CN"/>
        </w:rPr>
        <w:t>，</w:t>
      </w:r>
      <w:bookmarkStart w:id="106" w:name="_Hlk88749992"/>
      <w:r w:rsidR="003C3238" w:rsidRPr="00092862">
        <w:rPr>
          <w:rFonts w:ascii="Times New Roman" w:hAnsi="Times New Roman"/>
          <w:color w:val="000000" w:themeColor="text1"/>
          <w:lang w:eastAsia="zh-CN"/>
        </w:rPr>
        <w:t>老君</w:t>
      </w:r>
      <w:r w:rsidR="003C3238" w:rsidRPr="00092862">
        <w:rPr>
          <w:rFonts w:ascii="Times New Roman" w:hAnsi="Times New Roman"/>
          <w:color w:val="000000" w:themeColor="text1"/>
          <w:lang w:eastAsia="zh-CN"/>
        </w:rPr>
        <w:t>701</w:t>
      </w:r>
      <w:r w:rsidR="00196791" w:rsidRPr="00092862">
        <w:rPr>
          <w:rFonts w:ascii="Times New Roman" w:hAnsi="Times New Roman"/>
          <w:color w:val="000000" w:themeColor="text1"/>
          <w:lang w:eastAsia="zh-CN"/>
        </w:rPr>
        <w:t>集气站</w:t>
      </w:r>
      <w:r w:rsidRPr="00092862">
        <w:rPr>
          <w:rFonts w:ascii="Times New Roman" w:hAnsi="Times New Roman"/>
          <w:color w:val="000000" w:themeColor="text1"/>
          <w:lang w:eastAsia="zh-CN"/>
        </w:rPr>
        <w:t>为</w:t>
      </w:r>
      <w:r w:rsidR="00196791" w:rsidRPr="00092862">
        <w:rPr>
          <w:rFonts w:ascii="Times New Roman" w:hAnsi="Times New Roman"/>
          <w:color w:val="000000" w:themeColor="text1"/>
          <w:lang w:eastAsia="zh-CN"/>
        </w:rPr>
        <w:t>有人</w:t>
      </w:r>
      <w:r w:rsidRPr="00092862">
        <w:rPr>
          <w:rFonts w:ascii="Times New Roman" w:hAnsi="Times New Roman"/>
          <w:color w:val="000000" w:themeColor="text1"/>
          <w:lang w:eastAsia="zh-CN"/>
        </w:rPr>
        <w:t>值守站场</w:t>
      </w:r>
      <w:r w:rsidR="00196791" w:rsidRPr="00092862">
        <w:rPr>
          <w:rFonts w:ascii="Times New Roman" w:hAnsi="Times New Roman"/>
          <w:color w:val="000000" w:themeColor="text1"/>
          <w:lang w:eastAsia="zh-CN"/>
        </w:rPr>
        <w:t>，工作人员约</w:t>
      </w:r>
      <w:r w:rsidR="002A22C3" w:rsidRPr="00092862">
        <w:rPr>
          <w:rFonts w:ascii="Times New Roman" w:hAnsi="Times New Roman"/>
          <w:color w:val="000000" w:themeColor="text1"/>
          <w:lang w:eastAsia="zh-CN"/>
        </w:rPr>
        <w:t>11</w:t>
      </w:r>
      <w:r w:rsidR="00196791" w:rsidRPr="00092862">
        <w:rPr>
          <w:rFonts w:ascii="Times New Roman" w:hAnsi="Times New Roman"/>
          <w:color w:val="000000" w:themeColor="text1"/>
          <w:lang w:eastAsia="zh-CN"/>
        </w:rPr>
        <w:t>人</w:t>
      </w:r>
      <w:r w:rsidR="00AD5F36"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实行连续</w:t>
      </w:r>
      <w:r w:rsidRPr="00092862">
        <w:rPr>
          <w:rFonts w:ascii="Times New Roman" w:hAnsi="Times New Roman"/>
          <w:color w:val="000000" w:themeColor="text1"/>
          <w:lang w:eastAsia="zh-CN"/>
        </w:rPr>
        <w:t>24h</w:t>
      </w:r>
      <w:r w:rsidRPr="00092862">
        <w:rPr>
          <w:rFonts w:ascii="Times New Roman" w:hAnsi="Times New Roman"/>
          <w:color w:val="000000" w:themeColor="text1"/>
          <w:lang w:eastAsia="zh-CN"/>
        </w:rPr>
        <w:t>不间断生产，年运行</w:t>
      </w:r>
      <w:r w:rsidRPr="00092862">
        <w:rPr>
          <w:rFonts w:ascii="Times New Roman" w:hAnsi="Times New Roman"/>
          <w:color w:val="000000" w:themeColor="text1"/>
          <w:lang w:eastAsia="zh-CN"/>
        </w:rPr>
        <w:t>365</w:t>
      </w:r>
      <w:r w:rsidRPr="00092862">
        <w:rPr>
          <w:rFonts w:ascii="Times New Roman" w:hAnsi="Times New Roman"/>
          <w:color w:val="000000" w:themeColor="text1"/>
          <w:lang w:eastAsia="zh-CN"/>
        </w:rPr>
        <w:t>天。</w:t>
      </w:r>
      <w:bookmarkEnd w:id="106"/>
    </w:p>
    <w:p w14:paraId="5B8EADCD" w14:textId="77777777" w:rsidR="00DC446C" w:rsidRPr="00092862" w:rsidRDefault="003B1968" w:rsidP="00A44666">
      <w:pPr>
        <w:pStyle w:val="2"/>
        <w:ind w:firstLine="480"/>
        <w:rPr>
          <w:color w:val="000000" w:themeColor="text1"/>
          <w:szCs w:val="24"/>
          <w:lang w:eastAsia="zh-CN"/>
        </w:rPr>
      </w:pPr>
      <w:bookmarkStart w:id="107" w:name="_Toc123682533"/>
      <w:r w:rsidRPr="00092862">
        <w:rPr>
          <w:color w:val="000000" w:themeColor="text1"/>
          <w:szCs w:val="24"/>
          <w:lang w:eastAsia="zh-CN"/>
        </w:rPr>
        <w:t>3.3</w:t>
      </w:r>
      <w:r w:rsidRPr="00092862">
        <w:rPr>
          <w:color w:val="000000" w:themeColor="text1"/>
          <w:szCs w:val="24"/>
          <w:lang w:eastAsia="zh-CN"/>
        </w:rPr>
        <w:t>建设项目工程分析</w:t>
      </w:r>
      <w:bookmarkEnd w:id="107"/>
    </w:p>
    <w:p w14:paraId="0BAE8BAF" w14:textId="7CA464F4" w:rsidR="00564C11" w:rsidRPr="00092862" w:rsidRDefault="00564C11" w:rsidP="00564C1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本项目包含</w:t>
      </w:r>
      <w:r w:rsidR="00B91DAA" w:rsidRPr="00092862">
        <w:rPr>
          <w:rFonts w:ascii="Times New Roman" w:eastAsia="宋体" w:hAnsi="Times New Roman" w:cs="Times New Roman"/>
          <w:color w:val="000000" w:themeColor="text1"/>
          <w:sz w:val="24"/>
        </w:rPr>
        <w:t>钻前工程、</w:t>
      </w:r>
      <w:r w:rsidRPr="00092862">
        <w:rPr>
          <w:rFonts w:ascii="Times New Roman" w:eastAsia="宋体" w:hAnsi="Times New Roman" w:cs="Times New Roman"/>
          <w:color w:val="000000" w:themeColor="text1"/>
          <w:sz w:val="24"/>
        </w:rPr>
        <w:t>钻</w:t>
      </w:r>
      <w:r w:rsidR="00196791" w:rsidRPr="00092862">
        <w:rPr>
          <w:rFonts w:ascii="Times New Roman" w:eastAsia="宋体" w:hAnsi="Times New Roman" w:cs="Times New Roman"/>
          <w:color w:val="000000" w:themeColor="text1"/>
          <w:sz w:val="24"/>
        </w:rPr>
        <w:t>完</w:t>
      </w:r>
      <w:r w:rsidRPr="00092862">
        <w:rPr>
          <w:rFonts w:ascii="Times New Roman" w:eastAsia="宋体" w:hAnsi="Times New Roman" w:cs="Times New Roman"/>
          <w:color w:val="000000" w:themeColor="text1"/>
          <w:sz w:val="24"/>
        </w:rPr>
        <w:t>井工程</w:t>
      </w:r>
      <w:r w:rsidR="00B91DAA" w:rsidRPr="00092862">
        <w:rPr>
          <w:rFonts w:ascii="Times New Roman" w:eastAsia="宋体" w:hAnsi="Times New Roman" w:cs="Times New Roman"/>
          <w:color w:val="000000" w:themeColor="text1"/>
          <w:sz w:val="24"/>
        </w:rPr>
        <w:t>、地面工程</w:t>
      </w:r>
      <w:r w:rsidRPr="00092862">
        <w:rPr>
          <w:rFonts w:ascii="Times New Roman" w:eastAsia="宋体" w:hAnsi="Times New Roman" w:cs="Times New Roman"/>
          <w:color w:val="000000" w:themeColor="text1"/>
          <w:sz w:val="24"/>
        </w:rPr>
        <w:t>及</w:t>
      </w:r>
      <w:r w:rsidR="00B91DAA"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工程。本项目充分参考了《陆上钻井作业环境保护推荐作法》的相关要求，并结合项目拟建地周边环境情况和</w:t>
      </w:r>
      <w:r w:rsidR="00AD5F36" w:rsidRPr="00092862">
        <w:rPr>
          <w:rFonts w:ascii="Times New Roman" w:eastAsia="宋体" w:hAnsi="Times New Roman" w:cs="Times New Roman"/>
          <w:color w:val="000000" w:themeColor="text1"/>
          <w:sz w:val="24"/>
        </w:rPr>
        <w:t>中国石油化工股份有限公司</w:t>
      </w:r>
      <w:r w:rsidRPr="00092862">
        <w:rPr>
          <w:rFonts w:ascii="Times New Roman" w:eastAsia="宋体" w:hAnsi="Times New Roman" w:cs="Times New Roman"/>
          <w:color w:val="000000" w:themeColor="text1"/>
          <w:sz w:val="24"/>
        </w:rPr>
        <w:t>多年的钻井工程经验，各项作业均达到该地区行业推荐作业方案的要求。钻井过程主要包括钻前工程（井场平整、</w:t>
      </w:r>
      <w:r w:rsidR="00926944" w:rsidRPr="00092862">
        <w:rPr>
          <w:rFonts w:ascii="Times New Roman" w:eastAsia="宋体" w:hAnsi="Times New Roman" w:cs="Times New Roman"/>
          <w:color w:val="000000" w:themeColor="text1"/>
          <w:sz w:val="24"/>
        </w:rPr>
        <w:t>道</w:t>
      </w:r>
      <w:r w:rsidR="00926944" w:rsidRPr="00092862">
        <w:rPr>
          <w:rFonts w:ascii="Times New Roman" w:eastAsia="宋体" w:hAnsi="Times New Roman" w:cs="Times New Roman"/>
          <w:color w:val="000000" w:themeColor="text1"/>
          <w:sz w:val="24"/>
        </w:rPr>
        <w:lastRenderedPageBreak/>
        <w:t>路、放喷</w:t>
      </w:r>
      <w:r w:rsidRPr="00092862">
        <w:rPr>
          <w:rFonts w:ascii="Times New Roman" w:eastAsia="宋体" w:hAnsi="Times New Roman" w:cs="Times New Roman"/>
          <w:color w:val="000000" w:themeColor="text1"/>
          <w:sz w:val="24"/>
        </w:rPr>
        <w:t>池建设</w:t>
      </w:r>
      <w:r w:rsidR="00E11DD2" w:rsidRPr="00092862">
        <w:rPr>
          <w:rFonts w:ascii="Times New Roman" w:eastAsia="宋体" w:hAnsi="Times New Roman" w:cs="Times New Roman"/>
          <w:color w:val="000000" w:themeColor="text1"/>
          <w:sz w:val="24"/>
        </w:rPr>
        <w:t>或修复</w:t>
      </w:r>
      <w:r w:rsidRPr="00092862">
        <w:rPr>
          <w:rFonts w:ascii="Times New Roman" w:eastAsia="宋体" w:hAnsi="Times New Roman" w:cs="Times New Roman"/>
          <w:color w:val="000000" w:themeColor="text1"/>
          <w:sz w:val="24"/>
        </w:rPr>
        <w:t>等）、设备搬运及安装、钻井（固井、录井）、洗井、完井作业、设备搬迁及污染物治理等，项目工艺过程见图</w:t>
      </w:r>
      <w:r w:rsidRPr="00092862">
        <w:rPr>
          <w:rFonts w:ascii="Times New Roman" w:eastAsia="宋体" w:hAnsi="Times New Roman" w:cs="Times New Roman"/>
          <w:color w:val="000000" w:themeColor="text1"/>
          <w:sz w:val="24"/>
        </w:rPr>
        <w:t>3.3-1</w:t>
      </w:r>
      <w:r w:rsidRPr="00092862">
        <w:rPr>
          <w:rFonts w:ascii="Times New Roman" w:eastAsia="宋体" w:hAnsi="Times New Roman" w:cs="Times New Roman"/>
          <w:color w:val="000000" w:themeColor="text1"/>
          <w:sz w:val="24"/>
        </w:rPr>
        <w:t>。</w:t>
      </w:r>
    </w:p>
    <w:p w14:paraId="423175DE" w14:textId="0F4B013E" w:rsidR="00564C11" w:rsidRPr="00092862" w:rsidRDefault="00E11DD2" w:rsidP="00564C11">
      <w:pPr>
        <w:adjustRightInd w:val="0"/>
        <w:snapToGrid w:val="0"/>
        <w:jc w:val="center"/>
        <w:rPr>
          <w:rFonts w:ascii="Times New Roman" w:hAnsi="Times New Roman" w:cs="Times New Roman"/>
          <w:b/>
          <w:color w:val="000000" w:themeColor="text1"/>
          <w:szCs w:val="21"/>
        </w:rPr>
      </w:pPr>
      <w:r w:rsidRPr="00092862">
        <w:rPr>
          <w:rFonts w:ascii="Times New Roman" w:hAnsi="Times New Roman" w:cs="Times New Roman"/>
          <w:noProof/>
          <w:color w:val="000000" w:themeColor="text1"/>
        </w:rPr>
        <mc:AlternateContent>
          <mc:Choice Requires="wps">
            <w:drawing>
              <wp:anchor distT="0" distB="0" distL="114300" distR="114300" simplePos="0" relativeHeight="252168192" behindDoc="0" locked="0" layoutInCell="1" allowOverlap="1" wp14:anchorId="4B7B65F0" wp14:editId="77220652">
                <wp:simplePos x="0" y="0"/>
                <wp:positionH relativeFrom="margin">
                  <wp:posOffset>3711986</wp:posOffset>
                </wp:positionH>
                <wp:positionV relativeFrom="paragraph">
                  <wp:posOffset>22674</wp:posOffset>
                </wp:positionV>
                <wp:extent cx="1264982" cy="251460"/>
                <wp:effectExtent l="0" t="0" r="0" b="0"/>
                <wp:wrapNone/>
                <wp:docPr id="91925" name="文本框 91925"/>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noFill/>
                          <a:miter lim="800000"/>
                          <a:headEnd/>
                          <a:tailEnd/>
                        </a:ln>
                      </wps:spPr>
                      <wps:txbx>
                        <w:txbxContent>
                          <w:p w14:paraId="25C20FFA" w14:textId="2E6CB3F0" w:rsidR="00E11DD2" w:rsidRPr="00E34BE9" w:rsidRDefault="00E11DD2" w:rsidP="00E11DD2">
                            <w:pPr>
                              <w:rPr>
                                <w:sz w:val="18"/>
                                <w:szCs w:val="18"/>
                              </w:rPr>
                            </w:pPr>
                            <w:r>
                              <w:rPr>
                                <w:rFonts w:hint="eastAsia"/>
                                <w:sz w:val="18"/>
                                <w:szCs w:val="18"/>
                              </w:rPr>
                              <w:t>水土流失</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B65F0" id="文本框 91925" o:spid="_x0000_s1047" type="#_x0000_t202" style="position:absolute;left:0;text-align:left;margin-left:292.3pt;margin-top:1.8pt;width:99.6pt;height:19.8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" stroked="f">
                <v:textbox>
                  <w:txbxContent>
                    <w:p w14:paraId="25C20FFA" w14:textId="2E6CB3F0" w:rsidR="00E11DD2" w:rsidRPr="00E34BE9" w:rsidRDefault="00E11DD2" w:rsidP="00E11DD2">
                      <w:pPr>
                        <w:rPr>
                          <w:sz w:val="18"/>
                          <w:szCs w:val="18"/>
                        </w:rPr>
                      </w:pPr>
                      <w:r>
                        <w:rPr>
                          <w:rFonts w:hint="eastAsia"/>
                          <w:sz w:val="18"/>
                          <w:szCs w:val="18"/>
                        </w:rPr>
                        <w:t>水土流失</w:t>
                      </w:r>
                    </w:p>
                  </w:txbxContent>
                </v:textbox>
                <w10:wrap anchorx="margin"/>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2166144" behindDoc="0" locked="0" layoutInCell="1" allowOverlap="1" wp14:anchorId="1023CB86" wp14:editId="28DE14E2">
                <wp:simplePos x="0" y="0"/>
                <wp:positionH relativeFrom="margin">
                  <wp:posOffset>2076307</wp:posOffset>
                </wp:positionH>
                <wp:positionV relativeFrom="paragraph">
                  <wp:posOffset>2843157</wp:posOffset>
                </wp:positionV>
                <wp:extent cx="1264982" cy="251460"/>
                <wp:effectExtent l="0" t="0" r="11430" b="15240"/>
                <wp:wrapNone/>
                <wp:docPr id="91924" name="文本框 91924"/>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headEnd/>
                          <a:tailEnd/>
                        </a:ln>
                      </wps:spPr>
                      <wps:txbx>
                        <w:txbxContent>
                          <w:p w14:paraId="28C284AB" w14:textId="506A6A99" w:rsidR="00E11DD2" w:rsidRPr="00E34BE9" w:rsidRDefault="001E0886" w:rsidP="00E11DD2">
                            <w:pPr>
                              <w:jc w:val="center"/>
                              <w:rPr>
                                <w:sz w:val="18"/>
                                <w:szCs w:val="18"/>
                              </w:rPr>
                            </w:pPr>
                            <w:r>
                              <w:rPr>
                                <w:rFonts w:hint="eastAsia"/>
                                <w:sz w:val="18"/>
                                <w:szCs w:val="18"/>
                              </w:rPr>
                              <w:t>集气</w:t>
                            </w:r>
                            <w:r w:rsidR="00E11DD2" w:rsidRPr="00E34BE9">
                              <w:rPr>
                                <w:rFonts w:hint="eastAsia"/>
                                <w:sz w:val="18"/>
                                <w:szCs w:val="18"/>
                              </w:rPr>
                              <w:t>站</w:t>
                            </w:r>
                            <w:r w:rsidR="00E11DD2">
                              <w:rPr>
                                <w:rFonts w:hint="eastAsia"/>
                                <w:sz w:val="18"/>
                                <w:szCs w:val="18"/>
                              </w:rPr>
                              <w:t>运营（依托）</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3CB86" id="文本框 91924" o:spid="_x0000_s1048" type="#_x0000_t202" style="position:absolute;left:0;text-align:left;margin-left:163.5pt;margin-top:223.85pt;width:99.6pt;height:19.8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">
                <v:textbox>
                  <w:txbxContent>
                    <w:p w14:paraId="28C284AB" w14:textId="506A6A99" w:rsidR="00E11DD2" w:rsidRPr="00E34BE9" w:rsidRDefault="001E0886" w:rsidP="00E11DD2">
                      <w:pPr>
                        <w:jc w:val="center"/>
                        <w:rPr>
                          <w:sz w:val="18"/>
                          <w:szCs w:val="18"/>
                        </w:rPr>
                      </w:pPr>
                      <w:r>
                        <w:rPr>
                          <w:rFonts w:hint="eastAsia"/>
                          <w:sz w:val="18"/>
                          <w:szCs w:val="18"/>
                        </w:rPr>
                        <w:t>集气</w:t>
                      </w:r>
                      <w:r w:rsidR="00E11DD2" w:rsidRPr="00E34BE9">
                        <w:rPr>
                          <w:rFonts w:hint="eastAsia"/>
                          <w:sz w:val="18"/>
                          <w:szCs w:val="18"/>
                        </w:rPr>
                        <w:t>站</w:t>
                      </w:r>
                      <w:r w:rsidR="00E11DD2">
                        <w:rPr>
                          <w:rFonts w:hint="eastAsia"/>
                          <w:sz w:val="18"/>
                          <w:szCs w:val="18"/>
                        </w:rPr>
                        <w:t>运营（依托）</w:t>
                      </w:r>
                    </w:p>
                  </w:txbxContent>
                </v:textbox>
                <w10:wrap anchorx="margin"/>
              </v:shape>
            </w:pict>
          </mc:Fallback>
        </mc:AlternateContent>
      </w:r>
      <w:r w:rsidR="00E34BE9" w:rsidRPr="00092862">
        <w:rPr>
          <w:rFonts w:ascii="Times New Roman" w:hAnsi="Times New Roman" w:cs="Times New Roman"/>
          <w:noProof/>
          <w:color w:val="000000" w:themeColor="text1"/>
        </w:rPr>
        <mc:AlternateContent>
          <mc:Choice Requires="wps">
            <w:drawing>
              <wp:anchor distT="0" distB="0" distL="114300" distR="114300" simplePos="0" relativeHeight="251879424" behindDoc="0" locked="0" layoutInCell="1" allowOverlap="1" wp14:anchorId="184B42EC" wp14:editId="0A724047">
                <wp:simplePos x="0" y="0"/>
                <wp:positionH relativeFrom="margin">
                  <wp:posOffset>2067536</wp:posOffset>
                </wp:positionH>
                <wp:positionV relativeFrom="paragraph">
                  <wp:posOffset>2345055</wp:posOffset>
                </wp:positionV>
                <wp:extent cx="1264982" cy="251460"/>
                <wp:effectExtent l="0" t="0" r="11430" b="15240"/>
                <wp:wrapNone/>
                <wp:docPr id="1826" name="文本框 1826"/>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headEnd/>
                          <a:tailEnd/>
                        </a:ln>
                      </wps:spPr>
                      <wps:txbx>
                        <w:txbxContent>
                          <w:p w14:paraId="02B33C53" w14:textId="0CCA356A" w:rsidR="00E34BE9" w:rsidRPr="00E34BE9" w:rsidRDefault="001E0886" w:rsidP="00E34BE9">
                            <w:pPr>
                              <w:jc w:val="center"/>
                              <w:rPr>
                                <w:sz w:val="18"/>
                                <w:szCs w:val="18"/>
                              </w:rPr>
                            </w:pPr>
                            <w:r>
                              <w:rPr>
                                <w:rFonts w:hint="eastAsia"/>
                                <w:sz w:val="18"/>
                                <w:szCs w:val="18"/>
                              </w:rPr>
                              <w:t>集气</w:t>
                            </w:r>
                            <w:r w:rsidR="00E34BE9" w:rsidRPr="00E34BE9">
                              <w:rPr>
                                <w:rFonts w:hint="eastAsia"/>
                                <w:sz w:val="18"/>
                                <w:szCs w:val="18"/>
                              </w:rPr>
                              <w:t>站建设</w:t>
                            </w:r>
                            <w:r w:rsidR="00E11DD2">
                              <w:rPr>
                                <w:rFonts w:hint="eastAsia"/>
                                <w:sz w:val="18"/>
                                <w:szCs w:val="18"/>
                              </w:rPr>
                              <w:t>（复建）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B42EC" id="文本框 1826" o:spid="_x0000_s1049" type="#_x0000_t202" style="position:absolute;left:0;text-align:left;margin-left:162.8pt;margin-top:184.65pt;width:99.6pt;height:19.8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">
                <v:textbox>
                  <w:txbxContent>
                    <w:p w14:paraId="02B33C53" w14:textId="0CCA356A" w:rsidR="00E34BE9" w:rsidRPr="00E34BE9" w:rsidRDefault="001E0886" w:rsidP="00E34BE9">
                      <w:pPr>
                        <w:jc w:val="center"/>
                        <w:rPr>
                          <w:sz w:val="18"/>
                          <w:szCs w:val="18"/>
                        </w:rPr>
                      </w:pPr>
                      <w:r>
                        <w:rPr>
                          <w:rFonts w:hint="eastAsia"/>
                          <w:sz w:val="18"/>
                          <w:szCs w:val="18"/>
                        </w:rPr>
                        <w:t>集气</w:t>
                      </w:r>
                      <w:r w:rsidR="00E34BE9" w:rsidRPr="00E34BE9">
                        <w:rPr>
                          <w:rFonts w:hint="eastAsia"/>
                          <w:sz w:val="18"/>
                          <w:szCs w:val="18"/>
                        </w:rPr>
                        <w:t>站建设</w:t>
                      </w:r>
                      <w:r w:rsidR="00E11DD2">
                        <w:rPr>
                          <w:rFonts w:hint="eastAsia"/>
                          <w:sz w:val="18"/>
                          <w:szCs w:val="18"/>
                        </w:rPr>
                        <w:t>（复建）</w:t>
                      </w:r>
                    </w:p>
                  </w:txbxContent>
                </v:textbox>
                <w10:wrap anchorx="margin"/>
              </v:shape>
            </w:pict>
          </mc:Fallback>
        </mc:AlternateContent>
      </w:r>
      <w:r w:rsidR="00564C11" w:rsidRPr="00092862">
        <w:rPr>
          <w:rFonts w:ascii="Times New Roman" w:hAnsi="Times New Roman" w:cs="Times New Roman"/>
          <w:noProof/>
          <w:color w:val="000000" w:themeColor="text1"/>
        </w:rPr>
        <w:drawing>
          <wp:inline distT="0" distB="0" distL="0" distR="0" wp14:anchorId="66DA47AC" wp14:editId="3FB2EB89">
            <wp:extent cx="5243052" cy="3130059"/>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9139" cy="3151603"/>
                    </a:xfrm>
                    <a:prstGeom prst="rect">
                      <a:avLst/>
                    </a:prstGeom>
                    <a:solidFill>
                      <a:srgbClr val="000000"/>
                    </a:solidFill>
                    <a:ln>
                      <a:noFill/>
                    </a:ln>
                  </pic:spPr>
                </pic:pic>
              </a:graphicData>
            </a:graphic>
          </wp:inline>
        </w:drawing>
      </w:r>
    </w:p>
    <w:p w14:paraId="7E838F73" w14:textId="44BF90AE" w:rsidR="00564C11" w:rsidRPr="00092862" w:rsidRDefault="00564C11" w:rsidP="008C28E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 xml:space="preserve">3.3-1  </w:t>
      </w:r>
      <w:r w:rsidRPr="00092862">
        <w:rPr>
          <w:rFonts w:ascii="Times New Roman" w:eastAsia="黑体" w:hAnsi="Times New Roman"/>
          <w:color w:val="000000" w:themeColor="text1"/>
          <w:sz w:val="21"/>
          <w:szCs w:val="21"/>
          <w:lang w:eastAsia="zh-CN"/>
        </w:rPr>
        <w:t>项目工艺概况图</w:t>
      </w:r>
    </w:p>
    <w:p w14:paraId="18232BC3" w14:textId="4A52DF5E"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08" w:name="_bookmark20"/>
      <w:bookmarkStart w:id="109" w:name="3.3.1施工期污染源"/>
      <w:bookmarkStart w:id="110" w:name="_Toc120173108"/>
      <w:bookmarkEnd w:id="108"/>
      <w:bookmarkEnd w:id="109"/>
      <w:r w:rsidRPr="00092862">
        <w:rPr>
          <w:rFonts w:ascii="Times New Roman" w:eastAsia="黑体" w:hAnsi="Times New Roman"/>
          <w:b w:val="0"/>
          <w:color w:val="000000" w:themeColor="text1"/>
          <w:sz w:val="24"/>
          <w:szCs w:val="24"/>
          <w:lang w:eastAsia="zh-CN"/>
        </w:rPr>
        <w:t>3.3.1</w:t>
      </w:r>
      <w:r w:rsidRPr="00092862">
        <w:rPr>
          <w:rFonts w:ascii="Times New Roman" w:eastAsia="黑体" w:hAnsi="Times New Roman"/>
          <w:b w:val="0"/>
          <w:color w:val="000000" w:themeColor="text1"/>
          <w:sz w:val="24"/>
          <w:szCs w:val="24"/>
          <w:lang w:eastAsia="zh-CN"/>
        </w:rPr>
        <w:t>施工期工程分析</w:t>
      </w:r>
      <w:bookmarkEnd w:id="110"/>
    </w:p>
    <w:p w14:paraId="18528A6B" w14:textId="4F8E280D" w:rsidR="000E7C99" w:rsidRPr="00092862" w:rsidRDefault="000E7C99" w:rsidP="000E7C9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施工期主要有钻前工程、钻井工程、储层改造（压裂作业）、完井测试、地面集输工程（</w:t>
      </w:r>
      <w:r w:rsidR="00E11DD2" w:rsidRPr="00092862">
        <w:rPr>
          <w:rFonts w:ascii="Times New Roman" w:eastAsia="宋体" w:hAnsi="Times New Roman" w:cs="Times New Roman"/>
          <w:color w:val="000000" w:themeColor="text1"/>
          <w:sz w:val="24"/>
        </w:rPr>
        <w:t>集气站复建</w:t>
      </w:r>
      <w:r w:rsidRPr="00092862">
        <w:rPr>
          <w:rFonts w:ascii="Times New Roman" w:eastAsia="宋体" w:hAnsi="Times New Roman" w:cs="Times New Roman"/>
          <w:color w:val="000000" w:themeColor="text1"/>
          <w:sz w:val="24"/>
        </w:rPr>
        <w:t>），总的施工期工艺流程如下图。</w:t>
      </w:r>
    </w:p>
    <w:p w14:paraId="3194F5A7" w14:textId="77777777" w:rsidR="000E7C99" w:rsidRPr="00092862" w:rsidRDefault="000E7C99" w:rsidP="000E7C99">
      <w:pPr>
        <w:adjustRightInd w:val="0"/>
        <w:snapToGrid w:val="0"/>
        <w:spacing w:line="360" w:lineRule="auto"/>
        <w:jc w:val="center"/>
        <w:rPr>
          <w:rFonts w:ascii="Times New Roman" w:eastAsia="黑体" w:hAnsi="Times New Roman" w:cs="Times New Roman"/>
          <w:color w:val="000000" w:themeColor="text1"/>
          <w:sz w:val="24"/>
        </w:rPr>
      </w:pPr>
      <w:r w:rsidRPr="00092862">
        <w:rPr>
          <w:rFonts w:ascii="Times New Roman" w:hAnsi="Times New Roman" w:cs="Times New Roman"/>
          <w:noProof/>
          <w:color w:val="000000" w:themeColor="text1"/>
        </w:rPr>
        <w:drawing>
          <wp:inline distT="0" distB="0" distL="0" distR="0" wp14:anchorId="19EC846F" wp14:editId="21A142FC">
            <wp:extent cx="5040000" cy="370570"/>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40000" cy="370570"/>
                    </a:xfrm>
                    <a:prstGeom prst="rect">
                      <a:avLst/>
                    </a:prstGeom>
                  </pic:spPr>
                </pic:pic>
              </a:graphicData>
            </a:graphic>
          </wp:inline>
        </w:drawing>
      </w:r>
    </w:p>
    <w:p w14:paraId="3AA0C5C9" w14:textId="77777777" w:rsidR="000E7C99" w:rsidRPr="00092862" w:rsidRDefault="000E7C99" w:rsidP="008C28E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3.3-</w:t>
      </w:r>
      <w:r w:rsidR="00564C11" w:rsidRPr="00092862">
        <w:rPr>
          <w:rFonts w:ascii="Times New Roman" w:eastAsia="黑体" w:hAnsi="Times New Roman"/>
          <w:color w:val="000000" w:themeColor="text1"/>
          <w:sz w:val="21"/>
          <w:szCs w:val="21"/>
          <w:lang w:eastAsia="zh-CN"/>
        </w:rPr>
        <w:t>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施工工艺流程示意图</w:t>
      </w:r>
    </w:p>
    <w:p w14:paraId="44D079C0" w14:textId="3B2BE755" w:rsidR="00757C47" w:rsidRPr="00092862" w:rsidRDefault="00D851E8" w:rsidP="00D851E8">
      <w:pPr>
        <w:adjustRightInd w:val="0"/>
        <w:snapToGrid w:val="0"/>
        <w:spacing w:line="360" w:lineRule="auto"/>
        <w:ind w:firstLineChars="200" w:firstLine="480"/>
        <w:outlineLvl w:val="3"/>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3.3.1.1</w:t>
      </w:r>
      <w:r w:rsidR="00757C47" w:rsidRPr="00092862">
        <w:rPr>
          <w:rFonts w:ascii="Times New Roman" w:eastAsia="黑体" w:hAnsi="Times New Roman" w:cs="Times New Roman"/>
          <w:color w:val="000000" w:themeColor="text1"/>
          <w:sz w:val="24"/>
        </w:rPr>
        <w:t>钻前工程</w:t>
      </w:r>
    </w:p>
    <w:p w14:paraId="5D59481D" w14:textId="77777777" w:rsidR="000E7C99" w:rsidRPr="00092862" w:rsidRDefault="00757C47" w:rsidP="000E7C99">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w:t>
      </w:r>
      <w:r w:rsidR="000E7C99" w:rsidRPr="00092862">
        <w:rPr>
          <w:rFonts w:ascii="Times New Roman" w:eastAsia="宋体" w:hAnsi="Times New Roman" w:cs="Times New Roman"/>
          <w:b/>
          <w:bCs/>
          <w:color w:val="000000" w:themeColor="text1"/>
          <w:sz w:val="24"/>
        </w:rPr>
        <w:t>钻前工程工艺流程简述</w:t>
      </w:r>
    </w:p>
    <w:p w14:paraId="4530714D" w14:textId="4310EFD0" w:rsidR="000E7C99" w:rsidRPr="00092862" w:rsidRDefault="009D714C" w:rsidP="000E7C99">
      <w:pPr>
        <w:adjustRightInd w:val="0"/>
        <w:snapToGrid w:val="0"/>
        <w:spacing w:line="360" w:lineRule="auto"/>
        <w:ind w:firstLineChars="200" w:firstLine="480"/>
        <w:rPr>
          <w:rFonts w:ascii="Times New Roman" w:eastAsia="宋体" w:hAnsi="Times New Roman" w:cs="Times New Roman"/>
          <w:b/>
          <w:color w:val="000000" w:themeColor="text1"/>
          <w:sz w:val="24"/>
        </w:rPr>
      </w:pPr>
      <w:r w:rsidRPr="00092862">
        <w:rPr>
          <w:rFonts w:ascii="Times New Roman" w:eastAsia="宋体" w:hAnsi="Times New Roman" w:cs="Times New Roman"/>
          <w:bCs/>
          <w:color w:val="000000" w:themeColor="text1"/>
          <w:sz w:val="24"/>
        </w:rPr>
        <w:t>本项目</w:t>
      </w:r>
      <w:r w:rsidRPr="00092862">
        <w:rPr>
          <w:rFonts w:ascii="Times New Roman" w:eastAsia="宋体" w:hAnsi="Times New Roman" w:cs="Times New Roman"/>
          <w:color w:val="000000" w:themeColor="text1"/>
          <w:sz w:val="24"/>
        </w:rPr>
        <w:t>在原老君</w:t>
      </w:r>
      <w:r w:rsidRPr="00092862">
        <w:rPr>
          <w:rFonts w:ascii="Times New Roman" w:eastAsia="宋体" w:hAnsi="Times New Roman" w:cs="Times New Roman"/>
          <w:color w:val="000000" w:themeColor="text1"/>
          <w:sz w:val="24"/>
        </w:rPr>
        <w:t>701</w:t>
      </w:r>
      <w:r w:rsidRPr="00092862">
        <w:rPr>
          <w:rFonts w:ascii="Times New Roman" w:eastAsia="宋体" w:hAnsi="Times New Roman" w:cs="Times New Roman"/>
          <w:color w:val="000000" w:themeColor="text1"/>
          <w:sz w:val="24"/>
        </w:rPr>
        <w:t>集气站旁建设，钻前工程主要新建井场长</w:t>
      </w:r>
      <w:r w:rsidRPr="00092862">
        <w:rPr>
          <w:rFonts w:ascii="Times New Roman" w:eastAsia="宋体" w:hAnsi="Times New Roman" w:cs="Times New Roman"/>
          <w:color w:val="000000" w:themeColor="text1"/>
          <w:sz w:val="24"/>
        </w:rPr>
        <w:t xml:space="preserve"> 190m</w:t>
      </w:r>
      <w:r w:rsidRPr="00092862">
        <w:rPr>
          <w:rFonts w:ascii="Times New Roman" w:eastAsia="宋体" w:hAnsi="Times New Roman" w:cs="Times New Roman"/>
          <w:color w:val="000000" w:themeColor="text1"/>
          <w:sz w:val="24"/>
        </w:rPr>
        <w:t>，宽</w:t>
      </w:r>
      <w:r w:rsidRPr="00092862">
        <w:rPr>
          <w:rFonts w:ascii="Times New Roman" w:eastAsia="宋体" w:hAnsi="Times New Roman" w:cs="Times New Roman"/>
          <w:color w:val="000000" w:themeColor="text1"/>
          <w:sz w:val="24"/>
        </w:rPr>
        <w:t xml:space="preserve"> 55m</w:t>
      </w:r>
      <w:r w:rsidRPr="00092862">
        <w:rPr>
          <w:rFonts w:ascii="Times New Roman" w:eastAsia="宋体" w:hAnsi="Times New Roman" w:cs="Times New Roman"/>
          <w:color w:val="000000" w:themeColor="text1"/>
          <w:sz w:val="24"/>
        </w:rPr>
        <w:t>，并新建井架基础、放喷池、泥浆罐基础、泥浆不落地基础、循环罐基础、储备罐基础、油罐基础、发电机房基础等，修复利旧原老君</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井场已建设清水池</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座，修复利旧元老君</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井场放喷池</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座；此外，</w:t>
      </w:r>
      <w:r w:rsidR="000E7C99" w:rsidRPr="00092862">
        <w:rPr>
          <w:rFonts w:ascii="Times New Roman" w:eastAsia="宋体" w:hAnsi="Times New Roman" w:cs="Times New Roman"/>
          <w:bCs/>
          <w:color w:val="000000" w:themeColor="text1"/>
          <w:sz w:val="24"/>
        </w:rPr>
        <w:t>钻井设备的搬运及安装、井口设备准备、清污分流系统以及活动房布置等，主要为土建施工，由专业施工单位组织当地民工作业。</w:t>
      </w:r>
    </w:p>
    <w:p w14:paraId="6E777EF8" w14:textId="77777777" w:rsidR="000E7C99" w:rsidRPr="00092862" w:rsidRDefault="000E7C99" w:rsidP="00757C47">
      <w:pPr>
        <w:pStyle w:val="ac"/>
        <w:adjustRightInd w:val="0"/>
        <w:snapToGrid w:val="0"/>
        <w:spacing w:before="0" w:line="360" w:lineRule="auto"/>
        <w:ind w:left="0" w:firstLineChars="200" w:firstLine="480"/>
        <w:jc w:val="both"/>
        <w:rPr>
          <w:rFonts w:ascii="Times New Roman" w:hAnsi="Times New Roman"/>
          <w:b/>
          <w:color w:val="000000" w:themeColor="text1"/>
          <w:lang w:eastAsia="zh-CN"/>
        </w:rPr>
      </w:pPr>
      <w:r w:rsidRPr="00092862">
        <w:rPr>
          <w:rFonts w:ascii="Times New Roman" w:hAnsi="Times New Roman"/>
          <w:color w:val="000000" w:themeColor="text1"/>
          <w:lang w:eastAsia="zh-CN"/>
        </w:rPr>
        <w:t>钻前工程</w:t>
      </w:r>
      <w:r w:rsidR="003B1968" w:rsidRPr="00092862">
        <w:rPr>
          <w:rFonts w:ascii="Times New Roman" w:hAnsi="Times New Roman"/>
          <w:color w:val="000000" w:themeColor="text1"/>
          <w:lang w:eastAsia="zh-CN"/>
        </w:rPr>
        <w:t>工艺流程及产污环节如图</w:t>
      </w:r>
      <w:r w:rsidR="003B1968" w:rsidRPr="00092862">
        <w:rPr>
          <w:rFonts w:ascii="Times New Roman" w:hAnsi="Times New Roman"/>
          <w:color w:val="000000" w:themeColor="text1"/>
          <w:lang w:eastAsia="zh-CN"/>
        </w:rPr>
        <w:t>3.3-</w:t>
      </w:r>
      <w:r w:rsidR="0015441C" w:rsidRPr="00092862">
        <w:rPr>
          <w:rFonts w:ascii="Times New Roman" w:hAnsi="Times New Roman"/>
          <w:color w:val="000000" w:themeColor="text1"/>
          <w:lang w:eastAsia="zh-CN"/>
        </w:rPr>
        <w:t>3</w:t>
      </w:r>
      <w:r w:rsidR="003B1968" w:rsidRPr="00092862">
        <w:rPr>
          <w:rFonts w:ascii="Times New Roman" w:hAnsi="Times New Roman"/>
          <w:color w:val="000000" w:themeColor="text1"/>
          <w:lang w:eastAsia="zh-CN"/>
        </w:rPr>
        <w:t>所示。</w:t>
      </w:r>
    </w:p>
    <w:p w14:paraId="794EF4CA" w14:textId="77777777" w:rsidR="00757C47" w:rsidRPr="00092862" w:rsidRDefault="00757C47" w:rsidP="000E7C99">
      <w:pPr>
        <w:pStyle w:val="ac"/>
        <w:adjustRightInd w:val="0"/>
        <w:snapToGrid w:val="0"/>
        <w:spacing w:before="0" w:line="360" w:lineRule="auto"/>
        <w:ind w:left="0"/>
        <w:jc w:val="center"/>
        <w:rPr>
          <w:rFonts w:ascii="Times New Roman" w:eastAsia="黑体" w:hAnsi="Times New Roman"/>
          <w:color w:val="000000" w:themeColor="text1"/>
          <w:sz w:val="21"/>
          <w:szCs w:val="21"/>
          <w:lang w:eastAsia="zh-CN"/>
        </w:rPr>
      </w:pPr>
      <w:r w:rsidRPr="00092862">
        <w:rPr>
          <w:rFonts w:ascii="Times New Roman" w:hAnsi="Times New Roman"/>
          <w:noProof/>
          <w:color w:val="000000" w:themeColor="text1"/>
        </w:rPr>
        <w:lastRenderedPageBreak/>
        <w:drawing>
          <wp:inline distT="0" distB="0" distL="0" distR="0" wp14:anchorId="42937AEA" wp14:editId="4FC5EF38">
            <wp:extent cx="4855711" cy="1721411"/>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97509" cy="1736229"/>
                    </a:xfrm>
                    <a:prstGeom prst="rect">
                      <a:avLst/>
                    </a:prstGeom>
                  </pic:spPr>
                </pic:pic>
              </a:graphicData>
            </a:graphic>
          </wp:inline>
        </w:drawing>
      </w:r>
    </w:p>
    <w:p w14:paraId="6511DD98" w14:textId="618BBF54" w:rsidR="000E7C99" w:rsidRPr="00092862" w:rsidRDefault="000E7C99" w:rsidP="008C28E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3.3-</w:t>
      </w:r>
      <w:r w:rsidR="00FF28F1"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钻前工程施工过程及主要环境影响示意图</w:t>
      </w:r>
    </w:p>
    <w:p w14:paraId="796F05EE" w14:textId="77777777" w:rsidR="00DC4F5B" w:rsidRPr="00092862" w:rsidRDefault="00DC4F5B" w:rsidP="00DC4F5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）道路工程</w:t>
      </w:r>
    </w:p>
    <w:p w14:paraId="33436303" w14:textId="4FFB27CE" w:rsidR="00DC4F5B" w:rsidRPr="00092862" w:rsidRDefault="009D714C" w:rsidP="0015441C">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新建进场道路，道路路基宽度</w:t>
      </w:r>
      <w:r w:rsidRPr="00092862">
        <w:rPr>
          <w:rFonts w:ascii="Times New Roman" w:eastAsia="宋体" w:hAnsi="Times New Roman" w:cs="Times New Roman"/>
          <w:color w:val="000000" w:themeColor="text1"/>
          <w:sz w:val="24"/>
        </w:rPr>
        <w:t>4.5m</w:t>
      </w:r>
      <w:r w:rsidRPr="00092862">
        <w:rPr>
          <w:rFonts w:ascii="Times New Roman" w:eastAsia="宋体" w:hAnsi="Times New Roman" w:cs="Times New Roman"/>
          <w:color w:val="000000" w:themeColor="text1"/>
          <w:sz w:val="24"/>
        </w:rPr>
        <w:t>，路面宽度</w:t>
      </w:r>
      <w:r w:rsidRPr="00092862">
        <w:rPr>
          <w:rFonts w:ascii="Times New Roman" w:eastAsia="宋体" w:hAnsi="Times New Roman" w:cs="Times New Roman"/>
          <w:color w:val="000000" w:themeColor="text1"/>
          <w:sz w:val="24"/>
        </w:rPr>
        <w:t>4.0m</w:t>
      </w:r>
      <w:r w:rsidRPr="00092862">
        <w:rPr>
          <w:rFonts w:ascii="Times New Roman" w:eastAsia="宋体" w:hAnsi="Times New Roman" w:cs="Times New Roman"/>
          <w:color w:val="000000" w:themeColor="text1"/>
          <w:sz w:val="24"/>
        </w:rPr>
        <w:t>，长度约</w:t>
      </w:r>
      <w:r w:rsidRPr="00092862">
        <w:rPr>
          <w:rFonts w:ascii="Times New Roman" w:eastAsia="宋体" w:hAnsi="Times New Roman" w:cs="Times New Roman"/>
          <w:color w:val="000000" w:themeColor="text1"/>
          <w:sz w:val="24"/>
        </w:rPr>
        <w:t>70m</w:t>
      </w:r>
      <w:r w:rsidRPr="00092862">
        <w:rPr>
          <w:rFonts w:ascii="Times New Roman" w:eastAsia="宋体" w:hAnsi="Times New Roman" w:cs="Times New Roman"/>
          <w:color w:val="000000" w:themeColor="text1"/>
          <w:sz w:val="24"/>
        </w:rPr>
        <w:t>，采用</w:t>
      </w:r>
      <w:r w:rsidRPr="00092862">
        <w:rPr>
          <w:rFonts w:ascii="Times New Roman" w:eastAsia="宋体" w:hAnsi="Times New Roman" w:cs="Times New Roman"/>
          <w:color w:val="000000" w:themeColor="text1"/>
          <w:sz w:val="24"/>
        </w:rPr>
        <w:t xml:space="preserve"> 20cm </w:t>
      </w:r>
      <w:r w:rsidRPr="00092862">
        <w:rPr>
          <w:rFonts w:ascii="Times New Roman" w:eastAsia="宋体" w:hAnsi="Times New Roman" w:cs="Times New Roman"/>
          <w:color w:val="000000" w:themeColor="text1"/>
          <w:sz w:val="24"/>
        </w:rPr>
        <w:t>厚</w:t>
      </w:r>
      <w:r w:rsidRPr="00092862">
        <w:rPr>
          <w:rFonts w:ascii="Times New Roman" w:eastAsia="宋体" w:hAnsi="Times New Roman" w:cs="Times New Roman"/>
          <w:color w:val="000000" w:themeColor="text1"/>
          <w:sz w:val="24"/>
        </w:rPr>
        <w:t xml:space="preserve"> 6%</w:t>
      </w:r>
      <w:r w:rsidRPr="00092862">
        <w:rPr>
          <w:rFonts w:ascii="Times New Roman" w:eastAsia="宋体" w:hAnsi="Times New Roman" w:cs="Times New Roman"/>
          <w:color w:val="000000" w:themeColor="text1"/>
          <w:sz w:val="24"/>
        </w:rPr>
        <w:t>水泥稳定碎石，新建</w:t>
      </w:r>
      <w:r w:rsidRPr="00092862">
        <w:rPr>
          <w:rFonts w:ascii="Times New Roman" w:eastAsia="宋体" w:hAnsi="Times New Roman" w:cs="Times New Roman"/>
          <w:color w:val="000000" w:themeColor="text1"/>
          <w:sz w:val="24"/>
        </w:rPr>
        <w:t xml:space="preserve"> 0.4m </w:t>
      </w:r>
      <w:r w:rsidRPr="00092862">
        <w:rPr>
          <w:rFonts w:ascii="Times New Roman" w:eastAsia="宋体" w:hAnsi="Times New Roman" w:cs="Times New Roman"/>
          <w:color w:val="000000" w:themeColor="text1"/>
          <w:sz w:val="24"/>
        </w:rPr>
        <w:t>宽道路排水沟，采用浆砌石修筑</w:t>
      </w:r>
      <w:r w:rsidR="0015441C" w:rsidRPr="00092862">
        <w:rPr>
          <w:rFonts w:ascii="Times New Roman" w:eastAsia="宋体" w:hAnsi="Times New Roman" w:cs="Times New Roman"/>
          <w:color w:val="000000" w:themeColor="text1"/>
          <w:sz w:val="24"/>
        </w:rPr>
        <w:t>。</w:t>
      </w:r>
    </w:p>
    <w:p w14:paraId="3B3A4521" w14:textId="77777777"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）井场平整及硬化</w:t>
      </w:r>
    </w:p>
    <w:p w14:paraId="457AD110" w14:textId="41A80740"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井场平整：</w:t>
      </w:r>
      <w:r w:rsidR="00683D3A" w:rsidRPr="00092862">
        <w:rPr>
          <w:rFonts w:ascii="Times New Roman" w:eastAsia="宋体" w:hAnsi="Times New Roman" w:cs="Times New Roman"/>
          <w:color w:val="000000" w:themeColor="text1"/>
          <w:sz w:val="24"/>
        </w:rPr>
        <w:t>按照钻井工程的总平面布置完成场地平整，新建井场长</w:t>
      </w:r>
      <w:r w:rsidR="00683D3A" w:rsidRPr="00092862">
        <w:rPr>
          <w:rFonts w:ascii="Times New Roman" w:eastAsia="宋体" w:hAnsi="Times New Roman" w:cs="Times New Roman"/>
          <w:color w:val="000000" w:themeColor="text1"/>
          <w:sz w:val="24"/>
        </w:rPr>
        <w:t xml:space="preserve"> 190m</w:t>
      </w:r>
      <w:r w:rsidR="00683D3A" w:rsidRPr="00092862">
        <w:rPr>
          <w:rFonts w:ascii="Times New Roman" w:eastAsia="宋体" w:hAnsi="Times New Roman" w:cs="Times New Roman"/>
          <w:color w:val="000000" w:themeColor="text1"/>
          <w:sz w:val="24"/>
        </w:rPr>
        <w:t>，宽</w:t>
      </w:r>
      <w:r w:rsidR="00683D3A" w:rsidRPr="00092862">
        <w:rPr>
          <w:rFonts w:ascii="Times New Roman" w:eastAsia="宋体" w:hAnsi="Times New Roman" w:cs="Times New Roman"/>
          <w:color w:val="000000" w:themeColor="text1"/>
          <w:sz w:val="24"/>
        </w:rPr>
        <w:t xml:space="preserve"> 55m</w:t>
      </w:r>
      <w:r w:rsidR="00683D3A" w:rsidRPr="00092862">
        <w:rPr>
          <w:rFonts w:ascii="Times New Roman" w:eastAsia="宋体" w:hAnsi="Times New Roman" w:cs="Times New Roman"/>
          <w:color w:val="000000" w:themeColor="text1"/>
          <w:sz w:val="24"/>
        </w:rPr>
        <w:t>，场地清表</w:t>
      </w:r>
      <w:r w:rsidR="00683D3A" w:rsidRPr="00092862">
        <w:rPr>
          <w:rFonts w:ascii="Times New Roman" w:eastAsia="宋体" w:hAnsi="Times New Roman" w:cs="Times New Roman"/>
          <w:color w:val="000000" w:themeColor="text1"/>
          <w:sz w:val="24"/>
        </w:rPr>
        <w:t xml:space="preserve"> 0.3m </w:t>
      </w:r>
      <w:r w:rsidR="00683D3A" w:rsidRPr="00092862">
        <w:rPr>
          <w:rFonts w:ascii="Times New Roman" w:eastAsia="宋体" w:hAnsi="Times New Roman" w:cs="Times New Roman"/>
          <w:color w:val="000000" w:themeColor="text1"/>
          <w:sz w:val="24"/>
        </w:rPr>
        <w:t>厚，共</w:t>
      </w:r>
      <w:r w:rsidR="00683D3A" w:rsidRPr="00092862">
        <w:rPr>
          <w:rFonts w:ascii="Times New Roman" w:eastAsia="宋体" w:hAnsi="Times New Roman" w:cs="Times New Roman"/>
          <w:color w:val="000000" w:themeColor="text1"/>
          <w:sz w:val="24"/>
        </w:rPr>
        <w:t xml:space="preserve"> 5292.6m³</w:t>
      </w:r>
      <w:r w:rsidR="00683D3A" w:rsidRPr="00092862">
        <w:rPr>
          <w:rFonts w:ascii="Times New Roman" w:eastAsia="宋体" w:hAnsi="Times New Roman" w:cs="Times New Roman"/>
          <w:color w:val="000000" w:themeColor="text1"/>
          <w:sz w:val="24"/>
        </w:rPr>
        <w:t>。</w:t>
      </w:r>
    </w:p>
    <w:p w14:paraId="13B336FF" w14:textId="201DC56E"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硬化区域：除井架基础、方井、厕所不硬化外，其余地方全部硬化</w:t>
      </w:r>
      <w:r w:rsidR="002A34EA" w:rsidRPr="00092862">
        <w:rPr>
          <w:rFonts w:ascii="Times New Roman" w:eastAsia="宋体" w:hAnsi="Times New Roman" w:cs="Times New Roman"/>
          <w:color w:val="000000" w:themeColor="text1"/>
          <w:sz w:val="24"/>
        </w:rPr>
        <w:t>（本项目方井等均为硬化防渗状态）</w:t>
      </w:r>
      <w:r w:rsidR="007E5DB8" w:rsidRPr="00092862">
        <w:rPr>
          <w:rFonts w:ascii="Times New Roman" w:eastAsia="宋体" w:hAnsi="Times New Roman" w:cs="Times New Roman"/>
          <w:color w:val="000000" w:themeColor="text1"/>
          <w:sz w:val="24"/>
        </w:rPr>
        <w:t>，采用</w:t>
      </w:r>
      <w:r w:rsidR="007E5DB8" w:rsidRPr="00092862">
        <w:rPr>
          <w:rFonts w:ascii="Times New Roman" w:eastAsia="宋体" w:hAnsi="Times New Roman" w:cs="Times New Roman"/>
          <w:color w:val="000000" w:themeColor="text1"/>
          <w:sz w:val="24"/>
        </w:rPr>
        <w:t xml:space="preserve"> C20 </w:t>
      </w:r>
      <w:r w:rsidR="007E5DB8" w:rsidRPr="00092862">
        <w:rPr>
          <w:rFonts w:ascii="Times New Roman" w:eastAsia="宋体" w:hAnsi="Times New Roman" w:cs="Times New Roman"/>
          <w:color w:val="000000" w:themeColor="text1"/>
          <w:sz w:val="24"/>
        </w:rPr>
        <w:t>混凝土硬化，厚度</w:t>
      </w:r>
      <w:r w:rsidR="007E5DB8" w:rsidRPr="00092862">
        <w:rPr>
          <w:rFonts w:ascii="Times New Roman" w:eastAsia="宋体" w:hAnsi="Times New Roman" w:cs="Times New Roman"/>
          <w:color w:val="000000" w:themeColor="text1"/>
          <w:sz w:val="24"/>
        </w:rPr>
        <w:t xml:space="preserve"> 0.2m</w:t>
      </w:r>
      <w:r w:rsidRPr="00092862">
        <w:rPr>
          <w:rFonts w:ascii="Times New Roman" w:eastAsia="宋体" w:hAnsi="Times New Roman" w:cs="Times New Roman"/>
          <w:color w:val="000000" w:themeColor="text1"/>
          <w:sz w:val="24"/>
        </w:rPr>
        <w:t>；</w:t>
      </w:r>
    </w:p>
    <w:p w14:paraId="5D51827E" w14:textId="42F3CF55"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场基结构基层为压实厚度</w:t>
      </w:r>
      <w:r w:rsidRPr="00092862">
        <w:rPr>
          <w:rFonts w:ascii="Times New Roman" w:eastAsia="宋体" w:hAnsi="Times New Roman" w:cs="Times New Roman"/>
          <w:color w:val="000000" w:themeColor="text1"/>
          <w:sz w:val="24"/>
        </w:rPr>
        <w:t>400mm</w:t>
      </w:r>
      <w:r w:rsidRPr="00092862">
        <w:rPr>
          <w:rFonts w:ascii="Times New Roman" w:eastAsia="宋体" w:hAnsi="Times New Roman" w:cs="Times New Roman"/>
          <w:color w:val="000000" w:themeColor="text1"/>
          <w:sz w:val="24"/>
        </w:rPr>
        <w:t>毛石，面层为压实厚度</w:t>
      </w:r>
      <w:r w:rsidRPr="00092862">
        <w:rPr>
          <w:rFonts w:ascii="Times New Roman" w:eastAsia="宋体" w:hAnsi="Times New Roman" w:cs="Times New Roman"/>
          <w:color w:val="000000" w:themeColor="text1"/>
          <w:sz w:val="24"/>
        </w:rPr>
        <w:t>100mm</w:t>
      </w:r>
      <w:r w:rsidRPr="00092862">
        <w:rPr>
          <w:rFonts w:ascii="Times New Roman" w:eastAsia="宋体" w:hAnsi="Times New Roman" w:cs="Times New Roman"/>
          <w:color w:val="000000" w:themeColor="text1"/>
          <w:sz w:val="24"/>
        </w:rPr>
        <w:t>碎石</w:t>
      </w:r>
      <w:r w:rsidR="002A34EA" w:rsidRPr="00092862">
        <w:rPr>
          <w:rFonts w:ascii="Times New Roman" w:eastAsia="宋体" w:hAnsi="Times New Roman" w:cs="Times New Roman"/>
          <w:color w:val="000000" w:themeColor="text1"/>
          <w:sz w:val="24"/>
        </w:rPr>
        <w:t>（已硬化）</w:t>
      </w:r>
      <w:r w:rsidRPr="00092862">
        <w:rPr>
          <w:rFonts w:ascii="Times New Roman" w:eastAsia="宋体" w:hAnsi="Times New Roman" w:cs="Times New Roman"/>
          <w:color w:val="000000" w:themeColor="text1"/>
          <w:sz w:val="24"/>
        </w:rPr>
        <w:t>；</w:t>
      </w:r>
    </w:p>
    <w:p w14:paraId="1B07FBE9" w14:textId="77777777"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泥浆车道（长</w:t>
      </w:r>
      <w:r w:rsidRPr="00092862">
        <w:rPr>
          <w:rFonts w:ascii="Times New Roman" w:eastAsia="宋体" w:hAnsi="Times New Roman" w:cs="Times New Roman"/>
          <w:color w:val="000000" w:themeColor="text1"/>
          <w:sz w:val="24"/>
        </w:rPr>
        <w:t>35m×</w:t>
      </w:r>
      <w:r w:rsidRPr="00092862">
        <w:rPr>
          <w:rFonts w:ascii="Times New Roman" w:eastAsia="宋体" w:hAnsi="Times New Roman" w:cs="Times New Roman"/>
          <w:color w:val="000000" w:themeColor="text1"/>
          <w:sz w:val="24"/>
        </w:rPr>
        <w:t>宽</w:t>
      </w:r>
      <w:r w:rsidRPr="00092862">
        <w:rPr>
          <w:rFonts w:ascii="Times New Roman" w:eastAsia="宋体" w:hAnsi="Times New Roman" w:cs="Times New Roman"/>
          <w:color w:val="000000" w:themeColor="text1"/>
          <w:sz w:val="24"/>
        </w:rPr>
        <w:t>3.5m</w:t>
      </w:r>
      <w:r w:rsidRPr="00092862">
        <w:rPr>
          <w:rFonts w:ascii="Times New Roman" w:eastAsia="宋体" w:hAnsi="Times New Roman" w:cs="Times New Roman"/>
          <w:color w:val="000000" w:themeColor="text1"/>
          <w:sz w:val="24"/>
        </w:rPr>
        <w:t>）在基层上浇注</w:t>
      </w:r>
      <w:r w:rsidRPr="00092862">
        <w:rPr>
          <w:rFonts w:ascii="Times New Roman" w:eastAsia="宋体" w:hAnsi="Times New Roman" w:cs="Times New Roman"/>
          <w:color w:val="000000" w:themeColor="text1"/>
          <w:sz w:val="24"/>
        </w:rPr>
        <w:t>200mm</w:t>
      </w:r>
      <w:r w:rsidRPr="00092862">
        <w:rPr>
          <w:rFonts w:ascii="Times New Roman" w:eastAsia="宋体" w:hAnsi="Times New Roman" w:cs="Times New Roman"/>
          <w:color w:val="000000" w:themeColor="text1"/>
          <w:sz w:val="24"/>
        </w:rPr>
        <w:t>厚</w:t>
      </w:r>
      <w:r w:rsidRPr="00092862">
        <w:rPr>
          <w:rFonts w:ascii="Times New Roman" w:eastAsia="宋体" w:hAnsi="Times New Roman" w:cs="Times New Roman"/>
          <w:color w:val="000000" w:themeColor="text1"/>
          <w:sz w:val="24"/>
        </w:rPr>
        <w:t>C20</w:t>
      </w:r>
      <w:r w:rsidRPr="00092862">
        <w:rPr>
          <w:rFonts w:ascii="Times New Roman" w:eastAsia="宋体" w:hAnsi="Times New Roman" w:cs="Times New Roman"/>
          <w:color w:val="000000" w:themeColor="text1"/>
          <w:sz w:val="24"/>
        </w:rPr>
        <w:t>混凝土，泥浆材料台</w:t>
      </w:r>
      <w:r w:rsidRPr="00092862">
        <w:rPr>
          <w:rFonts w:ascii="Times New Roman" w:eastAsia="宋体" w:hAnsi="Times New Roman" w:cs="Times New Roman"/>
          <w:color w:val="000000" w:themeColor="text1"/>
          <w:sz w:val="24"/>
        </w:rPr>
        <w:t>80m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在基层上浇筑</w:t>
      </w:r>
      <w:r w:rsidRPr="00092862">
        <w:rPr>
          <w:rFonts w:ascii="Times New Roman" w:eastAsia="宋体" w:hAnsi="Times New Roman" w:cs="Times New Roman"/>
          <w:color w:val="000000" w:themeColor="text1"/>
          <w:sz w:val="24"/>
        </w:rPr>
        <w:t>C15</w:t>
      </w:r>
      <w:r w:rsidRPr="00092862">
        <w:rPr>
          <w:rFonts w:ascii="Times New Roman" w:eastAsia="宋体" w:hAnsi="Times New Roman" w:cs="Times New Roman"/>
          <w:color w:val="000000" w:themeColor="text1"/>
          <w:sz w:val="24"/>
        </w:rPr>
        <w:t>混凝土厚</w:t>
      </w:r>
      <w:r w:rsidRPr="00092862">
        <w:rPr>
          <w:rFonts w:ascii="Times New Roman" w:eastAsia="宋体" w:hAnsi="Times New Roman" w:cs="Times New Roman"/>
          <w:color w:val="000000" w:themeColor="text1"/>
          <w:sz w:val="24"/>
        </w:rPr>
        <w:t>200mm</w:t>
      </w:r>
      <w:r w:rsidRPr="00092862">
        <w:rPr>
          <w:rFonts w:ascii="Times New Roman" w:eastAsia="宋体" w:hAnsi="Times New Roman" w:cs="Times New Roman"/>
          <w:color w:val="000000" w:themeColor="text1"/>
          <w:sz w:val="24"/>
        </w:rPr>
        <w:t>，见图</w:t>
      </w:r>
      <w:r w:rsidR="00757C47" w:rsidRPr="00092862">
        <w:rPr>
          <w:rFonts w:ascii="Times New Roman" w:eastAsia="宋体" w:hAnsi="Times New Roman" w:cs="Times New Roman"/>
          <w:color w:val="000000" w:themeColor="text1"/>
          <w:sz w:val="24"/>
        </w:rPr>
        <w:t>3.3-</w:t>
      </w:r>
      <w:r w:rsidR="0015441C"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w:t>
      </w:r>
    </w:p>
    <w:p w14:paraId="1C57CED9" w14:textId="77777777" w:rsidR="00DC4F5B" w:rsidRPr="00092862" w:rsidRDefault="00DC4F5B" w:rsidP="00DC4F5B">
      <w:pPr>
        <w:jc w:val="center"/>
        <w:rPr>
          <w:rFonts w:ascii="Times New Roman" w:hAnsi="Times New Roman" w:cs="Times New Roman"/>
          <w:color w:val="000000" w:themeColor="text1"/>
          <w:sz w:val="24"/>
        </w:rPr>
      </w:pPr>
      <w:r w:rsidRPr="00092862">
        <w:rPr>
          <w:rFonts w:ascii="Times New Roman" w:hAnsi="Times New Roman" w:cs="Times New Roman"/>
          <w:noProof/>
          <w:color w:val="000000" w:themeColor="text1"/>
          <w:sz w:val="24"/>
        </w:rPr>
        <w:drawing>
          <wp:inline distT="0" distB="0" distL="0" distR="0" wp14:anchorId="43D25227" wp14:editId="76A67B7B">
            <wp:extent cx="5220000" cy="1530603"/>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3" descr="井场硬化"/>
                    <pic:cNvPicPr>
                      <a:picLocks noChangeAspect="1" noChangeArrowheads="1"/>
                    </pic:cNvPicPr>
                  </pic:nvPicPr>
                  <pic:blipFill>
                    <a:blip r:embed="rId28">
                      <a:extLst>
                        <a:ext uri="{28A0092B-C50C-407E-A947-70E740481C1C}">
                          <a14:useLocalDpi xmlns:a14="http://schemas.microsoft.com/office/drawing/2010/main" val="0"/>
                        </a:ext>
                      </a:extLst>
                    </a:blip>
                    <a:srcRect l="-1540" t="77849" r="2420" b="1460"/>
                    <a:stretch>
                      <a:fillRect/>
                    </a:stretch>
                  </pic:blipFill>
                  <pic:spPr bwMode="auto">
                    <a:xfrm>
                      <a:off x="0" y="0"/>
                      <a:ext cx="5220000" cy="1530603"/>
                    </a:xfrm>
                    <a:prstGeom prst="rect">
                      <a:avLst/>
                    </a:prstGeom>
                    <a:noFill/>
                    <a:ln>
                      <a:noFill/>
                    </a:ln>
                  </pic:spPr>
                </pic:pic>
              </a:graphicData>
            </a:graphic>
          </wp:inline>
        </w:drawing>
      </w:r>
    </w:p>
    <w:p w14:paraId="6FA70CF5" w14:textId="77777777" w:rsidR="00DC4F5B" w:rsidRPr="00092862" w:rsidRDefault="00DC4F5B" w:rsidP="008C28E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3.</w:t>
      </w:r>
      <w:r w:rsidR="00757C47" w:rsidRPr="00092862">
        <w:rPr>
          <w:rFonts w:ascii="Times New Roman" w:eastAsia="黑体" w:hAnsi="Times New Roman"/>
          <w:color w:val="000000" w:themeColor="text1"/>
          <w:sz w:val="21"/>
          <w:szCs w:val="21"/>
          <w:lang w:eastAsia="zh-CN"/>
        </w:rPr>
        <w:t>3-</w:t>
      </w:r>
      <w:r w:rsidR="0015441C" w:rsidRPr="00092862">
        <w:rPr>
          <w:rFonts w:ascii="Times New Roman" w:eastAsia="黑体" w:hAnsi="Times New Roman"/>
          <w:color w:val="000000" w:themeColor="text1"/>
          <w:sz w:val="21"/>
          <w:szCs w:val="21"/>
          <w:lang w:eastAsia="zh-CN"/>
        </w:rPr>
        <w:t>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井场场基结构图</w:t>
      </w:r>
    </w:p>
    <w:p w14:paraId="76A900B2" w14:textId="77777777"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）井场建设</w:t>
      </w:r>
    </w:p>
    <w:p w14:paraId="4C8CA9DE" w14:textId="1D61E4D3" w:rsidR="00DC4F5B" w:rsidRPr="00092862" w:rsidRDefault="0015441C" w:rsidP="00DC4F5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本项目井场</w:t>
      </w:r>
      <w:r w:rsidR="007F03A2" w:rsidRPr="00092862">
        <w:rPr>
          <w:rFonts w:ascii="Times New Roman" w:eastAsia="宋体" w:hAnsi="Times New Roman" w:cs="Times New Roman"/>
          <w:color w:val="000000" w:themeColor="text1"/>
          <w:sz w:val="24"/>
        </w:rPr>
        <w:t>为新建</w:t>
      </w:r>
      <w:r w:rsidRPr="00092862">
        <w:rPr>
          <w:rFonts w:ascii="Times New Roman" w:eastAsia="宋体" w:hAnsi="Times New Roman" w:cs="Times New Roman"/>
          <w:color w:val="000000" w:themeColor="text1"/>
          <w:sz w:val="24"/>
        </w:rPr>
        <w:t>，</w:t>
      </w:r>
      <w:r w:rsidR="00DC4F5B" w:rsidRPr="00092862">
        <w:rPr>
          <w:rFonts w:ascii="Times New Roman" w:eastAsia="宋体" w:hAnsi="Times New Roman" w:cs="Times New Roman"/>
          <w:color w:val="000000" w:themeColor="text1"/>
          <w:sz w:val="24"/>
        </w:rPr>
        <w:t>井场基础采用</w:t>
      </w:r>
      <w:r w:rsidR="00DC4F5B" w:rsidRPr="00092862">
        <w:rPr>
          <w:rFonts w:ascii="Times New Roman" w:eastAsia="宋体" w:hAnsi="Times New Roman" w:cs="Times New Roman"/>
          <w:color w:val="000000" w:themeColor="text1"/>
          <w:sz w:val="24"/>
        </w:rPr>
        <w:t>C20</w:t>
      </w:r>
      <w:r w:rsidR="00DC4F5B" w:rsidRPr="00092862">
        <w:rPr>
          <w:rFonts w:ascii="Times New Roman" w:eastAsia="宋体" w:hAnsi="Times New Roman" w:cs="Times New Roman"/>
          <w:color w:val="000000" w:themeColor="text1"/>
          <w:sz w:val="24"/>
        </w:rPr>
        <w:t>混凝土基础，</w:t>
      </w:r>
      <w:r w:rsidRPr="00092862">
        <w:rPr>
          <w:rFonts w:ascii="Times New Roman" w:eastAsia="宋体" w:hAnsi="Times New Roman" w:cs="Times New Roman"/>
          <w:color w:val="000000" w:themeColor="text1"/>
          <w:sz w:val="24"/>
        </w:rPr>
        <w:t>基础厚度</w:t>
      </w:r>
      <w:r w:rsidRPr="00092862">
        <w:rPr>
          <w:rFonts w:ascii="Times New Roman" w:eastAsia="宋体" w:hAnsi="Times New Roman" w:cs="Times New Roman"/>
          <w:color w:val="000000" w:themeColor="text1"/>
          <w:sz w:val="24"/>
        </w:rPr>
        <w:t>1200mm</w:t>
      </w:r>
      <w:r w:rsidRPr="00092862">
        <w:rPr>
          <w:rFonts w:ascii="Times New Roman" w:eastAsia="宋体" w:hAnsi="Times New Roman" w:cs="Times New Roman"/>
          <w:color w:val="000000" w:themeColor="text1"/>
          <w:sz w:val="24"/>
        </w:rPr>
        <w:t>，基础置于天然地基持力层上，地基承载力不小于</w:t>
      </w:r>
      <w:r w:rsidRPr="00092862">
        <w:rPr>
          <w:rFonts w:ascii="Times New Roman" w:eastAsia="宋体" w:hAnsi="Times New Roman" w:cs="Times New Roman"/>
          <w:color w:val="000000" w:themeColor="text1"/>
          <w:sz w:val="24"/>
        </w:rPr>
        <w:t>0.15MPa</w:t>
      </w:r>
      <w:r w:rsidRPr="00092862">
        <w:rPr>
          <w:rFonts w:ascii="Times New Roman" w:eastAsia="宋体" w:hAnsi="Times New Roman" w:cs="Times New Roman"/>
          <w:color w:val="000000" w:themeColor="text1"/>
          <w:sz w:val="24"/>
        </w:rPr>
        <w:t>，基础下先浇筑</w:t>
      </w:r>
      <w:r w:rsidRPr="00092862">
        <w:rPr>
          <w:rFonts w:ascii="Times New Roman" w:eastAsia="宋体" w:hAnsi="Times New Roman" w:cs="Times New Roman"/>
          <w:color w:val="000000" w:themeColor="text1"/>
          <w:sz w:val="24"/>
        </w:rPr>
        <w:t>C15</w:t>
      </w:r>
      <w:r w:rsidRPr="00092862">
        <w:rPr>
          <w:rFonts w:ascii="Times New Roman" w:eastAsia="宋体" w:hAnsi="Times New Roman" w:cs="Times New Roman"/>
          <w:color w:val="000000" w:themeColor="text1"/>
          <w:sz w:val="24"/>
        </w:rPr>
        <w:t>垫层厚度</w:t>
      </w:r>
      <w:r w:rsidRPr="00092862">
        <w:rPr>
          <w:rFonts w:ascii="Times New Roman" w:eastAsia="宋体" w:hAnsi="Times New Roman" w:cs="Times New Roman"/>
          <w:color w:val="000000" w:themeColor="text1"/>
          <w:sz w:val="24"/>
        </w:rPr>
        <w:t>100mm</w:t>
      </w:r>
      <w:r w:rsidRPr="00092862">
        <w:rPr>
          <w:rFonts w:ascii="Times New Roman" w:eastAsia="宋体" w:hAnsi="Times New Roman" w:cs="Times New Roman"/>
          <w:color w:val="000000" w:themeColor="text1"/>
          <w:sz w:val="24"/>
        </w:rPr>
        <w:t>，</w:t>
      </w:r>
      <w:r w:rsidR="00DC4F5B" w:rsidRPr="00092862">
        <w:rPr>
          <w:rFonts w:ascii="Times New Roman" w:eastAsia="宋体" w:hAnsi="Times New Roman" w:cs="Times New Roman"/>
          <w:color w:val="000000" w:themeColor="text1"/>
          <w:sz w:val="24"/>
        </w:rPr>
        <w:t>其设计结构图如下。</w:t>
      </w:r>
    </w:p>
    <w:p w14:paraId="4B5D9791" w14:textId="77777777" w:rsidR="00DC4F5B" w:rsidRPr="00092862" w:rsidRDefault="00DC4F5B" w:rsidP="00DC4F5B">
      <w:pPr>
        <w:adjustRightInd w:val="0"/>
        <w:snapToGrid w:val="0"/>
        <w:spacing w:line="360" w:lineRule="auto"/>
        <w:jc w:val="center"/>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object w:dxaOrig="4105" w:dyaOrig="2235" w14:anchorId="6BDC0B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6pt;height:107.65pt" o:ole="">
            <v:imagedata r:id="rId29" o:title="" croptop="45407f" cropbottom="5124f" cropleft="32204f" cropright="15532f"/>
          </v:shape>
          <o:OLEObject Type="Embed" ProgID="AutoCAD.Drawing.18" ShapeID="_x0000_i1025" DrawAspect="Content" ObjectID="_1734854726" r:id="rId30"/>
        </w:object>
      </w:r>
      <w:r w:rsidRPr="00092862">
        <w:rPr>
          <w:rFonts w:ascii="Times New Roman" w:hAnsi="Times New Roman" w:cs="Times New Roman"/>
          <w:noProof/>
          <w:color w:val="000000" w:themeColor="text1"/>
          <w:sz w:val="24"/>
        </w:rPr>
        <w:drawing>
          <wp:inline distT="0" distB="0" distL="0" distR="0" wp14:anchorId="73AA7F48" wp14:editId="6EE1E62A">
            <wp:extent cx="2614983" cy="1335158"/>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31" cstate="print">
                      <a:extLst>
                        <a:ext uri="{28A0092B-C50C-407E-A947-70E740481C1C}">
                          <a14:useLocalDpi xmlns:a14="http://schemas.microsoft.com/office/drawing/2010/main" val="0"/>
                        </a:ext>
                      </a:extLst>
                    </a:blip>
                    <a:srcRect l="48778" t="26443" r="20851" b="28958"/>
                    <a:stretch>
                      <a:fillRect/>
                    </a:stretch>
                  </pic:blipFill>
                  <pic:spPr bwMode="auto">
                    <a:xfrm>
                      <a:off x="0" y="0"/>
                      <a:ext cx="2639776" cy="1347817"/>
                    </a:xfrm>
                    <a:prstGeom prst="rect">
                      <a:avLst/>
                    </a:prstGeom>
                    <a:noFill/>
                    <a:ln>
                      <a:noFill/>
                    </a:ln>
                  </pic:spPr>
                </pic:pic>
              </a:graphicData>
            </a:graphic>
          </wp:inline>
        </w:drawing>
      </w:r>
    </w:p>
    <w:p w14:paraId="608C816C" w14:textId="77777777" w:rsidR="00DC4F5B" w:rsidRPr="00092862" w:rsidRDefault="00DC4F5B" w:rsidP="008C28E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3.</w:t>
      </w:r>
      <w:r w:rsidR="00757C47" w:rsidRPr="00092862">
        <w:rPr>
          <w:rFonts w:ascii="Times New Roman" w:eastAsia="黑体" w:hAnsi="Times New Roman"/>
          <w:color w:val="000000" w:themeColor="text1"/>
          <w:sz w:val="21"/>
          <w:szCs w:val="21"/>
          <w:lang w:eastAsia="zh-CN"/>
        </w:rPr>
        <w:t>3-</w:t>
      </w:r>
      <w:r w:rsidR="0015441C"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井场基础设计结构图</w:t>
      </w:r>
    </w:p>
    <w:p w14:paraId="094DEDB8" w14:textId="77777777"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）清污分流</w:t>
      </w:r>
    </w:p>
    <w:p w14:paraId="0DA56B63" w14:textId="3DABDC86" w:rsidR="00DC4F5B" w:rsidRPr="00092862" w:rsidRDefault="00DC4F5B" w:rsidP="00DC4F5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w:t>
      </w:r>
      <w:r w:rsidR="00E27993" w:rsidRPr="00092862">
        <w:rPr>
          <w:rFonts w:ascii="Times New Roman" w:eastAsia="宋体" w:hAnsi="Times New Roman" w:cs="Times New Roman"/>
          <w:color w:val="000000" w:themeColor="text1"/>
          <w:sz w:val="24"/>
        </w:rPr>
        <w:t>井场采用雨污分流设计，排水沟利旧。沿设备基础新建</w:t>
      </w:r>
      <w:r w:rsidR="00E27993" w:rsidRPr="00092862">
        <w:rPr>
          <w:rFonts w:ascii="Times New Roman" w:eastAsia="宋体" w:hAnsi="Times New Roman" w:cs="Times New Roman"/>
          <w:color w:val="000000" w:themeColor="text1"/>
          <w:sz w:val="24"/>
        </w:rPr>
        <w:t>0.35m</w:t>
      </w:r>
      <w:r w:rsidR="00E27993" w:rsidRPr="00092862">
        <w:rPr>
          <w:rFonts w:ascii="Times New Roman" w:eastAsia="宋体" w:hAnsi="Times New Roman" w:cs="Times New Roman"/>
          <w:color w:val="000000" w:themeColor="text1"/>
          <w:sz w:val="24"/>
        </w:rPr>
        <w:t>宽环状排污沟</w:t>
      </w:r>
      <w:r w:rsidR="007E5DB8" w:rsidRPr="00092862">
        <w:rPr>
          <w:rFonts w:ascii="Times New Roman" w:eastAsia="宋体" w:hAnsi="Times New Roman" w:cs="Times New Roman"/>
          <w:color w:val="000000" w:themeColor="text1"/>
          <w:sz w:val="24"/>
        </w:rPr>
        <w:t>892</w:t>
      </w:r>
      <w:r w:rsidR="000319AF" w:rsidRPr="00092862">
        <w:rPr>
          <w:rFonts w:ascii="Times New Roman" w:eastAsia="宋体" w:hAnsi="Times New Roman" w:cs="Times New Roman"/>
          <w:color w:val="000000" w:themeColor="text1"/>
          <w:sz w:val="24"/>
        </w:rPr>
        <w:t>m</w:t>
      </w:r>
      <w:r w:rsidR="00E27993" w:rsidRPr="00092862">
        <w:rPr>
          <w:rFonts w:ascii="Times New Roman" w:eastAsia="宋体" w:hAnsi="Times New Roman" w:cs="Times New Roman"/>
          <w:color w:val="000000" w:themeColor="text1"/>
          <w:sz w:val="24"/>
        </w:rPr>
        <w:t>，放坡坡度</w:t>
      </w:r>
      <w:r w:rsidR="00E27993" w:rsidRPr="00092862">
        <w:rPr>
          <w:rFonts w:ascii="Times New Roman" w:eastAsia="宋体" w:hAnsi="Times New Roman" w:cs="Times New Roman"/>
          <w:color w:val="000000" w:themeColor="text1"/>
          <w:sz w:val="24"/>
        </w:rPr>
        <w:t>i=0.</w:t>
      </w:r>
      <w:r w:rsidR="007E5DB8" w:rsidRPr="00092862">
        <w:rPr>
          <w:rFonts w:ascii="Times New Roman" w:eastAsia="宋体" w:hAnsi="Times New Roman" w:cs="Times New Roman"/>
          <w:color w:val="000000" w:themeColor="text1"/>
          <w:sz w:val="24"/>
        </w:rPr>
        <w:t>5</w:t>
      </w:r>
      <w:r w:rsidR="00E27993" w:rsidRPr="00092862">
        <w:rPr>
          <w:rFonts w:ascii="Times New Roman" w:eastAsia="宋体" w:hAnsi="Times New Roman" w:cs="Times New Roman"/>
          <w:color w:val="000000" w:themeColor="text1"/>
          <w:sz w:val="24"/>
        </w:rPr>
        <w:t>%</w:t>
      </w:r>
      <w:r w:rsidR="00E27993" w:rsidRPr="00092862">
        <w:rPr>
          <w:rFonts w:ascii="Times New Roman" w:eastAsia="宋体" w:hAnsi="Times New Roman" w:cs="Times New Roman"/>
          <w:color w:val="000000" w:themeColor="text1"/>
          <w:sz w:val="24"/>
        </w:rPr>
        <w:t>。污水沟放坡开始位置可根据现场做适当调整，但必须满足正常放坡和无倒流。</w:t>
      </w:r>
      <w:r w:rsidRPr="00092862">
        <w:rPr>
          <w:rFonts w:ascii="Times New Roman" w:eastAsia="宋体" w:hAnsi="Times New Roman" w:cs="Times New Roman"/>
          <w:color w:val="000000" w:themeColor="text1"/>
          <w:sz w:val="24"/>
        </w:rPr>
        <w:t>为满足钻井期间污水不渗入井场，井场内泥浆循环系统区域和</w:t>
      </w:r>
      <w:r w:rsidR="00B53233" w:rsidRPr="00092862">
        <w:rPr>
          <w:rFonts w:ascii="Times New Roman" w:eastAsia="宋体" w:hAnsi="Times New Roman" w:cs="Times New Roman"/>
          <w:color w:val="000000" w:themeColor="text1"/>
          <w:sz w:val="24"/>
        </w:rPr>
        <w:t>清洁生产操作平台区域</w:t>
      </w:r>
      <w:r w:rsidRPr="00092862">
        <w:rPr>
          <w:rFonts w:ascii="Times New Roman" w:eastAsia="宋体" w:hAnsi="Times New Roman" w:cs="Times New Roman"/>
          <w:color w:val="000000" w:themeColor="text1"/>
          <w:sz w:val="24"/>
        </w:rPr>
        <w:t>设置排污沟，离污水罐或放喷池较近区域设置净空</w:t>
      </w:r>
      <w:r w:rsidRPr="00092862">
        <w:rPr>
          <w:rFonts w:ascii="Times New Roman" w:eastAsia="宋体" w:hAnsi="Times New Roman" w:cs="Times New Roman"/>
          <w:color w:val="000000" w:themeColor="text1"/>
          <w:sz w:val="24"/>
        </w:rPr>
        <w:t>0.5m×0.5m×0.5m</w:t>
      </w:r>
      <w:r w:rsidRPr="00092862">
        <w:rPr>
          <w:rFonts w:ascii="Times New Roman" w:eastAsia="宋体" w:hAnsi="Times New Roman" w:cs="Times New Roman"/>
          <w:color w:val="000000" w:themeColor="text1"/>
          <w:sz w:val="24"/>
        </w:rPr>
        <w:t>的集污坑（共计</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个），若场内雨水被污染流入外环沟，则需封闭沟渠由作业队伍从集水坑抽汲至</w:t>
      </w:r>
      <w:r w:rsidR="002A34EA" w:rsidRPr="00092862">
        <w:rPr>
          <w:rFonts w:ascii="Times New Roman" w:eastAsia="宋体" w:hAnsi="Times New Roman" w:cs="Times New Roman"/>
          <w:color w:val="000000" w:themeColor="text1"/>
          <w:sz w:val="24"/>
        </w:rPr>
        <w:t>废</w:t>
      </w:r>
      <w:r w:rsidRPr="00092862">
        <w:rPr>
          <w:rFonts w:ascii="Times New Roman" w:eastAsia="宋体" w:hAnsi="Times New Roman" w:cs="Times New Roman"/>
          <w:color w:val="000000" w:themeColor="text1"/>
          <w:sz w:val="24"/>
        </w:rPr>
        <w:t>水罐或放喷池，集污坑体宽度</w:t>
      </w:r>
      <w:r w:rsidRPr="00092862">
        <w:rPr>
          <w:rFonts w:ascii="Times New Roman" w:eastAsia="宋体" w:hAnsi="Times New Roman" w:cs="Times New Roman"/>
          <w:color w:val="000000" w:themeColor="text1"/>
          <w:sz w:val="24"/>
        </w:rPr>
        <w:t>12cm</w:t>
      </w:r>
      <w:r w:rsidRPr="00092862">
        <w:rPr>
          <w:rFonts w:ascii="Times New Roman" w:eastAsia="宋体" w:hAnsi="Times New Roman" w:cs="Times New Roman"/>
          <w:color w:val="000000" w:themeColor="text1"/>
          <w:sz w:val="24"/>
        </w:rPr>
        <w:t>，底板浇筑</w:t>
      </w:r>
      <w:r w:rsidRPr="00092862">
        <w:rPr>
          <w:rFonts w:ascii="Times New Roman" w:eastAsia="宋体" w:hAnsi="Times New Roman" w:cs="Times New Roman"/>
          <w:color w:val="000000" w:themeColor="text1"/>
          <w:sz w:val="24"/>
        </w:rPr>
        <w:t>10cmC15</w:t>
      </w:r>
      <w:r w:rsidRPr="00092862">
        <w:rPr>
          <w:rFonts w:ascii="Times New Roman" w:eastAsia="宋体" w:hAnsi="Times New Roman" w:cs="Times New Roman"/>
          <w:color w:val="000000" w:themeColor="text1"/>
          <w:sz w:val="24"/>
        </w:rPr>
        <w:t>混凝土</w:t>
      </w:r>
      <w:r w:rsidR="00E27993"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井场排水沟结构图见下图</w:t>
      </w:r>
      <w:r w:rsidR="00757C47" w:rsidRPr="00092862">
        <w:rPr>
          <w:rFonts w:ascii="Times New Roman" w:eastAsia="宋体" w:hAnsi="Times New Roman" w:cs="Times New Roman"/>
          <w:color w:val="000000" w:themeColor="text1"/>
          <w:sz w:val="24"/>
        </w:rPr>
        <w:t>3.3-</w:t>
      </w:r>
      <w:r w:rsidR="0015441C"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w:t>
      </w:r>
    </w:p>
    <w:p w14:paraId="1E1569A4" w14:textId="33DF57BB" w:rsidR="00DC4F5B" w:rsidRPr="00092862" w:rsidRDefault="000319AF" w:rsidP="00DC4F5B">
      <w:pPr>
        <w:snapToGrid w:val="0"/>
        <w:spacing w:line="360" w:lineRule="auto"/>
        <w:ind w:firstLineChars="200" w:firstLine="480"/>
        <w:jc w:val="center"/>
        <w:rPr>
          <w:rFonts w:ascii="Times New Roman" w:hAnsi="Times New Roman" w:cs="Times New Roman"/>
          <w:color w:val="000000" w:themeColor="text1"/>
          <w:sz w:val="24"/>
        </w:rPr>
      </w:pPr>
      <w:r w:rsidRPr="00092862">
        <w:rPr>
          <w:rFonts w:ascii="Times New Roman" w:hAnsi="Times New Roman" w:cs="Times New Roman"/>
          <w:noProof/>
          <w:color w:val="000000" w:themeColor="text1"/>
          <w:sz w:val="24"/>
        </w:rPr>
        <mc:AlternateContent>
          <mc:Choice Requires="wps">
            <w:drawing>
              <wp:anchor distT="0" distB="0" distL="114300" distR="114300" simplePos="0" relativeHeight="252299264" behindDoc="0" locked="0" layoutInCell="1" allowOverlap="1" wp14:anchorId="1A3582CB" wp14:editId="514E7310">
                <wp:simplePos x="0" y="0"/>
                <wp:positionH relativeFrom="column">
                  <wp:posOffset>3244235</wp:posOffset>
                </wp:positionH>
                <wp:positionV relativeFrom="paragraph">
                  <wp:posOffset>1135626</wp:posOffset>
                </wp:positionV>
                <wp:extent cx="250723" cy="125362"/>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headEnd/>
                          <a:tailEnd/>
                        </a:ln>
                      </wps:spPr>
                      <wps:txbx>
                        <w:txbxContent>
                          <w:p w14:paraId="6CE8AAA6" w14:textId="77777777" w:rsidR="000319AF" w:rsidRPr="000319AF" w:rsidRDefault="000319AF" w:rsidP="000319AF">
                            <w:pPr>
                              <w:rPr>
                                <w:rFonts w:ascii="Times New Roman" w:hAnsi="Times New Roman"/>
                                <w:sz w:val="18"/>
                                <w:szCs w:val="18"/>
                              </w:rPr>
                            </w:pPr>
                            <w:r w:rsidRPr="000319AF">
                              <w:rPr>
                                <w:rFonts w:ascii="Times New Roman" w:hAnsi="Times New Roman"/>
                                <w:sz w:val="18"/>
                                <w:szCs w:val="18"/>
                              </w:rPr>
                              <w:t>350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1A3582CB" id="文本框 21" o:spid="_x0000_s1050" type="#_x0000_t202" style="position:absolute;left:0;text-align:left;margin-left:255.45pt;margin-top:89.4pt;width:19.75pt;height:9.8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" stroked="f">
                <v:textbox inset="0,0,0,0">
                  <w:txbxContent>
                    <w:p w14:paraId="6CE8AAA6" w14:textId="77777777" w:rsidR="000319AF" w:rsidRPr="000319AF" w:rsidRDefault="000319AF" w:rsidP="000319AF">
                      <w:pPr>
                        <w:rPr>
                          <w:rFonts w:ascii="Times New Roman" w:hAnsi="Times New Roman"/>
                          <w:sz w:val="18"/>
                          <w:szCs w:val="18"/>
                        </w:rPr>
                      </w:pPr>
                      <w:r w:rsidRPr="000319AF">
                        <w:rPr>
                          <w:rFonts w:ascii="Times New Roman" w:hAnsi="Times New Roman"/>
                          <w:sz w:val="18"/>
                          <w:szCs w:val="18"/>
                        </w:rPr>
                        <w:t>350</w:t>
                      </w:r>
                    </w:p>
                  </w:txbxContent>
                </v:textbox>
              </v:shape>
            </w:pict>
          </mc:Fallback>
        </mc:AlternateContent>
      </w:r>
      <w:r w:rsidRPr="00092862">
        <w:rPr>
          <w:rFonts w:ascii="Times New Roman" w:hAnsi="Times New Roman" w:cs="Times New Roman"/>
          <w:noProof/>
          <w:color w:val="000000" w:themeColor="text1"/>
          <w:sz w:val="24"/>
        </w:rPr>
        <mc:AlternateContent>
          <mc:Choice Requires="wps">
            <w:drawing>
              <wp:anchor distT="0" distB="0" distL="114300" distR="114300" simplePos="0" relativeHeight="252297216" behindDoc="0" locked="0" layoutInCell="1" allowOverlap="1" wp14:anchorId="2BC9850D" wp14:editId="5F8BB262">
                <wp:simplePos x="0" y="0"/>
                <wp:positionH relativeFrom="column">
                  <wp:posOffset>1423219</wp:posOffset>
                </wp:positionH>
                <wp:positionV relativeFrom="paragraph">
                  <wp:posOffset>1157748</wp:posOffset>
                </wp:positionV>
                <wp:extent cx="250723" cy="125362"/>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headEnd/>
                          <a:tailEnd/>
                        </a:ln>
                      </wps:spPr>
                      <wps:txbx>
                        <w:txbxContent>
                          <w:p w14:paraId="6374A93A" w14:textId="07A4C085" w:rsidR="000319AF" w:rsidRPr="000319AF" w:rsidRDefault="000319AF">
                            <w:pPr>
                              <w:rPr>
                                <w:rFonts w:ascii="Times New Roman" w:hAnsi="Times New Roman"/>
                                <w:sz w:val="15"/>
                                <w:szCs w:val="15"/>
                              </w:rPr>
                            </w:pPr>
                            <w:r w:rsidRPr="000319AF">
                              <w:rPr>
                                <w:rFonts w:ascii="Times New Roman" w:hAnsi="Times New Roman"/>
                                <w:sz w:val="15"/>
                                <w:szCs w:val="15"/>
                              </w:rPr>
                              <w:t>350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BC9850D" id="文本框 20" o:spid="_x0000_s1051" type="#_x0000_t202" style="position:absolute;left:0;text-align:left;margin-left:112.05pt;margin-top:91.15pt;width:19.75pt;height:9.85pt;z-index:25229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" stroked="f">
                <v:textbox inset="0,0,0,0">
                  <w:txbxContent>
                    <w:p w14:paraId="6374A93A" w14:textId="07A4C085" w:rsidR="000319AF" w:rsidRPr="000319AF" w:rsidRDefault="000319AF">
                      <w:pPr>
                        <w:rPr>
                          <w:rFonts w:ascii="Times New Roman" w:hAnsi="Times New Roman"/>
                          <w:sz w:val="15"/>
                          <w:szCs w:val="15"/>
                        </w:rPr>
                      </w:pPr>
                      <w:r w:rsidRPr="000319AF">
                        <w:rPr>
                          <w:rFonts w:ascii="Times New Roman" w:hAnsi="Times New Roman"/>
                          <w:sz w:val="15"/>
                          <w:szCs w:val="15"/>
                        </w:rPr>
                        <w:t>350</w:t>
                      </w:r>
                    </w:p>
                  </w:txbxContent>
                </v:textbox>
              </v:shape>
            </w:pict>
          </mc:Fallback>
        </mc:AlternateContent>
      </w:r>
      <w:r w:rsidR="00DC4F5B" w:rsidRPr="00092862">
        <w:rPr>
          <w:rFonts w:ascii="Times New Roman" w:hAnsi="Times New Roman" w:cs="Times New Roman"/>
          <w:noProof/>
          <w:color w:val="000000" w:themeColor="text1"/>
          <w:sz w:val="24"/>
        </w:rPr>
        <w:drawing>
          <wp:inline distT="0" distB="0" distL="0" distR="0" wp14:anchorId="6B47C095" wp14:editId="3AB4008D">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32">
                      <a:extLst>
                        <a:ext uri="{28A0092B-C50C-407E-A947-70E740481C1C}">
                          <a14:useLocalDpi xmlns:a14="http://schemas.microsoft.com/office/drawing/2010/main" val="0"/>
                        </a:ext>
                      </a:extLst>
                    </a:blip>
                    <a:srcRect t="22746" r="60754" b="-15460"/>
                    <a:stretch>
                      <a:fillRect/>
                    </a:stretch>
                  </pic:blipFill>
                  <pic:spPr bwMode="auto">
                    <a:xfrm>
                      <a:off x="0" y="0"/>
                      <a:ext cx="2007235" cy="1674495"/>
                    </a:xfrm>
                    <a:prstGeom prst="rect">
                      <a:avLst/>
                    </a:prstGeom>
                    <a:noFill/>
                    <a:ln>
                      <a:noFill/>
                    </a:ln>
                  </pic:spPr>
                </pic:pic>
              </a:graphicData>
            </a:graphic>
          </wp:inline>
        </w:drawing>
      </w:r>
      <w:r w:rsidR="00DC4F5B" w:rsidRPr="00092862">
        <w:rPr>
          <w:rFonts w:ascii="Times New Roman" w:hAnsi="Times New Roman" w:cs="Times New Roman"/>
          <w:noProof/>
          <w:color w:val="000000" w:themeColor="text1"/>
          <w:sz w:val="24"/>
        </w:rPr>
        <w:drawing>
          <wp:inline distT="0" distB="0" distL="0" distR="0" wp14:anchorId="2685F4C5" wp14:editId="7C0BF158">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33" cstate="print">
                      <a:extLst>
                        <a:ext uri="{28A0092B-C50C-407E-A947-70E740481C1C}">
                          <a14:useLocalDpi xmlns:a14="http://schemas.microsoft.com/office/drawing/2010/main" val="0"/>
                        </a:ext>
                      </a:extLst>
                    </a:blip>
                    <a:srcRect l="31598" t="43660" r="46407" b="20622"/>
                    <a:stretch>
                      <a:fillRect/>
                    </a:stretch>
                  </pic:blipFill>
                  <pic:spPr bwMode="auto">
                    <a:xfrm>
                      <a:off x="0" y="0"/>
                      <a:ext cx="2731135" cy="1674495"/>
                    </a:xfrm>
                    <a:prstGeom prst="rect">
                      <a:avLst/>
                    </a:prstGeom>
                    <a:noFill/>
                    <a:ln>
                      <a:noFill/>
                    </a:ln>
                  </pic:spPr>
                </pic:pic>
              </a:graphicData>
            </a:graphic>
          </wp:inline>
        </w:drawing>
      </w:r>
    </w:p>
    <w:p w14:paraId="368286A8" w14:textId="77777777" w:rsidR="00DC4F5B" w:rsidRPr="00092862" w:rsidRDefault="00DC4F5B" w:rsidP="008C28E1">
      <w:pPr>
        <w:pStyle w:val="ac"/>
        <w:tabs>
          <w:tab w:val="left" w:pos="3864"/>
        </w:tabs>
        <w:adjustRightInd w:val="0"/>
        <w:snapToGrid w:val="0"/>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3.</w:t>
      </w:r>
      <w:r w:rsidR="00757C47" w:rsidRPr="00092862">
        <w:rPr>
          <w:rFonts w:ascii="Times New Roman" w:eastAsia="黑体" w:hAnsi="Times New Roman"/>
          <w:color w:val="000000" w:themeColor="text1"/>
          <w:sz w:val="21"/>
          <w:szCs w:val="21"/>
          <w:lang w:eastAsia="zh-CN"/>
        </w:rPr>
        <w:t>3-</w:t>
      </w:r>
      <w:r w:rsidR="0015441C" w:rsidRPr="00092862">
        <w:rPr>
          <w:rFonts w:ascii="Times New Roman" w:eastAsia="黑体" w:hAnsi="Times New Roman"/>
          <w:color w:val="000000" w:themeColor="text1"/>
          <w:sz w:val="21"/>
          <w:szCs w:val="21"/>
          <w:lang w:eastAsia="zh-CN"/>
        </w:rPr>
        <w:t>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井场排水沟结构图</w:t>
      </w:r>
    </w:p>
    <w:p w14:paraId="487498D9" w14:textId="638551B3"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w:t>
      </w:r>
      <w:r w:rsidR="0055302D" w:rsidRPr="00092862">
        <w:rPr>
          <w:rFonts w:ascii="Times New Roman" w:eastAsia="宋体" w:hAnsi="Times New Roman" w:cs="Times New Roman"/>
          <w:color w:val="000000" w:themeColor="text1"/>
          <w:sz w:val="24"/>
        </w:rPr>
        <w:t>清洁生产操作平台</w:t>
      </w:r>
      <w:r w:rsidRPr="00092862">
        <w:rPr>
          <w:rFonts w:ascii="Times New Roman" w:eastAsia="宋体" w:hAnsi="Times New Roman" w:cs="Times New Roman"/>
          <w:color w:val="000000" w:themeColor="text1"/>
          <w:sz w:val="24"/>
        </w:rPr>
        <w:t>区</w:t>
      </w:r>
    </w:p>
    <w:p w14:paraId="083365BA" w14:textId="13981732" w:rsidR="00AF09C6" w:rsidRPr="00092862" w:rsidRDefault="00AF09C6" w:rsidP="00DC4F5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清洁生产操作平台区占地面积约</w:t>
      </w:r>
      <w:r w:rsidRPr="00092862">
        <w:rPr>
          <w:rFonts w:ascii="Times New Roman" w:eastAsia="宋体" w:hAnsi="Times New Roman" w:cs="Times New Roman"/>
          <w:color w:val="000000" w:themeColor="text1"/>
          <w:sz w:val="24"/>
        </w:rPr>
        <w:t>310m</w:t>
      </w:r>
      <w:r w:rsidRPr="00092862">
        <w:rPr>
          <w:rFonts w:ascii="Times New Roman" w:eastAsia="宋体" w:hAnsi="Times New Roman" w:cs="Times New Roman"/>
          <w:color w:val="000000" w:themeColor="text1"/>
          <w:sz w:val="24"/>
          <w:vertAlign w:val="superscript"/>
        </w:rPr>
        <w:t>2</w:t>
      </w:r>
      <w:r w:rsidR="00DC4F5B"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采用</w:t>
      </w:r>
      <w:r w:rsidRPr="00092862">
        <w:rPr>
          <w:rFonts w:ascii="Times New Roman" w:eastAsia="宋体" w:hAnsi="Times New Roman" w:cs="Times New Roman"/>
          <w:bCs/>
          <w:color w:val="000000" w:themeColor="text1"/>
          <w:sz w:val="24"/>
        </w:rPr>
        <w:t>10cm</w:t>
      </w:r>
      <w:r w:rsidRPr="00092862">
        <w:rPr>
          <w:rFonts w:ascii="Times New Roman" w:eastAsia="宋体" w:hAnsi="Times New Roman" w:cs="Times New Roman"/>
          <w:bCs/>
          <w:color w:val="000000" w:themeColor="text1"/>
          <w:sz w:val="24"/>
        </w:rPr>
        <w:t>厚</w:t>
      </w:r>
      <w:r w:rsidRPr="00092862">
        <w:rPr>
          <w:rFonts w:ascii="Times New Roman" w:eastAsia="宋体" w:hAnsi="Times New Roman" w:cs="Times New Roman"/>
          <w:bCs/>
          <w:color w:val="000000" w:themeColor="text1"/>
          <w:sz w:val="24"/>
        </w:rPr>
        <w:t>C25</w:t>
      </w:r>
      <w:r w:rsidRPr="00092862">
        <w:rPr>
          <w:rFonts w:ascii="Times New Roman" w:eastAsia="宋体" w:hAnsi="Times New Roman" w:cs="Times New Roman"/>
          <w:bCs/>
          <w:color w:val="000000" w:themeColor="text1"/>
          <w:sz w:val="24"/>
        </w:rPr>
        <w:t>钢筋混凝土垫层</w:t>
      </w:r>
      <w:r w:rsidRPr="00092862">
        <w:rPr>
          <w:rFonts w:ascii="Times New Roman" w:eastAsia="宋体" w:hAnsi="Times New Roman" w:cs="Times New Roman"/>
          <w:bCs/>
          <w:color w:val="000000" w:themeColor="text1"/>
          <w:sz w:val="24"/>
        </w:rPr>
        <w:t>+30cmC25</w:t>
      </w:r>
      <w:r w:rsidRPr="00092862">
        <w:rPr>
          <w:rFonts w:ascii="Times New Roman" w:eastAsia="宋体" w:hAnsi="Times New Roman" w:cs="Times New Roman"/>
          <w:bCs/>
          <w:color w:val="000000" w:themeColor="text1"/>
          <w:sz w:val="24"/>
        </w:rPr>
        <w:t>钢筋混凝土面层</w:t>
      </w:r>
      <w:r w:rsidRPr="00092862">
        <w:rPr>
          <w:rFonts w:ascii="Times New Roman" w:eastAsia="宋体" w:hAnsi="Times New Roman" w:cs="Times New Roman"/>
          <w:bCs/>
          <w:color w:val="000000" w:themeColor="text1"/>
          <w:sz w:val="24"/>
        </w:rPr>
        <w:t>+2cm</w:t>
      </w:r>
      <w:r w:rsidRPr="00092862">
        <w:rPr>
          <w:rFonts w:ascii="Times New Roman" w:eastAsia="宋体" w:hAnsi="Times New Roman" w:cs="Times New Roman"/>
          <w:bCs/>
          <w:color w:val="000000" w:themeColor="text1"/>
          <w:sz w:val="24"/>
        </w:rPr>
        <w:t>厚</w:t>
      </w:r>
      <w:r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3</w:t>
      </w:r>
      <w:r w:rsidRPr="00092862">
        <w:rPr>
          <w:rFonts w:ascii="Times New Roman" w:eastAsia="宋体" w:hAnsi="Times New Roman" w:cs="Times New Roman"/>
          <w:bCs/>
          <w:color w:val="000000" w:themeColor="text1"/>
          <w:sz w:val="24"/>
        </w:rPr>
        <w:t>水泥砂浆抹面</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聚乙烯丙纶防渗层。</w:t>
      </w:r>
    </w:p>
    <w:p w14:paraId="3C18910D" w14:textId="6CD6F817" w:rsidR="00DC4F5B" w:rsidRPr="00092862" w:rsidRDefault="00AF09C6" w:rsidP="00DC4F5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设置</w:t>
      </w:r>
      <w:r w:rsidRPr="00092862">
        <w:rPr>
          <w:rFonts w:ascii="Times New Roman" w:eastAsia="宋体" w:hAnsi="Times New Roman" w:cs="Times New Roman"/>
          <w:color w:val="000000" w:themeColor="text1"/>
          <w:sz w:val="24"/>
        </w:rPr>
        <w:t>40m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废水罐</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个，</w:t>
      </w:r>
      <w:r w:rsidRPr="00092862">
        <w:rPr>
          <w:rFonts w:ascii="Times New Roman" w:eastAsia="宋体" w:hAnsi="Times New Roman" w:cs="Times New Roman"/>
          <w:color w:val="000000" w:themeColor="text1"/>
          <w:sz w:val="24"/>
        </w:rPr>
        <w:t>20m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岩屑固化罐</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个，</w:t>
      </w:r>
      <w:r w:rsidRPr="00092862">
        <w:rPr>
          <w:rFonts w:ascii="Times New Roman" w:eastAsia="宋体" w:hAnsi="Times New Roman" w:cs="Times New Roman"/>
          <w:color w:val="000000" w:themeColor="text1"/>
          <w:sz w:val="24"/>
        </w:rPr>
        <w:t>3m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岩屑收集罐</w:t>
      </w: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个，化学品存放区</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处</w:t>
      </w:r>
      <w:r w:rsidR="00DC4F5B" w:rsidRPr="00092862">
        <w:rPr>
          <w:rFonts w:ascii="Times New Roman" w:eastAsia="宋体" w:hAnsi="Times New Roman" w:cs="Times New Roman"/>
          <w:color w:val="000000" w:themeColor="text1"/>
          <w:sz w:val="24"/>
        </w:rPr>
        <w:t>。</w:t>
      </w:r>
    </w:p>
    <w:p w14:paraId="15817FDC" w14:textId="77777777" w:rsidR="00DC4F5B" w:rsidRPr="00092862" w:rsidRDefault="00DC4F5B" w:rsidP="00DC4F5B">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）放喷池</w:t>
      </w:r>
    </w:p>
    <w:p w14:paraId="2412D01F" w14:textId="488E2A53" w:rsidR="00DC4F5B" w:rsidRPr="00092862" w:rsidRDefault="007E5DB8" w:rsidP="00DC4F5B">
      <w:pPr>
        <w:adjustRightInd w:val="0"/>
        <w:snapToGrid w:val="0"/>
        <w:spacing w:line="360" w:lineRule="auto"/>
        <w:ind w:firstLineChars="200" w:firstLine="42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Cs w:val="21"/>
        </w:rPr>
        <w:t>新建放喷池</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座，尺寸为</w:t>
      </w:r>
      <w:r w:rsidRPr="00092862">
        <w:rPr>
          <w:rFonts w:ascii="Times New Roman" w:eastAsia="宋体" w:hAnsi="Times New Roman" w:cs="Times New Roman"/>
          <w:color w:val="000000" w:themeColor="text1"/>
          <w:szCs w:val="21"/>
        </w:rPr>
        <w:t xml:space="preserve"> 10m×20m×1.5m</w:t>
      </w:r>
      <w:r w:rsidRPr="00092862">
        <w:rPr>
          <w:rFonts w:ascii="Times New Roman" w:eastAsia="宋体" w:hAnsi="Times New Roman" w:cs="Times New Roman"/>
          <w:color w:val="000000" w:themeColor="text1"/>
          <w:szCs w:val="21"/>
        </w:rPr>
        <w:t>，容积为</w:t>
      </w:r>
      <w:r w:rsidRPr="00092862">
        <w:rPr>
          <w:rFonts w:ascii="Times New Roman" w:eastAsia="宋体" w:hAnsi="Times New Roman" w:cs="Times New Roman"/>
          <w:color w:val="000000" w:themeColor="text1"/>
          <w:szCs w:val="21"/>
        </w:rPr>
        <w:t>300m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，用于测试放喷，池内重点防渗；同时修复利旧元老君</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井场放喷池</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座，尺寸为</w:t>
      </w:r>
      <w:r w:rsidRPr="00092862">
        <w:rPr>
          <w:rFonts w:ascii="Times New Roman" w:eastAsia="宋体" w:hAnsi="Times New Roman" w:cs="Times New Roman"/>
          <w:color w:val="000000" w:themeColor="text1"/>
          <w:szCs w:val="21"/>
        </w:rPr>
        <w:t xml:space="preserve"> 10m×20m×1.5m</w:t>
      </w:r>
      <w:r w:rsidRPr="00092862">
        <w:rPr>
          <w:rFonts w:ascii="Times New Roman" w:eastAsia="宋体" w:hAnsi="Times New Roman" w:cs="Times New Roman"/>
          <w:color w:val="000000" w:themeColor="text1"/>
          <w:szCs w:val="21"/>
        </w:rPr>
        <w:t>，容积为</w:t>
      </w:r>
      <w:r w:rsidRPr="00092862">
        <w:rPr>
          <w:rFonts w:ascii="Times New Roman" w:eastAsia="宋体" w:hAnsi="Times New Roman" w:cs="Times New Roman"/>
          <w:color w:val="000000" w:themeColor="text1"/>
          <w:szCs w:val="21"/>
        </w:rPr>
        <w:t>300m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，用于测试放喷，池内重点防渗。</w:t>
      </w:r>
      <w:r w:rsidRPr="00092862">
        <w:rPr>
          <w:rFonts w:ascii="Times New Roman" w:eastAsia="宋体" w:hAnsi="Times New Roman" w:cs="Times New Roman"/>
          <w:bCs/>
          <w:color w:val="000000" w:themeColor="text1"/>
          <w:sz w:val="24"/>
          <w:szCs w:val="24"/>
        </w:rPr>
        <w:t>其中利旧的</w:t>
      </w:r>
      <w:r w:rsidR="00A84E4F" w:rsidRPr="00092862">
        <w:rPr>
          <w:rFonts w:ascii="Times New Roman" w:eastAsia="宋体" w:hAnsi="Times New Roman" w:cs="Times New Roman"/>
          <w:bCs/>
          <w:color w:val="000000" w:themeColor="text1"/>
          <w:sz w:val="24"/>
          <w:szCs w:val="24"/>
        </w:rPr>
        <w:t>1#</w:t>
      </w:r>
      <w:r w:rsidR="00AF09C6" w:rsidRPr="00092862">
        <w:rPr>
          <w:rFonts w:ascii="Times New Roman" w:eastAsia="宋体" w:hAnsi="Times New Roman" w:cs="Times New Roman"/>
          <w:bCs/>
          <w:color w:val="000000" w:themeColor="text1"/>
          <w:sz w:val="24"/>
          <w:szCs w:val="24"/>
        </w:rPr>
        <w:t>放喷池位于井场外西</w:t>
      </w:r>
      <w:r w:rsidR="00B967A8" w:rsidRPr="00092862">
        <w:rPr>
          <w:rFonts w:ascii="Times New Roman" w:eastAsia="宋体" w:hAnsi="Times New Roman" w:cs="Times New Roman"/>
          <w:bCs/>
          <w:color w:val="000000" w:themeColor="text1"/>
          <w:sz w:val="24"/>
          <w:szCs w:val="24"/>
        </w:rPr>
        <w:t>北</w:t>
      </w:r>
      <w:r w:rsidR="00AF09C6" w:rsidRPr="00092862">
        <w:rPr>
          <w:rFonts w:ascii="Times New Roman" w:eastAsia="宋体" w:hAnsi="Times New Roman" w:cs="Times New Roman"/>
          <w:bCs/>
          <w:color w:val="000000" w:themeColor="text1"/>
          <w:sz w:val="24"/>
          <w:szCs w:val="24"/>
        </w:rPr>
        <w:t>侧，</w:t>
      </w:r>
      <w:r w:rsidR="00B967A8" w:rsidRPr="00092862">
        <w:rPr>
          <w:rFonts w:ascii="Times New Roman" w:eastAsia="宋体" w:hAnsi="Times New Roman" w:cs="Times New Roman"/>
          <w:bCs/>
          <w:color w:val="000000" w:themeColor="text1"/>
          <w:sz w:val="24"/>
          <w:szCs w:val="24"/>
        </w:rPr>
        <w:t>距离井口约</w:t>
      </w:r>
      <w:r w:rsidR="00B967A8" w:rsidRPr="00092862">
        <w:rPr>
          <w:rFonts w:ascii="Times New Roman" w:eastAsia="宋体" w:hAnsi="Times New Roman" w:cs="Times New Roman"/>
          <w:bCs/>
          <w:color w:val="000000" w:themeColor="text1"/>
          <w:sz w:val="24"/>
          <w:szCs w:val="24"/>
        </w:rPr>
        <w:t>160m</w:t>
      </w:r>
      <w:r w:rsidR="00AF09C6"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新建的</w:t>
      </w:r>
      <w:r w:rsidR="00A84E4F" w:rsidRPr="00092862">
        <w:rPr>
          <w:rFonts w:ascii="Times New Roman" w:eastAsia="宋体" w:hAnsi="Times New Roman" w:cs="Times New Roman"/>
          <w:bCs/>
          <w:color w:val="000000" w:themeColor="text1"/>
          <w:sz w:val="24"/>
          <w:szCs w:val="24"/>
        </w:rPr>
        <w:t>2#</w:t>
      </w:r>
      <w:r w:rsidR="00AF09C6" w:rsidRPr="00092862">
        <w:rPr>
          <w:rFonts w:ascii="Times New Roman" w:eastAsia="宋体" w:hAnsi="Times New Roman" w:cs="Times New Roman"/>
          <w:bCs/>
          <w:color w:val="000000" w:themeColor="text1"/>
          <w:sz w:val="24"/>
          <w:szCs w:val="24"/>
        </w:rPr>
        <w:t>放喷池位于井场外</w:t>
      </w:r>
      <w:r w:rsidR="00B967A8" w:rsidRPr="00092862">
        <w:rPr>
          <w:rFonts w:ascii="Times New Roman" w:eastAsia="宋体" w:hAnsi="Times New Roman" w:cs="Times New Roman"/>
          <w:bCs/>
          <w:color w:val="000000" w:themeColor="text1"/>
          <w:sz w:val="24"/>
          <w:szCs w:val="24"/>
        </w:rPr>
        <w:t>南</w:t>
      </w:r>
      <w:r w:rsidR="00AF09C6" w:rsidRPr="00092862">
        <w:rPr>
          <w:rFonts w:ascii="Times New Roman" w:eastAsia="宋体" w:hAnsi="Times New Roman" w:cs="Times New Roman"/>
          <w:bCs/>
          <w:color w:val="000000" w:themeColor="text1"/>
          <w:sz w:val="24"/>
          <w:szCs w:val="24"/>
        </w:rPr>
        <w:t>侧，距离井口约</w:t>
      </w:r>
      <w:r w:rsidR="00704BC1" w:rsidRPr="00092862">
        <w:rPr>
          <w:rFonts w:ascii="Times New Roman" w:eastAsia="宋体" w:hAnsi="Times New Roman" w:cs="Times New Roman"/>
          <w:bCs/>
          <w:color w:val="000000" w:themeColor="text1"/>
          <w:sz w:val="24"/>
          <w:szCs w:val="24"/>
        </w:rPr>
        <w:t>171m</w:t>
      </w:r>
      <w:r w:rsidR="00AF09C6" w:rsidRPr="00092862">
        <w:rPr>
          <w:rFonts w:ascii="Times New Roman" w:eastAsia="宋体" w:hAnsi="Times New Roman" w:cs="Times New Roman"/>
          <w:bCs/>
          <w:color w:val="000000" w:themeColor="text1"/>
          <w:sz w:val="24"/>
          <w:szCs w:val="24"/>
        </w:rPr>
        <w:t>，</w:t>
      </w:r>
      <w:r w:rsidR="00AF09C6" w:rsidRPr="00092862">
        <w:rPr>
          <w:rFonts w:ascii="Times New Roman" w:eastAsia="宋体" w:hAnsi="Times New Roman" w:cs="Times New Roman"/>
          <w:color w:val="000000" w:themeColor="text1"/>
          <w:sz w:val="24"/>
          <w:szCs w:val="24"/>
        </w:rPr>
        <w:t>放喷池容积均为</w:t>
      </w:r>
      <w:r w:rsidR="00AF09C6" w:rsidRPr="00092862">
        <w:rPr>
          <w:rFonts w:ascii="Times New Roman" w:eastAsia="宋体" w:hAnsi="Times New Roman" w:cs="Times New Roman"/>
          <w:color w:val="000000" w:themeColor="text1"/>
          <w:sz w:val="24"/>
          <w:szCs w:val="24"/>
        </w:rPr>
        <w:lastRenderedPageBreak/>
        <w:t>300m</w:t>
      </w:r>
      <w:r w:rsidR="00AF09C6" w:rsidRPr="00092862">
        <w:rPr>
          <w:rFonts w:ascii="Times New Roman" w:eastAsia="宋体" w:hAnsi="Times New Roman" w:cs="Times New Roman"/>
          <w:color w:val="000000" w:themeColor="text1"/>
          <w:sz w:val="24"/>
          <w:szCs w:val="24"/>
          <w:vertAlign w:val="superscript"/>
        </w:rPr>
        <w:t>3</w:t>
      </w:r>
      <w:r w:rsidR="0015441C" w:rsidRPr="00092862">
        <w:rPr>
          <w:rFonts w:ascii="Times New Roman" w:eastAsia="宋体" w:hAnsi="Times New Roman" w:cs="Times New Roman"/>
          <w:color w:val="000000" w:themeColor="text1"/>
          <w:sz w:val="24"/>
        </w:rPr>
        <w:t>，本项目依托已有放喷池</w:t>
      </w:r>
      <w:r w:rsidR="00AF09C6" w:rsidRPr="00092862">
        <w:rPr>
          <w:rFonts w:ascii="Times New Roman" w:eastAsia="宋体" w:hAnsi="Times New Roman" w:cs="Times New Roman"/>
          <w:color w:val="000000" w:themeColor="text1"/>
          <w:sz w:val="24"/>
        </w:rPr>
        <w:t>。各放喷池配</w:t>
      </w:r>
      <w:r w:rsidR="00AF09C6" w:rsidRPr="00092862">
        <w:rPr>
          <w:rFonts w:ascii="Times New Roman" w:eastAsia="宋体" w:hAnsi="Times New Roman" w:cs="Times New Roman"/>
          <w:color w:val="000000" w:themeColor="text1"/>
          <w:sz w:val="24"/>
        </w:rPr>
        <w:t>10m</w:t>
      </w:r>
      <w:r w:rsidR="00AF09C6" w:rsidRPr="00092862">
        <w:rPr>
          <w:rFonts w:ascii="Times New Roman" w:eastAsia="宋体" w:hAnsi="Times New Roman" w:cs="Times New Roman"/>
          <w:color w:val="000000" w:themeColor="text1"/>
          <w:sz w:val="24"/>
          <w:vertAlign w:val="superscript"/>
        </w:rPr>
        <w:t>3</w:t>
      </w:r>
      <w:r w:rsidR="00AF09C6" w:rsidRPr="00092862">
        <w:rPr>
          <w:rFonts w:ascii="Times New Roman" w:eastAsia="宋体" w:hAnsi="Times New Roman" w:cs="Times New Roman"/>
          <w:color w:val="000000" w:themeColor="text1"/>
          <w:sz w:val="24"/>
        </w:rPr>
        <w:t>集酸坑</w:t>
      </w:r>
      <w:r w:rsidR="00AF09C6" w:rsidRPr="00092862">
        <w:rPr>
          <w:rFonts w:ascii="Times New Roman" w:eastAsia="宋体" w:hAnsi="Times New Roman" w:cs="Times New Roman"/>
          <w:color w:val="000000" w:themeColor="text1"/>
          <w:sz w:val="24"/>
        </w:rPr>
        <w:t>1</w:t>
      </w:r>
      <w:r w:rsidR="00AF09C6" w:rsidRPr="00092862">
        <w:rPr>
          <w:rFonts w:ascii="Times New Roman" w:eastAsia="宋体" w:hAnsi="Times New Roman" w:cs="Times New Roman"/>
          <w:color w:val="000000" w:themeColor="text1"/>
          <w:sz w:val="24"/>
        </w:rPr>
        <w:t>座。放喷管使用双四通、二条放喷管线</w:t>
      </w:r>
      <w:r w:rsidR="00DC4F5B" w:rsidRPr="00092862">
        <w:rPr>
          <w:rFonts w:ascii="Times New Roman" w:eastAsia="宋体" w:hAnsi="Times New Roman" w:cs="Times New Roman"/>
          <w:color w:val="000000" w:themeColor="text1"/>
          <w:sz w:val="24"/>
        </w:rPr>
        <w:t>，放喷池具体结构图见图</w:t>
      </w:r>
      <w:r w:rsidR="00DC4F5B" w:rsidRPr="00092862">
        <w:rPr>
          <w:rFonts w:ascii="Times New Roman" w:eastAsia="宋体" w:hAnsi="Times New Roman" w:cs="Times New Roman"/>
          <w:color w:val="000000" w:themeColor="text1"/>
          <w:sz w:val="24"/>
        </w:rPr>
        <w:t>3.</w:t>
      </w:r>
      <w:r w:rsidR="00757C47" w:rsidRPr="00092862">
        <w:rPr>
          <w:rFonts w:ascii="Times New Roman" w:eastAsia="宋体" w:hAnsi="Times New Roman" w:cs="Times New Roman"/>
          <w:color w:val="000000" w:themeColor="text1"/>
          <w:sz w:val="24"/>
        </w:rPr>
        <w:t>3-</w:t>
      </w:r>
      <w:r w:rsidR="0015441C" w:rsidRPr="00092862">
        <w:rPr>
          <w:rFonts w:ascii="Times New Roman" w:eastAsia="宋体" w:hAnsi="Times New Roman" w:cs="Times New Roman"/>
          <w:color w:val="000000" w:themeColor="text1"/>
          <w:sz w:val="24"/>
        </w:rPr>
        <w:t>7</w:t>
      </w:r>
      <w:r w:rsidR="00DC4F5B" w:rsidRPr="00092862">
        <w:rPr>
          <w:rFonts w:ascii="Times New Roman" w:eastAsia="宋体" w:hAnsi="Times New Roman" w:cs="Times New Roman"/>
          <w:color w:val="000000" w:themeColor="text1"/>
          <w:sz w:val="24"/>
        </w:rPr>
        <w:t>。</w:t>
      </w:r>
    </w:p>
    <w:p w14:paraId="00C70DC2" w14:textId="77777777" w:rsidR="00DC4F5B" w:rsidRPr="00092862" w:rsidRDefault="00DC4F5B" w:rsidP="008C28E1">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4"/>
        </w:rPr>
        <w:object w:dxaOrig="15674" w:dyaOrig="5144" w14:anchorId="7136BD9E">
          <v:shape id="对象 194" o:spid="_x0000_i1026" type="#_x0000_t75" style="width:417.05pt;height:181.8pt;mso-position-horizontal-relative:page;mso-position-vertical-relative:page" o:ole="">
            <v:imagedata r:id="rId34" o:title=""/>
          </v:shape>
          <o:OLEObject Type="Embed" ProgID="Equation.3" ShapeID="对象 194" DrawAspect="Content" ObjectID="_1734854727" r:id="rId35"/>
        </w:object>
      </w:r>
      <w:r w:rsidRPr="00092862">
        <w:rPr>
          <w:rFonts w:ascii="Times New Roman" w:eastAsia="黑体" w:hAnsi="Times New Roman" w:cs="Times New Roman"/>
          <w:color w:val="000000" w:themeColor="text1"/>
          <w:szCs w:val="21"/>
        </w:rPr>
        <w:t>图</w:t>
      </w:r>
      <w:r w:rsidRPr="00092862">
        <w:rPr>
          <w:rFonts w:ascii="Times New Roman" w:eastAsia="黑体" w:hAnsi="Times New Roman" w:cs="Times New Roman"/>
          <w:color w:val="000000" w:themeColor="text1"/>
          <w:szCs w:val="21"/>
        </w:rPr>
        <w:t>3.</w:t>
      </w:r>
      <w:r w:rsidR="00757C47" w:rsidRPr="00092862">
        <w:rPr>
          <w:rFonts w:ascii="Times New Roman" w:eastAsia="黑体" w:hAnsi="Times New Roman" w:cs="Times New Roman"/>
          <w:color w:val="000000" w:themeColor="text1"/>
          <w:szCs w:val="21"/>
        </w:rPr>
        <w:t>3-</w:t>
      </w:r>
      <w:r w:rsidR="0015441C" w:rsidRPr="00092862">
        <w:rPr>
          <w:rFonts w:ascii="Times New Roman" w:eastAsia="黑体" w:hAnsi="Times New Roman" w:cs="Times New Roman"/>
          <w:color w:val="000000" w:themeColor="text1"/>
          <w:szCs w:val="21"/>
        </w:rPr>
        <w:t>7</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井场放喷池结构图</w:t>
      </w:r>
    </w:p>
    <w:p w14:paraId="6F676C71" w14:textId="77777777" w:rsidR="00DC4F5B" w:rsidRPr="00092862" w:rsidRDefault="00DC4F5B" w:rsidP="00757C47">
      <w:pPr>
        <w:overflowPunct w:val="0"/>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）分区防渗</w:t>
      </w:r>
    </w:p>
    <w:p w14:paraId="6DB82841" w14:textId="645756A4" w:rsidR="00DC4F5B" w:rsidRPr="00092862" w:rsidRDefault="00DC4F5B" w:rsidP="00757C47">
      <w:pPr>
        <w:overflowPunct w:val="0"/>
        <w:adjustRightInd w:val="0"/>
        <w:snapToGrid w:val="0"/>
        <w:spacing w:line="360" w:lineRule="auto"/>
        <w:ind w:firstLineChars="200" w:firstLine="480"/>
        <w:rPr>
          <w:rFonts w:ascii="Times New Roman" w:eastAsia="宋体" w:hAnsi="Times New Roman" w:cs="Times New Roman"/>
          <w:color w:val="000000" w:themeColor="text1"/>
          <w:sz w:val="24"/>
        </w:rPr>
      </w:pPr>
      <w:bookmarkStart w:id="111" w:name="_Hlk56241817"/>
      <w:r w:rsidRPr="00092862">
        <w:rPr>
          <w:rFonts w:ascii="Times New Roman" w:eastAsia="宋体" w:hAnsi="Times New Roman" w:cs="Times New Roman"/>
          <w:color w:val="000000" w:themeColor="text1"/>
          <w:sz w:val="24"/>
        </w:rPr>
        <w:t>本项目井场内除放喷池</w:t>
      </w:r>
      <w:r w:rsidR="00B967A8" w:rsidRPr="00092862">
        <w:rPr>
          <w:rFonts w:ascii="Times New Roman" w:eastAsia="宋体" w:hAnsi="Times New Roman" w:cs="Times New Roman"/>
          <w:color w:val="000000" w:themeColor="text1"/>
          <w:sz w:val="24"/>
        </w:rPr>
        <w:t>、污水池</w:t>
      </w:r>
      <w:r w:rsidRPr="00092862">
        <w:rPr>
          <w:rFonts w:ascii="Times New Roman" w:eastAsia="宋体" w:hAnsi="Times New Roman" w:cs="Times New Roman"/>
          <w:color w:val="000000" w:themeColor="text1"/>
          <w:sz w:val="24"/>
        </w:rPr>
        <w:t>外，主要存水和泥浆设备均为罐体，设置于防渗基础上，四周修建防渗沟，能有效防止废水、泥浆都撒漏进入外环境。</w:t>
      </w:r>
      <w:bookmarkEnd w:id="111"/>
      <w:r w:rsidR="00EA4054" w:rsidRPr="00092862">
        <w:rPr>
          <w:rFonts w:ascii="Times New Roman" w:eastAsia="宋体" w:hAnsi="Times New Roman" w:cs="Times New Roman"/>
          <w:color w:val="000000" w:themeColor="text1"/>
          <w:sz w:val="24"/>
          <w:szCs w:val="24"/>
        </w:rPr>
        <w:t>场地内场地内方井、泥浆循环系统区域、泥浆不落地系统区域（含油桶堆放区）、泥浆储备罐区、循环罐区、柴油罐区、放喷池、</w:t>
      </w:r>
      <w:r w:rsidR="00D774F2" w:rsidRPr="00092862">
        <w:rPr>
          <w:rFonts w:ascii="Times New Roman" w:eastAsia="宋体" w:hAnsi="Times New Roman" w:cs="Times New Roman"/>
          <w:color w:val="000000" w:themeColor="text1"/>
          <w:sz w:val="24"/>
          <w:szCs w:val="24"/>
        </w:rPr>
        <w:t>污水池</w:t>
      </w:r>
      <w:r w:rsidR="00006D9D" w:rsidRPr="00092862">
        <w:rPr>
          <w:rFonts w:ascii="Times New Roman" w:eastAsia="宋体" w:hAnsi="Times New Roman" w:cs="Times New Roman"/>
          <w:color w:val="000000" w:themeColor="text1"/>
          <w:sz w:val="24"/>
          <w:szCs w:val="24"/>
        </w:rPr>
        <w:t>、埋地管道</w:t>
      </w:r>
      <w:r w:rsidR="00EA4054" w:rsidRPr="00092862">
        <w:rPr>
          <w:rFonts w:ascii="Times New Roman" w:eastAsia="宋体" w:hAnsi="Times New Roman" w:cs="Times New Roman"/>
          <w:color w:val="000000" w:themeColor="text1"/>
          <w:sz w:val="24"/>
          <w:szCs w:val="24"/>
        </w:rPr>
        <w:t>等采取重点防渗措施；井架基础、发电机房</w:t>
      </w:r>
      <w:r w:rsidR="0017502F" w:rsidRPr="00092862">
        <w:rPr>
          <w:rFonts w:ascii="Times New Roman" w:eastAsia="宋体" w:hAnsi="Times New Roman" w:cs="Times New Roman"/>
          <w:color w:val="000000" w:themeColor="text1"/>
          <w:sz w:val="24"/>
          <w:szCs w:val="24"/>
        </w:rPr>
        <w:t>、钻井固废暂存区</w:t>
      </w:r>
      <w:r w:rsidR="00EA4054" w:rsidRPr="00092862">
        <w:rPr>
          <w:rFonts w:ascii="Times New Roman" w:eastAsia="宋体" w:hAnsi="Times New Roman" w:cs="Times New Roman"/>
          <w:color w:val="000000" w:themeColor="text1"/>
          <w:sz w:val="24"/>
          <w:szCs w:val="24"/>
        </w:rPr>
        <w:t>、</w:t>
      </w:r>
      <w:r w:rsidR="0017502F" w:rsidRPr="00092862">
        <w:rPr>
          <w:rFonts w:ascii="Times New Roman" w:eastAsia="宋体" w:hAnsi="Times New Roman" w:cs="Times New Roman"/>
          <w:color w:val="000000" w:themeColor="text1"/>
          <w:sz w:val="24"/>
          <w:szCs w:val="24"/>
        </w:rPr>
        <w:t>气源房</w:t>
      </w:r>
      <w:r w:rsidR="00EA4054" w:rsidRPr="00092862">
        <w:rPr>
          <w:rFonts w:ascii="Times New Roman" w:eastAsia="宋体" w:hAnsi="Times New Roman" w:cs="Times New Roman"/>
          <w:color w:val="000000" w:themeColor="text1"/>
          <w:sz w:val="24"/>
          <w:szCs w:val="24"/>
        </w:rPr>
        <w:t>、材料棚、雨、污分流区域以及厕所等区域采取一般防渗措施；其他区域等采取简单防渗措施。</w:t>
      </w:r>
    </w:p>
    <w:p w14:paraId="4FDC50AF" w14:textId="77777777" w:rsidR="00DC4F5B" w:rsidRPr="00092862" w:rsidRDefault="00DC4F5B" w:rsidP="00964A71">
      <w:pPr>
        <w:overflowPunct w:val="0"/>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）设备设施的搬运及安装</w:t>
      </w:r>
    </w:p>
    <w:p w14:paraId="52101853" w14:textId="77777777" w:rsidR="00DC4F5B" w:rsidRPr="00092862" w:rsidRDefault="00DC4F5B" w:rsidP="00964A71">
      <w:pPr>
        <w:overflowPunct w:val="0"/>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用汽车将钻井设备和泥浆罐、泥浆不落地装置等设施运至进场并安装，通常</w:t>
      </w:r>
      <w:r w:rsidRPr="00092862">
        <w:rPr>
          <w:rFonts w:ascii="Times New Roman" w:eastAsia="宋体" w:hAnsi="Times New Roman" w:cs="Times New Roman"/>
          <w:color w:val="000000" w:themeColor="text1"/>
          <w:sz w:val="24"/>
        </w:rPr>
        <w:t>2~5</w:t>
      </w:r>
      <w:r w:rsidRPr="00092862">
        <w:rPr>
          <w:rFonts w:ascii="Times New Roman" w:eastAsia="宋体" w:hAnsi="Times New Roman" w:cs="Times New Roman"/>
          <w:color w:val="000000" w:themeColor="text1"/>
          <w:sz w:val="24"/>
        </w:rPr>
        <w:t>天安装完毕。</w:t>
      </w:r>
    </w:p>
    <w:p w14:paraId="4C685EA9" w14:textId="77777777" w:rsidR="00964A71" w:rsidRPr="00092862" w:rsidRDefault="00964A71" w:rsidP="00964A71">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）钻前工程产污环节分析</w:t>
      </w:r>
    </w:p>
    <w:p w14:paraId="5B045BA0"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）生态影响</w:t>
      </w:r>
    </w:p>
    <w:p w14:paraId="513BE7FC" w14:textId="7BDC279F" w:rsidR="00964A71" w:rsidRPr="00092862" w:rsidRDefault="0015441C" w:rsidP="00964A7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w:t>
      </w:r>
      <w:r w:rsidR="007F03A2" w:rsidRPr="00092862">
        <w:rPr>
          <w:rFonts w:ascii="Times New Roman" w:eastAsia="宋体" w:hAnsi="Times New Roman" w:cs="Times New Roman"/>
          <w:bCs/>
          <w:color w:val="000000" w:themeColor="text1"/>
          <w:sz w:val="24"/>
          <w:szCs w:val="24"/>
        </w:rPr>
        <w:t>为新建</w:t>
      </w:r>
      <w:r w:rsidRPr="00092862">
        <w:rPr>
          <w:rFonts w:ascii="Times New Roman" w:eastAsia="宋体" w:hAnsi="Times New Roman" w:cs="Times New Roman"/>
          <w:bCs/>
          <w:color w:val="000000" w:themeColor="text1"/>
          <w:sz w:val="24"/>
          <w:szCs w:val="24"/>
        </w:rPr>
        <w:t>，</w:t>
      </w:r>
      <w:r w:rsidR="009B7B20" w:rsidRPr="00092862">
        <w:rPr>
          <w:rFonts w:ascii="Times New Roman" w:eastAsia="宋体" w:hAnsi="Times New Roman" w:cs="Times New Roman"/>
          <w:bCs/>
          <w:color w:val="000000" w:themeColor="text1"/>
          <w:sz w:val="24"/>
          <w:szCs w:val="24"/>
        </w:rPr>
        <w:t>属于永久占地。</w:t>
      </w:r>
      <w:r w:rsidR="00D851E8" w:rsidRPr="00092862">
        <w:rPr>
          <w:rFonts w:ascii="Times New Roman" w:eastAsia="宋体" w:hAnsi="Times New Roman" w:cs="Times New Roman"/>
          <w:bCs/>
          <w:color w:val="000000" w:themeColor="text1"/>
          <w:sz w:val="24"/>
          <w:szCs w:val="24"/>
        </w:rPr>
        <w:t>本项目仅施工期生活区临时占地为新增占地</w:t>
      </w:r>
      <w:r w:rsidR="009B7B20" w:rsidRPr="00092862">
        <w:rPr>
          <w:rFonts w:ascii="Times New Roman" w:eastAsia="宋体" w:hAnsi="Times New Roman" w:cs="Times New Roman"/>
          <w:bCs/>
          <w:color w:val="000000" w:themeColor="text1"/>
          <w:sz w:val="24"/>
          <w:szCs w:val="24"/>
        </w:rPr>
        <w:t>，主要占用</w:t>
      </w:r>
      <w:r w:rsidR="00077D71" w:rsidRPr="00092862">
        <w:rPr>
          <w:rFonts w:ascii="Times New Roman" w:eastAsia="宋体" w:hAnsi="Times New Roman" w:cs="Times New Roman"/>
          <w:bCs/>
          <w:color w:val="000000" w:themeColor="text1"/>
          <w:sz w:val="24"/>
          <w:szCs w:val="24"/>
        </w:rPr>
        <w:t>原有生活区复垦的耕地</w:t>
      </w:r>
      <w:r w:rsidRPr="00092862">
        <w:rPr>
          <w:rFonts w:ascii="Times New Roman" w:eastAsia="宋体" w:hAnsi="Times New Roman" w:cs="Times New Roman"/>
          <w:bCs/>
          <w:color w:val="000000" w:themeColor="text1"/>
          <w:sz w:val="24"/>
          <w:szCs w:val="24"/>
        </w:rPr>
        <w:t>，</w:t>
      </w:r>
      <w:r w:rsidR="00964A71" w:rsidRPr="00092862">
        <w:rPr>
          <w:rFonts w:ascii="Times New Roman" w:eastAsia="宋体" w:hAnsi="Times New Roman" w:cs="Times New Roman"/>
          <w:bCs/>
          <w:color w:val="000000" w:themeColor="text1"/>
          <w:sz w:val="24"/>
          <w:szCs w:val="24"/>
        </w:rPr>
        <w:t>改变土地使用功能，将造成地表裸露，形成水土流失。</w:t>
      </w:r>
    </w:p>
    <w:p w14:paraId="023F86BE"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）污染影响</w:t>
      </w:r>
    </w:p>
    <w:p w14:paraId="5A20D27B" w14:textId="77777777" w:rsidR="00F659C5" w:rsidRPr="00092862" w:rsidRDefault="00964A71" w:rsidP="00964A7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钻前工程污染物有机械废气和施工扬尘、生活污水、施工噪声和生活垃圾。</w:t>
      </w:r>
    </w:p>
    <w:p w14:paraId="3837A003" w14:textId="3B868610" w:rsidR="00964A71" w:rsidRPr="00092862" w:rsidRDefault="00D851E8" w:rsidP="00D851E8">
      <w:pPr>
        <w:adjustRightInd w:val="0"/>
        <w:snapToGrid w:val="0"/>
        <w:spacing w:line="360" w:lineRule="auto"/>
        <w:ind w:firstLineChars="200" w:firstLine="480"/>
        <w:outlineLvl w:val="3"/>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3.3.1.2</w:t>
      </w:r>
      <w:r w:rsidR="00964A71" w:rsidRPr="00092862">
        <w:rPr>
          <w:rFonts w:ascii="Times New Roman" w:eastAsia="宋体" w:hAnsi="Times New Roman" w:cs="Times New Roman"/>
          <w:color w:val="000000" w:themeColor="text1"/>
          <w:sz w:val="24"/>
        </w:rPr>
        <w:t>钻井工程</w:t>
      </w:r>
    </w:p>
    <w:p w14:paraId="49027013" w14:textId="7CBB6109"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钻井工程是本项目施工期最主要的施工活动之一，主要包括钻井、固井、完井阶段。</w:t>
      </w:r>
      <w:r w:rsidR="00FE5317" w:rsidRPr="00092862">
        <w:rPr>
          <w:rFonts w:ascii="Times New Roman" w:eastAsia="宋体" w:hAnsi="Times New Roman" w:cs="Times New Roman"/>
          <w:color w:val="000000" w:themeColor="text1"/>
          <w:sz w:val="24"/>
        </w:rPr>
        <w:t>钻井</w:t>
      </w:r>
      <w:r w:rsidRPr="00092862">
        <w:rPr>
          <w:rFonts w:ascii="Times New Roman" w:eastAsia="宋体" w:hAnsi="Times New Roman" w:cs="Times New Roman"/>
          <w:color w:val="000000" w:themeColor="text1"/>
          <w:sz w:val="24"/>
        </w:rPr>
        <w:t>工程以网电为动力（备用柴油发电机），通过钻机、转盘，带动钻头切削地层，同时由泥浆泵经钻杆向井内注入高压泥浆，冲刷井底，将切削下的岩屑不断带至地面，整个过程循环进行，直至目的井深；钻井中途需要停钻，以便起下钻具更换钻头、下套管、固井、替换洗井液和检修设备；当钻井钻至目的层位后即可进入完井阶段，完井阶段采用的是衬管完井（备用裸眼），然后再进行压裂作业，以实现储层改造。钻井作业</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小时连续作业。</w:t>
      </w:r>
    </w:p>
    <w:p w14:paraId="7D9272B3" w14:textId="77777777" w:rsidR="00964A71" w:rsidRPr="00092862" w:rsidRDefault="00964A71" w:rsidP="00964A71">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）钻井工程工艺流程简述</w:t>
      </w:r>
    </w:p>
    <w:p w14:paraId="76472925" w14:textId="1AA5EA4D" w:rsidR="00FF28F1" w:rsidRPr="00092862" w:rsidRDefault="00FF28F1" w:rsidP="00FF28F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本项目钻井方式</w:t>
      </w:r>
      <w:r w:rsidR="0021226B" w:rsidRPr="00092862">
        <w:rPr>
          <w:rFonts w:ascii="Times New Roman" w:eastAsia="宋体" w:hAnsi="Times New Roman" w:cs="Times New Roman"/>
          <w:color w:val="000000" w:themeColor="text1"/>
          <w:sz w:val="24"/>
        </w:rPr>
        <w:t>为</w:t>
      </w:r>
      <w:r w:rsidRPr="00092862">
        <w:rPr>
          <w:rFonts w:ascii="Times New Roman" w:eastAsia="宋体" w:hAnsi="Times New Roman" w:cs="Times New Roman"/>
          <w:color w:val="000000" w:themeColor="text1"/>
          <w:sz w:val="24"/>
        </w:rPr>
        <w:t>泥浆钻井方式</w:t>
      </w:r>
      <w:r w:rsidR="0021226B"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采用水基泥浆钻井</w:t>
      </w:r>
      <w:r w:rsidR="0021226B" w:rsidRPr="00092862">
        <w:rPr>
          <w:rFonts w:ascii="Times New Roman" w:eastAsia="宋体" w:hAnsi="Times New Roman" w:cs="Times New Roman"/>
          <w:color w:val="000000" w:themeColor="text1"/>
          <w:sz w:val="24"/>
        </w:rPr>
        <w:t>（本项目仅涉及</w:t>
      </w:r>
      <w:r w:rsidR="0019648E" w:rsidRPr="00092862">
        <w:rPr>
          <w:rFonts w:ascii="Times New Roman" w:eastAsia="宋体" w:hAnsi="Times New Roman" w:cs="Times New Roman"/>
          <w:color w:val="000000" w:themeColor="text1"/>
          <w:sz w:val="24"/>
        </w:rPr>
        <w:t>钻井</w:t>
      </w:r>
      <w:r w:rsidR="0021226B" w:rsidRPr="00092862">
        <w:rPr>
          <w:rFonts w:ascii="Times New Roman" w:eastAsia="宋体" w:hAnsi="Times New Roman" w:cs="Times New Roman"/>
          <w:color w:val="000000" w:themeColor="text1"/>
          <w:sz w:val="24"/>
        </w:rPr>
        <w:t>段钻井）</w:t>
      </w:r>
      <w:r w:rsidRPr="00092862">
        <w:rPr>
          <w:rFonts w:ascii="Times New Roman" w:eastAsia="宋体" w:hAnsi="Times New Roman" w:cs="Times New Roman"/>
          <w:color w:val="000000" w:themeColor="text1"/>
          <w:sz w:val="24"/>
        </w:rPr>
        <w:t>，钻井工艺流程及产污环节见图</w:t>
      </w:r>
      <w:r w:rsidRPr="00092862">
        <w:rPr>
          <w:rFonts w:ascii="Times New Roman" w:eastAsia="宋体" w:hAnsi="Times New Roman" w:cs="Times New Roman"/>
          <w:color w:val="000000" w:themeColor="text1"/>
          <w:sz w:val="24"/>
        </w:rPr>
        <w:t>3.3-</w:t>
      </w:r>
      <w:r w:rsidR="0015441C"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w:t>
      </w:r>
    </w:p>
    <w:p w14:paraId="230274D7" w14:textId="77777777" w:rsidR="0047306D" w:rsidRPr="00092862" w:rsidRDefault="0047306D" w:rsidP="00FF28F1">
      <w:pPr>
        <w:snapToGrid w:val="0"/>
        <w:spacing w:line="360" w:lineRule="auto"/>
        <w:jc w:val="center"/>
        <w:rPr>
          <w:rFonts w:ascii="Times New Roman" w:hAnsi="Times New Roman" w:cs="Times New Roman"/>
          <w:color w:val="000000" w:themeColor="text1"/>
          <w:szCs w:val="24"/>
        </w:rPr>
        <w:sectPr w:rsidR="0047306D" w:rsidRPr="00092862" w:rsidSect="00D8307F">
          <w:headerReference w:type="default" r:id="rId36"/>
          <w:pgSz w:w="11910" w:h="16840"/>
          <w:pgMar w:top="1440" w:right="1800" w:bottom="1440" w:left="1800" w:header="0" w:footer="632" w:gutter="0"/>
          <w:cols w:space="720"/>
        </w:sectPr>
      </w:pPr>
    </w:p>
    <w:p w14:paraId="30493472" w14:textId="3AA270D3" w:rsidR="0047306D" w:rsidRPr="00092862" w:rsidRDefault="00D851E8" w:rsidP="0047306D">
      <w:pPr>
        <w:snapToGrid w:val="0"/>
        <w:spacing w:line="360" w:lineRule="auto"/>
        <w:jc w:val="center"/>
        <w:rPr>
          <w:rFonts w:ascii="Times New Roman" w:hAnsi="Times New Roman" w:cs="Times New Roman"/>
          <w:color w:val="000000" w:themeColor="text1"/>
          <w:szCs w:val="24"/>
        </w:rPr>
      </w:pPr>
      <w:r w:rsidRPr="00092862">
        <w:rPr>
          <w:rFonts w:ascii="Times New Roman" w:hAnsi="Times New Roman" w:cs="Times New Roman"/>
          <w:noProof/>
          <w:color w:val="000000" w:themeColor="text1"/>
        </w:rPr>
        <w:lastRenderedPageBreak/>
        <mc:AlternateContent>
          <mc:Choice Requires="wps">
            <w:drawing>
              <wp:anchor distT="0" distB="0" distL="114300" distR="114300" simplePos="0" relativeHeight="252169216" behindDoc="0" locked="0" layoutInCell="1" allowOverlap="1" wp14:anchorId="04CF1790" wp14:editId="3612A9EE">
                <wp:simplePos x="0" y="0"/>
                <wp:positionH relativeFrom="column">
                  <wp:posOffset>3575098</wp:posOffset>
                </wp:positionH>
                <wp:positionV relativeFrom="paragraph">
                  <wp:posOffset>3442750</wp:posOffset>
                </wp:positionV>
                <wp:extent cx="1553792" cy="295633"/>
                <wp:effectExtent l="0" t="0" r="27940" b="28575"/>
                <wp:wrapNone/>
                <wp:docPr id="91926" name="文本框 91926"/>
                <wp:cNvGraphicFramePr/>
                <a:graphic xmlns:a="http://schemas.openxmlformats.org/drawingml/2006/main">
                  <a:graphicData uri="http://schemas.microsoft.com/office/word/2010/wordprocessingShape">
                    <wps:wsp>
                      <wps:cNvSpPr txBox="1"/>
                      <wps:spPr bwMode="auto">
                        <a:xfrm>
                          <a:off x="0" y="0"/>
                          <a:ext cx="1553792" cy="295633"/>
                        </a:xfrm>
                        <a:prstGeom prst="rect">
                          <a:avLst/>
                        </a:prstGeom>
                        <a:solidFill>
                          <a:schemeClr val="accent1">
                            <a:lumMod val="40000"/>
                            <a:lumOff val="60000"/>
                          </a:schemeClr>
                        </a:solidFill>
                        <a:ln w="9525">
                          <a:solidFill>
                            <a:srgbClr val="000000"/>
                          </a:solidFill>
                          <a:miter lim="800000"/>
                          <a:headEnd/>
                          <a:tailEnd/>
                        </a:ln>
                      </wps:spPr>
                      <wps:txbx>
                        <w:txbxContent>
                          <w:p w14:paraId="2456A83D" w14:textId="17ACDA7B" w:rsidR="00D851E8" w:rsidRDefault="00D851E8">
                            <w:r w:rsidRPr="00D851E8">
                              <w:rPr>
                                <w:rFonts w:hint="eastAsia"/>
                              </w:rPr>
                              <w:t>普光11井回注站回注</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4CF1790" id="文本框 91926" o:spid="_x0000_s1052" type="#_x0000_t202" style="position:absolute;left:0;text-align:left;margin-left:281.5pt;margin-top:271.1pt;width:122.35pt;height:23.3pt;z-index:25216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" fillcolor="#b4c6e7 [1300]">
                <v:textbox>
                  <w:txbxContent>
                    <w:p w14:paraId="2456A83D" w14:textId="17ACDA7B" w:rsidR="00D851E8" w:rsidRDefault="00D851E8">
                      <w:r w:rsidRPr="00D851E8">
                        <w:rPr>
                          <w:rFonts w:hint="eastAsia"/>
                        </w:rPr>
                        <w:t>普光11井回注站回注</w:t>
                      </w:r>
                    </w:p>
                  </w:txbxContent>
                </v:textbox>
              </v:shape>
            </w:pict>
          </mc:Fallback>
        </mc:AlternateContent>
      </w:r>
      <w:r w:rsidR="004D4E49" w:rsidRPr="00092862">
        <w:rPr>
          <w:rFonts w:ascii="Times New Roman" w:hAnsi="Times New Roman" w:cs="Times New Roman"/>
          <w:noProof/>
          <w:color w:val="000000" w:themeColor="text1"/>
        </w:rPr>
        <w:drawing>
          <wp:inline distT="0" distB="0" distL="0" distR="0" wp14:anchorId="0319FA2B" wp14:editId="04E9EA83">
            <wp:extent cx="8687789" cy="3858400"/>
            <wp:effectExtent l="0" t="0" r="0" b="889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707422" cy="3867119"/>
                    </a:xfrm>
                    <a:prstGeom prst="rect">
                      <a:avLst/>
                    </a:prstGeom>
                    <a:noFill/>
                    <a:ln>
                      <a:noFill/>
                    </a:ln>
                  </pic:spPr>
                </pic:pic>
              </a:graphicData>
            </a:graphic>
          </wp:inline>
        </w:drawing>
      </w:r>
    </w:p>
    <w:p w14:paraId="036DD92D" w14:textId="77777777" w:rsidR="00FF28F1" w:rsidRPr="00092862" w:rsidRDefault="00FF28F1" w:rsidP="008C28E1">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Pr="00092862">
        <w:rPr>
          <w:rFonts w:ascii="Times New Roman" w:eastAsia="黑体" w:hAnsi="Times New Roman" w:cs="Times New Roman"/>
          <w:color w:val="000000" w:themeColor="text1"/>
          <w:szCs w:val="21"/>
        </w:rPr>
        <w:t>3.3-</w:t>
      </w:r>
      <w:r w:rsidR="0015441C" w:rsidRPr="00092862">
        <w:rPr>
          <w:rFonts w:ascii="Times New Roman" w:eastAsia="黑体" w:hAnsi="Times New Roman" w:cs="Times New Roman"/>
          <w:color w:val="000000" w:themeColor="text1"/>
          <w:szCs w:val="21"/>
        </w:rPr>
        <w:t>8</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钻井工程工艺流程及产污环节图</w:t>
      </w:r>
    </w:p>
    <w:p w14:paraId="28314C12" w14:textId="77777777" w:rsidR="0047306D" w:rsidRPr="00092862" w:rsidRDefault="0047306D" w:rsidP="00FF28F1">
      <w:pPr>
        <w:snapToGrid w:val="0"/>
        <w:spacing w:line="360" w:lineRule="auto"/>
        <w:jc w:val="center"/>
        <w:rPr>
          <w:rFonts w:ascii="Times New Roman" w:hAnsi="Times New Roman" w:cs="Times New Roman"/>
          <w:color w:val="000000" w:themeColor="text1"/>
          <w:szCs w:val="24"/>
        </w:rPr>
        <w:sectPr w:rsidR="0047306D" w:rsidRPr="00092862" w:rsidSect="0047306D">
          <w:headerReference w:type="default" r:id="rId38"/>
          <w:pgSz w:w="16840" w:h="11910" w:orient="landscape"/>
          <w:pgMar w:top="1800" w:right="1440" w:bottom="1800" w:left="1440" w:header="0" w:footer="632" w:gutter="0"/>
          <w:cols w:space="720"/>
          <w:docGrid w:linePitch="299"/>
        </w:sectPr>
      </w:pPr>
    </w:p>
    <w:p w14:paraId="06401546"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1</w:t>
      </w:r>
      <w:r w:rsidRPr="00092862">
        <w:rPr>
          <w:rFonts w:ascii="Times New Roman" w:eastAsia="宋体" w:hAnsi="Times New Roman" w:cs="Times New Roman"/>
          <w:color w:val="000000" w:themeColor="text1"/>
          <w:sz w:val="24"/>
        </w:rPr>
        <w:t>）钻井</w:t>
      </w:r>
    </w:p>
    <w:p w14:paraId="637CE3E3" w14:textId="775A73B1"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本工程采用常规钻井工艺</w:t>
      </w:r>
      <w:r w:rsidR="00D851E8" w:rsidRPr="00092862">
        <w:rPr>
          <w:rFonts w:ascii="Times New Roman" w:eastAsia="宋体" w:hAnsi="Times New Roman" w:cs="Times New Roman"/>
          <w:color w:val="000000" w:themeColor="text1"/>
          <w:sz w:val="24"/>
        </w:rPr>
        <w:t>，单钻机依次钻井</w:t>
      </w:r>
      <w:r w:rsidRPr="00092862">
        <w:rPr>
          <w:rFonts w:ascii="Times New Roman" w:eastAsia="宋体" w:hAnsi="Times New Roman" w:cs="Times New Roman"/>
          <w:color w:val="000000" w:themeColor="text1"/>
          <w:sz w:val="24"/>
        </w:rPr>
        <w:t>，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钻井工艺设备组成示意见图</w:t>
      </w:r>
      <w:r w:rsidR="009D6570" w:rsidRPr="00092862">
        <w:rPr>
          <w:rFonts w:ascii="Times New Roman" w:eastAsia="宋体" w:hAnsi="Times New Roman" w:cs="Times New Roman"/>
          <w:color w:val="000000" w:themeColor="text1"/>
          <w:sz w:val="24"/>
        </w:rPr>
        <w:t>3.3-</w:t>
      </w:r>
      <w:r w:rsidR="0015441C" w:rsidRPr="00092862">
        <w:rPr>
          <w:rFonts w:ascii="Times New Roman" w:eastAsia="宋体" w:hAnsi="Times New Roman" w:cs="Times New Roman"/>
          <w:color w:val="000000" w:themeColor="text1"/>
          <w:sz w:val="24"/>
        </w:rPr>
        <w:t>9</w:t>
      </w:r>
      <w:r w:rsidRPr="00092862">
        <w:rPr>
          <w:rFonts w:ascii="Times New Roman" w:eastAsia="宋体" w:hAnsi="Times New Roman" w:cs="Times New Roman"/>
          <w:color w:val="000000" w:themeColor="text1"/>
          <w:sz w:val="24"/>
        </w:rPr>
        <w:t>。</w:t>
      </w:r>
    </w:p>
    <w:p w14:paraId="493F63EA" w14:textId="77777777" w:rsidR="00964A71" w:rsidRPr="00092862" w:rsidRDefault="00964A71" w:rsidP="008C28E1">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noProof/>
          <w:color w:val="000000" w:themeColor="text1"/>
          <w:szCs w:val="21"/>
        </w:rPr>
        <w:drawing>
          <wp:inline distT="0" distB="0" distL="0" distR="0" wp14:anchorId="4D607870" wp14:editId="08F939EE">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9">
                      <a:extLst>
                        <a:ext uri="{28A0092B-C50C-407E-A947-70E740481C1C}">
                          <a14:useLocalDpi xmlns:a14="http://schemas.microsoft.com/office/drawing/2010/main" val="0"/>
                        </a:ext>
                      </a:extLst>
                    </a:blip>
                    <a:srcRect l="22397"/>
                    <a:stretch>
                      <a:fillRect/>
                    </a:stretch>
                  </pic:blipFill>
                  <pic:spPr bwMode="auto">
                    <a:xfrm>
                      <a:off x="0" y="0"/>
                      <a:ext cx="2576830" cy="3432175"/>
                    </a:xfrm>
                    <a:prstGeom prst="rect">
                      <a:avLst/>
                    </a:prstGeom>
                    <a:noFill/>
                    <a:ln>
                      <a:noFill/>
                    </a:ln>
                  </pic:spPr>
                </pic:pic>
              </a:graphicData>
            </a:graphic>
          </wp:inline>
        </w:drawing>
      </w:r>
    </w:p>
    <w:p w14:paraId="1FE8E9CB" w14:textId="77777777" w:rsidR="00964A71" w:rsidRPr="00092862" w:rsidRDefault="00964A71" w:rsidP="008C28E1">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9D6570" w:rsidRPr="00092862">
        <w:rPr>
          <w:rFonts w:ascii="Times New Roman" w:eastAsia="黑体" w:hAnsi="Times New Roman" w:cs="Times New Roman"/>
          <w:color w:val="000000" w:themeColor="text1"/>
          <w:szCs w:val="21"/>
        </w:rPr>
        <w:t>3.3-</w:t>
      </w:r>
      <w:r w:rsidR="006A6E79" w:rsidRPr="00092862">
        <w:rPr>
          <w:rFonts w:ascii="Times New Roman" w:eastAsia="黑体" w:hAnsi="Times New Roman" w:cs="Times New Roman"/>
          <w:color w:val="000000" w:themeColor="text1"/>
          <w:szCs w:val="21"/>
        </w:rPr>
        <w:t>9</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钻井工艺设备组成示意图</w:t>
      </w:r>
    </w:p>
    <w:p w14:paraId="455DC5CC" w14:textId="77777777" w:rsidR="00964A71" w:rsidRPr="00092862" w:rsidRDefault="00964A71" w:rsidP="006A6E7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）钻井液循环系统</w:t>
      </w:r>
    </w:p>
    <w:p w14:paraId="3979EDAA" w14:textId="55E4D6C6" w:rsidR="00420541" w:rsidRPr="00092862" w:rsidRDefault="00964A71" w:rsidP="006A6E7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泥浆系统是钻井工程的核心部分，钻井泥浆分为可生物降解、水基、油基三种，清洁性能依次减弱。本工程采用的钻井泥浆均为水基钻井泥浆，在三种钻井泥浆体系中属于中等清洁产品，不含重金属物质。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r w:rsidR="000F0E12" w:rsidRPr="00092862">
        <w:rPr>
          <w:rFonts w:ascii="Times New Roman" w:eastAsia="宋体" w:hAnsi="Times New Roman" w:cs="Times New Roman"/>
          <w:color w:val="000000" w:themeColor="text1"/>
          <w:sz w:val="24"/>
        </w:rPr>
        <w:t>。</w:t>
      </w:r>
    </w:p>
    <w:p w14:paraId="159F6256" w14:textId="0DE6BA99" w:rsidR="00420541" w:rsidRPr="00092862" w:rsidRDefault="00964A71" w:rsidP="006A6E7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钻井泥浆泵经钻杆向井内注入高压钻井泥浆，通过钻头挤入井底，冲刷井底，将钻头切削下的岩屑不断地带至地面，通过泥浆循环系统实现泥浆与岩屑的分离，回收泥浆进入泥浆罐再利用。本项目</w:t>
      </w:r>
      <w:r w:rsidR="000F0E12" w:rsidRPr="00092862">
        <w:rPr>
          <w:rFonts w:ascii="Times New Roman" w:eastAsia="宋体" w:hAnsi="Times New Roman" w:cs="Times New Roman"/>
          <w:color w:val="000000" w:themeColor="text1"/>
          <w:sz w:val="24"/>
        </w:rPr>
        <w:t>仅涉及深层</w:t>
      </w:r>
      <w:r w:rsidR="0019648E" w:rsidRPr="00092862">
        <w:rPr>
          <w:rFonts w:ascii="Times New Roman" w:eastAsia="宋体" w:hAnsi="Times New Roman" w:cs="Times New Roman"/>
          <w:color w:val="000000" w:themeColor="text1"/>
          <w:sz w:val="24"/>
        </w:rPr>
        <w:t>钻井</w:t>
      </w:r>
      <w:r w:rsidRPr="00092862">
        <w:rPr>
          <w:rFonts w:ascii="Times New Roman" w:eastAsia="宋体" w:hAnsi="Times New Roman" w:cs="Times New Roman"/>
          <w:color w:val="000000" w:themeColor="text1"/>
          <w:sz w:val="24"/>
        </w:rPr>
        <w:t>；使用水基钻井</w:t>
      </w:r>
      <w:r w:rsidRPr="00092862">
        <w:rPr>
          <w:rFonts w:ascii="Times New Roman" w:eastAsia="宋体" w:hAnsi="Times New Roman" w:cs="Times New Roman"/>
          <w:color w:val="000000" w:themeColor="text1"/>
          <w:sz w:val="24"/>
        </w:rPr>
        <w:lastRenderedPageBreak/>
        <w:t>液钻井，有利于降低作业成本，减少对地层污染。钻井过程严格按照</w:t>
      </w:r>
      <w:r w:rsidR="000F0E12" w:rsidRPr="00092862">
        <w:rPr>
          <w:rFonts w:ascii="Times New Roman" w:eastAsia="宋体" w:hAnsi="Times New Roman" w:cs="Times New Roman"/>
          <w:color w:val="000000" w:themeColor="text1"/>
          <w:sz w:val="24"/>
        </w:rPr>
        <w:t>中国石油化工股份有限公司中原油田普光分公司</w:t>
      </w:r>
      <w:r w:rsidRPr="00092862">
        <w:rPr>
          <w:rFonts w:ascii="Times New Roman" w:eastAsia="宋体" w:hAnsi="Times New Roman" w:cs="Times New Roman"/>
          <w:color w:val="000000" w:themeColor="text1"/>
          <w:sz w:val="24"/>
        </w:rPr>
        <w:t>钻井作业指导书进行，强化泥浆的循环利用率。</w:t>
      </w:r>
      <w:bookmarkStart w:id="112" w:name="_Hlk90917264"/>
      <w:r w:rsidR="007162B5" w:rsidRPr="00092862">
        <w:rPr>
          <w:rFonts w:ascii="Times New Roman" w:eastAsia="宋体" w:hAnsi="Times New Roman" w:cs="Times New Roman"/>
          <w:color w:val="000000" w:themeColor="text1"/>
          <w:sz w:val="24"/>
        </w:rPr>
        <w:t>完井后泥浆循环系统中产生的合格泥浆暂存在泥浆储备罐内，用于区域内其他井水基泥浆配置。钻井过程中产生的废弃泥浆通过现场泥浆不落地工艺进行固液分离，</w:t>
      </w:r>
      <w:r w:rsidR="00A431B1" w:rsidRPr="00092862">
        <w:rPr>
          <w:rFonts w:ascii="Times New Roman" w:eastAsia="宋体" w:hAnsi="Times New Roman" w:cs="Times New Roman"/>
          <w:color w:val="000000" w:themeColor="text1"/>
          <w:sz w:val="24"/>
        </w:rPr>
        <w:t>回收上清液用于泥浆配置，剩余废水经预处理后由罐车拉运至</w:t>
      </w:r>
      <w:r w:rsidR="005D5A22" w:rsidRPr="00092862">
        <w:rPr>
          <w:rFonts w:ascii="Times New Roman" w:eastAsia="宋体" w:hAnsi="Times New Roman" w:cs="Times New Roman"/>
          <w:color w:val="000000" w:themeColor="text1"/>
          <w:sz w:val="24"/>
        </w:rPr>
        <w:t>赵家坝污水处理站达标后管输至普光</w:t>
      </w:r>
      <w:r w:rsidR="005D5A22" w:rsidRPr="00092862">
        <w:rPr>
          <w:rFonts w:ascii="Times New Roman" w:eastAsia="宋体" w:hAnsi="Times New Roman" w:cs="Times New Roman"/>
          <w:color w:val="000000" w:themeColor="text1"/>
          <w:sz w:val="24"/>
        </w:rPr>
        <w:t>11</w:t>
      </w:r>
      <w:r w:rsidR="005D5A22" w:rsidRPr="00092862">
        <w:rPr>
          <w:rFonts w:ascii="Times New Roman" w:eastAsia="宋体" w:hAnsi="Times New Roman" w:cs="Times New Roman"/>
          <w:color w:val="000000" w:themeColor="text1"/>
          <w:sz w:val="24"/>
        </w:rPr>
        <w:t>井回注站回注</w:t>
      </w:r>
      <w:r w:rsidR="00A431B1" w:rsidRPr="00092862">
        <w:rPr>
          <w:rFonts w:ascii="Times New Roman" w:eastAsia="宋体" w:hAnsi="Times New Roman" w:cs="Times New Roman"/>
          <w:color w:val="000000" w:themeColor="text1"/>
          <w:sz w:val="24"/>
        </w:rPr>
        <w:t>，不外排；</w:t>
      </w:r>
      <w:r w:rsidR="007162B5" w:rsidRPr="00092862">
        <w:rPr>
          <w:rFonts w:ascii="Times New Roman" w:eastAsia="宋体" w:hAnsi="Times New Roman" w:cs="Times New Roman"/>
          <w:color w:val="000000" w:themeColor="text1"/>
          <w:sz w:val="24"/>
        </w:rPr>
        <w:t>水基钻井固废</w:t>
      </w:r>
      <w:r w:rsidR="000408D0" w:rsidRPr="00092862">
        <w:rPr>
          <w:rFonts w:ascii="Times New Roman" w:eastAsia="宋体" w:hAnsi="Times New Roman" w:cs="Times New Roman"/>
          <w:color w:val="000000" w:themeColor="text1"/>
          <w:sz w:val="24"/>
        </w:rPr>
        <w:t>及时转运至达州地区环保手续齐全、环保设施稳定运行固废烧结厂进行烧结后综合利用</w:t>
      </w:r>
      <w:r w:rsidR="007162B5" w:rsidRPr="00092862">
        <w:rPr>
          <w:rFonts w:ascii="Times New Roman" w:eastAsia="宋体" w:hAnsi="Times New Roman" w:cs="Times New Roman"/>
          <w:color w:val="000000" w:themeColor="text1"/>
          <w:sz w:val="24"/>
        </w:rPr>
        <w:t>。</w:t>
      </w:r>
      <w:bookmarkEnd w:id="112"/>
    </w:p>
    <w:p w14:paraId="3314BEED"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）泥浆不落地系统</w:t>
      </w:r>
    </w:p>
    <w:p w14:paraId="2423DC3A" w14:textId="6C4BB4BC" w:rsidR="00A963D1" w:rsidRPr="00092862" w:rsidRDefault="00A963D1" w:rsidP="00905402">
      <w:pPr>
        <w:adjustRightInd w:val="0"/>
        <w:snapToGrid w:val="0"/>
        <w:spacing w:line="360" w:lineRule="auto"/>
        <w:ind w:firstLineChars="200" w:firstLine="480"/>
        <w:rPr>
          <w:rFonts w:ascii="Times New Roman" w:eastAsia="宋体" w:hAnsi="Times New Roman" w:cs="Times New Roman"/>
          <w:color w:val="000000" w:themeColor="text1"/>
          <w:sz w:val="24"/>
        </w:rPr>
      </w:pPr>
      <w:bookmarkStart w:id="113" w:name="_Hlk107412190"/>
      <w:r w:rsidRPr="00092862">
        <w:rPr>
          <w:rFonts w:ascii="Times New Roman" w:eastAsia="宋体" w:hAnsi="Times New Roman" w:cs="Times New Roman"/>
          <w:color w:val="000000" w:themeColor="text1"/>
          <w:sz w:val="24"/>
        </w:rPr>
        <w:t>随钻不落地处置工艺流程图</w:t>
      </w:r>
      <w:bookmarkEnd w:id="113"/>
      <w:r w:rsidRPr="00092862">
        <w:rPr>
          <w:rFonts w:ascii="Times New Roman" w:eastAsia="宋体" w:hAnsi="Times New Roman" w:cs="Times New Roman"/>
          <w:color w:val="000000" w:themeColor="text1"/>
          <w:sz w:val="24"/>
        </w:rPr>
        <w:t>见下：</w:t>
      </w:r>
    </w:p>
    <w:p w14:paraId="1DA04D88" w14:textId="2E80DF04" w:rsidR="00A963D1" w:rsidRPr="00092862" w:rsidRDefault="00A963D1" w:rsidP="00A963D1">
      <w:pPr>
        <w:adjustRightInd w:val="0"/>
        <w:snapToGrid w:val="0"/>
        <w:spacing w:line="360" w:lineRule="auto"/>
        <w:jc w:val="center"/>
        <w:rPr>
          <w:rFonts w:ascii="Times New Roman" w:hAnsi="Times New Roman" w:cs="Times New Roman"/>
          <w:color w:val="000000" w:themeColor="text1"/>
          <w:sz w:val="24"/>
        </w:rPr>
      </w:pPr>
      <w:r w:rsidRPr="00092862">
        <w:rPr>
          <w:rFonts w:ascii="Times New Roman" w:hAnsi="Times New Roman" w:cs="Times New Roman"/>
          <w:noProof/>
          <w:color w:val="000000" w:themeColor="text1"/>
        </w:rPr>
        <w:drawing>
          <wp:inline distT="0" distB="0" distL="0" distR="0" wp14:anchorId="65CBD5E4" wp14:editId="3D8B3865">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6850" cy="3157855"/>
                    </a:xfrm>
                    <a:prstGeom prst="rect">
                      <a:avLst/>
                    </a:prstGeom>
                  </pic:spPr>
                </pic:pic>
              </a:graphicData>
            </a:graphic>
          </wp:inline>
        </w:drawing>
      </w:r>
    </w:p>
    <w:p w14:paraId="3E31EA3F" w14:textId="62B2CB82" w:rsidR="008C28E1" w:rsidRPr="00092862" w:rsidRDefault="008C28E1" w:rsidP="008C28E1">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Pr="00092862">
        <w:rPr>
          <w:rFonts w:ascii="Times New Roman" w:eastAsia="黑体" w:hAnsi="Times New Roman" w:cs="Times New Roman"/>
          <w:color w:val="000000" w:themeColor="text1"/>
          <w:szCs w:val="21"/>
        </w:rPr>
        <w:t xml:space="preserve">3.3-10  </w:t>
      </w:r>
      <w:r w:rsidRPr="00092862">
        <w:rPr>
          <w:rFonts w:ascii="Times New Roman" w:eastAsia="黑体" w:hAnsi="Times New Roman" w:cs="Times New Roman"/>
          <w:color w:val="000000" w:themeColor="text1"/>
          <w:szCs w:val="21"/>
        </w:rPr>
        <w:t>随钻不落地处置工艺流程图</w:t>
      </w:r>
    </w:p>
    <w:p w14:paraId="70E885DA" w14:textId="152574E7" w:rsidR="00A963D1" w:rsidRPr="00092862" w:rsidRDefault="00A963D1" w:rsidP="0090540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随钻不落地处理工艺含泥浆不落地装置一套，占地面积</w:t>
      </w:r>
      <w:r w:rsidR="0021226B" w:rsidRPr="00092862">
        <w:rPr>
          <w:rFonts w:ascii="Times New Roman" w:eastAsia="宋体" w:hAnsi="Times New Roman" w:cs="Times New Roman"/>
          <w:color w:val="000000" w:themeColor="text1"/>
          <w:sz w:val="24"/>
        </w:rPr>
        <w:t>310</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rPr>
        <w:t>。主要包含</w:t>
      </w:r>
      <w:r w:rsidR="0021226B" w:rsidRPr="00092862">
        <w:rPr>
          <w:rFonts w:ascii="Times New Roman" w:eastAsia="宋体" w:hAnsi="Times New Roman" w:cs="Times New Roman"/>
          <w:color w:val="000000" w:themeColor="text1"/>
          <w:sz w:val="24"/>
        </w:rPr>
        <w:t>40m</w:t>
      </w:r>
      <w:r w:rsidR="0021226B" w:rsidRPr="00092862">
        <w:rPr>
          <w:rFonts w:ascii="Times New Roman" w:eastAsia="宋体" w:hAnsi="Times New Roman" w:cs="Times New Roman"/>
          <w:color w:val="000000" w:themeColor="text1"/>
          <w:sz w:val="24"/>
          <w:vertAlign w:val="superscript"/>
        </w:rPr>
        <w:t>3</w:t>
      </w:r>
      <w:r w:rsidR="0021226B" w:rsidRPr="00092862">
        <w:rPr>
          <w:rFonts w:ascii="Times New Roman" w:eastAsia="宋体" w:hAnsi="Times New Roman" w:cs="Times New Roman"/>
          <w:color w:val="000000" w:themeColor="text1"/>
          <w:sz w:val="24"/>
        </w:rPr>
        <w:t>废水</w:t>
      </w:r>
      <w:r w:rsidRPr="00092862">
        <w:rPr>
          <w:rFonts w:ascii="Times New Roman" w:eastAsia="宋体" w:hAnsi="Times New Roman" w:cs="Times New Roman"/>
          <w:color w:val="000000" w:themeColor="text1"/>
          <w:sz w:val="24"/>
        </w:rPr>
        <w:t>罐</w:t>
      </w:r>
      <w:r w:rsidR="0021226B"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个；</w:t>
      </w:r>
      <w:r w:rsidR="00B4534D" w:rsidRPr="00092862">
        <w:rPr>
          <w:rFonts w:ascii="Times New Roman" w:eastAsia="宋体" w:hAnsi="Times New Roman" w:cs="Times New Roman"/>
          <w:color w:val="000000" w:themeColor="text1"/>
          <w:sz w:val="24"/>
        </w:rPr>
        <w:t>20m</w:t>
      </w:r>
      <w:r w:rsidR="00B4534D" w:rsidRPr="00092862">
        <w:rPr>
          <w:rFonts w:ascii="Times New Roman" w:eastAsia="宋体" w:hAnsi="Times New Roman" w:cs="Times New Roman"/>
          <w:color w:val="000000" w:themeColor="text1"/>
          <w:sz w:val="24"/>
          <w:vertAlign w:val="superscript"/>
        </w:rPr>
        <w:t>3</w:t>
      </w:r>
      <w:r w:rsidR="00B4534D" w:rsidRPr="00092862">
        <w:rPr>
          <w:rFonts w:ascii="Times New Roman" w:eastAsia="宋体" w:hAnsi="Times New Roman" w:cs="Times New Roman"/>
          <w:color w:val="000000" w:themeColor="text1"/>
          <w:sz w:val="24"/>
        </w:rPr>
        <w:t>岩屑固化罐</w:t>
      </w:r>
      <w:r w:rsidR="00B4534D" w:rsidRPr="00092862">
        <w:rPr>
          <w:rFonts w:ascii="Times New Roman" w:eastAsia="宋体" w:hAnsi="Times New Roman" w:cs="Times New Roman"/>
          <w:color w:val="000000" w:themeColor="text1"/>
          <w:sz w:val="24"/>
        </w:rPr>
        <w:t>4</w:t>
      </w:r>
      <w:r w:rsidR="00B4534D" w:rsidRPr="00092862">
        <w:rPr>
          <w:rFonts w:ascii="Times New Roman" w:eastAsia="宋体" w:hAnsi="Times New Roman" w:cs="Times New Roman"/>
          <w:color w:val="000000" w:themeColor="text1"/>
          <w:sz w:val="24"/>
        </w:rPr>
        <w:t>个；</w:t>
      </w:r>
      <w:r w:rsidR="00B4534D" w:rsidRPr="00092862">
        <w:rPr>
          <w:rFonts w:ascii="Times New Roman" w:eastAsia="宋体" w:hAnsi="Times New Roman" w:cs="Times New Roman"/>
          <w:color w:val="000000" w:themeColor="text1"/>
          <w:sz w:val="24"/>
        </w:rPr>
        <w:t>3m</w:t>
      </w:r>
      <w:r w:rsidR="00B4534D" w:rsidRPr="00092862">
        <w:rPr>
          <w:rFonts w:ascii="Times New Roman" w:eastAsia="宋体" w:hAnsi="Times New Roman" w:cs="Times New Roman"/>
          <w:color w:val="000000" w:themeColor="text1"/>
          <w:sz w:val="24"/>
          <w:vertAlign w:val="superscript"/>
        </w:rPr>
        <w:t>3</w:t>
      </w:r>
      <w:r w:rsidR="00B4534D" w:rsidRPr="00092862">
        <w:rPr>
          <w:rFonts w:ascii="Times New Roman" w:eastAsia="宋体" w:hAnsi="Times New Roman" w:cs="Times New Roman"/>
          <w:color w:val="000000" w:themeColor="text1"/>
          <w:sz w:val="24"/>
        </w:rPr>
        <w:t>岩屑收集罐</w:t>
      </w:r>
      <w:r w:rsidR="00B4534D" w:rsidRPr="00092862">
        <w:rPr>
          <w:rFonts w:ascii="Times New Roman" w:eastAsia="宋体" w:hAnsi="Times New Roman" w:cs="Times New Roman"/>
          <w:color w:val="000000" w:themeColor="text1"/>
          <w:sz w:val="24"/>
        </w:rPr>
        <w:t>8</w:t>
      </w:r>
      <w:r w:rsidR="00B4534D" w:rsidRPr="00092862">
        <w:rPr>
          <w:rFonts w:ascii="Times New Roman" w:eastAsia="宋体" w:hAnsi="Times New Roman" w:cs="Times New Roman"/>
          <w:color w:val="000000" w:themeColor="text1"/>
          <w:sz w:val="24"/>
        </w:rPr>
        <w:t>个</w:t>
      </w:r>
      <w:r w:rsidRPr="00092862">
        <w:rPr>
          <w:rFonts w:ascii="Times New Roman" w:eastAsia="宋体" w:hAnsi="Times New Roman" w:cs="Times New Roman"/>
          <w:color w:val="000000" w:themeColor="text1"/>
          <w:sz w:val="24"/>
        </w:rPr>
        <w:t>；</w:t>
      </w:r>
      <w:r w:rsidR="00B4534D" w:rsidRPr="00092862">
        <w:rPr>
          <w:rFonts w:ascii="Times New Roman" w:eastAsia="宋体" w:hAnsi="Times New Roman" w:cs="Times New Roman"/>
          <w:color w:val="000000" w:themeColor="text1"/>
          <w:sz w:val="24"/>
        </w:rPr>
        <w:t>化学品存放区</w:t>
      </w:r>
      <w:r w:rsidRPr="00092862">
        <w:rPr>
          <w:rFonts w:ascii="Times New Roman" w:eastAsia="宋体" w:hAnsi="Times New Roman" w:cs="Times New Roman"/>
          <w:color w:val="000000" w:themeColor="text1"/>
          <w:sz w:val="24"/>
        </w:rPr>
        <w:t>。</w:t>
      </w:r>
    </w:p>
    <w:p w14:paraId="4DBFA7D6" w14:textId="1445C3E9" w:rsidR="00A963D1" w:rsidRPr="00092862" w:rsidRDefault="00A963D1" w:rsidP="0090540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随钻不落地处理工艺流程为：钻井循环系统振动筛、除砂除泥器产生的钻井废弃物通过滑槽及螺旋输送机收集暂存于</w:t>
      </w:r>
      <w:r w:rsidR="00B4534D" w:rsidRPr="00092862">
        <w:rPr>
          <w:rFonts w:ascii="Times New Roman" w:eastAsia="宋体" w:hAnsi="Times New Roman" w:cs="Times New Roman"/>
          <w:color w:val="000000" w:themeColor="text1"/>
          <w:sz w:val="24"/>
        </w:rPr>
        <w:t>隔油</w:t>
      </w:r>
      <w:r w:rsidRPr="00092862">
        <w:rPr>
          <w:rFonts w:ascii="Times New Roman" w:eastAsia="宋体" w:hAnsi="Times New Roman" w:cs="Times New Roman"/>
          <w:color w:val="000000" w:themeColor="text1"/>
          <w:sz w:val="24"/>
        </w:rPr>
        <w:t>罐，随后泵入</w:t>
      </w:r>
      <w:r w:rsidR="00B4534D" w:rsidRPr="00092862">
        <w:rPr>
          <w:rFonts w:ascii="Times New Roman" w:eastAsia="宋体" w:hAnsi="Times New Roman" w:cs="Times New Roman"/>
          <w:color w:val="000000" w:themeColor="text1"/>
          <w:sz w:val="24"/>
        </w:rPr>
        <w:t>沉淀</w:t>
      </w:r>
      <w:r w:rsidRPr="00092862">
        <w:rPr>
          <w:rFonts w:ascii="Times New Roman" w:eastAsia="宋体" w:hAnsi="Times New Roman" w:cs="Times New Roman"/>
          <w:color w:val="000000" w:themeColor="text1"/>
          <w:sz w:val="24"/>
        </w:rPr>
        <w:t>罐处理。泥饼卸料后由皮带输送机或螺旋输送机输送到设备岩屑</w:t>
      </w:r>
      <w:r w:rsidR="00B4534D" w:rsidRPr="00092862">
        <w:rPr>
          <w:rFonts w:ascii="Times New Roman" w:eastAsia="宋体" w:hAnsi="Times New Roman" w:cs="Times New Roman"/>
          <w:color w:val="000000" w:themeColor="text1"/>
          <w:sz w:val="24"/>
        </w:rPr>
        <w:t>固化</w:t>
      </w:r>
      <w:r w:rsidRPr="00092862">
        <w:rPr>
          <w:rFonts w:ascii="Times New Roman" w:eastAsia="宋体" w:hAnsi="Times New Roman" w:cs="Times New Roman"/>
          <w:color w:val="000000" w:themeColor="text1"/>
          <w:sz w:val="24"/>
        </w:rPr>
        <w:t>罐，处置后泥饼含水率一般保持在</w:t>
      </w:r>
      <w:r w:rsidRPr="00092862">
        <w:rPr>
          <w:rFonts w:ascii="Times New Roman" w:eastAsia="宋体" w:hAnsi="Times New Roman" w:cs="Times New Roman"/>
          <w:color w:val="000000" w:themeColor="text1"/>
          <w:sz w:val="24"/>
        </w:rPr>
        <w:t>40%~50%</w:t>
      </w:r>
      <w:r w:rsidRPr="00092862">
        <w:rPr>
          <w:rFonts w:ascii="Times New Roman" w:eastAsia="宋体" w:hAnsi="Times New Roman" w:cs="Times New Roman"/>
          <w:color w:val="000000" w:themeColor="text1"/>
          <w:sz w:val="24"/>
        </w:rPr>
        <w:t>的范围内。</w:t>
      </w:r>
    </w:p>
    <w:p w14:paraId="696EFAE9" w14:textId="77777777" w:rsidR="00964A71" w:rsidRPr="00092862" w:rsidRDefault="00964A71" w:rsidP="00B4534D">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）测井、取心、录井</w:t>
      </w:r>
    </w:p>
    <w:p w14:paraId="619CB2F4" w14:textId="6EF3149A"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测井是把利用电、磁、声、热、核等物理原理制造的各种测井仪器，由测</w:t>
      </w:r>
      <w:r w:rsidRPr="00092862">
        <w:rPr>
          <w:rFonts w:ascii="Times New Roman" w:eastAsia="宋体" w:hAnsi="Times New Roman" w:cs="Times New Roman"/>
          <w:color w:val="000000" w:themeColor="text1"/>
          <w:sz w:val="24"/>
        </w:rPr>
        <w:lastRenderedPageBreak/>
        <w:t>井电缆下入井内，使地面电测仪可沿着井筒连续记录随深度变化的各种参数。通过表示这类参数的曲线，来识别地下的岩层，如油、气、水层、煤层、金属矿床等</w:t>
      </w:r>
      <w:r w:rsidR="00B4534D" w:rsidRPr="00092862">
        <w:rPr>
          <w:rFonts w:ascii="Times New Roman" w:eastAsia="宋体" w:hAnsi="Times New Roman" w:cs="Times New Roman"/>
          <w:color w:val="000000" w:themeColor="text1"/>
          <w:sz w:val="24"/>
        </w:rPr>
        <w:t>。</w:t>
      </w:r>
    </w:p>
    <w:p w14:paraId="538A3393"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取心是在钻井过程中使用特殊的取心工具把地下岩石成块地取到地面上来，这种成块的岩石叫做岩心，通过它可以测定岩石的各种性质，直观地研究地下构造和岩石沉积环境，了解其中的流体性质等。</w:t>
      </w:r>
    </w:p>
    <w:p w14:paraId="77E96EAF"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录井是根据</w:t>
      </w:r>
      <w:hyperlink r:id="rId41" w:tgtFrame="_blank" w:history="1">
        <w:r w:rsidRPr="00092862">
          <w:rPr>
            <w:rFonts w:ascii="Times New Roman" w:eastAsia="宋体" w:hAnsi="Times New Roman" w:cs="Times New Roman"/>
            <w:color w:val="000000" w:themeColor="text1"/>
            <w:sz w:val="24"/>
          </w:rPr>
          <w:t>测井</w:t>
        </w:r>
      </w:hyperlink>
      <w:r w:rsidRPr="00092862">
        <w:rPr>
          <w:rFonts w:ascii="Times New Roman" w:eastAsia="宋体" w:hAnsi="Times New Roman" w:cs="Times New Roman"/>
          <w:color w:val="000000" w:themeColor="text1"/>
          <w:sz w:val="24"/>
        </w:rPr>
        <w:t>数据、现场录井数据及综合分析化验数据进行岩性解释、归位，确定含油、气、水产状。</w:t>
      </w:r>
    </w:p>
    <w:p w14:paraId="51481913"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测井、取心、录井主要就是取样分析地质等情况，该过程基本不涉及污染物。</w:t>
      </w:r>
    </w:p>
    <w:p w14:paraId="55F6BE26"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）固井作业</w:t>
      </w:r>
    </w:p>
    <w:p w14:paraId="75E9A63F"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14:paraId="1F9BB50D"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固井是钻井过程中的重要作业，最上面的固井是</w:t>
      </w:r>
      <w:hyperlink r:id="rId42" w:tgtFrame="_blank" w:history="1">
        <w:r w:rsidRPr="00092862">
          <w:rPr>
            <w:rFonts w:ascii="Times New Roman" w:eastAsia="宋体" w:hAnsi="Times New Roman" w:cs="Times New Roman"/>
            <w:color w:val="000000" w:themeColor="text1"/>
            <w:sz w:val="24"/>
          </w:rPr>
          <w:t>表层套管</w:t>
        </w:r>
      </w:hyperlink>
      <w:r w:rsidRPr="00092862">
        <w:rPr>
          <w:rFonts w:ascii="Times New Roman" w:eastAsia="宋体" w:hAnsi="Times New Roman" w:cs="Times New Roman"/>
          <w:color w:val="000000" w:themeColor="text1"/>
          <w:sz w:val="24"/>
        </w:rPr>
        <w:t>固井，它起的是</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泥浆通路，油气门户</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的作用。在下一次开钻之前，表层套管上要装防喷器预防井喷。防喷器之上要装泥浆导管，是</w:t>
      </w:r>
      <w:hyperlink r:id="rId43" w:tgtFrame="_blank" w:history="1">
        <w:r w:rsidRPr="00092862">
          <w:rPr>
            <w:rFonts w:ascii="Times New Roman" w:eastAsia="宋体" w:hAnsi="Times New Roman" w:cs="Times New Roman"/>
            <w:color w:val="000000" w:themeColor="text1"/>
            <w:sz w:val="24"/>
          </w:rPr>
          <w:t>钻井液</w:t>
        </w:r>
      </w:hyperlink>
      <w:r w:rsidRPr="00092862">
        <w:rPr>
          <w:rFonts w:ascii="Times New Roman" w:eastAsia="宋体" w:hAnsi="Times New Roman" w:cs="Times New Roman"/>
          <w:color w:val="000000" w:themeColor="text1"/>
          <w:sz w:val="24"/>
        </w:rPr>
        <w:t>返回泥浆池的通路。钻井过程中往往要下技术套管固井，它起的是</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巩固后方，安全探路</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的作用。和公路的隧道、煤矿中的巷道一样，钻井过程中也会遇到井塌、高压和不稳定的地层，同时也是为了在向前</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探路</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中遇险有个退路，起到</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救助</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的作用。</w:t>
      </w:r>
    </w:p>
    <w:p w14:paraId="337D786F"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固井主要是注入水泥，基本无污染物产生，固井过程分为三步如下：</w:t>
      </w:r>
    </w:p>
    <w:p w14:paraId="6F820374" w14:textId="37E1F236"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下套管：套管有不同的尺寸和钢级。根据用途、地层预测压力和套管下入深度设计套管的强度，确定套管的使用壁厚，钢级和丝扣类型。套管与钻杆不同，是一次性下入的管材，没有加厚部分，长度没有严格规定。为保证固井质量和顺利地下入套管，要做套管柱的结构设计。</w:t>
      </w:r>
      <w:bookmarkStart w:id="114" w:name="4_2"/>
      <w:bookmarkEnd w:id="114"/>
    </w:p>
    <w:p w14:paraId="69CB5DC4"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注水泥：是套管下入井后的关键工序，其作用是将套管和井壁的环形空间封固起来，以封隔油气水层，使套管成为油气通向井中的通道。</w:t>
      </w:r>
      <w:bookmarkStart w:id="115" w:name="4_5"/>
      <w:bookmarkStart w:id="116" w:name="4_3"/>
      <w:bookmarkEnd w:id="115"/>
      <w:bookmarkEnd w:id="116"/>
    </w:p>
    <w:p w14:paraId="39D9264F"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井口安装和套管试压，下套管注水泥之后，在水泥凝固期间就要安装井口。表层套管的顶端要安套管头的壳体。各层套管的顶端都挂在套管头内，套管头</w:t>
      </w:r>
      <w:r w:rsidRPr="00092862">
        <w:rPr>
          <w:rFonts w:ascii="Times New Roman" w:eastAsia="宋体" w:hAnsi="Times New Roman" w:cs="Times New Roman"/>
          <w:color w:val="000000" w:themeColor="text1"/>
          <w:sz w:val="24"/>
        </w:rPr>
        <w:lastRenderedPageBreak/>
        <w:t>主要用来支撑技术套管和油层套管的重量，这对</w:t>
      </w:r>
      <w:hyperlink r:id="rId44" w:tgtFrame="_blank" w:history="1">
        <w:r w:rsidRPr="00092862">
          <w:rPr>
            <w:rFonts w:ascii="Times New Roman" w:eastAsia="宋体" w:hAnsi="Times New Roman" w:cs="Times New Roman"/>
            <w:color w:val="000000" w:themeColor="text1"/>
            <w:sz w:val="24"/>
          </w:rPr>
          <w:t>固井水泥</w:t>
        </w:r>
      </w:hyperlink>
      <w:r w:rsidRPr="00092862">
        <w:rPr>
          <w:rFonts w:ascii="Times New Roman" w:eastAsia="宋体" w:hAnsi="Times New Roman" w:cs="Times New Roman"/>
          <w:color w:val="000000" w:themeColor="text1"/>
          <w:sz w:val="24"/>
        </w:rPr>
        <w:t>未返至地面尤为重要。套管头还用来密封套管间的环形空间，防止压力互窜。套管头还是防喷器、油管头的过渡连接。陆地上使用的套管头上还有两个侧口，可以进行补挤水泥、监控井况、注平衡液等作业。</w:t>
      </w:r>
    </w:p>
    <w:p w14:paraId="5A9F7313"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套管试压是检查固井质量的重要组成部分。安装好套管头和接好防喷器及防喷管线后，要做套管头密封的耐压力检查，和与防喷器联接的密封试压。探套管内水泥塞后要做套管柱的压力检验，钻穿套管鞋</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10m</w:t>
      </w:r>
      <w:r w:rsidRPr="00092862">
        <w:rPr>
          <w:rFonts w:ascii="Times New Roman" w:eastAsia="宋体" w:hAnsi="Times New Roman" w:cs="Times New Roman"/>
          <w:color w:val="000000" w:themeColor="text1"/>
          <w:sz w:val="24"/>
        </w:rPr>
        <w:t>后（表层套管）要做地层压裂试验。固井后要用声波检测固井质量。固井质量的全部指标合格后，才能进入到下一个作业程序。</w:t>
      </w:r>
    </w:p>
    <w:p w14:paraId="320E7998"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w:t>
      </w:r>
      <w:r w:rsidR="00926944" w:rsidRPr="00092862">
        <w:rPr>
          <w:rFonts w:ascii="Times New Roman" w:eastAsia="宋体" w:hAnsi="Times New Roman" w:cs="Times New Roman"/>
          <w:color w:val="000000" w:themeColor="text1"/>
          <w:sz w:val="24"/>
        </w:rPr>
        <w:t>压裂测试</w:t>
      </w:r>
      <w:r w:rsidRPr="00092862">
        <w:rPr>
          <w:rFonts w:ascii="Times New Roman" w:eastAsia="宋体" w:hAnsi="Times New Roman" w:cs="Times New Roman"/>
          <w:color w:val="000000" w:themeColor="text1"/>
          <w:sz w:val="24"/>
        </w:rPr>
        <w:t>作业</w:t>
      </w:r>
    </w:p>
    <w:p w14:paraId="705B7FF4" w14:textId="31E3ADE4"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本项目各井依次完钻后完井测试，按照本项目钻井设计，钻井中途不测试，仅在钻至目的层时测试放喷求产。完井作业包括洗井、射孔、</w:t>
      </w:r>
      <w:r w:rsidR="00046943" w:rsidRPr="00092862">
        <w:rPr>
          <w:rFonts w:ascii="Times New Roman" w:eastAsia="宋体" w:hAnsi="Times New Roman" w:cs="Times New Roman"/>
          <w:color w:val="000000" w:themeColor="text1"/>
          <w:sz w:val="24"/>
        </w:rPr>
        <w:t>酸化</w:t>
      </w:r>
      <w:r w:rsidRPr="00092862">
        <w:rPr>
          <w:rFonts w:ascii="Times New Roman" w:eastAsia="宋体" w:hAnsi="Times New Roman" w:cs="Times New Roman"/>
          <w:color w:val="000000" w:themeColor="text1"/>
          <w:sz w:val="24"/>
        </w:rPr>
        <w:t>压裂、测试放喷等过程。其中</w:t>
      </w:r>
      <w:r w:rsidR="00046943" w:rsidRPr="00092862">
        <w:rPr>
          <w:rFonts w:ascii="Times New Roman" w:eastAsia="宋体" w:hAnsi="Times New Roman" w:cs="Times New Roman"/>
          <w:color w:val="000000" w:themeColor="text1"/>
          <w:sz w:val="24"/>
        </w:rPr>
        <w:t>酸化</w:t>
      </w:r>
      <w:r w:rsidRPr="00092862">
        <w:rPr>
          <w:rFonts w:ascii="Times New Roman" w:eastAsia="宋体" w:hAnsi="Times New Roman" w:cs="Times New Roman"/>
          <w:color w:val="000000" w:themeColor="text1"/>
          <w:sz w:val="24"/>
        </w:rPr>
        <w:t>压裂和测试放喷是最主要工序，也是主要产生污染物排放的工艺环节。</w:t>
      </w:r>
    </w:p>
    <w:p w14:paraId="01489547"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洗井作业</w:t>
      </w:r>
    </w:p>
    <w:p w14:paraId="58936BFB" w14:textId="43783E15"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当钻至目的层后，首先是进行洗井作业，采用</w:t>
      </w:r>
      <w:r w:rsidR="00F132A8" w:rsidRPr="00092862">
        <w:rPr>
          <w:rFonts w:ascii="Times New Roman" w:eastAsia="宋体" w:hAnsi="Times New Roman" w:cs="Times New Roman"/>
          <w:color w:val="000000" w:themeColor="text1"/>
          <w:sz w:val="24"/>
        </w:rPr>
        <w:t>碱</w:t>
      </w:r>
      <w:r w:rsidRPr="00092862">
        <w:rPr>
          <w:rFonts w:ascii="Times New Roman" w:eastAsia="宋体" w:hAnsi="Times New Roman" w:cs="Times New Roman"/>
          <w:color w:val="000000" w:themeColor="text1"/>
          <w:sz w:val="24"/>
        </w:rPr>
        <w:t>水进行洗井作业，洗井作业首先在井筒内下入洗井管柱，洗井液由井筒注入清洗井壁，清洗后通过位于井底的返液口经洗井管柱返回地面。该环节的主要污染物为返回地面的洗井废水。</w:t>
      </w:r>
    </w:p>
    <w:p w14:paraId="2AA255F3"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射孔作业</w:t>
      </w:r>
    </w:p>
    <w:p w14:paraId="30C82172" w14:textId="6B68C265" w:rsidR="00964A71" w:rsidRPr="00092862" w:rsidRDefault="00964A71" w:rsidP="00046943">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洗净作业完成后，将进行射孔作业，射孔完井是指下入油层套管封固产层后再用射孔弹将套管、水泥环、部分产层射穿，形成油气流通通道。射穿产层后油气井的生产能力受产层压力、产层性质和射孔参数及质量影响。</w:t>
      </w:r>
      <w:r w:rsidR="00046943" w:rsidRPr="00092862">
        <w:rPr>
          <w:rFonts w:ascii="Times New Roman" w:eastAsia="宋体" w:hAnsi="Times New Roman" w:cs="Times New Roman"/>
          <w:color w:val="000000" w:themeColor="text1"/>
          <w:sz w:val="24"/>
        </w:rPr>
        <w:t>采用油管传输射孔工艺，分段延时起爆，一次性射开长兴组储层。射孔采用</w:t>
      </w:r>
      <w:r w:rsidR="00046943" w:rsidRPr="00092862">
        <w:rPr>
          <w:rFonts w:ascii="Times New Roman" w:eastAsia="宋体" w:hAnsi="Times New Roman" w:cs="Times New Roman"/>
          <w:color w:val="000000" w:themeColor="text1"/>
          <w:sz w:val="24"/>
        </w:rPr>
        <w:t>Φ88.9mm+Φ60.3mm110SS</w:t>
      </w:r>
      <w:r w:rsidR="00046943" w:rsidRPr="00092862">
        <w:rPr>
          <w:rFonts w:ascii="Times New Roman" w:eastAsia="宋体" w:hAnsi="Times New Roman" w:cs="Times New Roman"/>
          <w:color w:val="000000" w:themeColor="text1"/>
          <w:sz w:val="24"/>
        </w:rPr>
        <w:t>组合油管</w:t>
      </w:r>
      <w:r w:rsidR="00046943" w:rsidRPr="00092862">
        <w:rPr>
          <w:rFonts w:ascii="Times New Roman" w:eastAsia="宋体" w:hAnsi="Times New Roman" w:cs="Times New Roman"/>
          <w:color w:val="000000" w:themeColor="text1"/>
          <w:sz w:val="24"/>
        </w:rPr>
        <w:t>+Φ73mm</w:t>
      </w:r>
      <w:r w:rsidR="00046943" w:rsidRPr="00092862">
        <w:rPr>
          <w:rFonts w:ascii="Times New Roman" w:eastAsia="宋体" w:hAnsi="Times New Roman" w:cs="Times New Roman"/>
          <w:color w:val="000000" w:themeColor="text1"/>
          <w:sz w:val="24"/>
        </w:rPr>
        <w:t>射孔枪。</w:t>
      </w:r>
    </w:p>
    <w:p w14:paraId="526CEE44" w14:textId="2F926FFD" w:rsidR="00741A82" w:rsidRPr="00092862" w:rsidRDefault="00741A82" w:rsidP="00741A8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下完井管柱</w:t>
      </w:r>
    </w:p>
    <w:p w14:paraId="12EE6989" w14:textId="50F6D734" w:rsidR="00741A82" w:rsidRPr="00092862" w:rsidRDefault="00741A82" w:rsidP="00741A8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采用笼统酸化</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生产一体化完井管柱，油管尺寸为</w:t>
      </w:r>
      <w:r w:rsidRPr="00092862">
        <w:rPr>
          <w:rFonts w:ascii="Times New Roman" w:eastAsia="宋体" w:hAnsi="Times New Roman" w:cs="Times New Roman"/>
          <w:color w:val="000000" w:themeColor="text1"/>
          <w:sz w:val="24"/>
        </w:rPr>
        <w:t>Φ73mm×5.51mm</w:t>
      </w:r>
      <w:r w:rsidRPr="00092862">
        <w:rPr>
          <w:rFonts w:ascii="Times New Roman" w:eastAsia="宋体" w:hAnsi="Times New Roman" w:cs="Times New Roman"/>
          <w:color w:val="000000" w:themeColor="text1"/>
          <w:sz w:val="24"/>
        </w:rPr>
        <w:t>，封隔器以下油管（</w:t>
      </w:r>
      <w:r w:rsidRPr="00092862">
        <w:rPr>
          <w:rFonts w:ascii="Times New Roman" w:eastAsia="宋体" w:hAnsi="Times New Roman" w:cs="Times New Roman"/>
          <w:color w:val="000000" w:themeColor="text1"/>
          <w:sz w:val="24"/>
        </w:rPr>
        <w:t>3390-4900m</w:t>
      </w:r>
      <w:r w:rsidRPr="00092862">
        <w:rPr>
          <w:rFonts w:ascii="Times New Roman" w:eastAsia="宋体" w:hAnsi="Times New Roman" w:cs="Times New Roman"/>
          <w:color w:val="000000" w:themeColor="text1"/>
          <w:sz w:val="24"/>
        </w:rPr>
        <w:t>）采用</w:t>
      </w:r>
      <w:r w:rsidRPr="00092862">
        <w:rPr>
          <w:rFonts w:ascii="Times New Roman" w:eastAsia="宋体" w:hAnsi="Times New Roman" w:cs="Times New Roman"/>
          <w:color w:val="000000" w:themeColor="text1"/>
          <w:sz w:val="24"/>
        </w:rPr>
        <w:t>90SS</w:t>
      </w:r>
      <w:r w:rsidRPr="00092862">
        <w:rPr>
          <w:rFonts w:ascii="Times New Roman" w:eastAsia="宋体" w:hAnsi="Times New Roman" w:cs="Times New Roman"/>
          <w:color w:val="000000" w:themeColor="text1"/>
          <w:sz w:val="24"/>
        </w:rPr>
        <w:t>材质，其余油管采用</w:t>
      </w:r>
      <w:r w:rsidRPr="00092862">
        <w:rPr>
          <w:rFonts w:ascii="Times New Roman" w:eastAsia="宋体" w:hAnsi="Times New Roman" w:cs="Times New Roman"/>
          <w:color w:val="000000" w:themeColor="text1"/>
          <w:sz w:val="24"/>
        </w:rPr>
        <w:t>4c</w:t>
      </w:r>
      <w:r w:rsidRPr="00092862">
        <w:rPr>
          <w:rFonts w:ascii="Times New Roman" w:eastAsia="宋体" w:hAnsi="Times New Roman" w:cs="Times New Roman"/>
          <w:color w:val="000000" w:themeColor="text1"/>
          <w:sz w:val="24"/>
        </w:rPr>
        <w:t>类镍基合金。</w:t>
      </w:r>
    </w:p>
    <w:p w14:paraId="08B7E7E9" w14:textId="55BE8514" w:rsidR="00964A71" w:rsidRPr="00092862" w:rsidRDefault="00741A82"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酸化</w:t>
      </w:r>
      <w:r w:rsidR="00964A71" w:rsidRPr="00092862">
        <w:rPr>
          <w:rFonts w:ascii="Times New Roman" w:eastAsia="宋体" w:hAnsi="Times New Roman" w:cs="Times New Roman"/>
          <w:color w:val="000000" w:themeColor="text1"/>
          <w:sz w:val="24"/>
        </w:rPr>
        <w:t>压裂作业</w:t>
      </w:r>
    </w:p>
    <w:p w14:paraId="5D1F355C" w14:textId="60E0D60B" w:rsidR="007D7102" w:rsidRPr="00092862" w:rsidRDefault="00147764"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压裂是指在井筒中形成高压迫使地层形成裂缝的施工过程。本项目采用酸</w:t>
      </w:r>
      <w:r w:rsidRPr="00092862">
        <w:rPr>
          <w:rFonts w:ascii="Times New Roman" w:eastAsia="宋体" w:hAnsi="Times New Roman" w:cs="Times New Roman"/>
          <w:color w:val="000000" w:themeColor="text1"/>
          <w:sz w:val="24"/>
        </w:rPr>
        <w:lastRenderedPageBreak/>
        <w:t>化压裂，使用压裂车从地面泵入酸化高压工作液，酸液在高压下进入储层，与储层中的裂缝壁面岩石反应，形成具有一定几何尺寸和导流能力的人工裂缝，以达到增产的目的。</w:t>
      </w:r>
    </w:p>
    <w:p w14:paraId="124892CA" w14:textId="4CC9E998" w:rsidR="00964A71" w:rsidRPr="00092862" w:rsidRDefault="007D7102"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采用清洁酸</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暂堵剂两级暂堵酸化模式，</w:t>
      </w:r>
      <w:r w:rsidR="00F132A8" w:rsidRPr="00092862">
        <w:rPr>
          <w:rFonts w:ascii="Times New Roman" w:eastAsia="宋体" w:hAnsi="Times New Roman" w:cs="Times New Roman"/>
          <w:color w:val="000000" w:themeColor="text1"/>
          <w:sz w:val="24"/>
        </w:rPr>
        <w:t>具体用量及设计参数见前文</w:t>
      </w:r>
      <w:r w:rsidR="00F132A8" w:rsidRPr="00092862">
        <w:rPr>
          <w:rFonts w:ascii="Times New Roman" w:eastAsia="宋体" w:hAnsi="Times New Roman" w:cs="Times New Roman"/>
          <w:color w:val="000000" w:themeColor="text1"/>
          <w:sz w:val="24"/>
        </w:rPr>
        <w:t>3.2.5.1</w:t>
      </w:r>
      <w:r w:rsidR="00F132A8" w:rsidRPr="00092862">
        <w:rPr>
          <w:rFonts w:ascii="Times New Roman" w:eastAsia="宋体" w:hAnsi="Times New Roman" w:cs="Times New Roman"/>
          <w:color w:val="000000" w:themeColor="text1"/>
          <w:sz w:val="24"/>
        </w:rPr>
        <w:t>小结</w:t>
      </w:r>
      <w:r w:rsidRPr="00092862">
        <w:rPr>
          <w:rFonts w:ascii="Times New Roman" w:eastAsia="宋体" w:hAnsi="Times New Roman" w:cs="Times New Roman"/>
          <w:color w:val="000000" w:themeColor="text1"/>
          <w:sz w:val="24"/>
        </w:rPr>
        <w:t>。</w:t>
      </w:r>
      <w:r w:rsidR="00147764" w:rsidRPr="00092862">
        <w:rPr>
          <w:rFonts w:ascii="Times New Roman" w:eastAsia="宋体" w:hAnsi="Times New Roman" w:cs="Times New Roman"/>
          <w:color w:val="000000" w:themeColor="text1"/>
          <w:sz w:val="24"/>
        </w:rPr>
        <w:t>压裂作业在白天进行，压裂液泵入时间约</w:t>
      </w:r>
      <w:r w:rsidR="00147764" w:rsidRPr="00092862">
        <w:rPr>
          <w:rFonts w:ascii="Times New Roman" w:eastAsia="宋体" w:hAnsi="Times New Roman" w:cs="Times New Roman"/>
          <w:color w:val="000000" w:themeColor="text1"/>
          <w:sz w:val="24"/>
        </w:rPr>
        <w:t>2~3</w:t>
      </w:r>
      <w:r w:rsidR="00147764" w:rsidRPr="00092862">
        <w:rPr>
          <w:rFonts w:ascii="Times New Roman" w:eastAsia="宋体" w:hAnsi="Times New Roman" w:cs="Times New Roman"/>
          <w:color w:val="000000" w:themeColor="text1"/>
          <w:sz w:val="24"/>
        </w:rPr>
        <w:t>小时，参与作业的压裂车</w:t>
      </w:r>
      <w:r w:rsidR="00147764" w:rsidRPr="00092862">
        <w:rPr>
          <w:rFonts w:ascii="Times New Roman" w:eastAsia="宋体" w:hAnsi="Times New Roman" w:cs="Times New Roman"/>
          <w:color w:val="000000" w:themeColor="text1"/>
          <w:sz w:val="24"/>
        </w:rPr>
        <w:t>6</w:t>
      </w:r>
      <w:r w:rsidR="00147764" w:rsidRPr="00092862">
        <w:rPr>
          <w:rFonts w:ascii="Times New Roman" w:eastAsia="宋体" w:hAnsi="Times New Roman" w:cs="Times New Roman"/>
          <w:color w:val="000000" w:themeColor="text1"/>
          <w:sz w:val="24"/>
        </w:rPr>
        <w:t>台</w:t>
      </w:r>
      <w:r w:rsidR="00147764" w:rsidRPr="00092862">
        <w:rPr>
          <w:rFonts w:ascii="Times New Roman" w:eastAsia="宋体" w:hAnsi="Times New Roman" w:cs="Times New Roman"/>
          <w:color w:val="000000" w:themeColor="text1"/>
          <w:sz w:val="24"/>
        </w:rPr>
        <w:t>(3</w:t>
      </w:r>
      <w:r w:rsidR="00147764" w:rsidRPr="00092862">
        <w:rPr>
          <w:rFonts w:ascii="Times New Roman" w:eastAsia="宋体" w:hAnsi="Times New Roman" w:cs="Times New Roman"/>
          <w:color w:val="000000" w:themeColor="text1"/>
          <w:sz w:val="24"/>
        </w:rPr>
        <w:t>用</w:t>
      </w:r>
      <w:r w:rsidR="00147764" w:rsidRPr="00092862">
        <w:rPr>
          <w:rFonts w:ascii="Times New Roman" w:eastAsia="宋体" w:hAnsi="Times New Roman" w:cs="Times New Roman"/>
          <w:color w:val="000000" w:themeColor="text1"/>
          <w:sz w:val="24"/>
        </w:rPr>
        <w:t>3</w:t>
      </w:r>
      <w:r w:rsidR="00147764" w:rsidRPr="00092862">
        <w:rPr>
          <w:rFonts w:ascii="Times New Roman" w:eastAsia="宋体" w:hAnsi="Times New Roman" w:cs="Times New Roman"/>
          <w:color w:val="000000" w:themeColor="text1"/>
          <w:sz w:val="24"/>
        </w:rPr>
        <w:t>备</w:t>
      </w:r>
      <w:r w:rsidR="00147764" w:rsidRPr="00092862">
        <w:rPr>
          <w:rFonts w:ascii="Times New Roman" w:eastAsia="宋体" w:hAnsi="Times New Roman" w:cs="Times New Roman"/>
          <w:color w:val="000000" w:themeColor="text1"/>
          <w:sz w:val="24"/>
        </w:rPr>
        <w:t>)</w:t>
      </w:r>
      <w:r w:rsidR="00147764" w:rsidRPr="00092862">
        <w:rPr>
          <w:rFonts w:ascii="Times New Roman" w:eastAsia="宋体" w:hAnsi="Times New Roman" w:cs="Times New Roman"/>
          <w:color w:val="000000" w:themeColor="text1"/>
          <w:sz w:val="24"/>
        </w:rPr>
        <w:t>，压裂液的主要原料是清水、稀盐酸及一些外加剂如硼砂等。受压力作用，压裂过程会产生压裂返排液，</w:t>
      </w:r>
      <w:r w:rsidR="00D87618" w:rsidRPr="00092862">
        <w:rPr>
          <w:rFonts w:ascii="Times New Roman" w:eastAsia="宋体" w:hAnsi="Times New Roman" w:cs="Times New Roman"/>
          <w:color w:val="000000" w:themeColor="text1"/>
          <w:sz w:val="24"/>
        </w:rPr>
        <w:t>返排周期为</w:t>
      </w:r>
      <w:r w:rsidR="00D87618" w:rsidRPr="00092862">
        <w:rPr>
          <w:rFonts w:ascii="Times New Roman" w:eastAsia="宋体" w:hAnsi="Times New Roman" w:cs="Times New Roman"/>
          <w:color w:val="000000" w:themeColor="text1"/>
          <w:sz w:val="24"/>
        </w:rPr>
        <w:t>3</w:t>
      </w:r>
      <w:r w:rsidR="00D87618" w:rsidRPr="00092862">
        <w:rPr>
          <w:rFonts w:ascii="Times New Roman" w:eastAsia="宋体" w:hAnsi="Times New Roman" w:cs="Times New Roman"/>
          <w:color w:val="000000" w:themeColor="text1"/>
          <w:sz w:val="24"/>
        </w:rPr>
        <w:t>天～</w:t>
      </w:r>
      <w:r w:rsidR="00D87618" w:rsidRPr="00092862">
        <w:rPr>
          <w:rFonts w:ascii="Times New Roman" w:eastAsia="宋体" w:hAnsi="Times New Roman" w:cs="Times New Roman"/>
          <w:color w:val="000000" w:themeColor="text1"/>
          <w:sz w:val="24"/>
        </w:rPr>
        <w:t>5</w:t>
      </w:r>
      <w:r w:rsidR="00D87618" w:rsidRPr="00092862">
        <w:rPr>
          <w:rFonts w:ascii="Times New Roman" w:eastAsia="宋体" w:hAnsi="Times New Roman" w:cs="Times New Roman"/>
          <w:color w:val="000000" w:themeColor="text1"/>
          <w:sz w:val="24"/>
        </w:rPr>
        <w:t>天</w:t>
      </w:r>
      <w:r w:rsidR="00147764" w:rsidRPr="00092862">
        <w:rPr>
          <w:rFonts w:ascii="Times New Roman" w:eastAsia="宋体" w:hAnsi="Times New Roman" w:cs="Times New Roman"/>
          <w:color w:val="000000" w:themeColor="text1"/>
          <w:sz w:val="24"/>
        </w:rPr>
        <w:t>。</w:t>
      </w:r>
    </w:p>
    <w:p w14:paraId="05340B41"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该环节产生的污染物主要为压裂作业设备产生的噪声及返排出的压裂液。压裂作业过程及压裂液使用流程见图</w:t>
      </w:r>
      <w:r w:rsidR="00A17CE6" w:rsidRPr="00092862">
        <w:rPr>
          <w:rFonts w:ascii="Times New Roman" w:eastAsia="宋体" w:hAnsi="Times New Roman" w:cs="Times New Roman"/>
          <w:color w:val="000000" w:themeColor="text1"/>
          <w:sz w:val="24"/>
        </w:rPr>
        <w:t>3.</w:t>
      </w:r>
      <w:r w:rsidR="00FE4B41" w:rsidRPr="00092862">
        <w:rPr>
          <w:rFonts w:ascii="Times New Roman" w:eastAsia="宋体" w:hAnsi="Times New Roman" w:cs="Times New Roman"/>
          <w:color w:val="000000" w:themeColor="text1"/>
          <w:sz w:val="24"/>
        </w:rPr>
        <w:t>3</w:t>
      </w:r>
      <w:r w:rsidR="00A17CE6" w:rsidRPr="00092862">
        <w:rPr>
          <w:rFonts w:ascii="Times New Roman" w:eastAsia="宋体" w:hAnsi="Times New Roman" w:cs="Times New Roman"/>
          <w:color w:val="000000" w:themeColor="text1"/>
          <w:sz w:val="24"/>
        </w:rPr>
        <w:t>-1</w:t>
      </w:r>
      <w:r w:rsidR="006A6E79"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w:t>
      </w:r>
    </w:p>
    <w:p w14:paraId="38A0751C" w14:textId="77777777" w:rsidR="00964A71" w:rsidRPr="00092862" w:rsidRDefault="00964A71" w:rsidP="00964A71">
      <w:pPr>
        <w:adjustRightInd w:val="0"/>
        <w:snapToGrid w:val="0"/>
        <w:spacing w:line="360" w:lineRule="auto"/>
        <w:jc w:val="center"/>
        <w:rPr>
          <w:rFonts w:ascii="Times New Roman" w:hAnsi="Times New Roman" w:cs="Times New Roman"/>
          <w:color w:val="000000" w:themeColor="text1"/>
          <w:sz w:val="24"/>
        </w:rPr>
      </w:pPr>
      <w:r w:rsidRPr="00092862">
        <w:rPr>
          <w:rFonts w:ascii="Times New Roman" w:hAnsi="Times New Roman" w:cs="Times New Roman"/>
          <w:noProof/>
          <w:color w:val="000000" w:themeColor="text1"/>
          <w:sz w:val="24"/>
        </w:rPr>
        <w:drawing>
          <wp:inline distT="0" distB="0" distL="0" distR="0" wp14:anchorId="2FA7569E" wp14:editId="41B2ACF6">
            <wp:extent cx="5046016" cy="1852551"/>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55575" cy="1856060"/>
                    </a:xfrm>
                    <a:prstGeom prst="rect">
                      <a:avLst/>
                    </a:prstGeom>
                    <a:noFill/>
                    <a:ln>
                      <a:noFill/>
                    </a:ln>
                  </pic:spPr>
                </pic:pic>
              </a:graphicData>
            </a:graphic>
          </wp:inline>
        </w:drawing>
      </w:r>
    </w:p>
    <w:p w14:paraId="7EB98B5C" w14:textId="77777777" w:rsidR="00964A71" w:rsidRPr="00092862" w:rsidRDefault="00964A71" w:rsidP="008C28E1">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A17CE6" w:rsidRPr="00092862">
        <w:rPr>
          <w:rFonts w:ascii="Times New Roman" w:eastAsia="黑体" w:hAnsi="Times New Roman" w:cs="Times New Roman"/>
          <w:color w:val="000000" w:themeColor="text1"/>
          <w:szCs w:val="21"/>
        </w:rPr>
        <w:t>3.</w:t>
      </w:r>
      <w:r w:rsidR="00FE4B41" w:rsidRPr="00092862">
        <w:rPr>
          <w:rFonts w:ascii="Times New Roman" w:eastAsia="黑体" w:hAnsi="Times New Roman" w:cs="Times New Roman"/>
          <w:color w:val="000000" w:themeColor="text1"/>
          <w:szCs w:val="21"/>
        </w:rPr>
        <w:t>3</w:t>
      </w:r>
      <w:r w:rsidR="00A17CE6" w:rsidRPr="00092862">
        <w:rPr>
          <w:rFonts w:ascii="Times New Roman" w:eastAsia="黑体" w:hAnsi="Times New Roman" w:cs="Times New Roman"/>
          <w:color w:val="000000" w:themeColor="text1"/>
          <w:szCs w:val="21"/>
        </w:rPr>
        <w:t>-</w:t>
      </w:r>
      <w:r w:rsidR="006A6E79" w:rsidRPr="00092862">
        <w:rPr>
          <w:rFonts w:ascii="Times New Roman" w:eastAsia="黑体" w:hAnsi="Times New Roman" w:cs="Times New Roman"/>
          <w:color w:val="000000" w:themeColor="text1"/>
          <w:szCs w:val="21"/>
        </w:rPr>
        <w:t>11</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压裂作业示意图</w:t>
      </w:r>
    </w:p>
    <w:p w14:paraId="2F24409C" w14:textId="77777777"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测试放喷</w:t>
      </w:r>
    </w:p>
    <w:p w14:paraId="0E8B3D3B" w14:textId="48D109BD" w:rsidR="00893738" w:rsidRPr="00092862" w:rsidRDefault="00147764" w:rsidP="00893738">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天然气测试放喷前需换装井口接测试管线，井内天然气经该管线，通过专用产量测试仪器测定天然气产量及气质。为了测试安全和减轻对环境的污染，点火烧掉测试放喷的天然气，测试放喷燃烧筒一般为高度</w:t>
      </w:r>
      <w:r w:rsidRPr="00092862">
        <w:rPr>
          <w:rFonts w:ascii="Times New Roman" w:eastAsia="宋体" w:hAnsi="Times New Roman" w:cs="Times New Roman"/>
          <w:color w:val="000000" w:themeColor="text1"/>
          <w:sz w:val="24"/>
        </w:rPr>
        <w:t>1m</w:t>
      </w:r>
      <w:r w:rsidRPr="00092862">
        <w:rPr>
          <w:rFonts w:ascii="Times New Roman" w:eastAsia="宋体" w:hAnsi="Times New Roman" w:cs="Times New Roman"/>
          <w:color w:val="000000" w:themeColor="text1"/>
          <w:sz w:val="24"/>
        </w:rPr>
        <w:t>的地面火炬，燃烧池内放喷，燃烧池设有耐火砖挡墙减轻热辐射影响。出于安全操作和有利于燃烧废气污染物大气扩散考虑，测试放喷一般在白天进行</w:t>
      </w:r>
      <w:r w:rsidR="00893738" w:rsidRPr="00092862">
        <w:rPr>
          <w:rFonts w:ascii="Times New Roman" w:eastAsia="宋体" w:hAnsi="Times New Roman" w:cs="Times New Roman"/>
          <w:color w:val="000000" w:themeColor="text1"/>
          <w:sz w:val="24"/>
        </w:rPr>
        <w:t>。</w:t>
      </w:r>
    </w:p>
    <w:p w14:paraId="54F1F4D7" w14:textId="46A97DB8" w:rsidR="00964A71" w:rsidRPr="00092862" w:rsidRDefault="00964A71" w:rsidP="00893738">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w:t>
      </w:r>
      <w:r w:rsidR="00926944" w:rsidRPr="00092862">
        <w:rPr>
          <w:rFonts w:ascii="Times New Roman" w:eastAsia="宋体" w:hAnsi="Times New Roman" w:cs="Times New Roman"/>
          <w:color w:val="000000" w:themeColor="text1"/>
          <w:sz w:val="24"/>
        </w:rPr>
        <w:t>完井搬迁及恢复</w:t>
      </w:r>
    </w:p>
    <w:p w14:paraId="614ABA24" w14:textId="6883FB8D" w:rsidR="00964A71" w:rsidRPr="00092862" w:rsidRDefault="00964A71" w:rsidP="00964A7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测试结果若表明气井有工业</w:t>
      </w:r>
      <w:r w:rsidR="00625D3A"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的价值，则在井口装上采气装置采气，其余设备将拆除搬迁，对基础进行拆除，场地进行平整，并对井场废弃物进行无害化治理。若不产天然气或所产气量无工业</w:t>
      </w:r>
      <w:r w:rsidR="00625D3A"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color w:val="000000" w:themeColor="text1"/>
          <w:sz w:val="24"/>
        </w:rPr>
        <w:t>价值</w:t>
      </w:r>
      <w:r w:rsidR="00727B37" w:rsidRPr="00092862">
        <w:rPr>
          <w:rFonts w:ascii="Times New Roman" w:eastAsia="宋体" w:hAnsi="Times New Roman" w:cs="Times New Roman"/>
          <w:color w:val="000000" w:themeColor="text1"/>
          <w:sz w:val="24"/>
        </w:rPr>
        <w:t>且确定无后续开发计划后</w:t>
      </w:r>
      <w:r w:rsidRPr="00092862">
        <w:rPr>
          <w:rFonts w:ascii="Times New Roman" w:eastAsia="宋体" w:hAnsi="Times New Roman" w:cs="Times New Roman"/>
          <w:color w:val="000000" w:themeColor="text1"/>
          <w:sz w:val="24"/>
        </w:rPr>
        <w:t>，则将井口用水泥封固后搬迁。搬迁前钻后污染物应得到妥善处理，做到工完、料净、场地清，放弃的井场应尽可能地恢复其原来的土地利用状况或者按土地承包人的意愿转换土地用途。此过程对环境基本无影响。</w:t>
      </w:r>
    </w:p>
    <w:p w14:paraId="0AD3CF59" w14:textId="247CFB7C" w:rsidR="003073C2" w:rsidRPr="00092862" w:rsidRDefault="003073C2" w:rsidP="003073C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搬迁前钻后污染物应得到妥善处理，做到工完、料净、场地清，放弃的井</w:t>
      </w:r>
      <w:r w:rsidRPr="00092862">
        <w:rPr>
          <w:rFonts w:ascii="Times New Roman" w:eastAsia="宋体" w:hAnsi="Times New Roman" w:cs="Times New Roman"/>
          <w:color w:val="000000" w:themeColor="text1"/>
          <w:sz w:val="24"/>
        </w:rPr>
        <w:lastRenderedPageBreak/>
        <w:t>场应尽可能恢复其原来的土地利用状况或者按土地承包人的意愿转换土地用途。建设单位依法办理环保手续并按照钻井井场环保标准进行验收，验收合格方可交井，并对后续可能出现的环保问题负责。</w:t>
      </w:r>
    </w:p>
    <w:p w14:paraId="7AC63BC1" w14:textId="0DFD64B0" w:rsidR="003073C2" w:rsidRPr="00092862" w:rsidRDefault="003073C2" w:rsidP="003073C2">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）钻</w:t>
      </w:r>
      <w:r w:rsidR="0053227B" w:rsidRPr="00092862">
        <w:rPr>
          <w:rFonts w:ascii="Times New Roman" w:eastAsia="宋体" w:hAnsi="Times New Roman" w:cs="Times New Roman"/>
          <w:b/>
          <w:color w:val="000000" w:themeColor="text1"/>
          <w:sz w:val="24"/>
          <w:szCs w:val="24"/>
        </w:rPr>
        <w:t>完</w:t>
      </w:r>
      <w:r w:rsidRPr="00092862">
        <w:rPr>
          <w:rFonts w:ascii="Times New Roman" w:eastAsia="宋体" w:hAnsi="Times New Roman" w:cs="Times New Roman"/>
          <w:b/>
          <w:color w:val="000000" w:themeColor="text1"/>
          <w:sz w:val="24"/>
          <w:szCs w:val="24"/>
        </w:rPr>
        <w:t>井工程产污环节分析</w:t>
      </w:r>
    </w:p>
    <w:p w14:paraId="21EF64AF" w14:textId="77777777" w:rsidR="003073C2" w:rsidRPr="00092862" w:rsidRDefault="003073C2" w:rsidP="003073C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）钻井工程</w:t>
      </w:r>
    </w:p>
    <w:p w14:paraId="77F653EE" w14:textId="469FE198" w:rsidR="003073C2" w:rsidRPr="00092862" w:rsidRDefault="00FE5317" w:rsidP="003073C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钻井</w:t>
      </w:r>
      <w:r w:rsidR="003073C2" w:rsidRPr="00092862">
        <w:rPr>
          <w:rFonts w:ascii="Times New Roman" w:eastAsia="宋体" w:hAnsi="Times New Roman" w:cs="Times New Roman"/>
          <w:bCs/>
          <w:color w:val="000000" w:themeColor="text1"/>
          <w:sz w:val="24"/>
          <w:szCs w:val="24"/>
        </w:rPr>
        <w:t>期间主要的环境影响因素是备用柴油机运行产生的废气，</w:t>
      </w:r>
      <w:r w:rsidRPr="00092862">
        <w:rPr>
          <w:rFonts w:ascii="Times New Roman" w:eastAsia="宋体" w:hAnsi="Times New Roman" w:cs="Times New Roman"/>
          <w:bCs/>
          <w:color w:val="000000" w:themeColor="text1"/>
          <w:sz w:val="24"/>
          <w:szCs w:val="24"/>
        </w:rPr>
        <w:t>钻井</w:t>
      </w:r>
      <w:r w:rsidR="003073C2" w:rsidRPr="00092862">
        <w:rPr>
          <w:rFonts w:ascii="Times New Roman" w:eastAsia="宋体" w:hAnsi="Times New Roman" w:cs="Times New Roman"/>
          <w:bCs/>
          <w:color w:val="000000" w:themeColor="text1"/>
          <w:sz w:val="24"/>
          <w:szCs w:val="24"/>
        </w:rPr>
        <w:t>、起下钻和固井作业等产生的钻井废水，机械设备运转时产生的噪声，以及钻井固废、废弃泥浆、废油等固体废物。</w:t>
      </w:r>
    </w:p>
    <w:p w14:paraId="3FFEC0CE" w14:textId="77777777" w:rsidR="003073C2" w:rsidRPr="00092862" w:rsidRDefault="003073C2" w:rsidP="003073C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）完井测试</w:t>
      </w:r>
    </w:p>
    <w:p w14:paraId="2B3775AE" w14:textId="0CCA0D6F" w:rsidR="003073C2" w:rsidRPr="00092862" w:rsidRDefault="003073C2" w:rsidP="003073C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压裂作业主要污染为压裂过程中会产生噪声、施工人员生活垃圾和</w:t>
      </w:r>
      <w:r w:rsidR="00540655" w:rsidRPr="00092862">
        <w:rPr>
          <w:rFonts w:ascii="Times New Roman" w:eastAsia="宋体" w:hAnsi="Times New Roman" w:cs="Times New Roman"/>
          <w:bCs/>
          <w:color w:val="000000" w:themeColor="text1"/>
          <w:sz w:val="24"/>
          <w:szCs w:val="24"/>
        </w:rPr>
        <w:t>生活污水</w:t>
      </w:r>
      <w:r w:rsidRPr="00092862">
        <w:rPr>
          <w:rFonts w:ascii="Times New Roman" w:eastAsia="宋体" w:hAnsi="Times New Roman" w:cs="Times New Roman"/>
          <w:bCs/>
          <w:color w:val="000000" w:themeColor="text1"/>
          <w:sz w:val="24"/>
          <w:szCs w:val="24"/>
        </w:rPr>
        <w:t>，测试放喷阶段的污染物主要是压裂返排液、天然气点火产生的废气、气流噪声以及热辐射影响。</w:t>
      </w:r>
    </w:p>
    <w:p w14:paraId="2EA411D1" w14:textId="38EA634E" w:rsidR="00532E38" w:rsidRPr="00092862" w:rsidRDefault="00D851E8" w:rsidP="00D851E8">
      <w:pPr>
        <w:adjustRightInd w:val="0"/>
        <w:snapToGrid w:val="0"/>
        <w:spacing w:line="360" w:lineRule="auto"/>
        <w:ind w:firstLineChars="200" w:firstLine="480"/>
        <w:outlineLvl w:val="3"/>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3.3.1.3</w:t>
      </w:r>
      <w:r w:rsidR="006617A7" w:rsidRPr="00092862">
        <w:rPr>
          <w:rFonts w:ascii="Times New Roman" w:eastAsia="宋体" w:hAnsi="Times New Roman" w:cs="Times New Roman"/>
          <w:color w:val="000000" w:themeColor="text1"/>
          <w:sz w:val="24"/>
        </w:rPr>
        <w:t>站场</w:t>
      </w:r>
      <w:r w:rsidR="00532E38" w:rsidRPr="00092862">
        <w:rPr>
          <w:rFonts w:ascii="Times New Roman" w:eastAsia="宋体" w:hAnsi="Times New Roman" w:cs="Times New Roman"/>
          <w:color w:val="000000" w:themeColor="text1"/>
          <w:sz w:val="24"/>
        </w:rPr>
        <w:t>工程</w:t>
      </w:r>
    </w:p>
    <w:p w14:paraId="6509C029" w14:textId="2E58ACD4" w:rsidR="00912620" w:rsidRPr="00092862" w:rsidRDefault="00532E38" w:rsidP="00912620">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w:t>
      </w:r>
      <w:r w:rsidR="007E5DB8" w:rsidRPr="00092862">
        <w:rPr>
          <w:rFonts w:ascii="Times New Roman" w:eastAsia="宋体" w:hAnsi="Times New Roman" w:cs="Times New Roman"/>
          <w:bCs/>
          <w:color w:val="000000" w:themeColor="text1"/>
          <w:sz w:val="24"/>
          <w:szCs w:val="24"/>
        </w:rPr>
        <w:t>新建的</w:t>
      </w:r>
      <w:r w:rsidR="007E5DB8" w:rsidRPr="00092862">
        <w:rPr>
          <w:rFonts w:ascii="Times New Roman" w:eastAsia="宋体" w:hAnsi="Times New Roman" w:cs="Times New Roman"/>
          <w:color w:val="000000" w:themeColor="text1"/>
          <w:sz w:val="24"/>
        </w:rPr>
        <w:t>L7011-4H</w:t>
      </w:r>
      <w:r w:rsidR="007E5DB8" w:rsidRPr="00092862">
        <w:rPr>
          <w:rFonts w:ascii="Times New Roman" w:eastAsia="宋体" w:hAnsi="Times New Roman" w:cs="Times New Roman"/>
          <w:color w:val="000000" w:themeColor="text1"/>
          <w:sz w:val="24"/>
        </w:rPr>
        <w:t>、</w:t>
      </w:r>
      <w:r w:rsidR="007E5DB8" w:rsidRPr="00092862">
        <w:rPr>
          <w:rFonts w:ascii="Times New Roman" w:eastAsia="宋体" w:hAnsi="Times New Roman" w:cs="Times New Roman"/>
          <w:color w:val="000000" w:themeColor="text1"/>
          <w:sz w:val="24"/>
        </w:rPr>
        <w:t>L7011-5H</w:t>
      </w:r>
      <w:r w:rsidR="007E5DB8" w:rsidRPr="00092862">
        <w:rPr>
          <w:rFonts w:ascii="Times New Roman" w:eastAsia="宋体" w:hAnsi="Times New Roman" w:cs="Times New Roman"/>
          <w:color w:val="000000" w:themeColor="text1"/>
          <w:sz w:val="24"/>
        </w:rPr>
        <w:t>井井口气汇合后通过新建采气管道（</w:t>
      </w:r>
      <w:r w:rsidR="007E5DB8" w:rsidRPr="00092862">
        <w:rPr>
          <w:rFonts w:ascii="Times New Roman" w:eastAsia="宋体" w:hAnsi="Times New Roman" w:cs="Times New Roman"/>
          <w:color w:val="000000" w:themeColor="text1"/>
          <w:sz w:val="24"/>
        </w:rPr>
        <w:t>40m</w:t>
      </w:r>
      <w:r w:rsidR="007E5DB8" w:rsidRPr="00092862">
        <w:rPr>
          <w:rFonts w:ascii="Times New Roman" w:eastAsia="宋体" w:hAnsi="Times New Roman" w:cs="Times New Roman"/>
          <w:color w:val="000000" w:themeColor="text1"/>
          <w:sz w:val="24"/>
        </w:rPr>
        <w:t>）输送至老君</w:t>
      </w:r>
      <w:r w:rsidR="007E5DB8" w:rsidRPr="00092862">
        <w:rPr>
          <w:rFonts w:ascii="Times New Roman" w:eastAsia="宋体" w:hAnsi="Times New Roman" w:cs="Times New Roman"/>
          <w:color w:val="000000" w:themeColor="text1"/>
          <w:sz w:val="24"/>
        </w:rPr>
        <w:t>701</w:t>
      </w:r>
      <w:r w:rsidR="007E5DB8" w:rsidRPr="00092862">
        <w:rPr>
          <w:rFonts w:ascii="Times New Roman" w:eastAsia="宋体" w:hAnsi="Times New Roman" w:cs="Times New Roman"/>
          <w:color w:val="000000" w:themeColor="text1"/>
          <w:sz w:val="24"/>
        </w:rPr>
        <w:t>集气站，依托老君</w:t>
      </w:r>
      <w:r w:rsidR="007E5DB8" w:rsidRPr="00092862">
        <w:rPr>
          <w:rFonts w:ascii="Times New Roman" w:eastAsia="宋体" w:hAnsi="Times New Roman" w:cs="Times New Roman"/>
          <w:color w:val="000000" w:themeColor="text1"/>
          <w:sz w:val="24"/>
        </w:rPr>
        <w:t>701</w:t>
      </w:r>
      <w:r w:rsidR="007E5DB8" w:rsidRPr="00092862">
        <w:rPr>
          <w:rFonts w:ascii="Times New Roman" w:eastAsia="宋体" w:hAnsi="Times New Roman" w:cs="Times New Roman"/>
          <w:color w:val="000000" w:themeColor="text1"/>
          <w:sz w:val="24"/>
        </w:rPr>
        <w:t>集气站内分酸、加热、节流、分离后输至天然气净化厂。本次工程仅新建老君</w:t>
      </w:r>
      <w:r w:rsidR="007E5DB8" w:rsidRPr="00092862">
        <w:rPr>
          <w:rFonts w:ascii="Times New Roman" w:eastAsia="宋体" w:hAnsi="Times New Roman" w:cs="Times New Roman"/>
          <w:color w:val="000000" w:themeColor="text1"/>
          <w:sz w:val="24"/>
        </w:rPr>
        <w:t>7011</w:t>
      </w:r>
      <w:r w:rsidR="007E5DB8" w:rsidRPr="00092862">
        <w:rPr>
          <w:rFonts w:ascii="Times New Roman" w:eastAsia="宋体" w:hAnsi="Times New Roman" w:cs="Times New Roman"/>
          <w:color w:val="000000" w:themeColor="text1"/>
          <w:sz w:val="24"/>
        </w:rPr>
        <w:t>采气站</w:t>
      </w:r>
      <w:r w:rsidR="007E5DB8" w:rsidRPr="00092862">
        <w:rPr>
          <w:rFonts w:ascii="Times New Roman" w:eastAsia="宋体" w:hAnsi="Times New Roman" w:cs="Times New Roman"/>
          <w:color w:val="000000" w:themeColor="text1"/>
          <w:sz w:val="24"/>
        </w:rPr>
        <w:t>1</w:t>
      </w:r>
      <w:r w:rsidR="007E5DB8" w:rsidRPr="00092862">
        <w:rPr>
          <w:rFonts w:ascii="Times New Roman" w:eastAsia="宋体" w:hAnsi="Times New Roman" w:cs="Times New Roman"/>
          <w:color w:val="000000" w:themeColor="text1"/>
          <w:sz w:val="24"/>
        </w:rPr>
        <w:t>座，内部仅设置水套加热炉</w:t>
      </w:r>
      <w:r w:rsidR="007E5DB8" w:rsidRPr="00092862">
        <w:rPr>
          <w:rFonts w:ascii="Times New Roman" w:eastAsia="宋体" w:hAnsi="Times New Roman" w:cs="Times New Roman"/>
          <w:color w:val="000000" w:themeColor="text1"/>
          <w:sz w:val="24"/>
        </w:rPr>
        <w:t>1</w:t>
      </w:r>
      <w:r w:rsidR="007E5DB8" w:rsidRPr="00092862">
        <w:rPr>
          <w:rFonts w:ascii="Times New Roman" w:eastAsia="宋体" w:hAnsi="Times New Roman" w:cs="Times New Roman"/>
          <w:color w:val="000000" w:themeColor="text1"/>
          <w:sz w:val="24"/>
        </w:rPr>
        <w:t>座，其余生产分离器等均依托老君</w:t>
      </w:r>
      <w:r w:rsidR="007E5DB8" w:rsidRPr="00092862">
        <w:rPr>
          <w:rFonts w:ascii="Times New Roman" w:eastAsia="宋体" w:hAnsi="Times New Roman" w:cs="Times New Roman"/>
          <w:color w:val="000000" w:themeColor="text1"/>
          <w:sz w:val="24"/>
        </w:rPr>
        <w:t>701</w:t>
      </w:r>
      <w:r w:rsidR="007E5DB8" w:rsidRPr="00092862">
        <w:rPr>
          <w:rFonts w:ascii="Times New Roman" w:eastAsia="宋体" w:hAnsi="Times New Roman" w:cs="Times New Roman"/>
          <w:color w:val="000000" w:themeColor="text1"/>
          <w:sz w:val="24"/>
        </w:rPr>
        <w:t>站内已建流程，配套建设自控、电力、结构等设施</w:t>
      </w:r>
      <w:r w:rsidRPr="00092862">
        <w:rPr>
          <w:rFonts w:ascii="Times New Roman" w:eastAsia="宋体" w:hAnsi="Times New Roman" w:cs="Times New Roman"/>
          <w:bCs/>
          <w:color w:val="000000" w:themeColor="text1"/>
          <w:sz w:val="24"/>
          <w:szCs w:val="24"/>
        </w:rPr>
        <w:t>。</w:t>
      </w:r>
    </w:p>
    <w:p w14:paraId="0BDA3093" w14:textId="2A5636A7" w:rsidR="00912620" w:rsidRPr="00092862" w:rsidRDefault="00532E38" w:rsidP="00912620">
      <w:pPr>
        <w:adjustRightInd w:val="0"/>
        <w:snapToGrid w:val="0"/>
        <w:spacing w:line="360" w:lineRule="auto"/>
        <w:ind w:firstLineChars="200" w:firstLine="482"/>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w:t>
      </w:r>
      <w:r w:rsidR="006617A7" w:rsidRPr="00092862">
        <w:rPr>
          <w:rFonts w:ascii="Times New Roman" w:eastAsia="宋体" w:hAnsi="Times New Roman" w:cs="Times New Roman"/>
          <w:b/>
          <w:bCs/>
          <w:color w:val="000000" w:themeColor="text1"/>
          <w:sz w:val="24"/>
        </w:rPr>
        <w:t>站场</w:t>
      </w:r>
      <w:r w:rsidRPr="00092862">
        <w:rPr>
          <w:rFonts w:ascii="Times New Roman" w:eastAsia="宋体" w:hAnsi="Times New Roman" w:cs="Times New Roman"/>
          <w:b/>
          <w:bCs/>
          <w:color w:val="000000" w:themeColor="text1"/>
          <w:sz w:val="24"/>
        </w:rPr>
        <w:t>工程工艺流程简述</w:t>
      </w:r>
    </w:p>
    <w:p w14:paraId="44E27C05" w14:textId="77E0CD68" w:rsidR="009E4D67" w:rsidRPr="00092862" w:rsidRDefault="007E5DB8" w:rsidP="009E4D67">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采气站的</w:t>
      </w:r>
      <w:r w:rsidR="00FB30A8" w:rsidRPr="00092862">
        <w:rPr>
          <w:rFonts w:ascii="Times New Roman" w:eastAsia="宋体" w:hAnsi="Times New Roman" w:cs="Times New Roman"/>
          <w:bCs/>
          <w:color w:val="000000" w:themeColor="text1"/>
          <w:sz w:val="24"/>
          <w:szCs w:val="24"/>
        </w:rPr>
        <w:t>工程</w:t>
      </w:r>
      <w:r w:rsidRPr="00092862">
        <w:rPr>
          <w:rFonts w:ascii="Times New Roman" w:eastAsia="宋体" w:hAnsi="Times New Roman" w:cs="Times New Roman"/>
          <w:bCs/>
          <w:color w:val="000000" w:themeColor="text1"/>
          <w:sz w:val="24"/>
          <w:szCs w:val="24"/>
        </w:rPr>
        <w:t>在原井场占地上建设，工艺设备简单，</w:t>
      </w:r>
      <w:r w:rsidR="00FB30A8" w:rsidRPr="00092862">
        <w:rPr>
          <w:rFonts w:ascii="Times New Roman" w:eastAsia="宋体" w:hAnsi="Times New Roman" w:cs="Times New Roman"/>
          <w:bCs/>
          <w:color w:val="000000" w:themeColor="text1"/>
          <w:sz w:val="24"/>
          <w:szCs w:val="24"/>
        </w:rPr>
        <w:t>施工工艺如下：基础施工</w:t>
      </w:r>
      <w:r w:rsidR="00FB30A8" w:rsidRPr="00092862">
        <w:rPr>
          <w:rFonts w:ascii="Times New Roman" w:eastAsia="宋体" w:hAnsi="Times New Roman" w:cs="Times New Roman"/>
          <w:bCs/>
          <w:color w:val="000000" w:themeColor="text1"/>
          <w:sz w:val="24"/>
          <w:szCs w:val="24"/>
        </w:rPr>
        <w:t>→</w:t>
      </w:r>
      <w:r w:rsidR="00FB30A8" w:rsidRPr="00092862">
        <w:rPr>
          <w:rFonts w:ascii="Times New Roman" w:eastAsia="宋体" w:hAnsi="Times New Roman" w:cs="Times New Roman"/>
          <w:bCs/>
          <w:color w:val="000000" w:themeColor="text1"/>
          <w:sz w:val="24"/>
          <w:szCs w:val="24"/>
        </w:rPr>
        <w:t>设备安装</w:t>
      </w:r>
      <w:r w:rsidR="00FB30A8" w:rsidRPr="00092862">
        <w:rPr>
          <w:rFonts w:ascii="Times New Roman" w:eastAsia="宋体" w:hAnsi="Times New Roman" w:cs="Times New Roman"/>
          <w:bCs/>
          <w:color w:val="000000" w:themeColor="text1"/>
          <w:sz w:val="24"/>
          <w:szCs w:val="24"/>
        </w:rPr>
        <w:t>→</w:t>
      </w:r>
      <w:r w:rsidR="00FB30A8" w:rsidRPr="00092862">
        <w:rPr>
          <w:rFonts w:ascii="Times New Roman" w:eastAsia="宋体" w:hAnsi="Times New Roman" w:cs="Times New Roman"/>
          <w:bCs/>
          <w:color w:val="000000" w:themeColor="text1"/>
          <w:sz w:val="24"/>
          <w:szCs w:val="24"/>
        </w:rPr>
        <w:t>地面恢复。施工过程中先采用</w:t>
      </w:r>
      <w:r w:rsidRPr="00092862">
        <w:rPr>
          <w:rFonts w:ascii="Times New Roman" w:eastAsia="宋体" w:hAnsi="Times New Roman" w:cs="Times New Roman"/>
          <w:bCs/>
          <w:color w:val="000000" w:themeColor="text1"/>
          <w:sz w:val="24"/>
          <w:szCs w:val="24"/>
        </w:rPr>
        <w:t>施工设备</w:t>
      </w:r>
      <w:r w:rsidR="00FB30A8" w:rsidRPr="00092862">
        <w:rPr>
          <w:rFonts w:ascii="Times New Roman" w:eastAsia="宋体" w:hAnsi="Times New Roman" w:cs="Times New Roman"/>
          <w:bCs/>
          <w:color w:val="000000" w:themeColor="text1"/>
          <w:sz w:val="24"/>
          <w:szCs w:val="24"/>
        </w:rPr>
        <w:t>对场地进行夯实，敷设管道等。最后采用石子、碎石等对场地进行硬化，</w:t>
      </w:r>
      <w:r w:rsidRPr="00092862">
        <w:rPr>
          <w:rFonts w:ascii="Times New Roman" w:eastAsia="宋体" w:hAnsi="Times New Roman" w:cs="Times New Roman"/>
          <w:bCs/>
          <w:color w:val="000000" w:themeColor="text1"/>
          <w:sz w:val="24"/>
          <w:szCs w:val="24"/>
        </w:rPr>
        <w:t>再</w:t>
      </w:r>
      <w:r w:rsidR="00FB30A8" w:rsidRPr="00092862">
        <w:rPr>
          <w:rFonts w:ascii="Times New Roman" w:eastAsia="宋体" w:hAnsi="Times New Roman" w:cs="Times New Roman"/>
          <w:bCs/>
          <w:color w:val="000000" w:themeColor="text1"/>
          <w:sz w:val="24"/>
          <w:szCs w:val="24"/>
        </w:rPr>
        <w:t>安装</w:t>
      </w:r>
      <w:r w:rsidRPr="00092862">
        <w:rPr>
          <w:rFonts w:ascii="Times New Roman" w:eastAsia="宋体" w:hAnsi="Times New Roman" w:cs="Times New Roman"/>
          <w:bCs/>
          <w:color w:val="000000" w:themeColor="text1"/>
          <w:sz w:val="24"/>
          <w:szCs w:val="24"/>
        </w:rPr>
        <w:t>水套加热炉、</w:t>
      </w:r>
      <w:r w:rsidR="00FB30A8" w:rsidRPr="00092862">
        <w:rPr>
          <w:rFonts w:ascii="Times New Roman" w:eastAsia="宋体" w:hAnsi="Times New Roman" w:cs="Times New Roman"/>
          <w:bCs/>
          <w:color w:val="000000" w:themeColor="text1"/>
          <w:sz w:val="24"/>
          <w:szCs w:val="24"/>
        </w:rPr>
        <w:t>集气</w:t>
      </w:r>
      <w:r w:rsidRPr="00092862">
        <w:rPr>
          <w:rFonts w:ascii="Times New Roman" w:eastAsia="宋体" w:hAnsi="Times New Roman" w:cs="Times New Roman"/>
          <w:bCs/>
          <w:color w:val="000000" w:themeColor="text1"/>
          <w:sz w:val="24"/>
          <w:szCs w:val="24"/>
        </w:rPr>
        <w:t>管道等</w:t>
      </w:r>
      <w:r w:rsidR="009E4D67" w:rsidRPr="00092862">
        <w:rPr>
          <w:rFonts w:ascii="Times New Roman" w:eastAsia="宋体" w:hAnsi="Times New Roman" w:cs="Times New Roman"/>
          <w:bCs/>
          <w:color w:val="000000" w:themeColor="text1"/>
          <w:sz w:val="24"/>
          <w:szCs w:val="24"/>
        </w:rPr>
        <w:t>。</w:t>
      </w:r>
    </w:p>
    <w:p w14:paraId="734500CC" w14:textId="5BD36489" w:rsidR="00D01DF1" w:rsidRPr="00092862" w:rsidRDefault="006617A7" w:rsidP="00D01DF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
          <w:bCs/>
          <w:color w:val="000000" w:themeColor="text1"/>
          <w:sz w:val="24"/>
        </w:rPr>
        <w:t>站场工程</w:t>
      </w:r>
      <w:r w:rsidRPr="00092862">
        <w:rPr>
          <w:rFonts w:ascii="Times New Roman" w:eastAsia="宋体" w:hAnsi="Times New Roman" w:cs="Times New Roman"/>
          <w:b/>
          <w:color w:val="000000" w:themeColor="text1"/>
          <w:sz w:val="24"/>
          <w:szCs w:val="24"/>
        </w:rPr>
        <w:t>产污环节分析</w:t>
      </w:r>
    </w:p>
    <w:p w14:paraId="6281077F" w14:textId="005210DC" w:rsidR="00D01DF1" w:rsidRPr="00092862" w:rsidRDefault="00B16C28" w:rsidP="00D01DF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站场建设过程产生扬尘、机械设备噪声、施工队生活污水、混凝土搅拌废水、生活垃圾及建筑垃圾等。这些污染贯穿整个施工过程，但站场部分施工量小，施工时间较短，污染物产生量少。</w:t>
      </w:r>
    </w:p>
    <w:p w14:paraId="09AA5BB2" w14:textId="42E910C4" w:rsidR="00DC446C" w:rsidRPr="00092862" w:rsidRDefault="003B1968" w:rsidP="003D2EEB">
      <w:pPr>
        <w:pStyle w:val="3"/>
        <w:adjustRightInd w:val="0"/>
        <w:snapToGrid w:val="0"/>
        <w:spacing w:before="0" w:after="0" w:line="360" w:lineRule="auto"/>
        <w:ind w:firstLineChars="200" w:firstLine="480"/>
        <w:rPr>
          <w:rFonts w:ascii="Times New Roman" w:hAnsi="Times New Roman"/>
          <w:b w:val="0"/>
          <w:color w:val="000000" w:themeColor="text1"/>
          <w:sz w:val="24"/>
          <w:szCs w:val="24"/>
          <w:lang w:eastAsia="zh-CN"/>
        </w:rPr>
      </w:pPr>
      <w:bookmarkStart w:id="117" w:name="3.3.2营运期污染源"/>
      <w:bookmarkStart w:id="118" w:name="_Toc120173109"/>
      <w:bookmarkEnd w:id="117"/>
      <w:r w:rsidRPr="00092862">
        <w:rPr>
          <w:rFonts w:ascii="Times New Roman" w:hAnsi="Times New Roman"/>
          <w:b w:val="0"/>
          <w:color w:val="000000" w:themeColor="text1"/>
          <w:sz w:val="24"/>
          <w:szCs w:val="24"/>
          <w:lang w:eastAsia="zh-CN"/>
        </w:rPr>
        <w:t>3.3.2</w:t>
      </w:r>
      <w:r w:rsidR="001A6854" w:rsidRPr="00092862">
        <w:rPr>
          <w:rFonts w:ascii="Times New Roman" w:hAnsi="Times New Roman"/>
          <w:b w:val="0"/>
          <w:color w:val="000000" w:themeColor="text1"/>
          <w:sz w:val="24"/>
          <w:szCs w:val="24"/>
          <w:lang w:eastAsia="zh-CN"/>
        </w:rPr>
        <w:t>试采期</w:t>
      </w:r>
      <w:r w:rsidRPr="00092862">
        <w:rPr>
          <w:rFonts w:ascii="Times New Roman" w:hAnsi="Times New Roman"/>
          <w:b w:val="0"/>
          <w:color w:val="000000" w:themeColor="text1"/>
          <w:sz w:val="24"/>
          <w:szCs w:val="24"/>
          <w:lang w:eastAsia="zh-CN"/>
        </w:rPr>
        <w:t>工程分析</w:t>
      </w:r>
      <w:bookmarkEnd w:id="118"/>
    </w:p>
    <w:p w14:paraId="678C7A14" w14:textId="1D75A535" w:rsidR="00DC446C" w:rsidRPr="00092862" w:rsidRDefault="00716E30"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如钻井完毕并通过测试获得天然气，则进行地面建设工程，本项目</w:t>
      </w:r>
      <w:r w:rsidR="00F95A86" w:rsidRPr="00092862">
        <w:rPr>
          <w:rFonts w:ascii="Times New Roman" w:eastAsia="宋体" w:hAnsi="Times New Roman" w:cs="Times New Roman"/>
          <w:bCs/>
          <w:color w:val="000000" w:themeColor="text1"/>
          <w:sz w:val="24"/>
          <w:szCs w:val="24"/>
        </w:rPr>
        <w:t>利用</w:t>
      </w:r>
      <w:r w:rsidR="003C3238" w:rsidRPr="00092862">
        <w:rPr>
          <w:rFonts w:ascii="Times New Roman" w:eastAsia="宋体" w:hAnsi="Times New Roman" w:cs="Times New Roman"/>
          <w:bCs/>
          <w:color w:val="000000" w:themeColor="text1"/>
          <w:sz w:val="24"/>
          <w:szCs w:val="24"/>
        </w:rPr>
        <w:t>老君</w:t>
      </w:r>
      <w:r w:rsidR="003C3238" w:rsidRPr="00092862">
        <w:rPr>
          <w:rFonts w:ascii="Times New Roman" w:eastAsia="宋体" w:hAnsi="Times New Roman" w:cs="Times New Roman"/>
          <w:bCs/>
          <w:color w:val="000000" w:themeColor="text1"/>
          <w:sz w:val="24"/>
          <w:szCs w:val="24"/>
        </w:rPr>
        <w:t>701</w:t>
      </w:r>
      <w:r w:rsidR="00F95A86" w:rsidRPr="00092862">
        <w:rPr>
          <w:rFonts w:ascii="Times New Roman" w:eastAsia="宋体" w:hAnsi="Times New Roman" w:cs="Times New Roman"/>
          <w:bCs/>
          <w:color w:val="000000" w:themeColor="text1"/>
          <w:sz w:val="24"/>
          <w:szCs w:val="24"/>
        </w:rPr>
        <w:t>集气站试采</w:t>
      </w:r>
      <w:r w:rsidR="00FE4B41"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若无工业产能</w:t>
      </w:r>
      <w:r w:rsidR="00F95A86" w:rsidRPr="00092862">
        <w:rPr>
          <w:rFonts w:ascii="Times New Roman" w:eastAsia="宋体" w:hAnsi="Times New Roman" w:cs="Times New Roman"/>
          <w:bCs/>
          <w:color w:val="000000" w:themeColor="text1"/>
          <w:sz w:val="24"/>
          <w:szCs w:val="24"/>
        </w:rPr>
        <w:t>且无后续开发计划</w:t>
      </w:r>
      <w:r w:rsidRPr="00092862">
        <w:rPr>
          <w:rFonts w:ascii="Times New Roman" w:eastAsia="宋体" w:hAnsi="Times New Roman" w:cs="Times New Roman"/>
          <w:bCs/>
          <w:color w:val="000000" w:themeColor="text1"/>
          <w:sz w:val="24"/>
          <w:szCs w:val="24"/>
        </w:rPr>
        <w:t>，则井口采用水泥浆封井，</w:t>
      </w:r>
      <w:r w:rsidRPr="00092862">
        <w:rPr>
          <w:rFonts w:ascii="Times New Roman" w:eastAsia="宋体" w:hAnsi="Times New Roman" w:cs="Times New Roman"/>
          <w:bCs/>
          <w:color w:val="000000" w:themeColor="text1"/>
          <w:sz w:val="24"/>
          <w:szCs w:val="24"/>
        </w:rPr>
        <w:lastRenderedPageBreak/>
        <w:t>井口焊上钢板和阀门，井站其它装置、房屋搬迁，井口设立标志。</w:t>
      </w:r>
    </w:p>
    <w:p w14:paraId="2611148A" w14:textId="42A5BCF1" w:rsidR="00706D96" w:rsidRPr="00092862" w:rsidRDefault="00B16C28" w:rsidP="006A6E79">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1</w:t>
      </w:r>
      <w:r w:rsidRPr="00092862">
        <w:rPr>
          <w:rFonts w:ascii="Times New Roman" w:eastAsia="宋体" w:hAnsi="Times New Roman" w:cs="Times New Roman"/>
          <w:b/>
          <w:color w:val="000000" w:themeColor="text1"/>
          <w:sz w:val="24"/>
        </w:rPr>
        <w:t>、</w:t>
      </w:r>
      <w:r w:rsidR="00706D96" w:rsidRPr="00092862">
        <w:rPr>
          <w:rFonts w:ascii="Times New Roman" w:eastAsia="宋体" w:hAnsi="Times New Roman" w:cs="Times New Roman"/>
          <w:b/>
          <w:color w:val="000000" w:themeColor="text1"/>
          <w:sz w:val="24"/>
        </w:rPr>
        <w:t>采气</w:t>
      </w:r>
      <w:r w:rsidR="001A6854" w:rsidRPr="00092862">
        <w:rPr>
          <w:rFonts w:ascii="Times New Roman" w:eastAsia="宋体" w:hAnsi="Times New Roman" w:cs="Times New Roman"/>
          <w:b/>
          <w:color w:val="000000" w:themeColor="text1"/>
          <w:sz w:val="24"/>
        </w:rPr>
        <w:t>试采</w:t>
      </w:r>
      <w:r w:rsidR="00706D96" w:rsidRPr="00092862">
        <w:rPr>
          <w:rFonts w:ascii="Times New Roman" w:eastAsia="宋体" w:hAnsi="Times New Roman" w:cs="Times New Roman"/>
          <w:b/>
          <w:color w:val="000000" w:themeColor="text1"/>
          <w:sz w:val="24"/>
        </w:rPr>
        <w:t>工艺流程</w:t>
      </w:r>
    </w:p>
    <w:p w14:paraId="656DCC89" w14:textId="534F4CD6" w:rsidR="00EC636F" w:rsidRPr="00092862" w:rsidRDefault="005C17E9" w:rsidP="00EC636F">
      <w:pPr>
        <w:spacing w:line="360" w:lineRule="auto"/>
        <w:jc w:val="center"/>
        <w:rPr>
          <w:rFonts w:ascii="Times New Roman" w:eastAsia="宋体" w:hAnsi="Times New Roman" w:cs="Times New Roman"/>
          <w:bCs/>
          <w:color w:val="000000" w:themeColor="text1"/>
          <w:sz w:val="24"/>
        </w:rPr>
      </w:pPr>
      <w:r w:rsidRPr="00092862">
        <w:rPr>
          <w:rFonts w:ascii="Times New Roman" w:eastAsia="宋体" w:hAnsi="Times New Roman" w:cs="Times New Roman"/>
          <w:bCs/>
          <w:noProof/>
          <w:color w:val="000000" w:themeColor="text1"/>
          <w:sz w:val="24"/>
        </w:rPr>
        <w:drawing>
          <wp:inline distT="0" distB="0" distL="0" distR="0" wp14:anchorId="5BE892A7" wp14:editId="5AA448D8">
            <wp:extent cx="5276850" cy="208407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6850" cy="2084070"/>
                    </a:xfrm>
                    <a:prstGeom prst="rect">
                      <a:avLst/>
                    </a:prstGeom>
                    <a:noFill/>
                    <a:ln>
                      <a:noFill/>
                    </a:ln>
                  </pic:spPr>
                </pic:pic>
              </a:graphicData>
            </a:graphic>
          </wp:inline>
        </w:drawing>
      </w:r>
    </w:p>
    <w:p w14:paraId="6B68E41A" w14:textId="45360EF8" w:rsidR="00716E30" w:rsidRPr="00092862" w:rsidRDefault="00716E30" w:rsidP="008C28E1">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图</w:t>
      </w:r>
      <w:r w:rsidR="00706D96" w:rsidRPr="00092862">
        <w:rPr>
          <w:rFonts w:ascii="Times New Roman" w:eastAsia="宋体" w:hAnsi="Times New Roman" w:cs="Times New Roman"/>
          <w:color w:val="000000" w:themeColor="text1"/>
          <w:szCs w:val="21"/>
        </w:rPr>
        <w:t>3.</w:t>
      </w:r>
      <w:r w:rsidR="00FE4B41" w:rsidRPr="00092862">
        <w:rPr>
          <w:rFonts w:ascii="Times New Roman" w:eastAsia="宋体" w:hAnsi="Times New Roman" w:cs="Times New Roman"/>
          <w:color w:val="000000" w:themeColor="text1"/>
          <w:szCs w:val="21"/>
        </w:rPr>
        <w:t>3-1</w:t>
      </w:r>
      <w:r w:rsidR="00E225BA"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 xml:space="preserve">  </w:t>
      </w:r>
      <w:r w:rsidR="008C28E1" w:rsidRPr="00092862">
        <w:rPr>
          <w:rFonts w:ascii="Times New Roman" w:eastAsia="宋体" w:hAnsi="Times New Roman" w:cs="Times New Roman"/>
          <w:color w:val="000000" w:themeColor="text1"/>
          <w:szCs w:val="21"/>
        </w:rPr>
        <w:t>试采</w:t>
      </w:r>
      <w:r w:rsidRPr="00092862">
        <w:rPr>
          <w:rFonts w:ascii="Times New Roman" w:eastAsia="宋体" w:hAnsi="Times New Roman" w:cs="Times New Roman"/>
          <w:color w:val="000000" w:themeColor="text1"/>
          <w:szCs w:val="21"/>
        </w:rPr>
        <w:t>期工艺流程及产污节点图</w:t>
      </w:r>
    </w:p>
    <w:p w14:paraId="2CCD61D5" w14:textId="75E71B8C" w:rsidR="00F95A86" w:rsidRPr="00092862" w:rsidRDefault="00F06226" w:rsidP="00F95A86">
      <w:pPr>
        <w:adjustRightInd w:val="0"/>
        <w:snapToGrid w:val="0"/>
        <w:spacing w:line="360" w:lineRule="auto"/>
        <w:ind w:firstLineChars="200" w:firstLine="482"/>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
          <w:bCs/>
          <w:color w:val="000000" w:themeColor="text1"/>
          <w:sz w:val="24"/>
          <w:szCs w:val="24"/>
        </w:rPr>
        <w:t>工艺流程描述：</w:t>
      </w:r>
    </w:p>
    <w:p w14:paraId="0168C447" w14:textId="2905D310" w:rsidR="00F95A86" w:rsidRPr="00092862" w:rsidRDefault="003C3238" w:rsidP="00F95A8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701</w:t>
      </w:r>
      <w:r w:rsidR="00F95A86" w:rsidRPr="00092862">
        <w:rPr>
          <w:rFonts w:ascii="Times New Roman" w:eastAsia="宋体" w:hAnsi="Times New Roman" w:cs="Times New Roman"/>
          <w:bCs/>
          <w:color w:val="000000" w:themeColor="text1"/>
          <w:sz w:val="24"/>
          <w:szCs w:val="24"/>
        </w:rPr>
        <w:t>集气站</w:t>
      </w:r>
      <w:r w:rsidR="00EC70BF" w:rsidRPr="00092862">
        <w:rPr>
          <w:rFonts w:ascii="Times New Roman" w:eastAsia="宋体" w:hAnsi="Times New Roman" w:cs="Times New Roman"/>
          <w:bCs/>
          <w:color w:val="000000" w:themeColor="text1"/>
          <w:sz w:val="24"/>
          <w:szCs w:val="24"/>
        </w:rPr>
        <w:t>2</w:t>
      </w:r>
      <w:r w:rsidR="00EC70BF" w:rsidRPr="00092862">
        <w:rPr>
          <w:rFonts w:ascii="Times New Roman" w:eastAsia="宋体" w:hAnsi="Times New Roman" w:cs="Times New Roman"/>
          <w:bCs/>
          <w:color w:val="000000" w:themeColor="text1"/>
          <w:sz w:val="24"/>
          <w:szCs w:val="24"/>
        </w:rPr>
        <w:t>口井</w:t>
      </w:r>
      <w:r w:rsidR="00F95A86" w:rsidRPr="00092862">
        <w:rPr>
          <w:rFonts w:ascii="Times New Roman" w:eastAsia="宋体" w:hAnsi="Times New Roman" w:cs="Times New Roman"/>
          <w:bCs/>
          <w:color w:val="000000" w:themeColor="text1"/>
          <w:sz w:val="24"/>
          <w:szCs w:val="24"/>
        </w:rPr>
        <w:t>共用站内流程，</w:t>
      </w:r>
      <w:bookmarkStart w:id="119" w:name="_Hlk121090360"/>
      <w:r w:rsidR="005C17E9" w:rsidRPr="00092862">
        <w:rPr>
          <w:rFonts w:ascii="Times New Roman" w:eastAsia="宋体" w:hAnsi="Times New Roman" w:cs="Times New Roman"/>
          <w:color w:val="000000" w:themeColor="text1"/>
          <w:szCs w:val="20"/>
        </w:rPr>
        <w:t>L7011-4H</w:t>
      </w:r>
      <w:r w:rsidR="005C17E9" w:rsidRPr="00092862">
        <w:rPr>
          <w:rFonts w:ascii="Times New Roman" w:eastAsia="宋体" w:hAnsi="Times New Roman" w:cs="Times New Roman"/>
          <w:color w:val="000000" w:themeColor="text1"/>
          <w:szCs w:val="20"/>
        </w:rPr>
        <w:t>、</w:t>
      </w:r>
      <w:r w:rsidR="005C17E9" w:rsidRPr="00092862">
        <w:rPr>
          <w:rFonts w:ascii="Times New Roman" w:eastAsia="宋体" w:hAnsi="Times New Roman" w:cs="Times New Roman"/>
          <w:color w:val="000000" w:themeColor="text1"/>
          <w:szCs w:val="20"/>
        </w:rPr>
        <w:t>L7011-5H</w:t>
      </w:r>
      <w:r w:rsidR="005C17E9" w:rsidRPr="00092862">
        <w:rPr>
          <w:rFonts w:ascii="Times New Roman" w:eastAsia="宋体" w:hAnsi="Times New Roman" w:cs="Times New Roman"/>
          <w:color w:val="000000" w:themeColor="text1"/>
          <w:szCs w:val="20"/>
        </w:rPr>
        <w:t>井井口气汇合后通过新建采气管道（</w:t>
      </w:r>
      <w:r w:rsidR="005C17E9" w:rsidRPr="00092862">
        <w:rPr>
          <w:rFonts w:ascii="Times New Roman" w:eastAsia="宋体" w:hAnsi="Times New Roman" w:cs="Times New Roman"/>
          <w:color w:val="000000" w:themeColor="text1"/>
          <w:szCs w:val="20"/>
        </w:rPr>
        <w:t>40m</w:t>
      </w:r>
      <w:r w:rsidR="005C17E9" w:rsidRPr="00092862">
        <w:rPr>
          <w:rFonts w:ascii="Times New Roman" w:eastAsia="宋体" w:hAnsi="Times New Roman" w:cs="Times New Roman"/>
          <w:color w:val="000000" w:themeColor="text1"/>
          <w:szCs w:val="20"/>
        </w:rPr>
        <w:t>）输送至老君</w:t>
      </w:r>
      <w:r w:rsidR="005C17E9" w:rsidRPr="00092862">
        <w:rPr>
          <w:rFonts w:ascii="Times New Roman" w:eastAsia="宋体" w:hAnsi="Times New Roman" w:cs="Times New Roman"/>
          <w:color w:val="000000" w:themeColor="text1"/>
          <w:szCs w:val="20"/>
        </w:rPr>
        <w:t>701</w:t>
      </w:r>
      <w:r w:rsidR="005C17E9" w:rsidRPr="00092862">
        <w:rPr>
          <w:rFonts w:ascii="Times New Roman" w:eastAsia="宋体" w:hAnsi="Times New Roman" w:cs="Times New Roman"/>
          <w:color w:val="000000" w:themeColor="text1"/>
          <w:szCs w:val="20"/>
        </w:rPr>
        <w:t>集气站，在站内分酸、加热、节流、分离后输至天然气净化厂。新建老君</w:t>
      </w:r>
      <w:r w:rsidR="005C17E9" w:rsidRPr="00092862">
        <w:rPr>
          <w:rFonts w:ascii="Times New Roman" w:eastAsia="宋体" w:hAnsi="Times New Roman" w:cs="Times New Roman"/>
          <w:color w:val="000000" w:themeColor="text1"/>
          <w:szCs w:val="20"/>
        </w:rPr>
        <w:t>7011</w:t>
      </w:r>
      <w:r w:rsidR="005C17E9" w:rsidRPr="00092862">
        <w:rPr>
          <w:rFonts w:ascii="Times New Roman" w:eastAsia="宋体" w:hAnsi="Times New Roman" w:cs="Times New Roman"/>
          <w:color w:val="000000" w:themeColor="text1"/>
          <w:szCs w:val="20"/>
        </w:rPr>
        <w:t>采气站</w:t>
      </w:r>
      <w:r w:rsidR="005C17E9" w:rsidRPr="00092862">
        <w:rPr>
          <w:rFonts w:ascii="Times New Roman" w:eastAsia="宋体" w:hAnsi="Times New Roman" w:cs="Times New Roman"/>
          <w:color w:val="000000" w:themeColor="text1"/>
          <w:szCs w:val="20"/>
        </w:rPr>
        <w:t>1</w:t>
      </w:r>
      <w:r w:rsidR="005C17E9" w:rsidRPr="00092862">
        <w:rPr>
          <w:rFonts w:ascii="Times New Roman" w:eastAsia="宋体" w:hAnsi="Times New Roman" w:cs="Times New Roman"/>
          <w:color w:val="000000" w:themeColor="text1"/>
          <w:szCs w:val="20"/>
        </w:rPr>
        <w:t>座、水套加热炉</w:t>
      </w:r>
      <w:r w:rsidR="005C17E9" w:rsidRPr="00092862">
        <w:rPr>
          <w:rFonts w:ascii="Times New Roman" w:eastAsia="宋体" w:hAnsi="Times New Roman" w:cs="Times New Roman"/>
          <w:color w:val="000000" w:themeColor="text1"/>
          <w:szCs w:val="20"/>
        </w:rPr>
        <w:t>1</w:t>
      </w:r>
      <w:r w:rsidR="005C17E9" w:rsidRPr="00092862">
        <w:rPr>
          <w:rFonts w:ascii="Times New Roman" w:eastAsia="宋体" w:hAnsi="Times New Roman" w:cs="Times New Roman"/>
          <w:color w:val="000000" w:themeColor="text1"/>
          <w:szCs w:val="20"/>
        </w:rPr>
        <w:t>座，其余生产分离器等均依托老君</w:t>
      </w:r>
      <w:r w:rsidR="005C17E9" w:rsidRPr="00092862">
        <w:rPr>
          <w:rFonts w:ascii="Times New Roman" w:eastAsia="宋体" w:hAnsi="Times New Roman" w:cs="Times New Roman"/>
          <w:color w:val="000000" w:themeColor="text1"/>
          <w:szCs w:val="20"/>
        </w:rPr>
        <w:t>701</w:t>
      </w:r>
      <w:r w:rsidR="005C17E9" w:rsidRPr="00092862">
        <w:rPr>
          <w:rFonts w:ascii="Times New Roman" w:eastAsia="宋体" w:hAnsi="Times New Roman" w:cs="Times New Roman"/>
          <w:color w:val="000000" w:themeColor="text1"/>
          <w:szCs w:val="20"/>
        </w:rPr>
        <w:t>站内已建流程，配套建设自控、电力、结构等设施</w:t>
      </w:r>
      <w:bookmarkEnd w:id="119"/>
      <w:r w:rsidR="00F95A86" w:rsidRPr="00092862">
        <w:rPr>
          <w:rFonts w:ascii="Times New Roman" w:eastAsia="宋体" w:hAnsi="Times New Roman" w:cs="Times New Roman"/>
          <w:bCs/>
          <w:color w:val="000000" w:themeColor="text1"/>
          <w:sz w:val="24"/>
          <w:szCs w:val="24"/>
        </w:rPr>
        <w:t>。</w:t>
      </w:r>
    </w:p>
    <w:p w14:paraId="1732C19B" w14:textId="367B8692" w:rsidR="00F95A86" w:rsidRPr="00092862" w:rsidRDefault="00F95A86" w:rsidP="00F95A8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投产初期站内设临时分酸分离器，分出的酸液排放至火炬分液罐，定期拉运处理，后期气田污水进入出站管线混输至下游。</w:t>
      </w:r>
    </w:p>
    <w:p w14:paraId="01F5D7DD" w14:textId="33D765F4" w:rsidR="00F06226" w:rsidRPr="00092862" w:rsidRDefault="00F06226" w:rsidP="00F06226">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分酸工艺流程描述如下：</w:t>
      </w:r>
    </w:p>
    <w:p w14:paraId="24C1B65E" w14:textId="773BB1BA" w:rsidR="00F06226" w:rsidRPr="00092862" w:rsidRDefault="00F06226" w:rsidP="00F0622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为防止酸化压裂液返排对地面</w:t>
      </w:r>
      <w:r w:rsidR="00BF38B7"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管道造成腐蚀，在工艺流程中设计了</w:t>
      </w:r>
      <w:r w:rsidR="00F95A86" w:rsidRPr="00092862">
        <w:rPr>
          <w:rFonts w:ascii="Times New Roman" w:eastAsia="宋体" w:hAnsi="Times New Roman" w:cs="Times New Roman"/>
          <w:bCs/>
          <w:color w:val="000000" w:themeColor="text1"/>
          <w:sz w:val="24"/>
          <w:szCs w:val="24"/>
        </w:rPr>
        <w:t>临时分酸分离器</w:t>
      </w:r>
      <w:r w:rsidRPr="00092862">
        <w:rPr>
          <w:rFonts w:ascii="Times New Roman" w:eastAsia="宋体" w:hAnsi="Times New Roman" w:cs="Times New Roman"/>
          <w:bCs/>
          <w:color w:val="000000" w:themeColor="text1"/>
          <w:sz w:val="24"/>
          <w:szCs w:val="24"/>
        </w:rPr>
        <w:t>，此分离器分出的气田水直接进入</w:t>
      </w:r>
      <w:r w:rsidR="00E133B4" w:rsidRPr="00092862">
        <w:rPr>
          <w:rFonts w:ascii="Times New Roman" w:eastAsia="宋体" w:hAnsi="Times New Roman" w:cs="Times New Roman"/>
          <w:bCs/>
          <w:color w:val="000000" w:themeColor="text1"/>
          <w:sz w:val="24"/>
          <w:szCs w:val="24"/>
        </w:rPr>
        <w:t>火炬分液</w:t>
      </w:r>
      <w:r w:rsidRPr="00092862">
        <w:rPr>
          <w:rFonts w:ascii="Times New Roman" w:eastAsia="宋体" w:hAnsi="Times New Roman" w:cs="Times New Roman"/>
          <w:bCs/>
          <w:color w:val="000000" w:themeColor="text1"/>
          <w:sz w:val="24"/>
          <w:szCs w:val="24"/>
        </w:rPr>
        <w:t>罐，暂存一定量后直接</w:t>
      </w:r>
      <w:r w:rsidR="00E133B4" w:rsidRPr="00092862">
        <w:rPr>
          <w:rFonts w:ascii="Times New Roman" w:eastAsia="宋体" w:hAnsi="Times New Roman" w:cs="Times New Roman"/>
          <w:bCs/>
          <w:color w:val="000000" w:themeColor="text1"/>
          <w:sz w:val="24"/>
          <w:szCs w:val="24"/>
        </w:rPr>
        <w:t>用密闭罐车拉</w:t>
      </w:r>
      <w:r w:rsidR="005D5A22" w:rsidRPr="00092862">
        <w:rPr>
          <w:rFonts w:ascii="Times New Roman" w:eastAsia="宋体" w:hAnsi="Times New Roman" w:cs="Times New Roman"/>
          <w:bCs/>
          <w:color w:val="000000" w:themeColor="text1"/>
          <w:sz w:val="24"/>
          <w:szCs w:val="24"/>
        </w:rPr>
        <w:t>运至赵家坝污水处理站</w:t>
      </w:r>
      <w:r w:rsidRPr="00092862">
        <w:rPr>
          <w:rFonts w:ascii="Times New Roman" w:eastAsia="宋体" w:hAnsi="Times New Roman" w:cs="Times New Roman"/>
          <w:bCs/>
          <w:color w:val="000000" w:themeColor="text1"/>
          <w:sz w:val="24"/>
          <w:szCs w:val="24"/>
        </w:rPr>
        <w:t>处理达到《气田水回注方法》（</w:t>
      </w:r>
      <w:r w:rsidRPr="00092862">
        <w:rPr>
          <w:rFonts w:ascii="Times New Roman" w:eastAsia="宋体" w:hAnsi="Times New Roman" w:cs="Times New Roman"/>
          <w:bCs/>
          <w:color w:val="000000" w:themeColor="text1"/>
          <w:sz w:val="24"/>
          <w:szCs w:val="24"/>
        </w:rPr>
        <w:t>SY/T 6596-2016</w:t>
      </w:r>
      <w:r w:rsidRPr="00092862">
        <w:rPr>
          <w:rFonts w:ascii="Times New Roman" w:eastAsia="宋体" w:hAnsi="Times New Roman" w:cs="Times New Roman"/>
          <w:bCs/>
          <w:color w:val="000000" w:themeColor="text1"/>
          <w:sz w:val="24"/>
          <w:szCs w:val="24"/>
        </w:rPr>
        <w:t>）中注入水基本要求后管输至</w:t>
      </w:r>
      <w:r w:rsidR="005D5A22" w:rsidRPr="00092862">
        <w:rPr>
          <w:rFonts w:ascii="Times New Roman" w:eastAsia="宋体" w:hAnsi="Times New Roman" w:cs="Times New Roman"/>
          <w:bCs/>
          <w:color w:val="000000" w:themeColor="text1"/>
          <w:sz w:val="24"/>
          <w:szCs w:val="24"/>
        </w:rPr>
        <w:t>普光</w:t>
      </w:r>
      <w:r w:rsidR="005D5A22" w:rsidRPr="00092862">
        <w:rPr>
          <w:rFonts w:ascii="Times New Roman" w:eastAsia="宋体" w:hAnsi="Times New Roman" w:cs="Times New Roman"/>
          <w:bCs/>
          <w:color w:val="000000" w:themeColor="text1"/>
          <w:sz w:val="24"/>
          <w:szCs w:val="24"/>
        </w:rPr>
        <w:t>11</w:t>
      </w:r>
      <w:r w:rsidR="005D5A22" w:rsidRPr="00092862">
        <w:rPr>
          <w:rFonts w:ascii="Times New Roman" w:eastAsia="宋体" w:hAnsi="Times New Roman" w:cs="Times New Roman"/>
          <w:bCs/>
          <w:color w:val="000000" w:themeColor="text1"/>
          <w:sz w:val="24"/>
          <w:szCs w:val="24"/>
        </w:rPr>
        <w:t>井回注站</w:t>
      </w:r>
      <w:r w:rsidRPr="00092862">
        <w:rPr>
          <w:rFonts w:ascii="Times New Roman" w:eastAsia="宋体" w:hAnsi="Times New Roman" w:cs="Times New Roman"/>
          <w:bCs/>
          <w:color w:val="000000" w:themeColor="text1"/>
          <w:sz w:val="24"/>
          <w:szCs w:val="24"/>
        </w:rPr>
        <w:t>回注处理，不外排。闪蒸出的气体则直接进入放空总管去放空火炬燃烧。</w:t>
      </w:r>
    </w:p>
    <w:p w14:paraId="3203B18E" w14:textId="34E96016" w:rsidR="00706D96" w:rsidRPr="00092862" w:rsidRDefault="00706D96" w:rsidP="00706D96">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2</w:t>
      </w:r>
      <w:r w:rsidRPr="00092862">
        <w:rPr>
          <w:rFonts w:ascii="Times New Roman" w:eastAsia="宋体" w:hAnsi="Times New Roman" w:cs="Times New Roman"/>
          <w:b/>
          <w:color w:val="000000" w:themeColor="text1"/>
          <w:sz w:val="24"/>
        </w:rPr>
        <w:t>）采气</w:t>
      </w:r>
      <w:r w:rsidR="001A6854" w:rsidRPr="00092862">
        <w:rPr>
          <w:rFonts w:ascii="Times New Roman" w:eastAsia="宋体" w:hAnsi="Times New Roman" w:cs="Times New Roman"/>
          <w:b/>
          <w:color w:val="000000" w:themeColor="text1"/>
          <w:sz w:val="24"/>
        </w:rPr>
        <w:t>试采</w:t>
      </w:r>
      <w:r w:rsidRPr="00092862">
        <w:rPr>
          <w:rFonts w:ascii="Times New Roman" w:eastAsia="宋体" w:hAnsi="Times New Roman" w:cs="Times New Roman"/>
          <w:b/>
          <w:color w:val="000000" w:themeColor="text1"/>
          <w:sz w:val="24"/>
        </w:rPr>
        <w:t>产污环节</w:t>
      </w:r>
    </w:p>
    <w:p w14:paraId="52BF7505" w14:textId="3252A343" w:rsidR="00DC446C" w:rsidRPr="00092862" w:rsidRDefault="003C3238" w:rsidP="00706D9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老君</w:t>
      </w:r>
      <w:r w:rsidRPr="00092862">
        <w:rPr>
          <w:rFonts w:ascii="Times New Roman" w:eastAsia="宋体" w:hAnsi="Times New Roman" w:cs="Times New Roman"/>
          <w:bCs/>
          <w:color w:val="000000" w:themeColor="text1"/>
          <w:sz w:val="24"/>
          <w:szCs w:val="24"/>
        </w:rPr>
        <w:t>701</w:t>
      </w:r>
      <w:r w:rsidR="00445EC1" w:rsidRPr="00092862">
        <w:rPr>
          <w:rFonts w:ascii="Times New Roman" w:eastAsia="宋体" w:hAnsi="Times New Roman" w:cs="Times New Roman"/>
          <w:bCs/>
          <w:color w:val="000000" w:themeColor="text1"/>
          <w:sz w:val="24"/>
          <w:szCs w:val="24"/>
        </w:rPr>
        <w:t>集气站</w:t>
      </w:r>
      <w:r w:rsidR="00706D96" w:rsidRPr="00092862">
        <w:rPr>
          <w:rFonts w:ascii="Times New Roman" w:eastAsia="宋体" w:hAnsi="Times New Roman" w:cs="Times New Roman"/>
          <w:bCs/>
          <w:color w:val="000000" w:themeColor="text1"/>
          <w:sz w:val="24"/>
          <w:szCs w:val="24"/>
        </w:rPr>
        <w:t>正常生产时主要产生气田水以及设备检修废水，气田水为工艺装置分离器分离出的天然气中的游离水，设备检修废水为装置设备检修产生的废水。采气井场放散系统会产生燃烧废气；</w:t>
      </w:r>
      <w:r w:rsidR="00445EC1" w:rsidRPr="00092862">
        <w:rPr>
          <w:rFonts w:ascii="Times New Roman" w:eastAsia="宋体" w:hAnsi="Times New Roman" w:cs="Times New Roman"/>
          <w:bCs/>
          <w:color w:val="000000" w:themeColor="text1"/>
          <w:sz w:val="24"/>
          <w:szCs w:val="24"/>
        </w:rPr>
        <w:t>集气站</w:t>
      </w:r>
      <w:r w:rsidR="00706D96" w:rsidRPr="00092862">
        <w:rPr>
          <w:rFonts w:ascii="Times New Roman" w:eastAsia="宋体" w:hAnsi="Times New Roman" w:cs="Times New Roman"/>
          <w:bCs/>
          <w:color w:val="000000" w:themeColor="text1"/>
          <w:sz w:val="24"/>
          <w:szCs w:val="24"/>
        </w:rPr>
        <w:t>内</w:t>
      </w:r>
      <w:r w:rsidR="00C26134" w:rsidRPr="00092862">
        <w:rPr>
          <w:rFonts w:ascii="Times New Roman" w:eastAsia="宋体" w:hAnsi="Times New Roman" w:cs="Times New Roman"/>
          <w:bCs/>
          <w:color w:val="000000" w:themeColor="text1"/>
          <w:sz w:val="24"/>
          <w:szCs w:val="24"/>
        </w:rPr>
        <w:t>水套加热炉</w:t>
      </w:r>
      <w:r w:rsidR="00706D96" w:rsidRPr="00092862">
        <w:rPr>
          <w:rFonts w:ascii="Times New Roman" w:eastAsia="宋体" w:hAnsi="Times New Roman" w:cs="Times New Roman"/>
          <w:bCs/>
          <w:color w:val="000000" w:themeColor="text1"/>
          <w:sz w:val="24"/>
          <w:szCs w:val="24"/>
        </w:rPr>
        <w:t>以天然气</w:t>
      </w:r>
      <w:r w:rsidR="00BD71B9" w:rsidRPr="00092862">
        <w:rPr>
          <w:rFonts w:ascii="Times New Roman" w:eastAsia="宋体" w:hAnsi="Times New Roman" w:cs="Times New Roman"/>
          <w:bCs/>
          <w:color w:val="000000" w:themeColor="text1"/>
          <w:sz w:val="24"/>
          <w:szCs w:val="24"/>
        </w:rPr>
        <w:t>（</w:t>
      </w:r>
      <w:r w:rsidR="00BD71B9" w:rsidRPr="00092862">
        <w:rPr>
          <w:rFonts w:ascii="Times New Roman" w:eastAsia="宋体" w:hAnsi="Times New Roman" w:cs="Times New Roman"/>
          <w:color w:val="000000" w:themeColor="text1"/>
          <w:sz w:val="24"/>
          <w:szCs w:val="24"/>
        </w:rPr>
        <w:t>依托总站返输燃料气</w:t>
      </w:r>
      <w:r w:rsidR="00BD71B9" w:rsidRPr="00092862">
        <w:rPr>
          <w:rFonts w:ascii="Times New Roman" w:eastAsia="宋体" w:hAnsi="Times New Roman" w:cs="Times New Roman"/>
          <w:bCs/>
          <w:color w:val="000000" w:themeColor="text1"/>
          <w:sz w:val="24"/>
          <w:szCs w:val="24"/>
        </w:rPr>
        <w:t>）</w:t>
      </w:r>
      <w:r w:rsidR="00706D96" w:rsidRPr="00092862">
        <w:rPr>
          <w:rFonts w:ascii="Times New Roman" w:eastAsia="宋体" w:hAnsi="Times New Roman" w:cs="Times New Roman"/>
          <w:bCs/>
          <w:color w:val="000000" w:themeColor="text1"/>
          <w:sz w:val="24"/>
          <w:szCs w:val="24"/>
        </w:rPr>
        <w:t>为燃料，会产生燃烧废气；</w:t>
      </w:r>
      <w:r w:rsidR="00445EC1" w:rsidRPr="00092862">
        <w:rPr>
          <w:rFonts w:ascii="Times New Roman" w:eastAsia="宋体" w:hAnsi="Times New Roman" w:cs="Times New Roman"/>
          <w:bCs/>
          <w:color w:val="000000" w:themeColor="text1"/>
          <w:sz w:val="24"/>
          <w:szCs w:val="24"/>
        </w:rPr>
        <w:t>集气站</w:t>
      </w:r>
      <w:r w:rsidR="00706D96" w:rsidRPr="00092862">
        <w:rPr>
          <w:rFonts w:ascii="Times New Roman" w:eastAsia="宋体" w:hAnsi="Times New Roman" w:cs="Times New Roman"/>
          <w:bCs/>
          <w:color w:val="000000" w:themeColor="text1"/>
          <w:sz w:val="24"/>
          <w:szCs w:val="24"/>
        </w:rPr>
        <w:t>设备运行时产生设备噪声；</w:t>
      </w:r>
      <w:r w:rsidR="00445EC1" w:rsidRPr="00092862">
        <w:rPr>
          <w:rFonts w:ascii="Times New Roman" w:eastAsia="宋体" w:hAnsi="Times New Roman" w:cs="Times New Roman"/>
          <w:bCs/>
          <w:color w:val="000000" w:themeColor="text1"/>
          <w:sz w:val="24"/>
          <w:szCs w:val="24"/>
        </w:rPr>
        <w:t>工作人员产生的</w:t>
      </w:r>
      <w:r w:rsidR="00706D96" w:rsidRPr="00092862">
        <w:rPr>
          <w:rFonts w:ascii="Times New Roman" w:eastAsia="宋体" w:hAnsi="Times New Roman" w:cs="Times New Roman"/>
          <w:bCs/>
          <w:color w:val="000000" w:themeColor="text1"/>
          <w:sz w:val="24"/>
          <w:szCs w:val="24"/>
        </w:rPr>
        <w:t>生活污水和生活垃圾。</w:t>
      </w:r>
    </w:p>
    <w:p w14:paraId="15F911E4" w14:textId="77777777" w:rsidR="00706D96" w:rsidRPr="00092862" w:rsidRDefault="00706D96" w:rsidP="00706D96">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20" w:name="_Toc120173110"/>
      <w:r w:rsidRPr="00092862">
        <w:rPr>
          <w:rFonts w:ascii="Times New Roman" w:eastAsia="黑体" w:hAnsi="Times New Roman"/>
          <w:b w:val="0"/>
          <w:color w:val="000000" w:themeColor="text1"/>
          <w:sz w:val="24"/>
          <w:szCs w:val="24"/>
          <w:lang w:eastAsia="zh-CN"/>
        </w:rPr>
        <w:lastRenderedPageBreak/>
        <w:t>3.3.3</w:t>
      </w:r>
      <w:r w:rsidRPr="00092862">
        <w:rPr>
          <w:rFonts w:ascii="Times New Roman" w:eastAsia="黑体" w:hAnsi="Times New Roman"/>
          <w:b w:val="0"/>
          <w:color w:val="000000" w:themeColor="text1"/>
          <w:sz w:val="24"/>
          <w:szCs w:val="24"/>
          <w:lang w:eastAsia="zh-CN"/>
        </w:rPr>
        <w:t>退役期工程分析</w:t>
      </w:r>
      <w:bookmarkEnd w:id="120"/>
    </w:p>
    <w:p w14:paraId="0F301FD6" w14:textId="77777777" w:rsidR="00706D96" w:rsidRPr="00092862" w:rsidRDefault="00706D96" w:rsidP="00706D96">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1</w:t>
      </w:r>
      <w:r w:rsidRPr="00092862">
        <w:rPr>
          <w:rFonts w:ascii="Times New Roman" w:eastAsia="宋体" w:hAnsi="Times New Roman" w:cs="Times New Roman"/>
          <w:b/>
          <w:color w:val="000000" w:themeColor="text1"/>
          <w:sz w:val="24"/>
        </w:rPr>
        <w:t>）退役期工艺流程工艺流程</w:t>
      </w:r>
    </w:p>
    <w:p w14:paraId="44421D93" w14:textId="087BEE1C" w:rsidR="00706D96" w:rsidRPr="00092862" w:rsidRDefault="00706D96" w:rsidP="00706D96">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随着天然气开采的不断进行，其储量逐渐下降，最终导致天然气井进入退役期</w:t>
      </w:r>
      <w:r w:rsidR="0053227B" w:rsidRPr="00092862">
        <w:rPr>
          <w:rFonts w:ascii="Times New Roman" w:eastAsia="宋体" w:hAnsi="Times New Roman" w:cs="Times New Roman"/>
          <w:bCs/>
          <w:color w:val="000000" w:themeColor="text1"/>
          <w:sz w:val="24"/>
        </w:rPr>
        <w:t>（若试采效果不理想，也会提前进入退役期）</w:t>
      </w:r>
      <w:r w:rsidRPr="00092862">
        <w:rPr>
          <w:rFonts w:ascii="Times New Roman" w:eastAsia="宋体" w:hAnsi="Times New Roman" w:cs="Times New Roman"/>
          <w:bCs/>
          <w:color w:val="000000" w:themeColor="text1"/>
          <w:sz w:val="24"/>
        </w:rPr>
        <w:t>。退役期内，将进行井口封固和搬迁，除在井口周围设置围墙外，其余占地全部进行土地功能的恢复</w:t>
      </w:r>
      <w:r w:rsidR="00F40728" w:rsidRPr="00092862">
        <w:rPr>
          <w:rFonts w:ascii="Times New Roman" w:eastAsia="宋体" w:hAnsi="Times New Roman" w:cs="Times New Roman"/>
          <w:bCs/>
          <w:color w:val="000000" w:themeColor="text1"/>
          <w:sz w:val="24"/>
        </w:rPr>
        <w:t>（若集气站与井口有后续开发计划，则井口封井后与集气站留待后续开发使用，生态恢复纳入后续建设工程）</w:t>
      </w:r>
      <w:r w:rsidRPr="00092862">
        <w:rPr>
          <w:rFonts w:ascii="Times New Roman" w:eastAsia="宋体" w:hAnsi="Times New Roman" w:cs="Times New Roman"/>
          <w:bCs/>
          <w:color w:val="000000" w:themeColor="text1"/>
          <w:sz w:val="24"/>
        </w:rPr>
        <w:t>。与此同时，还要进行永久性占地等地表植被的恢复。退役期基本工艺流程如图</w:t>
      </w:r>
      <w:r w:rsidRPr="00092862">
        <w:rPr>
          <w:rFonts w:ascii="Times New Roman" w:eastAsia="宋体" w:hAnsi="Times New Roman" w:cs="Times New Roman"/>
          <w:bCs/>
          <w:color w:val="000000" w:themeColor="text1"/>
          <w:sz w:val="24"/>
        </w:rPr>
        <w:t>3</w:t>
      </w:r>
      <w:r w:rsidR="00FE4B41" w:rsidRPr="00092862">
        <w:rPr>
          <w:rFonts w:ascii="Times New Roman" w:eastAsia="宋体" w:hAnsi="Times New Roman" w:cs="Times New Roman"/>
          <w:bCs/>
          <w:color w:val="000000" w:themeColor="text1"/>
          <w:sz w:val="24"/>
        </w:rPr>
        <w:t>.3-1</w:t>
      </w:r>
      <w:r w:rsidR="00E61894" w:rsidRPr="00092862">
        <w:rPr>
          <w:rFonts w:ascii="Times New Roman" w:eastAsia="宋体" w:hAnsi="Times New Roman" w:cs="Times New Roman"/>
          <w:bCs/>
          <w:color w:val="000000" w:themeColor="text1"/>
          <w:sz w:val="24"/>
        </w:rPr>
        <w:t>5</w:t>
      </w:r>
      <w:r w:rsidRPr="00092862">
        <w:rPr>
          <w:rFonts w:ascii="Times New Roman" w:eastAsia="宋体" w:hAnsi="Times New Roman" w:cs="Times New Roman"/>
          <w:bCs/>
          <w:color w:val="000000" w:themeColor="text1"/>
          <w:sz w:val="24"/>
        </w:rPr>
        <w:t>所示。</w:t>
      </w:r>
    </w:p>
    <w:p w14:paraId="37755929" w14:textId="3D8929F0" w:rsidR="00706D96" w:rsidRPr="00092862" w:rsidRDefault="00706D96" w:rsidP="00E225BA">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noProof/>
          <w:color w:val="000000" w:themeColor="text1"/>
        </w:rPr>
        <w:drawing>
          <wp:inline distT="0" distB="0" distL="0" distR="0" wp14:anchorId="546CA14C" wp14:editId="6674CFA7">
            <wp:extent cx="5152381" cy="1114286"/>
            <wp:effectExtent l="0" t="0" r="0" b="0"/>
            <wp:docPr id="1479" name="图片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52381" cy="1114286"/>
                    </a:xfrm>
                    <a:prstGeom prst="rect">
                      <a:avLst/>
                    </a:prstGeom>
                  </pic:spPr>
                </pic:pic>
              </a:graphicData>
            </a:graphic>
          </wp:inline>
        </w:drawing>
      </w:r>
      <w:r w:rsidRPr="00092862">
        <w:rPr>
          <w:rFonts w:ascii="Times New Roman" w:eastAsia="宋体" w:hAnsi="Times New Roman" w:cs="Times New Roman"/>
          <w:color w:val="000000" w:themeColor="text1"/>
          <w:szCs w:val="21"/>
        </w:rPr>
        <w:t>图</w:t>
      </w:r>
      <w:r w:rsidR="00E225BA" w:rsidRPr="00092862">
        <w:rPr>
          <w:rFonts w:ascii="Times New Roman" w:eastAsia="宋体" w:hAnsi="Times New Roman" w:cs="Times New Roman"/>
          <w:color w:val="000000" w:themeColor="text1"/>
          <w:szCs w:val="21"/>
        </w:rPr>
        <w:t>3.</w:t>
      </w:r>
      <w:r w:rsidR="00FE4B41" w:rsidRPr="00092862">
        <w:rPr>
          <w:rFonts w:ascii="Times New Roman" w:eastAsia="宋体" w:hAnsi="Times New Roman" w:cs="Times New Roman"/>
          <w:color w:val="000000" w:themeColor="text1"/>
          <w:szCs w:val="21"/>
        </w:rPr>
        <w:t>3-1</w:t>
      </w:r>
      <w:r w:rsidR="00E225BA"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井站退役期工艺流程及产污节点图</w:t>
      </w:r>
    </w:p>
    <w:p w14:paraId="2BEA3BAF" w14:textId="77777777" w:rsidR="00706D96" w:rsidRPr="00092862" w:rsidRDefault="009B5062" w:rsidP="00706D96">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rPr>
        <w:t>退役期</w:t>
      </w:r>
      <w:r w:rsidRPr="00092862">
        <w:rPr>
          <w:rFonts w:ascii="Times New Roman" w:eastAsia="宋体" w:hAnsi="Times New Roman" w:cs="Times New Roman"/>
          <w:b/>
          <w:color w:val="000000" w:themeColor="text1"/>
          <w:sz w:val="24"/>
          <w:szCs w:val="24"/>
        </w:rPr>
        <w:t>产污环节分析</w:t>
      </w:r>
    </w:p>
    <w:p w14:paraId="54006E7B" w14:textId="2F3C5C73" w:rsidR="00DC446C" w:rsidRPr="00092862" w:rsidRDefault="009B5062" w:rsidP="009B50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当气井开发接近尾声时，各种机械设备将停止使用，进驻其中的气田开发工作人员将陆续撤离站场，由此带来的大气污染物、生产废水、生活污水、噪声及固体废物等对环境的影响将会消失。退役期仅在井站恢复时会产生少量搬迁和生态恢复施工的噪声、粉尘、尾气和污水。</w:t>
      </w:r>
    </w:p>
    <w:p w14:paraId="2F9B5095" w14:textId="77777777" w:rsidR="00DC446C" w:rsidRPr="00092862" w:rsidRDefault="003B1968" w:rsidP="003D2EEB">
      <w:pPr>
        <w:pStyle w:val="2"/>
        <w:ind w:firstLine="480"/>
        <w:rPr>
          <w:color w:val="000000" w:themeColor="text1"/>
          <w:szCs w:val="24"/>
          <w:lang w:eastAsia="zh-CN"/>
        </w:rPr>
      </w:pPr>
      <w:bookmarkStart w:id="121" w:name="_bookmark21"/>
      <w:bookmarkStart w:id="122" w:name="3.4污染源源强核算"/>
      <w:bookmarkStart w:id="123" w:name="_Toc123682534"/>
      <w:bookmarkEnd w:id="121"/>
      <w:bookmarkEnd w:id="122"/>
      <w:r w:rsidRPr="00092862">
        <w:rPr>
          <w:color w:val="000000" w:themeColor="text1"/>
          <w:szCs w:val="24"/>
          <w:lang w:eastAsia="zh-CN"/>
        </w:rPr>
        <w:t>3.4</w:t>
      </w:r>
      <w:r w:rsidRPr="00092862">
        <w:rPr>
          <w:color w:val="000000" w:themeColor="text1"/>
          <w:szCs w:val="24"/>
          <w:lang w:eastAsia="zh-CN"/>
        </w:rPr>
        <w:t>污染源源强核算</w:t>
      </w:r>
      <w:bookmarkEnd w:id="123"/>
    </w:p>
    <w:p w14:paraId="746F2D2E"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24" w:name="3.4.1施工期污染源强分析"/>
      <w:bookmarkStart w:id="125" w:name="_Toc120173112"/>
      <w:bookmarkEnd w:id="124"/>
      <w:r w:rsidRPr="00092862">
        <w:rPr>
          <w:rFonts w:ascii="Times New Roman" w:eastAsia="黑体" w:hAnsi="Times New Roman"/>
          <w:b w:val="0"/>
          <w:color w:val="000000" w:themeColor="text1"/>
          <w:sz w:val="24"/>
          <w:szCs w:val="24"/>
          <w:lang w:eastAsia="zh-CN"/>
        </w:rPr>
        <w:t>3.4.1</w:t>
      </w:r>
      <w:r w:rsidRPr="00092862">
        <w:rPr>
          <w:rFonts w:ascii="Times New Roman" w:eastAsia="黑体" w:hAnsi="Times New Roman"/>
          <w:b w:val="0"/>
          <w:color w:val="000000" w:themeColor="text1"/>
          <w:sz w:val="24"/>
          <w:szCs w:val="24"/>
          <w:lang w:eastAsia="zh-CN"/>
        </w:rPr>
        <w:t>施工期污染源强分析</w:t>
      </w:r>
      <w:bookmarkEnd w:id="125"/>
    </w:p>
    <w:p w14:paraId="682541BC" w14:textId="68073695" w:rsidR="00DC446C" w:rsidRPr="00092862" w:rsidRDefault="00E47342" w:rsidP="00E47342">
      <w:pPr>
        <w:adjustRightInd w:val="0"/>
        <w:snapToGrid w:val="0"/>
        <w:spacing w:line="360" w:lineRule="auto"/>
        <w:ind w:firstLineChars="200" w:firstLine="480"/>
        <w:outlineLvl w:val="3"/>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3.4.1.1</w:t>
      </w:r>
      <w:r w:rsidR="009B5062" w:rsidRPr="00092862">
        <w:rPr>
          <w:rFonts w:ascii="Times New Roman" w:eastAsia="宋体" w:hAnsi="Times New Roman" w:cs="Times New Roman"/>
          <w:color w:val="000000" w:themeColor="text1"/>
          <w:sz w:val="24"/>
          <w:szCs w:val="24"/>
        </w:rPr>
        <w:t>钻前工程</w:t>
      </w:r>
    </w:p>
    <w:p w14:paraId="7857A53B" w14:textId="6ADB05A8" w:rsidR="009B5062" w:rsidRPr="00092862" w:rsidRDefault="009B5062" w:rsidP="003D2EE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本项目钻前工程</w:t>
      </w:r>
      <w:r w:rsidR="00BD71B9" w:rsidRPr="00092862">
        <w:rPr>
          <w:rFonts w:ascii="Times New Roman" w:eastAsia="宋体" w:hAnsi="Times New Roman" w:cs="Times New Roman"/>
          <w:color w:val="000000" w:themeColor="text1"/>
          <w:sz w:val="24"/>
        </w:rPr>
        <w:t>量较小</w:t>
      </w:r>
      <w:r w:rsidRPr="00092862">
        <w:rPr>
          <w:rFonts w:ascii="Times New Roman" w:eastAsia="宋体" w:hAnsi="Times New Roman" w:cs="Times New Roman"/>
          <w:color w:val="000000" w:themeColor="text1"/>
          <w:sz w:val="24"/>
        </w:rPr>
        <w:t>，钻前工程污染源产生</w:t>
      </w:r>
      <w:r w:rsidR="005D586F" w:rsidRPr="00092862">
        <w:rPr>
          <w:rFonts w:ascii="Times New Roman" w:eastAsia="宋体" w:hAnsi="Times New Roman" w:cs="Times New Roman"/>
          <w:color w:val="000000" w:themeColor="text1"/>
          <w:sz w:val="24"/>
        </w:rPr>
        <w:t>及治理情况</w:t>
      </w:r>
      <w:r w:rsidRPr="00092862">
        <w:rPr>
          <w:rFonts w:ascii="Times New Roman" w:eastAsia="宋体" w:hAnsi="Times New Roman" w:cs="Times New Roman"/>
          <w:color w:val="000000" w:themeColor="text1"/>
          <w:sz w:val="24"/>
        </w:rPr>
        <w:t>如下</w:t>
      </w:r>
      <w:r w:rsidR="00635899" w:rsidRPr="00092862">
        <w:rPr>
          <w:rFonts w:ascii="Times New Roman" w:eastAsia="宋体" w:hAnsi="Times New Roman" w:cs="Times New Roman"/>
          <w:color w:val="000000" w:themeColor="text1"/>
          <w:sz w:val="24"/>
        </w:rPr>
        <w:t>。</w:t>
      </w:r>
    </w:p>
    <w:p w14:paraId="556AC3C4" w14:textId="77777777" w:rsidR="00DC446C" w:rsidRPr="00092862" w:rsidRDefault="009B5062" w:rsidP="003D2EE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）废气</w:t>
      </w:r>
    </w:p>
    <w:p w14:paraId="7BE50F70" w14:textId="0172351A" w:rsidR="00DC446C" w:rsidRPr="00092862" w:rsidRDefault="009B5062" w:rsidP="009B506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钻前施工人员多为当地民工，租住在附近农户家中，不设集中生活营区，无集中生活废气排放。钻前工程大气污染物主要为施工机械尾气和施工粉尘，但属短期影响（钻前施工工期约</w:t>
      </w:r>
      <w:r w:rsidR="00CB273E" w:rsidRPr="00092862">
        <w:rPr>
          <w:rFonts w:ascii="Times New Roman" w:eastAsia="宋体" w:hAnsi="Times New Roman" w:cs="Times New Roman"/>
          <w:color w:val="000000" w:themeColor="text1"/>
          <w:sz w:val="24"/>
          <w:szCs w:val="24"/>
        </w:rPr>
        <w:t>3</w:t>
      </w:r>
      <w:r w:rsidR="00BD71B9"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天）。施工机械尾气为燃油发电机、车辆排放尾气，主要污染物为</w:t>
      </w:r>
      <w:r w:rsidRPr="00092862">
        <w:rPr>
          <w:rFonts w:ascii="Times New Roman" w:eastAsia="宋体" w:hAnsi="Times New Roman" w:cs="Times New Roman"/>
          <w:color w:val="000000" w:themeColor="text1"/>
          <w:sz w:val="24"/>
          <w:szCs w:val="24"/>
        </w:rPr>
        <w:t>NOx</w:t>
      </w:r>
      <w:r w:rsidRPr="00092862">
        <w:rPr>
          <w:rFonts w:ascii="Times New Roman" w:eastAsia="宋体" w:hAnsi="Times New Roman" w:cs="Times New Roman"/>
          <w:color w:val="000000" w:themeColor="text1"/>
          <w:sz w:val="24"/>
          <w:szCs w:val="24"/>
        </w:rPr>
        <w:t>和</w:t>
      </w:r>
      <w:r w:rsidRPr="00092862">
        <w:rPr>
          <w:rFonts w:ascii="Times New Roman" w:eastAsia="宋体" w:hAnsi="Times New Roman" w:cs="Times New Roman"/>
          <w:color w:val="000000" w:themeColor="text1"/>
          <w:sz w:val="24"/>
          <w:szCs w:val="24"/>
        </w:rPr>
        <w:t>CO</w:t>
      </w:r>
      <w:r w:rsidRPr="00092862">
        <w:rPr>
          <w:rFonts w:ascii="Times New Roman" w:eastAsia="宋体" w:hAnsi="Times New Roman" w:cs="Times New Roman"/>
          <w:color w:val="000000" w:themeColor="text1"/>
          <w:sz w:val="24"/>
          <w:szCs w:val="24"/>
        </w:rPr>
        <w:t>，施工机械使用合格燃油、加强设备保养、运输车辆控制车速等。粉尘主要源于水泥搅拌、材料运输及使用过程中的粉尘散落以及修筑钻井场地和井场外道路的挖填方转运工程中的二次扬尘，施工现场设置围栏或部分围栏、遮盖、洒水抑尘等，减少起尘量。</w:t>
      </w:r>
    </w:p>
    <w:p w14:paraId="1D8E48B4" w14:textId="77777777" w:rsidR="00DC446C" w:rsidRPr="00092862" w:rsidRDefault="003B1968" w:rsidP="003D2EE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lastRenderedPageBreak/>
        <w:t>（</w:t>
      </w: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w:t>
      </w:r>
      <w:r w:rsidR="005D586F" w:rsidRPr="00092862">
        <w:rPr>
          <w:rFonts w:ascii="Times New Roman" w:eastAsia="宋体" w:hAnsi="Times New Roman" w:cs="Times New Roman"/>
          <w:b/>
          <w:bCs/>
          <w:color w:val="000000" w:themeColor="text1"/>
          <w:sz w:val="24"/>
          <w:szCs w:val="24"/>
        </w:rPr>
        <w:t>废水</w:t>
      </w:r>
    </w:p>
    <w:p w14:paraId="7687F588" w14:textId="77777777" w:rsidR="00DC446C" w:rsidRPr="00092862" w:rsidRDefault="005D586F" w:rsidP="005D586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钻前工程的废水主要施工废水</w:t>
      </w:r>
      <w:r w:rsidRPr="00092862">
        <w:rPr>
          <w:rFonts w:ascii="Times New Roman" w:eastAsia="宋体" w:hAnsi="Times New Roman" w:cs="Times New Roman"/>
          <w:bCs/>
          <w:color w:val="000000" w:themeColor="text1"/>
          <w:sz w:val="24"/>
          <w:szCs w:val="24"/>
        </w:rPr>
        <w:t>（主要污染物为</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color w:val="000000" w:themeColor="text1"/>
          <w:sz w:val="24"/>
          <w:szCs w:val="24"/>
        </w:rPr>
        <w:t>以及施工人员的生活污水（主要污染物为</w:t>
      </w:r>
      <w:r w:rsidRPr="00092862">
        <w:rPr>
          <w:rFonts w:ascii="Times New Roman" w:eastAsia="宋体" w:hAnsi="Times New Roman" w:cs="Times New Roman"/>
          <w:bCs/>
          <w:color w:val="000000" w:themeColor="text1"/>
          <w:sz w:val="24"/>
          <w:szCs w:val="24"/>
        </w:rPr>
        <w:t>COD</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和</w:t>
      </w:r>
      <w:r w:rsidRPr="00092862">
        <w:rPr>
          <w:rFonts w:ascii="Times New Roman" w:eastAsia="宋体" w:hAnsi="Times New Roman" w:cs="Times New Roman"/>
          <w:bCs/>
          <w:color w:val="000000" w:themeColor="text1"/>
          <w:sz w:val="24"/>
          <w:szCs w:val="24"/>
        </w:rPr>
        <w:t>NH</w:t>
      </w:r>
      <w:r w:rsidRPr="00092862">
        <w:rPr>
          <w:rFonts w:ascii="Times New Roman" w:eastAsia="宋体" w:hAnsi="Times New Roman" w:cs="Times New Roman"/>
          <w:bCs/>
          <w:color w:val="000000" w:themeColor="text1"/>
          <w:sz w:val="24"/>
          <w:szCs w:val="24"/>
          <w:vertAlign w:val="subscript"/>
        </w:rPr>
        <w:t>3</w:t>
      </w:r>
      <w:r w:rsidRPr="00092862">
        <w:rPr>
          <w:rFonts w:ascii="Times New Roman" w:eastAsia="宋体" w:hAnsi="Times New Roman" w:cs="Times New Roman"/>
          <w:bCs/>
          <w:color w:val="000000" w:themeColor="text1"/>
          <w:sz w:val="24"/>
          <w:szCs w:val="24"/>
        </w:rPr>
        <w:t>-N</w:t>
      </w:r>
      <w:r w:rsidRPr="00092862">
        <w:rPr>
          <w:rFonts w:ascii="Times New Roman" w:eastAsia="宋体" w:hAnsi="Times New Roman" w:cs="Times New Roman"/>
          <w:bCs/>
          <w:color w:val="000000" w:themeColor="text1"/>
          <w:sz w:val="24"/>
          <w:szCs w:val="24"/>
        </w:rPr>
        <w:t>等</w:t>
      </w:r>
      <w:r w:rsidRPr="00092862">
        <w:rPr>
          <w:rFonts w:ascii="Times New Roman" w:eastAsia="宋体" w:hAnsi="Times New Roman" w:cs="Times New Roman"/>
          <w:color w:val="000000" w:themeColor="text1"/>
          <w:sz w:val="24"/>
          <w:szCs w:val="24"/>
        </w:rPr>
        <w:t>）。钻前工程高峰时日上工人数约</w:t>
      </w:r>
      <w:r w:rsidRPr="00092862">
        <w:rPr>
          <w:rFonts w:ascii="Times New Roman" w:eastAsia="宋体" w:hAnsi="Times New Roman" w:cs="Times New Roman"/>
          <w:color w:val="000000" w:themeColor="text1"/>
          <w:sz w:val="24"/>
          <w:szCs w:val="24"/>
        </w:rPr>
        <w:t>30</w:t>
      </w:r>
      <w:r w:rsidRPr="00092862">
        <w:rPr>
          <w:rFonts w:ascii="Times New Roman" w:eastAsia="宋体" w:hAnsi="Times New Roman" w:cs="Times New Roman"/>
          <w:color w:val="000000" w:themeColor="text1"/>
          <w:sz w:val="24"/>
          <w:szCs w:val="24"/>
        </w:rPr>
        <w:t>人，主要为附近民工，上述人员租住在附近农户，其产生的</w:t>
      </w:r>
      <w:r w:rsidR="00540655" w:rsidRPr="00092862">
        <w:rPr>
          <w:rFonts w:ascii="Times New Roman" w:eastAsia="宋体" w:hAnsi="Times New Roman" w:cs="Times New Roman"/>
          <w:color w:val="000000" w:themeColor="text1"/>
          <w:sz w:val="24"/>
          <w:szCs w:val="24"/>
        </w:rPr>
        <w:t>生活污水</w:t>
      </w:r>
      <w:r w:rsidRPr="00092862">
        <w:rPr>
          <w:rFonts w:ascii="Times New Roman" w:eastAsia="宋体" w:hAnsi="Times New Roman" w:cs="Times New Roman"/>
          <w:color w:val="000000" w:themeColor="text1"/>
          <w:sz w:val="24"/>
          <w:szCs w:val="24"/>
        </w:rPr>
        <w:t>利用农户已有的设施进行收集处置，施工现场基本不产生生活污水；钻前施工主要为土建施工，还会产生车辆清洗、砂石料拌合及混凝土养护、施工机具保洁废水等，及道路施工遇雨水产生的地表径流，产生地点分散，产生量较小，污染因子以石油类和</w:t>
      </w:r>
      <w:r w:rsidRPr="00092862">
        <w:rPr>
          <w:rFonts w:ascii="Times New Roman" w:eastAsia="宋体" w:hAnsi="Times New Roman" w:cs="Times New Roman"/>
          <w:color w:val="000000" w:themeColor="text1"/>
          <w:sz w:val="24"/>
          <w:szCs w:val="24"/>
        </w:rPr>
        <w:t>SS</w:t>
      </w:r>
      <w:r w:rsidRPr="00092862">
        <w:rPr>
          <w:rFonts w:ascii="Times New Roman" w:eastAsia="宋体" w:hAnsi="Times New Roman" w:cs="Times New Roman"/>
          <w:color w:val="000000" w:themeColor="text1"/>
          <w:sz w:val="24"/>
          <w:szCs w:val="24"/>
        </w:rPr>
        <w:t>为主。本项目在施工现场设置沉淀池，施工废水经隔油沉淀处理后回用于洒水降尘和混凝土养护用水，不外排。</w:t>
      </w:r>
    </w:p>
    <w:p w14:paraId="58E361EF" w14:textId="77777777" w:rsidR="00DC446C" w:rsidRPr="00092862" w:rsidRDefault="003B1968" w:rsidP="003D2EE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w:t>
      </w:r>
      <w:r w:rsidR="005D586F" w:rsidRPr="00092862">
        <w:rPr>
          <w:rFonts w:ascii="Times New Roman" w:eastAsia="宋体" w:hAnsi="Times New Roman" w:cs="Times New Roman"/>
          <w:b/>
          <w:bCs/>
          <w:color w:val="000000" w:themeColor="text1"/>
          <w:sz w:val="24"/>
          <w:szCs w:val="24"/>
        </w:rPr>
        <w:t>噪声</w:t>
      </w:r>
    </w:p>
    <w:p w14:paraId="2630EDA9" w14:textId="77777777" w:rsidR="005D586F" w:rsidRPr="00092862" w:rsidRDefault="005D586F" w:rsidP="005D586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钻前工程施工期的噪声主要是推土机、挖掘机、载重汽车等运行中产生的，噪声级见表</w:t>
      </w:r>
      <w:r w:rsidRPr="00092862">
        <w:rPr>
          <w:rFonts w:ascii="Times New Roman" w:eastAsia="宋体" w:hAnsi="Times New Roman" w:cs="Times New Roman"/>
          <w:color w:val="000000" w:themeColor="text1"/>
          <w:sz w:val="24"/>
          <w:szCs w:val="24"/>
        </w:rPr>
        <w:t>3.4-1</w:t>
      </w:r>
      <w:r w:rsidRPr="00092862">
        <w:rPr>
          <w:rFonts w:ascii="Times New Roman" w:eastAsia="宋体" w:hAnsi="Times New Roman" w:cs="Times New Roman"/>
          <w:color w:val="000000" w:themeColor="text1"/>
          <w:sz w:val="24"/>
          <w:szCs w:val="24"/>
        </w:rPr>
        <w:t>。虽为短期施工，但应采取措施减少其对附近居民的影响。由于钻前施工工程量小，且为野外作业，钻前工程夜间不施工作业。</w:t>
      </w:r>
    </w:p>
    <w:p w14:paraId="3E1A2C16" w14:textId="77777777" w:rsidR="005D586F" w:rsidRPr="00092862" w:rsidRDefault="005D586F"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3.4-1  </w:t>
      </w:r>
      <w:r w:rsidRPr="00092862">
        <w:rPr>
          <w:rFonts w:ascii="Times New Roman" w:eastAsia="黑体" w:hAnsi="Times New Roman"/>
          <w:color w:val="000000" w:themeColor="text1"/>
          <w:sz w:val="21"/>
          <w:szCs w:val="21"/>
          <w:lang w:eastAsia="zh-CN"/>
        </w:rPr>
        <w:t>主要施工机具噪声源强表</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4"/>
        <w:gridCol w:w="1418"/>
        <w:gridCol w:w="1701"/>
        <w:gridCol w:w="1842"/>
        <w:gridCol w:w="1282"/>
        <w:gridCol w:w="1275"/>
      </w:tblGrid>
      <w:tr w:rsidR="00697429" w:rsidRPr="00092862" w14:paraId="200A48B8" w14:textId="77777777" w:rsidTr="005D586F">
        <w:trPr>
          <w:jc w:val="center"/>
        </w:trPr>
        <w:tc>
          <w:tcPr>
            <w:tcW w:w="704" w:type="dxa"/>
            <w:vAlign w:val="center"/>
          </w:tcPr>
          <w:p w14:paraId="0D1A0A9B"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1418" w:type="dxa"/>
            <w:vAlign w:val="center"/>
          </w:tcPr>
          <w:p w14:paraId="3B15A22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设备名称</w:t>
            </w:r>
          </w:p>
        </w:tc>
        <w:tc>
          <w:tcPr>
            <w:tcW w:w="1701" w:type="dxa"/>
            <w:vAlign w:val="center"/>
          </w:tcPr>
          <w:p w14:paraId="47FA2402"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测点距施工机具距离（</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w:t>
            </w:r>
          </w:p>
        </w:tc>
        <w:tc>
          <w:tcPr>
            <w:tcW w:w="1842" w:type="dxa"/>
            <w:vAlign w:val="center"/>
          </w:tcPr>
          <w:p w14:paraId="62442DE7"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最大声级</w:t>
            </w:r>
          </w:p>
          <w:p w14:paraId="6CA1D43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c>
          <w:tcPr>
            <w:tcW w:w="1282" w:type="dxa"/>
            <w:vAlign w:val="center"/>
          </w:tcPr>
          <w:p w14:paraId="1756AE3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运行方式</w:t>
            </w:r>
          </w:p>
        </w:tc>
        <w:tc>
          <w:tcPr>
            <w:tcW w:w="0" w:type="auto"/>
            <w:vAlign w:val="center"/>
          </w:tcPr>
          <w:p w14:paraId="7365B62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运行时间</w:t>
            </w:r>
            <w:r w:rsidRPr="00092862">
              <w:rPr>
                <w:rFonts w:ascii="Times New Roman" w:eastAsia="宋体" w:hAnsi="Times New Roman" w:cs="Times New Roman"/>
                <w:color w:val="000000" w:themeColor="text1"/>
                <w:szCs w:val="21"/>
              </w:rPr>
              <w:t>(h)</w:t>
            </w:r>
          </w:p>
        </w:tc>
      </w:tr>
      <w:tr w:rsidR="00697429" w:rsidRPr="00092862" w14:paraId="2A09DF34" w14:textId="77777777" w:rsidTr="005D586F">
        <w:trPr>
          <w:jc w:val="center"/>
        </w:trPr>
        <w:tc>
          <w:tcPr>
            <w:tcW w:w="704" w:type="dxa"/>
            <w:vAlign w:val="center"/>
          </w:tcPr>
          <w:p w14:paraId="45947E3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418" w:type="dxa"/>
            <w:vAlign w:val="center"/>
          </w:tcPr>
          <w:p w14:paraId="6CBA760B"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推土机</w:t>
            </w:r>
          </w:p>
        </w:tc>
        <w:tc>
          <w:tcPr>
            <w:tcW w:w="1701" w:type="dxa"/>
            <w:vAlign w:val="center"/>
          </w:tcPr>
          <w:p w14:paraId="484F661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1842" w:type="dxa"/>
            <w:vAlign w:val="center"/>
          </w:tcPr>
          <w:p w14:paraId="290BDE4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85</w:t>
            </w:r>
          </w:p>
        </w:tc>
        <w:tc>
          <w:tcPr>
            <w:tcW w:w="1282" w:type="dxa"/>
            <w:vAlign w:val="center"/>
          </w:tcPr>
          <w:p w14:paraId="475A97BE"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797C20F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&lt;4</w:t>
            </w:r>
          </w:p>
        </w:tc>
      </w:tr>
      <w:tr w:rsidR="00697429" w:rsidRPr="00092862" w14:paraId="686A2F7E" w14:textId="77777777" w:rsidTr="005D586F">
        <w:trPr>
          <w:jc w:val="center"/>
        </w:trPr>
        <w:tc>
          <w:tcPr>
            <w:tcW w:w="704" w:type="dxa"/>
            <w:vAlign w:val="center"/>
          </w:tcPr>
          <w:p w14:paraId="57C4935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1418" w:type="dxa"/>
            <w:vAlign w:val="center"/>
          </w:tcPr>
          <w:p w14:paraId="2B55A5C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挖掘机</w:t>
            </w:r>
          </w:p>
        </w:tc>
        <w:tc>
          <w:tcPr>
            <w:tcW w:w="1701" w:type="dxa"/>
            <w:vAlign w:val="center"/>
          </w:tcPr>
          <w:p w14:paraId="0FC5CB71"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1842" w:type="dxa"/>
            <w:vAlign w:val="center"/>
          </w:tcPr>
          <w:p w14:paraId="321A631A"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84</w:t>
            </w:r>
          </w:p>
        </w:tc>
        <w:tc>
          <w:tcPr>
            <w:tcW w:w="1282" w:type="dxa"/>
            <w:vAlign w:val="center"/>
          </w:tcPr>
          <w:p w14:paraId="3958A700"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190B7A9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&lt;2</w:t>
            </w:r>
          </w:p>
        </w:tc>
      </w:tr>
      <w:tr w:rsidR="00697429" w:rsidRPr="00092862" w14:paraId="1466BD6A" w14:textId="77777777" w:rsidTr="005D586F">
        <w:trPr>
          <w:jc w:val="center"/>
        </w:trPr>
        <w:tc>
          <w:tcPr>
            <w:tcW w:w="704" w:type="dxa"/>
            <w:vAlign w:val="center"/>
          </w:tcPr>
          <w:p w14:paraId="4CACE9A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1418" w:type="dxa"/>
            <w:vAlign w:val="center"/>
          </w:tcPr>
          <w:p w14:paraId="208CE006"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载重汽车</w:t>
            </w:r>
          </w:p>
        </w:tc>
        <w:tc>
          <w:tcPr>
            <w:tcW w:w="1701" w:type="dxa"/>
            <w:vAlign w:val="center"/>
          </w:tcPr>
          <w:p w14:paraId="577B01AC"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1842" w:type="dxa"/>
            <w:vAlign w:val="center"/>
          </w:tcPr>
          <w:p w14:paraId="24FC05DE"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82</w:t>
            </w:r>
          </w:p>
        </w:tc>
        <w:tc>
          <w:tcPr>
            <w:tcW w:w="1282" w:type="dxa"/>
            <w:vAlign w:val="center"/>
          </w:tcPr>
          <w:p w14:paraId="7379DC1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24FCE19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&lt;2</w:t>
            </w:r>
          </w:p>
        </w:tc>
      </w:tr>
      <w:tr w:rsidR="00697429" w:rsidRPr="00092862" w14:paraId="37A94A81" w14:textId="77777777" w:rsidTr="005D586F">
        <w:trPr>
          <w:jc w:val="center"/>
        </w:trPr>
        <w:tc>
          <w:tcPr>
            <w:tcW w:w="704" w:type="dxa"/>
            <w:vAlign w:val="center"/>
          </w:tcPr>
          <w:p w14:paraId="447D4C65"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1418" w:type="dxa"/>
            <w:vAlign w:val="center"/>
          </w:tcPr>
          <w:p w14:paraId="15E8A413"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钻孔机</w:t>
            </w:r>
          </w:p>
        </w:tc>
        <w:tc>
          <w:tcPr>
            <w:tcW w:w="1701" w:type="dxa"/>
            <w:vAlign w:val="center"/>
          </w:tcPr>
          <w:p w14:paraId="18EB172A"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842" w:type="dxa"/>
            <w:vAlign w:val="center"/>
          </w:tcPr>
          <w:p w14:paraId="0DE46AD2"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w:t>
            </w:r>
          </w:p>
        </w:tc>
        <w:tc>
          <w:tcPr>
            <w:tcW w:w="1282" w:type="dxa"/>
            <w:vAlign w:val="center"/>
          </w:tcPr>
          <w:p w14:paraId="0EE2B57C"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2A591C8E"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&lt;4</w:t>
            </w:r>
          </w:p>
        </w:tc>
      </w:tr>
      <w:tr w:rsidR="00697429" w:rsidRPr="00092862" w14:paraId="73168115" w14:textId="77777777" w:rsidTr="005D586F">
        <w:trPr>
          <w:jc w:val="center"/>
        </w:trPr>
        <w:tc>
          <w:tcPr>
            <w:tcW w:w="704" w:type="dxa"/>
            <w:vAlign w:val="center"/>
          </w:tcPr>
          <w:p w14:paraId="749C054F"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1418" w:type="dxa"/>
            <w:vAlign w:val="center"/>
          </w:tcPr>
          <w:p w14:paraId="2084AEB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空压机</w:t>
            </w:r>
          </w:p>
        </w:tc>
        <w:tc>
          <w:tcPr>
            <w:tcW w:w="1701" w:type="dxa"/>
            <w:vAlign w:val="center"/>
          </w:tcPr>
          <w:p w14:paraId="1D2FAEF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842" w:type="dxa"/>
            <w:vAlign w:val="center"/>
          </w:tcPr>
          <w:p w14:paraId="49585009"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101</w:t>
            </w:r>
          </w:p>
        </w:tc>
        <w:tc>
          <w:tcPr>
            <w:tcW w:w="1282" w:type="dxa"/>
            <w:vAlign w:val="center"/>
          </w:tcPr>
          <w:p w14:paraId="5C035158"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06548247"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&lt;4</w:t>
            </w:r>
          </w:p>
        </w:tc>
      </w:tr>
      <w:tr w:rsidR="00697429" w:rsidRPr="00092862" w14:paraId="2CB1017D" w14:textId="77777777" w:rsidTr="005D586F">
        <w:trPr>
          <w:jc w:val="center"/>
        </w:trPr>
        <w:tc>
          <w:tcPr>
            <w:tcW w:w="704" w:type="dxa"/>
            <w:vAlign w:val="center"/>
          </w:tcPr>
          <w:p w14:paraId="4162F1AC"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w:t>
            </w:r>
          </w:p>
        </w:tc>
        <w:tc>
          <w:tcPr>
            <w:tcW w:w="1418" w:type="dxa"/>
            <w:vAlign w:val="center"/>
          </w:tcPr>
          <w:p w14:paraId="0BDE34D2"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柴油发电机</w:t>
            </w:r>
          </w:p>
        </w:tc>
        <w:tc>
          <w:tcPr>
            <w:tcW w:w="1701" w:type="dxa"/>
            <w:vAlign w:val="center"/>
          </w:tcPr>
          <w:p w14:paraId="669D0DE4"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842" w:type="dxa"/>
            <w:vAlign w:val="center"/>
          </w:tcPr>
          <w:p w14:paraId="322AC71C"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98</w:t>
            </w:r>
          </w:p>
        </w:tc>
        <w:tc>
          <w:tcPr>
            <w:tcW w:w="1282" w:type="dxa"/>
            <w:vAlign w:val="center"/>
          </w:tcPr>
          <w:p w14:paraId="2E254A80"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67A7D55B"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&lt;2</w:t>
            </w:r>
          </w:p>
        </w:tc>
      </w:tr>
      <w:tr w:rsidR="00697429" w:rsidRPr="00092862" w14:paraId="280235C0" w14:textId="77777777" w:rsidTr="005D586F">
        <w:trPr>
          <w:jc w:val="center"/>
        </w:trPr>
        <w:tc>
          <w:tcPr>
            <w:tcW w:w="704" w:type="dxa"/>
            <w:vAlign w:val="center"/>
          </w:tcPr>
          <w:p w14:paraId="1D92F4CD"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w:t>
            </w:r>
          </w:p>
        </w:tc>
        <w:tc>
          <w:tcPr>
            <w:tcW w:w="1418" w:type="dxa"/>
            <w:vAlign w:val="center"/>
          </w:tcPr>
          <w:p w14:paraId="29C60E87"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振动棒</w:t>
            </w:r>
          </w:p>
        </w:tc>
        <w:tc>
          <w:tcPr>
            <w:tcW w:w="1701" w:type="dxa"/>
            <w:vAlign w:val="center"/>
          </w:tcPr>
          <w:p w14:paraId="2E281168"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842" w:type="dxa"/>
            <w:vAlign w:val="center"/>
          </w:tcPr>
          <w:p w14:paraId="52309DBE"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100</w:t>
            </w:r>
          </w:p>
        </w:tc>
        <w:tc>
          <w:tcPr>
            <w:tcW w:w="1282" w:type="dxa"/>
            <w:vAlign w:val="center"/>
          </w:tcPr>
          <w:p w14:paraId="2E206F7F"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移动设备</w:t>
            </w:r>
          </w:p>
        </w:tc>
        <w:tc>
          <w:tcPr>
            <w:tcW w:w="0" w:type="auto"/>
            <w:vAlign w:val="center"/>
          </w:tcPr>
          <w:p w14:paraId="2D621D13" w14:textId="77777777" w:rsidR="005D586F" w:rsidRPr="00092862" w:rsidRDefault="005D586F" w:rsidP="005D586F">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&lt;4</w:t>
            </w:r>
          </w:p>
        </w:tc>
      </w:tr>
    </w:tbl>
    <w:p w14:paraId="77D4C40A" w14:textId="77777777" w:rsidR="005D586F" w:rsidRPr="00092862" w:rsidRDefault="005D586F" w:rsidP="005D586F">
      <w:pPr>
        <w:adjustRightInd w:val="0"/>
        <w:snapToGrid w:val="0"/>
        <w:spacing w:beforeLines="50" w:before="120"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4</w:t>
      </w:r>
      <w:r w:rsidRPr="00092862">
        <w:rPr>
          <w:rFonts w:ascii="Times New Roman" w:eastAsia="宋体" w:hAnsi="Times New Roman" w:cs="Times New Roman"/>
          <w:b/>
          <w:bCs/>
          <w:color w:val="000000" w:themeColor="text1"/>
          <w:sz w:val="24"/>
          <w:szCs w:val="24"/>
        </w:rPr>
        <w:t>）固废</w:t>
      </w:r>
    </w:p>
    <w:p w14:paraId="3871A3CD" w14:textId="7DA74A1B" w:rsidR="00DC446C" w:rsidRPr="00092862" w:rsidRDefault="005D586F" w:rsidP="005D586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本项目场地平整挖填量基本能做到挖填平衡，固废主要有钻前工程</w:t>
      </w:r>
      <w:r w:rsidR="00594DA3" w:rsidRPr="00092862">
        <w:rPr>
          <w:rFonts w:ascii="Times New Roman" w:eastAsia="宋体" w:hAnsi="Times New Roman" w:cs="Times New Roman"/>
          <w:color w:val="000000" w:themeColor="text1"/>
          <w:sz w:val="24"/>
          <w:szCs w:val="24"/>
        </w:rPr>
        <w:t>设备基础</w:t>
      </w:r>
      <w:r w:rsidR="009B7B20" w:rsidRPr="00092862">
        <w:rPr>
          <w:rFonts w:ascii="Times New Roman" w:eastAsia="宋体" w:hAnsi="Times New Roman" w:cs="Times New Roman"/>
          <w:color w:val="000000" w:themeColor="text1"/>
          <w:sz w:val="24"/>
          <w:szCs w:val="24"/>
        </w:rPr>
        <w:t>施工</w:t>
      </w:r>
      <w:r w:rsidRPr="00092862">
        <w:rPr>
          <w:rFonts w:ascii="Times New Roman" w:eastAsia="宋体" w:hAnsi="Times New Roman" w:cs="Times New Roman"/>
          <w:color w:val="000000" w:themeColor="text1"/>
          <w:sz w:val="24"/>
          <w:szCs w:val="24"/>
        </w:rPr>
        <w:t>开挖带来的临时弃土石方，</w:t>
      </w:r>
      <w:r w:rsidR="00594DA3" w:rsidRPr="00092862">
        <w:rPr>
          <w:rFonts w:ascii="Times New Roman" w:eastAsia="宋体" w:hAnsi="Times New Roman" w:cs="Times New Roman"/>
          <w:color w:val="000000" w:themeColor="text1"/>
          <w:sz w:val="24"/>
          <w:szCs w:val="24"/>
        </w:rPr>
        <w:t>用于场地平整，无弃方产生，本项目仅生活区临时占地为新增占地，不涉及表土剥离</w:t>
      </w:r>
      <w:r w:rsidRPr="00092862">
        <w:rPr>
          <w:rFonts w:ascii="Times New Roman" w:eastAsia="宋体" w:hAnsi="Times New Roman" w:cs="Times New Roman"/>
          <w:color w:val="000000" w:themeColor="text1"/>
          <w:sz w:val="24"/>
          <w:szCs w:val="24"/>
        </w:rPr>
        <w:t>。施工过程中会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7AA5C629" w14:textId="77777777" w:rsidR="005D586F" w:rsidRPr="00092862" w:rsidRDefault="005D586F" w:rsidP="005D586F">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5</w:t>
      </w:r>
      <w:r w:rsidRPr="00092862">
        <w:rPr>
          <w:rFonts w:ascii="Times New Roman" w:eastAsia="宋体" w:hAnsi="Times New Roman" w:cs="Times New Roman"/>
          <w:b/>
          <w:bCs/>
          <w:color w:val="000000" w:themeColor="text1"/>
          <w:sz w:val="24"/>
          <w:szCs w:val="24"/>
        </w:rPr>
        <w:t>）生态环境影响</w:t>
      </w:r>
    </w:p>
    <w:p w14:paraId="44B0192B" w14:textId="15D2FA14" w:rsidR="005D586F" w:rsidRPr="00092862" w:rsidRDefault="005D586F" w:rsidP="0012505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拟建项目钻前工程对生态环境的主要影响因素包括场地</w:t>
      </w:r>
      <w:r w:rsidR="00594DA3" w:rsidRPr="00092862">
        <w:rPr>
          <w:rFonts w:ascii="Times New Roman" w:eastAsia="宋体" w:hAnsi="Times New Roman" w:cs="Times New Roman"/>
          <w:color w:val="000000" w:themeColor="text1"/>
          <w:sz w:val="24"/>
          <w:szCs w:val="24"/>
        </w:rPr>
        <w:t>基础</w:t>
      </w:r>
      <w:r w:rsidRPr="00092862">
        <w:rPr>
          <w:rFonts w:ascii="Times New Roman" w:eastAsia="宋体" w:hAnsi="Times New Roman" w:cs="Times New Roman"/>
          <w:color w:val="000000" w:themeColor="text1"/>
          <w:sz w:val="24"/>
          <w:szCs w:val="24"/>
        </w:rPr>
        <w:t>开挖、土石方回填、构筑物建设等活动对土地的扰动作用。通常说来，生态影响效果主要包</w:t>
      </w:r>
      <w:r w:rsidRPr="00092862">
        <w:rPr>
          <w:rFonts w:ascii="Times New Roman" w:eastAsia="宋体" w:hAnsi="Times New Roman" w:cs="Times New Roman"/>
          <w:color w:val="000000" w:themeColor="text1"/>
          <w:sz w:val="24"/>
          <w:szCs w:val="24"/>
        </w:rPr>
        <w:lastRenderedPageBreak/>
        <w:t>括改变土地利用性质、造成水土流失等。</w:t>
      </w:r>
    </w:p>
    <w:p w14:paraId="32C24D48" w14:textId="77777777" w:rsidR="005D586F" w:rsidRPr="00092862" w:rsidRDefault="005D586F" w:rsidP="0012505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）土地利用性质改变</w:t>
      </w:r>
    </w:p>
    <w:p w14:paraId="631B81A5" w14:textId="256C6971" w:rsidR="005D586F" w:rsidRPr="00092862" w:rsidRDefault="00E61894" w:rsidP="00125053">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126" w:name="_Hlk89347872"/>
      <w:r w:rsidRPr="00092862">
        <w:rPr>
          <w:rFonts w:ascii="Times New Roman" w:eastAsia="宋体" w:hAnsi="Times New Roman" w:cs="Times New Roman"/>
          <w:color w:val="000000" w:themeColor="text1"/>
          <w:sz w:val="24"/>
          <w:szCs w:val="24"/>
        </w:rPr>
        <w:t>本项目</w:t>
      </w:r>
      <w:r w:rsidR="00317F32" w:rsidRPr="00092862">
        <w:rPr>
          <w:rFonts w:ascii="Times New Roman" w:eastAsia="宋体" w:hAnsi="Times New Roman" w:cs="Times New Roman"/>
          <w:color w:val="000000" w:themeColor="text1"/>
          <w:sz w:val="24"/>
          <w:szCs w:val="24"/>
        </w:rPr>
        <w:t>为新建</w:t>
      </w:r>
      <w:r w:rsidRPr="00092862">
        <w:rPr>
          <w:rFonts w:ascii="Times New Roman" w:eastAsia="宋体" w:hAnsi="Times New Roman" w:cs="Times New Roman"/>
          <w:color w:val="000000" w:themeColor="text1"/>
          <w:sz w:val="24"/>
          <w:szCs w:val="24"/>
        </w:rPr>
        <w:t>，</w:t>
      </w:r>
      <w:r w:rsidR="009E6599" w:rsidRPr="00092862">
        <w:rPr>
          <w:rFonts w:ascii="Times New Roman" w:eastAsia="宋体" w:hAnsi="Times New Roman" w:cs="Times New Roman"/>
          <w:color w:val="000000" w:themeColor="text1"/>
          <w:sz w:val="24"/>
          <w:szCs w:val="24"/>
        </w:rPr>
        <w:t>钻井期涉及</w:t>
      </w:r>
      <w:r w:rsidR="00317F32" w:rsidRPr="00092862">
        <w:rPr>
          <w:rFonts w:ascii="Times New Roman" w:eastAsia="宋体" w:hAnsi="Times New Roman" w:cs="Times New Roman"/>
          <w:color w:val="000000" w:themeColor="text1"/>
          <w:sz w:val="24"/>
          <w:szCs w:val="24"/>
        </w:rPr>
        <w:t>井场工程、</w:t>
      </w:r>
      <w:r w:rsidR="009E6599" w:rsidRPr="00092862">
        <w:rPr>
          <w:rFonts w:ascii="Times New Roman" w:eastAsia="宋体" w:hAnsi="Times New Roman" w:cs="Times New Roman"/>
          <w:color w:val="000000" w:themeColor="text1"/>
          <w:sz w:val="24"/>
          <w:szCs w:val="24"/>
        </w:rPr>
        <w:t>生活区</w:t>
      </w:r>
      <w:r w:rsidR="00317F32" w:rsidRPr="00092862">
        <w:rPr>
          <w:rFonts w:ascii="Times New Roman" w:eastAsia="宋体" w:hAnsi="Times New Roman" w:cs="Times New Roman"/>
          <w:color w:val="000000" w:themeColor="text1"/>
          <w:sz w:val="24"/>
          <w:szCs w:val="24"/>
        </w:rPr>
        <w:t>、表土堆放区等</w:t>
      </w:r>
      <w:r w:rsidR="009E6599" w:rsidRPr="00092862">
        <w:rPr>
          <w:rFonts w:ascii="Times New Roman" w:eastAsia="宋体" w:hAnsi="Times New Roman" w:cs="Times New Roman"/>
          <w:color w:val="000000" w:themeColor="text1"/>
          <w:sz w:val="24"/>
          <w:szCs w:val="24"/>
        </w:rPr>
        <w:t>临时占地</w:t>
      </w:r>
      <w:r w:rsidRPr="00092862">
        <w:rPr>
          <w:rFonts w:ascii="Times New Roman" w:eastAsia="宋体" w:hAnsi="Times New Roman" w:cs="Times New Roman"/>
          <w:color w:val="000000" w:themeColor="text1"/>
          <w:sz w:val="24"/>
          <w:szCs w:val="24"/>
        </w:rPr>
        <w:t>。</w:t>
      </w:r>
      <w:bookmarkEnd w:id="126"/>
      <w:r w:rsidR="005D586F" w:rsidRPr="00092862">
        <w:rPr>
          <w:rFonts w:ascii="Times New Roman" w:eastAsia="宋体" w:hAnsi="Times New Roman" w:cs="Times New Roman"/>
          <w:color w:val="000000" w:themeColor="text1"/>
          <w:sz w:val="24"/>
          <w:szCs w:val="24"/>
        </w:rPr>
        <w:t>工程项目建设对生态环境的影响主要表现为项目占地使土地功能发生改变，即一般</w:t>
      </w:r>
      <w:r w:rsidR="00CB273E" w:rsidRPr="00092862">
        <w:rPr>
          <w:rFonts w:ascii="Times New Roman" w:eastAsia="宋体" w:hAnsi="Times New Roman" w:cs="Times New Roman"/>
          <w:color w:val="000000" w:themeColor="text1"/>
          <w:sz w:val="24"/>
          <w:szCs w:val="24"/>
        </w:rPr>
        <w:t>耕地</w:t>
      </w:r>
      <w:r w:rsidR="00BB395D" w:rsidRPr="00092862">
        <w:rPr>
          <w:rFonts w:ascii="Times New Roman" w:eastAsia="宋体" w:hAnsi="Times New Roman" w:cs="Times New Roman"/>
          <w:color w:val="000000" w:themeColor="text1"/>
          <w:sz w:val="24"/>
          <w:szCs w:val="24"/>
        </w:rPr>
        <w:t>（</w:t>
      </w:r>
      <w:r w:rsidR="00BB395D" w:rsidRPr="00092862">
        <w:rPr>
          <w:rFonts w:ascii="Times New Roman" w:eastAsia="宋体" w:hAnsi="Times New Roman" w:cs="Times New Roman"/>
          <w:color w:val="000000" w:themeColor="text1"/>
          <w:sz w:val="24"/>
        </w:rPr>
        <w:t>灌草丛</w:t>
      </w:r>
      <w:r w:rsidR="00BB395D" w:rsidRPr="00092862">
        <w:rPr>
          <w:rFonts w:ascii="Times New Roman" w:eastAsia="宋体" w:hAnsi="Times New Roman" w:cs="Times New Roman"/>
          <w:color w:val="000000" w:themeColor="text1"/>
          <w:sz w:val="24"/>
          <w:szCs w:val="24"/>
        </w:rPr>
        <w:t>）</w:t>
      </w:r>
      <w:r w:rsidR="005D586F" w:rsidRPr="00092862">
        <w:rPr>
          <w:rFonts w:ascii="Times New Roman" w:eastAsia="宋体" w:hAnsi="Times New Roman" w:cs="Times New Roman"/>
          <w:color w:val="000000" w:themeColor="text1"/>
          <w:sz w:val="24"/>
          <w:szCs w:val="24"/>
        </w:rPr>
        <w:t>变为工业用地，将导致粮食减产</w:t>
      </w:r>
      <w:r w:rsidR="00BB395D" w:rsidRPr="00092862">
        <w:rPr>
          <w:rFonts w:ascii="Times New Roman" w:eastAsia="宋体" w:hAnsi="Times New Roman" w:cs="Times New Roman"/>
          <w:color w:val="000000" w:themeColor="text1"/>
          <w:sz w:val="24"/>
          <w:szCs w:val="24"/>
        </w:rPr>
        <w:t>（植被生物量降低）</w:t>
      </w:r>
      <w:r w:rsidR="005D586F" w:rsidRPr="00092862">
        <w:rPr>
          <w:rFonts w:ascii="Times New Roman" w:eastAsia="宋体" w:hAnsi="Times New Roman" w:cs="Times New Roman"/>
          <w:color w:val="000000" w:themeColor="text1"/>
          <w:sz w:val="24"/>
          <w:szCs w:val="24"/>
        </w:rPr>
        <w:t>等。本项目</w:t>
      </w:r>
      <w:r w:rsidR="007E561D" w:rsidRPr="00092862">
        <w:rPr>
          <w:rFonts w:ascii="Times New Roman" w:eastAsia="宋体" w:hAnsi="Times New Roman" w:cs="Times New Roman"/>
          <w:color w:val="000000" w:themeColor="text1"/>
          <w:sz w:val="24"/>
          <w:szCs w:val="24"/>
        </w:rPr>
        <w:t>新增</w:t>
      </w:r>
      <w:r w:rsidR="005D586F" w:rsidRPr="00092862">
        <w:rPr>
          <w:rFonts w:ascii="Times New Roman" w:eastAsia="宋体" w:hAnsi="Times New Roman" w:cs="Times New Roman"/>
          <w:color w:val="000000" w:themeColor="text1"/>
          <w:sz w:val="24"/>
          <w:szCs w:val="24"/>
        </w:rPr>
        <w:t>临时占地用地类型为</w:t>
      </w:r>
      <w:r w:rsidR="007E561D" w:rsidRPr="00092862">
        <w:rPr>
          <w:rFonts w:ascii="Times New Roman" w:eastAsia="宋体" w:hAnsi="Times New Roman" w:cs="Times New Roman"/>
          <w:bCs/>
          <w:color w:val="000000" w:themeColor="text1"/>
          <w:sz w:val="24"/>
          <w:szCs w:val="24"/>
        </w:rPr>
        <w:t>灌草丛</w:t>
      </w:r>
      <w:r w:rsidR="00CB273E" w:rsidRPr="00092862">
        <w:rPr>
          <w:rFonts w:ascii="Times New Roman" w:eastAsia="宋体" w:hAnsi="Times New Roman" w:cs="Times New Roman"/>
          <w:color w:val="000000" w:themeColor="text1"/>
          <w:sz w:val="24"/>
          <w:szCs w:val="24"/>
        </w:rPr>
        <w:t>等</w:t>
      </w:r>
      <w:r w:rsidR="005D586F" w:rsidRPr="00092862">
        <w:rPr>
          <w:rFonts w:ascii="Times New Roman" w:eastAsia="宋体" w:hAnsi="Times New Roman" w:cs="Times New Roman"/>
          <w:color w:val="000000" w:themeColor="text1"/>
          <w:sz w:val="24"/>
          <w:szCs w:val="24"/>
        </w:rPr>
        <w:t>，短期内改变土地利用性质，工程结束后即对临时占用的土地进行恢复，对当地土地资源的影响较小。对于工程的占地，建设方应按国家相关法律法规办理</w:t>
      </w:r>
      <w:r w:rsidR="009E6599" w:rsidRPr="00092862">
        <w:rPr>
          <w:rFonts w:ascii="Times New Roman" w:eastAsia="宋体" w:hAnsi="Times New Roman" w:cs="Times New Roman"/>
          <w:color w:val="000000" w:themeColor="text1"/>
          <w:sz w:val="24"/>
          <w:szCs w:val="24"/>
        </w:rPr>
        <w:t>临时用地</w:t>
      </w:r>
      <w:r w:rsidR="005D586F" w:rsidRPr="00092862">
        <w:rPr>
          <w:rFonts w:ascii="Times New Roman" w:eastAsia="宋体" w:hAnsi="Times New Roman" w:cs="Times New Roman"/>
          <w:color w:val="000000" w:themeColor="text1"/>
          <w:sz w:val="24"/>
          <w:szCs w:val="24"/>
        </w:rPr>
        <w:t>手续。</w:t>
      </w:r>
    </w:p>
    <w:p w14:paraId="31498384" w14:textId="77777777" w:rsidR="005D586F" w:rsidRPr="00092862" w:rsidRDefault="005D586F" w:rsidP="0012505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）土壤侵蚀</w:t>
      </w:r>
    </w:p>
    <w:p w14:paraId="6C4719FF" w14:textId="4861FB52" w:rsidR="005D586F" w:rsidRPr="00092862" w:rsidRDefault="00317F32" w:rsidP="005D586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在进场道路、井场平整、设备基础开挖过程，将造成地面裸露，形成水土流失，导致地表原有植被破坏</w:t>
      </w:r>
      <w:r w:rsidR="005D586F" w:rsidRPr="00092862">
        <w:rPr>
          <w:rFonts w:ascii="Times New Roman" w:eastAsia="宋体" w:hAnsi="Times New Roman" w:cs="Times New Roman"/>
          <w:color w:val="000000" w:themeColor="text1"/>
          <w:sz w:val="24"/>
          <w:szCs w:val="24"/>
        </w:rPr>
        <w:t>。</w:t>
      </w:r>
    </w:p>
    <w:p w14:paraId="7EBD2A91" w14:textId="62063A92" w:rsidR="00DC446C" w:rsidRPr="00092862" w:rsidRDefault="00E47342" w:rsidP="00E47342">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3.4.1.2</w:t>
      </w:r>
      <w:r w:rsidR="00125053" w:rsidRPr="00092862">
        <w:rPr>
          <w:rFonts w:ascii="Times New Roman" w:eastAsia="黑体" w:hAnsi="Times New Roman" w:cs="Times New Roman"/>
          <w:color w:val="000000" w:themeColor="text1"/>
          <w:sz w:val="24"/>
          <w:szCs w:val="24"/>
        </w:rPr>
        <w:t>钻井工程</w:t>
      </w:r>
    </w:p>
    <w:p w14:paraId="3A170246" w14:textId="77777777" w:rsidR="00DC446C" w:rsidRPr="00092862" w:rsidRDefault="003B1968" w:rsidP="003D2EE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w:t>
      </w:r>
      <w:r w:rsidR="00125053" w:rsidRPr="00092862">
        <w:rPr>
          <w:rFonts w:ascii="Times New Roman" w:eastAsia="宋体" w:hAnsi="Times New Roman" w:cs="Times New Roman"/>
          <w:b/>
          <w:bCs/>
          <w:color w:val="000000" w:themeColor="text1"/>
          <w:sz w:val="24"/>
          <w:szCs w:val="24"/>
        </w:rPr>
        <w:t>废气</w:t>
      </w:r>
    </w:p>
    <w:p w14:paraId="1FBF0C2D" w14:textId="77777777" w:rsidR="009F7A7B" w:rsidRPr="00092862" w:rsidRDefault="009F7A7B" w:rsidP="003D2EE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）备用柴油机</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发电机废气</w:t>
      </w:r>
    </w:p>
    <w:p w14:paraId="7F42DE87" w14:textId="22C5041D" w:rsidR="00DC446C" w:rsidRPr="00092862" w:rsidRDefault="009F7A7B" w:rsidP="003D2EE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rPr>
        <w:t>项目周边供电网已铺设，网电已接入井场，满足本项目钻井及</w:t>
      </w:r>
      <w:r w:rsidR="009C4CA7" w:rsidRPr="00092862">
        <w:rPr>
          <w:rFonts w:ascii="Times New Roman" w:eastAsia="宋体" w:hAnsi="Times New Roman" w:cs="Times New Roman"/>
          <w:color w:val="000000" w:themeColor="text1"/>
          <w:sz w:val="24"/>
        </w:rPr>
        <w:t>试采期</w:t>
      </w:r>
      <w:r w:rsidRPr="00092862">
        <w:rPr>
          <w:rFonts w:ascii="Times New Roman" w:eastAsia="宋体" w:hAnsi="Times New Roman" w:cs="Times New Roman"/>
          <w:color w:val="000000" w:themeColor="text1"/>
          <w:sz w:val="24"/>
        </w:rPr>
        <w:t>需求，因此本项目优先使用网电作为动力和生产生活用电，正常情况下无燃烧废气产生。</w:t>
      </w:r>
    </w:p>
    <w:p w14:paraId="5F2F8FE2" w14:textId="3E1E84CE" w:rsidR="009F43D7" w:rsidRPr="00092862" w:rsidRDefault="009F7A7B" w:rsidP="009F7A7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在停电或者电网供应不能满足使用时，井场同时使用备用</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台（</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用</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备）柴油动力机运行功率</w:t>
      </w:r>
      <w:r w:rsidRPr="00092862">
        <w:rPr>
          <w:rFonts w:ascii="Times New Roman" w:eastAsia="宋体" w:hAnsi="Times New Roman" w:cs="Times New Roman"/>
          <w:color w:val="000000" w:themeColor="text1"/>
          <w:sz w:val="24"/>
        </w:rPr>
        <w:t>882k</w:t>
      </w:r>
      <w:r w:rsidR="009F43D7" w:rsidRPr="00092862">
        <w:rPr>
          <w:rFonts w:ascii="Times New Roman" w:eastAsia="宋体" w:hAnsi="Times New Roman" w:cs="Times New Roman"/>
          <w:color w:val="000000" w:themeColor="text1"/>
          <w:sz w:val="24"/>
        </w:rPr>
        <w:t>W</w:t>
      </w:r>
      <w:r w:rsidR="009F43D7" w:rsidRPr="00092862">
        <w:rPr>
          <w:rFonts w:ascii="Times New Roman" w:eastAsia="宋体" w:hAnsi="Times New Roman" w:cs="Times New Roman"/>
          <w:color w:val="000000" w:themeColor="text1"/>
          <w:sz w:val="24"/>
        </w:rPr>
        <w:t>（</w:t>
      </w:r>
      <w:r w:rsidR="009F43D7" w:rsidRPr="00092862">
        <w:rPr>
          <w:rFonts w:ascii="Times New Roman" w:eastAsia="宋体" w:hAnsi="Times New Roman" w:cs="Times New Roman"/>
          <w:color w:val="000000" w:themeColor="text1"/>
          <w:sz w:val="24"/>
        </w:rPr>
        <w:t>2</w:t>
      </w:r>
      <w:r w:rsidR="009F43D7" w:rsidRPr="00092862">
        <w:rPr>
          <w:rFonts w:ascii="Times New Roman" w:eastAsia="宋体" w:hAnsi="Times New Roman" w:cs="Times New Roman"/>
          <w:color w:val="000000" w:themeColor="text1"/>
          <w:sz w:val="24"/>
        </w:rPr>
        <w:t>用</w:t>
      </w:r>
      <w:r w:rsidR="009F43D7" w:rsidRPr="00092862">
        <w:rPr>
          <w:rFonts w:ascii="Times New Roman" w:eastAsia="宋体" w:hAnsi="Times New Roman" w:cs="Times New Roman"/>
          <w:color w:val="000000" w:themeColor="text1"/>
          <w:sz w:val="24"/>
        </w:rPr>
        <w:t>1</w:t>
      </w:r>
      <w:r w:rsidR="009F43D7" w:rsidRPr="00092862">
        <w:rPr>
          <w:rFonts w:ascii="Times New Roman" w:eastAsia="宋体" w:hAnsi="Times New Roman" w:cs="Times New Roman"/>
          <w:color w:val="000000" w:themeColor="text1"/>
          <w:sz w:val="24"/>
        </w:rPr>
        <w:t>备）</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台（</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用</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备）</w:t>
      </w:r>
      <w:r w:rsidR="009F43D7" w:rsidRPr="00092862">
        <w:rPr>
          <w:rFonts w:ascii="Times New Roman" w:eastAsia="宋体" w:hAnsi="Times New Roman" w:cs="Times New Roman"/>
          <w:color w:val="000000" w:themeColor="text1"/>
          <w:sz w:val="24"/>
        </w:rPr>
        <w:t>32</w:t>
      </w:r>
      <w:r w:rsidRPr="00092862">
        <w:rPr>
          <w:rFonts w:ascii="Times New Roman" w:eastAsia="宋体" w:hAnsi="Times New Roman" w:cs="Times New Roman"/>
          <w:color w:val="000000" w:themeColor="text1"/>
          <w:sz w:val="24"/>
        </w:rPr>
        <w:t>0k</w:t>
      </w:r>
      <w:r w:rsidR="009F43D7" w:rsidRPr="00092862">
        <w:rPr>
          <w:rFonts w:ascii="Times New Roman" w:eastAsia="宋体" w:hAnsi="Times New Roman" w:cs="Times New Roman"/>
          <w:color w:val="000000" w:themeColor="text1"/>
          <w:sz w:val="24"/>
        </w:rPr>
        <w:t>W</w:t>
      </w:r>
      <w:r w:rsidRPr="00092862">
        <w:rPr>
          <w:rFonts w:ascii="Times New Roman" w:eastAsia="宋体" w:hAnsi="Times New Roman" w:cs="Times New Roman"/>
          <w:color w:val="000000" w:themeColor="text1"/>
          <w:sz w:val="24"/>
        </w:rPr>
        <w:t>柴油发电机组。</w:t>
      </w:r>
      <w:r w:rsidR="009F43D7" w:rsidRPr="00092862">
        <w:rPr>
          <w:rFonts w:ascii="Times New Roman" w:eastAsia="宋体" w:hAnsi="Times New Roman" w:cs="Times New Roman"/>
          <w:color w:val="000000" w:themeColor="text1"/>
          <w:sz w:val="24"/>
        </w:rPr>
        <w:t>柴油动力机组额定油耗</w:t>
      </w:r>
      <w:r w:rsidR="009F43D7" w:rsidRPr="00092862">
        <w:rPr>
          <w:rFonts w:ascii="Times New Roman" w:eastAsia="宋体" w:hAnsi="Times New Roman" w:cs="Times New Roman"/>
          <w:color w:val="000000" w:themeColor="text1"/>
          <w:sz w:val="24"/>
        </w:rPr>
        <w:t>209g/kW·h</w:t>
      </w:r>
      <w:r w:rsidR="009F43D7" w:rsidRPr="00092862">
        <w:rPr>
          <w:rFonts w:ascii="Times New Roman" w:eastAsia="宋体" w:hAnsi="Times New Roman" w:cs="Times New Roman"/>
          <w:color w:val="000000" w:themeColor="text1"/>
          <w:sz w:val="24"/>
        </w:rPr>
        <w:t>，发电机额定油耗</w:t>
      </w:r>
      <w:r w:rsidR="009F43D7" w:rsidRPr="00092862">
        <w:rPr>
          <w:rFonts w:ascii="Times New Roman" w:eastAsia="宋体" w:hAnsi="Times New Roman" w:cs="Times New Roman"/>
          <w:color w:val="000000" w:themeColor="text1"/>
          <w:sz w:val="24"/>
        </w:rPr>
        <w:t>60g/kW·h</w:t>
      </w:r>
      <w:r w:rsidR="009F43D7" w:rsidRPr="00092862">
        <w:rPr>
          <w:rFonts w:ascii="Times New Roman" w:eastAsia="宋体" w:hAnsi="Times New Roman" w:cs="Times New Roman"/>
          <w:color w:val="000000" w:themeColor="text1"/>
          <w:sz w:val="24"/>
        </w:rPr>
        <w:t>。</w:t>
      </w:r>
    </w:p>
    <w:p w14:paraId="151C3B81" w14:textId="77777777" w:rsidR="009F43D7" w:rsidRPr="00092862" w:rsidRDefault="009F43D7" w:rsidP="009F43D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柴油发电机使用符合国六标准的轻质柴油。按照《普通柴油》（</w:t>
      </w:r>
      <w:r w:rsidRPr="00092862">
        <w:rPr>
          <w:rFonts w:ascii="Times New Roman" w:eastAsia="宋体" w:hAnsi="Times New Roman" w:cs="Times New Roman"/>
          <w:color w:val="000000" w:themeColor="text1"/>
          <w:sz w:val="24"/>
        </w:rPr>
        <w:t>GB 252-2015</w:t>
      </w:r>
      <w:r w:rsidRPr="00092862">
        <w:rPr>
          <w:rFonts w:ascii="Times New Roman" w:eastAsia="宋体" w:hAnsi="Times New Roman" w:cs="Times New Roman"/>
          <w:color w:val="000000" w:themeColor="text1"/>
          <w:sz w:val="24"/>
        </w:rPr>
        <w:t>）从</w:t>
      </w:r>
      <w:r w:rsidRPr="00092862">
        <w:rPr>
          <w:rFonts w:ascii="Times New Roman" w:eastAsia="宋体" w:hAnsi="Times New Roman" w:cs="Times New Roman"/>
          <w:color w:val="000000" w:themeColor="text1"/>
          <w:sz w:val="24"/>
        </w:rPr>
        <w:t>2018</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月</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日起采用柴油中硫的含量不大于</w:t>
      </w:r>
      <w:r w:rsidRPr="00092862">
        <w:rPr>
          <w:rFonts w:ascii="Times New Roman" w:eastAsia="宋体" w:hAnsi="Times New Roman" w:cs="Times New Roman"/>
          <w:color w:val="000000" w:themeColor="text1"/>
          <w:sz w:val="24"/>
        </w:rPr>
        <w:t>10mg/kg</w:t>
      </w:r>
      <w:r w:rsidRPr="00092862">
        <w:rPr>
          <w:rFonts w:ascii="Times New Roman" w:eastAsia="宋体" w:hAnsi="Times New Roman" w:cs="Times New Roman"/>
          <w:color w:val="000000" w:themeColor="text1"/>
          <w:sz w:val="24"/>
        </w:rPr>
        <w:t>，则</w:t>
      </w:r>
      <w:r w:rsidRPr="00092862">
        <w:rPr>
          <w:rFonts w:ascii="Times New Roman" w:eastAsia="宋体" w:hAnsi="Times New Roman" w:cs="Times New Roman"/>
          <w:color w:val="000000" w:themeColor="text1"/>
          <w:sz w:val="24"/>
        </w:rPr>
        <w:t>SO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排放系数为</w:t>
      </w:r>
      <w:r w:rsidRPr="00092862">
        <w:rPr>
          <w:rFonts w:ascii="Times New Roman" w:eastAsia="宋体" w:hAnsi="Times New Roman" w:cs="Times New Roman"/>
          <w:color w:val="000000" w:themeColor="text1"/>
          <w:sz w:val="24"/>
        </w:rPr>
        <w:t>20g/t</w:t>
      </w:r>
      <w:r w:rsidRPr="00092862">
        <w:rPr>
          <w:rFonts w:ascii="Times New Roman" w:eastAsia="宋体" w:hAnsi="Times New Roman" w:cs="Times New Roman"/>
          <w:color w:val="000000" w:themeColor="text1"/>
          <w:sz w:val="24"/>
        </w:rPr>
        <w:t>。</w:t>
      </w:r>
    </w:p>
    <w:p w14:paraId="73CD9643" w14:textId="772375B0" w:rsidR="009F43D7" w:rsidRPr="00092862" w:rsidRDefault="009F43D7" w:rsidP="009F43D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柴油燃烧废气主要污染物排系数参考《社会区域类环境影响评价》工程师登记培训教材中相关排污系数，柴油机污染物排放系数为：</w:t>
      </w:r>
      <w:r w:rsidRPr="00092862">
        <w:rPr>
          <w:rFonts w:ascii="Times New Roman" w:eastAsia="宋体" w:hAnsi="Times New Roman" w:cs="Times New Roman"/>
          <w:color w:val="000000" w:themeColor="text1"/>
          <w:sz w:val="24"/>
        </w:rPr>
        <w:t>NO</w:t>
      </w:r>
      <w:r w:rsidRPr="00092862">
        <w:rPr>
          <w:rFonts w:ascii="Times New Roman" w:eastAsia="宋体" w:hAnsi="Times New Roman" w:cs="Times New Roman"/>
          <w:color w:val="000000" w:themeColor="text1"/>
          <w:sz w:val="24"/>
          <w:vertAlign w:val="subscript"/>
        </w:rPr>
        <w:t>x</w:t>
      </w:r>
      <w:r w:rsidRPr="00092862">
        <w:rPr>
          <w:rFonts w:ascii="Times New Roman" w:eastAsia="宋体" w:hAnsi="Times New Roman" w:cs="Times New Roman"/>
          <w:color w:val="000000" w:themeColor="text1"/>
          <w:sz w:val="24"/>
        </w:rPr>
        <w:t>2.56g/L</w:t>
      </w:r>
      <w:r w:rsidRPr="00092862">
        <w:rPr>
          <w:rFonts w:ascii="Times New Roman" w:eastAsia="宋体" w:hAnsi="Times New Roman" w:cs="Times New Roman"/>
          <w:color w:val="000000" w:themeColor="text1"/>
          <w:sz w:val="24"/>
        </w:rPr>
        <w:t>、烟尘</w:t>
      </w:r>
      <w:r w:rsidRPr="00092862">
        <w:rPr>
          <w:rFonts w:ascii="Times New Roman" w:eastAsia="宋体" w:hAnsi="Times New Roman" w:cs="Times New Roman"/>
          <w:color w:val="000000" w:themeColor="text1"/>
          <w:sz w:val="24"/>
        </w:rPr>
        <w:t>0.714g/L</w:t>
      </w:r>
      <w:r w:rsidRPr="00092862">
        <w:rPr>
          <w:rFonts w:ascii="Times New Roman" w:eastAsia="宋体" w:hAnsi="Times New Roman" w:cs="Times New Roman"/>
          <w:color w:val="000000" w:themeColor="text1"/>
          <w:sz w:val="24"/>
        </w:rPr>
        <w:t>、烟气量按</w:t>
      </w:r>
      <w:r w:rsidRPr="00092862">
        <w:rPr>
          <w:rFonts w:ascii="Times New Roman" w:eastAsia="宋体" w:hAnsi="Times New Roman" w:cs="Times New Roman"/>
          <w:color w:val="000000" w:themeColor="text1"/>
          <w:sz w:val="24"/>
        </w:rPr>
        <w:t>20Nm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/kg</w:t>
      </w:r>
      <w:r w:rsidRPr="00092862">
        <w:rPr>
          <w:rFonts w:ascii="Times New Roman" w:eastAsia="宋体" w:hAnsi="Times New Roman" w:cs="Times New Roman"/>
          <w:color w:val="000000" w:themeColor="text1"/>
          <w:sz w:val="24"/>
        </w:rPr>
        <w:t>计。预测项目钻井作业期间采油发电机组主要污染物排放情况见表</w:t>
      </w:r>
      <w:r w:rsidRPr="00092862">
        <w:rPr>
          <w:rFonts w:ascii="Times New Roman" w:eastAsia="宋体" w:hAnsi="Times New Roman" w:cs="Times New Roman"/>
          <w:color w:val="000000" w:themeColor="text1"/>
          <w:sz w:val="24"/>
        </w:rPr>
        <w:t>2.3-13</w:t>
      </w:r>
      <w:r w:rsidRPr="00092862">
        <w:rPr>
          <w:rFonts w:ascii="Times New Roman" w:eastAsia="宋体" w:hAnsi="Times New Roman" w:cs="Times New Roman"/>
          <w:color w:val="000000" w:themeColor="text1"/>
          <w:sz w:val="24"/>
        </w:rPr>
        <w:t>。</w:t>
      </w:r>
    </w:p>
    <w:p w14:paraId="0F2B5C10" w14:textId="77777777" w:rsidR="00317F32" w:rsidRPr="00092862" w:rsidRDefault="00317F32" w:rsidP="002B62C1">
      <w:pPr>
        <w:pStyle w:val="ac"/>
        <w:tabs>
          <w:tab w:val="left" w:pos="863"/>
        </w:tabs>
        <w:spacing w:before="0"/>
        <w:ind w:left="0"/>
        <w:jc w:val="center"/>
        <w:rPr>
          <w:rFonts w:ascii="Times New Roman" w:eastAsia="黑体" w:hAnsi="Times New Roman"/>
          <w:color w:val="000000" w:themeColor="text1"/>
          <w:sz w:val="21"/>
          <w:szCs w:val="21"/>
          <w:lang w:eastAsia="zh-CN"/>
        </w:rPr>
      </w:pPr>
    </w:p>
    <w:p w14:paraId="004F0B9E" w14:textId="45740688" w:rsidR="002B62C1" w:rsidRPr="00092862" w:rsidRDefault="002B62C1" w:rsidP="002B62C1">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2.3-13  </w:t>
      </w:r>
      <w:r w:rsidRPr="00092862">
        <w:rPr>
          <w:rFonts w:ascii="Times New Roman" w:eastAsia="黑体" w:hAnsi="Times New Roman"/>
          <w:color w:val="000000" w:themeColor="text1"/>
          <w:sz w:val="21"/>
          <w:szCs w:val="21"/>
          <w:lang w:eastAsia="zh-CN"/>
        </w:rPr>
        <w:t>钻井作业期间柴油发电机组废气污染物排放情况</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68"/>
        <w:gridCol w:w="798"/>
        <w:gridCol w:w="984"/>
        <w:gridCol w:w="1015"/>
        <w:gridCol w:w="1168"/>
        <w:gridCol w:w="1221"/>
        <w:gridCol w:w="997"/>
      </w:tblGrid>
      <w:tr w:rsidR="00697429" w:rsidRPr="00092862" w14:paraId="712E5175" w14:textId="77777777" w:rsidTr="00030BF9">
        <w:trPr>
          <w:trHeight w:val="369"/>
          <w:jc w:val="center"/>
        </w:trPr>
        <w:tc>
          <w:tcPr>
            <w:tcW w:w="1169" w:type="pct"/>
            <w:vAlign w:val="center"/>
          </w:tcPr>
          <w:p w14:paraId="737D6AE3"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污染源</w:t>
            </w:r>
          </w:p>
        </w:tc>
        <w:tc>
          <w:tcPr>
            <w:tcW w:w="504" w:type="pct"/>
            <w:vAlign w:val="center"/>
          </w:tcPr>
          <w:p w14:paraId="2D7A730A"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油耗</w:t>
            </w:r>
            <w:r w:rsidRPr="00092862">
              <w:rPr>
                <w:rFonts w:cs="Times New Roman"/>
                <w:b/>
                <w:bCs/>
                <w:snapToGrid w:val="0"/>
                <w:color w:val="000000" w:themeColor="text1"/>
              </w:rPr>
              <w:t>kg/h</w:t>
            </w:r>
          </w:p>
        </w:tc>
        <w:tc>
          <w:tcPr>
            <w:tcW w:w="620" w:type="pct"/>
            <w:vAlign w:val="center"/>
          </w:tcPr>
          <w:p w14:paraId="4D9C1023"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烟气量</w:t>
            </w:r>
            <w:r w:rsidRPr="00092862">
              <w:rPr>
                <w:rFonts w:cs="Times New Roman"/>
                <w:b/>
                <w:bCs/>
                <w:snapToGrid w:val="0"/>
                <w:color w:val="000000" w:themeColor="text1"/>
              </w:rPr>
              <w:t>m</w:t>
            </w:r>
            <w:r w:rsidRPr="00092862">
              <w:rPr>
                <w:rFonts w:cs="Times New Roman"/>
                <w:b/>
                <w:bCs/>
                <w:snapToGrid w:val="0"/>
                <w:color w:val="000000" w:themeColor="text1"/>
                <w:vertAlign w:val="superscript"/>
              </w:rPr>
              <w:t>3</w:t>
            </w:r>
            <w:r w:rsidRPr="00092862">
              <w:rPr>
                <w:rFonts w:cs="Times New Roman"/>
                <w:b/>
                <w:bCs/>
                <w:snapToGrid w:val="0"/>
                <w:color w:val="000000" w:themeColor="text1"/>
              </w:rPr>
              <w:t>/h</w:t>
            </w:r>
          </w:p>
        </w:tc>
        <w:tc>
          <w:tcPr>
            <w:tcW w:w="639" w:type="pct"/>
            <w:vAlign w:val="center"/>
          </w:tcPr>
          <w:p w14:paraId="7723EFD2"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污染物名称</w:t>
            </w:r>
          </w:p>
        </w:tc>
        <w:tc>
          <w:tcPr>
            <w:tcW w:w="734" w:type="pct"/>
            <w:vAlign w:val="center"/>
          </w:tcPr>
          <w:p w14:paraId="38B434B7"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排放速率（</w:t>
            </w:r>
            <w:r w:rsidRPr="00092862">
              <w:rPr>
                <w:rFonts w:cs="Times New Roman"/>
                <w:b/>
                <w:bCs/>
                <w:snapToGrid w:val="0"/>
                <w:color w:val="000000" w:themeColor="text1"/>
              </w:rPr>
              <w:t>kg/h</w:t>
            </w:r>
            <w:r w:rsidRPr="00092862">
              <w:rPr>
                <w:rFonts w:cs="Times New Roman"/>
                <w:b/>
                <w:bCs/>
                <w:snapToGrid w:val="0"/>
                <w:color w:val="000000" w:themeColor="text1"/>
              </w:rPr>
              <w:t>）</w:t>
            </w:r>
          </w:p>
        </w:tc>
        <w:tc>
          <w:tcPr>
            <w:tcW w:w="706" w:type="pct"/>
            <w:vAlign w:val="center"/>
          </w:tcPr>
          <w:p w14:paraId="745719D5"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排放浓度（</w:t>
            </w:r>
            <w:r w:rsidRPr="00092862">
              <w:rPr>
                <w:rFonts w:cs="Times New Roman"/>
                <w:b/>
                <w:bCs/>
                <w:snapToGrid w:val="0"/>
                <w:color w:val="000000" w:themeColor="text1"/>
              </w:rPr>
              <w:t>mg/m</w:t>
            </w:r>
            <w:r w:rsidRPr="00092862">
              <w:rPr>
                <w:rFonts w:cs="Times New Roman"/>
                <w:b/>
                <w:bCs/>
                <w:snapToGrid w:val="0"/>
                <w:color w:val="000000" w:themeColor="text1"/>
                <w:vertAlign w:val="superscript"/>
              </w:rPr>
              <w:t>3</w:t>
            </w:r>
            <w:r w:rsidRPr="00092862">
              <w:rPr>
                <w:rFonts w:cs="Times New Roman"/>
                <w:b/>
                <w:bCs/>
                <w:snapToGrid w:val="0"/>
                <w:color w:val="000000" w:themeColor="text1"/>
              </w:rPr>
              <w:t>）</w:t>
            </w:r>
          </w:p>
        </w:tc>
        <w:tc>
          <w:tcPr>
            <w:tcW w:w="628" w:type="pct"/>
            <w:vAlign w:val="center"/>
          </w:tcPr>
          <w:p w14:paraId="4C86F9EA" w14:textId="77777777" w:rsidR="002B62C1" w:rsidRPr="00092862" w:rsidRDefault="002B62C1" w:rsidP="00030BF9">
            <w:pPr>
              <w:pStyle w:val="04"/>
              <w:rPr>
                <w:rFonts w:cs="Times New Roman"/>
                <w:b/>
                <w:bCs/>
                <w:snapToGrid w:val="0"/>
                <w:color w:val="000000" w:themeColor="text1"/>
              </w:rPr>
            </w:pPr>
            <w:r w:rsidRPr="00092862">
              <w:rPr>
                <w:rFonts w:cs="Times New Roman"/>
                <w:b/>
                <w:bCs/>
                <w:snapToGrid w:val="0"/>
                <w:color w:val="000000" w:themeColor="text1"/>
              </w:rPr>
              <w:t>排气筒高度（</w:t>
            </w:r>
            <w:r w:rsidRPr="00092862">
              <w:rPr>
                <w:rFonts w:cs="Times New Roman"/>
                <w:snapToGrid w:val="0"/>
                <w:color w:val="000000" w:themeColor="text1"/>
              </w:rPr>
              <w:t>m</w:t>
            </w:r>
            <w:r w:rsidRPr="00092862">
              <w:rPr>
                <w:rFonts w:cs="Times New Roman"/>
                <w:b/>
                <w:bCs/>
                <w:snapToGrid w:val="0"/>
                <w:color w:val="000000" w:themeColor="text1"/>
              </w:rPr>
              <w:t>）</w:t>
            </w:r>
          </w:p>
        </w:tc>
      </w:tr>
      <w:tr w:rsidR="00697429" w:rsidRPr="00092862" w14:paraId="179049F7" w14:textId="77777777" w:rsidTr="00030BF9">
        <w:trPr>
          <w:trHeight w:val="369"/>
          <w:jc w:val="center"/>
        </w:trPr>
        <w:tc>
          <w:tcPr>
            <w:tcW w:w="1169" w:type="pct"/>
            <w:vMerge w:val="restart"/>
            <w:vAlign w:val="center"/>
          </w:tcPr>
          <w:p w14:paraId="18F7F256" w14:textId="3D07DC15" w:rsidR="002B62C1" w:rsidRPr="00092862" w:rsidRDefault="002B62C1" w:rsidP="00030BF9">
            <w:pPr>
              <w:pStyle w:val="04"/>
              <w:rPr>
                <w:rFonts w:cs="Times New Roman"/>
                <w:snapToGrid w:val="0"/>
                <w:color w:val="000000" w:themeColor="text1"/>
              </w:rPr>
            </w:pPr>
            <w:bookmarkStart w:id="127" w:name="_Hlk332099719"/>
            <w:r w:rsidRPr="00092862">
              <w:rPr>
                <w:rFonts w:cs="Times New Roman"/>
                <w:snapToGrid w:val="0"/>
                <w:color w:val="000000" w:themeColor="text1"/>
              </w:rPr>
              <w:lastRenderedPageBreak/>
              <w:t>2</w:t>
            </w:r>
            <w:r w:rsidRPr="00092862">
              <w:rPr>
                <w:rFonts w:cs="Times New Roman"/>
                <w:snapToGrid w:val="0"/>
                <w:color w:val="000000" w:themeColor="text1"/>
              </w:rPr>
              <w:t>台柴油动力机、</w:t>
            </w:r>
            <w:r w:rsidRPr="00092862">
              <w:rPr>
                <w:rFonts w:cs="Times New Roman"/>
                <w:snapToGrid w:val="0"/>
                <w:color w:val="000000" w:themeColor="text1"/>
              </w:rPr>
              <w:t>1</w:t>
            </w:r>
            <w:r w:rsidRPr="00092862">
              <w:rPr>
                <w:rFonts w:cs="Times New Roman"/>
                <w:snapToGrid w:val="0"/>
                <w:color w:val="000000" w:themeColor="text1"/>
              </w:rPr>
              <w:t>台发电机组</w:t>
            </w:r>
          </w:p>
        </w:tc>
        <w:tc>
          <w:tcPr>
            <w:tcW w:w="504" w:type="pct"/>
            <w:vMerge w:val="restart"/>
            <w:vAlign w:val="center"/>
          </w:tcPr>
          <w:p w14:paraId="7B189864"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388</w:t>
            </w:r>
          </w:p>
        </w:tc>
        <w:tc>
          <w:tcPr>
            <w:tcW w:w="620" w:type="pct"/>
            <w:vMerge w:val="restart"/>
            <w:vAlign w:val="center"/>
          </w:tcPr>
          <w:p w14:paraId="799B3BA5"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7760</w:t>
            </w:r>
          </w:p>
        </w:tc>
        <w:tc>
          <w:tcPr>
            <w:tcW w:w="639" w:type="pct"/>
            <w:vAlign w:val="center"/>
          </w:tcPr>
          <w:p w14:paraId="534C2AF1"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SO</w:t>
            </w:r>
            <w:r w:rsidRPr="00092862">
              <w:rPr>
                <w:rFonts w:cs="Times New Roman"/>
                <w:snapToGrid w:val="0"/>
                <w:color w:val="000000" w:themeColor="text1"/>
                <w:vertAlign w:val="subscript"/>
              </w:rPr>
              <w:t>2</w:t>
            </w:r>
          </w:p>
        </w:tc>
        <w:tc>
          <w:tcPr>
            <w:tcW w:w="734" w:type="pct"/>
            <w:vAlign w:val="center"/>
          </w:tcPr>
          <w:p w14:paraId="2C183F16" w14:textId="77777777" w:rsidR="002B62C1" w:rsidRPr="00092862" w:rsidRDefault="002B62C1" w:rsidP="00030BF9">
            <w:pPr>
              <w:pStyle w:val="04"/>
              <w:rPr>
                <w:rFonts w:cs="Times New Roman"/>
                <w:color w:val="000000" w:themeColor="text1"/>
                <w:kern w:val="2"/>
              </w:rPr>
            </w:pPr>
            <w:r w:rsidRPr="00092862">
              <w:rPr>
                <w:rFonts w:cs="Times New Roman"/>
                <w:color w:val="000000" w:themeColor="text1"/>
                <w:kern w:val="2"/>
              </w:rPr>
              <w:t>0.008</w:t>
            </w:r>
          </w:p>
        </w:tc>
        <w:tc>
          <w:tcPr>
            <w:tcW w:w="706" w:type="pct"/>
            <w:vAlign w:val="center"/>
          </w:tcPr>
          <w:p w14:paraId="3938F92C" w14:textId="77777777" w:rsidR="002B62C1" w:rsidRPr="00092862" w:rsidRDefault="002B62C1" w:rsidP="00030BF9">
            <w:pPr>
              <w:pStyle w:val="04"/>
              <w:rPr>
                <w:rFonts w:cs="Times New Roman"/>
                <w:color w:val="000000" w:themeColor="text1"/>
                <w:kern w:val="2"/>
              </w:rPr>
            </w:pPr>
            <w:r w:rsidRPr="00092862">
              <w:rPr>
                <w:rFonts w:cs="Times New Roman"/>
                <w:color w:val="000000" w:themeColor="text1"/>
                <w:kern w:val="2"/>
              </w:rPr>
              <w:t>1.0</w:t>
            </w:r>
          </w:p>
        </w:tc>
        <w:tc>
          <w:tcPr>
            <w:tcW w:w="628" w:type="pct"/>
            <w:vAlign w:val="center"/>
          </w:tcPr>
          <w:p w14:paraId="59BBE014"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6</w:t>
            </w:r>
          </w:p>
        </w:tc>
      </w:tr>
      <w:tr w:rsidR="00697429" w:rsidRPr="00092862" w14:paraId="673CD8CE" w14:textId="77777777" w:rsidTr="00030BF9">
        <w:trPr>
          <w:trHeight w:val="369"/>
          <w:jc w:val="center"/>
        </w:trPr>
        <w:tc>
          <w:tcPr>
            <w:tcW w:w="1169" w:type="pct"/>
            <w:vMerge/>
            <w:vAlign w:val="center"/>
          </w:tcPr>
          <w:p w14:paraId="15725563" w14:textId="77777777" w:rsidR="002B62C1" w:rsidRPr="00092862" w:rsidRDefault="002B62C1" w:rsidP="00030BF9">
            <w:pPr>
              <w:pStyle w:val="04"/>
              <w:rPr>
                <w:rFonts w:cs="Times New Roman"/>
                <w:snapToGrid w:val="0"/>
                <w:color w:val="000000" w:themeColor="text1"/>
              </w:rPr>
            </w:pPr>
          </w:p>
        </w:tc>
        <w:tc>
          <w:tcPr>
            <w:tcW w:w="504" w:type="pct"/>
            <w:vMerge/>
            <w:vAlign w:val="center"/>
          </w:tcPr>
          <w:p w14:paraId="5E426379" w14:textId="77777777" w:rsidR="002B62C1" w:rsidRPr="00092862" w:rsidRDefault="002B62C1" w:rsidP="00030BF9">
            <w:pPr>
              <w:pStyle w:val="04"/>
              <w:rPr>
                <w:rFonts w:cs="Times New Roman"/>
                <w:snapToGrid w:val="0"/>
                <w:color w:val="000000" w:themeColor="text1"/>
              </w:rPr>
            </w:pPr>
          </w:p>
        </w:tc>
        <w:tc>
          <w:tcPr>
            <w:tcW w:w="620" w:type="pct"/>
            <w:vMerge/>
            <w:vAlign w:val="center"/>
          </w:tcPr>
          <w:p w14:paraId="33EEEEC0" w14:textId="77777777" w:rsidR="002B62C1" w:rsidRPr="00092862" w:rsidRDefault="002B62C1" w:rsidP="00030BF9">
            <w:pPr>
              <w:pStyle w:val="04"/>
              <w:rPr>
                <w:rFonts w:cs="Times New Roman"/>
                <w:snapToGrid w:val="0"/>
                <w:color w:val="000000" w:themeColor="text1"/>
              </w:rPr>
            </w:pPr>
          </w:p>
        </w:tc>
        <w:tc>
          <w:tcPr>
            <w:tcW w:w="639" w:type="pct"/>
            <w:vAlign w:val="center"/>
          </w:tcPr>
          <w:p w14:paraId="704A14C3"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NO</w:t>
            </w:r>
            <w:r w:rsidRPr="00092862">
              <w:rPr>
                <w:rFonts w:cs="Times New Roman"/>
                <w:snapToGrid w:val="0"/>
                <w:color w:val="000000" w:themeColor="text1"/>
                <w:vertAlign w:val="subscript"/>
              </w:rPr>
              <w:t>X</w:t>
            </w:r>
          </w:p>
        </w:tc>
        <w:tc>
          <w:tcPr>
            <w:tcW w:w="734" w:type="pct"/>
            <w:vAlign w:val="center"/>
          </w:tcPr>
          <w:p w14:paraId="650B74F3" w14:textId="77777777" w:rsidR="002B62C1" w:rsidRPr="00092862" w:rsidRDefault="002B62C1" w:rsidP="00030BF9">
            <w:pPr>
              <w:pStyle w:val="04"/>
              <w:rPr>
                <w:rFonts w:cs="Times New Roman"/>
                <w:color w:val="000000" w:themeColor="text1"/>
                <w:kern w:val="2"/>
              </w:rPr>
            </w:pPr>
            <w:r w:rsidRPr="00092862">
              <w:rPr>
                <w:rFonts w:cs="Times New Roman"/>
                <w:color w:val="000000" w:themeColor="text1"/>
                <w:kern w:val="2"/>
              </w:rPr>
              <w:t>1.17</w:t>
            </w:r>
          </w:p>
        </w:tc>
        <w:tc>
          <w:tcPr>
            <w:tcW w:w="706" w:type="pct"/>
            <w:vAlign w:val="center"/>
          </w:tcPr>
          <w:p w14:paraId="03926EB7" w14:textId="77777777" w:rsidR="002B62C1" w:rsidRPr="00092862" w:rsidRDefault="002B62C1" w:rsidP="00030BF9">
            <w:pPr>
              <w:pStyle w:val="04"/>
              <w:rPr>
                <w:rFonts w:cs="Times New Roman"/>
                <w:color w:val="000000" w:themeColor="text1"/>
                <w:kern w:val="2"/>
              </w:rPr>
            </w:pPr>
            <w:r w:rsidRPr="00092862">
              <w:rPr>
                <w:rFonts w:cs="Times New Roman"/>
                <w:color w:val="000000" w:themeColor="text1"/>
                <w:kern w:val="2"/>
              </w:rPr>
              <w:t>150</w:t>
            </w:r>
          </w:p>
        </w:tc>
        <w:tc>
          <w:tcPr>
            <w:tcW w:w="628" w:type="pct"/>
            <w:vAlign w:val="center"/>
          </w:tcPr>
          <w:p w14:paraId="23AE0D31"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6</w:t>
            </w:r>
          </w:p>
        </w:tc>
      </w:tr>
      <w:tr w:rsidR="00697429" w:rsidRPr="00092862" w14:paraId="0D4761E3" w14:textId="77777777" w:rsidTr="00030BF9">
        <w:trPr>
          <w:trHeight w:val="369"/>
          <w:jc w:val="center"/>
        </w:trPr>
        <w:tc>
          <w:tcPr>
            <w:tcW w:w="1169" w:type="pct"/>
            <w:vMerge/>
            <w:vAlign w:val="center"/>
          </w:tcPr>
          <w:p w14:paraId="24564608" w14:textId="77777777" w:rsidR="002B62C1" w:rsidRPr="00092862" w:rsidRDefault="002B62C1" w:rsidP="00030BF9">
            <w:pPr>
              <w:pStyle w:val="04"/>
              <w:rPr>
                <w:rFonts w:cs="Times New Roman"/>
                <w:snapToGrid w:val="0"/>
                <w:color w:val="000000" w:themeColor="text1"/>
              </w:rPr>
            </w:pPr>
          </w:p>
        </w:tc>
        <w:tc>
          <w:tcPr>
            <w:tcW w:w="504" w:type="pct"/>
            <w:vMerge/>
            <w:vAlign w:val="center"/>
          </w:tcPr>
          <w:p w14:paraId="1CC969AA" w14:textId="77777777" w:rsidR="002B62C1" w:rsidRPr="00092862" w:rsidRDefault="002B62C1" w:rsidP="00030BF9">
            <w:pPr>
              <w:pStyle w:val="04"/>
              <w:rPr>
                <w:rFonts w:cs="Times New Roman"/>
                <w:snapToGrid w:val="0"/>
                <w:color w:val="000000" w:themeColor="text1"/>
              </w:rPr>
            </w:pPr>
          </w:p>
        </w:tc>
        <w:tc>
          <w:tcPr>
            <w:tcW w:w="620" w:type="pct"/>
            <w:vMerge/>
            <w:vAlign w:val="center"/>
          </w:tcPr>
          <w:p w14:paraId="75E7608B" w14:textId="77777777" w:rsidR="002B62C1" w:rsidRPr="00092862" w:rsidRDefault="002B62C1" w:rsidP="00030BF9">
            <w:pPr>
              <w:pStyle w:val="04"/>
              <w:rPr>
                <w:rFonts w:cs="Times New Roman"/>
                <w:snapToGrid w:val="0"/>
                <w:color w:val="000000" w:themeColor="text1"/>
              </w:rPr>
            </w:pPr>
          </w:p>
        </w:tc>
        <w:tc>
          <w:tcPr>
            <w:tcW w:w="639" w:type="pct"/>
            <w:vAlign w:val="center"/>
          </w:tcPr>
          <w:p w14:paraId="486FA0C4"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烟尘</w:t>
            </w:r>
          </w:p>
        </w:tc>
        <w:tc>
          <w:tcPr>
            <w:tcW w:w="734" w:type="pct"/>
            <w:vAlign w:val="center"/>
          </w:tcPr>
          <w:p w14:paraId="7D776B2C" w14:textId="77777777" w:rsidR="002B62C1" w:rsidRPr="00092862" w:rsidRDefault="002B62C1" w:rsidP="00030BF9">
            <w:pPr>
              <w:pStyle w:val="04"/>
              <w:rPr>
                <w:rFonts w:cs="Times New Roman"/>
                <w:color w:val="000000" w:themeColor="text1"/>
                <w:kern w:val="2"/>
              </w:rPr>
            </w:pPr>
            <w:r w:rsidRPr="00092862">
              <w:rPr>
                <w:rFonts w:cs="Times New Roman"/>
                <w:color w:val="000000" w:themeColor="text1"/>
                <w:kern w:val="2"/>
              </w:rPr>
              <w:t>0.33</w:t>
            </w:r>
          </w:p>
        </w:tc>
        <w:tc>
          <w:tcPr>
            <w:tcW w:w="706" w:type="pct"/>
            <w:vAlign w:val="center"/>
          </w:tcPr>
          <w:p w14:paraId="69576D5E" w14:textId="77777777" w:rsidR="002B62C1" w:rsidRPr="00092862" w:rsidRDefault="002B62C1" w:rsidP="00030BF9">
            <w:pPr>
              <w:pStyle w:val="04"/>
              <w:rPr>
                <w:rFonts w:cs="Times New Roman"/>
                <w:color w:val="000000" w:themeColor="text1"/>
                <w:kern w:val="2"/>
              </w:rPr>
            </w:pPr>
            <w:r w:rsidRPr="00092862">
              <w:rPr>
                <w:rFonts w:cs="Times New Roman"/>
                <w:color w:val="000000" w:themeColor="text1"/>
                <w:kern w:val="2"/>
              </w:rPr>
              <w:t>41</w:t>
            </w:r>
          </w:p>
        </w:tc>
        <w:tc>
          <w:tcPr>
            <w:tcW w:w="628" w:type="pct"/>
            <w:vAlign w:val="center"/>
          </w:tcPr>
          <w:p w14:paraId="5A0BAF0D" w14:textId="77777777" w:rsidR="002B62C1" w:rsidRPr="00092862" w:rsidRDefault="002B62C1" w:rsidP="00030BF9">
            <w:pPr>
              <w:pStyle w:val="04"/>
              <w:rPr>
                <w:rFonts w:cs="Times New Roman"/>
                <w:snapToGrid w:val="0"/>
                <w:color w:val="000000" w:themeColor="text1"/>
              </w:rPr>
            </w:pPr>
            <w:r w:rsidRPr="00092862">
              <w:rPr>
                <w:rFonts w:cs="Times New Roman"/>
                <w:snapToGrid w:val="0"/>
                <w:color w:val="000000" w:themeColor="text1"/>
              </w:rPr>
              <w:t>6</w:t>
            </w:r>
          </w:p>
        </w:tc>
      </w:tr>
    </w:tbl>
    <w:bookmarkEnd w:id="127"/>
    <w:p w14:paraId="3218F240" w14:textId="0BFC2569" w:rsidR="002B62C1" w:rsidRPr="00092862" w:rsidRDefault="002B62C1" w:rsidP="002B62C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柴油发电机采用符合国家标准的优质柴油，其污染物排放满足《非道路移动机械用柴油机排气污染物排放限值及测量方法（中国第三、四阶段）》（</w:t>
      </w:r>
      <w:r w:rsidRPr="00092862">
        <w:rPr>
          <w:rFonts w:ascii="Times New Roman" w:eastAsia="宋体" w:hAnsi="Times New Roman" w:cs="Times New Roman"/>
          <w:color w:val="000000" w:themeColor="text1"/>
          <w:sz w:val="24"/>
        </w:rPr>
        <w:t>GB20891-2014</w:t>
      </w:r>
      <w:r w:rsidRPr="00092862">
        <w:rPr>
          <w:rFonts w:ascii="Times New Roman" w:eastAsia="宋体" w:hAnsi="Times New Roman" w:cs="Times New Roman"/>
          <w:color w:val="000000" w:themeColor="text1"/>
          <w:sz w:val="24"/>
        </w:rPr>
        <w:t>）表</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规定的限值。</w:t>
      </w:r>
    </w:p>
    <w:p w14:paraId="68ECB56B" w14:textId="1FA852E1" w:rsidR="008A21BE" w:rsidRPr="00092862" w:rsidRDefault="00D432F5" w:rsidP="00E61894">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008A21BE" w:rsidRPr="00092862">
        <w:rPr>
          <w:rFonts w:ascii="Times New Roman" w:eastAsia="宋体" w:hAnsi="Times New Roman" w:cs="Times New Roman"/>
          <w:color w:val="000000" w:themeColor="text1"/>
          <w:sz w:val="24"/>
          <w:szCs w:val="24"/>
        </w:rPr>
        <w:t>）事故放喷废气</w:t>
      </w:r>
    </w:p>
    <w:p w14:paraId="1666F32C" w14:textId="2B57F9CF" w:rsidR="005E3182" w:rsidRPr="00092862" w:rsidRDefault="005E3182" w:rsidP="005E318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事故放喷是由于地层高压异常导致的，在石油天然气行业是低概率事件。事故放喷主产物是含硫天然气燃烧后产生的</w:t>
      </w:r>
      <w:r w:rsidRPr="00092862">
        <w:rPr>
          <w:rFonts w:ascii="Times New Roman" w:eastAsia="宋体" w:hAnsi="Times New Roman" w:cs="Times New Roman"/>
          <w:color w:val="000000" w:themeColor="text1"/>
          <w:sz w:val="24"/>
        </w:rPr>
        <w:t>CO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SO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5BF8A5F5" w14:textId="058993D4" w:rsidR="008A21BE" w:rsidRPr="00092862" w:rsidRDefault="005E3182" w:rsidP="005E318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放喷前建设单位应对距离井口</w:t>
      </w:r>
      <w:r w:rsidRPr="00092862">
        <w:rPr>
          <w:rFonts w:ascii="Times New Roman" w:eastAsia="宋体" w:hAnsi="Times New Roman" w:cs="Times New Roman"/>
          <w:color w:val="000000" w:themeColor="text1"/>
          <w:sz w:val="24"/>
        </w:rPr>
        <w:t>500m</w:t>
      </w:r>
      <w:r w:rsidRPr="00092862">
        <w:rPr>
          <w:rFonts w:ascii="Times New Roman" w:eastAsia="宋体" w:hAnsi="Times New Roman" w:cs="Times New Roman"/>
          <w:color w:val="000000" w:themeColor="text1"/>
          <w:sz w:val="24"/>
        </w:rPr>
        <w:t>范围内的居民临时撤离，并建立警戒点进行</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小时警戒，严禁居民靠近，以减轻放喷废气对这些居民的影响。同时由于测试放喷时间一般为</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小时，属短期排放，不会形成长期环境影响，短期影响也可控制在周边居民健康安全限值以下，污染物排放随测试放喷的结束而停止，不会长期存在，不会影响区域环境空气功能区划</w:t>
      </w:r>
      <w:r w:rsidR="008A21BE" w:rsidRPr="00092862">
        <w:rPr>
          <w:rFonts w:ascii="Times New Roman" w:eastAsia="宋体" w:hAnsi="Times New Roman" w:cs="Times New Roman"/>
          <w:color w:val="000000" w:themeColor="text1"/>
          <w:sz w:val="24"/>
        </w:rPr>
        <w:t>。</w:t>
      </w:r>
    </w:p>
    <w:p w14:paraId="6D038AE8" w14:textId="3DBDE3CA" w:rsidR="008A21BE" w:rsidRPr="00092862" w:rsidRDefault="005E3182" w:rsidP="008A21BE">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3</w:t>
      </w:r>
      <w:r w:rsidR="008A21BE" w:rsidRPr="00092862">
        <w:rPr>
          <w:rFonts w:ascii="Times New Roman" w:eastAsia="宋体" w:hAnsi="Times New Roman" w:cs="Times New Roman"/>
          <w:color w:val="000000" w:themeColor="text1"/>
          <w:sz w:val="24"/>
          <w:szCs w:val="24"/>
        </w:rPr>
        <w:t>）压裂作业废气</w:t>
      </w:r>
    </w:p>
    <w:p w14:paraId="3BF4DD7E" w14:textId="4E0D24F4" w:rsidR="008A21BE" w:rsidRPr="00092862" w:rsidRDefault="008A21BE" w:rsidP="008A21BE">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压裂作业废气主要为压裂车施工机械尾气，主要污染物为</w:t>
      </w:r>
      <w:r w:rsidRPr="00092862">
        <w:rPr>
          <w:rFonts w:ascii="Times New Roman" w:eastAsia="宋体" w:hAnsi="Times New Roman" w:cs="Times New Roman"/>
          <w:color w:val="000000" w:themeColor="text1"/>
          <w:sz w:val="24"/>
          <w:szCs w:val="24"/>
        </w:rPr>
        <w:t>NO</w:t>
      </w:r>
      <w:r w:rsidRPr="00092862">
        <w:rPr>
          <w:rFonts w:ascii="Times New Roman" w:eastAsia="宋体" w:hAnsi="Times New Roman" w:cs="Times New Roman"/>
          <w:color w:val="000000" w:themeColor="text1"/>
          <w:sz w:val="24"/>
          <w:szCs w:val="24"/>
          <w:vertAlign w:val="subscript"/>
        </w:rPr>
        <w:t>X</w:t>
      </w:r>
      <w:r w:rsidRPr="00092862">
        <w:rPr>
          <w:rFonts w:ascii="Times New Roman" w:eastAsia="宋体" w:hAnsi="Times New Roman" w:cs="Times New Roman"/>
          <w:color w:val="000000" w:themeColor="text1"/>
          <w:sz w:val="24"/>
          <w:szCs w:val="24"/>
        </w:rPr>
        <w:t>、烟尘及少量</w:t>
      </w:r>
      <w:r w:rsidRPr="00092862">
        <w:rPr>
          <w:rFonts w:ascii="Times New Roman" w:eastAsia="宋体" w:hAnsi="Times New Roman" w:cs="Times New Roman"/>
          <w:color w:val="000000" w:themeColor="text1"/>
          <w:sz w:val="24"/>
          <w:szCs w:val="24"/>
        </w:rPr>
        <w:t>CO</w:t>
      </w:r>
      <w:r w:rsidRPr="00092862">
        <w:rPr>
          <w:rFonts w:ascii="Times New Roman" w:eastAsia="宋体" w:hAnsi="Times New Roman" w:cs="Times New Roman"/>
          <w:color w:val="000000" w:themeColor="text1"/>
          <w:sz w:val="24"/>
          <w:szCs w:val="24"/>
        </w:rPr>
        <w:t>，采用合格燃油、加强设备保养减少尾气排放量。</w:t>
      </w:r>
    </w:p>
    <w:p w14:paraId="6CEA0469" w14:textId="77777777" w:rsidR="005E3182" w:rsidRPr="00092862" w:rsidRDefault="005E3182" w:rsidP="005E318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）无组织挥发性废气</w:t>
      </w:r>
    </w:p>
    <w:p w14:paraId="694F7171" w14:textId="4BDFD5F5" w:rsidR="005E3182" w:rsidRPr="00092862" w:rsidRDefault="005E3182" w:rsidP="005E318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3BE20450" w14:textId="77777777" w:rsidR="00C5572B" w:rsidRPr="00092862" w:rsidRDefault="008A21BE" w:rsidP="008A21BE">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5</w:t>
      </w:r>
      <w:r w:rsidR="00C5572B" w:rsidRPr="00092862">
        <w:rPr>
          <w:rFonts w:ascii="Times New Roman" w:eastAsia="宋体" w:hAnsi="Times New Roman" w:cs="Times New Roman"/>
          <w:color w:val="000000" w:themeColor="text1"/>
          <w:sz w:val="24"/>
          <w:szCs w:val="24"/>
        </w:rPr>
        <w:t>）完井测试放喷废气</w:t>
      </w:r>
    </w:p>
    <w:p w14:paraId="2804D324" w14:textId="77777777" w:rsidR="005E3182" w:rsidRPr="00092862" w:rsidRDefault="005E3182" w:rsidP="005E318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测试放喷天然气经专用放喷管线引至放喷坑后点火燃烧，测试放喷时间一般昼间放喷，每次约</w:t>
      </w:r>
      <w:r w:rsidRPr="00092862">
        <w:rPr>
          <w:rFonts w:ascii="Times New Roman" w:eastAsia="宋体" w:hAnsi="Times New Roman" w:cs="Times New Roman"/>
          <w:color w:val="000000" w:themeColor="text1"/>
          <w:sz w:val="24"/>
          <w:szCs w:val="24"/>
        </w:rPr>
        <w:t>3h</w:t>
      </w:r>
      <w:r w:rsidRPr="00092862">
        <w:rPr>
          <w:rFonts w:ascii="Times New Roman" w:eastAsia="宋体" w:hAnsi="Times New Roman" w:cs="Times New Roman"/>
          <w:color w:val="000000" w:themeColor="text1"/>
          <w:sz w:val="24"/>
          <w:szCs w:val="24"/>
        </w:rPr>
        <w:t>，废气排放属短期排放。测试放喷的含硫天然气经点火燃烧，其主要污染物为</w:t>
      </w:r>
      <w:r w:rsidRPr="00092862">
        <w:rPr>
          <w:rFonts w:ascii="Times New Roman" w:eastAsia="宋体" w:hAnsi="Times New Roman" w:cs="Times New Roman"/>
          <w:color w:val="000000" w:themeColor="text1"/>
          <w:sz w:val="24"/>
          <w:szCs w:val="24"/>
        </w:rPr>
        <w:t>CO</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和</w:t>
      </w:r>
      <w:r w:rsidRPr="00092862">
        <w:rPr>
          <w:rFonts w:ascii="Times New Roman" w:eastAsia="宋体" w:hAnsi="Times New Roman" w:cs="Times New Roman"/>
          <w:color w:val="000000" w:themeColor="text1"/>
          <w:sz w:val="24"/>
          <w:szCs w:val="24"/>
        </w:rPr>
        <w:t>SO</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w:t>
      </w:r>
    </w:p>
    <w:p w14:paraId="5C24CF23" w14:textId="4401951B" w:rsidR="005E3182" w:rsidRPr="00092862" w:rsidRDefault="005E3182" w:rsidP="00317F3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拟建项目测试放喷废气为目的</w:t>
      </w:r>
      <w:r w:rsidR="007A02DD">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测试放喷废气环境影响，</w:t>
      </w:r>
      <w:r w:rsidR="00317F32" w:rsidRPr="00092862">
        <w:rPr>
          <w:rFonts w:ascii="Times New Roman" w:eastAsia="宋体" w:hAnsi="Times New Roman" w:cs="Times New Roman"/>
          <w:color w:val="000000" w:themeColor="text1"/>
          <w:sz w:val="24"/>
          <w:szCs w:val="24"/>
        </w:rPr>
        <w:t>根据建设单位</w:t>
      </w:r>
      <w:r w:rsidR="00317F32" w:rsidRPr="00092862">
        <w:rPr>
          <w:rFonts w:ascii="Times New Roman" w:eastAsia="宋体" w:hAnsi="Times New Roman" w:cs="Times New Roman"/>
          <w:color w:val="000000" w:themeColor="text1"/>
          <w:sz w:val="24"/>
          <w:szCs w:val="24"/>
        </w:rPr>
        <w:lastRenderedPageBreak/>
        <w:t>提供的项目气藏地质及气藏工程资料：</w:t>
      </w:r>
      <w:r w:rsidR="00317F32" w:rsidRPr="00092862">
        <w:rPr>
          <w:rFonts w:ascii="Times New Roman" w:eastAsia="宋体" w:hAnsi="Times New Roman" w:cs="Times New Roman"/>
          <w:color w:val="000000" w:themeColor="text1"/>
          <w:sz w:val="24"/>
          <w:szCs w:val="24"/>
        </w:rPr>
        <w:t>“</w:t>
      </w:r>
      <w:r w:rsidR="00317F32" w:rsidRPr="00092862">
        <w:rPr>
          <w:rFonts w:ascii="Times New Roman" w:eastAsia="宋体" w:hAnsi="Times New Roman" w:cs="Times New Roman"/>
          <w:color w:val="000000" w:themeColor="text1"/>
          <w:sz w:val="24"/>
          <w:szCs w:val="24"/>
        </w:rPr>
        <w:t>考虑产层厚度、渗透率的关系，基于普光气田在飞三、飞一二段及老君</w:t>
      </w:r>
      <w:r w:rsidR="00317F32" w:rsidRPr="00092862">
        <w:rPr>
          <w:rFonts w:ascii="Times New Roman" w:eastAsia="宋体" w:hAnsi="Times New Roman" w:cs="Times New Roman"/>
          <w:color w:val="000000" w:themeColor="text1"/>
          <w:sz w:val="24"/>
          <w:szCs w:val="24"/>
        </w:rPr>
        <w:t>4</w:t>
      </w:r>
      <w:r w:rsidR="00317F32" w:rsidRPr="00092862">
        <w:rPr>
          <w:rFonts w:ascii="Times New Roman" w:eastAsia="宋体" w:hAnsi="Times New Roman" w:cs="Times New Roman"/>
          <w:color w:val="000000" w:themeColor="text1"/>
          <w:sz w:val="24"/>
          <w:szCs w:val="24"/>
        </w:rPr>
        <w:t>投产试气资料，考虑水平井增压倍数，分别预测</w:t>
      </w:r>
      <w:r w:rsidR="00317F32" w:rsidRPr="00092862">
        <w:rPr>
          <w:rFonts w:ascii="Times New Roman" w:eastAsia="宋体" w:hAnsi="Times New Roman" w:cs="Times New Roman"/>
          <w:color w:val="000000" w:themeColor="text1"/>
          <w:sz w:val="24"/>
          <w:szCs w:val="24"/>
        </w:rPr>
        <w:t>L7011-4H</w:t>
      </w:r>
      <w:r w:rsidR="00317F32" w:rsidRPr="00092862">
        <w:rPr>
          <w:rFonts w:ascii="Times New Roman" w:eastAsia="宋体" w:hAnsi="Times New Roman" w:cs="Times New Roman"/>
          <w:color w:val="000000" w:themeColor="text1"/>
          <w:sz w:val="24"/>
          <w:szCs w:val="24"/>
        </w:rPr>
        <w:t>井无阻流量</w:t>
      </w:r>
      <w:r w:rsidR="00317F32" w:rsidRPr="00092862">
        <w:rPr>
          <w:rFonts w:ascii="Times New Roman" w:eastAsia="宋体" w:hAnsi="Times New Roman" w:cs="Times New Roman"/>
          <w:color w:val="000000" w:themeColor="text1"/>
          <w:sz w:val="24"/>
          <w:szCs w:val="24"/>
        </w:rPr>
        <w:t>138.2×10</w:t>
      </w:r>
      <w:r w:rsidR="00317F32" w:rsidRPr="00092862">
        <w:rPr>
          <w:rFonts w:ascii="Times New Roman" w:eastAsia="宋体" w:hAnsi="Times New Roman" w:cs="Times New Roman"/>
          <w:color w:val="000000" w:themeColor="text1"/>
          <w:sz w:val="24"/>
          <w:szCs w:val="24"/>
          <w:vertAlign w:val="superscript"/>
        </w:rPr>
        <w:t>4</w:t>
      </w:r>
      <w:r w:rsidR="00317F32" w:rsidRPr="00092862">
        <w:rPr>
          <w:rFonts w:ascii="Times New Roman" w:eastAsia="宋体" w:hAnsi="Times New Roman" w:cs="Times New Roman"/>
          <w:color w:val="000000" w:themeColor="text1"/>
          <w:sz w:val="24"/>
          <w:szCs w:val="24"/>
        </w:rPr>
        <w:t>m</w:t>
      </w:r>
      <w:r w:rsidR="00317F32" w:rsidRPr="00092862">
        <w:rPr>
          <w:rFonts w:ascii="Times New Roman" w:eastAsia="宋体" w:hAnsi="Times New Roman" w:cs="Times New Roman"/>
          <w:color w:val="000000" w:themeColor="text1"/>
          <w:sz w:val="24"/>
          <w:szCs w:val="24"/>
          <w:vertAlign w:val="superscript"/>
        </w:rPr>
        <w:t>3</w:t>
      </w:r>
      <w:r w:rsidR="00317F32" w:rsidRPr="00092862">
        <w:rPr>
          <w:rFonts w:ascii="Times New Roman" w:eastAsia="宋体" w:hAnsi="Times New Roman" w:cs="Times New Roman"/>
          <w:color w:val="000000" w:themeColor="text1"/>
          <w:sz w:val="24"/>
          <w:szCs w:val="24"/>
        </w:rPr>
        <w:t>/d</w:t>
      </w:r>
      <w:r w:rsidR="00317F32" w:rsidRPr="00092862">
        <w:rPr>
          <w:rFonts w:ascii="Times New Roman" w:eastAsia="宋体" w:hAnsi="Times New Roman" w:cs="Times New Roman"/>
          <w:color w:val="000000" w:themeColor="text1"/>
          <w:sz w:val="24"/>
          <w:szCs w:val="24"/>
        </w:rPr>
        <w:t>，</w:t>
      </w:r>
      <w:r w:rsidR="00317F32" w:rsidRPr="00092862">
        <w:rPr>
          <w:rFonts w:ascii="Times New Roman" w:eastAsia="宋体" w:hAnsi="Times New Roman" w:cs="Times New Roman"/>
          <w:color w:val="000000" w:themeColor="text1"/>
          <w:sz w:val="24"/>
          <w:szCs w:val="24"/>
        </w:rPr>
        <w:t>L7011-5H</w:t>
      </w:r>
      <w:r w:rsidR="00317F32" w:rsidRPr="00092862">
        <w:rPr>
          <w:rFonts w:ascii="Times New Roman" w:eastAsia="宋体" w:hAnsi="Times New Roman" w:cs="Times New Roman"/>
          <w:color w:val="000000" w:themeColor="text1"/>
          <w:sz w:val="24"/>
          <w:szCs w:val="24"/>
        </w:rPr>
        <w:t>井无阻流量</w:t>
      </w:r>
      <w:r w:rsidR="00697429" w:rsidRPr="00092862">
        <w:rPr>
          <w:rFonts w:ascii="Times New Roman" w:eastAsia="宋体" w:hAnsi="Times New Roman" w:cs="Times New Roman"/>
          <w:color w:val="000000" w:themeColor="text1"/>
          <w:sz w:val="24"/>
          <w:szCs w:val="24"/>
        </w:rPr>
        <w:t>100.23×10</w:t>
      </w:r>
      <w:r w:rsidR="00317F32" w:rsidRPr="00092862">
        <w:rPr>
          <w:rFonts w:ascii="Times New Roman" w:eastAsia="宋体" w:hAnsi="Times New Roman" w:cs="Times New Roman"/>
          <w:color w:val="000000" w:themeColor="text1"/>
          <w:sz w:val="24"/>
          <w:szCs w:val="24"/>
          <w:vertAlign w:val="superscript"/>
        </w:rPr>
        <w:t>4</w:t>
      </w:r>
      <w:r w:rsidR="00317F32" w:rsidRPr="00092862">
        <w:rPr>
          <w:rFonts w:ascii="Times New Roman" w:eastAsia="宋体" w:hAnsi="Times New Roman" w:cs="Times New Roman"/>
          <w:color w:val="000000" w:themeColor="text1"/>
          <w:sz w:val="24"/>
          <w:szCs w:val="24"/>
        </w:rPr>
        <w:t>m</w:t>
      </w:r>
      <w:r w:rsidR="00317F32" w:rsidRPr="00092862">
        <w:rPr>
          <w:rFonts w:ascii="Times New Roman" w:eastAsia="宋体" w:hAnsi="Times New Roman" w:cs="Times New Roman"/>
          <w:color w:val="000000" w:themeColor="text1"/>
          <w:sz w:val="24"/>
          <w:szCs w:val="24"/>
          <w:vertAlign w:val="superscript"/>
        </w:rPr>
        <w:t>3</w:t>
      </w:r>
      <w:r w:rsidR="00317F32" w:rsidRPr="00092862">
        <w:rPr>
          <w:rFonts w:ascii="Times New Roman" w:eastAsia="宋体" w:hAnsi="Times New Roman" w:cs="Times New Roman"/>
          <w:color w:val="000000" w:themeColor="text1"/>
          <w:sz w:val="24"/>
          <w:szCs w:val="24"/>
        </w:rPr>
        <w:t>/d</w:t>
      </w:r>
      <w:r w:rsidR="00317F32" w:rsidRPr="00092862">
        <w:rPr>
          <w:rFonts w:ascii="Times New Roman" w:eastAsia="宋体" w:hAnsi="Times New Roman" w:cs="Times New Roman"/>
          <w:color w:val="000000" w:themeColor="text1"/>
          <w:sz w:val="24"/>
          <w:szCs w:val="24"/>
        </w:rPr>
        <w:t>。</w:t>
      </w:r>
      <w:r w:rsidR="00317F32"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在放喷</w:t>
      </w:r>
      <w:r w:rsidR="004740F3" w:rsidRPr="00092862">
        <w:rPr>
          <w:rFonts w:ascii="Times New Roman" w:eastAsia="宋体" w:hAnsi="Times New Roman" w:cs="Times New Roman"/>
          <w:color w:val="000000" w:themeColor="text1"/>
          <w:sz w:val="24"/>
          <w:szCs w:val="24"/>
        </w:rPr>
        <w:t>池</w:t>
      </w:r>
      <w:r w:rsidRPr="00092862">
        <w:rPr>
          <w:rFonts w:ascii="Times New Roman" w:eastAsia="宋体" w:hAnsi="Times New Roman" w:cs="Times New Roman"/>
          <w:color w:val="000000" w:themeColor="text1"/>
          <w:sz w:val="24"/>
          <w:szCs w:val="24"/>
        </w:rPr>
        <w:t>内，经排气筒为高度为</w:t>
      </w:r>
      <w:r w:rsidRPr="00092862">
        <w:rPr>
          <w:rFonts w:ascii="Times New Roman" w:eastAsia="宋体" w:hAnsi="Times New Roman" w:cs="Times New Roman"/>
          <w:color w:val="000000" w:themeColor="text1"/>
          <w:sz w:val="24"/>
          <w:szCs w:val="24"/>
        </w:rPr>
        <w:t>1m</w:t>
      </w:r>
      <w:r w:rsidRPr="00092862">
        <w:rPr>
          <w:rFonts w:ascii="Times New Roman" w:eastAsia="宋体" w:hAnsi="Times New Roman" w:cs="Times New Roman"/>
          <w:color w:val="000000" w:themeColor="text1"/>
          <w:sz w:val="24"/>
          <w:szCs w:val="24"/>
        </w:rPr>
        <w:t>的对空短火焰燃烧器点火燃烧后排放，本项目在放喷前，建设单位会对距离井口</w:t>
      </w:r>
      <w:r w:rsidRPr="00092862">
        <w:rPr>
          <w:rFonts w:ascii="Times New Roman" w:eastAsia="宋体" w:hAnsi="Times New Roman" w:cs="Times New Roman"/>
          <w:color w:val="000000" w:themeColor="text1"/>
          <w:sz w:val="24"/>
          <w:szCs w:val="24"/>
        </w:rPr>
        <w:t>500m</w:t>
      </w:r>
      <w:r w:rsidRPr="00092862">
        <w:rPr>
          <w:rFonts w:ascii="Times New Roman" w:eastAsia="宋体" w:hAnsi="Times New Roman" w:cs="Times New Roman"/>
          <w:color w:val="000000" w:themeColor="text1"/>
          <w:sz w:val="24"/>
          <w:szCs w:val="24"/>
        </w:rPr>
        <w:t>范围内的居民临时撤离，并建立警戒点进行</w:t>
      </w:r>
      <w:r w:rsidRPr="00092862">
        <w:rPr>
          <w:rFonts w:ascii="Times New Roman" w:eastAsia="宋体" w:hAnsi="Times New Roman" w:cs="Times New Roman"/>
          <w:color w:val="000000" w:themeColor="text1"/>
          <w:sz w:val="24"/>
          <w:szCs w:val="24"/>
        </w:rPr>
        <w:t>24</w:t>
      </w:r>
      <w:r w:rsidRPr="00092862">
        <w:rPr>
          <w:rFonts w:ascii="Times New Roman" w:eastAsia="宋体" w:hAnsi="Times New Roman" w:cs="Times New Roman"/>
          <w:color w:val="000000" w:themeColor="text1"/>
          <w:sz w:val="24"/>
          <w:szCs w:val="24"/>
        </w:rPr>
        <w:t>小时警戒，严禁居民靠近，以减轻放喷废气对这些居民的影响。同时由于测试放喷时间一般约为</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小时，属短期排放，不会形成长期环境影响，短期影响也可控制在周边居民健康安全限值以下，污染物排放随测试放喷的结束而停止，不会长期存在，不会影响区域环境空气功能区划。</w:t>
      </w:r>
    </w:p>
    <w:p w14:paraId="68CC4D39" w14:textId="0B2B615D" w:rsidR="00C5572B" w:rsidRPr="00092862" w:rsidRDefault="005E3182" w:rsidP="005E318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本项目测试放喷在昼间进行，且时间较短，含硫天然气燃烧后主要污染物为</w:t>
      </w:r>
      <w:r w:rsidRPr="00092862">
        <w:rPr>
          <w:rFonts w:ascii="Times New Roman" w:eastAsia="宋体" w:hAnsi="Times New Roman" w:cs="Times New Roman"/>
          <w:color w:val="000000" w:themeColor="text1"/>
          <w:sz w:val="24"/>
          <w:szCs w:val="24"/>
        </w:rPr>
        <w:t>CO</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和</w:t>
      </w:r>
      <w:r w:rsidRPr="00092862">
        <w:rPr>
          <w:rFonts w:ascii="Times New Roman" w:eastAsia="宋体" w:hAnsi="Times New Roman" w:cs="Times New Roman"/>
          <w:color w:val="000000" w:themeColor="text1"/>
          <w:sz w:val="24"/>
          <w:szCs w:val="24"/>
        </w:rPr>
        <w:t>SO</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，污染物产生量较小，并将随测试放喷的结束而消除，对周边大气环境影响较小</w:t>
      </w:r>
      <w:r w:rsidR="00C5572B" w:rsidRPr="00092862">
        <w:rPr>
          <w:rFonts w:ascii="Times New Roman" w:eastAsia="宋体" w:hAnsi="Times New Roman" w:cs="Times New Roman"/>
          <w:color w:val="000000" w:themeColor="text1"/>
          <w:sz w:val="24"/>
          <w:szCs w:val="24"/>
        </w:rPr>
        <w:t>。</w:t>
      </w:r>
    </w:p>
    <w:p w14:paraId="00BB6D96" w14:textId="77777777" w:rsidR="00DC446C" w:rsidRPr="00092862" w:rsidRDefault="00046D6F" w:rsidP="003D2EE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）废水</w:t>
      </w:r>
    </w:p>
    <w:p w14:paraId="3167B9DB" w14:textId="65FF85E8" w:rsidR="00046D6F" w:rsidRPr="00092862" w:rsidRDefault="00046D6F" w:rsidP="00046D6F">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从项目产生的废水情况分析，包括钻井废水、洗井废水、压裂返排液、</w:t>
      </w:r>
      <w:r w:rsidR="00956D21" w:rsidRPr="00092862">
        <w:rPr>
          <w:rFonts w:ascii="Times New Roman" w:eastAsia="宋体" w:hAnsi="Times New Roman" w:cs="Times New Roman"/>
          <w:bCs/>
          <w:color w:val="000000" w:themeColor="text1"/>
          <w:sz w:val="24"/>
        </w:rPr>
        <w:t>初期</w:t>
      </w:r>
      <w:r w:rsidRPr="00092862">
        <w:rPr>
          <w:rFonts w:ascii="Times New Roman" w:eastAsia="宋体" w:hAnsi="Times New Roman" w:cs="Times New Roman"/>
          <w:bCs/>
          <w:color w:val="000000" w:themeColor="text1"/>
          <w:sz w:val="24"/>
        </w:rPr>
        <w:t>雨水和生活污水。</w:t>
      </w:r>
    </w:p>
    <w:p w14:paraId="7351E065" w14:textId="4656557B" w:rsidR="001E0F6E" w:rsidRPr="00092862" w:rsidRDefault="00046D6F"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）钻井废水</w:t>
      </w:r>
    </w:p>
    <w:p w14:paraId="23F62B86" w14:textId="476C431D" w:rsidR="00927D6B" w:rsidRPr="00092862" w:rsidRDefault="00927D6B" w:rsidP="00927D6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本项目在钻井阶段采用常规钻井工艺，本项目仅涉及</w:t>
      </w:r>
      <w:r w:rsidR="0019648E" w:rsidRPr="00092862">
        <w:rPr>
          <w:rFonts w:ascii="Times New Roman" w:eastAsia="宋体" w:hAnsi="Times New Roman" w:cs="Times New Roman"/>
          <w:bCs/>
          <w:color w:val="000000" w:themeColor="text1"/>
          <w:sz w:val="24"/>
          <w:szCs w:val="24"/>
        </w:rPr>
        <w:t>钻井</w:t>
      </w:r>
      <w:r w:rsidRPr="00092862">
        <w:rPr>
          <w:rFonts w:ascii="Times New Roman" w:eastAsia="宋体" w:hAnsi="Times New Roman" w:cs="Times New Roman"/>
          <w:bCs/>
          <w:color w:val="000000" w:themeColor="text1"/>
          <w:sz w:val="24"/>
          <w:szCs w:val="24"/>
        </w:rPr>
        <w:t>段。钻井作业的配浆过程中会根据泥浆的不同要求加入不等量的水，这些水随钻井液进入井底协助钻井作业，在钻井液返回地面后，大部分水随泥浆进入泥浆净化系统，小部分水随钻屑进入污水</w:t>
      </w:r>
      <w:r w:rsidR="00BB395D" w:rsidRPr="00092862">
        <w:rPr>
          <w:rFonts w:ascii="Times New Roman" w:eastAsia="宋体" w:hAnsi="Times New Roman" w:cs="Times New Roman"/>
          <w:bCs/>
          <w:color w:val="000000" w:themeColor="text1"/>
          <w:sz w:val="24"/>
          <w:szCs w:val="24"/>
        </w:rPr>
        <w:t>罐</w:t>
      </w:r>
      <w:r w:rsidRPr="00092862">
        <w:rPr>
          <w:rFonts w:ascii="Times New Roman" w:eastAsia="宋体" w:hAnsi="Times New Roman" w:cs="Times New Roman"/>
          <w:bCs/>
          <w:color w:val="000000" w:themeColor="text1"/>
          <w:sz w:val="24"/>
          <w:szCs w:val="24"/>
        </w:rPr>
        <w:t>，经固液分离后，回收上清液用于泥浆配置，剩余废水经预处理后由罐车拉运至</w:t>
      </w:r>
      <w:r w:rsidR="005D5A22" w:rsidRPr="00092862">
        <w:rPr>
          <w:rFonts w:ascii="Times New Roman" w:eastAsia="宋体" w:hAnsi="Times New Roman" w:cs="Times New Roman"/>
          <w:bCs/>
          <w:color w:val="000000" w:themeColor="text1"/>
          <w:sz w:val="24"/>
          <w:szCs w:val="24"/>
        </w:rPr>
        <w:t>赵家坝污水处理站达标后管输至普光</w:t>
      </w:r>
      <w:r w:rsidR="005D5A22" w:rsidRPr="00092862">
        <w:rPr>
          <w:rFonts w:ascii="Times New Roman" w:eastAsia="宋体" w:hAnsi="Times New Roman" w:cs="Times New Roman"/>
          <w:bCs/>
          <w:color w:val="000000" w:themeColor="text1"/>
          <w:sz w:val="24"/>
          <w:szCs w:val="24"/>
        </w:rPr>
        <w:t>11</w:t>
      </w:r>
      <w:r w:rsidR="005D5A22" w:rsidRPr="00092862">
        <w:rPr>
          <w:rFonts w:ascii="Times New Roman" w:eastAsia="宋体" w:hAnsi="Times New Roman" w:cs="Times New Roman"/>
          <w:bCs/>
          <w:color w:val="000000" w:themeColor="text1"/>
          <w:sz w:val="24"/>
          <w:szCs w:val="24"/>
        </w:rPr>
        <w:t>井回注站回注</w:t>
      </w:r>
      <w:r w:rsidRPr="00092862">
        <w:rPr>
          <w:rFonts w:ascii="Times New Roman" w:eastAsia="宋体" w:hAnsi="Times New Roman" w:cs="Times New Roman"/>
          <w:bCs/>
          <w:color w:val="000000" w:themeColor="text1"/>
          <w:sz w:val="24"/>
          <w:szCs w:val="24"/>
        </w:rPr>
        <w:t>，不外排。</w:t>
      </w:r>
    </w:p>
    <w:p w14:paraId="35F0711F" w14:textId="736784DE" w:rsidR="00927D6B" w:rsidRPr="00092862" w:rsidRDefault="00927D6B" w:rsidP="00927D6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bookmarkStart w:id="128" w:name="_Hlk79335272"/>
      <w:r w:rsidRPr="00092862">
        <w:rPr>
          <w:rFonts w:ascii="Times New Roman" w:eastAsia="宋体" w:hAnsi="Times New Roman" w:cs="Times New Roman"/>
          <w:bCs/>
          <w:color w:val="000000" w:themeColor="text1"/>
          <w:sz w:val="24"/>
          <w:szCs w:val="24"/>
        </w:rPr>
        <w:t>根据普光气田钻井工程的类比分析</w:t>
      </w:r>
      <w:r w:rsidR="00DB3A2F" w:rsidRPr="00092862">
        <w:rPr>
          <w:rFonts w:ascii="Times New Roman" w:eastAsia="宋体" w:hAnsi="Times New Roman" w:cs="Times New Roman"/>
          <w:color w:val="000000" w:themeColor="text1"/>
          <w:sz w:val="24"/>
        </w:rPr>
        <w:t>（根据普陆</w:t>
      </w:r>
      <w:r w:rsidR="00DB3A2F" w:rsidRPr="00092862">
        <w:rPr>
          <w:rFonts w:ascii="Times New Roman" w:eastAsia="宋体" w:hAnsi="Times New Roman" w:cs="Times New Roman"/>
          <w:color w:val="000000" w:themeColor="text1"/>
          <w:sz w:val="24"/>
        </w:rPr>
        <w:t>4</w:t>
      </w:r>
      <w:r w:rsidR="00DB3A2F" w:rsidRPr="00092862">
        <w:rPr>
          <w:rFonts w:ascii="Times New Roman" w:eastAsia="宋体" w:hAnsi="Times New Roman" w:cs="Times New Roman"/>
          <w:color w:val="000000" w:themeColor="text1"/>
          <w:sz w:val="24"/>
        </w:rPr>
        <w:t>井钻井工程建设项目（实际井深</w:t>
      </w:r>
      <w:r w:rsidR="00DB3A2F" w:rsidRPr="00092862">
        <w:rPr>
          <w:rFonts w:ascii="Times New Roman" w:eastAsia="宋体" w:hAnsi="Times New Roman" w:cs="Times New Roman"/>
          <w:color w:val="000000" w:themeColor="text1"/>
          <w:sz w:val="24"/>
        </w:rPr>
        <w:t>4622m</w:t>
      </w:r>
      <w:r w:rsidR="00DB3A2F" w:rsidRPr="00092862">
        <w:rPr>
          <w:rFonts w:ascii="Times New Roman" w:eastAsia="宋体" w:hAnsi="Times New Roman" w:cs="Times New Roman"/>
          <w:color w:val="000000" w:themeColor="text1"/>
          <w:sz w:val="24"/>
        </w:rPr>
        <w:t>）竣工环境保护验收调查表可知其施工期整体作业废水实际产生量约为</w:t>
      </w:r>
      <w:r w:rsidR="00DB3A2F" w:rsidRPr="00092862">
        <w:rPr>
          <w:rFonts w:ascii="Times New Roman" w:eastAsia="宋体" w:hAnsi="Times New Roman" w:cs="Times New Roman"/>
          <w:color w:val="000000" w:themeColor="text1"/>
          <w:sz w:val="24"/>
        </w:rPr>
        <w:t>2197m</w:t>
      </w:r>
      <w:r w:rsidR="00DB3A2F" w:rsidRPr="00092862">
        <w:rPr>
          <w:rFonts w:ascii="Times New Roman" w:eastAsia="宋体" w:hAnsi="Times New Roman" w:cs="Times New Roman"/>
          <w:color w:val="000000" w:themeColor="text1"/>
          <w:sz w:val="24"/>
          <w:vertAlign w:val="superscript"/>
        </w:rPr>
        <w:t>3</w:t>
      </w:r>
      <w:r w:rsidR="00DB3A2F" w:rsidRPr="00092862">
        <w:rPr>
          <w:rFonts w:ascii="Times New Roman" w:eastAsia="宋体" w:hAnsi="Times New Roman" w:cs="Times New Roman"/>
          <w:color w:val="000000" w:themeColor="text1"/>
          <w:sz w:val="24"/>
        </w:rPr>
        <w:t>，根据普陆</w:t>
      </w:r>
      <w:r w:rsidR="00DB3A2F" w:rsidRPr="00092862">
        <w:rPr>
          <w:rFonts w:ascii="Times New Roman" w:eastAsia="宋体" w:hAnsi="Times New Roman" w:cs="Times New Roman"/>
          <w:color w:val="000000" w:themeColor="text1"/>
          <w:sz w:val="24"/>
        </w:rPr>
        <w:t>5</w:t>
      </w:r>
      <w:r w:rsidR="00DB3A2F" w:rsidRPr="00092862">
        <w:rPr>
          <w:rFonts w:ascii="Times New Roman" w:eastAsia="宋体" w:hAnsi="Times New Roman" w:cs="Times New Roman"/>
          <w:color w:val="000000" w:themeColor="text1"/>
          <w:sz w:val="24"/>
        </w:rPr>
        <w:t>勘探评价井工程建设项目（实际井深</w:t>
      </w:r>
      <w:r w:rsidR="00DB3A2F" w:rsidRPr="00092862">
        <w:rPr>
          <w:rFonts w:ascii="Times New Roman" w:eastAsia="宋体" w:hAnsi="Times New Roman" w:cs="Times New Roman"/>
          <w:color w:val="000000" w:themeColor="text1"/>
          <w:sz w:val="24"/>
        </w:rPr>
        <w:t>3310m</w:t>
      </w:r>
      <w:r w:rsidR="00DB3A2F" w:rsidRPr="00092862">
        <w:rPr>
          <w:rFonts w:ascii="Times New Roman" w:eastAsia="宋体" w:hAnsi="Times New Roman" w:cs="Times New Roman"/>
          <w:color w:val="000000" w:themeColor="text1"/>
          <w:sz w:val="24"/>
        </w:rPr>
        <w:t>）竣工环境保护验收调查表可知其施工期钻井废水实际产生量约为</w:t>
      </w:r>
      <w:r w:rsidR="00DB3A2F" w:rsidRPr="00092862">
        <w:rPr>
          <w:rFonts w:ascii="Times New Roman" w:eastAsia="宋体" w:hAnsi="Times New Roman" w:cs="Times New Roman"/>
          <w:color w:val="000000" w:themeColor="text1"/>
          <w:sz w:val="24"/>
        </w:rPr>
        <w:t>611m</w:t>
      </w:r>
      <w:r w:rsidR="00DB3A2F" w:rsidRPr="00092862">
        <w:rPr>
          <w:rFonts w:ascii="Times New Roman" w:eastAsia="宋体" w:hAnsi="Times New Roman" w:cs="Times New Roman"/>
          <w:color w:val="000000" w:themeColor="text1"/>
          <w:sz w:val="24"/>
          <w:vertAlign w:val="superscript"/>
        </w:rPr>
        <w:t>3</w:t>
      </w:r>
      <w:r w:rsidR="00DB3A2F"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bCs/>
          <w:color w:val="000000" w:themeColor="text1"/>
          <w:sz w:val="24"/>
          <w:szCs w:val="24"/>
        </w:rPr>
        <w:t>，每米进尺产生钻井废水量为</w:t>
      </w:r>
      <w:r w:rsidRPr="00092862">
        <w:rPr>
          <w:rFonts w:ascii="Times New Roman" w:eastAsia="宋体" w:hAnsi="Times New Roman" w:cs="Times New Roman"/>
          <w:bCs/>
          <w:color w:val="000000" w:themeColor="text1"/>
          <w:sz w:val="24"/>
          <w:szCs w:val="24"/>
        </w:rPr>
        <w:t>0.</w:t>
      </w:r>
      <w:r w:rsidR="00DB3A2F"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。本项目钻井进尺</w:t>
      </w:r>
      <w:r w:rsidR="007A02DD">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，产生的钻井废水为</w:t>
      </w:r>
      <w:r w:rsidR="00317F32" w:rsidRPr="00092862">
        <w:rPr>
          <w:rFonts w:ascii="Times New Roman" w:eastAsia="宋体" w:hAnsi="Times New Roman" w:cs="Times New Roman"/>
          <w:bCs/>
          <w:color w:val="000000" w:themeColor="text1"/>
          <w:sz w:val="24"/>
          <w:szCs w:val="24"/>
        </w:rPr>
        <w:t>2791.68</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w:t>
      </w:r>
    </w:p>
    <w:bookmarkEnd w:id="128"/>
    <w:p w14:paraId="292FD8F8" w14:textId="44EAED79" w:rsidR="00EE4BBB" w:rsidRPr="00092862" w:rsidRDefault="00927D6B" w:rsidP="00927D6B">
      <w:pPr>
        <w:adjustRightInd w:val="0"/>
        <w:snapToGrid w:val="0"/>
        <w:spacing w:line="360" w:lineRule="auto"/>
        <w:ind w:firstLineChars="200" w:firstLine="480"/>
        <w:rPr>
          <w:rFonts w:ascii="Times New Roman" w:eastAsia="宋体" w:hAnsi="Times New Roman" w:cs="Times New Roman"/>
          <w:b/>
          <w:color w:val="000000" w:themeColor="text1"/>
          <w:sz w:val="24"/>
        </w:rPr>
      </w:pPr>
      <w:r w:rsidRPr="00092862">
        <w:rPr>
          <w:rFonts w:ascii="Times New Roman" w:eastAsia="宋体" w:hAnsi="Times New Roman" w:cs="Times New Roman"/>
          <w:bCs/>
          <w:color w:val="000000" w:themeColor="text1"/>
          <w:sz w:val="24"/>
          <w:szCs w:val="24"/>
        </w:rPr>
        <w:t>污水池内废水为钻井废水及雨水的混合废水，其主要污染物浓度根据普光气田钻井工程污水池废水类比，钻井废水水质污染物浓度见表</w:t>
      </w:r>
      <w:r w:rsidR="00D26362" w:rsidRPr="00092862">
        <w:rPr>
          <w:rFonts w:ascii="Times New Roman" w:eastAsia="宋体" w:hAnsi="Times New Roman" w:cs="Times New Roman"/>
          <w:bCs/>
          <w:color w:val="000000" w:themeColor="text1"/>
          <w:sz w:val="24"/>
          <w:szCs w:val="24"/>
        </w:rPr>
        <w:t>3.4-3</w:t>
      </w:r>
      <w:r w:rsidRPr="00092862">
        <w:rPr>
          <w:rFonts w:ascii="Times New Roman" w:eastAsia="宋体" w:hAnsi="Times New Roman" w:cs="Times New Roman"/>
          <w:bCs/>
          <w:color w:val="000000" w:themeColor="text1"/>
          <w:sz w:val="24"/>
          <w:szCs w:val="24"/>
        </w:rPr>
        <w:t>。</w:t>
      </w:r>
    </w:p>
    <w:p w14:paraId="2079835A" w14:textId="60A3ABFF" w:rsidR="00927D6B" w:rsidRPr="00092862" w:rsidRDefault="00927D6B" w:rsidP="00D26362">
      <w:pPr>
        <w:pStyle w:val="ac"/>
        <w:tabs>
          <w:tab w:val="left" w:pos="863"/>
        </w:tabs>
        <w:spacing w:before="0"/>
        <w:ind w:left="0"/>
        <w:jc w:val="center"/>
        <w:rPr>
          <w:rFonts w:ascii="Times New Roman" w:eastAsia="黑体" w:hAnsi="Times New Roman"/>
          <w:color w:val="000000" w:themeColor="text1"/>
          <w:sz w:val="21"/>
          <w:szCs w:val="21"/>
          <w:lang w:eastAsia="zh-CN"/>
        </w:rPr>
      </w:pPr>
      <w:bookmarkStart w:id="129" w:name="_Ref477986982"/>
      <w:r w:rsidRPr="00092862">
        <w:rPr>
          <w:rFonts w:ascii="Times New Roman" w:eastAsia="黑体" w:hAnsi="Times New Roman"/>
          <w:color w:val="000000" w:themeColor="text1"/>
          <w:sz w:val="21"/>
          <w:szCs w:val="21"/>
          <w:lang w:eastAsia="zh-CN"/>
        </w:rPr>
        <w:lastRenderedPageBreak/>
        <w:t>表</w:t>
      </w:r>
      <w:bookmarkEnd w:id="129"/>
      <w:r w:rsidR="00D26362" w:rsidRPr="00092862">
        <w:rPr>
          <w:rFonts w:ascii="Times New Roman" w:eastAsia="黑体" w:hAnsi="Times New Roman"/>
          <w:color w:val="000000" w:themeColor="text1"/>
          <w:sz w:val="21"/>
          <w:szCs w:val="21"/>
          <w:lang w:eastAsia="zh-CN"/>
        </w:rPr>
        <w:t>3.4-3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钻井废水综合水质污染物浓度表（单位：</w:t>
      </w:r>
      <w:r w:rsidRPr="00092862">
        <w:rPr>
          <w:rFonts w:ascii="Times New Roman" w:eastAsia="黑体" w:hAnsi="Times New Roman"/>
          <w:color w:val="000000" w:themeColor="text1"/>
          <w:sz w:val="21"/>
          <w:szCs w:val="21"/>
          <w:lang w:eastAsia="zh-CN"/>
        </w:rPr>
        <w:t>mg/L</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pH</w:t>
      </w:r>
      <w:r w:rsidRPr="00092862">
        <w:rPr>
          <w:rFonts w:ascii="Times New Roman" w:eastAsia="黑体" w:hAnsi="Times New Roman"/>
          <w:color w:val="000000" w:themeColor="text1"/>
          <w:sz w:val="21"/>
          <w:szCs w:val="21"/>
          <w:lang w:eastAsia="zh-CN"/>
        </w:rPr>
        <w:t>值无量纲）</w:t>
      </w:r>
    </w:p>
    <w:tbl>
      <w:tblPr>
        <w:tblW w:w="8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6"/>
        <w:gridCol w:w="1851"/>
        <w:gridCol w:w="1843"/>
        <w:gridCol w:w="2344"/>
      </w:tblGrid>
      <w:tr w:rsidR="00697429" w:rsidRPr="00092862" w14:paraId="51ACB34B" w14:textId="77777777" w:rsidTr="000D2044">
        <w:trPr>
          <w:trHeight w:val="255"/>
          <w:jc w:val="center"/>
        </w:trPr>
        <w:tc>
          <w:tcPr>
            <w:tcW w:w="2306" w:type="dxa"/>
            <w:vAlign w:val="center"/>
          </w:tcPr>
          <w:p w14:paraId="70B0E118" w14:textId="77777777" w:rsidR="00927D6B" w:rsidRPr="00092862" w:rsidRDefault="00927D6B" w:rsidP="00224BF1">
            <w:pPr>
              <w:pStyle w:val="SSEC20150323"/>
              <w:rPr>
                <w:rFonts w:ascii="Times New Roman" w:hAnsi="Times New Roman"/>
                <w:b/>
                <w:bCs/>
                <w:color w:val="000000" w:themeColor="text1"/>
              </w:rPr>
            </w:pPr>
            <w:r w:rsidRPr="00092862">
              <w:rPr>
                <w:rFonts w:ascii="Times New Roman" w:hAnsi="Times New Roman"/>
                <w:b/>
                <w:bCs/>
                <w:color w:val="000000" w:themeColor="text1"/>
              </w:rPr>
              <w:t>污染物名称</w:t>
            </w:r>
          </w:p>
        </w:tc>
        <w:tc>
          <w:tcPr>
            <w:tcW w:w="1851" w:type="dxa"/>
            <w:vAlign w:val="center"/>
          </w:tcPr>
          <w:p w14:paraId="4CB847E9" w14:textId="77777777" w:rsidR="00927D6B" w:rsidRPr="00092862" w:rsidRDefault="00927D6B" w:rsidP="00224BF1">
            <w:pPr>
              <w:pStyle w:val="SSEC20150323"/>
              <w:rPr>
                <w:rFonts w:ascii="Times New Roman" w:hAnsi="Times New Roman"/>
                <w:b/>
                <w:bCs/>
                <w:color w:val="000000" w:themeColor="text1"/>
              </w:rPr>
            </w:pPr>
            <w:r w:rsidRPr="00092862">
              <w:rPr>
                <w:rFonts w:ascii="Times New Roman" w:hAnsi="Times New Roman"/>
                <w:b/>
                <w:bCs/>
                <w:color w:val="000000" w:themeColor="text1"/>
              </w:rPr>
              <w:t>pH</w:t>
            </w:r>
          </w:p>
        </w:tc>
        <w:tc>
          <w:tcPr>
            <w:tcW w:w="1843" w:type="dxa"/>
            <w:vAlign w:val="center"/>
          </w:tcPr>
          <w:p w14:paraId="54AB8897" w14:textId="77777777" w:rsidR="00927D6B" w:rsidRPr="00092862" w:rsidRDefault="00927D6B" w:rsidP="00224BF1">
            <w:pPr>
              <w:pStyle w:val="SSEC20150323"/>
              <w:rPr>
                <w:rFonts w:ascii="Times New Roman" w:hAnsi="Times New Roman"/>
                <w:b/>
                <w:bCs/>
                <w:color w:val="000000" w:themeColor="text1"/>
              </w:rPr>
            </w:pPr>
            <w:r w:rsidRPr="00092862">
              <w:rPr>
                <w:rFonts w:ascii="Times New Roman" w:hAnsi="Times New Roman"/>
                <w:b/>
                <w:bCs/>
                <w:color w:val="000000" w:themeColor="text1"/>
              </w:rPr>
              <w:t>SS</w:t>
            </w:r>
          </w:p>
        </w:tc>
        <w:tc>
          <w:tcPr>
            <w:tcW w:w="2344" w:type="dxa"/>
            <w:vAlign w:val="center"/>
          </w:tcPr>
          <w:p w14:paraId="53A3E59E" w14:textId="77777777" w:rsidR="00927D6B" w:rsidRPr="00092862" w:rsidRDefault="00927D6B" w:rsidP="00224BF1">
            <w:pPr>
              <w:pStyle w:val="SSEC20150323"/>
              <w:rPr>
                <w:rFonts w:ascii="Times New Roman" w:hAnsi="Times New Roman"/>
                <w:b/>
                <w:bCs/>
                <w:color w:val="000000" w:themeColor="text1"/>
              </w:rPr>
            </w:pPr>
            <w:r w:rsidRPr="00092862">
              <w:rPr>
                <w:rFonts w:ascii="Times New Roman" w:hAnsi="Times New Roman"/>
                <w:b/>
                <w:bCs/>
                <w:color w:val="000000" w:themeColor="text1"/>
              </w:rPr>
              <w:t>石油类</w:t>
            </w:r>
          </w:p>
        </w:tc>
      </w:tr>
      <w:tr w:rsidR="00697429" w:rsidRPr="00092862" w14:paraId="5DA811A7" w14:textId="77777777" w:rsidTr="000D2044">
        <w:trPr>
          <w:trHeight w:val="255"/>
          <w:jc w:val="center"/>
        </w:trPr>
        <w:tc>
          <w:tcPr>
            <w:tcW w:w="2306" w:type="dxa"/>
            <w:vAlign w:val="center"/>
          </w:tcPr>
          <w:p w14:paraId="6967165E" w14:textId="77777777" w:rsidR="00927D6B" w:rsidRPr="00092862" w:rsidRDefault="00927D6B" w:rsidP="00224BF1">
            <w:pPr>
              <w:pStyle w:val="SSEC20150323"/>
              <w:rPr>
                <w:rFonts w:ascii="Times New Roman" w:hAnsi="Times New Roman"/>
                <w:color w:val="000000" w:themeColor="text1"/>
              </w:rPr>
            </w:pPr>
            <w:r w:rsidRPr="00092862">
              <w:rPr>
                <w:rFonts w:ascii="Times New Roman" w:hAnsi="Times New Roman"/>
                <w:color w:val="000000" w:themeColor="text1"/>
              </w:rPr>
              <w:t>浓度</w:t>
            </w:r>
          </w:p>
        </w:tc>
        <w:tc>
          <w:tcPr>
            <w:tcW w:w="1851" w:type="dxa"/>
            <w:vAlign w:val="center"/>
          </w:tcPr>
          <w:p w14:paraId="32D1F0FC" w14:textId="77777777" w:rsidR="00927D6B" w:rsidRPr="00092862" w:rsidRDefault="00927D6B" w:rsidP="00224BF1">
            <w:pPr>
              <w:pStyle w:val="SSEC20150323"/>
              <w:rPr>
                <w:rFonts w:ascii="Times New Roman" w:hAnsi="Times New Roman"/>
                <w:color w:val="000000" w:themeColor="text1"/>
              </w:rPr>
            </w:pPr>
            <w:r w:rsidRPr="00092862">
              <w:rPr>
                <w:rFonts w:ascii="Times New Roman" w:hAnsi="Times New Roman"/>
                <w:color w:val="000000" w:themeColor="text1"/>
              </w:rPr>
              <w:t>8.3</w:t>
            </w:r>
            <w:r w:rsidRPr="00092862">
              <w:rPr>
                <w:rFonts w:ascii="Times New Roman" w:hAnsi="Times New Roman"/>
                <w:color w:val="000000" w:themeColor="text1"/>
              </w:rPr>
              <w:t>～</w:t>
            </w:r>
            <w:r w:rsidRPr="00092862">
              <w:rPr>
                <w:rFonts w:ascii="Times New Roman" w:hAnsi="Times New Roman"/>
                <w:color w:val="000000" w:themeColor="text1"/>
              </w:rPr>
              <w:t>12.5</w:t>
            </w:r>
          </w:p>
        </w:tc>
        <w:tc>
          <w:tcPr>
            <w:tcW w:w="1843" w:type="dxa"/>
            <w:vAlign w:val="center"/>
          </w:tcPr>
          <w:p w14:paraId="3B16CF69" w14:textId="77777777" w:rsidR="00927D6B" w:rsidRPr="00092862" w:rsidRDefault="00927D6B" w:rsidP="00224BF1">
            <w:pPr>
              <w:pStyle w:val="SSEC20150323"/>
              <w:rPr>
                <w:rFonts w:ascii="Times New Roman" w:hAnsi="Times New Roman"/>
                <w:color w:val="000000" w:themeColor="text1"/>
              </w:rPr>
            </w:pPr>
            <w:r w:rsidRPr="00092862">
              <w:rPr>
                <w:rFonts w:ascii="Times New Roman" w:hAnsi="Times New Roman"/>
                <w:color w:val="000000" w:themeColor="text1"/>
              </w:rPr>
              <w:t>≤7500</w:t>
            </w:r>
          </w:p>
        </w:tc>
        <w:tc>
          <w:tcPr>
            <w:tcW w:w="2344" w:type="dxa"/>
            <w:vAlign w:val="center"/>
          </w:tcPr>
          <w:p w14:paraId="751FBD24" w14:textId="77777777" w:rsidR="00927D6B" w:rsidRPr="00092862" w:rsidRDefault="00927D6B" w:rsidP="00224BF1">
            <w:pPr>
              <w:pStyle w:val="SSEC20150323"/>
              <w:rPr>
                <w:rFonts w:ascii="Times New Roman" w:hAnsi="Times New Roman"/>
                <w:color w:val="000000" w:themeColor="text1"/>
              </w:rPr>
            </w:pPr>
            <w:r w:rsidRPr="00092862">
              <w:rPr>
                <w:rFonts w:ascii="Times New Roman" w:hAnsi="Times New Roman"/>
                <w:color w:val="000000" w:themeColor="text1"/>
              </w:rPr>
              <w:t>≤200</w:t>
            </w:r>
          </w:p>
        </w:tc>
      </w:tr>
    </w:tbl>
    <w:p w14:paraId="2DAC3D7B" w14:textId="18F56F26" w:rsidR="001E0F6E" w:rsidRPr="00092862" w:rsidRDefault="00035B47" w:rsidP="00035B47">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bookmarkStart w:id="130" w:name="_Hlk106463456"/>
      <w:r w:rsidR="00B50CC0" w:rsidRPr="00092862">
        <w:rPr>
          <w:rFonts w:ascii="Times New Roman" w:eastAsia="宋体" w:hAnsi="Times New Roman" w:cs="Times New Roman"/>
          <w:bCs/>
          <w:color w:val="000000" w:themeColor="text1"/>
          <w:sz w:val="24"/>
          <w:szCs w:val="24"/>
        </w:rPr>
        <w:t>压裂返排液及洗井废水</w:t>
      </w:r>
      <w:bookmarkEnd w:id="130"/>
    </w:p>
    <w:p w14:paraId="742367EA" w14:textId="77777777" w:rsidR="00B50CC0" w:rsidRPr="00092862" w:rsidRDefault="00B50CC0" w:rsidP="00035B4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测试放喷与完井工程产生的作业废水主要是压裂酸化、洗井等施工时产生的废水。</w:t>
      </w:r>
    </w:p>
    <w:p w14:paraId="405E2003" w14:textId="0676F99B" w:rsidR="00B50CC0" w:rsidRPr="00092862" w:rsidRDefault="00B50CC0" w:rsidP="00035B4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本项目压裂酸化过程酸液</w:t>
      </w:r>
      <w:r w:rsidR="003566E8" w:rsidRPr="00092862">
        <w:rPr>
          <w:rFonts w:ascii="Times New Roman" w:eastAsia="宋体" w:hAnsi="Times New Roman" w:cs="Times New Roman"/>
          <w:color w:val="000000" w:themeColor="text1"/>
          <w:sz w:val="24"/>
        </w:rPr>
        <w:t>（前置酸、清洁酸、胶液）</w:t>
      </w:r>
      <w:r w:rsidRPr="00092862">
        <w:rPr>
          <w:rFonts w:ascii="Times New Roman" w:eastAsia="宋体" w:hAnsi="Times New Roman" w:cs="Times New Roman"/>
          <w:color w:val="000000" w:themeColor="text1"/>
          <w:sz w:val="24"/>
        </w:rPr>
        <w:t>用量约</w:t>
      </w:r>
      <w:r w:rsidR="00F47E9A" w:rsidRPr="00092862">
        <w:rPr>
          <w:rFonts w:ascii="Times New Roman" w:eastAsia="宋体" w:hAnsi="Times New Roman" w:cs="Times New Roman"/>
          <w:color w:val="000000" w:themeColor="text1"/>
          <w:sz w:val="24"/>
        </w:rPr>
        <w:t>2465</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，根据该区域已完钻钻井工程可知，该区域钻井工程酸液返排率约</w:t>
      </w:r>
      <w:r w:rsidRPr="00092862">
        <w:rPr>
          <w:rFonts w:ascii="Times New Roman" w:eastAsia="宋体" w:hAnsi="Times New Roman" w:cs="Times New Roman"/>
          <w:color w:val="000000" w:themeColor="text1"/>
          <w:sz w:val="24"/>
        </w:rPr>
        <w:t>30%</w:t>
      </w:r>
      <w:r w:rsidRPr="00092862">
        <w:rPr>
          <w:rFonts w:ascii="Times New Roman" w:eastAsia="宋体" w:hAnsi="Times New Roman" w:cs="Times New Roman"/>
          <w:color w:val="000000" w:themeColor="text1"/>
          <w:sz w:val="24"/>
        </w:rPr>
        <w:t>，则本项目返排液量为</w:t>
      </w:r>
      <w:r w:rsidR="00F47E9A" w:rsidRPr="00092862">
        <w:rPr>
          <w:rFonts w:ascii="Times New Roman" w:eastAsia="宋体" w:hAnsi="Times New Roman" w:cs="Times New Roman"/>
          <w:color w:val="000000" w:themeColor="text1"/>
          <w:sz w:val="24"/>
        </w:rPr>
        <w:t>739.5m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，作业废水主要组成为水、盐酸及醋酸与岩层反应后生成的盐类、及表面活性剂等。返排液排至经防腐防渗处理的放喷池或污水池中暂存（放喷池预先储备部分碱性水用于中和返排液中的酸液），返排周期为</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天～</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天。本项目洗井采用</w:t>
      </w:r>
      <w:r w:rsidR="000F6507" w:rsidRPr="00092862">
        <w:rPr>
          <w:rFonts w:ascii="Times New Roman" w:eastAsia="宋体" w:hAnsi="Times New Roman" w:cs="Times New Roman"/>
          <w:color w:val="000000" w:themeColor="text1"/>
          <w:sz w:val="24"/>
        </w:rPr>
        <w:t>碱</w:t>
      </w:r>
      <w:r w:rsidRPr="00092862">
        <w:rPr>
          <w:rFonts w:ascii="Times New Roman" w:eastAsia="宋体" w:hAnsi="Times New Roman" w:cs="Times New Roman"/>
          <w:color w:val="000000" w:themeColor="text1"/>
          <w:sz w:val="24"/>
        </w:rPr>
        <w:t>水，项目洗井废水产生约</w:t>
      </w:r>
      <w:r w:rsidR="000F6507"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00m</w:t>
      </w:r>
      <w:r w:rsidRPr="00092862">
        <w:rPr>
          <w:rFonts w:ascii="Times New Roman" w:eastAsia="宋体" w:hAnsi="Times New Roman" w:cs="Times New Roman"/>
          <w:color w:val="000000" w:themeColor="text1"/>
          <w:sz w:val="24"/>
          <w:vertAlign w:val="superscript"/>
        </w:rPr>
        <w:t>3</w:t>
      </w:r>
      <w:r w:rsidR="000F6507" w:rsidRPr="00092862">
        <w:rPr>
          <w:rFonts w:ascii="Times New Roman" w:eastAsia="宋体" w:hAnsi="Times New Roman" w:cs="Times New Roman"/>
          <w:color w:val="000000" w:themeColor="text1"/>
          <w:sz w:val="24"/>
        </w:rPr>
        <w:t>（单井洗井废水产生量约</w:t>
      </w:r>
      <w:r w:rsidR="000F6507" w:rsidRPr="00092862">
        <w:rPr>
          <w:rFonts w:ascii="Times New Roman" w:eastAsia="宋体" w:hAnsi="Times New Roman" w:cs="Times New Roman"/>
          <w:color w:val="000000" w:themeColor="text1"/>
          <w:sz w:val="24"/>
        </w:rPr>
        <w:t>100m</w:t>
      </w:r>
      <w:r w:rsidR="000F6507" w:rsidRPr="00092862">
        <w:rPr>
          <w:rFonts w:ascii="Times New Roman" w:eastAsia="宋体" w:hAnsi="Times New Roman" w:cs="Times New Roman"/>
          <w:color w:val="000000" w:themeColor="text1"/>
          <w:sz w:val="24"/>
          <w:vertAlign w:val="superscript"/>
        </w:rPr>
        <w:t>3</w:t>
      </w:r>
      <w:r w:rsidR="000F6507" w:rsidRPr="00092862">
        <w:rPr>
          <w:rFonts w:ascii="Times New Roman" w:eastAsia="宋体" w:hAnsi="Times New Roman" w:cs="Times New Roman"/>
          <w:color w:val="000000" w:themeColor="text1"/>
          <w:sz w:val="24"/>
        </w:rPr>
        <w:t>/d</w:t>
      </w:r>
      <w:r w:rsidR="000F6507"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w:t>
      </w:r>
    </w:p>
    <w:p w14:paraId="03F497F8" w14:textId="1E8B47EE" w:rsidR="00B50CC0" w:rsidRPr="00092862" w:rsidRDefault="00B50CC0" w:rsidP="00035B4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本项目压裂返排液及洗井废水临时暂存于放喷池或者污水池，</w:t>
      </w:r>
      <w:r w:rsidR="00CC3871" w:rsidRPr="00092862">
        <w:rPr>
          <w:rFonts w:ascii="Times New Roman" w:eastAsia="宋体" w:hAnsi="Times New Roman" w:cs="Times New Roman"/>
          <w:color w:val="000000" w:themeColor="text1"/>
          <w:sz w:val="24"/>
        </w:rPr>
        <w:t>优先回用于钻井工段及周边平台钻井工段</w:t>
      </w:r>
      <w:r w:rsidRPr="00092862">
        <w:rPr>
          <w:rFonts w:ascii="Times New Roman" w:eastAsia="宋体" w:hAnsi="Times New Roman" w:cs="Times New Roman"/>
          <w:color w:val="000000" w:themeColor="text1"/>
          <w:sz w:val="24"/>
        </w:rPr>
        <w:t>，不能回用的用罐车拉运至</w:t>
      </w:r>
      <w:r w:rsidR="000F6507" w:rsidRPr="00092862">
        <w:rPr>
          <w:rFonts w:ascii="Times New Roman" w:eastAsia="宋体" w:hAnsi="Times New Roman" w:cs="Times New Roman"/>
          <w:color w:val="000000" w:themeColor="text1"/>
          <w:sz w:val="24"/>
        </w:rPr>
        <w:t>赵家坝污水处理站</w:t>
      </w:r>
      <w:r w:rsidRPr="00092862">
        <w:rPr>
          <w:rFonts w:ascii="Times New Roman" w:eastAsia="宋体" w:hAnsi="Times New Roman" w:cs="Times New Roman"/>
          <w:color w:val="000000" w:themeColor="text1"/>
          <w:sz w:val="24"/>
        </w:rPr>
        <w:t>处理达标后经</w:t>
      </w:r>
      <w:r w:rsidR="005D5A22" w:rsidRPr="00092862">
        <w:rPr>
          <w:rFonts w:ascii="Times New Roman" w:eastAsia="宋体" w:hAnsi="Times New Roman" w:cs="Times New Roman"/>
          <w:color w:val="000000" w:themeColor="text1"/>
          <w:sz w:val="24"/>
        </w:rPr>
        <w:t>普光</w:t>
      </w:r>
      <w:r w:rsidR="005D5A22" w:rsidRPr="00092862">
        <w:rPr>
          <w:rFonts w:ascii="Times New Roman" w:eastAsia="宋体" w:hAnsi="Times New Roman" w:cs="Times New Roman"/>
          <w:color w:val="000000" w:themeColor="text1"/>
          <w:sz w:val="24"/>
        </w:rPr>
        <w:t>11</w:t>
      </w:r>
      <w:r w:rsidR="005D5A22" w:rsidRPr="00092862">
        <w:rPr>
          <w:rFonts w:ascii="Times New Roman" w:eastAsia="宋体" w:hAnsi="Times New Roman" w:cs="Times New Roman"/>
          <w:color w:val="000000" w:themeColor="text1"/>
          <w:sz w:val="24"/>
        </w:rPr>
        <w:t>井回注站</w:t>
      </w:r>
      <w:r w:rsidRPr="00092862">
        <w:rPr>
          <w:rFonts w:ascii="Times New Roman" w:eastAsia="宋体" w:hAnsi="Times New Roman" w:cs="Times New Roman"/>
          <w:color w:val="000000" w:themeColor="text1"/>
          <w:sz w:val="24"/>
        </w:rPr>
        <w:t>回注。根据普光气田钻井工程类比调查，作业废水污染物浓度情况见表</w:t>
      </w:r>
      <w:r w:rsidR="00D26362" w:rsidRPr="00092862">
        <w:rPr>
          <w:rFonts w:ascii="Times New Roman" w:eastAsia="宋体" w:hAnsi="Times New Roman" w:cs="Times New Roman"/>
          <w:color w:val="000000" w:themeColor="text1"/>
          <w:sz w:val="24"/>
        </w:rPr>
        <w:t>3.4-4</w:t>
      </w:r>
      <w:r w:rsidRPr="00092862">
        <w:rPr>
          <w:rFonts w:ascii="Times New Roman" w:eastAsia="宋体" w:hAnsi="Times New Roman" w:cs="Times New Roman"/>
          <w:color w:val="000000" w:themeColor="text1"/>
          <w:sz w:val="24"/>
        </w:rPr>
        <w:t>。</w:t>
      </w:r>
    </w:p>
    <w:p w14:paraId="4F5734D0" w14:textId="7CA93809" w:rsidR="00956D21" w:rsidRPr="00092862" w:rsidRDefault="00956D21" w:rsidP="00D26362">
      <w:pPr>
        <w:pStyle w:val="ac"/>
        <w:tabs>
          <w:tab w:val="left" w:pos="863"/>
        </w:tabs>
        <w:spacing w:before="0"/>
        <w:ind w:left="0"/>
        <w:jc w:val="center"/>
        <w:rPr>
          <w:rFonts w:ascii="Times New Roman" w:eastAsia="黑体" w:hAnsi="Times New Roman"/>
          <w:color w:val="000000" w:themeColor="text1"/>
          <w:sz w:val="21"/>
          <w:szCs w:val="21"/>
          <w:lang w:eastAsia="zh-CN"/>
        </w:rPr>
      </w:pPr>
      <w:bookmarkStart w:id="131" w:name="_Ref472452376"/>
      <w:r w:rsidRPr="00092862">
        <w:rPr>
          <w:rFonts w:ascii="Times New Roman" w:eastAsia="黑体" w:hAnsi="Times New Roman"/>
          <w:color w:val="000000" w:themeColor="text1"/>
          <w:sz w:val="21"/>
          <w:szCs w:val="21"/>
          <w:lang w:eastAsia="zh-CN"/>
        </w:rPr>
        <w:t>表</w:t>
      </w:r>
      <w:bookmarkEnd w:id="131"/>
      <w:r w:rsidR="00D26362" w:rsidRPr="00092862">
        <w:rPr>
          <w:rFonts w:ascii="Times New Roman" w:eastAsia="黑体" w:hAnsi="Times New Roman"/>
          <w:color w:val="000000" w:themeColor="text1"/>
          <w:sz w:val="21"/>
          <w:szCs w:val="21"/>
          <w:lang w:eastAsia="zh-CN"/>
        </w:rPr>
        <w:t>3.4-4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压裂返排液及洗井废水污染物浓度表（单位：</w:t>
      </w:r>
      <w:r w:rsidRPr="00092862">
        <w:rPr>
          <w:rFonts w:ascii="Times New Roman" w:eastAsia="黑体" w:hAnsi="Times New Roman"/>
          <w:color w:val="000000" w:themeColor="text1"/>
          <w:sz w:val="21"/>
          <w:szCs w:val="21"/>
          <w:lang w:eastAsia="zh-CN"/>
        </w:rPr>
        <w:t>mg/L</w:t>
      </w:r>
      <w:r w:rsidRPr="00092862">
        <w:rPr>
          <w:rFonts w:ascii="Times New Roman" w:eastAsia="黑体" w:hAnsi="Times New Roman"/>
          <w:color w:val="000000" w:themeColor="text1"/>
          <w:sz w:val="21"/>
          <w:szCs w:val="21"/>
          <w:lang w:eastAsia="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610"/>
        <w:gridCol w:w="1081"/>
        <w:gridCol w:w="1081"/>
        <w:gridCol w:w="1081"/>
        <w:gridCol w:w="949"/>
        <w:gridCol w:w="1154"/>
      </w:tblGrid>
      <w:tr w:rsidR="00697429" w:rsidRPr="00092862" w14:paraId="12201E50" w14:textId="77777777" w:rsidTr="000D2044">
        <w:trPr>
          <w:trHeight w:val="270"/>
          <w:jc w:val="center"/>
        </w:trPr>
        <w:tc>
          <w:tcPr>
            <w:tcW w:w="1469" w:type="dxa"/>
            <w:vAlign w:val="center"/>
          </w:tcPr>
          <w:p w14:paraId="5F91FBD5"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污染物名称</w:t>
            </w:r>
          </w:p>
        </w:tc>
        <w:tc>
          <w:tcPr>
            <w:tcW w:w="1767" w:type="dxa"/>
            <w:vAlign w:val="center"/>
          </w:tcPr>
          <w:p w14:paraId="7E770646"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pH</w:t>
            </w:r>
          </w:p>
        </w:tc>
        <w:tc>
          <w:tcPr>
            <w:tcW w:w="1178" w:type="dxa"/>
            <w:vAlign w:val="center"/>
          </w:tcPr>
          <w:p w14:paraId="37389AD9"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COD</w:t>
            </w:r>
          </w:p>
        </w:tc>
        <w:tc>
          <w:tcPr>
            <w:tcW w:w="1178" w:type="dxa"/>
            <w:vAlign w:val="center"/>
          </w:tcPr>
          <w:p w14:paraId="11995492"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SS</w:t>
            </w:r>
          </w:p>
        </w:tc>
        <w:tc>
          <w:tcPr>
            <w:tcW w:w="1178" w:type="dxa"/>
            <w:vAlign w:val="center"/>
          </w:tcPr>
          <w:p w14:paraId="424E216E"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石油类</w:t>
            </w:r>
          </w:p>
        </w:tc>
        <w:tc>
          <w:tcPr>
            <w:tcW w:w="1031" w:type="dxa"/>
            <w:vAlign w:val="center"/>
          </w:tcPr>
          <w:p w14:paraId="4A65623C"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挥发酚</w:t>
            </w:r>
          </w:p>
        </w:tc>
        <w:tc>
          <w:tcPr>
            <w:tcW w:w="1259" w:type="dxa"/>
            <w:vAlign w:val="center"/>
          </w:tcPr>
          <w:p w14:paraId="2E767981" w14:textId="77777777" w:rsidR="00956D21" w:rsidRPr="00092862" w:rsidRDefault="00956D21" w:rsidP="00956D21">
            <w:pPr>
              <w:pStyle w:val="SSEC20150323"/>
              <w:rPr>
                <w:rFonts w:ascii="Times New Roman" w:hAnsi="Times New Roman"/>
                <w:b/>
                <w:bCs/>
                <w:color w:val="000000" w:themeColor="text1"/>
              </w:rPr>
            </w:pPr>
            <w:r w:rsidRPr="00092862">
              <w:rPr>
                <w:rFonts w:ascii="Times New Roman" w:hAnsi="Times New Roman"/>
                <w:b/>
                <w:bCs/>
                <w:color w:val="000000" w:themeColor="text1"/>
              </w:rPr>
              <w:t>氯离子</w:t>
            </w:r>
          </w:p>
        </w:tc>
      </w:tr>
      <w:tr w:rsidR="00697429" w:rsidRPr="00092862" w14:paraId="1CDB9176" w14:textId="77777777" w:rsidTr="000D2044">
        <w:trPr>
          <w:trHeight w:val="70"/>
          <w:jc w:val="center"/>
        </w:trPr>
        <w:tc>
          <w:tcPr>
            <w:tcW w:w="1469" w:type="dxa"/>
            <w:vAlign w:val="center"/>
          </w:tcPr>
          <w:p w14:paraId="75378B5F"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浓度</w:t>
            </w:r>
          </w:p>
        </w:tc>
        <w:tc>
          <w:tcPr>
            <w:tcW w:w="1767" w:type="dxa"/>
            <w:vAlign w:val="center"/>
          </w:tcPr>
          <w:p w14:paraId="6EEAB112"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4</w:t>
            </w:r>
            <w:r w:rsidRPr="00092862">
              <w:rPr>
                <w:rFonts w:ascii="Times New Roman" w:hAnsi="Times New Roman"/>
                <w:color w:val="000000" w:themeColor="text1"/>
              </w:rPr>
              <w:t>～</w:t>
            </w:r>
            <w:r w:rsidRPr="00092862">
              <w:rPr>
                <w:rFonts w:ascii="Times New Roman" w:hAnsi="Times New Roman"/>
                <w:color w:val="000000" w:themeColor="text1"/>
              </w:rPr>
              <w:t>6</w:t>
            </w:r>
          </w:p>
        </w:tc>
        <w:tc>
          <w:tcPr>
            <w:tcW w:w="1178" w:type="dxa"/>
            <w:vAlign w:val="center"/>
          </w:tcPr>
          <w:p w14:paraId="3C97FF98"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≤5000</w:t>
            </w:r>
          </w:p>
        </w:tc>
        <w:tc>
          <w:tcPr>
            <w:tcW w:w="1178" w:type="dxa"/>
            <w:vAlign w:val="center"/>
          </w:tcPr>
          <w:p w14:paraId="2E352E08"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≤7500</w:t>
            </w:r>
          </w:p>
        </w:tc>
        <w:tc>
          <w:tcPr>
            <w:tcW w:w="1178" w:type="dxa"/>
            <w:vAlign w:val="center"/>
          </w:tcPr>
          <w:p w14:paraId="4933AB25"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≤200</w:t>
            </w:r>
          </w:p>
        </w:tc>
        <w:tc>
          <w:tcPr>
            <w:tcW w:w="1031" w:type="dxa"/>
            <w:vAlign w:val="center"/>
          </w:tcPr>
          <w:p w14:paraId="5E3973CB"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≤7.0</w:t>
            </w:r>
          </w:p>
        </w:tc>
        <w:tc>
          <w:tcPr>
            <w:tcW w:w="1259" w:type="dxa"/>
            <w:vAlign w:val="center"/>
          </w:tcPr>
          <w:p w14:paraId="5D1C2C47" w14:textId="77777777" w:rsidR="00956D21" w:rsidRPr="00092862" w:rsidRDefault="00956D21" w:rsidP="00956D21">
            <w:pPr>
              <w:pStyle w:val="SSEC20150323"/>
              <w:rPr>
                <w:rFonts w:ascii="Times New Roman" w:hAnsi="Times New Roman"/>
                <w:color w:val="000000" w:themeColor="text1"/>
              </w:rPr>
            </w:pPr>
            <w:r w:rsidRPr="00092862">
              <w:rPr>
                <w:rFonts w:ascii="Times New Roman" w:hAnsi="Times New Roman"/>
                <w:color w:val="000000" w:themeColor="text1"/>
              </w:rPr>
              <w:t>≤4000</w:t>
            </w:r>
          </w:p>
        </w:tc>
      </w:tr>
    </w:tbl>
    <w:p w14:paraId="2C7703E3" w14:textId="77777777" w:rsidR="00F26BBE" w:rsidRPr="00092862" w:rsidRDefault="00F26BBE" w:rsidP="00F26BBE">
      <w:pPr>
        <w:spacing w:beforeLines="50" w:before="120"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4</w:t>
      </w:r>
      <w:r w:rsidRPr="00092862">
        <w:rPr>
          <w:rFonts w:ascii="Times New Roman" w:eastAsia="宋体" w:hAnsi="Times New Roman" w:cs="Times New Roman"/>
          <w:bCs/>
          <w:color w:val="000000" w:themeColor="text1"/>
          <w:sz w:val="24"/>
        </w:rPr>
        <w:t>）</w:t>
      </w:r>
      <w:r w:rsidR="00540655" w:rsidRPr="00092862">
        <w:rPr>
          <w:rFonts w:ascii="Times New Roman" w:eastAsia="宋体" w:hAnsi="Times New Roman" w:cs="Times New Roman"/>
          <w:bCs/>
          <w:color w:val="000000" w:themeColor="text1"/>
          <w:sz w:val="24"/>
        </w:rPr>
        <w:t>生活污水</w:t>
      </w:r>
    </w:p>
    <w:p w14:paraId="6CDCEAE3" w14:textId="38232DAB" w:rsidR="00F26BBE" w:rsidRPr="00092862" w:rsidRDefault="00F26BBE" w:rsidP="00F26BBE">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钻井期间，一个钻井队的员工一般为</w:t>
      </w:r>
      <w:r w:rsidRPr="00092862">
        <w:rPr>
          <w:rFonts w:ascii="Times New Roman" w:eastAsia="宋体" w:hAnsi="Times New Roman" w:cs="Times New Roman"/>
          <w:bCs/>
          <w:color w:val="000000" w:themeColor="text1"/>
          <w:sz w:val="24"/>
        </w:rPr>
        <w:t>45</w:t>
      </w:r>
      <w:r w:rsidRPr="00092862">
        <w:rPr>
          <w:rFonts w:ascii="Times New Roman" w:eastAsia="宋体" w:hAnsi="Times New Roman" w:cs="Times New Roman"/>
          <w:bCs/>
          <w:color w:val="000000" w:themeColor="text1"/>
          <w:sz w:val="24"/>
        </w:rPr>
        <w:t>人，每人每天用水量为</w:t>
      </w:r>
      <w:r w:rsidRPr="00092862">
        <w:rPr>
          <w:rFonts w:ascii="Times New Roman" w:eastAsia="宋体" w:hAnsi="Times New Roman" w:cs="Times New Roman"/>
          <w:bCs/>
          <w:color w:val="000000" w:themeColor="text1"/>
          <w:sz w:val="24"/>
        </w:rPr>
        <w:t>80L</w:t>
      </w:r>
      <w:r w:rsidRPr="00092862">
        <w:rPr>
          <w:rFonts w:ascii="Times New Roman" w:eastAsia="宋体" w:hAnsi="Times New Roman" w:cs="Times New Roman"/>
          <w:bCs/>
          <w:color w:val="000000" w:themeColor="text1"/>
          <w:sz w:val="24"/>
        </w:rPr>
        <w:t>，排污系数为</w:t>
      </w:r>
      <w:r w:rsidRPr="00092862">
        <w:rPr>
          <w:rFonts w:ascii="Times New Roman" w:eastAsia="宋体" w:hAnsi="Times New Roman" w:cs="Times New Roman"/>
          <w:bCs/>
          <w:color w:val="000000" w:themeColor="text1"/>
          <w:sz w:val="24"/>
        </w:rPr>
        <w:t>0.8</w:t>
      </w:r>
      <w:r w:rsidRPr="00092862">
        <w:rPr>
          <w:rFonts w:ascii="Times New Roman" w:eastAsia="宋体" w:hAnsi="Times New Roman" w:cs="Times New Roman"/>
          <w:bCs/>
          <w:color w:val="000000" w:themeColor="text1"/>
          <w:sz w:val="24"/>
        </w:rPr>
        <w:t>，则钻井期间井场的生活用水量为</w:t>
      </w:r>
      <w:r w:rsidRPr="00092862">
        <w:rPr>
          <w:rFonts w:ascii="Times New Roman" w:eastAsia="宋体" w:hAnsi="Times New Roman" w:cs="Times New Roman"/>
          <w:bCs/>
          <w:color w:val="000000" w:themeColor="text1"/>
          <w:sz w:val="24"/>
        </w:rPr>
        <w:t>3600L/d</w:t>
      </w:r>
      <w:r w:rsidRPr="00092862">
        <w:rPr>
          <w:rFonts w:ascii="Times New Roman" w:eastAsia="宋体" w:hAnsi="Times New Roman" w:cs="Times New Roman"/>
          <w:bCs/>
          <w:color w:val="000000" w:themeColor="text1"/>
          <w:sz w:val="24"/>
        </w:rPr>
        <w:t>，污水产生量为</w:t>
      </w:r>
      <w:r w:rsidRPr="00092862">
        <w:rPr>
          <w:rFonts w:ascii="Times New Roman" w:eastAsia="宋体" w:hAnsi="Times New Roman" w:cs="Times New Roman"/>
          <w:bCs/>
          <w:color w:val="000000" w:themeColor="text1"/>
          <w:sz w:val="24"/>
        </w:rPr>
        <w:t>2880L/d</w:t>
      </w:r>
      <w:r w:rsidRPr="00092862">
        <w:rPr>
          <w:rFonts w:ascii="Times New Roman" w:eastAsia="宋体" w:hAnsi="Times New Roman" w:cs="Times New Roman"/>
          <w:bCs/>
          <w:color w:val="000000" w:themeColor="text1"/>
          <w:sz w:val="24"/>
        </w:rPr>
        <w:t>。</w:t>
      </w:r>
      <w:r w:rsidR="00271DF7" w:rsidRPr="00092862">
        <w:rPr>
          <w:rFonts w:ascii="Times New Roman" w:eastAsia="宋体" w:hAnsi="Times New Roman" w:cs="Times New Roman"/>
          <w:bCs/>
          <w:color w:val="000000" w:themeColor="text1"/>
          <w:sz w:val="24"/>
        </w:rPr>
        <w:t>生活污水经生态厕所收集后定期由密闭罐车拉运至周边生活污水处理厂处理</w:t>
      </w:r>
      <w:r w:rsidRPr="00092862">
        <w:rPr>
          <w:rFonts w:ascii="Times New Roman" w:eastAsia="宋体" w:hAnsi="Times New Roman" w:cs="Times New Roman"/>
          <w:bCs/>
          <w:color w:val="000000" w:themeColor="text1"/>
          <w:sz w:val="24"/>
        </w:rPr>
        <w:t>，环境</w:t>
      </w:r>
      <w:r w:rsidR="006472D4" w:rsidRPr="00092862">
        <w:rPr>
          <w:rFonts w:ascii="Times New Roman" w:eastAsia="宋体" w:hAnsi="Times New Roman" w:cs="Times New Roman"/>
          <w:bCs/>
          <w:color w:val="000000" w:themeColor="text1"/>
          <w:sz w:val="24"/>
        </w:rPr>
        <w:t>影响较小</w:t>
      </w:r>
      <w:r w:rsidRPr="00092862">
        <w:rPr>
          <w:rFonts w:ascii="Times New Roman" w:eastAsia="宋体" w:hAnsi="Times New Roman" w:cs="Times New Roman"/>
          <w:bCs/>
          <w:color w:val="000000" w:themeColor="text1"/>
          <w:sz w:val="24"/>
        </w:rPr>
        <w:t>。本项目生活污水水质情况见下表</w:t>
      </w:r>
      <w:r w:rsidRPr="00092862">
        <w:rPr>
          <w:rFonts w:ascii="Times New Roman" w:eastAsia="宋体" w:hAnsi="Times New Roman" w:cs="Times New Roman"/>
          <w:bCs/>
          <w:color w:val="000000" w:themeColor="text1"/>
          <w:sz w:val="24"/>
        </w:rPr>
        <w:t>3.4-</w:t>
      </w:r>
      <w:r w:rsidR="00D26362" w:rsidRPr="00092862">
        <w:rPr>
          <w:rFonts w:ascii="Times New Roman" w:eastAsia="宋体" w:hAnsi="Times New Roman" w:cs="Times New Roman"/>
          <w:bCs/>
          <w:color w:val="000000" w:themeColor="text1"/>
          <w:sz w:val="24"/>
        </w:rPr>
        <w:t>5</w:t>
      </w:r>
      <w:r w:rsidRPr="00092862">
        <w:rPr>
          <w:rFonts w:ascii="Times New Roman" w:eastAsia="宋体" w:hAnsi="Times New Roman" w:cs="Times New Roman"/>
          <w:bCs/>
          <w:color w:val="000000" w:themeColor="text1"/>
          <w:sz w:val="24"/>
        </w:rPr>
        <w:t>。</w:t>
      </w:r>
    </w:p>
    <w:p w14:paraId="722BF4FB" w14:textId="648C9F7E" w:rsidR="00F26BBE" w:rsidRPr="00092862" w:rsidRDefault="00F26BBE"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D26362" w:rsidRPr="00092862">
        <w:rPr>
          <w:rFonts w:ascii="Times New Roman" w:eastAsia="黑体" w:hAnsi="Times New Roman"/>
          <w:color w:val="000000" w:themeColor="text1"/>
          <w:sz w:val="21"/>
          <w:szCs w:val="21"/>
          <w:lang w:eastAsia="zh-CN"/>
        </w:rPr>
        <w:t>3.4-5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项目生活污水水质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841"/>
        <w:gridCol w:w="1501"/>
        <w:gridCol w:w="1370"/>
        <w:gridCol w:w="1371"/>
        <w:gridCol w:w="1371"/>
      </w:tblGrid>
      <w:tr w:rsidR="00697429" w:rsidRPr="00092862" w14:paraId="172317A5" w14:textId="77777777" w:rsidTr="00F26BBE">
        <w:trPr>
          <w:jc w:val="center"/>
        </w:trPr>
        <w:tc>
          <w:tcPr>
            <w:tcW w:w="1894" w:type="dxa"/>
            <w:vAlign w:val="center"/>
          </w:tcPr>
          <w:p w14:paraId="1B623E64"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主要污染物名称</w:t>
            </w:r>
          </w:p>
        </w:tc>
        <w:tc>
          <w:tcPr>
            <w:tcW w:w="891" w:type="dxa"/>
            <w:vAlign w:val="center"/>
          </w:tcPr>
          <w:p w14:paraId="230049E3"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pH</w:t>
            </w:r>
          </w:p>
        </w:tc>
        <w:tc>
          <w:tcPr>
            <w:tcW w:w="1605" w:type="dxa"/>
            <w:vAlign w:val="center"/>
          </w:tcPr>
          <w:p w14:paraId="5D1F4ED9"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悬浮物</w:t>
            </w:r>
            <w:r w:rsidRPr="00092862">
              <w:rPr>
                <w:rFonts w:ascii="Times New Roman" w:hAnsi="Times New Roman" w:cs="Times New Roman"/>
                <w:color w:val="000000" w:themeColor="text1"/>
                <w:szCs w:val="21"/>
              </w:rPr>
              <w:t>(mg/L)</w:t>
            </w:r>
          </w:p>
        </w:tc>
        <w:tc>
          <w:tcPr>
            <w:tcW w:w="1463" w:type="dxa"/>
            <w:vAlign w:val="center"/>
          </w:tcPr>
          <w:p w14:paraId="1520BC51"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COD(mg/L)</w:t>
            </w:r>
          </w:p>
        </w:tc>
        <w:tc>
          <w:tcPr>
            <w:tcW w:w="1464" w:type="dxa"/>
            <w:vAlign w:val="center"/>
          </w:tcPr>
          <w:p w14:paraId="23E52EF8"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BOD</w:t>
            </w:r>
            <w:r w:rsidRPr="00092862">
              <w:rPr>
                <w:rFonts w:ascii="Times New Roman" w:hAnsi="Times New Roman" w:cs="Times New Roman"/>
                <w:color w:val="000000" w:themeColor="text1"/>
                <w:szCs w:val="21"/>
                <w:vertAlign w:val="subscript"/>
              </w:rPr>
              <w:t>5</w:t>
            </w:r>
            <w:r w:rsidRPr="00092862">
              <w:rPr>
                <w:rFonts w:ascii="Times New Roman" w:hAnsi="Times New Roman" w:cs="Times New Roman"/>
                <w:color w:val="000000" w:themeColor="text1"/>
                <w:szCs w:val="21"/>
              </w:rPr>
              <w:t>(mg/L)</w:t>
            </w:r>
          </w:p>
        </w:tc>
        <w:tc>
          <w:tcPr>
            <w:tcW w:w="1464" w:type="dxa"/>
            <w:vAlign w:val="center"/>
          </w:tcPr>
          <w:p w14:paraId="2A4794C5"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氨氮</w:t>
            </w:r>
            <w:r w:rsidRPr="00092862">
              <w:rPr>
                <w:rFonts w:ascii="Times New Roman" w:hAnsi="Times New Roman" w:cs="Times New Roman"/>
                <w:color w:val="000000" w:themeColor="text1"/>
                <w:szCs w:val="21"/>
              </w:rPr>
              <w:t>(mg/L)</w:t>
            </w:r>
          </w:p>
        </w:tc>
      </w:tr>
      <w:tr w:rsidR="00697429" w:rsidRPr="00092862" w14:paraId="6B24FFE1" w14:textId="77777777" w:rsidTr="00F26BBE">
        <w:trPr>
          <w:jc w:val="center"/>
        </w:trPr>
        <w:tc>
          <w:tcPr>
            <w:tcW w:w="1894" w:type="dxa"/>
            <w:vAlign w:val="center"/>
          </w:tcPr>
          <w:p w14:paraId="384ED2C2"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水质情况</w:t>
            </w:r>
          </w:p>
        </w:tc>
        <w:tc>
          <w:tcPr>
            <w:tcW w:w="891" w:type="dxa"/>
            <w:vAlign w:val="center"/>
          </w:tcPr>
          <w:p w14:paraId="42F830B2"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7.0-9.0</w:t>
            </w:r>
          </w:p>
        </w:tc>
        <w:tc>
          <w:tcPr>
            <w:tcW w:w="1605" w:type="dxa"/>
            <w:vAlign w:val="center"/>
          </w:tcPr>
          <w:p w14:paraId="4670FCCC"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250-300</w:t>
            </w:r>
          </w:p>
        </w:tc>
        <w:tc>
          <w:tcPr>
            <w:tcW w:w="1463" w:type="dxa"/>
            <w:vAlign w:val="center"/>
          </w:tcPr>
          <w:p w14:paraId="779EF9AB"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350-400</w:t>
            </w:r>
          </w:p>
        </w:tc>
        <w:tc>
          <w:tcPr>
            <w:tcW w:w="1464" w:type="dxa"/>
            <w:vAlign w:val="center"/>
          </w:tcPr>
          <w:p w14:paraId="28DD13FA"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200-250</w:t>
            </w:r>
          </w:p>
        </w:tc>
        <w:tc>
          <w:tcPr>
            <w:tcW w:w="1464" w:type="dxa"/>
            <w:vAlign w:val="center"/>
          </w:tcPr>
          <w:p w14:paraId="4454253A" w14:textId="77777777" w:rsidR="00F26BBE" w:rsidRPr="00092862" w:rsidRDefault="00F26BBE" w:rsidP="00F26BBE">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30-40</w:t>
            </w:r>
          </w:p>
        </w:tc>
      </w:tr>
    </w:tbl>
    <w:p w14:paraId="05794477" w14:textId="77777777" w:rsidR="00F26BBE" w:rsidRPr="00092862" w:rsidRDefault="00F26BBE" w:rsidP="00F26BBE">
      <w:pPr>
        <w:spacing w:beforeLines="50" w:before="120"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）初期雨水</w:t>
      </w:r>
    </w:p>
    <w:p w14:paraId="5F346FEB" w14:textId="0A7A23D3"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其中钻井期间污水池收集的初期雨水，与钻井废水一同由罐车拉运至</w:t>
      </w:r>
      <w:r w:rsidR="005D5A22" w:rsidRPr="00092862">
        <w:rPr>
          <w:rFonts w:ascii="Times New Roman" w:eastAsia="宋体" w:hAnsi="Times New Roman" w:cs="Times New Roman"/>
          <w:color w:val="000000" w:themeColor="text1"/>
          <w:sz w:val="24"/>
        </w:rPr>
        <w:t>赵家坝污水处理站达标后管输至普光</w:t>
      </w:r>
      <w:r w:rsidR="005D5A22" w:rsidRPr="00092862">
        <w:rPr>
          <w:rFonts w:ascii="Times New Roman" w:eastAsia="宋体" w:hAnsi="Times New Roman" w:cs="Times New Roman"/>
          <w:color w:val="000000" w:themeColor="text1"/>
          <w:sz w:val="24"/>
        </w:rPr>
        <w:t>11</w:t>
      </w:r>
      <w:r w:rsidR="005D5A22" w:rsidRPr="00092862">
        <w:rPr>
          <w:rFonts w:ascii="Times New Roman" w:eastAsia="宋体" w:hAnsi="Times New Roman" w:cs="Times New Roman"/>
          <w:color w:val="000000" w:themeColor="text1"/>
          <w:sz w:val="24"/>
        </w:rPr>
        <w:t>井回注站回注</w:t>
      </w:r>
      <w:r w:rsidRPr="00092862">
        <w:rPr>
          <w:rFonts w:ascii="Times New Roman" w:eastAsia="宋体" w:hAnsi="Times New Roman" w:cs="Times New Roman"/>
          <w:color w:val="000000" w:themeColor="text1"/>
          <w:sz w:val="24"/>
        </w:rPr>
        <w:t>，不外排。</w:t>
      </w:r>
    </w:p>
    <w:p w14:paraId="79B66CD3" w14:textId="13A64B0C"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井场内四周设排水边沟，井场雨水随四周排水边沟汇至排放口，排放口设</w:t>
      </w:r>
      <w:r w:rsidRPr="00092862">
        <w:rPr>
          <w:rFonts w:ascii="Times New Roman" w:eastAsia="宋体" w:hAnsi="Times New Roman" w:cs="Times New Roman"/>
          <w:color w:val="000000" w:themeColor="text1"/>
          <w:sz w:val="24"/>
        </w:rPr>
        <w:lastRenderedPageBreak/>
        <w:t>监控池，初期雨水收集进入污水池处理。污水池收集的初期雨水同钻井废水一同由罐车拉运至</w:t>
      </w:r>
      <w:r w:rsidR="005D5A22" w:rsidRPr="00092862">
        <w:rPr>
          <w:rFonts w:ascii="Times New Roman" w:eastAsia="宋体" w:hAnsi="Times New Roman" w:cs="Times New Roman"/>
          <w:color w:val="000000" w:themeColor="text1"/>
          <w:sz w:val="24"/>
        </w:rPr>
        <w:t>赵家坝污水处理站达标后管输至普光</w:t>
      </w:r>
      <w:r w:rsidR="005D5A22" w:rsidRPr="00092862">
        <w:rPr>
          <w:rFonts w:ascii="Times New Roman" w:eastAsia="宋体" w:hAnsi="Times New Roman" w:cs="Times New Roman"/>
          <w:color w:val="000000" w:themeColor="text1"/>
          <w:sz w:val="24"/>
        </w:rPr>
        <w:t>11</w:t>
      </w:r>
      <w:r w:rsidR="005D5A22" w:rsidRPr="00092862">
        <w:rPr>
          <w:rFonts w:ascii="Times New Roman" w:eastAsia="宋体" w:hAnsi="Times New Roman" w:cs="Times New Roman"/>
          <w:color w:val="000000" w:themeColor="text1"/>
          <w:sz w:val="24"/>
        </w:rPr>
        <w:t>井回注站回注</w:t>
      </w:r>
      <w:r w:rsidRPr="00092862">
        <w:rPr>
          <w:rFonts w:ascii="Times New Roman" w:eastAsia="宋体" w:hAnsi="Times New Roman" w:cs="Times New Roman"/>
          <w:color w:val="000000" w:themeColor="text1"/>
          <w:sz w:val="24"/>
        </w:rPr>
        <w:t>，不外排。</w:t>
      </w:r>
    </w:p>
    <w:p w14:paraId="69F0AAC5"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初期雨水量按照如下公示计算：</w:t>
      </w:r>
    </w:p>
    <w:p w14:paraId="50D447D8"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V=q×ψ×F×t×60÷1000</w:t>
      </w:r>
    </w:p>
    <w:p w14:paraId="7AD5021B"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式中：</w:t>
      </w:r>
      <w:r w:rsidRPr="00092862">
        <w:rPr>
          <w:rFonts w:ascii="Times New Roman" w:eastAsia="宋体" w:hAnsi="Times New Roman" w:cs="Times New Roman"/>
          <w:color w:val="000000" w:themeColor="text1"/>
          <w:sz w:val="24"/>
        </w:rPr>
        <w:t>V-</w:t>
      </w:r>
      <w:r w:rsidRPr="00092862">
        <w:rPr>
          <w:rFonts w:ascii="Times New Roman" w:eastAsia="宋体" w:hAnsi="Times New Roman" w:cs="Times New Roman"/>
          <w:color w:val="000000" w:themeColor="text1"/>
          <w:sz w:val="24"/>
        </w:rPr>
        <w:t>初期雨水最大量，</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w:t>
      </w:r>
    </w:p>
    <w:p w14:paraId="58BEC170"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 xml:space="preserve">      t-</w:t>
      </w:r>
      <w:r w:rsidRPr="00092862">
        <w:rPr>
          <w:rFonts w:ascii="Times New Roman" w:eastAsia="宋体" w:hAnsi="Times New Roman" w:cs="Times New Roman"/>
          <w:color w:val="000000" w:themeColor="text1"/>
          <w:sz w:val="24"/>
        </w:rPr>
        <w:t>降雨历时，</w:t>
      </w:r>
      <w:r w:rsidRPr="00092862">
        <w:rPr>
          <w:rFonts w:ascii="Times New Roman" w:eastAsia="宋体" w:hAnsi="Times New Roman" w:cs="Times New Roman"/>
          <w:color w:val="000000" w:themeColor="text1"/>
          <w:sz w:val="24"/>
        </w:rPr>
        <w:t>min</w:t>
      </w:r>
      <w:r w:rsidRPr="00092862">
        <w:rPr>
          <w:rFonts w:ascii="Times New Roman" w:eastAsia="宋体" w:hAnsi="Times New Roman" w:cs="Times New Roman"/>
          <w:color w:val="000000" w:themeColor="text1"/>
          <w:sz w:val="24"/>
        </w:rPr>
        <w:t>；</w:t>
      </w:r>
    </w:p>
    <w:p w14:paraId="290FDACD"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ψ-</w:t>
      </w:r>
      <w:r w:rsidRPr="00092862">
        <w:rPr>
          <w:rFonts w:ascii="Times New Roman" w:eastAsia="宋体" w:hAnsi="Times New Roman" w:cs="Times New Roman"/>
          <w:color w:val="000000" w:themeColor="text1"/>
          <w:sz w:val="24"/>
        </w:rPr>
        <w:t>径流系数，取</w:t>
      </w:r>
      <w:r w:rsidRPr="00092862">
        <w:rPr>
          <w:rFonts w:ascii="Times New Roman" w:eastAsia="宋体" w:hAnsi="Times New Roman" w:cs="Times New Roman"/>
          <w:color w:val="000000" w:themeColor="text1"/>
          <w:sz w:val="24"/>
        </w:rPr>
        <w:t>0.85</w:t>
      </w:r>
      <w:r w:rsidRPr="00092862">
        <w:rPr>
          <w:rFonts w:ascii="Times New Roman" w:eastAsia="宋体" w:hAnsi="Times New Roman" w:cs="Times New Roman"/>
          <w:color w:val="000000" w:themeColor="text1"/>
          <w:sz w:val="24"/>
        </w:rPr>
        <w:t>；</w:t>
      </w:r>
    </w:p>
    <w:p w14:paraId="6049C0A3" w14:textId="339FD5FA"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F-</w:t>
      </w:r>
      <w:r w:rsidRPr="00092862">
        <w:rPr>
          <w:rFonts w:ascii="Times New Roman" w:eastAsia="宋体" w:hAnsi="Times New Roman" w:cs="Times New Roman"/>
          <w:color w:val="000000" w:themeColor="text1"/>
          <w:sz w:val="24"/>
        </w:rPr>
        <w:t>汇水面积，</w:t>
      </w:r>
      <w:r w:rsidRPr="00092862">
        <w:rPr>
          <w:rFonts w:ascii="Times New Roman" w:eastAsia="宋体" w:hAnsi="Times New Roman" w:cs="Times New Roman"/>
          <w:color w:val="000000" w:themeColor="text1"/>
          <w:sz w:val="24"/>
        </w:rPr>
        <w:t>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，本次计算整个</w:t>
      </w:r>
      <w:r w:rsidR="000F6507" w:rsidRPr="00092862">
        <w:rPr>
          <w:rFonts w:ascii="Times New Roman" w:eastAsia="宋体" w:hAnsi="Times New Roman" w:cs="Times New Roman"/>
          <w:color w:val="000000" w:themeColor="text1"/>
          <w:sz w:val="24"/>
        </w:rPr>
        <w:t>施工</w:t>
      </w:r>
      <w:r w:rsidRPr="00092862">
        <w:rPr>
          <w:rFonts w:ascii="Times New Roman" w:eastAsia="宋体" w:hAnsi="Times New Roman" w:cs="Times New Roman"/>
          <w:color w:val="000000" w:themeColor="text1"/>
          <w:sz w:val="24"/>
        </w:rPr>
        <w:t>井场</w:t>
      </w:r>
      <w:r w:rsidR="00B31F4A" w:rsidRPr="00092862">
        <w:rPr>
          <w:rFonts w:ascii="Times New Roman" w:eastAsia="宋体" w:hAnsi="Times New Roman" w:cs="Times New Roman"/>
          <w:color w:val="000000" w:themeColor="text1"/>
          <w:sz w:val="24"/>
        </w:rPr>
        <w:t>内部占地面积</w:t>
      </w:r>
      <w:r w:rsidRPr="00092862">
        <w:rPr>
          <w:rFonts w:ascii="Times New Roman" w:eastAsia="宋体" w:hAnsi="Times New Roman" w:cs="Times New Roman"/>
          <w:color w:val="000000" w:themeColor="text1"/>
          <w:sz w:val="24"/>
        </w:rPr>
        <w:t>，</w:t>
      </w:r>
      <w:r w:rsidR="00B31F4A" w:rsidRPr="00092862">
        <w:rPr>
          <w:rFonts w:ascii="Times New Roman" w:eastAsia="宋体" w:hAnsi="Times New Roman" w:cs="Times New Roman"/>
          <w:color w:val="000000" w:themeColor="text1"/>
          <w:sz w:val="24"/>
        </w:rPr>
        <w:t>按</w:t>
      </w:r>
      <w:r w:rsidR="00424DC5" w:rsidRPr="00092862">
        <w:rPr>
          <w:rFonts w:ascii="Times New Roman" w:eastAsia="宋体" w:hAnsi="Times New Roman" w:cs="Times New Roman"/>
          <w:color w:val="000000" w:themeColor="text1"/>
          <w:sz w:val="24"/>
        </w:rPr>
        <w:t>10450</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vertAlign w:val="superscript"/>
        </w:rPr>
        <w:t>2</w:t>
      </w:r>
      <w:r w:rsidR="00B31F4A" w:rsidRPr="00092862">
        <w:rPr>
          <w:rFonts w:ascii="Times New Roman" w:eastAsia="宋体" w:hAnsi="Times New Roman" w:cs="Times New Roman"/>
          <w:color w:val="000000" w:themeColor="text1"/>
          <w:sz w:val="24"/>
        </w:rPr>
        <w:t>计</w:t>
      </w:r>
      <w:r w:rsidRPr="00092862">
        <w:rPr>
          <w:rFonts w:ascii="Times New Roman" w:eastAsia="宋体" w:hAnsi="Times New Roman" w:cs="Times New Roman"/>
          <w:color w:val="000000" w:themeColor="text1"/>
          <w:sz w:val="24"/>
        </w:rPr>
        <w:t>，即</w:t>
      </w:r>
      <w:r w:rsidR="00424DC5" w:rsidRPr="00092862">
        <w:rPr>
          <w:rFonts w:ascii="Times New Roman" w:eastAsia="宋体" w:hAnsi="Times New Roman" w:cs="Times New Roman"/>
          <w:color w:val="000000" w:themeColor="text1"/>
          <w:sz w:val="24"/>
        </w:rPr>
        <w:t>1.045</w:t>
      </w:r>
      <w:r w:rsidRPr="00092862">
        <w:rPr>
          <w:rFonts w:ascii="Times New Roman" w:eastAsia="宋体" w:hAnsi="Times New Roman" w:cs="Times New Roman"/>
          <w:color w:val="000000" w:themeColor="text1"/>
          <w:sz w:val="24"/>
        </w:rPr>
        <w:t>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w:t>
      </w:r>
    </w:p>
    <w:p w14:paraId="08702913"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q-</w:t>
      </w:r>
      <w:r w:rsidRPr="00092862">
        <w:rPr>
          <w:rFonts w:ascii="Times New Roman" w:eastAsia="宋体" w:hAnsi="Times New Roman" w:cs="Times New Roman"/>
          <w:color w:val="000000" w:themeColor="text1"/>
          <w:sz w:val="24"/>
        </w:rPr>
        <w:t>设计暴雨强度，</w:t>
      </w:r>
      <w:r w:rsidRPr="00092862">
        <w:rPr>
          <w:rFonts w:ascii="Times New Roman" w:eastAsia="宋体" w:hAnsi="Times New Roman" w:cs="Times New Roman"/>
          <w:color w:val="000000" w:themeColor="text1"/>
          <w:sz w:val="24"/>
        </w:rPr>
        <w:t>L/</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s·hm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w:t>
      </w:r>
    </w:p>
    <w:p w14:paraId="51E47B0B"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设计暴雨强度公式如下：</w:t>
      </w:r>
    </w:p>
    <w:p w14:paraId="4551373A" w14:textId="398CA7D0"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m:oMathPara>
        <m:oMath>
          <m:r>
            <w:rPr>
              <w:rFonts w:ascii="Cambria Math" w:eastAsia="宋体" w:hAnsi="Cambria Math" w:cs="Times New Roman"/>
              <w:color w:val="000000" w:themeColor="text1"/>
              <w:sz w:val="24"/>
            </w:rPr>
            <m:t>q=</m:t>
          </m:r>
          <m:f>
            <m:fPr>
              <m:ctrlPr>
                <w:rPr>
                  <w:rFonts w:ascii="Cambria Math" w:eastAsia="宋体" w:hAnsi="Cambria Math" w:cs="Times New Roman"/>
                  <w:i/>
                  <w:color w:val="000000" w:themeColor="text1"/>
                  <w:sz w:val="24"/>
                </w:rPr>
              </m:ctrlPr>
            </m:fPr>
            <m:num>
              <m:r>
                <w:rPr>
                  <w:rFonts w:ascii="Cambria Math" w:eastAsia="宋体" w:hAnsi="Cambria Math" w:cs="Times New Roman"/>
                  <w:color w:val="000000" w:themeColor="text1"/>
                  <w:sz w:val="24"/>
                </w:rPr>
                <m:t>928.799</m:t>
              </m:r>
              <m:r>
                <w:rPr>
                  <w:rFonts w:ascii="Cambria Math" w:eastAsia="宋体" w:hAnsi="Cambria Math" w:cs="Times New Roman"/>
                  <w:color w:val="000000" w:themeColor="text1"/>
                  <w:sz w:val="24"/>
                </w:rPr>
                <m:t>（</m:t>
              </m:r>
              <m:r>
                <w:rPr>
                  <w:rFonts w:ascii="Cambria Math" w:eastAsia="宋体" w:hAnsi="Cambria Math" w:cs="Times New Roman"/>
                  <w:color w:val="000000" w:themeColor="text1"/>
                  <w:sz w:val="24"/>
                </w:rPr>
                <m:t>1+0.818LgP)</m:t>
              </m:r>
            </m:num>
            <m:den>
              <m:r>
                <w:rPr>
                  <w:rFonts w:ascii="Cambria Math" w:eastAsia="宋体" w:hAnsi="Cambria Math" w:cs="Times New Roman"/>
                  <w:color w:val="000000" w:themeColor="text1"/>
                  <w:sz w:val="24"/>
                </w:rPr>
                <m:t>(t+5.788</m:t>
              </m:r>
              <m:sSup>
                <m:sSupPr>
                  <m:ctrlPr>
                    <w:rPr>
                      <w:rFonts w:ascii="Cambria Math" w:eastAsia="宋体" w:hAnsi="Cambria Math" w:cs="Times New Roman"/>
                      <w:i/>
                      <w:color w:val="000000" w:themeColor="text1"/>
                      <w:sz w:val="24"/>
                    </w:rPr>
                  </m:ctrlPr>
                </m:sSupPr>
                <m:e>
                  <m:r>
                    <w:rPr>
                      <w:rFonts w:ascii="Cambria Math" w:eastAsia="宋体" w:hAnsi="Cambria Math" w:cs="Times New Roman"/>
                      <w:color w:val="000000" w:themeColor="text1"/>
                      <w:sz w:val="24"/>
                    </w:rPr>
                    <m:t>)</m:t>
                  </m:r>
                </m:e>
                <m:sup>
                  <m:r>
                    <w:rPr>
                      <w:rFonts w:ascii="Cambria Math" w:eastAsia="宋体" w:hAnsi="Cambria Math" w:cs="Times New Roman"/>
                      <w:color w:val="000000" w:themeColor="text1"/>
                      <w:sz w:val="24"/>
                    </w:rPr>
                    <m:t>0.565</m:t>
                  </m:r>
                </m:sup>
              </m:sSup>
            </m:den>
          </m:f>
        </m:oMath>
      </m:oMathPara>
    </w:p>
    <w:p w14:paraId="57C08AEE"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式中：</w:t>
      </w:r>
    </w:p>
    <w:p w14:paraId="109EA4A8"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q-</w:t>
      </w:r>
      <w:r w:rsidRPr="00092862">
        <w:rPr>
          <w:rFonts w:ascii="Times New Roman" w:eastAsia="宋体" w:hAnsi="Times New Roman" w:cs="Times New Roman"/>
          <w:color w:val="000000" w:themeColor="text1"/>
          <w:sz w:val="24"/>
        </w:rPr>
        <w:t>设计暴雨强度，</w:t>
      </w:r>
      <w:r w:rsidRPr="00092862">
        <w:rPr>
          <w:rFonts w:ascii="Times New Roman" w:eastAsia="宋体" w:hAnsi="Times New Roman" w:cs="Times New Roman"/>
          <w:color w:val="000000" w:themeColor="text1"/>
          <w:sz w:val="24"/>
        </w:rPr>
        <w:t>L/</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s·hm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w:t>
      </w:r>
    </w:p>
    <w:p w14:paraId="311F6C7E"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 xml:space="preserve">      p-</w:t>
      </w:r>
      <w:r w:rsidRPr="00092862">
        <w:rPr>
          <w:rFonts w:ascii="Times New Roman" w:eastAsia="宋体" w:hAnsi="Times New Roman" w:cs="Times New Roman"/>
          <w:color w:val="000000" w:themeColor="text1"/>
          <w:sz w:val="24"/>
        </w:rPr>
        <w:t>设计暴雨重现期（年）：本次取值为</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年；</w:t>
      </w:r>
    </w:p>
    <w:p w14:paraId="1D91DEBD" w14:textId="7777777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 xml:space="preserve">      t-</w:t>
      </w:r>
      <w:r w:rsidRPr="00092862">
        <w:rPr>
          <w:rFonts w:ascii="Times New Roman" w:eastAsia="宋体" w:hAnsi="Times New Roman" w:cs="Times New Roman"/>
          <w:color w:val="000000" w:themeColor="text1"/>
          <w:sz w:val="24"/>
        </w:rPr>
        <w:t>降雨历时（</w:t>
      </w:r>
      <w:r w:rsidRPr="00092862">
        <w:rPr>
          <w:rFonts w:ascii="Times New Roman" w:eastAsia="宋体" w:hAnsi="Times New Roman" w:cs="Times New Roman"/>
          <w:color w:val="000000" w:themeColor="text1"/>
          <w:sz w:val="24"/>
        </w:rPr>
        <w:t>min</w:t>
      </w:r>
      <w:r w:rsidRPr="00092862">
        <w:rPr>
          <w:rFonts w:ascii="Times New Roman" w:eastAsia="宋体" w:hAnsi="Times New Roman" w:cs="Times New Roman"/>
          <w:color w:val="000000" w:themeColor="text1"/>
          <w:sz w:val="24"/>
        </w:rPr>
        <w:t>）：取</w:t>
      </w:r>
      <w:r w:rsidRPr="00092862">
        <w:rPr>
          <w:rFonts w:ascii="Times New Roman" w:eastAsia="宋体" w:hAnsi="Times New Roman" w:cs="Times New Roman"/>
          <w:color w:val="000000" w:themeColor="text1"/>
          <w:sz w:val="24"/>
        </w:rPr>
        <w:t>15min</w:t>
      </w:r>
      <w:r w:rsidRPr="00092862">
        <w:rPr>
          <w:rFonts w:ascii="Times New Roman" w:eastAsia="宋体" w:hAnsi="Times New Roman" w:cs="Times New Roman"/>
          <w:color w:val="000000" w:themeColor="text1"/>
          <w:sz w:val="24"/>
        </w:rPr>
        <w:t>。</w:t>
      </w:r>
    </w:p>
    <w:p w14:paraId="001ABEA6" w14:textId="60C62767" w:rsidR="00DB16CA"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经计算，本项目</w:t>
      </w:r>
      <w:r w:rsidRPr="00092862">
        <w:rPr>
          <w:rFonts w:ascii="Times New Roman" w:eastAsia="宋体" w:hAnsi="Times New Roman" w:cs="Times New Roman"/>
          <w:color w:val="000000" w:themeColor="text1"/>
          <w:sz w:val="24"/>
        </w:rPr>
        <w:t>15min</w:t>
      </w:r>
      <w:r w:rsidRPr="00092862">
        <w:rPr>
          <w:rFonts w:ascii="Times New Roman" w:eastAsia="宋体" w:hAnsi="Times New Roman" w:cs="Times New Roman"/>
          <w:color w:val="000000" w:themeColor="text1"/>
          <w:sz w:val="24"/>
        </w:rPr>
        <w:t>初期雨水产生量约为</w:t>
      </w:r>
      <w:r w:rsidR="00424DC5" w:rsidRPr="00092862">
        <w:rPr>
          <w:rFonts w:ascii="Times New Roman" w:eastAsia="宋体" w:hAnsi="Times New Roman" w:cs="Times New Roman"/>
          <w:color w:val="000000" w:themeColor="text1"/>
          <w:sz w:val="24"/>
        </w:rPr>
        <w:t>340.5m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次。</w:t>
      </w:r>
    </w:p>
    <w:p w14:paraId="5B07126C" w14:textId="4076EFAE" w:rsidR="00F26BBE" w:rsidRPr="00092862" w:rsidRDefault="00DB16CA" w:rsidP="00DB16C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井场实行雨污分流，井场外四周设排水边沟，井外雨水不得进入井场，井场内四周设内排水边，井场雨水随内排水沟汇至排放口，排放口设监控池，初期雨水收集后同钻井废水一同拉运至</w:t>
      </w:r>
      <w:r w:rsidR="005D5A22" w:rsidRPr="00092862">
        <w:rPr>
          <w:rFonts w:ascii="Times New Roman" w:eastAsia="宋体" w:hAnsi="Times New Roman" w:cs="Times New Roman"/>
          <w:color w:val="000000" w:themeColor="text1"/>
          <w:sz w:val="24"/>
        </w:rPr>
        <w:t>赵家坝污水处理站达标后管输至普光</w:t>
      </w:r>
      <w:r w:rsidR="005D5A22" w:rsidRPr="00092862">
        <w:rPr>
          <w:rFonts w:ascii="Times New Roman" w:eastAsia="宋体" w:hAnsi="Times New Roman" w:cs="Times New Roman"/>
          <w:color w:val="000000" w:themeColor="text1"/>
          <w:sz w:val="24"/>
        </w:rPr>
        <w:t>11</w:t>
      </w:r>
      <w:r w:rsidR="005D5A22" w:rsidRPr="00092862">
        <w:rPr>
          <w:rFonts w:ascii="Times New Roman" w:eastAsia="宋体" w:hAnsi="Times New Roman" w:cs="Times New Roman"/>
          <w:color w:val="000000" w:themeColor="text1"/>
          <w:sz w:val="24"/>
        </w:rPr>
        <w:t>井回注站回注</w:t>
      </w:r>
      <w:r w:rsidRPr="00092862">
        <w:rPr>
          <w:rFonts w:ascii="Times New Roman" w:eastAsia="宋体" w:hAnsi="Times New Roman" w:cs="Times New Roman"/>
          <w:color w:val="000000" w:themeColor="text1"/>
          <w:sz w:val="24"/>
        </w:rPr>
        <w:t>，不外排，后期雨水水质清洁后可直接外排。</w:t>
      </w:r>
    </w:p>
    <w:p w14:paraId="67C38312" w14:textId="77777777" w:rsidR="008000C3" w:rsidRPr="00092862" w:rsidRDefault="008000C3" w:rsidP="00880CFC">
      <w:pPr>
        <w:adjustRightInd w:val="0"/>
        <w:snapToGrid w:val="0"/>
        <w:spacing w:beforeLines="50" w:before="120"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）噪声</w:t>
      </w:r>
    </w:p>
    <w:p w14:paraId="528849BE" w14:textId="732164F2" w:rsidR="008000C3" w:rsidRPr="00092862" w:rsidRDefault="008000C3" w:rsidP="00880CFC">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本项目井场噪声分布区域主要分为动力及钻台区、泥浆泵区和泥浆不落地区、压裂作业区等，其主要噪声设备有：</w:t>
      </w:r>
    </w:p>
    <w:p w14:paraId="5181CFB2" w14:textId="77777777" w:rsidR="008000C3" w:rsidRPr="00092862" w:rsidRDefault="008000C3" w:rsidP="00880CFC">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机械噪声组：包括柴油机组、发电机组、钻机、泥浆泵以及其他种机械转动所产生的噪声；</w:t>
      </w:r>
    </w:p>
    <w:p w14:paraId="7C09B90D" w14:textId="77777777" w:rsidR="008000C3" w:rsidRPr="00092862" w:rsidRDefault="008000C3" w:rsidP="008000C3">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作业噪声：包括固井作业、下套管、起下钻具、钻机气路控制系统操作时快速放气阀放气、跳钻时吊环与水龙头的撞击等所产生的噪声；</w:t>
      </w:r>
    </w:p>
    <w:p w14:paraId="1C0D1C50" w14:textId="77777777" w:rsidR="008000C3" w:rsidRPr="00092862" w:rsidRDefault="008000C3" w:rsidP="008000C3">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事故放喷噪声：事故放喷时产生的高压气流噪声。</w:t>
      </w:r>
    </w:p>
    <w:p w14:paraId="3E03F4D1" w14:textId="1B5E703E" w:rsidR="008000C3" w:rsidRPr="00092862" w:rsidRDefault="008000C3" w:rsidP="008000C3">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本项目优先使用网电，备用柴油发电机仅在供电不正常时使用，使用时间短，为偶尔间断使用，但其噪声源强大。因此对声环境影响大的主要为钻井过程中使用备用的柴油动力机、柴油发电机间断运行噪声，以及</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小时钻井时钻机等设备的运行产生较大的连续性噪声，</w:t>
      </w:r>
      <w:r w:rsidR="00125FF7" w:rsidRPr="00092862">
        <w:rPr>
          <w:rFonts w:ascii="Times New Roman" w:eastAsia="宋体" w:hAnsi="Times New Roman" w:cs="Times New Roman"/>
          <w:color w:val="000000" w:themeColor="text1"/>
          <w:sz w:val="24"/>
        </w:rPr>
        <w:t>本项目钻井采用</w:t>
      </w:r>
      <w:r w:rsidR="00507764" w:rsidRPr="00092862">
        <w:rPr>
          <w:rFonts w:ascii="Times New Roman" w:eastAsia="宋体" w:hAnsi="Times New Roman" w:cs="Times New Roman"/>
          <w:color w:val="000000" w:themeColor="text1"/>
          <w:sz w:val="24"/>
        </w:rPr>
        <w:t>ZJ70</w:t>
      </w:r>
      <w:r w:rsidR="00125FF7" w:rsidRPr="00092862">
        <w:rPr>
          <w:rFonts w:ascii="Times New Roman" w:eastAsia="宋体" w:hAnsi="Times New Roman" w:cs="Times New Roman"/>
          <w:color w:val="000000" w:themeColor="text1"/>
          <w:sz w:val="24"/>
        </w:rPr>
        <w:t>型钻机，根据类比调查，</w:t>
      </w:r>
      <w:r w:rsidRPr="00092862">
        <w:rPr>
          <w:rFonts w:ascii="Times New Roman" w:eastAsia="宋体" w:hAnsi="Times New Roman" w:cs="Times New Roman"/>
          <w:color w:val="000000" w:themeColor="text1"/>
          <w:sz w:val="24"/>
        </w:rPr>
        <w:t>钻井工程主要噪声源设备噪声值见表</w:t>
      </w:r>
      <w:r w:rsidRPr="00092862">
        <w:rPr>
          <w:rFonts w:ascii="Times New Roman" w:eastAsia="宋体" w:hAnsi="Times New Roman" w:cs="Times New Roman"/>
          <w:color w:val="000000" w:themeColor="text1"/>
          <w:sz w:val="24"/>
        </w:rPr>
        <w:t>3.4-</w:t>
      </w:r>
      <w:r w:rsidR="00D26362"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w:t>
      </w:r>
    </w:p>
    <w:p w14:paraId="38D3C1E7" w14:textId="475EAFF4" w:rsidR="008000C3" w:rsidRPr="00092862" w:rsidRDefault="008000C3"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3.4-</w:t>
      </w:r>
      <w:r w:rsidR="00D26362" w:rsidRPr="00092862">
        <w:rPr>
          <w:rFonts w:ascii="Times New Roman" w:eastAsia="黑体" w:hAnsi="Times New Roman"/>
          <w:color w:val="000000" w:themeColor="text1"/>
          <w:sz w:val="21"/>
          <w:szCs w:val="21"/>
          <w:lang w:eastAsia="zh-CN"/>
        </w:rPr>
        <w:t>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项目钻井工程主要噪声源设备噪声值表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4"/>
        <w:gridCol w:w="1028"/>
        <w:gridCol w:w="993"/>
        <w:gridCol w:w="992"/>
        <w:gridCol w:w="1134"/>
        <w:gridCol w:w="845"/>
        <w:gridCol w:w="856"/>
        <w:gridCol w:w="993"/>
        <w:gridCol w:w="997"/>
      </w:tblGrid>
      <w:tr w:rsidR="00697429" w:rsidRPr="00092862" w14:paraId="0FC0A90C" w14:textId="77777777" w:rsidTr="00061D76">
        <w:trPr>
          <w:jc w:val="center"/>
        </w:trPr>
        <w:tc>
          <w:tcPr>
            <w:tcW w:w="384" w:type="dxa"/>
            <w:vAlign w:val="center"/>
          </w:tcPr>
          <w:p w14:paraId="2EC29BCD"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阶段</w:t>
            </w:r>
          </w:p>
        </w:tc>
        <w:tc>
          <w:tcPr>
            <w:tcW w:w="1028" w:type="dxa"/>
            <w:vAlign w:val="center"/>
          </w:tcPr>
          <w:p w14:paraId="7ADFDBFD"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噪声设备</w:t>
            </w:r>
          </w:p>
        </w:tc>
        <w:tc>
          <w:tcPr>
            <w:tcW w:w="993" w:type="dxa"/>
            <w:vAlign w:val="center"/>
          </w:tcPr>
          <w:p w14:paraId="790774E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数量</w:t>
            </w:r>
          </w:p>
        </w:tc>
        <w:tc>
          <w:tcPr>
            <w:tcW w:w="992" w:type="dxa"/>
            <w:vAlign w:val="center"/>
          </w:tcPr>
          <w:p w14:paraId="2E1D268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单台源强</w:t>
            </w:r>
            <w:r w:rsidRPr="00092862">
              <w:rPr>
                <w:rFonts w:ascii="Times New Roman" w:eastAsia="宋体" w:hAnsi="Times New Roman" w:cs="Times New Roman"/>
                <w:color w:val="000000" w:themeColor="text1"/>
                <w:szCs w:val="21"/>
              </w:rPr>
              <w:t>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1m</w:t>
            </w:r>
            <w:r w:rsidRPr="00092862">
              <w:rPr>
                <w:rFonts w:ascii="Times New Roman" w:eastAsia="宋体" w:hAnsi="Times New Roman" w:cs="Times New Roman"/>
                <w:color w:val="000000" w:themeColor="text1"/>
                <w:szCs w:val="21"/>
              </w:rPr>
              <w:t>处）</w:t>
            </w:r>
          </w:p>
        </w:tc>
        <w:tc>
          <w:tcPr>
            <w:tcW w:w="1134" w:type="dxa"/>
            <w:vAlign w:val="center"/>
          </w:tcPr>
          <w:p w14:paraId="2F5BC3B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采取的降噪措施</w:t>
            </w:r>
          </w:p>
        </w:tc>
        <w:tc>
          <w:tcPr>
            <w:tcW w:w="845" w:type="dxa"/>
            <w:vAlign w:val="center"/>
          </w:tcPr>
          <w:p w14:paraId="6E6FFF92"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降噪后源强</w:t>
            </w:r>
          </w:p>
        </w:tc>
        <w:tc>
          <w:tcPr>
            <w:tcW w:w="856" w:type="dxa"/>
            <w:vAlign w:val="center"/>
          </w:tcPr>
          <w:p w14:paraId="59AC77CD"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噪声特征</w:t>
            </w:r>
          </w:p>
        </w:tc>
        <w:tc>
          <w:tcPr>
            <w:tcW w:w="993" w:type="dxa"/>
            <w:vAlign w:val="center"/>
          </w:tcPr>
          <w:p w14:paraId="487CE5BD"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排放时间</w:t>
            </w:r>
          </w:p>
        </w:tc>
        <w:tc>
          <w:tcPr>
            <w:tcW w:w="997" w:type="dxa"/>
            <w:vAlign w:val="center"/>
          </w:tcPr>
          <w:p w14:paraId="7A865D92"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声源种类</w:t>
            </w:r>
          </w:p>
        </w:tc>
      </w:tr>
      <w:tr w:rsidR="00697429" w:rsidRPr="00092862" w14:paraId="61DD4E4E" w14:textId="77777777" w:rsidTr="00061D76">
        <w:trPr>
          <w:jc w:val="center"/>
        </w:trPr>
        <w:tc>
          <w:tcPr>
            <w:tcW w:w="384" w:type="dxa"/>
            <w:vMerge w:val="restart"/>
            <w:vAlign w:val="center"/>
          </w:tcPr>
          <w:p w14:paraId="6D21E056"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网电工况</w:t>
            </w:r>
          </w:p>
        </w:tc>
        <w:tc>
          <w:tcPr>
            <w:tcW w:w="1028" w:type="dxa"/>
            <w:vAlign w:val="center"/>
          </w:tcPr>
          <w:p w14:paraId="47A83F2C"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钻井设备</w:t>
            </w:r>
          </w:p>
        </w:tc>
        <w:tc>
          <w:tcPr>
            <w:tcW w:w="993" w:type="dxa"/>
            <w:vAlign w:val="center"/>
          </w:tcPr>
          <w:p w14:paraId="1C8C659C"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套</w:t>
            </w:r>
          </w:p>
        </w:tc>
        <w:tc>
          <w:tcPr>
            <w:tcW w:w="992" w:type="dxa"/>
            <w:vAlign w:val="center"/>
          </w:tcPr>
          <w:p w14:paraId="5122D75B"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103</w:t>
            </w:r>
          </w:p>
        </w:tc>
        <w:tc>
          <w:tcPr>
            <w:tcW w:w="1134" w:type="dxa"/>
            <w:vMerge w:val="restart"/>
            <w:vAlign w:val="center"/>
          </w:tcPr>
          <w:p w14:paraId="40AC950D"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置于钻井井场内，基础安装减振垫层</w:t>
            </w:r>
          </w:p>
        </w:tc>
        <w:tc>
          <w:tcPr>
            <w:tcW w:w="845" w:type="dxa"/>
            <w:vAlign w:val="center"/>
          </w:tcPr>
          <w:p w14:paraId="37DEE92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93</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98</w:t>
            </w:r>
          </w:p>
        </w:tc>
        <w:tc>
          <w:tcPr>
            <w:tcW w:w="856" w:type="dxa"/>
            <w:vAlign w:val="center"/>
          </w:tcPr>
          <w:p w14:paraId="7DA2E69C"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6D75FB63"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昼夜连续</w:t>
            </w:r>
          </w:p>
        </w:tc>
        <w:tc>
          <w:tcPr>
            <w:tcW w:w="997" w:type="dxa"/>
            <w:vAlign w:val="center"/>
          </w:tcPr>
          <w:p w14:paraId="6239E399"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0CA19CBF" w14:textId="77777777" w:rsidTr="00061D76">
        <w:trPr>
          <w:jc w:val="center"/>
        </w:trPr>
        <w:tc>
          <w:tcPr>
            <w:tcW w:w="384" w:type="dxa"/>
            <w:vMerge/>
            <w:vAlign w:val="center"/>
          </w:tcPr>
          <w:p w14:paraId="0211EB7E"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1028" w:type="dxa"/>
            <w:vAlign w:val="center"/>
          </w:tcPr>
          <w:p w14:paraId="0483FC7F"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泥浆泵</w:t>
            </w:r>
          </w:p>
        </w:tc>
        <w:tc>
          <w:tcPr>
            <w:tcW w:w="993" w:type="dxa"/>
            <w:vAlign w:val="center"/>
          </w:tcPr>
          <w:p w14:paraId="567A3EB3"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泥浆泵</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台</w:t>
            </w:r>
          </w:p>
        </w:tc>
        <w:tc>
          <w:tcPr>
            <w:tcW w:w="992" w:type="dxa"/>
            <w:vAlign w:val="center"/>
          </w:tcPr>
          <w:p w14:paraId="2AC42A18"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90</w:t>
            </w:r>
          </w:p>
        </w:tc>
        <w:tc>
          <w:tcPr>
            <w:tcW w:w="1134" w:type="dxa"/>
            <w:vMerge/>
            <w:vAlign w:val="center"/>
          </w:tcPr>
          <w:p w14:paraId="428F9371"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845" w:type="dxa"/>
            <w:vAlign w:val="center"/>
          </w:tcPr>
          <w:p w14:paraId="19181CC9"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85</w:t>
            </w:r>
          </w:p>
        </w:tc>
        <w:tc>
          <w:tcPr>
            <w:tcW w:w="856" w:type="dxa"/>
            <w:vAlign w:val="center"/>
          </w:tcPr>
          <w:p w14:paraId="4D15107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3C2600C5"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昼夜连续</w:t>
            </w:r>
          </w:p>
        </w:tc>
        <w:tc>
          <w:tcPr>
            <w:tcW w:w="997" w:type="dxa"/>
            <w:vAlign w:val="center"/>
          </w:tcPr>
          <w:p w14:paraId="18F8675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2CD36AE8" w14:textId="77777777" w:rsidTr="00061D76">
        <w:trPr>
          <w:jc w:val="center"/>
        </w:trPr>
        <w:tc>
          <w:tcPr>
            <w:tcW w:w="384" w:type="dxa"/>
            <w:vMerge/>
            <w:vAlign w:val="center"/>
          </w:tcPr>
          <w:p w14:paraId="2F0715F1"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1028" w:type="dxa"/>
            <w:vAlign w:val="center"/>
          </w:tcPr>
          <w:p w14:paraId="3DE18E20"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振动筛</w:t>
            </w:r>
          </w:p>
        </w:tc>
        <w:tc>
          <w:tcPr>
            <w:tcW w:w="993" w:type="dxa"/>
            <w:vAlign w:val="center"/>
          </w:tcPr>
          <w:p w14:paraId="111637B9"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台</w:t>
            </w:r>
          </w:p>
        </w:tc>
        <w:tc>
          <w:tcPr>
            <w:tcW w:w="992" w:type="dxa"/>
            <w:vAlign w:val="center"/>
          </w:tcPr>
          <w:p w14:paraId="1C645C5F"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85</w:t>
            </w:r>
          </w:p>
        </w:tc>
        <w:tc>
          <w:tcPr>
            <w:tcW w:w="1134" w:type="dxa"/>
            <w:vMerge/>
            <w:vAlign w:val="center"/>
          </w:tcPr>
          <w:p w14:paraId="513869C6"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845" w:type="dxa"/>
            <w:vAlign w:val="center"/>
          </w:tcPr>
          <w:p w14:paraId="7C3EB2C8"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85</w:t>
            </w:r>
          </w:p>
        </w:tc>
        <w:tc>
          <w:tcPr>
            <w:tcW w:w="856" w:type="dxa"/>
            <w:vAlign w:val="center"/>
          </w:tcPr>
          <w:p w14:paraId="0C5DAB6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008554EE"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昼夜连续</w:t>
            </w:r>
          </w:p>
        </w:tc>
        <w:tc>
          <w:tcPr>
            <w:tcW w:w="997" w:type="dxa"/>
            <w:vAlign w:val="center"/>
          </w:tcPr>
          <w:p w14:paraId="1617DF0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3186191A" w14:textId="77777777" w:rsidTr="00061D76">
        <w:trPr>
          <w:jc w:val="center"/>
        </w:trPr>
        <w:tc>
          <w:tcPr>
            <w:tcW w:w="384" w:type="dxa"/>
            <w:vMerge/>
            <w:vAlign w:val="center"/>
          </w:tcPr>
          <w:p w14:paraId="45B90C1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1028" w:type="dxa"/>
            <w:vAlign w:val="center"/>
          </w:tcPr>
          <w:p w14:paraId="6711298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泥浆不落地装置</w:t>
            </w:r>
          </w:p>
        </w:tc>
        <w:tc>
          <w:tcPr>
            <w:tcW w:w="993" w:type="dxa"/>
            <w:vAlign w:val="center"/>
          </w:tcPr>
          <w:p w14:paraId="18730280"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套</w:t>
            </w:r>
          </w:p>
        </w:tc>
        <w:tc>
          <w:tcPr>
            <w:tcW w:w="992" w:type="dxa"/>
            <w:vAlign w:val="center"/>
          </w:tcPr>
          <w:p w14:paraId="0F33B5E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85~90</w:t>
            </w:r>
          </w:p>
        </w:tc>
        <w:tc>
          <w:tcPr>
            <w:tcW w:w="1134" w:type="dxa"/>
            <w:vMerge/>
            <w:vAlign w:val="center"/>
          </w:tcPr>
          <w:p w14:paraId="4DD62ABF"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845" w:type="dxa"/>
            <w:vAlign w:val="center"/>
          </w:tcPr>
          <w:p w14:paraId="2C32B455"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85</w:t>
            </w:r>
          </w:p>
        </w:tc>
        <w:tc>
          <w:tcPr>
            <w:tcW w:w="856" w:type="dxa"/>
            <w:vAlign w:val="center"/>
          </w:tcPr>
          <w:p w14:paraId="303CFDA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2EDB5179"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昼夜间断</w:t>
            </w:r>
          </w:p>
        </w:tc>
        <w:tc>
          <w:tcPr>
            <w:tcW w:w="997" w:type="dxa"/>
            <w:vAlign w:val="center"/>
          </w:tcPr>
          <w:p w14:paraId="2ED1611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0B277CF2" w14:textId="77777777" w:rsidTr="00061D76">
        <w:trPr>
          <w:jc w:val="center"/>
        </w:trPr>
        <w:tc>
          <w:tcPr>
            <w:tcW w:w="384" w:type="dxa"/>
            <w:vMerge/>
            <w:vAlign w:val="center"/>
          </w:tcPr>
          <w:p w14:paraId="007DD650"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1028" w:type="dxa"/>
            <w:vAlign w:val="center"/>
          </w:tcPr>
          <w:p w14:paraId="769362B2"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压裂设备</w:t>
            </w:r>
          </w:p>
        </w:tc>
        <w:tc>
          <w:tcPr>
            <w:tcW w:w="993" w:type="dxa"/>
            <w:vAlign w:val="center"/>
          </w:tcPr>
          <w:p w14:paraId="0F3E4A3E"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w:t>
            </w:r>
            <w:r w:rsidRPr="00092862">
              <w:rPr>
                <w:rFonts w:ascii="Times New Roman" w:eastAsia="宋体" w:hAnsi="Times New Roman" w:cs="Times New Roman"/>
                <w:color w:val="000000" w:themeColor="text1"/>
                <w:szCs w:val="21"/>
              </w:rPr>
              <w:t>台</w:t>
            </w:r>
            <w:r w:rsidR="00061D76" w:rsidRPr="00092862">
              <w:rPr>
                <w:rFonts w:ascii="Times New Roman" w:eastAsia="宋体" w:hAnsi="Times New Roman" w:cs="Times New Roman"/>
                <w:color w:val="000000" w:themeColor="text1"/>
                <w:szCs w:val="21"/>
              </w:rPr>
              <w:t>（最多</w:t>
            </w:r>
            <w:r w:rsidR="00061D76" w:rsidRPr="00092862">
              <w:rPr>
                <w:rFonts w:ascii="Times New Roman" w:eastAsia="宋体" w:hAnsi="Times New Roman" w:cs="Times New Roman"/>
                <w:color w:val="000000" w:themeColor="text1"/>
                <w:szCs w:val="21"/>
              </w:rPr>
              <w:t>5</w:t>
            </w:r>
            <w:r w:rsidR="00061D76" w:rsidRPr="00092862">
              <w:rPr>
                <w:rFonts w:ascii="Times New Roman" w:eastAsia="宋体" w:hAnsi="Times New Roman" w:cs="Times New Roman"/>
                <w:color w:val="000000" w:themeColor="text1"/>
                <w:szCs w:val="21"/>
              </w:rPr>
              <w:t>台同时作业）</w:t>
            </w:r>
          </w:p>
        </w:tc>
        <w:tc>
          <w:tcPr>
            <w:tcW w:w="992" w:type="dxa"/>
            <w:vAlign w:val="center"/>
          </w:tcPr>
          <w:p w14:paraId="63B2EA0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w:t>
            </w:r>
          </w:p>
        </w:tc>
        <w:tc>
          <w:tcPr>
            <w:tcW w:w="1134" w:type="dxa"/>
            <w:vMerge/>
            <w:vAlign w:val="center"/>
          </w:tcPr>
          <w:p w14:paraId="61C9605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845" w:type="dxa"/>
            <w:vAlign w:val="center"/>
          </w:tcPr>
          <w:p w14:paraId="0581DA3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w:t>
            </w:r>
          </w:p>
        </w:tc>
        <w:tc>
          <w:tcPr>
            <w:tcW w:w="856" w:type="dxa"/>
            <w:vAlign w:val="center"/>
          </w:tcPr>
          <w:p w14:paraId="619D96C5"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75ADEA2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昼夜间断</w:t>
            </w:r>
          </w:p>
        </w:tc>
        <w:tc>
          <w:tcPr>
            <w:tcW w:w="997" w:type="dxa"/>
            <w:vAlign w:val="center"/>
          </w:tcPr>
          <w:p w14:paraId="2BFC5A78"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10A1CA6B" w14:textId="77777777" w:rsidTr="00061D76">
        <w:trPr>
          <w:jc w:val="center"/>
        </w:trPr>
        <w:tc>
          <w:tcPr>
            <w:tcW w:w="384" w:type="dxa"/>
            <w:vMerge w:val="restart"/>
            <w:vAlign w:val="center"/>
          </w:tcPr>
          <w:p w14:paraId="04F1111B" w14:textId="77777777" w:rsidR="008000C3" w:rsidRPr="00092862" w:rsidRDefault="00061D76"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柴油机</w:t>
            </w:r>
            <w:r w:rsidR="008000C3" w:rsidRPr="00092862">
              <w:rPr>
                <w:rFonts w:ascii="Times New Roman" w:eastAsia="宋体" w:hAnsi="Times New Roman" w:cs="Times New Roman"/>
                <w:color w:val="000000" w:themeColor="text1"/>
                <w:szCs w:val="21"/>
              </w:rPr>
              <w:t>工况</w:t>
            </w:r>
          </w:p>
        </w:tc>
        <w:tc>
          <w:tcPr>
            <w:tcW w:w="1028" w:type="dxa"/>
            <w:vAlign w:val="center"/>
          </w:tcPr>
          <w:p w14:paraId="2F29ED56"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放喷高压气流</w:t>
            </w:r>
          </w:p>
        </w:tc>
        <w:tc>
          <w:tcPr>
            <w:tcW w:w="993" w:type="dxa"/>
            <w:vAlign w:val="center"/>
          </w:tcPr>
          <w:p w14:paraId="7682BC61"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92" w:type="dxa"/>
            <w:vAlign w:val="center"/>
          </w:tcPr>
          <w:p w14:paraId="1081C1A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00125FF7" w:rsidRPr="00092862">
              <w:rPr>
                <w:rFonts w:ascii="Times New Roman" w:eastAsia="宋体" w:hAnsi="Times New Roman" w:cs="Times New Roman"/>
                <w:color w:val="000000" w:themeColor="text1"/>
                <w:szCs w:val="21"/>
              </w:rPr>
              <w:t>10</w:t>
            </w:r>
          </w:p>
        </w:tc>
        <w:tc>
          <w:tcPr>
            <w:tcW w:w="1134" w:type="dxa"/>
            <w:vAlign w:val="center"/>
          </w:tcPr>
          <w:p w14:paraId="5CEF43F0"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45" w:type="dxa"/>
            <w:vAlign w:val="center"/>
          </w:tcPr>
          <w:p w14:paraId="620E3C55"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105</w:t>
            </w:r>
          </w:p>
        </w:tc>
        <w:tc>
          <w:tcPr>
            <w:tcW w:w="856" w:type="dxa"/>
            <w:vAlign w:val="center"/>
          </w:tcPr>
          <w:p w14:paraId="572D632B"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空气动力</w:t>
            </w:r>
          </w:p>
        </w:tc>
        <w:tc>
          <w:tcPr>
            <w:tcW w:w="993" w:type="dxa"/>
            <w:vAlign w:val="center"/>
          </w:tcPr>
          <w:p w14:paraId="03423DBE"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测试</w:t>
            </w:r>
            <w:r w:rsidRPr="00092862">
              <w:rPr>
                <w:rFonts w:ascii="Times New Roman" w:eastAsia="宋体" w:hAnsi="Times New Roman" w:cs="Times New Roman"/>
                <w:color w:val="000000" w:themeColor="text1"/>
                <w:szCs w:val="21"/>
              </w:rPr>
              <w:t>3h</w:t>
            </w:r>
          </w:p>
        </w:tc>
        <w:tc>
          <w:tcPr>
            <w:tcW w:w="997" w:type="dxa"/>
            <w:vAlign w:val="center"/>
          </w:tcPr>
          <w:p w14:paraId="1F4762B0"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1CDE4CF4" w14:textId="77777777" w:rsidTr="00061D76">
        <w:trPr>
          <w:jc w:val="center"/>
        </w:trPr>
        <w:tc>
          <w:tcPr>
            <w:tcW w:w="384" w:type="dxa"/>
            <w:vMerge/>
            <w:vAlign w:val="center"/>
          </w:tcPr>
          <w:p w14:paraId="29DF1223"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1028" w:type="dxa"/>
            <w:vAlign w:val="center"/>
          </w:tcPr>
          <w:p w14:paraId="6DC78315"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柴油动力机</w:t>
            </w:r>
          </w:p>
        </w:tc>
        <w:tc>
          <w:tcPr>
            <w:tcW w:w="993" w:type="dxa"/>
            <w:vAlign w:val="center"/>
          </w:tcPr>
          <w:p w14:paraId="19FCA99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台</w:t>
            </w:r>
          </w:p>
        </w:tc>
        <w:tc>
          <w:tcPr>
            <w:tcW w:w="992" w:type="dxa"/>
            <w:vAlign w:val="center"/>
          </w:tcPr>
          <w:p w14:paraId="0D024A71"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w:t>
            </w:r>
          </w:p>
        </w:tc>
        <w:tc>
          <w:tcPr>
            <w:tcW w:w="1134" w:type="dxa"/>
            <w:vAlign w:val="center"/>
          </w:tcPr>
          <w:p w14:paraId="2BEE82F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排气筒上自带高质量消声器的柴油机</w:t>
            </w:r>
          </w:p>
        </w:tc>
        <w:tc>
          <w:tcPr>
            <w:tcW w:w="845" w:type="dxa"/>
            <w:vAlign w:val="center"/>
          </w:tcPr>
          <w:p w14:paraId="7822A36D"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95</w:t>
            </w:r>
          </w:p>
        </w:tc>
        <w:tc>
          <w:tcPr>
            <w:tcW w:w="856" w:type="dxa"/>
            <w:vAlign w:val="center"/>
          </w:tcPr>
          <w:p w14:paraId="63E4962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5361B5FA"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p>
        </w:tc>
        <w:tc>
          <w:tcPr>
            <w:tcW w:w="997" w:type="dxa"/>
            <w:vAlign w:val="center"/>
          </w:tcPr>
          <w:p w14:paraId="668F2729"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r w:rsidR="00697429" w:rsidRPr="00092862" w14:paraId="15D2199E" w14:textId="77777777" w:rsidTr="00061D76">
        <w:trPr>
          <w:jc w:val="center"/>
        </w:trPr>
        <w:tc>
          <w:tcPr>
            <w:tcW w:w="384" w:type="dxa"/>
            <w:vMerge/>
            <w:vAlign w:val="center"/>
          </w:tcPr>
          <w:p w14:paraId="173AE630"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p>
        </w:tc>
        <w:tc>
          <w:tcPr>
            <w:tcW w:w="1028" w:type="dxa"/>
            <w:vAlign w:val="center"/>
          </w:tcPr>
          <w:p w14:paraId="499D8618"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柴油发电机</w:t>
            </w:r>
          </w:p>
        </w:tc>
        <w:tc>
          <w:tcPr>
            <w:tcW w:w="993" w:type="dxa"/>
            <w:vAlign w:val="center"/>
          </w:tcPr>
          <w:p w14:paraId="3B2E2B93"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台</w:t>
            </w:r>
          </w:p>
        </w:tc>
        <w:tc>
          <w:tcPr>
            <w:tcW w:w="992" w:type="dxa"/>
            <w:vAlign w:val="center"/>
          </w:tcPr>
          <w:p w14:paraId="754A6C9B"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90</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95</w:t>
            </w:r>
          </w:p>
        </w:tc>
        <w:tc>
          <w:tcPr>
            <w:tcW w:w="1134" w:type="dxa"/>
            <w:vAlign w:val="center"/>
          </w:tcPr>
          <w:p w14:paraId="43357E14"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活动板房隔声，安装减振垫层和阻尼涂料</w:t>
            </w:r>
          </w:p>
        </w:tc>
        <w:tc>
          <w:tcPr>
            <w:tcW w:w="845" w:type="dxa"/>
            <w:vAlign w:val="center"/>
          </w:tcPr>
          <w:p w14:paraId="7632A432"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90</w:t>
            </w:r>
          </w:p>
        </w:tc>
        <w:tc>
          <w:tcPr>
            <w:tcW w:w="856" w:type="dxa"/>
            <w:vAlign w:val="center"/>
          </w:tcPr>
          <w:p w14:paraId="0FD217B1"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机械</w:t>
            </w:r>
          </w:p>
        </w:tc>
        <w:tc>
          <w:tcPr>
            <w:tcW w:w="993" w:type="dxa"/>
            <w:vAlign w:val="center"/>
          </w:tcPr>
          <w:p w14:paraId="09E388CB"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p>
        </w:tc>
        <w:tc>
          <w:tcPr>
            <w:tcW w:w="997" w:type="dxa"/>
            <w:vAlign w:val="center"/>
          </w:tcPr>
          <w:p w14:paraId="79037CA7" w14:textId="77777777" w:rsidR="008000C3" w:rsidRPr="00092862" w:rsidRDefault="008000C3" w:rsidP="00125FF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固定声源</w:t>
            </w:r>
          </w:p>
        </w:tc>
      </w:tr>
    </w:tbl>
    <w:p w14:paraId="382D7B1F" w14:textId="77777777" w:rsidR="00125FF7" w:rsidRPr="00092862" w:rsidRDefault="00125FF7" w:rsidP="00125FF7">
      <w:pPr>
        <w:adjustRightInd w:val="0"/>
        <w:snapToGrid w:val="0"/>
        <w:spacing w:beforeLines="50" w:before="120"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4</w:t>
      </w:r>
      <w:r w:rsidRPr="00092862">
        <w:rPr>
          <w:rFonts w:ascii="Times New Roman" w:eastAsia="宋体" w:hAnsi="Times New Roman" w:cs="Times New Roman"/>
          <w:b/>
          <w:bCs/>
          <w:color w:val="000000" w:themeColor="text1"/>
          <w:sz w:val="24"/>
          <w:szCs w:val="24"/>
        </w:rPr>
        <w:t>）固废</w:t>
      </w:r>
    </w:p>
    <w:p w14:paraId="43D91AFE" w14:textId="77777777" w:rsidR="00972EC6" w:rsidRPr="00092862" w:rsidRDefault="00125FF7"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w:t>
      </w:r>
      <w:r w:rsidR="00972EC6" w:rsidRPr="00092862">
        <w:rPr>
          <w:rFonts w:ascii="Times New Roman" w:eastAsia="宋体" w:hAnsi="Times New Roman" w:cs="Times New Roman"/>
          <w:color w:val="000000" w:themeColor="text1"/>
          <w:sz w:val="24"/>
        </w:rPr>
        <w:t>水基钻井固废</w:t>
      </w:r>
    </w:p>
    <w:p w14:paraId="7AED6E18" w14:textId="77777777" w:rsidR="00125FF7" w:rsidRPr="00092862" w:rsidRDefault="00125FF7"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废</w:t>
      </w:r>
      <w:r w:rsidR="00391274" w:rsidRPr="00092862">
        <w:rPr>
          <w:rFonts w:ascii="Times New Roman" w:eastAsia="宋体" w:hAnsi="Times New Roman" w:cs="Times New Roman"/>
          <w:color w:val="000000" w:themeColor="text1"/>
          <w:sz w:val="24"/>
        </w:rPr>
        <w:t>水基</w:t>
      </w:r>
      <w:r w:rsidRPr="00092862">
        <w:rPr>
          <w:rFonts w:ascii="Times New Roman" w:eastAsia="宋体" w:hAnsi="Times New Roman" w:cs="Times New Roman"/>
          <w:color w:val="000000" w:themeColor="text1"/>
          <w:sz w:val="24"/>
        </w:rPr>
        <w:t>钻井泥浆</w:t>
      </w:r>
      <w:r w:rsidR="00972EC6" w:rsidRPr="00092862">
        <w:rPr>
          <w:rFonts w:ascii="Times New Roman" w:eastAsia="宋体" w:hAnsi="Times New Roman" w:cs="Times New Roman"/>
          <w:color w:val="000000" w:themeColor="text1"/>
          <w:sz w:val="24"/>
        </w:rPr>
        <w:t>：</w:t>
      </w:r>
    </w:p>
    <w:p w14:paraId="01A5772C" w14:textId="55CBF0D9" w:rsidR="00125FF7" w:rsidRPr="00092862" w:rsidRDefault="00125FF7"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钻井过程中产生的废钻井泥浆主要来源于：</w:t>
      </w: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被更换的不适于钻井工程和地质要求的钻井泥浆；</w:t>
      </w: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在钻井过程中，因部分性能不合格而被排放的钻井泥浆；</w:t>
      </w: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完井时和洗井时井筒内被清水替出的钻井泥浆；</w:t>
      </w: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钻井泥浆循环系统跑、冒、滴、漏而排出的钻井泥浆。主要成分为水、粘土、聚合物、碳酸钠、氢氧化钠、氯化钾、石灰石和重晶石。</w:t>
      </w:r>
    </w:p>
    <w:p w14:paraId="7BEECF1C" w14:textId="576BCEBF" w:rsidR="00125FF7" w:rsidRPr="00092862" w:rsidRDefault="00125FF7" w:rsidP="005B5783">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根据本项目钻井设计，</w:t>
      </w:r>
      <w:r w:rsidR="005B5783" w:rsidRPr="00092862">
        <w:rPr>
          <w:rFonts w:ascii="Times New Roman" w:eastAsia="宋体" w:hAnsi="Times New Roman" w:cs="Times New Roman"/>
          <w:color w:val="000000" w:themeColor="text1"/>
          <w:sz w:val="24"/>
        </w:rPr>
        <w:t>项目</w:t>
      </w:r>
      <w:r w:rsidR="0019648E" w:rsidRPr="00092862">
        <w:rPr>
          <w:rFonts w:ascii="Times New Roman" w:eastAsia="宋体" w:hAnsi="Times New Roman" w:cs="Times New Roman"/>
          <w:color w:val="000000" w:themeColor="text1"/>
          <w:sz w:val="24"/>
        </w:rPr>
        <w:t>钻井阶段</w:t>
      </w:r>
      <w:r w:rsidR="005B5783" w:rsidRPr="00092862">
        <w:rPr>
          <w:rFonts w:ascii="Times New Roman" w:eastAsia="宋体" w:hAnsi="Times New Roman" w:cs="Times New Roman"/>
          <w:color w:val="000000" w:themeColor="text1"/>
          <w:sz w:val="24"/>
        </w:rPr>
        <w:t>钻井液</w:t>
      </w:r>
      <w:r w:rsidR="007A1530" w:rsidRPr="00092862">
        <w:rPr>
          <w:rFonts w:ascii="Times New Roman" w:eastAsia="宋体" w:hAnsi="Times New Roman" w:cs="Times New Roman"/>
          <w:color w:val="000000" w:themeColor="text1"/>
          <w:sz w:val="24"/>
        </w:rPr>
        <w:t>总</w:t>
      </w:r>
      <w:r w:rsidR="005B5783" w:rsidRPr="00092862">
        <w:rPr>
          <w:rFonts w:ascii="Times New Roman" w:eastAsia="宋体" w:hAnsi="Times New Roman" w:cs="Times New Roman"/>
          <w:color w:val="000000" w:themeColor="text1"/>
          <w:sz w:val="24"/>
        </w:rPr>
        <w:t>用量约为</w:t>
      </w:r>
      <w:r w:rsidR="000B7444" w:rsidRPr="00092862">
        <w:rPr>
          <w:rFonts w:ascii="Times New Roman" w:eastAsia="宋体" w:hAnsi="Times New Roman" w:cs="Times New Roman"/>
          <w:color w:val="000000" w:themeColor="text1"/>
          <w:sz w:val="24"/>
        </w:rPr>
        <w:t>5858</w:t>
      </w:r>
      <w:r w:rsidR="005B5783" w:rsidRPr="00092862">
        <w:rPr>
          <w:rFonts w:ascii="Times New Roman" w:eastAsia="宋体" w:hAnsi="Times New Roman" w:cs="Times New Roman"/>
          <w:color w:val="000000" w:themeColor="text1"/>
          <w:sz w:val="24"/>
        </w:rPr>
        <w:t>m</w:t>
      </w:r>
      <w:r w:rsidR="005B5783" w:rsidRPr="00092862">
        <w:rPr>
          <w:rFonts w:ascii="Times New Roman" w:eastAsia="宋体" w:hAnsi="Times New Roman" w:cs="Times New Roman"/>
          <w:color w:val="000000" w:themeColor="text1"/>
          <w:sz w:val="24"/>
          <w:vertAlign w:val="superscript"/>
        </w:rPr>
        <w:t>3</w:t>
      </w:r>
      <w:r w:rsidR="005B5783"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根据</w:t>
      </w:r>
      <w:r w:rsidR="005B5783" w:rsidRPr="00092862">
        <w:rPr>
          <w:rFonts w:ascii="Times New Roman" w:eastAsia="宋体" w:hAnsi="Times New Roman" w:cs="Times New Roman"/>
          <w:color w:val="000000" w:themeColor="text1"/>
          <w:sz w:val="24"/>
        </w:rPr>
        <w:t>普光气田</w:t>
      </w:r>
      <w:r w:rsidRPr="00092862">
        <w:rPr>
          <w:rFonts w:ascii="Times New Roman" w:eastAsia="宋体" w:hAnsi="Times New Roman" w:cs="Times New Roman"/>
          <w:color w:val="000000" w:themeColor="text1"/>
          <w:sz w:val="24"/>
        </w:rPr>
        <w:t>统计数据钻井液</w:t>
      </w:r>
      <w:r w:rsidRPr="00092862">
        <w:rPr>
          <w:rFonts w:ascii="Times New Roman" w:eastAsia="宋体" w:hAnsi="Times New Roman" w:cs="Times New Roman"/>
          <w:bCs/>
          <w:color w:val="000000" w:themeColor="text1"/>
          <w:sz w:val="24"/>
        </w:rPr>
        <w:t>循环利用率在</w:t>
      </w:r>
      <w:r w:rsidRPr="00092862">
        <w:rPr>
          <w:rFonts w:ascii="Times New Roman" w:eastAsia="宋体" w:hAnsi="Times New Roman" w:cs="Times New Roman"/>
          <w:bCs/>
          <w:color w:val="000000" w:themeColor="text1"/>
          <w:sz w:val="24"/>
        </w:rPr>
        <w:t>9</w:t>
      </w:r>
      <w:r w:rsidR="00394EDB" w:rsidRPr="00092862">
        <w:rPr>
          <w:rFonts w:ascii="Times New Roman" w:eastAsia="宋体" w:hAnsi="Times New Roman" w:cs="Times New Roman"/>
          <w:bCs/>
          <w:color w:val="000000" w:themeColor="text1"/>
          <w:sz w:val="24"/>
        </w:rPr>
        <w:t>0</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以上，故本项目约产生最大废弃</w:t>
      </w:r>
      <w:r w:rsidR="00F07454" w:rsidRPr="00092862">
        <w:rPr>
          <w:rFonts w:ascii="Times New Roman" w:eastAsia="宋体" w:hAnsi="Times New Roman" w:cs="Times New Roman"/>
          <w:bCs/>
          <w:color w:val="000000" w:themeColor="text1"/>
          <w:sz w:val="24"/>
        </w:rPr>
        <w:t>水基</w:t>
      </w:r>
      <w:r w:rsidRPr="00092862">
        <w:rPr>
          <w:rFonts w:ascii="Times New Roman" w:eastAsia="宋体" w:hAnsi="Times New Roman" w:cs="Times New Roman"/>
          <w:bCs/>
          <w:color w:val="000000" w:themeColor="text1"/>
          <w:sz w:val="24"/>
        </w:rPr>
        <w:t>钻</w:t>
      </w:r>
      <w:r w:rsidRPr="00092862">
        <w:rPr>
          <w:rFonts w:ascii="Times New Roman" w:eastAsia="宋体" w:hAnsi="Times New Roman" w:cs="Times New Roman"/>
          <w:bCs/>
          <w:color w:val="000000" w:themeColor="text1"/>
          <w:sz w:val="24"/>
        </w:rPr>
        <w:lastRenderedPageBreak/>
        <w:t>井泥浆</w:t>
      </w:r>
      <w:r w:rsidR="000B7444" w:rsidRPr="00092862">
        <w:rPr>
          <w:rFonts w:ascii="Times New Roman" w:eastAsia="宋体" w:hAnsi="Times New Roman" w:cs="Times New Roman"/>
          <w:bCs/>
          <w:color w:val="000000" w:themeColor="text1"/>
          <w:sz w:val="24"/>
        </w:rPr>
        <w:t>585.8</w:t>
      </w:r>
      <w:r w:rsidRPr="00092862">
        <w:rPr>
          <w:rFonts w:ascii="Times New Roman" w:eastAsia="宋体" w:hAnsi="Times New Roman" w:cs="Times New Roman"/>
          <w:color w:val="000000" w:themeColor="text1"/>
          <w:sz w:val="24"/>
        </w:rPr>
        <w:t>m</w:t>
      </w:r>
      <w:r w:rsidR="00450025" w:rsidRPr="00092862">
        <w:rPr>
          <w:rFonts w:ascii="Times New Roman" w:eastAsia="宋体" w:hAnsi="Times New Roman" w:cs="Times New Roman"/>
          <w:color w:val="000000" w:themeColor="text1"/>
          <w:sz w:val="24"/>
          <w:vertAlign w:val="superscript"/>
        </w:rPr>
        <w:t>3</w:t>
      </w:r>
      <w:r w:rsidR="00394EDB" w:rsidRPr="00092862">
        <w:rPr>
          <w:rFonts w:ascii="Times New Roman" w:eastAsia="宋体" w:hAnsi="Times New Roman" w:cs="Times New Roman"/>
          <w:color w:val="000000" w:themeColor="text1"/>
          <w:sz w:val="24"/>
        </w:rPr>
        <w:t>（根据普陆</w:t>
      </w:r>
      <w:r w:rsidR="00394EDB" w:rsidRPr="00092862">
        <w:rPr>
          <w:rFonts w:ascii="Times New Roman" w:eastAsia="宋体" w:hAnsi="Times New Roman" w:cs="Times New Roman"/>
          <w:color w:val="000000" w:themeColor="text1"/>
          <w:sz w:val="24"/>
        </w:rPr>
        <w:t>4</w:t>
      </w:r>
      <w:r w:rsidR="00394EDB" w:rsidRPr="00092862">
        <w:rPr>
          <w:rFonts w:ascii="Times New Roman" w:eastAsia="宋体" w:hAnsi="Times New Roman" w:cs="Times New Roman"/>
          <w:color w:val="000000" w:themeColor="text1"/>
          <w:sz w:val="24"/>
        </w:rPr>
        <w:t>井钻井工程建设项目（实际井深</w:t>
      </w:r>
      <w:r w:rsidR="00394EDB" w:rsidRPr="00092862">
        <w:rPr>
          <w:rFonts w:ascii="Times New Roman" w:eastAsia="宋体" w:hAnsi="Times New Roman" w:cs="Times New Roman"/>
          <w:color w:val="000000" w:themeColor="text1"/>
          <w:sz w:val="24"/>
        </w:rPr>
        <w:t>4622m</w:t>
      </w:r>
      <w:r w:rsidR="00394EDB" w:rsidRPr="00092862">
        <w:rPr>
          <w:rFonts w:ascii="Times New Roman" w:eastAsia="宋体" w:hAnsi="Times New Roman" w:cs="Times New Roman"/>
          <w:color w:val="000000" w:themeColor="text1"/>
          <w:sz w:val="24"/>
        </w:rPr>
        <w:t>）竣工环境保护验收调查表可知其施工期废泥浆实际产生量约为</w:t>
      </w:r>
      <w:r w:rsidR="00394EDB" w:rsidRPr="00092862">
        <w:rPr>
          <w:rFonts w:ascii="Times New Roman" w:eastAsia="宋体" w:hAnsi="Times New Roman" w:cs="Times New Roman"/>
          <w:color w:val="000000" w:themeColor="text1"/>
          <w:sz w:val="24"/>
        </w:rPr>
        <w:t>63m</w:t>
      </w:r>
      <w:r w:rsidR="00394EDB" w:rsidRPr="00092862">
        <w:rPr>
          <w:rFonts w:ascii="Times New Roman" w:eastAsia="宋体" w:hAnsi="Times New Roman" w:cs="Times New Roman"/>
          <w:color w:val="000000" w:themeColor="text1"/>
          <w:sz w:val="24"/>
          <w:vertAlign w:val="superscript"/>
        </w:rPr>
        <w:t>3</w:t>
      </w:r>
      <w:r w:rsidR="00394EDB"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，由于其</w:t>
      </w:r>
      <w:r w:rsidRPr="00092862">
        <w:rPr>
          <w:rFonts w:ascii="Times New Roman" w:eastAsia="宋体" w:hAnsi="Times New Roman" w:cs="Times New Roman"/>
          <w:color w:val="000000" w:themeColor="text1"/>
          <w:sz w:val="24"/>
        </w:rPr>
        <w:t>pH</w:t>
      </w:r>
      <w:r w:rsidRPr="00092862">
        <w:rPr>
          <w:rFonts w:ascii="Times New Roman" w:eastAsia="宋体" w:hAnsi="Times New Roman" w:cs="Times New Roman"/>
          <w:color w:val="000000" w:themeColor="text1"/>
          <w:sz w:val="24"/>
        </w:rPr>
        <w:t>较高（通常超过</w:t>
      </w:r>
      <w:r w:rsidRPr="00092862">
        <w:rPr>
          <w:rFonts w:ascii="Times New Roman" w:eastAsia="宋体" w:hAnsi="Times New Roman" w:cs="Times New Roman"/>
          <w:color w:val="000000" w:themeColor="text1"/>
          <w:sz w:val="24"/>
        </w:rPr>
        <w:t>9</w:t>
      </w:r>
      <w:r w:rsidRPr="00092862">
        <w:rPr>
          <w:rFonts w:ascii="Times New Roman" w:eastAsia="宋体" w:hAnsi="Times New Roman" w:cs="Times New Roman"/>
          <w:color w:val="000000" w:themeColor="text1"/>
          <w:sz w:val="24"/>
        </w:rPr>
        <w:t>），含有少量有机物添加剂，根据类比其他项目废弃钻井泥浆成分，确定废弃</w:t>
      </w:r>
      <w:r w:rsidR="00F07454" w:rsidRPr="00092862">
        <w:rPr>
          <w:rFonts w:ascii="Times New Roman" w:eastAsia="宋体" w:hAnsi="Times New Roman" w:cs="Times New Roman"/>
          <w:color w:val="000000" w:themeColor="text1"/>
          <w:sz w:val="24"/>
        </w:rPr>
        <w:t>水基</w:t>
      </w:r>
      <w:r w:rsidRPr="00092862">
        <w:rPr>
          <w:rFonts w:ascii="Times New Roman" w:eastAsia="宋体" w:hAnsi="Times New Roman" w:cs="Times New Roman"/>
          <w:color w:val="000000" w:themeColor="text1"/>
          <w:sz w:val="24"/>
        </w:rPr>
        <w:t>钻井泥浆为第</w:t>
      </w:r>
      <w:r w:rsidRPr="00092862">
        <w:rPr>
          <w:rFonts w:ascii="Times New Roman" w:eastAsia="宋体" w:hAnsi="Times New Roman" w:cs="Times New Roman"/>
          <w:color w:val="000000" w:themeColor="text1"/>
          <w:sz w:val="24"/>
        </w:rPr>
        <w:t>Ⅱ</w:t>
      </w:r>
      <w:r w:rsidRPr="00092862">
        <w:rPr>
          <w:rFonts w:ascii="Times New Roman" w:eastAsia="宋体" w:hAnsi="Times New Roman" w:cs="Times New Roman"/>
          <w:color w:val="000000" w:themeColor="text1"/>
          <w:sz w:val="24"/>
        </w:rPr>
        <w:t>类一般工业固体废物。</w:t>
      </w:r>
    </w:p>
    <w:p w14:paraId="138C6BF9" w14:textId="77777777" w:rsidR="00125FF7" w:rsidRPr="00092862" w:rsidRDefault="00391274"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水基</w:t>
      </w:r>
      <w:r w:rsidR="00125FF7" w:rsidRPr="00092862">
        <w:rPr>
          <w:rFonts w:ascii="Times New Roman" w:eastAsia="宋体" w:hAnsi="Times New Roman" w:cs="Times New Roman"/>
          <w:color w:val="000000" w:themeColor="text1"/>
          <w:sz w:val="24"/>
        </w:rPr>
        <w:t>钻井岩屑</w:t>
      </w:r>
      <w:r w:rsidR="00972EC6" w:rsidRPr="00092862">
        <w:rPr>
          <w:rFonts w:ascii="Times New Roman" w:eastAsia="宋体" w:hAnsi="Times New Roman" w:cs="Times New Roman"/>
          <w:color w:val="000000" w:themeColor="text1"/>
          <w:sz w:val="24"/>
        </w:rPr>
        <w:t>：</w:t>
      </w:r>
    </w:p>
    <w:p w14:paraId="0D16DA3F" w14:textId="77777777" w:rsidR="00125FF7" w:rsidRPr="00092862" w:rsidRDefault="00125FF7"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钻井岩屑是在钻井过程中钻头切屑地层岩石而产生的碎屑，并通过钻井泥浆和洗井液带出至地面。主要成分为岩石、土壤及钻井液。</w:t>
      </w:r>
    </w:p>
    <w:p w14:paraId="40BF4B80" w14:textId="7484A9F2" w:rsidR="00125FF7" w:rsidRPr="00092862" w:rsidRDefault="00125FF7" w:rsidP="00125FF7">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根据各井段井眼结构设计以及钻井岩屑粘附钻井废水增容等因素，按照直井段井径扩大率</w:t>
      </w:r>
      <w:r w:rsidRPr="00092862">
        <w:rPr>
          <w:rFonts w:ascii="Times New Roman" w:eastAsia="宋体" w:hAnsi="Times New Roman" w:cs="Times New Roman"/>
          <w:bCs/>
          <w:color w:val="000000" w:themeColor="text1"/>
          <w:sz w:val="24"/>
        </w:rPr>
        <w:t>15%</w:t>
      </w:r>
      <w:r w:rsidRPr="00092862">
        <w:rPr>
          <w:rFonts w:ascii="Times New Roman" w:eastAsia="宋体" w:hAnsi="Times New Roman" w:cs="Times New Roman"/>
          <w:bCs/>
          <w:color w:val="000000" w:themeColor="text1"/>
          <w:sz w:val="24"/>
        </w:rPr>
        <w:t>、造斜段平均井径扩大率</w:t>
      </w:r>
      <w:r w:rsidRPr="00092862">
        <w:rPr>
          <w:rFonts w:ascii="Times New Roman" w:eastAsia="宋体" w:hAnsi="Times New Roman" w:cs="Times New Roman"/>
          <w:bCs/>
          <w:color w:val="000000" w:themeColor="text1"/>
          <w:sz w:val="24"/>
        </w:rPr>
        <w:t>15%</w:t>
      </w:r>
      <w:r w:rsidRPr="00092862">
        <w:rPr>
          <w:rFonts w:ascii="Times New Roman" w:eastAsia="宋体" w:hAnsi="Times New Roman" w:cs="Times New Roman"/>
          <w:bCs/>
          <w:color w:val="000000" w:themeColor="text1"/>
          <w:sz w:val="24"/>
        </w:rPr>
        <w:t>，水平段平均井径扩大率</w:t>
      </w:r>
      <w:r w:rsidRPr="00092862">
        <w:rPr>
          <w:rFonts w:ascii="Times New Roman" w:eastAsia="宋体" w:hAnsi="Times New Roman" w:cs="Times New Roman"/>
          <w:bCs/>
          <w:color w:val="000000" w:themeColor="text1"/>
          <w:sz w:val="24"/>
        </w:rPr>
        <w:t>12%</w:t>
      </w:r>
      <w:r w:rsidRPr="00092862">
        <w:rPr>
          <w:rFonts w:ascii="Times New Roman" w:eastAsia="宋体" w:hAnsi="Times New Roman" w:cs="Times New Roman"/>
          <w:bCs/>
          <w:color w:val="000000" w:themeColor="text1"/>
          <w:sz w:val="24"/>
        </w:rPr>
        <w:t>、钻屑膨胀系数</w:t>
      </w:r>
      <w:r w:rsidRPr="00092862">
        <w:rPr>
          <w:rFonts w:ascii="Times New Roman" w:eastAsia="宋体" w:hAnsi="Times New Roman" w:cs="Times New Roman"/>
          <w:bCs/>
          <w:color w:val="000000" w:themeColor="text1"/>
          <w:sz w:val="24"/>
        </w:rPr>
        <w:t>2.0</w:t>
      </w:r>
      <w:r w:rsidRPr="00092862">
        <w:rPr>
          <w:rFonts w:ascii="Times New Roman" w:eastAsia="宋体" w:hAnsi="Times New Roman" w:cs="Times New Roman"/>
          <w:bCs/>
          <w:color w:val="000000" w:themeColor="text1"/>
          <w:sz w:val="24"/>
        </w:rPr>
        <w:t>估算，本项目为</w:t>
      </w:r>
      <w:r w:rsidR="005C17E9" w:rsidRPr="00092862">
        <w:rPr>
          <w:rFonts w:ascii="Times New Roman" w:eastAsia="宋体" w:hAnsi="Times New Roman" w:cs="Times New Roman"/>
          <w:bCs/>
          <w:color w:val="000000" w:themeColor="text1"/>
          <w:sz w:val="24"/>
        </w:rPr>
        <w:t>井</w:t>
      </w:r>
      <w:r w:rsidRPr="00092862">
        <w:rPr>
          <w:rFonts w:ascii="Times New Roman" w:eastAsia="宋体" w:hAnsi="Times New Roman" w:cs="Times New Roman"/>
          <w:bCs/>
          <w:color w:val="000000" w:themeColor="text1"/>
          <w:sz w:val="24"/>
        </w:rPr>
        <w:t>，钻井岩屑产生量</w:t>
      </w:r>
      <w:r w:rsidR="000B7444" w:rsidRPr="00092862">
        <w:rPr>
          <w:rFonts w:ascii="Times New Roman" w:eastAsia="宋体" w:hAnsi="Times New Roman" w:cs="Times New Roman"/>
          <w:bCs/>
          <w:color w:val="000000" w:themeColor="text1"/>
          <w:sz w:val="24"/>
        </w:rPr>
        <w:t>2342.44m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，估算过程见表</w:t>
      </w:r>
      <w:r w:rsidR="0089119C" w:rsidRPr="00092862">
        <w:rPr>
          <w:rFonts w:ascii="Times New Roman" w:eastAsia="宋体" w:hAnsi="Times New Roman" w:cs="Times New Roman"/>
          <w:bCs/>
          <w:color w:val="000000" w:themeColor="text1"/>
          <w:sz w:val="24"/>
        </w:rPr>
        <w:t>3.</w:t>
      </w:r>
      <w:r w:rsidRPr="00092862">
        <w:rPr>
          <w:rFonts w:ascii="Times New Roman" w:eastAsia="宋体" w:hAnsi="Times New Roman" w:cs="Times New Roman"/>
          <w:bCs/>
          <w:color w:val="000000" w:themeColor="text1"/>
          <w:sz w:val="24"/>
        </w:rPr>
        <w:t>4-</w:t>
      </w:r>
      <w:r w:rsidR="00D26362" w:rsidRPr="00092862">
        <w:rPr>
          <w:rFonts w:ascii="Times New Roman" w:eastAsia="宋体" w:hAnsi="Times New Roman" w:cs="Times New Roman"/>
          <w:bCs/>
          <w:color w:val="000000" w:themeColor="text1"/>
          <w:sz w:val="24"/>
        </w:rPr>
        <w:t>7</w:t>
      </w:r>
      <w:r w:rsidRPr="00092862">
        <w:rPr>
          <w:rFonts w:ascii="Times New Roman" w:eastAsia="宋体" w:hAnsi="Times New Roman" w:cs="Times New Roman"/>
          <w:bCs/>
          <w:color w:val="000000" w:themeColor="text1"/>
          <w:sz w:val="24"/>
        </w:rPr>
        <w:t>。</w:t>
      </w:r>
    </w:p>
    <w:p w14:paraId="05C03237" w14:textId="6A2A2470" w:rsidR="00DF0A2D" w:rsidRPr="00092862" w:rsidRDefault="00125FF7"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89119C"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4-</w:t>
      </w:r>
      <w:r w:rsidR="00D26362"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 xml:space="preserve">  </w:t>
      </w:r>
      <w:r w:rsidR="00EC7522" w:rsidRPr="00092862">
        <w:rPr>
          <w:rFonts w:ascii="Times New Roman" w:eastAsia="黑体" w:hAnsi="Times New Roman"/>
          <w:color w:val="000000" w:themeColor="text1"/>
          <w:sz w:val="21"/>
          <w:szCs w:val="21"/>
          <w:lang w:eastAsia="zh-CN"/>
        </w:rPr>
        <w:t>水基</w:t>
      </w:r>
      <w:r w:rsidRPr="00092862">
        <w:rPr>
          <w:rFonts w:ascii="Times New Roman" w:eastAsia="黑体" w:hAnsi="Times New Roman"/>
          <w:color w:val="000000" w:themeColor="text1"/>
          <w:sz w:val="21"/>
          <w:szCs w:val="21"/>
          <w:lang w:eastAsia="zh-CN"/>
        </w:rPr>
        <w:t>钻井期间岩屑产生量估算表</w:t>
      </w:r>
    </w:p>
    <w:tbl>
      <w:tblPr>
        <w:tblW w:w="5000" w:type="pct"/>
        <w:tblLook w:val="04A0" w:firstRow="1" w:lastRow="0" w:firstColumn="1" w:lastColumn="0" w:noHBand="0" w:noVBand="1"/>
      </w:tblPr>
      <w:tblGrid>
        <w:gridCol w:w="977"/>
        <w:gridCol w:w="977"/>
        <w:gridCol w:w="977"/>
        <w:gridCol w:w="1221"/>
        <w:gridCol w:w="976"/>
        <w:gridCol w:w="976"/>
        <w:gridCol w:w="976"/>
        <w:gridCol w:w="1220"/>
      </w:tblGrid>
      <w:tr w:rsidR="00697429" w:rsidRPr="00092862" w14:paraId="57F10655" w14:textId="77777777" w:rsidTr="003C06A9">
        <w:trPr>
          <w:trHeight w:val="300"/>
        </w:trPr>
        <w:tc>
          <w:tcPr>
            <w:tcW w:w="588"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36644DB5" w14:textId="77777777" w:rsidR="000B7444" w:rsidRPr="00092862" w:rsidRDefault="000B7444" w:rsidP="00B25097">
            <w:pPr>
              <w:jc w:val="right"/>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参数</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05ED46"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开次</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6C6C13"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钻头直径</w:t>
            </w:r>
            <w:r w:rsidRPr="00092862">
              <w:rPr>
                <w:rFonts w:ascii="Times New Roman" w:hAnsi="Times New Roman" w:cs="Times New Roman"/>
                <w:color w:val="000000" w:themeColor="text1"/>
                <w:szCs w:val="21"/>
              </w:rPr>
              <w:t>mm</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7ADFFB"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面积</w:t>
            </w:r>
            <w:r w:rsidRPr="00092862">
              <w:rPr>
                <w:rFonts w:ascii="Times New Roman" w:hAnsi="Times New Roman" w:cs="Times New Roman"/>
                <w:color w:val="000000" w:themeColor="text1"/>
                <w:szCs w:val="21"/>
              </w:rPr>
              <w:t>m</w:t>
            </w:r>
            <w:r w:rsidRPr="00092862">
              <w:rPr>
                <w:rFonts w:ascii="Times New Roman" w:hAnsi="Times New Roman" w:cs="Times New Roman"/>
                <w:color w:val="000000" w:themeColor="text1"/>
                <w:szCs w:val="21"/>
                <w:vertAlign w:val="superscript"/>
              </w:rPr>
              <w:t>2</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EF7A2C"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钻井进尺</w:t>
            </w:r>
            <w:r w:rsidRPr="00092862">
              <w:rPr>
                <w:rFonts w:ascii="Times New Roman" w:hAnsi="Times New Roman" w:cs="Times New Roman"/>
                <w:color w:val="000000" w:themeColor="text1"/>
                <w:szCs w:val="21"/>
              </w:rPr>
              <w:t>m</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2EC998"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井径扩大率</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F89D5D"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钻屑膨胀系数</w:t>
            </w:r>
          </w:p>
        </w:tc>
        <w:tc>
          <w:tcPr>
            <w:tcW w:w="7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B9EE1F"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岩屑体积</w:t>
            </w:r>
            <w:r w:rsidRPr="00092862">
              <w:rPr>
                <w:rFonts w:ascii="Times New Roman" w:hAnsi="Times New Roman" w:cs="Times New Roman"/>
                <w:color w:val="000000" w:themeColor="text1"/>
                <w:szCs w:val="21"/>
              </w:rPr>
              <w:t>m</w:t>
            </w:r>
            <w:r w:rsidRPr="00092862">
              <w:rPr>
                <w:rFonts w:ascii="Times New Roman" w:hAnsi="Times New Roman" w:cs="Times New Roman"/>
                <w:color w:val="000000" w:themeColor="text1"/>
                <w:szCs w:val="21"/>
                <w:vertAlign w:val="superscript"/>
              </w:rPr>
              <w:t>3</w:t>
            </w:r>
          </w:p>
        </w:tc>
      </w:tr>
      <w:tr w:rsidR="00697429" w:rsidRPr="00092862" w14:paraId="74E7B889" w14:textId="77777777" w:rsidTr="003C06A9">
        <w:trPr>
          <w:trHeight w:val="290"/>
        </w:trPr>
        <w:tc>
          <w:tcPr>
            <w:tcW w:w="588"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548CDA5F" w14:textId="77777777" w:rsidR="000B7444" w:rsidRPr="00092862" w:rsidRDefault="000B7444" w:rsidP="00B25097">
            <w:pP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井段</w:t>
            </w:r>
          </w:p>
        </w:tc>
        <w:tc>
          <w:tcPr>
            <w:tcW w:w="588" w:type="pct"/>
            <w:vMerge/>
            <w:tcBorders>
              <w:top w:val="single" w:sz="4" w:space="0" w:color="auto"/>
              <w:left w:val="single" w:sz="4" w:space="0" w:color="auto"/>
              <w:bottom w:val="single" w:sz="4" w:space="0" w:color="auto"/>
              <w:right w:val="single" w:sz="4" w:space="0" w:color="auto"/>
            </w:tcBorders>
            <w:vAlign w:val="center"/>
            <w:hideMark/>
          </w:tcPr>
          <w:p w14:paraId="3AA25324" w14:textId="77777777" w:rsidR="000B7444" w:rsidRPr="00092862" w:rsidRDefault="000B7444" w:rsidP="00B25097">
            <w:pPr>
              <w:rPr>
                <w:rFonts w:ascii="Times New Roman" w:hAnsi="Times New Roman" w:cs="Times New Roman"/>
                <w:color w:val="000000" w:themeColor="text1"/>
                <w:szCs w:val="21"/>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14:paraId="005C63C0" w14:textId="77777777" w:rsidR="000B7444" w:rsidRPr="00092862" w:rsidRDefault="000B7444" w:rsidP="00B25097">
            <w:pPr>
              <w:rPr>
                <w:rFonts w:ascii="Times New Roman" w:hAnsi="Times New Roman" w:cs="Times New Roman"/>
                <w:color w:val="000000" w:themeColor="text1"/>
                <w:szCs w:val="21"/>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14:paraId="736B5DCA" w14:textId="77777777" w:rsidR="000B7444" w:rsidRPr="00092862" w:rsidRDefault="000B7444" w:rsidP="00B25097">
            <w:pPr>
              <w:rPr>
                <w:rFonts w:ascii="Times New Roman" w:hAnsi="Times New Roman" w:cs="Times New Roman"/>
                <w:color w:val="000000" w:themeColor="text1"/>
                <w:szCs w:val="21"/>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14:paraId="78FA128E" w14:textId="77777777" w:rsidR="000B7444" w:rsidRPr="00092862" w:rsidRDefault="000B7444" w:rsidP="00B25097">
            <w:pPr>
              <w:rPr>
                <w:rFonts w:ascii="Times New Roman" w:hAnsi="Times New Roman" w:cs="Times New Roman"/>
                <w:color w:val="000000" w:themeColor="text1"/>
                <w:szCs w:val="21"/>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14:paraId="2CA6C9B3" w14:textId="77777777" w:rsidR="000B7444" w:rsidRPr="00092862" w:rsidRDefault="000B7444" w:rsidP="00B25097">
            <w:pPr>
              <w:rPr>
                <w:rFonts w:ascii="Times New Roman" w:hAnsi="Times New Roman" w:cs="Times New Roman"/>
                <w:color w:val="000000" w:themeColor="text1"/>
                <w:szCs w:val="21"/>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14:paraId="1594921A" w14:textId="77777777" w:rsidR="000B7444" w:rsidRPr="00092862" w:rsidRDefault="000B7444" w:rsidP="00B25097">
            <w:pPr>
              <w:rPr>
                <w:rFonts w:ascii="Times New Roman" w:hAnsi="Times New Roman" w:cs="Times New Roman"/>
                <w:color w:val="000000" w:themeColor="text1"/>
                <w:szCs w:val="21"/>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14:paraId="7FB59A27" w14:textId="77777777" w:rsidR="000B7444" w:rsidRPr="00092862" w:rsidRDefault="000B7444" w:rsidP="00B25097">
            <w:pPr>
              <w:rPr>
                <w:rFonts w:ascii="Times New Roman" w:hAnsi="Times New Roman" w:cs="Times New Roman"/>
                <w:color w:val="000000" w:themeColor="text1"/>
                <w:szCs w:val="21"/>
              </w:rPr>
            </w:pPr>
          </w:p>
        </w:tc>
      </w:tr>
      <w:tr w:rsidR="00697429" w:rsidRPr="00092862" w14:paraId="0F3F16FF" w14:textId="77777777" w:rsidTr="003C06A9">
        <w:trPr>
          <w:trHeight w:val="290"/>
        </w:trPr>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9F4F09" w14:textId="4BD2A869"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L7011-4H</w:t>
            </w:r>
            <w:r w:rsidRPr="00092862">
              <w:rPr>
                <w:rFonts w:ascii="Times New Roman" w:hAnsi="Times New Roman" w:cs="Times New Roman"/>
                <w:color w:val="000000" w:themeColor="text1"/>
                <w:szCs w:val="21"/>
              </w:rPr>
              <w:t>井</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8026F"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导管</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722108"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660.4</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6A1F65"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0.34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370AF" w14:textId="21C85E8C"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50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6C151" w14:textId="10F21E9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730ECD" w14:textId="28C2DCBB"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BA82A" w14:textId="071E8F6E"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34</w:t>
            </w:r>
          </w:p>
        </w:tc>
      </w:tr>
      <w:tr w:rsidR="00697429" w:rsidRPr="00092862" w14:paraId="0E8836ED" w14:textId="77777777" w:rsidTr="003C06A9">
        <w:trPr>
          <w:trHeight w:val="290"/>
        </w:trPr>
        <w:tc>
          <w:tcPr>
            <w:tcW w:w="588" w:type="pct"/>
            <w:vMerge/>
            <w:tcBorders>
              <w:top w:val="single" w:sz="4" w:space="0" w:color="auto"/>
              <w:left w:val="single" w:sz="4" w:space="0" w:color="auto"/>
              <w:bottom w:val="single" w:sz="4" w:space="0" w:color="auto"/>
              <w:right w:val="single" w:sz="4" w:space="0" w:color="auto"/>
            </w:tcBorders>
            <w:vAlign w:val="center"/>
            <w:hideMark/>
          </w:tcPr>
          <w:p w14:paraId="0261EFE9" w14:textId="77777777" w:rsidR="000B7444" w:rsidRPr="00092862" w:rsidRDefault="000B7444" w:rsidP="000B7444">
            <w:pPr>
              <w:rPr>
                <w:rFonts w:ascii="Times New Roman" w:eastAsia="等线" w:hAnsi="Times New Roman" w:cs="Times New Roman"/>
                <w:color w:val="000000" w:themeColor="text1"/>
                <w:szCs w:val="21"/>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3D64C3"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一开</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4F3947"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444.5</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51840"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0.16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90420E" w14:textId="2270C6C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950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4315E9" w14:textId="59E74D14"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AC6B2E" w14:textId="177487DF"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88DE5" w14:textId="00467D86"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304</w:t>
            </w:r>
          </w:p>
        </w:tc>
      </w:tr>
      <w:tr w:rsidR="00697429" w:rsidRPr="00092862" w14:paraId="09951677" w14:textId="77777777" w:rsidTr="003C06A9">
        <w:trPr>
          <w:trHeight w:val="290"/>
        </w:trPr>
        <w:tc>
          <w:tcPr>
            <w:tcW w:w="588" w:type="pct"/>
            <w:vMerge/>
            <w:tcBorders>
              <w:top w:val="single" w:sz="4" w:space="0" w:color="auto"/>
              <w:left w:val="single" w:sz="4" w:space="0" w:color="auto"/>
              <w:bottom w:val="single" w:sz="4" w:space="0" w:color="auto"/>
              <w:right w:val="single" w:sz="4" w:space="0" w:color="auto"/>
            </w:tcBorders>
            <w:vAlign w:val="center"/>
            <w:hideMark/>
          </w:tcPr>
          <w:p w14:paraId="1AAFE66F" w14:textId="77777777" w:rsidR="000B7444" w:rsidRPr="00092862" w:rsidRDefault="000B7444" w:rsidP="000B7444">
            <w:pPr>
              <w:rPr>
                <w:rFonts w:ascii="Times New Roman" w:eastAsia="等线" w:hAnsi="Times New Roman" w:cs="Times New Roman"/>
                <w:color w:val="000000" w:themeColor="text1"/>
                <w:szCs w:val="21"/>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27FCF9"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二开</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0D5B1"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320</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B2BD19"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0.08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0D1ABC" w14:textId="57C8632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3570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7700B" w14:textId="7370EF39"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2365A" w14:textId="7530F85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8C0B2A" w14:textId="0659132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571.2</w:t>
            </w:r>
          </w:p>
        </w:tc>
      </w:tr>
      <w:tr w:rsidR="00697429" w:rsidRPr="00092862" w14:paraId="2CBBF42C" w14:textId="77777777" w:rsidTr="003C06A9">
        <w:trPr>
          <w:trHeight w:val="290"/>
        </w:trPr>
        <w:tc>
          <w:tcPr>
            <w:tcW w:w="588" w:type="pct"/>
            <w:vMerge/>
            <w:tcBorders>
              <w:top w:val="single" w:sz="4" w:space="0" w:color="auto"/>
              <w:left w:val="single" w:sz="4" w:space="0" w:color="auto"/>
              <w:bottom w:val="single" w:sz="4" w:space="0" w:color="auto"/>
              <w:right w:val="single" w:sz="4" w:space="0" w:color="auto"/>
            </w:tcBorders>
            <w:vAlign w:val="center"/>
            <w:hideMark/>
          </w:tcPr>
          <w:p w14:paraId="378B7C4B" w14:textId="77777777" w:rsidR="000B7444" w:rsidRPr="00092862" w:rsidRDefault="000B7444" w:rsidP="000B7444">
            <w:pPr>
              <w:rPr>
                <w:rFonts w:ascii="Times New Roman" w:eastAsia="等线" w:hAnsi="Times New Roman" w:cs="Times New Roman"/>
                <w:color w:val="000000" w:themeColor="text1"/>
                <w:szCs w:val="21"/>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2C1166"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三开</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A47330"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241.3</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E3B91A"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0.05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0EAEB" w14:textId="2226BFD1"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2342</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1165B" w14:textId="7101B52C"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1.2</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438ADB" w14:textId="5E89FCE9"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32DFAF" w14:textId="33D9E9D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281.04</w:t>
            </w:r>
          </w:p>
        </w:tc>
      </w:tr>
      <w:tr w:rsidR="00697429" w:rsidRPr="00092862" w14:paraId="4632C75D" w14:textId="77777777" w:rsidTr="003C06A9">
        <w:trPr>
          <w:trHeight w:val="29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F60DE0" w14:textId="77777777" w:rsidR="000B7444" w:rsidRPr="00092862" w:rsidRDefault="000B7444" w:rsidP="00B25097">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小计</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F2795" w14:textId="77777777" w:rsidR="000B7444" w:rsidRPr="00092862" w:rsidRDefault="000B7444" w:rsidP="00B25097">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1E7DD6" w14:textId="77777777" w:rsidR="000B7444" w:rsidRPr="00092862" w:rsidRDefault="000B7444" w:rsidP="00B25097">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CE3437" w14:textId="77777777" w:rsidR="000B7444" w:rsidRPr="00092862" w:rsidRDefault="000B7444" w:rsidP="00B25097">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B5E1AC" w14:textId="77777777" w:rsidR="000B7444" w:rsidRPr="00092862" w:rsidRDefault="000B7444" w:rsidP="00B25097">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9F4619" w14:textId="77777777" w:rsidR="000B7444" w:rsidRPr="00092862" w:rsidRDefault="000B7444" w:rsidP="00B25097">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50F2EA" w14:textId="77777777" w:rsidR="000B7444" w:rsidRPr="00092862" w:rsidRDefault="000B7444" w:rsidP="00B25097">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83DFF1" w14:textId="10AFE29E"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1190.24 </w:t>
            </w:r>
          </w:p>
        </w:tc>
      </w:tr>
      <w:tr w:rsidR="00697429" w:rsidRPr="00092862" w14:paraId="1A294E09" w14:textId="77777777" w:rsidTr="003C06A9">
        <w:trPr>
          <w:trHeight w:val="290"/>
        </w:trPr>
        <w:tc>
          <w:tcPr>
            <w:tcW w:w="5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171813" w14:textId="2B0DB2BC"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L7011-5H</w:t>
            </w:r>
            <w:r w:rsidRPr="00092862">
              <w:rPr>
                <w:rFonts w:ascii="Times New Roman" w:hAnsi="Times New Roman" w:cs="Times New Roman"/>
                <w:color w:val="000000" w:themeColor="text1"/>
                <w:szCs w:val="21"/>
              </w:rPr>
              <w:t>井</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349DA"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导管</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34E578"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660.4</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40C0E"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0.34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5F4F4D" w14:textId="69C6F9AB"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50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720B1F" w14:textId="6A91899F"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218F69" w14:textId="3FCA8164"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877F3E" w14:textId="6D2D3EE9"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34</w:t>
            </w:r>
          </w:p>
        </w:tc>
      </w:tr>
      <w:tr w:rsidR="00697429" w:rsidRPr="00092862" w14:paraId="39CE7B66" w14:textId="77777777" w:rsidTr="003C06A9">
        <w:trPr>
          <w:trHeight w:val="290"/>
        </w:trPr>
        <w:tc>
          <w:tcPr>
            <w:tcW w:w="588" w:type="pct"/>
            <w:vMerge/>
            <w:tcBorders>
              <w:top w:val="single" w:sz="4" w:space="0" w:color="auto"/>
              <w:left w:val="single" w:sz="4" w:space="0" w:color="auto"/>
              <w:bottom w:val="single" w:sz="4" w:space="0" w:color="auto"/>
              <w:right w:val="single" w:sz="4" w:space="0" w:color="auto"/>
            </w:tcBorders>
            <w:vAlign w:val="center"/>
            <w:hideMark/>
          </w:tcPr>
          <w:p w14:paraId="3DA360F3" w14:textId="77777777" w:rsidR="000B7444" w:rsidRPr="00092862" w:rsidRDefault="000B7444" w:rsidP="000B7444">
            <w:pPr>
              <w:rPr>
                <w:rFonts w:ascii="Times New Roman" w:eastAsia="等线" w:hAnsi="Times New Roman" w:cs="Times New Roman"/>
                <w:color w:val="000000" w:themeColor="text1"/>
                <w:szCs w:val="21"/>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B0E2A"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一开</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2A76"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444.5</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C8DC77"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0.16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BE94C7" w14:textId="76F0E55B"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950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E5E13" w14:textId="7DA9B16A"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BD930" w14:textId="3C9A27A1"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D801EB" w14:textId="71275CCE"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304</w:t>
            </w:r>
          </w:p>
        </w:tc>
      </w:tr>
      <w:tr w:rsidR="00697429" w:rsidRPr="00092862" w14:paraId="0B48C8B8" w14:textId="77777777" w:rsidTr="003C06A9">
        <w:trPr>
          <w:trHeight w:val="290"/>
        </w:trPr>
        <w:tc>
          <w:tcPr>
            <w:tcW w:w="588" w:type="pct"/>
            <w:vMerge/>
            <w:tcBorders>
              <w:top w:val="single" w:sz="4" w:space="0" w:color="auto"/>
              <w:left w:val="single" w:sz="4" w:space="0" w:color="auto"/>
              <w:bottom w:val="single" w:sz="4" w:space="0" w:color="auto"/>
              <w:right w:val="single" w:sz="4" w:space="0" w:color="auto"/>
            </w:tcBorders>
            <w:vAlign w:val="center"/>
            <w:hideMark/>
          </w:tcPr>
          <w:p w14:paraId="4160C887" w14:textId="77777777" w:rsidR="000B7444" w:rsidRPr="00092862" w:rsidRDefault="000B7444" w:rsidP="000B7444">
            <w:pPr>
              <w:rPr>
                <w:rFonts w:ascii="Times New Roman" w:eastAsia="等线" w:hAnsi="Times New Roman" w:cs="Times New Roman"/>
                <w:color w:val="000000" w:themeColor="text1"/>
                <w:szCs w:val="21"/>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F9C008"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二开</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48B657"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320</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8813BA"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0.08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69A487" w14:textId="07E5DC2E"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3570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C6B3" w14:textId="66B5FF71"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A8C44E" w14:textId="25BEA5A5"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FA0CE" w14:textId="08324932"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571.2</w:t>
            </w:r>
          </w:p>
        </w:tc>
      </w:tr>
      <w:tr w:rsidR="00697429" w:rsidRPr="00092862" w14:paraId="4AE7CB88" w14:textId="77777777" w:rsidTr="003C06A9">
        <w:trPr>
          <w:trHeight w:val="290"/>
        </w:trPr>
        <w:tc>
          <w:tcPr>
            <w:tcW w:w="588" w:type="pct"/>
            <w:vMerge/>
            <w:tcBorders>
              <w:top w:val="single" w:sz="4" w:space="0" w:color="auto"/>
              <w:left w:val="single" w:sz="4" w:space="0" w:color="auto"/>
              <w:bottom w:val="single" w:sz="4" w:space="0" w:color="auto"/>
              <w:right w:val="single" w:sz="4" w:space="0" w:color="auto"/>
            </w:tcBorders>
            <w:vAlign w:val="center"/>
            <w:hideMark/>
          </w:tcPr>
          <w:p w14:paraId="0248F212" w14:textId="77777777" w:rsidR="000B7444" w:rsidRPr="00092862" w:rsidRDefault="000B7444" w:rsidP="000B7444">
            <w:pPr>
              <w:rPr>
                <w:rFonts w:ascii="Times New Roman" w:eastAsia="等线" w:hAnsi="Times New Roman" w:cs="Times New Roman"/>
                <w:color w:val="000000" w:themeColor="text1"/>
                <w:szCs w:val="21"/>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B4AFF"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三开</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8E3CA"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241.3</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47B458"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 xml:space="preserve">0.05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E6677" w14:textId="7732C279"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2430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0DBC8C" w14:textId="5EBCCE1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070E1E" w14:textId="5AE2560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B564C5" w14:textId="266CF9F9"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243</w:t>
            </w:r>
          </w:p>
        </w:tc>
      </w:tr>
      <w:tr w:rsidR="00697429" w:rsidRPr="00092862" w14:paraId="7215A534" w14:textId="77777777" w:rsidTr="003C06A9">
        <w:trPr>
          <w:trHeight w:val="29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7804E3"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小计</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04232"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847D1"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47D3A0"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E6B87" w14:textId="500CB0AB"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C0020B" w14:textId="35051FAE"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1B3E55" w14:textId="474F4B28"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310BA" w14:textId="3909302B"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1152.2</w:t>
            </w:r>
          </w:p>
        </w:tc>
      </w:tr>
      <w:tr w:rsidR="00697429" w:rsidRPr="00092862" w14:paraId="76CE91D7" w14:textId="77777777" w:rsidTr="003C06A9">
        <w:trPr>
          <w:trHeight w:val="290"/>
        </w:trPr>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6FC2FD" w14:textId="77777777" w:rsidR="000B7444" w:rsidRPr="00092862" w:rsidRDefault="000B7444" w:rsidP="000B744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合计</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82A92"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A5E188"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C9E49D" w14:textId="77777777"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543C71" w14:textId="2DB2FD82"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9F99FC" w14:textId="09623F02"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E337B4" w14:textId="4798EF5A"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DCE875" w14:textId="4C790464" w:rsidR="000B7444" w:rsidRPr="00092862" w:rsidRDefault="000B7444" w:rsidP="000B7444">
            <w:pPr>
              <w:jc w:val="center"/>
              <w:rPr>
                <w:rFonts w:ascii="Times New Roman" w:eastAsia="等线" w:hAnsi="Times New Roman" w:cs="Times New Roman"/>
                <w:color w:val="000000" w:themeColor="text1"/>
                <w:szCs w:val="21"/>
              </w:rPr>
            </w:pPr>
            <w:r w:rsidRPr="00092862">
              <w:rPr>
                <w:rFonts w:ascii="Times New Roman" w:eastAsia="等线" w:hAnsi="Times New Roman" w:cs="Times New Roman"/>
                <w:color w:val="000000" w:themeColor="text1"/>
                <w:szCs w:val="21"/>
              </w:rPr>
              <w:t>2342.44</w:t>
            </w:r>
          </w:p>
        </w:tc>
      </w:tr>
    </w:tbl>
    <w:p w14:paraId="3B70576C" w14:textId="4F27FF37" w:rsidR="00125FF7" w:rsidRPr="00092862" w:rsidRDefault="00125FF7" w:rsidP="005C20E8">
      <w:pPr>
        <w:adjustRightInd w:val="0"/>
        <w:spacing w:beforeLines="50" w:before="120"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根据统计资料经泥浆不落地装置处理后水基钻井固废容重约</w:t>
      </w:r>
      <w:r w:rsidRPr="00092862">
        <w:rPr>
          <w:rFonts w:ascii="Times New Roman" w:eastAsia="宋体" w:hAnsi="Times New Roman" w:cs="Times New Roman"/>
          <w:color w:val="000000" w:themeColor="text1"/>
          <w:sz w:val="24"/>
        </w:rPr>
        <w:t>1.8t/m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，故岩屑和废弃泥浆产生量约</w:t>
      </w:r>
      <w:r w:rsidR="000B7444" w:rsidRPr="00092862">
        <w:rPr>
          <w:rFonts w:ascii="Times New Roman" w:eastAsia="宋体" w:hAnsi="Times New Roman" w:cs="Times New Roman"/>
          <w:color w:val="000000" w:themeColor="text1"/>
          <w:sz w:val="24"/>
        </w:rPr>
        <w:t>4216.39t</w:t>
      </w:r>
      <w:r w:rsidRPr="00092862">
        <w:rPr>
          <w:rFonts w:ascii="Times New Roman" w:eastAsia="宋体" w:hAnsi="Times New Roman" w:cs="Times New Roman"/>
          <w:color w:val="000000" w:themeColor="text1"/>
          <w:sz w:val="24"/>
        </w:rPr>
        <w:t>，其性质为第</w:t>
      </w:r>
      <w:r w:rsidRPr="00092862">
        <w:rPr>
          <w:rFonts w:ascii="Times New Roman" w:eastAsia="宋体" w:hAnsi="Times New Roman" w:cs="Times New Roman"/>
          <w:color w:val="000000" w:themeColor="text1"/>
          <w:sz w:val="24"/>
        </w:rPr>
        <w:t>Ⅱ</w:t>
      </w:r>
      <w:r w:rsidRPr="00092862">
        <w:rPr>
          <w:rFonts w:ascii="Times New Roman" w:eastAsia="宋体" w:hAnsi="Times New Roman" w:cs="Times New Roman"/>
          <w:color w:val="000000" w:themeColor="text1"/>
          <w:sz w:val="24"/>
        </w:rPr>
        <w:t>类一般工业固体废物。</w:t>
      </w:r>
    </w:p>
    <w:p w14:paraId="5FD69490" w14:textId="7E23601D" w:rsidR="00125FF7" w:rsidRPr="00092862" w:rsidRDefault="00125FF7" w:rsidP="008D78B4">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废弃泥浆和岩屑在钻井现场经泥浆不落地工艺经脱稳</w:t>
      </w:r>
      <w:r w:rsidRPr="00092862">
        <w:rPr>
          <w:rFonts w:ascii="Times New Roman" w:hAnsi="Times New Roman"/>
          <w:color w:val="000000" w:themeColor="text1"/>
          <w:szCs w:val="24"/>
        </w:rPr>
        <w:t>-</w:t>
      </w:r>
      <w:r w:rsidRPr="00092862">
        <w:rPr>
          <w:rFonts w:ascii="Times New Roman" w:hAnsi="Times New Roman"/>
          <w:color w:val="000000" w:themeColor="text1"/>
          <w:szCs w:val="24"/>
        </w:rPr>
        <w:t>板框压滤进行固液分离后产生的固态</w:t>
      </w:r>
      <w:r w:rsidRPr="00092862">
        <w:rPr>
          <w:rFonts w:ascii="Times New Roman" w:hAnsi="Times New Roman"/>
          <w:bCs/>
          <w:color w:val="000000" w:themeColor="text1"/>
          <w:szCs w:val="24"/>
        </w:rPr>
        <w:t>钻井固废</w:t>
      </w:r>
      <w:r w:rsidRPr="00092862">
        <w:rPr>
          <w:rFonts w:ascii="Times New Roman" w:hAnsi="Times New Roman"/>
          <w:color w:val="000000" w:themeColor="text1"/>
          <w:szCs w:val="24"/>
        </w:rPr>
        <w:t>，主要成分为废钻井泥浆、岩屑、无机盐、普通有机聚合物，本项目钻井泥浆为水基钻井泥浆，不添加重金属等，不具有危险特性</w:t>
      </w:r>
      <w:r w:rsidR="008D78B4" w:rsidRPr="00092862">
        <w:rPr>
          <w:rFonts w:ascii="Times New Roman" w:hAnsi="Times New Roman"/>
          <w:color w:val="000000" w:themeColor="text1"/>
          <w:szCs w:val="24"/>
        </w:rPr>
        <w:t>，依据《一般工业固体废物贮存和填埋污染控制标准》（</w:t>
      </w:r>
      <w:r w:rsidR="008D78B4" w:rsidRPr="00092862">
        <w:rPr>
          <w:rFonts w:ascii="Times New Roman" w:hAnsi="Times New Roman"/>
          <w:color w:val="000000" w:themeColor="text1"/>
          <w:szCs w:val="24"/>
        </w:rPr>
        <w:t>GB18599-2020</w:t>
      </w:r>
      <w:r w:rsidR="008D78B4" w:rsidRPr="00092862">
        <w:rPr>
          <w:rFonts w:ascii="Times New Roman" w:hAnsi="Times New Roman"/>
          <w:color w:val="000000" w:themeColor="text1"/>
          <w:szCs w:val="24"/>
        </w:rPr>
        <w:t>）的相关规定，本项目水基岩屑和泥浆属于第</w:t>
      </w:r>
      <w:r w:rsidR="008D78B4" w:rsidRPr="00092862">
        <w:rPr>
          <w:rFonts w:ascii="Times New Roman" w:hAnsi="Times New Roman"/>
          <w:color w:val="000000" w:themeColor="text1"/>
          <w:szCs w:val="24"/>
        </w:rPr>
        <w:t>Ⅱ</w:t>
      </w:r>
      <w:r w:rsidR="008D78B4" w:rsidRPr="00092862">
        <w:rPr>
          <w:rFonts w:ascii="Times New Roman" w:hAnsi="Times New Roman"/>
          <w:color w:val="000000" w:themeColor="text1"/>
          <w:szCs w:val="24"/>
        </w:rPr>
        <w:t>类一般工业固体废物</w:t>
      </w:r>
      <w:r w:rsidRPr="00092862">
        <w:rPr>
          <w:rFonts w:ascii="Times New Roman" w:hAnsi="Times New Roman"/>
          <w:color w:val="000000" w:themeColor="text1"/>
          <w:szCs w:val="24"/>
        </w:rPr>
        <w:t>，</w:t>
      </w:r>
      <w:r w:rsidR="00715EFB" w:rsidRPr="00092862">
        <w:rPr>
          <w:rFonts w:ascii="Times New Roman" w:hAnsi="Times New Roman"/>
          <w:color w:val="000000" w:themeColor="text1"/>
          <w:szCs w:val="24"/>
        </w:rPr>
        <w:t>废弃泥浆完井后</w:t>
      </w:r>
      <w:r w:rsidR="000408D0" w:rsidRPr="00092862">
        <w:rPr>
          <w:rFonts w:ascii="Times New Roman" w:hAnsi="Times New Roman"/>
          <w:color w:val="000000" w:themeColor="text1"/>
          <w:szCs w:val="24"/>
        </w:rPr>
        <w:t>及时转运至达州地区环保手续齐全、环保设施稳定运行固废烧结厂进行烧结后综合利用</w:t>
      </w:r>
      <w:r w:rsidRPr="00092862">
        <w:rPr>
          <w:rFonts w:ascii="Times New Roman" w:hAnsi="Times New Roman"/>
          <w:color w:val="000000" w:themeColor="text1"/>
          <w:szCs w:val="24"/>
        </w:rPr>
        <w:t>。</w:t>
      </w:r>
      <w:r w:rsidR="00715EFB" w:rsidRPr="00092862">
        <w:rPr>
          <w:rFonts w:ascii="Times New Roman" w:hAnsi="Times New Roman"/>
          <w:color w:val="000000" w:themeColor="text1"/>
          <w:szCs w:val="24"/>
        </w:rPr>
        <w:t>同时对固废临时堆放区进行防渗，设置雨棚及排水沟。通过以上措</w:t>
      </w:r>
      <w:r w:rsidR="00715EFB" w:rsidRPr="00092862">
        <w:rPr>
          <w:rFonts w:ascii="Times New Roman" w:hAnsi="Times New Roman"/>
          <w:color w:val="000000" w:themeColor="text1"/>
          <w:szCs w:val="24"/>
        </w:rPr>
        <w:lastRenderedPageBreak/>
        <w:t>施，</w:t>
      </w:r>
      <w:r w:rsidR="00852A79" w:rsidRPr="00092862">
        <w:rPr>
          <w:rFonts w:ascii="Times New Roman" w:hAnsi="Times New Roman"/>
          <w:color w:val="000000" w:themeColor="text1"/>
        </w:rPr>
        <w:t>水基钻井固废</w:t>
      </w:r>
      <w:r w:rsidR="00715EFB" w:rsidRPr="00092862">
        <w:rPr>
          <w:rFonts w:ascii="Times New Roman" w:hAnsi="Times New Roman"/>
          <w:color w:val="000000" w:themeColor="text1"/>
          <w:szCs w:val="24"/>
        </w:rPr>
        <w:t>全部综合利用，完钻后现场无遗留。</w:t>
      </w:r>
    </w:p>
    <w:p w14:paraId="4A88D6F7" w14:textId="5FAC008E" w:rsidR="00125FF7" w:rsidRPr="00092862" w:rsidRDefault="00852A79"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00125FF7" w:rsidRPr="00092862">
        <w:rPr>
          <w:rFonts w:ascii="Times New Roman" w:eastAsia="宋体" w:hAnsi="Times New Roman" w:cs="Times New Roman"/>
          <w:color w:val="000000" w:themeColor="text1"/>
          <w:sz w:val="24"/>
        </w:rPr>
        <w:t>）废油</w:t>
      </w:r>
      <w:r w:rsidR="00A2560D" w:rsidRPr="00092862">
        <w:rPr>
          <w:rFonts w:ascii="Times New Roman" w:eastAsia="宋体" w:hAnsi="Times New Roman" w:cs="Times New Roman"/>
          <w:color w:val="000000" w:themeColor="text1"/>
          <w:sz w:val="24"/>
        </w:rPr>
        <w:t>及含油</w:t>
      </w:r>
      <w:r w:rsidR="002E192E" w:rsidRPr="00092862">
        <w:rPr>
          <w:rFonts w:ascii="Times New Roman" w:eastAsia="宋体" w:hAnsi="Times New Roman" w:cs="Times New Roman"/>
          <w:color w:val="000000" w:themeColor="text1"/>
          <w:sz w:val="24"/>
        </w:rPr>
        <w:t>固废</w:t>
      </w:r>
    </w:p>
    <w:p w14:paraId="7EAB969F" w14:textId="4E3C1C33" w:rsidR="00125FF7" w:rsidRPr="00092862" w:rsidRDefault="00125FF7"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钻井过程废油主要来源为：</w:t>
      </w:r>
      <w:r w:rsidRPr="00092862">
        <w:rPr>
          <w:rFonts w:ascii="Times New Roman" w:eastAsia="宋体" w:hAnsi="Times New Roman" w:cs="Times New Roman"/>
          <w:color w:val="000000" w:themeColor="text1"/>
          <w:sz w:val="24"/>
        </w:rPr>
        <w:t>a</w:t>
      </w:r>
      <w:r w:rsidRPr="00092862">
        <w:rPr>
          <w:rFonts w:ascii="Times New Roman" w:eastAsia="宋体" w:hAnsi="Times New Roman" w:cs="Times New Roman"/>
          <w:color w:val="000000" w:themeColor="text1"/>
          <w:sz w:val="24"/>
        </w:rPr>
        <w:t>、机械（泥浆泵、转盘、链条等）润滑废油；</w:t>
      </w:r>
      <w:r w:rsidRPr="00092862">
        <w:rPr>
          <w:rFonts w:ascii="Times New Roman" w:eastAsia="宋体" w:hAnsi="Times New Roman" w:cs="Times New Roman"/>
          <w:color w:val="000000" w:themeColor="text1"/>
          <w:sz w:val="24"/>
        </w:rPr>
        <w:t>b</w:t>
      </w:r>
      <w:r w:rsidRPr="00092862">
        <w:rPr>
          <w:rFonts w:ascii="Times New Roman" w:eastAsia="宋体" w:hAnsi="Times New Roman" w:cs="Times New Roman"/>
          <w:color w:val="000000" w:themeColor="text1"/>
          <w:sz w:val="24"/>
        </w:rPr>
        <w:t>、液压控制管线刺漏，如液压大钳、封井器及液压表传压管线刺漏；</w:t>
      </w:r>
      <w:r w:rsidRPr="00092862">
        <w:rPr>
          <w:rFonts w:ascii="Times New Roman" w:eastAsia="宋体" w:hAnsi="Times New Roman" w:cs="Times New Roman"/>
          <w:color w:val="000000" w:themeColor="text1"/>
          <w:sz w:val="24"/>
        </w:rPr>
        <w:t>c</w:t>
      </w:r>
      <w:r w:rsidRPr="00092862">
        <w:rPr>
          <w:rFonts w:ascii="Times New Roman" w:eastAsia="宋体" w:hAnsi="Times New Roman" w:cs="Times New Roman"/>
          <w:color w:val="000000" w:themeColor="text1"/>
          <w:sz w:val="24"/>
        </w:rPr>
        <w:t>、清洗、保养产生的废油，如更换柴油机零部件和潜洗钻具、套管时产生的废油。钻井产生的废油用废油桶收集，根据类比和现场调查，单井废油产生总量约</w:t>
      </w:r>
      <w:r w:rsidRPr="00092862">
        <w:rPr>
          <w:rFonts w:ascii="Times New Roman" w:eastAsia="宋体" w:hAnsi="Times New Roman" w:cs="Times New Roman"/>
          <w:color w:val="000000" w:themeColor="text1"/>
          <w:sz w:val="24"/>
        </w:rPr>
        <w:t>0.4m</w:t>
      </w:r>
      <w:r w:rsidRPr="00092862">
        <w:rPr>
          <w:rFonts w:ascii="Times New Roman" w:eastAsia="宋体" w:hAnsi="Times New Roman" w:cs="Times New Roman"/>
          <w:color w:val="000000" w:themeColor="text1"/>
          <w:sz w:val="24"/>
          <w:vertAlign w:val="superscript"/>
        </w:rPr>
        <w:t>3</w:t>
      </w:r>
      <w:r w:rsidR="009771EF" w:rsidRPr="00092862">
        <w:rPr>
          <w:rFonts w:ascii="Times New Roman" w:eastAsia="宋体" w:hAnsi="Times New Roman" w:cs="Times New Roman"/>
          <w:color w:val="000000" w:themeColor="text1"/>
          <w:sz w:val="24"/>
        </w:rPr>
        <w:t>（根据普陆</w:t>
      </w:r>
      <w:r w:rsidR="009771EF" w:rsidRPr="00092862">
        <w:rPr>
          <w:rFonts w:ascii="Times New Roman" w:eastAsia="宋体" w:hAnsi="Times New Roman" w:cs="Times New Roman"/>
          <w:color w:val="000000" w:themeColor="text1"/>
          <w:sz w:val="24"/>
        </w:rPr>
        <w:t>4</w:t>
      </w:r>
      <w:r w:rsidR="009771EF" w:rsidRPr="00092862">
        <w:rPr>
          <w:rFonts w:ascii="Times New Roman" w:eastAsia="宋体" w:hAnsi="Times New Roman" w:cs="Times New Roman"/>
          <w:color w:val="000000" w:themeColor="text1"/>
          <w:sz w:val="24"/>
        </w:rPr>
        <w:t>井钻井工程建设项目竣工环境保护验收调查表可知其施工期废油实际产生量约为</w:t>
      </w:r>
      <w:r w:rsidR="009771EF" w:rsidRPr="00092862">
        <w:rPr>
          <w:rFonts w:ascii="Times New Roman" w:eastAsia="宋体" w:hAnsi="Times New Roman" w:cs="Times New Roman"/>
          <w:color w:val="000000" w:themeColor="text1"/>
          <w:sz w:val="24"/>
        </w:rPr>
        <w:t>0.74m</w:t>
      </w:r>
      <w:r w:rsidR="009771EF" w:rsidRPr="00092862">
        <w:rPr>
          <w:rFonts w:ascii="Times New Roman" w:eastAsia="宋体" w:hAnsi="Times New Roman" w:cs="Times New Roman"/>
          <w:color w:val="000000" w:themeColor="text1"/>
          <w:sz w:val="24"/>
          <w:vertAlign w:val="superscript"/>
        </w:rPr>
        <w:t>3</w:t>
      </w:r>
      <w:r w:rsidR="009771EF" w:rsidRPr="00092862">
        <w:rPr>
          <w:rFonts w:ascii="Times New Roman" w:eastAsia="宋体" w:hAnsi="Times New Roman" w:cs="Times New Roman"/>
          <w:color w:val="000000" w:themeColor="text1"/>
          <w:sz w:val="24"/>
        </w:rPr>
        <w:t>，根据普陆</w:t>
      </w:r>
      <w:r w:rsidR="009771EF" w:rsidRPr="00092862">
        <w:rPr>
          <w:rFonts w:ascii="Times New Roman" w:eastAsia="宋体" w:hAnsi="Times New Roman" w:cs="Times New Roman"/>
          <w:color w:val="000000" w:themeColor="text1"/>
          <w:sz w:val="24"/>
        </w:rPr>
        <w:t>5</w:t>
      </w:r>
      <w:r w:rsidR="009771EF" w:rsidRPr="00092862">
        <w:rPr>
          <w:rFonts w:ascii="Times New Roman" w:eastAsia="宋体" w:hAnsi="Times New Roman" w:cs="Times New Roman"/>
          <w:color w:val="000000" w:themeColor="text1"/>
          <w:sz w:val="24"/>
        </w:rPr>
        <w:t>勘探评价井工程建设项目竣工环境保护验收调查表可知其施工期废油实际产生量约为</w:t>
      </w:r>
      <w:r w:rsidR="009771EF" w:rsidRPr="00092862">
        <w:rPr>
          <w:rFonts w:ascii="Times New Roman" w:eastAsia="宋体" w:hAnsi="Times New Roman" w:cs="Times New Roman"/>
          <w:color w:val="000000" w:themeColor="text1"/>
          <w:sz w:val="24"/>
        </w:rPr>
        <w:t>0.57m</w:t>
      </w:r>
      <w:r w:rsidR="009771EF" w:rsidRPr="00092862">
        <w:rPr>
          <w:rFonts w:ascii="Times New Roman" w:eastAsia="宋体" w:hAnsi="Times New Roman" w:cs="Times New Roman"/>
          <w:color w:val="000000" w:themeColor="text1"/>
          <w:sz w:val="24"/>
          <w:vertAlign w:val="superscript"/>
        </w:rPr>
        <w:t>3</w:t>
      </w:r>
      <w:r w:rsidR="009771EF" w:rsidRPr="00092862">
        <w:rPr>
          <w:rFonts w:ascii="Times New Roman" w:eastAsia="宋体" w:hAnsi="Times New Roman" w:cs="Times New Roman"/>
          <w:color w:val="000000" w:themeColor="text1"/>
          <w:sz w:val="24"/>
        </w:rPr>
        <w:t>，综合考虑本项目仅涉及</w:t>
      </w:r>
      <w:r w:rsidR="0019648E" w:rsidRPr="00092862">
        <w:rPr>
          <w:rFonts w:ascii="Times New Roman" w:eastAsia="宋体" w:hAnsi="Times New Roman" w:cs="Times New Roman"/>
          <w:color w:val="000000" w:themeColor="text1"/>
          <w:sz w:val="24"/>
        </w:rPr>
        <w:t>钻井</w:t>
      </w:r>
      <w:r w:rsidR="009771EF" w:rsidRPr="00092862">
        <w:rPr>
          <w:rFonts w:ascii="Times New Roman" w:eastAsia="宋体" w:hAnsi="Times New Roman" w:cs="Times New Roman"/>
          <w:color w:val="000000" w:themeColor="text1"/>
          <w:sz w:val="24"/>
        </w:rPr>
        <w:t>，施工期较短，故单井废油产生总量按</w:t>
      </w:r>
      <w:r w:rsidR="009771EF" w:rsidRPr="00092862">
        <w:rPr>
          <w:rFonts w:ascii="Times New Roman" w:eastAsia="宋体" w:hAnsi="Times New Roman" w:cs="Times New Roman"/>
          <w:color w:val="000000" w:themeColor="text1"/>
          <w:sz w:val="24"/>
        </w:rPr>
        <w:t>0.4m</w:t>
      </w:r>
      <w:r w:rsidR="009771EF" w:rsidRPr="00092862">
        <w:rPr>
          <w:rFonts w:ascii="Times New Roman" w:eastAsia="宋体" w:hAnsi="Times New Roman" w:cs="Times New Roman"/>
          <w:color w:val="000000" w:themeColor="text1"/>
          <w:sz w:val="24"/>
          <w:vertAlign w:val="superscript"/>
        </w:rPr>
        <w:t>3</w:t>
      </w:r>
      <w:r w:rsidR="009771EF" w:rsidRPr="00092862">
        <w:rPr>
          <w:rFonts w:ascii="Times New Roman" w:eastAsia="宋体" w:hAnsi="Times New Roman" w:cs="Times New Roman"/>
          <w:color w:val="000000" w:themeColor="text1"/>
          <w:sz w:val="24"/>
        </w:rPr>
        <w:t>确定）</w:t>
      </w:r>
      <w:r w:rsidRPr="00092862">
        <w:rPr>
          <w:rFonts w:ascii="Times New Roman" w:eastAsia="宋体" w:hAnsi="Times New Roman" w:cs="Times New Roman"/>
          <w:color w:val="000000" w:themeColor="text1"/>
          <w:sz w:val="24"/>
        </w:rPr>
        <w:t>，故本项目产生废油量</w:t>
      </w:r>
      <w:r w:rsidR="00646D58" w:rsidRPr="00092862">
        <w:rPr>
          <w:rFonts w:ascii="Times New Roman" w:eastAsia="宋体" w:hAnsi="Times New Roman" w:cs="Times New Roman"/>
          <w:color w:val="000000" w:themeColor="text1"/>
          <w:sz w:val="24"/>
        </w:rPr>
        <w:t>1.2</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。站内设置废油桶集中收集，废油桶置于</w:t>
      </w:r>
      <w:r w:rsidR="0082425F" w:rsidRPr="00092862">
        <w:rPr>
          <w:rFonts w:ascii="Times New Roman" w:eastAsia="宋体" w:hAnsi="Times New Roman" w:cs="Times New Roman"/>
          <w:color w:val="000000" w:themeColor="text1"/>
          <w:sz w:val="24"/>
        </w:rPr>
        <w:t>暂存于泥浆不落地装置区临时堆放区内</w:t>
      </w:r>
      <w:r w:rsidRPr="00092862">
        <w:rPr>
          <w:rFonts w:ascii="Times New Roman" w:eastAsia="宋体" w:hAnsi="Times New Roman" w:cs="Times New Roman"/>
          <w:color w:val="000000" w:themeColor="text1"/>
          <w:sz w:val="24"/>
        </w:rPr>
        <w:t>，并做好</w:t>
      </w:r>
      <w:bookmarkStart w:id="132" w:name="_Hlk92724012"/>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防风、防雨、防晒、防渗漏</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四防措施</w:t>
      </w:r>
      <w:bookmarkEnd w:id="132"/>
      <w:r w:rsidRPr="00092862">
        <w:rPr>
          <w:rFonts w:ascii="Times New Roman" w:eastAsia="宋体" w:hAnsi="Times New Roman" w:cs="Times New Roman"/>
          <w:color w:val="000000" w:themeColor="text1"/>
          <w:sz w:val="24"/>
        </w:rPr>
        <w:t>，暂存期间做好废油管理记录，通过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092862">
        <w:rPr>
          <w:rFonts w:ascii="Times New Roman" w:eastAsia="宋体" w:hAnsi="Times New Roman" w:cs="Times New Roman"/>
          <w:color w:val="000000" w:themeColor="text1"/>
          <w:sz w:val="24"/>
        </w:rPr>
        <w:t>其他含油固废</w:t>
      </w:r>
      <w:r w:rsidRPr="00092862">
        <w:rPr>
          <w:rFonts w:ascii="Times New Roman" w:eastAsia="宋体" w:hAnsi="Times New Roman" w:cs="Times New Roman"/>
          <w:color w:val="000000" w:themeColor="text1"/>
          <w:sz w:val="24"/>
        </w:rPr>
        <w:t>交由有资质的单位处理。</w:t>
      </w:r>
    </w:p>
    <w:p w14:paraId="17BE4A40" w14:textId="25D351F7" w:rsidR="00E031D5" w:rsidRPr="00092862" w:rsidRDefault="00852A79" w:rsidP="00E031D5">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00E031D5" w:rsidRPr="00092862">
        <w:rPr>
          <w:rFonts w:ascii="Times New Roman" w:eastAsia="宋体" w:hAnsi="Times New Roman" w:cs="Times New Roman"/>
          <w:color w:val="000000" w:themeColor="text1"/>
          <w:sz w:val="24"/>
        </w:rPr>
        <w:t>）废包装材料</w:t>
      </w:r>
    </w:p>
    <w:p w14:paraId="7A332FB8" w14:textId="1F278B97" w:rsidR="00E031D5" w:rsidRPr="00092862" w:rsidRDefault="00E031D5" w:rsidP="00E031D5">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w:t>
      </w:r>
      <w:r w:rsidR="00646D58" w:rsidRPr="00092862">
        <w:rPr>
          <w:rFonts w:ascii="Times New Roman" w:eastAsia="宋体" w:hAnsi="Times New Roman" w:cs="Times New Roman"/>
          <w:color w:val="000000" w:themeColor="text1"/>
          <w:sz w:val="24"/>
        </w:rPr>
        <w:t>单井</w:t>
      </w:r>
      <w:r w:rsidRPr="00092862">
        <w:rPr>
          <w:rFonts w:ascii="Times New Roman" w:eastAsia="宋体" w:hAnsi="Times New Roman" w:cs="Times New Roman"/>
          <w:color w:val="000000" w:themeColor="text1"/>
          <w:sz w:val="24"/>
        </w:rPr>
        <w:t>产生的废包装材料约为</w:t>
      </w:r>
      <w:r w:rsidRPr="00092862">
        <w:rPr>
          <w:rFonts w:ascii="Times New Roman" w:eastAsia="宋体" w:hAnsi="Times New Roman" w:cs="Times New Roman"/>
          <w:color w:val="000000" w:themeColor="text1"/>
          <w:sz w:val="24"/>
        </w:rPr>
        <w:t>2.0t</w:t>
      </w:r>
      <w:r w:rsidR="00646D58" w:rsidRPr="00092862">
        <w:rPr>
          <w:rFonts w:ascii="Times New Roman" w:eastAsia="宋体" w:hAnsi="Times New Roman" w:cs="Times New Roman"/>
          <w:color w:val="000000" w:themeColor="text1"/>
          <w:sz w:val="24"/>
        </w:rPr>
        <w:t>，则本项目</w:t>
      </w:r>
      <w:r w:rsidR="00EC70BF" w:rsidRPr="00092862">
        <w:rPr>
          <w:rFonts w:ascii="Times New Roman" w:eastAsia="宋体" w:hAnsi="Times New Roman" w:cs="Times New Roman"/>
          <w:color w:val="000000" w:themeColor="text1"/>
          <w:sz w:val="24"/>
        </w:rPr>
        <w:t>2</w:t>
      </w:r>
      <w:r w:rsidR="00EC70BF" w:rsidRPr="00092862">
        <w:rPr>
          <w:rFonts w:ascii="Times New Roman" w:eastAsia="宋体" w:hAnsi="Times New Roman" w:cs="Times New Roman"/>
          <w:color w:val="000000" w:themeColor="text1"/>
          <w:sz w:val="24"/>
        </w:rPr>
        <w:t>口井</w:t>
      </w:r>
      <w:r w:rsidR="00646D58" w:rsidRPr="00092862">
        <w:rPr>
          <w:rFonts w:ascii="Times New Roman" w:eastAsia="宋体" w:hAnsi="Times New Roman" w:cs="Times New Roman"/>
          <w:color w:val="000000" w:themeColor="text1"/>
          <w:sz w:val="24"/>
        </w:rPr>
        <w:t>共产生的废包装材料约为</w:t>
      </w:r>
      <w:r w:rsidR="00EC70BF" w:rsidRPr="00092862">
        <w:rPr>
          <w:rFonts w:ascii="Times New Roman" w:eastAsia="宋体" w:hAnsi="Times New Roman" w:cs="Times New Roman"/>
          <w:color w:val="000000" w:themeColor="text1"/>
          <w:sz w:val="24"/>
        </w:rPr>
        <w:t>4</w:t>
      </w:r>
      <w:r w:rsidR="00646D58" w:rsidRPr="00092862">
        <w:rPr>
          <w:rFonts w:ascii="Times New Roman" w:eastAsia="宋体" w:hAnsi="Times New Roman" w:cs="Times New Roman"/>
          <w:color w:val="000000" w:themeColor="text1"/>
          <w:sz w:val="24"/>
        </w:rPr>
        <w:t>.0t</w:t>
      </w:r>
      <w:r w:rsidRPr="00092862">
        <w:rPr>
          <w:rFonts w:ascii="Times New Roman" w:eastAsia="宋体" w:hAnsi="Times New Roman" w:cs="Times New Roman"/>
          <w:color w:val="000000" w:themeColor="text1"/>
          <w:sz w:val="24"/>
        </w:rPr>
        <w:t>，集中收集后集中收集后施工队自己回用部分，剩余的送当地废品回收站处理。</w:t>
      </w:r>
    </w:p>
    <w:p w14:paraId="18BAA812" w14:textId="032DE99C" w:rsidR="000452D8" w:rsidRPr="00092862" w:rsidRDefault="00852A79" w:rsidP="000452D8">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000452D8" w:rsidRPr="00092862">
        <w:rPr>
          <w:rFonts w:ascii="Times New Roman" w:eastAsia="宋体" w:hAnsi="Times New Roman" w:cs="Times New Roman"/>
          <w:color w:val="000000" w:themeColor="text1"/>
          <w:sz w:val="24"/>
        </w:rPr>
        <w:t>）生活垃圾</w:t>
      </w:r>
    </w:p>
    <w:p w14:paraId="4BCE88B0" w14:textId="387613AE" w:rsidR="000452D8" w:rsidRPr="00092862" w:rsidRDefault="000452D8" w:rsidP="00E031D5">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rPr>
        <w:t>生活垃圾来源于钻井施工作业人员的生活，一个井队按</w:t>
      </w:r>
      <w:r w:rsidRPr="00092862">
        <w:rPr>
          <w:rFonts w:ascii="Times New Roman" w:eastAsia="宋体" w:hAnsi="Times New Roman" w:cs="Times New Roman"/>
          <w:color w:val="000000" w:themeColor="text1"/>
          <w:sz w:val="24"/>
        </w:rPr>
        <w:t>45</w:t>
      </w:r>
      <w:r w:rsidRPr="00092862">
        <w:rPr>
          <w:rFonts w:ascii="Times New Roman" w:eastAsia="宋体" w:hAnsi="Times New Roman" w:cs="Times New Roman"/>
          <w:color w:val="000000" w:themeColor="text1"/>
          <w:sz w:val="24"/>
        </w:rPr>
        <w:t>人计，每人每天产生的生活垃圾按</w:t>
      </w:r>
      <w:r w:rsidRPr="00092862">
        <w:rPr>
          <w:rFonts w:ascii="Times New Roman" w:eastAsia="宋体" w:hAnsi="Times New Roman" w:cs="Times New Roman"/>
          <w:color w:val="000000" w:themeColor="text1"/>
          <w:sz w:val="24"/>
        </w:rPr>
        <w:t>0.5kg/d</w:t>
      </w:r>
      <w:r w:rsidRPr="00092862">
        <w:rPr>
          <w:rFonts w:ascii="Times New Roman" w:eastAsia="宋体" w:hAnsi="Times New Roman" w:cs="Times New Roman"/>
          <w:color w:val="000000" w:themeColor="text1"/>
          <w:sz w:val="24"/>
        </w:rPr>
        <w:t>计算，则生活垃圾的产生量约为</w:t>
      </w:r>
      <w:r w:rsidRPr="00092862">
        <w:rPr>
          <w:rFonts w:ascii="Times New Roman" w:eastAsia="宋体" w:hAnsi="Times New Roman" w:cs="Times New Roman"/>
          <w:color w:val="000000" w:themeColor="text1"/>
          <w:sz w:val="24"/>
        </w:rPr>
        <w:t>22.5kg/d</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szCs w:val="24"/>
        </w:rPr>
        <w:t>井场设置垃圾坑收集，定期按井场所在地环卫部门相关要求实施统一妥善处置。</w:t>
      </w:r>
    </w:p>
    <w:p w14:paraId="4D5EB316" w14:textId="77777777" w:rsidR="00316CBA" w:rsidRPr="00092862" w:rsidRDefault="00316CBA"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szCs w:val="24"/>
        </w:rPr>
        <w:t>此外，完井搬迁时可能产生少量建筑垃圾，主要如包装袋，废弃建筑材料等，其量小，由施工队伍统一收集清运至政府指定地方。</w:t>
      </w:r>
    </w:p>
    <w:p w14:paraId="45092317" w14:textId="77777777" w:rsidR="00D60A1F" w:rsidRPr="00092862" w:rsidRDefault="00D60A1F" w:rsidP="00125FF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本项目钻井工程危险废物产生量见下表。</w:t>
      </w:r>
    </w:p>
    <w:p w14:paraId="0A9409DE" w14:textId="060E2F38" w:rsidR="00D60A1F" w:rsidRPr="00092862" w:rsidRDefault="00D60A1F"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3.4-</w:t>
      </w:r>
      <w:r w:rsidR="00D26362"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钻井工程危险废物汇总表表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567"/>
        <w:gridCol w:w="709"/>
        <w:gridCol w:w="709"/>
        <w:gridCol w:w="850"/>
        <w:gridCol w:w="567"/>
        <w:gridCol w:w="709"/>
        <w:gridCol w:w="709"/>
        <w:gridCol w:w="709"/>
        <w:gridCol w:w="708"/>
        <w:gridCol w:w="1423"/>
      </w:tblGrid>
      <w:tr w:rsidR="00697429" w:rsidRPr="00092862" w14:paraId="5B440250" w14:textId="77777777" w:rsidTr="00972EC6">
        <w:trPr>
          <w:cantSplit/>
          <w:jc w:val="center"/>
        </w:trPr>
        <w:tc>
          <w:tcPr>
            <w:tcW w:w="562" w:type="dxa"/>
            <w:vAlign w:val="center"/>
          </w:tcPr>
          <w:p w14:paraId="6C4B3B53"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名称</w:t>
            </w:r>
          </w:p>
        </w:tc>
        <w:tc>
          <w:tcPr>
            <w:tcW w:w="567" w:type="dxa"/>
            <w:vAlign w:val="center"/>
          </w:tcPr>
          <w:p w14:paraId="1D2FC967"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类别</w:t>
            </w:r>
          </w:p>
        </w:tc>
        <w:tc>
          <w:tcPr>
            <w:tcW w:w="709" w:type="dxa"/>
            <w:vAlign w:val="center"/>
          </w:tcPr>
          <w:p w14:paraId="4D4E3DC6"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代码</w:t>
            </w:r>
          </w:p>
        </w:tc>
        <w:tc>
          <w:tcPr>
            <w:tcW w:w="709" w:type="dxa"/>
            <w:vAlign w:val="center"/>
          </w:tcPr>
          <w:p w14:paraId="4DA4A819"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产生量</w:t>
            </w:r>
          </w:p>
        </w:tc>
        <w:tc>
          <w:tcPr>
            <w:tcW w:w="850" w:type="dxa"/>
            <w:vAlign w:val="center"/>
          </w:tcPr>
          <w:p w14:paraId="40D1B8C0"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产生工序及装置</w:t>
            </w:r>
          </w:p>
        </w:tc>
        <w:tc>
          <w:tcPr>
            <w:tcW w:w="567" w:type="dxa"/>
            <w:vAlign w:val="center"/>
          </w:tcPr>
          <w:p w14:paraId="48A96648"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形态</w:t>
            </w:r>
          </w:p>
        </w:tc>
        <w:tc>
          <w:tcPr>
            <w:tcW w:w="709" w:type="dxa"/>
            <w:vAlign w:val="center"/>
          </w:tcPr>
          <w:p w14:paraId="25C5AB67"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主要成分</w:t>
            </w:r>
          </w:p>
        </w:tc>
        <w:tc>
          <w:tcPr>
            <w:tcW w:w="709" w:type="dxa"/>
            <w:vAlign w:val="center"/>
          </w:tcPr>
          <w:p w14:paraId="2B4D60B1"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有害成分</w:t>
            </w:r>
          </w:p>
        </w:tc>
        <w:tc>
          <w:tcPr>
            <w:tcW w:w="709" w:type="dxa"/>
            <w:vAlign w:val="center"/>
          </w:tcPr>
          <w:p w14:paraId="52832AB6"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产废周期</w:t>
            </w:r>
          </w:p>
        </w:tc>
        <w:tc>
          <w:tcPr>
            <w:tcW w:w="708" w:type="dxa"/>
            <w:vAlign w:val="center"/>
          </w:tcPr>
          <w:p w14:paraId="0D0A5BBE"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危险特性</w:t>
            </w:r>
          </w:p>
        </w:tc>
        <w:tc>
          <w:tcPr>
            <w:tcW w:w="1423" w:type="dxa"/>
            <w:vAlign w:val="center"/>
          </w:tcPr>
          <w:p w14:paraId="616E3068"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污染防治措施</w:t>
            </w:r>
          </w:p>
        </w:tc>
      </w:tr>
      <w:tr w:rsidR="00697429" w:rsidRPr="00092862" w14:paraId="13A72E6A" w14:textId="77777777" w:rsidTr="00972EC6">
        <w:trPr>
          <w:cantSplit/>
          <w:jc w:val="center"/>
        </w:trPr>
        <w:tc>
          <w:tcPr>
            <w:tcW w:w="562" w:type="dxa"/>
            <w:tcMar>
              <w:left w:w="0" w:type="dxa"/>
              <w:right w:w="0" w:type="dxa"/>
            </w:tcMar>
            <w:vAlign w:val="center"/>
          </w:tcPr>
          <w:p w14:paraId="01B34D4C" w14:textId="3F072E21"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废油及</w:t>
            </w:r>
            <w:r w:rsidR="00425E5E" w:rsidRPr="00092862">
              <w:rPr>
                <w:rFonts w:ascii="Times New Roman" w:eastAsia="宋体" w:hAnsi="Times New Roman" w:cs="Times New Roman"/>
                <w:color w:val="000000" w:themeColor="text1"/>
                <w:szCs w:val="21"/>
              </w:rPr>
              <w:t>其他</w:t>
            </w:r>
            <w:r w:rsidRPr="00092862">
              <w:rPr>
                <w:rFonts w:ascii="Times New Roman" w:eastAsia="宋体" w:hAnsi="Times New Roman" w:cs="Times New Roman"/>
                <w:color w:val="000000" w:themeColor="text1"/>
                <w:szCs w:val="21"/>
              </w:rPr>
              <w:t>含油</w:t>
            </w:r>
            <w:r w:rsidR="00425E5E" w:rsidRPr="00092862">
              <w:rPr>
                <w:rFonts w:ascii="Times New Roman" w:eastAsia="宋体" w:hAnsi="Times New Roman" w:cs="Times New Roman"/>
                <w:color w:val="000000" w:themeColor="text1"/>
                <w:szCs w:val="21"/>
              </w:rPr>
              <w:t>固废</w:t>
            </w:r>
          </w:p>
        </w:tc>
        <w:tc>
          <w:tcPr>
            <w:tcW w:w="567" w:type="dxa"/>
            <w:vAlign w:val="center"/>
          </w:tcPr>
          <w:p w14:paraId="56A8FD5A"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HW08</w:t>
            </w:r>
          </w:p>
        </w:tc>
        <w:tc>
          <w:tcPr>
            <w:tcW w:w="709" w:type="dxa"/>
            <w:vAlign w:val="center"/>
          </w:tcPr>
          <w:p w14:paraId="2C0C4E00"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900-249-08</w:t>
            </w:r>
          </w:p>
        </w:tc>
        <w:tc>
          <w:tcPr>
            <w:tcW w:w="709" w:type="dxa"/>
            <w:vAlign w:val="center"/>
          </w:tcPr>
          <w:p w14:paraId="6F191A7B" w14:textId="42C2FACA" w:rsidR="00A2560D" w:rsidRPr="00092862" w:rsidRDefault="00646D58"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w:t>
            </w:r>
            <w:r w:rsidR="00A2560D" w:rsidRPr="00092862">
              <w:rPr>
                <w:rFonts w:ascii="Times New Roman" w:eastAsia="宋体" w:hAnsi="Times New Roman" w:cs="Times New Roman"/>
                <w:color w:val="000000" w:themeColor="text1"/>
                <w:szCs w:val="21"/>
              </w:rPr>
              <w:t>m</w:t>
            </w:r>
            <w:r w:rsidR="00A2560D" w:rsidRPr="00092862">
              <w:rPr>
                <w:rFonts w:ascii="Times New Roman" w:eastAsia="宋体" w:hAnsi="Times New Roman" w:cs="Times New Roman"/>
                <w:color w:val="000000" w:themeColor="text1"/>
                <w:szCs w:val="21"/>
                <w:vertAlign w:val="superscript"/>
              </w:rPr>
              <w:t>3</w:t>
            </w:r>
          </w:p>
        </w:tc>
        <w:tc>
          <w:tcPr>
            <w:tcW w:w="850" w:type="dxa"/>
            <w:vAlign w:val="center"/>
          </w:tcPr>
          <w:p w14:paraId="3119E1A3"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钻井机具</w:t>
            </w:r>
          </w:p>
        </w:tc>
        <w:tc>
          <w:tcPr>
            <w:tcW w:w="567" w:type="dxa"/>
            <w:vAlign w:val="center"/>
          </w:tcPr>
          <w:p w14:paraId="48F1F4EB"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半固态</w:t>
            </w:r>
          </w:p>
        </w:tc>
        <w:tc>
          <w:tcPr>
            <w:tcW w:w="709" w:type="dxa"/>
            <w:vAlign w:val="center"/>
          </w:tcPr>
          <w:p w14:paraId="054DB8E3"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废润滑油</w:t>
            </w:r>
          </w:p>
        </w:tc>
        <w:tc>
          <w:tcPr>
            <w:tcW w:w="709" w:type="dxa"/>
            <w:vAlign w:val="center"/>
          </w:tcPr>
          <w:p w14:paraId="11BA83F5"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润滑油</w:t>
            </w:r>
          </w:p>
        </w:tc>
        <w:tc>
          <w:tcPr>
            <w:tcW w:w="709" w:type="dxa"/>
            <w:vAlign w:val="center"/>
          </w:tcPr>
          <w:p w14:paraId="3B64F6EA"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钻井期间</w:t>
            </w:r>
          </w:p>
        </w:tc>
        <w:tc>
          <w:tcPr>
            <w:tcW w:w="708" w:type="dxa"/>
            <w:vAlign w:val="center"/>
          </w:tcPr>
          <w:p w14:paraId="2B614F98" w14:textId="77777777" w:rsidR="00A2560D" w:rsidRPr="00092862" w:rsidRDefault="00A2560D" w:rsidP="00A2560D">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T/I</w:t>
            </w:r>
          </w:p>
        </w:tc>
        <w:tc>
          <w:tcPr>
            <w:tcW w:w="1423" w:type="dxa"/>
            <w:vAlign w:val="center"/>
          </w:tcPr>
          <w:p w14:paraId="4F3732DD" w14:textId="02E35549" w:rsidR="00A2560D" w:rsidRPr="00092862" w:rsidRDefault="00972EC6"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废油桶收集，</w:t>
            </w:r>
            <w:r w:rsidR="0082425F" w:rsidRPr="00092862">
              <w:rPr>
                <w:rFonts w:ascii="Times New Roman" w:eastAsia="宋体" w:hAnsi="Times New Roman" w:cs="Times New Roman"/>
                <w:color w:val="000000" w:themeColor="text1"/>
                <w:szCs w:val="21"/>
              </w:rPr>
              <w:t>暂存于泥浆不落地装置区临时堆放区内</w:t>
            </w:r>
            <w:r w:rsidRPr="00092862">
              <w:rPr>
                <w:rFonts w:ascii="Times New Roman" w:eastAsia="宋体" w:hAnsi="Times New Roman" w:cs="Times New Roman"/>
                <w:color w:val="000000" w:themeColor="text1"/>
                <w:szCs w:val="21"/>
              </w:rPr>
              <w:t>，钻井队综合利用，剩余的交由资质单位处置</w:t>
            </w:r>
          </w:p>
        </w:tc>
      </w:tr>
    </w:tbl>
    <w:p w14:paraId="5D4E1568" w14:textId="77777777" w:rsidR="000C273A" w:rsidRPr="00092862" w:rsidRDefault="000C273A" w:rsidP="000C273A">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平台危险废物贮存场所（设施）基本情况见表</w:t>
      </w:r>
      <w:r w:rsidRPr="00092862">
        <w:rPr>
          <w:rFonts w:ascii="Times New Roman" w:eastAsia="宋体" w:hAnsi="Times New Roman" w:cs="Times New Roman"/>
          <w:color w:val="000000" w:themeColor="text1"/>
          <w:sz w:val="24"/>
        </w:rPr>
        <w:t>2.3-27</w:t>
      </w:r>
      <w:r w:rsidRPr="00092862">
        <w:rPr>
          <w:rFonts w:ascii="Times New Roman" w:eastAsia="宋体" w:hAnsi="Times New Roman" w:cs="Times New Roman"/>
          <w:color w:val="000000" w:themeColor="text1"/>
          <w:sz w:val="24"/>
        </w:rPr>
        <w:t>。</w:t>
      </w:r>
    </w:p>
    <w:p w14:paraId="17981977" w14:textId="41AADBF2" w:rsidR="000C273A" w:rsidRPr="00092862" w:rsidRDefault="000C273A" w:rsidP="000C273A">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C4084" w:rsidRPr="00092862">
        <w:rPr>
          <w:rFonts w:ascii="Times New Roman" w:eastAsia="黑体" w:hAnsi="Times New Roman"/>
          <w:color w:val="000000" w:themeColor="text1"/>
          <w:sz w:val="21"/>
          <w:szCs w:val="21"/>
          <w:lang w:eastAsia="zh-CN"/>
        </w:rPr>
        <w:t>3.4-9</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平台危险废物贮存场所（设施）基本情况一览表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047"/>
        <w:gridCol w:w="735"/>
        <w:gridCol w:w="1132"/>
        <w:gridCol w:w="817"/>
        <w:gridCol w:w="955"/>
        <w:gridCol w:w="817"/>
        <w:gridCol w:w="818"/>
        <w:gridCol w:w="681"/>
        <w:gridCol w:w="714"/>
      </w:tblGrid>
      <w:tr w:rsidR="00697429" w:rsidRPr="00092862" w14:paraId="689EE5F3" w14:textId="77777777" w:rsidTr="000C273A">
        <w:trPr>
          <w:trHeight w:val="864"/>
        </w:trPr>
        <w:tc>
          <w:tcPr>
            <w:tcW w:w="352" w:type="pct"/>
            <w:tcBorders>
              <w:top w:val="single" w:sz="4" w:space="0" w:color="auto"/>
              <w:left w:val="single" w:sz="4" w:space="0" w:color="auto"/>
              <w:bottom w:val="single" w:sz="4" w:space="0" w:color="auto"/>
              <w:right w:val="single" w:sz="4" w:space="0" w:color="auto"/>
            </w:tcBorders>
            <w:vAlign w:val="center"/>
            <w:hideMark/>
          </w:tcPr>
          <w:p w14:paraId="4115A62C"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序号</w:t>
            </w:r>
          </w:p>
        </w:tc>
        <w:tc>
          <w:tcPr>
            <w:tcW w:w="631" w:type="pct"/>
            <w:tcBorders>
              <w:top w:val="single" w:sz="4" w:space="0" w:color="auto"/>
              <w:left w:val="single" w:sz="4" w:space="0" w:color="auto"/>
              <w:bottom w:val="single" w:sz="4" w:space="0" w:color="auto"/>
              <w:right w:val="single" w:sz="4" w:space="0" w:color="auto"/>
            </w:tcBorders>
            <w:vAlign w:val="center"/>
            <w:hideMark/>
          </w:tcPr>
          <w:p w14:paraId="7694CBCF" w14:textId="77777777" w:rsidR="000C273A" w:rsidRPr="00092862" w:rsidRDefault="000C273A" w:rsidP="00711403">
            <w:pPr>
              <w:pStyle w:val="04"/>
              <w:rPr>
                <w:rFonts w:cs="Times New Roman"/>
                <w:color w:val="000000" w:themeColor="text1"/>
              </w:rPr>
            </w:pPr>
            <w:r w:rsidRPr="00092862">
              <w:rPr>
                <w:rFonts w:cs="Times New Roman"/>
                <w:color w:val="000000" w:themeColor="text1"/>
              </w:rPr>
              <w:t>贮存场所（设施）名称</w:t>
            </w:r>
          </w:p>
        </w:tc>
        <w:tc>
          <w:tcPr>
            <w:tcW w:w="443" w:type="pct"/>
            <w:tcBorders>
              <w:top w:val="single" w:sz="4" w:space="0" w:color="auto"/>
              <w:left w:val="single" w:sz="4" w:space="0" w:color="auto"/>
              <w:bottom w:val="single" w:sz="4" w:space="0" w:color="auto"/>
              <w:right w:val="single" w:sz="4" w:space="0" w:color="auto"/>
            </w:tcBorders>
            <w:vAlign w:val="center"/>
            <w:hideMark/>
          </w:tcPr>
          <w:p w14:paraId="455BBEA2"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危险废物名称</w:t>
            </w:r>
          </w:p>
        </w:tc>
        <w:tc>
          <w:tcPr>
            <w:tcW w:w="682" w:type="pct"/>
            <w:tcBorders>
              <w:top w:val="single" w:sz="4" w:space="0" w:color="auto"/>
              <w:left w:val="single" w:sz="4" w:space="0" w:color="auto"/>
              <w:bottom w:val="single" w:sz="4" w:space="0" w:color="auto"/>
              <w:right w:val="single" w:sz="4" w:space="0" w:color="auto"/>
            </w:tcBorders>
            <w:vAlign w:val="center"/>
            <w:hideMark/>
          </w:tcPr>
          <w:p w14:paraId="6BAD1F32"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危险废物类别</w:t>
            </w:r>
          </w:p>
        </w:tc>
        <w:tc>
          <w:tcPr>
            <w:tcW w:w="492" w:type="pct"/>
            <w:tcBorders>
              <w:top w:val="single" w:sz="4" w:space="0" w:color="auto"/>
              <w:left w:val="single" w:sz="4" w:space="0" w:color="auto"/>
              <w:bottom w:val="single" w:sz="4" w:space="0" w:color="auto"/>
              <w:right w:val="single" w:sz="4" w:space="0" w:color="auto"/>
            </w:tcBorders>
            <w:vAlign w:val="center"/>
            <w:hideMark/>
          </w:tcPr>
          <w:p w14:paraId="6B92B2E7"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危险废物代码</w:t>
            </w:r>
          </w:p>
        </w:tc>
        <w:tc>
          <w:tcPr>
            <w:tcW w:w="575" w:type="pct"/>
            <w:tcBorders>
              <w:top w:val="single" w:sz="4" w:space="0" w:color="auto"/>
              <w:left w:val="single" w:sz="4" w:space="0" w:color="auto"/>
              <w:bottom w:val="single" w:sz="4" w:space="0" w:color="auto"/>
              <w:right w:val="single" w:sz="4" w:space="0" w:color="auto"/>
            </w:tcBorders>
            <w:vAlign w:val="center"/>
            <w:hideMark/>
          </w:tcPr>
          <w:p w14:paraId="75E63DED" w14:textId="77777777" w:rsidR="000C273A" w:rsidRPr="00092862" w:rsidRDefault="000C273A" w:rsidP="00711403">
            <w:pPr>
              <w:pStyle w:val="04"/>
              <w:rPr>
                <w:rFonts w:cs="Times New Roman"/>
                <w:color w:val="000000" w:themeColor="text1"/>
              </w:rPr>
            </w:pPr>
            <w:r w:rsidRPr="00092862">
              <w:rPr>
                <w:rFonts w:cs="Times New Roman"/>
                <w:color w:val="000000" w:themeColor="text1"/>
              </w:rPr>
              <w:t>位置</w:t>
            </w:r>
          </w:p>
        </w:tc>
        <w:tc>
          <w:tcPr>
            <w:tcW w:w="492" w:type="pct"/>
            <w:tcBorders>
              <w:top w:val="single" w:sz="4" w:space="0" w:color="auto"/>
              <w:left w:val="single" w:sz="4" w:space="0" w:color="auto"/>
              <w:bottom w:val="single" w:sz="4" w:space="0" w:color="auto"/>
              <w:right w:val="single" w:sz="4" w:space="0" w:color="auto"/>
            </w:tcBorders>
            <w:vAlign w:val="center"/>
            <w:hideMark/>
          </w:tcPr>
          <w:p w14:paraId="1CE2B099"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占地</w:t>
            </w:r>
          </w:p>
          <w:p w14:paraId="3F9DAF08" w14:textId="77777777" w:rsidR="000C273A" w:rsidRPr="00092862" w:rsidRDefault="000C273A" w:rsidP="00711403">
            <w:pPr>
              <w:pStyle w:val="04"/>
              <w:rPr>
                <w:rFonts w:cs="Times New Roman"/>
                <w:color w:val="000000" w:themeColor="text1"/>
              </w:rPr>
            </w:pPr>
            <w:r w:rsidRPr="00092862">
              <w:rPr>
                <w:rFonts w:cs="Times New Roman"/>
                <w:color w:val="000000" w:themeColor="text1"/>
              </w:rPr>
              <w:t>面积</w:t>
            </w:r>
          </w:p>
        </w:tc>
        <w:tc>
          <w:tcPr>
            <w:tcW w:w="493" w:type="pct"/>
            <w:tcBorders>
              <w:top w:val="single" w:sz="4" w:space="0" w:color="auto"/>
              <w:left w:val="single" w:sz="4" w:space="0" w:color="auto"/>
              <w:bottom w:val="single" w:sz="4" w:space="0" w:color="auto"/>
              <w:right w:val="single" w:sz="4" w:space="0" w:color="auto"/>
            </w:tcBorders>
            <w:vAlign w:val="center"/>
            <w:hideMark/>
          </w:tcPr>
          <w:p w14:paraId="1F508A65" w14:textId="77777777" w:rsidR="000C273A" w:rsidRPr="00092862" w:rsidRDefault="000C273A" w:rsidP="00711403">
            <w:pPr>
              <w:pStyle w:val="04"/>
              <w:rPr>
                <w:rFonts w:cs="Times New Roman"/>
                <w:color w:val="000000" w:themeColor="text1"/>
              </w:rPr>
            </w:pPr>
            <w:r w:rsidRPr="00092862">
              <w:rPr>
                <w:rFonts w:cs="Times New Roman"/>
                <w:color w:val="000000" w:themeColor="text1"/>
              </w:rPr>
              <w:t>贮存</w:t>
            </w:r>
          </w:p>
          <w:p w14:paraId="6FD9F8EA" w14:textId="77777777" w:rsidR="000C273A" w:rsidRPr="00092862" w:rsidRDefault="000C273A" w:rsidP="00711403">
            <w:pPr>
              <w:pStyle w:val="04"/>
              <w:rPr>
                <w:rFonts w:cs="Times New Roman"/>
                <w:color w:val="000000" w:themeColor="text1"/>
              </w:rPr>
            </w:pPr>
            <w:r w:rsidRPr="00092862">
              <w:rPr>
                <w:rFonts w:cs="Times New Roman"/>
                <w:color w:val="000000" w:themeColor="text1"/>
              </w:rPr>
              <w:t>方式</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2F1A01" w14:textId="77777777" w:rsidR="000C273A" w:rsidRPr="00092862" w:rsidRDefault="000C273A" w:rsidP="00711403">
            <w:pPr>
              <w:pStyle w:val="04"/>
              <w:rPr>
                <w:rFonts w:cs="Times New Roman"/>
                <w:color w:val="000000" w:themeColor="text1"/>
              </w:rPr>
            </w:pPr>
            <w:r w:rsidRPr="00092862">
              <w:rPr>
                <w:rFonts w:cs="Times New Roman"/>
                <w:color w:val="000000" w:themeColor="text1"/>
              </w:rPr>
              <w:t>贮存</w:t>
            </w:r>
          </w:p>
          <w:p w14:paraId="6205488A" w14:textId="77777777" w:rsidR="000C273A" w:rsidRPr="00092862" w:rsidRDefault="000C273A" w:rsidP="00711403">
            <w:pPr>
              <w:pStyle w:val="04"/>
              <w:rPr>
                <w:rFonts w:cs="Times New Roman"/>
                <w:color w:val="000000" w:themeColor="text1"/>
              </w:rPr>
            </w:pPr>
            <w:r w:rsidRPr="00092862">
              <w:rPr>
                <w:rFonts w:cs="Times New Roman"/>
                <w:color w:val="000000" w:themeColor="text1"/>
              </w:rPr>
              <w:t>能力</w:t>
            </w:r>
          </w:p>
        </w:tc>
        <w:tc>
          <w:tcPr>
            <w:tcW w:w="430" w:type="pct"/>
            <w:tcBorders>
              <w:top w:val="single" w:sz="4" w:space="0" w:color="auto"/>
              <w:left w:val="single" w:sz="4" w:space="0" w:color="auto"/>
              <w:bottom w:val="single" w:sz="4" w:space="0" w:color="auto"/>
              <w:right w:val="single" w:sz="4" w:space="0" w:color="auto"/>
            </w:tcBorders>
            <w:vAlign w:val="center"/>
            <w:hideMark/>
          </w:tcPr>
          <w:p w14:paraId="7FBCCE77" w14:textId="77777777" w:rsidR="000C273A" w:rsidRPr="00092862" w:rsidRDefault="000C273A" w:rsidP="00711403">
            <w:pPr>
              <w:pStyle w:val="04"/>
              <w:rPr>
                <w:rFonts w:cs="Times New Roman"/>
                <w:color w:val="000000" w:themeColor="text1"/>
              </w:rPr>
            </w:pPr>
            <w:r w:rsidRPr="00092862">
              <w:rPr>
                <w:rFonts w:cs="Times New Roman"/>
                <w:color w:val="000000" w:themeColor="text1"/>
              </w:rPr>
              <w:t>贮存</w:t>
            </w:r>
          </w:p>
          <w:p w14:paraId="0949A07F"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周期</w:t>
            </w:r>
          </w:p>
        </w:tc>
      </w:tr>
      <w:tr w:rsidR="00697429" w:rsidRPr="00092862" w14:paraId="1F4D4887" w14:textId="77777777" w:rsidTr="000C273A">
        <w:trPr>
          <w:trHeight w:val="567"/>
        </w:trPr>
        <w:tc>
          <w:tcPr>
            <w:tcW w:w="352" w:type="pct"/>
            <w:tcBorders>
              <w:top w:val="single" w:sz="4" w:space="0" w:color="auto"/>
              <w:left w:val="single" w:sz="4" w:space="0" w:color="auto"/>
              <w:bottom w:val="single" w:sz="4" w:space="0" w:color="auto"/>
              <w:right w:val="single" w:sz="4" w:space="0" w:color="auto"/>
            </w:tcBorders>
            <w:vAlign w:val="center"/>
            <w:hideMark/>
          </w:tcPr>
          <w:p w14:paraId="1403DEED" w14:textId="1F3C957C" w:rsidR="000C273A" w:rsidRPr="00092862" w:rsidRDefault="000C273A" w:rsidP="00711403">
            <w:pPr>
              <w:pStyle w:val="04"/>
              <w:rPr>
                <w:rFonts w:cs="Times New Roman"/>
                <w:color w:val="000000" w:themeColor="text1"/>
              </w:rPr>
            </w:pPr>
            <w:r w:rsidRPr="00092862">
              <w:rPr>
                <w:rFonts w:cs="Times New Roman"/>
                <w:color w:val="000000" w:themeColor="text1"/>
              </w:rPr>
              <w:t>1</w:t>
            </w:r>
          </w:p>
        </w:tc>
        <w:tc>
          <w:tcPr>
            <w:tcW w:w="631" w:type="pct"/>
            <w:tcBorders>
              <w:top w:val="single" w:sz="4" w:space="0" w:color="auto"/>
              <w:left w:val="single" w:sz="4" w:space="0" w:color="auto"/>
              <w:bottom w:val="single" w:sz="4" w:space="0" w:color="auto"/>
              <w:right w:val="single" w:sz="4" w:space="0" w:color="auto"/>
            </w:tcBorders>
            <w:vAlign w:val="center"/>
            <w:hideMark/>
          </w:tcPr>
          <w:p w14:paraId="738BDEEB" w14:textId="77777777" w:rsidR="000C273A" w:rsidRPr="00092862" w:rsidRDefault="000C273A" w:rsidP="00711403">
            <w:pPr>
              <w:pStyle w:val="04"/>
              <w:rPr>
                <w:rFonts w:cs="Times New Roman"/>
                <w:color w:val="000000" w:themeColor="text1"/>
              </w:rPr>
            </w:pPr>
            <w:r w:rsidRPr="00092862">
              <w:rPr>
                <w:rFonts w:cs="Times New Roman"/>
                <w:color w:val="000000" w:themeColor="text1"/>
              </w:rPr>
              <w:t>油桶</w:t>
            </w:r>
          </w:p>
          <w:p w14:paraId="57F3DFBF" w14:textId="0C71034E" w:rsidR="000C273A" w:rsidRPr="00092862" w:rsidRDefault="000C273A" w:rsidP="00711403">
            <w:pPr>
              <w:pStyle w:val="04"/>
              <w:rPr>
                <w:rFonts w:cs="Times New Roman"/>
                <w:color w:val="000000" w:themeColor="text1"/>
              </w:rPr>
            </w:pPr>
            <w:r w:rsidRPr="00092862">
              <w:rPr>
                <w:rFonts w:cs="Times New Roman"/>
                <w:color w:val="000000" w:themeColor="text1"/>
              </w:rPr>
              <w:t>（</w:t>
            </w:r>
            <w:r w:rsidRPr="00092862">
              <w:rPr>
                <w:rFonts w:cs="Times New Roman"/>
                <w:color w:val="000000" w:themeColor="text1"/>
              </w:rPr>
              <w:t>2</w:t>
            </w:r>
            <w:r w:rsidRPr="00092862">
              <w:rPr>
                <w:rFonts w:cs="Times New Roman"/>
                <w:color w:val="000000" w:themeColor="text1"/>
              </w:rPr>
              <w:t>个）</w:t>
            </w:r>
          </w:p>
        </w:tc>
        <w:tc>
          <w:tcPr>
            <w:tcW w:w="443" w:type="pct"/>
            <w:tcBorders>
              <w:top w:val="single" w:sz="4" w:space="0" w:color="auto"/>
              <w:left w:val="single" w:sz="4" w:space="0" w:color="auto"/>
              <w:bottom w:val="single" w:sz="4" w:space="0" w:color="auto"/>
              <w:right w:val="single" w:sz="4" w:space="0" w:color="auto"/>
            </w:tcBorders>
            <w:vAlign w:val="center"/>
            <w:hideMark/>
          </w:tcPr>
          <w:p w14:paraId="41DB7E53"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废油</w:t>
            </w:r>
          </w:p>
        </w:tc>
        <w:tc>
          <w:tcPr>
            <w:tcW w:w="682" w:type="pct"/>
            <w:tcBorders>
              <w:top w:val="single" w:sz="4" w:space="0" w:color="auto"/>
              <w:left w:val="single" w:sz="4" w:space="0" w:color="auto"/>
              <w:bottom w:val="single" w:sz="4" w:space="0" w:color="auto"/>
              <w:right w:val="single" w:sz="4" w:space="0" w:color="auto"/>
            </w:tcBorders>
            <w:vAlign w:val="center"/>
            <w:hideMark/>
          </w:tcPr>
          <w:p w14:paraId="1C8A0B20" w14:textId="77777777" w:rsidR="000C273A" w:rsidRPr="00092862" w:rsidRDefault="000C273A" w:rsidP="00711403">
            <w:pPr>
              <w:pStyle w:val="04"/>
              <w:rPr>
                <w:rFonts w:cs="Times New Roman"/>
                <w:color w:val="000000" w:themeColor="text1"/>
              </w:rPr>
            </w:pPr>
            <w:r w:rsidRPr="00092862">
              <w:rPr>
                <w:rFonts w:cs="Times New Roman"/>
                <w:color w:val="000000" w:themeColor="text1"/>
              </w:rPr>
              <w:t>废矿物油与含矿物油废物</w:t>
            </w:r>
          </w:p>
        </w:tc>
        <w:tc>
          <w:tcPr>
            <w:tcW w:w="492" w:type="pct"/>
            <w:tcBorders>
              <w:top w:val="single" w:sz="4" w:space="0" w:color="auto"/>
              <w:left w:val="single" w:sz="4" w:space="0" w:color="auto"/>
              <w:bottom w:val="single" w:sz="4" w:space="0" w:color="auto"/>
              <w:right w:val="single" w:sz="4" w:space="0" w:color="auto"/>
            </w:tcBorders>
            <w:vAlign w:val="center"/>
            <w:hideMark/>
          </w:tcPr>
          <w:p w14:paraId="76D97D59" w14:textId="77777777" w:rsidR="000C273A" w:rsidRPr="00092862" w:rsidRDefault="000C273A" w:rsidP="00711403">
            <w:pPr>
              <w:pStyle w:val="04"/>
              <w:rPr>
                <w:rFonts w:cs="Times New Roman"/>
                <w:color w:val="000000" w:themeColor="text1"/>
              </w:rPr>
            </w:pPr>
            <w:r w:rsidRPr="00092862">
              <w:rPr>
                <w:rFonts w:cs="Times New Roman"/>
                <w:color w:val="000000" w:themeColor="text1"/>
              </w:rPr>
              <w:t>HW08</w:t>
            </w:r>
          </w:p>
        </w:tc>
        <w:tc>
          <w:tcPr>
            <w:tcW w:w="575" w:type="pct"/>
            <w:tcBorders>
              <w:top w:val="single" w:sz="4" w:space="0" w:color="auto"/>
              <w:left w:val="single" w:sz="4" w:space="0" w:color="auto"/>
              <w:bottom w:val="single" w:sz="4" w:space="0" w:color="auto"/>
              <w:right w:val="single" w:sz="4" w:space="0" w:color="auto"/>
            </w:tcBorders>
            <w:vAlign w:val="center"/>
            <w:hideMark/>
          </w:tcPr>
          <w:p w14:paraId="10AABE6A" w14:textId="2EEDFC8D" w:rsidR="000C273A" w:rsidRPr="00092862" w:rsidRDefault="000C273A" w:rsidP="00711403">
            <w:pPr>
              <w:pStyle w:val="04"/>
              <w:rPr>
                <w:rFonts w:cs="Times New Roman"/>
                <w:color w:val="000000" w:themeColor="text1"/>
              </w:rPr>
            </w:pPr>
            <w:r w:rsidRPr="00092862">
              <w:rPr>
                <w:rFonts w:cs="Times New Roman"/>
                <w:color w:val="000000" w:themeColor="text1"/>
              </w:rPr>
              <w:t>泥浆不落地装置区临时堆放区内</w:t>
            </w:r>
          </w:p>
        </w:tc>
        <w:tc>
          <w:tcPr>
            <w:tcW w:w="492" w:type="pct"/>
            <w:tcBorders>
              <w:top w:val="single" w:sz="4" w:space="0" w:color="auto"/>
              <w:left w:val="single" w:sz="4" w:space="0" w:color="auto"/>
              <w:bottom w:val="single" w:sz="4" w:space="0" w:color="auto"/>
              <w:right w:val="single" w:sz="4" w:space="0" w:color="auto"/>
            </w:tcBorders>
            <w:vAlign w:val="center"/>
            <w:hideMark/>
          </w:tcPr>
          <w:p w14:paraId="01579E63" w14:textId="1A724489" w:rsidR="000C273A" w:rsidRPr="00092862" w:rsidRDefault="000C273A" w:rsidP="00711403">
            <w:pPr>
              <w:pStyle w:val="04"/>
              <w:rPr>
                <w:rFonts w:cs="Times New Roman"/>
                <w:color w:val="000000" w:themeColor="text1"/>
              </w:rPr>
            </w:pPr>
            <w:r w:rsidRPr="00092862">
              <w:rPr>
                <w:rFonts w:cs="Times New Roman"/>
                <w:color w:val="000000" w:themeColor="text1"/>
              </w:rPr>
              <w:t>约</w:t>
            </w:r>
            <w:r w:rsidRPr="00092862">
              <w:rPr>
                <w:rFonts w:cs="Times New Roman"/>
                <w:color w:val="000000" w:themeColor="text1"/>
              </w:rPr>
              <w:t>2m</w:t>
            </w:r>
            <w:r w:rsidRPr="00092862">
              <w:rPr>
                <w:rFonts w:cs="Times New Roman"/>
                <w:color w:val="000000" w:themeColor="text1"/>
                <w:vertAlign w:val="superscript"/>
              </w:rPr>
              <w:t>2</w:t>
            </w:r>
          </w:p>
        </w:tc>
        <w:tc>
          <w:tcPr>
            <w:tcW w:w="493" w:type="pct"/>
            <w:tcBorders>
              <w:top w:val="single" w:sz="4" w:space="0" w:color="auto"/>
              <w:left w:val="single" w:sz="4" w:space="0" w:color="auto"/>
              <w:bottom w:val="single" w:sz="4" w:space="0" w:color="auto"/>
              <w:right w:val="single" w:sz="4" w:space="0" w:color="auto"/>
            </w:tcBorders>
            <w:vAlign w:val="center"/>
            <w:hideMark/>
          </w:tcPr>
          <w:p w14:paraId="1963E015" w14:textId="77777777" w:rsidR="000C273A" w:rsidRPr="00092862" w:rsidRDefault="000C273A" w:rsidP="00711403">
            <w:pPr>
              <w:pStyle w:val="04"/>
              <w:rPr>
                <w:rFonts w:cs="Times New Roman"/>
                <w:color w:val="000000" w:themeColor="text1"/>
              </w:rPr>
            </w:pPr>
            <w:r w:rsidRPr="00092862">
              <w:rPr>
                <w:rFonts w:cs="Times New Roman"/>
                <w:color w:val="000000" w:themeColor="text1"/>
              </w:rPr>
              <w:t>集中</w:t>
            </w:r>
          </w:p>
          <w:p w14:paraId="27984E3D" w14:textId="77777777" w:rsidR="000C273A" w:rsidRPr="00092862" w:rsidRDefault="000C273A" w:rsidP="00711403">
            <w:pPr>
              <w:pStyle w:val="04"/>
              <w:rPr>
                <w:rFonts w:cs="Times New Roman"/>
                <w:color w:val="000000" w:themeColor="text1"/>
              </w:rPr>
            </w:pPr>
            <w:r w:rsidRPr="00092862">
              <w:rPr>
                <w:rFonts w:cs="Times New Roman"/>
                <w:color w:val="000000" w:themeColor="text1"/>
              </w:rPr>
              <w:t>贮存</w:t>
            </w:r>
          </w:p>
        </w:tc>
        <w:tc>
          <w:tcPr>
            <w:tcW w:w="410" w:type="pct"/>
            <w:tcBorders>
              <w:top w:val="single" w:sz="4" w:space="0" w:color="auto"/>
              <w:left w:val="single" w:sz="4" w:space="0" w:color="auto"/>
              <w:bottom w:val="single" w:sz="4" w:space="0" w:color="auto"/>
              <w:right w:val="single" w:sz="4" w:space="0" w:color="auto"/>
            </w:tcBorders>
            <w:vAlign w:val="center"/>
            <w:hideMark/>
          </w:tcPr>
          <w:p w14:paraId="18FE3984" w14:textId="0386C569" w:rsidR="000C273A" w:rsidRPr="00092862" w:rsidRDefault="000C273A" w:rsidP="00711403">
            <w:pPr>
              <w:pStyle w:val="04"/>
              <w:rPr>
                <w:rFonts w:cs="Times New Roman"/>
                <w:color w:val="000000" w:themeColor="text1"/>
              </w:rPr>
            </w:pPr>
            <w:r w:rsidRPr="00092862">
              <w:rPr>
                <w:rFonts w:cs="Times New Roman"/>
                <w:color w:val="000000" w:themeColor="text1"/>
              </w:rPr>
              <w:t>约</w:t>
            </w:r>
            <w:r w:rsidRPr="00092862">
              <w:rPr>
                <w:rFonts w:cs="Times New Roman"/>
                <w:color w:val="000000" w:themeColor="text1"/>
              </w:rPr>
              <w:t>1m</w:t>
            </w:r>
            <w:r w:rsidRPr="00092862">
              <w:rPr>
                <w:rFonts w:cs="Times New Roman"/>
                <w:color w:val="000000" w:themeColor="text1"/>
                <w:vertAlign w:val="superscript"/>
              </w:rPr>
              <w:t>3</w:t>
            </w:r>
          </w:p>
        </w:tc>
        <w:tc>
          <w:tcPr>
            <w:tcW w:w="430" w:type="pct"/>
            <w:tcBorders>
              <w:top w:val="single" w:sz="4" w:space="0" w:color="auto"/>
              <w:left w:val="single" w:sz="4" w:space="0" w:color="auto"/>
              <w:bottom w:val="single" w:sz="4" w:space="0" w:color="auto"/>
              <w:right w:val="single" w:sz="4" w:space="0" w:color="auto"/>
            </w:tcBorders>
            <w:vAlign w:val="center"/>
            <w:hideMark/>
          </w:tcPr>
          <w:p w14:paraId="6BF13363" w14:textId="2BB03435" w:rsidR="000C273A" w:rsidRPr="00092862" w:rsidRDefault="000C273A" w:rsidP="00711403">
            <w:pPr>
              <w:pStyle w:val="04"/>
              <w:rPr>
                <w:rFonts w:cs="Times New Roman"/>
                <w:color w:val="000000" w:themeColor="text1"/>
              </w:rPr>
            </w:pPr>
            <w:r w:rsidRPr="00092862">
              <w:rPr>
                <w:rFonts w:cs="Times New Roman"/>
                <w:color w:val="000000" w:themeColor="text1"/>
              </w:rPr>
              <w:t>60d</w:t>
            </w:r>
          </w:p>
        </w:tc>
      </w:tr>
    </w:tbl>
    <w:p w14:paraId="0FAC6217" w14:textId="32873FC8" w:rsidR="00125FF7" w:rsidRPr="00092862" w:rsidRDefault="00D60A1F" w:rsidP="00972EC6">
      <w:pPr>
        <w:adjustRightInd w:val="0"/>
        <w:snapToGrid w:val="0"/>
        <w:spacing w:beforeLines="50" w:before="120"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w:t>
      </w:r>
      <w:r w:rsidR="00125FF7" w:rsidRPr="00092862">
        <w:rPr>
          <w:rFonts w:ascii="Times New Roman" w:eastAsia="宋体" w:hAnsi="Times New Roman" w:cs="Times New Roman"/>
          <w:color w:val="000000" w:themeColor="text1"/>
          <w:sz w:val="24"/>
        </w:rPr>
        <w:t>固体废物产生量见表</w:t>
      </w:r>
      <w:r w:rsidR="00E031D5" w:rsidRPr="00092862">
        <w:rPr>
          <w:rFonts w:ascii="Times New Roman" w:eastAsia="宋体" w:hAnsi="Times New Roman" w:cs="Times New Roman"/>
          <w:color w:val="000000" w:themeColor="text1"/>
          <w:sz w:val="24"/>
        </w:rPr>
        <w:t>3.</w:t>
      </w:r>
      <w:r w:rsidR="00125FF7" w:rsidRPr="00092862">
        <w:rPr>
          <w:rFonts w:ascii="Times New Roman" w:eastAsia="宋体" w:hAnsi="Times New Roman" w:cs="Times New Roman"/>
          <w:color w:val="000000" w:themeColor="text1"/>
          <w:sz w:val="24"/>
        </w:rPr>
        <w:t>4-</w:t>
      </w:r>
      <w:r w:rsidR="000C4084" w:rsidRPr="00092862">
        <w:rPr>
          <w:rFonts w:ascii="Times New Roman" w:eastAsia="宋体" w:hAnsi="Times New Roman" w:cs="Times New Roman"/>
          <w:color w:val="000000" w:themeColor="text1"/>
          <w:sz w:val="24"/>
        </w:rPr>
        <w:t>10</w:t>
      </w:r>
      <w:r w:rsidR="00125FF7" w:rsidRPr="00092862">
        <w:rPr>
          <w:rFonts w:ascii="Times New Roman" w:eastAsia="宋体" w:hAnsi="Times New Roman" w:cs="Times New Roman"/>
          <w:color w:val="000000" w:themeColor="text1"/>
          <w:sz w:val="24"/>
        </w:rPr>
        <w:t>。</w:t>
      </w:r>
    </w:p>
    <w:p w14:paraId="633BCE11" w14:textId="36174CDF" w:rsidR="00125FF7" w:rsidRPr="00092862" w:rsidRDefault="00125FF7"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D60A1F"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4-</w:t>
      </w:r>
      <w:r w:rsidR="000C4084" w:rsidRPr="00092862">
        <w:rPr>
          <w:rFonts w:ascii="Times New Roman" w:eastAsia="黑体" w:hAnsi="Times New Roman"/>
          <w:color w:val="000000" w:themeColor="text1"/>
          <w:sz w:val="21"/>
          <w:szCs w:val="21"/>
          <w:lang w:eastAsia="zh-CN"/>
        </w:rPr>
        <w:t>10</w:t>
      </w:r>
      <w:r w:rsidR="00D60A1F" w:rsidRPr="00092862">
        <w:rPr>
          <w:rFonts w:ascii="Times New Roman" w:eastAsia="黑体" w:hAnsi="Times New Roman"/>
          <w:color w:val="000000" w:themeColor="text1"/>
          <w:sz w:val="21"/>
          <w:szCs w:val="21"/>
          <w:lang w:eastAsia="zh-CN"/>
        </w:rPr>
        <w:t xml:space="preserve">  </w:t>
      </w:r>
      <w:r w:rsidR="00D60A1F" w:rsidRPr="00092862">
        <w:rPr>
          <w:rFonts w:ascii="Times New Roman" w:eastAsia="黑体" w:hAnsi="Times New Roman"/>
          <w:color w:val="000000" w:themeColor="text1"/>
          <w:sz w:val="21"/>
          <w:szCs w:val="21"/>
          <w:lang w:eastAsia="zh-CN"/>
        </w:rPr>
        <w:t>钻井工程</w:t>
      </w:r>
      <w:r w:rsidRPr="00092862">
        <w:rPr>
          <w:rFonts w:ascii="Times New Roman" w:eastAsia="黑体" w:hAnsi="Times New Roman"/>
          <w:color w:val="000000" w:themeColor="text1"/>
          <w:sz w:val="21"/>
          <w:szCs w:val="21"/>
          <w:lang w:eastAsia="zh-CN"/>
        </w:rPr>
        <w:t>固体废物产生及处置情况一览表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57"/>
        <w:gridCol w:w="1492"/>
        <w:gridCol w:w="996"/>
        <w:gridCol w:w="1049"/>
        <w:gridCol w:w="1607"/>
        <w:gridCol w:w="996"/>
        <w:gridCol w:w="1003"/>
      </w:tblGrid>
      <w:tr w:rsidR="00697429" w:rsidRPr="00092862" w14:paraId="5EF3E764" w14:textId="77777777" w:rsidTr="006A3C6A">
        <w:trPr>
          <w:cantSplit/>
          <w:jc w:val="center"/>
        </w:trPr>
        <w:tc>
          <w:tcPr>
            <w:tcW w:w="697" w:type="pct"/>
            <w:vAlign w:val="center"/>
          </w:tcPr>
          <w:p w14:paraId="085D477C"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固废种类</w:t>
            </w:r>
          </w:p>
        </w:tc>
        <w:tc>
          <w:tcPr>
            <w:tcW w:w="899" w:type="pct"/>
            <w:vAlign w:val="center"/>
          </w:tcPr>
          <w:p w14:paraId="7D8C0356"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水基钻井固废（</w:t>
            </w:r>
            <w:r w:rsidRPr="00092862">
              <w:rPr>
                <w:rFonts w:ascii="Times New Roman" w:eastAsia="宋体" w:hAnsi="Times New Roman" w:cs="Times New Roman"/>
                <w:color w:val="000000" w:themeColor="text1"/>
                <w:szCs w:val="21"/>
              </w:rPr>
              <w:t>t</w:t>
            </w:r>
            <w:r w:rsidRPr="00092862">
              <w:rPr>
                <w:rFonts w:ascii="Times New Roman" w:eastAsia="宋体" w:hAnsi="Times New Roman" w:cs="Times New Roman"/>
                <w:color w:val="000000" w:themeColor="text1"/>
                <w:szCs w:val="21"/>
              </w:rPr>
              <w:t>）</w:t>
            </w:r>
          </w:p>
        </w:tc>
        <w:tc>
          <w:tcPr>
            <w:tcW w:w="600" w:type="pct"/>
            <w:vAlign w:val="center"/>
          </w:tcPr>
          <w:p w14:paraId="76CA76D9"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632" w:type="pct"/>
            <w:vAlign w:val="center"/>
          </w:tcPr>
          <w:p w14:paraId="503E613C"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废包装材料</w:t>
            </w:r>
            <w:r w:rsidRPr="00092862">
              <w:rPr>
                <w:rFonts w:ascii="Times New Roman" w:eastAsia="宋体" w:hAnsi="Times New Roman" w:cs="Times New Roman"/>
                <w:color w:val="000000" w:themeColor="text1"/>
                <w:szCs w:val="21"/>
              </w:rPr>
              <w:t>(t)</w:t>
            </w:r>
          </w:p>
        </w:tc>
        <w:tc>
          <w:tcPr>
            <w:tcW w:w="968" w:type="pct"/>
            <w:vAlign w:val="center"/>
          </w:tcPr>
          <w:p w14:paraId="04252520"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废油</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w:t>
            </w:r>
          </w:p>
        </w:tc>
        <w:tc>
          <w:tcPr>
            <w:tcW w:w="600" w:type="pct"/>
            <w:vAlign w:val="center"/>
          </w:tcPr>
          <w:p w14:paraId="200DE670"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建筑垃圾</w:t>
            </w:r>
          </w:p>
        </w:tc>
        <w:tc>
          <w:tcPr>
            <w:tcW w:w="604" w:type="pct"/>
            <w:vAlign w:val="center"/>
          </w:tcPr>
          <w:p w14:paraId="504E17CD" w14:textId="15D0FB0B"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不能继续使用废油桶、其他含油固废</w:t>
            </w:r>
          </w:p>
        </w:tc>
      </w:tr>
      <w:tr w:rsidR="00697429" w:rsidRPr="00092862" w14:paraId="4DBC9B2E" w14:textId="77777777" w:rsidTr="006A3C6A">
        <w:trPr>
          <w:cantSplit/>
          <w:jc w:val="center"/>
        </w:trPr>
        <w:tc>
          <w:tcPr>
            <w:tcW w:w="697" w:type="pct"/>
            <w:tcMar>
              <w:left w:w="0" w:type="dxa"/>
              <w:right w:w="0" w:type="dxa"/>
            </w:tcMar>
            <w:vAlign w:val="center"/>
          </w:tcPr>
          <w:p w14:paraId="4E00D1F3"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产生量</w:t>
            </w:r>
          </w:p>
        </w:tc>
        <w:tc>
          <w:tcPr>
            <w:tcW w:w="899" w:type="pct"/>
            <w:vAlign w:val="center"/>
          </w:tcPr>
          <w:p w14:paraId="10834354" w14:textId="11A4FA78" w:rsidR="006A3C6A" w:rsidRPr="00092862" w:rsidRDefault="00EC70BF"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4216.39</w:t>
            </w:r>
          </w:p>
        </w:tc>
        <w:tc>
          <w:tcPr>
            <w:tcW w:w="600" w:type="pct"/>
            <w:vAlign w:val="center"/>
          </w:tcPr>
          <w:p w14:paraId="1051C6DD"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22.5kg/d</w:t>
            </w:r>
          </w:p>
        </w:tc>
        <w:tc>
          <w:tcPr>
            <w:tcW w:w="632" w:type="pct"/>
            <w:vAlign w:val="center"/>
          </w:tcPr>
          <w:p w14:paraId="2C46C276" w14:textId="66B795EE" w:rsidR="006A3C6A" w:rsidRPr="00092862" w:rsidRDefault="00646D58"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w:t>
            </w:r>
            <w:r w:rsidR="006A3C6A" w:rsidRPr="00092862">
              <w:rPr>
                <w:rFonts w:ascii="Times New Roman" w:eastAsia="宋体" w:hAnsi="Times New Roman" w:cs="Times New Roman"/>
                <w:color w:val="000000" w:themeColor="text1"/>
                <w:szCs w:val="21"/>
              </w:rPr>
              <w:t>.0</w:t>
            </w:r>
          </w:p>
        </w:tc>
        <w:tc>
          <w:tcPr>
            <w:tcW w:w="968" w:type="pct"/>
            <w:vAlign w:val="center"/>
          </w:tcPr>
          <w:p w14:paraId="319EE8DB" w14:textId="73C7C847" w:rsidR="006A3C6A" w:rsidRPr="00092862" w:rsidRDefault="00646D58"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w:t>
            </w:r>
          </w:p>
        </w:tc>
        <w:tc>
          <w:tcPr>
            <w:tcW w:w="600" w:type="pct"/>
            <w:vAlign w:val="center"/>
          </w:tcPr>
          <w:p w14:paraId="3857F80B"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604" w:type="pct"/>
            <w:vAlign w:val="center"/>
          </w:tcPr>
          <w:p w14:paraId="21D399B6"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r>
      <w:tr w:rsidR="00697429" w:rsidRPr="00092862" w14:paraId="11441C02" w14:textId="77777777" w:rsidTr="006A3C6A">
        <w:trPr>
          <w:cantSplit/>
          <w:jc w:val="center"/>
        </w:trPr>
        <w:tc>
          <w:tcPr>
            <w:tcW w:w="697" w:type="pct"/>
            <w:tcMar>
              <w:left w:w="0" w:type="dxa"/>
              <w:right w:w="0" w:type="dxa"/>
            </w:tcMar>
            <w:vAlign w:val="center"/>
          </w:tcPr>
          <w:p w14:paraId="579A192A"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处置措施及去向</w:t>
            </w:r>
          </w:p>
        </w:tc>
        <w:tc>
          <w:tcPr>
            <w:tcW w:w="899" w:type="pct"/>
            <w:vAlign w:val="center"/>
          </w:tcPr>
          <w:p w14:paraId="4DC437D9" w14:textId="08FD6C2A"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经泥浆不落地工艺进行固液分离后暂存于固废临时堆放区，定期用密闭罐车</w:t>
            </w:r>
            <w:r w:rsidR="000408D0" w:rsidRPr="00092862">
              <w:rPr>
                <w:rFonts w:ascii="Times New Roman" w:eastAsia="宋体" w:hAnsi="Times New Roman" w:cs="Times New Roman"/>
                <w:color w:val="000000" w:themeColor="text1"/>
                <w:szCs w:val="21"/>
              </w:rPr>
              <w:t>及时转运至达州地区环保手续齐全、环保设施稳定运行固废烧结厂进行烧结后综合利用</w:t>
            </w:r>
          </w:p>
        </w:tc>
        <w:tc>
          <w:tcPr>
            <w:tcW w:w="600" w:type="pct"/>
            <w:vAlign w:val="center"/>
          </w:tcPr>
          <w:p w14:paraId="2D3136C9"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集中收集，交由当地环卫部门处置</w:t>
            </w:r>
          </w:p>
        </w:tc>
        <w:tc>
          <w:tcPr>
            <w:tcW w:w="632" w:type="pct"/>
            <w:vAlign w:val="center"/>
          </w:tcPr>
          <w:p w14:paraId="540F8014"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集中收集后部分回用，剩余的送当地废品回收站处理</w:t>
            </w:r>
          </w:p>
        </w:tc>
        <w:tc>
          <w:tcPr>
            <w:tcW w:w="968" w:type="pct"/>
            <w:vAlign w:val="center"/>
          </w:tcPr>
          <w:p w14:paraId="71B16EE8" w14:textId="499CACC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设置废油桶集中收集</w:t>
            </w:r>
            <w:r w:rsidR="0082425F" w:rsidRPr="00092862">
              <w:rPr>
                <w:rFonts w:ascii="Times New Roman" w:eastAsia="宋体" w:hAnsi="Times New Roman" w:cs="Times New Roman"/>
                <w:color w:val="000000" w:themeColor="text1"/>
                <w:szCs w:val="21"/>
              </w:rPr>
              <w:t>暂存于泥浆不落地装置区临时堆放区内</w:t>
            </w:r>
            <w:r w:rsidRPr="00092862">
              <w:rPr>
                <w:rFonts w:ascii="Times New Roman" w:eastAsia="宋体" w:hAnsi="Times New Roman" w:cs="Times New Roman"/>
                <w:color w:val="000000" w:themeColor="text1"/>
                <w:szCs w:val="21"/>
              </w:rPr>
              <w:t>，钻井队综合利用或交由有资质的单位处理</w:t>
            </w:r>
          </w:p>
        </w:tc>
        <w:tc>
          <w:tcPr>
            <w:tcW w:w="600" w:type="pct"/>
            <w:vAlign w:val="center"/>
          </w:tcPr>
          <w:p w14:paraId="3EF8ACD9"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施工队伍统一收集清运至政府指定地方</w:t>
            </w:r>
          </w:p>
        </w:tc>
        <w:tc>
          <w:tcPr>
            <w:tcW w:w="604" w:type="pct"/>
            <w:vAlign w:val="center"/>
          </w:tcPr>
          <w:p w14:paraId="650BD054" w14:textId="77777777" w:rsidR="006A3C6A" w:rsidRPr="00092862" w:rsidRDefault="006A3C6A" w:rsidP="00972EC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交由有资质的单位处理</w:t>
            </w:r>
          </w:p>
        </w:tc>
      </w:tr>
    </w:tbl>
    <w:p w14:paraId="7CF32501" w14:textId="77777777" w:rsidR="00972EC6" w:rsidRPr="00092862" w:rsidRDefault="00972EC6" w:rsidP="00972EC6">
      <w:pPr>
        <w:adjustRightInd w:val="0"/>
        <w:snapToGrid w:val="0"/>
        <w:spacing w:beforeLines="50" w:before="120"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5</w:t>
      </w:r>
      <w:r w:rsidRPr="00092862">
        <w:rPr>
          <w:rFonts w:ascii="Times New Roman" w:eastAsia="宋体" w:hAnsi="Times New Roman" w:cs="Times New Roman"/>
          <w:b/>
          <w:bCs/>
          <w:color w:val="000000" w:themeColor="text1"/>
          <w:sz w:val="24"/>
          <w:szCs w:val="24"/>
        </w:rPr>
        <w:t>）地下水污染</w:t>
      </w:r>
    </w:p>
    <w:p w14:paraId="16DFA4FB" w14:textId="77777777" w:rsidR="00972EC6" w:rsidRPr="00092862" w:rsidRDefault="00972EC6" w:rsidP="00972EC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w:t>
      </w:r>
      <w:r w:rsidR="00CB6644" w:rsidRPr="00092862">
        <w:rPr>
          <w:rFonts w:ascii="Times New Roman" w:eastAsia="宋体" w:hAnsi="Times New Roman" w:cs="Times New Roman"/>
          <w:color w:val="000000" w:themeColor="text1"/>
          <w:sz w:val="24"/>
        </w:rPr>
        <w:t>地下水污染源类型分析</w:t>
      </w:r>
    </w:p>
    <w:p w14:paraId="1CC8F05A" w14:textId="77777777" w:rsidR="00125FF7" w:rsidRPr="00092862" w:rsidRDefault="00CB6644" w:rsidP="00CB6644">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钻井工程对地下水环境可能造成影响的污染源主要是场地内暂存的钻井废水、泥浆、岩屑等的渗滤液以及井下</w:t>
      </w:r>
      <w:r w:rsidR="00FE5317" w:rsidRPr="00092862">
        <w:rPr>
          <w:rFonts w:ascii="Times New Roman" w:eastAsia="宋体" w:hAnsi="Times New Roman" w:cs="Times New Roman"/>
          <w:color w:val="000000" w:themeColor="text1"/>
          <w:sz w:val="24"/>
        </w:rPr>
        <w:t>钻井</w:t>
      </w:r>
      <w:r w:rsidRPr="00092862">
        <w:rPr>
          <w:rFonts w:ascii="Times New Roman" w:eastAsia="宋体" w:hAnsi="Times New Roman" w:cs="Times New Roman"/>
          <w:color w:val="000000" w:themeColor="text1"/>
          <w:sz w:val="24"/>
        </w:rPr>
        <w:t>过程滤失的钻井泥浆和压裂过程井筒破裂漏失的压裂液。</w:t>
      </w:r>
    </w:p>
    <w:p w14:paraId="63B964E4" w14:textId="77777777" w:rsidR="008000C3" w:rsidRPr="00092862" w:rsidRDefault="00CB6644" w:rsidP="008000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）污染途径分析</w:t>
      </w:r>
    </w:p>
    <w:p w14:paraId="5A606182" w14:textId="77777777" w:rsidR="00CB6644" w:rsidRPr="00092862" w:rsidRDefault="00CB6644" w:rsidP="00CB664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钻井工程对地下水产生污染的途径主要有两种，即渗透污染和穿透污染。</w:t>
      </w:r>
    </w:p>
    <w:p w14:paraId="3E899A88" w14:textId="77777777" w:rsidR="00CB6644" w:rsidRPr="00092862" w:rsidRDefault="00CB6644" w:rsidP="00CB664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a</w:t>
      </w:r>
      <w:r w:rsidRPr="00092862">
        <w:rPr>
          <w:rFonts w:ascii="Times New Roman" w:eastAsia="宋体" w:hAnsi="Times New Roman" w:cs="Times New Roman"/>
          <w:bCs/>
          <w:color w:val="000000" w:themeColor="text1"/>
          <w:sz w:val="24"/>
          <w:szCs w:val="24"/>
        </w:rPr>
        <w:t>、渗透污染：钻井泥浆循环系统、泥浆不落地处理系统、油罐、放喷池、原辅材料堆存淋溶雨水等产生、暂存、离析或罐体、池体破裂渗露出的废水、废油通过包气带渗透到潜水含水层而污染地下水，是本项目的主要污染形式。</w:t>
      </w:r>
    </w:p>
    <w:p w14:paraId="3FFA393C" w14:textId="77777777" w:rsidR="00035B47" w:rsidRPr="00092862" w:rsidRDefault="00CB6644" w:rsidP="00CB664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b</w:t>
      </w:r>
      <w:r w:rsidRPr="00092862">
        <w:rPr>
          <w:rFonts w:ascii="Times New Roman" w:eastAsia="宋体" w:hAnsi="Times New Roman" w:cs="Times New Roman"/>
          <w:bCs/>
          <w:color w:val="000000" w:themeColor="text1"/>
          <w:sz w:val="24"/>
          <w:szCs w:val="24"/>
        </w:rPr>
        <w:t>、穿透污染：一般发生在</w:t>
      </w:r>
      <w:r w:rsidR="00FE5317" w:rsidRPr="00092862">
        <w:rPr>
          <w:rFonts w:ascii="Times New Roman" w:eastAsia="宋体" w:hAnsi="Times New Roman" w:cs="Times New Roman"/>
          <w:bCs/>
          <w:color w:val="000000" w:themeColor="text1"/>
          <w:sz w:val="24"/>
          <w:szCs w:val="24"/>
        </w:rPr>
        <w:t>钻井</w:t>
      </w:r>
      <w:r w:rsidRPr="00092862">
        <w:rPr>
          <w:rFonts w:ascii="Times New Roman" w:eastAsia="宋体" w:hAnsi="Times New Roman" w:cs="Times New Roman"/>
          <w:bCs/>
          <w:color w:val="000000" w:themeColor="text1"/>
          <w:sz w:val="24"/>
          <w:szCs w:val="24"/>
        </w:rPr>
        <w:t>过程中的井漏和压裂过程中井筒破裂事故中，在水头压力差的作用下，将有少量钻井泥浆或压裂液滤失，并在含水层中扩散迁移，污染地下水，污染程度与所选用的钻井泥浆体系与压裂方案密切相关。</w:t>
      </w:r>
    </w:p>
    <w:p w14:paraId="7D7286DD" w14:textId="77777777" w:rsidR="00035B47" w:rsidRPr="00092862" w:rsidRDefault="00CB6644"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）地下水污染源源强分析</w:t>
      </w:r>
    </w:p>
    <w:p w14:paraId="2DACC4D9" w14:textId="77777777" w:rsidR="00CB6644" w:rsidRPr="00092862" w:rsidRDefault="00CB6644" w:rsidP="00CB664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：污染物渗滤液：此类废水产生于钻井废水和岩屑等固废在井场内操作区域内暂存中，所含废液经渗露、离析后，向周围岩层渗入、扩散。本项目对井场分区分级防渗处理，正常工况下渗透外泄量极小。</w:t>
      </w:r>
    </w:p>
    <w:p w14:paraId="58087659" w14:textId="2F74BA6F" w:rsidR="00035B47" w:rsidRPr="00092862" w:rsidRDefault="00CB6644" w:rsidP="00CB664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b</w:t>
      </w:r>
      <w:r w:rsidRPr="00092862">
        <w:rPr>
          <w:rFonts w:ascii="Times New Roman" w:eastAsia="宋体" w:hAnsi="Times New Roman" w:cs="Times New Roman"/>
          <w:bCs/>
          <w:color w:val="000000" w:themeColor="text1"/>
          <w:sz w:val="24"/>
          <w:szCs w:val="24"/>
        </w:rPr>
        <w:t>：钻井滤失泥浆：此类影响产生于</w:t>
      </w:r>
      <w:r w:rsidR="00FE5317" w:rsidRPr="00092862">
        <w:rPr>
          <w:rFonts w:ascii="Times New Roman" w:eastAsia="宋体" w:hAnsi="Times New Roman" w:cs="Times New Roman"/>
          <w:bCs/>
          <w:color w:val="000000" w:themeColor="text1"/>
          <w:sz w:val="24"/>
          <w:szCs w:val="24"/>
        </w:rPr>
        <w:t>钻井</w:t>
      </w:r>
      <w:r w:rsidRPr="00092862">
        <w:rPr>
          <w:rFonts w:ascii="Times New Roman" w:eastAsia="宋体" w:hAnsi="Times New Roman" w:cs="Times New Roman"/>
          <w:bCs/>
          <w:color w:val="000000" w:themeColor="text1"/>
          <w:sz w:val="24"/>
          <w:szCs w:val="24"/>
        </w:rPr>
        <w:t>期间的过平衡钻井阶段，钻井泥浆在压力差的作用下，渗透入井壁岩石的裂隙或孔隙中。钻井泥浆监控系统一般在地层滤失量＜</w:t>
      </w:r>
      <w:r w:rsidRPr="00092862">
        <w:rPr>
          <w:rFonts w:ascii="Times New Roman" w:eastAsia="宋体" w:hAnsi="Times New Roman" w:cs="Times New Roman"/>
          <w:bCs/>
          <w:color w:val="000000" w:themeColor="text1"/>
          <w:sz w:val="24"/>
          <w:szCs w:val="24"/>
        </w:rPr>
        <w:t>3m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/h</w:t>
      </w:r>
      <w:r w:rsidRPr="00092862">
        <w:rPr>
          <w:rFonts w:ascii="Times New Roman" w:eastAsia="宋体" w:hAnsi="Times New Roman" w:cs="Times New Roman"/>
          <w:bCs/>
          <w:color w:val="000000" w:themeColor="text1"/>
          <w:sz w:val="24"/>
          <w:szCs w:val="24"/>
        </w:rPr>
        <w:t>时即可发现泥浆漏失，以便及时采取堵漏措施。本项目在每段完钻后及时采用套管水泥固井，从措施上减少井筒内泥浆滤失可能</w:t>
      </w:r>
      <w:r w:rsidR="00E47342" w:rsidRPr="00092862">
        <w:rPr>
          <w:rFonts w:ascii="Times New Roman" w:eastAsia="宋体" w:hAnsi="Times New Roman" w:cs="Times New Roman"/>
          <w:bCs/>
          <w:color w:val="000000" w:themeColor="text1"/>
          <w:sz w:val="24"/>
          <w:szCs w:val="24"/>
        </w:rPr>
        <w:t>，且本项目仅涉及深层</w:t>
      </w:r>
      <w:r w:rsidR="0019648E" w:rsidRPr="00092862">
        <w:rPr>
          <w:rFonts w:ascii="Times New Roman" w:eastAsia="宋体" w:hAnsi="Times New Roman" w:cs="Times New Roman"/>
          <w:bCs/>
          <w:color w:val="000000" w:themeColor="text1"/>
          <w:sz w:val="24"/>
          <w:szCs w:val="24"/>
        </w:rPr>
        <w:t>钻井</w:t>
      </w:r>
      <w:r w:rsidRPr="00092862">
        <w:rPr>
          <w:rFonts w:ascii="Times New Roman" w:eastAsia="宋体" w:hAnsi="Times New Roman" w:cs="Times New Roman"/>
          <w:bCs/>
          <w:color w:val="000000" w:themeColor="text1"/>
          <w:sz w:val="24"/>
          <w:szCs w:val="24"/>
        </w:rPr>
        <w:t>。</w:t>
      </w:r>
    </w:p>
    <w:p w14:paraId="57B1130A" w14:textId="77777777" w:rsidR="00CB6644" w:rsidRPr="00092862" w:rsidRDefault="00CB6644" w:rsidP="00CB6644">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6</w:t>
      </w:r>
      <w:r w:rsidRPr="00092862">
        <w:rPr>
          <w:rFonts w:ascii="Times New Roman" w:eastAsia="宋体" w:hAnsi="Times New Roman" w:cs="Times New Roman"/>
          <w:b/>
          <w:color w:val="000000" w:themeColor="text1"/>
          <w:sz w:val="24"/>
          <w:szCs w:val="24"/>
        </w:rPr>
        <w:t>）环境风险</w:t>
      </w:r>
    </w:p>
    <w:p w14:paraId="3F345740" w14:textId="271185B4" w:rsidR="00035B47" w:rsidRPr="00092862" w:rsidRDefault="00CB6644" w:rsidP="00CB664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本项目存在一定的环境风险，主要表现为钻井井喷失控或泄漏的天然气导致的火灾爆炸环境风险事故，以及泄漏天然气导致的环境风险事故；此外还表现为井场</w:t>
      </w:r>
      <w:r w:rsidR="00635899" w:rsidRPr="00092862">
        <w:rPr>
          <w:rFonts w:ascii="Times New Roman" w:eastAsia="宋体" w:hAnsi="Times New Roman" w:cs="Times New Roman"/>
          <w:bCs/>
          <w:color w:val="000000" w:themeColor="text1"/>
          <w:sz w:val="24"/>
          <w:szCs w:val="24"/>
        </w:rPr>
        <w:t>罐区</w:t>
      </w:r>
      <w:r w:rsidRPr="00092862">
        <w:rPr>
          <w:rFonts w:ascii="Times New Roman" w:eastAsia="宋体" w:hAnsi="Times New Roman" w:cs="Times New Roman"/>
          <w:bCs/>
          <w:color w:val="000000" w:themeColor="text1"/>
          <w:sz w:val="24"/>
          <w:szCs w:val="24"/>
        </w:rPr>
        <w:t>及放喷池池体渗漏污染地表土壤和浅层地下水；井筒内套管破损导致钻井过程中钻井泥浆漏失，进入地下水环境，污染地下水环境；油罐区存储的柴油泄漏环境风险；</w:t>
      </w:r>
      <w:r w:rsidR="00635899" w:rsidRPr="00092862">
        <w:rPr>
          <w:rFonts w:ascii="Times New Roman" w:eastAsia="宋体" w:hAnsi="Times New Roman" w:cs="Times New Roman"/>
          <w:bCs/>
          <w:color w:val="000000" w:themeColor="text1"/>
          <w:sz w:val="24"/>
          <w:szCs w:val="24"/>
        </w:rPr>
        <w:t>污染物</w:t>
      </w:r>
      <w:r w:rsidRPr="00092862">
        <w:rPr>
          <w:rFonts w:ascii="Times New Roman" w:eastAsia="宋体" w:hAnsi="Times New Roman" w:cs="Times New Roman"/>
          <w:bCs/>
          <w:color w:val="000000" w:themeColor="text1"/>
          <w:sz w:val="24"/>
          <w:szCs w:val="24"/>
        </w:rPr>
        <w:t>外运处理中的运输风险等。</w:t>
      </w:r>
    </w:p>
    <w:p w14:paraId="3C721B44" w14:textId="2B36D0EB" w:rsidR="009C286D" w:rsidRPr="00092862" w:rsidRDefault="00E47342" w:rsidP="00E47342">
      <w:pPr>
        <w:adjustRightInd w:val="0"/>
        <w:snapToGrid w:val="0"/>
        <w:spacing w:line="360" w:lineRule="auto"/>
        <w:ind w:firstLineChars="200" w:firstLine="480"/>
        <w:outlineLvl w:val="3"/>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3.4.1.3</w:t>
      </w:r>
      <w:r w:rsidR="00F30AFD" w:rsidRPr="00092862">
        <w:rPr>
          <w:rFonts w:ascii="Times New Roman" w:eastAsia="黑体" w:hAnsi="Times New Roman" w:cs="Times New Roman"/>
          <w:color w:val="000000" w:themeColor="text1"/>
          <w:sz w:val="24"/>
          <w:szCs w:val="24"/>
        </w:rPr>
        <w:t>集气站</w:t>
      </w:r>
      <w:r w:rsidR="009C286D" w:rsidRPr="00092862">
        <w:rPr>
          <w:rFonts w:ascii="Times New Roman" w:eastAsia="黑体" w:hAnsi="Times New Roman" w:cs="Times New Roman"/>
          <w:color w:val="000000" w:themeColor="text1"/>
          <w:sz w:val="24"/>
          <w:szCs w:val="24"/>
        </w:rPr>
        <w:t>工程</w:t>
      </w:r>
    </w:p>
    <w:p w14:paraId="72D2206E" w14:textId="37742B73" w:rsidR="006D09BB" w:rsidRPr="00092862" w:rsidRDefault="001A6854" w:rsidP="006D09B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rPr>
        <w:t>试采期</w:t>
      </w:r>
      <w:r w:rsidR="006D09BB" w:rsidRPr="00092862">
        <w:rPr>
          <w:rFonts w:ascii="Times New Roman" w:eastAsia="宋体" w:hAnsi="Times New Roman" w:cs="Times New Roman"/>
          <w:bCs/>
          <w:color w:val="000000" w:themeColor="text1"/>
          <w:sz w:val="24"/>
        </w:rPr>
        <w:t>试采工程建设内容为</w:t>
      </w:r>
      <w:r w:rsidR="00E47342" w:rsidRPr="00092862">
        <w:rPr>
          <w:rFonts w:ascii="Times New Roman" w:eastAsia="宋体" w:hAnsi="Times New Roman" w:cs="Times New Roman"/>
          <w:bCs/>
          <w:color w:val="000000" w:themeColor="text1"/>
          <w:sz w:val="24"/>
        </w:rPr>
        <w:t>对拆除的</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E47342" w:rsidRPr="00092862">
        <w:rPr>
          <w:rFonts w:ascii="Times New Roman" w:eastAsia="宋体" w:hAnsi="Times New Roman" w:cs="Times New Roman"/>
          <w:bCs/>
          <w:color w:val="000000" w:themeColor="text1"/>
          <w:sz w:val="24"/>
        </w:rPr>
        <w:t>集气站设施设备进行复建，并将甲醇加注撬更换为乙二醇加注撬</w:t>
      </w:r>
      <w:r w:rsidR="007D7009" w:rsidRPr="00092862">
        <w:rPr>
          <w:rFonts w:ascii="Times New Roman" w:eastAsia="宋体" w:hAnsi="Times New Roman" w:cs="Times New Roman"/>
          <w:bCs/>
          <w:color w:val="000000" w:themeColor="text1"/>
          <w:sz w:val="24"/>
        </w:rPr>
        <w:t>，</w:t>
      </w:r>
      <w:r w:rsidR="007D7009" w:rsidRPr="00092862">
        <w:rPr>
          <w:rFonts w:ascii="Times New Roman" w:eastAsia="宋体" w:hAnsi="Times New Roman" w:cs="Times New Roman"/>
          <w:color w:val="000000" w:themeColor="text1"/>
          <w:sz w:val="24"/>
        </w:rPr>
        <w:t>新增单井超声波流量计</w:t>
      </w:r>
      <w:r w:rsidR="007D7009" w:rsidRPr="00092862">
        <w:rPr>
          <w:rFonts w:ascii="Times New Roman" w:eastAsia="宋体" w:hAnsi="Times New Roman" w:cs="Times New Roman"/>
          <w:color w:val="000000" w:themeColor="text1"/>
          <w:sz w:val="24"/>
        </w:rPr>
        <w:t>1</w:t>
      </w:r>
      <w:r w:rsidR="007D7009" w:rsidRPr="00092862">
        <w:rPr>
          <w:rFonts w:ascii="Times New Roman" w:eastAsia="宋体" w:hAnsi="Times New Roman" w:cs="Times New Roman"/>
          <w:color w:val="000000" w:themeColor="text1"/>
          <w:sz w:val="24"/>
        </w:rPr>
        <w:t>台</w:t>
      </w:r>
      <w:r w:rsidR="00903150" w:rsidRPr="00092862">
        <w:rPr>
          <w:rFonts w:ascii="Times New Roman" w:eastAsia="宋体" w:hAnsi="Times New Roman" w:cs="Times New Roman"/>
          <w:bCs/>
          <w:color w:val="000000" w:themeColor="text1"/>
          <w:sz w:val="24"/>
        </w:rPr>
        <w:t>。</w:t>
      </w:r>
      <w:r w:rsidR="006D09BB" w:rsidRPr="00092862">
        <w:rPr>
          <w:rFonts w:ascii="Times New Roman" w:eastAsia="宋体" w:hAnsi="Times New Roman" w:cs="Times New Roman"/>
          <w:bCs/>
          <w:color w:val="000000" w:themeColor="text1"/>
          <w:sz w:val="24"/>
        </w:rPr>
        <w:t>站场施工工作均在完井后的井场内建设，施工期</w:t>
      </w:r>
      <w:r w:rsidR="00FC32C6" w:rsidRPr="00092862">
        <w:rPr>
          <w:rFonts w:ascii="Times New Roman" w:eastAsia="宋体" w:hAnsi="Times New Roman" w:cs="Times New Roman"/>
          <w:bCs/>
          <w:color w:val="000000" w:themeColor="text1"/>
          <w:sz w:val="24"/>
        </w:rPr>
        <w:t>较</w:t>
      </w:r>
      <w:r w:rsidR="006D09BB" w:rsidRPr="00092862">
        <w:rPr>
          <w:rFonts w:ascii="Times New Roman" w:eastAsia="宋体" w:hAnsi="Times New Roman" w:cs="Times New Roman"/>
          <w:bCs/>
          <w:color w:val="000000" w:themeColor="text1"/>
          <w:sz w:val="24"/>
        </w:rPr>
        <w:t>短，其污染物产生量</w:t>
      </w:r>
      <w:r w:rsidR="00FC32C6" w:rsidRPr="00092862">
        <w:rPr>
          <w:rFonts w:ascii="Times New Roman" w:eastAsia="宋体" w:hAnsi="Times New Roman" w:cs="Times New Roman"/>
          <w:bCs/>
          <w:color w:val="000000" w:themeColor="text1"/>
          <w:sz w:val="24"/>
        </w:rPr>
        <w:t>较</w:t>
      </w:r>
      <w:r w:rsidR="006D09BB" w:rsidRPr="00092862">
        <w:rPr>
          <w:rFonts w:ascii="Times New Roman" w:eastAsia="宋体" w:hAnsi="Times New Roman" w:cs="Times New Roman"/>
          <w:bCs/>
          <w:color w:val="000000" w:themeColor="text1"/>
          <w:sz w:val="24"/>
        </w:rPr>
        <w:t>少，对环境的影响</w:t>
      </w:r>
      <w:r w:rsidR="00FC32C6" w:rsidRPr="00092862">
        <w:rPr>
          <w:rFonts w:ascii="Times New Roman" w:eastAsia="宋体" w:hAnsi="Times New Roman" w:cs="Times New Roman"/>
          <w:bCs/>
          <w:color w:val="000000" w:themeColor="text1"/>
          <w:sz w:val="24"/>
        </w:rPr>
        <w:t>较</w:t>
      </w:r>
      <w:r w:rsidR="006D09BB" w:rsidRPr="00092862">
        <w:rPr>
          <w:rFonts w:ascii="Times New Roman" w:eastAsia="宋体" w:hAnsi="Times New Roman" w:cs="Times New Roman"/>
          <w:bCs/>
          <w:color w:val="000000" w:themeColor="text1"/>
          <w:sz w:val="24"/>
        </w:rPr>
        <w:t>小。</w:t>
      </w:r>
    </w:p>
    <w:p w14:paraId="0233010B" w14:textId="77777777" w:rsidR="006D09BB" w:rsidRPr="00092862" w:rsidRDefault="006D09BB" w:rsidP="006D09BB">
      <w:pPr>
        <w:pStyle w:val="ac"/>
        <w:adjustRightInd w:val="0"/>
        <w:snapToGrid w:val="0"/>
        <w:spacing w:before="0" w:line="360" w:lineRule="auto"/>
        <w:ind w:left="0" w:firstLineChars="200" w:firstLine="482"/>
        <w:jc w:val="both"/>
        <w:rPr>
          <w:rFonts w:ascii="Times New Roman" w:hAnsi="Times New Roman"/>
          <w:b/>
          <w:bCs/>
          <w:color w:val="000000" w:themeColor="text1"/>
          <w:lang w:eastAsia="zh-CN"/>
        </w:rPr>
      </w:pPr>
      <w:r w:rsidRPr="00092862">
        <w:rPr>
          <w:rFonts w:ascii="Times New Roman" w:hAnsi="Times New Roman"/>
          <w:b/>
          <w:bCs/>
          <w:color w:val="000000" w:themeColor="text1"/>
          <w:lang w:eastAsia="zh-CN"/>
        </w:rPr>
        <w:t>（</w:t>
      </w:r>
      <w:r w:rsidRPr="00092862">
        <w:rPr>
          <w:rFonts w:ascii="Times New Roman" w:hAnsi="Times New Roman"/>
          <w:b/>
          <w:bCs/>
          <w:color w:val="000000" w:themeColor="text1"/>
          <w:lang w:eastAsia="zh-CN"/>
        </w:rPr>
        <w:t>1</w:t>
      </w:r>
      <w:r w:rsidRPr="00092862">
        <w:rPr>
          <w:rFonts w:ascii="Times New Roman" w:hAnsi="Times New Roman"/>
          <w:b/>
          <w:bCs/>
          <w:color w:val="000000" w:themeColor="text1"/>
          <w:lang w:eastAsia="zh-CN"/>
        </w:rPr>
        <w:t>）生态环境</w:t>
      </w:r>
    </w:p>
    <w:p w14:paraId="79BBB7D1" w14:textId="7C24190C" w:rsidR="006D09BB" w:rsidRPr="00092862" w:rsidRDefault="006D09BB" w:rsidP="006D09B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由于站场施工工作全部在钻井井场内完成，占地</w:t>
      </w:r>
      <w:r w:rsidR="007E561D" w:rsidRPr="00092862">
        <w:rPr>
          <w:rFonts w:ascii="Times New Roman" w:eastAsia="宋体" w:hAnsi="Times New Roman" w:cs="Times New Roman"/>
          <w:bCs/>
          <w:color w:val="000000" w:themeColor="text1"/>
          <w:sz w:val="24"/>
        </w:rPr>
        <w:t>均位于原永久占地范围内</w:t>
      </w:r>
      <w:r w:rsidRPr="00092862">
        <w:rPr>
          <w:rFonts w:ascii="Times New Roman" w:eastAsia="宋体" w:hAnsi="Times New Roman" w:cs="Times New Roman"/>
          <w:bCs/>
          <w:color w:val="000000" w:themeColor="text1"/>
          <w:sz w:val="24"/>
        </w:rPr>
        <w:t>，生态影响主要为部分设备基础建设造成施工区域土地裸露，在雨季极易产生径流，加重土壤侵蚀程度，造成水土流失。本项目在设备安装完毕后及时进行场</w:t>
      </w:r>
      <w:r w:rsidRPr="00092862">
        <w:rPr>
          <w:rFonts w:ascii="Times New Roman" w:eastAsia="宋体" w:hAnsi="Times New Roman" w:cs="Times New Roman"/>
          <w:bCs/>
          <w:color w:val="000000" w:themeColor="text1"/>
          <w:sz w:val="24"/>
        </w:rPr>
        <w:lastRenderedPageBreak/>
        <w:t>站内道路硬化和绿化</w:t>
      </w:r>
      <w:r w:rsidR="00903150"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减少场站</w:t>
      </w:r>
      <w:r w:rsidR="00903150" w:rsidRPr="00092862">
        <w:rPr>
          <w:rFonts w:ascii="Times New Roman" w:eastAsia="宋体" w:hAnsi="Times New Roman" w:cs="Times New Roman"/>
          <w:bCs/>
          <w:color w:val="000000" w:themeColor="text1"/>
          <w:sz w:val="24"/>
        </w:rPr>
        <w:t>施工区</w:t>
      </w:r>
      <w:r w:rsidRPr="00092862">
        <w:rPr>
          <w:rFonts w:ascii="Times New Roman" w:eastAsia="宋体" w:hAnsi="Times New Roman" w:cs="Times New Roman"/>
          <w:bCs/>
          <w:color w:val="000000" w:themeColor="text1"/>
          <w:sz w:val="24"/>
        </w:rPr>
        <w:t>水土流失。</w:t>
      </w:r>
    </w:p>
    <w:p w14:paraId="3187CF4E" w14:textId="77777777" w:rsidR="006D09BB" w:rsidRPr="00092862" w:rsidRDefault="006D09BB" w:rsidP="006D09BB">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2</w:t>
      </w:r>
      <w:r w:rsidRPr="00092862">
        <w:rPr>
          <w:rFonts w:ascii="Times New Roman" w:eastAsia="宋体" w:hAnsi="Times New Roman" w:cs="Times New Roman"/>
          <w:b/>
          <w:color w:val="000000" w:themeColor="text1"/>
          <w:sz w:val="24"/>
        </w:rPr>
        <w:t>）废气</w:t>
      </w:r>
    </w:p>
    <w:p w14:paraId="134F1055" w14:textId="1E7ED2C1" w:rsidR="0083509C" w:rsidRPr="00092862" w:rsidRDefault="006D09BB" w:rsidP="006D09B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施工期废气主要为施工机具作业时产生的尾气，基础开挖、场地平整及物料装卸等施工过程产生的粉尘，车辆运输产生的二次扬尘等</w:t>
      </w:r>
      <w:r w:rsidR="0083509C" w:rsidRPr="00092862">
        <w:rPr>
          <w:rFonts w:ascii="Times New Roman" w:eastAsia="宋体" w:hAnsi="Times New Roman" w:cs="Times New Roman"/>
          <w:bCs/>
          <w:color w:val="000000" w:themeColor="text1"/>
          <w:sz w:val="24"/>
        </w:rPr>
        <w:t>，产生量较少，通过自然扩散后对环境影响较小。</w:t>
      </w:r>
    </w:p>
    <w:p w14:paraId="2DF44FC8" w14:textId="77777777" w:rsidR="006D09BB" w:rsidRPr="00092862" w:rsidRDefault="006D09BB" w:rsidP="006D09BB">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3</w:t>
      </w:r>
      <w:r w:rsidRPr="00092862">
        <w:rPr>
          <w:rFonts w:ascii="Times New Roman" w:eastAsia="宋体" w:hAnsi="Times New Roman" w:cs="Times New Roman"/>
          <w:b/>
          <w:color w:val="000000" w:themeColor="text1"/>
          <w:sz w:val="24"/>
        </w:rPr>
        <w:t>）废水</w:t>
      </w:r>
    </w:p>
    <w:p w14:paraId="10A58174" w14:textId="2ED7650F" w:rsidR="006D09BB" w:rsidRPr="00092862" w:rsidRDefault="006D09BB" w:rsidP="006D09B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color w:val="000000" w:themeColor="text1"/>
          <w:sz w:val="24"/>
          <w:szCs w:val="24"/>
        </w:rPr>
        <w:t>废水主要施工废水</w:t>
      </w:r>
      <w:r w:rsidRPr="00092862">
        <w:rPr>
          <w:rFonts w:ascii="Times New Roman" w:eastAsia="宋体" w:hAnsi="Times New Roman" w:cs="Times New Roman"/>
          <w:bCs/>
          <w:color w:val="000000" w:themeColor="text1"/>
          <w:sz w:val="24"/>
          <w:szCs w:val="24"/>
        </w:rPr>
        <w:t>（主要污染物为</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color w:val="000000" w:themeColor="text1"/>
          <w:sz w:val="24"/>
          <w:szCs w:val="24"/>
        </w:rPr>
        <w:t>以及施工人员的生活污水（主要污染物为</w:t>
      </w:r>
      <w:r w:rsidRPr="00092862">
        <w:rPr>
          <w:rFonts w:ascii="Times New Roman" w:eastAsia="宋体" w:hAnsi="Times New Roman" w:cs="Times New Roman"/>
          <w:bCs/>
          <w:color w:val="000000" w:themeColor="text1"/>
          <w:sz w:val="24"/>
          <w:szCs w:val="24"/>
        </w:rPr>
        <w:t>COD</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和</w:t>
      </w:r>
      <w:r w:rsidRPr="00092862">
        <w:rPr>
          <w:rFonts w:ascii="Times New Roman" w:eastAsia="宋体" w:hAnsi="Times New Roman" w:cs="Times New Roman"/>
          <w:bCs/>
          <w:color w:val="000000" w:themeColor="text1"/>
          <w:sz w:val="24"/>
          <w:szCs w:val="24"/>
        </w:rPr>
        <w:t>NH</w:t>
      </w:r>
      <w:r w:rsidRPr="00092862">
        <w:rPr>
          <w:rFonts w:ascii="Times New Roman" w:eastAsia="宋体" w:hAnsi="Times New Roman" w:cs="Times New Roman"/>
          <w:bCs/>
          <w:color w:val="000000" w:themeColor="text1"/>
          <w:sz w:val="24"/>
          <w:szCs w:val="24"/>
          <w:vertAlign w:val="subscript"/>
        </w:rPr>
        <w:t>3</w:t>
      </w:r>
      <w:r w:rsidRPr="00092862">
        <w:rPr>
          <w:rFonts w:ascii="Times New Roman" w:eastAsia="宋体" w:hAnsi="Times New Roman" w:cs="Times New Roman"/>
          <w:bCs/>
          <w:color w:val="000000" w:themeColor="text1"/>
          <w:sz w:val="24"/>
          <w:szCs w:val="24"/>
        </w:rPr>
        <w:t>-N</w:t>
      </w:r>
      <w:r w:rsidRPr="00092862">
        <w:rPr>
          <w:rFonts w:ascii="Times New Roman" w:eastAsia="宋体" w:hAnsi="Times New Roman" w:cs="Times New Roman"/>
          <w:bCs/>
          <w:color w:val="000000" w:themeColor="text1"/>
          <w:sz w:val="24"/>
          <w:szCs w:val="24"/>
        </w:rPr>
        <w:t>等</w:t>
      </w:r>
      <w:r w:rsidRPr="00092862">
        <w:rPr>
          <w:rFonts w:ascii="Times New Roman" w:eastAsia="宋体" w:hAnsi="Times New Roman" w:cs="Times New Roman"/>
          <w:color w:val="000000" w:themeColor="text1"/>
          <w:sz w:val="24"/>
          <w:szCs w:val="24"/>
        </w:rPr>
        <w:t>）。</w:t>
      </w:r>
      <w:r w:rsidR="00271DF7" w:rsidRPr="00092862">
        <w:rPr>
          <w:rFonts w:ascii="Times New Roman" w:eastAsia="宋体" w:hAnsi="Times New Roman" w:cs="Times New Roman"/>
          <w:color w:val="000000" w:themeColor="text1"/>
          <w:sz w:val="24"/>
          <w:szCs w:val="24"/>
        </w:rPr>
        <w:t>生活污水经生态厕所收集后定期由密闭罐车拉运至周边生活污水处理厂处理</w:t>
      </w:r>
      <w:r w:rsidRPr="00092862">
        <w:rPr>
          <w:rFonts w:ascii="Times New Roman" w:eastAsia="宋体" w:hAnsi="Times New Roman" w:cs="Times New Roman"/>
          <w:color w:val="000000" w:themeColor="text1"/>
          <w:sz w:val="24"/>
          <w:szCs w:val="24"/>
        </w:rPr>
        <w:t>；少量生产废水在施工现场设置沉淀池，施工废水经隔油沉淀处理后回用于洒水降尘，不外排。</w:t>
      </w:r>
    </w:p>
    <w:p w14:paraId="3863F1CB" w14:textId="77777777" w:rsidR="006D09BB" w:rsidRPr="00092862" w:rsidRDefault="006D09BB" w:rsidP="006D09BB">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4</w:t>
      </w:r>
      <w:r w:rsidRPr="00092862">
        <w:rPr>
          <w:rFonts w:ascii="Times New Roman" w:eastAsia="宋体" w:hAnsi="Times New Roman" w:cs="Times New Roman"/>
          <w:b/>
          <w:color w:val="000000" w:themeColor="text1"/>
          <w:sz w:val="24"/>
        </w:rPr>
        <w:t>）噪声</w:t>
      </w:r>
    </w:p>
    <w:p w14:paraId="6D3FCA7E" w14:textId="4BE94B58" w:rsidR="006D09BB" w:rsidRPr="00092862" w:rsidRDefault="006D09BB" w:rsidP="006D09B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站场建设的噪声主要是推土机、</w:t>
      </w:r>
      <w:r w:rsidR="00D30AA8" w:rsidRPr="00092862">
        <w:rPr>
          <w:rFonts w:ascii="Times New Roman" w:eastAsia="宋体" w:hAnsi="Times New Roman" w:cs="Times New Roman"/>
          <w:color w:val="000000" w:themeColor="text1"/>
          <w:sz w:val="24"/>
          <w:szCs w:val="24"/>
        </w:rPr>
        <w:t>电焊机</w:t>
      </w:r>
      <w:r w:rsidRPr="00092862">
        <w:rPr>
          <w:rFonts w:ascii="Times New Roman" w:eastAsia="宋体" w:hAnsi="Times New Roman" w:cs="Times New Roman"/>
          <w:color w:val="000000" w:themeColor="text1"/>
          <w:sz w:val="24"/>
          <w:szCs w:val="24"/>
        </w:rPr>
        <w:t>、载重汽车等运行中产生的，工程量小、时间短，噪声源强小，夜间不施工，对环境影响小。</w:t>
      </w:r>
    </w:p>
    <w:p w14:paraId="43482422" w14:textId="77777777" w:rsidR="006D09BB" w:rsidRPr="00092862" w:rsidRDefault="006D09BB" w:rsidP="006D09BB">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5</w:t>
      </w:r>
      <w:r w:rsidRPr="00092862">
        <w:rPr>
          <w:rFonts w:ascii="Times New Roman" w:eastAsia="宋体" w:hAnsi="Times New Roman" w:cs="Times New Roman"/>
          <w:b/>
          <w:color w:val="000000" w:themeColor="text1"/>
          <w:sz w:val="24"/>
        </w:rPr>
        <w:t>）固废</w:t>
      </w:r>
    </w:p>
    <w:p w14:paraId="66430761" w14:textId="19FAF3A0" w:rsidR="009C286D" w:rsidRPr="00092862" w:rsidRDefault="006D09BB" w:rsidP="006D09B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szCs w:val="24"/>
        </w:rPr>
        <w:t>站场建设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56040C50" w14:textId="7E8B0D08" w:rsidR="00635899" w:rsidRPr="00092862" w:rsidRDefault="009C286D" w:rsidP="00635899">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4</w:t>
      </w:r>
      <w:r w:rsidR="00635899" w:rsidRPr="00092862">
        <w:rPr>
          <w:rFonts w:ascii="Times New Roman" w:eastAsia="黑体" w:hAnsi="Times New Roman" w:cs="Times New Roman"/>
          <w:color w:val="000000" w:themeColor="text1"/>
          <w:sz w:val="24"/>
          <w:szCs w:val="24"/>
        </w:rPr>
        <w:t>、施工期</w:t>
      </w:r>
      <w:r w:rsidR="00635899" w:rsidRPr="00092862">
        <w:rPr>
          <w:rFonts w:ascii="Times New Roman" w:hAnsi="Times New Roman" w:cs="Times New Roman"/>
          <w:color w:val="000000" w:themeColor="text1"/>
          <w:sz w:val="24"/>
          <w:szCs w:val="24"/>
        </w:rPr>
        <w:t>“</w:t>
      </w:r>
      <w:r w:rsidR="00635899" w:rsidRPr="00092862">
        <w:rPr>
          <w:rFonts w:ascii="Times New Roman" w:eastAsia="黑体" w:hAnsi="Times New Roman" w:cs="Times New Roman"/>
          <w:color w:val="000000" w:themeColor="text1"/>
          <w:sz w:val="24"/>
          <w:szCs w:val="24"/>
        </w:rPr>
        <w:t>三废</w:t>
      </w:r>
      <w:r w:rsidR="00635899" w:rsidRPr="00092862">
        <w:rPr>
          <w:rFonts w:ascii="Times New Roman" w:hAnsi="Times New Roman" w:cs="Times New Roman"/>
          <w:color w:val="000000" w:themeColor="text1"/>
          <w:sz w:val="24"/>
          <w:szCs w:val="24"/>
        </w:rPr>
        <w:t>”</w:t>
      </w:r>
      <w:r w:rsidR="00635899" w:rsidRPr="00092862">
        <w:rPr>
          <w:rFonts w:ascii="Times New Roman" w:eastAsia="黑体" w:hAnsi="Times New Roman" w:cs="Times New Roman"/>
          <w:color w:val="000000" w:themeColor="text1"/>
          <w:sz w:val="24"/>
          <w:szCs w:val="24"/>
        </w:rPr>
        <w:t>汇总表</w:t>
      </w:r>
    </w:p>
    <w:p w14:paraId="74593FA3" w14:textId="77777777" w:rsidR="00635899" w:rsidRPr="00092862" w:rsidRDefault="00635899" w:rsidP="0063589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综上所示，本项目施工期污染物产生量及排放状况与生态影响见下表。</w:t>
      </w:r>
    </w:p>
    <w:p w14:paraId="1EEB439B" w14:textId="41941A36" w:rsidR="00635899" w:rsidRPr="00092862" w:rsidRDefault="00635899"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3.4-1</w:t>
      </w:r>
      <w:r w:rsidR="000C4084" w:rsidRPr="00092862">
        <w:rPr>
          <w:rFonts w:ascii="Times New Roman" w:eastAsia="黑体" w:hAnsi="Times New Roman"/>
          <w:color w:val="000000" w:themeColor="text1"/>
          <w:sz w:val="21"/>
          <w:szCs w:val="21"/>
          <w:lang w:eastAsia="zh-CN"/>
        </w:rPr>
        <w:t>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本项目施工期正常工况下</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三废</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439"/>
        <w:gridCol w:w="971"/>
        <w:gridCol w:w="992"/>
        <w:gridCol w:w="2557"/>
      </w:tblGrid>
      <w:tr w:rsidR="00697429" w:rsidRPr="00092862" w14:paraId="36DF7849" w14:textId="77777777" w:rsidTr="008A210C">
        <w:trPr>
          <w:cantSplit/>
          <w:jc w:val="center"/>
        </w:trPr>
        <w:tc>
          <w:tcPr>
            <w:tcW w:w="2263" w:type="dxa"/>
            <w:gridSpan w:val="2"/>
            <w:vAlign w:val="center"/>
          </w:tcPr>
          <w:p w14:paraId="428D60A8" w14:textId="77777777" w:rsidR="00635899" w:rsidRPr="00092862" w:rsidRDefault="00635899"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污染源</w:t>
            </w:r>
          </w:p>
        </w:tc>
        <w:tc>
          <w:tcPr>
            <w:tcW w:w="1439" w:type="dxa"/>
            <w:vAlign w:val="center"/>
          </w:tcPr>
          <w:p w14:paraId="44C1F495" w14:textId="77777777" w:rsidR="00635899" w:rsidRPr="00092862" w:rsidRDefault="00635899"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主要污染物</w:t>
            </w:r>
          </w:p>
        </w:tc>
        <w:tc>
          <w:tcPr>
            <w:tcW w:w="971" w:type="dxa"/>
            <w:vAlign w:val="center"/>
          </w:tcPr>
          <w:p w14:paraId="5FD0D304" w14:textId="77777777" w:rsidR="00635899" w:rsidRPr="00092862" w:rsidRDefault="00635899"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产生量</w:t>
            </w:r>
          </w:p>
        </w:tc>
        <w:tc>
          <w:tcPr>
            <w:tcW w:w="992" w:type="dxa"/>
            <w:vAlign w:val="center"/>
          </w:tcPr>
          <w:p w14:paraId="693C26F4" w14:textId="77777777" w:rsidR="00635899" w:rsidRPr="00092862" w:rsidRDefault="00635899"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排放量</w:t>
            </w:r>
          </w:p>
        </w:tc>
        <w:tc>
          <w:tcPr>
            <w:tcW w:w="2557" w:type="dxa"/>
            <w:vAlign w:val="center"/>
          </w:tcPr>
          <w:p w14:paraId="43AF4B10" w14:textId="77777777" w:rsidR="00635899" w:rsidRPr="00092862" w:rsidRDefault="00635899"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防治措施</w:t>
            </w:r>
          </w:p>
        </w:tc>
      </w:tr>
      <w:tr w:rsidR="00697429" w:rsidRPr="00092862" w14:paraId="78A98F82" w14:textId="77777777" w:rsidTr="008A210C">
        <w:trPr>
          <w:cantSplit/>
          <w:jc w:val="center"/>
        </w:trPr>
        <w:tc>
          <w:tcPr>
            <w:tcW w:w="704" w:type="dxa"/>
            <w:vMerge w:val="restart"/>
            <w:tcMar>
              <w:left w:w="0" w:type="dxa"/>
              <w:right w:w="0" w:type="dxa"/>
            </w:tcMar>
            <w:vAlign w:val="center"/>
          </w:tcPr>
          <w:p w14:paraId="36164955" w14:textId="77777777" w:rsidR="008A210C" w:rsidRPr="00092862" w:rsidRDefault="008A210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w:t>
            </w:r>
          </w:p>
        </w:tc>
        <w:tc>
          <w:tcPr>
            <w:tcW w:w="1559" w:type="dxa"/>
            <w:vAlign w:val="center"/>
          </w:tcPr>
          <w:p w14:paraId="1008204B" w14:textId="77777777" w:rsidR="008A210C" w:rsidRPr="00092862" w:rsidRDefault="008A210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施工扬尘</w:t>
            </w:r>
          </w:p>
        </w:tc>
        <w:tc>
          <w:tcPr>
            <w:tcW w:w="1439" w:type="dxa"/>
            <w:vAlign w:val="center"/>
          </w:tcPr>
          <w:p w14:paraId="22CB8BA1" w14:textId="77777777" w:rsidR="008A210C" w:rsidRPr="00092862" w:rsidRDefault="008A210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TSP</w:t>
            </w:r>
          </w:p>
        </w:tc>
        <w:tc>
          <w:tcPr>
            <w:tcW w:w="971" w:type="dxa"/>
            <w:vAlign w:val="center"/>
          </w:tcPr>
          <w:p w14:paraId="75B863AC" w14:textId="77777777" w:rsidR="008A210C" w:rsidRPr="00092862" w:rsidRDefault="008A210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992" w:type="dxa"/>
            <w:vAlign w:val="center"/>
          </w:tcPr>
          <w:p w14:paraId="3DD4A290" w14:textId="77777777" w:rsidR="008A210C" w:rsidRPr="00092862" w:rsidRDefault="008A210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2557" w:type="dxa"/>
            <w:vAlign w:val="center"/>
          </w:tcPr>
          <w:p w14:paraId="216D4981" w14:textId="77777777" w:rsidR="008A210C" w:rsidRPr="00092862" w:rsidRDefault="008A210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短期排放，定期洒水抑尘</w:t>
            </w:r>
          </w:p>
        </w:tc>
      </w:tr>
      <w:tr w:rsidR="00697429" w:rsidRPr="00092862" w14:paraId="7623784A" w14:textId="77777777" w:rsidTr="008A210C">
        <w:trPr>
          <w:cantSplit/>
          <w:jc w:val="center"/>
        </w:trPr>
        <w:tc>
          <w:tcPr>
            <w:tcW w:w="704" w:type="dxa"/>
            <w:vMerge/>
            <w:tcMar>
              <w:left w:w="0" w:type="dxa"/>
              <w:right w:w="0" w:type="dxa"/>
            </w:tcMar>
            <w:vAlign w:val="center"/>
          </w:tcPr>
          <w:p w14:paraId="1BF37088" w14:textId="77777777" w:rsidR="008A210C" w:rsidRPr="00092862" w:rsidRDefault="008A210C" w:rsidP="00635899">
            <w:pPr>
              <w:snapToGrid w:val="0"/>
              <w:jc w:val="center"/>
              <w:rPr>
                <w:rFonts w:ascii="Times New Roman" w:eastAsia="宋体" w:hAnsi="Times New Roman" w:cs="Times New Roman"/>
                <w:color w:val="000000" w:themeColor="text1"/>
                <w:szCs w:val="21"/>
              </w:rPr>
            </w:pPr>
          </w:p>
        </w:tc>
        <w:tc>
          <w:tcPr>
            <w:tcW w:w="1559" w:type="dxa"/>
            <w:vAlign w:val="center"/>
          </w:tcPr>
          <w:p w14:paraId="6530C016" w14:textId="77777777" w:rsidR="008A210C" w:rsidRPr="00092862" w:rsidRDefault="008A210C" w:rsidP="00635899">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施工机械和运输车辆尾</w:t>
            </w:r>
            <w:r w:rsidR="008A21BE" w:rsidRPr="00092862">
              <w:rPr>
                <w:rFonts w:ascii="Times New Roman" w:eastAsia="宋体" w:hAnsi="Times New Roman" w:cs="Times New Roman"/>
                <w:color w:val="000000" w:themeColor="text1"/>
                <w:szCs w:val="21"/>
              </w:rPr>
              <w:t>气、压裂作业废气</w:t>
            </w:r>
          </w:p>
        </w:tc>
        <w:tc>
          <w:tcPr>
            <w:tcW w:w="1439" w:type="dxa"/>
            <w:vAlign w:val="center"/>
          </w:tcPr>
          <w:p w14:paraId="1A45EC0E" w14:textId="77777777" w:rsidR="008A210C" w:rsidRPr="00092862" w:rsidRDefault="008A210C" w:rsidP="00635899">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CO</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NOx</w:t>
            </w:r>
            <w:r w:rsidRPr="00092862">
              <w:rPr>
                <w:rFonts w:ascii="Times New Roman" w:eastAsia="宋体" w:hAnsi="Times New Roman" w:cs="Times New Roman"/>
                <w:color w:val="000000" w:themeColor="text1"/>
                <w:szCs w:val="21"/>
              </w:rPr>
              <w:t>等</w:t>
            </w:r>
          </w:p>
        </w:tc>
        <w:tc>
          <w:tcPr>
            <w:tcW w:w="971" w:type="dxa"/>
            <w:vAlign w:val="center"/>
          </w:tcPr>
          <w:p w14:paraId="077D8352" w14:textId="77777777" w:rsidR="008A210C" w:rsidRPr="00092862" w:rsidRDefault="008A210C" w:rsidP="00635899">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992" w:type="dxa"/>
            <w:vAlign w:val="center"/>
          </w:tcPr>
          <w:p w14:paraId="75239709" w14:textId="77777777" w:rsidR="008A210C" w:rsidRPr="00092862" w:rsidRDefault="008A210C" w:rsidP="00635899">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2557" w:type="dxa"/>
            <w:vAlign w:val="center"/>
          </w:tcPr>
          <w:p w14:paraId="71662196" w14:textId="77777777" w:rsidR="008A210C" w:rsidRPr="00092862" w:rsidRDefault="007A6924" w:rsidP="00635899">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选用尾气排放达标机械车辆，</w:t>
            </w:r>
            <w:r w:rsidR="008A210C" w:rsidRPr="00092862">
              <w:rPr>
                <w:rFonts w:ascii="Times New Roman" w:eastAsia="宋体" w:hAnsi="Times New Roman" w:cs="Times New Roman"/>
                <w:color w:val="000000" w:themeColor="text1"/>
                <w:szCs w:val="21"/>
              </w:rPr>
              <w:t>加强保养维护</w:t>
            </w:r>
          </w:p>
        </w:tc>
      </w:tr>
      <w:tr w:rsidR="00697429" w:rsidRPr="00092862" w14:paraId="3769406E" w14:textId="77777777" w:rsidTr="00F54AAF">
        <w:trPr>
          <w:cantSplit/>
          <w:jc w:val="center"/>
        </w:trPr>
        <w:tc>
          <w:tcPr>
            <w:tcW w:w="704" w:type="dxa"/>
            <w:vMerge/>
            <w:tcMar>
              <w:left w:w="0" w:type="dxa"/>
              <w:right w:w="0" w:type="dxa"/>
            </w:tcMar>
            <w:vAlign w:val="center"/>
          </w:tcPr>
          <w:p w14:paraId="49CAB860"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c>
          <w:tcPr>
            <w:tcW w:w="1559" w:type="dxa"/>
            <w:vMerge w:val="restart"/>
            <w:vAlign w:val="center"/>
          </w:tcPr>
          <w:p w14:paraId="011020B5" w14:textId="77777777" w:rsidR="007A6924" w:rsidRPr="00092862" w:rsidRDefault="007A6924" w:rsidP="007A692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备用柴油发电机尾气</w:t>
            </w:r>
          </w:p>
        </w:tc>
        <w:tc>
          <w:tcPr>
            <w:tcW w:w="1439" w:type="dxa"/>
            <w:vAlign w:val="center"/>
          </w:tcPr>
          <w:p w14:paraId="62C36D75" w14:textId="77777777" w:rsidR="007A6924" w:rsidRPr="00092862" w:rsidRDefault="007A6924" w:rsidP="007A692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NOx</w:t>
            </w:r>
          </w:p>
        </w:tc>
        <w:tc>
          <w:tcPr>
            <w:tcW w:w="1963" w:type="dxa"/>
            <w:gridSpan w:val="2"/>
            <w:vAlign w:val="center"/>
          </w:tcPr>
          <w:p w14:paraId="7E4B1A10" w14:textId="5BBA8B8E" w:rsidR="007A6924" w:rsidRPr="00092862" w:rsidRDefault="002B62C1" w:rsidP="007A692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1.17</w:t>
            </w:r>
            <w:r w:rsidR="007A6924" w:rsidRPr="00092862">
              <w:rPr>
                <w:rFonts w:ascii="Times New Roman" w:eastAsia="宋体" w:hAnsi="Times New Roman" w:cs="Times New Roman"/>
                <w:color w:val="000000" w:themeColor="text1"/>
                <w:szCs w:val="21"/>
              </w:rPr>
              <w:t>kg/h</w:t>
            </w:r>
          </w:p>
        </w:tc>
        <w:tc>
          <w:tcPr>
            <w:tcW w:w="2557" w:type="dxa"/>
            <w:vMerge w:val="restart"/>
            <w:vAlign w:val="center"/>
          </w:tcPr>
          <w:p w14:paraId="2233C715" w14:textId="77777777" w:rsidR="007A6924" w:rsidRPr="00092862" w:rsidRDefault="007A6924" w:rsidP="007A692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自带消烟除尘装置处理后</w:t>
            </w:r>
            <w:r w:rsidRPr="00092862">
              <w:rPr>
                <w:rFonts w:ascii="Times New Roman" w:eastAsia="宋体" w:hAnsi="Times New Roman" w:cs="Times New Roman"/>
                <w:color w:val="000000" w:themeColor="text1"/>
                <w:szCs w:val="21"/>
              </w:rPr>
              <w:t>6m</w:t>
            </w:r>
            <w:r w:rsidRPr="00092862">
              <w:rPr>
                <w:rFonts w:ascii="Times New Roman" w:eastAsia="宋体" w:hAnsi="Times New Roman" w:cs="Times New Roman"/>
                <w:color w:val="000000" w:themeColor="text1"/>
                <w:szCs w:val="21"/>
              </w:rPr>
              <w:t>高排气筒排放</w:t>
            </w:r>
          </w:p>
        </w:tc>
      </w:tr>
      <w:tr w:rsidR="00697429" w:rsidRPr="00092862" w14:paraId="051B1924" w14:textId="77777777" w:rsidTr="00F54AAF">
        <w:trPr>
          <w:cantSplit/>
          <w:jc w:val="center"/>
        </w:trPr>
        <w:tc>
          <w:tcPr>
            <w:tcW w:w="704" w:type="dxa"/>
            <w:vMerge/>
            <w:tcMar>
              <w:left w:w="0" w:type="dxa"/>
              <w:right w:w="0" w:type="dxa"/>
            </w:tcMar>
            <w:vAlign w:val="center"/>
          </w:tcPr>
          <w:p w14:paraId="5BD98098"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c>
          <w:tcPr>
            <w:tcW w:w="1559" w:type="dxa"/>
            <w:vMerge/>
            <w:vAlign w:val="center"/>
          </w:tcPr>
          <w:p w14:paraId="42272FBE"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c>
          <w:tcPr>
            <w:tcW w:w="1439" w:type="dxa"/>
            <w:vAlign w:val="center"/>
          </w:tcPr>
          <w:p w14:paraId="745F74C5" w14:textId="77777777" w:rsidR="007A6924" w:rsidRPr="00092862" w:rsidRDefault="007A6924" w:rsidP="007A692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SO</w:t>
            </w:r>
            <w:r w:rsidRPr="00092862">
              <w:rPr>
                <w:rFonts w:ascii="Times New Roman" w:eastAsia="宋体" w:hAnsi="Times New Roman" w:cs="Times New Roman"/>
                <w:color w:val="000000" w:themeColor="text1"/>
                <w:szCs w:val="21"/>
                <w:vertAlign w:val="subscript"/>
              </w:rPr>
              <w:t>2</w:t>
            </w:r>
          </w:p>
        </w:tc>
        <w:tc>
          <w:tcPr>
            <w:tcW w:w="1963" w:type="dxa"/>
            <w:gridSpan w:val="2"/>
            <w:vAlign w:val="center"/>
          </w:tcPr>
          <w:p w14:paraId="0D0FA739" w14:textId="064D2B87" w:rsidR="007A6924" w:rsidRPr="00092862" w:rsidRDefault="002B62C1" w:rsidP="007A692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0.008</w:t>
            </w:r>
            <w:r w:rsidR="007A6924" w:rsidRPr="00092862">
              <w:rPr>
                <w:rFonts w:ascii="Times New Roman" w:eastAsia="宋体" w:hAnsi="Times New Roman" w:cs="Times New Roman"/>
                <w:color w:val="000000" w:themeColor="text1"/>
                <w:szCs w:val="21"/>
              </w:rPr>
              <w:t>kg/h</w:t>
            </w:r>
          </w:p>
        </w:tc>
        <w:tc>
          <w:tcPr>
            <w:tcW w:w="2557" w:type="dxa"/>
            <w:vMerge/>
            <w:vAlign w:val="center"/>
          </w:tcPr>
          <w:p w14:paraId="2C8F00B6"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r>
      <w:tr w:rsidR="00697429" w:rsidRPr="00092862" w14:paraId="51F18985" w14:textId="77777777" w:rsidTr="00F54AAF">
        <w:trPr>
          <w:cantSplit/>
          <w:jc w:val="center"/>
        </w:trPr>
        <w:tc>
          <w:tcPr>
            <w:tcW w:w="704" w:type="dxa"/>
            <w:vMerge/>
            <w:tcMar>
              <w:left w:w="0" w:type="dxa"/>
              <w:right w:w="0" w:type="dxa"/>
            </w:tcMar>
            <w:vAlign w:val="center"/>
          </w:tcPr>
          <w:p w14:paraId="7BA03771"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c>
          <w:tcPr>
            <w:tcW w:w="1559" w:type="dxa"/>
            <w:vMerge/>
            <w:vAlign w:val="center"/>
          </w:tcPr>
          <w:p w14:paraId="4C7BE130"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c>
          <w:tcPr>
            <w:tcW w:w="1439" w:type="dxa"/>
            <w:vAlign w:val="center"/>
          </w:tcPr>
          <w:p w14:paraId="477AC115" w14:textId="77777777" w:rsidR="007A6924" w:rsidRPr="00092862" w:rsidRDefault="007A6924" w:rsidP="007A692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颗粒物</w:t>
            </w:r>
          </w:p>
        </w:tc>
        <w:tc>
          <w:tcPr>
            <w:tcW w:w="1963" w:type="dxa"/>
            <w:gridSpan w:val="2"/>
            <w:vAlign w:val="center"/>
          </w:tcPr>
          <w:p w14:paraId="4B4E29E1" w14:textId="66E38B00" w:rsidR="007A6924" w:rsidRPr="00092862" w:rsidRDefault="007A6924" w:rsidP="007A692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r w:rsidR="002B62C1" w:rsidRPr="00092862">
              <w:rPr>
                <w:rFonts w:ascii="Times New Roman" w:eastAsia="宋体" w:hAnsi="Times New Roman" w:cs="Times New Roman"/>
                <w:color w:val="000000" w:themeColor="text1"/>
                <w:szCs w:val="21"/>
              </w:rPr>
              <w:t>33</w:t>
            </w:r>
            <w:r w:rsidRPr="00092862">
              <w:rPr>
                <w:rFonts w:ascii="Times New Roman" w:eastAsia="宋体" w:hAnsi="Times New Roman" w:cs="Times New Roman"/>
                <w:color w:val="000000" w:themeColor="text1"/>
                <w:szCs w:val="21"/>
              </w:rPr>
              <w:t>kg/h</w:t>
            </w:r>
          </w:p>
        </w:tc>
        <w:tc>
          <w:tcPr>
            <w:tcW w:w="2557" w:type="dxa"/>
            <w:vMerge/>
            <w:vAlign w:val="center"/>
          </w:tcPr>
          <w:p w14:paraId="10A9821F" w14:textId="77777777" w:rsidR="007A6924" w:rsidRPr="00092862" w:rsidRDefault="007A6924" w:rsidP="007A6924">
            <w:pPr>
              <w:snapToGrid w:val="0"/>
              <w:jc w:val="center"/>
              <w:rPr>
                <w:rFonts w:ascii="Times New Roman" w:eastAsia="宋体" w:hAnsi="Times New Roman" w:cs="Times New Roman"/>
                <w:color w:val="000000" w:themeColor="text1"/>
                <w:szCs w:val="21"/>
              </w:rPr>
            </w:pPr>
          </w:p>
        </w:tc>
      </w:tr>
      <w:tr w:rsidR="00697429" w:rsidRPr="00092862" w14:paraId="73287C58" w14:textId="77777777" w:rsidTr="009303AE">
        <w:trPr>
          <w:cantSplit/>
          <w:jc w:val="center"/>
        </w:trPr>
        <w:tc>
          <w:tcPr>
            <w:tcW w:w="704" w:type="dxa"/>
            <w:vMerge/>
            <w:tcMar>
              <w:left w:w="0" w:type="dxa"/>
              <w:right w:w="0" w:type="dxa"/>
            </w:tcMar>
            <w:vAlign w:val="center"/>
          </w:tcPr>
          <w:p w14:paraId="3A3043CB" w14:textId="77777777" w:rsidR="00B067A0" w:rsidRPr="00092862" w:rsidRDefault="00B067A0" w:rsidP="00C04A25">
            <w:pPr>
              <w:snapToGrid w:val="0"/>
              <w:jc w:val="center"/>
              <w:rPr>
                <w:rFonts w:ascii="Times New Roman" w:eastAsia="宋体" w:hAnsi="Times New Roman" w:cs="Times New Roman"/>
                <w:color w:val="000000" w:themeColor="text1"/>
                <w:szCs w:val="21"/>
              </w:rPr>
            </w:pPr>
          </w:p>
        </w:tc>
        <w:tc>
          <w:tcPr>
            <w:tcW w:w="1559" w:type="dxa"/>
            <w:vAlign w:val="center"/>
          </w:tcPr>
          <w:p w14:paraId="68A5A5E0" w14:textId="264F2128" w:rsidR="00B067A0" w:rsidRPr="00092862" w:rsidRDefault="00B067A0" w:rsidP="00CB74C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无组织挥发性废气</w:t>
            </w:r>
          </w:p>
        </w:tc>
        <w:tc>
          <w:tcPr>
            <w:tcW w:w="1439" w:type="dxa"/>
            <w:vAlign w:val="center"/>
          </w:tcPr>
          <w:p w14:paraId="35D96821" w14:textId="5665C051" w:rsidR="00B067A0" w:rsidRPr="00092862" w:rsidRDefault="004166DE"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无组织挥发性有机物</w:t>
            </w:r>
          </w:p>
        </w:tc>
        <w:tc>
          <w:tcPr>
            <w:tcW w:w="4520" w:type="dxa"/>
            <w:gridSpan w:val="3"/>
            <w:vAlign w:val="center"/>
          </w:tcPr>
          <w:p w14:paraId="5531D0EA" w14:textId="08F18946" w:rsidR="00B067A0" w:rsidRPr="00092862" w:rsidRDefault="004166DE"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少量，短期排放，自然扩散</w:t>
            </w:r>
          </w:p>
        </w:tc>
      </w:tr>
      <w:tr w:rsidR="00697429" w:rsidRPr="00092862" w14:paraId="7FBFFF78" w14:textId="77777777" w:rsidTr="009033BD">
        <w:trPr>
          <w:cantSplit/>
          <w:jc w:val="center"/>
        </w:trPr>
        <w:tc>
          <w:tcPr>
            <w:tcW w:w="704" w:type="dxa"/>
            <w:vMerge/>
            <w:tcMar>
              <w:left w:w="0" w:type="dxa"/>
              <w:right w:w="0" w:type="dxa"/>
            </w:tcMar>
            <w:vAlign w:val="center"/>
          </w:tcPr>
          <w:p w14:paraId="647AFFE1" w14:textId="77777777" w:rsidR="00B067A0" w:rsidRPr="00092862" w:rsidRDefault="00B067A0" w:rsidP="00C04A25">
            <w:pPr>
              <w:snapToGrid w:val="0"/>
              <w:jc w:val="center"/>
              <w:rPr>
                <w:rFonts w:ascii="Times New Roman" w:eastAsia="宋体" w:hAnsi="Times New Roman" w:cs="Times New Roman"/>
                <w:color w:val="000000" w:themeColor="text1"/>
                <w:szCs w:val="21"/>
              </w:rPr>
            </w:pPr>
          </w:p>
        </w:tc>
        <w:tc>
          <w:tcPr>
            <w:tcW w:w="1559" w:type="dxa"/>
            <w:vAlign w:val="center"/>
          </w:tcPr>
          <w:p w14:paraId="5DB75372" w14:textId="216C72E5" w:rsidR="00B067A0" w:rsidRPr="00092862" w:rsidRDefault="00B067A0" w:rsidP="00CB74C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事故放喷废</w:t>
            </w:r>
            <w:r w:rsidR="006472D4" w:rsidRPr="00092862">
              <w:rPr>
                <w:rFonts w:ascii="Times New Roman" w:eastAsia="宋体" w:hAnsi="Times New Roman" w:cs="Times New Roman"/>
                <w:color w:val="000000" w:themeColor="text1"/>
                <w:szCs w:val="21"/>
              </w:rPr>
              <w:t>气</w:t>
            </w:r>
          </w:p>
        </w:tc>
        <w:tc>
          <w:tcPr>
            <w:tcW w:w="1439" w:type="dxa"/>
            <w:vAlign w:val="center"/>
          </w:tcPr>
          <w:p w14:paraId="5D092E27" w14:textId="0448FC31" w:rsidR="00B067A0" w:rsidRPr="00092862" w:rsidRDefault="00B067A0"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NOx</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CO</w:t>
            </w:r>
            <w:r w:rsidRPr="00092862">
              <w:rPr>
                <w:rFonts w:ascii="Times New Roman" w:eastAsia="宋体" w:hAnsi="Times New Roman" w:cs="Times New Roman"/>
                <w:color w:val="000000" w:themeColor="text1"/>
                <w:szCs w:val="21"/>
                <w:vertAlign w:val="subscript"/>
              </w:rPr>
              <w:t>2</w:t>
            </w:r>
            <w:r w:rsidRPr="00092862">
              <w:rPr>
                <w:rFonts w:ascii="Times New Roman" w:eastAsia="宋体" w:hAnsi="Times New Roman" w:cs="Times New Roman"/>
                <w:color w:val="000000" w:themeColor="text1"/>
                <w:szCs w:val="21"/>
              </w:rPr>
              <w:t>、颗粒物、</w:t>
            </w:r>
            <w:r w:rsidRPr="00092862">
              <w:rPr>
                <w:rFonts w:ascii="Times New Roman" w:eastAsia="宋体" w:hAnsi="Times New Roman" w:cs="Times New Roman"/>
                <w:color w:val="000000" w:themeColor="text1"/>
                <w:szCs w:val="21"/>
              </w:rPr>
              <w:t>SO</w:t>
            </w:r>
            <w:r w:rsidRPr="00092862">
              <w:rPr>
                <w:rFonts w:ascii="Times New Roman" w:eastAsia="宋体" w:hAnsi="Times New Roman" w:cs="Times New Roman"/>
                <w:color w:val="000000" w:themeColor="text1"/>
                <w:szCs w:val="21"/>
                <w:vertAlign w:val="subscript"/>
              </w:rPr>
              <w:t>2</w:t>
            </w:r>
          </w:p>
        </w:tc>
        <w:tc>
          <w:tcPr>
            <w:tcW w:w="4520" w:type="dxa"/>
            <w:gridSpan w:val="3"/>
            <w:vAlign w:val="center"/>
          </w:tcPr>
          <w:p w14:paraId="4068638D" w14:textId="6CE52935" w:rsidR="00B067A0" w:rsidRPr="00092862" w:rsidRDefault="00B067A0"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少量，短期排放，点火燃烧处理</w:t>
            </w:r>
          </w:p>
        </w:tc>
      </w:tr>
      <w:tr w:rsidR="00697429" w:rsidRPr="00092862" w14:paraId="5019DE9F" w14:textId="77777777" w:rsidTr="008A210C">
        <w:trPr>
          <w:cantSplit/>
          <w:jc w:val="center"/>
        </w:trPr>
        <w:tc>
          <w:tcPr>
            <w:tcW w:w="704" w:type="dxa"/>
            <w:vMerge/>
            <w:tcMar>
              <w:left w:w="0" w:type="dxa"/>
              <w:right w:w="0" w:type="dxa"/>
            </w:tcMar>
            <w:vAlign w:val="center"/>
          </w:tcPr>
          <w:p w14:paraId="6B20860B" w14:textId="77777777" w:rsidR="008A210C" w:rsidRPr="00092862" w:rsidRDefault="008A210C" w:rsidP="00C04A25">
            <w:pPr>
              <w:snapToGrid w:val="0"/>
              <w:jc w:val="center"/>
              <w:rPr>
                <w:rFonts w:ascii="Times New Roman" w:eastAsia="宋体" w:hAnsi="Times New Roman" w:cs="Times New Roman"/>
                <w:color w:val="000000" w:themeColor="text1"/>
                <w:szCs w:val="21"/>
              </w:rPr>
            </w:pPr>
          </w:p>
        </w:tc>
        <w:tc>
          <w:tcPr>
            <w:tcW w:w="1559" w:type="dxa"/>
            <w:vAlign w:val="center"/>
          </w:tcPr>
          <w:p w14:paraId="59C344B0" w14:textId="4FFC5685" w:rsidR="008A210C" w:rsidRPr="00092862" w:rsidRDefault="00F30AFD"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测试</w:t>
            </w:r>
            <w:r w:rsidR="008A210C" w:rsidRPr="00092862">
              <w:rPr>
                <w:rFonts w:ascii="Times New Roman" w:eastAsia="宋体" w:hAnsi="Times New Roman" w:cs="Times New Roman"/>
                <w:color w:val="000000" w:themeColor="text1"/>
                <w:szCs w:val="21"/>
              </w:rPr>
              <w:t>放喷废气</w:t>
            </w:r>
          </w:p>
        </w:tc>
        <w:tc>
          <w:tcPr>
            <w:tcW w:w="1439" w:type="dxa"/>
            <w:vAlign w:val="center"/>
          </w:tcPr>
          <w:p w14:paraId="332EF4F9" w14:textId="4648398C" w:rsidR="008A210C" w:rsidRPr="00092862" w:rsidRDefault="008A210C" w:rsidP="008A210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NOx</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CO</w:t>
            </w:r>
            <w:r w:rsidRPr="00092862">
              <w:rPr>
                <w:rFonts w:ascii="Times New Roman" w:eastAsia="宋体" w:hAnsi="Times New Roman" w:cs="Times New Roman"/>
                <w:color w:val="000000" w:themeColor="text1"/>
                <w:szCs w:val="21"/>
                <w:vertAlign w:val="subscript"/>
              </w:rPr>
              <w:t>2</w:t>
            </w:r>
            <w:r w:rsidRPr="00092862">
              <w:rPr>
                <w:rFonts w:ascii="Times New Roman" w:eastAsia="宋体" w:hAnsi="Times New Roman" w:cs="Times New Roman"/>
                <w:color w:val="000000" w:themeColor="text1"/>
                <w:szCs w:val="21"/>
              </w:rPr>
              <w:t>、颗粒物</w:t>
            </w:r>
            <w:r w:rsidR="00B067A0" w:rsidRPr="00092862">
              <w:rPr>
                <w:rFonts w:ascii="Times New Roman" w:eastAsia="宋体" w:hAnsi="Times New Roman" w:cs="Times New Roman"/>
                <w:color w:val="000000" w:themeColor="text1"/>
                <w:szCs w:val="21"/>
              </w:rPr>
              <w:t>、</w:t>
            </w:r>
            <w:r w:rsidR="00B067A0" w:rsidRPr="00092862">
              <w:rPr>
                <w:rFonts w:ascii="Times New Roman" w:eastAsia="宋体" w:hAnsi="Times New Roman" w:cs="Times New Roman"/>
                <w:color w:val="000000" w:themeColor="text1"/>
                <w:szCs w:val="21"/>
              </w:rPr>
              <w:t>SO</w:t>
            </w:r>
            <w:r w:rsidR="00B067A0" w:rsidRPr="00092862">
              <w:rPr>
                <w:rFonts w:ascii="Times New Roman" w:eastAsia="宋体" w:hAnsi="Times New Roman" w:cs="Times New Roman"/>
                <w:color w:val="000000" w:themeColor="text1"/>
                <w:szCs w:val="21"/>
                <w:vertAlign w:val="subscript"/>
              </w:rPr>
              <w:t>2</w:t>
            </w:r>
          </w:p>
        </w:tc>
        <w:tc>
          <w:tcPr>
            <w:tcW w:w="4520" w:type="dxa"/>
            <w:gridSpan w:val="3"/>
            <w:vAlign w:val="center"/>
          </w:tcPr>
          <w:p w14:paraId="2B78B08D" w14:textId="77777777" w:rsidR="008A210C" w:rsidRPr="00092862" w:rsidRDefault="008A210C" w:rsidP="008A210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少量，短期排放，点火燃烧处理</w:t>
            </w:r>
          </w:p>
        </w:tc>
      </w:tr>
      <w:tr w:rsidR="00697429" w:rsidRPr="00092862" w14:paraId="592980BE" w14:textId="77777777" w:rsidTr="008A210C">
        <w:trPr>
          <w:cantSplit/>
          <w:jc w:val="center"/>
        </w:trPr>
        <w:tc>
          <w:tcPr>
            <w:tcW w:w="704" w:type="dxa"/>
            <w:vMerge w:val="restart"/>
            <w:tcMar>
              <w:left w:w="0" w:type="dxa"/>
              <w:right w:w="0" w:type="dxa"/>
            </w:tcMar>
            <w:vAlign w:val="center"/>
          </w:tcPr>
          <w:p w14:paraId="0B7E6BF5"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w:t>
            </w:r>
          </w:p>
        </w:tc>
        <w:tc>
          <w:tcPr>
            <w:tcW w:w="1559" w:type="dxa"/>
            <w:vAlign w:val="center"/>
          </w:tcPr>
          <w:p w14:paraId="0C004297"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钻井废水</w:t>
            </w:r>
          </w:p>
        </w:tc>
        <w:tc>
          <w:tcPr>
            <w:tcW w:w="1439" w:type="dxa"/>
            <w:vMerge w:val="restart"/>
            <w:vAlign w:val="center"/>
          </w:tcPr>
          <w:p w14:paraId="01075142" w14:textId="77777777" w:rsidR="009C7136" w:rsidRPr="00092862" w:rsidRDefault="009C7136" w:rsidP="008A210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石油类、悬浮</w:t>
            </w:r>
            <w:r w:rsidRPr="00092862">
              <w:rPr>
                <w:rFonts w:ascii="Times New Roman" w:eastAsia="宋体" w:hAnsi="Times New Roman" w:cs="Times New Roman"/>
                <w:color w:val="000000" w:themeColor="text1"/>
                <w:szCs w:val="21"/>
              </w:rPr>
              <w:lastRenderedPageBreak/>
              <w:t>物、</w:t>
            </w: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rPr>
              <w:t>及氯化物等</w:t>
            </w:r>
          </w:p>
        </w:tc>
        <w:tc>
          <w:tcPr>
            <w:tcW w:w="971" w:type="dxa"/>
            <w:vAlign w:val="center"/>
          </w:tcPr>
          <w:p w14:paraId="10C4FF83" w14:textId="2D83E01C" w:rsidR="009C7136" w:rsidRPr="00092862" w:rsidRDefault="00317F32"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2791.68</w:t>
            </w:r>
            <w:r w:rsidR="009C7136" w:rsidRPr="00092862">
              <w:rPr>
                <w:rFonts w:ascii="Times New Roman" w:eastAsia="宋体" w:hAnsi="Times New Roman" w:cs="Times New Roman"/>
                <w:color w:val="000000" w:themeColor="text1"/>
                <w:szCs w:val="21"/>
              </w:rPr>
              <w:t>m</w:t>
            </w:r>
            <w:r w:rsidR="009C7136" w:rsidRPr="00092862">
              <w:rPr>
                <w:rFonts w:ascii="Times New Roman" w:eastAsia="宋体" w:hAnsi="Times New Roman" w:cs="Times New Roman"/>
                <w:color w:val="000000" w:themeColor="text1"/>
                <w:szCs w:val="21"/>
                <w:vertAlign w:val="superscript"/>
              </w:rPr>
              <w:t>3</w:t>
            </w:r>
          </w:p>
        </w:tc>
        <w:tc>
          <w:tcPr>
            <w:tcW w:w="992" w:type="dxa"/>
            <w:vAlign w:val="center"/>
          </w:tcPr>
          <w:p w14:paraId="708AF059"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Merge w:val="restart"/>
            <w:vAlign w:val="center"/>
          </w:tcPr>
          <w:p w14:paraId="1D336EAC" w14:textId="79FC5DFF"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由罐车拉运至</w:t>
            </w:r>
            <w:r w:rsidR="005D5A22" w:rsidRPr="00092862">
              <w:rPr>
                <w:rFonts w:ascii="Times New Roman" w:eastAsia="宋体" w:hAnsi="Times New Roman" w:cs="Times New Roman"/>
                <w:color w:val="000000" w:themeColor="text1"/>
                <w:szCs w:val="21"/>
              </w:rPr>
              <w:t>赵家坝污水处</w:t>
            </w:r>
            <w:r w:rsidR="005D5A22" w:rsidRPr="00092862">
              <w:rPr>
                <w:rFonts w:ascii="Times New Roman" w:eastAsia="宋体" w:hAnsi="Times New Roman" w:cs="Times New Roman"/>
                <w:color w:val="000000" w:themeColor="text1"/>
                <w:szCs w:val="21"/>
              </w:rPr>
              <w:lastRenderedPageBreak/>
              <w:t>理站达标后管输至普光</w:t>
            </w:r>
            <w:r w:rsidR="005D5A22" w:rsidRPr="00092862">
              <w:rPr>
                <w:rFonts w:ascii="Times New Roman" w:eastAsia="宋体" w:hAnsi="Times New Roman" w:cs="Times New Roman"/>
                <w:color w:val="000000" w:themeColor="text1"/>
                <w:szCs w:val="21"/>
              </w:rPr>
              <w:t>11</w:t>
            </w:r>
            <w:r w:rsidR="005D5A22" w:rsidRPr="00092862">
              <w:rPr>
                <w:rFonts w:ascii="Times New Roman" w:eastAsia="宋体" w:hAnsi="Times New Roman" w:cs="Times New Roman"/>
                <w:color w:val="000000" w:themeColor="text1"/>
                <w:szCs w:val="21"/>
              </w:rPr>
              <w:t>井回注站回注</w:t>
            </w:r>
            <w:r w:rsidRPr="00092862">
              <w:rPr>
                <w:rFonts w:ascii="Times New Roman" w:eastAsia="宋体" w:hAnsi="Times New Roman" w:cs="Times New Roman"/>
                <w:color w:val="000000" w:themeColor="text1"/>
                <w:szCs w:val="21"/>
              </w:rPr>
              <w:t>，不外排</w:t>
            </w:r>
          </w:p>
        </w:tc>
      </w:tr>
      <w:tr w:rsidR="00697429" w:rsidRPr="00092862" w14:paraId="02A0551B" w14:textId="77777777" w:rsidTr="008A210C">
        <w:trPr>
          <w:cantSplit/>
          <w:jc w:val="center"/>
        </w:trPr>
        <w:tc>
          <w:tcPr>
            <w:tcW w:w="704" w:type="dxa"/>
            <w:vMerge/>
            <w:tcMar>
              <w:left w:w="0" w:type="dxa"/>
              <w:right w:w="0" w:type="dxa"/>
            </w:tcMar>
            <w:vAlign w:val="center"/>
          </w:tcPr>
          <w:p w14:paraId="283CE512"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c>
          <w:tcPr>
            <w:tcW w:w="1559" w:type="dxa"/>
            <w:vAlign w:val="center"/>
          </w:tcPr>
          <w:p w14:paraId="432CBA88"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洗井废水</w:t>
            </w:r>
          </w:p>
        </w:tc>
        <w:tc>
          <w:tcPr>
            <w:tcW w:w="1439" w:type="dxa"/>
            <w:vMerge/>
            <w:vAlign w:val="center"/>
          </w:tcPr>
          <w:p w14:paraId="25FCC8D4"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c>
          <w:tcPr>
            <w:tcW w:w="971" w:type="dxa"/>
            <w:vAlign w:val="center"/>
          </w:tcPr>
          <w:p w14:paraId="6DB12330" w14:textId="1126B4C1" w:rsidR="009C7136" w:rsidRPr="00092862" w:rsidRDefault="00F30AFD"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r w:rsidR="009C7136" w:rsidRPr="00092862">
              <w:rPr>
                <w:rFonts w:ascii="Times New Roman" w:eastAsia="宋体" w:hAnsi="Times New Roman" w:cs="Times New Roman"/>
                <w:color w:val="000000" w:themeColor="text1"/>
                <w:szCs w:val="21"/>
              </w:rPr>
              <w:t>00m</w:t>
            </w:r>
            <w:r w:rsidR="009C7136" w:rsidRPr="00092862">
              <w:rPr>
                <w:rFonts w:ascii="Times New Roman" w:eastAsia="宋体" w:hAnsi="Times New Roman" w:cs="Times New Roman"/>
                <w:color w:val="000000" w:themeColor="text1"/>
                <w:szCs w:val="21"/>
                <w:vertAlign w:val="superscript"/>
              </w:rPr>
              <w:t>3</w:t>
            </w:r>
          </w:p>
        </w:tc>
        <w:tc>
          <w:tcPr>
            <w:tcW w:w="992" w:type="dxa"/>
            <w:vAlign w:val="center"/>
          </w:tcPr>
          <w:p w14:paraId="3F9FCECA"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Merge/>
            <w:vAlign w:val="center"/>
          </w:tcPr>
          <w:p w14:paraId="70CCFA04"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r>
      <w:tr w:rsidR="00697429" w:rsidRPr="00092862" w14:paraId="75EF4EEC" w14:textId="77777777" w:rsidTr="008A210C">
        <w:trPr>
          <w:cantSplit/>
          <w:jc w:val="center"/>
        </w:trPr>
        <w:tc>
          <w:tcPr>
            <w:tcW w:w="704" w:type="dxa"/>
            <w:vMerge/>
            <w:tcMar>
              <w:left w:w="0" w:type="dxa"/>
              <w:right w:w="0" w:type="dxa"/>
            </w:tcMar>
            <w:vAlign w:val="center"/>
          </w:tcPr>
          <w:p w14:paraId="5BEDA4C7"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c>
          <w:tcPr>
            <w:tcW w:w="1559" w:type="dxa"/>
            <w:vAlign w:val="center"/>
          </w:tcPr>
          <w:p w14:paraId="46D75A6F"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压裂返排液</w:t>
            </w:r>
          </w:p>
        </w:tc>
        <w:tc>
          <w:tcPr>
            <w:tcW w:w="1439" w:type="dxa"/>
            <w:vAlign w:val="center"/>
          </w:tcPr>
          <w:p w14:paraId="4EB533A2"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石油类、悬浮物、</w:t>
            </w: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rPr>
              <w:t>等</w:t>
            </w:r>
          </w:p>
        </w:tc>
        <w:tc>
          <w:tcPr>
            <w:tcW w:w="971" w:type="dxa"/>
            <w:vAlign w:val="center"/>
          </w:tcPr>
          <w:p w14:paraId="188AA97E" w14:textId="172AD56B" w:rsidR="009C7136" w:rsidRPr="00092862" w:rsidRDefault="00F47E9A"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739.5m</w:t>
            </w:r>
            <w:r w:rsidR="009C7136" w:rsidRPr="00092862">
              <w:rPr>
                <w:rFonts w:ascii="Times New Roman" w:eastAsia="宋体" w:hAnsi="Times New Roman" w:cs="Times New Roman"/>
                <w:color w:val="000000" w:themeColor="text1"/>
                <w:szCs w:val="21"/>
                <w:vertAlign w:val="superscript"/>
              </w:rPr>
              <w:t>3</w:t>
            </w:r>
          </w:p>
        </w:tc>
        <w:tc>
          <w:tcPr>
            <w:tcW w:w="992" w:type="dxa"/>
            <w:vAlign w:val="center"/>
          </w:tcPr>
          <w:p w14:paraId="1A94FFDF" w14:textId="7777777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Merge/>
            <w:vAlign w:val="center"/>
          </w:tcPr>
          <w:p w14:paraId="6128D138"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r>
      <w:tr w:rsidR="00697429" w:rsidRPr="00092862" w14:paraId="0A83A63A" w14:textId="77777777" w:rsidTr="008A210C">
        <w:trPr>
          <w:cantSplit/>
          <w:jc w:val="center"/>
        </w:trPr>
        <w:tc>
          <w:tcPr>
            <w:tcW w:w="704" w:type="dxa"/>
            <w:vMerge/>
            <w:tcMar>
              <w:left w:w="0" w:type="dxa"/>
              <w:right w:w="0" w:type="dxa"/>
            </w:tcMar>
            <w:vAlign w:val="center"/>
          </w:tcPr>
          <w:p w14:paraId="7D1A9D7D"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c>
          <w:tcPr>
            <w:tcW w:w="1559" w:type="dxa"/>
            <w:vAlign w:val="center"/>
          </w:tcPr>
          <w:p w14:paraId="0118BC3A" w14:textId="53DB81DB"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初期雨水</w:t>
            </w:r>
          </w:p>
        </w:tc>
        <w:tc>
          <w:tcPr>
            <w:tcW w:w="1439" w:type="dxa"/>
            <w:vAlign w:val="center"/>
          </w:tcPr>
          <w:p w14:paraId="2CF99B45" w14:textId="65F36027"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石油类、悬浮物、</w:t>
            </w: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rPr>
              <w:t>等</w:t>
            </w:r>
          </w:p>
        </w:tc>
        <w:tc>
          <w:tcPr>
            <w:tcW w:w="971" w:type="dxa"/>
            <w:vAlign w:val="center"/>
          </w:tcPr>
          <w:p w14:paraId="7EC66142" w14:textId="0B52C2F2" w:rsidR="009C7136" w:rsidRPr="00092862" w:rsidRDefault="00424DC5"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340.5m</w:t>
            </w:r>
            <w:r w:rsidR="009C7136" w:rsidRPr="00092862">
              <w:rPr>
                <w:rFonts w:ascii="Times New Roman" w:eastAsia="宋体" w:hAnsi="Times New Roman" w:cs="Times New Roman"/>
                <w:color w:val="000000" w:themeColor="text1"/>
                <w:szCs w:val="21"/>
                <w:vertAlign w:val="superscript"/>
              </w:rPr>
              <w:t>3</w:t>
            </w:r>
            <w:r w:rsidR="009C7136" w:rsidRPr="00092862">
              <w:rPr>
                <w:rFonts w:ascii="Times New Roman" w:eastAsia="宋体" w:hAnsi="Times New Roman" w:cs="Times New Roman"/>
                <w:color w:val="000000" w:themeColor="text1"/>
                <w:szCs w:val="21"/>
              </w:rPr>
              <w:t>/</w:t>
            </w:r>
            <w:r w:rsidR="009C7136" w:rsidRPr="00092862">
              <w:rPr>
                <w:rFonts w:ascii="Times New Roman" w:eastAsia="宋体" w:hAnsi="Times New Roman" w:cs="Times New Roman"/>
                <w:color w:val="000000" w:themeColor="text1"/>
                <w:szCs w:val="21"/>
              </w:rPr>
              <w:t>次</w:t>
            </w:r>
          </w:p>
        </w:tc>
        <w:tc>
          <w:tcPr>
            <w:tcW w:w="992" w:type="dxa"/>
            <w:vAlign w:val="center"/>
          </w:tcPr>
          <w:p w14:paraId="1B8E195A" w14:textId="754CDECD" w:rsidR="009C7136" w:rsidRPr="00092862" w:rsidRDefault="009C7136"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Merge/>
            <w:vAlign w:val="center"/>
          </w:tcPr>
          <w:p w14:paraId="356F5103" w14:textId="77777777" w:rsidR="009C7136" w:rsidRPr="00092862" w:rsidRDefault="009C7136" w:rsidP="00C04A25">
            <w:pPr>
              <w:snapToGrid w:val="0"/>
              <w:jc w:val="center"/>
              <w:rPr>
                <w:rFonts w:ascii="Times New Roman" w:eastAsia="宋体" w:hAnsi="Times New Roman" w:cs="Times New Roman"/>
                <w:color w:val="000000" w:themeColor="text1"/>
                <w:szCs w:val="21"/>
              </w:rPr>
            </w:pPr>
          </w:p>
        </w:tc>
      </w:tr>
      <w:tr w:rsidR="00697429" w:rsidRPr="00092862" w14:paraId="7B2B5BA3" w14:textId="77777777" w:rsidTr="008A210C">
        <w:trPr>
          <w:cantSplit/>
          <w:jc w:val="center"/>
        </w:trPr>
        <w:tc>
          <w:tcPr>
            <w:tcW w:w="704" w:type="dxa"/>
            <w:vMerge/>
            <w:tcMar>
              <w:left w:w="0" w:type="dxa"/>
              <w:right w:w="0" w:type="dxa"/>
            </w:tcMar>
            <w:vAlign w:val="center"/>
          </w:tcPr>
          <w:p w14:paraId="78B39E0E" w14:textId="77777777" w:rsidR="0078456C" w:rsidRPr="00092862" w:rsidRDefault="0078456C" w:rsidP="00C04A25">
            <w:pPr>
              <w:snapToGrid w:val="0"/>
              <w:jc w:val="center"/>
              <w:rPr>
                <w:rFonts w:ascii="Times New Roman" w:eastAsia="宋体" w:hAnsi="Times New Roman" w:cs="Times New Roman"/>
                <w:color w:val="000000" w:themeColor="text1"/>
                <w:szCs w:val="21"/>
              </w:rPr>
            </w:pPr>
          </w:p>
        </w:tc>
        <w:tc>
          <w:tcPr>
            <w:tcW w:w="1559" w:type="dxa"/>
            <w:vAlign w:val="center"/>
          </w:tcPr>
          <w:p w14:paraId="1DC375B3" w14:textId="77777777" w:rsidR="0078456C" w:rsidRPr="00092862" w:rsidRDefault="0078456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钻井生活污水</w:t>
            </w:r>
          </w:p>
        </w:tc>
        <w:tc>
          <w:tcPr>
            <w:tcW w:w="1439" w:type="dxa"/>
            <w:vMerge w:val="restart"/>
            <w:vAlign w:val="center"/>
          </w:tcPr>
          <w:p w14:paraId="6E871C2E" w14:textId="77777777" w:rsidR="0078456C" w:rsidRPr="00092862" w:rsidRDefault="0078456C" w:rsidP="007845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vertAlign w:val="subscript"/>
              </w:rPr>
              <w:t>Cr</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BOD</w:t>
            </w:r>
            <w:r w:rsidRPr="00092862">
              <w:rPr>
                <w:rFonts w:ascii="Times New Roman" w:eastAsia="宋体" w:hAnsi="Times New Roman" w:cs="Times New Roman"/>
                <w:color w:val="000000" w:themeColor="text1"/>
                <w:szCs w:val="21"/>
                <w:vertAlign w:val="subscript"/>
              </w:rPr>
              <w:t>5</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SS</w:t>
            </w:r>
            <w:r w:rsidRPr="00092862">
              <w:rPr>
                <w:rFonts w:ascii="Times New Roman" w:eastAsia="宋体" w:hAnsi="Times New Roman" w:cs="Times New Roman"/>
                <w:color w:val="000000" w:themeColor="text1"/>
                <w:szCs w:val="21"/>
              </w:rPr>
              <w:t>等</w:t>
            </w:r>
          </w:p>
        </w:tc>
        <w:tc>
          <w:tcPr>
            <w:tcW w:w="971" w:type="dxa"/>
            <w:vAlign w:val="center"/>
          </w:tcPr>
          <w:p w14:paraId="50510DD7" w14:textId="77777777" w:rsidR="0078456C" w:rsidRPr="00092862" w:rsidRDefault="0078456C"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2.88m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/d</w:t>
            </w:r>
          </w:p>
        </w:tc>
        <w:tc>
          <w:tcPr>
            <w:tcW w:w="992" w:type="dxa"/>
            <w:vAlign w:val="center"/>
          </w:tcPr>
          <w:p w14:paraId="508CD822" w14:textId="77777777" w:rsidR="0078456C" w:rsidRPr="00092862" w:rsidRDefault="00AA5149"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Align w:val="center"/>
          </w:tcPr>
          <w:p w14:paraId="464C60D3" w14:textId="7EE55334" w:rsidR="0078456C" w:rsidRPr="00092862" w:rsidRDefault="00271DF7" w:rsidP="00C04A2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经生态厕所收集后定期由密闭罐车拉运至周边生活污水处理厂处理</w:t>
            </w:r>
          </w:p>
        </w:tc>
      </w:tr>
      <w:tr w:rsidR="00697429" w:rsidRPr="00092862" w14:paraId="00A61A68" w14:textId="77777777" w:rsidTr="008A210C">
        <w:trPr>
          <w:cantSplit/>
          <w:jc w:val="center"/>
        </w:trPr>
        <w:tc>
          <w:tcPr>
            <w:tcW w:w="704" w:type="dxa"/>
            <w:vMerge/>
            <w:tcMar>
              <w:left w:w="0" w:type="dxa"/>
              <w:right w:w="0" w:type="dxa"/>
            </w:tcMar>
            <w:vAlign w:val="center"/>
          </w:tcPr>
          <w:p w14:paraId="49676603" w14:textId="77777777" w:rsidR="0078456C" w:rsidRPr="00092862" w:rsidRDefault="0078456C" w:rsidP="0078456C">
            <w:pPr>
              <w:snapToGrid w:val="0"/>
              <w:jc w:val="center"/>
              <w:rPr>
                <w:rFonts w:ascii="Times New Roman" w:eastAsia="宋体" w:hAnsi="Times New Roman" w:cs="Times New Roman"/>
                <w:color w:val="000000" w:themeColor="text1"/>
                <w:szCs w:val="21"/>
              </w:rPr>
            </w:pPr>
          </w:p>
        </w:tc>
        <w:tc>
          <w:tcPr>
            <w:tcW w:w="1559" w:type="dxa"/>
            <w:vAlign w:val="center"/>
          </w:tcPr>
          <w:p w14:paraId="1EC16D37" w14:textId="77777777" w:rsidR="0078456C" w:rsidRPr="00092862" w:rsidRDefault="0078456C" w:rsidP="007845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钻前生活污水</w:t>
            </w:r>
          </w:p>
        </w:tc>
        <w:tc>
          <w:tcPr>
            <w:tcW w:w="1439" w:type="dxa"/>
            <w:vMerge/>
            <w:vAlign w:val="center"/>
          </w:tcPr>
          <w:p w14:paraId="7D878E93" w14:textId="77777777" w:rsidR="0078456C" w:rsidRPr="00092862" w:rsidRDefault="0078456C" w:rsidP="0078456C">
            <w:pPr>
              <w:snapToGrid w:val="0"/>
              <w:jc w:val="center"/>
              <w:rPr>
                <w:rFonts w:ascii="Times New Roman" w:eastAsia="宋体" w:hAnsi="Times New Roman" w:cs="Times New Roman"/>
                <w:color w:val="000000" w:themeColor="text1"/>
                <w:szCs w:val="21"/>
              </w:rPr>
            </w:pPr>
          </w:p>
        </w:tc>
        <w:tc>
          <w:tcPr>
            <w:tcW w:w="971" w:type="dxa"/>
            <w:vAlign w:val="center"/>
          </w:tcPr>
          <w:p w14:paraId="54759510" w14:textId="77777777" w:rsidR="0078456C" w:rsidRPr="00092862" w:rsidRDefault="0078456C" w:rsidP="007845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992" w:type="dxa"/>
            <w:vAlign w:val="center"/>
          </w:tcPr>
          <w:p w14:paraId="3DE463CD" w14:textId="77777777" w:rsidR="0078456C" w:rsidRPr="00092862" w:rsidRDefault="0078456C" w:rsidP="007845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2557" w:type="dxa"/>
            <w:vAlign w:val="center"/>
          </w:tcPr>
          <w:p w14:paraId="7DD572E8" w14:textId="77777777" w:rsidR="0078456C" w:rsidRPr="00092862" w:rsidRDefault="0078456C" w:rsidP="007845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利用农户已有的设施进行收集处置</w:t>
            </w:r>
          </w:p>
        </w:tc>
      </w:tr>
      <w:tr w:rsidR="00697429" w:rsidRPr="00092862" w14:paraId="297520B6" w14:textId="77777777" w:rsidTr="008A210C">
        <w:trPr>
          <w:cantSplit/>
          <w:jc w:val="center"/>
        </w:trPr>
        <w:tc>
          <w:tcPr>
            <w:tcW w:w="704" w:type="dxa"/>
            <w:vMerge/>
            <w:tcMar>
              <w:left w:w="0" w:type="dxa"/>
              <w:right w:w="0" w:type="dxa"/>
            </w:tcMar>
            <w:vAlign w:val="center"/>
          </w:tcPr>
          <w:p w14:paraId="30001D87"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0F7988AE" w14:textId="52E03B21"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钻前施工废水</w:t>
            </w:r>
          </w:p>
        </w:tc>
        <w:tc>
          <w:tcPr>
            <w:tcW w:w="1439" w:type="dxa"/>
            <w:vAlign w:val="center"/>
          </w:tcPr>
          <w:p w14:paraId="447D3D5F" w14:textId="7F4944DD"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SS</w:t>
            </w:r>
            <w:r w:rsidRPr="00092862">
              <w:rPr>
                <w:rFonts w:ascii="Times New Roman" w:eastAsia="宋体" w:hAnsi="Times New Roman" w:cs="Times New Roman"/>
                <w:color w:val="000000" w:themeColor="text1"/>
                <w:szCs w:val="21"/>
              </w:rPr>
              <w:t>和石油类</w:t>
            </w:r>
          </w:p>
        </w:tc>
        <w:tc>
          <w:tcPr>
            <w:tcW w:w="971" w:type="dxa"/>
            <w:vAlign w:val="center"/>
          </w:tcPr>
          <w:p w14:paraId="13A84E44" w14:textId="38E3D75C"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992" w:type="dxa"/>
            <w:vAlign w:val="center"/>
          </w:tcPr>
          <w:p w14:paraId="3ACF37A2" w14:textId="17C9AEAE"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Align w:val="center"/>
          </w:tcPr>
          <w:p w14:paraId="3A960CC8" w14:textId="2F3EFCEA"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经隔油池沉淀处理后回用于洒水降尘</w:t>
            </w:r>
          </w:p>
        </w:tc>
      </w:tr>
      <w:tr w:rsidR="00697429" w:rsidRPr="00092862" w14:paraId="37C774DF" w14:textId="77777777" w:rsidTr="00C04A25">
        <w:trPr>
          <w:cantSplit/>
          <w:jc w:val="center"/>
        </w:trPr>
        <w:tc>
          <w:tcPr>
            <w:tcW w:w="704" w:type="dxa"/>
            <w:vMerge w:val="restart"/>
            <w:tcMar>
              <w:left w:w="0" w:type="dxa"/>
              <w:right w:w="0" w:type="dxa"/>
            </w:tcMar>
            <w:vAlign w:val="center"/>
          </w:tcPr>
          <w:p w14:paraId="1235FB1C"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w:t>
            </w:r>
          </w:p>
        </w:tc>
        <w:tc>
          <w:tcPr>
            <w:tcW w:w="1559" w:type="dxa"/>
            <w:vAlign w:val="center"/>
          </w:tcPr>
          <w:p w14:paraId="3BEF1566"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钻井设备噪声</w:t>
            </w:r>
          </w:p>
        </w:tc>
        <w:tc>
          <w:tcPr>
            <w:tcW w:w="3402" w:type="dxa"/>
            <w:gridSpan w:val="3"/>
            <w:vAlign w:val="center"/>
          </w:tcPr>
          <w:p w14:paraId="5E14B4AF"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75~103dB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c>
          <w:tcPr>
            <w:tcW w:w="2557" w:type="dxa"/>
            <w:vAlign w:val="center"/>
          </w:tcPr>
          <w:p w14:paraId="5B64741D"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选用低噪声设备、加强维护保养，置于钻井井场内，基础安装减振垫层，柴油发电机设置于室内</w:t>
            </w:r>
          </w:p>
        </w:tc>
      </w:tr>
      <w:tr w:rsidR="00697429" w:rsidRPr="00092862" w14:paraId="142CAAAD" w14:textId="77777777" w:rsidTr="00C04A25">
        <w:trPr>
          <w:cantSplit/>
          <w:jc w:val="center"/>
        </w:trPr>
        <w:tc>
          <w:tcPr>
            <w:tcW w:w="704" w:type="dxa"/>
            <w:vMerge/>
            <w:tcMar>
              <w:left w:w="0" w:type="dxa"/>
              <w:right w:w="0" w:type="dxa"/>
            </w:tcMar>
            <w:vAlign w:val="center"/>
          </w:tcPr>
          <w:p w14:paraId="79DB5DE8"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6FAE97BF"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事故放喷噪声</w:t>
            </w:r>
          </w:p>
        </w:tc>
        <w:tc>
          <w:tcPr>
            <w:tcW w:w="3402" w:type="dxa"/>
            <w:gridSpan w:val="3"/>
            <w:vAlign w:val="center"/>
          </w:tcPr>
          <w:p w14:paraId="18006E01"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c>
          <w:tcPr>
            <w:tcW w:w="2557" w:type="dxa"/>
            <w:vAlign w:val="center"/>
          </w:tcPr>
          <w:p w14:paraId="6388DA54"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仅事故情况下产生</w:t>
            </w:r>
            <w:r w:rsidRPr="00092862">
              <w:rPr>
                <w:rFonts w:ascii="Times New Roman" w:eastAsia="宋体" w:hAnsi="Times New Roman" w:cs="Times New Roman"/>
                <w:color w:val="000000" w:themeColor="text1"/>
                <w:szCs w:val="21"/>
              </w:rPr>
              <w:t xml:space="preserve">  </w:t>
            </w:r>
          </w:p>
        </w:tc>
      </w:tr>
      <w:tr w:rsidR="00697429" w:rsidRPr="00092862" w14:paraId="2B1A19DE" w14:textId="77777777" w:rsidTr="00C04A25">
        <w:trPr>
          <w:cantSplit/>
          <w:jc w:val="center"/>
        </w:trPr>
        <w:tc>
          <w:tcPr>
            <w:tcW w:w="704" w:type="dxa"/>
            <w:vMerge/>
            <w:tcMar>
              <w:left w:w="0" w:type="dxa"/>
              <w:right w:w="0" w:type="dxa"/>
            </w:tcMar>
            <w:vAlign w:val="center"/>
          </w:tcPr>
          <w:p w14:paraId="109C6061"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5A2A1F2F" w14:textId="3123A363"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w:t>
            </w:r>
            <w:r w:rsidR="00F30AFD" w:rsidRPr="00092862">
              <w:rPr>
                <w:rFonts w:ascii="Times New Roman" w:eastAsia="宋体" w:hAnsi="Times New Roman" w:cs="Times New Roman"/>
                <w:color w:val="000000" w:themeColor="text1"/>
                <w:szCs w:val="21"/>
              </w:rPr>
              <w:t>集气站</w:t>
            </w:r>
            <w:r w:rsidRPr="00092862">
              <w:rPr>
                <w:rFonts w:ascii="Times New Roman" w:eastAsia="宋体" w:hAnsi="Times New Roman" w:cs="Times New Roman"/>
                <w:color w:val="000000" w:themeColor="text1"/>
                <w:szCs w:val="21"/>
              </w:rPr>
              <w:t>施工噪声</w:t>
            </w:r>
          </w:p>
        </w:tc>
        <w:tc>
          <w:tcPr>
            <w:tcW w:w="3402" w:type="dxa"/>
            <w:gridSpan w:val="3"/>
            <w:vAlign w:val="center"/>
          </w:tcPr>
          <w:p w14:paraId="1CFB45E3"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82~101dB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c>
          <w:tcPr>
            <w:tcW w:w="2557" w:type="dxa"/>
            <w:vAlign w:val="center"/>
          </w:tcPr>
          <w:p w14:paraId="6EB4D9F2"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选用低噪声设备、加强维护保养</w:t>
            </w:r>
          </w:p>
        </w:tc>
      </w:tr>
      <w:tr w:rsidR="00697429" w:rsidRPr="00092862" w14:paraId="37860041" w14:textId="77777777" w:rsidTr="008A210C">
        <w:trPr>
          <w:cantSplit/>
          <w:jc w:val="center"/>
        </w:trPr>
        <w:tc>
          <w:tcPr>
            <w:tcW w:w="704" w:type="dxa"/>
            <w:vMerge w:val="restart"/>
            <w:tcMar>
              <w:left w:w="0" w:type="dxa"/>
              <w:right w:w="0" w:type="dxa"/>
            </w:tcMar>
            <w:vAlign w:val="center"/>
          </w:tcPr>
          <w:p w14:paraId="235F245B"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w:t>
            </w:r>
          </w:p>
        </w:tc>
        <w:tc>
          <w:tcPr>
            <w:tcW w:w="1559" w:type="dxa"/>
            <w:vAlign w:val="center"/>
          </w:tcPr>
          <w:p w14:paraId="14026E35"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水基钻井固废</w:t>
            </w:r>
          </w:p>
        </w:tc>
        <w:tc>
          <w:tcPr>
            <w:tcW w:w="1439" w:type="dxa"/>
            <w:vAlign w:val="center"/>
          </w:tcPr>
          <w:p w14:paraId="3C4AB51B" w14:textId="73B0B4F0" w:rsidR="009C7136" w:rsidRPr="00092862" w:rsidRDefault="00E96918"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w:t>
            </w:r>
            <w:r w:rsidR="009C7136" w:rsidRPr="00092862">
              <w:rPr>
                <w:rFonts w:ascii="Times New Roman" w:eastAsia="宋体" w:hAnsi="Times New Roman" w:cs="Times New Roman"/>
                <w:color w:val="000000" w:themeColor="text1"/>
                <w:szCs w:val="21"/>
              </w:rPr>
              <w:t>水基泥浆、岩屑</w:t>
            </w:r>
          </w:p>
        </w:tc>
        <w:tc>
          <w:tcPr>
            <w:tcW w:w="971" w:type="dxa"/>
            <w:vAlign w:val="center"/>
          </w:tcPr>
          <w:p w14:paraId="19129C16" w14:textId="02993413" w:rsidR="009C7136" w:rsidRPr="00092862" w:rsidRDefault="000B7444"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4216.39t</w:t>
            </w:r>
          </w:p>
        </w:tc>
        <w:tc>
          <w:tcPr>
            <w:tcW w:w="992" w:type="dxa"/>
            <w:vAlign w:val="center"/>
          </w:tcPr>
          <w:p w14:paraId="79FAB235"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p>
        </w:tc>
        <w:tc>
          <w:tcPr>
            <w:tcW w:w="2557" w:type="dxa"/>
            <w:vAlign w:val="center"/>
          </w:tcPr>
          <w:p w14:paraId="2193A0A1" w14:textId="015CBBCB" w:rsidR="009C7136" w:rsidRPr="00092862" w:rsidRDefault="00D92584"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经泥浆不落地工艺进行固液分离后暂存于固废临时堆放区，</w:t>
            </w:r>
            <w:r w:rsidR="00A02F80" w:rsidRPr="00092862">
              <w:rPr>
                <w:rFonts w:ascii="Times New Roman" w:eastAsia="宋体" w:hAnsi="Times New Roman" w:cs="Times New Roman"/>
                <w:color w:val="000000" w:themeColor="text1"/>
                <w:szCs w:val="21"/>
              </w:rPr>
              <w:t>定期用密闭罐车</w:t>
            </w:r>
            <w:r w:rsidR="000408D0" w:rsidRPr="00092862">
              <w:rPr>
                <w:rFonts w:ascii="Times New Roman" w:eastAsia="宋体" w:hAnsi="Times New Roman" w:cs="Times New Roman"/>
                <w:color w:val="000000" w:themeColor="text1"/>
                <w:szCs w:val="21"/>
              </w:rPr>
              <w:t>及时转运至达州地区环保手续齐全、环保设施稳定运行固废烧结厂进行烧结后综合利用</w:t>
            </w:r>
          </w:p>
        </w:tc>
      </w:tr>
      <w:tr w:rsidR="00697429" w:rsidRPr="00092862" w14:paraId="61E37AD7" w14:textId="77777777" w:rsidTr="008A210C">
        <w:trPr>
          <w:cantSplit/>
          <w:jc w:val="center"/>
        </w:trPr>
        <w:tc>
          <w:tcPr>
            <w:tcW w:w="704" w:type="dxa"/>
            <w:vMerge/>
            <w:tcMar>
              <w:left w:w="0" w:type="dxa"/>
              <w:right w:w="0" w:type="dxa"/>
            </w:tcMar>
            <w:vAlign w:val="center"/>
          </w:tcPr>
          <w:p w14:paraId="3483D19C"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400D1A40"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废油</w:t>
            </w:r>
          </w:p>
        </w:tc>
        <w:tc>
          <w:tcPr>
            <w:tcW w:w="1439" w:type="dxa"/>
            <w:vAlign w:val="center"/>
          </w:tcPr>
          <w:p w14:paraId="51B4D527"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润滑油等</w:t>
            </w:r>
          </w:p>
        </w:tc>
        <w:tc>
          <w:tcPr>
            <w:tcW w:w="971" w:type="dxa"/>
            <w:vAlign w:val="center"/>
          </w:tcPr>
          <w:p w14:paraId="21621316" w14:textId="7F3F6642" w:rsidR="009C7136" w:rsidRPr="00092862" w:rsidRDefault="00F30AFD"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w:t>
            </w:r>
            <w:r w:rsidR="009C7136" w:rsidRPr="00092862">
              <w:rPr>
                <w:rFonts w:ascii="Times New Roman" w:eastAsia="宋体" w:hAnsi="Times New Roman" w:cs="Times New Roman"/>
                <w:color w:val="000000" w:themeColor="text1"/>
                <w:szCs w:val="21"/>
              </w:rPr>
              <w:t>m</w:t>
            </w:r>
            <w:r w:rsidR="009C7136" w:rsidRPr="00092862">
              <w:rPr>
                <w:rFonts w:ascii="Times New Roman" w:eastAsia="宋体" w:hAnsi="Times New Roman" w:cs="Times New Roman"/>
                <w:color w:val="000000" w:themeColor="text1"/>
                <w:szCs w:val="21"/>
                <w:vertAlign w:val="superscript"/>
              </w:rPr>
              <w:t>3</w:t>
            </w:r>
          </w:p>
        </w:tc>
        <w:tc>
          <w:tcPr>
            <w:tcW w:w="992" w:type="dxa"/>
            <w:vAlign w:val="center"/>
          </w:tcPr>
          <w:p w14:paraId="4A82E545"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p>
        </w:tc>
        <w:tc>
          <w:tcPr>
            <w:tcW w:w="2557" w:type="dxa"/>
            <w:vAlign w:val="center"/>
          </w:tcPr>
          <w:p w14:paraId="1AA25D56" w14:textId="140D6130" w:rsidR="009C7136" w:rsidRPr="00092862" w:rsidRDefault="0082425F"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设置废油桶集中收集暂存于泥浆不落地装置区临时堆放区内，钻井队综合利用或交由有资质的单位处理</w:t>
            </w:r>
          </w:p>
        </w:tc>
      </w:tr>
      <w:tr w:rsidR="00697429" w:rsidRPr="00092862" w14:paraId="2A28FB0E" w14:textId="77777777" w:rsidTr="008A210C">
        <w:trPr>
          <w:cantSplit/>
          <w:jc w:val="center"/>
        </w:trPr>
        <w:tc>
          <w:tcPr>
            <w:tcW w:w="704" w:type="dxa"/>
            <w:vMerge/>
            <w:tcMar>
              <w:left w:w="0" w:type="dxa"/>
              <w:right w:w="0" w:type="dxa"/>
            </w:tcMar>
            <w:vAlign w:val="center"/>
          </w:tcPr>
          <w:p w14:paraId="6EEC78B2"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00DF48C4"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废包装材料</w:t>
            </w:r>
          </w:p>
        </w:tc>
        <w:tc>
          <w:tcPr>
            <w:tcW w:w="1439" w:type="dxa"/>
            <w:vAlign w:val="center"/>
          </w:tcPr>
          <w:p w14:paraId="10F743AC"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包装袋等</w:t>
            </w:r>
          </w:p>
        </w:tc>
        <w:tc>
          <w:tcPr>
            <w:tcW w:w="971" w:type="dxa"/>
            <w:vAlign w:val="center"/>
          </w:tcPr>
          <w:p w14:paraId="78EBE75D" w14:textId="28128EBD" w:rsidR="009C7136" w:rsidRPr="00092862" w:rsidRDefault="00F30AFD"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w:t>
            </w:r>
            <w:r w:rsidR="009C7136" w:rsidRPr="00092862">
              <w:rPr>
                <w:rFonts w:ascii="Times New Roman" w:eastAsia="宋体" w:hAnsi="Times New Roman" w:cs="Times New Roman"/>
                <w:color w:val="000000" w:themeColor="text1"/>
                <w:szCs w:val="21"/>
              </w:rPr>
              <w:t>.0t</w:t>
            </w:r>
          </w:p>
        </w:tc>
        <w:tc>
          <w:tcPr>
            <w:tcW w:w="992" w:type="dxa"/>
            <w:vAlign w:val="center"/>
          </w:tcPr>
          <w:p w14:paraId="0D17C3E0"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p>
        </w:tc>
        <w:tc>
          <w:tcPr>
            <w:tcW w:w="2557" w:type="dxa"/>
            <w:vAlign w:val="center"/>
          </w:tcPr>
          <w:p w14:paraId="63C22597"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集中收集后部分回用，剩余的送当地废品回收站处理</w:t>
            </w:r>
          </w:p>
        </w:tc>
      </w:tr>
      <w:tr w:rsidR="00697429" w:rsidRPr="00092862" w14:paraId="5F30D944" w14:textId="77777777" w:rsidTr="008A210C">
        <w:trPr>
          <w:cantSplit/>
          <w:jc w:val="center"/>
        </w:trPr>
        <w:tc>
          <w:tcPr>
            <w:tcW w:w="704" w:type="dxa"/>
            <w:vMerge/>
            <w:tcMar>
              <w:left w:w="0" w:type="dxa"/>
              <w:right w:w="0" w:type="dxa"/>
            </w:tcMar>
            <w:vAlign w:val="center"/>
          </w:tcPr>
          <w:p w14:paraId="013422D4"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4828D138"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1439" w:type="dxa"/>
            <w:vAlign w:val="center"/>
          </w:tcPr>
          <w:p w14:paraId="60EF1FA5"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971" w:type="dxa"/>
            <w:vAlign w:val="center"/>
          </w:tcPr>
          <w:p w14:paraId="509DDB20"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22.5kg/d</w:t>
            </w:r>
          </w:p>
        </w:tc>
        <w:tc>
          <w:tcPr>
            <w:tcW w:w="992" w:type="dxa"/>
            <w:vAlign w:val="center"/>
          </w:tcPr>
          <w:p w14:paraId="52EC40D4"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p>
        </w:tc>
        <w:tc>
          <w:tcPr>
            <w:tcW w:w="2557" w:type="dxa"/>
            <w:vAlign w:val="center"/>
          </w:tcPr>
          <w:p w14:paraId="4C7FD590"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集中收集，交由当地环卫部门处置</w:t>
            </w:r>
          </w:p>
        </w:tc>
      </w:tr>
      <w:tr w:rsidR="00697429" w:rsidRPr="00092862" w14:paraId="20A2653A" w14:textId="77777777" w:rsidTr="008A210C">
        <w:trPr>
          <w:cantSplit/>
          <w:jc w:val="center"/>
        </w:trPr>
        <w:tc>
          <w:tcPr>
            <w:tcW w:w="704" w:type="dxa"/>
            <w:vMerge/>
            <w:tcMar>
              <w:left w:w="0" w:type="dxa"/>
              <w:right w:w="0" w:type="dxa"/>
            </w:tcMar>
            <w:vAlign w:val="center"/>
          </w:tcPr>
          <w:p w14:paraId="700BEB61" w14:textId="77777777" w:rsidR="009C7136" w:rsidRPr="00092862" w:rsidRDefault="009C7136" w:rsidP="009C7136">
            <w:pPr>
              <w:snapToGrid w:val="0"/>
              <w:jc w:val="center"/>
              <w:rPr>
                <w:rFonts w:ascii="Times New Roman" w:eastAsia="宋体" w:hAnsi="Times New Roman" w:cs="Times New Roman"/>
                <w:color w:val="000000" w:themeColor="text1"/>
                <w:szCs w:val="21"/>
              </w:rPr>
            </w:pPr>
          </w:p>
        </w:tc>
        <w:tc>
          <w:tcPr>
            <w:tcW w:w="1559" w:type="dxa"/>
            <w:vAlign w:val="center"/>
          </w:tcPr>
          <w:p w14:paraId="1451D4BD" w14:textId="1271F3E8"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w:t>
            </w:r>
            <w:r w:rsidR="00D92584"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完井搬迁</w:t>
            </w:r>
            <w:r w:rsidR="00D92584" w:rsidRPr="00092862">
              <w:rPr>
                <w:rFonts w:ascii="Times New Roman" w:eastAsia="宋体" w:hAnsi="Times New Roman" w:cs="Times New Roman"/>
                <w:color w:val="000000" w:themeColor="text1"/>
                <w:szCs w:val="21"/>
              </w:rPr>
              <w:t>与</w:t>
            </w:r>
            <w:r w:rsidR="00F30AFD" w:rsidRPr="00092862">
              <w:rPr>
                <w:rFonts w:ascii="Times New Roman" w:eastAsia="宋体" w:hAnsi="Times New Roman" w:cs="Times New Roman"/>
                <w:color w:val="000000" w:themeColor="text1"/>
                <w:szCs w:val="21"/>
              </w:rPr>
              <w:t>集气站</w:t>
            </w:r>
            <w:r w:rsidR="00D92584" w:rsidRPr="00092862">
              <w:rPr>
                <w:rFonts w:ascii="Times New Roman" w:eastAsia="宋体" w:hAnsi="Times New Roman" w:cs="Times New Roman"/>
                <w:color w:val="000000" w:themeColor="text1"/>
                <w:szCs w:val="21"/>
              </w:rPr>
              <w:t>建设</w:t>
            </w:r>
            <w:r w:rsidRPr="00092862">
              <w:rPr>
                <w:rFonts w:ascii="Times New Roman" w:eastAsia="宋体" w:hAnsi="Times New Roman" w:cs="Times New Roman"/>
                <w:color w:val="000000" w:themeColor="text1"/>
                <w:szCs w:val="21"/>
              </w:rPr>
              <w:t>建筑垃圾</w:t>
            </w:r>
          </w:p>
        </w:tc>
        <w:tc>
          <w:tcPr>
            <w:tcW w:w="1439" w:type="dxa"/>
            <w:vAlign w:val="center"/>
          </w:tcPr>
          <w:p w14:paraId="225B0ABD"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包装袋，废弃建筑材料</w:t>
            </w:r>
          </w:p>
        </w:tc>
        <w:tc>
          <w:tcPr>
            <w:tcW w:w="971" w:type="dxa"/>
            <w:vAlign w:val="center"/>
          </w:tcPr>
          <w:p w14:paraId="19B7B15B"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992" w:type="dxa"/>
            <w:vAlign w:val="center"/>
          </w:tcPr>
          <w:p w14:paraId="371BA87B"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557" w:type="dxa"/>
            <w:vAlign w:val="center"/>
          </w:tcPr>
          <w:p w14:paraId="3B1B47E8"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施工队伍统一收集清运至政府指定地方</w:t>
            </w:r>
          </w:p>
        </w:tc>
      </w:tr>
      <w:tr w:rsidR="00697429" w:rsidRPr="00092862" w14:paraId="76367391" w14:textId="77777777" w:rsidTr="00C04A25">
        <w:trPr>
          <w:cantSplit/>
          <w:jc w:val="center"/>
        </w:trPr>
        <w:tc>
          <w:tcPr>
            <w:tcW w:w="704" w:type="dxa"/>
            <w:tcMar>
              <w:left w:w="0" w:type="dxa"/>
              <w:right w:w="0" w:type="dxa"/>
            </w:tcMar>
            <w:vAlign w:val="center"/>
          </w:tcPr>
          <w:p w14:paraId="111222A9"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w:t>
            </w:r>
          </w:p>
        </w:tc>
        <w:tc>
          <w:tcPr>
            <w:tcW w:w="1559" w:type="dxa"/>
            <w:vAlign w:val="center"/>
          </w:tcPr>
          <w:p w14:paraId="7FC876E5" w14:textId="2E35A551" w:rsidR="009C7136" w:rsidRPr="00092862" w:rsidRDefault="00F30AFD"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集气站</w:t>
            </w:r>
            <w:r w:rsidR="009C7136" w:rsidRPr="00092862">
              <w:rPr>
                <w:rFonts w:ascii="Times New Roman" w:eastAsia="宋体" w:hAnsi="Times New Roman" w:cs="Times New Roman"/>
                <w:color w:val="000000" w:themeColor="text1"/>
                <w:szCs w:val="21"/>
              </w:rPr>
              <w:t>占地</w:t>
            </w:r>
          </w:p>
        </w:tc>
        <w:tc>
          <w:tcPr>
            <w:tcW w:w="3402" w:type="dxa"/>
            <w:gridSpan w:val="3"/>
            <w:vAlign w:val="center"/>
          </w:tcPr>
          <w:p w14:paraId="488636A9" w14:textId="0A5AEF93" w:rsidR="009C7136" w:rsidRPr="00092862" w:rsidRDefault="006C57CC"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井场及</w:t>
            </w:r>
            <w:r w:rsidR="00F30AFD" w:rsidRPr="00092862">
              <w:rPr>
                <w:rFonts w:ascii="Times New Roman" w:eastAsia="宋体" w:hAnsi="Times New Roman" w:cs="Times New Roman"/>
                <w:color w:val="000000" w:themeColor="text1"/>
                <w:szCs w:val="21"/>
              </w:rPr>
              <w:t>集气站</w:t>
            </w:r>
            <w:r w:rsidR="00317F32" w:rsidRPr="00092862">
              <w:rPr>
                <w:rFonts w:ascii="Times New Roman" w:eastAsia="宋体" w:hAnsi="Times New Roman" w:cs="Times New Roman"/>
                <w:color w:val="000000" w:themeColor="text1"/>
                <w:szCs w:val="21"/>
              </w:rPr>
              <w:t>为新建</w:t>
            </w:r>
            <w:r w:rsidRPr="00092862">
              <w:rPr>
                <w:rFonts w:ascii="Times New Roman" w:eastAsia="宋体" w:hAnsi="Times New Roman" w:cs="Times New Roman"/>
                <w:color w:val="000000" w:themeColor="text1"/>
                <w:szCs w:val="21"/>
              </w:rPr>
              <w:t>，</w:t>
            </w:r>
            <w:r w:rsidR="00F30AFD" w:rsidRPr="00092862">
              <w:rPr>
                <w:rFonts w:ascii="Times New Roman" w:eastAsia="宋体" w:hAnsi="Times New Roman" w:cs="Times New Roman"/>
                <w:color w:val="000000" w:themeColor="text1"/>
                <w:szCs w:val="21"/>
              </w:rPr>
              <w:t>新增占地为施工期生活区临时占地</w:t>
            </w:r>
            <w:r w:rsidR="009C7136" w:rsidRPr="00092862">
              <w:rPr>
                <w:rFonts w:ascii="Times New Roman" w:eastAsia="宋体" w:hAnsi="Times New Roman" w:cs="Times New Roman"/>
                <w:color w:val="000000" w:themeColor="text1"/>
                <w:szCs w:val="21"/>
              </w:rPr>
              <w:t>，引起地表、植被破坏，水土流失</w:t>
            </w:r>
          </w:p>
        </w:tc>
        <w:tc>
          <w:tcPr>
            <w:tcW w:w="2557" w:type="dxa"/>
            <w:vAlign w:val="center"/>
          </w:tcPr>
          <w:p w14:paraId="5FEBDAD1" w14:textId="411C0695"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施工完后，</w:t>
            </w:r>
            <w:r w:rsidR="009B7B20" w:rsidRPr="00092862">
              <w:rPr>
                <w:rFonts w:ascii="Times New Roman" w:eastAsia="宋体" w:hAnsi="Times New Roman" w:cs="Times New Roman"/>
                <w:color w:val="000000" w:themeColor="text1"/>
                <w:szCs w:val="21"/>
              </w:rPr>
              <w:t>无后续使用需求的</w:t>
            </w:r>
            <w:r w:rsidRPr="00092862">
              <w:rPr>
                <w:rFonts w:ascii="Times New Roman" w:eastAsia="宋体" w:hAnsi="Times New Roman" w:cs="Times New Roman"/>
                <w:color w:val="000000" w:themeColor="text1"/>
                <w:szCs w:val="21"/>
              </w:rPr>
              <w:t>临时占地恢复原有使用功能，进行植被恢复工作</w:t>
            </w:r>
          </w:p>
        </w:tc>
      </w:tr>
      <w:tr w:rsidR="00697429" w:rsidRPr="00092862" w14:paraId="56CC3B4E" w14:textId="77777777" w:rsidTr="00C04A25">
        <w:trPr>
          <w:cantSplit/>
          <w:jc w:val="center"/>
        </w:trPr>
        <w:tc>
          <w:tcPr>
            <w:tcW w:w="704" w:type="dxa"/>
            <w:tcMar>
              <w:left w:w="0" w:type="dxa"/>
              <w:right w:w="0" w:type="dxa"/>
            </w:tcMar>
            <w:vAlign w:val="center"/>
          </w:tcPr>
          <w:p w14:paraId="21FC743E"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环境风险</w:t>
            </w:r>
          </w:p>
        </w:tc>
        <w:tc>
          <w:tcPr>
            <w:tcW w:w="7518" w:type="dxa"/>
            <w:gridSpan w:val="5"/>
            <w:vAlign w:val="center"/>
          </w:tcPr>
          <w:p w14:paraId="6D043E05" w14:textId="77777777" w:rsidR="009C7136" w:rsidRPr="00092862" w:rsidRDefault="009C7136" w:rsidP="009C713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钻井井喷失控或泄漏的天然气导致的火灾爆炸环境风险事故，以及泄漏天然气导致的环境风险事故；污染物渗漏污染地表土壤和浅层地下水；污染物外运处理中的运输风险等</w:t>
            </w:r>
          </w:p>
        </w:tc>
      </w:tr>
    </w:tbl>
    <w:p w14:paraId="740BF1FB" w14:textId="60DA9675" w:rsidR="00DC446C" w:rsidRPr="00092862" w:rsidRDefault="003B1968" w:rsidP="00CA7777">
      <w:pPr>
        <w:pStyle w:val="3"/>
        <w:adjustRightInd w:val="0"/>
        <w:snapToGrid w:val="0"/>
        <w:spacing w:beforeLines="50" w:before="120" w:after="0" w:line="360" w:lineRule="auto"/>
        <w:ind w:firstLineChars="200" w:firstLine="480"/>
        <w:rPr>
          <w:rFonts w:ascii="Times New Roman" w:eastAsia="黑体" w:hAnsi="Times New Roman"/>
          <w:b w:val="0"/>
          <w:color w:val="000000" w:themeColor="text1"/>
          <w:sz w:val="24"/>
          <w:szCs w:val="24"/>
          <w:lang w:eastAsia="zh-CN"/>
        </w:rPr>
      </w:pPr>
      <w:bookmarkStart w:id="133" w:name="3.4.2运营期污染源强分析"/>
      <w:bookmarkStart w:id="134" w:name="_Toc120173113"/>
      <w:bookmarkEnd w:id="133"/>
      <w:r w:rsidRPr="00092862">
        <w:rPr>
          <w:rFonts w:ascii="Times New Roman" w:eastAsia="黑体" w:hAnsi="Times New Roman"/>
          <w:b w:val="0"/>
          <w:color w:val="000000" w:themeColor="text1"/>
          <w:sz w:val="24"/>
          <w:szCs w:val="24"/>
          <w:lang w:eastAsia="zh-CN"/>
        </w:rPr>
        <w:t>3.4.2</w:t>
      </w:r>
      <w:r w:rsidR="001A6854" w:rsidRPr="00092862">
        <w:rPr>
          <w:rFonts w:ascii="Times New Roman" w:eastAsia="黑体" w:hAnsi="Times New Roman"/>
          <w:b w:val="0"/>
          <w:color w:val="000000" w:themeColor="text1"/>
          <w:sz w:val="24"/>
          <w:szCs w:val="24"/>
          <w:lang w:eastAsia="zh-CN"/>
        </w:rPr>
        <w:t>试采期</w:t>
      </w:r>
      <w:r w:rsidRPr="00092862">
        <w:rPr>
          <w:rFonts w:ascii="Times New Roman" w:eastAsia="黑体" w:hAnsi="Times New Roman"/>
          <w:b w:val="0"/>
          <w:color w:val="000000" w:themeColor="text1"/>
          <w:sz w:val="24"/>
          <w:szCs w:val="24"/>
          <w:lang w:eastAsia="zh-CN"/>
        </w:rPr>
        <w:t>污染源强分析</w:t>
      </w:r>
      <w:bookmarkEnd w:id="134"/>
    </w:p>
    <w:p w14:paraId="4DA58EB0" w14:textId="454F472B" w:rsidR="00CE6594"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3.4.2.1</w:t>
      </w:r>
      <w:r w:rsidR="00CE6594" w:rsidRPr="00092862">
        <w:rPr>
          <w:rFonts w:ascii="Times New Roman" w:eastAsia="宋体" w:hAnsi="Times New Roman" w:cs="Times New Roman"/>
          <w:b/>
          <w:color w:val="000000" w:themeColor="text1"/>
          <w:sz w:val="24"/>
        </w:rPr>
        <w:t>废气</w:t>
      </w:r>
    </w:p>
    <w:p w14:paraId="635FC3B6" w14:textId="58CF6095" w:rsidR="00CE6594" w:rsidRPr="00092862" w:rsidRDefault="001A6854" w:rsidP="00F20A7F">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试采期</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DE14CC" w:rsidRPr="00092862">
        <w:rPr>
          <w:rFonts w:ascii="Times New Roman" w:eastAsia="宋体" w:hAnsi="Times New Roman" w:cs="Times New Roman"/>
          <w:bCs/>
          <w:color w:val="000000" w:themeColor="text1"/>
          <w:sz w:val="24"/>
        </w:rPr>
        <w:t>集气站</w:t>
      </w:r>
      <w:r w:rsidR="00F20A7F" w:rsidRPr="00092862">
        <w:rPr>
          <w:rFonts w:ascii="Times New Roman" w:eastAsia="宋体" w:hAnsi="Times New Roman" w:cs="Times New Roman"/>
          <w:bCs/>
          <w:color w:val="000000" w:themeColor="text1"/>
          <w:sz w:val="24"/>
        </w:rPr>
        <w:t>正常生产情况下，流程设备、管线、阀室等工艺设备为高压密闭作业，无废气产生。</w:t>
      </w:r>
      <w:r w:rsidRPr="00092862">
        <w:rPr>
          <w:rFonts w:ascii="Times New Roman" w:eastAsia="宋体" w:hAnsi="Times New Roman" w:cs="Times New Roman"/>
          <w:bCs/>
          <w:color w:val="000000" w:themeColor="text1"/>
          <w:sz w:val="24"/>
        </w:rPr>
        <w:t>试采期</w:t>
      </w:r>
      <w:r w:rsidR="00F20A7F" w:rsidRPr="00092862">
        <w:rPr>
          <w:rFonts w:ascii="Times New Roman" w:eastAsia="宋体" w:hAnsi="Times New Roman" w:cs="Times New Roman"/>
          <w:bCs/>
          <w:color w:val="000000" w:themeColor="text1"/>
          <w:sz w:val="24"/>
        </w:rPr>
        <w:t>正常情况下主要废气为</w:t>
      </w:r>
      <w:r w:rsidR="00C26134" w:rsidRPr="00092862">
        <w:rPr>
          <w:rFonts w:ascii="Times New Roman" w:eastAsia="宋体" w:hAnsi="Times New Roman" w:cs="Times New Roman"/>
          <w:bCs/>
          <w:color w:val="000000" w:themeColor="text1"/>
          <w:sz w:val="24"/>
        </w:rPr>
        <w:t>水套加热炉</w:t>
      </w:r>
      <w:r w:rsidR="00F20A7F" w:rsidRPr="00092862">
        <w:rPr>
          <w:rFonts w:ascii="Times New Roman" w:eastAsia="宋体" w:hAnsi="Times New Roman" w:cs="Times New Roman"/>
          <w:bCs/>
          <w:color w:val="000000" w:themeColor="text1"/>
          <w:sz w:val="24"/>
        </w:rPr>
        <w:t>废</w:t>
      </w:r>
      <w:r w:rsidR="00F20A7F" w:rsidRPr="00092862">
        <w:rPr>
          <w:rFonts w:ascii="Times New Roman" w:eastAsia="宋体" w:hAnsi="Times New Roman" w:cs="Times New Roman"/>
          <w:bCs/>
          <w:color w:val="000000" w:themeColor="text1"/>
          <w:sz w:val="24"/>
        </w:rPr>
        <w:lastRenderedPageBreak/>
        <w:t>气</w:t>
      </w:r>
      <w:r w:rsidR="008A1EDF" w:rsidRPr="00092862">
        <w:rPr>
          <w:rFonts w:ascii="Times New Roman" w:eastAsia="宋体" w:hAnsi="Times New Roman" w:cs="Times New Roman"/>
          <w:bCs/>
          <w:color w:val="000000" w:themeColor="text1"/>
          <w:sz w:val="24"/>
        </w:rPr>
        <w:t>与</w:t>
      </w:r>
      <w:r w:rsidR="00A8251A" w:rsidRPr="00092862">
        <w:rPr>
          <w:rFonts w:ascii="Times New Roman" w:eastAsia="宋体" w:hAnsi="Times New Roman" w:cs="Times New Roman"/>
          <w:bCs/>
          <w:color w:val="000000" w:themeColor="text1"/>
          <w:sz w:val="24"/>
        </w:rPr>
        <w:t>火炬头长明灯废气</w:t>
      </w:r>
      <w:r w:rsidR="00F20A7F" w:rsidRPr="00092862">
        <w:rPr>
          <w:rFonts w:ascii="Times New Roman" w:eastAsia="宋体" w:hAnsi="Times New Roman" w:cs="Times New Roman"/>
          <w:bCs/>
          <w:color w:val="000000" w:themeColor="text1"/>
          <w:sz w:val="24"/>
        </w:rPr>
        <w:t>，非正常运行状态主要有检修废气或系统超压等情况产生的事故放空废气。</w:t>
      </w:r>
    </w:p>
    <w:p w14:paraId="71D1C7C5" w14:textId="4EEABCBD" w:rsidR="00EC70BF" w:rsidRPr="00092862" w:rsidRDefault="00EC70BF" w:rsidP="00DE14C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、正常工况</w:t>
      </w:r>
    </w:p>
    <w:p w14:paraId="42C50C3D" w14:textId="6CE83E72" w:rsidR="00EC70BF" w:rsidRPr="00092862" w:rsidRDefault="00EC70BF" w:rsidP="00EC70BF">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color w:val="000000" w:themeColor="text1"/>
          <w:sz w:val="24"/>
          <w:szCs w:val="24"/>
        </w:rPr>
        <w:t>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w:t>
      </w:r>
      <w:r w:rsidR="002254A9"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站两口井所需加热负荷为</w:t>
      </w:r>
      <w:r w:rsidRPr="00092862">
        <w:rPr>
          <w:rFonts w:ascii="Times New Roman" w:eastAsia="宋体" w:hAnsi="Times New Roman" w:cs="Times New Roman"/>
          <w:color w:val="000000" w:themeColor="text1"/>
          <w:sz w:val="24"/>
          <w:szCs w:val="24"/>
        </w:rPr>
        <w:t>766.8kW</w:t>
      </w:r>
      <w:r w:rsidRPr="00092862">
        <w:rPr>
          <w:rFonts w:ascii="Times New Roman" w:eastAsia="宋体" w:hAnsi="Times New Roman" w:cs="Times New Roman"/>
          <w:color w:val="000000" w:themeColor="text1"/>
          <w:sz w:val="24"/>
          <w:szCs w:val="24"/>
        </w:rPr>
        <w:t>，采取两台水套加热炉总功率为</w:t>
      </w:r>
      <w:r w:rsidRPr="00092862">
        <w:rPr>
          <w:rFonts w:ascii="Times New Roman" w:eastAsia="宋体" w:hAnsi="Times New Roman" w:cs="Times New Roman"/>
          <w:color w:val="000000" w:themeColor="text1"/>
          <w:sz w:val="24"/>
          <w:szCs w:val="24"/>
        </w:rPr>
        <w:t>1000kW</w:t>
      </w:r>
      <w:r w:rsidRPr="00092862">
        <w:rPr>
          <w:rFonts w:ascii="Times New Roman" w:eastAsia="宋体" w:hAnsi="Times New Roman" w:cs="Times New Roman"/>
          <w:color w:val="000000" w:themeColor="text1"/>
          <w:sz w:val="24"/>
          <w:szCs w:val="24"/>
        </w:rPr>
        <w:t>，余量较小。且因节流后需要安全放空和分区放空要求，老君</w:t>
      </w:r>
      <w:r w:rsidRPr="00092862">
        <w:rPr>
          <w:rFonts w:ascii="Times New Roman" w:eastAsia="宋体" w:hAnsi="Times New Roman" w:cs="Times New Roman"/>
          <w:color w:val="000000" w:themeColor="text1"/>
          <w:sz w:val="24"/>
          <w:szCs w:val="24"/>
        </w:rPr>
        <w:t>7011</w:t>
      </w:r>
      <w:r w:rsidRPr="00092862">
        <w:rPr>
          <w:rFonts w:ascii="Times New Roman" w:eastAsia="宋体" w:hAnsi="Times New Roman" w:cs="Times New Roman"/>
          <w:color w:val="000000" w:themeColor="text1"/>
          <w:sz w:val="24"/>
          <w:szCs w:val="24"/>
        </w:rPr>
        <w:t>采气站两口新井需单独设置水套加热炉用于加热、节流，本次按剩余最大输气量</w:t>
      </w:r>
      <w:r w:rsidRPr="00092862">
        <w:rPr>
          <w:rFonts w:ascii="Times New Roman" w:eastAsia="宋体" w:hAnsi="Times New Roman" w:cs="Times New Roman"/>
          <w:color w:val="000000" w:themeColor="text1"/>
          <w:sz w:val="24"/>
          <w:szCs w:val="24"/>
        </w:rPr>
        <w:t>40×10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计算，所需计算负荷为</w:t>
      </w:r>
      <w:r w:rsidRPr="00092862">
        <w:rPr>
          <w:rFonts w:ascii="Times New Roman" w:eastAsia="宋体" w:hAnsi="Times New Roman" w:cs="Times New Roman"/>
          <w:color w:val="000000" w:themeColor="text1"/>
          <w:sz w:val="24"/>
          <w:szCs w:val="24"/>
        </w:rPr>
        <w:t>444.2kW</w:t>
      </w:r>
      <w:r w:rsidRPr="00092862">
        <w:rPr>
          <w:rFonts w:ascii="Times New Roman" w:eastAsia="宋体" w:hAnsi="Times New Roman" w:cs="Times New Roman"/>
          <w:color w:val="000000" w:themeColor="text1"/>
          <w:sz w:val="24"/>
          <w:szCs w:val="24"/>
        </w:rPr>
        <w:t>，满足生产要求。因此本项目单独建设水套加热炉，不依托老君</w:t>
      </w:r>
      <w:r w:rsidRPr="00092862">
        <w:rPr>
          <w:rFonts w:ascii="Times New Roman" w:eastAsia="宋体" w:hAnsi="Times New Roman" w:cs="Times New Roman"/>
          <w:color w:val="000000" w:themeColor="text1"/>
          <w:sz w:val="24"/>
          <w:szCs w:val="24"/>
        </w:rPr>
        <w:t>701</w:t>
      </w:r>
      <w:r w:rsidRPr="00092862">
        <w:rPr>
          <w:rFonts w:ascii="Times New Roman" w:eastAsia="宋体" w:hAnsi="Times New Roman" w:cs="Times New Roman"/>
          <w:color w:val="000000" w:themeColor="text1"/>
          <w:sz w:val="24"/>
          <w:szCs w:val="24"/>
        </w:rPr>
        <w:t>集气站内加热炉</w:t>
      </w:r>
      <w:r w:rsidR="00DE14CC" w:rsidRPr="00092862">
        <w:rPr>
          <w:rFonts w:ascii="Times New Roman" w:eastAsia="宋体" w:hAnsi="Times New Roman" w:cs="Times New Roman"/>
          <w:bCs/>
          <w:color w:val="000000" w:themeColor="text1"/>
          <w:sz w:val="24"/>
          <w:szCs w:val="24"/>
        </w:rPr>
        <w:t>，因此本项目的建设会增</w:t>
      </w:r>
      <w:r w:rsidR="00DE14CC" w:rsidRPr="00092862">
        <w:rPr>
          <w:rFonts w:ascii="Times New Roman" w:eastAsia="宋体" w:hAnsi="Times New Roman" w:cs="Times New Roman"/>
          <w:bCs/>
          <w:color w:val="000000" w:themeColor="text1"/>
          <w:sz w:val="24"/>
        </w:rPr>
        <w:t>加水套加热炉燃烧废气。</w:t>
      </w:r>
    </w:p>
    <w:p w14:paraId="2D6B1239" w14:textId="51D9E97C" w:rsidR="00EC70BF" w:rsidRPr="00092862" w:rsidRDefault="008A7A52" w:rsidP="0064169A">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本项目需新建</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套水套</w:t>
      </w:r>
      <w:r w:rsidR="007F4CED" w:rsidRPr="00092862">
        <w:rPr>
          <w:rFonts w:ascii="Times New Roman" w:eastAsia="宋体" w:hAnsi="Times New Roman" w:cs="Times New Roman"/>
          <w:color w:val="000000" w:themeColor="text1"/>
          <w:sz w:val="24"/>
          <w:szCs w:val="24"/>
        </w:rPr>
        <w:t>加</w:t>
      </w:r>
      <w:r w:rsidRPr="00092862">
        <w:rPr>
          <w:rFonts w:ascii="Times New Roman" w:eastAsia="宋体" w:hAnsi="Times New Roman" w:cs="Times New Roman"/>
          <w:color w:val="000000" w:themeColor="text1"/>
          <w:sz w:val="24"/>
          <w:szCs w:val="24"/>
        </w:rPr>
        <w:t>热炉，该水套炉所使用的天然气来源于拟建燃气管线输送的净化厂净化后天然气，不含硫化氢，主要成分为甲烷，燃烧后其废气中主要污染物为</w:t>
      </w:r>
      <w:r w:rsidRPr="00092862">
        <w:rPr>
          <w:rFonts w:ascii="Times New Roman" w:eastAsia="宋体" w:hAnsi="Times New Roman" w:cs="Times New Roman"/>
          <w:color w:val="000000" w:themeColor="text1"/>
          <w:sz w:val="24"/>
          <w:szCs w:val="24"/>
        </w:rPr>
        <w:t>NO</w:t>
      </w:r>
      <w:r w:rsidRPr="00092862">
        <w:rPr>
          <w:rFonts w:ascii="Times New Roman" w:eastAsia="宋体" w:hAnsi="Times New Roman" w:cs="Times New Roman"/>
          <w:color w:val="000000" w:themeColor="text1"/>
          <w:sz w:val="24"/>
          <w:szCs w:val="24"/>
          <w:vertAlign w:val="subscript"/>
        </w:rPr>
        <w:t>X</w:t>
      </w:r>
      <w:r w:rsidRPr="00092862">
        <w:rPr>
          <w:rFonts w:ascii="Times New Roman" w:eastAsia="宋体" w:hAnsi="Times New Roman" w:cs="Times New Roman"/>
          <w:color w:val="000000" w:themeColor="text1"/>
          <w:sz w:val="24"/>
          <w:szCs w:val="24"/>
        </w:rPr>
        <w:t>。本项目所使用的水套炉设计最大燃烧量为</w:t>
      </w:r>
      <w:r w:rsidR="00996889" w:rsidRPr="00092862">
        <w:rPr>
          <w:rFonts w:ascii="Times New Roman" w:eastAsia="宋体" w:hAnsi="Times New Roman" w:cs="Times New Roman"/>
          <w:color w:val="000000" w:themeColor="text1"/>
          <w:sz w:val="24"/>
          <w:szCs w:val="24"/>
        </w:rPr>
        <w:t>22.9</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/h</w:t>
      </w:r>
      <w:r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549.6</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00996889" w:rsidRPr="00092862">
        <w:rPr>
          <w:rFonts w:ascii="Times New Roman" w:eastAsia="宋体" w:hAnsi="Times New Roman" w:cs="Times New Roman"/>
          <w:color w:val="000000" w:themeColor="text1"/>
          <w:sz w:val="24"/>
          <w:szCs w:val="24"/>
        </w:rPr>
        <w:t>（约</w:t>
      </w:r>
      <w:r w:rsidR="00996889" w:rsidRPr="00092862">
        <w:rPr>
          <w:rFonts w:ascii="Times New Roman" w:eastAsia="宋体" w:hAnsi="Times New Roman" w:cs="Times New Roman"/>
          <w:color w:val="000000" w:themeColor="text1"/>
          <w:sz w:val="24"/>
          <w:szCs w:val="24"/>
        </w:rPr>
        <w:t>19.8</w:t>
      </w:r>
      <w:r w:rsidR="00996889" w:rsidRPr="00092862">
        <w:rPr>
          <w:rFonts w:ascii="Times New Roman" w:eastAsia="宋体" w:hAnsi="Times New Roman" w:cs="Times New Roman"/>
          <w:color w:val="000000" w:themeColor="text1"/>
          <w:sz w:val="24"/>
          <w:szCs w:val="24"/>
        </w:rPr>
        <w:t>万</w:t>
      </w:r>
      <w:r w:rsidR="00996889" w:rsidRPr="00092862">
        <w:rPr>
          <w:rFonts w:ascii="Times New Roman" w:eastAsia="宋体" w:hAnsi="Times New Roman" w:cs="Times New Roman"/>
          <w:color w:val="000000" w:themeColor="text1"/>
          <w:sz w:val="24"/>
          <w:szCs w:val="24"/>
        </w:rPr>
        <w:t>m</w:t>
      </w:r>
      <w:r w:rsidR="00996889" w:rsidRPr="00092862">
        <w:rPr>
          <w:rFonts w:ascii="Times New Roman" w:eastAsia="宋体" w:hAnsi="Times New Roman" w:cs="Times New Roman"/>
          <w:color w:val="000000" w:themeColor="text1"/>
          <w:sz w:val="24"/>
          <w:szCs w:val="24"/>
          <w:vertAlign w:val="superscript"/>
        </w:rPr>
        <w:t>3</w:t>
      </w:r>
      <w:r w:rsidR="00996889" w:rsidRPr="00092862">
        <w:rPr>
          <w:rFonts w:ascii="Times New Roman" w:eastAsia="宋体" w:hAnsi="Times New Roman" w:cs="Times New Roman"/>
          <w:color w:val="000000" w:themeColor="text1"/>
          <w:sz w:val="24"/>
          <w:szCs w:val="24"/>
        </w:rPr>
        <w:t>/a</w:t>
      </w:r>
      <w:r w:rsidR="00996889"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，水套炉主要用于给产出的天然气进行加热降粘。本次评价采用</w:t>
      </w:r>
      <w:r w:rsidR="00996889" w:rsidRPr="00092862">
        <w:rPr>
          <w:rFonts w:ascii="Times New Roman" w:eastAsia="宋体" w:hAnsi="Times New Roman" w:cs="Times New Roman"/>
          <w:color w:val="000000" w:themeColor="text1"/>
          <w:sz w:val="24"/>
          <w:szCs w:val="24"/>
        </w:rPr>
        <w:t>水套加热炉废气产排核算均按照《排放源统计调查产排污核算方法和系数手册》（环境部公告</w:t>
      </w:r>
      <w:r w:rsidR="00996889" w:rsidRPr="00092862">
        <w:rPr>
          <w:rFonts w:ascii="Times New Roman" w:eastAsia="宋体" w:hAnsi="Times New Roman" w:cs="Times New Roman"/>
          <w:color w:val="000000" w:themeColor="text1"/>
          <w:sz w:val="24"/>
          <w:szCs w:val="24"/>
        </w:rPr>
        <w:t xml:space="preserve">2021 </w:t>
      </w:r>
      <w:r w:rsidR="00996889" w:rsidRPr="00092862">
        <w:rPr>
          <w:rFonts w:ascii="Times New Roman" w:eastAsia="宋体" w:hAnsi="Times New Roman" w:cs="Times New Roman"/>
          <w:color w:val="000000" w:themeColor="text1"/>
          <w:sz w:val="24"/>
          <w:szCs w:val="24"/>
        </w:rPr>
        <w:t>第</w:t>
      </w:r>
      <w:r w:rsidR="00996889" w:rsidRPr="00092862">
        <w:rPr>
          <w:rFonts w:ascii="Times New Roman" w:eastAsia="宋体" w:hAnsi="Times New Roman" w:cs="Times New Roman"/>
          <w:color w:val="000000" w:themeColor="text1"/>
          <w:sz w:val="24"/>
          <w:szCs w:val="24"/>
        </w:rPr>
        <w:t>24</w:t>
      </w:r>
      <w:r w:rsidR="00996889" w:rsidRPr="00092862">
        <w:rPr>
          <w:rFonts w:ascii="Times New Roman" w:eastAsia="宋体" w:hAnsi="Times New Roman" w:cs="Times New Roman"/>
          <w:color w:val="000000" w:themeColor="text1"/>
          <w:sz w:val="24"/>
          <w:szCs w:val="24"/>
        </w:rPr>
        <w:t>号）中</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锅炉产排污量核算系数手册</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中燃气工业锅炉废气产排污系数计算，热力生产型燃气锅炉的工业废气产生量为</w:t>
      </w:r>
      <w:r w:rsidR="00996889" w:rsidRPr="00092862">
        <w:rPr>
          <w:rFonts w:ascii="Times New Roman" w:eastAsia="宋体" w:hAnsi="Times New Roman" w:cs="Times New Roman"/>
          <w:color w:val="000000" w:themeColor="text1"/>
          <w:sz w:val="24"/>
          <w:szCs w:val="24"/>
        </w:rPr>
        <w:t>10.7753</w:t>
      </w:r>
      <w:r w:rsidR="00996889" w:rsidRPr="00092862">
        <w:rPr>
          <w:rFonts w:ascii="Times New Roman" w:eastAsia="宋体" w:hAnsi="Times New Roman" w:cs="Times New Roman"/>
          <w:color w:val="000000" w:themeColor="text1"/>
          <w:sz w:val="24"/>
          <w:szCs w:val="24"/>
        </w:rPr>
        <w:t>标立方米</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立方米</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原料，其中</w:t>
      </w:r>
      <w:r w:rsidR="0064169A" w:rsidRPr="00092862">
        <w:rPr>
          <w:rFonts w:ascii="Times New Roman" w:eastAsia="宋体" w:hAnsi="Times New Roman" w:cs="Times New Roman"/>
          <w:color w:val="000000" w:themeColor="text1"/>
          <w:sz w:val="24"/>
          <w:szCs w:val="24"/>
        </w:rPr>
        <w:t>水套加热</w:t>
      </w:r>
      <w:r w:rsidR="00996889" w:rsidRPr="00092862">
        <w:rPr>
          <w:rFonts w:ascii="Times New Roman" w:eastAsia="宋体" w:hAnsi="Times New Roman" w:cs="Times New Roman"/>
          <w:color w:val="000000" w:themeColor="text1"/>
          <w:sz w:val="24"/>
          <w:szCs w:val="24"/>
        </w:rPr>
        <w:t>炉采用低氮燃烧，氮氧化物的产生系数为</w:t>
      </w:r>
      <w:r w:rsidR="00996889" w:rsidRPr="00092862">
        <w:rPr>
          <w:rFonts w:ascii="Times New Roman" w:eastAsia="宋体" w:hAnsi="Times New Roman" w:cs="Times New Roman"/>
          <w:color w:val="000000" w:themeColor="text1"/>
          <w:sz w:val="24"/>
          <w:szCs w:val="24"/>
        </w:rPr>
        <w:t>6.97</w:t>
      </w:r>
      <w:r w:rsidR="00996889" w:rsidRPr="00092862">
        <w:rPr>
          <w:rFonts w:ascii="Times New Roman" w:eastAsia="宋体" w:hAnsi="Times New Roman" w:cs="Times New Roman"/>
          <w:color w:val="000000" w:themeColor="text1"/>
          <w:sz w:val="24"/>
          <w:szCs w:val="24"/>
        </w:rPr>
        <w:t>千克</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万立方米</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原料。</w:t>
      </w:r>
      <w:r w:rsidR="00996889" w:rsidRPr="00092862">
        <w:rPr>
          <w:rFonts w:ascii="Times New Roman" w:eastAsia="宋体" w:hAnsi="Times New Roman" w:cs="Times New Roman"/>
          <w:color w:val="000000" w:themeColor="text1"/>
          <w:sz w:val="24"/>
          <w:szCs w:val="24"/>
        </w:rPr>
        <w:t>SO</w:t>
      </w:r>
      <w:r w:rsidR="00996889" w:rsidRPr="00092862">
        <w:rPr>
          <w:rFonts w:ascii="Times New Roman" w:eastAsia="宋体" w:hAnsi="Times New Roman" w:cs="Times New Roman"/>
          <w:color w:val="000000" w:themeColor="text1"/>
          <w:sz w:val="24"/>
          <w:szCs w:val="24"/>
          <w:vertAlign w:val="subscript"/>
        </w:rPr>
        <w:t>2</w:t>
      </w:r>
      <w:r w:rsidR="00996889" w:rsidRPr="00092862">
        <w:rPr>
          <w:rFonts w:ascii="Times New Roman" w:eastAsia="宋体" w:hAnsi="Times New Roman" w:cs="Times New Roman"/>
          <w:color w:val="000000" w:themeColor="text1"/>
          <w:sz w:val="24"/>
          <w:szCs w:val="24"/>
        </w:rPr>
        <w:t>的产生系数均为</w:t>
      </w:r>
      <w:r w:rsidR="00996889" w:rsidRPr="00092862">
        <w:rPr>
          <w:rFonts w:ascii="Times New Roman" w:eastAsia="宋体" w:hAnsi="Times New Roman" w:cs="Times New Roman"/>
          <w:color w:val="000000" w:themeColor="text1"/>
          <w:sz w:val="24"/>
          <w:szCs w:val="24"/>
        </w:rPr>
        <w:t>0.02S</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S=</w:t>
      </w:r>
      <w:r w:rsidR="0064169A" w:rsidRPr="00092862">
        <w:rPr>
          <w:rFonts w:ascii="Times New Roman" w:eastAsia="宋体" w:hAnsi="Times New Roman" w:cs="Times New Roman"/>
          <w:color w:val="000000" w:themeColor="text1"/>
          <w:sz w:val="24"/>
          <w:szCs w:val="24"/>
        </w:rPr>
        <w:t>5.6</w:t>
      </w:r>
      <w:r w:rsidR="00996889" w:rsidRPr="00092862">
        <w:rPr>
          <w:rFonts w:ascii="Times New Roman" w:eastAsia="宋体" w:hAnsi="Times New Roman" w:cs="Times New Roman"/>
          <w:color w:val="000000" w:themeColor="text1"/>
          <w:sz w:val="24"/>
          <w:szCs w:val="24"/>
        </w:rPr>
        <w:t>，本项目采用厂区自产天然气，根据气质组分，硫化氢浓度为</w:t>
      </w:r>
      <w:r w:rsidR="0064169A" w:rsidRPr="00092862">
        <w:rPr>
          <w:rFonts w:ascii="Times New Roman" w:eastAsia="宋体" w:hAnsi="Times New Roman" w:cs="Times New Roman"/>
          <w:color w:val="000000" w:themeColor="text1"/>
          <w:sz w:val="24"/>
          <w:szCs w:val="24"/>
        </w:rPr>
        <w:t>6</w:t>
      </w:r>
      <w:r w:rsidR="00996889" w:rsidRPr="00092862">
        <w:rPr>
          <w:rFonts w:ascii="Times New Roman" w:eastAsia="宋体" w:hAnsi="Times New Roman" w:cs="Times New Roman"/>
          <w:color w:val="000000" w:themeColor="text1"/>
          <w:sz w:val="24"/>
          <w:szCs w:val="24"/>
        </w:rPr>
        <w:t>mg/m</w:t>
      </w:r>
      <w:r w:rsidR="00996889" w:rsidRPr="00092862">
        <w:rPr>
          <w:rFonts w:ascii="Times New Roman" w:eastAsia="宋体" w:hAnsi="Times New Roman" w:cs="Times New Roman"/>
          <w:color w:val="000000" w:themeColor="text1"/>
          <w:sz w:val="24"/>
          <w:szCs w:val="24"/>
          <w:vertAlign w:val="superscript"/>
        </w:rPr>
        <w:t>3</w:t>
      </w:r>
      <w:r w:rsidR="00996889" w:rsidRPr="00092862">
        <w:rPr>
          <w:rFonts w:ascii="Times New Roman" w:eastAsia="宋体" w:hAnsi="Times New Roman" w:cs="Times New Roman"/>
          <w:color w:val="000000" w:themeColor="text1"/>
          <w:sz w:val="24"/>
          <w:szCs w:val="24"/>
        </w:rPr>
        <w:t>）千克</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万立方米</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原料。本项目</w:t>
      </w:r>
      <w:r w:rsidR="0064169A" w:rsidRPr="00092862">
        <w:rPr>
          <w:rFonts w:ascii="Times New Roman" w:eastAsia="宋体" w:hAnsi="Times New Roman" w:cs="Times New Roman"/>
          <w:color w:val="000000" w:themeColor="text1"/>
          <w:sz w:val="24"/>
          <w:szCs w:val="24"/>
        </w:rPr>
        <w:t>水套加热炉</w:t>
      </w:r>
      <w:r w:rsidR="00996889" w:rsidRPr="00092862">
        <w:rPr>
          <w:rFonts w:ascii="Times New Roman" w:eastAsia="宋体" w:hAnsi="Times New Roman" w:cs="Times New Roman"/>
          <w:color w:val="000000" w:themeColor="text1"/>
          <w:sz w:val="24"/>
          <w:szCs w:val="24"/>
        </w:rPr>
        <w:t>燃气使用量为</w:t>
      </w:r>
      <w:r w:rsidR="0064169A" w:rsidRPr="00092862">
        <w:rPr>
          <w:rFonts w:ascii="Times New Roman" w:eastAsia="宋体" w:hAnsi="Times New Roman" w:cs="Times New Roman"/>
          <w:color w:val="000000" w:themeColor="text1"/>
          <w:sz w:val="24"/>
          <w:szCs w:val="24"/>
        </w:rPr>
        <w:t>22.9</w:t>
      </w:r>
      <w:r w:rsidR="00996889" w:rsidRPr="00092862">
        <w:rPr>
          <w:rFonts w:ascii="Times New Roman" w:eastAsia="宋体" w:hAnsi="Times New Roman" w:cs="Times New Roman"/>
          <w:color w:val="000000" w:themeColor="text1"/>
          <w:sz w:val="24"/>
          <w:szCs w:val="24"/>
        </w:rPr>
        <w:t>m</w:t>
      </w:r>
      <w:r w:rsidR="00996889" w:rsidRPr="00092862">
        <w:rPr>
          <w:rFonts w:ascii="Times New Roman" w:eastAsia="宋体" w:hAnsi="Times New Roman" w:cs="Times New Roman"/>
          <w:color w:val="000000" w:themeColor="text1"/>
          <w:sz w:val="24"/>
          <w:szCs w:val="24"/>
          <w:vertAlign w:val="superscript"/>
        </w:rPr>
        <w:t>3</w:t>
      </w:r>
      <w:r w:rsidR="00996889" w:rsidRPr="00092862">
        <w:rPr>
          <w:rFonts w:ascii="Times New Roman" w:eastAsia="宋体" w:hAnsi="Times New Roman" w:cs="Times New Roman"/>
          <w:color w:val="000000" w:themeColor="text1"/>
          <w:sz w:val="24"/>
          <w:szCs w:val="24"/>
        </w:rPr>
        <w:t>/h</w:t>
      </w:r>
      <w:r w:rsidR="00996889" w:rsidRPr="00092862">
        <w:rPr>
          <w:rFonts w:ascii="Times New Roman" w:eastAsia="宋体" w:hAnsi="Times New Roman" w:cs="Times New Roman"/>
          <w:color w:val="000000" w:themeColor="text1"/>
          <w:sz w:val="24"/>
          <w:szCs w:val="24"/>
        </w:rPr>
        <w:t>，据此核算出废气排放量为</w:t>
      </w:r>
      <w:r w:rsidR="0064169A" w:rsidRPr="00092862">
        <w:rPr>
          <w:rFonts w:ascii="Times New Roman" w:eastAsia="宋体" w:hAnsi="Times New Roman" w:cs="Times New Roman"/>
          <w:color w:val="000000" w:themeColor="text1"/>
          <w:sz w:val="24"/>
          <w:szCs w:val="24"/>
        </w:rPr>
        <w:t>246.75</w:t>
      </w:r>
      <w:r w:rsidR="00996889" w:rsidRPr="00092862">
        <w:rPr>
          <w:rFonts w:ascii="Times New Roman" w:eastAsia="宋体" w:hAnsi="Times New Roman" w:cs="Times New Roman"/>
          <w:color w:val="000000" w:themeColor="text1"/>
          <w:sz w:val="24"/>
          <w:szCs w:val="24"/>
        </w:rPr>
        <w:t>m</w:t>
      </w:r>
      <w:r w:rsidR="00996889" w:rsidRPr="00092862">
        <w:rPr>
          <w:rFonts w:ascii="Times New Roman" w:eastAsia="宋体" w:hAnsi="Times New Roman" w:cs="Times New Roman"/>
          <w:color w:val="000000" w:themeColor="text1"/>
          <w:sz w:val="24"/>
          <w:szCs w:val="24"/>
          <w:vertAlign w:val="superscript"/>
        </w:rPr>
        <w:t>3</w:t>
      </w:r>
      <w:r w:rsidR="00996889" w:rsidRPr="00092862">
        <w:rPr>
          <w:rFonts w:ascii="Times New Roman" w:eastAsia="宋体" w:hAnsi="Times New Roman" w:cs="Times New Roman"/>
          <w:color w:val="000000" w:themeColor="text1"/>
          <w:sz w:val="24"/>
          <w:szCs w:val="24"/>
        </w:rPr>
        <w:t>/h</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SO</w:t>
      </w:r>
      <w:r w:rsidR="00996889" w:rsidRPr="00092862">
        <w:rPr>
          <w:rFonts w:ascii="Times New Roman" w:eastAsia="宋体" w:hAnsi="Times New Roman" w:cs="Times New Roman"/>
          <w:color w:val="000000" w:themeColor="text1"/>
          <w:sz w:val="24"/>
          <w:szCs w:val="24"/>
          <w:vertAlign w:val="subscript"/>
        </w:rPr>
        <w:t>2</w:t>
      </w:r>
      <w:r w:rsidR="00996889" w:rsidRPr="00092862">
        <w:rPr>
          <w:rFonts w:ascii="Times New Roman" w:eastAsia="宋体" w:hAnsi="Times New Roman" w:cs="Times New Roman"/>
          <w:color w:val="000000" w:themeColor="text1"/>
          <w:sz w:val="24"/>
          <w:szCs w:val="24"/>
        </w:rPr>
        <w:t>排放情况为</w:t>
      </w:r>
      <w:r w:rsidR="0064169A" w:rsidRPr="00092862">
        <w:rPr>
          <w:rFonts w:ascii="Times New Roman" w:eastAsia="宋体" w:hAnsi="Times New Roman" w:cs="Times New Roman"/>
          <w:color w:val="000000" w:themeColor="text1"/>
          <w:sz w:val="24"/>
          <w:szCs w:val="24"/>
        </w:rPr>
        <w:t>0.000256</w:t>
      </w:r>
      <w:r w:rsidR="00996889" w:rsidRPr="00092862">
        <w:rPr>
          <w:rFonts w:ascii="Times New Roman" w:eastAsia="宋体" w:hAnsi="Times New Roman" w:cs="Times New Roman"/>
          <w:color w:val="000000" w:themeColor="text1"/>
          <w:sz w:val="24"/>
          <w:szCs w:val="24"/>
        </w:rPr>
        <w:t>kg/h</w:t>
      </w:r>
      <w:r w:rsidR="00996889" w:rsidRPr="00092862">
        <w:rPr>
          <w:rFonts w:ascii="Times New Roman" w:eastAsia="宋体" w:hAnsi="Times New Roman" w:cs="Times New Roman"/>
          <w:color w:val="000000" w:themeColor="text1"/>
          <w:sz w:val="24"/>
          <w:szCs w:val="24"/>
        </w:rPr>
        <w:t>，排放浓度为</w:t>
      </w:r>
      <w:r w:rsidR="0064169A" w:rsidRPr="00092862">
        <w:rPr>
          <w:rFonts w:ascii="Times New Roman" w:eastAsia="宋体" w:hAnsi="Times New Roman" w:cs="Times New Roman"/>
          <w:color w:val="000000" w:themeColor="text1"/>
          <w:sz w:val="24"/>
          <w:szCs w:val="24"/>
        </w:rPr>
        <w:t>1.04</w:t>
      </w:r>
      <w:r w:rsidR="00996889" w:rsidRPr="00092862">
        <w:rPr>
          <w:rFonts w:ascii="Times New Roman" w:eastAsia="宋体" w:hAnsi="Times New Roman" w:cs="Times New Roman"/>
          <w:color w:val="000000" w:themeColor="text1"/>
          <w:sz w:val="24"/>
          <w:szCs w:val="24"/>
        </w:rPr>
        <w:t>mg/m</w:t>
      </w:r>
      <w:r w:rsidR="00996889" w:rsidRPr="00092862">
        <w:rPr>
          <w:rFonts w:ascii="Times New Roman" w:eastAsia="宋体" w:hAnsi="Times New Roman" w:cs="Times New Roman"/>
          <w:color w:val="000000" w:themeColor="text1"/>
          <w:sz w:val="24"/>
          <w:szCs w:val="24"/>
          <w:vertAlign w:val="superscript"/>
        </w:rPr>
        <w:t>3</w:t>
      </w:r>
      <w:r w:rsidR="00996889" w:rsidRPr="00092862">
        <w:rPr>
          <w:rFonts w:ascii="Times New Roman" w:eastAsia="宋体" w:hAnsi="Times New Roman" w:cs="Times New Roman"/>
          <w:color w:val="000000" w:themeColor="text1"/>
          <w:sz w:val="24"/>
          <w:szCs w:val="24"/>
        </w:rPr>
        <w:t>，</w:t>
      </w:r>
      <w:r w:rsidR="00996889" w:rsidRPr="00092862">
        <w:rPr>
          <w:rFonts w:ascii="Times New Roman" w:eastAsia="宋体" w:hAnsi="Times New Roman" w:cs="Times New Roman"/>
          <w:color w:val="000000" w:themeColor="text1"/>
          <w:sz w:val="24"/>
          <w:szCs w:val="24"/>
        </w:rPr>
        <w:t>NOx</w:t>
      </w:r>
      <w:r w:rsidR="00996889" w:rsidRPr="00092862">
        <w:rPr>
          <w:rFonts w:ascii="Times New Roman" w:eastAsia="宋体" w:hAnsi="Times New Roman" w:cs="Times New Roman"/>
          <w:color w:val="000000" w:themeColor="text1"/>
          <w:sz w:val="24"/>
          <w:szCs w:val="24"/>
        </w:rPr>
        <w:t>排放情况为</w:t>
      </w:r>
      <w:r w:rsidR="00996889" w:rsidRPr="00092862">
        <w:rPr>
          <w:rFonts w:ascii="Times New Roman" w:eastAsia="宋体" w:hAnsi="Times New Roman" w:cs="Times New Roman"/>
          <w:color w:val="000000" w:themeColor="text1"/>
          <w:sz w:val="24"/>
          <w:szCs w:val="24"/>
        </w:rPr>
        <w:t>0.01</w:t>
      </w:r>
      <w:r w:rsidR="0064169A" w:rsidRPr="00092862">
        <w:rPr>
          <w:rFonts w:ascii="Times New Roman" w:eastAsia="宋体" w:hAnsi="Times New Roman" w:cs="Times New Roman"/>
          <w:color w:val="000000" w:themeColor="text1"/>
          <w:sz w:val="24"/>
          <w:szCs w:val="24"/>
        </w:rPr>
        <w:t>596</w:t>
      </w:r>
      <w:r w:rsidR="00996889" w:rsidRPr="00092862">
        <w:rPr>
          <w:rFonts w:ascii="Times New Roman" w:eastAsia="宋体" w:hAnsi="Times New Roman" w:cs="Times New Roman"/>
          <w:color w:val="000000" w:themeColor="text1"/>
          <w:sz w:val="24"/>
          <w:szCs w:val="24"/>
        </w:rPr>
        <w:t>kg/h</w:t>
      </w:r>
      <w:r w:rsidR="00996889" w:rsidRPr="00092862">
        <w:rPr>
          <w:rFonts w:ascii="Times New Roman" w:eastAsia="宋体" w:hAnsi="Times New Roman" w:cs="Times New Roman"/>
          <w:color w:val="000000" w:themeColor="text1"/>
          <w:sz w:val="24"/>
          <w:szCs w:val="24"/>
        </w:rPr>
        <w:t>，排放浓度为</w:t>
      </w:r>
      <w:r w:rsidR="00996889" w:rsidRPr="00092862">
        <w:rPr>
          <w:rFonts w:ascii="Times New Roman" w:eastAsia="宋体" w:hAnsi="Times New Roman" w:cs="Times New Roman"/>
          <w:color w:val="000000" w:themeColor="text1"/>
          <w:sz w:val="24"/>
          <w:szCs w:val="24"/>
        </w:rPr>
        <w:t>64.68mg/m</w:t>
      </w:r>
      <w:r w:rsidR="00996889" w:rsidRPr="00092862">
        <w:rPr>
          <w:rFonts w:ascii="Times New Roman" w:eastAsia="宋体" w:hAnsi="Times New Roman" w:cs="Times New Roman"/>
          <w:color w:val="000000" w:themeColor="text1"/>
          <w:sz w:val="24"/>
          <w:szCs w:val="24"/>
          <w:vertAlign w:val="superscript"/>
        </w:rPr>
        <w:t>3</w:t>
      </w:r>
      <w:r w:rsidR="00996889" w:rsidRPr="00092862">
        <w:rPr>
          <w:rFonts w:ascii="Times New Roman" w:eastAsia="宋体" w:hAnsi="Times New Roman" w:cs="Times New Roman"/>
          <w:color w:val="000000" w:themeColor="text1"/>
          <w:sz w:val="24"/>
          <w:szCs w:val="24"/>
        </w:rPr>
        <w:t>。</w:t>
      </w:r>
      <w:r w:rsidR="00EC70BF" w:rsidRPr="00092862">
        <w:rPr>
          <w:rFonts w:ascii="Times New Roman" w:eastAsia="宋体" w:hAnsi="Times New Roman" w:cs="Times New Roman"/>
          <w:bCs/>
          <w:color w:val="000000" w:themeColor="text1"/>
          <w:sz w:val="24"/>
        </w:rPr>
        <w:t>水套炉燃烧废气通过水套炉自带</w:t>
      </w:r>
      <w:r w:rsidR="00EC70BF" w:rsidRPr="00092862">
        <w:rPr>
          <w:rFonts w:ascii="Times New Roman" w:eastAsia="宋体" w:hAnsi="Times New Roman" w:cs="Times New Roman"/>
          <w:bCs/>
          <w:color w:val="000000" w:themeColor="text1"/>
          <w:sz w:val="24"/>
        </w:rPr>
        <w:t>8m</w:t>
      </w:r>
      <w:r w:rsidR="00EC70BF" w:rsidRPr="00092862">
        <w:rPr>
          <w:rFonts w:ascii="Times New Roman" w:eastAsia="宋体" w:hAnsi="Times New Roman" w:cs="Times New Roman"/>
          <w:bCs/>
          <w:color w:val="000000" w:themeColor="text1"/>
          <w:sz w:val="24"/>
        </w:rPr>
        <w:t>高排气筒排放，满足《锅炉大气污染物排放标准》（</w:t>
      </w:r>
      <w:r w:rsidR="00EC70BF" w:rsidRPr="00092862">
        <w:rPr>
          <w:rFonts w:ascii="Times New Roman" w:eastAsia="宋体" w:hAnsi="Times New Roman" w:cs="Times New Roman"/>
          <w:bCs/>
          <w:color w:val="000000" w:themeColor="text1"/>
          <w:sz w:val="24"/>
        </w:rPr>
        <w:t>GB13271-2014</w:t>
      </w:r>
      <w:r w:rsidR="00EC70BF" w:rsidRPr="00092862">
        <w:rPr>
          <w:rFonts w:ascii="Times New Roman" w:eastAsia="宋体" w:hAnsi="Times New Roman" w:cs="Times New Roman"/>
          <w:bCs/>
          <w:color w:val="000000" w:themeColor="text1"/>
          <w:sz w:val="24"/>
        </w:rPr>
        <w:t>）中大气污染物</w:t>
      </w:r>
      <w:r w:rsidR="00EC70BF" w:rsidRPr="00092862">
        <w:rPr>
          <w:rFonts w:ascii="Times New Roman" w:eastAsia="宋体" w:hAnsi="Times New Roman" w:cs="Times New Roman"/>
          <w:bCs/>
          <w:color w:val="000000" w:themeColor="text1"/>
          <w:sz w:val="24"/>
        </w:rPr>
        <w:t>NOx</w:t>
      </w:r>
      <w:r w:rsidR="00EC70BF" w:rsidRPr="00092862">
        <w:rPr>
          <w:rFonts w:ascii="Times New Roman" w:eastAsia="宋体" w:hAnsi="Times New Roman" w:cs="Times New Roman"/>
          <w:bCs/>
          <w:color w:val="000000" w:themeColor="text1"/>
          <w:sz w:val="24"/>
        </w:rPr>
        <w:t>：</w:t>
      </w:r>
      <w:r w:rsidR="00EC70BF" w:rsidRPr="00092862">
        <w:rPr>
          <w:rFonts w:ascii="Times New Roman" w:eastAsia="宋体" w:hAnsi="Times New Roman" w:cs="Times New Roman"/>
          <w:bCs/>
          <w:color w:val="000000" w:themeColor="text1"/>
          <w:sz w:val="24"/>
        </w:rPr>
        <w:t>200mg/m</w:t>
      </w:r>
      <w:r w:rsidR="00EC70BF" w:rsidRPr="00092862">
        <w:rPr>
          <w:rFonts w:ascii="Times New Roman" w:eastAsia="宋体" w:hAnsi="Times New Roman" w:cs="Times New Roman"/>
          <w:bCs/>
          <w:color w:val="000000" w:themeColor="text1"/>
          <w:sz w:val="24"/>
          <w:vertAlign w:val="superscript"/>
        </w:rPr>
        <w:t>3</w:t>
      </w:r>
      <w:r w:rsidR="00EC70BF" w:rsidRPr="00092862">
        <w:rPr>
          <w:rFonts w:ascii="Times New Roman" w:eastAsia="宋体" w:hAnsi="Times New Roman" w:cs="Times New Roman"/>
          <w:bCs/>
          <w:color w:val="000000" w:themeColor="text1"/>
          <w:sz w:val="24"/>
        </w:rPr>
        <w:t>、</w:t>
      </w:r>
      <w:r w:rsidR="00EC70BF" w:rsidRPr="00092862">
        <w:rPr>
          <w:rFonts w:ascii="Times New Roman" w:eastAsia="宋体" w:hAnsi="Times New Roman" w:cs="Times New Roman"/>
          <w:bCs/>
          <w:color w:val="000000" w:themeColor="text1"/>
          <w:sz w:val="24"/>
        </w:rPr>
        <w:t>SO</w:t>
      </w:r>
      <w:r w:rsidR="00EC70BF" w:rsidRPr="00092862">
        <w:rPr>
          <w:rFonts w:ascii="Times New Roman" w:eastAsia="宋体" w:hAnsi="Times New Roman" w:cs="Times New Roman"/>
          <w:bCs/>
          <w:color w:val="000000" w:themeColor="text1"/>
          <w:sz w:val="24"/>
          <w:vertAlign w:val="subscript"/>
        </w:rPr>
        <w:t>2</w:t>
      </w:r>
      <w:r w:rsidR="00EC70BF" w:rsidRPr="00092862">
        <w:rPr>
          <w:rFonts w:ascii="Times New Roman" w:eastAsia="宋体" w:hAnsi="Times New Roman" w:cs="Times New Roman"/>
          <w:bCs/>
          <w:color w:val="000000" w:themeColor="text1"/>
          <w:sz w:val="24"/>
        </w:rPr>
        <w:t>：</w:t>
      </w:r>
      <w:r w:rsidR="00EC70BF" w:rsidRPr="00092862">
        <w:rPr>
          <w:rFonts w:ascii="Times New Roman" w:eastAsia="宋体" w:hAnsi="Times New Roman" w:cs="Times New Roman"/>
          <w:bCs/>
          <w:color w:val="000000" w:themeColor="text1"/>
          <w:sz w:val="24"/>
        </w:rPr>
        <w:t>50mg/m</w:t>
      </w:r>
      <w:r w:rsidR="00EC70BF" w:rsidRPr="00092862">
        <w:rPr>
          <w:rFonts w:ascii="Times New Roman" w:eastAsia="宋体" w:hAnsi="Times New Roman" w:cs="Times New Roman"/>
          <w:bCs/>
          <w:color w:val="000000" w:themeColor="text1"/>
          <w:sz w:val="24"/>
          <w:vertAlign w:val="superscript"/>
        </w:rPr>
        <w:t>3</w:t>
      </w:r>
      <w:r w:rsidR="00EC70BF" w:rsidRPr="00092862">
        <w:rPr>
          <w:rFonts w:ascii="Times New Roman" w:eastAsia="宋体" w:hAnsi="Times New Roman" w:cs="Times New Roman"/>
          <w:bCs/>
          <w:color w:val="000000" w:themeColor="text1"/>
          <w:sz w:val="24"/>
        </w:rPr>
        <w:t>的排放浓度限值要求。</w:t>
      </w:r>
    </w:p>
    <w:p w14:paraId="1D09F46D" w14:textId="15CF00DA" w:rsidR="00EC70BF" w:rsidRPr="00092862" w:rsidRDefault="00EC70BF" w:rsidP="00DE14CC">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、非正常工况</w:t>
      </w:r>
    </w:p>
    <w:p w14:paraId="4096ABDD" w14:textId="7DDA3C07" w:rsidR="00DE14CC" w:rsidRPr="00092862" w:rsidRDefault="00EC70BF" w:rsidP="00DE14CC">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非正常工况主要废气为站场检修</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事故放空废气，项目装置检修时为保证检修过程的安全，需排空装置及管道内的残留天然气，残留天然气通过井场放空系统点火排放。</w:t>
      </w:r>
      <w:r w:rsidR="00DE14CC" w:rsidRPr="00092862">
        <w:rPr>
          <w:rFonts w:ascii="Times New Roman" w:eastAsia="宋体" w:hAnsi="Times New Roman" w:cs="Times New Roman"/>
          <w:bCs/>
          <w:color w:val="000000" w:themeColor="text1"/>
          <w:sz w:val="24"/>
        </w:rPr>
        <w:t>本项目运营期依托</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DE14CC" w:rsidRPr="00092862">
        <w:rPr>
          <w:rFonts w:ascii="Times New Roman" w:eastAsia="宋体" w:hAnsi="Times New Roman" w:cs="Times New Roman"/>
          <w:bCs/>
          <w:color w:val="000000" w:themeColor="text1"/>
          <w:sz w:val="24"/>
        </w:rPr>
        <w:t>集气站已建的放空火炬，本项目的运营不会增加火炬头长明灯废气量。</w:t>
      </w:r>
    </w:p>
    <w:p w14:paraId="52265192" w14:textId="269201ED" w:rsidR="00DE14CC" w:rsidRPr="00092862" w:rsidRDefault="00543FEF" w:rsidP="00DE14CC">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本项目建成后，因此非正常运行状态检修废气或系统超压等情况产生的事</w:t>
      </w:r>
      <w:r w:rsidRPr="00092862">
        <w:rPr>
          <w:rFonts w:ascii="Times New Roman" w:eastAsia="宋体" w:hAnsi="Times New Roman" w:cs="Times New Roman"/>
          <w:bCs/>
          <w:color w:val="000000" w:themeColor="text1"/>
          <w:sz w:val="24"/>
        </w:rPr>
        <w:lastRenderedPageBreak/>
        <w:t>故放空废气不会增加。</w:t>
      </w:r>
    </w:p>
    <w:p w14:paraId="55847EE9" w14:textId="095A4DC3" w:rsidR="00743C86"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3.4.2.2</w:t>
      </w:r>
      <w:r w:rsidR="00743C86" w:rsidRPr="00092862">
        <w:rPr>
          <w:rFonts w:ascii="Times New Roman" w:eastAsia="宋体" w:hAnsi="Times New Roman" w:cs="Times New Roman"/>
          <w:b/>
          <w:color w:val="000000" w:themeColor="text1"/>
          <w:sz w:val="24"/>
        </w:rPr>
        <w:t>废水</w:t>
      </w:r>
    </w:p>
    <w:p w14:paraId="3CA9D779" w14:textId="449136F3" w:rsidR="0018619C" w:rsidRPr="00092862" w:rsidRDefault="0018619C" w:rsidP="00743C86">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本项目建成后，</w:t>
      </w:r>
      <w:r w:rsidR="00EC70BF" w:rsidRPr="00092862">
        <w:rPr>
          <w:rFonts w:ascii="Times New Roman" w:eastAsia="宋体" w:hAnsi="Times New Roman" w:cs="Times New Roman"/>
          <w:bCs/>
          <w:color w:val="000000" w:themeColor="text1"/>
          <w:sz w:val="24"/>
        </w:rPr>
        <w:t>试采期废水主要为采气废水、</w:t>
      </w:r>
      <w:r w:rsidRPr="00092862">
        <w:rPr>
          <w:rFonts w:ascii="Times New Roman" w:eastAsia="宋体" w:hAnsi="Times New Roman" w:cs="Times New Roman"/>
          <w:bCs/>
          <w:color w:val="000000" w:themeColor="text1"/>
          <w:sz w:val="24"/>
        </w:rPr>
        <w:t>非正常工况井下作业废水与生活污水，具体</w:t>
      </w:r>
      <w:r w:rsidR="00EC70BF" w:rsidRPr="00092862">
        <w:rPr>
          <w:rFonts w:ascii="Times New Roman" w:eastAsia="宋体" w:hAnsi="Times New Roman" w:cs="Times New Roman"/>
          <w:bCs/>
          <w:color w:val="000000" w:themeColor="text1"/>
          <w:sz w:val="24"/>
        </w:rPr>
        <w:t>产生情况</w:t>
      </w:r>
      <w:r w:rsidRPr="00092862">
        <w:rPr>
          <w:rFonts w:ascii="Times New Roman" w:eastAsia="宋体" w:hAnsi="Times New Roman" w:cs="Times New Roman"/>
          <w:bCs/>
          <w:color w:val="000000" w:themeColor="text1"/>
          <w:sz w:val="24"/>
        </w:rPr>
        <w:t>分析如下：</w:t>
      </w:r>
    </w:p>
    <w:p w14:paraId="5705A515" w14:textId="5D12FE12" w:rsidR="00743C86" w:rsidRPr="00092862" w:rsidRDefault="00743C86" w:rsidP="00743C86">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）采气废水</w:t>
      </w:r>
    </w:p>
    <w:p w14:paraId="0E9AFAD0" w14:textId="22467B2F" w:rsidR="00743C86" w:rsidRPr="00092862" w:rsidRDefault="00092363" w:rsidP="00963B72">
      <w:pPr>
        <w:spacing w:line="360" w:lineRule="auto"/>
        <w:ind w:firstLineChars="200" w:firstLine="480"/>
        <w:rPr>
          <w:rFonts w:ascii="Times New Roman" w:eastAsia="宋体" w:hAnsi="Times New Roman" w:cs="Times New Roman"/>
          <w:b/>
          <w:bCs/>
          <w:color w:val="000000" w:themeColor="text1"/>
          <w:sz w:val="24"/>
        </w:rPr>
      </w:pPr>
      <w:r w:rsidRPr="00092862">
        <w:rPr>
          <w:rFonts w:ascii="Times New Roman" w:eastAsia="宋体" w:hAnsi="Times New Roman" w:cs="Times New Roman"/>
          <w:bCs/>
          <w:color w:val="000000" w:themeColor="text1"/>
          <w:sz w:val="24"/>
        </w:rPr>
        <w:t>类比区块普光气田</w:t>
      </w:r>
      <w:r w:rsidR="001D4437" w:rsidRPr="00092862">
        <w:rPr>
          <w:rFonts w:ascii="Times New Roman" w:eastAsia="宋体" w:hAnsi="Times New Roman" w:cs="Times New Roman"/>
          <w:bCs/>
          <w:color w:val="000000" w:themeColor="text1"/>
          <w:sz w:val="24"/>
        </w:rPr>
        <w:t>多个已建</w:t>
      </w:r>
      <w:r w:rsidR="009A1E3A" w:rsidRPr="00092862">
        <w:rPr>
          <w:rFonts w:ascii="Times New Roman" w:eastAsia="宋体" w:hAnsi="Times New Roman" w:cs="Times New Roman"/>
          <w:bCs/>
          <w:color w:val="000000" w:themeColor="text1"/>
          <w:sz w:val="24"/>
        </w:rPr>
        <w:t>天然气</w:t>
      </w:r>
      <w:r w:rsidRPr="00092862">
        <w:rPr>
          <w:rFonts w:ascii="Times New Roman" w:eastAsia="宋体" w:hAnsi="Times New Roman" w:cs="Times New Roman"/>
          <w:bCs/>
          <w:color w:val="000000" w:themeColor="text1"/>
          <w:sz w:val="24"/>
        </w:rPr>
        <w:t>井日产气田水情况，预估</w:t>
      </w:r>
      <w:r w:rsidR="009A1E3A" w:rsidRPr="00092862">
        <w:rPr>
          <w:rFonts w:ascii="Times New Roman" w:eastAsia="宋体" w:hAnsi="Times New Roman" w:cs="Times New Roman"/>
          <w:bCs/>
          <w:color w:val="000000" w:themeColor="text1"/>
          <w:sz w:val="24"/>
        </w:rPr>
        <w:t>本项目单井</w:t>
      </w:r>
      <w:r w:rsidRPr="00092862">
        <w:rPr>
          <w:rFonts w:ascii="Times New Roman" w:eastAsia="宋体" w:hAnsi="Times New Roman" w:cs="Times New Roman"/>
          <w:bCs/>
          <w:color w:val="000000" w:themeColor="text1"/>
          <w:sz w:val="24"/>
        </w:rPr>
        <w:t>气田水产生量约为</w:t>
      </w:r>
      <w:r w:rsidRPr="00092862">
        <w:rPr>
          <w:rFonts w:ascii="Times New Roman" w:eastAsia="宋体" w:hAnsi="Times New Roman" w:cs="Times New Roman"/>
          <w:bCs/>
          <w:color w:val="000000" w:themeColor="text1"/>
          <w:sz w:val="24"/>
        </w:rPr>
        <w:t>10m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/d</w:t>
      </w:r>
      <w:r w:rsidR="00815781" w:rsidRPr="00092862">
        <w:rPr>
          <w:rFonts w:ascii="Times New Roman" w:eastAsia="宋体" w:hAnsi="Times New Roman" w:cs="Times New Roman"/>
          <w:bCs/>
          <w:color w:val="000000" w:themeColor="text1"/>
          <w:sz w:val="24"/>
        </w:rPr>
        <w:t>（如普光</w:t>
      </w:r>
      <w:r w:rsidR="00815781" w:rsidRPr="00092862">
        <w:rPr>
          <w:rFonts w:ascii="Times New Roman" w:eastAsia="宋体" w:hAnsi="Times New Roman" w:cs="Times New Roman"/>
          <w:bCs/>
          <w:color w:val="000000" w:themeColor="text1"/>
          <w:sz w:val="24"/>
        </w:rPr>
        <w:t>203-2T</w:t>
      </w:r>
      <w:r w:rsidR="00815781" w:rsidRPr="00092862">
        <w:rPr>
          <w:rFonts w:ascii="Times New Roman" w:eastAsia="宋体" w:hAnsi="Times New Roman" w:cs="Times New Roman"/>
          <w:bCs/>
          <w:color w:val="000000" w:themeColor="text1"/>
          <w:sz w:val="24"/>
        </w:rPr>
        <w:t>井近期日产气田水</w:t>
      </w:r>
      <w:r w:rsidR="00815781" w:rsidRPr="00092862">
        <w:rPr>
          <w:rFonts w:ascii="Times New Roman" w:eastAsia="宋体" w:hAnsi="Times New Roman" w:cs="Times New Roman"/>
          <w:bCs/>
          <w:color w:val="000000" w:themeColor="text1"/>
          <w:sz w:val="24"/>
        </w:rPr>
        <w:t>5m</w:t>
      </w:r>
      <w:r w:rsidR="00815781" w:rsidRPr="00092862">
        <w:rPr>
          <w:rFonts w:ascii="Times New Roman" w:eastAsia="宋体" w:hAnsi="Times New Roman" w:cs="Times New Roman"/>
          <w:bCs/>
          <w:color w:val="000000" w:themeColor="text1"/>
          <w:sz w:val="24"/>
          <w:vertAlign w:val="superscript"/>
        </w:rPr>
        <w:t>3</w:t>
      </w:r>
      <w:r w:rsidR="00815781" w:rsidRPr="00092862">
        <w:rPr>
          <w:rFonts w:ascii="Times New Roman" w:eastAsia="宋体" w:hAnsi="Times New Roman" w:cs="Times New Roman"/>
          <w:bCs/>
          <w:color w:val="000000" w:themeColor="text1"/>
          <w:sz w:val="24"/>
        </w:rPr>
        <w:t>/d</w:t>
      </w:r>
      <w:r w:rsidR="00AE1894" w:rsidRPr="00092862">
        <w:rPr>
          <w:rFonts w:ascii="Times New Roman" w:eastAsia="宋体" w:hAnsi="Times New Roman" w:cs="Times New Roman"/>
          <w:bCs/>
          <w:color w:val="000000" w:themeColor="text1"/>
          <w:sz w:val="24"/>
        </w:rPr>
        <w:t>，且随着试采时间的增加，气田水量将逐步减少</w:t>
      </w:r>
      <w:r w:rsidR="00815781" w:rsidRPr="00092862">
        <w:rPr>
          <w:rFonts w:ascii="Times New Roman" w:eastAsia="宋体" w:hAnsi="Times New Roman" w:cs="Times New Roman"/>
          <w:bCs/>
          <w:color w:val="000000" w:themeColor="text1"/>
          <w:sz w:val="24"/>
        </w:rPr>
        <w:t>）</w:t>
      </w:r>
      <w:r w:rsidR="009A1E3A" w:rsidRPr="00092862">
        <w:rPr>
          <w:rFonts w:ascii="Times New Roman" w:eastAsia="宋体" w:hAnsi="Times New Roman" w:cs="Times New Roman"/>
          <w:bCs/>
          <w:color w:val="000000" w:themeColor="text1"/>
          <w:sz w:val="24"/>
        </w:rPr>
        <w:t>，则本项目</w:t>
      </w:r>
      <w:r w:rsidR="00EC70BF" w:rsidRPr="00092862">
        <w:rPr>
          <w:rFonts w:ascii="Times New Roman" w:eastAsia="宋体" w:hAnsi="Times New Roman" w:cs="Times New Roman"/>
          <w:bCs/>
          <w:color w:val="000000" w:themeColor="text1"/>
          <w:sz w:val="24"/>
        </w:rPr>
        <w:t>2</w:t>
      </w:r>
      <w:r w:rsidR="00EC70BF" w:rsidRPr="00092862">
        <w:rPr>
          <w:rFonts w:ascii="Times New Roman" w:eastAsia="宋体" w:hAnsi="Times New Roman" w:cs="Times New Roman"/>
          <w:bCs/>
          <w:color w:val="000000" w:themeColor="text1"/>
          <w:sz w:val="24"/>
        </w:rPr>
        <w:t>口井</w:t>
      </w:r>
      <w:r w:rsidR="009A1E3A" w:rsidRPr="00092862">
        <w:rPr>
          <w:rFonts w:ascii="Times New Roman" w:eastAsia="宋体" w:hAnsi="Times New Roman" w:cs="Times New Roman"/>
          <w:bCs/>
          <w:color w:val="000000" w:themeColor="text1"/>
          <w:sz w:val="24"/>
        </w:rPr>
        <w:t>气田水产生量为</w:t>
      </w:r>
      <w:r w:rsidR="00EC70BF" w:rsidRPr="00092862">
        <w:rPr>
          <w:rFonts w:ascii="Times New Roman" w:eastAsia="宋体" w:hAnsi="Times New Roman" w:cs="Times New Roman"/>
          <w:bCs/>
          <w:color w:val="000000" w:themeColor="text1"/>
          <w:sz w:val="24"/>
        </w:rPr>
        <w:t>2</w:t>
      </w:r>
      <w:r w:rsidR="009A1E3A" w:rsidRPr="00092862">
        <w:rPr>
          <w:rFonts w:ascii="Times New Roman" w:eastAsia="宋体" w:hAnsi="Times New Roman" w:cs="Times New Roman"/>
          <w:bCs/>
          <w:color w:val="000000" w:themeColor="text1"/>
          <w:sz w:val="24"/>
        </w:rPr>
        <w:t>0m</w:t>
      </w:r>
      <w:r w:rsidR="009A1E3A" w:rsidRPr="00092862">
        <w:rPr>
          <w:rFonts w:ascii="Times New Roman" w:eastAsia="宋体" w:hAnsi="Times New Roman" w:cs="Times New Roman"/>
          <w:bCs/>
          <w:color w:val="000000" w:themeColor="text1"/>
          <w:sz w:val="24"/>
          <w:vertAlign w:val="superscript"/>
        </w:rPr>
        <w:t>3</w:t>
      </w:r>
      <w:r w:rsidR="009A1E3A" w:rsidRPr="00092862">
        <w:rPr>
          <w:rFonts w:ascii="Times New Roman" w:eastAsia="宋体" w:hAnsi="Times New Roman" w:cs="Times New Roman"/>
          <w:bCs/>
          <w:color w:val="000000" w:themeColor="text1"/>
          <w:sz w:val="24"/>
        </w:rPr>
        <w:t>/d</w:t>
      </w:r>
      <w:r w:rsidRPr="00092862">
        <w:rPr>
          <w:rFonts w:ascii="Times New Roman" w:eastAsia="宋体" w:hAnsi="Times New Roman" w:cs="Times New Roman"/>
          <w:bCs/>
          <w:color w:val="000000" w:themeColor="text1"/>
          <w:sz w:val="24"/>
        </w:rPr>
        <w:t>。酸气采取</w:t>
      </w:r>
      <w:r w:rsidR="00B14DEB" w:rsidRPr="00092862">
        <w:rPr>
          <w:rFonts w:ascii="Times New Roman" w:eastAsia="宋体" w:hAnsi="Times New Roman" w:cs="Times New Roman"/>
          <w:bCs/>
          <w:color w:val="000000" w:themeColor="text1"/>
          <w:sz w:val="24"/>
        </w:rPr>
        <w:t>全湿气加热保温混输</w:t>
      </w:r>
      <w:r w:rsidRPr="00092862">
        <w:rPr>
          <w:rFonts w:ascii="Times New Roman" w:eastAsia="宋体" w:hAnsi="Times New Roman" w:cs="Times New Roman"/>
          <w:bCs/>
          <w:color w:val="000000" w:themeColor="text1"/>
          <w:sz w:val="24"/>
        </w:rPr>
        <w:t>工艺，为防止酸化压裂液返排对地面</w:t>
      </w:r>
      <w:r w:rsidR="009A69AC" w:rsidRPr="00092862">
        <w:rPr>
          <w:rFonts w:ascii="Times New Roman" w:eastAsia="宋体" w:hAnsi="Times New Roman" w:cs="Times New Roman"/>
          <w:color w:val="000000" w:themeColor="text1"/>
          <w:sz w:val="24"/>
        </w:rPr>
        <w:t>试采</w:t>
      </w:r>
      <w:r w:rsidRPr="00092862">
        <w:rPr>
          <w:rFonts w:ascii="Times New Roman" w:eastAsia="宋体" w:hAnsi="Times New Roman" w:cs="Times New Roman"/>
          <w:bCs/>
          <w:color w:val="000000" w:themeColor="text1"/>
          <w:sz w:val="24"/>
        </w:rPr>
        <w:t>管道造成腐蚀，工艺流程中在</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内设计了</w:t>
      </w:r>
      <w:r w:rsidR="009A1E3A" w:rsidRPr="00092862">
        <w:rPr>
          <w:rFonts w:ascii="Times New Roman" w:eastAsia="宋体" w:hAnsi="Times New Roman" w:cs="Times New Roman"/>
          <w:bCs/>
          <w:color w:val="000000" w:themeColor="text1"/>
          <w:sz w:val="24"/>
        </w:rPr>
        <w:t>临时分酸分离器</w:t>
      </w:r>
      <w:r w:rsidRPr="00092862">
        <w:rPr>
          <w:rFonts w:ascii="Times New Roman" w:eastAsia="宋体" w:hAnsi="Times New Roman" w:cs="Times New Roman"/>
          <w:bCs/>
          <w:color w:val="000000" w:themeColor="text1"/>
          <w:sz w:val="24"/>
        </w:rPr>
        <w:t>。酸气气液经过</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新建</w:t>
      </w:r>
      <w:r w:rsidR="00B14DEB" w:rsidRPr="00092862">
        <w:rPr>
          <w:rFonts w:ascii="Times New Roman" w:eastAsia="宋体" w:hAnsi="Times New Roman" w:cs="Times New Roman"/>
          <w:bCs/>
          <w:color w:val="000000" w:themeColor="text1"/>
          <w:sz w:val="24"/>
        </w:rPr>
        <w:t>的</w:t>
      </w:r>
      <w:r w:rsidR="009A1E3A" w:rsidRPr="00092862">
        <w:rPr>
          <w:rFonts w:ascii="Times New Roman" w:eastAsia="宋体" w:hAnsi="Times New Roman" w:cs="Times New Roman"/>
          <w:bCs/>
          <w:color w:val="000000" w:themeColor="text1"/>
          <w:sz w:val="24"/>
        </w:rPr>
        <w:t>临时分酸分离器</w:t>
      </w:r>
      <w:r w:rsidRPr="00092862">
        <w:rPr>
          <w:rFonts w:ascii="Times New Roman" w:eastAsia="宋体" w:hAnsi="Times New Roman" w:cs="Times New Roman"/>
          <w:bCs/>
          <w:color w:val="000000" w:themeColor="text1"/>
          <w:sz w:val="24"/>
        </w:rPr>
        <w:t>进行气液分离，分离气田水进入</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00B14DEB" w:rsidRPr="00092862">
        <w:rPr>
          <w:rFonts w:ascii="Times New Roman" w:eastAsia="宋体" w:hAnsi="Times New Roman" w:cs="Times New Roman"/>
          <w:bCs/>
          <w:color w:val="000000" w:themeColor="text1"/>
          <w:sz w:val="24"/>
        </w:rPr>
        <w:t>建设的</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暂存，暂存一定量后</w:t>
      </w:r>
      <w:r w:rsidR="00B14DEB" w:rsidRPr="00092862">
        <w:rPr>
          <w:rFonts w:ascii="Times New Roman" w:eastAsia="宋体" w:hAnsi="Times New Roman" w:cs="Times New Roman"/>
          <w:bCs/>
          <w:color w:val="000000" w:themeColor="text1"/>
          <w:sz w:val="24"/>
        </w:rPr>
        <w:t>用密闭罐车拉</w:t>
      </w:r>
      <w:r w:rsidR="005D5A22" w:rsidRPr="00092862">
        <w:rPr>
          <w:rFonts w:ascii="Times New Roman" w:eastAsia="宋体" w:hAnsi="Times New Roman" w:cs="Times New Roman"/>
          <w:bCs/>
          <w:color w:val="000000" w:themeColor="text1"/>
          <w:sz w:val="24"/>
        </w:rPr>
        <w:t>运至赵家坝污水处理站</w:t>
      </w:r>
      <w:r w:rsidRPr="00092862">
        <w:rPr>
          <w:rFonts w:ascii="Times New Roman" w:eastAsia="宋体" w:hAnsi="Times New Roman" w:cs="Times New Roman"/>
          <w:bCs/>
          <w:color w:val="000000" w:themeColor="text1"/>
          <w:sz w:val="24"/>
        </w:rPr>
        <w:t>处理达到《气田水回注方法》（</w:t>
      </w:r>
      <w:r w:rsidRPr="00092862">
        <w:rPr>
          <w:rFonts w:ascii="Times New Roman" w:eastAsia="宋体" w:hAnsi="Times New Roman" w:cs="Times New Roman"/>
          <w:bCs/>
          <w:color w:val="000000" w:themeColor="text1"/>
          <w:sz w:val="24"/>
        </w:rPr>
        <w:t>SY/T6596-2016</w:t>
      </w:r>
      <w:r w:rsidRPr="00092862">
        <w:rPr>
          <w:rFonts w:ascii="Times New Roman" w:eastAsia="宋体" w:hAnsi="Times New Roman" w:cs="Times New Roman"/>
          <w:bCs/>
          <w:color w:val="000000" w:themeColor="text1"/>
          <w:sz w:val="24"/>
        </w:rPr>
        <w:t>）中注入水基本要求后管输至</w:t>
      </w:r>
      <w:r w:rsidR="005D5A22" w:rsidRPr="00092862">
        <w:rPr>
          <w:rFonts w:ascii="Times New Roman" w:eastAsia="宋体" w:hAnsi="Times New Roman" w:cs="Times New Roman"/>
          <w:bCs/>
          <w:color w:val="000000" w:themeColor="text1"/>
          <w:sz w:val="24"/>
        </w:rPr>
        <w:t>普光</w:t>
      </w:r>
      <w:r w:rsidR="005D5A22" w:rsidRPr="00092862">
        <w:rPr>
          <w:rFonts w:ascii="Times New Roman" w:eastAsia="宋体" w:hAnsi="Times New Roman" w:cs="Times New Roman"/>
          <w:bCs/>
          <w:color w:val="000000" w:themeColor="text1"/>
          <w:sz w:val="24"/>
        </w:rPr>
        <w:t>11</w:t>
      </w:r>
      <w:r w:rsidR="005D5A22" w:rsidRPr="00092862">
        <w:rPr>
          <w:rFonts w:ascii="Times New Roman" w:eastAsia="宋体" w:hAnsi="Times New Roman" w:cs="Times New Roman"/>
          <w:bCs/>
          <w:color w:val="000000" w:themeColor="text1"/>
          <w:sz w:val="24"/>
        </w:rPr>
        <w:t>井回注站</w:t>
      </w:r>
      <w:r w:rsidRPr="00092862">
        <w:rPr>
          <w:rFonts w:ascii="Times New Roman" w:eastAsia="宋体" w:hAnsi="Times New Roman" w:cs="Times New Roman"/>
          <w:bCs/>
          <w:color w:val="000000" w:themeColor="text1"/>
          <w:sz w:val="24"/>
        </w:rPr>
        <w:t>回注处理，不外排。气田水水质情况</w:t>
      </w:r>
      <w:r w:rsidR="009A1E3A" w:rsidRPr="00092862">
        <w:rPr>
          <w:rFonts w:ascii="Times New Roman" w:eastAsia="宋体" w:hAnsi="Times New Roman" w:cs="Times New Roman"/>
          <w:bCs/>
          <w:color w:val="000000" w:themeColor="text1"/>
          <w:sz w:val="24"/>
        </w:rPr>
        <w:t>参照</w:t>
      </w:r>
      <w:r w:rsidRPr="00092862">
        <w:rPr>
          <w:rFonts w:ascii="Times New Roman" w:eastAsia="宋体" w:hAnsi="Times New Roman" w:cs="Times New Roman"/>
          <w:bCs/>
          <w:color w:val="000000" w:themeColor="text1"/>
          <w:sz w:val="24"/>
        </w:rPr>
        <w:t>2021</w:t>
      </w:r>
      <w:r w:rsidRPr="00092862">
        <w:rPr>
          <w:rFonts w:ascii="Times New Roman" w:eastAsia="宋体" w:hAnsi="Times New Roman" w:cs="Times New Roman"/>
          <w:bCs/>
          <w:color w:val="000000" w:themeColor="text1"/>
          <w:sz w:val="24"/>
        </w:rPr>
        <w:t>年</w:t>
      </w:r>
      <w:r w:rsidRPr="00092862">
        <w:rPr>
          <w:rFonts w:ascii="Times New Roman" w:eastAsia="宋体" w:hAnsi="Times New Roman" w:cs="Times New Roman"/>
          <w:bCs/>
          <w:color w:val="000000" w:themeColor="text1"/>
          <w:sz w:val="24"/>
        </w:rPr>
        <w:t>12</w:t>
      </w:r>
      <w:r w:rsidRPr="00092862">
        <w:rPr>
          <w:rFonts w:ascii="Times New Roman" w:eastAsia="宋体" w:hAnsi="Times New Roman" w:cs="Times New Roman"/>
          <w:bCs/>
          <w:color w:val="000000" w:themeColor="text1"/>
          <w:sz w:val="24"/>
        </w:rPr>
        <w:t>月</w:t>
      </w:r>
      <w:r w:rsidRPr="00092862">
        <w:rPr>
          <w:rFonts w:ascii="Times New Roman" w:eastAsia="宋体" w:hAnsi="Times New Roman" w:cs="Times New Roman"/>
          <w:bCs/>
          <w:color w:val="000000" w:themeColor="text1"/>
          <w:sz w:val="24"/>
        </w:rPr>
        <w:t>31</w:t>
      </w:r>
      <w:r w:rsidRPr="00092862">
        <w:rPr>
          <w:rFonts w:ascii="Times New Roman" w:eastAsia="宋体" w:hAnsi="Times New Roman" w:cs="Times New Roman"/>
          <w:bCs/>
          <w:color w:val="000000" w:themeColor="text1"/>
          <w:sz w:val="24"/>
        </w:rPr>
        <w:t>日</w:t>
      </w:r>
      <w:r w:rsidRPr="00092862">
        <w:rPr>
          <w:rFonts w:ascii="Times New Roman" w:eastAsia="宋体" w:hAnsi="Times New Roman" w:cs="Times New Roman"/>
          <w:bCs/>
          <w:color w:val="000000" w:themeColor="text1"/>
          <w:sz w:val="24"/>
        </w:rPr>
        <w:t>D403</w:t>
      </w:r>
      <w:r w:rsidR="00F30AFD" w:rsidRPr="00092862">
        <w:rPr>
          <w:rFonts w:ascii="Times New Roman" w:eastAsia="宋体" w:hAnsi="Times New Roman" w:cs="Times New Roman"/>
          <w:color w:val="000000" w:themeColor="text1"/>
          <w:sz w:val="24"/>
        </w:rPr>
        <w:t>集气站</w:t>
      </w:r>
      <w:r w:rsidRPr="00092862">
        <w:rPr>
          <w:rFonts w:ascii="Times New Roman" w:eastAsia="宋体" w:hAnsi="Times New Roman" w:cs="Times New Roman"/>
          <w:bCs/>
          <w:color w:val="000000" w:themeColor="text1"/>
          <w:sz w:val="24"/>
        </w:rPr>
        <w:t>外输污水管道监测数据，详见下表。</w:t>
      </w:r>
    </w:p>
    <w:p w14:paraId="6A94AB6B" w14:textId="39F9EDB1" w:rsidR="00743C86" w:rsidRPr="00092862" w:rsidRDefault="00743C86"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963B72"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4-</w:t>
      </w:r>
      <w:r w:rsidR="00D26362" w:rsidRPr="00092862">
        <w:rPr>
          <w:rFonts w:ascii="Times New Roman" w:eastAsia="黑体" w:hAnsi="Times New Roman"/>
          <w:color w:val="000000" w:themeColor="text1"/>
          <w:sz w:val="21"/>
          <w:szCs w:val="21"/>
          <w:lang w:eastAsia="zh-CN"/>
        </w:rPr>
        <w:t>1</w:t>
      </w:r>
      <w:r w:rsidR="002C77F6" w:rsidRPr="00092862">
        <w:rPr>
          <w:rFonts w:ascii="Times New Roman" w:eastAsia="黑体" w:hAnsi="Times New Roman"/>
          <w:color w:val="000000" w:themeColor="text1"/>
          <w:sz w:val="21"/>
          <w:szCs w:val="21"/>
          <w:lang w:eastAsia="zh-CN"/>
        </w:rPr>
        <w:t>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采气废水水质一览表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29"/>
        <w:gridCol w:w="698"/>
        <w:gridCol w:w="822"/>
        <w:gridCol w:w="704"/>
        <w:gridCol w:w="704"/>
        <w:gridCol w:w="1291"/>
        <w:gridCol w:w="958"/>
        <w:gridCol w:w="1067"/>
        <w:gridCol w:w="1227"/>
      </w:tblGrid>
      <w:tr w:rsidR="00697429" w:rsidRPr="00092862" w14:paraId="2559ACC9" w14:textId="77777777" w:rsidTr="009A1E3A">
        <w:trPr>
          <w:trHeight w:val="208"/>
          <w:jc w:val="center"/>
        </w:trPr>
        <w:tc>
          <w:tcPr>
            <w:tcW w:w="499" w:type="pct"/>
            <w:shd w:val="clear" w:color="auto" w:fill="FFFFFF"/>
            <w:tcMar>
              <w:top w:w="15" w:type="dxa"/>
              <w:left w:w="46" w:type="dxa"/>
              <w:bottom w:w="0" w:type="dxa"/>
              <w:right w:w="46" w:type="dxa"/>
            </w:tcMar>
            <w:vAlign w:val="center"/>
          </w:tcPr>
          <w:p w14:paraId="75C152A4" w14:textId="77777777" w:rsidR="00B14DEB" w:rsidRPr="00092862" w:rsidRDefault="00B14DEB" w:rsidP="000D2044">
            <w:pPr>
              <w:pStyle w:val="afffff7"/>
              <w:rPr>
                <w:b/>
                <w:bCs/>
                <w:color w:val="000000" w:themeColor="text1"/>
              </w:rPr>
            </w:pPr>
            <w:r w:rsidRPr="00092862">
              <w:rPr>
                <w:b/>
                <w:bCs/>
                <w:color w:val="000000" w:themeColor="text1"/>
              </w:rPr>
              <w:t>项目</w:t>
            </w:r>
          </w:p>
        </w:tc>
        <w:tc>
          <w:tcPr>
            <w:tcW w:w="420" w:type="pct"/>
            <w:shd w:val="clear" w:color="auto" w:fill="FFFFFF"/>
            <w:tcMar>
              <w:top w:w="15" w:type="dxa"/>
              <w:left w:w="46" w:type="dxa"/>
              <w:bottom w:w="0" w:type="dxa"/>
              <w:right w:w="46" w:type="dxa"/>
            </w:tcMar>
            <w:vAlign w:val="center"/>
          </w:tcPr>
          <w:p w14:paraId="148C601B" w14:textId="77777777" w:rsidR="00B14DEB" w:rsidRPr="00092862" w:rsidRDefault="00B14DEB" w:rsidP="000D2044">
            <w:pPr>
              <w:pStyle w:val="afffff7"/>
              <w:rPr>
                <w:b/>
                <w:bCs/>
                <w:color w:val="000000" w:themeColor="text1"/>
              </w:rPr>
            </w:pPr>
            <w:r w:rsidRPr="00092862">
              <w:rPr>
                <w:b/>
                <w:bCs/>
                <w:color w:val="000000" w:themeColor="text1"/>
              </w:rPr>
              <w:t>pH</w:t>
            </w:r>
            <w:r w:rsidRPr="00092862">
              <w:rPr>
                <w:b/>
                <w:bCs/>
                <w:color w:val="000000" w:themeColor="text1"/>
              </w:rPr>
              <w:t>值</w:t>
            </w:r>
          </w:p>
        </w:tc>
        <w:tc>
          <w:tcPr>
            <w:tcW w:w="495" w:type="pct"/>
            <w:shd w:val="clear" w:color="auto" w:fill="FFFFFF"/>
            <w:vAlign w:val="center"/>
          </w:tcPr>
          <w:p w14:paraId="684FAF77" w14:textId="77777777" w:rsidR="00B14DEB" w:rsidRPr="00092862" w:rsidRDefault="00B14DEB" w:rsidP="000D2044">
            <w:pPr>
              <w:pStyle w:val="afffff7"/>
              <w:rPr>
                <w:b/>
                <w:bCs/>
                <w:color w:val="000000" w:themeColor="text1"/>
              </w:rPr>
            </w:pPr>
            <w:r w:rsidRPr="00092862">
              <w:rPr>
                <w:b/>
                <w:bCs/>
                <w:color w:val="000000" w:themeColor="text1"/>
              </w:rPr>
              <w:t>溶解氧</w:t>
            </w:r>
          </w:p>
        </w:tc>
        <w:tc>
          <w:tcPr>
            <w:tcW w:w="424" w:type="pct"/>
            <w:shd w:val="clear" w:color="auto" w:fill="FFFFFF"/>
            <w:vAlign w:val="center"/>
          </w:tcPr>
          <w:p w14:paraId="540B6942" w14:textId="77777777" w:rsidR="00B14DEB" w:rsidRPr="00092862" w:rsidRDefault="00B14DEB" w:rsidP="000D2044">
            <w:pPr>
              <w:pStyle w:val="afffff7"/>
              <w:rPr>
                <w:b/>
                <w:bCs/>
                <w:color w:val="000000" w:themeColor="text1"/>
              </w:rPr>
            </w:pPr>
            <w:r w:rsidRPr="00092862">
              <w:rPr>
                <w:b/>
                <w:bCs/>
                <w:color w:val="000000" w:themeColor="text1"/>
              </w:rPr>
              <w:t>硫化物</w:t>
            </w:r>
          </w:p>
        </w:tc>
        <w:tc>
          <w:tcPr>
            <w:tcW w:w="424" w:type="pct"/>
            <w:shd w:val="clear" w:color="auto" w:fill="FFFFFF"/>
            <w:tcMar>
              <w:top w:w="15" w:type="dxa"/>
              <w:left w:w="46" w:type="dxa"/>
              <w:bottom w:w="0" w:type="dxa"/>
              <w:right w:w="46" w:type="dxa"/>
            </w:tcMar>
            <w:vAlign w:val="center"/>
          </w:tcPr>
          <w:p w14:paraId="54D1DA93" w14:textId="77777777" w:rsidR="00B14DEB" w:rsidRPr="00092862" w:rsidRDefault="00B14DEB" w:rsidP="000D2044">
            <w:pPr>
              <w:pStyle w:val="afffff7"/>
              <w:rPr>
                <w:b/>
                <w:bCs/>
                <w:color w:val="000000" w:themeColor="text1"/>
              </w:rPr>
            </w:pPr>
            <w:r w:rsidRPr="00092862">
              <w:rPr>
                <w:b/>
                <w:bCs/>
                <w:color w:val="000000" w:themeColor="text1"/>
              </w:rPr>
              <w:t>含油量</w:t>
            </w:r>
          </w:p>
        </w:tc>
        <w:tc>
          <w:tcPr>
            <w:tcW w:w="778" w:type="pct"/>
            <w:shd w:val="clear" w:color="auto" w:fill="FFFFFF"/>
            <w:tcMar>
              <w:top w:w="15" w:type="dxa"/>
              <w:left w:w="46" w:type="dxa"/>
              <w:bottom w:w="0" w:type="dxa"/>
              <w:right w:w="46" w:type="dxa"/>
            </w:tcMar>
            <w:vAlign w:val="center"/>
          </w:tcPr>
          <w:p w14:paraId="11BB0BD4" w14:textId="77777777" w:rsidR="00B14DEB" w:rsidRPr="00092862" w:rsidRDefault="00B14DEB" w:rsidP="000D2044">
            <w:pPr>
              <w:pStyle w:val="afffff7"/>
              <w:rPr>
                <w:b/>
                <w:bCs/>
                <w:color w:val="000000" w:themeColor="text1"/>
              </w:rPr>
            </w:pPr>
            <w:r w:rsidRPr="00092862">
              <w:rPr>
                <w:b/>
                <w:bCs/>
                <w:color w:val="000000" w:themeColor="text1"/>
              </w:rPr>
              <w:t>悬浮固体含量</w:t>
            </w:r>
          </w:p>
        </w:tc>
        <w:tc>
          <w:tcPr>
            <w:tcW w:w="577" w:type="pct"/>
            <w:shd w:val="clear" w:color="auto" w:fill="FFFFFF"/>
            <w:tcMar>
              <w:top w:w="15" w:type="dxa"/>
              <w:left w:w="46" w:type="dxa"/>
              <w:bottom w:w="0" w:type="dxa"/>
              <w:right w:w="46" w:type="dxa"/>
            </w:tcMar>
            <w:vAlign w:val="center"/>
          </w:tcPr>
          <w:p w14:paraId="4FC16FFF" w14:textId="77777777" w:rsidR="00B14DEB" w:rsidRPr="00092862" w:rsidRDefault="00B14DEB" w:rsidP="000D2044">
            <w:pPr>
              <w:pStyle w:val="afffff7"/>
              <w:rPr>
                <w:b/>
                <w:bCs/>
                <w:color w:val="000000" w:themeColor="text1"/>
              </w:rPr>
            </w:pPr>
            <w:r w:rsidRPr="00092862">
              <w:rPr>
                <w:b/>
                <w:bCs/>
                <w:color w:val="000000" w:themeColor="text1"/>
              </w:rPr>
              <w:t>二价铁含量</w:t>
            </w:r>
          </w:p>
        </w:tc>
        <w:tc>
          <w:tcPr>
            <w:tcW w:w="643" w:type="pct"/>
            <w:shd w:val="clear" w:color="auto" w:fill="FFFFFF"/>
            <w:vAlign w:val="center"/>
          </w:tcPr>
          <w:p w14:paraId="4AF27B61" w14:textId="77777777" w:rsidR="00B14DEB" w:rsidRPr="00092862" w:rsidRDefault="00B14DEB" w:rsidP="000D2044">
            <w:pPr>
              <w:pStyle w:val="afffff7"/>
              <w:rPr>
                <w:b/>
                <w:bCs/>
                <w:color w:val="000000" w:themeColor="text1"/>
              </w:rPr>
            </w:pPr>
            <w:r w:rsidRPr="00092862">
              <w:rPr>
                <w:b/>
                <w:bCs/>
                <w:color w:val="000000" w:themeColor="text1"/>
              </w:rPr>
              <w:t>总铁含量</w:t>
            </w:r>
          </w:p>
        </w:tc>
        <w:tc>
          <w:tcPr>
            <w:tcW w:w="739" w:type="pct"/>
            <w:shd w:val="clear" w:color="auto" w:fill="FFFFFF"/>
          </w:tcPr>
          <w:p w14:paraId="537407BD" w14:textId="77777777" w:rsidR="00B14DEB" w:rsidRPr="00092862" w:rsidRDefault="00B14DEB" w:rsidP="000D2044">
            <w:pPr>
              <w:pStyle w:val="afffff7"/>
              <w:rPr>
                <w:b/>
                <w:bCs/>
                <w:color w:val="000000" w:themeColor="text1"/>
              </w:rPr>
            </w:pPr>
            <w:r w:rsidRPr="00092862">
              <w:rPr>
                <w:b/>
                <w:bCs/>
                <w:color w:val="000000" w:themeColor="text1"/>
              </w:rPr>
              <w:t>悬浮物颗粒直径中值</w:t>
            </w:r>
          </w:p>
        </w:tc>
      </w:tr>
      <w:tr w:rsidR="00697429" w:rsidRPr="00092862" w14:paraId="7C14700B" w14:textId="77777777" w:rsidTr="009A1E3A">
        <w:trPr>
          <w:trHeight w:val="164"/>
          <w:jc w:val="center"/>
        </w:trPr>
        <w:tc>
          <w:tcPr>
            <w:tcW w:w="499" w:type="pct"/>
            <w:shd w:val="clear" w:color="auto" w:fill="FFFFFF"/>
            <w:tcMar>
              <w:top w:w="15" w:type="dxa"/>
              <w:left w:w="46" w:type="dxa"/>
              <w:bottom w:w="0" w:type="dxa"/>
              <w:right w:w="46" w:type="dxa"/>
            </w:tcMar>
            <w:vAlign w:val="center"/>
          </w:tcPr>
          <w:p w14:paraId="7C466DA9" w14:textId="77777777" w:rsidR="00B14DEB" w:rsidRPr="00092862" w:rsidRDefault="00B14DEB" w:rsidP="000D2044">
            <w:pPr>
              <w:pStyle w:val="afffff7"/>
              <w:rPr>
                <w:bCs/>
                <w:color w:val="000000" w:themeColor="text1"/>
              </w:rPr>
            </w:pPr>
            <w:r w:rsidRPr="00092862">
              <w:rPr>
                <w:bCs/>
                <w:color w:val="000000" w:themeColor="text1"/>
              </w:rPr>
              <w:t>浓度</w:t>
            </w:r>
          </w:p>
        </w:tc>
        <w:tc>
          <w:tcPr>
            <w:tcW w:w="420" w:type="pct"/>
            <w:shd w:val="clear" w:color="auto" w:fill="FFFFFF"/>
            <w:tcMar>
              <w:top w:w="15" w:type="dxa"/>
              <w:left w:w="15" w:type="dxa"/>
              <w:bottom w:w="0" w:type="dxa"/>
              <w:right w:w="15" w:type="dxa"/>
            </w:tcMar>
            <w:vAlign w:val="center"/>
          </w:tcPr>
          <w:p w14:paraId="34E9FA03" w14:textId="77777777" w:rsidR="00B14DEB" w:rsidRPr="00092862" w:rsidRDefault="00B14DEB" w:rsidP="000D2044">
            <w:pPr>
              <w:pStyle w:val="afffff7"/>
              <w:rPr>
                <w:bCs/>
                <w:color w:val="000000" w:themeColor="text1"/>
              </w:rPr>
            </w:pPr>
            <w:r w:rsidRPr="00092862">
              <w:rPr>
                <w:bCs/>
                <w:color w:val="000000" w:themeColor="text1"/>
              </w:rPr>
              <w:t>7.0</w:t>
            </w:r>
          </w:p>
        </w:tc>
        <w:tc>
          <w:tcPr>
            <w:tcW w:w="495" w:type="pct"/>
            <w:shd w:val="clear" w:color="auto" w:fill="FFFFFF"/>
            <w:vAlign w:val="center"/>
          </w:tcPr>
          <w:p w14:paraId="0F290442" w14:textId="77777777" w:rsidR="00B14DEB" w:rsidRPr="00092862" w:rsidRDefault="00B14DEB" w:rsidP="000D2044">
            <w:pPr>
              <w:pStyle w:val="afffff7"/>
              <w:rPr>
                <w:bCs/>
                <w:color w:val="000000" w:themeColor="text1"/>
              </w:rPr>
            </w:pPr>
            <w:r w:rsidRPr="00092862">
              <w:rPr>
                <w:bCs/>
                <w:color w:val="000000" w:themeColor="text1"/>
              </w:rPr>
              <w:t>0.20</w:t>
            </w:r>
          </w:p>
        </w:tc>
        <w:tc>
          <w:tcPr>
            <w:tcW w:w="424" w:type="pct"/>
            <w:shd w:val="clear" w:color="auto" w:fill="FFFFFF"/>
            <w:vAlign w:val="center"/>
          </w:tcPr>
          <w:p w14:paraId="3395102D" w14:textId="77777777" w:rsidR="00B14DEB" w:rsidRPr="00092862" w:rsidRDefault="00B14DEB" w:rsidP="000D2044">
            <w:pPr>
              <w:pStyle w:val="afffff7"/>
              <w:rPr>
                <w:bCs/>
                <w:color w:val="000000" w:themeColor="text1"/>
              </w:rPr>
            </w:pPr>
            <w:r w:rsidRPr="00092862">
              <w:rPr>
                <w:bCs/>
                <w:color w:val="000000" w:themeColor="text1"/>
              </w:rPr>
              <w:t>0.0</w:t>
            </w:r>
          </w:p>
        </w:tc>
        <w:tc>
          <w:tcPr>
            <w:tcW w:w="424" w:type="pct"/>
            <w:shd w:val="clear" w:color="auto" w:fill="FFFFFF"/>
            <w:tcMar>
              <w:top w:w="15" w:type="dxa"/>
              <w:left w:w="46" w:type="dxa"/>
              <w:bottom w:w="0" w:type="dxa"/>
              <w:right w:w="46" w:type="dxa"/>
            </w:tcMar>
            <w:vAlign w:val="center"/>
          </w:tcPr>
          <w:p w14:paraId="789A4AA9" w14:textId="77777777" w:rsidR="00B14DEB" w:rsidRPr="00092862" w:rsidRDefault="00B14DEB" w:rsidP="000D2044">
            <w:pPr>
              <w:pStyle w:val="afffff7"/>
              <w:rPr>
                <w:bCs/>
                <w:color w:val="000000" w:themeColor="text1"/>
              </w:rPr>
            </w:pPr>
            <w:r w:rsidRPr="00092862">
              <w:rPr>
                <w:bCs/>
                <w:color w:val="000000" w:themeColor="text1"/>
              </w:rPr>
              <w:t>2.3</w:t>
            </w:r>
          </w:p>
        </w:tc>
        <w:tc>
          <w:tcPr>
            <w:tcW w:w="778" w:type="pct"/>
            <w:shd w:val="clear" w:color="auto" w:fill="FFFFFF"/>
            <w:tcMar>
              <w:top w:w="15" w:type="dxa"/>
              <w:left w:w="46" w:type="dxa"/>
              <w:bottom w:w="0" w:type="dxa"/>
              <w:right w:w="46" w:type="dxa"/>
            </w:tcMar>
            <w:vAlign w:val="center"/>
          </w:tcPr>
          <w:p w14:paraId="522F3E10" w14:textId="77777777" w:rsidR="00B14DEB" w:rsidRPr="00092862" w:rsidRDefault="00B14DEB" w:rsidP="000D2044">
            <w:pPr>
              <w:pStyle w:val="afffff7"/>
              <w:rPr>
                <w:bCs/>
                <w:color w:val="000000" w:themeColor="text1"/>
              </w:rPr>
            </w:pPr>
            <w:r w:rsidRPr="00092862">
              <w:rPr>
                <w:bCs/>
                <w:color w:val="000000" w:themeColor="text1"/>
              </w:rPr>
              <w:t>1.0</w:t>
            </w:r>
          </w:p>
        </w:tc>
        <w:tc>
          <w:tcPr>
            <w:tcW w:w="577" w:type="pct"/>
            <w:shd w:val="clear" w:color="auto" w:fill="FFFFFF"/>
            <w:tcMar>
              <w:top w:w="15" w:type="dxa"/>
              <w:left w:w="46" w:type="dxa"/>
              <w:bottom w:w="0" w:type="dxa"/>
              <w:right w:w="46" w:type="dxa"/>
            </w:tcMar>
            <w:vAlign w:val="center"/>
          </w:tcPr>
          <w:p w14:paraId="796CD1A3" w14:textId="77777777" w:rsidR="00B14DEB" w:rsidRPr="00092862" w:rsidRDefault="00B14DEB" w:rsidP="000D2044">
            <w:pPr>
              <w:pStyle w:val="afffff7"/>
              <w:rPr>
                <w:bCs/>
                <w:color w:val="000000" w:themeColor="text1"/>
              </w:rPr>
            </w:pPr>
            <w:r w:rsidRPr="00092862">
              <w:rPr>
                <w:bCs/>
                <w:color w:val="000000" w:themeColor="text1"/>
              </w:rPr>
              <w:t>/</w:t>
            </w:r>
          </w:p>
        </w:tc>
        <w:tc>
          <w:tcPr>
            <w:tcW w:w="643" w:type="pct"/>
            <w:shd w:val="clear" w:color="auto" w:fill="FFFFFF"/>
            <w:vAlign w:val="center"/>
          </w:tcPr>
          <w:p w14:paraId="5EB354A5" w14:textId="77777777" w:rsidR="00B14DEB" w:rsidRPr="00092862" w:rsidRDefault="00B14DEB" w:rsidP="000D2044">
            <w:pPr>
              <w:pStyle w:val="afffff7"/>
              <w:rPr>
                <w:bCs/>
                <w:color w:val="000000" w:themeColor="text1"/>
              </w:rPr>
            </w:pPr>
            <w:r w:rsidRPr="00092862">
              <w:rPr>
                <w:bCs/>
                <w:color w:val="000000" w:themeColor="text1"/>
              </w:rPr>
              <w:t>/</w:t>
            </w:r>
          </w:p>
        </w:tc>
        <w:tc>
          <w:tcPr>
            <w:tcW w:w="739" w:type="pct"/>
            <w:shd w:val="clear" w:color="auto" w:fill="FFFFFF"/>
            <w:vAlign w:val="center"/>
          </w:tcPr>
          <w:p w14:paraId="20C336A7" w14:textId="77777777" w:rsidR="00B14DEB" w:rsidRPr="00092862" w:rsidRDefault="00B14DEB" w:rsidP="000D2044">
            <w:pPr>
              <w:pStyle w:val="afffff7"/>
              <w:rPr>
                <w:bCs/>
                <w:color w:val="000000" w:themeColor="text1"/>
              </w:rPr>
            </w:pPr>
            <w:r w:rsidRPr="00092862">
              <w:rPr>
                <w:bCs/>
                <w:color w:val="000000" w:themeColor="text1"/>
              </w:rPr>
              <w:t>1.6</w:t>
            </w:r>
          </w:p>
        </w:tc>
      </w:tr>
    </w:tbl>
    <w:p w14:paraId="4D319170" w14:textId="77777777" w:rsidR="00076930" w:rsidRPr="00092862" w:rsidRDefault="00076930" w:rsidP="00CF3E31">
      <w:pPr>
        <w:autoSpaceDE w:val="0"/>
        <w:autoSpaceDN w:val="0"/>
        <w:spacing w:line="360" w:lineRule="auto"/>
        <w:ind w:firstLineChars="200" w:firstLine="480"/>
        <w:textAlignment w:val="baseline"/>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）非正常工况井下作业废水</w:t>
      </w:r>
    </w:p>
    <w:p w14:paraId="688FEC13" w14:textId="1084FBBC" w:rsidR="00076930" w:rsidRPr="00092862" w:rsidRDefault="00076930" w:rsidP="00CF3E31">
      <w:pPr>
        <w:autoSpaceDE w:val="0"/>
        <w:autoSpaceDN w:val="0"/>
        <w:spacing w:line="360" w:lineRule="auto"/>
        <w:ind w:firstLineChars="200" w:firstLine="480"/>
        <w:textAlignment w:val="baseline"/>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正常</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，当地层堵塞时，为提高地层渗透率，需进行压裂酸化等作业，属于</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非正常工况。根据类比调查，作业频次为</w:t>
      </w:r>
      <w:r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次</w:t>
      </w:r>
      <w:r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w:t>
      </w:r>
      <w:r w:rsidR="002A22C3" w:rsidRPr="00092862">
        <w:rPr>
          <w:rFonts w:ascii="Times New Roman" w:eastAsia="宋体" w:hAnsi="Times New Roman" w:cs="Times New Roman"/>
          <w:bCs/>
          <w:color w:val="000000" w:themeColor="text1"/>
          <w:sz w:val="24"/>
        </w:rPr>
        <w:t>单井</w:t>
      </w:r>
      <w:r w:rsidRPr="00092862">
        <w:rPr>
          <w:rFonts w:ascii="Times New Roman" w:eastAsia="宋体" w:hAnsi="Times New Roman" w:cs="Times New Roman"/>
          <w:bCs/>
          <w:color w:val="000000" w:themeColor="text1"/>
          <w:sz w:val="24"/>
        </w:rPr>
        <w:t>排放量为</w:t>
      </w:r>
      <w:r w:rsidRPr="00092862">
        <w:rPr>
          <w:rFonts w:ascii="Times New Roman" w:eastAsia="宋体" w:hAnsi="Times New Roman" w:cs="Times New Roman"/>
          <w:bCs/>
          <w:color w:val="000000" w:themeColor="text1"/>
          <w:sz w:val="24"/>
        </w:rPr>
        <w:t>50m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/a</w:t>
      </w:r>
      <w:r w:rsidR="002A22C3" w:rsidRPr="00092862">
        <w:rPr>
          <w:rFonts w:ascii="Times New Roman" w:eastAsia="宋体" w:hAnsi="Times New Roman" w:cs="Times New Roman"/>
          <w:bCs/>
          <w:color w:val="000000" w:themeColor="text1"/>
          <w:sz w:val="24"/>
        </w:rPr>
        <w:t>，则本项目</w:t>
      </w:r>
      <w:r w:rsidR="00EC70BF" w:rsidRPr="00092862">
        <w:rPr>
          <w:rFonts w:ascii="Times New Roman" w:eastAsia="宋体" w:hAnsi="Times New Roman" w:cs="Times New Roman"/>
          <w:bCs/>
          <w:color w:val="000000" w:themeColor="text1"/>
          <w:sz w:val="24"/>
        </w:rPr>
        <w:t>2</w:t>
      </w:r>
      <w:r w:rsidR="00EC70BF" w:rsidRPr="00092862">
        <w:rPr>
          <w:rFonts w:ascii="Times New Roman" w:eastAsia="宋体" w:hAnsi="Times New Roman" w:cs="Times New Roman"/>
          <w:bCs/>
          <w:color w:val="000000" w:themeColor="text1"/>
          <w:sz w:val="24"/>
        </w:rPr>
        <w:t>口井</w:t>
      </w:r>
      <w:r w:rsidR="002A22C3" w:rsidRPr="00092862">
        <w:rPr>
          <w:rFonts w:ascii="Times New Roman" w:eastAsia="宋体" w:hAnsi="Times New Roman" w:cs="Times New Roman"/>
          <w:bCs/>
          <w:color w:val="000000" w:themeColor="text1"/>
          <w:sz w:val="24"/>
        </w:rPr>
        <w:t>排放量为</w:t>
      </w:r>
      <w:r w:rsidR="002A22C3" w:rsidRPr="00092862">
        <w:rPr>
          <w:rFonts w:ascii="Times New Roman" w:eastAsia="宋体" w:hAnsi="Times New Roman" w:cs="Times New Roman"/>
          <w:bCs/>
          <w:color w:val="000000" w:themeColor="text1"/>
          <w:sz w:val="24"/>
        </w:rPr>
        <w:t>1</w:t>
      </w:r>
      <w:r w:rsidR="008A7A52" w:rsidRPr="00092862">
        <w:rPr>
          <w:rFonts w:ascii="Times New Roman" w:eastAsia="宋体" w:hAnsi="Times New Roman" w:cs="Times New Roman"/>
          <w:bCs/>
          <w:color w:val="000000" w:themeColor="text1"/>
          <w:sz w:val="24"/>
        </w:rPr>
        <w:t>0</w:t>
      </w:r>
      <w:r w:rsidR="002A22C3" w:rsidRPr="00092862">
        <w:rPr>
          <w:rFonts w:ascii="Times New Roman" w:eastAsia="宋体" w:hAnsi="Times New Roman" w:cs="Times New Roman"/>
          <w:bCs/>
          <w:color w:val="000000" w:themeColor="text1"/>
          <w:sz w:val="24"/>
        </w:rPr>
        <w:t>0m</w:t>
      </w:r>
      <w:r w:rsidR="002A22C3" w:rsidRPr="00092862">
        <w:rPr>
          <w:rFonts w:ascii="Times New Roman" w:eastAsia="宋体" w:hAnsi="Times New Roman" w:cs="Times New Roman"/>
          <w:bCs/>
          <w:color w:val="000000" w:themeColor="text1"/>
          <w:sz w:val="24"/>
          <w:vertAlign w:val="superscript"/>
        </w:rPr>
        <w:t>3</w:t>
      </w:r>
      <w:r w:rsidR="002A22C3"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，将废水用密闭罐车拉运至</w:t>
      </w:r>
      <w:r w:rsidR="000F6507" w:rsidRPr="00092862">
        <w:rPr>
          <w:rFonts w:ascii="Times New Roman" w:eastAsia="宋体" w:hAnsi="Times New Roman" w:cs="Times New Roman"/>
          <w:bCs/>
          <w:color w:val="000000" w:themeColor="text1"/>
          <w:sz w:val="24"/>
        </w:rPr>
        <w:t>赵家坝污水处理站</w:t>
      </w:r>
      <w:r w:rsidRPr="00092862">
        <w:rPr>
          <w:rFonts w:ascii="Times New Roman" w:eastAsia="宋体" w:hAnsi="Times New Roman" w:cs="Times New Roman"/>
          <w:bCs/>
          <w:color w:val="000000" w:themeColor="text1"/>
          <w:sz w:val="24"/>
        </w:rPr>
        <w:t>处理达标后经</w:t>
      </w:r>
      <w:r w:rsidR="005D5A22" w:rsidRPr="00092862">
        <w:rPr>
          <w:rFonts w:ascii="Times New Roman" w:eastAsia="宋体" w:hAnsi="Times New Roman" w:cs="Times New Roman"/>
          <w:bCs/>
          <w:color w:val="000000" w:themeColor="text1"/>
          <w:sz w:val="24"/>
        </w:rPr>
        <w:t>普光</w:t>
      </w:r>
      <w:r w:rsidR="005D5A22" w:rsidRPr="00092862">
        <w:rPr>
          <w:rFonts w:ascii="Times New Roman" w:eastAsia="宋体" w:hAnsi="Times New Roman" w:cs="Times New Roman"/>
          <w:bCs/>
          <w:color w:val="000000" w:themeColor="text1"/>
          <w:sz w:val="24"/>
        </w:rPr>
        <w:t>11</w:t>
      </w:r>
      <w:r w:rsidR="005D5A22" w:rsidRPr="00092862">
        <w:rPr>
          <w:rFonts w:ascii="Times New Roman" w:eastAsia="宋体" w:hAnsi="Times New Roman" w:cs="Times New Roman"/>
          <w:bCs/>
          <w:color w:val="000000" w:themeColor="text1"/>
          <w:sz w:val="24"/>
        </w:rPr>
        <w:t>井回注站</w:t>
      </w:r>
      <w:r w:rsidRPr="00092862">
        <w:rPr>
          <w:rFonts w:ascii="Times New Roman" w:eastAsia="宋体" w:hAnsi="Times New Roman" w:cs="Times New Roman"/>
          <w:bCs/>
          <w:color w:val="000000" w:themeColor="text1"/>
          <w:sz w:val="24"/>
        </w:rPr>
        <w:t>回注。</w:t>
      </w:r>
    </w:p>
    <w:p w14:paraId="7597C78A" w14:textId="112B38C7" w:rsidR="00743C86" w:rsidRPr="00092862" w:rsidRDefault="00076930" w:rsidP="00CF3E31">
      <w:pPr>
        <w:autoSpaceDE w:val="0"/>
        <w:autoSpaceDN w:val="0"/>
        <w:spacing w:line="360" w:lineRule="auto"/>
        <w:ind w:firstLineChars="200" w:firstLine="480"/>
        <w:textAlignment w:val="baseline"/>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3</w:t>
      </w:r>
      <w:r w:rsidR="00743C86" w:rsidRPr="00092862">
        <w:rPr>
          <w:rFonts w:ascii="Times New Roman" w:eastAsia="宋体" w:hAnsi="Times New Roman" w:cs="Times New Roman"/>
          <w:bCs/>
          <w:color w:val="000000" w:themeColor="text1"/>
          <w:sz w:val="24"/>
        </w:rPr>
        <w:t>）生活污水</w:t>
      </w:r>
    </w:p>
    <w:p w14:paraId="5ACEEFF8" w14:textId="117C4D30" w:rsidR="00743C86" w:rsidRPr="00092862" w:rsidRDefault="003C3238" w:rsidP="002A22C3">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老君</w:t>
      </w:r>
      <w:r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002A22C3" w:rsidRPr="00092862">
        <w:rPr>
          <w:rFonts w:ascii="Times New Roman" w:eastAsia="宋体" w:hAnsi="Times New Roman" w:cs="Times New Roman"/>
          <w:bCs/>
          <w:color w:val="000000" w:themeColor="text1"/>
          <w:sz w:val="24"/>
        </w:rPr>
        <w:t>定员为</w:t>
      </w:r>
      <w:r w:rsidR="00FB1FFA" w:rsidRPr="00092862">
        <w:rPr>
          <w:rFonts w:ascii="Times New Roman" w:eastAsia="宋体" w:hAnsi="Times New Roman" w:cs="Times New Roman"/>
          <w:bCs/>
          <w:color w:val="000000" w:themeColor="text1"/>
          <w:sz w:val="24"/>
        </w:rPr>
        <w:t>6</w:t>
      </w:r>
      <w:r w:rsidR="002A22C3" w:rsidRPr="00092862">
        <w:rPr>
          <w:rFonts w:ascii="Times New Roman" w:eastAsia="宋体" w:hAnsi="Times New Roman" w:cs="Times New Roman"/>
          <w:bCs/>
          <w:color w:val="000000" w:themeColor="text1"/>
          <w:sz w:val="24"/>
        </w:rPr>
        <w:t>人</w:t>
      </w:r>
      <w:r w:rsidR="00B14DEB" w:rsidRPr="00092862">
        <w:rPr>
          <w:rFonts w:ascii="Times New Roman" w:eastAsia="宋体" w:hAnsi="Times New Roman" w:cs="Times New Roman"/>
          <w:bCs/>
          <w:color w:val="000000" w:themeColor="text1"/>
          <w:sz w:val="24"/>
        </w:rPr>
        <w:t>，</w:t>
      </w:r>
      <w:r w:rsidR="002A22C3" w:rsidRPr="00092862">
        <w:rPr>
          <w:rFonts w:ascii="Times New Roman" w:eastAsia="宋体" w:hAnsi="Times New Roman" w:cs="Times New Roman"/>
          <w:bCs/>
          <w:color w:val="000000" w:themeColor="text1"/>
          <w:sz w:val="24"/>
        </w:rPr>
        <w:t>本项目依托</w:t>
      </w:r>
      <w:r w:rsidRPr="00092862">
        <w:rPr>
          <w:rFonts w:ascii="Times New Roman" w:eastAsia="宋体" w:hAnsi="Times New Roman" w:cs="Times New Roman"/>
          <w:bCs/>
          <w:color w:val="000000" w:themeColor="text1"/>
          <w:sz w:val="24"/>
        </w:rPr>
        <w:t>老君</w:t>
      </w:r>
      <w:r w:rsidRPr="00092862">
        <w:rPr>
          <w:rFonts w:ascii="Times New Roman" w:eastAsia="宋体" w:hAnsi="Times New Roman" w:cs="Times New Roman"/>
          <w:bCs/>
          <w:color w:val="000000" w:themeColor="text1"/>
          <w:sz w:val="24"/>
        </w:rPr>
        <w:t>701</w:t>
      </w:r>
      <w:r w:rsidR="002A22C3" w:rsidRPr="00092862">
        <w:rPr>
          <w:rFonts w:ascii="Times New Roman" w:eastAsia="宋体" w:hAnsi="Times New Roman" w:cs="Times New Roman"/>
          <w:bCs/>
          <w:color w:val="000000" w:themeColor="text1"/>
          <w:sz w:val="24"/>
        </w:rPr>
        <w:t>集气站工作人员不新增，因此无新增生活污水产生</w:t>
      </w:r>
      <w:r w:rsidR="00B14DEB" w:rsidRPr="00092862">
        <w:rPr>
          <w:rFonts w:ascii="Times New Roman" w:eastAsia="宋体" w:hAnsi="Times New Roman" w:cs="Times New Roman"/>
          <w:bCs/>
          <w:color w:val="000000" w:themeColor="text1"/>
          <w:sz w:val="24"/>
        </w:rPr>
        <w:t>。</w:t>
      </w:r>
      <w:r w:rsidR="002A22C3" w:rsidRPr="00092862">
        <w:rPr>
          <w:rFonts w:ascii="Times New Roman" w:eastAsia="宋体" w:hAnsi="Times New Roman" w:cs="Times New Roman"/>
          <w:bCs/>
          <w:color w:val="000000" w:themeColor="text1"/>
          <w:sz w:val="24"/>
        </w:rPr>
        <w:t>根据《</w:t>
      </w:r>
      <w:r w:rsidR="008A7A52" w:rsidRPr="00092862">
        <w:rPr>
          <w:rFonts w:ascii="Times New Roman" w:eastAsia="宋体" w:hAnsi="Times New Roman" w:cs="Times New Roman"/>
          <w:color w:val="000000" w:themeColor="text1"/>
          <w:sz w:val="24"/>
          <w:szCs w:val="24"/>
        </w:rPr>
        <w:t>普光气田老君</w:t>
      </w:r>
      <w:r w:rsidR="008A7A52" w:rsidRPr="00092862">
        <w:rPr>
          <w:rFonts w:ascii="Times New Roman" w:eastAsia="宋体" w:hAnsi="Times New Roman" w:cs="Times New Roman"/>
          <w:color w:val="000000" w:themeColor="text1"/>
          <w:sz w:val="24"/>
          <w:szCs w:val="24"/>
        </w:rPr>
        <w:t xml:space="preserve"> 701 </w:t>
      </w:r>
      <w:r w:rsidR="008A7A52" w:rsidRPr="00092862">
        <w:rPr>
          <w:rFonts w:ascii="Times New Roman" w:eastAsia="宋体" w:hAnsi="Times New Roman" w:cs="Times New Roman"/>
          <w:color w:val="000000" w:themeColor="text1"/>
          <w:sz w:val="24"/>
          <w:szCs w:val="24"/>
        </w:rPr>
        <w:t>井台产能建设项目</w:t>
      </w:r>
      <w:r w:rsidR="002A22C3" w:rsidRPr="00092862">
        <w:rPr>
          <w:rFonts w:ascii="Times New Roman" w:eastAsia="宋体" w:hAnsi="Times New Roman" w:cs="Times New Roman"/>
          <w:color w:val="000000" w:themeColor="text1"/>
          <w:sz w:val="24"/>
          <w:szCs w:val="24"/>
        </w:rPr>
        <w:t>环境影响报告书</w:t>
      </w:r>
      <w:r w:rsidR="002A22C3" w:rsidRPr="00092862">
        <w:rPr>
          <w:rFonts w:ascii="Times New Roman" w:eastAsia="宋体" w:hAnsi="Times New Roman" w:cs="Times New Roman"/>
          <w:bCs/>
          <w:color w:val="000000" w:themeColor="text1"/>
          <w:sz w:val="24"/>
        </w:rPr>
        <w:t>》可知</w:t>
      </w:r>
      <w:r w:rsidRPr="00092862">
        <w:rPr>
          <w:rFonts w:ascii="Times New Roman" w:eastAsia="宋体" w:hAnsi="Times New Roman" w:cs="Times New Roman"/>
          <w:bCs/>
          <w:color w:val="000000" w:themeColor="text1"/>
          <w:sz w:val="24"/>
        </w:rPr>
        <w:t>老君</w:t>
      </w:r>
      <w:r w:rsidRPr="00092862">
        <w:rPr>
          <w:rFonts w:ascii="Times New Roman" w:eastAsia="宋体" w:hAnsi="Times New Roman" w:cs="Times New Roman"/>
          <w:bCs/>
          <w:color w:val="000000" w:themeColor="text1"/>
          <w:sz w:val="24"/>
        </w:rPr>
        <w:t>701</w:t>
      </w:r>
      <w:r w:rsidR="002A22C3" w:rsidRPr="00092862">
        <w:rPr>
          <w:rFonts w:ascii="Times New Roman" w:eastAsia="宋体" w:hAnsi="Times New Roman" w:cs="Times New Roman"/>
          <w:bCs/>
          <w:color w:val="000000" w:themeColor="text1"/>
          <w:sz w:val="24"/>
        </w:rPr>
        <w:t>集气站生活污水产生量为</w:t>
      </w:r>
      <w:r w:rsidR="002A22C3" w:rsidRPr="00092862">
        <w:rPr>
          <w:rFonts w:ascii="Times New Roman" w:eastAsia="宋体" w:hAnsi="Times New Roman" w:cs="Times New Roman"/>
          <w:bCs/>
          <w:color w:val="000000" w:themeColor="text1"/>
          <w:sz w:val="24"/>
        </w:rPr>
        <w:t>0.</w:t>
      </w:r>
      <w:r w:rsidR="00FB1FFA" w:rsidRPr="00092862">
        <w:rPr>
          <w:rFonts w:ascii="Times New Roman" w:eastAsia="宋体" w:hAnsi="Times New Roman" w:cs="Times New Roman"/>
          <w:bCs/>
          <w:color w:val="000000" w:themeColor="text1"/>
          <w:sz w:val="24"/>
        </w:rPr>
        <w:t>72</w:t>
      </w:r>
      <w:r w:rsidR="002A22C3" w:rsidRPr="00092862">
        <w:rPr>
          <w:rFonts w:ascii="Times New Roman" w:eastAsia="宋体" w:hAnsi="Times New Roman" w:cs="Times New Roman"/>
          <w:bCs/>
          <w:color w:val="000000" w:themeColor="text1"/>
          <w:sz w:val="24"/>
        </w:rPr>
        <w:t>m</w:t>
      </w:r>
      <w:r w:rsidR="002A22C3" w:rsidRPr="00092862">
        <w:rPr>
          <w:rFonts w:ascii="Times New Roman" w:eastAsia="宋体" w:hAnsi="Times New Roman" w:cs="Times New Roman"/>
          <w:bCs/>
          <w:color w:val="000000" w:themeColor="text1"/>
          <w:sz w:val="24"/>
          <w:vertAlign w:val="superscript"/>
        </w:rPr>
        <w:t>3</w:t>
      </w:r>
      <w:r w:rsidR="002A22C3" w:rsidRPr="00092862">
        <w:rPr>
          <w:rFonts w:ascii="Times New Roman" w:eastAsia="宋体" w:hAnsi="Times New Roman" w:cs="Times New Roman"/>
          <w:bCs/>
          <w:color w:val="000000" w:themeColor="text1"/>
          <w:sz w:val="24"/>
        </w:rPr>
        <w:t>/d</w:t>
      </w:r>
      <w:r w:rsidR="002A22C3" w:rsidRPr="00092862">
        <w:rPr>
          <w:rFonts w:ascii="Times New Roman" w:eastAsia="宋体" w:hAnsi="Times New Roman" w:cs="Times New Roman"/>
          <w:bCs/>
          <w:color w:val="000000" w:themeColor="text1"/>
          <w:sz w:val="24"/>
        </w:rPr>
        <w:t>（</w:t>
      </w:r>
      <w:r w:rsidR="00FB1FFA" w:rsidRPr="00092862">
        <w:rPr>
          <w:rFonts w:ascii="Times New Roman" w:eastAsia="宋体" w:hAnsi="Times New Roman" w:cs="Times New Roman"/>
          <w:bCs/>
          <w:color w:val="000000" w:themeColor="text1"/>
          <w:sz w:val="24"/>
        </w:rPr>
        <w:t>262.8</w:t>
      </w:r>
      <w:r w:rsidR="002A22C3" w:rsidRPr="00092862">
        <w:rPr>
          <w:rFonts w:ascii="Times New Roman" w:eastAsia="宋体" w:hAnsi="Times New Roman" w:cs="Times New Roman"/>
          <w:bCs/>
          <w:color w:val="000000" w:themeColor="text1"/>
          <w:sz w:val="24"/>
        </w:rPr>
        <w:t>m</w:t>
      </w:r>
      <w:r w:rsidR="002A22C3" w:rsidRPr="00092862">
        <w:rPr>
          <w:rFonts w:ascii="Times New Roman" w:eastAsia="宋体" w:hAnsi="Times New Roman" w:cs="Times New Roman"/>
          <w:bCs/>
          <w:color w:val="000000" w:themeColor="text1"/>
          <w:sz w:val="24"/>
          <w:vertAlign w:val="superscript"/>
        </w:rPr>
        <w:t>3</w:t>
      </w:r>
      <w:r w:rsidR="002A22C3" w:rsidRPr="00092862">
        <w:rPr>
          <w:rFonts w:ascii="Times New Roman" w:eastAsia="宋体" w:hAnsi="Times New Roman" w:cs="Times New Roman"/>
          <w:bCs/>
          <w:color w:val="000000" w:themeColor="text1"/>
          <w:sz w:val="24"/>
        </w:rPr>
        <w:t>/a</w:t>
      </w:r>
      <w:r w:rsidR="002A22C3" w:rsidRPr="00092862">
        <w:rPr>
          <w:rFonts w:ascii="Times New Roman" w:eastAsia="宋体" w:hAnsi="Times New Roman" w:cs="Times New Roman"/>
          <w:bCs/>
          <w:color w:val="000000" w:themeColor="text1"/>
          <w:sz w:val="24"/>
        </w:rPr>
        <w:t>）。其中，</w:t>
      </w:r>
      <w:r w:rsidR="002A22C3" w:rsidRPr="00092862">
        <w:rPr>
          <w:rFonts w:ascii="Times New Roman" w:eastAsia="宋体" w:hAnsi="Times New Roman" w:cs="Times New Roman"/>
          <w:bCs/>
          <w:color w:val="000000" w:themeColor="text1"/>
          <w:sz w:val="24"/>
        </w:rPr>
        <w:t>BOD</w:t>
      </w:r>
      <w:r w:rsidR="002A22C3" w:rsidRPr="00092862">
        <w:rPr>
          <w:rFonts w:ascii="Times New Roman" w:eastAsia="宋体" w:hAnsi="Times New Roman" w:cs="Times New Roman"/>
          <w:bCs/>
          <w:color w:val="000000" w:themeColor="text1"/>
          <w:sz w:val="24"/>
          <w:vertAlign w:val="subscript"/>
        </w:rPr>
        <w:t>5</w:t>
      </w:r>
      <w:r w:rsidR="002A22C3" w:rsidRPr="00092862">
        <w:rPr>
          <w:rFonts w:ascii="Times New Roman" w:eastAsia="宋体" w:hAnsi="Times New Roman" w:cs="Times New Roman"/>
          <w:bCs/>
          <w:color w:val="000000" w:themeColor="text1"/>
          <w:sz w:val="24"/>
        </w:rPr>
        <w:t>约为</w:t>
      </w:r>
      <w:r w:rsidR="002A22C3" w:rsidRPr="00092862">
        <w:rPr>
          <w:rFonts w:ascii="Times New Roman" w:eastAsia="宋体" w:hAnsi="Times New Roman" w:cs="Times New Roman"/>
          <w:bCs/>
          <w:color w:val="000000" w:themeColor="text1"/>
          <w:sz w:val="24"/>
        </w:rPr>
        <w:t>150mg/L</w:t>
      </w:r>
      <w:r w:rsidR="002A22C3" w:rsidRPr="00092862">
        <w:rPr>
          <w:rFonts w:ascii="Times New Roman" w:eastAsia="宋体" w:hAnsi="Times New Roman" w:cs="Times New Roman"/>
          <w:bCs/>
          <w:color w:val="000000" w:themeColor="text1"/>
          <w:sz w:val="24"/>
        </w:rPr>
        <w:t>，</w:t>
      </w:r>
      <w:r w:rsidR="002A22C3" w:rsidRPr="00092862">
        <w:rPr>
          <w:rFonts w:ascii="Times New Roman" w:eastAsia="宋体" w:hAnsi="Times New Roman" w:cs="Times New Roman"/>
          <w:bCs/>
          <w:color w:val="000000" w:themeColor="text1"/>
          <w:sz w:val="24"/>
        </w:rPr>
        <w:t>COD</w:t>
      </w:r>
      <w:r w:rsidR="002A22C3" w:rsidRPr="00092862">
        <w:rPr>
          <w:rFonts w:ascii="Times New Roman" w:eastAsia="宋体" w:hAnsi="Times New Roman" w:cs="Times New Roman"/>
          <w:bCs/>
          <w:color w:val="000000" w:themeColor="text1"/>
          <w:sz w:val="24"/>
        </w:rPr>
        <w:t>约为</w:t>
      </w:r>
      <w:r w:rsidR="002A22C3" w:rsidRPr="00092862">
        <w:rPr>
          <w:rFonts w:ascii="Times New Roman" w:eastAsia="宋体" w:hAnsi="Times New Roman" w:cs="Times New Roman"/>
          <w:bCs/>
          <w:color w:val="000000" w:themeColor="text1"/>
          <w:sz w:val="24"/>
        </w:rPr>
        <w:t>400mg/L</w:t>
      </w:r>
      <w:r w:rsidR="002A22C3" w:rsidRPr="00092862">
        <w:rPr>
          <w:rFonts w:ascii="Times New Roman" w:eastAsia="宋体" w:hAnsi="Times New Roman" w:cs="Times New Roman"/>
          <w:bCs/>
          <w:color w:val="000000" w:themeColor="text1"/>
          <w:sz w:val="24"/>
        </w:rPr>
        <w:t>。</w:t>
      </w:r>
      <w:r w:rsidR="00271DF7" w:rsidRPr="00092862">
        <w:rPr>
          <w:rFonts w:ascii="Times New Roman" w:eastAsia="宋体" w:hAnsi="Times New Roman" w:cs="Times New Roman"/>
          <w:bCs/>
          <w:color w:val="000000" w:themeColor="text1"/>
          <w:sz w:val="24"/>
        </w:rPr>
        <w:t>试采期工作人员生活污水经站场化粪池处理后定期由密闭罐车拉运至周边生活污水处理厂处理</w:t>
      </w:r>
      <w:r w:rsidR="007F209A" w:rsidRPr="00092862">
        <w:rPr>
          <w:rFonts w:ascii="Times New Roman" w:eastAsia="宋体" w:hAnsi="Times New Roman" w:cs="Times New Roman"/>
          <w:bCs/>
          <w:color w:val="000000" w:themeColor="text1"/>
          <w:sz w:val="24"/>
        </w:rPr>
        <w:t>。</w:t>
      </w:r>
    </w:p>
    <w:p w14:paraId="4FD8DA3B" w14:textId="45B32916" w:rsidR="00963B72"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3.4.2.3</w:t>
      </w:r>
      <w:r w:rsidR="00963B72" w:rsidRPr="00092862">
        <w:rPr>
          <w:rFonts w:ascii="Times New Roman" w:eastAsia="宋体" w:hAnsi="Times New Roman" w:cs="Times New Roman"/>
          <w:b/>
          <w:color w:val="000000" w:themeColor="text1"/>
          <w:sz w:val="24"/>
        </w:rPr>
        <w:t>噪声</w:t>
      </w:r>
    </w:p>
    <w:p w14:paraId="4D38DACE" w14:textId="2F86370C" w:rsidR="00963B72" w:rsidRPr="00092862" w:rsidRDefault="00120C33" w:rsidP="00CA7777">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lastRenderedPageBreak/>
        <w:t>本项目依托</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Pr="00092862">
        <w:rPr>
          <w:rFonts w:ascii="Times New Roman" w:eastAsia="宋体" w:hAnsi="Times New Roman" w:cs="Times New Roman"/>
          <w:bCs/>
          <w:color w:val="000000" w:themeColor="text1"/>
          <w:sz w:val="24"/>
        </w:rPr>
        <w:t>集气站已建工艺流程进行生产，仅将甲醇加注撬更换为乙二醇加注撬，乙二醇加注撬</w:t>
      </w:r>
      <w:r w:rsidR="007D7009" w:rsidRPr="00092862">
        <w:rPr>
          <w:rFonts w:ascii="Times New Roman" w:eastAsia="宋体" w:hAnsi="Times New Roman" w:cs="Times New Roman"/>
          <w:bCs/>
          <w:color w:val="000000" w:themeColor="text1"/>
          <w:sz w:val="24"/>
        </w:rPr>
        <w:t>与甲醇加注撬</w:t>
      </w:r>
      <w:r w:rsidRPr="00092862">
        <w:rPr>
          <w:rFonts w:ascii="Times New Roman" w:eastAsia="宋体" w:hAnsi="Times New Roman" w:cs="Times New Roman"/>
          <w:bCs/>
          <w:color w:val="000000" w:themeColor="text1"/>
          <w:sz w:val="24"/>
        </w:rPr>
        <w:t>运行</w:t>
      </w:r>
      <w:r w:rsidR="007D7009" w:rsidRPr="00092862">
        <w:rPr>
          <w:rFonts w:ascii="Times New Roman" w:eastAsia="宋体" w:hAnsi="Times New Roman" w:cs="Times New Roman"/>
          <w:bCs/>
          <w:color w:val="000000" w:themeColor="text1"/>
          <w:sz w:val="24"/>
        </w:rPr>
        <w:t>噪声基本一致，</w:t>
      </w:r>
      <w:r w:rsidR="007D7009" w:rsidRPr="00092862">
        <w:rPr>
          <w:rFonts w:ascii="Times New Roman" w:eastAsia="宋体" w:hAnsi="Times New Roman" w:cs="Times New Roman"/>
          <w:color w:val="000000" w:themeColor="text1"/>
          <w:sz w:val="24"/>
        </w:rPr>
        <w:t>超声波流量计运行时基本无噪声产生</w:t>
      </w:r>
      <w:r w:rsidRPr="00092862">
        <w:rPr>
          <w:rFonts w:ascii="Times New Roman" w:eastAsia="宋体" w:hAnsi="Times New Roman" w:cs="Times New Roman"/>
          <w:bCs/>
          <w:color w:val="000000" w:themeColor="text1"/>
          <w:sz w:val="24"/>
        </w:rPr>
        <w:t>。因此本项目的运营基本无新增噪声源产生。集气站</w:t>
      </w:r>
      <w:r w:rsidR="00963B72" w:rsidRPr="00092862">
        <w:rPr>
          <w:rFonts w:ascii="Times New Roman" w:eastAsia="宋体" w:hAnsi="Times New Roman" w:cs="Times New Roman"/>
          <w:bCs/>
          <w:color w:val="000000" w:themeColor="text1"/>
          <w:sz w:val="24"/>
        </w:rPr>
        <w:t>噪声主要来自水套加热炉和分离器等设备的气流摩擦噪声，气流摩擦噪声大小与天然气产量及气质组分有关。通过大量钻井项目的</w:t>
      </w:r>
      <w:r w:rsidR="00CF3E31" w:rsidRPr="00092862">
        <w:rPr>
          <w:rFonts w:ascii="Times New Roman" w:eastAsia="宋体" w:hAnsi="Times New Roman" w:cs="Times New Roman"/>
          <w:bCs/>
          <w:color w:val="000000" w:themeColor="text1"/>
          <w:sz w:val="24"/>
        </w:rPr>
        <w:t>试采</w:t>
      </w:r>
      <w:r w:rsidR="00963B72" w:rsidRPr="00092862">
        <w:rPr>
          <w:rFonts w:ascii="Times New Roman" w:eastAsia="宋体" w:hAnsi="Times New Roman" w:cs="Times New Roman"/>
          <w:bCs/>
          <w:color w:val="000000" w:themeColor="text1"/>
          <w:sz w:val="24"/>
        </w:rPr>
        <w:t>期气流噪声源类比调查结果，预计本项目</w:t>
      </w:r>
      <w:r w:rsidR="00CF3E31" w:rsidRPr="00092862">
        <w:rPr>
          <w:rFonts w:ascii="Times New Roman" w:eastAsia="宋体" w:hAnsi="Times New Roman" w:cs="Times New Roman"/>
          <w:bCs/>
          <w:color w:val="000000" w:themeColor="text1"/>
          <w:sz w:val="24"/>
        </w:rPr>
        <w:t>试采</w:t>
      </w:r>
      <w:r w:rsidR="00963B72" w:rsidRPr="00092862">
        <w:rPr>
          <w:rFonts w:ascii="Times New Roman" w:eastAsia="宋体" w:hAnsi="Times New Roman" w:cs="Times New Roman"/>
          <w:bCs/>
          <w:color w:val="000000" w:themeColor="text1"/>
          <w:sz w:val="24"/>
        </w:rPr>
        <w:t>期单井噪声级约</w:t>
      </w:r>
      <w:r w:rsidR="00963B72" w:rsidRPr="00092862">
        <w:rPr>
          <w:rFonts w:ascii="Times New Roman" w:eastAsia="宋体" w:hAnsi="Times New Roman" w:cs="Times New Roman"/>
          <w:bCs/>
          <w:color w:val="000000" w:themeColor="text1"/>
          <w:sz w:val="24"/>
        </w:rPr>
        <w:t>60dB</w:t>
      </w:r>
      <w:r w:rsidR="00963B72" w:rsidRPr="00092862">
        <w:rPr>
          <w:rFonts w:ascii="Times New Roman" w:eastAsia="宋体" w:hAnsi="Times New Roman" w:cs="Times New Roman"/>
          <w:bCs/>
          <w:color w:val="000000" w:themeColor="text1"/>
          <w:sz w:val="24"/>
        </w:rPr>
        <w:t>（</w:t>
      </w:r>
      <w:r w:rsidR="00963B72" w:rsidRPr="00092862">
        <w:rPr>
          <w:rFonts w:ascii="Times New Roman" w:eastAsia="宋体" w:hAnsi="Times New Roman" w:cs="Times New Roman"/>
          <w:bCs/>
          <w:color w:val="000000" w:themeColor="text1"/>
          <w:sz w:val="24"/>
        </w:rPr>
        <w:t>A</w:t>
      </w:r>
      <w:r w:rsidR="00963B72" w:rsidRPr="00092862">
        <w:rPr>
          <w:rFonts w:ascii="Times New Roman" w:eastAsia="宋体" w:hAnsi="Times New Roman" w:cs="Times New Roman"/>
          <w:bCs/>
          <w:color w:val="000000" w:themeColor="text1"/>
          <w:sz w:val="24"/>
        </w:rPr>
        <w:t>）。为有效控制噪声，首先在平面布置时进行合理布局，控制气流速度，减少站场工艺管线的弯头、三通等管件，降低</w:t>
      </w:r>
      <w:r w:rsidR="00F30AFD" w:rsidRPr="00092862">
        <w:rPr>
          <w:rFonts w:ascii="Times New Roman" w:eastAsia="宋体" w:hAnsi="Times New Roman" w:cs="Times New Roman"/>
          <w:bCs/>
          <w:color w:val="000000" w:themeColor="text1"/>
          <w:sz w:val="24"/>
        </w:rPr>
        <w:t>集气站</w:t>
      </w:r>
      <w:r w:rsidR="00963B72" w:rsidRPr="00092862">
        <w:rPr>
          <w:rFonts w:ascii="Times New Roman" w:eastAsia="宋体" w:hAnsi="Times New Roman" w:cs="Times New Roman"/>
          <w:bCs/>
          <w:color w:val="000000" w:themeColor="text1"/>
          <w:sz w:val="24"/>
        </w:rPr>
        <w:t>内噪声；其次，选用高效低噪声的</w:t>
      </w:r>
      <w:r w:rsidR="00C26134" w:rsidRPr="00092862">
        <w:rPr>
          <w:rFonts w:ascii="Times New Roman" w:eastAsia="宋体" w:hAnsi="Times New Roman" w:cs="Times New Roman"/>
          <w:bCs/>
          <w:color w:val="000000" w:themeColor="text1"/>
          <w:sz w:val="24"/>
        </w:rPr>
        <w:t>水套加热炉</w:t>
      </w:r>
      <w:r w:rsidR="00963B72" w:rsidRPr="00092862">
        <w:rPr>
          <w:rFonts w:ascii="Times New Roman" w:eastAsia="宋体" w:hAnsi="Times New Roman" w:cs="Times New Roman"/>
          <w:bCs/>
          <w:color w:val="000000" w:themeColor="text1"/>
          <w:sz w:val="24"/>
        </w:rPr>
        <w:t>、分离器和调压设备。通过采取这些噪声控制措施后，单井噪声源的声级值约</w:t>
      </w:r>
      <w:r w:rsidR="00963B72" w:rsidRPr="00092862">
        <w:rPr>
          <w:rFonts w:ascii="Times New Roman" w:eastAsia="宋体" w:hAnsi="Times New Roman" w:cs="Times New Roman"/>
          <w:bCs/>
          <w:color w:val="000000" w:themeColor="text1"/>
          <w:sz w:val="24"/>
        </w:rPr>
        <w:t>55dB</w:t>
      </w:r>
      <w:r w:rsidR="00963B72" w:rsidRPr="00092862">
        <w:rPr>
          <w:rFonts w:ascii="Times New Roman" w:eastAsia="宋体" w:hAnsi="Times New Roman" w:cs="Times New Roman"/>
          <w:bCs/>
          <w:color w:val="000000" w:themeColor="text1"/>
          <w:sz w:val="24"/>
        </w:rPr>
        <w:t>（</w:t>
      </w:r>
      <w:r w:rsidR="00963B72" w:rsidRPr="00092862">
        <w:rPr>
          <w:rFonts w:ascii="Times New Roman" w:eastAsia="宋体" w:hAnsi="Times New Roman" w:cs="Times New Roman"/>
          <w:bCs/>
          <w:color w:val="000000" w:themeColor="text1"/>
          <w:sz w:val="24"/>
        </w:rPr>
        <w:t>A</w:t>
      </w:r>
      <w:r w:rsidR="00963B72" w:rsidRPr="00092862">
        <w:rPr>
          <w:rFonts w:ascii="Times New Roman" w:eastAsia="宋体" w:hAnsi="Times New Roman" w:cs="Times New Roman"/>
          <w:bCs/>
          <w:color w:val="000000" w:themeColor="text1"/>
          <w:sz w:val="24"/>
        </w:rPr>
        <w:t>）以下。</w:t>
      </w:r>
      <w:r w:rsidRPr="00092862">
        <w:rPr>
          <w:rFonts w:ascii="Times New Roman" w:eastAsia="宋体" w:hAnsi="Times New Roman" w:cs="Times New Roman"/>
          <w:bCs/>
          <w:color w:val="000000" w:themeColor="text1"/>
          <w:sz w:val="24"/>
        </w:rPr>
        <w:t>放空火炬</w:t>
      </w:r>
      <w:r w:rsidR="00963B72" w:rsidRPr="00092862">
        <w:rPr>
          <w:rFonts w:ascii="Times New Roman" w:eastAsia="宋体" w:hAnsi="Times New Roman" w:cs="Times New Roman"/>
          <w:bCs/>
          <w:color w:val="000000" w:themeColor="text1"/>
          <w:sz w:val="24"/>
        </w:rPr>
        <w:t>燃烧产生的噪声较强，</w:t>
      </w:r>
      <w:r w:rsidRPr="00092862">
        <w:rPr>
          <w:rFonts w:ascii="Times New Roman" w:eastAsia="宋体" w:hAnsi="Times New Roman" w:cs="Times New Roman"/>
          <w:bCs/>
          <w:color w:val="000000" w:themeColor="text1"/>
          <w:sz w:val="24"/>
        </w:rPr>
        <w:t>在</w:t>
      </w:r>
      <w:r w:rsidRPr="00092862">
        <w:rPr>
          <w:rFonts w:ascii="Times New Roman" w:eastAsia="宋体" w:hAnsi="Times New Roman" w:cs="Times New Roman"/>
          <w:bCs/>
          <w:color w:val="000000" w:themeColor="text1"/>
          <w:sz w:val="24"/>
        </w:rPr>
        <w:t>100</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110dB</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）之间，</w:t>
      </w:r>
      <w:r w:rsidR="00513FCE" w:rsidRPr="00092862">
        <w:rPr>
          <w:rFonts w:ascii="Times New Roman" w:eastAsia="宋体" w:hAnsi="Times New Roman" w:cs="Times New Roman"/>
          <w:bCs/>
          <w:color w:val="000000" w:themeColor="text1"/>
          <w:sz w:val="24"/>
        </w:rPr>
        <w:t>通过距离衰减与树林隔声降低对外环境的影响</w:t>
      </w:r>
      <w:r w:rsidR="003F4515" w:rsidRPr="00092862">
        <w:rPr>
          <w:rFonts w:ascii="Times New Roman" w:eastAsia="宋体" w:hAnsi="Times New Roman" w:cs="Times New Roman"/>
          <w:bCs/>
          <w:color w:val="000000" w:themeColor="text1"/>
          <w:sz w:val="24"/>
        </w:rPr>
        <w:t>。</w:t>
      </w:r>
    </w:p>
    <w:p w14:paraId="192EF4B8" w14:textId="64322844" w:rsidR="00963B72"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3.4.2.4</w:t>
      </w:r>
      <w:r w:rsidR="00963B72" w:rsidRPr="00092862">
        <w:rPr>
          <w:rFonts w:ascii="Times New Roman" w:eastAsia="宋体" w:hAnsi="Times New Roman" w:cs="Times New Roman"/>
          <w:b/>
          <w:color w:val="000000" w:themeColor="text1"/>
          <w:sz w:val="24"/>
        </w:rPr>
        <w:t>固废</w:t>
      </w:r>
    </w:p>
    <w:p w14:paraId="05357AB2" w14:textId="2DD8ED3D" w:rsidR="00A34229" w:rsidRPr="00092862" w:rsidRDefault="00120C33" w:rsidP="00120C3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rPr>
        <w:t>本项目依托</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Pr="00092862">
        <w:rPr>
          <w:rFonts w:ascii="Times New Roman" w:eastAsia="宋体" w:hAnsi="Times New Roman" w:cs="Times New Roman"/>
          <w:bCs/>
          <w:color w:val="000000" w:themeColor="text1"/>
          <w:sz w:val="24"/>
        </w:rPr>
        <w:t>集气站</w:t>
      </w:r>
      <w:r w:rsidR="00FB1FFA" w:rsidRPr="00092862">
        <w:rPr>
          <w:rFonts w:ascii="Times New Roman" w:eastAsia="宋体" w:hAnsi="Times New Roman" w:cs="Times New Roman"/>
          <w:bCs/>
          <w:color w:val="000000" w:themeColor="text1"/>
          <w:sz w:val="24"/>
        </w:rPr>
        <w:t>已建</w:t>
      </w:r>
      <w:r w:rsidRPr="00092862">
        <w:rPr>
          <w:rFonts w:ascii="Times New Roman" w:eastAsia="宋体" w:hAnsi="Times New Roman" w:cs="Times New Roman"/>
          <w:bCs/>
          <w:color w:val="000000" w:themeColor="text1"/>
          <w:sz w:val="24"/>
        </w:rPr>
        <w:t>工艺流程进行生产，外输管线依托</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Pr="00092862">
        <w:rPr>
          <w:rFonts w:ascii="Times New Roman" w:eastAsia="宋体" w:hAnsi="Times New Roman" w:cs="Times New Roman"/>
          <w:bCs/>
          <w:color w:val="000000" w:themeColor="text1"/>
          <w:sz w:val="24"/>
        </w:rPr>
        <w:t>集气站外输管线，因此本项目不新增</w:t>
      </w:r>
      <w:r w:rsidRPr="00092862">
        <w:rPr>
          <w:rFonts w:ascii="Times New Roman" w:eastAsia="宋体" w:hAnsi="Times New Roman" w:cs="Times New Roman"/>
          <w:color w:val="000000" w:themeColor="text1"/>
          <w:sz w:val="24"/>
          <w:szCs w:val="24"/>
        </w:rPr>
        <w:t>清管废渣与生活垃圾。</w:t>
      </w:r>
    </w:p>
    <w:p w14:paraId="031B9799" w14:textId="2BAAC5D6" w:rsidR="00963B72" w:rsidRPr="00092862" w:rsidRDefault="00A34229" w:rsidP="00120C3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w:t>
      </w:r>
      <w:r w:rsidR="00FB1FFA" w:rsidRPr="00092862">
        <w:rPr>
          <w:rFonts w:ascii="Times New Roman" w:eastAsia="宋体" w:hAnsi="Times New Roman" w:cs="Times New Roman"/>
          <w:color w:val="000000" w:themeColor="text1"/>
          <w:sz w:val="24"/>
          <w:szCs w:val="24"/>
        </w:rPr>
        <w:t>普光气田老君</w:t>
      </w:r>
      <w:r w:rsidR="00FB1FFA" w:rsidRPr="00092862">
        <w:rPr>
          <w:rFonts w:ascii="Times New Roman" w:eastAsia="宋体" w:hAnsi="Times New Roman" w:cs="Times New Roman"/>
          <w:color w:val="000000" w:themeColor="text1"/>
          <w:sz w:val="24"/>
          <w:szCs w:val="24"/>
        </w:rPr>
        <w:t xml:space="preserve"> 701 </w:t>
      </w:r>
      <w:r w:rsidR="00FB1FFA" w:rsidRPr="00092862">
        <w:rPr>
          <w:rFonts w:ascii="Times New Roman" w:eastAsia="宋体" w:hAnsi="Times New Roman" w:cs="Times New Roman"/>
          <w:color w:val="000000" w:themeColor="text1"/>
          <w:sz w:val="24"/>
          <w:szCs w:val="24"/>
        </w:rPr>
        <w:t>井台产能建设项目环境影响报告书</w:t>
      </w:r>
      <w:r w:rsidRPr="00092862">
        <w:rPr>
          <w:rFonts w:ascii="Times New Roman" w:eastAsia="宋体" w:hAnsi="Times New Roman" w:cs="Times New Roman"/>
          <w:color w:val="000000" w:themeColor="text1"/>
          <w:sz w:val="24"/>
          <w:szCs w:val="24"/>
        </w:rPr>
        <w:t>环境影响报告书》可知：</w:t>
      </w:r>
      <w:r w:rsidR="00FB1FFA" w:rsidRPr="00092862">
        <w:rPr>
          <w:rFonts w:ascii="Times New Roman" w:eastAsia="宋体" w:hAnsi="Times New Roman" w:cs="Times New Roman"/>
          <w:color w:val="000000" w:themeColor="text1"/>
          <w:sz w:val="24"/>
          <w:szCs w:val="24"/>
        </w:rPr>
        <w:t>老君</w:t>
      </w:r>
      <w:r w:rsidR="00FB1FFA" w:rsidRPr="00092862">
        <w:rPr>
          <w:rFonts w:ascii="Times New Roman" w:eastAsia="宋体" w:hAnsi="Times New Roman" w:cs="Times New Roman"/>
          <w:color w:val="000000" w:themeColor="text1"/>
          <w:sz w:val="24"/>
          <w:szCs w:val="24"/>
        </w:rPr>
        <w:t>701</w:t>
      </w:r>
      <w:r w:rsidR="00FB1FFA" w:rsidRPr="00092862">
        <w:rPr>
          <w:rFonts w:ascii="Times New Roman" w:eastAsia="宋体" w:hAnsi="Times New Roman" w:cs="Times New Roman"/>
          <w:color w:val="000000" w:themeColor="text1"/>
          <w:sz w:val="24"/>
          <w:szCs w:val="24"/>
        </w:rPr>
        <w:t>集气站不设置清管装置，清关装置设置在</w:t>
      </w:r>
      <w:r w:rsidR="00FB1FFA" w:rsidRPr="00092862">
        <w:rPr>
          <w:rFonts w:ascii="Times New Roman" w:eastAsia="宋体" w:hAnsi="Times New Roman" w:cs="Times New Roman"/>
          <w:color w:val="000000" w:themeColor="text1"/>
          <w:sz w:val="24"/>
          <w:szCs w:val="24"/>
        </w:rPr>
        <w:t>P305</w:t>
      </w:r>
      <w:r w:rsidR="00FB1FFA" w:rsidRPr="00092862">
        <w:rPr>
          <w:rFonts w:ascii="Times New Roman" w:eastAsia="宋体" w:hAnsi="Times New Roman" w:cs="Times New Roman"/>
          <w:color w:val="000000" w:themeColor="text1"/>
          <w:sz w:val="24"/>
          <w:szCs w:val="24"/>
        </w:rPr>
        <w:t>集气站。因此，老君</w:t>
      </w:r>
      <w:r w:rsidR="00FB1FFA" w:rsidRPr="00092862">
        <w:rPr>
          <w:rFonts w:ascii="Times New Roman" w:eastAsia="宋体" w:hAnsi="Times New Roman" w:cs="Times New Roman"/>
          <w:color w:val="000000" w:themeColor="text1"/>
          <w:sz w:val="24"/>
          <w:szCs w:val="24"/>
        </w:rPr>
        <w:t xml:space="preserve"> 701 </w:t>
      </w:r>
      <w:r w:rsidR="00FB1FFA" w:rsidRPr="00092862">
        <w:rPr>
          <w:rFonts w:ascii="Times New Roman" w:eastAsia="宋体" w:hAnsi="Times New Roman" w:cs="Times New Roman"/>
          <w:color w:val="000000" w:themeColor="text1"/>
          <w:sz w:val="24"/>
          <w:szCs w:val="24"/>
        </w:rPr>
        <w:t>集气站场站检修废渣按</w:t>
      </w:r>
      <w:r w:rsidR="00FB1FFA" w:rsidRPr="00092862">
        <w:rPr>
          <w:rFonts w:ascii="Times New Roman" w:eastAsia="宋体" w:hAnsi="Times New Roman" w:cs="Times New Roman"/>
          <w:color w:val="000000" w:themeColor="text1"/>
          <w:sz w:val="24"/>
          <w:szCs w:val="24"/>
        </w:rPr>
        <w:t xml:space="preserve"> 1kg/</w:t>
      </w:r>
      <w:r w:rsidR="00FB1FFA" w:rsidRPr="00092862">
        <w:rPr>
          <w:rFonts w:ascii="Times New Roman" w:eastAsia="宋体" w:hAnsi="Times New Roman" w:cs="Times New Roman"/>
          <w:color w:val="000000" w:themeColor="text1"/>
          <w:sz w:val="24"/>
          <w:szCs w:val="24"/>
        </w:rPr>
        <w:t>次</w:t>
      </w:r>
      <w:r w:rsidR="00FB1FFA" w:rsidRPr="00092862">
        <w:rPr>
          <w:rFonts w:ascii="Times New Roman" w:eastAsia="宋体" w:hAnsi="Times New Roman" w:cs="Times New Roman"/>
          <w:color w:val="000000" w:themeColor="text1"/>
          <w:sz w:val="24"/>
          <w:szCs w:val="24"/>
        </w:rPr>
        <w:t xml:space="preserve"> </w:t>
      </w:r>
      <w:r w:rsidR="00FB1FFA" w:rsidRPr="00092862">
        <w:rPr>
          <w:rFonts w:ascii="Times New Roman" w:eastAsia="宋体" w:hAnsi="Times New Roman" w:cs="Times New Roman"/>
          <w:color w:val="000000" w:themeColor="text1"/>
          <w:sz w:val="24"/>
          <w:szCs w:val="24"/>
        </w:rPr>
        <w:t>考虑，每年检修</w:t>
      </w:r>
      <w:r w:rsidR="00FB1FFA" w:rsidRPr="00092862">
        <w:rPr>
          <w:rFonts w:ascii="Times New Roman" w:eastAsia="宋体" w:hAnsi="Times New Roman" w:cs="Times New Roman"/>
          <w:color w:val="000000" w:themeColor="text1"/>
          <w:sz w:val="24"/>
          <w:szCs w:val="24"/>
        </w:rPr>
        <w:t xml:space="preserve"> 1 </w:t>
      </w:r>
      <w:r w:rsidR="00FB1FFA" w:rsidRPr="00092862">
        <w:rPr>
          <w:rFonts w:ascii="Times New Roman" w:eastAsia="宋体" w:hAnsi="Times New Roman" w:cs="Times New Roman"/>
          <w:color w:val="000000" w:themeColor="text1"/>
          <w:sz w:val="24"/>
          <w:szCs w:val="24"/>
        </w:rPr>
        <w:t>次，检修废渣主要为铁屑，每年产生检修废渣</w:t>
      </w:r>
      <w:r w:rsidR="00FB1FFA" w:rsidRPr="00092862">
        <w:rPr>
          <w:rFonts w:ascii="Times New Roman" w:eastAsia="宋体" w:hAnsi="Times New Roman" w:cs="Times New Roman"/>
          <w:color w:val="000000" w:themeColor="text1"/>
          <w:sz w:val="24"/>
          <w:szCs w:val="24"/>
        </w:rPr>
        <w:t xml:space="preserve"> 1kg/a</w:t>
      </w:r>
      <w:r w:rsidR="00120C33" w:rsidRPr="00092862">
        <w:rPr>
          <w:rFonts w:ascii="Times New Roman" w:eastAsia="宋体" w:hAnsi="Times New Roman" w:cs="Times New Roman"/>
          <w:color w:val="000000" w:themeColor="text1"/>
          <w:sz w:val="24"/>
          <w:szCs w:val="24"/>
        </w:rPr>
        <w:t>，生活垃圾产生量约</w:t>
      </w:r>
      <w:r w:rsidR="00FB1FFA" w:rsidRPr="00092862">
        <w:rPr>
          <w:rFonts w:ascii="Times New Roman" w:eastAsia="宋体" w:hAnsi="Times New Roman" w:cs="Times New Roman"/>
          <w:color w:val="000000" w:themeColor="text1"/>
          <w:sz w:val="24"/>
          <w:szCs w:val="24"/>
        </w:rPr>
        <w:t>3</w:t>
      </w:r>
      <w:r w:rsidR="00700936" w:rsidRPr="00092862">
        <w:rPr>
          <w:rFonts w:ascii="Times New Roman" w:eastAsia="宋体" w:hAnsi="Times New Roman" w:cs="Times New Roman"/>
          <w:color w:val="000000" w:themeColor="text1"/>
          <w:sz w:val="24"/>
          <w:szCs w:val="24"/>
        </w:rPr>
        <w:t>kg/d</w:t>
      </w:r>
      <w:r w:rsidR="00700936" w:rsidRPr="00092862">
        <w:rPr>
          <w:rFonts w:ascii="Times New Roman" w:eastAsia="宋体" w:hAnsi="Times New Roman" w:cs="Times New Roman"/>
          <w:color w:val="000000" w:themeColor="text1"/>
          <w:sz w:val="24"/>
          <w:szCs w:val="24"/>
        </w:rPr>
        <w:t>（</w:t>
      </w:r>
      <w:r w:rsidR="00FB1FFA" w:rsidRPr="00092862">
        <w:rPr>
          <w:rFonts w:ascii="Times New Roman" w:eastAsia="宋体" w:hAnsi="Times New Roman" w:cs="Times New Roman"/>
          <w:color w:val="000000" w:themeColor="text1"/>
          <w:sz w:val="24"/>
          <w:szCs w:val="24"/>
        </w:rPr>
        <w:t>1.095</w:t>
      </w:r>
      <w:r w:rsidR="00700936" w:rsidRPr="00092862">
        <w:rPr>
          <w:rFonts w:ascii="Times New Roman" w:eastAsia="宋体" w:hAnsi="Times New Roman" w:cs="Times New Roman"/>
          <w:color w:val="000000" w:themeColor="text1"/>
          <w:sz w:val="24"/>
          <w:szCs w:val="24"/>
        </w:rPr>
        <w:t>t/a</w:t>
      </w:r>
      <w:r w:rsidR="00700936" w:rsidRPr="00092862">
        <w:rPr>
          <w:rFonts w:ascii="Times New Roman" w:eastAsia="宋体" w:hAnsi="Times New Roman" w:cs="Times New Roman"/>
          <w:color w:val="000000" w:themeColor="text1"/>
          <w:sz w:val="24"/>
          <w:szCs w:val="24"/>
        </w:rPr>
        <w:t>）</w:t>
      </w:r>
      <w:r w:rsidR="00076930" w:rsidRPr="00092862">
        <w:rPr>
          <w:rFonts w:ascii="Times New Roman" w:eastAsia="宋体" w:hAnsi="Times New Roman" w:cs="Times New Roman"/>
          <w:color w:val="000000" w:themeColor="text1"/>
          <w:sz w:val="24"/>
          <w:szCs w:val="24"/>
        </w:rPr>
        <w:t>。</w:t>
      </w:r>
    </w:p>
    <w:p w14:paraId="1AE27F83" w14:textId="3B3C7964" w:rsidR="009B45C9"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3.4.2.5</w:t>
      </w:r>
      <w:r w:rsidR="009B45C9" w:rsidRPr="00092862">
        <w:rPr>
          <w:rFonts w:ascii="Times New Roman" w:eastAsia="宋体" w:hAnsi="Times New Roman" w:cs="Times New Roman"/>
          <w:b/>
          <w:color w:val="000000" w:themeColor="text1"/>
          <w:sz w:val="24"/>
        </w:rPr>
        <w:t>生态环境</w:t>
      </w:r>
    </w:p>
    <w:p w14:paraId="420BB260" w14:textId="72C1C94A" w:rsidR="009B45C9" w:rsidRPr="00092862" w:rsidRDefault="0072464E" w:rsidP="009B45C9">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本项目试采期不涉及新增占地（运营期仅增加该部分用地占地时长）。</w:t>
      </w:r>
    </w:p>
    <w:p w14:paraId="4A658DF6" w14:textId="76EAD4F5" w:rsidR="009B45C9"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3.4.2.6</w:t>
      </w:r>
      <w:r w:rsidR="0072464E" w:rsidRPr="00092862">
        <w:rPr>
          <w:rFonts w:ascii="Times New Roman" w:eastAsia="宋体" w:hAnsi="Times New Roman" w:cs="Times New Roman"/>
          <w:b/>
          <w:color w:val="000000" w:themeColor="text1"/>
          <w:sz w:val="24"/>
        </w:rPr>
        <w:t>土壤环境</w:t>
      </w:r>
    </w:p>
    <w:p w14:paraId="6BF24CBE" w14:textId="53AEDC6E" w:rsidR="009B45C9" w:rsidRPr="00092862" w:rsidRDefault="0072464E" w:rsidP="009B45C9">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试采期若废水未妥善处置转运，发生泄露后可能会对区域土壤环境造成污染影响。试采期放空火炬排放的废气与水套加热炉燃烧烟气沉降后也会对周边土壤环境造成一定的影响。</w:t>
      </w:r>
    </w:p>
    <w:p w14:paraId="54936CC5" w14:textId="29BA3AB4" w:rsidR="00655645" w:rsidRPr="00092862" w:rsidRDefault="004E1CD5"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3.4.2.7</w:t>
      </w:r>
      <w:r w:rsidR="00655645" w:rsidRPr="00092862">
        <w:rPr>
          <w:rFonts w:ascii="Times New Roman" w:eastAsia="宋体" w:hAnsi="Times New Roman" w:cs="Times New Roman"/>
          <w:b/>
          <w:color w:val="000000" w:themeColor="text1"/>
          <w:sz w:val="24"/>
        </w:rPr>
        <w:t>环境风险</w:t>
      </w:r>
    </w:p>
    <w:p w14:paraId="36C0B782" w14:textId="59128A67" w:rsidR="00655645" w:rsidRPr="00092862" w:rsidRDefault="00655645" w:rsidP="0065564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w:t>
      </w:r>
      <w:r w:rsidR="001A6854"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环境风险主要表现为</w:t>
      </w:r>
      <w:r w:rsidR="009D7326" w:rsidRPr="00092862">
        <w:rPr>
          <w:rFonts w:ascii="Times New Roman" w:eastAsia="宋体" w:hAnsi="Times New Roman" w:cs="Times New Roman"/>
          <w:bCs/>
          <w:color w:val="000000" w:themeColor="text1"/>
          <w:sz w:val="24"/>
          <w:szCs w:val="24"/>
        </w:rPr>
        <w:t>站内</w:t>
      </w:r>
      <w:r w:rsidRPr="00092862">
        <w:rPr>
          <w:rFonts w:ascii="Times New Roman" w:eastAsia="宋体" w:hAnsi="Times New Roman" w:cs="Times New Roman"/>
          <w:bCs/>
          <w:color w:val="000000" w:themeColor="text1"/>
          <w:sz w:val="24"/>
          <w:szCs w:val="24"/>
        </w:rPr>
        <w:t>采气管线</w:t>
      </w:r>
      <w:r w:rsidR="00700936" w:rsidRPr="00092862">
        <w:rPr>
          <w:rFonts w:ascii="Times New Roman" w:eastAsia="宋体" w:hAnsi="Times New Roman" w:cs="Times New Roman"/>
          <w:bCs/>
          <w:color w:val="000000" w:themeColor="text1"/>
          <w:sz w:val="24"/>
          <w:szCs w:val="24"/>
        </w:rPr>
        <w:t>或设备</w:t>
      </w:r>
      <w:r w:rsidRPr="00092862">
        <w:rPr>
          <w:rFonts w:ascii="Times New Roman" w:eastAsia="宋体" w:hAnsi="Times New Roman" w:cs="Times New Roman"/>
          <w:bCs/>
          <w:color w:val="000000" w:themeColor="text1"/>
          <w:sz w:val="24"/>
          <w:szCs w:val="24"/>
        </w:rPr>
        <w:t>发生破裂造成天然气泄漏事故以及泄露气体遇明火引起火灾或爆炸对附近人群生命财产造成伤害与损失，</w:t>
      </w:r>
      <w:r w:rsidR="00F30AFD" w:rsidRPr="00092862">
        <w:rPr>
          <w:rFonts w:ascii="Times New Roman" w:eastAsia="宋体" w:hAnsi="Times New Roman" w:cs="Times New Roman"/>
          <w:bCs/>
          <w:color w:val="000000" w:themeColor="text1"/>
          <w:sz w:val="24"/>
          <w:szCs w:val="24"/>
        </w:rPr>
        <w:t>集气站</w:t>
      </w:r>
      <w:r w:rsidRPr="00092862">
        <w:rPr>
          <w:rFonts w:ascii="Times New Roman" w:eastAsia="宋体" w:hAnsi="Times New Roman" w:cs="Times New Roman"/>
          <w:bCs/>
          <w:color w:val="000000" w:themeColor="text1"/>
          <w:sz w:val="24"/>
          <w:szCs w:val="24"/>
        </w:rPr>
        <w:t>事故时的天然气放空，对附近人群生命财产造成伤害与损失。</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szCs w:val="24"/>
        </w:rPr>
        <w:t>存储的采气废水泄漏环境风险；污染物外运处理中的运输风险等。</w:t>
      </w:r>
    </w:p>
    <w:p w14:paraId="1A4CBCF6" w14:textId="57DD549D" w:rsidR="0061587C" w:rsidRPr="00092862" w:rsidRDefault="00FC6B5E" w:rsidP="004E1CD5">
      <w:pPr>
        <w:adjustRightInd w:val="0"/>
        <w:snapToGrid w:val="0"/>
        <w:spacing w:line="360" w:lineRule="auto"/>
        <w:ind w:firstLineChars="200" w:firstLine="482"/>
        <w:outlineLvl w:val="3"/>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3.4.2.8</w:t>
      </w:r>
      <w:r w:rsidR="001A6854" w:rsidRPr="00092862">
        <w:rPr>
          <w:rFonts w:ascii="Times New Roman" w:eastAsia="宋体" w:hAnsi="Times New Roman" w:cs="Times New Roman"/>
          <w:b/>
          <w:color w:val="000000" w:themeColor="text1"/>
          <w:sz w:val="24"/>
        </w:rPr>
        <w:t>试采期</w:t>
      </w:r>
      <w:r w:rsidR="0061587C" w:rsidRPr="00092862">
        <w:rPr>
          <w:rFonts w:ascii="Times New Roman" w:eastAsia="宋体" w:hAnsi="Times New Roman" w:cs="Times New Roman"/>
          <w:b/>
          <w:color w:val="000000" w:themeColor="text1"/>
          <w:sz w:val="24"/>
        </w:rPr>
        <w:t>“</w:t>
      </w:r>
      <w:r w:rsidR="0061587C" w:rsidRPr="00092862">
        <w:rPr>
          <w:rFonts w:ascii="Times New Roman" w:eastAsia="宋体" w:hAnsi="Times New Roman" w:cs="Times New Roman"/>
          <w:b/>
          <w:color w:val="000000" w:themeColor="text1"/>
          <w:sz w:val="24"/>
        </w:rPr>
        <w:t>三废</w:t>
      </w:r>
      <w:r w:rsidR="0061587C" w:rsidRPr="00092862">
        <w:rPr>
          <w:rFonts w:ascii="Times New Roman" w:eastAsia="宋体" w:hAnsi="Times New Roman" w:cs="Times New Roman"/>
          <w:b/>
          <w:color w:val="000000" w:themeColor="text1"/>
          <w:sz w:val="24"/>
        </w:rPr>
        <w:t>”</w:t>
      </w:r>
      <w:r w:rsidR="0061587C" w:rsidRPr="00092862">
        <w:rPr>
          <w:rFonts w:ascii="Times New Roman" w:eastAsia="宋体" w:hAnsi="Times New Roman" w:cs="Times New Roman"/>
          <w:b/>
          <w:color w:val="000000" w:themeColor="text1"/>
          <w:sz w:val="24"/>
        </w:rPr>
        <w:t>汇总表</w:t>
      </w:r>
    </w:p>
    <w:p w14:paraId="0CF9EED4" w14:textId="4FA3A236" w:rsidR="0061587C" w:rsidRPr="00092862" w:rsidRDefault="0061587C" w:rsidP="0061587C">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lastRenderedPageBreak/>
        <w:t>综上所述，本项目</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污染物产生量及排放状况与生态影响见下表。</w:t>
      </w:r>
    </w:p>
    <w:p w14:paraId="6B4BFD1A" w14:textId="7F5A3F47" w:rsidR="0061587C" w:rsidRPr="00092862" w:rsidRDefault="0061587C" w:rsidP="00D26362">
      <w:pPr>
        <w:pStyle w:val="ac"/>
        <w:tabs>
          <w:tab w:val="left" w:pos="863"/>
        </w:tabs>
        <w:spacing w:before="0"/>
        <w:ind w:left="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表</w:t>
      </w:r>
      <w:r w:rsidRPr="00092862">
        <w:rPr>
          <w:rFonts w:ascii="Times New Roman" w:hAnsi="Times New Roman"/>
          <w:color w:val="000000" w:themeColor="text1"/>
          <w:sz w:val="21"/>
          <w:szCs w:val="21"/>
          <w:lang w:eastAsia="zh-CN"/>
        </w:rPr>
        <w:t>3.4-</w:t>
      </w:r>
      <w:r w:rsidR="00D26362" w:rsidRPr="00092862">
        <w:rPr>
          <w:rFonts w:ascii="Times New Roman" w:hAnsi="Times New Roman"/>
          <w:color w:val="000000" w:themeColor="text1"/>
          <w:sz w:val="21"/>
          <w:szCs w:val="21"/>
          <w:lang w:eastAsia="zh-CN"/>
        </w:rPr>
        <w:t>1</w:t>
      </w:r>
      <w:r w:rsidR="002C77F6" w:rsidRPr="00092862">
        <w:rPr>
          <w:rFonts w:ascii="Times New Roman" w:hAnsi="Times New Roman"/>
          <w:color w:val="000000" w:themeColor="text1"/>
          <w:sz w:val="21"/>
          <w:szCs w:val="21"/>
          <w:lang w:eastAsia="zh-CN"/>
        </w:rPr>
        <w:t>3</w:t>
      </w:r>
      <w:r w:rsidRPr="00092862">
        <w:rPr>
          <w:rFonts w:ascii="Times New Roman" w:hAnsi="Times New Roman"/>
          <w:color w:val="000000" w:themeColor="text1"/>
          <w:sz w:val="21"/>
          <w:szCs w:val="21"/>
          <w:lang w:eastAsia="zh-CN"/>
        </w:rPr>
        <w:t xml:space="preserve">  </w:t>
      </w:r>
      <w:r w:rsidRPr="00092862">
        <w:rPr>
          <w:rFonts w:ascii="Times New Roman" w:hAnsi="Times New Roman"/>
          <w:color w:val="000000" w:themeColor="text1"/>
          <w:sz w:val="21"/>
          <w:szCs w:val="21"/>
          <w:lang w:eastAsia="zh-CN"/>
        </w:rPr>
        <w:t>本项目</w:t>
      </w:r>
      <w:r w:rsidR="001A6854" w:rsidRPr="00092862">
        <w:rPr>
          <w:rFonts w:ascii="Times New Roman" w:hAnsi="Times New Roman"/>
          <w:color w:val="000000" w:themeColor="text1"/>
          <w:sz w:val="21"/>
          <w:szCs w:val="21"/>
          <w:lang w:eastAsia="zh-CN"/>
        </w:rPr>
        <w:t>试采期</w:t>
      </w:r>
      <w:r w:rsidRPr="00092862">
        <w:rPr>
          <w:rFonts w:ascii="Times New Roman" w:hAnsi="Times New Roman"/>
          <w:color w:val="000000" w:themeColor="text1"/>
          <w:sz w:val="21"/>
          <w:szCs w:val="21"/>
          <w:lang w:eastAsia="zh-CN"/>
        </w:rPr>
        <w:t>正常工况下</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三废</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134"/>
        <w:gridCol w:w="1276"/>
        <w:gridCol w:w="10"/>
        <w:gridCol w:w="1124"/>
        <w:gridCol w:w="2415"/>
      </w:tblGrid>
      <w:tr w:rsidR="00697429" w:rsidRPr="00092862" w14:paraId="6EE8E809" w14:textId="77777777" w:rsidTr="00BB0B1C">
        <w:trPr>
          <w:cantSplit/>
          <w:jc w:val="center"/>
        </w:trPr>
        <w:tc>
          <w:tcPr>
            <w:tcW w:w="2263" w:type="dxa"/>
            <w:gridSpan w:val="2"/>
            <w:vAlign w:val="center"/>
          </w:tcPr>
          <w:p w14:paraId="5D39B03A" w14:textId="77777777" w:rsidR="0061587C" w:rsidRPr="00092862" w:rsidRDefault="0061587C"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污染源</w:t>
            </w:r>
          </w:p>
        </w:tc>
        <w:tc>
          <w:tcPr>
            <w:tcW w:w="1134" w:type="dxa"/>
            <w:vAlign w:val="center"/>
          </w:tcPr>
          <w:p w14:paraId="092A7C90" w14:textId="77777777" w:rsidR="0061587C" w:rsidRPr="00092862" w:rsidRDefault="0061587C"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主要污染物</w:t>
            </w:r>
          </w:p>
        </w:tc>
        <w:tc>
          <w:tcPr>
            <w:tcW w:w="1276" w:type="dxa"/>
            <w:vAlign w:val="center"/>
          </w:tcPr>
          <w:p w14:paraId="3DF94B79" w14:textId="77777777" w:rsidR="0061587C" w:rsidRPr="00092862" w:rsidRDefault="0061587C"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产生量</w:t>
            </w:r>
          </w:p>
        </w:tc>
        <w:tc>
          <w:tcPr>
            <w:tcW w:w="1134" w:type="dxa"/>
            <w:gridSpan w:val="2"/>
            <w:vAlign w:val="center"/>
          </w:tcPr>
          <w:p w14:paraId="1FD12C6A" w14:textId="77777777" w:rsidR="0061587C" w:rsidRPr="00092862" w:rsidRDefault="0061587C"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排放量</w:t>
            </w:r>
          </w:p>
        </w:tc>
        <w:tc>
          <w:tcPr>
            <w:tcW w:w="2415" w:type="dxa"/>
            <w:vAlign w:val="center"/>
          </w:tcPr>
          <w:p w14:paraId="36A18E9D" w14:textId="77777777" w:rsidR="0061587C" w:rsidRPr="00092862" w:rsidRDefault="0061587C"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防治措施</w:t>
            </w:r>
          </w:p>
        </w:tc>
      </w:tr>
      <w:tr w:rsidR="00697429" w:rsidRPr="00092862" w14:paraId="7C497A27" w14:textId="77777777" w:rsidTr="0064169A">
        <w:trPr>
          <w:cantSplit/>
          <w:trHeight w:val="337"/>
          <w:jc w:val="center"/>
        </w:trPr>
        <w:tc>
          <w:tcPr>
            <w:tcW w:w="704" w:type="dxa"/>
            <w:vMerge w:val="restart"/>
            <w:tcMar>
              <w:left w:w="0" w:type="dxa"/>
              <w:right w:w="0" w:type="dxa"/>
            </w:tcMar>
            <w:vAlign w:val="center"/>
          </w:tcPr>
          <w:p w14:paraId="781A9AA6" w14:textId="77777777"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w:t>
            </w:r>
          </w:p>
        </w:tc>
        <w:tc>
          <w:tcPr>
            <w:tcW w:w="1559" w:type="dxa"/>
            <w:vMerge w:val="restart"/>
            <w:vAlign w:val="center"/>
          </w:tcPr>
          <w:p w14:paraId="2FABDC66" w14:textId="0CC75C17"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加热炉燃烧产生的烟气</w:t>
            </w:r>
          </w:p>
        </w:tc>
        <w:tc>
          <w:tcPr>
            <w:tcW w:w="1134" w:type="dxa"/>
            <w:vAlign w:val="center"/>
          </w:tcPr>
          <w:p w14:paraId="6F3305E6" w14:textId="1998FBDB"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SO</w:t>
            </w:r>
            <w:r w:rsidRPr="00092862">
              <w:rPr>
                <w:rFonts w:ascii="Times New Roman" w:eastAsia="宋体" w:hAnsi="Times New Roman" w:cs="Times New Roman"/>
                <w:color w:val="000000" w:themeColor="text1"/>
                <w:vertAlign w:val="subscript"/>
              </w:rPr>
              <w:t>2</w:t>
            </w:r>
          </w:p>
        </w:tc>
        <w:tc>
          <w:tcPr>
            <w:tcW w:w="1276" w:type="dxa"/>
            <w:vAlign w:val="center"/>
          </w:tcPr>
          <w:p w14:paraId="13764863" w14:textId="748F644A"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0.00225t/a</w:t>
            </w:r>
          </w:p>
        </w:tc>
        <w:tc>
          <w:tcPr>
            <w:tcW w:w="1134" w:type="dxa"/>
            <w:gridSpan w:val="2"/>
            <w:vAlign w:val="center"/>
          </w:tcPr>
          <w:p w14:paraId="3BC3ACF2" w14:textId="184ADC93"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0.00225t/a</w:t>
            </w:r>
          </w:p>
        </w:tc>
        <w:tc>
          <w:tcPr>
            <w:tcW w:w="2415" w:type="dxa"/>
            <w:vMerge w:val="restart"/>
            <w:vAlign w:val="center"/>
          </w:tcPr>
          <w:p w14:paraId="5CCE957B" w14:textId="3972FDFF"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水套加热炉燃烧废气通过自带</w:t>
            </w:r>
            <w:r w:rsidRPr="00092862">
              <w:rPr>
                <w:rFonts w:ascii="Times New Roman" w:eastAsia="宋体" w:hAnsi="Times New Roman" w:cs="Times New Roman"/>
                <w:color w:val="000000" w:themeColor="text1"/>
                <w:szCs w:val="21"/>
              </w:rPr>
              <w:t>8m</w:t>
            </w:r>
            <w:r w:rsidRPr="00092862">
              <w:rPr>
                <w:rFonts w:ascii="Times New Roman" w:eastAsia="宋体" w:hAnsi="Times New Roman" w:cs="Times New Roman"/>
                <w:color w:val="000000" w:themeColor="text1"/>
                <w:szCs w:val="21"/>
              </w:rPr>
              <w:t>高排气筒排放；</w:t>
            </w:r>
            <w:r w:rsidRPr="00092862">
              <w:rPr>
                <w:rFonts w:ascii="Times New Roman" w:eastAsia="宋体" w:hAnsi="Times New Roman" w:cs="Times New Roman"/>
                <w:color w:val="000000" w:themeColor="text1"/>
                <w:szCs w:val="21"/>
              </w:rPr>
              <w:t xml:space="preserve"> </w:t>
            </w:r>
          </w:p>
        </w:tc>
      </w:tr>
      <w:tr w:rsidR="00697429" w:rsidRPr="00092862" w14:paraId="3B1B1B5A" w14:textId="77777777" w:rsidTr="0064169A">
        <w:trPr>
          <w:cantSplit/>
          <w:trHeight w:val="271"/>
          <w:jc w:val="center"/>
        </w:trPr>
        <w:tc>
          <w:tcPr>
            <w:tcW w:w="704" w:type="dxa"/>
            <w:vMerge/>
            <w:tcMar>
              <w:left w:w="0" w:type="dxa"/>
              <w:right w:w="0" w:type="dxa"/>
            </w:tcMar>
            <w:vAlign w:val="center"/>
          </w:tcPr>
          <w:p w14:paraId="140E50FB" w14:textId="77777777" w:rsidR="00DB2C6C" w:rsidRPr="00092862" w:rsidRDefault="00DB2C6C" w:rsidP="00DB2C6C">
            <w:pPr>
              <w:snapToGrid w:val="0"/>
              <w:jc w:val="center"/>
              <w:rPr>
                <w:rFonts w:ascii="Times New Roman" w:eastAsia="宋体" w:hAnsi="Times New Roman" w:cs="Times New Roman"/>
                <w:color w:val="000000" w:themeColor="text1"/>
                <w:szCs w:val="21"/>
              </w:rPr>
            </w:pPr>
          </w:p>
        </w:tc>
        <w:tc>
          <w:tcPr>
            <w:tcW w:w="1559" w:type="dxa"/>
            <w:vMerge/>
            <w:vAlign w:val="center"/>
          </w:tcPr>
          <w:p w14:paraId="0445732C" w14:textId="77777777" w:rsidR="00DB2C6C" w:rsidRPr="00092862" w:rsidRDefault="00DB2C6C" w:rsidP="00DB2C6C">
            <w:pPr>
              <w:snapToGrid w:val="0"/>
              <w:jc w:val="center"/>
              <w:rPr>
                <w:rFonts w:ascii="Times New Roman" w:eastAsia="宋体" w:hAnsi="Times New Roman" w:cs="Times New Roman"/>
                <w:color w:val="000000" w:themeColor="text1"/>
                <w:szCs w:val="21"/>
              </w:rPr>
            </w:pPr>
          </w:p>
        </w:tc>
        <w:tc>
          <w:tcPr>
            <w:tcW w:w="1134" w:type="dxa"/>
            <w:vAlign w:val="center"/>
          </w:tcPr>
          <w:p w14:paraId="7760051F" w14:textId="1D02B5D6"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NOx</w:t>
            </w:r>
          </w:p>
        </w:tc>
        <w:tc>
          <w:tcPr>
            <w:tcW w:w="1276" w:type="dxa"/>
            <w:vAlign w:val="center"/>
          </w:tcPr>
          <w:p w14:paraId="39B1618F" w14:textId="10BEC02E"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0.1398t/a</w:t>
            </w:r>
          </w:p>
        </w:tc>
        <w:tc>
          <w:tcPr>
            <w:tcW w:w="1134" w:type="dxa"/>
            <w:gridSpan w:val="2"/>
            <w:vAlign w:val="center"/>
          </w:tcPr>
          <w:p w14:paraId="64F888FB" w14:textId="19DA1491" w:rsidR="00DB2C6C" w:rsidRPr="00092862" w:rsidRDefault="00DB2C6C" w:rsidP="00DB2C6C">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0.1398t/a</w:t>
            </w:r>
          </w:p>
        </w:tc>
        <w:tc>
          <w:tcPr>
            <w:tcW w:w="2415" w:type="dxa"/>
            <w:vMerge/>
            <w:vAlign w:val="center"/>
          </w:tcPr>
          <w:p w14:paraId="2DAC03D0" w14:textId="77777777" w:rsidR="00DB2C6C" w:rsidRPr="00092862" w:rsidRDefault="00DB2C6C" w:rsidP="00DB2C6C">
            <w:pPr>
              <w:snapToGrid w:val="0"/>
              <w:jc w:val="center"/>
              <w:rPr>
                <w:rFonts w:ascii="Times New Roman" w:eastAsia="宋体" w:hAnsi="Times New Roman" w:cs="Times New Roman"/>
                <w:color w:val="000000" w:themeColor="text1"/>
                <w:szCs w:val="21"/>
              </w:rPr>
            </w:pPr>
          </w:p>
        </w:tc>
      </w:tr>
      <w:tr w:rsidR="00697429" w:rsidRPr="00092862" w14:paraId="5EAE4328" w14:textId="77777777" w:rsidTr="00BB0B1C">
        <w:trPr>
          <w:cantSplit/>
          <w:jc w:val="center"/>
        </w:trPr>
        <w:tc>
          <w:tcPr>
            <w:tcW w:w="704" w:type="dxa"/>
            <w:vMerge/>
            <w:tcMar>
              <w:left w:w="0" w:type="dxa"/>
              <w:right w:w="0" w:type="dxa"/>
            </w:tcMar>
            <w:vAlign w:val="center"/>
          </w:tcPr>
          <w:p w14:paraId="15EF8AE3" w14:textId="77777777" w:rsidR="007175BF" w:rsidRPr="00092862" w:rsidRDefault="007175BF" w:rsidP="005B302A">
            <w:pPr>
              <w:snapToGrid w:val="0"/>
              <w:jc w:val="center"/>
              <w:rPr>
                <w:rFonts w:ascii="Times New Roman" w:eastAsia="宋体" w:hAnsi="Times New Roman" w:cs="Times New Roman"/>
                <w:color w:val="000000" w:themeColor="text1"/>
                <w:szCs w:val="21"/>
              </w:rPr>
            </w:pPr>
          </w:p>
        </w:tc>
        <w:tc>
          <w:tcPr>
            <w:tcW w:w="1559" w:type="dxa"/>
            <w:vAlign w:val="center"/>
          </w:tcPr>
          <w:p w14:paraId="21AFEC73" w14:textId="39D80DF3" w:rsidR="007175BF" w:rsidRPr="00092862" w:rsidRDefault="00B32494"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设备检修或系统超压时排放少量天然气</w:t>
            </w:r>
          </w:p>
        </w:tc>
        <w:tc>
          <w:tcPr>
            <w:tcW w:w="1134" w:type="dxa"/>
            <w:vAlign w:val="center"/>
          </w:tcPr>
          <w:p w14:paraId="750EC447" w14:textId="5544433A" w:rsidR="00586BC5" w:rsidRPr="00092862" w:rsidRDefault="00586BC5" w:rsidP="00586BC5">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SO</w:t>
            </w:r>
            <w:r w:rsidRPr="00092862">
              <w:rPr>
                <w:rFonts w:ascii="Times New Roman" w:eastAsia="宋体" w:hAnsi="Times New Roman" w:cs="Times New Roman"/>
                <w:color w:val="000000" w:themeColor="text1"/>
                <w:szCs w:val="21"/>
                <w:vertAlign w:val="subscript"/>
              </w:rPr>
              <w:t>2</w:t>
            </w:r>
          </w:p>
        </w:tc>
        <w:tc>
          <w:tcPr>
            <w:tcW w:w="1276" w:type="dxa"/>
            <w:vAlign w:val="center"/>
          </w:tcPr>
          <w:p w14:paraId="528CC317" w14:textId="5A876F3F" w:rsidR="00586BC5" w:rsidRPr="00092862" w:rsidRDefault="00DB2C6C" w:rsidP="00586BC5">
            <w:pPr>
              <w:pStyle w:val="2"/>
              <w:ind w:firstLineChars="0" w:firstLine="0"/>
              <w:jc w:val="center"/>
              <w:rPr>
                <w:rFonts w:eastAsia="宋体"/>
                <w:bCs w:val="0"/>
                <w:color w:val="000000" w:themeColor="text1"/>
                <w:sz w:val="21"/>
                <w:szCs w:val="21"/>
                <w:lang w:eastAsia="zh-CN"/>
              </w:rPr>
            </w:pPr>
            <w:bookmarkStart w:id="135" w:name="_Toc123682147"/>
            <w:bookmarkStart w:id="136" w:name="_Toc123682535"/>
            <w:r w:rsidRPr="00092862">
              <w:rPr>
                <w:rFonts w:eastAsia="宋体"/>
                <w:bCs w:val="0"/>
                <w:color w:val="000000" w:themeColor="text1"/>
                <w:sz w:val="21"/>
                <w:szCs w:val="21"/>
                <w:lang w:eastAsia="zh-CN"/>
              </w:rPr>
              <w:t>/</w:t>
            </w:r>
            <w:bookmarkEnd w:id="135"/>
            <w:bookmarkEnd w:id="136"/>
          </w:p>
        </w:tc>
        <w:tc>
          <w:tcPr>
            <w:tcW w:w="1134" w:type="dxa"/>
            <w:gridSpan w:val="2"/>
            <w:vAlign w:val="center"/>
          </w:tcPr>
          <w:p w14:paraId="7D252763" w14:textId="18C3A79E" w:rsidR="007175BF" w:rsidRPr="00092862" w:rsidRDefault="00DB2C6C" w:rsidP="00815781">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415" w:type="dxa"/>
            <w:vAlign w:val="center"/>
          </w:tcPr>
          <w:p w14:paraId="1564FF99" w14:textId="2EEFFD33" w:rsidR="007175BF" w:rsidRPr="00092862" w:rsidRDefault="002254A9"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依托老君</w:t>
            </w:r>
            <w:r w:rsidRPr="00092862">
              <w:rPr>
                <w:rFonts w:ascii="Times New Roman" w:eastAsia="宋体" w:hAnsi="Times New Roman" w:cs="Times New Roman"/>
                <w:color w:val="000000" w:themeColor="text1"/>
                <w:szCs w:val="21"/>
              </w:rPr>
              <w:t>701</w:t>
            </w:r>
            <w:r w:rsidRPr="00092862">
              <w:rPr>
                <w:rFonts w:ascii="Times New Roman" w:eastAsia="宋体" w:hAnsi="Times New Roman" w:cs="Times New Roman"/>
                <w:color w:val="000000" w:themeColor="text1"/>
                <w:szCs w:val="21"/>
              </w:rPr>
              <w:t>集气站已建的放空火炬系统和点火排放，火炬系统排气筒高度</w:t>
            </w:r>
            <w:r w:rsidRPr="00092862">
              <w:rPr>
                <w:rFonts w:ascii="Times New Roman" w:eastAsia="宋体" w:hAnsi="Times New Roman" w:cs="Times New Roman"/>
                <w:color w:val="000000" w:themeColor="text1"/>
                <w:szCs w:val="21"/>
              </w:rPr>
              <w:t>60</w:t>
            </w:r>
            <w:r w:rsidR="00586BC5"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 xml:space="preserve"> </w:t>
            </w:r>
          </w:p>
        </w:tc>
      </w:tr>
      <w:tr w:rsidR="00697429" w:rsidRPr="00092862" w14:paraId="2AC36B51" w14:textId="77777777" w:rsidTr="00BB0B1C">
        <w:trPr>
          <w:cantSplit/>
          <w:jc w:val="center"/>
        </w:trPr>
        <w:tc>
          <w:tcPr>
            <w:tcW w:w="704" w:type="dxa"/>
            <w:vMerge w:val="restart"/>
            <w:tcMar>
              <w:left w:w="0" w:type="dxa"/>
              <w:right w:w="0" w:type="dxa"/>
            </w:tcMar>
            <w:vAlign w:val="center"/>
          </w:tcPr>
          <w:p w14:paraId="4B57D89F" w14:textId="77777777"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w:t>
            </w:r>
          </w:p>
        </w:tc>
        <w:tc>
          <w:tcPr>
            <w:tcW w:w="1559" w:type="dxa"/>
            <w:vAlign w:val="center"/>
          </w:tcPr>
          <w:p w14:paraId="041E2455" w14:textId="100CB57A"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采气废水</w:t>
            </w:r>
          </w:p>
        </w:tc>
        <w:tc>
          <w:tcPr>
            <w:tcW w:w="1134" w:type="dxa"/>
            <w:vMerge w:val="restart"/>
            <w:vAlign w:val="center"/>
          </w:tcPr>
          <w:p w14:paraId="136478D2" w14:textId="77777777"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石油类、悬浮物、</w:t>
            </w: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rPr>
              <w:t>及氯化物等</w:t>
            </w:r>
          </w:p>
        </w:tc>
        <w:tc>
          <w:tcPr>
            <w:tcW w:w="1276" w:type="dxa"/>
            <w:vAlign w:val="center"/>
          </w:tcPr>
          <w:p w14:paraId="107BBCA6" w14:textId="68A6D5FB" w:rsidR="008023B8" w:rsidRPr="00092862" w:rsidRDefault="00FB1FFA"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008023B8" w:rsidRPr="00092862">
              <w:rPr>
                <w:rFonts w:ascii="Times New Roman" w:eastAsia="宋体" w:hAnsi="Times New Roman" w:cs="Times New Roman"/>
                <w:color w:val="000000" w:themeColor="text1"/>
                <w:szCs w:val="21"/>
              </w:rPr>
              <w:t>0m</w:t>
            </w:r>
            <w:r w:rsidR="008023B8" w:rsidRPr="00092862">
              <w:rPr>
                <w:rFonts w:ascii="Times New Roman" w:eastAsia="宋体" w:hAnsi="Times New Roman" w:cs="Times New Roman"/>
                <w:color w:val="000000" w:themeColor="text1"/>
                <w:szCs w:val="21"/>
                <w:vertAlign w:val="superscript"/>
              </w:rPr>
              <w:t>3</w:t>
            </w:r>
            <w:r w:rsidR="008023B8" w:rsidRPr="00092862">
              <w:rPr>
                <w:rFonts w:ascii="Times New Roman" w:eastAsia="宋体" w:hAnsi="Times New Roman" w:cs="Times New Roman"/>
                <w:color w:val="000000" w:themeColor="text1"/>
                <w:szCs w:val="21"/>
              </w:rPr>
              <w:t>/d</w:t>
            </w:r>
          </w:p>
        </w:tc>
        <w:tc>
          <w:tcPr>
            <w:tcW w:w="1134" w:type="dxa"/>
            <w:gridSpan w:val="2"/>
            <w:vAlign w:val="center"/>
          </w:tcPr>
          <w:p w14:paraId="7600F428" w14:textId="77777777"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415" w:type="dxa"/>
            <w:vMerge w:val="restart"/>
            <w:vAlign w:val="center"/>
          </w:tcPr>
          <w:p w14:paraId="1DA3AA27" w14:textId="5495E109" w:rsidR="008023B8" w:rsidRPr="00092862" w:rsidRDefault="008023B8" w:rsidP="00B86B9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将废水用密闭罐车拉运至</w:t>
            </w:r>
            <w:r w:rsidRPr="00092862">
              <w:rPr>
                <w:rFonts w:ascii="Times New Roman" w:eastAsia="宋体" w:hAnsi="Times New Roman" w:cs="Times New Roman"/>
                <w:bCs/>
                <w:color w:val="000000" w:themeColor="text1"/>
                <w:szCs w:val="24"/>
              </w:rPr>
              <w:t>赵家坝污水处理站</w:t>
            </w:r>
            <w:r w:rsidRPr="00092862">
              <w:rPr>
                <w:rFonts w:ascii="Times New Roman" w:eastAsia="宋体" w:hAnsi="Times New Roman" w:cs="Times New Roman"/>
                <w:color w:val="000000" w:themeColor="text1"/>
                <w:szCs w:val="21"/>
              </w:rPr>
              <w:t>处理达标后经普光</w:t>
            </w:r>
            <w:r w:rsidRPr="00092862">
              <w:rPr>
                <w:rFonts w:ascii="Times New Roman" w:eastAsia="宋体" w:hAnsi="Times New Roman" w:cs="Times New Roman"/>
                <w:color w:val="000000" w:themeColor="text1"/>
                <w:szCs w:val="21"/>
              </w:rPr>
              <w:t>11</w:t>
            </w:r>
            <w:r w:rsidRPr="00092862">
              <w:rPr>
                <w:rFonts w:ascii="Times New Roman" w:eastAsia="宋体" w:hAnsi="Times New Roman" w:cs="Times New Roman"/>
                <w:color w:val="000000" w:themeColor="text1"/>
                <w:szCs w:val="21"/>
              </w:rPr>
              <w:t>井回注站回注</w:t>
            </w:r>
          </w:p>
        </w:tc>
      </w:tr>
      <w:tr w:rsidR="00697429" w:rsidRPr="00092862" w14:paraId="3ECDEA86" w14:textId="77777777" w:rsidTr="00BB0B1C">
        <w:trPr>
          <w:cantSplit/>
          <w:jc w:val="center"/>
        </w:trPr>
        <w:tc>
          <w:tcPr>
            <w:tcW w:w="704" w:type="dxa"/>
            <w:vMerge/>
            <w:tcMar>
              <w:left w:w="0" w:type="dxa"/>
              <w:right w:w="0" w:type="dxa"/>
            </w:tcMar>
            <w:vAlign w:val="center"/>
          </w:tcPr>
          <w:p w14:paraId="25F8D167" w14:textId="77777777" w:rsidR="008023B8" w:rsidRPr="00092862" w:rsidRDefault="008023B8" w:rsidP="005B302A">
            <w:pPr>
              <w:snapToGrid w:val="0"/>
              <w:jc w:val="center"/>
              <w:rPr>
                <w:rFonts w:ascii="Times New Roman" w:eastAsia="宋体" w:hAnsi="Times New Roman" w:cs="Times New Roman"/>
                <w:color w:val="000000" w:themeColor="text1"/>
                <w:szCs w:val="21"/>
              </w:rPr>
            </w:pPr>
          </w:p>
        </w:tc>
        <w:tc>
          <w:tcPr>
            <w:tcW w:w="1559" w:type="dxa"/>
            <w:vAlign w:val="center"/>
          </w:tcPr>
          <w:p w14:paraId="55862120" w14:textId="74B29798"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非正常工况井下作业废水</w:t>
            </w:r>
          </w:p>
        </w:tc>
        <w:tc>
          <w:tcPr>
            <w:tcW w:w="1134" w:type="dxa"/>
            <w:vMerge/>
            <w:vAlign w:val="center"/>
          </w:tcPr>
          <w:p w14:paraId="15B1B81F" w14:textId="559DCDDC" w:rsidR="008023B8" w:rsidRPr="00092862" w:rsidRDefault="008023B8" w:rsidP="00B86B94">
            <w:pPr>
              <w:snapToGrid w:val="0"/>
              <w:jc w:val="center"/>
              <w:rPr>
                <w:rFonts w:ascii="Times New Roman" w:eastAsia="宋体" w:hAnsi="Times New Roman" w:cs="Times New Roman"/>
                <w:color w:val="000000" w:themeColor="text1"/>
                <w:szCs w:val="21"/>
              </w:rPr>
            </w:pPr>
          </w:p>
        </w:tc>
        <w:tc>
          <w:tcPr>
            <w:tcW w:w="1286" w:type="dxa"/>
            <w:gridSpan w:val="2"/>
            <w:vAlign w:val="center"/>
          </w:tcPr>
          <w:p w14:paraId="5953F867" w14:textId="3C3CA4FD"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1</w:t>
            </w:r>
            <w:r w:rsidR="00FB1FFA" w:rsidRPr="00092862">
              <w:rPr>
                <w:rFonts w:ascii="Times New Roman" w:eastAsia="宋体" w:hAnsi="Times New Roman" w:cs="Times New Roman"/>
                <w:bCs/>
                <w:color w:val="000000" w:themeColor="text1"/>
                <w:szCs w:val="21"/>
              </w:rPr>
              <w:t>0</w:t>
            </w:r>
            <w:r w:rsidRPr="00092862">
              <w:rPr>
                <w:rFonts w:ascii="Times New Roman" w:eastAsia="宋体" w:hAnsi="Times New Roman" w:cs="Times New Roman"/>
                <w:bCs/>
                <w:color w:val="000000" w:themeColor="text1"/>
                <w:szCs w:val="21"/>
              </w:rPr>
              <w:t>0m</w:t>
            </w:r>
            <w:r w:rsidRPr="00092862">
              <w:rPr>
                <w:rFonts w:ascii="Times New Roman" w:eastAsia="宋体" w:hAnsi="Times New Roman" w:cs="Times New Roman"/>
                <w:bCs/>
                <w:color w:val="000000" w:themeColor="text1"/>
                <w:szCs w:val="21"/>
                <w:vertAlign w:val="superscript"/>
              </w:rPr>
              <w:t>3</w:t>
            </w:r>
            <w:r w:rsidRPr="00092862">
              <w:rPr>
                <w:rFonts w:ascii="Times New Roman" w:eastAsia="宋体" w:hAnsi="Times New Roman" w:cs="Times New Roman"/>
                <w:bCs/>
                <w:color w:val="000000" w:themeColor="text1"/>
                <w:szCs w:val="21"/>
              </w:rPr>
              <w:t>/a</w:t>
            </w:r>
          </w:p>
        </w:tc>
        <w:tc>
          <w:tcPr>
            <w:tcW w:w="1124" w:type="dxa"/>
            <w:vAlign w:val="center"/>
          </w:tcPr>
          <w:p w14:paraId="5DF13B87" w14:textId="4F15B73F"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415" w:type="dxa"/>
            <w:vMerge/>
            <w:vAlign w:val="center"/>
          </w:tcPr>
          <w:p w14:paraId="0A8581B6" w14:textId="683B759A" w:rsidR="008023B8" w:rsidRPr="00092862" w:rsidRDefault="008023B8" w:rsidP="00B86B94">
            <w:pPr>
              <w:snapToGrid w:val="0"/>
              <w:jc w:val="center"/>
              <w:rPr>
                <w:rFonts w:ascii="Times New Roman" w:eastAsia="宋体" w:hAnsi="Times New Roman" w:cs="Times New Roman"/>
                <w:color w:val="000000" w:themeColor="text1"/>
                <w:szCs w:val="21"/>
              </w:rPr>
            </w:pPr>
          </w:p>
        </w:tc>
      </w:tr>
      <w:tr w:rsidR="00697429" w:rsidRPr="00092862" w14:paraId="46048834" w14:textId="77777777" w:rsidTr="00BB0B1C">
        <w:trPr>
          <w:cantSplit/>
          <w:jc w:val="center"/>
        </w:trPr>
        <w:tc>
          <w:tcPr>
            <w:tcW w:w="704" w:type="dxa"/>
            <w:vMerge/>
            <w:tcMar>
              <w:left w:w="0" w:type="dxa"/>
              <w:right w:w="0" w:type="dxa"/>
            </w:tcMar>
            <w:vAlign w:val="center"/>
          </w:tcPr>
          <w:p w14:paraId="4451C881" w14:textId="77777777" w:rsidR="008023B8" w:rsidRPr="00092862" w:rsidRDefault="008023B8" w:rsidP="005B302A">
            <w:pPr>
              <w:snapToGrid w:val="0"/>
              <w:jc w:val="center"/>
              <w:rPr>
                <w:rFonts w:ascii="Times New Roman" w:eastAsia="宋体" w:hAnsi="Times New Roman" w:cs="Times New Roman"/>
                <w:color w:val="000000" w:themeColor="text1"/>
                <w:szCs w:val="21"/>
              </w:rPr>
            </w:pPr>
          </w:p>
        </w:tc>
        <w:tc>
          <w:tcPr>
            <w:tcW w:w="1559" w:type="dxa"/>
            <w:vAlign w:val="center"/>
          </w:tcPr>
          <w:p w14:paraId="1085CE2A" w14:textId="2B6740E4" w:rsidR="008023B8" w:rsidRPr="00092862" w:rsidRDefault="008023B8"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生活污水</w:t>
            </w:r>
          </w:p>
        </w:tc>
        <w:tc>
          <w:tcPr>
            <w:tcW w:w="1134" w:type="dxa"/>
            <w:vAlign w:val="center"/>
          </w:tcPr>
          <w:p w14:paraId="7842D7CD" w14:textId="6D0F9648" w:rsidR="008023B8" w:rsidRPr="00092862" w:rsidRDefault="008023B8" w:rsidP="00B86B9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COD</w:t>
            </w:r>
            <w:r w:rsidR="00283832" w:rsidRPr="00092862">
              <w:rPr>
                <w:rFonts w:ascii="Times New Roman" w:eastAsia="宋体" w:hAnsi="Times New Roman" w:cs="Times New Roman"/>
                <w:color w:val="000000" w:themeColor="text1"/>
                <w:szCs w:val="21"/>
              </w:rPr>
              <w:t>、</w:t>
            </w:r>
            <w:r w:rsidR="00283832" w:rsidRPr="00092862">
              <w:rPr>
                <w:rFonts w:ascii="Times New Roman" w:eastAsia="宋体" w:hAnsi="Times New Roman" w:cs="Times New Roman"/>
                <w:bCs/>
                <w:color w:val="000000" w:themeColor="text1"/>
                <w:szCs w:val="21"/>
              </w:rPr>
              <w:t>BOD</w:t>
            </w:r>
            <w:r w:rsidR="00283832" w:rsidRPr="00092862">
              <w:rPr>
                <w:rFonts w:ascii="Times New Roman" w:eastAsia="宋体" w:hAnsi="Times New Roman" w:cs="Times New Roman"/>
                <w:bCs/>
                <w:color w:val="000000" w:themeColor="text1"/>
                <w:szCs w:val="21"/>
                <w:vertAlign w:val="subscript"/>
              </w:rPr>
              <w:t>5</w:t>
            </w:r>
            <w:r w:rsidR="00283832" w:rsidRPr="00092862">
              <w:rPr>
                <w:rFonts w:ascii="Times New Roman" w:eastAsia="宋体" w:hAnsi="Times New Roman" w:cs="Times New Roman"/>
                <w:bCs/>
                <w:color w:val="000000" w:themeColor="text1"/>
                <w:szCs w:val="21"/>
              </w:rPr>
              <w:t>等</w:t>
            </w:r>
          </w:p>
        </w:tc>
        <w:tc>
          <w:tcPr>
            <w:tcW w:w="1286" w:type="dxa"/>
            <w:gridSpan w:val="2"/>
            <w:vAlign w:val="center"/>
          </w:tcPr>
          <w:p w14:paraId="375DDCAB" w14:textId="1B41D80B" w:rsidR="008023B8" w:rsidRPr="00092862" w:rsidRDefault="00DB2C6C" w:rsidP="005B302A">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1124" w:type="dxa"/>
            <w:vAlign w:val="center"/>
          </w:tcPr>
          <w:p w14:paraId="26E75614" w14:textId="284AD791" w:rsidR="008023B8" w:rsidRPr="00092862" w:rsidRDefault="00283832"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2415" w:type="dxa"/>
            <w:vAlign w:val="center"/>
          </w:tcPr>
          <w:p w14:paraId="13DDFB76" w14:textId="63EEC6EB" w:rsidR="008023B8" w:rsidRPr="00092862" w:rsidRDefault="00DB2C6C" w:rsidP="00B86B94">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依托老君</w:t>
            </w:r>
            <w:r w:rsidRPr="00092862">
              <w:rPr>
                <w:rFonts w:ascii="Times New Roman" w:eastAsia="宋体" w:hAnsi="Times New Roman" w:cs="Times New Roman"/>
                <w:color w:val="000000" w:themeColor="text1"/>
                <w:szCs w:val="21"/>
              </w:rPr>
              <w:t>701</w:t>
            </w:r>
            <w:r w:rsidRPr="00092862">
              <w:rPr>
                <w:rFonts w:ascii="Times New Roman" w:eastAsia="宋体" w:hAnsi="Times New Roman" w:cs="Times New Roman"/>
                <w:color w:val="000000" w:themeColor="text1"/>
                <w:szCs w:val="21"/>
              </w:rPr>
              <w:t>集气站值守人员，本次不新增生活污水。既有值守人员生活污水</w:t>
            </w:r>
            <w:r w:rsidR="00271DF7" w:rsidRPr="00092862">
              <w:rPr>
                <w:rFonts w:ascii="Times New Roman" w:eastAsia="宋体" w:hAnsi="Times New Roman" w:cs="Times New Roman"/>
                <w:color w:val="000000" w:themeColor="text1"/>
                <w:szCs w:val="21"/>
              </w:rPr>
              <w:t>经站场化粪池处理后定期由密闭罐车拉运至周边生活污水处理厂处理</w:t>
            </w:r>
          </w:p>
        </w:tc>
      </w:tr>
      <w:tr w:rsidR="00697429" w:rsidRPr="00092862" w14:paraId="79DA50D0" w14:textId="77777777" w:rsidTr="005B302A">
        <w:trPr>
          <w:cantSplit/>
          <w:jc w:val="center"/>
        </w:trPr>
        <w:tc>
          <w:tcPr>
            <w:tcW w:w="704" w:type="dxa"/>
            <w:tcMar>
              <w:left w:w="0" w:type="dxa"/>
              <w:right w:w="0" w:type="dxa"/>
            </w:tcMar>
            <w:vAlign w:val="center"/>
          </w:tcPr>
          <w:p w14:paraId="7CAAF47D" w14:textId="77777777" w:rsidR="00655645" w:rsidRPr="00092862" w:rsidRDefault="00655645"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w:t>
            </w:r>
          </w:p>
        </w:tc>
        <w:tc>
          <w:tcPr>
            <w:tcW w:w="1559" w:type="dxa"/>
            <w:vAlign w:val="center"/>
          </w:tcPr>
          <w:p w14:paraId="45724922" w14:textId="77777777" w:rsidR="00655645" w:rsidRPr="00092862" w:rsidRDefault="00655645" w:rsidP="005B302A">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设备噪声</w:t>
            </w:r>
          </w:p>
        </w:tc>
        <w:tc>
          <w:tcPr>
            <w:tcW w:w="5959" w:type="dxa"/>
            <w:gridSpan w:val="5"/>
            <w:vAlign w:val="center"/>
          </w:tcPr>
          <w:p w14:paraId="4C6C8294" w14:textId="0F23CC53" w:rsidR="00655645" w:rsidRPr="00092862" w:rsidRDefault="00655645"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设备选型时选择低噪声设备，设置减震基础；工艺管道的设计考虑合理的流速，减少气流噪声；站内设备合理布局。</w:t>
            </w:r>
          </w:p>
        </w:tc>
      </w:tr>
      <w:tr w:rsidR="00697429" w:rsidRPr="00092862" w14:paraId="011FDA44" w14:textId="77777777" w:rsidTr="00283832">
        <w:trPr>
          <w:cantSplit/>
          <w:jc w:val="center"/>
        </w:trPr>
        <w:tc>
          <w:tcPr>
            <w:tcW w:w="704" w:type="dxa"/>
            <w:tcMar>
              <w:left w:w="0" w:type="dxa"/>
              <w:right w:w="0" w:type="dxa"/>
            </w:tcMar>
            <w:vAlign w:val="center"/>
          </w:tcPr>
          <w:p w14:paraId="7FD72186" w14:textId="3746D14F" w:rsidR="00283832" w:rsidRPr="00092862" w:rsidRDefault="00FB1FFA"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w:t>
            </w:r>
          </w:p>
        </w:tc>
        <w:tc>
          <w:tcPr>
            <w:tcW w:w="1559" w:type="dxa"/>
            <w:vAlign w:val="center"/>
          </w:tcPr>
          <w:p w14:paraId="7B2E0F68" w14:textId="0F02703F" w:rsidR="00283832" w:rsidRPr="00092862" w:rsidRDefault="00283832"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1134" w:type="dxa"/>
            <w:vAlign w:val="center"/>
          </w:tcPr>
          <w:p w14:paraId="31120131" w14:textId="157BA8D8" w:rsidR="00283832" w:rsidRPr="00092862" w:rsidRDefault="00283832"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1276" w:type="dxa"/>
            <w:vAlign w:val="center"/>
          </w:tcPr>
          <w:p w14:paraId="1AC48ABF" w14:textId="3F19F993" w:rsidR="00283832" w:rsidRPr="00092862" w:rsidRDefault="00DB2C6C"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134" w:type="dxa"/>
            <w:gridSpan w:val="2"/>
            <w:vAlign w:val="center"/>
          </w:tcPr>
          <w:p w14:paraId="010B81FB" w14:textId="77777777" w:rsidR="00283832" w:rsidRPr="00092862" w:rsidRDefault="00283832" w:rsidP="00655645">
            <w:pPr>
              <w:snapToGrid w:val="0"/>
              <w:jc w:val="center"/>
              <w:rPr>
                <w:rFonts w:ascii="Times New Roman" w:eastAsia="宋体" w:hAnsi="Times New Roman" w:cs="Times New Roman"/>
                <w:color w:val="000000" w:themeColor="text1"/>
                <w:szCs w:val="21"/>
              </w:rPr>
            </w:pPr>
          </w:p>
        </w:tc>
        <w:tc>
          <w:tcPr>
            <w:tcW w:w="2415" w:type="dxa"/>
            <w:vAlign w:val="center"/>
          </w:tcPr>
          <w:p w14:paraId="31861D54" w14:textId="7C84F25B" w:rsidR="00283832" w:rsidRPr="00092862" w:rsidRDefault="00DB2C6C"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依托老君</w:t>
            </w:r>
            <w:r w:rsidRPr="00092862">
              <w:rPr>
                <w:rFonts w:ascii="Times New Roman" w:eastAsia="宋体" w:hAnsi="Times New Roman" w:cs="Times New Roman"/>
                <w:color w:val="000000" w:themeColor="text1"/>
                <w:szCs w:val="21"/>
              </w:rPr>
              <w:t>701</w:t>
            </w:r>
            <w:r w:rsidRPr="00092862">
              <w:rPr>
                <w:rFonts w:ascii="Times New Roman" w:eastAsia="宋体" w:hAnsi="Times New Roman" w:cs="Times New Roman"/>
                <w:color w:val="000000" w:themeColor="text1"/>
                <w:szCs w:val="21"/>
              </w:rPr>
              <w:t>集气站值守人员，本次不新增。既有值守人员生活垃圾</w:t>
            </w:r>
            <w:r w:rsidR="00283832" w:rsidRPr="00092862">
              <w:rPr>
                <w:rFonts w:ascii="Times New Roman" w:eastAsia="宋体" w:hAnsi="Times New Roman" w:cs="Times New Roman"/>
                <w:color w:val="000000" w:themeColor="text1"/>
                <w:szCs w:val="21"/>
              </w:rPr>
              <w:t>交由</w:t>
            </w:r>
            <w:r w:rsidR="00FB1FFA" w:rsidRPr="00092862">
              <w:rPr>
                <w:rFonts w:ascii="Times New Roman" w:eastAsia="宋体" w:hAnsi="Times New Roman" w:cs="Times New Roman"/>
                <w:color w:val="000000" w:themeColor="text1"/>
                <w:szCs w:val="21"/>
              </w:rPr>
              <w:t>老君乡</w:t>
            </w:r>
            <w:r w:rsidR="00283832" w:rsidRPr="00092862">
              <w:rPr>
                <w:rFonts w:ascii="Times New Roman" w:eastAsia="宋体" w:hAnsi="Times New Roman" w:cs="Times New Roman"/>
                <w:color w:val="000000" w:themeColor="text1"/>
                <w:szCs w:val="21"/>
              </w:rPr>
              <w:t>环卫部门处置</w:t>
            </w:r>
          </w:p>
        </w:tc>
      </w:tr>
      <w:tr w:rsidR="00697429" w:rsidRPr="00092862" w14:paraId="0E7349D6" w14:textId="77777777" w:rsidTr="00BB0B1C">
        <w:trPr>
          <w:cantSplit/>
          <w:jc w:val="center"/>
        </w:trPr>
        <w:tc>
          <w:tcPr>
            <w:tcW w:w="704" w:type="dxa"/>
            <w:tcMar>
              <w:left w:w="0" w:type="dxa"/>
              <w:right w:w="0" w:type="dxa"/>
            </w:tcMar>
            <w:vAlign w:val="center"/>
          </w:tcPr>
          <w:p w14:paraId="6B133DED" w14:textId="77777777" w:rsidR="00655645" w:rsidRPr="00092862" w:rsidRDefault="00655645"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w:t>
            </w:r>
          </w:p>
        </w:tc>
        <w:tc>
          <w:tcPr>
            <w:tcW w:w="1559" w:type="dxa"/>
            <w:vAlign w:val="center"/>
          </w:tcPr>
          <w:p w14:paraId="5C3BAD39" w14:textId="1F5438CA" w:rsidR="00655645" w:rsidRPr="00092862" w:rsidRDefault="00F30AFD"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集气站</w:t>
            </w:r>
            <w:r w:rsidR="00076930" w:rsidRPr="00092862">
              <w:rPr>
                <w:rFonts w:ascii="Times New Roman" w:eastAsia="宋体" w:hAnsi="Times New Roman" w:cs="Times New Roman"/>
                <w:color w:val="000000" w:themeColor="text1"/>
                <w:szCs w:val="21"/>
              </w:rPr>
              <w:t>、火炬区、进场道路</w:t>
            </w:r>
            <w:r w:rsidR="00655645" w:rsidRPr="00092862">
              <w:rPr>
                <w:rFonts w:ascii="Times New Roman" w:eastAsia="宋体" w:hAnsi="Times New Roman" w:cs="Times New Roman"/>
                <w:color w:val="000000" w:themeColor="text1"/>
                <w:szCs w:val="21"/>
              </w:rPr>
              <w:t>占地</w:t>
            </w:r>
          </w:p>
        </w:tc>
        <w:tc>
          <w:tcPr>
            <w:tcW w:w="3544" w:type="dxa"/>
            <w:gridSpan w:val="4"/>
            <w:vAlign w:val="center"/>
          </w:tcPr>
          <w:p w14:paraId="787154EC" w14:textId="28F32C38" w:rsidR="00655645" w:rsidRPr="00092862" w:rsidRDefault="00655645"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改变土地利用类型</w:t>
            </w:r>
          </w:p>
        </w:tc>
        <w:tc>
          <w:tcPr>
            <w:tcW w:w="2415" w:type="dxa"/>
            <w:vAlign w:val="center"/>
          </w:tcPr>
          <w:p w14:paraId="2ED3CD2F" w14:textId="77777777" w:rsidR="00655645" w:rsidRPr="00092862" w:rsidRDefault="00655645"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加强站场绿化</w:t>
            </w:r>
          </w:p>
        </w:tc>
      </w:tr>
      <w:tr w:rsidR="00697429" w:rsidRPr="00092862" w14:paraId="59661D9A" w14:textId="77777777" w:rsidTr="005B302A">
        <w:trPr>
          <w:cantSplit/>
          <w:jc w:val="center"/>
        </w:trPr>
        <w:tc>
          <w:tcPr>
            <w:tcW w:w="704" w:type="dxa"/>
            <w:tcMar>
              <w:left w:w="0" w:type="dxa"/>
              <w:right w:w="0" w:type="dxa"/>
            </w:tcMar>
            <w:vAlign w:val="center"/>
          </w:tcPr>
          <w:p w14:paraId="77E44E56" w14:textId="77777777" w:rsidR="00655645" w:rsidRPr="00092862" w:rsidRDefault="00655645" w:rsidP="0065564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环境风险</w:t>
            </w:r>
          </w:p>
        </w:tc>
        <w:tc>
          <w:tcPr>
            <w:tcW w:w="7518" w:type="dxa"/>
            <w:gridSpan w:val="6"/>
            <w:vAlign w:val="center"/>
          </w:tcPr>
          <w:p w14:paraId="0C9E30E8" w14:textId="2B42F950" w:rsidR="00655645" w:rsidRPr="00092862" w:rsidRDefault="00655645" w:rsidP="00655645">
            <w:pPr>
              <w:snapToGrid w:val="0"/>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r w:rsidRPr="00092862">
              <w:rPr>
                <w:rFonts w:ascii="Times New Roman" w:eastAsia="宋体" w:hAnsi="Times New Roman" w:cs="Times New Roman"/>
                <w:bCs/>
                <w:color w:val="000000" w:themeColor="text1"/>
                <w:szCs w:val="21"/>
              </w:rPr>
              <w:t>、</w:t>
            </w:r>
            <w:r w:rsidR="001A6854" w:rsidRPr="00092862">
              <w:rPr>
                <w:rFonts w:ascii="Times New Roman" w:eastAsia="宋体" w:hAnsi="Times New Roman" w:cs="Times New Roman"/>
                <w:bCs/>
                <w:color w:val="000000" w:themeColor="text1"/>
                <w:szCs w:val="21"/>
              </w:rPr>
              <w:t>试采期</w:t>
            </w:r>
            <w:r w:rsidRPr="00092862">
              <w:rPr>
                <w:rFonts w:ascii="Times New Roman" w:eastAsia="宋体" w:hAnsi="Times New Roman" w:cs="Times New Roman"/>
                <w:bCs/>
                <w:color w:val="000000" w:themeColor="text1"/>
                <w:szCs w:val="21"/>
              </w:rPr>
              <w:t>环境风险主要是采气管线发生破裂造成天然气泄漏事故以及泄露气体遇明火引起火灾或爆炸对附近人群生命财产造成伤害与损失。</w:t>
            </w:r>
          </w:p>
          <w:p w14:paraId="2BC6EAE8" w14:textId="6DB5042E" w:rsidR="00655645" w:rsidRPr="00092862" w:rsidRDefault="00655645" w:rsidP="00655645">
            <w:pPr>
              <w:snapToGrid w:val="0"/>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r w:rsidRPr="00092862">
              <w:rPr>
                <w:rFonts w:ascii="Times New Roman" w:eastAsia="宋体" w:hAnsi="Times New Roman" w:cs="Times New Roman"/>
                <w:bCs/>
                <w:color w:val="000000" w:themeColor="text1"/>
                <w:szCs w:val="21"/>
              </w:rPr>
              <w:t>、</w:t>
            </w:r>
            <w:r w:rsidR="00F30AFD" w:rsidRPr="00092862">
              <w:rPr>
                <w:rFonts w:ascii="Times New Roman" w:eastAsia="宋体" w:hAnsi="Times New Roman" w:cs="Times New Roman"/>
                <w:bCs/>
                <w:color w:val="000000" w:themeColor="text1"/>
                <w:szCs w:val="21"/>
              </w:rPr>
              <w:t>集气站</w:t>
            </w:r>
            <w:r w:rsidRPr="00092862">
              <w:rPr>
                <w:rFonts w:ascii="Times New Roman" w:eastAsia="宋体" w:hAnsi="Times New Roman" w:cs="Times New Roman"/>
                <w:bCs/>
                <w:color w:val="000000" w:themeColor="text1"/>
                <w:szCs w:val="21"/>
              </w:rPr>
              <w:t>事故时的天然气放空，对附近人群生命财产造成伤害与损失。</w:t>
            </w:r>
          </w:p>
          <w:p w14:paraId="092E89B8" w14:textId="376C5623" w:rsidR="00655645" w:rsidRPr="00092862" w:rsidRDefault="00655645" w:rsidP="00655645">
            <w:pPr>
              <w:snapToGrid w:val="0"/>
              <w:rPr>
                <w:rFonts w:ascii="Times New Roman" w:eastAsia="宋体" w:hAnsi="Times New Roman" w:cs="Times New Roman"/>
                <w:color w:val="000000" w:themeColor="text1"/>
              </w:rPr>
            </w:pPr>
            <w:r w:rsidRPr="00092862">
              <w:rPr>
                <w:rFonts w:ascii="Times New Roman" w:eastAsia="宋体" w:hAnsi="Times New Roman" w:cs="Times New Roman"/>
                <w:bCs/>
                <w:color w:val="000000" w:themeColor="text1"/>
                <w:szCs w:val="21"/>
              </w:rPr>
              <w:t>3</w:t>
            </w:r>
            <w:r w:rsidRPr="00092862">
              <w:rPr>
                <w:rFonts w:ascii="Times New Roman" w:eastAsia="宋体" w:hAnsi="Times New Roman" w:cs="Times New Roman"/>
                <w:bCs/>
                <w:color w:val="000000" w:themeColor="text1"/>
                <w:szCs w:val="21"/>
              </w:rPr>
              <w:t>、</w:t>
            </w:r>
            <w:r w:rsidR="00DD4FA1" w:rsidRPr="00092862">
              <w:rPr>
                <w:rFonts w:ascii="Times New Roman" w:eastAsia="宋体" w:hAnsi="Times New Roman" w:cs="Times New Roman"/>
                <w:bCs/>
                <w:color w:val="000000" w:themeColor="text1"/>
                <w:szCs w:val="21"/>
              </w:rPr>
              <w:t>火炬分液罐</w:t>
            </w:r>
            <w:r w:rsidRPr="00092862">
              <w:rPr>
                <w:rFonts w:ascii="Times New Roman" w:eastAsia="宋体" w:hAnsi="Times New Roman" w:cs="Times New Roman"/>
                <w:bCs/>
                <w:color w:val="000000" w:themeColor="text1"/>
                <w:szCs w:val="21"/>
              </w:rPr>
              <w:t>存储的采气废水泄漏环境风险；污染物外运处理中的运输风险等</w:t>
            </w:r>
          </w:p>
        </w:tc>
      </w:tr>
    </w:tbl>
    <w:p w14:paraId="3D8A7AE8" w14:textId="77777777" w:rsidR="00CA7777" w:rsidRPr="00092862" w:rsidRDefault="00CA7777" w:rsidP="00CA7777">
      <w:pPr>
        <w:pStyle w:val="3"/>
        <w:adjustRightInd w:val="0"/>
        <w:snapToGrid w:val="0"/>
        <w:spacing w:beforeLines="50" w:before="120" w:after="0" w:line="360" w:lineRule="auto"/>
        <w:ind w:firstLineChars="200" w:firstLine="482"/>
        <w:rPr>
          <w:rFonts w:ascii="Times New Roman" w:hAnsi="Times New Roman"/>
          <w:bCs w:val="0"/>
          <w:color w:val="000000" w:themeColor="text1"/>
          <w:sz w:val="24"/>
          <w:szCs w:val="24"/>
          <w:lang w:eastAsia="zh-CN"/>
        </w:rPr>
      </w:pPr>
      <w:bookmarkStart w:id="137" w:name="_Toc120173115"/>
      <w:r w:rsidRPr="00092862">
        <w:rPr>
          <w:rFonts w:ascii="Times New Roman" w:hAnsi="Times New Roman"/>
          <w:bCs w:val="0"/>
          <w:color w:val="000000" w:themeColor="text1"/>
          <w:sz w:val="24"/>
          <w:szCs w:val="24"/>
          <w:lang w:eastAsia="zh-CN"/>
        </w:rPr>
        <w:t>3.4.3</w:t>
      </w:r>
      <w:r w:rsidRPr="00092862">
        <w:rPr>
          <w:rFonts w:ascii="Times New Roman" w:hAnsi="Times New Roman"/>
          <w:bCs w:val="0"/>
          <w:color w:val="000000" w:themeColor="text1"/>
          <w:sz w:val="24"/>
          <w:szCs w:val="24"/>
          <w:lang w:eastAsia="zh-CN"/>
        </w:rPr>
        <w:t>退役期污染源强分析</w:t>
      </w:r>
      <w:bookmarkEnd w:id="137"/>
    </w:p>
    <w:p w14:paraId="0499E795" w14:textId="4F21359B" w:rsidR="00C04A25" w:rsidRPr="00092862" w:rsidRDefault="00C04A25" w:rsidP="00C04A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随着井站开采的不断进行，其储量逐渐下降，最终进入退役期</w:t>
      </w:r>
      <w:r w:rsidR="00A31899" w:rsidRPr="00092862">
        <w:rPr>
          <w:rFonts w:ascii="Times New Roman" w:eastAsia="宋体" w:hAnsi="Times New Roman" w:cs="Times New Roman"/>
          <w:bCs/>
          <w:color w:val="000000" w:themeColor="text1"/>
          <w:sz w:val="24"/>
        </w:rPr>
        <w:t>（若试采效果不理想，也会提前进入退役期</w:t>
      </w:r>
      <w:r w:rsidR="00F40728" w:rsidRPr="00092862">
        <w:rPr>
          <w:rFonts w:ascii="Times New Roman" w:eastAsia="宋体" w:hAnsi="Times New Roman" w:cs="Times New Roman"/>
          <w:bCs/>
          <w:color w:val="000000" w:themeColor="text1"/>
          <w:sz w:val="24"/>
        </w:rPr>
        <w:t>，若集气站与井口有后续开发计划，则井口封井后与集气站留待后续开发使用，生态恢复纳入后续建设工程</w:t>
      </w:r>
      <w:r w:rsidR="00A31899"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color w:val="000000" w:themeColor="text1"/>
          <w:sz w:val="24"/>
          <w:szCs w:val="24"/>
        </w:rPr>
        <w:t>。当气井开发接近尾声时，各种机械设备将停止使用，由此带来的大气污染物、生产废水、噪声及固体废物等对环境的影响将会消失。</w:t>
      </w:r>
    </w:p>
    <w:p w14:paraId="1F55F5AE" w14:textId="77777777" w:rsidR="00C04A25" w:rsidRPr="00092862" w:rsidRDefault="00C04A25" w:rsidP="00C04A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气井停采后应按照《废弃井及长停井处置指南》（</w:t>
      </w:r>
      <w:r w:rsidRPr="00092862">
        <w:rPr>
          <w:rFonts w:ascii="Times New Roman" w:eastAsia="宋体" w:hAnsi="Times New Roman" w:cs="Times New Roman"/>
          <w:color w:val="000000" w:themeColor="text1"/>
          <w:sz w:val="24"/>
          <w:szCs w:val="24"/>
        </w:rPr>
        <w:t>SY/T 6646-2017</w:t>
      </w:r>
      <w:r w:rsidRPr="00092862">
        <w:rPr>
          <w:rFonts w:ascii="Times New Roman" w:eastAsia="宋体" w:hAnsi="Times New Roman" w:cs="Times New Roman"/>
          <w:color w:val="000000" w:themeColor="text1"/>
          <w:sz w:val="24"/>
          <w:szCs w:val="24"/>
        </w:rPr>
        <w:t>）等技术要求对井口进行封堵。除在井口周围设置围墙外，其余占地全部进行土地功能的恢复。与此同时，还要进行永久性占地等地表植被的恢复，主要措施及方案为：</w:t>
      </w:r>
    </w:p>
    <w:p w14:paraId="3FBED0AE" w14:textId="77777777" w:rsidR="00C04A25" w:rsidRPr="00092862" w:rsidRDefault="00C04A25" w:rsidP="00C04A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）站场清理工作：地面设施拆除、地下截去至少</w:t>
      </w:r>
      <w:r w:rsidRPr="00092862">
        <w:rPr>
          <w:rFonts w:ascii="Times New Roman" w:eastAsia="宋体" w:hAnsi="Times New Roman" w:cs="Times New Roman"/>
          <w:color w:val="000000" w:themeColor="text1"/>
          <w:sz w:val="24"/>
          <w:szCs w:val="24"/>
        </w:rPr>
        <w:t>1m</w:t>
      </w:r>
      <w:r w:rsidRPr="00092862">
        <w:rPr>
          <w:rFonts w:ascii="Times New Roman" w:eastAsia="宋体" w:hAnsi="Times New Roman" w:cs="Times New Roman"/>
          <w:color w:val="000000" w:themeColor="text1"/>
          <w:sz w:val="24"/>
          <w:szCs w:val="24"/>
        </w:rPr>
        <w:t>的井筒并用水泥灌注封井、井场清理等。在闭井施工操作中注意降尘措施，文明施工，防止水泥等的洒落与飘散，同时在清理井场时防止飞灰、扬尘的产生。</w:t>
      </w:r>
    </w:p>
    <w:p w14:paraId="16586D18" w14:textId="77777777" w:rsidR="00C04A25" w:rsidRPr="00092862" w:rsidRDefault="00C04A25" w:rsidP="00C04A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固体废物的清理和收集：井场清理等工作还会产生部分废弃管线、废弃建筑残渣等固体废物，对这些废弃管线、废弃建筑残渣等进行集中清理收集，管线回收再利用，废弃建筑残渣外运至指定建筑垃圾填埋场处置。</w:t>
      </w:r>
    </w:p>
    <w:p w14:paraId="595DE8F1" w14:textId="442A76DE" w:rsidR="00CA7777" w:rsidRPr="00092862" w:rsidRDefault="00C04A25" w:rsidP="00C04A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永久性占地地表恢复：井场经过清理后，永久性占地范围内的水泥平台或砂砾石铺垫被清理，随后根据周边区域的自然现状对其进行恢复，使井场恢复到相对自然的一种状态，井场范围内的自然植被会逐渐得以恢复。为使土地功能的尽快恢复，可增施肥料，加强灌溉等。在施肥时，应注意把有机肥和化肥结合起来用，以改良土壤结构及其理化性质，提高土壤的保肥保水能力，以恢复土壤的生产能力。</w:t>
      </w:r>
    </w:p>
    <w:p w14:paraId="2C1EFE5D" w14:textId="332D9A70" w:rsidR="001C1A01" w:rsidRPr="00092862" w:rsidRDefault="001C1A01" w:rsidP="001C1A0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若集气站已确定无进一步生产计划，建议建设单位参照企业拆除活动污染防治技术规定（试行）进行拆除，在拆除活动施工前，组织识别和分析拆除活动可能污染土壤、水和大气的风险点，以及周边环境敏感点。</w:t>
      </w:r>
      <w:r w:rsidR="00E43830" w:rsidRPr="00092862">
        <w:rPr>
          <w:rFonts w:ascii="Times New Roman" w:eastAsia="宋体" w:hAnsi="Times New Roman" w:cs="Times New Roman"/>
          <w:color w:val="000000" w:themeColor="text1"/>
          <w:sz w:val="24"/>
          <w:szCs w:val="24"/>
        </w:rPr>
        <w:t>重点防止拆除活动中的废水、固体废物，以及遗留物料和残留污染物污染土壤。尽量降低项目退役期拆除工程对环境的影响。</w:t>
      </w:r>
    </w:p>
    <w:p w14:paraId="038F7C14" w14:textId="77777777" w:rsidR="004E1CD5" w:rsidRPr="00092862" w:rsidRDefault="004E1CD5" w:rsidP="004E1CD5">
      <w:pPr>
        <w:adjustRightInd w:val="0"/>
        <w:snapToGrid w:val="0"/>
        <w:spacing w:line="360" w:lineRule="auto"/>
        <w:ind w:firstLineChars="200" w:firstLine="480"/>
        <w:rPr>
          <w:rFonts w:ascii="Times New Roman" w:eastAsia="宋体" w:hAnsi="Times New Roman" w:cs="Times New Roman"/>
          <w:color w:val="000000" w:themeColor="text1"/>
          <w:sz w:val="24"/>
          <w:szCs w:val="24"/>
        </w:rPr>
      </w:pPr>
    </w:p>
    <w:p w14:paraId="02BE3A60" w14:textId="77777777" w:rsidR="00C04A25" w:rsidRPr="00092862" w:rsidRDefault="00C04A25"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sectPr w:rsidR="00C04A25" w:rsidRPr="00092862" w:rsidSect="00E35FCA">
          <w:headerReference w:type="default" r:id="rId48"/>
          <w:footerReference w:type="default" r:id="rId49"/>
          <w:pgSz w:w="11910" w:h="16840"/>
          <w:pgMar w:top="1440" w:right="1800" w:bottom="1440" w:left="1800" w:header="1213" w:footer="635" w:gutter="0"/>
          <w:cols w:space="720"/>
          <w:docGrid w:linePitch="299"/>
        </w:sectPr>
      </w:pPr>
      <w:bookmarkStart w:id="138" w:name="3.4.4污染物排放情况汇总"/>
      <w:bookmarkStart w:id="139" w:name="_bookmark22"/>
      <w:bookmarkStart w:id="140" w:name="第四章__环境现状调查与评价"/>
      <w:bookmarkEnd w:id="138"/>
      <w:bookmarkEnd w:id="139"/>
      <w:bookmarkEnd w:id="140"/>
    </w:p>
    <w:p w14:paraId="56D219AA" w14:textId="77777777" w:rsidR="00DC446C" w:rsidRPr="00092862" w:rsidRDefault="003B1968"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141" w:name="_Toc123682536"/>
      <w:r w:rsidRPr="00092862">
        <w:rPr>
          <w:rFonts w:ascii="Times New Roman" w:eastAsia="黑体" w:hAnsi="Times New Roman"/>
          <w:b w:val="0"/>
          <w:color w:val="000000" w:themeColor="text1"/>
          <w:sz w:val="28"/>
          <w:szCs w:val="28"/>
          <w:lang w:eastAsia="zh-CN"/>
        </w:rPr>
        <w:lastRenderedPageBreak/>
        <w:t>4</w:t>
      </w:r>
      <w:r w:rsidRPr="00092862">
        <w:rPr>
          <w:rFonts w:ascii="Times New Roman" w:eastAsia="黑体" w:hAnsi="Times New Roman"/>
          <w:b w:val="0"/>
          <w:color w:val="000000" w:themeColor="text1"/>
          <w:sz w:val="28"/>
          <w:szCs w:val="28"/>
          <w:lang w:eastAsia="zh-CN"/>
        </w:rPr>
        <w:t>环境现状调查与评价</w:t>
      </w:r>
      <w:bookmarkEnd w:id="141"/>
    </w:p>
    <w:p w14:paraId="552F6FB7" w14:textId="77777777" w:rsidR="00DC446C" w:rsidRPr="00092862" w:rsidRDefault="003B1968" w:rsidP="003D2EEB">
      <w:pPr>
        <w:pStyle w:val="2"/>
        <w:ind w:firstLine="480"/>
        <w:rPr>
          <w:color w:val="000000" w:themeColor="text1"/>
          <w:szCs w:val="24"/>
          <w:lang w:eastAsia="zh-CN"/>
        </w:rPr>
      </w:pPr>
      <w:bookmarkStart w:id="142" w:name="_bookmark23"/>
      <w:bookmarkStart w:id="143" w:name="4.1自然环境现状"/>
      <w:bookmarkStart w:id="144" w:name="_Toc123682537"/>
      <w:bookmarkEnd w:id="142"/>
      <w:bookmarkEnd w:id="143"/>
      <w:r w:rsidRPr="00092862">
        <w:rPr>
          <w:color w:val="000000" w:themeColor="text1"/>
          <w:szCs w:val="24"/>
          <w:lang w:eastAsia="zh-CN"/>
        </w:rPr>
        <w:t>4.1</w:t>
      </w:r>
      <w:r w:rsidRPr="00092862">
        <w:rPr>
          <w:color w:val="000000" w:themeColor="text1"/>
          <w:szCs w:val="24"/>
          <w:lang w:eastAsia="zh-CN"/>
        </w:rPr>
        <w:t>自然环境现状</w:t>
      </w:r>
      <w:bookmarkEnd w:id="144"/>
    </w:p>
    <w:p w14:paraId="17DDB1F9"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45" w:name="4.1.1地理位置"/>
      <w:bookmarkStart w:id="146" w:name="_Toc120173119"/>
      <w:bookmarkEnd w:id="145"/>
      <w:r w:rsidRPr="00092862">
        <w:rPr>
          <w:rFonts w:ascii="Times New Roman" w:eastAsia="黑体" w:hAnsi="Times New Roman"/>
          <w:b w:val="0"/>
          <w:color w:val="000000" w:themeColor="text1"/>
          <w:sz w:val="24"/>
          <w:szCs w:val="24"/>
          <w:lang w:eastAsia="zh-CN"/>
        </w:rPr>
        <w:t>4.1.1</w:t>
      </w:r>
      <w:r w:rsidRPr="00092862">
        <w:rPr>
          <w:rFonts w:ascii="Times New Roman" w:eastAsia="黑体" w:hAnsi="Times New Roman"/>
          <w:b w:val="0"/>
          <w:color w:val="000000" w:themeColor="text1"/>
          <w:sz w:val="24"/>
          <w:szCs w:val="24"/>
          <w:lang w:eastAsia="zh-CN"/>
        </w:rPr>
        <w:t>地理位置</w:t>
      </w:r>
      <w:bookmarkEnd w:id="146"/>
    </w:p>
    <w:p w14:paraId="0BAD53D8" w14:textId="77777777" w:rsidR="007039E2" w:rsidRPr="00092862" w:rsidRDefault="007039E2" w:rsidP="007039E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宣汉县介于东经</w:t>
      </w:r>
      <w:r w:rsidRPr="00092862">
        <w:rPr>
          <w:rFonts w:ascii="Times New Roman" w:eastAsia="宋体" w:hAnsi="Times New Roman" w:cs="Times New Roman"/>
          <w:color w:val="000000" w:themeColor="text1"/>
          <w:sz w:val="24"/>
          <w:szCs w:val="24"/>
        </w:rPr>
        <w:t>107°22′</w:t>
      </w:r>
      <w:r w:rsidRPr="00092862">
        <w:rPr>
          <w:rFonts w:ascii="Times New Roman" w:eastAsia="宋体" w:hAnsi="Times New Roman" w:cs="Times New Roman"/>
          <w:color w:val="000000" w:themeColor="text1"/>
          <w:sz w:val="24"/>
          <w:szCs w:val="24"/>
        </w:rPr>
        <w:t>至</w:t>
      </w:r>
      <w:r w:rsidRPr="00092862">
        <w:rPr>
          <w:rFonts w:ascii="Times New Roman" w:eastAsia="宋体" w:hAnsi="Times New Roman" w:cs="Times New Roman"/>
          <w:color w:val="000000" w:themeColor="text1"/>
          <w:sz w:val="24"/>
          <w:szCs w:val="24"/>
        </w:rPr>
        <w:t>108°32′</w:t>
      </w:r>
      <w:r w:rsidRPr="00092862">
        <w:rPr>
          <w:rFonts w:ascii="Times New Roman" w:eastAsia="宋体" w:hAnsi="Times New Roman" w:cs="Times New Roman"/>
          <w:color w:val="000000" w:themeColor="text1"/>
          <w:sz w:val="24"/>
          <w:szCs w:val="24"/>
        </w:rPr>
        <w:t>和北纬</w:t>
      </w:r>
      <w:r w:rsidRPr="00092862">
        <w:rPr>
          <w:rFonts w:ascii="Times New Roman" w:eastAsia="宋体" w:hAnsi="Times New Roman" w:cs="Times New Roman"/>
          <w:color w:val="000000" w:themeColor="text1"/>
          <w:sz w:val="24"/>
          <w:szCs w:val="24"/>
        </w:rPr>
        <w:t>31°06′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31°49′</w:t>
      </w:r>
      <w:r w:rsidRPr="00092862">
        <w:rPr>
          <w:rFonts w:ascii="Times New Roman" w:eastAsia="宋体" w:hAnsi="Times New Roman" w:cs="Times New Roman"/>
          <w:color w:val="000000" w:themeColor="text1"/>
          <w:sz w:val="24"/>
          <w:szCs w:val="24"/>
        </w:rPr>
        <w:t>之间。东北与城口接壤，东与开县相邻，南连开江，西接达川、通川和平昌，北与万源交界，是北通陕西、东达湖北的要口。境内地形地貌复杂、山势逶迤，由东北向西南倾斜绵延，呈</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七山一水两分田</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总体地貌。县境东西最长</w:t>
      </w:r>
      <w:r w:rsidRPr="00092862">
        <w:rPr>
          <w:rFonts w:ascii="Times New Roman" w:eastAsia="宋体" w:hAnsi="Times New Roman" w:cs="Times New Roman"/>
          <w:color w:val="000000" w:themeColor="text1"/>
          <w:sz w:val="24"/>
          <w:szCs w:val="24"/>
        </w:rPr>
        <w:t>110.6km</w:t>
      </w:r>
      <w:r w:rsidRPr="00092862">
        <w:rPr>
          <w:rFonts w:ascii="Times New Roman" w:eastAsia="宋体" w:hAnsi="Times New Roman" w:cs="Times New Roman"/>
          <w:color w:val="000000" w:themeColor="text1"/>
          <w:sz w:val="24"/>
          <w:szCs w:val="24"/>
        </w:rPr>
        <w:t>，南北最</w:t>
      </w:r>
      <w:r w:rsidRPr="00092862">
        <w:rPr>
          <w:rFonts w:ascii="Times New Roman" w:eastAsia="宋体" w:hAnsi="Times New Roman" w:cs="Times New Roman"/>
          <w:color w:val="000000" w:themeColor="text1"/>
          <w:sz w:val="24"/>
          <w:szCs w:val="24"/>
        </w:rPr>
        <w:t>78.8km</w:t>
      </w:r>
      <w:r w:rsidRPr="00092862">
        <w:rPr>
          <w:rFonts w:ascii="Times New Roman" w:eastAsia="宋体" w:hAnsi="Times New Roman" w:cs="Times New Roman"/>
          <w:color w:val="000000" w:themeColor="text1"/>
          <w:sz w:val="24"/>
          <w:szCs w:val="24"/>
        </w:rPr>
        <w:t>，边界线总长</w:t>
      </w:r>
      <w:r w:rsidRPr="00092862">
        <w:rPr>
          <w:rFonts w:ascii="Times New Roman" w:eastAsia="宋体" w:hAnsi="Times New Roman" w:cs="Times New Roman"/>
          <w:color w:val="000000" w:themeColor="text1"/>
          <w:sz w:val="24"/>
          <w:szCs w:val="24"/>
        </w:rPr>
        <w:t>590.6km</w:t>
      </w:r>
      <w:r w:rsidRPr="00092862">
        <w:rPr>
          <w:rFonts w:ascii="Times New Roman" w:eastAsia="宋体" w:hAnsi="Times New Roman" w:cs="Times New Roman"/>
          <w:color w:val="000000" w:themeColor="text1"/>
          <w:sz w:val="24"/>
          <w:szCs w:val="24"/>
        </w:rPr>
        <w:t>。</w:t>
      </w:r>
    </w:p>
    <w:p w14:paraId="4CE3410B" w14:textId="3333C57A" w:rsidR="00DC446C" w:rsidRPr="00092862" w:rsidRDefault="000846B2" w:rsidP="007039E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本项目位于达州市</w:t>
      </w:r>
      <w:r w:rsidR="00BD26E4" w:rsidRPr="00092862">
        <w:rPr>
          <w:rFonts w:ascii="Times New Roman" w:eastAsia="宋体" w:hAnsi="Times New Roman" w:cs="Times New Roman"/>
          <w:color w:val="000000" w:themeColor="text1"/>
          <w:sz w:val="24"/>
          <w:szCs w:val="24"/>
        </w:rPr>
        <w:t>宣汉县</w:t>
      </w:r>
      <w:r w:rsidR="00215953" w:rsidRPr="00092862">
        <w:rPr>
          <w:rFonts w:ascii="Times New Roman" w:eastAsia="宋体" w:hAnsi="Times New Roman" w:cs="Times New Roman"/>
          <w:color w:val="000000" w:themeColor="text1"/>
          <w:sz w:val="24"/>
          <w:szCs w:val="24"/>
        </w:rPr>
        <w:t>老君乡古楼村</w:t>
      </w:r>
      <w:r w:rsidR="007039E2" w:rsidRPr="00092862">
        <w:rPr>
          <w:rFonts w:ascii="Times New Roman" w:eastAsia="宋体" w:hAnsi="Times New Roman" w:cs="Times New Roman"/>
          <w:color w:val="000000" w:themeColor="text1"/>
          <w:sz w:val="24"/>
          <w:szCs w:val="24"/>
        </w:rPr>
        <w:t>。项目地理位置见附图</w:t>
      </w:r>
      <w:r w:rsidR="007039E2" w:rsidRPr="00092862">
        <w:rPr>
          <w:rFonts w:ascii="Times New Roman" w:eastAsia="宋体" w:hAnsi="Times New Roman" w:cs="Times New Roman"/>
          <w:color w:val="000000" w:themeColor="text1"/>
          <w:sz w:val="24"/>
          <w:szCs w:val="24"/>
        </w:rPr>
        <w:t>1</w:t>
      </w:r>
      <w:r w:rsidR="007039E2" w:rsidRPr="00092862">
        <w:rPr>
          <w:rFonts w:ascii="Times New Roman" w:eastAsia="宋体" w:hAnsi="Times New Roman" w:cs="Times New Roman"/>
          <w:color w:val="000000" w:themeColor="text1"/>
          <w:sz w:val="24"/>
          <w:szCs w:val="24"/>
        </w:rPr>
        <w:t>。</w:t>
      </w:r>
    </w:p>
    <w:p w14:paraId="45431A23" w14:textId="5E58CBB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47" w:name="4.1.2地形、地貌"/>
      <w:bookmarkStart w:id="148" w:name="_Toc120173120"/>
      <w:bookmarkEnd w:id="147"/>
      <w:r w:rsidRPr="00092862">
        <w:rPr>
          <w:rFonts w:ascii="Times New Roman" w:eastAsia="黑体" w:hAnsi="Times New Roman"/>
          <w:b w:val="0"/>
          <w:color w:val="000000" w:themeColor="text1"/>
          <w:sz w:val="24"/>
          <w:szCs w:val="24"/>
          <w:lang w:eastAsia="zh-CN"/>
        </w:rPr>
        <w:t>4.1.2</w:t>
      </w:r>
      <w:r w:rsidRPr="00092862">
        <w:rPr>
          <w:rFonts w:ascii="Times New Roman" w:eastAsia="黑体" w:hAnsi="Times New Roman"/>
          <w:b w:val="0"/>
          <w:color w:val="000000" w:themeColor="text1"/>
          <w:sz w:val="24"/>
          <w:szCs w:val="24"/>
          <w:lang w:eastAsia="zh-CN"/>
        </w:rPr>
        <w:t>地形、地貌</w:t>
      </w:r>
      <w:bookmarkEnd w:id="148"/>
    </w:p>
    <w:p w14:paraId="083CD104" w14:textId="297EA3F2" w:rsidR="00960F11" w:rsidRPr="00092862" w:rsidRDefault="007039E2" w:rsidP="0037608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宣汉县按地形、地貌形态可分为</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区：一、丘陵河谷区，约占县境内四川地貌区划中属米仓山大巴山中山区和盆北低山区、盆东平行岭谷区的一部分，以低山和低中山为主。低山、中山面积占全县总幅员的</w:t>
      </w:r>
      <w:r w:rsidRPr="00092862">
        <w:rPr>
          <w:rFonts w:ascii="Times New Roman" w:eastAsia="宋体" w:hAnsi="Times New Roman" w:cs="Times New Roman"/>
          <w:color w:val="000000" w:themeColor="text1"/>
          <w:sz w:val="24"/>
          <w:szCs w:val="24"/>
        </w:rPr>
        <w:t>90.2%</w:t>
      </w:r>
      <w:r w:rsidRPr="00092862">
        <w:rPr>
          <w:rFonts w:ascii="Times New Roman" w:eastAsia="宋体" w:hAnsi="Times New Roman" w:cs="Times New Roman"/>
          <w:color w:val="000000" w:themeColor="text1"/>
          <w:sz w:val="24"/>
          <w:szCs w:val="24"/>
        </w:rPr>
        <w:t>；二、低山区，约占</w:t>
      </w:r>
      <w:r w:rsidRPr="00092862">
        <w:rPr>
          <w:rFonts w:ascii="Times New Roman" w:eastAsia="宋体" w:hAnsi="Times New Roman" w:cs="Times New Roman"/>
          <w:color w:val="000000" w:themeColor="text1"/>
          <w:sz w:val="24"/>
          <w:szCs w:val="24"/>
        </w:rPr>
        <w:t>25%</w:t>
      </w:r>
      <w:r w:rsidRPr="00092862">
        <w:rPr>
          <w:rFonts w:ascii="Times New Roman" w:eastAsia="宋体" w:hAnsi="Times New Roman" w:cs="Times New Roman"/>
          <w:color w:val="000000" w:themeColor="text1"/>
          <w:sz w:val="24"/>
          <w:szCs w:val="24"/>
        </w:rPr>
        <w:t>；三、低中山区，约占</w:t>
      </w:r>
      <w:r w:rsidRPr="00092862">
        <w:rPr>
          <w:rFonts w:ascii="Times New Roman" w:eastAsia="宋体" w:hAnsi="Times New Roman" w:cs="Times New Roman"/>
          <w:color w:val="000000" w:themeColor="text1"/>
          <w:sz w:val="24"/>
          <w:szCs w:val="24"/>
        </w:rPr>
        <w:t>65.2%</w:t>
      </w:r>
      <w:r w:rsidRPr="00092862">
        <w:rPr>
          <w:rFonts w:ascii="Times New Roman" w:eastAsia="宋体" w:hAnsi="Times New Roman" w:cs="Times New Roman"/>
          <w:color w:val="000000" w:themeColor="text1"/>
          <w:sz w:val="24"/>
          <w:szCs w:val="24"/>
        </w:rPr>
        <w:t>，可分为平坝、台地或高阶台地、浅丘陵、深丘陵、低山</w:t>
      </w:r>
      <w:r w:rsidR="00376080" w:rsidRPr="00092862">
        <w:rPr>
          <w:rFonts w:ascii="Times New Roman" w:eastAsia="宋体" w:hAnsi="Times New Roman" w:cs="Times New Roman"/>
          <w:color w:val="000000" w:themeColor="text1"/>
          <w:sz w:val="24"/>
          <w:szCs w:val="24"/>
        </w:rPr>
        <w:t>。</w:t>
      </w:r>
    </w:p>
    <w:p w14:paraId="202B4818"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49" w:name="4.1.3水文水系"/>
      <w:bookmarkStart w:id="150" w:name="_Toc120173121"/>
      <w:bookmarkEnd w:id="149"/>
      <w:r w:rsidRPr="00092862">
        <w:rPr>
          <w:rFonts w:ascii="Times New Roman" w:eastAsia="黑体" w:hAnsi="Times New Roman"/>
          <w:b w:val="0"/>
          <w:color w:val="000000" w:themeColor="text1"/>
          <w:sz w:val="24"/>
          <w:szCs w:val="24"/>
          <w:lang w:eastAsia="zh-CN"/>
        </w:rPr>
        <w:t>4.1.3</w:t>
      </w:r>
      <w:r w:rsidRPr="00092862">
        <w:rPr>
          <w:rFonts w:ascii="Times New Roman" w:eastAsia="黑体" w:hAnsi="Times New Roman"/>
          <w:b w:val="0"/>
          <w:color w:val="000000" w:themeColor="text1"/>
          <w:sz w:val="24"/>
          <w:szCs w:val="24"/>
          <w:lang w:eastAsia="zh-CN"/>
        </w:rPr>
        <w:t>水文水系</w:t>
      </w:r>
      <w:bookmarkEnd w:id="150"/>
    </w:p>
    <w:p w14:paraId="02AA054F" w14:textId="77777777"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、地表水</w:t>
      </w:r>
    </w:p>
    <w:p w14:paraId="4F9A4A8A" w14:textId="23F1E443"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本工程建设区域属渠江流域。渠江流域位于四川盆地东北部，是四川省五大水系（嘉、涪、渠、岷、乌）之一，是嘉陵江右岸的最大支流。渠江源出流域北、东北部的大巴山南麓，流域面积为</w:t>
      </w:r>
      <w:r w:rsidRPr="00092862">
        <w:rPr>
          <w:rFonts w:ascii="Times New Roman" w:hAnsi="Times New Roman"/>
          <w:color w:val="000000" w:themeColor="text1"/>
          <w:lang w:eastAsia="zh-CN"/>
        </w:rPr>
        <w:t>39220km</w:t>
      </w:r>
      <w:r w:rsidRPr="00092862">
        <w:rPr>
          <w:rFonts w:ascii="Times New Roman" w:hAnsi="Times New Roman"/>
          <w:color w:val="000000" w:themeColor="text1"/>
          <w:vertAlign w:val="superscript"/>
          <w:lang w:eastAsia="zh-CN"/>
        </w:rPr>
        <w:t>2</w:t>
      </w:r>
      <w:r w:rsidRPr="00092862">
        <w:rPr>
          <w:rFonts w:ascii="Times New Roman" w:hAnsi="Times New Roman"/>
          <w:color w:val="000000" w:themeColor="text1"/>
          <w:lang w:eastAsia="zh-CN"/>
        </w:rPr>
        <w:t>。渠江为多源头河流，其主要支流有前河、中河、后河；南江河、恩阳河、通江河。前三支流在宣汉汇而为州河；正流由南江、巴河、渠江三段自然河段组成。本工程建设区域内主要河流为后河。后河于宣汉县城东汇入州河，并在渠县三汇镇汇入渠江，南流至合川后注入嘉陵江。</w:t>
      </w:r>
    </w:p>
    <w:p w14:paraId="6D2A7BBB" w14:textId="35FAF70E"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后河均属山溪性河流，河谷狭窄，河道弯曲，落差大。河道开阔段与峡谷段相间出现，滩沱交错，水量丰富。</w:t>
      </w:r>
      <w:r w:rsidR="00815781" w:rsidRPr="00092862">
        <w:rPr>
          <w:rFonts w:ascii="Times New Roman" w:hAnsi="Times New Roman"/>
          <w:color w:val="000000" w:themeColor="text1"/>
          <w:lang w:eastAsia="zh-CN"/>
        </w:rPr>
        <w:t>项目区后河与上述描述相似。</w:t>
      </w:r>
    </w:p>
    <w:p w14:paraId="11D99F7C" w14:textId="77777777"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bookmarkStart w:id="151" w:name="_Toc19816012"/>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w:t>
      </w:r>
      <w:bookmarkEnd w:id="151"/>
      <w:r w:rsidRPr="00092862">
        <w:rPr>
          <w:rFonts w:ascii="Times New Roman" w:hAnsi="Times New Roman"/>
          <w:color w:val="000000" w:themeColor="text1"/>
          <w:lang w:eastAsia="zh-CN"/>
        </w:rPr>
        <w:t>地下水</w:t>
      </w:r>
    </w:p>
    <w:p w14:paraId="749EE3BD" w14:textId="3DD71581" w:rsidR="00B962D3" w:rsidRPr="00092862" w:rsidRDefault="00BC74E0"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普光气田开发区内地下水类型包括松散堆积层孔隙水、碎屑岩裂隙孔隙水和基岩裂隙水，其中本项目所在区域以</w:t>
      </w:r>
      <w:r w:rsidR="00F64CF6" w:rsidRPr="00092862">
        <w:rPr>
          <w:rFonts w:ascii="Times New Roman" w:hAnsi="Times New Roman"/>
          <w:color w:val="000000" w:themeColor="text1"/>
          <w:lang w:eastAsia="zh-CN"/>
        </w:rPr>
        <w:t>基岩裂隙水与碎屑岩类裂隙水</w:t>
      </w:r>
      <w:r w:rsidRPr="00092862">
        <w:rPr>
          <w:rFonts w:ascii="Times New Roman" w:hAnsi="Times New Roman"/>
          <w:color w:val="000000" w:themeColor="text1"/>
          <w:lang w:eastAsia="zh-CN"/>
        </w:rPr>
        <w:t>为主。沟谷地段为地下水的排泄区。岩性变化地段和结构松散的卸荷岩体具有较强的透水性能，岩体的透水性具有随着深度的增加、卸荷的减弱而递减的一般规律。</w:t>
      </w:r>
      <w:r w:rsidR="007039E2" w:rsidRPr="00092862">
        <w:rPr>
          <w:rFonts w:ascii="Times New Roman" w:hAnsi="Times New Roman"/>
          <w:color w:val="000000" w:themeColor="text1"/>
          <w:lang w:eastAsia="zh-CN"/>
        </w:rPr>
        <w:t>地层富水性差、水量较小，水位埋深</w:t>
      </w:r>
      <w:r w:rsidR="00E96FD3" w:rsidRPr="00092862">
        <w:rPr>
          <w:rFonts w:ascii="Times New Roman" w:hAnsi="Times New Roman"/>
          <w:color w:val="000000" w:themeColor="text1"/>
          <w:lang w:eastAsia="zh-CN"/>
        </w:rPr>
        <w:t>一般小于</w:t>
      </w:r>
      <w:r w:rsidR="00E96FD3" w:rsidRPr="00092862">
        <w:rPr>
          <w:rFonts w:ascii="Times New Roman" w:hAnsi="Times New Roman"/>
          <w:color w:val="000000" w:themeColor="text1"/>
          <w:lang w:eastAsia="zh-CN"/>
        </w:rPr>
        <w:t>20m</w:t>
      </w:r>
      <w:r w:rsidR="00E96FD3" w:rsidRPr="00092862">
        <w:rPr>
          <w:rFonts w:ascii="Times New Roman" w:hAnsi="Times New Roman"/>
          <w:color w:val="000000" w:themeColor="text1"/>
          <w:lang w:eastAsia="zh-CN"/>
        </w:rPr>
        <w:t>，含水层顶板埋深一般小于</w:t>
      </w:r>
      <w:r w:rsidR="00E96FD3" w:rsidRPr="00092862">
        <w:rPr>
          <w:rFonts w:ascii="Times New Roman" w:hAnsi="Times New Roman"/>
          <w:color w:val="000000" w:themeColor="text1"/>
          <w:lang w:eastAsia="zh-CN"/>
        </w:rPr>
        <w:t>50m</w:t>
      </w:r>
      <w:r w:rsidR="00044D8D" w:rsidRPr="00092862">
        <w:rPr>
          <w:rFonts w:ascii="Times New Roman" w:hAnsi="Times New Roman"/>
          <w:color w:val="000000" w:themeColor="text1"/>
          <w:lang w:eastAsia="zh-CN"/>
        </w:rPr>
        <w:t>。</w:t>
      </w:r>
    </w:p>
    <w:p w14:paraId="0E93AD9E"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52" w:name="4.1.4气候气象"/>
      <w:bookmarkStart w:id="153" w:name="_Toc120173122"/>
      <w:bookmarkEnd w:id="152"/>
      <w:r w:rsidRPr="00092862">
        <w:rPr>
          <w:rFonts w:ascii="Times New Roman" w:eastAsia="黑体" w:hAnsi="Times New Roman"/>
          <w:b w:val="0"/>
          <w:color w:val="000000" w:themeColor="text1"/>
          <w:sz w:val="24"/>
          <w:szCs w:val="24"/>
          <w:lang w:eastAsia="zh-CN"/>
        </w:rPr>
        <w:t>4.1.4</w:t>
      </w:r>
      <w:r w:rsidRPr="00092862">
        <w:rPr>
          <w:rFonts w:ascii="Times New Roman" w:eastAsia="黑体" w:hAnsi="Times New Roman"/>
          <w:b w:val="0"/>
          <w:color w:val="000000" w:themeColor="text1"/>
          <w:sz w:val="24"/>
          <w:szCs w:val="24"/>
          <w:lang w:eastAsia="zh-CN"/>
        </w:rPr>
        <w:t>气候气象</w:t>
      </w:r>
      <w:bookmarkEnd w:id="153"/>
    </w:p>
    <w:p w14:paraId="4B869B7D" w14:textId="77777777"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w:t>
      </w:r>
      <w:r w:rsidRPr="00092862">
        <w:rPr>
          <w:rFonts w:ascii="Times New Roman" w:hAnsi="Times New Roman"/>
          <w:color w:val="000000" w:themeColor="text1"/>
          <w:lang w:eastAsia="zh-CN"/>
        </w:rPr>
        <w:t>500m</w:t>
      </w:r>
      <w:r w:rsidRPr="00092862">
        <w:rPr>
          <w:rFonts w:ascii="Times New Roman" w:hAnsi="Times New Roman"/>
          <w:color w:val="000000" w:themeColor="text1"/>
          <w:lang w:eastAsia="zh-CN"/>
        </w:rPr>
        <w:t>以下地区春早夏热，雨水集中，旱涝交错，多风雹，秋雨，冬暖霜雪少，属四川盆地亚热带气候；海拔</w:t>
      </w:r>
      <w:r w:rsidRPr="00092862">
        <w:rPr>
          <w:rFonts w:ascii="Times New Roman" w:hAnsi="Times New Roman"/>
          <w:color w:val="000000" w:themeColor="text1"/>
          <w:lang w:eastAsia="zh-CN"/>
        </w:rPr>
        <w:t>800m</w:t>
      </w:r>
      <w:r w:rsidRPr="00092862">
        <w:rPr>
          <w:rFonts w:ascii="Times New Roman" w:hAnsi="Times New Roman"/>
          <w:color w:val="000000" w:themeColor="text1"/>
          <w:lang w:eastAsia="zh-CN"/>
        </w:rPr>
        <w:t>以上地区春迟秋早，夏短冬长，具有盆缘同地温带气候特征。低山、高丘云雾较多，日照较浅丘平坝少。</w:t>
      </w:r>
    </w:p>
    <w:p w14:paraId="0607DBDC" w14:textId="67B40B21"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灾害性天气主要有干旱，暴雨山洪，雷电，低温冷害，冰雹及大风等，其中暴雨山洪、大风等对管道及</w:t>
      </w:r>
      <w:r w:rsidR="00F30AFD" w:rsidRPr="00092862">
        <w:rPr>
          <w:rFonts w:ascii="Times New Roman" w:hAnsi="Times New Roman"/>
          <w:color w:val="000000" w:themeColor="text1"/>
          <w:lang w:eastAsia="zh-CN"/>
        </w:rPr>
        <w:t>集气站</w:t>
      </w:r>
      <w:r w:rsidRPr="00092862">
        <w:rPr>
          <w:rFonts w:ascii="Times New Roman" w:hAnsi="Times New Roman"/>
          <w:color w:val="000000" w:themeColor="text1"/>
          <w:lang w:eastAsia="zh-CN"/>
        </w:rPr>
        <w:t>建设构成一定危害。</w:t>
      </w:r>
    </w:p>
    <w:p w14:paraId="768A4B67" w14:textId="77777777"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宣汉县多年平均降水量</w:t>
      </w:r>
      <w:r w:rsidRPr="00092862">
        <w:rPr>
          <w:rFonts w:ascii="Times New Roman" w:hAnsi="Times New Roman"/>
          <w:color w:val="000000" w:themeColor="text1"/>
          <w:lang w:eastAsia="zh-CN"/>
        </w:rPr>
        <w:t>1132.69mm</w:t>
      </w:r>
      <w:r w:rsidRPr="00092862">
        <w:rPr>
          <w:rFonts w:ascii="Times New Roman" w:hAnsi="Times New Roman"/>
          <w:color w:val="000000" w:themeColor="text1"/>
          <w:lang w:eastAsia="zh-CN"/>
        </w:rPr>
        <w:t>，多年平均气温</w:t>
      </w:r>
      <w:r w:rsidRPr="00092862">
        <w:rPr>
          <w:rFonts w:ascii="Times New Roman" w:hAnsi="Times New Roman"/>
          <w:color w:val="000000" w:themeColor="text1"/>
          <w:lang w:eastAsia="zh-CN"/>
        </w:rPr>
        <w:t>16.8℃</w:t>
      </w:r>
      <w:r w:rsidRPr="00092862">
        <w:rPr>
          <w:rFonts w:ascii="Times New Roman" w:hAnsi="Times New Roman"/>
          <w:color w:val="000000" w:themeColor="text1"/>
          <w:lang w:eastAsia="zh-CN"/>
        </w:rPr>
        <w:t>，相对湿度</w:t>
      </w:r>
      <w:r w:rsidRPr="00092862">
        <w:rPr>
          <w:rFonts w:ascii="Times New Roman" w:hAnsi="Times New Roman"/>
          <w:color w:val="000000" w:themeColor="text1"/>
          <w:lang w:eastAsia="zh-CN"/>
        </w:rPr>
        <w:t>75%</w:t>
      </w:r>
      <w:r w:rsidRPr="00092862">
        <w:rPr>
          <w:rFonts w:ascii="Times New Roman" w:hAnsi="Times New Roman"/>
          <w:color w:val="000000" w:themeColor="text1"/>
          <w:lang w:eastAsia="zh-CN"/>
        </w:rPr>
        <w:t>，每年</w:t>
      </w:r>
      <w:r w:rsidRPr="00092862">
        <w:rPr>
          <w:rFonts w:ascii="Times New Roman" w:hAnsi="Times New Roman"/>
          <w:color w:val="000000" w:themeColor="text1"/>
          <w:lang w:eastAsia="zh-CN"/>
        </w:rPr>
        <w:t>5~10</w:t>
      </w:r>
      <w:r w:rsidRPr="00092862">
        <w:rPr>
          <w:rFonts w:ascii="Times New Roman" w:hAnsi="Times New Roman"/>
          <w:color w:val="000000" w:themeColor="text1"/>
          <w:lang w:eastAsia="zh-CN"/>
        </w:rPr>
        <w:t>月份为多雨季，降水量占全年总降水量约</w:t>
      </w:r>
      <w:r w:rsidRPr="00092862">
        <w:rPr>
          <w:rFonts w:ascii="Times New Roman" w:hAnsi="Times New Roman"/>
          <w:color w:val="000000" w:themeColor="text1"/>
          <w:lang w:eastAsia="zh-CN"/>
        </w:rPr>
        <w:t>80%</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月份为旱季，降水量约占全年降水量</w:t>
      </w:r>
      <w:r w:rsidRPr="00092862">
        <w:rPr>
          <w:rFonts w:ascii="Times New Roman" w:hAnsi="Times New Roman"/>
          <w:color w:val="000000" w:themeColor="text1"/>
          <w:lang w:eastAsia="zh-CN"/>
        </w:rPr>
        <w:t>8~12%</w:t>
      </w:r>
      <w:r w:rsidRPr="00092862">
        <w:rPr>
          <w:rFonts w:ascii="Times New Roman" w:hAnsi="Times New Roman"/>
          <w:color w:val="000000" w:themeColor="text1"/>
          <w:lang w:eastAsia="zh-CN"/>
        </w:rPr>
        <w:t>，无霜期长达</w:t>
      </w:r>
      <w:r w:rsidRPr="00092862">
        <w:rPr>
          <w:rFonts w:ascii="Times New Roman" w:hAnsi="Times New Roman"/>
          <w:color w:val="000000" w:themeColor="text1"/>
          <w:lang w:eastAsia="zh-CN"/>
        </w:rPr>
        <w:t>10</w:t>
      </w:r>
      <w:r w:rsidRPr="00092862">
        <w:rPr>
          <w:rFonts w:ascii="Times New Roman" w:hAnsi="Times New Roman"/>
          <w:color w:val="000000" w:themeColor="text1"/>
          <w:lang w:eastAsia="zh-CN"/>
        </w:rPr>
        <w:t>个月，冬季多雾，雨季多暴雨，雨后往往形成洪流。</w:t>
      </w:r>
    </w:p>
    <w:p w14:paraId="594F71C2" w14:textId="77777777" w:rsidR="007039E2" w:rsidRPr="00092862" w:rsidRDefault="007039E2" w:rsidP="007039E2">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宣汉县主要气象要素见下表：</w:t>
      </w:r>
    </w:p>
    <w:p w14:paraId="34416085" w14:textId="286E79DF" w:rsidR="007039E2" w:rsidRPr="00092862" w:rsidRDefault="007039E2"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D26362" w:rsidRPr="00092862">
        <w:rPr>
          <w:rFonts w:ascii="Times New Roman" w:eastAsia="黑体" w:hAnsi="Times New Roman"/>
          <w:color w:val="000000" w:themeColor="text1"/>
          <w:sz w:val="21"/>
          <w:szCs w:val="21"/>
          <w:lang w:eastAsia="zh-CN"/>
        </w:rPr>
        <w:t>4</w:t>
      </w:r>
      <w:r w:rsidRPr="00092862">
        <w:rPr>
          <w:rFonts w:ascii="Times New Roman" w:eastAsia="黑体" w:hAnsi="Times New Roman"/>
          <w:color w:val="000000" w:themeColor="text1"/>
          <w:sz w:val="21"/>
          <w:szCs w:val="21"/>
          <w:lang w:eastAsia="zh-CN"/>
        </w:rPr>
        <w:t xml:space="preserve">.1-1  </w:t>
      </w:r>
      <w:r w:rsidRPr="00092862">
        <w:rPr>
          <w:rFonts w:ascii="Times New Roman" w:eastAsia="黑体" w:hAnsi="Times New Roman"/>
          <w:color w:val="000000" w:themeColor="text1"/>
          <w:sz w:val="21"/>
          <w:szCs w:val="21"/>
          <w:lang w:eastAsia="zh-CN"/>
        </w:rPr>
        <w:t>宣汉县主要气象资料一览表</w:t>
      </w:r>
    </w:p>
    <w:tbl>
      <w:tblPr>
        <w:tblW w:w="5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853"/>
        <w:gridCol w:w="2599"/>
        <w:gridCol w:w="2863"/>
      </w:tblGrid>
      <w:tr w:rsidR="00697429" w:rsidRPr="00092862" w14:paraId="183A1219" w14:textId="77777777" w:rsidTr="005F7F44">
        <w:trPr>
          <w:trHeight w:val="15"/>
          <w:jc w:val="center"/>
        </w:trPr>
        <w:tc>
          <w:tcPr>
            <w:tcW w:w="1810" w:type="pct"/>
            <w:gridSpan w:val="2"/>
            <w:vAlign w:val="center"/>
          </w:tcPr>
          <w:p w14:paraId="4B209593" w14:textId="77777777" w:rsidR="007039E2" w:rsidRPr="00092862" w:rsidRDefault="007039E2" w:rsidP="000D2044">
            <w:pPr>
              <w:autoSpaceDE w:val="0"/>
              <w:autoSpaceDN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气象要素</w:t>
            </w:r>
          </w:p>
        </w:tc>
        <w:tc>
          <w:tcPr>
            <w:tcW w:w="1518" w:type="pct"/>
          </w:tcPr>
          <w:p w14:paraId="3C16F847" w14:textId="77777777" w:rsidR="007039E2" w:rsidRPr="00092862" w:rsidRDefault="007039E2" w:rsidP="000D2044">
            <w:pPr>
              <w:autoSpaceDE w:val="0"/>
              <w:autoSpaceDN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单位</w:t>
            </w:r>
          </w:p>
        </w:tc>
        <w:tc>
          <w:tcPr>
            <w:tcW w:w="1672" w:type="pct"/>
            <w:vAlign w:val="center"/>
          </w:tcPr>
          <w:p w14:paraId="583F8765" w14:textId="77777777" w:rsidR="007039E2" w:rsidRPr="00092862" w:rsidRDefault="007039E2" w:rsidP="000D2044">
            <w:pPr>
              <w:autoSpaceDE w:val="0"/>
              <w:autoSpaceDN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数值</w:t>
            </w:r>
          </w:p>
        </w:tc>
      </w:tr>
      <w:tr w:rsidR="00697429" w:rsidRPr="00092862" w14:paraId="6F5FA7B7" w14:textId="77777777" w:rsidTr="005F7F44">
        <w:trPr>
          <w:trHeight w:val="15"/>
          <w:jc w:val="center"/>
        </w:trPr>
        <w:tc>
          <w:tcPr>
            <w:tcW w:w="728" w:type="pct"/>
            <w:vMerge w:val="restart"/>
            <w:vAlign w:val="center"/>
          </w:tcPr>
          <w:p w14:paraId="06D50BD9"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气温</w:t>
            </w:r>
          </w:p>
        </w:tc>
        <w:tc>
          <w:tcPr>
            <w:tcW w:w="1082" w:type="pct"/>
            <w:vAlign w:val="center"/>
          </w:tcPr>
          <w:p w14:paraId="3634313D"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年平均气温</w:t>
            </w:r>
          </w:p>
        </w:tc>
        <w:tc>
          <w:tcPr>
            <w:tcW w:w="1518" w:type="pct"/>
          </w:tcPr>
          <w:p w14:paraId="0B51CDDA"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672" w:type="pct"/>
            <w:vAlign w:val="center"/>
          </w:tcPr>
          <w:p w14:paraId="5C52CBC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16.8</w:t>
            </w:r>
          </w:p>
        </w:tc>
      </w:tr>
      <w:tr w:rsidR="00697429" w:rsidRPr="00092862" w14:paraId="30371FE4" w14:textId="77777777" w:rsidTr="005F7F44">
        <w:trPr>
          <w:trHeight w:val="15"/>
          <w:jc w:val="center"/>
        </w:trPr>
        <w:tc>
          <w:tcPr>
            <w:tcW w:w="0" w:type="auto"/>
            <w:vMerge/>
            <w:vAlign w:val="center"/>
          </w:tcPr>
          <w:p w14:paraId="43B21A4E"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22A801DF"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极端最高气温</w:t>
            </w:r>
          </w:p>
        </w:tc>
        <w:tc>
          <w:tcPr>
            <w:tcW w:w="1518" w:type="pct"/>
          </w:tcPr>
          <w:p w14:paraId="225C9231"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672" w:type="pct"/>
            <w:vAlign w:val="center"/>
          </w:tcPr>
          <w:p w14:paraId="546134E5"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41.3</w:t>
            </w:r>
          </w:p>
        </w:tc>
      </w:tr>
      <w:tr w:rsidR="00697429" w:rsidRPr="00092862" w14:paraId="50AF8D5C" w14:textId="77777777" w:rsidTr="005F7F44">
        <w:trPr>
          <w:trHeight w:val="15"/>
          <w:jc w:val="center"/>
        </w:trPr>
        <w:tc>
          <w:tcPr>
            <w:tcW w:w="0" w:type="auto"/>
            <w:vMerge/>
            <w:vAlign w:val="center"/>
          </w:tcPr>
          <w:p w14:paraId="4DCF3A7B"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2203538E"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极端最低气温</w:t>
            </w:r>
          </w:p>
        </w:tc>
        <w:tc>
          <w:tcPr>
            <w:tcW w:w="1518" w:type="pct"/>
          </w:tcPr>
          <w:p w14:paraId="74A9446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672" w:type="pct"/>
            <w:vAlign w:val="center"/>
          </w:tcPr>
          <w:p w14:paraId="1CB11641" w14:textId="71B800F5"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9771EF"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.3</w:t>
            </w:r>
          </w:p>
        </w:tc>
      </w:tr>
      <w:tr w:rsidR="00697429" w:rsidRPr="00092862" w14:paraId="6DA4B163" w14:textId="77777777" w:rsidTr="005F7F44">
        <w:trPr>
          <w:trHeight w:val="15"/>
          <w:jc w:val="center"/>
        </w:trPr>
        <w:tc>
          <w:tcPr>
            <w:tcW w:w="728" w:type="pct"/>
            <w:vMerge w:val="restart"/>
            <w:vAlign w:val="center"/>
          </w:tcPr>
          <w:p w14:paraId="79CEE2C7"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年降水量</w:t>
            </w:r>
          </w:p>
        </w:tc>
        <w:tc>
          <w:tcPr>
            <w:tcW w:w="1082" w:type="pct"/>
            <w:vAlign w:val="center"/>
          </w:tcPr>
          <w:p w14:paraId="10DEDCC3"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平均</w:t>
            </w:r>
          </w:p>
        </w:tc>
        <w:tc>
          <w:tcPr>
            <w:tcW w:w="1518" w:type="pct"/>
          </w:tcPr>
          <w:p w14:paraId="50C7F10B"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mm</w:t>
            </w:r>
          </w:p>
        </w:tc>
        <w:tc>
          <w:tcPr>
            <w:tcW w:w="1672" w:type="pct"/>
            <w:vAlign w:val="center"/>
          </w:tcPr>
          <w:p w14:paraId="2177026C"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1132.69</w:t>
            </w:r>
          </w:p>
        </w:tc>
      </w:tr>
      <w:tr w:rsidR="00697429" w:rsidRPr="00092862" w14:paraId="10637415" w14:textId="77777777" w:rsidTr="005F7F44">
        <w:trPr>
          <w:trHeight w:val="15"/>
          <w:jc w:val="center"/>
        </w:trPr>
        <w:tc>
          <w:tcPr>
            <w:tcW w:w="0" w:type="auto"/>
            <w:vMerge/>
            <w:vAlign w:val="center"/>
          </w:tcPr>
          <w:p w14:paraId="62362018"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517A1FBF"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最大</w:t>
            </w:r>
          </w:p>
        </w:tc>
        <w:tc>
          <w:tcPr>
            <w:tcW w:w="1518" w:type="pct"/>
          </w:tcPr>
          <w:p w14:paraId="5520B2DC"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mm</w:t>
            </w:r>
          </w:p>
        </w:tc>
        <w:tc>
          <w:tcPr>
            <w:tcW w:w="1672" w:type="pct"/>
            <w:vAlign w:val="center"/>
          </w:tcPr>
          <w:p w14:paraId="627A7EE8"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1698</w:t>
            </w:r>
          </w:p>
        </w:tc>
      </w:tr>
      <w:tr w:rsidR="00697429" w:rsidRPr="00092862" w14:paraId="300E14C7" w14:textId="77777777" w:rsidTr="005F7F44">
        <w:trPr>
          <w:trHeight w:val="15"/>
          <w:jc w:val="center"/>
        </w:trPr>
        <w:tc>
          <w:tcPr>
            <w:tcW w:w="0" w:type="auto"/>
            <w:vMerge/>
            <w:vAlign w:val="center"/>
          </w:tcPr>
          <w:p w14:paraId="52690F63"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238026ED"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最小</w:t>
            </w:r>
          </w:p>
        </w:tc>
        <w:tc>
          <w:tcPr>
            <w:tcW w:w="1518" w:type="pct"/>
          </w:tcPr>
          <w:p w14:paraId="06622366"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mm</w:t>
            </w:r>
          </w:p>
        </w:tc>
        <w:tc>
          <w:tcPr>
            <w:tcW w:w="1672" w:type="pct"/>
            <w:vAlign w:val="center"/>
          </w:tcPr>
          <w:p w14:paraId="7DF4B699"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865.9</w:t>
            </w:r>
          </w:p>
        </w:tc>
      </w:tr>
      <w:tr w:rsidR="00697429" w:rsidRPr="00092862" w14:paraId="2D32AE3B" w14:textId="77777777" w:rsidTr="005F7F44">
        <w:trPr>
          <w:trHeight w:val="15"/>
          <w:jc w:val="center"/>
        </w:trPr>
        <w:tc>
          <w:tcPr>
            <w:tcW w:w="728" w:type="pct"/>
            <w:vMerge w:val="restart"/>
            <w:vAlign w:val="center"/>
          </w:tcPr>
          <w:p w14:paraId="273FE04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风速</w:t>
            </w:r>
          </w:p>
        </w:tc>
        <w:tc>
          <w:tcPr>
            <w:tcW w:w="1082" w:type="pct"/>
            <w:vAlign w:val="center"/>
          </w:tcPr>
          <w:p w14:paraId="588AB57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平均</w:t>
            </w:r>
          </w:p>
        </w:tc>
        <w:tc>
          <w:tcPr>
            <w:tcW w:w="1518" w:type="pct"/>
          </w:tcPr>
          <w:p w14:paraId="5C5F80BF"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m/s</w:t>
            </w:r>
          </w:p>
        </w:tc>
        <w:tc>
          <w:tcPr>
            <w:tcW w:w="1672" w:type="pct"/>
            <w:vAlign w:val="center"/>
          </w:tcPr>
          <w:p w14:paraId="56DB1147"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r>
      <w:tr w:rsidR="00697429" w:rsidRPr="00092862" w14:paraId="19DB707E" w14:textId="77777777" w:rsidTr="005F7F44">
        <w:trPr>
          <w:trHeight w:val="15"/>
          <w:jc w:val="center"/>
        </w:trPr>
        <w:tc>
          <w:tcPr>
            <w:tcW w:w="0" w:type="auto"/>
            <w:vMerge/>
            <w:vAlign w:val="center"/>
          </w:tcPr>
          <w:p w14:paraId="0C52D452"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60A7FAD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最大</w:t>
            </w:r>
          </w:p>
        </w:tc>
        <w:tc>
          <w:tcPr>
            <w:tcW w:w="1518" w:type="pct"/>
          </w:tcPr>
          <w:p w14:paraId="274E2A8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m/s</w:t>
            </w:r>
          </w:p>
        </w:tc>
        <w:tc>
          <w:tcPr>
            <w:tcW w:w="1672" w:type="pct"/>
            <w:vAlign w:val="center"/>
          </w:tcPr>
          <w:p w14:paraId="7CC12CAA"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32</w:t>
            </w:r>
          </w:p>
        </w:tc>
      </w:tr>
      <w:tr w:rsidR="00697429" w:rsidRPr="00092862" w14:paraId="03756C52" w14:textId="77777777" w:rsidTr="005F7F44">
        <w:trPr>
          <w:trHeight w:val="15"/>
          <w:jc w:val="center"/>
        </w:trPr>
        <w:tc>
          <w:tcPr>
            <w:tcW w:w="0" w:type="auto"/>
            <w:vMerge/>
            <w:vAlign w:val="center"/>
          </w:tcPr>
          <w:p w14:paraId="127759A2"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07B656C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主导风向</w:t>
            </w:r>
          </w:p>
        </w:tc>
        <w:tc>
          <w:tcPr>
            <w:tcW w:w="1518" w:type="pct"/>
          </w:tcPr>
          <w:p w14:paraId="792AAE6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m/s</w:t>
            </w:r>
          </w:p>
        </w:tc>
        <w:tc>
          <w:tcPr>
            <w:tcW w:w="1672" w:type="pct"/>
            <w:vAlign w:val="center"/>
          </w:tcPr>
          <w:p w14:paraId="7570CD0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NE</w:t>
            </w:r>
          </w:p>
        </w:tc>
      </w:tr>
      <w:tr w:rsidR="00697429" w:rsidRPr="00092862" w14:paraId="4D633D9B" w14:textId="77777777" w:rsidTr="005F7F44">
        <w:trPr>
          <w:trHeight w:val="15"/>
          <w:jc w:val="center"/>
        </w:trPr>
        <w:tc>
          <w:tcPr>
            <w:tcW w:w="728" w:type="pct"/>
            <w:vMerge w:val="restart"/>
            <w:vAlign w:val="center"/>
          </w:tcPr>
          <w:p w14:paraId="4AC927E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多年平均地温</w:t>
            </w:r>
          </w:p>
        </w:tc>
        <w:tc>
          <w:tcPr>
            <w:tcW w:w="1082" w:type="pct"/>
            <w:vAlign w:val="center"/>
          </w:tcPr>
          <w:p w14:paraId="220BD561"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地面</w:t>
            </w:r>
          </w:p>
        </w:tc>
        <w:tc>
          <w:tcPr>
            <w:tcW w:w="1518" w:type="pct"/>
          </w:tcPr>
          <w:p w14:paraId="3B05C0A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672" w:type="pct"/>
            <w:vAlign w:val="center"/>
          </w:tcPr>
          <w:p w14:paraId="66BBCAE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18.1</w:t>
            </w:r>
          </w:p>
        </w:tc>
      </w:tr>
      <w:tr w:rsidR="00697429" w:rsidRPr="00092862" w14:paraId="2860C67A" w14:textId="77777777" w:rsidTr="005F7F44">
        <w:trPr>
          <w:trHeight w:val="15"/>
          <w:jc w:val="center"/>
        </w:trPr>
        <w:tc>
          <w:tcPr>
            <w:tcW w:w="0" w:type="auto"/>
            <w:vMerge/>
            <w:vAlign w:val="center"/>
          </w:tcPr>
          <w:p w14:paraId="733F46A9" w14:textId="77777777" w:rsidR="007039E2" w:rsidRPr="00092862" w:rsidRDefault="007039E2" w:rsidP="000D2044">
            <w:pPr>
              <w:rPr>
                <w:rFonts w:ascii="Times New Roman" w:eastAsia="宋体" w:hAnsi="Times New Roman" w:cs="Times New Roman"/>
                <w:color w:val="000000" w:themeColor="text1"/>
                <w:szCs w:val="21"/>
              </w:rPr>
            </w:pPr>
          </w:p>
        </w:tc>
        <w:tc>
          <w:tcPr>
            <w:tcW w:w="1082" w:type="pct"/>
            <w:vAlign w:val="center"/>
          </w:tcPr>
          <w:p w14:paraId="5D86BC0D"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-0.2m</w:t>
            </w:r>
          </w:p>
        </w:tc>
        <w:tc>
          <w:tcPr>
            <w:tcW w:w="1518" w:type="pct"/>
          </w:tcPr>
          <w:p w14:paraId="14E925E7"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672" w:type="pct"/>
            <w:vAlign w:val="center"/>
          </w:tcPr>
          <w:p w14:paraId="4F5FC6F7"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20.2</w:t>
            </w:r>
          </w:p>
        </w:tc>
      </w:tr>
      <w:tr w:rsidR="00697429" w:rsidRPr="00092862" w14:paraId="31C909CD" w14:textId="77777777" w:rsidTr="005F7F44">
        <w:trPr>
          <w:trHeight w:val="15"/>
          <w:jc w:val="center"/>
        </w:trPr>
        <w:tc>
          <w:tcPr>
            <w:tcW w:w="1810" w:type="pct"/>
            <w:gridSpan w:val="2"/>
            <w:vAlign w:val="center"/>
          </w:tcPr>
          <w:p w14:paraId="23AAFA8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年平均日照时数</w:t>
            </w:r>
          </w:p>
        </w:tc>
        <w:tc>
          <w:tcPr>
            <w:tcW w:w="1518" w:type="pct"/>
          </w:tcPr>
          <w:p w14:paraId="71590BF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w:t>
            </w:r>
          </w:p>
        </w:tc>
        <w:tc>
          <w:tcPr>
            <w:tcW w:w="1672" w:type="pct"/>
            <w:vAlign w:val="center"/>
          </w:tcPr>
          <w:p w14:paraId="002BF7AB"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1596.3</w:t>
            </w:r>
          </w:p>
        </w:tc>
      </w:tr>
      <w:tr w:rsidR="00697429" w:rsidRPr="00092862" w14:paraId="2E925C00" w14:textId="77777777" w:rsidTr="005F7F44">
        <w:trPr>
          <w:trHeight w:val="15"/>
          <w:jc w:val="center"/>
        </w:trPr>
        <w:tc>
          <w:tcPr>
            <w:tcW w:w="1810" w:type="pct"/>
            <w:gridSpan w:val="2"/>
            <w:vAlign w:val="center"/>
          </w:tcPr>
          <w:p w14:paraId="0889DD89"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年平均蒸发量</w:t>
            </w:r>
          </w:p>
        </w:tc>
        <w:tc>
          <w:tcPr>
            <w:tcW w:w="1518" w:type="pct"/>
          </w:tcPr>
          <w:p w14:paraId="2C048D63"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mm</w:t>
            </w:r>
          </w:p>
        </w:tc>
        <w:tc>
          <w:tcPr>
            <w:tcW w:w="1672" w:type="pct"/>
            <w:vAlign w:val="center"/>
          </w:tcPr>
          <w:p w14:paraId="45B0E6C8"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1215.9</w:t>
            </w:r>
          </w:p>
        </w:tc>
      </w:tr>
      <w:tr w:rsidR="00697429" w:rsidRPr="00092862" w14:paraId="3455B53E" w14:textId="77777777" w:rsidTr="005F7F44">
        <w:trPr>
          <w:trHeight w:val="15"/>
          <w:jc w:val="center"/>
        </w:trPr>
        <w:tc>
          <w:tcPr>
            <w:tcW w:w="1810" w:type="pct"/>
            <w:gridSpan w:val="2"/>
            <w:vAlign w:val="center"/>
          </w:tcPr>
          <w:p w14:paraId="3FE0419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年均无霜期</w:t>
            </w:r>
          </w:p>
        </w:tc>
        <w:tc>
          <w:tcPr>
            <w:tcW w:w="1518" w:type="pct"/>
          </w:tcPr>
          <w:p w14:paraId="19404227"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d</w:t>
            </w:r>
          </w:p>
        </w:tc>
        <w:tc>
          <w:tcPr>
            <w:tcW w:w="1672" w:type="pct"/>
            <w:vAlign w:val="center"/>
          </w:tcPr>
          <w:p w14:paraId="513689EA"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296</w:t>
            </w:r>
          </w:p>
        </w:tc>
      </w:tr>
      <w:tr w:rsidR="00697429" w:rsidRPr="00092862" w14:paraId="70E5C06C" w14:textId="77777777" w:rsidTr="005F7F44">
        <w:trPr>
          <w:trHeight w:val="15"/>
          <w:jc w:val="center"/>
        </w:trPr>
        <w:tc>
          <w:tcPr>
            <w:tcW w:w="1810" w:type="pct"/>
            <w:gridSpan w:val="2"/>
            <w:vAlign w:val="center"/>
          </w:tcPr>
          <w:p w14:paraId="5716E031"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相对湿度</w:t>
            </w:r>
          </w:p>
        </w:tc>
        <w:tc>
          <w:tcPr>
            <w:tcW w:w="1518" w:type="pct"/>
          </w:tcPr>
          <w:p w14:paraId="23A39B62"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672" w:type="pct"/>
            <w:vAlign w:val="center"/>
          </w:tcPr>
          <w:p w14:paraId="568CC170" w14:textId="77777777" w:rsidR="007039E2" w:rsidRPr="00092862" w:rsidRDefault="007039E2" w:rsidP="000D2044">
            <w:pPr>
              <w:autoSpaceDE w:val="0"/>
              <w:autoSpaceDN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77</w:t>
            </w:r>
          </w:p>
        </w:tc>
      </w:tr>
    </w:tbl>
    <w:p w14:paraId="76D54CD7" w14:textId="0D26AF8C" w:rsidR="005F7F44" w:rsidRPr="00092862" w:rsidRDefault="005F7F44" w:rsidP="005F7F44">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54" w:name="4.1.5动植物及生物多样性"/>
      <w:bookmarkStart w:id="155" w:name="_Toc120173123"/>
      <w:bookmarkEnd w:id="154"/>
      <w:r w:rsidRPr="00092862">
        <w:rPr>
          <w:rFonts w:ascii="Times New Roman" w:eastAsia="黑体" w:hAnsi="Times New Roman"/>
          <w:b w:val="0"/>
          <w:color w:val="000000" w:themeColor="text1"/>
          <w:sz w:val="24"/>
          <w:szCs w:val="24"/>
          <w:lang w:eastAsia="zh-CN"/>
        </w:rPr>
        <w:t>4.1.5</w:t>
      </w:r>
      <w:r w:rsidRPr="00092862">
        <w:rPr>
          <w:rFonts w:ascii="Times New Roman" w:eastAsia="黑体" w:hAnsi="Times New Roman"/>
          <w:b w:val="0"/>
          <w:color w:val="000000" w:themeColor="text1"/>
          <w:sz w:val="24"/>
          <w:szCs w:val="24"/>
          <w:lang w:eastAsia="zh-CN"/>
        </w:rPr>
        <w:t>地质构造与地震</w:t>
      </w:r>
      <w:bookmarkEnd w:id="155"/>
    </w:p>
    <w:p w14:paraId="405059EA" w14:textId="77777777" w:rsidR="005F7F44" w:rsidRPr="00092862" w:rsidRDefault="005F7F44" w:rsidP="005F7F44">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、地质构造</w:t>
      </w:r>
    </w:p>
    <w:p w14:paraId="65962E29" w14:textId="7707314B" w:rsidR="005F7F44" w:rsidRPr="00092862" w:rsidRDefault="005F7F44" w:rsidP="005F7F44">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本项目区位于</w:t>
      </w:r>
      <w:r w:rsidR="005036A4" w:rsidRPr="00092862">
        <w:rPr>
          <w:rFonts w:ascii="Times New Roman" w:hAnsi="Times New Roman"/>
          <w:color w:val="000000" w:themeColor="text1"/>
          <w:lang w:eastAsia="zh-CN"/>
        </w:rPr>
        <w:t>宣汉县</w:t>
      </w:r>
      <w:r w:rsidR="00215953" w:rsidRPr="00092862">
        <w:rPr>
          <w:rFonts w:ascii="Times New Roman" w:hAnsi="Times New Roman"/>
          <w:color w:val="000000" w:themeColor="text1"/>
          <w:lang w:eastAsia="zh-CN"/>
        </w:rPr>
        <w:t>老君乡古楼村</w:t>
      </w:r>
      <w:r w:rsidRPr="00092862">
        <w:rPr>
          <w:rFonts w:ascii="Times New Roman" w:hAnsi="Times New Roman"/>
          <w:color w:val="000000" w:themeColor="text1"/>
          <w:lang w:eastAsia="zh-CN"/>
        </w:rPr>
        <w:t>，</w:t>
      </w:r>
      <w:r w:rsidR="00E96FD3" w:rsidRPr="00092862">
        <w:rPr>
          <w:rFonts w:ascii="Times New Roman" w:hAnsi="Times New Roman"/>
          <w:color w:val="000000" w:themeColor="text1"/>
          <w:lang w:eastAsia="zh-CN"/>
        </w:rPr>
        <w:t>构造上介于大巴山推覆带前缘褶断带与川中平缓褶皱带之间，属于川东断褶带东北段双石庙</w:t>
      </w:r>
      <w:r w:rsidR="00E96FD3" w:rsidRPr="00092862">
        <w:rPr>
          <w:rFonts w:ascii="Times New Roman" w:hAnsi="Times New Roman"/>
          <w:color w:val="000000" w:themeColor="text1"/>
          <w:lang w:eastAsia="zh-CN"/>
        </w:rPr>
        <w:t>—</w:t>
      </w:r>
      <w:r w:rsidR="00E96FD3" w:rsidRPr="00092862">
        <w:rPr>
          <w:rFonts w:ascii="Times New Roman" w:hAnsi="Times New Roman"/>
          <w:color w:val="000000" w:themeColor="text1"/>
          <w:lang w:eastAsia="zh-CN"/>
        </w:rPr>
        <w:t>普光北东向构造带上的一个鼻状构造。地层南西高北东低、主要呈单斜特征。断裂系统以北东向断层为主，主要包括东岳寨</w:t>
      </w:r>
      <w:r w:rsidR="00E96FD3" w:rsidRPr="00092862">
        <w:rPr>
          <w:rFonts w:ascii="Times New Roman" w:hAnsi="Times New Roman"/>
          <w:color w:val="000000" w:themeColor="text1"/>
          <w:lang w:eastAsia="zh-CN"/>
        </w:rPr>
        <w:t>—</w:t>
      </w:r>
      <w:r w:rsidR="00E96FD3" w:rsidRPr="00092862">
        <w:rPr>
          <w:rFonts w:ascii="Times New Roman" w:hAnsi="Times New Roman"/>
          <w:color w:val="000000" w:themeColor="text1"/>
          <w:lang w:eastAsia="zh-CN"/>
        </w:rPr>
        <w:t>普光断层、普光</w:t>
      </w:r>
      <w:r w:rsidR="00E96FD3" w:rsidRPr="00092862">
        <w:rPr>
          <w:rFonts w:ascii="Times New Roman" w:hAnsi="Times New Roman"/>
          <w:color w:val="000000" w:themeColor="text1"/>
          <w:lang w:eastAsia="zh-CN"/>
        </w:rPr>
        <w:t>7</w:t>
      </w:r>
      <w:r w:rsidR="00E96FD3" w:rsidRPr="00092862">
        <w:rPr>
          <w:rFonts w:ascii="Times New Roman" w:hAnsi="Times New Roman"/>
          <w:color w:val="000000" w:themeColor="text1"/>
          <w:lang w:eastAsia="zh-CN"/>
        </w:rPr>
        <w:t>断层、老君庙南断层及普光</w:t>
      </w:r>
      <w:r w:rsidR="00E96FD3" w:rsidRPr="00092862">
        <w:rPr>
          <w:rFonts w:ascii="Times New Roman" w:hAnsi="Times New Roman"/>
          <w:color w:val="000000" w:themeColor="text1"/>
          <w:lang w:eastAsia="zh-CN"/>
        </w:rPr>
        <w:t>3</w:t>
      </w:r>
      <w:r w:rsidR="00E96FD3" w:rsidRPr="00092862">
        <w:rPr>
          <w:rFonts w:ascii="Times New Roman" w:hAnsi="Times New Roman"/>
          <w:color w:val="000000" w:themeColor="text1"/>
          <w:lang w:eastAsia="zh-CN"/>
        </w:rPr>
        <w:t>等</w:t>
      </w:r>
      <w:r w:rsidR="00E96FD3" w:rsidRPr="00092862">
        <w:rPr>
          <w:rFonts w:ascii="Times New Roman" w:hAnsi="Times New Roman"/>
          <w:color w:val="000000" w:themeColor="text1"/>
          <w:lang w:eastAsia="zh-CN"/>
        </w:rPr>
        <w:t>4</w:t>
      </w:r>
      <w:r w:rsidR="00E96FD3" w:rsidRPr="00092862">
        <w:rPr>
          <w:rFonts w:ascii="Times New Roman" w:hAnsi="Times New Roman"/>
          <w:color w:val="000000" w:themeColor="text1"/>
          <w:lang w:eastAsia="zh-CN"/>
        </w:rPr>
        <w:t>条断层。其中，普光</w:t>
      </w:r>
      <w:r w:rsidR="00E96FD3" w:rsidRPr="00092862">
        <w:rPr>
          <w:rFonts w:ascii="Times New Roman" w:hAnsi="Times New Roman"/>
          <w:color w:val="000000" w:themeColor="text1"/>
          <w:lang w:eastAsia="zh-CN"/>
        </w:rPr>
        <w:t>3</w:t>
      </w:r>
      <w:r w:rsidR="00E96FD3" w:rsidRPr="00092862">
        <w:rPr>
          <w:rFonts w:ascii="Times New Roman" w:hAnsi="Times New Roman"/>
          <w:color w:val="000000" w:themeColor="text1"/>
          <w:lang w:eastAsia="zh-CN"/>
        </w:rPr>
        <w:t>断层将主体构造分为普光</w:t>
      </w:r>
      <w:r w:rsidR="00E96FD3" w:rsidRPr="00092862">
        <w:rPr>
          <w:rFonts w:ascii="Times New Roman" w:hAnsi="Times New Roman"/>
          <w:color w:val="000000" w:themeColor="text1"/>
          <w:lang w:eastAsia="zh-CN"/>
        </w:rPr>
        <w:t>2</w:t>
      </w:r>
      <w:r w:rsidR="00E96FD3" w:rsidRPr="00092862">
        <w:rPr>
          <w:rFonts w:ascii="Times New Roman" w:hAnsi="Times New Roman"/>
          <w:color w:val="000000" w:themeColor="text1"/>
          <w:lang w:eastAsia="zh-CN"/>
        </w:rPr>
        <w:t>块、普光</w:t>
      </w:r>
      <w:r w:rsidR="00E96FD3" w:rsidRPr="00092862">
        <w:rPr>
          <w:rFonts w:ascii="Times New Roman" w:hAnsi="Times New Roman"/>
          <w:color w:val="000000" w:themeColor="text1"/>
          <w:lang w:eastAsia="zh-CN"/>
        </w:rPr>
        <w:t>3</w:t>
      </w:r>
      <w:r w:rsidR="00E96FD3" w:rsidRPr="00092862">
        <w:rPr>
          <w:rFonts w:ascii="Times New Roman" w:hAnsi="Times New Roman"/>
          <w:color w:val="000000" w:themeColor="text1"/>
          <w:lang w:eastAsia="zh-CN"/>
        </w:rPr>
        <w:t>块。</w:t>
      </w:r>
    </w:p>
    <w:p w14:paraId="3CED450F" w14:textId="77777777" w:rsidR="005F7F44" w:rsidRPr="00092862" w:rsidRDefault="005F7F44" w:rsidP="005F7F44">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、地震</w:t>
      </w:r>
    </w:p>
    <w:p w14:paraId="76E01CB3" w14:textId="4EE58EBC" w:rsidR="005F7F44" w:rsidRPr="00092862" w:rsidRDefault="005F7F44" w:rsidP="005F7F44">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根据《建筑抗震设计规范》（</w:t>
      </w:r>
      <w:r w:rsidRPr="00092862">
        <w:rPr>
          <w:rFonts w:ascii="Times New Roman" w:hAnsi="Times New Roman"/>
          <w:color w:val="000000" w:themeColor="text1"/>
          <w:lang w:eastAsia="zh-CN"/>
        </w:rPr>
        <w:t>GB50011-2010</w:t>
      </w:r>
      <w:r w:rsidRPr="00092862">
        <w:rPr>
          <w:rFonts w:ascii="Times New Roman" w:hAnsi="Times New Roman"/>
          <w:color w:val="000000" w:themeColor="text1"/>
          <w:lang w:eastAsia="zh-CN"/>
        </w:rPr>
        <w:t>），宣汉抗震设防烈度为</w:t>
      </w:r>
      <w:r w:rsidRPr="00092862">
        <w:rPr>
          <w:rFonts w:ascii="Times New Roman" w:hAnsi="Times New Roman"/>
          <w:color w:val="000000" w:themeColor="text1"/>
          <w:lang w:eastAsia="zh-CN"/>
        </w:rPr>
        <w:t>6</w:t>
      </w:r>
      <w:r w:rsidRPr="00092862">
        <w:rPr>
          <w:rFonts w:ascii="Times New Roman" w:hAnsi="Times New Roman"/>
          <w:color w:val="000000" w:themeColor="text1"/>
          <w:lang w:eastAsia="zh-CN"/>
        </w:rPr>
        <w:t>度，设计基本地震加速度值为</w:t>
      </w:r>
      <w:r w:rsidRPr="00092862">
        <w:rPr>
          <w:rFonts w:ascii="Times New Roman" w:hAnsi="Times New Roman"/>
          <w:color w:val="000000" w:themeColor="text1"/>
          <w:lang w:eastAsia="zh-CN"/>
        </w:rPr>
        <w:t>0.05g</w:t>
      </w:r>
      <w:r w:rsidRPr="00092862">
        <w:rPr>
          <w:rFonts w:ascii="Times New Roman" w:hAnsi="Times New Roman"/>
          <w:color w:val="000000" w:themeColor="text1"/>
          <w:lang w:eastAsia="zh-CN"/>
        </w:rPr>
        <w:t>，属第一组，可不考虑地震液化问题。另查阅县志，整个宣汉县境尚无地震活动的记载。因此总体上区域稳定性良好，适宜工程修建。</w:t>
      </w:r>
    </w:p>
    <w:p w14:paraId="194AF60C" w14:textId="02424634" w:rsidR="00A2697E" w:rsidRPr="00092862" w:rsidRDefault="00A2697E" w:rsidP="00A2697E">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56" w:name="_Toc120173124"/>
      <w:r w:rsidRPr="00092862">
        <w:rPr>
          <w:rFonts w:ascii="Times New Roman" w:eastAsia="黑体" w:hAnsi="Times New Roman"/>
          <w:b w:val="0"/>
          <w:color w:val="000000" w:themeColor="text1"/>
          <w:sz w:val="24"/>
          <w:szCs w:val="24"/>
          <w:lang w:eastAsia="zh-CN"/>
        </w:rPr>
        <w:t>4.1.6</w:t>
      </w:r>
      <w:r w:rsidRPr="00092862">
        <w:rPr>
          <w:rFonts w:ascii="Times New Roman" w:eastAsia="黑体" w:hAnsi="Times New Roman"/>
          <w:b w:val="0"/>
          <w:color w:val="000000" w:themeColor="text1"/>
          <w:sz w:val="24"/>
          <w:szCs w:val="24"/>
          <w:lang w:eastAsia="zh-CN"/>
        </w:rPr>
        <w:t>土壤</w:t>
      </w:r>
      <w:bookmarkEnd w:id="156"/>
    </w:p>
    <w:p w14:paraId="3F909146" w14:textId="01EDB74B"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14:paraId="28220266" w14:textId="1CF4B33B"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土壤以中性和</w:t>
      </w:r>
      <w:r w:rsidR="00BC74E0" w:rsidRPr="00092862">
        <w:rPr>
          <w:rFonts w:ascii="Times New Roman" w:hAnsi="Times New Roman"/>
          <w:color w:val="000000" w:themeColor="text1"/>
          <w:lang w:eastAsia="zh-CN"/>
        </w:rPr>
        <w:t>微碱性</w:t>
      </w:r>
      <w:r w:rsidRPr="00092862">
        <w:rPr>
          <w:rFonts w:ascii="Times New Roman" w:hAnsi="Times New Roman"/>
          <w:color w:val="000000" w:themeColor="text1"/>
          <w:lang w:eastAsia="zh-CN"/>
        </w:rPr>
        <w:t>为主，其次是</w:t>
      </w:r>
      <w:r w:rsidR="00BC74E0" w:rsidRPr="00092862">
        <w:rPr>
          <w:rFonts w:ascii="Times New Roman" w:hAnsi="Times New Roman"/>
          <w:color w:val="000000" w:themeColor="text1"/>
          <w:lang w:eastAsia="zh-CN"/>
        </w:rPr>
        <w:t>微酸性</w:t>
      </w:r>
      <w:r w:rsidRPr="00092862">
        <w:rPr>
          <w:rFonts w:ascii="Times New Roman" w:hAnsi="Times New Roman"/>
          <w:color w:val="000000" w:themeColor="text1"/>
          <w:lang w:eastAsia="zh-CN"/>
        </w:rPr>
        <w:t>，少数酸性。</w:t>
      </w:r>
      <w:r w:rsidRPr="00092862">
        <w:rPr>
          <w:rFonts w:ascii="Times New Roman" w:hAnsi="Times New Roman"/>
          <w:color w:val="000000" w:themeColor="text1"/>
          <w:lang w:eastAsia="zh-CN"/>
        </w:rPr>
        <w:t>pH</w:t>
      </w:r>
      <w:r w:rsidRPr="00092862">
        <w:rPr>
          <w:rFonts w:ascii="Times New Roman" w:hAnsi="Times New Roman"/>
          <w:color w:val="000000" w:themeColor="text1"/>
          <w:lang w:eastAsia="zh-CN"/>
        </w:rPr>
        <w:t>值在</w:t>
      </w:r>
      <w:r w:rsidRPr="00092862">
        <w:rPr>
          <w:rFonts w:ascii="Times New Roman" w:hAnsi="Times New Roman"/>
          <w:color w:val="000000" w:themeColor="text1"/>
          <w:lang w:eastAsia="zh-CN"/>
        </w:rPr>
        <w:t>4.5</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5.4</w:t>
      </w:r>
      <w:r w:rsidRPr="00092862">
        <w:rPr>
          <w:rFonts w:ascii="Times New Roman" w:hAnsi="Times New Roman"/>
          <w:color w:val="000000" w:themeColor="text1"/>
          <w:lang w:eastAsia="zh-CN"/>
        </w:rPr>
        <w:t>之间的占</w:t>
      </w:r>
      <w:r w:rsidRPr="00092862">
        <w:rPr>
          <w:rFonts w:ascii="Times New Roman" w:hAnsi="Times New Roman"/>
          <w:color w:val="000000" w:themeColor="text1"/>
          <w:lang w:eastAsia="zh-CN"/>
        </w:rPr>
        <w:t>6.4%</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5.5</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6.4</w:t>
      </w:r>
      <w:r w:rsidRPr="00092862">
        <w:rPr>
          <w:rFonts w:ascii="Times New Roman" w:hAnsi="Times New Roman"/>
          <w:color w:val="000000" w:themeColor="text1"/>
          <w:lang w:eastAsia="zh-CN"/>
        </w:rPr>
        <w:t>之间的占</w:t>
      </w:r>
      <w:r w:rsidRPr="00092862">
        <w:rPr>
          <w:rFonts w:ascii="Times New Roman" w:hAnsi="Times New Roman"/>
          <w:color w:val="000000" w:themeColor="text1"/>
          <w:lang w:eastAsia="zh-CN"/>
        </w:rPr>
        <w:t>34%</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6.5</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7.5</w:t>
      </w:r>
      <w:r w:rsidRPr="00092862">
        <w:rPr>
          <w:rFonts w:ascii="Times New Roman" w:hAnsi="Times New Roman"/>
          <w:color w:val="000000" w:themeColor="text1"/>
          <w:lang w:eastAsia="zh-CN"/>
        </w:rPr>
        <w:t>之间的占</w:t>
      </w:r>
      <w:r w:rsidRPr="00092862">
        <w:rPr>
          <w:rFonts w:ascii="Times New Roman" w:hAnsi="Times New Roman"/>
          <w:color w:val="000000" w:themeColor="text1"/>
          <w:lang w:eastAsia="zh-CN"/>
        </w:rPr>
        <w:t>34.2%</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7.6</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8.5</w:t>
      </w:r>
      <w:r w:rsidRPr="00092862">
        <w:rPr>
          <w:rFonts w:ascii="Times New Roman" w:hAnsi="Times New Roman"/>
          <w:color w:val="000000" w:themeColor="text1"/>
          <w:lang w:eastAsia="zh-CN"/>
        </w:rPr>
        <w:t>之间的占</w:t>
      </w:r>
      <w:r w:rsidRPr="00092862">
        <w:rPr>
          <w:rFonts w:ascii="Times New Roman" w:hAnsi="Times New Roman"/>
          <w:color w:val="000000" w:themeColor="text1"/>
          <w:lang w:eastAsia="zh-CN"/>
        </w:rPr>
        <w:t>25.3%</w:t>
      </w:r>
      <w:r w:rsidRPr="00092862">
        <w:rPr>
          <w:rFonts w:ascii="Times New Roman" w:hAnsi="Times New Roman"/>
          <w:color w:val="000000" w:themeColor="text1"/>
          <w:lang w:eastAsia="zh-CN"/>
        </w:rPr>
        <w:t>。</w:t>
      </w:r>
    </w:p>
    <w:p w14:paraId="3BC2BFF9" w14:textId="77777777"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工程区域地层岩性较为单一，上部主要为第四系松散覆盖层，包括残坡积层、崩坡积层，下伏基岩为侏罗系中统沙溪庙组（</w:t>
      </w:r>
      <w:r w:rsidRPr="00092862">
        <w:rPr>
          <w:rFonts w:ascii="Times New Roman" w:hAnsi="Times New Roman"/>
          <w:color w:val="000000" w:themeColor="text1"/>
          <w:lang w:eastAsia="zh-CN"/>
        </w:rPr>
        <w:t>J</w:t>
      </w:r>
      <w:r w:rsidRPr="00092862">
        <w:rPr>
          <w:rFonts w:ascii="Times New Roman" w:hAnsi="Times New Roman"/>
          <w:color w:val="000000" w:themeColor="text1"/>
          <w:vertAlign w:val="subscript"/>
          <w:lang w:eastAsia="zh-CN"/>
        </w:rPr>
        <w:t>2</w:t>
      </w:r>
      <w:r w:rsidRPr="00092862">
        <w:rPr>
          <w:rFonts w:ascii="Times New Roman" w:hAnsi="Times New Roman"/>
          <w:color w:val="000000" w:themeColor="text1"/>
          <w:lang w:eastAsia="zh-CN"/>
        </w:rPr>
        <w:t>S</w:t>
      </w:r>
      <w:r w:rsidRPr="00092862">
        <w:rPr>
          <w:rFonts w:ascii="Times New Roman" w:hAnsi="Times New Roman"/>
          <w:color w:val="000000" w:themeColor="text1"/>
          <w:lang w:eastAsia="zh-CN"/>
        </w:rPr>
        <w:t>）。沿线出露地层由上至下分别为：</w:t>
      </w:r>
    </w:p>
    <w:p w14:paraId="394B80C9" w14:textId="77777777"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）第四系残坡积层：</w:t>
      </w:r>
    </w:p>
    <w:p w14:paraId="209863E2" w14:textId="77777777"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主要为砂土、砂质粘土、粘土，干燥，松散，分布很广。坡体及坡体上覆盖层厚度很薄，一般</w:t>
      </w:r>
      <w:r w:rsidRPr="00092862">
        <w:rPr>
          <w:rFonts w:ascii="Times New Roman" w:hAnsi="Times New Roman"/>
          <w:color w:val="000000" w:themeColor="text1"/>
          <w:lang w:eastAsia="zh-CN"/>
        </w:rPr>
        <w:t>0.2</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0.5m</w:t>
      </w:r>
      <w:r w:rsidRPr="00092862">
        <w:rPr>
          <w:rFonts w:ascii="Times New Roman" w:hAnsi="Times New Roman"/>
          <w:color w:val="000000" w:themeColor="text1"/>
          <w:lang w:eastAsia="zh-CN"/>
        </w:rPr>
        <w:t>。沟谷中为砂质粘土、粘土。厚度较大，一般为</w:t>
      </w:r>
      <w:r w:rsidRPr="00092862">
        <w:rPr>
          <w:rFonts w:ascii="Times New Roman" w:hAnsi="Times New Roman"/>
          <w:color w:val="000000" w:themeColor="text1"/>
          <w:lang w:eastAsia="zh-CN"/>
        </w:rPr>
        <w:t>1.0</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2.5m</w:t>
      </w:r>
      <w:r w:rsidRPr="00092862">
        <w:rPr>
          <w:rFonts w:ascii="Times New Roman" w:hAnsi="Times New Roman"/>
          <w:color w:val="000000" w:themeColor="text1"/>
          <w:lang w:eastAsia="zh-CN"/>
        </w:rPr>
        <w:t>左右，为可塑状。</w:t>
      </w:r>
    </w:p>
    <w:p w14:paraId="113C85CF" w14:textId="77777777"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）第四系崩坡积层：</w:t>
      </w:r>
    </w:p>
    <w:p w14:paraId="59E60C39" w14:textId="77777777"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主要分布于陡坡下部，为含碎块石土，厚度一般为</w:t>
      </w:r>
      <w:r w:rsidRPr="00092862">
        <w:rPr>
          <w:rFonts w:ascii="Times New Roman" w:hAnsi="Times New Roman"/>
          <w:color w:val="000000" w:themeColor="text1"/>
          <w:lang w:eastAsia="zh-CN"/>
        </w:rPr>
        <w:t>1.0</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3.0m</w:t>
      </w:r>
      <w:r w:rsidRPr="00092862">
        <w:rPr>
          <w:rFonts w:ascii="Times New Roman" w:hAnsi="Times New Roman"/>
          <w:color w:val="000000" w:themeColor="text1"/>
          <w:lang w:eastAsia="zh-CN"/>
        </w:rPr>
        <w:t>。碎块石成份主要为砂岩碎块石，另外可见巨大孤石。</w:t>
      </w:r>
    </w:p>
    <w:p w14:paraId="696FBF1F" w14:textId="77777777"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）基岩</w:t>
      </w:r>
    </w:p>
    <w:p w14:paraId="112AE4A1" w14:textId="7F03EEFC" w:rsidR="005F7F44"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侏罗系中统沙溪庙组为含钙质结核的紫红色砂质泥岩、粉砂岩、泥质粉砂岩与黄灰色块状长石岩屑石英砂岩不等厚互层。砂岩坚硬性脆，常形成陡坎陡崖，泥岩易风化剥落，多形成缓坡。</w:t>
      </w:r>
    </w:p>
    <w:p w14:paraId="7ADCC82F" w14:textId="561701C2" w:rsidR="00A2697E" w:rsidRPr="00092862" w:rsidRDefault="00A2697E" w:rsidP="00A2697E">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57" w:name="_Toc120173125"/>
      <w:r w:rsidRPr="00092862">
        <w:rPr>
          <w:rFonts w:ascii="Times New Roman" w:eastAsia="黑体" w:hAnsi="Times New Roman"/>
          <w:b w:val="0"/>
          <w:color w:val="000000" w:themeColor="text1"/>
          <w:sz w:val="24"/>
          <w:szCs w:val="24"/>
          <w:lang w:eastAsia="zh-CN"/>
        </w:rPr>
        <w:t>4.1.</w:t>
      </w:r>
      <w:r w:rsidR="00932772" w:rsidRPr="00092862">
        <w:rPr>
          <w:rFonts w:ascii="Times New Roman" w:eastAsia="黑体" w:hAnsi="Times New Roman"/>
          <w:b w:val="0"/>
          <w:color w:val="000000" w:themeColor="text1"/>
          <w:sz w:val="24"/>
          <w:szCs w:val="24"/>
          <w:lang w:eastAsia="zh-CN"/>
        </w:rPr>
        <w:t>7</w:t>
      </w:r>
      <w:r w:rsidRPr="00092862">
        <w:rPr>
          <w:rFonts w:ascii="Times New Roman" w:eastAsia="黑体" w:hAnsi="Times New Roman"/>
          <w:b w:val="0"/>
          <w:color w:val="000000" w:themeColor="text1"/>
          <w:sz w:val="24"/>
          <w:szCs w:val="24"/>
          <w:lang w:eastAsia="zh-CN"/>
        </w:rPr>
        <w:t>矿产资源</w:t>
      </w:r>
      <w:bookmarkEnd w:id="157"/>
    </w:p>
    <w:p w14:paraId="0C9D9E61" w14:textId="57C307D9" w:rsidR="00A2697E" w:rsidRPr="00092862" w:rsidRDefault="00A2697E" w:rsidP="00A2697E">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截至</w:t>
      </w:r>
      <w:r w:rsidRPr="00092862">
        <w:rPr>
          <w:rFonts w:ascii="Times New Roman" w:hAnsi="Times New Roman"/>
          <w:color w:val="000000" w:themeColor="text1"/>
          <w:lang w:eastAsia="zh-CN"/>
        </w:rPr>
        <w:t>2018</w:t>
      </w:r>
      <w:r w:rsidRPr="00092862">
        <w:rPr>
          <w:rFonts w:ascii="Times New Roman" w:hAnsi="Times New Roman"/>
          <w:color w:val="000000" w:themeColor="text1"/>
          <w:lang w:eastAsia="zh-CN"/>
        </w:rPr>
        <w:t>年，宣汉县共探测到的资源达</w:t>
      </w:r>
      <w:r w:rsidRPr="00092862">
        <w:rPr>
          <w:rFonts w:ascii="Times New Roman" w:hAnsi="Times New Roman"/>
          <w:color w:val="000000" w:themeColor="text1"/>
          <w:lang w:eastAsia="zh-CN"/>
        </w:rPr>
        <w:t>28</w:t>
      </w:r>
      <w:r w:rsidRPr="00092862">
        <w:rPr>
          <w:rFonts w:ascii="Times New Roman" w:hAnsi="Times New Roman"/>
          <w:color w:val="000000" w:themeColor="text1"/>
          <w:lang w:eastAsia="zh-CN"/>
        </w:rPr>
        <w:t>种，主要矿产资源概括为：一煤（煤炭），二气（石油、天然气），三土（粘土、高岭土、膨润土），五石（滑石、长石、大理石、石英石、石灰石），八矿（铁、砷、硅、硫磺、石膏、铝、卤钾、岩盐）。天然气预测储量高达</w:t>
      </w:r>
      <w:r w:rsidRPr="00092862">
        <w:rPr>
          <w:rFonts w:ascii="Times New Roman" w:hAnsi="Times New Roman"/>
          <w:color w:val="000000" w:themeColor="text1"/>
          <w:lang w:eastAsia="zh-CN"/>
        </w:rPr>
        <w:t>1.5</w:t>
      </w:r>
      <w:r w:rsidRPr="00092862">
        <w:rPr>
          <w:rFonts w:ascii="Times New Roman" w:hAnsi="Times New Roman"/>
          <w:color w:val="000000" w:themeColor="text1"/>
          <w:lang w:eastAsia="zh-CN"/>
        </w:rPr>
        <w:t>万亿立方米，居中国第</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位，已探明开发储量达</w:t>
      </w:r>
      <w:r w:rsidRPr="00092862">
        <w:rPr>
          <w:rFonts w:ascii="Times New Roman" w:hAnsi="Times New Roman"/>
          <w:color w:val="000000" w:themeColor="text1"/>
          <w:lang w:eastAsia="zh-CN"/>
        </w:rPr>
        <w:t>3000-6000</w:t>
      </w:r>
      <w:r w:rsidRPr="00092862">
        <w:rPr>
          <w:rFonts w:ascii="Times New Roman" w:hAnsi="Times New Roman"/>
          <w:color w:val="000000" w:themeColor="text1"/>
          <w:lang w:eastAsia="zh-CN"/>
        </w:rPr>
        <w:t>亿立方米，系西南地区天然气气田中心、国家</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西气东输工程</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重要基地。原煤储量达</w:t>
      </w:r>
      <w:r w:rsidRPr="00092862">
        <w:rPr>
          <w:rFonts w:ascii="Times New Roman" w:hAnsi="Times New Roman"/>
          <w:color w:val="000000" w:themeColor="text1"/>
          <w:lang w:eastAsia="zh-CN"/>
        </w:rPr>
        <w:t>1.6</w:t>
      </w:r>
      <w:r w:rsidRPr="00092862">
        <w:rPr>
          <w:rFonts w:ascii="Times New Roman" w:hAnsi="Times New Roman"/>
          <w:color w:val="000000" w:themeColor="text1"/>
          <w:lang w:eastAsia="zh-CN"/>
        </w:rPr>
        <w:t>亿吨，发热量</w:t>
      </w:r>
      <w:r w:rsidRPr="00092862">
        <w:rPr>
          <w:rFonts w:ascii="Times New Roman" w:hAnsi="Times New Roman"/>
          <w:color w:val="000000" w:themeColor="text1"/>
          <w:lang w:eastAsia="zh-CN"/>
        </w:rPr>
        <w:t>6000</w:t>
      </w:r>
      <w:r w:rsidRPr="00092862">
        <w:rPr>
          <w:rFonts w:ascii="Times New Roman" w:hAnsi="Times New Roman"/>
          <w:color w:val="000000" w:themeColor="text1"/>
          <w:lang w:eastAsia="zh-CN"/>
        </w:rPr>
        <w:t>大卡以上。富钾卤水储量达</w:t>
      </w:r>
      <w:r w:rsidRPr="00092862">
        <w:rPr>
          <w:rFonts w:ascii="Times New Roman" w:hAnsi="Times New Roman"/>
          <w:color w:val="000000" w:themeColor="text1"/>
          <w:lang w:eastAsia="zh-CN"/>
        </w:rPr>
        <w:t>1.3</w:t>
      </w:r>
      <w:r w:rsidRPr="00092862">
        <w:rPr>
          <w:rFonts w:ascii="Times New Roman" w:hAnsi="Times New Roman"/>
          <w:color w:val="000000" w:themeColor="text1"/>
          <w:lang w:eastAsia="zh-CN"/>
        </w:rPr>
        <w:t>亿立方米，是国家盐化工业基地自贡黑卤的</w:t>
      </w:r>
      <w:r w:rsidRPr="00092862">
        <w:rPr>
          <w:rFonts w:ascii="Times New Roman" w:hAnsi="Times New Roman"/>
          <w:color w:val="000000" w:themeColor="text1"/>
          <w:lang w:eastAsia="zh-CN"/>
        </w:rPr>
        <w:t>10</w:t>
      </w:r>
      <w:r w:rsidRPr="00092862">
        <w:rPr>
          <w:rFonts w:ascii="Times New Roman" w:hAnsi="Times New Roman"/>
          <w:color w:val="000000" w:themeColor="text1"/>
          <w:lang w:eastAsia="zh-CN"/>
        </w:rPr>
        <w:t>倍。此外，还有大理石</w:t>
      </w:r>
      <w:r w:rsidRPr="00092862">
        <w:rPr>
          <w:rFonts w:ascii="Times New Roman" w:hAnsi="Times New Roman"/>
          <w:color w:val="000000" w:themeColor="text1"/>
          <w:lang w:eastAsia="zh-CN"/>
        </w:rPr>
        <w:t>30</w:t>
      </w:r>
      <w:r w:rsidRPr="00092862">
        <w:rPr>
          <w:rFonts w:ascii="Times New Roman" w:hAnsi="Times New Roman"/>
          <w:color w:val="000000" w:themeColor="text1"/>
          <w:lang w:eastAsia="zh-CN"/>
        </w:rPr>
        <w:t>亿立方米，石灰石</w:t>
      </w:r>
      <w:r w:rsidRPr="00092862">
        <w:rPr>
          <w:rFonts w:ascii="Times New Roman" w:hAnsi="Times New Roman"/>
          <w:color w:val="000000" w:themeColor="text1"/>
          <w:lang w:eastAsia="zh-CN"/>
        </w:rPr>
        <w:t>30</w:t>
      </w:r>
      <w:r w:rsidRPr="00092862">
        <w:rPr>
          <w:rFonts w:ascii="Times New Roman" w:hAnsi="Times New Roman"/>
          <w:color w:val="000000" w:themeColor="text1"/>
          <w:lang w:eastAsia="zh-CN"/>
        </w:rPr>
        <w:t>亿立方米，石英石</w:t>
      </w:r>
      <w:r w:rsidRPr="00092862">
        <w:rPr>
          <w:rFonts w:ascii="Times New Roman" w:hAnsi="Times New Roman"/>
          <w:color w:val="000000" w:themeColor="text1"/>
          <w:lang w:eastAsia="zh-CN"/>
        </w:rPr>
        <w:t>3000</w:t>
      </w:r>
      <w:r w:rsidRPr="00092862">
        <w:rPr>
          <w:rFonts w:ascii="Times New Roman" w:hAnsi="Times New Roman"/>
          <w:color w:val="000000" w:themeColor="text1"/>
          <w:lang w:eastAsia="zh-CN"/>
        </w:rPr>
        <w:t>万立方米，硫磺矿</w:t>
      </w:r>
      <w:r w:rsidRPr="00092862">
        <w:rPr>
          <w:rFonts w:ascii="Times New Roman" w:hAnsi="Times New Roman"/>
          <w:color w:val="000000" w:themeColor="text1"/>
          <w:lang w:eastAsia="zh-CN"/>
        </w:rPr>
        <w:t>867</w:t>
      </w:r>
      <w:r w:rsidRPr="00092862">
        <w:rPr>
          <w:rFonts w:ascii="Times New Roman" w:hAnsi="Times New Roman"/>
          <w:color w:val="000000" w:themeColor="text1"/>
          <w:lang w:eastAsia="zh-CN"/>
        </w:rPr>
        <w:t>万吨，铁矿</w:t>
      </w:r>
      <w:r w:rsidRPr="00092862">
        <w:rPr>
          <w:rFonts w:ascii="Times New Roman" w:hAnsi="Times New Roman"/>
          <w:color w:val="000000" w:themeColor="text1"/>
          <w:lang w:eastAsia="zh-CN"/>
        </w:rPr>
        <w:t>1800</w:t>
      </w:r>
      <w:r w:rsidRPr="00092862">
        <w:rPr>
          <w:rFonts w:ascii="Times New Roman" w:hAnsi="Times New Roman"/>
          <w:color w:val="000000" w:themeColor="text1"/>
          <w:lang w:eastAsia="zh-CN"/>
        </w:rPr>
        <w:t>万吨等。</w:t>
      </w:r>
    </w:p>
    <w:p w14:paraId="7DD20CDB" w14:textId="041A4642" w:rsidR="00DC446C" w:rsidRPr="00092862" w:rsidRDefault="003B1968" w:rsidP="00810533">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58" w:name="_Toc120173126"/>
      <w:r w:rsidRPr="00092862">
        <w:rPr>
          <w:rFonts w:ascii="Times New Roman" w:eastAsia="黑体" w:hAnsi="Times New Roman"/>
          <w:b w:val="0"/>
          <w:color w:val="000000" w:themeColor="text1"/>
          <w:sz w:val="24"/>
          <w:szCs w:val="24"/>
          <w:lang w:eastAsia="zh-CN"/>
        </w:rPr>
        <w:t>4.1.</w:t>
      </w:r>
      <w:r w:rsidR="00932772" w:rsidRPr="00092862">
        <w:rPr>
          <w:rFonts w:ascii="Times New Roman" w:eastAsia="黑体" w:hAnsi="Times New Roman"/>
          <w:b w:val="0"/>
          <w:color w:val="000000" w:themeColor="text1"/>
          <w:sz w:val="24"/>
          <w:szCs w:val="24"/>
          <w:lang w:eastAsia="zh-CN"/>
        </w:rPr>
        <w:t>8</w:t>
      </w:r>
      <w:r w:rsidRPr="00092862">
        <w:rPr>
          <w:rFonts w:ascii="Times New Roman" w:eastAsia="黑体" w:hAnsi="Times New Roman"/>
          <w:b w:val="0"/>
          <w:color w:val="000000" w:themeColor="text1"/>
          <w:sz w:val="24"/>
          <w:szCs w:val="24"/>
          <w:lang w:eastAsia="zh-CN"/>
        </w:rPr>
        <w:t>周边自然遗迹、自然保护区的分布情况</w:t>
      </w:r>
      <w:bookmarkEnd w:id="158"/>
    </w:p>
    <w:p w14:paraId="7E442344" w14:textId="77777777" w:rsidR="00DC446C" w:rsidRPr="00092862" w:rsidRDefault="003B1968" w:rsidP="00810533">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评价区域无自然保护区、风景名胜区、自然遗迹、文物古迹等，在项目建设过程中如果发现有保护价值的文物遗迹，建设单位应保护好现场，并报告文物主管部门。</w:t>
      </w:r>
    </w:p>
    <w:p w14:paraId="1709F5B2" w14:textId="77777777" w:rsidR="00DC446C" w:rsidRPr="00092862" w:rsidRDefault="003B1968" w:rsidP="00810533">
      <w:pPr>
        <w:pStyle w:val="2"/>
        <w:ind w:firstLine="480"/>
        <w:rPr>
          <w:color w:val="000000" w:themeColor="text1"/>
          <w:szCs w:val="24"/>
          <w:lang w:eastAsia="zh-CN"/>
        </w:rPr>
      </w:pPr>
      <w:bookmarkStart w:id="159" w:name="_bookmark24"/>
      <w:bookmarkStart w:id="160" w:name="4.2项目周边环境概况"/>
      <w:bookmarkStart w:id="161" w:name="4.3环境质量现状评价"/>
      <w:bookmarkStart w:id="162" w:name="_bookmark25"/>
      <w:bookmarkStart w:id="163" w:name="_Toc123682538"/>
      <w:bookmarkEnd w:id="159"/>
      <w:bookmarkEnd w:id="160"/>
      <w:bookmarkEnd w:id="161"/>
      <w:bookmarkEnd w:id="162"/>
      <w:r w:rsidRPr="00092862">
        <w:rPr>
          <w:color w:val="000000" w:themeColor="text1"/>
          <w:szCs w:val="24"/>
          <w:lang w:eastAsia="zh-CN"/>
        </w:rPr>
        <w:t>4.2</w:t>
      </w:r>
      <w:r w:rsidRPr="00092862">
        <w:rPr>
          <w:color w:val="000000" w:themeColor="text1"/>
          <w:szCs w:val="24"/>
          <w:lang w:eastAsia="zh-CN"/>
        </w:rPr>
        <w:t>环境质量现状评价</w:t>
      </w:r>
      <w:bookmarkEnd w:id="163"/>
    </w:p>
    <w:p w14:paraId="0D88E5C9" w14:textId="77777777" w:rsidR="00DC446C" w:rsidRPr="00092862" w:rsidRDefault="003B1968" w:rsidP="00810533">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64" w:name="_Toc120173128"/>
      <w:r w:rsidRPr="00092862">
        <w:rPr>
          <w:rFonts w:ascii="Times New Roman" w:eastAsia="黑体" w:hAnsi="Times New Roman"/>
          <w:b w:val="0"/>
          <w:color w:val="000000" w:themeColor="text1"/>
          <w:sz w:val="24"/>
          <w:szCs w:val="24"/>
          <w:lang w:eastAsia="zh-CN"/>
        </w:rPr>
        <w:t>4.2.1</w:t>
      </w:r>
      <w:r w:rsidRPr="00092862">
        <w:rPr>
          <w:rFonts w:ascii="Times New Roman" w:eastAsia="黑体" w:hAnsi="Times New Roman"/>
          <w:b w:val="0"/>
          <w:color w:val="000000" w:themeColor="text1"/>
          <w:sz w:val="24"/>
          <w:szCs w:val="24"/>
          <w:lang w:eastAsia="zh-CN"/>
        </w:rPr>
        <w:t>环境空气质量现状</w:t>
      </w:r>
      <w:bookmarkEnd w:id="164"/>
    </w:p>
    <w:p w14:paraId="7192C096" w14:textId="77777777" w:rsidR="0012594E" w:rsidRPr="00092862" w:rsidRDefault="0012594E" w:rsidP="0012594E">
      <w:pPr>
        <w:pStyle w:val="afffff6"/>
        <w:ind w:firstLine="480"/>
        <w:rPr>
          <w:color w:val="000000" w:themeColor="text1"/>
          <w:szCs w:val="24"/>
        </w:rPr>
      </w:pPr>
      <w:bookmarkStart w:id="165" w:name="_Hlk84604118"/>
      <w:r w:rsidRPr="00092862">
        <w:rPr>
          <w:color w:val="000000" w:themeColor="text1"/>
          <w:szCs w:val="24"/>
        </w:rPr>
        <w:t>本次评价采用了现场实测和资料复用相结合的方法。</w:t>
      </w:r>
    </w:p>
    <w:p w14:paraId="25F324AB" w14:textId="2F161C6D" w:rsidR="0012594E" w:rsidRPr="00092862" w:rsidRDefault="0012594E" w:rsidP="0012594E">
      <w:pPr>
        <w:pStyle w:val="afffff6"/>
        <w:ind w:firstLine="480"/>
        <w:rPr>
          <w:color w:val="000000" w:themeColor="text1"/>
          <w:szCs w:val="24"/>
        </w:rPr>
      </w:pPr>
      <w:r w:rsidRPr="00092862">
        <w:rPr>
          <w:color w:val="000000" w:themeColor="text1"/>
          <w:szCs w:val="24"/>
        </w:rPr>
        <w:t>根据项目工程特点和各工艺站场的具体情况，以项目涉及区域作为本项目大气环境质量现状调查、评价的对象。本评价对</w:t>
      </w:r>
      <w:r w:rsidR="003C3238" w:rsidRPr="00092862">
        <w:rPr>
          <w:color w:val="000000" w:themeColor="text1"/>
          <w:szCs w:val="24"/>
        </w:rPr>
        <w:t>老君</w:t>
      </w:r>
      <w:r w:rsidR="003C3238" w:rsidRPr="00092862">
        <w:rPr>
          <w:color w:val="000000" w:themeColor="text1"/>
          <w:szCs w:val="24"/>
        </w:rPr>
        <w:t>701</w:t>
      </w:r>
      <w:r w:rsidR="00D37600" w:rsidRPr="00092862">
        <w:rPr>
          <w:color w:val="000000" w:themeColor="text1"/>
          <w:szCs w:val="24"/>
        </w:rPr>
        <w:t>1</w:t>
      </w:r>
      <w:r w:rsidR="00D37600" w:rsidRPr="00092862">
        <w:rPr>
          <w:color w:val="000000" w:themeColor="text1"/>
          <w:szCs w:val="24"/>
        </w:rPr>
        <w:t>井台</w:t>
      </w:r>
      <w:r w:rsidRPr="00092862">
        <w:rPr>
          <w:color w:val="000000" w:themeColor="text1"/>
          <w:szCs w:val="24"/>
        </w:rPr>
        <w:t>所在地进行大气环境质量现状监测数据以及引用《</w:t>
      </w:r>
      <w:r w:rsidRPr="00092862">
        <w:rPr>
          <w:color w:val="000000" w:themeColor="text1"/>
          <w:szCs w:val="24"/>
          <w:shd w:val="clear" w:color="auto" w:fill="FFFFFF"/>
        </w:rPr>
        <w:t>2020</w:t>
      </w:r>
      <w:r w:rsidRPr="00092862">
        <w:rPr>
          <w:color w:val="000000" w:themeColor="text1"/>
          <w:szCs w:val="24"/>
          <w:shd w:val="clear" w:color="auto" w:fill="FFFFFF"/>
        </w:rPr>
        <w:t>年达州市环境状况公报</w:t>
      </w:r>
      <w:r w:rsidRPr="00092862">
        <w:rPr>
          <w:color w:val="000000" w:themeColor="text1"/>
          <w:szCs w:val="24"/>
        </w:rPr>
        <w:t>》环境空气质量</w:t>
      </w:r>
      <w:r w:rsidRPr="00092862">
        <w:rPr>
          <w:color w:val="000000" w:themeColor="text1"/>
          <w:szCs w:val="24"/>
        </w:rPr>
        <w:lastRenderedPageBreak/>
        <w:t>公报数据。</w:t>
      </w:r>
    </w:p>
    <w:p w14:paraId="7BD2766E" w14:textId="77777777" w:rsidR="0012594E" w:rsidRPr="00092862" w:rsidRDefault="0012594E" w:rsidP="0012594E">
      <w:pPr>
        <w:pStyle w:val="ac"/>
        <w:spacing w:before="0" w:line="360" w:lineRule="auto"/>
        <w:ind w:left="0" w:firstLine="200"/>
        <w:rPr>
          <w:rFonts w:ascii="Times New Roman" w:hAnsi="Times New Roman"/>
          <w:b/>
          <w:bCs/>
          <w:color w:val="000000" w:themeColor="text1"/>
          <w:lang w:eastAsia="zh-CN"/>
        </w:rPr>
      </w:pPr>
      <w:r w:rsidRPr="00092862">
        <w:rPr>
          <w:rFonts w:ascii="Times New Roman" w:hAnsi="Times New Roman"/>
          <w:b/>
          <w:bCs/>
          <w:color w:val="000000" w:themeColor="text1"/>
          <w:lang w:eastAsia="zh-CN"/>
        </w:rPr>
        <w:t>1</w:t>
      </w:r>
      <w:r w:rsidRPr="00092862">
        <w:rPr>
          <w:rFonts w:ascii="Times New Roman" w:hAnsi="Times New Roman"/>
          <w:b/>
          <w:bCs/>
          <w:color w:val="000000" w:themeColor="text1"/>
          <w:lang w:eastAsia="zh-CN"/>
        </w:rPr>
        <w:t>、达标判断</w:t>
      </w:r>
    </w:p>
    <w:p w14:paraId="541650A5" w14:textId="77777777" w:rsidR="0012594E" w:rsidRPr="00092862" w:rsidRDefault="0012594E" w:rsidP="0012594E">
      <w:pPr>
        <w:pStyle w:val="afffff6"/>
        <w:ind w:firstLine="480"/>
        <w:rPr>
          <w:color w:val="000000" w:themeColor="text1"/>
          <w:szCs w:val="24"/>
        </w:rPr>
      </w:pPr>
      <w:r w:rsidRPr="00092862">
        <w:rPr>
          <w:color w:val="000000" w:themeColor="text1"/>
          <w:szCs w:val="24"/>
        </w:rPr>
        <w:t>本项目位于达州市宣汉县，项目所在区环境空气功能分区为二类区。根据《环境影响评价技术导则</w:t>
      </w:r>
      <w:r w:rsidRPr="00092862">
        <w:rPr>
          <w:color w:val="000000" w:themeColor="text1"/>
          <w:szCs w:val="24"/>
        </w:rPr>
        <w:t xml:space="preserve"> </w:t>
      </w:r>
      <w:r w:rsidRPr="00092862">
        <w:rPr>
          <w:color w:val="000000" w:themeColor="text1"/>
          <w:szCs w:val="24"/>
        </w:rPr>
        <w:t>总纲》（</w:t>
      </w:r>
      <w:r w:rsidRPr="00092862">
        <w:rPr>
          <w:color w:val="000000" w:themeColor="text1"/>
          <w:szCs w:val="24"/>
        </w:rPr>
        <w:t>HJ2.1-2016</w:t>
      </w:r>
      <w:r w:rsidRPr="00092862">
        <w:rPr>
          <w:color w:val="000000" w:themeColor="text1"/>
          <w:szCs w:val="24"/>
        </w:rPr>
        <w:t>）与《环境影响评价技术导则</w:t>
      </w:r>
      <w:r w:rsidRPr="00092862">
        <w:rPr>
          <w:color w:val="000000" w:themeColor="text1"/>
          <w:szCs w:val="24"/>
        </w:rPr>
        <w:t xml:space="preserve"> </w:t>
      </w:r>
      <w:r w:rsidRPr="00092862">
        <w:rPr>
          <w:color w:val="000000" w:themeColor="text1"/>
          <w:szCs w:val="24"/>
        </w:rPr>
        <w:t>大气环境》（</w:t>
      </w:r>
      <w:r w:rsidRPr="00092862">
        <w:rPr>
          <w:color w:val="000000" w:themeColor="text1"/>
          <w:szCs w:val="24"/>
        </w:rPr>
        <w:t>HJ2.2-2018</w:t>
      </w:r>
      <w:r w:rsidRPr="00092862">
        <w:rPr>
          <w:color w:val="000000" w:themeColor="text1"/>
          <w:szCs w:val="24"/>
        </w:rPr>
        <w:t>）的要求，评价采用达州市环境保护局发布（</w:t>
      </w:r>
      <w:r w:rsidRPr="00092862">
        <w:rPr>
          <w:color w:val="000000" w:themeColor="text1"/>
          <w:szCs w:val="24"/>
        </w:rPr>
        <w:t>http://sthjj.dazhou.gov.cn/news-list-hjzl.html</w:t>
      </w:r>
      <w:r w:rsidRPr="00092862">
        <w:rPr>
          <w:color w:val="000000" w:themeColor="text1"/>
          <w:szCs w:val="24"/>
        </w:rPr>
        <w:t>）的《</w:t>
      </w:r>
      <w:r w:rsidRPr="00092862">
        <w:rPr>
          <w:color w:val="000000" w:themeColor="text1"/>
          <w:szCs w:val="24"/>
        </w:rPr>
        <w:t>2020</w:t>
      </w:r>
      <w:r w:rsidRPr="00092862">
        <w:rPr>
          <w:color w:val="000000" w:themeColor="text1"/>
          <w:szCs w:val="24"/>
        </w:rPr>
        <w:t>年达州市环境状况公报》中的数据进行评价：</w:t>
      </w:r>
    </w:p>
    <w:p w14:paraId="7720BF5A" w14:textId="77777777" w:rsidR="0012594E" w:rsidRPr="00092862" w:rsidRDefault="0012594E" w:rsidP="0012594E">
      <w:pPr>
        <w:pStyle w:val="afffff6"/>
        <w:ind w:firstLine="480"/>
        <w:rPr>
          <w:color w:val="000000" w:themeColor="text1"/>
          <w:szCs w:val="24"/>
          <w:shd w:val="clear" w:color="auto" w:fill="FFFFFF"/>
        </w:rPr>
      </w:pPr>
      <w:r w:rsidRPr="00092862">
        <w:rPr>
          <w:color w:val="000000" w:themeColor="text1"/>
          <w:szCs w:val="24"/>
          <w:shd w:val="clear" w:color="auto" w:fill="FFFFFF"/>
        </w:rPr>
        <w:t>2020</w:t>
      </w:r>
      <w:r w:rsidRPr="00092862">
        <w:rPr>
          <w:color w:val="000000" w:themeColor="text1"/>
          <w:szCs w:val="24"/>
          <w:shd w:val="clear" w:color="auto" w:fill="FFFFFF"/>
        </w:rPr>
        <w:t>年全市空气质量日均值达标率为</w:t>
      </w:r>
      <w:r w:rsidRPr="00092862">
        <w:rPr>
          <w:color w:val="000000" w:themeColor="text1"/>
          <w:szCs w:val="24"/>
          <w:shd w:val="clear" w:color="auto" w:fill="FFFFFF"/>
        </w:rPr>
        <w:t>93.3%</w:t>
      </w:r>
      <w:r w:rsidRPr="00092862">
        <w:rPr>
          <w:color w:val="000000" w:themeColor="text1"/>
          <w:szCs w:val="24"/>
          <w:shd w:val="clear" w:color="auto" w:fill="FFFFFF"/>
        </w:rPr>
        <w:t>，较上年提高</w:t>
      </w:r>
      <w:r w:rsidRPr="00092862">
        <w:rPr>
          <w:color w:val="000000" w:themeColor="text1"/>
          <w:szCs w:val="24"/>
          <w:shd w:val="clear" w:color="auto" w:fill="FFFFFF"/>
        </w:rPr>
        <w:t>2.0</w:t>
      </w:r>
      <w:r w:rsidRPr="00092862">
        <w:rPr>
          <w:color w:val="000000" w:themeColor="text1"/>
          <w:szCs w:val="24"/>
          <w:shd w:val="clear" w:color="auto" w:fill="FFFFFF"/>
        </w:rPr>
        <w:t>个百分点。市城区及各县（市）空气质量达标率为</w:t>
      </w:r>
      <w:r w:rsidRPr="00092862">
        <w:rPr>
          <w:color w:val="000000" w:themeColor="text1"/>
          <w:szCs w:val="24"/>
          <w:shd w:val="clear" w:color="auto" w:fill="FFFFFF"/>
        </w:rPr>
        <w:t>89.3%~97.5%</w:t>
      </w:r>
      <w:r w:rsidRPr="00092862">
        <w:rPr>
          <w:color w:val="000000" w:themeColor="text1"/>
          <w:szCs w:val="24"/>
          <w:shd w:val="clear" w:color="auto" w:fill="FFFFFF"/>
        </w:rPr>
        <w:t>，其中，宣汉县</w:t>
      </w:r>
      <w:r w:rsidRPr="00092862">
        <w:rPr>
          <w:color w:val="000000" w:themeColor="text1"/>
          <w:szCs w:val="24"/>
          <w:shd w:val="clear" w:color="auto" w:fill="FFFFFF"/>
        </w:rPr>
        <w:t>94.3%</w:t>
      </w:r>
      <w:r w:rsidRPr="00092862">
        <w:rPr>
          <w:color w:val="000000" w:themeColor="text1"/>
          <w:szCs w:val="24"/>
          <w:shd w:val="clear" w:color="auto" w:fill="FFFFFF"/>
        </w:rPr>
        <w:t>，万源市</w:t>
      </w:r>
      <w:r w:rsidRPr="00092862">
        <w:rPr>
          <w:color w:val="000000" w:themeColor="text1"/>
          <w:szCs w:val="24"/>
          <w:shd w:val="clear" w:color="auto" w:fill="FFFFFF"/>
        </w:rPr>
        <w:t>97.5%</w:t>
      </w:r>
      <w:r w:rsidRPr="00092862">
        <w:rPr>
          <w:color w:val="000000" w:themeColor="text1"/>
          <w:szCs w:val="24"/>
          <w:shd w:val="clear" w:color="auto" w:fill="FFFFFF"/>
        </w:rPr>
        <w:t>，开江县</w:t>
      </w:r>
      <w:r w:rsidRPr="00092862">
        <w:rPr>
          <w:color w:val="000000" w:themeColor="text1"/>
          <w:szCs w:val="24"/>
          <w:shd w:val="clear" w:color="auto" w:fill="FFFFFF"/>
        </w:rPr>
        <w:t>95.1%</w:t>
      </w:r>
      <w:r w:rsidRPr="00092862">
        <w:rPr>
          <w:color w:val="000000" w:themeColor="text1"/>
          <w:szCs w:val="24"/>
          <w:shd w:val="clear" w:color="auto" w:fill="FFFFFF"/>
        </w:rPr>
        <w:t>，渠县</w:t>
      </w:r>
      <w:r w:rsidRPr="00092862">
        <w:rPr>
          <w:color w:val="000000" w:themeColor="text1"/>
          <w:szCs w:val="24"/>
          <w:shd w:val="clear" w:color="auto" w:fill="FFFFFF"/>
        </w:rPr>
        <w:t>93.4%</w:t>
      </w:r>
      <w:r w:rsidRPr="00092862">
        <w:rPr>
          <w:color w:val="000000" w:themeColor="text1"/>
          <w:szCs w:val="24"/>
          <w:shd w:val="clear" w:color="auto" w:fill="FFFFFF"/>
        </w:rPr>
        <w:t>，大竹县</w:t>
      </w:r>
      <w:r w:rsidRPr="00092862">
        <w:rPr>
          <w:color w:val="000000" w:themeColor="text1"/>
          <w:szCs w:val="24"/>
          <w:shd w:val="clear" w:color="auto" w:fill="FFFFFF"/>
        </w:rPr>
        <w:t>90.2%</w:t>
      </w:r>
      <w:r w:rsidRPr="00092862">
        <w:rPr>
          <w:color w:val="000000" w:themeColor="text1"/>
          <w:szCs w:val="24"/>
          <w:shd w:val="clear" w:color="auto" w:fill="FFFFFF"/>
        </w:rPr>
        <w:t>，市城区</w:t>
      </w:r>
      <w:r w:rsidRPr="00092862">
        <w:rPr>
          <w:color w:val="000000" w:themeColor="text1"/>
          <w:szCs w:val="24"/>
          <w:shd w:val="clear" w:color="auto" w:fill="FFFFFF"/>
        </w:rPr>
        <w:t>89.3%</w:t>
      </w:r>
      <w:r w:rsidRPr="00092862">
        <w:rPr>
          <w:color w:val="000000" w:themeColor="text1"/>
          <w:szCs w:val="24"/>
          <w:shd w:val="clear" w:color="auto" w:fill="FFFFFF"/>
        </w:rPr>
        <w:t>。全市环境空气中主要污染物</w:t>
      </w:r>
      <w:r w:rsidRPr="00092862">
        <w:rPr>
          <w:color w:val="000000" w:themeColor="text1"/>
          <w:szCs w:val="24"/>
          <w:shd w:val="clear" w:color="auto" w:fill="FFFFFF"/>
        </w:rPr>
        <w:t>PM</w:t>
      </w:r>
      <w:r w:rsidRPr="00092862">
        <w:rPr>
          <w:color w:val="000000" w:themeColor="text1"/>
          <w:szCs w:val="24"/>
          <w:shd w:val="clear" w:color="auto" w:fill="FFFFFF"/>
          <w:vertAlign w:val="subscript"/>
        </w:rPr>
        <w:t>10</w:t>
      </w:r>
      <w:r w:rsidRPr="00092862">
        <w:rPr>
          <w:color w:val="000000" w:themeColor="text1"/>
          <w:szCs w:val="24"/>
          <w:shd w:val="clear" w:color="auto" w:fill="FFFFFF"/>
        </w:rPr>
        <w:t>、</w:t>
      </w:r>
      <w:r w:rsidRPr="00092862">
        <w:rPr>
          <w:color w:val="000000" w:themeColor="text1"/>
          <w:szCs w:val="24"/>
          <w:shd w:val="clear" w:color="auto" w:fill="FFFFFF"/>
        </w:rPr>
        <w:t>PM</w:t>
      </w:r>
      <w:r w:rsidRPr="00092862">
        <w:rPr>
          <w:color w:val="000000" w:themeColor="text1"/>
          <w:szCs w:val="24"/>
          <w:shd w:val="clear" w:color="auto" w:fill="FFFFFF"/>
          <w:vertAlign w:val="subscript"/>
        </w:rPr>
        <w:t>2.5</w:t>
      </w:r>
      <w:r w:rsidRPr="00092862">
        <w:rPr>
          <w:color w:val="000000" w:themeColor="text1"/>
          <w:szCs w:val="24"/>
          <w:shd w:val="clear" w:color="auto" w:fill="FFFFFF"/>
        </w:rPr>
        <w:t>和</w:t>
      </w:r>
      <w:r w:rsidRPr="00092862">
        <w:rPr>
          <w:color w:val="000000" w:themeColor="text1"/>
          <w:szCs w:val="24"/>
          <w:shd w:val="clear" w:color="auto" w:fill="FFFFFF"/>
        </w:rPr>
        <w:t>O</w:t>
      </w:r>
      <w:r w:rsidRPr="00092862">
        <w:rPr>
          <w:color w:val="000000" w:themeColor="text1"/>
          <w:szCs w:val="24"/>
          <w:shd w:val="clear" w:color="auto" w:fill="FFFFFF"/>
          <w:vertAlign w:val="subscript"/>
        </w:rPr>
        <w:t>3</w:t>
      </w:r>
      <w:r w:rsidRPr="00092862">
        <w:rPr>
          <w:color w:val="000000" w:themeColor="text1"/>
          <w:szCs w:val="24"/>
          <w:shd w:val="clear" w:color="auto" w:fill="FFFFFF"/>
        </w:rPr>
        <w:t>。市城区</w:t>
      </w:r>
      <w:r w:rsidRPr="00092862">
        <w:rPr>
          <w:color w:val="000000" w:themeColor="text1"/>
          <w:szCs w:val="24"/>
          <w:shd w:val="clear" w:color="auto" w:fill="FFFFFF"/>
        </w:rPr>
        <w:t>SO</w:t>
      </w:r>
      <w:r w:rsidRPr="00092862">
        <w:rPr>
          <w:color w:val="000000" w:themeColor="text1"/>
          <w:szCs w:val="24"/>
          <w:shd w:val="clear" w:color="auto" w:fill="FFFFFF"/>
          <w:vertAlign w:val="subscript"/>
        </w:rPr>
        <w:t>2</w:t>
      </w:r>
      <w:r w:rsidRPr="00092862">
        <w:rPr>
          <w:color w:val="000000" w:themeColor="text1"/>
          <w:szCs w:val="24"/>
          <w:shd w:val="clear" w:color="auto" w:fill="FFFFFF"/>
        </w:rPr>
        <w:t>、</w:t>
      </w:r>
      <w:r w:rsidRPr="00092862">
        <w:rPr>
          <w:color w:val="000000" w:themeColor="text1"/>
          <w:szCs w:val="24"/>
          <w:shd w:val="clear" w:color="auto" w:fill="FFFFFF"/>
        </w:rPr>
        <w:t>NO</w:t>
      </w:r>
      <w:r w:rsidRPr="00092862">
        <w:rPr>
          <w:color w:val="000000" w:themeColor="text1"/>
          <w:szCs w:val="24"/>
          <w:shd w:val="clear" w:color="auto" w:fill="FFFFFF"/>
          <w:vertAlign w:val="subscript"/>
        </w:rPr>
        <w:t>2</w:t>
      </w:r>
      <w:r w:rsidRPr="00092862">
        <w:rPr>
          <w:color w:val="000000" w:themeColor="text1"/>
          <w:szCs w:val="24"/>
          <w:shd w:val="clear" w:color="auto" w:fill="FFFFFF"/>
        </w:rPr>
        <w:t>、</w:t>
      </w:r>
      <w:r w:rsidRPr="00092862">
        <w:rPr>
          <w:color w:val="000000" w:themeColor="text1"/>
          <w:szCs w:val="24"/>
          <w:shd w:val="clear" w:color="auto" w:fill="FFFFFF"/>
        </w:rPr>
        <w:t>PM</w:t>
      </w:r>
      <w:r w:rsidRPr="00092862">
        <w:rPr>
          <w:color w:val="000000" w:themeColor="text1"/>
          <w:szCs w:val="24"/>
          <w:shd w:val="clear" w:color="auto" w:fill="FFFFFF"/>
          <w:vertAlign w:val="subscript"/>
        </w:rPr>
        <w:t>10</w:t>
      </w:r>
      <w:r w:rsidRPr="00092862">
        <w:rPr>
          <w:color w:val="000000" w:themeColor="text1"/>
          <w:szCs w:val="24"/>
          <w:shd w:val="clear" w:color="auto" w:fill="FFFFFF"/>
        </w:rPr>
        <w:t>、</w:t>
      </w:r>
      <w:r w:rsidRPr="00092862">
        <w:rPr>
          <w:color w:val="000000" w:themeColor="text1"/>
          <w:szCs w:val="24"/>
          <w:shd w:val="clear" w:color="auto" w:fill="FFFFFF"/>
        </w:rPr>
        <w:t>CO</w:t>
      </w:r>
      <w:r w:rsidRPr="00092862">
        <w:rPr>
          <w:color w:val="000000" w:themeColor="text1"/>
          <w:szCs w:val="24"/>
          <w:shd w:val="clear" w:color="auto" w:fill="FFFFFF"/>
        </w:rPr>
        <w:t>和</w:t>
      </w:r>
      <w:r w:rsidRPr="00092862">
        <w:rPr>
          <w:color w:val="000000" w:themeColor="text1"/>
          <w:szCs w:val="24"/>
          <w:shd w:val="clear" w:color="auto" w:fill="FFFFFF"/>
        </w:rPr>
        <w:t>O</w:t>
      </w:r>
      <w:r w:rsidRPr="00092862">
        <w:rPr>
          <w:color w:val="000000" w:themeColor="text1"/>
          <w:szCs w:val="24"/>
          <w:shd w:val="clear" w:color="auto" w:fill="FFFFFF"/>
          <w:vertAlign w:val="subscript"/>
        </w:rPr>
        <w:t>3</w:t>
      </w:r>
      <w:r w:rsidRPr="00092862">
        <w:rPr>
          <w:color w:val="000000" w:themeColor="text1"/>
          <w:szCs w:val="24"/>
          <w:shd w:val="clear" w:color="auto" w:fill="FFFFFF"/>
        </w:rPr>
        <w:t>年评价结果达标，</w:t>
      </w:r>
      <w:r w:rsidRPr="00092862">
        <w:rPr>
          <w:color w:val="000000" w:themeColor="text1"/>
          <w:szCs w:val="24"/>
          <w:shd w:val="clear" w:color="auto" w:fill="FFFFFF"/>
        </w:rPr>
        <w:t>PM</w:t>
      </w:r>
      <w:r w:rsidRPr="00092862">
        <w:rPr>
          <w:color w:val="000000" w:themeColor="text1"/>
          <w:szCs w:val="24"/>
          <w:shd w:val="clear" w:color="auto" w:fill="FFFFFF"/>
          <w:vertAlign w:val="subscript"/>
        </w:rPr>
        <w:t>2.5</w:t>
      </w:r>
      <w:r w:rsidRPr="00092862">
        <w:rPr>
          <w:color w:val="000000" w:themeColor="text1"/>
          <w:szCs w:val="24"/>
          <w:shd w:val="clear" w:color="auto" w:fill="FFFFFF"/>
        </w:rPr>
        <w:t>年评价结果超标，超标倍数为</w:t>
      </w:r>
      <w:r w:rsidRPr="00092862">
        <w:rPr>
          <w:color w:val="000000" w:themeColor="text1"/>
          <w:szCs w:val="24"/>
          <w:shd w:val="clear" w:color="auto" w:fill="FFFFFF"/>
        </w:rPr>
        <w:t>0.11</w:t>
      </w:r>
      <w:r w:rsidRPr="00092862">
        <w:rPr>
          <w:color w:val="000000" w:themeColor="text1"/>
          <w:szCs w:val="24"/>
          <w:shd w:val="clear" w:color="auto" w:fill="FFFFFF"/>
        </w:rPr>
        <w:t>倍；各县（市）</w:t>
      </w:r>
      <w:r w:rsidRPr="00092862">
        <w:rPr>
          <w:color w:val="000000" w:themeColor="text1"/>
          <w:szCs w:val="24"/>
          <w:shd w:val="clear" w:color="auto" w:fill="FFFFFF"/>
        </w:rPr>
        <w:t>SO</w:t>
      </w:r>
      <w:r w:rsidRPr="00092862">
        <w:rPr>
          <w:color w:val="000000" w:themeColor="text1"/>
          <w:szCs w:val="24"/>
          <w:shd w:val="clear" w:color="auto" w:fill="FFFFFF"/>
          <w:vertAlign w:val="subscript"/>
        </w:rPr>
        <w:t>2</w:t>
      </w:r>
      <w:r w:rsidRPr="00092862">
        <w:rPr>
          <w:color w:val="000000" w:themeColor="text1"/>
          <w:szCs w:val="24"/>
          <w:shd w:val="clear" w:color="auto" w:fill="FFFFFF"/>
        </w:rPr>
        <w:t>、</w:t>
      </w:r>
      <w:r w:rsidRPr="00092862">
        <w:rPr>
          <w:color w:val="000000" w:themeColor="text1"/>
          <w:szCs w:val="24"/>
          <w:shd w:val="clear" w:color="auto" w:fill="FFFFFF"/>
        </w:rPr>
        <w:t>NO</w:t>
      </w:r>
      <w:r w:rsidRPr="00092862">
        <w:rPr>
          <w:color w:val="000000" w:themeColor="text1"/>
          <w:szCs w:val="24"/>
          <w:shd w:val="clear" w:color="auto" w:fill="FFFFFF"/>
          <w:vertAlign w:val="subscript"/>
        </w:rPr>
        <w:t>2</w:t>
      </w:r>
      <w:r w:rsidRPr="00092862">
        <w:rPr>
          <w:color w:val="000000" w:themeColor="text1"/>
          <w:szCs w:val="24"/>
          <w:shd w:val="clear" w:color="auto" w:fill="FFFFFF"/>
        </w:rPr>
        <w:t>、</w:t>
      </w:r>
      <w:r w:rsidRPr="00092862">
        <w:rPr>
          <w:color w:val="000000" w:themeColor="text1"/>
          <w:szCs w:val="24"/>
          <w:shd w:val="clear" w:color="auto" w:fill="FFFFFF"/>
        </w:rPr>
        <w:t>PM</w:t>
      </w:r>
      <w:r w:rsidRPr="00092862">
        <w:rPr>
          <w:color w:val="000000" w:themeColor="text1"/>
          <w:szCs w:val="24"/>
          <w:shd w:val="clear" w:color="auto" w:fill="FFFFFF"/>
          <w:vertAlign w:val="subscript"/>
        </w:rPr>
        <w:t>10</w:t>
      </w:r>
      <w:r w:rsidRPr="00092862">
        <w:rPr>
          <w:color w:val="000000" w:themeColor="text1"/>
          <w:szCs w:val="24"/>
          <w:shd w:val="clear" w:color="auto" w:fill="FFFFFF"/>
        </w:rPr>
        <w:t>、</w:t>
      </w:r>
      <w:r w:rsidRPr="00092862">
        <w:rPr>
          <w:color w:val="000000" w:themeColor="text1"/>
          <w:szCs w:val="24"/>
          <w:shd w:val="clear" w:color="auto" w:fill="FFFFFF"/>
        </w:rPr>
        <w:t>CO</w:t>
      </w:r>
      <w:r w:rsidRPr="00092862">
        <w:rPr>
          <w:color w:val="000000" w:themeColor="text1"/>
          <w:szCs w:val="24"/>
          <w:shd w:val="clear" w:color="auto" w:fill="FFFFFF"/>
        </w:rPr>
        <w:t>、</w:t>
      </w:r>
      <w:r w:rsidRPr="00092862">
        <w:rPr>
          <w:color w:val="000000" w:themeColor="text1"/>
          <w:szCs w:val="24"/>
          <w:shd w:val="clear" w:color="auto" w:fill="FFFFFF"/>
        </w:rPr>
        <w:t>O</w:t>
      </w:r>
      <w:r w:rsidRPr="00092862">
        <w:rPr>
          <w:color w:val="000000" w:themeColor="text1"/>
          <w:szCs w:val="24"/>
          <w:shd w:val="clear" w:color="auto" w:fill="FFFFFF"/>
          <w:vertAlign w:val="subscript"/>
        </w:rPr>
        <w:t>3</w:t>
      </w:r>
      <w:r w:rsidRPr="00092862">
        <w:rPr>
          <w:color w:val="000000" w:themeColor="text1"/>
          <w:szCs w:val="24"/>
          <w:shd w:val="clear" w:color="auto" w:fill="FFFFFF"/>
        </w:rPr>
        <w:t>和</w:t>
      </w:r>
      <w:r w:rsidRPr="00092862">
        <w:rPr>
          <w:color w:val="000000" w:themeColor="text1"/>
          <w:szCs w:val="24"/>
          <w:shd w:val="clear" w:color="auto" w:fill="FFFFFF"/>
        </w:rPr>
        <w:t>PM</w:t>
      </w:r>
      <w:r w:rsidRPr="00092862">
        <w:rPr>
          <w:color w:val="000000" w:themeColor="text1"/>
          <w:szCs w:val="24"/>
          <w:shd w:val="clear" w:color="auto" w:fill="FFFFFF"/>
          <w:vertAlign w:val="subscript"/>
        </w:rPr>
        <w:t>2.5</w:t>
      </w:r>
      <w:r w:rsidRPr="00092862">
        <w:rPr>
          <w:color w:val="000000" w:themeColor="text1"/>
          <w:szCs w:val="24"/>
          <w:shd w:val="clear" w:color="auto" w:fill="FFFFFF"/>
        </w:rPr>
        <w:t>年评价结果均达标。</w:t>
      </w:r>
    </w:p>
    <w:p w14:paraId="3E59D1BD" w14:textId="77777777" w:rsidR="0012594E" w:rsidRPr="00092862" w:rsidRDefault="0012594E" w:rsidP="0012594E">
      <w:pPr>
        <w:pStyle w:val="afffff6"/>
        <w:ind w:firstLine="480"/>
        <w:rPr>
          <w:color w:val="000000" w:themeColor="text1"/>
          <w:szCs w:val="24"/>
        </w:rPr>
      </w:pPr>
      <w:r w:rsidRPr="00092862">
        <w:rPr>
          <w:color w:val="000000" w:themeColor="text1"/>
          <w:szCs w:val="24"/>
        </w:rPr>
        <w:t>综上可知，项目所在区</w:t>
      </w:r>
      <w:r w:rsidRPr="00092862">
        <w:rPr>
          <w:color w:val="000000" w:themeColor="text1"/>
          <w:szCs w:val="24"/>
        </w:rPr>
        <w:t>SO</w:t>
      </w:r>
      <w:r w:rsidRPr="00092862">
        <w:rPr>
          <w:color w:val="000000" w:themeColor="text1"/>
          <w:szCs w:val="24"/>
          <w:vertAlign w:val="subscript"/>
        </w:rPr>
        <w:t>2</w:t>
      </w:r>
      <w:r w:rsidRPr="00092862">
        <w:rPr>
          <w:color w:val="000000" w:themeColor="text1"/>
          <w:szCs w:val="24"/>
        </w:rPr>
        <w:t>、</w:t>
      </w:r>
      <w:r w:rsidRPr="00092862">
        <w:rPr>
          <w:color w:val="000000" w:themeColor="text1"/>
          <w:szCs w:val="24"/>
        </w:rPr>
        <w:t>NO</w:t>
      </w:r>
      <w:r w:rsidRPr="00092862">
        <w:rPr>
          <w:color w:val="000000" w:themeColor="text1"/>
          <w:szCs w:val="24"/>
          <w:vertAlign w:val="subscript"/>
        </w:rPr>
        <w:t>2</w:t>
      </w:r>
      <w:r w:rsidRPr="00092862">
        <w:rPr>
          <w:color w:val="000000" w:themeColor="text1"/>
          <w:szCs w:val="24"/>
        </w:rPr>
        <w:t>、</w:t>
      </w:r>
      <w:r w:rsidRPr="00092862">
        <w:rPr>
          <w:color w:val="000000" w:themeColor="text1"/>
          <w:szCs w:val="24"/>
        </w:rPr>
        <w:t>PM</w:t>
      </w:r>
      <w:r w:rsidRPr="00092862">
        <w:rPr>
          <w:color w:val="000000" w:themeColor="text1"/>
          <w:szCs w:val="24"/>
          <w:vertAlign w:val="subscript"/>
        </w:rPr>
        <w:t>10</w:t>
      </w:r>
      <w:r w:rsidRPr="00092862">
        <w:rPr>
          <w:color w:val="000000" w:themeColor="text1"/>
          <w:szCs w:val="24"/>
        </w:rPr>
        <w:t>、</w:t>
      </w:r>
      <w:r w:rsidRPr="00092862">
        <w:rPr>
          <w:color w:val="000000" w:themeColor="text1"/>
          <w:szCs w:val="24"/>
        </w:rPr>
        <w:t>CO</w:t>
      </w:r>
      <w:r w:rsidRPr="00092862">
        <w:rPr>
          <w:color w:val="000000" w:themeColor="text1"/>
          <w:szCs w:val="24"/>
        </w:rPr>
        <w:t>、</w:t>
      </w:r>
      <w:r w:rsidRPr="00092862">
        <w:rPr>
          <w:color w:val="000000" w:themeColor="text1"/>
          <w:szCs w:val="24"/>
        </w:rPr>
        <w:t>O</w:t>
      </w:r>
      <w:r w:rsidRPr="00092862">
        <w:rPr>
          <w:color w:val="000000" w:themeColor="text1"/>
          <w:szCs w:val="24"/>
          <w:vertAlign w:val="subscript"/>
        </w:rPr>
        <w:t>3</w:t>
      </w:r>
      <w:r w:rsidRPr="00092862">
        <w:rPr>
          <w:color w:val="000000" w:themeColor="text1"/>
          <w:szCs w:val="24"/>
        </w:rPr>
        <w:t>、</w:t>
      </w:r>
      <w:r w:rsidRPr="00092862">
        <w:rPr>
          <w:color w:val="000000" w:themeColor="text1"/>
          <w:szCs w:val="24"/>
        </w:rPr>
        <w:t>PM</w:t>
      </w:r>
      <w:r w:rsidRPr="00092862">
        <w:rPr>
          <w:color w:val="000000" w:themeColor="text1"/>
          <w:szCs w:val="24"/>
          <w:vertAlign w:val="subscript"/>
        </w:rPr>
        <w:t>2.5</w:t>
      </w:r>
      <w:r w:rsidRPr="00092862">
        <w:rPr>
          <w:color w:val="000000" w:themeColor="text1"/>
          <w:szCs w:val="24"/>
        </w:rPr>
        <w:t>均达标，因此项目所在区判定为达标区。</w:t>
      </w:r>
    </w:p>
    <w:p w14:paraId="16D004D2" w14:textId="77777777" w:rsidR="0012594E" w:rsidRPr="00092862" w:rsidRDefault="0012594E" w:rsidP="0012594E">
      <w:pPr>
        <w:pStyle w:val="afffff6"/>
        <w:ind w:firstLine="482"/>
        <w:rPr>
          <w:b/>
          <w:bCs/>
          <w:color w:val="000000" w:themeColor="text1"/>
          <w:szCs w:val="24"/>
        </w:rPr>
      </w:pPr>
      <w:r w:rsidRPr="00092862">
        <w:rPr>
          <w:b/>
          <w:bCs/>
          <w:color w:val="000000" w:themeColor="text1"/>
          <w:szCs w:val="24"/>
        </w:rPr>
        <w:t>2</w:t>
      </w:r>
      <w:r w:rsidRPr="00092862">
        <w:rPr>
          <w:b/>
          <w:bCs/>
          <w:color w:val="000000" w:themeColor="text1"/>
          <w:szCs w:val="24"/>
        </w:rPr>
        <w:t>、特征污染物</w:t>
      </w:r>
    </w:p>
    <w:p w14:paraId="4555B8DE" w14:textId="77777777" w:rsidR="0012594E" w:rsidRPr="00092862" w:rsidRDefault="0012594E" w:rsidP="0012594E">
      <w:pPr>
        <w:pStyle w:val="afffff6"/>
        <w:ind w:firstLine="480"/>
        <w:rPr>
          <w:color w:val="000000" w:themeColor="text1"/>
          <w:szCs w:val="24"/>
        </w:rPr>
      </w:pPr>
      <w:r w:rsidRPr="00092862">
        <w:rPr>
          <w:color w:val="000000" w:themeColor="text1"/>
          <w:szCs w:val="24"/>
        </w:rPr>
        <w:t>（</w:t>
      </w:r>
      <w:r w:rsidRPr="00092862">
        <w:rPr>
          <w:color w:val="000000" w:themeColor="text1"/>
          <w:szCs w:val="24"/>
        </w:rPr>
        <w:t>1</w:t>
      </w:r>
      <w:r w:rsidRPr="00092862">
        <w:rPr>
          <w:color w:val="000000" w:themeColor="text1"/>
          <w:szCs w:val="24"/>
        </w:rPr>
        <w:t>）监测点布设</w:t>
      </w:r>
    </w:p>
    <w:p w14:paraId="04A1E88E" w14:textId="3DD98A87" w:rsidR="0012594E" w:rsidRPr="00092862" w:rsidRDefault="0012594E" w:rsidP="0012594E">
      <w:pPr>
        <w:pStyle w:val="afffff6"/>
        <w:ind w:firstLine="480"/>
        <w:rPr>
          <w:color w:val="000000" w:themeColor="text1"/>
          <w:szCs w:val="24"/>
        </w:rPr>
      </w:pPr>
      <w:r w:rsidRPr="00092862">
        <w:rPr>
          <w:color w:val="000000" w:themeColor="text1"/>
          <w:szCs w:val="24"/>
        </w:rPr>
        <w:t>根据项目工程特点的具体情况，共布设</w:t>
      </w:r>
      <w:r w:rsidRPr="00092862">
        <w:rPr>
          <w:color w:val="000000" w:themeColor="text1"/>
          <w:szCs w:val="24"/>
        </w:rPr>
        <w:t>1</w:t>
      </w:r>
      <w:r w:rsidRPr="00092862">
        <w:rPr>
          <w:color w:val="000000" w:themeColor="text1"/>
          <w:szCs w:val="24"/>
        </w:rPr>
        <w:t>个大气环境监测点，位于</w:t>
      </w:r>
      <w:r w:rsidR="00834BB8" w:rsidRPr="00092862">
        <w:rPr>
          <w:color w:val="000000" w:themeColor="text1"/>
          <w:szCs w:val="24"/>
        </w:rPr>
        <w:t>场界外西南侧</w:t>
      </w:r>
      <w:r w:rsidR="00834BB8" w:rsidRPr="00092862">
        <w:rPr>
          <w:color w:val="000000" w:themeColor="text1"/>
          <w:szCs w:val="24"/>
        </w:rPr>
        <w:t>700m</w:t>
      </w:r>
      <w:r w:rsidR="00834BB8" w:rsidRPr="00092862">
        <w:rPr>
          <w:color w:val="000000" w:themeColor="text1"/>
          <w:szCs w:val="24"/>
        </w:rPr>
        <w:t>居民点处</w:t>
      </w:r>
      <w:r w:rsidRPr="00092862">
        <w:rPr>
          <w:color w:val="000000" w:themeColor="text1"/>
          <w:szCs w:val="24"/>
        </w:rPr>
        <w:t>。</w:t>
      </w:r>
    </w:p>
    <w:p w14:paraId="52634323" w14:textId="77777777" w:rsidR="0012594E" w:rsidRPr="00092862" w:rsidRDefault="0012594E" w:rsidP="0012594E">
      <w:pPr>
        <w:pStyle w:val="afffff6"/>
        <w:ind w:firstLine="480"/>
        <w:rPr>
          <w:color w:val="000000" w:themeColor="text1"/>
          <w:szCs w:val="24"/>
        </w:rPr>
      </w:pPr>
      <w:r w:rsidRPr="00092862">
        <w:rPr>
          <w:color w:val="000000" w:themeColor="text1"/>
          <w:szCs w:val="24"/>
        </w:rPr>
        <w:t>（</w:t>
      </w:r>
      <w:r w:rsidRPr="00092862">
        <w:rPr>
          <w:color w:val="000000" w:themeColor="text1"/>
          <w:szCs w:val="24"/>
        </w:rPr>
        <w:t>2</w:t>
      </w:r>
      <w:r w:rsidRPr="00092862">
        <w:rPr>
          <w:color w:val="000000" w:themeColor="text1"/>
          <w:szCs w:val="24"/>
        </w:rPr>
        <w:t>）监测项目：硫化氢、非甲烷总烃。</w:t>
      </w:r>
    </w:p>
    <w:p w14:paraId="45136E5B" w14:textId="77777777" w:rsidR="0012594E" w:rsidRPr="00092862" w:rsidRDefault="0012594E" w:rsidP="0012594E">
      <w:pPr>
        <w:pStyle w:val="afffff6"/>
        <w:ind w:firstLine="480"/>
        <w:rPr>
          <w:color w:val="000000" w:themeColor="text1"/>
          <w:szCs w:val="24"/>
        </w:rPr>
      </w:pPr>
      <w:r w:rsidRPr="00092862">
        <w:rPr>
          <w:color w:val="000000" w:themeColor="text1"/>
          <w:szCs w:val="24"/>
        </w:rPr>
        <w:t>（</w:t>
      </w:r>
      <w:r w:rsidRPr="00092862">
        <w:rPr>
          <w:color w:val="000000" w:themeColor="text1"/>
          <w:szCs w:val="24"/>
        </w:rPr>
        <w:t>3</w:t>
      </w:r>
      <w:r w:rsidRPr="00092862">
        <w:rPr>
          <w:color w:val="000000" w:themeColor="text1"/>
          <w:szCs w:val="24"/>
        </w:rPr>
        <w:t>）监测频次：连续采样</w:t>
      </w:r>
      <w:r w:rsidRPr="00092862">
        <w:rPr>
          <w:color w:val="000000" w:themeColor="text1"/>
          <w:szCs w:val="24"/>
        </w:rPr>
        <w:t>7</w:t>
      </w:r>
      <w:r w:rsidRPr="00092862">
        <w:rPr>
          <w:color w:val="000000" w:themeColor="text1"/>
          <w:szCs w:val="24"/>
        </w:rPr>
        <w:t>天。</w:t>
      </w:r>
    </w:p>
    <w:p w14:paraId="157D6E54" w14:textId="77777777" w:rsidR="0012594E" w:rsidRPr="00092862" w:rsidRDefault="0012594E" w:rsidP="0012594E">
      <w:pPr>
        <w:pStyle w:val="afffff6"/>
        <w:ind w:firstLine="480"/>
        <w:rPr>
          <w:color w:val="000000" w:themeColor="text1"/>
          <w:szCs w:val="24"/>
        </w:rPr>
      </w:pPr>
      <w:r w:rsidRPr="00092862">
        <w:rPr>
          <w:color w:val="000000" w:themeColor="text1"/>
          <w:szCs w:val="24"/>
        </w:rPr>
        <w:t>（</w:t>
      </w:r>
      <w:r w:rsidRPr="00092862">
        <w:rPr>
          <w:color w:val="000000" w:themeColor="text1"/>
          <w:szCs w:val="24"/>
        </w:rPr>
        <w:t>4</w:t>
      </w:r>
      <w:r w:rsidRPr="00092862">
        <w:rPr>
          <w:color w:val="000000" w:themeColor="text1"/>
          <w:szCs w:val="24"/>
        </w:rPr>
        <w:t>）采样及分析方法</w:t>
      </w:r>
    </w:p>
    <w:p w14:paraId="07FE5B1F" w14:textId="77777777" w:rsidR="0012594E" w:rsidRPr="00092862" w:rsidRDefault="0012594E" w:rsidP="0012594E">
      <w:pPr>
        <w:pStyle w:val="afffff6"/>
        <w:ind w:firstLine="480"/>
        <w:rPr>
          <w:color w:val="000000" w:themeColor="text1"/>
          <w:szCs w:val="24"/>
        </w:rPr>
      </w:pPr>
      <w:r w:rsidRPr="00092862">
        <w:rPr>
          <w:color w:val="000000" w:themeColor="text1"/>
          <w:szCs w:val="24"/>
        </w:rPr>
        <w:t>采样及分析方法按国家有关规定进行。</w:t>
      </w:r>
    </w:p>
    <w:p w14:paraId="43FA5621" w14:textId="77777777" w:rsidR="0012594E" w:rsidRPr="00092862" w:rsidRDefault="0012594E" w:rsidP="0012594E">
      <w:pPr>
        <w:pStyle w:val="afffff6"/>
        <w:ind w:firstLine="480"/>
        <w:rPr>
          <w:color w:val="000000" w:themeColor="text1"/>
          <w:szCs w:val="24"/>
        </w:rPr>
      </w:pPr>
      <w:r w:rsidRPr="00092862">
        <w:rPr>
          <w:color w:val="000000" w:themeColor="text1"/>
          <w:szCs w:val="24"/>
        </w:rPr>
        <w:t>（</w:t>
      </w:r>
      <w:r w:rsidRPr="00092862">
        <w:rPr>
          <w:color w:val="000000" w:themeColor="text1"/>
          <w:szCs w:val="24"/>
        </w:rPr>
        <w:t>5</w:t>
      </w:r>
      <w:r w:rsidRPr="00092862">
        <w:rPr>
          <w:color w:val="000000" w:themeColor="text1"/>
          <w:szCs w:val="24"/>
        </w:rPr>
        <w:t>）评价标准</w:t>
      </w:r>
    </w:p>
    <w:p w14:paraId="75C70DB8" w14:textId="77777777" w:rsidR="0012594E" w:rsidRPr="00092862" w:rsidRDefault="0012594E" w:rsidP="0012594E">
      <w:pPr>
        <w:pStyle w:val="afffff6"/>
        <w:ind w:firstLine="480"/>
        <w:rPr>
          <w:color w:val="000000" w:themeColor="text1"/>
          <w:szCs w:val="24"/>
        </w:rPr>
      </w:pPr>
      <w:r w:rsidRPr="00092862">
        <w:rPr>
          <w:color w:val="000000" w:themeColor="text1"/>
          <w:szCs w:val="24"/>
        </w:rPr>
        <w:t>本次非甲烷总烃环境质量现状评价，执行标准采用《大气污染物综合排放标准详解》浓度限值</w:t>
      </w:r>
      <w:r w:rsidRPr="00092862">
        <w:rPr>
          <w:color w:val="000000" w:themeColor="text1"/>
          <w:szCs w:val="24"/>
        </w:rPr>
        <w:t>2.0mg/m</w:t>
      </w:r>
      <w:r w:rsidRPr="00092862">
        <w:rPr>
          <w:color w:val="000000" w:themeColor="text1"/>
          <w:szCs w:val="24"/>
          <w:vertAlign w:val="superscript"/>
        </w:rPr>
        <w:t>3</w:t>
      </w:r>
      <w:r w:rsidRPr="00092862">
        <w:rPr>
          <w:color w:val="000000" w:themeColor="text1"/>
          <w:szCs w:val="24"/>
        </w:rPr>
        <w:t>；硫化氢环境质量现状评价，执行标准采用《环境影响评价技术导则大气环境》（</w:t>
      </w:r>
      <w:r w:rsidRPr="00092862">
        <w:rPr>
          <w:color w:val="000000" w:themeColor="text1"/>
          <w:szCs w:val="24"/>
        </w:rPr>
        <w:t>HJ2.2-2018</w:t>
      </w:r>
      <w:r w:rsidRPr="00092862">
        <w:rPr>
          <w:color w:val="000000" w:themeColor="text1"/>
          <w:szCs w:val="24"/>
        </w:rPr>
        <w:t>）中附录</w:t>
      </w:r>
      <w:r w:rsidRPr="00092862">
        <w:rPr>
          <w:color w:val="000000" w:themeColor="text1"/>
          <w:szCs w:val="24"/>
        </w:rPr>
        <w:t>D</w:t>
      </w:r>
      <w:r w:rsidRPr="00092862">
        <w:rPr>
          <w:color w:val="000000" w:themeColor="text1"/>
          <w:szCs w:val="24"/>
        </w:rPr>
        <w:t>浓度限值</w:t>
      </w:r>
      <w:r w:rsidRPr="00092862">
        <w:rPr>
          <w:color w:val="000000" w:themeColor="text1"/>
          <w:szCs w:val="24"/>
        </w:rPr>
        <w:t>10μg/m</w:t>
      </w:r>
      <w:r w:rsidRPr="00092862">
        <w:rPr>
          <w:color w:val="000000" w:themeColor="text1"/>
          <w:szCs w:val="24"/>
          <w:vertAlign w:val="superscript"/>
        </w:rPr>
        <w:t>3</w:t>
      </w:r>
      <w:r w:rsidRPr="00092862">
        <w:rPr>
          <w:color w:val="000000" w:themeColor="text1"/>
          <w:szCs w:val="24"/>
        </w:rPr>
        <w:t>。</w:t>
      </w:r>
    </w:p>
    <w:p w14:paraId="706654F6" w14:textId="77777777" w:rsidR="0012594E" w:rsidRPr="00092862" w:rsidRDefault="0012594E" w:rsidP="0012594E">
      <w:pPr>
        <w:pStyle w:val="afffff6"/>
        <w:ind w:firstLine="480"/>
        <w:rPr>
          <w:color w:val="000000" w:themeColor="text1"/>
          <w:szCs w:val="24"/>
        </w:rPr>
      </w:pPr>
      <w:r w:rsidRPr="00092862">
        <w:rPr>
          <w:color w:val="000000" w:themeColor="text1"/>
          <w:szCs w:val="24"/>
        </w:rPr>
        <w:t>（</w:t>
      </w:r>
      <w:r w:rsidRPr="00092862">
        <w:rPr>
          <w:color w:val="000000" w:themeColor="text1"/>
          <w:szCs w:val="24"/>
        </w:rPr>
        <w:t>6</w:t>
      </w:r>
      <w:r w:rsidRPr="00092862">
        <w:rPr>
          <w:color w:val="000000" w:themeColor="text1"/>
          <w:szCs w:val="24"/>
        </w:rPr>
        <w:t>）评价方法</w:t>
      </w:r>
    </w:p>
    <w:p w14:paraId="20D64ACB" w14:textId="77777777" w:rsidR="0012594E" w:rsidRPr="00092862" w:rsidRDefault="0012594E" w:rsidP="0012594E">
      <w:pPr>
        <w:pStyle w:val="afffff6"/>
        <w:ind w:firstLine="480"/>
        <w:rPr>
          <w:color w:val="000000" w:themeColor="text1"/>
          <w:szCs w:val="24"/>
        </w:rPr>
      </w:pPr>
      <w:r w:rsidRPr="00092862">
        <w:rPr>
          <w:color w:val="000000" w:themeColor="text1"/>
          <w:szCs w:val="24"/>
        </w:rPr>
        <w:t>根据《环境影响评价技术导则大气环境》（</w:t>
      </w:r>
      <w:r w:rsidRPr="00092862">
        <w:rPr>
          <w:color w:val="000000" w:themeColor="text1"/>
          <w:szCs w:val="24"/>
        </w:rPr>
        <w:t>HJ2.2-2018</w:t>
      </w:r>
      <w:r w:rsidRPr="00092862">
        <w:rPr>
          <w:color w:val="000000" w:themeColor="text1"/>
          <w:szCs w:val="24"/>
        </w:rPr>
        <w:t>），采用最大监测浓度占标率对评价区域大气环境质量现状进行评价，评价模式如下：</w:t>
      </w:r>
    </w:p>
    <w:p w14:paraId="5800171A" w14:textId="77777777" w:rsidR="0012594E" w:rsidRPr="00092862" w:rsidRDefault="00000000" w:rsidP="0012594E">
      <w:pPr>
        <w:pStyle w:val="afffff6"/>
        <w:ind w:firstLine="480"/>
        <w:rPr>
          <w:color w:val="000000" w:themeColor="text1"/>
          <w:szCs w:val="24"/>
        </w:rPr>
      </w:pPr>
      <m:oMathPara>
        <m:oMath>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P</m:t>
              </m:r>
            </m:e>
            <m:sub>
              <m:r>
                <m:rPr>
                  <m:sty m:val="p"/>
                </m:rPr>
                <w:rPr>
                  <w:rFonts w:ascii="Cambria Math" w:hAnsi="Cambria Math"/>
                  <w:color w:val="000000" w:themeColor="text1"/>
                  <w:szCs w:val="24"/>
                </w:rPr>
                <m:t>i</m:t>
              </m:r>
            </m:sub>
          </m:sSub>
          <m:r>
            <m:rPr>
              <m:sty m:val="p"/>
            </m:rPr>
            <w:rPr>
              <w:rFonts w:ascii="Cambria Math" w:hAnsi="Cambria Math"/>
              <w:color w:val="000000" w:themeColor="text1"/>
              <w:szCs w:val="24"/>
            </w:rPr>
            <m:t>=</m:t>
          </m:r>
          <m:f>
            <m:fPr>
              <m:ctrlPr>
                <w:rPr>
                  <w:rFonts w:ascii="Cambria Math" w:hAnsi="Cambria Math"/>
                  <w:color w:val="000000" w:themeColor="text1"/>
                  <w:kern w:val="2"/>
                  <w:szCs w:val="24"/>
                </w:rPr>
              </m:ctrlPr>
            </m:fPr>
            <m:num>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C</m:t>
                  </m:r>
                </m:e>
                <m:sub>
                  <m:r>
                    <m:rPr>
                      <m:sty m:val="p"/>
                    </m:rPr>
                    <w:rPr>
                      <w:rFonts w:ascii="Cambria Math" w:hAnsi="Cambria Math"/>
                      <w:color w:val="000000" w:themeColor="text1"/>
                      <w:szCs w:val="24"/>
                    </w:rPr>
                    <m:t>i</m:t>
                  </m:r>
                </m:sub>
              </m:sSub>
            </m:num>
            <m:den>
              <m:sSub>
                <m:sSubPr>
                  <m:ctrlPr>
                    <w:rPr>
                      <w:rFonts w:ascii="Cambria Math" w:hAnsi="Cambria Math"/>
                      <w:color w:val="000000" w:themeColor="text1"/>
                      <w:kern w:val="2"/>
                      <w:szCs w:val="24"/>
                    </w:rPr>
                  </m:ctrlPr>
                </m:sSubPr>
                <m:e>
                  <m:r>
                    <m:rPr>
                      <m:sty m:val="p"/>
                    </m:rPr>
                    <w:rPr>
                      <w:rFonts w:ascii="Cambria Math" w:hAnsi="Cambria Math"/>
                      <w:color w:val="000000" w:themeColor="text1"/>
                      <w:szCs w:val="24"/>
                    </w:rPr>
                    <m:t>C</m:t>
                  </m:r>
                </m:e>
                <m:sub>
                  <m:r>
                    <m:rPr>
                      <m:sty m:val="p"/>
                    </m:rPr>
                    <w:rPr>
                      <w:rFonts w:ascii="Cambria Math" w:hAnsi="Cambria Math"/>
                      <w:color w:val="000000" w:themeColor="text1"/>
                      <w:szCs w:val="24"/>
                    </w:rPr>
                    <m:t>oi</m:t>
                  </m:r>
                </m:sub>
              </m:sSub>
              <m:ctrlPr>
                <w:rPr>
                  <w:rFonts w:ascii="Cambria Math" w:hAnsi="Cambria Math"/>
                  <w:i/>
                  <w:color w:val="000000" w:themeColor="text1"/>
                  <w:kern w:val="2"/>
                  <w:szCs w:val="24"/>
                </w:rPr>
              </m:ctrlPr>
            </m:den>
          </m:f>
          <m:r>
            <m:rPr>
              <m:sty m:val="p"/>
            </m:rPr>
            <w:rPr>
              <w:rFonts w:ascii="Cambria Math" w:hAnsi="Cambria Math"/>
              <w:color w:val="000000" w:themeColor="text1"/>
              <w:szCs w:val="24"/>
            </w:rPr>
            <m:t>×100%</m:t>
          </m:r>
        </m:oMath>
      </m:oMathPara>
    </w:p>
    <w:p w14:paraId="1683139E" w14:textId="77777777" w:rsidR="0012594E" w:rsidRPr="00092862" w:rsidRDefault="0012594E" w:rsidP="0012594E">
      <w:pPr>
        <w:pStyle w:val="afffff6"/>
        <w:ind w:firstLine="480"/>
        <w:rPr>
          <w:color w:val="000000" w:themeColor="text1"/>
          <w:szCs w:val="24"/>
        </w:rPr>
      </w:pPr>
      <w:r w:rsidRPr="00092862">
        <w:rPr>
          <w:color w:val="000000" w:themeColor="text1"/>
          <w:szCs w:val="24"/>
        </w:rPr>
        <w:t>Pi——</w:t>
      </w:r>
      <w:r w:rsidRPr="00092862">
        <w:rPr>
          <w:color w:val="000000" w:themeColor="text1"/>
          <w:szCs w:val="24"/>
        </w:rPr>
        <w:t>为第</w:t>
      </w:r>
      <w:r w:rsidRPr="00092862">
        <w:rPr>
          <w:color w:val="000000" w:themeColor="text1"/>
          <w:szCs w:val="24"/>
        </w:rPr>
        <w:t>i</w:t>
      </w:r>
      <w:r w:rsidRPr="00092862">
        <w:rPr>
          <w:color w:val="000000" w:themeColor="text1"/>
          <w:szCs w:val="24"/>
        </w:rPr>
        <w:t>个污染物的最大监测浓度占标率，</w:t>
      </w:r>
      <w:r w:rsidRPr="00092862">
        <w:rPr>
          <w:color w:val="000000" w:themeColor="text1"/>
          <w:szCs w:val="24"/>
        </w:rPr>
        <w:t>%</w:t>
      </w:r>
      <w:r w:rsidRPr="00092862">
        <w:rPr>
          <w:color w:val="000000" w:themeColor="text1"/>
          <w:szCs w:val="24"/>
        </w:rPr>
        <w:t>；</w:t>
      </w:r>
    </w:p>
    <w:p w14:paraId="3D945FB4" w14:textId="77777777" w:rsidR="0012594E" w:rsidRPr="00092862" w:rsidRDefault="0012594E" w:rsidP="0012594E">
      <w:pPr>
        <w:pStyle w:val="afffff6"/>
        <w:ind w:firstLine="480"/>
        <w:rPr>
          <w:color w:val="000000" w:themeColor="text1"/>
          <w:szCs w:val="24"/>
        </w:rPr>
      </w:pPr>
      <w:r w:rsidRPr="00092862">
        <w:rPr>
          <w:color w:val="000000" w:themeColor="text1"/>
          <w:szCs w:val="24"/>
        </w:rPr>
        <w:t>Ci——</w:t>
      </w:r>
      <w:r w:rsidRPr="00092862">
        <w:rPr>
          <w:color w:val="000000" w:themeColor="text1"/>
          <w:szCs w:val="24"/>
        </w:rPr>
        <w:t>为第</w:t>
      </w:r>
      <w:r w:rsidRPr="00092862">
        <w:rPr>
          <w:color w:val="000000" w:themeColor="text1"/>
          <w:szCs w:val="24"/>
        </w:rPr>
        <w:t>i</w:t>
      </w:r>
      <w:r w:rsidRPr="00092862">
        <w:rPr>
          <w:color w:val="000000" w:themeColor="text1"/>
          <w:szCs w:val="24"/>
        </w:rPr>
        <w:t>个污染因子的最大实测浓度（</w:t>
      </w:r>
      <w:r w:rsidRPr="00092862">
        <w:rPr>
          <w:color w:val="000000" w:themeColor="text1"/>
          <w:szCs w:val="24"/>
        </w:rPr>
        <w:t>mg/m</w:t>
      </w:r>
      <w:r w:rsidRPr="00092862">
        <w:rPr>
          <w:color w:val="000000" w:themeColor="text1"/>
          <w:szCs w:val="24"/>
          <w:vertAlign w:val="superscript"/>
        </w:rPr>
        <w:t>3</w:t>
      </w:r>
      <w:r w:rsidRPr="00092862">
        <w:rPr>
          <w:color w:val="000000" w:themeColor="text1"/>
          <w:szCs w:val="24"/>
        </w:rPr>
        <w:t>）；</w:t>
      </w:r>
    </w:p>
    <w:p w14:paraId="002844ED" w14:textId="77777777" w:rsidR="0012594E" w:rsidRPr="00092862" w:rsidRDefault="0012594E" w:rsidP="0012594E">
      <w:pPr>
        <w:pStyle w:val="afffff6"/>
        <w:ind w:firstLine="480"/>
        <w:rPr>
          <w:color w:val="000000" w:themeColor="text1"/>
          <w:szCs w:val="24"/>
        </w:rPr>
      </w:pPr>
      <w:r w:rsidRPr="00092862">
        <w:rPr>
          <w:color w:val="000000" w:themeColor="text1"/>
          <w:szCs w:val="24"/>
        </w:rPr>
        <w:t>Coi——</w:t>
      </w:r>
      <w:r w:rsidRPr="00092862">
        <w:rPr>
          <w:color w:val="000000" w:themeColor="text1"/>
          <w:szCs w:val="24"/>
        </w:rPr>
        <w:t>为第</w:t>
      </w:r>
      <w:r w:rsidRPr="00092862">
        <w:rPr>
          <w:color w:val="000000" w:themeColor="text1"/>
          <w:szCs w:val="24"/>
        </w:rPr>
        <w:t>i</w:t>
      </w:r>
      <w:r w:rsidRPr="00092862">
        <w:rPr>
          <w:color w:val="000000" w:themeColor="text1"/>
          <w:szCs w:val="24"/>
        </w:rPr>
        <w:t>个污染物相对应的评价标准（</w:t>
      </w:r>
      <w:r w:rsidRPr="00092862">
        <w:rPr>
          <w:color w:val="000000" w:themeColor="text1"/>
          <w:szCs w:val="24"/>
        </w:rPr>
        <w:t>mg/m</w:t>
      </w:r>
      <w:r w:rsidRPr="00092862">
        <w:rPr>
          <w:color w:val="000000" w:themeColor="text1"/>
          <w:szCs w:val="24"/>
          <w:vertAlign w:val="superscript"/>
        </w:rPr>
        <w:t>3</w:t>
      </w:r>
      <w:r w:rsidRPr="00092862">
        <w:rPr>
          <w:color w:val="000000" w:themeColor="text1"/>
          <w:szCs w:val="24"/>
        </w:rPr>
        <w:t>）。</w:t>
      </w:r>
    </w:p>
    <w:p w14:paraId="23E8E4FB" w14:textId="77777777" w:rsidR="0012594E" w:rsidRPr="00092862" w:rsidRDefault="0012594E" w:rsidP="0012594E">
      <w:pPr>
        <w:pStyle w:val="afffff6"/>
        <w:ind w:firstLine="480"/>
        <w:rPr>
          <w:color w:val="000000" w:themeColor="text1"/>
          <w:szCs w:val="24"/>
        </w:rPr>
      </w:pPr>
      <w:r w:rsidRPr="00092862">
        <w:rPr>
          <w:color w:val="000000" w:themeColor="text1"/>
          <w:szCs w:val="24"/>
        </w:rPr>
        <w:t>根据</w:t>
      </w:r>
      <w:r w:rsidRPr="00092862">
        <w:rPr>
          <w:color w:val="000000" w:themeColor="text1"/>
          <w:szCs w:val="24"/>
        </w:rPr>
        <w:t>HJ2.2-2018</w:t>
      </w:r>
      <w:r w:rsidRPr="00092862">
        <w:rPr>
          <w:color w:val="000000" w:themeColor="text1"/>
          <w:szCs w:val="24"/>
        </w:rPr>
        <w:t>，现状监测结果以列表的方式给出各监测点大气污染物的不同取值时间的变化范围，并给出各取值时间最大浓度值占相应标准浓度限值的百分比和超标率，并评价达标情况。</w:t>
      </w:r>
    </w:p>
    <w:p w14:paraId="38A54375" w14:textId="77777777" w:rsidR="0012594E" w:rsidRPr="00092862" w:rsidRDefault="0012594E" w:rsidP="0012594E">
      <w:pPr>
        <w:pStyle w:val="ac"/>
        <w:spacing w:before="0" w:line="360" w:lineRule="auto"/>
        <w:ind w:left="0" w:firstLine="20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7</w:t>
      </w:r>
      <w:r w:rsidRPr="00092862">
        <w:rPr>
          <w:rFonts w:ascii="Times New Roman" w:hAnsi="Times New Roman"/>
          <w:color w:val="000000" w:themeColor="text1"/>
          <w:lang w:eastAsia="zh-CN"/>
        </w:rPr>
        <w:t>）监测结果及评价结论</w:t>
      </w:r>
    </w:p>
    <w:p w14:paraId="3719B24D" w14:textId="1354802E" w:rsidR="0012594E" w:rsidRPr="00092862" w:rsidRDefault="0012594E"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D26362" w:rsidRPr="00092862">
        <w:rPr>
          <w:rFonts w:ascii="Times New Roman" w:eastAsia="黑体" w:hAnsi="Times New Roman"/>
          <w:color w:val="000000" w:themeColor="text1"/>
          <w:sz w:val="21"/>
          <w:szCs w:val="21"/>
          <w:lang w:eastAsia="zh-CN"/>
        </w:rPr>
        <w:t>4.2</w:t>
      </w:r>
      <w:r w:rsidRPr="00092862">
        <w:rPr>
          <w:rFonts w:ascii="Times New Roman" w:eastAsia="黑体" w:hAnsi="Times New Roman"/>
          <w:color w:val="000000" w:themeColor="text1"/>
          <w:sz w:val="21"/>
          <w:szCs w:val="21"/>
          <w:lang w:eastAsia="zh-CN"/>
        </w:rPr>
        <w:t xml:space="preserve">-1  </w:t>
      </w:r>
      <w:r w:rsidRPr="00092862">
        <w:rPr>
          <w:rFonts w:ascii="Times New Roman" w:eastAsia="黑体" w:hAnsi="Times New Roman"/>
          <w:color w:val="000000" w:themeColor="text1"/>
          <w:sz w:val="21"/>
          <w:szCs w:val="21"/>
          <w:lang w:eastAsia="zh-CN"/>
        </w:rPr>
        <w:t>环境空气质量现状监测结果</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mg/m</w:t>
      </w:r>
      <w:r w:rsidRPr="00092862">
        <w:rPr>
          <w:rFonts w:ascii="Times New Roman" w:eastAsia="黑体" w:hAnsi="Times New Roman"/>
          <w:color w:val="000000" w:themeColor="text1"/>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276"/>
        <w:gridCol w:w="1121"/>
        <w:gridCol w:w="1290"/>
        <w:gridCol w:w="1461"/>
        <w:gridCol w:w="1011"/>
        <w:gridCol w:w="1013"/>
      </w:tblGrid>
      <w:tr w:rsidR="00697429" w:rsidRPr="00092862" w14:paraId="377C76AE" w14:textId="77777777" w:rsidTr="00D37600">
        <w:trPr>
          <w:trHeight w:val="164"/>
          <w:jc w:val="center"/>
        </w:trPr>
        <w:tc>
          <w:tcPr>
            <w:tcW w:w="680" w:type="pct"/>
            <w:shd w:val="clear" w:color="auto" w:fill="auto"/>
            <w:vAlign w:val="center"/>
          </w:tcPr>
          <w:p w14:paraId="6FDA02CB" w14:textId="77777777" w:rsidR="0012594E" w:rsidRPr="00092862" w:rsidRDefault="0012594E" w:rsidP="000D2044">
            <w:pPr>
              <w:pStyle w:val="afffff7"/>
              <w:rPr>
                <w:b/>
                <w:bCs/>
                <w:color w:val="000000" w:themeColor="text1"/>
                <w:szCs w:val="21"/>
              </w:rPr>
            </w:pPr>
            <w:r w:rsidRPr="00092862">
              <w:rPr>
                <w:b/>
                <w:bCs/>
                <w:color w:val="000000" w:themeColor="text1"/>
                <w:szCs w:val="21"/>
              </w:rPr>
              <w:t>监测点位</w:t>
            </w:r>
          </w:p>
        </w:tc>
        <w:tc>
          <w:tcPr>
            <w:tcW w:w="769" w:type="pct"/>
            <w:shd w:val="clear" w:color="auto" w:fill="auto"/>
            <w:vAlign w:val="center"/>
          </w:tcPr>
          <w:p w14:paraId="19AA293F" w14:textId="77777777" w:rsidR="0012594E" w:rsidRPr="00092862" w:rsidRDefault="0012594E" w:rsidP="000D2044">
            <w:pPr>
              <w:pStyle w:val="afffff7"/>
              <w:rPr>
                <w:b/>
                <w:bCs/>
                <w:color w:val="000000" w:themeColor="text1"/>
                <w:szCs w:val="21"/>
              </w:rPr>
            </w:pPr>
            <w:r w:rsidRPr="00092862">
              <w:rPr>
                <w:b/>
                <w:bCs/>
                <w:color w:val="000000" w:themeColor="text1"/>
                <w:szCs w:val="21"/>
              </w:rPr>
              <w:t>监测日期</w:t>
            </w:r>
          </w:p>
        </w:tc>
        <w:tc>
          <w:tcPr>
            <w:tcW w:w="675" w:type="pct"/>
            <w:shd w:val="clear" w:color="auto" w:fill="auto"/>
            <w:vAlign w:val="center"/>
          </w:tcPr>
          <w:p w14:paraId="2FFD2756" w14:textId="77777777" w:rsidR="0012594E" w:rsidRPr="00092862" w:rsidRDefault="0012594E" w:rsidP="000D2044">
            <w:pPr>
              <w:pStyle w:val="afffff7"/>
              <w:rPr>
                <w:b/>
                <w:bCs/>
                <w:color w:val="000000" w:themeColor="text1"/>
                <w:szCs w:val="21"/>
              </w:rPr>
            </w:pPr>
            <w:r w:rsidRPr="00092862">
              <w:rPr>
                <w:b/>
                <w:bCs/>
                <w:color w:val="000000" w:themeColor="text1"/>
                <w:szCs w:val="21"/>
              </w:rPr>
              <w:t>项目</w:t>
            </w:r>
          </w:p>
        </w:tc>
        <w:tc>
          <w:tcPr>
            <w:tcW w:w="777" w:type="pct"/>
            <w:shd w:val="clear" w:color="auto" w:fill="auto"/>
            <w:vAlign w:val="center"/>
          </w:tcPr>
          <w:p w14:paraId="1DDAD2BB" w14:textId="0FB4BEDD" w:rsidR="0012594E" w:rsidRPr="00092862" w:rsidRDefault="00B02069" w:rsidP="000D2044">
            <w:pPr>
              <w:pStyle w:val="afffff7"/>
              <w:rPr>
                <w:b/>
                <w:bCs/>
                <w:color w:val="000000" w:themeColor="text1"/>
                <w:szCs w:val="21"/>
              </w:rPr>
            </w:pPr>
            <w:r w:rsidRPr="00092862">
              <w:rPr>
                <w:b/>
                <w:bCs/>
                <w:color w:val="000000" w:themeColor="text1"/>
                <w:szCs w:val="21"/>
              </w:rPr>
              <w:t>第一次</w:t>
            </w:r>
          </w:p>
        </w:tc>
        <w:tc>
          <w:tcPr>
            <w:tcW w:w="880" w:type="pct"/>
            <w:shd w:val="clear" w:color="auto" w:fill="auto"/>
            <w:vAlign w:val="center"/>
          </w:tcPr>
          <w:p w14:paraId="6ED30428" w14:textId="4F716099" w:rsidR="0012594E" w:rsidRPr="00092862" w:rsidRDefault="00B02069" w:rsidP="000D2044">
            <w:pPr>
              <w:pStyle w:val="afffff7"/>
              <w:rPr>
                <w:b/>
                <w:bCs/>
                <w:color w:val="000000" w:themeColor="text1"/>
                <w:szCs w:val="21"/>
              </w:rPr>
            </w:pPr>
            <w:r w:rsidRPr="00092862">
              <w:rPr>
                <w:b/>
                <w:bCs/>
                <w:color w:val="000000" w:themeColor="text1"/>
                <w:szCs w:val="21"/>
              </w:rPr>
              <w:t>第二次</w:t>
            </w:r>
          </w:p>
        </w:tc>
        <w:tc>
          <w:tcPr>
            <w:tcW w:w="609" w:type="pct"/>
            <w:shd w:val="clear" w:color="auto" w:fill="auto"/>
            <w:vAlign w:val="center"/>
          </w:tcPr>
          <w:p w14:paraId="30536386" w14:textId="7A00B21C" w:rsidR="0012594E" w:rsidRPr="00092862" w:rsidRDefault="00B02069" w:rsidP="000D2044">
            <w:pPr>
              <w:pStyle w:val="afffff7"/>
              <w:rPr>
                <w:b/>
                <w:bCs/>
                <w:color w:val="000000" w:themeColor="text1"/>
                <w:szCs w:val="21"/>
              </w:rPr>
            </w:pPr>
            <w:r w:rsidRPr="00092862">
              <w:rPr>
                <w:b/>
                <w:bCs/>
                <w:color w:val="000000" w:themeColor="text1"/>
                <w:szCs w:val="21"/>
              </w:rPr>
              <w:t>第三次</w:t>
            </w:r>
          </w:p>
        </w:tc>
        <w:tc>
          <w:tcPr>
            <w:tcW w:w="610" w:type="pct"/>
            <w:shd w:val="clear" w:color="auto" w:fill="auto"/>
            <w:vAlign w:val="center"/>
          </w:tcPr>
          <w:p w14:paraId="0A1DE23A" w14:textId="1A90D70E" w:rsidR="0012594E" w:rsidRPr="00092862" w:rsidRDefault="00B02069" w:rsidP="000D2044">
            <w:pPr>
              <w:pStyle w:val="afffff7"/>
              <w:rPr>
                <w:b/>
                <w:bCs/>
                <w:color w:val="000000" w:themeColor="text1"/>
                <w:szCs w:val="21"/>
              </w:rPr>
            </w:pPr>
            <w:r w:rsidRPr="00092862">
              <w:rPr>
                <w:b/>
                <w:bCs/>
                <w:color w:val="000000" w:themeColor="text1"/>
                <w:szCs w:val="21"/>
              </w:rPr>
              <w:t>第四次</w:t>
            </w:r>
          </w:p>
        </w:tc>
      </w:tr>
      <w:tr w:rsidR="00697429" w:rsidRPr="00092862" w14:paraId="52AE39B3" w14:textId="77777777" w:rsidTr="00D37600">
        <w:trPr>
          <w:trHeight w:val="259"/>
          <w:jc w:val="center"/>
        </w:trPr>
        <w:tc>
          <w:tcPr>
            <w:tcW w:w="680" w:type="pct"/>
            <w:vMerge w:val="restart"/>
            <w:shd w:val="clear" w:color="auto" w:fill="auto"/>
            <w:vAlign w:val="center"/>
          </w:tcPr>
          <w:p w14:paraId="3CE1C01C" w14:textId="5A031E30" w:rsidR="00ED6B5F" w:rsidRPr="00092862" w:rsidRDefault="00ED6B5F" w:rsidP="00ED6B5F">
            <w:pPr>
              <w:pStyle w:val="afffff7"/>
              <w:rPr>
                <w:color w:val="000000" w:themeColor="text1"/>
                <w:szCs w:val="21"/>
              </w:rPr>
            </w:pPr>
            <w:r w:rsidRPr="00092862">
              <w:rPr>
                <w:color w:val="000000" w:themeColor="text1"/>
                <w:sz w:val="22"/>
                <w:szCs w:val="22"/>
              </w:rPr>
              <w:t>老君</w:t>
            </w:r>
            <w:r w:rsidRPr="00092862">
              <w:rPr>
                <w:color w:val="000000" w:themeColor="text1"/>
                <w:sz w:val="22"/>
                <w:szCs w:val="22"/>
              </w:rPr>
              <w:t>7011</w:t>
            </w:r>
            <w:r w:rsidRPr="00092862">
              <w:rPr>
                <w:color w:val="000000" w:themeColor="text1"/>
                <w:sz w:val="22"/>
                <w:szCs w:val="22"/>
              </w:rPr>
              <w:t>井平台内</w:t>
            </w:r>
          </w:p>
        </w:tc>
        <w:tc>
          <w:tcPr>
            <w:tcW w:w="769" w:type="pct"/>
            <w:shd w:val="clear" w:color="auto" w:fill="auto"/>
            <w:vAlign w:val="center"/>
          </w:tcPr>
          <w:p w14:paraId="3B93D647" w14:textId="797175AA" w:rsidR="00ED6B5F" w:rsidRPr="00092862" w:rsidRDefault="00ED6B5F" w:rsidP="00ED6B5F">
            <w:pPr>
              <w:pStyle w:val="afffff7"/>
              <w:rPr>
                <w:color w:val="000000" w:themeColor="text1"/>
                <w:szCs w:val="21"/>
              </w:rPr>
            </w:pPr>
            <w:r w:rsidRPr="00092862">
              <w:rPr>
                <w:color w:val="000000" w:themeColor="text1"/>
                <w:szCs w:val="21"/>
              </w:rPr>
              <w:t>11.18</w:t>
            </w:r>
          </w:p>
        </w:tc>
        <w:tc>
          <w:tcPr>
            <w:tcW w:w="675" w:type="pct"/>
            <w:vMerge w:val="restart"/>
            <w:shd w:val="clear" w:color="auto" w:fill="auto"/>
            <w:vAlign w:val="center"/>
          </w:tcPr>
          <w:p w14:paraId="31902F0C" w14:textId="77777777" w:rsidR="00ED6B5F" w:rsidRPr="00092862" w:rsidRDefault="00ED6B5F" w:rsidP="00ED6B5F">
            <w:pPr>
              <w:pStyle w:val="afffff7"/>
              <w:rPr>
                <w:color w:val="000000" w:themeColor="text1"/>
                <w:szCs w:val="21"/>
              </w:rPr>
            </w:pPr>
            <w:r w:rsidRPr="00092862">
              <w:rPr>
                <w:color w:val="000000" w:themeColor="text1"/>
                <w:szCs w:val="21"/>
              </w:rPr>
              <w:t>非甲烷总烃</w:t>
            </w:r>
          </w:p>
        </w:tc>
        <w:tc>
          <w:tcPr>
            <w:tcW w:w="777" w:type="pct"/>
            <w:shd w:val="clear" w:color="auto" w:fill="auto"/>
            <w:vAlign w:val="center"/>
          </w:tcPr>
          <w:p w14:paraId="03699D41" w14:textId="2545A752" w:rsidR="00ED6B5F" w:rsidRPr="00092862" w:rsidRDefault="00ED6B5F" w:rsidP="00ED6B5F">
            <w:pPr>
              <w:pStyle w:val="afffff7"/>
              <w:rPr>
                <w:color w:val="000000" w:themeColor="text1"/>
                <w:szCs w:val="21"/>
              </w:rPr>
            </w:pPr>
            <w:r w:rsidRPr="00092862">
              <w:rPr>
                <w:color w:val="000000" w:themeColor="text1"/>
                <w:sz w:val="22"/>
                <w:szCs w:val="22"/>
              </w:rPr>
              <w:t>0.80</w:t>
            </w:r>
          </w:p>
        </w:tc>
        <w:tc>
          <w:tcPr>
            <w:tcW w:w="880" w:type="pct"/>
            <w:shd w:val="clear" w:color="auto" w:fill="auto"/>
            <w:vAlign w:val="center"/>
          </w:tcPr>
          <w:p w14:paraId="05C27B71" w14:textId="7C30A929" w:rsidR="00ED6B5F" w:rsidRPr="00092862" w:rsidRDefault="00ED6B5F" w:rsidP="00ED6B5F">
            <w:pPr>
              <w:pStyle w:val="afffff7"/>
              <w:rPr>
                <w:color w:val="000000" w:themeColor="text1"/>
                <w:szCs w:val="21"/>
              </w:rPr>
            </w:pPr>
            <w:r w:rsidRPr="00092862">
              <w:rPr>
                <w:color w:val="000000" w:themeColor="text1"/>
                <w:sz w:val="22"/>
                <w:szCs w:val="22"/>
              </w:rPr>
              <w:t>0.79</w:t>
            </w:r>
          </w:p>
        </w:tc>
        <w:tc>
          <w:tcPr>
            <w:tcW w:w="609" w:type="pct"/>
            <w:shd w:val="clear" w:color="auto" w:fill="auto"/>
            <w:vAlign w:val="center"/>
          </w:tcPr>
          <w:p w14:paraId="110653B4" w14:textId="71D688D2" w:rsidR="00ED6B5F" w:rsidRPr="00092862" w:rsidRDefault="00ED6B5F" w:rsidP="00ED6B5F">
            <w:pPr>
              <w:pStyle w:val="afffff7"/>
              <w:rPr>
                <w:color w:val="000000" w:themeColor="text1"/>
                <w:szCs w:val="21"/>
              </w:rPr>
            </w:pPr>
            <w:r w:rsidRPr="00092862">
              <w:rPr>
                <w:color w:val="000000" w:themeColor="text1"/>
                <w:sz w:val="22"/>
                <w:szCs w:val="22"/>
              </w:rPr>
              <w:t>0.82</w:t>
            </w:r>
          </w:p>
        </w:tc>
        <w:tc>
          <w:tcPr>
            <w:tcW w:w="610" w:type="pct"/>
            <w:shd w:val="clear" w:color="auto" w:fill="auto"/>
            <w:vAlign w:val="center"/>
          </w:tcPr>
          <w:p w14:paraId="3AC5D5F7" w14:textId="4E4BD51A" w:rsidR="00ED6B5F" w:rsidRPr="00092862" w:rsidRDefault="00ED6B5F" w:rsidP="00ED6B5F">
            <w:pPr>
              <w:pStyle w:val="afffff7"/>
              <w:rPr>
                <w:color w:val="000000" w:themeColor="text1"/>
                <w:szCs w:val="21"/>
              </w:rPr>
            </w:pPr>
            <w:r w:rsidRPr="00092862">
              <w:rPr>
                <w:color w:val="000000" w:themeColor="text1"/>
                <w:sz w:val="22"/>
                <w:szCs w:val="22"/>
              </w:rPr>
              <w:t>0.87</w:t>
            </w:r>
          </w:p>
        </w:tc>
      </w:tr>
      <w:tr w:rsidR="00697429" w:rsidRPr="00092862" w14:paraId="34F95B95" w14:textId="77777777" w:rsidTr="00D37600">
        <w:trPr>
          <w:trHeight w:val="218"/>
          <w:jc w:val="center"/>
        </w:trPr>
        <w:tc>
          <w:tcPr>
            <w:tcW w:w="680" w:type="pct"/>
            <w:vMerge/>
            <w:shd w:val="clear" w:color="auto" w:fill="auto"/>
            <w:vAlign w:val="center"/>
          </w:tcPr>
          <w:p w14:paraId="00E8611F" w14:textId="77777777" w:rsidR="00ED6B5F" w:rsidRPr="00092862" w:rsidRDefault="00ED6B5F" w:rsidP="00ED6B5F">
            <w:pPr>
              <w:pStyle w:val="afffff7"/>
              <w:rPr>
                <w:color w:val="000000" w:themeColor="text1"/>
                <w:szCs w:val="21"/>
              </w:rPr>
            </w:pPr>
          </w:p>
        </w:tc>
        <w:tc>
          <w:tcPr>
            <w:tcW w:w="769" w:type="pct"/>
            <w:shd w:val="clear" w:color="auto" w:fill="auto"/>
            <w:vAlign w:val="center"/>
          </w:tcPr>
          <w:p w14:paraId="6DE2949C" w14:textId="3601EF6F" w:rsidR="00ED6B5F" w:rsidRPr="00092862" w:rsidRDefault="00ED6B5F" w:rsidP="00ED6B5F">
            <w:pPr>
              <w:pStyle w:val="afffff7"/>
              <w:rPr>
                <w:color w:val="000000" w:themeColor="text1"/>
                <w:szCs w:val="21"/>
              </w:rPr>
            </w:pPr>
            <w:r w:rsidRPr="00092862">
              <w:rPr>
                <w:color w:val="000000" w:themeColor="text1"/>
                <w:szCs w:val="21"/>
              </w:rPr>
              <w:t>11.19</w:t>
            </w:r>
          </w:p>
        </w:tc>
        <w:tc>
          <w:tcPr>
            <w:tcW w:w="675" w:type="pct"/>
            <w:vMerge/>
            <w:shd w:val="clear" w:color="auto" w:fill="auto"/>
            <w:vAlign w:val="center"/>
          </w:tcPr>
          <w:p w14:paraId="286C2746"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582B7E85" w14:textId="0F93375A" w:rsidR="00ED6B5F" w:rsidRPr="00092862" w:rsidRDefault="00ED6B5F" w:rsidP="00ED6B5F">
            <w:pPr>
              <w:pStyle w:val="afffff7"/>
              <w:rPr>
                <w:color w:val="000000" w:themeColor="text1"/>
                <w:szCs w:val="21"/>
              </w:rPr>
            </w:pPr>
            <w:r w:rsidRPr="00092862">
              <w:rPr>
                <w:color w:val="000000" w:themeColor="text1"/>
                <w:sz w:val="22"/>
                <w:szCs w:val="22"/>
              </w:rPr>
              <w:t>0.42</w:t>
            </w:r>
          </w:p>
        </w:tc>
        <w:tc>
          <w:tcPr>
            <w:tcW w:w="880" w:type="pct"/>
            <w:shd w:val="clear" w:color="auto" w:fill="auto"/>
            <w:vAlign w:val="center"/>
          </w:tcPr>
          <w:p w14:paraId="17A1A935" w14:textId="1DBF2A46" w:rsidR="00ED6B5F" w:rsidRPr="00092862" w:rsidRDefault="00ED6B5F" w:rsidP="00ED6B5F">
            <w:pPr>
              <w:pStyle w:val="afffff7"/>
              <w:rPr>
                <w:color w:val="000000" w:themeColor="text1"/>
                <w:szCs w:val="21"/>
              </w:rPr>
            </w:pPr>
            <w:r w:rsidRPr="00092862">
              <w:rPr>
                <w:color w:val="000000" w:themeColor="text1"/>
                <w:sz w:val="22"/>
                <w:szCs w:val="22"/>
              </w:rPr>
              <w:t>0.40</w:t>
            </w:r>
          </w:p>
        </w:tc>
        <w:tc>
          <w:tcPr>
            <w:tcW w:w="609" w:type="pct"/>
            <w:shd w:val="clear" w:color="auto" w:fill="auto"/>
            <w:vAlign w:val="center"/>
          </w:tcPr>
          <w:p w14:paraId="2FE51785" w14:textId="49C58A35" w:rsidR="00ED6B5F" w:rsidRPr="00092862" w:rsidRDefault="00ED6B5F" w:rsidP="00ED6B5F">
            <w:pPr>
              <w:pStyle w:val="afffff7"/>
              <w:rPr>
                <w:color w:val="000000" w:themeColor="text1"/>
                <w:szCs w:val="21"/>
              </w:rPr>
            </w:pPr>
            <w:r w:rsidRPr="00092862">
              <w:rPr>
                <w:color w:val="000000" w:themeColor="text1"/>
                <w:sz w:val="22"/>
                <w:szCs w:val="22"/>
              </w:rPr>
              <w:t>0.43</w:t>
            </w:r>
          </w:p>
        </w:tc>
        <w:tc>
          <w:tcPr>
            <w:tcW w:w="610" w:type="pct"/>
            <w:shd w:val="clear" w:color="auto" w:fill="auto"/>
            <w:vAlign w:val="center"/>
          </w:tcPr>
          <w:p w14:paraId="02C404D0" w14:textId="3A53F7BC" w:rsidR="00ED6B5F" w:rsidRPr="00092862" w:rsidRDefault="00ED6B5F" w:rsidP="00ED6B5F">
            <w:pPr>
              <w:pStyle w:val="afffff7"/>
              <w:rPr>
                <w:color w:val="000000" w:themeColor="text1"/>
                <w:szCs w:val="21"/>
              </w:rPr>
            </w:pPr>
            <w:r w:rsidRPr="00092862">
              <w:rPr>
                <w:color w:val="000000" w:themeColor="text1"/>
                <w:sz w:val="22"/>
                <w:szCs w:val="22"/>
              </w:rPr>
              <w:t>0.40</w:t>
            </w:r>
          </w:p>
        </w:tc>
      </w:tr>
      <w:tr w:rsidR="00697429" w:rsidRPr="00092862" w14:paraId="24A33216" w14:textId="77777777" w:rsidTr="00D37600">
        <w:trPr>
          <w:trHeight w:val="218"/>
          <w:jc w:val="center"/>
        </w:trPr>
        <w:tc>
          <w:tcPr>
            <w:tcW w:w="680" w:type="pct"/>
            <w:vMerge/>
            <w:shd w:val="clear" w:color="auto" w:fill="auto"/>
            <w:vAlign w:val="center"/>
          </w:tcPr>
          <w:p w14:paraId="5D3B2990" w14:textId="77777777" w:rsidR="00ED6B5F" w:rsidRPr="00092862" w:rsidRDefault="00ED6B5F" w:rsidP="00ED6B5F">
            <w:pPr>
              <w:pStyle w:val="afffff7"/>
              <w:rPr>
                <w:color w:val="000000" w:themeColor="text1"/>
                <w:szCs w:val="21"/>
              </w:rPr>
            </w:pPr>
          </w:p>
        </w:tc>
        <w:tc>
          <w:tcPr>
            <w:tcW w:w="769" w:type="pct"/>
            <w:shd w:val="clear" w:color="auto" w:fill="auto"/>
            <w:vAlign w:val="center"/>
          </w:tcPr>
          <w:p w14:paraId="41B66044" w14:textId="4EC63AC5" w:rsidR="00ED6B5F" w:rsidRPr="00092862" w:rsidRDefault="00ED6B5F" w:rsidP="00ED6B5F">
            <w:pPr>
              <w:pStyle w:val="afffff7"/>
              <w:rPr>
                <w:color w:val="000000" w:themeColor="text1"/>
                <w:szCs w:val="21"/>
              </w:rPr>
            </w:pPr>
            <w:r w:rsidRPr="00092862">
              <w:rPr>
                <w:color w:val="000000" w:themeColor="text1"/>
                <w:szCs w:val="21"/>
              </w:rPr>
              <w:t>11.20</w:t>
            </w:r>
          </w:p>
        </w:tc>
        <w:tc>
          <w:tcPr>
            <w:tcW w:w="675" w:type="pct"/>
            <w:vMerge/>
            <w:shd w:val="clear" w:color="auto" w:fill="auto"/>
            <w:vAlign w:val="center"/>
          </w:tcPr>
          <w:p w14:paraId="0C97DA36"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389B045D" w14:textId="4253B107" w:rsidR="00ED6B5F" w:rsidRPr="00092862" w:rsidRDefault="00ED6B5F" w:rsidP="00ED6B5F">
            <w:pPr>
              <w:pStyle w:val="afffff7"/>
              <w:rPr>
                <w:color w:val="000000" w:themeColor="text1"/>
                <w:szCs w:val="21"/>
              </w:rPr>
            </w:pPr>
            <w:r w:rsidRPr="00092862">
              <w:rPr>
                <w:color w:val="000000" w:themeColor="text1"/>
                <w:sz w:val="22"/>
                <w:szCs w:val="22"/>
              </w:rPr>
              <w:t>0.46</w:t>
            </w:r>
          </w:p>
        </w:tc>
        <w:tc>
          <w:tcPr>
            <w:tcW w:w="880" w:type="pct"/>
            <w:shd w:val="clear" w:color="auto" w:fill="auto"/>
            <w:vAlign w:val="center"/>
          </w:tcPr>
          <w:p w14:paraId="2E0326D9" w14:textId="1FBB2932" w:rsidR="00ED6B5F" w:rsidRPr="00092862" w:rsidRDefault="00ED6B5F" w:rsidP="00ED6B5F">
            <w:pPr>
              <w:pStyle w:val="afffff7"/>
              <w:rPr>
                <w:color w:val="000000" w:themeColor="text1"/>
                <w:szCs w:val="21"/>
              </w:rPr>
            </w:pPr>
            <w:r w:rsidRPr="00092862">
              <w:rPr>
                <w:color w:val="000000" w:themeColor="text1"/>
                <w:sz w:val="22"/>
                <w:szCs w:val="22"/>
              </w:rPr>
              <w:t>0.44</w:t>
            </w:r>
          </w:p>
        </w:tc>
        <w:tc>
          <w:tcPr>
            <w:tcW w:w="609" w:type="pct"/>
            <w:shd w:val="clear" w:color="auto" w:fill="auto"/>
            <w:vAlign w:val="center"/>
          </w:tcPr>
          <w:p w14:paraId="49F61C1D" w14:textId="6A2819DC" w:rsidR="00ED6B5F" w:rsidRPr="00092862" w:rsidRDefault="00ED6B5F" w:rsidP="00ED6B5F">
            <w:pPr>
              <w:pStyle w:val="afffff7"/>
              <w:rPr>
                <w:color w:val="000000" w:themeColor="text1"/>
                <w:szCs w:val="21"/>
              </w:rPr>
            </w:pPr>
            <w:r w:rsidRPr="00092862">
              <w:rPr>
                <w:color w:val="000000" w:themeColor="text1"/>
                <w:sz w:val="22"/>
                <w:szCs w:val="22"/>
              </w:rPr>
              <w:t>0.40</w:t>
            </w:r>
          </w:p>
        </w:tc>
        <w:tc>
          <w:tcPr>
            <w:tcW w:w="610" w:type="pct"/>
            <w:shd w:val="clear" w:color="auto" w:fill="auto"/>
            <w:vAlign w:val="center"/>
          </w:tcPr>
          <w:p w14:paraId="01A150BE" w14:textId="1F74FDB1" w:rsidR="00ED6B5F" w:rsidRPr="00092862" w:rsidRDefault="00ED6B5F" w:rsidP="00ED6B5F">
            <w:pPr>
              <w:pStyle w:val="afffff7"/>
              <w:rPr>
                <w:color w:val="000000" w:themeColor="text1"/>
                <w:szCs w:val="21"/>
              </w:rPr>
            </w:pPr>
            <w:r w:rsidRPr="00092862">
              <w:rPr>
                <w:color w:val="000000" w:themeColor="text1"/>
                <w:sz w:val="22"/>
                <w:szCs w:val="22"/>
              </w:rPr>
              <w:t>0.42</w:t>
            </w:r>
          </w:p>
        </w:tc>
      </w:tr>
      <w:tr w:rsidR="00697429" w:rsidRPr="00092862" w14:paraId="5210AE6B" w14:textId="77777777" w:rsidTr="00D37600">
        <w:trPr>
          <w:trHeight w:val="218"/>
          <w:jc w:val="center"/>
        </w:trPr>
        <w:tc>
          <w:tcPr>
            <w:tcW w:w="680" w:type="pct"/>
            <w:vMerge/>
            <w:shd w:val="clear" w:color="auto" w:fill="auto"/>
            <w:vAlign w:val="center"/>
          </w:tcPr>
          <w:p w14:paraId="23C53E27" w14:textId="77777777" w:rsidR="00ED6B5F" w:rsidRPr="00092862" w:rsidRDefault="00ED6B5F" w:rsidP="00ED6B5F">
            <w:pPr>
              <w:pStyle w:val="afffff7"/>
              <w:rPr>
                <w:color w:val="000000" w:themeColor="text1"/>
                <w:szCs w:val="21"/>
              </w:rPr>
            </w:pPr>
          </w:p>
        </w:tc>
        <w:tc>
          <w:tcPr>
            <w:tcW w:w="769" w:type="pct"/>
            <w:shd w:val="clear" w:color="auto" w:fill="auto"/>
          </w:tcPr>
          <w:p w14:paraId="60EE1A12" w14:textId="220AA7B1" w:rsidR="00ED6B5F" w:rsidRPr="00092862" w:rsidRDefault="00ED6B5F" w:rsidP="00ED6B5F">
            <w:pPr>
              <w:pStyle w:val="afffff7"/>
              <w:rPr>
                <w:color w:val="000000" w:themeColor="text1"/>
                <w:szCs w:val="21"/>
              </w:rPr>
            </w:pPr>
            <w:r w:rsidRPr="00092862">
              <w:rPr>
                <w:color w:val="000000" w:themeColor="text1"/>
                <w:szCs w:val="21"/>
              </w:rPr>
              <w:t>11.21</w:t>
            </w:r>
          </w:p>
        </w:tc>
        <w:tc>
          <w:tcPr>
            <w:tcW w:w="675" w:type="pct"/>
            <w:vMerge/>
            <w:shd w:val="clear" w:color="auto" w:fill="auto"/>
            <w:vAlign w:val="center"/>
          </w:tcPr>
          <w:p w14:paraId="296B1A11"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0CD3C12A" w14:textId="5524E954" w:rsidR="00ED6B5F" w:rsidRPr="00092862" w:rsidRDefault="00ED6B5F" w:rsidP="00ED6B5F">
            <w:pPr>
              <w:pStyle w:val="afffff7"/>
              <w:rPr>
                <w:color w:val="000000" w:themeColor="text1"/>
                <w:szCs w:val="21"/>
              </w:rPr>
            </w:pPr>
            <w:r w:rsidRPr="00092862">
              <w:rPr>
                <w:color w:val="000000" w:themeColor="text1"/>
                <w:sz w:val="22"/>
                <w:szCs w:val="22"/>
              </w:rPr>
              <w:t>0.84</w:t>
            </w:r>
          </w:p>
        </w:tc>
        <w:tc>
          <w:tcPr>
            <w:tcW w:w="880" w:type="pct"/>
            <w:shd w:val="clear" w:color="auto" w:fill="auto"/>
            <w:vAlign w:val="center"/>
          </w:tcPr>
          <w:p w14:paraId="32A62A92" w14:textId="0418234C" w:rsidR="00ED6B5F" w:rsidRPr="00092862" w:rsidRDefault="00ED6B5F" w:rsidP="00ED6B5F">
            <w:pPr>
              <w:pStyle w:val="afffff7"/>
              <w:rPr>
                <w:color w:val="000000" w:themeColor="text1"/>
                <w:szCs w:val="21"/>
              </w:rPr>
            </w:pPr>
            <w:r w:rsidRPr="00092862">
              <w:rPr>
                <w:color w:val="000000" w:themeColor="text1"/>
                <w:sz w:val="22"/>
                <w:szCs w:val="22"/>
              </w:rPr>
              <w:t>0.86</w:t>
            </w:r>
          </w:p>
        </w:tc>
        <w:tc>
          <w:tcPr>
            <w:tcW w:w="609" w:type="pct"/>
            <w:shd w:val="clear" w:color="auto" w:fill="auto"/>
            <w:vAlign w:val="center"/>
          </w:tcPr>
          <w:p w14:paraId="2BBBF35D" w14:textId="2D0EBDAD" w:rsidR="00ED6B5F" w:rsidRPr="00092862" w:rsidRDefault="00ED6B5F" w:rsidP="00ED6B5F">
            <w:pPr>
              <w:pStyle w:val="afffff7"/>
              <w:rPr>
                <w:color w:val="000000" w:themeColor="text1"/>
                <w:szCs w:val="21"/>
              </w:rPr>
            </w:pPr>
            <w:r w:rsidRPr="00092862">
              <w:rPr>
                <w:color w:val="000000" w:themeColor="text1"/>
                <w:sz w:val="22"/>
                <w:szCs w:val="22"/>
              </w:rPr>
              <w:t>0.84</w:t>
            </w:r>
          </w:p>
        </w:tc>
        <w:tc>
          <w:tcPr>
            <w:tcW w:w="610" w:type="pct"/>
            <w:shd w:val="clear" w:color="auto" w:fill="auto"/>
            <w:vAlign w:val="center"/>
          </w:tcPr>
          <w:p w14:paraId="647405D5" w14:textId="298F6FFD" w:rsidR="00ED6B5F" w:rsidRPr="00092862" w:rsidRDefault="00ED6B5F" w:rsidP="00ED6B5F">
            <w:pPr>
              <w:pStyle w:val="afffff7"/>
              <w:rPr>
                <w:color w:val="000000" w:themeColor="text1"/>
                <w:szCs w:val="21"/>
              </w:rPr>
            </w:pPr>
            <w:r w:rsidRPr="00092862">
              <w:rPr>
                <w:color w:val="000000" w:themeColor="text1"/>
                <w:sz w:val="22"/>
                <w:szCs w:val="22"/>
              </w:rPr>
              <w:t>0.84</w:t>
            </w:r>
          </w:p>
        </w:tc>
      </w:tr>
      <w:tr w:rsidR="00697429" w:rsidRPr="00092862" w14:paraId="4E7F0EBF" w14:textId="77777777" w:rsidTr="00D37600">
        <w:trPr>
          <w:trHeight w:val="218"/>
          <w:jc w:val="center"/>
        </w:trPr>
        <w:tc>
          <w:tcPr>
            <w:tcW w:w="680" w:type="pct"/>
            <w:vMerge/>
            <w:shd w:val="clear" w:color="auto" w:fill="auto"/>
            <w:vAlign w:val="center"/>
          </w:tcPr>
          <w:p w14:paraId="65002A3E" w14:textId="77777777" w:rsidR="00ED6B5F" w:rsidRPr="00092862" w:rsidRDefault="00ED6B5F" w:rsidP="00ED6B5F">
            <w:pPr>
              <w:pStyle w:val="afffff7"/>
              <w:rPr>
                <w:color w:val="000000" w:themeColor="text1"/>
                <w:szCs w:val="21"/>
              </w:rPr>
            </w:pPr>
          </w:p>
        </w:tc>
        <w:tc>
          <w:tcPr>
            <w:tcW w:w="769" w:type="pct"/>
            <w:shd w:val="clear" w:color="auto" w:fill="auto"/>
          </w:tcPr>
          <w:p w14:paraId="52617187" w14:textId="7EF81063" w:rsidR="00ED6B5F" w:rsidRPr="00092862" w:rsidRDefault="00ED6B5F" w:rsidP="00ED6B5F">
            <w:pPr>
              <w:pStyle w:val="afffff7"/>
              <w:rPr>
                <w:color w:val="000000" w:themeColor="text1"/>
                <w:szCs w:val="21"/>
              </w:rPr>
            </w:pPr>
            <w:r w:rsidRPr="00092862">
              <w:rPr>
                <w:color w:val="000000" w:themeColor="text1"/>
                <w:szCs w:val="21"/>
              </w:rPr>
              <w:t>11.22</w:t>
            </w:r>
          </w:p>
        </w:tc>
        <w:tc>
          <w:tcPr>
            <w:tcW w:w="675" w:type="pct"/>
            <w:vMerge/>
            <w:shd w:val="clear" w:color="auto" w:fill="auto"/>
            <w:vAlign w:val="center"/>
          </w:tcPr>
          <w:p w14:paraId="7F4D1C2F"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4C3F369A" w14:textId="7EC80417" w:rsidR="00ED6B5F" w:rsidRPr="00092862" w:rsidRDefault="00ED6B5F" w:rsidP="00ED6B5F">
            <w:pPr>
              <w:pStyle w:val="afffff7"/>
              <w:rPr>
                <w:color w:val="000000" w:themeColor="text1"/>
                <w:szCs w:val="21"/>
              </w:rPr>
            </w:pPr>
            <w:r w:rsidRPr="00092862">
              <w:rPr>
                <w:color w:val="000000" w:themeColor="text1"/>
                <w:sz w:val="22"/>
                <w:szCs w:val="22"/>
              </w:rPr>
              <w:t>0.82</w:t>
            </w:r>
          </w:p>
        </w:tc>
        <w:tc>
          <w:tcPr>
            <w:tcW w:w="880" w:type="pct"/>
            <w:shd w:val="clear" w:color="auto" w:fill="auto"/>
            <w:vAlign w:val="center"/>
          </w:tcPr>
          <w:p w14:paraId="301E91C8" w14:textId="5A51D59F" w:rsidR="00ED6B5F" w:rsidRPr="00092862" w:rsidRDefault="00ED6B5F" w:rsidP="00ED6B5F">
            <w:pPr>
              <w:pStyle w:val="afffff7"/>
              <w:rPr>
                <w:color w:val="000000" w:themeColor="text1"/>
                <w:szCs w:val="21"/>
              </w:rPr>
            </w:pPr>
            <w:r w:rsidRPr="00092862">
              <w:rPr>
                <w:color w:val="000000" w:themeColor="text1"/>
                <w:sz w:val="22"/>
                <w:szCs w:val="22"/>
              </w:rPr>
              <w:t>0.81</w:t>
            </w:r>
          </w:p>
        </w:tc>
        <w:tc>
          <w:tcPr>
            <w:tcW w:w="609" w:type="pct"/>
            <w:shd w:val="clear" w:color="auto" w:fill="auto"/>
            <w:vAlign w:val="center"/>
          </w:tcPr>
          <w:p w14:paraId="1FCB6559" w14:textId="107D2AED" w:rsidR="00ED6B5F" w:rsidRPr="00092862" w:rsidRDefault="00ED6B5F" w:rsidP="00ED6B5F">
            <w:pPr>
              <w:pStyle w:val="afffff7"/>
              <w:rPr>
                <w:color w:val="000000" w:themeColor="text1"/>
                <w:szCs w:val="21"/>
              </w:rPr>
            </w:pPr>
            <w:r w:rsidRPr="00092862">
              <w:rPr>
                <w:color w:val="000000" w:themeColor="text1"/>
                <w:sz w:val="22"/>
                <w:szCs w:val="22"/>
              </w:rPr>
              <w:t>0.80</w:t>
            </w:r>
          </w:p>
        </w:tc>
        <w:tc>
          <w:tcPr>
            <w:tcW w:w="610" w:type="pct"/>
            <w:shd w:val="clear" w:color="auto" w:fill="auto"/>
            <w:vAlign w:val="center"/>
          </w:tcPr>
          <w:p w14:paraId="58FBC9F1" w14:textId="2CE48ABC" w:rsidR="00ED6B5F" w:rsidRPr="00092862" w:rsidRDefault="00ED6B5F" w:rsidP="00ED6B5F">
            <w:pPr>
              <w:pStyle w:val="afffff7"/>
              <w:rPr>
                <w:color w:val="000000" w:themeColor="text1"/>
                <w:szCs w:val="21"/>
              </w:rPr>
            </w:pPr>
            <w:r w:rsidRPr="00092862">
              <w:rPr>
                <w:color w:val="000000" w:themeColor="text1"/>
                <w:sz w:val="22"/>
                <w:szCs w:val="22"/>
              </w:rPr>
              <w:t>0.83</w:t>
            </w:r>
          </w:p>
        </w:tc>
      </w:tr>
      <w:tr w:rsidR="00697429" w:rsidRPr="00092862" w14:paraId="33ECF201" w14:textId="77777777" w:rsidTr="00D37600">
        <w:trPr>
          <w:trHeight w:val="218"/>
          <w:jc w:val="center"/>
        </w:trPr>
        <w:tc>
          <w:tcPr>
            <w:tcW w:w="680" w:type="pct"/>
            <w:vMerge/>
            <w:shd w:val="clear" w:color="auto" w:fill="auto"/>
            <w:vAlign w:val="center"/>
          </w:tcPr>
          <w:p w14:paraId="7B659A50" w14:textId="77777777" w:rsidR="00ED6B5F" w:rsidRPr="00092862" w:rsidRDefault="00ED6B5F" w:rsidP="00ED6B5F">
            <w:pPr>
              <w:pStyle w:val="afffff7"/>
              <w:rPr>
                <w:color w:val="000000" w:themeColor="text1"/>
                <w:szCs w:val="21"/>
              </w:rPr>
            </w:pPr>
          </w:p>
        </w:tc>
        <w:tc>
          <w:tcPr>
            <w:tcW w:w="769" w:type="pct"/>
            <w:shd w:val="clear" w:color="auto" w:fill="auto"/>
          </w:tcPr>
          <w:p w14:paraId="03DDE29B" w14:textId="5B35099B" w:rsidR="00ED6B5F" w:rsidRPr="00092862" w:rsidRDefault="00ED6B5F" w:rsidP="00ED6B5F">
            <w:pPr>
              <w:pStyle w:val="afffff7"/>
              <w:rPr>
                <w:color w:val="000000" w:themeColor="text1"/>
                <w:szCs w:val="21"/>
              </w:rPr>
            </w:pPr>
            <w:r w:rsidRPr="00092862">
              <w:rPr>
                <w:color w:val="000000" w:themeColor="text1"/>
                <w:szCs w:val="21"/>
              </w:rPr>
              <w:t>11.23</w:t>
            </w:r>
          </w:p>
        </w:tc>
        <w:tc>
          <w:tcPr>
            <w:tcW w:w="675" w:type="pct"/>
            <w:vMerge/>
            <w:shd w:val="clear" w:color="auto" w:fill="auto"/>
            <w:vAlign w:val="center"/>
          </w:tcPr>
          <w:p w14:paraId="724B0B61"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4400757C" w14:textId="56AB1075" w:rsidR="00ED6B5F" w:rsidRPr="00092862" w:rsidRDefault="00ED6B5F" w:rsidP="00ED6B5F">
            <w:pPr>
              <w:pStyle w:val="afffff7"/>
              <w:rPr>
                <w:color w:val="000000" w:themeColor="text1"/>
                <w:szCs w:val="21"/>
              </w:rPr>
            </w:pPr>
            <w:r w:rsidRPr="00092862">
              <w:rPr>
                <w:color w:val="000000" w:themeColor="text1"/>
                <w:sz w:val="22"/>
                <w:szCs w:val="22"/>
              </w:rPr>
              <w:t>0.90</w:t>
            </w:r>
          </w:p>
        </w:tc>
        <w:tc>
          <w:tcPr>
            <w:tcW w:w="880" w:type="pct"/>
            <w:shd w:val="clear" w:color="auto" w:fill="auto"/>
            <w:vAlign w:val="center"/>
          </w:tcPr>
          <w:p w14:paraId="60A7E997" w14:textId="7BA34140" w:rsidR="00ED6B5F" w:rsidRPr="00092862" w:rsidRDefault="00ED6B5F" w:rsidP="00ED6B5F">
            <w:pPr>
              <w:pStyle w:val="afffff7"/>
              <w:rPr>
                <w:color w:val="000000" w:themeColor="text1"/>
                <w:szCs w:val="21"/>
              </w:rPr>
            </w:pPr>
            <w:r w:rsidRPr="00092862">
              <w:rPr>
                <w:color w:val="000000" w:themeColor="text1"/>
                <w:sz w:val="22"/>
                <w:szCs w:val="22"/>
              </w:rPr>
              <w:t>0.92</w:t>
            </w:r>
          </w:p>
        </w:tc>
        <w:tc>
          <w:tcPr>
            <w:tcW w:w="609" w:type="pct"/>
            <w:shd w:val="clear" w:color="auto" w:fill="auto"/>
            <w:vAlign w:val="center"/>
          </w:tcPr>
          <w:p w14:paraId="24B93401" w14:textId="410B31E8" w:rsidR="00ED6B5F" w:rsidRPr="00092862" w:rsidRDefault="00ED6B5F" w:rsidP="00ED6B5F">
            <w:pPr>
              <w:pStyle w:val="afffff7"/>
              <w:rPr>
                <w:color w:val="000000" w:themeColor="text1"/>
                <w:szCs w:val="21"/>
              </w:rPr>
            </w:pPr>
            <w:r w:rsidRPr="00092862">
              <w:rPr>
                <w:color w:val="000000" w:themeColor="text1"/>
                <w:sz w:val="22"/>
                <w:szCs w:val="22"/>
              </w:rPr>
              <w:t>0.90</w:t>
            </w:r>
          </w:p>
        </w:tc>
        <w:tc>
          <w:tcPr>
            <w:tcW w:w="610" w:type="pct"/>
            <w:shd w:val="clear" w:color="auto" w:fill="auto"/>
            <w:vAlign w:val="center"/>
          </w:tcPr>
          <w:p w14:paraId="700CBE49" w14:textId="65865C48" w:rsidR="00ED6B5F" w:rsidRPr="00092862" w:rsidRDefault="00ED6B5F" w:rsidP="00ED6B5F">
            <w:pPr>
              <w:pStyle w:val="afffff7"/>
              <w:rPr>
                <w:color w:val="000000" w:themeColor="text1"/>
                <w:szCs w:val="21"/>
              </w:rPr>
            </w:pPr>
            <w:r w:rsidRPr="00092862">
              <w:rPr>
                <w:color w:val="000000" w:themeColor="text1"/>
                <w:sz w:val="22"/>
                <w:szCs w:val="22"/>
              </w:rPr>
              <w:t>0.88</w:t>
            </w:r>
          </w:p>
        </w:tc>
      </w:tr>
      <w:tr w:rsidR="00697429" w:rsidRPr="00092862" w14:paraId="34B27982" w14:textId="77777777" w:rsidTr="00D37600">
        <w:trPr>
          <w:trHeight w:val="89"/>
          <w:jc w:val="center"/>
        </w:trPr>
        <w:tc>
          <w:tcPr>
            <w:tcW w:w="680" w:type="pct"/>
            <w:vMerge/>
            <w:shd w:val="clear" w:color="auto" w:fill="auto"/>
            <w:vAlign w:val="center"/>
          </w:tcPr>
          <w:p w14:paraId="240CD107" w14:textId="77777777" w:rsidR="00ED6B5F" w:rsidRPr="00092862" w:rsidRDefault="00ED6B5F" w:rsidP="00ED6B5F">
            <w:pPr>
              <w:pStyle w:val="afffff7"/>
              <w:rPr>
                <w:color w:val="000000" w:themeColor="text1"/>
                <w:szCs w:val="21"/>
              </w:rPr>
            </w:pPr>
          </w:p>
        </w:tc>
        <w:tc>
          <w:tcPr>
            <w:tcW w:w="769" w:type="pct"/>
            <w:shd w:val="clear" w:color="auto" w:fill="auto"/>
          </w:tcPr>
          <w:p w14:paraId="1ABBCA05" w14:textId="5199487F" w:rsidR="00ED6B5F" w:rsidRPr="00092862" w:rsidRDefault="00ED6B5F" w:rsidP="00ED6B5F">
            <w:pPr>
              <w:pStyle w:val="afffff7"/>
              <w:rPr>
                <w:color w:val="000000" w:themeColor="text1"/>
                <w:szCs w:val="21"/>
              </w:rPr>
            </w:pPr>
            <w:r w:rsidRPr="00092862">
              <w:rPr>
                <w:color w:val="000000" w:themeColor="text1"/>
                <w:szCs w:val="21"/>
              </w:rPr>
              <w:t>11.24</w:t>
            </w:r>
          </w:p>
        </w:tc>
        <w:tc>
          <w:tcPr>
            <w:tcW w:w="675" w:type="pct"/>
            <w:vMerge/>
            <w:shd w:val="clear" w:color="auto" w:fill="auto"/>
            <w:vAlign w:val="center"/>
          </w:tcPr>
          <w:p w14:paraId="3141D871"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46192A7C" w14:textId="6E8F2F8A" w:rsidR="00ED6B5F" w:rsidRPr="00092862" w:rsidRDefault="00ED6B5F" w:rsidP="00ED6B5F">
            <w:pPr>
              <w:pStyle w:val="afffff7"/>
              <w:rPr>
                <w:color w:val="000000" w:themeColor="text1"/>
                <w:szCs w:val="21"/>
              </w:rPr>
            </w:pPr>
            <w:r w:rsidRPr="00092862">
              <w:rPr>
                <w:color w:val="000000" w:themeColor="text1"/>
                <w:sz w:val="22"/>
                <w:szCs w:val="22"/>
              </w:rPr>
              <w:t>0.90</w:t>
            </w:r>
          </w:p>
        </w:tc>
        <w:tc>
          <w:tcPr>
            <w:tcW w:w="880" w:type="pct"/>
            <w:shd w:val="clear" w:color="auto" w:fill="auto"/>
            <w:vAlign w:val="center"/>
          </w:tcPr>
          <w:p w14:paraId="4E7FC32B" w14:textId="061FA4DE" w:rsidR="00ED6B5F" w:rsidRPr="00092862" w:rsidRDefault="00ED6B5F" w:rsidP="00ED6B5F">
            <w:pPr>
              <w:pStyle w:val="afffff7"/>
              <w:rPr>
                <w:color w:val="000000" w:themeColor="text1"/>
                <w:szCs w:val="21"/>
              </w:rPr>
            </w:pPr>
            <w:r w:rsidRPr="00092862">
              <w:rPr>
                <w:color w:val="000000" w:themeColor="text1"/>
                <w:sz w:val="22"/>
                <w:szCs w:val="22"/>
              </w:rPr>
              <w:t>0.84</w:t>
            </w:r>
          </w:p>
        </w:tc>
        <w:tc>
          <w:tcPr>
            <w:tcW w:w="609" w:type="pct"/>
            <w:shd w:val="clear" w:color="auto" w:fill="auto"/>
            <w:vAlign w:val="center"/>
          </w:tcPr>
          <w:p w14:paraId="166F2696" w14:textId="07048323" w:rsidR="00ED6B5F" w:rsidRPr="00092862" w:rsidRDefault="00ED6B5F" w:rsidP="00ED6B5F">
            <w:pPr>
              <w:pStyle w:val="afffff7"/>
              <w:rPr>
                <w:color w:val="000000" w:themeColor="text1"/>
                <w:szCs w:val="21"/>
              </w:rPr>
            </w:pPr>
            <w:r w:rsidRPr="00092862">
              <w:rPr>
                <w:color w:val="000000" w:themeColor="text1"/>
                <w:sz w:val="22"/>
                <w:szCs w:val="22"/>
              </w:rPr>
              <w:t>0.95</w:t>
            </w:r>
          </w:p>
        </w:tc>
        <w:tc>
          <w:tcPr>
            <w:tcW w:w="610" w:type="pct"/>
            <w:shd w:val="clear" w:color="auto" w:fill="auto"/>
            <w:vAlign w:val="center"/>
          </w:tcPr>
          <w:p w14:paraId="4127F36D" w14:textId="532788D1" w:rsidR="00ED6B5F" w:rsidRPr="00092862" w:rsidRDefault="00ED6B5F" w:rsidP="00ED6B5F">
            <w:pPr>
              <w:pStyle w:val="afffff7"/>
              <w:rPr>
                <w:color w:val="000000" w:themeColor="text1"/>
                <w:szCs w:val="21"/>
              </w:rPr>
            </w:pPr>
            <w:r w:rsidRPr="00092862">
              <w:rPr>
                <w:color w:val="000000" w:themeColor="text1"/>
                <w:sz w:val="22"/>
                <w:szCs w:val="22"/>
              </w:rPr>
              <w:t>0.96</w:t>
            </w:r>
          </w:p>
        </w:tc>
      </w:tr>
      <w:tr w:rsidR="00697429" w:rsidRPr="00092862" w14:paraId="08881045" w14:textId="77777777" w:rsidTr="009E0F4F">
        <w:trPr>
          <w:trHeight w:val="89"/>
          <w:jc w:val="center"/>
        </w:trPr>
        <w:tc>
          <w:tcPr>
            <w:tcW w:w="680" w:type="pct"/>
            <w:vMerge w:val="restart"/>
            <w:shd w:val="clear" w:color="auto" w:fill="auto"/>
            <w:vAlign w:val="center"/>
          </w:tcPr>
          <w:p w14:paraId="0017B1C4" w14:textId="037AF41F" w:rsidR="00ED6B5F" w:rsidRPr="00092862" w:rsidRDefault="00ED6B5F" w:rsidP="00ED6B5F">
            <w:pPr>
              <w:pStyle w:val="afffff7"/>
              <w:rPr>
                <w:color w:val="000000" w:themeColor="text1"/>
                <w:szCs w:val="21"/>
              </w:rPr>
            </w:pPr>
            <w:r w:rsidRPr="00092862">
              <w:rPr>
                <w:color w:val="000000" w:themeColor="text1"/>
                <w:sz w:val="22"/>
                <w:szCs w:val="22"/>
              </w:rPr>
              <w:t>老君</w:t>
            </w:r>
            <w:r w:rsidRPr="00092862">
              <w:rPr>
                <w:color w:val="000000" w:themeColor="text1"/>
                <w:sz w:val="22"/>
                <w:szCs w:val="22"/>
              </w:rPr>
              <w:t>7011</w:t>
            </w:r>
            <w:r w:rsidRPr="00092862">
              <w:rPr>
                <w:color w:val="000000" w:themeColor="text1"/>
                <w:sz w:val="22"/>
                <w:szCs w:val="22"/>
              </w:rPr>
              <w:t>井平台内</w:t>
            </w:r>
          </w:p>
        </w:tc>
        <w:tc>
          <w:tcPr>
            <w:tcW w:w="769" w:type="pct"/>
            <w:shd w:val="clear" w:color="auto" w:fill="auto"/>
            <w:vAlign w:val="center"/>
          </w:tcPr>
          <w:p w14:paraId="280B5950" w14:textId="770D8E24" w:rsidR="00ED6B5F" w:rsidRPr="00092862" w:rsidRDefault="00ED6B5F" w:rsidP="00ED6B5F">
            <w:pPr>
              <w:pStyle w:val="afffff7"/>
              <w:rPr>
                <w:color w:val="000000" w:themeColor="text1"/>
                <w:szCs w:val="21"/>
              </w:rPr>
            </w:pPr>
            <w:r w:rsidRPr="00092862">
              <w:rPr>
                <w:color w:val="000000" w:themeColor="text1"/>
                <w:szCs w:val="21"/>
              </w:rPr>
              <w:t>11.18</w:t>
            </w:r>
          </w:p>
        </w:tc>
        <w:tc>
          <w:tcPr>
            <w:tcW w:w="675" w:type="pct"/>
            <w:vMerge w:val="restart"/>
            <w:shd w:val="clear" w:color="auto" w:fill="auto"/>
            <w:vAlign w:val="center"/>
          </w:tcPr>
          <w:p w14:paraId="566E12E0" w14:textId="42938F5A" w:rsidR="00ED6B5F" w:rsidRPr="00092862" w:rsidRDefault="00ED6B5F" w:rsidP="00ED6B5F">
            <w:pPr>
              <w:pStyle w:val="afffff7"/>
              <w:rPr>
                <w:color w:val="000000" w:themeColor="text1"/>
                <w:szCs w:val="21"/>
              </w:rPr>
            </w:pPr>
            <w:r w:rsidRPr="00092862">
              <w:rPr>
                <w:color w:val="000000" w:themeColor="text1"/>
              </w:rPr>
              <w:t>硫化氢</w:t>
            </w:r>
          </w:p>
        </w:tc>
        <w:tc>
          <w:tcPr>
            <w:tcW w:w="777" w:type="pct"/>
            <w:shd w:val="clear" w:color="auto" w:fill="auto"/>
            <w:vAlign w:val="center"/>
          </w:tcPr>
          <w:p w14:paraId="57D7076C" w14:textId="3C40883F" w:rsidR="00ED6B5F" w:rsidRPr="00092862" w:rsidRDefault="00ED6B5F" w:rsidP="00ED6B5F">
            <w:pPr>
              <w:pStyle w:val="afffff7"/>
              <w:rPr>
                <w:color w:val="000000" w:themeColor="text1"/>
                <w:szCs w:val="21"/>
              </w:rPr>
            </w:pPr>
            <w:r w:rsidRPr="00092862">
              <w:rPr>
                <w:color w:val="000000" w:themeColor="text1"/>
                <w:sz w:val="22"/>
                <w:szCs w:val="22"/>
              </w:rPr>
              <w:t>0.003</w:t>
            </w:r>
          </w:p>
        </w:tc>
        <w:tc>
          <w:tcPr>
            <w:tcW w:w="880" w:type="pct"/>
            <w:shd w:val="clear" w:color="auto" w:fill="auto"/>
            <w:vAlign w:val="center"/>
          </w:tcPr>
          <w:p w14:paraId="6F449139" w14:textId="12B7BBF2"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609" w:type="pct"/>
            <w:shd w:val="clear" w:color="auto" w:fill="auto"/>
            <w:vAlign w:val="center"/>
          </w:tcPr>
          <w:p w14:paraId="3484337D" w14:textId="2DB1EB56" w:rsidR="00ED6B5F" w:rsidRPr="00092862" w:rsidRDefault="00ED6B5F" w:rsidP="00ED6B5F">
            <w:pPr>
              <w:pStyle w:val="afffff7"/>
              <w:rPr>
                <w:color w:val="000000" w:themeColor="text1"/>
                <w:szCs w:val="21"/>
              </w:rPr>
            </w:pPr>
            <w:r w:rsidRPr="00092862">
              <w:rPr>
                <w:color w:val="000000" w:themeColor="text1"/>
                <w:sz w:val="22"/>
                <w:szCs w:val="22"/>
              </w:rPr>
              <w:t>0.004</w:t>
            </w:r>
          </w:p>
        </w:tc>
        <w:tc>
          <w:tcPr>
            <w:tcW w:w="610" w:type="pct"/>
            <w:shd w:val="clear" w:color="auto" w:fill="auto"/>
            <w:vAlign w:val="center"/>
          </w:tcPr>
          <w:p w14:paraId="4EB81EF2" w14:textId="1D9E1378" w:rsidR="00ED6B5F" w:rsidRPr="00092862" w:rsidRDefault="00ED6B5F" w:rsidP="00ED6B5F">
            <w:pPr>
              <w:pStyle w:val="afffff7"/>
              <w:rPr>
                <w:color w:val="000000" w:themeColor="text1"/>
                <w:szCs w:val="21"/>
              </w:rPr>
            </w:pPr>
            <w:r w:rsidRPr="00092862">
              <w:rPr>
                <w:color w:val="000000" w:themeColor="text1"/>
                <w:sz w:val="22"/>
                <w:szCs w:val="22"/>
              </w:rPr>
              <w:t>0.003</w:t>
            </w:r>
          </w:p>
        </w:tc>
      </w:tr>
      <w:tr w:rsidR="00697429" w:rsidRPr="00092862" w14:paraId="264F5251" w14:textId="77777777" w:rsidTr="009E0F4F">
        <w:trPr>
          <w:trHeight w:val="89"/>
          <w:jc w:val="center"/>
        </w:trPr>
        <w:tc>
          <w:tcPr>
            <w:tcW w:w="680" w:type="pct"/>
            <w:vMerge/>
            <w:shd w:val="clear" w:color="auto" w:fill="auto"/>
            <w:vAlign w:val="center"/>
          </w:tcPr>
          <w:p w14:paraId="3F4FDF63" w14:textId="77777777" w:rsidR="00ED6B5F" w:rsidRPr="00092862" w:rsidRDefault="00ED6B5F" w:rsidP="00ED6B5F">
            <w:pPr>
              <w:pStyle w:val="afffff7"/>
              <w:rPr>
                <w:color w:val="000000" w:themeColor="text1"/>
                <w:szCs w:val="21"/>
              </w:rPr>
            </w:pPr>
          </w:p>
        </w:tc>
        <w:tc>
          <w:tcPr>
            <w:tcW w:w="769" w:type="pct"/>
            <w:shd w:val="clear" w:color="auto" w:fill="auto"/>
            <w:vAlign w:val="center"/>
          </w:tcPr>
          <w:p w14:paraId="7639BC8B" w14:textId="5E12FDD4" w:rsidR="00ED6B5F" w:rsidRPr="00092862" w:rsidRDefault="00ED6B5F" w:rsidP="00ED6B5F">
            <w:pPr>
              <w:pStyle w:val="afffff7"/>
              <w:rPr>
                <w:color w:val="000000" w:themeColor="text1"/>
                <w:szCs w:val="21"/>
              </w:rPr>
            </w:pPr>
            <w:r w:rsidRPr="00092862">
              <w:rPr>
                <w:color w:val="000000" w:themeColor="text1"/>
                <w:szCs w:val="21"/>
              </w:rPr>
              <w:t>11.19</w:t>
            </w:r>
          </w:p>
        </w:tc>
        <w:tc>
          <w:tcPr>
            <w:tcW w:w="675" w:type="pct"/>
            <w:vMerge/>
            <w:shd w:val="clear" w:color="auto" w:fill="auto"/>
            <w:vAlign w:val="center"/>
          </w:tcPr>
          <w:p w14:paraId="200309B3"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2F97CC67" w14:textId="2B8226A8" w:rsidR="00ED6B5F" w:rsidRPr="00092862" w:rsidRDefault="00ED6B5F" w:rsidP="00ED6B5F">
            <w:pPr>
              <w:pStyle w:val="afffff7"/>
              <w:rPr>
                <w:color w:val="000000" w:themeColor="text1"/>
                <w:szCs w:val="21"/>
              </w:rPr>
            </w:pPr>
            <w:r w:rsidRPr="00092862">
              <w:rPr>
                <w:color w:val="000000" w:themeColor="text1"/>
                <w:sz w:val="22"/>
                <w:szCs w:val="22"/>
              </w:rPr>
              <w:t>0.006</w:t>
            </w:r>
          </w:p>
        </w:tc>
        <w:tc>
          <w:tcPr>
            <w:tcW w:w="880" w:type="pct"/>
            <w:shd w:val="clear" w:color="auto" w:fill="auto"/>
            <w:vAlign w:val="center"/>
          </w:tcPr>
          <w:p w14:paraId="6D8963FB" w14:textId="3B11C596" w:rsidR="00ED6B5F" w:rsidRPr="00092862" w:rsidRDefault="00ED6B5F" w:rsidP="00ED6B5F">
            <w:pPr>
              <w:pStyle w:val="afffff7"/>
              <w:rPr>
                <w:color w:val="000000" w:themeColor="text1"/>
                <w:szCs w:val="21"/>
              </w:rPr>
            </w:pPr>
            <w:r w:rsidRPr="00092862">
              <w:rPr>
                <w:color w:val="000000" w:themeColor="text1"/>
                <w:sz w:val="22"/>
                <w:szCs w:val="22"/>
              </w:rPr>
              <w:t>0.007</w:t>
            </w:r>
          </w:p>
        </w:tc>
        <w:tc>
          <w:tcPr>
            <w:tcW w:w="609" w:type="pct"/>
            <w:shd w:val="clear" w:color="auto" w:fill="auto"/>
            <w:vAlign w:val="center"/>
          </w:tcPr>
          <w:p w14:paraId="4ACD88D9" w14:textId="33D5DB11" w:rsidR="00ED6B5F" w:rsidRPr="00092862" w:rsidRDefault="00ED6B5F" w:rsidP="00ED6B5F">
            <w:pPr>
              <w:pStyle w:val="afffff7"/>
              <w:rPr>
                <w:color w:val="000000" w:themeColor="text1"/>
                <w:szCs w:val="21"/>
              </w:rPr>
            </w:pPr>
            <w:r w:rsidRPr="00092862">
              <w:rPr>
                <w:color w:val="000000" w:themeColor="text1"/>
                <w:sz w:val="22"/>
                <w:szCs w:val="22"/>
              </w:rPr>
              <w:t>0.006</w:t>
            </w:r>
          </w:p>
        </w:tc>
        <w:tc>
          <w:tcPr>
            <w:tcW w:w="610" w:type="pct"/>
            <w:shd w:val="clear" w:color="auto" w:fill="auto"/>
            <w:vAlign w:val="center"/>
          </w:tcPr>
          <w:p w14:paraId="4A07BFA1" w14:textId="2E41F145" w:rsidR="00ED6B5F" w:rsidRPr="00092862" w:rsidRDefault="00ED6B5F" w:rsidP="00ED6B5F">
            <w:pPr>
              <w:pStyle w:val="afffff7"/>
              <w:rPr>
                <w:color w:val="000000" w:themeColor="text1"/>
                <w:szCs w:val="21"/>
              </w:rPr>
            </w:pPr>
            <w:r w:rsidRPr="00092862">
              <w:rPr>
                <w:color w:val="000000" w:themeColor="text1"/>
                <w:sz w:val="22"/>
                <w:szCs w:val="22"/>
              </w:rPr>
              <w:t>0.006</w:t>
            </w:r>
          </w:p>
        </w:tc>
      </w:tr>
      <w:tr w:rsidR="00697429" w:rsidRPr="00092862" w14:paraId="304F542D" w14:textId="77777777" w:rsidTr="009E0F4F">
        <w:trPr>
          <w:trHeight w:val="89"/>
          <w:jc w:val="center"/>
        </w:trPr>
        <w:tc>
          <w:tcPr>
            <w:tcW w:w="680" w:type="pct"/>
            <w:vMerge/>
            <w:shd w:val="clear" w:color="auto" w:fill="auto"/>
            <w:vAlign w:val="center"/>
          </w:tcPr>
          <w:p w14:paraId="68E99EA3" w14:textId="77777777" w:rsidR="00ED6B5F" w:rsidRPr="00092862" w:rsidRDefault="00ED6B5F" w:rsidP="00ED6B5F">
            <w:pPr>
              <w:pStyle w:val="afffff7"/>
              <w:rPr>
                <w:color w:val="000000" w:themeColor="text1"/>
                <w:szCs w:val="21"/>
              </w:rPr>
            </w:pPr>
          </w:p>
        </w:tc>
        <w:tc>
          <w:tcPr>
            <w:tcW w:w="769" w:type="pct"/>
            <w:shd w:val="clear" w:color="auto" w:fill="auto"/>
            <w:vAlign w:val="center"/>
          </w:tcPr>
          <w:p w14:paraId="6577AFC0" w14:textId="19A08682" w:rsidR="00ED6B5F" w:rsidRPr="00092862" w:rsidRDefault="00ED6B5F" w:rsidP="00ED6B5F">
            <w:pPr>
              <w:pStyle w:val="afffff7"/>
              <w:rPr>
                <w:color w:val="000000" w:themeColor="text1"/>
                <w:szCs w:val="21"/>
              </w:rPr>
            </w:pPr>
            <w:r w:rsidRPr="00092862">
              <w:rPr>
                <w:color w:val="000000" w:themeColor="text1"/>
                <w:szCs w:val="21"/>
              </w:rPr>
              <w:t>11.20</w:t>
            </w:r>
          </w:p>
        </w:tc>
        <w:tc>
          <w:tcPr>
            <w:tcW w:w="675" w:type="pct"/>
            <w:vMerge/>
            <w:shd w:val="clear" w:color="auto" w:fill="auto"/>
            <w:vAlign w:val="center"/>
          </w:tcPr>
          <w:p w14:paraId="3B9E3F1A"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40E7A6EE" w14:textId="32D1B298"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880" w:type="pct"/>
            <w:shd w:val="clear" w:color="auto" w:fill="auto"/>
            <w:vAlign w:val="center"/>
          </w:tcPr>
          <w:p w14:paraId="11FBD42D" w14:textId="31BD327C" w:rsidR="00ED6B5F" w:rsidRPr="00092862" w:rsidRDefault="00ED6B5F" w:rsidP="00ED6B5F">
            <w:pPr>
              <w:pStyle w:val="afffff7"/>
              <w:rPr>
                <w:color w:val="000000" w:themeColor="text1"/>
                <w:szCs w:val="21"/>
              </w:rPr>
            </w:pPr>
            <w:r w:rsidRPr="00092862">
              <w:rPr>
                <w:color w:val="000000" w:themeColor="text1"/>
                <w:sz w:val="22"/>
                <w:szCs w:val="22"/>
              </w:rPr>
              <w:t>0.006</w:t>
            </w:r>
          </w:p>
        </w:tc>
        <w:tc>
          <w:tcPr>
            <w:tcW w:w="609" w:type="pct"/>
            <w:shd w:val="clear" w:color="auto" w:fill="auto"/>
            <w:vAlign w:val="center"/>
          </w:tcPr>
          <w:p w14:paraId="0507826A" w14:textId="42467A8A" w:rsidR="00ED6B5F" w:rsidRPr="00092862" w:rsidRDefault="00ED6B5F" w:rsidP="00ED6B5F">
            <w:pPr>
              <w:pStyle w:val="afffff7"/>
              <w:rPr>
                <w:color w:val="000000" w:themeColor="text1"/>
                <w:szCs w:val="21"/>
              </w:rPr>
            </w:pPr>
            <w:r w:rsidRPr="00092862">
              <w:rPr>
                <w:color w:val="000000" w:themeColor="text1"/>
                <w:sz w:val="22"/>
                <w:szCs w:val="22"/>
              </w:rPr>
              <w:t>0.006</w:t>
            </w:r>
          </w:p>
        </w:tc>
        <w:tc>
          <w:tcPr>
            <w:tcW w:w="610" w:type="pct"/>
            <w:shd w:val="clear" w:color="auto" w:fill="auto"/>
            <w:vAlign w:val="center"/>
          </w:tcPr>
          <w:p w14:paraId="0C22DB9A" w14:textId="24D7E284" w:rsidR="00ED6B5F" w:rsidRPr="00092862" w:rsidRDefault="00ED6B5F" w:rsidP="00ED6B5F">
            <w:pPr>
              <w:pStyle w:val="afffff7"/>
              <w:rPr>
                <w:color w:val="000000" w:themeColor="text1"/>
                <w:szCs w:val="21"/>
              </w:rPr>
            </w:pPr>
            <w:r w:rsidRPr="00092862">
              <w:rPr>
                <w:color w:val="000000" w:themeColor="text1"/>
                <w:sz w:val="22"/>
                <w:szCs w:val="22"/>
              </w:rPr>
              <w:t>0.005</w:t>
            </w:r>
          </w:p>
        </w:tc>
      </w:tr>
      <w:tr w:rsidR="00697429" w:rsidRPr="00092862" w14:paraId="6FFB4CAE" w14:textId="77777777" w:rsidTr="00D37600">
        <w:trPr>
          <w:trHeight w:val="89"/>
          <w:jc w:val="center"/>
        </w:trPr>
        <w:tc>
          <w:tcPr>
            <w:tcW w:w="680" w:type="pct"/>
            <w:vMerge/>
            <w:shd w:val="clear" w:color="auto" w:fill="auto"/>
            <w:vAlign w:val="center"/>
          </w:tcPr>
          <w:p w14:paraId="2716985B" w14:textId="77777777" w:rsidR="00ED6B5F" w:rsidRPr="00092862" w:rsidRDefault="00ED6B5F" w:rsidP="00ED6B5F">
            <w:pPr>
              <w:pStyle w:val="afffff7"/>
              <w:rPr>
                <w:color w:val="000000" w:themeColor="text1"/>
                <w:szCs w:val="21"/>
              </w:rPr>
            </w:pPr>
          </w:p>
        </w:tc>
        <w:tc>
          <w:tcPr>
            <w:tcW w:w="769" w:type="pct"/>
            <w:shd w:val="clear" w:color="auto" w:fill="auto"/>
          </w:tcPr>
          <w:p w14:paraId="28DFB1FA" w14:textId="3E54F08F" w:rsidR="00ED6B5F" w:rsidRPr="00092862" w:rsidRDefault="00ED6B5F" w:rsidP="00ED6B5F">
            <w:pPr>
              <w:pStyle w:val="afffff7"/>
              <w:rPr>
                <w:color w:val="000000" w:themeColor="text1"/>
                <w:szCs w:val="21"/>
              </w:rPr>
            </w:pPr>
            <w:r w:rsidRPr="00092862">
              <w:rPr>
                <w:color w:val="000000" w:themeColor="text1"/>
                <w:szCs w:val="21"/>
              </w:rPr>
              <w:t>11.21</w:t>
            </w:r>
          </w:p>
        </w:tc>
        <w:tc>
          <w:tcPr>
            <w:tcW w:w="675" w:type="pct"/>
            <w:vMerge/>
            <w:shd w:val="clear" w:color="auto" w:fill="auto"/>
            <w:vAlign w:val="center"/>
          </w:tcPr>
          <w:p w14:paraId="28BB9246"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3EE741B9" w14:textId="1B8C1DD9" w:rsidR="00ED6B5F" w:rsidRPr="00092862" w:rsidRDefault="00ED6B5F" w:rsidP="00ED6B5F">
            <w:pPr>
              <w:pStyle w:val="afffff7"/>
              <w:rPr>
                <w:color w:val="000000" w:themeColor="text1"/>
                <w:szCs w:val="21"/>
              </w:rPr>
            </w:pPr>
            <w:r w:rsidRPr="00092862">
              <w:rPr>
                <w:color w:val="000000" w:themeColor="text1"/>
                <w:sz w:val="22"/>
                <w:szCs w:val="22"/>
              </w:rPr>
              <w:t>0.003</w:t>
            </w:r>
          </w:p>
        </w:tc>
        <w:tc>
          <w:tcPr>
            <w:tcW w:w="880" w:type="pct"/>
            <w:shd w:val="clear" w:color="auto" w:fill="auto"/>
            <w:vAlign w:val="center"/>
          </w:tcPr>
          <w:p w14:paraId="48D13C2F" w14:textId="6961CD38" w:rsidR="00ED6B5F" w:rsidRPr="00092862" w:rsidRDefault="00ED6B5F" w:rsidP="00ED6B5F">
            <w:pPr>
              <w:pStyle w:val="afffff7"/>
              <w:rPr>
                <w:color w:val="000000" w:themeColor="text1"/>
                <w:szCs w:val="21"/>
              </w:rPr>
            </w:pPr>
            <w:r w:rsidRPr="00092862">
              <w:rPr>
                <w:color w:val="000000" w:themeColor="text1"/>
                <w:sz w:val="22"/>
                <w:szCs w:val="22"/>
              </w:rPr>
              <w:t>0.007</w:t>
            </w:r>
          </w:p>
        </w:tc>
        <w:tc>
          <w:tcPr>
            <w:tcW w:w="609" w:type="pct"/>
            <w:shd w:val="clear" w:color="auto" w:fill="auto"/>
            <w:vAlign w:val="center"/>
          </w:tcPr>
          <w:p w14:paraId="1DFEB915" w14:textId="680AD0CE"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610" w:type="pct"/>
            <w:shd w:val="clear" w:color="auto" w:fill="auto"/>
            <w:vAlign w:val="center"/>
          </w:tcPr>
          <w:p w14:paraId="500F2495" w14:textId="01F96B85" w:rsidR="00ED6B5F" w:rsidRPr="00092862" w:rsidRDefault="00ED6B5F" w:rsidP="00ED6B5F">
            <w:pPr>
              <w:pStyle w:val="afffff7"/>
              <w:rPr>
                <w:color w:val="000000" w:themeColor="text1"/>
                <w:szCs w:val="21"/>
              </w:rPr>
            </w:pPr>
            <w:r w:rsidRPr="00092862">
              <w:rPr>
                <w:color w:val="000000" w:themeColor="text1"/>
                <w:sz w:val="22"/>
                <w:szCs w:val="22"/>
              </w:rPr>
              <w:t>0.004</w:t>
            </w:r>
          </w:p>
        </w:tc>
      </w:tr>
      <w:tr w:rsidR="00697429" w:rsidRPr="00092862" w14:paraId="36FD8EA9" w14:textId="77777777" w:rsidTr="00D37600">
        <w:trPr>
          <w:trHeight w:val="89"/>
          <w:jc w:val="center"/>
        </w:trPr>
        <w:tc>
          <w:tcPr>
            <w:tcW w:w="680" w:type="pct"/>
            <w:vMerge/>
            <w:shd w:val="clear" w:color="auto" w:fill="auto"/>
            <w:vAlign w:val="center"/>
          </w:tcPr>
          <w:p w14:paraId="6587E12C" w14:textId="77777777" w:rsidR="00ED6B5F" w:rsidRPr="00092862" w:rsidRDefault="00ED6B5F" w:rsidP="00ED6B5F">
            <w:pPr>
              <w:pStyle w:val="afffff7"/>
              <w:rPr>
                <w:color w:val="000000" w:themeColor="text1"/>
                <w:szCs w:val="21"/>
              </w:rPr>
            </w:pPr>
          </w:p>
        </w:tc>
        <w:tc>
          <w:tcPr>
            <w:tcW w:w="769" w:type="pct"/>
            <w:shd w:val="clear" w:color="auto" w:fill="auto"/>
          </w:tcPr>
          <w:p w14:paraId="28D64FB8" w14:textId="5B9D74CA" w:rsidR="00ED6B5F" w:rsidRPr="00092862" w:rsidRDefault="00ED6B5F" w:rsidP="00ED6B5F">
            <w:pPr>
              <w:pStyle w:val="afffff7"/>
              <w:rPr>
                <w:color w:val="000000" w:themeColor="text1"/>
                <w:szCs w:val="21"/>
              </w:rPr>
            </w:pPr>
            <w:r w:rsidRPr="00092862">
              <w:rPr>
                <w:color w:val="000000" w:themeColor="text1"/>
                <w:szCs w:val="21"/>
              </w:rPr>
              <w:t>11.22</w:t>
            </w:r>
          </w:p>
        </w:tc>
        <w:tc>
          <w:tcPr>
            <w:tcW w:w="675" w:type="pct"/>
            <w:vMerge/>
            <w:shd w:val="clear" w:color="auto" w:fill="auto"/>
            <w:vAlign w:val="center"/>
          </w:tcPr>
          <w:p w14:paraId="40BD0D8D"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2FBDAD8B" w14:textId="589E8A62"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880" w:type="pct"/>
            <w:shd w:val="clear" w:color="auto" w:fill="auto"/>
            <w:vAlign w:val="center"/>
          </w:tcPr>
          <w:p w14:paraId="1AB786BD" w14:textId="552FACDE"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609" w:type="pct"/>
            <w:shd w:val="clear" w:color="auto" w:fill="auto"/>
            <w:vAlign w:val="center"/>
          </w:tcPr>
          <w:p w14:paraId="0DB8C0F4" w14:textId="21079445" w:rsidR="00ED6B5F" w:rsidRPr="00092862" w:rsidRDefault="00ED6B5F" w:rsidP="00ED6B5F">
            <w:pPr>
              <w:pStyle w:val="afffff7"/>
              <w:rPr>
                <w:color w:val="000000" w:themeColor="text1"/>
                <w:szCs w:val="21"/>
              </w:rPr>
            </w:pPr>
            <w:r w:rsidRPr="00092862">
              <w:rPr>
                <w:color w:val="000000" w:themeColor="text1"/>
                <w:sz w:val="22"/>
                <w:szCs w:val="22"/>
              </w:rPr>
              <w:t>0.007</w:t>
            </w:r>
          </w:p>
        </w:tc>
        <w:tc>
          <w:tcPr>
            <w:tcW w:w="610" w:type="pct"/>
            <w:shd w:val="clear" w:color="auto" w:fill="auto"/>
            <w:vAlign w:val="center"/>
          </w:tcPr>
          <w:p w14:paraId="03CEFE47" w14:textId="3ACFE9D1" w:rsidR="00ED6B5F" w:rsidRPr="00092862" w:rsidRDefault="00ED6B5F" w:rsidP="00ED6B5F">
            <w:pPr>
              <w:pStyle w:val="afffff7"/>
              <w:rPr>
                <w:color w:val="000000" w:themeColor="text1"/>
                <w:szCs w:val="21"/>
              </w:rPr>
            </w:pPr>
            <w:r w:rsidRPr="00092862">
              <w:rPr>
                <w:color w:val="000000" w:themeColor="text1"/>
                <w:sz w:val="22"/>
                <w:szCs w:val="22"/>
              </w:rPr>
              <w:t>0.004</w:t>
            </w:r>
          </w:p>
        </w:tc>
      </w:tr>
      <w:tr w:rsidR="00697429" w:rsidRPr="00092862" w14:paraId="5729BA9F" w14:textId="77777777" w:rsidTr="00D37600">
        <w:trPr>
          <w:trHeight w:val="89"/>
          <w:jc w:val="center"/>
        </w:trPr>
        <w:tc>
          <w:tcPr>
            <w:tcW w:w="680" w:type="pct"/>
            <w:vMerge/>
            <w:shd w:val="clear" w:color="auto" w:fill="auto"/>
            <w:vAlign w:val="center"/>
          </w:tcPr>
          <w:p w14:paraId="5624E8B0" w14:textId="77777777" w:rsidR="00ED6B5F" w:rsidRPr="00092862" w:rsidRDefault="00ED6B5F" w:rsidP="00ED6B5F">
            <w:pPr>
              <w:pStyle w:val="afffff7"/>
              <w:rPr>
                <w:color w:val="000000" w:themeColor="text1"/>
                <w:szCs w:val="21"/>
              </w:rPr>
            </w:pPr>
          </w:p>
        </w:tc>
        <w:tc>
          <w:tcPr>
            <w:tcW w:w="769" w:type="pct"/>
            <w:shd w:val="clear" w:color="auto" w:fill="auto"/>
          </w:tcPr>
          <w:p w14:paraId="60FF9269" w14:textId="4296573A" w:rsidR="00ED6B5F" w:rsidRPr="00092862" w:rsidRDefault="00ED6B5F" w:rsidP="00ED6B5F">
            <w:pPr>
              <w:pStyle w:val="afffff7"/>
              <w:rPr>
                <w:color w:val="000000" w:themeColor="text1"/>
                <w:szCs w:val="21"/>
              </w:rPr>
            </w:pPr>
            <w:r w:rsidRPr="00092862">
              <w:rPr>
                <w:color w:val="000000" w:themeColor="text1"/>
                <w:szCs w:val="21"/>
              </w:rPr>
              <w:t>11.23</w:t>
            </w:r>
          </w:p>
        </w:tc>
        <w:tc>
          <w:tcPr>
            <w:tcW w:w="675" w:type="pct"/>
            <w:vMerge/>
            <w:shd w:val="clear" w:color="auto" w:fill="auto"/>
            <w:vAlign w:val="center"/>
          </w:tcPr>
          <w:p w14:paraId="47A0A441"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78CA30D8" w14:textId="5549CD18" w:rsidR="00ED6B5F" w:rsidRPr="00092862" w:rsidRDefault="00ED6B5F" w:rsidP="00ED6B5F">
            <w:pPr>
              <w:pStyle w:val="afffff7"/>
              <w:rPr>
                <w:color w:val="000000" w:themeColor="text1"/>
                <w:szCs w:val="21"/>
              </w:rPr>
            </w:pPr>
            <w:r w:rsidRPr="00092862">
              <w:rPr>
                <w:color w:val="000000" w:themeColor="text1"/>
                <w:sz w:val="22"/>
                <w:szCs w:val="22"/>
              </w:rPr>
              <w:t>0.003</w:t>
            </w:r>
          </w:p>
        </w:tc>
        <w:tc>
          <w:tcPr>
            <w:tcW w:w="880" w:type="pct"/>
            <w:shd w:val="clear" w:color="auto" w:fill="auto"/>
            <w:vAlign w:val="center"/>
          </w:tcPr>
          <w:p w14:paraId="7FC0C97F" w14:textId="0B4DE737" w:rsidR="00ED6B5F" w:rsidRPr="00092862" w:rsidRDefault="00ED6B5F" w:rsidP="00ED6B5F">
            <w:pPr>
              <w:pStyle w:val="afffff7"/>
              <w:rPr>
                <w:color w:val="000000" w:themeColor="text1"/>
                <w:szCs w:val="21"/>
              </w:rPr>
            </w:pPr>
            <w:r w:rsidRPr="00092862">
              <w:rPr>
                <w:color w:val="000000" w:themeColor="text1"/>
                <w:sz w:val="22"/>
                <w:szCs w:val="22"/>
              </w:rPr>
              <w:t>0.007</w:t>
            </w:r>
          </w:p>
        </w:tc>
        <w:tc>
          <w:tcPr>
            <w:tcW w:w="609" w:type="pct"/>
            <w:shd w:val="clear" w:color="auto" w:fill="auto"/>
            <w:vAlign w:val="center"/>
          </w:tcPr>
          <w:p w14:paraId="21FF173B" w14:textId="46ABE61F"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610" w:type="pct"/>
            <w:shd w:val="clear" w:color="auto" w:fill="auto"/>
            <w:vAlign w:val="center"/>
          </w:tcPr>
          <w:p w14:paraId="522B0348" w14:textId="4BA8157E" w:rsidR="00ED6B5F" w:rsidRPr="00092862" w:rsidRDefault="00ED6B5F" w:rsidP="00ED6B5F">
            <w:pPr>
              <w:pStyle w:val="afffff7"/>
              <w:rPr>
                <w:color w:val="000000" w:themeColor="text1"/>
                <w:szCs w:val="21"/>
              </w:rPr>
            </w:pPr>
            <w:r w:rsidRPr="00092862">
              <w:rPr>
                <w:color w:val="000000" w:themeColor="text1"/>
                <w:sz w:val="22"/>
                <w:szCs w:val="22"/>
              </w:rPr>
              <w:t>0.003</w:t>
            </w:r>
          </w:p>
        </w:tc>
      </w:tr>
      <w:tr w:rsidR="008B37BB" w:rsidRPr="00092862" w14:paraId="52B4533C" w14:textId="77777777" w:rsidTr="00D37600">
        <w:trPr>
          <w:trHeight w:val="89"/>
          <w:jc w:val="center"/>
        </w:trPr>
        <w:tc>
          <w:tcPr>
            <w:tcW w:w="680" w:type="pct"/>
            <w:vMerge/>
            <w:shd w:val="clear" w:color="auto" w:fill="auto"/>
            <w:vAlign w:val="center"/>
          </w:tcPr>
          <w:p w14:paraId="72DBA3D3" w14:textId="77777777" w:rsidR="00ED6B5F" w:rsidRPr="00092862" w:rsidRDefault="00ED6B5F" w:rsidP="00ED6B5F">
            <w:pPr>
              <w:pStyle w:val="afffff7"/>
              <w:rPr>
                <w:color w:val="000000" w:themeColor="text1"/>
                <w:szCs w:val="21"/>
              </w:rPr>
            </w:pPr>
          </w:p>
        </w:tc>
        <w:tc>
          <w:tcPr>
            <w:tcW w:w="769" w:type="pct"/>
            <w:shd w:val="clear" w:color="auto" w:fill="auto"/>
          </w:tcPr>
          <w:p w14:paraId="6F28C585" w14:textId="1C9D30DA" w:rsidR="00ED6B5F" w:rsidRPr="00092862" w:rsidRDefault="00ED6B5F" w:rsidP="00ED6B5F">
            <w:pPr>
              <w:pStyle w:val="afffff7"/>
              <w:rPr>
                <w:color w:val="000000" w:themeColor="text1"/>
                <w:szCs w:val="21"/>
              </w:rPr>
            </w:pPr>
            <w:r w:rsidRPr="00092862">
              <w:rPr>
                <w:color w:val="000000" w:themeColor="text1"/>
                <w:szCs w:val="21"/>
              </w:rPr>
              <w:t>11.24</w:t>
            </w:r>
          </w:p>
        </w:tc>
        <w:tc>
          <w:tcPr>
            <w:tcW w:w="675" w:type="pct"/>
            <w:vMerge/>
            <w:shd w:val="clear" w:color="auto" w:fill="auto"/>
            <w:vAlign w:val="center"/>
          </w:tcPr>
          <w:p w14:paraId="0A2E6081" w14:textId="77777777" w:rsidR="00ED6B5F" w:rsidRPr="00092862" w:rsidRDefault="00ED6B5F" w:rsidP="00ED6B5F">
            <w:pPr>
              <w:pStyle w:val="afffff7"/>
              <w:rPr>
                <w:color w:val="000000" w:themeColor="text1"/>
                <w:szCs w:val="21"/>
              </w:rPr>
            </w:pPr>
          </w:p>
        </w:tc>
        <w:tc>
          <w:tcPr>
            <w:tcW w:w="777" w:type="pct"/>
            <w:shd w:val="clear" w:color="auto" w:fill="auto"/>
            <w:vAlign w:val="center"/>
          </w:tcPr>
          <w:p w14:paraId="3038D89B" w14:textId="0A4D61A3" w:rsidR="00ED6B5F" w:rsidRPr="00092862" w:rsidRDefault="00ED6B5F" w:rsidP="00ED6B5F">
            <w:pPr>
              <w:pStyle w:val="afffff7"/>
              <w:rPr>
                <w:color w:val="000000" w:themeColor="text1"/>
                <w:szCs w:val="21"/>
              </w:rPr>
            </w:pPr>
            <w:r w:rsidRPr="00092862">
              <w:rPr>
                <w:color w:val="000000" w:themeColor="text1"/>
                <w:sz w:val="22"/>
                <w:szCs w:val="22"/>
              </w:rPr>
              <w:t>0.006</w:t>
            </w:r>
          </w:p>
        </w:tc>
        <w:tc>
          <w:tcPr>
            <w:tcW w:w="880" w:type="pct"/>
            <w:shd w:val="clear" w:color="auto" w:fill="auto"/>
            <w:vAlign w:val="center"/>
          </w:tcPr>
          <w:p w14:paraId="0FDA7E70" w14:textId="55A75C0B" w:rsidR="00ED6B5F" w:rsidRPr="00092862" w:rsidRDefault="00ED6B5F" w:rsidP="00ED6B5F">
            <w:pPr>
              <w:pStyle w:val="afffff7"/>
              <w:rPr>
                <w:color w:val="000000" w:themeColor="text1"/>
                <w:szCs w:val="21"/>
              </w:rPr>
            </w:pPr>
            <w:r w:rsidRPr="00092862">
              <w:rPr>
                <w:color w:val="000000" w:themeColor="text1"/>
                <w:sz w:val="22"/>
                <w:szCs w:val="22"/>
              </w:rPr>
              <w:t>0.008</w:t>
            </w:r>
          </w:p>
        </w:tc>
        <w:tc>
          <w:tcPr>
            <w:tcW w:w="609" w:type="pct"/>
            <w:shd w:val="clear" w:color="auto" w:fill="auto"/>
            <w:vAlign w:val="center"/>
          </w:tcPr>
          <w:p w14:paraId="4C315725" w14:textId="1082E3D2" w:rsidR="00ED6B5F" w:rsidRPr="00092862" w:rsidRDefault="00ED6B5F" w:rsidP="00ED6B5F">
            <w:pPr>
              <w:pStyle w:val="afffff7"/>
              <w:rPr>
                <w:color w:val="000000" w:themeColor="text1"/>
                <w:szCs w:val="21"/>
              </w:rPr>
            </w:pPr>
            <w:r w:rsidRPr="00092862">
              <w:rPr>
                <w:color w:val="000000" w:themeColor="text1"/>
                <w:sz w:val="22"/>
                <w:szCs w:val="22"/>
              </w:rPr>
              <w:t>0.005</w:t>
            </w:r>
          </w:p>
        </w:tc>
        <w:tc>
          <w:tcPr>
            <w:tcW w:w="610" w:type="pct"/>
            <w:shd w:val="clear" w:color="auto" w:fill="auto"/>
            <w:vAlign w:val="center"/>
          </w:tcPr>
          <w:p w14:paraId="1BE8F2B9" w14:textId="086AB041" w:rsidR="00ED6B5F" w:rsidRPr="00092862" w:rsidRDefault="00ED6B5F" w:rsidP="00ED6B5F">
            <w:pPr>
              <w:pStyle w:val="afffff7"/>
              <w:rPr>
                <w:color w:val="000000" w:themeColor="text1"/>
                <w:szCs w:val="21"/>
              </w:rPr>
            </w:pPr>
            <w:r w:rsidRPr="00092862">
              <w:rPr>
                <w:color w:val="000000" w:themeColor="text1"/>
                <w:sz w:val="22"/>
                <w:szCs w:val="22"/>
              </w:rPr>
              <w:t>0.006</w:t>
            </w:r>
          </w:p>
        </w:tc>
      </w:tr>
    </w:tbl>
    <w:p w14:paraId="0929CC2D" w14:textId="77777777" w:rsidR="00D37600" w:rsidRPr="00092862" w:rsidRDefault="00D37600" w:rsidP="00D26362">
      <w:pPr>
        <w:pStyle w:val="ac"/>
        <w:tabs>
          <w:tab w:val="left" w:pos="863"/>
        </w:tabs>
        <w:spacing w:before="0"/>
        <w:ind w:left="0"/>
        <w:jc w:val="center"/>
        <w:rPr>
          <w:rFonts w:ascii="Times New Roman" w:eastAsia="黑体" w:hAnsi="Times New Roman"/>
          <w:color w:val="000000" w:themeColor="text1"/>
          <w:sz w:val="21"/>
          <w:szCs w:val="21"/>
          <w:lang w:eastAsia="zh-CN"/>
        </w:rPr>
      </w:pPr>
    </w:p>
    <w:p w14:paraId="48B911FE" w14:textId="1049795F" w:rsidR="00D37600" w:rsidRPr="00092862" w:rsidRDefault="00D37600" w:rsidP="00D37600">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4.2-2  </w:t>
      </w:r>
      <w:r w:rsidRPr="00092862">
        <w:rPr>
          <w:rFonts w:ascii="Times New Roman" w:eastAsia="黑体" w:hAnsi="Times New Roman"/>
          <w:color w:val="000000" w:themeColor="text1"/>
          <w:sz w:val="21"/>
          <w:szCs w:val="21"/>
          <w:lang w:eastAsia="zh-CN"/>
        </w:rPr>
        <w:t>环境空气质量现状监测结果</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mg/m</w:t>
      </w:r>
      <w:r w:rsidRPr="00092862">
        <w:rPr>
          <w:rFonts w:ascii="Times New Roman" w:eastAsia="黑体" w:hAnsi="Times New Roman"/>
          <w:color w:val="000000" w:themeColor="text1"/>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277"/>
        <w:gridCol w:w="1121"/>
        <w:gridCol w:w="4774"/>
      </w:tblGrid>
      <w:tr w:rsidR="00697429" w:rsidRPr="00092862" w14:paraId="12C14CCD" w14:textId="77777777" w:rsidTr="00D37600">
        <w:trPr>
          <w:trHeight w:val="164"/>
          <w:jc w:val="center"/>
        </w:trPr>
        <w:tc>
          <w:tcPr>
            <w:tcW w:w="680" w:type="pct"/>
            <w:shd w:val="clear" w:color="auto" w:fill="auto"/>
            <w:vAlign w:val="center"/>
          </w:tcPr>
          <w:p w14:paraId="7EF40700" w14:textId="77777777" w:rsidR="00D37600" w:rsidRPr="00092862" w:rsidRDefault="00D37600" w:rsidP="00A84F5F">
            <w:pPr>
              <w:pStyle w:val="afffff7"/>
              <w:rPr>
                <w:b/>
                <w:bCs/>
                <w:color w:val="000000" w:themeColor="text1"/>
                <w:szCs w:val="21"/>
              </w:rPr>
            </w:pPr>
            <w:r w:rsidRPr="00092862">
              <w:rPr>
                <w:b/>
                <w:bCs/>
                <w:color w:val="000000" w:themeColor="text1"/>
                <w:szCs w:val="21"/>
              </w:rPr>
              <w:t>监测点位</w:t>
            </w:r>
          </w:p>
        </w:tc>
        <w:tc>
          <w:tcPr>
            <w:tcW w:w="769" w:type="pct"/>
            <w:shd w:val="clear" w:color="auto" w:fill="auto"/>
            <w:vAlign w:val="center"/>
          </w:tcPr>
          <w:p w14:paraId="72BD8102" w14:textId="77777777" w:rsidR="00D37600" w:rsidRPr="00092862" w:rsidRDefault="00D37600" w:rsidP="00A84F5F">
            <w:pPr>
              <w:pStyle w:val="afffff7"/>
              <w:rPr>
                <w:b/>
                <w:bCs/>
                <w:color w:val="000000" w:themeColor="text1"/>
                <w:szCs w:val="21"/>
              </w:rPr>
            </w:pPr>
            <w:r w:rsidRPr="00092862">
              <w:rPr>
                <w:b/>
                <w:bCs/>
                <w:color w:val="000000" w:themeColor="text1"/>
                <w:szCs w:val="21"/>
              </w:rPr>
              <w:t>监测日期</w:t>
            </w:r>
          </w:p>
        </w:tc>
        <w:tc>
          <w:tcPr>
            <w:tcW w:w="675" w:type="pct"/>
            <w:shd w:val="clear" w:color="auto" w:fill="auto"/>
            <w:vAlign w:val="center"/>
          </w:tcPr>
          <w:p w14:paraId="6B0B2D39" w14:textId="77777777" w:rsidR="00D37600" w:rsidRPr="00092862" w:rsidRDefault="00D37600" w:rsidP="00A84F5F">
            <w:pPr>
              <w:pStyle w:val="afffff7"/>
              <w:rPr>
                <w:b/>
                <w:bCs/>
                <w:color w:val="000000" w:themeColor="text1"/>
                <w:szCs w:val="21"/>
              </w:rPr>
            </w:pPr>
            <w:r w:rsidRPr="00092862">
              <w:rPr>
                <w:b/>
                <w:bCs/>
                <w:color w:val="000000" w:themeColor="text1"/>
                <w:szCs w:val="21"/>
              </w:rPr>
              <w:t>项目</w:t>
            </w:r>
          </w:p>
        </w:tc>
        <w:tc>
          <w:tcPr>
            <w:tcW w:w="2876" w:type="pct"/>
            <w:shd w:val="clear" w:color="auto" w:fill="auto"/>
            <w:vAlign w:val="center"/>
          </w:tcPr>
          <w:p w14:paraId="1C480A56" w14:textId="6A6ABBA9" w:rsidR="00D37600" w:rsidRPr="00092862" w:rsidRDefault="00D37600" w:rsidP="00A84F5F">
            <w:pPr>
              <w:pStyle w:val="afffff7"/>
              <w:rPr>
                <w:b/>
                <w:bCs/>
                <w:color w:val="000000" w:themeColor="text1"/>
                <w:szCs w:val="21"/>
              </w:rPr>
            </w:pPr>
            <w:r w:rsidRPr="00092862">
              <w:rPr>
                <w:b/>
                <w:bCs/>
                <w:color w:val="000000" w:themeColor="text1"/>
                <w:szCs w:val="21"/>
              </w:rPr>
              <w:t>监测结果</w:t>
            </w:r>
          </w:p>
        </w:tc>
      </w:tr>
      <w:tr w:rsidR="00697429" w:rsidRPr="00092862" w14:paraId="71AF3F10" w14:textId="77777777" w:rsidTr="00D37600">
        <w:trPr>
          <w:trHeight w:val="89"/>
          <w:jc w:val="center"/>
        </w:trPr>
        <w:tc>
          <w:tcPr>
            <w:tcW w:w="680" w:type="pct"/>
            <w:vMerge w:val="restart"/>
            <w:shd w:val="clear" w:color="auto" w:fill="auto"/>
            <w:vAlign w:val="center"/>
          </w:tcPr>
          <w:p w14:paraId="05B45A9E" w14:textId="77777777" w:rsidR="00D37600" w:rsidRPr="00092862" w:rsidRDefault="00D37600" w:rsidP="00D37600">
            <w:pPr>
              <w:pStyle w:val="afffff7"/>
              <w:rPr>
                <w:color w:val="000000" w:themeColor="text1"/>
                <w:szCs w:val="21"/>
              </w:rPr>
            </w:pPr>
            <w:r w:rsidRPr="00092862">
              <w:rPr>
                <w:color w:val="000000" w:themeColor="text1"/>
                <w:szCs w:val="21"/>
              </w:rPr>
              <w:t>老君</w:t>
            </w:r>
            <w:r w:rsidRPr="00092862">
              <w:rPr>
                <w:color w:val="000000" w:themeColor="text1"/>
                <w:szCs w:val="21"/>
              </w:rPr>
              <w:t>7011</w:t>
            </w:r>
            <w:r w:rsidRPr="00092862">
              <w:rPr>
                <w:color w:val="000000" w:themeColor="text1"/>
                <w:szCs w:val="21"/>
              </w:rPr>
              <w:t>井平台内</w:t>
            </w:r>
          </w:p>
        </w:tc>
        <w:tc>
          <w:tcPr>
            <w:tcW w:w="769" w:type="pct"/>
            <w:shd w:val="clear" w:color="auto" w:fill="auto"/>
            <w:vAlign w:val="center"/>
          </w:tcPr>
          <w:p w14:paraId="730502D6" w14:textId="77777777" w:rsidR="00D37600" w:rsidRPr="00092862" w:rsidRDefault="00D37600" w:rsidP="00D37600">
            <w:pPr>
              <w:pStyle w:val="afffff7"/>
              <w:rPr>
                <w:color w:val="000000" w:themeColor="text1"/>
                <w:szCs w:val="21"/>
              </w:rPr>
            </w:pPr>
            <w:r w:rsidRPr="00092862">
              <w:rPr>
                <w:color w:val="000000" w:themeColor="text1"/>
                <w:szCs w:val="21"/>
              </w:rPr>
              <w:t>11.18</w:t>
            </w:r>
          </w:p>
        </w:tc>
        <w:tc>
          <w:tcPr>
            <w:tcW w:w="675" w:type="pct"/>
            <w:vMerge w:val="restart"/>
            <w:shd w:val="clear" w:color="auto" w:fill="auto"/>
            <w:vAlign w:val="center"/>
          </w:tcPr>
          <w:p w14:paraId="224AC8BA" w14:textId="77777777" w:rsidR="00D37600" w:rsidRPr="00092862" w:rsidRDefault="00D37600" w:rsidP="00D37600">
            <w:pPr>
              <w:pStyle w:val="afffff7"/>
              <w:rPr>
                <w:color w:val="000000" w:themeColor="text1"/>
                <w:szCs w:val="21"/>
              </w:rPr>
            </w:pPr>
            <w:r w:rsidRPr="00092862">
              <w:rPr>
                <w:color w:val="000000" w:themeColor="text1"/>
                <w:szCs w:val="21"/>
              </w:rPr>
              <w:t>总悬浮颗粒物</w:t>
            </w:r>
          </w:p>
        </w:tc>
        <w:tc>
          <w:tcPr>
            <w:tcW w:w="2876" w:type="pct"/>
            <w:shd w:val="clear" w:color="auto" w:fill="auto"/>
            <w:vAlign w:val="center"/>
          </w:tcPr>
          <w:p w14:paraId="41AF0067" w14:textId="342476BF" w:rsidR="00D37600" w:rsidRPr="00092862" w:rsidRDefault="00D37600" w:rsidP="00D37600">
            <w:pPr>
              <w:pStyle w:val="afffff7"/>
              <w:rPr>
                <w:color w:val="000000" w:themeColor="text1"/>
                <w:szCs w:val="21"/>
              </w:rPr>
            </w:pPr>
            <w:r w:rsidRPr="00092862">
              <w:rPr>
                <w:color w:val="000000" w:themeColor="text1"/>
                <w:szCs w:val="21"/>
              </w:rPr>
              <w:t>0.120</w:t>
            </w:r>
          </w:p>
        </w:tc>
      </w:tr>
      <w:tr w:rsidR="00697429" w:rsidRPr="00092862" w14:paraId="163F35A5" w14:textId="77777777" w:rsidTr="00D37600">
        <w:trPr>
          <w:trHeight w:val="89"/>
          <w:jc w:val="center"/>
        </w:trPr>
        <w:tc>
          <w:tcPr>
            <w:tcW w:w="680" w:type="pct"/>
            <w:vMerge/>
            <w:shd w:val="clear" w:color="auto" w:fill="auto"/>
            <w:vAlign w:val="center"/>
          </w:tcPr>
          <w:p w14:paraId="6B134C3C" w14:textId="77777777" w:rsidR="00D37600" w:rsidRPr="00092862" w:rsidRDefault="00D37600" w:rsidP="00D37600">
            <w:pPr>
              <w:pStyle w:val="afffff7"/>
              <w:rPr>
                <w:color w:val="000000" w:themeColor="text1"/>
                <w:szCs w:val="21"/>
              </w:rPr>
            </w:pPr>
          </w:p>
        </w:tc>
        <w:tc>
          <w:tcPr>
            <w:tcW w:w="769" w:type="pct"/>
            <w:shd w:val="clear" w:color="auto" w:fill="auto"/>
            <w:vAlign w:val="center"/>
          </w:tcPr>
          <w:p w14:paraId="5E608AB6" w14:textId="77777777" w:rsidR="00D37600" w:rsidRPr="00092862" w:rsidRDefault="00D37600" w:rsidP="00D37600">
            <w:pPr>
              <w:pStyle w:val="afffff7"/>
              <w:rPr>
                <w:color w:val="000000" w:themeColor="text1"/>
                <w:szCs w:val="21"/>
              </w:rPr>
            </w:pPr>
            <w:r w:rsidRPr="00092862">
              <w:rPr>
                <w:color w:val="000000" w:themeColor="text1"/>
                <w:szCs w:val="21"/>
              </w:rPr>
              <w:t>11.19</w:t>
            </w:r>
          </w:p>
        </w:tc>
        <w:tc>
          <w:tcPr>
            <w:tcW w:w="675" w:type="pct"/>
            <w:vMerge/>
            <w:shd w:val="clear" w:color="auto" w:fill="auto"/>
            <w:vAlign w:val="center"/>
          </w:tcPr>
          <w:p w14:paraId="38B65E21" w14:textId="77777777" w:rsidR="00D37600" w:rsidRPr="00092862" w:rsidRDefault="00D37600" w:rsidP="00D37600">
            <w:pPr>
              <w:pStyle w:val="afffff7"/>
              <w:rPr>
                <w:color w:val="000000" w:themeColor="text1"/>
                <w:szCs w:val="21"/>
              </w:rPr>
            </w:pPr>
          </w:p>
        </w:tc>
        <w:tc>
          <w:tcPr>
            <w:tcW w:w="2876" w:type="pct"/>
            <w:shd w:val="clear" w:color="auto" w:fill="auto"/>
            <w:vAlign w:val="center"/>
          </w:tcPr>
          <w:p w14:paraId="2F060D76" w14:textId="75EC581F" w:rsidR="00D37600" w:rsidRPr="00092862" w:rsidRDefault="00D37600" w:rsidP="00D37600">
            <w:pPr>
              <w:pStyle w:val="afffff7"/>
              <w:rPr>
                <w:color w:val="000000" w:themeColor="text1"/>
                <w:szCs w:val="21"/>
              </w:rPr>
            </w:pPr>
            <w:r w:rsidRPr="00092862">
              <w:rPr>
                <w:color w:val="000000" w:themeColor="text1"/>
                <w:szCs w:val="21"/>
              </w:rPr>
              <w:t>0.129</w:t>
            </w:r>
          </w:p>
        </w:tc>
      </w:tr>
      <w:tr w:rsidR="00697429" w:rsidRPr="00092862" w14:paraId="3BC449CE" w14:textId="77777777" w:rsidTr="00D37600">
        <w:trPr>
          <w:trHeight w:val="89"/>
          <w:jc w:val="center"/>
        </w:trPr>
        <w:tc>
          <w:tcPr>
            <w:tcW w:w="680" w:type="pct"/>
            <w:vMerge/>
            <w:shd w:val="clear" w:color="auto" w:fill="auto"/>
            <w:vAlign w:val="center"/>
          </w:tcPr>
          <w:p w14:paraId="11F9C340" w14:textId="77777777" w:rsidR="00D37600" w:rsidRPr="00092862" w:rsidRDefault="00D37600" w:rsidP="00D37600">
            <w:pPr>
              <w:pStyle w:val="afffff7"/>
              <w:rPr>
                <w:color w:val="000000" w:themeColor="text1"/>
                <w:szCs w:val="21"/>
              </w:rPr>
            </w:pPr>
          </w:p>
        </w:tc>
        <w:tc>
          <w:tcPr>
            <w:tcW w:w="769" w:type="pct"/>
            <w:shd w:val="clear" w:color="auto" w:fill="auto"/>
            <w:vAlign w:val="center"/>
          </w:tcPr>
          <w:p w14:paraId="35C42C97" w14:textId="77777777" w:rsidR="00D37600" w:rsidRPr="00092862" w:rsidRDefault="00D37600" w:rsidP="00D37600">
            <w:pPr>
              <w:pStyle w:val="afffff7"/>
              <w:rPr>
                <w:color w:val="000000" w:themeColor="text1"/>
                <w:szCs w:val="21"/>
              </w:rPr>
            </w:pPr>
            <w:r w:rsidRPr="00092862">
              <w:rPr>
                <w:color w:val="000000" w:themeColor="text1"/>
                <w:szCs w:val="21"/>
              </w:rPr>
              <w:t>11.20</w:t>
            </w:r>
          </w:p>
        </w:tc>
        <w:tc>
          <w:tcPr>
            <w:tcW w:w="675" w:type="pct"/>
            <w:vMerge/>
            <w:shd w:val="clear" w:color="auto" w:fill="auto"/>
            <w:vAlign w:val="center"/>
          </w:tcPr>
          <w:p w14:paraId="41EF7B7D" w14:textId="77777777" w:rsidR="00D37600" w:rsidRPr="00092862" w:rsidRDefault="00D37600" w:rsidP="00D37600">
            <w:pPr>
              <w:pStyle w:val="afffff7"/>
              <w:rPr>
                <w:color w:val="000000" w:themeColor="text1"/>
                <w:szCs w:val="21"/>
              </w:rPr>
            </w:pPr>
          </w:p>
        </w:tc>
        <w:tc>
          <w:tcPr>
            <w:tcW w:w="2876" w:type="pct"/>
            <w:shd w:val="clear" w:color="auto" w:fill="auto"/>
            <w:vAlign w:val="center"/>
          </w:tcPr>
          <w:p w14:paraId="550BABA2" w14:textId="06FD9C32" w:rsidR="00D37600" w:rsidRPr="00092862" w:rsidRDefault="00D37600" w:rsidP="00D37600">
            <w:pPr>
              <w:pStyle w:val="afffff7"/>
              <w:rPr>
                <w:color w:val="000000" w:themeColor="text1"/>
                <w:szCs w:val="21"/>
              </w:rPr>
            </w:pPr>
            <w:r w:rsidRPr="00092862">
              <w:rPr>
                <w:color w:val="000000" w:themeColor="text1"/>
                <w:szCs w:val="21"/>
              </w:rPr>
              <w:t>0.124</w:t>
            </w:r>
          </w:p>
        </w:tc>
      </w:tr>
      <w:tr w:rsidR="00697429" w:rsidRPr="00092862" w14:paraId="06BA5974" w14:textId="77777777" w:rsidTr="00D37600">
        <w:trPr>
          <w:trHeight w:val="89"/>
          <w:jc w:val="center"/>
        </w:trPr>
        <w:tc>
          <w:tcPr>
            <w:tcW w:w="680" w:type="pct"/>
            <w:vMerge/>
            <w:shd w:val="clear" w:color="auto" w:fill="auto"/>
            <w:vAlign w:val="center"/>
          </w:tcPr>
          <w:p w14:paraId="74504983" w14:textId="77777777" w:rsidR="00D37600" w:rsidRPr="00092862" w:rsidRDefault="00D37600" w:rsidP="00D37600">
            <w:pPr>
              <w:pStyle w:val="afffff7"/>
              <w:rPr>
                <w:color w:val="000000" w:themeColor="text1"/>
                <w:szCs w:val="21"/>
              </w:rPr>
            </w:pPr>
          </w:p>
        </w:tc>
        <w:tc>
          <w:tcPr>
            <w:tcW w:w="769" w:type="pct"/>
            <w:shd w:val="clear" w:color="auto" w:fill="auto"/>
          </w:tcPr>
          <w:p w14:paraId="47211316" w14:textId="77777777" w:rsidR="00D37600" w:rsidRPr="00092862" w:rsidRDefault="00D37600" w:rsidP="00D37600">
            <w:pPr>
              <w:pStyle w:val="afffff7"/>
              <w:rPr>
                <w:color w:val="000000" w:themeColor="text1"/>
                <w:szCs w:val="21"/>
              </w:rPr>
            </w:pPr>
            <w:r w:rsidRPr="00092862">
              <w:rPr>
                <w:color w:val="000000" w:themeColor="text1"/>
                <w:szCs w:val="21"/>
              </w:rPr>
              <w:t>11.21</w:t>
            </w:r>
          </w:p>
        </w:tc>
        <w:tc>
          <w:tcPr>
            <w:tcW w:w="675" w:type="pct"/>
            <w:vMerge/>
            <w:shd w:val="clear" w:color="auto" w:fill="auto"/>
            <w:vAlign w:val="center"/>
          </w:tcPr>
          <w:p w14:paraId="5AE60D6E" w14:textId="77777777" w:rsidR="00D37600" w:rsidRPr="00092862" w:rsidRDefault="00D37600" w:rsidP="00D37600">
            <w:pPr>
              <w:pStyle w:val="afffff7"/>
              <w:rPr>
                <w:color w:val="000000" w:themeColor="text1"/>
                <w:szCs w:val="21"/>
              </w:rPr>
            </w:pPr>
          </w:p>
        </w:tc>
        <w:tc>
          <w:tcPr>
            <w:tcW w:w="2876" w:type="pct"/>
            <w:shd w:val="clear" w:color="auto" w:fill="auto"/>
            <w:vAlign w:val="center"/>
          </w:tcPr>
          <w:p w14:paraId="1775368C" w14:textId="4A5DD240" w:rsidR="00D37600" w:rsidRPr="00092862" w:rsidRDefault="00D37600" w:rsidP="00D37600">
            <w:pPr>
              <w:pStyle w:val="afffff7"/>
              <w:rPr>
                <w:color w:val="000000" w:themeColor="text1"/>
                <w:szCs w:val="21"/>
              </w:rPr>
            </w:pPr>
            <w:r w:rsidRPr="00092862">
              <w:rPr>
                <w:color w:val="000000" w:themeColor="text1"/>
                <w:szCs w:val="21"/>
              </w:rPr>
              <w:t>0.133</w:t>
            </w:r>
          </w:p>
        </w:tc>
      </w:tr>
      <w:tr w:rsidR="00697429" w:rsidRPr="00092862" w14:paraId="12B77B60" w14:textId="77777777" w:rsidTr="00D37600">
        <w:trPr>
          <w:trHeight w:val="89"/>
          <w:jc w:val="center"/>
        </w:trPr>
        <w:tc>
          <w:tcPr>
            <w:tcW w:w="680" w:type="pct"/>
            <w:vMerge/>
            <w:shd w:val="clear" w:color="auto" w:fill="auto"/>
            <w:vAlign w:val="center"/>
          </w:tcPr>
          <w:p w14:paraId="360665C9" w14:textId="77777777" w:rsidR="00D37600" w:rsidRPr="00092862" w:rsidRDefault="00D37600" w:rsidP="00D37600">
            <w:pPr>
              <w:pStyle w:val="afffff7"/>
              <w:rPr>
                <w:color w:val="000000" w:themeColor="text1"/>
                <w:szCs w:val="21"/>
              </w:rPr>
            </w:pPr>
          </w:p>
        </w:tc>
        <w:tc>
          <w:tcPr>
            <w:tcW w:w="769" w:type="pct"/>
            <w:shd w:val="clear" w:color="auto" w:fill="auto"/>
          </w:tcPr>
          <w:p w14:paraId="2E7B996A" w14:textId="77777777" w:rsidR="00D37600" w:rsidRPr="00092862" w:rsidRDefault="00D37600" w:rsidP="00D37600">
            <w:pPr>
              <w:pStyle w:val="afffff7"/>
              <w:rPr>
                <w:color w:val="000000" w:themeColor="text1"/>
                <w:szCs w:val="21"/>
              </w:rPr>
            </w:pPr>
            <w:r w:rsidRPr="00092862">
              <w:rPr>
                <w:color w:val="000000" w:themeColor="text1"/>
                <w:szCs w:val="21"/>
              </w:rPr>
              <w:t>11.22</w:t>
            </w:r>
          </w:p>
        </w:tc>
        <w:tc>
          <w:tcPr>
            <w:tcW w:w="675" w:type="pct"/>
            <w:vMerge/>
            <w:shd w:val="clear" w:color="auto" w:fill="auto"/>
            <w:vAlign w:val="center"/>
          </w:tcPr>
          <w:p w14:paraId="56B93AF1" w14:textId="77777777" w:rsidR="00D37600" w:rsidRPr="00092862" w:rsidRDefault="00D37600" w:rsidP="00D37600">
            <w:pPr>
              <w:pStyle w:val="afffff7"/>
              <w:rPr>
                <w:color w:val="000000" w:themeColor="text1"/>
                <w:szCs w:val="21"/>
              </w:rPr>
            </w:pPr>
          </w:p>
        </w:tc>
        <w:tc>
          <w:tcPr>
            <w:tcW w:w="2876" w:type="pct"/>
            <w:shd w:val="clear" w:color="auto" w:fill="auto"/>
            <w:vAlign w:val="center"/>
          </w:tcPr>
          <w:p w14:paraId="6F1EFC07" w14:textId="0C57C1E9" w:rsidR="00D37600" w:rsidRPr="00092862" w:rsidRDefault="00D37600" w:rsidP="00D37600">
            <w:pPr>
              <w:pStyle w:val="afffff7"/>
              <w:rPr>
                <w:color w:val="000000" w:themeColor="text1"/>
                <w:szCs w:val="21"/>
              </w:rPr>
            </w:pPr>
            <w:r w:rsidRPr="00092862">
              <w:rPr>
                <w:color w:val="000000" w:themeColor="text1"/>
                <w:szCs w:val="21"/>
              </w:rPr>
              <w:t>0.122</w:t>
            </w:r>
          </w:p>
        </w:tc>
      </w:tr>
      <w:tr w:rsidR="00697429" w:rsidRPr="00092862" w14:paraId="580C0A67" w14:textId="77777777" w:rsidTr="00D37600">
        <w:trPr>
          <w:trHeight w:val="89"/>
          <w:jc w:val="center"/>
        </w:trPr>
        <w:tc>
          <w:tcPr>
            <w:tcW w:w="680" w:type="pct"/>
            <w:vMerge/>
            <w:shd w:val="clear" w:color="auto" w:fill="auto"/>
            <w:vAlign w:val="center"/>
          </w:tcPr>
          <w:p w14:paraId="2404DBD5" w14:textId="77777777" w:rsidR="00D37600" w:rsidRPr="00092862" w:rsidRDefault="00D37600" w:rsidP="00D37600">
            <w:pPr>
              <w:pStyle w:val="afffff7"/>
              <w:rPr>
                <w:color w:val="000000" w:themeColor="text1"/>
                <w:szCs w:val="21"/>
              </w:rPr>
            </w:pPr>
          </w:p>
        </w:tc>
        <w:tc>
          <w:tcPr>
            <w:tcW w:w="769" w:type="pct"/>
            <w:shd w:val="clear" w:color="auto" w:fill="auto"/>
          </w:tcPr>
          <w:p w14:paraId="69723891" w14:textId="77777777" w:rsidR="00D37600" w:rsidRPr="00092862" w:rsidRDefault="00D37600" w:rsidP="00D37600">
            <w:pPr>
              <w:pStyle w:val="afffff7"/>
              <w:rPr>
                <w:color w:val="000000" w:themeColor="text1"/>
                <w:szCs w:val="21"/>
              </w:rPr>
            </w:pPr>
            <w:r w:rsidRPr="00092862">
              <w:rPr>
                <w:color w:val="000000" w:themeColor="text1"/>
                <w:szCs w:val="21"/>
              </w:rPr>
              <w:t>11.23</w:t>
            </w:r>
          </w:p>
        </w:tc>
        <w:tc>
          <w:tcPr>
            <w:tcW w:w="675" w:type="pct"/>
            <w:vMerge/>
            <w:shd w:val="clear" w:color="auto" w:fill="auto"/>
            <w:vAlign w:val="center"/>
          </w:tcPr>
          <w:p w14:paraId="5DF109BC" w14:textId="77777777" w:rsidR="00D37600" w:rsidRPr="00092862" w:rsidRDefault="00D37600" w:rsidP="00D37600">
            <w:pPr>
              <w:pStyle w:val="afffff7"/>
              <w:rPr>
                <w:color w:val="000000" w:themeColor="text1"/>
                <w:szCs w:val="21"/>
              </w:rPr>
            </w:pPr>
          </w:p>
        </w:tc>
        <w:tc>
          <w:tcPr>
            <w:tcW w:w="2876" w:type="pct"/>
            <w:shd w:val="clear" w:color="auto" w:fill="auto"/>
            <w:vAlign w:val="center"/>
          </w:tcPr>
          <w:p w14:paraId="0CB6B35F" w14:textId="1DB6C743" w:rsidR="00D37600" w:rsidRPr="00092862" w:rsidRDefault="00D37600" w:rsidP="00D37600">
            <w:pPr>
              <w:pStyle w:val="afffff7"/>
              <w:rPr>
                <w:color w:val="000000" w:themeColor="text1"/>
                <w:szCs w:val="21"/>
              </w:rPr>
            </w:pPr>
            <w:r w:rsidRPr="00092862">
              <w:rPr>
                <w:color w:val="000000" w:themeColor="text1"/>
                <w:szCs w:val="21"/>
              </w:rPr>
              <w:t>0.117</w:t>
            </w:r>
          </w:p>
        </w:tc>
      </w:tr>
      <w:tr w:rsidR="008B37BB" w:rsidRPr="00092862" w14:paraId="5223CDF9" w14:textId="77777777" w:rsidTr="00D37600">
        <w:trPr>
          <w:trHeight w:val="89"/>
          <w:jc w:val="center"/>
        </w:trPr>
        <w:tc>
          <w:tcPr>
            <w:tcW w:w="680" w:type="pct"/>
            <w:vMerge/>
            <w:shd w:val="clear" w:color="auto" w:fill="auto"/>
            <w:vAlign w:val="center"/>
          </w:tcPr>
          <w:p w14:paraId="60F7F412" w14:textId="77777777" w:rsidR="00D37600" w:rsidRPr="00092862" w:rsidRDefault="00D37600" w:rsidP="00D37600">
            <w:pPr>
              <w:pStyle w:val="afffff7"/>
              <w:rPr>
                <w:color w:val="000000" w:themeColor="text1"/>
                <w:szCs w:val="21"/>
              </w:rPr>
            </w:pPr>
          </w:p>
        </w:tc>
        <w:tc>
          <w:tcPr>
            <w:tcW w:w="769" w:type="pct"/>
            <w:shd w:val="clear" w:color="auto" w:fill="auto"/>
          </w:tcPr>
          <w:p w14:paraId="235B316E" w14:textId="77777777" w:rsidR="00D37600" w:rsidRPr="00092862" w:rsidRDefault="00D37600" w:rsidP="00D37600">
            <w:pPr>
              <w:pStyle w:val="afffff7"/>
              <w:rPr>
                <w:color w:val="000000" w:themeColor="text1"/>
                <w:szCs w:val="21"/>
              </w:rPr>
            </w:pPr>
            <w:r w:rsidRPr="00092862">
              <w:rPr>
                <w:color w:val="000000" w:themeColor="text1"/>
                <w:szCs w:val="21"/>
              </w:rPr>
              <w:t>11.24</w:t>
            </w:r>
          </w:p>
        </w:tc>
        <w:tc>
          <w:tcPr>
            <w:tcW w:w="675" w:type="pct"/>
            <w:vMerge/>
            <w:shd w:val="clear" w:color="auto" w:fill="auto"/>
            <w:vAlign w:val="center"/>
          </w:tcPr>
          <w:p w14:paraId="7C840919" w14:textId="77777777" w:rsidR="00D37600" w:rsidRPr="00092862" w:rsidRDefault="00D37600" w:rsidP="00D37600">
            <w:pPr>
              <w:pStyle w:val="afffff7"/>
              <w:rPr>
                <w:color w:val="000000" w:themeColor="text1"/>
                <w:szCs w:val="21"/>
              </w:rPr>
            </w:pPr>
          </w:p>
        </w:tc>
        <w:tc>
          <w:tcPr>
            <w:tcW w:w="2876" w:type="pct"/>
            <w:shd w:val="clear" w:color="auto" w:fill="auto"/>
            <w:vAlign w:val="center"/>
          </w:tcPr>
          <w:p w14:paraId="771DED41" w14:textId="080710FD" w:rsidR="00D37600" w:rsidRPr="00092862" w:rsidRDefault="00D37600" w:rsidP="00D37600">
            <w:pPr>
              <w:pStyle w:val="afffff7"/>
              <w:rPr>
                <w:color w:val="000000" w:themeColor="text1"/>
                <w:szCs w:val="21"/>
              </w:rPr>
            </w:pPr>
            <w:r w:rsidRPr="00092862">
              <w:rPr>
                <w:color w:val="000000" w:themeColor="text1"/>
                <w:szCs w:val="21"/>
              </w:rPr>
              <w:t>0.126</w:t>
            </w:r>
          </w:p>
        </w:tc>
      </w:tr>
    </w:tbl>
    <w:p w14:paraId="1697BC02" w14:textId="77777777" w:rsidR="00D37600" w:rsidRPr="00092862" w:rsidRDefault="00D37600" w:rsidP="00D26362">
      <w:pPr>
        <w:pStyle w:val="ac"/>
        <w:tabs>
          <w:tab w:val="left" w:pos="863"/>
        </w:tabs>
        <w:spacing w:before="0"/>
        <w:ind w:left="0"/>
        <w:jc w:val="center"/>
        <w:rPr>
          <w:rFonts w:ascii="Times New Roman" w:eastAsia="黑体" w:hAnsi="Times New Roman"/>
          <w:color w:val="000000" w:themeColor="text1"/>
          <w:sz w:val="21"/>
          <w:szCs w:val="21"/>
          <w:lang w:eastAsia="zh-CN"/>
        </w:rPr>
      </w:pPr>
    </w:p>
    <w:p w14:paraId="1E68D224" w14:textId="238A958B" w:rsidR="0012594E" w:rsidRPr="00092862" w:rsidRDefault="0012594E"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D26362" w:rsidRPr="00092862">
        <w:rPr>
          <w:rFonts w:ascii="Times New Roman" w:eastAsia="黑体" w:hAnsi="Times New Roman"/>
          <w:color w:val="000000" w:themeColor="text1"/>
          <w:sz w:val="21"/>
          <w:szCs w:val="21"/>
          <w:lang w:eastAsia="zh-CN"/>
        </w:rPr>
        <w:t>4.2</w:t>
      </w:r>
      <w:r w:rsidRPr="00092862">
        <w:rPr>
          <w:rFonts w:ascii="Times New Roman" w:eastAsia="黑体" w:hAnsi="Times New Roman"/>
          <w:color w:val="000000" w:themeColor="text1"/>
          <w:sz w:val="21"/>
          <w:szCs w:val="21"/>
          <w:lang w:eastAsia="zh-CN"/>
        </w:rPr>
        <w:t xml:space="preserve">-3  </w:t>
      </w:r>
      <w:r w:rsidRPr="00092862">
        <w:rPr>
          <w:rFonts w:ascii="Times New Roman" w:eastAsia="黑体" w:hAnsi="Times New Roman"/>
          <w:color w:val="000000" w:themeColor="text1"/>
          <w:sz w:val="21"/>
          <w:szCs w:val="21"/>
          <w:lang w:eastAsia="zh-CN"/>
        </w:rPr>
        <w:t>环境空气质量现状及评价</w:t>
      </w:r>
    </w:p>
    <w:tbl>
      <w:tblPr>
        <w:tblW w:w="51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1732"/>
        <w:gridCol w:w="1560"/>
        <w:gridCol w:w="712"/>
        <w:gridCol w:w="1380"/>
        <w:gridCol w:w="998"/>
        <w:gridCol w:w="449"/>
        <w:gridCol w:w="728"/>
      </w:tblGrid>
      <w:tr w:rsidR="00697429" w:rsidRPr="00092862" w14:paraId="0FA59A4F" w14:textId="77777777" w:rsidTr="00ED6B5F">
        <w:trPr>
          <w:trHeight w:val="192"/>
          <w:jc w:val="center"/>
        </w:trPr>
        <w:tc>
          <w:tcPr>
            <w:tcW w:w="553" w:type="pct"/>
            <w:vAlign w:val="center"/>
          </w:tcPr>
          <w:p w14:paraId="36527ECE" w14:textId="77777777" w:rsidR="0012594E" w:rsidRPr="00092862" w:rsidRDefault="0012594E" w:rsidP="000D2044">
            <w:pPr>
              <w:pStyle w:val="afffff7"/>
              <w:rPr>
                <w:b/>
                <w:bCs/>
                <w:color w:val="000000" w:themeColor="text1"/>
                <w:szCs w:val="21"/>
              </w:rPr>
            </w:pPr>
            <w:r w:rsidRPr="00092862">
              <w:rPr>
                <w:b/>
                <w:bCs/>
                <w:color w:val="000000" w:themeColor="text1"/>
                <w:szCs w:val="21"/>
              </w:rPr>
              <w:t>监测点位</w:t>
            </w:r>
          </w:p>
        </w:tc>
        <w:tc>
          <w:tcPr>
            <w:tcW w:w="1019" w:type="pct"/>
            <w:vAlign w:val="center"/>
          </w:tcPr>
          <w:p w14:paraId="15D76281" w14:textId="77777777" w:rsidR="0012594E" w:rsidRPr="00092862" w:rsidRDefault="0012594E" w:rsidP="000D2044">
            <w:pPr>
              <w:pStyle w:val="afffff7"/>
              <w:rPr>
                <w:b/>
                <w:bCs/>
                <w:color w:val="000000" w:themeColor="text1"/>
                <w:szCs w:val="21"/>
              </w:rPr>
            </w:pPr>
            <w:r w:rsidRPr="00092862">
              <w:rPr>
                <w:b/>
                <w:bCs/>
                <w:color w:val="000000" w:themeColor="text1"/>
                <w:szCs w:val="21"/>
              </w:rPr>
              <w:t>采样时间</w:t>
            </w:r>
          </w:p>
        </w:tc>
        <w:tc>
          <w:tcPr>
            <w:tcW w:w="918" w:type="pct"/>
            <w:vAlign w:val="center"/>
          </w:tcPr>
          <w:p w14:paraId="02EAB526" w14:textId="77777777" w:rsidR="0012594E" w:rsidRPr="00092862" w:rsidRDefault="0012594E" w:rsidP="000D2044">
            <w:pPr>
              <w:pStyle w:val="afffff7"/>
              <w:rPr>
                <w:b/>
                <w:bCs/>
                <w:color w:val="000000" w:themeColor="text1"/>
                <w:szCs w:val="21"/>
              </w:rPr>
            </w:pPr>
            <w:r w:rsidRPr="00092862">
              <w:rPr>
                <w:b/>
                <w:bCs/>
                <w:color w:val="000000" w:themeColor="text1"/>
                <w:szCs w:val="21"/>
              </w:rPr>
              <w:t>监测项目</w:t>
            </w:r>
          </w:p>
        </w:tc>
        <w:tc>
          <w:tcPr>
            <w:tcW w:w="419" w:type="pct"/>
            <w:vAlign w:val="center"/>
          </w:tcPr>
          <w:p w14:paraId="013434D2" w14:textId="77777777" w:rsidR="0012594E" w:rsidRPr="00092862" w:rsidRDefault="0012594E" w:rsidP="000D2044">
            <w:pPr>
              <w:pStyle w:val="afffff7"/>
              <w:rPr>
                <w:b/>
                <w:bCs/>
                <w:color w:val="000000" w:themeColor="text1"/>
                <w:szCs w:val="21"/>
              </w:rPr>
            </w:pPr>
            <w:r w:rsidRPr="00092862">
              <w:rPr>
                <w:b/>
                <w:bCs/>
                <w:color w:val="000000" w:themeColor="text1"/>
                <w:szCs w:val="21"/>
              </w:rPr>
              <w:t>采样个数</w:t>
            </w:r>
          </w:p>
        </w:tc>
        <w:tc>
          <w:tcPr>
            <w:tcW w:w="812" w:type="pct"/>
            <w:vAlign w:val="center"/>
          </w:tcPr>
          <w:p w14:paraId="4ADB10BE" w14:textId="77777777" w:rsidR="0012594E" w:rsidRPr="00092862" w:rsidRDefault="0012594E" w:rsidP="000D2044">
            <w:pPr>
              <w:pStyle w:val="afffff7"/>
              <w:rPr>
                <w:b/>
                <w:bCs/>
                <w:color w:val="000000" w:themeColor="text1"/>
                <w:szCs w:val="21"/>
              </w:rPr>
            </w:pPr>
            <w:r w:rsidRPr="00092862">
              <w:rPr>
                <w:b/>
                <w:bCs/>
                <w:color w:val="000000" w:themeColor="text1"/>
                <w:szCs w:val="21"/>
              </w:rPr>
              <w:t>浓度范围</w:t>
            </w:r>
          </w:p>
          <w:p w14:paraId="511E1931" w14:textId="77777777" w:rsidR="0012594E" w:rsidRPr="00092862" w:rsidRDefault="0012594E" w:rsidP="000D2044">
            <w:pPr>
              <w:pStyle w:val="afffff7"/>
              <w:rPr>
                <w:b/>
                <w:bCs/>
                <w:color w:val="000000" w:themeColor="text1"/>
                <w:szCs w:val="21"/>
              </w:rPr>
            </w:pPr>
            <w:r w:rsidRPr="00092862">
              <w:rPr>
                <w:b/>
                <w:bCs/>
                <w:color w:val="000000" w:themeColor="text1"/>
                <w:szCs w:val="21"/>
              </w:rPr>
              <w:t>m</w:t>
            </w:r>
            <w:r w:rsidRPr="00092862">
              <w:rPr>
                <w:b/>
                <w:bCs/>
                <w:color w:val="000000" w:themeColor="text1"/>
                <w:szCs w:val="21"/>
                <w:lang w:val="zh-CN"/>
              </w:rPr>
              <w:t>g</w:t>
            </w:r>
            <w:r w:rsidRPr="00092862">
              <w:rPr>
                <w:b/>
                <w:bCs/>
                <w:color w:val="000000" w:themeColor="text1"/>
                <w:szCs w:val="21"/>
              </w:rPr>
              <w:t>/m</w:t>
            </w:r>
            <w:r w:rsidRPr="00092862">
              <w:rPr>
                <w:b/>
                <w:bCs/>
                <w:color w:val="000000" w:themeColor="text1"/>
                <w:szCs w:val="21"/>
                <w:vertAlign w:val="superscript"/>
              </w:rPr>
              <w:t>3</w:t>
            </w:r>
          </w:p>
        </w:tc>
        <w:tc>
          <w:tcPr>
            <w:tcW w:w="587" w:type="pct"/>
            <w:vAlign w:val="center"/>
          </w:tcPr>
          <w:p w14:paraId="0AB9412C" w14:textId="77777777" w:rsidR="0012594E" w:rsidRPr="00092862" w:rsidRDefault="0012594E" w:rsidP="000D2044">
            <w:pPr>
              <w:pStyle w:val="afffff7"/>
              <w:rPr>
                <w:b/>
                <w:bCs/>
                <w:color w:val="000000" w:themeColor="text1"/>
                <w:szCs w:val="21"/>
              </w:rPr>
            </w:pPr>
            <w:r w:rsidRPr="00092862">
              <w:rPr>
                <w:b/>
                <w:bCs/>
                <w:color w:val="000000" w:themeColor="text1"/>
                <w:szCs w:val="21"/>
              </w:rPr>
              <w:t>最大浓度占标率</w:t>
            </w:r>
            <w:r w:rsidRPr="00092862">
              <w:rPr>
                <w:b/>
                <w:bCs/>
                <w:color w:val="000000" w:themeColor="text1"/>
                <w:szCs w:val="21"/>
              </w:rPr>
              <w:t>P</w:t>
            </w:r>
            <w:r w:rsidRPr="00092862">
              <w:rPr>
                <w:b/>
                <w:bCs/>
                <w:color w:val="000000" w:themeColor="text1"/>
                <w:szCs w:val="21"/>
                <w:vertAlign w:val="subscript"/>
              </w:rPr>
              <w:t>i</w:t>
            </w:r>
          </w:p>
        </w:tc>
        <w:tc>
          <w:tcPr>
            <w:tcW w:w="264" w:type="pct"/>
            <w:vAlign w:val="center"/>
          </w:tcPr>
          <w:p w14:paraId="0005FCB2" w14:textId="77777777" w:rsidR="0012594E" w:rsidRPr="00092862" w:rsidRDefault="0012594E" w:rsidP="000D2044">
            <w:pPr>
              <w:pStyle w:val="afffff7"/>
              <w:rPr>
                <w:b/>
                <w:bCs/>
                <w:color w:val="000000" w:themeColor="text1"/>
                <w:szCs w:val="21"/>
              </w:rPr>
            </w:pPr>
            <w:r w:rsidRPr="00092862">
              <w:rPr>
                <w:b/>
                <w:bCs/>
                <w:color w:val="000000" w:themeColor="text1"/>
                <w:szCs w:val="21"/>
              </w:rPr>
              <w:t>超标率</w:t>
            </w:r>
          </w:p>
        </w:tc>
        <w:tc>
          <w:tcPr>
            <w:tcW w:w="429" w:type="pct"/>
            <w:vAlign w:val="center"/>
          </w:tcPr>
          <w:p w14:paraId="00BBE5A0" w14:textId="77777777" w:rsidR="0012594E" w:rsidRPr="00092862" w:rsidRDefault="0012594E" w:rsidP="000D2044">
            <w:pPr>
              <w:pStyle w:val="afffff7"/>
              <w:rPr>
                <w:b/>
                <w:bCs/>
                <w:color w:val="000000" w:themeColor="text1"/>
                <w:szCs w:val="21"/>
              </w:rPr>
            </w:pPr>
            <w:r w:rsidRPr="00092862">
              <w:rPr>
                <w:b/>
                <w:bCs/>
                <w:color w:val="000000" w:themeColor="text1"/>
                <w:szCs w:val="21"/>
              </w:rPr>
              <w:t>达标</w:t>
            </w:r>
          </w:p>
          <w:p w14:paraId="4364DE01" w14:textId="77777777" w:rsidR="0012594E" w:rsidRPr="00092862" w:rsidRDefault="0012594E" w:rsidP="000D2044">
            <w:pPr>
              <w:pStyle w:val="afffff7"/>
              <w:rPr>
                <w:b/>
                <w:bCs/>
                <w:color w:val="000000" w:themeColor="text1"/>
                <w:szCs w:val="21"/>
              </w:rPr>
            </w:pPr>
            <w:r w:rsidRPr="00092862">
              <w:rPr>
                <w:b/>
                <w:bCs/>
                <w:color w:val="000000" w:themeColor="text1"/>
                <w:szCs w:val="21"/>
              </w:rPr>
              <w:t>情况</w:t>
            </w:r>
          </w:p>
        </w:tc>
      </w:tr>
      <w:tr w:rsidR="00697429" w:rsidRPr="00092862" w14:paraId="2DB2DD83" w14:textId="77777777" w:rsidTr="00ED6B5F">
        <w:trPr>
          <w:trHeight w:val="392"/>
          <w:jc w:val="center"/>
        </w:trPr>
        <w:tc>
          <w:tcPr>
            <w:tcW w:w="553" w:type="pct"/>
            <w:vMerge w:val="restart"/>
            <w:vAlign w:val="center"/>
          </w:tcPr>
          <w:p w14:paraId="5F1D9161" w14:textId="769200A2" w:rsidR="00D37600" w:rsidRPr="00092862" w:rsidRDefault="00D37600" w:rsidP="000D2044">
            <w:pPr>
              <w:pStyle w:val="afffff7"/>
              <w:rPr>
                <w:color w:val="000000" w:themeColor="text1"/>
                <w:szCs w:val="21"/>
              </w:rPr>
            </w:pPr>
            <w:r w:rsidRPr="00092862">
              <w:rPr>
                <w:color w:val="000000" w:themeColor="text1"/>
                <w:szCs w:val="21"/>
              </w:rPr>
              <w:t>老君</w:t>
            </w:r>
            <w:r w:rsidRPr="00092862">
              <w:rPr>
                <w:color w:val="000000" w:themeColor="text1"/>
                <w:szCs w:val="21"/>
              </w:rPr>
              <w:t>7011</w:t>
            </w:r>
            <w:r w:rsidRPr="00092862">
              <w:rPr>
                <w:color w:val="000000" w:themeColor="text1"/>
                <w:szCs w:val="21"/>
              </w:rPr>
              <w:t>井平台内</w:t>
            </w:r>
          </w:p>
        </w:tc>
        <w:tc>
          <w:tcPr>
            <w:tcW w:w="1019" w:type="pct"/>
            <w:vMerge w:val="restart"/>
            <w:vAlign w:val="center"/>
          </w:tcPr>
          <w:p w14:paraId="0C5F176C" w14:textId="6C0DEE1C" w:rsidR="00D37600" w:rsidRPr="00092862" w:rsidRDefault="00D37600" w:rsidP="000D2044">
            <w:pPr>
              <w:pStyle w:val="afffff7"/>
              <w:rPr>
                <w:color w:val="000000" w:themeColor="text1"/>
                <w:szCs w:val="21"/>
              </w:rPr>
            </w:pPr>
            <w:r w:rsidRPr="00092862">
              <w:rPr>
                <w:color w:val="000000" w:themeColor="text1"/>
                <w:szCs w:val="21"/>
              </w:rPr>
              <w:t>2022.11.18~11.24</w:t>
            </w:r>
          </w:p>
        </w:tc>
        <w:tc>
          <w:tcPr>
            <w:tcW w:w="918" w:type="pct"/>
            <w:vAlign w:val="center"/>
          </w:tcPr>
          <w:p w14:paraId="37125444" w14:textId="77777777" w:rsidR="00D37600" w:rsidRPr="00092862" w:rsidRDefault="00D37600" w:rsidP="000D2044">
            <w:pPr>
              <w:pStyle w:val="afffff7"/>
              <w:rPr>
                <w:color w:val="000000" w:themeColor="text1"/>
                <w:szCs w:val="21"/>
              </w:rPr>
            </w:pPr>
            <w:r w:rsidRPr="00092862">
              <w:rPr>
                <w:color w:val="000000" w:themeColor="text1"/>
                <w:szCs w:val="21"/>
              </w:rPr>
              <w:t>非甲烷总烃</w:t>
            </w:r>
          </w:p>
        </w:tc>
        <w:tc>
          <w:tcPr>
            <w:tcW w:w="419" w:type="pct"/>
            <w:vAlign w:val="center"/>
          </w:tcPr>
          <w:p w14:paraId="553779DC" w14:textId="77777777" w:rsidR="00D37600" w:rsidRPr="00092862" w:rsidRDefault="00D37600" w:rsidP="000D2044">
            <w:pPr>
              <w:pStyle w:val="afffff7"/>
              <w:rPr>
                <w:color w:val="000000" w:themeColor="text1"/>
                <w:szCs w:val="21"/>
              </w:rPr>
            </w:pPr>
            <w:r w:rsidRPr="00092862">
              <w:rPr>
                <w:color w:val="000000" w:themeColor="text1"/>
                <w:szCs w:val="21"/>
              </w:rPr>
              <w:t>28</w:t>
            </w:r>
          </w:p>
        </w:tc>
        <w:tc>
          <w:tcPr>
            <w:tcW w:w="812" w:type="pct"/>
            <w:vAlign w:val="center"/>
          </w:tcPr>
          <w:p w14:paraId="4C4ADFDD" w14:textId="5587C631" w:rsidR="00D37600" w:rsidRPr="00092862" w:rsidRDefault="00D37600" w:rsidP="000D2044">
            <w:pPr>
              <w:pStyle w:val="afffff7"/>
              <w:rPr>
                <w:color w:val="000000" w:themeColor="text1"/>
                <w:szCs w:val="21"/>
              </w:rPr>
            </w:pPr>
            <w:r w:rsidRPr="00092862">
              <w:rPr>
                <w:color w:val="000000" w:themeColor="text1"/>
                <w:szCs w:val="21"/>
              </w:rPr>
              <w:t>0.</w:t>
            </w:r>
            <w:r w:rsidR="00ED6B5F" w:rsidRPr="00092862">
              <w:rPr>
                <w:color w:val="000000" w:themeColor="text1"/>
                <w:szCs w:val="21"/>
              </w:rPr>
              <w:t>40</w:t>
            </w:r>
            <w:r w:rsidRPr="00092862">
              <w:rPr>
                <w:color w:val="000000" w:themeColor="text1"/>
                <w:szCs w:val="21"/>
              </w:rPr>
              <w:t>~0.</w:t>
            </w:r>
            <w:r w:rsidR="00ED6B5F" w:rsidRPr="00092862">
              <w:rPr>
                <w:color w:val="000000" w:themeColor="text1"/>
                <w:szCs w:val="21"/>
              </w:rPr>
              <w:t>92</w:t>
            </w:r>
          </w:p>
        </w:tc>
        <w:tc>
          <w:tcPr>
            <w:tcW w:w="587" w:type="pct"/>
            <w:vAlign w:val="center"/>
          </w:tcPr>
          <w:p w14:paraId="6F7AED2F" w14:textId="18D7E0F4" w:rsidR="00D37600" w:rsidRPr="00092862" w:rsidRDefault="00D37600" w:rsidP="000D2044">
            <w:pPr>
              <w:pStyle w:val="afffff7"/>
              <w:rPr>
                <w:color w:val="000000" w:themeColor="text1"/>
                <w:szCs w:val="21"/>
              </w:rPr>
            </w:pPr>
            <w:r w:rsidRPr="00092862">
              <w:rPr>
                <w:color w:val="000000" w:themeColor="text1"/>
                <w:szCs w:val="21"/>
              </w:rPr>
              <w:t>0.</w:t>
            </w:r>
            <w:r w:rsidR="00ED6B5F" w:rsidRPr="00092862">
              <w:rPr>
                <w:color w:val="000000" w:themeColor="text1"/>
                <w:szCs w:val="21"/>
              </w:rPr>
              <w:t>46</w:t>
            </w:r>
          </w:p>
        </w:tc>
        <w:tc>
          <w:tcPr>
            <w:tcW w:w="264" w:type="pct"/>
            <w:vAlign w:val="center"/>
          </w:tcPr>
          <w:p w14:paraId="59EA245A" w14:textId="77777777" w:rsidR="00D37600" w:rsidRPr="00092862" w:rsidRDefault="00D37600" w:rsidP="000D2044">
            <w:pPr>
              <w:pStyle w:val="afffff7"/>
              <w:rPr>
                <w:color w:val="000000" w:themeColor="text1"/>
                <w:szCs w:val="21"/>
              </w:rPr>
            </w:pPr>
            <w:r w:rsidRPr="00092862">
              <w:rPr>
                <w:color w:val="000000" w:themeColor="text1"/>
                <w:szCs w:val="21"/>
              </w:rPr>
              <w:t>0</w:t>
            </w:r>
          </w:p>
        </w:tc>
        <w:tc>
          <w:tcPr>
            <w:tcW w:w="429" w:type="pct"/>
            <w:vAlign w:val="center"/>
          </w:tcPr>
          <w:p w14:paraId="06816957" w14:textId="77777777" w:rsidR="00D37600" w:rsidRPr="00092862" w:rsidRDefault="00D37600" w:rsidP="000D2044">
            <w:pPr>
              <w:pStyle w:val="afffff7"/>
              <w:rPr>
                <w:color w:val="000000" w:themeColor="text1"/>
                <w:szCs w:val="21"/>
              </w:rPr>
            </w:pPr>
            <w:r w:rsidRPr="00092862">
              <w:rPr>
                <w:bCs/>
                <w:color w:val="000000" w:themeColor="text1"/>
                <w:szCs w:val="21"/>
              </w:rPr>
              <w:t>达标</w:t>
            </w:r>
          </w:p>
        </w:tc>
      </w:tr>
      <w:tr w:rsidR="00697429" w:rsidRPr="00092862" w14:paraId="1CFA77EF" w14:textId="77777777" w:rsidTr="00ED6B5F">
        <w:trPr>
          <w:trHeight w:val="192"/>
          <w:jc w:val="center"/>
        </w:trPr>
        <w:tc>
          <w:tcPr>
            <w:tcW w:w="553" w:type="pct"/>
            <w:vMerge/>
            <w:vAlign w:val="center"/>
          </w:tcPr>
          <w:p w14:paraId="41E8B931" w14:textId="77777777" w:rsidR="00D37600" w:rsidRPr="00092862" w:rsidRDefault="00D37600" w:rsidP="000D2044">
            <w:pPr>
              <w:pStyle w:val="afffff7"/>
              <w:rPr>
                <w:color w:val="000000" w:themeColor="text1"/>
                <w:szCs w:val="21"/>
              </w:rPr>
            </w:pPr>
          </w:p>
        </w:tc>
        <w:tc>
          <w:tcPr>
            <w:tcW w:w="1019" w:type="pct"/>
            <w:vMerge/>
            <w:vAlign w:val="center"/>
          </w:tcPr>
          <w:p w14:paraId="18155509" w14:textId="77777777" w:rsidR="00D37600" w:rsidRPr="00092862" w:rsidRDefault="00D37600" w:rsidP="000D2044">
            <w:pPr>
              <w:pStyle w:val="afffff7"/>
              <w:rPr>
                <w:color w:val="000000" w:themeColor="text1"/>
                <w:szCs w:val="21"/>
              </w:rPr>
            </w:pPr>
          </w:p>
        </w:tc>
        <w:tc>
          <w:tcPr>
            <w:tcW w:w="918" w:type="pct"/>
            <w:vAlign w:val="center"/>
          </w:tcPr>
          <w:p w14:paraId="056BF1A5" w14:textId="77777777" w:rsidR="00D37600" w:rsidRPr="00092862" w:rsidRDefault="00D37600" w:rsidP="000D2044">
            <w:pPr>
              <w:pStyle w:val="afffff7"/>
              <w:rPr>
                <w:color w:val="000000" w:themeColor="text1"/>
                <w:szCs w:val="21"/>
              </w:rPr>
            </w:pPr>
            <w:r w:rsidRPr="00092862">
              <w:rPr>
                <w:color w:val="000000" w:themeColor="text1"/>
                <w:szCs w:val="21"/>
              </w:rPr>
              <w:t>硫化氢</w:t>
            </w:r>
          </w:p>
        </w:tc>
        <w:tc>
          <w:tcPr>
            <w:tcW w:w="419" w:type="pct"/>
            <w:vAlign w:val="center"/>
          </w:tcPr>
          <w:p w14:paraId="19220356" w14:textId="77777777" w:rsidR="00D37600" w:rsidRPr="00092862" w:rsidRDefault="00D37600" w:rsidP="000D2044">
            <w:pPr>
              <w:pStyle w:val="afffff7"/>
              <w:rPr>
                <w:color w:val="000000" w:themeColor="text1"/>
                <w:szCs w:val="21"/>
              </w:rPr>
            </w:pPr>
            <w:r w:rsidRPr="00092862">
              <w:rPr>
                <w:color w:val="000000" w:themeColor="text1"/>
                <w:szCs w:val="21"/>
              </w:rPr>
              <w:t>28</w:t>
            </w:r>
          </w:p>
        </w:tc>
        <w:tc>
          <w:tcPr>
            <w:tcW w:w="812" w:type="pct"/>
            <w:vAlign w:val="center"/>
          </w:tcPr>
          <w:p w14:paraId="48E6BD27" w14:textId="10F6B7D4" w:rsidR="00D37600" w:rsidRPr="00092862" w:rsidRDefault="00D37600" w:rsidP="000D2044">
            <w:pPr>
              <w:pStyle w:val="afffff7"/>
              <w:rPr>
                <w:color w:val="000000" w:themeColor="text1"/>
                <w:szCs w:val="21"/>
              </w:rPr>
            </w:pPr>
            <w:r w:rsidRPr="00092862">
              <w:rPr>
                <w:color w:val="000000" w:themeColor="text1"/>
                <w:szCs w:val="21"/>
              </w:rPr>
              <w:t>0.00</w:t>
            </w:r>
            <w:r w:rsidR="00ED6B5F" w:rsidRPr="00092862">
              <w:rPr>
                <w:color w:val="000000" w:themeColor="text1"/>
                <w:szCs w:val="21"/>
              </w:rPr>
              <w:t>3</w:t>
            </w:r>
            <w:r w:rsidRPr="00092862">
              <w:rPr>
                <w:color w:val="000000" w:themeColor="text1"/>
                <w:szCs w:val="21"/>
              </w:rPr>
              <w:t>~0.007</w:t>
            </w:r>
          </w:p>
        </w:tc>
        <w:tc>
          <w:tcPr>
            <w:tcW w:w="587" w:type="pct"/>
            <w:vAlign w:val="center"/>
          </w:tcPr>
          <w:p w14:paraId="56F362E0" w14:textId="1CE480D3" w:rsidR="00D37600" w:rsidRPr="00092862" w:rsidRDefault="00D37600" w:rsidP="000D2044">
            <w:pPr>
              <w:pStyle w:val="afffff7"/>
              <w:rPr>
                <w:color w:val="000000" w:themeColor="text1"/>
                <w:szCs w:val="21"/>
              </w:rPr>
            </w:pPr>
            <w:r w:rsidRPr="00092862">
              <w:rPr>
                <w:color w:val="000000" w:themeColor="text1"/>
                <w:szCs w:val="21"/>
              </w:rPr>
              <w:t>0.70</w:t>
            </w:r>
          </w:p>
        </w:tc>
        <w:tc>
          <w:tcPr>
            <w:tcW w:w="264" w:type="pct"/>
            <w:vAlign w:val="center"/>
          </w:tcPr>
          <w:p w14:paraId="5224FFD2" w14:textId="77777777" w:rsidR="00D37600" w:rsidRPr="00092862" w:rsidRDefault="00D37600" w:rsidP="000D2044">
            <w:pPr>
              <w:pStyle w:val="afffff7"/>
              <w:rPr>
                <w:color w:val="000000" w:themeColor="text1"/>
                <w:szCs w:val="21"/>
              </w:rPr>
            </w:pPr>
            <w:r w:rsidRPr="00092862">
              <w:rPr>
                <w:color w:val="000000" w:themeColor="text1"/>
                <w:szCs w:val="21"/>
              </w:rPr>
              <w:t>0</w:t>
            </w:r>
          </w:p>
        </w:tc>
        <w:tc>
          <w:tcPr>
            <w:tcW w:w="429" w:type="pct"/>
            <w:vAlign w:val="center"/>
          </w:tcPr>
          <w:p w14:paraId="7076E9F6" w14:textId="77777777" w:rsidR="00D37600" w:rsidRPr="00092862" w:rsidRDefault="00D37600" w:rsidP="000D2044">
            <w:pPr>
              <w:pStyle w:val="afffff7"/>
              <w:rPr>
                <w:bCs/>
                <w:color w:val="000000" w:themeColor="text1"/>
                <w:szCs w:val="21"/>
              </w:rPr>
            </w:pPr>
            <w:r w:rsidRPr="00092862">
              <w:rPr>
                <w:bCs/>
                <w:color w:val="000000" w:themeColor="text1"/>
                <w:szCs w:val="21"/>
              </w:rPr>
              <w:t>达标</w:t>
            </w:r>
          </w:p>
        </w:tc>
      </w:tr>
      <w:tr w:rsidR="00697429" w:rsidRPr="00092862" w14:paraId="536D38DB" w14:textId="77777777" w:rsidTr="00ED6B5F">
        <w:trPr>
          <w:trHeight w:val="192"/>
          <w:jc w:val="center"/>
        </w:trPr>
        <w:tc>
          <w:tcPr>
            <w:tcW w:w="553" w:type="pct"/>
            <w:vMerge/>
            <w:vAlign w:val="center"/>
          </w:tcPr>
          <w:p w14:paraId="2B0ABB3D" w14:textId="77777777" w:rsidR="00D37600" w:rsidRPr="00092862" w:rsidRDefault="00D37600" w:rsidP="00D37600">
            <w:pPr>
              <w:pStyle w:val="afffff7"/>
              <w:rPr>
                <w:color w:val="000000" w:themeColor="text1"/>
                <w:szCs w:val="21"/>
              </w:rPr>
            </w:pPr>
          </w:p>
        </w:tc>
        <w:tc>
          <w:tcPr>
            <w:tcW w:w="1019" w:type="pct"/>
            <w:vMerge/>
            <w:vAlign w:val="center"/>
          </w:tcPr>
          <w:p w14:paraId="55BDCA75" w14:textId="77777777" w:rsidR="00D37600" w:rsidRPr="00092862" w:rsidRDefault="00D37600" w:rsidP="00D37600">
            <w:pPr>
              <w:pStyle w:val="afffff7"/>
              <w:rPr>
                <w:color w:val="000000" w:themeColor="text1"/>
                <w:szCs w:val="21"/>
              </w:rPr>
            </w:pPr>
          </w:p>
        </w:tc>
        <w:tc>
          <w:tcPr>
            <w:tcW w:w="918" w:type="pct"/>
            <w:vAlign w:val="center"/>
          </w:tcPr>
          <w:p w14:paraId="6D0CC64A" w14:textId="3D96DEFA" w:rsidR="00D37600" w:rsidRPr="00092862" w:rsidRDefault="00D37600" w:rsidP="00D37600">
            <w:pPr>
              <w:pStyle w:val="afffff7"/>
              <w:rPr>
                <w:color w:val="000000" w:themeColor="text1"/>
                <w:szCs w:val="21"/>
              </w:rPr>
            </w:pPr>
            <w:r w:rsidRPr="00092862">
              <w:rPr>
                <w:color w:val="000000" w:themeColor="text1"/>
                <w:szCs w:val="21"/>
              </w:rPr>
              <w:t>总悬浮颗粒物</w:t>
            </w:r>
          </w:p>
        </w:tc>
        <w:tc>
          <w:tcPr>
            <w:tcW w:w="419" w:type="pct"/>
            <w:vAlign w:val="center"/>
          </w:tcPr>
          <w:p w14:paraId="1E1FF248" w14:textId="5FF4EC18" w:rsidR="00D37600" w:rsidRPr="00092862" w:rsidRDefault="00D37600" w:rsidP="00D37600">
            <w:pPr>
              <w:pStyle w:val="afffff7"/>
              <w:rPr>
                <w:color w:val="000000" w:themeColor="text1"/>
                <w:szCs w:val="21"/>
              </w:rPr>
            </w:pPr>
            <w:r w:rsidRPr="00092862">
              <w:rPr>
                <w:color w:val="000000" w:themeColor="text1"/>
                <w:szCs w:val="21"/>
              </w:rPr>
              <w:t>7</w:t>
            </w:r>
          </w:p>
        </w:tc>
        <w:tc>
          <w:tcPr>
            <w:tcW w:w="812" w:type="pct"/>
            <w:vAlign w:val="center"/>
          </w:tcPr>
          <w:p w14:paraId="4A9E6F20" w14:textId="098E8B02" w:rsidR="00D37600" w:rsidRPr="00092862" w:rsidRDefault="00D37600" w:rsidP="00D37600">
            <w:pPr>
              <w:pStyle w:val="afffff7"/>
              <w:rPr>
                <w:color w:val="000000" w:themeColor="text1"/>
                <w:szCs w:val="21"/>
              </w:rPr>
            </w:pPr>
            <w:r w:rsidRPr="00092862">
              <w:rPr>
                <w:color w:val="000000" w:themeColor="text1"/>
                <w:szCs w:val="21"/>
              </w:rPr>
              <w:t>0.117~0.133</w:t>
            </w:r>
          </w:p>
        </w:tc>
        <w:tc>
          <w:tcPr>
            <w:tcW w:w="587" w:type="pct"/>
            <w:vAlign w:val="center"/>
          </w:tcPr>
          <w:p w14:paraId="3B19F697" w14:textId="052EF293" w:rsidR="00D37600" w:rsidRPr="00092862" w:rsidRDefault="00D37600" w:rsidP="00D37600">
            <w:pPr>
              <w:pStyle w:val="afffff7"/>
              <w:rPr>
                <w:color w:val="000000" w:themeColor="text1"/>
                <w:szCs w:val="21"/>
              </w:rPr>
            </w:pPr>
            <w:r w:rsidRPr="00092862">
              <w:rPr>
                <w:color w:val="000000" w:themeColor="text1"/>
                <w:szCs w:val="21"/>
              </w:rPr>
              <w:t>0.44</w:t>
            </w:r>
          </w:p>
        </w:tc>
        <w:tc>
          <w:tcPr>
            <w:tcW w:w="264" w:type="pct"/>
            <w:vAlign w:val="center"/>
          </w:tcPr>
          <w:p w14:paraId="6E15E222" w14:textId="08C18042" w:rsidR="00D37600" w:rsidRPr="00092862" w:rsidRDefault="00D37600" w:rsidP="00D37600">
            <w:pPr>
              <w:pStyle w:val="afffff7"/>
              <w:rPr>
                <w:color w:val="000000" w:themeColor="text1"/>
                <w:szCs w:val="21"/>
              </w:rPr>
            </w:pPr>
            <w:r w:rsidRPr="00092862">
              <w:rPr>
                <w:color w:val="000000" w:themeColor="text1"/>
                <w:szCs w:val="21"/>
              </w:rPr>
              <w:t>0</w:t>
            </w:r>
          </w:p>
        </w:tc>
        <w:tc>
          <w:tcPr>
            <w:tcW w:w="429" w:type="pct"/>
            <w:vAlign w:val="center"/>
          </w:tcPr>
          <w:p w14:paraId="5891260A" w14:textId="02621369" w:rsidR="00D37600" w:rsidRPr="00092862" w:rsidRDefault="00D37600" w:rsidP="00D37600">
            <w:pPr>
              <w:pStyle w:val="afffff7"/>
              <w:rPr>
                <w:bCs/>
                <w:color w:val="000000" w:themeColor="text1"/>
                <w:szCs w:val="21"/>
              </w:rPr>
            </w:pPr>
            <w:r w:rsidRPr="00092862">
              <w:rPr>
                <w:bCs/>
                <w:color w:val="000000" w:themeColor="text1"/>
                <w:szCs w:val="21"/>
              </w:rPr>
              <w:t>达标</w:t>
            </w:r>
          </w:p>
        </w:tc>
      </w:tr>
    </w:tbl>
    <w:p w14:paraId="23E4FEA5" w14:textId="3D96188B" w:rsidR="00DC446C" w:rsidRPr="00092862" w:rsidRDefault="0012594E" w:rsidP="0012594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评价结论：本项目</w:t>
      </w:r>
      <w:r w:rsidR="00834BB8" w:rsidRPr="00092862">
        <w:rPr>
          <w:rFonts w:ascii="Times New Roman" w:hAnsi="Times New Roman"/>
          <w:bCs/>
          <w:color w:val="000000" w:themeColor="text1"/>
          <w:kern w:val="2"/>
          <w:lang w:eastAsia="zh-CN"/>
        </w:rPr>
        <w:t>所在地</w:t>
      </w:r>
      <w:r w:rsidRPr="00092862">
        <w:rPr>
          <w:rFonts w:ascii="Times New Roman" w:hAnsi="Times New Roman"/>
          <w:bCs/>
          <w:color w:val="000000" w:themeColor="text1"/>
          <w:kern w:val="2"/>
          <w:lang w:eastAsia="zh-CN"/>
        </w:rPr>
        <w:t>环境空气中特征污染物</w:t>
      </w:r>
      <w:bookmarkStart w:id="166" w:name="_Hlk100174264"/>
      <w:bookmarkStart w:id="167" w:name="_Hlk100174299"/>
      <w:r w:rsidRPr="00092862">
        <w:rPr>
          <w:rFonts w:ascii="Times New Roman" w:hAnsi="Times New Roman"/>
          <w:bCs/>
          <w:color w:val="000000" w:themeColor="text1"/>
          <w:kern w:val="2"/>
          <w:lang w:eastAsia="zh-CN"/>
        </w:rPr>
        <w:t>非甲烷总烃</w:t>
      </w:r>
      <w:bookmarkEnd w:id="166"/>
      <w:r w:rsidRPr="00092862">
        <w:rPr>
          <w:rFonts w:ascii="Times New Roman" w:hAnsi="Times New Roman"/>
          <w:bCs/>
          <w:color w:val="000000" w:themeColor="text1"/>
          <w:kern w:val="2"/>
          <w:lang w:eastAsia="zh-CN"/>
        </w:rPr>
        <w:t>现状监测值均低于《大气污染物综合排放标准详解》浓度限值；硫化氢现状监测值均低于</w:t>
      </w:r>
      <w:r w:rsidRPr="00092862">
        <w:rPr>
          <w:rFonts w:ascii="Times New Roman" w:hAnsi="Times New Roman"/>
          <w:bCs/>
          <w:color w:val="000000" w:themeColor="text1"/>
          <w:kern w:val="2"/>
          <w:lang w:eastAsia="zh-CN"/>
        </w:rPr>
        <w:lastRenderedPageBreak/>
        <w:t>《环境影响评价技术导则大气环境》（</w:t>
      </w:r>
      <w:r w:rsidRPr="00092862">
        <w:rPr>
          <w:rFonts w:ascii="Times New Roman" w:hAnsi="Times New Roman"/>
          <w:bCs/>
          <w:color w:val="000000" w:themeColor="text1"/>
          <w:kern w:val="2"/>
          <w:lang w:eastAsia="zh-CN"/>
        </w:rPr>
        <w:t>HJ2.2-2018</w:t>
      </w:r>
      <w:r w:rsidRPr="00092862">
        <w:rPr>
          <w:rFonts w:ascii="Times New Roman" w:hAnsi="Times New Roman"/>
          <w:bCs/>
          <w:color w:val="000000" w:themeColor="text1"/>
          <w:kern w:val="2"/>
          <w:lang w:eastAsia="zh-CN"/>
        </w:rPr>
        <w:t>）中附录</w:t>
      </w:r>
      <w:r w:rsidRPr="00092862">
        <w:rPr>
          <w:rFonts w:ascii="Times New Roman" w:hAnsi="Times New Roman"/>
          <w:bCs/>
          <w:color w:val="000000" w:themeColor="text1"/>
          <w:kern w:val="2"/>
          <w:lang w:eastAsia="zh-CN"/>
        </w:rPr>
        <w:t>D</w:t>
      </w:r>
      <w:r w:rsidRPr="00092862">
        <w:rPr>
          <w:rFonts w:ascii="Times New Roman" w:hAnsi="Times New Roman"/>
          <w:bCs/>
          <w:color w:val="000000" w:themeColor="text1"/>
          <w:kern w:val="2"/>
          <w:lang w:eastAsia="zh-CN"/>
        </w:rPr>
        <w:t>标准限值</w:t>
      </w:r>
      <w:r w:rsidR="00D37600" w:rsidRPr="00092862">
        <w:rPr>
          <w:rFonts w:ascii="Times New Roman" w:hAnsi="Times New Roman"/>
          <w:bCs/>
          <w:color w:val="000000" w:themeColor="text1"/>
          <w:kern w:val="2"/>
          <w:lang w:eastAsia="zh-CN"/>
        </w:rPr>
        <w:t>；</w:t>
      </w:r>
      <w:r w:rsidR="00D37600" w:rsidRPr="00092862">
        <w:rPr>
          <w:rFonts w:ascii="Times New Roman" w:hAnsi="Times New Roman"/>
          <w:color w:val="000000" w:themeColor="text1"/>
          <w:sz w:val="21"/>
          <w:szCs w:val="21"/>
          <w:lang w:eastAsia="zh-CN"/>
        </w:rPr>
        <w:t>总悬浮颗粒物</w:t>
      </w:r>
      <w:r w:rsidR="00D37600" w:rsidRPr="00092862">
        <w:rPr>
          <w:rFonts w:ascii="Times New Roman" w:hAnsi="Times New Roman"/>
          <w:bCs/>
          <w:color w:val="000000" w:themeColor="text1"/>
          <w:kern w:val="2"/>
          <w:lang w:eastAsia="zh-CN"/>
        </w:rPr>
        <w:t>现状监测值均低于</w:t>
      </w:r>
      <w:r w:rsidR="00D37600" w:rsidRPr="00092862">
        <w:rPr>
          <w:rFonts w:ascii="Times New Roman" w:hAnsi="Times New Roman"/>
          <w:bCs/>
          <w:color w:val="000000" w:themeColor="text1"/>
          <w:lang w:eastAsia="zh-CN"/>
        </w:rPr>
        <w:t>环境空气质量标准》（</w:t>
      </w:r>
      <w:r w:rsidR="00D37600" w:rsidRPr="00092862">
        <w:rPr>
          <w:rFonts w:ascii="Times New Roman" w:hAnsi="Times New Roman"/>
          <w:bCs/>
          <w:color w:val="000000" w:themeColor="text1"/>
          <w:lang w:eastAsia="zh-CN"/>
        </w:rPr>
        <w:t>GB3095-2012</w:t>
      </w:r>
      <w:r w:rsidR="00D37600" w:rsidRPr="00092862">
        <w:rPr>
          <w:rFonts w:ascii="Times New Roman" w:hAnsi="Times New Roman"/>
          <w:bCs/>
          <w:color w:val="000000" w:themeColor="text1"/>
          <w:lang w:eastAsia="zh-CN"/>
        </w:rPr>
        <w:t>）二级标准</w:t>
      </w:r>
      <w:r w:rsidR="00D37600" w:rsidRPr="00092862">
        <w:rPr>
          <w:rFonts w:ascii="Times New Roman" w:hAnsi="Times New Roman"/>
          <w:bCs/>
          <w:color w:val="000000" w:themeColor="text1"/>
          <w:kern w:val="2"/>
          <w:lang w:eastAsia="zh-CN"/>
        </w:rPr>
        <w:t>限值</w:t>
      </w:r>
      <w:r w:rsidRPr="00092862">
        <w:rPr>
          <w:rFonts w:ascii="Times New Roman" w:hAnsi="Times New Roman"/>
          <w:bCs/>
          <w:color w:val="000000" w:themeColor="text1"/>
          <w:kern w:val="2"/>
          <w:lang w:eastAsia="zh-CN"/>
        </w:rPr>
        <w:t>。</w:t>
      </w:r>
      <w:bookmarkEnd w:id="167"/>
    </w:p>
    <w:p w14:paraId="2309B6CA" w14:textId="77777777" w:rsidR="00DC446C" w:rsidRPr="00092862" w:rsidRDefault="003B1968" w:rsidP="00810533">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68" w:name="_Toc120173129"/>
      <w:bookmarkEnd w:id="165"/>
      <w:r w:rsidRPr="00092862">
        <w:rPr>
          <w:rFonts w:ascii="Times New Roman" w:eastAsia="黑体" w:hAnsi="Times New Roman"/>
          <w:b w:val="0"/>
          <w:color w:val="000000" w:themeColor="text1"/>
          <w:sz w:val="24"/>
          <w:szCs w:val="24"/>
          <w:lang w:eastAsia="zh-CN"/>
        </w:rPr>
        <w:t>4.2.2</w:t>
      </w:r>
      <w:r w:rsidRPr="00092862">
        <w:rPr>
          <w:rFonts w:ascii="Times New Roman" w:eastAsia="黑体" w:hAnsi="Times New Roman"/>
          <w:b w:val="0"/>
          <w:color w:val="000000" w:themeColor="text1"/>
          <w:sz w:val="24"/>
          <w:szCs w:val="24"/>
          <w:lang w:eastAsia="zh-CN"/>
        </w:rPr>
        <w:t>地表水环境质量现状</w:t>
      </w:r>
      <w:bookmarkEnd w:id="168"/>
    </w:p>
    <w:p w14:paraId="46B63BB9" w14:textId="663B937D" w:rsidR="00DC446C" w:rsidRPr="00092862" w:rsidRDefault="003B1968" w:rsidP="0081053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本项目位于</w:t>
      </w:r>
      <w:r w:rsidR="000D1626" w:rsidRPr="00092862">
        <w:rPr>
          <w:rFonts w:ascii="Times New Roman" w:hAnsi="Times New Roman"/>
          <w:bCs/>
          <w:color w:val="000000" w:themeColor="text1"/>
          <w:kern w:val="2"/>
          <w:lang w:eastAsia="zh-CN"/>
        </w:rPr>
        <w:t>后</w:t>
      </w:r>
      <w:r w:rsidR="003B5668" w:rsidRPr="00092862">
        <w:rPr>
          <w:rFonts w:ascii="Times New Roman" w:hAnsi="Times New Roman"/>
          <w:bCs/>
          <w:color w:val="000000" w:themeColor="text1"/>
          <w:kern w:val="2"/>
          <w:lang w:eastAsia="zh-CN"/>
        </w:rPr>
        <w:t>河</w:t>
      </w:r>
      <w:r w:rsidRPr="00092862">
        <w:rPr>
          <w:rFonts w:ascii="Times New Roman" w:hAnsi="Times New Roman"/>
          <w:bCs/>
          <w:color w:val="000000" w:themeColor="text1"/>
          <w:kern w:val="2"/>
          <w:lang w:eastAsia="zh-CN"/>
        </w:rPr>
        <w:t>流域</w:t>
      </w:r>
      <w:r w:rsidR="000D1626" w:rsidRPr="00092862">
        <w:rPr>
          <w:rFonts w:ascii="Times New Roman" w:hAnsi="Times New Roman"/>
          <w:bCs/>
          <w:color w:val="000000" w:themeColor="text1"/>
          <w:kern w:val="2"/>
          <w:lang w:eastAsia="zh-CN"/>
        </w:rPr>
        <w:t>，后</w:t>
      </w:r>
      <w:r w:rsidR="00DF5B9E" w:rsidRPr="00092862">
        <w:rPr>
          <w:rFonts w:ascii="Times New Roman" w:hAnsi="Times New Roman"/>
          <w:bCs/>
          <w:color w:val="000000" w:themeColor="text1"/>
          <w:kern w:val="2"/>
          <w:lang w:eastAsia="zh-CN"/>
        </w:rPr>
        <w:t>河</w:t>
      </w:r>
      <w:r w:rsidR="000D1626" w:rsidRPr="00092862">
        <w:rPr>
          <w:rFonts w:ascii="Times New Roman" w:hAnsi="Times New Roman"/>
          <w:bCs/>
          <w:color w:val="000000" w:themeColor="text1"/>
          <w:kern w:val="2"/>
          <w:lang w:eastAsia="zh-CN"/>
        </w:rPr>
        <w:t>属于渠江流域</w:t>
      </w:r>
      <w:r w:rsidRPr="00092862">
        <w:rPr>
          <w:rFonts w:ascii="Times New Roman" w:hAnsi="Times New Roman"/>
          <w:bCs/>
          <w:color w:val="000000" w:themeColor="text1"/>
          <w:kern w:val="2"/>
          <w:lang w:eastAsia="zh-CN"/>
        </w:rPr>
        <w:t>，根据</w:t>
      </w:r>
      <w:r w:rsidR="000D1626" w:rsidRPr="00092862">
        <w:rPr>
          <w:rFonts w:ascii="Times New Roman" w:hAnsi="Times New Roman"/>
          <w:bCs/>
          <w:color w:val="000000" w:themeColor="text1"/>
          <w:kern w:val="2"/>
          <w:lang w:eastAsia="zh-CN"/>
        </w:rPr>
        <w:t>《</w:t>
      </w:r>
      <w:r w:rsidR="000D1626" w:rsidRPr="00092862">
        <w:rPr>
          <w:rFonts w:ascii="Times New Roman" w:hAnsi="Times New Roman"/>
          <w:bCs/>
          <w:color w:val="000000" w:themeColor="text1"/>
          <w:kern w:val="2"/>
          <w:lang w:eastAsia="zh-CN"/>
        </w:rPr>
        <w:t>2020</w:t>
      </w:r>
      <w:r w:rsidR="000D1626" w:rsidRPr="00092862">
        <w:rPr>
          <w:rFonts w:ascii="Times New Roman" w:hAnsi="Times New Roman"/>
          <w:bCs/>
          <w:color w:val="000000" w:themeColor="text1"/>
          <w:kern w:val="2"/>
          <w:lang w:eastAsia="zh-CN"/>
        </w:rPr>
        <w:t>年达州市环境状况公报》</w:t>
      </w:r>
      <w:r w:rsidRPr="00092862">
        <w:rPr>
          <w:rFonts w:ascii="Times New Roman" w:hAnsi="Times New Roman"/>
          <w:bCs/>
          <w:color w:val="000000" w:themeColor="text1"/>
          <w:kern w:val="2"/>
          <w:lang w:eastAsia="zh-CN"/>
        </w:rPr>
        <w:t>，</w:t>
      </w:r>
      <w:r w:rsidR="003E3333" w:rsidRPr="00092862">
        <w:rPr>
          <w:rFonts w:ascii="Times New Roman" w:hAnsi="Times New Roman"/>
          <w:bCs/>
          <w:color w:val="000000" w:themeColor="text1"/>
          <w:kern w:val="2"/>
          <w:lang w:eastAsia="zh-CN"/>
        </w:rPr>
        <w:t>后河</w:t>
      </w:r>
      <w:r w:rsidRPr="00092862">
        <w:rPr>
          <w:rFonts w:ascii="Times New Roman" w:hAnsi="Times New Roman"/>
          <w:bCs/>
          <w:color w:val="000000" w:themeColor="text1"/>
          <w:kern w:val="2"/>
          <w:lang w:eastAsia="zh-CN"/>
        </w:rPr>
        <w:t>在</w:t>
      </w:r>
      <w:r w:rsidR="000D1626" w:rsidRPr="00092862">
        <w:rPr>
          <w:rFonts w:ascii="Times New Roman" w:hAnsi="Times New Roman"/>
          <w:bCs/>
          <w:color w:val="000000" w:themeColor="text1"/>
          <w:kern w:val="2"/>
          <w:lang w:eastAsia="zh-CN"/>
        </w:rPr>
        <w:t>宣汉县</w:t>
      </w:r>
      <w:r w:rsidRPr="00092862">
        <w:rPr>
          <w:rFonts w:ascii="Times New Roman" w:hAnsi="Times New Roman"/>
          <w:bCs/>
          <w:color w:val="000000" w:themeColor="text1"/>
          <w:kern w:val="2"/>
          <w:lang w:eastAsia="zh-CN"/>
        </w:rPr>
        <w:t>境内水质均符合《地表水环境质量标准》（</w:t>
      </w:r>
      <w:r w:rsidRPr="00092862">
        <w:rPr>
          <w:rFonts w:ascii="Times New Roman" w:hAnsi="Times New Roman"/>
          <w:bCs/>
          <w:color w:val="000000" w:themeColor="text1"/>
          <w:kern w:val="2"/>
          <w:lang w:eastAsia="zh-CN"/>
        </w:rPr>
        <w:t>GB3838</w:t>
      </w:r>
      <w:r w:rsidR="000D1626"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2002</w:t>
      </w:r>
      <w:r w:rsidRPr="00092862">
        <w:rPr>
          <w:rFonts w:ascii="Times New Roman" w:hAnsi="Times New Roman"/>
          <w:bCs/>
          <w:color w:val="000000" w:themeColor="text1"/>
          <w:kern w:val="2"/>
          <w:lang w:eastAsia="zh-CN"/>
        </w:rPr>
        <w:t>）中</w:t>
      </w:r>
      <w:r w:rsidRPr="00092862">
        <w:rPr>
          <w:rFonts w:ascii="Times New Roman" w:hAnsi="Times New Roman"/>
          <w:bCs/>
          <w:color w:val="000000" w:themeColor="text1"/>
          <w:kern w:val="2"/>
          <w:lang w:eastAsia="zh-CN"/>
        </w:rPr>
        <w:t>Ⅲ</w:t>
      </w:r>
      <w:r w:rsidRPr="00092862">
        <w:rPr>
          <w:rFonts w:ascii="Times New Roman" w:hAnsi="Times New Roman"/>
          <w:bCs/>
          <w:color w:val="000000" w:themeColor="text1"/>
          <w:kern w:val="2"/>
          <w:lang w:eastAsia="zh-CN"/>
        </w:rPr>
        <w:t>类水质标准限值要求。</w:t>
      </w:r>
    </w:p>
    <w:p w14:paraId="10BD6DAC" w14:textId="6FA4F7B7" w:rsidR="003E3333" w:rsidRPr="00092862" w:rsidRDefault="003E3333" w:rsidP="0081053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达州市生态环境局于</w:t>
      </w:r>
      <w:r w:rsidRPr="00092862">
        <w:rPr>
          <w:rFonts w:ascii="Times New Roman" w:hAnsi="Times New Roman"/>
          <w:bCs/>
          <w:color w:val="000000" w:themeColor="text1"/>
          <w:kern w:val="2"/>
          <w:lang w:eastAsia="zh-CN"/>
        </w:rPr>
        <w:t>2022</w:t>
      </w:r>
      <w:r w:rsidRPr="00092862">
        <w:rPr>
          <w:rFonts w:ascii="Times New Roman" w:hAnsi="Times New Roman"/>
          <w:bCs/>
          <w:color w:val="000000" w:themeColor="text1"/>
          <w:kern w:val="2"/>
          <w:lang w:eastAsia="zh-CN"/>
        </w:rPr>
        <w:t>年</w:t>
      </w:r>
      <w:r w:rsidRPr="00092862">
        <w:rPr>
          <w:rFonts w:ascii="Times New Roman" w:hAnsi="Times New Roman"/>
          <w:bCs/>
          <w:color w:val="000000" w:themeColor="text1"/>
          <w:kern w:val="2"/>
          <w:lang w:eastAsia="zh-CN"/>
        </w:rPr>
        <w:t>11</w:t>
      </w:r>
      <w:r w:rsidRPr="00092862">
        <w:rPr>
          <w:rFonts w:ascii="Times New Roman" w:hAnsi="Times New Roman"/>
          <w:bCs/>
          <w:color w:val="000000" w:themeColor="text1"/>
          <w:kern w:val="2"/>
          <w:lang w:eastAsia="zh-CN"/>
        </w:rPr>
        <w:t>月</w:t>
      </w:r>
      <w:r w:rsidRPr="00092862">
        <w:rPr>
          <w:rFonts w:ascii="Times New Roman" w:hAnsi="Times New Roman"/>
          <w:bCs/>
          <w:color w:val="000000" w:themeColor="text1"/>
          <w:kern w:val="2"/>
          <w:lang w:eastAsia="zh-CN"/>
        </w:rPr>
        <w:t>11</w:t>
      </w:r>
      <w:r w:rsidRPr="00092862">
        <w:rPr>
          <w:rFonts w:ascii="Times New Roman" w:hAnsi="Times New Roman"/>
          <w:bCs/>
          <w:color w:val="000000" w:themeColor="text1"/>
          <w:kern w:val="2"/>
          <w:lang w:eastAsia="zh-CN"/>
        </w:rPr>
        <w:t>日公布了</w:t>
      </w:r>
      <w:r w:rsidRPr="00092862">
        <w:rPr>
          <w:rFonts w:ascii="Times New Roman" w:hAnsi="Times New Roman"/>
          <w:bCs/>
          <w:color w:val="000000" w:themeColor="text1"/>
          <w:kern w:val="2"/>
          <w:lang w:eastAsia="zh-CN"/>
        </w:rPr>
        <w:t>2022</w:t>
      </w:r>
      <w:r w:rsidRPr="00092862">
        <w:rPr>
          <w:rFonts w:ascii="Times New Roman" w:hAnsi="Times New Roman"/>
          <w:bCs/>
          <w:color w:val="000000" w:themeColor="text1"/>
          <w:kern w:val="2"/>
          <w:lang w:eastAsia="zh-CN"/>
        </w:rPr>
        <w:t>年</w:t>
      </w:r>
      <w:r w:rsidRPr="00092862">
        <w:rPr>
          <w:rFonts w:ascii="Times New Roman" w:hAnsi="Times New Roman"/>
          <w:bCs/>
          <w:color w:val="000000" w:themeColor="text1"/>
          <w:kern w:val="2"/>
          <w:lang w:eastAsia="zh-CN"/>
        </w:rPr>
        <w:t>10</w:t>
      </w:r>
      <w:r w:rsidRPr="00092862">
        <w:rPr>
          <w:rFonts w:ascii="Times New Roman" w:hAnsi="Times New Roman"/>
          <w:bCs/>
          <w:color w:val="000000" w:themeColor="text1"/>
          <w:kern w:val="2"/>
          <w:lang w:eastAsia="zh-CN"/>
        </w:rPr>
        <w:t>月达州市地表水水质月报，根据月报可知，</w:t>
      </w:r>
      <w:r w:rsidRPr="00092862">
        <w:rPr>
          <w:rFonts w:ascii="Times New Roman" w:hAnsi="Times New Roman"/>
          <w:bCs/>
          <w:color w:val="000000" w:themeColor="text1"/>
          <w:kern w:val="2"/>
          <w:lang w:eastAsia="zh-CN"/>
        </w:rPr>
        <w:t>2022</w:t>
      </w:r>
      <w:r w:rsidRPr="00092862">
        <w:rPr>
          <w:rFonts w:ascii="Times New Roman" w:hAnsi="Times New Roman"/>
          <w:bCs/>
          <w:color w:val="000000" w:themeColor="text1"/>
          <w:kern w:val="2"/>
          <w:lang w:eastAsia="zh-CN"/>
        </w:rPr>
        <w:t>年</w:t>
      </w:r>
      <w:r w:rsidRPr="00092862">
        <w:rPr>
          <w:rFonts w:ascii="Times New Roman" w:hAnsi="Times New Roman"/>
          <w:bCs/>
          <w:color w:val="000000" w:themeColor="text1"/>
          <w:kern w:val="2"/>
          <w:lang w:eastAsia="zh-CN"/>
        </w:rPr>
        <w:t>10</w:t>
      </w:r>
      <w:r w:rsidRPr="00092862">
        <w:rPr>
          <w:rFonts w:ascii="Times New Roman" w:hAnsi="Times New Roman"/>
          <w:bCs/>
          <w:color w:val="000000" w:themeColor="text1"/>
          <w:kern w:val="2"/>
          <w:lang w:eastAsia="zh-CN"/>
        </w:rPr>
        <w:t>月</w:t>
      </w:r>
      <w:r w:rsidR="002E08DF" w:rsidRPr="00092862">
        <w:rPr>
          <w:rFonts w:ascii="Times New Roman" w:hAnsi="Times New Roman"/>
          <w:bCs/>
          <w:color w:val="000000" w:themeColor="text1"/>
          <w:kern w:val="2"/>
          <w:lang w:eastAsia="zh-CN"/>
        </w:rPr>
        <w:t>后河位于</w:t>
      </w:r>
      <w:r w:rsidR="002E08DF" w:rsidRPr="00092862">
        <w:rPr>
          <w:rFonts w:ascii="Times New Roman" w:hAnsi="Times New Roman"/>
          <w:color w:val="000000" w:themeColor="text1"/>
          <w:lang w:eastAsia="zh-CN"/>
        </w:rPr>
        <w:t>漩坑坝（万源市</w:t>
      </w:r>
      <w:r w:rsidR="002E08DF" w:rsidRPr="00092862">
        <w:rPr>
          <w:rFonts w:ascii="Times New Roman" w:hAnsi="Times New Roman"/>
          <w:color w:val="000000" w:themeColor="text1"/>
          <w:lang w:eastAsia="zh-CN"/>
        </w:rPr>
        <w:t>→</w:t>
      </w:r>
      <w:r w:rsidR="002E08DF" w:rsidRPr="00092862">
        <w:rPr>
          <w:rFonts w:ascii="Times New Roman" w:hAnsi="Times New Roman"/>
          <w:color w:val="000000" w:themeColor="text1"/>
          <w:lang w:eastAsia="zh-CN"/>
        </w:rPr>
        <w:t>宣汉县）监测断面的国考断面地表水水质满足</w:t>
      </w:r>
      <w:r w:rsidR="002E08DF" w:rsidRPr="00092862">
        <w:rPr>
          <w:rFonts w:ascii="Times New Roman" w:hAnsi="Times New Roman"/>
          <w:bCs/>
          <w:color w:val="000000" w:themeColor="text1"/>
          <w:kern w:val="2"/>
          <w:lang w:eastAsia="zh-CN"/>
        </w:rPr>
        <w:t>《地表水环境质量标准》（</w:t>
      </w:r>
      <w:r w:rsidR="002E08DF" w:rsidRPr="00092862">
        <w:rPr>
          <w:rFonts w:ascii="Times New Roman" w:hAnsi="Times New Roman"/>
          <w:bCs/>
          <w:color w:val="000000" w:themeColor="text1"/>
          <w:kern w:val="2"/>
          <w:lang w:eastAsia="zh-CN"/>
        </w:rPr>
        <w:t>GB3838-2002</w:t>
      </w:r>
      <w:r w:rsidR="002E08DF" w:rsidRPr="00092862">
        <w:rPr>
          <w:rFonts w:ascii="Times New Roman" w:hAnsi="Times New Roman"/>
          <w:bCs/>
          <w:color w:val="000000" w:themeColor="text1"/>
          <w:kern w:val="2"/>
          <w:lang w:eastAsia="zh-CN"/>
        </w:rPr>
        <w:t>）中</w:t>
      </w:r>
      <w:r w:rsidR="002E08DF" w:rsidRPr="00092862">
        <w:rPr>
          <w:rFonts w:ascii="Times New Roman" w:hAnsi="Times New Roman"/>
          <w:bCs/>
          <w:color w:val="000000" w:themeColor="text1"/>
          <w:kern w:val="2"/>
          <w:lang w:eastAsia="zh-CN"/>
        </w:rPr>
        <w:t>Ⅱ</w:t>
      </w:r>
      <w:r w:rsidR="002E08DF" w:rsidRPr="00092862">
        <w:rPr>
          <w:rFonts w:ascii="Times New Roman" w:hAnsi="Times New Roman"/>
          <w:bCs/>
          <w:color w:val="000000" w:themeColor="text1"/>
          <w:kern w:val="2"/>
          <w:lang w:eastAsia="zh-CN"/>
        </w:rPr>
        <w:t>类水质标准限值要求，因此满足《地表水环境质量标准》（</w:t>
      </w:r>
      <w:r w:rsidR="002E08DF" w:rsidRPr="00092862">
        <w:rPr>
          <w:rFonts w:ascii="Times New Roman" w:hAnsi="Times New Roman"/>
          <w:bCs/>
          <w:color w:val="000000" w:themeColor="text1"/>
          <w:kern w:val="2"/>
          <w:lang w:eastAsia="zh-CN"/>
        </w:rPr>
        <w:t>GB3838-2002</w:t>
      </w:r>
      <w:r w:rsidR="002E08DF" w:rsidRPr="00092862">
        <w:rPr>
          <w:rFonts w:ascii="Times New Roman" w:hAnsi="Times New Roman"/>
          <w:bCs/>
          <w:color w:val="000000" w:themeColor="text1"/>
          <w:kern w:val="2"/>
          <w:lang w:eastAsia="zh-CN"/>
        </w:rPr>
        <w:t>）中</w:t>
      </w:r>
      <w:r w:rsidR="002E08DF" w:rsidRPr="00092862">
        <w:rPr>
          <w:rFonts w:ascii="Times New Roman" w:hAnsi="Times New Roman"/>
          <w:bCs/>
          <w:color w:val="000000" w:themeColor="text1"/>
          <w:kern w:val="2"/>
          <w:lang w:eastAsia="zh-CN"/>
        </w:rPr>
        <w:t>Ⅲ</w:t>
      </w:r>
      <w:r w:rsidR="002E08DF" w:rsidRPr="00092862">
        <w:rPr>
          <w:rFonts w:ascii="Times New Roman" w:hAnsi="Times New Roman"/>
          <w:bCs/>
          <w:color w:val="000000" w:themeColor="text1"/>
          <w:kern w:val="2"/>
          <w:lang w:eastAsia="zh-CN"/>
        </w:rPr>
        <w:t>类水质标准限值要求。</w:t>
      </w:r>
    </w:p>
    <w:p w14:paraId="581E07F7"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69" w:name="_Toc120173130"/>
      <w:r w:rsidRPr="00092862">
        <w:rPr>
          <w:rFonts w:ascii="Times New Roman" w:eastAsia="黑体" w:hAnsi="Times New Roman"/>
          <w:b w:val="0"/>
          <w:color w:val="000000" w:themeColor="text1"/>
          <w:sz w:val="24"/>
          <w:szCs w:val="24"/>
          <w:lang w:eastAsia="zh-CN"/>
        </w:rPr>
        <w:t>4.2.3</w:t>
      </w:r>
      <w:r w:rsidRPr="00092862">
        <w:rPr>
          <w:rFonts w:ascii="Times New Roman" w:eastAsia="黑体" w:hAnsi="Times New Roman"/>
          <w:b w:val="0"/>
          <w:color w:val="000000" w:themeColor="text1"/>
          <w:sz w:val="24"/>
          <w:szCs w:val="24"/>
          <w:lang w:eastAsia="zh-CN"/>
        </w:rPr>
        <w:t>声环境质量现状监测与评价</w:t>
      </w:r>
      <w:bookmarkEnd w:id="169"/>
    </w:p>
    <w:p w14:paraId="13246DD1" w14:textId="7286AE9F" w:rsidR="003F58E8" w:rsidRPr="00092862" w:rsidRDefault="003F58E8" w:rsidP="002A17B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为了了解项目建设对声环境的影响，本次评价对区域声环境质量进行了</w:t>
      </w:r>
      <w:r w:rsidR="00327414" w:rsidRPr="00092862">
        <w:rPr>
          <w:rFonts w:ascii="Times New Roman" w:hAnsi="Times New Roman"/>
          <w:color w:val="000000" w:themeColor="text1"/>
          <w:lang w:eastAsia="zh-CN"/>
        </w:rPr>
        <w:t>现状</w:t>
      </w:r>
      <w:r w:rsidRPr="00092862">
        <w:rPr>
          <w:rFonts w:ascii="Times New Roman" w:hAnsi="Times New Roman"/>
          <w:color w:val="000000" w:themeColor="text1"/>
          <w:lang w:eastAsia="zh-CN"/>
        </w:rPr>
        <w:t>监测。</w:t>
      </w:r>
    </w:p>
    <w:p w14:paraId="7795B1A8" w14:textId="77777777" w:rsidR="00DC446C" w:rsidRPr="00092862" w:rsidRDefault="003B1968" w:rsidP="002A17B3">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）监测方案</w:t>
      </w:r>
    </w:p>
    <w:p w14:paraId="44CD65DA" w14:textId="527084D5" w:rsidR="00DC446C" w:rsidRPr="00092862" w:rsidRDefault="003B1968" w:rsidP="00811DD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监测布点：</w:t>
      </w:r>
      <w:r w:rsidR="00811DDF" w:rsidRPr="00092862">
        <w:rPr>
          <w:rFonts w:ascii="Times New Roman" w:hAnsi="Times New Roman"/>
          <w:bCs/>
          <w:color w:val="000000" w:themeColor="text1"/>
          <w:kern w:val="2"/>
          <w:lang w:eastAsia="zh-CN"/>
        </w:rPr>
        <w:t>根据外环境关系，项目拟建地周边</w:t>
      </w:r>
      <w:r w:rsidR="00811DDF" w:rsidRPr="00092862">
        <w:rPr>
          <w:rFonts w:ascii="Times New Roman" w:hAnsi="Times New Roman"/>
          <w:bCs/>
          <w:color w:val="000000" w:themeColor="text1"/>
          <w:kern w:val="2"/>
          <w:lang w:eastAsia="zh-CN"/>
        </w:rPr>
        <w:t>300m</w:t>
      </w:r>
      <w:r w:rsidR="00811DDF" w:rsidRPr="00092862">
        <w:rPr>
          <w:rFonts w:ascii="Times New Roman" w:hAnsi="Times New Roman"/>
          <w:bCs/>
          <w:color w:val="000000" w:themeColor="text1"/>
          <w:kern w:val="2"/>
          <w:lang w:eastAsia="zh-CN"/>
        </w:rPr>
        <w:t>范围内无居民分布，项目拟建地西侧有既有工程老君</w:t>
      </w:r>
      <w:r w:rsidR="00811DDF" w:rsidRPr="00092862">
        <w:rPr>
          <w:rFonts w:ascii="Times New Roman" w:hAnsi="Times New Roman"/>
          <w:bCs/>
          <w:color w:val="000000" w:themeColor="text1"/>
          <w:kern w:val="2"/>
          <w:lang w:eastAsia="zh-CN"/>
        </w:rPr>
        <w:t>701</w:t>
      </w:r>
      <w:r w:rsidR="00811DDF" w:rsidRPr="00092862">
        <w:rPr>
          <w:rFonts w:ascii="Times New Roman" w:hAnsi="Times New Roman"/>
          <w:bCs/>
          <w:color w:val="000000" w:themeColor="text1"/>
          <w:kern w:val="2"/>
          <w:lang w:eastAsia="zh-CN"/>
        </w:rPr>
        <w:t>集气站分布。</w:t>
      </w:r>
      <w:r w:rsidRPr="00092862">
        <w:rPr>
          <w:rFonts w:ascii="Times New Roman" w:hAnsi="Times New Roman"/>
          <w:bCs/>
          <w:color w:val="000000" w:themeColor="text1"/>
          <w:kern w:val="2"/>
          <w:lang w:eastAsia="zh-CN"/>
        </w:rPr>
        <w:t>根据项目情况及环境特征，本次环评布设噪声监测点</w:t>
      </w:r>
      <w:r w:rsidR="00811DDF" w:rsidRPr="00092862">
        <w:rPr>
          <w:rFonts w:ascii="Times New Roman" w:hAnsi="Times New Roman"/>
          <w:bCs/>
          <w:color w:val="000000" w:themeColor="text1"/>
          <w:kern w:val="2"/>
          <w:lang w:eastAsia="zh-CN"/>
        </w:rPr>
        <w:t>8</w:t>
      </w:r>
      <w:r w:rsidRPr="00092862">
        <w:rPr>
          <w:rFonts w:ascii="Times New Roman" w:hAnsi="Times New Roman"/>
          <w:bCs/>
          <w:color w:val="000000" w:themeColor="text1"/>
          <w:kern w:val="2"/>
          <w:lang w:eastAsia="zh-CN"/>
        </w:rPr>
        <w:t>个。监测点布置具体见附图</w:t>
      </w:r>
      <w:r w:rsidR="00621277"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，噪声监测布点统计见表</w:t>
      </w:r>
      <w:r w:rsidRPr="00092862">
        <w:rPr>
          <w:rFonts w:ascii="Times New Roman" w:hAnsi="Times New Roman"/>
          <w:bCs/>
          <w:color w:val="000000" w:themeColor="text1"/>
          <w:kern w:val="2"/>
          <w:lang w:eastAsia="zh-CN"/>
        </w:rPr>
        <w:t>4.2-</w:t>
      </w:r>
      <w:r w:rsidR="00D26362"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w:t>
      </w:r>
    </w:p>
    <w:p w14:paraId="16C944B9" w14:textId="4DBF1FB4" w:rsidR="00DC446C" w:rsidRPr="00092862" w:rsidRDefault="003B1968"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4.2-</w:t>
      </w:r>
      <w:r w:rsidR="00D26362" w:rsidRPr="00092862">
        <w:rPr>
          <w:rFonts w:ascii="Times New Roman" w:eastAsia="黑体" w:hAnsi="Times New Roman"/>
          <w:color w:val="000000" w:themeColor="text1"/>
          <w:sz w:val="21"/>
          <w:szCs w:val="21"/>
          <w:lang w:eastAsia="zh-CN"/>
        </w:rPr>
        <w:t>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项目噪声监测点位一览表</w:t>
      </w:r>
    </w:p>
    <w:tbl>
      <w:tblPr>
        <w:tblpPr w:leftFromText="180" w:rightFromText="180" w:vertAnchor="text" w:tblpXSpec="center" w:tblpY="1"/>
        <w:tblOverlap w:val="never"/>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0"/>
        <w:gridCol w:w="2835"/>
        <w:gridCol w:w="1559"/>
        <w:gridCol w:w="1990"/>
      </w:tblGrid>
      <w:tr w:rsidR="00697429" w:rsidRPr="00092862" w14:paraId="5BF39D44" w14:textId="77777777" w:rsidTr="006C5718">
        <w:tc>
          <w:tcPr>
            <w:tcW w:w="988" w:type="dxa"/>
            <w:vAlign w:val="center"/>
          </w:tcPr>
          <w:p w14:paraId="425E2F98" w14:textId="77777777" w:rsidR="00DC446C" w:rsidRPr="00092862" w:rsidRDefault="003B1968" w:rsidP="006C5718">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kern w:val="0"/>
                <w:szCs w:val="21"/>
              </w:rPr>
              <w:t>井号</w:t>
            </w:r>
          </w:p>
        </w:tc>
        <w:tc>
          <w:tcPr>
            <w:tcW w:w="850" w:type="dxa"/>
            <w:vAlign w:val="center"/>
          </w:tcPr>
          <w:p w14:paraId="3254B183" w14:textId="77777777" w:rsidR="00DC446C" w:rsidRPr="00092862" w:rsidRDefault="003B196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编号</w:t>
            </w:r>
          </w:p>
        </w:tc>
        <w:tc>
          <w:tcPr>
            <w:tcW w:w="2835" w:type="dxa"/>
            <w:vAlign w:val="center"/>
          </w:tcPr>
          <w:p w14:paraId="762AB984" w14:textId="77777777" w:rsidR="00DC446C" w:rsidRPr="00092862" w:rsidRDefault="003B196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方位</w:t>
            </w:r>
          </w:p>
        </w:tc>
        <w:tc>
          <w:tcPr>
            <w:tcW w:w="1559" w:type="dxa"/>
            <w:tcBorders>
              <w:right w:val="single" w:sz="4" w:space="0" w:color="auto"/>
            </w:tcBorders>
            <w:vAlign w:val="center"/>
          </w:tcPr>
          <w:p w14:paraId="601BEF5E" w14:textId="561F4834" w:rsidR="00DC446C" w:rsidRPr="00092862" w:rsidRDefault="003B196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距离</w:t>
            </w:r>
            <w:r w:rsidR="006C5718" w:rsidRPr="00092862">
              <w:rPr>
                <w:rFonts w:ascii="Times New Roman" w:hAnsi="Times New Roman"/>
                <w:color w:val="000000" w:themeColor="text1"/>
                <w:kern w:val="0"/>
                <w:szCs w:val="28"/>
              </w:rPr>
              <w:t>（厂界）</w:t>
            </w:r>
          </w:p>
        </w:tc>
        <w:tc>
          <w:tcPr>
            <w:tcW w:w="1990" w:type="dxa"/>
            <w:tcBorders>
              <w:top w:val="single" w:sz="4" w:space="0" w:color="auto"/>
              <w:left w:val="single" w:sz="4" w:space="0" w:color="auto"/>
              <w:right w:val="single" w:sz="4" w:space="0" w:color="auto"/>
            </w:tcBorders>
            <w:vAlign w:val="center"/>
          </w:tcPr>
          <w:p w14:paraId="2ABAD113" w14:textId="77777777" w:rsidR="00DC446C" w:rsidRPr="00092862" w:rsidRDefault="003B196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备注</w:t>
            </w:r>
          </w:p>
        </w:tc>
      </w:tr>
      <w:tr w:rsidR="00697429" w:rsidRPr="00092862" w14:paraId="20713CB5" w14:textId="77777777" w:rsidTr="006C5718">
        <w:tc>
          <w:tcPr>
            <w:tcW w:w="988" w:type="dxa"/>
            <w:vMerge w:val="restart"/>
            <w:vAlign w:val="center"/>
          </w:tcPr>
          <w:p w14:paraId="2BE531F7" w14:textId="2AE49EAB"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kern w:val="0"/>
                <w:szCs w:val="21"/>
              </w:rPr>
              <w:t>现有老君</w:t>
            </w:r>
            <w:r w:rsidRPr="00092862">
              <w:rPr>
                <w:rFonts w:ascii="Times New Roman" w:hAnsi="Times New Roman"/>
                <w:color w:val="000000" w:themeColor="text1"/>
                <w:kern w:val="0"/>
                <w:szCs w:val="21"/>
              </w:rPr>
              <w:t>701</w:t>
            </w:r>
            <w:r w:rsidRPr="00092862">
              <w:rPr>
                <w:rFonts w:ascii="Times New Roman" w:hAnsi="Times New Roman"/>
                <w:color w:val="000000" w:themeColor="text1"/>
                <w:kern w:val="0"/>
                <w:szCs w:val="21"/>
              </w:rPr>
              <w:t>集气站</w:t>
            </w:r>
          </w:p>
        </w:tc>
        <w:tc>
          <w:tcPr>
            <w:tcW w:w="850" w:type="dxa"/>
            <w:vAlign w:val="center"/>
          </w:tcPr>
          <w:p w14:paraId="12BA98AA"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w:t>
            </w:r>
          </w:p>
        </w:tc>
        <w:tc>
          <w:tcPr>
            <w:tcW w:w="2835" w:type="dxa"/>
            <w:vAlign w:val="center"/>
          </w:tcPr>
          <w:p w14:paraId="1B7F739F" w14:textId="749BBAEB"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现有老君</w:t>
            </w:r>
            <w:r w:rsidRPr="00092862">
              <w:rPr>
                <w:rFonts w:ascii="Times New Roman" w:hAnsi="Times New Roman"/>
                <w:color w:val="000000" w:themeColor="text1"/>
                <w:kern w:val="0"/>
                <w:szCs w:val="21"/>
              </w:rPr>
              <w:t>701</w:t>
            </w:r>
            <w:r w:rsidRPr="00092862">
              <w:rPr>
                <w:rFonts w:ascii="Times New Roman" w:hAnsi="Times New Roman"/>
                <w:color w:val="000000" w:themeColor="text1"/>
                <w:kern w:val="0"/>
                <w:szCs w:val="21"/>
              </w:rPr>
              <w:t>集气站</w:t>
            </w:r>
            <w:r w:rsidRPr="00092862">
              <w:rPr>
                <w:rFonts w:ascii="Times New Roman" w:hAnsi="Times New Roman"/>
                <w:color w:val="000000" w:themeColor="text1"/>
                <w:szCs w:val="21"/>
              </w:rPr>
              <w:t>东侧</w:t>
            </w:r>
          </w:p>
        </w:tc>
        <w:tc>
          <w:tcPr>
            <w:tcW w:w="1559" w:type="dxa"/>
            <w:tcBorders>
              <w:right w:val="single" w:sz="4" w:space="0" w:color="auto"/>
            </w:tcBorders>
            <w:vAlign w:val="center"/>
          </w:tcPr>
          <w:p w14:paraId="038367A4" w14:textId="1796AAE0"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val="restart"/>
            <w:tcBorders>
              <w:left w:val="single" w:sz="4" w:space="0" w:color="auto"/>
              <w:right w:val="single" w:sz="4" w:space="0" w:color="auto"/>
            </w:tcBorders>
            <w:vAlign w:val="center"/>
          </w:tcPr>
          <w:p w14:paraId="632BBFFD" w14:textId="0335F85B"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既有工程厂界噪声监测值</w:t>
            </w:r>
          </w:p>
        </w:tc>
      </w:tr>
      <w:tr w:rsidR="00697429" w:rsidRPr="00092862" w14:paraId="46DBBE54" w14:textId="77777777" w:rsidTr="006C5718">
        <w:tc>
          <w:tcPr>
            <w:tcW w:w="988" w:type="dxa"/>
            <w:vMerge/>
            <w:vAlign w:val="center"/>
          </w:tcPr>
          <w:p w14:paraId="33329F88"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p>
        </w:tc>
        <w:tc>
          <w:tcPr>
            <w:tcW w:w="850" w:type="dxa"/>
            <w:vAlign w:val="center"/>
          </w:tcPr>
          <w:p w14:paraId="381EEB97"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2#</w:t>
            </w:r>
          </w:p>
        </w:tc>
        <w:tc>
          <w:tcPr>
            <w:tcW w:w="2835" w:type="dxa"/>
            <w:vAlign w:val="center"/>
          </w:tcPr>
          <w:p w14:paraId="1540C8C3" w14:textId="69E9607C"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现有老君</w:t>
            </w:r>
            <w:r w:rsidRPr="00092862">
              <w:rPr>
                <w:rFonts w:ascii="Times New Roman" w:hAnsi="Times New Roman"/>
                <w:color w:val="000000" w:themeColor="text1"/>
                <w:kern w:val="0"/>
                <w:szCs w:val="21"/>
              </w:rPr>
              <w:t>701</w:t>
            </w:r>
            <w:r w:rsidRPr="00092862">
              <w:rPr>
                <w:rFonts w:ascii="Times New Roman" w:hAnsi="Times New Roman"/>
                <w:color w:val="000000" w:themeColor="text1"/>
                <w:kern w:val="0"/>
                <w:szCs w:val="21"/>
              </w:rPr>
              <w:t>集气站</w:t>
            </w:r>
            <w:r w:rsidRPr="00092862">
              <w:rPr>
                <w:rFonts w:ascii="Times New Roman" w:hAnsi="Times New Roman"/>
                <w:color w:val="000000" w:themeColor="text1"/>
                <w:szCs w:val="21"/>
              </w:rPr>
              <w:t>南侧</w:t>
            </w:r>
          </w:p>
        </w:tc>
        <w:tc>
          <w:tcPr>
            <w:tcW w:w="1559" w:type="dxa"/>
            <w:tcBorders>
              <w:right w:val="single" w:sz="4" w:space="0" w:color="auto"/>
            </w:tcBorders>
            <w:vAlign w:val="center"/>
          </w:tcPr>
          <w:p w14:paraId="7162B090"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tcBorders>
              <w:left w:val="single" w:sz="4" w:space="0" w:color="auto"/>
              <w:right w:val="single" w:sz="4" w:space="0" w:color="auto"/>
            </w:tcBorders>
            <w:vAlign w:val="center"/>
          </w:tcPr>
          <w:p w14:paraId="721C6857" w14:textId="12C5671E"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p>
        </w:tc>
      </w:tr>
      <w:tr w:rsidR="00697429" w:rsidRPr="00092862" w14:paraId="7439709C" w14:textId="77777777" w:rsidTr="006C5718">
        <w:tc>
          <w:tcPr>
            <w:tcW w:w="988" w:type="dxa"/>
            <w:vMerge/>
            <w:vAlign w:val="center"/>
          </w:tcPr>
          <w:p w14:paraId="77216591"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p>
        </w:tc>
        <w:tc>
          <w:tcPr>
            <w:tcW w:w="850" w:type="dxa"/>
            <w:vAlign w:val="center"/>
          </w:tcPr>
          <w:p w14:paraId="57426FB3"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3#</w:t>
            </w:r>
          </w:p>
        </w:tc>
        <w:tc>
          <w:tcPr>
            <w:tcW w:w="2835" w:type="dxa"/>
            <w:vAlign w:val="center"/>
          </w:tcPr>
          <w:p w14:paraId="2AC401F7" w14:textId="7CE06732"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现有老君</w:t>
            </w:r>
            <w:r w:rsidRPr="00092862">
              <w:rPr>
                <w:rFonts w:ascii="Times New Roman" w:hAnsi="Times New Roman"/>
                <w:color w:val="000000" w:themeColor="text1"/>
                <w:kern w:val="0"/>
                <w:szCs w:val="21"/>
              </w:rPr>
              <w:t>701</w:t>
            </w:r>
            <w:r w:rsidRPr="00092862">
              <w:rPr>
                <w:rFonts w:ascii="Times New Roman" w:hAnsi="Times New Roman"/>
                <w:color w:val="000000" w:themeColor="text1"/>
                <w:kern w:val="0"/>
                <w:szCs w:val="21"/>
              </w:rPr>
              <w:t>集气站</w:t>
            </w:r>
            <w:r w:rsidRPr="00092862">
              <w:rPr>
                <w:rFonts w:ascii="Times New Roman" w:hAnsi="Times New Roman"/>
                <w:color w:val="000000" w:themeColor="text1"/>
                <w:szCs w:val="21"/>
              </w:rPr>
              <w:t>西侧</w:t>
            </w:r>
          </w:p>
        </w:tc>
        <w:tc>
          <w:tcPr>
            <w:tcW w:w="1559" w:type="dxa"/>
            <w:tcBorders>
              <w:right w:val="single" w:sz="4" w:space="0" w:color="auto"/>
            </w:tcBorders>
            <w:vAlign w:val="center"/>
          </w:tcPr>
          <w:p w14:paraId="3C8C35B3"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tcBorders>
              <w:left w:val="single" w:sz="4" w:space="0" w:color="auto"/>
              <w:right w:val="single" w:sz="4" w:space="0" w:color="auto"/>
            </w:tcBorders>
            <w:vAlign w:val="center"/>
          </w:tcPr>
          <w:p w14:paraId="69F4ED1D" w14:textId="3A11AF22"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p>
        </w:tc>
      </w:tr>
      <w:tr w:rsidR="00697429" w:rsidRPr="00092862" w14:paraId="357348C1" w14:textId="77777777" w:rsidTr="006C5718">
        <w:tc>
          <w:tcPr>
            <w:tcW w:w="988" w:type="dxa"/>
            <w:vMerge/>
            <w:vAlign w:val="center"/>
          </w:tcPr>
          <w:p w14:paraId="5AA21345"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p>
        </w:tc>
        <w:tc>
          <w:tcPr>
            <w:tcW w:w="850" w:type="dxa"/>
            <w:vAlign w:val="center"/>
          </w:tcPr>
          <w:p w14:paraId="16CA2EFC"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4#</w:t>
            </w:r>
          </w:p>
        </w:tc>
        <w:tc>
          <w:tcPr>
            <w:tcW w:w="2835" w:type="dxa"/>
            <w:vAlign w:val="center"/>
          </w:tcPr>
          <w:p w14:paraId="6579491E" w14:textId="3EFAD9EE"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现有老君</w:t>
            </w:r>
            <w:r w:rsidRPr="00092862">
              <w:rPr>
                <w:rFonts w:ascii="Times New Roman" w:hAnsi="Times New Roman"/>
                <w:color w:val="000000" w:themeColor="text1"/>
                <w:kern w:val="0"/>
                <w:szCs w:val="21"/>
              </w:rPr>
              <w:t>701</w:t>
            </w:r>
            <w:r w:rsidRPr="00092862">
              <w:rPr>
                <w:rFonts w:ascii="Times New Roman" w:hAnsi="Times New Roman"/>
                <w:color w:val="000000" w:themeColor="text1"/>
                <w:kern w:val="0"/>
                <w:szCs w:val="21"/>
              </w:rPr>
              <w:t>集气站</w:t>
            </w:r>
            <w:r w:rsidRPr="00092862">
              <w:rPr>
                <w:rFonts w:ascii="Times New Roman" w:hAnsi="Times New Roman"/>
                <w:color w:val="000000" w:themeColor="text1"/>
                <w:szCs w:val="21"/>
              </w:rPr>
              <w:t>北侧</w:t>
            </w:r>
          </w:p>
        </w:tc>
        <w:tc>
          <w:tcPr>
            <w:tcW w:w="1559" w:type="dxa"/>
            <w:tcBorders>
              <w:right w:val="single" w:sz="4" w:space="0" w:color="auto"/>
            </w:tcBorders>
            <w:vAlign w:val="center"/>
          </w:tcPr>
          <w:p w14:paraId="78F7005A"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tcBorders>
              <w:left w:val="single" w:sz="4" w:space="0" w:color="auto"/>
              <w:right w:val="single" w:sz="4" w:space="0" w:color="auto"/>
            </w:tcBorders>
            <w:vAlign w:val="center"/>
          </w:tcPr>
          <w:p w14:paraId="36D57196" w14:textId="53787EE5"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p>
        </w:tc>
      </w:tr>
      <w:tr w:rsidR="00697429" w:rsidRPr="00092862" w14:paraId="3DBF726D" w14:textId="77777777" w:rsidTr="006C5718">
        <w:tc>
          <w:tcPr>
            <w:tcW w:w="988" w:type="dxa"/>
            <w:vMerge w:val="restart"/>
            <w:vAlign w:val="center"/>
          </w:tcPr>
          <w:p w14:paraId="22BAF5F9" w14:textId="5B293C52" w:rsidR="006C5718" w:rsidRPr="00092862" w:rsidRDefault="006C5718" w:rsidP="006C571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本项目拟建老君</w:t>
            </w:r>
            <w:r w:rsidRPr="00092862">
              <w:rPr>
                <w:rFonts w:ascii="Times New Roman" w:hAnsi="Times New Roman"/>
                <w:color w:val="000000" w:themeColor="text1"/>
                <w:sz w:val="22"/>
                <w:szCs w:val="22"/>
              </w:rPr>
              <w:t>7011</w:t>
            </w:r>
            <w:r w:rsidRPr="00092862">
              <w:rPr>
                <w:rFonts w:ascii="Times New Roman" w:hAnsi="Times New Roman"/>
                <w:color w:val="000000" w:themeColor="text1"/>
                <w:sz w:val="22"/>
                <w:szCs w:val="22"/>
              </w:rPr>
              <w:t>井台</w:t>
            </w:r>
          </w:p>
        </w:tc>
        <w:tc>
          <w:tcPr>
            <w:tcW w:w="850" w:type="dxa"/>
            <w:vAlign w:val="center"/>
          </w:tcPr>
          <w:p w14:paraId="797B0D79" w14:textId="7FE42C15"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5#</w:t>
            </w:r>
          </w:p>
        </w:tc>
        <w:tc>
          <w:tcPr>
            <w:tcW w:w="2835" w:type="dxa"/>
            <w:vAlign w:val="center"/>
          </w:tcPr>
          <w:p w14:paraId="00C0C7C2" w14:textId="37C2BBC3"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sz w:val="22"/>
                <w:szCs w:val="22"/>
              </w:rPr>
              <w:t>本项目拟建井台东侧</w:t>
            </w:r>
          </w:p>
        </w:tc>
        <w:tc>
          <w:tcPr>
            <w:tcW w:w="1559" w:type="dxa"/>
            <w:tcBorders>
              <w:right w:val="single" w:sz="4" w:space="0" w:color="auto"/>
            </w:tcBorders>
            <w:vAlign w:val="center"/>
          </w:tcPr>
          <w:p w14:paraId="7EBC070F" w14:textId="63A9E3B3"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val="restart"/>
            <w:tcBorders>
              <w:left w:val="single" w:sz="4" w:space="0" w:color="auto"/>
              <w:right w:val="single" w:sz="4" w:space="0" w:color="auto"/>
            </w:tcBorders>
            <w:vAlign w:val="center"/>
          </w:tcPr>
          <w:p w14:paraId="0E67C363" w14:textId="180F318C"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拟建项目背景值</w:t>
            </w:r>
          </w:p>
        </w:tc>
      </w:tr>
      <w:tr w:rsidR="00697429" w:rsidRPr="00092862" w14:paraId="161C8818" w14:textId="77777777" w:rsidTr="006C5718">
        <w:tc>
          <w:tcPr>
            <w:tcW w:w="988" w:type="dxa"/>
            <w:vMerge/>
            <w:vAlign w:val="center"/>
          </w:tcPr>
          <w:p w14:paraId="70FD5A98" w14:textId="77777777" w:rsidR="006C5718" w:rsidRPr="00092862" w:rsidRDefault="006C5718" w:rsidP="006C5718">
            <w:pPr>
              <w:pStyle w:val="a5"/>
              <w:snapToGrid w:val="0"/>
              <w:spacing w:line="240" w:lineRule="auto"/>
              <w:rPr>
                <w:rFonts w:ascii="Times New Roman" w:hAnsi="Times New Roman"/>
                <w:color w:val="000000" w:themeColor="text1"/>
                <w:sz w:val="22"/>
                <w:szCs w:val="22"/>
              </w:rPr>
            </w:pPr>
          </w:p>
        </w:tc>
        <w:tc>
          <w:tcPr>
            <w:tcW w:w="850" w:type="dxa"/>
            <w:vAlign w:val="center"/>
          </w:tcPr>
          <w:p w14:paraId="4289603F" w14:textId="0A0224EB"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6#</w:t>
            </w:r>
          </w:p>
        </w:tc>
        <w:tc>
          <w:tcPr>
            <w:tcW w:w="2835" w:type="dxa"/>
            <w:vAlign w:val="center"/>
          </w:tcPr>
          <w:p w14:paraId="2B3E2170" w14:textId="2F0A7A73"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本项目拟建井台南侧</w:t>
            </w:r>
          </w:p>
        </w:tc>
        <w:tc>
          <w:tcPr>
            <w:tcW w:w="1559" w:type="dxa"/>
            <w:tcBorders>
              <w:right w:val="single" w:sz="4" w:space="0" w:color="auto"/>
            </w:tcBorders>
            <w:vAlign w:val="center"/>
          </w:tcPr>
          <w:p w14:paraId="09958348" w14:textId="6ABA1809"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tcBorders>
              <w:left w:val="single" w:sz="4" w:space="0" w:color="auto"/>
              <w:right w:val="single" w:sz="4" w:space="0" w:color="auto"/>
            </w:tcBorders>
            <w:vAlign w:val="center"/>
          </w:tcPr>
          <w:p w14:paraId="47DA2078"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p>
        </w:tc>
      </w:tr>
      <w:tr w:rsidR="00697429" w:rsidRPr="00092862" w14:paraId="0179EDA9" w14:textId="77777777" w:rsidTr="006C5718">
        <w:tc>
          <w:tcPr>
            <w:tcW w:w="988" w:type="dxa"/>
            <w:vMerge/>
            <w:vAlign w:val="center"/>
          </w:tcPr>
          <w:p w14:paraId="7F83663A" w14:textId="77777777" w:rsidR="006C5718" w:rsidRPr="00092862" w:rsidRDefault="006C5718" w:rsidP="006C5718">
            <w:pPr>
              <w:pStyle w:val="a5"/>
              <w:snapToGrid w:val="0"/>
              <w:spacing w:line="240" w:lineRule="auto"/>
              <w:rPr>
                <w:rFonts w:ascii="Times New Roman" w:hAnsi="Times New Roman"/>
                <w:color w:val="000000" w:themeColor="text1"/>
                <w:sz w:val="22"/>
                <w:szCs w:val="22"/>
              </w:rPr>
            </w:pPr>
          </w:p>
        </w:tc>
        <w:tc>
          <w:tcPr>
            <w:tcW w:w="850" w:type="dxa"/>
            <w:vAlign w:val="center"/>
          </w:tcPr>
          <w:p w14:paraId="6EF5C4AA" w14:textId="67C3F7C6"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7#</w:t>
            </w:r>
          </w:p>
        </w:tc>
        <w:tc>
          <w:tcPr>
            <w:tcW w:w="2835" w:type="dxa"/>
            <w:vAlign w:val="center"/>
          </w:tcPr>
          <w:p w14:paraId="6586A8DD" w14:textId="1EEB0BFD"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本项目拟建井台西侧</w:t>
            </w:r>
          </w:p>
        </w:tc>
        <w:tc>
          <w:tcPr>
            <w:tcW w:w="1559" w:type="dxa"/>
            <w:tcBorders>
              <w:right w:val="single" w:sz="4" w:space="0" w:color="auto"/>
            </w:tcBorders>
            <w:vAlign w:val="center"/>
          </w:tcPr>
          <w:p w14:paraId="7A0910E8" w14:textId="26D3727A"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tcBorders>
              <w:left w:val="single" w:sz="4" w:space="0" w:color="auto"/>
              <w:right w:val="single" w:sz="4" w:space="0" w:color="auto"/>
            </w:tcBorders>
            <w:vAlign w:val="center"/>
          </w:tcPr>
          <w:p w14:paraId="48DA8054"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p>
        </w:tc>
      </w:tr>
      <w:tr w:rsidR="00697429" w:rsidRPr="00092862" w14:paraId="19F97282" w14:textId="77777777" w:rsidTr="006C5718">
        <w:tc>
          <w:tcPr>
            <w:tcW w:w="988" w:type="dxa"/>
            <w:vMerge/>
            <w:vAlign w:val="center"/>
          </w:tcPr>
          <w:p w14:paraId="158FC8AB" w14:textId="77777777" w:rsidR="006C5718" w:rsidRPr="00092862" w:rsidRDefault="006C5718" w:rsidP="006C5718">
            <w:pPr>
              <w:pStyle w:val="a5"/>
              <w:snapToGrid w:val="0"/>
              <w:spacing w:line="240" w:lineRule="auto"/>
              <w:rPr>
                <w:rFonts w:ascii="Times New Roman" w:hAnsi="Times New Roman"/>
                <w:color w:val="000000" w:themeColor="text1"/>
                <w:sz w:val="22"/>
                <w:szCs w:val="22"/>
              </w:rPr>
            </w:pPr>
          </w:p>
        </w:tc>
        <w:tc>
          <w:tcPr>
            <w:tcW w:w="850" w:type="dxa"/>
            <w:vAlign w:val="center"/>
          </w:tcPr>
          <w:p w14:paraId="4811F826" w14:textId="3B55B76D"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8#</w:t>
            </w:r>
          </w:p>
        </w:tc>
        <w:tc>
          <w:tcPr>
            <w:tcW w:w="2835" w:type="dxa"/>
            <w:vAlign w:val="center"/>
          </w:tcPr>
          <w:p w14:paraId="7469B433" w14:textId="6F0808FB" w:rsidR="006C5718" w:rsidRPr="00092862" w:rsidRDefault="006C5718" w:rsidP="006C5718">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本项目拟建井台北侧</w:t>
            </w:r>
          </w:p>
        </w:tc>
        <w:tc>
          <w:tcPr>
            <w:tcW w:w="1559" w:type="dxa"/>
            <w:tcBorders>
              <w:right w:val="single" w:sz="4" w:space="0" w:color="auto"/>
            </w:tcBorders>
            <w:vAlign w:val="center"/>
          </w:tcPr>
          <w:p w14:paraId="16330609" w14:textId="3888ED5E"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1m</w:t>
            </w:r>
          </w:p>
        </w:tc>
        <w:tc>
          <w:tcPr>
            <w:tcW w:w="1990" w:type="dxa"/>
            <w:vMerge/>
            <w:tcBorders>
              <w:left w:val="single" w:sz="4" w:space="0" w:color="auto"/>
              <w:right w:val="single" w:sz="4" w:space="0" w:color="auto"/>
            </w:tcBorders>
            <w:vAlign w:val="center"/>
          </w:tcPr>
          <w:p w14:paraId="3E7B4456" w14:textId="77777777" w:rsidR="006C5718" w:rsidRPr="00092862" w:rsidRDefault="006C5718" w:rsidP="006C5718">
            <w:pPr>
              <w:pStyle w:val="a5"/>
              <w:widowControl/>
              <w:snapToGrid w:val="0"/>
              <w:spacing w:line="240" w:lineRule="auto"/>
              <w:rPr>
                <w:rFonts w:ascii="Times New Roman" w:hAnsi="Times New Roman"/>
                <w:color w:val="000000" w:themeColor="text1"/>
                <w:kern w:val="0"/>
                <w:szCs w:val="28"/>
              </w:rPr>
            </w:pPr>
          </w:p>
        </w:tc>
      </w:tr>
    </w:tbl>
    <w:p w14:paraId="3038EA97" w14:textId="77777777" w:rsidR="00DC446C" w:rsidRPr="00092862" w:rsidRDefault="003B1968" w:rsidP="002A17B3">
      <w:pPr>
        <w:pStyle w:val="ac"/>
        <w:adjustRightInd w:val="0"/>
        <w:snapToGrid w:val="0"/>
        <w:spacing w:beforeLines="50" w:before="12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监测因子：连续</w:t>
      </w: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声级。</w:t>
      </w:r>
    </w:p>
    <w:p w14:paraId="128C75E1" w14:textId="2AEFBA1A" w:rsidR="00DC446C" w:rsidRPr="00092862" w:rsidRDefault="003B1968" w:rsidP="002A17B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监测频率及时间：连续</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天（</w:t>
      </w:r>
      <w:r w:rsidR="006C5718" w:rsidRPr="00092862">
        <w:rPr>
          <w:rFonts w:ascii="Times New Roman" w:hAnsi="Times New Roman"/>
          <w:bCs/>
          <w:color w:val="000000" w:themeColor="text1"/>
          <w:kern w:val="2"/>
          <w:lang w:eastAsia="zh-CN"/>
        </w:rPr>
        <w:t>2022</w:t>
      </w:r>
      <w:r w:rsidR="006C5718" w:rsidRPr="00092862">
        <w:rPr>
          <w:rFonts w:ascii="Times New Roman" w:hAnsi="Times New Roman"/>
          <w:bCs/>
          <w:color w:val="000000" w:themeColor="text1"/>
          <w:kern w:val="2"/>
          <w:lang w:eastAsia="zh-CN"/>
        </w:rPr>
        <w:t>年</w:t>
      </w:r>
      <w:r w:rsidR="006C5718" w:rsidRPr="00092862">
        <w:rPr>
          <w:rFonts w:ascii="Times New Roman" w:hAnsi="Times New Roman"/>
          <w:bCs/>
          <w:color w:val="000000" w:themeColor="text1"/>
          <w:kern w:val="2"/>
          <w:lang w:eastAsia="zh-CN"/>
        </w:rPr>
        <w:t>11</w:t>
      </w:r>
      <w:r w:rsidR="006C5718" w:rsidRPr="00092862">
        <w:rPr>
          <w:rFonts w:ascii="Times New Roman" w:hAnsi="Times New Roman"/>
          <w:bCs/>
          <w:color w:val="000000" w:themeColor="text1"/>
          <w:kern w:val="2"/>
          <w:lang w:eastAsia="zh-CN"/>
        </w:rPr>
        <w:t>月</w:t>
      </w:r>
      <w:r w:rsidR="006C5718" w:rsidRPr="00092862">
        <w:rPr>
          <w:rFonts w:ascii="Times New Roman" w:hAnsi="Times New Roman"/>
          <w:bCs/>
          <w:color w:val="000000" w:themeColor="text1"/>
          <w:kern w:val="2"/>
          <w:lang w:eastAsia="zh-CN"/>
        </w:rPr>
        <w:t>21</w:t>
      </w:r>
      <w:r w:rsidRPr="00092862">
        <w:rPr>
          <w:rFonts w:ascii="Times New Roman" w:hAnsi="Times New Roman"/>
          <w:bCs/>
          <w:color w:val="000000" w:themeColor="text1"/>
          <w:kern w:val="2"/>
          <w:lang w:eastAsia="zh-CN"/>
        </w:rPr>
        <w:t>~</w:t>
      </w:r>
      <w:r w:rsidR="00811DDF" w:rsidRPr="00092862">
        <w:rPr>
          <w:rFonts w:ascii="Times New Roman" w:hAnsi="Times New Roman"/>
          <w:bCs/>
          <w:color w:val="000000" w:themeColor="text1"/>
          <w:kern w:val="2"/>
          <w:lang w:eastAsia="zh-CN"/>
        </w:rPr>
        <w:t>11</w:t>
      </w:r>
      <w:r w:rsidR="00811DDF" w:rsidRPr="00092862">
        <w:rPr>
          <w:rFonts w:ascii="Times New Roman" w:hAnsi="Times New Roman"/>
          <w:bCs/>
          <w:color w:val="000000" w:themeColor="text1"/>
          <w:kern w:val="2"/>
          <w:lang w:eastAsia="zh-CN"/>
        </w:rPr>
        <w:t>月</w:t>
      </w:r>
      <w:r w:rsidR="00811DDF" w:rsidRPr="00092862">
        <w:rPr>
          <w:rFonts w:ascii="Times New Roman" w:hAnsi="Times New Roman"/>
          <w:bCs/>
          <w:color w:val="000000" w:themeColor="text1"/>
          <w:kern w:val="2"/>
          <w:lang w:eastAsia="zh-CN"/>
        </w:rPr>
        <w:t>22</w:t>
      </w:r>
      <w:r w:rsidR="00811DDF" w:rsidRPr="00092862">
        <w:rPr>
          <w:rFonts w:ascii="Times New Roman" w:hAnsi="Times New Roman"/>
          <w:bCs/>
          <w:color w:val="000000" w:themeColor="text1"/>
          <w:kern w:val="2"/>
          <w:lang w:eastAsia="zh-CN"/>
        </w:rPr>
        <w:t>日</w:t>
      </w:r>
      <w:r w:rsidRPr="00092862">
        <w:rPr>
          <w:rFonts w:ascii="Times New Roman" w:hAnsi="Times New Roman"/>
          <w:bCs/>
          <w:color w:val="000000" w:themeColor="text1"/>
          <w:kern w:val="2"/>
          <w:lang w:eastAsia="zh-CN"/>
        </w:rPr>
        <w:t>），每天昼、夜间各一次，</w:t>
      </w:r>
      <w:r w:rsidR="004A588C" w:rsidRPr="00092862">
        <w:rPr>
          <w:rFonts w:ascii="Times New Roman" w:hAnsi="Times New Roman"/>
          <w:bCs/>
          <w:color w:val="000000" w:themeColor="text1"/>
          <w:kern w:val="2"/>
          <w:lang w:eastAsia="zh-CN"/>
        </w:rPr>
        <w:t>监测时</w:t>
      </w:r>
      <w:r w:rsidR="003328B3" w:rsidRPr="00092862">
        <w:rPr>
          <w:rFonts w:ascii="Times New Roman" w:hAnsi="Times New Roman"/>
          <w:bCs/>
          <w:color w:val="000000" w:themeColor="text1"/>
          <w:kern w:val="2"/>
          <w:lang w:eastAsia="zh-CN"/>
        </w:rPr>
        <w:t>集气站</w:t>
      </w:r>
      <w:r w:rsidR="006C5718" w:rsidRPr="00092862">
        <w:rPr>
          <w:rFonts w:ascii="Times New Roman" w:hAnsi="Times New Roman"/>
          <w:bCs/>
          <w:color w:val="000000" w:themeColor="text1"/>
          <w:kern w:val="2"/>
          <w:lang w:eastAsia="zh-CN"/>
        </w:rPr>
        <w:t>正常运行</w:t>
      </w:r>
      <w:r w:rsidR="004A588C"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监测方法按《声环境质量标准》（</w:t>
      </w:r>
      <w:r w:rsidRPr="00092862">
        <w:rPr>
          <w:rFonts w:ascii="Times New Roman" w:hAnsi="Times New Roman"/>
          <w:bCs/>
          <w:color w:val="000000" w:themeColor="text1"/>
          <w:kern w:val="2"/>
          <w:lang w:eastAsia="zh-CN"/>
        </w:rPr>
        <w:t>GB3096-2008</w:t>
      </w:r>
      <w:r w:rsidRPr="00092862">
        <w:rPr>
          <w:rFonts w:ascii="Times New Roman" w:hAnsi="Times New Roman"/>
          <w:bCs/>
          <w:color w:val="000000" w:themeColor="text1"/>
          <w:kern w:val="2"/>
          <w:lang w:eastAsia="zh-CN"/>
        </w:rPr>
        <w:t>）中规定测量方法进行。</w:t>
      </w:r>
    </w:p>
    <w:p w14:paraId="575A0A68" w14:textId="633F4B25" w:rsidR="00A15EBD" w:rsidRPr="00092862" w:rsidRDefault="00A15EBD" w:rsidP="002A17B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监测工况：现场监测时</w:t>
      </w:r>
      <w:r w:rsidR="003C3238" w:rsidRPr="00092862">
        <w:rPr>
          <w:rFonts w:ascii="Times New Roman" w:hAnsi="Times New Roman"/>
          <w:bCs/>
          <w:color w:val="000000" w:themeColor="text1"/>
          <w:kern w:val="2"/>
          <w:lang w:eastAsia="zh-CN"/>
        </w:rPr>
        <w:t>老君</w:t>
      </w:r>
      <w:r w:rsidR="003C3238" w:rsidRPr="00092862">
        <w:rPr>
          <w:rFonts w:ascii="Times New Roman" w:hAnsi="Times New Roman"/>
          <w:bCs/>
          <w:color w:val="000000" w:themeColor="text1"/>
          <w:kern w:val="2"/>
          <w:lang w:eastAsia="zh-CN"/>
        </w:rPr>
        <w:t>701</w:t>
      </w:r>
      <w:r w:rsidR="009B26F9" w:rsidRPr="00092862">
        <w:rPr>
          <w:rFonts w:ascii="Times New Roman" w:hAnsi="Times New Roman"/>
          <w:bCs/>
          <w:color w:val="000000" w:themeColor="text1"/>
          <w:kern w:val="2"/>
          <w:lang w:eastAsia="zh-CN"/>
        </w:rPr>
        <w:t>集气站</w:t>
      </w:r>
      <w:r w:rsidRPr="00092862">
        <w:rPr>
          <w:rFonts w:ascii="Times New Roman" w:hAnsi="Times New Roman"/>
          <w:bCs/>
          <w:color w:val="000000" w:themeColor="text1"/>
          <w:kern w:val="2"/>
          <w:lang w:eastAsia="zh-CN"/>
        </w:rPr>
        <w:t>内</w:t>
      </w:r>
      <w:r w:rsidR="006C5718" w:rsidRPr="00092862">
        <w:rPr>
          <w:rFonts w:ascii="Times New Roman" w:hAnsi="Times New Roman"/>
          <w:bCs/>
          <w:color w:val="000000" w:themeColor="text1"/>
          <w:kern w:val="2"/>
          <w:lang w:eastAsia="zh-CN"/>
        </w:rPr>
        <w:t>正常</w:t>
      </w:r>
      <w:r w:rsidRPr="00092862">
        <w:rPr>
          <w:rFonts w:ascii="Times New Roman" w:hAnsi="Times New Roman"/>
          <w:bCs/>
          <w:color w:val="000000" w:themeColor="text1"/>
          <w:kern w:val="2"/>
          <w:lang w:eastAsia="zh-CN"/>
        </w:rPr>
        <w:t>生产</w:t>
      </w:r>
      <w:r w:rsidR="006C5718" w:rsidRPr="00092862">
        <w:rPr>
          <w:rFonts w:ascii="Times New Roman" w:hAnsi="Times New Roman"/>
          <w:bCs/>
          <w:color w:val="000000" w:themeColor="text1"/>
          <w:kern w:val="2"/>
          <w:lang w:eastAsia="zh-CN"/>
        </w:rPr>
        <w:t>，主要噪声源强为</w:t>
      </w:r>
      <w:r w:rsidR="006C5718" w:rsidRPr="00092862">
        <w:rPr>
          <w:rFonts w:ascii="Times New Roman" w:hAnsi="Times New Roman"/>
          <w:color w:val="000000" w:themeColor="text1"/>
          <w:sz w:val="22"/>
          <w:szCs w:val="22"/>
          <w:lang w:eastAsia="zh-CN"/>
        </w:rPr>
        <w:t>分酸分离器、加热炉、计量分离器等</w:t>
      </w:r>
      <w:r w:rsidRPr="00092862">
        <w:rPr>
          <w:rFonts w:ascii="Times New Roman" w:hAnsi="Times New Roman"/>
          <w:bCs/>
          <w:color w:val="000000" w:themeColor="text1"/>
          <w:kern w:val="2"/>
          <w:lang w:eastAsia="zh-CN"/>
        </w:rPr>
        <w:t>，处于</w:t>
      </w:r>
      <w:r w:rsidR="006C5718" w:rsidRPr="00092862">
        <w:rPr>
          <w:rFonts w:ascii="Times New Roman" w:hAnsi="Times New Roman"/>
          <w:bCs/>
          <w:color w:val="000000" w:themeColor="text1"/>
          <w:kern w:val="2"/>
          <w:lang w:eastAsia="zh-CN"/>
        </w:rPr>
        <w:t>项目正常运行</w:t>
      </w:r>
      <w:r w:rsidRPr="00092862">
        <w:rPr>
          <w:rFonts w:ascii="Times New Roman" w:hAnsi="Times New Roman"/>
          <w:bCs/>
          <w:color w:val="000000" w:themeColor="text1"/>
          <w:kern w:val="2"/>
          <w:lang w:eastAsia="zh-CN"/>
        </w:rPr>
        <w:t>工况。</w:t>
      </w:r>
    </w:p>
    <w:p w14:paraId="3192F61B" w14:textId="77777777" w:rsidR="00DC446C" w:rsidRPr="00092862" w:rsidRDefault="003B1968" w:rsidP="002A17B3">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）监测及评价结果</w:t>
      </w:r>
    </w:p>
    <w:p w14:paraId="6DF83A94" w14:textId="736387F5" w:rsidR="00DC446C" w:rsidRPr="00092862" w:rsidRDefault="003B1968" w:rsidP="002A17B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监测及评价结果见表</w:t>
      </w:r>
      <w:r w:rsidR="002A17B3"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.2-</w:t>
      </w:r>
      <w:r w:rsidR="00D26362"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w:t>
      </w:r>
    </w:p>
    <w:p w14:paraId="66EC389F" w14:textId="353AD0D6" w:rsidR="00DC446C" w:rsidRPr="00092862" w:rsidRDefault="003B1968"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2A17B3" w:rsidRPr="00092862">
        <w:rPr>
          <w:rFonts w:ascii="Times New Roman" w:eastAsia="黑体" w:hAnsi="Times New Roman"/>
          <w:color w:val="000000" w:themeColor="text1"/>
          <w:sz w:val="21"/>
          <w:szCs w:val="21"/>
          <w:lang w:eastAsia="zh-CN"/>
        </w:rPr>
        <w:t>4</w:t>
      </w:r>
      <w:r w:rsidRPr="00092862">
        <w:rPr>
          <w:rFonts w:ascii="Times New Roman" w:eastAsia="黑体" w:hAnsi="Times New Roman"/>
          <w:color w:val="000000" w:themeColor="text1"/>
          <w:sz w:val="21"/>
          <w:szCs w:val="21"/>
          <w:lang w:eastAsia="zh-CN"/>
        </w:rPr>
        <w:t>.2-</w:t>
      </w:r>
      <w:r w:rsidR="00D26362"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环境噪声监测结果（单位：</w:t>
      </w:r>
      <w:r w:rsidRPr="00092862">
        <w:rPr>
          <w:rFonts w:ascii="Times New Roman" w:eastAsia="黑体" w:hAnsi="Times New Roman"/>
          <w:color w:val="000000" w:themeColor="text1"/>
          <w:sz w:val="21"/>
          <w:szCs w:val="21"/>
          <w:lang w:eastAsia="zh-CN"/>
        </w:rPr>
        <w:t>dB</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A</w:t>
      </w:r>
      <w:r w:rsidRPr="00092862">
        <w:rPr>
          <w:rFonts w:ascii="Times New Roman" w:eastAsia="黑体" w:hAnsi="Times New Roman"/>
          <w:color w:val="000000" w:themeColor="text1"/>
          <w:sz w:val="21"/>
          <w:szCs w:val="21"/>
          <w:lang w:eastAsia="zh-CN"/>
        </w:rPr>
        <w:t>））</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2268"/>
        <w:gridCol w:w="957"/>
        <w:gridCol w:w="957"/>
        <w:gridCol w:w="957"/>
        <w:gridCol w:w="957"/>
        <w:gridCol w:w="1564"/>
      </w:tblGrid>
      <w:tr w:rsidR="00697429" w:rsidRPr="00092862" w14:paraId="453D1BB3" w14:textId="77777777" w:rsidTr="00775BC5">
        <w:trPr>
          <w:jc w:val="center"/>
        </w:trPr>
        <w:tc>
          <w:tcPr>
            <w:tcW w:w="562" w:type="dxa"/>
            <w:vAlign w:val="center"/>
          </w:tcPr>
          <w:p w14:paraId="0F452B85" w14:textId="77777777" w:rsidR="003328B3" w:rsidRPr="00092862" w:rsidRDefault="003328B3" w:rsidP="003328B3">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编号</w:t>
            </w:r>
          </w:p>
        </w:tc>
        <w:tc>
          <w:tcPr>
            <w:tcW w:w="2268" w:type="dxa"/>
            <w:vAlign w:val="center"/>
          </w:tcPr>
          <w:p w14:paraId="6BA3352D" w14:textId="77777777" w:rsidR="003328B3" w:rsidRPr="00092862" w:rsidRDefault="003328B3" w:rsidP="003328B3">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监测日期</w:t>
            </w:r>
          </w:p>
        </w:tc>
        <w:tc>
          <w:tcPr>
            <w:tcW w:w="957" w:type="dxa"/>
            <w:vAlign w:val="center"/>
          </w:tcPr>
          <w:p w14:paraId="6F3BF176" w14:textId="492B7725" w:rsidR="003328B3" w:rsidRPr="00092862" w:rsidRDefault="00811DDF" w:rsidP="003328B3">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11</w:t>
            </w:r>
            <w:r w:rsidRPr="00092862">
              <w:rPr>
                <w:rFonts w:ascii="Times New Roman" w:hAnsi="Times New Roman"/>
                <w:color w:val="000000" w:themeColor="text1"/>
                <w:kern w:val="0"/>
                <w:szCs w:val="28"/>
              </w:rPr>
              <w:t>月</w:t>
            </w:r>
            <w:r w:rsidRPr="00092862">
              <w:rPr>
                <w:rFonts w:ascii="Times New Roman" w:hAnsi="Times New Roman"/>
                <w:color w:val="000000" w:themeColor="text1"/>
                <w:kern w:val="0"/>
                <w:szCs w:val="28"/>
              </w:rPr>
              <w:t>21</w:t>
            </w:r>
            <w:r w:rsidRPr="00092862">
              <w:rPr>
                <w:rFonts w:ascii="Times New Roman" w:hAnsi="Times New Roman"/>
                <w:color w:val="000000" w:themeColor="text1"/>
                <w:kern w:val="0"/>
                <w:szCs w:val="28"/>
              </w:rPr>
              <w:t>日</w:t>
            </w:r>
            <w:r w:rsidR="003328B3" w:rsidRPr="00092862">
              <w:rPr>
                <w:rFonts w:ascii="Times New Roman" w:hAnsi="Times New Roman"/>
                <w:color w:val="000000" w:themeColor="text1"/>
                <w:kern w:val="0"/>
                <w:szCs w:val="28"/>
              </w:rPr>
              <w:t>昼间</w:t>
            </w:r>
          </w:p>
        </w:tc>
        <w:tc>
          <w:tcPr>
            <w:tcW w:w="957" w:type="dxa"/>
            <w:vAlign w:val="center"/>
          </w:tcPr>
          <w:p w14:paraId="69AB2E48" w14:textId="7F7AAA6C" w:rsidR="003328B3" w:rsidRPr="00092862" w:rsidRDefault="00811DDF" w:rsidP="003328B3">
            <w:pPr>
              <w:pStyle w:val="a5"/>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11</w:t>
            </w:r>
            <w:r w:rsidRPr="00092862">
              <w:rPr>
                <w:rFonts w:ascii="Times New Roman" w:hAnsi="Times New Roman"/>
                <w:color w:val="000000" w:themeColor="text1"/>
                <w:kern w:val="0"/>
                <w:szCs w:val="28"/>
              </w:rPr>
              <w:t>月</w:t>
            </w:r>
            <w:r w:rsidRPr="00092862">
              <w:rPr>
                <w:rFonts w:ascii="Times New Roman" w:hAnsi="Times New Roman"/>
                <w:color w:val="000000" w:themeColor="text1"/>
                <w:kern w:val="0"/>
                <w:szCs w:val="28"/>
              </w:rPr>
              <w:t>21</w:t>
            </w:r>
            <w:r w:rsidRPr="00092862">
              <w:rPr>
                <w:rFonts w:ascii="Times New Roman" w:hAnsi="Times New Roman"/>
                <w:color w:val="000000" w:themeColor="text1"/>
                <w:kern w:val="0"/>
                <w:szCs w:val="28"/>
              </w:rPr>
              <w:t>日</w:t>
            </w:r>
            <w:r w:rsidR="003328B3" w:rsidRPr="00092862">
              <w:rPr>
                <w:rFonts w:ascii="Times New Roman" w:hAnsi="Times New Roman"/>
                <w:color w:val="000000" w:themeColor="text1"/>
                <w:kern w:val="0"/>
                <w:szCs w:val="28"/>
              </w:rPr>
              <w:t>夜间</w:t>
            </w:r>
          </w:p>
        </w:tc>
        <w:tc>
          <w:tcPr>
            <w:tcW w:w="957" w:type="dxa"/>
            <w:vAlign w:val="center"/>
          </w:tcPr>
          <w:p w14:paraId="671B6814" w14:textId="452FF6B2" w:rsidR="003328B3" w:rsidRPr="00092862" w:rsidRDefault="00811DDF" w:rsidP="003328B3">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11</w:t>
            </w:r>
            <w:r w:rsidRPr="00092862">
              <w:rPr>
                <w:rFonts w:ascii="Times New Roman" w:hAnsi="Times New Roman"/>
                <w:color w:val="000000" w:themeColor="text1"/>
                <w:kern w:val="0"/>
                <w:szCs w:val="28"/>
              </w:rPr>
              <w:t>月</w:t>
            </w:r>
            <w:r w:rsidRPr="00092862">
              <w:rPr>
                <w:rFonts w:ascii="Times New Roman" w:hAnsi="Times New Roman"/>
                <w:color w:val="000000" w:themeColor="text1"/>
                <w:kern w:val="0"/>
                <w:szCs w:val="28"/>
              </w:rPr>
              <w:t>22</w:t>
            </w:r>
            <w:r w:rsidRPr="00092862">
              <w:rPr>
                <w:rFonts w:ascii="Times New Roman" w:hAnsi="Times New Roman"/>
                <w:color w:val="000000" w:themeColor="text1"/>
                <w:kern w:val="0"/>
                <w:szCs w:val="28"/>
              </w:rPr>
              <w:t>日</w:t>
            </w:r>
            <w:r w:rsidR="003328B3" w:rsidRPr="00092862">
              <w:rPr>
                <w:rFonts w:ascii="Times New Roman" w:hAnsi="Times New Roman"/>
                <w:color w:val="000000" w:themeColor="text1"/>
                <w:kern w:val="0"/>
                <w:szCs w:val="28"/>
              </w:rPr>
              <w:t>昼间</w:t>
            </w:r>
          </w:p>
        </w:tc>
        <w:tc>
          <w:tcPr>
            <w:tcW w:w="957" w:type="dxa"/>
            <w:vAlign w:val="center"/>
          </w:tcPr>
          <w:p w14:paraId="2174C4FF" w14:textId="1AC2E4C1" w:rsidR="003328B3" w:rsidRPr="00092862" w:rsidRDefault="00811DDF" w:rsidP="003328B3">
            <w:pPr>
              <w:pStyle w:val="a5"/>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11</w:t>
            </w:r>
            <w:r w:rsidRPr="00092862">
              <w:rPr>
                <w:rFonts w:ascii="Times New Roman" w:hAnsi="Times New Roman"/>
                <w:color w:val="000000" w:themeColor="text1"/>
                <w:kern w:val="0"/>
                <w:szCs w:val="28"/>
              </w:rPr>
              <w:t>月</w:t>
            </w:r>
            <w:r w:rsidRPr="00092862">
              <w:rPr>
                <w:rFonts w:ascii="Times New Roman" w:hAnsi="Times New Roman"/>
                <w:color w:val="000000" w:themeColor="text1"/>
                <w:kern w:val="0"/>
                <w:szCs w:val="28"/>
              </w:rPr>
              <w:t>22</w:t>
            </w:r>
            <w:r w:rsidRPr="00092862">
              <w:rPr>
                <w:rFonts w:ascii="Times New Roman" w:hAnsi="Times New Roman"/>
                <w:color w:val="000000" w:themeColor="text1"/>
                <w:kern w:val="0"/>
                <w:szCs w:val="28"/>
              </w:rPr>
              <w:t>日</w:t>
            </w:r>
            <w:r w:rsidR="003328B3" w:rsidRPr="00092862">
              <w:rPr>
                <w:rFonts w:ascii="Times New Roman" w:hAnsi="Times New Roman"/>
                <w:color w:val="000000" w:themeColor="text1"/>
                <w:kern w:val="0"/>
                <w:szCs w:val="28"/>
              </w:rPr>
              <w:t>夜间</w:t>
            </w:r>
          </w:p>
        </w:tc>
        <w:tc>
          <w:tcPr>
            <w:tcW w:w="1564" w:type="dxa"/>
            <w:vAlign w:val="center"/>
          </w:tcPr>
          <w:p w14:paraId="17B63C89" w14:textId="77777777" w:rsidR="003328B3" w:rsidRPr="00092862" w:rsidRDefault="003328B3" w:rsidP="003328B3">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执行标准</w:t>
            </w:r>
          </w:p>
        </w:tc>
      </w:tr>
      <w:tr w:rsidR="00697429" w:rsidRPr="00092862" w14:paraId="1F226139" w14:textId="77777777" w:rsidTr="00775BC5">
        <w:trPr>
          <w:jc w:val="center"/>
        </w:trPr>
        <w:tc>
          <w:tcPr>
            <w:tcW w:w="562" w:type="dxa"/>
            <w:vAlign w:val="center"/>
          </w:tcPr>
          <w:p w14:paraId="545C8A40" w14:textId="3D5436D0"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1#</w:t>
            </w:r>
          </w:p>
        </w:tc>
        <w:tc>
          <w:tcPr>
            <w:tcW w:w="2268" w:type="dxa"/>
            <w:vAlign w:val="center"/>
          </w:tcPr>
          <w:p w14:paraId="7D30AC7C" w14:textId="4BF4C449"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w:t>
            </w:r>
            <w:r w:rsidR="00642C3F" w:rsidRPr="00092862">
              <w:rPr>
                <w:rFonts w:ascii="Times New Roman" w:hAnsi="Times New Roman"/>
                <w:color w:val="000000" w:themeColor="text1"/>
                <w:kern w:val="0"/>
                <w:szCs w:val="21"/>
              </w:rPr>
              <w:t>老君</w:t>
            </w:r>
            <w:r w:rsidR="00642C3F" w:rsidRPr="00092862">
              <w:rPr>
                <w:rFonts w:ascii="Times New Roman" w:hAnsi="Times New Roman"/>
                <w:color w:val="000000" w:themeColor="text1"/>
                <w:kern w:val="0"/>
                <w:szCs w:val="21"/>
              </w:rPr>
              <w:t>701</w:t>
            </w:r>
            <w:r w:rsidR="00642C3F" w:rsidRPr="00092862">
              <w:rPr>
                <w:rFonts w:ascii="Times New Roman" w:hAnsi="Times New Roman"/>
                <w:color w:val="000000" w:themeColor="text1"/>
                <w:kern w:val="0"/>
                <w:szCs w:val="21"/>
              </w:rPr>
              <w:t>井站</w:t>
            </w:r>
            <w:r w:rsidRPr="00092862">
              <w:rPr>
                <w:rFonts w:ascii="Times New Roman" w:hAnsi="Times New Roman"/>
                <w:color w:val="000000" w:themeColor="text1"/>
                <w:szCs w:val="21"/>
              </w:rPr>
              <w:t>东侧</w:t>
            </w:r>
          </w:p>
        </w:tc>
        <w:tc>
          <w:tcPr>
            <w:tcW w:w="957" w:type="dxa"/>
            <w:vAlign w:val="center"/>
          </w:tcPr>
          <w:p w14:paraId="4F561F2F" w14:textId="646896D2" w:rsidR="00811DDF" w:rsidRPr="00092862" w:rsidRDefault="00811DDF" w:rsidP="00811DDF">
            <w:pPr>
              <w:adjustRightInd w:val="0"/>
              <w:snapToGrid w:val="0"/>
              <w:jc w:val="center"/>
              <w:rPr>
                <w:rFonts w:ascii="Times New Roman" w:hAnsi="Times New Roman" w:cs="Times New Roman"/>
                <w:bCs/>
                <w:color w:val="000000" w:themeColor="text1"/>
                <w:szCs w:val="21"/>
              </w:rPr>
            </w:pPr>
            <w:r w:rsidRPr="00092862">
              <w:rPr>
                <w:rFonts w:ascii="Times New Roman" w:hAnsi="Times New Roman" w:cs="Times New Roman"/>
                <w:bCs/>
                <w:color w:val="000000" w:themeColor="text1"/>
                <w:szCs w:val="21"/>
              </w:rPr>
              <w:t>57</w:t>
            </w:r>
          </w:p>
        </w:tc>
        <w:tc>
          <w:tcPr>
            <w:tcW w:w="957" w:type="dxa"/>
            <w:vAlign w:val="center"/>
          </w:tcPr>
          <w:p w14:paraId="35F73DF1" w14:textId="07135E11" w:rsidR="00811DDF" w:rsidRPr="00092862" w:rsidRDefault="00811DDF" w:rsidP="00811DDF">
            <w:pPr>
              <w:adjustRightInd w:val="0"/>
              <w:snapToGrid w:val="0"/>
              <w:jc w:val="center"/>
              <w:rPr>
                <w:rFonts w:ascii="Times New Roman" w:hAnsi="Times New Roman" w:cs="Times New Roman"/>
                <w:bCs/>
                <w:color w:val="000000" w:themeColor="text1"/>
                <w:szCs w:val="21"/>
              </w:rPr>
            </w:pPr>
            <w:r w:rsidRPr="00092862">
              <w:rPr>
                <w:rFonts w:ascii="Times New Roman" w:hAnsi="Times New Roman" w:cs="Times New Roman"/>
                <w:bCs/>
                <w:color w:val="000000" w:themeColor="text1"/>
                <w:szCs w:val="21"/>
              </w:rPr>
              <w:t>45</w:t>
            </w:r>
          </w:p>
        </w:tc>
        <w:tc>
          <w:tcPr>
            <w:tcW w:w="957" w:type="dxa"/>
            <w:vAlign w:val="center"/>
          </w:tcPr>
          <w:p w14:paraId="691027A8" w14:textId="3B80FB2B" w:rsidR="00811DDF" w:rsidRPr="00092862" w:rsidRDefault="00811DDF" w:rsidP="00811DDF">
            <w:pPr>
              <w:adjustRightInd w:val="0"/>
              <w:snapToGrid w:val="0"/>
              <w:jc w:val="center"/>
              <w:rPr>
                <w:rFonts w:ascii="Times New Roman" w:hAnsi="Times New Roman" w:cs="Times New Roman"/>
                <w:bCs/>
                <w:color w:val="000000" w:themeColor="text1"/>
                <w:szCs w:val="21"/>
              </w:rPr>
            </w:pPr>
            <w:r w:rsidRPr="00092862">
              <w:rPr>
                <w:rFonts w:ascii="Times New Roman" w:hAnsi="Times New Roman" w:cs="Times New Roman"/>
                <w:bCs/>
                <w:color w:val="000000" w:themeColor="text1"/>
                <w:szCs w:val="21"/>
              </w:rPr>
              <w:t>56</w:t>
            </w:r>
          </w:p>
        </w:tc>
        <w:tc>
          <w:tcPr>
            <w:tcW w:w="957" w:type="dxa"/>
            <w:vAlign w:val="center"/>
          </w:tcPr>
          <w:p w14:paraId="2BCE4175" w14:textId="03C89EB3" w:rsidR="00811DDF" w:rsidRPr="00092862" w:rsidRDefault="00811DDF" w:rsidP="00811DDF">
            <w:pPr>
              <w:adjustRightInd w:val="0"/>
              <w:snapToGrid w:val="0"/>
              <w:jc w:val="center"/>
              <w:rPr>
                <w:rFonts w:ascii="Times New Roman" w:hAnsi="Times New Roman" w:cs="Times New Roman"/>
                <w:color w:val="000000" w:themeColor="text1"/>
                <w:szCs w:val="28"/>
              </w:rPr>
            </w:pPr>
            <w:r w:rsidRPr="00092862">
              <w:rPr>
                <w:rFonts w:ascii="Times New Roman" w:hAnsi="Times New Roman" w:cs="Times New Roman"/>
                <w:color w:val="000000" w:themeColor="text1"/>
                <w:szCs w:val="28"/>
              </w:rPr>
              <w:t>45</w:t>
            </w:r>
          </w:p>
        </w:tc>
        <w:tc>
          <w:tcPr>
            <w:tcW w:w="1564" w:type="dxa"/>
            <w:vMerge w:val="restart"/>
            <w:vAlign w:val="center"/>
          </w:tcPr>
          <w:p w14:paraId="22B1EEC9" w14:textId="71756D72"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《工业企业厂界环境噪声排放标准》</w:t>
            </w:r>
            <w:r w:rsidRPr="00092862">
              <w:rPr>
                <w:rFonts w:ascii="Times New Roman" w:hAnsi="Times New Roman"/>
                <w:color w:val="000000" w:themeColor="text1"/>
                <w:kern w:val="0"/>
                <w:szCs w:val="28"/>
              </w:rPr>
              <w:t>(GB12348-2008)</w:t>
            </w:r>
            <w:r w:rsidRPr="00092862">
              <w:rPr>
                <w:rFonts w:ascii="Times New Roman" w:hAnsi="Times New Roman"/>
                <w:color w:val="000000" w:themeColor="text1"/>
                <w:kern w:val="0"/>
                <w:szCs w:val="28"/>
              </w:rPr>
              <w:t>中</w:t>
            </w:r>
            <w:r w:rsidRPr="00092862">
              <w:rPr>
                <w:rFonts w:ascii="Times New Roman" w:hAnsi="Times New Roman"/>
                <w:color w:val="000000" w:themeColor="text1"/>
                <w:kern w:val="0"/>
                <w:szCs w:val="28"/>
              </w:rPr>
              <w:t>2</w:t>
            </w:r>
            <w:r w:rsidRPr="00092862">
              <w:rPr>
                <w:rFonts w:ascii="Times New Roman" w:hAnsi="Times New Roman"/>
                <w:color w:val="000000" w:themeColor="text1"/>
                <w:kern w:val="0"/>
                <w:szCs w:val="28"/>
              </w:rPr>
              <w:t>类标准昼间</w:t>
            </w:r>
            <w:r w:rsidRPr="00092862">
              <w:rPr>
                <w:rFonts w:ascii="Times New Roman" w:hAnsi="Times New Roman"/>
                <w:color w:val="000000" w:themeColor="text1"/>
                <w:kern w:val="0"/>
                <w:szCs w:val="28"/>
              </w:rPr>
              <w:t>60</w:t>
            </w:r>
            <w:r w:rsidRPr="00092862">
              <w:rPr>
                <w:rFonts w:ascii="Times New Roman" w:hAnsi="Times New Roman"/>
                <w:color w:val="000000" w:themeColor="text1"/>
                <w:kern w:val="0"/>
                <w:szCs w:val="28"/>
              </w:rPr>
              <w:t>；夜间</w:t>
            </w:r>
            <w:r w:rsidRPr="00092862">
              <w:rPr>
                <w:rFonts w:ascii="Times New Roman" w:hAnsi="Times New Roman"/>
                <w:color w:val="000000" w:themeColor="text1"/>
                <w:kern w:val="0"/>
                <w:szCs w:val="28"/>
              </w:rPr>
              <w:t>50</w:t>
            </w:r>
          </w:p>
        </w:tc>
      </w:tr>
      <w:tr w:rsidR="00697429" w:rsidRPr="00092862" w14:paraId="6CACBD94" w14:textId="77777777" w:rsidTr="00775BC5">
        <w:trPr>
          <w:jc w:val="center"/>
        </w:trPr>
        <w:tc>
          <w:tcPr>
            <w:tcW w:w="562" w:type="dxa"/>
            <w:vAlign w:val="center"/>
          </w:tcPr>
          <w:p w14:paraId="04F89723" w14:textId="16AD5A1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2#</w:t>
            </w:r>
          </w:p>
        </w:tc>
        <w:tc>
          <w:tcPr>
            <w:tcW w:w="2268" w:type="dxa"/>
            <w:vAlign w:val="center"/>
          </w:tcPr>
          <w:p w14:paraId="4FCABB82" w14:textId="3D2DC5AF"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w:t>
            </w:r>
            <w:r w:rsidR="00642C3F" w:rsidRPr="00092862">
              <w:rPr>
                <w:rFonts w:ascii="Times New Roman" w:hAnsi="Times New Roman"/>
                <w:color w:val="000000" w:themeColor="text1"/>
                <w:kern w:val="0"/>
                <w:szCs w:val="21"/>
              </w:rPr>
              <w:t>老君</w:t>
            </w:r>
            <w:r w:rsidR="00642C3F" w:rsidRPr="00092862">
              <w:rPr>
                <w:rFonts w:ascii="Times New Roman" w:hAnsi="Times New Roman"/>
                <w:color w:val="000000" w:themeColor="text1"/>
                <w:kern w:val="0"/>
                <w:szCs w:val="21"/>
              </w:rPr>
              <w:t>701</w:t>
            </w:r>
            <w:r w:rsidR="00642C3F" w:rsidRPr="00092862">
              <w:rPr>
                <w:rFonts w:ascii="Times New Roman" w:hAnsi="Times New Roman"/>
                <w:color w:val="000000" w:themeColor="text1"/>
                <w:kern w:val="0"/>
                <w:szCs w:val="21"/>
              </w:rPr>
              <w:t>井站</w:t>
            </w:r>
            <w:r w:rsidRPr="00092862">
              <w:rPr>
                <w:rFonts w:ascii="Times New Roman" w:hAnsi="Times New Roman"/>
                <w:color w:val="000000" w:themeColor="text1"/>
                <w:szCs w:val="21"/>
              </w:rPr>
              <w:t>南侧</w:t>
            </w:r>
          </w:p>
        </w:tc>
        <w:tc>
          <w:tcPr>
            <w:tcW w:w="957" w:type="dxa"/>
            <w:vAlign w:val="center"/>
          </w:tcPr>
          <w:p w14:paraId="2F8840FF" w14:textId="2FEC661C"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52</w:t>
            </w:r>
          </w:p>
        </w:tc>
        <w:tc>
          <w:tcPr>
            <w:tcW w:w="957" w:type="dxa"/>
            <w:vAlign w:val="center"/>
          </w:tcPr>
          <w:p w14:paraId="19323727" w14:textId="35EE84EF"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43</w:t>
            </w:r>
          </w:p>
        </w:tc>
        <w:tc>
          <w:tcPr>
            <w:tcW w:w="957" w:type="dxa"/>
            <w:vAlign w:val="center"/>
          </w:tcPr>
          <w:p w14:paraId="367A95B5" w14:textId="4E085CD8"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55</w:t>
            </w:r>
          </w:p>
        </w:tc>
        <w:tc>
          <w:tcPr>
            <w:tcW w:w="957" w:type="dxa"/>
            <w:vAlign w:val="center"/>
          </w:tcPr>
          <w:p w14:paraId="17CDFF9F" w14:textId="46D36B0B"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42</w:t>
            </w:r>
          </w:p>
        </w:tc>
        <w:tc>
          <w:tcPr>
            <w:tcW w:w="1564" w:type="dxa"/>
            <w:vMerge/>
            <w:vAlign w:val="center"/>
          </w:tcPr>
          <w:p w14:paraId="54D43972" w14:textId="7777777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p>
        </w:tc>
      </w:tr>
      <w:tr w:rsidR="00697429" w:rsidRPr="00092862" w14:paraId="157830D8" w14:textId="77777777" w:rsidTr="00775BC5">
        <w:trPr>
          <w:jc w:val="center"/>
        </w:trPr>
        <w:tc>
          <w:tcPr>
            <w:tcW w:w="562" w:type="dxa"/>
            <w:vAlign w:val="center"/>
          </w:tcPr>
          <w:p w14:paraId="39F1B793" w14:textId="2CE49AC8"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3#</w:t>
            </w:r>
          </w:p>
        </w:tc>
        <w:tc>
          <w:tcPr>
            <w:tcW w:w="2268" w:type="dxa"/>
            <w:vAlign w:val="center"/>
          </w:tcPr>
          <w:p w14:paraId="091C4FF5" w14:textId="799CFA24"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w:t>
            </w:r>
            <w:r w:rsidR="00642C3F" w:rsidRPr="00092862">
              <w:rPr>
                <w:rFonts w:ascii="Times New Roman" w:hAnsi="Times New Roman"/>
                <w:color w:val="000000" w:themeColor="text1"/>
                <w:kern w:val="0"/>
                <w:szCs w:val="21"/>
              </w:rPr>
              <w:t>老君</w:t>
            </w:r>
            <w:r w:rsidR="00642C3F" w:rsidRPr="00092862">
              <w:rPr>
                <w:rFonts w:ascii="Times New Roman" w:hAnsi="Times New Roman"/>
                <w:color w:val="000000" w:themeColor="text1"/>
                <w:kern w:val="0"/>
                <w:szCs w:val="21"/>
              </w:rPr>
              <w:t>701</w:t>
            </w:r>
            <w:r w:rsidR="00642C3F" w:rsidRPr="00092862">
              <w:rPr>
                <w:rFonts w:ascii="Times New Roman" w:hAnsi="Times New Roman"/>
                <w:color w:val="000000" w:themeColor="text1"/>
                <w:kern w:val="0"/>
                <w:szCs w:val="21"/>
              </w:rPr>
              <w:t>井</w:t>
            </w:r>
            <w:r w:rsidRPr="00092862">
              <w:rPr>
                <w:rFonts w:ascii="Times New Roman" w:hAnsi="Times New Roman"/>
                <w:color w:val="000000" w:themeColor="text1"/>
                <w:kern w:val="0"/>
                <w:szCs w:val="21"/>
              </w:rPr>
              <w:t>站</w:t>
            </w:r>
            <w:r w:rsidRPr="00092862">
              <w:rPr>
                <w:rFonts w:ascii="Times New Roman" w:hAnsi="Times New Roman"/>
                <w:color w:val="000000" w:themeColor="text1"/>
                <w:szCs w:val="21"/>
              </w:rPr>
              <w:t>西侧</w:t>
            </w:r>
          </w:p>
        </w:tc>
        <w:tc>
          <w:tcPr>
            <w:tcW w:w="957" w:type="dxa"/>
            <w:vAlign w:val="center"/>
          </w:tcPr>
          <w:p w14:paraId="1E341D68" w14:textId="1CFB3D46"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56</w:t>
            </w:r>
          </w:p>
        </w:tc>
        <w:tc>
          <w:tcPr>
            <w:tcW w:w="957" w:type="dxa"/>
            <w:vAlign w:val="center"/>
          </w:tcPr>
          <w:p w14:paraId="5058E97C" w14:textId="265AF02F"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46</w:t>
            </w:r>
          </w:p>
        </w:tc>
        <w:tc>
          <w:tcPr>
            <w:tcW w:w="957" w:type="dxa"/>
            <w:vAlign w:val="center"/>
          </w:tcPr>
          <w:p w14:paraId="7E02178E" w14:textId="1AF32451"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52</w:t>
            </w:r>
          </w:p>
        </w:tc>
        <w:tc>
          <w:tcPr>
            <w:tcW w:w="957" w:type="dxa"/>
            <w:vAlign w:val="center"/>
          </w:tcPr>
          <w:p w14:paraId="314E96CD" w14:textId="2B5D1B9B"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46</w:t>
            </w:r>
          </w:p>
        </w:tc>
        <w:tc>
          <w:tcPr>
            <w:tcW w:w="1564" w:type="dxa"/>
            <w:vMerge/>
            <w:vAlign w:val="center"/>
          </w:tcPr>
          <w:p w14:paraId="2EFC05D3" w14:textId="7777777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p>
        </w:tc>
      </w:tr>
      <w:tr w:rsidR="00697429" w:rsidRPr="00092862" w14:paraId="72BC5953" w14:textId="77777777" w:rsidTr="00775BC5">
        <w:trPr>
          <w:jc w:val="center"/>
        </w:trPr>
        <w:tc>
          <w:tcPr>
            <w:tcW w:w="562" w:type="dxa"/>
            <w:vAlign w:val="center"/>
          </w:tcPr>
          <w:p w14:paraId="3EF682FE" w14:textId="13884A02"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4#</w:t>
            </w:r>
          </w:p>
        </w:tc>
        <w:tc>
          <w:tcPr>
            <w:tcW w:w="2268" w:type="dxa"/>
            <w:vAlign w:val="center"/>
          </w:tcPr>
          <w:p w14:paraId="120C30C7" w14:textId="4C104AEE"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1"/>
              </w:rPr>
              <w:t>现有</w:t>
            </w:r>
            <w:r w:rsidR="00642C3F" w:rsidRPr="00092862">
              <w:rPr>
                <w:rFonts w:ascii="Times New Roman" w:hAnsi="Times New Roman"/>
                <w:color w:val="000000" w:themeColor="text1"/>
                <w:kern w:val="0"/>
                <w:szCs w:val="21"/>
              </w:rPr>
              <w:t>老君</w:t>
            </w:r>
            <w:r w:rsidR="00642C3F" w:rsidRPr="00092862">
              <w:rPr>
                <w:rFonts w:ascii="Times New Roman" w:hAnsi="Times New Roman"/>
                <w:color w:val="000000" w:themeColor="text1"/>
                <w:kern w:val="0"/>
                <w:szCs w:val="21"/>
              </w:rPr>
              <w:t>701</w:t>
            </w:r>
            <w:r w:rsidR="00642C3F" w:rsidRPr="00092862">
              <w:rPr>
                <w:rFonts w:ascii="Times New Roman" w:hAnsi="Times New Roman"/>
                <w:color w:val="000000" w:themeColor="text1"/>
                <w:kern w:val="0"/>
                <w:szCs w:val="21"/>
              </w:rPr>
              <w:t>井站</w:t>
            </w:r>
            <w:r w:rsidRPr="00092862">
              <w:rPr>
                <w:rFonts w:ascii="Times New Roman" w:hAnsi="Times New Roman"/>
                <w:color w:val="000000" w:themeColor="text1"/>
                <w:szCs w:val="21"/>
              </w:rPr>
              <w:t>北侧</w:t>
            </w:r>
          </w:p>
        </w:tc>
        <w:tc>
          <w:tcPr>
            <w:tcW w:w="957" w:type="dxa"/>
            <w:vAlign w:val="center"/>
          </w:tcPr>
          <w:p w14:paraId="78B80859" w14:textId="346DF6FA"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58</w:t>
            </w:r>
          </w:p>
        </w:tc>
        <w:tc>
          <w:tcPr>
            <w:tcW w:w="957" w:type="dxa"/>
            <w:vAlign w:val="center"/>
          </w:tcPr>
          <w:p w14:paraId="4725382A" w14:textId="5483FA9F"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47</w:t>
            </w:r>
          </w:p>
        </w:tc>
        <w:tc>
          <w:tcPr>
            <w:tcW w:w="957" w:type="dxa"/>
            <w:vAlign w:val="center"/>
          </w:tcPr>
          <w:p w14:paraId="79E88A95" w14:textId="3E9C8C95"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54</w:t>
            </w:r>
          </w:p>
        </w:tc>
        <w:tc>
          <w:tcPr>
            <w:tcW w:w="957" w:type="dxa"/>
            <w:vAlign w:val="center"/>
          </w:tcPr>
          <w:p w14:paraId="69196279" w14:textId="60157EF4"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47</w:t>
            </w:r>
          </w:p>
        </w:tc>
        <w:tc>
          <w:tcPr>
            <w:tcW w:w="1564" w:type="dxa"/>
            <w:vMerge/>
            <w:vAlign w:val="center"/>
          </w:tcPr>
          <w:p w14:paraId="0DE3AEFA" w14:textId="7777777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p>
        </w:tc>
      </w:tr>
      <w:tr w:rsidR="00697429" w:rsidRPr="00092862" w14:paraId="5C12C169" w14:textId="77777777" w:rsidTr="00775BC5">
        <w:trPr>
          <w:jc w:val="center"/>
        </w:trPr>
        <w:tc>
          <w:tcPr>
            <w:tcW w:w="562" w:type="dxa"/>
            <w:vAlign w:val="center"/>
          </w:tcPr>
          <w:p w14:paraId="72EF67B6" w14:textId="7AAD37FC"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5#</w:t>
            </w:r>
          </w:p>
        </w:tc>
        <w:tc>
          <w:tcPr>
            <w:tcW w:w="2268" w:type="dxa"/>
            <w:vAlign w:val="center"/>
          </w:tcPr>
          <w:p w14:paraId="656AB3DD" w14:textId="6249C8DD" w:rsidR="00811DDF" w:rsidRPr="00092862" w:rsidRDefault="00811DDF" w:rsidP="00811DDF">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本项目拟建井台东侧</w:t>
            </w:r>
          </w:p>
        </w:tc>
        <w:tc>
          <w:tcPr>
            <w:tcW w:w="957" w:type="dxa"/>
            <w:vAlign w:val="center"/>
          </w:tcPr>
          <w:p w14:paraId="49832423" w14:textId="43420CE3" w:rsidR="00811DDF" w:rsidRPr="00092862" w:rsidRDefault="00811DDF"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42</w:t>
            </w:r>
          </w:p>
        </w:tc>
        <w:tc>
          <w:tcPr>
            <w:tcW w:w="957" w:type="dxa"/>
            <w:vAlign w:val="center"/>
          </w:tcPr>
          <w:p w14:paraId="470E4069" w14:textId="205B25B3"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38</w:t>
            </w:r>
          </w:p>
        </w:tc>
        <w:tc>
          <w:tcPr>
            <w:tcW w:w="957" w:type="dxa"/>
            <w:vAlign w:val="center"/>
          </w:tcPr>
          <w:p w14:paraId="08C9D2FD" w14:textId="7E7AEFFD"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41</w:t>
            </w:r>
          </w:p>
        </w:tc>
        <w:tc>
          <w:tcPr>
            <w:tcW w:w="957" w:type="dxa"/>
            <w:vAlign w:val="center"/>
          </w:tcPr>
          <w:p w14:paraId="41AFFB64" w14:textId="6D7B70E6"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37</w:t>
            </w:r>
          </w:p>
        </w:tc>
        <w:tc>
          <w:tcPr>
            <w:tcW w:w="1564" w:type="dxa"/>
            <w:vMerge w:val="restart"/>
            <w:vAlign w:val="center"/>
          </w:tcPr>
          <w:p w14:paraId="174C101C" w14:textId="34F9E051" w:rsidR="00811DDF" w:rsidRPr="00092862" w:rsidRDefault="00811DDF" w:rsidP="00811DDF">
            <w:pPr>
              <w:pStyle w:val="a5"/>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《声环境质量标准》（</w:t>
            </w:r>
            <w:r w:rsidRPr="00092862">
              <w:rPr>
                <w:rFonts w:ascii="Times New Roman" w:hAnsi="Times New Roman"/>
                <w:color w:val="000000" w:themeColor="text1"/>
                <w:kern w:val="0"/>
                <w:szCs w:val="28"/>
              </w:rPr>
              <w:t>GB3096-2008</w:t>
            </w:r>
            <w:r w:rsidRPr="00092862">
              <w:rPr>
                <w:rFonts w:ascii="Times New Roman" w:hAnsi="Times New Roman"/>
                <w:color w:val="000000" w:themeColor="text1"/>
                <w:kern w:val="0"/>
                <w:szCs w:val="28"/>
              </w:rPr>
              <w:t>）</w:t>
            </w:r>
            <w:r w:rsidRPr="00092862">
              <w:rPr>
                <w:rFonts w:ascii="Times New Roman" w:hAnsi="Times New Roman"/>
                <w:color w:val="000000" w:themeColor="text1"/>
                <w:kern w:val="0"/>
                <w:szCs w:val="28"/>
              </w:rPr>
              <w:t>2</w:t>
            </w:r>
            <w:r w:rsidRPr="00092862">
              <w:rPr>
                <w:rFonts w:ascii="Times New Roman" w:hAnsi="Times New Roman"/>
                <w:color w:val="000000" w:themeColor="text1"/>
                <w:kern w:val="0"/>
                <w:szCs w:val="28"/>
              </w:rPr>
              <w:t>类昼间</w:t>
            </w:r>
            <w:r w:rsidRPr="00092862">
              <w:rPr>
                <w:rFonts w:ascii="Times New Roman" w:hAnsi="Times New Roman"/>
                <w:color w:val="000000" w:themeColor="text1"/>
                <w:kern w:val="0"/>
                <w:szCs w:val="28"/>
              </w:rPr>
              <w:t>60</w:t>
            </w:r>
            <w:r w:rsidRPr="00092862">
              <w:rPr>
                <w:rFonts w:ascii="Times New Roman" w:hAnsi="Times New Roman"/>
                <w:color w:val="000000" w:themeColor="text1"/>
                <w:kern w:val="0"/>
                <w:szCs w:val="28"/>
              </w:rPr>
              <w:t>；夜间</w:t>
            </w:r>
            <w:r w:rsidRPr="00092862">
              <w:rPr>
                <w:rFonts w:ascii="Times New Roman" w:hAnsi="Times New Roman"/>
                <w:color w:val="000000" w:themeColor="text1"/>
                <w:kern w:val="0"/>
                <w:szCs w:val="28"/>
              </w:rPr>
              <w:t>50</w:t>
            </w:r>
          </w:p>
        </w:tc>
      </w:tr>
      <w:tr w:rsidR="00697429" w:rsidRPr="00092862" w14:paraId="0F40D72D" w14:textId="77777777" w:rsidTr="00775BC5">
        <w:trPr>
          <w:jc w:val="center"/>
        </w:trPr>
        <w:tc>
          <w:tcPr>
            <w:tcW w:w="562" w:type="dxa"/>
            <w:vAlign w:val="center"/>
          </w:tcPr>
          <w:p w14:paraId="5F063B85" w14:textId="43ABAC1D"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6#</w:t>
            </w:r>
          </w:p>
        </w:tc>
        <w:tc>
          <w:tcPr>
            <w:tcW w:w="2268" w:type="dxa"/>
            <w:vAlign w:val="center"/>
          </w:tcPr>
          <w:p w14:paraId="0D264C83" w14:textId="2BF6A89B" w:rsidR="00811DDF" w:rsidRPr="00092862" w:rsidRDefault="00811DDF" w:rsidP="00811DDF">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本项目拟建井台南侧</w:t>
            </w:r>
          </w:p>
        </w:tc>
        <w:tc>
          <w:tcPr>
            <w:tcW w:w="957" w:type="dxa"/>
            <w:vAlign w:val="center"/>
          </w:tcPr>
          <w:p w14:paraId="11520659" w14:textId="36F9E9D3"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40</w:t>
            </w:r>
          </w:p>
        </w:tc>
        <w:tc>
          <w:tcPr>
            <w:tcW w:w="957" w:type="dxa"/>
            <w:vAlign w:val="center"/>
          </w:tcPr>
          <w:p w14:paraId="12CA461F" w14:textId="16993958"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36</w:t>
            </w:r>
          </w:p>
        </w:tc>
        <w:tc>
          <w:tcPr>
            <w:tcW w:w="957" w:type="dxa"/>
            <w:vAlign w:val="center"/>
          </w:tcPr>
          <w:p w14:paraId="74F0D92B" w14:textId="2AB65CF4"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38</w:t>
            </w:r>
          </w:p>
        </w:tc>
        <w:tc>
          <w:tcPr>
            <w:tcW w:w="957" w:type="dxa"/>
            <w:vAlign w:val="center"/>
          </w:tcPr>
          <w:p w14:paraId="56C83284" w14:textId="1CB8CE99"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35</w:t>
            </w:r>
          </w:p>
        </w:tc>
        <w:tc>
          <w:tcPr>
            <w:tcW w:w="1564" w:type="dxa"/>
            <w:vMerge/>
            <w:vAlign w:val="center"/>
          </w:tcPr>
          <w:p w14:paraId="5946E15F" w14:textId="7777777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p>
        </w:tc>
      </w:tr>
      <w:tr w:rsidR="00697429" w:rsidRPr="00092862" w14:paraId="7910B8CD" w14:textId="77777777" w:rsidTr="00775BC5">
        <w:trPr>
          <w:jc w:val="center"/>
        </w:trPr>
        <w:tc>
          <w:tcPr>
            <w:tcW w:w="562" w:type="dxa"/>
            <w:vAlign w:val="center"/>
          </w:tcPr>
          <w:p w14:paraId="03B51150" w14:textId="30AF1482"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7#</w:t>
            </w:r>
          </w:p>
        </w:tc>
        <w:tc>
          <w:tcPr>
            <w:tcW w:w="2268" w:type="dxa"/>
            <w:vAlign w:val="center"/>
          </w:tcPr>
          <w:p w14:paraId="5465D4D8" w14:textId="47B27CAB" w:rsidR="00811DDF" w:rsidRPr="00092862" w:rsidRDefault="00811DDF" w:rsidP="00811DDF">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本项目拟建井台西侧</w:t>
            </w:r>
          </w:p>
        </w:tc>
        <w:tc>
          <w:tcPr>
            <w:tcW w:w="957" w:type="dxa"/>
            <w:vAlign w:val="center"/>
          </w:tcPr>
          <w:p w14:paraId="61A357CE" w14:textId="31F5C3EE"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39</w:t>
            </w:r>
          </w:p>
        </w:tc>
        <w:tc>
          <w:tcPr>
            <w:tcW w:w="957" w:type="dxa"/>
            <w:vAlign w:val="center"/>
          </w:tcPr>
          <w:p w14:paraId="526C64E8" w14:textId="53F61068"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36</w:t>
            </w:r>
          </w:p>
        </w:tc>
        <w:tc>
          <w:tcPr>
            <w:tcW w:w="957" w:type="dxa"/>
            <w:vAlign w:val="center"/>
          </w:tcPr>
          <w:p w14:paraId="236807C7" w14:textId="7069A85E"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38</w:t>
            </w:r>
          </w:p>
        </w:tc>
        <w:tc>
          <w:tcPr>
            <w:tcW w:w="957" w:type="dxa"/>
            <w:vAlign w:val="center"/>
          </w:tcPr>
          <w:p w14:paraId="68FF1B8E" w14:textId="147A3CB9"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35</w:t>
            </w:r>
          </w:p>
        </w:tc>
        <w:tc>
          <w:tcPr>
            <w:tcW w:w="1564" w:type="dxa"/>
            <w:vMerge/>
            <w:vAlign w:val="center"/>
          </w:tcPr>
          <w:p w14:paraId="1DD1149E" w14:textId="7777777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p>
        </w:tc>
      </w:tr>
      <w:tr w:rsidR="00697429" w:rsidRPr="00092862" w14:paraId="0554C96A" w14:textId="77777777" w:rsidTr="00775BC5">
        <w:trPr>
          <w:jc w:val="center"/>
        </w:trPr>
        <w:tc>
          <w:tcPr>
            <w:tcW w:w="562" w:type="dxa"/>
            <w:vAlign w:val="center"/>
          </w:tcPr>
          <w:p w14:paraId="619FB66C" w14:textId="256583DD"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r w:rsidRPr="00092862">
              <w:rPr>
                <w:rFonts w:ascii="Times New Roman" w:hAnsi="Times New Roman"/>
                <w:color w:val="000000" w:themeColor="text1"/>
                <w:kern w:val="0"/>
                <w:szCs w:val="28"/>
              </w:rPr>
              <w:t>8#</w:t>
            </w:r>
          </w:p>
        </w:tc>
        <w:tc>
          <w:tcPr>
            <w:tcW w:w="2268" w:type="dxa"/>
            <w:vAlign w:val="center"/>
          </w:tcPr>
          <w:p w14:paraId="47262739" w14:textId="428083A9" w:rsidR="00811DDF" w:rsidRPr="00092862" w:rsidRDefault="00811DDF" w:rsidP="00811DDF">
            <w:pPr>
              <w:pStyle w:val="a5"/>
              <w:widowControl/>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本项目拟建井台北侧</w:t>
            </w:r>
          </w:p>
        </w:tc>
        <w:tc>
          <w:tcPr>
            <w:tcW w:w="957" w:type="dxa"/>
            <w:vAlign w:val="center"/>
          </w:tcPr>
          <w:p w14:paraId="1DBB9551" w14:textId="3500B0E6"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46</w:t>
            </w:r>
          </w:p>
        </w:tc>
        <w:tc>
          <w:tcPr>
            <w:tcW w:w="957" w:type="dxa"/>
            <w:vAlign w:val="center"/>
          </w:tcPr>
          <w:p w14:paraId="405C1593" w14:textId="6D90B69B"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40</w:t>
            </w:r>
          </w:p>
        </w:tc>
        <w:tc>
          <w:tcPr>
            <w:tcW w:w="957" w:type="dxa"/>
            <w:vAlign w:val="center"/>
          </w:tcPr>
          <w:p w14:paraId="27B47761" w14:textId="0F658046"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40</w:t>
            </w:r>
          </w:p>
        </w:tc>
        <w:tc>
          <w:tcPr>
            <w:tcW w:w="957" w:type="dxa"/>
            <w:vAlign w:val="center"/>
          </w:tcPr>
          <w:p w14:paraId="515488F2" w14:textId="6CE743AE" w:rsidR="00811DDF" w:rsidRPr="00092862" w:rsidRDefault="00653D68" w:rsidP="00811DDF">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36</w:t>
            </w:r>
          </w:p>
        </w:tc>
        <w:tc>
          <w:tcPr>
            <w:tcW w:w="1564" w:type="dxa"/>
            <w:vMerge/>
            <w:vAlign w:val="center"/>
          </w:tcPr>
          <w:p w14:paraId="33169B69" w14:textId="77777777" w:rsidR="00811DDF" w:rsidRPr="00092862" w:rsidRDefault="00811DDF" w:rsidP="00811DDF">
            <w:pPr>
              <w:pStyle w:val="a5"/>
              <w:widowControl/>
              <w:snapToGrid w:val="0"/>
              <w:spacing w:line="240" w:lineRule="auto"/>
              <w:rPr>
                <w:rFonts w:ascii="Times New Roman" w:hAnsi="Times New Roman"/>
                <w:color w:val="000000" w:themeColor="text1"/>
                <w:kern w:val="0"/>
                <w:szCs w:val="28"/>
              </w:rPr>
            </w:pPr>
          </w:p>
        </w:tc>
      </w:tr>
    </w:tbl>
    <w:p w14:paraId="6BDD2C1D" w14:textId="2D14A2EF" w:rsidR="00DC446C" w:rsidRPr="00092862" w:rsidRDefault="003B1968" w:rsidP="009D7BA8">
      <w:pPr>
        <w:pStyle w:val="ac"/>
        <w:adjustRightInd w:val="0"/>
        <w:snapToGrid w:val="0"/>
        <w:spacing w:beforeLines="50" w:before="12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由表</w:t>
      </w:r>
      <w:r w:rsidR="002A17B3"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.2-</w:t>
      </w:r>
      <w:r w:rsidR="00D26362"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可知，</w:t>
      </w:r>
      <w:r w:rsidR="009D7BA8" w:rsidRPr="00092862">
        <w:rPr>
          <w:rFonts w:ascii="Times New Roman" w:hAnsi="Times New Roman"/>
          <w:bCs/>
          <w:color w:val="000000" w:themeColor="text1"/>
          <w:kern w:val="2"/>
          <w:lang w:eastAsia="zh-CN"/>
        </w:rPr>
        <w:t>既有老君</w:t>
      </w:r>
      <w:r w:rsidR="009D7BA8" w:rsidRPr="00092862">
        <w:rPr>
          <w:rFonts w:ascii="Times New Roman" w:hAnsi="Times New Roman"/>
          <w:bCs/>
          <w:color w:val="000000" w:themeColor="text1"/>
          <w:kern w:val="2"/>
          <w:lang w:eastAsia="zh-CN"/>
        </w:rPr>
        <w:t>701</w:t>
      </w:r>
      <w:r w:rsidR="00642C3F" w:rsidRPr="00092862">
        <w:rPr>
          <w:rFonts w:ascii="Times New Roman" w:hAnsi="Times New Roman"/>
          <w:bCs/>
          <w:color w:val="000000" w:themeColor="text1"/>
          <w:kern w:val="2"/>
          <w:lang w:eastAsia="zh-CN"/>
        </w:rPr>
        <w:t>井</w:t>
      </w:r>
      <w:r w:rsidR="009D7BA8" w:rsidRPr="00092862">
        <w:rPr>
          <w:rFonts w:ascii="Times New Roman" w:hAnsi="Times New Roman"/>
          <w:bCs/>
          <w:color w:val="000000" w:themeColor="text1"/>
          <w:kern w:val="2"/>
          <w:lang w:eastAsia="zh-CN"/>
        </w:rPr>
        <w:t>站周边噪声监测点昼间夜间噪声监测值满足《工业企业厂界环境噪声排放标准》</w:t>
      </w:r>
      <w:r w:rsidR="009D7BA8" w:rsidRPr="00092862">
        <w:rPr>
          <w:rFonts w:ascii="Times New Roman" w:hAnsi="Times New Roman"/>
          <w:bCs/>
          <w:color w:val="000000" w:themeColor="text1"/>
          <w:kern w:val="2"/>
          <w:lang w:eastAsia="zh-CN"/>
        </w:rPr>
        <w:t>(GB12348-2008)</w:t>
      </w:r>
      <w:r w:rsidR="009D7BA8" w:rsidRPr="00092862">
        <w:rPr>
          <w:rFonts w:ascii="Times New Roman" w:hAnsi="Times New Roman"/>
          <w:bCs/>
          <w:color w:val="000000" w:themeColor="text1"/>
          <w:kern w:val="2"/>
          <w:lang w:eastAsia="zh-CN"/>
        </w:rPr>
        <w:t>中</w:t>
      </w:r>
      <w:r w:rsidR="009D7BA8" w:rsidRPr="00092862">
        <w:rPr>
          <w:rFonts w:ascii="Times New Roman" w:hAnsi="Times New Roman"/>
          <w:bCs/>
          <w:color w:val="000000" w:themeColor="text1"/>
          <w:kern w:val="2"/>
          <w:lang w:eastAsia="zh-CN"/>
        </w:rPr>
        <w:t>2</w:t>
      </w:r>
      <w:r w:rsidR="009D7BA8" w:rsidRPr="00092862">
        <w:rPr>
          <w:rFonts w:ascii="Times New Roman" w:hAnsi="Times New Roman"/>
          <w:bCs/>
          <w:color w:val="000000" w:themeColor="text1"/>
          <w:kern w:val="2"/>
          <w:lang w:eastAsia="zh-CN"/>
        </w:rPr>
        <w:t>类标准；拟建项目周边</w:t>
      </w:r>
      <w:r w:rsidRPr="00092862">
        <w:rPr>
          <w:rFonts w:ascii="Times New Roman" w:hAnsi="Times New Roman"/>
          <w:bCs/>
          <w:color w:val="000000" w:themeColor="text1"/>
          <w:kern w:val="2"/>
          <w:lang w:eastAsia="zh-CN"/>
        </w:rPr>
        <w:t>各监测点昼间夜间噪声监测值满足《声环境质量标准》（</w:t>
      </w:r>
      <w:r w:rsidRPr="00092862">
        <w:rPr>
          <w:rFonts w:ascii="Times New Roman" w:hAnsi="Times New Roman"/>
          <w:bCs/>
          <w:color w:val="000000" w:themeColor="text1"/>
          <w:kern w:val="2"/>
          <w:lang w:eastAsia="zh-CN"/>
        </w:rPr>
        <w:t>GB3096-2008</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类功能区标准，项目拟建地声环境质量良好。</w:t>
      </w:r>
    </w:p>
    <w:p w14:paraId="1EF2332C"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70" w:name="_Toc120173131"/>
      <w:r w:rsidRPr="00092862">
        <w:rPr>
          <w:rFonts w:ascii="Times New Roman" w:eastAsia="黑体" w:hAnsi="Times New Roman"/>
          <w:b w:val="0"/>
          <w:color w:val="000000" w:themeColor="text1"/>
          <w:sz w:val="24"/>
          <w:szCs w:val="24"/>
          <w:lang w:eastAsia="zh-CN"/>
        </w:rPr>
        <w:t>4.2.4</w:t>
      </w:r>
      <w:r w:rsidRPr="00092862">
        <w:rPr>
          <w:rFonts w:ascii="Times New Roman" w:eastAsia="黑体" w:hAnsi="Times New Roman"/>
          <w:b w:val="0"/>
          <w:color w:val="000000" w:themeColor="text1"/>
          <w:sz w:val="24"/>
          <w:szCs w:val="24"/>
          <w:lang w:eastAsia="zh-CN"/>
        </w:rPr>
        <w:t>地下水质量现状</w:t>
      </w:r>
      <w:bookmarkEnd w:id="170"/>
    </w:p>
    <w:p w14:paraId="4CA1E258" w14:textId="3914BFD6" w:rsidR="003F58E8" w:rsidRPr="00092862" w:rsidRDefault="003F58E8" w:rsidP="003F58E8">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为了了解项目建设对地下水环境的影响，本次评价对区域地下水质量进行了监测。</w:t>
      </w:r>
    </w:p>
    <w:p w14:paraId="79752F1E" w14:textId="77777777" w:rsidR="00C15CAE" w:rsidRPr="00092862" w:rsidRDefault="003B1968" w:rsidP="003D2EEB">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1</w:t>
      </w:r>
      <w:r w:rsidRPr="00092862">
        <w:rPr>
          <w:rFonts w:ascii="Times New Roman" w:eastAsia="宋体" w:hAnsi="Times New Roman" w:cs="Times New Roman"/>
          <w:b/>
          <w:color w:val="000000" w:themeColor="text1"/>
          <w:sz w:val="24"/>
          <w:szCs w:val="24"/>
        </w:rPr>
        <w:t>）监测布点</w:t>
      </w:r>
    </w:p>
    <w:p w14:paraId="1F9D9A58" w14:textId="03C20674"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本项目为《环境影响评价技术导则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地下水环境》（</w:t>
      </w:r>
      <w:r w:rsidRPr="00092862">
        <w:rPr>
          <w:rFonts w:ascii="Times New Roman" w:eastAsia="宋体" w:hAnsi="Times New Roman" w:cs="Times New Roman"/>
          <w:bCs/>
          <w:color w:val="000000" w:themeColor="text1"/>
          <w:sz w:val="24"/>
          <w:szCs w:val="24"/>
        </w:rPr>
        <w:t>HJ610-2016</w:t>
      </w:r>
      <w:r w:rsidRPr="00092862">
        <w:rPr>
          <w:rFonts w:ascii="Times New Roman" w:eastAsia="宋体" w:hAnsi="Times New Roman" w:cs="Times New Roman"/>
          <w:bCs/>
          <w:color w:val="000000" w:themeColor="text1"/>
          <w:sz w:val="24"/>
          <w:szCs w:val="24"/>
        </w:rPr>
        <w:t>）中</w:t>
      </w:r>
      <w:r w:rsidRPr="00092862">
        <w:rPr>
          <w:rFonts w:ascii="Times New Roman" w:eastAsia="宋体" w:hAnsi="Times New Roman" w:cs="Times New Roman"/>
          <w:bCs/>
          <w:color w:val="000000" w:themeColor="text1"/>
          <w:sz w:val="24"/>
          <w:szCs w:val="24"/>
        </w:rPr>
        <w:fldChar w:fldCharType="begin"/>
      </w:r>
      <w:r w:rsidRPr="00092862">
        <w:rPr>
          <w:rFonts w:ascii="Times New Roman" w:eastAsia="宋体" w:hAnsi="Times New Roman" w:cs="Times New Roman"/>
          <w:bCs/>
          <w:color w:val="000000" w:themeColor="text1"/>
          <w:sz w:val="24"/>
          <w:szCs w:val="24"/>
        </w:rPr>
        <w:instrText xml:space="preserve"> = 2 \* ROMAN </w:instrText>
      </w:r>
      <w:r w:rsidRPr="00092862">
        <w:rPr>
          <w:rFonts w:ascii="Times New Roman" w:eastAsia="宋体" w:hAnsi="Times New Roman" w:cs="Times New Roman"/>
          <w:bCs/>
          <w:color w:val="000000" w:themeColor="text1"/>
          <w:sz w:val="24"/>
          <w:szCs w:val="24"/>
        </w:rPr>
        <w:fldChar w:fldCharType="separate"/>
      </w:r>
      <w:r w:rsidRPr="00092862">
        <w:rPr>
          <w:rFonts w:ascii="Times New Roman" w:eastAsia="宋体" w:hAnsi="Times New Roman" w:cs="Times New Roman"/>
          <w:bCs/>
          <w:color w:val="000000" w:themeColor="text1"/>
          <w:sz w:val="24"/>
          <w:szCs w:val="24"/>
        </w:rPr>
        <w:t>II</w:t>
      </w:r>
      <w:r w:rsidRPr="00092862">
        <w:rPr>
          <w:rFonts w:ascii="Times New Roman" w:eastAsia="宋体" w:hAnsi="Times New Roman" w:cs="Times New Roman"/>
          <w:bCs/>
          <w:color w:val="000000" w:themeColor="text1"/>
          <w:sz w:val="24"/>
          <w:szCs w:val="24"/>
        </w:rPr>
        <w:fldChar w:fldCharType="end"/>
      </w:r>
      <w:r w:rsidRPr="00092862">
        <w:rPr>
          <w:rFonts w:ascii="Times New Roman" w:eastAsia="宋体" w:hAnsi="Times New Roman" w:cs="Times New Roman"/>
          <w:bCs/>
          <w:color w:val="000000" w:themeColor="text1"/>
          <w:sz w:val="24"/>
          <w:szCs w:val="24"/>
        </w:rPr>
        <w:t>类建设项目，根据外环境调查，</w:t>
      </w:r>
      <w:r w:rsidR="009D7BA8" w:rsidRPr="00092862">
        <w:rPr>
          <w:rFonts w:ascii="Times New Roman" w:eastAsia="宋体" w:hAnsi="Times New Roman" w:cs="Times New Roman"/>
          <w:bCs/>
          <w:color w:val="000000" w:themeColor="text1"/>
          <w:sz w:val="24"/>
          <w:szCs w:val="24"/>
        </w:rPr>
        <w:t>井场附近居民家中部分使用自建水井（或涌泉水井）作为饮用水源，其中约</w:t>
      </w:r>
      <w:r w:rsidR="009D7BA8" w:rsidRPr="00092862">
        <w:rPr>
          <w:rFonts w:ascii="Times New Roman" w:eastAsia="宋体" w:hAnsi="Times New Roman" w:cs="Times New Roman"/>
          <w:bCs/>
          <w:color w:val="000000" w:themeColor="text1"/>
          <w:sz w:val="24"/>
          <w:szCs w:val="24"/>
        </w:rPr>
        <w:t>3~5</w:t>
      </w:r>
      <w:r w:rsidR="009D7BA8" w:rsidRPr="00092862">
        <w:rPr>
          <w:rFonts w:ascii="Times New Roman" w:eastAsia="宋体" w:hAnsi="Times New Roman" w:cs="Times New Roman"/>
          <w:bCs/>
          <w:color w:val="000000" w:themeColor="text1"/>
          <w:sz w:val="24"/>
          <w:szCs w:val="24"/>
        </w:rPr>
        <w:t>户</w:t>
      </w:r>
      <w:r w:rsidR="009D7BA8" w:rsidRPr="00092862">
        <w:rPr>
          <w:rFonts w:ascii="Times New Roman" w:eastAsia="宋体" w:hAnsi="Times New Roman" w:cs="Times New Roman"/>
          <w:bCs/>
          <w:color w:val="000000" w:themeColor="text1"/>
          <w:sz w:val="24"/>
          <w:szCs w:val="24"/>
        </w:rPr>
        <w:t>1</w:t>
      </w:r>
      <w:r w:rsidR="009D7BA8" w:rsidRPr="00092862">
        <w:rPr>
          <w:rFonts w:ascii="Times New Roman" w:eastAsia="宋体" w:hAnsi="Times New Roman" w:cs="Times New Roman"/>
          <w:bCs/>
          <w:color w:val="000000" w:themeColor="text1"/>
          <w:sz w:val="24"/>
          <w:szCs w:val="24"/>
        </w:rPr>
        <w:t>口</w:t>
      </w:r>
      <w:r w:rsidRPr="00092862">
        <w:rPr>
          <w:rFonts w:ascii="Times New Roman" w:eastAsia="宋体" w:hAnsi="Times New Roman" w:cs="Times New Roman"/>
          <w:bCs/>
          <w:color w:val="000000" w:themeColor="text1"/>
          <w:sz w:val="24"/>
          <w:szCs w:val="24"/>
        </w:rPr>
        <w:t>。根据本项目的所在位置的特点、地下水环评导则要求以及地下水污染扩散特点等，共布设</w:t>
      </w:r>
      <w:r w:rsidR="00966BE7"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个地下水水质现状监测点，具体监测点位分布见附图</w:t>
      </w:r>
      <w:r w:rsidR="00621277"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和表</w:t>
      </w:r>
      <w:r w:rsidRPr="00092862">
        <w:rPr>
          <w:rFonts w:ascii="Times New Roman" w:eastAsia="宋体" w:hAnsi="Times New Roman" w:cs="Times New Roman"/>
          <w:bCs/>
          <w:color w:val="000000" w:themeColor="text1"/>
          <w:sz w:val="24"/>
          <w:szCs w:val="24"/>
        </w:rPr>
        <w:t>4.2-</w:t>
      </w:r>
      <w:r w:rsidR="00D26362"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w:t>
      </w:r>
    </w:p>
    <w:p w14:paraId="7C36F2F6" w14:textId="335C6433" w:rsidR="00DC446C" w:rsidRPr="00092862" w:rsidRDefault="003B1968"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4.2-</w:t>
      </w:r>
      <w:r w:rsidR="00D26362" w:rsidRPr="00092862">
        <w:rPr>
          <w:rFonts w:ascii="Times New Roman" w:eastAsia="黑体" w:hAnsi="Times New Roman"/>
          <w:color w:val="000000" w:themeColor="text1"/>
          <w:sz w:val="21"/>
          <w:szCs w:val="21"/>
          <w:lang w:eastAsia="zh-CN"/>
        </w:rPr>
        <w:t>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项目井场地下水监测点位统计表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2126"/>
        <w:gridCol w:w="1687"/>
        <w:gridCol w:w="3092"/>
      </w:tblGrid>
      <w:tr w:rsidR="00697429" w:rsidRPr="00092862" w14:paraId="13BE40C2" w14:textId="77777777" w:rsidTr="00775BC5">
        <w:trPr>
          <w:jc w:val="center"/>
        </w:trPr>
        <w:tc>
          <w:tcPr>
            <w:tcW w:w="1317" w:type="dxa"/>
            <w:vAlign w:val="center"/>
          </w:tcPr>
          <w:p w14:paraId="6313D521" w14:textId="77777777" w:rsidR="00DC446C" w:rsidRPr="00092862" w:rsidRDefault="003B1968" w:rsidP="00775BC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编号</w:t>
            </w:r>
          </w:p>
        </w:tc>
        <w:tc>
          <w:tcPr>
            <w:tcW w:w="2126" w:type="dxa"/>
            <w:vAlign w:val="center"/>
          </w:tcPr>
          <w:p w14:paraId="0AE4464E" w14:textId="77777777" w:rsidR="00DC446C" w:rsidRPr="00092862" w:rsidRDefault="003B1968" w:rsidP="00775BC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方位</w:t>
            </w:r>
          </w:p>
        </w:tc>
        <w:tc>
          <w:tcPr>
            <w:tcW w:w="1687" w:type="dxa"/>
            <w:vAlign w:val="center"/>
          </w:tcPr>
          <w:p w14:paraId="7269E6B7" w14:textId="77777777" w:rsidR="00DC446C" w:rsidRPr="00092862" w:rsidRDefault="003B1968" w:rsidP="00775BC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距离</w:t>
            </w:r>
          </w:p>
        </w:tc>
        <w:tc>
          <w:tcPr>
            <w:tcW w:w="3092" w:type="dxa"/>
            <w:vAlign w:val="center"/>
          </w:tcPr>
          <w:p w14:paraId="63C4E627" w14:textId="77777777" w:rsidR="00DC446C" w:rsidRPr="00092862" w:rsidRDefault="003B1968" w:rsidP="00775BC5">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32D94BEC" w14:textId="77777777" w:rsidTr="00775BC5">
        <w:trPr>
          <w:jc w:val="center"/>
        </w:trPr>
        <w:tc>
          <w:tcPr>
            <w:tcW w:w="1317" w:type="dxa"/>
            <w:vAlign w:val="center"/>
          </w:tcPr>
          <w:p w14:paraId="04C71D1C" w14:textId="77777777" w:rsidR="003328B3" w:rsidRPr="00092862" w:rsidRDefault="003328B3" w:rsidP="003328B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2126" w:type="dxa"/>
            <w:vAlign w:val="center"/>
          </w:tcPr>
          <w:p w14:paraId="65B46B59" w14:textId="2D94A778" w:rsidR="003328B3" w:rsidRPr="00092862" w:rsidRDefault="009D7BA8" w:rsidP="003328B3">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老君</w:t>
            </w:r>
            <w:r w:rsidRPr="00092862">
              <w:rPr>
                <w:rFonts w:ascii="Times New Roman" w:hAnsi="Times New Roman"/>
                <w:color w:val="000000" w:themeColor="text1"/>
                <w:sz w:val="22"/>
                <w:szCs w:val="22"/>
              </w:rPr>
              <w:t>7011</w:t>
            </w:r>
            <w:r w:rsidRPr="00092862">
              <w:rPr>
                <w:rFonts w:ascii="Times New Roman" w:hAnsi="Times New Roman"/>
                <w:color w:val="000000" w:themeColor="text1"/>
                <w:sz w:val="22"/>
                <w:szCs w:val="22"/>
              </w:rPr>
              <w:t>井台西南侧</w:t>
            </w:r>
          </w:p>
        </w:tc>
        <w:tc>
          <w:tcPr>
            <w:tcW w:w="1687" w:type="dxa"/>
            <w:vAlign w:val="center"/>
          </w:tcPr>
          <w:p w14:paraId="55872DAA" w14:textId="28505243" w:rsidR="003328B3" w:rsidRPr="00092862" w:rsidRDefault="009D7BA8" w:rsidP="003328B3">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约</w:t>
            </w:r>
            <w:r w:rsidRPr="00092862">
              <w:rPr>
                <w:rFonts w:ascii="Times New Roman" w:hAnsi="Times New Roman"/>
                <w:color w:val="000000" w:themeColor="text1"/>
                <w:sz w:val="22"/>
                <w:szCs w:val="22"/>
              </w:rPr>
              <w:t>1492m</w:t>
            </w:r>
            <w:r w:rsidRPr="00092862">
              <w:rPr>
                <w:rFonts w:ascii="Times New Roman" w:hAnsi="Times New Roman"/>
                <w:color w:val="000000" w:themeColor="text1"/>
                <w:sz w:val="22"/>
                <w:szCs w:val="22"/>
              </w:rPr>
              <w:t>处</w:t>
            </w:r>
          </w:p>
        </w:tc>
        <w:tc>
          <w:tcPr>
            <w:tcW w:w="3092" w:type="dxa"/>
            <w:vAlign w:val="center"/>
          </w:tcPr>
          <w:p w14:paraId="3DEFC805" w14:textId="2792CDD6" w:rsidR="003328B3" w:rsidRPr="00092862" w:rsidRDefault="009D7BA8" w:rsidP="003328B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泉涌水</w:t>
            </w:r>
            <w:r w:rsidR="003328B3"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下</w:t>
            </w:r>
            <w:r w:rsidR="003328B3" w:rsidRPr="00092862">
              <w:rPr>
                <w:rFonts w:ascii="Times New Roman" w:eastAsia="宋体" w:hAnsi="Times New Roman" w:cs="Times New Roman"/>
                <w:color w:val="000000" w:themeColor="text1"/>
                <w:szCs w:val="21"/>
              </w:rPr>
              <w:t>游</w:t>
            </w:r>
          </w:p>
        </w:tc>
      </w:tr>
      <w:tr w:rsidR="00697429" w:rsidRPr="00092862" w14:paraId="03A1CB98" w14:textId="77777777" w:rsidTr="00775BC5">
        <w:trPr>
          <w:jc w:val="center"/>
        </w:trPr>
        <w:tc>
          <w:tcPr>
            <w:tcW w:w="1317" w:type="dxa"/>
            <w:vAlign w:val="center"/>
          </w:tcPr>
          <w:p w14:paraId="554269FC" w14:textId="77777777" w:rsidR="003328B3" w:rsidRPr="00092862" w:rsidRDefault="003328B3" w:rsidP="003328B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2126" w:type="dxa"/>
            <w:vAlign w:val="center"/>
          </w:tcPr>
          <w:p w14:paraId="6FE8CCCC" w14:textId="712D3BFB" w:rsidR="003328B3" w:rsidRPr="00092862" w:rsidRDefault="009D7BA8" w:rsidP="003328B3">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老君</w:t>
            </w:r>
            <w:r w:rsidRPr="00092862">
              <w:rPr>
                <w:rFonts w:ascii="Times New Roman" w:hAnsi="Times New Roman"/>
                <w:color w:val="000000" w:themeColor="text1"/>
                <w:sz w:val="22"/>
                <w:szCs w:val="22"/>
              </w:rPr>
              <w:t>7011</w:t>
            </w:r>
            <w:r w:rsidRPr="00092862">
              <w:rPr>
                <w:rFonts w:ascii="Times New Roman" w:hAnsi="Times New Roman"/>
                <w:color w:val="000000" w:themeColor="text1"/>
                <w:sz w:val="22"/>
                <w:szCs w:val="22"/>
              </w:rPr>
              <w:t>井台西南侧</w:t>
            </w:r>
          </w:p>
        </w:tc>
        <w:tc>
          <w:tcPr>
            <w:tcW w:w="1687" w:type="dxa"/>
            <w:vAlign w:val="center"/>
          </w:tcPr>
          <w:p w14:paraId="5105AFA9" w14:textId="428F09CA" w:rsidR="003328B3" w:rsidRPr="00092862" w:rsidRDefault="009D7BA8" w:rsidP="003328B3">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约</w:t>
            </w:r>
            <w:r w:rsidRPr="00092862">
              <w:rPr>
                <w:rFonts w:ascii="Times New Roman" w:hAnsi="Times New Roman"/>
                <w:color w:val="000000" w:themeColor="text1"/>
                <w:sz w:val="22"/>
                <w:szCs w:val="22"/>
              </w:rPr>
              <w:t>930m</w:t>
            </w:r>
            <w:r w:rsidRPr="00092862">
              <w:rPr>
                <w:rFonts w:ascii="Times New Roman" w:hAnsi="Times New Roman"/>
                <w:color w:val="000000" w:themeColor="text1"/>
                <w:sz w:val="22"/>
                <w:szCs w:val="22"/>
              </w:rPr>
              <w:t>处</w:t>
            </w:r>
          </w:p>
        </w:tc>
        <w:tc>
          <w:tcPr>
            <w:tcW w:w="3092" w:type="dxa"/>
            <w:vAlign w:val="center"/>
          </w:tcPr>
          <w:p w14:paraId="6230C27B" w14:textId="13EB9867" w:rsidR="003328B3" w:rsidRPr="00092862" w:rsidRDefault="009D7BA8" w:rsidP="003328B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泉涌水</w:t>
            </w:r>
            <w:r w:rsidR="003328B3"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下</w:t>
            </w:r>
            <w:r w:rsidR="003328B3" w:rsidRPr="00092862">
              <w:rPr>
                <w:rFonts w:ascii="Times New Roman" w:eastAsia="宋体" w:hAnsi="Times New Roman" w:cs="Times New Roman"/>
                <w:color w:val="000000" w:themeColor="text1"/>
                <w:szCs w:val="21"/>
              </w:rPr>
              <w:t>游</w:t>
            </w:r>
          </w:p>
        </w:tc>
      </w:tr>
      <w:tr w:rsidR="00697429" w:rsidRPr="00092862" w14:paraId="56F0C677" w14:textId="77777777" w:rsidTr="00775BC5">
        <w:trPr>
          <w:jc w:val="center"/>
        </w:trPr>
        <w:tc>
          <w:tcPr>
            <w:tcW w:w="1317" w:type="dxa"/>
            <w:vAlign w:val="center"/>
          </w:tcPr>
          <w:p w14:paraId="710C30B3" w14:textId="77777777" w:rsidR="009D7BA8" w:rsidRPr="00092862" w:rsidRDefault="009D7BA8" w:rsidP="009D7BA8">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2126" w:type="dxa"/>
            <w:vAlign w:val="center"/>
          </w:tcPr>
          <w:p w14:paraId="7BB542DA" w14:textId="3AFB7C8F" w:rsidR="009D7BA8" w:rsidRPr="00092862" w:rsidRDefault="009D7BA8" w:rsidP="009D7BA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老君</w:t>
            </w:r>
            <w:r w:rsidRPr="00092862">
              <w:rPr>
                <w:rFonts w:ascii="Times New Roman" w:hAnsi="Times New Roman"/>
                <w:color w:val="000000" w:themeColor="text1"/>
                <w:sz w:val="22"/>
                <w:szCs w:val="22"/>
              </w:rPr>
              <w:t>7011</w:t>
            </w:r>
            <w:r w:rsidRPr="00092862">
              <w:rPr>
                <w:rFonts w:ascii="Times New Roman" w:hAnsi="Times New Roman"/>
                <w:color w:val="000000" w:themeColor="text1"/>
                <w:sz w:val="22"/>
                <w:szCs w:val="22"/>
              </w:rPr>
              <w:t>井台北侧</w:t>
            </w:r>
          </w:p>
        </w:tc>
        <w:tc>
          <w:tcPr>
            <w:tcW w:w="1687" w:type="dxa"/>
            <w:vAlign w:val="center"/>
          </w:tcPr>
          <w:p w14:paraId="73D2A0E6" w14:textId="0BB8F798" w:rsidR="009D7BA8" w:rsidRPr="00092862" w:rsidRDefault="009D7BA8" w:rsidP="009D7BA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约</w:t>
            </w:r>
            <w:r w:rsidRPr="00092862">
              <w:rPr>
                <w:rFonts w:ascii="Times New Roman" w:hAnsi="Times New Roman"/>
                <w:color w:val="000000" w:themeColor="text1"/>
                <w:sz w:val="22"/>
                <w:szCs w:val="22"/>
              </w:rPr>
              <w:t>432m</w:t>
            </w:r>
            <w:r w:rsidRPr="00092862">
              <w:rPr>
                <w:rFonts w:ascii="Times New Roman" w:hAnsi="Times New Roman"/>
                <w:color w:val="000000" w:themeColor="text1"/>
                <w:sz w:val="22"/>
                <w:szCs w:val="22"/>
              </w:rPr>
              <w:t>处</w:t>
            </w:r>
          </w:p>
        </w:tc>
        <w:tc>
          <w:tcPr>
            <w:tcW w:w="3092" w:type="dxa"/>
            <w:vAlign w:val="center"/>
          </w:tcPr>
          <w:p w14:paraId="7273938F" w14:textId="260D1ECE" w:rsidR="009D7BA8" w:rsidRPr="00092862" w:rsidRDefault="009D7BA8" w:rsidP="009D7BA8">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水井，</w:t>
            </w:r>
            <w:r w:rsidR="00536E40" w:rsidRPr="00092862">
              <w:rPr>
                <w:rFonts w:ascii="Times New Roman" w:eastAsia="宋体" w:hAnsi="Times New Roman" w:cs="Times New Roman"/>
                <w:color w:val="000000" w:themeColor="text1"/>
                <w:szCs w:val="21"/>
              </w:rPr>
              <w:t>侧</w:t>
            </w:r>
            <w:r w:rsidRPr="00092862">
              <w:rPr>
                <w:rFonts w:ascii="Times New Roman" w:eastAsia="宋体" w:hAnsi="Times New Roman" w:cs="Times New Roman"/>
                <w:color w:val="000000" w:themeColor="text1"/>
                <w:szCs w:val="21"/>
              </w:rPr>
              <w:t>游</w:t>
            </w:r>
          </w:p>
        </w:tc>
      </w:tr>
      <w:tr w:rsidR="00697429" w:rsidRPr="00092862" w14:paraId="733E5F98" w14:textId="77777777" w:rsidTr="00775BC5">
        <w:trPr>
          <w:jc w:val="center"/>
        </w:trPr>
        <w:tc>
          <w:tcPr>
            <w:tcW w:w="1317" w:type="dxa"/>
            <w:vAlign w:val="center"/>
          </w:tcPr>
          <w:p w14:paraId="6DFAA443" w14:textId="77777777" w:rsidR="009D7BA8" w:rsidRPr="00092862" w:rsidRDefault="009D7BA8" w:rsidP="009D7BA8">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4#</w:t>
            </w:r>
          </w:p>
        </w:tc>
        <w:tc>
          <w:tcPr>
            <w:tcW w:w="2126" w:type="dxa"/>
            <w:vAlign w:val="center"/>
          </w:tcPr>
          <w:p w14:paraId="437C80CC" w14:textId="29396425" w:rsidR="009D7BA8" w:rsidRPr="00092862" w:rsidRDefault="009D7BA8" w:rsidP="009D7BA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老君</w:t>
            </w:r>
            <w:r w:rsidRPr="00092862">
              <w:rPr>
                <w:rFonts w:ascii="Times New Roman" w:hAnsi="Times New Roman"/>
                <w:color w:val="000000" w:themeColor="text1"/>
                <w:sz w:val="22"/>
                <w:szCs w:val="22"/>
              </w:rPr>
              <w:t>7011</w:t>
            </w:r>
            <w:r w:rsidRPr="00092862">
              <w:rPr>
                <w:rFonts w:ascii="Times New Roman" w:hAnsi="Times New Roman"/>
                <w:color w:val="000000" w:themeColor="text1"/>
                <w:sz w:val="22"/>
                <w:szCs w:val="22"/>
              </w:rPr>
              <w:t>井台北侧</w:t>
            </w:r>
          </w:p>
        </w:tc>
        <w:tc>
          <w:tcPr>
            <w:tcW w:w="1687" w:type="dxa"/>
            <w:vAlign w:val="center"/>
          </w:tcPr>
          <w:p w14:paraId="1A65DFAA" w14:textId="04A7D0D5" w:rsidR="009D7BA8" w:rsidRPr="00092862" w:rsidRDefault="009D7BA8" w:rsidP="009D7BA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约</w:t>
            </w:r>
            <w:r w:rsidRPr="00092862">
              <w:rPr>
                <w:rFonts w:ascii="Times New Roman" w:hAnsi="Times New Roman"/>
                <w:color w:val="000000" w:themeColor="text1"/>
                <w:sz w:val="22"/>
                <w:szCs w:val="22"/>
              </w:rPr>
              <w:t>1399m</w:t>
            </w:r>
            <w:r w:rsidRPr="00092862">
              <w:rPr>
                <w:rFonts w:ascii="Times New Roman" w:hAnsi="Times New Roman"/>
                <w:color w:val="000000" w:themeColor="text1"/>
                <w:sz w:val="22"/>
                <w:szCs w:val="22"/>
              </w:rPr>
              <w:t>处</w:t>
            </w:r>
          </w:p>
        </w:tc>
        <w:tc>
          <w:tcPr>
            <w:tcW w:w="3092" w:type="dxa"/>
            <w:vAlign w:val="center"/>
          </w:tcPr>
          <w:p w14:paraId="51423028" w14:textId="52A0710A" w:rsidR="009D7BA8" w:rsidRPr="00092862" w:rsidRDefault="009D7BA8" w:rsidP="009D7BA8">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泉涌水</w:t>
            </w:r>
            <w:r w:rsidRPr="00092862">
              <w:rPr>
                <w:rFonts w:ascii="Times New Roman" w:eastAsia="宋体" w:hAnsi="Times New Roman" w:cs="Times New Roman"/>
                <w:color w:val="000000" w:themeColor="text1"/>
                <w:szCs w:val="21"/>
              </w:rPr>
              <w:t>，</w:t>
            </w:r>
            <w:r w:rsidR="00536E40" w:rsidRPr="00092862">
              <w:rPr>
                <w:rFonts w:ascii="Times New Roman" w:eastAsia="宋体" w:hAnsi="Times New Roman" w:cs="Times New Roman"/>
                <w:color w:val="000000" w:themeColor="text1"/>
                <w:szCs w:val="21"/>
              </w:rPr>
              <w:t>上</w:t>
            </w:r>
            <w:r w:rsidRPr="00092862">
              <w:rPr>
                <w:rFonts w:ascii="Times New Roman" w:eastAsia="宋体" w:hAnsi="Times New Roman" w:cs="Times New Roman"/>
                <w:color w:val="000000" w:themeColor="text1"/>
                <w:szCs w:val="21"/>
              </w:rPr>
              <w:t>游</w:t>
            </w:r>
          </w:p>
        </w:tc>
      </w:tr>
      <w:tr w:rsidR="00697429" w:rsidRPr="00092862" w14:paraId="4691BDF3" w14:textId="77777777" w:rsidTr="00775BC5">
        <w:trPr>
          <w:jc w:val="center"/>
        </w:trPr>
        <w:tc>
          <w:tcPr>
            <w:tcW w:w="1317" w:type="dxa"/>
            <w:vAlign w:val="center"/>
          </w:tcPr>
          <w:p w14:paraId="3AE64E18" w14:textId="77777777" w:rsidR="009D7BA8" w:rsidRPr="00092862" w:rsidRDefault="009D7BA8" w:rsidP="009D7BA8">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2126" w:type="dxa"/>
            <w:vAlign w:val="center"/>
          </w:tcPr>
          <w:p w14:paraId="304EBC92" w14:textId="1239E152" w:rsidR="009D7BA8" w:rsidRPr="00092862" w:rsidRDefault="009D7BA8" w:rsidP="009D7BA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老君</w:t>
            </w:r>
            <w:r w:rsidRPr="00092862">
              <w:rPr>
                <w:rFonts w:ascii="Times New Roman" w:hAnsi="Times New Roman"/>
                <w:color w:val="000000" w:themeColor="text1"/>
                <w:sz w:val="22"/>
                <w:szCs w:val="22"/>
              </w:rPr>
              <w:t>7011</w:t>
            </w:r>
            <w:r w:rsidRPr="00092862">
              <w:rPr>
                <w:rFonts w:ascii="Times New Roman" w:hAnsi="Times New Roman"/>
                <w:color w:val="000000" w:themeColor="text1"/>
                <w:sz w:val="22"/>
                <w:szCs w:val="22"/>
              </w:rPr>
              <w:t>井台东侧</w:t>
            </w:r>
          </w:p>
        </w:tc>
        <w:tc>
          <w:tcPr>
            <w:tcW w:w="1687" w:type="dxa"/>
            <w:vAlign w:val="center"/>
          </w:tcPr>
          <w:p w14:paraId="57A4FC50" w14:textId="10A9A700" w:rsidR="009D7BA8" w:rsidRPr="00092862" w:rsidRDefault="009D7BA8" w:rsidP="009D7BA8">
            <w:pPr>
              <w:pStyle w:val="a5"/>
              <w:snapToGrid w:val="0"/>
              <w:spacing w:line="240" w:lineRule="auto"/>
              <w:rPr>
                <w:rFonts w:ascii="Times New Roman" w:hAnsi="Times New Roman"/>
                <w:color w:val="000000" w:themeColor="text1"/>
                <w:kern w:val="0"/>
                <w:szCs w:val="21"/>
              </w:rPr>
            </w:pPr>
            <w:r w:rsidRPr="00092862">
              <w:rPr>
                <w:rFonts w:ascii="Times New Roman" w:hAnsi="Times New Roman"/>
                <w:color w:val="000000" w:themeColor="text1"/>
                <w:sz w:val="22"/>
                <w:szCs w:val="22"/>
              </w:rPr>
              <w:t>约</w:t>
            </w:r>
            <w:r w:rsidRPr="00092862">
              <w:rPr>
                <w:rFonts w:ascii="Times New Roman" w:hAnsi="Times New Roman"/>
                <w:color w:val="000000" w:themeColor="text1"/>
                <w:sz w:val="22"/>
                <w:szCs w:val="22"/>
              </w:rPr>
              <w:t>2132m</w:t>
            </w:r>
            <w:r w:rsidRPr="00092862">
              <w:rPr>
                <w:rFonts w:ascii="Times New Roman" w:hAnsi="Times New Roman"/>
                <w:color w:val="000000" w:themeColor="text1"/>
                <w:sz w:val="22"/>
                <w:szCs w:val="22"/>
              </w:rPr>
              <w:t>处</w:t>
            </w:r>
          </w:p>
        </w:tc>
        <w:tc>
          <w:tcPr>
            <w:tcW w:w="3092" w:type="dxa"/>
            <w:vAlign w:val="center"/>
          </w:tcPr>
          <w:p w14:paraId="6F7069A4" w14:textId="7E4040E9" w:rsidR="009D7BA8" w:rsidRPr="00092862" w:rsidRDefault="009D7BA8" w:rsidP="009D7BA8">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泉涌水</w:t>
            </w:r>
            <w:r w:rsidRPr="00092862">
              <w:rPr>
                <w:rFonts w:ascii="Times New Roman" w:eastAsia="宋体" w:hAnsi="Times New Roman" w:cs="Times New Roman"/>
                <w:color w:val="000000" w:themeColor="text1"/>
                <w:szCs w:val="21"/>
              </w:rPr>
              <w:t>，</w:t>
            </w:r>
            <w:r w:rsidR="00536E40" w:rsidRPr="00092862">
              <w:rPr>
                <w:rFonts w:ascii="Times New Roman" w:eastAsia="宋体" w:hAnsi="Times New Roman" w:cs="Times New Roman"/>
                <w:color w:val="000000" w:themeColor="text1"/>
                <w:szCs w:val="21"/>
              </w:rPr>
              <w:t>上</w:t>
            </w:r>
            <w:r w:rsidRPr="00092862">
              <w:rPr>
                <w:rFonts w:ascii="Times New Roman" w:eastAsia="宋体" w:hAnsi="Times New Roman" w:cs="Times New Roman"/>
                <w:color w:val="000000" w:themeColor="text1"/>
                <w:szCs w:val="21"/>
              </w:rPr>
              <w:t>游</w:t>
            </w:r>
          </w:p>
        </w:tc>
      </w:tr>
    </w:tbl>
    <w:p w14:paraId="1288EE26" w14:textId="26C789FA" w:rsidR="009B18A4" w:rsidRPr="00092862" w:rsidRDefault="009B18A4" w:rsidP="00C95247">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本项目所设置的</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个地下水水质监测点中，</w:t>
      </w:r>
      <w:r w:rsidR="006F609F"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个监测点（</w:t>
      </w:r>
      <w:r w:rsidR="00536E40"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）位于项目所在地地下水流向</w:t>
      </w:r>
      <w:r w:rsidR="00E16E22" w:rsidRPr="00092862">
        <w:rPr>
          <w:rFonts w:ascii="Times New Roman" w:eastAsia="宋体" w:hAnsi="Times New Roman" w:cs="Times New Roman"/>
          <w:bCs/>
          <w:color w:val="000000" w:themeColor="text1"/>
          <w:sz w:val="24"/>
          <w:szCs w:val="24"/>
        </w:rPr>
        <w:t>侧</w:t>
      </w:r>
      <w:r w:rsidRPr="00092862">
        <w:rPr>
          <w:rFonts w:ascii="Times New Roman" w:eastAsia="宋体" w:hAnsi="Times New Roman" w:cs="Times New Roman"/>
          <w:bCs/>
          <w:color w:val="000000" w:themeColor="text1"/>
          <w:sz w:val="24"/>
          <w:szCs w:val="24"/>
        </w:rPr>
        <w:t>游</w:t>
      </w:r>
      <w:r w:rsidR="00E16E22" w:rsidRPr="00092862">
        <w:rPr>
          <w:rFonts w:ascii="Times New Roman" w:eastAsia="宋体" w:hAnsi="Times New Roman" w:cs="Times New Roman"/>
          <w:bCs/>
          <w:color w:val="000000" w:themeColor="text1"/>
          <w:sz w:val="24"/>
          <w:szCs w:val="24"/>
        </w:rPr>
        <w:t>，</w:t>
      </w:r>
      <w:r w:rsidR="006F609F" w:rsidRPr="00092862">
        <w:rPr>
          <w:rFonts w:ascii="Times New Roman" w:eastAsia="宋体" w:hAnsi="Times New Roman" w:cs="Times New Roman"/>
          <w:bCs/>
          <w:color w:val="000000" w:themeColor="text1"/>
          <w:sz w:val="24"/>
          <w:szCs w:val="24"/>
        </w:rPr>
        <w:t>2</w:t>
      </w:r>
      <w:r w:rsidR="00E16E22" w:rsidRPr="00092862">
        <w:rPr>
          <w:rFonts w:ascii="Times New Roman" w:eastAsia="宋体" w:hAnsi="Times New Roman" w:cs="Times New Roman"/>
          <w:bCs/>
          <w:color w:val="000000" w:themeColor="text1"/>
          <w:sz w:val="24"/>
          <w:szCs w:val="24"/>
        </w:rPr>
        <w:t>个监测点（</w:t>
      </w:r>
      <w:r w:rsidR="00536E40" w:rsidRPr="00092862">
        <w:rPr>
          <w:rFonts w:ascii="Times New Roman" w:eastAsia="宋体" w:hAnsi="Times New Roman" w:cs="Times New Roman"/>
          <w:bCs/>
          <w:color w:val="000000" w:themeColor="text1"/>
          <w:sz w:val="24"/>
          <w:szCs w:val="24"/>
        </w:rPr>
        <w:t>4</w:t>
      </w:r>
      <w:r w:rsidR="006F609F" w:rsidRPr="00092862">
        <w:rPr>
          <w:rFonts w:ascii="Times New Roman" w:eastAsia="宋体" w:hAnsi="Times New Roman" w:cs="Times New Roman"/>
          <w:bCs/>
          <w:color w:val="000000" w:themeColor="text1"/>
          <w:sz w:val="24"/>
          <w:szCs w:val="24"/>
        </w:rPr>
        <w:t>#</w:t>
      </w:r>
      <w:r w:rsidR="006F609F" w:rsidRPr="00092862">
        <w:rPr>
          <w:rFonts w:ascii="Times New Roman" w:eastAsia="宋体" w:hAnsi="Times New Roman" w:cs="Times New Roman"/>
          <w:bCs/>
          <w:color w:val="000000" w:themeColor="text1"/>
          <w:sz w:val="24"/>
          <w:szCs w:val="24"/>
        </w:rPr>
        <w:t>、</w:t>
      </w:r>
      <w:r w:rsidR="00536E40" w:rsidRPr="00092862">
        <w:rPr>
          <w:rFonts w:ascii="Times New Roman" w:eastAsia="宋体" w:hAnsi="Times New Roman" w:cs="Times New Roman"/>
          <w:bCs/>
          <w:color w:val="000000" w:themeColor="text1"/>
          <w:sz w:val="24"/>
          <w:szCs w:val="24"/>
        </w:rPr>
        <w:t>5</w:t>
      </w:r>
      <w:r w:rsidR="00E16E22" w:rsidRPr="00092862">
        <w:rPr>
          <w:rFonts w:ascii="Times New Roman" w:eastAsia="宋体" w:hAnsi="Times New Roman" w:cs="Times New Roman"/>
          <w:bCs/>
          <w:color w:val="000000" w:themeColor="text1"/>
          <w:sz w:val="24"/>
          <w:szCs w:val="24"/>
        </w:rPr>
        <w:t>#</w:t>
      </w:r>
      <w:r w:rsidR="00E16E22" w:rsidRPr="00092862">
        <w:rPr>
          <w:rFonts w:ascii="Times New Roman" w:eastAsia="宋体" w:hAnsi="Times New Roman" w:cs="Times New Roman"/>
          <w:bCs/>
          <w:color w:val="000000" w:themeColor="text1"/>
          <w:sz w:val="24"/>
          <w:szCs w:val="24"/>
        </w:rPr>
        <w:t>）位于地下水流向上游，</w:t>
      </w:r>
      <w:r w:rsidR="00E16E22" w:rsidRPr="00092862">
        <w:rPr>
          <w:rFonts w:ascii="Times New Roman" w:eastAsia="宋体" w:hAnsi="Times New Roman" w:cs="Times New Roman"/>
          <w:bCs/>
          <w:color w:val="000000" w:themeColor="text1"/>
          <w:sz w:val="24"/>
          <w:szCs w:val="24"/>
        </w:rPr>
        <w:t>2</w:t>
      </w:r>
      <w:r w:rsidR="00E16E22" w:rsidRPr="00092862">
        <w:rPr>
          <w:rFonts w:ascii="Times New Roman" w:eastAsia="宋体" w:hAnsi="Times New Roman" w:cs="Times New Roman"/>
          <w:bCs/>
          <w:color w:val="000000" w:themeColor="text1"/>
          <w:sz w:val="24"/>
          <w:szCs w:val="24"/>
        </w:rPr>
        <w:t>个监测点（</w:t>
      </w:r>
      <w:r w:rsidR="00536E40" w:rsidRPr="00092862">
        <w:rPr>
          <w:rFonts w:ascii="Times New Roman" w:eastAsia="宋体" w:hAnsi="Times New Roman" w:cs="Times New Roman"/>
          <w:bCs/>
          <w:color w:val="000000" w:themeColor="text1"/>
          <w:sz w:val="24"/>
          <w:szCs w:val="24"/>
        </w:rPr>
        <w:t>1</w:t>
      </w:r>
      <w:r w:rsidR="00E16E22" w:rsidRPr="00092862">
        <w:rPr>
          <w:rFonts w:ascii="Times New Roman" w:eastAsia="宋体" w:hAnsi="Times New Roman" w:cs="Times New Roman"/>
          <w:bCs/>
          <w:color w:val="000000" w:themeColor="text1"/>
          <w:sz w:val="24"/>
          <w:szCs w:val="24"/>
        </w:rPr>
        <w:t>#</w:t>
      </w:r>
      <w:r w:rsidR="00E16E22" w:rsidRPr="00092862">
        <w:rPr>
          <w:rFonts w:ascii="Times New Roman" w:eastAsia="宋体" w:hAnsi="Times New Roman" w:cs="Times New Roman"/>
          <w:bCs/>
          <w:color w:val="000000" w:themeColor="text1"/>
          <w:sz w:val="24"/>
          <w:szCs w:val="24"/>
        </w:rPr>
        <w:t>、</w:t>
      </w:r>
      <w:r w:rsidR="00536E40" w:rsidRPr="00092862">
        <w:rPr>
          <w:rFonts w:ascii="Times New Roman" w:eastAsia="宋体" w:hAnsi="Times New Roman" w:cs="Times New Roman"/>
          <w:bCs/>
          <w:color w:val="000000" w:themeColor="text1"/>
          <w:sz w:val="24"/>
          <w:szCs w:val="24"/>
        </w:rPr>
        <w:t>2</w:t>
      </w:r>
      <w:r w:rsidR="00E16E22" w:rsidRPr="00092862">
        <w:rPr>
          <w:rFonts w:ascii="Times New Roman" w:eastAsia="宋体" w:hAnsi="Times New Roman" w:cs="Times New Roman"/>
          <w:bCs/>
          <w:color w:val="000000" w:themeColor="text1"/>
          <w:sz w:val="24"/>
          <w:szCs w:val="24"/>
        </w:rPr>
        <w:t>#</w:t>
      </w:r>
      <w:r w:rsidR="00E16E22" w:rsidRPr="00092862">
        <w:rPr>
          <w:rFonts w:ascii="Times New Roman" w:eastAsia="宋体" w:hAnsi="Times New Roman" w:cs="Times New Roman"/>
          <w:bCs/>
          <w:color w:val="000000" w:themeColor="text1"/>
          <w:sz w:val="24"/>
          <w:szCs w:val="24"/>
        </w:rPr>
        <w:t>）位于地下水流向下游，该布点符合</w:t>
      </w:r>
      <w:r w:rsidR="004D389A" w:rsidRPr="00092862">
        <w:rPr>
          <w:rFonts w:ascii="Times New Roman" w:eastAsia="宋体" w:hAnsi="Times New Roman" w:cs="Times New Roman"/>
          <w:bCs/>
          <w:color w:val="000000" w:themeColor="text1"/>
          <w:sz w:val="24"/>
          <w:szCs w:val="24"/>
        </w:rPr>
        <w:t>《环境影响评价导则</w:t>
      </w:r>
      <w:r w:rsidR="004D389A" w:rsidRPr="00092862">
        <w:rPr>
          <w:rFonts w:ascii="Times New Roman" w:eastAsia="宋体" w:hAnsi="Times New Roman" w:cs="Times New Roman"/>
          <w:bCs/>
          <w:color w:val="000000" w:themeColor="text1"/>
          <w:sz w:val="24"/>
          <w:szCs w:val="24"/>
        </w:rPr>
        <w:t>-</w:t>
      </w:r>
      <w:r w:rsidR="004D389A" w:rsidRPr="00092862">
        <w:rPr>
          <w:rFonts w:ascii="Times New Roman" w:eastAsia="宋体" w:hAnsi="Times New Roman" w:cs="Times New Roman"/>
          <w:bCs/>
          <w:color w:val="000000" w:themeColor="text1"/>
          <w:sz w:val="24"/>
          <w:szCs w:val="24"/>
        </w:rPr>
        <w:t>地下水环境》（</w:t>
      </w:r>
      <w:r w:rsidR="004D389A" w:rsidRPr="00092862">
        <w:rPr>
          <w:rFonts w:ascii="Times New Roman" w:eastAsia="宋体" w:hAnsi="Times New Roman" w:cs="Times New Roman"/>
          <w:bCs/>
          <w:color w:val="000000" w:themeColor="text1"/>
          <w:sz w:val="24"/>
          <w:szCs w:val="24"/>
        </w:rPr>
        <w:t>HJ 610-2016</w:t>
      </w:r>
      <w:r w:rsidR="004D389A" w:rsidRPr="00092862">
        <w:rPr>
          <w:rFonts w:ascii="Times New Roman" w:eastAsia="宋体" w:hAnsi="Times New Roman" w:cs="Times New Roman"/>
          <w:bCs/>
          <w:color w:val="000000" w:themeColor="text1"/>
          <w:sz w:val="24"/>
          <w:szCs w:val="24"/>
        </w:rPr>
        <w:t>）中相关布点原则要求。</w:t>
      </w:r>
    </w:p>
    <w:p w14:paraId="02B05E70" w14:textId="66928CA6" w:rsidR="00C15CAE" w:rsidRPr="00092862" w:rsidRDefault="003B1968" w:rsidP="00C95247">
      <w:pPr>
        <w:adjustRightInd w:val="0"/>
        <w:snapToGrid w:val="0"/>
        <w:spacing w:beforeLines="50" w:before="120"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）地下水现状监测因子</w:t>
      </w:r>
      <w:r w:rsidR="00C15CAE" w:rsidRPr="00092862">
        <w:rPr>
          <w:rFonts w:ascii="Times New Roman" w:eastAsia="宋体" w:hAnsi="Times New Roman" w:cs="Times New Roman"/>
          <w:b/>
          <w:color w:val="000000" w:themeColor="text1"/>
          <w:sz w:val="24"/>
          <w:szCs w:val="24"/>
        </w:rPr>
        <w:t>及监测</w:t>
      </w:r>
      <w:r w:rsidR="00801901" w:rsidRPr="00092862">
        <w:rPr>
          <w:rFonts w:ascii="Times New Roman" w:eastAsia="宋体" w:hAnsi="Times New Roman" w:cs="Times New Roman"/>
          <w:b/>
          <w:color w:val="000000" w:themeColor="text1"/>
          <w:sz w:val="24"/>
          <w:szCs w:val="24"/>
        </w:rPr>
        <w:t>频率</w:t>
      </w:r>
    </w:p>
    <w:p w14:paraId="4323A982" w14:textId="77777777" w:rsidR="00DC446C" w:rsidRPr="00092862" w:rsidRDefault="00C95247" w:rsidP="00C15CAE">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背景离子（</w:t>
      </w:r>
      <w:r w:rsidRPr="00092862">
        <w:rPr>
          <w:rFonts w:ascii="Times New Roman" w:eastAsia="宋体" w:hAnsi="Times New Roman" w:cs="Times New Roman"/>
          <w:bCs/>
          <w:color w:val="000000" w:themeColor="text1"/>
          <w:sz w:val="24"/>
          <w:szCs w:val="24"/>
        </w:rPr>
        <w:t>K</w:t>
      </w:r>
      <w:r w:rsidRPr="00092862">
        <w:rPr>
          <w:rFonts w:ascii="Times New Roman" w:eastAsia="宋体" w:hAnsi="Times New Roman" w:cs="Times New Roman"/>
          <w:bCs/>
          <w:color w:val="000000" w:themeColor="text1"/>
          <w:sz w:val="24"/>
          <w:szCs w:val="24"/>
          <w:vertAlign w:val="superscript"/>
        </w:rPr>
        <w:t>+</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Na</w:t>
      </w:r>
      <w:r w:rsidRPr="00092862">
        <w:rPr>
          <w:rFonts w:ascii="Times New Roman" w:eastAsia="宋体" w:hAnsi="Times New Roman" w:cs="Times New Roman"/>
          <w:bCs/>
          <w:color w:val="000000" w:themeColor="text1"/>
          <w:sz w:val="24"/>
          <w:szCs w:val="24"/>
          <w:vertAlign w:val="superscript"/>
        </w:rPr>
        <w:t>+</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Ca</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Mg</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CO</w:t>
      </w:r>
      <w:r w:rsidRPr="00092862">
        <w:rPr>
          <w:rFonts w:ascii="Times New Roman" w:eastAsia="宋体" w:hAnsi="Times New Roman" w:cs="Times New Roman"/>
          <w:bCs/>
          <w:color w:val="000000" w:themeColor="text1"/>
          <w:sz w:val="24"/>
          <w:szCs w:val="24"/>
          <w:vertAlign w:val="subscript"/>
        </w:rPr>
        <w:t>3</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HCO</w:t>
      </w:r>
      <w:r w:rsidRPr="00092862">
        <w:rPr>
          <w:rFonts w:ascii="Times New Roman" w:eastAsia="宋体" w:hAnsi="Times New Roman" w:cs="Times New Roman"/>
          <w:bCs/>
          <w:color w:val="000000" w:themeColor="text1"/>
          <w:sz w:val="24"/>
          <w:szCs w:val="24"/>
          <w:vertAlign w:val="subscript"/>
        </w:rPr>
        <w:t>3</w:t>
      </w:r>
      <w:r w:rsidRPr="00092862">
        <w:rPr>
          <w:rFonts w:ascii="Times New Roman" w:eastAsia="宋体" w:hAnsi="Times New Roman" w:cs="Times New Roman"/>
          <w:bCs/>
          <w:color w:val="000000" w:themeColor="text1"/>
          <w:sz w:val="24"/>
          <w:szCs w:val="24"/>
          <w:vertAlign w:val="superscript"/>
        </w:rPr>
        <w:t>-</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Cl</w:t>
      </w:r>
      <w:r w:rsidRPr="00092862">
        <w:rPr>
          <w:rFonts w:ascii="Times New Roman" w:eastAsia="宋体" w:hAnsi="Times New Roman" w:cs="Times New Roman"/>
          <w:bCs/>
          <w:color w:val="000000" w:themeColor="text1"/>
          <w:sz w:val="24"/>
          <w:szCs w:val="24"/>
          <w:vertAlign w:val="superscript"/>
        </w:rPr>
        <w:t>-</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SO</w:t>
      </w:r>
      <w:r w:rsidRPr="00092862">
        <w:rPr>
          <w:rFonts w:ascii="Times New Roman" w:eastAsia="宋体" w:hAnsi="Times New Roman" w:cs="Times New Roman"/>
          <w:bCs/>
          <w:color w:val="000000" w:themeColor="text1"/>
          <w:sz w:val="24"/>
          <w:szCs w:val="24"/>
          <w:vertAlign w:val="subscript"/>
        </w:rPr>
        <w:t>4</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）、基本水质因子（</w:t>
      </w:r>
      <w:r w:rsidRPr="00092862">
        <w:rPr>
          <w:rFonts w:ascii="Times New Roman" w:eastAsia="宋体" w:hAnsi="Times New Roman" w:cs="Times New Roman"/>
          <w:bCs/>
          <w:color w:val="000000" w:themeColor="text1"/>
          <w:sz w:val="24"/>
          <w:szCs w:val="24"/>
        </w:rPr>
        <w:t>pH</w:t>
      </w:r>
      <w:r w:rsidRPr="00092862">
        <w:rPr>
          <w:rFonts w:ascii="Times New Roman" w:eastAsia="宋体" w:hAnsi="Times New Roman" w:cs="Times New Roman"/>
          <w:bCs/>
          <w:color w:val="000000" w:themeColor="text1"/>
          <w:sz w:val="24"/>
          <w:szCs w:val="24"/>
        </w:rPr>
        <w:t>、氨氮、硝酸盐、亚硝酸盐、挥发性酚类、氰化物、砷、汞、铬（六价）、总硬度、铅、氟、镉、铁、锰、溶解性总固体、耗氧量、硫酸盐、氯化物、总大肠菌群、细菌总数），项目特征因子（石油类）。</w:t>
      </w:r>
    </w:p>
    <w:p w14:paraId="4A2AAA42" w14:textId="77777777" w:rsidR="00DC446C" w:rsidRPr="00092862" w:rsidRDefault="003B1968" w:rsidP="00C15CAE">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所有指标监测</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天，每天一次。</w:t>
      </w:r>
    </w:p>
    <w:p w14:paraId="61D28223" w14:textId="77777777" w:rsidR="00DC446C" w:rsidRPr="00092862" w:rsidRDefault="003B1968" w:rsidP="003D2EEB">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3</w:t>
      </w:r>
      <w:r w:rsidRPr="00092862">
        <w:rPr>
          <w:rFonts w:ascii="Times New Roman" w:eastAsia="宋体" w:hAnsi="Times New Roman" w:cs="Times New Roman"/>
          <w:b/>
          <w:color w:val="000000" w:themeColor="text1"/>
          <w:sz w:val="24"/>
          <w:szCs w:val="24"/>
        </w:rPr>
        <w:t>）评价方法</w:t>
      </w:r>
    </w:p>
    <w:p w14:paraId="63D76296"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①</w:t>
      </w:r>
      <w:r w:rsidRPr="00092862">
        <w:rPr>
          <w:rFonts w:ascii="Times New Roman" w:eastAsia="宋体" w:hAnsi="Times New Roman" w:cs="Times New Roman"/>
          <w:bCs/>
          <w:color w:val="000000" w:themeColor="text1"/>
          <w:sz w:val="24"/>
          <w:szCs w:val="24"/>
        </w:rPr>
        <w:t>按照《地下水质量标准》（</w:t>
      </w:r>
      <w:r w:rsidRPr="00092862">
        <w:rPr>
          <w:rFonts w:ascii="Times New Roman" w:eastAsia="宋体" w:hAnsi="Times New Roman" w:cs="Times New Roman"/>
          <w:bCs/>
          <w:color w:val="000000" w:themeColor="text1"/>
          <w:sz w:val="24"/>
          <w:szCs w:val="24"/>
        </w:rPr>
        <w:t>GB/T14848-2017</w:t>
      </w:r>
      <w:r w:rsidRPr="00092862">
        <w:rPr>
          <w:rFonts w:ascii="Times New Roman" w:eastAsia="宋体" w:hAnsi="Times New Roman" w:cs="Times New Roman"/>
          <w:bCs/>
          <w:color w:val="000000" w:themeColor="text1"/>
          <w:sz w:val="24"/>
          <w:szCs w:val="24"/>
        </w:rPr>
        <w:t>）评价方法对基本水质因子和特殊水质因子进行评价。</w:t>
      </w:r>
    </w:p>
    <w:p w14:paraId="58EE0795"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②</w:t>
      </w:r>
      <w:r w:rsidRPr="00092862">
        <w:rPr>
          <w:rFonts w:ascii="Times New Roman" w:eastAsia="宋体" w:hAnsi="Times New Roman" w:cs="Times New Roman"/>
          <w:bCs/>
          <w:color w:val="000000" w:themeColor="text1"/>
          <w:sz w:val="24"/>
          <w:szCs w:val="24"/>
        </w:rPr>
        <w:t>用舒卡列夫分类法对本项目所在区域地下水化学类型进行分类。</w:t>
      </w:r>
    </w:p>
    <w:p w14:paraId="3EA5B8F8"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地下水化学类型的舒卡列夫分类是根据地下水中</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种主要离子（钠、钙、镁、重碳酸根、硫酸根、氯离子、钾合并于钠）及矿化度划分的，具体步骤如下：</w:t>
      </w:r>
    </w:p>
    <w:p w14:paraId="76B5D3C3"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、根据水质分析结果，将</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种主要离子中含量大于</w:t>
      </w:r>
      <w:r w:rsidRPr="00092862">
        <w:rPr>
          <w:rFonts w:ascii="Times New Roman" w:eastAsia="宋体" w:hAnsi="Times New Roman" w:cs="Times New Roman"/>
          <w:bCs/>
          <w:color w:val="000000" w:themeColor="text1"/>
          <w:sz w:val="24"/>
          <w:szCs w:val="24"/>
        </w:rPr>
        <w:t>25%</w:t>
      </w:r>
      <w:r w:rsidRPr="00092862">
        <w:rPr>
          <w:rFonts w:ascii="Times New Roman" w:eastAsia="宋体" w:hAnsi="Times New Roman" w:cs="Times New Roman"/>
          <w:bCs/>
          <w:color w:val="000000" w:themeColor="text1"/>
          <w:sz w:val="24"/>
          <w:szCs w:val="24"/>
        </w:rPr>
        <w:t>毫克当量的阴离子和阳离子进行组合；</w:t>
      </w:r>
    </w:p>
    <w:p w14:paraId="3889DF98"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 xml:space="preserve"> b</w:t>
      </w:r>
      <w:r w:rsidRPr="00092862">
        <w:rPr>
          <w:rFonts w:ascii="Times New Roman" w:eastAsia="宋体" w:hAnsi="Times New Roman" w:cs="Times New Roman"/>
          <w:bCs/>
          <w:color w:val="000000" w:themeColor="text1"/>
          <w:sz w:val="24"/>
          <w:szCs w:val="24"/>
        </w:rPr>
        <w:t>、按矿化度（</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）的大小分为</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组，</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组</w:t>
      </w:r>
      <w:r w:rsidRPr="00092862">
        <w:rPr>
          <w:rFonts w:ascii="Times New Roman" w:eastAsia="宋体" w:hAnsi="Times New Roman" w:cs="Times New Roman"/>
          <w:bCs/>
          <w:color w:val="000000" w:themeColor="text1"/>
          <w:sz w:val="24"/>
          <w:szCs w:val="24"/>
        </w:rPr>
        <w:t>——M≤1.5g/L</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B</w:t>
      </w:r>
      <w:r w:rsidRPr="00092862">
        <w:rPr>
          <w:rFonts w:ascii="Times New Roman" w:eastAsia="宋体" w:hAnsi="Times New Roman" w:cs="Times New Roman"/>
          <w:bCs/>
          <w:color w:val="000000" w:themeColor="text1"/>
          <w:sz w:val="24"/>
          <w:szCs w:val="24"/>
        </w:rPr>
        <w:t>组</w:t>
      </w:r>
      <w:r w:rsidRPr="00092862">
        <w:rPr>
          <w:rFonts w:ascii="Times New Roman" w:eastAsia="宋体" w:hAnsi="Times New Roman" w:cs="Times New Roman"/>
          <w:bCs/>
          <w:color w:val="000000" w:themeColor="text1"/>
          <w:sz w:val="24"/>
          <w:szCs w:val="24"/>
        </w:rPr>
        <w:t>——1.5</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M≤10g/L</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w:t>
      </w:r>
      <w:r w:rsidRPr="00092862">
        <w:rPr>
          <w:rFonts w:ascii="Times New Roman" w:eastAsia="宋体" w:hAnsi="Times New Roman" w:cs="Times New Roman"/>
          <w:bCs/>
          <w:color w:val="000000" w:themeColor="text1"/>
          <w:sz w:val="24"/>
          <w:szCs w:val="24"/>
        </w:rPr>
        <w:t>组</w:t>
      </w:r>
      <w:r w:rsidRPr="00092862">
        <w:rPr>
          <w:rFonts w:ascii="Times New Roman" w:eastAsia="宋体" w:hAnsi="Times New Roman" w:cs="Times New Roman"/>
          <w:bCs/>
          <w:color w:val="000000" w:themeColor="text1"/>
          <w:sz w:val="24"/>
          <w:szCs w:val="24"/>
        </w:rPr>
        <w:t>——10</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M≤40g/L</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组</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40g/L</w:t>
      </w:r>
      <w:r w:rsidRPr="00092862">
        <w:rPr>
          <w:rFonts w:ascii="Times New Roman" w:eastAsia="宋体" w:hAnsi="Times New Roman" w:cs="Times New Roman"/>
          <w:bCs/>
          <w:color w:val="000000" w:themeColor="text1"/>
          <w:sz w:val="24"/>
          <w:szCs w:val="24"/>
        </w:rPr>
        <w:t>；</w:t>
      </w:r>
    </w:p>
    <w:p w14:paraId="1C539885"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c</w:t>
      </w:r>
      <w:r w:rsidRPr="00092862">
        <w:rPr>
          <w:rFonts w:ascii="Times New Roman" w:eastAsia="宋体" w:hAnsi="Times New Roman" w:cs="Times New Roman"/>
          <w:bCs/>
          <w:color w:val="000000" w:themeColor="text1"/>
          <w:sz w:val="24"/>
          <w:szCs w:val="24"/>
        </w:rPr>
        <w:t>、矿化度为阴阳离子总和减去重碳酸离子含量的二分之一；</w:t>
      </w:r>
    </w:p>
    <w:p w14:paraId="4E0EF909" w14:textId="77777777"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、将地下水化学类型用阿拉伯数字（</w:t>
      </w:r>
      <w:r w:rsidRPr="00092862">
        <w:rPr>
          <w:rFonts w:ascii="Times New Roman" w:eastAsia="宋体" w:hAnsi="Times New Roman" w:cs="Times New Roman"/>
          <w:bCs/>
          <w:color w:val="000000" w:themeColor="text1"/>
          <w:sz w:val="24"/>
          <w:szCs w:val="24"/>
        </w:rPr>
        <w:t>1-49</w:t>
      </w:r>
      <w:r w:rsidRPr="00092862">
        <w:rPr>
          <w:rFonts w:ascii="Times New Roman" w:eastAsia="宋体" w:hAnsi="Times New Roman" w:cs="Times New Roman"/>
          <w:bCs/>
          <w:color w:val="000000" w:themeColor="text1"/>
          <w:sz w:val="24"/>
          <w:szCs w:val="24"/>
        </w:rPr>
        <w:t>）与字母（</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B</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C</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）组合在一起表达的表达式表示。</w:t>
      </w:r>
    </w:p>
    <w:p w14:paraId="2F74BC7E" w14:textId="77777777" w:rsidR="00DC446C" w:rsidRPr="00092862" w:rsidRDefault="003B1968" w:rsidP="003D2EEB">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4</w:t>
      </w:r>
      <w:r w:rsidRPr="00092862">
        <w:rPr>
          <w:rFonts w:ascii="Times New Roman" w:eastAsia="宋体" w:hAnsi="Times New Roman" w:cs="Times New Roman"/>
          <w:b/>
          <w:color w:val="000000" w:themeColor="text1"/>
          <w:sz w:val="24"/>
          <w:szCs w:val="24"/>
        </w:rPr>
        <w:t>）评价结果及分析</w:t>
      </w:r>
    </w:p>
    <w:p w14:paraId="2C6FE8AB" w14:textId="777C685F" w:rsidR="00DC446C" w:rsidRPr="00092862" w:rsidRDefault="00C15CAE"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基本水质因子和特殊水质因子进行评价地下水现状评价，评价结果见表</w:t>
      </w:r>
      <w:r w:rsidR="003B1968" w:rsidRPr="00092862">
        <w:rPr>
          <w:rFonts w:ascii="Times New Roman" w:eastAsia="宋体" w:hAnsi="Times New Roman" w:cs="Times New Roman"/>
          <w:bCs/>
          <w:color w:val="000000" w:themeColor="text1"/>
          <w:sz w:val="24"/>
          <w:szCs w:val="24"/>
        </w:rPr>
        <w:t>4.2-</w:t>
      </w:r>
      <w:r w:rsidR="00D26362" w:rsidRPr="00092862">
        <w:rPr>
          <w:rFonts w:ascii="Times New Roman" w:eastAsia="宋体" w:hAnsi="Times New Roman" w:cs="Times New Roman"/>
          <w:bCs/>
          <w:color w:val="000000" w:themeColor="text1"/>
          <w:sz w:val="24"/>
          <w:szCs w:val="24"/>
        </w:rPr>
        <w:t>7</w:t>
      </w:r>
      <w:r w:rsidR="003B1968" w:rsidRPr="00092862">
        <w:rPr>
          <w:rFonts w:ascii="Times New Roman" w:eastAsia="宋体" w:hAnsi="Times New Roman" w:cs="Times New Roman"/>
          <w:bCs/>
          <w:color w:val="000000" w:themeColor="text1"/>
          <w:sz w:val="24"/>
          <w:szCs w:val="24"/>
        </w:rPr>
        <w:t>。</w:t>
      </w:r>
    </w:p>
    <w:p w14:paraId="559F9C5C" w14:textId="77777777" w:rsidR="00C06DEC" w:rsidRPr="00092862" w:rsidRDefault="00C06DEC" w:rsidP="00D26362">
      <w:pPr>
        <w:pStyle w:val="ac"/>
        <w:tabs>
          <w:tab w:val="left" w:pos="863"/>
        </w:tabs>
        <w:spacing w:before="0"/>
        <w:ind w:left="0"/>
        <w:jc w:val="center"/>
        <w:rPr>
          <w:rFonts w:ascii="Times New Roman" w:eastAsia="黑体" w:hAnsi="Times New Roman"/>
          <w:color w:val="000000" w:themeColor="text1"/>
          <w:sz w:val="21"/>
          <w:szCs w:val="21"/>
          <w:lang w:eastAsia="zh-CN"/>
        </w:rPr>
      </w:pPr>
    </w:p>
    <w:p w14:paraId="5C3DB91E" w14:textId="05A2E7B4" w:rsidR="00DC446C" w:rsidRPr="00092862" w:rsidRDefault="003B1968"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Pr="00092862">
        <w:rPr>
          <w:rFonts w:ascii="Times New Roman" w:eastAsia="黑体" w:hAnsi="Times New Roman"/>
          <w:color w:val="000000" w:themeColor="text1"/>
          <w:sz w:val="21"/>
          <w:szCs w:val="21"/>
          <w:lang w:eastAsia="zh-CN"/>
        </w:rPr>
        <w:t>4.2-</w:t>
      </w:r>
      <w:r w:rsidR="00D26362"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区域地下水质量现状监测结果</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mg/L</w:t>
      </w:r>
    </w:p>
    <w:tbl>
      <w:tblPr>
        <w:tblStyle w:val="aff"/>
        <w:tblW w:w="0" w:type="auto"/>
        <w:tblLook w:val="04A0" w:firstRow="1" w:lastRow="0" w:firstColumn="1" w:lastColumn="0" w:noHBand="0" w:noVBand="1"/>
      </w:tblPr>
      <w:tblGrid>
        <w:gridCol w:w="1061"/>
        <w:gridCol w:w="972"/>
        <w:gridCol w:w="972"/>
        <w:gridCol w:w="972"/>
        <w:gridCol w:w="972"/>
        <w:gridCol w:w="972"/>
        <w:gridCol w:w="879"/>
        <w:gridCol w:w="750"/>
        <w:gridCol w:w="750"/>
      </w:tblGrid>
      <w:tr w:rsidR="00697429" w:rsidRPr="00092862" w14:paraId="40ECCB7F" w14:textId="77777777" w:rsidTr="003B3EEE">
        <w:tc>
          <w:tcPr>
            <w:tcW w:w="5921" w:type="dxa"/>
            <w:gridSpan w:val="6"/>
            <w:vAlign w:val="center"/>
          </w:tcPr>
          <w:p w14:paraId="5FE60758" w14:textId="3B1C4DF9"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监测结果</w:t>
            </w:r>
          </w:p>
        </w:tc>
        <w:tc>
          <w:tcPr>
            <w:tcW w:w="879" w:type="dxa"/>
            <w:vMerge w:val="restart"/>
            <w:vAlign w:val="center"/>
          </w:tcPr>
          <w:p w14:paraId="16B4A67E" w14:textId="6CE38F38"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标准值</w:t>
            </w:r>
          </w:p>
        </w:tc>
        <w:tc>
          <w:tcPr>
            <w:tcW w:w="1500" w:type="dxa"/>
            <w:gridSpan w:val="2"/>
            <w:vAlign w:val="center"/>
          </w:tcPr>
          <w:p w14:paraId="35D4D499" w14:textId="31316D57"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单项指数</w:t>
            </w:r>
          </w:p>
        </w:tc>
      </w:tr>
      <w:tr w:rsidR="00697429" w:rsidRPr="00092862" w14:paraId="6142574B" w14:textId="77777777" w:rsidTr="003B3EEE">
        <w:tc>
          <w:tcPr>
            <w:tcW w:w="1061" w:type="dxa"/>
            <w:vAlign w:val="center"/>
          </w:tcPr>
          <w:p w14:paraId="57479FC7" w14:textId="04440FFF"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监测时间</w:t>
            </w:r>
          </w:p>
        </w:tc>
        <w:tc>
          <w:tcPr>
            <w:tcW w:w="4860" w:type="dxa"/>
            <w:gridSpan w:val="5"/>
            <w:vAlign w:val="center"/>
          </w:tcPr>
          <w:p w14:paraId="10B1CFD7" w14:textId="21183635"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2022.</w:t>
            </w:r>
            <w:r w:rsidR="00F531C4" w:rsidRPr="00092862">
              <w:rPr>
                <w:rFonts w:ascii="Times New Roman" w:hAnsi="Times New Roman"/>
                <w:color w:val="000000" w:themeColor="text1"/>
                <w:kern w:val="2"/>
                <w:sz w:val="21"/>
                <w:szCs w:val="21"/>
                <w:lang w:eastAsia="zh-CN"/>
              </w:rPr>
              <w:t>10</w:t>
            </w:r>
            <w:r w:rsidRPr="00092862">
              <w:rPr>
                <w:rFonts w:ascii="Times New Roman" w:hAnsi="Times New Roman"/>
                <w:color w:val="000000" w:themeColor="text1"/>
                <w:kern w:val="2"/>
                <w:sz w:val="21"/>
                <w:szCs w:val="21"/>
                <w:lang w:eastAsia="zh-CN"/>
              </w:rPr>
              <w:t>.1</w:t>
            </w:r>
            <w:r w:rsidR="00F531C4" w:rsidRPr="00092862">
              <w:rPr>
                <w:rFonts w:ascii="Times New Roman" w:hAnsi="Times New Roman"/>
                <w:color w:val="000000" w:themeColor="text1"/>
                <w:kern w:val="2"/>
                <w:sz w:val="21"/>
                <w:szCs w:val="21"/>
                <w:lang w:eastAsia="zh-CN"/>
              </w:rPr>
              <w:t>5</w:t>
            </w:r>
          </w:p>
        </w:tc>
        <w:tc>
          <w:tcPr>
            <w:tcW w:w="879" w:type="dxa"/>
            <w:vMerge/>
            <w:vAlign w:val="center"/>
          </w:tcPr>
          <w:p w14:paraId="107F2E65" w14:textId="77777777"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p>
        </w:tc>
        <w:tc>
          <w:tcPr>
            <w:tcW w:w="750" w:type="dxa"/>
            <w:vMerge w:val="restart"/>
            <w:vAlign w:val="center"/>
          </w:tcPr>
          <w:p w14:paraId="7A239082" w14:textId="4AB79CA2"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最小值</w:t>
            </w:r>
          </w:p>
        </w:tc>
        <w:tc>
          <w:tcPr>
            <w:tcW w:w="750" w:type="dxa"/>
            <w:vMerge w:val="restart"/>
            <w:vAlign w:val="center"/>
          </w:tcPr>
          <w:p w14:paraId="416BD7CB" w14:textId="0100D623"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最大值</w:t>
            </w:r>
          </w:p>
        </w:tc>
      </w:tr>
      <w:tr w:rsidR="00697429" w:rsidRPr="00092862" w14:paraId="160F4CAB" w14:textId="77777777" w:rsidTr="003B3EEE">
        <w:tc>
          <w:tcPr>
            <w:tcW w:w="1061" w:type="dxa"/>
            <w:vAlign w:val="center"/>
          </w:tcPr>
          <w:p w14:paraId="70320951" w14:textId="6574E710" w:rsidR="00EF5730" w:rsidRPr="00092862" w:rsidRDefault="00EF5730" w:rsidP="00EF5730">
            <w:pPr>
              <w:pStyle w:val="ac"/>
              <w:adjustRightInd w:val="0"/>
              <w:snapToGrid w:val="0"/>
              <w:spacing w:before="0"/>
              <w:ind w:left="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监测因子</w:t>
            </w:r>
          </w:p>
        </w:tc>
        <w:tc>
          <w:tcPr>
            <w:tcW w:w="972" w:type="dxa"/>
            <w:vAlign w:val="center"/>
          </w:tcPr>
          <w:p w14:paraId="4A9C6674" w14:textId="57139915"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1#</w:t>
            </w:r>
          </w:p>
        </w:tc>
        <w:tc>
          <w:tcPr>
            <w:tcW w:w="972" w:type="dxa"/>
            <w:vAlign w:val="center"/>
          </w:tcPr>
          <w:p w14:paraId="6D135E0F" w14:textId="4EC9FE20"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2#</w:t>
            </w:r>
          </w:p>
        </w:tc>
        <w:tc>
          <w:tcPr>
            <w:tcW w:w="972" w:type="dxa"/>
            <w:vAlign w:val="center"/>
          </w:tcPr>
          <w:p w14:paraId="1B0C5133" w14:textId="0EA83FF5"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3#</w:t>
            </w:r>
          </w:p>
        </w:tc>
        <w:tc>
          <w:tcPr>
            <w:tcW w:w="972" w:type="dxa"/>
            <w:vAlign w:val="center"/>
          </w:tcPr>
          <w:p w14:paraId="4293CCCC" w14:textId="0BB03641"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4#</w:t>
            </w:r>
          </w:p>
        </w:tc>
        <w:tc>
          <w:tcPr>
            <w:tcW w:w="972" w:type="dxa"/>
            <w:vAlign w:val="center"/>
          </w:tcPr>
          <w:p w14:paraId="3B247B96" w14:textId="58915BDE"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kern w:val="2"/>
                <w:sz w:val="21"/>
                <w:szCs w:val="21"/>
                <w:lang w:eastAsia="zh-CN"/>
              </w:rPr>
              <w:t>5#</w:t>
            </w:r>
          </w:p>
        </w:tc>
        <w:tc>
          <w:tcPr>
            <w:tcW w:w="879" w:type="dxa"/>
            <w:vMerge/>
            <w:vAlign w:val="center"/>
          </w:tcPr>
          <w:p w14:paraId="01A5FC4B" w14:textId="77777777"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p>
        </w:tc>
        <w:tc>
          <w:tcPr>
            <w:tcW w:w="750" w:type="dxa"/>
            <w:vMerge/>
            <w:vAlign w:val="center"/>
          </w:tcPr>
          <w:p w14:paraId="57CC71B5" w14:textId="77777777"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p>
        </w:tc>
        <w:tc>
          <w:tcPr>
            <w:tcW w:w="750" w:type="dxa"/>
            <w:vMerge/>
            <w:vAlign w:val="center"/>
          </w:tcPr>
          <w:p w14:paraId="593309E4" w14:textId="77777777" w:rsidR="00EF5730" w:rsidRPr="00092862" w:rsidRDefault="00EF5730" w:rsidP="00EF5730">
            <w:pPr>
              <w:pStyle w:val="ac"/>
              <w:adjustRightInd w:val="0"/>
              <w:snapToGrid w:val="0"/>
              <w:spacing w:before="0"/>
              <w:ind w:left="0"/>
              <w:jc w:val="center"/>
              <w:rPr>
                <w:rFonts w:ascii="Times New Roman" w:hAnsi="Times New Roman"/>
                <w:color w:val="000000" w:themeColor="text1"/>
                <w:kern w:val="2"/>
                <w:sz w:val="21"/>
                <w:szCs w:val="21"/>
                <w:lang w:eastAsia="zh-CN"/>
              </w:rPr>
            </w:pPr>
          </w:p>
        </w:tc>
      </w:tr>
      <w:tr w:rsidR="00697429" w:rsidRPr="00092862" w14:paraId="65FDDC56" w14:textId="77777777" w:rsidTr="003B3EEE">
        <w:tc>
          <w:tcPr>
            <w:tcW w:w="1061" w:type="dxa"/>
            <w:vAlign w:val="center"/>
          </w:tcPr>
          <w:p w14:paraId="491BBC33" w14:textId="68F00E9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pH</w:t>
            </w:r>
          </w:p>
        </w:tc>
        <w:tc>
          <w:tcPr>
            <w:tcW w:w="972" w:type="dxa"/>
            <w:vAlign w:val="center"/>
          </w:tcPr>
          <w:p w14:paraId="480FD634" w14:textId="53107C9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8.3</w:t>
            </w:r>
          </w:p>
        </w:tc>
        <w:tc>
          <w:tcPr>
            <w:tcW w:w="972" w:type="dxa"/>
            <w:vAlign w:val="center"/>
          </w:tcPr>
          <w:p w14:paraId="22997564" w14:textId="34731F3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8.4</w:t>
            </w:r>
          </w:p>
        </w:tc>
        <w:tc>
          <w:tcPr>
            <w:tcW w:w="972" w:type="dxa"/>
            <w:vAlign w:val="center"/>
          </w:tcPr>
          <w:p w14:paraId="74393167" w14:textId="6F91CEA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7.8</w:t>
            </w:r>
          </w:p>
        </w:tc>
        <w:tc>
          <w:tcPr>
            <w:tcW w:w="972" w:type="dxa"/>
            <w:vAlign w:val="center"/>
          </w:tcPr>
          <w:p w14:paraId="51291F79" w14:textId="1931E17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8.6</w:t>
            </w:r>
          </w:p>
        </w:tc>
        <w:tc>
          <w:tcPr>
            <w:tcW w:w="972" w:type="dxa"/>
            <w:vAlign w:val="center"/>
          </w:tcPr>
          <w:p w14:paraId="31A943E4" w14:textId="1917E1F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7.7</w:t>
            </w:r>
          </w:p>
        </w:tc>
        <w:tc>
          <w:tcPr>
            <w:tcW w:w="879" w:type="dxa"/>
            <w:vAlign w:val="center"/>
          </w:tcPr>
          <w:p w14:paraId="459E60FD" w14:textId="72416AF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6.5~8.5</w:t>
            </w:r>
          </w:p>
        </w:tc>
        <w:tc>
          <w:tcPr>
            <w:tcW w:w="750" w:type="dxa"/>
            <w:vAlign w:val="center"/>
          </w:tcPr>
          <w:p w14:paraId="67FB979C" w14:textId="72516A6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0.13 </w:t>
            </w:r>
          </w:p>
        </w:tc>
        <w:tc>
          <w:tcPr>
            <w:tcW w:w="750" w:type="dxa"/>
            <w:vAlign w:val="center"/>
          </w:tcPr>
          <w:p w14:paraId="39F42360" w14:textId="3362F4C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0.73 </w:t>
            </w:r>
          </w:p>
        </w:tc>
      </w:tr>
      <w:tr w:rsidR="00697429" w:rsidRPr="00092862" w14:paraId="70AC3260" w14:textId="77777777" w:rsidTr="003B3EEE">
        <w:tc>
          <w:tcPr>
            <w:tcW w:w="1061" w:type="dxa"/>
            <w:vAlign w:val="center"/>
          </w:tcPr>
          <w:p w14:paraId="3CDB0C35" w14:textId="53E44B3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耗氧量</w:t>
            </w:r>
          </w:p>
        </w:tc>
        <w:tc>
          <w:tcPr>
            <w:tcW w:w="972" w:type="dxa"/>
            <w:vAlign w:val="center"/>
          </w:tcPr>
          <w:p w14:paraId="3A702FA3" w14:textId="0A24305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1.44</w:t>
            </w:r>
          </w:p>
        </w:tc>
        <w:tc>
          <w:tcPr>
            <w:tcW w:w="972" w:type="dxa"/>
            <w:vAlign w:val="center"/>
          </w:tcPr>
          <w:p w14:paraId="7CE046A5" w14:textId="6454541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1.63</w:t>
            </w:r>
          </w:p>
        </w:tc>
        <w:tc>
          <w:tcPr>
            <w:tcW w:w="972" w:type="dxa"/>
            <w:vAlign w:val="center"/>
          </w:tcPr>
          <w:p w14:paraId="43031E41" w14:textId="04F9992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1.52</w:t>
            </w:r>
          </w:p>
        </w:tc>
        <w:tc>
          <w:tcPr>
            <w:tcW w:w="972" w:type="dxa"/>
            <w:vAlign w:val="center"/>
          </w:tcPr>
          <w:p w14:paraId="69AC7642" w14:textId="7F427E6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1.48</w:t>
            </w:r>
          </w:p>
        </w:tc>
        <w:tc>
          <w:tcPr>
            <w:tcW w:w="972" w:type="dxa"/>
            <w:vAlign w:val="center"/>
          </w:tcPr>
          <w:p w14:paraId="1841A93B" w14:textId="0D3404D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1.66</w:t>
            </w:r>
          </w:p>
        </w:tc>
        <w:tc>
          <w:tcPr>
            <w:tcW w:w="879" w:type="dxa"/>
            <w:vAlign w:val="center"/>
          </w:tcPr>
          <w:p w14:paraId="2A05FB73" w14:textId="16221FE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≤3.0</w:t>
            </w:r>
          </w:p>
        </w:tc>
        <w:tc>
          <w:tcPr>
            <w:tcW w:w="750" w:type="dxa"/>
            <w:vAlign w:val="center"/>
          </w:tcPr>
          <w:p w14:paraId="428C3B66" w14:textId="665BD45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0.04 </w:t>
            </w:r>
          </w:p>
        </w:tc>
        <w:tc>
          <w:tcPr>
            <w:tcW w:w="750" w:type="dxa"/>
            <w:vAlign w:val="center"/>
          </w:tcPr>
          <w:p w14:paraId="18CFA2FB" w14:textId="1C3D26F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0.24 </w:t>
            </w:r>
          </w:p>
        </w:tc>
      </w:tr>
      <w:tr w:rsidR="00697429" w:rsidRPr="00092862" w14:paraId="51F977AC" w14:textId="77777777" w:rsidTr="003B3EEE">
        <w:tc>
          <w:tcPr>
            <w:tcW w:w="1061" w:type="dxa"/>
            <w:vAlign w:val="center"/>
          </w:tcPr>
          <w:p w14:paraId="3CD65CD9" w14:textId="24B08DC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石油类</w:t>
            </w:r>
          </w:p>
        </w:tc>
        <w:tc>
          <w:tcPr>
            <w:tcW w:w="972" w:type="dxa"/>
            <w:vAlign w:val="center"/>
          </w:tcPr>
          <w:p w14:paraId="06B4C44E" w14:textId="17FA5D0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0.04</w:t>
            </w:r>
          </w:p>
        </w:tc>
        <w:tc>
          <w:tcPr>
            <w:tcW w:w="972" w:type="dxa"/>
            <w:vAlign w:val="center"/>
          </w:tcPr>
          <w:p w14:paraId="5FDBA526" w14:textId="763B551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0.04</w:t>
            </w:r>
          </w:p>
        </w:tc>
        <w:tc>
          <w:tcPr>
            <w:tcW w:w="972" w:type="dxa"/>
            <w:vAlign w:val="center"/>
          </w:tcPr>
          <w:p w14:paraId="085B8138" w14:textId="0D0005E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0.03</w:t>
            </w:r>
          </w:p>
        </w:tc>
        <w:tc>
          <w:tcPr>
            <w:tcW w:w="972" w:type="dxa"/>
            <w:vAlign w:val="center"/>
          </w:tcPr>
          <w:p w14:paraId="3978EFBA" w14:textId="6FFCA86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0.03</w:t>
            </w:r>
          </w:p>
        </w:tc>
        <w:tc>
          <w:tcPr>
            <w:tcW w:w="972" w:type="dxa"/>
            <w:vAlign w:val="center"/>
          </w:tcPr>
          <w:p w14:paraId="6F9176C1" w14:textId="1E1E248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0.04</w:t>
            </w:r>
          </w:p>
        </w:tc>
        <w:tc>
          <w:tcPr>
            <w:tcW w:w="879" w:type="dxa"/>
            <w:vAlign w:val="center"/>
          </w:tcPr>
          <w:p w14:paraId="3A85AF31" w14:textId="264B9F8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≤0.05*</w:t>
            </w:r>
          </w:p>
        </w:tc>
        <w:tc>
          <w:tcPr>
            <w:tcW w:w="750" w:type="dxa"/>
            <w:vAlign w:val="center"/>
          </w:tcPr>
          <w:p w14:paraId="359EC5FD" w14:textId="562CE03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0.60 </w:t>
            </w:r>
          </w:p>
        </w:tc>
        <w:tc>
          <w:tcPr>
            <w:tcW w:w="750" w:type="dxa"/>
            <w:vAlign w:val="center"/>
          </w:tcPr>
          <w:p w14:paraId="271E56ED" w14:textId="01E3768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0.80 </w:t>
            </w:r>
          </w:p>
        </w:tc>
      </w:tr>
      <w:tr w:rsidR="00697429" w:rsidRPr="00092862" w14:paraId="43394E99" w14:textId="77777777" w:rsidTr="003B3EEE">
        <w:tc>
          <w:tcPr>
            <w:tcW w:w="1061" w:type="dxa"/>
            <w:vAlign w:val="center"/>
          </w:tcPr>
          <w:p w14:paraId="0CD12E31" w14:textId="5B101B7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铬</w:t>
            </w:r>
            <w:r w:rsidRPr="00092862">
              <w:rPr>
                <w:rFonts w:ascii="Times New Roman" w:hAnsi="Times New Roman"/>
                <w:b/>
                <w:bCs/>
                <w:color w:val="000000" w:themeColor="text1"/>
                <w:sz w:val="21"/>
                <w:szCs w:val="21"/>
              </w:rPr>
              <w:t>(</w:t>
            </w:r>
            <w:r w:rsidRPr="00092862">
              <w:rPr>
                <w:rFonts w:ascii="Times New Roman" w:hAnsi="Times New Roman"/>
                <w:b/>
                <w:bCs/>
                <w:color w:val="000000" w:themeColor="text1"/>
                <w:sz w:val="21"/>
                <w:szCs w:val="21"/>
              </w:rPr>
              <w:t>六价</w:t>
            </w:r>
            <w:r w:rsidRPr="00092862">
              <w:rPr>
                <w:rFonts w:ascii="Times New Roman" w:hAnsi="Times New Roman"/>
                <w:b/>
                <w:bCs/>
                <w:color w:val="000000" w:themeColor="text1"/>
                <w:sz w:val="21"/>
                <w:szCs w:val="21"/>
              </w:rPr>
              <w:t>)</w:t>
            </w:r>
          </w:p>
        </w:tc>
        <w:tc>
          <w:tcPr>
            <w:tcW w:w="972" w:type="dxa"/>
            <w:vAlign w:val="center"/>
          </w:tcPr>
          <w:p w14:paraId="4FE5BE47" w14:textId="3B59662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&lt;0.004</w:t>
            </w:r>
          </w:p>
        </w:tc>
        <w:tc>
          <w:tcPr>
            <w:tcW w:w="972" w:type="dxa"/>
            <w:vAlign w:val="center"/>
          </w:tcPr>
          <w:p w14:paraId="3BC197A3" w14:textId="46BD7D4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&lt;0.004</w:t>
            </w:r>
          </w:p>
        </w:tc>
        <w:tc>
          <w:tcPr>
            <w:tcW w:w="972" w:type="dxa"/>
            <w:vAlign w:val="center"/>
          </w:tcPr>
          <w:p w14:paraId="0CE32CFF" w14:textId="200140E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&lt;0.004</w:t>
            </w:r>
          </w:p>
        </w:tc>
        <w:tc>
          <w:tcPr>
            <w:tcW w:w="972" w:type="dxa"/>
            <w:vAlign w:val="center"/>
          </w:tcPr>
          <w:p w14:paraId="0241F1E1" w14:textId="5983232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&lt;0.004</w:t>
            </w:r>
          </w:p>
        </w:tc>
        <w:tc>
          <w:tcPr>
            <w:tcW w:w="972" w:type="dxa"/>
            <w:vAlign w:val="center"/>
          </w:tcPr>
          <w:p w14:paraId="36E903E7" w14:textId="5CAC803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&lt;0.004</w:t>
            </w:r>
          </w:p>
        </w:tc>
        <w:tc>
          <w:tcPr>
            <w:tcW w:w="879" w:type="dxa"/>
            <w:vAlign w:val="center"/>
          </w:tcPr>
          <w:p w14:paraId="2447937B" w14:textId="302D709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≤0.05</w:t>
            </w:r>
          </w:p>
        </w:tc>
        <w:tc>
          <w:tcPr>
            <w:tcW w:w="750" w:type="dxa"/>
            <w:vAlign w:val="center"/>
          </w:tcPr>
          <w:p w14:paraId="68F1A900" w14:textId="39C9107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19ED649B" w14:textId="310234D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63AE44C5" w14:textId="77777777" w:rsidTr="003B3EEE">
        <w:tc>
          <w:tcPr>
            <w:tcW w:w="1061" w:type="dxa"/>
            <w:vAlign w:val="center"/>
          </w:tcPr>
          <w:p w14:paraId="5698734F" w14:textId="10FEA48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铁</w:t>
            </w:r>
          </w:p>
        </w:tc>
        <w:tc>
          <w:tcPr>
            <w:tcW w:w="972" w:type="dxa"/>
            <w:vAlign w:val="center"/>
          </w:tcPr>
          <w:p w14:paraId="318C8387" w14:textId="3810436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769EA61C" w14:textId="5012242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3F5778BB" w14:textId="4FD2149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19BF81D1" w14:textId="4336D87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62E3E745" w14:textId="1BDFE71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879" w:type="dxa"/>
            <w:vAlign w:val="center"/>
          </w:tcPr>
          <w:p w14:paraId="5C2C32AF" w14:textId="3C051E7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≤0.3</w:t>
            </w:r>
          </w:p>
        </w:tc>
        <w:tc>
          <w:tcPr>
            <w:tcW w:w="750" w:type="dxa"/>
            <w:vAlign w:val="center"/>
          </w:tcPr>
          <w:p w14:paraId="26A13DA4" w14:textId="6011421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12C67CCB" w14:textId="6918590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2531FCBC" w14:textId="77777777" w:rsidTr="003B3EEE">
        <w:tc>
          <w:tcPr>
            <w:tcW w:w="1061" w:type="dxa"/>
            <w:vAlign w:val="center"/>
          </w:tcPr>
          <w:p w14:paraId="6CED6FE0" w14:textId="49E41E6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锰</w:t>
            </w:r>
          </w:p>
        </w:tc>
        <w:tc>
          <w:tcPr>
            <w:tcW w:w="972" w:type="dxa"/>
            <w:vAlign w:val="center"/>
          </w:tcPr>
          <w:p w14:paraId="6BE9DF54" w14:textId="54891AD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0.05</w:t>
            </w:r>
          </w:p>
        </w:tc>
        <w:tc>
          <w:tcPr>
            <w:tcW w:w="972" w:type="dxa"/>
            <w:vAlign w:val="center"/>
          </w:tcPr>
          <w:p w14:paraId="06299C92" w14:textId="3A94614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056834AE" w14:textId="648A5E1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09B9AE10" w14:textId="0035ACF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33574DCA" w14:textId="0697896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879" w:type="dxa"/>
            <w:vAlign w:val="center"/>
          </w:tcPr>
          <w:p w14:paraId="37501E24" w14:textId="4672F45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≤0.1</w:t>
            </w:r>
          </w:p>
        </w:tc>
        <w:tc>
          <w:tcPr>
            <w:tcW w:w="750" w:type="dxa"/>
            <w:vAlign w:val="center"/>
          </w:tcPr>
          <w:p w14:paraId="17A12A2A" w14:textId="1B42F8C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0.50 </w:t>
            </w:r>
          </w:p>
        </w:tc>
        <w:tc>
          <w:tcPr>
            <w:tcW w:w="750" w:type="dxa"/>
            <w:vAlign w:val="center"/>
          </w:tcPr>
          <w:p w14:paraId="1CDB53FE" w14:textId="0116F7C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0.50 </w:t>
            </w:r>
          </w:p>
        </w:tc>
      </w:tr>
      <w:tr w:rsidR="00697429" w:rsidRPr="00092862" w14:paraId="41ABDE77" w14:textId="77777777" w:rsidTr="003B3EEE">
        <w:tc>
          <w:tcPr>
            <w:tcW w:w="1061" w:type="dxa"/>
            <w:vAlign w:val="center"/>
          </w:tcPr>
          <w:p w14:paraId="223A0D68" w14:textId="4E78F52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总硬度</w:t>
            </w:r>
          </w:p>
        </w:tc>
        <w:tc>
          <w:tcPr>
            <w:tcW w:w="972" w:type="dxa"/>
            <w:vAlign w:val="center"/>
          </w:tcPr>
          <w:p w14:paraId="2821125E" w14:textId="7B3197B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120</w:t>
            </w:r>
          </w:p>
        </w:tc>
        <w:tc>
          <w:tcPr>
            <w:tcW w:w="972" w:type="dxa"/>
            <w:vAlign w:val="center"/>
          </w:tcPr>
          <w:p w14:paraId="17CA73D9" w14:textId="70EE0AF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99</w:t>
            </w:r>
          </w:p>
        </w:tc>
        <w:tc>
          <w:tcPr>
            <w:tcW w:w="972" w:type="dxa"/>
            <w:vAlign w:val="center"/>
          </w:tcPr>
          <w:p w14:paraId="4CCAFB30" w14:textId="3219255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133</w:t>
            </w:r>
          </w:p>
        </w:tc>
        <w:tc>
          <w:tcPr>
            <w:tcW w:w="972" w:type="dxa"/>
            <w:vAlign w:val="center"/>
          </w:tcPr>
          <w:p w14:paraId="2213327C" w14:textId="63FD59F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119</w:t>
            </w:r>
          </w:p>
        </w:tc>
        <w:tc>
          <w:tcPr>
            <w:tcW w:w="972" w:type="dxa"/>
            <w:vAlign w:val="center"/>
          </w:tcPr>
          <w:p w14:paraId="558494EA" w14:textId="40559E1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107</w:t>
            </w:r>
          </w:p>
        </w:tc>
        <w:tc>
          <w:tcPr>
            <w:tcW w:w="879" w:type="dxa"/>
            <w:vAlign w:val="center"/>
          </w:tcPr>
          <w:p w14:paraId="5A51B4FD" w14:textId="5803D4F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≤450</w:t>
            </w:r>
          </w:p>
        </w:tc>
        <w:tc>
          <w:tcPr>
            <w:tcW w:w="750" w:type="dxa"/>
            <w:vAlign w:val="center"/>
          </w:tcPr>
          <w:p w14:paraId="0B9941E7" w14:textId="629AE65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0.22 </w:t>
            </w:r>
          </w:p>
        </w:tc>
        <w:tc>
          <w:tcPr>
            <w:tcW w:w="750" w:type="dxa"/>
            <w:vAlign w:val="center"/>
          </w:tcPr>
          <w:p w14:paraId="1181F54A" w14:textId="3DFA2C6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0.30 </w:t>
            </w:r>
          </w:p>
        </w:tc>
      </w:tr>
      <w:tr w:rsidR="00697429" w:rsidRPr="00092862" w14:paraId="52200C5C" w14:textId="77777777" w:rsidTr="003B3EEE">
        <w:tc>
          <w:tcPr>
            <w:tcW w:w="1061" w:type="dxa"/>
            <w:vAlign w:val="center"/>
          </w:tcPr>
          <w:p w14:paraId="22BF6706" w14:textId="5D9EFBA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氯化物</w:t>
            </w:r>
          </w:p>
        </w:tc>
        <w:tc>
          <w:tcPr>
            <w:tcW w:w="972" w:type="dxa"/>
            <w:vAlign w:val="center"/>
          </w:tcPr>
          <w:p w14:paraId="23E0246D" w14:textId="2A33DB7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12</w:t>
            </w:r>
          </w:p>
        </w:tc>
        <w:tc>
          <w:tcPr>
            <w:tcW w:w="972" w:type="dxa"/>
            <w:vAlign w:val="center"/>
          </w:tcPr>
          <w:p w14:paraId="68E23BDE" w14:textId="7E1220D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24.4</w:t>
            </w:r>
          </w:p>
        </w:tc>
        <w:tc>
          <w:tcPr>
            <w:tcW w:w="972" w:type="dxa"/>
            <w:vAlign w:val="center"/>
          </w:tcPr>
          <w:p w14:paraId="4A1F9E6C" w14:textId="6BD7014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6.09</w:t>
            </w:r>
          </w:p>
        </w:tc>
        <w:tc>
          <w:tcPr>
            <w:tcW w:w="972" w:type="dxa"/>
            <w:vAlign w:val="center"/>
          </w:tcPr>
          <w:p w14:paraId="3A0D68DB" w14:textId="2F65038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11.5</w:t>
            </w:r>
          </w:p>
        </w:tc>
        <w:tc>
          <w:tcPr>
            <w:tcW w:w="972" w:type="dxa"/>
            <w:vAlign w:val="center"/>
          </w:tcPr>
          <w:p w14:paraId="2F7C684F" w14:textId="6B34AF4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6.04</w:t>
            </w:r>
          </w:p>
        </w:tc>
        <w:tc>
          <w:tcPr>
            <w:tcW w:w="879" w:type="dxa"/>
            <w:vAlign w:val="center"/>
          </w:tcPr>
          <w:p w14:paraId="52BA74DE" w14:textId="0D737A9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≤250</w:t>
            </w:r>
          </w:p>
        </w:tc>
        <w:tc>
          <w:tcPr>
            <w:tcW w:w="750" w:type="dxa"/>
            <w:vAlign w:val="center"/>
          </w:tcPr>
          <w:p w14:paraId="56223E24" w14:textId="785DE04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0.02 </w:t>
            </w:r>
          </w:p>
        </w:tc>
        <w:tc>
          <w:tcPr>
            <w:tcW w:w="750" w:type="dxa"/>
            <w:vAlign w:val="center"/>
          </w:tcPr>
          <w:p w14:paraId="7AB6CE94" w14:textId="77382E3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0.10 </w:t>
            </w:r>
          </w:p>
        </w:tc>
      </w:tr>
      <w:tr w:rsidR="00697429" w:rsidRPr="00092862" w14:paraId="046410BD" w14:textId="77777777" w:rsidTr="003B3EEE">
        <w:tc>
          <w:tcPr>
            <w:tcW w:w="1061" w:type="dxa"/>
            <w:vAlign w:val="center"/>
          </w:tcPr>
          <w:p w14:paraId="3D284B0B" w14:textId="53BA1F9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硫酸盐</w:t>
            </w:r>
          </w:p>
        </w:tc>
        <w:tc>
          <w:tcPr>
            <w:tcW w:w="972" w:type="dxa"/>
            <w:vAlign w:val="center"/>
          </w:tcPr>
          <w:p w14:paraId="4DD3C6ED" w14:textId="16A45B9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12</w:t>
            </w:r>
          </w:p>
        </w:tc>
        <w:tc>
          <w:tcPr>
            <w:tcW w:w="972" w:type="dxa"/>
            <w:vAlign w:val="center"/>
          </w:tcPr>
          <w:p w14:paraId="50835B72" w14:textId="284B21B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26.1</w:t>
            </w:r>
          </w:p>
        </w:tc>
        <w:tc>
          <w:tcPr>
            <w:tcW w:w="972" w:type="dxa"/>
            <w:vAlign w:val="center"/>
          </w:tcPr>
          <w:p w14:paraId="5A580D16" w14:textId="33DEBD3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23.2</w:t>
            </w:r>
          </w:p>
        </w:tc>
        <w:tc>
          <w:tcPr>
            <w:tcW w:w="972" w:type="dxa"/>
            <w:vAlign w:val="center"/>
          </w:tcPr>
          <w:p w14:paraId="7EFAFBAD" w14:textId="5F8C11D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12.8</w:t>
            </w:r>
          </w:p>
        </w:tc>
        <w:tc>
          <w:tcPr>
            <w:tcW w:w="972" w:type="dxa"/>
            <w:vAlign w:val="center"/>
          </w:tcPr>
          <w:p w14:paraId="7D961142" w14:textId="3169D24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12.9</w:t>
            </w:r>
          </w:p>
        </w:tc>
        <w:tc>
          <w:tcPr>
            <w:tcW w:w="879" w:type="dxa"/>
            <w:vAlign w:val="center"/>
          </w:tcPr>
          <w:p w14:paraId="01210319" w14:textId="78D421E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≤250</w:t>
            </w:r>
          </w:p>
        </w:tc>
        <w:tc>
          <w:tcPr>
            <w:tcW w:w="750" w:type="dxa"/>
            <w:vAlign w:val="center"/>
          </w:tcPr>
          <w:p w14:paraId="6A807BC5" w14:textId="1064875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0.05 </w:t>
            </w:r>
          </w:p>
        </w:tc>
        <w:tc>
          <w:tcPr>
            <w:tcW w:w="750" w:type="dxa"/>
            <w:vAlign w:val="center"/>
          </w:tcPr>
          <w:p w14:paraId="5E191C6B" w14:textId="42B8517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0.10 </w:t>
            </w:r>
          </w:p>
        </w:tc>
      </w:tr>
      <w:tr w:rsidR="00697429" w:rsidRPr="00092862" w14:paraId="3B9AEF4A" w14:textId="77777777" w:rsidTr="003B3EEE">
        <w:tc>
          <w:tcPr>
            <w:tcW w:w="1061" w:type="dxa"/>
            <w:vAlign w:val="center"/>
          </w:tcPr>
          <w:p w14:paraId="0D4C702E" w14:textId="642A647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挥发性酚类</w:t>
            </w:r>
          </w:p>
        </w:tc>
        <w:tc>
          <w:tcPr>
            <w:tcW w:w="972" w:type="dxa"/>
            <w:vAlign w:val="center"/>
          </w:tcPr>
          <w:p w14:paraId="48784C62" w14:textId="0705460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4A1723DE" w14:textId="2AFF937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74C7D470" w14:textId="2506E3B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312DAFE5" w14:textId="5388A9C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40C1AA8D" w14:textId="093C499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879" w:type="dxa"/>
            <w:vAlign w:val="center"/>
          </w:tcPr>
          <w:p w14:paraId="60B8AC33" w14:textId="72B1F4B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≤0.002</w:t>
            </w:r>
          </w:p>
        </w:tc>
        <w:tc>
          <w:tcPr>
            <w:tcW w:w="750" w:type="dxa"/>
            <w:vAlign w:val="center"/>
          </w:tcPr>
          <w:p w14:paraId="27B31D96" w14:textId="0B4F4BB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1D82BD0A" w14:textId="73D99AB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38CB2E11" w14:textId="77777777" w:rsidTr="003B3EEE">
        <w:tc>
          <w:tcPr>
            <w:tcW w:w="1061" w:type="dxa"/>
            <w:vAlign w:val="center"/>
          </w:tcPr>
          <w:p w14:paraId="5076C1FA" w14:textId="7AAC79D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氰化物</w:t>
            </w:r>
          </w:p>
        </w:tc>
        <w:tc>
          <w:tcPr>
            <w:tcW w:w="972" w:type="dxa"/>
            <w:vAlign w:val="center"/>
          </w:tcPr>
          <w:p w14:paraId="76FC6D95" w14:textId="3156697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&lt;0.002</w:t>
            </w:r>
          </w:p>
        </w:tc>
        <w:tc>
          <w:tcPr>
            <w:tcW w:w="972" w:type="dxa"/>
            <w:vAlign w:val="center"/>
          </w:tcPr>
          <w:p w14:paraId="4D04DE32" w14:textId="6CC172A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&lt;0.002</w:t>
            </w:r>
          </w:p>
        </w:tc>
        <w:tc>
          <w:tcPr>
            <w:tcW w:w="972" w:type="dxa"/>
            <w:vAlign w:val="center"/>
          </w:tcPr>
          <w:p w14:paraId="4ECD01C0" w14:textId="5C26386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&lt;0.002</w:t>
            </w:r>
          </w:p>
        </w:tc>
        <w:tc>
          <w:tcPr>
            <w:tcW w:w="972" w:type="dxa"/>
            <w:vAlign w:val="center"/>
          </w:tcPr>
          <w:p w14:paraId="29C8F792" w14:textId="14F9E76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&lt;0.002</w:t>
            </w:r>
          </w:p>
        </w:tc>
        <w:tc>
          <w:tcPr>
            <w:tcW w:w="972" w:type="dxa"/>
            <w:vAlign w:val="center"/>
          </w:tcPr>
          <w:p w14:paraId="1DCE6732" w14:textId="7B55D2B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&lt;0.002</w:t>
            </w:r>
          </w:p>
        </w:tc>
        <w:tc>
          <w:tcPr>
            <w:tcW w:w="879" w:type="dxa"/>
            <w:vAlign w:val="center"/>
          </w:tcPr>
          <w:p w14:paraId="1259A3C3" w14:textId="5D0D1E1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≤0.05</w:t>
            </w:r>
          </w:p>
        </w:tc>
        <w:tc>
          <w:tcPr>
            <w:tcW w:w="750" w:type="dxa"/>
            <w:vAlign w:val="center"/>
          </w:tcPr>
          <w:p w14:paraId="13EC24F8" w14:textId="61154CB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6552E940" w14:textId="2A9FD56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4E633043" w14:textId="77777777" w:rsidTr="003B3EEE">
        <w:tc>
          <w:tcPr>
            <w:tcW w:w="1061" w:type="dxa"/>
            <w:vAlign w:val="center"/>
          </w:tcPr>
          <w:p w14:paraId="2CB0D8A4" w14:textId="1820F45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砷（</w:t>
            </w:r>
            <w:r w:rsidRPr="00092862">
              <w:rPr>
                <w:rFonts w:ascii="Times New Roman" w:hAnsi="Times New Roman"/>
                <w:b/>
                <w:bCs/>
                <w:color w:val="000000" w:themeColor="text1"/>
                <w:sz w:val="21"/>
                <w:szCs w:val="21"/>
              </w:rPr>
              <w:t>μg/L</w:t>
            </w:r>
            <w:r w:rsidRPr="00092862">
              <w:rPr>
                <w:rFonts w:ascii="Times New Roman" w:hAnsi="Times New Roman"/>
                <w:b/>
                <w:bCs/>
                <w:color w:val="000000" w:themeColor="text1"/>
                <w:sz w:val="21"/>
                <w:szCs w:val="21"/>
              </w:rPr>
              <w:t>）</w:t>
            </w:r>
          </w:p>
        </w:tc>
        <w:tc>
          <w:tcPr>
            <w:tcW w:w="972" w:type="dxa"/>
            <w:vAlign w:val="center"/>
          </w:tcPr>
          <w:p w14:paraId="1773E066" w14:textId="710BCEF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53747435" w14:textId="2964231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359AF636" w14:textId="6700585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14E4511C" w14:textId="24747DC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16084A55" w14:textId="0A6D311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879" w:type="dxa"/>
            <w:vAlign w:val="center"/>
          </w:tcPr>
          <w:p w14:paraId="57186A55" w14:textId="32483D5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w:t>
            </w:r>
          </w:p>
        </w:tc>
        <w:tc>
          <w:tcPr>
            <w:tcW w:w="750" w:type="dxa"/>
            <w:vAlign w:val="center"/>
          </w:tcPr>
          <w:p w14:paraId="5EB41558" w14:textId="2ED2E0F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3DA3C256" w14:textId="7A4CCA2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550D56B0" w14:textId="77777777" w:rsidTr="003B3EEE">
        <w:tc>
          <w:tcPr>
            <w:tcW w:w="1061" w:type="dxa"/>
            <w:vAlign w:val="center"/>
          </w:tcPr>
          <w:p w14:paraId="689DDF9F" w14:textId="4C0E5D0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汞（</w:t>
            </w:r>
            <w:r w:rsidRPr="00092862">
              <w:rPr>
                <w:rFonts w:ascii="Times New Roman" w:hAnsi="Times New Roman"/>
                <w:b/>
                <w:bCs/>
                <w:color w:val="000000" w:themeColor="text1"/>
                <w:sz w:val="21"/>
                <w:szCs w:val="21"/>
              </w:rPr>
              <w:t>μg/L</w:t>
            </w:r>
            <w:r w:rsidRPr="00092862">
              <w:rPr>
                <w:rFonts w:ascii="Times New Roman" w:hAnsi="Times New Roman"/>
                <w:b/>
                <w:bCs/>
                <w:color w:val="000000" w:themeColor="text1"/>
                <w:sz w:val="21"/>
                <w:szCs w:val="21"/>
              </w:rPr>
              <w:t>）</w:t>
            </w:r>
          </w:p>
        </w:tc>
        <w:tc>
          <w:tcPr>
            <w:tcW w:w="972" w:type="dxa"/>
            <w:vAlign w:val="center"/>
          </w:tcPr>
          <w:p w14:paraId="0B98D40C" w14:textId="5FA4E04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010B7873" w14:textId="01CD686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30188E13" w14:textId="594BAF0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390F2E85" w14:textId="15D8AF7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16786B77" w14:textId="2C653BB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879" w:type="dxa"/>
            <w:vAlign w:val="center"/>
          </w:tcPr>
          <w:p w14:paraId="24BF666F" w14:textId="0E2C135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w:t>
            </w:r>
          </w:p>
        </w:tc>
        <w:tc>
          <w:tcPr>
            <w:tcW w:w="750" w:type="dxa"/>
            <w:vAlign w:val="center"/>
          </w:tcPr>
          <w:p w14:paraId="5DC97E9F" w14:textId="341B625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160B92D9" w14:textId="6123C77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6068D4D0" w14:textId="77777777" w:rsidTr="003B3EEE">
        <w:tc>
          <w:tcPr>
            <w:tcW w:w="1061" w:type="dxa"/>
            <w:vAlign w:val="center"/>
          </w:tcPr>
          <w:p w14:paraId="73E8E37D" w14:textId="3F8CCBB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铅</w:t>
            </w:r>
          </w:p>
        </w:tc>
        <w:tc>
          <w:tcPr>
            <w:tcW w:w="972" w:type="dxa"/>
            <w:vAlign w:val="center"/>
          </w:tcPr>
          <w:p w14:paraId="486C237A" w14:textId="691D2D9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&lt;1×10</w:t>
            </w:r>
            <w:r w:rsidRPr="00092862">
              <w:rPr>
                <w:rFonts w:ascii="Times New Roman" w:hAnsi="Times New Roman"/>
                <w:color w:val="000000" w:themeColor="text1"/>
                <w:sz w:val="21"/>
                <w:szCs w:val="21"/>
                <w:vertAlign w:val="superscript"/>
              </w:rPr>
              <w:t>-3</w:t>
            </w:r>
          </w:p>
        </w:tc>
        <w:tc>
          <w:tcPr>
            <w:tcW w:w="972" w:type="dxa"/>
            <w:vAlign w:val="center"/>
          </w:tcPr>
          <w:p w14:paraId="7799DCE7" w14:textId="3EF7850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&lt;1×10</w:t>
            </w:r>
            <w:r w:rsidRPr="00092862">
              <w:rPr>
                <w:rFonts w:ascii="Times New Roman" w:hAnsi="Times New Roman"/>
                <w:color w:val="000000" w:themeColor="text1"/>
                <w:sz w:val="21"/>
                <w:szCs w:val="21"/>
                <w:vertAlign w:val="superscript"/>
              </w:rPr>
              <w:t>-3</w:t>
            </w:r>
          </w:p>
        </w:tc>
        <w:tc>
          <w:tcPr>
            <w:tcW w:w="972" w:type="dxa"/>
            <w:vAlign w:val="center"/>
          </w:tcPr>
          <w:p w14:paraId="64BC8519" w14:textId="02E6E47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&lt;1×10</w:t>
            </w:r>
            <w:r w:rsidRPr="00092862">
              <w:rPr>
                <w:rFonts w:ascii="Times New Roman" w:hAnsi="Times New Roman"/>
                <w:color w:val="000000" w:themeColor="text1"/>
                <w:sz w:val="21"/>
                <w:szCs w:val="21"/>
                <w:vertAlign w:val="superscript"/>
              </w:rPr>
              <w:t>-3</w:t>
            </w:r>
          </w:p>
        </w:tc>
        <w:tc>
          <w:tcPr>
            <w:tcW w:w="972" w:type="dxa"/>
            <w:vAlign w:val="center"/>
          </w:tcPr>
          <w:p w14:paraId="2F4B019A" w14:textId="6283396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&lt;1×10</w:t>
            </w:r>
            <w:r w:rsidRPr="00092862">
              <w:rPr>
                <w:rFonts w:ascii="Times New Roman" w:hAnsi="Times New Roman"/>
                <w:color w:val="000000" w:themeColor="text1"/>
                <w:sz w:val="21"/>
                <w:szCs w:val="21"/>
                <w:vertAlign w:val="superscript"/>
              </w:rPr>
              <w:t>-3</w:t>
            </w:r>
          </w:p>
        </w:tc>
        <w:tc>
          <w:tcPr>
            <w:tcW w:w="972" w:type="dxa"/>
            <w:vAlign w:val="center"/>
          </w:tcPr>
          <w:p w14:paraId="6B892B89" w14:textId="50CCCA7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&lt;1×10</w:t>
            </w:r>
            <w:r w:rsidRPr="00092862">
              <w:rPr>
                <w:rFonts w:ascii="Times New Roman" w:hAnsi="Times New Roman"/>
                <w:color w:val="000000" w:themeColor="text1"/>
                <w:sz w:val="21"/>
                <w:szCs w:val="21"/>
                <w:vertAlign w:val="superscript"/>
              </w:rPr>
              <w:t>-3</w:t>
            </w:r>
          </w:p>
        </w:tc>
        <w:tc>
          <w:tcPr>
            <w:tcW w:w="879" w:type="dxa"/>
            <w:vAlign w:val="center"/>
          </w:tcPr>
          <w:p w14:paraId="085828A0" w14:textId="4F34BA4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≤0.01</w:t>
            </w:r>
          </w:p>
        </w:tc>
        <w:tc>
          <w:tcPr>
            <w:tcW w:w="750" w:type="dxa"/>
            <w:vAlign w:val="center"/>
          </w:tcPr>
          <w:p w14:paraId="391B2D5C" w14:textId="6EDD8A0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62A7F4D7" w14:textId="0443F1E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0C782AB8" w14:textId="77777777" w:rsidTr="003B3EEE">
        <w:tc>
          <w:tcPr>
            <w:tcW w:w="1061" w:type="dxa"/>
            <w:vAlign w:val="center"/>
          </w:tcPr>
          <w:p w14:paraId="56FAAD80" w14:textId="6D14894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硫化物</w:t>
            </w:r>
          </w:p>
        </w:tc>
        <w:tc>
          <w:tcPr>
            <w:tcW w:w="972" w:type="dxa"/>
            <w:vAlign w:val="center"/>
          </w:tcPr>
          <w:p w14:paraId="69DEF4AB" w14:textId="7D9589E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295D36EA" w14:textId="395B8CF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78106CF8" w14:textId="6384BFF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29316E9D" w14:textId="693C186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686D5513" w14:textId="3044FD9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879" w:type="dxa"/>
            <w:vAlign w:val="center"/>
          </w:tcPr>
          <w:p w14:paraId="4565A427" w14:textId="61B90CF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≤0.02</w:t>
            </w:r>
          </w:p>
        </w:tc>
        <w:tc>
          <w:tcPr>
            <w:tcW w:w="750" w:type="dxa"/>
            <w:vAlign w:val="center"/>
          </w:tcPr>
          <w:p w14:paraId="6757355F" w14:textId="1EAD261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17A7691D" w14:textId="0FB040F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5B57F75B" w14:textId="77777777" w:rsidTr="003B3EEE">
        <w:tc>
          <w:tcPr>
            <w:tcW w:w="1061" w:type="dxa"/>
            <w:vAlign w:val="center"/>
          </w:tcPr>
          <w:p w14:paraId="7281BB93" w14:textId="294AC2E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氟化物</w:t>
            </w:r>
          </w:p>
        </w:tc>
        <w:tc>
          <w:tcPr>
            <w:tcW w:w="972" w:type="dxa"/>
            <w:vAlign w:val="center"/>
          </w:tcPr>
          <w:p w14:paraId="7605D928" w14:textId="4CCB655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0.037</w:t>
            </w:r>
          </w:p>
        </w:tc>
        <w:tc>
          <w:tcPr>
            <w:tcW w:w="972" w:type="dxa"/>
            <w:vAlign w:val="center"/>
          </w:tcPr>
          <w:p w14:paraId="5968BCF4" w14:textId="77D7059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0.044</w:t>
            </w:r>
          </w:p>
        </w:tc>
        <w:tc>
          <w:tcPr>
            <w:tcW w:w="972" w:type="dxa"/>
            <w:vAlign w:val="center"/>
          </w:tcPr>
          <w:p w14:paraId="2225CC5C" w14:textId="29DBCE5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0.029</w:t>
            </w:r>
          </w:p>
        </w:tc>
        <w:tc>
          <w:tcPr>
            <w:tcW w:w="972" w:type="dxa"/>
            <w:vAlign w:val="center"/>
          </w:tcPr>
          <w:p w14:paraId="1F1DB898" w14:textId="0628FB6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0.015</w:t>
            </w:r>
          </w:p>
        </w:tc>
        <w:tc>
          <w:tcPr>
            <w:tcW w:w="972" w:type="dxa"/>
            <w:vAlign w:val="center"/>
          </w:tcPr>
          <w:p w14:paraId="523F6A85" w14:textId="73AC461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0.049</w:t>
            </w:r>
          </w:p>
        </w:tc>
        <w:tc>
          <w:tcPr>
            <w:tcW w:w="879" w:type="dxa"/>
            <w:vAlign w:val="center"/>
          </w:tcPr>
          <w:p w14:paraId="65E65F35" w14:textId="75B763D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w:t>
            </w:r>
          </w:p>
        </w:tc>
        <w:tc>
          <w:tcPr>
            <w:tcW w:w="750" w:type="dxa"/>
            <w:vAlign w:val="center"/>
          </w:tcPr>
          <w:p w14:paraId="51DF6DDD" w14:textId="3ACA7B9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0.02 </w:t>
            </w:r>
          </w:p>
        </w:tc>
        <w:tc>
          <w:tcPr>
            <w:tcW w:w="750" w:type="dxa"/>
            <w:vAlign w:val="center"/>
          </w:tcPr>
          <w:p w14:paraId="0386898F" w14:textId="7D47D79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0.05 </w:t>
            </w:r>
          </w:p>
        </w:tc>
      </w:tr>
      <w:tr w:rsidR="00697429" w:rsidRPr="00092862" w14:paraId="3DE63693" w14:textId="77777777" w:rsidTr="003B3EEE">
        <w:tc>
          <w:tcPr>
            <w:tcW w:w="1061" w:type="dxa"/>
            <w:vAlign w:val="center"/>
          </w:tcPr>
          <w:p w14:paraId="1603ADF1" w14:textId="3ED0ADD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镉（</w:t>
            </w:r>
            <w:r w:rsidRPr="00092862">
              <w:rPr>
                <w:rFonts w:ascii="Times New Roman" w:hAnsi="Times New Roman"/>
                <w:b/>
                <w:bCs/>
                <w:color w:val="000000" w:themeColor="text1"/>
                <w:sz w:val="21"/>
                <w:szCs w:val="21"/>
              </w:rPr>
              <w:t>μg/L</w:t>
            </w:r>
            <w:r w:rsidRPr="00092862">
              <w:rPr>
                <w:rFonts w:ascii="Times New Roman" w:hAnsi="Times New Roman"/>
                <w:b/>
                <w:bCs/>
                <w:color w:val="000000" w:themeColor="text1"/>
                <w:sz w:val="21"/>
                <w:szCs w:val="21"/>
              </w:rPr>
              <w:t>）</w:t>
            </w:r>
          </w:p>
        </w:tc>
        <w:tc>
          <w:tcPr>
            <w:tcW w:w="972" w:type="dxa"/>
            <w:vAlign w:val="center"/>
          </w:tcPr>
          <w:p w14:paraId="2634B9B0" w14:textId="3C90EA9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&lt;1.0×10</w:t>
            </w:r>
            <w:r w:rsidRPr="00092862">
              <w:rPr>
                <w:rFonts w:ascii="Times New Roman" w:hAnsi="Times New Roman"/>
                <w:color w:val="000000" w:themeColor="text1"/>
                <w:sz w:val="21"/>
                <w:szCs w:val="21"/>
                <w:vertAlign w:val="superscript"/>
              </w:rPr>
              <w:t>-4</w:t>
            </w:r>
          </w:p>
        </w:tc>
        <w:tc>
          <w:tcPr>
            <w:tcW w:w="972" w:type="dxa"/>
            <w:vAlign w:val="center"/>
          </w:tcPr>
          <w:p w14:paraId="4FC4652F" w14:textId="411C9C7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&lt;1.0×10</w:t>
            </w:r>
            <w:r w:rsidRPr="00092862">
              <w:rPr>
                <w:rFonts w:ascii="Times New Roman" w:hAnsi="Times New Roman"/>
                <w:color w:val="000000" w:themeColor="text1"/>
                <w:sz w:val="21"/>
                <w:szCs w:val="21"/>
                <w:vertAlign w:val="superscript"/>
              </w:rPr>
              <w:t>-4</w:t>
            </w:r>
          </w:p>
        </w:tc>
        <w:tc>
          <w:tcPr>
            <w:tcW w:w="972" w:type="dxa"/>
            <w:vAlign w:val="center"/>
          </w:tcPr>
          <w:p w14:paraId="3C6AAA85" w14:textId="104B2B2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&lt;1.0×10</w:t>
            </w:r>
            <w:r w:rsidRPr="00092862">
              <w:rPr>
                <w:rFonts w:ascii="Times New Roman" w:hAnsi="Times New Roman"/>
                <w:color w:val="000000" w:themeColor="text1"/>
                <w:sz w:val="21"/>
                <w:szCs w:val="21"/>
                <w:vertAlign w:val="superscript"/>
              </w:rPr>
              <w:t>-4</w:t>
            </w:r>
          </w:p>
        </w:tc>
        <w:tc>
          <w:tcPr>
            <w:tcW w:w="972" w:type="dxa"/>
            <w:vAlign w:val="center"/>
          </w:tcPr>
          <w:p w14:paraId="631C801D" w14:textId="730D954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&lt;1.0×10</w:t>
            </w:r>
            <w:r w:rsidRPr="00092862">
              <w:rPr>
                <w:rFonts w:ascii="Times New Roman" w:hAnsi="Times New Roman"/>
                <w:color w:val="000000" w:themeColor="text1"/>
                <w:sz w:val="21"/>
                <w:szCs w:val="21"/>
                <w:vertAlign w:val="superscript"/>
              </w:rPr>
              <w:t>-4</w:t>
            </w:r>
          </w:p>
        </w:tc>
        <w:tc>
          <w:tcPr>
            <w:tcW w:w="972" w:type="dxa"/>
            <w:vAlign w:val="center"/>
          </w:tcPr>
          <w:p w14:paraId="576BC388" w14:textId="50CA758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6.0×10</w:t>
            </w:r>
            <w:r w:rsidRPr="00092862">
              <w:rPr>
                <w:rFonts w:ascii="Times New Roman" w:hAnsi="Times New Roman"/>
                <w:color w:val="000000" w:themeColor="text1"/>
                <w:sz w:val="21"/>
                <w:szCs w:val="21"/>
                <w:vertAlign w:val="superscript"/>
              </w:rPr>
              <w:t>-4</w:t>
            </w:r>
          </w:p>
        </w:tc>
        <w:tc>
          <w:tcPr>
            <w:tcW w:w="879" w:type="dxa"/>
            <w:vAlign w:val="center"/>
          </w:tcPr>
          <w:p w14:paraId="5C3920EE" w14:textId="15E2DE5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≤5</w:t>
            </w:r>
          </w:p>
        </w:tc>
        <w:tc>
          <w:tcPr>
            <w:tcW w:w="750" w:type="dxa"/>
            <w:vAlign w:val="center"/>
          </w:tcPr>
          <w:p w14:paraId="16B13337" w14:textId="1507FF1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c>
          <w:tcPr>
            <w:tcW w:w="750" w:type="dxa"/>
            <w:vAlign w:val="center"/>
          </w:tcPr>
          <w:p w14:paraId="270675E9" w14:textId="0FFE992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0.00 </w:t>
            </w:r>
          </w:p>
        </w:tc>
      </w:tr>
      <w:tr w:rsidR="00697429" w:rsidRPr="00092862" w14:paraId="242A4C06" w14:textId="77777777" w:rsidTr="003B3EEE">
        <w:tc>
          <w:tcPr>
            <w:tcW w:w="1061" w:type="dxa"/>
            <w:vAlign w:val="center"/>
          </w:tcPr>
          <w:p w14:paraId="1FDDFADB" w14:textId="07EACD1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溶解性总固体</w:t>
            </w:r>
          </w:p>
        </w:tc>
        <w:tc>
          <w:tcPr>
            <w:tcW w:w="972" w:type="dxa"/>
            <w:vAlign w:val="center"/>
          </w:tcPr>
          <w:p w14:paraId="21ED66FF" w14:textId="7902F50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170</w:t>
            </w:r>
          </w:p>
        </w:tc>
        <w:tc>
          <w:tcPr>
            <w:tcW w:w="972" w:type="dxa"/>
            <w:vAlign w:val="center"/>
          </w:tcPr>
          <w:p w14:paraId="2B950A66" w14:textId="2A665BA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149</w:t>
            </w:r>
          </w:p>
        </w:tc>
        <w:tc>
          <w:tcPr>
            <w:tcW w:w="972" w:type="dxa"/>
            <w:vAlign w:val="center"/>
          </w:tcPr>
          <w:p w14:paraId="0FBCA2A8" w14:textId="691982D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183</w:t>
            </w:r>
          </w:p>
        </w:tc>
        <w:tc>
          <w:tcPr>
            <w:tcW w:w="972" w:type="dxa"/>
            <w:vAlign w:val="center"/>
          </w:tcPr>
          <w:p w14:paraId="52B8B1F7" w14:textId="5F35E1C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169</w:t>
            </w:r>
          </w:p>
        </w:tc>
        <w:tc>
          <w:tcPr>
            <w:tcW w:w="972" w:type="dxa"/>
            <w:vAlign w:val="center"/>
          </w:tcPr>
          <w:p w14:paraId="12902DA5" w14:textId="65747270"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157</w:t>
            </w:r>
          </w:p>
        </w:tc>
        <w:tc>
          <w:tcPr>
            <w:tcW w:w="879" w:type="dxa"/>
            <w:vAlign w:val="center"/>
          </w:tcPr>
          <w:p w14:paraId="4033CF69" w14:textId="0F1468D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≤1000</w:t>
            </w:r>
          </w:p>
        </w:tc>
        <w:tc>
          <w:tcPr>
            <w:tcW w:w="750" w:type="dxa"/>
            <w:vAlign w:val="center"/>
          </w:tcPr>
          <w:p w14:paraId="1EA8B907" w14:textId="1931B66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0.15 </w:t>
            </w:r>
          </w:p>
        </w:tc>
        <w:tc>
          <w:tcPr>
            <w:tcW w:w="750" w:type="dxa"/>
            <w:vAlign w:val="center"/>
          </w:tcPr>
          <w:p w14:paraId="49CEF8C4" w14:textId="6E3CCDC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0.18 </w:t>
            </w:r>
          </w:p>
        </w:tc>
      </w:tr>
      <w:tr w:rsidR="00697429" w:rsidRPr="00092862" w14:paraId="145C97C4" w14:textId="77777777" w:rsidTr="003B3EEE">
        <w:tc>
          <w:tcPr>
            <w:tcW w:w="1061" w:type="dxa"/>
            <w:vAlign w:val="center"/>
          </w:tcPr>
          <w:p w14:paraId="2D6C868B" w14:textId="23B18D9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硝酸盐氮</w:t>
            </w:r>
          </w:p>
        </w:tc>
        <w:tc>
          <w:tcPr>
            <w:tcW w:w="972" w:type="dxa"/>
            <w:vAlign w:val="center"/>
          </w:tcPr>
          <w:p w14:paraId="377253DE" w14:textId="6987975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5.15</w:t>
            </w:r>
          </w:p>
        </w:tc>
        <w:tc>
          <w:tcPr>
            <w:tcW w:w="972" w:type="dxa"/>
            <w:vAlign w:val="center"/>
          </w:tcPr>
          <w:p w14:paraId="38084F87" w14:textId="664559D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9.53</w:t>
            </w:r>
          </w:p>
        </w:tc>
        <w:tc>
          <w:tcPr>
            <w:tcW w:w="972" w:type="dxa"/>
            <w:vAlign w:val="center"/>
          </w:tcPr>
          <w:p w14:paraId="31DFCCC1" w14:textId="06A49DA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1.26</w:t>
            </w:r>
          </w:p>
        </w:tc>
        <w:tc>
          <w:tcPr>
            <w:tcW w:w="972" w:type="dxa"/>
            <w:vAlign w:val="center"/>
          </w:tcPr>
          <w:p w14:paraId="71BED25D" w14:textId="128E8EEB"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4.81</w:t>
            </w:r>
          </w:p>
        </w:tc>
        <w:tc>
          <w:tcPr>
            <w:tcW w:w="972" w:type="dxa"/>
            <w:vAlign w:val="center"/>
          </w:tcPr>
          <w:p w14:paraId="40993A36" w14:textId="5CBE435D"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1.96</w:t>
            </w:r>
          </w:p>
        </w:tc>
        <w:tc>
          <w:tcPr>
            <w:tcW w:w="879" w:type="dxa"/>
            <w:vAlign w:val="center"/>
          </w:tcPr>
          <w:p w14:paraId="515B1058" w14:textId="3413BCD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≤20</w:t>
            </w:r>
          </w:p>
        </w:tc>
        <w:tc>
          <w:tcPr>
            <w:tcW w:w="750" w:type="dxa"/>
            <w:vAlign w:val="center"/>
          </w:tcPr>
          <w:p w14:paraId="2D8EDAEF" w14:textId="7489447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0.06 </w:t>
            </w:r>
          </w:p>
        </w:tc>
        <w:tc>
          <w:tcPr>
            <w:tcW w:w="750" w:type="dxa"/>
            <w:vAlign w:val="center"/>
          </w:tcPr>
          <w:p w14:paraId="5C71C9EE" w14:textId="3543D50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0.48 </w:t>
            </w:r>
          </w:p>
        </w:tc>
      </w:tr>
      <w:tr w:rsidR="00697429" w:rsidRPr="00092862" w14:paraId="440C56E1" w14:textId="77777777" w:rsidTr="003B3EEE">
        <w:tc>
          <w:tcPr>
            <w:tcW w:w="1061" w:type="dxa"/>
            <w:vAlign w:val="center"/>
          </w:tcPr>
          <w:p w14:paraId="790B9C9F" w14:textId="76D1768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亚硝酸盐氮</w:t>
            </w:r>
          </w:p>
        </w:tc>
        <w:tc>
          <w:tcPr>
            <w:tcW w:w="972" w:type="dxa"/>
            <w:vAlign w:val="center"/>
          </w:tcPr>
          <w:p w14:paraId="4D84806A" w14:textId="3759AF0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6F3F37B3" w14:textId="3D6D84D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6748BC05" w14:textId="171475E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6C61FE87" w14:textId="75E5951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未检出</w:t>
            </w:r>
          </w:p>
        </w:tc>
        <w:tc>
          <w:tcPr>
            <w:tcW w:w="972" w:type="dxa"/>
            <w:vAlign w:val="center"/>
          </w:tcPr>
          <w:p w14:paraId="066E84C5" w14:textId="267F9111"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7.76</w:t>
            </w:r>
          </w:p>
        </w:tc>
        <w:tc>
          <w:tcPr>
            <w:tcW w:w="879" w:type="dxa"/>
            <w:vAlign w:val="center"/>
          </w:tcPr>
          <w:p w14:paraId="58E839A1" w14:textId="4C369DB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w:t>
            </w:r>
          </w:p>
        </w:tc>
        <w:tc>
          <w:tcPr>
            <w:tcW w:w="750" w:type="dxa"/>
            <w:vAlign w:val="center"/>
          </w:tcPr>
          <w:p w14:paraId="5FF7BAF1" w14:textId="3480265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7.76 </w:t>
            </w:r>
          </w:p>
        </w:tc>
        <w:tc>
          <w:tcPr>
            <w:tcW w:w="750" w:type="dxa"/>
            <w:vAlign w:val="center"/>
          </w:tcPr>
          <w:p w14:paraId="3DCB8724" w14:textId="02E76C3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7.76 </w:t>
            </w:r>
          </w:p>
        </w:tc>
      </w:tr>
      <w:tr w:rsidR="00697429" w:rsidRPr="00092862" w14:paraId="4E12D349" w14:textId="77777777" w:rsidTr="003B3EEE">
        <w:tc>
          <w:tcPr>
            <w:tcW w:w="1061" w:type="dxa"/>
            <w:vAlign w:val="center"/>
          </w:tcPr>
          <w:p w14:paraId="286DD7AC" w14:textId="6A9E55A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氨氮</w:t>
            </w:r>
          </w:p>
        </w:tc>
        <w:tc>
          <w:tcPr>
            <w:tcW w:w="972" w:type="dxa"/>
            <w:vAlign w:val="center"/>
          </w:tcPr>
          <w:p w14:paraId="18F7A479" w14:textId="1A711BB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0.194</w:t>
            </w:r>
          </w:p>
        </w:tc>
        <w:tc>
          <w:tcPr>
            <w:tcW w:w="972" w:type="dxa"/>
            <w:vAlign w:val="center"/>
          </w:tcPr>
          <w:p w14:paraId="6F6D7844" w14:textId="4FB5886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0.126</w:t>
            </w:r>
          </w:p>
        </w:tc>
        <w:tc>
          <w:tcPr>
            <w:tcW w:w="972" w:type="dxa"/>
            <w:vAlign w:val="center"/>
          </w:tcPr>
          <w:p w14:paraId="55ABBF63" w14:textId="2A25C93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0.16</w:t>
            </w:r>
          </w:p>
        </w:tc>
        <w:tc>
          <w:tcPr>
            <w:tcW w:w="972" w:type="dxa"/>
            <w:vAlign w:val="center"/>
          </w:tcPr>
          <w:p w14:paraId="38DA2E61" w14:textId="6999A32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0.134</w:t>
            </w:r>
          </w:p>
        </w:tc>
        <w:tc>
          <w:tcPr>
            <w:tcW w:w="972" w:type="dxa"/>
            <w:vAlign w:val="center"/>
          </w:tcPr>
          <w:p w14:paraId="25320AEB" w14:textId="36ACDF9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0.15</w:t>
            </w:r>
          </w:p>
        </w:tc>
        <w:tc>
          <w:tcPr>
            <w:tcW w:w="879" w:type="dxa"/>
            <w:vAlign w:val="center"/>
          </w:tcPr>
          <w:p w14:paraId="0BD99E62" w14:textId="5008974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≤0.5</w:t>
            </w:r>
          </w:p>
        </w:tc>
        <w:tc>
          <w:tcPr>
            <w:tcW w:w="750" w:type="dxa"/>
            <w:vAlign w:val="center"/>
          </w:tcPr>
          <w:p w14:paraId="369DD43E" w14:textId="2A3D758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0.25 </w:t>
            </w:r>
          </w:p>
        </w:tc>
        <w:tc>
          <w:tcPr>
            <w:tcW w:w="750" w:type="dxa"/>
            <w:vAlign w:val="center"/>
          </w:tcPr>
          <w:p w14:paraId="5FE422AB" w14:textId="27F7191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0.39 </w:t>
            </w:r>
          </w:p>
        </w:tc>
      </w:tr>
      <w:tr w:rsidR="00697429" w:rsidRPr="00092862" w14:paraId="03170593" w14:textId="77777777" w:rsidTr="003B3EEE">
        <w:tc>
          <w:tcPr>
            <w:tcW w:w="1061" w:type="dxa"/>
            <w:vAlign w:val="center"/>
          </w:tcPr>
          <w:p w14:paraId="43407734" w14:textId="4676834C"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总大肠菌群</w:t>
            </w:r>
          </w:p>
        </w:tc>
        <w:tc>
          <w:tcPr>
            <w:tcW w:w="972" w:type="dxa"/>
            <w:vAlign w:val="center"/>
          </w:tcPr>
          <w:p w14:paraId="1B29DE02" w14:textId="1CF737D8"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&lt;2</w:t>
            </w:r>
          </w:p>
        </w:tc>
        <w:tc>
          <w:tcPr>
            <w:tcW w:w="972" w:type="dxa"/>
            <w:vAlign w:val="center"/>
          </w:tcPr>
          <w:p w14:paraId="3036BD95" w14:textId="79ED41F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&lt;2</w:t>
            </w:r>
          </w:p>
        </w:tc>
        <w:tc>
          <w:tcPr>
            <w:tcW w:w="972" w:type="dxa"/>
            <w:vAlign w:val="center"/>
          </w:tcPr>
          <w:p w14:paraId="3F13C237" w14:textId="7131D70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&lt;2</w:t>
            </w:r>
          </w:p>
        </w:tc>
        <w:tc>
          <w:tcPr>
            <w:tcW w:w="972" w:type="dxa"/>
            <w:vAlign w:val="center"/>
          </w:tcPr>
          <w:p w14:paraId="740E7D96" w14:textId="08DA4082"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&lt;2</w:t>
            </w:r>
          </w:p>
        </w:tc>
        <w:tc>
          <w:tcPr>
            <w:tcW w:w="972" w:type="dxa"/>
            <w:vAlign w:val="center"/>
          </w:tcPr>
          <w:p w14:paraId="6AF4D9E0" w14:textId="12375655"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&lt;2</w:t>
            </w:r>
          </w:p>
        </w:tc>
        <w:tc>
          <w:tcPr>
            <w:tcW w:w="879" w:type="dxa"/>
            <w:vAlign w:val="center"/>
          </w:tcPr>
          <w:p w14:paraId="4E576647" w14:textId="0C5305F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&lt;3</w:t>
            </w:r>
            <w:r w:rsidRPr="00092862">
              <w:rPr>
                <w:rFonts w:ascii="Times New Roman" w:hAnsi="Times New Roman"/>
                <w:color w:val="000000" w:themeColor="text1"/>
                <w:sz w:val="21"/>
                <w:szCs w:val="21"/>
              </w:rPr>
              <w:t>个</w:t>
            </w:r>
            <w:r w:rsidRPr="00092862">
              <w:rPr>
                <w:rFonts w:ascii="Times New Roman" w:hAnsi="Times New Roman"/>
                <w:color w:val="000000" w:themeColor="text1"/>
                <w:sz w:val="21"/>
                <w:szCs w:val="21"/>
              </w:rPr>
              <w:t>/L</w:t>
            </w:r>
          </w:p>
        </w:tc>
        <w:tc>
          <w:tcPr>
            <w:tcW w:w="750" w:type="dxa"/>
            <w:vAlign w:val="center"/>
          </w:tcPr>
          <w:p w14:paraId="09FB8E09" w14:textId="1EB3199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0.67 </w:t>
            </w:r>
          </w:p>
        </w:tc>
        <w:tc>
          <w:tcPr>
            <w:tcW w:w="750" w:type="dxa"/>
            <w:vAlign w:val="center"/>
          </w:tcPr>
          <w:p w14:paraId="12849363" w14:textId="7EFCC13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0.67 </w:t>
            </w:r>
          </w:p>
        </w:tc>
      </w:tr>
      <w:tr w:rsidR="00697429" w:rsidRPr="00092862" w14:paraId="23BB9750" w14:textId="77777777" w:rsidTr="003B3EEE">
        <w:tc>
          <w:tcPr>
            <w:tcW w:w="1061" w:type="dxa"/>
            <w:vAlign w:val="center"/>
          </w:tcPr>
          <w:p w14:paraId="253D8C41" w14:textId="48803AD3"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b/>
                <w:bCs/>
                <w:color w:val="000000" w:themeColor="text1"/>
                <w:sz w:val="21"/>
                <w:szCs w:val="21"/>
              </w:rPr>
              <w:t>细菌总数</w:t>
            </w:r>
          </w:p>
        </w:tc>
        <w:tc>
          <w:tcPr>
            <w:tcW w:w="972" w:type="dxa"/>
            <w:vAlign w:val="center"/>
          </w:tcPr>
          <w:p w14:paraId="453A67C4" w14:textId="70EA5D3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9</w:t>
            </w:r>
          </w:p>
        </w:tc>
        <w:tc>
          <w:tcPr>
            <w:tcW w:w="972" w:type="dxa"/>
            <w:vAlign w:val="center"/>
          </w:tcPr>
          <w:p w14:paraId="6CABA5FD" w14:textId="163053B7"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11</w:t>
            </w:r>
          </w:p>
        </w:tc>
        <w:tc>
          <w:tcPr>
            <w:tcW w:w="972" w:type="dxa"/>
            <w:vAlign w:val="center"/>
          </w:tcPr>
          <w:p w14:paraId="100BC84F" w14:textId="74350F8F"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8</w:t>
            </w:r>
          </w:p>
        </w:tc>
        <w:tc>
          <w:tcPr>
            <w:tcW w:w="972" w:type="dxa"/>
            <w:vAlign w:val="center"/>
          </w:tcPr>
          <w:p w14:paraId="2F1039AB" w14:textId="2E1A418A"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7</w:t>
            </w:r>
          </w:p>
        </w:tc>
        <w:tc>
          <w:tcPr>
            <w:tcW w:w="972" w:type="dxa"/>
            <w:vAlign w:val="center"/>
          </w:tcPr>
          <w:p w14:paraId="1C812D17" w14:textId="019FF1AE"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14</w:t>
            </w:r>
          </w:p>
        </w:tc>
        <w:tc>
          <w:tcPr>
            <w:tcW w:w="879" w:type="dxa"/>
            <w:vAlign w:val="center"/>
          </w:tcPr>
          <w:p w14:paraId="22AB8846" w14:textId="6361C146"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≤100</w:t>
            </w:r>
            <w:r w:rsidRPr="00092862">
              <w:rPr>
                <w:rFonts w:ascii="Times New Roman" w:hAnsi="Times New Roman"/>
                <w:color w:val="000000" w:themeColor="text1"/>
                <w:sz w:val="21"/>
                <w:szCs w:val="21"/>
              </w:rPr>
              <w:t>个</w:t>
            </w:r>
            <w:r w:rsidRPr="00092862">
              <w:rPr>
                <w:rFonts w:ascii="Times New Roman" w:hAnsi="Times New Roman"/>
                <w:color w:val="000000" w:themeColor="text1"/>
                <w:sz w:val="21"/>
                <w:szCs w:val="21"/>
              </w:rPr>
              <w:t>/L</w:t>
            </w:r>
          </w:p>
        </w:tc>
        <w:tc>
          <w:tcPr>
            <w:tcW w:w="750" w:type="dxa"/>
            <w:vAlign w:val="center"/>
          </w:tcPr>
          <w:p w14:paraId="2997B2C2" w14:textId="1E87EC69"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0.07 </w:t>
            </w:r>
          </w:p>
        </w:tc>
        <w:tc>
          <w:tcPr>
            <w:tcW w:w="750" w:type="dxa"/>
            <w:vAlign w:val="center"/>
          </w:tcPr>
          <w:p w14:paraId="3BB18156" w14:textId="13AABBA4" w:rsidR="003B3EEE" w:rsidRPr="00092862" w:rsidRDefault="003B3EEE" w:rsidP="003B3EEE">
            <w:pPr>
              <w:pStyle w:val="ac"/>
              <w:adjustRightInd w:val="0"/>
              <w:snapToGrid w:val="0"/>
              <w:spacing w:before="0"/>
              <w:ind w:left="0"/>
              <w:jc w:val="center"/>
              <w:rPr>
                <w:rFonts w:ascii="Times New Roman" w:hAnsi="Times New Roman"/>
                <w:color w:val="000000" w:themeColor="text1"/>
                <w:kern w:val="2"/>
                <w:sz w:val="21"/>
                <w:szCs w:val="21"/>
                <w:lang w:eastAsia="zh-CN"/>
              </w:rPr>
            </w:pPr>
            <w:r w:rsidRPr="00092862">
              <w:rPr>
                <w:rFonts w:ascii="Times New Roman" w:hAnsi="Times New Roman"/>
                <w:color w:val="000000" w:themeColor="text1"/>
                <w:sz w:val="21"/>
                <w:szCs w:val="21"/>
              </w:rPr>
              <w:t xml:space="preserve">0.14 </w:t>
            </w:r>
          </w:p>
        </w:tc>
      </w:tr>
    </w:tbl>
    <w:p w14:paraId="470F5CDB" w14:textId="20D710AF" w:rsidR="00DC446C" w:rsidRPr="00092862" w:rsidRDefault="003B1968" w:rsidP="003D2EEB">
      <w:pPr>
        <w:pStyle w:val="a5"/>
        <w:snapToGrid w:val="0"/>
        <w:jc w:val="left"/>
        <w:rPr>
          <w:rFonts w:ascii="Times New Roman" w:hAnsi="Times New Roman"/>
          <w:color w:val="000000" w:themeColor="text1"/>
          <w:szCs w:val="21"/>
        </w:rPr>
      </w:pPr>
      <w:r w:rsidRPr="00092862">
        <w:rPr>
          <w:rFonts w:ascii="Times New Roman" w:hAnsi="Times New Roman"/>
          <w:color w:val="000000" w:themeColor="text1"/>
          <w:szCs w:val="21"/>
        </w:rPr>
        <w:t>注：</w:t>
      </w:r>
      <w:r w:rsidR="00660507" w:rsidRPr="00092862">
        <w:rPr>
          <w:rFonts w:ascii="Times New Roman" w:hAnsi="Times New Roman"/>
          <w:color w:val="000000" w:themeColor="text1"/>
          <w:szCs w:val="21"/>
        </w:rPr>
        <w:t>“</w:t>
      </w:r>
      <w:r w:rsidR="000B09F7" w:rsidRPr="00092862">
        <w:rPr>
          <w:rFonts w:ascii="Times New Roman" w:hAnsi="Times New Roman"/>
          <w:color w:val="000000" w:themeColor="text1"/>
          <w:szCs w:val="21"/>
        </w:rPr>
        <w:t>ND</w:t>
      </w:r>
      <w:r w:rsidR="00660507" w:rsidRPr="00092862">
        <w:rPr>
          <w:rFonts w:ascii="Times New Roman" w:hAnsi="Times New Roman"/>
          <w:color w:val="000000" w:themeColor="text1"/>
          <w:szCs w:val="21"/>
        </w:rPr>
        <w:t>”</w:t>
      </w:r>
      <w:r w:rsidR="00660507" w:rsidRPr="00092862">
        <w:rPr>
          <w:rFonts w:ascii="Times New Roman" w:hAnsi="Times New Roman"/>
          <w:color w:val="000000" w:themeColor="text1"/>
          <w:szCs w:val="21"/>
        </w:rPr>
        <w:t>标识未检出，</w:t>
      </w:r>
      <w:r w:rsidR="00660507" w:rsidRPr="00092862">
        <w:rPr>
          <w:rFonts w:ascii="Times New Roman" w:hAnsi="Times New Roman"/>
          <w:color w:val="000000" w:themeColor="text1"/>
          <w:szCs w:val="21"/>
        </w:rPr>
        <w:t>“</w:t>
      </w:r>
      <w:r w:rsidRPr="00092862">
        <w:rPr>
          <w:rFonts w:ascii="Times New Roman" w:hAnsi="Times New Roman"/>
          <w:color w:val="000000" w:themeColor="text1"/>
          <w:szCs w:val="21"/>
        </w:rPr>
        <w:t>*</w:t>
      </w:r>
      <w:r w:rsidR="00660507" w:rsidRPr="00092862">
        <w:rPr>
          <w:rFonts w:ascii="Times New Roman" w:hAnsi="Times New Roman"/>
          <w:color w:val="000000" w:themeColor="text1"/>
          <w:szCs w:val="21"/>
        </w:rPr>
        <w:t>”</w:t>
      </w:r>
      <w:r w:rsidRPr="00092862">
        <w:rPr>
          <w:rFonts w:ascii="Times New Roman" w:hAnsi="Times New Roman"/>
          <w:color w:val="000000" w:themeColor="text1"/>
          <w:szCs w:val="21"/>
        </w:rPr>
        <w:t>为参考地表水标准。</w:t>
      </w:r>
    </w:p>
    <w:p w14:paraId="336A1500" w14:textId="75A7BB53" w:rsidR="00DC446C" w:rsidRPr="00092862" w:rsidRDefault="003B1968" w:rsidP="00117D0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由上表可见，</w:t>
      </w:r>
      <w:r w:rsidR="00AA3CE0" w:rsidRPr="00092862">
        <w:rPr>
          <w:rFonts w:ascii="Times New Roman" w:eastAsia="宋体" w:hAnsi="Times New Roman" w:cs="Times New Roman"/>
          <w:bCs/>
          <w:color w:val="000000" w:themeColor="text1"/>
          <w:sz w:val="24"/>
          <w:szCs w:val="24"/>
        </w:rPr>
        <w:t>项目区域</w:t>
      </w:r>
      <w:r w:rsidR="006142B6" w:rsidRPr="00092862">
        <w:rPr>
          <w:rFonts w:ascii="Times New Roman" w:eastAsia="宋体" w:hAnsi="Times New Roman" w:cs="Times New Roman"/>
          <w:bCs/>
          <w:color w:val="000000" w:themeColor="text1"/>
          <w:sz w:val="24"/>
          <w:szCs w:val="24"/>
        </w:rPr>
        <w:t>地下水现状监测</w:t>
      </w:r>
      <w:r w:rsidR="00AA3CE0" w:rsidRPr="00092862">
        <w:rPr>
          <w:rFonts w:ascii="Times New Roman" w:eastAsia="宋体" w:hAnsi="Times New Roman" w:cs="Times New Roman"/>
          <w:bCs/>
          <w:color w:val="000000" w:themeColor="text1"/>
          <w:sz w:val="24"/>
          <w:szCs w:val="24"/>
        </w:rPr>
        <w:t>指标</w:t>
      </w:r>
      <w:r w:rsidR="006142B6" w:rsidRPr="00092862">
        <w:rPr>
          <w:rFonts w:ascii="Times New Roman" w:eastAsia="宋体" w:hAnsi="Times New Roman" w:cs="Times New Roman"/>
          <w:bCs/>
          <w:color w:val="000000" w:themeColor="text1"/>
          <w:sz w:val="24"/>
          <w:szCs w:val="24"/>
        </w:rPr>
        <w:t>均未超过《地下水质量标准》（</w:t>
      </w:r>
      <w:r w:rsidR="006142B6" w:rsidRPr="00092862">
        <w:rPr>
          <w:rFonts w:ascii="Times New Roman" w:eastAsia="宋体" w:hAnsi="Times New Roman" w:cs="Times New Roman"/>
          <w:bCs/>
          <w:color w:val="000000" w:themeColor="text1"/>
          <w:sz w:val="24"/>
          <w:szCs w:val="24"/>
        </w:rPr>
        <w:t>GB/T14848-2017</w:t>
      </w:r>
      <w:r w:rsidR="006142B6" w:rsidRPr="00092862">
        <w:rPr>
          <w:rFonts w:ascii="Times New Roman" w:eastAsia="宋体" w:hAnsi="Times New Roman" w:cs="Times New Roman"/>
          <w:bCs/>
          <w:color w:val="000000" w:themeColor="text1"/>
          <w:sz w:val="24"/>
          <w:szCs w:val="24"/>
        </w:rPr>
        <w:t>）中的</w:t>
      </w:r>
      <w:r w:rsidR="006142B6" w:rsidRPr="00092862">
        <w:rPr>
          <w:rFonts w:ascii="Times New Roman" w:eastAsia="宋体" w:hAnsi="Times New Roman" w:cs="Times New Roman"/>
          <w:bCs/>
          <w:color w:val="000000" w:themeColor="text1"/>
          <w:sz w:val="24"/>
          <w:szCs w:val="24"/>
        </w:rPr>
        <w:t>Ⅲ</w:t>
      </w:r>
      <w:r w:rsidR="006142B6" w:rsidRPr="00092862">
        <w:rPr>
          <w:rFonts w:ascii="Times New Roman" w:eastAsia="宋体" w:hAnsi="Times New Roman" w:cs="Times New Roman"/>
          <w:bCs/>
          <w:color w:val="000000" w:themeColor="text1"/>
          <w:sz w:val="24"/>
          <w:szCs w:val="24"/>
        </w:rPr>
        <w:t>类标准限值要求，可知项目建设未对区域地下水环境造成不利影响。</w:t>
      </w:r>
      <w:r w:rsidRPr="00092862">
        <w:rPr>
          <w:rFonts w:ascii="Times New Roman" w:eastAsia="宋体" w:hAnsi="Times New Roman" w:cs="Times New Roman"/>
          <w:bCs/>
          <w:color w:val="000000" w:themeColor="text1"/>
          <w:sz w:val="24"/>
          <w:szCs w:val="24"/>
        </w:rPr>
        <w:t>本项目所在地区地下水质量总体上良好，施工期间应加强项目建设期间的水污染管理工作，杜绝跑冒滴漏和做好防渗，避免对项目周围地下水的污染。</w:t>
      </w:r>
    </w:p>
    <w:p w14:paraId="07B479DE" w14:textId="77777777" w:rsidR="00DC446C" w:rsidRPr="00092862" w:rsidRDefault="00C15CAE"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地下水化学类型分类</w:t>
      </w:r>
    </w:p>
    <w:p w14:paraId="31B3FD76" w14:textId="6626847C"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根据评价方法中介绍的使用舒卡列夫法对地下水类型进行分类，需要找到主要离子中含量大于</w:t>
      </w:r>
      <w:r w:rsidRPr="00092862">
        <w:rPr>
          <w:rFonts w:ascii="Times New Roman" w:eastAsia="宋体" w:hAnsi="Times New Roman" w:cs="Times New Roman"/>
          <w:bCs/>
          <w:color w:val="000000" w:themeColor="text1"/>
          <w:sz w:val="24"/>
          <w:szCs w:val="24"/>
        </w:rPr>
        <w:t>25%</w:t>
      </w:r>
      <w:r w:rsidRPr="00092862">
        <w:rPr>
          <w:rFonts w:ascii="Times New Roman" w:eastAsia="宋体" w:hAnsi="Times New Roman" w:cs="Times New Roman"/>
          <w:bCs/>
          <w:color w:val="000000" w:themeColor="text1"/>
          <w:sz w:val="24"/>
          <w:szCs w:val="24"/>
        </w:rPr>
        <w:t>毫克当量的阴离子及阳离子进行组合，计算各水样的</w:t>
      </w:r>
      <w:r w:rsidRPr="00092862">
        <w:rPr>
          <w:rFonts w:ascii="Times New Roman" w:eastAsia="宋体" w:hAnsi="Times New Roman" w:cs="Times New Roman"/>
          <w:bCs/>
          <w:color w:val="000000" w:themeColor="text1"/>
          <w:sz w:val="24"/>
          <w:szCs w:val="24"/>
        </w:rPr>
        <w:lastRenderedPageBreak/>
        <w:t>矿化度，计算结果见表</w:t>
      </w:r>
      <w:r w:rsidRPr="00092862">
        <w:rPr>
          <w:rFonts w:ascii="Times New Roman" w:eastAsia="宋体" w:hAnsi="Times New Roman" w:cs="Times New Roman"/>
          <w:bCs/>
          <w:color w:val="000000" w:themeColor="text1"/>
          <w:sz w:val="24"/>
          <w:szCs w:val="24"/>
        </w:rPr>
        <w:t>4.2-</w:t>
      </w:r>
      <w:r w:rsidR="00D26362"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w:t>
      </w:r>
    </w:p>
    <w:p w14:paraId="610F5A1A" w14:textId="7DAF0CD0" w:rsidR="00DC446C" w:rsidRPr="00092862" w:rsidRDefault="003B1968" w:rsidP="00D2636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4.2-</w:t>
      </w:r>
      <w:r w:rsidR="00D26362"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区域地下水阴阳离子含量比例及各水样矿化度一览表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265"/>
        <w:gridCol w:w="1008"/>
        <w:gridCol w:w="1006"/>
        <w:gridCol w:w="1006"/>
        <w:gridCol w:w="1006"/>
        <w:gridCol w:w="1009"/>
      </w:tblGrid>
      <w:tr w:rsidR="00697429" w:rsidRPr="00092862" w14:paraId="71982C43" w14:textId="77777777" w:rsidTr="008A7FCD">
        <w:trPr>
          <w:jc w:val="center"/>
        </w:trPr>
        <w:tc>
          <w:tcPr>
            <w:tcW w:w="1967" w:type="pct"/>
            <w:vMerge w:val="restart"/>
            <w:vAlign w:val="center"/>
          </w:tcPr>
          <w:p w14:paraId="2500872A" w14:textId="77777777" w:rsidR="008A7FCD" w:rsidRPr="00092862" w:rsidRDefault="008A7FCD" w:rsidP="006142B6">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监测因子</w:t>
            </w:r>
          </w:p>
        </w:tc>
        <w:tc>
          <w:tcPr>
            <w:tcW w:w="3033" w:type="pct"/>
            <w:gridSpan w:val="5"/>
            <w:vAlign w:val="center"/>
          </w:tcPr>
          <w:p w14:paraId="204E296E" w14:textId="77777777" w:rsidR="008A7FCD" w:rsidRPr="00092862" w:rsidRDefault="008A7FCD" w:rsidP="006142B6">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监测点位及时间、监测结果</w:t>
            </w:r>
          </w:p>
        </w:tc>
      </w:tr>
      <w:tr w:rsidR="00697429" w:rsidRPr="00092862" w14:paraId="3EA8BC0B" w14:textId="77777777" w:rsidTr="008A7FCD">
        <w:trPr>
          <w:jc w:val="center"/>
        </w:trPr>
        <w:tc>
          <w:tcPr>
            <w:tcW w:w="1967" w:type="pct"/>
            <w:vMerge/>
            <w:vAlign w:val="center"/>
          </w:tcPr>
          <w:p w14:paraId="1C6F8EB3" w14:textId="77777777" w:rsidR="008A7FCD" w:rsidRPr="00092862" w:rsidRDefault="008A7FCD" w:rsidP="00AA3CE0">
            <w:pPr>
              <w:adjustRightInd w:val="0"/>
              <w:snapToGrid w:val="0"/>
              <w:jc w:val="center"/>
              <w:rPr>
                <w:rFonts w:ascii="Times New Roman" w:hAnsi="Times New Roman" w:cs="Times New Roman"/>
                <w:color w:val="000000" w:themeColor="text1"/>
                <w:szCs w:val="21"/>
              </w:rPr>
            </w:pPr>
          </w:p>
        </w:tc>
        <w:tc>
          <w:tcPr>
            <w:tcW w:w="607" w:type="pct"/>
            <w:vAlign w:val="center"/>
          </w:tcPr>
          <w:p w14:paraId="7EC239A6" w14:textId="4162F0CB" w:rsidR="008A7FCD" w:rsidRPr="00092862" w:rsidRDefault="008A7FCD" w:rsidP="00AA3CE0">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w:t>
            </w:r>
          </w:p>
        </w:tc>
        <w:tc>
          <w:tcPr>
            <w:tcW w:w="606" w:type="pct"/>
            <w:vAlign w:val="center"/>
          </w:tcPr>
          <w:p w14:paraId="7C2A8039" w14:textId="46BEC882" w:rsidR="008A7FCD" w:rsidRPr="00092862" w:rsidRDefault="008A7FCD" w:rsidP="00AA3CE0">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w:t>
            </w:r>
          </w:p>
        </w:tc>
        <w:tc>
          <w:tcPr>
            <w:tcW w:w="606" w:type="pct"/>
            <w:vAlign w:val="center"/>
          </w:tcPr>
          <w:p w14:paraId="058612B5" w14:textId="709D13AD" w:rsidR="008A7FCD" w:rsidRPr="00092862" w:rsidRDefault="008A7FCD" w:rsidP="00AA3CE0">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w:t>
            </w:r>
          </w:p>
        </w:tc>
        <w:tc>
          <w:tcPr>
            <w:tcW w:w="606" w:type="pct"/>
            <w:vAlign w:val="center"/>
          </w:tcPr>
          <w:p w14:paraId="038850F2" w14:textId="264ED14E" w:rsidR="008A7FCD" w:rsidRPr="00092862" w:rsidRDefault="008A7FCD" w:rsidP="00AA3CE0">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w:t>
            </w:r>
          </w:p>
        </w:tc>
        <w:tc>
          <w:tcPr>
            <w:tcW w:w="608" w:type="pct"/>
            <w:vAlign w:val="center"/>
          </w:tcPr>
          <w:p w14:paraId="6E013059" w14:textId="40D0CB25" w:rsidR="008A7FCD" w:rsidRPr="00092862" w:rsidRDefault="008A7FCD" w:rsidP="00AA3CE0">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w:t>
            </w:r>
          </w:p>
        </w:tc>
      </w:tr>
      <w:tr w:rsidR="00697429" w:rsidRPr="00092862" w14:paraId="4DBB1B31" w14:textId="77777777" w:rsidTr="008A7FCD">
        <w:trPr>
          <w:jc w:val="center"/>
        </w:trPr>
        <w:tc>
          <w:tcPr>
            <w:tcW w:w="1967" w:type="pct"/>
            <w:vMerge/>
            <w:vAlign w:val="center"/>
          </w:tcPr>
          <w:p w14:paraId="30735B29" w14:textId="77777777" w:rsidR="008A7FCD" w:rsidRPr="00092862" w:rsidRDefault="008A7FCD" w:rsidP="00AA3CE0">
            <w:pPr>
              <w:adjustRightInd w:val="0"/>
              <w:snapToGrid w:val="0"/>
              <w:jc w:val="center"/>
              <w:rPr>
                <w:rFonts w:ascii="Times New Roman" w:hAnsi="Times New Roman" w:cs="Times New Roman"/>
                <w:color w:val="000000" w:themeColor="text1"/>
                <w:szCs w:val="21"/>
              </w:rPr>
            </w:pPr>
          </w:p>
        </w:tc>
        <w:tc>
          <w:tcPr>
            <w:tcW w:w="3033" w:type="pct"/>
            <w:gridSpan w:val="5"/>
            <w:vAlign w:val="center"/>
          </w:tcPr>
          <w:p w14:paraId="036ED3AC" w14:textId="3D8DAEDD" w:rsidR="008A7FCD" w:rsidRPr="00092862" w:rsidRDefault="008A7FCD" w:rsidP="00AA3CE0">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2022.</w:t>
            </w:r>
            <w:r w:rsidR="006018A6" w:rsidRPr="00092862">
              <w:rPr>
                <w:rFonts w:ascii="Times New Roman" w:hAnsi="Times New Roman" w:cs="Times New Roman"/>
                <w:color w:val="000000" w:themeColor="text1"/>
                <w:szCs w:val="21"/>
              </w:rPr>
              <w:t>10</w:t>
            </w:r>
            <w:r w:rsidRPr="00092862">
              <w:rPr>
                <w:rFonts w:ascii="Times New Roman" w:hAnsi="Times New Roman" w:cs="Times New Roman"/>
                <w:color w:val="000000" w:themeColor="text1"/>
                <w:szCs w:val="21"/>
              </w:rPr>
              <w:t>.1</w:t>
            </w:r>
            <w:r w:rsidR="006018A6" w:rsidRPr="00092862">
              <w:rPr>
                <w:rFonts w:ascii="Times New Roman" w:hAnsi="Times New Roman" w:cs="Times New Roman"/>
                <w:color w:val="000000" w:themeColor="text1"/>
                <w:szCs w:val="21"/>
              </w:rPr>
              <w:t>5</w:t>
            </w:r>
          </w:p>
        </w:tc>
      </w:tr>
      <w:tr w:rsidR="00697429" w:rsidRPr="00092862" w14:paraId="21A38A9F" w14:textId="77777777" w:rsidTr="008A7FCD">
        <w:trPr>
          <w:jc w:val="center"/>
        </w:trPr>
        <w:tc>
          <w:tcPr>
            <w:tcW w:w="5000" w:type="pct"/>
            <w:gridSpan w:val="6"/>
            <w:vAlign w:val="center"/>
          </w:tcPr>
          <w:p w14:paraId="6A42D99F" w14:textId="77777777" w:rsidR="00B94944" w:rsidRPr="00092862" w:rsidRDefault="00B94944" w:rsidP="001D0D0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监测结果（</w:t>
            </w:r>
            <w:r w:rsidRPr="00092862">
              <w:rPr>
                <w:rFonts w:ascii="Times New Roman" w:hAnsi="Times New Roman" w:cs="Times New Roman"/>
                <w:color w:val="000000" w:themeColor="text1"/>
                <w:szCs w:val="21"/>
              </w:rPr>
              <w:t>mg/l</w:t>
            </w:r>
            <w:r w:rsidRPr="00092862">
              <w:rPr>
                <w:rFonts w:ascii="Times New Roman" w:hAnsi="Times New Roman" w:cs="Times New Roman"/>
                <w:color w:val="000000" w:themeColor="text1"/>
                <w:szCs w:val="21"/>
              </w:rPr>
              <w:t>）</w:t>
            </w:r>
          </w:p>
        </w:tc>
      </w:tr>
      <w:tr w:rsidR="00697429" w:rsidRPr="00092862" w14:paraId="6F167D3F" w14:textId="77777777" w:rsidTr="008A7FCD">
        <w:trPr>
          <w:jc w:val="center"/>
        </w:trPr>
        <w:tc>
          <w:tcPr>
            <w:tcW w:w="1967" w:type="pct"/>
            <w:vAlign w:val="center"/>
          </w:tcPr>
          <w:p w14:paraId="1A09B1C8" w14:textId="456CA3A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钾</w:t>
            </w:r>
          </w:p>
        </w:tc>
        <w:tc>
          <w:tcPr>
            <w:tcW w:w="607" w:type="pct"/>
            <w:vAlign w:val="center"/>
          </w:tcPr>
          <w:p w14:paraId="00F60C18" w14:textId="2A41056B"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5.94</w:t>
            </w:r>
          </w:p>
        </w:tc>
        <w:tc>
          <w:tcPr>
            <w:tcW w:w="606" w:type="pct"/>
            <w:vAlign w:val="center"/>
          </w:tcPr>
          <w:p w14:paraId="7A3A9E4D" w14:textId="3D09B298"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8.26</w:t>
            </w:r>
          </w:p>
        </w:tc>
        <w:tc>
          <w:tcPr>
            <w:tcW w:w="606" w:type="pct"/>
            <w:vAlign w:val="center"/>
          </w:tcPr>
          <w:p w14:paraId="35D7E8E9" w14:textId="5EB9A3DE"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7.8</w:t>
            </w:r>
          </w:p>
        </w:tc>
        <w:tc>
          <w:tcPr>
            <w:tcW w:w="606" w:type="pct"/>
            <w:vAlign w:val="center"/>
          </w:tcPr>
          <w:p w14:paraId="370EF81B" w14:textId="43D3D01A"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6.45</w:t>
            </w:r>
          </w:p>
        </w:tc>
        <w:tc>
          <w:tcPr>
            <w:tcW w:w="608" w:type="pct"/>
            <w:vAlign w:val="center"/>
          </w:tcPr>
          <w:p w14:paraId="043E8F92" w14:textId="5137E2F0"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4.96</w:t>
            </w:r>
          </w:p>
        </w:tc>
      </w:tr>
      <w:tr w:rsidR="00697429" w:rsidRPr="00092862" w14:paraId="3FC84FCE" w14:textId="77777777" w:rsidTr="008A7FCD">
        <w:trPr>
          <w:jc w:val="center"/>
        </w:trPr>
        <w:tc>
          <w:tcPr>
            <w:tcW w:w="1967" w:type="pct"/>
            <w:vAlign w:val="center"/>
          </w:tcPr>
          <w:p w14:paraId="4CCFD658" w14:textId="73CF1A6D"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钠</w:t>
            </w:r>
          </w:p>
        </w:tc>
        <w:tc>
          <w:tcPr>
            <w:tcW w:w="607" w:type="pct"/>
            <w:vAlign w:val="center"/>
          </w:tcPr>
          <w:p w14:paraId="5C5EBC91" w14:textId="224CF434"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4.32</w:t>
            </w:r>
          </w:p>
        </w:tc>
        <w:tc>
          <w:tcPr>
            <w:tcW w:w="606" w:type="pct"/>
            <w:vAlign w:val="center"/>
          </w:tcPr>
          <w:p w14:paraId="3974F545" w14:textId="23DC10E6"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6.54</w:t>
            </w:r>
          </w:p>
        </w:tc>
        <w:tc>
          <w:tcPr>
            <w:tcW w:w="606" w:type="pct"/>
            <w:vAlign w:val="center"/>
          </w:tcPr>
          <w:p w14:paraId="56F235CD" w14:textId="5FC2532E"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5.95</w:t>
            </w:r>
          </w:p>
        </w:tc>
        <w:tc>
          <w:tcPr>
            <w:tcW w:w="606" w:type="pct"/>
            <w:vAlign w:val="center"/>
          </w:tcPr>
          <w:p w14:paraId="2506DC3B" w14:textId="3F5CAA12"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2.93</w:t>
            </w:r>
          </w:p>
        </w:tc>
        <w:tc>
          <w:tcPr>
            <w:tcW w:w="608" w:type="pct"/>
            <w:vAlign w:val="center"/>
          </w:tcPr>
          <w:p w14:paraId="40B01FFF" w14:textId="5FC0DAC2"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1.8</w:t>
            </w:r>
          </w:p>
        </w:tc>
      </w:tr>
      <w:tr w:rsidR="00697429" w:rsidRPr="00092862" w14:paraId="433568CA" w14:textId="77777777" w:rsidTr="008A7FCD">
        <w:trPr>
          <w:jc w:val="center"/>
        </w:trPr>
        <w:tc>
          <w:tcPr>
            <w:tcW w:w="1967" w:type="pct"/>
            <w:vAlign w:val="center"/>
          </w:tcPr>
          <w:p w14:paraId="02AA6755" w14:textId="7777777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钙</w:t>
            </w:r>
          </w:p>
        </w:tc>
        <w:tc>
          <w:tcPr>
            <w:tcW w:w="607" w:type="pct"/>
            <w:vAlign w:val="center"/>
          </w:tcPr>
          <w:p w14:paraId="5E4AE505" w14:textId="48D88A69"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14.3</w:t>
            </w:r>
          </w:p>
        </w:tc>
        <w:tc>
          <w:tcPr>
            <w:tcW w:w="606" w:type="pct"/>
            <w:vAlign w:val="center"/>
          </w:tcPr>
          <w:p w14:paraId="7A40D30C" w14:textId="0ECE89AE"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78.7</w:t>
            </w:r>
          </w:p>
        </w:tc>
        <w:tc>
          <w:tcPr>
            <w:tcW w:w="606" w:type="pct"/>
            <w:vAlign w:val="center"/>
          </w:tcPr>
          <w:p w14:paraId="23ED6939" w14:textId="7710B93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11.3</w:t>
            </w:r>
          </w:p>
        </w:tc>
        <w:tc>
          <w:tcPr>
            <w:tcW w:w="606" w:type="pct"/>
            <w:vAlign w:val="center"/>
          </w:tcPr>
          <w:p w14:paraId="65EA7EE7" w14:textId="3C5CC17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19.6</w:t>
            </w:r>
          </w:p>
        </w:tc>
        <w:tc>
          <w:tcPr>
            <w:tcW w:w="608" w:type="pct"/>
            <w:vAlign w:val="center"/>
          </w:tcPr>
          <w:p w14:paraId="1C715778" w14:textId="676B3E96"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56</w:t>
            </w:r>
          </w:p>
        </w:tc>
      </w:tr>
      <w:tr w:rsidR="00697429" w:rsidRPr="00092862" w14:paraId="6DDCEB5D" w14:textId="77777777" w:rsidTr="008A7FCD">
        <w:trPr>
          <w:jc w:val="center"/>
        </w:trPr>
        <w:tc>
          <w:tcPr>
            <w:tcW w:w="1967" w:type="pct"/>
            <w:vAlign w:val="center"/>
          </w:tcPr>
          <w:p w14:paraId="7301F12F" w14:textId="7777777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镁</w:t>
            </w:r>
          </w:p>
        </w:tc>
        <w:tc>
          <w:tcPr>
            <w:tcW w:w="607" w:type="pct"/>
            <w:vAlign w:val="center"/>
          </w:tcPr>
          <w:p w14:paraId="2C8E962E" w14:textId="3BBDEC02"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0.56</w:t>
            </w:r>
          </w:p>
        </w:tc>
        <w:tc>
          <w:tcPr>
            <w:tcW w:w="606" w:type="pct"/>
            <w:vAlign w:val="center"/>
          </w:tcPr>
          <w:p w14:paraId="75243128" w14:textId="0CFDE475"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1.03</w:t>
            </w:r>
          </w:p>
        </w:tc>
        <w:tc>
          <w:tcPr>
            <w:tcW w:w="606" w:type="pct"/>
            <w:vAlign w:val="center"/>
          </w:tcPr>
          <w:p w14:paraId="087ED28E" w14:textId="720F425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1.04</w:t>
            </w:r>
          </w:p>
        </w:tc>
        <w:tc>
          <w:tcPr>
            <w:tcW w:w="606" w:type="pct"/>
            <w:vAlign w:val="center"/>
          </w:tcPr>
          <w:p w14:paraId="0460515B" w14:textId="5FFE718A"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1.44</w:t>
            </w:r>
          </w:p>
        </w:tc>
        <w:tc>
          <w:tcPr>
            <w:tcW w:w="608" w:type="pct"/>
            <w:vAlign w:val="center"/>
          </w:tcPr>
          <w:p w14:paraId="57C2F925" w14:textId="5C7CA5B5"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1.12</w:t>
            </w:r>
          </w:p>
        </w:tc>
      </w:tr>
      <w:tr w:rsidR="00697429" w:rsidRPr="00092862" w14:paraId="3CA03B5D" w14:textId="77777777" w:rsidTr="008A7FCD">
        <w:trPr>
          <w:jc w:val="center"/>
        </w:trPr>
        <w:tc>
          <w:tcPr>
            <w:tcW w:w="1967" w:type="pct"/>
            <w:vAlign w:val="center"/>
          </w:tcPr>
          <w:p w14:paraId="4F3E3057" w14:textId="7777777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碳酸根</w:t>
            </w:r>
          </w:p>
        </w:tc>
        <w:tc>
          <w:tcPr>
            <w:tcW w:w="607" w:type="pct"/>
            <w:vAlign w:val="center"/>
          </w:tcPr>
          <w:p w14:paraId="1FD166A1" w14:textId="15636C4D"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w:t>
            </w:r>
          </w:p>
        </w:tc>
        <w:tc>
          <w:tcPr>
            <w:tcW w:w="606" w:type="pct"/>
            <w:vAlign w:val="center"/>
          </w:tcPr>
          <w:p w14:paraId="3F5AECFB" w14:textId="31FAE919"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w:t>
            </w:r>
          </w:p>
        </w:tc>
        <w:tc>
          <w:tcPr>
            <w:tcW w:w="606" w:type="pct"/>
            <w:vAlign w:val="center"/>
          </w:tcPr>
          <w:p w14:paraId="1E421F65" w14:textId="5DEBADB4"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w:t>
            </w:r>
          </w:p>
        </w:tc>
        <w:tc>
          <w:tcPr>
            <w:tcW w:w="606" w:type="pct"/>
            <w:vAlign w:val="center"/>
          </w:tcPr>
          <w:p w14:paraId="69BB20BC" w14:textId="79D14CC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w:t>
            </w:r>
          </w:p>
        </w:tc>
        <w:tc>
          <w:tcPr>
            <w:tcW w:w="608" w:type="pct"/>
            <w:vAlign w:val="center"/>
          </w:tcPr>
          <w:p w14:paraId="19892013" w14:textId="26F17385"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w:t>
            </w:r>
          </w:p>
        </w:tc>
      </w:tr>
      <w:tr w:rsidR="00697429" w:rsidRPr="00092862" w14:paraId="18776B0E" w14:textId="77777777" w:rsidTr="008A7FCD">
        <w:trPr>
          <w:jc w:val="center"/>
        </w:trPr>
        <w:tc>
          <w:tcPr>
            <w:tcW w:w="1967" w:type="pct"/>
            <w:vAlign w:val="center"/>
          </w:tcPr>
          <w:p w14:paraId="6A123D0B" w14:textId="77777777" w:rsidR="00D35EC4" w:rsidRPr="00092862" w:rsidRDefault="00D35EC4"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重碳酸根</w:t>
            </w:r>
          </w:p>
        </w:tc>
        <w:tc>
          <w:tcPr>
            <w:tcW w:w="607" w:type="pct"/>
            <w:vAlign w:val="center"/>
          </w:tcPr>
          <w:p w14:paraId="58BCBC2A" w14:textId="0B87BD5E" w:rsidR="00D35EC4" w:rsidRPr="00092862" w:rsidRDefault="008C00B1"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18</w:t>
            </w:r>
          </w:p>
        </w:tc>
        <w:tc>
          <w:tcPr>
            <w:tcW w:w="606" w:type="pct"/>
            <w:vAlign w:val="center"/>
          </w:tcPr>
          <w:p w14:paraId="5B8B8A0C" w14:textId="00D11C4A" w:rsidR="00D35EC4" w:rsidRPr="00092862" w:rsidRDefault="008C00B1"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128</w:t>
            </w:r>
          </w:p>
        </w:tc>
        <w:tc>
          <w:tcPr>
            <w:tcW w:w="606" w:type="pct"/>
            <w:vAlign w:val="center"/>
          </w:tcPr>
          <w:p w14:paraId="133BD2B1" w14:textId="644E1C53" w:rsidR="00D35EC4" w:rsidRPr="00092862" w:rsidRDefault="008C00B1"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23</w:t>
            </w:r>
          </w:p>
        </w:tc>
        <w:tc>
          <w:tcPr>
            <w:tcW w:w="606" w:type="pct"/>
            <w:vAlign w:val="center"/>
          </w:tcPr>
          <w:p w14:paraId="790E8C17" w14:textId="09D5A249" w:rsidR="00D35EC4" w:rsidRPr="00092862" w:rsidRDefault="008C00B1"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17</w:t>
            </w:r>
          </w:p>
        </w:tc>
        <w:tc>
          <w:tcPr>
            <w:tcW w:w="608" w:type="pct"/>
            <w:vAlign w:val="center"/>
          </w:tcPr>
          <w:p w14:paraId="1E96C104" w14:textId="2E837990" w:rsidR="00D35EC4" w:rsidRPr="00092862" w:rsidRDefault="008C00B1" w:rsidP="00D35EC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128</w:t>
            </w:r>
          </w:p>
        </w:tc>
      </w:tr>
      <w:tr w:rsidR="008C00B1" w:rsidRPr="00092862" w14:paraId="00C34871" w14:textId="77777777" w:rsidTr="008A7FCD">
        <w:trPr>
          <w:jc w:val="center"/>
        </w:trPr>
        <w:tc>
          <w:tcPr>
            <w:tcW w:w="1967" w:type="pct"/>
            <w:vAlign w:val="center"/>
          </w:tcPr>
          <w:p w14:paraId="3852BF32" w14:textId="39D2FA8B"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氯化物</w:t>
            </w:r>
          </w:p>
        </w:tc>
        <w:tc>
          <w:tcPr>
            <w:tcW w:w="607" w:type="pct"/>
            <w:vAlign w:val="center"/>
          </w:tcPr>
          <w:p w14:paraId="597DA31A" w14:textId="58F55627"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12</w:t>
            </w:r>
          </w:p>
        </w:tc>
        <w:tc>
          <w:tcPr>
            <w:tcW w:w="606" w:type="pct"/>
            <w:vAlign w:val="center"/>
          </w:tcPr>
          <w:p w14:paraId="43E6F04A" w14:textId="161D850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24.4</w:t>
            </w:r>
          </w:p>
        </w:tc>
        <w:tc>
          <w:tcPr>
            <w:tcW w:w="606" w:type="pct"/>
            <w:vAlign w:val="center"/>
          </w:tcPr>
          <w:p w14:paraId="0D9D2A8A" w14:textId="63DE264D"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6.09</w:t>
            </w:r>
          </w:p>
        </w:tc>
        <w:tc>
          <w:tcPr>
            <w:tcW w:w="606" w:type="pct"/>
            <w:vAlign w:val="center"/>
          </w:tcPr>
          <w:p w14:paraId="6175B9EF" w14:textId="6CBD3EF2"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11.5</w:t>
            </w:r>
          </w:p>
        </w:tc>
        <w:tc>
          <w:tcPr>
            <w:tcW w:w="608" w:type="pct"/>
            <w:vAlign w:val="center"/>
          </w:tcPr>
          <w:p w14:paraId="1EF038E4" w14:textId="3FFAA964"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6.04</w:t>
            </w:r>
          </w:p>
        </w:tc>
      </w:tr>
      <w:tr w:rsidR="008C00B1" w:rsidRPr="00092862" w14:paraId="6479178C" w14:textId="77777777" w:rsidTr="008A7FCD">
        <w:trPr>
          <w:jc w:val="center"/>
        </w:trPr>
        <w:tc>
          <w:tcPr>
            <w:tcW w:w="1967" w:type="pct"/>
            <w:vAlign w:val="center"/>
          </w:tcPr>
          <w:p w14:paraId="5EBEC0B6" w14:textId="23CFC706"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硫酸盐</w:t>
            </w:r>
          </w:p>
        </w:tc>
        <w:tc>
          <w:tcPr>
            <w:tcW w:w="607" w:type="pct"/>
            <w:vAlign w:val="center"/>
          </w:tcPr>
          <w:p w14:paraId="56F3DFA8" w14:textId="5A59AEC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12</w:t>
            </w:r>
          </w:p>
        </w:tc>
        <w:tc>
          <w:tcPr>
            <w:tcW w:w="606" w:type="pct"/>
            <w:vAlign w:val="center"/>
          </w:tcPr>
          <w:p w14:paraId="64D817A8" w14:textId="065F610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26.1</w:t>
            </w:r>
          </w:p>
        </w:tc>
        <w:tc>
          <w:tcPr>
            <w:tcW w:w="606" w:type="pct"/>
            <w:vAlign w:val="center"/>
          </w:tcPr>
          <w:p w14:paraId="511069E3" w14:textId="580B608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23.2</w:t>
            </w:r>
          </w:p>
        </w:tc>
        <w:tc>
          <w:tcPr>
            <w:tcW w:w="606" w:type="pct"/>
            <w:vAlign w:val="center"/>
          </w:tcPr>
          <w:p w14:paraId="7DBB0BD8" w14:textId="2370C96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12.8</w:t>
            </w:r>
          </w:p>
        </w:tc>
        <w:tc>
          <w:tcPr>
            <w:tcW w:w="608" w:type="pct"/>
            <w:vAlign w:val="center"/>
          </w:tcPr>
          <w:p w14:paraId="58B64B71" w14:textId="7756D47D"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rPr>
              <w:t>12.9</w:t>
            </w:r>
          </w:p>
        </w:tc>
      </w:tr>
      <w:tr w:rsidR="00697429" w:rsidRPr="00092862" w14:paraId="5E0D0574" w14:textId="77777777" w:rsidTr="008A7FCD">
        <w:trPr>
          <w:jc w:val="center"/>
        </w:trPr>
        <w:tc>
          <w:tcPr>
            <w:tcW w:w="5000" w:type="pct"/>
            <w:gridSpan w:val="6"/>
            <w:vAlign w:val="center"/>
          </w:tcPr>
          <w:p w14:paraId="5A788ED9" w14:textId="77777777" w:rsidR="006018A6" w:rsidRPr="00092862" w:rsidRDefault="006018A6" w:rsidP="006018A6">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当量浓度（</w:t>
            </w:r>
            <w:r w:rsidRPr="00092862">
              <w:rPr>
                <w:rFonts w:ascii="Times New Roman" w:hAnsi="Times New Roman" w:cs="Times New Roman"/>
                <w:color w:val="000000" w:themeColor="text1"/>
                <w:szCs w:val="21"/>
              </w:rPr>
              <w:t>meq/L</w:t>
            </w:r>
            <w:r w:rsidRPr="00092862">
              <w:rPr>
                <w:rFonts w:ascii="Times New Roman" w:hAnsi="Times New Roman" w:cs="Times New Roman"/>
                <w:color w:val="000000" w:themeColor="text1"/>
                <w:szCs w:val="21"/>
              </w:rPr>
              <w:t>）</w:t>
            </w:r>
          </w:p>
        </w:tc>
      </w:tr>
      <w:tr w:rsidR="008C00B1" w:rsidRPr="00092862" w14:paraId="5082797F" w14:textId="77777777" w:rsidTr="008A7FCD">
        <w:trPr>
          <w:jc w:val="center"/>
        </w:trPr>
        <w:tc>
          <w:tcPr>
            <w:tcW w:w="1967" w:type="pct"/>
            <w:vAlign w:val="center"/>
          </w:tcPr>
          <w:p w14:paraId="34971F30" w14:textId="32CD463B"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钠</w:t>
            </w:r>
          </w:p>
        </w:tc>
        <w:tc>
          <w:tcPr>
            <w:tcW w:w="607" w:type="pct"/>
            <w:vAlign w:val="center"/>
          </w:tcPr>
          <w:p w14:paraId="24944B6E" w14:textId="619B9F77"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0.15 </w:t>
            </w:r>
          </w:p>
        </w:tc>
        <w:tc>
          <w:tcPr>
            <w:tcW w:w="606" w:type="pct"/>
            <w:vAlign w:val="center"/>
          </w:tcPr>
          <w:p w14:paraId="681E9061" w14:textId="2ECCEB2A"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0.21 </w:t>
            </w:r>
          </w:p>
        </w:tc>
        <w:tc>
          <w:tcPr>
            <w:tcW w:w="606" w:type="pct"/>
            <w:vAlign w:val="center"/>
          </w:tcPr>
          <w:p w14:paraId="7795B5C6" w14:textId="25316CE7"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0.20 </w:t>
            </w:r>
          </w:p>
        </w:tc>
        <w:tc>
          <w:tcPr>
            <w:tcW w:w="606" w:type="pct"/>
            <w:vAlign w:val="center"/>
          </w:tcPr>
          <w:p w14:paraId="456B5348" w14:textId="4A349B5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0.17 </w:t>
            </w:r>
          </w:p>
        </w:tc>
        <w:tc>
          <w:tcPr>
            <w:tcW w:w="608" w:type="pct"/>
            <w:vAlign w:val="center"/>
          </w:tcPr>
          <w:p w14:paraId="03077790" w14:textId="641D04EA"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0.13 </w:t>
            </w:r>
          </w:p>
        </w:tc>
      </w:tr>
      <w:tr w:rsidR="008C00B1" w:rsidRPr="00092862" w14:paraId="334A525B" w14:textId="77777777" w:rsidTr="008A7FCD">
        <w:trPr>
          <w:jc w:val="center"/>
        </w:trPr>
        <w:tc>
          <w:tcPr>
            <w:tcW w:w="1967" w:type="pct"/>
            <w:vAlign w:val="center"/>
          </w:tcPr>
          <w:p w14:paraId="1E6FD82B" w14:textId="50EDF692"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钾</w:t>
            </w:r>
          </w:p>
        </w:tc>
        <w:tc>
          <w:tcPr>
            <w:tcW w:w="607" w:type="pct"/>
            <w:vAlign w:val="center"/>
          </w:tcPr>
          <w:p w14:paraId="43C4A424" w14:textId="48525ED9" w:rsidR="008C00B1" w:rsidRPr="00092862" w:rsidRDefault="008C00B1" w:rsidP="008C00B1">
            <w:pPr>
              <w:jc w:val="center"/>
              <w:rPr>
                <w:rFonts w:ascii="Times New Roman" w:hAnsi="Times New Roman" w:cs="Times New Roman"/>
                <w:color w:val="000000" w:themeColor="text1"/>
              </w:rPr>
            </w:pPr>
            <w:r w:rsidRPr="00092862">
              <w:rPr>
                <w:rFonts w:ascii="Times New Roman" w:hAnsi="Times New Roman" w:cs="Times New Roman"/>
                <w:color w:val="000000"/>
                <w:szCs w:val="21"/>
              </w:rPr>
              <w:t xml:space="preserve">0.19 </w:t>
            </w:r>
          </w:p>
        </w:tc>
        <w:tc>
          <w:tcPr>
            <w:tcW w:w="606" w:type="pct"/>
            <w:vAlign w:val="center"/>
          </w:tcPr>
          <w:p w14:paraId="69D9CD98" w14:textId="1B0D7C82" w:rsidR="008C00B1" w:rsidRPr="00092862" w:rsidRDefault="008C00B1" w:rsidP="008C00B1">
            <w:pPr>
              <w:jc w:val="center"/>
              <w:rPr>
                <w:rFonts w:ascii="Times New Roman" w:hAnsi="Times New Roman" w:cs="Times New Roman"/>
                <w:color w:val="000000" w:themeColor="text1"/>
              </w:rPr>
            </w:pPr>
            <w:r w:rsidRPr="00092862">
              <w:rPr>
                <w:rFonts w:ascii="Times New Roman" w:hAnsi="Times New Roman" w:cs="Times New Roman"/>
                <w:color w:val="000000"/>
                <w:szCs w:val="21"/>
              </w:rPr>
              <w:t xml:space="preserve">0.28 </w:t>
            </w:r>
          </w:p>
        </w:tc>
        <w:tc>
          <w:tcPr>
            <w:tcW w:w="606" w:type="pct"/>
            <w:vAlign w:val="center"/>
          </w:tcPr>
          <w:p w14:paraId="63B13C39" w14:textId="6F6E3A40" w:rsidR="008C00B1" w:rsidRPr="00092862" w:rsidRDefault="008C00B1" w:rsidP="008C00B1">
            <w:pPr>
              <w:jc w:val="center"/>
              <w:rPr>
                <w:rFonts w:ascii="Times New Roman" w:hAnsi="Times New Roman" w:cs="Times New Roman"/>
                <w:color w:val="000000" w:themeColor="text1"/>
              </w:rPr>
            </w:pPr>
            <w:r w:rsidRPr="00092862">
              <w:rPr>
                <w:rFonts w:ascii="Times New Roman" w:hAnsi="Times New Roman" w:cs="Times New Roman"/>
                <w:color w:val="000000"/>
                <w:szCs w:val="21"/>
              </w:rPr>
              <w:t xml:space="preserve">0.26 </w:t>
            </w:r>
          </w:p>
        </w:tc>
        <w:tc>
          <w:tcPr>
            <w:tcW w:w="606" w:type="pct"/>
            <w:vAlign w:val="center"/>
          </w:tcPr>
          <w:p w14:paraId="21604827" w14:textId="72BD9DD6" w:rsidR="008C00B1" w:rsidRPr="00092862" w:rsidRDefault="008C00B1" w:rsidP="008C00B1">
            <w:pPr>
              <w:jc w:val="center"/>
              <w:rPr>
                <w:rFonts w:ascii="Times New Roman" w:hAnsi="Times New Roman" w:cs="Times New Roman"/>
                <w:color w:val="000000" w:themeColor="text1"/>
              </w:rPr>
            </w:pPr>
            <w:r w:rsidRPr="00092862">
              <w:rPr>
                <w:rFonts w:ascii="Times New Roman" w:hAnsi="Times New Roman" w:cs="Times New Roman"/>
                <w:color w:val="000000"/>
                <w:szCs w:val="21"/>
              </w:rPr>
              <w:t xml:space="preserve">0.13 </w:t>
            </w:r>
          </w:p>
        </w:tc>
        <w:tc>
          <w:tcPr>
            <w:tcW w:w="608" w:type="pct"/>
            <w:vAlign w:val="center"/>
          </w:tcPr>
          <w:p w14:paraId="05BCB3CC" w14:textId="6F5D0CDB" w:rsidR="008C00B1" w:rsidRPr="00092862" w:rsidRDefault="008C00B1" w:rsidP="008C00B1">
            <w:pPr>
              <w:jc w:val="center"/>
              <w:rPr>
                <w:rFonts w:ascii="Times New Roman" w:hAnsi="Times New Roman" w:cs="Times New Roman"/>
                <w:color w:val="000000" w:themeColor="text1"/>
              </w:rPr>
            </w:pPr>
            <w:r w:rsidRPr="00092862">
              <w:rPr>
                <w:rFonts w:ascii="Times New Roman" w:hAnsi="Times New Roman" w:cs="Times New Roman"/>
                <w:color w:val="000000"/>
                <w:szCs w:val="21"/>
              </w:rPr>
              <w:t xml:space="preserve">0.08 </w:t>
            </w:r>
          </w:p>
        </w:tc>
      </w:tr>
      <w:tr w:rsidR="008C00B1" w:rsidRPr="00092862" w14:paraId="0CCEE49B" w14:textId="77777777" w:rsidTr="008A7FCD">
        <w:trPr>
          <w:jc w:val="center"/>
        </w:trPr>
        <w:tc>
          <w:tcPr>
            <w:tcW w:w="1967" w:type="pct"/>
            <w:vAlign w:val="center"/>
          </w:tcPr>
          <w:p w14:paraId="387BE118" w14:textId="77777777"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钙</w:t>
            </w:r>
          </w:p>
        </w:tc>
        <w:tc>
          <w:tcPr>
            <w:tcW w:w="607" w:type="pct"/>
            <w:vAlign w:val="center"/>
          </w:tcPr>
          <w:p w14:paraId="03772C0A" w14:textId="5BAE7B62"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0.72 </w:t>
            </w:r>
          </w:p>
        </w:tc>
        <w:tc>
          <w:tcPr>
            <w:tcW w:w="606" w:type="pct"/>
            <w:vAlign w:val="center"/>
          </w:tcPr>
          <w:p w14:paraId="0DE138B4" w14:textId="1BE33CF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3.94 </w:t>
            </w:r>
          </w:p>
        </w:tc>
        <w:tc>
          <w:tcPr>
            <w:tcW w:w="606" w:type="pct"/>
            <w:vAlign w:val="center"/>
          </w:tcPr>
          <w:p w14:paraId="1449064B" w14:textId="7553471D"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0.57 </w:t>
            </w:r>
          </w:p>
        </w:tc>
        <w:tc>
          <w:tcPr>
            <w:tcW w:w="606" w:type="pct"/>
            <w:vAlign w:val="center"/>
          </w:tcPr>
          <w:p w14:paraId="508327DD" w14:textId="146571A7"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0.98 </w:t>
            </w:r>
          </w:p>
        </w:tc>
        <w:tc>
          <w:tcPr>
            <w:tcW w:w="608" w:type="pct"/>
            <w:vAlign w:val="center"/>
          </w:tcPr>
          <w:p w14:paraId="510375E6" w14:textId="4C2D1D4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2.80 </w:t>
            </w:r>
          </w:p>
        </w:tc>
      </w:tr>
      <w:tr w:rsidR="008C00B1" w:rsidRPr="00092862" w14:paraId="5B4817F9" w14:textId="77777777" w:rsidTr="008A7FCD">
        <w:trPr>
          <w:jc w:val="center"/>
        </w:trPr>
        <w:tc>
          <w:tcPr>
            <w:tcW w:w="1967" w:type="pct"/>
            <w:vAlign w:val="center"/>
          </w:tcPr>
          <w:p w14:paraId="7824BEEF" w14:textId="77777777"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镁</w:t>
            </w:r>
          </w:p>
        </w:tc>
        <w:tc>
          <w:tcPr>
            <w:tcW w:w="607" w:type="pct"/>
            <w:vAlign w:val="center"/>
          </w:tcPr>
          <w:p w14:paraId="34BDD29B" w14:textId="5AC9BA7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0.05 </w:t>
            </w:r>
          </w:p>
        </w:tc>
        <w:tc>
          <w:tcPr>
            <w:tcW w:w="606" w:type="pct"/>
            <w:vAlign w:val="center"/>
          </w:tcPr>
          <w:p w14:paraId="714560D8" w14:textId="5915E02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0.09 </w:t>
            </w:r>
          </w:p>
        </w:tc>
        <w:tc>
          <w:tcPr>
            <w:tcW w:w="606" w:type="pct"/>
            <w:vAlign w:val="center"/>
          </w:tcPr>
          <w:p w14:paraId="0DA124D3" w14:textId="7CAED43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0.09 </w:t>
            </w:r>
          </w:p>
        </w:tc>
        <w:tc>
          <w:tcPr>
            <w:tcW w:w="606" w:type="pct"/>
            <w:vAlign w:val="center"/>
          </w:tcPr>
          <w:p w14:paraId="7A0E6AEC" w14:textId="13DD2E16"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0.12 </w:t>
            </w:r>
          </w:p>
        </w:tc>
        <w:tc>
          <w:tcPr>
            <w:tcW w:w="608" w:type="pct"/>
            <w:vAlign w:val="center"/>
          </w:tcPr>
          <w:p w14:paraId="028FA20A" w14:textId="08F10588"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0.09 </w:t>
            </w:r>
          </w:p>
        </w:tc>
      </w:tr>
      <w:tr w:rsidR="008C00B1" w:rsidRPr="00092862" w14:paraId="2FE68A18" w14:textId="77777777" w:rsidTr="008A7FCD">
        <w:trPr>
          <w:jc w:val="center"/>
        </w:trPr>
        <w:tc>
          <w:tcPr>
            <w:tcW w:w="1967" w:type="pct"/>
            <w:vAlign w:val="center"/>
          </w:tcPr>
          <w:p w14:paraId="77CC8A17" w14:textId="77777777"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碳酸根</w:t>
            </w:r>
          </w:p>
        </w:tc>
        <w:tc>
          <w:tcPr>
            <w:tcW w:w="607" w:type="pct"/>
            <w:vAlign w:val="center"/>
          </w:tcPr>
          <w:p w14:paraId="7CDA9501" w14:textId="10F636D2"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0.00 </w:t>
            </w:r>
          </w:p>
        </w:tc>
        <w:tc>
          <w:tcPr>
            <w:tcW w:w="606" w:type="pct"/>
            <w:vAlign w:val="center"/>
          </w:tcPr>
          <w:p w14:paraId="689342EB" w14:textId="682568A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0.00 </w:t>
            </w:r>
          </w:p>
        </w:tc>
        <w:tc>
          <w:tcPr>
            <w:tcW w:w="606" w:type="pct"/>
            <w:vAlign w:val="center"/>
          </w:tcPr>
          <w:p w14:paraId="747B1F70" w14:textId="6D49DF06"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0.00 </w:t>
            </w:r>
          </w:p>
        </w:tc>
        <w:tc>
          <w:tcPr>
            <w:tcW w:w="606" w:type="pct"/>
            <w:vAlign w:val="center"/>
          </w:tcPr>
          <w:p w14:paraId="3272055F" w14:textId="389EA9F8"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0.00 </w:t>
            </w:r>
          </w:p>
        </w:tc>
        <w:tc>
          <w:tcPr>
            <w:tcW w:w="608" w:type="pct"/>
            <w:vAlign w:val="center"/>
          </w:tcPr>
          <w:p w14:paraId="400F8ED0" w14:textId="182AFEBB"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0.00 </w:t>
            </w:r>
          </w:p>
        </w:tc>
      </w:tr>
      <w:tr w:rsidR="008C00B1" w:rsidRPr="00092862" w14:paraId="2CFF7919" w14:textId="77777777" w:rsidTr="008A7FCD">
        <w:trPr>
          <w:jc w:val="center"/>
        </w:trPr>
        <w:tc>
          <w:tcPr>
            <w:tcW w:w="1967" w:type="pct"/>
            <w:vAlign w:val="center"/>
          </w:tcPr>
          <w:p w14:paraId="3A4C8DF7" w14:textId="77777777"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重碳酸根</w:t>
            </w:r>
          </w:p>
        </w:tc>
        <w:tc>
          <w:tcPr>
            <w:tcW w:w="607" w:type="pct"/>
            <w:vAlign w:val="center"/>
          </w:tcPr>
          <w:p w14:paraId="25EF0F01" w14:textId="3EDE82B8"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0.30 </w:t>
            </w:r>
          </w:p>
        </w:tc>
        <w:tc>
          <w:tcPr>
            <w:tcW w:w="606" w:type="pct"/>
            <w:vAlign w:val="center"/>
          </w:tcPr>
          <w:p w14:paraId="5F1F5DC5" w14:textId="1B2766C1"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2.10 </w:t>
            </w:r>
          </w:p>
        </w:tc>
        <w:tc>
          <w:tcPr>
            <w:tcW w:w="606" w:type="pct"/>
            <w:vAlign w:val="center"/>
          </w:tcPr>
          <w:p w14:paraId="515D488D" w14:textId="2CB6E1E3"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0.38 </w:t>
            </w:r>
          </w:p>
        </w:tc>
        <w:tc>
          <w:tcPr>
            <w:tcW w:w="606" w:type="pct"/>
            <w:vAlign w:val="center"/>
          </w:tcPr>
          <w:p w14:paraId="02B517FA" w14:textId="6B5178D6"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0.28 </w:t>
            </w:r>
          </w:p>
        </w:tc>
        <w:tc>
          <w:tcPr>
            <w:tcW w:w="608" w:type="pct"/>
            <w:vAlign w:val="center"/>
          </w:tcPr>
          <w:p w14:paraId="4FC75472" w14:textId="1C18757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2.10 </w:t>
            </w:r>
          </w:p>
        </w:tc>
      </w:tr>
      <w:tr w:rsidR="008C00B1" w:rsidRPr="00092862" w14:paraId="230D61FA" w14:textId="77777777" w:rsidTr="008A7FCD">
        <w:trPr>
          <w:jc w:val="center"/>
        </w:trPr>
        <w:tc>
          <w:tcPr>
            <w:tcW w:w="1967" w:type="pct"/>
            <w:vAlign w:val="center"/>
          </w:tcPr>
          <w:p w14:paraId="5FD58C32" w14:textId="1AC6F126"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氯化物</w:t>
            </w:r>
          </w:p>
        </w:tc>
        <w:tc>
          <w:tcPr>
            <w:tcW w:w="607" w:type="pct"/>
            <w:vAlign w:val="center"/>
          </w:tcPr>
          <w:p w14:paraId="1E704B62" w14:textId="0D878F5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0.34 </w:t>
            </w:r>
          </w:p>
        </w:tc>
        <w:tc>
          <w:tcPr>
            <w:tcW w:w="606" w:type="pct"/>
            <w:vAlign w:val="center"/>
          </w:tcPr>
          <w:p w14:paraId="5508B3AF" w14:textId="1ED22D8B"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0.69 </w:t>
            </w:r>
          </w:p>
        </w:tc>
        <w:tc>
          <w:tcPr>
            <w:tcW w:w="606" w:type="pct"/>
            <w:vAlign w:val="center"/>
          </w:tcPr>
          <w:p w14:paraId="49E22C8C" w14:textId="647CE18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0.17 </w:t>
            </w:r>
          </w:p>
        </w:tc>
        <w:tc>
          <w:tcPr>
            <w:tcW w:w="606" w:type="pct"/>
            <w:vAlign w:val="center"/>
          </w:tcPr>
          <w:p w14:paraId="04D3C6E3" w14:textId="671B29F2"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0.32 </w:t>
            </w:r>
          </w:p>
        </w:tc>
        <w:tc>
          <w:tcPr>
            <w:tcW w:w="608" w:type="pct"/>
            <w:vAlign w:val="center"/>
          </w:tcPr>
          <w:p w14:paraId="1DCB8080" w14:textId="610F5EF4"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0.17 </w:t>
            </w:r>
          </w:p>
        </w:tc>
      </w:tr>
      <w:tr w:rsidR="008C00B1" w:rsidRPr="00092862" w14:paraId="1BF70B49" w14:textId="77777777" w:rsidTr="008A7FCD">
        <w:trPr>
          <w:jc w:val="center"/>
        </w:trPr>
        <w:tc>
          <w:tcPr>
            <w:tcW w:w="1967" w:type="pct"/>
            <w:vAlign w:val="center"/>
          </w:tcPr>
          <w:p w14:paraId="5374857E" w14:textId="5D1DF13B"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硫酸盐</w:t>
            </w:r>
          </w:p>
        </w:tc>
        <w:tc>
          <w:tcPr>
            <w:tcW w:w="607" w:type="pct"/>
            <w:vAlign w:val="center"/>
          </w:tcPr>
          <w:p w14:paraId="38320C2A" w14:textId="035C384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0.25 </w:t>
            </w:r>
          </w:p>
        </w:tc>
        <w:tc>
          <w:tcPr>
            <w:tcW w:w="606" w:type="pct"/>
            <w:vAlign w:val="center"/>
          </w:tcPr>
          <w:p w14:paraId="7309757B" w14:textId="12856BB8"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0.54 </w:t>
            </w:r>
          </w:p>
        </w:tc>
        <w:tc>
          <w:tcPr>
            <w:tcW w:w="606" w:type="pct"/>
            <w:vAlign w:val="center"/>
          </w:tcPr>
          <w:p w14:paraId="4CECE1CD" w14:textId="5614A77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0.48 </w:t>
            </w:r>
          </w:p>
        </w:tc>
        <w:tc>
          <w:tcPr>
            <w:tcW w:w="606" w:type="pct"/>
            <w:vAlign w:val="center"/>
          </w:tcPr>
          <w:p w14:paraId="369F4187" w14:textId="7EB7A03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0.27 </w:t>
            </w:r>
          </w:p>
        </w:tc>
        <w:tc>
          <w:tcPr>
            <w:tcW w:w="608" w:type="pct"/>
            <w:vAlign w:val="center"/>
          </w:tcPr>
          <w:p w14:paraId="1FB2731E" w14:textId="624138FA"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Cs w:val="21"/>
              </w:rPr>
              <w:t xml:space="preserve">0.27 </w:t>
            </w:r>
          </w:p>
        </w:tc>
      </w:tr>
      <w:tr w:rsidR="00697429" w:rsidRPr="00092862" w14:paraId="289E4AF1" w14:textId="77777777" w:rsidTr="008A7FCD">
        <w:trPr>
          <w:jc w:val="center"/>
        </w:trPr>
        <w:tc>
          <w:tcPr>
            <w:tcW w:w="1967" w:type="pct"/>
            <w:vAlign w:val="center"/>
          </w:tcPr>
          <w:p w14:paraId="6F78AAA3" w14:textId="77777777" w:rsidR="006018A6" w:rsidRPr="00092862" w:rsidRDefault="006018A6" w:rsidP="006018A6">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矿化度</w:t>
            </w:r>
            <w:r w:rsidRPr="00092862">
              <w:rPr>
                <w:rFonts w:ascii="Times New Roman" w:hAnsi="Times New Roman" w:cs="Times New Roman"/>
                <w:color w:val="000000" w:themeColor="text1"/>
                <w:szCs w:val="21"/>
              </w:rPr>
              <w:t>mg/L</w:t>
            </w:r>
          </w:p>
        </w:tc>
        <w:tc>
          <w:tcPr>
            <w:tcW w:w="607" w:type="pct"/>
            <w:vAlign w:val="center"/>
          </w:tcPr>
          <w:p w14:paraId="0337151F" w14:textId="3E5DBD7C" w:rsidR="006018A6" w:rsidRPr="00092862" w:rsidRDefault="008C00B1" w:rsidP="00655743">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58.1</w:t>
            </w:r>
          </w:p>
        </w:tc>
        <w:tc>
          <w:tcPr>
            <w:tcW w:w="606" w:type="pct"/>
            <w:vAlign w:val="center"/>
          </w:tcPr>
          <w:p w14:paraId="7331FAEF" w14:textId="04C5D88A" w:rsidR="006018A6" w:rsidRPr="00092862" w:rsidRDefault="008C00B1" w:rsidP="00655743">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209.03</w:t>
            </w:r>
          </w:p>
        </w:tc>
        <w:tc>
          <w:tcPr>
            <w:tcW w:w="606" w:type="pct"/>
            <w:vAlign w:val="center"/>
          </w:tcPr>
          <w:p w14:paraId="5F749743" w14:textId="03DC0644" w:rsidR="006018A6" w:rsidRPr="00092862" w:rsidRDefault="008C00B1" w:rsidP="00655743">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66.88</w:t>
            </w:r>
          </w:p>
        </w:tc>
        <w:tc>
          <w:tcPr>
            <w:tcW w:w="606" w:type="pct"/>
            <w:vAlign w:val="center"/>
          </w:tcPr>
          <w:p w14:paraId="16DBE09A" w14:textId="23DA9AD6" w:rsidR="006018A6" w:rsidRPr="00092862" w:rsidRDefault="008C00B1" w:rsidP="00655743">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63.22</w:t>
            </w:r>
          </w:p>
        </w:tc>
        <w:tc>
          <w:tcPr>
            <w:tcW w:w="608" w:type="pct"/>
            <w:vAlign w:val="center"/>
          </w:tcPr>
          <w:p w14:paraId="0C9E1BD4" w14:textId="29974D22" w:rsidR="006018A6" w:rsidRPr="00092862" w:rsidRDefault="008C00B1" w:rsidP="00655743">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146.8</w:t>
            </w:r>
          </w:p>
        </w:tc>
      </w:tr>
      <w:tr w:rsidR="00697429" w:rsidRPr="00092862" w14:paraId="328BBBC6" w14:textId="77777777" w:rsidTr="008A7FCD">
        <w:trPr>
          <w:jc w:val="center"/>
        </w:trPr>
        <w:tc>
          <w:tcPr>
            <w:tcW w:w="5000" w:type="pct"/>
            <w:gridSpan w:val="6"/>
            <w:vAlign w:val="center"/>
          </w:tcPr>
          <w:p w14:paraId="5BADB87F" w14:textId="77777777" w:rsidR="006018A6" w:rsidRPr="00092862" w:rsidRDefault="006018A6" w:rsidP="00655743">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当量浓度比例（</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w:t>
            </w:r>
          </w:p>
        </w:tc>
      </w:tr>
      <w:tr w:rsidR="008C00B1" w:rsidRPr="00092862" w14:paraId="0C0788BB" w14:textId="77777777" w:rsidTr="008A7FCD">
        <w:trPr>
          <w:jc w:val="center"/>
        </w:trPr>
        <w:tc>
          <w:tcPr>
            <w:tcW w:w="1967" w:type="pct"/>
            <w:vAlign w:val="center"/>
          </w:tcPr>
          <w:p w14:paraId="35AF7A64" w14:textId="375FA73E"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钠</w:t>
            </w:r>
          </w:p>
        </w:tc>
        <w:tc>
          <w:tcPr>
            <w:tcW w:w="607" w:type="pct"/>
            <w:vAlign w:val="center"/>
          </w:tcPr>
          <w:p w14:paraId="27F7118A" w14:textId="0CF5A7AD"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1.99 </w:t>
            </w:r>
          </w:p>
        </w:tc>
        <w:tc>
          <w:tcPr>
            <w:tcW w:w="606" w:type="pct"/>
            <w:vAlign w:val="center"/>
          </w:tcPr>
          <w:p w14:paraId="4C68B259" w14:textId="546313F7"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4.65 </w:t>
            </w:r>
          </w:p>
        </w:tc>
        <w:tc>
          <w:tcPr>
            <w:tcW w:w="606" w:type="pct"/>
            <w:vAlign w:val="center"/>
          </w:tcPr>
          <w:p w14:paraId="678EEAA7" w14:textId="76382E3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4.55 </w:t>
            </w:r>
          </w:p>
        </w:tc>
        <w:tc>
          <w:tcPr>
            <w:tcW w:w="606" w:type="pct"/>
            <w:vAlign w:val="center"/>
          </w:tcPr>
          <w:p w14:paraId="70CCFF34" w14:textId="2CD3F6C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3.80 </w:t>
            </w:r>
          </w:p>
        </w:tc>
        <w:tc>
          <w:tcPr>
            <w:tcW w:w="608" w:type="pct"/>
            <w:vAlign w:val="center"/>
          </w:tcPr>
          <w:p w14:paraId="40E4290C" w14:textId="77B1697C"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2.86 </w:t>
            </w:r>
          </w:p>
        </w:tc>
      </w:tr>
      <w:tr w:rsidR="008C00B1" w:rsidRPr="00092862" w14:paraId="3FA8F1AC" w14:textId="77777777" w:rsidTr="008A7FCD">
        <w:trPr>
          <w:jc w:val="center"/>
        </w:trPr>
        <w:tc>
          <w:tcPr>
            <w:tcW w:w="1967" w:type="pct"/>
            <w:vAlign w:val="center"/>
          </w:tcPr>
          <w:p w14:paraId="0A15959E" w14:textId="68DDE2C1"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钾</w:t>
            </w:r>
          </w:p>
        </w:tc>
        <w:tc>
          <w:tcPr>
            <w:tcW w:w="607" w:type="pct"/>
            <w:vAlign w:val="center"/>
          </w:tcPr>
          <w:p w14:paraId="791979A1" w14:textId="6DD2053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2.46 </w:t>
            </w:r>
          </w:p>
        </w:tc>
        <w:tc>
          <w:tcPr>
            <w:tcW w:w="606" w:type="pct"/>
            <w:vAlign w:val="center"/>
          </w:tcPr>
          <w:p w14:paraId="615C0E45" w14:textId="10C34C7F"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6.25 </w:t>
            </w:r>
          </w:p>
        </w:tc>
        <w:tc>
          <w:tcPr>
            <w:tcW w:w="606" w:type="pct"/>
            <w:vAlign w:val="center"/>
          </w:tcPr>
          <w:p w14:paraId="239C65C7" w14:textId="364AA5F1"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5.88 </w:t>
            </w:r>
          </w:p>
        </w:tc>
        <w:tc>
          <w:tcPr>
            <w:tcW w:w="606" w:type="pct"/>
            <w:vAlign w:val="center"/>
          </w:tcPr>
          <w:p w14:paraId="41F94EAC" w14:textId="18C26D14"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2.93 </w:t>
            </w:r>
          </w:p>
        </w:tc>
        <w:tc>
          <w:tcPr>
            <w:tcW w:w="608" w:type="pct"/>
            <w:vAlign w:val="center"/>
          </w:tcPr>
          <w:p w14:paraId="144BEBFC" w14:textId="15B9838C"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1.76 </w:t>
            </w:r>
          </w:p>
        </w:tc>
      </w:tr>
      <w:tr w:rsidR="008C00B1" w:rsidRPr="00092862" w14:paraId="7D9B12B4" w14:textId="77777777" w:rsidTr="008A7FCD">
        <w:trPr>
          <w:jc w:val="center"/>
        </w:trPr>
        <w:tc>
          <w:tcPr>
            <w:tcW w:w="1967" w:type="pct"/>
            <w:vAlign w:val="center"/>
          </w:tcPr>
          <w:p w14:paraId="18151978" w14:textId="77777777" w:rsidR="008C00B1" w:rsidRPr="00092862" w:rsidRDefault="008C00B1" w:rsidP="008C00B1">
            <w:pPr>
              <w:adjustRightInd w:val="0"/>
              <w:snapToGrid w:val="0"/>
              <w:jc w:val="center"/>
              <w:rPr>
                <w:rFonts w:ascii="Times New Roman" w:hAnsi="Times New Roman" w:cs="Times New Roman"/>
                <w:color w:val="000000" w:themeColor="text1"/>
                <w:szCs w:val="21"/>
                <w:shd w:val="pct15" w:color="auto" w:fill="FFFFFF"/>
              </w:rPr>
            </w:pPr>
            <w:r w:rsidRPr="00092862">
              <w:rPr>
                <w:rFonts w:ascii="Times New Roman" w:hAnsi="Times New Roman" w:cs="Times New Roman"/>
                <w:color w:val="000000" w:themeColor="text1"/>
                <w:szCs w:val="21"/>
              </w:rPr>
              <w:t>钙</w:t>
            </w:r>
          </w:p>
        </w:tc>
        <w:tc>
          <w:tcPr>
            <w:tcW w:w="607" w:type="pct"/>
            <w:vAlign w:val="center"/>
          </w:tcPr>
          <w:p w14:paraId="7C7ED886" w14:textId="3943720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9.35 </w:t>
            </w:r>
          </w:p>
        </w:tc>
        <w:tc>
          <w:tcPr>
            <w:tcW w:w="606" w:type="pct"/>
            <w:vAlign w:val="center"/>
          </w:tcPr>
          <w:p w14:paraId="294574E8" w14:textId="22FC0582"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86.48 </w:t>
            </w:r>
          </w:p>
        </w:tc>
        <w:tc>
          <w:tcPr>
            <w:tcW w:w="606" w:type="pct"/>
            <w:vAlign w:val="center"/>
          </w:tcPr>
          <w:p w14:paraId="68A2B53B" w14:textId="021D4CF6"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12.84 </w:t>
            </w:r>
          </w:p>
        </w:tc>
        <w:tc>
          <w:tcPr>
            <w:tcW w:w="606" w:type="pct"/>
            <w:vAlign w:val="center"/>
          </w:tcPr>
          <w:p w14:paraId="450F872D" w14:textId="52BA0E07"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22.53 </w:t>
            </w:r>
          </w:p>
        </w:tc>
        <w:tc>
          <w:tcPr>
            <w:tcW w:w="608" w:type="pct"/>
            <w:vAlign w:val="center"/>
          </w:tcPr>
          <w:p w14:paraId="6DF57BCB" w14:textId="402D3EF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63.06 </w:t>
            </w:r>
          </w:p>
        </w:tc>
      </w:tr>
      <w:tr w:rsidR="008C00B1" w:rsidRPr="00092862" w14:paraId="3892C54E" w14:textId="77777777" w:rsidTr="008A7FCD">
        <w:trPr>
          <w:jc w:val="center"/>
        </w:trPr>
        <w:tc>
          <w:tcPr>
            <w:tcW w:w="1967" w:type="pct"/>
            <w:vAlign w:val="center"/>
          </w:tcPr>
          <w:p w14:paraId="41297C40" w14:textId="77777777"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镁</w:t>
            </w:r>
          </w:p>
        </w:tc>
        <w:tc>
          <w:tcPr>
            <w:tcW w:w="607" w:type="pct"/>
            <w:vAlign w:val="center"/>
          </w:tcPr>
          <w:p w14:paraId="6F907CA3" w14:textId="15E5CDBD"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0.61 </w:t>
            </w:r>
          </w:p>
        </w:tc>
        <w:tc>
          <w:tcPr>
            <w:tcW w:w="606" w:type="pct"/>
            <w:vAlign w:val="center"/>
          </w:tcPr>
          <w:p w14:paraId="150A6DCE" w14:textId="5DD7C58C"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1.89 </w:t>
            </w:r>
          </w:p>
        </w:tc>
        <w:tc>
          <w:tcPr>
            <w:tcW w:w="606" w:type="pct"/>
            <w:vAlign w:val="center"/>
          </w:tcPr>
          <w:p w14:paraId="4C234397" w14:textId="749B94FA"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1.97 </w:t>
            </w:r>
          </w:p>
        </w:tc>
        <w:tc>
          <w:tcPr>
            <w:tcW w:w="606" w:type="pct"/>
            <w:vAlign w:val="center"/>
          </w:tcPr>
          <w:p w14:paraId="7FE4C3D4" w14:textId="4F61538C"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2.76 </w:t>
            </w:r>
          </w:p>
        </w:tc>
        <w:tc>
          <w:tcPr>
            <w:tcW w:w="608" w:type="pct"/>
            <w:vAlign w:val="center"/>
          </w:tcPr>
          <w:p w14:paraId="7DCCE5A4" w14:textId="154A82D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2.10 </w:t>
            </w:r>
          </w:p>
        </w:tc>
      </w:tr>
      <w:tr w:rsidR="008C00B1" w:rsidRPr="00092862" w14:paraId="2410B302" w14:textId="77777777" w:rsidTr="008A7FCD">
        <w:trPr>
          <w:jc w:val="center"/>
        </w:trPr>
        <w:tc>
          <w:tcPr>
            <w:tcW w:w="1967" w:type="pct"/>
            <w:vAlign w:val="center"/>
          </w:tcPr>
          <w:p w14:paraId="71A81D92" w14:textId="77777777"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碳酸根</w:t>
            </w:r>
          </w:p>
        </w:tc>
        <w:tc>
          <w:tcPr>
            <w:tcW w:w="607" w:type="pct"/>
            <w:vAlign w:val="center"/>
          </w:tcPr>
          <w:p w14:paraId="59835AE1" w14:textId="5484565F"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0.00 </w:t>
            </w:r>
          </w:p>
        </w:tc>
        <w:tc>
          <w:tcPr>
            <w:tcW w:w="606" w:type="pct"/>
            <w:vAlign w:val="center"/>
          </w:tcPr>
          <w:p w14:paraId="1F4258DC" w14:textId="34BFD9AB"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0.00 </w:t>
            </w:r>
          </w:p>
        </w:tc>
        <w:tc>
          <w:tcPr>
            <w:tcW w:w="606" w:type="pct"/>
            <w:vAlign w:val="center"/>
          </w:tcPr>
          <w:p w14:paraId="4F57B1B5" w14:textId="1FEFE7F6"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0.00 </w:t>
            </w:r>
          </w:p>
        </w:tc>
        <w:tc>
          <w:tcPr>
            <w:tcW w:w="606" w:type="pct"/>
            <w:vAlign w:val="center"/>
          </w:tcPr>
          <w:p w14:paraId="72495906" w14:textId="616A5FA8"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0.00 </w:t>
            </w:r>
          </w:p>
        </w:tc>
        <w:tc>
          <w:tcPr>
            <w:tcW w:w="608" w:type="pct"/>
            <w:vAlign w:val="center"/>
          </w:tcPr>
          <w:p w14:paraId="271D2492" w14:textId="04F12603"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0.00 </w:t>
            </w:r>
          </w:p>
        </w:tc>
      </w:tr>
      <w:tr w:rsidR="008C00B1" w:rsidRPr="00092862" w14:paraId="1A48A4BF" w14:textId="77777777" w:rsidTr="008A7FCD">
        <w:trPr>
          <w:jc w:val="center"/>
        </w:trPr>
        <w:tc>
          <w:tcPr>
            <w:tcW w:w="1967" w:type="pct"/>
            <w:vAlign w:val="center"/>
          </w:tcPr>
          <w:p w14:paraId="2FB00F85" w14:textId="77777777" w:rsidR="008C00B1" w:rsidRPr="00092862" w:rsidRDefault="008C00B1" w:rsidP="008C00B1">
            <w:pPr>
              <w:adjustRightInd w:val="0"/>
              <w:snapToGrid w:val="0"/>
              <w:jc w:val="center"/>
              <w:rPr>
                <w:rFonts w:ascii="Times New Roman" w:hAnsi="Times New Roman" w:cs="Times New Roman"/>
                <w:color w:val="000000" w:themeColor="text1"/>
                <w:szCs w:val="21"/>
                <w:shd w:val="pct15" w:color="auto" w:fill="FFFFFF"/>
              </w:rPr>
            </w:pPr>
            <w:r w:rsidRPr="00092862">
              <w:rPr>
                <w:rFonts w:ascii="Times New Roman" w:hAnsi="Times New Roman" w:cs="Times New Roman"/>
                <w:color w:val="000000" w:themeColor="text1"/>
                <w:szCs w:val="21"/>
              </w:rPr>
              <w:t>重碳酸根</w:t>
            </w:r>
          </w:p>
        </w:tc>
        <w:tc>
          <w:tcPr>
            <w:tcW w:w="607" w:type="pct"/>
            <w:vAlign w:val="center"/>
          </w:tcPr>
          <w:p w14:paraId="10503936" w14:textId="26F2305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3.86 </w:t>
            </w:r>
          </w:p>
        </w:tc>
        <w:tc>
          <w:tcPr>
            <w:tcW w:w="606" w:type="pct"/>
            <w:vAlign w:val="center"/>
          </w:tcPr>
          <w:p w14:paraId="70AF8290" w14:textId="083D4A7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46.12 </w:t>
            </w:r>
          </w:p>
        </w:tc>
        <w:tc>
          <w:tcPr>
            <w:tcW w:w="606" w:type="pct"/>
            <w:vAlign w:val="center"/>
          </w:tcPr>
          <w:p w14:paraId="1830C620" w14:textId="40D5DB3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8.57 </w:t>
            </w:r>
          </w:p>
        </w:tc>
        <w:tc>
          <w:tcPr>
            <w:tcW w:w="606" w:type="pct"/>
            <w:vAlign w:val="center"/>
          </w:tcPr>
          <w:p w14:paraId="222D7E30" w14:textId="6C23FC4C"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6.41 </w:t>
            </w:r>
          </w:p>
        </w:tc>
        <w:tc>
          <w:tcPr>
            <w:tcW w:w="608" w:type="pct"/>
            <w:vAlign w:val="center"/>
          </w:tcPr>
          <w:p w14:paraId="55CFA70E" w14:textId="0E65D78E"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47.26 </w:t>
            </w:r>
          </w:p>
        </w:tc>
      </w:tr>
      <w:tr w:rsidR="008C00B1" w:rsidRPr="00092862" w14:paraId="314CABAE" w14:textId="77777777" w:rsidTr="008A7FCD">
        <w:trPr>
          <w:jc w:val="center"/>
        </w:trPr>
        <w:tc>
          <w:tcPr>
            <w:tcW w:w="1967" w:type="pct"/>
            <w:vAlign w:val="center"/>
          </w:tcPr>
          <w:p w14:paraId="6FE4F300" w14:textId="5CC17AB2"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氯化物</w:t>
            </w:r>
          </w:p>
        </w:tc>
        <w:tc>
          <w:tcPr>
            <w:tcW w:w="607" w:type="pct"/>
            <w:vAlign w:val="center"/>
          </w:tcPr>
          <w:p w14:paraId="3D4B2902" w14:textId="696B4932"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4.42 </w:t>
            </w:r>
          </w:p>
        </w:tc>
        <w:tc>
          <w:tcPr>
            <w:tcW w:w="606" w:type="pct"/>
            <w:vAlign w:val="center"/>
          </w:tcPr>
          <w:p w14:paraId="0770FBAF" w14:textId="6C25CD0B"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15.11 </w:t>
            </w:r>
          </w:p>
        </w:tc>
        <w:tc>
          <w:tcPr>
            <w:tcW w:w="606" w:type="pct"/>
            <w:vAlign w:val="center"/>
          </w:tcPr>
          <w:p w14:paraId="147426C5" w14:textId="5FF24634"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3.90 </w:t>
            </w:r>
          </w:p>
        </w:tc>
        <w:tc>
          <w:tcPr>
            <w:tcW w:w="606" w:type="pct"/>
            <w:vAlign w:val="center"/>
          </w:tcPr>
          <w:p w14:paraId="46FFFDE7" w14:textId="7425D0AC"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7.45 </w:t>
            </w:r>
          </w:p>
        </w:tc>
        <w:tc>
          <w:tcPr>
            <w:tcW w:w="608" w:type="pct"/>
            <w:vAlign w:val="center"/>
          </w:tcPr>
          <w:p w14:paraId="6068D8A9" w14:textId="03AE0909"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3.83 </w:t>
            </w:r>
          </w:p>
        </w:tc>
      </w:tr>
      <w:tr w:rsidR="008C00B1" w:rsidRPr="00092862" w14:paraId="00CDCAED" w14:textId="77777777" w:rsidTr="00141E33">
        <w:trPr>
          <w:trHeight w:val="141"/>
          <w:jc w:val="center"/>
        </w:trPr>
        <w:tc>
          <w:tcPr>
            <w:tcW w:w="1967" w:type="pct"/>
            <w:vAlign w:val="center"/>
          </w:tcPr>
          <w:p w14:paraId="6562F558" w14:textId="058CF0DC" w:rsidR="008C00B1" w:rsidRPr="00092862" w:rsidRDefault="008C00B1" w:rsidP="008C00B1">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硫酸盐</w:t>
            </w:r>
          </w:p>
        </w:tc>
        <w:tc>
          <w:tcPr>
            <w:tcW w:w="607" w:type="pct"/>
            <w:vAlign w:val="center"/>
          </w:tcPr>
          <w:p w14:paraId="206B2795" w14:textId="1DA06F30"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3.27 </w:t>
            </w:r>
          </w:p>
        </w:tc>
        <w:tc>
          <w:tcPr>
            <w:tcW w:w="606" w:type="pct"/>
            <w:vAlign w:val="center"/>
          </w:tcPr>
          <w:p w14:paraId="49DA4736" w14:textId="6ED213A5"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11.95 </w:t>
            </w:r>
          </w:p>
        </w:tc>
        <w:tc>
          <w:tcPr>
            <w:tcW w:w="606" w:type="pct"/>
            <w:vAlign w:val="center"/>
          </w:tcPr>
          <w:p w14:paraId="55EAB26A" w14:textId="59CAF538"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10.98 </w:t>
            </w:r>
          </w:p>
        </w:tc>
        <w:tc>
          <w:tcPr>
            <w:tcW w:w="606" w:type="pct"/>
            <w:vAlign w:val="center"/>
          </w:tcPr>
          <w:p w14:paraId="27CB7782" w14:textId="3C295503"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6.13 </w:t>
            </w:r>
          </w:p>
        </w:tc>
        <w:tc>
          <w:tcPr>
            <w:tcW w:w="608" w:type="pct"/>
            <w:vAlign w:val="center"/>
          </w:tcPr>
          <w:p w14:paraId="311153EF" w14:textId="13EC305A" w:rsidR="008C00B1" w:rsidRPr="00092862" w:rsidRDefault="008C00B1" w:rsidP="008C00B1">
            <w:pPr>
              <w:jc w:val="center"/>
              <w:rPr>
                <w:rFonts w:ascii="Times New Roman" w:hAnsi="Times New Roman" w:cs="Times New Roman"/>
                <w:color w:val="000000" w:themeColor="text1"/>
                <w:szCs w:val="21"/>
              </w:rPr>
            </w:pPr>
            <w:r w:rsidRPr="00092862">
              <w:rPr>
                <w:rFonts w:ascii="Times New Roman" w:hAnsi="Times New Roman" w:cs="Times New Roman"/>
                <w:color w:val="000000"/>
                <w:sz w:val="22"/>
              </w:rPr>
              <w:t xml:space="preserve">6.05 </w:t>
            </w:r>
          </w:p>
        </w:tc>
      </w:tr>
    </w:tbl>
    <w:p w14:paraId="71EE8411" w14:textId="1557975A" w:rsidR="00DC446C" w:rsidRPr="00092862" w:rsidRDefault="003B1968" w:rsidP="00887083">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由表</w:t>
      </w:r>
      <w:r w:rsidR="006142B6" w:rsidRPr="00092862">
        <w:rPr>
          <w:rFonts w:ascii="Times New Roman" w:eastAsia="宋体" w:hAnsi="Times New Roman" w:cs="Times New Roman"/>
          <w:bCs/>
          <w:color w:val="000000" w:themeColor="text1"/>
          <w:sz w:val="24"/>
          <w:szCs w:val="24"/>
        </w:rPr>
        <w:t>4.2-</w:t>
      </w:r>
      <w:r w:rsidR="00D26362"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可以看出，本次评价</w:t>
      </w:r>
      <w:r w:rsidR="00B94944" w:rsidRPr="00092862">
        <w:rPr>
          <w:rFonts w:ascii="Times New Roman" w:eastAsia="宋体" w:hAnsi="Times New Roman" w:cs="Times New Roman"/>
          <w:bCs/>
          <w:color w:val="000000" w:themeColor="text1"/>
          <w:sz w:val="24"/>
          <w:szCs w:val="24"/>
        </w:rPr>
        <w:t>各水样监测结果</w:t>
      </w:r>
      <w:r w:rsidRPr="00092862">
        <w:rPr>
          <w:rFonts w:ascii="Times New Roman" w:eastAsia="宋体" w:hAnsi="Times New Roman" w:cs="Times New Roman"/>
          <w:bCs/>
          <w:color w:val="000000" w:themeColor="text1"/>
          <w:sz w:val="24"/>
          <w:szCs w:val="24"/>
        </w:rPr>
        <w:t>各水样的矿化度范围在</w:t>
      </w:r>
      <w:r w:rsidR="008C00B1" w:rsidRPr="00092862">
        <w:rPr>
          <w:rFonts w:ascii="Times New Roman" w:eastAsia="宋体" w:hAnsi="Times New Roman" w:cs="Times New Roman"/>
          <w:bCs/>
          <w:color w:val="000000" w:themeColor="text1"/>
          <w:sz w:val="24"/>
          <w:szCs w:val="24"/>
        </w:rPr>
        <w:t>58.1</w:t>
      </w:r>
      <w:r w:rsidR="00DE4566" w:rsidRPr="00092862">
        <w:rPr>
          <w:rFonts w:ascii="Times New Roman" w:eastAsia="宋体" w:hAnsi="Times New Roman" w:cs="Times New Roman"/>
          <w:bCs/>
          <w:color w:val="000000" w:themeColor="text1"/>
          <w:sz w:val="24"/>
          <w:szCs w:val="24"/>
        </w:rPr>
        <w:t>mg/L-</w:t>
      </w:r>
      <w:r w:rsidR="008C00B1" w:rsidRPr="00092862">
        <w:rPr>
          <w:rFonts w:ascii="Times New Roman" w:eastAsia="宋体" w:hAnsi="Times New Roman" w:cs="Times New Roman"/>
          <w:bCs/>
          <w:color w:val="000000" w:themeColor="text1"/>
          <w:sz w:val="24"/>
          <w:szCs w:val="24"/>
        </w:rPr>
        <w:t>209</w:t>
      </w:r>
      <w:r w:rsidR="00D35EC4"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mg/L</w:t>
      </w:r>
      <w:r w:rsidRPr="00092862">
        <w:rPr>
          <w:rFonts w:ascii="Times New Roman" w:eastAsia="宋体" w:hAnsi="Times New Roman" w:cs="Times New Roman"/>
          <w:bCs/>
          <w:color w:val="000000" w:themeColor="text1"/>
          <w:sz w:val="24"/>
          <w:szCs w:val="24"/>
        </w:rPr>
        <w:t>，小于</w:t>
      </w:r>
      <w:r w:rsidRPr="00092862">
        <w:rPr>
          <w:rFonts w:ascii="Times New Roman" w:eastAsia="宋体" w:hAnsi="Times New Roman" w:cs="Times New Roman"/>
          <w:bCs/>
          <w:color w:val="000000" w:themeColor="text1"/>
          <w:sz w:val="24"/>
          <w:szCs w:val="24"/>
        </w:rPr>
        <w:t>1500mg/L</w:t>
      </w:r>
      <w:r w:rsidRPr="00092862">
        <w:rPr>
          <w:rFonts w:ascii="Times New Roman" w:eastAsia="宋体" w:hAnsi="Times New Roman" w:cs="Times New Roman"/>
          <w:bCs/>
          <w:color w:val="000000" w:themeColor="text1"/>
          <w:sz w:val="24"/>
          <w:szCs w:val="24"/>
        </w:rPr>
        <w:t>，主要离子的阴离子及阳离子分别为碳酸氢根和钙离子，因此，本项目所在区域地下水化学类型为矿化度不大于</w:t>
      </w:r>
      <w:r w:rsidRPr="00092862">
        <w:rPr>
          <w:rFonts w:ascii="Times New Roman" w:eastAsia="宋体" w:hAnsi="Times New Roman" w:cs="Times New Roman"/>
          <w:bCs/>
          <w:color w:val="000000" w:themeColor="text1"/>
          <w:sz w:val="24"/>
          <w:szCs w:val="24"/>
        </w:rPr>
        <w:t>1.5g/L</w:t>
      </w:r>
      <w:r w:rsidRPr="00092862">
        <w:rPr>
          <w:rFonts w:ascii="Times New Roman" w:eastAsia="宋体" w:hAnsi="Times New Roman" w:cs="Times New Roman"/>
          <w:bCs/>
          <w:color w:val="000000" w:themeColor="text1"/>
          <w:sz w:val="24"/>
          <w:szCs w:val="24"/>
        </w:rPr>
        <w:t>的</w:t>
      </w:r>
      <w:r w:rsidRPr="00092862">
        <w:rPr>
          <w:rFonts w:ascii="Times New Roman" w:eastAsia="宋体" w:hAnsi="Times New Roman" w:cs="Times New Roman"/>
          <w:bCs/>
          <w:color w:val="000000" w:themeColor="text1"/>
          <w:sz w:val="24"/>
          <w:szCs w:val="24"/>
        </w:rPr>
        <w:t>HCO</w:t>
      </w:r>
      <w:r w:rsidRPr="00092862">
        <w:rPr>
          <w:rFonts w:ascii="Times New Roman" w:eastAsia="宋体" w:hAnsi="Times New Roman" w:cs="Times New Roman"/>
          <w:bCs/>
          <w:color w:val="000000" w:themeColor="text1"/>
          <w:sz w:val="24"/>
          <w:szCs w:val="24"/>
          <w:vertAlign w:val="subscript"/>
        </w:rPr>
        <w:t>3</w:t>
      </w:r>
      <w:r w:rsidRPr="00092862">
        <w:rPr>
          <w:rFonts w:ascii="Times New Roman" w:eastAsia="宋体" w:hAnsi="Times New Roman" w:cs="Times New Roman"/>
          <w:bCs/>
          <w:color w:val="000000" w:themeColor="text1"/>
          <w:sz w:val="24"/>
          <w:szCs w:val="24"/>
        </w:rPr>
        <w:t>-Ca</w:t>
      </w:r>
      <w:r w:rsidRPr="00092862">
        <w:rPr>
          <w:rFonts w:ascii="Times New Roman" w:eastAsia="宋体" w:hAnsi="Times New Roman" w:cs="Times New Roman"/>
          <w:bCs/>
          <w:color w:val="000000" w:themeColor="text1"/>
          <w:sz w:val="24"/>
          <w:szCs w:val="24"/>
        </w:rPr>
        <w:t>型水。</w:t>
      </w:r>
    </w:p>
    <w:p w14:paraId="664D7331" w14:textId="77777777" w:rsidR="00DC446C" w:rsidRPr="00092862" w:rsidRDefault="003B1968" w:rsidP="003D2EEB">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5</w:t>
      </w:r>
      <w:r w:rsidRPr="00092862">
        <w:rPr>
          <w:rFonts w:ascii="Times New Roman" w:eastAsia="宋体" w:hAnsi="Times New Roman" w:cs="Times New Roman"/>
          <w:b/>
          <w:color w:val="000000" w:themeColor="text1"/>
          <w:sz w:val="24"/>
          <w:szCs w:val="24"/>
        </w:rPr>
        <w:t>）地下水动态变化特征</w:t>
      </w:r>
    </w:p>
    <w:p w14:paraId="4448FD49" w14:textId="7E448D2A"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工程区内地下水主要接受大气降水补给，地下水的动态变化同大气降水密切相关，一般随着降雨量的变化而变化，雨季时地下水水位上升，雨季之后地下水水位逐渐下降。同时受地形地貌和堰塘等蓄水体的蓄水补给影响，靠近丘谷和蓄水体边上水井水位埋深普遍较浅。本项目区域地下水水位统计见表</w:t>
      </w:r>
      <w:r w:rsidRPr="00092862">
        <w:rPr>
          <w:rFonts w:ascii="Times New Roman" w:eastAsia="宋体" w:hAnsi="Times New Roman" w:cs="Times New Roman"/>
          <w:bCs/>
          <w:color w:val="000000" w:themeColor="text1"/>
          <w:sz w:val="24"/>
          <w:szCs w:val="24"/>
        </w:rPr>
        <w:t>4.2-</w:t>
      </w:r>
      <w:r w:rsidR="00D26362" w:rsidRPr="00092862">
        <w:rPr>
          <w:rFonts w:ascii="Times New Roman" w:eastAsia="宋体" w:hAnsi="Times New Roman" w:cs="Times New Roman"/>
          <w:bCs/>
          <w:color w:val="000000" w:themeColor="text1"/>
          <w:sz w:val="24"/>
          <w:szCs w:val="24"/>
        </w:rPr>
        <w:t>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lastRenderedPageBreak/>
        <w:t>点位分布见图</w:t>
      </w:r>
      <w:r w:rsidR="00E225BA" w:rsidRPr="00092862">
        <w:rPr>
          <w:rFonts w:ascii="Times New Roman" w:eastAsia="宋体" w:hAnsi="Times New Roman" w:cs="Times New Roman"/>
          <w:bCs/>
          <w:color w:val="000000" w:themeColor="text1"/>
          <w:sz w:val="24"/>
          <w:szCs w:val="24"/>
        </w:rPr>
        <w:t>附图</w:t>
      </w:r>
      <w:r w:rsidR="00E225BA"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w:t>
      </w:r>
    </w:p>
    <w:p w14:paraId="3F29B53B" w14:textId="3DAD5289" w:rsidR="00DC446C" w:rsidRPr="00092862" w:rsidRDefault="003B1968" w:rsidP="00E225BA">
      <w:pPr>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表</w:t>
      </w:r>
      <w:r w:rsidRPr="00092862">
        <w:rPr>
          <w:rFonts w:ascii="Times New Roman" w:eastAsia="黑体" w:hAnsi="Times New Roman" w:cs="Times New Roman"/>
          <w:color w:val="000000" w:themeColor="text1"/>
          <w:szCs w:val="21"/>
        </w:rPr>
        <w:t>4.2-</w:t>
      </w:r>
      <w:r w:rsidR="00D26362" w:rsidRPr="00092862">
        <w:rPr>
          <w:rFonts w:ascii="Times New Roman" w:eastAsia="黑体" w:hAnsi="Times New Roman" w:cs="Times New Roman"/>
          <w:color w:val="000000" w:themeColor="text1"/>
          <w:szCs w:val="21"/>
        </w:rPr>
        <w:t>9</w:t>
      </w:r>
      <w:r w:rsidR="00DE4566"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本项目区域地下水水位统计一览表</w:t>
      </w:r>
    </w:p>
    <w:tbl>
      <w:tblPr>
        <w:tblpPr w:leftFromText="180" w:rightFromText="180" w:vertAnchor="text" w:horzAnchor="page"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9"/>
        <w:gridCol w:w="2624"/>
        <w:gridCol w:w="1942"/>
        <w:gridCol w:w="1121"/>
        <w:gridCol w:w="1414"/>
      </w:tblGrid>
      <w:tr w:rsidR="00697429" w:rsidRPr="00092862" w14:paraId="731353EB" w14:textId="77777777" w:rsidTr="00D35EC4">
        <w:trPr>
          <w:trHeight w:val="283"/>
          <w:jc w:val="center"/>
        </w:trPr>
        <w:tc>
          <w:tcPr>
            <w:tcW w:w="722" w:type="pct"/>
            <w:vAlign w:val="center"/>
          </w:tcPr>
          <w:p w14:paraId="3C0F63DB" w14:textId="77777777" w:rsidR="00D35EC4" w:rsidRPr="00092862" w:rsidRDefault="00D35EC4" w:rsidP="00D35EC4">
            <w:pPr>
              <w:jc w:val="center"/>
              <w:rPr>
                <w:rFonts w:ascii="Times New Roman" w:eastAsia="宋体" w:hAnsi="Times New Roman" w:cs="Times New Roman"/>
                <w:b/>
                <w:bCs/>
                <w:color w:val="000000" w:themeColor="text1"/>
              </w:rPr>
            </w:pPr>
            <w:bookmarkStart w:id="171" w:name="_Toc120173132"/>
            <w:r w:rsidRPr="00092862">
              <w:rPr>
                <w:rFonts w:ascii="Times New Roman" w:eastAsia="宋体" w:hAnsi="Times New Roman" w:cs="Times New Roman"/>
                <w:b/>
                <w:bCs/>
                <w:color w:val="000000" w:themeColor="text1"/>
              </w:rPr>
              <w:t>采样日期</w:t>
            </w:r>
          </w:p>
        </w:tc>
        <w:tc>
          <w:tcPr>
            <w:tcW w:w="1581" w:type="pct"/>
            <w:vAlign w:val="center"/>
          </w:tcPr>
          <w:p w14:paraId="3576A94B" w14:textId="77777777" w:rsidR="00D35EC4" w:rsidRPr="00092862" w:rsidRDefault="00D35EC4" w:rsidP="00D35EC4">
            <w:pPr>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检测点位信息</w:t>
            </w:r>
          </w:p>
        </w:tc>
        <w:tc>
          <w:tcPr>
            <w:tcW w:w="1170" w:type="pct"/>
            <w:vAlign w:val="center"/>
          </w:tcPr>
          <w:p w14:paraId="244968D5" w14:textId="77777777" w:rsidR="00D35EC4" w:rsidRPr="00092862" w:rsidRDefault="00D35EC4" w:rsidP="00D35EC4">
            <w:pPr>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坐标</w:t>
            </w:r>
          </w:p>
        </w:tc>
        <w:tc>
          <w:tcPr>
            <w:tcW w:w="675" w:type="pct"/>
            <w:vAlign w:val="center"/>
          </w:tcPr>
          <w:p w14:paraId="2F476AE7" w14:textId="77777777" w:rsidR="00D35EC4" w:rsidRPr="00092862" w:rsidRDefault="00D35EC4" w:rsidP="00D35EC4">
            <w:pPr>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水位（</w:t>
            </w:r>
            <w:r w:rsidRPr="00092862">
              <w:rPr>
                <w:rFonts w:ascii="Times New Roman" w:eastAsia="宋体" w:hAnsi="Times New Roman" w:cs="Times New Roman"/>
                <w:b/>
                <w:bCs/>
                <w:color w:val="000000" w:themeColor="text1"/>
              </w:rPr>
              <w:t>m</w:t>
            </w:r>
            <w:r w:rsidRPr="00092862">
              <w:rPr>
                <w:rFonts w:ascii="Times New Roman" w:eastAsia="宋体" w:hAnsi="Times New Roman" w:cs="Times New Roman"/>
                <w:b/>
                <w:bCs/>
                <w:color w:val="000000" w:themeColor="text1"/>
              </w:rPr>
              <w:t>）</w:t>
            </w:r>
          </w:p>
        </w:tc>
        <w:tc>
          <w:tcPr>
            <w:tcW w:w="852" w:type="pct"/>
            <w:vAlign w:val="center"/>
          </w:tcPr>
          <w:p w14:paraId="61DCEA3F" w14:textId="77777777" w:rsidR="00D35EC4" w:rsidRPr="00092862" w:rsidRDefault="00D35EC4" w:rsidP="00D35EC4">
            <w:pPr>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备注</w:t>
            </w:r>
          </w:p>
        </w:tc>
      </w:tr>
      <w:tr w:rsidR="00697429" w:rsidRPr="00092862" w14:paraId="1CE03D19" w14:textId="77777777" w:rsidTr="00D35EC4">
        <w:trPr>
          <w:trHeight w:val="283"/>
          <w:jc w:val="center"/>
        </w:trPr>
        <w:tc>
          <w:tcPr>
            <w:tcW w:w="722" w:type="pct"/>
            <w:vMerge w:val="restart"/>
            <w:vAlign w:val="center"/>
          </w:tcPr>
          <w:p w14:paraId="478740D4" w14:textId="77777777" w:rsidR="00D35EC4" w:rsidRPr="00092862" w:rsidRDefault="00D35EC4" w:rsidP="00D35EC4">
            <w:pPr>
              <w:spacing w:after="12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2022.11.24</w:t>
            </w:r>
          </w:p>
        </w:tc>
        <w:tc>
          <w:tcPr>
            <w:tcW w:w="1581" w:type="pct"/>
            <w:vAlign w:val="center"/>
          </w:tcPr>
          <w:p w14:paraId="2ACED291"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井台西南侧约</w:t>
            </w:r>
            <w:r w:rsidRPr="00092862">
              <w:rPr>
                <w:rFonts w:ascii="Times New Roman" w:eastAsia="宋体" w:hAnsi="Times New Roman" w:cs="Times New Roman"/>
                <w:color w:val="000000" w:themeColor="text1"/>
              </w:rPr>
              <w:t>1492m</w:t>
            </w:r>
            <w:r w:rsidRPr="00092862">
              <w:rPr>
                <w:rFonts w:ascii="Times New Roman" w:eastAsia="宋体" w:hAnsi="Times New Roman" w:cs="Times New Roman"/>
                <w:color w:val="000000" w:themeColor="text1"/>
              </w:rPr>
              <w:t>处</w:t>
            </w:r>
          </w:p>
        </w:tc>
        <w:tc>
          <w:tcPr>
            <w:tcW w:w="1170" w:type="pct"/>
            <w:vAlign w:val="center"/>
          </w:tcPr>
          <w:p w14:paraId="5B70DE70"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107.8038</w:t>
            </w:r>
            <w:r w:rsidRPr="00092862">
              <w:rPr>
                <w:rFonts w:ascii="Times New Roman" w:eastAsia="宋体" w:hAnsi="Times New Roman" w:cs="Times New Roman"/>
                <w:color w:val="000000" w:themeColor="text1"/>
              </w:rPr>
              <w:t>，</w:t>
            </w:r>
          </w:p>
          <w:p w14:paraId="14125FC2"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31.4180</w:t>
            </w:r>
          </w:p>
        </w:tc>
        <w:tc>
          <w:tcPr>
            <w:tcW w:w="675" w:type="pct"/>
            <w:vAlign w:val="center"/>
          </w:tcPr>
          <w:p w14:paraId="1FF04CA0"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0.5</w:t>
            </w:r>
          </w:p>
        </w:tc>
        <w:tc>
          <w:tcPr>
            <w:tcW w:w="852" w:type="pct"/>
            <w:vAlign w:val="center"/>
          </w:tcPr>
          <w:p w14:paraId="60B863F9" w14:textId="1AAFCF52"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7C53D6FB" w14:textId="77777777" w:rsidTr="00D35EC4">
        <w:trPr>
          <w:trHeight w:val="283"/>
          <w:jc w:val="center"/>
        </w:trPr>
        <w:tc>
          <w:tcPr>
            <w:tcW w:w="722" w:type="pct"/>
            <w:vMerge/>
            <w:vAlign w:val="center"/>
          </w:tcPr>
          <w:p w14:paraId="6194A24D"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1E2342FC"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井台西南侧约</w:t>
            </w:r>
            <w:r w:rsidRPr="00092862">
              <w:rPr>
                <w:rFonts w:ascii="Times New Roman" w:eastAsia="宋体" w:hAnsi="Times New Roman" w:cs="Times New Roman"/>
                <w:color w:val="000000" w:themeColor="text1"/>
              </w:rPr>
              <w:t>930m</w:t>
            </w:r>
            <w:r w:rsidRPr="00092862">
              <w:rPr>
                <w:rFonts w:ascii="Times New Roman" w:eastAsia="宋体" w:hAnsi="Times New Roman" w:cs="Times New Roman"/>
                <w:color w:val="000000" w:themeColor="text1"/>
              </w:rPr>
              <w:t>处</w:t>
            </w:r>
          </w:p>
        </w:tc>
        <w:tc>
          <w:tcPr>
            <w:tcW w:w="1170" w:type="pct"/>
            <w:vAlign w:val="center"/>
          </w:tcPr>
          <w:p w14:paraId="49CD7D50"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107.8045</w:t>
            </w:r>
            <w:r w:rsidRPr="00092862">
              <w:rPr>
                <w:rFonts w:ascii="Times New Roman" w:eastAsia="宋体" w:hAnsi="Times New Roman" w:cs="Times New Roman"/>
                <w:color w:val="000000" w:themeColor="text1"/>
              </w:rPr>
              <w:t>，</w:t>
            </w:r>
          </w:p>
          <w:p w14:paraId="6B4D2FA4"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31.5103</w:t>
            </w:r>
          </w:p>
        </w:tc>
        <w:tc>
          <w:tcPr>
            <w:tcW w:w="675" w:type="pct"/>
            <w:vAlign w:val="center"/>
          </w:tcPr>
          <w:p w14:paraId="0B298EA8"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0.5</w:t>
            </w:r>
          </w:p>
        </w:tc>
        <w:tc>
          <w:tcPr>
            <w:tcW w:w="852" w:type="pct"/>
            <w:vAlign w:val="center"/>
          </w:tcPr>
          <w:p w14:paraId="5452820C" w14:textId="65B14B89"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6B5F7BF4" w14:textId="77777777" w:rsidTr="00D35EC4">
        <w:trPr>
          <w:trHeight w:val="283"/>
          <w:jc w:val="center"/>
        </w:trPr>
        <w:tc>
          <w:tcPr>
            <w:tcW w:w="722" w:type="pct"/>
            <w:vMerge/>
            <w:vAlign w:val="center"/>
          </w:tcPr>
          <w:p w14:paraId="376B461B"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296D5B71"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井台北侧约</w:t>
            </w:r>
            <w:r w:rsidRPr="00092862">
              <w:rPr>
                <w:rFonts w:ascii="Times New Roman" w:eastAsia="宋体" w:hAnsi="Times New Roman" w:cs="Times New Roman"/>
                <w:color w:val="000000" w:themeColor="text1"/>
              </w:rPr>
              <w:t>432m</w:t>
            </w:r>
            <w:r w:rsidRPr="00092862">
              <w:rPr>
                <w:rFonts w:ascii="Times New Roman" w:eastAsia="宋体" w:hAnsi="Times New Roman" w:cs="Times New Roman"/>
                <w:color w:val="000000" w:themeColor="text1"/>
              </w:rPr>
              <w:t>处</w:t>
            </w:r>
          </w:p>
        </w:tc>
        <w:tc>
          <w:tcPr>
            <w:tcW w:w="1170" w:type="pct"/>
            <w:vAlign w:val="center"/>
          </w:tcPr>
          <w:p w14:paraId="6359CB86"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107.8204</w:t>
            </w:r>
            <w:r w:rsidRPr="00092862">
              <w:rPr>
                <w:rFonts w:ascii="Times New Roman" w:eastAsia="宋体" w:hAnsi="Times New Roman" w:cs="Times New Roman"/>
                <w:color w:val="000000" w:themeColor="text1"/>
              </w:rPr>
              <w:t>，</w:t>
            </w:r>
          </w:p>
          <w:p w14:paraId="06E1CCD8"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31.4517</w:t>
            </w:r>
          </w:p>
        </w:tc>
        <w:tc>
          <w:tcPr>
            <w:tcW w:w="675" w:type="pct"/>
            <w:vAlign w:val="center"/>
          </w:tcPr>
          <w:p w14:paraId="1F7C22EF"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0.5</w:t>
            </w:r>
          </w:p>
        </w:tc>
        <w:tc>
          <w:tcPr>
            <w:tcW w:w="852" w:type="pct"/>
            <w:vAlign w:val="center"/>
          </w:tcPr>
          <w:p w14:paraId="7854E198" w14:textId="511406E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井水</w:t>
            </w:r>
          </w:p>
        </w:tc>
      </w:tr>
      <w:tr w:rsidR="00697429" w:rsidRPr="00092862" w14:paraId="4147CD3F" w14:textId="77777777" w:rsidTr="00D35EC4">
        <w:trPr>
          <w:trHeight w:val="283"/>
          <w:jc w:val="center"/>
        </w:trPr>
        <w:tc>
          <w:tcPr>
            <w:tcW w:w="722" w:type="pct"/>
            <w:vMerge/>
            <w:vAlign w:val="center"/>
          </w:tcPr>
          <w:p w14:paraId="492323AB"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641C43D7"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4#</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井台北侧约</w:t>
            </w:r>
            <w:r w:rsidRPr="00092862">
              <w:rPr>
                <w:rFonts w:ascii="Times New Roman" w:eastAsia="宋体" w:hAnsi="Times New Roman" w:cs="Times New Roman"/>
                <w:color w:val="000000" w:themeColor="text1"/>
              </w:rPr>
              <w:t>1399m</w:t>
            </w:r>
            <w:r w:rsidRPr="00092862">
              <w:rPr>
                <w:rFonts w:ascii="Times New Roman" w:eastAsia="宋体" w:hAnsi="Times New Roman" w:cs="Times New Roman"/>
                <w:color w:val="000000" w:themeColor="text1"/>
              </w:rPr>
              <w:t>处</w:t>
            </w:r>
          </w:p>
        </w:tc>
        <w:tc>
          <w:tcPr>
            <w:tcW w:w="1170" w:type="pct"/>
            <w:vAlign w:val="center"/>
          </w:tcPr>
          <w:p w14:paraId="2B637E73"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107.8277</w:t>
            </w:r>
            <w:r w:rsidRPr="00092862">
              <w:rPr>
                <w:rFonts w:ascii="Times New Roman" w:eastAsia="宋体" w:hAnsi="Times New Roman" w:cs="Times New Roman"/>
                <w:color w:val="000000" w:themeColor="text1"/>
              </w:rPr>
              <w:t>，</w:t>
            </w:r>
          </w:p>
          <w:p w14:paraId="22F6D879"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31.4616</w:t>
            </w:r>
          </w:p>
        </w:tc>
        <w:tc>
          <w:tcPr>
            <w:tcW w:w="675" w:type="pct"/>
            <w:vAlign w:val="center"/>
          </w:tcPr>
          <w:p w14:paraId="72DB5380"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0.2</w:t>
            </w:r>
          </w:p>
        </w:tc>
        <w:tc>
          <w:tcPr>
            <w:tcW w:w="852" w:type="pct"/>
            <w:vAlign w:val="center"/>
          </w:tcPr>
          <w:p w14:paraId="631F4285" w14:textId="21703678"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3300FCC5" w14:textId="77777777" w:rsidTr="00D35EC4">
        <w:trPr>
          <w:trHeight w:val="283"/>
          <w:jc w:val="center"/>
        </w:trPr>
        <w:tc>
          <w:tcPr>
            <w:tcW w:w="722" w:type="pct"/>
            <w:vMerge/>
            <w:vAlign w:val="center"/>
          </w:tcPr>
          <w:p w14:paraId="7A99B70F"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7610BE18"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井台东侧约</w:t>
            </w:r>
            <w:r w:rsidRPr="00092862">
              <w:rPr>
                <w:rFonts w:ascii="Times New Roman" w:eastAsia="宋体" w:hAnsi="Times New Roman" w:cs="Times New Roman"/>
                <w:color w:val="000000" w:themeColor="text1"/>
              </w:rPr>
              <w:t>2132m</w:t>
            </w:r>
            <w:r w:rsidRPr="00092862">
              <w:rPr>
                <w:rFonts w:ascii="Times New Roman" w:eastAsia="宋体" w:hAnsi="Times New Roman" w:cs="Times New Roman"/>
                <w:color w:val="000000" w:themeColor="text1"/>
              </w:rPr>
              <w:t>处</w:t>
            </w:r>
          </w:p>
        </w:tc>
        <w:tc>
          <w:tcPr>
            <w:tcW w:w="1170" w:type="pct"/>
            <w:vAlign w:val="center"/>
          </w:tcPr>
          <w:p w14:paraId="7B59A476"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107.8555</w:t>
            </w:r>
            <w:r w:rsidRPr="00092862">
              <w:rPr>
                <w:rFonts w:ascii="Times New Roman" w:eastAsia="宋体" w:hAnsi="Times New Roman" w:cs="Times New Roman"/>
                <w:color w:val="000000" w:themeColor="text1"/>
              </w:rPr>
              <w:t>，</w:t>
            </w:r>
          </w:p>
          <w:p w14:paraId="39074BE9"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31.4986</w:t>
            </w:r>
          </w:p>
        </w:tc>
        <w:tc>
          <w:tcPr>
            <w:tcW w:w="675" w:type="pct"/>
            <w:vAlign w:val="center"/>
          </w:tcPr>
          <w:p w14:paraId="67F80C06"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w:t>
            </w:r>
          </w:p>
        </w:tc>
        <w:tc>
          <w:tcPr>
            <w:tcW w:w="852" w:type="pct"/>
            <w:vAlign w:val="center"/>
          </w:tcPr>
          <w:p w14:paraId="31F22EFA"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0B7EB67F" w14:textId="77777777" w:rsidTr="00D35EC4">
        <w:trPr>
          <w:trHeight w:val="283"/>
          <w:jc w:val="center"/>
        </w:trPr>
        <w:tc>
          <w:tcPr>
            <w:tcW w:w="722" w:type="pct"/>
            <w:vMerge/>
            <w:vAlign w:val="center"/>
          </w:tcPr>
          <w:p w14:paraId="47EDE423"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0C55F300"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井台西侧约</w:t>
            </w:r>
            <w:r w:rsidRPr="00092862">
              <w:rPr>
                <w:rFonts w:ascii="Times New Roman" w:eastAsia="宋体" w:hAnsi="Times New Roman" w:cs="Times New Roman"/>
                <w:color w:val="000000" w:themeColor="text1"/>
              </w:rPr>
              <w:t>746m</w:t>
            </w:r>
            <w:r w:rsidRPr="00092862">
              <w:rPr>
                <w:rFonts w:ascii="Times New Roman" w:eastAsia="宋体" w:hAnsi="Times New Roman" w:cs="Times New Roman"/>
                <w:color w:val="000000" w:themeColor="text1"/>
              </w:rPr>
              <w:t>处</w:t>
            </w:r>
          </w:p>
        </w:tc>
        <w:tc>
          <w:tcPr>
            <w:tcW w:w="1170" w:type="pct"/>
            <w:vAlign w:val="center"/>
          </w:tcPr>
          <w:p w14:paraId="58580A22"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107.8162</w:t>
            </w:r>
            <w:r w:rsidRPr="00092862">
              <w:rPr>
                <w:rFonts w:ascii="Times New Roman" w:eastAsia="宋体" w:hAnsi="Times New Roman" w:cs="Times New Roman"/>
                <w:color w:val="000000" w:themeColor="text1"/>
              </w:rPr>
              <w:t>，</w:t>
            </w:r>
          </w:p>
          <w:p w14:paraId="4489B0F7"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31.4499</w:t>
            </w:r>
          </w:p>
        </w:tc>
        <w:tc>
          <w:tcPr>
            <w:tcW w:w="675" w:type="pct"/>
            <w:vAlign w:val="center"/>
          </w:tcPr>
          <w:p w14:paraId="7156BBCF"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w:t>
            </w:r>
          </w:p>
        </w:tc>
        <w:tc>
          <w:tcPr>
            <w:tcW w:w="852" w:type="pct"/>
            <w:vAlign w:val="center"/>
          </w:tcPr>
          <w:p w14:paraId="276FEA5D"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2CE8C538" w14:textId="77777777" w:rsidTr="00D35EC4">
        <w:trPr>
          <w:trHeight w:val="283"/>
          <w:jc w:val="center"/>
        </w:trPr>
        <w:tc>
          <w:tcPr>
            <w:tcW w:w="722" w:type="pct"/>
            <w:vMerge/>
            <w:vAlign w:val="center"/>
          </w:tcPr>
          <w:p w14:paraId="172BEF45"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0B86E856"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井台西北侧约</w:t>
            </w:r>
            <w:r w:rsidRPr="00092862">
              <w:rPr>
                <w:rFonts w:ascii="Times New Roman" w:eastAsia="宋体" w:hAnsi="Times New Roman" w:cs="Times New Roman"/>
                <w:color w:val="000000" w:themeColor="text1"/>
              </w:rPr>
              <w:t>667m</w:t>
            </w:r>
            <w:r w:rsidRPr="00092862">
              <w:rPr>
                <w:rFonts w:ascii="Times New Roman" w:eastAsia="宋体" w:hAnsi="Times New Roman" w:cs="Times New Roman"/>
                <w:color w:val="000000" w:themeColor="text1"/>
              </w:rPr>
              <w:t>处</w:t>
            </w:r>
          </w:p>
        </w:tc>
        <w:tc>
          <w:tcPr>
            <w:tcW w:w="1170" w:type="pct"/>
            <w:vAlign w:val="center"/>
          </w:tcPr>
          <w:p w14:paraId="518BDC8B"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107.8045</w:t>
            </w:r>
            <w:r w:rsidRPr="00092862">
              <w:rPr>
                <w:rFonts w:ascii="Times New Roman" w:eastAsia="宋体" w:hAnsi="Times New Roman" w:cs="Times New Roman"/>
                <w:color w:val="000000" w:themeColor="text1"/>
              </w:rPr>
              <w:t>，</w:t>
            </w:r>
          </w:p>
          <w:p w14:paraId="7D98AE43"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31.5103</w:t>
            </w:r>
          </w:p>
        </w:tc>
        <w:tc>
          <w:tcPr>
            <w:tcW w:w="675" w:type="pct"/>
            <w:vAlign w:val="center"/>
          </w:tcPr>
          <w:p w14:paraId="65624483"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w:t>
            </w:r>
          </w:p>
        </w:tc>
        <w:tc>
          <w:tcPr>
            <w:tcW w:w="852" w:type="pct"/>
            <w:vAlign w:val="center"/>
          </w:tcPr>
          <w:p w14:paraId="05EB3F51"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1324B5BF" w14:textId="77777777" w:rsidTr="00D35EC4">
        <w:trPr>
          <w:trHeight w:val="283"/>
          <w:jc w:val="center"/>
        </w:trPr>
        <w:tc>
          <w:tcPr>
            <w:tcW w:w="722" w:type="pct"/>
            <w:vMerge/>
            <w:vAlign w:val="center"/>
          </w:tcPr>
          <w:p w14:paraId="78E2B10F"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2BAF83BD"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8#</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井台北侧约</w:t>
            </w:r>
            <w:r w:rsidRPr="00092862">
              <w:rPr>
                <w:rFonts w:ascii="Times New Roman" w:eastAsia="宋体" w:hAnsi="Times New Roman" w:cs="Times New Roman"/>
                <w:color w:val="000000" w:themeColor="text1"/>
              </w:rPr>
              <w:t>1663m</w:t>
            </w:r>
            <w:r w:rsidRPr="00092862">
              <w:rPr>
                <w:rFonts w:ascii="Times New Roman" w:eastAsia="宋体" w:hAnsi="Times New Roman" w:cs="Times New Roman"/>
                <w:color w:val="000000" w:themeColor="text1"/>
              </w:rPr>
              <w:t>处</w:t>
            </w:r>
          </w:p>
        </w:tc>
        <w:tc>
          <w:tcPr>
            <w:tcW w:w="1170" w:type="pct"/>
            <w:vAlign w:val="center"/>
          </w:tcPr>
          <w:p w14:paraId="075DA3BC"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107.8280</w:t>
            </w:r>
            <w:r w:rsidRPr="00092862">
              <w:rPr>
                <w:rFonts w:ascii="Times New Roman" w:eastAsia="宋体" w:hAnsi="Times New Roman" w:cs="Times New Roman"/>
                <w:color w:val="000000" w:themeColor="text1"/>
              </w:rPr>
              <w:t>，</w:t>
            </w:r>
          </w:p>
          <w:p w14:paraId="2E5F0E02"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31.4648</w:t>
            </w:r>
          </w:p>
        </w:tc>
        <w:tc>
          <w:tcPr>
            <w:tcW w:w="675" w:type="pct"/>
            <w:vAlign w:val="center"/>
          </w:tcPr>
          <w:p w14:paraId="0FA92ABC"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w:t>
            </w:r>
          </w:p>
        </w:tc>
        <w:tc>
          <w:tcPr>
            <w:tcW w:w="852" w:type="pct"/>
            <w:vAlign w:val="center"/>
          </w:tcPr>
          <w:p w14:paraId="67D93720"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3DDE1494" w14:textId="77777777" w:rsidTr="00D35EC4">
        <w:trPr>
          <w:trHeight w:val="283"/>
          <w:jc w:val="center"/>
        </w:trPr>
        <w:tc>
          <w:tcPr>
            <w:tcW w:w="722" w:type="pct"/>
            <w:vMerge/>
            <w:vAlign w:val="center"/>
          </w:tcPr>
          <w:p w14:paraId="025D222E"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49F4DE41"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9#</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井台东北侧约</w:t>
            </w:r>
            <w:r w:rsidRPr="00092862">
              <w:rPr>
                <w:rFonts w:ascii="Times New Roman" w:eastAsia="宋体" w:hAnsi="Times New Roman" w:cs="Times New Roman"/>
                <w:color w:val="000000" w:themeColor="text1"/>
              </w:rPr>
              <w:t>1927m</w:t>
            </w:r>
            <w:r w:rsidRPr="00092862">
              <w:rPr>
                <w:rFonts w:ascii="Times New Roman" w:eastAsia="宋体" w:hAnsi="Times New Roman" w:cs="Times New Roman"/>
                <w:color w:val="000000" w:themeColor="text1"/>
              </w:rPr>
              <w:t>处</w:t>
            </w:r>
          </w:p>
        </w:tc>
        <w:tc>
          <w:tcPr>
            <w:tcW w:w="1170" w:type="pct"/>
            <w:vAlign w:val="center"/>
          </w:tcPr>
          <w:p w14:paraId="51FF4F83"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107.8334</w:t>
            </w:r>
            <w:r w:rsidRPr="00092862">
              <w:rPr>
                <w:rFonts w:ascii="Times New Roman" w:eastAsia="宋体" w:hAnsi="Times New Roman" w:cs="Times New Roman"/>
                <w:color w:val="000000" w:themeColor="text1"/>
              </w:rPr>
              <w:t>，</w:t>
            </w:r>
          </w:p>
          <w:p w14:paraId="4A9A34A6"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31.4644</w:t>
            </w:r>
          </w:p>
        </w:tc>
        <w:tc>
          <w:tcPr>
            <w:tcW w:w="675" w:type="pct"/>
            <w:vAlign w:val="center"/>
          </w:tcPr>
          <w:p w14:paraId="18E298E7"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w:t>
            </w:r>
          </w:p>
        </w:tc>
        <w:tc>
          <w:tcPr>
            <w:tcW w:w="852" w:type="pct"/>
            <w:vAlign w:val="center"/>
          </w:tcPr>
          <w:p w14:paraId="48108C2A"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r w:rsidR="00697429" w:rsidRPr="00092862" w14:paraId="38E89B77" w14:textId="77777777" w:rsidTr="00D35EC4">
        <w:trPr>
          <w:trHeight w:val="283"/>
          <w:jc w:val="center"/>
        </w:trPr>
        <w:tc>
          <w:tcPr>
            <w:tcW w:w="722" w:type="pct"/>
            <w:vMerge/>
            <w:vAlign w:val="center"/>
          </w:tcPr>
          <w:p w14:paraId="0BC84C22" w14:textId="77777777" w:rsidR="00D35EC4" w:rsidRPr="00092862" w:rsidRDefault="00D35EC4" w:rsidP="00D35EC4">
            <w:pPr>
              <w:spacing w:after="120"/>
              <w:jc w:val="center"/>
              <w:rPr>
                <w:rFonts w:ascii="Times New Roman" w:eastAsia="宋体" w:hAnsi="Times New Roman" w:cs="Times New Roman"/>
                <w:color w:val="000000" w:themeColor="text1"/>
              </w:rPr>
            </w:pPr>
          </w:p>
        </w:tc>
        <w:tc>
          <w:tcPr>
            <w:tcW w:w="1581" w:type="pct"/>
            <w:vAlign w:val="center"/>
          </w:tcPr>
          <w:p w14:paraId="1E1D6A14"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10#</w:t>
            </w:r>
            <w:r w:rsidRPr="00092862">
              <w:rPr>
                <w:rFonts w:ascii="Times New Roman" w:eastAsia="宋体" w:hAnsi="Times New Roman" w:cs="Times New Roman"/>
                <w:color w:val="000000" w:themeColor="text1"/>
              </w:rPr>
              <w:t>老君</w:t>
            </w:r>
            <w:r w:rsidRPr="00092862">
              <w:rPr>
                <w:rFonts w:ascii="Times New Roman" w:eastAsia="宋体" w:hAnsi="Times New Roman" w:cs="Times New Roman"/>
                <w:color w:val="000000" w:themeColor="text1"/>
              </w:rPr>
              <w:t>7011</w:t>
            </w:r>
            <w:r w:rsidRPr="00092862">
              <w:rPr>
                <w:rFonts w:ascii="Times New Roman" w:eastAsia="宋体" w:hAnsi="Times New Roman" w:cs="Times New Roman"/>
                <w:color w:val="000000" w:themeColor="text1"/>
              </w:rPr>
              <w:t>井台东北侧约</w:t>
            </w:r>
            <w:r w:rsidRPr="00092862">
              <w:rPr>
                <w:rFonts w:ascii="Times New Roman" w:eastAsia="宋体" w:hAnsi="Times New Roman" w:cs="Times New Roman"/>
                <w:color w:val="000000" w:themeColor="text1"/>
              </w:rPr>
              <w:t>2373m</w:t>
            </w:r>
            <w:r w:rsidRPr="00092862">
              <w:rPr>
                <w:rFonts w:ascii="Times New Roman" w:eastAsia="宋体" w:hAnsi="Times New Roman" w:cs="Times New Roman"/>
                <w:color w:val="000000" w:themeColor="text1"/>
              </w:rPr>
              <w:t>处</w:t>
            </w:r>
          </w:p>
        </w:tc>
        <w:tc>
          <w:tcPr>
            <w:tcW w:w="1170" w:type="pct"/>
            <w:vAlign w:val="center"/>
          </w:tcPr>
          <w:p w14:paraId="697B3DCE"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东经</w:t>
            </w:r>
            <w:r w:rsidRPr="00092862">
              <w:rPr>
                <w:rFonts w:ascii="Times New Roman" w:eastAsia="宋体" w:hAnsi="Times New Roman" w:cs="Times New Roman"/>
                <w:color w:val="000000" w:themeColor="text1"/>
              </w:rPr>
              <w:t>107.8478</w:t>
            </w:r>
            <w:r w:rsidRPr="00092862">
              <w:rPr>
                <w:rFonts w:ascii="Times New Roman" w:eastAsia="宋体" w:hAnsi="Times New Roman" w:cs="Times New Roman"/>
                <w:color w:val="000000" w:themeColor="text1"/>
              </w:rPr>
              <w:t>，</w:t>
            </w:r>
          </w:p>
          <w:p w14:paraId="37FEFF0C"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北纬</w:t>
            </w:r>
            <w:r w:rsidRPr="00092862">
              <w:rPr>
                <w:rFonts w:ascii="Times New Roman" w:eastAsia="宋体" w:hAnsi="Times New Roman" w:cs="Times New Roman"/>
                <w:color w:val="000000" w:themeColor="text1"/>
              </w:rPr>
              <w:t>31.4555</w:t>
            </w:r>
          </w:p>
        </w:tc>
        <w:tc>
          <w:tcPr>
            <w:tcW w:w="675" w:type="pct"/>
            <w:vAlign w:val="center"/>
          </w:tcPr>
          <w:p w14:paraId="4C8B48D3"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w:t>
            </w:r>
          </w:p>
        </w:tc>
        <w:tc>
          <w:tcPr>
            <w:tcW w:w="852" w:type="pct"/>
            <w:vAlign w:val="center"/>
          </w:tcPr>
          <w:p w14:paraId="16759BD9" w14:textId="77777777" w:rsidR="00D35EC4" w:rsidRPr="00092862" w:rsidRDefault="00D35EC4" w:rsidP="00D35EC4">
            <w:pPr>
              <w:autoSpaceDE w:val="0"/>
              <w:autoSpaceDN w:val="0"/>
              <w:adjustRightIn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泉涌水</w:t>
            </w:r>
          </w:p>
        </w:tc>
      </w:tr>
    </w:tbl>
    <w:p w14:paraId="6CD6280C" w14:textId="77777777" w:rsidR="00DC446C" w:rsidRPr="00092862" w:rsidRDefault="003B1968"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r w:rsidRPr="00092862">
        <w:rPr>
          <w:rFonts w:ascii="Times New Roman" w:eastAsia="黑体" w:hAnsi="Times New Roman"/>
          <w:b w:val="0"/>
          <w:color w:val="000000" w:themeColor="text1"/>
          <w:sz w:val="24"/>
          <w:szCs w:val="24"/>
          <w:lang w:eastAsia="zh-CN"/>
        </w:rPr>
        <w:t>4.2.5</w:t>
      </w:r>
      <w:r w:rsidRPr="00092862">
        <w:rPr>
          <w:rFonts w:ascii="Times New Roman" w:eastAsia="黑体" w:hAnsi="Times New Roman"/>
          <w:b w:val="0"/>
          <w:color w:val="000000" w:themeColor="text1"/>
          <w:sz w:val="24"/>
          <w:szCs w:val="24"/>
          <w:lang w:eastAsia="zh-CN"/>
        </w:rPr>
        <w:t>土壤环境质量现状</w:t>
      </w:r>
      <w:bookmarkEnd w:id="171"/>
    </w:p>
    <w:p w14:paraId="265C7599" w14:textId="76F6CFC4" w:rsidR="00C30BD8" w:rsidRPr="00092862" w:rsidRDefault="0033604C" w:rsidP="00C30BD8">
      <w:pPr>
        <w:adjustRightInd w:val="0"/>
        <w:snapToGrid w:val="0"/>
        <w:spacing w:line="360" w:lineRule="auto"/>
        <w:ind w:firstLineChars="200" w:firstLine="482"/>
        <w:outlineLvl w:val="3"/>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4.2</w:t>
      </w:r>
      <w:r w:rsidR="00C30BD8" w:rsidRPr="00092862">
        <w:rPr>
          <w:rFonts w:ascii="Times New Roman" w:eastAsia="宋体" w:hAnsi="Times New Roman" w:cs="Times New Roman"/>
          <w:b/>
          <w:color w:val="000000" w:themeColor="text1"/>
          <w:sz w:val="24"/>
          <w:szCs w:val="24"/>
        </w:rPr>
        <w:t xml:space="preserve">.5.1 </w:t>
      </w:r>
      <w:r w:rsidR="00C30BD8" w:rsidRPr="00092862">
        <w:rPr>
          <w:rFonts w:ascii="Times New Roman" w:eastAsia="宋体" w:hAnsi="Times New Roman" w:cs="Times New Roman"/>
          <w:b/>
          <w:color w:val="000000" w:themeColor="text1"/>
          <w:sz w:val="24"/>
          <w:szCs w:val="24"/>
        </w:rPr>
        <w:t>土壤理化性质调查、利用状况调查</w:t>
      </w:r>
    </w:p>
    <w:p w14:paraId="44183790" w14:textId="59146776" w:rsidR="00C30BD8" w:rsidRPr="00092862" w:rsidRDefault="00C30BD8" w:rsidP="00C30BD8">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本次评价重点针对平台周边</w:t>
      </w:r>
      <w:r w:rsidRPr="00092862">
        <w:rPr>
          <w:rFonts w:ascii="Times New Roman" w:eastAsia="宋体" w:hAnsi="Times New Roman" w:cs="Times New Roman"/>
          <w:bCs/>
          <w:color w:val="000000" w:themeColor="text1"/>
          <w:sz w:val="24"/>
          <w:szCs w:val="24"/>
        </w:rPr>
        <w:t>200m</w:t>
      </w:r>
      <w:r w:rsidRPr="00092862">
        <w:rPr>
          <w:rFonts w:ascii="Times New Roman" w:eastAsia="宋体" w:hAnsi="Times New Roman" w:cs="Times New Roman"/>
          <w:bCs/>
          <w:color w:val="000000" w:themeColor="text1"/>
          <w:sz w:val="24"/>
          <w:szCs w:val="24"/>
        </w:rPr>
        <w:t>范围进行调查，通过调查相关资料，并结合国家土壤信息服务平台（中国</w:t>
      </w:r>
      <w:r w:rsidRPr="00092862">
        <w:rPr>
          <w:rFonts w:ascii="Times New Roman" w:eastAsia="宋体" w:hAnsi="Times New Roman" w:cs="Times New Roman"/>
          <w:bCs/>
          <w:color w:val="000000" w:themeColor="text1"/>
          <w:sz w:val="24"/>
          <w:szCs w:val="24"/>
        </w:rPr>
        <w:t>1km</w:t>
      </w:r>
      <w:r w:rsidRPr="00092862">
        <w:rPr>
          <w:rFonts w:ascii="Times New Roman" w:eastAsia="宋体" w:hAnsi="Times New Roman" w:cs="Times New Roman"/>
          <w:bCs/>
          <w:color w:val="000000" w:themeColor="text1"/>
          <w:sz w:val="24"/>
          <w:szCs w:val="24"/>
        </w:rPr>
        <w:t>土壤类型图），本项目周边土壤类型属</w:t>
      </w:r>
      <w:r w:rsidR="00080305" w:rsidRPr="00092862">
        <w:rPr>
          <w:rFonts w:ascii="Times New Roman" w:eastAsia="宋体" w:hAnsi="Times New Roman" w:cs="Times New Roman"/>
          <w:bCs/>
          <w:color w:val="000000" w:themeColor="text1"/>
          <w:sz w:val="24"/>
          <w:szCs w:val="24"/>
        </w:rPr>
        <w:t>棕色</w:t>
      </w:r>
      <w:r w:rsidRPr="00092862">
        <w:rPr>
          <w:rFonts w:ascii="Times New Roman" w:eastAsia="宋体" w:hAnsi="Times New Roman" w:cs="Times New Roman"/>
          <w:bCs/>
          <w:color w:val="000000" w:themeColor="text1"/>
          <w:sz w:val="24"/>
          <w:szCs w:val="24"/>
        </w:rPr>
        <w:t>壤土。为了解项目所在区域的环境质量现状，本次评价委托</w:t>
      </w:r>
      <w:r w:rsidR="00C17127" w:rsidRPr="00092862">
        <w:rPr>
          <w:rFonts w:ascii="Times New Roman" w:eastAsia="宋体" w:hAnsi="Times New Roman" w:cs="Times New Roman"/>
          <w:bCs/>
          <w:color w:val="000000" w:themeColor="text1"/>
          <w:sz w:val="24"/>
          <w:szCs w:val="24"/>
        </w:rPr>
        <w:t>四川省允诺信检测技术有限公司</w:t>
      </w:r>
      <w:r w:rsidRPr="00092862">
        <w:rPr>
          <w:rFonts w:ascii="Times New Roman" w:eastAsia="宋体" w:hAnsi="Times New Roman" w:cs="Times New Roman"/>
          <w:bCs/>
          <w:color w:val="000000" w:themeColor="text1"/>
          <w:sz w:val="24"/>
          <w:szCs w:val="24"/>
        </w:rPr>
        <w:t>对项目所在区域进行了土壤环境现状监测与调查。周边土壤理化特性见表</w:t>
      </w:r>
      <w:r w:rsidR="0007350F" w:rsidRPr="00092862">
        <w:rPr>
          <w:rFonts w:ascii="Times New Roman" w:eastAsia="宋体" w:hAnsi="Times New Roman" w:cs="Times New Roman"/>
          <w:bCs/>
          <w:color w:val="000000" w:themeColor="text1"/>
          <w:sz w:val="24"/>
          <w:szCs w:val="24"/>
        </w:rPr>
        <w:t>4.2-10</w:t>
      </w:r>
      <w:r w:rsidRPr="00092862">
        <w:rPr>
          <w:rFonts w:ascii="Times New Roman" w:eastAsia="宋体" w:hAnsi="Times New Roman" w:cs="Times New Roman"/>
          <w:bCs/>
          <w:color w:val="000000" w:themeColor="text1"/>
          <w:sz w:val="24"/>
          <w:szCs w:val="24"/>
        </w:rPr>
        <w:t>。</w:t>
      </w:r>
    </w:p>
    <w:p w14:paraId="70186600" w14:textId="229DA3A0" w:rsidR="00C30BD8" w:rsidRPr="00092862" w:rsidRDefault="00C30BD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7350F" w:rsidRPr="00092862">
        <w:rPr>
          <w:rFonts w:ascii="Times New Roman" w:eastAsia="黑体" w:hAnsi="Times New Roman"/>
          <w:color w:val="000000" w:themeColor="text1"/>
          <w:sz w:val="21"/>
          <w:szCs w:val="21"/>
          <w:lang w:eastAsia="zh-CN"/>
        </w:rPr>
        <w:t xml:space="preserve">4.2-10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土壤理化特性调查表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8"/>
        <w:gridCol w:w="2785"/>
        <w:gridCol w:w="1313"/>
        <w:gridCol w:w="1313"/>
        <w:gridCol w:w="1311"/>
      </w:tblGrid>
      <w:tr w:rsidR="00697429" w:rsidRPr="00092862" w14:paraId="2C712EBF" w14:textId="77777777" w:rsidTr="008C00B1">
        <w:trPr>
          <w:trHeight w:val="787"/>
          <w:jc w:val="center"/>
        </w:trPr>
        <w:tc>
          <w:tcPr>
            <w:tcW w:w="950" w:type="pct"/>
            <w:vMerge w:val="restart"/>
            <w:tcMar>
              <w:top w:w="57" w:type="dxa"/>
              <w:left w:w="0" w:type="dxa"/>
              <w:bottom w:w="57" w:type="dxa"/>
              <w:right w:w="0" w:type="dxa"/>
            </w:tcMar>
            <w:vAlign w:val="center"/>
          </w:tcPr>
          <w:p w14:paraId="205DB4ED"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 xml:space="preserve">               </w:t>
            </w:r>
          </w:p>
          <w:p w14:paraId="45F2ADB5" w14:textId="77777777" w:rsidR="00D35EC4" w:rsidRPr="00092862" w:rsidRDefault="00D35EC4" w:rsidP="00D35EC4">
            <w:pPr>
              <w:tabs>
                <w:tab w:val="left" w:pos="751"/>
              </w:tabs>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 xml:space="preserve">       </w:t>
            </w:r>
          </w:p>
          <w:p w14:paraId="09FEC8C8" w14:textId="77777777" w:rsidR="00D35EC4" w:rsidRPr="00092862" w:rsidRDefault="00D35EC4" w:rsidP="00D35EC4">
            <w:pPr>
              <w:tabs>
                <w:tab w:val="left" w:pos="751"/>
              </w:tabs>
              <w:ind w:firstLineChars="200" w:firstLine="42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采样日期</w:t>
            </w:r>
          </w:p>
        </w:tc>
        <w:tc>
          <w:tcPr>
            <w:tcW w:w="1678" w:type="pct"/>
            <w:vMerge w:val="restart"/>
            <w:tcMar>
              <w:top w:w="57" w:type="dxa"/>
              <w:left w:w="0" w:type="dxa"/>
              <w:bottom w:w="57" w:type="dxa"/>
              <w:right w:w="0" w:type="dxa"/>
            </w:tcMar>
            <w:vAlign w:val="center"/>
          </w:tcPr>
          <w:p w14:paraId="0E6953D6" w14:textId="7ACC31EC" w:rsidR="00D35EC4" w:rsidRPr="00092862" w:rsidRDefault="00D35EC4" w:rsidP="00D35EC4">
            <w:pPr>
              <w:ind w:firstLineChars="200" w:firstLine="420"/>
              <w:rPr>
                <w:rFonts w:ascii="Times New Roman" w:eastAsia="宋体" w:hAnsi="Times New Roman" w:cs="Times New Roman"/>
                <w:color w:val="000000" w:themeColor="text1"/>
                <w:szCs w:val="24"/>
              </w:rPr>
            </w:pPr>
            <w:r w:rsidRPr="00092862">
              <w:rPr>
                <w:rFonts w:ascii="Times New Roman" w:eastAsia="宋体" w:hAnsi="Times New Roman" w:cs="Times New Roman"/>
                <w:noProof/>
                <w:color w:val="000000" w:themeColor="text1"/>
              </w:rPr>
              <mc:AlternateContent>
                <mc:Choice Requires="wps">
                  <w:drawing>
                    <wp:anchor distT="0" distB="0" distL="114300" distR="114300" simplePos="0" relativeHeight="252429312" behindDoc="0" locked="0" layoutInCell="1" allowOverlap="1" wp14:anchorId="73DA7F97" wp14:editId="6F67C3B7">
                      <wp:simplePos x="0" y="0"/>
                      <wp:positionH relativeFrom="column">
                        <wp:posOffset>7620</wp:posOffset>
                      </wp:positionH>
                      <wp:positionV relativeFrom="paragraph">
                        <wp:posOffset>-8890</wp:posOffset>
                      </wp:positionV>
                      <wp:extent cx="2009140" cy="823595"/>
                      <wp:effectExtent l="5080" t="1905" r="5080" b="3175"/>
                      <wp:wrapNone/>
                      <wp:docPr id="1804" name="直接箭头连接符 1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9140" cy="823595"/>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416B7CE" id="_x0000_t32" coordsize="21600,21600" o:spt="32" o:oned="t" path="m,l21600,21600e" filled="f">
                      <v:path arrowok="t" fillok="f" o:connecttype="none"/>
                      <o:lock v:ext="edit" shapetype="t"/>
                    </v:shapetype>
                    <v:shape id="直接箭头连接符 1804" o:spid="_x0000_s1026" type="#_x0000_t32" style="position:absolute;left:0;text-align:left;margin-left:.6pt;margin-top:-.7pt;width:158.2pt;height:64.8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" strokeweight=".25pt">
                      <v:fill o:detectmouseclick="t"/>
                    </v:shape>
                  </w:pict>
                </mc:Fallback>
              </mc:AlternateContent>
            </w:r>
            <w:r w:rsidRPr="00092862">
              <w:rPr>
                <w:rFonts w:ascii="Times New Roman" w:eastAsia="宋体" w:hAnsi="Times New Roman" w:cs="Times New Roman"/>
                <w:color w:val="000000" w:themeColor="text1"/>
                <w:szCs w:val="24"/>
              </w:rPr>
              <w:t xml:space="preserve">       </w:t>
            </w:r>
            <w:r w:rsidRPr="00092862">
              <w:rPr>
                <w:rFonts w:ascii="Times New Roman" w:eastAsia="宋体" w:hAnsi="Times New Roman" w:cs="Times New Roman"/>
                <w:color w:val="000000" w:themeColor="text1"/>
              </w:rPr>
              <w:t xml:space="preserve">  </w:t>
            </w:r>
            <w:r w:rsidRPr="00092862">
              <w:rPr>
                <w:rFonts w:ascii="Times New Roman" w:eastAsia="宋体" w:hAnsi="Times New Roman" w:cs="Times New Roman"/>
                <w:color w:val="000000" w:themeColor="text1"/>
              </w:rPr>
              <w:t>检测点位</w:t>
            </w:r>
          </w:p>
          <w:p w14:paraId="79C1EE8A" w14:textId="77777777" w:rsidR="00D35EC4" w:rsidRPr="00092862" w:rsidRDefault="00D35EC4" w:rsidP="00D35EC4">
            <w:pPr>
              <w:rPr>
                <w:rFonts w:ascii="Times New Roman" w:eastAsia="宋体" w:hAnsi="Times New Roman" w:cs="Times New Roman"/>
                <w:color w:val="000000" w:themeColor="text1"/>
                <w:szCs w:val="24"/>
              </w:rPr>
            </w:pPr>
          </w:p>
          <w:p w14:paraId="1FE90E02" w14:textId="77777777" w:rsidR="00D35EC4" w:rsidRPr="00092862" w:rsidRDefault="00D35EC4" w:rsidP="00D35EC4">
            <w:pPr>
              <w:rPr>
                <w:rFonts w:ascii="Times New Roman" w:eastAsia="宋体" w:hAnsi="Times New Roman" w:cs="Times New Roman"/>
                <w:color w:val="000000" w:themeColor="text1"/>
                <w:szCs w:val="24"/>
              </w:rPr>
            </w:pPr>
          </w:p>
          <w:p w14:paraId="4ACB2F87" w14:textId="77777777" w:rsidR="00D35EC4" w:rsidRPr="00092862" w:rsidRDefault="00D35EC4" w:rsidP="00D35EC4">
            <w:pPr>
              <w:ind w:firstLine="335"/>
              <w:rPr>
                <w:rFonts w:ascii="Times New Roman" w:eastAsia="宋体" w:hAnsi="Times New Roman" w:cs="Times New Roman"/>
                <w:color w:val="000000" w:themeColor="text1"/>
                <w:szCs w:val="24"/>
              </w:rPr>
            </w:pPr>
            <w:r w:rsidRPr="00092862">
              <w:rPr>
                <w:rFonts w:ascii="Times New Roman" w:eastAsia="宋体" w:hAnsi="Times New Roman" w:cs="Times New Roman"/>
                <w:color w:val="000000" w:themeColor="text1"/>
              </w:rPr>
              <w:t>检测项目</w:t>
            </w:r>
          </w:p>
        </w:tc>
        <w:tc>
          <w:tcPr>
            <w:tcW w:w="2372" w:type="pct"/>
            <w:gridSpan w:val="3"/>
            <w:tcMar>
              <w:top w:w="57" w:type="dxa"/>
              <w:left w:w="0" w:type="dxa"/>
              <w:bottom w:w="57" w:type="dxa"/>
              <w:right w:w="0" w:type="dxa"/>
            </w:tcMar>
            <w:vAlign w:val="center"/>
          </w:tcPr>
          <w:p w14:paraId="6FEB2ED9"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4#</w:t>
            </w: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井台西侧区域处</w:t>
            </w:r>
          </w:p>
        </w:tc>
      </w:tr>
      <w:tr w:rsidR="00697429" w:rsidRPr="00092862" w14:paraId="49A145C6" w14:textId="77777777" w:rsidTr="008C00B1">
        <w:trPr>
          <w:trHeight w:val="283"/>
          <w:jc w:val="center"/>
        </w:trPr>
        <w:tc>
          <w:tcPr>
            <w:tcW w:w="950" w:type="pct"/>
            <w:vMerge/>
            <w:vAlign w:val="center"/>
          </w:tcPr>
          <w:p w14:paraId="0D1B2F3B" w14:textId="77777777" w:rsidR="00D35EC4" w:rsidRPr="00092862" w:rsidRDefault="00D35EC4" w:rsidP="00D35EC4">
            <w:pPr>
              <w:rPr>
                <w:rFonts w:ascii="Times New Roman" w:eastAsia="宋体" w:hAnsi="Times New Roman" w:cs="Times New Roman"/>
                <w:color w:val="000000" w:themeColor="text1"/>
              </w:rPr>
            </w:pPr>
          </w:p>
        </w:tc>
        <w:tc>
          <w:tcPr>
            <w:tcW w:w="1678" w:type="pct"/>
            <w:vMerge/>
            <w:vAlign w:val="center"/>
          </w:tcPr>
          <w:p w14:paraId="66EF95BD" w14:textId="77777777" w:rsidR="00D35EC4" w:rsidRPr="00092862" w:rsidRDefault="00D35EC4" w:rsidP="00D35EC4">
            <w:pPr>
              <w:rPr>
                <w:rFonts w:ascii="Times New Roman" w:eastAsia="宋体" w:hAnsi="Times New Roman" w:cs="Times New Roman"/>
                <w:color w:val="000000" w:themeColor="text1"/>
              </w:rPr>
            </w:pPr>
          </w:p>
        </w:tc>
        <w:tc>
          <w:tcPr>
            <w:tcW w:w="791" w:type="pct"/>
            <w:tcMar>
              <w:top w:w="57" w:type="dxa"/>
              <w:left w:w="0" w:type="dxa"/>
              <w:bottom w:w="57" w:type="dxa"/>
              <w:right w:w="0" w:type="dxa"/>
            </w:tcMar>
            <w:vAlign w:val="center"/>
          </w:tcPr>
          <w:p w14:paraId="1050736B" w14:textId="77777777" w:rsidR="00D35EC4" w:rsidRPr="00092862" w:rsidRDefault="00D35EC4" w:rsidP="00D35EC4">
            <w:pPr>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0-0.5m</w:t>
            </w:r>
          </w:p>
        </w:tc>
        <w:tc>
          <w:tcPr>
            <w:tcW w:w="791" w:type="pct"/>
            <w:tcMar>
              <w:top w:w="57" w:type="dxa"/>
              <w:left w:w="0" w:type="dxa"/>
              <w:bottom w:w="57" w:type="dxa"/>
              <w:right w:w="0" w:type="dxa"/>
            </w:tcMar>
            <w:vAlign w:val="center"/>
          </w:tcPr>
          <w:p w14:paraId="796877BB" w14:textId="77777777" w:rsidR="00D35EC4" w:rsidRPr="00092862" w:rsidRDefault="00D35EC4" w:rsidP="00D35EC4">
            <w:pPr>
              <w:jc w:val="center"/>
              <w:rPr>
                <w:rFonts w:ascii="Times New Roman" w:eastAsia="宋体" w:hAnsi="Times New Roman" w:cs="Times New Roman"/>
                <w:color w:val="000000" w:themeColor="text1"/>
                <w:szCs w:val="24"/>
              </w:rPr>
            </w:pPr>
            <w:r w:rsidRPr="00092862">
              <w:rPr>
                <w:rFonts w:ascii="Times New Roman" w:eastAsia="宋体" w:hAnsi="Times New Roman" w:cs="Times New Roman"/>
                <w:color w:val="000000" w:themeColor="text1"/>
              </w:rPr>
              <w:t>0.5-1.5m</w:t>
            </w:r>
          </w:p>
        </w:tc>
        <w:tc>
          <w:tcPr>
            <w:tcW w:w="791" w:type="pct"/>
            <w:tcMar>
              <w:top w:w="57" w:type="dxa"/>
              <w:left w:w="0" w:type="dxa"/>
              <w:bottom w:w="57" w:type="dxa"/>
              <w:right w:w="0" w:type="dxa"/>
            </w:tcMar>
            <w:vAlign w:val="center"/>
          </w:tcPr>
          <w:p w14:paraId="37C6330D" w14:textId="77777777" w:rsidR="00D35EC4" w:rsidRPr="00092862" w:rsidRDefault="00D35EC4" w:rsidP="00D35EC4">
            <w:pPr>
              <w:jc w:val="center"/>
              <w:rPr>
                <w:rFonts w:ascii="Times New Roman" w:eastAsia="宋体" w:hAnsi="Times New Roman" w:cs="Times New Roman"/>
                <w:color w:val="000000" w:themeColor="text1"/>
                <w:szCs w:val="24"/>
              </w:rPr>
            </w:pPr>
            <w:r w:rsidRPr="00092862">
              <w:rPr>
                <w:rFonts w:ascii="Times New Roman" w:eastAsia="宋体" w:hAnsi="Times New Roman" w:cs="Times New Roman"/>
                <w:color w:val="000000" w:themeColor="text1"/>
              </w:rPr>
              <w:t>1.5-3m</w:t>
            </w:r>
          </w:p>
        </w:tc>
      </w:tr>
      <w:tr w:rsidR="00697429" w:rsidRPr="00092862" w14:paraId="235F14E4" w14:textId="77777777" w:rsidTr="008C00B1">
        <w:trPr>
          <w:trHeight w:val="326"/>
          <w:jc w:val="center"/>
        </w:trPr>
        <w:tc>
          <w:tcPr>
            <w:tcW w:w="950" w:type="pct"/>
            <w:vMerge w:val="restart"/>
            <w:tcMar>
              <w:top w:w="57" w:type="dxa"/>
              <w:left w:w="0" w:type="dxa"/>
              <w:bottom w:w="57" w:type="dxa"/>
              <w:right w:w="0" w:type="dxa"/>
            </w:tcMar>
            <w:vAlign w:val="center"/>
          </w:tcPr>
          <w:p w14:paraId="4AFEA4C8"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2022.11.18</w:t>
            </w:r>
          </w:p>
        </w:tc>
        <w:tc>
          <w:tcPr>
            <w:tcW w:w="1678" w:type="pct"/>
            <w:tcMar>
              <w:top w:w="57" w:type="dxa"/>
              <w:left w:w="0" w:type="dxa"/>
              <w:bottom w:w="57" w:type="dxa"/>
              <w:right w:w="0" w:type="dxa"/>
            </w:tcMar>
            <w:vAlign w:val="center"/>
          </w:tcPr>
          <w:p w14:paraId="26045D0E"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颜色</w:t>
            </w:r>
          </w:p>
        </w:tc>
        <w:tc>
          <w:tcPr>
            <w:tcW w:w="791" w:type="pct"/>
            <w:tcMar>
              <w:top w:w="57" w:type="dxa"/>
              <w:left w:w="0" w:type="dxa"/>
              <w:bottom w:w="57" w:type="dxa"/>
              <w:right w:w="0" w:type="dxa"/>
            </w:tcMar>
            <w:vAlign w:val="center"/>
          </w:tcPr>
          <w:p w14:paraId="1072B81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暗灰</w:t>
            </w:r>
          </w:p>
        </w:tc>
        <w:tc>
          <w:tcPr>
            <w:tcW w:w="791" w:type="pct"/>
            <w:tcMar>
              <w:top w:w="57" w:type="dxa"/>
              <w:left w:w="0" w:type="dxa"/>
              <w:bottom w:w="57" w:type="dxa"/>
              <w:right w:w="0" w:type="dxa"/>
            </w:tcMar>
            <w:vAlign w:val="center"/>
          </w:tcPr>
          <w:p w14:paraId="1C0DAB5E"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暗灰</w:t>
            </w:r>
          </w:p>
        </w:tc>
        <w:tc>
          <w:tcPr>
            <w:tcW w:w="791" w:type="pct"/>
            <w:tcMar>
              <w:top w:w="57" w:type="dxa"/>
              <w:left w:w="0" w:type="dxa"/>
              <w:bottom w:w="57" w:type="dxa"/>
              <w:right w:w="0" w:type="dxa"/>
            </w:tcMar>
            <w:vAlign w:val="center"/>
          </w:tcPr>
          <w:p w14:paraId="5373FA88"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暗灰</w:t>
            </w:r>
          </w:p>
        </w:tc>
      </w:tr>
      <w:tr w:rsidR="00697429" w:rsidRPr="00092862" w14:paraId="7AE0F305" w14:textId="77777777" w:rsidTr="008C00B1">
        <w:trPr>
          <w:trHeight w:val="299"/>
          <w:jc w:val="center"/>
        </w:trPr>
        <w:tc>
          <w:tcPr>
            <w:tcW w:w="950" w:type="pct"/>
            <w:vMerge/>
            <w:vAlign w:val="center"/>
          </w:tcPr>
          <w:p w14:paraId="11B12E5F" w14:textId="77777777" w:rsidR="00D35EC4" w:rsidRPr="00092862" w:rsidRDefault="00D35EC4" w:rsidP="00D35EC4">
            <w:pP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554CA72F"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结构</w:t>
            </w:r>
          </w:p>
        </w:tc>
        <w:tc>
          <w:tcPr>
            <w:tcW w:w="791" w:type="pct"/>
            <w:tcMar>
              <w:top w:w="57" w:type="dxa"/>
              <w:left w:w="0" w:type="dxa"/>
              <w:bottom w:w="57" w:type="dxa"/>
              <w:right w:w="0" w:type="dxa"/>
            </w:tcMar>
            <w:vAlign w:val="center"/>
          </w:tcPr>
          <w:p w14:paraId="78B6AA82"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柱状结构</w:t>
            </w:r>
          </w:p>
        </w:tc>
        <w:tc>
          <w:tcPr>
            <w:tcW w:w="791" w:type="pct"/>
            <w:tcMar>
              <w:top w:w="57" w:type="dxa"/>
              <w:left w:w="0" w:type="dxa"/>
              <w:bottom w:w="57" w:type="dxa"/>
              <w:right w:w="0" w:type="dxa"/>
            </w:tcMar>
            <w:vAlign w:val="center"/>
          </w:tcPr>
          <w:p w14:paraId="12B847C6"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柱状结构</w:t>
            </w:r>
          </w:p>
        </w:tc>
        <w:tc>
          <w:tcPr>
            <w:tcW w:w="791" w:type="pct"/>
            <w:tcMar>
              <w:top w:w="57" w:type="dxa"/>
              <w:left w:w="0" w:type="dxa"/>
              <w:bottom w:w="57" w:type="dxa"/>
              <w:right w:w="0" w:type="dxa"/>
            </w:tcMar>
            <w:vAlign w:val="center"/>
          </w:tcPr>
          <w:p w14:paraId="42A624DC"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柱状结构</w:t>
            </w:r>
          </w:p>
        </w:tc>
      </w:tr>
      <w:tr w:rsidR="00697429" w:rsidRPr="00092862" w14:paraId="48C09AFF" w14:textId="77777777" w:rsidTr="008C00B1">
        <w:trPr>
          <w:trHeight w:val="283"/>
          <w:jc w:val="center"/>
        </w:trPr>
        <w:tc>
          <w:tcPr>
            <w:tcW w:w="950" w:type="pct"/>
            <w:vMerge/>
            <w:vAlign w:val="center"/>
          </w:tcPr>
          <w:p w14:paraId="22D804A0" w14:textId="77777777" w:rsidR="00D35EC4" w:rsidRPr="00092862" w:rsidRDefault="00D35EC4" w:rsidP="00D35EC4">
            <w:pP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543620B3"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质地</w:t>
            </w:r>
          </w:p>
        </w:tc>
        <w:tc>
          <w:tcPr>
            <w:tcW w:w="791" w:type="pct"/>
            <w:tcMar>
              <w:top w:w="57" w:type="dxa"/>
              <w:left w:w="0" w:type="dxa"/>
              <w:bottom w:w="57" w:type="dxa"/>
              <w:right w:w="0" w:type="dxa"/>
            </w:tcMar>
            <w:vAlign w:val="center"/>
          </w:tcPr>
          <w:p w14:paraId="3B91642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壤土</w:t>
            </w:r>
          </w:p>
        </w:tc>
        <w:tc>
          <w:tcPr>
            <w:tcW w:w="791" w:type="pct"/>
            <w:tcMar>
              <w:top w:w="57" w:type="dxa"/>
              <w:left w:w="0" w:type="dxa"/>
              <w:bottom w:w="57" w:type="dxa"/>
              <w:right w:w="0" w:type="dxa"/>
            </w:tcMar>
            <w:vAlign w:val="center"/>
          </w:tcPr>
          <w:p w14:paraId="53BCAA19"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壤土</w:t>
            </w:r>
          </w:p>
        </w:tc>
        <w:tc>
          <w:tcPr>
            <w:tcW w:w="791" w:type="pct"/>
            <w:tcMar>
              <w:top w:w="57" w:type="dxa"/>
              <w:left w:w="0" w:type="dxa"/>
              <w:bottom w:w="57" w:type="dxa"/>
              <w:right w:w="0" w:type="dxa"/>
            </w:tcMar>
            <w:vAlign w:val="center"/>
          </w:tcPr>
          <w:p w14:paraId="07D6712E"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壤土</w:t>
            </w:r>
          </w:p>
        </w:tc>
      </w:tr>
      <w:tr w:rsidR="00697429" w:rsidRPr="00092862" w14:paraId="7BC414EC" w14:textId="77777777" w:rsidTr="008C00B1">
        <w:trPr>
          <w:trHeight w:val="283"/>
          <w:jc w:val="center"/>
        </w:trPr>
        <w:tc>
          <w:tcPr>
            <w:tcW w:w="950" w:type="pct"/>
            <w:vMerge/>
            <w:vAlign w:val="center"/>
          </w:tcPr>
          <w:p w14:paraId="200705B3" w14:textId="77777777" w:rsidR="00D35EC4" w:rsidRPr="00092862" w:rsidRDefault="00D35EC4" w:rsidP="00D35EC4">
            <w:pP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48726E6E"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其他异物</w:t>
            </w:r>
          </w:p>
        </w:tc>
        <w:tc>
          <w:tcPr>
            <w:tcW w:w="791" w:type="pct"/>
            <w:tcMar>
              <w:top w:w="57" w:type="dxa"/>
              <w:left w:w="0" w:type="dxa"/>
              <w:bottom w:w="57" w:type="dxa"/>
              <w:right w:w="0" w:type="dxa"/>
            </w:tcMar>
            <w:vAlign w:val="center"/>
          </w:tcPr>
          <w:p w14:paraId="690359F6"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无</w:t>
            </w:r>
          </w:p>
        </w:tc>
        <w:tc>
          <w:tcPr>
            <w:tcW w:w="791" w:type="pct"/>
            <w:tcMar>
              <w:top w:w="57" w:type="dxa"/>
              <w:left w:w="0" w:type="dxa"/>
              <w:bottom w:w="57" w:type="dxa"/>
              <w:right w:w="0" w:type="dxa"/>
            </w:tcMar>
            <w:vAlign w:val="center"/>
          </w:tcPr>
          <w:p w14:paraId="409F10B4"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无</w:t>
            </w:r>
          </w:p>
        </w:tc>
        <w:tc>
          <w:tcPr>
            <w:tcW w:w="791" w:type="pct"/>
            <w:tcMar>
              <w:top w:w="57" w:type="dxa"/>
              <w:left w:w="0" w:type="dxa"/>
              <w:bottom w:w="57" w:type="dxa"/>
              <w:right w:w="0" w:type="dxa"/>
            </w:tcMar>
            <w:vAlign w:val="center"/>
          </w:tcPr>
          <w:p w14:paraId="3150972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无</w:t>
            </w:r>
          </w:p>
        </w:tc>
      </w:tr>
      <w:tr w:rsidR="00697429" w:rsidRPr="00092862" w14:paraId="239105A1" w14:textId="77777777" w:rsidTr="008C00B1">
        <w:trPr>
          <w:trHeight w:val="283"/>
          <w:jc w:val="center"/>
        </w:trPr>
        <w:tc>
          <w:tcPr>
            <w:tcW w:w="950" w:type="pct"/>
            <w:vMerge/>
            <w:tcMar>
              <w:top w:w="57" w:type="dxa"/>
              <w:left w:w="0" w:type="dxa"/>
              <w:bottom w:w="57" w:type="dxa"/>
              <w:right w:w="0" w:type="dxa"/>
            </w:tcMar>
            <w:vAlign w:val="center"/>
          </w:tcPr>
          <w:p w14:paraId="2C63ACCE" w14:textId="77777777" w:rsidR="00D35EC4" w:rsidRPr="00092862" w:rsidRDefault="00D35EC4" w:rsidP="00D35EC4">
            <w:pPr>
              <w:snapToGrid w:val="0"/>
              <w:jc w:val="cente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06E9131C"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砂砾含量（</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w:t>
            </w:r>
          </w:p>
        </w:tc>
        <w:tc>
          <w:tcPr>
            <w:tcW w:w="791" w:type="pct"/>
            <w:tcMar>
              <w:top w:w="57" w:type="dxa"/>
              <w:left w:w="0" w:type="dxa"/>
              <w:bottom w:w="57" w:type="dxa"/>
              <w:right w:w="0" w:type="dxa"/>
            </w:tcMar>
            <w:vAlign w:val="center"/>
          </w:tcPr>
          <w:p w14:paraId="368EDC75"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17</w:t>
            </w:r>
          </w:p>
        </w:tc>
        <w:tc>
          <w:tcPr>
            <w:tcW w:w="791" w:type="pct"/>
            <w:tcMar>
              <w:top w:w="57" w:type="dxa"/>
              <w:left w:w="0" w:type="dxa"/>
              <w:bottom w:w="57" w:type="dxa"/>
              <w:right w:w="0" w:type="dxa"/>
            </w:tcMar>
            <w:vAlign w:val="center"/>
          </w:tcPr>
          <w:p w14:paraId="21AC52B1"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14</w:t>
            </w:r>
          </w:p>
        </w:tc>
        <w:tc>
          <w:tcPr>
            <w:tcW w:w="791" w:type="pct"/>
            <w:tcMar>
              <w:top w:w="57" w:type="dxa"/>
              <w:left w:w="0" w:type="dxa"/>
              <w:bottom w:w="57" w:type="dxa"/>
              <w:right w:w="0" w:type="dxa"/>
            </w:tcMar>
            <w:vAlign w:val="center"/>
          </w:tcPr>
          <w:p w14:paraId="6AED1023"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14</w:t>
            </w:r>
          </w:p>
        </w:tc>
      </w:tr>
      <w:tr w:rsidR="00697429" w:rsidRPr="00092862" w14:paraId="2F8CA874" w14:textId="77777777" w:rsidTr="008C00B1">
        <w:trPr>
          <w:trHeight w:val="283"/>
          <w:jc w:val="center"/>
        </w:trPr>
        <w:tc>
          <w:tcPr>
            <w:tcW w:w="950" w:type="pct"/>
            <w:vMerge/>
            <w:tcMar>
              <w:top w:w="57" w:type="dxa"/>
              <w:left w:w="0" w:type="dxa"/>
              <w:bottom w:w="57" w:type="dxa"/>
              <w:right w:w="0" w:type="dxa"/>
            </w:tcMar>
            <w:vAlign w:val="center"/>
          </w:tcPr>
          <w:p w14:paraId="0D91AF28" w14:textId="77777777" w:rsidR="00D35EC4" w:rsidRPr="00092862" w:rsidRDefault="00D35EC4" w:rsidP="00D35EC4">
            <w:pPr>
              <w:snapToGrid w:val="0"/>
              <w:jc w:val="cente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28F957D1"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pH</w:t>
            </w:r>
            <w:r w:rsidRPr="00092862">
              <w:rPr>
                <w:rFonts w:ascii="Times New Roman" w:eastAsia="宋体" w:hAnsi="Times New Roman" w:cs="Times New Roman"/>
                <w:color w:val="000000" w:themeColor="text1"/>
              </w:rPr>
              <w:t>值</w:t>
            </w:r>
          </w:p>
        </w:tc>
        <w:tc>
          <w:tcPr>
            <w:tcW w:w="791" w:type="pct"/>
            <w:tcMar>
              <w:top w:w="57" w:type="dxa"/>
              <w:left w:w="0" w:type="dxa"/>
              <w:bottom w:w="57" w:type="dxa"/>
              <w:right w:w="0" w:type="dxa"/>
            </w:tcMar>
            <w:vAlign w:val="center"/>
          </w:tcPr>
          <w:p w14:paraId="00AAAEF1"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7.02</w:t>
            </w:r>
          </w:p>
        </w:tc>
        <w:tc>
          <w:tcPr>
            <w:tcW w:w="791" w:type="pct"/>
            <w:tcMar>
              <w:top w:w="57" w:type="dxa"/>
              <w:left w:w="0" w:type="dxa"/>
              <w:bottom w:w="57" w:type="dxa"/>
              <w:right w:w="0" w:type="dxa"/>
            </w:tcMar>
            <w:vAlign w:val="center"/>
          </w:tcPr>
          <w:p w14:paraId="2F060800"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7.08</w:t>
            </w:r>
          </w:p>
        </w:tc>
        <w:tc>
          <w:tcPr>
            <w:tcW w:w="791" w:type="pct"/>
            <w:tcMar>
              <w:top w:w="57" w:type="dxa"/>
              <w:left w:w="0" w:type="dxa"/>
              <w:bottom w:w="57" w:type="dxa"/>
              <w:right w:w="0" w:type="dxa"/>
            </w:tcMar>
            <w:vAlign w:val="center"/>
          </w:tcPr>
          <w:p w14:paraId="156DC78A"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7.11</w:t>
            </w:r>
          </w:p>
        </w:tc>
      </w:tr>
      <w:tr w:rsidR="00697429" w:rsidRPr="00092862" w14:paraId="05C1A697" w14:textId="77777777" w:rsidTr="008C00B1">
        <w:trPr>
          <w:trHeight w:val="283"/>
          <w:jc w:val="center"/>
        </w:trPr>
        <w:tc>
          <w:tcPr>
            <w:tcW w:w="950" w:type="pct"/>
            <w:vMerge/>
            <w:vAlign w:val="center"/>
          </w:tcPr>
          <w:p w14:paraId="42272586" w14:textId="77777777" w:rsidR="00D35EC4" w:rsidRPr="00092862" w:rsidRDefault="00D35EC4" w:rsidP="00D35EC4">
            <w:pP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72D74A6C"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阳离子交换量</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cmol</w:t>
            </w:r>
            <w:r w:rsidRPr="00092862">
              <w:rPr>
                <w:rFonts w:ascii="Times New Roman" w:eastAsia="宋体" w:hAnsi="Times New Roman" w:cs="Times New Roman"/>
                <w:color w:val="000000" w:themeColor="text1"/>
                <w:vertAlign w:val="superscript"/>
              </w:rPr>
              <w:t>+</w:t>
            </w:r>
            <w:r w:rsidRPr="00092862">
              <w:rPr>
                <w:rFonts w:ascii="Times New Roman" w:eastAsia="宋体" w:hAnsi="Times New Roman" w:cs="Times New Roman"/>
                <w:color w:val="000000" w:themeColor="text1"/>
              </w:rPr>
              <w:t>/kg</w:t>
            </w:r>
            <w:r w:rsidRPr="00092862">
              <w:rPr>
                <w:rFonts w:ascii="Times New Roman" w:eastAsia="宋体" w:hAnsi="Times New Roman" w:cs="Times New Roman"/>
                <w:color w:val="000000" w:themeColor="text1"/>
              </w:rPr>
              <w:t>）</w:t>
            </w:r>
          </w:p>
        </w:tc>
        <w:tc>
          <w:tcPr>
            <w:tcW w:w="791" w:type="pct"/>
            <w:tcMar>
              <w:top w:w="57" w:type="dxa"/>
              <w:left w:w="0" w:type="dxa"/>
              <w:bottom w:w="57" w:type="dxa"/>
              <w:right w:w="0" w:type="dxa"/>
            </w:tcMar>
            <w:vAlign w:val="center"/>
          </w:tcPr>
          <w:p w14:paraId="484F175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14.6</w:t>
            </w:r>
          </w:p>
        </w:tc>
        <w:tc>
          <w:tcPr>
            <w:tcW w:w="791" w:type="pct"/>
            <w:tcMar>
              <w:top w:w="57" w:type="dxa"/>
              <w:left w:w="0" w:type="dxa"/>
              <w:bottom w:w="57" w:type="dxa"/>
              <w:right w:w="0" w:type="dxa"/>
            </w:tcMar>
            <w:vAlign w:val="center"/>
          </w:tcPr>
          <w:p w14:paraId="1D3FDD4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12.7</w:t>
            </w:r>
          </w:p>
        </w:tc>
        <w:tc>
          <w:tcPr>
            <w:tcW w:w="791" w:type="pct"/>
            <w:tcMar>
              <w:top w:w="57" w:type="dxa"/>
              <w:left w:w="0" w:type="dxa"/>
              <w:bottom w:w="57" w:type="dxa"/>
              <w:right w:w="0" w:type="dxa"/>
            </w:tcMar>
            <w:vAlign w:val="center"/>
          </w:tcPr>
          <w:p w14:paraId="36195AEA"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13.2</w:t>
            </w:r>
          </w:p>
        </w:tc>
      </w:tr>
      <w:tr w:rsidR="00697429" w:rsidRPr="00092862" w14:paraId="77BE8DCA" w14:textId="77777777" w:rsidTr="008C00B1">
        <w:trPr>
          <w:trHeight w:val="283"/>
          <w:jc w:val="center"/>
        </w:trPr>
        <w:tc>
          <w:tcPr>
            <w:tcW w:w="950" w:type="pct"/>
            <w:vMerge/>
            <w:vAlign w:val="center"/>
          </w:tcPr>
          <w:p w14:paraId="7120B1B0" w14:textId="77777777" w:rsidR="00D35EC4" w:rsidRPr="00092862" w:rsidRDefault="00D35EC4" w:rsidP="00D35EC4">
            <w:pP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0E4DAE0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土壤容重</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g/cm</w:t>
            </w:r>
            <w:r w:rsidRPr="00092862">
              <w:rPr>
                <w:rFonts w:ascii="Times New Roman" w:eastAsia="宋体" w:hAnsi="Times New Roman" w:cs="Times New Roman"/>
                <w:color w:val="000000" w:themeColor="text1"/>
                <w:vertAlign w:val="superscript"/>
              </w:rPr>
              <w:t>3</w:t>
            </w:r>
            <w:r w:rsidRPr="00092862">
              <w:rPr>
                <w:rFonts w:ascii="Times New Roman" w:eastAsia="宋体" w:hAnsi="Times New Roman" w:cs="Times New Roman"/>
                <w:color w:val="000000" w:themeColor="text1"/>
              </w:rPr>
              <w:t>）</w:t>
            </w:r>
          </w:p>
        </w:tc>
        <w:tc>
          <w:tcPr>
            <w:tcW w:w="791" w:type="pct"/>
            <w:tcMar>
              <w:top w:w="57" w:type="dxa"/>
              <w:left w:w="0" w:type="dxa"/>
              <w:bottom w:w="57" w:type="dxa"/>
              <w:right w:w="0" w:type="dxa"/>
            </w:tcMar>
            <w:vAlign w:val="center"/>
          </w:tcPr>
          <w:p w14:paraId="551A8E46"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1.39</w:t>
            </w:r>
          </w:p>
        </w:tc>
        <w:tc>
          <w:tcPr>
            <w:tcW w:w="791" w:type="pct"/>
            <w:tcMar>
              <w:top w:w="57" w:type="dxa"/>
              <w:left w:w="0" w:type="dxa"/>
              <w:bottom w:w="57" w:type="dxa"/>
              <w:right w:w="0" w:type="dxa"/>
            </w:tcMar>
            <w:vAlign w:val="center"/>
          </w:tcPr>
          <w:p w14:paraId="76D0E8B2"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1.40</w:t>
            </w:r>
          </w:p>
        </w:tc>
        <w:tc>
          <w:tcPr>
            <w:tcW w:w="791" w:type="pct"/>
            <w:tcMar>
              <w:top w:w="57" w:type="dxa"/>
              <w:left w:w="0" w:type="dxa"/>
              <w:bottom w:w="57" w:type="dxa"/>
              <w:right w:w="0" w:type="dxa"/>
            </w:tcMar>
            <w:vAlign w:val="center"/>
          </w:tcPr>
          <w:p w14:paraId="477BE9A1"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1.38</w:t>
            </w:r>
          </w:p>
        </w:tc>
      </w:tr>
      <w:tr w:rsidR="00697429" w:rsidRPr="00092862" w14:paraId="7491334E" w14:textId="77777777" w:rsidTr="008C00B1">
        <w:trPr>
          <w:trHeight w:val="283"/>
          <w:jc w:val="center"/>
        </w:trPr>
        <w:tc>
          <w:tcPr>
            <w:tcW w:w="950" w:type="pct"/>
            <w:vMerge/>
            <w:vAlign w:val="center"/>
          </w:tcPr>
          <w:p w14:paraId="64528973" w14:textId="77777777" w:rsidR="00D35EC4" w:rsidRPr="00092862" w:rsidRDefault="00D35EC4" w:rsidP="00D35EC4">
            <w:pPr>
              <w:rPr>
                <w:rFonts w:ascii="Times New Roman" w:eastAsia="宋体" w:hAnsi="Times New Roman" w:cs="Times New Roman"/>
                <w:color w:val="000000" w:themeColor="text1"/>
              </w:rPr>
            </w:pPr>
          </w:p>
        </w:tc>
        <w:tc>
          <w:tcPr>
            <w:tcW w:w="1678" w:type="pct"/>
            <w:tcMar>
              <w:top w:w="57" w:type="dxa"/>
              <w:left w:w="0" w:type="dxa"/>
              <w:bottom w:w="57" w:type="dxa"/>
              <w:right w:w="0" w:type="dxa"/>
            </w:tcMar>
            <w:vAlign w:val="center"/>
          </w:tcPr>
          <w:p w14:paraId="4D6FDF69"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饱和导水率</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mm/min</w:t>
            </w:r>
            <w:r w:rsidRPr="00092862">
              <w:rPr>
                <w:rFonts w:ascii="Times New Roman" w:eastAsia="宋体" w:hAnsi="Times New Roman" w:cs="Times New Roman"/>
                <w:color w:val="000000" w:themeColor="text1"/>
              </w:rPr>
              <w:t>）</w:t>
            </w:r>
          </w:p>
        </w:tc>
        <w:tc>
          <w:tcPr>
            <w:tcW w:w="791" w:type="pct"/>
            <w:tcMar>
              <w:top w:w="57" w:type="dxa"/>
              <w:left w:w="0" w:type="dxa"/>
              <w:bottom w:w="57" w:type="dxa"/>
              <w:right w:w="0" w:type="dxa"/>
            </w:tcMar>
            <w:vAlign w:val="center"/>
          </w:tcPr>
          <w:p w14:paraId="57DAA8CB"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0.64</w:t>
            </w:r>
          </w:p>
        </w:tc>
        <w:tc>
          <w:tcPr>
            <w:tcW w:w="791" w:type="pct"/>
            <w:tcMar>
              <w:top w:w="57" w:type="dxa"/>
              <w:left w:w="0" w:type="dxa"/>
              <w:bottom w:w="57" w:type="dxa"/>
              <w:right w:w="0" w:type="dxa"/>
            </w:tcMar>
            <w:vAlign w:val="center"/>
          </w:tcPr>
          <w:p w14:paraId="7A8A51ED"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0.62</w:t>
            </w:r>
          </w:p>
        </w:tc>
        <w:tc>
          <w:tcPr>
            <w:tcW w:w="791" w:type="pct"/>
            <w:tcMar>
              <w:top w:w="57" w:type="dxa"/>
              <w:left w:w="0" w:type="dxa"/>
              <w:bottom w:w="57" w:type="dxa"/>
              <w:right w:w="0" w:type="dxa"/>
            </w:tcMar>
            <w:vAlign w:val="center"/>
          </w:tcPr>
          <w:p w14:paraId="2775FDAA" w14:textId="77777777" w:rsidR="00D35EC4" w:rsidRPr="00092862" w:rsidRDefault="00D35EC4" w:rsidP="00D35EC4">
            <w:pPr>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0.64</w:t>
            </w:r>
          </w:p>
        </w:tc>
      </w:tr>
    </w:tbl>
    <w:p w14:paraId="297EE582" w14:textId="3E2846E5" w:rsidR="00C30BD8" w:rsidRPr="00092862" w:rsidRDefault="0033604C" w:rsidP="00C30BD8">
      <w:pPr>
        <w:adjustRightInd w:val="0"/>
        <w:snapToGrid w:val="0"/>
        <w:spacing w:line="360" w:lineRule="auto"/>
        <w:ind w:firstLineChars="200" w:firstLine="480"/>
        <w:outlineLvl w:val="3"/>
        <w:rPr>
          <w:rFonts w:ascii="Times New Roman" w:hAnsi="Times New Roman" w:cs="Times New Roman"/>
          <w:b/>
          <w:color w:val="000000" w:themeColor="text1"/>
          <w:sz w:val="24"/>
          <w:szCs w:val="24"/>
        </w:rPr>
      </w:pPr>
      <w:r w:rsidRPr="00092862">
        <w:rPr>
          <w:rFonts w:ascii="Times New Roman" w:hAnsi="Times New Roman" w:cs="Times New Roman"/>
          <w:b/>
          <w:color w:val="000000" w:themeColor="text1"/>
          <w:sz w:val="24"/>
          <w:szCs w:val="24"/>
        </w:rPr>
        <w:t>4.2</w:t>
      </w:r>
      <w:r w:rsidR="00C30BD8" w:rsidRPr="00092862">
        <w:rPr>
          <w:rFonts w:ascii="Times New Roman" w:hAnsi="Times New Roman" w:cs="Times New Roman"/>
          <w:b/>
          <w:color w:val="000000" w:themeColor="text1"/>
          <w:sz w:val="24"/>
          <w:szCs w:val="24"/>
        </w:rPr>
        <w:t xml:space="preserve">.5.2 </w:t>
      </w:r>
      <w:r w:rsidR="00C30BD8" w:rsidRPr="00092862">
        <w:rPr>
          <w:rFonts w:ascii="Times New Roman" w:hAnsi="Times New Roman" w:cs="Times New Roman"/>
          <w:b/>
          <w:color w:val="000000" w:themeColor="text1"/>
          <w:sz w:val="24"/>
          <w:szCs w:val="24"/>
        </w:rPr>
        <w:t>土壤环境质量现状调查</w:t>
      </w:r>
    </w:p>
    <w:p w14:paraId="0437663A" w14:textId="37E9C2F4"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本次评价委托</w:t>
      </w:r>
      <w:r w:rsidR="00C17127" w:rsidRPr="00092862">
        <w:rPr>
          <w:rFonts w:ascii="Times New Roman" w:eastAsia="宋体" w:hAnsi="Times New Roman" w:cs="Times New Roman"/>
          <w:bCs/>
          <w:color w:val="000000" w:themeColor="text1"/>
          <w:sz w:val="24"/>
          <w:szCs w:val="24"/>
        </w:rPr>
        <w:t>四川省允诺信检测技术有限公司</w:t>
      </w:r>
      <w:r w:rsidRPr="00092862">
        <w:rPr>
          <w:rFonts w:ascii="Times New Roman" w:eastAsia="宋体" w:hAnsi="Times New Roman" w:cs="Times New Roman"/>
          <w:bCs/>
          <w:color w:val="000000" w:themeColor="text1"/>
          <w:sz w:val="24"/>
          <w:szCs w:val="24"/>
        </w:rPr>
        <w:t>于</w:t>
      </w:r>
      <w:r w:rsidR="006C5718" w:rsidRPr="00092862">
        <w:rPr>
          <w:rFonts w:ascii="Times New Roman" w:eastAsia="宋体" w:hAnsi="Times New Roman" w:cs="Times New Roman"/>
          <w:bCs/>
          <w:color w:val="000000" w:themeColor="text1"/>
          <w:sz w:val="24"/>
          <w:szCs w:val="24"/>
        </w:rPr>
        <w:t>2022</w:t>
      </w:r>
      <w:r w:rsidR="006C5718" w:rsidRPr="00092862">
        <w:rPr>
          <w:rFonts w:ascii="Times New Roman" w:eastAsia="宋体" w:hAnsi="Times New Roman" w:cs="Times New Roman"/>
          <w:bCs/>
          <w:color w:val="000000" w:themeColor="text1"/>
          <w:sz w:val="24"/>
          <w:szCs w:val="24"/>
        </w:rPr>
        <w:t>年</w:t>
      </w:r>
      <w:r w:rsidR="006C5718" w:rsidRPr="00092862">
        <w:rPr>
          <w:rFonts w:ascii="Times New Roman" w:eastAsia="宋体" w:hAnsi="Times New Roman" w:cs="Times New Roman"/>
          <w:bCs/>
          <w:color w:val="000000" w:themeColor="text1"/>
          <w:sz w:val="24"/>
          <w:szCs w:val="24"/>
        </w:rPr>
        <w:t>11</w:t>
      </w:r>
      <w:r w:rsidR="006C5718" w:rsidRPr="00092862">
        <w:rPr>
          <w:rFonts w:ascii="Times New Roman" w:eastAsia="宋体" w:hAnsi="Times New Roman" w:cs="Times New Roman"/>
          <w:bCs/>
          <w:color w:val="000000" w:themeColor="text1"/>
          <w:sz w:val="24"/>
          <w:szCs w:val="24"/>
        </w:rPr>
        <w:t>月</w:t>
      </w:r>
      <w:r w:rsidR="00D35EC4" w:rsidRPr="00092862">
        <w:rPr>
          <w:rFonts w:ascii="Times New Roman" w:eastAsia="宋体" w:hAnsi="Times New Roman" w:cs="Times New Roman"/>
          <w:bCs/>
          <w:color w:val="000000" w:themeColor="text1"/>
          <w:sz w:val="24"/>
          <w:szCs w:val="24"/>
        </w:rPr>
        <w:t>18</w:t>
      </w:r>
      <w:r w:rsidRPr="00092862">
        <w:rPr>
          <w:rFonts w:ascii="Times New Roman" w:eastAsia="宋体" w:hAnsi="Times New Roman" w:cs="Times New Roman"/>
          <w:bCs/>
          <w:color w:val="000000" w:themeColor="text1"/>
          <w:sz w:val="24"/>
          <w:szCs w:val="24"/>
        </w:rPr>
        <w:t>日对平台厂界内外的</w:t>
      </w:r>
      <w:r w:rsidRPr="00092862">
        <w:rPr>
          <w:rFonts w:ascii="Times New Roman" w:eastAsia="宋体" w:hAnsi="Times New Roman" w:cs="Times New Roman"/>
          <w:bCs/>
          <w:color w:val="000000" w:themeColor="text1"/>
          <w:sz w:val="24"/>
          <w:szCs w:val="24"/>
        </w:rPr>
        <w:t>6</w:t>
      </w:r>
      <w:r w:rsidRPr="00092862">
        <w:rPr>
          <w:rFonts w:ascii="Times New Roman" w:eastAsia="宋体" w:hAnsi="Times New Roman" w:cs="Times New Roman"/>
          <w:bCs/>
          <w:color w:val="000000" w:themeColor="text1"/>
          <w:sz w:val="24"/>
          <w:szCs w:val="24"/>
        </w:rPr>
        <w:t>处土壤进行了取样监测，平台占地范围内布置</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个柱状样，</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个表层样；场地外布置布置</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个表层样，监测点位设置符合《环境影响评价技术导则</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土壤环境（试行）》（</w:t>
      </w:r>
      <w:r w:rsidRPr="00092862">
        <w:rPr>
          <w:rFonts w:ascii="Times New Roman" w:eastAsia="宋体" w:hAnsi="Times New Roman" w:cs="Times New Roman"/>
          <w:bCs/>
          <w:color w:val="000000" w:themeColor="text1"/>
          <w:sz w:val="24"/>
          <w:szCs w:val="24"/>
        </w:rPr>
        <w:t>HJ 964-2018</w:t>
      </w:r>
      <w:r w:rsidRPr="00092862">
        <w:rPr>
          <w:rFonts w:ascii="Times New Roman" w:eastAsia="宋体" w:hAnsi="Times New Roman" w:cs="Times New Roman"/>
          <w:bCs/>
          <w:color w:val="000000" w:themeColor="text1"/>
          <w:sz w:val="24"/>
          <w:szCs w:val="24"/>
        </w:rPr>
        <w:t>）中的布点原则和现状监测点数量要求，监测布点见附图</w:t>
      </w:r>
      <w:r w:rsidR="00E225BA"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p>
    <w:p w14:paraId="5C5962CF" w14:textId="77777777"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）监测点位及监测因子</w:t>
      </w:r>
    </w:p>
    <w:p w14:paraId="6C3091B0" w14:textId="760A4009"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本次评价土壤监测布点情况见表</w:t>
      </w:r>
      <w:r w:rsidR="0007350F" w:rsidRPr="00092862">
        <w:rPr>
          <w:rFonts w:ascii="Times New Roman" w:eastAsia="宋体" w:hAnsi="Times New Roman" w:cs="Times New Roman"/>
          <w:bCs/>
          <w:color w:val="000000" w:themeColor="text1"/>
          <w:sz w:val="24"/>
          <w:szCs w:val="24"/>
        </w:rPr>
        <w:t>4.2-11</w:t>
      </w:r>
      <w:r w:rsidRPr="00092862">
        <w:rPr>
          <w:rFonts w:ascii="Times New Roman" w:eastAsia="宋体" w:hAnsi="Times New Roman" w:cs="Times New Roman"/>
          <w:bCs/>
          <w:color w:val="000000" w:themeColor="text1"/>
          <w:sz w:val="24"/>
          <w:szCs w:val="24"/>
        </w:rPr>
        <w:t>。</w:t>
      </w:r>
    </w:p>
    <w:p w14:paraId="1E51FBC2" w14:textId="4F864494" w:rsidR="00C30BD8" w:rsidRPr="00092862" w:rsidRDefault="00C30BD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7350F" w:rsidRPr="00092862">
        <w:rPr>
          <w:rFonts w:ascii="Times New Roman" w:eastAsia="黑体" w:hAnsi="Times New Roman"/>
          <w:color w:val="000000" w:themeColor="text1"/>
          <w:sz w:val="21"/>
          <w:szCs w:val="21"/>
          <w:lang w:eastAsia="zh-CN"/>
        </w:rPr>
        <w:t>4.2-11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本项目土壤环境监测布点情况</w:t>
      </w:r>
    </w:p>
    <w:tbl>
      <w:tblPr>
        <w:tblpPr w:leftFromText="180" w:rightFromText="180" w:vertAnchor="text" w:tblpY="1"/>
        <w:tblOverlap w:val="never"/>
        <w:tblW w:w="49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84"/>
        <w:gridCol w:w="1508"/>
        <w:gridCol w:w="1163"/>
        <w:gridCol w:w="4311"/>
        <w:gridCol w:w="704"/>
      </w:tblGrid>
      <w:tr w:rsidR="00697429" w:rsidRPr="00092862" w14:paraId="350BA678" w14:textId="77777777" w:rsidTr="00A84F5F">
        <w:trPr>
          <w:trHeight w:val="379"/>
        </w:trPr>
        <w:tc>
          <w:tcPr>
            <w:tcW w:w="362" w:type="pct"/>
            <w:tcBorders>
              <w:right w:val="single" w:sz="4" w:space="0" w:color="auto"/>
            </w:tcBorders>
            <w:vAlign w:val="center"/>
          </w:tcPr>
          <w:p w14:paraId="44625BA6"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编号</w:t>
            </w:r>
          </w:p>
        </w:tc>
        <w:tc>
          <w:tcPr>
            <w:tcW w:w="877" w:type="pct"/>
            <w:vAlign w:val="center"/>
          </w:tcPr>
          <w:p w14:paraId="0C62D4D6"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坐标</w:t>
            </w:r>
          </w:p>
        </w:tc>
        <w:tc>
          <w:tcPr>
            <w:tcW w:w="712" w:type="pct"/>
            <w:vAlign w:val="center"/>
          </w:tcPr>
          <w:p w14:paraId="468BCDF0"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方位距离</w:t>
            </w:r>
          </w:p>
        </w:tc>
        <w:tc>
          <w:tcPr>
            <w:tcW w:w="2615" w:type="pct"/>
          </w:tcPr>
          <w:p w14:paraId="7C6852DD"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监测指标</w:t>
            </w:r>
          </w:p>
        </w:tc>
        <w:tc>
          <w:tcPr>
            <w:tcW w:w="435" w:type="pct"/>
            <w:vAlign w:val="center"/>
          </w:tcPr>
          <w:p w14:paraId="493FF0F4"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22DBE245" w14:textId="77777777" w:rsidTr="00A84F5F">
        <w:trPr>
          <w:trHeight w:val="379"/>
        </w:trPr>
        <w:tc>
          <w:tcPr>
            <w:tcW w:w="362" w:type="pct"/>
            <w:tcBorders>
              <w:right w:val="single" w:sz="4" w:space="0" w:color="auto"/>
            </w:tcBorders>
            <w:vAlign w:val="center"/>
          </w:tcPr>
          <w:p w14:paraId="1AFE1DAA"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877" w:type="pct"/>
            <w:vAlign w:val="center"/>
          </w:tcPr>
          <w:p w14:paraId="21C4D4F5"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31.44938274°</w:t>
            </w:r>
            <w:r w:rsidRPr="00092862">
              <w:rPr>
                <w:rFonts w:ascii="Times New Roman" w:eastAsia="宋体" w:hAnsi="Times New Roman" w:cs="Times New Roman"/>
                <w:color w:val="000000" w:themeColor="text1"/>
                <w:szCs w:val="21"/>
              </w:rPr>
              <w:t>北，</w:t>
            </w:r>
            <w:r w:rsidRPr="00092862">
              <w:rPr>
                <w:rFonts w:ascii="Times New Roman" w:eastAsia="宋体" w:hAnsi="Times New Roman" w:cs="Times New Roman"/>
                <w:color w:val="000000" w:themeColor="text1"/>
                <w:szCs w:val="21"/>
              </w:rPr>
              <w:t>107.82352030°</w:t>
            </w:r>
            <w:r w:rsidRPr="00092862">
              <w:rPr>
                <w:rFonts w:ascii="Times New Roman" w:eastAsia="宋体" w:hAnsi="Times New Roman" w:cs="Times New Roman"/>
                <w:color w:val="000000" w:themeColor="text1"/>
                <w:szCs w:val="21"/>
              </w:rPr>
              <w:t>东</w:t>
            </w:r>
          </w:p>
        </w:tc>
        <w:tc>
          <w:tcPr>
            <w:tcW w:w="712" w:type="pct"/>
            <w:vAlign w:val="center"/>
          </w:tcPr>
          <w:p w14:paraId="172A7873"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井台内东侧区域处</w:t>
            </w:r>
          </w:p>
        </w:tc>
        <w:tc>
          <w:tcPr>
            <w:tcW w:w="2615" w:type="pct"/>
            <w:vAlign w:val="center"/>
          </w:tcPr>
          <w:p w14:paraId="535B8527"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理化性质：</w:t>
            </w:r>
            <w:r w:rsidRPr="00092862">
              <w:rPr>
                <w:rFonts w:ascii="Times New Roman" w:eastAsia="宋体" w:hAnsi="Times New Roman" w:cs="Times New Roman"/>
                <w:color w:val="000000" w:themeColor="text1"/>
                <w:szCs w:val="21"/>
              </w:rPr>
              <w:t>pH</w:t>
            </w:r>
          </w:p>
          <w:p w14:paraId="79101DE7" w14:textId="77777777" w:rsidR="00D35EC4" w:rsidRPr="00092862" w:rsidRDefault="00D35EC4" w:rsidP="00D35EC4">
            <w:pP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特征因子：</w:t>
            </w:r>
            <w:r w:rsidRPr="00092862">
              <w:rPr>
                <w:rFonts w:ascii="Times New Roman" w:eastAsia="宋体" w:hAnsi="Times New Roman" w:cs="Times New Roman"/>
                <w:color w:val="000000" w:themeColor="text1"/>
                <w:szCs w:val="21"/>
              </w:rPr>
              <w:t>石油烃、全盐量（</w:t>
            </w:r>
            <w:r w:rsidRPr="00092862">
              <w:rPr>
                <w:rFonts w:ascii="Times New Roman" w:eastAsia="宋体" w:hAnsi="Times New Roman" w:cs="Times New Roman"/>
                <w:color w:val="000000" w:themeColor="text1"/>
                <w:szCs w:val="21"/>
              </w:rPr>
              <w:t>0~0.5m</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0.5~1.5m</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1.5~3m</w:t>
            </w:r>
            <w:r w:rsidRPr="00092862">
              <w:rPr>
                <w:rFonts w:ascii="Times New Roman" w:eastAsia="宋体" w:hAnsi="Times New Roman" w:cs="Times New Roman"/>
                <w:color w:val="000000" w:themeColor="text1"/>
                <w:szCs w:val="21"/>
              </w:rPr>
              <w:t>分别取样）</w:t>
            </w:r>
          </w:p>
        </w:tc>
        <w:tc>
          <w:tcPr>
            <w:tcW w:w="435" w:type="pct"/>
            <w:vAlign w:val="center"/>
          </w:tcPr>
          <w:p w14:paraId="7A5826F8"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柱状样点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场地内</w:t>
            </w:r>
          </w:p>
        </w:tc>
      </w:tr>
      <w:tr w:rsidR="00697429" w:rsidRPr="00092862" w14:paraId="4AADD095" w14:textId="77777777" w:rsidTr="00A84F5F">
        <w:trPr>
          <w:trHeight w:val="379"/>
        </w:trPr>
        <w:tc>
          <w:tcPr>
            <w:tcW w:w="362" w:type="pct"/>
            <w:tcBorders>
              <w:right w:val="single" w:sz="4" w:space="0" w:color="auto"/>
            </w:tcBorders>
            <w:vAlign w:val="center"/>
          </w:tcPr>
          <w:p w14:paraId="68843360"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877" w:type="pct"/>
            <w:vAlign w:val="center"/>
          </w:tcPr>
          <w:p w14:paraId="32B3E090"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31.44887933°</w:t>
            </w:r>
            <w:r w:rsidRPr="00092862">
              <w:rPr>
                <w:rFonts w:ascii="Times New Roman" w:eastAsia="宋体" w:hAnsi="Times New Roman" w:cs="Times New Roman"/>
                <w:color w:val="000000" w:themeColor="text1"/>
                <w:szCs w:val="21"/>
              </w:rPr>
              <w:t>北</w:t>
            </w:r>
          </w:p>
          <w:p w14:paraId="39BAC35D"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107.82333791°</w:t>
            </w:r>
            <w:r w:rsidRPr="00092862">
              <w:rPr>
                <w:rFonts w:ascii="Times New Roman" w:eastAsia="宋体" w:hAnsi="Times New Roman" w:cs="Times New Roman"/>
                <w:color w:val="000000" w:themeColor="text1"/>
                <w:szCs w:val="21"/>
              </w:rPr>
              <w:t>东</w:t>
            </w:r>
          </w:p>
        </w:tc>
        <w:tc>
          <w:tcPr>
            <w:tcW w:w="712" w:type="pct"/>
            <w:vAlign w:val="center"/>
          </w:tcPr>
          <w:p w14:paraId="4CE59276"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井台南侧区域处</w:t>
            </w:r>
          </w:p>
        </w:tc>
        <w:tc>
          <w:tcPr>
            <w:tcW w:w="2615" w:type="pct"/>
            <w:vAlign w:val="center"/>
          </w:tcPr>
          <w:p w14:paraId="1E30A43E"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理化性质：</w:t>
            </w:r>
            <w:r w:rsidRPr="00092862">
              <w:rPr>
                <w:rFonts w:ascii="Times New Roman" w:eastAsia="宋体" w:hAnsi="Times New Roman" w:cs="Times New Roman"/>
                <w:color w:val="000000" w:themeColor="text1"/>
                <w:szCs w:val="21"/>
              </w:rPr>
              <w:t>pH</w:t>
            </w:r>
          </w:p>
          <w:p w14:paraId="4B199D2A" w14:textId="77777777" w:rsidR="00D35EC4" w:rsidRPr="00092862" w:rsidRDefault="00D35EC4" w:rsidP="00D35EC4">
            <w:pP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特征因子：</w:t>
            </w:r>
            <w:r w:rsidRPr="00092862">
              <w:rPr>
                <w:rFonts w:ascii="Times New Roman" w:eastAsia="宋体" w:hAnsi="Times New Roman" w:cs="Times New Roman"/>
                <w:color w:val="000000" w:themeColor="text1"/>
                <w:szCs w:val="21"/>
              </w:rPr>
              <w:t>石油烃、全盐量（</w:t>
            </w:r>
            <w:r w:rsidRPr="00092862">
              <w:rPr>
                <w:rFonts w:ascii="Times New Roman" w:eastAsia="宋体" w:hAnsi="Times New Roman" w:cs="Times New Roman"/>
                <w:color w:val="000000" w:themeColor="text1"/>
                <w:szCs w:val="21"/>
              </w:rPr>
              <w:t>0~0.5m</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0.5~1.5m</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1.5~3m</w:t>
            </w:r>
            <w:r w:rsidRPr="00092862">
              <w:rPr>
                <w:rFonts w:ascii="Times New Roman" w:eastAsia="宋体" w:hAnsi="Times New Roman" w:cs="Times New Roman"/>
                <w:color w:val="000000" w:themeColor="text1"/>
                <w:szCs w:val="21"/>
              </w:rPr>
              <w:t>分别取样）</w:t>
            </w:r>
          </w:p>
        </w:tc>
        <w:tc>
          <w:tcPr>
            <w:tcW w:w="435" w:type="pct"/>
            <w:vAlign w:val="center"/>
          </w:tcPr>
          <w:p w14:paraId="30AF2867"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柱状样点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场地内</w:t>
            </w:r>
          </w:p>
        </w:tc>
      </w:tr>
      <w:tr w:rsidR="00697429" w:rsidRPr="00092862" w14:paraId="7098FAC0" w14:textId="77777777" w:rsidTr="00A84F5F">
        <w:trPr>
          <w:trHeight w:val="239"/>
        </w:trPr>
        <w:tc>
          <w:tcPr>
            <w:tcW w:w="362" w:type="pct"/>
            <w:tcBorders>
              <w:right w:val="single" w:sz="4" w:space="0" w:color="auto"/>
            </w:tcBorders>
            <w:vAlign w:val="center"/>
          </w:tcPr>
          <w:p w14:paraId="0927C3D1"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877" w:type="pct"/>
            <w:vAlign w:val="center"/>
          </w:tcPr>
          <w:p w14:paraId="558FDAAD"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31.44955206°</w:t>
            </w:r>
            <w:r w:rsidRPr="00092862">
              <w:rPr>
                <w:rFonts w:ascii="Times New Roman" w:eastAsia="宋体" w:hAnsi="Times New Roman" w:cs="Times New Roman"/>
                <w:color w:val="000000" w:themeColor="text1"/>
                <w:szCs w:val="21"/>
              </w:rPr>
              <w:t>北</w:t>
            </w:r>
          </w:p>
          <w:p w14:paraId="0AC51011"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107.82304823°</w:t>
            </w:r>
            <w:r w:rsidRPr="00092862">
              <w:rPr>
                <w:rFonts w:ascii="Times New Roman" w:eastAsia="宋体" w:hAnsi="Times New Roman" w:cs="Times New Roman"/>
                <w:color w:val="000000" w:themeColor="text1"/>
                <w:szCs w:val="21"/>
              </w:rPr>
              <w:t>东</w:t>
            </w:r>
          </w:p>
        </w:tc>
        <w:tc>
          <w:tcPr>
            <w:tcW w:w="712" w:type="pct"/>
            <w:vAlign w:val="center"/>
          </w:tcPr>
          <w:p w14:paraId="45062142"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井台北侧区域处</w:t>
            </w:r>
          </w:p>
        </w:tc>
        <w:tc>
          <w:tcPr>
            <w:tcW w:w="2615" w:type="pct"/>
            <w:vAlign w:val="center"/>
          </w:tcPr>
          <w:p w14:paraId="1736CCF3"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理化性质：</w:t>
            </w:r>
            <w:r w:rsidRPr="00092862">
              <w:rPr>
                <w:rFonts w:ascii="Times New Roman" w:eastAsia="宋体" w:hAnsi="Times New Roman" w:cs="Times New Roman"/>
                <w:color w:val="000000" w:themeColor="text1"/>
                <w:szCs w:val="21"/>
              </w:rPr>
              <w:t>pH</w:t>
            </w:r>
          </w:p>
          <w:p w14:paraId="2C61564D" w14:textId="77777777" w:rsidR="00D35EC4" w:rsidRPr="00092862" w:rsidRDefault="00D35EC4" w:rsidP="00D35EC4">
            <w:pP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特征因子：</w:t>
            </w:r>
            <w:r w:rsidRPr="00092862">
              <w:rPr>
                <w:rFonts w:ascii="Times New Roman" w:eastAsia="宋体" w:hAnsi="Times New Roman" w:cs="Times New Roman"/>
                <w:color w:val="000000" w:themeColor="text1"/>
                <w:szCs w:val="21"/>
              </w:rPr>
              <w:t>石油烃、全盐量（</w:t>
            </w:r>
            <w:r w:rsidRPr="00092862">
              <w:rPr>
                <w:rFonts w:ascii="Times New Roman" w:eastAsia="宋体" w:hAnsi="Times New Roman" w:cs="Times New Roman"/>
                <w:color w:val="000000" w:themeColor="text1"/>
                <w:szCs w:val="21"/>
              </w:rPr>
              <w:t>0~0.5m</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0.5~1.5m</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1.5~3m</w:t>
            </w:r>
            <w:r w:rsidRPr="00092862">
              <w:rPr>
                <w:rFonts w:ascii="Times New Roman" w:eastAsia="宋体" w:hAnsi="Times New Roman" w:cs="Times New Roman"/>
                <w:color w:val="000000" w:themeColor="text1"/>
                <w:szCs w:val="21"/>
              </w:rPr>
              <w:t>分别取样）</w:t>
            </w:r>
          </w:p>
        </w:tc>
        <w:tc>
          <w:tcPr>
            <w:tcW w:w="435" w:type="pct"/>
            <w:vAlign w:val="center"/>
          </w:tcPr>
          <w:p w14:paraId="2D38A183"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柱状样点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场地内</w:t>
            </w:r>
          </w:p>
        </w:tc>
      </w:tr>
      <w:tr w:rsidR="00697429" w:rsidRPr="00092862" w14:paraId="1FAADA7F" w14:textId="77777777" w:rsidTr="00A84F5F">
        <w:trPr>
          <w:trHeight w:val="983"/>
        </w:trPr>
        <w:tc>
          <w:tcPr>
            <w:tcW w:w="362" w:type="pct"/>
            <w:tcBorders>
              <w:right w:val="single" w:sz="4" w:space="0" w:color="auto"/>
            </w:tcBorders>
            <w:vAlign w:val="center"/>
          </w:tcPr>
          <w:p w14:paraId="37D881A0"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877" w:type="pct"/>
            <w:vAlign w:val="center"/>
          </w:tcPr>
          <w:p w14:paraId="07F1A3EE"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31.44920426°</w:t>
            </w:r>
            <w:r w:rsidRPr="00092862">
              <w:rPr>
                <w:rFonts w:ascii="Times New Roman" w:eastAsia="宋体" w:hAnsi="Times New Roman" w:cs="Times New Roman"/>
                <w:color w:val="000000" w:themeColor="text1"/>
                <w:szCs w:val="21"/>
              </w:rPr>
              <w:t>北</w:t>
            </w:r>
          </w:p>
          <w:p w14:paraId="5C2A9BE7"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107.82302141°</w:t>
            </w:r>
            <w:r w:rsidRPr="00092862">
              <w:rPr>
                <w:rFonts w:ascii="Times New Roman" w:eastAsia="宋体" w:hAnsi="Times New Roman" w:cs="Times New Roman"/>
                <w:color w:val="000000" w:themeColor="text1"/>
                <w:szCs w:val="21"/>
              </w:rPr>
              <w:t>东</w:t>
            </w:r>
          </w:p>
        </w:tc>
        <w:tc>
          <w:tcPr>
            <w:tcW w:w="712" w:type="pct"/>
            <w:vAlign w:val="center"/>
          </w:tcPr>
          <w:p w14:paraId="69ABE0D4"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井台西侧区域处</w:t>
            </w:r>
          </w:p>
        </w:tc>
        <w:tc>
          <w:tcPr>
            <w:tcW w:w="2615" w:type="pct"/>
            <w:vAlign w:val="center"/>
          </w:tcPr>
          <w:p w14:paraId="01DD2526"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基本因子：</w:t>
            </w:r>
            <w:r w:rsidRPr="00092862">
              <w:rPr>
                <w:rFonts w:ascii="Times New Roman" w:eastAsia="宋体" w:hAnsi="Times New Roman" w:cs="Times New Roman"/>
                <w:color w:val="000000" w:themeColor="text1"/>
                <w:szCs w:val="21"/>
              </w:rPr>
              <w:t>《土壤环境质量</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建设用地土壤污染风险管控标准（试行）</w:t>
            </w:r>
            <w:r w:rsidRPr="00092862">
              <w:rPr>
                <w:rFonts w:ascii="Times New Roman" w:eastAsia="宋体" w:hAnsi="Times New Roman" w:cs="Times New Roman"/>
                <w:color w:val="000000" w:themeColor="text1"/>
                <w:szCs w:val="21"/>
              </w:rPr>
              <w:t>(GB36600—2018)</w:t>
            </w:r>
            <w:r w:rsidRPr="00092862">
              <w:rPr>
                <w:rFonts w:ascii="Times New Roman" w:eastAsia="宋体" w:hAnsi="Times New Roman" w:cs="Times New Roman"/>
                <w:color w:val="000000" w:themeColor="text1"/>
                <w:szCs w:val="21"/>
              </w:rPr>
              <w:t>》中表</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基本项目，共</w:t>
            </w:r>
            <w:r w:rsidRPr="00092862">
              <w:rPr>
                <w:rFonts w:ascii="Times New Roman" w:eastAsia="宋体" w:hAnsi="Times New Roman" w:cs="Times New Roman"/>
                <w:color w:val="000000" w:themeColor="text1"/>
                <w:szCs w:val="21"/>
              </w:rPr>
              <w:t>45</w:t>
            </w:r>
            <w:r w:rsidRPr="00092862">
              <w:rPr>
                <w:rFonts w:ascii="Times New Roman" w:eastAsia="宋体" w:hAnsi="Times New Roman" w:cs="Times New Roman"/>
                <w:color w:val="000000" w:themeColor="text1"/>
                <w:szCs w:val="21"/>
              </w:rPr>
              <w:t>个</w:t>
            </w:r>
          </w:p>
          <w:p w14:paraId="1BE6C726" w14:textId="77777777" w:rsidR="00D35EC4" w:rsidRPr="00092862" w:rsidRDefault="00D35EC4" w:rsidP="00D35EC4">
            <w:pPr>
              <w:rPr>
                <w:rFonts w:ascii="Times New Roman" w:eastAsia="宋体" w:hAnsi="Times New Roman" w:cs="Times New Roman"/>
                <w:color w:val="000000" w:themeColor="text1"/>
                <w:szCs w:val="21"/>
              </w:rPr>
            </w:pPr>
            <w:r w:rsidRPr="00092862">
              <w:rPr>
                <w:rFonts w:ascii="Times New Roman" w:eastAsia="宋体" w:hAnsi="Times New Roman" w:cs="Times New Roman"/>
                <w:b/>
                <w:color w:val="000000" w:themeColor="text1"/>
                <w:szCs w:val="21"/>
              </w:rPr>
              <w:t>特征因子：</w:t>
            </w:r>
            <w:r w:rsidRPr="00092862">
              <w:rPr>
                <w:rFonts w:ascii="Times New Roman" w:eastAsia="宋体" w:hAnsi="Times New Roman" w:cs="Times New Roman"/>
                <w:color w:val="000000" w:themeColor="text1"/>
                <w:szCs w:val="21"/>
              </w:rPr>
              <w:t>石油烃、全盐量</w:t>
            </w:r>
          </w:p>
          <w:p w14:paraId="7F72B3F3"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理化性质：</w:t>
            </w:r>
            <w:r w:rsidRPr="00092862">
              <w:rPr>
                <w:rFonts w:ascii="Times New Roman" w:eastAsia="宋体" w:hAnsi="Times New Roman" w:cs="Times New Roman"/>
                <w:color w:val="000000" w:themeColor="text1"/>
                <w:szCs w:val="21"/>
              </w:rPr>
              <w:t>具体内容见表</w:t>
            </w:r>
            <w:r w:rsidRPr="00092862">
              <w:rPr>
                <w:rFonts w:ascii="Times New Roman" w:eastAsia="宋体" w:hAnsi="Times New Roman" w:cs="Times New Roman"/>
                <w:color w:val="000000" w:themeColor="text1"/>
                <w:szCs w:val="21"/>
              </w:rPr>
              <w:t>4</w:t>
            </w:r>
          </w:p>
        </w:tc>
        <w:tc>
          <w:tcPr>
            <w:tcW w:w="435" w:type="pct"/>
            <w:vAlign w:val="center"/>
          </w:tcPr>
          <w:p w14:paraId="6E6E7C7E"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表层样点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场地内</w:t>
            </w:r>
          </w:p>
        </w:tc>
      </w:tr>
      <w:tr w:rsidR="00697429" w:rsidRPr="00092862" w14:paraId="31AB60FC" w14:textId="77777777" w:rsidTr="00A84F5F">
        <w:trPr>
          <w:trHeight w:val="1393"/>
        </w:trPr>
        <w:tc>
          <w:tcPr>
            <w:tcW w:w="362" w:type="pct"/>
            <w:tcBorders>
              <w:right w:val="single" w:sz="4" w:space="0" w:color="auto"/>
            </w:tcBorders>
            <w:vAlign w:val="center"/>
          </w:tcPr>
          <w:p w14:paraId="788D0330"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c>
          <w:tcPr>
            <w:tcW w:w="877" w:type="pct"/>
            <w:vAlign w:val="center"/>
          </w:tcPr>
          <w:p w14:paraId="54C04C76"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31.44983580°</w:t>
            </w:r>
            <w:r w:rsidRPr="00092862">
              <w:rPr>
                <w:rFonts w:ascii="Times New Roman" w:eastAsia="宋体" w:hAnsi="Times New Roman" w:cs="Times New Roman"/>
                <w:color w:val="000000" w:themeColor="text1"/>
                <w:szCs w:val="21"/>
              </w:rPr>
              <w:t>北</w:t>
            </w:r>
          </w:p>
          <w:p w14:paraId="704226CD"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107.82355249°</w:t>
            </w:r>
            <w:r w:rsidRPr="00092862">
              <w:rPr>
                <w:rFonts w:ascii="Times New Roman" w:eastAsia="宋体" w:hAnsi="Times New Roman" w:cs="Times New Roman"/>
                <w:color w:val="000000" w:themeColor="text1"/>
                <w:szCs w:val="21"/>
              </w:rPr>
              <w:t>东</w:t>
            </w:r>
          </w:p>
        </w:tc>
        <w:tc>
          <w:tcPr>
            <w:tcW w:w="712" w:type="pct"/>
            <w:vAlign w:val="center"/>
          </w:tcPr>
          <w:p w14:paraId="34D781CE"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井台外北侧</w:t>
            </w:r>
            <w:r w:rsidRPr="00092862">
              <w:rPr>
                <w:rFonts w:ascii="Times New Roman" w:eastAsia="宋体" w:hAnsi="Times New Roman" w:cs="Times New Roman"/>
                <w:color w:val="000000" w:themeColor="text1"/>
                <w:szCs w:val="21"/>
              </w:rPr>
              <w:t>30m</w:t>
            </w:r>
          </w:p>
        </w:tc>
        <w:tc>
          <w:tcPr>
            <w:tcW w:w="2615" w:type="pct"/>
            <w:vAlign w:val="center"/>
          </w:tcPr>
          <w:p w14:paraId="4A9B9513"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理化性质：</w:t>
            </w:r>
            <w:r w:rsidRPr="00092862">
              <w:rPr>
                <w:rFonts w:ascii="Times New Roman" w:eastAsia="宋体" w:hAnsi="Times New Roman" w:cs="Times New Roman"/>
                <w:color w:val="000000" w:themeColor="text1"/>
                <w:szCs w:val="21"/>
              </w:rPr>
              <w:t>pH</w:t>
            </w:r>
          </w:p>
          <w:p w14:paraId="4DB2E08E"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基本因子：</w:t>
            </w:r>
            <w:r w:rsidRPr="00092862">
              <w:rPr>
                <w:rFonts w:ascii="Times New Roman" w:eastAsia="宋体" w:hAnsi="Times New Roman" w:cs="Times New Roman"/>
                <w:color w:val="000000" w:themeColor="text1"/>
                <w:szCs w:val="21"/>
              </w:rPr>
              <w:t>《土壤环境质量</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农用地土壤污染风险管控标准（试行）</w:t>
            </w:r>
            <w:r w:rsidRPr="00092862">
              <w:rPr>
                <w:rFonts w:ascii="Times New Roman" w:eastAsia="宋体" w:hAnsi="Times New Roman" w:cs="Times New Roman"/>
                <w:color w:val="000000" w:themeColor="text1"/>
                <w:szCs w:val="21"/>
              </w:rPr>
              <w:t>(GB15618—2018)</w:t>
            </w:r>
            <w:r w:rsidRPr="00092862">
              <w:rPr>
                <w:rFonts w:ascii="Times New Roman" w:eastAsia="宋体" w:hAnsi="Times New Roman" w:cs="Times New Roman"/>
                <w:color w:val="000000" w:themeColor="text1"/>
                <w:szCs w:val="21"/>
              </w:rPr>
              <w:t>》中表</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基本项目，共</w:t>
            </w:r>
            <w:r w:rsidRPr="00092862">
              <w:rPr>
                <w:rFonts w:ascii="Times New Roman" w:eastAsia="宋体" w:hAnsi="Times New Roman" w:cs="Times New Roman"/>
                <w:color w:val="000000" w:themeColor="text1"/>
                <w:szCs w:val="21"/>
              </w:rPr>
              <w:t>8</w:t>
            </w:r>
            <w:r w:rsidRPr="00092862">
              <w:rPr>
                <w:rFonts w:ascii="Times New Roman" w:eastAsia="宋体" w:hAnsi="Times New Roman" w:cs="Times New Roman"/>
                <w:color w:val="000000" w:themeColor="text1"/>
                <w:szCs w:val="21"/>
              </w:rPr>
              <w:t>个</w:t>
            </w:r>
          </w:p>
          <w:p w14:paraId="625D7B94"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特征因子：</w:t>
            </w:r>
            <w:r w:rsidRPr="00092862">
              <w:rPr>
                <w:rFonts w:ascii="Times New Roman" w:eastAsia="宋体" w:hAnsi="Times New Roman" w:cs="Times New Roman"/>
                <w:color w:val="000000" w:themeColor="text1"/>
                <w:szCs w:val="21"/>
              </w:rPr>
              <w:t>石油烃、全盐量</w:t>
            </w:r>
          </w:p>
        </w:tc>
        <w:tc>
          <w:tcPr>
            <w:tcW w:w="435" w:type="pct"/>
            <w:vAlign w:val="center"/>
          </w:tcPr>
          <w:p w14:paraId="375ACE5C"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表层样点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场地外</w:t>
            </w:r>
          </w:p>
        </w:tc>
      </w:tr>
      <w:tr w:rsidR="00697429" w:rsidRPr="00092862" w14:paraId="48EAB910" w14:textId="77777777" w:rsidTr="00A84F5F">
        <w:trPr>
          <w:trHeight w:val="379"/>
        </w:trPr>
        <w:tc>
          <w:tcPr>
            <w:tcW w:w="362" w:type="pct"/>
            <w:tcBorders>
              <w:right w:val="single" w:sz="4" w:space="0" w:color="auto"/>
            </w:tcBorders>
            <w:vAlign w:val="center"/>
          </w:tcPr>
          <w:p w14:paraId="16B47AEB"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w:t>
            </w:r>
          </w:p>
        </w:tc>
        <w:tc>
          <w:tcPr>
            <w:tcW w:w="877" w:type="pct"/>
            <w:vAlign w:val="center"/>
          </w:tcPr>
          <w:p w14:paraId="24DC34E8"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31.44822948°</w:t>
            </w:r>
            <w:r w:rsidRPr="00092862">
              <w:rPr>
                <w:rFonts w:ascii="Times New Roman" w:eastAsia="宋体" w:hAnsi="Times New Roman" w:cs="Times New Roman"/>
                <w:color w:val="000000" w:themeColor="text1"/>
                <w:szCs w:val="21"/>
              </w:rPr>
              <w:t>北</w:t>
            </w:r>
          </w:p>
          <w:p w14:paraId="2EE67037"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107.82364368°</w:t>
            </w:r>
            <w:r w:rsidRPr="00092862">
              <w:rPr>
                <w:rFonts w:ascii="Times New Roman" w:eastAsia="宋体" w:hAnsi="Times New Roman" w:cs="Times New Roman"/>
                <w:color w:val="000000" w:themeColor="text1"/>
                <w:szCs w:val="21"/>
              </w:rPr>
              <w:t>东</w:t>
            </w:r>
          </w:p>
        </w:tc>
        <w:tc>
          <w:tcPr>
            <w:tcW w:w="712" w:type="pct"/>
            <w:vAlign w:val="center"/>
          </w:tcPr>
          <w:p w14:paraId="596BAFD7"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井台外南侧</w:t>
            </w:r>
            <w:r w:rsidRPr="00092862">
              <w:rPr>
                <w:rFonts w:ascii="Times New Roman" w:eastAsia="宋体" w:hAnsi="Times New Roman" w:cs="Times New Roman"/>
                <w:color w:val="000000" w:themeColor="text1"/>
                <w:szCs w:val="21"/>
              </w:rPr>
              <w:t>20m</w:t>
            </w:r>
          </w:p>
        </w:tc>
        <w:tc>
          <w:tcPr>
            <w:tcW w:w="2615" w:type="pct"/>
            <w:vAlign w:val="center"/>
          </w:tcPr>
          <w:p w14:paraId="1345BE59"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理化性质：</w:t>
            </w:r>
            <w:r w:rsidRPr="00092862">
              <w:rPr>
                <w:rFonts w:ascii="Times New Roman" w:eastAsia="宋体" w:hAnsi="Times New Roman" w:cs="Times New Roman"/>
                <w:color w:val="000000" w:themeColor="text1"/>
                <w:szCs w:val="21"/>
              </w:rPr>
              <w:t>pH</w:t>
            </w:r>
          </w:p>
          <w:p w14:paraId="75A41DBE" w14:textId="77777777" w:rsidR="00D35EC4" w:rsidRPr="00092862" w:rsidRDefault="00D35EC4" w:rsidP="00D35EC4">
            <w:pP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特征因子：</w:t>
            </w:r>
            <w:r w:rsidRPr="00092862">
              <w:rPr>
                <w:rFonts w:ascii="Times New Roman" w:eastAsia="宋体" w:hAnsi="Times New Roman" w:cs="Times New Roman"/>
                <w:color w:val="000000" w:themeColor="text1"/>
                <w:szCs w:val="21"/>
              </w:rPr>
              <w:t>石油烃、全盐量</w:t>
            </w:r>
          </w:p>
        </w:tc>
        <w:tc>
          <w:tcPr>
            <w:tcW w:w="435" w:type="pct"/>
            <w:vAlign w:val="center"/>
          </w:tcPr>
          <w:p w14:paraId="3415F1D1" w14:textId="77777777" w:rsidR="00D35EC4" w:rsidRPr="00092862" w:rsidRDefault="00D35EC4" w:rsidP="00D35EC4">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表层样点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场地外</w:t>
            </w:r>
          </w:p>
        </w:tc>
      </w:tr>
    </w:tbl>
    <w:p w14:paraId="1C7A8DF2" w14:textId="77777777" w:rsidR="00C30BD8" w:rsidRPr="00092862" w:rsidRDefault="00C30BD8" w:rsidP="00C30BD8">
      <w:pPr>
        <w:rPr>
          <w:rFonts w:ascii="Times New Roman" w:hAnsi="Times New Roman" w:cs="Times New Roman"/>
          <w:color w:val="000000" w:themeColor="text1"/>
        </w:rPr>
      </w:pPr>
    </w:p>
    <w:p w14:paraId="24A44260" w14:textId="77777777"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）评价标准</w:t>
      </w:r>
    </w:p>
    <w:p w14:paraId="4C931EF6" w14:textId="77777777"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占地范围内执行《土壤环境质量</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建设用地土壤污染风险管控标准（试行）》（</w:t>
      </w:r>
      <w:r w:rsidRPr="00092862">
        <w:rPr>
          <w:rFonts w:ascii="Times New Roman" w:eastAsia="宋体" w:hAnsi="Times New Roman" w:cs="Times New Roman"/>
          <w:bCs/>
          <w:color w:val="000000" w:themeColor="text1"/>
          <w:sz w:val="24"/>
          <w:szCs w:val="24"/>
        </w:rPr>
        <w:t>GB36600-2018</w:t>
      </w:r>
      <w:r w:rsidRPr="00092862">
        <w:rPr>
          <w:rFonts w:ascii="Times New Roman" w:eastAsia="宋体" w:hAnsi="Times New Roman" w:cs="Times New Roman"/>
          <w:bCs/>
          <w:color w:val="000000" w:themeColor="text1"/>
          <w:sz w:val="24"/>
          <w:szCs w:val="24"/>
        </w:rPr>
        <w:t>）中的第二类用地筛选值标准，用地范围外执行《土壤环境质量</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农用地土壤污染风险管控标准》（</w:t>
      </w:r>
      <w:r w:rsidRPr="00092862">
        <w:rPr>
          <w:rFonts w:ascii="Times New Roman" w:eastAsia="宋体" w:hAnsi="Times New Roman" w:cs="Times New Roman"/>
          <w:bCs/>
          <w:color w:val="000000" w:themeColor="text1"/>
          <w:sz w:val="24"/>
          <w:szCs w:val="24"/>
        </w:rPr>
        <w:t>GB15618-2018</w:t>
      </w:r>
      <w:r w:rsidRPr="00092862">
        <w:rPr>
          <w:rFonts w:ascii="Times New Roman" w:eastAsia="宋体" w:hAnsi="Times New Roman" w:cs="Times New Roman"/>
          <w:bCs/>
          <w:color w:val="000000" w:themeColor="text1"/>
          <w:sz w:val="24"/>
          <w:szCs w:val="24"/>
        </w:rPr>
        <w:t>）中土壤污染风险筛选值标准。</w:t>
      </w:r>
    </w:p>
    <w:p w14:paraId="4317A526" w14:textId="77777777"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）土壤环境现状监测统计</w:t>
      </w:r>
    </w:p>
    <w:p w14:paraId="7D277E37" w14:textId="11843BBC" w:rsidR="00C30BD8" w:rsidRPr="00092862" w:rsidRDefault="00C30BD8" w:rsidP="00743A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土壤环境现状监测及评价结果见表</w:t>
      </w:r>
      <w:r w:rsidR="0007350F" w:rsidRPr="00092862">
        <w:rPr>
          <w:rFonts w:ascii="Times New Roman" w:eastAsia="宋体" w:hAnsi="Times New Roman" w:cs="Times New Roman"/>
          <w:bCs/>
          <w:color w:val="000000" w:themeColor="text1"/>
          <w:sz w:val="24"/>
          <w:szCs w:val="24"/>
        </w:rPr>
        <w:t>4.2-12</w:t>
      </w:r>
      <w:r w:rsidRPr="00092862">
        <w:rPr>
          <w:rFonts w:ascii="Times New Roman" w:eastAsia="宋体" w:hAnsi="Times New Roman" w:cs="Times New Roman"/>
          <w:bCs/>
          <w:color w:val="000000" w:themeColor="text1"/>
          <w:sz w:val="24"/>
          <w:szCs w:val="24"/>
        </w:rPr>
        <w:t>、表</w:t>
      </w:r>
      <w:r w:rsidR="0007350F" w:rsidRPr="00092862">
        <w:rPr>
          <w:rFonts w:ascii="Times New Roman" w:eastAsia="宋体" w:hAnsi="Times New Roman" w:cs="Times New Roman"/>
          <w:bCs/>
          <w:color w:val="000000" w:themeColor="text1"/>
          <w:sz w:val="24"/>
          <w:szCs w:val="24"/>
        </w:rPr>
        <w:t>4.2-13</w:t>
      </w:r>
      <w:r w:rsidRPr="00092862">
        <w:rPr>
          <w:rFonts w:ascii="Times New Roman" w:eastAsia="宋体" w:hAnsi="Times New Roman" w:cs="Times New Roman"/>
          <w:bCs/>
          <w:color w:val="000000" w:themeColor="text1"/>
          <w:sz w:val="24"/>
          <w:szCs w:val="24"/>
        </w:rPr>
        <w:t>、表</w:t>
      </w:r>
      <w:r w:rsidR="0007350F" w:rsidRPr="00092862">
        <w:rPr>
          <w:rFonts w:ascii="Times New Roman" w:eastAsia="宋体" w:hAnsi="Times New Roman" w:cs="Times New Roman"/>
          <w:bCs/>
          <w:color w:val="000000" w:themeColor="text1"/>
          <w:sz w:val="24"/>
          <w:szCs w:val="24"/>
        </w:rPr>
        <w:t>4.2-14</w:t>
      </w:r>
      <w:r w:rsidRPr="00092862">
        <w:rPr>
          <w:rFonts w:ascii="Times New Roman" w:eastAsia="宋体" w:hAnsi="Times New Roman" w:cs="Times New Roman"/>
          <w:bCs/>
          <w:color w:val="000000" w:themeColor="text1"/>
          <w:sz w:val="24"/>
          <w:szCs w:val="24"/>
        </w:rPr>
        <w:t>。</w:t>
      </w:r>
    </w:p>
    <w:p w14:paraId="04BCEB35" w14:textId="65B239BC" w:rsidR="00C30BD8" w:rsidRPr="00092862" w:rsidRDefault="00C30BD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7350F" w:rsidRPr="00092862">
        <w:rPr>
          <w:rFonts w:ascii="Times New Roman" w:eastAsia="黑体" w:hAnsi="Times New Roman"/>
          <w:color w:val="000000" w:themeColor="text1"/>
          <w:sz w:val="21"/>
          <w:szCs w:val="21"/>
          <w:lang w:eastAsia="zh-CN"/>
        </w:rPr>
        <w:t>4.2-12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本项目场外土壤环境现状监测及评价表</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mg/kg</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pH</w:t>
      </w:r>
      <w:r w:rsidRPr="00092862">
        <w:rPr>
          <w:rFonts w:ascii="Times New Roman" w:eastAsia="黑体" w:hAnsi="Times New Roman"/>
          <w:color w:val="000000" w:themeColor="text1"/>
          <w:sz w:val="21"/>
          <w:szCs w:val="21"/>
          <w:lang w:eastAsia="zh-CN"/>
        </w:rPr>
        <w:t>无量纲</w:t>
      </w:r>
    </w:p>
    <w:tbl>
      <w:tblPr>
        <w:tblW w:w="5000" w:type="pct"/>
        <w:jc w:val="center"/>
        <w:tblCellMar>
          <w:top w:w="15" w:type="dxa"/>
          <w:left w:w="15" w:type="dxa"/>
          <w:bottom w:w="15" w:type="dxa"/>
          <w:right w:w="15" w:type="dxa"/>
        </w:tblCellMar>
        <w:tblLook w:val="04A0" w:firstRow="1" w:lastRow="0" w:firstColumn="1" w:lastColumn="0" w:noHBand="0" w:noVBand="1"/>
      </w:tblPr>
      <w:tblGrid>
        <w:gridCol w:w="698"/>
        <w:gridCol w:w="1889"/>
        <w:gridCol w:w="398"/>
        <w:gridCol w:w="450"/>
        <w:gridCol w:w="525"/>
        <w:gridCol w:w="525"/>
        <w:gridCol w:w="525"/>
        <w:gridCol w:w="525"/>
        <w:gridCol w:w="525"/>
        <w:gridCol w:w="525"/>
        <w:gridCol w:w="526"/>
        <w:gridCol w:w="526"/>
        <w:gridCol w:w="663"/>
      </w:tblGrid>
      <w:tr w:rsidR="00697429" w:rsidRPr="00092862" w14:paraId="341037AA" w14:textId="77777777" w:rsidTr="00743A4C">
        <w:trPr>
          <w:trHeight w:val="454"/>
          <w:jc w:val="center"/>
        </w:trPr>
        <w:tc>
          <w:tcPr>
            <w:tcW w:w="1085" w:type="pct"/>
            <w:gridSpan w:val="2"/>
            <w:tcBorders>
              <w:top w:val="single" w:sz="4" w:space="0" w:color="000000"/>
              <w:left w:val="single" w:sz="4" w:space="0" w:color="000000"/>
              <w:bottom w:val="single" w:sz="4" w:space="0" w:color="000000"/>
              <w:right w:val="single" w:sz="4" w:space="0" w:color="000000"/>
              <w:tl2br w:val="single" w:sz="4" w:space="0" w:color="auto"/>
            </w:tcBorders>
            <w:noWrap/>
            <w:vAlign w:val="center"/>
            <w:hideMark/>
          </w:tcPr>
          <w:p w14:paraId="1F3C370E" w14:textId="1D9AAC37" w:rsidR="00743A4C" w:rsidRPr="00092862" w:rsidRDefault="00C30BD8" w:rsidP="00074CC3">
            <w:pPr>
              <w:pStyle w:val="04"/>
              <w:jc w:val="right"/>
              <w:rPr>
                <w:rFonts w:cs="Times New Roman"/>
                <w:b/>
                <w:bCs/>
                <w:color w:val="000000" w:themeColor="text1"/>
              </w:rPr>
            </w:pPr>
            <w:r w:rsidRPr="00092862">
              <w:rPr>
                <w:rFonts w:cs="Times New Roman"/>
                <w:b/>
                <w:bCs/>
                <w:color w:val="000000" w:themeColor="text1"/>
              </w:rPr>
              <w:t>监测项目</w:t>
            </w:r>
          </w:p>
          <w:p w14:paraId="5E980706" w14:textId="49215810" w:rsidR="00C30BD8" w:rsidRPr="00092862" w:rsidRDefault="00C30BD8" w:rsidP="002311C5">
            <w:pPr>
              <w:pStyle w:val="04"/>
              <w:jc w:val="left"/>
              <w:rPr>
                <w:rFonts w:cs="Times New Roman"/>
                <w:b/>
                <w:bCs/>
                <w:color w:val="000000" w:themeColor="text1"/>
              </w:rPr>
            </w:pPr>
            <w:r w:rsidRPr="00092862">
              <w:rPr>
                <w:rFonts w:cs="Times New Roman"/>
                <w:b/>
                <w:bCs/>
                <w:color w:val="000000" w:themeColor="text1"/>
              </w:rPr>
              <w:t>监测点</w:t>
            </w:r>
          </w:p>
        </w:tc>
        <w:tc>
          <w:tcPr>
            <w:tcW w:w="290" w:type="pct"/>
            <w:tcBorders>
              <w:top w:val="single" w:sz="4" w:space="0" w:color="000000"/>
              <w:left w:val="single" w:sz="4" w:space="0" w:color="000000"/>
              <w:bottom w:val="single" w:sz="4" w:space="0" w:color="000000"/>
              <w:right w:val="single" w:sz="4" w:space="0" w:color="000000"/>
            </w:tcBorders>
            <w:noWrap/>
            <w:vAlign w:val="center"/>
            <w:hideMark/>
          </w:tcPr>
          <w:p w14:paraId="095268EB"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pH</w:t>
            </w:r>
          </w:p>
        </w:tc>
        <w:tc>
          <w:tcPr>
            <w:tcW w:w="322" w:type="pct"/>
            <w:tcBorders>
              <w:top w:val="single" w:sz="4" w:space="0" w:color="000000"/>
              <w:left w:val="single" w:sz="4" w:space="0" w:color="000000"/>
              <w:bottom w:val="single" w:sz="4" w:space="0" w:color="000000"/>
              <w:right w:val="single" w:sz="4" w:space="0" w:color="000000"/>
            </w:tcBorders>
            <w:noWrap/>
            <w:vAlign w:val="center"/>
            <w:hideMark/>
          </w:tcPr>
          <w:p w14:paraId="398FBCE3"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砷</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5A4E2F2C"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镉</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4749B9B"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铜</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8823D03"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铅</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76B5C4F"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汞</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3CC0E95D"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镍</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4FC56422"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总铬</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629F53E7"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锌</w:t>
            </w:r>
          </w:p>
        </w:tc>
        <w:tc>
          <w:tcPr>
            <w:tcW w:w="367" w:type="pct"/>
            <w:tcBorders>
              <w:top w:val="single" w:sz="4" w:space="0" w:color="000000"/>
              <w:left w:val="single" w:sz="4" w:space="0" w:color="000000"/>
              <w:bottom w:val="single" w:sz="4" w:space="0" w:color="000000"/>
              <w:right w:val="single" w:sz="4" w:space="0" w:color="000000"/>
            </w:tcBorders>
            <w:vAlign w:val="center"/>
          </w:tcPr>
          <w:p w14:paraId="15629FCF"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石油烃</w:t>
            </w:r>
          </w:p>
        </w:tc>
        <w:tc>
          <w:tcPr>
            <w:tcW w:w="367" w:type="pct"/>
            <w:tcBorders>
              <w:top w:val="single" w:sz="4" w:space="0" w:color="000000"/>
              <w:left w:val="single" w:sz="4" w:space="0" w:color="000000"/>
              <w:bottom w:val="single" w:sz="4" w:space="0" w:color="000000"/>
              <w:right w:val="single" w:sz="4" w:space="0" w:color="000000"/>
            </w:tcBorders>
            <w:noWrap/>
            <w:vAlign w:val="center"/>
            <w:hideMark/>
          </w:tcPr>
          <w:p w14:paraId="03998858" w14:textId="77777777" w:rsidR="00C30BD8" w:rsidRPr="00092862" w:rsidRDefault="00C30BD8" w:rsidP="002311C5">
            <w:pPr>
              <w:pStyle w:val="04"/>
              <w:rPr>
                <w:rFonts w:cs="Times New Roman"/>
                <w:b/>
                <w:bCs/>
                <w:color w:val="000000" w:themeColor="text1"/>
              </w:rPr>
            </w:pPr>
            <w:r w:rsidRPr="00092862">
              <w:rPr>
                <w:rFonts w:cs="Times New Roman"/>
                <w:b/>
                <w:bCs/>
                <w:color w:val="000000" w:themeColor="text1"/>
              </w:rPr>
              <w:t>全盐量</w:t>
            </w:r>
          </w:p>
        </w:tc>
      </w:tr>
      <w:tr w:rsidR="00697429" w:rsidRPr="00092862" w14:paraId="7117200C" w14:textId="77777777" w:rsidTr="00743A4C">
        <w:trPr>
          <w:trHeight w:val="454"/>
          <w:jc w:val="center"/>
        </w:trPr>
        <w:tc>
          <w:tcPr>
            <w:tcW w:w="471" w:type="pct"/>
            <w:vMerge w:val="restart"/>
            <w:tcBorders>
              <w:top w:val="single" w:sz="4" w:space="0" w:color="000000"/>
              <w:left w:val="single" w:sz="4" w:space="0" w:color="000000"/>
              <w:bottom w:val="single" w:sz="4" w:space="0" w:color="000000"/>
              <w:right w:val="single" w:sz="4" w:space="0" w:color="000000"/>
            </w:tcBorders>
            <w:noWrap/>
            <w:vAlign w:val="center"/>
            <w:hideMark/>
          </w:tcPr>
          <w:p w14:paraId="6D34483A" w14:textId="5C355AED" w:rsidR="00C30BD8" w:rsidRPr="00092862" w:rsidRDefault="00C17127" w:rsidP="002311C5">
            <w:pPr>
              <w:pStyle w:val="04"/>
              <w:rPr>
                <w:rFonts w:cs="Times New Roman"/>
                <w:color w:val="000000" w:themeColor="text1"/>
              </w:rPr>
            </w:pPr>
            <w:r w:rsidRPr="00092862">
              <w:rPr>
                <w:rFonts w:cs="Times New Roman"/>
                <w:color w:val="000000" w:themeColor="text1"/>
              </w:rPr>
              <w:t>5#</w:t>
            </w: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09C3C040" w14:textId="77777777" w:rsidR="00C30BD8" w:rsidRPr="00092862" w:rsidRDefault="00C30BD8" w:rsidP="002311C5">
            <w:pPr>
              <w:pStyle w:val="04"/>
              <w:rPr>
                <w:rFonts w:cs="Times New Roman"/>
                <w:color w:val="000000" w:themeColor="text1"/>
              </w:rPr>
            </w:pPr>
            <w:r w:rsidRPr="00092862">
              <w:rPr>
                <w:rFonts w:cs="Times New Roman"/>
                <w:color w:val="000000" w:themeColor="text1"/>
              </w:rPr>
              <w:t>监测值</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35B30F5F" w14:textId="578C4D74" w:rsidR="00C30BD8" w:rsidRPr="00092862" w:rsidRDefault="00C17127" w:rsidP="002311C5">
            <w:pPr>
              <w:pStyle w:val="04"/>
              <w:rPr>
                <w:rFonts w:cs="Times New Roman"/>
                <w:color w:val="000000" w:themeColor="text1"/>
              </w:rPr>
            </w:pPr>
            <w:r w:rsidRPr="00092862">
              <w:rPr>
                <w:rFonts w:cs="Times New Roman"/>
                <w:color w:val="000000" w:themeColor="text1"/>
              </w:rPr>
              <w:t>7.</w:t>
            </w:r>
            <w:r w:rsidR="00713CE1" w:rsidRPr="00092862">
              <w:rPr>
                <w:rFonts w:cs="Times New Roman"/>
                <w:color w:val="000000" w:themeColor="text1"/>
              </w:rPr>
              <w:t>35</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1618B3A" w14:textId="5DF0AF74" w:rsidR="00C30BD8" w:rsidRPr="00092862" w:rsidRDefault="00713CE1" w:rsidP="002311C5">
            <w:pPr>
              <w:pStyle w:val="04"/>
              <w:rPr>
                <w:rFonts w:cs="Times New Roman"/>
                <w:color w:val="000000" w:themeColor="text1"/>
              </w:rPr>
            </w:pPr>
            <w:r w:rsidRPr="00092862">
              <w:rPr>
                <w:rFonts w:cs="Times New Roman"/>
                <w:color w:val="000000" w:themeColor="text1"/>
              </w:rPr>
              <w:t>6.59</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626F023" w14:textId="448CC0E6" w:rsidR="00C30BD8" w:rsidRPr="00092862" w:rsidRDefault="00713CE1" w:rsidP="002311C5">
            <w:pPr>
              <w:pStyle w:val="04"/>
              <w:rPr>
                <w:rFonts w:cs="Times New Roman"/>
                <w:color w:val="000000" w:themeColor="text1"/>
              </w:rPr>
            </w:pPr>
            <w:r w:rsidRPr="00092862">
              <w:rPr>
                <w:rFonts w:cs="Times New Roman"/>
                <w:color w:val="000000" w:themeColor="text1"/>
              </w:rPr>
              <w:t>0.28</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ED72DCF" w14:textId="7F9D69F4" w:rsidR="00C30BD8" w:rsidRPr="00092862" w:rsidRDefault="00713CE1" w:rsidP="002311C5">
            <w:pPr>
              <w:pStyle w:val="04"/>
              <w:rPr>
                <w:rFonts w:cs="Times New Roman"/>
                <w:color w:val="000000" w:themeColor="text1"/>
              </w:rPr>
            </w:pPr>
            <w:r w:rsidRPr="00092862">
              <w:rPr>
                <w:rFonts w:cs="Times New Roman"/>
                <w:color w:val="000000" w:themeColor="text1"/>
              </w:rPr>
              <w:t>35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0050F6D" w14:textId="150D2F6D" w:rsidR="00C30BD8" w:rsidRPr="00092862" w:rsidRDefault="00713CE1" w:rsidP="002311C5">
            <w:pPr>
              <w:pStyle w:val="04"/>
              <w:rPr>
                <w:rFonts w:cs="Times New Roman"/>
                <w:color w:val="000000" w:themeColor="text1"/>
              </w:rPr>
            </w:pPr>
            <w:r w:rsidRPr="00092862">
              <w:rPr>
                <w:rFonts w:cs="Times New Roman"/>
                <w:color w:val="000000" w:themeColor="text1"/>
              </w:rPr>
              <w:t>18</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D2DAF67" w14:textId="4C4BB783" w:rsidR="00C30BD8" w:rsidRPr="00092862" w:rsidRDefault="00713CE1" w:rsidP="002311C5">
            <w:pPr>
              <w:pStyle w:val="04"/>
              <w:rPr>
                <w:rFonts w:cs="Times New Roman"/>
                <w:color w:val="000000" w:themeColor="text1"/>
              </w:rPr>
            </w:pPr>
            <w:r w:rsidRPr="00092862">
              <w:rPr>
                <w:rFonts w:cs="Times New Roman"/>
                <w:color w:val="000000" w:themeColor="text1"/>
              </w:rPr>
              <w:t>0.36</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CAEBDFC" w14:textId="1D2FDD5A" w:rsidR="00C30BD8" w:rsidRPr="00092862" w:rsidRDefault="00713CE1" w:rsidP="002311C5">
            <w:pPr>
              <w:pStyle w:val="04"/>
              <w:rPr>
                <w:rFonts w:cs="Times New Roman"/>
                <w:color w:val="000000" w:themeColor="text1"/>
              </w:rPr>
            </w:pPr>
            <w:r w:rsidRPr="00092862">
              <w:rPr>
                <w:rFonts w:cs="Times New Roman"/>
                <w:color w:val="000000" w:themeColor="text1"/>
              </w:rPr>
              <w:t>48</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6BB55E5" w14:textId="277E1DF1" w:rsidR="00C30BD8" w:rsidRPr="00092862" w:rsidRDefault="00713CE1" w:rsidP="002311C5">
            <w:pPr>
              <w:pStyle w:val="04"/>
              <w:rPr>
                <w:rFonts w:cs="Times New Roman"/>
                <w:color w:val="000000" w:themeColor="text1"/>
              </w:rPr>
            </w:pPr>
            <w:r w:rsidRPr="00092862">
              <w:rPr>
                <w:rFonts w:cs="Times New Roman"/>
                <w:color w:val="000000" w:themeColor="text1"/>
              </w:rPr>
              <w:t>70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BDB1B04" w14:textId="5EAB7EF3" w:rsidR="00C30BD8" w:rsidRPr="00092862" w:rsidRDefault="00713CE1" w:rsidP="002311C5">
            <w:pPr>
              <w:pStyle w:val="04"/>
              <w:rPr>
                <w:rFonts w:cs="Times New Roman"/>
                <w:color w:val="000000" w:themeColor="text1"/>
              </w:rPr>
            </w:pPr>
            <w:r w:rsidRPr="00092862">
              <w:rPr>
                <w:rFonts w:cs="Times New Roman"/>
                <w:color w:val="000000" w:themeColor="text1"/>
              </w:rPr>
              <w:t>111</w:t>
            </w:r>
          </w:p>
        </w:tc>
        <w:tc>
          <w:tcPr>
            <w:tcW w:w="367" w:type="pct"/>
            <w:tcBorders>
              <w:top w:val="single" w:sz="4" w:space="0" w:color="000000"/>
              <w:left w:val="single" w:sz="4" w:space="0" w:color="000000"/>
              <w:bottom w:val="single" w:sz="4" w:space="0" w:color="000000"/>
              <w:right w:val="single" w:sz="4" w:space="0" w:color="000000"/>
            </w:tcBorders>
            <w:vAlign w:val="center"/>
          </w:tcPr>
          <w:p w14:paraId="4FA846B6" w14:textId="3F980D20" w:rsidR="00C30BD8" w:rsidRPr="00092862" w:rsidRDefault="00C17127" w:rsidP="002311C5">
            <w:pPr>
              <w:pStyle w:val="04"/>
              <w:rPr>
                <w:rFonts w:cs="Times New Roman"/>
                <w:color w:val="000000" w:themeColor="text1"/>
              </w:rPr>
            </w:pPr>
            <w:r w:rsidRPr="00092862">
              <w:rPr>
                <w:rFonts w:cs="Times New Roman"/>
                <w:color w:val="000000" w:themeColor="text1"/>
              </w:rPr>
              <w:t>未检出</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5ADA171" w14:textId="1CE09FE6" w:rsidR="00C30BD8" w:rsidRPr="00092862" w:rsidRDefault="00713CE1" w:rsidP="002311C5">
            <w:pPr>
              <w:pStyle w:val="04"/>
              <w:rPr>
                <w:rFonts w:cs="Times New Roman"/>
                <w:color w:val="000000" w:themeColor="text1"/>
              </w:rPr>
            </w:pPr>
            <w:r w:rsidRPr="00092862">
              <w:rPr>
                <w:rFonts w:cs="Times New Roman"/>
                <w:color w:val="000000" w:themeColor="text1"/>
              </w:rPr>
              <w:t>0.3</w:t>
            </w:r>
          </w:p>
        </w:tc>
      </w:tr>
      <w:tr w:rsidR="00697429" w:rsidRPr="00092862" w14:paraId="02875239" w14:textId="77777777" w:rsidTr="00743A4C">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hideMark/>
          </w:tcPr>
          <w:p w14:paraId="1F356ED0" w14:textId="77777777" w:rsidR="00C30BD8" w:rsidRPr="00092862" w:rsidRDefault="00C30BD8" w:rsidP="002311C5">
            <w:pPr>
              <w:pStyle w:val="04"/>
              <w:rPr>
                <w:rFonts w:cs="Times New Roman"/>
                <w:color w:val="000000" w:themeColor="text1"/>
              </w:rPr>
            </w:pP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5FE8DE2E" w14:textId="07867EC3" w:rsidR="00C30BD8" w:rsidRPr="00092862" w:rsidRDefault="00C30BD8" w:rsidP="002311C5">
            <w:pPr>
              <w:pStyle w:val="04"/>
              <w:rPr>
                <w:rFonts w:cs="Times New Roman"/>
                <w:color w:val="000000" w:themeColor="text1"/>
              </w:rPr>
            </w:pPr>
            <w:r w:rsidRPr="00092862">
              <w:rPr>
                <w:rFonts w:cs="Times New Roman"/>
                <w:color w:val="000000" w:themeColor="text1"/>
              </w:rPr>
              <w:t>标准值</w:t>
            </w:r>
            <w:r w:rsidRPr="00092862">
              <w:rPr>
                <w:rFonts w:cs="Times New Roman"/>
                <w:color w:val="000000" w:themeColor="text1"/>
              </w:rPr>
              <w:br/>
            </w:r>
            <w:r w:rsidR="00250390" w:rsidRPr="00092862">
              <w:rPr>
                <w:rFonts w:cs="Times New Roman"/>
                <w:color w:val="000000" w:themeColor="text1"/>
                <w:kern w:val="2"/>
              </w:rPr>
              <w:t>6.5&lt;pH&lt;7.5</w:t>
            </w:r>
            <w:r w:rsidR="00074CC3" w:rsidRPr="00092862">
              <w:rPr>
                <w:rFonts w:cs="Times New Roman"/>
                <w:color w:val="000000" w:themeColor="text1"/>
              </w:rPr>
              <w:t>（其他）</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03A06288" w14:textId="77777777" w:rsidR="00C30BD8" w:rsidRPr="00092862" w:rsidRDefault="00C30BD8" w:rsidP="002311C5">
            <w:pPr>
              <w:pStyle w:val="04"/>
              <w:rPr>
                <w:rFonts w:cs="Times New Roman"/>
                <w:color w:val="000000" w:themeColor="text1"/>
              </w:rPr>
            </w:pPr>
            <w:r w:rsidRPr="00092862">
              <w:rPr>
                <w:rFonts w:cs="Times New Roman"/>
                <w:color w:val="000000" w:themeColor="text1"/>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AF0AA63" w14:textId="34C28F7B" w:rsidR="00C30BD8" w:rsidRPr="00092862" w:rsidRDefault="00250390" w:rsidP="002311C5">
            <w:pPr>
              <w:pStyle w:val="04"/>
              <w:rPr>
                <w:rFonts w:cs="Times New Roman"/>
                <w:color w:val="000000" w:themeColor="text1"/>
              </w:rPr>
            </w:pPr>
            <w:r w:rsidRPr="00092862">
              <w:rPr>
                <w:rFonts w:cs="Times New Roman"/>
                <w:color w:val="000000" w:themeColor="text1"/>
              </w:rPr>
              <w:t>30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DC56D89" w14:textId="6BEF9426" w:rsidR="00C30BD8" w:rsidRPr="00092862" w:rsidRDefault="00250390" w:rsidP="002311C5">
            <w:pPr>
              <w:pStyle w:val="04"/>
              <w:rPr>
                <w:rFonts w:cs="Times New Roman"/>
                <w:color w:val="000000" w:themeColor="text1"/>
              </w:rPr>
            </w:pPr>
            <w:r w:rsidRPr="00092862">
              <w:rPr>
                <w:rFonts w:cs="Times New Roman"/>
                <w:color w:val="000000" w:themeColor="text1"/>
              </w:rPr>
              <w:t>0.3</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A07E4E1" w14:textId="11CA9AB5" w:rsidR="00C30BD8" w:rsidRPr="00092862" w:rsidRDefault="00250390" w:rsidP="002311C5">
            <w:pPr>
              <w:pStyle w:val="04"/>
              <w:rPr>
                <w:rFonts w:cs="Times New Roman"/>
                <w:color w:val="000000" w:themeColor="text1"/>
              </w:rPr>
            </w:pPr>
            <w:r w:rsidRPr="00092862">
              <w:rPr>
                <w:rFonts w:cs="Times New Roman"/>
                <w:color w:val="000000" w:themeColor="text1"/>
              </w:rPr>
              <w:t>100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BE469D8" w14:textId="03B0077C" w:rsidR="00C30BD8" w:rsidRPr="00092862" w:rsidRDefault="00250390" w:rsidP="002311C5">
            <w:pPr>
              <w:pStyle w:val="04"/>
              <w:rPr>
                <w:rFonts w:cs="Times New Roman"/>
                <w:color w:val="000000" w:themeColor="text1"/>
              </w:rPr>
            </w:pPr>
            <w:r w:rsidRPr="00092862">
              <w:rPr>
                <w:rFonts w:cs="Times New Roman"/>
                <w:color w:val="000000" w:themeColor="text1"/>
              </w:rPr>
              <w:t>120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4BD8912" w14:textId="46F1C372" w:rsidR="00C30BD8" w:rsidRPr="00092862" w:rsidRDefault="00250390" w:rsidP="002311C5">
            <w:pPr>
              <w:pStyle w:val="04"/>
              <w:rPr>
                <w:rFonts w:cs="Times New Roman"/>
                <w:color w:val="000000" w:themeColor="text1"/>
              </w:rPr>
            </w:pPr>
            <w:r w:rsidRPr="00092862">
              <w:rPr>
                <w:rFonts w:cs="Times New Roman"/>
                <w:color w:val="000000" w:themeColor="text1"/>
              </w:rPr>
              <w:t>2.4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64025EB" w14:textId="06871BA9" w:rsidR="00C30BD8" w:rsidRPr="00092862" w:rsidRDefault="00250390" w:rsidP="002311C5">
            <w:pPr>
              <w:pStyle w:val="04"/>
              <w:rPr>
                <w:rFonts w:cs="Times New Roman"/>
                <w:color w:val="000000" w:themeColor="text1"/>
              </w:rPr>
            </w:pPr>
            <w:r w:rsidRPr="00092862">
              <w:rPr>
                <w:rFonts w:cs="Times New Roman"/>
                <w:color w:val="000000" w:themeColor="text1"/>
              </w:rPr>
              <w:t>100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5FB92EC" w14:textId="1E0B52AB" w:rsidR="00C30BD8" w:rsidRPr="00092862" w:rsidRDefault="00250390" w:rsidP="002311C5">
            <w:pPr>
              <w:pStyle w:val="04"/>
              <w:rPr>
                <w:rFonts w:cs="Times New Roman"/>
                <w:color w:val="000000" w:themeColor="text1"/>
              </w:rPr>
            </w:pPr>
            <w:r w:rsidRPr="00092862">
              <w:rPr>
                <w:rFonts w:cs="Times New Roman"/>
                <w:color w:val="000000" w:themeColor="text1"/>
              </w:rPr>
              <w:t>200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F402699" w14:textId="7E227B79" w:rsidR="00C30BD8" w:rsidRPr="00092862" w:rsidRDefault="00250390" w:rsidP="002311C5">
            <w:pPr>
              <w:pStyle w:val="04"/>
              <w:rPr>
                <w:rFonts w:cs="Times New Roman"/>
                <w:color w:val="000000" w:themeColor="text1"/>
              </w:rPr>
            </w:pPr>
            <w:r w:rsidRPr="00092862">
              <w:rPr>
                <w:rFonts w:cs="Times New Roman"/>
                <w:color w:val="000000" w:themeColor="text1"/>
              </w:rPr>
              <w:t>250</w:t>
            </w:r>
          </w:p>
        </w:tc>
        <w:tc>
          <w:tcPr>
            <w:tcW w:w="367" w:type="pct"/>
            <w:tcBorders>
              <w:top w:val="single" w:sz="4" w:space="0" w:color="000000"/>
              <w:left w:val="single" w:sz="4" w:space="0" w:color="000000"/>
              <w:bottom w:val="single" w:sz="4" w:space="0" w:color="000000"/>
              <w:right w:val="single" w:sz="4" w:space="0" w:color="000000"/>
            </w:tcBorders>
            <w:vAlign w:val="center"/>
          </w:tcPr>
          <w:p w14:paraId="0B15A4A3" w14:textId="77777777" w:rsidR="00C30BD8" w:rsidRPr="00092862" w:rsidRDefault="00C30BD8" w:rsidP="002311C5">
            <w:pPr>
              <w:pStyle w:val="04"/>
              <w:rPr>
                <w:rFonts w:cs="Times New Roman"/>
                <w:color w:val="000000" w:themeColor="text1"/>
              </w:rPr>
            </w:pPr>
            <w:r w:rsidRPr="00092862">
              <w:rPr>
                <w:rFonts w:cs="Times New Roman"/>
                <w:color w:val="000000" w:themeColor="text1"/>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859A7CD" w14:textId="77777777" w:rsidR="00C30BD8" w:rsidRPr="00092862" w:rsidRDefault="00C30BD8" w:rsidP="002311C5">
            <w:pPr>
              <w:pStyle w:val="04"/>
              <w:rPr>
                <w:rFonts w:cs="Times New Roman"/>
                <w:color w:val="000000" w:themeColor="text1"/>
              </w:rPr>
            </w:pPr>
            <w:r w:rsidRPr="00092862">
              <w:rPr>
                <w:rFonts w:cs="Times New Roman"/>
                <w:color w:val="000000" w:themeColor="text1"/>
              </w:rPr>
              <w:t>/</w:t>
            </w:r>
          </w:p>
        </w:tc>
      </w:tr>
      <w:tr w:rsidR="00697429" w:rsidRPr="00092862" w14:paraId="6AE05D32" w14:textId="77777777" w:rsidTr="00743A4C">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hideMark/>
          </w:tcPr>
          <w:p w14:paraId="1C69F3A8" w14:textId="77777777" w:rsidR="00C30BD8" w:rsidRPr="00092862" w:rsidRDefault="00C30BD8" w:rsidP="002311C5">
            <w:pPr>
              <w:pStyle w:val="04"/>
              <w:rPr>
                <w:rFonts w:cs="Times New Roman"/>
                <w:color w:val="000000" w:themeColor="text1"/>
              </w:rPr>
            </w:pPr>
          </w:p>
        </w:tc>
        <w:tc>
          <w:tcPr>
            <w:tcW w:w="614" w:type="pct"/>
            <w:tcBorders>
              <w:top w:val="single" w:sz="4" w:space="0" w:color="000000"/>
              <w:left w:val="single" w:sz="4" w:space="0" w:color="000000"/>
              <w:bottom w:val="single" w:sz="4" w:space="0" w:color="000000"/>
              <w:right w:val="single" w:sz="4" w:space="0" w:color="000000"/>
            </w:tcBorders>
            <w:noWrap/>
            <w:vAlign w:val="center"/>
            <w:hideMark/>
          </w:tcPr>
          <w:p w14:paraId="27B5282F"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达标情况</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6BD36DBC" w14:textId="77777777" w:rsidR="00C30BD8" w:rsidRPr="00092862" w:rsidRDefault="00C30BD8" w:rsidP="002311C5">
            <w:pPr>
              <w:pStyle w:val="04"/>
              <w:rPr>
                <w:rFonts w:cs="Times New Roman"/>
                <w:color w:val="000000" w:themeColor="text1"/>
              </w:rPr>
            </w:pPr>
            <w:r w:rsidRPr="00092862">
              <w:rPr>
                <w:rFonts w:cs="Times New Roman"/>
                <w:color w:val="000000" w:themeColor="text1"/>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2925BD42"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7DA5F79"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F8D7E45"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2320AAF"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4D0D1E4"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A10C41C"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0404D6C"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DE70D9D" w14:textId="77777777" w:rsidR="00C30BD8" w:rsidRPr="00092862" w:rsidRDefault="00C30BD8" w:rsidP="002311C5">
            <w:pPr>
              <w:pStyle w:val="04"/>
              <w:rPr>
                <w:rFonts w:cs="Times New Roman"/>
                <w:color w:val="000000" w:themeColor="text1"/>
              </w:rPr>
            </w:pPr>
            <w:r w:rsidRPr="00092862">
              <w:rPr>
                <w:rFonts w:cs="Times New Roman"/>
                <w:color w:val="000000" w:themeColor="text1"/>
              </w:rPr>
              <w:t>达标</w:t>
            </w:r>
          </w:p>
        </w:tc>
        <w:tc>
          <w:tcPr>
            <w:tcW w:w="367" w:type="pct"/>
            <w:tcBorders>
              <w:top w:val="single" w:sz="4" w:space="0" w:color="000000"/>
              <w:left w:val="single" w:sz="4" w:space="0" w:color="000000"/>
              <w:bottom w:val="single" w:sz="4" w:space="0" w:color="000000"/>
              <w:right w:val="single" w:sz="4" w:space="0" w:color="000000"/>
            </w:tcBorders>
            <w:vAlign w:val="center"/>
          </w:tcPr>
          <w:p w14:paraId="340210A9" w14:textId="77777777" w:rsidR="00C30BD8" w:rsidRPr="00092862" w:rsidRDefault="00C30BD8" w:rsidP="002311C5">
            <w:pPr>
              <w:pStyle w:val="04"/>
              <w:rPr>
                <w:rFonts w:cs="Times New Roman"/>
                <w:color w:val="000000" w:themeColor="text1"/>
              </w:rPr>
            </w:pPr>
            <w:r w:rsidRPr="00092862">
              <w:rPr>
                <w:rFonts w:cs="Times New Roman"/>
                <w:color w:val="000000" w:themeColor="text1"/>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E45E7F4" w14:textId="77777777" w:rsidR="00C30BD8" w:rsidRPr="00092862" w:rsidRDefault="00C30BD8" w:rsidP="002311C5">
            <w:pPr>
              <w:pStyle w:val="04"/>
              <w:rPr>
                <w:rFonts w:cs="Times New Roman"/>
                <w:color w:val="000000" w:themeColor="text1"/>
              </w:rPr>
            </w:pPr>
            <w:r w:rsidRPr="00092862">
              <w:rPr>
                <w:rFonts w:cs="Times New Roman"/>
                <w:color w:val="000000" w:themeColor="text1"/>
              </w:rPr>
              <w:t>/</w:t>
            </w:r>
          </w:p>
        </w:tc>
      </w:tr>
    </w:tbl>
    <w:p w14:paraId="3C643409" w14:textId="210D1932" w:rsidR="00C30BD8" w:rsidRPr="00092862" w:rsidRDefault="00C30BD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7350F" w:rsidRPr="00092862">
        <w:rPr>
          <w:rFonts w:ascii="Times New Roman" w:eastAsia="黑体" w:hAnsi="Times New Roman"/>
          <w:color w:val="000000" w:themeColor="text1"/>
          <w:sz w:val="21"/>
          <w:szCs w:val="21"/>
          <w:lang w:eastAsia="zh-CN"/>
        </w:rPr>
        <w:t>4.2-13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本项目场内</w:t>
      </w:r>
      <w:r w:rsidR="00074CC3" w:rsidRPr="00092862">
        <w:rPr>
          <w:rFonts w:ascii="Times New Roman" w:eastAsia="黑体" w:hAnsi="Times New Roman"/>
          <w:color w:val="000000" w:themeColor="text1"/>
          <w:sz w:val="21"/>
          <w:szCs w:val="21"/>
          <w:lang w:eastAsia="zh-CN"/>
        </w:rPr>
        <w:t>外</w:t>
      </w:r>
      <w:r w:rsidRPr="00092862">
        <w:rPr>
          <w:rFonts w:ascii="Times New Roman" w:eastAsia="黑体" w:hAnsi="Times New Roman"/>
          <w:color w:val="000000" w:themeColor="text1"/>
          <w:sz w:val="21"/>
          <w:szCs w:val="21"/>
          <w:lang w:eastAsia="zh-CN"/>
        </w:rPr>
        <w:t>土壤环境现状监测及评价表</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mg/kg</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pH</w:t>
      </w:r>
      <w:r w:rsidRPr="00092862">
        <w:rPr>
          <w:rFonts w:ascii="Times New Roman" w:eastAsia="黑体" w:hAnsi="Times New Roman"/>
          <w:color w:val="000000" w:themeColor="text1"/>
          <w:sz w:val="21"/>
          <w:szCs w:val="21"/>
          <w:lang w:eastAsia="zh-CN"/>
        </w:rPr>
        <w:t>无量纲</w:t>
      </w:r>
    </w:p>
    <w:tbl>
      <w:tblPr>
        <w:tblW w:w="5000" w:type="pct"/>
        <w:jc w:val="center"/>
        <w:tblCellMar>
          <w:left w:w="0" w:type="dxa"/>
          <w:right w:w="0" w:type="dxa"/>
        </w:tblCellMar>
        <w:tblLook w:val="04A0" w:firstRow="1" w:lastRow="0" w:firstColumn="1" w:lastColumn="0" w:noHBand="0" w:noVBand="1"/>
      </w:tblPr>
      <w:tblGrid>
        <w:gridCol w:w="528"/>
        <w:gridCol w:w="1680"/>
        <w:gridCol w:w="1726"/>
        <w:gridCol w:w="2188"/>
        <w:gridCol w:w="2178"/>
      </w:tblGrid>
      <w:tr w:rsidR="00697429" w:rsidRPr="00092862" w14:paraId="44ECFB7B" w14:textId="77777777" w:rsidTr="002311C5">
        <w:trPr>
          <w:trHeight w:val="454"/>
          <w:tblHeader/>
          <w:jc w:val="center"/>
        </w:trPr>
        <w:tc>
          <w:tcPr>
            <w:tcW w:w="1330"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hideMark/>
          </w:tcPr>
          <w:p w14:paraId="6B2D1442" w14:textId="77777777" w:rsidR="00C30BD8" w:rsidRPr="00092862" w:rsidRDefault="00C30BD8" w:rsidP="002311C5">
            <w:pPr>
              <w:adjustRightInd w:val="0"/>
              <w:snapToGrid w:val="0"/>
              <w:jc w:val="right"/>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监测因子</w:t>
            </w:r>
          </w:p>
          <w:p w14:paraId="3B6F23C2" w14:textId="77777777" w:rsidR="00C30BD8" w:rsidRPr="00092862" w:rsidRDefault="00C30BD8" w:rsidP="002311C5">
            <w:pPr>
              <w:adjustRightInd w:val="0"/>
              <w:snapToGrid w:val="0"/>
              <w:ind w:right="550"/>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监测点</w:t>
            </w:r>
          </w:p>
        </w:tc>
        <w:tc>
          <w:tcPr>
            <w:tcW w:w="1040" w:type="pct"/>
            <w:tcBorders>
              <w:top w:val="single" w:sz="4" w:space="0" w:color="auto"/>
              <w:left w:val="single" w:sz="4" w:space="0" w:color="auto"/>
              <w:right w:val="single" w:sz="4" w:space="0" w:color="auto"/>
            </w:tcBorders>
            <w:shd w:val="clear" w:color="auto" w:fill="auto"/>
            <w:vAlign w:val="center"/>
            <w:hideMark/>
          </w:tcPr>
          <w:p w14:paraId="31BBA604" w14:textId="77777777" w:rsidR="00C30BD8" w:rsidRPr="00092862" w:rsidRDefault="00C30BD8" w:rsidP="002311C5">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pH</w:t>
            </w:r>
          </w:p>
        </w:tc>
        <w:tc>
          <w:tcPr>
            <w:tcW w:w="1318" w:type="pct"/>
            <w:tcBorders>
              <w:top w:val="single" w:sz="4" w:space="0" w:color="auto"/>
              <w:left w:val="single" w:sz="4" w:space="0" w:color="auto"/>
              <w:right w:val="single" w:sz="4" w:space="0" w:color="auto"/>
            </w:tcBorders>
            <w:vAlign w:val="center"/>
          </w:tcPr>
          <w:p w14:paraId="06DCA772" w14:textId="77777777" w:rsidR="00C30BD8" w:rsidRPr="00092862" w:rsidRDefault="00C30BD8" w:rsidP="002311C5">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石油烃〔</w:t>
            </w:r>
            <w:r w:rsidRPr="00092862">
              <w:rPr>
                <w:rFonts w:ascii="Times New Roman" w:eastAsia="宋体" w:hAnsi="Times New Roman" w:cs="Times New Roman"/>
                <w:b/>
                <w:bCs/>
                <w:color w:val="000000" w:themeColor="text1"/>
              </w:rPr>
              <w:t>C</w:t>
            </w:r>
            <w:r w:rsidRPr="00092862">
              <w:rPr>
                <w:rFonts w:ascii="Times New Roman" w:eastAsia="宋体" w:hAnsi="Times New Roman" w:cs="Times New Roman"/>
                <w:b/>
                <w:bCs/>
                <w:color w:val="000000" w:themeColor="text1"/>
                <w:vertAlign w:val="subscript"/>
              </w:rPr>
              <w:t>10</w:t>
            </w:r>
            <w:r w:rsidRPr="00092862">
              <w:rPr>
                <w:rFonts w:ascii="Times New Roman" w:eastAsia="宋体" w:hAnsi="Times New Roman" w:cs="Times New Roman"/>
                <w:b/>
                <w:bCs/>
                <w:color w:val="000000" w:themeColor="text1"/>
              </w:rPr>
              <w:t>-C</w:t>
            </w:r>
            <w:r w:rsidRPr="00092862">
              <w:rPr>
                <w:rFonts w:ascii="Times New Roman" w:eastAsia="宋体" w:hAnsi="Times New Roman" w:cs="Times New Roman"/>
                <w:b/>
                <w:bCs/>
                <w:color w:val="000000" w:themeColor="text1"/>
                <w:vertAlign w:val="subscript"/>
              </w:rPr>
              <w:t>40</w:t>
            </w:r>
            <w:r w:rsidRPr="00092862">
              <w:rPr>
                <w:rFonts w:ascii="Times New Roman" w:eastAsia="宋体" w:hAnsi="Times New Roman" w:cs="Times New Roman"/>
                <w:b/>
                <w:bCs/>
                <w:color w:val="000000" w:themeColor="text1"/>
              </w:rPr>
              <w:t>〕（</w:t>
            </w:r>
            <w:r w:rsidRPr="00092862">
              <w:rPr>
                <w:rFonts w:ascii="Times New Roman" w:eastAsia="宋体" w:hAnsi="Times New Roman" w:cs="Times New Roman"/>
                <w:b/>
                <w:bCs/>
                <w:color w:val="000000" w:themeColor="text1"/>
              </w:rPr>
              <w:t>mg/kg</w:t>
            </w:r>
            <w:r w:rsidRPr="00092862">
              <w:rPr>
                <w:rFonts w:ascii="Times New Roman" w:eastAsia="宋体" w:hAnsi="Times New Roman" w:cs="Times New Roman"/>
                <w:b/>
                <w:bCs/>
                <w:color w:val="000000" w:themeColor="text1"/>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5A107889" w14:textId="77777777" w:rsidR="00C30BD8" w:rsidRPr="00092862" w:rsidRDefault="00C30BD8" w:rsidP="002311C5">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全盐量（</w:t>
            </w:r>
            <w:r w:rsidRPr="00092862">
              <w:rPr>
                <w:rFonts w:ascii="Times New Roman" w:eastAsia="宋体" w:hAnsi="Times New Roman" w:cs="Times New Roman"/>
                <w:b/>
                <w:bCs/>
                <w:color w:val="000000" w:themeColor="text1"/>
              </w:rPr>
              <w:t>g/kg</w:t>
            </w:r>
            <w:r w:rsidRPr="00092862">
              <w:rPr>
                <w:rFonts w:ascii="Times New Roman" w:eastAsia="宋体" w:hAnsi="Times New Roman" w:cs="Times New Roman"/>
                <w:b/>
                <w:bCs/>
                <w:color w:val="000000" w:themeColor="text1"/>
              </w:rPr>
              <w:t>）</w:t>
            </w:r>
          </w:p>
        </w:tc>
      </w:tr>
      <w:tr w:rsidR="00697429" w:rsidRPr="00092862" w14:paraId="631F563B" w14:textId="77777777" w:rsidTr="002311C5">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5278841C" w14:textId="77777777" w:rsidR="00C30BD8" w:rsidRPr="00092862" w:rsidRDefault="00C30BD8"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4710B9F" w14:textId="51CD771F" w:rsidR="00C30BD8" w:rsidRPr="00092862" w:rsidRDefault="00C30BD8"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2FD7D0B8" w14:textId="0A499258" w:rsidR="00C30BD8" w:rsidRPr="00092862" w:rsidRDefault="00D35EC4"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6.82</w:t>
            </w:r>
          </w:p>
        </w:tc>
        <w:tc>
          <w:tcPr>
            <w:tcW w:w="1318" w:type="pct"/>
            <w:tcBorders>
              <w:top w:val="single" w:sz="4" w:space="0" w:color="auto"/>
              <w:left w:val="single" w:sz="4" w:space="0" w:color="auto"/>
              <w:bottom w:val="single" w:sz="4" w:space="0" w:color="auto"/>
              <w:right w:val="single" w:sz="4" w:space="0" w:color="auto"/>
            </w:tcBorders>
            <w:vAlign w:val="center"/>
          </w:tcPr>
          <w:p w14:paraId="056EE35C" w14:textId="4C31FA5C" w:rsidR="00C30BD8" w:rsidRPr="00092862" w:rsidRDefault="0094447D"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A1502F6" w14:textId="01CCAB08" w:rsidR="00C30BD8" w:rsidRPr="00092862" w:rsidRDefault="00713CE1"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0.3</w:t>
            </w:r>
          </w:p>
        </w:tc>
      </w:tr>
      <w:tr w:rsidR="00697429" w:rsidRPr="00092862" w14:paraId="5D3DCEB0"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443BFE7C" w14:textId="77777777" w:rsidR="00C30BD8" w:rsidRPr="00092862" w:rsidRDefault="00C30BD8" w:rsidP="002311C5">
            <w:pPr>
              <w:adjustRightInd w:val="0"/>
              <w:snapToGrid w:val="0"/>
              <w:ind w:firstLine="420"/>
              <w:jc w:val="center"/>
              <w:rPr>
                <w:rFonts w:ascii="Times New Roman" w:eastAsia="宋体" w:hAnsi="Times New Roman" w:cs="Times New Roman"/>
                <w:color w:val="000000" w:themeColor="text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C9EA7D9" w14:textId="525FC27E" w:rsidR="00C30BD8" w:rsidRPr="00092862" w:rsidRDefault="00C30BD8"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D9A10A3" w14:textId="29703F08" w:rsidR="00C30BD8" w:rsidRPr="00092862" w:rsidRDefault="00D35EC4"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6.78</w:t>
            </w:r>
          </w:p>
        </w:tc>
        <w:tc>
          <w:tcPr>
            <w:tcW w:w="1318" w:type="pct"/>
            <w:tcBorders>
              <w:top w:val="single" w:sz="4" w:space="0" w:color="auto"/>
              <w:left w:val="single" w:sz="4" w:space="0" w:color="auto"/>
              <w:bottom w:val="single" w:sz="4" w:space="0" w:color="auto"/>
              <w:right w:val="single" w:sz="4" w:space="0" w:color="auto"/>
            </w:tcBorders>
            <w:vAlign w:val="center"/>
          </w:tcPr>
          <w:p w14:paraId="1A7D3122" w14:textId="0E347D60" w:rsidR="00C30BD8" w:rsidRPr="00092862" w:rsidRDefault="0094447D"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FD298D4" w14:textId="447DA9DB" w:rsidR="00C30BD8" w:rsidRPr="00092862" w:rsidRDefault="00713CE1"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0.3</w:t>
            </w:r>
          </w:p>
        </w:tc>
      </w:tr>
      <w:tr w:rsidR="00697429" w:rsidRPr="00092862" w14:paraId="4165E28A"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272F0F54" w14:textId="77777777" w:rsidR="00C30BD8" w:rsidRPr="00092862" w:rsidRDefault="00C30BD8" w:rsidP="002311C5">
            <w:pPr>
              <w:adjustRightInd w:val="0"/>
              <w:snapToGrid w:val="0"/>
              <w:jc w:val="center"/>
              <w:rPr>
                <w:rFonts w:ascii="Times New Roman" w:eastAsia="宋体" w:hAnsi="Times New Roman" w:cs="Times New Roman"/>
                <w:color w:val="000000" w:themeColor="text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36BD7BD" w14:textId="3EB53AA2" w:rsidR="00C30BD8" w:rsidRPr="00092862" w:rsidRDefault="00C30BD8"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300cm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B405FC6" w14:textId="23C482D5" w:rsidR="00C30BD8" w:rsidRPr="00092862" w:rsidRDefault="00D35EC4"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6.86</w:t>
            </w:r>
          </w:p>
        </w:tc>
        <w:tc>
          <w:tcPr>
            <w:tcW w:w="1318" w:type="pct"/>
            <w:tcBorders>
              <w:top w:val="single" w:sz="4" w:space="0" w:color="auto"/>
              <w:left w:val="single" w:sz="4" w:space="0" w:color="auto"/>
              <w:bottom w:val="single" w:sz="4" w:space="0" w:color="auto"/>
              <w:right w:val="single" w:sz="4" w:space="0" w:color="auto"/>
            </w:tcBorders>
            <w:vAlign w:val="center"/>
          </w:tcPr>
          <w:p w14:paraId="1FA72146" w14:textId="465186FF" w:rsidR="00C30BD8" w:rsidRPr="00092862" w:rsidRDefault="0094447D"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9B43519" w14:textId="71A7CB4B" w:rsidR="00C30BD8" w:rsidRPr="00092862" w:rsidRDefault="00713CE1" w:rsidP="002311C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0.4</w:t>
            </w:r>
          </w:p>
        </w:tc>
      </w:tr>
      <w:tr w:rsidR="00697429" w:rsidRPr="00092862" w14:paraId="61C3620E" w14:textId="77777777" w:rsidTr="002311C5">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7CB09588" w14:textId="77777777" w:rsidR="00074CC3" w:rsidRPr="00092862" w:rsidRDefault="00074CC3"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D657499" w14:textId="5FBF7F51" w:rsidR="00074CC3" w:rsidRPr="00092862" w:rsidRDefault="00074CC3"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5836E487" w14:textId="3023BAE2" w:rsidR="00074CC3" w:rsidRPr="00092862" w:rsidRDefault="00D35EC4"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7.16</w:t>
            </w:r>
          </w:p>
        </w:tc>
        <w:tc>
          <w:tcPr>
            <w:tcW w:w="1318" w:type="pct"/>
            <w:tcBorders>
              <w:top w:val="single" w:sz="4" w:space="0" w:color="auto"/>
              <w:left w:val="single" w:sz="4" w:space="0" w:color="auto"/>
              <w:bottom w:val="single" w:sz="4" w:space="0" w:color="auto"/>
              <w:right w:val="single" w:sz="4" w:space="0" w:color="auto"/>
            </w:tcBorders>
            <w:vAlign w:val="center"/>
          </w:tcPr>
          <w:p w14:paraId="4CE9EBCE" w14:textId="42977A09" w:rsidR="00074CC3" w:rsidRPr="00092862" w:rsidRDefault="0094447D"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50812BB" w14:textId="72252E93" w:rsidR="00074CC3" w:rsidRPr="00092862" w:rsidRDefault="00713CE1"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0.3</w:t>
            </w:r>
          </w:p>
        </w:tc>
      </w:tr>
      <w:tr w:rsidR="00697429" w:rsidRPr="00092862" w14:paraId="345DECAC"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1F958FED" w14:textId="77777777" w:rsidR="00074CC3" w:rsidRPr="00092862" w:rsidRDefault="00074CC3" w:rsidP="00074CC3">
            <w:pPr>
              <w:adjustRightInd w:val="0"/>
              <w:snapToGrid w:val="0"/>
              <w:ind w:firstLine="420"/>
              <w:jc w:val="center"/>
              <w:rPr>
                <w:rFonts w:ascii="Times New Roman" w:eastAsia="宋体" w:hAnsi="Times New Roman" w:cs="Times New Roman"/>
                <w:color w:val="000000" w:themeColor="text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7BF2C99" w14:textId="79748FC0" w:rsidR="00074CC3" w:rsidRPr="00092862" w:rsidRDefault="00074CC3"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C1EB796" w14:textId="2B361CFF" w:rsidR="00074CC3" w:rsidRPr="00092862" w:rsidRDefault="00D35EC4"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7.21</w:t>
            </w:r>
          </w:p>
        </w:tc>
        <w:tc>
          <w:tcPr>
            <w:tcW w:w="1318" w:type="pct"/>
            <w:tcBorders>
              <w:top w:val="single" w:sz="4" w:space="0" w:color="auto"/>
              <w:left w:val="single" w:sz="4" w:space="0" w:color="auto"/>
              <w:bottom w:val="single" w:sz="4" w:space="0" w:color="auto"/>
              <w:right w:val="single" w:sz="4" w:space="0" w:color="auto"/>
            </w:tcBorders>
            <w:vAlign w:val="center"/>
          </w:tcPr>
          <w:p w14:paraId="1175AC58" w14:textId="48318110" w:rsidR="00074CC3" w:rsidRPr="00092862" w:rsidRDefault="0094447D"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A615DF2" w14:textId="6950BCC8" w:rsidR="00074CC3" w:rsidRPr="00092862" w:rsidRDefault="00713CE1"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0.3</w:t>
            </w:r>
          </w:p>
        </w:tc>
      </w:tr>
      <w:tr w:rsidR="00697429" w:rsidRPr="00092862" w14:paraId="3E2D6D0A"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124D6192" w14:textId="77777777" w:rsidR="00074CC3" w:rsidRPr="00092862" w:rsidRDefault="00074CC3" w:rsidP="00074CC3">
            <w:pPr>
              <w:adjustRightInd w:val="0"/>
              <w:snapToGrid w:val="0"/>
              <w:jc w:val="center"/>
              <w:rPr>
                <w:rFonts w:ascii="Times New Roman" w:eastAsia="宋体" w:hAnsi="Times New Roman" w:cs="Times New Roman"/>
                <w:color w:val="000000" w:themeColor="text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DA4E4C6" w14:textId="44F01A34" w:rsidR="00074CC3" w:rsidRPr="00092862" w:rsidRDefault="00074CC3"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300cm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9E94563" w14:textId="20EDEB55" w:rsidR="00074CC3" w:rsidRPr="00092862" w:rsidRDefault="00D35EC4"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7.18</w:t>
            </w:r>
          </w:p>
        </w:tc>
        <w:tc>
          <w:tcPr>
            <w:tcW w:w="1318" w:type="pct"/>
            <w:tcBorders>
              <w:top w:val="single" w:sz="4" w:space="0" w:color="auto"/>
              <w:left w:val="single" w:sz="4" w:space="0" w:color="auto"/>
              <w:bottom w:val="single" w:sz="4" w:space="0" w:color="auto"/>
              <w:right w:val="single" w:sz="4" w:space="0" w:color="auto"/>
            </w:tcBorders>
            <w:vAlign w:val="center"/>
          </w:tcPr>
          <w:p w14:paraId="0517CF6B" w14:textId="2E311BD4" w:rsidR="00074CC3" w:rsidRPr="00092862" w:rsidRDefault="0094447D"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7D7CF770" w14:textId="1D31004C" w:rsidR="00074CC3" w:rsidRPr="00092862" w:rsidRDefault="00713CE1" w:rsidP="00074CC3">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0.2</w:t>
            </w:r>
          </w:p>
        </w:tc>
      </w:tr>
      <w:tr w:rsidR="00697429" w:rsidRPr="00092862" w14:paraId="6294205C" w14:textId="77777777" w:rsidTr="002311C5">
        <w:trPr>
          <w:trHeight w:val="454"/>
          <w:jc w:val="center"/>
        </w:trPr>
        <w:tc>
          <w:tcPr>
            <w:tcW w:w="318" w:type="pct"/>
            <w:vMerge w:val="restart"/>
            <w:tcBorders>
              <w:left w:val="single" w:sz="4" w:space="0" w:color="auto"/>
              <w:right w:val="single" w:sz="4" w:space="0" w:color="auto"/>
            </w:tcBorders>
            <w:shd w:val="clear" w:color="auto" w:fill="auto"/>
            <w:noWrap/>
            <w:vAlign w:val="center"/>
          </w:tcPr>
          <w:p w14:paraId="6FBCDB17"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B2E05FB" w14:textId="526E3A7E"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FA83523" w14:textId="14F2102D" w:rsidR="001B23D5" w:rsidRPr="00092862" w:rsidRDefault="00D35EC4"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6.77</w:t>
            </w:r>
          </w:p>
        </w:tc>
        <w:tc>
          <w:tcPr>
            <w:tcW w:w="1318" w:type="pct"/>
            <w:tcBorders>
              <w:top w:val="single" w:sz="4" w:space="0" w:color="auto"/>
              <w:left w:val="single" w:sz="4" w:space="0" w:color="auto"/>
              <w:bottom w:val="single" w:sz="4" w:space="0" w:color="auto"/>
              <w:right w:val="single" w:sz="4" w:space="0" w:color="auto"/>
            </w:tcBorders>
            <w:vAlign w:val="center"/>
          </w:tcPr>
          <w:p w14:paraId="230B8072" w14:textId="3E68A80C" w:rsidR="001B23D5" w:rsidRPr="00092862" w:rsidRDefault="0094447D"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B4B4B4B" w14:textId="06DB67A2" w:rsidR="001B23D5" w:rsidRPr="00092862" w:rsidRDefault="00713CE1"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0.4</w:t>
            </w:r>
          </w:p>
        </w:tc>
      </w:tr>
      <w:tr w:rsidR="00697429" w:rsidRPr="00092862" w14:paraId="5A9121A6" w14:textId="77777777" w:rsidTr="002311C5">
        <w:trPr>
          <w:trHeight w:val="454"/>
          <w:jc w:val="center"/>
        </w:trPr>
        <w:tc>
          <w:tcPr>
            <w:tcW w:w="318" w:type="pct"/>
            <w:vMerge/>
            <w:tcBorders>
              <w:left w:val="single" w:sz="4" w:space="0" w:color="auto"/>
              <w:right w:val="single" w:sz="4" w:space="0" w:color="auto"/>
            </w:tcBorders>
            <w:shd w:val="clear" w:color="auto" w:fill="auto"/>
            <w:noWrap/>
            <w:vAlign w:val="center"/>
          </w:tcPr>
          <w:p w14:paraId="67AA5863"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0D0DCE8C" w14:textId="0D65B3B5"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5B978A5" w14:textId="090B97F4" w:rsidR="001B23D5" w:rsidRPr="00092862" w:rsidRDefault="00D35EC4"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6.83</w:t>
            </w:r>
          </w:p>
        </w:tc>
        <w:tc>
          <w:tcPr>
            <w:tcW w:w="1318" w:type="pct"/>
            <w:tcBorders>
              <w:top w:val="single" w:sz="4" w:space="0" w:color="auto"/>
              <w:left w:val="single" w:sz="4" w:space="0" w:color="auto"/>
              <w:bottom w:val="single" w:sz="4" w:space="0" w:color="auto"/>
              <w:right w:val="single" w:sz="4" w:space="0" w:color="auto"/>
            </w:tcBorders>
            <w:vAlign w:val="center"/>
          </w:tcPr>
          <w:p w14:paraId="17563D17" w14:textId="5362142D" w:rsidR="001B23D5" w:rsidRPr="00092862" w:rsidRDefault="0094447D"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726B74" w14:textId="0639C890" w:rsidR="001B23D5" w:rsidRPr="00092862" w:rsidRDefault="00713CE1"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0.3</w:t>
            </w:r>
          </w:p>
        </w:tc>
      </w:tr>
      <w:tr w:rsidR="00697429" w:rsidRPr="00092862" w14:paraId="2ACED265" w14:textId="77777777" w:rsidTr="002311C5">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0CC4B559"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16DDB37" w14:textId="094196B6"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300cm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E7FBC8D" w14:textId="089C4B31" w:rsidR="001B23D5" w:rsidRPr="00092862" w:rsidRDefault="00D35EC4"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6.80</w:t>
            </w:r>
          </w:p>
        </w:tc>
        <w:tc>
          <w:tcPr>
            <w:tcW w:w="1318" w:type="pct"/>
            <w:tcBorders>
              <w:top w:val="single" w:sz="4" w:space="0" w:color="auto"/>
              <w:left w:val="single" w:sz="4" w:space="0" w:color="auto"/>
              <w:bottom w:val="single" w:sz="4" w:space="0" w:color="auto"/>
              <w:right w:val="single" w:sz="4" w:space="0" w:color="auto"/>
            </w:tcBorders>
            <w:vAlign w:val="center"/>
          </w:tcPr>
          <w:p w14:paraId="25713289" w14:textId="5AF07EBB" w:rsidR="001B23D5" w:rsidRPr="00092862" w:rsidRDefault="0094447D"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02AC65EC" w14:textId="7FA5EB41" w:rsidR="001B23D5" w:rsidRPr="00092862" w:rsidRDefault="00713CE1"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0.3</w:t>
            </w:r>
          </w:p>
        </w:tc>
      </w:tr>
      <w:tr w:rsidR="00697429" w:rsidRPr="00092862" w14:paraId="1242472B" w14:textId="77777777" w:rsidTr="002311C5">
        <w:trPr>
          <w:trHeight w:val="454"/>
          <w:jc w:val="center"/>
        </w:trPr>
        <w:tc>
          <w:tcPr>
            <w:tcW w:w="318" w:type="pct"/>
            <w:tcBorders>
              <w:left w:val="single" w:sz="4" w:space="0" w:color="auto"/>
              <w:bottom w:val="single" w:sz="4" w:space="0" w:color="auto"/>
              <w:right w:val="single" w:sz="4" w:space="0" w:color="auto"/>
            </w:tcBorders>
            <w:shd w:val="clear" w:color="auto" w:fill="auto"/>
            <w:noWrap/>
            <w:vAlign w:val="center"/>
          </w:tcPr>
          <w:p w14:paraId="5B6A475B"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74056A9" w14:textId="7DD03C1C"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30cm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A495AC1" w14:textId="17E7824C" w:rsidR="001B23D5" w:rsidRPr="00092862" w:rsidRDefault="00713CE1"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7.40</w:t>
            </w:r>
          </w:p>
        </w:tc>
        <w:tc>
          <w:tcPr>
            <w:tcW w:w="1318" w:type="pct"/>
            <w:tcBorders>
              <w:top w:val="single" w:sz="4" w:space="0" w:color="auto"/>
              <w:left w:val="single" w:sz="4" w:space="0" w:color="auto"/>
              <w:bottom w:val="single" w:sz="4" w:space="0" w:color="auto"/>
              <w:right w:val="single" w:sz="4" w:space="0" w:color="auto"/>
            </w:tcBorders>
            <w:vAlign w:val="center"/>
          </w:tcPr>
          <w:p w14:paraId="0B2B4AED" w14:textId="3D1F848E" w:rsidR="001B23D5" w:rsidRPr="00092862" w:rsidRDefault="00713CE1"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6E60B0A" w14:textId="6E83A53D" w:rsidR="001B23D5" w:rsidRPr="00092862" w:rsidRDefault="0094447D"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0.4</w:t>
            </w:r>
          </w:p>
        </w:tc>
      </w:tr>
      <w:tr w:rsidR="008C00B1" w:rsidRPr="00092862" w14:paraId="04B859A4" w14:textId="77777777" w:rsidTr="002311C5">
        <w:trPr>
          <w:trHeight w:val="454"/>
          <w:jc w:val="center"/>
        </w:trPr>
        <w:tc>
          <w:tcPr>
            <w:tcW w:w="13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B0E982"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标准值</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4FACC23"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w:t>
            </w:r>
          </w:p>
        </w:tc>
        <w:tc>
          <w:tcPr>
            <w:tcW w:w="1318" w:type="pct"/>
            <w:tcBorders>
              <w:top w:val="single" w:sz="4" w:space="0" w:color="auto"/>
              <w:left w:val="single" w:sz="4" w:space="0" w:color="auto"/>
              <w:bottom w:val="single" w:sz="4" w:space="0" w:color="auto"/>
              <w:right w:val="single" w:sz="4" w:space="0" w:color="auto"/>
            </w:tcBorders>
            <w:vAlign w:val="center"/>
          </w:tcPr>
          <w:p w14:paraId="24761F20" w14:textId="0259A451"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4500</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826</w:t>
            </w:r>
            <w:r w:rsidRPr="00092862">
              <w:rPr>
                <w:rFonts w:ascii="Times New Roman" w:eastAsia="宋体" w:hAnsi="Times New Roman" w:cs="Times New Roman"/>
                <w:color w:val="000000" w:themeColor="text1"/>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94E23E" w14:textId="77777777" w:rsidR="001B23D5" w:rsidRPr="00092862" w:rsidRDefault="001B23D5" w:rsidP="001B23D5">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w:t>
            </w:r>
          </w:p>
        </w:tc>
      </w:tr>
    </w:tbl>
    <w:p w14:paraId="1F6F0DC7" w14:textId="77777777" w:rsidR="00713CE1" w:rsidRPr="00092862" w:rsidRDefault="00713CE1" w:rsidP="0007350F">
      <w:pPr>
        <w:pStyle w:val="ac"/>
        <w:tabs>
          <w:tab w:val="left" w:pos="863"/>
        </w:tabs>
        <w:spacing w:before="0"/>
        <w:ind w:left="0"/>
        <w:jc w:val="center"/>
        <w:rPr>
          <w:rFonts w:ascii="Times New Roman" w:eastAsia="黑体" w:hAnsi="Times New Roman"/>
          <w:color w:val="000000" w:themeColor="text1"/>
          <w:sz w:val="21"/>
          <w:szCs w:val="21"/>
          <w:lang w:eastAsia="zh-CN"/>
        </w:rPr>
      </w:pPr>
    </w:p>
    <w:p w14:paraId="2F539862" w14:textId="342465FC" w:rsidR="00C30BD8" w:rsidRPr="00092862" w:rsidRDefault="00C30BD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7350F" w:rsidRPr="00092862">
        <w:rPr>
          <w:rFonts w:ascii="Times New Roman" w:eastAsia="黑体" w:hAnsi="Times New Roman"/>
          <w:color w:val="000000" w:themeColor="text1"/>
          <w:sz w:val="21"/>
          <w:szCs w:val="21"/>
          <w:lang w:eastAsia="zh-CN"/>
        </w:rPr>
        <w:t>4.2-14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场内土壤环境现状监测结果</w:t>
      </w:r>
    </w:p>
    <w:tbl>
      <w:tblPr>
        <w:tblW w:w="5000" w:type="pct"/>
        <w:jc w:val="center"/>
        <w:tblCellMar>
          <w:left w:w="0" w:type="dxa"/>
          <w:right w:w="0" w:type="dxa"/>
        </w:tblCellMar>
        <w:tblLook w:val="04A0" w:firstRow="1" w:lastRow="0" w:firstColumn="1" w:lastColumn="0" w:noHBand="0" w:noVBand="1"/>
      </w:tblPr>
      <w:tblGrid>
        <w:gridCol w:w="2047"/>
        <w:gridCol w:w="1248"/>
        <w:gridCol w:w="1374"/>
        <w:gridCol w:w="1373"/>
        <w:gridCol w:w="2251"/>
        <w:gridCol w:w="7"/>
      </w:tblGrid>
      <w:tr w:rsidR="00697429" w:rsidRPr="00092862" w14:paraId="584EE78C" w14:textId="77777777" w:rsidTr="002311C5">
        <w:trPr>
          <w:gridAfter w:val="1"/>
          <w:wAfter w:w="4" w:type="pct"/>
          <w:trHeight w:val="454"/>
          <w:tblHeader/>
          <w:jc w:val="center"/>
        </w:trPr>
        <w:tc>
          <w:tcPr>
            <w:tcW w:w="12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9BD19" w14:textId="77777777" w:rsidR="00C30BD8" w:rsidRPr="00092862" w:rsidRDefault="00C30BD8" w:rsidP="008C00B1">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监测因子</w:t>
            </w:r>
          </w:p>
        </w:tc>
        <w:tc>
          <w:tcPr>
            <w:tcW w:w="752" w:type="pct"/>
            <w:vMerge w:val="restart"/>
            <w:tcBorders>
              <w:top w:val="single" w:sz="4" w:space="0" w:color="auto"/>
              <w:left w:val="nil"/>
              <w:right w:val="single" w:sz="4" w:space="0" w:color="auto"/>
            </w:tcBorders>
            <w:vAlign w:val="center"/>
          </w:tcPr>
          <w:p w14:paraId="51A82539" w14:textId="77777777" w:rsidR="00C30BD8" w:rsidRPr="00092862" w:rsidRDefault="00C30BD8" w:rsidP="008C00B1">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单位</w:t>
            </w:r>
          </w:p>
        </w:tc>
        <w:tc>
          <w:tcPr>
            <w:tcW w:w="165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AA8DDF0" w14:textId="44016CB3" w:rsidR="00C30BD8" w:rsidRPr="00092862" w:rsidRDefault="00C30BD8" w:rsidP="008C00B1">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4</w:t>
            </w:r>
            <w:r w:rsidRPr="00092862">
              <w:rPr>
                <w:rFonts w:ascii="Times New Roman" w:eastAsia="宋体" w:hAnsi="Times New Roman" w:cs="Times New Roman"/>
                <w:b/>
                <w:bCs/>
                <w:color w:val="000000" w:themeColor="text1"/>
              </w:rPr>
              <w:t>（</w:t>
            </w:r>
            <w:r w:rsidRPr="00092862">
              <w:rPr>
                <w:rFonts w:ascii="Times New Roman" w:eastAsia="宋体" w:hAnsi="Times New Roman" w:cs="Times New Roman"/>
                <w:b/>
                <w:bCs/>
                <w:color w:val="000000" w:themeColor="text1"/>
              </w:rPr>
              <w:t>20cm</w:t>
            </w:r>
            <w:r w:rsidRPr="00092862">
              <w:rPr>
                <w:rFonts w:ascii="Times New Roman" w:eastAsia="宋体" w:hAnsi="Times New Roman" w:cs="Times New Roman"/>
                <w:b/>
                <w:bCs/>
                <w:color w:val="000000" w:themeColor="text1"/>
              </w:rPr>
              <w:t>）</w:t>
            </w:r>
          </w:p>
        </w:tc>
        <w:tc>
          <w:tcPr>
            <w:tcW w:w="13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71F0B" w14:textId="77777777" w:rsidR="00C30BD8" w:rsidRPr="00092862" w:rsidRDefault="00C30BD8" w:rsidP="008C00B1">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标准值</w:t>
            </w:r>
          </w:p>
        </w:tc>
      </w:tr>
      <w:tr w:rsidR="00697429" w:rsidRPr="00092862" w14:paraId="57674792" w14:textId="77777777" w:rsidTr="002311C5">
        <w:trPr>
          <w:trHeight w:val="454"/>
          <w:tblHeader/>
          <w:jc w:val="center"/>
        </w:trPr>
        <w:tc>
          <w:tcPr>
            <w:tcW w:w="1233" w:type="pct"/>
            <w:vMerge/>
            <w:tcBorders>
              <w:top w:val="single" w:sz="4" w:space="0" w:color="auto"/>
              <w:left w:val="single" w:sz="4" w:space="0" w:color="auto"/>
              <w:bottom w:val="single" w:sz="4" w:space="0" w:color="auto"/>
              <w:right w:val="single" w:sz="4" w:space="0" w:color="auto"/>
            </w:tcBorders>
            <w:vAlign w:val="center"/>
            <w:hideMark/>
          </w:tcPr>
          <w:p w14:paraId="6615DE1E"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p>
        </w:tc>
        <w:tc>
          <w:tcPr>
            <w:tcW w:w="752" w:type="pct"/>
            <w:vMerge/>
            <w:tcBorders>
              <w:left w:val="nil"/>
              <w:bottom w:val="single" w:sz="4" w:space="0" w:color="auto"/>
              <w:right w:val="single" w:sz="4" w:space="0" w:color="auto"/>
            </w:tcBorders>
            <w:vAlign w:val="center"/>
          </w:tcPr>
          <w:p w14:paraId="6FF71331"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p>
        </w:tc>
        <w:tc>
          <w:tcPr>
            <w:tcW w:w="828" w:type="pct"/>
            <w:tcBorders>
              <w:top w:val="nil"/>
              <w:left w:val="single" w:sz="4" w:space="0" w:color="auto"/>
              <w:bottom w:val="single" w:sz="4" w:space="0" w:color="auto"/>
              <w:right w:val="single" w:sz="4" w:space="0" w:color="auto"/>
            </w:tcBorders>
            <w:shd w:val="clear" w:color="auto" w:fill="auto"/>
            <w:vAlign w:val="center"/>
            <w:hideMark/>
          </w:tcPr>
          <w:p w14:paraId="74A82706" w14:textId="77777777" w:rsidR="00C30BD8" w:rsidRPr="00092862" w:rsidRDefault="00C30BD8" w:rsidP="008C00B1">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监测值</w:t>
            </w:r>
          </w:p>
        </w:tc>
        <w:tc>
          <w:tcPr>
            <w:tcW w:w="827" w:type="pct"/>
            <w:tcBorders>
              <w:top w:val="nil"/>
              <w:left w:val="nil"/>
              <w:bottom w:val="single" w:sz="4" w:space="0" w:color="auto"/>
              <w:right w:val="single" w:sz="4" w:space="0" w:color="auto"/>
            </w:tcBorders>
            <w:shd w:val="clear" w:color="auto" w:fill="auto"/>
            <w:vAlign w:val="center"/>
            <w:hideMark/>
          </w:tcPr>
          <w:p w14:paraId="71EE047E" w14:textId="77777777" w:rsidR="00C30BD8" w:rsidRPr="00092862" w:rsidRDefault="00C30BD8" w:rsidP="008C00B1">
            <w:pPr>
              <w:adjustRightInd w:val="0"/>
              <w:snapToGrid w:val="0"/>
              <w:jc w:val="center"/>
              <w:rPr>
                <w:rFonts w:ascii="Times New Roman" w:eastAsia="宋体" w:hAnsi="Times New Roman" w:cs="Times New Roman"/>
                <w:b/>
                <w:bCs/>
                <w:color w:val="000000" w:themeColor="text1"/>
              </w:rPr>
            </w:pPr>
            <w:r w:rsidRPr="00092862">
              <w:rPr>
                <w:rFonts w:ascii="Times New Roman" w:eastAsia="宋体" w:hAnsi="Times New Roman" w:cs="Times New Roman"/>
                <w:b/>
                <w:bCs/>
                <w:color w:val="000000" w:themeColor="text1"/>
              </w:rPr>
              <w:t>是否达标</w:t>
            </w:r>
          </w:p>
        </w:tc>
        <w:tc>
          <w:tcPr>
            <w:tcW w:w="1360" w:type="pct"/>
            <w:gridSpan w:val="2"/>
            <w:tcBorders>
              <w:top w:val="single" w:sz="4" w:space="0" w:color="auto"/>
              <w:left w:val="single" w:sz="4" w:space="0" w:color="auto"/>
              <w:bottom w:val="single" w:sz="4" w:space="0" w:color="auto"/>
              <w:right w:val="single" w:sz="4" w:space="0" w:color="auto"/>
            </w:tcBorders>
            <w:vAlign w:val="center"/>
            <w:hideMark/>
          </w:tcPr>
          <w:p w14:paraId="532F4497"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w:t>
            </w:r>
          </w:p>
        </w:tc>
      </w:tr>
      <w:tr w:rsidR="00697429" w:rsidRPr="00092862" w14:paraId="443A6B0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0318967"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pH</w:t>
            </w:r>
          </w:p>
        </w:tc>
        <w:tc>
          <w:tcPr>
            <w:tcW w:w="752" w:type="pct"/>
            <w:tcBorders>
              <w:top w:val="single" w:sz="4" w:space="0" w:color="auto"/>
              <w:left w:val="nil"/>
              <w:bottom w:val="single" w:sz="4" w:space="0" w:color="auto"/>
              <w:right w:val="single" w:sz="4" w:space="0" w:color="auto"/>
            </w:tcBorders>
            <w:vAlign w:val="center"/>
          </w:tcPr>
          <w:p w14:paraId="7770F454"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无量纲</w:t>
            </w:r>
          </w:p>
        </w:tc>
        <w:tc>
          <w:tcPr>
            <w:tcW w:w="828" w:type="pct"/>
            <w:tcBorders>
              <w:top w:val="nil"/>
              <w:left w:val="single" w:sz="4" w:space="0" w:color="auto"/>
              <w:bottom w:val="single" w:sz="4" w:space="0" w:color="auto"/>
              <w:right w:val="single" w:sz="4" w:space="0" w:color="auto"/>
            </w:tcBorders>
            <w:shd w:val="clear" w:color="auto" w:fill="auto"/>
            <w:vAlign w:val="center"/>
          </w:tcPr>
          <w:p w14:paraId="435A3865" w14:textId="431F8BBE"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7.02</w:t>
            </w:r>
          </w:p>
        </w:tc>
        <w:tc>
          <w:tcPr>
            <w:tcW w:w="827" w:type="pct"/>
            <w:tcBorders>
              <w:top w:val="nil"/>
              <w:left w:val="nil"/>
              <w:bottom w:val="single" w:sz="4" w:space="0" w:color="auto"/>
              <w:right w:val="single" w:sz="4" w:space="0" w:color="auto"/>
            </w:tcBorders>
            <w:shd w:val="clear" w:color="auto" w:fill="auto"/>
            <w:noWrap/>
            <w:vAlign w:val="center"/>
          </w:tcPr>
          <w:p w14:paraId="77325A86"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C7ACBB"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w:t>
            </w:r>
          </w:p>
        </w:tc>
      </w:tr>
      <w:tr w:rsidR="00697429" w:rsidRPr="00092862" w14:paraId="4A7DFE1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029F239"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砷</w:t>
            </w:r>
          </w:p>
        </w:tc>
        <w:tc>
          <w:tcPr>
            <w:tcW w:w="752" w:type="pct"/>
            <w:tcBorders>
              <w:top w:val="single" w:sz="4" w:space="0" w:color="auto"/>
              <w:left w:val="nil"/>
              <w:bottom w:val="single" w:sz="4" w:space="0" w:color="auto"/>
              <w:right w:val="single" w:sz="4" w:space="0" w:color="auto"/>
            </w:tcBorders>
            <w:vAlign w:val="center"/>
          </w:tcPr>
          <w:p w14:paraId="343E2B08"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0059FD5" w14:textId="76FC8919"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3.55</w:t>
            </w:r>
          </w:p>
        </w:tc>
        <w:tc>
          <w:tcPr>
            <w:tcW w:w="827" w:type="pct"/>
            <w:tcBorders>
              <w:top w:val="nil"/>
              <w:left w:val="nil"/>
              <w:bottom w:val="single" w:sz="4" w:space="0" w:color="auto"/>
              <w:right w:val="single" w:sz="4" w:space="0" w:color="auto"/>
            </w:tcBorders>
            <w:shd w:val="clear" w:color="auto" w:fill="auto"/>
            <w:noWrap/>
            <w:vAlign w:val="center"/>
          </w:tcPr>
          <w:p w14:paraId="02D184A0"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AD9A439"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60</w:t>
            </w:r>
          </w:p>
        </w:tc>
      </w:tr>
      <w:tr w:rsidR="00697429" w:rsidRPr="00092862" w14:paraId="636FD5B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E89B1F6"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lastRenderedPageBreak/>
              <w:t>镉</w:t>
            </w:r>
          </w:p>
        </w:tc>
        <w:tc>
          <w:tcPr>
            <w:tcW w:w="752" w:type="pct"/>
            <w:tcBorders>
              <w:top w:val="single" w:sz="4" w:space="0" w:color="auto"/>
              <w:left w:val="nil"/>
              <w:bottom w:val="single" w:sz="4" w:space="0" w:color="auto"/>
              <w:right w:val="single" w:sz="4" w:space="0" w:color="auto"/>
            </w:tcBorders>
            <w:vAlign w:val="center"/>
          </w:tcPr>
          <w:p w14:paraId="637D2300"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2B4A1C6" w14:textId="6D944FA0"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0.28</w:t>
            </w:r>
          </w:p>
        </w:tc>
        <w:tc>
          <w:tcPr>
            <w:tcW w:w="827" w:type="pct"/>
            <w:tcBorders>
              <w:top w:val="nil"/>
              <w:left w:val="nil"/>
              <w:bottom w:val="single" w:sz="4" w:space="0" w:color="auto"/>
              <w:right w:val="single" w:sz="4" w:space="0" w:color="auto"/>
            </w:tcBorders>
            <w:shd w:val="clear" w:color="auto" w:fill="auto"/>
            <w:noWrap/>
            <w:vAlign w:val="center"/>
          </w:tcPr>
          <w:p w14:paraId="76AEFC8C"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1B7BF9"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65</w:t>
            </w:r>
          </w:p>
        </w:tc>
      </w:tr>
      <w:tr w:rsidR="00697429" w:rsidRPr="00092862" w14:paraId="22E4F94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5466107D"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六价铬</w:t>
            </w:r>
          </w:p>
        </w:tc>
        <w:tc>
          <w:tcPr>
            <w:tcW w:w="752" w:type="pct"/>
            <w:tcBorders>
              <w:top w:val="single" w:sz="4" w:space="0" w:color="auto"/>
              <w:left w:val="nil"/>
              <w:bottom w:val="single" w:sz="4" w:space="0" w:color="auto"/>
              <w:right w:val="single" w:sz="4" w:space="0" w:color="auto"/>
            </w:tcBorders>
            <w:vAlign w:val="center"/>
          </w:tcPr>
          <w:p w14:paraId="6A936ACB"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474D05A" w14:textId="2F236A3B"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0.9</w:t>
            </w:r>
          </w:p>
        </w:tc>
        <w:tc>
          <w:tcPr>
            <w:tcW w:w="827" w:type="pct"/>
            <w:tcBorders>
              <w:top w:val="nil"/>
              <w:left w:val="nil"/>
              <w:bottom w:val="single" w:sz="4" w:space="0" w:color="auto"/>
              <w:right w:val="single" w:sz="4" w:space="0" w:color="auto"/>
            </w:tcBorders>
            <w:shd w:val="clear" w:color="auto" w:fill="auto"/>
            <w:noWrap/>
            <w:vAlign w:val="center"/>
          </w:tcPr>
          <w:p w14:paraId="0069E809"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9F764DA"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5.7</w:t>
            </w:r>
          </w:p>
        </w:tc>
      </w:tr>
      <w:tr w:rsidR="00697429" w:rsidRPr="00092862" w14:paraId="4423BD7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53B16CB"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铜</w:t>
            </w:r>
          </w:p>
        </w:tc>
        <w:tc>
          <w:tcPr>
            <w:tcW w:w="752" w:type="pct"/>
            <w:tcBorders>
              <w:top w:val="single" w:sz="4" w:space="0" w:color="auto"/>
              <w:left w:val="nil"/>
              <w:bottom w:val="single" w:sz="4" w:space="0" w:color="auto"/>
              <w:right w:val="single" w:sz="4" w:space="0" w:color="auto"/>
            </w:tcBorders>
            <w:vAlign w:val="center"/>
          </w:tcPr>
          <w:p w14:paraId="06E63DF8"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9E40CDD" w14:textId="67745FEE"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32</w:t>
            </w:r>
          </w:p>
        </w:tc>
        <w:tc>
          <w:tcPr>
            <w:tcW w:w="827" w:type="pct"/>
            <w:tcBorders>
              <w:top w:val="nil"/>
              <w:left w:val="nil"/>
              <w:bottom w:val="single" w:sz="4" w:space="0" w:color="auto"/>
              <w:right w:val="single" w:sz="4" w:space="0" w:color="auto"/>
            </w:tcBorders>
            <w:shd w:val="clear" w:color="auto" w:fill="auto"/>
            <w:noWrap/>
            <w:vAlign w:val="center"/>
          </w:tcPr>
          <w:p w14:paraId="4CCE55D9"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2C03E53"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18000</w:t>
            </w:r>
          </w:p>
        </w:tc>
      </w:tr>
      <w:tr w:rsidR="00697429" w:rsidRPr="00092862" w14:paraId="224151E7"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2A2914E4"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铅</w:t>
            </w:r>
          </w:p>
        </w:tc>
        <w:tc>
          <w:tcPr>
            <w:tcW w:w="752" w:type="pct"/>
            <w:tcBorders>
              <w:top w:val="single" w:sz="4" w:space="0" w:color="auto"/>
              <w:left w:val="nil"/>
              <w:bottom w:val="single" w:sz="4" w:space="0" w:color="auto"/>
              <w:right w:val="single" w:sz="4" w:space="0" w:color="auto"/>
            </w:tcBorders>
            <w:vAlign w:val="center"/>
          </w:tcPr>
          <w:p w14:paraId="05133650"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D17597A" w14:textId="35B7DC4D"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38</w:t>
            </w:r>
          </w:p>
        </w:tc>
        <w:tc>
          <w:tcPr>
            <w:tcW w:w="827" w:type="pct"/>
            <w:tcBorders>
              <w:top w:val="nil"/>
              <w:left w:val="nil"/>
              <w:bottom w:val="single" w:sz="4" w:space="0" w:color="auto"/>
              <w:right w:val="single" w:sz="4" w:space="0" w:color="auto"/>
            </w:tcBorders>
            <w:shd w:val="clear" w:color="auto" w:fill="auto"/>
            <w:noWrap/>
            <w:vAlign w:val="center"/>
          </w:tcPr>
          <w:p w14:paraId="13D082ED"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13B7D43"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800</w:t>
            </w:r>
          </w:p>
        </w:tc>
      </w:tr>
      <w:tr w:rsidR="00697429" w:rsidRPr="00092862" w14:paraId="1DEA3B7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3EEFC73C"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汞</w:t>
            </w:r>
          </w:p>
        </w:tc>
        <w:tc>
          <w:tcPr>
            <w:tcW w:w="752" w:type="pct"/>
            <w:tcBorders>
              <w:top w:val="single" w:sz="4" w:space="0" w:color="auto"/>
              <w:left w:val="nil"/>
              <w:bottom w:val="single" w:sz="4" w:space="0" w:color="auto"/>
              <w:right w:val="single" w:sz="4" w:space="0" w:color="auto"/>
            </w:tcBorders>
            <w:vAlign w:val="center"/>
          </w:tcPr>
          <w:p w14:paraId="0FBB2B1B"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A716A47" w14:textId="4CDFCC36"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0.52</w:t>
            </w:r>
          </w:p>
        </w:tc>
        <w:tc>
          <w:tcPr>
            <w:tcW w:w="827" w:type="pct"/>
            <w:tcBorders>
              <w:top w:val="nil"/>
              <w:left w:val="nil"/>
              <w:bottom w:val="single" w:sz="4" w:space="0" w:color="auto"/>
              <w:right w:val="single" w:sz="4" w:space="0" w:color="auto"/>
            </w:tcBorders>
            <w:shd w:val="clear" w:color="auto" w:fill="auto"/>
            <w:noWrap/>
            <w:vAlign w:val="center"/>
          </w:tcPr>
          <w:p w14:paraId="0C06D381"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CA7B1"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38</w:t>
            </w:r>
          </w:p>
        </w:tc>
      </w:tr>
      <w:tr w:rsidR="00697429" w:rsidRPr="00092862" w14:paraId="4400CC26"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84256"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镍</w:t>
            </w:r>
          </w:p>
        </w:tc>
        <w:tc>
          <w:tcPr>
            <w:tcW w:w="752" w:type="pct"/>
            <w:tcBorders>
              <w:top w:val="single" w:sz="4" w:space="0" w:color="auto"/>
              <w:left w:val="single" w:sz="4" w:space="0" w:color="auto"/>
              <w:bottom w:val="single" w:sz="4" w:space="0" w:color="auto"/>
              <w:right w:val="single" w:sz="4" w:space="0" w:color="auto"/>
            </w:tcBorders>
            <w:vAlign w:val="center"/>
          </w:tcPr>
          <w:p w14:paraId="7815AB9D"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7265A616" w14:textId="56491962" w:rsidR="00C30BD8" w:rsidRPr="00092862" w:rsidRDefault="00713CE1"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38</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A1842A"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827F0"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900</w:t>
            </w:r>
          </w:p>
        </w:tc>
      </w:tr>
      <w:tr w:rsidR="00697429" w:rsidRPr="00092862" w14:paraId="6E2152A2"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DA49CDA"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石油烃〔</w:t>
            </w:r>
            <w:r w:rsidRPr="00092862">
              <w:rPr>
                <w:rFonts w:ascii="Times New Roman" w:eastAsia="宋体" w:hAnsi="Times New Roman" w:cs="Times New Roman"/>
                <w:color w:val="000000" w:themeColor="text1"/>
              </w:rPr>
              <w:t>C10-C40</w:t>
            </w:r>
            <w:r w:rsidRPr="00092862">
              <w:rPr>
                <w:rFonts w:ascii="Times New Roman" w:eastAsia="宋体" w:hAnsi="Times New Roman" w:cs="Times New Roman"/>
                <w:color w:val="000000" w:themeColor="text1"/>
              </w:rPr>
              <w:t>〕</w:t>
            </w:r>
          </w:p>
        </w:tc>
        <w:tc>
          <w:tcPr>
            <w:tcW w:w="752" w:type="pct"/>
            <w:tcBorders>
              <w:top w:val="single" w:sz="4" w:space="0" w:color="auto"/>
              <w:left w:val="single" w:sz="4" w:space="0" w:color="auto"/>
              <w:bottom w:val="single" w:sz="4" w:space="0" w:color="auto"/>
              <w:right w:val="single" w:sz="4" w:space="0" w:color="auto"/>
            </w:tcBorders>
            <w:vAlign w:val="center"/>
          </w:tcPr>
          <w:p w14:paraId="5F22493C"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41606E52" w14:textId="44EE1FC3" w:rsidR="00C30BD8"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50C5E"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4683E0D"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4500</w:t>
            </w:r>
          </w:p>
        </w:tc>
      </w:tr>
      <w:tr w:rsidR="00697429" w:rsidRPr="00092862" w14:paraId="26AEAFD6"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0F6C0FDC"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四氯化碳</w:t>
            </w:r>
          </w:p>
        </w:tc>
        <w:tc>
          <w:tcPr>
            <w:tcW w:w="752" w:type="pct"/>
            <w:tcBorders>
              <w:top w:val="single" w:sz="4" w:space="0" w:color="auto"/>
              <w:left w:val="nil"/>
              <w:bottom w:val="single" w:sz="4" w:space="0" w:color="auto"/>
              <w:right w:val="single" w:sz="4" w:space="0" w:color="auto"/>
            </w:tcBorders>
            <w:vAlign w:val="center"/>
          </w:tcPr>
          <w:p w14:paraId="3FA919E7"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53887C" w14:textId="017B33D6" w:rsidR="00C30BD8"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0A7E786"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69B76D" w14:textId="77777777" w:rsidR="00C30BD8" w:rsidRPr="00092862" w:rsidRDefault="00C30BD8"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2.8</w:t>
            </w:r>
          </w:p>
        </w:tc>
      </w:tr>
      <w:tr w:rsidR="00697429" w:rsidRPr="00092862" w14:paraId="0C80B4F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169C5E8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氯仿</w:t>
            </w:r>
          </w:p>
        </w:tc>
        <w:tc>
          <w:tcPr>
            <w:tcW w:w="752" w:type="pct"/>
            <w:tcBorders>
              <w:top w:val="single" w:sz="4" w:space="0" w:color="auto"/>
              <w:left w:val="nil"/>
              <w:bottom w:val="single" w:sz="4" w:space="0" w:color="auto"/>
              <w:right w:val="single" w:sz="4" w:space="0" w:color="auto"/>
            </w:tcBorders>
            <w:vAlign w:val="center"/>
          </w:tcPr>
          <w:p w14:paraId="07E2A32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C99E7A9" w14:textId="3CB306A6"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575905B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D3D876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0.9</w:t>
            </w:r>
          </w:p>
        </w:tc>
      </w:tr>
      <w:tr w:rsidR="00697429" w:rsidRPr="00092862" w14:paraId="38C0011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hideMark/>
          </w:tcPr>
          <w:p w14:paraId="40AC32B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氯甲烷</w:t>
            </w:r>
          </w:p>
        </w:tc>
        <w:tc>
          <w:tcPr>
            <w:tcW w:w="752" w:type="pct"/>
            <w:tcBorders>
              <w:top w:val="single" w:sz="4" w:space="0" w:color="auto"/>
              <w:left w:val="nil"/>
              <w:bottom w:val="single" w:sz="4" w:space="0" w:color="auto"/>
              <w:right w:val="single" w:sz="4" w:space="0" w:color="auto"/>
            </w:tcBorders>
            <w:vAlign w:val="center"/>
          </w:tcPr>
          <w:p w14:paraId="29216F8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C0E6AA" w14:textId="5D415D8E"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3D5DBFF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099D65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37</w:t>
            </w:r>
          </w:p>
        </w:tc>
      </w:tr>
      <w:tr w:rsidR="00697429" w:rsidRPr="00092862" w14:paraId="109321D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6F8D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1,1-</w:t>
            </w:r>
            <w:r w:rsidRPr="00092862">
              <w:rPr>
                <w:rFonts w:ascii="Times New Roman" w:eastAsia="宋体" w:hAnsi="Times New Roman" w:cs="Times New Roman"/>
                <w:color w:val="000000" w:themeColor="text1"/>
              </w:rPr>
              <w:t>二氯乙烷</w:t>
            </w:r>
          </w:p>
        </w:tc>
        <w:tc>
          <w:tcPr>
            <w:tcW w:w="752" w:type="pct"/>
            <w:tcBorders>
              <w:top w:val="single" w:sz="4" w:space="0" w:color="auto"/>
              <w:left w:val="nil"/>
              <w:bottom w:val="single" w:sz="4" w:space="0" w:color="auto"/>
              <w:right w:val="single" w:sz="4" w:space="0" w:color="auto"/>
            </w:tcBorders>
            <w:vAlign w:val="center"/>
          </w:tcPr>
          <w:p w14:paraId="75B54B5C"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1900E8" w14:textId="661075FF"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544A11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4E5D7C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9</w:t>
            </w:r>
          </w:p>
        </w:tc>
      </w:tr>
      <w:tr w:rsidR="00697429" w:rsidRPr="00092862" w14:paraId="3D79FFE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86125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w:t>
            </w:r>
            <w:r w:rsidRPr="00092862">
              <w:rPr>
                <w:rFonts w:ascii="Times New Roman" w:eastAsia="宋体" w:hAnsi="Times New Roman" w:cs="Times New Roman"/>
                <w:color w:val="000000" w:themeColor="text1"/>
              </w:rPr>
              <w:t>二氯乙烷</w:t>
            </w:r>
          </w:p>
        </w:tc>
        <w:tc>
          <w:tcPr>
            <w:tcW w:w="752" w:type="pct"/>
            <w:tcBorders>
              <w:top w:val="single" w:sz="4" w:space="0" w:color="auto"/>
              <w:left w:val="nil"/>
              <w:bottom w:val="single" w:sz="4" w:space="0" w:color="auto"/>
              <w:right w:val="single" w:sz="4" w:space="0" w:color="auto"/>
            </w:tcBorders>
            <w:vAlign w:val="center"/>
          </w:tcPr>
          <w:p w14:paraId="6D7985C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A0D9009" w14:textId="2AFEA5F1"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55B8F6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49905A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w:t>
            </w:r>
          </w:p>
        </w:tc>
      </w:tr>
      <w:tr w:rsidR="00697429" w:rsidRPr="00092862" w14:paraId="37770FE1"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C5C0C6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1,1-</w:t>
            </w:r>
            <w:r w:rsidRPr="00092862">
              <w:rPr>
                <w:rFonts w:ascii="Times New Roman" w:eastAsia="宋体" w:hAnsi="Times New Roman" w:cs="Times New Roman"/>
                <w:color w:val="000000" w:themeColor="text1"/>
              </w:rPr>
              <w:t>二氯乙烯</w:t>
            </w:r>
          </w:p>
        </w:tc>
        <w:tc>
          <w:tcPr>
            <w:tcW w:w="752" w:type="pct"/>
            <w:tcBorders>
              <w:top w:val="single" w:sz="4" w:space="0" w:color="auto"/>
              <w:left w:val="nil"/>
              <w:bottom w:val="single" w:sz="4" w:space="0" w:color="auto"/>
              <w:right w:val="single" w:sz="4" w:space="0" w:color="auto"/>
            </w:tcBorders>
            <w:vAlign w:val="center"/>
          </w:tcPr>
          <w:p w14:paraId="4254951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1E7C295" w14:textId="1D0DF8FA"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7320AF4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47F25A1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66</w:t>
            </w:r>
          </w:p>
        </w:tc>
      </w:tr>
      <w:tr w:rsidR="00697429" w:rsidRPr="00092862" w14:paraId="2761EFD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DA8F75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顺</w:t>
            </w:r>
            <w:r w:rsidRPr="00092862">
              <w:rPr>
                <w:rFonts w:ascii="Times New Roman" w:eastAsia="宋体" w:hAnsi="Times New Roman" w:cs="Times New Roman"/>
                <w:color w:val="000000" w:themeColor="text1"/>
              </w:rPr>
              <w:t>-1,2 -</w:t>
            </w:r>
            <w:r w:rsidRPr="00092862">
              <w:rPr>
                <w:rFonts w:ascii="Times New Roman" w:eastAsia="宋体" w:hAnsi="Times New Roman" w:cs="Times New Roman"/>
                <w:color w:val="000000" w:themeColor="text1"/>
              </w:rPr>
              <w:t>二氯乙烯</w:t>
            </w:r>
          </w:p>
        </w:tc>
        <w:tc>
          <w:tcPr>
            <w:tcW w:w="752" w:type="pct"/>
            <w:tcBorders>
              <w:top w:val="single" w:sz="4" w:space="0" w:color="auto"/>
              <w:left w:val="nil"/>
              <w:bottom w:val="single" w:sz="4" w:space="0" w:color="auto"/>
              <w:right w:val="single" w:sz="4" w:space="0" w:color="auto"/>
            </w:tcBorders>
            <w:vAlign w:val="center"/>
          </w:tcPr>
          <w:p w14:paraId="0624AA5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7A73281" w14:textId="1940B0E4"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74495E7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DBA191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596</w:t>
            </w:r>
          </w:p>
        </w:tc>
      </w:tr>
      <w:tr w:rsidR="00697429" w:rsidRPr="00092862" w14:paraId="67E99C6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33B969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反</w:t>
            </w:r>
            <w:r w:rsidRPr="00092862">
              <w:rPr>
                <w:rFonts w:ascii="Times New Roman" w:eastAsia="宋体" w:hAnsi="Times New Roman" w:cs="Times New Roman"/>
                <w:color w:val="000000" w:themeColor="text1"/>
              </w:rPr>
              <w:t>-1,2 -</w:t>
            </w:r>
            <w:r w:rsidRPr="00092862">
              <w:rPr>
                <w:rFonts w:ascii="Times New Roman" w:eastAsia="宋体" w:hAnsi="Times New Roman" w:cs="Times New Roman"/>
                <w:color w:val="000000" w:themeColor="text1"/>
              </w:rPr>
              <w:t>二氯乙烯</w:t>
            </w:r>
          </w:p>
        </w:tc>
        <w:tc>
          <w:tcPr>
            <w:tcW w:w="752" w:type="pct"/>
            <w:tcBorders>
              <w:top w:val="single" w:sz="4" w:space="0" w:color="auto"/>
              <w:left w:val="nil"/>
              <w:bottom w:val="single" w:sz="4" w:space="0" w:color="auto"/>
              <w:right w:val="single" w:sz="4" w:space="0" w:color="auto"/>
            </w:tcBorders>
            <w:vAlign w:val="center"/>
          </w:tcPr>
          <w:p w14:paraId="500D56F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CDB3B8" w14:textId="5A1486BC"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307474F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B7B00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54</w:t>
            </w:r>
          </w:p>
        </w:tc>
      </w:tr>
      <w:tr w:rsidR="00697429" w:rsidRPr="00092862" w14:paraId="40B1F5D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822899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二氯甲烷</w:t>
            </w:r>
          </w:p>
        </w:tc>
        <w:tc>
          <w:tcPr>
            <w:tcW w:w="752" w:type="pct"/>
            <w:tcBorders>
              <w:top w:val="single" w:sz="4" w:space="0" w:color="auto"/>
              <w:left w:val="nil"/>
              <w:bottom w:val="single" w:sz="4" w:space="0" w:color="auto"/>
              <w:right w:val="single" w:sz="4" w:space="0" w:color="auto"/>
            </w:tcBorders>
            <w:vAlign w:val="center"/>
          </w:tcPr>
          <w:p w14:paraId="3006369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68D734" w14:textId="6B419060"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4614E75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AFCD63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616</w:t>
            </w:r>
          </w:p>
        </w:tc>
      </w:tr>
      <w:tr w:rsidR="00697429" w:rsidRPr="00092862" w14:paraId="27D6FC15"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631CD8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w:t>
            </w:r>
            <w:r w:rsidRPr="00092862">
              <w:rPr>
                <w:rFonts w:ascii="Times New Roman" w:eastAsia="宋体" w:hAnsi="Times New Roman" w:cs="Times New Roman"/>
                <w:color w:val="000000" w:themeColor="text1"/>
              </w:rPr>
              <w:t>二氯丙烷</w:t>
            </w:r>
          </w:p>
        </w:tc>
        <w:tc>
          <w:tcPr>
            <w:tcW w:w="752" w:type="pct"/>
            <w:tcBorders>
              <w:top w:val="single" w:sz="4" w:space="0" w:color="auto"/>
              <w:left w:val="nil"/>
              <w:bottom w:val="single" w:sz="4" w:space="0" w:color="auto"/>
              <w:right w:val="single" w:sz="4" w:space="0" w:color="auto"/>
            </w:tcBorders>
            <w:vAlign w:val="center"/>
          </w:tcPr>
          <w:p w14:paraId="3FA61D91"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2C90AA2" w14:textId="1087CE93"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55A9C33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B2F111"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w:t>
            </w:r>
          </w:p>
        </w:tc>
      </w:tr>
      <w:tr w:rsidR="00697429" w:rsidRPr="00092862" w14:paraId="59BF76BB"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D91827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 xml:space="preserve">1,1,1,2- </w:t>
            </w:r>
            <w:r w:rsidRPr="00092862">
              <w:rPr>
                <w:rFonts w:ascii="Times New Roman" w:eastAsia="宋体" w:hAnsi="Times New Roman" w:cs="Times New Roman"/>
                <w:color w:val="000000" w:themeColor="text1"/>
              </w:rPr>
              <w:t>四氯乙烷</w:t>
            </w:r>
          </w:p>
        </w:tc>
        <w:tc>
          <w:tcPr>
            <w:tcW w:w="752" w:type="pct"/>
            <w:tcBorders>
              <w:top w:val="single" w:sz="4" w:space="0" w:color="auto"/>
              <w:left w:val="nil"/>
              <w:bottom w:val="single" w:sz="4" w:space="0" w:color="auto"/>
              <w:right w:val="single" w:sz="4" w:space="0" w:color="auto"/>
            </w:tcBorders>
            <w:vAlign w:val="center"/>
          </w:tcPr>
          <w:p w14:paraId="52475BC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699035E" w14:textId="0CE58783"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722DC5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6C532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10</w:t>
            </w:r>
          </w:p>
        </w:tc>
      </w:tr>
      <w:tr w:rsidR="00697429" w:rsidRPr="00092862" w14:paraId="6371DE9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13AC32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1,1,2,2-</w:t>
            </w:r>
            <w:r w:rsidRPr="00092862">
              <w:rPr>
                <w:rFonts w:ascii="Times New Roman" w:eastAsia="宋体" w:hAnsi="Times New Roman" w:cs="Times New Roman"/>
                <w:color w:val="000000" w:themeColor="text1"/>
              </w:rPr>
              <w:t>四氯乙烷</w:t>
            </w:r>
          </w:p>
        </w:tc>
        <w:tc>
          <w:tcPr>
            <w:tcW w:w="752" w:type="pct"/>
            <w:tcBorders>
              <w:top w:val="single" w:sz="4" w:space="0" w:color="auto"/>
              <w:left w:val="nil"/>
              <w:bottom w:val="single" w:sz="4" w:space="0" w:color="auto"/>
              <w:right w:val="single" w:sz="4" w:space="0" w:color="auto"/>
            </w:tcBorders>
            <w:vAlign w:val="center"/>
          </w:tcPr>
          <w:p w14:paraId="665E1D4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3968376" w14:textId="0E90B1E5"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03E2F1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A079E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6.8</w:t>
            </w:r>
          </w:p>
        </w:tc>
      </w:tr>
      <w:tr w:rsidR="00697429" w:rsidRPr="00092862" w14:paraId="2E2709B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2748A1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四氯乙烯</w:t>
            </w:r>
          </w:p>
        </w:tc>
        <w:tc>
          <w:tcPr>
            <w:tcW w:w="752" w:type="pct"/>
            <w:tcBorders>
              <w:top w:val="single" w:sz="4" w:space="0" w:color="auto"/>
              <w:left w:val="nil"/>
              <w:bottom w:val="single" w:sz="4" w:space="0" w:color="auto"/>
              <w:right w:val="single" w:sz="4" w:space="0" w:color="auto"/>
            </w:tcBorders>
            <w:vAlign w:val="center"/>
          </w:tcPr>
          <w:p w14:paraId="6BE2624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6E13A66" w14:textId="4AC6D481"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698A379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683823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53</w:t>
            </w:r>
          </w:p>
        </w:tc>
      </w:tr>
      <w:tr w:rsidR="00697429" w:rsidRPr="00092862" w14:paraId="3EAAD41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AD737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1,1,1 -</w:t>
            </w:r>
            <w:r w:rsidRPr="00092862">
              <w:rPr>
                <w:rFonts w:ascii="Times New Roman" w:eastAsia="宋体" w:hAnsi="Times New Roman" w:cs="Times New Roman"/>
                <w:color w:val="000000" w:themeColor="text1"/>
              </w:rPr>
              <w:t>三氯乙烷</w:t>
            </w:r>
          </w:p>
        </w:tc>
        <w:tc>
          <w:tcPr>
            <w:tcW w:w="752" w:type="pct"/>
            <w:tcBorders>
              <w:top w:val="single" w:sz="4" w:space="0" w:color="auto"/>
              <w:left w:val="nil"/>
              <w:bottom w:val="single" w:sz="4" w:space="0" w:color="auto"/>
              <w:right w:val="single" w:sz="4" w:space="0" w:color="auto"/>
            </w:tcBorders>
            <w:vAlign w:val="center"/>
          </w:tcPr>
          <w:p w14:paraId="5B32C9C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674EB88" w14:textId="6880DE3E"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E7C986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CEE57C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840</w:t>
            </w:r>
          </w:p>
        </w:tc>
      </w:tr>
      <w:tr w:rsidR="00697429" w:rsidRPr="00092862" w14:paraId="0C617D1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A96A1C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1,1,2-</w:t>
            </w:r>
            <w:r w:rsidRPr="00092862">
              <w:rPr>
                <w:rFonts w:ascii="Times New Roman" w:eastAsia="宋体" w:hAnsi="Times New Roman" w:cs="Times New Roman"/>
                <w:color w:val="000000" w:themeColor="text1"/>
              </w:rPr>
              <w:t>三氯乙烷</w:t>
            </w:r>
          </w:p>
        </w:tc>
        <w:tc>
          <w:tcPr>
            <w:tcW w:w="752" w:type="pct"/>
            <w:tcBorders>
              <w:top w:val="single" w:sz="4" w:space="0" w:color="auto"/>
              <w:left w:val="nil"/>
              <w:bottom w:val="single" w:sz="4" w:space="0" w:color="auto"/>
              <w:right w:val="single" w:sz="4" w:space="0" w:color="auto"/>
            </w:tcBorders>
            <w:vAlign w:val="center"/>
          </w:tcPr>
          <w:p w14:paraId="3FC88CE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BD27CAC" w14:textId="121B9AB9"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505848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FBA627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2.8</w:t>
            </w:r>
          </w:p>
        </w:tc>
      </w:tr>
      <w:tr w:rsidR="00697429" w:rsidRPr="00092862" w14:paraId="6D2C85F9"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309158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三氯乙烯</w:t>
            </w:r>
          </w:p>
        </w:tc>
        <w:tc>
          <w:tcPr>
            <w:tcW w:w="752" w:type="pct"/>
            <w:tcBorders>
              <w:top w:val="single" w:sz="4" w:space="0" w:color="auto"/>
              <w:left w:val="nil"/>
              <w:bottom w:val="single" w:sz="4" w:space="0" w:color="auto"/>
              <w:right w:val="single" w:sz="4" w:space="0" w:color="auto"/>
            </w:tcBorders>
            <w:vAlign w:val="center"/>
          </w:tcPr>
          <w:p w14:paraId="5E8CAA8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576AA86" w14:textId="78198749"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4478BA5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6913F0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2.8</w:t>
            </w:r>
          </w:p>
        </w:tc>
      </w:tr>
      <w:tr w:rsidR="00697429" w:rsidRPr="00092862" w14:paraId="4A496EF4"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01CA0C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1,2,3-</w:t>
            </w:r>
            <w:r w:rsidRPr="00092862">
              <w:rPr>
                <w:rFonts w:ascii="Times New Roman" w:eastAsia="宋体" w:hAnsi="Times New Roman" w:cs="Times New Roman"/>
                <w:color w:val="000000" w:themeColor="text1"/>
              </w:rPr>
              <w:t>三氯丙烷</w:t>
            </w:r>
          </w:p>
        </w:tc>
        <w:tc>
          <w:tcPr>
            <w:tcW w:w="752" w:type="pct"/>
            <w:tcBorders>
              <w:top w:val="single" w:sz="4" w:space="0" w:color="auto"/>
              <w:left w:val="nil"/>
              <w:bottom w:val="single" w:sz="4" w:space="0" w:color="auto"/>
              <w:right w:val="single" w:sz="4" w:space="0" w:color="auto"/>
            </w:tcBorders>
            <w:vAlign w:val="center"/>
          </w:tcPr>
          <w:p w14:paraId="455023B1"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E7628C0" w14:textId="5C8FECC8"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606135D"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221807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0.5</w:t>
            </w:r>
          </w:p>
        </w:tc>
      </w:tr>
      <w:tr w:rsidR="00697429" w:rsidRPr="00092862" w14:paraId="35686F1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E3262CD"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氯乙烯</w:t>
            </w:r>
          </w:p>
        </w:tc>
        <w:tc>
          <w:tcPr>
            <w:tcW w:w="752" w:type="pct"/>
            <w:tcBorders>
              <w:top w:val="single" w:sz="4" w:space="0" w:color="auto"/>
              <w:left w:val="nil"/>
              <w:bottom w:val="single" w:sz="4" w:space="0" w:color="auto"/>
              <w:right w:val="single" w:sz="4" w:space="0" w:color="auto"/>
            </w:tcBorders>
            <w:vAlign w:val="center"/>
          </w:tcPr>
          <w:p w14:paraId="6E053C5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9E8EF22" w14:textId="56AC1498"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582ACC3C"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CE9EE5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0.43</w:t>
            </w:r>
          </w:p>
        </w:tc>
      </w:tr>
      <w:tr w:rsidR="00697429" w:rsidRPr="00092862" w14:paraId="6D4EC09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279D0B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w:t>
            </w:r>
          </w:p>
        </w:tc>
        <w:tc>
          <w:tcPr>
            <w:tcW w:w="752" w:type="pct"/>
            <w:tcBorders>
              <w:top w:val="single" w:sz="4" w:space="0" w:color="auto"/>
              <w:left w:val="nil"/>
              <w:bottom w:val="single" w:sz="4" w:space="0" w:color="auto"/>
              <w:right w:val="single" w:sz="4" w:space="0" w:color="auto"/>
            </w:tcBorders>
            <w:vAlign w:val="center"/>
          </w:tcPr>
          <w:p w14:paraId="1647F74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1E57A77" w14:textId="448FA494"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3B980FC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3A147DD"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4</w:t>
            </w:r>
          </w:p>
        </w:tc>
      </w:tr>
      <w:tr w:rsidR="00697429" w:rsidRPr="00092862" w14:paraId="4601DA64"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13EB8B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氯苯</w:t>
            </w:r>
          </w:p>
        </w:tc>
        <w:tc>
          <w:tcPr>
            <w:tcW w:w="752" w:type="pct"/>
            <w:tcBorders>
              <w:top w:val="single" w:sz="4" w:space="0" w:color="auto"/>
              <w:left w:val="nil"/>
              <w:bottom w:val="single" w:sz="4" w:space="0" w:color="auto"/>
              <w:right w:val="single" w:sz="4" w:space="0" w:color="auto"/>
            </w:tcBorders>
            <w:vAlign w:val="center"/>
          </w:tcPr>
          <w:p w14:paraId="5E4050B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4656455" w14:textId="66EE790A"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0C6ECB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A75030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270</w:t>
            </w:r>
          </w:p>
        </w:tc>
      </w:tr>
      <w:tr w:rsidR="00697429" w:rsidRPr="00092862" w14:paraId="54F3DEA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2406A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w:t>
            </w:r>
            <w:r w:rsidRPr="00092862">
              <w:rPr>
                <w:rFonts w:ascii="Times New Roman" w:eastAsia="宋体" w:hAnsi="Times New Roman" w:cs="Times New Roman"/>
                <w:color w:val="000000" w:themeColor="text1"/>
              </w:rPr>
              <w:t>二氯苯</w:t>
            </w:r>
          </w:p>
        </w:tc>
        <w:tc>
          <w:tcPr>
            <w:tcW w:w="752" w:type="pct"/>
            <w:tcBorders>
              <w:top w:val="single" w:sz="4" w:space="0" w:color="auto"/>
              <w:left w:val="nil"/>
              <w:bottom w:val="single" w:sz="4" w:space="0" w:color="auto"/>
              <w:right w:val="single" w:sz="4" w:space="0" w:color="auto"/>
            </w:tcBorders>
            <w:vAlign w:val="center"/>
          </w:tcPr>
          <w:p w14:paraId="1120ADE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DBB6FD3" w14:textId="3A4810AB"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ABDB86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B57736D"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560</w:t>
            </w:r>
          </w:p>
        </w:tc>
      </w:tr>
      <w:tr w:rsidR="00697429" w:rsidRPr="00092862" w14:paraId="0F5F284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AB2C15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lastRenderedPageBreak/>
              <w:t>1,4-</w:t>
            </w:r>
            <w:r w:rsidRPr="00092862">
              <w:rPr>
                <w:rFonts w:ascii="Times New Roman" w:eastAsia="宋体" w:hAnsi="Times New Roman" w:cs="Times New Roman"/>
                <w:color w:val="000000" w:themeColor="text1"/>
              </w:rPr>
              <w:t>二氯苯</w:t>
            </w:r>
          </w:p>
        </w:tc>
        <w:tc>
          <w:tcPr>
            <w:tcW w:w="752" w:type="pct"/>
            <w:tcBorders>
              <w:top w:val="single" w:sz="4" w:space="0" w:color="auto"/>
              <w:left w:val="nil"/>
              <w:bottom w:val="single" w:sz="4" w:space="0" w:color="auto"/>
              <w:right w:val="single" w:sz="4" w:space="0" w:color="auto"/>
            </w:tcBorders>
            <w:vAlign w:val="center"/>
          </w:tcPr>
          <w:p w14:paraId="26B09B7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0493B82" w14:textId="15FEC31A"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747CE02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5B0815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20</w:t>
            </w:r>
          </w:p>
        </w:tc>
      </w:tr>
      <w:tr w:rsidR="00697429" w:rsidRPr="00092862" w14:paraId="22690C5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099B3E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乙苯</w:t>
            </w:r>
          </w:p>
        </w:tc>
        <w:tc>
          <w:tcPr>
            <w:tcW w:w="752" w:type="pct"/>
            <w:tcBorders>
              <w:top w:val="single" w:sz="4" w:space="0" w:color="auto"/>
              <w:left w:val="nil"/>
              <w:bottom w:val="single" w:sz="4" w:space="0" w:color="auto"/>
              <w:right w:val="single" w:sz="4" w:space="0" w:color="auto"/>
            </w:tcBorders>
            <w:vAlign w:val="center"/>
          </w:tcPr>
          <w:p w14:paraId="3397FCB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8C6B0C0" w14:textId="3E4CC7D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9779F6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D2AEA3D"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28</w:t>
            </w:r>
          </w:p>
        </w:tc>
      </w:tr>
      <w:tr w:rsidR="00697429" w:rsidRPr="00092862" w14:paraId="1ABA4BA0"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30C1C5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苯乙烯</w:t>
            </w:r>
          </w:p>
        </w:tc>
        <w:tc>
          <w:tcPr>
            <w:tcW w:w="752" w:type="pct"/>
            <w:tcBorders>
              <w:top w:val="single" w:sz="4" w:space="0" w:color="auto"/>
              <w:left w:val="nil"/>
              <w:bottom w:val="single" w:sz="4" w:space="0" w:color="auto"/>
              <w:right w:val="single" w:sz="4" w:space="0" w:color="auto"/>
            </w:tcBorders>
            <w:vAlign w:val="center"/>
          </w:tcPr>
          <w:p w14:paraId="72A7CCD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A69ED0F" w14:textId="3A69A2B2"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3CB81EA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E7CF46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1290</w:t>
            </w:r>
          </w:p>
        </w:tc>
      </w:tr>
      <w:tr w:rsidR="00697429" w:rsidRPr="00092862" w14:paraId="59F6893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7F3F1F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甲苯</w:t>
            </w:r>
          </w:p>
        </w:tc>
        <w:tc>
          <w:tcPr>
            <w:tcW w:w="752" w:type="pct"/>
            <w:tcBorders>
              <w:top w:val="single" w:sz="4" w:space="0" w:color="auto"/>
              <w:left w:val="nil"/>
              <w:bottom w:val="single" w:sz="4" w:space="0" w:color="auto"/>
              <w:right w:val="single" w:sz="4" w:space="0" w:color="auto"/>
            </w:tcBorders>
            <w:vAlign w:val="center"/>
          </w:tcPr>
          <w:p w14:paraId="6497984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26BACC11" w14:textId="0AF8E86C"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673378F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3CB3D4C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1200</w:t>
            </w:r>
          </w:p>
        </w:tc>
      </w:tr>
      <w:tr w:rsidR="00697429" w:rsidRPr="00092862" w14:paraId="769E4B66"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1FBFD2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间，对</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二甲苯</w:t>
            </w:r>
          </w:p>
        </w:tc>
        <w:tc>
          <w:tcPr>
            <w:tcW w:w="752" w:type="pct"/>
            <w:tcBorders>
              <w:top w:val="single" w:sz="4" w:space="0" w:color="auto"/>
              <w:left w:val="nil"/>
              <w:bottom w:val="single" w:sz="4" w:space="0" w:color="auto"/>
              <w:right w:val="single" w:sz="4" w:space="0" w:color="auto"/>
            </w:tcBorders>
            <w:vAlign w:val="center"/>
          </w:tcPr>
          <w:p w14:paraId="1B2B4451"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5E8A307" w14:textId="37ABDC7F"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8C327F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1E0580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570</w:t>
            </w:r>
          </w:p>
        </w:tc>
      </w:tr>
      <w:tr w:rsidR="00697429" w:rsidRPr="00092862" w14:paraId="386857EC"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1BF8B1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邻</w:t>
            </w: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rPr>
              <w:t>二甲苯</w:t>
            </w:r>
          </w:p>
        </w:tc>
        <w:tc>
          <w:tcPr>
            <w:tcW w:w="752" w:type="pct"/>
            <w:tcBorders>
              <w:top w:val="single" w:sz="4" w:space="0" w:color="auto"/>
              <w:left w:val="nil"/>
              <w:bottom w:val="single" w:sz="4" w:space="0" w:color="auto"/>
              <w:right w:val="single" w:sz="4" w:space="0" w:color="auto"/>
            </w:tcBorders>
            <w:vAlign w:val="center"/>
          </w:tcPr>
          <w:p w14:paraId="1C4858D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E83DA6A" w14:textId="6CE90D32"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435EC67C"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5F162C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640</w:t>
            </w:r>
          </w:p>
        </w:tc>
      </w:tr>
      <w:tr w:rsidR="00697429" w:rsidRPr="00092862" w14:paraId="68BD35F3"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1601BF7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硝基苯</w:t>
            </w:r>
          </w:p>
        </w:tc>
        <w:tc>
          <w:tcPr>
            <w:tcW w:w="752" w:type="pct"/>
            <w:tcBorders>
              <w:top w:val="single" w:sz="4" w:space="0" w:color="auto"/>
              <w:left w:val="nil"/>
              <w:bottom w:val="single" w:sz="4" w:space="0" w:color="auto"/>
              <w:right w:val="single" w:sz="4" w:space="0" w:color="auto"/>
            </w:tcBorders>
            <w:vAlign w:val="center"/>
          </w:tcPr>
          <w:p w14:paraId="5C1B240D"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842EF2D" w14:textId="3DD8454C"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5ADE4CC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1D33D69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76</w:t>
            </w:r>
          </w:p>
        </w:tc>
      </w:tr>
      <w:tr w:rsidR="00697429" w:rsidRPr="00092862" w14:paraId="2EB83BD8"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3DCBA13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苯胺</w:t>
            </w:r>
          </w:p>
        </w:tc>
        <w:tc>
          <w:tcPr>
            <w:tcW w:w="752" w:type="pct"/>
            <w:tcBorders>
              <w:top w:val="single" w:sz="4" w:space="0" w:color="auto"/>
              <w:left w:val="single" w:sz="4" w:space="0" w:color="auto"/>
              <w:bottom w:val="single" w:sz="4" w:space="0" w:color="auto"/>
              <w:right w:val="single" w:sz="4" w:space="0" w:color="auto"/>
            </w:tcBorders>
            <w:vAlign w:val="center"/>
          </w:tcPr>
          <w:p w14:paraId="47F4911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0C6E546E" w14:textId="3F40D464"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A9C13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8991"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260</w:t>
            </w:r>
          </w:p>
        </w:tc>
      </w:tr>
      <w:tr w:rsidR="00697429" w:rsidRPr="00092862" w14:paraId="5556192D" w14:textId="77777777" w:rsidTr="002311C5">
        <w:trPr>
          <w:trHeight w:val="454"/>
          <w:jc w:val="cent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14:paraId="6CDCA1D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w:t>
            </w:r>
            <w:r w:rsidRPr="00092862">
              <w:rPr>
                <w:rFonts w:ascii="Times New Roman" w:eastAsia="宋体" w:hAnsi="Times New Roman" w:cs="Times New Roman"/>
                <w:color w:val="000000" w:themeColor="text1"/>
              </w:rPr>
              <w:t>氯酚</w:t>
            </w:r>
          </w:p>
        </w:tc>
        <w:tc>
          <w:tcPr>
            <w:tcW w:w="752" w:type="pct"/>
            <w:tcBorders>
              <w:top w:val="single" w:sz="4" w:space="0" w:color="auto"/>
              <w:left w:val="nil"/>
              <w:bottom w:val="single" w:sz="4" w:space="0" w:color="auto"/>
              <w:right w:val="single" w:sz="4" w:space="0" w:color="auto"/>
            </w:tcBorders>
            <w:vAlign w:val="center"/>
          </w:tcPr>
          <w:p w14:paraId="67397CC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tcPr>
          <w:p w14:paraId="23760AF6" w14:textId="48B79149"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single" w:sz="4" w:space="0" w:color="auto"/>
              <w:left w:val="nil"/>
              <w:bottom w:val="single" w:sz="4" w:space="0" w:color="auto"/>
              <w:right w:val="single" w:sz="4" w:space="0" w:color="auto"/>
            </w:tcBorders>
            <w:shd w:val="clear" w:color="auto" w:fill="auto"/>
            <w:noWrap/>
            <w:vAlign w:val="center"/>
          </w:tcPr>
          <w:p w14:paraId="028F3937"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92AF2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2256</w:t>
            </w:r>
          </w:p>
        </w:tc>
      </w:tr>
      <w:tr w:rsidR="00697429" w:rsidRPr="00092862" w14:paraId="1B92875D"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6310B20E"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苯并（</w:t>
            </w:r>
            <w:r w:rsidRPr="00092862">
              <w:rPr>
                <w:rFonts w:ascii="Times New Roman" w:eastAsia="宋体" w:hAnsi="Times New Roman" w:cs="Times New Roman"/>
                <w:color w:val="000000" w:themeColor="text1"/>
              </w:rPr>
              <w:t>a</w:t>
            </w:r>
            <w:r w:rsidRPr="00092862">
              <w:rPr>
                <w:rFonts w:ascii="Times New Roman" w:eastAsia="宋体" w:hAnsi="Times New Roman" w:cs="Times New Roman"/>
                <w:color w:val="000000" w:themeColor="text1"/>
              </w:rPr>
              <w:t>）蒽</w:t>
            </w:r>
          </w:p>
        </w:tc>
        <w:tc>
          <w:tcPr>
            <w:tcW w:w="752" w:type="pct"/>
            <w:tcBorders>
              <w:top w:val="single" w:sz="4" w:space="0" w:color="auto"/>
              <w:left w:val="nil"/>
              <w:bottom w:val="single" w:sz="4" w:space="0" w:color="auto"/>
              <w:right w:val="single" w:sz="4" w:space="0" w:color="auto"/>
            </w:tcBorders>
            <w:vAlign w:val="center"/>
          </w:tcPr>
          <w:p w14:paraId="128BB3B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1479DA75" w14:textId="45F1CCBA"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1BE7AB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2376B1D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w:t>
            </w:r>
          </w:p>
        </w:tc>
      </w:tr>
      <w:tr w:rsidR="00697429" w:rsidRPr="00092862" w14:paraId="228D67EA"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F5FBBF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苯并（</w:t>
            </w:r>
            <w:r w:rsidRPr="00092862">
              <w:rPr>
                <w:rFonts w:ascii="Times New Roman" w:eastAsia="宋体" w:hAnsi="Times New Roman" w:cs="Times New Roman"/>
                <w:color w:val="000000" w:themeColor="text1"/>
              </w:rPr>
              <w:t>a</w:t>
            </w:r>
            <w:r w:rsidRPr="00092862">
              <w:rPr>
                <w:rFonts w:ascii="Times New Roman" w:eastAsia="宋体" w:hAnsi="Times New Roman" w:cs="Times New Roman"/>
                <w:color w:val="000000" w:themeColor="text1"/>
              </w:rPr>
              <w:t>）芘</w:t>
            </w:r>
          </w:p>
        </w:tc>
        <w:tc>
          <w:tcPr>
            <w:tcW w:w="752" w:type="pct"/>
            <w:tcBorders>
              <w:top w:val="single" w:sz="4" w:space="0" w:color="auto"/>
              <w:left w:val="nil"/>
              <w:bottom w:val="single" w:sz="4" w:space="0" w:color="auto"/>
              <w:right w:val="single" w:sz="4" w:space="0" w:color="auto"/>
            </w:tcBorders>
            <w:vAlign w:val="center"/>
          </w:tcPr>
          <w:p w14:paraId="76BB1A5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2EE887A" w14:textId="25999CEA"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13F65005"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B687CEC"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w:t>
            </w:r>
          </w:p>
        </w:tc>
      </w:tr>
      <w:tr w:rsidR="00697429" w:rsidRPr="00092862" w14:paraId="2E7B8668"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5D8515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苯并（</w:t>
            </w:r>
            <w:r w:rsidRPr="00092862">
              <w:rPr>
                <w:rFonts w:ascii="Times New Roman" w:eastAsia="宋体" w:hAnsi="Times New Roman" w:cs="Times New Roman"/>
                <w:color w:val="000000" w:themeColor="text1"/>
              </w:rPr>
              <w:t>b</w:t>
            </w:r>
            <w:r w:rsidRPr="00092862">
              <w:rPr>
                <w:rFonts w:ascii="Times New Roman" w:eastAsia="宋体" w:hAnsi="Times New Roman" w:cs="Times New Roman"/>
                <w:color w:val="000000" w:themeColor="text1"/>
              </w:rPr>
              <w:t>）荧蒽</w:t>
            </w:r>
          </w:p>
        </w:tc>
        <w:tc>
          <w:tcPr>
            <w:tcW w:w="752" w:type="pct"/>
            <w:tcBorders>
              <w:top w:val="single" w:sz="4" w:space="0" w:color="auto"/>
              <w:left w:val="nil"/>
              <w:bottom w:val="single" w:sz="4" w:space="0" w:color="auto"/>
              <w:right w:val="single" w:sz="4" w:space="0" w:color="auto"/>
            </w:tcBorders>
            <w:vAlign w:val="center"/>
          </w:tcPr>
          <w:p w14:paraId="76B5BF4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357757D0" w14:textId="685B488C"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3E70A4BF"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026D199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w:t>
            </w:r>
          </w:p>
        </w:tc>
      </w:tr>
      <w:tr w:rsidR="00697429" w:rsidRPr="00092862" w14:paraId="6EF9A37F"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53E0016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苯并（</w:t>
            </w:r>
            <w:r w:rsidRPr="00092862">
              <w:rPr>
                <w:rFonts w:ascii="Times New Roman" w:eastAsia="宋体" w:hAnsi="Times New Roman" w:cs="Times New Roman"/>
                <w:color w:val="000000" w:themeColor="text1"/>
              </w:rPr>
              <w:t>k</w:t>
            </w:r>
            <w:r w:rsidRPr="00092862">
              <w:rPr>
                <w:rFonts w:ascii="Times New Roman" w:eastAsia="宋体" w:hAnsi="Times New Roman" w:cs="Times New Roman"/>
                <w:color w:val="000000" w:themeColor="text1"/>
              </w:rPr>
              <w:t>）荧蒽</w:t>
            </w:r>
          </w:p>
        </w:tc>
        <w:tc>
          <w:tcPr>
            <w:tcW w:w="752" w:type="pct"/>
            <w:tcBorders>
              <w:top w:val="single" w:sz="4" w:space="0" w:color="auto"/>
              <w:left w:val="nil"/>
              <w:bottom w:val="single" w:sz="4" w:space="0" w:color="auto"/>
              <w:right w:val="single" w:sz="4" w:space="0" w:color="auto"/>
            </w:tcBorders>
            <w:vAlign w:val="center"/>
          </w:tcPr>
          <w:p w14:paraId="53A19631"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790BB93A" w14:textId="0B69266A"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51CDE7B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33E7ACB"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151</w:t>
            </w:r>
          </w:p>
        </w:tc>
      </w:tr>
      <w:tr w:rsidR="00697429" w:rsidRPr="00092862" w14:paraId="121B3607"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7A023299"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䓛</w:t>
            </w:r>
          </w:p>
        </w:tc>
        <w:tc>
          <w:tcPr>
            <w:tcW w:w="752" w:type="pct"/>
            <w:tcBorders>
              <w:top w:val="single" w:sz="4" w:space="0" w:color="auto"/>
              <w:left w:val="nil"/>
              <w:bottom w:val="single" w:sz="4" w:space="0" w:color="auto"/>
              <w:right w:val="single" w:sz="4" w:space="0" w:color="auto"/>
            </w:tcBorders>
            <w:vAlign w:val="center"/>
          </w:tcPr>
          <w:p w14:paraId="415C145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048511B8" w14:textId="2283756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005779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6CC9BB1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1293</w:t>
            </w:r>
          </w:p>
        </w:tc>
      </w:tr>
      <w:tr w:rsidR="00697429" w:rsidRPr="00092862" w14:paraId="17434212"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38F475B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二苯并（</w:t>
            </w:r>
            <w:r w:rsidRPr="00092862">
              <w:rPr>
                <w:rFonts w:ascii="Times New Roman" w:eastAsia="宋体" w:hAnsi="Times New Roman" w:cs="Times New Roman"/>
                <w:color w:val="000000" w:themeColor="text1"/>
              </w:rPr>
              <w:t>a,h</w:t>
            </w:r>
            <w:r w:rsidRPr="00092862">
              <w:rPr>
                <w:rFonts w:ascii="Times New Roman" w:eastAsia="宋体" w:hAnsi="Times New Roman" w:cs="Times New Roman"/>
                <w:color w:val="000000" w:themeColor="text1"/>
              </w:rPr>
              <w:t>）蒽</w:t>
            </w:r>
          </w:p>
        </w:tc>
        <w:tc>
          <w:tcPr>
            <w:tcW w:w="752" w:type="pct"/>
            <w:tcBorders>
              <w:top w:val="single" w:sz="4" w:space="0" w:color="auto"/>
              <w:left w:val="nil"/>
              <w:bottom w:val="single" w:sz="4" w:space="0" w:color="auto"/>
              <w:right w:val="single" w:sz="4" w:space="0" w:color="auto"/>
            </w:tcBorders>
            <w:vAlign w:val="center"/>
          </w:tcPr>
          <w:p w14:paraId="15540EA0"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54C1C540" w14:textId="1694D121"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28B8F9C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5B52EC62"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w:t>
            </w:r>
          </w:p>
        </w:tc>
      </w:tr>
      <w:tr w:rsidR="00697429" w:rsidRPr="00092862" w14:paraId="16DFD955"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0A4A778C"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茚并（</w:t>
            </w:r>
            <w:r w:rsidRPr="00092862">
              <w:rPr>
                <w:rFonts w:ascii="Times New Roman" w:eastAsia="宋体" w:hAnsi="Times New Roman" w:cs="Times New Roman"/>
                <w:color w:val="000000" w:themeColor="text1"/>
              </w:rPr>
              <w:t>1,2,3-c,d</w:t>
            </w:r>
            <w:r w:rsidRPr="00092862">
              <w:rPr>
                <w:rFonts w:ascii="Times New Roman" w:eastAsia="宋体" w:hAnsi="Times New Roman" w:cs="Times New Roman"/>
                <w:color w:val="000000" w:themeColor="text1"/>
              </w:rPr>
              <w:t>）芘</w:t>
            </w:r>
          </w:p>
        </w:tc>
        <w:tc>
          <w:tcPr>
            <w:tcW w:w="752" w:type="pct"/>
            <w:tcBorders>
              <w:top w:val="single" w:sz="4" w:space="0" w:color="auto"/>
              <w:left w:val="nil"/>
              <w:bottom w:val="single" w:sz="4" w:space="0" w:color="auto"/>
              <w:right w:val="single" w:sz="4" w:space="0" w:color="auto"/>
            </w:tcBorders>
            <w:vAlign w:val="center"/>
          </w:tcPr>
          <w:p w14:paraId="65D8E284"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4C76C5AF" w14:textId="180806F2"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038A9B5A"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hideMark/>
          </w:tcPr>
          <w:p w14:paraId="777677D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15</w:t>
            </w:r>
          </w:p>
        </w:tc>
      </w:tr>
      <w:tr w:rsidR="00697429" w:rsidRPr="00092862" w14:paraId="1DE6FD8E" w14:textId="77777777" w:rsidTr="002311C5">
        <w:trPr>
          <w:trHeight w:val="454"/>
          <w:jc w:val="center"/>
        </w:trPr>
        <w:tc>
          <w:tcPr>
            <w:tcW w:w="1233" w:type="pct"/>
            <w:tcBorders>
              <w:top w:val="nil"/>
              <w:left w:val="single" w:sz="4" w:space="0" w:color="auto"/>
              <w:bottom w:val="single" w:sz="4" w:space="0" w:color="auto"/>
              <w:right w:val="single" w:sz="4" w:space="0" w:color="auto"/>
            </w:tcBorders>
            <w:shd w:val="clear" w:color="auto" w:fill="auto"/>
            <w:vAlign w:val="center"/>
          </w:tcPr>
          <w:p w14:paraId="24A15923"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萘</w:t>
            </w:r>
          </w:p>
        </w:tc>
        <w:tc>
          <w:tcPr>
            <w:tcW w:w="752" w:type="pct"/>
            <w:tcBorders>
              <w:top w:val="single" w:sz="4" w:space="0" w:color="auto"/>
              <w:left w:val="nil"/>
              <w:bottom w:val="single" w:sz="4" w:space="0" w:color="auto"/>
              <w:right w:val="single" w:sz="4" w:space="0" w:color="auto"/>
            </w:tcBorders>
            <w:vAlign w:val="center"/>
          </w:tcPr>
          <w:p w14:paraId="5CE56396"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mg/kg</w:t>
            </w:r>
          </w:p>
        </w:tc>
        <w:tc>
          <w:tcPr>
            <w:tcW w:w="828" w:type="pct"/>
            <w:tcBorders>
              <w:top w:val="nil"/>
              <w:left w:val="single" w:sz="4" w:space="0" w:color="auto"/>
              <w:bottom w:val="single" w:sz="4" w:space="0" w:color="auto"/>
              <w:right w:val="single" w:sz="4" w:space="0" w:color="auto"/>
            </w:tcBorders>
            <w:shd w:val="clear" w:color="auto" w:fill="auto"/>
            <w:vAlign w:val="center"/>
          </w:tcPr>
          <w:p w14:paraId="672A6375" w14:textId="09692F8B"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未检出</w:t>
            </w:r>
          </w:p>
        </w:tc>
        <w:tc>
          <w:tcPr>
            <w:tcW w:w="827" w:type="pct"/>
            <w:tcBorders>
              <w:top w:val="nil"/>
              <w:left w:val="nil"/>
              <w:bottom w:val="single" w:sz="4" w:space="0" w:color="auto"/>
              <w:right w:val="single" w:sz="4" w:space="0" w:color="auto"/>
            </w:tcBorders>
            <w:shd w:val="clear" w:color="auto" w:fill="auto"/>
            <w:noWrap/>
            <w:vAlign w:val="center"/>
          </w:tcPr>
          <w:p w14:paraId="603663E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达标</w:t>
            </w:r>
          </w:p>
        </w:tc>
        <w:tc>
          <w:tcPr>
            <w:tcW w:w="1360" w:type="pct"/>
            <w:gridSpan w:val="2"/>
            <w:tcBorders>
              <w:top w:val="nil"/>
              <w:left w:val="nil"/>
              <w:bottom w:val="single" w:sz="4" w:space="0" w:color="auto"/>
              <w:right w:val="single" w:sz="4" w:space="0" w:color="auto"/>
            </w:tcBorders>
            <w:shd w:val="clear" w:color="auto" w:fill="auto"/>
            <w:noWrap/>
            <w:vAlign w:val="center"/>
          </w:tcPr>
          <w:p w14:paraId="21A3A468" w14:textId="77777777" w:rsidR="0094447D" w:rsidRPr="00092862" w:rsidRDefault="0094447D" w:rsidP="008C00B1">
            <w:pPr>
              <w:adjustRightInd w:val="0"/>
              <w:snapToGrid w:val="0"/>
              <w:jc w:val="cente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rPr>
              <w:t>70</w:t>
            </w:r>
          </w:p>
        </w:tc>
      </w:tr>
    </w:tbl>
    <w:p w14:paraId="4199E6E9" w14:textId="072D0818" w:rsidR="00C30BD8" w:rsidRPr="00092862" w:rsidRDefault="00C30BD8" w:rsidP="00157C6A">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由表</w:t>
      </w:r>
      <w:r w:rsidR="0007350F" w:rsidRPr="00092862">
        <w:rPr>
          <w:rFonts w:ascii="Times New Roman" w:eastAsia="宋体" w:hAnsi="Times New Roman" w:cs="Times New Roman"/>
          <w:bCs/>
          <w:color w:val="000000" w:themeColor="text1"/>
          <w:sz w:val="24"/>
          <w:szCs w:val="24"/>
        </w:rPr>
        <w:t>4.2-12</w:t>
      </w:r>
      <w:r w:rsidR="0007350F" w:rsidRPr="00092862">
        <w:rPr>
          <w:rFonts w:ascii="Times New Roman" w:eastAsia="宋体" w:hAnsi="Times New Roman" w:cs="Times New Roman"/>
          <w:bCs/>
          <w:color w:val="000000" w:themeColor="text1"/>
          <w:sz w:val="24"/>
          <w:szCs w:val="24"/>
        </w:rPr>
        <w:t>、表</w:t>
      </w:r>
      <w:r w:rsidR="0007350F" w:rsidRPr="00092862">
        <w:rPr>
          <w:rFonts w:ascii="Times New Roman" w:eastAsia="宋体" w:hAnsi="Times New Roman" w:cs="Times New Roman"/>
          <w:bCs/>
          <w:color w:val="000000" w:themeColor="text1"/>
          <w:sz w:val="24"/>
          <w:szCs w:val="24"/>
        </w:rPr>
        <w:t>4.2-13</w:t>
      </w:r>
      <w:r w:rsidR="0007350F" w:rsidRPr="00092862">
        <w:rPr>
          <w:rFonts w:ascii="Times New Roman" w:eastAsia="宋体" w:hAnsi="Times New Roman" w:cs="Times New Roman"/>
          <w:bCs/>
          <w:color w:val="000000" w:themeColor="text1"/>
          <w:sz w:val="24"/>
          <w:szCs w:val="24"/>
        </w:rPr>
        <w:t>、表</w:t>
      </w:r>
      <w:r w:rsidR="0007350F" w:rsidRPr="00092862">
        <w:rPr>
          <w:rFonts w:ascii="Times New Roman" w:eastAsia="宋体" w:hAnsi="Times New Roman" w:cs="Times New Roman"/>
          <w:bCs/>
          <w:color w:val="000000" w:themeColor="text1"/>
          <w:sz w:val="24"/>
          <w:szCs w:val="24"/>
        </w:rPr>
        <w:t>4.2-14</w:t>
      </w:r>
      <w:r w:rsidRPr="00092862">
        <w:rPr>
          <w:rFonts w:ascii="Times New Roman" w:eastAsia="宋体" w:hAnsi="Times New Roman" w:cs="Times New Roman"/>
          <w:bCs/>
          <w:color w:val="000000" w:themeColor="text1"/>
          <w:sz w:val="24"/>
          <w:szCs w:val="24"/>
        </w:rPr>
        <w:t>可知，平台外土壤监测点监测值均低于《土壤环境质量</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农用地土壤污染风险管控标准（试行）》（</w:t>
      </w:r>
      <w:r w:rsidRPr="00092862">
        <w:rPr>
          <w:rFonts w:ascii="Times New Roman" w:eastAsia="宋体" w:hAnsi="Times New Roman" w:cs="Times New Roman"/>
          <w:bCs/>
          <w:color w:val="000000" w:themeColor="text1"/>
          <w:sz w:val="24"/>
          <w:szCs w:val="24"/>
        </w:rPr>
        <w:t>GB15618-2018</w:t>
      </w:r>
      <w:r w:rsidRPr="00092862">
        <w:rPr>
          <w:rFonts w:ascii="Times New Roman" w:eastAsia="宋体" w:hAnsi="Times New Roman" w:cs="Times New Roman"/>
          <w:bCs/>
          <w:color w:val="000000" w:themeColor="text1"/>
          <w:sz w:val="24"/>
          <w:szCs w:val="24"/>
        </w:rPr>
        <w:t>）风险筛选值；平台内各土壤监测点监测因子均低于《土壤环境质量</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建设用地土壤污染风险管控标准（试行）》（</w:t>
      </w:r>
      <w:r w:rsidRPr="00092862">
        <w:rPr>
          <w:rFonts w:ascii="Times New Roman" w:eastAsia="宋体" w:hAnsi="Times New Roman" w:cs="Times New Roman"/>
          <w:bCs/>
          <w:color w:val="000000" w:themeColor="text1"/>
          <w:sz w:val="24"/>
          <w:szCs w:val="24"/>
        </w:rPr>
        <w:t>GB36600-2018</w:t>
      </w:r>
      <w:r w:rsidRPr="00092862">
        <w:rPr>
          <w:rFonts w:ascii="Times New Roman" w:eastAsia="宋体" w:hAnsi="Times New Roman" w:cs="Times New Roman"/>
          <w:bCs/>
          <w:color w:val="000000" w:themeColor="text1"/>
          <w:sz w:val="24"/>
          <w:szCs w:val="24"/>
        </w:rPr>
        <w:t>）中的第二类用地筛选值。</w:t>
      </w:r>
    </w:p>
    <w:p w14:paraId="4B6C2548" w14:textId="722FB270" w:rsidR="00C30BD8" w:rsidRPr="00092862" w:rsidRDefault="0033604C" w:rsidP="0033604C">
      <w:pPr>
        <w:pStyle w:val="3"/>
        <w:adjustRightInd w:val="0"/>
        <w:snapToGrid w:val="0"/>
        <w:spacing w:before="0" w:after="0" w:line="360" w:lineRule="auto"/>
        <w:ind w:firstLineChars="200" w:firstLine="480"/>
        <w:rPr>
          <w:rFonts w:ascii="Times New Roman" w:hAnsi="Times New Roman"/>
          <w:b w:val="0"/>
          <w:color w:val="000000" w:themeColor="text1"/>
          <w:sz w:val="24"/>
          <w:szCs w:val="24"/>
          <w:lang w:eastAsia="zh-CN"/>
        </w:rPr>
      </w:pPr>
      <w:bookmarkStart w:id="172" w:name="_Toc100100054"/>
      <w:bookmarkStart w:id="173" w:name="_Toc120173133"/>
      <w:r w:rsidRPr="00092862">
        <w:rPr>
          <w:rFonts w:ascii="Times New Roman" w:hAnsi="Times New Roman"/>
          <w:b w:val="0"/>
          <w:color w:val="000000" w:themeColor="text1"/>
          <w:sz w:val="24"/>
          <w:szCs w:val="24"/>
          <w:lang w:eastAsia="zh-CN"/>
        </w:rPr>
        <w:t>4.2</w:t>
      </w:r>
      <w:r w:rsidR="00C30BD8" w:rsidRPr="00092862">
        <w:rPr>
          <w:rFonts w:ascii="Times New Roman" w:hAnsi="Times New Roman"/>
          <w:b w:val="0"/>
          <w:color w:val="000000" w:themeColor="text1"/>
          <w:sz w:val="24"/>
          <w:szCs w:val="24"/>
          <w:lang w:eastAsia="zh-CN"/>
        </w:rPr>
        <w:t xml:space="preserve">.6 </w:t>
      </w:r>
      <w:r w:rsidR="00C30BD8" w:rsidRPr="00092862">
        <w:rPr>
          <w:rFonts w:ascii="Times New Roman" w:hAnsi="Times New Roman"/>
          <w:b w:val="0"/>
          <w:color w:val="000000" w:themeColor="text1"/>
          <w:sz w:val="24"/>
          <w:szCs w:val="24"/>
          <w:lang w:eastAsia="zh-CN"/>
        </w:rPr>
        <w:t>包气带污染情况调查</w:t>
      </w:r>
      <w:bookmarkEnd w:id="172"/>
      <w:bookmarkEnd w:id="173"/>
    </w:p>
    <w:p w14:paraId="0EDF179F" w14:textId="0314DF74"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为了解本项目所在区域包气带污染现状，本次评价委托</w:t>
      </w:r>
      <w:r w:rsidR="00C17127" w:rsidRPr="00092862">
        <w:rPr>
          <w:rFonts w:ascii="Times New Roman" w:eastAsia="宋体" w:hAnsi="Times New Roman" w:cs="Times New Roman"/>
          <w:bCs/>
          <w:color w:val="000000" w:themeColor="text1"/>
          <w:sz w:val="24"/>
          <w:szCs w:val="24"/>
        </w:rPr>
        <w:t>四川省允诺信检测技术有限公司</w:t>
      </w:r>
      <w:r w:rsidRPr="00092862">
        <w:rPr>
          <w:rFonts w:ascii="Times New Roman" w:eastAsia="宋体" w:hAnsi="Times New Roman" w:cs="Times New Roman"/>
          <w:bCs/>
          <w:color w:val="000000" w:themeColor="text1"/>
          <w:sz w:val="24"/>
          <w:szCs w:val="24"/>
        </w:rPr>
        <w:t>对</w:t>
      </w:r>
      <w:r w:rsidR="003C3238" w:rsidRPr="00092862">
        <w:rPr>
          <w:rFonts w:ascii="Times New Roman" w:eastAsia="宋体" w:hAnsi="Times New Roman" w:cs="Times New Roman"/>
          <w:bCs/>
          <w:color w:val="000000" w:themeColor="text1"/>
          <w:sz w:val="24"/>
          <w:szCs w:val="24"/>
        </w:rPr>
        <w:t>老君</w:t>
      </w:r>
      <w:r w:rsidR="003C3238" w:rsidRPr="00092862">
        <w:rPr>
          <w:rFonts w:ascii="Times New Roman" w:eastAsia="宋体" w:hAnsi="Times New Roman" w:cs="Times New Roman"/>
          <w:bCs/>
          <w:color w:val="000000" w:themeColor="text1"/>
          <w:sz w:val="24"/>
          <w:szCs w:val="24"/>
        </w:rPr>
        <w:t>701</w:t>
      </w:r>
      <w:r w:rsidR="00E26702" w:rsidRPr="00092862">
        <w:rPr>
          <w:rFonts w:ascii="Times New Roman" w:eastAsia="宋体" w:hAnsi="Times New Roman" w:cs="Times New Roman"/>
          <w:bCs/>
          <w:color w:val="000000" w:themeColor="text1"/>
          <w:sz w:val="24"/>
          <w:szCs w:val="24"/>
        </w:rPr>
        <w:t>集气站</w:t>
      </w:r>
      <w:r w:rsidRPr="00092862">
        <w:rPr>
          <w:rFonts w:ascii="Times New Roman" w:eastAsia="宋体" w:hAnsi="Times New Roman" w:cs="Times New Roman"/>
          <w:bCs/>
          <w:color w:val="000000" w:themeColor="text1"/>
          <w:sz w:val="24"/>
          <w:szCs w:val="24"/>
        </w:rPr>
        <w:t>污水池</w:t>
      </w:r>
      <w:r w:rsidR="00E26702" w:rsidRPr="00092862">
        <w:rPr>
          <w:rFonts w:ascii="Times New Roman" w:eastAsia="宋体" w:hAnsi="Times New Roman" w:cs="Times New Roman"/>
          <w:bCs/>
          <w:color w:val="000000" w:themeColor="text1"/>
          <w:sz w:val="24"/>
          <w:szCs w:val="24"/>
        </w:rPr>
        <w:t>（原放喷池）</w:t>
      </w:r>
      <w:r w:rsidRPr="00092862">
        <w:rPr>
          <w:rFonts w:ascii="Times New Roman" w:eastAsia="宋体" w:hAnsi="Times New Roman" w:cs="Times New Roman"/>
          <w:bCs/>
          <w:color w:val="000000" w:themeColor="text1"/>
          <w:sz w:val="24"/>
          <w:szCs w:val="24"/>
        </w:rPr>
        <w:t>处包气带</w:t>
      </w:r>
      <w:bookmarkStart w:id="174" w:name="_Hlk112011396"/>
      <w:r w:rsidRPr="00092862">
        <w:rPr>
          <w:rFonts w:ascii="Times New Roman" w:eastAsia="宋体" w:hAnsi="Times New Roman" w:cs="Times New Roman"/>
          <w:bCs/>
          <w:color w:val="000000" w:themeColor="text1"/>
          <w:sz w:val="24"/>
          <w:szCs w:val="24"/>
        </w:rPr>
        <w:t>现状进行了监测</w:t>
      </w:r>
      <w:bookmarkEnd w:id="174"/>
      <w:r w:rsidRPr="00092862">
        <w:rPr>
          <w:rFonts w:ascii="Times New Roman" w:eastAsia="宋体" w:hAnsi="Times New Roman" w:cs="Times New Roman"/>
          <w:bCs/>
          <w:color w:val="000000" w:themeColor="text1"/>
          <w:sz w:val="24"/>
          <w:szCs w:val="24"/>
        </w:rPr>
        <w:t>。监测布点见附图</w:t>
      </w:r>
      <w:r w:rsidR="00E225BA"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p>
    <w:p w14:paraId="1F99E7C9" w14:textId="77777777"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）监测布点</w:t>
      </w:r>
    </w:p>
    <w:p w14:paraId="6E5DC642" w14:textId="37ADF5F1"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bookmarkStart w:id="175" w:name="_Hlk93351647"/>
      <w:r w:rsidRPr="00092862">
        <w:rPr>
          <w:rFonts w:ascii="Times New Roman" w:eastAsia="宋体" w:hAnsi="Times New Roman" w:cs="Times New Roman"/>
          <w:bCs/>
          <w:color w:val="000000" w:themeColor="text1"/>
          <w:sz w:val="24"/>
          <w:szCs w:val="24"/>
        </w:rPr>
        <w:t>共布设</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个监测点，</w:t>
      </w:r>
      <w:r w:rsidR="00713CE1" w:rsidRPr="00092862">
        <w:rPr>
          <w:rFonts w:ascii="Times New Roman" w:eastAsia="宋体" w:hAnsi="Times New Roman" w:cs="Times New Roman"/>
          <w:bCs/>
          <w:color w:val="000000" w:themeColor="text1"/>
          <w:sz w:val="24"/>
          <w:szCs w:val="24"/>
        </w:rPr>
        <w:t>老君</w:t>
      </w:r>
      <w:r w:rsidR="00713CE1" w:rsidRPr="00092862">
        <w:rPr>
          <w:rFonts w:ascii="Times New Roman" w:eastAsia="宋体" w:hAnsi="Times New Roman" w:cs="Times New Roman"/>
          <w:bCs/>
          <w:color w:val="000000" w:themeColor="text1"/>
          <w:sz w:val="24"/>
          <w:szCs w:val="24"/>
        </w:rPr>
        <w:t>701</w:t>
      </w:r>
      <w:r w:rsidR="00713CE1" w:rsidRPr="00092862">
        <w:rPr>
          <w:rFonts w:ascii="Times New Roman" w:eastAsia="宋体" w:hAnsi="Times New Roman" w:cs="Times New Roman"/>
          <w:bCs/>
          <w:color w:val="000000" w:themeColor="text1"/>
          <w:sz w:val="24"/>
          <w:szCs w:val="24"/>
        </w:rPr>
        <w:t>井台西南侧上游附近</w:t>
      </w:r>
      <w:r w:rsidRPr="00092862">
        <w:rPr>
          <w:rFonts w:ascii="Times New Roman" w:eastAsia="宋体" w:hAnsi="Times New Roman" w:cs="Times New Roman"/>
          <w:bCs/>
          <w:color w:val="000000" w:themeColor="text1"/>
          <w:sz w:val="24"/>
          <w:szCs w:val="24"/>
        </w:rPr>
        <w:t>设置一个点位，</w:t>
      </w:r>
      <w:r w:rsidR="00E26702" w:rsidRPr="00092862">
        <w:rPr>
          <w:rFonts w:ascii="Times New Roman" w:eastAsia="宋体" w:hAnsi="Times New Roman" w:cs="Times New Roman"/>
          <w:bCs/>
          <w:color w:val="000000" w:themeColor="text1"/>
          <w:sz w:val="24"/>
          <w:szCs w:val="24"/>
        </w:rPr>
        <w:t>污</w:t>
      </w:r>
      <w:r w:rsidR="00713CE1" w:rsidRPr="00092862">
        <w:rPr>
          <w:rFonts w:ascii="Times New Roman" w:eastAsia="宋体" w:hAnsi="Times New Roman" w:cs="Times New Roman"/>
          <w:bCs/>
          <w:color w:val="000000" w:themeColor="text1"/>
          <w:sz w:val="24"/>
          <w:szCs w:val="24"/>
        </w:rPr>
        <w:t>老君</w:t>
      </w:r>
      <w:r w:rsidR="00713CE1" w:rsidRPr="00092862">
        <w:rPr>
          <w:rFonts w:ascii="Times New Roman" w:eastAsia="宋体" w:hAnsi="Times New Roman" w:cs="Times New Roman"/>
          <w:bCs/>
          <w:color w:val="000000" w:themeColor="text1"/>
          <w:sz w:val="24"/>
          <w:szCs w:val="24"/>
        </w:rPr>
        <w:t>701</w:t>
      </w:r>
      <w:r w:rsidR="00713CE1" w:rsidRPr="00092862">
        <w:rPr>
          <w:rFonts w:ascii="Times New Roman" w:eastAsia="宋体" w:hAnsi="Times New Roman" w:cs="Times New Roman"/>
          <w:bCs/>
          <w:color w:val="000000" w:themeColor="text1"/>
          <w:sz w:val="24"/>
          <w:szCs w:val="24"/>
        </w:rPr>
        <w:t>井台依托废水池下游</w:t>
      </w:r>
      <w:r w:rsidRPr="00092862">
        <w:rPr>
          <w:rFonts w:ascii="Times New Roman" w:eastAsia="宋体" w:hAnsi="Times New Roman" w:cs="Times New Roman"/>
          <w:bCs/>
          <w:color w:val="000000" w:themeColor="text1"/>
          <w:sz w:val="24"/>
          <w:szCs w:val="24"/>
        </w:rPr>
        <w:t>设置一个点位，分别在</w:t>
      </w:r>
      <w:r w:rsidRPr="00092862">
        <w:rPr>
          <w:rFonts w:ascii="Times New Roman" w:eastAsia="宋体" w:hAnsi="Times New Roman" w:cs="Times New Roman"/>
          <w:bCs/>
          <w:color w:val="000000" w:themeColor="text1"/>
          <w:sz w:val="24"/>
          <w:szCs w:val="24"/>
        </w:rPr>
        <w:t>0~20cm</w:t>
      </w:r>
      <w:r w:rsidRPr="00092862">
        <w:rPr>
          <w:rFonts w:ascii="Times New Roman" w:eastAsia="宋体" w:hAnsi="Times New Roman" w:cs="Times New Roman"/>
          <w:bCs/>
          <w:color w:val="000000" w:themeColor="text1"/>
          <w:sz w:val="24"/>
          <w:szCs w:val="24"/>
        </w:rPr>
        <w:t>和</w:t>
      </w:r>
      <w:r w:rsidRPr="00092862">
        <w:rPr>
          <w:rFonts w:ascii="Times New Roman" w:eastAsia="宋体" w:hAnsi="Times New Roman" w:cs="Times New Roman"/>
          <w:bCs/>
          <w:color w:val="000000" w:themeColor="text1"/>
          <w:sz w:val="24"/>
          <w:szCs w:val="24"/>
        </w:rPr>
        <w:t>20~60cm</w:t>
      </w:r>
      <w:r w:rsidRPr="00092862">
        <w:rPr>
          <w:rFonts w:ascii="Times New Roman" w:eastAsia="宋体" w:hAnsi="Times New Roman" w:cs="Times New Roman"/>
          <w:bCs/>
          <w:color w:val="000000" w:themeColor="text1"/>
          <w:sz w:val="24"/>
          <w:szCs w:val="24"/>
        </w:rPr>
        <w:t>处取样，进</w:t>
      </w:r>
      <w:r w:rsidRPr="00092862">
        <w:rPr>
          <w:rFonts w:ascii="Times New Roman" w:eastAsia="宋体" w:hAnsi="Times New Roman" w:cs="Times New Roman"/>
          <w:bCs/>
          <w:color w:val="000000" w:themeColor="text1"/>
          <w:sz w:val="24"/>
          <w:szCs w:val="24"/>
        </w:rPr>
        <w:lastRenderedPageBreak/>
        <w:t>行浸溶试验，测试分析浸溶液成分。</w:t>
      </w:r>
    </w:p>
    <w:p w14:paraId="1E8BD3AE" w14:textId="77777777"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）监测因子</w:t>
      </w:r>
    </w:p>
    <w:p w14:paraId="75447DDE" w14:textId="54F90907"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pH</w:t>
      </w:r>
      <w:r w:rsidRPr="00092862">
        <w:rPr>
          <w:rFonts w:ascii="Times New Roman" w:eastAsia="宋体" w:hAnsi="Times New Roman" w:cs="Times New Roman"/>
          <w:bCs/>
          <w:color w:val="000000" w:themeColor="text1"/>
          <w:sz w:val="24"/>
          <w:szCs w:val="24"/>
        </w:rPr>
        <w:t>、氨氮、挥发酚、石油类、六价铬、氯化物。</w:t>
      </w:r>
    </w:p>
    <w:p w14:paraId="5F9DAEAC" w14:textId="77777777"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）监测时间与频率</w:t>
      </w:r>
    </w:p>
    <w:p w14:paraId="3F42F498" w14:textId="71E8D5BE" w:rsidR="00C30BD8" w:rsidRPr="00092862" w:rsidRDefault="006C571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2022</w:t>
      </w:r>
      <w:r w:rsidRPr="00092862">
        <w:rPr>
          <w:rFonts w:ascii="Times New Roman" w:eastAsia="宋体" w:hAnsi="Times New Roman" w:cs="Times New Roman"/>
          <w:bCs/>
          <w:color w:val="000000" w:themeColor="text1"/>
          <w:sz w:val="24"/>
          <w:szCs w:val="24"/>
        </w:rPr>
        <w:t>年</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月</w:t>
      </w:r>
      <w:r w:rsidR="00713CE1" w:rsidRPr="00092862">
        <w:rPr>
          <w:rFonts w:ascii="Times New Roman" w:eastAsia="宋体" w:hAnsi="Times New Roman" w:cs="Times New Roman"/>
          <w:bCs/>
          <w:color w:val="000000" w:themeColor="text1"/>
          <w:sz w:val="24"/>
          <w:szCs w:val="24"/>
        </w:rPr>
        <w:t>18</w:t>
      </w:r>
      <w:r w:rsidR="00C30BD8" w:rsidRPr="00092862">
        <w:rPr>
          <w:rFonts w:ascii="Times New Roman" w:eastAsia="宋体" w:hAnsi="Times New Roman" w:cs="Times New Roman"/>
          <w:bCs/>
          <w:color w:val="000000" w:themeColor="text1"/>
          <w:sz w:val="24"/>
          <w:szCs w:val="24"/>
        </w:rPr>
        <w:t>日，监测一次。</w:t>
      </w:r>
    </w:p>
    <w:bookmarkEnd w:id="175"/>
    <w:p w14:paraId="06AE4B95" w14:textId="77777777"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）监测结果及评价</w:t>
      </w:r>
    </w:p>
    <w:p w14:paraId="679636DE" w14:textId="0084B240" w:rsidR="00C30BD8"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本项目所在地周边包气带监测及评价结果见表</w:t>
      </w:r>
      <w:r w:rsidR="0007350F" w:rsidRPr="00092862">
        <w:rPr>
          <w:rFonts w:ascii="Times New Roman" w:eastAsia="宋体" w:hAnsi="Times New Roman" w:cs="Times New Roman"/>
          <w:bCs/>
          <w:color w:val="000000" w:themeColor="text1"/>
          <w:sz w:val="24"/>
          <w:szCs w:val="24"/>
        </w:rPr>
        <w:t>4.2-15</w:t>
      </w:r>
      <w:r w:rsidRPr="00092862">
        <w:rPr>
          <w:rFonts w:ascii="Times New Roman" w:eastAsia="宋体" w:hAnsi="Times New Roman" w:cs="Times New Roman"/>
          <w:bCs/>
          <w:color w:val="000000" w:themeColor="text1"/>
          <w:sz w:val="24"/>
          <w:szCs w:val="24"/>
        </w:rPr>
        <w:t>。</w:t>
      </w:r>
    </w:p>
    <w:p w14:paraId="08C3D524" w14:textId="21446B0C" w:rsidR="00C30BD8" w:rsidRPr="00092862" w:rsidRDefault="00C30BD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07350F" w:rsidRPr="00092862">
        <w:rPr>
          <w:rFonts w:ascii="Times New Roman" w:eastAsia="黑体" w:hAnsi="Times New Roman"/>
          <w:color w:val="000000" w:themeColor="text1"/>
          <w:sz w:val="21"/>
          <w:szCs w:val="21"/>
          <w:lang w:eastAsia="zh-CN"/>
        </w:rPr>
        <w:t>4.2-15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本项目包气带污染现状监测与评价表</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mg/L</w:t>
      </w:r>
      <w:r w:rsidRPr="00092862">
        <w:rPr>
          <w:rFonts w:ascii="Times New Roman" w:eastAsia="黑体" w:hAnsi="Times New Roman"/>
          <w:color w:val="000000" w:themeColor="text1"/>
          <w:sz w:val="21"/>
          <w:szCs w:val="21"/>
          <w:lang w:eastAsia="zh-CN"/>
        </w:rPr>
        <w:t>（</w:t>
      </w:r>
      <w:r w:rsidRPr="00092862">
        <w:rPr>
          <w:rFonts w:ascii="Times New Roman" w:eastAsia="黑体" w:hAnsi="Times New Roman"/>
          <w:color w:val="000000" w:themeColor="text1"/>
          <w:sz w:val="21"/>
          <w:szCs w:val="21"/>
          <w:lang w:eastAsia="zh-CN"/>
        </w:rPr>
        <w:t>pH</w:t>
      </w:r>
      <w:r w:rsidRPr="00092862">
        <w:rPr>
          <w:rFonts w:ascii="Times New Roman" w:eastAsia="黑体" w:hAnsi="Times New Roman"/>
          <w:color w:val="000000" w:themeColor="text1"/>
          <w:sz w:val="21"/>
          <w:szCs w:val="21"/>
          <w:lang w:eastAsia="zh-CN"/>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7"/>
        <w:gridCol w:w="1647"/>
        <w:gridCol w:w="888"/>
        <w:gridCol w:w="848"/>
        <w:gridCol w:w="900"/>
        <w:gridCol w:w="852"/>
        <w:gridCol w:w="870"/>
        <w:gridCol w:w="838"/>
      </w:tblGrid>
      <w:tr w:rsidR="00697429" w:rsidRPr="00092862" w14:paraId="670BA420" w14:textId="77777777" w:rsidTr="00713CE1">
        <w:trPr>
          <w:trHeight w:val="454"/>
          <w:jc w:val="center"/>
        </w:trPr>
        <w:tc>
          <w:tcPr>
            <w:tcW w:w="878" w:type="pct"/>
            <w:shd w:val="clear" w:color="auto" w:fill="auto"/>
            <w:vAlign w:val="center"/>
          </w:tcPr>
          <w:p w14:paraId="5BD48E88" w14:textId="77777777" w:rsidR="0033604C" w:rsidRPr="00092862" w:rsidRDefault="0033604C" w:rsidP="002311C5">
            <w:pPr>
              <w:pStyle w:val="06"/>
              <w:rPr>
                <w:rFonts w:eastAsia="宋体" w:cs="Times New Roman"/>
                <w:color w:val="000000" w:themeColor="text1"/>
              </w:rPr>
            </w:pPr>
            <w:bookmarkStart w:id="176" w:name="_Hlk93351731"/>
            <w:r w:rsidRPr="00092862">
              <w:rPr>
                <w:rFonts w:eastAsia="宋体" w:cs="Times New Roman"/>
                <w:color w:val="000000" w:themeColor="text1"/>
              </w:rPr>
              <w:t>点位</w:t>
            </w:r>
          </w:p>
        </w:tc>
        <w:tc>
          <w:tcPr>
            <w:tcW w:w="992" w:type="pct"/>
            <w:shd w:val="clear" w:color="auto" w:fill="auto"/>
            <w:vAlign w:val="center"/>
          </w:tcPr>
          <w:p w14:paraId="046CEA0D"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取样深度</w:t>
            </w:r>
          </w:p>
        </w:tc>
        <w:tc>
          <w:tcPr>
            <w:tcW w:w="535" w:type="pct"/>
            <w:shd w:val="clear" w:color="auto" w:fill="auto"/>
            <w:vAlign w:val="center"/>
          </w:tcPr>
          <w:p w14:paraId="615BA4C0"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pH</w:t>
            </w:r>
          </w:p>
        </w:tc>
        <w:tc>
          <w:tcPr>
            <w:tcW w:w="511" w:type="pct"/>
            <w:shd w:val="clear" w:color="auto" w:fill="auto"/>
            <w:vAlign w:val="center"/>
          </w:tcPr>
          <w:p w14:paraId="13CC4427"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氨氮</w:t>
            </w:r>
          </w:p>
        </w:tc>
        <w:tc>
          <w:tcPr>
            <w:tcW w:w="542" w:type="pct"/>
            <w:shd w:val="clear" w:color="auto" w:fill="auto"/>
            <w:vAlign w:val="center"/>
          </w:tcPr>
          <w:p w14:paraId="1E5F3CF3"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挥发酚</w:t>
            </w:r>
          </w:p>
        </w:tc>
        <w:tc>
          <w:tcPr>
            <w:tcW w:w="513" w:type="pct"/>
            <w:shd w:val="clear" w:color="auto" w:fill="auto"/>
            <w:vAlign w:val="center"/>
          </w:tcPr>
          <w:p w14:paraId="46B1F345"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石油类</w:t>
            </w:r>
          </w:p>
        </w:tc>
        <w:tc>
          <w:tcPr>
            <w:tcW w:w="524" w:type="pct"/>
            <w:vAlign w:val="center"/>
          </w:tcPr>
          <w:p w14:paraId="33CE725D"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六价铬</w:t>
            </w:r>
          </w:p>
        </w:tc>
        <w:tc>
          <w:tcPr>
            <w:tcW w:w="505" w:type="pct"/>
            <w:vAlign w:val="center"/>
          </w:tcPr>
          <w:p w14:paraId="0F345E20" w14:textId="77777777" w:rsidR="0033604C" w:rsidRPr="00092862" w:rsidRDefault="0033604C" w:rsidP="002311C5">
            <w:pPr>
              <w:pStyle w:val="06"/>
              <w:rPr>
                <w:rFonts w:eastAsia="宋体" w:cs="Times New Roman"/>
                <w:color w:val="000000" w:themeColor="text1"/>
              </w:rPr>
            </w:pPr>
            <w:r w:rsidRPr="00092862">
              <w:rPr>
                <w:rFonts w:eastAsia="宋体" w:cs="Times New Roman"/>
                <w:color w:val="000000" w:themeColor="text1"/>
              </w:rPr>
              <w:t>氯化物</w:t>
            </w:r>
          </w:p>
        </w:tc>
      </w:tr>
      <w:tr w:rsidR="00697429" w:rsidRPr="00092862" w14:paraId="4C573BC7" w14:textId="77777777" w:rsidTr="00713CE1">
        <w:trPr>
          <w:trHeight w:val="454"/>
          <w:jc w:val="center"/>
        </w:trPr>
        <w:tc>
          <w:tcPr>
            <w:tcW w:w="878" w:type="pct"/>
            <w:vMerge w:val="restart"/>
            <w:shd w:val="clear" w:color="auto" w:fill="auto"/>
            <w:vAlign w:val="center"/>
          </w:tcPr>
          <w:p w14:paraId="44A449CC" w14:textId="19A0F141" w:rsidR="0033604C" w:rsidRPr="00092862" w:rsidRDefault="00713CE1" w:rsidP="002311C5">
            <w:pPr>
              <w:pStyle w:val="04"/>
              <w:rPr>
                <w:rFonts w:cs="Times New Roman"/>
                <w:color w:val="000000" w:themeColor="text1"/>
              </w:rPr>
            </w:pPr>
            <w:r w:rsidRPr="00092862">
              <w:rPr>
                <w:rFonts w:cs="Times New Roman"/>
                <w:color w:val="000000" w:themeColor="text1"/>
              </w:rPr>
              <w:t>老君</w:t>
            </w:r>
            <w:r w:rsidRPr="00092862">
              <w:rPr>
                <w:rFonts w:cs="Times New Roman"/>
                <w:color w:val="000000" w:themeColor="text1"/>
              </w:rPr>
              <w:t>701</w:t>
            </w:r>
            <w:r w:rsidRPr="00092862">
              <w:rPr>
                <w:rFonts w:cs="Times New Roman"/>
                <w:color w:val="000000" w:themeColor="text1"/>
              </w:rPr>
              <w:t>井台西南侧上游附近</w:t>
            </w:r>
          </w:p>
        </w:tc>
        <w:tc>
          <w:tcPr>
            <w:tcW w:w="992" w:type="pct"/>
            <w:shd w:val="clear" w:color="auto" w:fill="auto"/>
            <w:vAlign w:val="center"/>
          </w:tcPr>
          <w:p w14:paraId="6DAFFFB5" w14:textId="77777777" w:rsidR="0033604C" w:rsidRPr="00092862" w:rsidRDefault="0033604C" w:rsidP="002311C5">
            <w:pPr>
              <w:pStyle w:val="04"/>
              <w:rPr>
                <w:rFonts w:cs="Times New Roman"/>
                <w:color w:val="000000" w:themeColor="text1"/>
              </w:rPr>
            </w:pPr>
            <w:r w:rsidRPr="00092862">
              <w:rPr>
                <w:rFonts w:cs="Times New Roman"/>
                <w:color w:val="000000" w:themeColor="text1"/>
              </w:rPr>
              <w:t>0~20cm</w:t>
            </w:r>
          </w:p>
        </w:tc>
        <w:tc>
          <w:tcPr>
            <w:tcW w:w="535" w:type="pct"/>
            <w:shd w:val="clear" w:color="auto" w:fill="auto"/>
            <w:vAlign w:val="center"/>
          </w:tcPr>
          <w:p w14:paraId="13F1B27A" w14:textId="24B5839F" w:rsidR="0033604C" w:rsidRPr="00092862" w:rsidRDefault="00713CE1" w:rsidP="002311C5">
            <w:pPr>
              <w:pStyle w:val="04"/>
              <w:rPr>
                <w:rFonts w:cs="Times New Roman"/>
                <w:color w:val="000000" w:themeColor="text1"/>
              </w:rPr>
            </w:pPr>
            <w:r w:rsidRPr="00092862">
              <w:rPr>
                <w:rFonts w:cs="Times New Roman"/>
                <w:color w:val="000000" w:themeColor="text1"/>
              </w:rPr>
              <w:t>7.4</w:t>
            </w:r>
          </w:p>
        </w:tc>
        <w:tc>
          <w:tcPr>
            <w:tcW w:w="511" w:type="pct"/>
            <w:shd w:val="clear" w:color="auto" w:fill="auto"/>
            <w:vAlign w:val="center"/>
          </w:tcPr>
          <w:p w14:paraId="3A589F34" w14:textId="345D10E5" w:rsidR="0033604C" w:rsidRPr="00092862" w:rsidRDefault="00713CE1" w:rsidP="002311C5">
            <w:pPr>
              <w:pStyle w:val="04"/>
              <w:rPr>
                <w:rFonts w:cs="Times New Roman"/>
                <w:color w:val="000000" w:themeColor="text1"/>
              </w:rPr>
            </w:pPr>
            <w:r w:rsidRPr="00092862">
              <w:rPr>
                <w:rFonts w:cs="Times New Roman"/>
                <w:color w:val="000000" w:themeColor="text1"/>
              </w:rPr>
              <w:t>0.315</w:t>
            </w:r>
          </w:p>
        </w:tc>
        <w:tc>
          <w:tcPr>
            <w:tcW w:w="542" w:type="pct"/>
            <w:shd w:val="clear" w:color="auto" w:fill="auto"/>
            <w:vAlign w:val="center"/>
          </w:tcPr>
          <w:p w14:paraId="74E06029" w14:textId="476445C8" w:rsidR="0033604C" w:rsidRPr="00092862" w:rsidRDefault="00713CE1" w:rsidP="002311C5">
            <w:pPr>
              <w:pStyle w:val="04"/>
              <w:rPr>
                <w:rFonts w:cs="Times New Roman"/>
                <w:color w:val="000000" w:themeColor="text1"/>
              </w:rPr>
            </w:pPr>
            <w:r w:rsidRPr="00092862">
              <w:rPr>
                <w:rFonts w:cs="Times New Roman"/>
                <w:color w:val="000000" w:themeColor="text1"/>
              </w:rPr>
              <w:t>0.0008</w:t>
            </w:r>
          </w:p>
        </w:tc>
        <w:tc>
          <w:tcPr>
            <w:tcW w:w="513" w:type="pct"/>
            <w:shd w:val="clear" w:color="auto" w:fill="auto"/>
            <w:vAlign w:val="center"/>
          </w:tcPr>
          <w:p w14:paraId="5ED5EFAA" w14:textId="0AFC3448" w:rsidR="0033604C" w:rsidRPr="00092862" w:rsidRDefault="00713CE1" w:rsidP="002311C5">
            <w:pPr>
              <w:pStyle w:val="04"/>
              <w:rPr>
                <w:rFonts w:cs="Times New Roman"/>
                <w:color w:val="000000" w:themeColor="text1"/>
              </w:rPr>
            </w:pPr>
            <w:r w:rsidRPr="00092862">
              <w:rPr>
                <w:rFonts w:cs="Times New Roman"/>
                <w:color w:val="000000" w:themeColor="text1"/>
              </w:rPr>
              <w:t>0.04</w:t>
            </w:r>
          </w:p>
        </w:tc>
        <w:tc>
          <w:tcPr>
            <w:tcW w:w="524" w:type="pct"/>
            <w:vAlign w:val="center"/>
          </w:tcPr>
          <w:p w14:paraId="505846D1" w14:textId="61B03628" w:rsidR="0033604C" w:rsidRPr="00092862" w:rsidRDefault="00713CE1" w:rsidP="002311C5">
            <w:pPr>
              <w:pStyle w:val="04"/>
              <w:rPr>
                <w:rFonts w:cs="Times New Roman"/>
                <w:color w:val="000000" w:themeColor="text1"/>
              </w:rPr>
            </w:pPr>
            <w:r w:rsidRPr="00092862">
              <w:rPr>
                <w:rFonts w:cs="Times New Roman"/>
                <w:color w:val="000000" w:themeColor="text1"/>
              </w:rPr>
              <w:t>&lt;0.004</w:t>
            </w:r>
          </w:p>
        </w:tc>
        <w:tc>
          <w:tcPr>
            <w:tcW w:w="505" w:type="pct"/>
            <w:vAlign w:val="center"/>
          </w:tcPr>
          <w:p w14:paraId="02F6ACFE" w14:textId="4F1031B6" w:rsidR="0033604C" w:rsidRPr="00092862" w:rsidRDefault="00713CE1" w:rsidP="002311C5">
            <w:pPr>
              <w:pStyle w:val="04"/>
              <w:rPr>
                <w:rFonts w:cs="Times New Roman"/>
                <w:color w:val="000000" w:themeColor="text1"/>
              </w:rPr>
            </w:pPr>
            <w:r w:rsidRPr="00092862">
              <w:rPr>
                <w:rFonts w:cs="Times New Roman"/>
                <w:color w:val="000000" w:themeColor="text1"/>
              </w:rPr>
              <w:t>10.0</w:t>
            </w:r>
          </w:p>
        </w:tc>
      </w:tr>
      <w:tr w:rsidR="00697429" w:rsidRPr="00092862" w14:paraId="31B8B711" w14:textId="77777777" w:rsidTr="00713CE1">
        <w:trPr>
          <w:trHeight w:val="454"/>
          <w:jc w:val="center"/>
        </w:trPr>
        <w:tc>
          <w:tcPr>
            <w:tcW w:w="878" w:type="pct"/>
            <w:vMerge/>
            <w:shd w:val="clear" w:color="auto" w:fill="auto"/>
            <w:vAlign w:val="center"/>
          </w:tcPr>
          <w:p w14:paraId="499D2147" w14:textId="77777777" w:rsidR="0033604C" w:rsidRPr="00092862" w:rsidRDefault="0033604C" w:rsidP="002311C5">
            <w:pPr>
              <w:pStyle w:val="04"/>
              <w:rPr>
                <w:rFonts w:cs="Times New Roman"/>
                <w:color w:val="000000" w:themeColor="text1"/>
              </w:rPr>
            </w:pPr>
          </w:p>
        </w:tc>
        <w:tc>
          <w:tcPr>
            <w:tcW w:w="992" w:type="pct"/>
            <w:shd w:val="clear" w:color="auto" w:fill="auto"/>
            <w:vAlign w:val="center"/>
          </w:tcPr>
          <w:p w14:paraId="2C12856C" w14:textId="77777777" w:rsidR="0033604C" w:rsidRPr="00092862" w:rsidRDefault="0033604C" w:rsidP="002311C5">
            <w:pPr>
              <w:pStyle w:val="04"/>
              <w:rPr>
                <w:rFonts w:cs="Times New Roman"/>
                <w:color w:val="000000" w:themeColor="text1"/>
              </w:rPr>
            </w:pPr>
            <w:r w:rsidRPr="00092862">
              <w:rPr>
                <w:rFonts w:cs="Times New Roman"/>
                <w:color w:val="000000" w:themeColor="text1"/>
              </w:rPr>
              <w:t>20~60cm</w:t>
            </w:r>
          </w:p>
        </w:tc>
        <w:tc>
          <w:tcPr>
            <w:tcW w:w="535" w:type="pct"/>
            <w:shd w:val="clear" w:color="auto" w:fill="auto"/>
            <w:vAlign w:val="center"/>
          </w:tcPr>
          <w:p w14:paraId="5D9557E6" w14:textId="4B6C2D49" w:rsidR="0033604C" w:rsidRPr="00092862" w:rsidRDefault="00713CE1" w:rsidP="002311C5">
            <w:pPr>
              <w:pStyle w:val="04"/>
              <w:rPr>
                <w:rFonts w:cs="Times New Roman"/>
                <w:color w:val="000000" w:themeColor="text1"/>
              </w:rPr>
            </w:pPr>
            <w:r w:rsidRPr="00092862">
              <w:rPr>
                <w:rFonts w:cs="Times New Roman"/>
                <w:color w:val="000000" w:themeColor="text1"/>
              </w:rPr>
              <w:t>7.2</w:t>
            </w:r>
          </w:p>
        </w:tc>
        <w:tc>
          <w:tcPr>
            <w:tcW w:w="511" w:type="pct"/>
            <w:shd w:val="clear" w:color="auto" w:fill="auto"/>
            <w:vAlign w:val="center"/>
          </w:tcPr>
          <w:p w14:paraId="455A0053" w14:textId="0AB40AC1" w:rsidR="0033604C" w:rsidRPr="00092862" w:rsidRDefault="00713CE1" w:rsidP="002311C5">
            <w:pPr>
              <w:pStyle w:val="04"/>
              <w:rPr>
                <w:rFonts w:cs="Times New Roman"/>
                <w:color w:val="000000" w:themeColor="text1"/>
              </w:rPr>
            </w:pPr>
            <w:r w:rsidRPr="00092862">
              <w:rPr>
                <w:rFonts w:cs="Times New Roman"/>
                <w:color w:val="000000" w:themeColor="text1"/>
              </w:rPr>
              <w:t>0.284</w:t>
            </w:r>
          </w:p>
        </w:tc>
        <w:tc>
          <w:tcPr>
            <w:tcW w:w="542" w:type="pct"/>
            <w:shd w:val="clear" w:color="auto" w:fill="auto"/>
            <w:vAlign w:val="center"/>
          </w:tcPr>
          <w:p w14:paraId="28CB4DF7" w14:textId="4770AD3D" w:rsidR="0033604C" w:rsidRPr="00092862" w:rsidRDefault="00713CE1" w:rsidP="002311C5">
            <w:pPr>
              <w:pStyle w:val="04"/>
              <w:rPr>
                <w:rFonts w:cs="Times New Roman"/>
                <w:color w:val="000000" w:themeColor="text1"/>
              </w:rPr>
            </w:pPr>
            <w:r w:rsidRPr="00092862">
              <w:rPr>
                <w:rFonts w:cs="Times New Roman"/>
                <w:color w:val="000000" w:themeColor="text1"/>
              </w:rPr>
              <w:t>0.0005</w:t>
            </w:r>
          </w:p>
        </w:tc>
        <w:tc>
          <w:tcPr>
            <w:tcW w:w="513" w:type="pct"/>
            <w:shd w:val="clear" w:color="auto" w:fill="auto"/>
            <w:vAlign w:val="center"/>
          </w:tcPr>
          <w:p w14:paraId="1A7AC018" w14:textId="36ABBA41" w:rsidR="0033604C" w:rsidRPr="00092862" w:rsidRDefault="00713CE1" w:rsidP="002311C5">
            <w:pPr>
              <w:pStyle w:val="04"/>
              <w:rPr>
                <w:rFonts w:cs="Times New Roman"/>
                <w:color w:val="000000" w:themeColor="text1"/>
              </w:rPr>
            </w:pPr>
            <w:r w:rsidRPr="00092862">
              <w:rPr>
                <w:rFonts w:cs="Times New Roman"/>
                <w:color w:val="000000" w:themeColor="text1"/>
              </w:rPr>
              <w:t>0.04</w:t>
            </w:r>
          </w:p>
        </w:tc>
        <w:tc>
          <w:tcPr>
            <w:tcW w:w="524" w:type="pct"/>
            <w:vAlign w:val="center"/>
          </w:tcPr>
          <w:p w14:paraId="72281782" w14:textId="5E214D1B" w:rsidR="0033604C" w:rsidRPr="00092862" w:rsidRDefault="00713CE1" w:rsidP="002311C5">
            <w:pPr>
              <w:pStyle w:val="04"/>
              <w:rPr>
                <w:rFonts w:cs="Times New Roman"/>
                <w:color w:val="000000" w:themeColor="text1"/>
              </w:rPr>
            </w:pPr>
            <w:r w:rsidRPr="00092862">
              <w:rPr>
                <w:rFonts w:cs="Times New Roman"/>
                <w:color w:val="000000" w:themeColor="text1"/>
              </w:rPr>
              <w:t>&lt;0.004</w:t>
            </w:r>
          </w:p>
        </w:tc>
        <w:tc>
          <w:tcPr>
            <w:tcW w:w="505" w:type="pct"/>
            <w:vAlign w:val="center"/>
          </w:tcPr>
          <w:p w14:paraId="271D7FB3" w14:textId="78EA377B" w:rsidR="0033604C" w:rsidRPr="00092862" w:rsidRDefault="00713CE1" w:rsidP="002311C5">
            <w:pPr>
              <w:pStyle w:val="04"/>
              <w:rPr>
                <w:rFonts w:cs="Times New Roman"/>
                <w:color w:val="000000" w:themeColor="text1"/>
              </w:rPr>
            </w:pPr>
            <w:r w:rsidRPr="00092862">
              <w:rPr>
                <w:rFonts w:cs="Times New Roman"/>
                <w:color w:val="000000" w:themeColor="text1"/>
              </w:rPr>
              <w:t>2.03</w:t>
            </w:r>
          </w:p>
        </w:tc>
      </w:tr>
      <w:tr w:rsidR="00697429" w:rsidRPr="00092862" w14:paraId="0B729BC1" w14:textId="77777777" w:rsidTr="00713CE1">
        <w:trPr>
          <w:trHeight w:val="454"/>
          <w:jc w:val="center"/>
        </w:trPr>
        <w:tc>
          <w:tcPr>
            <w:tcW w:w="878" w:type="pct"/>
            <w:vMerge w:val="restart"/>
            <w:shd w:val="clear" w:color="auto" w:fill="auto"/>
            <w:vAlign w:val="center"/>
          </w:tcPr>
          <w:p w14:paraId="1653D421" w14:textId="100C07BF" w:rsidR="00713CE1" w:rsidRPr="00092862" w:rsidRDefault="00713CE1" w:rsidP="00713CE1">
            <w:pPr>
              <w:pStyle w:val="04"/>
              <w:rPr>
                <w:rFonts w:cs="Times New Roman"/>
                <w:color w:val="000000" w:themeColor="text1"/>
              </w:rPr>
            </w:pPr>
            <w:r w:rsidRPr="00092862">
              <w:rPr>
                <w:rFonts w:cs="Times New Roman"/>
                <w:color w:val="000000" w:themeColor="text1"/>
              </w:rPr>
              <w:t>老君</w:t>
            </w:r>
            <w:r w:rsidRPr="00092862">
              <w:rPr>
                <w:rFonts w:cs="Times New Roman"/>
                <w:color w:val="000000" w:themeColor="text1"/>
              </w:rPr>
              <w:t>701</w:t>
            </w:r>
            <w:r w:rsidRPr="00092862">
              <w:rPr>
                <w:rFonts w:cs="Times New Roman"/>
                <w:color w:val="000000" w:themeColor="text1"/>
              </w:rPr>
              <w:t>井台依托废水池下游</w:t>
            </w:r>
          </w:p>
        </w:tc>
        <w:tc>
          <w:tcPr>
            <w:tcW w:w="992" w:type="pct"/>
            <w:shd w:val="clear" w:color="auto" w:fill="auto"/>
            <w:vAlign w:val="center"/>
          </w:tcPr>
          <w:p w14:paraId="28FDBE5F" w14:textId="77777777" w:rsidR="00713CE1" w:rsidRPr="00092862" w:rsidRDefault="00713CE1" w:rsidP="00713CE1">
            <w:pPr>
              <w:pStyle w:val="04"/>
              <w:rPr>
                <w:rFonts w:cs="Times New Roman"/>
                <w:color w:val="000000" w:themeColor="text1"/>
              </w:rPr>
            </w:pPr>
            <w:r w:rsidRPr="00092862">
              <w:rPr>
                <w:rFonts w:cs="Times New Roman"/>
                <w:color w:val="000000" w:themeColor="text1"/>
              </w:rPr>
              <w:t>0~20cm</w:t>
            </w:r>
          </w:p>
        </w:tc>
        <w:tc>
          <w:tcPr>
            <w:tcW w:w="535" w:type="pct"/>
            <w:shd w:val="clear" w:color="auto" w:fill="auto"/>
            <w:vAlign w:val="center"/>
          </w:tcPr>
          <w:p w14:paraId="297D07D2" w14:textId="66E142F7" w:rsidR="00713CE1" w:rsidRPr="00092862" w:rsidRDefault="00713CE1" w:rsidP="00713CE1">
            <w:pPr>
              <w:pStyle w:val="04"/>
              <w:rPr>
                <w:rFonts w:cs="Times New Roman"/>
                <w:color w:val="000000" w:themeColor="text1"/>
              </w:rPr>
            </w:pPr>
            <w:r w:rsidRPr="00092862">
              <w:rPr>
                <w:rFonts w:cs="Times New Roman"/>
                <w:color w:val="000000" w:themeColor="text1"/>
              </w:rPr>
              <w:t>7.1</w:t>
            </w:r>
          </w:p>
        </w:tc>
        <w:tc>
          <w:tcPr>
            <w:tcW w:w="511" w:type="pct"/>
            <w:shd w:val="clear" w:color="auto" w:fill="auto"/>
            <w:vAlign w:val="center"/>
          </w:tcPr>
          <w:p w14:paraId="3CA1DDCE" w14:textId="2D601763" w:rsidR="00713CE1" w:rsidRPr="00092862" w:rsidRDefault="00713CE1" w:rsidP="00713CE1">
            <w:pPr>
              <w:pStyle w:val="04"/>
              <w:rPr>
                <w:rFonts w:cs="Times New Roman"/>
                <w:color w:val="000000" w:themeColor="text1"/>
              </w:rPr>
            </w:pPr>
            <w:r w:rsidRPr="00092862">
              <w:rPr>
                <w:rFonts w:cs="Times New Roman"/>
                <w:color w:val="000000" w:themeColor="text1"/>
              </w:rPr>
              <w:t>0.337</w:t>
            </w:r>
          </w:p>
        </w:tc>
        <w:tc>
          <w:tcPr>
            <w:tcW w:w="542" w:type="pct"/>
            <w:shd w:val="clear" w:color="auto" w:fill="auto"/>
            <w:vAlign w:val="center"/>
          </w:tcPr>
          <w:p w14:paraId="28C6EB7F" w14:textId="515DCB5B" w:rsidR="00713CE1" w:rsidRPr="00092862" w:rsidRDefault="00713CE1" w:rsidP="00713CE1">
            <w:pPr>
              <w:pStyle w:val="04"/>
              <w:rPr>
                <w:rFonts w:cs="Times New Roman"/>
                <w:color w:val="000000" w:themeColor="text1"/>
              </w:rPr>
            </w:pPr>
            <w:r w:rsidRPr="00092862">
              <w:rPr>
                <w:rFonts w:cs="Times New Roman"/>
                <w:color w:val="000000" w:themeColor="text1"/>
              </w:rPr>
              <w:t>0.0011</w:t>
            </w:r>
          </w:p>
        </w:tc>
        <w:tc>
          <w:tcPr>
            <w:tcW w:w="513" w:type="pct"/>
            <w:shd w:val="clear" w:color="auto" w:fill="auto"/>
            <w:vAlign w:val="center"/>
          </w:tcPr>
          <w:p w14:paraId="724541CC" w14:textId="35D58AC4" w:rsidR="00713CE1" w:rsidRPr="00092862" w:rsidRDefault="00713CE1" w:rsidP="00713CE1">
            <w:pPr>
              <w:pStyle w:val="04"/>
              <w:rPr>
                <w:rFonts w:cs="Times New Roman"/>
                <w:color w:val="000000" w:themeColor="text1"/>
              </w:rPr>
            </w:pPr>
            <w:r w:rsidRPr="00092862">
              <w:rPr>
                <w:rFonts w:cs="Times New Roman"/>
                <w:color w:val="000000" w:themeColor="text1"/>
              </w:rPr>
              <w:t>0.03</w:t>
            </w:r>
          </w:p>
        </w:tc>
        <w:tc>
          <w:tcPr>
            <w:tcW w:w="524" w:type="pct"/>
            <w:vAlign w:val="center"/>
          </w:tcPr>
          <w:p w14:paraId="65FA2711" w14:textId="54A7AAF6" w:rsidR="00713CE1" w:rsidRPr="00092862" w:rsidRDefault="00713CE1" w:rsidP="00713CE1">
            <w:pPr>
              <w:pStyle w:val="04"/>
              <w:rPr>
                <w:rFonts w:cs="Times New Roman"/>
                <w:color w:val="000000" w:themeColor="text1"/>
              </w:rPr>
            </w:pPr>
            <w:r w:rsidRPr="00092862">
              <w:rPr>
                <w:rFonts w:cs="Times New Roman"/>
                <w:color w:val="000000" w:themeColor="text1"/>
              </w:rPr>
              <w:t>&lt;0.004</w:t>
            </w:r>
          </w:p>
        </w:tc>
        <w:tc>
          <w:tcPr>
            <w:tcW w:w="505" w:type="pct"/>
            <w:vAlign w:val="center"/>
          </w:tcPr>
          <w:p w14:paraId="16A32296" w14:textId="50D9A3F8" w:rsidR="00713CE1" w:rsidRPr="00092862" w:rsidRDefault="00713CE1" w:rsidP="00713CE1">
            <w:pPr>
              <w:pStyle w:val="04"/>
              <w:rPr>
                <w:rFonts w:cs="Times New Roman"/>
                <w:color w:val="000000" w:themeColor="text1"/>
              </w:rPr>
            </w:pPr>
            <w:r w:rsidRPr="00092862">
              <w:rPr>
                <w:rFonts w:cs="Times New Roman"/>
                <w:color w:val="000000" w:themeColor="text1"/>
              </w:rPr>
              <w:t>4.18</w:t>
            </w:r>
          </w:p>
        </w:tc>
      </w:tr>
      <w:tr w:rsidR="00697429" w:rsidRPr="00092862" w14:paraId="35E1412D" w14:textId="77777777" w:rsidTr="00713CE1">
        <w:trPr>
          <w:trHeight w:val="454"/>
          <w:jc w:val="center"/>
        </w:trPr>
        <w:tc>
          <w:tcPr>
            <w:tcW w:w="878" w:type="pct"/>
            <w:vMerge/>
            <w:shd w:val="clear" w:color="auto" w:fill="auto"/>
            <w:vAlign w:val="center"/>
          </w:tcPr>
          <w:p w14:paraId="46CDE4A0" w14:textId="77777777" w:rsidR="00713CE1" w:rsidRPr="00092862" w:rsidRDefault="00713CE1" w:rsidP="00713CE1">
            <w:pPr>
              <w:pStyle w:val="04"/>
              <w:rPr>
                <w:rFonts w:cs="Times New Roman"/>
                <w:color w:val="000000" w:themeColor="text1"/>
              </w:rPr>
            </w:pPr>
          </w:p>
        </w:tc>
        <w:tc>
          <w:tcPr>
            <w:tcW w:w="992" w:type="pct"/>
            <w:shd w:val="clear" w:color="auto" w:fill="auto"/>
            <w:vAlign w:val="center"/>
          </w:tcPr>
          <w:p w14:paraId="63C899BA" w14:textId="77777777" w:rsidR="00713CE1" w:rsidRPr="00092862" w:rsidRDefault="00713CE1" w:rsidP="00713CE1">
            <w:pPr>
              <w:pStyle w:val="04"/>
              <w:rPr>
                <w:rFonts w:cs="Times New Roman"/>
                <w:color w:val="000000" w:themeColor="text1"/>
              </w:rPr>
            </w:pPr>
            <w:r w:rsidRPr="00092862">
              <w:rPr>
                <w:rFonts w:cs="Times New Roman"/>
                <w:color w:val="000000" w:themeColor="text1"/>
              </w:rPr>
              <w:t>20~60cm</w:t>
            </w:r>
          </w:p>
        </w:tc>
        <w:tc>
          <w:tcPr>
            <w:tcW w:w="535" w:type="pct"/>
            <w:shd w:val="clear" w:color="auto" w:fill="auto"/>
            <w:vAlign w:val="center"/>
          </w:tcPr>
          <w:p w14:paraId="21BE58FA" w14:textId="60D36BC3" w:rsidR="00713CE1" w:rsidRPr="00092862" w:rsidRDefault="00713CE1" w:rsidP="00713CE1">
            <w:pPr>
              <w:pStyle w:val="04"/>
              <w:rPr>
                <w:rFonts w:cs="Times New Roman"/>
                <w:color w:val="000000" w:themeColor="text1"/>
              </w:rPr>
            </w:pPr>
            <w:r w:rsidRPr="00092862">
              <w:rPr>
                <w:rFonts w:cs="Times New Roman"/>
                <w:color w:val="000000" w:themeColor="text1"/>
              </w:rPr>
              <w:t>7.2</w:t>
            </w:r>
          </w:p>
        </w:tc>
        <w:tc>
          <w:tcPr>
            <w:tcW w:w="511" w:type="pct"/>
            <w:shd w:val="clear" w:color="auto" w:fill="auto"/>
            <w:vAlign w:val="center"/>
          </w:tcPr>
          <w:p w14:paraId="1E683195" w14:textId="6B62ABE6" w:rsidR="00713CE1" w:rsidRPr="00092862" w:rsidRDefault="00713CE1" w:rsidP="00713CE1">
            <w:pPr>
              <w:pStyle w:val="04"/>
              <w:rPr>
                <w:rFonts w:cs="Times New Roman"/>
                <w:color w:val="000000" w:themeColor="text1"/>
              </w:rPr>
            </w:pPr>
            <w:r w:rsidRPr="00092862">
              <w:rPr>
                <w:rFonts w:cs="Times New Roman"/>
                <w:color w:val="000000" w:themeColor="text1"/>
              </w:rPr>
              <w:t>0.366</w:t>
            </w:r>
          </w:p>
        </w:tc>
        <w:tc>
          <w:tcPr>
            <w:tcW w:w="542" w:type="pct"/>
            <w:shd w:val="clear" w:color="auto" w:fill="auto"/>
            <w:vAlign w:val="center"/>
          </w:tcPr>
          <w:p w14:paraId="1E42F4E7" w14:textId="1D885143" w:rsidR="00713CE1" w:rsidRPr="00092862" w:rsidRDefault="00713CE1" w:rsidP="00713CE1">
            <w:pPr>
              <w:pStyle w:val="04"/>
              <w:rPr>
                <w:rFonts w:cs="Times New Roman"/>
                <w:color w:val="000000" w:themeColor="text1"/>
              </w:rPr>
            </w:pPr>
            <w:r w:rsidRPr="00092862">
              <w:rPr>
                <w:rFonts w:cs="Times New Roman"/>
                <w:color w:val="000000" w:themeColor="text1"/>
              </w:rPr>
              <w:t>0.0011</w:t>
            </w:r>
          </w:p>
        </w:tc>
        <w:tc>
          <w:tcPr>
            <w:tcW w:w="513" w:type="pct"/>
            <w:shd w:val="clear" w:color="auto" w:fill="auto"/>
            <w:vAlign w:val="center"/>
          </w:tcPr>
          <w:p w14:paraId="09B9F83F" w14:textId="32DF2685" w:rsidR="00713CE1" w:rsidRPr="00092862" w:rsidRDefault="00713CE1" w:rsidP="00713CE1">
            <w:pPr>
              <w:pStyle w:val="04"/>
              <w:rPr>
                <w:rFonts w:cs="Times New Roman"/>
                <w:color w:val="000000" w:themeColor="text1"/>
              </w:rPr>
            </w:pPr>
            <w:r w:rsidRPr="00092862">
              <w:rPr>
                <w:rFonts w:cs="Times New Roman"/>
                <w:color w:val="000000" w:themeColor="text1"/>
              </w:rPr>
              <w:t>0.03</w:t>
            </w:r>
          </w:p>
        </w:tc>
        <w:tc>
          <w:tcPr>
            <w:tcW w:w="524" w:type="pct"/>
            <w:vAlign w:val="center"/>
          </w:tcPr>
          <w:p w14:paraId="3E753073" w14:textId="3F568D5D" w:rsidR="00713CE1" w:rsidRPr="00092862" w:rsidRDefault="00713CE1" w:rsidP="00713CE1">
            <w:pPr>
              <w:pStyle w:val="04"/>
              <w:rPr>
                <w:rFonts w:cs="Times New Roman"/>
                <w:color w:val="000000" w:themeColor="text1"/>
              </w:rPr>
            </w:pPr>
            <w:r w:rsidRPr="00092862">
              <w:rPr>
                <w:rFonts w:cs="Times New Roman"/>
                <w:color w:val="000000" w:themeColor="text1"/>
              </w:rPr>
              <w:t>&lt;0.004</w:t>
            </w:r>
          </w:p>
        </w:tc>
        <w:tc>
          <w:tcPr>
            <w:tcW w:w="505" w:type="pct"/>
            <w:vAlign w:val="center"/>
          </w:tcPr>
          <w:p w14:paraId="4A18D647" w14:textId="79215496" w:rsidR="00713CE1" w:rsidRPr="00092862" w:rsidRDefault="00713CE1" w:rsidP="00713CE1">
            <w:pPr>
              <w:pStyle w:val="04"/>
              <w:rPr>
                <w:rFonts w:cs="Times New Roman"/>
                <w:color w:val="000000" w:themeColor="text1"/>
              </w:rPr>
            </w:pPr>
            <w:r w:rsidRPr="00092862">
              <w:rPr>
                <w:rFonts w:cs="Times New Roman"/>
                <w:color w:val="000000" w:themeColor="text1"/>
              </w:rPr>
              <w:t>1.92</w:t>
            </w:r>
          </w:p>
        </w:tc>
      </w:tr>
    </w:tbl>
    <w:bookmarkEnd w:id="176"/>
    <w:p w14:paraId="0F820653" w14:textId="7313981E" w:rsidR="00DC446C" w:rsidRPr="00092862" w:rsidRDefault="00C30BD8" w:rsidP="0033604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通过对比</w:t>
      </w:r>
      <w:r w:rsidR="00D774F2" w:rsidRPr="00092862">
        <w:rPr>
          <w:rFonts w:ascii="Times New Roman" w:eastAsia="宋体" w:hAnsi="Times New Roman" w:cs="Times New Roman"/>
          <w:bCs/>
          <w:color w:val="000000" w:themeColor="text1"/>
          <w:sz w:val="24"/>
          <w:szCs w:val="24"/>
        </w:rPr>
        <w:t>污</w:t>
      </w:r>
      <w:r w:rsidRPr="00092862">
        <w:rPr>
          <w:rFonts w:ascii="Times New Roman" w:eastAsia="宋体" w:hAnsi="Times New Roman" w:cs="Times New Roman"/>
          <w:bCs/>
          <w:color w:val="000000" w:themeColor="text1"/>
          <w:sz w:val="24"/>
          <w:szCs w:val="24"/>
        </w:rPr>
        <w:t>水池上下游结果可知本项目用地内外包气带未受到污染。</w:t>
      </w:r>
    </w:p>
    <w:p w14:paraId="4E9CD980" w14:textId="6F3D0AE9" w:rsidR="00904B0E" w:rsidRPr="00092862" w:rsidRDefault="00904B0E" w:rsidP="00904B0E">
      <w:pPr>
        <w:pStyle w:val="2"/>
        <w:ind w:firstLine="480"/>
        <w:rPr>
          <w:color w:val="000000" w:themeColor="text1"/>
          <w:szCs w:val="24"/>
          <w:lang w:eastAsia="zh-CN"/>
        </w:rPr>
      </w:pPr>
      <w:bookmarkStart w:id="177" w:name="_Toc123682539"/>
      <w:r w:rsidRPr="00092862">
        <w:rPr>
          <w:color w:val="000000" w:themeColor="text1"/>
          <w:szCs w:val="24"/>
          <w:lang w:eastAsia="zh-CN"/>
        </w:rPr>
        <w:t>4.3</w:t>
      </w:r>
      <w:r w:rsidRPr="00092862">
        <w:rPr>
          <w:color w:val="000000" w:themeColor="text1"/>
          <w:szCs w:val="24"/>
          <w:lang w:eastAsia="zh-CN"/>
        </w:rPr>
        <w:t>生态环境调查与评价</w:t>
      </w:r>
      <w:bookmarkEnd w:id="177"/>
    </w:p>
    <w:p w14:paraId="718F71F0" w14:textId="77777777" w:rsidR="00F96F41" w:rsidRPr="00092862" w:rsidRDefault="00F96F41" w:rsidP="00F96F41">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78" w:name="_Toc120173135"/>
      <w:bookmarkStart w:id="179" w:name="_Hlk84604214"/>
      <w:r w:rsidRPr="00092862">
        <w:rPr>
          <w:rFonts w:ascii="Times New Roman" w:eastAsia="黑体" w:hAnsi="Times New Roman"/>
          <w:b w:val="0"/>
          <w:color w:val="000000" w:themeColor="text1"/>
          <w:sz w:val="24"/>
          <w:szCs w:val="24"/>
          <w:lang w:eastAsia="zh-CN"/>
        </w:rPr>
        <w:t>4.3.1</w:t>
      </w:r>
      <w:r w:rsidRPr="00092862">
        <w:rPr>
          <w:rFonts w:ascii="Times New Roman" w:eastAsia="黑体" w:hAnsi="Times New Roman"/>
          <w:b w:val="0"/>
          <w:color w:val="000000" w:themeColor="text1"/>
          <w:sz w:val="24"/>
          <w:szCs w:val="24"/>
          <w:lang w:eastAsia="zh-CN"/>
        </w:rPr>
        <w:t>生态功能区划</w:t>
      </w:r>
      <w:bookmarkEnd w:id="178"/>
    </w:p>
    <w:p w14:paraId="0E5A3194" w14:textId="77777777" w:rsidR="00A0487F" w:rsidRPr="00092862" w:rsidRDefault="00A0487F" w:rsidP="00A0487F">
      <w:pPr>
        <w:pStyle w:val="41"/>
        <w:spacing w:line="360" w:lineRule="auto"/>
        <w:ind w:firstLineChars="200" w:firstLine="480"/>
        <w:rPr>
          <w:color w:val="000000" w:themeColor="text1"/>
          <w:sz w:val="24"/>
          <w:szCs w:val="24"/>
        </w:rPr>
      </w:pPr>
      <w:r w:rsidRPr="00092862">
        <w:rPr>
          <w:color w:val="000000" w:themeColor="text1"/>
          <w:sz w:val="24"/>
          <w:szCs w:val="24"/>
        </w:rPr>
        <w:t>本项目位于四川盆地亚热带湿润气候生态区，属于大巴山水源涵养与土壤保持生态功能区（</w:t>
      </w:r>
      <w:r w:rsidRPr="00092862">
        <w:rPr>
          <w:color w:val="000000" w:themeColor="text1"/>
          <w:sz w:val="24"/>
          <w:szCs w:val="24"/>
        </w:rPr>
        <w:t>I-3-2</w:t>
      </w:r>
      <w:r w:rsidRPr="00092862">
        <w:rPr>
          <w:color w:val="000000" w:themeColor="text1"/>
          <w:sz w:val="24"/>
          <w:szCs w:val="24"/>
        </w:rPr>
        <w:t>），该生态功能区的主导功能是水源涵养功能，土壤保持功能。面临的主要环境问题是多洪灾，滑坡崩塌强烈发育，水土流失严重。项目区的生态功能区划见下表</w:t>
      </w:r>
      <w:r w:rsidRPr="00092862">
        <w:rPr>
          <w:color w:val="000000" w:themeColor="text1"/>
          <w:sz w:val="24"/>
          <w:szCs w:val="24"/>
        </w:rPr>
        <w:t>4.3-1</w:t>
      </w:r>
      <w:r w:rsidRPr="00092862">
        <w:rPr>
          <w:color w:val="000000" w:themeColor="text1"/>
          <w:sz w:val="24"/>
          <w:szCs w:val="24"/>
        </w:rPr>
        <w:t>。</w:t>
      </w:r>
    </w:p>
    <w:p w14:paraId="352CAAF2" w14:textId="77777777" w:rsidR="00A0487F" w:rsidRPr="00092862" w:rsidRDefault="00A0487F" w:rsidP="002C77F6">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4.3-1 </w:t>
      </w:r>
      <w:r w:rsidRPr="00092862">
        <w:rPr>
          <w:rFonts w:ascii="Times New Roman" w:eastAsia="黑体" w:hAnsi="Times New Roman"/>
          <w:color w:val="000000" w:themeColor="text1"/>
          <w:sz w:val="21"/>
          <w:szCs w:val="21"/>
          <w:lang w:eastAsia="zh-CN"/>
        </w:rPr>
        <w:t>项目区生态功能区划及主要生态环境问题</w:t>
      </w: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07"/>
        <w:gridCol w:w="1028"/>
        <w:gridCol w:w="1087"/>
        <w:gridCol w:w="1076"/>
        <w:gridCol w:w="784"/>
        <w:gridCol w:w="3543"/>
      </w:tblGrid>
      <w:tr w:rsidR="00697429" w:rsidRPr="00092862" w14:paraId="26ADE1E1" w14:textId="77777777" w:rsidTr="00BA60D6">
        <w:trPr>
          <w:trHeight w:val="21"/>
          <w:jc w:val="center"/>
        </w:trPr>
        <w:tc>
          <w:tcPr>
            <w:tcW w:w="484" w:type="pct"/>
            <w:vAlign w:val="center"/>
          </w:tcPr>
          <w:p w14:paraId="0DA6D7E4" w14:textId="77777777" w:rsidR="00A0487F" w:rsidRPr="00092862" w:rsidRDefault="00A0487F" w:rsidP="00BA60D6">
            <w:pPr>
              <w:pStyle w:val="Default"/>
              <w:jc w:val="center"/>
              <w:rPr>
                <w:rFonts w:ascii="Times New Roman" w:eastAsia="宋体" w:cs="Times New Roman"/>
                <w:b/>
                <w:bCs/>
                <w:color w:val="000000" w:themeColor="text1"/>
                <w:sz w:val="21"/>
                <w:szCs w:val="21"/>
              </w:rPr>
            </w:pPr>
            <w:r w:rsidRPr="00092862">
              <w:rPr>
                <w:rFonts w:ascii="Times New Roman" w:eastAsia="宋体" w:cs="Times New Roman"/>
                <w:b/>
                <w:bCs/>
                <w:color w:val="000000" w:themeColor="text1"/>
                <w:sz w:val="21"/>
                <w:szCs w:val="21"/>
              </w:rPr>
              <w:t>生态区</w:t>
            </w:r>
          </w:p>
        </w:tc>
        <w:tc>
          <w:tcPr>
            <w:tcW w:w="617" w:type="pct"/>
            <w:vAlign w:val="center"/>
          </w:tcPr>
          <w:p w14:paraId="54B4EE5D" w14:textId="77777777" w:rsidR="00A0487F" w:rsidRPr="00092862" w:rsidRDefault="00A0487F" w:rsidP="00BA60D6">
            <w:pPr>
              <w:pStyle w:val="Default"/>
              <w:jc w:val="center"/>
              <w:rPr>
                <w:rFonts w:ascii="Times New Roman" w:eastAsia="宋体" w:cs="Times New Roman"/>
                <w:b/>
                <w:bCs/>
                <w:color w:val="000000" w:themeColor="text1"/>
                <w:sz w:val="21"/>
                <w:szCs w:val="21"/>
              </w:rPr>
            </w:pPr>
            <w:r w:rsidRPr="00092862">
              <w:rPr>
                <w:rFonts w:ascii="Times New Roman" w:eastAsia="宋体" w:cs="Times New Roman"/>
                <w:b/>
                <w:bCs/>
                <w:color w:val="000000" w:themeColor="text1"/>
                <w:sz w:val="21"/>
                <w:szCs w:val="21"/>
              </w:rPr>
              <w:t>生态亚区</w:t>
            </w:r>
          </w:p>
        </w:tc>
        <w:tc>
          <w:tcPr>
            <w:tcW w:w="653" w:type="pct"/>
            <w:vAlign w:val="center"/>
          </w:tcPr>
          <w:p w14:paraId="3C2949E4" w14:textId="77777777" w:rsidR="00A0487F" w:rsidRPr="00092862" w:rsidRDefault="00A0487F" w:rsidP="00BA60D6">
            <w:pPr>
              <w:pStyle w:val="Default"/>
              <w:jc w:val="center"/>
              <w:rPr>
                <w:rFonts w:ascii="Times New Roman" w:eastAsia="宋体" w:cs="Times New Roman"/>
                <w:b/>
                <w:bCs/>
                <w:color w:val="000000" w:themeColor="text1"/>
                <w:sz w:val="21"/>
                <w:szCs w:val="21"/>
              </w:rPr>
            </w:pPr>
            <w:r w:rsidRPr="00092862">
              <w:rPr>
                <w:rFonts w:ascii="Times New Roman" w:eastAsia="宋体" w:cs="Times New Roman"/>
                <w:b/>
                <w:bCs/>
                <w:color w:val="000000" w:themeColor="text1"/>
                <w:sz w:val="21"/>
                <w:szCs w:val="21"/>
              </w:rPr>
              <w:t>生态功能区</w:t>
            </w:r>
          </w:p>
        </w:tc>
        <w:tc>
          <w:tcPr>
            <w:tcW w:w="646" w:type="pct"/>
            <w:vAlign w:val="center"/>
          </w:tcPr>
          <w:p w14:paraId="17047D15" w14:textId="77777777" w:rsidR="00A0487F" w:rsidRPr="00092862" w:rsidRDefault="00A0487F" w:rsidP="00BA60D6">
            <w:pPr>
              <w:pStyle w:val="Default"/>
              <w:jc w:val="center"/>
              <w:rPr>
                <w:rFonts w:ascii="Times New Roman" w:eastAsia="宋体" w:cs="Times New Roman"/>
                <w:b/>
                <w:bCs/>
                <w:color w:val="000000" w:themeColor="text1"/>
                <w:sz w:val="21"/>
                <w:szCs w:val="21"/>
              </w:rPr>
            </w:pPr>
            <w:r w:rsidRPr="00092862">
              <w:rPr>
                <w:rFonts w:ascii="Times New Roman" w:eastAsia="宋体" w:cs="Times New Roman"/>
                <w:b/>
                <w:bCs/>
                <w:color w:val="000000" w:themeColor="text1"/>
                <w:sz w:val="21"/>
                <w:szCs w:val="21"/>
              </w:rPr>
              <w:t>主要环境问题</w:t>
            </w:r>
          </w:p>
        </w:tc>
        <w:tc>
          <w:tcPr>
            <w:tcW w:w="471" w:type="pct"/>
            <w:vAlign w:val="center"/>
          </w:tcPr>
          <w:p w14:paraId="223F4C86" w14:textId="77777777" w:rsidR="00A0487F" w:rsidRPr="00092862" w:rsidRDefault="00A0487F" w:rsidP="00BA60D6">
            <w:pPr>
              <w:pStyle w:val="Default"/>
              <w:jc w:val="center"/>
              <w:rPr>
                <w:rFonts w:ascii="Times New Roman" w:eastAsia="宋体" w:cs="Times New Roman"/>
                <w:b/>
                <w:bCs/>
                <w:color w:val="000000" w:themeColor="text1"/>
                <w:sz w:val="21"/>
                <w:szCs w:val="21"/>
              </w:rPr>
            </w:pPr>
            <w:r w:rsidRPr="00092862">
              <w:rPr>
                <w:rFonts w:ascii="Times New Roman" w:eastAsia="宋体" w:cs="Times New Roman"/>
                <w:b/>
                <w:bCs/>
                <w:color w:val="000000" w:themeColor="text1"/>
                <w:sz w:val="21"/>
                <w:szCs w:val="21"/>
              </w:rPr>
              <w:t>服务功能</w:t>
            </w:r>
          </w:p>
        </w:tc>
        <w:tc>
          <w:tcPr>
            <w:tcW w:w="2127" w:type="pct"/>
            <w:vAlign w:val="center"/>
          </w:tcPr>
          <w:p w14:paraId="71676580" w14:textId="77777777" w:rsidR="00A0487F" w:rsidRPr="00092862" w:rsidRDefault="00A0487F" w:rsidP="00BA60D6">
            <w:pPr>
              <w:pStyle w:val="Default"/>
              <w:jc w:val="center"/>
              <w:rPr>
                <w:rFonts w:ascii="Times New Roman" w:eastAsia="宋体" w:cs="Times New Roman"/>
                <w:b/>
                <w:bCs/>
                <w:color w:val="000000" w:themeColor="text1"/>
                <w:sz w:val="21"/>
                <w:szCs w:val="21"/>
              </w:rPr>
            </w:pPr>
            <w:r w:rsidRPr="00092862">
              <w:rPr>
                <w:rFonts w:ascii="Times New Roman" w:eastAsia="宋体" w:cs="Times New Roman"/>
                <w:b/>
                <w:bCs/>
                <w:color w:val="000000" w:themeColor="text1"/>
                <w:sz w:val="21"/>
                <w:szCs w:val="21"/>
              </w:rPr>
              <w:t>保护与发展</w:t>
            </w:r>
          </w:p>
        </w:tc>
      </w:tr>
      <w:tr w:rsidR="00697429" w:rsidRPr="00092862" w14:paraId="6D90A8E1" w14:textId="77777777" w:rsidTr="00BA60D6">
        <w:trPr>
          <w:trHeight w:val="90"/>
          <w:jc w:val="center"/>
        </w:trPr>
        <w:tc>
          <w:tcPr>
            <w:tcW w:w="484" w:type="pct"/>
            <w:vAlign w:val="center"/>
          </w:tcPr>
          <w:p w14:paraId="77BF2A4F" w14:textId="77777777" w:rsidR="00A0487F" w:rsidRPr="00092862" w:rsidRDefault="00A0487F" w:rsidP="00BA60D6">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I</w:t>
            </w:r>
            <w:r w:rsidRPr="00092862">
              <w:rPr>
                <w:rFonts w:ascii="Times New Roman" w:eastAsia="宋体" w:cs="Times New Roman"/>
                <w:color w:val="000000" w:themeColor="text1"/>
                <w:sz w:val="21"/>
                <w:szCs w:val="21"/>
              </w:rPr>
              <w:t>四川盆地亚热带湿润气候生态区</w:t>
            </w:r>
          </w:p>
        </w:tc>
        <w:tc>
          <w:tcPr>
            <w:tcW w:w="617" w:type="pct"/>
            <w:vAlign w:val="center"/>
          </w:tcPr>
          <w:p w14:paraId="7BC71407" w14:textId="77777777" w:rsidR="00A0487F" w:rsidRPr="00092862" w:rsidRDefault="00A0487F" w:rsidP="00BA60D6">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I-3</w:t>
            </w:r>
            <w:r w:rsidRPr="00092862">
              <w:rPr>
                <w:rFonts w:ascii="Times New Roman" w:eastAsia="宋体" w:cs="Times New Roman"/>
                <w:color w:val="000000" w:themeColor="text1"/>
                <w:sz w:val="21"/>
                <w:szCs w:val="21"/>
              </w:rPr>
              <w:t>盆北秦巴山地常绿阔叶林</w:t>
            </w:r>
            <w:r w:rsidRPr="00092862">
              <w:rPr>
                <w:rFonts w:ascii="Times New Roman" w:eastAsia="宋体" w:cs="Times New Roman"/>
                <w:color w:val="000000" w:themeColor="text1"/>
                <w:sz w:val="21"/>
                <w:szCs w:val="21"/>
              </w:rPr>
              <w:t>-</w:t>
            </w:r>
            <w:r w:rsidRPr="00092862">
              <w:rPr>
                <w:rFonts w:ascii="Times New Roman" w:eastAsia="宋体" w:cs="Times New Roman"/>
                <w:color w:val="000000" w:themeColor="text1"/>
                <w:sz w:val="21"/>
                <w:szCs w:val="21"/>
              </w:rPr>
              <w:t>针阔混交林生态亚区</w:t>
            </w:r>
          </w:p>
        </w:tc>
        <w:tc>
          <w:tcPr>
            <w:tcW w:w="653" w:type="pct"/>
            <w:vAlign w:val="center"/>
          </w:tcPr>
          <w:p w14:paraId="1F585026" w14:textId="77777777" w:rsidR="00A0487F" w:rsidRPr="00092862" w:rsidRDefault="00A0487F" w:rsidP="00BA60D6">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I-3-2</w:t>
            </w:r>
            <w:r w:rsidRPr="00092862">
              <w:rPr>
                <w:rFonts w:ascii="Times New Roman" w:eastAsia="宋体" w:cs="Times New Roman"/>
                <w:color w:val="000000" w:themeColor="text1"/>
                <w:sz w:val="21"/>
                <w:szCs w:val="21"/>
              </w:rPr>
              <w:t>大巴山水源涵养与土壤保持生态功能区</w:t>
            </w:r>
          </w:p>
        </w:tc>
        <w:tc>
          <w:tcPr>
            <w:tcW w:w="646" w:type="pct"/>
            <w:vAlign w:val="center"/>
          </w:tcPr>
          <w:p w14:paraId="1A07822C" w14:textId="77777777" w:rsidR="00A0487F" w:rsidRPr="00092862" w:rsidRDefault="00A0487F" w:rsidP="00BA60D6">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多洪灾，滑坡崩塌强烈发育，水土流失严重</w:t>
            </w:r>
          </w:p>
        </w:tc>
        <w:tc>
          <w:tcPr>
            <w:tcW w:w="471" w:type="pct"/>
            <w:vAlign w:val="center"/>
          </w:tcPr>
          <w:p w14:paraId="2D198696" w14:textId="77777777" w:rsidR="00A0487F" w:rsidRPr="00092862" w:rsidRDefault="00A0487F" w:rsidP="00BA60D6">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水源涵养功能，土壤保持功能</w:t>
            </w:r>
          </w:p>
        </w:tc>
        <w:tc>
          <w:tcPr>
            <w:tcW w:w="2127" w:type="pct"/>
            <w:vAlign w:val="center"/>
          </w:tcPr>
          <w:p w14:paraId="474CEF99" w14:textId="77777777" w:rsidR="00A0487F" w:rsidRPr="00092862" w:rsidRDefault="00A0487F" w:rsidP="00BA60D6">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14:paraId="0ED05EB0" w14:textId="77777777" w:rsidR="00F96F41" w:rsidRPr="00092862" w:rsidRDefault="00F96F41" w:rsidP="008C00B1">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80" w:name="_Toc120173136"/>
      <w:r w:rsidRPr="00092862">
        <w:rPr>
          <w:rFonts w:ascii="Times New Roman" w:eastAsia="黑体" w:hAnsi="Times New Roman"/>
          <w:b w:val="0"/>
          <w:color w:val="000000" w:themeColor="text1"/>
          <w:sz w:val="24"/>
          <w:szCs w:val="24"/>
          <w:lang w:eastAsia="zh-CN"/>
        </w:rPr>
        <w:t>4.3.2</w:t>
      </w:r>
      <w:r w:rsidRPr="00092862">
        <w:rPr>
          <w:rFonts w:ascii="Times New Roman" w:eastAsia="黑体" w:hAnsi="Times New Roman"/>
          <w:b w:val="0"/>
          <w:color w:val="000000" w:themeColor="text1"/>
          <w:sz w:val="24"/>
          <w:szCs w:val="24"/>
          <w:lang w:eastAsia="zh-CN"/>
        </w:rPr>
        <w:t>生态环境现状调查方法</w:t>
      </w:r>
      <w:bookmarkEnd w:id="180"/>
    </w:p>
    <w:p w14:paraId="6ACD3E35" w14:textId="77777777" w:rsidR="00F96F41" w:rsidRPr="00092862" w:rsidRDefault="00F96F41" w:rsidP="008C00B1">
      <w:pPr>
        <w:adjustRightInd w:val="0"/>
        <w:snapToGrid w:val="0"/>
        <w:spacing w:line="360" w:lineRule="auto"/>
        <w:ind w:firstLineChars="200" w:firstLine="480"/>
        <w:rPr>
          <w:rFonts w:ascii="Times New Roman" w:hAnsi="Times New Roman" w:cs="Times New Roman"/>
          <w:b/>
          <w:bCs/>
          <w:color w:val="000000" w:themeColor="text1"/>
          <w:sz w:val="24"/>
        </w:rPr>
      </w:pPr>
      <w:r w:rsidRPr="00092862">
        <w:rPr>
          <w:rFonts w:ascii="Times New Roman" w:hAnsi="Times New Roman" w:cs="Times New Roman"/>
          <w:b/>
          <w:bCs/>
          <w:color w:val="000000" w:themeColor="text1"/>
          <w:sz w:val="24"/>
        </w:rPr>
        <w:t>1</w:t>
      </w:r>
      <w:r w:rsidRPr="00092862">
        <w:rPr>
          <w:rFonts w:ascii="Times New Roman" w:hAnsi="Times New Roman" w:cs="Times New Roman"/>
          <w:b/>
          <w:bCs/>
          <w:color w:val="000000" w:themeColor="text1"/>
          <w:sz w:val="24"/>
        </w:rPr>
        <w:t>、基础资料收集</w:t>
      </w:r>
    </w:p>
    <w:p w14:paraId="5ED860E7" w14:textId="30E02C50" w:rsidR="00F96F41"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收集整理项目涉及区域现有生物资料，包括市志、统计年鉴以及林业、环保、水利、农业、国土资源等部门提供的相关资料，并且参考《中国植物志》、</w:t>
      </w:r>
      <w:r w:rsidRPr="00092862">
        <w:rPr>
          <w:color w:val="000000" w:themeColor="text1"/>
          <w:sz w:val="24"/>
          <w:szCs w:val="24"/>
        </w:rPr>
        <w:lastRenderedPageBreak/>
        <w:t>《中国高等植物图鉴》、《四川植物志》和《四川资源动物志》系列等专著</w:t>
      </w:r>
      <w:r w:rsidR="00A0487F" w:rsidRPr="00092862">
        <w:rPr>
          <w:color w:val="000000" w:themeColor="text1"/>
          <w:sz w:val="24"/>
          <w:szCs w:val="24"/>
        </w:rPr>
        <w:t>。</w:t>
      </w:r>
    </w:p>
    <w:p w14:paraId="2E0A5C41" w14:textId="77777777" w:rsidR="00F96F41" w:rsidRPr="00092862" w:rsidRDefault="00F96F41" w:rsidP="008C00B1">
      <w:pPr>
        <w:adjustRightInd w:val="0"/>
        <w:snapToGrid w:val="0"/>
        <w:spacing w:line="360" w:lineRule="auto"/>
        <w:ind w:firstLineChars="200" w:firstLine="480"/>
        <w:rPr>
          <w:rFonts w:ascii="Times New Roman" w:hAnsi="Times New Roman" w:cs="Times New Roman"/>
          <w:b/>
          <w:bCs/>
          <w:color w:val="000000" w:themeColor="text1"/>
          <w:sz w:val="24"/>
        </w:rPr>
      </w:pPr>
      <w:r w:rsidRPr="00092862">
        <w:rPr>
          <w:rFonts w:ascii="Times New Roman" w:hAnsi="Times New Roman" w:cs="Times New Roman"/>
          <w:b/>
          <w:bCs/>
          <w:color w:val="000000" w:themeColor="text1"/>
          <w:sz w:val="24"/>
        </w:rPr>
        <w:t>2</w:t>
      </w:r>
      <w:r w:rsidRPr="00092862">
        <w:rPr>
          <w:rFonts w:ascii="Times New Roman" w:hAnsi="Times New Roman" w:cs="Times New Roman"/>
          <w:b/>
          <w:bCs/>
          <w:color w:val="000000" w:themeColor="text1"/>
          <w:sz w:val="24"/>
        </w:rPr>
        <w:t>、生物资源调查方法</w:t>
      </w:r>
    </w:p>
    <w:p w14:paraId="1642B1DD" w14:textId="77777777" w:rsidR="00087418" w:rsidRPr="00092862" w:rsidRDefault="00087418" w:rsidP="008C00B1">
      <w:pPr>
        <w:adjustRightInd w:val="0"/>
        <w:snapToGrid w:val="0"/>
        <w:spacing w:line="360" w:lineRule="auto"/>
        <w:ind w:firstLineChars="200" w:firstLine="482"/>
        <w:outlineLvl w:val="3"/>
        <w:rPr>
          <w:rFonts w:ascii="Times New Roman" w:eastAsia="宋体" w:hAnsi="Times New Roman" w:cs="Times New Roman"/>
          <w:b/>
          <w:bCs/>
          <w:color w:val="000000" w:themeColor="text1"/>
          <w:sz w:val="24"/>
        </w:rPr>
      </w:pPr>
      <w:bookmarkStart w:id="181" w:name="_Toc280781526"/>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）野外生态信息数据的采集与处理</w:t>
      </w:r>
    </w:p>
    <w:p w14:paraId="17AE3504"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rPr>
        <w:t>野外生态信息数据的采集主要借助</w:t>
      </w:r>
      <w:r w:rsidRPr="00092862">
        <w:rPr>
          <w:color w:val="000000" w:themeColor="text1"/>
          <w:sz w:val="24"/>
        </w:rPr>
        <w:t>HOLUX M-241</w:t>
      </w:r>
      <w:r w:rsidRPr="00092862">
        <w:rPr>
          <w:color w:val="000000" w:themeColor="text1"/>
          <w:sz w:val="24"/>
        </w:rPr>
        <w:t>蓝牙</w:t>
      </w:r>
      <w:r w:rsidRPr="00092862">
        <w:rPr>
          <w:color w:val="000000" w:themeColor="text1"/>
          <w:sz w:val="24"/>
        </w:rPr>
        <w:t>GPS</w:t>
      </w:r>
      <w:r w:rsidRPr="00092862">
        <w:rPr>
          <w:color w:val="000000" w:themeColor="text1"/>
          <w:sz w:val="24"/>
        </w:rPr>
        <w:t>记录器获取及尼康单反数码相机。</w:t>
      </w:r>
      <w:r w:rsidRPr="00092862">
        <w:rPr>
          <w:color w:val="000000" w:themeColor="text1"/>
          <w:sz w:val="24"/>
        </w:rPr>
        <w:t>HOLUX M-241</w:t>
      </w:r>
      <w:r w:rsidRPr="00092862">
        <w:rPr>
          <w:color w:val="000000" w:themeColor="text1"/>
          <w:sz w:val="24"/>
        </w:rPr>
        <w:t>蓝牙</w:t>
      </w:r>
      <w:r w:rsidRPr="00092862">
        <w:rPr>
          <w:color w:val="000000" w:themeColor="text1"/>
          <w:sz w:val="24"/>
        </w:rPr>
        <w:t>GPS</w:t>
      </w:r>
      <w:r w:rsidRPr="00092862">
        <w:rPr>
          <w:color w:val="000000" w:themeColor="text1"/>
          <w:sz w:val="24"/>
        </w:rPr>
        <w:t>纪录器可以记录高达</w:t>
      </w:r>
      <w:r w:rsidRPr="00092862">
        <w:rPr>
          <w:color w:val="000000" w:themeColor="text1"/>
          <w:sz w:val="24"/>
        </w:rPr>
        <w:t>13</w:t>
      </w:r>
      <w:r w:rsidRPr="00092862">
        <w:rPr>
          <w:color w:val="000000" w:themeColor="text1"/>
          <w:sz w:val="24"/>
        </w:rPr>
        <w:t>万个位置，每个位置都含有经度、纬度、时间和高度资料；野外生态考察中开机让记</w:t>
      </w:r>
      <w:r w:rsidRPr="00092862">
        <w:rPr>
          <w:color w:val="000000" w:themeColor="text1"/>
          <w:sz w:val="24"/>
          <w:szCs w:val="24"/>
        </w:rPr>
        <w:t>录器始终处于运行状态，每</w:t>
      </w:r>
      <w:r w:rsidRPr="00092862">
        <w:rPr>
          <w:color w:val="000000" w:themeColor="text1"/>
          <w:sz w:val="24"/>
          <w:szCs w:val="24"/>
        </w:rPr>
        <w:t>5</w:t>
      </w:r>
      <w:r w:rsidRPr="00092862">
        <w:rPr>
          <w:color w:val="000000" w:themeColor="text1"/>
          <w:sz w:val="24"/>
          <w:szCs w:val="24"/>
        </w:rPr>
        <w:t>秒自动存储一个</w:t>
      </w:r>
      <w:r w:rsidRPr="00092862">
        <w:rPr>
          <w:color w:val="000000" w:themeColor="text1"/>
          <w:sz w:val="24"/>
          <w:szCs w:val="24"/>
        </w:rPr>
        <w:t>GPS</w:t>
      </w:r>
      <w:r w:rsidRPr="00092862">
        <w:rPr>
          <w:color w:val="000000" w:themeColor="text1"/>
          <w:sz w:val="24"/>
          <w:szCs w:val="24"/>
        </w:rPr>
        <w:t>点位，以保证野外考察中生态信息采集的完整性，同时于不同生态系统及重要生态考察点上采集照片。</w:t>
      </w:r>
    </w:p>
    <w:p w14:paraId="1134AA1B"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将野外采集的</w:t>
      </w:r>
      <w:r w:rsidRPr="00092862">
        <w:rPr>
          <w:color w:val="000000" w:themeColor="text1"/>
          <w:sz w:val="24"/>
          <w:szCs w:val="24"/>
        </w:rPr>
        <w:t>GPS</w:t>
      </w:r>
      <w:r w:rsidRPr="00092862">
        <w:rPr>
          <w:color w:val="000000" w:themeColor="text1"/>
          <w:sz w:val="24"/>
          <w:szCs w:val="24"/>
        </w:rPr>
        <w:t>轨迹及照片导入电脑，运用</w:t>
      </w:r>
      <w:r w:rsidRPr="00092862">
        <w:rPr>
          <w:color w:val="000000" w:themeColor="text1"/>
          <w:sz w:val="24"/>
          <w:szCs w:val="24"/>
        </w:rPr>
        <w:t>GPicSync</w:t>
      </w:r>
      <w:r w:rsidRPr="00092862">
        <w:rPr>
          <w:color w:val="000000" w:themeColor="text1"/>
          <w:sz w:val="24"/>
          <w:szCs w:val="24"/>
        </w:rPr>
        <w:t>软件将航迹文件中各个记录点的时间信息与照片中</w:t>
      </w:r>
      <w:r w:rsidRPr="00092862">
        <w:rPr>
          <w:color w:val="000000" w:themeColor="text1"/>
          <w:sz w:val="24"/>
          <w:szCs w:val="24"/>
        </w:rPr>
        <w:t>exif</w:t>
      </w:r>
      <w:r w:rsidRPr="00092862">
        <w:rPr>
          <w:color w:val="000000" w:themeColor="text1"/>
          <w:sz w:val="24"/>
          <w:szCs w:val="24"/>
        </w:rPr>
        <w:t>信息中的时间信息进行匹配，当某个记录点的时间与某张照片中的时间匹配时（匹配的精度可以任意设置，软件默认</w:t>
      </w:r>
      <w:r w:rsidRPr="00092862">
        <w:rPr>
          <w:color w:val="000000" w:themeColor="text1"/>
          <w:sz w:val="24"/>
          <w:szCs w:val="24"/>
        </w:rPr>
        <w:t>300</w:t>
      </w:r>
      <w:r w:rsidRPr="00092862">
        <w:rPr>
          <w:color w:val="000000" w:themeColor="text1"/>
          <w:sz w:val="24"/>
          <w:szCs w:val="24"/>
        </w:rPr>
        <w:t>秒），即认为航迹文件中这个点的坐标即为照片拍摄地点的坐标，并将这个坐标写入照片的</w:t>
      </w:r>
      <w:r w:rsidRPr="00092862">
        <w:rPr>
          <w:color w:val="000000" w:themeColor="text1"/>
          <w:sz w:val="24"/>
          <w:szCs w:val="24"/>
        </w:rPr>
        <w:t>exif</w:t>
      </w:r>
      <w:r w:rsidRPr="00092862">
        <w:rPr>
          <w:color w:val="000000" w:themeColor="text1"/>
          <w:sz w:val="24"/>
          <w:szCs w:val="24"/>
        </w:rPr>
        <w:t>信息中并形成</w:t>
      </w:r>
      <w:r w:rsidRPr="00092862">
        <w:rPr>
          <w:color w:val="000000" w:themeColor="text1"/>
          <w:sz w:val="24"/>
          <w:szCs w:val="24"/>
        </w:rPr>
        <w:t>kml</w:t>
      </w:r>
      <w:r w:rsidRPr="00092862">
        <w:rPr>
          <w:color w:val="000000" w:themeColor="text1"/>
          <w:sz w:val="24"/>
          <w:szCs w:val="24"/>
        </w:rPr>
        <w:t>格式文件。最后可在</w:t>
      </w:r>
      <w:r w:rsidRPr="00092862">
        <w:rPr>
          <w:color w:val="000000" w:themeColor="text1"/>
          <w:sz w:val="24"/>
          <w:szCs w:val="24"/>
        </w:rPr>
        <w:t>ArcGIS</w:t>
      </w:r>
      <w:r w:rsidRPr="00092862">
        <w:rPr>
          <w:color w:val="000000" w:themeColor="text1"/>
          <w:sz w:val="24"/>
          <w:szCs w:val="24"/>
        </w:rPr>
        <w:t>及</w:t>
      </w:r>
      <w:r w:rsidRPr="00092862">
        <w:rPr>
          <w:color w:val="000000" w:themeColor="text1"/>
          <w:sz w:val="24"/>
          <w:szCs w:val="24"/>
        </w:rPr>
        <w:t>Google earth</w:t>
      </w:r>
      <w:r w:rsidRPr="00092862">
        <w:rPr>
          <w:color w:val="000000" w:themeColor="text1"/>
          <w:sz w:val="24"/>
          <w:szCs w:val="24"/>
        </w:rPr>
        <w:t>中调取相应生态考察点照片并结合卫片判读考察点生态现状，同时也为土地利用、水土流失、植被类型等生态图件的编绘提供依据并校正相应图件。</w:t>
      </w:r>
    </w:p>
    <w:p w14:paraId="2C6E8482" w14:textId="77777777" w:rsidR="00087418" w:rsidRPr="00092862" w:rsidRDefault="00087418" w:rsidP="008C00B1">
      <w:pPr>
        <w:pStyle w:val="41"/>
        <w:adjustRightInd w:val="0"/>
        <w:snapToGrid w:val="0"/>
        <w:spacing w:line="360" w:lineRule="auto"/>
        <w:ind w:firstLineChars="200" w:firstLine="482"/>
        <w:outlineLvl w:val="3"/>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2</w:t>
      </w:r>
      <w:r w:rsidRPr="00092862">
        <w:rPr>
          <w:b/>
          <w:bCs/>
          <w:color w:val="000000" w:themeColor="text1"/>
          <w:sz w:val="24"/>
          <w:szCs w:val="24"/>
        </w:rPr>
        <w:t>）</w:t>
      </w:r>
      <w:r w:rsidRPr="00092862">
        <w:rPr>
          <w:b/>
          <w:bCs/>
          <w:color w:val="000000" w:themeColor="text1"/>
          <w:sz w:val="24"/>
          <w:szCs w:val="24"/>
        </w:rPr>
        <w:t>GPS</w:t>
      </w:r>
      <w:r w:rsidRPr="00092862">
        <w:rPr>
          <w:b/>
          <w:bCs/>
          <w:color w:val="000000" w:themeColor="text1"/>
          <w:sz w:val="24"/>
          <w:szCs w:val="24"/>
        </w:rPr>
        <w:t>地面类型及植被调查取样</w:t>
      </w:r>
    </w:p>
    <w:p w14:paraId="26DE39A2"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GPS</w:t>
      </w:r>
      <w:r w:rsidRPr="00092862">
        <w:rPr>
          <w:color w:val="000000" w:themeColor="text1"/>
          <w:sz w:val="24"/>
          <w:szCs w:val="24"/>
        </w:rPr>
        <w:t>样点是卫星遥感影像判读各种景观类型的基础，根据室内判读的植被与土地利用类型图，现场核实判读的正误率，并对每个</w:t>
      </w:r>
      <w:r w:rsidRPr="00092862">
        <w:rPr>
          <w:color w:val="000000" w:themeColor="text1"/>
          <w:sz w:val="24"/>
          <w:szCs w:val="24"/>
        </w:rPr>
        <w:t>GPS</w:t>
      </w:r>
      <w:r w:rsidRPr="00092862">
        <w:rPr>
          <w:color w:val="000000" w:themeColor="text1"/>
          <w:sz w:val="24"/>
          <w:szCs w:val="24"/>
        </w:rPr>
        <w:t>取样点作如下记录：</w:t>
      </w:r>
    </w:p>
    <w:p w14:paraId="3655BD7D" w14:textId="77777777" w:rsidR="00087418" w:rsidRPr="00092862" w:rsidRDefault="00087418" w:rsidP="008C00B1">
      <w:pPr>
        <w:pStyle w:val="41"/>
        <w:adjustRightInd w:val="0"/>
        <w:snapToGrid w:val="0"/>
        <w:spacing w:line="360" w:lineRule="auto"/>
        <w:ind w:firstLineChars="200" w:firstLine="480"/>
        <w:outlineLvl w:val="4"/>
        <w:rPr>
          <w:color w:val="000000" w:themeColor="text1"/>
          <w:sz w:val="24"/>
          <w:szCs w:val="24"/>
        </w:rPr>
      </w:pPr>
      <w:r w:rsidRPr="00092862">
        <w:rPr>
          <w:color w:val="000000" w:themeColor="text1"/>
          <w:sz w:val="24"/>
          <w:szCs w:val="24"/>
        </w:rPr>
        <w:t>1</w:t>
      </w:r>
      <w:r w:rsidRPr="00092862">
        <w:rPr>
          <w:color w:val="000000" w:themeColor="text1"/>
          <w:sz w:val="24"/>
          <w:szCs w:val="24"/>
        </w:rPr>
        <w:t>）</w:t>
      </w:r>
      <w:r w:rsidRPr="00092862">
        <w:rPr>
          <w:color w:val="000000" w:themeColor="text1"/>
          <w:sz w:val="24"/>
          <w:szCs w:val="24"/>
        </w:rPr>
        <w:t>GPS</w:t>
      </w:r>
      <w:r w:rsidRPr="00092862">
        <w:rPr>
          <w:color w:val="000000" w:themeColor="text1"/>
          <w:sz w:val="24"/>
          <w:szCs w:val="24"/>
        </w:rPr>
        <w:t>读出测点的海拔值和经纬度；</w:t>
      </w:r>
    </w:p>
    <w:p w14:paraId="125342BF"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2</w:t>
      </w:r>
      <w:r w:rsidRPr="00092862">
        <w:rPr>
          <w:color w:val="000000" w:themeColor="text1"/>
          <w:sz w:val="24"/>
          <w:szCs w:val="24"/>
        </w:rPr>
        <w:t>）记录样点植被类型，以群系或群丛为单位，同时记录样点坡向、坡度；</w:t>
      </w:r>
    </w:p>
    <w:p w14:paraId="1F34672A"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3</w:t>
      </w:r>
      <w:r w:rsidRPr="00092862">
        <w:rPr>
          <w:color w:val="000000" w:themeColor="text1"/>
          <w:sz w:val="24"/>
          <w:szCs w:val="24"/>
        </w:rPr>
        <w:t>）记录样点优势植物以及观察动物活动的情况；</w:t>
      </w:r>
    </w:p>
    <w:p w14:paraId="38667E90"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4</w:t>
      </w:r>
      <w:r w:rsidRPr="00092862">
        <w:rPr>
          <w:color w:val="000000" w:themeColor="text1"/>
          <w:sz w:val="24"/>
          <w:szCs w:val="24"/>
        </w:rPr>
        <w:t>）拍摄典型植被外貌与结构特征。</w:t>
      </w:r>
    </w:p>
    <w:p w14:paraId="4F123F04" w14:textId="77777777" w:rsidR="00087418" w:rsidRPr="00092862" w:rsidRDefault="00087418" w:rsidP="008C00B1">
      <w:pPr>
        <w:pStyle w:val="41"/>
        <w:adjustRightInd w:val="0"/>
        <w:snapToGrid w:val="0"/>
        <w:spacing w:line="360" w:lineRule="auto"/>
        <w:ind w:firstLineChars="200" w:firstLine="482"/>
        <w:outlineLvl w:val="3"/>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3</w:t>
      </w:r>
      <w:r w:rsidRPr="00092862">
        <w:rPr>
          <w:b/>
          <w:bCs/>
          <w:color w:val="000000" w:themeColor="text1"/>
          <w:sz w:val="24"/>
          <w:szCs w:val="24"/>
        </w:rPr>
        <w:t>）陆生植被调查</w:t>
      </w:r>
    </w:p>
    <w:p w14:paraId="0A085B17" w14:textId="77777777" w:rsidR="00087418" w:rsidRPr="00092862" w:rsidRDefault="00087418" w:rsidP="008C00B1">
      <w:pPr>
        <w:pStyle w:val="41"/>
        <w:adjustRightInd w:val="0"/>
        <w:snapToGrid w:val="0"/>
        <w:spacing w:line="360" w:lineRule="auto"/>
        <w:ind w:firstLineChars="200" w:firstLine="480"/>
        <w:rPr>
          <w:color w:val="000000" w:themeColor="text1"/>
          <w:sz w:val="24"/>
          <w:szCs w:val="24"/>
        </w:rPr>
      </w:pPr>
      <w:r w:rsidRPr="00092862">
        <w:rPr>
          <w:color w:val="000000" w:themeColor="text1"/>
          <w:sz w:val="24"/>
          <w:szCs w:val="24"/>
        </w:rPr>
        <w:t>在调查过程中，确定评价范围内的植物种类及资源状况、经济植物种类及资源状况、珍稀濒危植物的种类及生存状况等。实地调查采取路线调查与重点调查相结合的方法，对于没有原生植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w:t>
      </w:r>
      <w:r w:rsidRPr="00092862">
        <w:rPr>
          <w:color w:val="000000" w:themeColor="text1"/>
          <w:sz w:val="24"/>
          <w:szCs w:val="24"/>
        </w:rPr>
        <w:lastRenderedPageBreak/>
        <w:t>摄照片。</w:t>
      </w:r>
    </w:p>
    <w:p w14:paraId="7D9B44A3" w14:textId="77777777" w:rsidR="00087418" w:rsidRPr="00092862" w:rsidRDefault="00087418" w:rsidP="00087418">
      <w:pPr>
        <w:pStyle w:val="41"/>
        <w:spacing w:line="480" w:lineRule="exact"/>
        <w:ind w:firstLineChars="200" w:firstLine="480"/>
        <w:rPr>
          <w:color w:val="000000" w:themeColor="text1"/>
          <w:sz w:val="24"/>
          <w:szCs w:val="24"/>
        </w:rPr>
      </w:pPr>
      <w:r w:rsidRPr="00092862">
        <w:rPr>
          <w:color w:val="000000" w:themeColor="text1"/>
          <w:sz w:val="24"/>
          <w:szCs w:val="24"/>
        </w:rPr>
        <w:t>样方布点原则：</w:t>
      </w:r>
    </w:p>
    <w:p w14:paraId="48A525C3" w14:textId="77777777" w:rsidR="00087418" w:rsidRPr="00092862" w:rsidRDefault="00087418" w:rsidP="00087418">
      <w:pPr>
        <w:pStyle w:val="41"/>
        <w:spacing w:line="480" w:lineRule="exact"/>
        <w:ind w:firstLineChars="200" w:firstLine="480"/>
        <w:rPr>
          <w:color w:val="000000" w:themeColor="text1"/>
          <w:sz w:val="24"/>
          <w:szCs w:val="24"/>
        </w:rPr>
      </w:pPr>
      <w:r w:rsidRPr="00092862">
        <w:rPr>
          <w:color w:val="000000" w:themeColor="text1"/>
          <w:sz w:val="24"/>
          <w:szCs w:val="24"/>
        </w:rPr>
        <w:t>植被调查取样的目的是要通过样地的研究准确地推测评价范围植被的总体情况，所选取的样地要具有代表性，能通过尽可能少的抽样获得较为准确的评价范围内植被总体的特征。按照如下原则：</w:t>
      </w:r>
      <w:r w:rsidRPr="00092862">
        <w:rPr>
          <w:color w:val="000000" w:themeColor="text1"/>
          <w:sz w:val="24"/>
          <w:szCs w:val="24"/>
        </w:rPr>
        <w:fldChar w:fldCharType="begin"/>
      </w:r>
      <w:r w:rsidRPr="00092862">
        <w:rPr>
          <w:color w:val="000000" w:themeColor="text1"/>
          <w:sz w:val="24"/>
          <w:szCs w:val="24"/>
        </w:rPr>
        <w:instrText xml:space="preserve"> = 1 \* GB3 </w:instrText>
      </w:r>
      <w:r w:rsidRPr="00092862">
        <w:rPr>
          <w:color w:val="000000" w:themeColor="text1"/>
          <w:sz w:val="24"/>
          <w:szCs w:val="24"/>
        </w:rPr>
        <w:fldChar w:fldCharType="separate"/>
      </w:r>
      <w:r w:rsidRPr="00092862">
        <w:rPr>
          <w:rFonts w:ascii="宋体" w:hAnsi="宋体" w:cs="宋体" w:hint="eastAsia"/>
          <w:color w:val="000000" w:themeColor="text1"/>
          <w:sz w:val="24"/>
          <w:szCs w:val="24"/>
          <w:lang w:val="zh-CN"/>
        </w:rPr>
        <w:t>①</w:t>
      </w:r>
      <w:r w:rsidRPr="00092862">
        <w:rPr>
          <w:color w:val="000000" w:themeColor="text1"/>
          <w:sz w:val="24"/>
          <w:szCs w:val="24"/>
        </w:rPr>
        <w:fldChar w:fldCharType="end"/>
      </w:r>
      <w:r w:rsidRPr="00092862">
        <w:rPr>
          <w:color w:val="000000" w:themeColor="text1"/>
          <w:sz w:val="24"/>
          <w:szCs w:val="24"/>
        </w:rPr>
        <w:t>尽量在对生态影响较大区域内设置样地，并考虑评价范围内布点的均匀性、不同植被类型的全面性等特点；</w:t>
      </w:r>
      <w:r w:rsidRPr="00092862">
        <w:rPr>
          <w:rFonts w:ascii="宋体" w:hAnsi="宋体" w:cs="宋体" w:hint="eastAsia"/>
          <w:color w:val="000000" w:themeColor="text1"/>
          <w:sz w:val="24"/>
          <w:szCs w:val="24"/>
        </w:rPr>
        <w:t>②</w:t>
      </w:r>
      <w:r w:rsidRPr="00092862">
        <w:rPr>
          <w:color w:val="000000" w:themeColor="text1"/>
          <w:sz w:val="24"/>
          <w:szCs w:val="24"/>
        </w:rPr>
        <w:t>样方设置避免对同一种植被类型进行重复设点，特别是对植物变化较大的地段进行增加设点。</w:t>
      </w:r>
    </w:p>
    <w:p w14:paraId="02A6901F" w14:textId="77777777" w:rsidR="00087418" w:rsidRPr="00092862" w:rsidRDefault="00087418" w:rsidP="00087418">
      <w:pPr>
        <w:pStyle w:val="41"/>
        <w:spacing w:line="480" w:lineRule="exact"/>
        <w:ind w:firstLineChars="200" w:firstLine="480"/>
        <w:rPr>
          <w:color w:val="000000" w:themeColor="text1"/>
          <w:sz w:val="24"/>
          <w:szCs w:val="24"/>
        </w:rPr>
      </w:pPr>
      <w:r w:rsidRPr="00092862">
        <w:rPr>
          <w:color w:val="000000" w:themeColor="text1"/>
          <w:sz w:val="24"/>
          <w:szCs w:val="24"/>
        </w:rPr>
        <w:t>样方调查方法：</w:t>
      </w:r>
    </w:p>
    <w:p w14:paraId="4AF3A66A" w14:textId="77777777" w:rsidR="00087418" w:rsidRPr="00092862" w:rsidRDefault="00087418" w:rsidP="00087418">
      <w:pPr>
        <w:pStyle w:val="41"/>
        <w:spacing w:line="480" w:lineRule="exact"/>
        <w:ind w:firstLineChars="200" w:firstLine="480"/>
        <w:rPr>
          <w:color w:val="000000" w:themeColor="text1"/>
          <w:sz w:val="24"/>
          <w:szCs w:val="24"/>
        </w:rPr>
      </w:pPr>
      <w:r w:rsidRPr="00092862">
        <w:rPr>
          <w:color w:val="000000" w:themeColor="text1"/>
          <w:sz w:val="24"/>
          <w:szCs w:val="24"/>
        </w:rPr>
        <w:t>根据评价范围内不同植被类型设置调查样地，并对典型样地进行拍照，对评价范围植被类型、农业生态环境、野生动植物资源进行较为详细的勘察。</w:t>
      </w:r>
    </w:p>
    <w:p w14:paraId="6234FDFB" w14:textId="00441059" w:rsidR="00F96F41" w:rsidRPr="00092862" w:rsidRDefault="00087418" w:rsidP="00087418">
      <w:pPr>
        <w:pStyle w:val="41"/>
        <w:spacing w:line="360" w:lineRule="auto"/>
        <w:ind w:firstLineChars="200" w:firstLine="480"/>
        <w:rPr>
          <w:color w:val="000000" w:themeColor="text1"/>
          <w:sz w:val="24"/>
          <w:szCs w:val="24"/>
          <w:lang w:val="zh-CN"/>
        </w:rPr>
      </w:pPr>
      <w:r w:rsidRPr="00092862">
        <w:rPr>
          <w:color w:val="000000" w:themeColor="text1"/>
          <w:sz w:val="24"/>
          <w:szCs w:val="24"/>
          <w:lang w:val="zh-CN"/>
        </w:rPr>
        <w:t>乔木林样方面积为</w:t>
      </w:r>
      <w:r w:rsidRPr="00092862">
        <w:rPr>
          <w:color w:val="000000" w:themeColor="text1"/>
          <w:sz w:val="24"/>
          <w:szCs w:val="24"/>
        </w:rPr>
        <w:t>20</w:t>
      </w:r>
      <w:r w:rsidRPr="00092862">
        <w:rPr>
          <w:color w:val="000000" w:themeColor="text1"/>
          <w:sz w:val="24"/>
          <w:szCs w:val="24"/>
          <w:lang w:val="zh-CN"/>
        </w:rPr>
        <w:t>×</w:t>
      </w:r>
      <w:r w:rsidRPr="00092862">
        <w:rPr>
          <w:color w:val="000000" w:themeColor="text1"/>
          <w:sz w:val="24"/>
          <w:szCs w:val="24"/>
        </w:rPr>
        <w:t>20</w:t>
      </w:r>
      <w:r w:rsidRPr="00092862">
        <w:rPr>
          <w:color w:val="000000" w:themeColor="text1"/>
          <w:sz w:val="24"/>
          <w:szCs w:val="24"/>
          <w:lang w:val="zh-CN"/>
        </w:rPr>
        <w:t>m</w:t>
      </w:r>
      <w:r w:rsidRPr="00092862">
        <w:rPr>
          <w:color w:val="000000" w:themeColor="text1"/>
          <w:sz w:val="24"/>
          <w:szCs w:val="24"/>
          <w:lang w:val="zh-CN"/>
        </w:rPr>
        <w:t>，灌</w:t>
      </w:r>
      <w:r w:rsidRPr="00092862">
        <w:rPr>
          <w:color w:val="000000" w:themeColor="text1"/>
          <w:sz w:val="24"/>
          <w:szCs w:val="24"/>
        </w:rPr>
        <w:t>草</w:t>
      </w:r>
      <w:r w:rsidRPr="00092862">
        <w:rPr>
          <w:color w:val="000000" w:themeColor="text1"/>
          <w:sz w:val="24"/>
          <w:szCs w:val="24"/>
          <w:lang w:val="zh-CN"/>
        </w:rPr>
        <w:t>丛样方为</w:t>
      </w:r>
      <w:r w:rsidRPr="00092862">
        <w:rPr>
          <w:color w:val="000000" w:themeColor="text1"/>
          <w:sz w:val="24"/>
          <w:szCs w:val="24"/>
        </w:rPr>
        <w:t>5</w:t>
      </w:r>
      <w:r w:rsidRPr="00092862">
        <w:rPr>
          <w:color w:val="000000" w:themeColor="text1"/>
          <w:sz w:val="24"/>
          <w:szCs w:val="24"/>
          <w:lang w:val="zh-CN"/>
        </w:rPr>
        <w:t>×</w:t>
      </w:r>
      <w:r w:rsidRPr="00092862">
        <w:rPr>
          <w:color w:val="000000" w:themeColor="text1"/>
          <w:sz w:val="24"/>
          <w:szCs w:val="24"/>
        </w:rPr>
        <w:t>5</w:t>
      </w:r>
      <w:r w:rsidRPr="00092862">
        <w:rPr>
          <w:color w:val="000000" w:themeColor="text1"/>
          <w:sz w:val="24"/>
          <w:szCs w:val="24"/>
          <w:lang w:val="zh-CN"/>
        </w:rPr>
        <w:t>m</w:t>
      </w:r>
      <w:r w:rsidRPr="00092862">
        <w:rPr>
          <w:color w:val="000000" w:themeColor="text1"/>
          <w:sz w:val="24"/>
          <w:szCs w:val="24"/>
          <w:lang w:val="zh-CN"/>
        </w:rPr>
        <w:t>，</w:t>
      </w:r>
      <w:r w:rsidRPr="00092862">
        <w:rPr>
          <w:color w:val="000000" w:themeColor="text1"/>
          <w:spacing w:val="-4"/>
          <w:sz w:val="24"/>
          <w:szCs w:val="24"/>
        </w:rPr>
        <w:t>草丛</w:t>
      </w:r>
      <w:r w:rsidRPr="00092862">
        <w:rPr>
          <w:color w:val="000000" w:themeColor="text1"/>
          <w:sz w:val="24"/>
          <w:szCs w:val="24"/>
          <w:lang w:val="zh-CN"/>
        </w:rPr>
        <w:t>样方</w:t>
      </w:r>
      <w:r w:rsidRPr="00092862">
        <w:rPr>
          <w:color w:val="000000" w:themeColor="text1"/>
          <w:spacing w:val="-4"/>
          <w:sz w:val="24"/>
          <w:szCs w:val="24"/>
        </w:rPr>
        <w:t>设置为</w:t>
      </w:r>
      <w:r w:rsidRPr="00092862">
        <w:rPr>
          <w:color w:val="000000" w:themeColor="text1"/>
          <w:spacing w:val="-4"/>
          <w:sz w:val="24"/>
          <w:szCs w:val="24"/>
        </w:rPr>
        <w:t>1×1m</w:t>
      </w:r>
      <w:r w:rsidRPr="00092862">
        <w:rPr>
          <w:color w:val="000000" w:themeColor="text1"/>
          <w:spacing w:val="-4"/>
          <w:sz w:val="24"/>
          <w:szCs w:val="24"/>
        </w:rPr>
        <w:t>，</w:t>
      </w:r>
      <w:r w:rsidRPr="00092862">
        <w:rPr>
          <w:color w:val="000000" w:themeColor="text1"/>
          <w:sz w:val="24"/>
          <w:szCs w:val="24"/>
          <w:lang w:val="zh-CN"/>
        </w:rPr>
        <w:t>根据实际情况可以略有改变。乔木林</w:t>
      </w:r>
      <w:r w:rsidRPr="00092862">
        <w:rPr>
          <w:color w:val="000000" w:themeColor="text1"/>
          <w:sz w:val="24"/>
          <w:szCs w:val="24"/>
        </w:rPr>
        <w:t>对乔木层进行全面调查，再设置小样方调查灌木层和草本层；灌草丛和草丛对样地内植物进行全面调查。本次调查根据群系分布特点共设置植被群落样地</w:t>
      </w:r>
      <w:r w:rsidRPr="00092862">
        <w:rPr>
          <w:color w:val="000000" w:themeColor="text1"/>
          <w:sz w:val="24"/>
          <w:szCs w:val="24"/>
        </w:rPr>
        <w:t>8</w:t>
      </w:r>
      <w:r w:rsidRPr="00092862">
        <w:rPr>
          <w:color w:val="000000" w:themeColor="text1"/>
          <w:sz w:val="24"/>
          <w:szCs w:val="24"/>
        </w:rPr>
        <w:t>个，每个样地设置样方</w:t>
      </w:r>
      <w:r w:rsidRPr="00092862">
        <w:rPr>
          <w:color w:val="000000" w:themeColor="text1"/>
          <w:sz w:val="24"/>
          <w:szCs w:val="24"/>
        </w:rPr>
        <w:t>3</w:t>
      </w:r>
      <w:r w:rsidRPr="00092862">
        <w:rPr>
          <w:color w:val="000000" w:themeColor="text1"/>
          <w:sz w:val="24"/>
          <w:szCs w:val="24"/>
        </w:rPr>
        <w:t>个，涵盖乔灌草多种地类，样地布点情况</w:t>
      </w:r>
      <w:r w:rsidRPr="00092862">
        <w:rPr>
          <w:color w:val="000000" w:themeColor="text1"/>
          <w:sz w:val="24"/>
          <w:szCs w:val="24"/>
          <w:lang w:val="zh-CN"/>
        </w:rPr>
        <w:t>详见表</w:t>
      </w:r>
      <w:r w:rsidR="00A0487F" w:rsidRPr="00092862">
        <w:rPr>
          <w:color w:val="000000" w:themeColor="text1"/>
          <w:sz w:val="24"/>
          <w:szCs w:val="24"/>
        </w:rPr>
        <w:t>4.3-2</w:t>
      </w:r>
      <w:r w:rsidR="00A0487F" w:rsidRPr="00092862">
        <w:rPr>
          <w:color w:val="000000" w:themeColor="text1"/>
          <w:sz w:val="24"/>
          <w:szCs w:val="24"/>
        </w:rPr>
        <w:t>。</w:t>
      </w:r>
    </w:p>
    <w:p w14:paraId="26006053"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4.3-2 </w:t>
      </w:r>
      <w:r w:rsidRPr="00092862">
        <w:rPr>
          <w:rFonts w:ascii="Times New Roman" w:eastAsia="黑体" w:hAnsi="Times New Roman"/>
          <w:color w:val="000000" w:themeColor="text1"/>
          <w:sz w:val="21"/>
          <w:szCs w:val="21"/>
          <w:lang w:eastAsia="zh-CN"/>
        </w:rPr>
        <w:t>项目评价范围内植被群系样方调查点分布情况</w:t>
      </w:r>
    </w:p>
    <w:tbl>
      <w:tblPr>
        <w:tblStyle w:val="TableNormal"/>
        <w:tblW w:w="854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50"/>
        <w:gridCol w:w="537"/>
        <w:gridCol w:w="1025"/>
        <w:gridCol w:w="1825"/>
        <w:gridCol w:w="1715"/>
        <w:gridCol w:w="880"/>
        <w:gridCol w:w="1814"/>
      </w:tblGrid>
      <w:tr w:rsidR="00697429" w:rsidRPr="00092862" w14:paraId="6A6027A7" w14:textId="77777777" w:rsidTr="00A75B69">
        <w:trPr>
          <w:trHeight w:val="733"/>
          <w:jc w:val="center"/>
        </w:trPr>
        <w:tc>
          <w:tcPr>
            <w:tcW w:w="750" w:type="dxa"/>
            <w:tcBorders>
              <w:top w:val="single" w:sz="2" w:space="0" w:color="000000"/>
              <w:bottom w:val="single" w:sz="2" w:space="0" w:color="000000"/>
            </w:tcBorders>
            <w:textDirection w:val="tbRlV"/>
            <w:vAlign w:val="center"/>
          </w:tcPr>
          <w:p w14:paraId="3F08752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序号</w:t>
            </w:r>
          </w:p>
        </w:tc>
        <w:tc>
          <w:tcPr>
            <w:tcW w:w="537" w:type="dxa"/>
            <w:tcBorders>
              <w:top w:val="single" w:sz="2" w:space="0" w:color="000000"/>
              <w:bottom w:val="single" w:sz="2" w:space="0" w:color="000000"/>
            </w:tcBorders>
            <w:vAlign w:val="center"/>
          </w:tcPr>
          <w:p w14:paraId="428382BB"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样方数</w:t>
            </w:r>
          </w:p>
        </w:tc>
        <w:tc>
          <w:tcPr>
            <w:tcW w:w="1025" w:type="dxa"/>
            <w:tcBorders>
              <w:top w:val="single" w:sz="2" w:space="0" w:color="000000"/>
              <w:bottom w:val="single" w:sz="2" w:space="0" w:color="000000"/>
            </w:tcBorders>
            <w:vAlign w:val="center"/>
          </w:tcPr>
          <w:p w14:paraId="4A3B1BCC"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样方面积</w:t>
            </w:r>
          </w:p>
        </w:tc>
        <w:tc>
          <w:tcPr>
            <w:tcW w:w="1825" w:type="dxa"/>
            <w:tcBorders>
              <w:top w:val="single" w:sz="2" w:space="0" w:color="000000"/>
              <w:bottom w:val="single" w:sz="2" w:space="0" w:color="000000"/>
            </w:tcBorders>
            <w:vAlign w:val="center"/>
          </w:tcPr>
          <w:p w14:paraId="58A62F1C"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经纬度</w:t>
            </w:r>
          </w:p>
        </w:tc>
        <w:tc>
          <w:tcPr>
            <w:tcW w:w="1715" w:type="dxa"/>
            <w:tcBorders>
              <w:top w:val="single" w:sz="2" w:space="0" w:color="000000"/>
              <w:bottom w:val="single" w:sz="2" w:space="0" w:color="000000"/>
            </w:tcBorders>
            <w:vAlign w:val="center"/>
          </w:tcPr>
          <w:p w14:paraId="7A6A2261"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群系名称</w:t>
            </w:r>
          </w:p>
        </w:tc>
        <w:tc>
          <w:tcPr>
            <w:tcW w:w="880" w:type="dxa"/>
            <w:tcBorders>
              <w:top w:val="single" w:sz="2" w:space="0" w:color="000000"/>
              <w:bottom w:val="single" w:sz="2" w:space="0" w:color="000000"/>
            </w:tcBorders>
            <w:vAlign w:val="center"/>
          </w:tcPr>
          <w:p w14:paraId="54B5E1F1"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关键种、建群种</w:t>
            </w:r>
          </w:p>
        </w:tc>
        <w:tc>
          <w:tcPr>
            <w:tcW w:w="1814" w:type="dxa"/>
            <w:tcBorders>
              <w:top w:val="single" w:sz="2" w:space="0" w:color="000000"/>
              <w:bottom w:val="single" w:sz="2" w:space="0" w:color="000000"/>
            </w:tcBorders>
            <w:vAlign w:val="center"/>
          </w:tcPr>
          <w:p w14:paraId="60A9BA62"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优势种</w:t>
            </w:r>
          </w:p>
        </w:tc>
      </w:tr>
      <w:tr w:rsidR="00697429" w:rsidRPr="00092862" w14:paraId="6683ABF8" w14:textId="77777777" w:rsidTr="00A75B69">
        <w:trPr>
          <w:trHeight w:val="504"/>
          <w:jc w:val="center"/>
        </w:trPr>
        <w:tc>
          <w:tcPr>
            <w:tcW w:w="750" w:type="dxa"/>
            <w:tcBorders>
              <w:top w:val="single" w:sz="2" w:space="0" w:color="000000"/>
              <w:bottom w:val="single" w:sz="2" w:space="0" w:color="000000"/>
            </w:tcBorders>
            <w:vAlign w:val="center"/>
          </w:tcPr>
          <w:p w14:paraId="05DE1AA5"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1</w:t>
            </w:r>
          </w:p>
        </w:tc>
        <w:tc>
          <w:tcPr>
            <w:tcW w:w="537" w:type="dxa"/>
            <w:tcBorders>
              <w:top w:val="single" w:sz="2" w:space="0" w:color="000000"/>
              <w:bottom w:val="single" w:sz="2" w:space="0" w:color="000000"/>
            </w:tcBorders>
            <w:vAlign w:val="center"/>
          </w:tcPr>
          <w:p w14:paraId="34B0F1C7"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03381DDD"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20m×20m</w:t>
            </w:r>
          </w:p>
        </w:tc>
        <w:tc>
          <w:tcPr>
            <w:tcW w:w="1825" w:type="dxa"/>
            <w:tcBorders>
              <w:top w:val="single" w:sz="2" w:space="0" w:color="000000"/>
              <w:bottom w:val="single" w:sz="2" w:space="0" w:color="000000"/>
            </w:tcBorders>
            <w:vAlign w:val="center"/>
          </w:tcPr>
          <w:p w14:paraId="1ADE4E1A"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107.8172,31.4513</w:t>
            </w:r>
          </w:p>
        </w:tc>
        <w:tc>
          <w:tcPr>
            <w:tcW w:w="1715" w:type="dxa"/>
            <w:tcBorders>
              <w:top w:val="single" w:sz="2" w:space="0" w:color="000000"/>
              <w:bottom w:val="single" w:sz="2" w:space="0" w:color="000000"/>
            </w:tcBorders>
            <w:vAlign w:val="center"/>
          </w:tcPr>
          <w:p w14:paraId="5D66F25E"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马尾松群系</w:t>
            </w:r>
          </w:p>
        </w:tc>
        <w:tc>
          <w:tcPr>
            <w:tcW w:w="880" w:type="dxa"/>
            <w:tcBorders>
              <w:top w:val="single" w:sz="2" w:space="0" w:color="000000"/>
              <w:bottom w:val="single" w:sz="2" w:space="0" w:color="000000"/>
            </w:tcBorders>
            <w:vAlign w:val="center"/>
          </w:tcPr>
          <w:p w14:paraId="516CF676"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马尾松</w:t>
            </w:r>
          </w:p>
        </w:tc>
        <w:tc>
          <w:tcPr>
            <w:tcW w:w="1814" w:type="dxa"/>
            <w:tcBorders>
              <w:top w:val="single" w:sz="2" w:space="0" w:color="000000"/>
              <w:bottom w:val="single" w:sz="2" w:space="0" w:color="000000"/>
            </w:tcBorders>
            <w:vAlign w:val="center"/>
          </w:tcPr>
          <w:p w14:paraId="5C37DF70"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马尾松</w:t>
            </w:r>
          </w:p>
        </w:tc>
      </w:tr>
      <w:tr w:rsidR="00697429" w:rsidRPr="00092862" w14:paraId="0EA3F8F1" w14:textId="77777777" w:rsidTr="00A75B69">
        <w:trPr>
          <w:trHeight w:val="504"/>
          <w:jc w:val="center"/>
        </w:trPr>
        <w:tc>
          <w:tcPr>
            <w:tcW w:w="750" w:type="dxa"/>
            <w:tcBorders>
              <w:top w:val="single" w:sz="2" w:space="0" w:color="000000"/>
              <w:bottom w:val="single" w:sz="2" w:space="0" w:color="000000"/>
            </w:tcBorders>
            <w:vAlign w:val="center"/>
          </w:tcPr>
          <w:p w14:paraId="64693297"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2</w:t>
            </w:r>
          </w:p>
        </w:tc>
        <w:tc>
          <w:tcPr>
            <w:tcW w:w="537" w:type="dxa"/>
            <w:tcBorders>
              <w:top w:val="single" w:sz="2" w:space="0" w:color="000000"/>
              <w:bottom w:val="single" w:sz="2" w:space="0" w:color="000000"/>
            </w:tcBorders>
            <w:vAlign w:val="center"/>
          </w:tcPr>
          <w:p w14:paraId="32C6C178"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0DF8E0AE"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20m×20m</w:t>
            </w:r>
          </w:p>
        </w:tc>
        <w:tc>
          <w:tcPr>
            <w:tcW w:w="1825" w:type="dxa"/>
            <w:tcBorders>
              <w:top w:val="single" w:sz="2" w:space="0" w:color="000000"/>
              <w:bottom w:val="single" w:sz="2" w:space="0" w:color="000000"/>
            </w:tcBorders>
            <w:vAlign w:val="center"/>
          </w:tcPr>
          <w:p w14:paraId="1FD01CA6"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107.8219,31.4573</w:t>
            </w:r>
          </w:p>
        </w:tc>
        <w:tc>
          <w:tcPr>
            <w:tcW w:w="1715" w:type="dxa"/>
            <w:tcBorders>
              <w:top w:val="single" w:sz="2" w:space="0" w:color="000000"/>
              <w:bottom w:val="single" w:sz="2" w:space="0" w:color="000000"/>
            </w:tcBorders>
            <w:vAlign w:val="center"/>
          </w:tcPr>
          <w:p w14:paraId="0DE7D0F1"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杉木群系</w:t>
            </w:r>
          </w:p>
        </w:tc>
        <w:tc>
          <w:tcPr>
            <w:tcW w:w="880" w:type="dxa"/>
            <w:tcBorders>
              <w:top w:val="single" w:sz="2" w:space="0" w:color="000000"/>
              <w:bottom w:val="single" w:sz="2" w:space="0" w:color="000000"/>
            </w:tcBorders>
            <w:vAlign w:val="center"/>
          </w:tcPr>
          <w:p w14:paraId="11476FB7"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杉木</w:t>
            </w:r>
          </w:p>
        </w:tc>
        <w:tc>
          <w:tcPr>
            <w:tcW w:w="1814" w:type="dxa"/>
            <w:tcBorders>
              <w:top w:val="single" w:sz="2" w:space="0" w:color="000000"/>
              <w:bottom w:val="single" w:sz="2" w:space="0" w:color="000000"/>
            </w:tcBorders>
            <w:vAlign w:val="center"/>
          </w:tcPr>
          <w:p w14:paraId="7C9581DD"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杉木、马尾松</w:t>
            </w:r>
          </w:p>
        </w:tc>
      </w:tr>
      <w:tr w:rsidR="00697429" w:rsidRPr="00092862" w14:paraId="1F8B8DD6" w14:textId="77777777" w:rsidTr="00A75B69">
        <w:trPr>
          <w:trHeight w:val="478"/>
          <w:jc w:val="center"/>
        </w:trPr>
        <w:tc>
          <w:tcPr>
            <w:tcW w:w="750" w:type="dxa"/>
            <w:tcBorders>
              <w:top w:val="single" w:sz="2" w:space="0" w:color="000000"/>
              <w:bottom w:val="single" w:sz="2" w:space="0" w:color="000000"/>
            </w:tcBorders>
            <w:vAlign w:val="center"/>
          </w:tcPr>
          <w:p w14:paraId="4392008E"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3</w:t>
            </w:r>
          </w:p>
        </w:tc>
        <w:tc>
          <w:tcPr>
            <w:tcW w:w="537" w:type="dxa"/>
            <w:tcBorders>
              <w:top w:val="single" w:sz="2" w:space="0" w:color="000000"/>
              <w:bottom w:val="single" w:sz="2" w:space="0" w:color="000000"/>
            </w:tcBorders>
            <w:vAlign w:val="center"/>
          </w:tcPr>
          <w:p w14:paraId="532C1A9B"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5E05900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20m×20m</w:t>
            </w:r>
          </w:p>
        </w:tc>
        <w:tc>
          <w:tcPr>
            <w:tcW w:w="1825" w:type="dxa"/>
            <w:tcBorders>
              <w:top w:val="single" w:sz="2" w:space="0" w:color="000000"/>
              <w:bottom w:val="single" w:sz="2" w:space="0" w:color="000000"/>
            </w:tcBorders>
            <w:vAlign w:val="center"/>
          </w:tcPr>
          <w:p w14:paraId="1673A06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107.8204,31.4680</w:t>
            </w:r>
          </w:p>
        </w:tc>
        <w:tc>
          <w:tcPr>
            <w:tcW w:w="1715" w:type="dxa"/>
            <w:tcBorders>
              <w:top w:val="single" w:sz="2" w:space="0" w:color="000000"/>
              <w:bottom w:val="single" w:sz="2" w:space="0" w:color="000000"/>
            </w:tcBorders>
            <w:vAlign w:val="center"/>
          </w:tcPr>
          <w:p w14:paraId="6CDD8846"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柏木、慈竹群系</w:t>
            </w:r>
          </w:p>
        </w:tc>
        <w:tc>
          <w:tcPr>
            <w:tcW w:w="880" w:type="dxa"/>
            <w:tcBorders>
              <w:top w:val="single" w:sz="2" w:space="0" w:color="000000"/>
              <w:bottom w:val="single" w:sz="2" w:space="0" w:color="000000"/>
            </w:tcBorders>
            <w:vAlign w:val="center"/>
          </w:tcPr>
          <w:p w14:paraId="09C1E51C"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柏木</w:t>
            </w:r>
          </w:p>
        </w:tc>
        <w:tc>
          <w:tcPr>
            <w:tcW w:w="1814" w:type="dxa"/>
            <w:tcBorders>
              <w:top w:val="single" w:sz="2" w:space="0" w:color="000000"/>
              <w:bottom w:val="single" w:sz="2" w:space="0" w:color="000000"/>
            </w:tcBorders>
            <w:vAlign w:val="center"/>
          </w:tcPr>
          <w:p w14:paraId="6E7F2A6D"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柏木、慈竹</w:t>
            </w:r>
          </w:p>
        </w:tc>
      </w:tr>
      <w:tr w:rsidR="00697429" w:rsidRPr="00092862" w14:paraId="140B2B17" w14:textId="77777777" w:rsidTr="00A75B69">
        <w:trPr>
          <w:trHeight w:val="590"/>
          <w:jc w:val="center"/>
        </w:trPr>
        <w:tc>
          <w:tcPr>
            <w:tcW w:w="750" w:type="dxa"/>
            <w:tcBorders>
              <w:top w:val="single" w:sz="2" w:space="0" w:color="000000"/>
              <w:bottom w:val="single" w:sz="2" w:space="0" w:color="000000"/>
            </w:tcBorders>
            <w:vAlign w:val="center"/>
          </w:tcPr>
          <w:p w14:paraId="47CD167F"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4</w:t>
            </w:r>
          </w:p>
        </w:tc>
        <w:tc>
          <w:tcPr>
            <w:tcW w:w="537" w:type="dxa"/>
            <w:tcBorders>
              <w:top w:val="single" w:sz="2" w:space="0" w:color="000000"/>
              <w:bottom w:val="single" w:sz="2" w:space="0" w:color="000000"/>
            </w:tcBorders>
            <w:vAlign w:val="center"/>
          </w:tcPr>
          <w:p w14:paraId="21E4D21E"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625D836A"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20m×20m</w:t>
            </w:r>
          </w:p>
        </w:tc>
        <w:tc>
          <w:tcPr>
            <w:tcW w:w="1825" w:type="dxa"/>
            <w:tcBorders>
              <w:top w:val="single" w:sz="2" w:space="0" w:color="000000"/>
              <w:bottom w:val="single" w:sz="2" w:space="0" w:color="000000"/>
            </w:tcBorders>
            <w:vAlign w:val="center"/>
          </w:tcPr>
          <w:p w14:paraId="38877464"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107.8252,31.4379</w:t>
            </w:r>
          </w:p>
        </w:tc>
        <w:tc>
          <w:tcPr>
            <w:tcW w:w="1715" w:type="dxa"/>
            <w:tcBorders>
              <w:top w:val="single" w:sz="2" w:space="0" w:color="000000"/>
              <w:bottom w:val="single" w:sz="2" w:space="0" w:color="000000"/>
            </w:tcBorders>
            <w:vAlign w:val="center"/>
          </w:tcPr>
          <w:p w14:paraId="3F88F5F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麻栎、青冈、栓皮栎群系</w:t>
            </w:r>
          </w:p>
        </w:tc>
        <w:tc>
          <w:tcPr>
            <w:tcW w:w="880" w:type="dxa"/>
            <w:tcBorders>
              <w:top w:val="single" w:sz="2" w:space="0" w:color="000000"/>
              <w:bottom w:val="single" w:sz="2" w:space="0" w:color="000000"/>
            </w:tcBorders>
            <w:vAlign w:val="center"/>
          </w:tcPr>
          <w:p w14:paraId="04511C8A"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麻栎</w:t>
            </w:r>
          </w:p>
        </w:tc>
        <w:tc>
          <w:tcPr>
            <w:tcW w:w="1814" w:type="dxa"/>
            <w:tcBorders>
              <w:top w:val="single" w:sz="2" w:space="0" w:color="000000"/>
              <w:bottom w:val="single" w:sz="2" w:space="0" w:color="000000"/>
            </w:tcBorders>
            <w:vAlign w:val="center"/>
          </w:tcPr>
          <w:p w14:paraId="36C08DC2"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麻栎、青冈、栓皮栎、栓皮栎</w:t>
            </w:r>
          </w:p>
        </w:tc>
      </w:tr>
      <w:tr w:rsidR="00697429" w:rsidRPr="00092862" w14:paraId="0CA3B2CD" w14:textId="77777777" w:rsidTr="00A75B69">
        <w:trPr>
          <w:trHeight w:val="590"/>
          <w:jc w:val="center"/>
        </w:trPr>
        <w:tc>
          <w:tcPr>
            <w:tcW w:w="750" w:type="dxa"/>
            <w:tcBorders>
              <w:top w:val="single" w:sz="2" w:space="0" w:color="000000"/>
              <w:bottom w:val="single" w:sz="2" w:space="0" w:color="000000"/>
            </w:tcBorders>
            <w:vAlign w:val="center"/>
          </w:tcPr>
          <w:p w14:paraId="0B80BC25"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5</w:t>
            </w:r>
          </w:p>
        </w:tc>
        <w:tc>
          <w:tcPr>
            <w:tcW w:w="537" w:type="dxa"/>
            <w:tcBorders>
              <w:top w:val="single" w:sz="2" w:space="0" w:color="000000"/>
              <w:bottom w:val="single" w:sz="2" w:space="0" w:color="000000"/>
            </w:tcBorders>
            <w:vAlign w:val="center"/>
          </w:tcPr>
          <w:p w14:paraId="64BE800D"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7B435DCB"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5m×5m</w:t>
            </w:r>
          </w:p>
        </w:tc>
        <w:tc>
          <w:tcPr>
            <w:tcW w:w="1825" w:type="dxa"/>
            <w:tcBorders>
              <w:top w:val="single" w:sz="2" w:space="0" w:color="000000"/>
              <w:bottom w:val="single" w:sz="2" w:space="0" w:color="000000"/>
            </w:tcBorders>
            <w:vAlign w:val="center"/>
          </w:tcPr>
          <w:p w14:paraId="6272243D"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107.8189,31.4515</w:t>
            </w:r>
          </w:p>
        </w:tc>
        <w:tc>
          <w:tcPr>
            <w:tcW w:w="1715" w:type="dxa"/>
            <w:tcBorders>
              <w:top w:val="single" w:sz="2" w:space="0" w:color="000000"/>
              <w:bottom w:val="single" w:sz="2" w:space="0" w:color="000000"/>
            </w:tcBorders>
            <w:vAlign w:val="center"/>
          </w:tcPr>
          <w:p w14:paraId="4FE51CCA"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lang w:eastAsia="zh-CN"/>
              </w:rPr>
              <w:t>野桐、盐肤木灌丛灌丛</w:t>
            </w:r>
          </w:p>
        </w:tc>
        <w:tc>
          <w:tcPr>
            <w:tcW w:w="880" w:type="dxa"/>
            <w:tcBorders>
              <w:top w:val="single" w:sz="2" w:space="0" w:color="000000"/>
              <w:bottom w:val="single" w:sz="2" w:space="0" w:color="000000"/>
            </w:tcBorders>
            <w:vAlign w:val="center"/>
          </w:tcPr>
          <w:p w14:paraId="238E490D"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rPr>
              <w:t>野桐</w:t>
            </w:r>
          </w:p>
        </w:tc>
        <w:tc>
          <w:tcPr>
            <w:tcW w:w="1814" w:type="dxa"/>
            <w:tcBorders>
              <w:top w:val="single" w:sz="2" w:space="0" w:color="000000"/>
              <w:bottom w:val="single" w:sz="2" w:space="0" w:color="000000"/>
            </w:tcBorders>
            <w:vAlign w:val="center"/>
          </w:tcPr>
          <w:p w14:paraId="24953F22"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rPr>
              <w:t>野桐</w:t>
            </w:r>
            <w:r w:rsidRPr="00092862">
              <w:rPr>
                <w:rFonts w:ascii="Times New Roman" w:eastAsia="宋体" w:hAnsi="Times New Roman" w:cs="Times New Roman"/>
                <w:color w:val="000000" w:themeColor="text1"/>
                <w:spacing w:val="15"/>
                <w:szCs w:val="21"/>
                <w:lang w:eastAsia="zh-CN"/>
              </w:rPr>
              <w:t>、</w:t>
            </w:r>
            <w:r w:rsidRPr="00092862">
              <w:rPr>
                <w:rFonts w:ascii="Times New Roman" w:eastAsia="宋体" w:hAnsi="Times New Roman" w:cs="Times New Roman"/>
                <w:color w:val="000000" w:themeColor="text1"/>
                <w:spacing w:val="15"/>
                <w:szCs w:val="21"/>
              </w:rPr>
              <w:t>盐肤木</w:t>
            </w:r>
          </w:p>
        </w:tc>
      </w:tr>
      <w:tr w:rsidR="00697429" w:rsidRPr="00092862" w14:paraId="00BEDF1B" w14:textId="77777777" w:rsidTr="00A75B69">
        <w:trPr>
          <w:trHeight w:val="570"/>
          <w:jc w:val="center"/>
        </w:trPr>
        <w:tc>
          <w:tcPr>
            <w:tcW w:w="750" w:type="dxa"/>
            <w:tcBorders>
              <w:top w:val="single" w:sz="2" w:space="0" w:color="000000"/>
              <w:bottom w:val="single" w:sz="2" w:space="0" w:color="000000"/>
            </w:tcBorders>
            <w:vAlign w:val="center"/>
          </w:tcPr>
          <w:p w14:paraId="7F0F25D4"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6</w:t>
            </w:r>
          </w:p>
        </w:tc>
        <w:tc>
          <w:tcPr>
            <w:tcW w:w="537" w:type="dxa"/>
            <w:tcBorders>
              <w:top w:val="single" w:sz="2" w:space="0" w:color="000000"/>
              <w:bottom w:val="single" w:sz="2" w:space="0" w:color="000000"/>
            </w:tcBorders>
            <w:vAlign w:val="center"/>
          </w:tcPr>
          <w:p w14:paraId="032B418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2D7DE0A4"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5</w:t>
            </w:r>
            <w:r w:rsidRPr="00092862">
              <w:rPr>
                <w:rFonts w:ascii="Times New Roman" w:eastAsia="宋体" w:hAnsi="Times New Roman" w:cs="Times New Roman"/>
                <w:bCs/>
                <w:color w:val="000000" w:themeColor="text1"/>
                <w:kern w:val="0"/>
                <w:szCs w:val="21"/>
                <w:lang w:val="zh-CN" w:eastAsia="zh-CN"/>
              </w:rPr>
              <w:t>m×</w:t>
            </w:r>
            <w:r w:rsidRPr="00092862">
              <w:rPr>
                <w:rFonts w:ascii="Times New Roman" w:eastAsia="宋体" w:hAnsi="Times New Roman" w:cs="Times New Roman"/>
                <w:bCs/>
                <w:color w:val="000000" w:themeColor="text1"/>
                <w:kern w:val="0"/>
                <w:szCs w:val="21"/>
                <w:lang w:eastAsia="zh-CN"/>
              </w:rPr>
              <w:t>5</w:t>
            </w:r>
            <w:r w:rsidRPr="00092862">
              <w:rPr>
                <w:rFonts w:ascii="Times New Roman" w:eastAsia="宋体" w:hAnsi="Times New Roman" w:cs="Times New Roman"/>
                <w:bCs/>
                <w:color w:val="000000" w:themeColor="text1"/>
                <w:kern w:val="0"/>
                <w:szCs w:val="21"/>
                <w:lang w:val="zh-CN" w:eastAsia="zh-CN"/>
              </w:rPr>
              <w:t>m</w:t>
            </w:r>
          </w:p>
        </w:tc>
        <w:tc>
          <w:tcPr>
            <w:tcW w:w="1825" w:type="dxa"/>
            <w:tcBorders>
              <w:top w:val="single" w:sz="2" w:space="0" w:color="000000"/>
              <w:bottom w:val="single" w:sz="2" w:space="0" w:color="000000"/>
            </w:tcBorders>
            <w:vAlign w:val="center"/>
          </w:tcPr>
          <w:p w14:paraId="511FAC13"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107.8170,31.4542</w:t>
            </w:r>
          </w:p>
        </w:tc>
        <w:tc>
          <w:tcPr>
            <w:tcW w:w="1715" w:type="dxa"/>
            <w:tcBorders>
              <w:top w:val="single" w:sz="2" w:space="0" w:color="000000"/>
              <w:bottom w:val="single" w:sz="2" w:space="0" w:color="000000"/>
            </w:tcBorders>
            <w:vAlign w:val="center"/>
          </w:tcPr>
          <w:p w14:paraId="4719441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马桑、黄荆、火棘、荚蒾灌丛群系</w:t>
            </w:r>
          </w:p>
        </w:tc>
        <w:tc>
          <w:tcPr>
            <w:tcW w:w="880" w:type="dxa"/>
            <w:tcBorders>
              <w:top w:val="single" w:sz="2" w:space="0" w:color="000000"/>
              <w:bottom w:val="single" w:sz="2" w:space="0" w:color="000000"/>
            </w:tcBorders>
            <w:vAlign w:val="center"/>
          </w:tcPr>
          <w:p w14:paraId="2F563BD7"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马桑</w:t>
            </w:r>
          </w:p>
        </w:tc>
        <w:tc>
          <w:tcPr>
            <w:tcW w:w="1814" w:type="dxa"/>
            <w:tcBorders>
              <w:top w:val="single" w:sz="2" w:space="0" w:color="000000"/>
              <w:bottom w:val="single" w:sz="2" w:space="0" w:color="000000"/>
            </w:tcBorders>
            <w:vAlign w:val="center"/>
          </w:tcPr>
          <w:p w14:paraId="1A4268E5"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color w:val="000000" w:themeColor="text1"/>
                <w:spacing w:val="15"/>
                <w:szCs w:val="21"/>
                <w:lang w:eastAsia="zh-CN"/>
              </w:rPr>
              <w:t>马桑、黄荆、火棘、荚蒾</w:t>
            </w:r>
          </w:p>
        </w:tc>
      </w:tr>
      <w:tr w:rsidR="00697429" w:rsidRPr="00092862" w14:paraId="6D8F92EB" w14:textId="77777777" w:rsidTr="00A75B69">
        <w:trPr>
          <w:trHeight w:val="653"/>
          <w:jc w:val="center"/>
        </w:trPr>
        <w:tc>
          <w:tcPr>
            <w:tcW w:w="750" w:type="dxa"/>
            <w:tcBorders>
              <w:top w:val="single" w:sz="2" w:space="0" w:color="000000"/>
              <w:bottom w:val="single" w:sz="2" w:space="0" w:color="000000"/>
            </w:tcBorders>
            <w:vAlign w:val="center"/>
          </w:tcPr>
          <w:p w14:paraId="3581ADFB"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7</w:t>
            </w:r>
          </w:p>
        </w:tc>
        <w:tc>
          <w:tcPr>
            <w:tcW w:w="537" w:type="dxa"/>
            <w:tcBorders>
              <w:top w:val="single" w:sz="2" w:space="0" w:color="000000"/>
              <w:bottom w:val="single" w:sz="2" w:space="0" w:color="000000"/>
            </w:tcBorders>
            <w:vAlign w:val="center"/>
          </w:tcPr>
          <w:p w14:paraId="4AFC3F3D"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4A12F04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1</w:t>
            </w:r>
            <w:r w:rsidRPr="00092862">
              <w:rPr>
                <w:rFonts w:ascii="Times New Roman" w:eastAsia="宋体" w:hAnsi="Times New Roman" w:cs="Times New Roman"/>
                <w:bCs/>
                <w:color w:val="000000" w:themeColor="text1"/>
                <w:kern w:val="0"/>
                <w:szCs w:val="21"/>
                <w:lang w:val="zh-CN" w:eastAsia="zh-CN"/>
              </w:rPr>
              <w:t>m</w:t>
            </w:r>
            <w:r w:rsidRPr="00092862">
              <w:rPr>
                <w:rFonts w:ascii="Times New Roman" w:eastAsia="宋体" w:hAnsi="Times New Roman" w:cs="Times New Roman"/>
                <w:bCs/>
                <w:color w:val="000000" w:themeColor="text1"/>
                <w:kern w:val="0"/>
                <w:szCs w:val="21"/>
                <w:lang w:eastAsia="zh-CN"/>
              </w:rPr>
              <w:t>×1m</w:t>
            </w:r>
          </w:p>
        </w:tc>
        <w:tc>
          <w:tcPr>
            <w:tcW w:w="1825" w:type="dxa"/>
            <w:tcBorders>
              <w:top w:val="single" w:sz="2" w:space="0" w:color="000000"/>
              <w:bottom w:val="single" w:sz="2" w:space="0" w:color="000000"/>
            </w:tcBorders>
            <w:vAlign w:val="center"/>
          </w:tcPr>
          <w:p w14:paraId="5398F44A"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107.8233,31.4600</w:t>
            </w:r>
          </w:p>
        </w:tc>
        <w:tc>
          <w:tcPr>
            <w:tcW w:w="1715" w:type="dxa"/>
            <w:tcBorders>
              <w:top w:val="single" w:sz="2" w:space="0" w:color="000000"/>
              <w:bottom w:val="single" w:sz="2" w:space="0" w:color="000000"/>
            </w:tcBorders>
            <w:vAlign w:val="center"/>
          </w:tcPr>
          <w:p w14:paraId="2DE09792"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芒、</w:t>
            </w:r>
            <w:r w:rsidRPr="00092862">
              <w:rPr>
                <w:rFonts w:ascii="Times New Roman" w:eastAsia="宋体" w:hAnsi="Times New Roman" w:cs="Times New Roman"/>
                <w:color w:val="000000" w:themeColor="text1"/>
                <w:spacing w:val="-4"/>
                <w:szCs w:val="21"/>
                <w:lang w:eastAsia="zh-CN"/>
              </w:rPr>
              <w:t>白茅草丛</w:t>
            </w:r>
            <w:r w:rsidRPr="00092862">
              <w:rPr>
                <w:rFonts w:ascii="Times New Roman" w:eastAsia="宋体" w:hAnsi="Times New Roman" w:cs="Times New Roman"/>
                <w:bCs/>
                <w:color w:val="000000" w:themeColor="text1"/>
                <w:kern w:val="0"/>
                <w:szCs w:val="21"/>
                <w:lang w:eastAsia="zh-CN"/>
              </w:rPr>
              <w:t>群系</w:t>
            </w:r>
          </w:p>
        </w:tc>
        <w:tc>
          <w:tcPr>
            <w:tcW w:w="880" w:type="dxa"/>
            <w:tcBorders>
              <w:top w:val="single" w:sz="2" w:space="0" w:color="000000"/>
              <w:bottom w:val="single" w:sz="2" w:space="0" w:color="000000"/>
            </w:tcBorders>
            <w:vAlign w:val="center"/>
          </w:tcPr>
          <w:p w14:paraId="1C2389F8"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芒</w:t>
            </w:r>
          </w:p>
        </w:tc>
        <w:tc>
          <w:tcPr>
            <w:tcW w:w="1814" w:type="dxa"/>
            <w:tcBorders>
              <w:top w:val="single" w:sz="2" w:space="0" w:color="000000"/>
              <w:bottom w:val="single" w:sz="2" w:space="0" w:color="000000"/>
            </w:tcBorders>
            <w:vAlign w:val="center"/>
          </w:tcPr>
          <w:p w14:paraId="1A709EFA"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芒、</w:t>
            </w:r>
            <w:r w:rsidRPr="00092862">
              <w:rPr>
                <w:rFonts w:ascii="Times New Roman" w:eastAsia="宋体" w:hAnsi="Times New Roman" w:cs="Times New Roman"/>
                <w:color w:val="000000" w:themeColor="text1"/>
                <w:spacing w:val="-4"/>
                <w:szCs w:val="21"/>
                <w:lang w:eastAsia="zh-CN"/>
              </w:rPr>
              <w:t>白茅、五节芒</w:t>
            </w:r>
          </w:p>
        </w:tc>
      </w:tr>
      <w:tr w:rsidR="00697429" w:rsidRPr="00092862" w14:paraId="01D5BA17" w14:textId="77777777" w:rsidTr="00A75B69">
        <w:trPr>
          <w:trHeight w:val="594"/>
          <w:jc w:val="center"/>
        </w:trPr>
        <w:tc>
          <w:tcPr>
            <w:tcW w:w="750" w:type="dxa"/>
            <w:tcBorders>
              <w:top w:val="single" w:sz="2" w:space="0" w:color="000000"/>
              <w:bottom w:val="single" w:sz="2" w:space="0" w:color="000000"/>
            </w:tcBorders>
            <w:vAlign w:val="center"/>
          </w:tcPr>
          <w:p w14:paraId="380420C1"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样地</w:t>
            </w:r>
            <w:r w:rsidRPr="00092862">
              <w:rPr>
                <w:rFonts w:ascii="Times New Roman" w:eastAsia="宋体" w:hAnsi="Times New Roman" w:cs="Times New Roman"/>
                <w:bCs/>
                <w:color w:val="000000" w:themeColor="text1"/>
                <w:kern w:val="0"/>
                <w:szCs w:val="21"/>
                <w:lang w:eastAsia="zh-CN"/>
              </w:rPr>
              <w:t>8</w:t>
            </w:r>
          </w:p>
        </w:tc>
        <w:tc>
          <w:tcPr>
            <w:tcW w:w="537" w:type="dxa"/>
            <w:tcBorders>
              <w:top w:val="single" w:sz="2" w:space="0" w:color="000000"/>
              <w:bottom w:val="single" w:sz="2" w:space="0" w:color="000000"/>
            </w:tcBorders>
            <w:vAlign w:val="center"/>
          </w:tcPr>
          <w:p w14:paraId="11696ECC"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3</w:t>
            </w:r>
          </w:p>
        </w:tc>
        <w:tc>
          <w:tcPr>
            <w:tcW w:w="1025" w:type="dxa"/>
            <w:tcBorders>
              <w:top w:val="single" w:sz="2" w:space="0" w:color="000000"/>
              <w:bottom w:val="single" w:sz="2" w:space="0" w:color="000000"/>
            </w:tcBorders>
            <w:vAlign w:val="center"/>
          </w:tcPr>
          <w:p w14:paraId="14CC440E"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1</w:t>
            </w:r>
            <w:r w:rsidRPr="00092862">
              <w:rPr>
                <w:rFonts w:ascii="Times New Roman" w:eastAsia="宋体" w:hAnsi="Times New Roman" w:cs="Times New Roman"/>
                <w:bCs/>
                <w:color w:val="000000" w:themeColor="text1"/>
                <w:kern w:val="0"/>
                <w:szCs w:val="21"/>
                <w:lang w:val="zh-CN" w:eastAsia="zh-CN"/>
              </w:rPr>
              <w:t>m</w:t>
            </w:r>
            <w:r w:rsidRPr="00092862">
              <w:rPr>
                <w:rFonts w:ascii="Times New Roman" w:eastAsia="宋体" w:hAnsi="Times New Roman" w:cs="Times New Roman"/>
                <w:bCs/>
                <w:color w:val="000000" w:themeColor="text1"/>
                <w:kern w:val="0"/>
                <w:szCs w:val="21"/>
                <w:lang w:eastAsia="zh-CN"/>
              </w:rPr>
              <w:t>×1m</w:t>
            </w:r>
          </w:p>
        </w:tc>
        <w:tc>
          <w:tcPr>
            <w:tcW w:w="1825" w:type="dxa"/>
            <w:tcBorders>
              <w:top w:val="single" w:sz="2" w:space="0" w:color="000000"/>
              <w:bottom w:val="single" w:sz="2" w:space="0" w:color="000000"/>
            </w:tcBorders>
            <w:vAlign w:val="center"/>
          </w:tcPr>
          <w:p w14:paraId="7B5B8C8C"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szCs w:val="21"/>
                <w:lang w:eastAsia="zh-CN"/>
              </w:rPr>
              <w:t>107.8184,31.4504</w:t>
            </w:r>
          </w:p>
        </w:tc>
        <w:tc>
          <w:tcPr>
            <w:tcW w:w="1715" w:type="dxa"/>
            <w:tcBorders>
              <w:top w:val="single" w:sz="2" w:space="0" w:color="000000"/>
              <w:bottom w:val="single" w:sz="2" w:space="0" w:color="000000"/>
            </w:tcBorders>
            <w:vAlign w:val="center"/>
          </w:tcPr>
          <w:p w14:paraId="022BD14C"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蕨、芒萁群系</w:t>
            </w:r>
          </w:p>
        </w:tc>
        <w:tc>
          <w:tcPr>
            <w:tcW w:w="880" w:type="dxa"/>
            <w:tcBorders>
              <w:top w:val="single" w:sz="2" w:space="0" w:color="000000"/>
              <w:bottom w:val="single" w:sz="2" w:space="0" w:color="000000"/>
            </w:tcBorders>
            <w:vAlign w:val="center"/>
          </w:tcPr>
          <w:p w14:paraId="6608FC97"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蕨</w:t>
            </w:r>
          </w:p>
        </w:tc>
        <w:tc>
          <w:tcPr>
            <w:tcW w:w="1814" w:type="dxa"/>
            <w:tcBorders>
              <w:top w:val="single" w:sz="2" w:space="0" w:color="000000"/>
              <w:bottom w:val="single" w:sz="2" w:space="0" w:color="000000"/>
            </w:tcBorders>
            <w:vAlign w:val="center"/>
          </w:tcPr>
          <w:p w14:paraId="01CF1E9A"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蕨、芒萁</w:t>
            </w:r>
          </w:p>
        </w:tc>
      </w:tr>
    </w:tbl>
    <w:p w14:paraId="1823EAA4" w14:textId="77777777" w:rsidR="00F96F41" w:rsidRPr="00092862" w:rsidRDefault="00F96F41" w:rsidP="002C4161">
      <w:pPr>
        <w:pStyle w:val="41"/>
        <w:spacing w:line="360" w:lineRule="auto"/>
        <w:ind w:firstLineChars="200" w:firstLine="482"/>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4</w:t>
      </w:r>
      <w:r w:rsidRPr="00092862">
        <w:rPr>
          <w:b/>
          <w:bCs/>
          <w:color w:val="000000" w:themeColor="text1"/>
          <w:sz w:val="24"/>
          <w:szCs w:val="24"/>
        </w:rPr>
        <w:t>）景观生态和生态系统类型调查</w:t>
      </w:r>
    </w:p>
    <w:p w14:paraId="34ED429C" w14:textId="77777777" w:rsidR="00F96F41" w:rsidRPr="00092862" w:rsidRDefault="00F96F41" w:rsidP="002C4161">
      <w:pPr>
        <w:pStyle w:val="41"/>
        <w:spacing w:line="360" w:lineRule="auto"/>
        <w:ind w:firstLineChars="200" w:firstLine="480"/>
        <w:rPr>
          <w:color w:val="000000" w:themeColor="text1"/>
          <w:sz w:val="24"/>
          <w:szCs w:val="24"/>
        </w:rPr>
      </w:pPr>
      <w:r w:rsidRPr="00092862">
        <w:rPr>
          <w:color w:val="000000" w:themeColor="text1"/>
          <w:sz w:val="24"/>
          <w:szCs w:val="24"/>
        </w:rPr>
        <w:lastRenderedPageBreak/>
        <w:t>以能够获得的近期卫星影像图为工作用图，采用路线调查法和主要景观地段重点观测相结合，区划记录评价范围不同自然景观类型、范围、特征及生态系统类型，以此分析生态系统服务功能。</w:t>
      </w:r>
    </w:p>
    <w:p w14:paraId="0D213AE2" w14:textId="77777777" w:rsidR="00F96F41" w:rsidRPr="00092862" w:rsidRDefault="00F96F41" w:rsidP="002C4161">
      <w:pPr>
        <w:pStyle w:val="41"/>
        <w:spacing w:line="360" w:lineRule="auto"/>
        <w:ind w:firstLineChars="200" w:firstLine="482"/>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5</w:t>
      </w:r>
      <w:r w:rsidRPr="00092862">
        <w:rPr>
          <w:b/>
          <w:bCs/>
          <w:color w:val="000000" w:themeColor="text1"/>
          <w:sz w:val="24"/>
          <w:szCs w:val="24"/>
        </w:rPr>
        <w:t>）陆生野生动物调查</w:t>
      </w:r>
    </w:p>
    <w:p w14:paraId="7BD269CD"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t>野生动物调查采用野外实地调查、访问、查阅相关文献资料等三种方式进行，记录到种。</w:t>
      </w:r>
    </w:p>
    <w:p w14:paraId="5231D74E"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t>资料检索法：主要收集、查阅项目区域相关科学研究和野外调查资料以及其它专家、学者发表的涉及项目区域的学术论文。应用这些文献资料时，尤其是在动物物种多样性方面，属当时调查获得的资料，直接引用或应用；属查阅资料获得的信息，如有其它文献资料佐证的也应用，否则，不应用。</w:t>
      </w:r>
    </w:p>
    <w:p w14:paraId="5D1DB2A9" w14:textId="77777777" w:rsidR="00FB7F8D" w:rsidRPr="00092862" w:rsidRDefault="00FB7F8D" w:rsidP="00FB7F8D">
      <w:pPr>
        <w:pStyle w:val="41"/>
        <w:spacing w:line="360" w:lineRule="auto"/>
        <w:rPr>
          <w:color w:val="000000" w:themeColor="text1"/>
          <w:sz w:val="24"/>
          <w:szCs w:val="24"/>
        </w:rPr>
      </w:pPr>
      <w:r w:rsidRPr="00092862">
        <w:rPr>
          <w:color w:val="000000" w:themeColor="text1"/>
          <w:sz w:val="24"/>
          <w:szCs w:val="24"/>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评价区的动物资源状况。</w:t>
      </w:r>
    </w:p>
    <w:p w14:paraId="575BE9BD" w14:textId="77777777" w:rsidR="00FB7F8D" w:rsidRPr="00092862" w:rsidRDefault="00FB7F8D" w:rsidP="00087418">
      <w:pPr>
        <w:pStyle w:val="41"/>
        <w:spacing w:line="360" w:lineRule="auto"/>
        <w:ind w:firstLineChars="200" w:firstLine="480"/>
        <w:rPr>
          <w:color w:val="000000" w:themeColor="text1"/>
          <w:sz w:val="24"/>
          <w:szCs w:val="24"/>
        </w:rPr>
      </w:pPr>
      <w:r w:rsidRPr="00092862">
        <w:rPr>
          <w:color w:val="000000" w:themeColor="text1"/>
          <w:sz w:val="24"/>
          <w:szCs w:val="24"/>
        </w:rPr>
        <w:t>野外实地调查方法：主要为样线法，辅以样方法进行，具体如下：</w:t>
      </w:r>
    </w:p>
    <w:p w14:paraId="7C22EA86"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t>1</w:t>
      </w:r>
      <w:r w:rsidRPr="00092862">
        <w:rPr>
          <w:color w:val="000000" w:themeColor="text1"/>
          <w:sz w:val="24"/>
          <w:szCs w:val="24"/>
        </w:rPr>
        <w:t>）兽类</w:t>
      </w:r>
    </w:p>
    <w:p w14:paraId="628C01FA"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t>在评价区内采用样线法进行调查，现场记录遇见的动物，并对粪便、毛发、脚印和其它痕迹进行采样及识别。小型兽类调查采用设置样方法，并在样方内用铗日法进行调查；调查主要哺乳动物的种类时，则以现地调查结合座谈访问为主，并参考《四川兽类原色图鉴》进行确认，同时结合文献资料进行整理和分析。</w:t>
      </w:r>
    </w:p>
    <w:p w14:paraId="3034B1DB"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t>2</w:t>
      </w:r>
      <w:r w:rsidRPr="00092862">
        <w:rPr>
          <w:color w:val="000000" w:themeColor="text1"/>
          <w:sz w:val="24"/>
          <w:szCs w:val="24"/>
        </w:rPr>
        <w:t>）鸟类</w:t>
      </w:r>
    </w:p>
    <w:p w14:paraId="7097F6D2"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t>在评价区内用样线法统计调查鸟类鸣声、羽毛和个体等行经，同时结合文献资料确定其种类组成及其种群数量。此外对珍稀鸟类或大型鸟类则进行访问调查，并参考《四川鸟类原色图鉴》进行确认，同时结合文献资料进行整理和分析。</w:t>
      </w:r>
    </w:p>
    <w:p w14:paraId="10E4D572" w14:textId="77777777" w:rsidR="00FB7F8D" w:rsidRPr="00092862" w:rsidRDefault="00FB7F8D" w:rsidP="00DF5B9E">
      <w:pPr>
        <w:pStyle w:val="41"/>
        <w:spacing w:line="360" w:lineRule="auto"/>
        <w:ind w:firstLineChars="200" w:firstLine="480"/>
        <w:rPr>
          <w:color w:val="000000" w:themeColor="text1"/>
          <w:sz w:val="24"/>
          <w:szCs w:val="24"/>
        </w:rPr>
      </w:pPr>
      <w:r w:rsidRPr="00092862">
        <w:rPr>
          <w:color w:val="000000" w:themeColor="text1"/>
          <w:sz w:val="24"/>
          <w:szCs w:val="24"/>
        </w:rPr>
        <w:lastRenderedPageBreak/>
        <w:t>3</w:t>
      </w:r>
      <w:r w:rsidRPr="00092862">
        <w:rPr>
          <w:color w:val="000000" w:themeColor="text1"/>
          <w:sz w:val="24"/>
          <w:szCs w:val="24"/>
        </w:rPr>
        <w:t>）两栖、爬行类</w:t>
      </w:r>
    </w:p>
    <w:p w14:paraId="35DD3355" w14:textId="77777777" w:rsidR="00FB7F8D" w:rsidRPr="00092862" w:rsidRDefault="00FB7F8D" w:rsidP="00FB7F8D">
      <w:pPr>
        <w:pStyle w:val="41"/>
        <w:spacing w:line="360" w:lineRule="auto"/>
        <w:rPr>
          <w:color w:val="000000" w:themeColor="text1"/>
          <w:sz w:val="24"/>
          <w:szCs w:val="24"/>
        </w:rPr>
      </w:pPr>
      <w:r w:rsidRPr="00092862">
        <w:rPr>
          <w:color w:val="000000" w:themeColor="text1"/>
          <w:sz w:val="24"/>
          <w:szCs w:val="24"/>
        </w:rPr>
        <w:t>两栖、爬行动物行动慢，活动范围小，对水环境的依赖性强，采用沿评价区附近溪河布设样线，辅以足够数量的样方于傍晚进行调查，依据看到的动物实体或痕迹并结合访问、文献资料进行分析整理，并参考《四川两栖类原色图鉴》、《四川爬行类动物原色图鉴》确定其种类。</w:t>
      </w:r>
    </w:p>
    <w:p w14:paraId="785B0C42" w14:textId="02071136" w:rsidR="00F96F41" w:rsidRPr="00092862" w:rsidRDefault="00FB7F8D" w:rsidP="00FB7F8D">
      <w:pPr>
        <w:pStyle w:val="41"/>
        <w:spacing w:line="360" w:lineRule="auto"/>
        <w:ind w:firstLineChars="200" w:firstLine="480"/>
        <w:rPr>
          <w:color w:val="000000" w:themeColor="text1"/>
          <w:sz w:val="24"/>
          <w:szCs w:val="24"/>
        </w:rPr>
      </w:pPr>
      <w:r w:rsidRPr="00092862">
        <w:rPr>
          <w:color w:val="000000" w:themeColor="text1"/>
          <w:sz w:val="24"/>
          <w:szCs w:val="24"/>
        </w:rPr>
        <w:t>综合实地调查、访问调查和资料查阅，通过分析归纳和总结，得出项目区及其周边地区动物物种、种群数量和分布资料，为评价和保护提供科学依据</w:t>
      </w:r>
      <w:r w:rsidR="00F96F41" w:rsidRPr="00092862">
        <w:rPr>
          <w:color w:val="000000" w:themeColor="text1"/>
          <w:sz w:val="24"/>
          <w:szCs w:val="24"/>
        </w:rPr>
        <w:t>。</w:t>
      </w:r>
    </w:p>
    <w:p w14:paraId="57F229B3" w14:textId="77777777" w:rsidR="00F96F41" w:rsidRPr="00092862" w:rsidRDefault="00F96F41" w:rsidP="002C4161">
      <w:pPr>
        <w:spacing w:line="360" w:lineRule="auto"/>
        <w:ind w:firstLineChars="200" w:firstLine="480"/>
        <w:rPr>
          <w:rFonts w:ascii="Times New Roman" w:hAnsi="Times New Roman" w:cs="Times New Roman"/>
          <w:b/>
          <w:bCs/>
          <w:color w:val="000000" w:themeColor="text1"/>
          <w:sz w:val="24"/>
        </w:rPr>
      </w:pPr>
      <w:r w:rsidRPr="00092862">
        <w:rPr>
          <w:rFonts w:ascii="Times New Roman" w:hAnsi="Times New Roman" w:cs="Times New Roman"/>
          <w:b/>
          <w:bCs/>
          <w:color w:val="000000" w:themeColor="text1"/>
          <w:sz w:val="24"/>
        </w:rPr>
        <w:t>3</w:t>
      </w:r>
      <w:r w:rsidRPr="00092862">
        <w:rPr>
          <w:rFonts w:ascii="Times New Roman" w:hAnsi="Times New Roman" w:cs="Times New Roman"/>
          <w:b/>
          <w:bCs/>
          <w:color w:val="000000" w:themeColor="text1"/>
          <w:sz w:val="24"/>
        </w:rPr>
        <w:t>、生态制图</w:t>
      </w:r>
    </w:p>
    <w:p w14:paraId="3323BFBC" w14:textId="77777777" w:rsidR="00087418" w:rsidRPr="00092862" w:rsidRDefault="00087418" w:rsidP="00087418">
      <w:pPr>
        <w:pStyle w:val="41"/>
        <w:spacing w:line="480" w:lineRule="exact"/>
        <w:ind w:firstLineChars="200" w:firstLine="480"/>
        <w:rPr>
          <w:color w:val="000000" w:themeColor="text1"/>
          <w:sz w:val="24"/>
          <w:szCs w:val="24"/>
        </w:rPr>
      </w:pPr>
      <w:r w:rsidRPr="00092862">
        <w:rPr>
          <w:color w:val="000000" w:themeColor="text1"/>
          <w:sz w:val="24"/>
          <w:szCs w:val="24"/>
        </w:rPr>
        <w:t>在现场调查和群系样地调查的基础上，采用</w:t>
      </w:r>
      <w:r w:rsidRPr="00092862">
        <w:rPr>
          <w:color w:val="000000" w:themeColor="text1"/>
          <w:sz w:val="24"/>
          <w:szCs w:val="24"/>
        </w:rPr>
        <w:t>GPS</w:t>
      </w:r>
      <w:r w:rsidRPr="00092862">
        <w:rPr>
          <w:color w:val="000000" w:themeColor="text1"/>
          <w:sz w:val="24"/>
          <w:szCs w:val="24"/>
        </w:rPr>
        <w:t>、</w:t>
      </w:r>
      <w:r w:rsidRPr="00092862">
        <w:rPr>
          <w:color w:val="000000" w:themeColor="text1"/>
          <w:sz w:val="24"/>
          <w:szCs w:val="24"/>
        </w:rPr>
        <w:t>RS</w:t>
      </w:r>
      <w:r w:rsidRPr="00092862">
        <w:rPr>
          <w:color w:val="000000" w:themeColor="text1"/>
          <w:sz w:val="24"/>
          <w:szCs w:val="24"/>
        </w:rPr>
        <w:t>和</w:t>
      </w:r>
      <w:r w:rsidRPr="00092862">
        <w:rPr>
          <w:color w:val="000000" w:themeColor="text1"/>
          <w:sz w:val="24"/>
          <w:szCs w:val="24"/>
        </w:rPr>
        <w:t>GIS</w:t>
      </w:r>
      <w:r w:rsidRPr="00092862">
        <w:rPr>
          <w:color w:val="000000" w:themeColor="text1"/>
          <w:sz w:val="24"/>
          <w:szCs w:val="24"/>
        </w:rPr>
        <w:t>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14:paraId="4A3BAFAA" w14:textId="7D7F6B88" w:rsidR="00F96F41" w:rsidRPr="00092862" w:rsidRDefault="00087418" w:rsidP="00087418">
      <w:pPr>
        <w:pStyle w:val="41"/>
        <w:spacing w:line="360" w:lineRule="auto"/>
        <w:ind w:firstLineChars="200" w:firstLine="480"/>
        <w:rPr>
          <w:color w:val="000000" w:themeColor="text1"/>
          <w:sz w:val="24"/>
          <w:szCs w:val="24"/>
        </w:rPr>
      </w:pPr>
      <w:r w:rsidRPr="00092862">
        <w:rPr>
          <w:color w:val="000000" w:themeColor="text1"/>
          <w:sz w:val="24"/>
          <w:szCs w:val="24"/>
        </w:rPr>
        <w:t>本次研究选用国产资源卫星</w:t>
      </w:r>
      <w:r w:rsidRPr="00092862">
        <w:rPr>
          <w:color w:val="000000" w:themeColor="text1"/>
          <w:sz w:val="24"/>
          <w:szCs w:val="24"/>
        </w:rPr>
        <w:t>zy-3</w:t>
      </w:r>
      <w:r w:rsidRPr="00092862">
        <w:rPr>
          <w:color w:val="000000" w:themeColor="text1"/>
          <w:sz w:val="24"/>
          <w:szCs w:val="24"/>
        </w:rPr>
        <w:t>卫片，融合后地面精度为</w:t>
      </w:r>
      <w:r w:rsidRPr="00092862">
        <w:rPr>
          <w:color w:val="000000" w:themeColor="text1"/>
          <w:sz w:val="24"/>
          <w:szCs w:val="24"/>
        </w:rPr>
        <w:t>2.1m</w:t>
      </w:r>
      <w:r w:rsidRPr="00092862">
        <w:rPr>
          <w:color w:val="000000" w:themeColor="text1"/>
          <w:sz w:val="24"/>
          <w:szCs w:val="24"/>
        </w:rPr>
        <w:t>，采用地表植被特征的</w:t>
      </w:r>
      <w:r w:rsidRPr="00092862">
        <w:rPr>
          <w:color w:val="000000" w:themeColor="text1"/>
          <w:sz w:val="24"/>
          <w:szCs w:val="24"/>
        </w:rPr>
        <w:t>“</w:t>
      </w:r>
      <w:r w:rsidRPr="00092862">
        <w:rPr>
          <w:color w:val="000000" w:themeColor="text1"/>
          <w:sz w:val="24"/>
          <w:szCs w:val="24"/>
        </w:rPr>
        <w:t>近红外、红外、绿</w:t>
      </w:r>
      <w:r w:rsidRPr="00092862">
        <w:rPr>
          <w:color w:val="000000" w:themeColor="text1"/>
          <w:sz w:val="24"/>
          <w:szCs w:val="24"/>
        </w:rPr>
        <w:t>”</w:t>
      </w:r>
      <w:r w:rsidRPr="00092862">
        <w:rPr>
          <w:color w:val="000000" w:themeColor="text1"/>
          <w:sz w:val="24"/>
          <w:szCs w:val="24"/>
        </w:rPr>
        <w:t>三个波段，其中植被影响主要反映为红色。植被类型不同，色彩和色调都发生相应变化，因此可区分出植被亚型以上的植被类型以及农田、居民用地等地面类型。同时也参考了美国</w:t>
      </w:r>
      <w:r w:rsidRPr="00092862">
        <w:rPr>
          <w:color w:val="000000" w:themeColor="text1"/>
          <w:sz w:val="24"/>
          <w:szCs w:val="24"/>
        </w:rPr>
        <w:t>wordview</w:t>
      </w:r>
      <w:r w:rsidRPr="00092862">
        <w:rPr>
          <w:color w:val="000000" w:themeColor="text1"/>
          <w:sz w:val="24"/>
          <w:szCs w:val="24"/>
        </w:rPr>
        <w:t>卫片作为参考，分辨率</w:t>
      </w:r>
      <w:r w:rsidRPr="00092862">
        <w:rPr>
          <w:color w:val="000000" w:themeColor="text1"/>
          <w:sz w:val="24"/>
          <w:szCs w:val="24"/>
        </w:rPr>
        <w:t>1.24</w:t>
      </w:r>
      <w:r w:rsidRPr="00092862">
        <w:rPr>
          <w:color w:val="000000" w:themeColor="text1"/>
          <w:sz w:val="24"/>
          <w:szCs w:val="24"/>
        </w:rPr>
        <w:t>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r w:rsidR="00F96F41" w:rsidRPr="00092862">
        <w:rPr>
          <w:color w:val="000000" w:themeColor="text1"/>
          <w:sz w:val="24"/>
          <w:szCs w:val="24"/>
        </w:rPr>
        <w:t>。</w:t>
      </w:r>
    </w:p>
    <w:p w14:paraId="6ECED98F" w14:textId="77777777" w:rsidR="00F96F41" w:rsidRPr="00092862" w:rsidRDefault="00F96F41" w:rsidP="002C4161">
      <w:pPr>
        <w:pStyle w:val="41"/>
        <w:numPr>
          <w:ilvl w:val="0"/>
          <w:numId w:val="26"/>
        </w:numPr>
        <w:spacing w:line="360" w:lineRule="auto"/>
        <w:ind w:firstLineChars="200" w:firstLine="482"/>
        <w:rPr>
          <w:b/>
          <w:bCs/>
          <w:color w:val="000000" w:themeColor="text1"/>
          <w:sz w:val="24"/>
          <w:szCs w:val="24"/>
        </w:rPr>
      </w:pPr>
      <w:r w:rsidRPr="00092862">
        <w:rPr>
          <w:b/>
          <w:bCs/>
          <w:color w:val="000000" w:themeColor="text1"/>
          <w:sz w:val="24"/>
          <w:szCs w:val="24"/>
        </w:rPr>
        <w:t>评价范围植被资源现状</w:t>
      </w:r>
    </w:p>
    <w:p w14:paraId="107D3225" w14:textId="77777777" w:rsidR="00F96F41" w:rsidRPr="00092862" w:rsidRDefault="00F96F41" w:rsidP="002C4161">
      <w:pPr>
        <w:pStyle w:val="41"/>
        <w:spacing w:line="360" w:lineRule="auto"/>
        <w:ind w:firstLineChars="200" w:firstLine="480"/>
        <w:rPr>
          <w:color w:val="000000" w:themeColor="text1"/>
          <w:sz w:val="24"/>
          <w:szCs w:val="24"/>
        </w:rPr>
      </w:pPr>
      <w:r w:rsidRPr="00092862">
        <w:rPr>
          <w:color w:val="000000" w:themeColor="text1"/>
          <w:sz w:val="24"/>
          <w:szCs w:val="24"/>
        </w:rPr>
        <w:t>评价范围内植被概况见表</w:t>
      </w:r>
      <w:r w:rsidRPr="00092862">
        <w:rPr>
          <w:color w:val="000000" w:themeColor="text1"/>
          <w:sz w:val="24"/>
          <w:szCs w:val="24"/>
        </w:rPr>
        <w:t>4.3-3</w:t>
      </w:r>
      <w:r w:rsidRPr="00092862">
        <w:rPr>
          <w:color w:val="000000" w:themeColor="text1"/>
          <w:sz w:val="24"/>
          <w:szCs w:val="24"/>
        </w:rPr>
        <w:t>及《附图</w:t>
      </w:r>
      <w:r w:rsidRPr="00092862">
        <w:rPr>
          <w:color w:val="000000" w:themeColor="text1"/>
          <w:sz w:val="24"/>
          <w:szCs w:val="24"/>
        </w:rPr>
        <w:t xml:space="preserve"> </w:t>
      </w:r>
      <w:r w:rsidRPr="00092862">
        <w:rPr>
          <w:color w:val="000000" w:themeColor="text1"/>
          <w:sz w:val="24"/>
          <w:szCs w:val="24"/>
        </w:rPr>
        <w:t>评价区植被类型图》。</w:t>
      </w:r>
    </w:p>
    <w:p w14:paraId="2DF97E33"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4.3-3 </w:t>
      </w:r>
      <w:r w:rsidRPr="00092862">
        <w:rPr>
          <w:rFonts w:ascii="Times New Roman" w:eastAsia="黑体" w:hAnsi="Times New Roman"/>
          <w:color w:val="000000" w:themeColor="text1"/>
          <w:sz w:val="21"/>
          <w:szCs w:val="21"/>
          <w:lang w:eastAsia="zh-CN"/>
        </w:rPr>
        <w:t>评价范围内主要植被类型面积统计表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93"/>
        <w:gridCol w:w="1306"/>
        <w:gridCol w:w="1301"/>
      </w:tblGrid>
      <w:tr w:rsidR="00697429" w:rsidRPr="00092862" w14:paraId="0738962C" w14:textId="77777777" w:rsidTr="00087418">
        <w:trPr>
          <w:trHeight w:hRule="exact" w:val="477"/>
          <w:jc w:val="center"/>
        </w:trPr>
        <w:tc>
          <w:tcPr>
            <w:tcW w:w="3429" w:type="pct"/>
            <w:vAlign w:val="center"/>
          </w:tcPr>
          <w:p w14:paraId="786CF937"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植被类型</w:t>
            </w:r>
          </w:p>
        </w:tc>
        <w:tc>
          <w:tcPr>
            <w:tcW w:w="787" w:type="pct"/>
            <w:vAlign w:val="center"/>
          </w:tcPr>
          <w:p w14:paraId="07A1B5A9"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w:t>
            </w:r>
            <w:r w:rsidRPr="00092862">
              <w:rPr>
                <w:rFonts w:ascii="Times New Roman" w:eastAsia="宋体" w:hAnsi="Times New Roman" w:cs="Times New Roman"/>
                <w:color w:val="000000" w:themeColor="text1"/>
                <w:kern w:val="0"/>
                <w:szCs w:val="21"/>
              </w:rPr>
              <w:t>面积</w:t>
            </w:r>
            <w:r w:rsidRPr="00092862">
              <w:rPr>
                <w:rFonts w:ascii="Times New Roman" w:eastAsia="宋体" w:hAnsi="Times New Roman" w:cs="Times New Roman"/>
                <w:color w:val="000000" w:themeColor="text1"/>
                <w:kern w:val="0"/>
                <w:szCs w:val="21"/>
              </w:rPr>
              <w:t>hm</w:t>
            </w:r>
            <w:r w:rsidRPr="00092862">
              <w:rPr>
                <w:rFonts w:ascii="Times New Roman" w:eastAsia="宋体" w:hAnsi="Times New Roman" w:cs="Times New Roman"/>
                <w:color w:val="000000" w:themeColor="text1"/>
                <w:kern w:val="0"/>
                <w:szCs w:val="21"/>
                <w:vertAlign w:val="superscript"/>
              </w:rPr>
              <w:t>2</w:t>
            </w:r>
            <w:r w:rsidRPr="00092862">
              <w:rPr>
                <w:rFonts w:ascii="Times New Roman" w:eastAsia="宋体" w:hAnsi="Times New Roman" w:cs="Times New Roman"/>
                <w:color w:val="000000" w:themeColor="text1"/>
                <w:kern w:val="0"/>
                <w:szCs w:val="21"/>
              </w:rPr>
              <w:t>)</w:t>
            </w:r>
          </w:p>
        </w:tc>
        <w:tc>
          <w:tcPr>
            <w:tcW w:w="784" w:type="pct"/>
            <w:vAlign w:val="center"/>
          </w:tcPr>
          <w:p w14:paraId="61C2BF7A"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百分比</w:t>
            </w:r>
            <w:r w:rsidRPr="00092862">
              <w:rPr>
                <w:rFonts w:ascii="Times New Roman" w:eastAsia="宋体" w:hAnsi="Times New Roman" w:cs="Times New Roman"/>
                <w:color w:val="000000" w:themeColor="text1"/>
                <w:kern w:val="0"/>
                <w:szCs w:val="21"/>
              </w:rPr>
              <w:t>(%)</w:t>
            </w:r>
          </w:p>
        </w:tc>
      </w:tr>
      <w:tr w:rsidR="00697429" w:rsidRPr="00092862" w14:paraId="354B7CEF" w14:textId="77777777" w:rsidTr="00087418">
        <w:trPr>
          <w:trHeight w:hRule="exact" w:val="397"/>
          <w:jc w:val="center"/>
        </w:trPr>
        <w:tc>
          <w:tcPr>
            <w:tcW w:w="3429" w:type="pct"/>
            <w:vAlign w:val="center"/>
          </w:tcPr>
          <w:p w14:paraId="20E5CA36"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以马尾松、杉木、柏木为主的针叶林植被</w:t>
            </w:r>
          </w:p>
        </w:tc>
        <w:tc>
          <w:tcPr>
            <w:tcW w:w="787" w:type="pct"/>
            <w:vAlign w:val="center"/>
          </w:tcPr>
          <w:p w14:paraId="2A8B443F"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681.15 </w:t>
            </w:r>
          </w:p>
        </w:tc>
        <w:tc>
          <w:tcPr>
            <w:tcW w:w="784" w:type="pct"/>
            <w:vAlign w:val="center"/>
          </w:tcPr>
          <w:p w14:paraId="3BC5FB6E"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49.70 </w:t>
            </w:r>
          </w:p>
        </w:tc>
      </w:tr>
      <w:tr w:rsidR="00697429" w:rsidRPr="00092862" w14:paraId="0591DF52" w14:textId="77777777" w:rsidTr="00087418">
        <w:trPr>
          <w:trHeight w:hRule="exact" w:val="658"/>
          <w:jc w:val="center"/>
        </w:trPr>
        <w:tc>
          <w:tcPr>
            <w:tcW w:w="3429" w:type="pct"/>
            <w:vAlign w:val="center"/>
          </w:tcPr>
          <w:p w14:paraId="2C04ABBA"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以麻栎、青冈、栓皮栎等为主的阔叶林植被</w:t>
            </w:r>
          </w:p>
        </w:tc>
        <w:tc>
          <w:tcPr>
            <w:tcW w:w="787" w:type="pct"/>
            <w:vAlign w:val="center"/>
          </w:tcPr>
          <w:p w14:paraId="4A3CBC50"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455.53 </w:t>
            </w:r>
          </w:p>
        </w:tc>
        <w:tc>
          <w:tcPr>
            <w:tcW w:w="784" w:type="pct"/>
            <w:vAlign w:val="center"/>
          </w:tcPr>
          <w:p w14:paraId="17111651"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33.24 </w:t>
            </w:r>
          </w:p>
        </w:tc>
      </w:tr>
      <w:tr w:rsidR="00697429" w:rsidRPr="00092862" w14:paraId="2AC10094" w14:textId="77777777" w:rsidTr="00087418">
        <w:trPr>
          <w:trHeight w:hRule="exact" w:val="714"/>
          <w:jc w:val="center"/>
        </w:trPr>
        <w:tc>
          <w:tcPr>
            <w:tcW w:w="3429" w:type="pct"/>
            <w:vAlign w:val="center"/>
          </w:tcPr>
          <w:p w14:paraId="4831019D"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以野桐、盐肤木、马桑、黄荆、火棘为主的灌丛植被</w:t>
            </w:r>
          </w:p>
        </w:tc>
        <w:tc>
          <w:tcPr>
            <w:tcW w:w="787" w:type="pct"/>
            <w:vAlign w:val="center"/>
          </w:tcPr>
          <w:p w14:paraId="1B17C00D"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29.11 </w:t>
            </w:r>
          </w:p>
        </w:tc>
        <w:tc>
          <w:tcPr>
            <w:tcW w:w="784" w:type="pct"/>
            <w:vAlign w:val="center"/>
          </w:tcPr>
          <w:p w14:paraId="792F684B"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2.12 </w:t>
            </w:r>
          </w:p>
        </w:tc>
      </w:tr>
      <w:tr w:rsidR="00697429" w:rsidRPr="00092862" w14:paraId="38BCF802" w14:textId="77777777" w:rsidTr="00087418">
        <w:trPr>
          <w:trHeight w:hRule="exact" w:val="745"/>
          <w:jc w:val="center"/>
        </w:trPr>
        <w:tc>
          <w:tcPr>
            <w:tcW w:w="3429" w:type="pct"/>
            <w:vAlign w:val="center"/>
          </w:tcPr>
          <w:p w14:paraId="49400701"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以芒、白茅、蕨、芒萁等为主的草丛植被</w:t>
            </w:r>
          </w:p>
        </w:tc>
        <w:tc>
          <w:tcPr>
            <w:tcW w:w="787" w:type="pct"/>
            <w:vAlign w:val="center"/>
          </w:tcPr>
          <w:p w14:paraId="38599804"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11.71 </w:t>
            </w:r>
          </w:p>
        </w:tc>
        <w:tc>
          <w:tcPr>
            <w:tcW w:w="784" w:type="pct"/>
            <w:vAlign w:val="center"/>
          </w:tcPr>
          <w:p w14:paraId="6029A572"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0.85 </w:t>
            </w:r>
          </w:p>
        </w:tc>
      </w:tr>
      <w:tr w:rsidR="00697429" w:rsidRPr="00092862" w14:paraId="668C3ACF" w14:textId="77777777" w:rsidTr="00087418">
        <w:trPr>
          <w:trHeight w:hRule="exact" w:val="397"/>
          <w:jc w:val="center"/>
        </w:trPr>
        <w:tc>
          <w:tcPr>
            <w:tcW w:w="3429" w:type="pct"/>
            <w:vAlign w:val="center"/>
          </w:tcPr>
          <w:p w14:paraId="4483264A"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水稻为主的水田作物植被</w:t>
            </w:r>
          </w:p>
        </w:tc>
        <w:tc>
          <w:tcPr>
            <w:tcW w:w="787" w:type="pct"/>
            <w:vAlign w:val="center"/>
          </w:tcPr>
          <w:p w14:paraId="7660BC3F"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26.93 </w:t>
            </w:r>
          </w:p>
        </w:tc>
        <w:tc>
          <w:tcPr>
            <w:tcW w:w="784" w:type="pct"/>
            <w:vAlign w:val="center"/>
          </w:tcPr>
          <w:p w14:paraId="7822B525"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1.96 </w:t>
            </w:r>
          </w:p>
        </w:tc>
      </w:tr>
      <w:tr w:rsidR="00697429" w:rsidRPr="00092862" w14:paraId="04995ACA" w14:textId="77777777" w:rsidTr="00087418">
        <w:trPr>
          <w:trHeight w:hRule="exact" w:val="730"/>
          <w:jc w:val="center"/>
        </w:trPr>
        <w:tc>
          <w:tcPr>
            <w:tcW w:w="3429" w:type="pct"/>
            <w:vAlign w:val="center"/>
          </w:tcPr>
          <w:p w14:paraId="2CB90678"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玉米、红苕、棉花、花生、小麦、马铃薯、豌豆为主的旱地作物植被</w:t>
            </w:r>
          </w:p>
        </w:tc>
        <w:tc>
          <w:tcPr>
            <w:tcW w:w="787" w:type="pct"/>
            <w:vAlign w:val="center"/>
          </w:tcPr>
          <w:p w14:paraId="5139F951"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132.12 </w:t>
            </w:r>
          </w:p>
        </w:tc>
        <w:tc>
          <w:tcPr>
            <w:tcW w:w="784" w:type="pct"/>
            <w:vAlign w:val="center"/>
          </w:tcPr>
          <w:p w14:paraId="381E7C75"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9.64 </w:t>
            </w:r>
          </w:p>
        </w:tc>
      </w:tr>
      <w:tr w:rsidR="00697429" w:rsidRPr="00092862" w14:paraId="1201393D" w14:textId="77777777" w:rsidTr="00087418">
        <w:trPr>
          <w:trHeight w:hRule="exact" w:val="397"/>
          <w:jc w:val="center"/>
        </w:trPr>
        <w:tc>
          <w:tcPr>
            <w:tcW w:w="3429" w:type="pct"/>
            <w:vAlign w:val="center"/>
          </w:tcPr>
          <w:p w14:paraId="0A3CB966"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无植被</w:t>
            </w:r>
          </w:p>
        </w:tc>
        <w:tc>
          <w:tcPr>
            <w:tcW w:w="787" w:type="pct"/>
            <w:vAlign w:val="center"/>
          </w:tcPr>
          <w:p w14:paraId="56A13281"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33.99 </w:t>
            </w:r>
          </w:p>
        </w:tc>
        <w:tc>
          <w:tcPr>
            <w:tcW w:w="784" w:type="pct"/>
            <w:vAlign w:val="center"/>
          </w:tcPr>
          <w:p w14:paraId="011B5E67"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2.48 </w:t>
            </w:r>
          </w:p>
        </w:tc>
      </w:tr>
      <w:tr w:rsidR="00697429" w:rsidRPr="00092862" w14:paraId="14BC2ED2" w14:textId="77777777" w:rsidTr="00087418">
        <w:trPr>
          <w:trHeight w:hRule="exact" w:val="397"/>
          <w:jc w:val="center"/>
        </w:trPr>
        <w:tc>
          <w:tcPr>
            <w:tcW w:w="3429" w:type="pct"/>
            <w:vAlign w:val="center"/>
          </w:tcPr>
          <w:p w14:paraId="53FD85E5"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787" w:type="pct"/>
            <w:vAlign w:val="center"/>
          </w:tcPr>
          <w:p w14:paraId="40067207"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1370.53 </w:t>
            </w:r>
          </w:p>
        </w:tc>
        <w:tc>
          <w:tcPr>
            <w:tcW w:w="784" w:type="pct"/>
            <w:vAlign w:val="center"/>
          </w:tcPr>
          <w:p w14:paraId="525151CE" w14:textId="77777777" w:rsidR="00087418" w:rsidRPr="00092862" w:rsidRDefault="00087418"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100.00 </w:t>
            </w:r>
          </w:p>
        </w:tc>
      </w:tr>
    </w:tbl>
    <w:p w14:paraId="1AD5B4A7" w14:textId="77777777" w:rsidR="00F96F41" w:rsidRPr="00092862" w:rsidRDefault="00F96F41" w:rsidP="00F96F41">
      <w:pPr>
        <w:snapToGrid w:val="0"/>
        <w:jc w:val="center"/>
        <w:rPr>
          <w:rFonts w:ascii="Times New Roman" w:hAnsi="Times New Roman" w:cs="Times New Roman"/>
          <w:b/>
          <w:color w:val="000000" w:themeColor="text1"/>
          <w:szCs w:val="21"/>
        </w:rPr>
      </w:pPr>
    </w:p>
    <w:p w14:paraId="1380324D" w14:textId="6A3AA4AA" w:rsidR="00F96F41" w:rsidRPr="00092862" w:rsidRDefault="00087418" w:rsidP="002C4161">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由表</w:t>
      </w:r>
      <w:r w:rsidRPr="00092862">
        <w:rPr>
          <w:rFonts w:ascii="Times New Roman" w:eastAsia="宋体" w:hAnsi="Times New Roman" w:cs="Times New Roman"/>
          <w:color w:val="000000" w:themeColor="text1"/>
          <w:sz w:val="24"/>
        </w:rPr>
        <w:t>4.3-3</w:t>
      </w:r>
      <w:r w:rsidRPr="00092862">
        <w:rPr>
          <w:rFonts w:ascii="Times New Roman" w:eastAsia="宋体" w:hAnsi="Times New Roman" w:cs="Times New Roman"/>
          <w:color w:val="000000" w:themeColor="text1"/>
          <w:sz w:val="24"/>
        </w:rPr>
        <w:t>可看出，本次评价范围内以马尾松、杉木、柏木为主的针叶林植被占比最大，占评价面积的</w:t>
      </w:r>
      <w:r w:rsidRPr="00092862">
        <w:rPr>
          <w:rFonts w:ascii="Times New Roman" w:eastAsia="宋体" w:hAnsi="Times New Roman" w:cs="Times New Roman"/>
          <w:color w:val="000000" w:themeColor="text1"/>
          <w:sz w:val="24"/>
        </w:rPr>
        <w:t>49.70%</w:t>
      </w:r>
      <w:r w:rsidRPr="00092862">
        <w:rPr>
          <w:rFonts w:ascii="Times New Roman" w:eastAsia="宋体" w:hAnsi="Times New Roman" w:cs="Times New Roman"/>
          <w:color w:val="000000" w:themeColor="text1"/>
          <w:sz w:val="24"/>
        </w:rPr>
        <w:t>，其次为以麻栎、青冈、栓皮栎等为主的阔叶林植被，占评价面积的</w:t>
      </w:r>
      <w:r w:rsidRPr="00092862">
        <w:rPr>
          <w:rFonts w:ascii="Times New Roman" w:eastAsia="宋体" w:hAnsi="Times New Roman" w:cs="Times New Roman"/>
          <w:color w:val="000000" w:themeColor="text1"/>
          <w:sz w:val="24"/>
        </w:rPr>
        <w:t>33.24%</w:t>
      </w:r>
      <w:r w:rsidRPr="00092862">
        <w:rPr>
          <w:rFonts w:ascii="Times New Roman" w:eastAsia="宋体" w:hAnsi="Times New Roman" w:cs="Times New Roman"/>
          <w:color w:val="000000" w:themeColor="text1"/>
          <w:sz w:val="24"/>
        </w:rPr>
        <w:t>，以玉米、红苕、棉花、花生、小麦、马铃薯、豌豆为主的旱地作物植被，占评价面积的</w:t>
      </w:r>
      <w:r w:rsidRPr="00092862">
        <w:rPr>
          <w:rFonts w:ascii="Times New Roman" w:eastAsia="宋体" w:hAnsi="Times New Roman" w:cs="Times New Roman"/>
          <w:color w:val="000000" w:themeColor="text1"/>
          <w:sz w:val="24"/>
        </w:rPr>
        <w:t>9.64%</w:t>
      </w:r>
      <w:r w:rsidRPr="00092862">
        <w:rPr>
          <w:rFonts w:ascii="Times New Roman" w:eastAsia="宋体" w:hAnsi="Times New Roman" w:cs="Times New Roman"/>
          <w:color w:val="000000" w:themeColor="text1"/>
          <w:sz w:val="24"/>
        </w:rPr>
        <w:t>，其他植被类型所占比例均低于</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，综上，本项目评价范围植被类型主要以阔叶林植被、针叶林植被占优</w:t>
      </w:r>
      <w:r w:rsidR="00F96F41" w:rsidRPr="00092862">
        <w:rPr>
          <w:rFonts w:ascii="Times New Roman" w:eastAsia="宋体" w:hAnsi="Times New Roman" w:cs="Times New Roman"/>
          <w:color w:val="000000" w:themeColor="text1"/>
          <w:sz w:val="24"/>
        </w:rPr>
        <w:t>。</w:t>
      </w:r>
    </w:p>
    <w:p w14:paraId="38168053" w14:textId="77777777" w:rsidR="00F96F41" w:rsidRPr="00092862" w:rsidRDefault="00F96F41" w:rsidP="002C4161">
      <w:pPr>
        <w:pStyle w:val="41"/>
        <w:numPr>
          <w:ilvl w:val="0"/>
          <w:numId w:val="27"/>
        </w:numPr>
        <w:spacing w:line="360" w:lineRule="auto"/>
        <w:ind w:firstLineChars="200" w:firstLine="482"/>
        <w:rPr>
          <w:b/>
          <w:bCs/>
          <w:color w:val="000000" w:themeColor="text1"/>
          <w:sz w:val="24"/>
          <w:szCs w:val="24"/>
        </w:rPr>
      </w:pPr>
      <w:r w:rsidRPr="00092862">
        <w:rPr>
          <w:b/>
          <w:bCs/>
          <w:color w:val="000000" w:themeColor="text1"/>
          <w:sz w:val="24"/>
          <w:szCs w:val="24"/>
        </w:rPr>
        <w:t>评价范围土地利用现状</w:t>
      </w:r>
    </w:p>
    <w:p w14:paraId="5245CD83" w14:textId="77777777" w:rsidR="00F96F41" w:rsidRPr="00092862" w:rsidRDefault="00F96F41" w:rsidP="002C4161">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t>评价范围内土地利用概况见表</w:t>
      </w:r>
      <w:r w:rsidRPr="00092862">
        <w:rPr>
          <w:rFonts w:ascii="Times New Roman" w:hAnsi="Times New Roman" w:cs="Times New Roman"/>
          <w:color w:val="000000" w:themeColor="text1"/>
          <w:sz w:val="24"/>
        </w:rPr>
        <w:t>4.3-4</w:t>
      </w:r>
      <w:r w:rsidRPr="00092862">
        <w:rPr>
          <w:rFonts w:ascii="Times New Roman" w:hAnsi="Times New Roman" w:cs="Times New Roman"/>
          <w:color w:val="000000" w:themeColor="text1"/>
          <w:sz w:val="24"/>
        </w:rPr>
        <w:t>及《附图</w:t>
      </w:r>
      <w:r w:rsidRPr="00092862">
        <w:rPr>
          <w:rFonts w:ascii="Times New Roman" w:hAnsi="Times New Roman" w:cs="Times New Roman"/>
          <w:color w:val="000000" w:themeColor="text1"/>
          <w:sz w:val="24"/>
        </w:rPr>
        <w:t xml:space="preserve"> </w:t>
      </w:r>
      <w:r w:rsidRPr="00092862">
        <w:rPr>
          <w:rFonts w:ascii="Times New Roman" w:hAnsi="Times New Roman" w:cs="Times New Roman"/>
          <w:color w:val="000000" w:themeColor="text1"/>
          <w:sz w:val="24"/>
        </w:rPr>
        <w:t>评价区土地利用现状图》。</w:t>
      </w:r>
    </w:p>
    <w:p w14:paraId="5AEA00DE"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4.3-4 </w:t>
      </w:r>
      <w:r w:rsidRPr="00092862">
        <w:rPr>
          <w:rFonts w:ascii="Times New Roman" w:eastAsia="黑体" w:hAnsi="Times New Roman"/>
          <w:color w:val="000000" w:themeColor="text1"/>
          <w:sz w:val="21"/>
          <w:szCs w:val="21"/>
          <w:lang w:eastAsia="zh-CN"/>
        </w:rPr>
        <w:t>本次评价范围内土地利用现状情况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4"/>
        <w:gridCol w:w="2814"/>
        <w:gridCol w:w="2732"/>
      </w:tblGrid>
      <w:tr w:rsidR="00697429" w:rsidRPr="00092862" w14:paraId="0CC67648" w14:textId="77777777" w:rsidTr="00087418">
        <w:trPr>
          <w:trHeight w:hRule="exact" w:val="340"/>
          <w:jc w:val="center"/>
        </w:trPr>
        <w:tc>
          <w:tcPr>
            <w:tcW w:w="1659" w:type="pct"/>
            <w:vAlign w:val="center"/>
          </w:tcPr>
          <w:p w14:paraId="40E8C8B8"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土地利用类型</w:t>
            </w:r>
          </w:p>
        </w:tc>
        <w:tc>
          <w:tcPr>
            <w:tcW w:w="1695" w:type="pct"/>
            <w:vAlign w:val="center"/>
          </w:tcPr>
          <w:p w14:paraId="3D69197B"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面积</w:t>
            </w:r>
            <w:r w:rsidRPr="00092862">
              <w:rPr>
                <w:rFonts w:ascii="Times New Roman" w:eastAsia="宋体" w:hAnsi="Times New Roman" w:cs="Times New Roman"/>
                <w:color w:val="000000" w:themeColor="text1"/>
                <w:kern w:val="0"/>
                <w:szCs w:val="21"/>
              </w:rPr>
              <w:t>(hm</w:t>
            </w:r>
            <w:r w:rsidRPr="00092862">
              <w:rPr>
                <w:rFonts w:ascii="Times New Roman" w:eastAsia="宋体" w:hAnsi="Times New Roman" w:cs="Times New Roman"/>
                <w:color w:val="000000" w:themeColor="text1"/>
                <w:kern w:val="0"/>
                <w:szCs w:val="21"/>
                <w:vertAlign w:val="superscript"/>
              </w:rPr>
              <w:t>2</w:t>
            </w:r>
            <w:r w:rsidRPr="00092862">
              <w:rPr>
                <w:rFonts w:ascii="Times New Roman" w:eastAsia="宋体" w:hAnsi="Times New Roman" w:cs="Times New Roman"/>
                <w:color w:val="000000" w:themeColor="text1"/>
                <w:kern w:val="0"/>
                <w:szCs w:val="21"/>
              </w:rPr>
              <w:t>)</w:t>
            </w:r>
          </w:p>
        </w:tc>
        <w:tc>
          <w:tcPr>
            <w:tcW w:w="1646" w:type="pct"/>
            <w:vAlign w:val="center"/>
          </w:tcPr>
          <w:p w14:paraId="040346F9"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百分比</w:t>
            </w:r>
            <w:r w:rsidRPr="00092862">
              <w:rPr>
                <w:rFonts w:ascii="Times New Roman" w:eastAsia="宋体" w:hAnsi="Times New Roman" w:cs="Times New Roman"/>
                <w:color w:val="000000" w:themeColor="text1"/>
                <w:kern w:val="0"/>
                <w:szCs w:val="21"/>
              </w:rPr>
              <w:t>(%)</w:t>
            </w:r>
          </w:p>
        </w:tc>
      </w:tr>
      <w:tr w:rsidR="00697429" w:rsidRPr="00092862" w14:paraId="03FF473A" w14:textId="77777777" w:rsidTr="00087418">
        <w:trPr>
          <w:trHeight w:hRule="exact" w:val="340"/>
          <w:jc w:val="center"/>
        </w:trPr>
        <w:tc>
          <w:tcPr>
            <w:tcW w:w="1659" w:type="pct"/>
            <w:vAlign w:val="center"/>
          </w:tcPr>
          <w:p w14:paraId="34B467FF"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水田</w:t>
            </w:r>
            <w:r w:rsidRPr="00092862">
              <w:rPr>
                <w:rFonts w:ascii="Times New Roman" w:eastAsia="宋体" w:hAnsi="Times New Roman" w:cs="Times New Roman"/>
                <w:color w:val="000000" w:themeColor="text1"/>
                <w:kern w:val="0"/>
                <w:szCs w:val="21"/>
              </w:rPr>
              <w:t xml:space="preserve"> </w:t>
            </w:r>
          </w:p>
        </w:tc>
        <w:tc>
          <w:tcPr>
            <w:tcW w:w="1695" w:type="pct"/>
            <w:vAlign w:val="center"/>
          </w:tcPr>
          <w:p w14:paraId="08067230"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26.93 </w:t>
            </w:r>
          </w:p>
        </w:tc>
        <w:tc>
          <w:tcPr>
            <w:tcW w:w="1646" w:type="pct"/>
            <w:vAlign w:val="center"/>
          </w:tcPr>
          <w:p w14:paraId="7A575906"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1.96 </w:t>
            </w:r>
          </w:p>
        </w:tc>
      </w:tr>
      <w:tr w:rsidR="00697429" w:rsidRPr="00092862" w14:paraId="7C697435" w14:textId="77777777" w:rsidTr="00087418">
        <w:trPr>
          <w:trHeight w:hRule="exact" w:val="340"/>
          <w:jc w:val="center"/>
        </w:trPr>
        <w:tc>
          <w:tcPr>
            <w:tcW w:w="1659" w:type="pct"/>
            <w:vAlign w:val="center"/>
          </w:tcPr>
          <w:p w14:paraId="735C1BE9"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旱地</w:t>
            </w:r>
          </w:p>
        </w:tc>
        <w:tc>
          <w:tcPr>
            <w:tcW w:w="1695" w:type="pct"/>
            <w:vAlign w:val="center"/>
          </w:tcPr>
          <w:p w14:paraId="2FA7C16A"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132.12 </w:t>
            </w:r>
          </w:p>
        </w:tc>
        <w:tc>
          <w:tcPr>
            <w:tcW w:w="1646" w:type="pct"/>
            <w:vAlign w:val="center"/>
          </w:tcPr>
          <w:p w14:paraId="51B3DE71"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9.64 </w:t>
            </w:r>
          </w:p>
        </w:tc>
      </w:tr>
      <w:tr w:rsidR="00697429" w:rsidRPr="00092862" w14:paraId="116A97CD" w14:textId="77777777" w:rsidTr="00087418">
        <w:trPr>
          <w:trHeight w:hRule="exact" w:val="340"/>
          <w:jc w:val="center"/>
        </w:trPr>
        <w:tc>
          <w:tcPr>
            <w:tcW w:w="1659" w:type="pct"/>
            <w:vAlign w:val="center"/>
          </w:tcPr>
          <w:p w14:paraId="749C0951"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乔木林地</w:t>
            </w:r>
          </w:p>
        </w:tc>
        <w:tc>
          <w:tcPr>
            <w:tcW w:w="1695" w:type="pct"/>
            <w:vAlign w:val="center"/>
          </w:tcPr>
          <w:p w14:paraId="211E5034"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1136.67 </w:t>
            </w:r>
          </w:p>
        </w:tc>
        <w:tc>
          <w:tcPr>
            <w:tcW w:w="1646" w:type="pct"/>
            <w:vAlign w:val="center"/>
          </w:tcPr>
          <w:p w14:paraId="22F7A466"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82.94 </w:t>
            </w:r>
          </w:p>
        </w:tc>
      </w:tr>
      <w:tr w:rsidR="00697429" w:rsidRPr="00092862" w14:paraId="506CA099" w14:textId="77777777" w:rsidTr="00087418">
        <w:trPr>
          <w:trHeight w:hRule="exact" w:val="340"/>
          <w:jc w:val="center"/>
        </w:trPr>
        <w:tc>
          <w:tcPr>
            <w:tcW w:w="1659" w:type="pct"/>
            <w:vAlign w:val="center"/>
          </w:tcPr>
          <w:p w14:paraId="414E5689"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灌木林地</w:t>
            </w:r>
          </w:p>
        </w:tc>
        <w:tc>
          <w:tcPr>
            <w:tcW w:w="1695" w:type="pct"/>
            <w:vAlign w:val="center"/>
          </w:tcPr>
          <w:p w14:paraId="755A8F0C"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29.11 </w:t>
            </w:r>
          </w:p>
        </w:tc>
        <w:tc>
          <w:tcPr>
            <w:tcW w:w="1646" w:type="pct"/>
            <w:vAlign w:val="center"/>
          </w:tcPr>
          <w:p w14:paraId="2E2EB1ED"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2.12 </w:t>
            </w:r>
          </w:p>
        </w:tc>
      </w:tr>
      <w:tr w:rsidR="00697429" w:rsidRPr="00092862" w14:paraId="452133A9" w14:textId="77777777" w:rsidTr="00087418">
        <w:trPr>
          <w:trHeight w:hRule="exact" w:val="340"/>
          <w:jc w:val="center"/>
        </w:trPr>
        <w:tc>
          <w:tcPr>
            <w:tcW w:w="1659" w:type="pct"/>
            <w:vAlign w:val="center"/>
          </w:tcPr>
          <w:p w14:paraId="7259DCB4"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其他草地</w:t>
            </w:r>
          </w:p>
        </w:tc>
        <w:tc>
          <w:tcPr>
            <w:tcW w:w="1695" w:type="pct"/>
            <w:vAlign w:val="center"/>
          </w:tcPr>
          <w:p w14:paraId="7C74DE65"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11.71 </w:t>
            </w:r>
          </w:p>
        </w:tc>
        <w:tc>
          <w:tcPr>
            <w:tcW w:w="1646" w:type="pct"/>
            <w:vAlign w:val="center"/>
          </w:tcPr>
          <w:p w14:paraId="2A84D662"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0.85 </w:t>
            </w:r>
          </w:p>
        </w:tc>
      </w:tr>
      <w:tr w:rsidR="00697429" w:rsidRPr="00092862" w14:paraId="5CFFFF89" w14:textId="77777777" w:rsidTr="00087418">
        <w:trPr>
          <w:trHeight w:hRule="exact" w:val="340"/>
          <w:jc w:val="center"/>
        </w:trPr>
        <w:tc>
          <w:tcPr>
            <w:tcW w:w="1659" w:type="pct"/>
            <w:vAlign w:val="center"/>
          </w:tcPr>
          <w:p w14:paraId="25C7ADDE"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河流水面</w:t>
            </w:r>
          </w:p>
        </w:tc>
        <w:tc>
          <w:tcPr>
            <w:tcW w:w="1695" w:type="pct"/>
            <w:vAlign w:val="center"/>
          </w:tcPr>
          <w:p w14:paraId="7865DE75"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0.30 </w:t>
            </w:r>
          </w:p>
        </w:tc>
        <w:tc>
          <w:tcPr>
            <w:tcW w:w="1646" w:type="pct"/>
            <w:vAlign w:val="center"/>
          </w:tcPr>
          <w:p w14:paraId="77143346"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0.02 </w:t>
            </w:r>
          </w:p>
        </w:tc>
      </w:tr>
      <w:tr w:rsidR="00697429" w:rsidRPr="00092862" w14:paraId="65086011" w14:textId="77777777" w:rsidTr="00087418">
        <w:trPr>
          <w:trHeight w:hRule="exact" w:val="340"/>
          <w:jc w:val="center"/>
        </w:trPr>
        <w:tc>
          <w:tcPr>
            <w:tcW w:w="1659" w:type="pct"/>
            <w:vAlign w:val="center"/>
          </w:tcPr>
          <w:p w14:paraId="63FB1564"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坑塘水面</w:t>
            </w:r>
          </w:p>
        </w:tc>
        <w:tc>
          <w:tcPr>
            <w:tcW w:w="1695" w:type="pct"/>
            <w:vAlign w:val="center"/>
          </w:tcPr>
          <w:p w14:paraId="32708960"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1.05 </w:t>
            </w:r>
          </w:p>
        </w:tc>
        <w:tc>
          <w:tcPr>
            <w:tcW w:w="1646" w:type="pct"/>
            <w:vAlign w:val="center"/>
          </w:tcPr>
          <w:p w14:paraId="2252FEDE"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0.08 </w:t>
            </w:r>
          </w:p>
        </w:tc>
      </w:tr>
      <w:tr w:rsidR="00697429" w:rsidRPr="00092862" w14:paraId="7BAB00F9" w14:textId="77777777" w:rsidTr="00087418">
        <w:trPr>
          <w:trHeight w:hRule="exact" w:val="340"/>
          <w:jc w:val="center"/>
        </w:trPr>
        <w:tc>
          <w:tcPr>
            <w:tcW w:w="1659" w:type="pct"/>
            <w:vAlign w:val="center"/>
          </w:tcPr>
          <w:p w14:paraId="0D5A48B7"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住宅用地</w:t>
            </w:r>
          </w:p>
        </w:tc>
        <w:tc>
          <w:tcPr>
            <w:tcW w:w="1695" w:type="pct"/>
            <w:vAlign w:val="center"/>
          </w:tcPr>
          <w:p w14:paraId="5BA45478"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12.86 </w:t>
            </w:r>
          </w:p>
        </w:tc>
        <w:tc>
          <w:tcPr>
            <w:tcW w:w="1646" w:type="pct"/>
            <w:vAlign w:val="center"/>
          </w:tcPr>
          <w:p w14:paraId="4A495E14"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0.94 </w:t>
            </w:r>
          </w:p>
        </w:tc>
      </w:tr>
      <w:tr w:rsidR="00697429" w:rsidRPr="00092862" w14:paraId="706DE2DB" w14:textId="77777777" w:rsidTr="00087418">
        <w:trPr>
          <w:trHeight w:hRule="exact" w:val="340"/>
          <w:jc w:val="center"/>
        </w:trPr>
        <w:tc>
          <w:tcPr>
            <w:tcW w:w="1659" w:type="pct"/>
            <w:vAlign w:val="center"/>
          </w:tcPr>
          <w:p w14:paraId="6A515D3F"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公路用地</w:t>
            </w:r>
          </w:p>
        </w:tc>
        <w:tc>
          <w:tcPr>
            <w:tcW w:w="1695" w:type="pct"/>
            <w:vAlign w:val="center"/>
          </w:tcPr>
          <w:p w14:paraId="4E731F6A"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12.04 </w:t>
            </w:r>
          </w:p>
        </w:tc>
        <w:tc>
          <w:tcPr>
            <w:tcW w:w="1646" w:type="pct"/>
            <w:vAlign w:val="center"/>
          </w:tcPr>
          <w:p w14:paraId="31890412"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0.88 </w:t>
            </w:r>
          </w:p>
        </w:tc>
      </w:tr>
      <w:tr w:rsidR="00697429" w:rsidRPr="00092862" w14:paraId="4D5E2D81" w14:textId="77777777" w:rsidTr="00087418">
        <w:trPr>
          <w:trHeight w:hRule="exact" w:val="340"/>
          <w:jc w:val="center"/>
        </w:trPr>
        <w:tc>
          <w:tcPr>
            <w:tcW w:w="1659" w:type="pct"/>
            <w:vAlign w:val="center"/>
          </w:tcPr>
          <w:p w14:paraId="42A4CDDD"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工业用地</w:t>
            </w:r>
          </w:p>
        </w:tc>
        <w:tc>
          <w:tcPr>
            <w:tcW w:w="1695" w:type="pct"/>
            <w:vAlign w:val="center"/>
          </w:tcPr>
          <w:p w14:paraId="477A7D1D"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2.44 </w:t>
            </w:r>
          </w:p>
        </w:tc>
        <w:tc>
          <w:tcPr>
            <w:tcW w:w="1646" w:type="pct"/>
            <w:vAlign w:val="center"/>
          </w:tcPr>
          <w:p w14:paraId="411E959B"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0.18 </w:t>
            </w:r>
          </w:p>
        </w:tc>
      </w:tr>
      <w:tr w:rsidR="00697429" w:rsidRPr="00092862" w14:paraId="554A2D15" w14:textId="77777777" w:rsidTr="00087418">
        <w:trPr>
          <w:trHeight w:hRule="exact" w:val="340"/>
          <w:jc w:val="center"/>
        </w:trPr>
        <w:tc>
          <w:tcPr>
            <w:tcW w:w="1659" w:type="pct"/>
            <w:vAlign w:val="center"/>
          </w:tcPr>
          <w:p w14:paraId="310491AB"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采矿用地</w:t>
            </w:r>
          </w:p>
        </w:tc>
        <w:tc>
          <w:tcPr>
            <w:tcW w:w="1695" w:type="pct"/>
            <w:vAlign w:val="center"/>
          </w:tcPr>
          <w:p w14:paraId="175524DD"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5.30 </w:t>
            </w:r>
          </w:p>
        </w:tc>
        <w:tc>
          <w:tcPr>
            <w:tcW w:w="1646" w:type="pct"/>
            <w:vAlign w:val="center"/>
          </w:tcPr>
          <w:p w14:paraId="387400A9"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0.39 </w:t>
            </w:r>
          </w:p>
        </w:tc>
      </w:tr>
      <w:tr w:rsidR="00697429" w:rsidRPr="00092862" w14:paraId="7254B1F1" w14:textId="77777777" w:rsidTr="00087418">
        <w:trPr>
          <w:trHeight w:hRule="exact" w:val="340"/>
          <w:jc w:val="center"/>
        </w:trPr>
        <w:tc>
          <w:tcPr>
            <w:tcW w:w="1659" w:type="pct"/>
            <w:vAlign w:val="center"/>
          </w:tcPr>
          <w:p w14:paraId="19B068BB"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合计</w:t>
            </w:r>
          </w:p>
        </w:tc>
        <w:tc>
          <w:tcPr>
            <w:tcW w:w="1695" w:type="pct"/>
            <w:vAlign w:val="center"/>
          </w:tcPr>
          <w:p w14:paraId="1FAE8934"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1370.53 </w:t>
            </w:r>
          </w:p>
        </w:tc>
        <w:tc>
          <w:tcPr>
            <w:tcW w:w="1646" w:type="pct"/>
            <w:vAlign w:val="center"/>
          </w:tcPr>
          <w:p w14:paraId="05D25D5F" w14:textId="77777777" w:rsidR="00087418" w:rsidRPr="00092862" w:rsidRDefault="00087418" w:rsidP="00A75B69">
            <w:pPr>
              <w:widowControl/>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100.00 </w:t>
            </w:r>
          </w:p>
        </w:tc>
      </w:tr>
    </w:tbl>
    <w:p w14:paraId="1009A482" w14:textId="39D9AFE2" w:rsidR="00F96F41" w:rsidRPr="00092862" w:rsidRDefault="00087418" w:rsidP="002C4161">
      <w:pPr>
        <w:adjustRightInd w:val="0"/>
        <w:snapToGrid w:val="0"/>
        <w:spacing w:beforeLines="50" w:before="120" w:line="360" w:lineRule="auto"/>
        <w:ind w:firstLineChars="200" w:firstLine="480"/>
        <w:rPr>
          <w:rFonts w:ascii="Times New Roman"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由表</w:t>
      </w:r>
      <w:r w:rsidRPr="00092862">
        <w:rPr>
          <w:rFonts w:ascii="Times New Roman" w:eastAsia="宋体" w:hAnsi="Times New Roman" w:cs="Times New Roman"/>
          <w:color w:val="000000" w:themeColor="text1"/>
          <w:sz w:val="24"/>
          <w:szCs w:val="24"/>
        </w:rPr>
        <w:t>4.3-4</w:t>
      </w:r>
      <w:r w:rsidRPr="00092862">
        <w:rPr>
          <w:rFonts w:ascii="Times New Roman" w:eastAsia="宋体" w:hAnsi="Times New Roman" w:cs="Times New Roman"/>
          <w:color w:val="000000" w:themeColor="text1"/>
          <w:sz w:val="24"/>
          <w:szCs w:val="24"/>
        </w:rPr>
        <w:t>看出，本次评价范围内乔木林地</w:t>
      </w:r>
      <w:r w:rsidRPr="00092862">
        <w:rPr>
          <w:rFonts w:ascii="Times New Roman" w:eastAsia="宋体" w:hAnsi="Times New Roman" w:cs="Times New Roman"/>
          <w:color w:val="000000" w:themeColor="text1"/>
          <w:kern w:val="0"/>
          <w:sz w:val="24"/>
          <w:szCs w:val="24"/>
        </w:rPr>
        <w:t>1136.67</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，占评价范围的</w:t>
      </w:r>
      <w:r w:rsidRPr="00092862">
        <w:rPr>
          <w:rFonts w:ascii="Times New Roman" w:eastAsia="宋体" w:hAnsi="Times New Roman" w:cs="Times New Roman"/>
          <w:color w:val="000000" w:themeColor="text1"/>
          <w:kern w:val="0"/>
          <w:sz w:val="24"/>
          <w:szCs w:val="24"/>
        </w:rPr>
        <w:t>82.94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，旱地</w:t>
      </w:r>
      <w:r w:rsidRPr="00092862">
        <w:rPr>
          <w:rFonts w:ascii="Times New Roman" w:eastAsia="宋体" w:hAnsi="Times New Roman" w:cs="Times New Roman"/>
          <w:color w:val="000000" w:themeColor="text1"/>
          <w:kern w:val="0"/>
          <w:sz w:val="24"/>
          <w:szCs w:val="24"/>
        </w:rPr>
        <w:t>132.12</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，占评价范围的</w:t>
      </w:r>
      <w:r w:rsidRPr="00092862">
        <w:rPr>
          <w:rFonts w:ascii="Times New Roman" w:eastAsia="宋体" w:hAnsi="Times New Roman" w:cs="Times New Roman"/>
          <w:color w:val="000000" w:themeColor="text1"/>
          <w:kern w:val="0"/>
          <w:sz w:val="24"/>
          <w:szCs w:val="24"/>
        </w:rPr>
        <w:t>9.64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，其余地类均低于</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。综上，本次评价范围内土地类型以乔木林地和旱地为主</w:t>
      </w:r>
      <w:r w:rsidR="00F96F41" w:rsidRPr="00092862">
        <w:rPr>
          <w:rFonts w:ascii="Times New Roman" w:hAnsi="Times New Roman" w:cs="Times New Roman"/>
          <w:color w:val="000000" w:themeColor="text1"/>
          <w:sz w:val="24"/>
          <w:szCs w:val="24"/>
        </w:rPr>
        <w:t>。</w:t>
      </w:r>
    </w:p>
    <w:p w14:paraId="3E06DBC5" w14:textId="77777777" w:rsidR="00087418" w:rsidRPr="00092862" w:rsidRDefault="00087418" w:rsidP="00087418">
      <w:pPr>
        <w:adjustRightInd w:val="0"/>
        <w:snapToGrid w:val="0"/>
        <w:spacing w:beforeLines="50" w:before="120" w:line="360" w:lineRule="auto"/>
        <w:ind w:firstLineChars="200" w:firstLine="482"/>
        <w:outlineLvl w:val="3"/>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w:t>
      </w:r>
      <w:bookmarkStart w:id="182" w:name="_Toc296319726"/>
      <w:r w:rsidRPr="00092862">
        <w:rPr>
          <w:rFonts w:ascii="Times New Roman" w:eastAsia="宋体" w:hAnsi="Times New Roman" w:cs="Times New Roman"/>
          <w:b/>
          <w:bCs/>
          <w:color w:val="000000" w:themeColor="text1"/>
          <w:sz w:val="24"/>
        </w:rPr>
        <w:t>评价范围土壤侵蚀特点</w:t>
      </w:r>
      <w:bookmarkEnd w:id="182"/>
    </w:p>
    <w:p w14:paraId="2829DE39" w14:textId="77777777" w:rsidR="00087418" w:rsidRPr="00092862" w:rsidRDefault="00087418" w:rsidP="00087418">
      <w:pPr>
        <w:adjustRightInd w:val="0"/>
        <w:snapToGrid w:val="0"/>
        <w:spacing w:beforeLines="50" w:before="120" w:line="360" w:lineRule="auto"/>
        <w:ind w:firstLineChars="200" w:firstLine="480"/>
        <w:outlineLvl w:val="4"/>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）土壤侵蚀强度分类与遥感影像特征</w:t>
      </w:r>
    </w:p>
    <w:p w14:paraId="531C1E2F" w14:textId="693EF963" w:rsidR="00F96F41" w:rsidRPr="00092862" w:rsidRDefault="00087418" w:rsidP="00087418">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参照《生态环境状况评价技术规范》（</w:t>
      </w:r>
      <w:r w:rsidRPr="00092862">
        <w:rPr>
          <w:rFonts w:ascii="Times New Roman" w:eastAsia="宋体" w:hAnsi="Times New Roman" w:cs="Times New Roman"/>
          <w:color w:val="000000" w:themeColor="text1"/>
          <w:sz w:val="24"/>
        </w:rPr>
        <w:t>HJ192-2015</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2015-03-13</w:t>
      </w:r>
      <w:r w:rsidRPr="00092862">
        <w:rPr>
          <w:rFonts w:ascii="Times New Roman" w:eastAsia="宋体" w:hAnsi="Times New Roman" w:cs="Times New Roman"/>
          <w:color w:val="000000" w:themeColor="text1"/>
          <w:sz w:val="24"/>
        </w:rPr>
        <w:t>）、《土壤</w:t>
      </w:r>
      <w:r w:rsidRPr="00092862">
        <w:rPr>
          <w:rFonts w:ascii="Times New Roman" w:eastAsia="宋体" w:hAnsi="Times New Roman" w:cs="Times New Roman"/>
          <w:color w:val="000000" w:themeColor="text1"/>
          <w:sz w:val="24"/>
        </w:rPr>
        <w:lastRenderedPageBreak/>
        <w:t>侵蚀分类分级标准》（</w:t>
      </w:r>
      <w:r w:rsidRPr="00092862">
        <w:rPr>
          <w:rFonts w:ascii="Times New Roman" w:eastAsia="宋体" w:hAnsi="Times New Roman" w:cs="Times New Roman"/>
          <w:color w:val="000000" w:themeColor="text1"/>
          <w:sz w:val="24"/>
        </w:rPr>
        <w:t>SL190-2007</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2008-01-04</w:t>
      </w:r>
      <w:r w:rsidRPr="00092862">
        <w:rPr>
          <w:rFonts w:ascii="Times New Roman" w:eastAsia="宋体" w:hAnsi="Times New Roman" w:cs="Times New Roman"/>
          <w:color w:val="000000" w:themeColor="text1"/>
          <w:sz w:val="24"/>
        </w:rPr>
        <w:t>）中侵蚀强度分级参考指标（表</w:t>
      </w:r>
      <w:r w:rsidRPr="00092862">
        <w:rPr>
          <w:rFonts w:ascii="Times New Roman" w:eastAsia="宋体" w:hAnsi="Times New Roman" w:cs="Times New Roman"/>
          <w:color w:val="000000" w:themeColor="text1"/>
          <w:sz w:val="24"/>
        </w:rPr>
        <w:t>4.3-5</w:t>
      </w:r>
      <w:r w:rsidRPr="00092862">
        <w:rPr>
          <w:rFonts w:ascii="Times New Roman" w:eastAsia="宋体" w:hAnsi="Times New Roman" w:cs="Times New Roman"/>
          <w:color w:val="000000" w:themeColor="text1"/>
          <w:sz w:val="24"/>
        </w:rPr>
        <w:t>），以气候、地表物质组成、植被覆盖度、土地利用现状、水土保持措施及地形因素中的沟谷密度、坡度等因素为划分依据，将评价范围内土壤侵蚀划分为</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个等级。评价范围土壤侵蚀现状见表</w:t>
      </w:r>
      <w:r w:rsidRPr="00092862">
        <w:rPr>
          <w:rFonts w:ascii="Times New Roman" w:eastAsia="宋体" w:hAnsi="Times New Roman" w:cs="Times New Roman"/>
          <w:color w:val="000000" w:themeColor="text1"/>
          <w:sz w:val="24"/>
        </w:rPr>
        <w:t>4.3-6</w:t>
      </w:r>
      <w:r w:rsidRPr="00092862">
        <w:rPr>
          <w:rFonts w:ascii="Times New Roman" w:eastAsia="宋体" w:hAnsi="Times New Roman" w:cs="Times New Roman"/>
          <w:color w:val="000000" w:themeColor="text1"/>
          <w:sz w:val="24"/>
        </w:rPr>
        <w:t>及《附图</w:t>
      </w:r>
      <w:r w:rsidRPr="00092862">
        <w:rPr>
          <w:rFonts w:ascii="Times New Roman" w:eastAsia="宋体" w:hAnsi="Times New Roman" w:cs="Times New Roman"/>
          <w:color w:val="000000" w:themeColor="text1"/>
          <w:sz w:val="24"/>
        </w:rPr>
        <w:t xml:space="preserve"> </w:t>
      </w:r>
      <w:r w:rsidRPr="00092862">
        <w:rPr>
          <w:rFonts w:ascii="Times New Roman" w:eastAsia="宋体" w:hAnsi="Times New Roman" w:cs="Times New Roman"/>
          <w:color w:val="000000" w:themeColor="text1"/>
          <w:sz w:val="24"/>
        </w:rPr>
        <w:t>评价区土壤侵蚀图》</w:t>
      </w:r>
      <w:r w:rsidR="00F96F41" w:rsidRPr="00092862">
        <w:rPr>
          <w:rFonts w:ascii="Times New Roman" w:hAnsi="Times New Roman" w:cs="Times New Roman"/>
          <w:color w:val="000000" w:themeColor="text1"/>
          <w:sz w:val="24"/>
        </w:rPr>
        <w:t>。</w:t>
      </w:r>
    </w:p>
    <w:p w14:paraId="78BECA50"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4.3-5 </w:t>
      </w:r>
      <w:r w:rsidRPr="00092862">
        <w:rPr>
          <w:rFonts w:ascii="Times New Roman" w:eastAsia="黑体" w:hAnsi="Times New Roman"/>
          <w:color w:val="000000" w:themeColor="text1"/>
          <w:sz w:val="21"/>
          <w:szCs w:val="21"/>
          <w:lang w:eastAsia="zh-CN"/>
        </w:rPr>
        <w:t>土壤侵蚀强度分级指标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2"/>
        <w:gridCol w:w="4188"/>
      </w:tblGrid>
      <w:tr w:rsidR="00697429" w:rsidRPr="00092862" w14:paraId="5CEF404A" w14:textId="77777777" w:rsidTr="007A614F">
        <w:trPr>
          <w:trHeight w:hRule="exact" w:val="397"/>
          <w:jc w:val="center"/>
        </w:trPr>
        <w:tc>
          <w:tcPr>
            <w:tcW w:w="2477" w:type="pct"/>
            <w:vAlign w:val="center"/>
          </w:tcPr>
          <w:p w14:paraId="4A6445B7" w14:textId="77777777" w:rsidR="00F96F41" w:rsidRPr="00092862" w:rsidRDefault="00F96F41" w:rsidP="007203CB">
            <w:pPr>
              <w:pStyle w:val="aa"/>
              <w:jc w:val="center"/>
              <w:rPr>
                <w:rFonts w:ascii="Times New Roman" w:hAnsi="Times New Roman"/>
                <w:b/>
                <w:color w:val="000000" w:themeColor="text1"/>
                <w:sz w:val="21"/>
                <w:szCs w:val="21"/>
              </w:rPr>
            </w:pPr>
            <w:r w:rsidRPr="00092862">
              <w:rPr>
                <w:rFonts w:ascii="Times New Roman" w:hAnsi="Times New Roman"/>
                <w:b/>
                <w:color w:val="000000" w:themeColor="text1"/>
                <w:sz w:val="21"/>
                <w:szCs w:val="21"/>
              </w:rPr>
              <w:t>侵蚀等级</w:t>
            </w:r>
          </w:p>
        </w:tc>
        <w:tc>
          <w:tcPr>
            <w:tcW w:w="2523" w:type="pct"/>
            <w:vAlign w:val="center"/>
          </w:tcPr>
          <w:p w14:paraId="03D351A1" w14:textId="77777777" w:rsidR="00F96F41" w:rsidRPr="00092862" w:rsidRDefault="00F96F41" w:rsidP="007203CB">
            <w:pPr>
              <w:pStyle w:val="aa"/>
              <w:ind w:firstLine="420"/>
              <w:jc w:val="center"/>
              <w:rPr>
                <w:rFonts w:ascii="Times New Roman" w:hAnsi="Times New Roman"/>
                <w:b/>
                <w:color w:val="000000" w:themeColor="text1"/>
                <w:sz w:val="21"/>
                <w:szCs w:val="21"/>
                <w:lang w:eastAsia="zh-CN"/>
              </w:rPr>
            </w:pPr>
            <w:r w:rsidRPr="00092862">
              <w:rPr>
                <w:rFonts w:ascii="Times New Roman" w:hAnsi="Times New Roman"/>
                <w:b/>
                <w:color w:val="000000" w:themeColor="text1"/>
                <w:sz w:val="21"/>
                <w:szCs w:val="21"/>
                <w:lang w:eastAsia="zh-CN"/>
              </w:rPr>
              <w:t>侵蚀模数（</w:t>
            </w:r>
            <w:r w:rsidRPr="00092862">
              <w:rPr>
                <w:rFonts w:ascii="Times New Roman" w:hAnsi="Times New Roman"/>
                <w:b/>
                <w:color w:val="000000" w:themeColor="text1"/>
                <w:sz w:val="21"/>
                <w:szCs w:val="21"/>
                <w:lang w:eastAsia="zh-CN"/>
              </w:rPr>
              <w:t>t/km</w:t>
            </w:r>
            <w:r w:rsidRPr="00092862">
              <w:rPr>
                <w:rFonts w:ascii="Times New Roman" w:hAnsi="Times New Roman"/>
                <w:b/>
                <w:color w:val="000000" w:themeColor="text1"/>
                <w:sz w:val="21"/>
                <w:szCs w:val="21"/>
                <w:vertAlign w:val="superscript"/>
                <w:lang w:eastAsia="zh-CN"/>
              </w:rPr>
              <w:t>2</w:t>
            </w:r>
            <w:r w:rsidRPr="00092862">
              <w:rPr>
                <w:rFonts w:ascii="Times New Roman" w:hAnsi="Times New Roman"/>
                <w:b/>
                <w:color w:val="000000" w:themeColor="text1"/>
                <w:sz w:val="21"/>
                <w:szCs w:val="21"/>
                <w:lang w:eastAsia="zh-CN"/>
              </w:rPr>
              <w:t>.a</w:t>
            </w:r>
            <w:r w:rsidRPr="00092862">
              <w:rPr>
                <w:rFonts w:ascii="Times New Roman" w:hAnsi="Times New Roman"/>
                <w:b/>
                <w:color w:val="000000" w:themeColor="text1"/>
                <w:sz w:val="21"/>
                <w:szCs w:val="21"/>
                <w:lang w:eastAsia="zh-CN"/>
              </w:rPr>
              <w:t>）</w:t>
            </w:r>
          </w:p>
        </w:tc>
      </w:tr>
      <w:tr w:rsidR="00697429" w:rsidRPr="00092862" w14:paraId="1380A69A" w14:textId="77777777" w:rsidTr="007A614F">
        <w:trPr>
          <w:trHeight w:hRule="exact" w:val="397"/>
          <w:jc w:val="center"/>
        </w:trPr>
        <w:tc>
          <w:tcPr>
            <w:tcW w:w="2477" w:type="pct"/>
            <w:vAlign w:val="center"/>
          </w:tcPr>
          <w:p w14:paraId="61823691" w14:textId="77777777" w:rsidR="00F96F41" w:rsidRPr="00092862" w:rsidRDefault="00F96F41" w:rsidP="007203CB">
            <w:pPr>
              <w:pStyle w:val="af0"/>
              <w:ind w:left="88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微度侵蚀</w:t>
            </w:r>
          </w:p>
        </w:tc>
        <w:tc>
          <w:tcPr>
            <w:tcW w:w="2523" w:type="pct"/>
            <w:vAlign w:val="center"/>
          </w:tcPr>
          <w:p w14:paraId="5B7430CA" w14:textId="77777777" w:rsidR="00F96F41" w:rsidRPr="00092862" w:rsidRDefault="00F96F41" w:rsidP="007203CB">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500</w:t>
            </w:r>
          </w:p>
        </w:tc>
      </w:tr>
      <w:tr w:rsidR="00697429" w:rsidRPr="00092862" w14:paraId="64914EFA" w14:textId="77777777" w:rsidTr="007A614F">
        <w:trPr>
          <w:trHeight w:hRule="exact" w:val="397"/>
          <w:jc w:val="center"/>
        </w:trPr>
        <w:tc>
          <w:tcPr>
            <w:tcW w:w="2477" w:type="pct"/>
            <w:vAlign w:val="center"/>
          </w:tcPr>
          <w:p w14:paraId="49842707" w14:textId="77777777" w:rsidR="00F96F41" w:rsidRPr="00092862" w:rsidRDefault="00F96F41" w:rsidP="007203CB">
            <w:pPr>
              <w:pStyle w:val="af0"/>
              <w:ind w:left="88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轻度侵蚀</w:t>
            </w:r>
          </w:p>
        </w:tc>
        <w:tc>
          <w:tcPr>
            <w:tcW w:w="2523" w:type="pct"/>
            <w:vAlign w:val="center"/>
          </w:tcPr>
          <w:p w14:paraId="6DDA2383" w14:textId="77777777" w:rsidR="00F96F41" w:rsidRPr="00092862" w:rsidRDefault="00F96F41" w:rsidP="007203CB">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500</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2500</w:t>
            </w:r>
          </w:p>
        </w:tc>
      </w:tr>
      <w:tr w:rsidR="00697429" w:rsidRPr="00092862" w14:paraId="5DA68500" w14:textId="77777777" w:rsidTr="007A614F">
        <w:trPr>
          <w:trHeight w:hRule="exact" w:val="397"/>
          <w:jc w:val="center"/>
        </w:trPr>
        <w:tc>
          <w:tcPr>
            <w:tcW w:w="2477" w:type="pct"/>
            <w:vAlign w:val="center"/>
          </w:tcPr>
          <w:p w14:paraId="358FA65C" w14:textId="77777777" w:rsidR="00F96F41" w:rsidRPr="00092862" w:rsidRDefault="00F96F41" w:rsidP="007203CB">
            <w:pPr>
              <w:pStyle w:val="af0"/>
              <w:ind w:left="88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中度侵蚀</w:t>
            </w:r>
          </w:p>
        </w:tc>
        <w:tc>
          <w:tcPr>
            <w:tcW w:w="2523" w:type="pct"/>
            <w:vAlign w:val="center"/>
          </w:tcPr>
          <w:p w14:paraId="62EDF395" w14:textId="77777777" w:rsidR="00F96F41" w:rsidRPr="00092862" w:rsidRDefault="00F96F41" w:rsidP="007203CB">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2500</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5000</w:t>
            </w:r>
          </w:p>
        </w:tc>
      </w:tr>
      <w:tr w:rsidR="00697429" w:rsidRPr="00092862" w14:paraId="00024FD7" w14:textId="77777777" w:rsidTr="007A614F">
        <w:trPr>
          <w:trHeight w:hRule="exact" w:val="397"/>
          <w:jc w:val="center"/>
        </w:trPr>
        <w:tc>
          <w:tcPr>
            <w:tcW w:w="2477" w:type="pct"/>
            <w:vAlign w:val="center"/>
          </w:tcPr>
          <w:p w14:paraId="58494417" w14:textId="77777777" w:rsidR="00F96F41" w:rsidRPr="00092862" w:rsidRDefault="00F96F41" w:rsidP="007203CB">
            <w:pPr>
              <w:pStyle w:val="af0"/>
              <w:ind w:left="88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强度侵蚀</w:t>
            </w:r>
          </w:p>
        </w:tc>
        <w:tc>
          <w:tcPr>
            <w:tcW w:w="2523" w:type="pct"/>
            <w:vAlign w:val="center"/>
          </w:tcPr>
          <w:p w14:paraId="0DC60033" w14:textId="77777777" w:rsidR="00F96F41" w:rsidRPr="00092862" w:rsidRDefault="00F96F41" w:rsidP="007203CB">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5000</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8000</w:t>
            </w:r>
          </w:p>
        </w:tc>
      </w:tr>
      <w:tr w:rsidR="00697429" w:rsidRPr="00092862" w14:paraId="584EA374" w14:textId="77777777" w:rsidTr="007A614F">
        <w:trPr>
          <w:trHeight w:hRule="exact" w:val="397"/>
          <w:jc w:val="center"/>
        </w:trPr>
        <w:tc>
          <w:tcPr>
            <w:tcW w:w="2477" w:type="pct"/>
            <w:vAlign w:val="center"/>
          </w:tcPr>
          <w:p w14:paraId="73BD9E21" w14:textId="77777777" w:rsidR="00F96F41" w:rsidRPr="00092862" w:rsidRDefault="00F96F41" w:rsidP="007203CB">
            <w:pPr>
              <w:pStyle w:val="af0"/>
              <w:ind w:left="88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极强度侵蚀</w:t>
            </w:r>
          </w:p>
        </w:tc>
        <w:tc>
          <w:tcPr>
            <w:tcW w:w="2523" w:type="pct"/>
            <w:vAlign w:val="center"/>
          </w:tcPr>
          <w:p w14:paraId="4C684C94" w14:textId="77777777" w:rsidR="00F96F41" w:rsidRPr="00092862" w:rsidRDefault="00F96F41" w:rsidP="007203CB">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8000</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15000</w:t>
            </w:r>
          </w:p>
        </w:tc>
      </w:tr>
      <w:tr w:rsidR="00697429" w:rsidRPr="00092862" w14:paraId="15AFE53A" w14:textId="77777777" w:rsidTr="007A614F">
        <w:trPr>
          <w:trHeight w:hRule="exact" w:val="397"/>
          <w:jc w:val="center"/>
        </w:trPr>
        <w:tc>
          <w:tcPr>
            <w:tcW w:w="2477" w:type="pct"/>
            <w:vAlign w:val="center"/>
          </w:tcPr>
          <w:p w14:paraId="5BE1833D" w14:textId="77777777" w:rsidR="00F96F41" w:rsidRPr="00092862" w:rsidRDefault="00F96F41" w:rsidP="007203CB">
            <w:pPr>
              <w:pStyle w:val="af0"/>
              <w:ind w:left="88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剧烈侵蚀</w:t>
            </w:r>
          </w:p>
        </w:tc>
        <w:tc>
          <w:tcPr>
            <w:tcW w:w="2523" w:type="pct"/>
            <w:vAlign w:val="center"/>
          </w:tcPr>
          <w:p w14:paraId="75749CCA" w14:textId="77777777" w:rsidR="00F96F41" w:rsidRPr="00092862" w:rsidRDefault="00F96F41" w:rsidP="007203CB">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15000</w:t>
            </w:r>
          </w:p>
        </w:tc>
      </w:tr>
    </w:tbl>
    <w:p w14:paraId="17F98EA8"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4.3-6 </w:t>
      </w:r>
      <w:r w:rsidRPr="00092862">
        <w:rPr>
          <w:rFonts w:ascii="Times New Roman" w:eastAsia="黑体" w:hAnsi="Times New Roman"/>
          <w:color w:val="000000" w:themeColor="text1"/>
          <w:sz w:val="21"/>
          <w:szCs w:val="21"/>
          <w:lang w:eastAsia="zh-CN"/>
        </w:rPr>
        <w:t>评价范围内土壤侵蚀状况表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2"/>
        <w:gridCol w:w="2751"/>
        <w:gridCol w:w="2727"/>
      </w:tblGrid>
      <w:tr w:rsidR="00697429" w:rsidRPr="00092862" w14:paraId="2AD9A795" w14:textId="77777777" w:rsidTr="00087418">
        <w:trPr>
          <w:trHeight w:hRule="exact" w:val="397"/>
          <w:jc w:val="center"/>
        </w:trPr>
        <w:tc>
          <w:tcPr>
            <w:tcW w:w="1700" w:type="pct"/>
            <w:vAlign w:val="center"/>
          </w:tcPr>
          <w:p w14:paraId="309FC416" w14:textId="77777777" w:rsidR="00087418" w:rsidRPr="00092862" w:rsidRDefault="00087418" w:rsidP="00A75B69">
            <w:pPr>
              <w:widowControl/>
              <w:jc w:val="center"/>
              <w:rPr>
                <w:rFonts w:ascii="Times New Roman" w:eastAsia="宋体" w:hAnsi="Times New Roman" w:cs="Times New Roman"/>
                <w:b/>
                <w:color w:val="000000" w:themeColor="text1"/>
                <w:kern w:val="0"/>
                <w:szCs w:val="21"/>
              </w:rPr>
            </w:pPr>
            <w:r w:rsidRPr="00092862">
              <w:rPr>
                <w:rFonts w:ascii="Times New Roman" w:eastAsia="宋体" w:hAnsi="Times New Roman" w:cs="Times New Roman"/>
                <w:b/>
                <w:color w:val="000000" w:themeColor="text1"/>
                <w:kern w:val="0"/>
                <w:szCs w:val="21"/>
              </w:rPr>
              <w:t>土壤侵蚀强度</w:t>
            </w:r>
          </w:p>
        </w:tc>
        <w:tc>
          <w:tcPr>
            <w:tcW w:w="1657" w:type="pct"/>
            <w:vAlign w:val="center"/>
          </w:tcPr>
          <w:p w14:paraId="7C325615" w14:textId="77777777" w:rsidR="00087418" w:rsidRPr="00092862" w:rsidRDefault="00087418" w:rsidP="00A75B69">
            <w:pPr>
              <w:widowControl/>
              <w:jc w:val="center"/>
              <w:rPr>
                <w:rFonts w:ascii="Times New Roman" w:eastAsia="宋体" w:hAnsi="Times New Roman" w:cs="Times New Roman"/>
                <w:b/>
                <w:color w:val="000000" w:themeColor="text1"/>
                <w:kern w:val="0"/>
                <w:szCs w:val="21"/>
              </w:rPr>
            </w:pPr>
            <w:r w:rsidRPr="00092862">
              <w:rPr>
                <w:rFonts w:ascii="Times New Roman" w:eastAsia="宋体" w:hAnsi="Times New Roman" w:cs="Times New Roman"/>
                <w:b/>
                <w:color w:val="000000" w:themeColor="text1"/>
                <w:kern w:val="0"/>
                <w:szCs w:val="21"/>
              </w:rPr>
              <w:t>面积（</w:t>
            </w:r>
            <w:r w:rsidRPr="00092862">
              <w:rPr>
                <w:rFonts w:ascii="Times New Roman" w:eastAsia="宋体" w:hAnsi="Times New Roman" w:cs="Times New Roman"/>
                <w:b/>
                <w:color w:val="000000" w:themeColor="text1"/>
                <w:kern w:val="0"/>
                <w:szCs w:val="21"/>
              </w:rPr>
              <w:t>hm</w:t>
            </w:r>
            <w:r w:rsidRPr="00092862">
              <w:rPr>
                <w:rFonts w:ascii="Times New Roman" w:eastAsia="宋体" w:hAnsi="Times New Roman" w:cs="Times New Roman"/>
                <w:b/>
                <w:color w:val="000000" w:themeColor="text1"/>
                <w:kern w:val="0"/>
                <w:szCs w:val="21"/>
                <w:vertAlign w:val="superscript"/>
              </w:rPr>
              <w:t>2</w:t>
            </w:r>
            <w:r w:rsidRPr="00092862">
              <w:rPr>
                <w:rFonts w:ascii="Times New Roman" w:eastAsia="宋体" w:hAnsi="Times New Roman" w:cs="Times New Roman"/>
                <w:b/>
                <w:color w:val="000000" w:themeColor="text1"/>
                <w:kern w:val="0"/>
                <w:szCs w:val="21"/>
              </w:rPr>
              <w:t>）</w:t>
            </w:r>
          </w:p>
        </w:tc>
        <w:tc>
          <w:tcPr>
            <w:tcW w:w="1643" w:type="pct"/>
            <w:vAlign w:val="center"/>
          </w:tcPr>
          <w:p w14:paraId="321D5885" w14:textId="77777777" w:rsidR="00087418" w:rsidRPr="00092862" w:rsidRDefault="00087418" w:rsidP="00A75B69">
            <w:pPr>
              <w:widowControl/>
              <w:jc w:val="center"/>
              <w:rPr>
                <w:rFonts w:ascii="Times New Roman" w:eastAsia="宋体" w:hAnsi="Times New Roman" w:cs="Times New Roman"/>
                <w:b/>
                <w:color w:val="000000" w:themeColor="text1"/>
                <w:kern w:val="0"/>
                <w:szCs w:val="21"/>
              </w:rPr>
            </w:pPr>
            <w:r w:rsidRPr="00092862">
              <w:rPr>
                <w:rFonts w:ascii="Times New Roman" w:eastAsia="宋体" w:hAnsi="Times New Roman" w:cs="Times New Roman"/>
                <w:b/>
                <w:color w:val="000000" w:themeColor="text1"/>
                <w:kern w:val="0"/>
                <w:szCs w:val="21"/>
              </w:rPr>
              <w:t>百分比（</w:t>
            </w:r>
            <w:r w:rsidRPr="00092862">
              <w:rPr>
                <w:rFonts w:ascii="Times New Roman" w:eastAsia="宋体" w:hAnsi="Times New Roman" w:cs="Times New Roman"/>
                <w:b/>
                <w:color w:val="000000" w:themeColor="text1"/>
                <w:kern w:val="0"/>
                <w:szCs w:val="21"/>
              </w:rPr>
              <w:t>%</w:t>
            </w:r>
            <w:r w:rsidRPr="00092862">
              <w:rPr>
                <w:rFonts w:ascii="Times New Roman" w:eastAsia="宋体" w:hAnsi="Times New Roman" w:cs="Times New Roman"/>
                <w:b/>
                <w:color w:val="000000" w:themeColor="text1"/>
                <w:kern w:val="0"/>
                <w:szCs w:val="21"/>
              </w:rPr>
              <w:t>）</w:t>
            </w:r>
          </w:p>
        </w:tc>
      </w:tr>
      <w:tr w:rsidR="00697429" w:rsidRPr="00092862" w14:paraId="13593632" w14:textId="77777777" w:rsidTr="00087418">
        <w:trPr>
          <w:trHeight w:hRule="exact" w:val="397"/>
          <w:jc w:val="center"/>
        </w:trPr>
        <w:tc>
          <w:tcPr>
            <w:tcW w:w="1700" w:type="pct"/>
            <w:vAlign w:val="center"/>
          </w:tcPr>
          <w:p w14:paraId="7AFEBA9E"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lang w:bidi="ar"/>
              </w:rPr>
              <w:t>微度侵蚀</w:t>
            </w:r>
          </w:p>
        </w:tc>
        <w:tc>
          <w:tcPr>
            <w:tcW w:w="1657" w:type="pct"/>
            <w:vAlign w:val="center"/>
          </w:tcPr>
          <w:p w14:paraId="194A4825"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1207.42 </w:t>
            </w:r>
          </w:p>
        </w:tc>
        <w:tc>
          <w:tcPr>
            <w:tcW w:w="1643" w:type="pct"/>
            <w:vAlign w:val="center"/>
          </w:tcPr>
          <w:p w14:paraId="51BE79F3"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88.10 </w:t>
            </w:r>
          </w:p>
        </w:tc>
      </w:tr>
      <w:tr w:rsidR="00697429" w:rsidRPr="00092862" w14:paraId="526632CC" w14:textId="77777777" w:rsidTr="00087418">
        <w:trPr>
          <w:trHeight w:hRule="exact" w:val="397"/>
          <w:jc w:val="center"/>
        </w:trPr>
        <w:tc>
          <w:tcPr>
            <w:tcW w:w="1700" w:type="pct"/>
            <w:vAlign w:val="center"/>
          </w:tcPr>
          <w:p w14:paraId="6080EA9D"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lang w:bidi="ar"/>
              </w:rPr>
              <w:t>轻度侵蚀</w:t>
            </w:r>
          </w:p>
        </w:tc>
        <w:tc>
          <w:tcPr>
            <w:tcW w:w="1657" w:type="pct"/>
            <w:vAlign w:val="center"/>
          </w:tcPr>
          <w:p w14:paraId="4CB569B1"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125.84 </w:t>
            </w:r>
          </w:p>
        </w:tc>
        <w:tc>
          <w:tcPr>
            <w:tcW w:w="1643" w:type="pct"/>
            <w:vAlign w:val="center"/>
          </w:tcPr>
          <w:p w14:paraId="66A49147"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9.18 </w:t>
            </w:r>
          </w:p>
        </w:tc>
      </w:tr>
      <w:tr w:rsidR="00697429" w:rsidRPr="00092862" w14:paraId="289FFE2E" w14:textId="77777777" w:rsidTr="00087418">
        <w:trPr>
          <w:trHeight w:hRule="exact" w:val="397"/>
          <w:jc w:val="center"/>
        </w:trPr>
        <w:tc>
          <w:tcPr>
            <w:tcW w:w="1700" w:type="pct"/>
            <w:vAlign w:val="center"/>
          </w:tcPr>
          <w:p w14:paraId="35B7AC6E"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lang w:bidi="ar"/>
              </w:rPr>
              <w:t>中度侵蚀</w:t>
            </w:r>
          </w:p>
        </w:tc>
        <w:tc>
          <w:tcPr>
            <w:tcW w:w="1657" w:type="pct"/>
            <w:vAlign w:val="center"/>
          </w:tcPr>
          <w:p w14:paraId="625EB626"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25.06 </w:t>
            </w:r>
          </w:p>
        </w:tc>
        <w:tc>
          <w:tcPr>
            <w:tcW w:w="1643" w:type="pct"/>
            <w:vAlign w:val="center"/>
          </w:tcPr>
          <w:p w14:paraId="667EC6DD"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1.83 </w:t>
            </w:r>
          </w:p>
        </w:tc>
      </w:tr>
      <w:tr w:rsidR="00697429" w:rsidRPr="00092862" w14:paraId="44241C45" w14:textId="77777777" w:rsidTr="00087418">
        <w:trPr>
          <w:trHeight w:hRule="exact" w:val="397"/>
          <w:jc w:val="center"/>
        </w:trPr>
        <w:tc>
          <w:tcPr>
            <w:tcW w:w="1700" w:type="pct"/>
            <w:vAlign w:val="bottom"/>
          </w:tcPr>
          <w:p w14:paraId="1CE6E1C9"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lang w:bidi="ar"/>
              </w:rPr>
              <w:t>强烈侵蚀</w:t>
            </w:r>
          </w:p>
        </w:tc>
        <w:tc>
          <w:tcPr>
            <w:tcW w:w="1657" w:type="pct"/>
            <w:vAlign w:val="center"/>
          </w:tcPr>
          <w:p w14:paraId="6070A2E6"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12.22 </w:t>
            </w:r>
          </w:p>
        </w:tc>
        <w:tc>
          <w:tcPr>
            <w:tcW w:w="1643" w:type="pct"/>
            <w:vAlign w:val="center"/>
          </w:tcPr>
          <w:p w14:paraId="5C264B50"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0.89 </w:t>
            </w:r>
          </w:p>
        </w:tc>
      </w:tr>
      <w:tr w:rsidR="00697429" w:rsidRPr="00092862" w14:paraId="5261A3BA" w14:textId="77777777" w:rsidTr="00087418">
        <w:trPr>
          <w:trHeight w:hRule="exact" w:val="397"/>
          <w:jc w:val="center"/>
        </w:trPr>
        <w:tc>
          <w:tcPr>
            <w:tcW w:w="1700" w:type="pct"/>
            <w:vAlign w:val="bottom"/>
          </w:tcPr>
          <w:p w14:paraId="385D6599"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lang w:bidi="ar"/>
              </w:rPr>
              <w:t>合计</w:t>
            </w:r>
          </w:p>
        </w:tc>
        <w:tc>
          <w:tcPr>
            <w:tcW w:w="1657" w:type="pct"/>
            <w:vAlign w:val="center"/>
          </w:tcPr>
          <w:p w14:paraId="720F72F3"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1370.53 </w:t>
            </w:r>
          </w:p>
        </w:tc>
        <w:tc>
          <w:tcPr>
            <w:tcW w:w="1643" w:type="pct"/>
            <w:vAlign w:val="center"/>
          </w:tcPr>
          <w:p w14:paraId="55B9C259" w14:textId="77777777" w:rsidR="00087418" w:rsidRPr="00092862" w:rsidRDefault="00087418" w:rsidP="00A75B69">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100.00 </w:t>
            </w:r>
          </w:p>
        </w:tc>
      </w:tr>
    </w:tbl>
    <w:p w14:paraId="63386FC7" w14:textId="77777777" w:rsidR="00F96F41" w:rsidRPr="00092862" w:rsidRDefault="00F96F41" w:rsidP="00F96F41">
      <w:pPr>
        <w:snapToGrid w:val="0"/>
        <w:jc w:val="center"/>
        <w:rPr>
          <w:rFonts w:ascii="Times New Roman" w:hAnsi="Times New Roman" w:cs="Times New Roman"/>
          <w:b/>
          <w:color w:val="000000" w:themeColor="text1"/>
          <w:szCs w:val="21"/>
        </w:rPr>
      </w:pPr>
    </w:p>
    <w:p w14:paraId="538BAD03" w14:textId="77777777" w:rsidR="00087418" w:rsidRPr="00092862" w:rsidRDefault="00087418" w:rsidP="00087418">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从表</w:t>
      </w:r>
      <w:r w:rsidRPr="00092862">
        <w:rPr>
          <w:rFonts w:ascii="Times New Roman" w:eastAsia="宋体" w:hAnsi="Times New Roman" w:cs="Times New Roman"/>
          <w:color w:val="000000" w:themeColor="text1"/>
          <w:sz w:val="24"/>
        </w:rPr>
        <w:t>4.3-6</w:t>
      </w:r>
      <w:r w:rsidRPr="00092862">
        <w:rPr>
          <w:rFonts w:ascii="Times New Roman" w:eastAsia="宋体" w:hAnsi="Times New Roman" w:cs="Times New Roman"/>
          <w:color w:val="000000" w:themeColor="text1"/>
          <w:sz w:val="24"/>
        </w:rPr>
        <w:t>可看出，本次评价范围内以微度侵蚀为主，其次为轻度侵蚀及中度侵蚀。</w:t>
      </w:r>
    </w:p>
    <w:p w14:paraId="30794015" w14:textId="77777777" w:rsidR="00087418" w:rsidRPr="00092862" w:rsidRDefault="00087418" w:rsidP="00087418">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评价范围内土壤侵蚀主要原因包含自然因素和人为因素，其中：</w:t>
      </w:r>
    </w:p>
    <w:p w14:paraId="369C2000" w14:textId="77777777" w:rsidR="00087418" w:rsidRPr="00092862" w:rsidRDefault="00087418" w:rsidP="00087418">
      <w:pPr>
        <w:adjustRightInd w:val="0"/>
        <w:snapToGrid w:val="0"/>
        <w:spacing w:line="360" w:lineRule="auto"/>
        <w:ind w:firstLineChars="200" w:firstLine="480"/>
        <w:outlineLvl w:val="4"/>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）自然因素</w:t>
      </w:r>
    </w:p>
    <w:p w14:paraId="1E846696" w14:textId="77777777" w:rsidR="00087418" w:rsidRPr="00092862" w:rsidRDefault="00087418" w:rsidP="00087418">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造成水土流失的自然因素主要有降雨、地形地貌、植被、地质、土壤等因素。</w:t>
      </w:r>
    </w:p>
    <w:p w14:paraId="58604003" w14:textId="77777777" w:rsidR="00087418" w:rsidRPr="00092862" w:rsidRDefault="00087418" w:rsidP="00087418">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降雨：降雨历时短，强度大，年平均降水量</w:t>
      </w:r>
      <w:r w:rsidRPr="00092862">
        <w:rPr>
          <w:rFonts w:ascii="Times New Roman" w:eastAsia="宋体" w:hAnsi="Times New Roman" w:cs="Times New Roman"/>
          <w:color w:val="000000" w:themeColor="text1"/>
          <w:sz w:val="24"/>
          <w:szCs w:val="24"/>
        </w:rPr>
        <w:t>1132.69mm</w:t>
      </w:r>
      <w:r w:rsidRPr="00092862">
        <w:rPr>
          <w:rFonts w:ascii="Times New Roman" w:eastAsia="宋体" w:hAnsi="Times New Roman" w:cs="Times New Roman"/>
          <w:color w:val="000000" w:themeColor="text1"/>
          <w:sz w:val="24"/>
          <w:szCs w:val="24"/>
        </w:rPr>
        <w:t>。</w:t>
      </w:r>
    </w:p>
    <w:p w14:paraId="7F84A3C7" w14:textId="77777777" w:rsidR="00087418" w:rsidRPr="00092862" w:rsidRDefault="00087418" w:rsidP="00087418">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szCs w:val="24"/>
        </w:rPr>
        <w:t>地形地貌：评价范围周围以中低山为主，坡面长，地面</w:t>
      </w:r>
      <w:r w:rsidRPr="00092862">
        <w:rPr>
          <w:rFonts w:ascii="Times New Roman" w:eastAsia="宋体" w:hAnsi="Times New Roman" w:cs="Times New Roman"/>
          <w:color w:val="000000" w:themeColor="text1"/>
          <w:sz w:val="24"/>
        </w:rPr>
        <w:t>径流汇集速度快，冲刷力强，加剧水土流失。</w:t>
      </w:r>
    </w:p>
    <w:p w14:paraId="1E8C10B1" w14:textId="77777777" w:rsidR="00087418" w:rsidRPr="00092862" w:rsidRDefault="00087418" w:rsidP="00087418">
      <w:pPr>
        <w:adjustRightInd w:val="0"/>
        <w:snapToGrid w:val="0"/>
        <w:spacing w:line="360" w:lineRule="auto"/>
        <w:ind w:firstLineChars="200" w:firstLine="480"/>
        <w:outlineLvl w:val="4"/>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）人为因素</w:t>
      </w:r>
    </w:p>
    <w:p w14:paraId="3EBD1173" w14:textId="77777777" w:rsidR="00087418" w:rsidRPr="00092862" w:rsidRDefault="00087418" w:rsidP="00087418">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由于种种历史原因，一些群众对水土保持工作认识不足，只顾眼前经济利益，不顾长远生态效益，毁林开荒、乱砍滥伐等现象依然存在，重开发、轻治</w:t>
      </w:r>
      <w:r w:rsidRPr="00092862">
        <w:rPr>
          <w:rFonts w:ascii="Times New Roman" w:eastAsia="宋体" w:hAnsi="Times New Roman" w:cs="Times New Roman"/>
          <w:color w:val="000000" w:themeColor="text1"/>
          <w:sz w:val="24"/>
        </w:rPr>
        <w:lastRenderedPageBreak/>
        <w:t>理，在开发建设和生产活动中无论是单位或个人都忽视水土保持措施，造成新的水土流失和破坏。</w:t>
      </w:r>
    </w:p>
    <w:p w14:paraId="765332BB" w14:textId="77777777" w:rsidR="00087418" w:rsidRPr="00092862" w:rsidRDefault="00087418" w:rsidP="00087418">
      <w:pPr>
        <w:numPr>
          <w:ilvl w:val="0"/>
          <w:numId w:val="28"/>
        </w:numPr>
        <w:adjustRightInd w:val="0"/>
        <w:snapToGrid w:val="0"/>
        <w:spacing w:beforeLines="50" w:before="120" w:line="360" w:lineRule="auto"/>
        <w:ind w:firstLineChars="200" w:firstLine="482"/>
        <w:outlineLvl w:val="3"/>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植被覆盖度分布特征</w:t>
      </w:r>
    </w:p>
    <w:p w14:paraId="70CE147C" w14:textId="77777777" w:rsidR="00087418" w:rsidRPr="00092862" w:rsidRDefault="00087418" w:rsidP="00087418">
      <w:pPr>
        <w:spacing w:afterLines="50" w:after="120" w:line="480" w:lineRule="exact"/>
        <w:ind w:firstLine="42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rPr>
        <w:t>植被覆盖度分析采用基于</w:t>
      </w:r>
      <w:r w:rsidRPr="00092862">
        <w:rPr>
          <w:rFonts w:ascii="Times New Roman" w:eastAsia="宋体" w:hAnsi="Times New Roman" w:cs="Times New Roman"/>
          <w:color w:val="000000" w:themeColor="text1"/>
          <w:sz w:val="24"/>
        </w:rPr>
        <w:t>NDVI</w:t>
      </w:r>
      <w:r w:rsidRPr="00092862">
        <w:rPr>
          <w:rFonts w:ascii="Times New Roman" w:eastAsia="宋体" w:hAnsi="Times New Roman" w:cs="Times New Roman"/>
          <w:color w:val="000000" w:themeColor="text1"/>
          <w:sz w:val="24"/>
        </w:rPr>
        <w:t>的像元二分模型法反演植被覆盖度。根据象元二分模型原理，可以将每个象元的</w:t>
      </w:r>
      <w:r w:rsidRPr="00092862">
        <w:rPr>
          <w:rFonts w:ascii="Times New Roman" w:eastAsia="宋体" w:hAnsi="Times New Roman" w:cs="Times New Roman"/>
          <w:color w:val="000000" w:themeColor="text1"/>
          <w:sz w:val="24"/>
        </w:rPr>
        <w:t>NDVI</w:t>
      </w:r>
      <w:r w:rsidRPr="00092862">
        <w:rPr>
          <w:rFonts w:ascii="Times New Roman" w:eastAsia="宋体" w:hAnsi="Times New Roman" w:cs="Times New Roman"/>
          <w:color w:val="000000" w:themeColor="text1"/>
          <w:sz w:val="24"/>
        </w:rPr>
        <w:t>值表示为植被覆盖部分和无植被覆盖部分组</w:t>
      </w:r>
      <w:r w:rsidRPr="00092862">
        <w:rPr>
          <w:rFonts w:ascii="Times New Roman" w:eastAsia="宋体" w:hAnsi="Times New Roman" w:cs="Times New Roman"/>
          <w:color w:val="000000" w:themeColor="text1"/>
          <w:sz w:val="24"/>
          <w:szCs w:val="24"/>
        </w:rPr>
        <w:t>成的形式，用公式可表示为：</w:t>
      </w:r>
    </w:p>
    <w:p w14:paraId="2CF4D042" w14:textId="77777777" w:rsidR="00087418" w:rsidRPr="00092862" w:rsidRDefault="00087418" w:rsidP="00087418">
      <w:pPr>
        <w:spacing w:afterLines="50" w:after="120" w:line="480" w:lineRule="exact"/>
        <w:ind w:firstLine="420"/>
        <w:jc w:val="center"/>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NDVI= NDVI</w:t>
      </w:r>
      <w:r w:rsidRPr="00092862">
        <w:rPr>
          <w:rFonts w:ascii="Times New Roman" w:eastAsia="宋体" w:hAnsi="Times New Roman" w:cs="Times New Roman"/>
          <w:color w:val="000000" w:themeColor="text1"/>
          <w:sz w:val="24"/>
          <w:szCs w:val="24"/>
          <w:vertAlign w:val="subscript"/>
        </w:rPr>
        <w:t>veg</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c</w:t>
      </w:r>
      <w:r w:rsidRPr="00092862">
        <w:rPr>
          <w:rFonts w:ascii="Times New Roman" w:eastAsia="宋体" w:hAnsi="Times New Roman" w:cs="Times New Roman"/>
          <w:color w:val="000000" w:themeColor="text1"/>
          <w:sz w:val="24"/>
          <w:szCs w:val="24"/>
        </w:rPr>
        <w:t>+ NDVI</w:t>
      </w:r>
      <w:r w:rsidRPr="00092862">
        <w:rPr>
          <w:rFonts w:ascii="Times New Roman" w:eastAsia="宋体" w:hAnsi="Times New Roman" w:cs="Times New Roman"/>
          <w:color w:val="000000" w:themeColor="text1"/>
          <w:sz w:val="24"/>
          <w:szCs w:val="24"/>
          <w:vertAlign w:val="subscript"/>
        </w:rPr>
        <w:t>soil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 f</w:t>
      </w:r>
      <w:r w:rsidRPr="00092862">
        <w:rPr>
          <w:rFonts w:ascii="Times New Roman" w:eastAsia="宋体" w:hAnsi="Times New Roman" w:cs="Times New Roman"/>
          <w:color w:val="000000" w:themeColor="text1"/>
          <w:sz w:val="24"/>
          <w:szCs w:val="24"/>
          <w:vertAlign w:val="subscript"/>
        </w:rPr>
        <w:t>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46E64D84" w14:textId="77777777" w:rsidR="00087418" w:rsidRPr="00092862" w:rsidRDefault="00087418" w:rsidP="00087418">
      <w:pPr>
        <w:spacing w:afterLines="50" w:after="120" w:line="480" w:lineRule="exact"/>
        <w:ind w:firstLine="42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式中：</w:t>
      </w:r>
      <w:r w:rsidRPr="00092862">
        <w:rPr>
          <w:rFonts w:ascii="Times New Roman" w:eastAsia="宋体" w:hAnsi="Times New Roman" w:cs="Times New Roman"/>
          <w:color w:val="000000" w:themeColor="text1"/>
          <w:sz w:val="24"/>
          <w:szCs w:val="24"/>
        </w:rPr>
        <w:t>NDVI</w:t>
      </w:r>
      <w:r w:rsidRPr="00092862">
        <w:rPr>
          <w:rFonts w:ascii="Times New Roman" w:eastAsia="宋体" w:hAnsi="Times New Roman" w:cs="Times New Roman"/>
          <w:color w:val="000000" w:themeColor="text1"/>
          <w:sz w:val="24"/>
          <w:szCs w:val="24"/>
          <w:vertAlign w:val="subscript"/>
        </w:rPr>
        <w:t>veg</w:t>
      </w:r>
      <w:r w:rsidRPr="00092862">
        <w:rPr>
          <w:rFonts w:ascii="Times New Roman" w:eastAsia="宋体" w:hAnsi="Times New Roman" w:cs="Times New Roman"/>
          <w:color w:val="000000" w:themeColor="text1"/>
          <w:sz w:val="24"/>
          <w:szCs w:val="24"/>
        </w:rPr>
        <w:t>代表完全由植被覆盖的象元的</w:t>
      </w:r>
      <w:r w:rsidRPr="00092862">
        <w:rPr>
          <w:rFonts w:ascii="Times New Roman" w:eastAsia="宋体" w:hAnsi="Times New Roman" w:cs="Times New Roman"/>
          <w:color w:val="000000" w:themeColor="text1"/>
          <w:sz w:val="24"/>
          <w:szCs w:val="24"/>
        </w:rPr>
        <w:t>NDVI</w:t>
      </w:r>
      <w:r w:rsidRPr="00092862">
        <w:rPr>
          <w:rFonts w:ascii="Times New Roman" w:eastAsia="宋体" w:hAnsi="Times New Roman" w:cs="Times New Roman"/>
          <w:color w:val="000000" w:themeColor="text1"/>
          <w:sz w:val="24"/>
          <w:szCs w:val="24"/>
        </w:rPr>
        <w:t>值；</w:t>
      </w:r>
      <w:r w:rsidRPr="00092862">
        <w:rPr>
          <w:rFonts w:ascii="Times New Roman" w:eastAsia="宋体" w:hAnsi="Times New Roman" w:cs="Times New Roman"/>
          <w:color w:val="000000" w:themeColor="text1"/>
          <w:sz w:val="24"/>
          <w:szCs w:val="24"/>
        </w:rPr>
        <w:t>NDVI</w:t>
      </w:r>
      <w:r w:rsidRPr="00092862">
        <w:rPr>
          <w:rFonts w:ascii="Times New Roman" w:eastAsia="宋体" w:hAnsi="Times New Roman" w:cs="Times New Roman"/>
          <w:color w:val="000000" w:themeColor="text1"/>
          <w:sz w:val="24"/>
          <w:szCs w:val="24"/>
          <w:vertAlign w:val="subscript"/>
        </w:rPr>
        <w:t>soil</w:t>
      </w:r>
      <w:r w:rsidRPr="00092862">
        <w:rPr>
          <w:rFonts w:ascii="Times New Roman" w:eastAsia="宋体" w:hAnsi="Times New Roman" w:cs="Times New Roman"/>
          <w:color w:val="000000" w:themeColor="text1"/>
          <w:sz w:val="24"/>
          <w:szCs w:val="24"/>
        </w:rPr>
        <w:t>代表完全无植被覆盖的象元</w:t>
      </w:r>
      <w:r w:rsidRPr="00092862">
        <w:rPr>
          <w:rFonts w:ascii="Times New Roman" w:eastAsia="宋体" w:hAnsi="Times New Roman" w:cs="Times New Roman"/>
          <w:color w:val="000000" w:themeColor="text1"/>
          <w:sz w:val="24"/>
          <w:szCs w:val="24"/>
        </w:rPr>
        <w:t>NDVI</w:t>
      </w:r>
      <w:r w:rsidRPr="00092862">
        <w:rPr>
          <w:rFonts w:ascii="Times New Roman" w:eastAsia="宋体" w:hAnsi="Times New Roman" w:cs="Times New Roman"/>
          <w:color w:val="000000" w:themeColor="text1"/>
          <w:sz w:val="24"/>
          <w:szCs w:val="24"/>
        </w:rPr>
        <w:t>值；</w:t>
      </w: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c</w:t>
      </w:r>
      <w:r w:rsidRPr="00092862">
        <w:rPr>
          <w:rFonts w:ascii="Times New Roman" w:eastAsia="宋体" w:hAnsi="Times New Roman" w:cs="Times New Roman"/>
          <w:color w:val="000000" w:themeColor="text1"/>
          <w:sz w:val="24"/>
          <w:szCs w:val="24"/>
        </w:rPr>
        <w:t>代表植被覆盖度。</w:t>
      </w:r>
    </w:p>
    <w:p w14:paraId="0C389D1E" w14:textId="77777777" w:rsidR="00087418" w:rsidRPr="00092862" w:rsidRDefault="00087418" w:rsidP="00087418">
      <w:pPr>
        <w:spacing w:afterLines="50" w:after="120" w:line="480" w:lineRule="exact"/>
        <w:ind w:firstLine="42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公式（</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）经变换即可得到植被覆盖度的计算公式：</w:t>
      </w:r>
    </w:p>
    <w:p w14:paraId="72F04B68" w14:textId="77777777" w:rsidR="00087418" w:rsidRPr="00092862" w:rsidRDefault="00087418" w:rsidP="00087418">
      <w:pPr>
        <w:spacing w:afterLines="50" w:after="120" w:line="480" w:lineRule="exact"/>
        <w:ind w:firstLine="420"/>
        <w:jc w:val="center"/>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f</w:t>
      </w:r>
      <w:r w:rsidRPr="00092862">
        <w:rPr>
          <w:rFonts w:ascii="Times New Roman" w:eastAsia="宋体" w:hAnsi="Times New Roman" w:cs="Times New Roman"/>
          <w:color w:val="000000" w:themeColor="text1"/>
          <w:sz w:val="24"/>
          <w:szCs w:val="24"/>
          <w:vertAlign w:val="subscript"/>
        </w:rPr>
        <w:t>c</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NDVI-NDVI</w:t>
      </w:r>
      <w:r w:rsidRPr="00092862">
        <w:rPr>
          <w:rFonts w:ascii="Times New Roman" w:eastAsia="宋体" w:hAnsi="Times New Roman" w:cs="Times New Roman"/>
          <w:color w:val="000000" w:themeColor="text1"/>
          <w:sz w:val="24"/>
          <w:szCs w:val="24"/>
          <w:vertAlign w:val="subscript"/>
        </w:rPr>
        <w:t>soil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NDVI</w:t>
      </w:r>
      <w:r w:rsidRPr="00092862">
        <w:rPr>
          <w:rFonts w:ascii="Times New Roman" w:eastAsia="宋体" w:hAnsi="Times New Roman" w:cs="Times New Roman"/>
          <w:color w:val="000000" w:themeColor="text1"/>
          <w:sz w:val="24"/>
          <w:szCs w:val="24"/>
          <w:vertAlign w:val="subscript"/>
        </w:rPr>
        <w:t>veg</w:t>
      </w:r>
      <w:r w:rsidRPr="00092862">
        <w:rPr>
          <w:rFonts w:ascii="Times New Roman" w:eastAsia="宋体" w:hAnsi="Times New Roman" w:cs="Times New Roman"/>
          <w:color w:val="000000" w:themeColor="text1"/>
          <w:sz w:val="24"/>
          <w:szCs w:val="24"/>
        </w:rPr>
        <w:t>-NDVI</w:t>
      </w:r>
      <w:r w:rsidRPr="00092862">
        <w:rPr>
          <w:rFonts w:ascii="Times New Roman" w:eastAsia="宋体" w:hAnsi="Times New Roman" w:cs="Times New Roman"/>
          <w:color w:val="000000" w:themeColor="text1"/>
          <w:sz w:val="24"/>
          <w:szCs w:val="24"/>
          <w:vertAlign w:val="subscript"/>
        </w:rPr>
        <w:t>soil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b</w:t>
      </w:r>
      <w:r w:rsidRPr="00092862">
        <w:rPr>
          <w:rFonts w:ascii="Times New Roman" w:eastAsia="宋体" w:hAnsi="Times New Roman" w:cs="Times New Roman"/>
          <w:color w:val="000000" w:themeColor="text1"/>
          <w:sz w:val="24"/>
          <w:szCs w:val="24"/>
        </w:rPr>
        <w:t>）</w:t>
      </w:r>
    </w:p>
    <w:p w14:paraId="69037BAB" w14:textId="0789C7E0" w:rsidR="00F96F41" w:rsidRPr="00092862" w:rsidRDefault="00087418" w:rsidP="00087418">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szCs w:val="24"/>
        </w:rPr>
        <w:t>根据公式（</w:t>
      </w:r>
      <w:r w:rsidRPr="00092862">
        <w:rPr>
          <w:rFonts w:ascii="Times New Roman" w:eastAsia="宋体" w:hAnsi="Times New Roman" w:cs="Times New Roman"/>
          <w:color w:val="000000" w:themeColor="text1"/>
          <w:sz w:val="24"/>
          <w:szCs w:val="24"/>
        </w:rPr>
        <w:t>b</w:t>
      </w:r>
      <w:r w:rsidRPr="00092862">
        <w:rPr>
          <w:rFonts w:ascii="Times New Roman" w:eastAsia="宋体" w:hAnsi="Times New Roman" w:cs="Times New Roman"/>
          <w:color w:val="000000" w:themeColor="text1"/>
          <w:sz w:val="24"/>
          <w:szCs w:val="24"/>
        </w:rPr>
        <w:t>），利用</w:t>
      </w:r>
      <w:r w:rsidRPr="00092862">
        <w:rPr>
          <w:rFonts w:ascii="Times New Roman" w:eastAsia="宋体" w:hAnsi="Times New Roman" w:cs="Times New Roman"/>
          <w:color w:val="000000" w:themeColor="text1"/>
          <w:sz w:val="24"/>
          <w:szCs w:val="24"/>
        </w:rPr>
        <w:t>ERDAS IMAGINE</w:t>
      </w:r>
      <w:r w:rsidRPr="00092862">
        <w:rPr>
          <w:rFonts w:ascii="Times New Roman" w:eastAsia="宋体" w:hAnsi="Times New Roman" w:cs="Times New Roman"/>
          <w:color w:val="000000" w:themeColor="text1"/>
          <w:sz w:val="24"/>
          <w:szCs w:val="24"/>
        </w:rPr>
        <w:t>中的</w:t>
      </w:r>
      <w:r w:rsidRPr="00092862">
        <w:rPr>
          <w:rFonts w:ascii="Times New Roman" w:eastAsia="宋体" w:hAnsi="Times New Roman" w:cs="Times New Roman"/>
          <w:color w:val="000000" w:themeColor="text1"/>
          <w:sz w:val="24"/>
          <w:szCs w:val="24"/>
        </w:rPr>
        <w:t>Modeler</w:t>
      </w:r>
      <w:r w:rsidRPr="00092862">
        <w:rPr>
          <w:rFonts w:ascii="Times New Roman" w:eastAsia="宋体" w:hAnsi="Times New Roman" w:cs="Times New Roman"/>
          <w:color w:val="000000" w:themeColor="text1"/>
          <w:sz w:val="24"/>
          <w:szCs w:val="24"/>
        </w:rPr>
        <w:t>模块建模编写程序来计算覆盖度，得到了评价区的植被覆盖度图。</w:t>
      </w:r>
      <w:r w:rsidRPr="00092862">
        <w:rPr>
          <w:rFonts w:ascii="Times New Roman" w:eastAsia="宋体" w:hAnsi="Times New Roman" w:cs="Times New Roman"/>
          <w:color w:val="000000" w:themeColor="text1"/>
          <w:sz w:val="24"/>
        </w:rPr>
        <w:t>根据遥感解译结果，参照《生态环境状况评价技术规范》（</w:t>
      </w:r>
      <w:r w:rsidRPr="00092862">
        <w:rPr>
          <w:rFonts w:ascii="Times New Roman" w:eastAsia="宋体" w:hAnsi="Times New Roman" w:cs="Times New Roman"/>
          <w:color w:val="000000" w:themeColor="text1"/>
          <w:sz w:val="24"/>
        </w:rPr>
        <w:t>HJ192-2015</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2015-03-13</w:t>
      </w:r>
      <w:r w:rsidRPr="00092862">
        <w:rPr>
          <w:rFonts w:ascii="Times New Roman" w:eastAsia="宋体" w:hAnsi="Times New Roman" w:cs="Times New Roman"/>
          <w:color w:val="000000" w:themeColor="text1"/>
          <w:sz w:val="24"/>
        </w:rPr>
        <w:t>）、《土壤侵蚀分类分级标准》（</w:t>
      </w:r>
      <w:r w:rsidRPr="00092862">
        <w:rPr>
          <w:rFonts w:ascii="Times New Roman" w:eastAsia="宋体" w:hAnsi="Times New Roman" w:cs="Times New Roman"/>
          <w:color w:val="000000" w:themeColor="text1"/>
          <w:sz w:val="24"/>
        </w:rPr>
        <w:t>SL190-2007</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2008-01-04</w:t>
      </w:r>
      <w:r w:rsidRPr="00092862">
        <w:rPr>
          <w:rFonts w:ascii="Times New Roman" w:eastAsia="宋体" w:hAnsi="Times New Roman" w:cs="Times New Roman"/>
          <w:color w:val="000000" w:themeColor="text1"/>
          <w:sz w:val="24"/>
        </w:rPr>
        <w:t>），评价区植被覆盖度划分为高覆盖度（</w:t>
      </w:r>
      <w:r w:rsidRPr="00092862">
        <w:rPr>
          <w:rFonts w:ascii="Times New Roman" w:eastAsia="宋体" w:hAnsi="Times New Roman" w:cs="Times New Roman"/>
          <w:color w:val="000000" w:themeColor="text1"/>
          <w:sz w:val="24"/>
        </w:rPr>
        <w:t>&gt;70%</w:t>
      </w:r>
      <w:r w:rsidRPr="00092862">
        <w:rPr>
          <w:rFonts w:ascii="Times New Roman" w:eastAsia="宋体" w:hAnsi="Times New Roman" w:cs="Times New Roman"/>
          <w:color w:val="000000" w:themeColor="text1"/>
          <w:sz w:val="24"/>
        </w:rPr>
        <w:t>）、中高覆盖度（</w:t>
      </w:r>
      <w:r w:rsidRPr="00092862">
        <w:rPr>
          <w:rFonts w:ascii="Times New Roman" w:eastAsia="宋体" w:hAnsi="Times New Roman" w:cs="Times New Roman"/>
          <w:color w:val="000000" w:themeColor="text1"/>
          <w:sz w:val="24"/>
        </w:rPr>
        <w:t>50%</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70%</w:t>
      </w:r>
      <w:r w:rsidRPr="00092862">
        <w:rPr>
          <w:rFonts w:ascii="Times New Roman" w:eastAsia="宋体" w:hAnsi="Times New Roman" w:cs="Times New Roman"/>
          <w:color w:val="000000" w:themeColor="text1"/>
          <w:sz w:val="24"/>
        </w:rPr>
        <w:t>）、中覆盖度（</w:t>
      </w:r>
      <w:r w:rsidRPr="00092862">
        <w:rPr>
          <w:rFonts w:ascii="Times New Roman" w:eastAsia="宋体" w:hAnsi="Times New Roman" w:cs="Times New Roman"/>
          <w:color w:val="000000" w:themeColor="text1"/>
          <w:sz w:val="24"/>
        </w:rPr>
        <w:t>30%</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50%</w:t>
      </w:r>
      <w:r w:rsidRPr="00092862">
        <w:rPr>
          <w:rFonts w:ascii="Times New Roman" w:eastAsia="宋体" w:hAnsi="Times New Roman" w:cs="Times New Roman"/>
          <w:color w:val="000000" w:themeColor="text1"/>
          <w:sz w:val="24"/>
        </w:rPr>
        <w:t>）、中低覆盖度（</w:t>
      </w:r>
      <w:r w:rsidRPr="00092862">
        <w:rPr>
          <w:rFonts w:ascii="Times New Roman" w:eastAsia="宋体" w:hAnsi="Times New Roman" w:cs="Times New Roman"/>
          <w:color w:val="000000" w:themeColor="text1"/>
          <w:sz w:val="24"/>
        </w:rPr>
        <w:t>10%-30%</w:t>
      </w:r>
      <w:r w:rsidRPr="00092862">
        <w:rPr>
          <w:rFonts w:ascii="Times New Roman" w:eastAsia="宋体" w:hAnsi="Times New Roman" w:cs="Times New Roman"/>
          <w:color w:val="000000" w:themeColor="text1"/>
          <w:sz w:val="24"/>
        </w:rPr>
        <w:t>）、极低覆盖度（</w:t>
      </w:r>
      <w:r w:rsidRPr="00092862">
        <w:rPr>
          <w:rFonts w:ascii="Times New Roman" w:eastAsia="宋体" w:hAnsi="Times New Roman" w:cs="Times New Roman"/>
          <w:color w:val="000000" w:themeColor="text1"/>
          <w:sz w:val="24"/>
        </w:rPr>
        <w:t>&lt;10%</w:t>
      </w:r>
      <w:r w:rsidRPr="00092862">
        <w:rPr>
          <w:rFonts w:ascii="Times New Roman" w:eastAsia="宋体" w:hAnsi="Times New Roman" w:cs="Times New Roman"/>
          <w:color w:val="000000" w:themeColor="text1"/>
          <w:sz w:val="24"/>
        </w:rPr>
        <w:t>）五个级别</w:t>
      </w:r>
      <w:bookmarkStart w:id="183" w:name="_Toc25682918"/>
      <w:r w:rsidRPr="00092862">
        <w:rPr>
          <w:rFonts w:ascii="Times New Roman" w:eastAsia="宋体" w:hAnsi="Times New Roman" w:cs="Times New Roman"/>
          <w:color w:val="000000" w:themeColor="text1"/>
          <w:sz w:val="24"/>
        </w:rPr>
        <w:t>，植被覆盖度分布特征及解译结果</w:t>
      </w:r>
      <w:bookmarkEnd w:id="183"/>
      <w:r w:rsidRPr="00092862">
        <w:rPr>
          <w:rFonts w:ascii="Times New Roman" w:eastAsia="宋体" w:hAnsi="Times New Roman" w:cs="Times New Roman"/>
          <w:color w:val="000000" w:themeColor="text1"/>
          <w:sz w:val="24"/>
        </w:rPr>
        <w:t>见下表</w:t>
      </w:r>
      <w:r w:rsidR="00D244AB" w:rsidRPr="00092862">
        <w:rPr>
          <w:rFonts w:ascii="Times New Roman" w:hAnsi="Times New Roman" w:cs="Times New Roman"/>
          <w:color w:val="000000" w:themeColor="text1"/>
          <w:sz w:val="24"/>
        </w:rPr>
        <w:t>。</w:t>
      </w:r>
    </w:p>
    <w:p w14:paraId="45AC45CF"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4.3-7 </w:t>
      </w:r>
      <w:r w:rsidRPr="00092862">
        <w:rPr>
          <w:rFonts w:ascii="Times New Roman" w:eastAsia="黑体" w:hAnsi="Times New Roman"/>
          <w:color w:val="000000" w:themeColor="text1"/>
          <w:sz w:val="21"/>
          <w:szCs w:val="21"/>
          <w:lang w:eastAsia="zh-CN"/>
        </w:rPr>
        <w:t>植被覆盖度分布面积统计表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34"/>
        <w:gridCol w:w="3034"/>
        <w:gridCol w:w="1632"/>
      </w:tblGrid>
      <w:tr w:rsidR="00697429" w:rsidRPr="00092862" w14:paraId="095C616E" w14:textId="77777777" w:rsidTr="00087418">
        <w:trPr>
          <w:trHeight w:hRule="exact" w:val="397"/>
          <w:jc w:val="center"/>
        </w:trPr>
        <w:tc>
          <w:tcPr>
            <w:tcW w:w="2189" w:type="pct"/>
            <w:vMerge w:val="restart"/>
            <w:shd w:val="clear" w:color="auto" w:fill="auto"/>
            <w:noWrap/>
            <w:vAlign w:val="center"/>
          </w:tcPr>
          <w:p w14:paraId="385AF943" w14:textId="77777777" w:rsidR="00087418" w:rsidRPr="00092862" w:rsidRDefault="00087418" w:rsidP="00A75B69">
            <w:pPr>
              <w:adjustRightInd w:val="0"/>
              <w:snapToGrid w:val="0"/>
              <w:spacing w:line="260" w:lineRule="exact"/>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植被覆盖度类型</w:t>
            </w:r>
          </w:p>
        </w:tc>
        <w:tc>
          <w:tcPr>
            <w:tcW w:w="2811" w:type="pct"/>
            <w:gridSpan w:val="2"/>
            <w:shd w:val="clear" w:color="000000" w:fill="FFFFFF"/>
            <w:noWrap/>
            <w:vAlign w:val="center"/>
          </w:tcPr>
          <w:p w14:paraId="15195EF4" w14:textId="77777777" w:rsidR="00087418" w:rsidRPr="00092862" w:rsidRDefault="00087418" w:rsidP="00A75B69">
            <w:pPr>
              <w:adjustRightInd w:val="0"/>
              <w:snapToGrid w:val="0"/>
              <w:spacing w:line="260" w:lineRule="exact"/>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评价区范围</w:t>
            </w:r>
          </w:p>
        </w:tc>
      </w:tr>
      <w:tr w:rsidR="00697429" w:rsidRPr="00092862" w14:paraId="15576C64" w14:textId="77777777" w:rsidTr="00087418">
        <w:trPr>
          <w:trHeight w:hRule="exact" w:val="397"/>
          <w:jc w:val="center"/>
        </w:trPr>
        <w:tc>
          <w:tcPr>
            <w:tcW w:w="2189" w:type="pct"/>
            <w:vMerge/>
            <w:shd w:val="clear" w:color="auto" w:fill="auto"/>
            <w:vAlign w:val="center"/>
          </w:tcPr>
          <w:p w14:paraId="38126193" w14:textId="77777777" w:rsidR="00087418" w:rsidRPr="00092862" w:rsidRDefault="00087418" w:rsidP="00A75B69">
            <w:pPr>
              <w:adjustRightInd w:val="0"/>
              <w:snapToGrid w:val="0"/>
              <w:spacing w:line="260" w:lineRule="exact"/>
              <w:jc w:val="center"/>
              <w:rPr>
                <w:rFonts w:ascii="Times New Roman" w:eastAsia="宋体" w:hAnsi="Times New Roman" w:cs="Times New Roman"/>
                <w:color w:val="000000" w:themeColor="text1"/>
                <w:szCs w:val="21"/>
              </w:rPr>
            </w:pPr>
          </w:p>
        </w:tc>
        <w:tc>
          <w:tcPr>
            <w:tcW w:w="1828" w:type="pct"/>
            <w:shd w:val="clear" w:color="000000" w:fill="FFFFFF"/>
            <w:noWrap/>
            <w:vAlign w:val="center"/>
          </w:tcPr>
          <w:p w14:paraId="3436091D" w14:textId="77777777" w:rsidR="00087418" w:rsidRPr="00092862" w:rsidRDefault="00087418" w:rsidP="00A75B69">
            <w:pPr>
              <w:adjustRightInd w:val="0"/>
              <w:snapToGrid w:val="0"/>
              <w:spacing w:line="260" w:lineRule="exact"/>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面积（</w:t>
            </w:r>
            <w:r w:rsidRPr="00092862">
              <w:rPr>
                <w:rFonts w:ascii="Times New Roman" w:eastAsia="宋体" w:hAnsi="Times New Roman" w:cs="Times New Roman"/>
                <w:color w:val="000000" w:themeColor="text1"/>
                <w:szCs w:val="21"/>
              </w:rPr>
              <w:t>hm</w:t>
            </w:r>
            <w:r w:rsidRPr="00092862">
              <w:rPr>
                <w:rFonts w:ascii="Times New Roman" w:eastAsia="宋体" w:hAnsi="Times New Roman" w:cs="Times New Roman"/>
                <w:color w:val="000000" w:themeColor="text1"/>
                <w:szCs w:val="21"/>
                <w:vertAlign w:val="superscript"/>
              </w:rPr>
              <w:t>2</w:t>
            </w:r>
            <w:r w:rsidRPr="00092862">
              <w:rPr>
                <w:rFonts w:ascii="Times New Roman" w:eastAsia="宋体" w:hAnsi="Times New Roman" w:cs="Times New Roman"/>
                <w:color w:val="000000" w:themeColor="text1"/>
                <w:szCs w:val="21"/>
              </w:rPr>
              <w:t>）</w:t>
            </w:r>
          </w:p>
        </w:tc>
        <w:tc>
          <w:tcPr>
            <w:tcW w:w="983" w:type="pct"/>
            <w:shd w:val="clear" w:color="000000" w:fill="FFFFFF"/>
            <w:noWrap/>
            <w:vAlign w:val="center"/>
          </w:tcPr>
          <w:p w14:paraId="180866AB" w14:textId="77777777" w:rsidR="00087418" w:rsidRPr="00092862" w:rsidRDefault="00087418" w:rsidP="00A75B69">
            <w:pPr>
              <w:adjustRightInd w:val="0"/>
              <w:snapToGrid w:val="0"/>
              <w:spacing w:line="260" w:lineRule="exact"/>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占比（</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r>
      <w:tr w:rsidR="00697429" w:rsidRPr="00092862" w14:paraId="4708B0BE" w14:textId="77777777" w:rsidTr="00087418">
        <w:trPr>
          <w:trHeight w:hRule="exact" w:val="397"/>
          <w:jc w:val="center"/>
        </w:trPr>
        <w:tc>
          <w:tcPr>
            <w:tcW w:w="2189" w:type="pct"/>
            <w:shd w:val="clear" w:color="auto" w:fill="FFFFFF"/>
            <w:noWrap/>
            <w:vAlign w:val="center"/>
          </w:tcPr>
          <w:p w14:paraId="55E5E9A1"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高覆盖度</w:t>
            </w:r>
            <w:r w:rsidRPr="00092862">
              <w:rPr>
                <w:rFonts w:ascii="Times New Roman" w:eastAsia="宋体" w:hAnsi="Times New Roman" w:cs="Times New Roman"/>
                <w:color w:val="000000" w:themeColor="text1"/>
                <w:kern w:val="0"/>
                <w:szCs w:val="21"/>
                <w:lang w:bidi="ar"/>
              </w:rPr>
              <w:t>(&gt;70%)</w:t>
            </w:r>
          </w:p>
        </w:tc>
        <w:tc>
          <w:tcPr>
            <w:tcW w:w="1828" w:type="pct"/>
            <w:shd w:val="clear" w:color="auto" w:fill="FFFFFF"/>
            <w:noWrap/>
            <w:vAlign w:val="center"/>
          </w:tcPr>
          <w:p w14:paraId="7040B341"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1157.11 </w:t>
            </w:r>
          </w:p>
        </w:tc>
        <w:tc>
          <w:tcPr>
            <w:tcW w:w="983" w:type="pct"/>
            <w:shd w:val="clear" w:color="auto" w:fill="FFFFFF"/>
            <w:noWrap/>
            <w:vAlign w:val="center"/>
          </w:tcPr>
          <w:p w14:paraId="7D29C8C9"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84.43 </w:t>
            </w:r>
          </w:p>
        </w:tc>
      </w:tr>
      <w:tr w:rsidR="00697429" w:rsidRPr="00092862" w14:paraId="4116D0BD" w14:textId="77777777" w:rsidTr="00087418">
        <w:trPr>
          <w:trHeight w:hRule="exact" w:val="397"/>
          <w:jc w:val="center"/>
        </w:trPr>
        <w:tc>
          <w:tcPr>
            <w:tcW w:w="2189" w:type="pct"/>
            <w:shd w:val="clear" w:color="auto" w:fill="FFFFFF"/>
            <w:noWrap/>
            <w:vAlign w:val="center"/>
          </w:tcPr>
          <w:p w14:paraId="33714E41"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中高覆盖度</w:t>
            </w:r>
            <w:r w:rsidRPr="00092862">
              <w:rPr>
                <w:rFonts w:ascii="Times New Roman" w:eastAsia="宋体" w:hAnsi="Times New Roman" w:cs="Times New Roman"/>
                <w:color w:val="000000" w:themeColor="text1"/>
                <w:kern w:val="0"/>
                <w:szCs w:val="21"/>
                <w:lang w:bidi="ar"/>
              </w:rPr>
              <w:t>(50%</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70%)</w:t>
            </w:r>
          </w:p>
        </w:tc>
        <w:tc>
          <w:tcPr>
            <w:tcW w:w="1828" w:type="pct"/>
            <w:shd w:val="clear" w:color="auto" w:fill="FFFFFF"/>
            <w:noWrap/>
            <w:vAlign w:val="center"/>
          </w:tcPr>
          <w:p w14:paraId="1CD3D64D"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135.93 </w:t>
            </w:r>
          </w:p>
        </w:tc>
        <w:tc>
          <w:tcPr>
            <w:tcW w:w="983" w:type="pct"/>
            <w:shd w:val="clear" w:color="auto" w:fill="FFFFFF"/>
            <w:noWrap/>
            <w:vAlign w:val="center"/>
          </w:tcPr>
          <w:p w14:paraId="05D114C7"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9.92 </w:t>
            </w:r>
          </w:p>
        </w:tc>
      </w:tr>
      <w:tr w:rsidR="00697429" w:rsidRPr="00092862" w14:paraId="6AAB88D8" w14:textId="77777777" w:rsidTr="00087418">
        <w:trPr>
          <w:trHeight w:hRule="exact" w:val="397"/>
          <w:jc w:val="center"/>
        </w:trPr>
        <w:tc>
          <w:tcPr>
            <w:tcW w:w="2189" w:type="pct"/>
            <w:shd w:val="clear" w:color="auto" w:fill="FFFFFF"/>
            <w:noWrap/>
            <w:vAlign w:val="center"/>
          </w:tcPr>
          <w:p w14:paraId="2352B037"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中覆盖度</w:t>
            </w:r>
            <w:r w:rsidRPr="00092862">
              <w:rPr>
                <w:rFonts w:ascii="Times New Roman" w:eastAsia="宋体" w:hAnsi="Times New Roman" w:cs="Times New Roman"/>
                <w:color w:val="000000" w:themeColor="text1"/>
                <w:kern w:val="0"/>
                <w:szCs w:val="21"/>
                <w:lang w:bidi="ar"/>
              </w:rPr>
              <w:t>(30%</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50%)</w:t>
            </w:r>
          </w:p>
        </w:tc>
        <w:tc>
          <w:tcPr>
            <w:tcW w:w="1828" w:type="pct"/>
            <w:shd w:val="clear" w:color="auto" w:fill="FFFFFF"/>
            <w:noWrap/>
            <w:vAlign w:val="center"/>
          </w:tcPr>
          <w:p w14:paraId="363EE162"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40.30 </w:t>
            </w:r>
          </w:p>
        </w:tc>
        <w:tc>
          <w:tcPr>
            <w:tcW w:w="983" w:type="pct"/>
            <w:shd w:val="clear" w:color="auto" w:fill="FFFFFF"/>
            <w:noWrap/>
            <w:vAlign w:val="center"/>
          </w:tcPr>
          <w:p w14:paraId="2559374F"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2.94 </w:t>
            </w:r>
          </w:p>
        </w:tc>
      </w:tr>
      <w:tr w:rsidR="00697429" w:rsidRPr="00092862" w14:paraId="71DA5C84" w14:textId="77777777" w:rsidTr="00087418">
        <w:trPr>
          <w:trHeight w:hRule="exact" w:val="397"/>
          <w:jc w:val="center"/>
        </w:trPr>
        <w:tc>
          <w:tcPr>
            <w:tcW w:w="2189" w:type="pct"/>
            <w:shd w:val="clear" w:color="auto" w:fill="FFFFFF"/>
            <w:noWrap/>
            <w:vAlign w:val="bottom"/>
          </w:tcPr>
          <w:p w14:paraId="51ADBAAF"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中低覆盖度</w:t>
            </w:r>
            <w:r w:rsidRPr="00092862">
              <w:rPr>
                <w:rFonts w:ascii="Times New Roman" w:eastAsia="宋体" w:hAnsi="Times New Roman" w:cs="Times New Roman"/>
                <w:color w:val="000000" w:themeColor="text1"/>
                <w:kern w:val="0"/>
                <w:szCs w:val="21"/>
                <w:lang w:bidi="ar"/>
              </w:rPr>
              <w:t>(10%</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30%)</w:t>
            </w:r>
          </w:p>
        </w:tc>
        <w:tc>
          <w:tcPr>
            <w:tcW w:w="1828" w:type="pct"/>
            <w:shd w:val="clear" w:color="auto" w:fill="FFFFFF"/>
            <w:noWrap/>
            <w:vAlign w:val="center"/>
          </w:tcPr>
          <w:p w14:paraId="10DF9ADA"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22.52 </w:t>
            </w:r>
          </w:p>
        </w:tc>
        <w:tc>
          <w:tcPr>
            <w:tcW w:w="983" w:type="pct"/>
            <w:shd w:val="clear" w:color="auto" w:fill="FFFFFF"/>
            <w:noWrap/>
            <w:vAlign w:val="center"/>
          </w:tcPr>
          <w:p w14:paraId="6D44576A"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1.64 </w:t>
            </w:r>
          </w:p>
        </w:tc>
      </w:tr>
      <w:tr w:rsidR="00697429" w:rsidRPr="00092862" w14:paraId="13FAE3B6" w14:textId="77777777" w:rsidTr="00087418">
        <w:trPr>
          <w:trHeight w:hRule="exact" w:val="397"/>
          <w:jc w:val="center"/>
        </w:trPr>
        <w:tc>
          <w:tcPr>
            <w:tcW w:w="2189" w:type="pct"/>
            <w:shd w:val="clear" w:color="auto" w:fill="FFFFFF"/>
            <w:noWrap/>
            <w:vAlign w:val="bottom"/>
          </w:tcPr>
          <w:p w14:paraId="611C1A14"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极低覆盖度</w:t>
            </w:r>
            <w:r w:rsidRPr="00092862">
              <w:rPr>
                <w:rFonts w:ascii="Times New Roman" w:eastAsia="宋体" w:hAnsi="Times New Roman" w:cs="Times New Roman"/>
                <w:color w:val="000000" w:themeColor="text1"/>
                <w:kern w:val="0"/>
                <w:szCs w:val="21"/>
                <w:lang w:bidi="ar"/>
              </w:rPr>
              <w:t>(&lt;10%)</w:t>
            </w:r>
          </w:p>
        </w:tc>
        <w:tc>
          <w:tcPr>
            <w:tcW w:w="1828" w:type="pct"/>
            <w:shd w:val="clear" w:color="auto" w:fill="FFFFFF"/>
            <w:noWrap/>
            <w:vAlign w:val="center"/>
          </w:tcPr>
          <w:p w14:paraId="0E216149"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14.68 </w:t>
            </w:r>
          </w:p>
        </w:tc>
        <w:tc>
          <w:tcPr>
            <w:tcW w:w="983" w:type="pct"/>
            <w:shd w:val="clear" w:color="auto" w:fill="FFFFFF"/>
            <w:noWrap/>
            <w:vAlign w:val="center"/>
          </w:tcPr>
          <w:p w14:paraId="319DF634"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1.07 </w:t>
            </w:r>
          </w:p>
        </w:tc>
      </w:tr>
      <w:tr w:rsidR="00697429" w:rsidRPr="00092862" w14:paraId="731E7B99" w14:textId="77777777" w:rsidTr="00087418">
        <w:trPr>
          <w:trHeight w:hRule="exact" w:val="397"/>
          <w:jc w:val="center"/>
        </w:trPr>
        <w:tc>
          <w:tcPr>
            <w:tcW w:w="2189" w:type="pct"/>
            <w:shd w:val="clear" w:color="auto" w:fill="FFFFFF"/>
            <w:noWrap/>
            <w:vAlign w:val="bottom"/>
          </w:tcPr>
          <w:p w14:paraId="1AFE8726"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合计</w:t>
            </w:r>
          </w:p>
        </w:tc>
        <w:tc>
          <w:tcPr>
            <w:tcW w:w="1828" w:type="pct"/>
            <w:shd w:val="clear" w:color="auto" w:fill="FFFFFF"/>
            <w:noWrap/>
            <w:vAlign w:val="center"/>
          </w:tcPr>
          <w:p w14:paraId="319381F7"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1370.53 </w:t>
            </w:r>
          </w:p>
        </w:tc>
        <w:tc>
          <w:tcPr>
            <w:tcW w:w="983" w:type="pct"/>
            <w:shd w:val="clear" w:color="auto" w:fill="FFFFFF"/>
            <w:noWrap/>
            <w:vAlign w:val="center"/>
          </w:tcPr>
          <w:p w14:paraId="02EDAD50"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100.00 </w:t>
            </w:r>
          </w:p>
        </w:tc>
      </w:tr>
    </w:tbl>
    <w:p w14:paraId="6C2884C6" w14:textId="267D6F8D" w:rsidR="00F96F41" w:rsidRPr="00092862" w:rsidRDefault="00087418" w:rsidP="002C4161">
      <w:pPr>
        <w:adjustRightInd w:val="0"/>
        <w:snapToGrid w:val="0"/>
        <w:spacing w:beforeLines="50" w:before="120"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项目区属中亚热带湿润季风气候区，植被区划处于亚热带常绿阔叶林区域，水热条件较好，植被总体覆盖度较高。从解译结果看，评价区范围内，高覆盖</w:t>
      </w:r>
      <w:r w:rsidRPr="00092862">
        <w:rPr>
          <w:rFonts w:ascii="Times New Roman" w:eastAsia="宋体" w:hAnsi="Times New Roman" w:cs="Times New Roman"/>
          <w:color w:val="000000" w:themeColor="text1"/>
          <w:sz w:val="24"/>
        </w:rPr>
        <w:lastRenderedPageBreak/>
        <w:t>度植被主要分布在针叶林及阔叶林区，群落多为乔灌草三层，综合覆盖度较高；中高覆盖度植被主要为稀疏乔木林及灌丛植被分布区，群落结构多为灌草两层；中覆盖度多为草丛植被分布区</w:t>
      </w:r>
      <w:r w:rsidR="00F96F41" w:rsidRPr="00092862">
        <w:rPr>
          <w:rFonts w:ascii="Times New Roman" w:hAnsi="Times New Roman" w:cs="Times New Roman"/>
          <w:color w:val="000000" w:themeColor="text1"/>
          <w:sz w:val="24"/>
        </w:rPr>
        <w:t>。</w:t>
      </w:r>
    </w:p>
    <w:p w14:paraId="697A8E72" w14:textId="0344CD7F" w:rsidR="00F96F41" w:rsidRPr="00092862" w:rsidRDefault="00F96F41" w:rsidP="00F96F41">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84" w:name="_Toc120173137"/>
      <w:bookmarkStart w:id="185" w:name="_Toc280781527"/>
      <w:bookmarkEnd w:id="181"/>
      <w:r w:rsidRPr="00092862">
        <w:rPr>
          <w:rFonts w:ascii="Times New Roman" w:eastAsia="黑体" w:hAnsi="Times New Roman"/>
          <w:b w:val="0"/>
          <w:color w:val="000000" w:themeColor="text1"/>
          <w:sz w:val="24"/>
          <w:szCs w:val="24"/>
          <w:lang w:eastAsia="zh-CN"/>
        </w:rPr>
        <w:t>4.3.3</w:t>
      </w:r>
      <w:r w:rsidRPr="00092862">
        <w:rPr>
          <w:rFonts w:ascii="Times New Roman" w:eastAsia="黑体" w:hAnsi="Times New Roman"/>
          <w:b w:val="0"/>
          <w:color w:val="000000" w:themeColor="text1"/>
          <w:sz w:val="24"/>
          <w:szCs w:val="24"/>
          <w:lang w:eastAsia="zh-CN"/>
        </w:rPr>
        <w:t>项目区域植被概况</w:t>
      </w:r>
      <w:bookmarkEnd w:id="184"/>
    </w:p>
    <w:p w14:paraId="6469D472" w14:textId="77777777" w:rsidR="00087418" w:rsidRPr="00092862" w:rsidRDefault="00087418" w:rsidP="00092862">
      <w:pPr>
        <w:pStyle w:val="41"/>
        <w:adjustRightInd w:val="0"/>
        <w:snapToGrid w:val="0"/>
        <w:spacing w:line="360" w:lineRule="auto"/>
        <w:ind w:firstLineChars="200" w:firstLine="482"/>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1</w:t>
      </w:r>
      <w:r w:rsidRPr="00092862">
        <w:rPr>
          <w:b/>
          <w:bCs/>
          <w:color w:val="000000" w:themeColor="text1"/>
          <w:sz w:val="24"/>
          <w:szCs w:val="24"/>
        </w:rPr>
        <w:t>）区系分布</w:t>
      </w:r>
    </w:p>
    <w:p w14:paraId="4B080F93" w14:textId="77777777" w:rsidR="00087418" w:rsidRPr="00092862" w:rsidRDefault="00087418" w:rsidP="0009286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项目区域位于四川省达州市宣汉县。根据《四川植被》中关于四川省内植被区划的描述，项目所在区域属</w:t>
      </w:r>
      <w:r w:rsidRPr="00092862">
        <w:rPr>
          <w:rFonts w:ascii="Times New Roman" w:eastAsia="宋体" w:hAnsi="Times New Roman" w:cs="Times New Roman"/>
          <w:color w:val="000000" w:themeColor="text1"/>
          <w:sz w:val="24"/>
        </w:rPr>
        <w:t>IA3(6)</w:t>
      </w:r>
      <w:r w:rsidRPr="00092862">
        <w:rPr>
          <w:rFonts w:ascii="Times New Roman" w:eastAsia="宋体" w:hAnsi="Times New Roman" w:cs="Times New Roman"/>
          <w:color w:val="000000" w:themeColor="text1"/>
          <w:sz w:val="24"/>
        </w:rPr>
        <w:t>川北深丘植被小区。</w:t>
      </w:r>
    </w:p>
    <w:p w14:paraId="0F4A6567" w14:textId="77777777" w:rsidR="00087418" w:rsidRPr="00092862" w:rsidRDefault="00087418" w:rsidP="0009286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该小区位于盆地中部北侧，是大巴山地区向盆地内部方山丘陵过渡的地带，境内主要属单斜丘陵，海拔高度一般为</w:t>
      </w:r>
      <w:r w:rsidRPr="00092862">
        <w:rPr>
          <w:rFonts w:ascii="Times New Roman" w:eastAsia="宋体" w:hAnsi="Times New Roman" w:cs="Times New Roman"/>
          <w:color w:val="000000" w:themeColor="text1"/>
          <w:sz w:val="24"/>
        </w:rPr>
        <w:t>800m</w:t>
      </w:r>
      <w:r w:rsidRPr="00092862">
        <w:rPr>
          <w:rFonts w:ascii="Times New Roman" w:eastAsia="宋体" w:hAnsi="Times New Roman" w:cs="Times New Roman"/>
          <w:color w:val="000000" w:themeColor="text1"/>
          <w:sz w:val="24"/>
        </w:rPr>
        <w:t>，相对高度</w:t>
      </w:r>
      <w:r w:rsidRPr="00092862">
        <w:rPr>
          <w:rFonts w:ascii="Times New Roman" w:eastAsia="宋体" w:hAnsi="Times New Roman" w:cs="Times New Roman"/>
          <w:color w:val="000000" w:themeColor="text1"/>
          <w:sz w:val="24"/>
        </w:rPr>
        <w:t>100~200m</w:t>
      </w:r>
      <w:r w:rsidRPr="00092862">
        <w:rPr>
          <w:rFonts w:ascii="Times New Roman" w:eastAsia="宋体" w:hAnsi="Times New Roman" w:cs="Times New Roman"/>
          <w:color w:val="000000" w:themeColor="text1"/>
          <w:sz w:val="24"/>
        </w:rPr>
        <w:t>，地层多属白垩纪紫色砂岩与页岩互层，在此母质上发育的为紫色土，海拔</w:t>
      </w:r>
      <w:r w:rsidRPr="00092862">
        <w:rPr>
          <w:rFonts w:ascii="Times New Roman" w:eastAsia="宋体" w:hAnsi="Times New Roman" w:cs="Times New Roman"/>
          <w:color w:val="000000" w:themeColor="text1"/>
          <w:sz w:val="24"/>
        </w:rPr>
        <w:t>1000m</w:t>
      </w:r>
      <w:r w:rsidRPr="00092862">
        <w:rPr>
          <w:rFonts w:ascii="Times New Roman" w:eastAsia="宋体" w:hAnsi="Times New Roman" w:cs="Times New Roman"/>
          <w:color w:val="000000" w:themeColor="text1"/>
          <w:sz w:val="24"/>
        </w:rPr>
        <w:t>以上地区以黄壤为主。年平均温</w:t>
      </w:r>
      <w:r w:rsidRPr="00092862">
        <w:rPr>
          <w:rFonts w:ascii="Times New Roman" w:eastAsia="宋体" w:hAnsi="Times New Roman" w:cs="Times New Roman"/>
          <w:color w:val="000000" w:themeColor="text1"/>
          <w:sz w:val="24"/>
        </w:rPr>
        <w:t>16~17℃</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月平均温</w:t>
      </w:r>
      <w:r w:rsidRPr="00092862">
        <w:rPr>
          <w:rFonts w:ascii="Times New Roman" w:eastAsia="宋体" w:hAnsi="Times New Roman" w:cs="Times New Roman"/>
          <w:color w:val="000000" w:themeColor="text1"/>
          <w:sz w:val="24"/>
        </w:rPr>
        <w:t>5~6℃</w:t>
      </w:r>
      <w:r w:rsidRPr="00092862">
        <w:rPr>
          <w:rFonts w:ascii="Times New Roman" w:eastAsia="宋体" w:hAnsi="Times New Roman" w:cs="Times New Roman"/>
          <w:color w:val="000000" w:themeColor="text1"/>
          <w:sz w:val="24"/>
        </w:rPr>
        <w:t>，比川中方山丘陵区气温低，而年温差较大。年降水量在</w:t>
      </w:r>
      <w:r w:rsidRPr="00092862">
        <w:rPr>
          <w:rFonts w:ascii="Times New Roman" w:eastAsia="宋体" w:hAnsi="Times New Roman" w:cs="Times New Roman"/>
          <w:color w:val="000000" w:themeColor="text1"/>
          <w:sz w:val="24"/>
        </w:rPr>
        <w:t>1000</w:t>
      </w:r>
      <w:r w:rsidRPr="00092862">
        <w:rPr>
          <w:rFonts w:ascii="Times New Roman" w:eastAsia="宋体" w:hAnsi="Times New Roman" w:cs="Times New Roman"/>
          <w:color w:val="000000" w:themeColor="text1"/>
          <w:sz w:val="24"/>
        </w:rPr>
        <w:t>毫米以上，比川中方山丘陵区多，但季节分配不均匀，雾日较少，无霜期约为</w:t>
      </w:r>
      <w:r w:rsidRPr="00092862">
        <w:rPr>
          <w:rFonts w:ascii="Times New Roman" w:eastAsia="宋体" w:hAnsi="Times New Roman" w:cs="Times New Roman"/>
          <w:color w:val="000000" w:themeColor="text1"/>
          <w:sz w:val="24"/>
        </w:rPr>
        <w:t>290</w:t>
      </w:r>
      <w:r w:rsidRPr="00092862">
        <w:rPr>
          <w:rFonts w:ascii="Times New Roman" w:eastAsia="宋体" w:hAnsi="Times New Roman" w:cs="Times New Roman"/>
          <w:color w:val="000000" w:themeColor="text1"/>
          <w:sz w:val="24"/>
        </w:rPr>
        <w:t>天，有春早秋千、日照时数较多的特点。</w:t>
      </w:r>
    </w:p>
    <w:p w14:paraId="3420E295" w14:textId="77777777" w:rsidR="00087418" w:rsidRPr="00092862" w:rsidRDefault="00087418" w:rsidP="0009286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自然植被主要为马尾松林、柏木林、栎类灌丛、亚热带草丛及其各种过渡类型。在个别海拔</w:t>
      </w:r>
      <w:r w:rsidRPr="00092862">
        <w:rPr>
          <w:rFonts w:ascii="Times New Roman" w:eastAsia="宋体" w:hAnsi="Times New Roman" w:cs="Times New Roman"/>
          <w:color w:val="000000" w:themeColor="text1"/>
          <w:sz w:val="24"/>
        </w:rPr>
        <w:t>1200m</w:t>
      </w:r>
      <w:r w:rsidRPr="00092862">
        <w:rPr>
          <w:rFonts w:ascii="Times New Roman" w:eastAsia="宋体" w:hAnsi="Times New Roman" w:cs="Times New Roman"/>
          <w:color w:val="000000" w:themeColor="text1"/>
          <w:sz w:val="24"/>
        </w:rPr>
        <w:t>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麻栎、青冈、栓皮栎、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14:paraId="6CA13083" w14:textId="77777777" w:rsidR="00087418" w:rsidRPr="00092862" w:rsidRDefault="00087418" w:rsidP="0009286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以粮为纲，全面发展</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方针指导下，要因地制宜地发展棉花、花生等经</w:t>
      </w:r>
      <w:r w:rsidRPr="00092862">
        <w:rPr>
          <w:rFonts w:ascii="Times New Roman" w:eastAsia="宋体" w:hAnsi="Times New Roman" w:cs="Times New Roman"/>
          <w:color w:val="000000" w:themeColor="text1"/>
          <w:sz w:val="24"/>
        </w:rPr>
        <w:lastRenderedPageBreak/>
        <w:t>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14:paraId="7ECF0F3E" w14:textId="77777777" w:rsidR="00087418" w:rsidRPr="00092862" w:rsidRDefault="00087418" w:rsidP="00092862">
      <w:pPr>
        <w:pStyle w:val="41"/>
        <w:adjustRightInd w:val="0"/>
        <w:snapToGrid w:val="0"/>
        <w:spacing w:line="360" w:lineRule="auto"/>
        <w:ind w:firstLineChars="200" w:firstLine="482"/>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2</w:t>
      </w:r>
      <w:r w:rsidRPr="00092862">
        <w:rPr>
          <w:b/>
          <w:bCs/>
          <w:color w:val="000000" w:themeColor="text1"/>
          <w:sz w:val="24"/>
          <w:szCs w:val="24"/>
        </w:rPr>
        <w:t>）维管束植物组成情况</w:t>
      </w:r>
    </w:p>
    <w:p w14:paraId="240B2480" w14:textId="6888AEE3" w:rsidR="00F96F41" w:rsidRPr="00092862" w:rsidRDefault="00087418" w:rsidP="00092862">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经过野外调查，结合标本鉴定和历史资料的查阅，项目区域内维管植物有</w:t>
      </w:r>
      <w:r w:rsidRPr="00092862">
        <w:rPr>
          <w:rFonts w:ascii="Times New Roman" w:eastAsia="宋体" w:hAnsi="Times New Roman" w:cs="Times New Roman"/>
          <w:color w:val="000000" w:themeColor="text1"/>
          <w:sz w:val="24"/>
        </w:rPr>
        <w:t>139</w:t>
      </w:r>
      <w:r w:rsidRPr="00092862">
        <w:rPr>
          <w:rFonts w:ascii="Times New Roman" w:eastAsia="宋体" w:hAnsi="Times New Roman" w:cs="Times New Roman"/>
          <w:color w:val="000000" w:themeColor="text1"/>
          <w:sz w:val="24"/>
        </w:rPr>
        <w:t>科</w:t>
      </w:r>
      <w:r w:rsidRPr="00092862">
        <w:rPr>
          <w:rFonts w:ascii="Times New Roman" w:eastAsia="宋体" w:hAnsi="Times New Roman" w:cs="Times New Roman"/>
          <w:color w:val="000000" w:themeColor="text1"/>
          <w:sz w:val="24"/>
        </w:rPr>
        <w:t>524</w:t>
      </w:r>
      <w:r w:rsidRPr="00092862">
        <w:rPr>
          <w:rFonts w:ascii="Times New Roman" w:eastAsia="宋体" w:hAnsi="Times New Roman" w:cs="Times New Roman"/>
          <w:color w:val="000000" w:themeColor="text1"/>
          <w:sz w:val="24"/>
        </w:rPr>
        <w:t>属</w:t>
      </w:r>
      <w:r w:rsidRPr="00092862">
        <w:rPr>
          <w:rFonts w:ascii="Times New Roman" w:eastAsia="宋体" w:hAnsi="Times New Roman" w:cs="Times New Roman"/>
          <w:color w:val="000000" w:themeColor="text1"/>
          <w:sz w:val="24"/>
        </w:rPr>
        <w:t>925</w:t>
      </w:r>
      <w:r w:rsidRPr="00092862">
        <w:rPr>
          <w:rFonts w:ascii="Times New Roman" w:eastAsia="宋体" w:hAnsi="Times New Roman" w:cs="Times New Roman"/>
          <w:color w:val="000000" w:themeColor="text1"/>
          <w:sz w:val="24"/>
        </w:rPr>
        <w:t>种：其中蕨类植物</w:t>
      </w:r>
      <w:r w:rsidRPr="00092862">
        <w:rPr>
          <w:rFonts w:ascii="Times New Roman" w:eastAsia="宋体" w:hAnsi="Times New Roman" w:cs="Times New Roman"/>
          <w:color w:val="000000" w:themeColor="text1"/>
          <w:sz w:val="24"/>
        </w:rPr>
        <w:t>9</w:t>
      </w:r>
      <w:r w:rsidRPr="00092862">
        <w:rPr>
          <w:rFonts w:ascii="Times New Roman" w:eastAsia="宋体" w:hAnsi="Times New Roman" w:cs="Times New Roman"/>
          <w:color w:val="000000" w:themeColor="text1"/>
          <w:sz w:val="24"/>
        </w:rPr>
        <w:t>科</w:t>
      </w:r>
      <w:r w:rsidRPr="00092862">
        <w:rPr>
          <w:rFonts w:ascii="Times New Roman" w:eastAsia="宋体" w:hAnsi="Times New Roman" w:cs="Times New Roman"/>
          <w:color w:val="000000" w:themeColor="text1"/>
          <w:sz w:val="24"/>
        </w:rPr>
        <w:t>18</w:t>
      </w:r>
      <w:r w:rsidRPr="00092862">
        <w:rPr>
          <w:rFonts w:ascii="Times New Roman" w:eastAsia="宋体" w:hAnsi="Times New Roman" w:cs="Times New Roman"/>
          <w:color w:val="000000" w:themeColor="text1"/>
          <w:sz w:val="24"/>
        </w:rPr>
        <w:t>属</w:t>
      </w:r>
      <w:r w:rsidRPr="00092862">
        <w:rPr>
          <w:rFonts w:ascii="Times New Roman" w:eastAsia="宋体" w:hAnsi="Times New Roman" w:cs="Times New Roman"/>
          <w:color w:val="000000" w:themeColor="text1"/>
          <w:sz w:val="24"/>
        </w:rPr>
        <w:t>31</w:t>
      </w:r>
      <w:r w:rsidRPr="00092862">
        <w:rPr>
          <w:rFonts w:ascii="Times New Roman" w:eastAsia="宋体" w:hAnsi="Times New Roman" w:cs="Times New Roman"/>
          <w:color w:val="000000" w:themeColor="text1"/>
          <w:sz w:val="24"/>
        </w:rPr>
        <w:t>种，裸子植物</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科</w:t>
      </w: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属</w:t>
      </w:r>
      <w:r w:rsidRPr="00092862">
        <w:rPr>
          <w:rFonts w:ascii="Times New Roman" w:eastAsia="宋体" w:hAnsi="Times New Roman" w:cs="Times New Roman"/>
          <w:color w:val="000000" w:themeColor="text1"/>
          <w:sz w:val="24"/>
        </w:rPr>
        <w:t>9</w:t>
      </w:r>
      <w:r w:rsidRPr="00092862">
        <w:rPr>
          <w:rFonts w:ascii="Times New Roman" w:eastAsia="宋体" w:hAnsi="Times New Roman" w:cs="Times New Roman"/>
          <w:color w:val="000000" w:themeColor="text1"/>
          <w:sz w:val="24"/>
        </w:rPr>
        <w:t>种，被子植物</w:t>
      </w:r>
      <w:r w:rsidRPr="00092862">
        <w:rPr>
          <w:rFonts w:ascii="Times New Roman" w:eastAsia="宋体" w:hAnsi="Times New Roman" w:cs="Times New Roman"/>
          <w:color w:val="000000" w:themeColor="text1"/>
          <w:sz w:val="24"/>
        </w:rPr>
        <w:t>125</w:t>
      </w:r>
      <w:r w:rsidRPr="00092862">
        <w:rPr>
          <w:rFonts w:ascii="Times New Roman" w:eastAsia="宋体" w:hAnsi="Times New Roman" w:cs="Times New Roman"/>
          <w:color w:val="000000" w:themeColor="text1"/>
          <w:sz w:val="24"/>
        </w:rPr>
        <w:t>科</w:t>
      </w:r>
      <w:r w:rsidRPr="00092862">
        <w:rPr>
          <w:rFonts w:ascii="Times New Roman" w:eastAsia="宋体" w:hAnsi="Times New Roman" w:cs="Times New Roman"/>
          <w:color w:val="000000" w:themeColor="text1"/>
          <w:sz w:val="24"/>
        </w:rPr>
        <w:t>499</w:t>
      </w:r>
      <w:r w:rsidRPr="00092862">
        <w:rPr>
          <w:rFonts w:ascii="Times New Roman" w:eastAsia="宋体" w:hAnsi="Times New Roman" w:cs="Times New Roman"/>
          <w:color w:val="000000" w:themeColor="text1"/>
          <w:sz w:val="24"/>
        </w:rPr>
        <w:t>属</w:t>
      </w:r>
      <w:r w:rsidRPr="00092862">
        <w:rPr>
          <w:rFonts w:ascii="Times New Roman" w:eastAsia="宋体" w:hAnsi="Times New Roman" w:cs="Times New Roman"/>
          <w:color w:val="000000" w:themeColor="text1"/>
          <w:sz w:val="24"/>
        </w:rPr>
        <w:t>885</w:t>
      </w:r>
      <w:r w:rsidRPr="00092862">
        <w:rPr>
          <w:rFonts w:ascii="Times New Roman" w:eastAsia="宋体" w:hAnsi="Times New Roman" w:cs="Times New Roman"/>
          <w:color w:val="000000" w:themeColor="text1"/>
          <w:sz w:val="24"/>
        </w:rPr>
        <w:t>种</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蕨类植物采用秦仁昌</w:t>
      </w:r>
      <w:r w:rsidRPr="00092862">
        <w:rPr>
          <w:rFonts w:ascii="Times New Roman" w:eastAsia="宋体" w:hAnsi="Times New Roman" w:cs="Times New Roman"/>
          <w:color w:val="000000" w:themeColor="text1"/>
          <w:sz w:val="24"/>
        </w:rPr>
        <w:t>1978</w:t>
      </w:r>
      <w:r w:rsidRPr="00092862">
        <w:rPr>
          <w:rFonts w:ascii="Times New Roman" w:eastAsia="宋体" w:hAnsi="Times New Roman" w:cs="Times New Roman"/>
          <w:color w:val="000000" w:themeColor="text1"/>
          <w:sz w:val="24"/>
        </w:rPr>
        <w:t>系统，裸子植物采用郑万均</w:t>
      </w:r>
      <w:r w:rsidRPr="00092862">
        <w:rPr>
          <w:rFonts w:ascii="Times New Roman" w:eastAsia="宋体" w:hAnsi="Times New Roman" w:cs="Times New Roman"/>
          <w:color w:val="000000" w:themeColor="text1"/>
          <w:sz w:val="24"/>
        </w:rPr>
        <w:t>1961</w:t>
      </w:r>
      <w:r w:rsidRPr="00092862">
        <w:rPr>
          <w:rFonts w:ascii="Times New Roman" w:eastAsia="宋体" w:hAnsi="Times New Roman" w:cs="Times New Roman"/>
          <w:color w:val="000000" w:themeColor="text1"/>
          <w:sz w:val="24"/>
        </w:rPr>
        <w:t>系统，被子植物采用克朗奎斯特</w:t>
      </w:r>
      <w:r w:rsidRPr="00092862">
        <w:rPr>
          <w:rFonts w:ascii="Times New Roman" w:eastAsia="宋体" w:hAnsi="Times New Roman" w:cs="Times New Roman"/>
          <w:color w:val="000000" w:themeColor="text1"/>
          <w:sz w:val="24"/>
        </w:rPr>
        <w:t>1981</w:t>
      </w:r>
      <w:r w:rsidRPr="00092862">
        <w:rPr>
          <w:rFonts w:ascii="Times New Roman" w:eastAsia="宋体" w:hAnsi="Times New Roman" w:cs="Times New Roman"/>
          <w:color w:val="000000" w:themeColor="text1"/>
          <w:sz w:val="24"/>
        </w:rPr>
        <w:t>系统</w:t>
      </w:r>
      <w:r w:rsidRPr="00092862">
        <w:rPr>
          <w:rFonts w:ascii="Times New Roman" w:eastAsia="宋体" w:hAnsi="Times New Roman" w:cs="Times New Roman"/>
          <w:color w:val="000000" w:themeColor="text1"/>
          <w:sz w:val="24"/>
        </w:rPr>
        <w:t>)</w:t>
      </w:r>
      <w:r w:rsidR="00F96F41" w:rsidRPr="00092862">
        <w:rPr>
          <w:rFonts w:ascii="Times New Roman" w:hAnsi="Times New Roman" w:cs="Times New Roman"/>
          <w:color w:val="000000" w:themeColor="text1"/>
          <w:sz w:val="24"/>
        </w:rPr>
        <w:t>。</w:t>
      </w:r>
    </w:p>
    <w:p w14:paraId="5A83FE71"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4.3-8 </w:t>
      </w:r>
      <w:r w:rsidRPr="00092862">
        <w:rPr>
          <w:rFonts w:ascii="Times New Roman" w:eastAsia="黑体" w:hAnsi="Times New Roman"/>
          <w:color w:val="000000" w:themeColor="text1"/>
          <w:sz w:val="21"/>
          <w:szCs w:val="21"/>
          <w:lang w:eastAsia="zh-CN"/>
        </w:rPr>
        <w:t>评价区维管植物科属种统计表</w:t>
      </w:r>
    </w:p>
    <w:tbl>
      <w:tblPr>
        <w:tblStyle w:val="TableNormal"/>
        <w:tblW w:w="5000"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725"/>
        <w:gridCol w:w="1124"/>
        <w:gridCol w:w="898"/>
        <w:gridCol w:w="1256"/>
        <w:gridCol w:w="889"/>
        <w:gridCol w:w="1287"/>
        <w:gridCol w:w="889"/>
        <w:gridCol w:w="1236"/>
      </w:tblGrid>
      <w:tr w:rsidR="00697429" w:rsidRPr="00092862" w14:paraId="14464A47" w14:textId="77777777" w:rsidTr="00087418">
        <w:trPr>
          <w:trHeight w:val="280"/>
        </w:trPr>
        <w:tc>
          <w:tcPr>
            <w:tcW w:w="1113" w:type="pct"/>
            <w:gridSpan w:val="2"/>
          </w:tcPr>
          <w:p w14:paraId="142FB284" w14:textId="77777777" w:rsidR="00087418" w:rsidRPr="00092862" w:rsidRDefault="00087418" w:rsidP="00A75B69">
            <w:pPr>
              <w:spacing w:before="34" w:line="216" w:lineRule="auto"/>
              <w:ind w:left="87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8"/>
                <w:szCs w:val="21"/>
              </w:rPr>
              <w:t>门类</w:t>
            </w:r>
          </w:p>
        </w:tc>
        <w:tc>
          <w:tcPr>
            <w:tcW w:w="541" w:type="pct"/>
          </w:tcPr>
          <w:p w14:paraId="04E022A9" w14:textId="77777777" w:rsidR="00087418" w:rsidRPr="00092862" w:rsidRDefault="00087418" w:rsidP="00A75B69">
            <w:pPr>
              <w:spacing w:before="34" w:line="216" w:lineRule="auto"/>
              <w:ind w:left="202"/>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科</w:t>
            </w:r>
            <w:r w:rsidRPr="00092862">
              <w:rPr>
                <w:rFonts w:ascii="Times New Roman" w:eastAsia="宋体" w:hAnsi="Times New Roman" w:cs="Times New Roman"/>
                <w:color w:val="000000" w:themeColor="text1"/>
                <w:spacing w:val="-2"/>
                <w:szCs w:val="21"/>
              </w:rPr>
              <w:t>数</w:t>
            </w:r>
          </w:p>
        </w:tc>
        <w:tc>
          <w:tcPr>
            <w:tcW w:w="756" w:type="pct"/>
          </w:tcPr>
          <w:p w14:paraId="259E636B" w14:textId="77777777" w:rsidR="00087418" w:rsidRPr="00092862" w:rsidRDefault="00087418" w:rsidP="00A75B69">
            <w:pPr>
              <w:spacing w:before="34" w:line="216" w:lineRule="auto"/>
              <w:ind w:left="146"/>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4"/>
                <w:szCs w:val="21"/>
              </w:rPr>
              <w:t>占</w:t>
            </w:r>
            <w:r w:rsidRPr="00092862">
              <w:rPr>
                <w:rFonts w:ascii="Times New Roman" w:eastAsia="宋体" w:hAnsi="Times New Roman" w:cs="Times New Roman"/>
                <w:color w:val="000000" w:themeColor="text1"/>
                <w:spacing w:val="12"/>
                <w:szCs w:val="21"/>
              </w:rPr>
              <w:t>比</w:t>
            </w:r>
            <w:r w:rsidRPr="00092862">
              <w:rPr>
                <w:rFonts w:ascii="Times New Roman" w:eastAsia="宋体" w:hAnsi="Times New Roman" w:cs="Times New Roman"/>
                <w:color w:val="000000" w:themeColor="text1"/>
                <w:spacing w:val="12"/>
                <w:szCs w:val="21"/>
              </w:rPr>
              <w:t>(</w:t>
            </w:r>
            <w:r w:rsidRPr="00092862">
              <w:rPr>
                <w:rFonts w:ascii="Times New Roman" w:eastAsia="Times New Roman" w:hAnsi="Times New Roman" w:cs="Times New Roman"/>
                <w:color w:val="000000" w:themeColor="text1"/>
                <w:spacing w:val="12"/>
                <w:szCs w:val="21"/>
              </w:rPr>
              <w:t>%</w:t>
            </w:r>
            <w:r w:rsidRPr="00092862">
              <w:rPr>
                <w:rFonts w:ascii="Times New Roman" w:eastAsia="宋体" w:hAnsi="Times New Roman" w:cs="Times New Roman"/>
                <w:color w:val="000000" w:themeColor="text1"/>
                <w:spacing w:val="12"/>
                <w:szCs w:val="21"/>
              </w:rPr>
              <w:t>)</w:t>
            </w:r>
          </w:p>
        </w:tc>
        <w:tc>
          <w:tcPr>
            <w:tcW w:w="535" w:type="pct"/>
          </w:tcPr>
          <w:p w14:paraId="4858D849" w14:textId="77777777" w:rsidR="00087418" w:rsidRPr="00092862" w:rsidRDefault="00087418" w:rsidP="00A75B69">
            <w:pPr>
              <w:spacing w:before="34" w:line="216" w:lineRule="auto"/>
              <w:ind w:left="202"/>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属</w:t>
            </w:r>
            <w:r w:rsidRPr="00092862">
              <w:rPr>
                <w:rFonts w:ascii="Times New Roman" w:eastAsia="宋体" w:hAnsi="Times New Roman" w:cs="Times New Roman"/>
                <w:color w:val="000000" w:themeColor="text1"/>
                <w:spacing w:val="-2"/>
                <w:szCs w:val="21"/>
              </w:rPr>
              <w:t>数</w:t>
            </w:r>
          </w:p>
        </w:tc>
        <w:tc>
          <w:tcPr>
            <w:tcW w:w="775" w:type="pct"/>
          </w:tcPr>
          <w:p w14:paraId="136E4F40" w14:textId="77777777" w:rsidR="00087418" w:rsidRPr="00092862" w:rsidRDefault="00087418" w:rsidP="00A75B69">
            <w:pPr>
              <w:spacing w:before="34" w:line="216" w:lineRule="auto"/>
              <w:ind w:left="148"/>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4"/>
                <w:szCs w:val="21"/>
              </w:rPr>
              <w:t>占</w:t>
            </w:r>
            <w:r w:rsidRPr="00092862">
              <w:rPr>
                <w:rFonts w:ascii="Times New Roman" w:eastAsia="宋体" w:hAnsi="Times New Roman" w:cs="Times New Roman"/>
                <w:color w:val="000000" w:themeColor="text1"/>
                <w:spacing w:val="12"/>
                <w:szCs w:val="21"/>
              </w:rPr>
              <w:t>比</w:t>
            </w:r>
            <w:r w:rsidRPr="00092862">
              <w:rPr>
                <w:rFonts w:ascii="Times New Roman" w:eastAsia="宋体" w:hAnsi="Times New Roman" w:cs="Times New Roman"/>
                <w:color w:val="000000" w:themeColor="text1"/>
                <w:spacing w:val="12"/>
                <w:szCs w:val="21"/>
              </w:rPr>
              <w:t>(</w:t>
            </w:r>
            <w:r w:rsidRPr="00092862">
              <w:rPr>
                <w:rFonts w:ascii="Times New Roman" w:eastAsia="Times New Roman" w:hAnsi="Times New Roman" w:cs="Times New Roman"/>
                <w:color w:val="000000" w:themeColor="text1"/>
                <w:spacing w:val="12"/>
                <w:szCs w:val="21"/>
              </w:rPr>
              <w:t>%</w:t>
            </w:r>
            <w:r w:rsidRPr="00092862">
              <w:rPr>
                <w:rFonts w:ascii="Times New Roman" w:eastAsia="宋体" w:hAnsi="Times New Roman" w:cs="Times New Roman"/>
                <w:color w:val="000000" w:themeColor="text1"/>
                <w:spacing w:val="12"/>
                <w:szCs w:val="21"/>
              </w:rPr>
              <w:t>)</w:t>
            </w:r>
          </w:p>
        </w:tc>
        <w:tc>
          <w:tcPr>
            <w:tcW w:w="535" w:type="pct"/>
          </w:tcPr>
          <w:p w14:paraId="09E2FEDA" w14:textId="77777777" w:rsidR="00087418" w:rsidRPr="00092862" w:rsidRDefault="00087418" w:rsidP="00A75B69">
            <w:pPr>
              <w:spacing w:before="34" w:line="216" w:lineRule="auto"/>
              <w:ind w:left="201"/>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种</w:t>
            </w:r>
            <w:r w:rsidRPr="00092862">
              <w:rPr>
                <w:rFonts w:ascii="Times New Roman" w:eastAsia="宋体" w:hAnsi="Times New Roman" w:cs="Times New Roman"/>
                <w:color w:val="000000" w:themeColor="text1"/>
                <w:spacing w:val="-2"/>
                <w:szCs w:val="21"/>
              </w:rPr>
              <w:t>数</w:t>
            </w:r>
          </w:p>
        </w:tc>
        <w:tc>
          <w:tcPr>
            <w:tcW w:w="744" w:type="pct"/>
          </w:tcPr>
          <w:p w14:paraId="6457B84D" w14:textId="77777777" w:rsidR="00087418" w:rsidRPr="00092862" w:rsidRDefault="00087418" w:rsidP="00A75B69">
            <w:pPr>
              <w:spacing w:before="34" w:line="216" w:lineRule="auto"/>
              <w:ind w:left="149"/>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4"/>
                <w:szCs w:val="21"/>
              </w:rPr>
              <w:t>占</w:t>
            </w:r>
            <w:r w:rsidRPr="00092862">
              <w:rPr>
                <w:rFonts w:ascii="Times New Roman" w:eastAsia="宋体" w:hAnsi="Times New Roman" w:cs="Times New Roman"/>
                <w:color w:val="000000" w:themeColor="text1"/>
                <w:spacing w:val="12"/>
                <w:szCs w:val="21"/>
              </w:rPr>
              <w:t>比</w:t>
            </w:r>
            <w:r w:rsidRPr="00092862">
              <w:rPr>
                <w:rFonts w:ascii="Times New Roman" w:eastAsia="宋体" w:hAnsi="Times New Roman" w:cs="Times New Roman"/>
                <w:color w:val="000000" w:themeColor="text1"/>
                <w:spacing w:val="12"/>
                <w:szCs w:val="21"/>
              </w:rPr>
              <w:t>(</w:t>
            </w:r>
            <w:r w:rsidRPr="00092862">
              <w:rPr>
                <w:rFonts w:ascii="Times New Roman" w:eastAsia="Times New Roman" w:hAnsi="Times New Roman" w:cs="Times New Roman"/>
                <w:color w:val="000000" w:themeColor="text1"/>
                <w:spacing w:val="12"/>
                <w:szCs w:val="21"/>
              </w:rPr>
              <w:t>%</w:t>
            </w:r>
            <w:r w:rsidRPr="00092862">
              <w:rPr>
                <w:rFonts w:ascii="Times New Roman" w:eastAsia="宋体" w:hAnsi="Times New Roman" w:cs="Times New Roman"/>
                <w:color w:val="000000" w:themeColor="text1"/>
                <w:spacing w:val="12"/>
                <w:szCs w:val="21"/>
              </w:rPr>
              <w:t>)</w:t>
            </w:r>
          </w:p>
        </w:tc>
      </w:tr>
      <w:tr w:rsidR="00697429" w:rsidRPr="00092862" w14:paraId="50A7F896" w14:textId="77777777" w:rsidTr="00087418">
        <w:trPr>
          <w:trHeight w:val="277"/>
        </w:trPr>
        <w:tc>
          <w:tcPr>
            <w:tcW w:w="1113" w:type="pct"/>
            <w:gridSpan w:val="2"/>
          </w:tcPr>
          <w:p w14:paraId="679C3346" w14:textId="77777777" w:rsidR="00087418" w:rsidRPr="00092862" w:rsidRDefault="00087418" w:rsidP="00A75B69">
            <w:pPr>
              <w:spacing w:before="32" w:line="215" w:lineRule="auto"/>
              <w:ind w:left="637"/>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2"/>
                <w:szCs w:val="21"/>
              </w:rPr>
              <w:t>蕨类植</w:t>
            </w:r>
            <w:r w:rsidRPr="00092862">
              <w:rPr>
                <w:rFonts w:ascii="Times New Roman" w:eastAsia="宋体" w:hAnsi="Times New Roman" w:cs="Times New Roman"/>
                <w:color w:val="000000" w:themeColor="text1"/>
                <w:spacing w:val="-1"/>
                <w:szCs w:val="21"/>
              </w:rPr>
              <w:t>物</w:t>
            </w:r>
          </w:p>
        </w:tc>
        <w:tc>
          <w:tcPr>
            <w:tcW w:w="541" w:type="pct"/>
          </w:tcPr>
          <w:p w14:paraId="6E67E815" w14:textId="77777777" w:rsidR="00087418" w:rsidRPr="00092862" w:rsidRDefault="00087418" w:rsidP="00A75B69">
            <w:pPr>
              <w:spacing w:before="69" w:line="186" w:lineRule="auto"/>
              <w:ind w:left="361"/>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zCs w:val="21"/>
              </w:rPr>
              <w:t>9</w:t>
            </w:r>
          </w:p>
        </w:tc>
        <w:tc>
          <w:tcPr>
            <w:tcW w:w="756" w:type="pct"/>
          </w:tcPr>
          <w:p w14:paraId="233F5DCC" w14:textId="77777777" w:rsidR="00087418" w:rsidRPr="00092862" w:rsidRDefault="00087418" w:rsidP="00A75B69">
            <w:pPr>
              <w:spacing w:before="69" w:line="186" w:lineRule="auto"/>
              <w:ind w:left="405"/>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3"/>
                <w:szCs w:val="21"/>
              </w:rPr>
              <w:t>6</w:t>
            </w:r>
            <w:r w:rsidRPr="00092862">
              <w:rPr>
                <w:rFonts w:ascii="Times New Roman" w:eastAsia="Times New Roman" w:hAnsi="Times New Roman" w:cs="Times New Roman"/>
                <w:color w:val="000000" w:themeColor="text1"/>
                <w:spacing w:val="-2"/>
                <w:szCs w:val="21"/>
              </w:rPr>
              <w:t>.47</w:t>
            </w:r>
          </w:p>
        </w:tc>
        <w:tc>
          <w:tcPr>
            <w:tcW w:w="535" w:type="pct"/>
          </w:tcPr>
          <w:p w14:paraId="50FE31CD" w14:textId="77777777" w:rsidR="00087418" w:rsidRPr="00092862" w:rsidRDefault="00087418" w:rsidP="00A75B69">
            <w:pPr>
              <w:spacing w:before="69" w:line="186" w:lineRule="auto"/>
              <w:ind w:left="321"/>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6"/>
                <w:szCs w:val="21"/>
              </w:rPr>
              <w:t>18</w:t>
            </w:r>
          </w:p>
        </w:tc>
        <w:tc>
          <w:tcPr>
            <w:tcW w:w="775" w:type="pct"/>
          </w:tcPr>
          <w:p w14:paraId="42C96562" w14:textId="77777777" w:rsidR="00087418" w:rsidRPr="00092862" w:rsidRDefault="00087418" w:rsidP="00A75B69">
            <w:pPr>
              <w:spacing w:before="69" w:line="186" w:lineRule="auto"/>
              <w:ind w:left="423"/>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3.44</w:t>
            </w:r>
          </w:p>
        </w:tc>
        <w:tc>
          <w:tcPr>
            <w:tcW w:w="535" w:type="pct"/>
          </w:tcPr>
          <w:p w14:paraId="43432742" w14:textId="77777777" w:rsidR="00087418" w:rsidRPr="00092862" w:rsidRDefault="00087418" w:rsidP="00A75B69">
            <w:pPr>
              <w:spacing w:before="69" w:line="186" w:lineRule="auto"/>
              <w:ind w:left="306"/>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3"/>
                <w:szCs w:val="21"/>
              </w:rPr>
              <w:t>3</w:t>
            </w:r>
            <w:r w:rsidRPr="00092862">
              <w:rPr>
                <w:rFonts w:ascii="Times New Roman" w:eastAsia="Times New Roman" w:hAnsi="Times New Roman" w:cs="Times New Roman"/>
                <w:color w:val="000000" w:themeColor="text1"/>
                <w:spacing w:val="-2"/>
                <w:szCs w:val="21"/>
              </w:rPr>
              <w:t>1</w:t>
            </w:r>
          </w:p>
        </w:tc>
        <w:tc>
          <w:tcPr>
            <w:tcW w:w="744" w:type="pct"/>
          </w:tcPr>
          <w:p w14:paraId="0245F3D6" w14:textId="77777777" w:rsidR="00087418" w:rsidRPr="00092862" w:rsidRDefault="00087418" w:rsidP="00A75B69">
            <w:pPr>
              <w:spacing w:before="69" w:line="186" w:lineRule="auto"/>
              <w:ind w:left="396"/>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3.35</w:t>
            </w:r>
          </w:p>
        </w:tc>
      </w:tr>
      <w:tr w:rsidR="00697429" w:rsidRPr="00092862" w14:paraId="5DE4C97F" w14:textId="77777777" w:rsidTr="00087418">
        <w:trPr>
          <w:trHeight w:val="276"/>
        </w:trPr>
        <w:tc>
          <w:tcPr>
            <w:tcW w:w="437" w:type="pct"/>
            <w:vMerge w:val="restart"/>
            <w:tcBorders>
              <w:bottom w:val="nil"/>
            </w:tcBorders>
          </w:tcPr>
          <w:p w14:paraId="56F873E6" w14:textId="77777777" w:rsidR="00087418" w:rsidRPr="00092862" w:rsidRDefault="00087418" w:rsidP="00A75B69">
            <w:pPr>
              <w:spacing w:before="37" w:line="239" w:lineRule="auto"/>
              <w:ind w:left="216"/>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种</w:t>
            </w:r>
            <w:r w:rsidRPr="00092862">
              <w:rPr>
                <w:rFonts w:ascii="Times New Roman" w:eastAsia="宋体" w:hAnsi="Times New Roman" w:cs="Times New Roman"/>
                <w:color w:val="000000" w:themeColor="text1"/>
                <w:spacing w:val="-2"/>
                <w:szCs w:val="21"/>
              </w:rPr>
              <w:t>子</w:t>
            </w:r>
          </w:p>
          <w:p w14:paraId="1483347F" w14:textId="77777777" w:rsidR="00087418" w:rsidRPr="00092862" w:rsidRDefault="00087418" w:rsidP="00A75B69">
            <w:pPr>
              <w:spacing w:line="217" w:lineRule="auto"/>
              <w:ind w:left="217"/>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植</w:t>
            </w:r>
            <w:r w:rsidRPr="00092862">
              <w:rPr>
                <w:rFonts w:ascii="Times New Roman" w:eastAsia="宋体" w:hAnsi="Times New Roman" w:cs="Times New Roman"/>
                <w:color w:val="000000" w:themeColor="text1"/>
                <w:spacing w:val="-2"/>
                <w:szCs w:val="21"/>
              </w:rPr>
              <w:t>物</w:t>
            </w:r>
          </w:p>
        </w:tc>
        <w:tc>
          <w:tcPr>
            <w:tcW w:w="677" w:type="pct"/>
          </w:tcPr>
          <w:p w14:paraId="08819BDF" w14:textId="77777777" w:rsidR="00087418" w:rsidRPr="00092862" w:rsidRDefault="00087418" w:rsidP="00A75B69">
            <w:pPr>
              <w:spacing w:before="32" w:line="214" w:lineRule="auto"/>
              <w:ind w:left="183"/>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2"/>
                <w:szCs w:val="21"/>
              </w:rPr>
              <w:t>裸子植</w:t>
            </w:r>
            <w:r w:rsidRPr="00092862">
              <w:rPr>
                <w:rFonts w:ascii="Times New Roman" w:eastAsia="宋体" w:hAnsi="Times New Roman" w:cs="Times New Roman"/>
                <w:color w:val="000000" w:themeColor="text1"/>
                <w:spacing w:val="-1"/>
                <w:szCs w:val="21"/>
              </w:rPr>
              <w:t>物</w:t>
            </w:r>
          </w:p>
        </w:tc>
        <w:tc>
          <w:tcPr>
            <w:tcW w:w="541" w:type="pct"/>
          </w:tcPr>
          <w:p w14:paraId="6F45622C" w14:textId="77777777" w:rsidR="00087418" w:rsidRPr="00092862" w:rsidRDefault="00087418" w:rsidP="00A75B69">
            <w:pPr>
              <w:spacing w:before="73" w:line="183" w:lineRule="auto"/>
              <w:ind w:left="363"/>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zCs w:val="21"/>
              </w:rPr>
              <w:t>5</w:t>
            </w:r>
          </w:p>
        </w:tc>
        <w:tc>
          <w:tcPr>
            <w:tcW w:w="756" w:type="pct"/>
          </w:tcPr>
          <w:p w14:paraId="53D4199C" w14:textId="77777777" w:rsidR="00087418" w:rsidRPr="00092862" w:rsidRDefault="00087418" w:rsidP="00A75B69">
            <w:pPr>
              <w:spacing w:before="70" w:line="186" w:lineRule="auto"/>
              <w:ind w:left="405"/>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3.60</w:t>
            </w:r>
          </w:p>
        </w:tc>
        <w:tc>
          <w:tcPr>
            <w:tcW w:w="535" w:type="pct"/>
          </w:tcPr>
          <w:p w14:paraId="0AE7579B" w14:textId="77777777" w:rsidR="00087418" w:rsidRPr="00092862" w:rsidRDefault="00087418" w:rsidP="00A75B69">
            <w:pPr>
              <w:spacing w:before="73" w:line="183" w:lineRule="auto"/>
              <w:ind w:left="357"/>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zCs w:val="21"/>
              </w:rPr>
              <w:t>7</w:t>
            </w:r>
          </w:p>
        </w:tc>
        <w:tc>
          <w:tcPr>
            <w:tcW w:w="775" w:type="pct"/>
          </w:tcPr>
          <w:p w14:paraId="6818984B" w14:textId="77777777" w:rsidR="00087418" w:rsidRPr="00092862" w:rsidRDefault="00087418" w:rsidP="00A75B69">
            <w:pPr>
              <w:spacing w:before="70" w:line="186" w:lineRule="auto"/>
              <w:ind w:left="439"/>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6"/>
                <w:szCs w:val="21"/>
              </w:rPr>
              <w:t>1.34</w:t>
            </w:r>
          </w:p>
        </w:tc>
        <w:tc>
          <w:tcPr>
            <w:tcW w:w="535" w:type="pct"/>
          </w:tcPr>
          <w:p w14:paraId="12975DED" w14:textId="77777777" w:rsidR="00087418" w:rsidRPr="00092862" w:rsidRDefault="00087418" w:rsidP="00A75B69">
            <w:pPr>
              <w:spacing w:before="70" w:line="186" w:lineRule="auto"/>
              <w:ind w:left="359"/>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zCs w:val="21"/>
              </w:rPr>
              <w:t>9</w:t>
            </w:r>
          </w:p>
        </w:tc>
        <w:tc>
          <w:tcPr>
            <w:tcW w:w="744" w:type="pct"/>
          </w:tcPr>
          <w:p w14:paraId="53FAF70E" w14:textId="77777777" w:rsidR="00087418" w:rsidRPr="00092862" w:rsidRDefault="00087418" w:rsidP="00A75B69">
            <w:pPr>
              <w:spacing w:before="70" w:line="186" w:lineRule="auto"/>
              <w:ind w:left="395"/>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0.9</w:t>
            </w:r>
            <w:r w:rsidRPr="00092862">
              <w:rPr>
                <w:rFonts w:ascii="Times New Roman" w:eastAsia="Times New Roman" w:hAnsi="Times New Roman" w:cs="Times New Roman"/>
                <w:color w:val="000000" w:themeColor="text1"/>
                <w:spacing w:val="-1"/>
                <w:szCs w:val="21"/>
              </w:rPr>
              <w:t>7</w:t>
            </w:r>
          </w:p>
        </w:tc>
      </w:tr>
      <w:tr w:rsidR="00697429" w:rsidRPr="00092862" w14:paraId="09F0E86E" w14:textId="77777777" w:rsidTr="00087418">
        <w:trPr>
          <w:trHeight w:val="276"/>
        </w:trPr>
        <w:tc>
          <w:tcPr>
            <w:tcW w:w="437" w:type="pct"/>
            <w:vMerge/>
            <w:tcBorders>
              <w:top w:val="nil"/>
            </w:tcBorders>
          </w:tcPr>
          <w:p w14:paraId="2D12FF2E" w14:textId="77777777" w:rsidR="00087418" w:rsidRPr="00092862" w:rsidRDefault="00087418" w:rsidP="00A75B69">
            <w:pPr>
              <w:rPr>
                <w:rFonts w:ascii="Times New Roman" w:hAnsi="Times New Roman" w:cs="Times New Roman"/>
                <w:color w:val="000000" w:themeColor="text1"/>
              </w:rPr>
            </w:pPr>
          </w:p>
        </w:tc>
        <w:tc>
          <w:tcPr>
            <w:tcW w:w="677" w:type="pct"/>
          </w:tcPr>
          <w:p w14:paraId="4CD44CB8" w14:textId="77777777" w:rsidR="00087418" w:rsidRPr="00092862" w:rsidRDefault="00087418" w:rsidP="00A75B69">
            <w:pPr>
              <w:spacing w:before="33" w:line="213" w:lineRule="auto"/>
              <w:ind w:left="183"/>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2"/>
                <w:szCs w:val="21"/>
              </w:rPr>
              <w:t>被子植</w:t>
            </w:r>
            <w:r w:rsidRPr="00092862">
              <w:rPr>
                <w:rFonts w:ascii="Times New Roman" w:eastAsia="宋体" w:hAnsi="Times New Roman" w:cs="Times New Roman"/>
                <w:color w:val="000000" w:themeColor="text1"/>
                <w:spacing w:val="-1"/>
                <w:szCs w:val="21"/>
              </w:rPr>
              <w:t>物</w:t>
            </w:r>
          </w:p>
        </w:tc>
        <w:tc>
          <w:tcPr>
            <w:tcW w:w="541" w:type="pct"/>
          </w:tcPr>
          <w:p w14:paraId="079013DA" w14:textId="77777777" w:rsidR="00087418" w:rsidRPr="00092862" w:rsidRDefault="00087418" w:rsidP="00A75B69">
            <w:pPr>
              <w:spacing w:before="71" w:line="186" w:lineRule="auto"/>
              <w:ind w:left="271"/>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7"/>
                <w:szCs w:val="21"/>
              </w:rPr>
              <w:t>1</w:t>
            </w:r>
            <w:r w:rsidRPr="00092862">
              <w:rPr>
                <w:rFonts w:ascii="Times New Roman" w:eastAsia="Times New Roman" w:hAnsi="Times New Roman" w:cs="Times New Roman"/>
                <w:color w:val="000000" w:themeColor="text1"/>
                <w:spacing w:val="-5"/>
                <w:szCs w:val="21"/>
              </w:rPr>
              <w:t>25</w:t>
            </w:r>
          </w:p>
        </w:tc>
        <w:tc>
          <w:tcPr>
            <w:tcW w:w="756" w:type="pct"/>
          </w:tcPr>
          <w:p w14:paraId="3D563FFA" w14:textId="77777777" w:rsidR="00087418" w:rsidRPr="00092862" w:rsidRDefault="00087418" w:rsidP="00A75B69">
            <w:pPr>
              <w:spacing w:before="71" w:line="186" w:lineRule="auto"/>
              <w:ind w:left="356"/>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4"/>
                <w:szCs w:val="21"/>
              </w:rPr>
              <w:t>8</w:t>
            </w:r>
            <w:r w:rsidRPr="00092862">
              <w:rPr>
                <w:rFonts w:ascii="Times New Roman" w:eastAsia="Times New Roman" w:hAnsi="Times New Roman" w:cs="Times New Roman"/>
                <w:color w:val="000000" w:themeColor="text1"/>
                <w:spacing w:val="-3"/>
                <w:szCs w:val="21"/>
              </w:rPr>
              <w:t>9</w:t>
            </w:r>
            <w:r w:rsidRPr="00092862">
              <w:rPr>
                <w:rFonts w:ascii="Times New Roman" w:eastAsia="Times New Roman" w:hAnsi="Times New Roman" w:cs="Times New Roman"/>
                <w:color w:val="000000" w:themeColor="text1"/>
                <w:spacing w:val="-2"/>
                <w:szCs w:val="21"/>
              </w:rPr>
              <w:t>.93</w:t>
            </w:r>
          </w:p>
        </w:tc>
        <w:tc>
          <w:tcPr>
            <w:tcW w:w="535" w:type="pct"/>
          </w:tcPr>
          <w:p w14:paraId="30E132FC" w14:textId="77777777" w:rsidR="00087418" w:rsidRPr="00092862" w:rsidRDefault="00087418" w:rsidP="00A75B69">
            <w:pPr>
              <w:spacing w:before="71" w:line="186" w:lineRule="auto"/>
              <w:ind w:left="248"/>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1"/>
                <w:szCs w:val="21"/>
              </w:rPr>
              <w:t>499</w:t>
            </w:r>
          </w:p>
        </w:tc>
        <w:tc>
          <w:tcPr>
            <w:tcW w:w="775" w:type="pct"/>
          </w:tcPr>
          <w:p w14:paraId="4A6DCD3B" w14:textId="77777777" w:rsidR="00087418" w:rsidRPr="00092862" w:rsidRDefault="00087418" w:rsidP="00A75B69">
            <w:pPr>
              <w:spacing w:before="71" w:line="186" w:lineRule="auto"/>
              <w:ind w:left="370"/>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95.</w:t>
            </w:r>
            <w:r w:rsidRPr="00092862">
              <w:rPr>
                <w:rFonts w:ascii="Times New Roman" w:eastAsia="Times New Roman" w:hAnsi="Times New Roman" w:cs="Times New Roman"/>
                <w:color w:val="000000" w:themeColor="text1"/>
                <w:spacing w:val="-1"/>
                <w:szCs w:val="21"/>
              </w:rPr>
              <w:t>22</w:t>
            </w:r>
          </w:p>
        </w:tc>
        <w:tc>
          <w:tcPr>
            <w:tcW w:w="535" w:type="pct"/>
          </w:tcPr>
          <w:p w14:paraId="7167288C" w14:textId="77777777" w:rsidR="00087418" w:rsidRPr="00092862" w:rsidRDefault="00087418" w:rsidP="00A75B69">
            <w:pPr>
              <w:spacing w:before="71" w:line="186" w:lineRule="auto"/>
              <w:ind w:left="259"/>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3"/>
                <w:szCs w:val="21"/>
              </w:rPr>
              <w:t>885</w:t>
            </w:r>
          </w:p>
        </w:tc>
        <w:tc>
          <w:tcPr>
            <w:tcW w:w="744" w:type="pct"/>
          </w:tcPr>
          <w:p w14:paraId="1D8B7414" w14:textId="77777777" w:rsidR="00087418" w:rsidRPr="00092862" w:rsidRDefault="00087418" w:rsidP="00A75B69">
            <w:pPr>
              <w:spacing w:before="71" w:line="186" w:lineRule="auto"/>
              <w:ind w:left="343"/>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95.</w:t>
            </w:r>
            <w:r w:rsidRPr="00092862">
              <w:rPr>
                <w:rFonts w:ascii="Times New Roman" w:eastAsia="Times New Roman" w:hAnsi="Times New Roman" w:cs="Times New Roman"/>
                <w:color w:val="000000" w:themeColor="text1"/>
                <w:spacing w:val="-1"/>
                <w:szCs w:val="21"/>
              </w:rPr>
              <w:t>68</w:t>
            </w:r>
          </w:p>
        </w:tc>
      </w:tr>
      <w:tr w:rsidR="00697429" w:rsidRPr="00092862" w14:paraId="4BCA3D1C" w14:textId="77777777" w:rsidTr="00087418">
        <w:trPr>
          <w:trHeight w:val="282"/>
        </w:trPr>
        <w:tc>
          <w:tcPr>
            <w:tcW w:w="1113" w:type="pct"/>
            <w:gridSpan w:val="2"/>
          </w:tcPr>
          <w:p w14:paraId="7A116A2C" w14:textId="77777777" w:rsidR="00087418" w:rsidRPr="00092862" w:rsidRDefault="00087418" w:rsidP="00A75B69">
            <w:pPr>
              <w:spacing w:before="34" w:line="218" w:lineRule="auto"/>
              <w:ind w:left="848"/>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合</w:t>
            </w:r>
            <w:r w:rsidRPr="00092862">
              <w:rPr>
                <w:rFonts w:ascii="Times New Roman" w:eastAsia="宋体" w:hAnsi="Times New Roman" w:cs="Times New Roman"/>
                <w:color w:val="000000" w:themeColor="text1"/>
                <w:spacing w:val="-2"/>
                <w:szCs w:val="21"/>
              </w:rPr>
              <w:t>计</w:t>
            </w:r>
          </w:p>
        </w:tc>
        <w:tc>
          <w:tcPr>
            <w:tcW w:w="541" w:type="pct"/>
          </w:tcPr>
          <w:p w14:paraId="09230C41" w14:textId="77777777" w:rsidR="00087418" w:rsidRPr="00092862" w:rsidRDefault="00087418" w:rsidP="00A75B69">
            <w:pPr>
              <w:spacing w:before="72" w:line="186" w:lineRule="auto"/>
              <w:ind w:left="271"/>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7"/>
                <w:szCs w:val="21"/>
              </w:rPr>
              <w:t>1</w:t>
            </w:r>
            <w:r w:rsidRPr="00092862">
              <w:rPr>
                <w:rFonts w:ascii="Times New Roman" w:eastAsia="Times New Roman" w:hAnsi="Times New Roman" w:cs="Times New Roman"/>
                <w:color w:val="000000" w:themeColor="text1"/>
                <w:spacing w:val="-5"/>
                <w:szCs w:val="21"/>
              </w:rPr>
              <w:t>39</w:t>
            </w:r>
          </w:p>
        </w:tc>
        <w:tc>
          <w:tcPr>
            <w:tcW w:w="756" w:type="pct"/>
          </w:tcPr>
          <w:p w14:paraId="2099CD3E" w14:textId="77777777" w:rsidR="00087418" w:rsidRPr="00092862" w:rsidRDefault="00087418" w:rsidP="00A75B69">
            <w:pPr>
              <w:spacing w:before="72" w:line="186" w:lineRule="auto"/>
              <w:ind w:left="368"/>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8"/>
                <w:szCs w:val="21"/>
              </w:rPr>
              <w:t>1</w:t>
            </w:r>
            <w:r w:rsidRPr="00092862">
              <w:rPr>
                <w:rFonts w:ascii="Times New Roman" w:eastAsia="Times New Roman" w:hAnsi="Times New Roman" w:cs="Times New Roman"/>
                <w:color w:val="000000" w:themeColor="text1"/>
                <w:spacing w:val="-4"/>
                <w:szCs w:val="21"/>
              </w:rPr>
              <w:t>00.0</w:t>
            </w:r>
          </w:p>
        </w:tc>
        <w:tc>
          <w:tcPr>
            <w:tcW w:w="535" w:type="pct"/>
          </w:tcPr>
          <w:p w14:paraId="47637CC5" w14:textId="77777777" w:rsidR="00087418" w:rsidRPr="00092862" w:rsidRDefault="00087418" w:rsidP="00A75B69">
            <w:pPr>
              <w:spacing w:before="72" w:line="186" w:lineRule="auto"/>
              <w:ind w:left="255"/>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3"/>
                <w:szCs w:val="21"/>
              </w:rPr>
              <w:t>5</w:t>
            </w:r>
            <w:r w:rsidRPr="00092862">
              <w:rPr>
                <w:rFonts w:ascii="Times New Roman" w:eastAsia="Times New Roman" w:hAnsi="Times New Roman" w:cs="Times New Roman"/>
                <w:color w:val="000000" w:themeColor="text1"/>
                <w:spacing w:val="-2"/>
                <w:szCs w:val="21"/>
              </w:rPr>
              <w:t>24</w:t>
            </w:r>
          </w:p>
        </w:tc>
        <w:tc>
          <w:tcPr>
            <w:tcW w:w="775" w:type="pct"/>
          </w:tcPr>
          <w:p w14:paraId="4EB662B7" w14:textId="77777777" w:rsidR="00087418" w:rsidRPr="00092862" w:rsidRDefault="00087418" w:rsidP="00A75B69">
            <w:pPr>
              <w:spacing w:before="72" w:line="186" w:lineRule="auto"/>
              <w:ind w:left="386"/>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8"/>
                <w:szCs w:val="21"/>
              </w:rPr>
              <w:t>1</w:t>
            </w:r>
            <w:r w:rsidRPr="00092862">
              <w:rPr>
                <w:rFonts w:ascii="Times New Roman" w:eastAsia="Times New Roman" w:hAnsi="Times New Roman" w:cs="Times New Roman"/>
                <w:color w:val="000000" w:themeColor="text1"/>
                <w:spacing w:val="-4"/>
                <w:szCs w:val="21"/>
              </w:rPr>
              <w:t>00.0</w:t>
            </w:r>
          </w:p>
        </w:tc>
        <w:tc>
          <w:tcPr>
            <w:tcW w:w="535" w:type="pct"/>
          </w:tcPr>
          <w:p w14:paraId="45F5D574" w14:textId="77777777" w:rsidR="00087418" w:rsidRPr="00092862" w:rsidRDefault="00087418" w:rsidP="00A75B69">
            <w:pPr>
              <w:spacing w:before="72" w:line="186" w:lineRule="auto"/>
              <w:ind w:left="254"/>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925</w:t>
            </w:r>
          </w:p>
        </w:tc>
        <w:tc>
          <w:tcPr>
            <w:tcW w:w="744" w:type="pct"/>
          </w:tcPr>
          <w:p w14:paraId="030AAE38" w14:textId="77777777" w:rsidR="00087418" w:rsidRPr="00092862" w:rsidRDefault="00087418" w:rsidP="00A75B69">
            <w:pPr>
              <w:spacing w:before="72" w:line="186" w:lineRule="auto"/>
              <w:ind w:left="359"/>
              <w:rPr>
                <w:rFonts w:ascii="Times New Roman" w:eastAsia="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8"/>
                <w:szCs w:val="21"/>
              </w:rPr>
              <w:t>1</w:t>
            </w:r>
            <w:r w:rsidRPr="00092862">
              <w:rPr>
                <w:rFonts w:ascii="Times New Roman" w:eastAsia="Times New Roman" w:hAnsi="Times New Roman" w:cs="Times New Roman"/>
                <w:color w:val="000000" w:themeColor="text1"/>
                <w:spacing w:val="-4"/>
                <w:szCs w:val="21"/>
              </w:rPr>
              <w:t>00.0</w:t>
            </w:r>
          </w:p>
        </w:tc>
      </w:tr>
    </w:tbl>
    <w:p w14:paraId="1621193C" w14:textId="199EAE4C" w:rsidR="00F96F41" w:rsidRPr="00092862" w:rsidRDefault="00087418" w:rsidP="002C4161">
      <w:pPr>
        <w:adjustRightInd w:val="0"/>
        <w:snapToGrid w:val="0"/>
        <w:spacing w:beforeLines="50" w:before="120" w:line="360" w:lineRule="auto"/>
        <w:ind w:firstLineChars="200" w:firstLine="510"/>
        <w:rPr>
          <w:rFonts w:ascii="Times New Roman" w:hAnsi="Times New Roman" w:cs="Times New Roman"/>
          <w:color w:val="000000" w:themeColor="text1"/>
          <w:spacing w:val="-5"/>
          <w:sz w:val="27"/>
          <w:szCs w:val="27"/>
        </w:rPr>
      </w:pPr>
      <w:r w:rsidRPr="00092862">
        <w:rPr>
          <w:rFonts w:ascii="Times New Roman" w:eastAsia="宋体" w:hAnsi="Times New Roman" w:cs="Times New Roman"/>
          <w:color w:val="000000" w:themeColor="text1"/>
          <w:spacing w:val="15"/>
          <w:sz w:val="24"/>
          <w:szCs w:val="24"/>
        </w:rPr>
        <w:t>项目</w:t>
      </w:r>
      <w:r w:rsidRPr="00092862">
        <w:rPr>
          <w:rFonts w:ascii="Times New Roman" w:eastAsia="宋体" w:hAnsi="Times New Roman" w:cs="Times New Roman"/>
          <w:color w:val="000000" w:themeColor="text1"/>
          <w:sz w:val="24"/>
        </w:rPr>
        <w:t>区域</w:t>
      </w:r>
      <w:r w:rsidRPr="00092862">
        <w:rPr>
          <w:rFonts w:ascii="Times New Roman" w:eastAsia="宋体" w:hAnsi="Times New Roman" w:cs="Times New Roman"/>
          <w:color w:val="000000" w:themeColor="text1"/>
          <w:sz w:val="24"/>
          <w:szCs w:val="24"/>
        </w:rPr>
        <w:t>维管</w:t>
      </w:r>
      <w:r w:rsidRPr="00092862">
        <w:rPr>
          <w:rFonts w:ascii="Times New Roman" w:eastAsia="宋体" w:hAnsi="Times New Roman" w:cs="Times New Roman"/>
          <w:color w:val="000000" w:themeColor="text1"/>
          <w:spacing w:val="15"/>
          <w:sz w:val="24"/>
          <w:szCs w:val="24"/>
        </w:rPr>
        <w:t>植物</w:t>
      </w:r>
      <w:r w:rsidRPr="00092862">
        <w:rPr>
          <w:rFonts w:ascii="Times New Roman" w:eastAsia="宋体" w:hAnsi="Times New Roman" w:cs="Times New Roman"/>
          <w:color w:val="000000" w:themeColor="text1"/>
          <w:sz w:val="24"/>
          <w:szCs w:val="24"/>
        </w:rPr>
        <w:t>组成以被子植物为优势，分别占评价区维管植物科属种总数的</w:t>
      </w:r>
      <w:r w:rsidRPr="00092862">
        <w:rPr>
          <w:rFonts w:ascii="Times New Roman" w:eastAsia="宋体" w:hAnsi="Times New Roman" w:cs="Times New Roman"/>
          <w:color w:val="000000" w:themeColor="text1"/>
          <w:sz w:val="24"/>
          <w:szCs w:val="24"/>
        </w:rPr>
        <w:t>89.93%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95.22%</w:t>
      </w:r>
      <w:r w:rsidRPr="00092862">
        <w:rPr>
          <w:rFonts w:ascii="Times New Roman" w:eastAsia="宋体" w:hAnsi="Times New Roman" w:cs="Times New Roman"/>
          <w:color w:val="000000" w:themeColor="text1"/>
          <w:sz w:val="24"/>
          <w:szCs w:val="24"/>
        </w:rPr>
        <w:t>和</w:t>
      </w:r>
      <w:r w:rsidRPr="00092862">
        <w:rPr>
          <w:rFonts w:ascii="Times New Roman" w:eastAsia="宋体" w:hAnsi="Times New Roman" w:cs="Times New Roman"/>
          <w:color w:val="000000" w:themeColor="text1"/>
          <w:sz w:val="24"/>
          <w:szCs w:val="24"/>
        </w:rPr>
        <w:t>95.68%</w:t>
      </w:r>
      <w:r w:rsidRPr="00092862">
        <w:rPr>
          <w:rFonts w:ascii="Times New Roman" w:eastAsia="宋体" w:hAnsi="Times New Roman" w:cs="Times New Roman"/>
          <w:color w:val="000000" w:themeColor="text1"/>
          <w:sz w:val="24"/>
          <w:szCs w:val="24"/>
        </w:rPr>
        <w:t>。常见的优势物种有马尾松</w:t>
      </w:r>
      <w:r w:rsidRPr="00092862">
        <w:rPr>
          <w:rFonts w:ascii="Times New Roman" w:eastAsia="Times New Roman" w:hAnsi="Times New Roman" w:cs="Times New Roman"/>
          <w:i/>
          <w:iCs/>
          <w:color w:val="000000" w:themeColor="text1"/>
          <w:sz w:val="24"/>
          <w:szCs w:val="24"/>
        </w:rPr>
        <w:t>P.massoniana</w:t>
      </w:r>
      <w:r w:rsidRPr="00092862">
        <w:rPr>
          <w:rFonts w:ascii="Times New Roman" w:eastAsia="宋体" w:hAnsi="Times New Roman" w:cs="Times New Roman"/>
          <w:color w:val="000000" w:themeColor="text1"/>
          <w:sz w:val="24"/>
          <w:szCs w:val="24"/>
        </w:rPr>
        <w:t>、杉木</w:t>
      </w:r>
      <w:r w:rsidRPr="00092862">
        <w:rPr>
          <w:rFonts w:ascii="Times New Roman" w:eastAsia="宋体" w:hAnsi="Times New Roman" w:cs="Times New Roman"/>
          <w:color w:val="000000" w:themeColor="text1"/>
          <w:sz w:val="24"/>
        </w:rPr>
        <w:t xml:space="preserve">Cunninghamia </w:t>
      </w:r>
      <w:r w:rsidRPr="00092862">
        <w:rPr>
          <w:rFonts w:ascii="Times New Roman" w:eastAsia="Times New Roman" w:hAnsi="Times New Roman" w:cs="Times New Roman"/>
          <w:i/>
          <w:iCs/>
          <w:color w:val="000000" w:themeColor="text1"/>
          <w:sz w:val="24"/>
          <w:szCs w:val="24"/>
        </w:rPr>
        <w:t>lanceolata</w:t>
      </w:r>
      <w:r w:rsidRPr="00092862">
        <w:rPr>
          <w:rFonts w:ascii="Times New Roman" w:eastAsia="Times New Roman" w:hAnsi="Times New Roman" w:cs="Times New Roman"/>
          <w:color w:val="000000" w:themeColor="text1"/>
          <w:sz w:val="24"/>
          <w:szCs w:val="24"/>
        </w:rPr>
        <w:t xml:space="preserve"> </w:t>
      </w:r>
      <w:r w:rsidRPr="00092862">
        <w:rPr>
          <w:rFonts w:ascii="Times New Roman" w:eastAsia="宋体" w:hAnsi="Times New Roman" w:cs="Times New Roman"/>
          <w:i/>
          <w:iCs/>
          <w:color w:val="000000" w:themeColor="text1"/>
          <w:spacing w:val="-2"/>
          <w:sz w:val="25"/>
          <w:szCs w:val="25"/>
        </w:rPr>
        <w:t>(</w:t>
      </w:r>
      <w:r w:rsidRPr="00092862">
        <w:rPr>
          <w:rFonts w:ascii="Times New Roman" w:eastAsia="Times New Roman" w:hAnsi="Times New Roman" w:cs="Times New Roman"/>
          <w:i/>
          <w:iCs/>
          <w:color w:val="000000" w:themeColor="text1"/>
          <w:spacing w:val="-2"/>
          <w:sz w:val="24"/>
          <w:szCs w:val="24"/>
        </w:rPr>
        <w:t>Lamb.</w:t>
      </w:r>
      <w:r w:rsidRPr="00092862">
        <w:rPr>
          <w:rFonts w:ascii="Times New Roman" w:eastAsia="宋体" w:hAnsi="Times New Roman" w:cs="Times New Roman"/>
          <w:i/>
          <w:iCs/>
          <w:color w:val="000000" w:themeColor="text1"/>
          <w:spacing w:val="-2"/>
          <w:sz w:val="25"/>
          <w:szCs w:val="25"/>
        </w:rPr>
        <w:t>)</w:t>
      </w:r>
      <w:r w:rsidRPr="00092862">
        <w:rPr>
          <w:rFonts w:ascii="Times New Roman" w:eastAsia="Times New Roman" w:hAnsi="Times New Roman" w:cs="Times New Roman"/>
          <w:i/>
          <w:iCs/>
          <w:color w:val="000000" w:themeColor="text1"/>
          <w:spacing w:val="-2"/>
          <w:sz w:val="24"/>
          <w:szCs w:val="24"/>
        </w:rPr>
        <w:t>Hook.</w:t>
      </w:r>
      <w:r w:rsidRPr="00092862">
        <w:rPr>
          <w:rFonts w:ascii="Times New Roman" w:eastAsia="宋体" w:hAnsi="Times New Roman" w:cs="Times New Roman"/>
          <w:color w:val="000000" w:themeColor="text1"/>
          <w:spacing w:val="-2"/>
          <w:sz w:val="24"/>
          <w:szCs w:val="24"/>
        </w:rPr>
        <w:t>、</w:t>
      </w:r>
      <w:r w:rsidRPr="00092862">
        <w:rPr>
          <w:rFonts w:ascii="Times New Roman" w:eastAsia="宋体" w:hAnsi="Times New Roman" w:cs="Times New Roman"/>
          <w:color w:val="000000" w:themeColor="text1"/>
          <w:sz w:val="24"/>
          <w:szCs w:val="24"/>
        </w:rPr>
        <w:t>柏木</w:t>
      </w:r>
      <w:r w:rsidRPr="00092862">
        <w:rPr>
          <w:rFonts w:ascii="Times New Roman" w:eastAsia="Times New Roman" w:hAnsi="Times New Roman" w:cs="Times New Roman"/>
          <w:i/>
          <w:iCs/>
          <w:color w:val="000000" w:themeColor="text1"/>
          <w:spacing w:val="-2"/>
          <w:sz w:val="24"/>
          <w:szCs w:val="24"/>
        </w:rPr>
        <w:t>Cupressu</w:t>
      </w:r>
      <w:r w:rsidRPr="00092862">
        <w:rPr>
          <w:rFonts w:ascii="Times New Roman" w:eastAsia="Times New Roman" w:hAnsi="Times New Roman" w:cs="Times New Roman"/>
          <w:i/>
          <w:iCs/>
          <w:color w:val="000000" w:themeColor="text1"/>
          <w:spacing w:val="-1"/>
          <w:sz w:val="24"/>
          <w:szCs w:val="24"/>
        </w:rPr>
        <w:t>s</w:t>
      </w:r>
      <w:r w:rsidRPr="00092862">
        <w:rPr>
          <w:rFonts w:ascii="Times New Roman" w:eastAsia="Times New Roman" w:hAnsi="Times New Roman" w:cs="Times New Roman"/>
          <w:color w:val="000000" w:themeColor="text1"/>
          <w:spacing w:val="-2"/>
          <w:sz w:val="24"/>
          <w:szCs w:val="24"/>
        </w:rPr>
        <w:t xml:space="preserve"> </w:t>
      </w:r>
      <w:r w:rsidRPr="00092862">
        <w:rPr>
          <w:rFonts w:ascii="Times New Roman" w:eastAsia="Times New Roman" w:hAnsi="Times New Roman" w:cs="Times New Roman"/>
          <w:i/>
          <w:iCs/>
          <w:color w:val="000000" w:themeColor="text1"/>
          <w:spacing w:val="-1"/>
          <w:sz w:val="24"/>
          <w:szCs w:val="24"/>
        </w:rPr>
        <w:t>funebris</w:t>
      </w:r>
      <w:r w:rsidRPr="00092862">
        <w:rPr>
          <w:rFonts w:ascii="Times New Roman" w:eastAsia="Times New Roman" w:hAnsi="Times New Roman" w:cs="Times New Roman"/>
          <w:color w:val="000000" w:themeColor="text1"/>
          <w:spacing w:val="-2"/>
          <w:sz w:val="24"/>
          <w:szCs w:val="24"/>
        </w:rPr>
        <w:t xml:space="preserve"> </w:t>
      </w:r>
      <w:r w:rsidRPr="00092862">
        <w:rPr>
          <w:rFonts w:ascii="Times New Roman" w:eastAsia="Times New Roman" w:hAnsi="Times New Roman" w:cs="Times New Roman"/>
          <w:i/>
          <w:iCs/>
          <w:color w:val="000000" w:themeColor="text1"/>
          <w:spacing w:val="-1"/>
          <w:sz w:val="24"/>
          <w:szCs w:val="24"/>
        </w:rPr>
        <w:t>Endl</w:t>
      </w:r>
      <w:r w:rsidRPr="00092862">
        <w:rPr>
          <w:rFonts w:ascii="Times New Roman" w:eastAsia="Times New Roman" w:hAnsi="Times New Roman" w:cs="Times New Roman"/>
          <w:i/>
          <w:iCs/>
          <w:color w:val="000000" w:themeColor="text1"/>
          <w:spacing w:val="-2"/>
          <w:sz w:val="24"/>
          <w:szCs w:val="24"/>
        </w:rPr>
        <w:t>.</w:t>
      </w:r>
      <w:r w:rsidRPr="00092862">
        <w:rPr>
          <w:rFonts w:ascii="Times New Roman" w:eastAsia="宋体" w:hAnsi="Times New Roman" w:cs="Times New Roman"/>
          <w:i/>
          <w:iCs/>
          <w:color w:val="000000" w:themeColor="text1"/>
          <w:spacing w:val="-2"/>
          <w:sz w:val="25"/>
          <w:szCs w:val="25"/>
        </w:rPr>
        <w:t>、</w:t>
      </w:r>
      <w:r w:rsidRPr="00092862">
        <w:rPr>
          <w:rFonts w:ascii="Times New Roman" w:eastAsia="宋体" w:hAnsi="Times New Roman" w:cs="Times New Roman"/>
          <w:color w:val="000000" w:themeColor="text1"/>
          <w:spacing w:val="-5"/>
          <w:sz w:val="24"/>
          <w:szCs w:val="24"/>
        </w:rPr>
        <w:t>蔷薇</w:t>
      </w:r>
      <w:r w:rsidRPr="00092862">
        <w:rPr>
          <w:rFonts w:ascii="Times New Roman" w:eastAsia="Times New Roman" w:hAnsi="Times New Roman" w:cs="Times New Roman"/>
          <w:i/>
          <w:iCs/>
          <w:color w:val="000000" w:themeColor="text1"/>
          <w:spacing w:val="-5"/>
          <w:sz w:val="24"/>
          <w:szCs w:val="24"/>
        </w:rPr>
        <w:t>Rosa</w:t>
      </w:r>
      <w:r w:rsidRPr="00092862">
        <w:rPr>
          <w:rFonts w:ascii="Times New Roman" w:eastAsia="Times New Roman" w:hAnsi="Times New Roman" w:cs="Times New Roman"/>
          <w:color w:val="000000" w:themeColor="text1"/>
          <w:spacing w:val="-5"/>
          <w:sz w:val="24"/>
          <w:szCs w:val="24"/>
        </w:rPr>
        <w:t xml:space="preserve"> </w:t>
      </w:r>
      <w:r w:rsidRPr="00092862">
        <w:rPr>
          <w:rFonts w:ascii="Times New Roman" w:eastAsia="Times New Roman" w:hAnsi="Times New Roman" w:cs="Times New Roman"/>
          <w:i/>
          <w:iCs/>
          <w:color w:val="000000" w:themeColor="text1"/>
          <w:spacing w:val="-5"/>
          <w:sz w:val="24"/>
          <w:szCs w:val="24"/>
        </w:rPr>
        <w:t>sp.</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z w:val="24"/>
          <w:szCs w:val="24"/>
        </w:rPr>
        <w:t>白茅</w:t>
      </w:r>
      <w:r w:rsidRPr="00092862">
        <w:rPr>
          <w:rFonts w:ascii="Times New Roman" w:eastAsia="Times New Roman" w:hAnsi="Times New Roman" w:cs="Times New Roman"/>
          <w:i/>
          <w:iCs/>
          <w:color w:val="000000" w:themeColor="text1"/>
          <w:spacing w:val="-5"/>
          <w:sz w:val="24"/>
          <w:szCs w:val="24"/>
        </w:rPr>
        <w:t>mperata</w:t>
      </w:r>
      <w:r w:rsidRPr="00092862">
        <w:rPr>
          <w:rFonts w:ascii="Times New Roman" w:eastAsia="Times New Roman" w:hAnsi="Times New Roman" w:cs="Times New Roman"/>
          <w:color w:val="000000" w:themeColor="text1"/>
          <w:spacing w:val="-5"/>
          <w:sz w:val="24"/>
          <w:szCs w:val="24"/>
        </w:rPr>
        <w:t xml:space="preserve"> </w:t>
      </w:r>
      <w:r w:rsidRPr="00092862">
        <w:rPr>
          <w:rFonts w:ascii="Times New Roman" w:eastAsia="Times New Roman" w:hAnsi="Times New Roman" w:cs="Times New Roman"/>
          <w:i/>
          <w:iCs/>
          <w:color w:val="000000" w:themeColor="text1"/>
          <w:spacing w:val="-5"/>
          <w:sz w:val="24"/>
          <w:szCs w:val="24"/>
        </w:rPr>
        <w:t>cylindri</w:t>
      </w:r>
      <w:r w:rsidRPr="00092862">
        <w:rPr>
          <w:rFonts w:ascii="Times New Roman" w:eastAsia="Times New Roman" w:hAnsi="Times New Roman" w:cs="Times New Roman"/>
          <w:i/>
          <w:iCs/>
          <w:color w:val="000000" w:themeColor="text1"/>
          <w:spacing w:val="-4"/>
          <w:sz w:val="24"/>
          <w:szCs w:val="24"/>
        </w:rPr>
        <w:t>c</w:t>
      </w:r>
      <w:r w:rsidRPr="00092862">
        <w:rPr>
          <w:rFonts w:ascii="Times New Roman" w:eastAsia="宋体" w:hAnsi="Times New Roman" w:cs="Times New Roman"/>
          <w:color w:val="000000" w:themeColor="text1"/>
          <w:spacing w:val="-5"/>
          <w:sz w:val="24"/>
          <w:szCs w:val="24"/>
        </w:rPr>
        <w:t>等</w:t>
      </w:r>
      <w:r w:rsidR="00F96F41" w:rsidRPr="00092862">
        <w:rPr>
          <w:rFonts w:ascii="Times New Roman" w:hAnsi="Times New Roman" w:cs="Times New Roman"/>
          <w:color w:val="000000" w:themeColor="text1"/>
          <w:spacing w:val="-5"/>
          <w:sz w:val="27"/>
          <w:szCs w:val="27"/>
        </w:rPr>
        <w:t>。</w:t>
      </w:r>
    </w:p>
    <w:p w14:paraId="0ED1D26A" w14:textId="77777777" w:rsidR="00F96F41" w:rsidRPr="00092862" w:rsidRDefault="00F96F41" w:rsidP="002C4161">
      <w:pPr>
        <w:pStyle w:val="41"/>
        <w:adjustRightInd w:val="0"/>
        <w:snapToGrid w:val="0"/>
        <w:spacing w:line="360" w:lineRule="auto"/>
        <w:ind w:firstLineChars="200" w:firstLine="482"/>
        <w:rPr>
          <w:b/>
          <w:bCs/>
          <w:color w:val="000000" w:themeColor="text1"/>
          <w:sz w:val="24"/>
          <w:szCs w:val="24"/>
        </w:rPr>
      </w:pPr>
      <w:r w:rsidRPr="00092862">
        <w:rPr>
          <w:b/>
          <w:bCs/>
          <w:color w:val="000000" w:themeColor="text1"/>
          <w:sz w:val="24"/>
          <w:szCs w:val="24"/>
        </w:rPr>
        <w:t>（</w:t>
      </w:r>
      <w:r w:rsidRPr="00092862">
        <w:rPr>
          <w:b/>
          <w:bCs/>
          <w:color w:val="000000" w:themeColor="text1"/>
          <w:sz w:val="24"/>
          <w:szCs w:val="24"/>
        </w:rPr>
        <w:t>3</w:t>
      </w:r>
      <w:r w:rsidRPr="00092862">
        <w:rPr>
          <w:b/>
          <w:bCs/>
          <w:color w:val="000000" w:themeColor="text1"/>
          <w:sz w:val="24"/>
          <w:szCs w:val="24"/>
        </w:rPr>
        <w:t>）种子植物按属分类</w:t>
      </w:r>
    </w:p>
    <w:p w14:paraId="2281E827" w14:textId="7B3F769C" w:rsidR="00F96F41" w:rsidRPr="00092862" w:rsidRDefault="00087418" w:rsidP="002C4161">
      <w:pPr>
        <w:adjustRightInd w:val="0"/>
        <w:snapToGrid w:val="0"/>
        <w:spacing w:line="360" w:lineRule="auto"/>
        <w:ind w:firstLineChars="200" w:firstLine="510"/>
        <w:rPr>
          <w:rFonts w:ascii="Times New Roman" w:hAnsi="Times New Roman" w:cs="Times New Roman"/>
          <w:color w:val="000000" w:themeColor="text1"/>
          <w:spacing w:val="15"/>
          <w:sz w:val="24"/>
          <w:szCs w:val="24"/>
        </w:rPr>
      </w:pPr>
      <w:r w:rsidRPr="00092862">
        <w:rPr>
          <w:rFonts w:ascii="Times New Roman" w:hAnsi="Times New Roman" w:cs="Times New Roman"/>
          <w:color w:val="000000" w:themeColor="text1"/>
          <w:spacing w:val="15"/>
          <w:sz w:val="24"/>
          <w:szCs w:val="24"/>
        </w:rPr>
        <w:t>根据吴征镒对中国种子植物属的分布区类型划分方案，对项目区域种子植物属进行归类统计，见表</w:t>
      </w:r>
      <w:r w:rsidRPr="00092862">
        <w:rPr>
          <w:rFonts w:ascii="Times New Roman" w:hAnsi="Times New Roman" w:cs="Times New Roman"/>
          <w:color w:val="000000" w:themeColor="text1"/>
          <w:spacing w:val="15"/>
          <w:sz w:val="24"/>
          <w:szCs w:val="24"/>
        </w:rPr>
        <w:t>4.3-9</w:t>
      </w:r>
      <w:r w:rsidR="00F96F41" w:rsidRPr="00092862">
        <w:rPr>
          <w:rFonts w:ascii="Times New Roman" w:hAnsi="Times New Roman" w:cs="Times New Roman"/>
          <w:color w:val="000000" w:themeColor="text1"/>
          <w:spacing w:val="15"/>
          <w:sz w:val="24"/>
          <w:szCs w:val="24"/>
        </w:rPr>
        <w:t>。</w:t>
      </w:r>
    </w:p>
    <w:p w14:paraId="6CB3EA1F" w14:textId="77777777"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4.3-9 </w:t>
      </w:r>
      <w:r w:rsidRPr="00092862">
        <w:rPr>
          <w:rFonts w:ascii="Times New Roman" w:eastAsia="黑体" w:hAnsi="Times New Roman"/>
          <w:color w:val="000000" w:themeColor="text1"/>
          <w:sz w:val="21"/>
          <w:szCs w:val="21"/>
          <w:lang w:eastAsia="zh-CN"/>
        </w:rPr>
        <w:t>评价区种子植物属的分布区类型统计</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4174"/>
        <w:gridCol w:w="1589"/>
        <w:gridCol w:w="2541"/>
      </w:tblGrid>
      <w:tr w:rsidR="00697429" w:rsidRPr="00092862" w14:paraId="2C60CD18" w14:textId="77777777" w:rsidTr="00A75B69">
        <w:trPr>
          <w:trHeight w:val="309"/>
          <w:jc w:val="center"/>
        </w:trPr>
        <w:tc>
          <w:tcPr>
            <w:tcW w:w="2513" w:type="pct"/>
          </w:tcPr>
          <w:p w14:paraId="4B272F36" w14:textId="77777777" w:rsidR="00087418" w:rsidRPr="00092862" w:rsidRDefault="00087418" w:rsidP="00A75B69">
            <w:pPr>
              <w:spacing w:before="56" w:line="217" w:lineRule="auto"/>
              <w:ind w:left="1116"/>
              <w:rPr>
                <w:rFonts w:ascii="Times New Roman" w:hAnsi="Times New Roman" w:cs="Times New Roman"/>
                <w:color w:val="000000" w:themeColor="text1"/>
                <w:szCs w:val="21"/>
              </w:rPr>
            </w:pPr>
            <w:r w:rsidRPr="00092862">
              <w:rPr>
                <w:rFonts w:ascii="Times New Roman" w:hAnsi="Times New Roman" w:cs="Times New Roman"/>
                <w:color w:val="000000" w:themeColor="text1"/>
                <w:spacing w:val="-2"/>
                <w:szCs w:val="21"/>
              </w:rPr>
              <w:t>分</w:t>
            </w:r>
            <w:r w:rsidRPr="00092862">
              <w:rPr>
                <w:rFonts w:ascii="Times New Roman" w:hAnsi="Times New Roman" w:cs="Times New Roman"/>
                <w:color w:val="000000" w:themeColor="text1"/>
                <w:spacing w:val="-1"/>
                <w:szCs w:val="21"/>
              </w:rPr>
              <w:t>布区类型及其变型</w:t>
            </w:r>
          </w:p>
        </w:tc>
        <w:tc>
          <w:tcPr>
            <w:tcW w:w="957" w:type="pct"/>
          </w:tcPr>
          <w:p w14:paraId="394B1817" w14:textId="77777777" w:rsidR="00087418" w:rsidRPr="00092862" w:rsidRDefault="00087418" w:rsidP="00A75B69">
            <w:pPr>
              <w:spacing w:before="55" w:line="220" w:lineRule="auto"/>
              <w:ind w:left="559"/>
              <w:rPr>
                <w:rFonts w:ascii="Times New Roman" w:hAnsi="Times New Roman" w:cs="Times New Roman"/>
                <w:color w:val="000000" w:themeColor="text1"/>
                <w:szCs w:val="21"/>
              </w:rPr>
            </w:pPr>
            <w:r w:rsidRPr="00092862">
              <w:rPr>
                <w:rFonts w:ascii="Times New Roman" w:hAnsi="Times New Roman" w:cs="Times New Roman"/>
                <w:color w:val="000000" w:themeColor="text1"/>
                <w:spacing w:val="-3"/>
                <w:szCs w:val="21"/>
              </w:rPr>
              <w:t>属</w:t>
            </w:r>
            <w:r w:rsidRPr="00092862">
              <w:rPr>
                <w:rFonts w:ascii="Times New Roman" w:hAnsi="Times New Roman" w:cs="Times New Roman"/>
                <w:color w:val="000000" w:themeColor="text1"/>
                <w:spacing w:val="-2"/>
                <w:szCs w:val="21"/>
              </w:rPr>
              <w:t>数</w:t>
            </w:r>
          </w:p>
        </w:tc>
        <w:tc>
          <w:tcPr>
            <w:tcW w:w="1530" w:type="pct"/>
          </w:tcPr>
          <w:p w14:paraId="10E7EC4C" w14:textId="77777777" w:rsidR="00087418" w:rsidRPr="00092862" w:rsidRDefault="00087418" w:rsidP="00A75B69">
            <w:pPr>
              <w:spacing w:before="55" w:line="223" w:lineRule="auto"/>
              <w:ind w:left="473"/>
              <w:rPr>
                <w:rFonts w:ascii="Times New Roman" w:hAnsi="Times New Roman" w:cs="Times New Roman"/>
                <w:color w:val="000000" w:themeColor="text1"/>
                <w:szCs w:val="21"/>
              </w:rPr>
            </w:pPr>
            <w:r w:rsidRPr="00092862">
              <w:rPr>
                <w:rFonts w:ascii="Times New Roman" w:hAnsi="Times New Roman" w:cs="Times New Roman"/>
                <w:color w:val="000000" w:themeColor="text1"/>
                <w:spacing w:val="-1"/>
                <w:szCs w:val="21"/>
              </w:rPr>
              <w:t>所占比例</w:t>
            </w:r>
            <w:r w:rsidRPr="00092862">
              <w:rPr>
                <w:rFonts w:ascii="Times New Roman" w:eastAsia="Times New Roman" w:hAnsi="Times New Roman" w:cs="Times New Roman"/>
                <w:color w:val="000000" w:themeColor="text1"/>
                <w:spacing w:val="-1"/>
                <w:szCs w:val="21"/>
              </w:rPr>
              <w:t>%</w:t>
            </w:r>
            <w:r w:rsidRPr="00092862">
              <w:rPr>
                <w:rFonts w:ascii="Times New Roman" w:hAnsi="Times New Roman" w:cs="Times New Roman"/>
                <w:color w:val="000000" w:themeColor="text1"/>
                <w:spacing w:val="-1"/>
                <w:szCs w:val="21"/>
              </w:rPr>
              <w:t>(</w:t>
            </w:r>
            <w:r w:rsidRPr="00092862">
              <w:rPr>
                <w:rFonts w:ascii="Times New Roman" w:eastAsia="Times New Roman" w:hAnsi="Times New Roman" w:cs="Times New Roman"/>
                <w:color w:val="000000" w:themeColor="text1"/>
                <w:szCs w:val="21"/>
              </w:rPr>
              <w:t>*</w:t>
            </w:r>
            <w:r w:rsidRPr="00092862">
              <w:rPr>
                <w:rFonts w:ascii="Times New Roman" w:hAnsi="Times New Roman" w:cs="Times New Roman"/>
                <w:color w:val="000000" w:themeColor="text1"/>
                <w:szCs w:val="21"/>
              </w:rPr>
              <w:t>)</w:t>
            </w:r>
          </w:p>
        </w:tc>
      </w:tr>
      <w:tr w:rsidR="00697429" w:rsidRPr="00092862" w14:paraId="3BCB3024" w14:textId="77777777" w:rsidTr="00A75B69">
        <w:trPr>
          <w:trHeight w:val="292"/>
          <w:jc w:val="center"/>
        </w:trPr>
        <w:tc>
          <w:tcPr>
            <w:tcW w:w="2513" w:type="pct"/>
          </w:tcPr>
          <w:p w14:paraId="18A8CF03" w14:textId="77777777" w:rsidR="00087418" w:rsidRPr="00092862" w:rsidRDefault="00087418" w:rsidP="00A75B69">
            <w:pPr>
              <w:spacing w:before="45" w:line="217" w:lineRule="auto"/>
              <w:ind w:left="1523"/>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4"/>
                <w:szCs w:val="21"/>
              </w:rPr>
              <w:t>1.</w:t>
            </w:r>
            <w:r w:rsidRPr="00092862">
              <w:rPr>
                <w:rFonts w:ascii="Times New Roman" w:hAnsi="Times New Roman" w:cs="Times New Roman"/>
                <w:color w:val="000000" w:themeColor="text1"/>
                <w:spacing w:val="-2"/>
                <w:szCs w:val="21"/>
              </w:rPr>
              <w:t>世界分布</w:t>
            </w:r>
          </w:p>
        </w:tc>
        <w:tc>
          <w:tcPr>
            <w:tcW w:w="1592" w:type="dxa"/>
          </w:tcPr>
          <w:p w14:paraId="1F1A6FE6"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rPr>
            </w:pPr>
            <w:r w:rsidRPr="00092862">
              <w:rPr>
                <w:rFonts w:ascii="Times New Roman" w:eastAsia="Times New Roman" w:hAnsi="Times New Roman" w:cs="Times New Roman"/>
                <w:color w:val="000000" w:themeColor="text1"/>
                <w:spacing w:val="-3"/>
                <w:szCs w:val="21"/>
                <w:lang w:eastAsia="zh-CN"/>
              </w:rPr>
              <w:t>43</w:t>
            </w:r>
          </w:p>
        </w:tc>
        <w:tc>
          <w:tcPr>
            <w:tcW w:w="2545" w:type="dxa"/>
          </w:tcPr>
          <w:p w14:paraId="54437ACF"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w:t>
            </w:r>
          </w:p>
        </w:tc>
      </w:tr>
      <w:tr w:rsidR="00697429" w:rsidRPr="00092862" w14:paraId="78AB254D" w14:textId="77777777" w:rsidTr="00A75B69">
        <w:trPr>
          <w:trHeight w:val="304"/>
          <w:jc w:val="center"/>
        </w:trPr>
        <w:tc>
          <w:tcPr>
            <w:tcW w:w="2513" w:type="pct"/>
          </w:tcPr>
          <w:p w14:paraId="7D029FDA" w14:textId="77777777" w:rsidR="00087418" w:rsidRPr="00092862" w:rsidRDefault="00087418" w:rsidP="00A75B69">
            <w:pPr>
              <w:spacing w:before="51" w:line="220" w:lineRule="auto"/>
              <w:ind w:left="1607"/>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1"/>
                <w:szCs w:val="21"/>
              </w:rPr>
              <w:t>2</w:t>
            </w:r>
            <w:r w:rsidRPr="00092862">
              <w:rPr>
                <w:rFonts w:ascii="Times New Roman" w:eastAsia="Times New Roman" w:hAnsi="Times New Roman" w:cs="Times New Roman"/>
                <w:color w:val="000000" w:themeColor="text1"/>
                <w:szCs w:val="21"/>
              </w:rPr>
              <w:t>.</w:t>
            </w:r>
            <w:r w:rsidRPr="00092862">
              <w:rPr>
                <w:rFonts w:ascii="Times New Roman" w:hAnsi="Times New Roman" w:cs="Times New Roman"/>
                <w:color w:val="000000" w:themeColor="text1"/>
                <w:szCs w:val="21"/>
              </w:rPr>
              <w:t>泛热带</w:t>
            </w:r>
          </w:p>
        </w:tc>
        <w:tc>
          <w:tcPr>
            <w:tcW w:w="1592" w:type="dxa"/>
          </w:tcPr>
          <w:p w14:paraId="68BB7909"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85</w:t>
            </w:r>
          </w:p>
        </w:tc>
        <w:tc>
          <w:tcPr>
            <w:tcW w:w="2545" w:type="dxa"/>
          </w:tcPr>
          <w:p w14:paraId="7B1F3E6F"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17.67 </w:t>
            </w:r>
          </w:p>
        </w:tc>
      </w:tr>
      <w:tr w:rsidR="00697429" w:rsidRPr="00092862" w14:paraId="4F00F2F0" w14:textId="77777777" w:rsidTr="00A75B69">
        <w:trPr>
          <w:trHeight w:val="306"/>
          <w:jc w:val="center"/>
        </w:trPr>
        <w:tc>
          <w:tcPr>
            <w:tcW w:w="2513" w:type="pct"/>
          </w:tcPr>
          <w:p w14:paraId="58C2FA46" w14:textId="77777777" w:rsidR="00087418" w:rsidRPr="00092862" w:rsidRDefault="00087418" w:rsidP="00A75B69">
            <w:pPr>
              <w:spacing w:before="53" w:line="219" w:lineRule="auto"/>
              <w:ind w:left="614"/>
              <w:rPr>
                <w:rFonts w:ascii="Times New Roman" w:hAnsi="Times New Roman" w:cs="Times New Roman"/>
                <w:color w:val="000000" w:themeColor="text1"/>
                <w:szCs w:val="21"/>
                <w:lang w:eastAsia="zh-CN"/>
              </w:rPr>
            </w:pPr>
            <w:r w:rsidRPr="00092862">
              <w:rPr>
                <w:rFonts w:ascii="Times New Roman" w:eastAsia="Times New Roman" w:hAnsi="Times New Roman" w:cs="Times New Roman"/>
                <w:color w:val="000000" w:themeColor="text1"/>
                <w:spacing w:val="-1"/>
                <w:szCs w:val="21"/>
                <w:lang w:eastAsia="zh-CN"/>
              </w:rPr>
              <w:t>3.</w:t>
            </w:r>
            <w:r w:rsidRPr="00092862">
              <w:rPr>
                <w:rFonts w:ascii="Times New Roman" w:hAnsi="Times New Roman" w:cs="Times New Roman"/>
                <w:color w:val="000000" w:themeColor="text1"/>
                <w:spacing w:val="-1"/>
                <w:szCs w:val="21"/>
                <w:lang w:eastAsia="zh-CN"/>
              </w:rPr>
              <w:t>热带亚洲和热带</w:t>
            </w:r>
            <w:r w:rsidRPr="00092862">
              <w:rPr>
                <w:rFonts w:ascii="Times New Roman" w:hAnsi="Times New Roman" w:cs="Times New Roman"/>
                <w:color w:val="000000" w:themeColor="text1"/>
                <w:szCs w:val="21"/>
                <w:lang w:eastAsia="zh-CN"/>
              </w:rPr>
              <w:t>美洲间断分布</w:t>
            </w:r>
          </w:p>
        </w:tc>
        <w:tc>
          <w:tcPr>
            <w:tcW w:w="1592" w:type="dxa"/>
          </w:tcPr>
          <w:p w14:paraId="4B0840A5"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18</w:t>
            </w:r>
          </w:p>
        </w:tc>
        <w:tc>
          <w:tcPr>
            <w:tcW w:w="2545" w:type="dxa"/>
          </w:tcPr>
          <w:p w14:paraId="16A4E564"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3.74 </w:t>
            </w:r>
          </w:p>
        </w:tc>
      </w:tr>
      <w:tr w:rsidR="00697429" w:rsidRPr="00092862" w14:paraId="0F4D300D" w14:textId="77777777" w:rsidTr="00A75B69">
        <w:trPr>
          <w:trHeight w:val="304"/>
          <w:jc w:val="center"/>
        </w:trPr>
        <w:tc>
          <w:tcPr>
            <w:tcW w:w="2513" w:type="pct"/>
          </w:tcPr>
          <w:p w14:paraId="7274B135" w14:textId="77777777" w:rsidR="00087418" w:rsidRPr="00092862" w:rsidRDefault="00087418" w:rsidP="00A75B69">
            <w:pPr>
              <w:spacing w:before="52" w:line="219" w:lineRule="auto"/>
              <w:ind w:left="1239"/>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1"/>
                <w:szCs w:val="21"/>
              </w:rPr>
              <w:t>4.</w:t>
            </w:r>
            <w:r w:rsidRPr="00092862">
              <w:rPr>
                <w:rFonts w:ascii="Times New Roman" w:hAnsi="Times New Roman" w:cs="Times New Roman"/>
                <w:color w:val="000000" w:themeColor="text1"/>
                <w:spacing w:val="-1"/>
                <w:szCs w:val="21"/>
              </w:rPr>
              <w:t>旧世</w:t>
            </w:r>
            <w:r w:rsidRPr="00092862">
              <w:rPr>
                <w:rFonts w:ascii="Times New Roman" w:hAnsi="Times New Roman" w:cs="Times New Roman"/>
                <w:color w:val="000000" w:themeColor="text1"/>
                <w:szCs w:val="21"/>
              </w:rPr>
              <w:t>界热带分布</w:t>
            </w:r>
          </w:p>
        </w:tc>
        <w:tc>
          <w:tcPr>
            <w:tcW w:w="1592" w:type="dxa"/>
          </w:tcPr>
          <w:p w14:paraId="01BF3E29"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18</w:t>
            </w:r>
          </w:p>
        </w:tc>
        <w:tc>
          <w:tcPr>
            <w:tcW w:w="2545" w:type="dxa"/>
          </w:tcPr>
          <w:p w14:paraId="20C060C5"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3.74 </w:t>
            </w:r>
          </w:p>
        </w:tc>
      </w:tr>
      <w:tr w:rsidR="00697429" w:rsidRPr="00092862" w14:paraId="399FA25C" w14:textId="77777777" w:rsidTr="00A75B69">
        <w:trPr>
          <w:trHeight w:val="304"/>
          <w:jc w:val="center"/>
        </w:trPr>
        <w:tc>
          <w:tcPr>
            <w:tcW w:w="2513" w:type="pct"/>
          </w:tcPr>
          <w:p w14:paraId="1F391BF8" w14:textId="77777777" w:rsidR="00087418" w:rsidRPr="00092862" w:rsidRDefault="00087418" w:rsidP="00A75B69">
            <w:pPr>
              <w:spacing w:before="52" w:line="219" w:lineRule="auto"/>
              <w:ind w:left="721"/>
              <w:rPr>
                <w:rFonts w:ascii="Times New Roman" w:hAnsi="Times New Roman" w:cs="Times New Roman"/>
                <w:color w:val="000000" w:themeColor="text1"/>
                <w:szCs w:val="21"/>
                <w:lang w:eastAsia="zh-CN"/>
              </w:rPr>
            </w:pPr>
            <w:r w:rsidRPr="00092862">
              <w:rPr>
                <w:rFonts w:ascii="Times New Roman" w:eastAsia="Times New Roman" w:hAnsi="Times New Roman" w:cs="Times New Roman"/>
                <w:color w:val="000000" w:themeColor="text1"/>
                <w:spacing w:val="-1"/>
                <w:szCs w:val="21"/>
                <w:lang w:eastAsia="zh-CN"/>
              </w:rPr>
              <w:t>5.</w:t>
            </w:r>
            <w:r w:rsidRPr="00092862">
              <w:rPr>
                <w:rFonts w:ascii="Times New Roman" w:hAnsi="Times New Roman" w:cs="Times New Roman"/>
                <w:color w:val="000000" w:themeColor="text1"/>
                <w:spacing w:val="-1"/>
                <w:szCs w:val="21"/>
                <w:lang w:eastAsia="zh-CN"/>
              </w:rPr>
              <w:t>热带亚洲至热带大洋</w:t>
            </w:r>
            <w:r w:rsidRPr="00092862">
              <w:rPr>
                <w:rFonts w:ascii="Times New Roman" w:hAnsi="Times New Roman" w:cs="Times New Roman"/>
                <w:color w:val="000000" w:themeColor="text1"/>
                <w:szCs w:val="21"/>
                <w:lang w:eastAsia="zh-CN"/>
              </w:rPr>
              <w:t>洲分布</w:t>
            </w:r>
          </w:p>
        </w:tc>
        <w:tc>
          <w:tcPr>
            <w:tcW w:w="1592" w:type="dxa"/>
          </w:tcPr>
          <w:p w14:paraId="6CF2CA3D"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14</w:t>
            </w:r>
          </w:p>
        </w:tc>
        <w:tc>
          <w:tcPr>
            <w:tcW w:w="2545" w:type="dxa"/>
          </w:tcPr>
          <w:p w14:paraId="39457B80"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2.91 </w:t>
            </w:r>
          </w:p>
        </w:tc>
      </w:tr>
      <w:tr w:rsidR="00697429" w:rsidRPr="00092862" w14:paraId="6CF16E67" w14:textId="77777777" w:rsidTr="00A75B69">
        <w:trPr>
          <w:trHeight w:val="306"/>
          <w:jc w:val="center"/>
        </w:trPr>
        <w:tc>
          <w:tcPr>
            <w:tcW w:w="2513" w:type="pct"/>
          </w:tcPr>
          <w:p w14:paraId="3C247A7D" w14:textId="77777777" w:rsidR="00087418" w:rsidRPr="00092862" w:rsidRDefault="00087418" w:rsidP="00A75B69">
            <w:pPr>
              <w:spacing w:before="54" w:line="219" w:lineRule="auto"/>
              <w:ind w:left="825"/>
              <w:rPr>
                <w:rFonts w:ascii="Times New Roman" w:hAnsi="Times New Roman" w:cs="Times New Roman"/>
                <w:color w:val="000000" w:themeColor="text1"/>
                <w:szCs w:val="21"/>
                <w:lang w:eastAsia="zh-CN"/>
              </w:rPr>
            </w:pPr>
            <w:r w:rsidRPr="00092862">
              <w:rPr>
                <w:rFonts w:ascii="Times New Roman" w:eastAsia="Times New Roman" w:hAnsi="Times New Roman" w:cs="Times New Roman"/>
                <w:color w:val="000000" w:themeColor="text1"/>
                <w:spacing w:val="-1"/>
                <w:szCs w:val="21"/>
                <w:lang w:eastAsia="zh-CN"/>
              </w:rPr>
              <w:t>6.</w:t>
            </w:r>
            <w:r w:rsidRPr="00092862">
              <w:rPr>
                <w:rFonts w:ascii="Times New Roman" w:hAnsi="Times New Roman" w:cs="Times New Roman"/>
                <w:color w:val="000000" w:themeColor="text1"/>
                <w:spacing w:val="-1"/>
                <w:szCs w:val="21"/>
                <w:lang w:eastAsia="zh-CN"/>
              </w:rPr>
              <w:t>热带亚洲至热带非</w:t>
            </w:r>
            <w:r w:rsidRPr="00092862">
              <w:rPr>
                <w:rFonts w:ascii="Times New Roman" w:hAnsi="Times New Roman" w:cs="Times New Roman"/>
                <w:color w:val="000000" w:themeColor="text1"/>
                <w:szCs w:val="21"/>
                <w:lang w:eastAsia="zh-CN"/>
              </w:rPr>
              <w:t>洲分布</w:t>
            </w:r>
          </w:p>
        </w:tc>
        <w:tc>
          <w:tcPr>
            <w:tcW w:w="1592" w:type="dxa"/>
          </w:tcPr>
          <w:p w14:paraId="5E7BE9CC"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28</w:t>
            </w:r>
          </w:p>
        </w:tc>
        <w:tc>
          <w:tcPr>
            <w:tcW w:w="2545" w:type="dxa"/>
          </w:tcPr>
          <w:p w14:paraId="52C50F86"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5.82 </w:t>
            </w:r>
          </w:p>
        </w:tc>
      </w:tr>
      <w:tr w:rsidR="00697429" w:rsidRPr="00092862" w14:paraId="6B5EF687" w14:textId="77777777" w:rsidTr="00A75B69">
        <w:trPr>
          <w:trHeight w:val="304"/>
          <w:jc w:val="center"/>
        </w:trPr>
        <w:tc>
          <w:tcPr>
            <w:tcW w:w="2513" w:type="pct"/>
          </w:tcPr>
          <w:p w14:paraId="052566C0" w14:textId="77777777" w:rsidR="00087418" w:rsidRPr="00092862" w:rsidRDefault="00087418" w:rsidP="00A75B69">
            <w:pPr>
              <w:spacing w:before="52" w:line="220" w:lineRule="auto"/>
              <w:ind w:left="684"/>
              <w:rPr>
                <w:rFonts w:ascii="Times New Roman" w:hAnsi="Times New Roman" w:cs="Times New Roman"/>
                <w:color w:val="000000" w:themeColor="text1"/>
                <w:szCs w:val="21"/>
                <w:lang w:eastAsia="zh-CN"/>
              </w:rPr>
            </w:pPr>
            <w:r w:rsidRPr="00092862">
              <w:rPr>
                <w:rFonts w:ascii="Times New Roman" w:eastAsia="Times New Roman" w:hAnsi="Times New Roman" w:cs="Times New Roman"/>
                <w:color w:val="000000" w:themeColor="text1"/>
                <w:spacing w:val="10"/>
                <w:szCs w:val="21"/>
                <w:lang w:eastAsia="zh-CN"/>
              </w:rPr>
              <w:t>7.</w:t>
            </w:r>
            <w:r w:rsidRPr="00092862">
              <w:rPr>
                <w:rFonts w:ascii="Times New Roman" w:hAnsi="Times New Roman" w:cs="Times New Roman"/>
                <w:color w:val="000000" w:themeColor="text1"/>
                <w:spacing w:val="5"/>
                <w:szCs w:val="21"/>
                <w:lang w:eastAsia="zh-CN"/>
              </w:rPr>
              <w:t>热带亚洲</w:t>
            </w:r>
            <w:r w:rsidRPr="00092862">
              <w:rPr>
                <w:rFonts w:ascii="Times New Roman" w:hAnsi="Times New Roman" w:cs="Times New Roman"/>
                <w:color w:val="000000" w:themeColor="text1"/>
                <w:spacing w:val="5"/>
                <w:szCs w:val="21"/>
                <w:lang w:eastAsia="zh-CN"/>
              </w:rPr>
              <w:t>(</w:t>
            </w:r>
            <w:r w:rsidRPr="00092862">
              <w:rPr>
                <w:rFonts w:ascii="Times New Roman" w:hAnsi="Times New Roman" w:cs="Times New Roman"/>
                <w:color w:val="000000" w:themeColor="text1"/>
                <w:spacing w:val="5"/>
                <w:szCs w:val="21"/>
                <w:lang w:eastAsia="zh-CN"/>
              </w:rPr>
              <w:t>印度</w:t>
            </w:r>
            <w:r w:rsidRPr="00092862">
              <w:rPr>
                <w:rFonts w:ascii="Times New Roman" w:eastAsia="Times New Roman" w:hAnsi="Times New Roman" w:cs="Times New Roman"/>
                <w:color w:val="000000" w:themeColor="text1"/>
                <w:spacing w:val="5"/>
                <w:szCs w:val="21"/>
                <w:lang w:eastAsia="zh-CN"/>
              </w:rPr>
              <w:t>-</w:t>
            </w:r>
            <w:r w:rsidRPr="00092862">
              <w:rPr>
                <w:rFonts w:ascii="Times New Roman" w:hAnsi="Times New Roman" w:cs="Times New Roman"/>
                <w:color w:val="000000" w:themeColor="text1"/>
                <w:spacing w:val="5"/>
                <w:szCs w:val="21"/>
                <w:lang w:eastAsia="zh-CN"/>
              </w:rPr>
              <w:t>马来西亚</w:t>
            </w:r>
            <w:r w:rsidRPr="00092862">
              <w:rPr>
                <w:rFonts w:ascii="Times New Roman" w:hAnsi="Times New Roman" w:cs="Times New Roman"/>
                <w:color w:val="000000" w:themeColor="text1"/>
                <w:spacing w:val="5"/>
                <w:szCs w:val="21"/>
                <w:lang w:eastAsia="zh-CN"/>
              </w:rPr>
              <w:t>)</w:t>
            </w:r>
          </w:p>
        </w:tc>
        <w:tc>
          <w:tcPr>
            <w:tcW w:w="1592" w:type="dxa"/>
          </w:tcPr>
          <w:p w14:paraId="06E374A6"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46</w:t>
            </w:r>
          </w:p>
        </w:tc>
        <w:tc>
          <w:tcPr>
            <w:tcW w:w="2545" w:type="dxa"/>
          </w:tcPr>
          <w:p w14:paraId="5EFEADD0"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9.56 </w:t>
            </w:r>
          </w:p>
        </w:tc>
      </w:tr>
      <w:tr w:rsidR="00697429" w:rsidRPr="00092862" w14:paraId="72F2369A" w14:textId="77777777" w:rsidTr="00A75B69">
        <w:trPr>
          <w:trHeight w:val="304"/>
          <w:jc w:val="center"/>
        </w:trPr>
        <w:tc>
          <w:tcPr>
            <w:tcW w:w="2513" w:type="pct"/>
          </w:tcPr>
          <w:p w14:paraId="35247D73" w14:textId="77777777" w:rsidR="00087418" w:rsidRPr="00092862" w:rsidRDefault="00087418" w:rsidP="00A75B69">
            <w:pPr>
              <w:spacing w:before="53" w:line="220" w:lineRule="auto"/>
              <w:ind w:left="1616"/>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2"/>
                <w:szCs w:val="21"/>
              </w:rPr>
              <w:t>8</w:t>
            </w:r>
            <w:r w:rsidRPr="00092862">
              <w:rPr>
                <w:rFonts w:ascii="Times New Roman" w:eastAsia="Times New Roman" w:hAnsi="Times New Roman" w:cs="Times New Roman"/>
                <w:color w:val="000000" w:themeColor="text1"/>
                <w:spacing w:val="-1"/>
                <w:szCs w:val="21"/>
              </w:rPr>
              <w:t>.</w:t>
            </w:r>
            <w:r w:rsidRPr="00092862">
              <w:rPr>
                <w:rFonts w:ascii="Times New Roman" w:hAnsi="Times New Roman" w:cs="Times New Roman"/>
                <w:color w:val="000000" w:themeColor="text1"/>
                <w:spacing w:val="-1"/>
                <w:szCs w:val="21"/>
              </w:rPr>
              <w:t>北温带</w:t>
            </w:r>
          </w:p>
        </w:tc>
        <w:tc>
          <w:tcPr>
            <w:tcW w:w="1592" w:type="dxa"/>
          </w:tcPr>
          <w:p w14:paraId="53ED678A"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107</w:t>
            </w:r>
          </w:p>
        </w:tc>
        <w:tc>
          <w:tcPr>
            <w:tcW w:w="2545" w:type="dxa"/>
          </w:tcPr>
          <w:p w14:paraId="55A9ECE7"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22.25 </w:t>
            </w:r>
          </w:p>
        </w:tc>
      </w:tr>
      <w:tr w:rsidR="00697429" w:rsidRPr="00092862" w14:paraId="7003961A" w14:textId="77777777" w:rsidTr="00A75B69">
        <w:trPr>
          <w:trHeight w:val="306"/>
          <w:jc w:val="center"/>
        </w:trPr>
        <w:tc>
          <w:tcPr>
            <w:tcW w:w="2513" w:type="pct"/>
          </w:tcPr>
          <w:p w14:paraId="5125A63C" w14:textId="77777777" w:rsidR="00087418" w:rsidRPr="00092862" w:rsidRDefault="00087418" w:rsidP="00A75B69">
            <w:pPr>
              <w:spacing w:before="55" w:line="219" w:lineRule="auto"/>
              <w:ind w:left="930"/>
              <w:rPr>
                <w:rFonts w:ascii="Times New Roman" w:hAnsi="Times New Roman" w:cs="Times New Roman"/>
                <w:color w:val="000000" w:themeColor="text1"/>
                <w:szCs w:val="21"/>
                <w:lang w:eastAsia="zh-CN"/>
              </w:rPr>
            </w:pPr>
            <w:r w:rsidRPr="00092862">
              <w:rPr>
                <w:rFonts w:ascii="Times New Roman" w:eastAsia="Times New Roman" w:hAnsi="Times New Roman" w:cs="Times New Roman"/>
                <w:color w:val="000000" w:themeColor="text1"/>
                <w:spacing w:val="-1"/>
                <w:szCs w:val="21"/>
                <w:lang w:eastAsia="zh-CN"/>
              </w:rPr>
              <w:t>9.</w:t>
            </w:r>
            <w:r w:rsidRPr="00092862">
              <w:rPr>
                <w:rFonts w:ascii="Times New Roman" w:hAnsi="Times New Roman" w:cs="Times New Roman"/>
                <w:color w:val="000000" w:themeColor="text1"/>
                <w:spacing w:val="-1"/>
                <w:szCs w:val="21"/>
                <w:lang w:eastAsia="zh-CN"/>
              </w:rPr>
              <w:t>东亚和北美洲间</w:t>
            </w:r>
            <w:r w:rsidRPr="00092862">
              <w:rPr>
                <w:rFonts w:ascii="Times New Roman" w:hAnsi="Times New Roman" w:cs="Times New Roman"/>
                <w:color w:val="000000" w:themeColor="text1"/>
                <w:szCs w:val="21"/>
                <w:lang w:eastAsia="zh-CN"/>
              </w:rPr>
              <w:t>断分布</w:t>
            </w:r>
          </w:p>
        </w:tc>
        <w:tc>
          <w:tcPr>
            <w:tcW w:w="1592" w:type="dxa"/>
          </w:tcPr>
          <w:p w14:paraId="2C67220A"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33</w:t>
            </w:r>
          </w:p>
        </w:tc>
        <w:tc>
          <w:tcPr>
            <w:tcW w:w="2545" w:type="dxa"/>
          </w:tcPr>
          <w:p w14:paraId="0B91B619"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6.86 </w:t>
            </w:r>
          </w:p>
        </w:tc>
      </w:tr>
      <w:tr w:rsidR="00697429" w:rsidRPr="00092862" w14:paraId="2E451DE7" w14:textId="77777777" w:rsidTr="00A75B69">
        <w:trPr>
          <w:trHeight w:val="304"/>
          <w:jc w:val="center"/>
        </w:trPr>
        <w:tc>
          <w:tcPr>
            <w:tcW w:w="2513" w:type="pct"/>
          </w:tcPr>
          <w:p w14:paraId="54A2460D" w14:textId="77777777" w:rsidR="00087418" w:rsidRPr="00092862" w:rsidRDefault="00087418" w:rsidP="00A75B69">
            <w:pPr>
              <w:spacing w:before="54" w:line="219" w:lineRule="auto"/>
              <w:ind w:left="1366"/>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4"/>
                <w:szCs w:val="21"/>
              </w:rPr>
              <w:t>10</w:t>
            </w:r>
            <w:r w:rsidRPr="00092862">
              <w:rPr>
                <w:rFonts w:ascii="Times New Roman" w:eastAsia="Times New Roman" w:hAnsi="Times New Roman" w:cs="Times New Roman"/>
                <w:color w:val="000000" w:themeColor="text1"/>
                <w:spacing w:val="-2"/>
                <w:szCs w:val="21"/>
              </w:rPr>
              <w:t>.</w:t>
            </w:r>
            <w:r w:rsidRPr="00092862">
              <w:rPr>
                <w:rFonts w:ascii="Times New Roman" w:hAnsi="Times New Roman" w:cs="Times New Roman"/>
                <w:color w:val="000000" w:themeColor="text1"/>
                <w:spacing w:val="-2"/>
                <w:szCs w:val="21"/>
              </w:rPr>
              <w:t>旧世界温带</w:t>
            </w:r>
          </w:p>
        </w:tc>
        <w:tc>
          <w:tcPr>
            <w:tcW w:w="1592" w:type="dxa"/>
          </w:tcPr>
          <w:p w14:paraId="70663C0F"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37</w:t>
            </w:r>
          </w:p>
        </w:tc>
        <w:tc>
          <w:tcPr>
            <w:tcW w:w="2545" w:type="dxa"/>
          </w:tcPr>
          <w:p w14:paraId="1D1AF566"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7.69 </w:t>
            </w:r>
          </w:p>
        </w:tc>
      </w:tr>
      <w:tr w:rsidR="00697429" w:rsidRPr="00092862" w14:paraId="0D147224" w14:textId="77777777" w:rsidTr="00A75B69">
        <w:trPr>
          <w:trHeight w:val="304"/>
          <w:jc w:val="center"/>
        </w:trPr>
        <w:tc>
          <w:tcPr>
            <w:tcW w:w="2513" w:type="pct"/>
          </w:tcPr>
          <w:p w14:paraId="2C98E436" w14:textId="77777777" w:rsidR="00087418" w:rsidRPr="00092862" w:rsidRDefault="00087418" w:rsidP="00A75B69">
            <w:pPr>
              <w:spacing w:before="54" w:line="219" w:lineRule="auto"/>
              <w:ind w:left="1264"/>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3"/>
                <w:szCs w:val="21"/>
              </w:rPr>
              <w:t>11.</w:t>
            </w:r>
            <w:r w:rsidRPr="00092862">
              <w:rPr>
                <w:rFonts w:ascii="Times New Roman" w:hAnsi="Times New Roman" w:cs="Times New Roman"/>
                <w:color w:val="000000" w:themeColor="text1"/>
                <w:spacing w:val="-3"/>
                <w:szCs w:val="21"/>
              </w:rPr>
              <w:t>温带亚洲分</w:t>
            </w:r>
            <w:r w:rsidRPr="00092862">
              <w:rPr>
                <w:rFonts w:ascii="Times New Roman" w:hAnsi="Times New Roman" w:cs="Times New Roman"/>
                <w:color w:val="000000" w:themeColor="text1"/>
                <w:spacing w:val="-2"/>
                <w:szCs w:val="21"/>
              </w:rPr>
              <w:t>布</w:t>
            </w:r>
          </w:p>
        </w:tc>
        <w:tc>
          <w:tcPr>
            <w:tcW w:w="1592" w:type="dxa"/>
          </w:tcPr>
          <w:p w14:paraId="0077B56D"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9</w:t>
            </w:r>
          </w:p>
        </w:tc>
        <w:tc>
          <w:tcPr>
            <w:tcW w:w="2545" w:type="dxa"/>
          </w:tcPr>
          <w:p w14:paraId="0B77C6DB"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1.87 </w:t>
            </w:r>
          </w:p>
        </w:tc>
      </w:tr>
      <w:tr w:rsidR="00697429" w:rsidRPr="00092862" w14:paraId="30A846AE" w14:textId="77777777" w:rsidTr="00A75B69">
        <w:trPr>
          <w:trHeight w:val="306"/>
          <w:jc w:val="center"/>
        </w:trPr>
        <w:tc>
          <w:tcPr>
            <w:tcW w:w="2513" w:type="pct"/>
          </w:tcPr>
          <w:p w14:paraId="646B7EFE" w14:textId="77777777" w:rsidR="00087418" w:rsidRPr="00092862" w:rsidRDefault="00087418" w:rsidP="00A75B69">
            <w:pPr>
              <w:spacing w:before="56" w:line="219" w:lineRule="auto"/>
              <w:ind w:left="630"/>
              <w:rPr>
                <w:rFonts w:ascii="Times New Roman" w:hAnsi="Times New Roman" w:cs="Times New Roman"/>
                <w:color w:val="000000" w:themeColor="text1"/>
                <w:szCs w:val="21"/>
                <w:lang w:eastAsia="zh-CN"/>
              </w:rPr>
            </w:pPr>
            <w:r w:rsidRPr="00092862">
              <w:rPr>
                <w:rFonts w:ascii="Times New Roman" w:eastAsia="Times New Roman" w:hAnsi="Times New Roman" w:cs="Times New Roman"/>
                <w:color w:val="000000" w:themeColor="text1"/>
                <w:spacing w:val="-3"/>
                <w:szCs w:val="21"/>
                <w:lang w:eastAsia="zh-CN"/>
              </w:rPr>
              <w:t>1</w:t>
            </w:r>
            <w:r w:rsidRPr="00092862">
              <w:rPr>
                <w:rFonts w:ascii="Times New Roman" w:eastAsia="Times New Roman" w:hAnsi="Times New Roman" w:cs="Times New Roman"/>
                <w:color w:val="000000" w:themeColor="text1"/>
                <w:spacing w:val="-2"/>
                <w:szCs w:val="21"/>
                <w:lang w:eastAsia="zh-CN"/>
              </w:rPr>
              <w:t>2.</w:t>
            </w:r>
            <w:r w:rsidRPr="00092862">
              <w:rPr>
                <w:rFonts w:ascii="Times New Roman" w:hAnsi="Times New Roman" w:cs="Times New Roman"/>
                <w:color w:val="000000" w:themeColor="text1"/>
                <w:spacing w:val="-2"/>
                <w:szCs w:val="21"/>
                <w:lang w:eastAsia="zh-CN"/>
              </w:rPr>
              <w:t>地中海区、西亚至中亚分布</w:t>
            </w:r>
          </w:p>
        </w:tc>
        <w:tc>
          <w:tcPr>
            <w:tcW w:w="1592" w:type="dxa"/>
          </w:tcPr>
          <w:p w14:paraId="0AF3C968"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7</w:t>
            </w:r>
          </w:p>
        </w:tc>
        <w:tc>
          <w:tcPr>
            <w:tcW w:w="2545" w:type="dxa"/>
          </w:tcPr>
          <w:p w14:paraId="45823E99"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1.46 </w:t>
            </w:r>
          </w:p>
        </w:tc>
      </w:tr>
      <w:tr w:rsidR="00697429" w:rsidRPr="00092862" w14:paraId="3FD640A9" w14:textId="77777777" w:rsidTr="00A75B69">
        <w:trPr>
          <w:trHeight w:val="304"/>
          <w:jc w:val="center"/>
        </w:trPr>
        <w:tc>
          <w:tcPr>
            <w:tcW w:w="2513" w:type="pct"/>
          </w:tcPr>
          <w:p w14:paraId="42AC458C" w14:textId="77777777" w:rsidR="00087418" w:rsidRPr="00092862" w:rsidRDefault="00087418" w:rsidP="00A75B69">
            <w:pPr>
              <w:spacing w:before="54" w:line="219" w:lineRule="auto"/>
              <w:ind w:left="1523"/>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6"/>
                <w:szCs w:val="21"/>
              </w:rPr>
              <w:lastRenderedPageBreak/>
              <w:t>1</w:t>
            </w:r>
            <w:r w:rsidRPr="00092862">
              <w:rPr>
                <w:rFonts w:ascii="Times New Roman" w:eastAsia="Times New Roman" w:hAnsi="Times New Roman" w:cs="Times New Roman"/>
                <w:color w:val="000000" w:themeColor="text1"/>
                <w:spacing w:val="-3"/>
                <w:szCs w:val="21"/>
              </w:rPr>
              <w:t>3.</w:t>
            </w:r>
            <w:r w:rsidRPr="00092862">
              <w:rPr>
                <w:rFonts w:ascii="Times New Roman" w:hAnsi="Times New Roman" w:cs="Times New Roman"/>
                <w:color w:val="000000" w:themeColor="text1"/>
                <w:spacing w:val="-3"/>
                <w:szCs w:val="21"/>
              </w:rPr>
              <w:t>中亚分布</w:t>
            </w:r>
          </w:p>
        </w:tc>
        <w:tc>
          <w:tcPr>
            <w:tcW w:w="1592" w:type="dxa"/>
          </w:tcPr>
          <w:p w14:paraId="65F4D882"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1</w:t>
            </w:r>
          </w:p>
        </w:tc>
        <w:tc>
          <w:tcPr>
            <w:tcW w:w="2545" w:type="dxa"/>
          </w:tcPr>
          <w:p w14:paraId="7D22EC75"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0.21 </w:t>
            </w:r>
          </w:p>
        </w:tc>
      </w:tr>
      <w:tr w:rsidR="00697429" w:rsidRPr="00092862" w14:paraId="7A661BBE" w14:textId="77777777" w:rsidTr="00A75B69">
        <w:trPr>
          <w:trHeight w:val="305"/>
          <w:jc w:val="center"/>
        </w:trPr>
        <w:tc>
          <w:tcPr>
            <w:tcW w:w="2513" w:type="pct"/>
          </w:tcPr>
          <w:p w14:paraId="197B6C7D" w14:textId="77777777" w:rsidR="00087418" w:rsidRPr="00092862" w:rsidRDefault="00087418" w:rsidP="00A75B69">
            <w:pPr>
              <w:spacing w:before="55" w:line="219" w:lineRule="auto"/>
              <w:ind w:left="1523"/>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6"/>
                <w:szCs w:val="21"/>
              </w:rPr>
              <w:t>1</w:t>
            </w:r>
            <w:r w:rsidRPr="00092862">
              <w:rPr>
                <w:rFonts w:ascii="Times New Roman" w:eastAsia="Times New Roman" w:hAnsi="Times New Roman" w:cs="Times New Roman"/>
                <w:color w:val="000000" w:themeColor="text1"/>
                <w:spacing w:val="-3"/>
                <w:szCs w:val="21"/>
              </w:rPr>
              <w:t>4.</w:t>
            </w:r>
            <w:r w:rsidRPr="00092862">
              <w:rPr>
                <w:rFonts w:ascii="Times New Roman" w:hAnsi="Times New Roman" w:cs="Times New Roman"/>
                <w:color w:val="000000" w:themeColor="text1"/>
                <w:spacing w:val="-3"/>
                <w:szCs w:val="21"/>
              </w:rPr>
              <w:t>东亚分布</w:t>
            </w:r>
          </w:p>
        </w:tc>
        <w:tc>
          <w:tcPr>
            <w:tcW w:w="1592" w:type="dxa"/>
          </w:tcPr>
          <w:p w14:paraId="2EFDA9C3"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72</w:t>
            </w:r>
          </w:p>
        </w:tc>
        <w:tc>
          <w:tcPr>
            <w:tcW w:w="2545" w:type="dxa"/>
          </w:tcPr>
          <w:p w14:paraId="54667A13"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14.97 </w:t>
            </w:r>
          </w:p>
        </w:tc>
      </w:tr>
      <w:tr w:rsidR="00697429" w:rsidRPr="00092862" w14:paraId="416F4FFD" w14:textId="77777777" w:rsidTr="00A75B69">
        <w:trPr>
          <w:trHeight w:val="306"/>
          <w:jc w:val="center"/>
        </w:trPr>
        <w:tc>
          <w:tcPr>
            <w:tcW w:w="2513" w:type="pct"/>
          </w:tcPr>
          <w:p w14:paraId="3A4336FE" w14:textId="77777777" w:rsidR="00087418" w:rsidRPr="00092862" w:rsidRDefault="00087418" w:rsidP="00A75B69">
            <w:pPr>
              <w:spacing w:before="56" w:line="219" w:lineRule="auto"/>
              <w:ind w:left="1523"/>
              <w:rPr>
                <w:rFonts w:ascii="Times New Roman" w:hAnsi="Times New Roman" w:cs="Times New Roman"/>
                <w:color w:val="000000" w:themeColor="text1"/>
                <w:szCs w:val="21"/>
              </w:rPr>
            </w:pPr>
            <w:r w:rsidRPr="00092862">
              <w:rPr>
                <w:rFonts w:ascii="Times New Roman" w:eastAsia="Times New Roman" w:hAnsi="Times New Roman" w:cs="Times New Roman"/>
                <w:color w:val="000000" w:themeColor="text1"/>
                <w:spacing w:val="-6"/>
                <w:szCs w:val="21"/>
              </w:rPr>
              <w:t>1</w:t>
            </w:r>
            <w:r w:rsidRPr="00092862">
              <w:rPr>
                <w:rFonts w:ascii="Times New Roman" w:eastAsia="Times New Roman" w:hAnsi="Times New Roman" w:cs="Times New Roman"/>
                <w:color w:val="000000" w:themeColor="text1"/>
                <w:spacing w:val="-3"/>
                <w:szCs w:val="21"/>
              </w:rPr>
              <w:t>5.</w:t>
            </w:r>
            <w:r w:rsidRPr="00092862">
              <w:rPr>
                <w:rFonts w:ascii="Times New Roman" w:hAnsi="Times New Roman" w:cs="Times New Roman"/>
                <w:color w:val="000000" w:themeColor="text1"/>
                <w:spacing w:val="-3"/>
                <w:szCs w:val="21"/>
              </w:rPr>
              <w:t>中国特有</w:t>
            </w:r>
          </w:p>
        </w:tc>
        <w:tc>
          <w:tcPr>
            <w:tcW w:w="1592" w:type="dxa"/>
          </w:tcPr>
          <w:p w14:paraId="3FA18890"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6</w:t>
            </w:r>
          </w:p>
        </w:tc>
        <w:tc>
          <w:tcPr>
            <w:tcW w:w="2545" w:type="dxa"/>
          </w:tcPr>
          <w:p w14:paraId="3300D16F"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 xml:space="preserve">1.25 </w:t>
            </w:r>
          </w:p>
        </w:tc>
      </w:tr>
      <w:tr w:rsidR="00697429" w:rsidRPr="00092862" w14:paraId="56BE6401" w14:textId="77777777" w:rsidTr="00A75B69">
        <w:trPr>
          <w:trHeight w:val="309"/>
          <w:jc w:val="center"/>
        </w:trPr>
        <w:tc>
          <w:tcPr>
            <w:tcW w:w="2513" w:type="pct"/>
          </w:tcPr>
          <w:p w14:paraId="665C6D62" w14:textId="77777777" w:rsidR="00087418" w:rsidRPr="00092862" w:rsidRDefault="00087418" w:rsidP="00A75B69">
            <w:pPr>
              <w:spacing w:before="55" w:line="221" w:lineRule="auto"/>
              <w:ind w:left="1691"/>
              <w:rPr>
                <w:rFonts w:ascii="Times New Roman" w:hAnsi="Times New Roman" w:cs="Times New Roman"/>
                <w:color w:val="000000" w:themeColor="text1"/>
                <w:szCs w:val="21"/>
              </w:rPr>
            </w:pPr>
            <w:r w:rsidRPr="00092862">
              <w:rPr>
                <w:rFonts w:ascii="Times New Roman" w:hAnsi="Times New Roman" w:cs="Times New Roman"/>
                <w:color w:val="000000" w:themeColor="text1"/>
                <w:spacing w:val="-1"/>
                <w:szCs w:val="21"/>
              </w:rPr>
              <w:t>合</w:t>
            </w:r>
            <w:r w:rsidRPr="00092862">
              <w:rPr>
                <w:rFonts w:ascii="Times New Roman" w:hAnsi="Times New Roman" w:cs="Times New Roman"/>
                <w:color w:val="000000" w:themeColor="text1"/>
                <w:szCs w:val="21"/>
              </w:rPr>
              <w:t>计</w:t>
            </w:r>
          </w:p>
        </w:tc>
        <w:tc>
          <w:tcPr>
            <w:tcW w:w="1592" w:type="dxa"/>
          </w:tcPr>
          <w:p w14:paraId="02DD2597"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525</w:t>
            </w:r>
          </w:p>
        </w:tc>
        <w:tc>
          <w:tcPr>
            <w:tcW w:w="2545" w:type="dxa"/>
          </w:tcPr>
          <w:p w14:paraId="78F7D54A"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w:t>
            </w:r>
          </w:p>
        </w:tc>
      </w:tr>
      <w:tr w:rsidR="00697429" w:rsidRPr="00092862" w14:paraId="3607EA05" w14:textId="77777777" w:rsidTr="00A75B69">
        <w:trPr>
          <w:trHeight w:val="309"/>
          <w:jc w:val="center"/>
        </w:trPr>
        <w:tc>
          <w:tcPr>
            <w:tcW w:w="2513" w:type="pct"/>
          </w:tcPr>
          <w:p w14:paraId="610F6F53" w14:textId="77777777" w:rsidR="00087418" w:rsidRPr="00092862" w:rsidRDefault="00087418" w:rsidP="00A75B69">
            <w:pPr>
              <w:spacing w:before="55" w:line="221" w:lineRule="auto"/>
              <w:ind w:left="1691"/>
              <w:rPr>
                <w:rFonts w:ascii="Times New Roman" w:eastAsia="宋体" w:hAnsi="Times New Roman" w:cs="Times New Roman"/>
                <w:color w:val="000000" w:themeColor="text1"/>
                <w:spacing w:val="-1"/>
                <w:szCs w:val="21"/>
                <w:lang w:eastAsia="zh-CN"/>
              </w:rPr>
            </w:pPr>
            <w:r w:rsidRPr="00092862">
              <w:rPr>
                <w:rFonts w:ascii="Times New Roman" w:hAnsi="Times New Roman" w:cs="Times New Roman"/>
                <w:color w:val="000000" w:themeColor="text1"/>
                <w:spacing w:val="-1"/>
                <w:szCs w:val="21"/>
                <w:lang w:eastAsia="zh-CN"/>
              </w:rPr>
              <w:t>其中，非世界分布</w:t>
            </w:r>
          </w:p>
        </w:tc>
        <w:tc>
          <w:tcPr>
            <w:tcW w:w="1592" w:type="dxa"/>
          </w:tcPr>
          <w:p w14:paraId="282EB1C0"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481</w:t>
            </w:r>
          </w:p>
        </w:tc>
        <w:tc>
          <w:tcPr>
            <w:tcW w:w="2545" w:type="dxa"/>
          </w:tcPr>
          <w:p w14:paraId="2265CA20" w14:textId="77777777" w:rsidR="00087418" w:rsidRPr="00092862" w:rsidRDefault="00087418" w:rsidP="00A75B69">
            <w:pPr>
              <w:spacing w:before="54" w:line="219" w:lineRule="auto"/>
              <w:jc w:val="center"/>
              <w:rPr>
                <w:rFonts w:ascii="Times New Roman" w:eastAsia="Times New Roman" w:hAnsi="Times New Roman" w:cs="Times New Roman"/>
                <w:color w:val="000000" w:themeColor="text1"/>
                <w:spacing w:val="-3"/>
                <w:szCs w:val="21"/>
                <w:lang w:eastAsia="zh-CN"/>
              </w:rPr>
            </w:pPr>
            <w:r w:rsidRPr="00092862">
              <w:rPr>
                <w:rFonts w:ascii="Times New Roman" w:eastAsia="Times New Roman" w:hAnsi="Times New Roman" w:cs="Times New Roman"/>
                <w:color w:val="000000" w:themeColor="text1"/>
                <w:spacing w:val="-3"/>
                <w:szCs w:val="21"/>
                <w:lang w:eastAsia="zh-CN"/>
              </w:rPr>
              <w:t>100</w:t>
            </w:r>
          </w:p>
        </w:tc>
      </w:tr>
    </w:tbl>
    <w:p w14:paraId="5504506C" w14:textId="77777777" w:rsidR="00F96F41" w:rsidRPr="00092862" w:rsidRDefault="00F96F41" w:rsidP="00F96F41">
      <w:pPr>
        <w:spacing w:before="29" w:line="233" w:lineRule="auto"/>
        <w:ind w:left="458"/>
        <w:rPr>
          <w:rFonts w:ascii="Times New Roman" w:hAnsi="Times New Roman" w:cs="Times New Roman"/>
          <w:color w:val="000000" w:themeColor="text1"/>
          <w:szCs w:val="21"/>
        </w:rPr>
      </w:pPr>
      <w:r w:rsidRPr="00092862">
        <w:rPr>
          <w:rFonts w:ascii="Times New Roman" w:hAnsi="Times New Roman" w:cs="Times New Roman"/>
          <w:color w:val="000000" w:themeColor="text1"/>
          <w:spacing w:val="-23"/>
          <w:szCs w:val="21"/>
        </w:rPr>
        <w:t>注：</w:t>
      </w:r>
      <w:r w:rsidRPr="00092862">
        <w:rPr>
          <w:rFonts w:ascii="Times New Roman" w:hAnsi="Times New Roman" w:cs="Times New Roman"/>
          <w:color w:val="000000" w:themeColor="text1"/>
          <w:spacing w:val="-14"/>
          <w:szCs w:val="21"/>
        </w:rPr>
        <w:t>“*”</w:t>
      </w:r>
      <w:r w:rsidRPr="00092862">
        <w:rPr>
          <w:rFonts w:ascii="Times New Roman" w:hAnsi="Times New Roman" w:cs="Times New Roman"/>
          <w:color w:val="000000" w:themeColor="text1"/>
          <w:spacing w:val="-14"/>
          <w:szCs w:val="21"/>
        </w:rPr>
        <w:t>不含世界广布类型</w:t>
      </w:r>
    </w:p>
    <w:p w14:paraId="598BFC99" w14:textId="386143A8" w:rsidR="00DF5B9E" w:rsidRPr="00092862" w:rsidRDefault="00087418" w:rsidP="00DF5B9E">
      <w:pPr>
        <w:adjustRightInd w:val="0"/>
        <w:snapToGrid w:val="0"/>
        <w:spacing w:line="360" w:lineRule="auto"/>
        <w:ind w:firstLineChars="200" w:firstLine="490"/>
        <w:rPr>
          <w:rFonts w:ascii="Times New Roman" w:eastAsia="宋体" w:hAnsi="Times New Roman" w:cs="Times New Roman"/>
          <w:color w:val="000000" w:themeColor="text1"/>
          <w:spacing w:val="5"/>
          <w:sz w:val="24"/>
          <w:szCs w:val="24"/>
        </w:rPr>
      </w:pPr>
      <w:r w:rsidRPr="00092862">
        <w:rPr>
          <w:rFonts w:ascii="Times New Roman" w:eastAsia="宋体" w:hAnsi="Times New Roman" w:cs="Times New Roman"/>
          <w:color w:val="000000" w:themeColor="text1"/>
          <w:spacing w:val="5"/>
          <w:sz w:val="24"/>
          <w:szCs w:val="24"/>
        </w:rPr>
        <w:t>上表的统计结果来看，项目区域热带分布区类型属</w:t>
      </w:r>
      <w:r w:rsidRPr="00092862">
        <w:rPr>
          <w:rFonts w:ascii="Times New Roman" w:eastAsia="宋体" w:hAnsi="Times New Roman" w:cs="Times New Roman"/>
          <w:color w:val="000000" w:themeColor="text1"/>
          <w:spacing w:val="5"/>
          <w:sz w:val="24"/>
          <w:szCs w:val="24"/>
        </w:rPr>
        <w:t>(2-7)</w:t>
      </w:r>
      <w:r w:rsidRPr="00092862">
        <w:rPr>
          <w:rFonts w:ascii="Times New Roman" w:eastAsia="宋体" w:hAnsi="Times New Roman" w:cs="Times New Roman"/>
          <w:color w:val="000000" w:themeColor="text1"/>
          <w:spacing w:val="5"/>
          <w:sz w:val="24"/>
          <w:szCs w:val="24"/>
        </w:rPr>
        <w:t>含有</w:t>
      </w:r>
      <w:r w:rsidRPr="00092862">
        <w:rPr>
          <w:rFonts w:ascii="Times New Roman" w:eastAsia="宋体" w:hAnsi="Times New Roman" w:cs="Times New Roman"/>
          <w:color w:val="000000" w:themeColor="text1"/>
          <w:spacing w:val="5"/>
          <w:sz w:val="24"/>
          <w:szCs w:val="24"/>
        </w:rPr>
        <w:t>209</w:t>
      </w:r>
      <w:r w:rsidRPr="00092862">
        <w:rPr>
          <w:rFonts w:ascii="Times New Roman" w:eastAsia="宋体" w:hAnsi="Times New Roman" w:cs="Times New Roman"/>
          <w:color w:val="000000" w:themeColor="text1"/>
          <w:spacing w:val="5"/>
          <w:sz w:val="24"/>
          <w:szCs w:val="24"/>
        </w:rPr>
        <w:t>属，占项目区域非世界分布种子植物总属数的</w:t>
      </w:r>
      <w:r w:rsidRPr="00092862">
        <w:rPr>
          <w:rFonts w:ascii="Times New Roman" w:eastAsia="宋体" w:hAnsi="Times New Roman" w:cs="Times New Roman"/>
          <w:color w:val="000000" w:themeColor="text1"/>
          <w:spacing w:val="5"/>
          <w:sz w:val="24"/>
          <w:szCs w:val="24"/>
        </w:rPr>
        <w:t>43.45%</w:t>
      </w:r>
      <w:r w:rsidRPr="00092862">
        <w:rPr>
          <w:rFonts w:ascii="Times New Roman" w:eastAsia="宋体" w:hAnsi="Times New Roman" w:cs="Times New Roman"/>
          <w:color w:val="000000" w:themeColor="text1"/>
          <w:spacing w:val="5"/>
          <w:sz w:val="24"/>
          <w:szCs w:val="24"/>
        </w:rPr>
        <w:t>，具有代表性的属有冬青属</w:t>
      </w:r>
      <w:r w:rsidRPr="00092862">
        <w:rPr>
          <w:rFonts w:ascii="Times New Roman" w:eastAsia="宋体" w:hAnsi="Times New Roman" w:cs="Times New Roman"/>
          <w:i/>
          <w:iCs/>
          <w:color w:val="000000" w:themeColor="text1"/>
          <w:spacing w:val="5"/>
          <w:sz w:val="24"/>
          <w:szCs w:val="24"/>
        </w:rPr>
        <w:t>Ilex</w:t>
      </w:r>
      <w:r w:rsidRPr="00092862">
        <w:rPr>
          <w:rFonts w:ascii="Times New Roman" w:eastAsia="宋体" w:hAnsi="Times New Roman" w:cs="Times New Roman"/>
          <w:color w:val="000000" w:themeColor="text1"/>
          <w:spacing w:val="5"/>
          <w:sz w:val="24"/>
          <w:szCs w:val="24"/>
        </w:rPr>
        <w:t>、柃木属</w:t>
      </w:r>
      <w:r w:rsidRPr="00092862">
        <w:rPr>
          <w:rFonts w:ascii="Times New Roman" w:eastAsia="宋体" w:hAnsi="Times New Roman" w:cs="Times New Roman"/>
          <w:i/>
          <w:iCs/>
          <w:color w:val="000000" w:themeColor="text1"/>
          <w:spacing w:val="5"/>
          <w:sz w:val="24"/>
          <w:szCs w:val="24"/>
        </w:rPr>
        <w:t>Eurya</w:t>
      </w:r>
      <w:r w:rsidRPr="00092862">
        <w:rPr>
          <w:rFonts w:ascii="Times New Roman" w:eastAsia="宋体" w:hAnsi="Times New Roman" w:cs="Times New Roman"/>
          <w:color w:val="000000" w:themeColor="text1"/>
          <w:spacing w:val="5"/>
          <w:sz w:val="24"/>
          <w:szCs w:val="24"/>
        </w:rPr>
        <w:t>、凤仙花属</w:t>
      </w:r>
      <w:r w:rsidRPr="00092862">
        <w:rPr>
          <w:rFonts w:ascii="Times New Roman" w:eastAsia="宋体" w:hAnsi="Times New Roman" w:cs="Times New Roman"/>
          <w:i/>
          <w:iCs/>
          <w:color w:val="000000" w:themeColor="text1"/>
          <w:spacing w:val="5"/>
          <w:sz w:val="24"/>
          <w:szCs w:val="24"/>
        </w:rPr>
        <w:t>Impatiens</w:t>
      </w:r>
      <w:r w:rsidRPr="00092862">
        <w:rPr>
          <w:rFonts w:ascii="Times New Roman" w:eastAsia="宋体" w:hAnsi="Times New Roman" w:cs="Times New Roman"/>
          <w:color w:val="000000" w:themeColor="text1"/>
          <w:spacing w:val="5"/>
          <w:sz w:val="24"/>
          <w:szCs w:val="24"/>
        </w:rPr>
        <w:t>、醉鱼草属</w:t>
      </w:r>
      <w:r w:rsidRPr="00092862">
        <w:rPr>
          <w:rFonts w:ascii="Times New Roman" w:eastAsia="宋体" w:hAnsi="Times New Roman" w:cs="Times New Roman"/>
          <w:i/>
          <w:iCs/>
          <w:color w:val="000000" w:themeColor="text1"/>
          <w:spacing w:val="5"/>
          <w:sz w:val="24"/>
          <w:szCs w:val="24"/>
        </w:rPr>
        <w:t>Buddleja</w:t>
      </w:r>
      <w:r w:rsidRPr="00092862">
        <w:rPr>
          <w:rFonts w:ascii="Times New Roman" w:eastAsia="宋体" w:hAnsi="Times New Roman" w:cs="Times New Roman"/>
          <w:color w:val="000000" w:themeColor="text1"/>
          <w:spacing w:val="5"/>
          <w:sz w:val="24"/>
          <w:szCs w:val="24"/>
        </w:rPr>
        <w:t>等；温带分布区类型</w:t>
      </w:r>
      <w:r w:rsidRPr="00092862">
        <w:rPr>
          <w:rFonts w:ascii="Times New Roman" w:eastAsia="宋体" w:hAnsi="Times New Roman" w:cs="Times New Roman"/>
          <w:color w:val="000000" w:themeColor="text1"/>
          <w:spacing w:val="5"/>
          <w:sz w:val="24"/>
          <w:szCs w:val="24"/>
        </w:rPr>
        <w:t>(8-14)</w:t>
      </w:r>
      <w:r w:rsidRPr="00092862">
        <w:rPr>
          <w:rFonts w:ascii="Times New Roman" w:eastAsia="宋体" w:hAnsi="Times New Roman" w:cs="Times New Roman"/>
          <w:color w:val="000000" w:themeColor="text1"/>
          <w:spacing w:val="5"/>
          <w:sz w:val="24"/>
          <w:szCs w:val="24"/>
        </w:rPr>
        <w:t>含有</w:t>
      </w:r>
      <w:r w:rsidRPr="00092862">
        <w:rPr>
          <w:rFonts w:ascii="Times New Roman" w:eastAsia="宋体" w:hAnsi="Times New Roman" w:cs="Times New Roman"/>
          <w:color w:val="000000" w:themeColor="text1"/>
          <w:spacing w:val="5"/>
          <w:sz w:val="24"/>
          <w:szCs w:val="24"/>
        </w:rPr>
        <w:t>266</w:t>
      </w:r>
      <w:r w:rsidRPr="00092862">
        <w:rPr>
          <w:rFonts w:ascii="Times New Roman" w:eastAsia="宋体" w:hAnsi="Times New Roman" w:cs="Times New Roman"/>
          <w:color w:val="000000" w:themeColor="text1"/>
          <w:spacing w:val="5"/>
          <w:sz w:val="24"/>
          <w:szCs w:val="24"/>
        </w:rPr>
        <w:t>属，占评价区非世界分布种子植物总属数的</w:t>
      </w:r>
      <w:r w:rsidRPr="00092862">
        <w:rPr>
          <w:rFonts w:ascii="Times New Roman" w:eastAsia="宋体" w:hAnsi="Times New Roman" w:cs="Times New Roman"/>
          <w:color w:val="000000" w:themeColor="text1"/>
          <w:spacing w:val="5"/>
          <w:sz w:val="24"/>
          <w:szCs w:val="24"/>
        </w:rPr>
        <w:t>55.30%</w:t>
      </w:r>
      <w:r w:rsidRPr="00092862">
        <w:rPr>
          <w:rFonts w:ascii="Times New Roman" w:eastAsia="宋体" w:hAnsi="Times New Roman" w:cs="Times New Roman"/>
          <w:color w:val="000000" w:themeColor="text1"/>
          <w:spacing w:val="5"/>
          <w:sz w:val="24"/>
          <w:szCs w:val="24"/>
        </w:rPr>
        <w:t>，具有代表性的有胡颓子属</w:t>
      </w:r>
      <w:r w:rsidRPr="00092862">
        <w:rPr>
          <w:rFonts w:ascii="Times New Roman" w:eastAsia="宋体" w:hAnsi="Times New Roman" w:cs="Times New Roman"/>
          <w:i/>
          <w:iCs/>
          <w:color w:val="000000" w:themeColor="text1"/>
          <w:spacing w:val="5"/>
          <w:sz w:val="24"/>
          <w:szCs w:val="24"/>
        </w:rPr>
        <w:t>Elaeagnus</w:t>
      </w:r>
      <w:r w:rsidRPr="00092862">
        <w:rPr>
          <w:rFonts w:ascii="Times New Roman" w:eastAsia="宋体" w:hAnsi="Times New Roman" w:cs="Times New Roman"/>
          <w:color w:val="000000" w:themeColor="text1"/>
          <w:spacing w:val="5"/>
          <w:sz w:val="24"/>
          <w:szCs w:val="24"/>
        </w:rPr>
        <w:t>、胡桃属</w:t>
      </w:r>
      <w:r w:rsidRPr="00092862">
        <w:rPr>
          <w:rFonts w:ascii="Times New Roman" w:eastAsia="宋体" w:hAnsi="Times New Roman" w:cs="Times New Roman"/>
          <w:i/>
          <w:iCs/>
          <w:color w:val="000000" w:themeColor="text1"/>
          <w:spacing w:val="5"/>
          <w:sz w:val="24"/>
          <w:szCs w:val="24"/>
        </w:rPr>
        <w:t>Juglans</w:t>
      </w:r>
      <w:r w:rsidRPr="00092862">
        <w:rPr>
          <w:rFonts w:ascii="Times New Roman" w:eastAsia="宋体" w:hAnsi="Times New Roman" w:cs="Times New Roman"/>
          <w:color w:val="000000" w:themeColor="text1"/>
          <w:spacing w:val="5"/>
          <w:sz w:val="24"/>
          <w:szCs w:val="24"/>
        </w:rPr>
        <w:t>、报春花属</w:t>
      </w:r>
      <w:r w:rsidRPr="00092862">
        <w:rPr>
          <w:rFonts w:ascii="Times New Roman" w:eastAsia="宋体" w:hAnsi="Times New Roman" w:cs="Times New Roman"/>
          <w:i/>
          <w:iCs/>
          <w:color w:val="000000" w:themeColor="text1"/>
          <w:spacing w:val="5"/>
          <w:sz w:val="24"/>
          <w:szCs w:val="24"/>
        </w:rPr>
        <w:t>Primula</w:t>
      </w:r>
      <w:r w:rsidRPr="00092862">
        <w:rPr>
          <w:rFonts w:ascii="Times New Roman" w:eastAsia="宋体" w:hAnsi="Times New Roman" w:cs="Times New Roman"/>
          <w:color w:val="000000" w:themeColor="text1"/>
          <w:spacing w:val="5"/>
          <w:sz w:val="24"/>
          <w:szCs w:val="24"/>
        </w:rPr>
        <w:t>、杜鹃属</w:t>
      </w:r>
      <w:r w:rsidRPr="00092862">
        <w:rPr>
          <w:rFonts w:ascii="Times New Roman" w:eastAsia="宋体" w:hAnsi="Times New Roman" w:cs="Times New Roman"/>
          <w:i/>
          <w:iCs/>
          <w:color w:val="000000" w:themeColor="text1"/>
          <w:spacing w:val="5"/>
          <w:sz w:val="24"/>
          <w:szCs w:val="24"/>
        </w:rPr>
        <w:t>Rhododendron</w:t>
      </w:r>
      <w:r w:rsidRPr="00092862">
        <w:rPr>
          <w:rFonts w:ascii="Times New Roman" w:eastAsia="宋体" w:hAnsi="Times New Roman" w:cs="Times New Roman"/>
          <w:color w:val="000000" w:themeColor="text1"/>
          <w:spacing w:val="5"/>
          <w:sz w:val="24"/>
          <w:szCs w:val="24"/>
        </w:rPr>
        <w:t>、胡枝子属</w:t>
      </w:r>
      <w:r w:rsidRPr="00092862">
        <w:rPr>
          <w:rFonts w:ascii="Times New Roman" w:eastAsia="宋体" w:hAnsi="Times New Roman" w:cs="Times New Roman"/>
          <w:i/>
          <w:iCs/>
          <w:color w:val="000000" w:themeColor="text1"/>
          <w:spacing w:val="5"/>
          <w:sz w:val="24"/>
          <w:szCs w:val="24"/>
        </w:rPr>
        <w:t>Lespedeza</w:t>
      </w:r>
      <w:r w:rsidRPr="00092862">
        <w:rPr>
          <w:rFonts w:ascii="Times New Roman" w:eastAsia="宋体" w:hAnsi="Times New Roman" w:cs="Times New Roman"/>
          <w:color w:val="000000" w:themeColor="text1"/>
          <w:spacing w:val="5"/>
          <w:sz w:val="24"/>
          <w:szCs w:val="24"/>
        </w:rPr>
        <w:t>、接骨木属</w:t>
      </w:r>
      <w:r w:rsidRPr="00092862">
        <w:rPr>
          <w:rFonts w:ascii="Times New Roman" w:eastAsia="宋体" w:hAnsi="Times New Roman" w:cs="Times New Roman"/>
          <w:i/>
          <w:iCs/>
          <w:color w:val="000000" w:themeColor="text1"/>
          <w:spacing w:val="5"/>
          <w:sz w:val="24"/>
          <w:szCs w:val="24"/>
        </w:rPr>
        <w:t>Sambucus</w:t>
      </w:r>
      <w:r w:rsidRPr="00092862">
        <w:rPr>
          <w:rFonts w:ascii="Times New Roman" w:eastAsia="宋体" w:hAnsi="Times New Roman" w:cs="Times New Roman"/>
          <w:color w:val="000000" w:themeColor="text1"/>
          <w:spacing w:val="5"/>
          <w:sz w:val="24"/>
          <w:szCs w:val="24"/>
        </w:rPr>
        <w:t>、楤木属</w:t>
      </w:r>
      <w:r w:rsidRPr="00092862">
        <w:rPr>
          <w:rFonts w:ascii="Times New Roman" w:eastAsia="宋体" w:hAnsi="Times New Roman" w:cs="Times New Roman"/>
          <w:i/>
          <w:iCs/>
          <w:color w:val="000000" w:themeColor="text1"/>
          <w:spacing w:val="5"/>
          <w:sz w:val="24"/>
          <w:szCs w:val="24"/>
        </w:rPr>
        <w:t>Aralia</w:t>
      </w:r>
      <w:r w:rsidRPr="00092862">
        <w:rPr>
          <w:rFonts w:ascii="Times New Roman" w:eastAsia="宋体" w:hAnsi="Times New Roman" w:cs="Times New Roman"/>
          <w:color w:val="000000" w:themeColor="text1"/>
          <w:spacing w:val="5"/>
          <w:sz w:val="24"/>
          <w:szCs w:val="24"/>
        </w:rPr>
        <w:t>、马桑属</w:t>
      </w:r>
      <w:r w:rsidRPr="00092862">
        <w:rPr>
          <w:rFonts w:ascii="Times New Roman" w:eastAsia="宋体" w:hAnsi="Times New Roman" w:cs="Times New Roman"/>
          <w:i/>
          <w:iCs/>
          <w:color w:val="000000" w:themeColor="text1"/>
          <w:spacing w:val="5"/>
          <w:sz w:val="24"/>
          <w:szCs w:val="24"/>
        </w:rPr>
        <w:t>Coriaria</w:t>
      </w:r>
      <w:r w:rsidRPr="00092862">
        <w:rPr>
          <w:rFonts w:ascii="Times New Roman" w:eastAsia="宋体" w:hAnsi="Times New Roman" w:cs="Times New Roman"/>
          <w:color w:val="000000" w:themeColor="text1"/>
          <w:spacing w:val="5"/>
          <w:sz w:val="24"/>
          <w:szCs w:val="24"/>
        </w:rPr>
        <w:t>、荚蒾属</w:t>
      </w:r>
      <w:r w:rsidRPr="00092862">
        <w:rPr>
          <w:rFonts w:ascii="Times New Roman" w:eastAsia="宋体" w:hAnsi="Times New Roman" w:cs="Times New Roman"/>
          <w:i/>
          <w:iCs/>
          <w:color w:val="000000" w:themeColor="text1"/>
          <w:spacing w:val="5"/>
          <w:sz w:val="24"/>
          <w:szCs w:val="24"/>
        </w:rPr>
        <w:t>Viburnum</w:t>
      </w:r>
      <w:r w:rsidRPr="00092862">
        <w:rPr>
          <w:rFonts w:ascii="Times New Roman" w:eastAsia="宋体" w:hAnsi="Times New Roman" w:cs="Times New Roman"/>
          <w:color w:val="000000" w:themeColor="text1"/>
          <w:spacing w:val="5"/>
          <w:sz w:val="24"/>
          <w:szCs w:val="24"/>
        </w:rPr>
        <w:t>、栎属</w:t>
      </w:r>
      <w:r w:rsidRPr="00092862">
        <w:rPr>
          <w:rFonts w:ascii="Times New Roman" w:eastAsia="宋体" w:hAnsi="Times New Roman" w:cs="Times New Roman"/>
          <w:i/>
          <w:iCs/>
          <w:color w:val="000000" w:themeColor="text1"/>
          <w:spacing w:val="5"/>
          <w:sz w:val="24"/>
          <w:szCs w:val="24"/>
        </w:rPr>
        <w:t>Quercus</w:t>
      </w:r>
      <w:r w:rsidRPr="00092862">
        <w:rPr>
          <w:rFonts w:ascii="Times New Roman" w:eastAsia="宋体" w:hAnsi="Times New Roman" w:cs="Times New Roman"/>
          <w:color w:val="000000" w:themeColor="text1"/>
          <w:spacing w:val="5"/>
          <w:sz w:val="24"/>
          <w:szCs w:val="24"/>
        </w:rPr>
        <w:t>、蔷薇属</w:t>
      </w:r>
      <w:r w:rsidRPr="00092862">
        <w:rPr>
          <w:rFonts w:ascii="Times New Roman" w:eastAsia="宋体" w:hAnsi="Times New Roman" w:cs="Times New Roman"/>
          <w:i/>
          <w:iCs/>
          <w:color w:val="000000" w:themeColor="text1"/>
          <w:spacing w:val="5"/>
          <w:sz w:val="24"/>
          <w:szCs w:val="24"/>
        </w:rPr>
        <w:t>Rosa</w:t>
      </w:r>
      <w:r w:rsidRPr="00092862">
        <w:rPr>
          <w:rFonts w:ascii="Times New Roman" w:eastAsia="宋体" w:hAnsi="Times New Roman" w:cs="Times New Roman"/>
          <w:color w:val="000000" w:themeColor="text1"/>
          <w:spacing w:val="5"/>
          <w:sz w:val="24"/>
          <w:szCs w:val="24"/>
        </w:rPr>
        <w:t>、忍冬属</w:t>
      </w:r>
      <w:r w:rsidRPr="00092862">
        <w:rPr>
          <w:rFonts w:ascii="Times New Roman" w:eastAsia="宋体" w:hAnsi="Times New Roman" w:cs="Times New Roman"/>
          <w:i/>
          <w:iCs/>
          <w:color w:val="000000" w:themeColor="text1"/>
          <w:spacing w:val="5"/>
          <w:sz w:val="24"/>
          <w:szCs w:val="24"/>
        </w:rPr>
        <w:t>Lonicera</w:t>
      </w:r>
      <w:r w:rsidRPr="00092862">
        <w:rPr>
          <w:rFonts w:ascii="Times New Roman" w:eastAsia="宋体" w:hAnsi="Times New Roman" w:cs="Times New Roman"/>
          <w:color w:val="000000" w:themeColor="text1"/>
          <w:spacing w:val="5"/>
          <w:sz w:val="24"/>
          <w:szCs w:val="24"/>
        </w:rPr>
        <w:t>、香青属</w:t>
      </w:r>
      <w:r w:rsidRPr="00092862">
        <w:rPr>
          <w:rFonts w:ascii="Times New Roman" w:eastAsia="宋体" w:hAnsi="Times New Roman" w:cs="Times New Roman"/>
          <w:i/>
          <w:iCs/>
          <w:color w:val="000000" w:themeColor="text1"/>
          <w:spacing w:val="5"/>
          <w:sz w:val="24"/>
          <w:szCs w:val="24"/>
        </w:rPr>
        <w:t>Anaphalis</w:t>
      </w:r>
      <w:r w:rsidRPr="00092862">
        <w:rPr>
          <w:rFonts w:ascii="Times New Roman" w:eastAsia="宋体" w:hAnsi="Times New Roman" w:cs="Times New Roman"/>
          <w:color w:val="000000" w:themeColor="text1"/>
          <w:spacing w:val="5"/>
          <w:sz w:val="24"/>
          <w:szCs w:val="24"/>
        </w:rPr>
        <w:t>等；中国特有植物属</w:t>
      </w:r>
      <w:r w:rsidRPr="00092862">
        <w:rPr>
          <w:rFonts w:ascii="Times New Roman" w:eastAsia="宋体" w:hAnsi="Times New Roman" w:cs="Times New Roman"/>
          <w:color w:val="000000" w:themeColor="text1"/>
          <w:spacing w:val="5"/>
          <w:sz w:val="24"/>
          <w:szCs w:val="24"/>
        </w:rPr>
        <w:t>6</w:t>
      </w:r>
      <w:r w:rsidRPr="00092862">
        <w:rPr>
          <w:rFonts w:ascii="Times New Roman" w:eastAsia="宋体" w:hAnsi="Times New Roman" w:cs="Times New Roman"/>
          <w:color w:val="000000" w:themeColor="text1"/>
          <w:spacing w:val="5"/>
          <w:sz w:val="24"/>
          <w:szCs w:val="24"/>
        </w:rPr>
        <w:t>属，占</w:t>
      </w:r>
      <w:r w:rsidRPr="00092862">
        <w:rPr>
          <w:rFonts w:ascii="Times New Roman" w:eastAsia="宋体" w:hAnsi="Times New Roman" w:cs="Times New Roman"/>
          <w:color w:val="000000" w:themeColor="text1"/>
          <w:spacing w:val="5"/>
          <w:sz w:val="24"/>
          <w:szCs w:val="24"/>
        </w:rPr>
        <w:t>1.25%</w:t>
      </w:r>
      <w:r w:rsidRPr="00092862">
        <w:rPr>
          <w:rFonts w:ascii="Times New Roman" w:eastAsia="宋体" w:hAnsi="Times New Roman" w:cs="Times New Roman"/>
          <w:color w:val="000000" w:themeColor="text1"/>
          <w:spacing w:val="5"/>
          <w:sz w:val="24"/>
          <w:szCs w:val="24"/>
        </w:rPr>
        <w:t>，分别是喜树属</w:t>
      </w:r>
      <w:r w:rsidRPr="00092862">
        <w:rPr>
          <w:rFonts w:ascii="Times New Roman" w:eastAsia="宋体" w:hAnsi="Times New Roman" w:cs="Times New Roman"/>
          <w:i/>
          <w:iCs/>
          <w:color w:val="000000" w:themeColor="text1"/>
          <w:spacing w:val="5"/>
          <w:sz w:val="24"/>
          <w:szCs w:val="24"/>
        </w:rPr>
        <w:t>Camptotheca</w:t>
      </w:r>
      <w:r w:rsidRPr="00092862">
        <w:rPr>
          <w:rFonts w:ascii="Times New Roman" w:eastAsia="宋体" w:hAnsi="Times New Roman" w:cs="Times New Roman"/>
          <w:color w:val="000000" w:themeColor="text1"/>
          <w:spacing w:val="5"/>
          <w:sz w:val="24"/>
          <w:szCs w:val="24"/>
        </w:rPr>
        <w:t>、杉木属</w:t>
      </w:r>
      <w:r w:rsidRPr="00092862">
        <w:rPr>
          <w:rFonts w:ascii="Times New Roman" w:eastAsia="宋体" w:hAnsi="Times New Roman" w:cs="Times New Roman"/>
          <w:i/>
          <w:iCs/>
          <w:color w:val="000000" w:themeColor="text1"/>
          <w:spacing w:val="5"/>
          <w:sz w:val="24"/>
          <w:szCs w:val="24"/>
        </w:rPr>
        <w:t>Cunninghamia</w:t>
      </w:r>
      <w:r w:rsidRPr="00092862">
        <w:rPr>
          <w:rFonts w:ascii="Times New Roman" w:eastAsia="宋体" w:hAnsi="Times New Roman" w:cs="Times New Roman"/>
          <w:color w:val="000000" w:themeColor="text1"/>
          <w:spacing w:val="5"/>
          <w:sz w:val="24"/>
          <w:szCs w:val="24"/>
        </w:rPr>
        <w:t>、银杏属</w:t>
      </w:r>
      <w:r w:rsidRPr="00092862">
        <w:rPr>
          <w:rFonts w:ascii="Times New Roman" w:eastAsia="宋体" w:hAnsi="Times New Roman" w:cs="Times New Roman"/>
          <w:i/>
          <w:iCs/>
          <w:color w:val="000000" w:themeColor="text1"/>
          <w:spacing w:val="5"/>
          <w:sz w:val="24"/>
          <w:szCs w:val="24"/>
        </w:rPr>
        <w:t>Ginkgo</w:t>
      </w:r>
      <w:r w:rsidRPr="00092862">
        <w:rPr>
          <w:rFonts w:ascii="Times New Roman" w:eastAsia="宋体" w:hAnsi="Times New Roman" w:cs="Times New Roman"/>
          <w:color w:val="000000" w:themeColor="text1"/>
          <w:spacing w:val="5"/>
          <w:sz w:val="24"/>
          <w:szCs w:val="24"/>
        </w:rPr>
        <w:t>、水杉属</w:t>
      </w:r>
      <w:r w:rsidRPr="00092862">
        <w:rPr>
          <w:rFonts w:ascii="Times New Roman" w:eastAsia="宋体" w:hAnsi="Times New Roman" w:cs="Times New Roman"/>
          <w:i/>
          <w:iCs/>
          <w:color w:val="000000" w:themeColor="text1"/>
          <w:spacing w:val="5"/>
          <w:sz w:val="24"/>
          <w:szCs w:val="24"/>
        </w:rPr>
        <w:t>Metasequoia</w:t>
      </w:r>
      <w:r w:rsidRPr="00092862">
        <w:rPr>
          <w:rFonts w:ascii="Times New Roman" w:eastAsia="宋体" w:hAnsi="Times New Roman" w:cs="Times New Roman"/>
          <w:color w:val="000000" w:themeColor="text1"/>
          <w:spacing w:val="5"/>
          <w:sz w:val="24"/>
          <w:szCs w:val="24"/>
        </w:rPr>
        <w:t>、慈竹属</w:t>
      </w:r>
      <w:r w:rsidRPr="00092862">
        <w:rPr>
          <w:rFonts w:ascii="Times New Roman" w:eastAsia="宋体" w:hAnsi="Times New Roman" w:cs="Times New Roman"/>
          <w:i/>
          <w:iCs/>
          <w:color w:val="000000" w:themeColor="text1"/>
          <w:spacing w:val="5"/>
          <w:sz w:val="24"/>
          <w:szCs w:val="24"/>
        </w:rPr>
        <w:t>Neosinocalamus</w:t>
      </w:r>
      <w:r w:rsidRPr="00092862">
        <w:rPr>
          <w:rFonts w:ascii="Times New Roman" w:eastAsia="宋体" w:hAnsi="Times New Roman" w:cs="Times New Roman"/>
          <w:color w:val="000000" w:themeColor="text1"/>
          <w:spacing w:val="5"/>
          <w:sz w:val="24"/>
          <w:szCs w:val="24"/>
        </w:rPr>
        <w:t>、通脱木属</w:t>
      </w:r>
      <w:r w:rsidRPr="00092862">
        <w:rPr>
          <w:rFonts w:ascii="Times New Roman" w:eastAsia="宋体" w:hAnsi="Times New Roman" w:cs="Times New Roman"/>
          <w:i/>
          <w:iCs/>
          <w:color w:val="000000" w:themeColor="text1"/>
          <w:spacing w:val="5"/>
          <w:sz w:val="24"/>
          <w:szCs w:val="24"/>
        </w:rPr>
        <w:t>Tetrapanax</w:t>
      </w:r>
      <w:r w:rsidRPr="00092862">
        <w:rPr>
          <w:rFonts w:ascii="Times New Roman" w:eastAsia="宋体" w:hAnsi="Times New Roman" w:cs="Times New Roman"/>
          <w:color w:val="000000" w:themeColor="text1"/>
          <w:spacing w:val="5"/>
          <w:sz w:val="24"/>
          <w:szCs w:val="24"/>
        </w:rPr>
        <w:t>。从属的分布区类型来看，区域内种子植物区系成分以北温带分布、东亚分布、泛热带分布、东亚和北美洲间断分布、旧世界温带所代表的温带成分为主，同时热带成分也有近四成的比例，反映出项目区域种子植物在属级水平上区系性质的复杂性，种子植物温带分布属显著多于其他区系成分，因此项目区域种子植物带有极其明显的温带成分性质，这与项目区域所处的</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亚热带常绿阔叶林区域</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川东盆地及川西南山地常绿阔叶林地带</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东部常绿阔叶林亚区域</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川东盆地偏湿性常绿阔叶林亚带</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盆边北部中山植被地区</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北亚热带常绿、落叶阔叶混交林地带</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大巴山植被小区</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秦、巴山地丘陵，栎类林、巴山松、马尾松林区</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气候条件相符</w:t>
      </w:r>
      <w:r w:rsidR="00DF5B9E" w:rsidRPr="00092862">
        <w:rPr>
          <w:rFonts w:ascii="Times New Roman" w:eastAsia="宋体" w:hAnsi="Times New Roman" w:cs="Times New Roman"/>
          <w:color w:val="000000" w:themeColor="text1"/>
          <w:spacing w:val="5"/>
          <w:sz w:val="24"/>
          <w:szCs w:val="24"/>
        </w:rPr>
        <w:t>。</w:t>
      </w:r>
    </w:p>
    <w:p w14:paraId="6A665DAF" w14:textId="77777777" w:rsidR="00DF5B9E" w:rsidRPr="00092862" w:rsidRDefault="00DF5B9E" w:rsidP="00DF5B9E">
      <w:pPr>
        <w:adjustRightInd w:val="0"/>
        <w:snapToGrid w:val="0"/>
        <w:spacing w:line="360" w:lineRule="auto"/>
        <w:ind w:firstLineChars="200" w:firstLine="490"/>
        <w:rPr>
          <w:rFonts w:ascii="Times New Roman" w:eastAsia="宋体" w:hAnsi="Times New Roman" w:cs="Times New Roman"/>
          <w:color w:val="000000" w:themeColor="text1"/>
          <w:spacing w:val="5"/>
          <w:sz w:val="24"/>
          <w:szCs w:val="24"/>
        </w:rPr>
      </w:pP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4</w:t>
      </w:r>
      <w:r w:rsidRPr="00092862">
        <w:rPr>
          <w:rFonts w:ascii="Times New Roman" w:eastAsia="宋体" w:hAnsi="Times New Roman" w:cs="Times New Roman"/>
          <w:color w:val="000000" w:themeColor="text1"/>
          <w:spacing w:val="5"/>
          <w:sz w:val="24"/>
          <w:szCs w:val="24"/>
        </w:rPr>
        <w:t>）存在的主要生态问题</w:t>
      </w:r>
    </w:p>
    <w:p w14:paraId="7986AD23" w14:textId="77777777" w:rsidR="00087418" w:rsidRPr="00092862" w:rsidRDefault="00087418" w:rsidP="00087418">
      <w:pPr>
        <w:adjustRightInd w:val="0"/>
        <w:snapToGrid w:val="0"/>
        <w:spacing w:line="360" w:lineRule="auto"/>
        <w:ind w:firstLineChars="200" w:firstLine="490"/>
        <w:rPr>
          <w:rFonts w:ascii="Times New Roman" w:eastAsia="宋体" w:hAnsi="Times New Roman" w:cs="Times New Roman"/>
          <w:color w:val="000000" w:themeColor="text1"/>
          <w:spacing w:val="5"/>
          <w:sz w:val="24"/>
          <w:szCs w:val="24"/>
        </w:rPr>
      </w:pPr>
      <w:r w:rsidRPr="00092862">
        <w:rPr>
          <w:rFonts w:ascii="Times New Roman" w:eastAsia="宋体" w:hAnsi="Times New Roman" w:cs="Times New Roman"/>
          <w:color w:val="000000" w:themeColor="text1"/>
          <w:spacing w:val="5"/>
          <w:sz w:val="24"/>
          <w:szCs w:val="24"/>
        </w:rPr>
        <w:t>项目所在区域宣汉县现有植被以次生性森林为主。过去由于人们对生态效益认识不足，在经济建设过程中对阔叶林资源进行掠夺式的开发利用，经历上</w:t>
      </w:r>
      <w:r w:rsidRPr="00092862">
        <w:rPr>
          <w:rFonts w:ascii="Times New Roman" w:eastAsia="宋体" w:hAnsi="Times New Roman" w:cs="Times New Roman"/>
          <w:color w:val="000000" w:themeColor="text1"/>
          <w:spacing w:val="5"/>
          <w:sz w:val="24"/>
          <w:szCs w:val="24"/>
        </w:rPr>
        <w:t>50</w:t>
      </w:r>
      <w:r w:rsidRPr="00092862">
        <w:rPr>
          <w:rFonts w:ascii="Times New Roman" w:eastAsia="宋体" w:hAnsi="Times New Roman" w:cs="Times New Roman"/>
          <w:color w:val="000000" w:themeColor="text1"/>
          <w:spacing w:val="5"/>
          <w:sz w:val="24"/>
          <w:szCs w:val="24"/>
        </w:rPr>
        <w:t>年代</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大跃进</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式的毁林开荒，以及</w:t>
      </w:r>
      <w:r w:rsidRPr="00092862">
        <w:rPr>
          <w:rFonts w:ascii="Times New Roman" w:eastAsia="宋体" w:hAnsi="Times New Roman" w:cs="Times New Roman"/>
          <w:color w:val="000000" w:themeColor="text1"/>
          <w:spacing w:val="5"/>
          <w:sz w:val="24"/>
          <w:szCs w:val="24"/>
        </w:rPr>
        <w:t>80</w:t>
      </w:r>
      <w:r w:rsidRPr="00092862">
        <w:rPr>
          <w:rFonts w:ascii="Times New Roman" w:eastAsia="宋体" w:hAnsi="Times New Roman" w:cs="Times New Roman"/>
          <w:color w:val="000000" w:themeColor="text1"/>
          <w:spacing w:val="5"/>
          <w:sz w:val="24"/>
          <w:szCs w:val="24"/>
        </w:rPr>
        <w:t>年代初期的</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分林到户</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而引发的乱砍滥伐，宣汉县境内天然阔叶林资源遭到严重破坏，许多天然阔叶林由于强度砍伐目前只留下灌草丛，有的甚至已退化成坡耕地，虽然目前经过退耕还林封山育林，不删区域已经变为乔木林，但多为次生人工幼林，生态效益不高。项目区域周边人口较多，日益增长的人口压力将对山地森林生态系统</w:t>
      </w:r>
      <w:r w:rsidRPr="00092862">
        <w:rPr>
          <w:rFonts w:ascii="Times New Roman" w:eastAsia="宋体" w:hAnsi="Times New Roman" w:cs="Times New Roman"/>
          <w:color w:val="000000" w:themeColor="text1"/>
          <w:spacing w:val="5"/>
          <w:sz w:val="24"/>
          <w:szCs w:val="24"/>
        </w:rPr>
        <w:lastRenderedPageBreak/>
        <w:t>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p>
    <w:p w14:paraId="61EF1063" w14:textId="77777777" w:rsidR="00F96F41" w:rsidRPr="00092862" w:rsidRDefault="00F96F41" w:rsidP="00F96F41">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86" w:name="_Toc120173138"/>
      <w:r w:rsidRPr="00092862">
        <w:rPr>
          <w:rFonts w:ascii="Times New Roman" w:eastAsia="黑体" w:hAnsi="Times New Roman"/>
          <w:b w:val="0"/>
          <w:color w:val="000000" w:themeColor="text1"/>
          <w:sz w:val="24"/>
          <w:szCs w:val="24"/>
          <w:lang w:eastAsia="zh-CN"/>
        </w:rPr>
        <w:t>4.3.4</w:t>
      </w:r>
      <w:r w:rsidRPr="00092862">
        <w:rPr>
          <w:rFonts w:ascii="Times New Roman" w:eastAsia="黑体" w:hAnsi="Times New Roman"/>
          <w:b w:val="0"/>
          <w:color w:val="000000" w:themeColor="text1"/>
          <w:sz w:val="24"/>
          <w:szCs w:val="24"/>
          <w:lang w:eastAsia="zh-CN"/>
        </w:rPr>
        <w:t>评价范围陆生植被现状</w:t>
      </w:r>
      <w:bookmarkEnd w:id="185"/>
      <w:r w:rsidRPr="00092862">
        <w:rPr>
          <w:rFonts w:ascii="Times New Roman" w:eastAsia="黑体" w:hAnsi="Times New Roman"/>
          <w:b w:val="0"/>
          <w:color w:val="000000" w:themeColor="text1"/>
          <w:sz w:val="24"/>
          <w:szCs w:val="24"/>
          <w:lang w:eastAsia="zh-CN"/>
        </w:rPr>
        <w:t>调查</w:t>
      </w:r>
      <w:bookmarkEnd w:id="186"/>
    </w:p>
    <w:p w14:paraId="2FEEE988" w14:textId="77777777" w:rsidR="00087418" w:rsidRPr="00092862" w:rsidRDefault="00087418" w:rsidP="00092862">
      <w:pPr>
        <w:pStyle w:val="41"/>
        <w:adjustRightInd w:val="0"/>
        <w:snapToGrid w:val="0"/>
        <w:spacing w:line="360" w:lineRule="auto"/>
        <w:ind w:firstLineChars="200" w:firstLine="482"/>
        <w:rPr>
          <w:b/>
          <w:bCs/>
          <w:color w:val="000000" w:themeColor="text1"/>
          <w:sz w:val="24"/>
          <w:szCs w:val="24"/>
        </w:rPr>
      </w:pPr>
      <w:r w:rsidRPr="00092862">
        <w:rPr>
          <w:b/>
          <w:bCs/>
          <w:color w:val="000000" w:themeColor="text1"/>
          <w:sz w:val="24"/>
          <w:szCs w:val="24"/>
        </w:rPr>
        <w:t>1</w:t>
      </w:r>
      <w:r w:rsidRPr="00092862">
        <w:rPr>
          <w:b/>
          <w:bCs/>
          <w:color w:val="000000" w:themeColor="text1"/>
          <w:sz w:val="24"/>
          <w:szCs w:val="24"/>
        </w:rPr>
        <w:t>、评价范围内植被概况</w:t>
      </w:r>
    </w:p>
    <w:p w14:paraId="7B81DCA5" w14:textId="77777777" w:rsidR="00087418" w:rsidRPr="00092862" w:rsidRDefault="00087418" w:rsidP="00092862">
      <w:pPr>
        <w:adjustRightInd w:val="0"/>
        <w:snapToGrid w:val="0"/>
        <w:spacing w:line="360" w:lineRule="auto"/>
        <w:ind w:firstLineChars="200" w:firstLine="476"/>
        <w:rPr>
          <w:rFonts w:ascii="Times New Roman" w:eastAsia="宋体" w:hAnsi="Times New Roman" w:cs="Times New Roman"/>
          <w:color w:val="000000" w:themeColor="text1"/>
          <w:spacing w:val="-2"/>
          <w:sz w:val="24"/>
          <w:szCs w:val="24"/>
        </w:rPr>
      </w:pPr>
      <w:r w:rsidRPr="00092862">
        <w:rPr>
          <w:rFonts w:ascii="Times New Roman" w:eastAsia="宋体" w:hAnsi="Times New Roman" w:cs="Times New Roman"/>
          <w:color w:val="000000" w:themeColor="text1"/>
          <w:spacing w:val="-2"/>
          <w:sz w:val="24"/>
          <w:szCs w:val="24"/>
        </w:rPr>
        <w:t>现场调查情况，评价区地带性植物为亚热带常绿阔叶林，植被覆盖度较高，亚热带针叶林、阔叶林植被，亚热带灌丛、热性草丛植被较常见，有明显的热带特征，评价区内天然植被和人工栽植植被均广泛分布。</w:t>
      </w:r>
    </w:p>
    <w:p w14:paraId="3FFAA8C4" w14:textId="77777777" w:rsidR="00087418" w:rsidRPr="00092862" w:rsidRDefault="00087418" w:rsidP="00092862">
      <w:pPr>
        <w:pStyle w:val="41"/>
        <w:numPr>
          <w:ilvl w:val="0"/>
          <w:numId w:val="29"/>
        </w:numPr>
        <w:adjustRightInd w:val="0"/>
        <w:snapToGrid w:val="0"/>
        <w:spacing w:line="360" w:lineRule="auto"/>
        <w:ind w:firstLineChars="200" w:firstLine="482"/>
        <w:rPr>
          <w:b/>
          <w:bCs/>
          <w:color w:val="000000" w:themeColor="text1"/>
          <w:sz w:val="24"/>
          <w:szCs w:val="24"/>
        </w:rPr>
      </w:pPr>
      <w:r w:rsidRPr="00092862">
        <w:rPr>
          <w:b/>
          <w:bCs/>
          <w:color w:val="000000" w:themeColor="text1"/>
          <w:sz w:val="24"/>
          <w:szCs w:val="24"/>
        </w:rPr>
        <w:t>植物群落结构及演替规律</w:t>
      </w:r>
    </w:p>
    <w:p w14:paraId="0E2946BD" w14:textId="77777777" w:rsidR="00087418" w:rsidRPr="00092862" w:rsidRDefault="00087418" w:rsidP="00092862">
      <w:pPr>
        <w:pStyle w:val="HH"/>
        <w:adjustRightInd w:val="0"/>
        <w:snapToGrid w:val="0"/>
        <w:rPr>
          <w:rFonts w:cs="Times New Roman"/>
          <w:color w:val="000000" w:themeColor="text1"/>
        </w:rPr>
      </w:pPr>
      <w:r w:rsidRPr="00092862">
        <w:rPr>
          <w:rFonts w:cs="Times New Roman"/>
          <w:color w:val="000000" w:themeColor="text1"/>
        </w:rPr>
        <w:t>评价区植物群落主要为乔木、灌木、草本为主的结构特征，其中乔木群落结构多为乔灌草三层植被，灌木群落结构多为灌草双层植被，草本群落则多为草丛单层植被。群落自然演替规律总体呈现草本</w:t>
      </w:r>
      <w:r w:rsidRPr="00092862">
        <w:rPr>
          <w:rFonts w:cs="Times New Roman"/>
          <w:color w:val="000000" w:themeColor="text1"/>
        </w:rPr>
        <w:t>-</w:t>
      </w:r>
      <w:r w:rsidRPr="00092862">
        <w:rPr>
          <w:rFonts w:cs="Times New Roman"/>
          <w:color w:val="000000" w:themeColor="text1"/>
        </w:rPr>
        <w:t>灌丛</w:t>
      </w:r>
      <w:r w:rsidRPr="00092862">
        <w:rPr>
          <w:rFonts w:cs="Times New Roman"/>
          <w:color w:val="000000" w:themeColor="text1"/>
        </w:rPr>
        <w:t>-</w:t>
      </w:r>
      <w:r w:rsidRPr="00092862">
        <w:rPr>
          <w:rFonts w:cs="Times New Roman"/>
          <w:color w:val="000000" w:themeColor="text1"/>
        </w:rPr>
        <w:t>乔木方向演替。同时，随着近年退耕还林等人为活动影响，还存在草本</w:t>
      </w:r>
      <w:r w:rsidRPr="00092862">
        <w:rPr>
          <w:rFonts w:cs="Times New Roman"/>
          <w:color w:val="000000" w:themeColor="text1"/>
        </w:rPr>
        <w:t>-</w:t>
      </w:r>
      <w:r w:rsidRPr="00092862">
        <w:rPr>
          <w:rFonts w:cs="Times New Roman"/>
          <w:color w:val="000000" w:themeColor="text1"/>
        </w:rPr>
        <w:t>园地、草本</w:t>
      </w:r>
      <w:r w:rsidRPr="00092862">
        <w:rPr>
          <w:rFonts w:cs="Times New Roman"/>
          <w:color w:val="000000" w:themeColor="text1"/>
        </w:rPr>
        <w:t>-</w:t>
      </w:r>
      <w:r w:rsidRPr="00092862">
        <w:rPr>
          <w:rFonts w:cs="Times New Roman"/>
          <w:color w:val="000000" w:themeColor="text1"/>
        </w:rPr>
        <w:t>乔木、灌丛</w:t>
      </w:r>
      <w:r w:rsidRPr="00092862">
        <w:rPr>
          <w:rFonts w:cs="Times New Roman"/>
          <w:color w:val="000000" w:themeColor="text1"/>
        </w:rPr>
        <w:t>-</w:t>
      </w:r>
      <w:r w:rsidRPr="00092862">
        <w:rPr>
          <w:rFonts w:cs="Times New Roman"/>
          <w:color w:val="000000" w:themeColor="text1"/>
        </w:rPr>
        <w:t>乔木、旱地</w:t>
      </w:r>
      <w:r w:rsidRPr="00092862">
        <w:rPr>
          <w:rFonts w:cs="Times New Roman"/>
          <w:color w:val="000000" w:themeColor="text1"/>
        </w:rPr>
        <w:t>-</w:t>
      </w:r>
      <w:r w:rsidRPr="00092862">
        <w:rPr>
          <w:rFonts w:cs="Times New Roman"/>
          <w:color w:val="000000" w:themeColor="text1"/>
        </w:rPr>
        <w:t>园地、旱地</w:t>
      </w:r>
      <w:r w:rsidRPr="00092862">
        <w:rPr>
          <w:rFonts w:cs="Times New Roman"/>
          <w:color w:val="000000" w:themeColor="text1"/>
        </w:rPr>
        <w:t>-</w:t>
      </w:r>
      <w:r w:rsidRPr="00092862">
        <w:rPr>
          <w:rFonts w:cs="Times New Roman"/>
          <w:color w:val="000000" w:themeColor="text1"/>
        </w:rPr>
        <w:t>乔木等结构演替，总之，项目区植物群落总体朝向生物多样性更加复杂、生产力和生物量更加丰富、生态系统结构更加稳定的方向演变。</w:t>
      </w:r>
    </w:p>
    <w:p w14:paraId="608B8AD6" w14:textId="77777777" w:rsidR="00087418" w:rsidRPr="00092862" w:rsidRDefault="00087418" w:rsidP="00092862">
      <w:pPr>
        <w:pStyle w:val="41"/>
        <w:adjustRightInd w:val="0"/>
        <w:snapToGrid w:val="0"/>
        <w:spacing w:line="360" w:lineRule="auto"/>
        <w:ind w:firstLineChars="200" w:firstLine="482"/>
        <w:rPr>
          <w:b/>
          <w:bCs/>
          <w:color w:val="000000" w:themeColor="text1"/>
          <w:sz w:val="24"/>
          <w:szCs w:val="24"/>
        </w:rPr>
      </w:pPr>
      <w:r w:rsidRPr="00092862">
        <w:rPr>
          <w:b/>
          <w:bCs/>
          <w:color w:val="000000" w:themeColor="text1"/>
          <w:sz w:val="24"/>
          <w:szCs w:val="24"/>
        </w:rPr>
        <w:t>3</w:t>
      </w:r>
      <w:r w:rsidRPr="00092862">
        <w:rPr>
          <w:b/>
          <w:bCs/>
          <w:color w:val="000000" w:themeColor="text1"/>
          <w:sz w:val="24"/>
          <w:szCs w:val="24"/>
        </w:rPr>
        <w:t>、项目评价范围内主要植被类型</w:t>
      </w:r>
    </w:p>
    <w:p w14:paraId="6ADF48F5" w14:textId="645A2D33" w:rsidR="00F96F41" w:rsidRPr="00092862" w:rsidRDefault="00087418" w:rsidP="00092862">
      <w:pPr>
        <w:pStyle w:val="HH"/>
        <w:adjustRightInd w:val="0"/>
        <w:snapToGrid w:val="0"/>
        <w:rPr>
          <w:rFonts w:cs="Times New Roman"/>
          <w:color w:val="000000" w:themeColor="text1"/>
        </w:rPr>
      </w:pPr>
      <w:r w:rsidRPr="00092862">
        <w:rPr>
          <w:rFonts w:cs="Times New Roman"/>
          <w:color w:val="000000" w:themeColor="text1"/>
        </w:rPr>
        <w:t>采用实地踏勘和样方调查相结合的方法对评价范围内植被进行实地调查，结合卫星影像解译成果，参考现有的资料和文献，根据各类群落的特征，按照吴征镒等《中国植物志》、《四川植物志》中对四川的自然、人工植被的分类系统，划分出评价区域内不同的植被类型，形成植被分类系统。评价区自然植被涉及</w:t>
      </w:r>
      <w:r w:rsidRPr="00092862">
        <w:rPr>
          <w:rFonts w:cs="Times New Roman"/>
          <w:color w:val="000000" w:themeColor="text1"/>
        </w:rPr>
        <w:t>1</w:t>
      </w:r>
      <w:r w:rsidRPr="00092862">
        <w:rPr>
          <w:rFonts w:cs="Times New Roman"/>
          <w:color w:val="000000" w:themeColor="text1"/>
        </w:rPr>
        <w:t>种植被型组，</w:t>
      </w:r>
      <w:r w:rsidRPr="00092862">
        <w:rPr>
          <w:rFonts w:cs="Times New Roman"/>
          <w:color w:val="000000" w:themeColor="text1"/>
        </w:rPr>
        <w:t>3</w:t>
      </w:r>
      <w:r w:rsidRPr="00092862">
        <w:rPr>
          <w:rFonts w:cs="Times New Roman"/>
          <w:color w:val="000000" w:themeColor="text1"/>
        </w:rPr>
        <w:t>种植被型和</w:t>
      </w:r>
      <w:r w:rsidRPr="00092862">
        <w:rPr>
          <w:rFonts w:cs="Times New Roman"/>
          <w:color w:val="000000" w:themeColor="text1"/>
        </w:rPr>
        <w:t>6</w:t>
      </w:r>
      <w:r w:rsidRPr="00092862">
        <w:rPr>
          <w:rFonts w:cs="Times New Roman"/>
          <w:color w:val="000000" w:themeColor="text1"/>
        </w:rPr>
        <w:t>种群系，自然植被分类见表</w:t>
      </w:r>
      <w:r w:rsidRPr="00092862">
        <w:rPr>
          <w:rFonts w:cs="Times New Roman"/>
          <w:color w:val="000000" w:themeColor="text1"/>
        </w:rPr>
        <w:t>4.3-10</w:t>
      </w:r>
      <w:r w:rsidR="00F96F41" w:rsidRPr="00092862">
        <w:rPr>
          <w:rFonts w:cs="Times New Roman"/>
          <w:color w:val="000000" w:themeColor="text1"/>
        </w:rPr>
        <w:t>。</w:t>
      </w:r>
    </w:p>
    <w:p w14:paraId="6439291A" w14:textId="77777777" w:rsidR="002C77F6" w:rsidRPr="00092862" w:rsidRDefault="002C77F6" w:rsidP="000C4084">
      <w:pPr>
        <w:pStyle w:val="ac"/>
        <w:tabs>
          <w:tab w:val="left" w:pos="863"/>
        </w:tabs>
        <w:spacing w:before="0"/>
        <w:ind w:left="0"/>
        <w:jc w:val="center"/>
        <w:rPr>
          <w:rFonts w:ascii="Times New Roman" w:eastAsia="黑体" w:hAnsi="Times New Roman"/>
          <w:color w:val="000000" w:themeColor="text1"/>
          <w:sz w:val="21"/>
          <w:szCs w:val="21"/>
          <w:lang w:eastAsia="zh-CN"/>
        </w:rPr>
      </w:pPr>
    </w:p>
    <w:p w14:paraId="12FEDFA9" w14:textId="3CE2CF58" w:rsidR="00F96F41" w:rsidRPr="00092862" w:rsidRDefault="00F96F41"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4.3-10 </w:t>
      </w:r>
      <w:r w:rsidRPr="00092862">
        <w:rPr>
          <w:rFonts w:ascii="Times New Roman" w:eastAsia="黑体" w:hAnsi="Times New Roman"/>
          <w:color w:val="000000" w:themeColor="text1"/>
          <w:sz w:val="21"/>
          <w:szCs w:val="21"/>
          <w:lang w:eastAsia="zh-CN"/>
        </w:rPr>
        <w:t>工程评价区植被分类系统</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3"/>
        <w:gridCol w:w="591"/>
        <w:gridCol w:w="961"/>
        <w:gridCol w:w="1882"/>
        <w:gridCol w:w="1642"/>
        <w:gridCol w:w="1461"/>
        <w:gridCol w:w="1340"/>
      </w:tblGrid>
      <w:tr w:rsidR="00697429" w:rsidRPr="00092862" w14:paraId="734EABB9" w14:textId="77777777" w:rsidTr="00087418">
        <w:trPr>
          <w:trHeight w:val="332"/>
          <w:jc w:val="center"/>
        </w:trPr>
        <w:tc>
          <w:tcPr>
            <w:tcW w:w="255" w:type="pct"/>
            <w:vMerge w:val="restart"/>
            <w:vAlign w:val="center"/>
          </w:tcPr>
          <w:p w14:paraId="59CF6386"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植被型组</w:t>
            </w:r>
          </w:p>
        </w:tc>
        <w:tc>
          <w:tcPr>
            <w:tcW w:w="356" w:type="pct"/>
            <w:vMerge w:val="restart"/>
            <w:vAlign w:val="center"/>
          </w:tcPr>
          <w:p w14:paraId="0429E440"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植被型</w:t>
            </w:r>
          </w:p>
        </w:tc>
        <w:tc>
          <w:tcPr>
            <w:tcW w:w="579" w:type="pct"/>
            <w:vMerge w:val="restart"/>
            <w:vAlign w:val="center"/>
          </w:tcPr>
          <w:p w14:paraId="56261330"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植被</w:t>
            </w:r>
            <w:r w:rsidRPr="00092862">
              <w:rPr>
                <w:rFonts w:ascii="Times New Roman" w:hAnsi="Times New Roman" w:cs="Times New Roman"/>
                <w:color w:val="000000" w:themeColor="text1"/>
                <w:spacing w:val="-4"/>
                <w:szCs w:val="21"/>
                <w:lang w:eastAsia="zh-CN"/>
              </w:rPr>
              <w:t>亚</w:t>
            </w:r>
            <w:r w:rsidRPr="00092862">
              <w:rPr>
                <w:rFonts w:ascii="Times New Roman" w:eastAsia="宋体" w:hAnsi="Times New Roman" w:cs="Times New Roman"/>
                <w:color w:val="000000" w:themeColor="text1"/>
                <w:spacing w:val="-4"/>
                <w:szCs w:val="21"/>
              </w:rPr>
              <w:t>型</w:t>
            </w:r>
          </w:p>
        </w:tc>
        <w:tc>
          <w:tcPr>
            <w:tcW w:w="1134" w:type="pct"/>
            <w:vMerge w:val="restart"/>
            <w:vAlign w:val="center"/>
          </w:tcPr>
          <w:p w14:paraId="0DBAEB29" w14:textId="77777777" w:rsidR="00087418" w:rsidRPr="00092862" w:rsidRDefault="00087418" w:rsidP="00A75B69">
            <w:pPr>
              <w:spacing w:before="51" w:line="214"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3"/>
                <w:szCs w:val="21"/>
              </w:rPr>
              <w:t>群</w:t>
            </w:r>
            <w:r w:rsidRPr="00092862">
              <w:rPr>
                <w:rFonts w:ascii="Times New Roman" w:eastAsia="宋体" w:hAnsi="Times New Roman" w:cs="Times New Roman"/>
                <w:color w:val="000000" w:themeColor="text1"/>
                <w:spacing w:val="-2"/>
                <w:szCs w:val="21"/>
              </w:rPr>
              <w:t>系</w:t>
            </w:r>
          </w:p>
        </w:tc>
        <w:tc>
          <w:tcPr>
            <w:tcW w:w="989" w:type="pct"/>
            <w:vMerge w:val="restart"/>
            <w:vAlign w:val="center"/>
          </w:tcPr>
          <w:p w14:paraId="56DC4BC0" w14:textId="77777777" w:rsidR="00087418" w:rsidRPr="00092862" w:rsidRDefault="00087418" w:rsidP="00A75B69">
            <w:pPr>
              <w:spacing w:before="53" w:line="217" w:lineRule="auto"/>
              <w:jc w:val="center"/>
              <w:rPr>
                <w:rFonts w:ascii="Times New Roman" w:eastAsia="宋体" w:hAnsi="Times New Roman" w:cs="Times New Roman"/>
                <w:color w:val="000000" w:themeColor="text1"/>
                <w:szCs w:val="21"/>
                <w:lang w:eastAsia="zh-CN"/>
              </w:rPr>
            </w:pPr>
            <w:r w:rsidRPr="00092862">
              <w:rPr>
                <w:rFonts w:ascii="Times New Roman" w:hAnsi="Times New Roman" w:cs="Times New Roman"/>
                <w:color w:val="000000" w:themeColor="text1"/>
                <w:spacing w:val="-2"/>
                <w:szCs w:val="21"/>
                <w:lang w:eastAsia="zh-CN"/>
              </w:rPr>
              <w:t>分布区域</w:t>
            </w:r>
          </w:p>
        </w:tc>
        <w:tc>
          <w:tcPr>
            <w:tcW w:w="1687" w:type="pct"/>
            <w:gridSpan w:val="2"/>
            <w:vAlign w:val="center"/>
          </w:tcPr>
          <w:p w14:paraId="5C52E601" w14:textId="77777777" w:rsidR="00087418" w:rsidRPr="00092862" w:rsidRDefault="00087418" w:rsidP="00A75B69">
            <w:pPr>
              <w:jc w:val="center"/>
              <w:rPr>
                <w:rFonts w:ascii="Times New Roman" w:hAnsi="Times New Roman" w:cs="Times New Roman"/>
                <w:color w:val="000000" w:themeColor="text1"/>
                <w:spacing w:val="-2"/>
                <w:szCs w:val="21"/>
                <w:lang w:eastAsia="zh-CN"/>
              </w:rPr>
            </w:pPr>
            <w:r w:rsidRPr="00092862">
              <w:rPr>
                <w:rFonts w:ascii="Times New Roman" w:hAnsi="Times New Roman" w:cs="Times New Roman"/>
                <w:color w:val="000000" w:themeColor="text1"/>
                <w:szCs w:val="21"/>
                <w:lang w:eastAsia="zh-CN"/>
              </w:rPr>
              <w:t>项目</w:t>
            </w:r>
            <w:r w:rsidRPr="00092862">
              <w:rPr>
                <w:rFonts w:ascii="Times New Roman" w:hAnsi="Times New Roman" w:cs="Times New Roman"/>
                <w:color w:val="000000" w:themeColor="text1"/>
                <w:szCs w:val="21"/>
              </w:rPr>
              <w:t>占用情况</w:t>
            </w:r>
          </w:p>
        </w:tc>
      </w:tr>
      <w:tr w:rsidR="00697429" w:rsidRPr="00092862" w14:paraId="757BBF78" w14:textId="77777777" w:rsidTr="00087418">
        <w:trPr>
          <w:trHeight w:val="332"/>
          <w:jc w:val="center"/>
        </w:trPr>
        <w:tc>
          <w:tcPr>
            <w:tcW w:w="255" w:type="pct"/>
            <w:vMerge/>
            <w:vAlign w:val="center"/>
          </w:tcPr>
          <w:p w14:paraId="2C1EBF9C" w14:textId="77777777" w:rsidR="00087418" w:rsidRPr="00092862" w:rsidRDefault="00087418" w:rsidP="00A75B69">
            <w:pPr>
              <w:spacing w:before="53" w:line="217" w:lineRule="auto"/>
              <w:ind w:left="1176"/>
              <w:rPr>
                <w:rFonts w:ascii="Times New Roman" w:hAnsi="Times New Roman" w:cs="Times New Roman"/>
                <w:color w:val="000000" w:themeColor="text1"/>
                <w:szCs w:val="21"/>
              </w:rPr>
            </w:pPr>
          </w:p>
        </w:tc>
        <w:tc>
          <w:tcPr>
            <w:tcW w:w="356" w:type="pct"/>
            <w:vMerge/>
            <w:vAlign w:val="center"/>
          </w:tcPr>
          <w:p w14:paraId="32A990A0" w14:textId="77777777" w:rsidR="00087418" w:rsidRPr="00092862" w:rsidRDefault="00087418" w:rsidP="00A75B69">
            <w:pPr>
              <w:spacing w:before="53" w:line="217" w:lineRule="auto"/>
              <w:ind w:left="1176"/>
              <w:rPr>
                <w:rFonts w:ascii="Times New Roman" w:hAnsi="Times New Roman" w:cs="Times New Roman"/>
                <w:color w:val="000000" w:themeColor="text1"/>
                <w:szCs w:val="21"/>
              </w:rPr>
            </w:pPr>
          </w:p>
        </w:tc>
        <w:tc>
          <w:tcPr>
            <w:tcW w:w="579" w:type="pct"/>
            <w:vMerge/>
            <w:vAlign w:val="center"/>
          </w:tcPr>
          <w:p w14:paraId="2E1E1282" w14:textId="77777777" w:rsidR="00087418" w:rsidRPr="00092862" w:rsidRDefault="00087418" w:rsidP="00A75B69">
            <w:pPr>
              <w:spacing w:before="53" w:line="217" w:lineRule="auto"/>
              <w:ind w:left="1176"/>
              <w:rPr>
                <w:rFonts w:ascii="Times New Roman" w:hAnsi="Times New Roman" w:cs="Times New Roman"/>
                <w:color w:val="000000" w:themeColor="text1"/>
                <w:szCs w:val="21"/>
              </w:rPr>
            </w:pPr>
          </w:p>
        </w:tc>
        <w:tc>
          <w:tcPr>
            <w:tcW w:w="1134" w:type="pct"/>
            <w:vMerge/>
            <w:vAlign w:val="center"/>
          </w:tcPr>
          <w:p w14:paraId="52B8CA89" w14:textId="77777777" w:rsidR="00087418" w:rsidRPr="00092862" w:rsidRDefault="00087418" w:rsidP="00A75B69">
            <w:pPr>
              <w:spacing w:before="53" w:line="217" w:lineRule="auto"/>
              <w:ind w:left="1176"/>
              <w:rPr>
                <w:rFonts w:ascii="Times New Roman" w:hAnsi="Times New Roman" w:cs="Times New Roman"/>
                <w:color w:val="000000" w:themeColor="text1"/>
                <w:szCs w:val="21"/>
              </w:rPr>
            </w:pPr>
          </w:p>
        </w:tc>
        <w:tc>
          <w:tcPr>
            <w:tcW w:w="989" w:type="pct"/>
            <w:vMerge/>
            <w:vAlign w:val="center"/>
          </w:tcPr>
          <w:p w14:paraId="163EC449" w14:textId="77777777" w:rsidR="00087418" w:rsidRPr="00092862" w:rsidRDefault="00087418" w:rsidP="00A75B69">
            <w:pPr>
              <w:spacing w:before="53" w:line="217" w:lineRule="auto"/>
              <w:ind w:left="1176"/>
              <w:rPr>
                <w:rFonts w:ascii="Times New Roman" w:hAnsi="Times New Roman" w:cs="Times New Roman"/>
                <w:color w:val="000000" w:themeColor="text1"/>
                <w:szCs w:val="21"/>
              </w:rPr>
            </w:pPr>
          </w:p>
        </w:tc>
        <w:tc>
          <w:tcPr>
            <w:tcW w:w="880" w:type="pct"/>
            <w:vAlign w:val="center"/>
          </w:tcPr>
          <w:p w14:paraId="00FCE82F" w14:textId="77777777" w:rsidR="00087418" w:rsidRPr="00092862" w:rsidRDefault="00087418" w:rsidP="00A75B69">
            <w:pPr>
              <w:jc w:val="center"/>
              <w:rPr>
                <w:rFonts w:ascii="Times New Roman" w:hAnsi="Times New Roman" w:cs="Times New Roman"/>
                <w:color w:val="000000" w:themeColor="text1"/>
                <w:spacing w:val="-2"/>
                <w:szCs w:val="21"/>
                <w:lang w:eastAsia="zh-CN"/>
              </w:rPr>
            </w:pPr>
            <w:r w:rsidRPr="00092862">
              <w:rPr>
                <w:rFonts w:ascii="Times New Roman" w:hAnsi="Times New Roman" w:cs="Times New Roman"/>
                <w:color w:val="000000" w:themeColor="text1"/>
                <w:szCs w:val="21"/>
              </w:rPr>
              <w:t>占用面积</w:t>
            </w:r>
            <w:r w:rsidRPr="00092862">
              <w:rPr>
                <w:rFonts w:ascii="Times New Roman" w:hAnsi="Times New Roman" w:cs="Times New Roman"/>
                <w:color w:val="000000" w:themeColor="text1"/>
                <w:szCs w:val="21"/>
              </w:rPr>
              <w:t>(hm²)</w:t>
            </w:r>
          </w:p>
        </w:tc>
        <w:tc>
          <w:tcPr>
            <w:tcW w:w="807" w:type="pct"/>
            <w:vAlign w:val="center"/>
          </w:tcPr>
          <w:p w14:paraId="01640761" w14:textId="77777777" w:rsidR="00087418" w:rsidRPr="00092862" w:rsidRDefault="00087418" w:rsidP="00A75B69">
            <w:pPr>
              <w:jc w:val="center"/>
              <w:rPr>
                <w:rFonts w:ascii="Times New Roman" w:hAnsi="Times New Roman" w:cs="Times New Roman"/>
                <w:color w:val="000000" w:themeColor="text1"/>
                <w:spacing w:val="-2"/>
                <w:szCs w:val="21"/>
                <w:lang w:eastAsia="zh-CN"/>
              </w:rPr>
            </w:pPr>
            <w:r w:rsidRPr="00092862">
              <w:rPr>
                <w:rFonts w:ascii="Times New Roman" w:hAnsi="Times New Roman" w:cs="Times New Roman"/>
                <w:color w:val="000000" w:themeColor="text1"/>
                <w:szCs w:val="21"/>
              </w:rPr>
              <w:t>占用比例</w:t>
            </w:r>
            <w:r w:rsidRPr="00092862">
              <w:rPr>
                <w:rFonts w:ascii="Times New Roman" w:hAnsi="Times New Roman" w:cs="Times New Roman"/>
                <w:color w:val="000000" w:themeColor="text1"/>
                <w:szCs w:val="21"/>
              </w:rPr>
              <w:t>(%)</w:t>
            </w:r>
          </w:p>
        </w:tc>
      </w:tr>
      <w:tr w:rsidR="00697429" w:rsidRPr="00092862" w14:paraId="41BFC922" w14:textId="77777777" w:rsidTr="00087418">
        <w:trPr>
          <w:trHeight w:val="401"/>
          <w:jc w:val="center"/>
        </w:trPr>
        <w:tc>
          <w:tcPr>
            <w:tcW w:w="255" w:type="pct"/>
            <w:vMerge w:val="restart"/>
            <w:vAlign w:val="center"/>
          </w:tcPr>
          <w:p w14:paraId="276D62E1"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自然植被</w:t>
            </w:r>
          </w:p>
        </w:tc>
        <w:tc>
          <w:tcPr>
            <w:tcW w:w="356" w:type="pct"/>
            <w:vMerge w:val="restart"/>
            <w:vAlign w:val="center"/>
          </w:tcPr>
          <w:p w14:paraId="2A771BD8"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针叶林</w:t>
            </w:r>
          </w:p>
        </w:tc>
        <w:tc>
          <w:tcPr>
            <w:tcW w:w="579" w:type="pct"/>
            <w:vMerge w:val="restart"/>
            <w:vAlign w:val="center"/>
          </w:tcPr>
          <w:p w14:paraId="3673F999"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12"/>
                <w:szCs w:val="21"/>
              </w:rPr>
              <w:t>暖性常绿</w:t>
            </w:r>
            <w:r w:rsidRPr="00092862">
              <w:rPr>
                <w:rFonts w:ascii="Times New Roman" w:eastAsia="宋体" w:hAnsi="Times New Roman" w:cs="Times New Roman"/>
                <w:color w:val="000000" w:themeColor="text1"/>
                <w:spacing w:val="-4"/>
                <w:szCs w:val="21"/>
              </w:rPr>
              <w:t>针叶林</w:t>
            </w:r>
          </w:p>
        </w:tc>
        <w:tc>
          <w:tcPr>
            <w:tcW w:w="1134" w:type="pct"/>
            <w:vAlign w:val="center"/>
          </w:tcPr>
          <w:p w14:paraId="1A3B2B0A" w14:textId="77777777" w:rsidR="00087418" w:rsidRPr="00092862" w:rsidRDefault="00087418" w:rsidP="00A75B69">
            <w:pPr>
              <w:widowControl/>
              <w:jc w:val="center"/>
              <w:textAlignment w:val="bottom"/>
              <w:rPr>
                <w:rFonts w:ascii="Times New Roman" w:eastAsia="宋体" w:hAnsi="Times New Roman" w:cs="Times New Roman"/>
                <w:color w:val="000000" w:themeColor="text1"/>
                <w:spacing w:val="-4"/>
                <w:szCs w:val="21"/>
                <w:lang w:eastAsia="zh-CN"/>
              </w:rPr>
            </w:pPr>
            <w:r w:rsidRPr="00092862">
              <w:rPr>
                <w:rFonts w:ascii="Times New Roman" w:eastAsia="宋体" w:hAnsi="Times New Roman" w:cs="Times New Roman"/>
                <w:color w:val="000000" w:themeColor="text1"/>
                <w:kern w:val="0"/>
                <w:szCs w:val="21"/>
                <w:lang w:eastAsia="zh-CN" w:bidi="ar"/>
              </w:rPr>
              <w:t>马尾松</w:t>
            </w:r>
            <w:r w:rsidRPr="00092862">
              <w:rPr>
                <w:rFonts w:ascii="Times New Roman" w:eastAsia="宋体" w:hAnsi="Times New Roman" w:cs="Times New Roman"/>
                <w:color w:val="000000" w:themeColor="text1"/>
                <w:spacing w:val="-3"/>
                <w:szCs w:val="21"/>
              </w:rPr>
              <w:t>群</w:t>
            </w:r>
            <w:r w:rsidRPr="00092862">
              <w:rPr>
                <w:rFonts w:ascii="Times New Roman" w:eastAsia="宋体" w:hAnsi="Times New Roman" w:cs="Times New Roman"/>
                <w:color w:val="000000" w:themeColor="text1"/>
                <w:spacing w:val="-2"/>
                <w:szCs w:val="21"/>
              </w:rPr>
              <w:t>系</w:t>
            </w:r>
          </w:p>
        </w:tc>
        <w:tc>
          <w:tcPr>
            <w:tcW w:w="989" w:type="pct"/>
            <w:vMerge w:val="restart"/>
            <w:vAlign w:val="center"/>
          </w:tcPr>
          <w:p w14:paraId="6AEEEAE8"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此植被类型广泛分布，在评价区中北部有成片分布</w:t>
            </w:r>
          </w:p>
        </w:tc>
        <w:tc>
          <w:tcPr>
            <w:tcW w:w="880" w:type="pct"/>
            <w:vAlign w:val="center"/>
          </w:tcPr>
          <w:p w14:paraId="6AB6C309"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807" w:type="pct"/>
            <w:vAlign w:val="center"/>
          </w:tcPr>
          <w:p w14:paraId="00651ABF"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r>
      <w:tr w:rsidR="00697429" w:rsidRPr="00092862" w14:paraId="16A0D95C" w14:textId="77777777" w:rsidTr="00087418">
        <w:trPr>
          <w:trHeight w:val="401"/>
          <w:jc w:val="center"/>
        </w:trPr>
        <w:tc>
          <w:tcPr>
            <w:tcW w:w="255" w:type="pct"/>
            <w:vMerge/>
            <w:vAlign w:val="center"/>
          </w:tcPr>
          <w:p w14:paraId="7593FC95"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356" w:type="pct"/>
            <w:vMerge/>
            <w:vAlign w:val="center"/>
          </w:tcPr>
          <w:p w14:paraId="494DE98C"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579" w:type="pct"/>
            <w:vMerge/>
            <w:vAlign w:val="center"/>
          </w:tcPr>
          <w:p w14:paraId="4D057ECB"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12"/>
                <w:szCs w:val="21"/>
                <w:lang w:eastAsia="zh-CN"/>
              </w:rPr>
            </w:pPr>
          </w:p>
        </w:tc>
        <w:tc>
          <w:tcPr>
            <w:tcW w:w="1134" w:type="pct"/>
            <w:vAlign w:val="center"/>
          </w:tcPr>
          <w:p w14:paraId="66DE10E7" w14:textId="77777777" w:rsidR="00087418" w:rsidRPr="00092862" w:rsidRDefault="00087418" w:rsidP="00A75B69">
            <w:pPr>
              <w:widowControl/>
              <w:jc w:val="center"/>
              <w:textAlignment w:val="bottom"/>
              <w:rPr>
                <w:rFonts w:ascii="Times New Roman" w:eastAsia="宋体" w:hAnsi="Times New Roman" w:cs="Times New Roman"/>
                <w:color w:val="000000" w:themeColor="text1"/>
                <w:kern w:val="0"/>
                <w:szCs w:val="21"/>
                <w:lang w:eastAsia="zh-CN" w:bidi="ar"/>
              </w:rPr>
            </w:pPr>
            <w:r w:rsidRPr="00092862">
              <w:rPr>
                <w:rFonts w:ascii="Times New Roman" w:eastAsia="宋体" w:hAnsi="Times New Roman" w:cs="Times New Roman"/>
                <w:color w:val="000000" w:themeColor="text1"/>
                <w:kern w:val="0"/>
                <w:szCs w:val="21"/>
                <w:lang w:eastAsia="zh-CN" w:bidi="ar"/>
              </w:rPr>
              <w:t>杉木</w:t>
            </w:r>
            <w:r w:rsidRPr="00092862">
              <w:rPr>
                <w:rFonts w:ascii="Times New Roman" w:eastAsia="宋体" w:hAnsi="Times New Roman" w:cs="Times New Roman"/>
                <w:color w:val="000000" w:themeColor="text1"/>
                <w:spacing w:val="-3"/>
                <w:szCs w:val="21"/>
              </w:rPr>
              <w:t>群</w:t>
            </w:r>
            <w:r w:rsidRPr="00092862">
              <w:rPr>
                <w:rFonts w:ascii="Times New Roman" w:eastAsia="宋体" w:hAnsi="Times New Roman" w:cs="Times New Roman"/>
                <w:color w:val="000000" w:themeColor="text1"/>
                <w:spacing w:val="-2"/>
                <w:szCs w:val="21"/>
              </w:rPr>
              <w:t>系</w:t>
            </w:r>
          </w:p>
        </w:tc>
        <w:tc>
          <w:tcPr>
            <w:tcW w:w="989" w:type="pct"/>
            <w:vMerge/>
            <w:vAlign w:val="center"/>
          </w:tcPr>
          <w:p w14:paraId="703B61FB"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p>
        </w:tc>
        <w:tc>
          <w:tcPr>
            <w:tcW w:w="880" w:type="pct"/>
            <w:vAlign w:val="center"/>
          </w:tcPr>
          <w:p w14:paraId="312AC1E3"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807" w:type="pct"/>
            <w:vAlign w:val="center"/>
          </w:tcPr>
          <w:p w14:paraId="505CE3ED"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r>
      <w:tr w:rsidR="00697429" w:rsidRPr="00092862" w14:paraId="06932FBC" w14:textId="77777777" w:rsidTr="00087418">
        <w:trPr>
          <w:trHeight w:val="401"/>
          <w:jc w:val="center"/>
        </w:trPr>
        <w:tc>
          <w:tcPr>
            <w:tcW w:w="255" w:type="pct"/>
            <w:vMerge/>
            <w:vAlign w:val="center"/>
          </w:tcPr>
          <w:p w14:paraId="33BF653B"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356" w:type="pct"/>
            <w:vMerge/>
            <w:vAlign w:val="center"/>
          </w:tcPr>
          <w:p w14:paraId="509B54DC"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579" w:type="pct"/>
            <w:vMerge/>
            <w:vAlign w:val="center"/>
          </w:tcPr>
          <w:p w14:paraId="72136040"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1134" w:type="pct"/>
            <w:vAlign w:val="center"/>
          </w:tcPr>
          <w:p w14:paraId="6C605967" w14:textId="77777777" w:rsidR="00087418" w:rsidRPr="00092862" w:rsidRDefault="00087418" w:rsidP="00A75B69">
            <w:pPr>
              <w:widowControl/>
              <w:jc w:val="center"/>
              <w:textAlignment w:val="bottom"/>
              <w:rPr>
                <w:rFonts w:ascii="Times New Roman" w:eastAsia="宋体" w:hAnsi="Times New Roman" w:cs="Times New Roman"/>
                <w:color w:val="000000" w:themeColor="text1"/>
                <w:spacing w:val="-4"/>
                <w:szCs w:val="21"/>
                <w:lang w:eastAsia="zh-CN"/>
              </w:rPr>
            </w:pPr>
            <w:r w:rsidRPr="00092862">
              <w:rPr>
                <w:rFonts w:ascii="Times New Roman" w:eastAsia="宋体" w:hAnsi="Times New Roman" w:cs="Times New Roman"/>
                <w:color w:val="000000" w:themeColor="text1"/>
                <w:kern w:val="0"/>
                <w:szCs w:val="21"/>
                <w:lang w:eastAsia="zh-CN" w:bidi="ar"/>
              </w:rPr>
              <w:t>柏木、慈竹</w:t>
            </w:r>
            <w:r w:rsidRPr="00092862">
              <w:rPr>
                <w:rFonts w:ascii="Times New Roman" w:eastAsia="宋体" w:hAnsi="Times New Roman" w:cs="Times New Roman"/>
                <w:color w:val="000000" w:themeColor="text1"/>
                <w:spacing w:val="-3"/>
                <w:szCs w:val="21"/>
              </w:rPr>
              <w:t>群</w:t>
            </w:r>
            <w:r w:rsidRPr="00092862">
              <w:rPr>
                <w:rFonts w:ascii="Times New Roman" w:eastAsia="宋体" w:hAnsi="Times New Roman" w:cs="Times New Roman"/>
                <w:color w:val="000000" w:themeColor="text1"/>
                <w:spacing w:val="-2"/>
                <w:szCs w:val="21"/>
              </w:rPr>
              <w:t>系</w:t>
            </w:r>
          </w:p>
        </w:tc>
        <w:tc>
          <w:tcPr>
            <w:tcW w:w="989" w:type="pct"/>
            <w:vMerge/>
            <w:vAlign w:val="center"/>
          </w:tcPr>
          <w:p w14:paraId="4752C2D2"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p>
        </w:tc>
        <w:tc>
          <w:tcPr>
            <w:tcW w:w="880" w:type="pct"/>
            <w:vAlign w:val="center"/>
          </w:tcPr>
          <w:p w14:paraId="4D08DC9D"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807" w:type="pct"/>
            <w:vAlign w:val="center"/>
          </w:tcPr>
          <w:p w14:paraId="68044335"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r>
      <w:tr w:rsidR="00697429" w:rsidRPr="00092862" w14:paraId="488F3D8E" w14:textId="77777777" w:rsidTr="00087418">
        <w:trPr>
          <w:trHeight w:val="619"/>
          <w:jc w:val="center"/>
        </w:trPr>
        <w:tc>
          <w:tcPr>
            <w:tcW w:w="255" w:type="pct"/>
            <w:vMerge/>
            <w:vAlign w:val="center"/>
          </w:tcPr>
          <w:p w14:paraId="579AECDA"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356" w:type="pct"/>
            <w:vAlign w:val="center"/>
          </w:tcPr>
          <w:p w14:paraId="6D7D51D1"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阔叶林</w:t>
            </w:r>
          </w:p>
        </w:tc>
        <w:tc>
          <w:tcPr>
            <w:tcW w:w="579" w:type="pct"/>
            <w:vAlign w:val="center"/>
          </w:tcPr>
          <w:p w14:paraId="7BB8AAF8"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lang w:eastAsia="zh-CN"/>
              </w:rPr>
              <w:t>亚热带</w:t>
            </w:r>
            <w:r w:rsidRPr="00092862">
              <w:rPr>
                <w:rFonts w:ascii="Times New Roman" w:eastAsia="宋体" w:hAnsi="Times New Roman" w:cs="Times New Roman"/>
                <w:color w:val="000000" w:themeColor="text1"/>
                <w:spacing w:val="-4"/>
                <w:szCs w:val="21"/>
              </w:rPr>
              <w:t>落叶阔叶林</w:t>
            </w:r>
          </w:p>
        </w:tc>
        <w:tc>
          <w:tcPr>
            <w:tcW w:w="1134" w:type="pct"/>
            <w:vAlign w:val="center"/>
          </w:tcPr>
          <w:p w14:paraId="7683E998" w14:textId="77777777" w:rsidR="00087418" w:rsidRPr="00092862" w:rsidRDefault="00087418" w:rsidP="00A75B69">
            <w:pPr>
              <w:widowControl/>
              <w:jc w:val="center"/>
              <w:textAlignment w:val="bottom"/>
              <w:rPr>
                <w:rFonts w:ascii="Times New Roman" w:eastAsia="宋体" w:hAnsi="Times New Roman" w:cs="Times New Roman"/>
                <w:color w:val="000000" w:themeColor="text1"/>
                <w:szCs w:val="21"/>
                <w:lang w:eastAsia="zh-CN"/>
              </w:rPr>
            </w:pPr>
            <w:r w:rsidRPr="00092862">
              <w:rPr>
                <w:rFonts w:ascii="Times New Roman" w:eastAsia="宋体" w:hAnsi="Times New Roman" w:cs="Times New Roman"/>
                <w:color w:val="000000" w:themeColor="text1"/>
                <w:spacing w:val="15"/>
                <w:szCs w:val="21"/>
                <w:lang w:eastAsia="zh-CN"/>
              </w:rPr>
              <w:t>麻栎、青冈</w:t>
            </w:r>
            <w:r w:rsidRPr="00092862">
              <w:rPr>
                <w:rFonts w:ascii="Times New Roman" w:eastAsia="宋体" w:hAnsi="Times New Roman" w:cs="Times New Roman"/>
                <w:color w:val="000000" w:themeColor="text1"/>
                <w:spacing w:val="-3"/>
                <w:szCs w:val="21"/>
              </w:rPr>
              <w:t>群</w:t>
            </w:r>
            <w:r w:rsidRPr="00092862">
              <w:rPr>
                <w:rFonts w:ascii="Times New Roman" w:eastAsia="宋体" w:hAnsi="Times New Roman" w:cs="Times New Roman"/>
                <w:color w:val="000000" w:themeColor="text1"/>
                <w:spacing w:val="-2"/>
                <w:szCs w:val="21"/>
              </w:rPr>
              <w:t>系</w:t>
            </w:r>
          </w:p>
        </w:tc>
        <w:tc>
          <w:tcPr>
            <w:tcW w:w="989" w:type="pct"/>
            <w:vAlign w:val="center"/>
          </w:tcPr>
          <w:p w14:paraId="3DA57603"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在评价区南侧及东北侧居民点周边有小范围成片分布</w:t>
            </w:r>
          </w:p>
        </w:tc>
        <w:tc>
          <w:tcPr>
            <w:tcW w:w="880" w:type="pct"/>
            <w:vAlign w:val="center"/>
          </w:tcPr>
          <w:p w14:paraId="0FAD2C6E" w14:textId="77777777" w:rsidR="00087418" w:rsidRPr="00092862" w:rsidRDefault="00087418" w:rsidP="00A75B69">
            <w:pPr>
              <w:spacing w:before="51" w:line="214" w:lineRule="auto"/>
              <w:jc w:val="center"/>
              <w:rPr>
                <w:rFonts w:ascii="Times New Roman" w:eastAsia="宋体" w:hAnsi="Times New Roman" w:cs="Times New Roman"/>
                <w:i/>
                <w:iCs/>
                <w:color w:val="000000" w:themeColor="text1"/>
                <w:spacing w:val="-4"/>
                <w:szCs w:val="21"/>
                <w:lang w:eastAsia="zh-CN"/>
              </w:rPr>
            </w:pPr>
          </w:p>
        </w:tc>
        <w:tc>
          <w:tcPr>
            <w:tcW w:w="807" w:type="pct"/>
            <w:vAlign w:val="center"/>
          </w:tcPr>
          <w:p w14:paraId="018E3B8D"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r>
      <w:tr w:rsidR="00697429" w:rsidRPr="00092862" w14:paraId="69239C35" w14:textId="77777777" w:rsidTr="00087418">
        <w:trPr>
          <w:trHeight w:val="90"/>
          <w:jc w:val="center"/>
        </w:trPr>
        <w:tc>
          <w:tcPr>
            <w:tcW w:w="255" w:type="pct"/>
            <w:vMerge/>
            <w:vAlign w:val="center"/>
          </w:tcPr>
          <w:p w14:paraId="3A39464E"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356" w:type="pct"/>
            <w:vMerge w:val="restart"/>
            <w:vAlign w:val="center"/>
          </w:tcPr>
          <w:p w14:paraId="424AFBD9"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灌丛和灌</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color w:val="000000" w:themeColor="text1"/>
                <w:spacing w:val="-4"/>
                <w:szCs w:val="21"/>
              </w:rPr>
              <w:t>草丛</w:t>
            </w:r>
          </w:p>
        </w:tc>
        <w:tc>
          <w:tcPr>
            <w:tcW w:w="579" w:type="pct"/>
            <w:vMerge w:val="restart"/>
            <w:vAlign w:val="center"/>
          </w:tcPr>
          <w:p w14:paraId="51AC81AF"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rPr>
              <w:t>阔叶灌丛</w:t>
            </w:r>
          </w:p>
        </w:tc>
        <w:tc>
          <w:tcPr>
            <w:tcW w:w="1134" w:type="pct"/>
            <w:vAlign w:val="center"/>
          </w:tcPr>
          <w:p w14:paraId="61F7E5D9"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zCs w:val="21"/>
                <w:lang w:eastAsia="zh-CN"/>
              </w:rPr>
            </w:pPr>
            <w:r w:rsidRPr="00092862">
              <w:rPr>
                <w:rFonts w:ascii="Times New Roman" w:eastAsia="宋体" w:hAnsi="Times New Roman" w:cs="Times New Roman"/>
                <w:color w:val="000000" w:themeColor="text1"/>
                <w:spacing w:val="15"/>
                <w:szCs w:val="21"/>
                <w:lang w:eastAsia="zh-CN"/>
              </w:rPr>
              <w:t>野桐、盐肤木灌丛灌丛</w:t>
            </w:r>
          </w:p>
        </w:tc>
        <w:tc>
          <w:tcPr>
            <w:tcW w:w="989" w:type="pct"/>
            <w:vMerge w:val="restart"/>
            <w:vAlign w:val="center"/>
          </w:tcPr>
          <w:p w14:paraId="7E399669"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r w:rsidRPr="00092862">
              <w:rPr>
                <w:rFonts w:ascii="Times New Roman" w:eastAsia="宋体" w:hAnsi="Times New Roman" w:cs="Times New Roman"/>
                <w:bCs/>
                <w:color w:val="000000" w:themeColor="text1"/>
                <w:kern w:val="0"/>
                <w:szCs w:val="21"/>
                <w:lang w:eastAsia="zh-CN"/>
              </w:rPr>
              <w:t>主要分布在林下、林缘、山脚、路边、农田两旁</w:t>
            </w:r>
          </w:p>
        </w:tc>
        <w:tc>
          <w:tcPr>
            <w:tcW w:w="880" w:type="pct"/>
            <w:vMerge w:val="restart"/>
            <w:vAlign w:val="center"/>
          </w:tcPr>
          <w:p w14:paraId="024C3F85"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lang w:eastAsia="zh-CN"/>
              </w:rPr>
              <w:t xml:space="preserve">0.28 </w:t>
            </w:r>
          </w:p>
        </w:tc>
        <w:tc>
          <w:tcPr>
            <w:tcW w:w="807" w:type="pct"/>
            <w:vMerge w:val="restart"/>
            <w:vAlign w:val="center"/>
          </w:tcPr>
          <w:p w14:paraId="422D9115"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lang w:eastAsia="zh-CN"/>
              </w:rPr>
              <w:t xml:space="preserve">10.26 </w:t>
            </w:r>
          </w:p>
        </w:tc>
      </w:tr>
      <w:tr w:rsidR="00697429" w:rsidRPr="00092862" w14:paraId="0511615D" w14:textId="77777777" w:rsidTr="00087418">
        <w:trPr>
          <w:trHeight w:val="542"/>
          <w:jc w:val="center"/>
        </w:trPr>
        <w:tc>
          <w:tcPr>
            <w:tcW w:w="255" w:type="pct"/>
            <w:vMerge/>
            <w:vAlign w:val="center"/>
          </w:tcPr>
          <w:p w14:paraId="162C9C56"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356" w:type="pct"/>
            <w:vMerge/>
            <w:vAlign w:val="center"/>
          </w:tcPr>
          <w:p w14:paraId="4876451E"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579" w:type="pct"/>
            <w:vMerge/>
            <w:vAlign w:val="center"/>
          </w:tcPr>
          <w:p w14:paraId="7C465A60"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1134" w:type="pct"/>
            <w:vAlign w:val="center"/>
          </w:tcPr>
          <w:p w14:paraId="320603D8"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kern w:val="0"/>
                <w:szCs w:val="21"/>
                <w:lang w:eastAsia="zh-CN" w:bidi="ar"/>
              </w:rPr>
            </w:pPr>
            <w:r w:rsidRPr="00092862">
              <w:rPr>
                <w:rFonts w:ascii="Times New Roman" w:eastAsia="宋体" w:hAnsi="Times New Roman" w:cs="Times New Roman"/>
                <w:color w:val="000000" w:themeColor="text1"/>
                <w:spacing w:val="15"/>
                <w:szCs w:val="21"/>
                <w:lang w:eastAsia="zh-CN"/>
              </w:rPr>
              <w:t>马桑、黄荆、火棘、荚蒾灌丛群系</w:t>
            </w:r>
          </w:p>
        </w:tc>
        <w:tc>
          <w:tcPr>
            <w:tcW w:w="989" w:type="pct"/>
            <w:vMerge/>
            <w:vAlign w:val="center"/>
          </w:tcPr>
          <w:p w14:paraId="2BCE4FC2" w14:textId="77777777" w:rsidR="00087418" w:rsidRPr="00092862" w:rsidRDefault="00087418" w:rsidP="00A75B69">
            <w:pPr>
              <w:adjustRightInd w:val="0"/>
              <w:jc w:val="center"/>
              <w:textAlignment w:val="baseline"/>
              <w:rPr>
                <w:rFonts w:ascii="Times New Roman" w:eastAsia="宋体" w:hAnsi="Times New Roman" w:cs="Times New Roman"/>
                <w:bCs/>
                <w:color w:val="000000" w:themeColor="text1"/>
                <w:kern w:val="0"/>
                <w:szCs w:val="21"/>
                <w:lang w:eastAsia="zh-CN"/>
              </w:rPr>
            </w:pPr>
          </w:p>
        </w:tc>
        <w:tc>
          <w:tcPr>
            <w:tcW w:w="880" w:type="pct"/>
            <w:vMerge/>
            <w:vAlign w:val="center"/>
          </w:tcPr>
          <w:p w14:paraId="24D69A99"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p>
        </w:tc>
        <w:tc>
          <w:tcPr>
            <w:tcW w:w="807" w:type="pct"/>
            <w:vMerge/>
            <w:vAlign w:val="center"/>
          </w:tcPr>
          <w:p w14:paraId="57F5A03E"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p>
        </w:tc>
      </w:tr>
      <w:tr w:rsidR="00697429" w:rsidRPr="00092862" w14:paraId="0B599EAD" w14:textId="77777777" w:rsidTr="00087418">
        <w:trPr>
          <w:trHeight w:val="370"/>
          <w:jc w:val="center"/>
        </w:trPr>
        <w:tc>
          <w:tcPr>
            <w:tcW w:w="255" w:type="pct"/>
            <w:vMerge/>
            <w:vAlign w:val="center"/>
          </w:tcPr>
          <w:p w14:paraId="06D0E369"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356" w:type="pct"/>
            <w:vMerge/>
            <w:vAlign w:val="center"/>
          </w:tcPr>
          <w:p w14:paraId="16B0F695"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579" w:type="pct"/>
            <w:vMerge w:val="restart"/>
            <w:vAlign w:val="center"/>
          </w:tcPr>
          <w:p w14:paraId="1DF077E4"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r w:rsidRPr="00092862">
              <w:rPr>
                <w:rFonts w:ascii="Times New Roman" w:eastAsia="宋体" w:hAnsi="Times New Roman" w:cs="Times New Roman"/>
                <w:color w:val="000000" w:themeColor="text1"/>
                <w:spacing w:val="-4"/>
                <w:szCs w:val="21"/>
                <w:lang w:eastAsia="zh-CN"/>
              </w:rPr>
              <w:t>山地</w:t>
            </w:r>
            <w:r w:rsidRPr="00092862">
              <w:rPr>
                <w:rFonts w:ascii="Times New Roman" w:eastAsia="宋体" w:hAnsi="Times New Roman" w:cs="Times New Roman"/>
                <w:color w:val="000000" w:themeColor="text1"/>
                <w:spacing w:val="-4"/>
                <w:szCs w:val="21"/>
              </w:rPr>
              <w:t>草丛</w:t>
            </w:r>
          </w:p>
        </w:tc>
        <w:tc>
          <w:tcPr>
            <w:tcW w:w="1134" w:type="pct"/>
            <w:vAlign w:val="center"/>
          </w:tcPr>
          <w:p w14:paraId="2D341D6D"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4"/>
                <w:szCs w:val="21"/>
                <w:lang w:eastAsia="zh-CN"/>
              </w:rPr>
            </w:pPr>
            <w:r w:rsidRPr="00092862">
              <w:rPr>
                <w:rFonts w:ascii="Times New Roman" w:eastAsia="宋体" w:hAnsi="Times New Roman" w:cs="Times New Roman"/>
                <w:bCs/>
                <w:color w:val="000000" w:themeColor="text1"/>
                <w:kern w:val="0"/>
                <w:szCs w:val="21"/>
                <w:lang w:eastAsia="zh-CN"/>
              </w:rPr>
              <w:t>芒、</w:t>
            </w:r>
            <w:r w:rsidRPr="00092862">
              <w:rPr>
                <w:rFonts w:ascii="Times New Roman" w:eastAsia="宋体" w:hAnsi="Times New Roman" w:cs="Times New Roman"/>
                <w:color w:val="000000" w:themeColor="text1"/>
                <w:spacing w:val="-4"/>
                <w:szCs w:val="21"/>
                <w:lang w:eastAsia="zh-CN"/>
              </w:rPr>
              <w:t>白茅草丛</w:t>
            </w:r>
            <w:r w:rsidRPr="00092862">
              <w:rPr>
                <w:rFonts w:ascii="Times New Roman" w:eastAsia="宋体" w:hAnsi="Times New Roman" w:cs="Times New Roman"/>
                <w:bCs/>
                <w:color w:val="000000" w:themeColor="text1"/>
                <w:kern w:val="0"/>
                <w:szCs w:val="21"/>
                <w:lang w:eastAsia="zh-CN"/>
              </w:rPr>
              <w:t>群系</w:t>
            </w:r>
          </w:p>
        </w:tc>
        <w:tc>
          <w:tcPr>
            <w:tcW w:w="989" w:type="pct"/>
            <w:vMerge/>
            <w:vAlign w:val="center"/>
          </w:tcPr>
          <w:p w14:paraId="4359AFE5"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lang w:eastAsia="zh-CN"/>
              </w:rPr>
            </w:pPr>
          </w:p>
        </w:tc>
        <w:tc>
          <w:tcPr>
            <w:tcW w:w="880" w:type="pct"/>
            <w:vMerge w:val="restart"/>
            <w:vAlign w:val="center"/>
          </w:tcPr>
          <w:p w14:paraId="62BDC11A"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lang w:eastAsia="zh-CN"/>
              </w:rPr>
              <w:t xml:space="preserve">0.62 </w:t>
            </w:r>
          </w:p>
        </w:tc>
        <w:tc>
          <w:tcPr>
            <w:tcW w:w="807" w:type="pct"/>
            <w:vMerge w:val="restart"/>
            <w:vAlign w:val="center"/>
          </w:tcPr>
          <w:p w14:paraId="24A5E547"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15"/>
                <w:szCs w:val="21"/>
                <w:lang w:eastAsia="zh-CN"/>
              </w:rPr>
            </w:pPr>
            <w:r w:rsidRPr="00092862">
              <w:rPr>
                <w:rFonts w:ascii="Times New Roman" w:eastAsia="宋体" w:hAnsi="Times New Roman" w:cs="Times New Roman"/>
                <w:color w:val="000000" w:themeColor="text1"/>
                <w:spacing w:val="15"/>
                <w:szCs w:val="21"/>
                <w:lang w:eastAsia="zh-CN"/>
              </w:rPr>
              <w:t xml:space="preserve">22.34 </w:t>
            </w:r>
          </w:p>
        </w:tc>
      </w:tr>
      <w:tr w:rsidR="00697429" w:rsidRPr="00092862" w14:paraId="4BD1155F" w14:textId="77777777" w:rsidTr="00087418">
        <w:trPr>
          <w:trHeight w:val="404"/>
          <w:jc w:val="center"/>
        </w:trPr>
        <w:tc>
          <w:tcPr>
            <w:tcW w:w="255" w:type="pct"/>
            <w:vMerge/>
            <w:vAlign w:val="center"/>
          </w:tcPr>
          <w:p w14:paraId="08290A13"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356" w:type="pct"/>
            <w:vMerge/>
            <w:vAlign w:val="center"/>
          </w:tcPr>
          <w:p w14:paraId="2974295C"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579" w:type="pct"/>
            <w:vMerge/>
            <w:vAlign w:val="center"/>
          </w:tcPr>
          <w:p w14:paraId="68637993"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4"/>
                <w:szCs w:val="21"/>
              </w:rPr>
            </w:pPr>
          </w:p>
        </w:tc>
        <w:tc>
          <w:tcPr>
            <w:tcW w:w="1134" w:type="pct"/>
            <w:vAlign w:val="center"/>
          </w:tcPr>
          <w:p w14:paraId="4B3BDD5C" w14:textId="77777777" w:rsidR="00087418" w:rsidRPr="00092862" w:rsidRDefault="00087418" w:rsidP="00A75B69">
            <w:pPr>
              <w:adjustRightInd w:val="0"/>
              <w:jc w:val="center"/>
              <w:textAlignment w:val="baseline"/>
              <w:rPr>
                <w:rFonts w:ascii="Times New Roman" w:eastAsia="宋体" w:hAnsi="Times New Roman" w:cs="Times New Roman"/>
                <w:color w:val="000000" w:themeColor="text1"/>
                <w:spacing w:val="-4"/>
                <w:szCs w:val="21"/>
                <w:lang w:eastAsia="zh-CN"/>
              </w:rPr>
            </w:pPr>
            <w:r w:rsidRPr="00092862">
              <w:rPr>
                <w:rFonts w:ascii="Times New Roman" w:eastAsia="宋体" w:hAnsi="Times New Roman" w:cs="Times New Roman"/>
                <w:bCs/>
                <w:color w:val="000000" w:themeColor="text1"/>
                <w:kern w:val="0"/>
                <w:szCs w:val="21"/>
                <w:lang w:eastAsia="zh-CN"/>
              </w:rPr>
              <w:t>蕨、芒萁群系</w:t>
            </w:r>
          </w:p>
        </w:tc>
        <w:tc>
          <w:tcPr>
            <w:tcW w:w="989" w:type="pct"/>
            <w:vMerge/>
            <w:vAlign w:val="center"/>
          </w:tcPr>
          <w:p w14:paraId="52A7EDE9" w14:textId="77777777" w:rsidR="00087418" w:rsidRPr="00092862" w:rsidRDefault="00087418" w:rsidP="00A75B69">
            <w:pPr>
              <w:spacing w:before="51" w:line="214" w:lineRule="auto"/>
              <w:jc w:val="center"/>
              <w:rPr>
                <w:rFonts w:ascii="Times New Roman" w:eastAsia="宋体" w:hAnsi="Times New Roman" w:cs="Times New Roman"/>
                <w:i/>
                <w:iCs/>
                <w:color w:val="000000" w:themeColor="text1"/>
                <w:spacing w:val="-4"/>
                <w:szCs w:val="21"/>
                <w:lang w:eastAsia="zh-CN"/>
              </w:rPr>
            </w:pPr>
          </w:p>
        </w:tc>
        <w:tc>
          <w:tcPr>
            <w:tcW w:w="880" w:type="pct"/>
            <w:vMerge/>
            <w:vAlign w:val="center"/>
          </w:tcPr>
          <w:p w14:paraId="0F5ED52B"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15"/>
                <w:szCs w:val="21"/>
                <w:lang w:eastAsia="zh-CN"/>
              </w:rPr>
            </w:pPr>
          </w:p>
        </w:tc>
        <w:tc>
          <w:tcPr>
            <w:tcW w:w="807" w:type="pct"/>
            <w:vMerge/>
            <w:vAlign w:val="center"/>
          </w:tcPr>
          <w:p w14:paraId="44249E13" w14:textId="77777777" w:rsidR="00087418" w:rsidRPr="00092862" w:rsidRDefault="00087418" w:rsidP="00A75B69">
            <w:pPr>
              <w:spacing w:before="51" w:line="214" w:lineRule="auto"/>
              <w:jc w:val="center"/>
              <w:rPr>
                <w:rFonts w:ascii="Times New Roman" w:eastAsia="宋体" w:hAnsi="Times New Roman" w:cs="Times New Roman"/>
                <w:color w:val="000000" w:themeColor="text1"/>
                <w:spacing w:val="15"/>
                <w:szCs w:val="21"/>
                <w:lang w:eastAsia="zh-CN"/>
              </w:rPr>
            </w:pPr>
          </w:p>
        </w:tc>
      </w:tr>
    </w:tbl>
    <w:p w14:paraId="168586CD" w14:textId="77777777" w:rsidR="00087418" w:rsidRPr="00092862" w:rsidRDefault="00087418" w:rsidP="00087418">
      <w:pPr>
        <w:spacing w:beforeLines="50" w:before="120"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Ⅰ</w:t>
      </w:r>
      <w:r w:rsidRPr="00092862">
        <w:rPr>
          <w:rFonts w:ascii="Times New Roman" w:eastAsia="宋体" w:hAnsi="Times New Roman" w:cs="Times New Roman"/>
          <w:b/>
          <w:color w:val="000000" w:themeColor="text1"/>
          <w:sz w:val="24"/>
          <w:szCs w:val="24"/>
        </w:rPr>
        <w:t>森林植被</w:t>
      </w:r>
    </w:p>
    <w:p w14:paraId="1B9126FD" w14:textId="77777777" w:rsidR="00087418" w:rsidRPr="00092862" w:rsidRDefault="00087418" w:rsidP="00092862">
      <w:pPr>
        <w:spacing w:line="360" w:lineRule="auto"/>
        <w:ind w:left="52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pacing w:val="15"/>
          <w:sz w:val="24"/>
          <w:szCs w:val="24"/>
        </w:rPr>
        <w:t>①</w:t>
      </w:r>
      <w:r w:rsidRPr="00092862">
        <w:rPr>
          <w:rFonts w:ascii="Times New Roman" w:eastAsia="宋体" w:hAnsi="Times New Roman" w:cs="Times New Roman"/>
          <w:color w:val="000000" w:themeColor="text1"/>
          <w:spacing w:val="9"/>
          <w:sz w:val="24"/>
          <w:szCs w:val="24"/>
        </w:rPr>
        <w:t>马尾松群系</w:t>
      </w:r>
      <w:r w:rsidRPr="00092862">
        <w:rPr>
          <w:rFonts w:ascii="Times New Roman" w:eastAsia="宋体" w:hAnsi="Times New Roman" w:cs="Times New Roman"/>
          <w:color w:val="000000" w:themeColor="text1"/>
          <w:spacing w:val="9"/>
          <w:sz w:val="24"/>
          <w:szCs w:val="24"/>
        </w:rPr>
        <w:t>(</w:t>
      </w:r>
      <w:r w:rsidRPr="00092862">
        <w:rPr>
          <w:rFonts w:ascii="Times New Roman" w:eastAsia="Times New Roman" w:hAnsi="Times New Roman" w:cs="Times New Roman"/>
          <w:color w:val="000000" w:themeColor="text1"/>
          <w:sz w:val="24"/>
          <w:szCs w:val="24"/>
        </w:rPr>
        <w:t>Form</w:t>
      </w:r>
      <w:r w:rsidRPr="00092862">
        <w:rPr>
          <w:rFonts w:ascii="Times New Roman" w:eastAsia="Times New Roman" w:hAnsi="Times New Roman" w:cs="Times New Roman"/>
          <w:color w:val="000000" w:themeColor="text1"/>
          <w:spacing w:val="9"/>
          <w:sz w:val="24"/>
          <w:szCs w:val="24"/>
        </w:rPr>
        <w:t>.</w:t>
      </w:r>
      <w:r w:rsidRPr="00092862">
        <w:rPr>
          <w:rFonts w:ascii="Times New Roman" w:eastAsia="宋体" w:hAnsi="Times New Roman" w:cs="Times New Roman"/>
          <w:color w:val="000000" w:themeColor="text1"/>
          <w:spacing w:val="9"/>
          <w:sz w:val="24"/>
          <w:szCs w:val="24"/>
        </w:rPr>
        <w:t xml:space="preserve"> </w:t>
      </w:r>
      <w:r w:rsidRPr="00092862">
        <w:rPr>
          <w:rFonts w:ascii="Times New Roman" w:eastAsia="Times New Roman" w:hAnsi="Times New Roman" w:cs="Times New Roman"/>
          <w:i/>
          <w:iCs/>
          <w:color w:val="000000" w:themeColor="text1"/>
          <w:sz w:val="24"/>
          <w:szCs w:val="24"/>
        </w:rPr>
        <w:t>P</w:t>
      </w:r>
      <w:r w:rsidRPr="00092862">
        <w:rPr>
          <w:rFonts w:ascii="Times New Roman" w:eastAsia="Times New Roman" w:hAnsi="Times New Roman" w:cs="Times New Roman"/>
          <w:i/>
          <w:iCs/>
          <w:color w:val="000000" w:themeColor="text1"/>
          <w:spacing w:val="9"/>
          <w:sz w:val="24"/>
          <w:szCs w:val="24"/>
        </w:rPr>
        <w:t>.</w:t>
      </w:r>
      <w:r w:rsidRPr="00092862">
        <w:rPr>
          <w:rFonts w:ascii="Times New Roman" w:eastAsia="Times New Roman" w:hAnsi="Times New Roman" w:cs="Times New Roman"/>
          <w:i/>
          <w:iCs/>
          <w:color w:val="000000" w:themeColor="text1"/>
          <w:sz w:val="24"/>
          <w:szCs w:val="24"/>
        </w:rPr>
        <w:t>massoniana</w:t>
      </w:r>
      <w:r w:rsidRPr="00092862">
        <w:rPr>
          <w:rFonts w:ascii="Times New Roman" w:eastAsia="宋体" w:hAnsi="Times New Roman" w:cs="Times New Roman"/>
          <w:color w:val="000000" w:themeColor="text1"/>
          <w:spacing w:val="9"/>
          <w:sz w:val="24"/>
          <w:szCs w:val="24"/>
        </w:rPr>
        <w:t>)</w:t>
      </w:r>
    </w:p>
    <w:p w14:paraId="2A917A73" w14:textId="77777777" w:rsidR="00087418" w:rsidRPr="00092862" w:rsidRDefault="00087418" w:rsidP="00092862">
      <w:pPr>
        <w:adjustRightInd w:val="0"/>
        <w:snapToGrid w:val="0"/>
        <w:spacing w:line="360" w:lineRule="auto"/>
        <w:ind w:firstLineChars="200" w:firstLine="464"/>
        <w:rPr>
          <w:rFonts w:ascii="Times New Roman" w:eastAsia="宋体" w:hAnsi="Times New Roman" w:cs="Times New Roman"/>
          <w:color w:val="000000" w:themeColor="text1"/>
          <w:spacing w:val="-9"/>
          <w:sz w:val="24"/>
          <w:szCs w:val="24"/>
        </w:rPr>
      </w:pPr>
      <w:r w:rsidRPr="00092862">
        <w:rPr>
          <w:rFonts w:ascii="Times New Roman" w:eastAsia="宋体" w:hAnsi="Times New Roman" w:cs="Times New Roman"/>
          <w:color w:val="000000" w:themeColor="text1"/>
          <w:spacing w:val="-8"/>
          <w:sz w:val="24"/>
          <w:szCs w:val="24"/>
        </w:rPr>
        <w:t>评</w:t>
      </w:r>
      <w:r w:rsidRPr="00092862">
        <w:rPr>
          <w:rFonts w:ascii="Times New Roman" w:eastAsia="宋体" w:hAnsi="Times New Roman" w:cs="Times New Roman"/>
          <w:color w:val="000000" w:themeColor="text1"/>
          <w:spacing w:val="-4"/>
          <w:sz w:val="24"/>
          <w:szCs w:val="24"/>
        </w:rPr>
        <w:t>价区的</w:t>
      </w:r>
      <w:r w:rsidRPr="00092862">
        <w:rPr>
          <w:rFonts w:ascii="Times New Roman" w:eastAsia="宋体" w:hAnsi="Times New Roman" w:cs="Times New Roman"/>
          <w:color w:val="000000" w:themeColor="text1"/>
          <w:sz w:val="24"/>
          <w:szCs w:val="24"/>
        </w:rPr>
        <w:t>马尾</w:t>
      </w:r>
      <w:r w:rsidRPr="00092862">
        <w:rPr>
          <w:rFonts w:ascii="Times New Roman" w:eastAsia="宋体" w:hAnsi="Times New Roman" w:cs="Times New Roman"/>
          <w:color w:val="000000" w:themeColor="text1"/>
          <w:spacing w:val="-4"/>
          <w:sz w:val="24"/>
          <w:szCs w:val="24"/>
        </w:rPr>
        <w:t>松林为人工起源，</w:t>
      </w:r>
      <w:r w:rsidRPr="00092862">
        <w:rPr>
          <w:rFonts w:ascii="Times New Roman" w:eastAsia="宋体" w:hAnsi="Times New Roman" w:cs="Times New Roman"/>
          <w:color w:val="000000" w:themeColor="text1"/>
          <w:sz w:val="24"/>
          <w:szCs w:val="24"/>
        </w:rPr>
        <w:t>马尾松是向阳、喜温暖的树种。多分布于酸性土上。</w:t>
      </w:r>
      <w:r w:rsidRPr="00092862">
        <w:rPr>
          <w:rFonts w:ascii="Times New Roman" w:eastAsia="宋体" w:hAnsi="Times New Roman" w:cs="Times New Roman"/>
          <w:color w:val="000000" w:themeColor="text1"/>
          <w:spacing w:val="-8"/>
          <w:sz w:val="24"/>
          <w:szCs w:val="24"/>
        </w:rPr>
        <w:t>评</w:t>
      </w:r>
      <w:r w:rsidRPr="00092862">
        <w:rPr>
          <w:rFonts w:ascii="Times New Roman" w:eastAsia="宋体" w:hAnsi="Times New Roman" w:cs="Times New Roman"/>
          <w:color w:val="000000" w:themeColor="text1"/>
          <w:spacing w:val="-4"/>
          <w:sz w:val="24"/>
          <w:szCs w:val="24"/>
        </w:rPr>
        <w:t>价区的</w:t>
      </w:r>
      <w:r w:rsidRPr="00092862">
        <w:rPr>
          <w:rFonts w:ascii="Times New Roman" w:eastAsia="宋体" w:hAnsi="Times New Roman" w:cs="Times New Roman"/>
          <w:color w:val="000000" w:themeColor="text1"/>
          <w:sz w:val="24"/>
          <w:szCs w:val="24"/>
        </w:rPr>
        <w:t>马尾</w:t>
      </w:r>
      <w:r w:rsidRPr="00092862">
        <w:rPr>
          <w:rFonts w:ascii="Times New Roman" w:eastAsia="宋体" w:hAnsi="Times New Roman" w:cs="Times New Roman"/>
          <w:color w:val="000000" w:themeColor="text1"/>
          <w:spacing w:val="-4"/>
          <w:sz w:val="24"/>
          <w:szCs w:val="24"/>
        </w:rPr>
        <w:t>松（</w:t>
      </w:r>
      <w:r w:rsidRPr="00092862">
        <w:rPr>
          <w:rFonts w:ascii="Times New Roman" w:eastAsia="宋体" w:hAnsi="Times New Roman" w:cs="Times New Roman"/>
          <w:i/>
          <w:iCs/>
          <w:color w:val="000000" w:themeColor="text1"/>
          <w:spacing w:val="-4"/>
          <w:sz w:val="24"/>
          <w:szCs w:val="24"/>
        </w:rPr>
        <w:t>P.massoniana</w:t>
      </w:r>
      <w:r w:rsidRPr="00092862">
        <w:rPr>
          <w:rFonts w:ascii="Times New Roman" w:eastAsia="宋体" w:hAnsi="Times New Roman" w:cs="Times New Roman"/>
          <w:color w:val="000000" w:themeColor="text1"/>
          <w:spacing w:val="-4"/>
          <w:sz w:val="24"/>
          <w:szCs w:val="24"/>
        </w:rPr>
        <w:t>）林为人工起源，</w:t>
      </w:r>
      <w:r w:rsidRPr="00092862">
        <w:rPr>
          <w:rFonts w:ascii="Times New Roman" w:eastAsia="宋体" w:hAnsi="Times New Roman" w:cs="Times New Roman"/>
          <w:color w:val="000000" w:themeColor="text1"/>
          <w:spacing w:val="3"/>
          <w:sz w:val="24"/>
          <w:szCs w:val="24"/>
        </w:rPr>
        <w:t>在评价区中北部广泛分布。</w:t>
      </w:r>
      <w:r w:rsidRPr="00092862">
        <w:rPr>
          <w:rFonts w:ascii="Times New Roman" w:eastAsia="宋体" w:hAnsi="Times New Roman" w:cs="Times New Roman"/>
          <w:color w:val="000000" w:themeColor="text1"/>
          <w:sz w:val="24"/>
          <w:szCs w:val="24"/>
        </w:rPr>
        <w:t>群落外貌翠绿色，林冠整齐。多为次生林或人工林。除部分幼林外，一般树龄差异大，树龄一般不超过</w:t>
      </w:r>
      <w:r w:rsidRPr="00092862">
        <w:rPr>
          <w:rFonts w:ascii="Times New Roman" w:eastAsia="宋体" w:hAnsi="Times New Roman" w:cs="Times New Roman"/>
          <w:color w:val="000000" w:themeColor="text1"/>
          <w:sz w:val="24"/>
          <w:szCs w:val="24"/>
        </w:rPr>
        <w:t>30</w:t>
      </w:r>
      <w:r w:rsidRPr="00092862">
        <w:rPr>
          <w:rFonts w:ascii="Times New Roman" w:eastAsia="宋体" w:hAnsi="Times New Roman" w:cs="Times New Roman"/>
          <w:color w:val="000000" w:themeColor="text1"/>
          <w:sz w:val="24"/>
          <w:szCs w:val="24"/>
        </w:rPr>
        <w:t>年。郁闭度</w:t>
      </w:r>
      <w:r w:rsidRPr="00092862">
        <w:rPr>
          <w:rFonts w:ascii="Times New Roman" w:eastAsia="宋体" w:hAnsi="Times New Roman" w:cs="Times New Roman"/>
          <w:color w:val="000000" w:themeColor="text1"/>
          <w:sz w:val="24"/>
          <w:szCs w:val="24"/>
        </w:rPr>
        <w:t>0.6~0.8</w:t>
      </w:r>
      <w:r w:rsidRPr="00092862">
        <w:rPr>
          <w:rFonts w:ascii="Times New Roman" w:eastAsia="宋体" w:hAnsi="Times New Roman" w:cs="Times New Roman"/>
          <w:color w:val="000000" w:themeColor="text1"/>
          <w:sz w:val="24"/>
          <w:szCs w:val="24"/>
        </w:rPr>
        <w:t>。株高</w:t>
      </w:r>
      <w:r w:rsidRPr="00092862">
        <w:rPr>
          <w:rFonts w:ascii="Times New Roman" w:eastAsia="宋体" w:hAnsi="Times New Roman" w:cs="Times New Roman"/>
          <w:color w:val="000000" w:themeColor="text1"/>
          <w:sz w:val="24"/>
          <w:szCs w:val="24"/>
        </w:rPr>
        <w:t>10m~20m</w:t>
      </w:r>
      <w:r w:rsidRPr="00092862">
        <w:rPr>
          <w:rFonts w:ascii="Times New Roman" w:eastAsia="宋体" w:hAnsi="Times New Roman" w:cs="Times New Roman"/>
          <w:color w:val="000000" w:themeColor="text1"/>
          <w:sz w:val="24"/>
          <w:szCs w:val="24"/>
        </w:rPr>
        <w:t>，胸径</w:t>
      </w:r>
      <w:r w:rsidRPr="00092862">
        <w:rPr>
          <w:rFonts w:ascii="Times New Roman" w:eastAsia="宋体" w:hAnsi="Times New Roman" w:cs="Times New Roman"/>
          <w:color w:val="000000" w:themeColor="text1"/>
          <w:sz w:val="24"/>
          <w:szCs w:val="24"/>
        </w:rPr>
        <w:t>6cm~30cm</w:t>
      </w:r>
      <w:r w:rsidRPr="00092862">
        <w:rPr>
          <w:rFonts w:ascii="Times New Roman" w:eastAsia="宋体" w:hAnsi="Times New Roman" w:cs="Times New Roman"/>
          <w:color w:val="000000" w:themeColor="text1"/>
          <w:sz w:val="24"/>
          <w:szCs w:val="24"/>
        </w:rPr>
        <w:t>左右</w:t>
      </w:r>
      <w:r w:rsidRPr="00092862">
        <w:rPr>
          <w:rFonts w:ascii="Times New Roman" w:eastAsia="宋体" w:hAnsi="Times New Roman" w:cs="Times New Roman"/>
          <w:color w:val="000000" w:themeColor="text1"/>
          <w:spacing w:val="-10"/>
          <w:sz w:val="24"/>
          <w:szCs w:val="24"/>
        </w:rPr>
        <w:t>。主要以马尾松纯林和马尾松、杉木混交林为主。乔灌层次分明，乔木层主要有马尾松、杉木</w:t>
      </w:r>
      <w:r w:rsidRPr="00092862">
        <w:rPr>
          <w:rFonts w:ascii="Times New Roman" w:eastAsia="宋体" w:hAnsi="Times New Roman" w:cs="Times New Roman"/>
          <w:color w:val="000000" w:themeColor="text1"/>
          <w:spacing w:val="-4"/>
          <w:sz w:val="24"/>
          <w:szCs w:val="24"/>
        </w:rPr>
        <w:t>、</w:t>
      </w:r>
      <w:r w:rsidRPr="00092862">
        <w:rPr>
          <w:rFonts w:ascii="Times New Roman" w:eastAsia="宋体" w:hAnsi="Times New Roman" w:cs="Times New Roman"/>
          <w:color w:val="000000" w:themeColor="text1"/>
          <w:spacing w:val="-3"/>
          <w:sz w:val="24"/>
          <w:szCs w:val="24"/>
        </w:rPr>
        <w:t>枫香、栓皮栎、麻栎等。灌木层种类较多，</w:t>
      </w:r>
      <w:r w:rsidRPr="00092862">
        <w:rPr>
          <w:rFonts w:ascii="Times New Roman" w:eastAsia="宋体" w:hAnsi="Times New Roman" w:cs="Times New Roman"/>
          <w:color w:val="000000" w:themeColor="text1"/>
          <w:spacing w:val="14"/>
          <w:sz w:val="24"/>
          <w:szCs w:val="24"/>
        </w:rPr>
        <w:t>常见</w:t>
      </w:r>
      <w:r w:rsidRPr="00092862">
        <w:rPr>
          <w:rFonts w:ascii="Times New Roman" w:eastAsia="宋体" w:hAnsi="Times New Roman" w:cs="Times New Roman"/>
          <w:color w:val="000000" w:themeColor="text1"/>
          <w:spacing w:val="12"/>
          <w:sz w:val="24"/>
          <w:szCs w:val="24"/>
        </w:rPr>
        <w:t>为</w:t>
      </w:r>
      <w:r w:rsidRPr="00092862">
        <w:rPr>
          <w:rFonts w:ascii="Times New Roman" w:eastAsia="宋体" w:hAnsi="Times New Roman" w:cs="Times New Roman"/>
          <w:color w:val="000000" w:themeColor="text1"/>
          <w:spacing w:val="7"/>
          <w:sz w:val="24"/>
          <w:szCs w:val="24"/>
        </w:rPr>
        <w:t>多种</w:t>
      </w:r>
      <w:r w:rsidRPr="00092862">
        <w:rPr>
          <w:rFonts w:ascii="Times New Roman" w:eastAsia="宋体" w:hAnsi="Times New Roman" w:cs="Times New Roman"/>
          <w:color w:val="000000" w:themeColor="text1"/>
          <w:spacing w:val="-5"/>
          <w:sz w:val="24"/>
          <w:szCs w:val="24"/>
        </w:rPr>
        <w:t>米饭花、映山红、米碎花、铁仔、</w:t>
      </w:r>
      <w:r w:rsidRPr="00092862">
        <w:rPr>
          <w:rFonts w:ascii="Times New Roman" w:eastAsia="宋体" w:hAnsi="Times New Roman" w:cs="Times New Roman"/>
          <w:color w:val="000000" w:themeColor="text1"/>
          <w:spacing w:val="7"/>
          <w:sz w:val="24"/>
          <w:szCs w:val="24"/>
        </w:rPr>
        <w:t>柃</w:t>
      </w:r>
      <w:r w:rsidRPr="00092862">
        <w:rPr>
          <w:rFonts w:ascii="Times New Roman" w:eastAsia="宋体" w:hAnsi="Times New Roman" w:cs="Times New Roman"/>
          <w:color w:val="000000" w:themeColor="text1"/>
          <w:sz w:val="24"/>
          <w:szCs w:val="24"/>
        </w:rPr>
        <w:t>木、杜鹃、鹅掌</w:t>
      </w:r>
      <w:r w:rsidRPr="00092862">
        <w:rPr>
          <w:rFonts w:ascii="Times New Roman" w:eastAsia="宋体" w:hAnsi="Times New Roman" w:cs="Times New Roman"/>
          <w:color w:val="000000" w:themeColor="text1"/>
          <w:spacing w:val="7"/>
          <w:sz w:val="24"/>
          <w:szCs w:val="24"/>
        </w:rPr>
        <w:t>柴、山矾</w:t>
      </w:r>
      <w:r w:rsidRPr="00092862">
        <w:rPr>
          <w:rFonts w:ascii="Times New Roman" w:eastAsia="宋体" w:hAnsi="Times New Roman" w:cs="Times New Roman"/>
          <w:color w:val="000000" w:themeColor="text1"/>
          <w:spacing w:val="7"/>
          <w:sz w:val="24"/>
          <w:szCs w:val="24"/>
        </w:rPr>
        <w:t>(</w:t>
      </w:r>
      <w:r w:rsidRPr="00092862">
        <w:rPr>
          <w:rFonts w:ascii="Times New Roman" w:eastAsia="Times New Roman" w:hAnsi="Times New Roman" w:cs="Times New Roman"/>
          <w:i/>
          <w:iCs/>
          <w:color w:val="000000" w:themeColor="text1"/>
          <w:sz w:val="24"/>
          <w:szCs w:val="24"/>
        </w:rPr>
        <w:t>Symplocos</w:t>
      </w:r>
      <w:r w:rsidRPr="00092862">
        <w:rPr>
          <w:rFonts w:ascii="Times New Roman" w:eastAsia="Times New Roman" w:hAnsi="Times New Roman" w:cs="Times New Roman"/>
          <w:color w:val="000000" w:themeColor="text1"/>
          <w:spacing w:val="7"/>
          <w:sz w:val="24"/>
          <w:szCs w:val="24"/>
        </w:rPr>
        <w:t xml:space="preserve"> </w:t>
      </w:r>
      <w:r w:rsidRPr="00092862">
        <w:rPr>
          <w:rFonts w:ascii="Times New Roman" w:eastAsia="Times New Roman" w:hAnsi="Times New Roman" w:cs="Times New Roman"/>
          <w:i/>
          <w:iCs/>
          <w:color w:val="000000" w:themeColor="text1"/>
          <w:sz w:val="24"/>
          <w:szCs w:val="24"/>
        </w:rPr>
        <w:t>spp</w:t>
      </w:r>
      <w:r w:rsidRPr="00092862">
        <w:rPr>
          <w:rFonts w:ascii="Times New Roman" w:eastAsia="Times New Roman" w:hAnsi="Times New Roman" w:cs="Times New Roman"/>
          <w:i/>
          <w:iCs/>
          <w:color w:val="000000" w:themeColor="text1"/>
          <w:spacing w:val="7"/>
          <w:sz w:val="24"/>
          <w:szCs w:val="24"/>
        </w:rPr>
        <w:t>.</w:t>
      </w:r>
      <w:r w:rsidRPr="00092862">
        <w:rPr>
          <w:rFonts w:ascii="Times New Roman" w:eastAsia="宋体" w:hAnsi="Times New Roman" w:cs="Times New Roman"/>
          <w:color w:val="000000" w:themeColor="text1"/>
          <w:spacing w:val="7"/>
          <w:sz w:val="24"/>
          <w:szCs w:val="24"/>
        </w:rPr>
        <w:t>)</w:t>
      </w:r>
      <w:r w:rsidRPr="00092862">
        <w:rPr>
          <w:rFonts w:ascii="Times New Roman" w:eastAsia="宋体" w:hAnsi="Times New Roman" w:cs="Times New Roman"/>
          <w:color w:val="000000" w:themeColor="text1"/>
          <w:spacing w:val="7"/>
          <w:sz w:val="24"/>
          <w:szCs w:val="24"/>
        </w:rPr>
        <w:t>、木莓、川莓、悬钩子</w:t>
      </w:r>
      <w:r w:rsidRPr="00092862">
        <w:rPr>
          <w:rFonts w:ascii="Times New Roman" w:eastAsia="宋体" w:hAnsi="Times New Roman" w:cs="Times New Roman"/>
          <w:color w:val="000000" w:themeColor="text1"/>
          <w:spacing w:val="30"/>
          <w:sz w:val="24"/>
          <w:szCs w:val="24"/>
        </w:rPr>
        <w:t>(</w:t>
      </w:r>
      <w:r w:rsidRPr="00092862">
        <w:rPr>
          <w:rFonts w:ascii="Times New Roman" w:eastAsia="Times New Roman" w:hAnsi="Times New Roman" w:cs="Times New Roman"/>
          <w:i/>
          <w:iCs/>
          <w:color w:val="000000" w:themeColor="text1"/>
          <w:sz w:val="24"/>
          <w:szCs w:val="24"/>
        </w:rPr>
        <w:t>Rubus</w:t>
      </w:r>
      <w:r w:rsidRPr="00092862">
        <w:rPr>
          <w:rFonts w:ascii="Times New Roman" w:eastAsia="Times New Roman" w:hAnsi="Times New Roman" w:cs="Times New Roman"/>
          <w:color w:val="000000" w:themeColor="text1"/>
          <w:spacing w:val="17"/>
          <w:sz w:val="24"/>
          <w:szCs w:val="24"/>
        </w:rPr>
        <w:t xml:space="preserve"> </w:t>
      </w:r>
      <w:r w:rsidRPr="00092862">
        <w:rPr>
          <w:rFonts w:ascii="Times New Roman" w:eastAsia="Times New Roman" w:hAnsi="Times New Roman" w:cs="Times New Roman"/>
          <w:i/>
          <w:iCs/>
          <w:color w:val="000000" w:themeColor="text1"/>
          <w:sz w:val="24"/>
          <w:szCs w:val="24"/>
        </w:rPr>
        <w:t>spp</w:t>
      </w:r>
      <w:r w:rsidRPr="00092862">
        <w:rPr>
          <w:rFonts w:ascii="Times New Roman" w:eastAsia="宋体" w:hAnsi="Times New Roman" w:cs="Times New Roman"/>
          <w:color w:val="000000" w:themeColor="text1"/>
          <w:spacing w:val="15"/>
          <w:sz w:val="24"/>
          <w:szCs w:val="24"/>
        </w:rPr>
        <w:t>)</w:t>
      </w:r>
      <w:r w:rsidRPr="00092862">
        <w:rPr>
          <w:rFonts w:ascii="Times New Roman" w:eastAsia="宋体" w:hAnsi="Times New Roman" w:cs="Times New Roman"/>
          <w:color w:val="000000" w:themeColor="text1"/>
          <w:spacing w:val="15"/>
          <w:sz w:val="24"/>
          <w:szCs w:val="24"/>
        </w:rPr>
        <w:t>、火棘、马桑等。草本层主要有芒萁</w:t>
      </w:r>
      <w:r w:rsidRPr="00092862">
        <w:rPr>
          <w:rFonts w:ascii="Times New Roman" w:eastAsia="宋体" w:hAnsi="Times New Roman" w:cs="Times New Roman"/>
          <w:color w:val="000000" w:themeColor="text1"/>
          <w:spacing w:val="15"/>
          <w:sz w:val="24"/>
          <w:szCs w:val="24"/>
        </w:rPr>
        <w:t>(</w:t>
      </w:r>
      <w:r w:rsidRPr="00092862">
        <w:rPr>
          <w:rFonts w:ascii="Times New Roman" w:eastAsia="Times New Roman" w:hAnsi="Times New Roman" w:cs="Times New Roman"/>
          <w:i/>
          <w:iCs/>
          <w:color w:val="000000" w:themeColor="text1"/>
          <w:sz w:val="24"/>
          <w:szCs w:val="24"/>
        </w:rPr>
        <w:t>Dicranopteris</w:t>
      </w:r>
      <w:r w:rsidRPr="00092862">
        <w:rPr>
          <w:rFonts w:ascii="Times New Roman" w:eastAsia="Times New Roman" w:hAnsi="Times New Roman" w:cs="Times New Roman"/>
          <w:color w:val="000000" w:themeColor="text1"/>
          <w:spacing w:val="15"/>
          <w:sz w:val="24"/>
          <w:szCs w:val="24"/>
        </w:rPr>
        <w:t xml:space="preserve"> </w:t>
      </w:r>
      <w:r w:rsidRPr="00092862">
        <w:rPr>
          <w:rFonts w:ascii="Times New Roman" w:eastAsia="Times New Roman" w:hAnsi="Times New Roman" w:cs="Times New Roman"/>
          <w:i/>
          <w:iCs/>
          <w:color w:val="000000" w:themeColor="text1"/>
          <w:sz w:val="24"/>
          <w:szCs w:val="24"/>
        </w:rPr>
        <w:t>dichotoma</w:t>
      </w:r>
      <w:r w:rsidRPr="00092862">
        <w:rPr>
          <w:rFonts w:ascii="Times New Roman" w:eastAsia="宋体" w:hAnsi="Times New Roman" w:cs="Times New Roman"/>
          <w:color w:val="000000" w:themeColor="text1"/>
          <w:spacing w:val="15"/>
          <w:sz w:val="24"/>
          <w:szCs w:val="24"/>
        </w:rPr>
        <w:t>)</w:t>
      </w:r>
      <w:r w:rsidRPr="00092862">
        <w:rPr>
          <w:rFonts w:ascii="Times New Roman" w:eastAsia="宋体" w:hAnsi="Times New Roman" w:cs="Times New Roman"/>
          <w:color w:val="000000" w:themeColor="text1"/>
          <w:spacing w:val="15"/>
          <w:sz w:val="24"/>
          <w:szCs w:val="24"/>
        </w:rPr>
        <w:t>、</w:t>
      </w:r>
      <w:r w:rsidRPr="00092862">
        <w:rPr>
          <w:rFonts w:ascii="Times New Roman" w:eastAsia="宋体" w:hAnsi="Times New Roman" w:cs="Times New Roman"/>
          <w:color w:val="000000" w:themeColor="text1"/>
          <w:spacing w:val="27"/>
          <w:sz w:val="24"/>
          <w:szCs w:val="24"/>
        </w:rPr>
        <w:t>芒</w:t>
      </w:r>
      <w:r w:rsidRPr="00092862">
        <w:rPr>
          <w:rFonts w:ascii="Times New Roman" w:eastAsia="宋体" w:hAnsi="Times New Roman" w:cs="Times New Roman"/>
          <w:color w:val="000000" w:themeColor="text1"/>
          <w:spacing w:val="24"/>
          <w:sz w:val="24"/>
          <w:szCs w:val="24"/>
        </w:rPr>
        <w:t>、苔草、麦冬</w:t>
      </w:r>
      <w:r w:rsidRPr="00092862">
        <w:rPr>
          <w:rFonts w:ascii="Times New Roman" w:eastAsia="宋体" w:hAnsi="Times New Roman" w:cs="Times New Roman"/>
          <w:color w:val="000000" w:themeColor="text1"/>
          <w:spacing w:val="24"/>
          <w:sz w:val="24"/>
          <w:szCs w:val="24"/>
        </w:rPr>
        <w:t>(</w:t>
      </w:r>
      <w:r w:rsidRPr="00092862">
        <w:rPr>
          <w:rFonts w:ascii="Times New Roman" w:eastAsia="宋体" w:hAnsi="Times New Roman" w:cs="Times New Roman"/>
          <w:color w:val="000000" w:themeColor="text1"/>
          <w:sz w:val="24"/>
          <w:szCs w:val="24"/>
        </w:rPr>
        <w:t xml:space="preserve">Ophiopogon </w:t>
      </w:r>
      <w:r w:rsidRPr="00092862">
        <w:rPr>
          <w:rFonts w:ascii="Times New Roman" w:eastAsia="Times New Roman" w:hAnsi="Times New Roman" w:cs="Times New Roman"/>
          <w:i/>
          <w:iCs/>
          <w:color w:val="000000" w:themeColor="text1"/>
          <w:sz w:val="24"/>
          <w:szCs w:val="24"/>
        </w:rPr>
        <w:t>japonicus</w:t>
      </w:r>
      <w:r w:rsidRPr="00092862">
        <w:rPr>
          <w:rFonts w:ascii="Times New Roman" w:eastAsia="宋体" w:hAnsi="Times New Roman" w:cs="Times New Roman"/>
          <w:color w:val="000000" w:themeColor="text1"/>
          <w:spacing w:val="24"/>
          <w:sz w:val="24"/>
          <w:szCs w:val="24"/>
        </w:rPr>
        <w:t>)</w:t>
      </w:r>
      <w:r w:rsidRPr="00092862">
        <w:rPr>
          <w:rFonts w:ascii="Times New Roman" w:eastAsia="宋体" w:hAnsi="Times New Roman" w:cs="Times New Roman"/>
          <w:color w:val="000000" w:themeColor="text1"/>
          <w:spacing w:val="24"/>
          <w:sz w:val="24"/>
          <w:szCs w:val="24"/>
        </w:rPr>
        <w:t>、翠云草</w:t>
      </w:r>
      <w:r w:rsidRPr="00092862">
        <w:rPr>
          <w:rFonts w:ascii="Times New Roman" w:eastAsia="宋体" w:hAnsi="Times New Roman" w:cs="Times New Roman"/>
          <w:color w:val="000000" w:themeColor="text1"/>
          <w:spacing w:val="24"/>
          <w:sz w:val="24"/>
          <w:szCs w:val="24"/>
        </w:rPr>
        <w:t>(</w:t>
      </w:r>
      <w:r w:rsidRPr="00092862">
        <w:rPr>
          <w:rFonts w:ascii="Times New Roman" w:eastAsia="Times New Roman" w:hAnsi="Times New Roman" w:cs="Times New Roman"/>
          <w:i/>
          <w:iCs/>
          <w:color w:val="000000" w:themeColor="text1"/>
          <w:sz w:val="24"/>
          <w:szCs w:val="24"/>
        </w:rPr>
        <w:t>Selaginella</w:t>
      </w:r>
      <w:r w:rsidRPr="00092862">
        <w:rPr>
          <w:rFonts w:ascii="Times New Roman" w:eastAsia="Times New Roman" w:hAnsi="Times New Roman" w:cs="Times New Roman"/>
          <w:color w:val="000000" w:themeColor="text1"/>
          <w:spacing w:val="24"/>
          <w:sz w:val="24"/>
          <w:szCs w:val="24"/>
        </w:rPr>
        <w:t xml:space="preserve"> </w:t>
      </w:r>
      <w:r w:rsidRPr="00092862">
        <w:rPr>
          <w:rFonts w:ascii="Times New Roman" w:eastAsia="Times New Roman" w:hAnsi="Times New Roman" w:cs="Times New Roman"/>
          <w:i/>
          <w:iCs/>
          <w:color w:val="000000" w:themeColor="text1"/>
          <w:sz w:val="24"/>
          <w:szCs w:val="24"/>
        </w:rPr>
        <w:t>uncinata</w:t>
      </w:r>
      <w:r w:rsidRPr="00092862">
        <w:rPr>
          <w:rFonts w:ascii="Times New Roman" w:eastAsia="宋体" w:hAnsi="Times New Roman" w:cs="Times New Roman"/>
          <w:color w:val="000000" w:themeColor="text1"/>
          <w:spacing w:val="24"/>
          <w:sz w:val="24"/>
          <w:szCs w:val="24"/>
        </w:rPr>
        <w:t>)</w:t>
      </w:r>
      <w:r w:rsidRPr="00092862">
        <w:rPr>
          <w:rFonts w:ascii="Times New Roman" w:eastAsia="宋体" w:hAnsi="Times New Roman" w:cs="Times New Roman"/>
          <w:color w:val="000000" w:themeColor="text1"/>
          <w:spacing w:val="24"/>
          <w:sz w:val="24"/>
          <w:szCs w:val="24"/>
        </w:rPr>
        <w:t>、蒿</w:t>
      </w:r>
      <w:r w:rsidRPr="00092862">
        <w:rPr>
          <w:rFonts w:ascii="Times New Roman" w:eastAsia="宋体" w:hAnsi="Times New Roman" w:cs="Times New Roman"/>
          <w:color w:val="000000" w:themeColor="text1"/>
          <w:spacing w:val="-11"/>
          <w:sz w:val="24"/>
          <w:szCs w:val="24"/>
        </w:rPr>
        <w:t>等</w:t>
      </w:r>
      <w:r w:rsidRPr="00092862">
        <w:rPr>
          <w:rFonts w:ascii="Times New Roman" w:eastAsia="宋体" w:hAnsi="Times New Roman" w:cs="Times New Roman"/>
          <w:color w:val="000000" w:themeColor="text1"/>
          <w:spacing w:val="-9"/>
          <w:sz w:val="24"/>
          <w:szCs w:val="24"/>
        </w:rPr>
        <w:t>。</w:t>
      </w:r>
    </w:p>
    <w:p w14:paraId="2A134CA5" w14:textId="77777777" w:rsidR="00087418" w:rsidRPr="00092862" w:rsidRDefault="00087418" w:rsidP="00092862">
      <w:pPr>
        <w:spacing w:line="360" w:lineRule="auto"/>
        <w:ind w:left="52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pacing w:val="9"/>
          <w:sz w:val="24"/>
          <w:szCs w:val="24"/>
        </w:rPr>
        <w:t>杉木群系</w:t>
      </w:r>
      <w:r w:rsidRPr="00092862">
        <w:rPr>
          <w:rFonts w:ascii="Times New Roman" w:eastAsia="宋体" w:hAnsi="Times New Roman" w:cs="Times New Roman"/>
          <w:color w:val="000000" w:themeColor="text1"/>
          <w:spacing w:val="9"/>
          <w:sz w:val="24"/>
          <w:szCs w:val="24"/>
        </w:rPr>
        <w:t>(</w:t>
      </w:r>
      <w:r w:rsidRPr="00092862">
        <w:rPr>
          <w:rFonts w:ascii="Times New Roman" w:eastAsia="Times New Roman" w:hAnsi="Times New Roman" w:cs="Times New Roman"/>
          <w:color w:val="000000" w:themeColor="text1"/>
          <w:sz w:val="24"/>
          <w:szCs w:val="24"/>
        </w:rPr>
        <w:t>Form</w:t>
      </w:r>
      <w:r w:rsidRPr="00092862">
        <w:rPr>
          <w:rFonts w:ascii="Times New Roman" w:eastAsia="Times New Roman" w:hAnsi="Times New Roman" w:cs="Times New Roman"/>
          <w:color w:val="000000" w:themeColor="text1"/>
          <w:spacing w:val="9"/>
          <w:sz w:val="24"/>
          <w:szCs w:val="24"/>
        </w:rPr>
        <w:t>.</w:t>
      </w:r>
      <w:r w:rsidRPr="00092862">
        <w:rPr>
          <w:rFonts w:ascii="Times New Roman" w:eastAsia="宋体" w:hAnsi="Times New Roman" w:cs="Times New Roman"/>
          <w:i/>
          <w:iCs/>
          <w:color w:val="000000" w:themeColor="text1"/>
          <w:sz w:val="24"/>
          <w:szCs w:val="24"/>
        </w:rPr>
        <w:t xml:space="preserve"> Cunninghamia</w:t>
      </w:r>
      <w:r w:rsidRPr="00092862">
        <w:rPr>
          <w:rFonts w:ascii="Times New Roman" w:eastAsia="宋体" w:hAnsi="Times New Roman" w:cs="Times New Roman"/>
          <w:color w:val="000000" w:themeColor="text1"/>
          <w:spacing w:val="6"/>
          <w:sz w:val="24"/>
          <w:szCs w:val="24"/>
        </w:rPr>
        <w:t xml:space="preserve"> </w:t>
      </w:r>
      <w:r w:rsidRPr="00092862">
        <w:rPr>
          <w:rFonts w:ascii="Times New Roman" w:eastAsia="宋体" w:hAnsi="Times New Roman" w:cs="Times New Roman"/>
          <w:i/>
          <w:iCs/>
          <w:color w:val="000000" w:themeColor="text1"/>
          <w:sz w:val="24"/>
          <w:szCs w:val="24"/>
        </w:rPr>
        <w:t>lanceolata</w:t>
      </w:r>
      <w:r w:rsidRPr="00092862">
        <w:rPr>
          <w:rFonts w:ascii="Times New Roman" w:eastAsia="宋体" w:hAnsi="Times New Roman" w:cs="Times New Roman"/>
          <w:color w:val="000000" w:themeColor="text1"/>
          <w:spacing w:val="6"/>
          <w:sz w:val="24"/>
          <w:szCs w:val="24"/>
        </w:rPr>
        <w:t>（</w:t>
      </w:r>
      <w:r w:rsidRPr="00092862">
        <w:rPr>
          <w:rFonts w:ascii="Times New Roman" w:eastAsia="宋体" w:hAnsi="Times New Roman" w:cs="Times New Roman"/>
          <w:color w:val="000000" w:themeColor="text1"/>
          <w:sz w:val="24"/>
          <w:szCs w:val="24"/>
        </w:rPr>
        <w:t>Lamb</w:t>
      </w:r>
      <w:r w:rsidRPr="00092862">
        <w:rPr>
          <w:rFonts w:ascii="Times New Roman" w:eastAsia="宋体" w:hAnsi="Times New Roman" w:cs="Times New Roman"/>
          <w:color w:val="000000" w:themeColor="text1"/>
          <w:spacing w:val="6"/>
          <w:sz w:val="24"/>
          <w:szCs w:val="24"/>
        </w:rPr>
        <w:t>.</w:t>
      </w:r>
      <w:r w:rsidRPr="00092862">
        <w:rPr>
          <w:rFonts w:ascii="Times New Roman" w:eastAsia="宋体" w:hAnsi="Times New Roman" w:cs="Times New Roman"/>
          <w:color w:val="000000" w:themeColor="text1"/>
          <w:spacing w:val="6"/>
          <w:sz w:val="24"/>
          <w:szCs w:val="24"/>
        </w:rPr>
        <w:t>）</w:t>
      </w:r>
      <w:r w:rsidRPr="00092862">
        <w:rPr>
          <w:rFonts w:ascii="Times New Roman" w:eastAsia="宋体" w:hAnsi="Times New Roman" w:cs="Times New Roman"/>
          <w:color w:val="000000" w:themeColor="text1"/>
          <w:sz w:val="24"/>
          <w:szCs w:val="24"/>
        </w:rPr>
        <w:t>Hook</w:t>
      </w:r>
      <w:r w:rsidRPr="00092862">
        <w:rPr>
          <w:rFonts w:ascii="Times New Roman" w:eastAsia="宋体" w:hAnsi="Times New Roman" w:cs="Times New Roman"/>
          <w:color w:val="000000" w:themeColor="text1"/>
          <w:spacing w:val="6"/>
          <w:sz w:val="24"/>
          <w:szCs w:val="24"/>
        </w:rPr>
        <w:t>.</w:t>
      </w:r>
      <w:r w:rsidRPr="00092862">
        <w:rPr>
          <w:rFonts w:ascii="Times New Roman" w:eastAsia="宋体" w:hAnsi="Times New Roman" w:cs="Times New Roman"/>
          <w:color w:val="000000" w:themeColor="text1"/>
          <w:spacing w:val="9"/>
          <w:sz w:val="24"/>
          <w:szCs w:val="24"/>
        </w:rPr>
        <w:t>)</w:t>
      </w:r>
    </w:p>
    <w:p w14:paraId="417018A1" w14:textId="77777777" w:rsidR="00087418" w:rsidRPr="00092862" w:rsidRDefault="00087418" w:rsidP="0009286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评价区内的杉木林全部为人工栽植，几乎都为纯杉木林，栽植时间均在</w:t>
      </w:r>
      <w:r w:rsidRPr="00092862">
        <w:rPr>
          <w:rFonts w:ascii="Times New Roman" w:eastAsia="宋体" w:hAnsi="Times New Roman" w:cs="Times New Roman"/>
          <w:color w:val="000000" w:themeColor="text1"/>
          <w:sz w:val="24"/>
          <w:szCs w:val="24"/>
        </w:rPr>
        <w:t>30</w:t>
      </w:r>
      <w:r w:rsidRPr="00092862">
        <w:rPr>
          <w:rFonts w:ascii="Times New Roman" w:eastAsia="宋体" w:hAnsi="Times New Roman" w:cs="Times New Roman"/>
          <w:color w:val="000000" w:themeColor="text1"/>
          <w:sz w:val="24"/>
          <w:szCs w:val="24"/>
        </w:rPr>
        <w:t>年以内。杉木林生长位置在柏木林和马尾松林之上，在边缘地带与马尾松、麻栎（</w:t>
      </w:r>
      <w:r w:rsidRPr="00092862">
        <w:rPr>
          <w:rFonts w:ascii="Times New Roman" w:eastAsia="宋体" w:hAnsi="Times New Roman" w:cs="Times New Roman"/>
          <w:i/>
          <w:iCs/>
          <w:color w:val="000000" w:themeColor="text1"/>
          <w:sz w:val="24"/>
          <w:szCs w:val="24"/>
        </w:rPr>
        <w:t>Quercus acutissima</w:t>
      </w:r>
      <w:r w:rsidRPr="00092862">
        <w:rPr>
          <w:rFonts w:ascii="Times New Roman" w:eastAsia="宋体" w:hAnsi="Times New Roman" w:cs="Times New Roman"/>
          <w:color w:val="000000" w:themeColor="text1"/>
          <w:sz w:val="24"/>
          <w:szCs w:val="24"/>
        </w:rPr>
        <w:t>）等针阔叶树种混生，纯杉木林的郁闭度极高，达到</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的杉木林较容易见到。林下灌草植被极其稀疏，在林缘有较多的灌草生长</w:t>
      </w:r>
      <w:r w:rsidRPr="00092862">
        <w:rPr>
          <w:rFonts w:ascii="Times New Roman" w:eastAsia="宋体" w:hAnsi="Times New Roman" w:cs="Times New Roman"/>
          <w:color w:val="000000" w:themeColor="text1"/>
          <w:spacing w:val="-3"/>
          <w:sz w:val="24"/>
          <w:szCs w:val="24"/>
        </w:rPr>
        <w:t>。灌木层种类较多，</w:t>
      </w:r>
      <w:r w:rsidRPr="00092862">
        <w:rPr>
          <w:rFonts w:ascii="Times New Roman" w:eastAsia="宋体" w:hAnsi="Times New Roman" w:cs="Times New Roman"/>
          <w:color w:val="000000" w:themeColor="text1"/>
          <w:spacing w:val="14"/>
          <w:sz w:val="24"/>
          <w:szCs w:val="24"/>
        </w:rPr>
        <w:t>常见</w:t>
      </w:r>
      <w:r w:rsidRPr="00092862">
        <w:rPr>
          <w:rFonts w:ascii="Times New Roman" w:eastAsia="宋体" w:hAnsi="Times New Roman" w:cs="Times New Roman"/>
          <w:color w:val="000000" w:themeColor="text1"/>
          <w:spacing w:val="12"/>
          <w:sz w:val="24"/>
          <w:szCs w:val="24"/>
        </w:rPr>
        <w:t>为</w:t>
      </w:r>
      <w:r w:rsidRPr="00092862">
        <w:rPr>
          <w:rFonts w:ascii="Times New Roman" w:eastAsia="宋体" w:hAnsi="Times New Roman" w:cs="Times New Roman"/>
          <w:color w:val="000000" w:themeColor="text1"/>
          <w:sz w:val="24"/>
          <w:szCs w:val="24"/>
        </w:rPr>
        <w:t>铁仔（</w:t>
      </w:r>
      <w:r w:rsidRPr="00092862">
        <w:rPr>
          <w:rFonts w:ascii="Times New Roman" w:eastAsia="宋体" w:hAnsi="Times New Roman" w:cs="Times New Roman"/>
          <w:i/>
          <w:iCs/>
          <w:color w:val="000000" w:themeColor="text1"/>
          <w:sz w:val="24"/>
          <w:szCs w:val="24"/>
        </w:rPr>
        <w:t>Myrsine africana</w:t>
      </w:r>
      <w:r w:rsidRPr="00092862">
        <w:rPr>
          <w:rFonts w:ascii="Times New Roman" w:eastAsia="宋体" w:hAnsi="Times New Roman" w:cs="Times New Roman"/>
          <w:color w:val="000000" w:themeColor="text1"/>
          <w:sz w:val="24"/>
          <w:szCs w:val="24"/>
        </w:rPr>
        <w:t>）、小果蔷薇（</w:t>
      </w:r>
      <w:r w:rsidRPr="00092862">
        <w:rPr>
          <w:rFonts w:ascii="Times New Roman" w:eastAsia="宋体" w:hAnsi="Times New Roman" w:cs="Times New Roman"/>
          <w:i/>
          <w:iCs/>
          <w:color w:val="000000" w:themeColor="text1"/>
          <w:sz w:val="24"/>
          <w:szCs w:val="24"/>
        </w:rPr>
        <w:t>Rosa cymosa</w:t>
      </w:r>
      <w:r w:rsidRPr="00092862">
        <w:rPr>
          <w:rFonts w:ascii="Times New Roman" w:eastAsia="宋体" w:hAnsi="Times New Roman" w:cs="Times New Roman"/>
          <w:color w:val="000000" w:themeColor="text1"/>
          <w:sz w:val="24"/>
          <w:szCs w:val="24"/>
        </w:rPr>
        <w:t>）、乌泡子（</w:t>
      </w:r>
      <w:r w:rsidRPr="00092862">
        <w:rPr>
          <w:rFonts w:ascii="Times New Roman" w:eastAsia="宋体" w:hAnsi="Times New Roman" w:cs="Times New Roman"/>
          <w:i/>
          <w:iCs/>
          <w:color w:val="000000" w:themeColor="text1"/>
          <w:sz w:val="24"/>
          <w:szCs w:val="24"/>
        </w:rPr>
        <w:t>Rubus parkeri</w:t>
      </w:r>
      <w:r w:rsidRPr="00092862">
        <w:rPr>
          <w:rFonts w:ascii="Times New Roman" w:eastAsia="宋体" w:hAnsi="Times New Roman" w:cs="Times New Roman"/>
          <w:color w:val="000000" w:themeColor="text1"/>
          <w:sz w:val="24"/>
          <w:szCs w:val="24"/>
        </w:rPr>
        <w:t>）、高粱泡（</w:t>
      </w:r>
      <w:r w:rsidRPr="00092862">
        <w:rPr>
          <w:rFonts w:ascii="Times New Roman" w:eastAsia="宋体" w:hAnsi="Times New Roman" w:cs="Times New Roman"/>
          <w:i/>
          <w:iCs/>
          <w:color w:val="000000" w:themeColor="text1"/>
          <w:sz w:val="24"/>
          <w:szCs w:val="24"/>
        </w:rPr>
        <w:t>Rubus lambertianus</w:t>
      </w:r>
      <w:r w:rsidRPr="00092862">
        <w:rPr>
          <w:rFonts w:ascii="Times New Roman" w:eastAsia="宋体" w:hAnsi="Times New Roman" w:cs="Times New Roman"/>
          <w:color w:val="000000" w:themeColor="text1"/>
          <w:sz w:val="24"/>
          <w:szCs w:val="24"/>
        </w:rPr>
        <w:t>）、胡枝子</w:t>
      </w:r>
      <w:r w:rsidRPr="00092862">
        <w:rPr>
          <w:rFonts w:ascii="Times New Roman" w:eastAsia="宋体" w:hAnsi="Times New Roman" w:cs="Times New Roman"/>
          <w:color w:val="000000" w:themeColor="text1"/>
          <w:spacing w:val="15"/>
          <w:sz w:val="24"/>
          <w:szCs w:val="24"/>
        </w:rPr>
        <w:t>等。草本层主要有芒萁</w:t>
      </w:r>
      <w:r w:rsidRPr="00092862">
        <w:rPr>
          <w:rFonts w:ascii="Times New Roman" w:eastAsia="宋体" w:hAnsi="Times New Roman" w:cs="Times New Roman"/>
          <w:color w:val="000000" w:themeColor="text1"/>
          <w:spacing w:val="15"/>
          <w:sz w:val="24"/>
          <w:szCs w:val="24"/>
        </w:rPr>
        <w:t>(</w:t>
      </w:r>
      <w:r w:rsidRPr="00092862">
        <w:rPr>
          <w:rFonts w:ascii="Times New Roman" w:eastAsia="Times New Roman" w:hAnsi="Times New Roman" w:cs="Times New Roman"/>
          <w:i/>
          <w:iCs/>
          <w:color w:val="000000" w:themeColor="text1"/>
          <w:sz w:val="24"/>
          <w:szCs w:val="24"/>
        </w:rPr>
        <w:t>Dicranopteris</w:t>
      </w:r>
      <w:r w:rsidRPr="00092862">
        <w:rPr>
          <w:rFonts w:ascii="Times New Roman" w:eastAsia="Times New Roman" w:hAnsi="Times New Roman" w:cs="Times New Roman"/>
          <w:color w:val="000000" w:themeColor="text1"/>
          <w:spacing w:val="15"/>
          <w:sz w:val="24"/>
          <w:szCs w:val="24"/>
        </w:rPr>
        <w:t xml:space="preserve"> </w:t>
      </w:r>
      <w:r w:rsidRPr="00092862">
        <w:rPr>
          <w:rFonts w:ascii="Times New Roman" w:eastAsia="Times New Roman" w:hAnsi="Times New Roman" w:cs="Times New Roman"/>
          <w:i/>
          <w:iCs/>
          <w:color w:val="000000" w:themeColor="text1"/>
          <w:sz w:val="24"/>
          <w:szCs w:val="24"/>
        </w:rPr>
        <w:t>dichotoma</w:t>
      </w:r>
      <w:r w:rsidRPr="00092862">
        <w:rPr>
          <w:rFonts w:ascii="Times New Roman" w:eastAsia="宋体" w:hAnsi="Times New Roman" w:cs="Times New Roman"/>
          <w:color w:val="000000" w:themeColor="text1"/>
          <w:spacing w:val="15"/>
          <w:sz w:val="24"/>
          <w:szCs w:val="24"/>
        </w:rPr>
        <w:t>)</w:t>
      </w:r>
      <w:r w:rsidRPr="00092862">
        <w:rPr>
          <w:rFonts w:ascii="Times New Roman" w:eastAsia="宋体" w:hAnsi="Times New Roman" w:cs="Times New Roman"/>
          <w:color w:val="000000" w:themeColor="text1"/>
          <w:spacing w:val="24"/>
          <w:sz w:val="24"/>
          <w:szCs w:val="24"/>
        </w:rPr>
        <w:t>、苔草、</w:t>
      </w:r>
      <w:r w:rsidRPr="00092862">
        <w:rPr>
          <w:rFonts w:ascii="Times New Roman" w:eastAsia="宋体" w:hAnsi="Times New Roman" w:cs="Times New Roman"/>
          <w:color w:val="000000" w:themeColor="text1"/>
          <w:sz w:val="24"/>
          <w:szCs w:val="24"/>
        </w:rPr>
        <w:t>截叶铁扫帚（</w:t>
      </w:r>
      <w:r w:rsidRPr="00092862">
        <w:rPr>
          <w:rFonts w:ascii="Times New Roman" w:eastAsia="宋体" w:hAnsi="Times New Roman" w:cs="Times New Roman"/>
          <w:i/>
          <w:iCs/>
          <w:color w:val="000000" w:themeColor="text1"/>
          <w:sz w:val="24"/>
          <w:szCs w:val="24"/>
        </w:rPr>
        <w:t>Lespedeza cuneata</w:t>
      </w:r>
      <w:r w:rsidRPr="00092862">
        <w:rPr>
          <w:rFonts w:ascii="Times New Roman" w:eastAsia="宋体" w:hAnsi="Times New Roman" w:cs="Times New Roman"/>
          <w:color w:val="000000" w:themeColor="text1"/>
          <w:sz w:val="24"/>
          <w:szCs w:val="24"/>
        </w:rPr>
        <w:t>）、芒（</w:t>
      </w:r>
      <w:r w:rsidRPr="00092862">
        <w:rPr>
          <w:rFonts w:ascii="Times New Roman" w:eastAsia="宋体" w:hAnsi="Times New Roman" w:cs="Times New Roman"/>
          <w:i/>
          <w:iCs/>
          <w:color w:val="000000" w:themeColor="text1"/>
          <w:sz w:val="24"/>
          <w:szCs w:val="24"/>
        </w:rPr>
        <w:t>Miscanthus sinensis</w:t>
      </w:r>
      <w:r w:rsidRPr="00092862">
        <w:rPr>
          <w:rFonts w:ascii="Times New Roman" w:eastAsia="宋体" w:hAnsi="Times New Roman" w:cs="Times New Roman"/>
          <w:color w:val="000000" w:themeColor="text1"/>
          <w:sz w:val="24"/>
          <w:szCs w:val="24"/>
        </w:rPr>
        <w:t>）、蕨（</w:t>
      </w:r>
      <w:r w:rsidRPr="00092862">
        <w:rPr>
          <w:rFonts w:ascii="Times New Roman" w:eastAsia="宋体" w:hAnsi="Times New Roman" w:cs="Times New Roman"/>
          <w:i/>
          <w:iCs/>
          <w:color w:val="000000" w:themeColor="text1"/>
          <w:sz w:val="24"/>
          <w:szCs w:val="24"/>
        </w:rPr>
        <w:t>Pteridium aquilinum var.latiusculum</w:t>
      </w:r>
      <w:r w:rsidRPr="00092862">
        <w:rPr>
          <w:rFonts w:ascii="Times New Roman" w:eastAsia="宋体" w:hAnsi="Times New Roman" w:cs="Times New Roman"/>
          <w:color w:val="000000" w:themeColor="text1"/>
          <w:sz w:val="24"/>
          <w:szCs w:val="24"/>
        </w:rPr>
        <w:t>）、芒萁（</w:t>
      </w:r>
      <w:r w:rsidRPr="00092862">
        <w:rPr>
          <w:rFonts w:ascii="Times New Roman" w:eastAsia="宋体" w:hAnsi="Times New Roman" w:cs="Times New Roman"/>
          <w:i/>
          <w:iCs/>
          <w:color w:val="000000" w:themeColor="text1"/>
          <w:sz w:val="24"/>
          <w:szCs w:val="24"/>
        </w:rPr>
        <w:t>Dicranopteris dichotoma</w:t>
      </w:r>
      <w:r w:rsidRPr="00092862">
        <w:rPr>
          <w:rFonts w:ascii="Times New Roman" w:eastAsia="宋体" w:hAnsi="Times New Roman" w:cs="Times New Roman"/>
          <w:color w:val="000000" w:themeColor="text1"/>
          <w:sz w:val="24"/>
          <w:szCs w:val="24"/>
        </w:rPr>
        <w:t>）、单芽狗脊（</w:t>
      </w:r>
      <w:r w:rsidRPr="00092862">
        <w:rPr>
          <w:rFonts w:ascii="Times New Roman" w:eastAsia="宋体" w:hAnsi="Times New Roman" w:cs="Times New Roman"/>
          <w:i/>
          <w:iCs/>
          <w:color w:val="000000" w:themeColor="text1"/>
          <w:sz w:val="24"/>
          <w:szCs w:val="24"/>
        </w:rPr>
        <w:t>Woodwardia unigemmata</w:t>
      </w:r>
      <w:r w:rsidRPr="00092862">
        <w:rPr>
          <w:rFonts w:ascii="Times New Roman" w:eastAsia="宋体" w:hAnsi="Times New Roman" w:cs="Times New Roman"/>
          <w:color w:val="000000" w:themeColor="text1"/>
          <w:sz w:val="24"/>
          <w:szCs w:val="24"/>
        </w:rPr>
        <w:t>）、苎麻、葛、里白（</w:t>
      </w:r>
      <w:r w:rsidRPr="00092862">
        <w:rPr>
          <w:rFonts w:ascii="Times New Roman" w:eastAsia="宋体" w:hAnsi="Times New Roman" w:cs="Times New Roman"/>
          <w:i/>
          <w:iCs/>
          <w:color w:val="000000" w:themeColor="text1"/>
          <w:sz w:val="24"/>
          <w:szCs w:val="24"/>
        </w:rPr>
        <w:t>Hicriopteris glauca</w:t>
      </w:r>
      <w:r w:rsidRPr="00092862">
        <w:rPr>
          <w:rFonts w:ascii="Times New Roman" w:eastAsia="宋体" w:hAnsi="Times New Roman" w:cs="Times New Roman"/>
          <w:color w:val="000000" w:themeColor="text1"/>
          <w:sz w:val="24"/>
          <w:szCs w:val="24"/>
        </w:rPr>
        <w:t>）、栗褐苔草、三褶脉紫菀等。</w:t>
      </w:r>
    </w:p>
    <w:p w14:paraId="046DA54B" w14:textId="77777777" w:rsidR="00087418" w:rsidRPr="00092862" w:rsidRDefault="00087418" w:rsidP="0009286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柏木、慈竹群系（</w:t>
      </w:r>
      <w:r w:rsidRPr="00092862">
        <w:rPr>
          <w:rFonts w:ascii="Times New Roman" w:eastAsia="宋体" w:hAnsi="Times New Roman" w:cs="Times New Roman"/>
          <w:color w:val="000000" w:themeColor="text1"/>
          <w:sz w:val="24"/>
          <w:szCs w:val="24"/>
        </w:rPr>
        <w:t xml:space="preserve">Form. </w:t>
      </w:r>
      <w:r w:rsidRPr="00092862">
        <w:rPr>
          <w:rFonts w:ascii="Times New Roman" w:eastAsia="宋体" w:hAnsi="Times New Roman" w:cs="Times New Roman"/>
          <w:i/>
          <w:iCs/>
          <w:color w:val="000000" w:themeColor="text1"/>
          <w:sz w:val="24"/>
          <w:szCs w:val="24"/>
        </w:rPr>
        <w:t>Cupressusfunebris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iCs/>
          <w:color w:val="000000" w:themeColor="text1"/>
          <w:sz w:val="24"/>
          <w:szCs w:val="24"/>
        </w:rPr>
        <w:t>Neosinocalamus affinis</w:t>
      </w:r>
      <w:r w:rsidRPr="00092862">
        <w:rPr>
          <w:rFonts w:ascii="Times New Roman" w:eastAsia="宋体" w:hAnsi="Times New Roman" w:cs="Times New Roman"/>
          <w:color w:val="000000" w:themeColor="text1"/>
          <w:sz w:val="24"/>
          <w:szCs w:val="24"/>
        </w:rPr>
        <w:t>）</w:t>
      </w:r>
    </w:p>
    <w:p w14:paraId="7D6AE8B0" w14:textId="77777777" w:rsidR="00087418" w:rsidRPr="00092862" w:rsidRDefault="00087418" w:rsidP="00092862">
      <w:pPr>
        <w:spacing w:line="360" w:lineRule="auto"/>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pacing w:val="11"/>
          <w:sz w:val="24"/>
          <w:szCs w:val="24"/>
        </w:rPr>
        <w:lastRenderedPageBreak/>
        <w:t>评</w:t>
      </w:r>
      <w:r w:rsidRPr="00092862">
        <w:rPr>
          <w:rFonts w:ascii="Times New Roman" w:eastAsia="宋体" w:hAnsi="Times New Roman" w:cs="Times New Roman"/>
          <w:color w:val="000000" w:themeColor="text1"/>
          <w:spacing w:val="9"/>
          <w:sz w:val="24"/>
          <w:szCs w:val="24"/>
        </w:rPr>
        <w:t>价区域内的柏木和</w:t>
      </w:r>
      <w:r w:rsidRPr="00092862">
        <w:rPr>
          <w:rFonts w:ascii="Times New Roman" w:eastAsia="宋体" w:hAnsi="Times New Roman" w:cs="Times New Roman"/>
          <w:color w:val="000000" w:themeColor="text1"/>
          <w:spacing w:val="-4"/>
          <w:sz w:val="24"/>
          <w:szCs w:val="24"/>
        </w:rPr>
        <w:t>慈竹</w:t>
      </w:r>
      <w:r w:rsidRPr="00092862">
        <w:rPr>
          <w:rFonts w:ascii="Times New Roman" w:eastAsia="宋体" w:hAnsi="Times New Roman" w:cs="Times New Roman"/>
          <w:color w:val="000000" w:themeColor="text1"/>
          <w:spacing w:val="9"/>
          <w:sz w:val="24"/>
          <w:szCs w:val="24"/>
        </w:rPr>
        <w:t>混交</w:t>
      </w:r>
      <w:r w:rsidRPr="00092862">
        <w:rPr>
          <w:rFonts w:ascii="Times New Roman" w:eastAsia="宋体" w:hAnsi="Times New Roman" w:cs="Times New Roman"/>
          <w:color w:val="000000" w:themeColor="text1"/>
          <w:spacing w:val="4"/>
          <w:sz w:val="24"/>
          <w:szCs w:val="24"/>
        </w:rPr>
        <w:t>林</w:t>
      </w:r>
      <w:r w:rsidRPr="00092862">
        <w:rPr>
          <w:rFonts w:ascii="Times New Roman" w:eastAsia="宋体" w:hAnsi="Times New Roman" w:cs="Times New Roman"/>
          <w:color w:val="000000" w:themeColor="text1"/>
          <w:spacing w:val="-5"/>
          <w:sz w:val="24"/>
          <w:szCs w:val="24"/>
        </w:rPr>
        <w:t>比较常见，多分布于山坡区域，在公路、耕地周边也呈小块</w:t>
      </w:r>
      <w:r w:rsidRPr="00092862">
        <w:rPr>
          <w:rFonts w:ascii="Times New Roman" w:eastAsia="宋体" w:hAnsi="Times New Roman" w:cs="Times New Roman"/>
          <w:color w:val="000000" w:themeColor="text1"/>
          <w:sz w:val="24"/>
          <w:szCs w:val="24"/>
        </w:rPr>
        <w:t>片</w:t>
      </w:r>
      <w:r w:rsidRPr="00092862">
        <w:rPr>
          <w:rFonts w:ascii="Times New Roman" w:eastAsia="宋体" w:hAnsi="Times New Roman" w:cs="Times New Roman"/>
          <w:color w:val="000000" w:themeColor="text1"/>
          <w:spacing w:val="-16"/>
          <w:sz w:val="24"/>
          <w:szCs w:val="24"/>
        </w:rPr>
        <w:t>状</w:t>
      </w:r>
      <w:r w:rsidRPr="00092862">
        <w:rPr>
          <w:rFonts w:ascii="Times New Roman" w:eastAsia="宋体" w:hAnsi="Times New Roman" w:cs="Times New Roman"/>
          <w:color w:val="000000" w:themeColor="text1"/>
          <w:spacing w:val="-8"/>
          <w:sz w:val="24"/>
          <w:szCs w:val="24"/>
        </w:rPr>
        <w:t>分布。该群落林冠层平均高度</w:t>
      </w:r>
      <w:r w:rsidRPr="00092862">
        <w:rPr>
          <w:rFonts w:ascii="Times New Roman" w:eastAsia="宋体" w:hAnsi="Times New Roman" w:cs="Times New Roman"/>
          <w:color w:val="000000" w:themeColor="text1"/>
          <w:spacing w:val="-8"/>
          <w:sz w:val="24"/>
          <w:szCs w:val="24"/>
        </w:rPr>
        <w:t>11m</w:t>
      </w:r>
      <w:r w:rsidRPr="00092862">
        <w:rPr>
          <w:rFonts w:ascii="Times New Roman" w:eastAsia="宋体" w:hAnsi="Times New Roman" w:cs="Times New Roman"/>
          <w:color w:val="000000" w:themeColor="text1"/>
          <w:spacing w:val="-8"/>
          <w:sz w:val="24"/>
          <w:szCs w:val="24"/>
        </w:rPr>
        <w:t>左右，林冠整齐，林内郁闭度</w:t>
      </w:r>
      <w:r w:rsidRPr="00092862">
        <w:rPr>
          <w:rFonts w:ascii="Times New Roman" w:eastAsia="宋体" w:hAnsi="Times New Roman" w:cs="Times New Roman"/>
          <w:color w:val="000000" w:themeColor="text1"/>
          <w:spacing w:val="-8"/>
          <w:sz w:val="24"/>
          <w:szCs w:val="24"/>
        </w:rPr>
        <w:t>0.5~0.7</w:t>
      </w:r>
      <w:r w:rsidRPr="00092862">
        <w:rPr>
          <w:rFonts w:ascii="Times New Roman" w:eastAsia="宋体" w:hAnsi="Times New Roman" w:cs="Times New Roman"/>
          <w:color w:val="000000" w:themeColor="text1"/>
          <w:spacing w:val="-8"/>
          <w:sz w:val="24"/>
          <w:szCs w:val="24"/>
        </w:rPr>
        <w:t>，</w:t>
      </w:r>
      <w:r w:rsidRPr="00092862">
        <w:rPr>
          <w:rFonts w:ascii="Times New Roman" w:eastAsia="宋体" w:hAnsi="Times New Roman" w:cs="Times New Roman"/>
          <w:color w:val="000000" w:themeColor="text1"/>
          <w:spacing w:val="1"/>
          <w:sz w:val="24"/>
          <w:szCs w:val="24"/>
        </w:rPr>
        <w:t>林下灌木种类丰富。优势柏木的高度</w:t>
      </w:r>
      <w:r w:rsidRPr="00092862">
        <w:rPr>
          <w:rFonts w:ascii="Times New Roman" w:eastAsia="宋体" w:hAnsi="Times New Roman" w:cs="Times New Roman"/>
          <w:color w:val="000000" w:themeColor="text1"/>
          <w:sz w:val="24"/>
          <w:szCs w:val="24"/>
        </w:rPr>
        <w:t>11m</w:t>
      </w:r>
      <w:r w:rsidRPr="00092862">
        <w:rPr>
          <w:rFonts w:ascii="Times New Roman" w:eastAsia="宋体" w:hAnsi="Times New Roman" w:cs="Times New Roman"/>
          <w:color w:val="000000" w:themeColor="text1"/>
          <w:sz w:val="24"/>
          <w:szCs w:val="24"/>
        </w:rPr>
        <w:t>，平均胸径</w:t>
      </w:r>
      <w:r w:rsidRPr="00092862">
        <w:rPr>
          <w:rFonts w:ascii="Times New Roman" w:eastAsia="宋体" w:hAnsi="Times New Roman" w:cs="Times New Roman"/>
          <w:color w:val="000000" w:themeColor="text1"/>
          <w:sz w:val="24"/>
          <w:szCs w:val="24"/>
        </w:rPr>
        <w:t>12cm</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pacing w:val="-10"/>
          <w:sz w:val="24"/>
          <w:szCs w:val="24"/>
        </w:rPr>
        <w:t>冠盖度达到</w:t>
      </w:r>
      <w:r w:rsidRPr="00092862">
        <w:rPr>
          <w:rFonts w:ascii="Times New Roman" w:eastAsia="宋体" w:hAnsi="Times New Roman" w:cs="Times New Roman"/>
          <w:color w:val="000000" w:themeColor="text1"/>
          <w:spacing w:val="-5"/>
          <w:sz w:val="24"/>
          <w:szCs w:val="24"/>
        </w:rPr>
        <w:t>40%</w:t>
      </w:r>
      <w:r w:rsidRPr="00092862">
        <w:rPr>
          <w:rFonts w:ascii="Times New Roman" w:eastAsia="宋体" w:hAnsi="Times New Roman" w:cs="Times New Roman"/>
          <w:color w:val="000000" w:themeColor="text1"/>
          <w:spacing w:val="-5"/>
          <w:sz w:val="24"/>
          <w:szCs w:val="24"/>
        </w:rPr>
        <w:t>，慈竹平均高度</w:t>
      </w:r>
      <w:r w:rsidRPr="00092862">
        <w:rPr>
          <w:rFonts w:ascii="Times New Roman" w:eastAsia="宋体" w:hAnsi="Times New Roman" w:cs="Times New Roman"/>
          <w:color w:val="000000" w:themeColor="text1"/>
          <w:spacing w:val="-5"/>
          <w:sz w:val="24"/>
          <w:szCs w:val="24"/>
        </w:rPr>
        <w:t>10-12m</w:t>
      </w:r>
      <w:r w:rsidRPr="00092862">
        <w:rPr>
          <w:rFonts w:ascii="Times New Roman" w:eastAsia="宋体" w:hAnsi="Times New Roman" w:cs="Times New Roman"/>
          <w:color w:val="000000" w:themeColor="text1"/>
          <w:spacing w:val="-5"/>
          <w:sz w:val="24"/>
          <w:szCs w:val="24"/>
        </w:rPr>
        <w:t>左右，</w:t>
      </w:r>
      <w:r w:rsidRPr="00092862">
        <w:rPr>
          <w:rFonts w:ascii="Times New Roman" w:eastAsia="宋体" w:hAnsi="Times New Roman" w:cs="Times New Roman"/>
          <w:color w:val="000000" w:themeColor="text1"/>
          <w:spacing w:val="-4"/>
          <w:sz w:val="24"/>
          <w:szCs w:val="24"/>
        </w:rPr>
        <w:t>杆径</w:t>
      </w:r>
      <w:r w:rsidRPr="00092862">
        <w:rPr>
          <w:rFonts w:ascii="Times New Roman" w:eastAsia="宋体" w:hAnsi="Times New Roman" w:cs="Times New Roman"/>
          <w:color w:val="000000" w:themeColor="text1"/>
          <w:spacing w:val="-4"/>
          <w:sz w:val="24"/>
          <w:szCs w:val="24"/>
        </w:rPr>
        <w:t>6~8cm</w:t>
      </w:r>
      <w:r w:rsidRPr="00092862">
        <w:rPr>
          <w:rFonts w:ascii="Times New Roman" w:eastAsia="宋体" w:hAnsi="Times New Roman" w:cs="Times New Roman"/>
          <w:color w:val="000000" w:themeColor="text1"/>
          <w:spacing w:val="-5"/>
          <w:sz w:val="24"/>
          <w:szCs w:val="24"/>
        </w:rPr>
        <w:t>，冠盖度均在</w:t>
      </w:r>
      <w:r w:rsidRPr="00092862">
        <w:rPr>
          <w:rFonts w:ascii="Times New Roman" w:eastAsia="宋体" w:hAnsi="Times New Roman" w:cs="Times New Roman"/>
          <w:color w:val="000000" w:themeColor="text1"/>
          <w:spacing w:val="-30"/>
          <w:sz w:val="24"/>
          <w:szCs w:val="24"/>
        </w:rPr>
        <w:t>1</w:t>
      </w:r>
      <w:r w:rsidRPr="00092862">
        <w:rPr>
          <w:rFonts w:ascii="Times New Roman" w:eastAsia="宋体" w:hAnsi="Times New Roman" w:cs="Times New Roman"/>
          <w:color w:val="000000" w:themeColor="text1"/>
          <w:spacing w:val="-17"/>
          <w:sz w:val="24"/>
          <w:szCs w:val="24"/>
        </w:rPr>
        <w:t>0</w:t>
      </w:r>
      <w:r w:rsidRPr="00092862">
        <w:rPr>
          <w:rFonts w:ascii="Times New Roman" w:eastAsia="宋体" w:hAnsi="Times New Roman" w:cs="Times New Roman"/>
          <w:color w:val="000000" w:themeColor="text1"/>
          <w:spacing w:val="-15"/>
          <w:sz w:val="24"/>
          <w:szCs w:val="24"/>
        </w:rPr>
        <w:t>%</w:t>
      </w:r>
      <w:r w:rsidRPr="00092862">
        <w:rPr>
          <w:rFonts w:ascii="Times New Roman" w:eastAsia="宋体" w:hAnsi="Times New Roman" w:cs="Times New Roman"/>
          <w:color w:val="000000" w:themeColor="text1"/>
          <w:spacing w:val="-15"/>
          <w:sz w:val="24"/>
          <w:szCs w:val="24"/>
        </w:rPr>
        <w:t>左右。灌木层物种组成较丰富</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pacing w:val="-15"/>
          <w:sz w:val="24"/>
          <w:szCs w:val="24"/>
        </w:rPr>
        <w:t>灌木层物种组成较丰富，优势种主要是麻栎，其平均高度为</w:t>
      </w:r>
      <w:r w:rsidRPr="00092862">
        <w:rPr>
          <w:rFonts w:ascii="Times New Roman" w:eastAsia="宋体" w:hAnsi="Times New Roman" w:cs="Times New Roman"/>
          <w:color w:val="000000" w:themeColor="text1"/>
          <w:spacing w:val="-15"/>
          <w:sz w:val="24"/>
          <w:szCs w:val="24"/>
        </w:rPr>
        <w:t>1.9m</w:t>
      </w:r>
      <w:r w:rsidRPr="00092862">
        <w:rPr>
          <w:rFonts w:ascii="Times New Roman" w:eastAsia="宋体" w:hAnsi="Times New Roman" w:cs="Times New Roman"/>
          <w:color w:val="000000" w:themeColor="text1"/>
          <w:spacing w:val="-15"/>
          <w:sz w:val="24"/>
          <w:szCs w:val="24"/>
        </w:rPr>
        <w:t>，盖度为</w:t>
      </w:r>
      <w:r w:rsidRPr="00092862">
        <w:rPr>
          <w:rFonts w:ascii="Times New Roman" w:eastAsia="宋体" w:hAnsi="Times New Roman" w:cs="Times New Roman"/>
          <w:color w:val="000000" w:themeColor="text1"/>
          <w:spacing w:val="-15"/>
          <w:sz w:val="24"/>
          <w:szCs w:val="24"/>
        </w:rPr>
        <w:t>60%</w:t>
      </w:r>
      <w:r w:rsidRPr="00092862">
        <w:rPr>
          <w:rFonts w:ascii="Times New Roman" w:eastAsia="宋体" w:hAnsi="Times New Roman" w:cs="Times New Roman"/>
          <w:color w:val="000000" w:themeColor="text1"/>
          <w:spacing w:val="-15"/>
          <w:sz w:val="24"/>
          <w:szCs w:val="24"/>
        </w:rPr>
        <w:t>。</w:t>
      </w:r>
      <w:r w:rsidRPr="00092862">
        <w:rPr>
          <w:rFonts w:ascii="Times New Roman" w:eastAsia="宋体" w:hAnsi="Times New Roman" w:cs="Times New Roman"/>
          <w:color w:val="000000" w:themeColor="text1"/>
          <w:spacing w:val="-1"/>
          <w:sz w:val="24"/>
          <w:szCs w:val="24"/>
        </w:rPr>
        <w:t>常见种有杜鹃、球核荚蒾、马桑、火棘等，其中球核荚</w:t>
      </w:r>
      <w:r w:rsidRPr="00092862">
        <w:rPr>
          <w:rFonts w:ascii="Times New Roman" w:eastAsia="宋体" w:hAnsi="Times New Roman" w:cs="Times New Roman"/>
          <w:color w:val="000000" w:themeColor="text1"/>
          <w:sz w:val="24"/>
          <w:szCs w:val="24"/>
        </w:rPr>
        <w:t>蒾的盖度较大，为</w:t>
      </w:r>
      <w:r w:rsidRPr="00092862">
        <w:rPr>
          <w:rFonts w:ascii="Times New Roman" w:eastAsia="宋体" w:hAnsi="Times New Roman" w:cs="Times New Roman"/>
          <w:color w:val="000000" w:themeColor="text1"/>
          <w:sz w:val="24"/>
          <w:szCs w:val="24"/>
        </w:rPr>
        <w:t>18%</w:t>
      </w:r>
      <w:r w:rsidRPr="00092862">
        <w:rPr>
          <w:rFonts w:ascii="Times New Roman" w:eastAsia="宋体" w:hAnsi="Times New Roman" w:cs="Times New Roman"/>
          <w:color w:val="000000" w:themeColor="text1"/>
          <w:sz w:val="24"/>
          <w:szCs w:val="24"/>
        </w:rPr>
        <w:t>，平均高度为</w:t>
      </w:r>
      <w:r w:rsidRPr="00092862">
        <w:rPr>
          <w:rFonts w:ascii="Times New Roman" w:eastAsia="宋体" w:hAnsi="Times New Roman" w:cs="Times New Roman"/>
          <w:color w:val="000000" w:themeColor="text1"/>
          <w:spacing w:val="-12"/>
          <w:sz w:val="24"/>
          <w:szCs w:val="24"/>
        </w:rPr>
        <w:t>1</w:t>
      </w:r>
      <w:r w:rsidRPr="00092862">
        <w:rPr>
          <w:rFonts w:ascii="Times New Roman" w:eastAsia="宋体" w:hAnsi="Times New Roman" w:cs="Times New Roman"/>
          <w:color w:val="000000" w:themeColor="text1"/>
          <w:spacing w:val="-8"/>
          <w:sz w:val="24"/>
          <w:szCs w:val="24"/>
        </w:rPr>
        <w:t>.</w:t>
      </w:r>
      <w:r w:rsidRPr="00092862">
        <w:rPr>
          <w:rFonts w:ascii="Times New Roman" w:eastAsia="宋体" w:hAnsi="Times New Roman" w:cs="Times New Roman"/>
          <w:color w:val="000000" w:themeColor="text1"/>
          <w:spacing w:val="-6"/>
          <w:sz w:val="24"/>
          <w:szCs w:val="24"/>
        </w:rPr>
        <w:t>3m</w:t>
      </w:r>
      <w:r w:rsidRPr="00092862">
        <w:rPr>
          <w:rFonts w:ascii="Times New Roman" w:eastAsia="宋体" w:hAnsi="Times New Roman" w:cs="Times New Roman"/>
          <w:color w:val="000000" w:themeColor="text1"/>
          <w:spacing w:val="-6"/>
          <w:sz w:val="24"/>
          <w:szCs w:val="24"/>
        </w:rPr>
        <w:t>，火棘相对较少，其盖度也较小，仅</w:t>
      </w:r>
      <w:r w:rsidRPr="00092862">
        <w:rPr>
          <w:rFonts w:ascii="Times New Roman" w:eastAsia="宋体" w:hAnsi="Times New Roman" w:cs="Times New Roman"/>
          <w:color w:val="000000" w:themeColor="text1"/>
          <w:spacing w:val="-6"/>
          <w:sz w:val="24"/>
          <w:szCs w:val="24"/>
        </w:rPr>
        <w:t>8%</w:t>
      </w:r>
      <w:r w:rsidRPr="00092862">
        <w:rPr>
          <w:rFonts w:ascii="Times New Roman" w:eastAsia="宋体" w:hAnsi="Times New Roman" w:cs="Times New Roman"/>
          <w:color w:val="000000" w:themeColor="text1"/>
          <w:spacing w:val="-6"/>
          <w:sz w:val="24"/>
          <w:szCs w:val="24"/>
        </w:rPr>
        <w:t>。另外，偶见种有小果蔷薇、檵木、铁仔</w:t>
      </w:r>
      <w:r w:rsidRPr="00092862">
        <w:rPr>
          <w:rFonts w:ascii="Times New Roman" w:eastAsia="宋体" w:hAnsi="Times New Roman" w:cs="Times New Roman"/>
          <w:color w:val="000000" w:themeColor="text1"/>
          <w:spacing w:val="-8"/>
          <w:sz w:val="24"/>
          <w:szCs w:val="24"/>
        </w:rPr>
        <w:t>等。由于灌木</w:t>
      </w:r>
      <w:r w:rsidRPr="00092862">
        <w:rPr>
          <w:rFonts w:ascii="Times New Roman" w:eastAsia="宋体" w:hAnsi="Times New Roman" w:cs="Times New Roman"/>
          <w:color w:val="000000" w:themeColor="text1"/>
          <w:spacing w:val="-4"/>
          <w:sz w:val="24"/>
          <w:szCs w:val="24"/>
        </w:rPr>
        <w:t>层物种组成较丰富，对林下草本层的影响比较明显。草本层植物种类欠丰</w:t>
      </w:r>
      <w:r w:rsidRPr="00092862">
        <w:rPr>
          <w:rFonts w:ascii="Times New Roman" w:eastAsia="宋体" w:hAnsi="Times New Roman" w:cs="Times New Roman"/>
          <w:color w:val="000000" w:themeColor="text1"/>
          <w:spacing w:val="-5"/>
          <w:sz w:val="24"/>
          <w:szCs w:val="24"/>
        </w:rPr>
        <w:t>富</w:t>
      </w:r>
      <w:r w:rsidRPr="00092862">
        <w:rPr>
          <w:rFonts w:ascii="Times New Roman" w:eastAsia="宋体" w:hAnsi="Times New Roman" w:cs="Times New Roman"/>
          <w:color w:val="000000" w:themeColor="text1"/>
          <w:spacing w:val="-3"/>
          <w:sz w:val="24"/>
          <w:szCs w:val="24"/>
        </w:rPr>
        <w:t>。</w:t>
      </w:r>
      <w:r w:rsidRPr="00092862">
        <w:rPr>
          <w:rFonts w:ascii="Times New Roman" w:eastAsia="宋体" w:hAnsi="Times New Roman" w:cs="Times New Roman"/>
          <w:color w:val="000000" w:themeColor="text1"/>
          <w:spacing w:val="-3"/>
          <w:sz w:val="24"/>
          <w:szCs w:val="24"/>
        </w:rPr>
        <w:t>1m</w:t>
      </w:r>
      <w:r w:rsidRPr="00092862">
        <w:rPr>
          <w:rFonts w:ascii="Times New Roman" w:eastAsia="宋体" w:hAnsi="Times New Roman" w:cs="Times New Roman"/>
          <w:color w:val="000000" w:themeColor="text1"/>
          <w:spacing w:val="-3"/>
          <w:sz w:val="24"/>
          <w:szCs w:val="24"/>
          <w:vertAlign w:val="superscript"/>
        </w:rPr>
        <w:t>2</w:t>
      </w:r>
      <w:r w:rsidRPr="00092862">
        <w:rPr>
          <w:rFonts w:ascii="Times New Roman" w:eastAsia="宋体" w:hAnsi="Times New Roman" w:cs="Times New Roman"/>
          <w:color w:val="000000" w:themeColor="text1"/>
          <w:spacing w:val="-3"/>
          <w:sz w:val="24"/>
          <w:szCs w:val="24"/>
        </w:rPr>
        <w:t>草本层样方内优势种为芒，其平均高度为</w:t>
      </w:r>
      <w:r w:rsidRPr="00092862">
        <w:rPr>
          <w:rFonts w:ascii="Times New Roman" w:eastAsia="宋体" w:hAnsi="Times New Roman" w:cs="Times New Roman"/>
          <w:color w:val="000000" w:themeColor="text1"/>
          <w:spacing w:val="-3"/>
          <w:sz w:val="24"/>
          <w:szCs w:val="24"/>
        </w:rPr>
        <w:t>1.5m</w:t>
      </w:r>
      <w:r w:rsidRPr="00092862">
        <w:rPr>
          <w:rFonts w:ascii="Times New Roman" w:eastAsia="宋体" w:hAnsi="Times New Roman" w:cs="Times New Roman"/>
          <w:color w:val="000000" w:themeColor="text1"/>
          <w:spacing w:val="-3"/>
          <w:sz w:val="24"/>
          <w:szCs w:val="24"/>
        </w:rPr>
        <w:t>，盖度达</w:t>
      </w:r>
      <w:r w:rsidRPr="00092862">
        <w:rPr>
          <w:rFonts w:ascii="Times New Roman" w:eastAsia="宋体" w:hAnsi="Times New Roman" w:cs="Times New Roman"/>
          <w:color w:val="000000" w:themeColor="text1"/>
          <w:spacing w:val="-3"/>
          <w:sz w:val="24"/>
          <w:szCs w:val="24"/>
        </w:rPr>
        <w:t>15%</w:t>
      </w:r>
      <w:r w:rsidRPr="00092862">
        <w:rPr>
          <w:rFonts w:ascii="Times New Roman" w:eastAsia="宋体" w:hAnsi="Times New Roman" w:cs="Times New Roman"/>
          <w:color w:val="000000" w:themeColor="text1"/>
          <w:spacing w:val="-3"/>
          <w:sz w:val="24"/>
          <w:szCs w:val="24"/>
        </w:rPr>
        <w:t>。常见种有野青</w:t>
      </w:r>
      <w:r w:rsidRPr="00092862">
        <w:rPr>
          <w:rFonts w:ascii="Times New Roman" w:eastAsia="宋体" w:hAnsi="Times New Roman" w:cs="Times New Roman"/>
          <w:color w:val="000000" w:themeColor="text1"/>
          <w:spacing w:val="-1"/>
          <w:sz w:val="24"/>
          <w:szCs w:val="24"/>
        </w:rPr>
        <w:t>茅、乌蕨等，其盖度都不超过</w:t>
      </w:r>
      <w:r w:rsidRPr="00092862">
        <w:rPr>
          <w:rFonts w:ascii="Times New Roman" w:eastAsia="宋体" w:hAnsi="Times New Roman" w:cs="Times New Roman"/>
          <w:color w:val="000000" w:themeColor="text1"/>
          <w:spacing w:val="-1"/>
          <w:sz w:val="24"/>
          <w:szCs w:val="24"/>
        </w:rPr>
        <w:t>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，平均高度野青茅最高，为</w:t>
      </w:r>
      <w:r w:rsidRPr="00092862">
        <w:rPr>
          <w:rFonts w:ascii="Times New Roman" w:eastAsia="宋体" w:hAnsi="Times New Roman" w:cs="Times New Roman"/>
          <w:color w:val="000000" w:themeColor="text1"/>
          <w:sz w:val="24"/>
          <w:szCs w:val="24"/>
        </w:rPr>
        <w:t>0.7m</w:t>
      </w:r>
      <w:r w:rsidRPr="00092862">
        <w:rPr>
          <w:rFonts w:ascii="Times New Roman" w:eastAsia="宋体" w:hAnsi="Times New Roman" w:cs="Times New Roman"/>
          <w:color w:val="000000" w:themeColor="text1"/>
          <w:sz w:val="24"/>
          <w:szCs w:val="24"/>
        </w:rPr>
        <w:t>，乌</w:t>
      </w:r>
      <w:r w:rsidRPr="00092862">
        <w:rPr>
          <w:rFonts w:ascii="Times New Roman" w:eastAsia="宋体" w:hAnsi="Times New Roman" w:cs="Times New Roman"/>
          <w:color w:val="000000" w:themeColor="text1"/>
          <w:spacing w:val="-6"/>
          <w:sz w:val="24"/>
          <w:szCs w:val="24"/>
        </w:rPr>
        <w:t>蕨最小，</w:t>
      </w:r>
      <w:r w:rsidRPr="00092862">
        <w:rPr>
          <w:rFonts w:ascii="Times New Roman" w:eastAsia="宋体" w:hAnsi="Times New Roman" w:cs="Times New Roman"/>
          <w:color w:val="000000" w:themeColor="text1"/>
          <w:spacing w:val="-4"/>
          <w:sz w:val="24"/>
          <w:szCs w:val="24"/>
        </w:rPr>
        <w:t>仅</w:t>
      </w:r>
      <w:r w:rsidRPr="00092862">
        <w:rPr>
          <w:rFonts w:ascii="Times New Roman" w:eastAsia="宋体" w:hAnsi="Times New Roman" w:cs="Times New Roman"/>
          <w:color w:val="000000" w:themeColor="text1"/>
          <w:spacing w:val="-3"/>
          <w:sz w:val="24"/>
          <w:szCs w:val="24"/>
        </w:rPr>
        <w:t>0.2m</w:t>
      </w:r>
      <w:r w:rsidRPr="00092862">
        <w:rPr>
          <w:rFonts w:ascii="Times New Roman" w:eastAsia="宋体" w:hAnsi="Times New Roman" w:cs="Times New Roman"/>
          <w:color w:val="000000" w:themeColor="text1"/>
          <w:spacing w:val="-3"/>
          <w:sz w:val="24"/>
          <w:szCs w:val="24"/>
        </w:rPr>
        <w:t>。偶见种有千里光</w:t>
      </w:r>
      <w:r w:rsidRPr="00092862">
        <w:rPr>
          <w:rFonts w:ascii="Times New Roman" w:eastAsia="宋体" w:hAnsi="Times New Roman" w:cs="Times New Roman"/>
          <w:color w:val="000000" w:themeColor="text1"/>
          <w:sz w:val="24"/>
          <w:szCs w:val="24"/>
        </w:rPr>
        <w:t>、地瓜藤、龙牙草等。</w:t>
      </w:r>
    </w:p>
    <w:p w14:paraId="096D9BDB" w14:textId="77777777" w:rsidR="00087418" w:rsidRPr="00092862" w:rsidRDefault="00087418" w:rsidP="00092862">
      <w:pPr>
        <w:spacing w:line="360" w:lineRule="auto"/>
        <w:ind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麻栎、青冈</w:t>
      </w:r>
      <w:r w:rsidRPr="00092862">
        <w:rPr>
          <w:rFonts w:ascii="Times New Roman" w:eastAsia="宋体" w:hAnsi="Times New Roman" w:cs="Times New Roman"/>
          <w:color w:val="000000" w:themeColor="text1"/>
          <w:spacing w:val="-4"/>
          <w:sz w:val="24"/>
          <w:szCs w:val="24"/>
        </w:rPr>
        <w:t>、栓皮栎</w:t>
      </w:r>
      <w:r w:rsidRPr="00092862">
        <w:rPr>
          <w:rFonts w:ascii="Times New Roman" w:eastAsia="宋体" w:hAnsi="Times New Roman" w:cs="Times New Roman"/>
          <w:color w:val="000000" w:themeColor="text1"/>
          <w:spacing w:val="9"/>
          <w:sz w:val="24"/>
          <w:szCs w:val="24"/>
        </w:rPr>
        <w:t>群落</w:t>
      </w:r>
      <w:r w:rsidRPr="00092862">
        <w:rPr>
          <w:rFonts w:ascii="Times New Roman" w:eastAsia="宋体" w:hAnsi="Times New Roman" w:cs="Times New Roman"/>
          <w:color w:val="000000" w:themeColor="text1"/>
          <w:sz w:val="24"/>
          <w:szCs w:val="24"/>
        </w:rPr>
        <w:t>(Form.</w:t>
      </w:r>
      <w:r w:rsidRPr="00092862">
        <w:rPr>
          <w:rFonts w:ascii="Times New Roman" w:eastAsia="Times New Roman" w:hAnsi="Times New Roman" w:cs="Times New Roman"/>
          <w:i/>
          <w:iCs/>
          <w:color w:val="000000" w:themeColor="text1"/>
          <w:sz w:val="24"/>
          <w:szCs w:val="24"/>
        </w:rPr>
        <w:t xml:space="preserve">Quercus acutissima </w:t>
      </w:r>
      <w:r w:rsidRPr="00092862">
        <w:rPr>
          <w:rFonts w:ascii="Times New Roman" w:eastAsia="宋体" w:hAnsi="Times New Roman" w:cs="Times New Roman"/>
          <w:color w:val="000000" w:themeColor="text1"/>
          <w:sz w:val="24"/>
          <w:szCs w:val="24"/>
        </w:rPr>
        <w:t>Carruth.</w:t>
      </w:r>
      <w:r w:rsidRPr="00092862">
        <w:rPr>
          <w:rFonts w:ascii="Times New Roman" w:eastAsia="宋体" w:hAnsi="Times New Roman" w:cs="Times New Roman"/>
          <w:i/>
          <w:iCs/>
          <w:color w:val="000000" w:themeColor="text1"/>
          <w:sz w:val="24"/>
          <w:szCs w:val="24"/>
        </w:rPr>
        <w:t>+</w:t>
      </w:r>
      <w:r w:rsidRPr="00092862">
        <w:rPr>
          <w:rFonts w:ascii="Times New Roman" w:eastAsia="Times New Roman" w:hAnsi="Times New Roman" w:cs="Times New Roman"/>
          <w:i/>
          <w:iCs/>
          <w:color w:val="000000" w:themeColor="text1"/>
          <w:sz w:val="24"/>
          <w:szCs w:val="24"/>
        </w:rPr>
        <w:t xml:space="preserve">Quercus variabilis </w:t>
      </w:r>
      <w:r w:rsidRPr="00092862">
        <w:rPr>
          <w:rFonts w:ascii="Times New Roman" w:eastAsia="宋体" w:hAnsi="Times New Roman" w:cs="Times New Roman"/>
          <w:color w:val="000000" w:themeColor="text1"/>
          <w:sz w:val="24"/>
          <w:szCs w:val="24"/>
        </w:rPr>
        <w:t>Bl.</w:t>
      </w:r>
      <w:r w:rsidRPr="00092862">
        <w:rPr>
          <w:rFonts w:ascii="Times New Roman" w:eastAsia="宋体" w:hAnsi="Times New Roman" w:cs="Times New Roman"/>
          <w:i/>
          <w:iCs/>
          <w:color w:val="000000" w:themeColor="text1"/>
          <w:sz w:val="24"/>
          <w:szCs w:val="24"/>
        </w:rPr>
        <w:t>+</w:t>
      </w:r>
      <w:r w:rsidRPr="00092862">
        <w:rPr>
          <w:rFonts w:ascii="Times New Roman" w:eastAsia="Times New Roman" w:hAnsi="Times New Roman" w:cs="Times New Roman"/>
          <w:i/>
          <w:iCs/>
          <w:color w:val="000000" w:themeColor="text1"/>
          <w:sz w:val="24"/>
          <w:szCs w:val="24"/>
        </w:rPr>
        <w:t xml:space="preserve">Liquidambar formosana </w:t>
      </w:r>
      <w:r w:rsidRPr="00092862">
        <w:rPr>
          <w:rFonts w:ascii="Times New Roman" w:eastAsia="宋体" w:hAnsi="Times New Roman" w:cs="Times New Roman"/>
          <w:color w:val="000000" w:themeColor="text1"/>
          <w:sz w:val="24"/>
          <w:szCs w:val="24"/>
        </w:rPr>
        <w:t>Hance)</w:t>
      </w:r>
    </w:p>
    <w:p w14:paraId="4D00D409" w14:textId="77777777" w:rsidR="00087418" w:rsidRPr="00092862" w:rsidRDefault="00087418" w:rsidP="00092862">
      <w:pPr>
        <w:spacing w:line="360" w:lineRule="auto"/>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该植被类型是评价区及周边房前屋后分布较广的植被类型，多为人工栽培，是一个生态幅度较大的森林类型，在不同气候类型的影响下，该植被类型生长发育都较好，表现出较强的适应性。这种较强的适应性，也表现在对林地的地形、岩石及土壤等环境无严格的选择上，常混生有枫香、响叶杨等混生，林内平均胸径</w:t>
      </w:r>
      <w:r w:rsidRPr="00092862">
        <w:rPr>
          <w:rFonts w:ascii="Times New Roman" w:eastAsia="宋体" w:hAnsi="Times New Roman" w:cs="Times New Roman"/>
          <w:color w:val="000000" w:themeColor="text1"/>
          <w:sz w:val="24"/>
          <w:szCs w:val="24"/>
        </w:rPr>
        <w:t>25</w:t>
      </w:r>
      <w:r w:rsidRPr="00092862">
        <w:rPr>
          <w:rFonts w:ascii="Times New Roman" w:eastAsia="宋体" w:hAnsi="Times New Roman" w:cs="Times New Roman"/>
          <w:color w:val="000000" w:themeColor="text1"/>
          <w:sz w:val="24"/>
          <w:szCs w:val="24"/>
        </w:rPr>
        <w:t>厘米，树高介于</w:t>
      </w:r>
      <w:r w:rsidRPr="00092862">
        <w:rPr>
          <w:rFonts w:ascii="Times New Roman" w:eastAsia="宋体" w:hAnsi="Times New Roman" w:cs="Times New Roman"/>
          <w:color w:val="000000" w:themeColor="text1"/>
          <w:sz w:val="24"/>
          <w:szCs w:val="24"/>
        </w:rPr>
        <w:t>10-20</w:t>
      </w:r>
      <w:r w:rsidRPr="00092862">
        <w:rPr>
          <w:rFonts w:ascii="Times New Roman" w:eastAsia="宋体" w:hAnsi="Times New Roman" w:cs="Times New Roman"/>
          <w:color w:val="000000" w:themeColor="text1"/>
          <w:sz w:val="24"/>
          <w:szCs w:val="24"/>
        </w:rPr>
        <w:t>米。常受到人类活动地影响，林下灌木极少。林下灌木主要为</w:t>
      </w:r>
      <w:r w:rsidRPr="00092862">
        <w:rPr>
          <w:rFonts w:ascii="Times New Roman" w:eastAsia="宋体" w:hAnsi="Times New Roman" w:cs="Times New Roman"/>
          <w:color w:val="000000" w:themeColor="text1"/>
          <w:spacing w:val="-2"/>
          <w:sz w:val="24"/>
          <w:szCs w:val="24"/>
        </w:rPr>
        <w:t>烟管荚蓬、火棘、蔷薇、盐肤木、映山红、铁仔、毛黄栌</w:t>
      </w:r>
      <w:r w:rsidRPr="00092862">
        <w:rPr>
          <w:rFonts w:ascii="Times New Roman" w:eastAsia="宋体" w:hAnsi="Times New Roman" w:cs="Times New Roman"/>
          <w:color w:val="000000" w:themeColor="text1"/>
          <w:sz w:val="24"/>
          <w:szCs w:val="24"/>
        </w:rPr>
        <w:t>等分布。</w:t>
      </w:r>
    </w:p>
    <w:p w14:paraId="33D32EF1"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草本植物稍多，主要种类有狗牙根（</w:t>
      </w:r>
      <w:r w:rsidRPr="00092862">
        <w:rPr>
          <w:rFonts w:ascii="Times New Roman" w:eastAsia="宋体" w:hAnsi="Times New Roman" w:cs="Times New Roman"/>
          <w:i/>
          <w:iCs/>
          <w:color w:val="000000" w:themeColor="text1"/>
          <w:sz w:val="24"/>
          <w:szCs w:val="24"/>
        </w:rPr>
        <w:t>Cynodon dactylon</w:t>
      </w:r>
      <w:r w:rsidRPr="00092862">
        <w:rPr>
          <w:rFonts w:ascii="Times New Roman" w:eastAsia="宋体" w:hAnsi="Times New Roman" w:cs="Times New Roman"/>
          <w:color w:val="000000" w:themeColor="text1"/>
          <w:sz w:val="24"/>
          <w:szCs w:val="24"/>
        </w:rPr>
        <w:t>）、马唐（</w:t>
      </w:r>
      <w:r w:rsidRPr="00092862">
        <w:rPr>
          <w:rFonts w:ascii="Times New Roman" w:eastAsia="宋体" w:hAnsi="Times New Roman" w:cs="Times New Roman"/>
          <w:i/>
          <w:iCs/>
          <w:color w:val="000000" w:themeColor="text1"/>
          <w:sz w:val="24"/>
          <w:szCs w:val="24"/>
        </w:rPr>
        <w:t>Digitaria sanguinalis</w:t>
      </w:r>
      <w:r w:rsidRPr="00092862">
        <w:rPr>
          <w:rFonts w:ascii="Times New Roman" w:eastAsia="宋体" w:hAnsi="Times New Roman" w:cs="Times New Roman"/>
          <w:color w:val="000000" w:themeColor="text1"/>
          <w:sz w:val="24"/>
          <w:szCs w:val="24"/>
        </w:rPr>
        <w:t>）、酢浆草（</w:t>
      </w:r>
      <w:r w:rsidRPr="00092862">
        <w:rPr>
          <w:rFonts w:ascii="Times New Roman" w:eastAsia="宋体" w:hAnsi="Times New Roman" w:cs="Times New Roman"/>
          <w:i/>
          <w:iCs/>
          <w:color w:val="000000" w:themeColor="text1"/>
          <w:sz w:val="24"/>
          <w:szCs w:val="24"/>
        </w:rPr>
        <w:t>Oxalis corniculata</w:t>
      </w:r>
      <w:r w:rsidRPr="00092862">
        <w:rPr>
          <w:rFonts w:ascii="Times New Roman" w:eastAsia="宋体" w:hAnsi="Times New Roman" w:cs="Times New Roman"/>
          <w:color w:val="000000" w:themeColor="text1"/>
          <w:sz w:val="24"/>
          <w:szCs w:val="24"/>
        </w:rPr>
        <w:t>）、堇菜（</w:t>
      </w:r>
      <w:r w:rsidRPr="00092862">
        <w:rPr>
          <w:rFonts w:ascii="Times New Roman" w:eastAsia="宋体" w:hAnsi="Times New Roman" w:cs="Times New Roman"/>
          <w:i/>
          <w:iCs/>
          <w:color w:val="000000" w:themeColor="text1"/>
          <w:sz w:val="24"/>
          <w:szCs w:val="24"/>
        </w:rPr>
        <w:t>Viola spp.</w:t>
      </w:r>
      <w:r w:rsidRPr="00092862">
        <w:rPr>
          <w:rFonts w:ascii="Times New Roman" w:eastAsia="宋体" w:hAnsi="Times New Roman" w:cs="Times New Roman"/>
          <w:color w:val="000000" w:themeColor="text1"/>
          <w:sz w:val="24"/>
          <w:szCs w:val="24"/>
        </w:rPr>
        <w:t>）、车前（</w:t>
      </w:r>
      <w:r w:rsidRPr="00092862">
        <w:rPr>
          <w:rFonts w:ascii="Times New Roman" w:eastAsia="宋体" w:hAnsi="Times New Roman" w:cs="Times New Roman"/>
          <w:i/>
          <w:iCs/>
          <w:color w:val="000000" w:themeColor="text1"/>
          <w:sz w:val="24"/>
          <w:szCs w:val="24"/>
        </w:rPr>
        <w:t>Plantgo asiatica</w:t>
      </w:r>
      <w:r w:rsidRPr="00092862">
        <w:rPr>
          <w:rFonts w:ascii="Times New Roman" w:eastAsia="宋体" w:hAnsi="Times New Roman" w:cs="Times New Roman"/>
          <w:color w:val="000000" w:themeColor="text1"/>
          <w:sz w:val="24"/>
          <w:szCs w:val="24"/>
        </w:rPr>
        <w:t>）、欧夏枯草（</w:t>
      </w:r>
      <w:r w:rsidRPr="00092862">
        <w:rPr>
          <w:rFonts w:ascii="Times New Roman" w:eastAsia="宋体" w:hAnsi="Times New Roman" w:cs="Times New Roman"/>
          <w:i/>
          <w:iCs/>
          <w:color w:val="000000" w:themeColor="text1"/>
          <w:sz w:val="24"/>
          <w:szCs w:val="24"/>
        </w:rPr>
        <w:t>Prunella vulgaris</w:t>
      </w:r>
      <w:r w:rsidRPr="00092862">
        <w:rPr>
          <w:rFonts w:ascii="Times New Roman" w:eastAsia="宋体" w:hAnsi="Times New Roman" w:cs="Times New Roman"/>
          <w:color w:val="000000" w:themeColor="text1"/>
          <w:sz w:val="24"/>
          <w:szCs w:val="24"/>
        </w:rPr>
        <w:t>）、龙牙草（</w:t>
      </w:r>
      <w:r w:rsidRPr="00092862">
        <w:rPr>
          <w:rFonts w:ascii="Times New Roman" w:eastAsia="宋体" w:hAnsi="Times New Roman" w:cs="Times New Roman"/>
          <w:i/>
          <w:iCs/>
          <w:color w:val="000000" w:themeColor="text1"/>
          <w:sz w:val="24"/>
          <w:szCs w:val="24"/>
        </w:rPr>
        <w:t>Agrimonia pilosa</w:t>
      </w:r>
      <w:r w:rsidRPr="00092862">
        <w:rPr>
          <w:rFonts w:ascii="Times New Roman" w:eastAsia="宋体" w:hAnsi="Times New Roman" w:cs="Times New Roman"/>
          <w:color w:val="000000" w:themeColor="text1"/>
          <w:sz w:val="24"/>
          <w:szCs w:val="24"/>
        </w:rPr>
        <w:t>）、蕺菜（</w:t>
      </w:r>
      <w:r w:rsidRPr="00092862">
        <w:rPr>
          <w:rFonts w:ascii="Times New Roman" w:eastAsia="宋体" w:hAnsi="Times New Roman" w:cs="Times New Roman"/>
          <w:i/>
          <w:iCs/>
          <w:color w:val="000000" w:themeColor="text1"/>
          <w:sz w:val="24"/>
          <w:szCs w:val="24"/>
        </w:rPr>
        <w:t>Houttuynia cordata</w:t>
      </w:r>
      <w:r w:rsidRPr="00092862">
        <w:rPr>
          <w:rFonts w:ascii="Times New Roman" w:eastAsia="宋体" w:hAnsi="Times New Roman" w:cs="Times New Roman"/>
          <w:color w:val="000000" w:themeColor="text1"/>
          <w:sz w:val="24"/>
          <w:szCs w:val="24"/>
        </w:rPr>
        <w:t>）、紫花地丁</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iCs/>
          <w:color w:val="000000" w:themeColor="text1"/>
          <w:sz w:val="24"/>
          <w:szCs w:val="24"/>
        </w:rPr>
        <w:t>Viola philippica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、风轮菜</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iCs/>
          <w:color w:val="000000" w:themeColor="text1"/>
          <w:sz w:val="24"/>
          <w:szCs w:val="24"/>
        </w:rPr>
        <w:t>Clinopodium chinensis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、茅叶荩草</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Arthr</w:t>
      </w:r>
      <w:r w:rsidRPr="00092862">
        <w:rPr>
          <w:rFonts w:ascii="Times New Roman" w:eastAsia="宋体" w:hAnsi="Times New Roman" w:cs="Times New Roman"/>
          <w:i/>
          <w:iCs/>
          <w:color w:val="000000" w:themeColor="text1"/>
          <w:sz w:val="24"/>
          <w:szCs w:val="24"/>
        </w:rPr>
        <w:t>axon lanc</w:t>
      </w:r>
      <w:r w:rsidRPr="00092862">
        <w:rPr>
          <w:rFonts w:ascii="Times New Roman" w:eastAsia="宋体" w:hAnsi="Times New Roman" w:cs="Times New Roman"/>
          <w:i/>
          <w:color w:val="000000" w:themeColor="text1"/>
          <w:sz w:val="24"/>
          <w:szCs w:val="24"/>
        </w:rPr>
        <w:t>eoltus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、阿拉伯婆婆纳</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Veronica persica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、日本金星蕨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Parathel</w:t>
      </w:r>
      <w:r w:rsidRPr="00092862">
        <w:rPr>
          <w:rFonts w:ascii="Times New Roman" w:eastAsia="宋体" w:hAnsi="Times New Roman" w:cs="Times New Roman"/>
          <w:i/>
          <w:iCs/>
          <w:color w:val="000000" w:themeColor="text1"/>
          <w:sz w:val="24"/>
          <w:szCs w:val="24"/>
        </w:rPr>
        <w:t>ypteris japo</w:t>
      </w:r>
      <w:r w:rsidRPr="00092862">
        <w:rPr>
          <w:rFonts w:ascii="Times New Roman" w:eastAsia="宋体" w:hAnsi="Times New Roman" w:cs="Times New Roman"/>
          <w:i/>
          <w:color w:val="000000" w:themeColor="text1"/>
          <w:sz w:val="24"/>
          <w:szCs w:val="24"/>
        </w:rPr>
        <w:t>nica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、问荆</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Equ</w:t>
      </w:r>
      <w:r w:rsidRPr="00092862">
        <w:rPr>
          <w:rFonts w:ascii="Times New Roman" w:eastAsia="宋体" w:hAnsi="Times New Roman" w:cs="Times New Roman"/>
          <w:i/>
          <w:iCs/>
          <w:color w:val="000000" w:themeColor="text1"/>
          <w:sz w:val="24"/>
          <w:szCs w:val="24"/>
        </w:rPr>
        <w:t>isetum arven</w:t>
      </w:r>
      <w:r w:rsidRPr="00092862">
        <w:rPr>
          <w:rFonts w:ascii="Times New Roman" w:eastAsia="宋体" w:hAnsi="Times New Roman" w:cs="Times New Roman"/>
          <w:i/>
          <w:color w:val="000000" w:themeColor="text1"/>
          <w:sz w:val="24"/>
          <w:szCs w:val="24"/>
        </w:rPr>
        <w:t>se</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、马鞭草</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Verbena officinalis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、狗牙根</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Cynodondactylon</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、稗</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Echinoc</w:t>
      </w:r>
      <w:r w:rsidRPr="00092862">
        <w:rPr>
          <w:rFonts w:ascii="Times New Roman" w:eastAsia="宋体" w:hAnsi="Times New Roman" w:cs="Times New Roman"/>
          <w:i/>
          <w:iCs/>
          <w:color w:val="000000" w:themeColor="text1"/>
          <w:sz w:val="24"/>
          <w:szCs w:val="24"/>
        </w:rPr>
        <w:t>hloa crusgal</w:t>
      </w:r>
      <w:r w:rsidRPr="00092862">
        <w:rPr>
          <w:rFonts w:ascii="Times New Roman" w:eastAsia="宋体" w:hAnsi="Times New Roman" w:cs="Times New Roman"/>
          <w:i/>
          <w:color w:val="000000" w:themeColor="text1"/>
          <w:sz w:val="24"/>
          <w:szCs w:val="24"/>
        </w:rPr>
        <w:t>li</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、球米草</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Oplismehus compositus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、蜈蚣草</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Pteris vittata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、三叶鬼针草</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Bidens pilosa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、野艾蒿</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Artemisia lavandulaefolia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等。</w:t>
      </w:r>
    </w:p>
    <w:p w14:paraId="47BCACF1" w14:textId="77777777" w:rsidR="00087418" w:rsidRPr="00092862" w:rsidRDefault="00087418" w:rsidP="00087418">
      <w:pPr>
        <w:spacing w:beforeLines="50" w:before="120"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lastRenderedPageBreak/>
        <w:t xml:space="preserve">Ⅱ </w:t>
      </w:r>
      <w:r w:rsidRPr="00092862">
        <w:rPr>
          <w:rFonts w:ascii="Times New Roman" w:eastAsia="宋体" w:hAnsi="Times New Roman" w:cs="Times New Roman"/>
          <w:b/>
          <w:color w:val="000000" w:themeColor="text1"/>
          <w:sz w:val="24"/>
          <w:szCs w:val="24"/>
        </w:rPr>
        <w:t>灌丛植被</w:t>
      </w:r>
    </w:p>
    <w:p w14:paraId="2C4367C7" w14:textId="77777777" w:rsidR="00087418" w:rsidRPr="00092862" w:rsidRDefault="00087418" w:rsidP="00087418">
      <w:pPr>
        <w:adjustRightInd w:val="0"/>
        <w:snapToGrid w:val="0"/>
        <w:spacing w:line="480" w:lineRule="exact"/>
        <w:ind w:firstLineChars="200" w:firstLine="496"/>
        <w:rPr>
          <w:rFonts w:ascii="Times New Roman" w:eastAsia="宋体" w:hAnsi="Times New Roman" w:cs="Times New Roman"/>
          <w:color w:val="000000" w:themeColor="text1"/>
          <w:spacing w:val="8"/>
          <w:sz w:val="24"/>
          <w:szCs w:val="24"/>
        </w:rPr>
      </w:pPr>
      <w:r w:rsidRPr="00092862">
        <w:rPr>
          <w:rFonts w:ascii="宋体" w:eastAsia="宋体" w:hAnsi="宋体" w:cs="宋体" w:hint="eastAsia"/>
          <w:color w:val="000000" w:themeColor="text1"/>
          <w:spacing w:val="8"/>
          <w:sz w:val="24"/>
          <w:szCs w:val="24"/>
        </w:rPr>
        <w:t>①</w:t>
      </w:r>
      <w:r w:rsidRPr="00092862">
        <w:rPr>
          <w:rFonts w:ascii="Times New Roman" w:eastAsia="宋体" w:hAnsi="Times New Roman" w:cs="Times New Roman"/>
          <w:color w:val="000000" w:themeColor="text1"/>
          <w:spacing w:val="8"/>
          <w:sz w:val="24"/>
          <w:szCs w:val="24"/>
        </w:rPr>
        <w:t>野桐、盐肤木灌丛</w:t>
      </w:r>
      <w:r w:rsidRPr="00092862">
        <w:rPr>
          <w:rFonts w:ascii="Times New Roman" w:eastAsia="宋体" w:hAnsi="Times New Roman" w:cs="Times New Roman"/>
          <w:color w:val="000000" w:themeColor="text1"/>
          <w:sz w:val="24"/>
          <w:szCs w:val="24"/>
        </w:rPr>
        <w:t>群系</w:t>
      </w:r>
      <w:r w:rsidRPr="00092862">
        <w:rPr>
          <w:rFonts w:ascii="Times New Roman" w:eastAsia="宋体" w:hAnsi="Times New Roman" w:cs="Times New Roman"/>
          <w:color w:val="000000" w:themeColor="text1"/>
          <w:spacing w:val="8"/>
          <w:sz w:val="24"/>
          <w:szCs w:val="24"/>
        </w:rPr>
        <w:t>（</w:t>
      </w:r>
      <w:r w:rsidRPr="00092862">
        <w:rPr>
          <w:rFonts w:ascii="Times New Roman" w:eastAsia="宋体" w:hAnsi="Times New Roman" w:cs="Times New Roman"/>
          <w:color w:val="000000" w:themeColor="text1"/>
          <w:spacing w:val="-4"/>
          <w:sz w:val="24"/>
          <w:szCs w:val="24"/>
        </w:rPr>
        <w:t xml:space="preserve">Form. </w:t>
      </w:r>
      <w:r w:rsidRPr="00092862">
        <w:rPr>
          <w:rFonts w:ascii="Times New Roman" w:eastAsia="宋体" w:hAnsi="Times New Roman" w:cs="Times New Roman"/>
          <w:i/>
          <w:iCs/>
          <w:color w:val="000000" w:themeColor="text1"/>
          <w:spacing w:val="-4"/>
          <w:sz w:val="24"/>
          <w:szCs w:val="24"/>
        </w:rPr>
        <w:t>Mallotus japonicus</w:t>
      </w:r>
      <w:r w:rsidRPr="00092862">
        <w:rPr>
          <w:rFonts w:ascii="Times New Roman" w:eastAsia="宋体" w:hAnsi="Times New Roman" w:cs="Times New Roman"/>
          <w:i/>
          <w:iCs/>
          <w:color w:val="000000" w:themeColor="text1"/>
          <w:spacing w:val="-4"/>
          <w:sz w:val="24"/>
          <w:szCs w:val="24"/>
        </w:rPr>
        <w:t>（</w:t>
      </w:r>
      <w:r w:rsidRPr="00092862">
        <w:rPr>
          <w:rFonts w:ascii="Times New Roman" w:eastAsia="宋体" w:hAnsi="Times New Roman" w:cs="Times New Roman"/>
          <w:color w:val="000000" w:themeColor="text1"/>
          <w:spacing w:val="-4"/>
          <w:sz w:val="24"/>
          <w:szCs w:val="24"/>
        </w:rPr>
        <w:t>Thunb.</w:t>
      </w:r>
      <w:r w:rsidRPr="00092862">
        <w:rPr>
          <w:rFonts w:ascii="Times New Roman" w:eastAsia="宋体" w:hAnsi="Times New Roman" w:cs="Times New Roman"/>
          <w:color w:val="000000" w:themeColor="text1"/>
          <w:spacing w:val="-4"/>
          <w:sz w:val="24"/>
          <w:szCs w:val="24"/>
        </w:rPr>
        <w:t>）</w:t>
      </w:r>
      <w:r w:rsidRPr="00092862">
        <w:rPr>
          <w:rFonts w:ascii="Times New Roman" w:eastAsia="宋体" w:hAnsi="Times New Roman" w:cs="Times New Roman"/>
          <w:color w:val="000000" w:themeColor="text1"/>
          <w:spacing w:val="-4"/>
          <w:sz w:val="24"/>
          <w:szCs w:val="24"/>
        </w:rPr>
        <w:t>Muell</w:t>
      </w:r>
      <w:r w:rsidRPr="00092862">
        <w:rPr>
          <w:rFonts w:ascii="Times New Roman" w:eastAsia="宋体" w:hAnsi="Times New Roman" w:cs="Times New Roman"/>
          <w:i/>
          <w:iCs/>
          <w:color w:val="000000" w:themeColor="text1"/>
          <w:spacing w:val="-4"/>
          <w:sz w:val="24"/>
          <w:szCs w:val="24"/>
        </w:rPr>
        <w:t>.Arg.var.floccosus</w:t>
      </w:r>
      <w:r w:rsidRPr="00092862">
        <w:rPr>
          <w:rFonts w:ascii="Times New Roman" w:eastAsia="宋体" w:hAnsi="Times New Roman" w:cs="Times New Roman"/>
          <w:i/>
          <w:iCs/>
          <w:color w:val="000000" w:themeColor="text1"/>
          <w:sz w:val="24"/>
          <w:szCs w:val="24"/>
        </w:rPr>
        <w:t>+</w:t>
      </w:r>
      <w:r w:rsidRPr="00092862">
        <w:rPr>
          <w:rFonts w:ascii="Times New Roman" w:eastAsia="宋体" w:hAnsi="Times New Roman" w:cs="Times New Roman"/>
          <w:i/>
          <w:iCs/>
          <w:color w:val="000000" w:themeColor="text1"/>
          <w:spacing w:val="-4"/>
          <w:sz w:val="24"/>
          <w:szCs w:val="24"/>
        </w:rPr>
        <w:t xml:space="preserve">Rhus chinensis </w:t>
      </w:r>
      <w:r w:rsidRPr="00092862">
        <w:rPr>
          <w:rFonts w:ascii="Times New Roman" w:eastAsia="宋体" w:hAnsi="Times New Roman" w:cs="Times New Roman"/>
          <w:color w:val="000000" w:themeColor="text1"/>
          <w:spacing w:val="-4"/>
          <w:sz w:val="24"/>
          <w:szCs w:val="24"/>
        </w:rPr>
        <w:t>Mill.</w:t>
      </w:r>
      <w:r w:rsidRPr="00092862">
        <w:rPr>
          <w:rFonts w:ascii="Times New Roman" w:eastAsia="宋体" w:hAnsi="Times New Roman" w:cs="Times New Roman"/>
          <w:color w:val="000000" w:themeColor="text1"/>
          <w:spacing w:val="8"/>
          <w:sz w:val="24"/>
          <w:szCs w:val="24"/>
        </w:rPr>
        <w:t>）</w:t>
      </w:r>
    </w:p>
    <w:p w14:paraId="30F1090C" w14:textId="77777777" w:rsidR="00087418" w:rsidRPr="00092862" w:rsidRDefault="00087418" w:rsidP="00087418">
      <w:pPr>
        <w:spacing w:line="480" w:lineRule="exact"/>
        <w:ind w:left="34" w:right="108" w:firstLine="488"/>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pacing w:val="-10"/>
          <w:sz w:val="24"/>
          <w:szCs w:val="24"/>
        </w:rPr>
        <w:t>该群落类型</w:t>
      </w:r>
      <w:r w:rsidRPr="00092862">
        <w:rPr>
          <w:rFonts w:ascii="Times New Roman" w:eastAsia="宋体" w:hAnsi="Times New Roman" w:cs="Times New Roman"/>
          <w:color w:val="000000" w:themeColor="text1"/>
          <w:spacing w:val="-8"/>
          <w:sz w:val="24"/>
          <w:szCs w:val="24"/>
        </w:rPr>
        <w:t>主</w:t>
      </w:r>
      <w:r w:rsidRPr="00092862">
        <w:rPr>
          <w:rFonts w:ascii="Times New Roman" w:eastAsia="宋体" w:hAnsi="Times New Roman" w:cs="Times New Roman"/>
          <w:color w:val="000000" w:themeColor="text1"/>
          <w:spacing w:val="-5"/>
          <w:sz w:val="24"/>
          <w:szCs w:val="24"/>
        </w:rPr>
        <w:t>要分布于矮丘区的中上部，系人为砍伐后发育的次生类型。群落盖度约</w:t>
      </w:r>
      <w:r w:rsidRPr="00092862">
        <w:rPr>
          <w:rFonts w:ascii="Times New Roman" w:eastAsia="宋体" w:hAnsi="Times New Roman" w:cs="Times New Roman"/>
          <w:color w:val="000000" w:themeColor="text1"/>
          <w:spacing w:val="-3"/>
          <w:sz w:val="24"/>
          <w:szCs w:val="24"/>
        </w:rPr>
        <w:t>65%</w:t>
      </w:r>
      <w:r w:rsidRPr="00092862">
        <w:rPr>
          <w:rFonts w:ascii="Times New Roman" w:eastAsia="宋体" w:hAnsi="Times New Roman" w:cs="Times New Roman"/>
          <w:color w:val="000000" w:themeColor="text1"/>
          <w:spacing w:val="-3"/>
          <w:sz w:val="24"/>
          <w:szCs w:val="24"/>
        </w:rPr>
        <w:t>，高度低于</w:t>
      </w:r>
      <w:r w:rsidRPr="00092862">
        <w:rPr>
          <w:rFonts w:ascii="Times New Roman" w:eastAsia="宋体" w:hAnsi="Times New Roman" w:cs="Times New Roman"/>
          <w:color w:val="000000" w:themeColor="text1"/>
          <w:spacing w:val="-3"/>
          <w:sz w:val="24"/>
          <w:szCs w:val="24"/>
        </w:rPr>
        <w:t>5m</w:t>
      </w:r>
      <w:r w:rsidRPr="00092862">
        <w:rPr>
          <w:rFonts w:ascii="Times New Roman" w:eastAsia="宋体" w:hAnsi="Times New Roman" w:cs="Times New Roman"/>
          <w:color w:val="000000" w:themeColor="text1"/>
          <w:spacing w:val="-3"/>
          <w:sz w:val="24"/>
          <w:szCs w:val="24"/>
        </w:rPr>
        <w:t>，主要以野桐</w:t>
      </w:r>
      <w:r w:rsidRPr="00092862">
        <w:rPr>
          <w:rFonts w:ascii="Times New Roman" w:eastAsia="宋体" w:hAnsi="Times New Roman" w:cs="Times New Roman"/>
          <w:i/>
          <w:iCs/>
          <w:color w:val="000000" w:themeColor="text1"/>
          <w:spacing w:val="-3"/>
          <w:sz w:val="24"/>
          <w:szCs w:val="24"/>
        </w:rPr>
        <w:t>Mallotus</w:t>
      </w:r>
      <w:r w:rsidRPr="00092862">
        <w:rPr>
          <w:rFonts w:ascii="Times New Roman" w:eastAsia="宋体" w:hAnsi="Times New Roman" w:cs="Times New Roman"/>
          <w:color w:val="000000" w:themeColor="text1"/>
          <w:spacing w:val="-3"/>
          <w:sz w:val="24"/>
          <w:szCs w:val="24"/>
        </w:rPr>
        <w:t xml:space="preserve"> </w:t>
      </w:r>
      <w:r w:rsidRPr="00092862">
        <w:rPr>
          <w:rFonts w:ascii="Times New Roman" w:eastAsia="宋体" w:hAnsi="Times New Roman" w:cs="Times New Roman"/>
          <w:i/>
          <w:iCs/>
          <w:color w:val="000000" w:themeColor="text1"/>
          <w:spacing w:val="-3"/>
          <w:sz w:val="24"/>
          <w:szCs w:val="24"/>
        </w:rPr>
        <w:t>tenuifolius</w:t>
      </w:r>
      <w:r w:rsidRPr="00092862">
        <w:rPr>
          <w:rFonts w:ascii="Times New Roman" w:eastAsia="宋体" w:hAnsi="Times New Roman" w:cs="Times New Roman"/>
          <w:color w:val="000000" w:themeColor="text1"/>
          <w:spacing w:val="-3"/>
          <w:sz w:val="24"/>
          <w:szCs w:val="24"/>
        </w:rPr>
        <w:t>和盐肤木</w:t>
      </w:r>
      <w:r w:rsidRPr="00092862">
        <w:rPr>
          <w:rFonts w:ascii="Times New Roman" w:eastAsia="宋体" w:hAnsi="Times New Roman" w:cs="Times New Roman"/>
          <w:i/>
          <w:iCs/>
          <w:color w:val="000000" w:themeColor="text1"/>
          <w:spacing w:val="-3"/>
          <w:sz w:val="24"/>
          <w:szCs w:val="24"/>
        </w:rPr>
        <w:t>Rhus</w:t>
      </w:r>
      <w:r w:rsidRPr="00092862">
        <w:rPr>
          <w:rFonts w:ascii="Times New Roman" w:eastAsia="宋体" w:hAnsi="Times New Roman" w:cs="Times New Roman"/>
          <w:color w:val="000000" w:themeColor="text1"/>
          <w:spacing w:val="-3"/>
          <w:sz w:val="24"/>
          <w:szCs w:val="24"/>
        </w:rPr>
        <w:t xml:space="preserve"> </w:t>
      </w:r>
      <w:r w:rsidRPr="00092862">
        <w:rPr>
          <w:rFonts w:ascii="Times New Roman" w:eastAsia="宋体" w:hAnsi="Times New Roman" w:cs="Times New Roman"/>
          <w:i/>
          <w:iCs/>
          <w:color w:val="000000" w:themeColor="text1"/>
          <w:spacing w:val="-3"/>
          <w:sz w:val="24"/>
          <w:szCs w:val="24"/>
        </w:rPr>
        <w:t>chinens</w:t>
      </w:r>
      <w:r w:rsidRPr="00092862">
        <w:rPr>
          <w:rFonts w:ascii="Times New Roman" w:eastAsia="宋体" w:hAnsi="Times New Roman" w:cs="Times New Roman"/>
          <w:i/>
          <w:iCs/>
          <w:color w:val="000000" w:themeColor="text1"/>
          <w:sz w:val="24"/>
          <w:szCs w:val="24"/>
        </w:rPr>
        <w:t>is</w:t>
      </w:r>
      <w:r w:rsidRPr="00092862">
        <w:rPr>
          <w:rFonts w:ascii="Times New Roman" w:eastAsia="宋体" w:hAnsi="Times New Roman" w:cs="Times New Roman"/>
          <w:color w:val="000000" w:themeColor="text1"/>
          <w:spacing w:val="-3"/>
          <w:sz w:val="24"/>
          <w:szCs w:val="24"/>
        </w:rPr>
        <w:t>为优势，其</w:t>
      </w:r>
      <w:r w:rsidRPr="00092862">
        <w:rPr>
          <w:rFonts w:ascii="Times New Roman" w:eastAsia="宋体" w:hAnsi="Times New Roman" w:cs="Times New Roman"/>
          <w:color w:val="000000" w:themeColor="text1"/>
          <w:spacing w:val="-2"/>
          <w:sz w:val="24"/>
          <w:szCs w:val="24"/>
        </w:rPr>
        <w:t>他还有构树幼树</w:t>
      </w:r>
      <w:r w:rsidRPr="00092862">
        <w:rPr>
          <w:rFonts w:ascii="Times New Roman" w:eastAsia="宋体" w:hAnsi="Times New Roman" w:cs="Times New Roman"/>
          <w:i/>
          <w:iCs/>
          <w:color w:val="000000" w:themeColor="text1"/>
          <w:spacing w:val="-2"/>
          <w:sz w:val="24"/>
          <w:szCs w:val="24"/>
        </w:rPr>
        <w:t>Broussonetiapapyrifera</w:t>
      </w:r>
      <w:r w:rsidRPr="00092862">
        <w:rPr>
          <w:rFonts w:ascii="Times New Roman" w:eastAsia="宋体" w:hAnsi="Times New Roman" w:cs="Times New Roman"/>
          <w:color w:val="000000" w:themeColor="text1"/>
          <w:spacing w:val="-2"/>
          <w:sz w:val="24"/>
          <w:szCs w:val="24"/>
        </w:rPr>
        <w:t>、细枝柃</w:t>
      </w:r>
      <w:r w:rsidRPr="00092862">
        <w:rPr>
          <w:rFonts w:ascii="Times New Roman" w:eastAsia="宋体" w:hAnsi="Times New Roman" w:cs="Times New Roman"/>
          <w:i/>
          <w:iCs/>
          <w:color w:val="000000" w:themeColor="text1"/>
          <w:spacing w:val="-2"/>
          <w:sz w:val="24"/>
          <w:szCs w:val="24"/>
        </w:rPr>
        <w:t>Eurya</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i/>
          <w:iCs/>
          <w:color w:val="000000" w:themeColor="text1"/>
          <w:spacing w:val="-2"/>
          <w:sz w:val="24"/>
          <w:szCs w:val="24"/>
        </w:rPr>
        <w:t>loquaiana</w:t>
      </w:r>
      <w:r w:rsidRPr="00092862">
        <w:rPr>
          <w:rFonts w:ascii="Times New Roman" w:eastAsia="宋体" w:hAnsi="Times New Roman" w:cs="Times New Roman"/>
          <w:color w:val="000000" w:themeColor="text1"/>
          <w:spacing w:val="-2"/>
          <w:sz w:val="24"/>
          <w:szCs w:val="24"/>
        </w:rPr>
        <w:t>、皱叶荚蒾</w:t>
      </w:r>
      <w:r w:rsidRPr="00092862">
        <w:rPr>
          <w:rFonts w:ascii="Times New Roman" w:eastAsia="宋体" w:hAnsi="Times New Roman" w:cs="Times New Roman"/>
          <w:i/>
          <w:iCs/>
          <w:color w:val="000000" w:themeColor="text1"/>
          <w:spacing w:val="-2"/>
          <w:sz w:val="24"/>
          <w:szCs w:val="24"/>
        </w:rPr>
        <w:t>Viburn</w:t>
      </w:r>
      <w:r w:rsidRPr="00092862">
        <w:rPr>
          <w:rFonts w:ascii="Times New Roman" w:eastAsia="宋体" w:hAnsi="Times New Roman" w:cs="Times New Roman"/>
          <w:i/>
          <w:iCs/>
          <w:color w:val="000000" w:themeColor="text1"/>
          <w:spacing w:val="-1"/>
          <w:sz w:val="24"/>
          <w:szCs w:val="24"/>
        </w:rPr>
        <w:t>u</w:t>
      </w:r>
      <w:r w:rsidRPr="00092862">
        <w:rPr>
          <w:rFonts w:ascii="Times New Roman" w:eastAsia="宋体" w:hAnsi="Times New Roman" w:cs="Times New Roman"/>
          <w:i/>
          <w:iCs/>
          <w:color w:val="000000" w:themeColor="text1"/>
          <w:sz w:val="24"/>
          <w:szCs w:val="24"/>
        </w:rPr>
        <w:t>m</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i/>
          <w:iCs/>
          <w:color w:val="000000" w:themeColor="text1"/>
          <w:spacing w:val="-2"/>
          <w:sz w:val="24"/>
          <w:szCs w:val="24"/>
        </w:rPr>
        <w:t>rhytidophyllum</w:t>
      </w:r>
      <w:r w:rsidRPr="00092862">
        <w:rPr>
          <w:rFonts w:ascii="Times New Roman" w:eastAsia="宋体" w:hAnsi="Times New Roman" w:cs="Times New Roman"/>
          <w:color w:val="000000" w:themeColor="text1"/>
          <w:spacing w:val="-2"/>
          <w:sz w:val="24"/>
          <w:szCs w:val="24"/>
        </w:rPr>
        <w:t>、宜昌悬钩子</w:t>
      </w:r>
      <w:r w:rsidRPr="00092862">
        <w:rPr>
          <w:rFonts w:ascii="Times New Roman" w:eastAsia="宋体" w:hAnsi="Times New Roman" w:cs="Times New Roman"/>
          <w:i/>
          <w:iCs/>
          <w:color w:val="000000" w:themeColor="text1"/>
          <w:spacing w:val="-2"/>
          <w:sz w:val="24"/>
          <w:szCs w:val="24"/>
        </w:rPr>
        <w:t>Rubus</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i/>
          <w:iCs/>
          <w:color w:val="000000" w:themeColor="text1"/>
          <w:spacing w:val="-2"/>
          <w:sz w:val="24"/>
          <w:szCs w:val="24"/>
        </w:rPr>
        <w:t>ichangen</w:t>
      </w:r>
      <w:r w:rsidRPr="00092862">
        <w:rPr>
          <w:rFonts w:ascii="Times New Roman" w:eastAsia="宋体" w:hAnsi="Times New Roman" w:cs="Times New Roman"/>
          <w:i/>
          <w:iCs/>
          <w:color w:val="000000" w:themeColor="text1"/>
          <w:spacing w:val="-1"/>
          <w:sz w:val="24"/>
          <w:szCs w:val="24"/>
        </w:rPr>
        <w:t>s</w:t>
      </w:r>
      <w:r w:rsidRPr="00092862">
        <w:rPr>
          <w:rFonts w:ascii="Times New Roman" w:eastAsia="宋体" w:hAnsi="Times New Roman" w:cs="Times New Roman"/>
          <w:i/>
          <w:iCs/>
          <w:color w:val="000000" w:themeColor="text1"/>
          <w:sz w:val="24"/>
          <w:szCs w:val="24"/>
        </w:rPr>
        <w:t>is</w:t>
      </w:r>
      <w:r w:rsidRPr="00092862">
        <w:rPr>
          <w:rFonts w:ascii="Times New Roman" w:eastAsia="宋体" w:hAnsi="Times New Roman" w:cs="Times New Roman"/>
          <w:color w:val="000000" w:themeColor="text1"/>
          <w:spacing w:val="-2"/>
          <w:sz w:val="24"/>
          <w:szCs w:val="24"/>
        </w:rPr>
        <w:t>等。</w:t>
      </w:r>
    </w:p>
    <w:p w14:paraId="29F4DD57" w14:textId="77777777" w:rsidR="00087418" w:rsidRPr="00092862" w:rsidRDefault="00087418" w:rsidP="00087418">
      <w:pPr>
        <w:spacing w:before="3" w:line="480" w:lineRule="exact"/>
        <w:ind w:left="34" w:right="99" w:firstLine="486"/>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pacing w:val="-16"/>
          <w:sz w:val="24"/>
          <w:szCs w:val="24"/>
        </w:rPr>
        <w:t>草本层盖</w:t>
      </w:r>
      <w:r w:rsidRPr="00092862">
        <w:rPr>
          <w:rFonts w:ascii="Times New Roman" w:eastAsia="宋体" w:hAnsi="Times New Roman" w:cs="Times New Roman"/>
          <w:color w:val="000000" w:themeColor="text1"/>
          <w:spacing w:val="-8"/>
          <w:sz w:val="24"/>
          <w:szCs w:val="24"/>
        </w:rPr>
        <w:t>度约</w:t>
      </w:r>
      <w:r w:rsidRPr="00092862">
        <w:rPr>
          <w:rFonts w:ascii="Times New Roman" w:eastAsia="宋体" w:hAnsi="Times New Roman" w:cs="Times New Roman"/>
          <w:color w:val="000000" w:themeColor="text1"/>
          <w:spacing w:val="-8"/>
          <w:sz w:val="24"/>
          <w:szCs w:val="24"/>
        </w:rPr>
        <w:t>30%</w:t>
      </w:r>
      <w:r w:rsidRPr="00092862">
        <w:rPr>
          <w:rFonts w:ascii="Times New Roman" w:eastAsia="宋体" w:hAnsi="Times New Roman" w:cs="Times New Roman"/>
          <w:color w:val="000000" w:themeColor="text1"/>
          <w:spacing w:val="-8"/>
          <w:sz w:val="24"/>
          <w:szCs w:val="24"/>
        </w:rPr>
        <w:t>，高度在</w:t>
      </w:r>
      <w:r w:rsidRPr="00092862">
        <w:rPr>
          <w:rFonts w:ascii="Times New Roman" w:eastAsia="宋体" w:hAnsi="Times New Roman" w:cs="Times New Roman"/>
          <w:color w:val="000000" w:themeColor="text1"/>
          <w:spacing w:val="-8"/>
          <w:sz w:val="24"/>
          <w:szCs w:val="24"/>
        </w:rPr>
        <w:t>0.1~0.5m</w:t>
      </w:r>
      <w:r w:rsidRPr="00092862">
        <w:rPr>
          <w:rFonts w:ascii="Times New Roman" w:eastAsia="宋体" w:hAnsi="Times New Roman" w:cs="Times New Roman"/>
          <w:color w:val="000000" w:themeColor="text1"/>
          <w:spacing w:val="-8"/>
          <w:sz w:val="24"/>
          <w:szCs w:val="24"/>
        </w:rPr>
        <w:t>之间，优势种有淡竹叶</w:t>
      </w:r>
      <w:r w:rsidRPr="00092862">
        <w:rPr>
          <w:rFonts w:ascii="Times New Roman" w:eastAsia="宋体" w:hAnsi="Times New Roman" w:cs="Times New Roman"/>
          <w:i/>
          <w:iCs/>
          <w:color w:val="000000" w:themeColor="text1"/>
          <w:spacing w:val="-8"/>
          <w:sz w:val="24"/>
          <w:szCs w:val="24"/>
        </w:rPr>
        <w:t>Lophatherum</w:t>
      </w:r>
      <w:r w:rsidRPr="00092862">
        <w:rPr>
          <w:rFonts w:ascii="Times New Roman" w:eastAsia="宋体" w:hAnsi="Times New Roman" w:cs="Times New Roman"/>
          <w:color w:val="000000" w:themeColor="text1"/>
          <w:spacing w:val="-8"/>
          <w:sz w:val="24"/>
          <w:szCs w:val="24"/>
        </w:rPr>
        <w:t xml:space="preserve"> </w:t>
      </w:r>
      <w:r w:rsidRPr="00092862">
        <w:rPr>
          <w:rFonts w:ascii="Times New Roman" w:eastAsia="宋体" w:hAnsi="Times New Roman" w:cs="Times New Roman"/>
          <w:i/>
          <w:iCs/>
          <w:color w:val="000000" w:themeColor="text1"/>
          <w:spacing w:val="-8"/>
          <w:sz w:val="24"/>
          <w:szCs w:val="24"/>
        </w:rPr>
        <w:t>gracile</w:t>
      </w:r>
      <w:r w:rsidRPr="00092862">
        <w:rPr>
          <w:rFonts w:ascii="Times New Roman" w:eastAsia="宋体" w:hAnsi="Times New Roman" w:cs="Times New Roman"/>
          <w:color w:val="000000" w:themeColor="text1"/>
          <w:spacing w:val="-8"/>
          <w:sz w:val="24"/>
          <w:szCs w:val="24"/>
        </w:rPr>
        <w:t>、荩</w:t>
      </w:r>
      <w:r w:rsidRPr="00092862">
        <w:rPr>
          <w:rFonts w:ascii="Times New Roman" w:eastAsia="宋体" w:hAnsi="Times New Roman" w:cs="Times New Roman"/>
          <w:color w:val="000000" w:themeColor="text1"/>
          <w:spacing w:val="-4"/>
          <w:sz w:val="24"/>
          <w:szCs w:val="24"/>
        </w:rPr>
        <w:t>草</w:t>
      </w:r>
      <w:r w:rsidRPr="00092862">
        <w:rPr>
          <w:rFonts w:ascii="Times New Roman" w:eastAsia="宋体" w:hAnsi="Times New Roman" w:cs="Times New Roman"/>
          <w:i/>
          <w:iCs/>
          <w:color w:val="000000" w:themeColor="text1"/>
          <w:spacing w:val="-4"/>
          <w:sz w:val="24"/>
          <w:szCs w:val="24"/>
        </w:rPr>
        <w:t>Hedyoti</w:t>
      </w:r>
      <w:r w:rsidRPr="00092862">
        <w:rPr>
          <w:rFonts w:ascii="Times New Roman" w:eastAsia="宋体" w:hAnsi="Times New Roman" w:cs="Times New Roman"/>
          <w:i/>
          <w:iCs/>
          <w:color w:val="000000" w:themeColor="text1"/>
          <w:spacing w:val="-2"/>
          <w:sz w:val="24"/>
          <w:szCs w:val="24"/>
        </w:rPr>
        <w:t>s</w:t>
      </w:r>
      <w:r w:rsidRPr="00092862">
        <w:rPr>
          <w:rFonts w:ascii="Times New Roman" w:eastAsia="宋体" w:hAnsi="Times New Roman" w:cs="Times New Roman"/>
          <w:color w:val="000000" w:themeColor="text1"/>
          <w:spacing w:val="-4"/>
          <w:sz w:val="24"/>
          <w:szCs w:val="24"/>
        </w:rPr>
        <w:t xml:space="preserve"> </w:t>
      </w:r>
      <w:r w:rsidRPr="00092862">
        <w:rPr>
          <w:rFonts w:ascii="Times New Roman" w:eastAsia="宋体" w:hAnsi="Times New Roman" w:cs="Times New Roman"/>
          <w:i/>
          <w:iCs/>
          <w:color w:val="000000" w:themeColor="text1"/>
          <w:spacing w:val="-2"/>
          <w:sz w:val="24"/>
          <w:szCs w:val="24"/>
        </w:rPr>
        <w:t>acutangular</w:t>
      </w:r>
      <w:r w:rsidRPr="00092862">
        <w:rPr>
          <w:rFonts w:ascii="Times New Roman" w:eastAsia="宋体" w:hAnsi="Times New Roman" w:cs="Times New Roman"/>
          <w:color w:val="000000" w:themeColor="text1"/>
          <w:spacing w:val="-4"/>
          <w:sz w:val="24"/>
          <w:szCs w:val="24"/>
        </w:rPr>
        <w:t>、乌蕨</w:t>
      </w:r>
      <w:r w:rsidRPr="00092862">
        <w:rPr>
          <w:rFonts w:ascii="Times New Roman" w:eastAsia="宋体" w:hAnsi="Times New Roman" w:cs="Times New Roman"/>
          <w:i/>
          <w:iCs/>
          <w:color w:val="000000" w:themeColor="text1"/>
          <w:spacing w:val="-2"/>
          <w:sz w:val="24"/>
          <w:szCs w:val="24"/>
        </w:rPr>
        <w:t>Odontosoria</w:t>
      </w:r>
      <w:r w:rsidRPr="00092862">
        <w:rPr>
          <w:rFonts w:ascii="Times New Roman" w:eastAsia="宋体" w:hAnsi="Times New Roman" w:cs="Times New Roman"/>
          <w:color w:val="000000" w:themeColor="text1"/>
          <w:spacing w:val="-4"/>
          <w:sz w:val="24"/>
          <w:szCs w:val="24"/>
        </w:rPr>
        <w:t xml:space="preserve"> </w:t>
      </w:r>
      <w:r w:rsidRPr="00092862">
        <w:rPr>
          <w:rFonts w:ascii="Times New Roman" w:eastAsia="宋体" w:hAnsi="Times New Roman" w:cs="Times New Roman"/>
          <w:i/>
          <w:iCs/>
          <w:color w:val="000000" w:themeColor="text1"/>
          <w:spacing w:val="-2"/>
          <w:sz w:val="24"/>
          <w:szCs w:val="24"/>
        </w:rPr>
        <w:t>chinensis</w:t>
      </w:r>
      <w:r w:rsidRPr="00092862">
        <w:rPr>
          <w:rFonts w:ascii="Times New Roman" w:eastAsia="宋体" w:hAnsi="Times New Roman" w:cs="Times New Roman"/>
          <w:color w:val="000000" w:themeColor="text1"/>
          <w:spacing w:val="-4"/>
          <w:sz w:val="24"/>
          <w:szCs w:val="24"/>
        </w:rPr>
        <w:t>，伴生种有尖齿耳蕨</w:t>
      </w:r>
      <w:r w:rsidRPr="00092862">
        <w:rPr>
          <w:rFonts w:ascii="Times New Roman" w:eastAsia="宋体" w:hAnsi="Times New Roman" w:cs="Times New Roman"/>
          <w:i/>
          <w:iCs/>
          <w:color w:val="000000" w:themeColor="text1"/>
          <w:spacing w:val="-2"/>
          <w:sz w:val="24"/>
          <w:szCs w:val="24"/>
        </w:rPr>
        <w:t>Polystichum</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i/>
          <w:iCs/>
          <w:color w:val="000000" w:themeColor="text1"/>
          <w:spacing w:val="-3"/>
          <w:sz w:val="24"/>
          <w:szCs w:val="24"/>
        </w:rPr>
        <w:t>longidens</w:t>
      </w:r>
      <w:r w:rsidRPr="00092862">
        <w:rPr>
          <w:rFonts w:ascii="Times New Roman" w:eastAsia="宋体" w:hAnsi="Times New Roman" w:cs="Times New Roman"/>
          <w:color w:val="000000" w:themeColor="text1"/>
          <w:spacing w:val="-3"/>
          <w:sz w:val="24"/>
          <w:szCs w:val="24"/>
        </w:rPr>
        <w:t>、葎草</w:t>
      </w:r>
      <w:r w:rsidRPr="00092862">
        <w:rPr>
          <w:rFonts w:ascii="Times New Roman" w:eastAsia="宋体" w:hAnsi="Times New Roman" w:cs="Times New Roman"/>
          <w:i/>
          <w:iCs/>
          <w:color w:val="000000" w:themeColor="text1"/>
          <w:spacing w:val="-3"/>
          <w:sz w:val="24"/>
          <w:szCs w:val="24"/>
        </w:rPr>
        <w:t>Humulus</w:t>
      </w:r>
      <w:r w:rsidRPr="00092862">
        <w:rPr>
          <w:rFonts w:ascii="Times New Roman" w:eastAsia="宋体" w:hAnsi="Times New Roman" w:cs="Times New Roman"/>
          <w:color w:val="000000" w:themeColor="text1"/>
          <w:spacing w:val="-3"/>
          <w:sz w:val="24"/>
          <w:szCs w:val="24"/>
        </w:rPr>
        <w:t xml:space="preserve"> </w:t>
      </w:r>
      <w:r w:rsidRPr="00092862">
        <w:rPr>
          <w:rFonts w:ascii="Times New Roman" w:eastAsia="宋体" w:hAnsi="Times New Roman" w:cs="Times New Roman"/>
          <w:i/>
          <w:iCs/>
          <w:color w:val="000000" w:themeColor="text1"/>
          <w:spacing w:val="-3"/>
          <w:sz w:val="24"/>
          <w:szCs w:val="24"/>
        </w:rPr>
        <w:t>scandens</w:t>
      </w:r>
      <w:r w:rsidRPr="00092862">
        <w:rPr>
          <w:rFonts w:ascii="Times New Roman" w:eastAsia="宋体" w:hAnsi="Times New Roman" w:cs="Times New Roman"/>
          <w:color w:val="000000" w:themeColor="text1"/>
          <w:spacing w:val="-3"/>
          <w:sz w:val="24"/>
          <w:szCs w:val="24"/>
        </w:rPr>
        <w:t>、酸模叶蓼</w:t>
      </w:r>
      <w:r w:rsidRPr="00092862">
        <w:rPr>
          <w:rFonts w:ascii="Times New Roman" w:eastAsia="宋体" w:hAnsi="Times New Roman" w:cs="Times New Roman"/>
          <w:i/>
          <w:iCs/>
          <w:color w:val="000000" w:themeColor="text1"/>
          <w:spacing w:val="-3"/>
          <w:sz w:val="24"/>
          <w:szCs w:val="24"/>
        </w:rPr>
        <w:t>Rumex</w:t>
      </w:r>
      <w:r w:rsidRPr="00092862">
        <w:rPr>
          <w:rFonts w:ascii="Times New Roman" w:eastAsia="宋体" w:hAnsi="Times New Roman" w:cs="Times New Roman"/>
          <w:color w:val="000000" w:themeColor="text1"/>
          <w:spacing w:val="-3"/>
          <w:sz w:val="24"/>
          <w:szCs w:val="24"/>
        </w:rPr>
        <w:t xml:space="preserve"> </w:t>
      </w:r>
      <w:r w:rsidRPr="00092862">
        <w:rPr>
          <w:rFonts w:ascii="Times New Roman" w:eastAsia="宋体" w:hAnsi="Times New Roman" w:cs="Times New Roman"/>
          <w:i/>
          <w:iCs/>
          <w:color w:val="000000" w:themeColor="text1"/>
          <w:spacing w:val="-3"/>
          <w:sz w:val="24"/>
          <w:szCs w:val="24"/>
        </w:rPr>
        <w:t>hastatus</w:t>
      </w:r>
      <w:r w:rsidRPr="00092862">
        <w:rPr>
          <w:rFonts w:ascii="Times New Roman" w:eastAsia="宋体" w:hAnsi="Times New Roman" w:cs="Times New Roman"/>
          <w:color w:val="000000" w:themeColor="text1"/>
          <w:spacing w:val="-3"/>
          <w:sz w:val="24"/>
          <w:szCs w:val="24"/>
        </w:rPr>
        <w:t>、蒲儿根</w:t>
      </w:r>
      <w:r w:rsidRPr="00092862">
        <w:rPr>
          <w:rFonts w:ascii="Times New Roman" w:eastAsia="宋体" w:hAnsi="Times New Roman" w:cs="Times New Roman"/>
          <w:i/>
          <w:iCs/>
          <w:color w:val="000000" w:themeColor="text1"/>
          <w:spacing w:val="-3"/>
          <w:sz w:val="24"/>
          <w:szCs w:val="24"/>
        </w:rPr>
        <w:t>Sinosen</w:t>
      </w:r>
      <w:r w:rsidRPr="00092862">
        <w:rPr>
          <w:rFonts w:ascii="Times New Roman" w:eastAsia="宋体" w:hAnsi="Times New Roman" w:cs="Times New Roman"/>
          <w:i/>
          <w:iCs/>
          <w:color w:val="000000" w:themeColor="text1"/>
          <w:spacing w:val="-1"/>
          <w:sz w:val="24"/>
          <w:szCs w:val="24"/>
        </w:rPr>
        <w:t>e</w:t>
      </w:r>
      <w:r w:rsidRPr="00092862">
        <w:rPr>
          <w:rFonts w:ascii="Times New Roman" w:eastAsia="宋体" w:hAnsi="Times New Roman" w:cs="Times New Roman"/>
          <w:i/>
          <w:iCs/>
          <w:color w:val="000000" w:themeColor="text1"/>
          <w:sz w:val="24"/>
          <w:szCs w:val="24"/>
        </w:rPr>
        <w:t>cio</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i/>
          <w:iCs/>
          <w:color w:val="000000" w:themeColor="text1"/>
          <w:spacing w:val="-5"/>
          <w:sz w:val="24"/>
          <w:szCs w:val="24"/>
        </w:rPr>
        <w:t>oldhamianus</w:t>
      </w:r>
      <w:r w:rsidRPr="00092862">
        <w:rPr>
          <w:rFonts w:ascii="Times New Roman" w:eastAsia="宋体" w:hAnsi="Times New Roman" w:cs="Times New Roman"/>
          <w:color w:val="000000" w:themeColor="text1"/>
          <w:spacing w:val="-10"/>
          <w:sz w:val="24"/>
          <w:szCs w:val="24"/>
        </w:rPr>
        <w:t>、透</w:t>
      </w:r>
      <w:r w:rsidRPr="00092862">
        <w:rPr>
          <w:rFonts w:ascii="Times New Roman" w:eastAsia="宋体" w:hAnsi="Times New Roman" w:cs="Times New Roman"/>
          <w:color w:val="000000" w:themeColor="text1"/>
          <w:spacing w:val="-6"/>
          <w:sz w:val="24"/>
          <w:szCs w:val="24"/>
        </w:rPr>
        <w:t>茎</w:t>
      </w:r>
      <w:r w:rsidRPr="00092862">
        <w:rPr>
          <w:rFonts w:ascii="Times New Roman" w:eastAsia="宋体" w:hAnsi="Times New Roman" w:cs="Times New Roman"/>
          <w:color w:val="000000" w:themeColor="text1"/>
          <w:spacing w:val="-5"/>
          <w:sz w:val="24"/>
          <w:szCs w:val="24"/>
        </w:rPr>
        <w:t>冷水花</w:t>
      </w:r>
      <w:r w:rsidRPr="00092862">
        <w:rPr>
          <w:rFonts w:ascii="Times New Roman" w:eastAsia="宋体" w:hAnsi="Times New Roman" w:cs="Times New Roman"/>
          <w:i/>
          <w:iCs/>
          <w:color w:val="000000" w:themeColor="text1"/>
          <w:spacing w:val="-5"/>
          <w:sz w:val="24"/>
          <w:szCs w:val="24"/>
        </w:rPr>
        <w:t>Pileapumila</w:t>
      </w:r>
      <w:r w:rsidRPr="00092862">
        <w:rPr>
          <w:rFonts w:ascii="Times New Roman" w:eastAsia="宋体" w:hAnsi="Times New Roman" w:cs="Times New Roman"/>
          <w:color w:val="000000" w:themeColor="text1"/>
          <w:spacing w:val="-5"/>
          <w:sz w:val="24"/>
          <w:szCs w:val="24"/>
        </w:rPr>
        <w:t>、华南毛蕨</w:t>
      </w:r>
      <w:r w:rsidRPr="00092862">
        <w:rPr>
          <w:rFonts w:ascii="Times New Roman" w:eastAsia="宋体" w:hAnsi="Times New Roman" w:cs="Times New Roman"/>
          <w:color w:val="000000" w:themeColor="text1"/>
          <w:spacing w:val="-5"/>
          <w:sz w:val="24"/>
          <w:szCs w:val="24"/>
        </w:rPr>
        <w:t xml:space="preserve"> </w:t>
      </w:r>
      <w:r w:rsidRPr="00092862">
        <w:rPr>
          <w:rFonts w:ascii="Times New Roman" w:eastAsia="宋体" w:hAnsi="Times New Roman" w:cs="Times New Roman"/>
          <w:i/>
          <w:iCs/>
          <w:color w:val="000000" w:themeColor="text1"/>
          <w:spacing w:val="-5"/>
          <w:sz w:val="24"/>
          <w:szCs w:val="24"/>
        </w:rPr>
        <w:t>Cyclosorus</w:t>
      </w:r>
      <w:r w:rsidRPr="00092862">
        <w:rPr>
          <w:rFonts w:ascii="Times New Roman" w:eastAsia="宋体" w:hAnsi="Times New Roman" w:cs="Times New Roman"/>
          <w:color w:val="000000" w:themeColor="text1"/>
          <w:spacing w:val="-5"/>
          <w:sz w:val="24"/>
          <w:szCs w:val="24"/>
        </w:rPr>
        <w:t xml:space="preserve"> </w:t>
      </w:r>
      <w:r w:rsidRPr="00092862">
        <w:rPr>
          <w:rFonts w:ascii="Times New Roman" w:eastAsia="宋体" w:hAnsi="Times New Roman" w:cs="Times New Roman"/>
          <w:i/>
          <w:iCs/>
          <w:color w:val="000000" w:themeColor="text1"/>
          <w:spacing w:val="-5"/>
          <w:sz w:val="24"/>
          <w:szCs w:val="24"/>
        </w:rPr>
        <w:t>parasiticus</w:t>
      </w:r>
      <w:r w:rsidRPr="00092862">
        <w:rPr>
          <w:rFonts w:ascii="Times New Roman" w:eastAsia="宋体" w:hAnsi="Times New Roman" w:cs="Times New Roman"/>
          <w:color w:val="000000" w:themeColor="text1"/>
          <w:spacing w:val="-5"/>
          <w:sz w:val="24"/>
          <w:szCs w:val="24"/>
        </w:rPr>
        <w:t>、刺齿凤尾蕨</w:t>
      </w:r>
      <w:r w:rsidRPr="00092862">
        <w:rPr>
          <w:rFonts w:ascii="Times New Roman" w:eastAsia="宋体" w:hAnsi="Times New Roman" w:cs="Times New Roman"/>
          <w:color w:val="000000" w:themeColor="text1"/>
          <w:spacing w:val="-5"/>
          <w:sz w:val="24"/>
          <w:szCs w:val="24"/>
        </w:rPr>
        <w:t xml:space="preserve"> </w:t>
      </w:r>
      <w:r w:rsidRPr="00092862">
        <w:rPr>
          <w:rFonts w:ascii="Times New Roman" w:eastAsia="宋体" w:hAnsi="Times New Roman" w:cs="Times New Roman"/>
          <w:i/>
          <w:iCs/>
          <w:color w:val="000000" w:themeColor="text1"/>
          <w:spacing w:val="-5"/>
          <w:sz w:val="24"/>
          <w:szCs w:val="24"/>
        </w:rPr>
        <w:t>Pteris</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i/>
          <w:iCs/>
          <w:color w:val="000000" w:themeColor="text1"/>
          <w:spacing w:val="-2"/>
          <w:sz w:val="24"/>
          <w:szCs w:val="24"/>
        </w:rPr>
        <w:t>dispar</w:t>
      </w:r>
      <w:r w:rsidRPr="00092862">
        <w:rPr>
          <w:rFonts w:ascii="Times New Roman" w:eastAsia="宋体" w:hAnsi="Times New Roman" w:cs="Times New Roman"/>
          <w:color w:val="000000" w:themeColor="text1"/>
          <w:spacing w:val="-4"/>
          <w:sz w:val="24"/>
          <w:szCs w:val="24"/>
        </w:rPr>
        <w:t>、异叶黄鹌菜</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i/>
          <w:iCs/>
          <w:color w:val="000000" w:themeColor="text1"/>
          <w:spacing w:val="-2"/>
          <w:sz w:val="24"/>
          <w:szCs w:val="24"/>
        </w:rPr>
        <w:t>Youngia</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i/>
          <w:iCs/>
          <w:color w:val="000000" w:themeColor="text1"/>
          <w:spacing w:val="-2"/>
          <w:sz w:val="24"/>
          <w:szCs w:val="24"/>
        </w:rPr>
        <w:t>heterophylla</w:t>
      </w:r>
      <w:r w:rsidRPr="00092862">
        <w:rPr>
          <w:rFonts w:ascii="Times New Roman" w:eastAsia="宋体" w:hAnsi="Times New Roman" w:cs="Times New Roman"/>
          <w:color w:val="000000" w:themeColor="text1"/>
          <w:spacing w:val="-2"/>
          <w:sz w:val="24"/>
          <w:szCs w:val="24"/>
        </w:rPr>
        <w:t>、拉拉藤</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i/>
          <w:iCs/>
          <w:color w:val="000000" w:themeColor="text1"/>
          <w:spacing w:val="-2"/>
          <w:sz w:val="24"/>
          <w:szCs w:val="24"/>
        </w:rPr>
        <w:t>Galium</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i/>
          <w:iCs/>
          <w:color w:val="000000" w:themeColor="text1"/>
          <w:spacing w:val="-2"/>
          <w:sz w:val="24"/>
          <w:szCs w:val="24"/>
        </w:rPr>
        <w:t>aparine</w:t>
      </w:r>
      <w:r w:rsidRPr="00092862">
        <w:rPr>
          <w:rFonts w:ascii="Times New Roman" w:eastAsia="宋体" w:hAnsi="Times New Roman" w:cs="Times New Roman"/>
          <w:color w:val="000000" w:themeColor="text1"/>
          <w:spacing w:val="-2"/>
          <w:sz w:val="24"/>
          <w:szCs w:val="24"/>
        </w:rPr>
        <w:t xml:space="preserve"> var. </w:t>
      </w:r>
      <w:r w:rsidRPr="00092862">
        <w:rPr>
          <w:rFonts w:ascii="Times New Roman" w:eastAsia="宋体" w:hAnsi="Times New Roman" w:cs="Times New Roman"/>
          <w:i/>
          <w:iCs/>
          <w:color w:val="000000" w:themeColor="text1"/>
          <w:spacing w:val="-2"/>
          <w:sz w:val="24"/>
          <w:szCs w:val="24"/>
        </w:rPr>
        <w:t>Echinospermum</w:t>
      </w:r>
      <w:r w:rsidRPr="00092862">
        <w:rPr>
          <w:rFonts w:ascii="Times New Roman" w:eastAsia="宋体" w:hAnsi="Times New Roman" w:cs="Times New Roman"/>
          <w:color w:val="000000" w:themeColor="text1"/>
          <w:spacing w:val="-2"/>
          <w:sz w:val="24"/>
          <w:szCs w:val="24"/>
        </w:rPr>
        <w:t xml:space="preserve"> </w:t>
      </w:r>
      <w:r w:rsidRPr="00092862">
        <w:rPr>
          <w:rFonts w:ascii="Times New Roman" w:eastAsia="宋体" w:hAnsi="Times New Roman" w:cs="Times New Roman"/>
          <w:color w:val="000000" w:themeColor="text1"/>
          <w:spacing w:val="-2"/>
          <w:sz w:val="24"/>
          <w:szCs w:val="24"/>
        </w:rPr>
        <w:t>等。</w:t>
      </w:r>
    </w:p>
    <w:p w14:paraId="31DC0D20" w14:textId="77777777" w:rsidR="00087418" w:rsidRPr="00092862" w:rsidRDefault="00087418" w:rsidP="00087418">
      <w:pPr>
        <w:spacing w:line="480" w:lineRule="exact"/>
        <w:ind w:firstLineChars="200" w:firstLine="51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pacing w:val="15"/>
          <w:sz w:val="24"/>
          <w:szCs w:val="24"/>
        </w:rPr>
        <w:t>②</w:t>
      </w:r>
      <w:r w:rsidRPr="00092862">
        <w:rPr>
          <w:rFonts w:ascii="Times New Roman" w:eastAsia="宋体" w:hAnsi="Times New Roman" w:cs="Times New Roman"/>
          <w:color w:val="000000" w:themeColor="text1"/>
          <w:sz w:val="24"/>
          <w:szCs w:val="24"/>
        </w:rPr>
        <w:t>马桑、黄荆、火棘、荚蒾灌丛群系（</w:t>
      </w:r>
      <w:r w:rsidRPr="00092862">
        <w:rPr>
          <w:rFonts w:ascii="Times New Roman" w:eastAsia="宋体" w:hAnsi="Times New Roman" w:cs="Times New Roman"/>
          <w:color w:val="000000" w:themeColor="text1"/>
          <w:sz w:val="24"/>
          <w:szCs w:val="24"/>
        </w:rPr>
        <w:t>Form.</w:t>
      </w:r>
      <w:r w:rsidRPr="00092862">
        <w:rPr>
          <w:rFonts w:ascii="Times New Roman" w:eastAsia="宋体" w:hAnsi="Times New Roman" w:cs="Times New Roman"/>
          <w:i/>
          <w:iCs/>
          <w:color w:val="000000" w:themeColor="text1"/>
          <w:sz w:val="24"/>
          <w:szCs w:val="24"/>
        </w:rPr>
        <w:t>Coriaria nepalensis+Vitex negundo+Pyracantha fortuneana+Viburnum dilatatum</w:t>
      </w:r>
      <w:r w:rsidRPr="00092862">
        <w:rPr>
          <w:rFonts w:ascii="Times New Roman" w:eastAsia="宋体" w:hAnsi="Times New Roman" w:cs="Times New Roman"/>
          <w:color w:val="000000" w:themeColor="text1"/>
          <w:sz w:val="24"/>
          <w:szCs w:val="24"/>
        </w:rPr>
        <w:t>）</w:t>
      </w:r>
    </w:p>
    <w:p w14:paraId="61F05924" w14:textId="77777777" w:rsidR="00087418" w:rsidRPr="00092862" w:rsidRDefault="00087418" w:rsidP="00087418">
      <w:pPr>
        <w:spacing w:line="480" w:lineRule="exact"/>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该群落多在林缘及砍伐迹地上出现，受人类活动干扰影响极大，群落结构不稳定，易向阔叶林演替。马桑、黄荆、火棘、荚蒾灌丛在评价区一些人类活动干扰较大的支沟内及居民点周围较为典型。</w:t>
      </w:r>
    </w:p>
    <w:p w14:paraId="5C98B615" w14:textId="77777777" w:rsidR="00087418" w:rsidRPr="00092862" w:rsidRDefault="00087418" w:rsidP="00087418">
      <w:pPr>
        <w:spacing w:line="480" w:lineRule="exact"/>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群落灌木层组成种类较为庞杂，总盖度达</w:t>
      </w:r>
      <w:r w:rsidRPr="00092862">
        <w:rPr>
          <w:rFonts w:ascii="Times New Roman" w:eastAsia="宋体" w:hAnsi="Times New Roman" w:cs="Times New Roman"/>
          <w:color w:val="000000" w:themeColor="text1"/>
          <w:sz w:val="24"/>
          <w:szCs w:val="24"/>
        </w:rPr>
        <w:t>60%</w:t>
      </w:r>
      <w:r w:rsidRPr="00092862">
        <w:rPr>
          <w:rFonts w:ascii="Times New Roman" w:eastAsia="宋体" w:hAnsi="Times New Roman" w:cs="Times New Roman"/>
          <w:color w:val="000000" w:themeColor="text1"/>
          <w:sz w:val="24"/>
          <w:szCs w:val="24"/>
        </w:rPr>
        <w:t>以上，以马桑、黄荆、火棘、荚蒾为优势种，平均高度</w:t>
      </w:r>
      <w:r w:rsidRPr="00092862">
        <w:rPr>
          <w:rFonts w:ascii="Times New Roman" w:eastAsia="宋体" w:hAnsi="Times New Roman" w:cs="Times New Roman"/>
          <w:color w:val="000000" w:themeColor="text1"/>
          <w:sz w:val="24"/>
          <w:szCs w:val="24"/>
        </w:rPr>
        <w:t>2.5m</w:t>
      </w:r>
      <w:r w:rsidRPr="00092862">
        <w:rPr>
          <w:rFonts w:ascii="Times New Roman" w:eastAsia="宋体" w:hAnsi="Times New Roman" w:cs="Times New Roman"/>
          <w:color w:val="000000" w:themeColor="text1"/>
          <w:sz w:val="24"/>
          <w:szCs w:val="24"/>
        </w:rPr>
        <w:t>。其他灌木种类有杜鹃、盐肤木、野桐（</w:t>
      </w:r>
      <w:r w:rsidRPr="00092862">
        <w:rPr>
          <w:rFonts w:ascii="Times New Roman" w:eastAsia="宋体" w:hAnsi="Times New Roman" w:cs="Times New Roman"/>
          <w:i/>
          <w:iCs/>
          <w:color w:val="000000" w:themeColor="text1"/>
          <w:sz w:val="24"/>
          <w:szCs w:val="24"/>
        </w:rPr>
        <w:t>Mallotus japonicus var. floccosus</w:t>
      </w:r>
      <w:r w:rsidRPr="00092862">
        <w:rPr>
          <w:rFonts w:ascii="Times New Roman" w:eastAsia="宋体" w:hAnsi="Times New Roman" w:cs="Times New Roman"/>
          <w:color w:val="000000" w:themeColor="text1"/>
          <w:sz w:val="24"/>
          <w:szCs w:val="24"/>
        </w:rPr>
        <w:t>）、川莓、山合欢、多种悬钩子、美丽胡枝子（</w:t>
      </w:r>
      <w:r w:rsidRPr="00092862">
        <w:rPr>
          <w:rFonts w:ascii="Times New Roman" w:eastAsia="宋体" w:hAnsi="Times New Roman" w:cs="Times New Roman"/>
          <w:i/>
          <w:iCs/>
          <w:color w:val="000000" w:themeColor="text1"/>
          <w:sz w:val="24"/>
          <w:szCs w:val="24"/>
        </w:rPr>
        <w:t>Lespedeza formosa</w:t>
      </w:r>
      <w:r w:rsidRPr="00092862">
        <w:rPr>
          <w:rFonts w:ascii="Times New Roman" w:eastAsia="宋体" w:hAnsi="Times New Roman" w:cs="Times New Roman"/>
          <w:color w:val="000000" w:themeColor="text1"/>
          <w:sz w:val="24"/>
          <w:szCs w:val="24"/>
        </w:rPr>
        <w:t>）、山胡椒（</w:t>
      </w:r>
      <w:r w:rsidRPr="00092862">
        <w:rPr>
          <w:rFonts w:ascii="Times New Roman" w:eastAsia="宋体" w:hAnsi="Times New Roman" w:cs="Times New Roman"/>
          <w:i/>
          <w:iCs/>
          <w:color w:val="000000" w:themeColor="text1"/>
          <w:sz w:val="24"/>
          <w:szCs w:val="24"/>
        </w:rPr>
        <w:t>Lindera sp.</w:t>
      </w:r>
      <w:r w:rsidRPr="00092862">
        <w:rPr>
          <w:rFonts w:ascii="Times New Roman" w:eastAsia="宋体" w:hAnsi="Times New Roman" w:cs="Times New Roman"/>
          <w:color w:val="000000" w:themeColor="text1"/>
          <w:sz w:val="24"/>
          <w:szCs w:val="24"/>
        </w:rPr>
        <w:t>）等多种灌木类型。</w:t>
      </w:r>
    </w:p>
    <w:p w14:paraId="698E3511" w14:textId="77777777" w:rsidR="00087418" w:rsidRPr="00092862" w:rsidRDefault="00087418" w:rsidP="00087418">
      <w:pPr>
        <w:spacing w:line="480" w:lineRule="exact"/>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草本植物生长茂盛，分层明显。芒居于草本层第</w:t>
      </w:r>
      <w:r w:rsidRPr="00092862">
        <w:rPr>
          <w:rFonts w:ascii="Times New Roman" w:eastAsia="宋体" w:hAnsi="Times New Roman" w:cs="Times New Roman"/>
          <w:color w:val="000000" w:themeColor="text1"/>
          <w:sz w:val="24"/>
          <w:szCs w:val="24"/>
        </w:rPr>
        <w:t>Ⅰ</w:t>
      </w:r>
      <w:r w:rsidRPr="00092862">
        <w:rPr>
          <w:rFonts w:ascii="Times New Roman" w:eastAsia="宋体" w:hAnsi="Times New Roman" w:cs="Times New Roman"/>
          <w:color w:val="000000" w:themeColor="text1"/>
          <w:sz w:val="24"/>
          <w:szCs w:val="24"/>
        </w:rPr>
        <w:t>亚层植物，高度约</w:t>
      </w:r>
      <w:r w:rsidRPr="00092862">
        <w:rPr>
          <w:rFonts w:ascii="Times New Roman" w:eastAsia="宋体" w:hAnsi="Times New Roman" w:cs="Times New Roman"/>
          <w:color w:val="000000" w:themeColor="text1"/>
          <w:sz w:val="24"/>
          <w:szCs w:val="24"/>
        </w:rPr>
        <w:t>1.2m</w:t>
      </w:r>
      <w:r w:rsidRPr="00092862">
        <w:rPr>
          <w:rFonts w:ascii="Times New Roman" w:eastAsia="宋体" w:hAnsi="Times New Roman" w:cs="Times New Roman"/>
          <w:color w:val="000000" w:themeColor="text1"/>
          <w:sz w:val="24"/>
          <w:szCs w:val="24"/>
        </w:rPr>
        <w:t>。狗哇花（</w:t>
      </w:r>
      <w:r w:rsidRPr="00092862">
        <w:rPr>
          <w:rFonts w:ascii="Times New Roman" w:eastAsia="宋体" w:hAnsi="Times New Roman" w:cs="Times New Roman"/>
          <w:i/>
          <w:iCs/>
          <w:color w:val="000000" w:themeColor="text1"/>
          <w:sz w:val="24"/>
          <w:szCs w:val="24"/>
        </w:rPr>
        <w:t>Heteropappus hispidus</w:t>
      </w:r>
      <w:r w:rsidRPr="00092862">
        <w:rPr>
          <w:rFonts w:ascii="Times New Roman" w:eastAsia="宋体" w:hAnsi="Times New Roman" w:cs="Times New Roman"/>
          <w:color w:val="000000" w:themeColor="text1"/>
          <w:sz w:val="24"/>
          <w:szCs w:val="24"/>
        </w:rPr>
        <w:t>）、千里光（</w:t>
      </w:r>
      <w:r w:rsidRPr="00092862">
        <w:rPr>
          <w:rFonts w:ascii="Times New Roman" w:eastAsia="宋体" w:hAnsi="Times New Roman" w:cs="Times New Roman"/>
          <w:i/>
          <w:iCs/>
          <w:color w:val="000000" w:themeColor="text1"/>
          <w:sz w:val="24"/>
          <w:szCs w:val="24"/>
        </w:rPr>
        <w:t xml:space="preserve">Senecio scandens </w:t>
      </w:r>
      <w:r w:rsidRPr="00092862">
        <w:rPr>
          <w:rFonts w:ascii="Times New Roman" w:eastAsia="宋体" w:hAnsi="Times New Roman" w:cs="Times New Roman"/>
          <w:color w:val="000000" w:themeColor="text1"/>
          <w:sz w:val="24"/>
          <w:szCs w:val="24"/>
        </w:rPr>
        <w:t>Buch.-Ham. ex D.Don</w:t>
      </w:r>
      <w:r w:rsidRPr="00092862">
        <w:rPr>
          <w:rFonts w:ascii="Times New Roman" w:eastAsia="宋体" w:hAnsi="Times New Roman" w:cs="Times New Roman"/>
          <w:color w:val="000000" w:themeColor="text1"/>
          <w:sz w:val="24"/>
          <w:szCs w:val="24"/>
        </w:rPr>
        <w:t>）、糙苏（</w:t>
      </w:r>
      <w:r w:rsidRPr="00092862">
        <w:rPr>
          <w:rFonts w:ascii="Times New Roman" w:eastAsia="宋体" w:hAnsi="Times New Roman" w:cs="Times New Roman"/>
          <w:i/>
          <w:iCs/>
          <w:color w:val="000000" w:themeColor="text1"/>
          <w:sz w:val="24"/>
          <w:szCs w:val="24"/>
        </w:rPr>
        <w:t>Phlomis umbros</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）、白茅（</w:t>
      </w:r>
      <w:r w:rsidRPr="00092862">
        <w:rPr>
          <w:rFonts w:ascii="Times New Roman" w:eastAsia="宋体" w:hAnsi="Times New Roman" w:cs="Times New Roman"/>
          <w:i/>
          <w:iCs/>
          <w:color w:val="000000" w:themeColor="text1"/>
          <w:sz w:val="24"/>
          <w:szCs w:val="24"/>
        </w:rPr>
        <w:t xml:space="preserve">Imperata cylindrica </w:t>
      </w:r>
      <w:r w:rsidRPr="00092862">
        <w:rPr>
          <w:rFonts w:ascii="Times New Roman" w:eastAsia="宋体" w:hAnsi="Times New Roman" w:cs="Times New Roman"/>
          <w:i/>
          <w:iCs/>
          <w:color w:val="000000" w:themeColor="text1"/>
          <w:sz w:val="24"/>
          <w:szCs w:val="24"/>
        </w:rPr>
        <w:t>（</w:t>
      </w:r>
      <w:r w:rsidRPr="00092862">
        <w:rPr>
          <w:rFonts w:ascii="Times New Roman" w:eastAsia="宋体" w:hAnsi="Times New Roman" w:cs="Times New Roman"/>
          <w:i/>
          <w:iCs/>
          <w:color w:val="000000" w:themeColor="text1"/>
          <w:sz w:val="24"/>
          <w:szCs w:val="24"/>
        </w:rPr>
        <w:t>Linn.</w:t>
      </w:r>
      <w:r w:rsidRPr="00092862">
        <w:rPr>
          <w:rFonts w:ascii="Times New Roman" w:eastAsia="宋体" w:hAnsi="Times New Roman" w:cs="Times New Roman"/>
          <w:i/>
          <w:iCs/>
          <w:color w:val="000000" w:themeColor="text1"/>
          <w:sz w:val="24"/>
          <w:szCs w:val="24"/>
        </w:rPr>
        <w:t>）</w:t>
      </w:r>
      <w:r w:rsidRPr="00092862">
        <w:rPr>
          <w:rFonts w:ascii="Times New Roman" w:eastAsia="宋体" w:hAnsi="Times New Roman" w:cs="Times New Roman"/>
          <w:i/>
          <w:iCs/>
          <w:color w:val="000000" w:themeColor="text1"/>
          <w:sz w:val="24"/>
          <w:szCs w:val="24"/>
        </w:rPr>
        <w:t>Beauv.</w:t>
      </w:r>
      <w:r w:rsidRPr="00092862">
        <w:rPr>
          <w:rFonts w:ascii="Times New Roman" w:eastAsia="宋体" w:hAnsi="Times New Roman" w:cs="Times New Roman"/>
          <w:color w:val="000000" w:themeColor="text1"/>
          <w:sz w:val="24"/>
          <w:szCs w:val="24"/>
        </w:rPr>
        <w:t>）等居于第</w:t>
      </w:r>
      <w:r w:rsidRPr="00092862">
        <w:rPr>
          <w:rFonts w:ascii="Times New Roman" w:eastAsia="宋体" w:hAnsi="Times New Roman" w:cs="Times New Roman"/>
          <w:color w:val="000000" w:themeColor="text1"/>
          <w:sz w:val="24"/>
          <w:szCs w:val="24"/>
        </w:rPr>
        <w:t>Ⅱ</w:t>
      </w:r>
      <w:r w:rsidRPr="00092862">
        <w:rPr>
          <w:rFonts w:ascii="Times New Roman" w:eastAsia="宋体" w:hAnsi="Times New Roman" w:cs="Times New Roman"/>
          <w:color w:val="000000" w:themeColor="text1"/>
          <w:sz w:val="24"/>
          <w:szCs w:val="24"/>
        </w:rPr>
        <w:t>亚层，高度</w:t>
      </w:r>
      <w:r w:rsidRPr="00092862">
        <w:rPr>
          <w:rFonts w:ascii="Times New Roman" w:eastAsia="宋体" w:hAnsi="Times New Roman" w:cs="Times New Roman"/>
          <w:color w:val="000000" w:themeColor="text1"/>
          <w:sz w:val="24"/>
          <w:szCs w:val="24"/>
        </w:rPr>
        <w:t>30~60cm</w:t>
      </w:r>
      <w:r w:rsidRPr="00092862">
        <w:rPr>
          <w:rFonts w:ascii="Times New Roman" w:eastAsia="宋体" w:hAnsi="Times New Roman" w:cs="Times New Roman"/>
          <w:color w:val="000000" w:themeColor="text1"/>
          <w:sz w:val="24"/>
          <w:szCs w:val="24"/>
        </w:rPr>
        <w:t>，车前（</w:t>
      </w:r>
      <w:r w:rsidRPr="00092862">
        <w:rPr>
          <w:rFonts w:ascii="Times New Roman" w:eastAsia="宋体" w:hAnsi="Times New Roman" w:cs="Times New Roman"/>
          <w:i/>
          <w:iCs/>
          <w:color w:val="000000" w:themeColor="text1"/>
          <w:sz w:val="24"/>
          <w:szCs w:val="24"/>
        </w:rPr>
        <w:t xml:space="preserve">Plantago asiatica </w:t>
      </w:r>
      <w:r w:rsidRPr="00092862">
        <w:rPr>
          <w:rFonts w:ascii="Times New Roman" w:eastAsia="宋体" w:hAnsi="Times New Roman" w:cs="Times New Roman"/>
          <w:color w:val="000000" w:themeColor="text1"/>
          <w:sz w:val="24"/>
          <w:szCs w:val="24"/>
        </w:rPr>
        <w:t>L.</w:t>
      </w:r>
      <w:r w:rsidRPr="00092862">
        <w:rPr>
          <w:rFonts w:ascii="Times New Roman" w:eastAsia="宋体" w:hAnsi="Times New Roman" w:cs="Times New Roman"/>
          <w:color w:val="000000" w:themeColor="text1"/>
          <w:sz w:val="24"/>
          <w:szCs w:val="24"/>
        </w:rPr>
        <w:t>）、聚花过路黄（</w:t>
      </w:r>
      <w:r w:rsidRPr="00092862">
        <w:rPr>
          <w:rFonts w:ascii="Times New Roman" w:eastAsia="宋体" w:hAnsi="Times New Roman" w:cs="Times New Roman"/>
          <w:i/>
          <w:iCs/>
          <w:color w:val="000000" w:themeColor="text1"/>
          <w:sz w:val="24"/>
          <w:szCs w:val="24"/>
        </w:rPr>
        <w:t>Lysimachia congestiflora Hemsl.</w:t>
      </w:r>
      <w:r w:rsidRPr="00092862">
        <w:rPr>
          <w:rFonts w:ascii="Times New Roman" w:eastAsia="宋体" w:hAnsi="Times New Roman" w:cs="Times New Roman"/>
          <w:color w:val="000000" w:themeColor="text1"/>
          <w:sz w:val="24"/>
          <w:szCs w:val="24"/>
        </w:rPr>
        <w:t>）、蕺菜（</w:t>
      </w:r>
      <w:r w:rsidRPr="00092862">
        <w:rPr>
          <w:rFonts w:ascii="Times New Roman" w:eastAsia="宋体" w:hAnsi="Times New Roman" w:cs="Times New Roman"/>
          <w:i/>
          <w:iCs/>
          <w:color w:val="000000" w:themeColor="text1"/>
          <w:sz w:val="24"/>
          <w:szCs w:val="24"/>
        </w:rPr>
        <w:t xml:space="preserve">Houttuynia cordata </w:t>
      </w:r>
      <w:r w:rsidRPr="00092862">
        <w:rPr>
          <w:rFonts w:ascii="Times New Roman" w:eastAsia="宋体" w:hAnsi="Times New Roman" w:cs="Times New Roman"/>
          <w:color w:val="000000" w:themeColor="text1"/>
          <w:sz w:val="24"/>
          <w:szCs w:val="24"/>
        </w:rPr>
        <w:t>Thunb</w:t>
      </w:r>
      <w:r w:rsidRPr="00092862">
        <w:rPr>
          <w:rFonts w:ascii="Times New Roman" w:eastAsia="宋体" w:hAnsi="Times New Roman" w:cs="Times New Roman"/>
          <w:color w:val="000000" w:themeColor="text1"/>
          <w:sz w:val="24"/>
          <w:szCs w:val="24"/>
        </w:rPr>
        <w:t>）、草莓（</w:t>
      </w:r>
      <w:r w:rsidRPr="00092862">
        <w:rPr>
          <w:rFonts w:ascii="Times New Roman" w:eastAsia="宋体" w:hAnsi="Times New Roman" w:cs="Times New Roman"/>
          <w:i/>
          <w:iCs/>
          <w:color w:val="000000" w:themeColor="text1"/>
          <w:sz w:val="24"/>
          <w:szCs w:val="24"/>
        </w:rPr>
        <w:t xml:space="preserve">Fragaria ananassa </w:t>
      </w:r>
      <w:r w:rsidRPr="00092862">
        <w:rPr>
          <w:rFonts w:ascii="Times New Roman" w:eastAsia="宋体" w:hAnsi="Times New Roman" w:cs="Times New Roman"/>
          <w:color w:val="000000" w:themeColor="text1"/>
          <w:sz w:val="24"/>
          <w:szCs w:val="24"/>
        </w:rPr>
        <w:t>Duch.</w:t>
      </w:r>
      <w:r w:rsidRPr="00092862">
        <w:rPr>
          <w:rFonts w:ascii="Times New Roman" w:eastAsia="宋体" w:hAnsi="Times New Roman" w:cs="Times New Roman"/>
          <w:color w:val="000000" w:themeColor="text1"/>
          <w:sz w:val="24"/>
          <w:szCs w:val="24"/>
        </w:rPr>
        <w:t>）、葎草（</w:t>
      </w:r>
      <w:r w:rsidRPr="00092862">
        <w:rPr>
          <w:rFonts w:ascii="Times New Roman" w:eastAsia="宋体" w:hAnsi="Times New Roman" w:cs="Times New Roman"/>
          <w:i/>
          <w:iCs/>
          <w:color w:val="000000" w:themeColor="text1"/>
          <w:sz w:val="24"/>
          <w:szCs w:val="24"/>
        </w:rPr>
        <w:t>Humulus scandens</w:t>
      </w:r>
      <w:r w:rsidRPr="00092862">
        <w:rPr>
          <w:rFonts w:ascii="Times New Roman" w:eastAsia="宋体" w:hAnsi="Times New Roman" w:cs="Times New Roman"/>
          <w:color w:val="000000" w:themeColor="text1"/>
          <w:sz w:val="24"/>
          <w:szCs w:val="24"/>
        </w:rPr>
        <w:t>）等居于第</w:t>
      </w:r>
      <w:r w:rsidRPr="00092862">
        <w:rPr>
          <w:rFonts w:ascii="Times New Roman" w:eastAsia="宋体" w:hAnsi="Times New Roman" w:cs="Times New Roman"/>
          <w:color w:val="000000" w:themeColor="text1"/>
          <w:sz w:val="24"/>
          <w:szCs w:val="24"/>
        </w:rPr>
        <w:t>Ⅲ</w:t>
      </w:r>
      <w:r w:rsidRPr="00092862">
        <w:rPr>
          <w:rFonts w:ascii="Times New Roman" w:eastAsia="宋体" w:hAnsi="Times New Roman" w:cs="Times New Roman"/>
          <w:color w:val="000000" w:themeColor="text1"/>
          <w:sz w:val="24"/>
          <w:szCs w:val="24"/>
        </w:rPr>
        <w:t>亚层，高度在</w:t>
      </w:r>
      <w:r w:rsidRPr="00092862">
        <w:rPr>
          <w:rFonts w:ascii="Times New Roman" w:eastAsia="宋体" w:hAnsi="Times New Roman" w:cs="Times New Roman"/>
          <w:color w:val="000000" w:themeColor="text1"/>
          <w:sz w:val="24"/>
          <w:szCs w:val="24"/>
        </w:rPr>
        <w:t>20cm</w:t>
      </w:r>
      <w:r w:rsidRPr="00092862">
        <w:rPr>
          <w:rFonts w:ascii="Times New Roman" w:eastAsia="宋体" w:hAnsi="Times New Roman" w:cs="Times New Roman"/>
          <w:color w:val="000000" w:themeColor="text1"/>
          <w:sz w:val="24"/>
          <w:szCs w:val="24"/>
        </w:rPr>
        <w:t>以下。另外还有多种蕨类植物如毛蕨（</w:t>
      </w:r>
      <w:r w:rsidRPr="00092862">
        <w:rPr>
          <w:rFonts w:ascii="Times New Roman" w:eastAsia="宋体" w:hAnsi="Times New Roman" w:cs="Times New Roman"/>
          <w:i/>
          <w:iCs/>
          <w:color w:val="000000" w:themeColor="text1"/>
          <w:sz w:val="24"/>
          <w:szCs w:val="24"/>
        </w:rPr>
        <w:t xml:space="preserve">Cyclosorus interruptus </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Willd.</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lastRenderedPageBreak/>
        <w:t>H. Ito</w:t>
      </w:r>
      <w:r w:rsidRPr="00092862">
        <w:rPr>
          <w:rFonts w:ascii="Times New Roman" w:eastAsia="宋体" w:hAnsi="Times New Roman" w:cs="Times New Roman"/>
          <w:color w:val="000000" w:themeColor="text1"/>
          <w:sz w:val="24"/>
          <w:szCs w:val="24"/>
        </w:rPr>
        <w:t>）、铁角蕨（</w:t>
      </w:r>
      <w:r w:rsidRPr="00092862">
        <w:rPr>
          <w:rFonts w:ascii="Times New Roman" w:eastAsia="宋体" w:hAnsi="Times New Roman" w:cs="Times New Roman"/>
          <w:i/>
          <w:iCs/>
          <w:color w:val="000000" w:themeColor="text1"/>
          <w:sz w:val="24"/>
          <w:szCs w:val="24"/>
        </w:rPr>
        <w:t>Asplenium trichomanes</w:t>
      </w:r>
      <w:r w:rsidRPr="00092862">
        <w:rPr>
          <w:rFonts w:ascii="Times New Roman" w:eastAsia="宋体" w:hAnsi="Times New Roman" w:cs="Times New Roman"/>
          <w:color w:val="000000" w:themeColor="text1"/>
          <w:sz w:val="24"/>
          <w:szCs w:val="24"/>
        </w:rPr>
        <w:t>）在草本层生长。</w:t>
      </w:r>
    </w:p>
    <w:p w14:paraId="0F96CD88" w14:textId="77777777" w:rsidR="00087418" w:rsidRPr="00092862" w:rsidRDefault="00087418" w:rsidP="00087418">
      <w:pPr>
        <w:spacing w:beforeLines="50" w:before="120"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Ⅲ</w:t>
      </w:r>
      <w:r w:rsidRPr="00092862">
        <w:rPr>
          <w:rFonts w:ascii="Times New Roman" w:eastAsia="宋体" w:hAnsi="Times New Roman" w:cs="Times New Roman"/>
          <w:b/>
          <w:color w:val="000000" w:themeColor="text1"/>
          <w:sz w:val="24"/>
          <w:szCs w:val="24"/>
        </w:rPr>
        <w:t>草丛植被</w:t>
      </w:r>
    </w:p>
    <w:p w14:paraId="275793A7" w14:textId="77777777" w:rsidR="00087418" w:rsidRPr="00092862" w:rsidRDefault="00087418" w:rsidP="00087418">
      <w:pPr>
        <w:adjustRightInd w:val="0"/>
        <w:snapToGrid w:val="0"/>
        <w:spacing w:line="360" w:lineRule="auto"/>
        <w:ind w:firstLineChars="200" w:firstLine="512"/>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pacing w:val="16"/>
          <w:sz w:val="24"/>
          <w:szCs w:val="24"/>
        </w:rPr>
        <w:t>①</w:t>
      </w:r>
      <w:r w:rsidRPr="00092862">
        <w:rPr>
          <w:rFonts w:ascii="Times New Roman" w:eastAsia="宋体" w:hAnsi="Times New Roman" w:cs="Times New Roman"/>
          <w:color w:val="000000" w:themeColor="text1"/>
          <w:sz w:val="24"/>
          <w:szCs w:val="24"/>
        </w:rPr>
        <w:t>芒、白茅</w:t>
      </w:r>
      <w:r w:rsidRPr="00092862">
        <w:rPr>
          <w:rFonts w:ascii="Times New Roman" w:eastAsia="宋体" w:hAnsi="Times New Roman" w:cs="Times New Roman"/>
          <w:color w:val="000000" w:themeColor="text1"/>
          <w:spacing w:val="9"/>
          <w:sz w:val="24"/>
          <w:szCs w:val="24"/>
        </w:rPr>
        <w:t>群落</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 xml:space="preserve">Form. </w:t>
      </w:r>
      <w:r w:rsidRPr="00092862">
        <w:rPr>
          <w:rFonts w:ascii="Times New Roman" w:eastAsia="宋体" w:hAnsi="Times New Roman" w:cs="Times New Roman"/>
          <w:i/>
          <w:iCs/>
          <w:color w:val="000000" w:themeColor="text1"/>
          <w:sz w:val="24"/>
          <w:szCs w:val="24"/>
        </w:rPr>
        <w:t>Miscanthus sinensis+Imperata cylindrica</w:t>
      </w:r>
      <w:r w:rsidRPr="00092862">
        <w:rPr>
          <w:rFonts w:ascii="Times New Roman" w:eastAsia="宋体" w:hAnsi="Times New Roman" w:cs="Times New Roman"/>
          <w:color w:val="000000" w:themeColor="text1"/>
          <w:sz w:val="24"/>
          <w:szCs w:val="24"/>
        </w:rPr>
        <w:t>）</w:t>
      </w:r>
    </w:p>
    <w:p w14:paraId="65C83ED0" w14:textId="77777777" w:rsidR="00087418" w:rsidRPr="00092862" w:rsidRDefault="00087418" w:rsidP="00087418">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芒、白茅草丛可出现在河谷、盆地、河漫滩上的阶地、山地、丘陵及海滩地带。在四川各地分布十分广泛。由于芒、白茅的生活力很强，因而可以在不同的生境条件下出现。芒、白茅对土壤的酸碱度要求亦不大严格，因此在石灰岩为基岩发育的石灰土或砂页岩等发育的酸性土上都有分布。在撂荒地上，首先遇到的就是芒、白茅草丛，在一些地段上，白茅生长密集，地下茎很发达，相互交织成网，其他植物很难侵入，可以形成几乎是纯白茅的草丛。</w:t>
      </w:r>
    </w:p>
    <w:p w14:paraId="4E1EA6E6" w14:textId="77777777" w:rsidR="00087418" w:rsidRPr="00092862" w:rsidRDefault="00087418" w:rsidP="00087418">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评价范围及周边芒、白茅草本层的高度为</w:t>
      </w:r>
      <w:r w:rsidRPr="00092862">
        <w:rPr>
          <w:rFonts w:ascii="Times New Roman" w:eastAsia="宋体" w:hAnsi="Times New Roman" w:cs="Times New Roman"/>
          <w:color w:val="000000" w:themeColor="text1"/>
          <w:sz w:val="24"/>
          <w:szCs w:val="24"/>
        </w:rPr>
        <w:t>60—300</w:t>
      </w:r>
      <w:r w:rsidRPr="00092862">
        <w:rPr>
          <w:rFonts w:ascii="Times New Roman" w:eastAsia="宋体" w:hAnsi="Times New Roman" w:cs="Times New Roman"/>
          <w:color w:val="000000" w:themeColor="text1"/>
          <w:sz w:val="24"/>
          <w:szCs w:val="24"/>
        </w:rPr>
        <w:t>厘米，层覆盖度在</w:t>
      </w:r>
      <w:r w:rsidRPr="00092862">
        <w:rPr>
          <w:rFonts w:ascii="Times New Roman" w:eastAsia="宋体" w:hAnsi="Times New Roman" w:cs="Times New Roman"/>
          <w:color w:val="000000" w:themeColor="text1"/>
          <w:sz w:val="24"/>
          <w:szCs w:val="24"/>
        </w:rPr>
        <w:t>70—90%</w:t>
      </w:r>
      <w:r w:rsidRPr="00092862">
        <w:rPr>
          <w:rFonts w:ascii="Times New Roman" w:eastAsia="宋体" w:hAnsi="Times New Roman" w:cs="Times New Roman"/>
          <w:color w:val="000000" w:themeColor="text1"/>
          <w:sz w:val="24"/>
          <w:szCs w:val="24"/>
        </w:rPr>
        <w:t>之间。其伴生植物有五节芒、野古草、斑茅、婆婆针、飞蓬、蛇莓、夏枯草、蛇含委陵草、鸡眼草、黄背草、铁扫帚、歪头菜、贯叶连翘等，在群落中散生有少数灌木，如美丽胡枝子、山豆花、肖梵天花及麻栎、白栎幼树等。</w:t>
      </w:r>
    </w:p>
    <w:p w14:paraId="08F5B0A2" w14:textId="77777777" w:rsidR="00087418" w:rsidRPr="00092862" w:rsidRDefault="00087418" w:rsidP="00087418">
      <w:pPr>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蕨、芒萁</w:t>
      </w:r>
      <w:r w:rsidRPr="00092862">
        <w:rPr>
          <w:rFonts w:ascii="Times New Roman" w:eastAsia="宋体" w:hAnsi="Times New Roman" w:cs="Times New Roman"/>
          <w:color w:val="000000" w:themeColor="text1"/>
          <w:spacing w:val="9"/>
          <w:sz w:val="24"/>
          <w:szCs w:val="24"/>
        </w:rPr>
        <w:t>群系</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 xml:space="preserve">Form. </w:t>
      </w:r>
      <w:r w:rsidRPr="00092862">
        <w:rPr>
          <w:rFonts w:ascii="Times New Roman" w:eastAsia="宋体" w:hAnsi="Times New Roman" w:cs="Times New Roman"/>
          <w:i/>
          <w:iCs/>
          <w:color w:val="000000" w:themeColor="text1"/>
          <w:szCs w:val="21"/>
        </w:rPr>
        <w:t>P.Aquilinum</w:t>
      </w:r>
      <w:r w:rsidRPr="00092862">
        <w:rPr>
          <w:rFonts w:ascii="Times New Roman" w:eastAsia="宋体" w:hAnsi="Times New Roman" w:cs="Times New Roman"/>
          <w:i/>
          <w:iCs/>
          <w:color w:val="000000" w:themeColor="text1"/>
          <w:sz w:val="24"/>
          <w:szCs w:val="24"/>
        </w:rPr>
        <w:t>+</w:t>
      </w:r>
      <w:r w:rsidRPr="00092862">
        <w:rPr>
          <w:rFonts w:ascii="Times New Roman" w:eastAsia="宋体" w:hAnsi="Times New Roman" w:cs="Times New Roman"/>
          <w:i/>
          <w:iCs/>
          <w:color w:val="000000" w:themeColor="text1"/>
          <w:szCs w:val="21"/>
        </w:rPr>
        <w:t>Dicranopteris dichotoma(Thunb.)Bernh.</w:t>
      </w:r>
      <w:r w:rsidRPr="00092862">
        <w:rPr>
          <w:rFonts w:ascii="Times New Roman" w:eastAsia="宋体" w:hAnsi="Times New Roman" w:cs="Times New Roman"/>
          <w:color w:val="000000" w:themeColor="text1"/>
          <w:sz w:val="24"/>
          <w:szCs w:val="24"/>
        </w:rPr>
        <w:t>）</w:t>
      </w:r>
    </w:p>
    <w:p w14:paraId="5485D99E"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灌草丛在评价区内分布广泛，在大部分酸性土地区均有分布，本群落为植被受到严重破坏，乔木、灌木很难恢复的情况下形成的一类灌草丛，尤其是在强度火烧山后出现。群落的特征主要由蕨类和禾本草为主的草本植物组成，灌木稀少。常见的草本植物有蕨、铁芒萁、牛尾蒿、狗脊、荩草、石松、四脉金茅、野古草、白茅、雀稗、荻等种类。其他草本植物有珍珠菜，毛果一枝黄花、三脉紫菀、鸡眼草及野棉花等。</w:t>
      </w:r>
    </w:p>
    <w:p w14:paraId="2DFA6707" w14:textId="77777777" w:rsidR="00087418" w:rsidRPr="00092862" w:rsidRDefault="00087418" w:rsidP="00092862">
      <w:pPr>
        <w:spacing w:beforeLines="50" w:before="120"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Ⅳ</w:t>
      </w:r>
      <w:r w:rsidRPr="00092862">
        <w:rPr>
          <w:rFonts w:ascii="Times New Roman" w:eastAsia="宋体" w:hAnsi="Times New Roman" w:cs="Times New Roman"/>
          <w:b/>
          <w:color w:val="000000" w:themeColor="text1"/>
          <w:sz w:val="24"/>
          <w:szCs w:val="24"/>
        </w:rPr>
        <w:t>栽培植被</w:t>
      </w:r>
    </w:p>
    <w:p w14:paraId="7A4F4F35"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栽培植被指人类在自然环境中，根据人类生产、生活的需要，通过人为的经营、管理措施而培育形成的植被类型。在评价区域，栽培植被主要为以农业技术措施为主培育形成的农田植被以及具有一定经济效益的经济林木。现分别就各类栽培植被分析如下：</w:t>
      </w:r>
    </w:p>
    <w:p w14:paraId="4F9E9206"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）农田植被</w:t>
      </w:r>
    </w:p>
    <w:p w14:paraId="1154CE11"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lang w:val="de-DE"/>
        </w:rPr>
      </w:pPr>
      <w:r w:rsidRPr="00092862">
        <w:rPr>
          <w:rFonts w:ascii="宋体" w:eastAsia="宋体" w:hAnsi="宋体" w:cs="宋体" w:hint="eastAsia"/>
          <w:color w:val="000000" w:themeColor="text1"/>
          <w:sz w:val="24"/>
          <w:szCs w:val="24"/>
          <w:lang w:val="de-DE"/>
        </w:rPr>
        <w:t>①</w:t>
      </w:r>
      <w:r w:rsidRPr="00092862">
        <w:rPr>
          <w:rFonts w:ascii="Times New Roman" w:eastAsia="宋体" w:hAnsi="Times New Roman" w:cs="Times New Roman"/>
          <w:color w:val="000000" w:themeColor="text1"/>
          <w:sz w:val="24"/>
          <w:szCs w:val="24"/>
          <w:lang w:val="de-DE"/>
        </w:rPr>
        <w:t>一年两熟水稻作物</w:t>
      </w:r>
    </w:p>
    <w:p w14:paraId="7D722C80"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属于草本类型大田农作物型水田作物亚型，此类型对水利灌溉要求较高，主要分布在丘谷、河流两旁等地区。在水利条件好的地区水稻收割后可种植一</w:t>
      </w:r>
      <w:r w:rsidRPr="00092862">
        <w:rPr>
          <w:rFonts w:ascii="Times New Roman" w:eastAsia="宋体" w:hAnsi="Times New Roman" w:cs="Times New Roman"/>
          <w:color w:val="000000" w:themeColor="text1"/>
          <w:sz w:val="24"/>
          <w:szCs w:val="24"/>
        </w:rPr>
        <w:lastRenderedPageBreak/>
        <w:t>季油菜、豆类等，而在部分地区，由于灌溉达不到要求只种植一季水稻。</w:t>
      </w:r>
    </w:p>
    <w:p w14:paraId="202231E6"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lang w:val="de-DE"/>
        </w:rPr>
      </w:pPr>
      <w:r w:rsidRPr="00092862">
        <w:rPr>
          <w:rFonts w:ascii="宋体" w:eastAsia="宋体" w:hAnsi="宋体" w:cs="宋体" w:hint="eastAsia"/>
          <w:color w:val="000000" w:themeColor="text1"/>
          <w:sz w:val="24"/>
          <w:szCs w:val="24"/>
          <w:lang w:val="de-DE"/>
        </w:rPr>
        <w:t>②</w:t>
      </w:r>
      <w:r w:rsidRPr="00092862">
        <w:rPr>
          <w:rFonts w:ascii="Times New Roman" w:eastAsia="宋体" w:hAnsi="Times New Roman" w:cs="Times New Roman"/>
          <w:color w:val="000000" w:themeColor="text1"/>
          <w:sz w:val="24"/>
          <w:szCs w:val="24"/>
          <w:lang w:val="de-DE"/>
        </w:rPr>
        <w:t>一年</w:t>
      </w:r>
      <w:r w:rsidRPr="00092862">
        <w:rPr>
          <w:rFonts w:ascii="Times New Roman" w:eastAsia="宋体" w:hAnsi="Times New Roman" w:cs="Times New Roman"/>
          <w:color w:val="000000" w:themeColor="text1"/>
          <w:sz w:val="24"/>
          <w:szCs w:val="24"/>
        </w:rPr>
        <w:t>两</w:t>
      </w:r>
      <w:r w:rsidRPr="00092862">
        <w:rPr>
          <w:rFonts w:ascii="Times New Roman" w:eastAsia="宋体" w:hAnsi="Times New Roman" w:cs="Times New Roman"/>
          <w:color w:val="000000" w:themeColor="text1"/>
          <w:sz w:val="24"/>
          <w:szCs w:val="24"/>
          <w:lang w:val="de-DE"/>
        </w:rPr>
        <w:t>作为主的蔬菜组合</w:t>
      </w:r>
    </w:p>
    <w:p w14:paraId="5AE100B9"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14:paraId="04E58D95"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lang w:val="de-DE"/>
        </w:rPr>
      </w:pPr>
      <w:r w:rsidRPr="00092862">
        <w:rPr>
          <w:rFonts w:ascii="宋体" w:eastAsia="宋体" w:hAnsi="宋体" w:cs="宋体" w:hint="eastAsia"/>
          <w:color w:val="000000" w:themeColor="text1"/>
          <w:sz w:val="24"/>
          <w:szCs w:val="24"/>
          <w:lang w:val="de-DE"/>
        </w:rPr>
        <w:t>③</w:t>
      </w:r>
      <w:r w:rsidRPr="00092862">
        <w:rPr>
          <w:rFonts w:ascii="Times New Roman" w:eastAsia="宋体" w:hAnsi="Times New Roman" w:cs="Times New Roman"/>
          <w:color w:val="000000" w:themeColor="text1"/>
          <w:sz w:val="24"/>
          <w:szCs w:val="24"/>
          <w:lang w:val="de-DE"/>
        </w:rPr>
        <w:t>以</w:t>
      </w:r>
      <w:r w:rsidRPr="00092862">
        <w:rPr>
          <w:rFonts w:ascii="Times New Roman" w:eastAsia="宋体" w:hAnsi="Times New Roman" w:cs="Times New Roman"/>
          <w:color w:val="000000" w:themeColor="text1"/>
          <w:spacing w:val="2"/>
          <w:sz w:val="24"/>
          <w:szCs w:val="24"/>
        </w:rPr>
        <w:t>玉米、红苕、棉花、花生、小麦、马铃薯、豌豆</w:t>
      </w:r>
      <w:r w:rsidRPr="00092862">
        <w:rPr>
          <w:rFonts w:ascii="Times New Roman" w:eastAsia="宋体" w:hAnsi="Times New Roman" w:cs="Times New Roman"/>
          <w:color w:val="000000" w:themeColor="text1"/>
          <w:sz w:val="24"/>
          <w:szCs w:val="24"/>
          <w:lang w:val="de-DE"/>
        </w:rPr>
        <w:t>为主的作物组合</w:t>
      </w:r>
    </w:p>
    <w:p w14:paraId="75752E78"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属于草本类型大田农作物型旱地作物亚型，广泛分布于四川盆地边缘的丘陵地区。</w:t>
      </w:r>
      <w:r w:rsidRPr="00092862">
        <w:rPr>
          <w:rFonts w:ascii="Times New Roman" w:eastAsia="宋体" w:hAnsi="Times New Roman" w:cs="Times New Roman"/>
          <w:color w:val="000000" w:themeColor="text1"/>
          <w:spacing w:val="2"/>
          <w:sz w:val="24"/>
          <w:szCs w:val="24"/>
        </w:rPr>
        <w:t>小春作物以小麦、豌豆为主，深丘上</w:t>
      </w:r>
      <w:r w:rsidRPr="00092862">
        <w:rPr>
          <w:rFonts w:ascii="Times New Roman" w:eastAsia="宋体" w:hAnsi="Times New Roman" w:cs="Times New Roman"/>
          <w:color w:val="000000" w:themeColor="text1"/>
          <w:spacing w:val="-2"/>
          <w:sz w:val="24"/>
          <w:szCs w:val="24"/>
        </w:rPr>
        <w:t>部种有马铃薯，多为一年两熟类型，</w:t>
      </w:r>
      <w:r w:rsidRPr="00092862">
        <w:rPr>
          <w:rFonts w:ascii="Times New Roman" w:eastAsia="宋体" w:hAnsi="Times New Roman" w:cs="Times New Roman"/>
          <w:color w:val="000000" w:themeColor="text1"/>
          <w:sz w:val="24"/>
          <w:szCs w:val="24"/>
        </w:rPr>
        <w:t>调查区域内局部灌溉条件较差的地方实行这种作物组合。</w:t>
      </w:r>
    </w:p>
    <w:p w14:paraId="2B84AB47"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）经济林木</w:t>
      </w:r>
    </w:p>
    <w:p w14:paraId="1BAB9C09" w14:textId="77777777" w:rsidR="00087418" w:rsidRPr="00092862" w:rsidRDefault="00087418" w:rsidP="00092862">
      <w:pPr>
        <w:spacing w:line="360" w:lineRule="auto"/>
        <w:ind w:firstLineChars="200" w:firstLine="480"/>
        <w:jc w:val="left"/>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常见种植的种类有苹果</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Malus pumila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pacing w:val="5"/>
          <w:sz w:val="24"/>
          <w:szCs w:val="24"/>
        </w:rPr>
        <w:t>川梨</w:t>
      </w:r>
      <w:r w:rsidRPr="00092862">
        <w:rPr>
          <w:rFonts w:ascii="Times New Roman" w:eastAsia="宋体" w:hAnsi="Times New Roman" w:cs="Times New Roman"/>
          <w:color w:val="000000" w:themeColor="text1"/>
          <w:spacing w:val="5"/>
          <w:sz w:val="24"/>
          <w:szCs w:val="24"/>
        </w:rPr>
        <w:t>(</w:t>
      </w:r>
      <w:r w:rsidRPr="00092862">
        <w:rPr>
          <w:rFonts w:ascii="Times New Roman" w:eastAsia="Times New Roman" w:hAnsi="Times New Roman" w:cs="Times New Roman"/>
          <w:i/>
          <w:iCs/>
          <w:color w:val="000000" w:themeColor="text1"/>
          <w:sz w:val="24"/>
          <w:szCs w:val="24"/>
        </w:rPr>
        <w:t>Pyrus</w:t>
      </w:r>
      <w:r w:rsidRPr="00092862">
        <w:rPr>
          <w:rFonts w:ascii="Times New Roman" w:eastAsia="Times New Roman" w:hAnsi="Times New Roman" w:cs="Times New Roman"/>
          <w:color w:val="000000" w:themeColor="text1"/>
          <w:spacing w:val="5"/>
          <w:sz w:val="24"/>
          <w:szCs w:val="24"/>
        </w:rPr>
        <w:t xml:space="preserve"> </w:t>
      </w:r>
      <w:r w:rsidRPr="00092862">
        <w:rPr>
          <w:rFonts w:ascii="Times New Roman" w:eastAsia="Times New Roman" w:hAnsi="Times New Roman" w:cs="Times New Roman"/>
          <w:i/>
          <w:iCs/>
          <w:color w:val="000000" w:themeColor="text1"/>
          <w:sz w:val="24"/>
          <w:szCs w:val="24"/>
        </w:rPr>
        <w:t>pashia</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、枇杷</w:t>
      </w:r>
      <w:r w:rsidRPr="00092862">
        <w:rPr>
          <w:rFonts w:ascii="Times New Roman" w:eastAsia="宋体" w:hAnsi="Times New Roman" w:cs="Times New Roman"/>
          <w:color w:val="000000" w:themeColor="text1"/>
          <w:spacing w:val="5"/>
          <w:sz w:val="24"/>
          <w:szCs w:val="24"/>
        </w:rPr>
        <w:t>(</w:t>
      </w:r>
      <w:r w:rsidRPr="00092862">
        <w:rPr>
          <w:rFonts w:ascii="Times New Roman" w:eastAsia="Times New Roman" w:hAnsi="Times New Roman" w:cs="Times New Roman"/>
          <w:i/>
          <w:iCs/>
          <w:color w:val="000000" w:themeColor="text1"/>
          <w:sz w:val="24"/>
          <w:szCs w:val="24"/>
        </w:rPr>
        <w:t>Eriobotryajaponica</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pacing w:val="5"/>
          <w:sz w:val="24"/>
          <w:szCs w:val="24"/>
        </w:rPr>
        <w:t>、桃</w:t>
      </w:r>
      <w:r w:rsidRPr="00092862">
        <w:rPr>
          <w:rFonts w:ascii="Times New Roman" w:eastAsia="宋体" w:hAnsi="Times New Roman" w:cs="Times New Roman"/>
          <w:color w:val="000000" w:themeColor="text1"/>
          <w:spacing w:val="5"/>
          <w:sz w:val="24"/>
          <w:szCs w:val="24"/>
        </w:rPr>
        <w:t>(</w:t>
      </w:r>
      <w:r w:rsidRPr="00092862">
        <w:rPr>
          <w:rFonts w:ascii="Times New Roman" w:eastAsia="Times New Roman" w:hAnsi="Times New Roman" w:cs="Times New Roman"/>
          <w:i/>
          <w:iCs/>
          <w:color w:val="000000" w:themeColor="text1"/>
          <w:sz w:val="24"/>
          <w:szCs w:val="24"/>
        </w:rPr>
        <w:t>Amygdalus</w:t>
      </w:r>
      <w:r w:rsidRPr="00092862">
        <w:rPr>
          <w:rFonts w:ascii="Times New Roman" w:eastAsia="Times New Roman" w:hAnsi="Times New Roman" w:cs="Times New Roman"/>
          <w:color w:val="000000" w:themeColor="text1"/>
          <w:sz w:val="24"/>
          <w:szCs w:val="24"/>
        </w:rPr>
        <w:t xml:space="preserve"> </w:t>
      </w:r>
      <w:r w:rsidRPr="00092862">
        <w:rPr>
          <w:rFonts w:ascii="Times New Roman" w:eastAsia="Times New Roman" w:hAnsi="Times New Roman" w:cs="Times New Roman"/>
          <w:i/>
          <w:iCs/>
          <w:color w:val="000000" w:themeColor="text1"/>
          <w:sz w:val="24"/>
          <w:szCs w:val="24"/>
        </w:rPr>
        <w:t>persica</w:t>
      </w:r>
      <w:r w:rsidRPr="00092862">
        <w:rPr>
          <w:rFonts w:ascii="Times New Roman" w:eastAsia="宋体" w:hAnsi="Times New Roman" w:cs="Times New Roman"/>
          <w:color w:val="000000" w:themeColor="text1"/>
          <w:spacing w:val="27"/>
          <w:sz w:val="24"/>
          <w:szCs w:val="24"/>
        </w:rPr>
        <w:t>)</w:t>
      </w:r>
      <w:r w:rsidRPr="00092862">
        <w:rPr>
          <w:rFonts w:ascii="Times New Roman" w:eastAsia="宋体" w:hAnsi="Times New Roman" w:cs="Times New Roman"/>
          <w:color w:val="000000" w:themeColor="text1"/>
          <w:spacing w:val="25"/>
          <w:sz w:val="24"/>
          <w:szCs w:val="24"/>
        </w:rPr>
        <w:t>、木瓜</w:t>
      </w:r>
      <w:r w:rsidRPr="00092862">
        <w:rPr>
          <w:rFonts w:ascii="Times New Roman" w:eastAsia="宋体" w:hAnsi="Times New Roman" w:cs="Times New Roman"/>
          <w:color w:val="000000" w:themeColor="text1"/>
          <w:spacing w:val="25"/>
          <w:sz w:val="24"/>
          <w:szCs w:val="24"/>
        </w:rPr>
        <w:t>(</w:t>
      </w:r>
      <w:r w:rsidRPr="00092862">
        <w:rPr>
          <w:rFonts w:ascii="Times New Roman" w:eastAsia="Times New Roman" w:hAnsi="Times New Roman" w:cs="Times New Roman"/>
          <w:i/>
          <w:iCs/>
          <w:color w:val="000000" w:themeColor="text1"/>
          <w:sz w:val="24"/>
          <w:szCs w:val="24"/>
        </w:rPr>
        <w:t>ChaenomelessinensisKoehne</w:t>
      </w:r>
      <w:r w:rsidRPr="00092862">
        <w:rPr>
          <w:rFonts w:ascii="Times New Roman" w:eastAsia="宋体" w:hAnsi="Times New Roman" w:cs="Times New Roman"/>
          <w:color w:val="000000" w:themeColor="text1"/>
          <w:spacing w:val="25"/>
          <w:sz w:val="24"/>
          <w:szCs w:val="24"/>
        </w:rPr>
        <w:t>)</w:t>
      </w:r>
      <w:r w:rsidRPr="00092862">
        <w:rPr>
          <w:rFonts w:ascii="Times New Roman" w:eastAsia="宋体" w:hAnsi="Times New Roman" w:cs="Times New Roman"/>
          <w:color w:val="000000" w:themeColor="text1"/>
          <w:sz w:val="24"/>
          <w:szCs w:val="24"/>
        </w:rPr>
        <w:t>、樱桃</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Cerasus pseudocerasus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、李</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Prunus salicina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、核桃</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Juglans regia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、柑橘</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Citrus reticulata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、柚子</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i/>
          <w:color w:val="000000" w:themeColor="text1"/>
          <w:sz w:val="24"/>
          <w:szCs w:val="24"/>
        </w:rPr>
        <w:t>Citrus grandis</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等经济果树。</w:t>
      </w:r>
    </w:p>
    <w:p w14:paraId="218DC58F" w14:textId="77777777" w:rsidR="00087418" w:rsidRPr="00092862" w:rsidRDefault="00087418" w:rsidP="00092862">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与栽培植被共存的还有各种农田杂草及田间灌草丛，它们在农闲，轮作间歇期，或者农田管理不善时，成为栽培植被的主要替代者，此时即为杂草丛生的农田外貌，杂草以禾本科、菊科、莎草科、豆科、蓼科、唇形科植物为主。常见种类有蜈蚣草、三叶鬼针草、艾蒿、土牛膝、打破碗花花、猪殃殃、反枝苋、问荆、繁缕、蒲公英、土牛膝、毛茛、雀稗、光头稗、狗牙根、牛鞭草、空心莲子草、白花碎米荠、醴肠等。</w:t>
      </w:r>
    </w:p>
    <w:p w14:paraId="14379E96" w14:textId="119D37D6" w:rsidR="00F96F41" w:rsidRPr="00092862" w:rsidRDefault="00087418" w:rsidP="00087418">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szCs w:val="24"/>
        </w:rPr>
        <w:t>项目评价范围陆生植被调查及样方现场照片见图</w:t>
      </w:r>
      <w:r w:rsidRPr="00092862">
        <w:rPr>
          <w:rFonts w:ascii="Times New Roman" w:eastAsia="宋体" w:hAnsi="Times New Roman" w:cs="Times New Roman"/>
          <w:color w:val="000000" w:themeColor="text1"/>
          <w:sz w:val="24"/>
          <w:szCs w:val="24"/>
        </w:rPr>
        <w:t>4.3-1</w:t>
      </w:r>
      <w:r w:rsidR="00F96F41" w:rsidRPr="00092862">
        <w:rPr>
          <w:rFonts w:ascii="Times New Roman" w:hAnsi="Times New Roman" w:cs="Times New Roman"/>
          <w:color w:val="000000" w:themeColor="text1"/>
          <w:sz w:val="24"/>
        </w:rPr>
        <w:t>。</w:t>
      </w:r>
    </w:p>
    <w:p w14:paraId="5D374FA6" w14:textId="77777777" w:rsidR="009E4715" w:rsidRPr="00092862" w:rsidRDefault="009E4715" w:rsidP="009E4715">
      <w:pPr>
        <w:adjustRightInd w:val="0"/>
        <w:snapToGrid w:val="0"/>
        <w:spacing w:line="360" w:lineRule="auto"/>
        <w:ind w:firstLineChars="200" w:firstLine="480"/>
        <w:rPr>
          <w:rFonts w:ascii="Times New Roman" w:eastAsia="宋体" w:hAnsi="Times New Roman" w:cs="Times New Roman"/>
          <w:color w:val="000000" w:themeColor="text1"/>
          <w:sz w:val="24"/>
        </w:rPr>
      </w:pPr>
    </w:p>
    <w:tbl>
      <w:tblPr>
        <w:tblStyle w:val="aff"/>
        <w:tblW w:w="8781" w:type="dxa"/>
        <w:jc w:val="center"/>
        <w:tblLayout w:type="fixed"/>
        <w:tblLook w:val="0000" w:firstRow="0" w:lastRow="0" w:firstColumn="0" w:lastColumn="0" w:noHBand="0" w:noVBand="0"/>
      </w:tblPr>
      <w:tblGrid>
        <w:gridCol w:w="4369"/>
        <w:gridCol w:w="21"/>
        <w:gridCol w:w="4391"/>
      </w:tblGrid>
      <w:tr w:rsidR="00697429" w:rsidRPr="00092862" w14:paraId="4C2E5CBC" w14:textId="77777777" w:rsidTr="00A75B69">
        <w:trPr>
          <w:jc w:val="center"/>
        </w:trPr>
        <w:tc>
          <w:tcPr>
            <w:tcW w:w="4369" w:type="dxa"/>
          </w:tcPr>
          <w:p w14:paraId="2DF769D9" w14:textId="7CB65CD5" w:rsidR="009E4715" w:rsidRPr="00092862" w:rsidRDefault="009E4715" w:rsidP="00A75B69">
            <w:pPr>
              <w:pStyle w:val="Default"/>
              <w:rPr>
                <w:rFonts w:ascii="Times New Roman" w:eastAsia="宋体" w:cs="Times New Roman"/>
                <w:color w:val="000000" w:themeColor="text1"/>
              </w:rPr>
            </w:pPr>
            <w:r w:rsidRPr="00092862">
              <w:rPr>
                <w:rFonts w:ascii="Times New Roman" w:cs="Times New Roman"/>
                <w:noProof/>
                <w:color w:val="000000" w:themeColor="text1"/>
              </w:rPr>
              <w:lastRenderedPageBreak/>
              <w:drawing>
                <wp:inline distT="0" distB="0" distL="0" distR="0" wp14:anchorId="2EB74738" wp14:editId="0492543D">
                  <wp:extent cx="2634615" cy="2018665"/>
                  <wp:effectExtent l="0" t="0" r="0" b="635"/>
                  <wp:docPr id="1793" name="图片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4615" cy="2018665"/>
                          </a:xfrm>
                          <a:prstGeom prst="rect">
                            <a:avLst/>
                          </a:prstGeom>
                          <a:noFill/>
                          <a:ln>
                            <a:noFill/>
                          </a:ln>
                          <a:effectLst/>
                        </pic:spPr>
                      </pic:pic>
                    </a:graphicData>
                  </a:graphic>
                </wp:inline>
              </w:drawing>
            </w:r>
          </w:p>
        </w:tc>
        <w:tc>
          <w:tcPr>
            <w:tcW w:w="4412" w:type="dxa"/>
            <w:gridSpan w:val="2"/>
          </w:tcPr>
          <w:p w14:paraId="07A47BCF" w14:textId="411F3247" w:rsidR="009E4715" w:rsidRPr="00092862" w:rsidRDefault="009E4715" w:rsidP="00A75B69">
            <w:pPr>
              <w:pStyle w:val="Default"/>
              <w:rPr>
                <w:rFonts w:ascii="Times New Roman" w:eastAsia="宋体" w:cs="Times New Roman"/>
                <w:color w:val="000000" w:themeColor="text1"/>
              </w:rPr>
            </w:pPr>
            <w:r w:rsidRPr="00092862">
              <w:rPr>
                <w:rFonts w:ascii="Times New Roman" w:cs="Times New Roman"/>
                <w:noProof/>
                <w:color w:val="000000" w:themeColor="text1"/>
              </w:rPr>
              <w:drawing>
                <wp:inline distT="0" distB="0" distL="0" distR="0" wp14:anchorId="48340D74" wp14:editId="7FE2F6B3">
                  <wp:extent cx="2661920" cy="2037080"/>
                  <wp:effectExtent l="0" t="0" r="5080" b="12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1920" cy="2037080"/>
                          </a:xfrm>
                          <a:prstGeom prst="rect">
                            <a:avLst/>
                          </a:prstGeom>
                          <a:noFill/>
                          <a:ln>
                            <a:noFill/>
                          </a:ln>
                          <a:effectLst/>
                        </pic:spPr>
                      </pic:pic>
                    </a:graphicData>
                  </a:graphic>
                </wp:inline>
              </w:drawing>
            </w:r>
          </w:p>
        </w:tc>
      </w:tr>
      <w:tr w:rsidR="00697429" w:rsidRPr="00092862" w14:paraId="4225AC60" w14:textId="77777777" w:rsidTr="00A75B69">
        <w:trPr>
          <w:jc w:val="center"/>
        </w:trPr>
        <w:tc>
          <w:tcPr>
            <w:tcW w:w="4369" w:type="dxa"/>
          </w:tcPr>
          <w:p w14:paraId="29A87C67"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color w:val="000000" w:themeColor="text1"/>
                <w:sz w:val="21"/>
                <w:szCs w:val="21"/>
              </w:rPr>
              <w:t>马尾松群落</w:t>
            </w:r>
          </w:p>
        </w:tc>
        <w:tc>
          <w:tcPr>
            <w:tcW w:w="4412" w:type="dxa"/>
            <w:gridSpan w:val="2"/>
          </w:tcPr>
          <w:p w14:paraId="3FB948AB"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color w:val="000000" w:themeColor="text1"/>
                <w:sz w:val="21"/>
                <w:szCs w:val="21"/>
              </w:rPr>
              <w:t>马尾松群落</w:t>
            </w:r>
          </w:p>
        </w:tc>
      </w:tr>
      <w:tr w:rsidR="00697429" w:rsidRPr="00092862" w14:paraId="57A32197" w14:textId="77777777" w:rsidTr="00A75B69">
        <w:trPr>
          <w:jc w:val="center"/>
        </w:trPr>
        <w:tc>
          <w:tcPr>
            <w:tcW w:w="4369" w:type="dxa"/>
          </w:tcPr>
          <w:p w14:paraId="3A52BA10" w14:textId="39CCD3BF" w:rsidR="009E4715" w:rsidRPr="00092862" w:rsidRDefault="009E4715" w:rsidP="00A75B69">
            <w:pPr>
              <w:pStyle w:val="Default"/>
              <w:rPr>
                <w:rFonts w:ascii="Times New Roman" w:eastAsia="宋体" w:cs="Times New Roman"/>
                <w:color w:val="000000" w:themeColor="text1"/>
              </w:rPr>
            </w:pPr>
            <w:r w:rsidRPr="00092862">
              <w:rPr>
                <w:rFonts w:ascii="Times New Roman" w:cs="Times New Roman"/>
                <w:noProof/>
                <w:color w:val="000000" w:themeColor="text1"/>
              </w:rPr>
              <w:drawing>
                <wp:inline distT="0" distB="0" distL="0" distR="0" wp14:anchorId="0FF4FA61" wp14:editId="25EABFCD">
                  <wp:extent cx="2634615" cy="204597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4615" cy="2045970"/>
                          </a:xfrm>
                          <a:prstGeom prst="rect">
                            <a:avLst/>
                          </a:prstGeom>
                          <a:noFill/>
                          <a:ln>
                            <a:noFill/>
                          </a:ln>
                        </pic:spPr>
                      </pic:pic>
                    </a:graphicData>
                  </a:graphic>
                </wp:inline>
              </w:drawing>
            </w:r>
          </w:p>
        </w:tc>
        <w:tc>
          <w:tcPr>
            <w:tcW w:w="4412" w:type="dxa"/>
            <w:gridSpan w:val="2"/>
          </w:tcPr>
          <w:p w14:paraId="12B8D3D4" w14:textId="47DCA874" w:rsidR="009E4715" w:rsidRPr="00092862" w:rsidRDefault="009E4715" w:rsidP="00A75B69">
            <w:pPr>
              <w:pStyle w:val="Default"/>
              <w:rPr>
                <w:rFonts w:ascii="Times New Roman" w:eastAsia="宋体" w:cs="Times New Roman"/>
                <w:color w:val="000000" w:themeColor="text1"/>
              </w:rPr>
            </w:pPr>
            <w:r w:rsidRPr="00092862">
              <w:rPr>
                <w:rFonts w:ascii="Times New Roman" w:cs="Times New Roman"/>
                <w:noProof/>
                <w:color w:val="000000" w:themeColor="text1"/>
              </w:rPr>
              <w:drawing>
                <wp:inline distT="0" distB="0" distL="0" distR="0" wp14:anchorId="4436098B" wp14:editId="07DD1789">
                  <wp:extent cx="2661920" cy="2054860"/>
                  <wp:effectExtent l="0" t="0" r="5080" b="254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61920" cy="2054860"/>
                          </a:xfrm>
                          <a:prstGeom prst="rect">
                            <a:avLst/>
                          </a:prstGeom>
                          <a:noFill/>
                          <a:ln>
                            <a:noFill/>
                          </a:ln>
                          <a:effectLst/>
                        </pic:spPr>
                      </pic:pic>
                    </a:graphicData>
                  </a:graphic>
                </wp:inline>
              </w:drawing>
            </w:r>
          </w:p>
        </w:tc>
      </w:tr>
      <w:tr w:rsidR="00697429" w:rsidRPr="00092862" w14:paraId="362A0EBD" w14:textId="77777777" w:rsidTr="00A75B69">
        <w:trPr>
          <w:trHeight w:val="90"/>
          <w:jc w:val="center"/>
        </w:trPr>
        <w:tc>
          <w:tcPr>
            <w:tcW w:w="4369" w:type="dxa"/>
          </w:tcPr>
          <w:p w14:paraId="284C72D3"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马尾松</w:t>
            </w:r>
            <w:r w:rsidRPr="00092862">
              <w:rPr>
                <w:rFonts w:ascii="Times New Roman" w:cs="Times New Roman"/>
                <w:color w:val="000000" w:themeColor="text1"/>
                <w:sz w:val="21"/>
                <w:szCs w:val="21"/>
              </w:rPr>
              <w:t>群落</w:t>
            </w:r>
            <w:r w:rsidRPr="00092862">
              <w:rPr>
                <w:rFonts w:ascii="Times New Roman" w:eastAsia="宋体" w:cs="Times New Roman"/>
                <w:color w:val="000000" w:themeColor="text1"/>
                <w:sz w:val="21"/>
                <w:szCs w:val="21"/>
              </w:rPr>
              <w:t>样方调查</w:t>
            </w:r>
          </w:p>
        </w:tc>
        <w:tc>
          <w:tcPr>
            <w:tcW w:w="4412" w:type="dxa"/>
            <w:gridSpan w:val="2"/>
          </w:tcPr>
          <w:p w14:paraId="17DDE1BF"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马尾松</w:t>
            </w:r>
            <w:r w:rsidRPr="00092862">
              <w:rPr>
                <w:rFonts w:ascii="Times New Roman" w:cs="Times New Roman"/>
                <w:color w:val="000000" w:themeColor="text1"/>
                <w:sz w:val="21"/>
                <w:szCs w:val="21"/>
              </w:rPr>
              <w:t>群落</w:t>
            </w:r>
            <w:r w:rsidRPr="00092862">
              <w:rPr>
                <w:rFonts w:ascii="Times New Roman" w:eastAsia="宋体" w:cs="Times New Roman"/>
                <w:color w:val="000000" w:themeColor="text1"/>
                <w:sz w:val="21"/>
                <w:szCs w:val="21"/>
              </w:rPr>
              <w:t>样方调查</w:t>
            </w:r>
          </w:p>
        </w:tc>
      </w:tr>
      <w:tr w:rsidR="00697429" w:rsidRPr="00092862" w14:paraId="7F127FDF" w14:textId="77777777" w:rsidTr="00A75B69">
        <w:trPr>
          <w:trHeight w:val="90"/>
          <w:jc w:val="center"/>
        </w:trPr>
        <w:tc>
          <w:tcPr>
            <w:tcW w:w="4369" w:type="dxa"/>
          </w:tcPr>
          <w:p w14:paraId="068444E7" w14:textId="31237AC2"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6818FD13" wp14:editId="64411DDC">
                  <wp:extent cx="2634615" cy="308737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34615" cy="3087370"/>
                          </a:xfrm>
                          <a:prstGeom prst="rect">
                            <a:avLst/>
                          </a:prstGeom>
                          <a:noFill/>
                          <a:ln>
                            <a:noFill/>
                          </a:ln>
                          <a:effectLst/>
                        </pic:spPr>
                      </pic:pic>
                    </a:graphicData>
                  </a:graphic>
                </wp:inline>
              </w:drawing>
            </w:r>
          </w:p>
        </w:tc>
        <w:tc>
          <w:tcPr>
            <w:tcW w:w="4412" w:type="dxa"/>
            <w:gridSpan w:val="2"/>
          </w:tcPr>
          <w:p w14:paraId="1B53F609" w14:textId="679096E5"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21B1AB1B" wp14:editId="436DD4FC">
                  <wp:extent cx="2661920" cy="3150870"/>
                  <wp:effectExtent l="0" t="0" r="508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61920" cy="3150870"/>
                          </a:xfrm>
                          <a:prstGeom prst="rect">
                            <a:avLst/>
                          </a:prstGeom>
                          <a:noFill/>
                          <a:ln>
                            <a:noFill/>
                          </a:ln>
                          <a:effectLst/>
                        </pic:spPr>
                      </pic:pic>
                    </a:graphicData>
                  </a:graphic>
                </wp:inline>
              </w:drawing>
            </w:r>
          </w:p>
        </w:tc>
      </w:tr>
      <w:tr w:rsidR="00697429" w:rsidRPr="00092862" w14:paraId="466BE283" w14:textId="77777777" w:rsidTr="00A75B69">
        <w:trPr>
          <w:trHeight w:val="90"/>
          <w:jc w:val="center"/>
        </w:trPr>
        <w:tc>
          <w:tcPr>
            <w:tcW w:w="4369" w:type="dxa"/>
          </w:tcPr>
          <w:p w14:paraId="03C08E98"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杉木</w:t>
            </w:r>
            <w:r w:rsidRPr="00092862">
              <w:rPr>
                <w:rFonts w:ascii="Times New Roman" w:cs="Times New Roman"/>
                <w:color w:val="000000" w:themeColor="text1"/>
                <w:sz w:val="21"/>
                <w:szCs w:val="21"/>
              </w:rPr>
              <w:t>群落</w:t>
            </w:r>
            <w:r w:rsidRPr="00092862">
              <w:rPr>
                <w:rFonts w:ascii="Times New Roman" w:eastAsia="宋体" w:cs="Times New Roman"/>
                <w:color w:val="000000" w:themeColor="text1"/>
                <w:sz w:val="21"/>
                <w:szCs w:val="21"/>
              </w:rPr>
              <w:t>样方调查</w:t>
            </w:r>
          </w:p>
        </w:tc>
        <w:tc>
          <w:tcPr>
            <w:tcW w:w="4412" w:type="dxa"/>
            <w:gridSpan w:val="2"/>
          </w:tcPr>
          <w:p w14:paraId="0D2B0502"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杉木</w:t>
            </w:r>
            <w:r w:rsidRPr="00092862">
              <w:rPr>
                <w:rFonts w:ascii="Times New Roman" w:cs="Times New Roman"/>
                <w:color w:val="000000" w:themeColor="text1"/>
                <w:sz w:val="21"/>
                <w:szCs w:val="21"/>
              </w:rPr>
              <w:t>群落</w:t>
            </w:r>
            <w:r w:rsidRPr="00092862">
              <w:rPr>
                <w:rFonts w:ascii="Times New Roman" w:eastAsia="宋体" w:cs="Times New Roman"/>
                <w:color w:val="000000" w:themeColor="text1"/>
                <w:sz w:val="21"/>
                <w:szCs w:val="21"/>
              </w:rPr>
              <w:t>样方调查</w:t>
            </w:r>
          </w:p>
        </w:tc>
      </w:tr>
      <w:tr w:rsidR="00697429" w:rsidRPr="00092862" w14:paraId="49715074" w14:textId="77777777" w:rsidTr="00A75B69">
        <w:trPr>
          <w:jc w:val="center"/>
        </w:trPr>
        <w:tc>
          <w:tcPr>
            <w:tcW w:w="4369" w:type="dxa"/>
          </w:tcPr>
          <w:p w14:paraId="33DD8BB0" w14:textId="39D1979C" w:rsidR="009E4715" w:rsidRPr="00092862" w:rsidRDefault="009E4715" w:rsidP="00A75B69">
            <w:pPr>
              <w:pStyle w:val="Default"/>
              <w:rPr>
                <w:rFonts w:ascii="Times New Roman" w:cs="Times New Roman"/>
                <w:color w:val="000000" w:themeColor="text1"/>
              </w:rPr>
            </w:pPr>
            <w:r w:rsidRPr="00092862">
              <w:rPr>
                <w:rFonts w:ascii="Times New Roman" w:cs="Times New Roman"/>
                <w:noProof/>
                <w:color w:val="000000" w:themeColor="text1"/>
              </w:rPr>
              <w:lastRenderedPageBreak/>
              <w:drawing>
                <wp:inline distT="0" distB="0" distL="0" distR="0" wp14:anchorId="37FDDF2F" wp14:editId="5A09821E">
                  <wp:extent cx="2634615" cy="206438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4615" cy="2064385"/>
                          </a:xfrm>
                          <a:prstGeom prst="rect">
                            <a:avLst/>
                          </a:prstGeom>
                          <a:noFill/>
                          <a:ln>
                            <a:noFill/>
                          </a:ln>
                        </pic:spPr>
                      </pic:pic>
                    </a:graphicData>
                  </a:graphic>
                </wp:inline>
              </w:drawing>
            </w:r>
          </w:p>
        </w:tc>
        <w:tc>
          <w:tcPr>
            <w:tcW w:w="4412" w:type="dxa"/>
            <w:gridSpan w:val="2"/>
          </w:tcPr>
          <w:p w14:paraId="5544BF72" w14:textId="5BB3511F" w:rsidR="009E4715" w:rsidRPr="00092862" w:rsidRDefault="009E4715" w:rsidP="00A75B69">
            <w:pPr>
              <w:pStyle w:val="Default"/>
              <w:rPr>
                <w:rFonts w:ascii="Times New Roman" w:cs="Times New Roman"/>
                <w:color w:val="000000" w:themeColor="text1"/>
              </w:rPr>
            </w:pPr>
            <w:r w:rsidRPr="00092862">
              <w:rPr>
                <w:rFonts w:ascii="Times New Roman" w:cs="Times New Roman"/>
                <w:noProof/>
                <w:color w:val="000000" w:themeColor="text1"/>
              </w:rPr>
              <w:drawing>
                <wp:inline distT="0" distB="0" distL="0" distR="0" wp14:anchorId="2167E6A4" wp14:editId="5A286B90">
                  <wp:extent cx="2661920" cy="2091055"/>
                  <wp:effectExtent l="0" t="0" r="5080"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1920" cy="2091055"/>
                          </a:xfrm>
                          <a:prstGeom prst="rect">
                            <a:avLst/>
                          </a:prstGeom>
                          <a:noFill/>
                          <a:ln>
                            <a:noFill/>
                          </a:ln>
                          <a:effectLst/>
                        </pic:spPr>
                      </pic:pic>
                    </a:graphicData>
                  </a:graphic>
                </wp:inline>
              </w:drawing>
            </w:r>
          </w:p>
        </w:tc>
      </w:tr>
      <w:tr w:rsidR="00697429" w:rsidRPr="00092862" w14:paraId="56121A01" w14:textId="77777777" w:rsidTr="00A75B69">
        <w:trPr>
          <w:jc w:val="center"/>
        </w:trPr>
        <w:tc>
          <w:tcPr>
            <w:tcW w:w="4369" w:type="dxa"/>
          </w:tcPr>
          <w:p w14:paraId="1B285C64"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柏木群落</w:t>
            </w:r>
          </w:p>
        </w:tc>
        <w:tc>
          <w:tcPr>
            <w:tcW w:w="4412" w:type="dxa"/>
            <w:gridSpan w:val="2"/>
          </w:tcPr>
          <w:p w14:paraId="766D3188"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柏木群落</w:t>
            </w:r>
          </w:p>
        </w:tc>
      </w:tr>
      <w:tr w:rsidR="00697429" w:rsidRPr="00092862" w14:paraId="688BDCE2" w14:textId="77777777" w:rsidTr="00A75B69">
        <w:trPr>
          <w:jc w:val="center"/>
        </w:trPr>
        <w:tc>
          <w:tcPr>
            <w:tcW w:w="4369" w:type="dxa"/>
          </w:tcPr>
          <w:p w14:paraId="0F7C6BE9" w14:textId="43DCDD28" w:rsidR="009E4715" w:rsidRPr="00092862" w:rsidRDefault="009E4715" w:rsidP="00A75B69">
            <w:pPr>
              <w:pStyle w:val="Default"/>
              <w:jc w:val="center"/>
              <w:rPr>
                <w:rFonts w:ascii="Times New Roman" w:cs="Times New Roman"/>
                <w:color w:val="000000" w:themeColor="text1"/>
              </w:rPr>
            </w:pPr>
            <w:r w:rsidRPr="00092862">
              <w:rPr>
                <w:rFonts w:ascii="Times New Roman" w:cs="Times New Roman"/>
                <w:noProof/>
                <w:color w:val="000000" w:themeColor="text1"/>
              </w:rPr>
              <w:drawing>
                <wp:inline distT="0" distB="0" distL="0" distR="0" wp14:anchorId="2A07EFE1" wp14:editId="51BFBDB0">
                  <wp:extent cx="2625725" cy="1991995"/>
                  <wp:effectExtent l="0" t="0" r="3175"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25725" cy="1991995"/>
                          </a:xfrm>
                          <a:prstGeom prst="rect">
                            <a:avLst/>
                          </a:prstGeom>
                          <a:noFill/>
                          <a:ln>
                            <a:noFill/>
                          </a:ln>
                          <a:effectLst/>
                        </pic:spPr>
                      </pic:pic>
                    </a:graphicData>
                  </a:graphic>
                </wp:inline>
              </w:drawing>
            </w:r>
          </w:p>
        </w:tc>
        <w:tc>
          <w:tcPr>
            <w:tcW w:w="4412" w:type="dxa"/>
            <w:gridSpan w:val="2"/>
          </w:tcPr>
          <w:p w14:paraId="3344916D" w14:textId="5CDD01DE" w:rsidR="009E4715" w:rsidRPr="00092862" w:rsidRDefault="009E4715" w:rsidP="00A75B69">
            <w:pPr>
              <w:pStyle w:val="Default"/>
              <w:rPr>
                <w:rFonts w:ascii="Times New Roman" w:cs="Times New Roman"/>
                <w:color w:val="000000" w:themeColor="text1"/>
              </w:rPr>
            </w:pPr>
            <w:r w:rsidRPr="00092862">
              <w:rPr>
                <w:rFonts w:ascii="Times New Roman" w:cs="Times New Roman"/>
                <w:noProof/>
                <w:color w:val="000000" w:themeColor="text1"/>
              </w:rPr>
              <w:drawing>
                <wp:inline distT="0" distB="0" distL="0" distR="0" wp14:anchorId="0D8A5D76" wp14:editId="382775BF">
                  <wp:extent cx="2652395" cy="2009775"/>
                  <wp:effectExtent l="0" t="0" r="0" b="952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52395" cy="2009775"/>
                          </a:xfrm>
                          <a:prstGeom prst="rect">
                            <a:avLst/>
                          </a:prstGeom>
                          <a:noFill/>
                          <a:ln>
                            <a:noFill/>
                          </a:ln>
                        </pic:spPr>
                      </pic:pic>
                    </a:graphicData>
                  </a:graphic>
                </wp:inline>
              </w:drawing>
            </w:r>
          </w:p>
        </w:tc>
      </w:tr>
      <w:tr w:rsidR="00697429" w:rsidRPr="00092862" w14:paraId="2939EB02" w14:textId="77777777" w:rsidTr="00A75B69">
        <w:trPr>
          <w:trHeight w:val="90"/>
          <w:jc w:val="center"/>
        </w:trPr>
        <w:tc>
          <w:tcPr>
            <w:tcW w:w="4369" w:type="dxa"/>
          </w:tcPr>
          <w:p w14:paraId="58A5C595"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柏木</w:t>
            </w:r>
            <w:r w:rsidRPr="00092862">
              <w:rPr>
                <w:rFonts w:ascii="Times New Roman" w:cs="Times New Roman"/>
                <w:color w:val="000000" w:themeColor="text1"/>
                <w:sz w:val="21"/>
                <w:szCs w:val="21"/>
              </w:rPr>
              <w:t>群落</w:t>
            </w:r>
            <w:r w:rsidRPr="00092862">
              <w:rPr>
                <w:rFonts w:ascii="Times New Roman" w:eastAsia="宋体" w:cs="Times New Roman"/>
                <w:color w:val="000000" w:themeColor="text1"/>
                <w:sz w:val="21"/>
                <w:szCs w:val="21"/>
              </w:rPr>
              <w:t>样方调查</w:t>
            </w:r>
          </w:p>
        </w:tc>
        <w:tc>
          <w:tcPr>
            <w:tcW w:w="4412" w:type="dxa"/>
            <w:gridSpan w:val="2"/>
          </w:tcPr>
          <w:p w14:paraId="6A99CC27"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柏木</w:t>
            </w:r>
            <w:r w:rsidRPr="00092862">
              <w:rPr>
                <w:rFonts w:ascii="Times New Roman" w:cs="Times New Roman"/>
                <w:color w:val="000000" w:themeColor="text1"/>
                <w:sz w:val="21"/>
                <w:szCs w:val="21"/>
              </w:rPr>
              <w:t>群落</w:t>
            </w:r>
            <w:r w:rsidRPr="00092862">
              <w:rPr>
                <w:rFonts w:ascii="Times New Roman" w:eastAsia="宋体" w:cs="Times New Roman"/>
                <w:color w:val="000000" w:themeColor="text1"/>
                <w:sz w:val="21"/>
                <w:szCs w:val="21"/>
              </w:rPr>
              <w:t>样方调查</w:t>
            </w:r>
          </w:p>
        </w:tc>
      </w:tr>
      <w:tr w:rsidR="00697429" w:rsidRPr="00092862" w14:paraId="2D43101C" w14:textId="77777777" w:rsidTr="00A75B69">
        <w:trPr>
          <w:jc w:val="center"/>
        </w:trPr>
        <w:tc>
          <w:tcPr>
            <w:tcW w:w="4369" w:type="dxa"/>
          </w:tcPr>
          <w:p w14:paraId="2DF9625A" w14:textId="53338662"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10303FBA" wp14:editId="17953C35">
                  <wp:extent cx="2625725" cy="2018665"/>
                  <wp:effectExtent l="0" t="0" r="3175"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25725" cy="2018665"/>
                          </a:xfrm>
                          <a:prstGeom prst="rect">
                            <a:avLst/>
                          </a:prstGeom>
                          <a:noFill/>
                          <a:ln>
                            <a:noFill/>
                          </a:ln>
                        </pic:spPr>
                      </pic:pic>
                    </a:graphicData>
                  </a:graphic>
                </wp:inline>
              </w:drawing>
            </w:r>
          </w:p>
        </w:tc>
        <w:tc>
          <w:tcPr>
            <w:tcW w:w="4412" w:type="dxa"/>
            <w:gridSpan w:val="2"/>
          </w:tcPr>
          <w:p w14:paraId="533EDA21" w14:textId="101837FA"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26097D77" wp14:editId="79E98ECD">
                  <wp:extent cx="2661920" cy="2009775"/>
                  <wp:effectExtent l="0" t="0" r="508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61920" cy="2009775"/>
                          </a:xfrm>
                          <a:prstGeom prst="rect">
                            <a:avLst/>
                          </a:prstGeom>
                          <a:noFill/>
                          <a:ln>
                            <a:noFill/>
                          </a:ln>
                        </pic:spPr>
                      </pic:pic>
                    </a:graphicData>
                  </a:graphic>
                </wp:inline>
              </w:drawing>
            </w:r>
          </w:p>
        </w:tc>
      </w:tr>
      <w:tr w:rsidR="00697429" w:rsidRPr="00092862" w14:paraId="59424237" w14:textId="77777777" w:rsidTr="00A75B69">
        <w:trPr>
          <w:jc w:val="center"/>
        </w:trPr>
        <w:tc>
          <w:tcPr>
            <w:tcW w:w="4369" w:type="dxa"/>
          </w:tcPr>
          <w:p w14:paraId="00CDE023"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野桐、盐肤木、马桑、黄荆、火棘灌丛群落样方调查</w:t>
            </w:r>
          </w:p>
        </w:tc>
        <w:tc>
          <w:tcPr>
            <w:tcW w:w="4412" w:type="dxa"/>
            <w:gridSpan w:val="2"/>
          </w:tcPr>
          <w:p w14:paraId="751C49A5"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野桐、盐肤木、马桑、黄荆、火棘灌丛群落样方调查</w:t>
            </w:r>
          </w:p>
        </w:tc>
      </w:tr>
      <w:tr w:rsidR="00697429" w:rsidRPr="00092862" w14:paraId="7AE0EACC" w14:textId="77777777" w:rsidTr="00A75B69">
        <w:trPr>
          <w:jc w:val="center"/>
        </w:trPr>
        <w:tc>
          <w:tcPr>
            <w:tcW w:w="4369" w:type="dxa"/>
          </w:tcPr>
          <w:p w14:paraId="5DF32659" w14:textId="709B2A96" w:rsidR="009E4715" w:rsidRPr="00092862" w:rsidRDefault="009E4715" w:rsidP="00A75B69">
            <w:pPr>
              <w:pStyle w:val="Default"/>
              <w:jc w:val="center"/>
              <w:rPr>
                <w:rFonts w:ascii="Times New Roman" w:cs="Times New Roman"/>
                <w:color w:val="000000" w:themeColor="text1"/>
              </w:rPr>
            </w:pPr>
            <w:r w:rsidRPr="00092862">
              <w:rPr>
                <w:rFonts w:ascii="Times New Roman" w:cs="Times New Roman"/>
                <w:noProof/>
                <w:color w:val="000000" w:themeColor="text1"/>
              </w:rPr>
              <w:lastRenderedPageBreak/>
              <w:drawing>
                <wp:inline distT="0" distB="0" distL="0" distR="0" wp14:anchorId="551F0F3A" wp14:editId="60B09042">
                  <wp:extent cx="2643505" cy="2064385"/>
                  <wp:effectExtent l="0" t="0" r="444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3505" cy="2064385"/>
                          </a:xfrm>
                          <a:prstGeom prst="rect">
                            <a:avLst/>
                          </a:prstGeom>
                          <a:noFill/>
                          <a:ln>
                            <a:noFill/>
                          </a:ln>
                        </pic:spPr>
                      </pic:pic>
                    </a:graphicData>
                  </a:graphic>
                </wp:inline>
              </w:drawing>
            </w:r>
          </w:p>
        </w:tc>
        <w:tc>
          <w:tcPr>
            <w:tcW w:w="4412" w:type="dxa"/>
            <w:gridSpan w:val="2"/>
          </w:tcPr>
          <w:p w14:paraId="54131386" w14:textId="26B2F7C9" w:rsidR="009E4715" w:rsidRPr="00092862" w:rsidRDefault="009E4715" w:rsidP="00A75B69">
            <w:pPr>
              <w:pStyle w:val="Default"/>
              <w:jc w:val="center"/>
              <w:rPr>
                <w:rFonts w:ascii="Times New Roman" w:cs="Times New Roman"/>
                <w:color w:val="000000" w:themeColor="text1"/>
              </w:rPr>
            </w:pPr>
            <w:r w:rsidRPr="00092862">
              <w:rPr>
                <w:rFonts w:ascii="Times New Roman" w:cs="Times New Roman"/>
                <w:noProof/>
                <w:color w:val="000000" w:themeColor="text1"/>
              </w:rPr>
              <w:drawing>
                <wp:inline distT="0" distB="0" distL="0" distR="0" wp14:anchorId="23980B79" wp14:editId="36B3B1A6">
                  <wp:extent cx="2661920" cy="2037080"/>
                  <wp:effectExtent l="0" t="0" r="5080" b="12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61920" cy="2037080"/>
                          </a:xfrm>
                          <a:prstGeom prst="rect">
                            <a:avLst/>
                          </a:prstGeom>
                          <a:noFill/>
                          <a:ln>
                            <a:noFill/>
                          </a:ln>
                          <a:effectLst/>
                        </pic:spPr>
                      </pic:pic>
                    </a:graphicData>
                  </a:graphic>
                </wp:inline>
              </w:drawing>
            </w:r>
          </w:p>
        </w:tc>
      </w:tr>
      <w:tr w:rsidR="00697429" w:rsidRPr="00092862" w14:paraId="44AF0886" w14:textId="77777777" w:rsidTr="00A75B69">
        <w:trPr>
          <w:jc w:val="center"/>
        </w:trPr>
        <w:tc>
          <w:tcPr>
            <w:tcW w:w="4369" w:type="dxa"/>
          </w:tcPr>
          <w:p w14:paraId="219C7C43"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野桐、盐肤木、马桑、黄荆、火棘灌丛群落样方调查</w:t>
            </w:r>
          </w:p>
        </w:tc>
        <w:tc>
          <w:tcPr>
            <w:tcW w:w="4412" w:type="dxa"/>
            <w:gridSpan w:val="2"/>
          </w:tcPr>
          <w:p w14:paraId="0B57DC67"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野桐、盐肤木、马桑、黄荆、火棘灌丛群落</w:t>
            </w:r>
          </w:p>
        </w:tc>
      </w:tr>
      <w:tr w:rsidR="00697429" w:rsidRPr="00092862" w14:paraId="5BA3CCD6" w14:textId="77777777" w:rsidTr="00A75B69">
        <w:trPr>
          <w:jc w:val="center"/>
        </w:trPr>
        <w:tc>
          <w:tcPr>
            <w:tcW w:w="4369" w:type="dxa"/>
          </w:tcPr>
          <w:p w14:paraId="09E6E3DC" w14:textId="185FB258"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1AFCEDE9" wp14:editId="48E51B93">
                  <wp:extent cx="2634615" cy="1973580"/>
                  <wp:effectExtent l="0" t="0" r="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34615" cy="1973580"/>
                          </a:xfrm>
                          <a:prstGeom prst="rect">
                            <a:avLst/>
                          </a:prstGeom>
                          <a:noFill/>
                          <a:ln>
                            <a:noFill/>
                          </a:ln>
                        </pic:spPr>
                      </pic:pic>
                    </a:graphicData>
                  </a:graphic>
                </wp:inline>
              </w:drawing>
            </w:r>
          </w:p>
        </w:tc>
        <w:tc>
          <w:tcPr>
            <w:tcW w:w="4412" w:type="dxa"/>
            <w:gridSpan w:val="2"/>
          </w:tcPr>
          <w:p w14:paraId="79C026F7" w14:textId="37A7559C"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743FCC06" wp14:editId="0F7FDF54">
                  <wp:extent cx="2652395" cy="1973580"/>
                  <wp:effectExtent l="0" t="0" r="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2395" cy="1973580"/>
                          </a:xfrm>
                          <a:prstGeom prst="rect">
                            <a:avLst/>
                          </a:prstGeom>
                          <a:noFill/>
                          <a:ln>
                            <a:noFill/>
                          </a:ln>
                          <a:effectLst/>
                        </pic:spPr>
                      </pic:pic>
                    </a:graphicData>
                  </a:graphic>
                </wp:inline>
              </w:drawing>
            </w:r>
          </w:p>
        </w:tc>
      </w:tr>
      <w:tr w:rsidR="00697429" w:rsidRPr="00092862" w14:paraId="6661295E" w14:textId="77777777" w:rsidTr="00A75B69">
        <w:trPr>
          <w:jc w:val="center"/>
        </w:trPr>
        <w:tc>
          <w:tcPr>
            <w:tcW w:w="4390" w:type="dxa"/>
            <w:gridSpan w:val="2"/>
          </w:tcPr>
          <w:p w14:paraId="35F6185E"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白茅、五节芒、野古草群落</w:t>
            </w:r>
          </w:p>
        </w:tc>
        <w:tc>
          <w:tcPr>
            <w:tcW w:w="4391" w:type="dxa"/>
          </w:tcPr>
          <w:p w14:paraId="3D1193D5"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白茅、五节芒、野古草群落样方调查</w:t>
            </w:r>
          </w:p>
        </w:tc>
      </w:tr>
      <w:tr w:rsidR="00697429" w:rsidRPr="00092862" w14:paraId="5572F0FD" w14:textId="77777777" w:rsidTr="00A75B69">
        <w:trPr>
          <w:jc w:val="center"/>
        </w:trPr>
        <w:tc>
          <w:tcPr>
            <w:tcW w:w="4390" w:type="dxa"/>
            <w:gridSpan w:val="2"/>
          </w:tcPr>
          <w:p w14:paraId="387CF6EE" w14:textId="08914033"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cs="Times New Roman"/>
                <w:noProof/>
                <w:color w:val="000000" w:themeColor="text1"/>
              </w:rPr>
              <w:drawing>
                <wp:inline distT="0" distB="0" distL="0" distR="0" wp14:anchorId="4E82EDDA" wp14:editId="12B017E4">
                  <wp:extent cx="2643505" cy="2037080"/>
                  <wp:effectExtent l="0" t="0" r="4445"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43505" cy="2037080"/>
                          </a:xfrm>
                          <a:prstGeom prst="rect">
                            <a:avLst/>
                          </a:prstGeom>
                          <a:noFill/>
                          <a:ln>
                            <a:noFill/>
                          </a:ln>
                        </pic:spPr>
                      </pic:pic>
                    </a:graphicData>
                  </a:graphic>
                </wp:inline>
              </w:drawing>
            </w:r>
          </w:p>
        </w:tc>
        <w:tc>
          <w:tcPr>
            <w:tcW w:w="4391" w:type="dxa"/>
          </w:tcPr>
          <w:p w14:paraId="2D19E500" w14:textId="60D5FD9C" w:rsidR="009E4715" w:rsidRPr="00092862" w:rsidRDefault="009E4715" w:rsidP="00A75B69">
            <w:pPr>
              <w:pStyle w:val="Default"/>
              <w:jc w:val="center"/>
              <w:rPr>
                <w:rFonts w:ascii="Times New Roman" w:eastAsia="宋体" w:cs="Times New Roman"/>
                <w:color w:val="000000" w:themeColor="text1"/>
                <w:spacing w:val="15"/>
                <w:sz w:val="21"/>
                <w:szCs w:val="21"/>
              </w:rPr>
            </w:pPr>
            <w:r w:rsidRPr="00092862">
              <w:rPr>
                <w:rFonts w:ascii="Times New Roman" w:cs="Times New Roman"/>
                <w:noProof/>
                <w:color w:val="000000" w:themeColor="text1"/>
              </w:rPr>
              <w:drawing>
                <wp:inline distT="0" distB="0" distL="0" distR="0" wp14:anchorId="0FEB9EC9" wp14:editId="14ECF093">
                  <wp:extent cx="2652395" cy="2037080"/>
                  <wp:effectExtent l="0" t="0" r="0" b="127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52395" cy="2037080"/>
                          </a:xfrm>
                          <a:prstGeom prst="rect">
                            <a:avLst/>
                          </a:prstGeom>
                          <a:noFill/>
                          <a:ln>
                            <a:noFill/>
                          </a:ln>
                        </pic:spPr>
                      </pic:pic>
                    </a:graphicData>
                  </a:graphic>
                </wp:inline>
              </w:drawing>
            </w:r>
          </w:p>
        </w:tc>
      </w:tr>
      <w:tr w:rsidR="00697429" w:rsidRPr="00092862" w14:paraId="734153D8" w14:textId="77777777" w:rsidTr="00A75B69">
        <w:trPr>
          <w:jc w:val="center"/>
        </w:trPr>
        <w:tc>
          <w:tcPr>
            <w:tcW w:w="4390" w:type="dxa"/>
            <w:gridSpan w:val="2"/>
          </w:tcPr>
          <w:p w14:paraId="3593F865" w14:textId="77777777" w:rsidR="009E4715" w:rsidRPr="00092862" w:rsidRDefault="009E4715" w:rsidP="00A75B69">
            <w:pPr>
              <w:pStyle w:val="Default"/>
              <w:jc w:val="center"/>
              <w:rPr>
                <w:rFonts w:ascii="Times New Roman" w:eastAsia="宋体" w:cs="Times New Roman"/>
                <w:color w:val="000000" w:themeColor="text1"/>
                <w:sz w:val="21"/>
                <w:szCs w:val="21"/>
              </w:rPr>
            </w:pPr>
            <w:r w:rsidRPr="00092862">
              <w:rPr>
                <w:rFonts w:ascii="Times New Roman" w:eastAsia="宋体" w:cs="Times New Roman"/>
                <w:color w:val="000000" w:themeColor="text1"/>
                <w:sz w:val="21"/>
                <w:szCs w:val="21"/>
              </w:rPr>
              <w:t>芒、蕨、芒萁群落</w:t>
            </w:r>
          </w:p>
        </w:tc>
        <w:tc>
          <w:tcPr>
            <w:tcW w:w="4391" w:type="dxa"/>
          </w:tcPr>
          <w:p w14:paraId="08AD1668" w14:textId="77777777" w:rsidR="009E4715" w:rsidRPr="00092862" w:rsidRDefault="009E4715" w:rsidP="00A75B69">
            <w:pPr>
              <w:pStyle w:val="Default"/>
              <w:jc w:val="center"/>
              <w:rPr>
                <w:rFonts w:ascii="Times New Roman" w:eastAsia="宋体" w:cs="Times New Roman"/>
                <w:color w:val="000000" w:themeColor="text1"/>
                <w:spacing w:val="15"/>
                <w:sz w:val="21"/>
                <w:szCs w:val="21"/>
              </w:rPr>
            </w:pPr>
            <w:r w:rsidRPr="00092862">
              <w:rPr>
                <w:rFonts w:ascii="Times New Roman" w:eastAsia="宋体" w:cs="Times New Roman"/>
                <w:color w:val="000000" w:themeColor="text1"/>
                <w:sz w:val="21"/>
                <w:szCs w:val="21"/>
              </w:rPr>
              <w:t>芒、蕨、芒萁群落</w:t>
            </w:r>
          </w:p>
        </w:tc>
      </w:tr>
    </w:tbl>
    <w:p w14:paraId="2C3A6AEC"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rPr>
      </w:pPr>
      <w:r w:rsidRPr="00092862">
        <w:rPr>
          <w:rFonts w:ascii="Times New Roman" w:eastAsia="宋体" w:hAnsi="Times New Roman" w:cs="Times New Roman"/>
          <w:b/>
          <w:color w:val="000000" w:themeColor="text1"/>
          <w:kern w:val="0"/>
        </w:rPr>
        <w:t>图</w:t>
      </w:r>
      <w:r w:rsidRPr="00092862">
        <w:rPr>
          <w:rFonts w:ascii="Times New Roman" w:eastAsia="宋体" w:hAnsi="Times New Roman" w:cs="Times New Roman"/>
          <w:b/>
          <w:color w:val="000000" w:themeColor="text1"/>
          <w:kern w:val="0"/>
        </w:rPr>
        <w:t xml:space="preserve">4.3-1 </w:t>
      </w:r>
      <w:r w:rsidRPr="00092862">
        <w:rPr>
          <w:rFonts w:ascii="Times New Roman" w:eastAsia="宋体" w:hAnsi="Times New Roman" w:cs="Times New Roman"/>
          <w:b/>
          <w:color w:val="000000" w:themeColor="text1"/>
          <w:kern w:val="0"/>
        </w:rPr>
        <w:t>陆生植被调查照片</w:t>
      </w:r>
    </w:p>
    <w:p w14:paraId="4D1E21FB" w14:textId="77777777" w:rsidR="009E4715" w:rsidRPr="00092862" w:rsidRDefault="009E4715" w:rsidP="00092862">
      <w:pPr>
        <w:spacing w:line="500" w:lineRule="exact"/>
        <w:ind w:left="62" w:right="102" w:firstLine="482"/>
        <w:jc w:val="center"/>
        <w:rPr>
          <w:rFonts w:ascii="Times New Roman" w:eastAsia="宋体" w:hAnsi="Times New Roman" w:cs="Times New Roman"/>
          <w:b/>
          <w:color w:val="000000" w:themeColor="text1"/>
          <w:szCs w:val="20"/>
        </w:rPr>
      </w:pPr>
      <w:r w:rsidRPr="00092862">
        <w:rPr>
          <w:rFonts w:ascii="Times New Roman" w:eastAsia="宋体" w:hAnsi="Times New Roman" w:cs="Times New Roman"/>
          <w:color w:val="000000" w:themeColor="text1"/>
          <w:sz w:val="24"/>
        </w:rPr>
        <w:t>评价区范围相对较小，水热条件、海拔、土壤理化性质均一致，根据现场调查及遥感卫片纹理特征可知，每种群落内部种群差异较小。据实际分布情况，评价区每种群落选取一个具代表性的样方进行列表明示。具体记录如下</w:t>
      </w:r>
      <w:r w:rsidR="006C0AF4" w:rsidRPr="00092862">
        <w:rPr>
          <w:rFonts w:ascii="Times New Roman" w:hAnsi="Times New Roman" w:cs="Times New Roman"/>
          <w:color w:val="000000" w:themeColor="text1"/>
          <w:sz w:val="24"/>
        </w:rPr>
        <w:t>。</w:t>
      </w:r>
      <w:r w:rsidRPr="00092862">
        <w:rPr>
          <w:rFonts w:ascii="Times New Roman" w:eastAsia="宋体" w:hAnsi="Times New Roman" w:cs="Times New Roman"/>
          <w:b/>
          <w:color w:val="000000" w:themeColor="text1"/>
          <w:szCs w:val="20"/>
        </w:rPr>
        <w:t>样方</w:t>
      </w:r>
      <w:r w:rsidRPr="00092862">
        <w:rPr>
          <w:rFonts w:ascii="Times New Roman" w:eastAsia="宋体" w:hAnsi="Times New Roman" w:cs="Times New Roman"/>
          <w:b/>
          <w:color w:val="000000" w:themeColor="text1"/>
          <w:szCs w:val="20"/>
        </w:rPr>
        <w:t xml:space="preserve">1 </w:t>
      </w:r>
      <w:r w:rsidRPr="00092862">
        <w:rPr>
          <w:rFonts w:ascii="Times New Roman" w:eastAsia="宋体" w:hAnsi="Times New Roman" w:cs="Times New Roman"/>
          <w:b/>
          <w:color w:val="000000" w:themeColor="text1"/>
          <w:szCs w:val="20"/>
        </w:rPr>
        <w:t>马尾松群系样方表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481"/>
        <w:gridCol w:w="621"/>
        <w:gridCol w:w="648"/>
        <w:gridCol w:w="550"/>
        <w:gridCol w:w="523"/>
        <w:gridCol w:w="659"/>
        <w:gridCol w:w="743"/>
      </w:tblGrid>
      <w:tr w:rsidR="00697429" w:rsidRPr="00092862" w14:paraId="03006806" w14:textId="77777777" w:rsidTr="00A75B69">
        <w:trPr>
          <w:trHeight w:val="755"/>
          <w:jc w:val="center"/>
        </w:trPr>
        <w:tc>
          <w:tcPr>
            <w:tcW w:w="570" w:type="dxa"/>
            <w:vAlign w:val="center"/>
          </w:tcPr>
          <w:p w14:paraId="180A71C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63BB9FB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107.8172,31.4513</w:t>
            </w:r>
          </w:p>
        </w:tc>
        <w:tc>
          <w:tcPr>
            <w:tcW w:w="703" w:type="dxa"/>
            <w:vAlign w:val="center"/>
          </w:tcPr>
          <w:p w14:paraId="2FEBAAD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p>
        </w:tc>
        <w:tc>
          <w:tcPr>
            <w:tcW w:w="481" w:type="dxa"/>
            <w:vAlign w:val="center"/>
          </w:tcPr>
          <w:p w14:paraId="7F06C9A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1167</w:t>
            </w:r>
          </w:p>
        </w:tc>
        <w:tc>
          <w:tcPr>
            <w:tcW w:w="621" w:type="dxa"/>
            <w:vAlign w:val="center"/>
          </w:tcPr>
          <w:p w14:paraId="4272348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土壤</w:t>
            </w:r>
            <w:r w:rsidRPr="00092862">
              <w:rPr>
                <w:rFonts w:ascii="Times New Roman" w:eastAsia="宋体" w:hAnsi="Times New Roman" w:cs="Times New Roman"/>
                <w:bCs/>
                <w:color w:val="000000" w:themeColor="text1"/>
                <w:kern w:val="0"/>
                <w:szCs w:val="21"/>
              </w:rPr>
              <w:lastRenderedPageBreak/>
              <w:t>类型</w:t>
            </w:r>
          </w:p>
        </w:tc>
        <w:tc>
          <w:tcPr>
            <w:tcW w:w="648" w:type="dxa"/>
            <w:vAlign w:val="center"/>
          </w:tcPr>
          <w:p w14:paraId="3255EF71"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lastRenderedPageBreak/>
              <w:t>壤土</w:t>
            </w:r>
          </w:p>
        </w:tc>
        <w:tc>
          <w:tcPr>
            <w:tcW w:w="550" w:type="dxa"/>
            <w:vAlign w:val="center"/>
          </w:tcPr>
          <w:p w14:paraId="25CF981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2809B21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17022E7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49BD6CB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NE</w:t>
            </w:r>
          </w:p>
        </w:tc>
      </w:tr>
      <w:tr w:rsidR="00697429" w:rsidRPr="00092862" w14:paraId="56A1EAB5" w14:textId="77777777" w:rsidTr="00A75B69">
        <w:trPr>
          <w:trHeight w:val="308"/>
          <w:jc w:val="center"/>
        </w:trPr>
        <w:tc>
          <w:tcPr>
            <w:tcW w:w="570" w:type="dxa"/>
            <w:vAlign w:val="center"/>
          </w:tcPr>
          <w:p w14:paraId="41A362D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41439A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06F3F70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5858DF6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6480133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206D1A4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14965A6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6717133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7B49BB4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1DFEEDCC" w14:textId="77777777" w:rsidTr="00A75B69">
        <w:trPr>
          <w:trHeight w:val="308"/>
          <w:jc w:val="center"/>
        </w:trPr>
        <w:tc>
          <w:tcPr>
            <w:tcW w:w="570" w:type="dxa"/>
            <w:vMerge w:val="restart"/>
            <w:vAlign w:val="center"/>
          </w:tcPr>
          <w:p w14:paraId="1CB5F4D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乔木层</w:t>
            </w:r>
          </w:p>
        </w:tc>
        <w:tc>
          <w:tcPr>
            <w:tcW w:w="3928" w:type="dxa"/>
            <w:vAlign w:val="center"/>
          </w:tcPr>
          <w:p w14:paraId="0B7F138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马尾松（</w:t>
            </w:r>
            <w:r w:rsidRPr="00092862">
              <w:rPr>
                <w:rFonts w:ascii="Times New Roman" w:eastAsia="宋体" w:hAnsi="Times New Roman" w:cs="Times New Roman"/>
                <w:i/>
                <w:iCs/>
                <w:color w:val="000000" w:themeColor="text1"/>
                <w:szCs w:val="21"/>
              </w:rPr>
              <w:t>Pinus massoniana</w:t>
            </w:r>
            <w:r w:rsidRPr="00092862">
              <w:rPr>
                <w:rFonts w:ascii="Times New Roman" w:eastAsia="宋体" w:hAnsi="Times New Roman" w:cs="Times New Roman"/>
                <w:color w:val="000000" w:themeColor="text1"/>
                <w:szCs w:val="21"/>
              </w:rPr>
              <w:t>）</w:t>
            </w:r>
          </w:p>
        </w:tc>
        <w:tc>
          <w:tcPr>
            <w:tcW w:w="1805" w:type="dxa"/>
            <w:gridSpan w:val="3"/>
            <w:vAlign w:val="center"/>
          </w:tcPr>
          <w:p w14:paraId="251D150F"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12</w:t>
            </w:r>
          </w:p>
        </w:tc>
        <w:tc>
          <w:tcPr>
            <w:tcW w:w="648" w:type="dxa"/>
            <w:vAlign w:val="center"/>
          </w:tcPr>
          <w:p w14:paraId="67BDB35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21</w:t>
            </w:r>
          </w:p>
        </w:tc>
        <w:tc>
          <w:tcPr>
            <w:tcW w:w="1073" w:type="dxa"/>
            <w:gridSpan w:val="2"/>
            <w:vAlign w:val="center"/>
          </w:tcPr>
          <w:p w14:paraId="7395269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19</w:t>
            </w:r>
          </w:p>
        </w:tc>
        <w:tc>
          <w:tcPr>
            <w:tcW w:w="659" w:type="dxa"/>
            <w:vAlign w:val="center"/>
          </w:tcPr>
          <w:p w14:paraId="3BF5FB2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3*3</w:t>
            </w:r>
          </w:p>
        </w:tc>
        <w:tc>
          <w:tcPr>
            <w:tcW w:w="743" w:type="dxa"/>
            <w:vAlign w:val="center"/>
          </w:tcPr>
          <w:p w14:paraId="66B08C3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2D600FDC" w14:textId="77777777" w:rsidTr="00A75B69">
        <w:trPr>
          <w:trHeight w:val="308"/>
          <w:jc w:val="center"/>
        </w:trPr>
        <w:tc>
          <w:tcPr>
            <w:tcW w:w="570" w:type="dxa"/>
            <w:vMerge/>
            <w:vAlign w:val="center"/>
          </w:tcPr>
          <w:p w14:paraId="57F5753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E9E8B1B"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杉木（</w:t>
            </w:r>
            <w:r w:rsidRPr="00092862">
              <w:rPr>
                <w:rFonts w:ascii="Times New Roman" w:eastAsia="宋体" w:hAnsi="Times New Roman" w:cs="Times New Roman"/>
                <w:i/>
                <w:iCs/>
                <w:color w:val="000000" w:themeColor="text1"/>
                <w:szCs w:val="21"/>
              </w:rPr>
              <w:t>Cunninghamia lanceolata</w:t>
            </w:r>
            <w:r w:rsidRPr="00092862">
              <w:rPr>
                <w:rFonts w:ascii="Times New Roman" w:eastAsia="宋体" w:hAnsi="Times New Roman" w:cs="Times New Roman"/>
                <w:color w:val="000000" w:themeColor="text1"/>
                <w:szCs w:val="21"/>
              </w:rPr>
              <w:t>）</w:t>
            </w:r>
          </w:p>
        </w:tc>
        <w:tc>
          <w:tcPr>
            <w:tcW w:w="1805" w:type="dxa"/>
            <w:gridSpan w:val="3"/>
            <w:vAlign w:val="center"/>
          </w:tcPr>
          <w:p w14:paraId="234B79A1"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11</w:t>
            </w:r>
          </w:p>
        </w:tc>
        <w:tc>
          <w:tcPr>
            <w:tcW w:w="648" w:type="dxa"/>
            <w:vAlign w:val="center"/>
          </w:tcPr>
          <w:p w14:paraId="2185E1D8" w14:textId="77777777" w:rsidR="009E4715" w:rsidRPr="00092862" w:rsidRDefault="009E4715" w:rsidP="00A75B69">
            <w:pPr>
              <w:jc w:val="center"/>
              <w:rPr>
                <w:rFonts w:ascii="Times New Roman" w:hAnsi="Times New Roman" w:cs="Times New Roman"/>
                <w:bCs/>
                <w:color w:val="000000" w:themeColor="text1"/>
                <w:szCs w:val="21"/>
              </w:rPr>
            </w:pPr>
            <w:r w:rsidRPr="00092862">
              <w:rPr>
                <w:rFonts w:ascii="Times New Roman" w:hAnsi="Times New Roman" w:cs="Times New Roman"/>
                <w:bCs/>
                <w:color w:val="000000" w:themeColor="text1"/>
                <w:szCs w:val="21"/>
              </w:rPr>
              <w:t>2</w:t>
            </w:r>
          </w:p>
        </w:tc>
        <w:tc>
          <w:tcPr>
            <w:tcW w:w="1073" w:type="dxa"/>
            <w:gridSpan w:val="2"/>
            <w:vAlign w:val="center"/>
          </w:tcPr>
          <w:p w14:paraId="2835D27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659" w:type="dxa"/>
            <w:vAlign w:val="center"/>
          </w:tcPr>
          <w:p w14:paraId="33D8058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4*4</w:t>
            </w:r>
          </w:p>
        </w:tc>
        <w:tc>
          <w:tcPr>
            <w:tcW w:w="743" w:type="dxa"/>
            <w:vAlign w:val="center"/>
          </w:tcPr>
          <w:p w14:paraId="015823B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3800C055" w14:textId="77777777" w:rsidTr="00A75B69">
        <w:trPr>
          <w:trHeight w:val="308"/>
          <w:jc w:val="center"/>
        </w:trPr>
        <w:tc>
          <w:tcPr>
            <w:tcW w:w="570" w:type="dxa"/>
            <w:vMerge w:val="restart"/>
            <w:vAlign w:val="center"/>
          </w:tcPr>
          <w:p w14:paraId="594D2A9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灌木层</w:t>
            </w:r>
          </w:p>
        </w:tc>
        <w:tc>
          <w:tcPr>
            <w:tcW w:w="3928" w:type="dxa"/>
            <w:vAlign w:val="center"/>
          </w:tcPr>
          <w:p w14:paraId="0068972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铁仔（</w:t>
            </w:r>
            <w:r w:rsidRPr="00092862">
              <w:rPr>
                <w:rFonts w:ascii="Times New Roman" w:eastAsia="宋体" w:hAnsi="Times New Roman" w:cs="Times New Roman"/>
                <w:i/>
                <w:iCs/>
                <w:color w:val="000000" w:themeColor="text1"/>
                <w:szCs w:val="21"/>
              </w:rPr>
              <w:t>Myrsine africana</w:t>
            </w:r>
            <w:r w:rsidRPr="00092862">
              <w:rPr>
                <w:rFonts w:ascii="Times New Roman" w:eastAsia="宋体" w:hAnsi="Times New Roman" w:cs="Times New Roman"/>
                <w:color w:val="000000" w:themeColor="text1"/>
                <w:szCs w:val="21"/>
              </w:rPr>
              <w:t>）</w:t>
            </w:r>
          </w:p>
        </w:tc>
        <w:tc>
          <w:tcPr>
            <w:tcW w:w="1805" w:type="dxa"/>
            <w:gridSpan w:val="3"/>
            <w:vAlign w:val="center"/>
          </w:tcPr>
          <w:p w14:paraId="477B6153"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1.8</w:t>
            </w:r>
          </w:p>
        </w:tc>
        <w:tc>
          <w:tcPr>
            <w:tcW w:w="648" w:type="dxa"/>
            <w:vAlign w:val="center"/>
          </w:tcPr>
          <w:p w14:paraId="635182C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w:t>
            </w:r>
          </w:p>
        </w:tc>
        <w:tc>
          <w:tcPr>
            <w:tcW w:w="1073" w:type="dxa"/>
            <w:gridSpan w:val="2"/>
            <w:vAlign w:val="center"/>
          </w:tcPr>
          <w:p w14:paraId="4913A59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659" w:type="dxa"/>
            <w:vAlign w:val="center"/>
          </w:tcPr>
          <w:p w14:paraId="11C3CD9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FB32E3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2EE5D1E3" w14:textId="77777777" w:rsidTr="00A75B69">
        <w:trPr>
          <w:trHeight w:val="308"/>
          <w:jc w:val="center"/>
        </w:trPr>
        <w:tc>
          <w:tcPr>
            <w:tcW w:w="570" w:type="dxa"/>
            <w:vMerge/>
            <w:vAlign w:val="center"/>
          </w:tcPr>
          <w:p w14:paraId="0FDF5A3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0695BC71"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米饭花（</w:t>
            </w:r>
            <w:r w:rsidRPr="00092862">
              <w:rPr>
                <w:rFonts w:ascii="Times New Roman" w:eastAsia="宋体" w:hAnsi="Times New Roman" w:cs="Times New Roman"/>
                <w:i/>
                <w:iCs/>
                <w:color w:val="000000" w:themeColor="text1"/>
                <w:szCs w:val="21"/>
              </w:rPr>
              <w:t>Vacciniuim sprengelii</w:t>
            </w:r>
            <w:r w:rsidRPr="00092862">
              <w:rPr>
                <w:rFonts w:ascii="Times New Roman" w:eastAsia="宋体" w:hAnsi="Times New Roman" w:cs="Times New Roman"/>
                <w:color w:val="000000" w:themeColor="text1"/>
                <w:szCs w:val="21"/>
              </w:rPr>
              <w:t>）</w:t>
            </w:r>
          </w:p>
        </w:tc>
        <w:tc>
          <w:tcPr>
            <w:tcW w:w="1805" w:type="dxa"/>
            <w:gridSpan w:val="3"/>
            <w:vAlign w:val="center"/>
          </w:tcPr>
          <w:p w14:paraId="396AEC34"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1.3</w:t>
            </w:r>
          </w:p>
        </w:tc>
        <w:tc>
          <w:tcPr>
            <w:tcW w:w="648" w:type="dxa"/>
            <w:vAlign w:val="center"/>
          </w:tcPr>
          <w:p w14:paraId="55F466B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w:t>
            </w:r>
          </w:p>
        </w:tc>
        <w:tc>
          <w:tcPr>
            <w:tcW w:w="1073" w:type="dxa"/>
            <w:gridSpan w:val="2"/>
            <w:vAlign w:val="center"/>
          </w:tcPr>
          <w:p w14:paraId="1C15AD4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659" w:type="dxa"/>
            <w:vAlign w:val="center"/>
          </w:tcPr>
          <w:p w14:paraId="06A4A5F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57F477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DF971B8" w14:textId="77777777" w:rsidTr="00A75B69">
        <w:trPr>
          <w:trHeight w:val="308"/>
          <w:jc w:val="center"/>
        </w:trPr>
        <w:tc>
          <w:tcPr>
            <w:tcW w:w="570" w:type="dxa"/>
            <w:vMerge/>
            <w:vAlign w:val="center"/>
          </w:tcPr>
          <w:p w14:paraId="41B1BEB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AEE56BC"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山矾</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Symplocos spp.</w:t>
            </w:r>
            <w:r w:rsidRPr="00092862">
              <w:rPr>
                <w:rFonts w:ascii="Times New Roman" w:eastAsia="宋体" w:hAnsi="Times New Roman" w:cs="Times New Roman"/>
                <w:color w:val="000000" w:themeColor="text1"/>
                <w:szCs w:val="21"/>
              </w:rPr>
              <w:t>)</w:t>
            </w:r>
          </w:p>
        </w:tc>
        <w:tc>
          <w:tcPr>
            <w:tcW w:w="1805" w:type="dxa"/>
            <w:gridSpan w:val="3"/>
            <w:vAlign w:val="center"/>
          </w:tcPr>
          <w:p w14:paraId="0482457D"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1.5</w:t>
            </w:r>
          </w:p>
        </w:tc>
        <w:tc>
          <w:tcPr>
            <w:tcW w:w="648" w:type="dxa"/>
            <w:vAlign w:val="center"/>
          </w:tcPr>
          <w:p w14:paraId="14B0821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527A556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59" w:type="dxa"/>
            <w:vAlign w:val="center"/>
          </w:tcPr>
          <w:p w14:paraId="3A2A8BE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D4728E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64A09C3B" w14:textId="77777777" w:rsidTr="00A75B69">
        <w:trPr>
          <w:trHeight w:val="308"/>
          <w:jc w:val="center"/>
        </w:trPr>
        <w:tc>
          <w:tcPr>
            <w:tcW w:w="570" w:type="dxa"/>
            <w:vMerge/>
            <w:vAlign w:val="center"/>
          </w:tcPr>
          <w:p w14:paraId="658CA27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F40B9F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悬钩子</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Rubus spp</w:t>
            </w:r>
            <w:r w:rsidRPr="00092862">
              <w:rPr>
                <w:rFonts w:ascii="Times New Roman" w:eastAsia="宋体" w:hAnsi="Times New Roman" w:cs="Times New Roman"/>
                <w:color w:val="000000" w:themeColor="text1"/>
                <w:szCs w:val="21"/>
              </w:rPr>
              <w:t>)</w:t>
            </w:r>
          </w:p>
        </w:tc>
        <w:tc>
          <w:tcPr>
            <w:tcW w:w="1805" w:type="dxa"/>
            <w:gridSpan w:val="3"/>
            <w:vAlign w:val="center"/>
          </w:tcPr>
          <w:p w14:paraId="512B2EAB"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1.8</w:t>
            </w:r>
          </w:p>
        </w:tc>
        <w:tc>
          <w:tcPr>
            <w:tcW w:w="648" w:type="dxa"/>
            <w:vAlign w:val="center"/>
          </w:tcPr>
          <w:p w14:paraId="00AA2C3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8</w:t>
            </w:r>
          </w:p>
        </w:tc>
        <w:tc>
          <w:tcPr>
            <w:tcW w:w="1073" w:type="dxa"/>
            <w:gridSpan w:val="2"/>
            <w:vAlign w:val="center"/>
          </w:tcPr>
          <w:p w14:paraId="1B6F088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59" w:type="dxa"/>
            <w:vAlign w:val="center"/>
          </w:tcPr>
          <w:p w14:paraId="0DA6247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9D2BCC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5201AC79" w14:textId="77777777" w:rsidTr="00A75B69">
        <w:trPr>
          <w:trHeight w:val="308"/>
          <w:jc w:val="center"/>
        </w:trPr>
        <w:tc>
          <w:tcPr>
            <w:tcW w:w="570" w:type="dxa"/>
            <w:vMerge/>
            <w:vAlign w:val="center"/>
          </w:tcPr>
          <w:p w14:paraId="009670A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66D969C"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金山荚蒾（</w:t>
            </w:r>
            <w:r w:rsidRPr="00092862">
              <w:rPr>
                <w:rFonts w:ascii="Times New Roman" w:eastAsia="宋体" w:hAnsi="Times New Roman" w:cs="Times New Roman"/>
                <w:i/>
                <w:iCs/>
                <w:color w:val="000000" w:themeColor="text1"/>
                <w:szCs w:val="21"/>
              </w:rPr>
              <w:t>Viburnum chinshanense</w:t>
            </w:r>
            <w:r w:rsidRPr="00092862">
              <w:rPr>
                <w:rFonts w:ascii="Times New Roman" w:eastAsia="宋体" w:hAnsi="Times New Roman" w:cs="Times New Roman"/>
                <w:color w:val="000000" w:themeColor="text1"/>
                <w:szCs w:val="21"/>
              </w:rPr>
              <w:t>）</w:t>
            </w:r>
          </w:p>
        </w:tc>
        <w:tc>
          <w:tcPr>
            <w:tcW w:w="1805" w:type="dxa"/>
            <w:gridSpan w:val="3"/>
            <w:vAlign w:val="center"/>
          </w:tcPr>
          <w:p w14:paraId="55379884"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1.4</w:t>
            </w:r>
          </w:p>
        </w:tc>
        <w:tc>
          <w:tcPr>
            <w:tcW w:w="648" w:type="dxa"/>
            <w:vAlign w:val="center"/>
          </w:tcPr>
          <w:p w14:paraId="50E2EDF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2CD0BF9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59" w:type="dxa"/>
            <w:vAlign w:val="center"/>
          </w:tcPr>
          <w:p w14:paraId="5F5355B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B0CB82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4D132AAF" w14:textId="77777777" w:rsidTr="00A75B69">
        <w:trPr>
          <w:trHeight w:val="308"/>
          <w:jc w:val="center"/>
        </w:trPr>
        <w:tc>
          <w:tcPr>
            <w:tcW w:w="570" w:type="dxa"/>
            <w:vMerge w:val="restart"/>
            <w:vAlign w:val="center"/>
          </w:tcPr>
          <w:p w14:paraId="254284E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03F1A82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白茅</w:t>
            </w:r>
            <w:r w:rsidRPr="00092862">
              <w:rPr>
                <w:rFonts w:ascii="Times New Roman" w:eastAsia="宋体" w:hAnsi="Times New Roman" w:cs="Times New Roman"/>
                <w:i/>
                <w:iCs/>
                <w:color w:val="000000" w:themeColor="text1"/>
                <w:szCs w:val="21"/>
              </w:rPr>
              <w:t>Imperata cylindrica.</w:t>
            </w:r>
          </w:p>
        </w:tc>
        <w:tc>
          <w:tcPr>
            <w:tcW w:w="1805" w:type="dxa"/>
            <w:gridSpan w:val="3"/>
            <w:vAlign w:val="center"/>
          </w:tcPr>
          <w:p w14:paraId="68CC9AE9"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0.6</w:t>
            </w:r>
          </w:p>
        </w:tc>
        <w:tc>
          <w:tcPr>
            <w:tcW w:w="648" w:type="dxa"/>
            <w:vAlign w:val="center"/>
          </w:tcPr>
          <w:p w14:paraId="0C5FC61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513E69D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26E697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0D1D633"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538935E7" w14:textId="77777777" w:rsidTr="00A75B69">
        <w:trPr>
          <w:trHeight w:val="308"/>
          <w:jc w:val="center"/>
        </w:trPr>
        <w:tc>
          <w:tcPr>
            <w:tcW w:w="570" w:type="dxa"/>
            <w:vMerge/>
            <w:vAlign w:val="center"/>
          </w:tcPr>
          <w:p w14:paraId="7359525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4B8BA7B"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芒萁</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Dicranopteris dichotoma</w:t>
            </w:r>
            <w:r w:rsidRPr="00092862">
              <w:rPr>
                <w:rFonts w:ascii="Times New Roman" w:eastAsia="宋体" w:hAnsi="Times New Roman" w:cs="Times New Roman"/>
                <w:color w:val="000000" w:themeColor="text1"/>
                <w:szCs w:val="21"/>
              </w:rPr>
              <w:t>)</w:t>
            </w:r>
          </w:p>
        </w:tc>
        <w:tc>
          <w:tcPr>
            <w:tcW w:w="1805" w:type="dxa"/>
            <w:gridSpan w:val="3"/>
            <w:vAlign w:val="center"/>
          </w:tcPr>
          <w:p w14:paraId="7DD6E9A8"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0.40</w:t>
            </w:r>
          </w:p>
        </w:tc>
        <w:tc>
          <w:tcPr>
            <w:tcW w:w="648" w:type="dxa"/>
            <w:vAlign w:val="center"/>
          </w:tcPr>
          <w:p w14:paraId="38CEBE3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1</w:t>
            </w:r>
          </w:p>
        </w:tc>
        <w:tc>
          <w:tcPr>
            <w:tcW w:w="1073" w:type="dxa"/>
            <w:gridSpan w:val="2"/>
            <w:vAlign w:val="center"/>
          </w:tcPr>
          <w:p w14:paraId="6E649BF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24C1792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D5290C9"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828F34E" w14:textId="77777777" w:rsidTr="00A75B69">
        <w:trPr>
          <w:trHeight w:val="308"/>
          <w:jc w:val="center"/>
        </w:trPr>
        <w:tc>
          <w:tcPr>
            <w:tcW w:w="570" w:type="dxa"/>
            <w:vMerge/>
            <w:vAlign w:val="center"/>
          </w:tcPr>
          <w:p w14:paraId="51E5B25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3F68745"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芒</w:t>
            </w:r>
            <w:r w:rsidRPr="00092862">
              <w:rPr>
                <w:rFonts w:ascii="Times New Roman" w:eastAsia="宋体" w:hAnsi="Times New Roman" w:cs="Times New Roman"/>
                <w:i/>
                <w:iCs/>
                <w:color w:val="000000" w:themeColor="text1"/>
                <w:szCs w:val="21"/>
              </w:rPr>
              <w:t>Miscanthus sinensis</w:t>
            </w:r>
          </w:p>
        </w:tc>
        <w:tc>
          <w:tcPr>
            <w:tcW w:w="1805" w:type="dxa"/>
            <w:gridSpan w:val="3"/>
            <w:vAlign w:val="center"/>
          </w:tcPr>
          <w:p w14:paraId="53B04499"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0.25</w:t>
            </w:r>
          </w:p>
        </w:tc>
        <w:tc>
          <w:tcPr>
            <w:tcW w:w="648" w:type="dxa"/>
            <w:vAlign w:val="center"/>
          </w:tcPr>
          <w:p w14:paraId="2C44760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5970B93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47E688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07D761D"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8B3C3C1" w14:textId="77777777" w:rsidTr="00A75B69">
        <w:trPr>
          <w:trHeight w:val="308"/>
          <w:jc w:val="center"/>
        </w:trPr>
        <w:tc>
          <w:tcPr>
            <w:tcW w:w="570" w:type="dxa"/>
            <w:vMerge/>
            <w:vAlign w:val="center"/>
          </w:tcPr>
          <w:p w14:paraId="160AB6B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410CAAC"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麦冬</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Ophiopogon japonicus</w:t>
            </w:r>
            <w:r w:rsidRPr="00092862">
              <w:rPr>
                <w:rFonts w:ascii="Times New Roman" w:eastAsia="宋体" w:hAnsi="Times New Roman" w:cs="Times New Roman"/>
                <w:color w:val="000000" w:themeColor="text1"/>
                <w:szCs w:val="21"/>
              </w:rPr>
              <w:t>)</w:t>
            </w:r>
          </w:p>
        </w:tc>
        <w:tc>
          <w:tcPr>
            <w:tcW w:w="1805" w:type="dxa"/>
            <w:gridSpan w:val="3"/>
            <w:vAlign w:val="center"/>
          </w:tcPr>
          <w:p w14:paraId="033BFECE"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0.95</w:t>
            </w:r>
          </w:p>
        </w:tc>
        <w:tc>
          <w:tcPr>
            <w:tcW w:w="648" w:type="dxa"/>
            <w:vAlign w:val="center"/>
          </w:tcPr>
          <w:p w14:paraId="2FAAE1E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49A9362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B907CB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10C8769"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76B057D6" w14:textId="77777777" w:rsidTr="00A75B69">
        <w:trPr>
          <w:trHeight w:val="308"/>
          <w:jc w:val="center"/>
        </w:trPr>
        <w:tc>
          <w:tcPr>
            <w:tcW w:w="570" w:type="dxa"/>
            <w:vMerge/>
            <w:vAlign w:val="center"/>
          </w:tcPr>
          <w:p w14:paraId="7369794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05ECBDF"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翠云草</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Selaginella uncinata</w:t>
            </w:r>
            <w:r w:rsidRPr="00092862">
              <w:rPr>
                <w:rFonts w:ascii="Times New Roman" w:eastAsia="宋体" w:hAnsi="Times New Roman" w:cs="Times New Roman"/>
                <w:color w:val="000000" w:themeColor="text1"/>
                <w:szCs w:val="21"/>
              </w:rPr>
              <w:t>)</w:t>
            </w:r>
          </w:p>
        </w:tc>
        <w:tc>
          <w:tcPr>
            <w:tcW w:w="1805" w:type="dxa"/>
            <w:gridSpan w:val="3"/>
            <w:vAlign w:val="center"/>
          </w:tcPr>
          <w:p w14:paraId="3FC008A6"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0.85</w:t>
            </w:r>
          </w:p>
        </w:tc>
        <w:tc>
          <w:tcPr>
            <w:tcW w:w="648" w:type="dxa"/>
            <w:vAlign w:val="center"/>
          </w:tcPr>
          <w:p w14:paraId="45188B9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59AFFE0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FB1ABD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E1A014A"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66269291" w14:textId="77777777" w:rsidR="009E4715" w:rsidRPr="00092862" w:rsidRDefault="009E4715" w:rsidP="009E4715">
      <w:pPr>
        <w:spacing w:line="500" w:lineRule="exact"/>
        <w:ind w:left="60" w:right="100" w:firstLine="482"/>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样方</w:t>
      </w:r>
      <w:r w:rsidRPr="00092862">
        <w:rPr>
          <w:rFonts w:ascii="Times New Roman" w:eastAsia="宋体" w:hAnsi="Times New Roman" w:cs="Times New Roman"/>
          <w:b/>
          <w:color w:val="000000" w:themeColor="text1"/>
          <w:szCs w:val="21"/>
        </w:rPr>
        <w:t xml:space="preserve">2 </w:t>
      </w:r>
      <w:r w:rsidRPr="00092862">
        <w:rPr>
          <w:rFonts w:ascii="Times New Roman" w:eastAsia="宋体" w:hAnsi="Times New Roman" w:cs="Times New Roman"/>
          <w:b/>
          <w:color w:val="000000" w:themeColor="text1"/>
          <w:szCs w:val="21"/>
        </w:rPr>
        <w:t>杉木群系样方表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611"/>
        <w:gridCol w:w="491"/>
        <w:gridCol w:w="648"/>
        <w:gridCol w:w="550"/>
        <w:gridCol w:w="523"/>
        <w:gridCol w:w="659"/>
        <w:gridCol w:w="743"/>
      </w:tblGrid>
      <w:tr w:rsidR="00697429" w:rsidRPr="00092862" w14:paraId="0AA1FD41" w14:textId="77777777" w:rsidTr="00A75B69">
        <w:trPr>
          <w:trHeight w:val="755"/>
          <w:jc w:val="center"/>
        </w:trPr>
        <w:tc>
          <w:tcPr>
            <w:tcW w:w="570" w:type="dxa"/>
            <w:vAlign w:val="center"/>
          </w:tcPr>
          <w:p w14:paraId="70D1BF2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39A0473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107.8219,31.4573</w:t>
            </w:r>
          </w:p>
        </w:tc>
        <w:tc>
          <w:tcPr>
            <w:tcW w:w="703" w:type="dxa"/>
            <w:vAlign w:val="center"/>
          </w:tcPr>
          <w:p w14:paraId="54D9CEF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r w:rsidRPr="00092862">
              <w:rPr>
                <w:rFonts w:ascii="Times New Roman" w:eastAsia="宋体" w:hAnsi="Times New Roman" w:cs="Times New Roman"/>
                <w:bCs/>
                <w:color w:val="000000" w:themeColor="text1"/>
                <w:szCs w:val="21"/>
              </w:rPr>
              <w:t>）</w:t>
            </w:r>
          </w:p>
        </w:tc>
        <w:tc>
          <w:tcPr>
            <w:tcW w:w="611" w:type="dxa"/>
            <w:vAlign w:val="center"/>
          </w:tcPr>
          <w:p w14:paraId="42E6CC5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1164</w:t>
            </w:r>
          </w:p>
        </w:tc>
        <w:tc>
          <w:tcPr>
            <w:tcW w:w="491" w:type="dxa"/>
            <w:vAlign w:val="center"/>
          </w:tcPr>
          <w:p w14:paraId="2B397521"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564F38D2"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壤土</w:t>
            </w:r>
          </w:p>
        </w:tc>
        <w:tc>
          <w:tcPr>
            <w:tcW w:w="550" w:type="dxa"/>
            <w:vAlign w:val="center"/>
          </w:tcPr>
          <w:p w14:paraId="3843B53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188BF28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p>
        </w:tc>
        <w:tc>
          <w:tcPr>
            <w:tcW w:w="659" w:type="dxa"/>
            <w:vAlign w:val="center"/>
          </w:tcPr>
          <w:p w14:paraId="4BE3B59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79BAB44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N</w:t>
            </w:r>
          </w:p>
        </w:tc>
      </w:tr>
      <w:tr w:rsidR="00697429" w:rsidRPr="00092862" w14:paraId="7F636E30" w14:textId="77777777" w:rsidTr="00A75B69">
        <w:trPr>
          <w:trHeight w:val="308"/>
          <w:jc w:val="center"/>
        </w:trPr>
        <w:tc>
          <w:tcPr>
            <w:tcW w:w="570" w:type="dxa"/>
            <w:vAlign w:val="center"/>
          </w:tcPr>
          <w:p w14:paraId="037D5FC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BD06C3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05D3B3A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259EC58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570CEC6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25D5871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0BABE07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5BCDD7D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02DD506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619FCB8E" w14:textId="77777777" w:rsidTr="00A75B69">
        <w:trPr>
          <w:trHeight w:val="308"/>
          <w:jc w:val="center"/>
        </w:trPr>
        <w:tc>
          <w:tcPr>
            <w:tcW w:w="570" w:type="dxa"/>
            <w:vMerge w:val="restart"/>
            <w:vAlign w:val="center"/>
          </w:tcPr>
          <w:p w14:paraId="24872CA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乔木层</w:t>
            </w:r>
          </w:p>
        </w:tc>
        <w:tc>
          <w:tcPr>
            <w:tcW w:w="3928" w:type="dxa"/>
            <w:vAlign w:val="center"/>
          </w:tcPr>
          <w:p w14:paraId="70C93EA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杉木（</w:t>
            </w:r>
            <w:r w:rsidRPr="00092862">
              <w:rPr>
                <w:rFonts w:ascii="Times New Roman" w:eastAsia="宋体" w:hAnsi="Times New Roman" w:cs="Times New Roman"/>
                <w:i/>
                <w:iCs/>
                <w:color w:val="000000" w:themeColor="text1"/>
                <w:szCs w:val="21"/>
              </w:rPr>
              <w:t>Cunninghamia lanceolata</w:t>
            </w:r>
            <w:r w:rsidRPr="00092862">
              <w:rPr>
                <w:rFonts w:ascii="Times New Roman" w:eastAsia="宋体" w:hAnsi="Times New Roman" w:cs="Times New Roman"/>
                <w:color w:val="000000" w:themeColor="text1"/>
                <w:szCs w:val="21"/>
              </w:rPr>
              <w:t>）</w:t>
            </w:r>
          </w:p>
        </w:tc>
        <w:tc>
          <w:tcPr>
            <w:tcW w:w="1805" w:type="dxa"/>
            <w:gridSpan w:val="3"/>
            <w:vAlign w:val="center"/>
          </w:tcPr>
          <w:p w14:paraId="7375CF7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48" w:type="dxa"/>
            <w:vAlign w:val="center"/>
          </w:tcPr>
          <w:p w14:paraId="09A585B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1073" w:type="dxa"/>
            <w:gridSpan w:val="2"/>
            <w:vAlign w:val="center"/>
          </w:tcPr>
          <w:p w14:paraId="2E0783D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59" w:type="dxa"/>
            <w:vAlign w:val="center"/>
          </w:tcPr>
          <w:p w14:paraId="7159981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3*3</w:t>
            </w:r>
          </w:p>
        </w:tc>
        <w:tc>
          <w:tcPr>
            <w:tcW w:w="743" w:type="dxa"/>
            <w:vAlign w:val="center"/>
          </w:tcPr>
          <w:p w14:paraId="152C5AB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67B2F7A8" w14:textId="77777777" w:rsidTr="00A75B69">
        <w:trPr>
          <w:trHeight w:val="308"/>
          <w:jc w:val="center"/>
        </w:trPr>
        <w:tc>
          <w:tcPr>
            <w:tcW w:w="570" w:type="dxa"/>
            <w:vMerge/>
            <w:vAlign w:val="center"/>
          </w:tcPr>
          <w:p w14:paraId="4A50FA9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FA9BA2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马尾松（</w:t>
            </w:r>
            <w:r w:rsidRPr="00092862">
              <w:rPr>
                <w:rFonts w:ascii="Times New Roman" w:eastAsia="宋体" w:hAnsi="Times New Roman" w:cs="Times New Roman"/>
                <w:i/>
                <w:iCs/>
                <w:color w:val="000000" w:themeColor="text1"/>
                <w:szCs w:val="21"/>
              </w:rPr>
              <w:t>Pinus massoniana</w:t>
            </w:r>
            <w:r w:rsidRPr="00092862">
              <w:rPr>
                <w:rFonts w:ascii="Times New Roman" w:eastAsia="宋体" w:hAnsi="Times New Roman" w:cs="Times New Roman"/>
                <w:color w:val="000000" w:themeColor="text1"/>
                <w:szCs w:val="21"/>
              </w:rPr>
              <w:t>）</w:t>
            </w:r>
          </w:p>
        </w:tc>
        <w:tc>
          <w:tcPr>
            <w:tcW w:w="1805" w:type="dxa"/>
            <w:gridSpan w:val="3"/>
            <w:vAlign w:val="center"/>
          </w:tcPr>
          <w:p w14:paraId="4D56974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w:t>
            </w:r>
          </w:p>
        </w:tc>
        <w:tc>
          <w:tcPr>
            <w:tcW w:w="648" w:type="dxa"/>
            <w:vAlign w:val="center"/>
          </w:tcPr>
          <w:p w14:paraId="0DF71C7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5C0CFE7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13</w:t>
            </w:r>
          </w:p>
        </w:tc>
        <w:tc>
          <w:tcPr>
            <w:tcW w:w="659" w:type="dxa"/>
            <w:vAlign w:val="center"/>
          </w:tcPr>
          <w:p w14:paraId="798AFC4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4*3</w:t>
            </w:r>
          </w:p>
        </w:tc>
        <w:tc>
          <w:tcPr>
            <w:tcW w:w="743" w:type="dxa"/>
            <w:vAlign w:val="center"/>
          </w:tcPr>
          <w:p w14:paraId="63FC78C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61ED1167" w14:textId="77777777" w:rsidTr="00A75B69">
        <w:trPr>
          <w:trHeight w:val="308"/>
          <w:jc w:val="center"/>
        </w:trPr>
        <w:tc>
          <w:tcPr>
            <w:tcW w:w="570" w:type="dxa"/>
            <w:vMerge/>
            <w:vAlign w:val="center"/>
          </w:tcPr>
          <w:p w14:paraId="57D3E82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77E3798"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麻栎（</w:t>
            </w:r>
            <w:r w:rsidRPr="00092862">
              <w:rPr>
                <w:rFonts w:ascii="Times New Roman" w:eastAsia="宋体" w:hAnsi="Times New Roman" w:cs="Times New Roman"/>
                <w:i/>
                <w:iCs/>
                <w:color w:val="000000" w:themeColor="text1"/>
                <w:szCs w:val="21"/>
              </w:rPr>
              <w:t>Quercus acutissima</w:t>
            </w:r>
            <w:r w:rsidRPr="00092862">
              <w:rPr>
                <w:rFonts w:ascii="Times New Roman" w:eastAsia="宋体" w:hAnsi="Times New Roman" w:cs="Times New Roman"/>
                <w:color w:val="000000" w:themeColor="text1"/>
                <w:szCs w:val="21"/>
              </w:rPr>
              <w:t>）</w:t>
            </w:r>
          </w:p>
        </w:tc>
        <w:tc>
          <w:tcPr>
            <w:tcW w:w="1805" w:type="dxa"/>
            <w:gridSpan w:val="3"/>
            <w:vAlign w:val="center"/>
          </w:tcPr>
          <w:p w14:paraId="4027C61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48" w:type="dxa"/>
            <w:vAlign w:val="center"/>
          </w:tcPr>
          <w:p w14:paraId="50E7549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55A4345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w:t>
            </w:r>
          </w:p>
        </w:tc>
        <w:tc>
          <w:tcPr>
            <w:tcW w:w="659" w:type="dxa"/>
            <w:vAlign w:val="center"/>
          </w:tcPr>
          <w:p w14:paraId="1777C1A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4*5</w:t>
            </w:r>
          </w:p>
        </w:tc>
        <w:tc>
          <w:tcPr>
            <w:tcW w:w="743" w:type="dxa"/>
            <w:vAlign w:val="center"/>
          </w:tcPr>
          <w:p w14:paraId="684CB5F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055D8324" w14:textId="77777777" w:rsidTr="00A75B69">
        <w:trPr>
          <w:trHeight w:val="308"/>
          <w:jc w:val="center"/>
        </w:trPr>
        <w:tc>
          <w:tcPr>
            <w:tcW w:w="570" w:type="dxa"/>
            <w:vMerge w:val="restart"/>
            <w:vAlign w:val="center"/>
          </w:tcPr>
          <w:p w14:paraId="5EC18C5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灌木层</w:t>
            </w:r>
          </w:p>
        </w:tc>
        <w:tc>
          <w:tcPr>
            <w:tcW w:w="3928" w:type="dxa"/>
            <w:vAlign w:val="center"/>
          </w:tcPr>
          <w:p w14:paraId="42328D7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铁仔（</w:t>
            </w:r>
            <w:r w:rsidRPr="00092862">
              <w:rPr>
                <w:rFonts w:ascii="Times New Roman" w:eastAsia="宋体" w:hAnsi="Times New Roman" w:cs="Times New Roman"/>
                <w:i/>
                <w:iCs/>
                <w:color w:val="000000" w:themeColor="text1"/>
                <w:szCs w:val="21"/>
              </w:rPr>
              <w:t>Myrsine africana</w:t>
            </w:r>
            <w:r w:rsidRPr="00092862">
              <w:rPr>
                <w:rFonts w:ascii="Times New Roman" w:eastAsia="宋体" w:hAnsi="Times New Roman" w:cs="Times New Roman"/>
                <w:color w:val="000000" w:themeColor="text1"/>
                <w:szCs w:val="21"/>
              </w:rPr>
              <w:t>）</w:t>
            </w:r>
          </w:p>
        </w:tc>
        <w:tc>
          <w:tcPr>
            <w:tcW w:w="1805" w:type="dxa"/>
            <w:gridSpan w:val="3"/>
            <w:vAlign w:val="center"/>
          </w:tcPr>
          <w:p w14:paraId="286B267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31AE86B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0F72967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3A02018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A00A24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7CF81B2" w14:textId="77777777" w:rsidTr="00A75B69">
        <w:trPr>
          <w:trHeight w:val="308"/>
          <w:jc w:val="center"/>
        </w:trPr>
        <w:tc>
          <w:tcPr>
            <w:tcW w:w="570" w:type="dxa"/>
            <w:vMerge/>
            <w:vAlign w:val="center"/>
          </w:tcPr>
          <w:p w14:paraId="6F7CA25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B6DC30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小果蔷薇（</w:t>
            </w:r>
            <w:r w:rsidRPr="00092862">
              <w:rPr>
                <w:rFonts w:ascii="Times New Roman" w:eastAsia="宋体" w:hAnsi="Times New Roman" w:cs="Times New Roman"/>
                <w:i/>
                <w:iCs/>
                <w:color w:val="000000" w:themeColor="text1"/>
                <w:szCs w:val="21"/>
              </w:rPr>
              <w:t>Rosa cymosa</w:t>
            </w:r>
            <w:r w:rsidRPr="00092862">
              <w:rPr>
                <w:rFonts w:ascii="Times New Roman" w:eastAsia="宋体" w:hAnsi="Times New Roman" w:cs="Times New Roman"/>
                <w:color w:val="000000" w:themeColor="text1"/>
                <w:szCs w:val="21"/>
              </w:rPr>
              <w:t>）</w:t>
            </w:r>
          </w:p>
        </w:tc>
        <w:tc>
          <w:tcPr>
            <w:tcW w:w="1805" w:type="dxa"/>
            <w:gridSpan w:val="3"/>
            <w:vAlign w:val="center"/>
          </w:tcPr>
          <w:p w14:paraId="5CDF6CC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48" w:type="dxa"/>
            <w:vAlign w:val="center"/>
          </w:tcPr>
          <w:p w14:paraId="025C356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267A867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4585645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96737A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2A162991" w14:textId="77777777" w:rsidTr="00A75B69">
        <w:trPr>
          <w:trHeight w:val="308"/>
          <w:jc w:val="center"/>
        </w:trPr>
        <w:tc>
          <w:tcPr>
            <w:tcW w:w="570" w:type="dxa"/>
            <w:vMerge/>
            <w:vAlign w:val="center"/>
          </w:tcPr>
          <w:p w14:paraId="6EAF7D0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D5D516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乌泡子（</w:t>
            </w:r>
            <w:r w:rsidRPr="00092862">
              <w:rPr>
                <w:rFonts w:ascii="Times New Roman" w:eastAsia="宋体" w:hAnsi="Times New Roman" w:cs="Times New Roman"/>
                <w:i/>
                <w:iCs/>
                <w:color w:val="000000" w:themeColor="text1"/>
                <w:szCs w:val="21"/>
              </w:rPr>
              <w:t>Rubus parkeri</w:t>
            </w:r>
            <w:r w:rsidRPr="00092862">
              <w:rPr>
                <w:rFonts w:ascii="Times New Roman" w:eastAsia="宋体" w:hAnsi="Times New Roman" w:cs="Times New Roman"/>
                <w:color w:val="000000" w:themeColor="text1"/>
                <w:szCs w:val="21"/>
              </w:rPr>
              <w:t>）</w:t>
            </w:r>
          </w:p>
        </w:tc>
        <w:tc>
          <w:tcPr>
            <w:tcW w:w="1805" w:type="dxa"/>
            <w:gridSpan w:val="3"/>
            <w:vAlign w:val="center"/>
          </w:tcPr>
          <w:p w14:paraId="6009F6F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1.3</w:t>
            </w:r>
          </w:p>
        </w:tc>
        <w:tc>
          <w:tcPr>
            <w:tcW w:w="648" w:type="dxa"/>
            <w:vAlign w:val="center"/>
          </w:tcPr>
          <w:p w14:paraId="7953AA2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19B2BCB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59" w:type="dxa"/>
            <w:vAlign w:val="center"/>
          </w:tcPr>
          <w:p w14:paraId="78FF3EC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3193BC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59B19792" w14:textId="77777777" w:rsidTr="00A75B69">
        <w:trPr>
          <w:trHeight w:val="308"/>
          <w:jc w:val="center"/>
        </w:trPr>
        <w:tc>
          <w:tcPr>
            <w:tcW w:w="570" w:type="dxa"/>
            <w:vMerge/>
            <w:vAlign w:val="center"/>
          </w:tcPr>
          <w:p w14:paraId="2F455A0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29C44F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高粱泡（</w:t>
            </w:r>
            <w:r w:rsidRPr="00092862">
              <w:rPr>
                <w:rFonts w:ascii="Times New Roman" w:eastAsia="宋体" w:hAnsi="Times New Roman" w:cs="Times New Roman"/>
                <w:i/>
                <w:iCs/>
                <w:color w:val="000000" w:themeColor="text1"/>
                <w:szCs w:val="21"/>
              </w:rPr>
              <w:t>Rubus lambertianus</w:t>
            </w:r>
            <w:r w:rsidRPr="00092862">
              <w:rPr>
                <w:rFonts w:ascii="Times New Roman" w:eastAsia="宋体" w:hAnsi="Times New Roman" w:cs="Times New Roman"/>
                <w:color w:val="000000" w:themeColor="text1"/>
                <w:szCs w:val="21"/>
              </w:rPr>
              <w:t>）</w:t>
            </w:r>
          </w:p>
        </w:tc>
        <w:tc>
          <w:tcPr>
            <w:tcW w:w="1805" w:type="dxa"/>
            <w:gridSpan w:val="3"/>
            <w:vAlign w:val="center"/>
          </w:tcPr>
          <w:p w14:paraId="100DAF7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7810260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1E8F487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79DC9F9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FE2C52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0B1CC741" w14:textId="77777777" w:rsidTr="00A75B69">
        <w:trPr>
          <w:trHeight w:val="308"/>
          <w:jc w:val="center"/>
        </w:trPr>
        <w:tc>
          <w:tcPr>
            <w:tcW w:w="570" w:type="dxa"/>
            <w:vMerge/>
            <w:vAlign w:val="center"/>
          </w:tcPr>
          <w:p w14:paraId="0D109D4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16F3D9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胡枝子（</w:t>
            </w:r>
            <w:r w:rsidRPr="00092862">
              <w:rPr>
                <w:rFonts w:ascii="Times New Roman" w:eastAsia="宋体" w:hAnsi="Times New Roman" w:cs="Times New Roman"/>
                <w:i/>
                <w:iCs/>
                <w:color w:val="000000" w:themeColor="text1"/>
                <w:szCs w:val="21"/>
              </w:rPr>
              <w:t>Lespedeza bicolor </w:t>
            </w:r>
            <w:r w:rsidRPr="00092862">
              <w:rPr>
                <w:rFonts w:ascii="Times New Roman" w:eastAsia="宋体" w:hAnsi="Times New Roman" w:cs="Times New Roman"/>
                <w:color w:val="000000" w:themeColor="text1"/>
                <w:szCs w:val="21"/>
              </w:rPr>
              <w:t>Turcz.</w:t>
            </w:r>
            <w:r w:rsidRPr="00092862">
              <w:rPr>
                <w:rFonts w:ascii="Times New Roman" w:eastAsia="宋体" w:hAnsi="Times New Roman" w:cs="Times New Roman"/>
                <w:color w:val="000000" w:themeColor="text1"/>
                <w:szCs w:val="21"/>
              </w:rPr>
              <w:t>）</w:t>
            </w:r>
          </w:p>
        </w:tc>
        <w:tc>
          <w:tcPr>
            <w:tcW w:w="1805" w:type="dxa"/>
            <w:gridSpan w:val="3"/>
            <w:vAlign w:val="center"/>
          </w:tcPr>
          <w:p w14:paraId="339B4AB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678DF51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4BFF7BE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2341D20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F23CA8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6B2772A6" w14:textId="77777777" w:rsidTr="00A75B69">
        <w:trPr>
          <w:trHeight w:val="308"/>
          <w:jc w:val="center"/>
        </w:trPr>
        <w:tc>
          <w:tcPr>
            <w:tcW w:w="570" w:type="dxa"/>
            <w:vMerge/>
            <w:vAlign w:val="center"/>
          </w:tcPr>
          <w:p w14:paraId="6A14BCE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8A02E9B"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截叶铁扫帚（</w:t>
            </w:r>
            <w:r w:rsidRPr="00092862">
              <w:rPr>
                <w:rFonts w:ascii="Times New Roman" w:eastAsia="宋体" w:hAnsi="Times New Roman" w:cs="Times New Roman"/>
                <w:i/>
                <w:iCs/>
                <w:color w:val="000000" w:themeColor="text1"/>
                <w:szCs w:val="21"/>
              </w:rPr>
              <w:t>Lespedeza cuneata</w:t>
            </w:r>
            <w:r w:rsidRPr="00092862">
              <w:rPr>
                <w:rFonts w:ascii="Times New Roman" w:eastAsia="宋体" w:hAnsi="Times New Roman" w:cs="Times New Roman"/>
                <w:color w:val="000000" w:themeColor="text1"/>
                <w:szCs w:val="21"/>
              </w:rPr>
              <w:t>）</w:t>
            </w:r>
          </w:p>
        </w:tc>
        <w:tc>
          <w:tcPr>
            <w:tcW w:w="1805" w:type="dxa"/>
            <w:gridSpan w:val="3"/>
            <w:vAlign w:val="center"/>
          </w:tcPr>
          <w:p w14:paraId="7428C2B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5AC3524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12385F9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17B8BA2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4C9C21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35227972" w14:textId="77777777" w:rsidTr="00A75B69">
        <w:trPr>
          <w:trHeight w:val="308"/>
          <w:jc w:val="center"/>
        </w:trPr>
        <w:tc>
          <w:tcPr>
            <w:tcW w:w="570" w:type="dxa"/>
            <w:vMerge w:val="restart"/>
            <w:vAlign w:val="center"/>
          </w:tcPr>
          <w:p w14:paraId="63662E0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6200E01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芒（</w:t>
            </w:r>
            <w:r w:rsidRPr="00092862">
              <w:rPr>
                <w:rFonts w:ascii="Times New Roman" w:eastAsia="宋体" w:hAnsi="Times New Roman" w:cs="Times New Roman"/>
                <w:i/>
                <w:iCs/>
                <w:color w:val="000000" w:themeColor="text1"/>
                <w:szCs w:val="21"/>
              </w:rPr>
              <w:t>Miscanthus sinensis</w:t>
            </w:r>
            <w:r w:rsidRPr="00092862">
              <w:rPr>
                <w:rFonts w:ascii="Times New Roman" w:eastAsia="宋体" w:hAnsi="Times New Roman" w:cs="Times New Roman"/>
                <w:color w:val="000000" w:themeColor="text1"/>
                <w:szCs w:val="21"/>
              </w:rPr>
              <w:t>）</w:t>
            </w:r>
          </w:p>
        </w:tc>
        <w:tc>
          <w:tcPr>
            <w:tcW w:w="1805" w:type="dxa"/>
            <w:gridSpan w:val="3"/>
            <w:vAlign w:val="center"/>
          </w:tcPr>
          <w:p w14:paraId="56A2B85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0.95</w:t>
            </w:r>
          </w:p>
        </w:tc>
        <w:tc>
          <w:tcPr>
            <w:tcW w:w="648" w:type="dxa"/>
            <w:vAlign w:val="center"/>
          </w:tcPr>
          <w:p w14:paraId="3B879CF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5C9E10D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36F7EE4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07CF727"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549A051F" w14:textId="77777777" w:rsidTr="00A75B69">
        <w:trPr>
          <w:trHeight w:val="308"/>
          <w:jc w:val="center"/>
        </w:trPr>
        <w:tc>
          <w:tcPr>
            <w:tcW w:w="570" w:type="dxa"/>
            <w:vMerge/>
            <w:vAlign w:val="center"/>
          </w:tcPr>
          <w:p w14:paraId="0699E1E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87D474B"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苎麻（</w:t>
            </w:r>
            <w:r w:rsidRPr="00092862">
              <w:rPr>
                <w:rFonts w:ascii="Times New Roman" w:eastAsia="宋体" w:hAnsi="Times New Roman" w:cs="Times New Roman"/>
                <w:i/>
                <w:iCs/>
                <w:color w:val="000000" w:themeColor="text1"/>
                <w:szCs w:val="21"/>
              </w:rPr>
              <w:t>Boehmeria nivea</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L.</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 Gaudich.</w:t>
            </w:r>
            <w:r w:rsidRPr="00092862">
              <w:rPr>
                <w:rFonts w:ascii="Times New Roman" w:eastAsia="宋体" w:hAnsi="Times New Roman" w:cs="Times New Roman"/>
                <w:color w:val="000000" w:themeColor="text1"/>
                <w:szCs w:val="21"/>
              </w:rPr>
              <w:t>）</w:t>
            </w:r>
          </w:p>
        </w:tc>
        <w:tc>
          <w:tcPr>
            <w:tcW w:w="1805" w:type="dxa"/>
            <w:gridSpan w:val="3"/>
            <w:vAlign w:val="center"/>
          </w:tcPr>
          <w:p w14:paraId="5924EE4C"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0.5</w:t>
            </w:r>
          </w:p>
        </w:tc>
        <w:tc>
          <w:tcPr>
            <w:tcW w:w="648" w:type="dxa"/>
            <w:vAlign w:val="center"/>
          </w:tcPr>
          <w:p w14:paraId="78D6C29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2</w:t>
            </w:r>
          </w:p>
        </w:tc>
        <w:tc>
          <w:tcPr>
            <w:tcW w:w="1073" w:type="dxa"/>
            <w:gridSpan w:val="2"/>
            <w:vAlign w:val="center"/>
          </w:tcPr>
          <w:p w14:paraId="61F3BA5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E3FE71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490DDCE"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7D2614EC" w14:textId="77777777" w:rsidTr="00A75B69">
        <w:trPr>
          <w:trHeight w:val="308"/>
          <w:jc w:val="center"/>
        </w:trPr>
        <w:tc>
          <w:tcPr>
            <w:tcW w:w="570" w:type="dxa"/>
            <w:vMerge/>
            <w:vAlign w:val="center"/>
          </w:tcPr>
          <w:p w14:paraId="33C3559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7B69DAD"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葛（</w:t>
            </w:r>
            <w:r w:rsidRPr="00092862">
              <w:rPr>
                <w:rFonts w:ascii="Times New Roman" w:eastAsia="宋体" w:hAnsi="Times New Roman" w:cs="Times New Roman"/>
                <w:i/>
                <w:iCs/>
                <w:color w:val="000000" w:themeColor="text1"/>
                <w:szCs w:val="21"/>
              </w:rPr>
              <w:t>Pueraria lobata</w:t>
            </w:r>
            <w:r w:rsidRPr="00092862">
              <w:rPr>
                <w:rFonts w:ascii="Times New Roman" w:eastAsia="宋体" w:hAnsi="Times New Roman" w:cs="Times New Roman"/>
                <w:color w:val="000000" w:themeColor="text1"/>
                <w:szCs w:val="21"/>
              </w:rPr>
              <w:t>）</w:t>
            </w:r>
          </w:p>
        </w:tc>
        <w:tc>
          <w:tcPr>
            <w:tcW w:w="1805" w:type="dxa"/>
            <w:gridSpan w:val="3"/>
            <w:vAlign w:val="center"/>
          </w:tcPr>
          <w:p w14:paraId="63CBD54E"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w:t>
            </w:r>
          </w:p>
        </w:tc>
        <w:tc>
          <w:tcPr>
            <w:tcW w:w="648" w:type="dxa"/>
            <w:vAlign w:val="center"/>
          </w:tcPr>
          <w:p w14:paraId="1DC2FAE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1</w:t>
            </w:r>
          </w:p>
        </w:tc>
        <w:tc>
          <w:tcPr>
            <w:tcW w:w="1073" w:type="dxa"/>
            <w:gridSpan w:val="2"/>
            <w:vAlign w:val="center"/>
          </w:tcPr>
          <w:p w14:paraId="5C2093D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8D5493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967C60F"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722D7E9" w14:textId="77777777" w:rsidTr="00A75B69">
        <w:trPr>
          <w:trHeight w:val="308"/>
          <w:jc w:val="center"/>
        </w:trPr>
        <w:tc>
          <w:tcPr>
            <w:tcW w:w="570" w:type="dxa"/>
            <w:vMerge/>
            <w:vAlign w:val="center"/>
          </w:tcPr>
          <w:p w14:paraId="38FD9C0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457301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蕨（</w:t>
            </w:r>
            <w:r w:rsidRPr="00092862">
              <w:rPr>
                <w:rFonts w:ascii="Times New Roman" w:eastAsia="宋体" w:hAnsi="Times New Roman" w:cs="Times New Roman"/>
                <w:i/>
                <w:iCs/>
                <w:color w:val="000000" w:themeColor="text1"/>
                <w:szCs w:val="21"/>
              </w:rPr>
              <w:t>Pteridium aquilinum var.latiusculum</w:t>
            </w:r>
            <w:r w:rsidRPr="00092862">
              <w:rPr>
                <w:rFonts w:ascii="Times New Roman" w:eastAsia="宋体" w:hAnsi="Times New Roman" w:cs="Times New Roman"/>
                <w:color w:val="000000" w:themeColor="text1"/>
                <w:szCs w:val="21"/>
              </w:rPr>
              <w:t>）</w:t>
            </w:r>
          </w:p>
        </w:tc>
        <w:tc>
          <w:tcPr>
            <w:tcW w:w="1805" w:type="dxa"/>
            <w:gridSpan w:val="3"/>
            <w:vAlign w:val="center"/>
          </w:tcPr>
          <w:p w14:paraId="4FDC34F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0.85</w:t>
            </w:r>
          </w:p>
        </w:tc>
        <w:tc>
          <w:tcPr>
            <w:tcW w:w="648" w:type="dxa"/>
            <w:vAlign w:val="center"/>
          </w:tcPr>
          <w:p w14:paraId="4DE8256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5DF05D3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9354E5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D0C2CE3"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B3610D0" w14:textId="77777777" w:rsidTr="00A75B69">
        <w:trPr>
          <w:trHeight w:val="308"/>
          <w:jc w:val="center"/>
        </w:trPr>
        <w:tc>
          <w:tcPr>
            <w:tcW w:w="570" w:type="dxa"/>
            <w:vMerge/>
            <w:vAlign w:val="center"/>
          </w:tcPr>
          <w:p w14:paraId="2EC1B82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8C24D9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芒萁（</w:t>
            </w:r>
            <w:r w:rsidRPr="00092862">
              <w:rPr>
                <w:rFonts w:ascii="Times New Roman" w:eastAsia="宋体" w:hAnsi="Times New Roman" w:cs="Times New Roman"/>
                <w:i/>
                <w:iCs/>
                <w:color w:val="000000" w:themeColor="text1"/>
                <w:szCs w:val="21"/>
              </w:rPr>
              <w:t>Dicranopteris dichotoma</w:t>
            </w:r>
            <w:r w:rsidRPr="00092862">
              <w:rPr>
                <w:rFonts w:ascii="Times New Roman" w:eastAsia="宋体" w:hAnsi="Times New Roman" w:cs="Times New Roman"/>
                <w:color w:val="000000" w:themeColor="text1"/>
                <w:szCs w:val="21"/>
              </w:rPr>
              <w:t>）</w:t>
            </w:r>
          </w:p>
        </w:tc>
        <w:tc>
          <w:tcPr>
            <w:tcW w:w="1805" w:type="dxa"/>
            <w:gridSpan w:val="3"/>
            <w:vAlign w:val="center"/>
          </w:tcPr>
          <w:p w14:paraId="312868A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7642FE9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032CFA3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F87B51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43A4A0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3943D61" w14:textId="77777777" w:rsidTr="00A75B69">
        <w:trPr>
          <w:trHeight w:val="308"/>
          <w:jc w:val="center"/>
        </w:trPr>
        <w:tc>
          <w:tcPr>
            <w:tcW w:w="570" w:type="dxa"/>
            <w:vMerge/>
            <w:vAlign w:val="center"/>
          </w:tcPr>
          <w:p w14:paraId="342FA61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304D3B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单芽狗脊（</w:t>
            </w:r>
            <w:r w:rsidRPr="00092862">
              <w:rPr>
                <w:rFonts w:ascii="Times New Roman" w:eastAsia="宋体" w:hAnsi="Times New Roman" w:cs="Times New Roman"/>
                <w:i/>
                <w:iCs/>
                <w:color w:val="000000" w:themeColor="text1"/>
                <w:szCs w:val="21"/>
              </w:rPr>
              <w:t>Woodwardia unigemmata</w:t>
            </w:r>
            <w:r w:rsidRPr="00092862">
              <w:rPr>
                <w:rFonts w:ascii="Times New Roman" w:eastAsia="宋体" w:hAnsi="Times New Roman" w:cs="Times New Roman"/>
                <w:color w:val="000000" w:themeColor="text1"/>
                <w:szCs w:val="21"/>
              </w:rPr>
              <w:t>）</w:t>
            </w:r>
          </w:p>
        </w:tc>
        <w:tc>
          <w:tcPr>
            <w:tcW w:w="1805" w:type="dxa"/>
            <w:gridSpan w:val="3"/>
            <w:vAlign w:val="center"/>
          </w:tcPr>
          <w:p w14:paraId="0B3A24B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w:t>
            </w:r>
          </w:p>
        </w:tc>
        <w:tc>
          <w:tcPr>
            <w:tcW w:w="648" w:type="dxa"/>
            <w:vAlign w:val="center"/>
          </w:tcPr>
          <w:p w14:paraId="50A02EA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2C2B1EF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0D4F3F6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43FEDD8"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7DCDFE3" w14:textId="77777777" w:rsidTr="00A75B69">
        <w:trPr>
          <w:trHeight w:val="251"/>
          <w:jc w:val="center"/>
        </w:trPr>
        <w:tc>
          <w:tcPr>
            <w:tcW w:w="570" w:type="dxa"/>
            <w:vMerge/>
            <w:vAlign w:val="center"/>
          </w:tcPr>
          <w:p w14:paraId="390377C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516AFFC" w14:textId="77777777" w:rsidR="009E4715" w:rsidRPr="00092862" w:rsidRDefault="009E4715" w:rsidP="00A75B69">
            <w:pP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里白（</w:t>
            </w:r>
            <w:r w:rsidRPr="00092862">
              <w:rPr>
                <w:rFonts w:ascii="Times New Roman" w:eastAsia="宋体" w:hAnsi="Times New Roman" w:cs="Times New Roman"/>
                <w:i/>
                <w:iCs/>
                <w:color w:val="000000" w:themeColor="text1"/>
                <w:szCs w:val="21"/>
              </w:rPr>
              <w:t>Hicriopteris glauca</w:t>
            </w:r>
            <w:r w:rsidRPr="00092862">
              <w:rPr>
                <w:rFonts w:ascii="Times New Roman" w:eastAsia="宋体" w:hAnsi="Times New Roman" w:cs="Times New Roman"/>
                <w:color w:val="000000" w:themeColor="text1"/>
                <w:szCs w:val="21"/>
              </w:rPr>
              <w:t>）</w:t>
            </w:r>
          </w:p>
        </w:tc>
        <w:tc>
          <w:tcPr>
            <w:tcW w:w="1805" w:type="dxa"/>
            <w:gridSpan w:val="3"/>
            <w:vAlign w:val="center"/>
          </w:tcPr>
          <w:p w14:paraId="626A343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648" w:type="dxa"/>
            <w:vAlign w:val="center"/>
          </w:tcPr>
          <w:p w14:paraId="1F61B10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01D1BA0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5DA7FD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A688C59"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9CAE0F3" w14:textId="77777777" w:rsidTr="00A75B69">
        <w:trPr>
          <w:trHeight w:val="308"/>
          <w:jc w:val="center"/>
        </w:trPr>
        <w:tc>
          <w:tcPr>
            <w:tcW w:w="570" w:type="dxa"/>
            <w:vMerge/>
            <w:vAlign w:val="center"/>
          </w:tcPr>
          <w:p w14:paraId="1F85F21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0A5220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栗褐苔草（</w:t>
            </w:r>
            <w:r w:rsidRPr="00092862">
              <w:rPr>
                <w:rFonts w:ascii="Times New Roman" w:eastAsia="宋体" w:hAnsi="Times New Roman" w:cs="Times New Roman"/>
                <w:i/>
                <w:iCs/>
                <w:color w:val="000000" w:themeColor="text1"/>
                <w:szCs w:val="21"/>
              </w:rPr>
              <w:t xml:space="preserve">Carex brunnea </w:t>
            </w:r>
            <w:r w:rsidRPr="00092862">
              <w:rPr>
                <w:rFonts w:ascii="Times New Roman" w:eastAsia="宋体" w:hAnsi="Times New Roman" w:cs="Times New Roman"/>
                <w:color w:val="000000" w:themeColor="text1"/>
                <w:szCs w:val="21"/>
              </w:rPr>
              <w:t>Thunb.</w:t>
            </w:r>
            <w:r w:rsidRPr="00092862">
              <w:rPr>
                <w:rFonts w:ascii="Times New Roman" w:eastAsia="宋体" w:hAnsi="Times New Roman" w:cs="Times New Roman"/>
                <w:color w:val="000000" w:themeColor="text1"/>
                <w:szCs w:val="21"/>
              </w:rPr>
              <w:t>）</w:t>
            </w:r>
          </w:p>
        </w:tc>
        <w:tc>
          <w:tcPr>
            <w:tcW w:w="1805" w:type="dxa"/>
            <w:gridSpan w:val="3"/>
            <w:vAlign w:val="center"/>
          </w:tcPr>
          <w:p w14:paraId="0A17B0A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49DFBF9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27C6F3E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1687C72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1EFDBA9"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1067396" w14:textId="77777777" w:rsidTr="00A75B69">
        <w:trPr>
          <w:trHeight w:val="308"/>
          <w:jc w:val="center"/>
        </w:trPr>
        <w:tc>
          <w:tcPr>
            <w:tcW w:w="570" w:type="dxa"/>
            <w:vMerge/>
            <w:vAlign w:val="center"/>
          </w:tcPr>
          <w:p w14:paraId="17249C2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288324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三叶鬼针草（</w:t>
            </w:r>
            <w:r w:rsidRPr="00092862">
              <w:rPr>
                <w:rFonts w:ascii="Times New Roman" w:eastAsia="宋体" w:hAnsi="Times New Roman" w:cs="Times New Roman"/>
                <w:i/>
                <w:color w:val="000000" w:themeColor="text1"/>
                <w:szCs w:val="21"/>
              </w:rPr>
              <w:t>Bidens pilosa</w:t>
            </w:r>
            <w:r w:rsidRPr="00092862">
              <w:rPr>
                <w:rFonts w:ascii="Times New Roman" w:eastAsia="宋体" w:hAnsi="Times New Roman" w:cs="Times New Roman"/>
                <w:color w:val="000000" w:themeColor="text1"/>
                <w:szCs w:val="21"/>
              </w:rPr>
              <w:t>）</w:t>
            </w:r>
          </w:p>
        </w:tc>
        <w:tc>
          <w:tcPr>
            <w:tcW w:w="1805" w:type="dxa"/>
            <w:gridSpan w:val="3"/>
            <w:vAlign w:val="center"/>
          </w:tcPr>
          <w:p w14:paraId="6DFDB60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648" w:type="dxa"/>
            <w:vAlign w:val="center"/>
          </w:tcPr>
          <w:p w14:paraId="393CAAC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6770100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123827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A5098E5"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4B390525" w14:textId="77777777" w:rsidTr="00A75B69">
        <w:trPr>
          <w:trHeight w:val="308"/>
          <w:jc w:val="center"/>
        </w:trPr>
        <w:tc>
          <w:tcPr>
            <w:tcW w:w="570" w:type="dxa"/>
            <w:vMerge/>
            <w:vAlign w:val="center"/>
          </w:tcPr>
          <w:p w14:paraId="4F8D3EF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8B69FFD"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野艾蒿（</w:t>
            </w:r>
            <w:r w:rsidRPr="00092862">
              <w:rPr>
                <w:rFonts w:ascii="Times New Roman" w:eastAsia="宋体" w:hAnsi="Times New Roman" w:cs="Times New Roman"/>
                <w:i/>
                <w:color w:val="000000" w:themeColor="text1"/>
                <w:szCs w:val="21"/>
              </w:rPr>
              <w:t>Artemisia lavandulaefolia</w:t>
            </w:r>
            <w:r w:rsidRPr="00092862">
              <w:rPr>
                <w:rFonts w:ascii="Times New Roman" w:eastAsia="宋体" w:hAnsi="Times New Roman" w:cs="Times New Roman"/>
                <w:color w:val="000000" w:themeColor="text1"/>
                <w:szCs w:val="21"/>
              </w:rPr>
              <w:t>）</w:t>
            </w:r>
          </w:p>
        </w:tc>
        <w:tc>
          <w:tcPr>
            <w:tcW w:w="1805" w:type="dxa"/>
            <w:gridSpan w:val="3"/>
            <w:vAlign w:val="center"/>
          </w:tcPr>
          <w:p w14:paraId="1124A79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0.7</w:t>
            </w:r>
          </w:p>
        </w:tc>
        <w:tc>
          <w:tcPr>
            <w:tcW w:w="648" w:type="dxa"/>
            <w:vAlign w:val="center"/>
          </w:tcPr>
          <w:p w14:paraId="463D4CD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38BA259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841800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3DA5D45"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6587378D" w14:textId="77777777" w:rsidR="009E4715" w:rsidRPr="00092862" w:rsidRDefault="009E4715" w:rsidP="009E4715">
      <w:pPr>
        <w:spacing w:line="500" w:lineRule="exact"/>
        <w:ind w:left="60" w:right="100" w:firstLine="482"/>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样方</w:t>
      </w:r>
      <w:r w:rsidRPr="00092862">
        <w:rPr>
          <w:rFonts w:ascii="Times New Roman" w:eastAsia="宋体" w:hAnsi="Times New Roman" w:cs="Times New Roman"/>
          <w:b/>
          <w:color w:val="000000" w:themeColor="text1"/>
          <w:szCs w:val="21"/>
        </w:rPr>
        <w:t xml:space="preserve">3 </w:t>
      </w:r>
      <w:r w:rsidRPr="00092862">
        <w:rPr>
          <w:rFonts w:ascii="Times New Roman" w:eastAsia="宋体" w:hAnsi="Times New Roman" w:cs="Times New Roman"/>
          <w:b/>
          <w:color w:val="000000" w:themeColor="text1"/>
          <w:szCs w:val="21"/>
        </w:rPr>
        <w:t>柏木、慈竹群系样方表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481"/>
        <w:gridCol w:w="621"/>
        <w:gridCol w:w="648"/>
        <w:gridCol w:w="550"/>
        <w:gridCol w:w="523"/>
        <w:gridCol w:w="659"/>
        <w:gridCol w:w="743"/>
      </w:tblGrid>
      <w:tr w:rsidR="00697429" w:rsidRPr="00092862" w14:paraId="5A6F2A4D" w14:textId="77777777" w:rsidTr="00A75B69">
        <w:trPr>
          <w:trHeight w:val="755"/>
          <w:jc w:val="center"/>
        </w:trPr>
        <w:tc>
          <w:tcPr>
            <w:tcW w:w="570" w:type="dxa"/>
            <w:vAlign w:val="center"/>
          </w:tcPr>
          <w:p w14:paraId="0F6B17A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1A765B8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107.8204,31.4680</w:t>
            </w:r>
          </w:p>
        </w:tc>
        <w:tc>
          <w:tcPr>
            <w:tcW w:w="703" w:type="dxa"/>
            <w:vAlign w:val="center"/>
          </w:tcPr>
          <w:p w14:paraId="49A2DE7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r w:rsidRPr="00092862">
              <w:rPr>
                <w:rFonts w:ascii="Times New Roman" w:eastAsia="宋体" w:hAnsi="Times New Roman" w:cs="Times New Roman"/>
                <w:bCs/>
                <w:color w:val="000000" w:themeColor="text1"/>
                <w:szCs w:val="21"/>
              </w:rPr>
              <w:t>）</w:t>
            </w:r>
          </w:p>
        </w:tc>
        <w:tc>
          <w:tcPr>
            <w:tcW w:w="481" w:type="dxa"/>
            <w:vAlign w:val="center"/>
          </w:tcPr>
          <w:p w14:paraId="083CE4C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1035</w:t>
            </w:r>
          </w:p>
        </w:tc>
        <w:tc>
          <w:tcPr>
            <w:tcW w:w="621" w:type="dxa"/>
            <w:vAlign w:val="center"/>
          </w:tcPr>
          <w:p w14:paraId="2320871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31EA97E7"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石灰土</w:t>
            </w:r>
          </w:p>
        </w:tc>
        <w:tc>
          <w:tcPr>
            <w:tcW w:w="550" w:type="dxa"/>
            <w:vAlign w:val="center"/>
          </w:tcPr>
          <w:p w14:paraId="0FD2550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1313EA4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p>
        </w:tc>
        <w:tc>
          <w:tcPr>
            <w:tcW w:w="659" w:type="dxa"/>
            <w:vAlign w:val="center"/>
          </w:tcPr>
          <w:p w14:paraId="7E0F29E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26C7CF7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SW</w:t>
            </w:r>
          </w:p>
        </w:tc>
      </w:tr>
      <w:tr w:rsidR="00697429" w:rsidRPr="00092862" w14:paraId="2568DF78" w14:textId="77777777" w:rsidTr="00A75B69">
        <w:trPr>
          <w:trHeight w:val="308"/>
          <w:jc w:val="center"/>
        </w:trPr>
        <w:tc>
          <w:tcPr>
            <w:tcW w:w="570" w:type="dxa"/>
            <w:vAlign w:val="center"/>
          </w:tcPr>
          <w:p w14:paraId="75B6A18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A60159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5329B97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02BDFD0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4DA1B33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4F660AF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18C0AF5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3313096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7C5D614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640B4F3E" w14:textId="77777777" w:rsidTr="00A75B69">
        <w:trPr>
          <w:trHeight w:val="308"/>
          <w:jc w:val="center"/>
        </w:trPr>
        <w:tc>
          <w:tcPr>
            <w:tcW w:w="570" w:type="dxa"/>
            <w:vMerge w:val="restart"/>
            <w:vAlign w:val="center"/>
          </w:tcPr>
          <w:p w14:paraId="4351C4F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乔木层</w:t>
            </w:r>
          </w:p>
        </w:tc>
        <w:tc>
          <w:tcPr>
            <w:tcW w:w="3928" w:type="dxa"/>
            <w:vAlign w:val="center"/>
          </w:tcPr>
          <w:p w14:paraId="32FD8D9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柏木（</w:t>
            </w:r>
            <w:r w:rsidRPr="00092862">
              <w:rPr>
                <w:rFonts w:ascii="Times New Roman" w:eastAsia="宋体" w:hAnsi="Times New Roman" w:cs="Times New Roman"/>
                <w:i/>
                <w:iCs/>
                <w:color w:val="000000" w:themeColor="text1"/>
                <w:szCs w:val="21"/>
              </w:rPr>
              <w:t>Cupressus funebris</w:t>
            </w:r>
            <w:r w:rsidRPr="00092862">
              <w:rPr>
                <w:rFonts w:ascii="Times New Roman" w:eastAsia="宋体" w:hAnsi="Times New Roman" w:cs="Times New Roman"/>
                <w:color w:val="000000" w:themeColor="text1"/>
                <w:szCs w:val="21"/>
              </w:rPr>
              <w:t>）</w:t>
            </w:r>
          </w:p>
        </w:tc>
        <w:tc>
          <w:tcPr>
            <w:tcW w:w="1805" w:type="dxa"/>
            <w:gridSpan w:val="3"/>
            <w:vAlign w:val="center"/>
          </w:tcPr>
          <w:p w14:paraId="442EE37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w:t>
            </w:r>
          </w:p>
        </w:tc>
        <w:tc>
          <w:tcPr>
            <w:tcW w:w="648" w:type="dxa"/>
            <w:vAlign w:val="center"/>
          </w:tcPr>
          <w:p w14:paraId="55D8B90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19</w:t>
            </w:r>
          </w:p>
        </w:tc>
        <w:tc>
          <w:tcPr>
            <w:tcW w:w="1073" w:type="dxa"/>
            <w:gridSpan w:val="2"/>
            <w:vAlign w:val="center"/>
          </w:tcPr>
          <w:p w14:paraId="763FEE6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59" w:type="dxa"/>
            <w:vAlign w:val="center"/>
          </w:tcPr>
          <w:p w14:paraId="0DA8E41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2*3</w:t>
            </w:r>
          </w:p>
        </w:tc>
        <w:tc>
          <w:tcPr>
            <w:tcW w:w="743" w:type="dxa"/>
            <w:vAlign w:val="center"/>
          </w:tcPr>
          <w:p w14:paraId="2343331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370604F8" w14:textId="77777777" w:rsidTr="00A75B69">
        <w:trPr>
          <w:trHeight w:val="308"/>
          <w:jc w:val="center"/>
        </w:trPr>
        <w:tc>
          <w:tcPr>
            <w:tcW w:w="570" w:type="dxa"/>
            <w:vMerge/>
            <w:vAlign w:val="center"/>
          </w:tcPr>
          <w:p w14:paraId="20EBFA9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7F8DFAD"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2"/>
                <w:szCs w:val="21"/>
              </w:rPr>
              <w:t>慈竹</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pacing w:val="-4"/>
                <w:szCs w:val="21"/>
              </w:rPr>
              <w:t>Neosinocalamus affinis</w:t>
            </w:r>
            <w:r w:rsidRPr="00092862">
              <w:rPr>
                <w:rFonts w:ascii="Times New Roman" w:eastAsia="宋体" w:hAnsi="Times New Roman" w:cs="Times New Roman"/>
                <w:color w:val="000000" w:themeColor="text1"/>
                <w:szCs w:val="21"/>
              </w:rPr>
              <w:t>）</w:t>
            </w:r>
          </w:p>
        </w:tc>
        <w:tc>
          <w:tcPr>
            <w:tcW w:w="1805" w:type="dxa"/>
            <w:gridSpan w:val="3"/>
            <w:vAlign w:val="center"/>
          </w:tcPr>
          <w:p w14:paraId="41A9B68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26CB57B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1073" w:type="dxa"/>
            <w:gridSpan w:val="2"/>
            <w:vAlign w:val="center"/>
          </w:tcPr>
          <w:p w14:paraId="61F0F40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8</w:t>
            </w:r>
          </w:p>
        </w:tc>
        <w:tc>
          <w:tcPr>
            <w:tcW w:w="659" w:type="dxa"/>
            <w:vAlign w:val="center"/>
          </w:tcPr>
          <w:p w14:paraId="73CF782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743" w:type="dxa"/>
            <w:vAlign w:val="center"/>
          </w:tcPr>
          <w:p w14:paraId="794068E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C2ABC32" w14:textId="77777777" w:rsidTr="00A75B69">
        <w:trPr>
          <w:trHeight w:val="308"/>
          <w:jc w:val="center"/>
        </w:trPr>
        <w:tc>
          <w:tcPr>
            <w:tcW w:w="570" w:type="dxa"/>
            <w:vMerge w:val="restart"/>
            <w:vAlign w:val="center"/>
          </w:tcPr>
          <w:p w14:paraId="7CF972D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灌木层</w:t>
            </w:r>
          </w:p>
        </w:tc>
        <w:tc>
          <w:tcPr>
            <w:tcW w:w="3928" w:type="dxa"/>
            <w:vAlign w:val="center"/>
          </w:tcPr>
          <w:p w14:paraId="08B7664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1"/>
                <w:szCs w:val="21"/>
              </w:rPr>
              <w:t>球核荚蒾（</w:t>
            </w:r>
            <w:r w:rsidRPr="00092862">
              <w:rPr>
                <w:rStyle w:val="aff4"/>
                <w:rFonts w:ascii="Times New Roman" w:eastAsia="宋体" w:hAnsi="Times New Roman" w:cs="Times New Roman"/>
                <w:i w:val="0"/>
                <w:iCs/>
                <w:color w:val="000000" w:themeColor="text1"/>
                <w:szCs w:val="21"/>
                <w:shd w:val="clear" w:color="auto" w:fill="FFFFFF"/>
              </w:rPr>
              <w:t xml:space="preserve">Viburnum propinquum </w:t>
            </w:r>
            <w:r w:rsidRPr="00092862">
              <w:rPr>
                <w:rFonts w:ascii="Times New Roman" w:eastAsia="宋体" w:hAnsi="Times New Roman" w:cs="Times New Roman"/>
                <w:color w:val="000000" w:themeColor="text1"/>
                <w:szCs w:val="21"/>
              </w:rPr>
              <w:t>Hemsl.</w:t>
            </w:r>
            <w:r w:rsidRPr="00092862">
              <w:rPr>
                <w:rFonts w:ascii="Times New Roman" w:eastAsia="宋体" w:hAnsi="Times New Roman" w:cs="Times New Roman"/>
                <w:color w:val="000000" w:themeColor="text1"/>
                <w:spacing w:val="-1"/>
                <w:szCs w:val="21"/>
              </w:rPr>
              <w:t>）</w:t>
            </w:r>
          </w:p>
        </w:tc>
        <w:tc>
          <w:tcPr>
            <w:tcW w:w="1805" w:type="dxa"/>
            <w:gridSpan w:val="3"/>
            <w:vAlign w:val="center"/>
          </w:tcPr>
          <w:p w14:paraId="7EDC0A1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648" w:type="dxa"/>
            <w:vAlign w:val="center"/>
          </w:tcPr>
          <w:p w14:paraId="5A7CBD3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7E7400A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434A1BC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D1866C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33B0231F" w14:textId="77777777" w:rsidTr="00A75B69">
        <w:trPr>
          <w:trHeight w:val="308"/>
          <w:jc w:val="center"/>
        </w:trPr>
        <w:tc>
          <w:tcPr>
            <w:tcW w:w="570" w:type="dxa"/>
            <w:vMerge/>
            <w:vAlign w:val="center"/>
          </w:tcPr>
          <w:p w14:paraId="0E82D25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BCAFC30" w14:textId="77777777" w:rsidR="009E4715" w:rsidRPr="00092862" w:rsidRDefault="009E4715" w:rsidP="00A75B69">
            <w:pPr>
              <w:jc w:val="center"/>
              <w:rPr>
                <w:rFonts w:ascii="Times New Roman" w:eastAsia="宋体" w:hAnsi="Times New Roman" w:cs="Times New Roman"/>
                <w:color w:val="000000" w:themeColor="text1"/>
                <w:spacing w:val="-1"/>
                <w:szCs w:val="21"/>
              </w:rPr>
            </w:pPr>
            <w:r w:rsidRPr="00092862">
              <w:rPr>
                <w:rFonts w:ascii="Times New Roman" w:eastAsia="宋体" w:hAnsi="Times New Roman" w:cs="Times New Roman"/>
                <w:color w:val="000000" w:themeColor="text1"/>
                <w:spacing w:val="2"/>
                <w:szCs w:val="21"/>
              </w:rPr>
              <w:t>杜鹃（</w:t>
            </w:r>
            <w:r w:rsidRPr="00092862">
              <w:rPr>
                <w:rFonts w:ascii="Times New Roman" w:eastAsia="宋体" w:hAnsi="Times New Roman" w:cs="Times New Roman"/>
                <w:i/>
                <w:iCs/>
                <w:color w:val="000000" w:themeColor="text1"/>
                <w:szCs w:val="21"/>
              </w:rPr>
              <w:t xml:space="preserve">Rhododendron simsii </w:t>
            </w:r>
            <w:r w:rsidRPr="00092862">
              <w:rPr>
                <w:rFonts w:ascii="Times New Roman" w:eastAsia="宋体" w:hAnsi="Times New Roman" w:cs="Times New Roman"/>
                <w:color w:val="000000" w:themeColor="text1"/>
                <w:szCs w:val="21"/>
              </w:rPr>
              <w:t>Planch.</w:t>
            </w:r>
            <w:r w:rsidRPr="00092862">
              <w:rPr>
                <w:rFonts w:ascii="Times New Roman" w:eastAsia="宋体" w:hAnsi="Times New Roman" w:cs="Times New Roman"/>
                <w:color w:val="000000" w:themeColor="text1"/>
                <w:spacing w:val="2"/>
                <w:szCs w:val="21"/>
              </w:rPr>
              <w:t>）</w:t>
            </w:r>
          </w:p>
        </w:tc>
        <w:tc>
          <w:tcPr>
            <w:tcW w:w="1805" w:type="dxa"/>
            <w:gridSpan w:val="3"/>
            <w:vAlign w:val="center"/>
          </w:tcPr>
          <w:p w14:paraId="45398EF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48" w:type="dxa"/>
            <w:vAlign w:val="center"/>
          </w:tcPr>
          <w:p w14:paraId="4C2E3ED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252CD4C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59" w:type="dxa"/>
            <w:vAlign w:val="center"/>
          </w:tcPr>
          <w:p w14:paraId="43EAE17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4D8FEB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F80C7B6" w14:textId="77777777" w:rsidTr="00A75B69">
        <w:trPr>
          <w:trHeight w:val="308"/>
          <w:jc w:val="center"/>
        </w:trPr>
        <w:tc>
          <w:tcPr>
            <w:tcW w:w="570" w:type="dxa"/>
            <w:vMerge/>
            <w:vAlign w:val="center"/>
          </w:tcPr>
          <w:p w14:paraId="07402D0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40C84C4"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
                <w:szCs w:val="21"/>
              </w:rPr>
              <w:t>马桑</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Coriaria nepalensis</w:t>
            </w:r>
            <w:r w:rsidRPr="00092862">
              <w:rPr>
                <w:rFonts w:ascii="Times New Roman" w:eastAsia="宋体" w:hAnsi="Times New Roman" w:cs="Times New Roman"/>
                <w:color w:val="000000" w:themeColor="text1"/>
                <w:szCs w:val="21"/>
              </w:rPr>
              <w:t>）</w:t>
            </w:r>
          </w:p>
        </w:tc>
        <w:tc>
          <w:tcPr>
            <w:tcW w:w="1805" w:type="dxa"/>
            <w:gridSpan w:val="3"/>
            <w:vAlign w:val="center"/>
          </w:tcPr>
          <w:p w14:paraId="2F4E2C8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2.2</w:t>
            </w:r>
          </w:p>
        </w:tc>
        <w:tc>
          <w:tcPr>
            <w:tcW w:w="648" w:type="dxa"/>
            <w:vAlign w:val="center"/>
          </w:tcPr>
          <w:p w14:paraId="650EB19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7FBF244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59" w:type="dxa"/>
            <w:vAlign w:val="center"/>
          </w:tcPr>
          <w:p w14:paraId="62DF836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3C09E2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1E399F2" w14:textId="77777777" w:rsidTr="00A75B69">
        <w:trPr>
          <w:trHeight w:val="308"/>
          <w:jc w:val="center"/>
        </w:trPr>
        <w:tc>
          <w:tcPr>
            <w:tcW w:w="570" w:type="dxa"/>
            <w:vMerge/>
            <w:vAlign w:val="center"/>
          </w:tcPr>
          <w:p w14:paraId="0A7A872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99EDA20" w14:textId="77777777" w:rsidR="009E4715" w:rsidRPr="00092862" w:rsidRDefault="009E4715" w:rsidP="00A75B69">
            <w:pPr>
              <w:jc w:val="center"/>
              <w:rPr>
                <w:rFonts w:ascii="Times New Roman" w:eastAsia="宋体" w:hAnsi="Times New Roman" w:cs="Times New Roman"/>
                <w:color w:val="000000" w:themeColor="text1"/>
                <w:spacing w:val="-1"/>
                <w:szCs w:val="21"/>
              </w:rPr>
            </w:pPr>
            <w:r w:rsidRPr="00092862">
              <w:rPr>
                <w:rFonts w:ascii="Times New Roman" w:eastAsia="宋体" w:hAnsi="Times New Roman" w:cs="Times New Roman"/>
                <w:color w:val="000000" w:themeColor="text1"/>
                <w:szCs w:val="21"/>
              </w:rPr>
              <w:t>乌泡子（</w:t>
            </w:r>
            <w:r w:rsidRPr="00092862">
              <w:rPr>
                <w:rFonts w:ascii="Times New Roman" w:eastAsia="宋体" w:hAnsi="Times New Roman" w:cs="Times New Roman"/>
                <w:i/>
                <w:iCs/>
                <w:color w:val="000000" w:themeColor="text1"/>
                <w:szCs w:val="21"/>
              </w:rPr>
              <w:t>Rubus parkeri</w:t>
            </w:r>
            <w:r w:rsidRPr="00092862">
              <w:rPr>
                <w:rFonts w:ascii="Times New Roman" w:eastAsia="宋体" w:hAnsi="Times New Roman" w:cs="Times New Roman"/>
                <w:color w:val="000000" w:themeColor="text1"/>
                <w:szCs w:val="21"/>
              </w:rPr>
              <w:t>）</w:t>
            </w:r>
          </w:p>
        </w:tc>
        <w:tc>
          <w:tcPr>
            <w:tcW w:w="1805" w:type="dxa"/>
            <w:gridSpan w:val="3"/>
            <w:vAlign w:val="center"/>
          </w:tcPr>
          <w:p w14:paraId="7E22CEF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48" w:type="dxa"/>
            <w:vAlign w:val="center"/>
          </w:tcPr>
          <w:p w14:paraId="186BF08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7FF6D6B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59" w:type="dxa"/>
            <w:vAlign w:val="center"/>
          </w:tcPr>
          <w:p w14:paraId="3B98E1E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31E710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261617A2" w14:textId="77777777" w:rsidTr="00A75B69">
        <w:trPr>
          <w:trHeight w:val="308"/>
          <w:jc w:val="center"/>
        </w:trPr>
        <w:tc>
          <w:tcPr>
            <w:tcW w:w="570" w:type="dxa"/>
            <w:vMerge/>
            <w:vAlign w:val="center"/>
          </w:tcPr>
          <w:p w14:paraId="4395C8E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44A4194" w14:textId="77777777" w:rsidR="009E4715" w:rsidRPr="00092862" w:rsidRDefault="009E4715" w:rsidP="00A75B69">
            <w:pPr>
              <w:jc w:val="center"/>
              <w:rPr>
                <w:rFonts w:ascii="Times New Roman" w:eastAsia="宋体" w:hAnsi="Times New Roman" w:cs="Times New Roman"/>
                <w:color w:val="000000" w:themeColor="text1"/>
                <w:spacing w:val="-1"/>
                <w:szCs w:val="21"/>
              </w:rPr>
            </w:pPr>
            <w:r w:rsidRPr="00092862">
              <w:rPr>
                <w:rFonts w:ascii="Times New Roman" w:eastAsia="宋体" w:hAnsi="Times New Roman" w:cs="Times New Roman"/>
                <w:color w:val="000000" w:themeColor="text1"/>
                <w:szCs w:val="21"/>
              </w:rPr>
              <w:t>高粱泡（</w:t>
            </w:r>
            <w:r w:rsidRPr="00092862">
              <w:rPr>
                <w:rFonts w:ascii="Times New Roman" w:eastAsia="宋体" w:hAnsi="Times New Roman" w:cs="Times New Roman"/>
                <w:i/>
                <w:iCs/>
                <w:color w:val="000000" w:themeColor="text1"/>
                <w:szCs w:val="21"/>
              </w:rPr>
              <w:t>Rubus lambertianus</w:t>
            </w:r>
            <w:r w:rsidRPr="00092862">
              <w:rPr>
                <w:rFonts w:ascii="Times New Roman" w:eastAsia="宋体" w:hAnsi="Times New Roman" w:cs="Times New Roman"/>
                <w:color w:val="000000" w:themeColor="text1"/>
                <w:szCs w:val="21"/>
              </w:rPr>
              <w:t>）</w:t>
            </w:r>
          </w:p>
        </w:tc>
        <w:tc>
          <w:tcPr>
            <w:tcW w:w="1805" w:type="dxa"/>
            <w:gridSpan w:val="3"/>
            <w:vAlign w:val="center"/>
          </w:tcPr>
          <w:p w14:paraId="0FC2B2E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1.9</w:t>
            </w:r>
          </w:p>
        </w:tc>
        <w:tc>
          <w:tcPr>
            <w:tcW w:w="648" w:type="dxa"/>
            <w:vAlign w:val="center"/>
          </w:tcPr>
          <w:p w14:paraId="3B56A74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1073" w:type="dxa"/>
            <w:gridSpan w:val="2"/>
            <w:vAlign w:val="center"/>
          </w:tcPr>
          <w:p w14:paraId="065C3AB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c>
          <w:tcPr>
            <w:tcW w:w="659" w:type="dxa"/>
            <w:vAlign w:val="center"/>
          </w:tcPr>
          <w:p w14:paraId="1B44615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957BDB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3880663A" w14:textId="77777777" w:rsidTr="00A75B69">
        <w:trPr>
          <w:trHeight w:val="308"/>
          <w:jc w:val="center"/>
        </w:trPr>
        <w:tc>
          <w:tcPr>
            <w:tcW w:w="570" w:type="dxa"/>
            <w:vMerge/>
            <w:vAlign w:val="center"/>
          </w:tcPr>
          <w:p w14:paraId="389568E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6E5876F"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
                <w:szCs w:val="21"/>
              </w:rPr>
              <w:t>火棘（</w:t>
            </w:r>
            <w:r w:rsidRPr="00092862">
              <w:rPr>
                <w:rFonts w:ascii="Times New Roman" w:eastAsia="宋体" w:hAnsi="Times New Roman" w:cs="Times New Roman"/>
                <w:i/>
                <w:iCs/>
                <w:color w:val="000000" w:themeColor="text1"/>
                <w:szCs w:val="21"/>
              </w:rPr>
              <w:t>Pyracantha fortuneana</w:t>
            </w:r>
            <w:r w:rsidRPr="00092862">
              <w:rPr>
                <w:rFonts w:ascii="Times New Roman" w:eastAsia="宋体" w:hAnsi="Times New Roman" w:cs="Times New Roman"/>
                <w:color w:val="000000" w:themeColor="text1"/>
                <w:spacing w:val="-1"/>
                <w:szCs w:val="21"/>
              </w:rPr>
              <w:t>）</w:t>
            </w:r>
          </w:p>
        </w:tc>
        <w:tc>
          <w:tcPr>
            <w:tcW w:w="1805" w:type="dxa"/>
            <w:gridSpan w:val="3"/>
            <w:vAlign w:val="center"/>
          </w:tcPr>
          <w:p w14:paraId="3E89854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2.1</w:t>
            </w:r>
          </w:p>
        </w:tc>
        <w:tc>
          <w:tcPr>
            <w:tcW w:w="648" w:type="dxa"/>
            <w:vAlign w:val="center"/>
          </w:tcPr>
          <w:p w14:paraId="3CCB4B2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1073" w:type="dxa"/>
            <w:gridSpan w:val="2"/>
            <w:vAlign w:val="center"/>
          </w:tcPr>
          <w:p w14:paraId="5E0F579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2.2</w:t>
            </w:r>
          </w:p>
        </w:tc>
        <w:tc>
          <w:tcPr>
            <w:tcW w:w="659" w:type="dxa"/>
            <w:vAlign w:val="center"/>
          </w:tcPr>
          <w:p w14:paraId="0D9FDA5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88885C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440525A6" w14:textId="77777777" w:rsidTr="00A75B69">
        <w:trPr>
          <w:trHeight w:val="308"/>
          <w:jc w:val="center"/>
        </w:trPr>
        <w:tc>
          <w:tcPr>
            <w:tcW w:w="570" w:type="dxa"/>
            <w:vMerge/>
            <w:vAlign w:val="center"/>
          </w:tcPr>
          <w:p w14:paraId="30DE977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66656C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6"/>
                <w:szCs w:val="21"/>
              </w:rPr>
              <w:t>小果蔷薇</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Rosa cymosa</w:t>
            </w:r>
            <w:r w:rsidRPr="00092862">
              <w:rPr>
                <w:rFonts w:ascii="Times New Roman" w:eastAsia="宋体" w:hAnsi="Times New Roman" w:cs="Times New Roman"/>
                <w:color w:val="000000" w:themeColor="text1"/>
                <w:szCs w:val="21"/>
              </w:rPr>
              <w:t>）</w:t>
            </w:r>
          </w:p>
        </w:tc>
        <w:tc>
          <w:tcPr>
            <w:tcW w:w="1805" w:type="dxa"/>
            <w:gridSpan w:val="3"/>
            <w:vAlign w:val="center"/>
          </w:tcPr>
          <w:p w14:paraId="7F1BC4E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48" w:type="dxa"/>
            <w:vAlign w:val="center"/>
          </w:tcPr>
          <w:p w14:paraId="675D4C4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0144E7F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4B84895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6966DF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705E1096" w14:textId="77777777" w:rsidTr="00A75B69">
        <w:trPr>
          <w:trHeight w:val="308"/>
          <w:jc w:val="center"/>
        </w:trPr>
        <w:tc>
          <w:tcPr>
            <w:tcW w:w="570" w:type="dxa"/>
            <w:vMerge/>
            <w:vAlign w:val="center"/>
          </w:tcPr>
          <w:p w14:paraId="14821C6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E87B59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6"/>
                <w:szCs w:val="21"/>
              </w:rPr>
              <w:t>檵木（</w:t>
            </w:r>
            <w:r w:rsidRPr="00092862">
              <w:rPr>
                <w:rStyle w:val="aff4"/>
                <w:rFonts w:ascii="Times New Roman" w:eastAsia="宋体" w:hAnsi="Times New Roman" w:cs="Times New Roman"/>
                <w:i w:val="0"/>
                <w:iCs/>
                <w:color w:val="000000" w:themeColor="text1"/>
                <w:szCs w:val="21"/>
                <w:shd w:val="clear" w:color="auto" w:fill="FFFFFF"/>
              </w:rPr>
              <w:t>Loropetalum chinense</w:t>
            </w:r>
            <w:r w:rsidRPr="00092862">
              <w:rPr>
                <w:rFonts w:ascii="Times New Roman" w:eastAsia="宋体" w:hAnsi="Times New Roman" w:cs="Times New Roman"/>
                <w:color w:val="000000" w:themeColor="text1"/>
                <w:szCs w:val="21"/>
                <w:shd w:val="clear" w:color="auto" w:fill="FFFFFF"/>
              </w:rPr>
              <w:t> </w:t>
            </w:r>
            <w:r w:rsidRPr="00092862">
              <w:rPr>
                <w:rFonts w:ascii="Times New Roman" w:eastAsia="宋体" w:hAnsi="Times New Roman" w:cs="Times New Roman"/>
                <w:color w:val="000000" w:themeColor="text1"/>
                <w:szCs w:val="21"/>
                <w:shd w:val="clear" w:color="auto" w:fill="FFFFFF"/>
              </w:rPr>
              <w:t>（</w:t>
            </w:r>
            <w:r w:rsidRPr="00092862">
              <w:rPr>
                <w:rFonts w:ascii="Times New Roman" w:eastAsia="宋体" w:hAnsi="Times New Roman" w:cs="Times New Roman"/>
                <w:color w:val="000000" w:themeColor="text1"/>
                <w:szCs w:val="21"/>
                <w:shd w:val="clear" w:color="auto" w:fill="FFFFFF"/>
              </w:rPr>
              <w:t>R. Br.</w:t>
            </w:r>
            <w:r w:rsidRPr="00092862">
              <w:rPr>
                <w:rFonts w:ascii="Times New Roman" w:eastAsia="宋体" w:hAnsi="Times New Roman" w:cs="Times New Roman"/>
                <w:color w:val="000000" w:themeColor="text1"/>
                <w:szCs w:val="21"/>
                <w:shd w:val="clear" w:color="auto" w:fill="FFFFFF"/>
              </w:rPr>
              <w:t>）</w:t>
            </w:r>
            <w:r w:rsidRPr="00092862">
              <w:rPr>
                <w:rFonts w:ascii="Times New Roman" w:eastAsia="宋体" w:hAnsi="Times New Roman" w:cs="Times New Roman"/>
                <w:color w:val="000000" w:themeColor="text1"/>
                <w:szCs w:val="21"/>
                <w:shd w:val="clear" w:color="auto" w:fill="FFFFFF"/>
              </w:rPr>
              <w:t xml:space="preserve"> Oliver</w:t>
            </w:r>
            <w:r w:rsidRPr="00092862">
              <w:rPr>
                <w:rFonts w:ascii="Times New Roman" w:eastAsia="宋体" w:hAnsi="Times New Roman" w:cs="Times New Roman"/>
                <w:color w:val="000000" w:themeColor="text1"/>
                <w:spacing w:val="-6"/>
                <w:szCs w:val="21"/>
              </w:rPr>
              <w:t>）</w:t>
            </w:r>
          </w:p>
        </w:tc>
        <w:tc>
          <w:tcPr>
            <w:tcW w:w="1805" w:type="dxa"/>
            <w:gridSpan w:val="3"/>
            <w:vAlign w:val="center"/>
          </w:tcPr>
          <w:p w14:paraId="174E417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w:t>
            </w:r>
          </w:p>
        </w:tc>
        <w:tc>
          <w:tcPr>
            <w:tcW w:w="648" w:type="dxa"/>
            <w:vAlign w:val="center"/>
          </w:tcPr>
          <w:p w14:paraId="3032436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134FAF3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59" w:type="dxa"/>
            <w:vAlign w:val="center"/>
          </w:tcPr>
          <w:p w14:paraId="730195B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ED8706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6FC1258B" w14:textId="77777777" w:rsidTr="00A75B69">
        <w:trPr>
          <w:trHeight w:val="308"/>
          <w:jc w:val="center"/>
        </w:trPr>
        <w:tc>
          <w:tcPr>
            <w:tcW w:w="570" w:type="dxa"/>
            <w:vMerge w:val="restart"/>
            <w:vAlign w:val="center"/>
          </w:tcPr>
          <w:p w14:paraId="63AF488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567E043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3"/>
                <w:szCs w:val="21"/>
              </w:rPr>
              <w:t>野青</w:t>
            </w:r>
            <w:r w:rsidRPr="00092862">
              <w:rPr>
                <w:rFonts w:ascii="Times New Roman" w:eastAsia="宋体" w:hAnsi="Times New Roman" w:cs="Times New Roman"/>
                <w:color w:val="000000" w:themeColor="text1"/>
                <w:spacing w:val="-1"/>
                <w:szCs w:val="21"/>
              </w:rPr>
              <w:t>茅（</w:t>
            </w:r>
            <w:r w:rsidRPr="00092862">
              <w:rPr>
                <w:rStyle w:val="aff4"/>
                <w:rFonts w:ascii="Times New Roman" w:eastAsia="宋体" w:hAnsi="Times New Roman" w:cs="Times New Roman"/>
                <w:i w:val="0"/>
                <w:iCs/>
                <w:color w:val="000000" w:themeColor="text1"/>
                <w:szCs w:val="21"/>
                <w:shd w:val="clear" w:color="auto" w:fill="FFFFFF"/>
              </w:rPr>
              <w:t xml:space="preserve">Deyeuxia arundinacea </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L.</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 Beauv.</w:t>
            </w:r>
            <w:r w:rsidRPr="00092862">
              <w:rPr>
                <w:rFonts w:ascii="Times New Roman" w:eastAsia="宋体" w:hAnsi="Times New Roman" w:cs="Times New Roman"/>
                <w:color w:val="000000" w:themeColor="text1"/>
                <w:spacing w:val="-1"/>
                <w:szCs w:val="21"/>
              </w:rPr>
              <w:t>）</w:t>
            </w:r>
          </w:p>
        </w:tc>
        <w:tc>
          <w:tcPr>
            <w:tcW w:w="1805" w:type="dxa"/>
            <w:gridSpan w:val="3"/>
            <w:vAlign w:val="center"/>
          </w:tcPr>
          <w:p w14:paraId="3B755D8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0.9</w:t>
            </w:r>
          </w:p>
        </w:tc>
        <w:tc>
          <w:tcPr>
            <w:tcW w:w="648" w:type="dxa"/>
            <w:vAlign w:val="center"/>
          </w:tcPr>
          <w:p w14:paraId="20927EF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2</w:t>
            </w:r>
          </w:p>
        </w:tc>
        <w:tc>
          <w:tcPr>
            <w:tcW w:w="1073" w:type="dxa"/>
            <w:gridSpan w:val="2"/>
            <w:vAlign w:val="center"/>
          </w:tcPr>
          <w:p w14:paraId="2F1E22B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3226EE3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A8EB4F7"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5342798" w14:textId="77777777" w:rsidTr="00A75B69">
        <w:trPr>
          <w:trHeight w:val="308"/>
          <w:jc w:val="center"/>
        </w:trPr>
        <w:tc>
          <w:tcPr>
            <w:tcW w:w="570" w:type="dxa"/>
            <w:vMerge/>
            <w:vAlign w:val="center"/>
          </w:tcPr>
          <w:p w14:paraId="5FCA401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D091F65"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1"/>
                <w:szCs w:val="21"/>
              </w:rPr>
              <w:t>乌蕨（</w:t>
            </w:r>
            <w:r w:rsidRPr="00092862">
              <w:rPr>
                <w:rFonts w:ascii="Times New Roman" w:eastAsia="宋体" w:hAnsi="Times New Roman" w:cs="Times New Roman"/>
                <w:i/>
                <w:iCs/>
                <w:color w:val="000000" w:themeColor="text1"/>
                <w:spacing w:val="-2"/>
                <w:szCs w:val="21"/>
              </w:rPr>
              <w:t>Odontosoria</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i/>
                <w:iCs/>
                <w:color w:val="000000" w:themeColor="text1"/>
                <w:spacing w:val="-2"/>
                <w:szCs w:val="21"/>
              </w:rPr>
              <w:t>chinensis</w:t>
            </w:r>
            <w:r w:rsidRPr="00092862">
              <w:rPr>
                <w:rFonts w:ascii="Times New Roman" w:eastAsia="宋体" w:hAnsi="Times New Roman" w:cs="Times New Roman"/>
                <w:color w:val="000000" w:themeColor="text1"/>
                <w:spacing w:val="-1"/>
                <w:szCs w:val="21"/>
              </w:rPr>
              <w:t>）</w:t>
            </w:r>
          </w:p>
        </w:tc>
        <w:tc>
          <w:tcPr>
            <w:tcW w:w="1805" w:type="dxa"/>
            <w:gridSpan w:val="3"/>
            <w:vAlign w:val="center"/>
          </w:tcPr>
          <w:p w14:paraId="1206679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1AC1F10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1D48E1E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100F298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0B89B8C"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479AC16B" w14:textId="77777777" w:rsidTr="00A75B69">
        <w:trPr>
          <w:trHeight w:val="308"/>
          <w:jc w:val="center"/>
        </w:trPr>
        <w:tc>
          <w:tcPr>
            <w:tcW w:w="570" w:type="dxa"/>
            <w:vMerge/>
            <w:vAlign w:val="center"/>
          </w:tcPr>
          <w:p w14:paraId="2CDFD4F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1FA3DB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3"/>
                <w:szCs w:val="21"/>
              </w:rPr>
              <w:t>千里光（</w:t>
            </w:r>
            <w:r w:rsidRPr="00092862">
              <w:rPr>
                <w:rFonts w:ascii="Times New Roman" w:eastAsia="宋体" w:hAnsi="Times New Roman" w:cs="Times New Roman"/>
                <w:i/>
                <w:iCs/>
                <w:color w:val="000000" w:themeColor="text1"/>
                <w:szCs w:val="21"/>
              </w:rPr>
              <w:t xml:space="preserve">Senecio scandens </w:t>
            </w:r>
            <w:r w:rsidRPr="00092862">
              <w:rPr>
                <w:rFonts w:ascii="Times New Roman" w:eastAsia="宋体" w:hAnsi="Times New Roman" w:cs="Times New Roman"/>
                <w:color w:val="000000" w:themeColor="text1"/>
                <w:szCs w:val="21"/>
              </w:rPr>
              <w:t>Buch.-Ham. ex D. Don</w:t>
            </w:r>
            <w:r w:rsidRPr="00092862">
              <w:rPr>
                <w:rFonts w:ascii="Times New Roman" w:eastAsia="宋体" w:hAnsi="Times New Roman" w:cs="Times New Roman"/>
                <w:color w:val="000000" w:themeColor="text1"/>
                <w:spacing w:val="-3"/>
                <w:szCs w:val="21"/>
              </w:rPr>
              <w:t>）</w:t>
            </w:r>
          </w:p>
        </w:tc>
        <w:tc>
          <w:tcPr>
            <w:tcW w:w="1805" w:type="dxa"/>
            <w:gridSpan w:val="3"/>
            <w:vAlign w:val="center"/>
          </w:tcPr>
          <w:p w14:paraId="181F10A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0.85</w:t>
            </w:r>
          </w:p>
        </w:tc>
        <w:tc>
          <w:tcPr>
            <w:tcW w:w="648" w:type="dxa"/>
            <w:vAlign w:val="center"/>
          </w:tcPr>
          <w:p w14:paraId="7ACE380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54480CD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B21FCE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1F037D6"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29D34469" w14:textId="77777777" w:rsidTr="00A75B69">
        <w:trPr>
          <w:trHeight w:val="308"/>
          <w:jc w:val="center"/>
        </w:trPr>
        <w:tc>
          <w:tcPr>
            <w:tcW w:w="570" w:type="dxa"/>
            <w:vMerge/>
            <w:vAlign w:val="center"/>
          </w:tcPr>
          <w:p w14:paraId="16FAF3F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46D6F18" w14:textId="77777777" w:rsidR="009E4715" w:rsidRPr="00092862" w:rsidRDefault="009E4715" w:rsidP="00A75B69">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zCs w:val="21"/>
              </w:rPr>
              <w:t>三叶鬼针草（</w:t>
            </w:r>
            <w:r w:rsidRPr="00092862">
              <w:rPr>
                <w:rFonts w:ascii="Times New Roman" w:eastAsia="宋体" w:hAnsi="Times New Roman" w:cs="Times New Roman"/>
                <w:i/>
                <w:color w:val="000000" w:themeColor="text1"/>
                <w:szCs w:val="21"/>
              </w:rPr>
              <w:t>Bidens pilosa</w:t>
            </w:r>
            <w:r w:rsidRPr="00092862">
              <w:rPr>
                <w:rFonts w:ascii="Times New Roman" w:eastAsia="宋体" w:hAnsi="Times New Roman" w:cs="Times New Roman"/>
                <w:color w:val="000000" w:themeColor="text1"/>
                <w:szCs w:val="21"/>
              </w:rPr>
              <w:t>）</w:t>
            </w:r>
          </w:p>
        </w:tc>
        <w:tc>
          <w:tcPr>
            <w:tcW w:w="1805" w:type="dxa"/>
            <w:gridSpan w:val="3"/>
            <w:vAlign w:val="center"/>
          </w:tcPr>
          <w:p w14:paraId="654BBFF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648" w:type="dxa"/>
            <w:vAlign w:val="center"/>
          </w:tcPr>
          <w:p w14:paraId="260F3A5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313D375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1481503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FEE08C5"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201AD51F" w14:textId="77777777" w:rsidTr="00A75B69">
        <w:trPr>
          <w:trHeight w:val="308"/>
          <w:jc w:val="center"/>
        </w:trPr>
        <w:tc>
          <w:tcPr>
            <w:tcW w:w="570" w:type="dxa"/>
            <w:vMerge/>
            <w:vAlign w:val="center"/>
          </w:tcPr>
          <w:p w14:paraId="28F437A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C06D9E7" w14:textId="77777777" w:rsidR="009E4715" w:rsidRPr="00092862" w:rsidRDefault="009E4715" w:rsidP="00A75B69">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zCs w:val="21"/>
              </w:rPr>
              <w:t>野艾蒿（</w:t>
            </w:r>
            <w:r w:rsidRPr="00092862">
              <w:rPr>
                <w:rFonts w:ascii="Times New Roman" w:eastAsia="宋体" w:hAnsi="Times New Roman" w:cs="Times New Roman"/>
                <w:i/>
                <w:color w:val="000000" w:themeColor="text1"/>
                <w:szCs w:val="21"/>
              </w:rPr>
              <w:t>Artemisia lavandulaefolia</w:t>
            </w:r>
            <w:r w:rsidRPr="00092862">
              <w:rPr>
                <w:rFonts w:ascii="Times New Roman" w:eastAsia="宋体" w:hAnsi="Times New Roman" w:cs="Times New Roman"/>
                <w:color w:val="000000" w:themeColor="text1"/>
                <w:szCs w:val="21"/>
              </w:rPr>
              <w:t>）</w:t>
            </w:r>
          </w:p>
        </w:tc>
        <w:tc>
          <w:tcPr>
            <w:tcW w:w="1805" w:type="dxa"/>
            <w:gridSpan w:val="3"/>
            <w:vAlign w:val="center"/>
          </w:tcPr>
          <w:p w14:paraId="6DE2588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0.7</w:t>
            </w:r>
          </w:p>
        </w:tc>
        <w:tc>
          <w:tcPr>
            <w:tcW w:w="648" w:type="dxa"/>
            <w:vAlign w:val="center"/>
          </w:tcPr>
          <w:p w14:paraId="1F6ACBD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5F1AFC1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29465B1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B2185E8"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C39AA72" w14:textId="77777777" w:rsidTr="00A75B69">
        <w:trPr>
          <w:trHeight w:val="308"/>
          <w:jc w:val="center"/>
        </w:trPr>
        <w:tc>
          <w:tcPr>
            <w:tcW w:w="570" w:type="dxa"/>
            <w:vMerge/>
            <w:vAlign w:val="center"/>
          </w:tcPr>
          <w:p w14:paraId="406ED6C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733A727" w14:textId="77777777" w:rsidR="009E4715" w:rsidRPr="00092862" w:rsidRDefault="009E4715" w:rsidP="00A75B69">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zCs w:val="21"/>
              </w:rPr>
              <w:t>风轮菜（</w:t>
            </w:r>
            <w:r w:rsidRPr="00092862">
              <w:rPr>
                <w:rFonts w:ascii="Times New Roman" w:eastAsia="宋体" w:hAnsi="Times New Roman" w:cs="Times New Roman"/>
                <w:i/>
                <w:iCs/>
                <w:color w:val="000000" w:themeColor="text1"/>
                <w:szCs w:val="21"/>
              </w:rPr>
              <w:t>Clinopodium chinensis</w:t>
            </w:r>
            <w:r w:rsidRPr="00092862">
              <w:rPr>
                <w:rFonts w:ascii="Times New Roman" w:eastAsia="宋体" w:hAnsi="Times New Roman" w:cs="Times New Roman"/>
                <w:color w:val="000000" w:themeColor="text1"/>
                <w:szCs w:val="21"/>
              </w:rPr>
              <w:t>）</w:t>
            </w:r>
          </w:p>
        </w:tc>
        <w:tc>
          <w:tcPr>
            <w:tcW w:w="1805" w:type="dxa"/>
            <w:gridSpan w:val="3"/>
            <w:vAlign w:val="center"/>
          </w:tcPr>
          <w:p w14:paraId="13A068D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0BE3130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215E480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38FE869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77D47D6"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0B4C98C1" w14:textId="77777777" w:rsidR="009E4715" w:rsidRPr="00092862" w:rsidRDefault="009E4715" w:rsidP="009E4715">
      <w:pPr>
        <w:spacing w:line="500" w:lineRule="exact"/>
        <w:ind w:left="60" w:right="100" w:firstLine="482"/>
        <w:jc w:val="center"/>
        <w:rPr>
          <w:rFonts w:ascii="Times New Roman" w:eastAsia="宋体" w:hAnsi="Times New Roman" w:cs="Times New Roman"/>
          <w:b/>
          <w:color w:val="000000" w:themeColor="text1"/>
          <w:szCs w:val="20"/>
        </w:rPr>
      </w:pPr>
      <w:r w:rsidRPr="00092862">
        <w:rPr>
          <w:rFonts w:ascii="Times New Roman" w:eastAsia="宋体" w:hAnsi="Times New Roman" w:cs="Times New Roman"/>
          <w:b/>
          <w:color w:val="000000" w:themeColor="text1"/>
          <w:szCs w:val="20"/>
        </w:rPr>
        <w:t>样方</w:t>
      </w:r>
      <w:r w:rsidRPr="00092862">
        <w:rPr>
          <w:rFonts w:ascii="Times New Roman" w:eastAsia="宋体" w:hAnsi="Times New Roman" w:cs="Times New Roman"/>
          <w:b/>
          <w:color w:val="000000" w:themeColor="text1"/>
          <w:szCs w:val="20"/>
        </w:rPr>
        <w:t xml:space="preserve">4 </w:t>
      </w:r>
      <w:r w:rsidRPr="00092862">
        <w:rPr>
          <w:rFonts w:ascii="Times New Roman" w:eastAsia="宋体" w:hAnsi="Times New Roman" w:cs="Times New Roman"/>
          <w:b/>
          <w:color w:val="000000" w:themeColor="text1"/>
          <w:szCs w:val="20"/>
        </w:rPr>
        <w:t>麻栎、青冈、栓皮栎群系样地表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481"/>
        <w:gridCol w:w="621"/>
        <w:gridCol w:w="648"/>
        <w:gridCol w:w="550"/>
        <w:gridCol w:w="523"/>
        <w:gridCol w:w="659"/>
        <w:gridCol w:w="743"/>
      </w:tblGrid>
      <w:tr w:rsidR="00697429" w:rsidRPr="00092862" w14:paraId="58E142EC" w14:textId="77777777" w:rsidTr="00A75B69">
        <w:trPr>
          <w:trHeight w:val="755"/>
          <w:jc w:val="center"/>
        </w:trPr>
        <w:tc>
          <w:tcPr>
            <w:tcW w:w="570" w:type="dxa"/>
            <w:vAlign w:val="center"/>
          </w:tcPr>
          <w:p w14:paraId="148CE69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7C7673A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107.8252,31.4379</w:t>
            </w:r>
          </w:p>
        </w:tc>
        <w:tc>
          <w:tcPr>
            <w:tcW w:w="703" w:type="dxa"/>
            <w:vAlign w:val="center"/>
          </w:tcPr>
          <w:p w14:paraId="6740079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p>
        </w:tc>
        <w:tc>
          <w:tcPr>
            <w:tcW w:w="481" w:type="dxa"/>
            <w:vAlign w:val="center"/>
          </w:tcPr>
          <w:p w14:paraId="1E6F122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458</w:t>
            </w:r>
          </w:p>
        </w:tc>
        <w:tc>
          <w:tcPr>
            <w:tcW w:w="621" w:type="dxa"/>
            <w:vAlign w:val="center"/>
          </w:tcPr>
          <w:p w14:paraId="261933A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2FDF1EFA"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壤土</w:t>
            </w:r>
          </w:p>
        </w:tc>
        <w:tc>
          <w:tcPr>
            <w:tcW w:w="550" w:type="dxa"/>
            <w:vAlign w:val="center"/>
          </w:tcPr>
          <w:p w14:paraId="1DB4351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256565C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5</w:t>
            </w:r>
          </w:p>
        </w:tc>
        <w:tc>
          <w:tcPr>
            <w:tcW w:w="659" w:type="dxa"/>
            <w:vAlign w:val="center"/>
          </w:tcPr>
          <w:p w14:paraId="3DFE8CD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696EC0A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S</w:t>
            </w:r>
          </w:p>
        </w:tc>
      </w:tr>
      <w:tr w:rsidR="00697429" w:rsidRPr="00092862" w14:paraId="714905A3" w14:textId="77777777" w:rsidTr="00A75B69">
        <w:trPr>
          <w:trHeight w:val="308"/>
          <w:jc w:val="center"/>
        </w:trPr>
        <w:tc>
          <w:tcPr>
            <w:tcW w:w="570" w:type="dxa"/>
            <w:vAlign w:val="center"/>
          </w:tcPr>
          <w:p w14:paraId="54D12E6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7EEEB8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23CDA0E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22A1E30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378F771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15D83DE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23CC195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67F4141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19B2894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4E45ACE0" w14:textId="77777777" w:rsidTr="00A75B69">
        <w:trPr>
          <w:trHeight w:val="90"/>
          <w:jc w:val="center"/>
        </w:trPr>
        <w:tc>
          <w:tcPr>
            <w:tcW w:w="570" w:type="dxa"/>
            <w:vMerge w:val="restart"/>
            <w:vAlign w:val="center"/>
          </w:tcPr>
          <w:p w14:paraId="196A3BC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乔木层</w:t>
            </w:r>
          </w:p>
        </w:tc>
        <w:tc>
          <w:tcPr>
            <w:tcW w:w="3928" w:type="dxa"/>
            <w:vAlign w:val="center"/>
          </w:tcPr>
          <w:p w14:paraId="1B84C512"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麻栎（</w:t>
            </w:r>
            <w:r w:rsidRPr="00092862">
              <w:rPr>
                <w:rFonts w:ascii="Times New Roman" w:eastAsia="宋体" w:hAnsi="Times New Roman" w:cs="Times New Roman"/>
                <w:i/>
                <w:iCs/>
                <w:color w:val="000000" w:themeColor="text1"/>
                <w:szCs w:val="21"/>
              </w:rPr>
              <w:t>Quercus acutissima</w:t>
            </w:r>
            <w:r w:rsidRPr="00092862">
              <w:rPr>
                <w:rFonts w:ascii="Times New Roman" w:eastAsia="宋体" w:hAnsi="Times New Roman" w:cs="Times New Roman"/>
                <w:color w:val="000000" w:themeColor="text1"/>
                <w:szCs w:val="21"/>
              </w:rPr>
              <w:t>）</w:t>
            </w:r>
          </w:p>
        </w:tc>
        <w:tc>
          <w:tcPr>
            <w:tcW w:w="1805" w:type="dxa"/>
            <w:gridSpan w:val="3"/>
            <w:vAlign w:val="center"/>
          </w:tcPr>
          <w:p w14:paraId="4F8913B6"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9</w:t>
            </w:r>
          </w:p>
        </w:tc>
        <w:tc>
          <w:tcPr>
            <w:tcW w:w="648" w:type="dxa"/>
            <w:vAlign w:val="center"/>
          </w:tcPr>
          <w:p w14:paraId="58C6149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20</w:t>
            </w:r>
          </w:p>
        </w:tc>
        <w:tc>
          <w:tcPr>
            <w:tcW w:w="1073" w:type="dxa"/>
            <w:gridSpan w:val="2"/>
            <w:vAlign w:val="center"/>
          </w:tcPr>
          <w:p w14:paraId="4210DF2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19</w:t>
            </w:r>
          </w:p>
        </w:tc>
        <w:tc>
          <w:tcPr>
            <w:tcW w:w="659" w:type="dxa"/>
            <w:vAlign w:val="center"/>
          </w:tcPr>
          <w:p w14:paraId="1C4D2C5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4*4</w:t>
            </w:r>
          </w:p>
        </w:tc>
        <w:tc>
          <w:tcPr>
            <w:tcW w:w="743" w:type="dxa"/>
            <w:vAlign w:val="center"/>
          </w:tcPr>
          <w:p w14:paraId="57AACB4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54A94374" w14:textId="77777777" w:rsidTr="00A75B69">
        <w:trPr>
          <w:trHeight w:val="308"/>
          <w:jc w:val="center"/>
        </w:trPr>
        <w:tc>
          <w:tcPr>
            <w:tcW w:w="570" w:type="dxa"/>
            <w:vMerge/>
            <w:vAlign w:val="center"/>
          </w:tcPr>
          <w:p w14:paraId="6205E2C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6DA6249"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青冈（</w:t>
            </w:r>
            <w:r w:rsidRPr="00092862">
              <w:rPr>
                <w:rFonts w:ascii="Times New Roman" w:eastAsia="宋体" w:hAnsi="Times New Roman" w:cs="Times New Roman"/>
                <w:i/>
                <w:iCs/>
                <w:color w:val="000000" w:themeColor="text1"/>
                <w:szCs w:val="21"/>
              </w:rPr>
              <w:t>TCyclobalanopsis glauca(Thunb.)Oerst</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w:t>
            </w:r>
          </w:p>
        </w:tc>
        <w:tc>
          <w:tcPr>
            <w:tcW w:w="1805" w:type="dxa"/>
            <w:gridSpan w:val="3"/>
            <w:vAlign w:val="center"/>
          </w:tcPr>
          <w:p w14:paraId="52F94A82"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11</w:t>
            </w:r>
          </w:p>
        </w:tc>
        <w:tc>
          <w:tcPr>
            <w:tcW w:w="648" w:type="dxa"/>
            <w:vAlign w:val="center"/>
          </w:tcPr>
          <w:p w14:paraId="40AC3BB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12</w:t>
            </w:r>
          </w:p>
        </w:tc>
        <w:tc>
          <w:tcPr>
            <w:tcW w:w="1073" w:type="dxa"/>
            <w:gridSpan w:val="2"/>
            <w:vAlign w:val="center"/>
          </w:tcPr>
          <w:p w14:paraId="2A7B90D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18</w:t>
            </w:r>
          </w:p>
        </w:tc>
        <w:tc>
          <w:tcPr>
            <w:tcW w:w="659" w:type="dxa"/>
            <w:vAlign w:val="center"/>
          </w:tcPr>
          <w:p w14:paraId="616FFB7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4*5</w:t>
            </w:r>
          </w:p>
        </w:tc>
        <w:tc>
          <w:tcPr>
            <w:tcW w:w="743" w:type="dxa"/>
            <w:vAlign w:val="center"/>
          </w:tcPr>
          <w:p w14:paraId="200E038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7D947E5" w14:textId="77777777" w:rsidTr="00A75B69">
        <w:trPr>
          <w:trHeight w:val="308"/>
          <w:jc w:val="center"/>
        </w:trPr>
        <w:tc>
          <w:tcPr>
            <w:tcW w:w="570" w:type="dxa"/>
            <w:vMerge/>
            <w:vAlign w:val="center"/>
          </w:tcPr>
          <w:p w14:paraId="7C8D9FF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03DC27B"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枫香（</w:t>
            </w:r>
            <w:r w:rsidRPr="00092862">
              <w:rPr>
                <w:rFonts w:ascii="Times New Roman" w:eastAsia="宋体" w:hAnsi="Times New Roman" w:cs="Times New Roman"/>
                <w:i/>
                <w:iCs/>
                <w:color w:val="000000" w:themeColor="text1"/>
                <w:szCs w:val="21"/>
              </w:rPr>
              <w:t>Liquidambar formosana Hance</w:t>
            </w:r>
            <w:r w:rsidRPr="00092862">
              <w:rPr>
                <w:rFonts w:ascii="Times New Roman" w:eastAsia="宋体" w:hAnsi="Times New Roman" w:cs="Times New Roman"/>
                <w:color w:val="000000" w:themeColor="text1"/>
                <w:szCs w:val="21"/>
              </w:rPr>
              <w:t>）</w:t>
            </w:r>
          </w:p>
        </w:tc>
        <w:tc>
          <w:tcPr>
            <w:tcW w:w="1805" w:type="dxa"/>
            <w:gridSpan w:val="3"/>
            <w:vAlign w:val="center"/>
          </w:tcPr>
          <w:p w14:paraId="3C5AD21C"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6</w:t>
            </w:r>
          </w:p>
        </w:tc>
        <w:tc>
          <w:tcPr>
            <w:tcW w:w="648" w:type="dxa"/>
            <w:vAlign w:val="center"/>
          </w:tcPr>
          <w:p w14:paraId="033B4575" w14:textId="77777777" w:rsidR="009E4715" w:rsidRPr="00092862" w:rsidRDefault="009E4715" w:rsidP="00A75B69">
            <w:pPr>
              <w:jc w:val="center"/>
              <w:rPr>
                <w:rFonts w:ascii="Times New Roman" w:hAnsi="Times New Roman" w:cs="Times New Roman"/>
                <w:bCs/>
                <w:color w:val="000000" w:themeColor="text1"/>
                <w:szCs w:val="21"/>
              </w:rPr>
            </w:pPr>
            <w:r w:rsidRPr="00092862">
              <w:rPr>
                <w:rFonts w:ascii="Times New Roman" w:hAnsi="Times New Roman" w:cs="Times New Roman"/>
                <w:bCs/>
                <w:color w:val="000000" w:themeColor="text1"/>
                <w:szCs w:val="21"/>
              </w:rPr>
              <w:t>2</w:t>
            </w:r>
          </w:p>
        </w:tc>
        <w:tc>
          <w:tcPr>
            <w:tcW w:w="1073" w:type="dxa"/>
            <w:gridSpan w:val="2"/>
            <w:vAlign w:val="center"/>
          </w:tcPr>
          <w:p w14:paraId="13E43F59" w14:textId="77777777" w:rsidR="009E4715" w:rsidRPr="00092862" w:rsidRDefault="009E4715" w:rsidP="00A75B69">
            <w:pPr>
              <w:jc w:val="center"/>
              <w:rPr>
                <w:rFonts w:ascii="Times New Roman" w:hAnsi="Times New Roman" w:cs="Times New Roman"/>
                <w:bCs/>
                <w:color w:val="000000" w:themeColor="text1"/>
                <w:szCs w:val="21"/>
              </w:rPr>
            </w:pPr>
            <w:r w:rsidRPr="00092862">
              <w:rPr>
                <w:rFonts w:ascii="Times New Roman" w:hAnsi="Times New Roman" w:cs="Times New Roman"/>
                <w:bCs/>
                <w:color w:val="000000" w:themeColor="text1"/>
                <w:szCs w:val="21"/>
              </w:rPr>
              <w:t>17</w:t>
            </w:r>
          </w:p>
        </w:tc>
        <w:tc>
          <w:tcPr>
            <w:tcW w:w="659" w:type="dxa"/>
            <w:vAlign w:val="center"/>
          </w:tcPr>
          <w:p w14:paraId="365EE26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5*4</w:t>
            </w:r>
          </w:p>
        </w:tc>
        <w:tc>
          <w:tcPr>
            <w:tcW w:w="743" w:type="dxa"/>
            <w:vAlign w:val="center"/>
          </w:tcPr>
          <w:p w14:paraId="71201BD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5968881E" w14:textId="77777777" w:rsidTr="00A75B69">
        <w:trPr>
          <w:trHeight w:val="308"/>
          <w:jc w:val="center"/>
        </w:trPr>
        <w:tc>
          <w:tcPr>
            <w:tcW w:w="570" w:type="dxa"/>
            <w:vMerge w:val="restart"/>
            <w:vAlign w:val="center"/>
          </w:tcPr>
          <w:p w14:paraId="65A803F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灌木层</w:t>
            </w:r>
          </w:p>
        </w:tc>
        <w:tc>
          <w:tcPr>
            <w:tcW w:w="3928" w:type="dxa"/>
            <w:vAlign w:val="center"/>
          </w:tcPr>
          <w:p w14:paraId="79AD0A9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马桑</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Coriaria nepalensis</w:t>
            </w:r>
            <w:r w:rsidRPr="00092862">
              <w:rPr>
                <w:rFonts w:ascii="Times New Roman" w:eastAsia="宋体" w:hAnsi="Times New Roman" w:cs="Times New Roman"/>
                <w:color w:val="000000" w:themeColor="text1"/>
                <w:szCs w:val="21"/>
              </w:rPr>
              <w:t>)</w:t>
            </w:r>
          </w:p>
        </w:tc>
        <w:tc>
          <w:tcPr>
            <w:tcW w:w="1805" w:type="dxa"/>
            <w:gridSpan w:val="3"/>
            <w:vAlign w:val="center"/>
          </w:tcPr>
          <w:p w14:paraId="7E7C70B0"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1.2</w:t>
            </w:r>
          </w:p>
        </w:tc>
        <w:tc>
          <w:tcPr>
            <w:tcW w:w="648" w:type="dxa"/>
            <w:vAlign w:val="center"/>
          </w:tcPr>
          <w:p w14:paraId="06FBF95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w:t>
            </w:r>
          </w:p>
        </w:tc>
        <w:tc>
          <w:tcPr>
            <w:tcW w:w="1073" w:type="dxa"/>
            <w:gridSpan w:val="2"/>
            <w:vAlign w:val="center"/>
          </w:tcPr>
          <w:p w14:paraId="0B9A2E2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34E8EE4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708D88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858DEAC" w14:textId="77777777" w:rsidTr="00A75B69">
        <w:trPr>
          <w:trHeight w:val="308"/>
          <w:jc w:val="center"/>
        </w:trPr>
        <w:tc>
          <w:tcPr>
            <w:tcW w:w="570" w:type="dxa"/>
            <w:vMerge/>
            <w:vAlign w:val="center"/>
          </w:tcPr>
          <w:p w14:paraId="1A3ABA2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A03EFB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铁仔</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Myrsine africana Linn.</w:t>
            </w:r>
            <w:r w:rsidRPr="00092862">
              <w:rPr>
                <w:rFonts w:ascii="Times New Roman" w:hAnsi="Times New Roman" w:cs="Times New Roman"/>
                <w:color w:val="000000" w:themeColor="text1"/>
                <w:szCs w:val="21"/>
              </w:rPr>
              <w:t>）</w:t>
            </w:r>
          </w:p>
        </w:tc>
        <w:tc>
          <w:tcPr>
            <w:tcW w:w="1805" w:type="dxa"/>
            <w:gridSpan w:val="3"/>
            <w:vAlign w:val="center"/>
          </w:tcPr>
          <w:p w14:paraId="641003E3"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1.4</w:t>
            </w:r>
          </w:p>
        </w:tc>
        <w:tc>
          <w:tcPr>
            <w:tcW w:w="648" w:type="dxa"/>
            <w:vAlign w:val="center"/>
          </w:tcPr>
          <w:p w14:paraId="5572157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w:t>
            </w:r>
          </w:p>
        </w:tc>
        <w:tc>
          <w:tcPr>
            <w:tcW w:w="1073" w:type="dxa"/>
            <w:gridSpan w:val="2"/>
            <w:vAlign w:val="center"/>
          </w:tcPr>
          <w:p w14:paraId="14ADAB8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659A303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7385D1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4F20CE53" w14:textId="77777777" w:rsidTr="00A75B69">
        <w:trPr>
          <w:trHeight w:val="308"/>
          <w:jc w:val="center"/>
        </w:trPr>
        <w:tc>
          <w:tcPr>
            <w:tcW w:w="570" w:type="dxa"/>
            <w:vMerge/>
            <w:vAlign w:val="center"/>
          </w:tcPr>
          <w:p w14:paraId="0463751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68F5F3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棕榈</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Trachycarpus fortunei</w:t>
            </w:r>
            <w:r w:rsidRPr="00092862">
              <w:rPr>
                <w:rFonts w:ascii="Times New Roman" w:eastAsia="宋体" w:hAnsi="Times New Roman" w:cs="Times New Roman"/>
                <w:color w:val="000000" w:themeColor="text1"/>
                <w:szCs w:val="21"/>
              </w:rPr>
              <w:t>)</w:t>
            </w:r>
          </w:p>
        </w:tc>
        <w:tc>
          <w:tcPr>
            <w:tcW w:w="1805" w:type="dxa"/>
            <w:gridSpan w:val="3"/>
            <w:vAlign w:val="center"/>
          </w:tcPr>
          <w:p w14:paraId="754406AF"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1.3</w:t>
            </w:r>
          </w:p>
        </w:tc>
        <w:tc>
          <w:tcPr>
            <w:tcW w:w="648" w:type="dxa"/>
            <w:vAlign w:val="center"/>
          </w:tcPr>
          <w:p w14:paraId="4DC15BC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1073" w:type="dxa"/>
            <w:gridSpan w:val="2"/>
            <w:vAlign w:val="center"/>
          </w:tcPr>
          <w:p w14:paraId="0DEB23B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59" w:type="dxa"/>
            <w:vAlign w:val="center"/>
          </w:tcPr>
          <w:p w14:paraId="10C6A47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FA103F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5479B42C" w14:textId="77777777" w:rsidTr="00A75B69">
        <w:trPr>
          <w:trHeight w:val="308"/>
          <w:jc w:val="center"/>
        </w:trPr>
        <w:tc>
          <w:tcPr>
            <w:tcW w:w="570" w:type="dxa"/>
            <w:vMerge/>
            <w:vAlign w:val="center"/>
          </w:tcPr>
          <w:p w14:paraId="3898329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1D904D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刺红珠</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Berberis dictyophylla</w:t>
            </w:r>
            <w:r w:rsidRPr="00092862">
              <w:rPr>
                <w:rFonts w:ascii="Times New Roman" w:eastAsia="宋体" w:hAnsi="Times New Roman" w:cs="Times New Roman"/>
                <w:color w:val="000000" w:themeColor="text1"/>
                <w:szCs w:val="21"/>
              </w:rPr>
              <w:t>)</w:t>
            </w:r>
          </w:p>
        </w:tc>
        <w:tc>
          <w:tcPr>
            <w:tcW w:w="1805" w:type="dxa"/>
            <w:gridSpan w:val="3"/>
            <w:vAlign w:val="center"/>
          </w:tcPr>
          <w:p w14:paraId="3D9CC630"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1.2</w:t>
            </w:r>
          </w:p>
        </w:tc>
        <w:tc>
          <w:tcPr>
            <w:tcW w:w="648" w:type="dxa"/>
            <w:vAlign w:val="center"/>
          </w:tcPr>
          <w:p w14:paraId="426BFDD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p>
        </w:tc>
        <w:tc>
          <w:tcPr>
            <w:tcW w:w="1073" w:type="dxa"/>
            <w:gridSpan w:val="2"/>
            <w:vAlign w:val="center"/>
          </w:tcPr>
          <w:p w14:paraId="43F6429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5964EBF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FBCAE5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67A799A2" w14:textId="77777777" w:rsidTr="00A75B69">
        <w:trPr>
          <w:trHeight w:val="308"/>
          <w:jc w:val="center"/>
        </w:trPr>
        <w:tc>
          <w:tcPr>
            <w:tcW w:w="570" w:type="dxa"/>
            <w:vMerge/>
            <w:vAlign w:val="center"/>
          </w:tcPr>
          <w:p w14:paraId="5C01D10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CBCD99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豪猪刺</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Berberis julianae</w:t>
            </w:r>
            <w:r w:rsidRPr="00092862">
              <w:rPr>
                <w:rFonts w:ascii="Times New Roman" w:eastAsia="宋体" w:hAnsi="Times New Roman" w:cs="Times New Roman"/>
                <w:color w:val="000000" w:themeColor="text1"/>
                <w:szCs w:val="21"/>
              </w:rPr>
              <w:t>)</w:t>
            </w:r>
          </w:p>
        </w:tc>
        <w:tc>
          <w:tcPr>
            <w:tcW w:w="1805" w:type="dxa"/>
            <w:gridSpan w:val="3"/>
            <w:vAlign w:val="center"/>
          </w:tcPr>
          <w:p w14:paraId="03F4BD8B"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1.2</w:t>
            </w:r>
          </w:p>
        </w:tc>
        <w:tc>
          <w:tcPr>
            <w:tcW w:w="648" w:type="dxa"/>
            <w:vAlign w:val="center"/>
          </w:tcPr>
          <w:p w14:paraId="5F1833B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3E85ED5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32EF235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B2B4FF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75183D85" w14:textId="77777777" w:rsidTr="00A75B69">
        <w:trPr>
          <w:trHeight w:val="308"/>
          <w:jc w:val="center"/>
        </w:trPr>
        <w:tc>
          <w:tcPr>
            <w:tcW w:w="570" w:type="dxa"/>
            <w:vMerge/>
            <w:vAlign w:val="center"/>
          </w:tcPr>
          <w:p w14:paraId="23BDD31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456E64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盐肤木（</w:t>
            </w:r>
            <w:r w:rsidRPr="00092862">
              <w:rPr>
                <w:rFonts w:ascii="Times New Roman" w:eastAsia="宋体" w:hAnsi="Times New Roman" w:cs="Times New Roman"/>
                <w:i/>
                <w:iCs/>
                <w:color w:val="000000" w:themeColor="text1"/>
                <w:szCs w:val="21"/>
              </w:rPr>
              <w:t>Rhus chinensis</w:t>
            </w:r>
            <w:r w:rsidRPr="00092862">
              <w:rPr>
                <w:rFonts w:ascii="Times New Roman" w:eastAsia="宋体" w:hAnsi="Times New Roman" w:cs="Times New Roman"/>
                <w:color w:val="000000" w:themeColor="text1"/>
                <w:szCs w:val="21"/>
              </w:rPr>
              <w:t>）</w:t>
            </w:r>
          </w:p>
        </w:tc>
        <w:tc>
          <w:tcPr>
            <w:tcW w:w="1805" w:type="dxa"/>
            <w:gridSpan w:val="3"/>
            <w:vAlign w:val="center"/>
          </w:tcPr>
          <w:p w14:paraId="54CD06FC"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1.4</w:t>
            </w:r>
          </w:p>
        </w:tc>
        <w:tc>
          <w:tcPr>
            <w:tcW w:w="648" w:type="dxa"/>
            <w:vAlign w:val="center"/>
          </w:tcPr>
          <w:p w14:paraId="5891DF8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6F39A3D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114F993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5B4D33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2543566E" w14:textId="77777777" w:rsidTr="00A75B69">
        <w:trPr>
          <w:trHeight w:val="308"/>
          <w:jc w:val="center"/>
        </w:trPr>
        <w:tc>
          <w:tcPr>
            <w:tcW w:w="570" w:type="dxa"/>
            <w:vMerge/>
            <w:vAlign w:val="center"/>
          </w:tcPr>
          <w:p w14:paraId="3DFD154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125DEF2" w14:textId="77777777" w:rsidR="009E4715" w:rsidRPr="00092862" w:rsidRDefault="009E4715" w:rsidP="00A75B69">
            <w:pPr>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color w:val="000000" w:themeColor="text1"/>
                <w:szCs w:val="21"/>
              </w:rPr>
              <w:t>胡颓子</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Elaeagnus pungens Thunb.</w:t>
            </w:r>
            <w:r w:rsidRPr="00092862">
              <w:rPr>
                <w:rFonts w:ascii="Times New Roman" w:hAnsi="Times New Roman" w:cs="Times New Roman"/>
                <w:color w:val="000000" w:themeColor="text1"/>
                <w:szCs w:val="21"/>
              </w:rPr>
              <w:t>）</w:t>
            </w:r>
          </w:p>
        </w:tc>
        <w:tc>
          <w:tcPr>
            <w:tcW w:w="1805" w:type="dxa"/>
            <w:gridSpan w:val="3"/>
            <w:vAlign w:val="center"/>
          </w:tcPr>
          <w:p w14:paraId="14E6AC74"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1.2</w:t>
            </w:r>
          </w:p>
        </w:tc>
        <w:tc>
          <w:tcPr>
            <w:tcW w:w="648" w:type="dxa"/>
            <w:vAlign w:val="center"/>
          </w:tcPr>
          <w:p w14:paraId="70729D0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77FE186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59" w:type="dxa"/>
            <w:vAlign w:val="center"/>
          </w:tcPr>
          <w:p w14:paraId="69FB677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CBCE25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222AAEFA" w14:textId="77777777" w:rsidTr="00A75B69">
        <w:trPr>
          <w:trHeight w:val="308"/>
          <w:jc w:val="center"/>
        </w:trPr>
        <w:tc>
          <w:tcPr>
            <w:tcW w:w="570" w:type="dxa"/>
            <w:vMerge w:val="restart"/>
            <w:vAlign w:val="center"/>
          </w:tcPr>
          <w:p w14:paraId="2357908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714F76D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蒿</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Artemisia</w:t>
            </w:r>
            <w:r w:rsidRPr="00092862">
              <w:rPr>
                <w:rFonts w:ascii="Times New Roman" w:hAnsi="Times New Roman" w:cs="Times New Roman"/>
                <w:color w:val="000000" w:themeColor="text1"/>
                <w:szCs w:val="21"/>
              </w:rPr>
              <w:t>）</w:t>
            </w:r>
          </w:p>
        </w:tc>
        <w:tc>
          <w:tcPr>
            <w:tcW w:w="1805" w:type="dxa"/>
            <w:gridSpan w:val="3"/>
            <w:vAlign w:val="center"/>
          </w:tcPr>
          <w:p w14:paraId="108EBEA5"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0.95</w:t>
            </w:r>
          </w:p>
        </w:tc>
        <w:tc>
          <w:tcPr>
            <w:tcW w:w="648" w:type="dxa"/>
            <w:vAlign w:val="center"/>
          </w:tcPr>
          <w:p w14:paraId="4F347DC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2</w:t>
            </w:r>
          </w:p>
        </w:tc>
        <w:tc>
          <w:tcPr>
            <w:tcW w:w="1073" w:type="dxa"/>
            <w:gridSpan w:val="2"/>
            <w:vAlign w:val="center"/>
          </w:tcPr>
          <w:p w14:paraId="2BC94FB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5033FC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8B350AC"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2FC8844" w14:textId="77777777" w:rsidTr="00A75B69">
        <w:trPr>
          <w:trHeight w:val="308"/>
          <w:jc w:val="center"/>
        </w:trPr>
        <w:tc>
          <w:tcPr>
            <w:tcW w:w="570" w:type="dxa"/>
            <w:vMerge/>
            <w:vAlign w:val="center"/>
          </w:tcPr>
          <w:p w14:paraId="5A87742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97FD30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白茅</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Imperata cylindrica (L.) Beauv.</w:t>
            </w:r>
            <w:r w:rsidRPr="00092862">
              <w:rPr>
                <w:rFonts w:ascii="Times New Roman" w:hAnsi="Times New Roman" w:cs="Times New Roman"/>
                <w:color w:val="000000" w:themeColor="text1"/>
                <w:szCs w:val="21"/>
              </w:rPr>
              <w:t>）</w:t>
            </w:r>
          </w:p>
        </w:tc>
        <w:tc>
          <w:tcPr>
            <w:tcW w:w="1805" w:type="dxa"/>
            <w:gridSpan w:val="3"/>
            <w:vAlign w:val="center"/>
          </w:tcPr>
          <w:p w14:paraId="57CEE192"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0.85</w:t>
            </w:r>
          </w:p>
        </w:tc>
        <w:tc>
          <w:tcPr>
            <w:tcW w:w="648" w:type="dxa"/>
            <w:vAlign w:val="center"/>
          </w:tcPr>
          <w:p w14:paraId="36B082D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2</w:t>
            </w:r>
          </w:p>
        </w:tc>
        <w:tc>
          <w:tcPr>
            <w:tcW w:w="1073" w:type="dxa"/>
            <w:gridSpan w:val="2"/>
            <w:vAlign w:val="center"/>
          </w:tcPr>
          <w:p w14:paraId="2C97718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8EB2D9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140189A"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F428FA2" w14:textId="77777777" w:rsidTr="00A75B69">
        <w:trPr>
          <w:trHeight w:val="308"/>
          <w:jc w:val="center"/>
        </w:trPr>
        <w:tc>
          <w:tcPr>
            <w:tcW w:w="570" w:type="dxa"/>
            <w:vMerge/>
            <w:vAlign w:val="center"/>
          </w:tcPr>
          <w:p w14:paraId="7D0454A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A302F4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芒萁</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Dicranopteris dichotoma</w:t>
            </w:r>
            <w:r w:rsidRPr="00092862">
              <w:rPr>
                <w:rFonts w:ascii="Times New Roman" w:eastAsia="宋体" w:hAnsi="Times New Roman" w:cs="Times New Roman"/>
                <w:color w:val="000000" w:themeColor="text1"/>
                <w:szCs w:val="21"/>
              </w:rPr>
              <w:t>)</w:t>
            </w:r>
          </w:p>
        </w:tc>
        <w:tc>
          <w:tcPr>
            <w:tcW w:w="1805" w:type="dxa"/>
            <w:gridSpan w:val="3"/>
            <w:vAlign w:val="center"/>
          </w:tcPr>
          <w:p w14:paraId="15924CE6"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w:t>
            </w:r>
          </w:p>
        </w:tc>
        <w:tc>
          <w:tcPr>
            <w:tcW w:w="648" w:type="dxa"/>
            <w:vAlign w:val="center"/>
          </w:tcPr>
          <w:p w14:paraId="289CDD7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1</w:t>
            </w:r>
          </w:p>
        </w:tc>
        <w:tc>
          <w:tcPr>
            <w:tcW w:w="1073" w:type="dxa"/>
            <w:gridSpan w:val="2"/>
            <w:vAlign w:val="center"/>
          </w:tcPr>
          <w:p w14:paraId="24E7C8E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B13677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2750B6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A283281" w14:textId="77777777" w:rsidTr="00A75B69">
        <w:trPr>
          <w:trHeight w:val="308"/>
          <w:jc w:val="center"/>
        </w:trPr>
        <w:tc>
          <w:tcPr>
            <w:tcW w:w="570" w:type="dxa"/>
            <w:vMerge/>
            <w:vAlign w:val="center"/>
          </w:tcPr>
          <w:p w14:paraId="778D1C4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B83D01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野青茅</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Deyeuxia arundinacea (L.) Beauv.</w:t>
            </w:r>
            <w:r w:rsidRPr="00092862">
              <w:rPr>
                <w:rFonts w:ascii="Times New Roman" w:hAnsi="Times New Roman" w:cs="Times New Roman"/>
                <w:color w:val="000000" w:themeColor="text1"/>
                <w:szCs w:val="21"/>
              </w:rPr>
              <w:t>）</w:t>
            </w:r>
          </w:p>
        </w:tc>
        <w:tc>
          <w:tcPr>
            <w:tcW w:w="1805" w:type="dxa"/>
            <w:gridSpan w:val="3"/>
            <w:vAlign w:val="center"/>
          </w:tcPr>
          <w:p w14:paraId="0AD3415A"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0.8</w:t>
            </w:r>
          </w:p>
        </w:tc>
        <w:tc>
          <w:tcPr>
            <w:tcW w:w="648" w:type="dxa"/>
            <w:vAlign w:val="center"/>
          </w:tcPr>
          <w:p w14:paraId="657ECD5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4C97A26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03DF43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3CE3DDE"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58ADAA6" w14:textId="77777777" w:rsidTr="00A75B69">
        <w:trPr>
          <w:trHeight w:val="308"/>
          <w:jc w:val="center"/>
        </w:trPr>
        <w:tc>
          <w:tcPr>
            <w:tcW w:w="570" w:type="dxa"/>
            <w:vMerge/>
            <w:vAlign w:val="center"/>
          </w:tcPr>
          <w:p w14:paraId="23267C4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67B25A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苔草</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Carex tristachya</w:t>
            </w:r>
            <w:r w:rsidRPr="00092862">
              <w:rPr>
                <w:rFonts w:ascii="Times New Roman" w:hAnsi="Times New Roman" w:cs="Times New Roman"/>
                <w:color w:val="000000" w:themeColor="text1"/>
                <w:szCs w:val="21"/>
              </w:rPr>
              <w:t>）</w:t>
            </w:r>
          </w:p>
        </w:tc>
        <w:tc>
          <w:tcPr>
            <w:tcW w:w="1805" w:type="dxa"/>
            <w:gridSpan w:val="3"/>
            <w:vAlign w:val="center"/>
          </w:tcPr>
          <w:p w14:paraId="0D5F9045"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0.6</w:t>
            </w:r>
          </w:p>
        </w:tc>
        <w:tc>
          <w:tcPr>
            <w:tcW w:w="648" w:type="dxa"/>
            <w:vAlign w:val="center"/>
          </w:tcPr>
          <w:p w14:paraId="262E676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5D42C1E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516683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7A87B31"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FE89BBC" w14:textId="77777777" w:rsidTr="00A75B69">
        <w:trPr>
          <w:trHeight w:val="308"/>
          <w:jc w:val="center"/>
        </w:trPr>
        <w:tc>
          <w:tcPr>
            <w:tcW w:w="570" w:type="dxa"/>
            <w:vMerge/>
            <w:vAlign w:val="center"/>
          </w:tcPr>
          <w:p w14:paraId="3AF2CF9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012EA6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荩草</w:t>
            </w:r>
            <w:r w:rsidRPr="00092862">
              <w:rPr>
                <w:rFonts w:ascii="Times New Roman" w:hAnsi="Times New Roman" w:cs="Times New Roman"/>
                <w:color w:val="000000" w:themeColor="text1"/>
                <w:szCs w:val="21"/>
              </w:rPr>
              <w:t>（</w:t>
            </w:r>
            <w:r w:rsidRPr="00092862">
              <w:rPr>
                <w:rFonts w:ascii="Times New Roman" w:eastAsia="宋体" w:hAnsi="Times New Roman" w:cs="Times New Roman"/>
                <w:i/>
                <w:iCs/>
                <w:color w:val="000000" w:themeColor="text1"/>
                <w:szCs w:val="21"/>
              </w:rPr>
              <w:t>Gramineae </w:t>
            </w:r>
            <w:r w:rsidRPr="00092862">
              <w:rPr>
                <w:rFonts w:ascii="Times New Roman" w:hAnsi="Times New Roman" w:cs="Times New Roman"/>
                <w:color w:val="000000" w:themeColor="text1"/>
                <w:szCs w:val="21"/>
              </w:rPr>
              <w:t>）</w:t>
            </w:r>
          </w:p>
        </w:tc>
        <w:tc>
          <w:tcPr>
            <w:tcW w:w="1805" w:type="dxa"/>
            <w:gridSpan w:val="3"/>
            <w:vAlign w:val="center"/>
          </w:tcPr>
          <w:p w14:paraId="40B6AE95"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1.2</w:t>
            </w:r>
          </w:p>
        </w:tc>
        <w:tc>
          <w:tcPr>
            <w:tcW w:w="648" w:type="dxa"/>
            <w:vAlign w:val="center"/>
          </w:tcPr>
          <w:p w14:paraId="3B54631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2F69745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BA02BE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AC12D03"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71FF8D69" w14:textId="77777777" w:rsidTr="00A75B69">
        <w:trPr>
          <w:trHeight w:val="308"/>
          <w:jc w:val="center"/>
        </w:trPr>
        <w:tc>
          <w:tcPr>
            <w:tcW w:w="570" w:type="dxa"/>
            <w:vAlign w:val="center"/>
          </w:tcPr>
          <w:p w14:paraId="49AB7EB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层外</w:t>
            </w:r>
          </w:p>
        </w:tc>
        <w:tc>
          <w:tcPr>
            <w:tcW w:w="8856" w:type="dxa"/>
            <w:gridSpan w:val="9"/>
            <w:vAlign w:val="center"/>
          </w:tcPr>
          <w:p w14:paraId="532949C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托柄菝葜</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Smilax discotis</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、三叶木通</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Akebia trifoliata</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、三裂蛇葡萄</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i/>
                <w:iCs/>
                <w:color w:val="000000" w:themeColor="text1"/>
                <w:szCs w:val="21"/>
              </w:rPr>
              <w:t>Ampelopsis delavayana</w:t>
            </w:r>
            <w:r w:rsidRPr="00092862">
              <w:rPr>
                <w:rFonts w:ascii="Times New Roman" w:eastAsia="宋体" w:hAnsi="Times New Roman" w:cs="Times New Roman"/>
                <w:color w:val="000000" w:themeColor="text1"/>
                <w:szCs w:val="21"/>
              </w:rPr>
              <w:t>)</w:t>
            </w:r>
          </w:p>
        </w:tc>
      </w:tr>
    </w:tbl>
    <w:p w14:paraId="73E0F199" w14:textId="77777777" w:rsidR="009E4715" w:rsidRPr="00092862" w:rsidRDefault="009E4715" w:rsidP="009E4715">
      <w:pPr>
        <w:spacing w:line="500" w:lineRule="exact"/>
        <w:ind w:left="60" w:right="100" w:firstLine="482"/>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样方</w:t>
      </w:r>
      <w:r w:rsidRPr="00092862">
        <w:rPr>
          <w:rFonts w:ascii="Times New Roman" w:eastAsia="宋体" w:hAnsi="Times New Roman" w:cs="Times New Roman"/>
          <w:b/>
          <w:color w:val="000000" w:themeColor="text1"/>
          <w:szCs w:val="21"/>
        </w:rPr>
        <w:t xml:space="preserve">5 </w:t>
      </w:r>
      <w:r w:rsidRPr="00092862">
        <w:rPr>
          <w:rFonts w:ascii="Times New Roman" w:eastAsia="宋体" w:hAnsi="Times New Roman" w:cs="Times New Roman"/>
          <w:b/>
          <w:color w:val="000000" w:themeColor="text1"/>
          <w:szCs w:val="21"/>
        </w:rPr>
        <w:t>野桐、盐肤木灌丛群系样方表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615"/>
        <w:gridCol w:w="487"/>
        <w:gridCol w:w="648"/>
        <w:gridCol w:w="550"/>
        <w:gridCol w:w="523"/>
        <w:gridCol w:w="659"/>
        <w:gridCol w:w="743"/>
      </w:tblGrid>
      <w:tr w:rsidR="00697429" w:rsidRPr="00092862" w14:paraId="178917D6" w14:textId="77777777" w:rsidTr="00A75B69">
        <w:trPr>
          <w:trHeight w:val="755"/>
          <w:jc w:val="center"/>
        </w:trPr>
        <w:tc>
          <w:tcPr>
            <w:tcW w:w="570" w:type="dxa"/>
            <w:vAlign w:val="center"/>
          </w:tcPr>
          <w:p w14:paraId="17A16F8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2741162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107.8189,31.4515</w:t>
            </w:r>
          </w:p>
        </w:tc>
        <w:tc>
          <w:tcPr>
            <w:tcW w:w="703" w:type="dxa"/>
            <w:vAlign w:val="center"/>
          </w:tcPr>
          <w:p w14:paraId="06FC2DF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r w:rsidRPr="00092862">
              <w:rPr>
                <w:rFonts w:ascii="Times New Roman" w:eastAsia="宋体" w:hAnsi="Times New Roman" w:cs="Times New Roman"/>
                <w:bCs/>
                <w:color w:val="000000" w:themeColor="text1"/>
                <w:szCs w:val="21"/>
              </w:rPr>
              <w:t>）</w:t>
            </w:r>
          </w:p>
        </w:tc>
        <w:tc>
          <w:tcPr>
            <w:tcW w:w="615" w:type="dxa"/>
            <w:vAlign w:val="center"/>
          </w:tcPr>
          <w:p w14:paraId="137C150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1139</w:t>
            </w:r>
          </w:p>
        </w:tc>
        <w:tc>
          <w:tcPr>
            <w:tcW w:w="487" w:type="dxa"/>
            <w:vAlign w:val="center"/>
          </w:tcPr>
          <w:p w14:paraId="1A3E8AA7"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6C59E07D"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石灰土</w:t>
            </w:r>
          </w:p>
        </w:tc>
        <w:tc>
          <w:tcPr>
            <w:tcW w:w="550" w:type="dxa"/>
            <w:vAlign w:val="center"/>
          </w:tcPr>
          <w:p w14:paraId="4F06019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3478B49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p>
        </w:tc>
        <w:tc>
          <w:tcPr>
            <w:tcW w:w="659" w:type="dxa"/>
            <w:vAlign w:val="center"/>
          </w:tcPr>
          <w:p w14:paraId="15B49C1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4CD4B74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NE</w:t>
            </w:r>
          </w:p>
        </w:tc>
      </w:tr>
      <w:tr w:rsidR="00697429" w:rsidRPr="00092862" w14:paraId="40604EAC" w14:textId="77777777" w:rsidTr="00A75B69">
        <w:trPr>
          <w:trHeight w:val="308"/>
          <w:jc w:val="center"/>
        </w:trPr>
        <w:tc>
          <w:tcPr>
            <w:tcW w:w="570" w:type="dxa"/>
            <w:vAlign w:val="center"/>
          </w:tcPr>
          <w:p w14:paraId="016420D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94BD4F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6D367FF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5ED829E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25CD6B6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549DFD0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4C00A84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504437C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641CCFE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6060A2F9" w14:textId="77777777" w:rsidTr="00A75B69">
        <w:trPr>
          <w:trHeight w:val="308"/>
          <w:jc w:val="center"/>
        </w:trPr>
        <w:tc>
          <w:tcPr>
            <w:tcW w:w="570" w:type="dxa"/>
            <w:vMerge w:val="restart"/>
            <w:vAlign w:val="center"/>
          </w:tcPr>
          <w:p w14:paraId="49B6E51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灌木层</w:t>
            </w:r>
          </w:p>
        </w:tc>
        <w:tc>
          <w:tcPr>
            <w:tcW w:w="3928" w:type="dxa"/>
            <w:vAlign w:val="center"/>
          </w:tcPr>
          <w:p w14:paraId="087F7D93" w14:textId="77777777" w:rsidR="009E4715" w:rsidRPr="00092862" w:rsidRDefault="009E4715" w:rsidP="00A75B69">
            <w:pPr>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color w:val="000000" w:themeColor="text1"/>
                <w:spacing w:val="-3"/>
                <w:szCs w:val="21"/>
              </w:rPr>
              <w:t>野桐</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Mallotus</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tenuifolius</w:t>
            </w:r>
          </w:p>
        </w:tc>
        <w:tc>
          <w:tcPr>
            <w:tcW w:w="1805" w:type="dxa"/>
            <w:gridSpan w:val="3"/>
            <w:vAlign w:val="center"/>
          </w:tcPr>
          <w:p w14:paraId="1E01183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48" w:type="dxa"/>
            <w:vAlign w:val="center"/>
          </w:tcPr>
          <w:p w14:paraId="2B09D49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1073" w:type="dxa"/>
            <w:gridSpan w:val="2"/>
            <w:vAlign w:val="center"/>
          </w:tcPr>
          <w:p w14:paraId="332D4E9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c>
          <w:tcPr>
            <w:tcW w:w="659" w:type="dxa"/>
            <w:vAlign w:val="center"/>
          </w:tcPr>
          <w:p w14:paraId="6C2CD75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F4EE2D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6E6AF418" w14:textId="77777777" w:rsidTr="00A75B69">
        <w:trPr>
          <w:trHeight w:val="308"/>
          <w:jc w:val="center"/>
        </w:trPr>
        <w:tc>
          <w:tcPr>
            <w:tcW w:w="570" w:type="dxa"/>
            <w:vMerge/>
            <w:vAlign w:val="center"/>
          </w:tcPr>
          <w:p w14:paraId="765920F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45397C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3"/>
                <w:szCs w:val="21"/>
              </w:rPr>
              <w:t>盐肤木</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Rhus</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chinens</w:t>
            </w:r>
            <w:r w:rsidRPr="00092862">
              <w:rPr>
                <w:rFonts w:ascii="Times New Roman" w:eastAsia="宋体" w:hAnsi="Times New Roman" w:cs="Times New Roman"/>
                <w:i/>
                <w:iCs/>
                <w:color w:val="000000" w:themeColor="text1"/>
                <w:szCs w:val="21"/>
              </w:rPr>
              <w:t>is</w:t>
            </w:r>
          </w:p>
        </w:tc>
        <w:tc>
          <w:tcPr>
            <w:tcW w:w="1805" w:type="dxa"/>
            <w:gridSpan w:val="3"/>
            <w:vAlign w:val="center"/>
          </w:tcPr>
          <w:p w14:paraId="25F174B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c>
          <w:tcPr>
            <w:tcW w:w="648" w:type="dxa"/>
            <w:vAlign w:val="center"/>
          </w:tcPr>
          <w:p w14:paraId="3B188E9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w:t>
            </w:r>
          </w:p>
        </w:tc>
        <w:tc>
          <w:tcPr>
            <w:tcW w:w="1073" w:type="dxa"/>
            <w:gridSpan w:val="2"/>
            <w:vAlign w:val="center"/>
          </w:tcPr>
          <w:p w14:paraId="382404F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58DF28B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42A863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1E207979" w14:textId="77777777" w:rsidTr="00A75B69">
        <w:trPr>
          <w:trHeight w:val="308"/>
          <w:jc w:val="center"/>
        </w:trPr>
        <w:tc>
          <w:tcPr>
            <w:tcW w:w="570" w:type="dxa"/>
            <w:vMerge/>
            <w:vAlign w:val="center"/>
          </w:tcPr>
          <w:p w14:paraId="182324F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74D24D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2"/>
                <w:szCs w:val="21"/>
              </w:rPr>
              <w:t>细枝柃</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Eurya</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loquaiana</w:t>
            </w:r>
          </w:p>
        </w:tc>
        <w:tc>
          <w:tcPr>
            <w:tcW w:w="1805" w:type="dxa"/>
            <w:gridSpan w:val="3"/>
            <w:vAlign w:val="center"/>
          </w:tcPr>
          <w:p w14:paraId="058C210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2.8</w:t>
            </w:r>
          </w:p>
        </w:tc>
        <w:tc>
          <w:tcPr>
            <w:tcW w:w="648" w:type="dxa"/>
            <w:vAlign w:val="center"/>
          </w:tcPr>
          <w:p w14:paraId="6BDBF53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705B197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2.2</w:t>
            </w:r>
          </w:p>
        </w:tc>
        <w:tc>
          <w:tcPr>
            <w:tcW w:w="659" w:type="dxa"/>
            <w:vAlign w:val="center"/>
          </w:tcPr>
          <w:p w14:paraId="71EDE0C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DD5CCD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3BF6ADD5" w14:textId="77777777" w:rsidTr="00A75B69">
        <w:trPr>
          <w:trHeight w:val="308"/>
          <w:jc w:val="center"/>
        </w:trPr>
        <w:tc>
          <w:tcPr>
            <w:tcW w:w="570" w:type="dxa"/>
            <w:vMerge/>
            <w:vAlign w:val="center"/>
          </w:tcPr>
          <w:p w14:paraId="5EE0EC3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5D33BA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2"/>
                <w:szCs w:val="21"/>
              </w:rPr>
              <w:t>皱叶荚蒾</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Viburn</w:t>
            </w:r>
            <w:r w:rsidRPr="00092862">
              <w:rPr>
                <w:rFonts w:ascii="Times New Roman" w:eastAsia="宋体" w:hAnsi="Times New Roman" w:cs="Times New Roman"/>
                <w:i/>
                <w:iCs/>
                <w:color w:val="000000" w:themeColor="text1"/>
                <w:spacing w:val="-1"/>
                <w:szCs w:val="21"/>
              </w:rPr>
              <w:t>u</w:t>
            </w:r>
            <w:r w:rsidRPr="00092862">
              <w:rPr>
                <w:rFonts w:ascii="Times New Roman" w:eastAsia="宋体" w:hAnsi="Times New Roman" w:cs="Times New Roman"/>
                <w:i/>
                <w:iCs/>
                <w:color w:val="000000" w:themeColor="text1"/>
                <w:szCs w:val="21"/>
              </w:rPr>
              <w:t>m</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i/>
                <w:iCs/>
                <w:color w:val="000000" w:themeColor="text1"/>
                <w:spacing w:val="-2"/>
                <w:szCs w:val="21"/>
              </w:rPr>
              <w:t>rhytidophyllum</w:t>
            </w:r>
          </w:p>
        </w:tc>
        <w:tc>
          <w:tcPr>
            <w:tcW w:w="1805" w:type="dxa"/>
            <w:gridSpan w:val="3"/>
            <w:vAlign w:val="center"/>
          </w:tcPr>
          <w:p w14:paraId="43A4FDB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w:t>
            </w:r>
          </w:p>
        </w:tc>
        <w:tc>
          <w:tcPr>
            <w:tcW w:w="648" w:type="dxa"/>
            <w:vAlign w:val="center"/>
          </w:tcPr>
          <w:p w14:paraId="2BA6333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2207A7B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c>
          <w:tcPr>
            <w:tcW w:w="659" w:type="dxa"/>
            <w:vAlign w:val="center"/>
          </w:tcPr>
          <w:p w14:paraId="1ABAC09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97A82C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2ADAEBCE" w14:textId="77777777" w:rsidTr="00A75B69">
        <w:trPr>
          <w:trHeight w:val="308"/>
          <w:jc w:val="center"/>
        </w:trPr>
        <w:tc>
          <w:tcPr>
            <w:tcW w:w="570" w:type="dxa"/>
            <w:vMerge/>
            <w:vAlign w:val="center"/>
          </w:tcPr>
          <w:p w14:paraId="0177930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3514F4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2"/>
                <w:szCs w:val="21"/>
              </w:rPr>
              <w:t>宜昌悬钩子</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Rubus</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ichangen</w:t>
            </w:r>
            <w:r w:rsidRPr="00092862">
              <w:rPr>
                <w:rFonts w:ascii="Times New Roman" w:eastAsia="宋体" w:hAnsi="Times New Roman" w:cs="Times New Roman"/>
                <w:i/>
                <w:iCs/>
                <w:color w:val="000000" w:themeColor="text1"/>
                <w:spacing w:val="-1"/>
                <w:szCs w:val="21"/>
              </w:rPr>
              <w:t>s</w:t>
            </w:r>
            <w:r w:rsidRPr="00092862">
              <w:rPr>
                <w:rFonts w:ascii="Times New Roman" w:eastAsia="宋体" w:hAnsi="Times New Roman" w:cs="Times New Roman"/>
                <w:i/>
                <w:iCs/>
                <w:color w:val="000000" w:themeColor="text1"/>
                <w:szCs w:val="21"/>
              </w:rPr>
              <w:t>is</w:t>
            </w:r>
            <w:r w:rsidRPr="00092862">
              <w:rPr>
                <w:rFonts w:ascii="Times New Roman" w:eastAsia="宋体" w:hAnsi="Times New Roman" w:cs="Times New Roman"/>
                <w:color w:val="000000" w:themeColor="text1"/>
                <w:spacing w:val="-2"/>
                <w:szCs w:val="21"/>
              </w:rPr>
              <w:t xml:space="preserve"> </w:t>
            </w:r>
          </w:p>
        </w:tc>
        <w:tc>
          <w:tcPr>
            <w:tcW w:w="1805" w:type="dxa"/>
            <w:gridSpan w:val="3"/>
            <w:vAlign w:val="center"/>
          </w:tcPr>
          <w:p w14:paraId="415B7D2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648" w:type="dxa"/>
            <w:vAlign w:val="center"/>
          </w:tcPr>
          <w:p w14:paraId="6DDC6FF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1073" w:type="dxa"/>
            <w:gridSpan w:val="2"/>
            <w:vAlign w:val="center"/>
          </w:tcPr>
          <w:p w14:paraId="3CBF74A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1.4</w:t>
            </w:r>
          </w:p>
        </w:tc>
        <w:tc>
          <w:tcPr>
            <w:tcW w:w="659" w:type="dxa"/>
            <w:vAlign w:val="center"/>
          </w:tcPr>
          <w:p w14:paraId="17EAE72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9B1F39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55E21F9E" w14:textId="77777777" w:rsidTr="00A75B69">
        <w:trPr>
          <w:trHeight w:val="308"/>
          <w:jc w:val="center"/>
        </w:trPr>
        <w:tc>
          <w:tcPr>
            <w:tcW w:w="570" w:type="dxa"/>
            <w:vMerge w:val="restart"/>
            <w:vAlign w:val="center"/>
          </w:tcPr>
          <w:p w14:paraId="2B9512A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10F9823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8"/>
                <w:szCs w:val="21"/>
              </w:rPr>
              <w:t>荩</w:t>
            </w:r>
            <w:r w:rsidRPr="00092862">
              <w:rPr>
                <w:rFonts w:ascii="Times New Roman" w:eastAsia="宋体" w:hAnsi="Times New Roman" w:cs="Times New Roman"/>
                <w:color w:val="000000" w:themeColor="text1"/>
                <w:spacing w:val="-4"/>
                <w:szCs w:val="21"/>
              </w:rPr>
              <w:t>草</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i/>
                <w:iCs/>
                <w:color w:val="000000" w:themeColor="text1"/>
                <w:spacing w:val="-4"/>
                <w:szCs w:val="21"/>
              </w:rPr>
              <w:t>Hedyoti</w:t>
            </w:r>
            <w:r w:rsidRPr="00092862">
              <w:rPr>
                <w:rFonts w:ascii="Times New Roman" w:eastAsia="宋体" w:hAnsi="Times New Roman" w:cs="Times New Roman"/>
                <w:i/>
                <w:iCs/>
                <w:color w:val="000000" w:themeColor="text1"/>
                <w:spacing w:val="-2"/>
                <w:szCs w:val="21"/>
              </w:rPr>
              <w:t>s</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i/>
                <w:iCs/>
                <w:color w:val="000000" w:themeColor="text1"/>
                <w:spacing w:val="-2"/>
                <w:szCs w:val="21"/>
              </w:rPr>
              <w:t>acutangular</w:t>
            </w:r>
          </w:p>
        </w:tc>
        <w:tc>
          <w:tcPr>
            <w:tcW w:w="1805" w:type="dxa"/>
            <w:gridSpan w:val="3"/>
            <w:vAlign w:val="center"/>
          </w:tcPr>
          <w:p w14:paraId="4F04260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0.85</w:t>
            </w:r>
          </w:p>
        </w:tc>
        <w:tc>
          <w:tcPr>
            <w:tcW w:w="648" w:type="dxa"/>
            <w:vAlign w:val="center"/>
          </w:tcPr>
          <w:p w14:paraId="6D33DC6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Cop</w:t>
            </w:r>
            <w:r w:rsidRPr="00092862">
              <w:rPr>
                <w:rFonts w:ascii="Times New Roman" w:eastAsia="宋体" w:hAnsi="Times New Roman" w:cs="Times New Roman"/>
                <w:color w:val="000000" w:themeColor="text1"/>
                <w:szCs w:val="21"/>
                <w:vertAlign w:val="subscript"/>
              </w:rPr>
              <w:t>1</w:t>
            </w:r>
          </w:p>
        </w:tc>
        <w:tc>
          <w:tcPr>
            <w:tcW w:w="1073" w:type="dxa"/>
            <w:gridSpan w:val="2"/>
            <w:vAlign w:val="center"/>
          </w:tcPr>
          <w:p w14:paraId="799AE03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598696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3119DDF"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BD440AF" w14:textId="77777777" w:rsidTr="00A75B69">
        <w:trPr>
          <w:trHeight w:val="308"/>
          <w:jc w:val="center"/>
        </w:trPr>
        <w:tc>
          <w:tcPr>
            <w:tcW w:w="570" w:type="dxa"/>
            <w:vMerge/>
            <w:vAlign w:val="center"/>
          </w:tcPr>
          <w:p w14:paraId="5EE3E5A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7EE7F8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4"/>
                <w:szCs w:val="21"/>
              </w:rPr>
              <w:t>乌蕨</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i/>
                <w:iCs/>
                <w:color w:val="000000" w:themeColor="text1"/>
                <w:spacing w:val="-2"/>
                <w:szCs w:val="21"/>
              </w:rPr>
              <w:t>Odontosoria</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i/>
                <w:iCs/>
                <w:color w:val="000000" w:themeColor="text1"/>
                <w:spacing w:val="-2"/>
                <w:szCs w:val="21"/>
              </w:rPr>
              <w:t>chinensis</w:t>
            </w:r>
          </w:p>
        </w:tc>
        <w:tc>
          <w:tcPr>
            <w:tcW w:w="1805" w:type="dxa"/>
            <w:gridSpan w:val="3"/>
            <w:vAlign w:val="center"/>
          </w:tcPr>
          <w:p w14:paraId="439E3C0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28727D7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4B430CC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64EE98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C614D0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CF2662D" w14:textId="77777777" w:rsidTr="00A75B69">
        <w:trPr>
          <w:trHeight w:val="308"/>
          <w:jc w:val="center"/>
        </w:trPr>
        <w:tc>
          <w:tcPr>
            <w:tcW w:w="570" w:type="dxa"/>
            <w:vMerge/>
            <w:vAlign w:val="center"/>
          </w:tcPr>
          <w:p w14:paraId="58C2564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274164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4"/>
                <w:szCs w:val="21"/>
              </w:rPr>
              <w:t>尖齿耳蕨</w:t>
            </w:r>
            <w:r w:rsidRPr="00092862">
              <w:rPr>
                <w:rFonts w:ascii="Times New Roman" w:eastAsia="宋体" w:hAnsi="Times New Roman" w:cs="Times New Roman"/>
                <w:color w:val="000000" w:themeColor="text1"/>
                <w:spacing w:val="-4"/>
                <w:szCs w:val="21"/>
              </w:rPr>
              <w:t xml:space="preserve"> </w:t>
            </w:r>
            <w:r w:rsidRPr="00092862">
              <w:rPr>
                <w:rFonts w:ascii="Times New Roman" w:eastAsia="宋体" w:hAnsi="Times New Roman" w:cs="Times New Roman"/>
                <w:i/>
                <w:iCs/>
                <w:color w:val="000000" w:themeColor="text1"/>
                <w:spacing w:val="-2"/>
                <w:szCs w:val="21"/>
              </w:rPr>
              <w:t>Polystichum</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i/>
                <w:iCs/>
                <w:color w:val="000000" w:themeColor="text1"/>
                <w:spacing w:val="-3"/>
                <w:szCs w:val="21"/>
              </w:rPr>
              <w:t>longidens</w:t>
            </w:r>
          </w:p>
        </w:tc>
        <w:tc>
          <w:tcPr>
            <w:tcW w:w="1805" w:type="dxa"/>
            <w:gridSpan w:val="3"/>
            <w:vAlign w:val="center"/>
          </w:tcPr>
          <w:p w14:paraId="2A8704F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648" w:type="dxa"/>
            <w:vAlign w:val="center"/>
          </w:tcPr>
          <w:p w14:paraId="18D5946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54AA064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19BEF49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DB9D377"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766DD46E" w14:textId="77777777" w:rsidTr="00A75B69">
        <w:trPr>
          <w:trHeight w:val="308"/>
          <w:jc w:val="center"/>
        </w:trPr>
        <w:tc>
          <w:tcPr>
            <w:tcW w:w="570" w:type="dxa"/>
            <w:vMerge/>
            <w:vAlign w:val="center"/>
          </w:tcPr>
          <w:p w14:paraId="2A46C66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836599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3"/>
                <w:szCs w:val="21"/>
              </w:rPr>
              <w:t>葎草</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Humulus</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scandens</w:t>
            </w:r>
          </w:p>
        </w:tc>
        <w:tc>
          <w:tcPr>
            <w:tcW w:w="1805" w:type="dxa"/>
            <w:gridSpan w:val="3"/>
            <w:vAlign w:val="center"/>
          </w:tcPr>
          <w:p w14:paraId="5817356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0D691B9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14555CC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29D4489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FF14841"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2192710" w14:textId="77777777" w:rsidTr="00A75B69">
        <w:trPr>
          <w:trHeight w:val="308"/>
          <w:jc w:val="center"/>
        </w:trPr>
        <w:tc>
          <w:tcPr>
            <w:tcW w:w="570" w:type="dxa"/>
            <w:vMerge/>
            <w:vAlign w:val="center"/>
          </w:tcPr>
          <w:p w14:paraId="6E7B729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0E8547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3"/>
                <w:szCs w:val="21"/>
              </w:rPr>
              <w:t>酸模叶蓼</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Rumex</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hastatus</w:t>
            </w:r>
          </w:p>
        </w:tc>
        <w:tc>
          <w:tcPr>
            <w:tcW w:w="1805" w:type="dxa"/>
            <w:gridSpan w:val="3"/>
            <w:vAlign w:val="center"/>
          </w:tcPr>
          <w:p w14:paraId="3BFE117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648" w:type="dxa"/>
            <w:vAlign w:val="center"/>
          </w:tcPr>
          <w:p w14:paraId="1CF08B6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531F9B7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E9D24C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D982D9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B66D260" w14:textId="77777777" w:rsidTr="00A75B69">
        <w:trPr>
          <w:trHeight w:val="308"/>
          <w:jc w:val="center"/>
        </w:trPr>
        <w:tc>
          <w:tcPr>
            <w:tcW w:w="570" w:type="dxa"/>
            <w:vMerge/>
            <w:vAlign w:val="center"/>
          </w:tcPr>
          <w:p w14:paraId="19FC4F6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F7E096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3"/>
                <w:szCs w:val="21"/>
              </w:rPr>
              <w:t>蒲儿根</w:t>
            </w:r>
            <w:r w:rsidRPr="00092862">
              <w:rPr>
                <w:rFonts w:ascii="Times New Roman" w:eastAsia="宋体" w:hAnsi="Times New Roman" w:cs="Times New Roman"/>
                <w:color w:val="000000" w:themeColor="text1"/>
                <w:spacing w:val="-3"/>
                <w:szCs w:val="21"/>
              </w:rPr>
              <w:t xml:space="preserve"> </w:t>
            </w:r>
            <w:r w:rsidRPr="00092862">
              <w:rPr>
                <w:rFonts w:ascii="Times New Roman" w:eastAsia="宋体" w:hAnsi="Times New Roman" w:cs="Times New Roman"/>
                <w:i/>
                <w:iCs/>
                <w:color w:val="000000" w:themeColor="text1"/>
                <w:spacing w:val="-3"/>
                <w:szCs w:val="21"/>
              </w:rPr>
              <w:t>Sinosen</w:t>
            </w:r>
            <w:r w:rsidRPr="00092862">
              <w:rPr>
                <w:rFonts w:ascii="Times New Roman" w:eastAsia="宋体" w:hAnsi="Times New Roman" w:cs="Times New Roman"/>
                <w:i/>
                <w:iCs/>
                <w:color w:val="000000" w:themeColor="text1"/>
                <w:spacing w:val="-1"/>
                <w:szCs w:val="21"/>
              </w:rPr>
              <w:t>e</w:t>
            </w:r>
            <w:r w:rsidRPr="00092862">
              <w:rPr>
                <w:rFonts w:ascii="Times New Roman" w:eastAsia="宋体" w:hAnsi="Times New Roman" w:cs="Times New Roman"/>
                <w:i/>
                <w:iCs/>
                <w:color w:val="000000" w:themeColor="text1"/>
                <w:szCs w:val="21"/>
              </w:rPr>
              <w:t>cio</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i/>
                <w:iCs/>
                <w:color w:val="000000" w:themeColor="text1"/>
                <w:spacing w:val="-5"/>
                <w:szCs w:val="21"/>
              </w:rPr>
              <w:t>oldhamianus</w:t>
            </w:r>
          </w:p>
        </w:tc>
        <w:tc>
          <w:tcPr>
            <w:tcW w:w="1805" w:type="dxa"/>
            <w:gridSpan w:val="3"/>
            <w:vAlign w:val="center"/>
          </w:tcPr>
          <w:p w14:paraId="213C1BC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648" w:type="dxa"/>
            <w:vAlign w:val="center"/>
          </w:tcPr>
          <w:p w14:paraId="1A03375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086F542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31FC61E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A45309D"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FE4A28B" w14:textId="77777777" w:rsidTr="00A75B69">
        <w:trPr>
          <w:trHeight w:val="308"/>
          <w:jc w:val="center"/>
        </w:trPr>
        <w:tc>
          <w:tcPr>
            <w:tcW w:w="570" w:type="dxa"/>
            <w:vMerge/>
            <w:vAlign w:val="center"/>
          </w:tcPr>
          <w:p w14:paraId="02A1707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0664329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10"/>
                <w:szCs w:val="21"/>
              </w:rPr>
              <w:t>透</w:t>
            </w:r>
            <w:r w:rsidRPr="00092862">
              <w:rPr>
                <w:rFonts w:ascii="Times New Roman" w:eastAsia="宋体" w:hAnsi="Times New Roman" w:cs="Times New Roman"/>
                <w:color w:val="000000" w:themeColor="text1"/>
                <w:spacing w:val="-6"/>
                <w:szCs w:val="21"/>
              </w:rPr>
              <w:t>茎</w:t>
            </w:r>
            <w:r w:rsidRPr="00092862">
              <w:rPr>
                <w:rFonts w:ascii="Times New Roman" w:eastAsia="宋体" w:hAnsi="Times New Roman" w:cs="Times New Roman"/>
                <w:color w:val="000000" w:themeColor="text1"/>
                <w:spacing w:val="-5"/>
                <w:szCs w:val="21"/>
              </w:rPr>
              <w:t>冷水花</w:t>
            </w:r>
            <w:r w:rsidRPr="00092862">
              <w:rPr>
                <w:rFonts w:ascii="Times New Roman" w:eastAsia="宋体" w:hAnsi="Times New Roman" w:cs="Times New Roman"/>
                <w:color w:val="000000" w:themeColor="text1"/>
                <w:spacing w:val="-5"/>
                <w:szCs w:val="21"/>
              </w:rPr>
              <w:t xml:space="preserve"> </w:t>
            </w:r>
            <w:r w:rsidRPr="00092862">
              <w:rPr>
                <w:rFonts w:ascii="Times New Roman" w:eastAsia="宋体" w:hAnsi="Times New Roman" w:cs="Times New Roman"/>
                <w:i/>
                <w:iCs/>
                <w:color w:val="000000" w:themeColor="text1"/>
                <w:spacing w:val="-5"/>
                <w:szCs w:val="21"/>
              </w:rPr>
              <w:t>Pileapumila</w:t>
            </w:r>
          </w:p>
        </w:tc>
        <w:tc>
          <w:tcPr>
            <w:tcW w:w="1805" w:type="dxa"/>
            <w:gridSpan w:val="3"/>
            <w:vAlign w:val="center"/>
          </w:tcPr>
          <w:p w14:paraId="4CF4940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0.7</w:t>
            </w:r>
          </w:p>
        </w:tc>
        <w:tc>
          <w:tcPr>
            <w:tcW w:w="648" w:type="dxa"/>
            <w:vAlign w:val="center"/>
          </w:tcPr>
          <w:p w14:paraId="5DDFDFF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709F2AC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25398C7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BCE2EC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C08E2C2" w14:textId="77777777" w:rsidTr="00A75B69">
        <w:trPr>
          <w:trHeight w:val="308"/>
          <w:jc w:val="center"/>
        </w:trPr>
        <w:tc>
          <w:tcPr>
            <w:tcW w:w="570" w:type="dxa"/>
            <w:vMerge/>
            <w:vAlign w:val="center"/>
          </w:tcPr>
          <w:p w14:paraId="213C6EB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6700925"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5"/>
                <w:szCs w:val="21"/>
              </w:rPr>
              <w:t>华南毛蕨</w:t>
            </w:r>
            <w:r w:rsidRPr="00092862">
              <w:rPr>
                <w:rFonts w:ascii="Times New Roman" w:eastAsia="宋体" w:hAnsi="Times New Roman" w:cs="Times New Roman"/>
                <w:color w:val="000000" w:themeColor="text1"/>
                <w:spacing w:val="-5"/>
                <w:szCs w:val="21"/>
              </w:rPr>
              <w:t xml:space="preserve"> </w:t>
            </w:r>
            <w:r w:rsidRPr="00092862">
              <w:rPr>
                <w:rFonts w:ascii="Times New Roman" w:eastAsia="宋体" w:hAnsi="Times New Roman" w:cs="Times New Roman"/>
                <w:i/>
                <w:iCs/>
                <w:color w:val="000000" w:themeColor="text1"/>
                <w:spacing w:val="-5"/>
                <w:szCs w:val="21"/>
              </w:rPr>
              <w:t>Cyclosorus</w:t>
            </w:r>
            <w:r w:rsidRPr="00092862">
              <w:rPr>
                <w:rFonts w:ascii="Times New Roman" w:eastAsia="宋体" w:hAnsi="Times New Roman" w:cs="Times New Roman"/>
                <w:color w:val="000000" w:themeColor="text1"/>
                <w:spacing w:val="-5"/>
                <w:szCs w:val="21"/>
              </w:rPr>
              <w:t xml:space="preserve"> </w:t>
            </w:r>
            <w:r w:rsidRPr="00092862">
              <w:rPr>
                <w:rFonts w:ascii="Times New Roman" w:eastAsia="宋体" w:hAnsi="Times New Roman" w:cs="Times New Roman"/>
                <w:i/>
                <w:iCs/>
                <w:color w:val="000000" w:themeColor="text1"/>
                <w:spacing w:val="-5"/>
                <w:szCs w:val="21"/>
              </w:rPr>
              <w:t>parasiticus</w:t>
            </w:r>
          </w:p>
        </w:tc>
        <w:tc>
          <w:tcPr>
            <w:tcW w:w="1805" w:type="dxa"/>
            <w:gridSpan w:val="3"/>
            <w:vAlign w:val="center"/>
          </w:tcPr>
          <w:p w14:paraId="331B9FC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0.5</w:t>
            </w:r>
          </w:p>
        </w:tc>
        <w:tc>
          <w:tcPr>
            <w:tcW w:w="648" w:type="dxa"/>
            <w:vAlign w:val="center"/>
          </w:tcPr>
          <w:p w14:paraId="45CDEFE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087A7EB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E5BF29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87783D3"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0C613D8" w14:textId="77777777" w:rsidTr="00A75B69">
        <w:trPr>
          <w:trHeight w:val="308"/>
          <w:jc w:val="center"/>
        </w:trPr>
        <w:tc>
          <w:tcPr>
            <w:tcW w:w="570" w:type="dxa"/>
            <w:vMerge/>
            <w:vAlign w:val="center"/>
          </w:tcPr>
          <w:p w14:paraId="2BF013A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42ECC27" w14:textId="77777777" w:rsidR="009E4715" w:rsidRPr="00092862" w:rsidRDefault="009E4715" w:rsidP="00A75B69">
            <w:pPr>
              <w:jc w:val="center"/>
              <w:rPr>
                <w:rFonts w:ascii="Times New Roman" w:eastAsia="宋体" w:hAnsi="Times New Roman" w:cs="Times New Roman"/>
                <w:color w:val="000000" w:themeColor="text1"/>
                <w:spacing w:val="-5"/>
                <w:szCs w:val="21"/>
              </w:rPr>
            </w:pPr>
            <w:r w:rsidRPr="00092862">
              <w:rPr>
                <w:rFonts w:ascii="Times New Roman" w:eastAsia="宋体" w:hAnsi="Times New Roman" w:cs="Times New Roman"/>
                <w:color w:val="000000" w:themeColor="text1"/>
                <w:spacing w:val="-5"/>
                <w:szCs w:val="21"/>
              </w:rPr>
              <w:t>刺齿凤尾蕨</w:t>
            </w:r>
            <w:r w:rsidRPr="00092862">
              <w:rPr>
                <w:rFonts w:ascii="Times New Roman" w:eastAsia="宋体" w:hAnsi="Times New Roman" w:cs="Times New Roman"/>
                <w:color w:val="000000" w:themeColor="text1"/>
                <w:spacing w:val="-5"/>
                <w:szCs w:val="21"/>
              </w:rPr>
              <w:t xml:space="preserve"> </w:t>
            </w:r>
            <w:r w:rsidRPr="00092862">
              <w:rPr>
                <w:rFonts w:ascii="Times New Roman" w:eastAsia="宋体" w:hAnsi="Times New Roman" w:cs="Times New Roman"/>
                <w:i/>
                <w:iCs/>
                <w:color w:val="000000" w:themeColor="text1"/>
                <w:spacing w:val="-5"/>
                <w:szCs w:val="21"/>
              </w:rPr>
              <w:t>Pteris</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i/>
                <w:iCs/>
                <w:color w:val="000000" w:themeColor="text1"/>
                <w:spacing w:val="-2"/>
                <w:szCs w:val="21"/>
              </w:rPr>
              <w:t>dispar</w:t>
            </w:r>
          </w:p>
        </w:tc>
        <w:tc>
          <w:tcPr>
            <w:tcW w:w="1805" w:type="dxa"/>
            <w:gridSpan w:val="3"/>
            <w:vAlign w:val="center"/>
          </w:tcPr>
          <w:p w14:paraId="025ACFE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70E5D12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3B961DB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08FEBDC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FC3ACB9"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2CFCAB9" w14:textId="77777777" w:rsidTr="00A75B69">
        <w:trPr>
          <w:trHeight w:val="308"/>
          <w:jc w:val="center"/>
        </w:trPr>
        <w:tc>
          <w:tcPr>
            <w:tcW w:w="570" w:type="dxa"/>
            <w:vMerge/>
            <w:vAlign w:val="center"/>
          </w:tcPr>
          <w:p w14:paraId="49F408C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200B24D" w14:textId="77777777" w:rsidR="009E4715" w:rsidRPr="00092862" w:rsidRDefault="009E4715" w:rsidP="00A75B69">
            <w:pPr>
              <w:jc w:val="center"/>
              <w:rPr>
                <w:rFonts w:ascii="Times New Roman" w:eastAsia="宋体" w:hAnsi="Times New Roman" w:cs="Times New Roman"/>
                <w:color w:val="000000" w:themeColor="text1"/>
                <w:spacing w:val="-5"/>
                <w:szCs w:val="21"/>
              </w:rPr>
            </w:pPr>
            <w:r w:rsidRPr="00092862">
              <w:rPr>
                <w:rFonts w:ascii="Times New Roman" w:eastAsia="宋体" w:hAnsi="Times New Roman" w:cs="Times New Roman"/>
                <w:color w:val="000000" w:themeColor="text1"/>
                <w:spacing w:val="-4"/>
                <w:szCs w:val="21"/>
              </w:rPr>
              <w:t>异叶黄鹌菜</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Youngia</w:t>
            </w:r>
            <w:r w:rsidRPr="00092862">
              <w:rPr>
                <w:rFonts w:ascii="Times New Roman" w:eastAsia="宋体" w:hAnsi="Times New Roman" w:cs="Times New Roman"/>
                <w:color w:val="000000" w:themeColor="text1"/>
                <w:spacing w:val="-2"/>
                <w:szCs w:val="21"/>
              </w:rPr>
              <w:t xml:space="preserve"> </w:t>
            </w:r>
            <w:r w:rsidRPr="00092862">
              <w:rPr>
                <w:rFonts w:ascii="Times New Roman" w:eastAsia="宋体" w:hAnsi="Times New Roman" w:cs="Times New Roman"/>
                <w:i/>
                <w:iCs/>
                <w:color w:val="000000" w:themeColor="text1"/>
                <w:spacing w:val="-2"/>
                <w:szCs w:val="21"/>
              </w:rPr>
              <w:t>heterophylla</w:t>
            </w:r>
          </w:p>
        </w:tc>
        <w:tc>
          <w:tcPr>
            <w:tcW w:w="1805" w:type="dxa"/>
            <w:gridSpan w:val="3"/>
            <w:vAlign w:val="center"/>
          </w:tcPr>
          <w:p w14:paraId="5FC4FF4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23820F5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4F92B66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A6C395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4E00FED"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48A0C398" w14:textId="77777777" w:rsidR="009E4715" w:rsidRPr="00092862" w:rsidRDefault="009E4715" w:rsidP="009E4715">
      <w:pPr>
        <w:spacing w:line="500" w:lineRule="exact"/>
        <w:ind w:left="60" w:right="100" w:firstLine="482"/>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样方</w:t>
      </w:r>
      <w:r w:rsidRPr="00092862">
        <w:rPr>
          <w:rFonts w:ascii="Times New Roman" w:eastAsia="宋体" w:hAnsi="Times New Roman" w:cs="Times New Roman"/>
          <w:b/>
          <w:color w:val="000000" w:themeColor="text1"/>
          <w:szCs w:val="21"/>
        </w:rPr>
        <w:t xml:space="preserve">6 </w:t>
      </w:r>
      <w:r w:rsidRPr="00092862">
        <w:rPr>
          <w:rFonts w:ascii="Times New Roman" w:eastAsia="宋体" w:hAnsi="Times New Roman" w:cs="Times New Roman"/>
          <w:b/>
          <w:color w:val="000000" w:themeColor="text1"/>
          <w:szCs w:val="21"/>
        </w:rPr>
        <w:t>马桑、黄荆、火棘、荚蒾群系样方表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481"/>
        <w:gridCol w:w="621"/>
        <w:gridCol w:w="648"/>
        <w:gridCol w:w="550"/>
        <w:gridCol w:w="523"/>
        <w:gridCol w:w="659"/>
        <w:gridCol w:w="743"/>
      </w:tblGrid>
      <w:tr w:rsidR="00697429" w:rsidRPr="00092862" w14:paraId="20BABCB1" w14:textId="77777777" w:rsidTr="00A75B69">
        <w:trPr>
          <w:trHeight w:val="755"/>
          <w:jc w:val="center"/>
        </w:trPr>
        <w:tc>
          <w:tcPr>
            <w:tcW w:w="570" w:type="dxa"/>
            <w:vAlign w:val="center"/>
          </w:tcPr>
          <w:p w14:paraId="5A7C746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7389CF7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107.8170,31.4542</w:t>
            </w:r>
          </w:p>
        </w:tc>
        <w:tc>
          <w:tcPr>
            <w:tcW w:w="703" w:type="dxa"/>
            <w:vAlign w:val="center"/>
          </w:tcPr>
          <w:p w14:paraId="08E89F0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r w:rsidRPr="00092862">
              <w:rPr>
                <w:rFonts w:ascii="Times New Roman" w:eastAsia="宋体" w:hAnsi="Times New Roman" w:cs="Times New Roman"/>
                <w:bCs/>
                <w:color w:val="000000" w:themeColor="text1"/>
                <w:szCs w:val="21"/>
              </w:rPr>
              <w:t>）</w:t>
            </w:r>
          </w:p>
        </w:tc>
        <w:tc>
          <w:tcPr>
            <w:tcW w:w="481" w:type="dxa"/>
            <w:vAlign w:val="center"/>
          </w:tcPr>
          <w:p w14:paraId="5F28F1F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1165</w:t>
            </w:r>
          </w:p>
        </w:tc>
        <w:tc>
          <w:tcPr>
            <w:tcW w:w="621" w:type="dxa"/>
            <w:vAlign w:val="center"/>
          </w:tcPr>
          <w:p w14:paraId="40D722D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1861507A"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石灰土</w:t>
            </w:r>
          </w:p>
        </w:tc>
        <w:tc>
          <w:tcPr>
            <w:tcW w:w="550" w:type="dxa"/>
            <w:vAlign w:val="center"/>
          </w:tcPr>
          <w:p w14:paraId="68592A2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3FB28E6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w:t>
            </w:r>
          </w:p>
        </w:tc>
        <w:tc>
          <w:tcPr>
            <w:tcW w:w="659" w:type="dxa"/>
            <w:vAlign w:val="center"/>
          </w:tcPr>
          <w:p w14:paraId="400DF1C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7200B8B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r w:rsidR="00697429" w:rsidRPr="00092862" w14:paraId="3028B8AD" w14:textId="77777777" w:rsidTr="00A75B69">
        <w:trPr>
          <w:trHeight w:val="308"/>
          <w:jc w:val="center"/>
        </w:trPr>
        <w:tc>
          <w:tcPr>
            <w:tcW w:w="570" w:type="dxa"/>
            <w:vAlign w:val="center"/>
          </w:tcPr>
          <w:p w14:paraId="36E589F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EEAEDB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35AEAAF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08E2DBD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0218B3D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08B7950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05DBD15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5CFA7A6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10372F9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08F6CDE3" w14:textId="77777777" w:rsidTr="00A75B69">
        <w:trPr>
          <w:trHeight w:val="308"/>
          <w:jc w:val="center"/>
        </w:trPr>
        <w:tc>
          <w:tcPr>
            <w:tcW w:w="570" w:type="dxa"/>
            <w:vMerge w:val="restart"/>
            <w:vAlign w:val="center"/>
          </w:tcPr>
          <w:p w14:paraId="2541870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灌木层</w:t>
            </w:r>
          </w:p>
        </w:tc>
        <w:tc>
          <w:tcPr>
            <w:tcW w:w="3928" w:type="dxa"/>
            <w:vAlign w:val="center"/>
          </w:tcPr>
          <w:p w14:paraId="5DE5407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火棘</w:t>
            </w:r>
            <w:r w:rsidRPr="00092862">
              <w:rPr>
                <w:rFonts w:ascii="Times New Roman" w:eastAsia="宋体" w:hAnsi="Times New Roman" w:cs="Times New Roman"/>
                <w:i/>
                <w:iCs/>
                <w:color w:val="000000" w:themeColor="text1"/>
                <w:szCs w:val="21"/>
              </w:rPr>
              <w:t>Pyracantha fortuneana</w:t>
            </w:r>
          </w:p>
        </w:tc>
        <w:tc>
          <w:tcPr>
            <w:tcW w:w="1805" w:type="dxa"/>
            <w:gridSpan w:val="3"/>
            <w:vAlign w:val="center"/>
          </w:tcPr>
          <w:p w14:paraId="3EE75F9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2.4</w:t>
            </w:r>
          </w:p>
        </w:tc>
        <w:tc>
          <w:tcPr>
            <w:tcW w:w="648" w:type="dxa"/>
            <w:vAlign w:val="center"/>
          </w:tcPr>
          <w:p w14:paraId="4D4BD4F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1073" w:type="dxa"/>
            <w:gridSpan w:val="2"/>
            <w:vAlign w:val="center"/>
          </w:tcPr>
          <w:p w14:paraId="7135D3C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3.5</w:t>
            </w:r>
          </w:p>
        </w:tc>
        <w:tc>
          <w:tcPr>
            <w:tcW w:w="659" w:type="dxa"/>
            <w:vAlign w:val="center"/>
          </w:tcPr>
          <w:p w14:paraId="390A878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3FD56C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09E44A08" w14:textId="77777777" w:rsidTr="00A75B69">
        <w:trPr>
          <w:trHeight w:val="308"/>
          <w:jc w:val="center"/>
        </w:trPr>
        <w:tc>
          <w:tcPr>
            <w:tcW w:w="570" w:type="dxa"/>
            <w:vMerge/>
            <w:vAlign w:val="center"/>
          </w:tcPr>
          <w:p w14:paraId="7F453CC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E398AC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黄荆</w:t>
            </w:r>
            <w:r w:rsidRPr="00092862">
              <w:rPr>
                <w:rFonts w:ascii="Times New Roman" w:eastAsia="宋体" w:hAnsi="Times New Roman" w:cs="Times New Roman"/>
                <w:i/>
                <w:iCs/>
                <w:color w:val="000000" w:themeColor="text1"/>
                <w:szCs w:val="21"/>
              </w:rPr>
              <w:t>Vitex negundo</w:t>
            </w:r>
          </w:p>
        </w:tc>
        <w:tc>
          <w:tcPr>
            <w:tcW w:w="1805" w:type="dxa"/>
            <w:gridSpan w:val="3"/>
            <w:vAlign w:val="center"/>
          </w:tcPr>
          <w:p w14:paraId="208E41D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2.3</w:t>
            </w:r>
          </w:p>
        </w:tc>
        <w:tc>
          <w:tcPr>
            <w:tcW w:w="648" w:type="dxa"/>
            <w:vAlign w:val="center"/>
          </w:tcPr>
          <w:p w14:paraId="0C7FF85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w:t>
            </w:r>
          </w:p>
        </w:tc>
        <w:tc>
          <w:tcPr>
            <w:tcW w:w="1073" w:type="dxa"/>
            <w:gridSpan w:val="2"/>
            <w:vAlign w:val="center"/>
          </w:tcPr>
          <w:p w14:paraId="246726C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24468B5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15C382F"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595CA854" w14:textId="77777777" w:rsidTr="00A75B69">
        <w:trPr>
          <w:trHeight w:val="308"/>
          <w:jc w:val="center"/>
        </w:trPr>
        <w:tc>
          <w:tcPr>
            <w:tcW w:w="570" w:type="dxa"/>
            <w:vMerge/>
            <w:vAlign w:val="center"/>
          </w:tcPr>
          <w:p w14:paraId="15F8B80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01B9857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pacing w:val="8"/>
                <w:szCs w:val="21"/>
              </w:rPr>
              <w:t>荚蒾（</w:t>
            </w:r>
            <w:r w:rsidRPr="00092862">
              <w:rPr>
                <w:rFonts w:ascii="Times New Roman" w:eastAsia="宋体" w:hAnsi="Times New Roman" w:cs="Times New Roman"/>
                <w:i/>
                <w:iCs/>
                <w:color w:val="000000" w:themeColor="text1"/>
                <w:position w:val="3"/>
                <w:szCs w:val="21"/>
              </w:rPr>
              <w:t>Viburnum dilatatum</w:t>
            </w:r>
            <w:r w:rsidRPr="00092862">
              <w:rPr>
                <w:rFonts w:ascii="Times New Roman" w:eastAsia="宋体" w:hAnsi="Times New Roman" w:cs="Times New Roman"/>
                <w:color w:val="000000" w:themeColor="text1"/>
                <w:spacing w:val="8"/>
                <w:szCs w:val="21"/>
              </w:rPr>
              <w:t>）</w:t>
            </w:r>
          </w:p>
        </w:tc>
        <w:tc>
          <w:tcPr>
            <w:tcW w:w="1805" w:type="dxa"/>
            <w:gridSpan w:val="3"/>
            <w:vAlign w:val="center"/>
          </w:tcPr>
          <w:p w14:paraId="45420FA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2.7</w:t>
            </w:r>
          </w:p>
        </w:tc>
        <w:tc>
          <w:tcPr>
            <w:tcW w:w="648" w:type="dxa"/>
            <w:vAlign w:val="center"/>
          </w:tcPr>
          <w:p w14:paraId="125F695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w:t>
            </w:r>
          </w:p>
        </w:tc>
        <w:tc>
          <w:tcPr>
            <w:tcW w:w="1073" w:type="dxa"/>
            <w:gridSpan w:val="2"/>
            <w:vAlign w:val="center"/>
          </w:tcPr>
          <w:p w14:paraId="7158054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58CEEE6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59D94A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15CFB1E0" w14:textId="77777777" w:rsidTr="00A75B69">
        <w:trPr>
          <w:trHeight w:val="308"/>
          <w:jc w:val="center"/>
        </w:trPr>
        <w:tc>
          <w:tcPr>
            <w:tcW w:w="570" w:type="dxa"/>
            <w:vMerge/>
            <w:vAlign w:val="center"/>
          </w:tcPr>
          <w:p w14:paraId="52B27A4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40AC95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马桑</w:t>
            </w:r>
            <w:r w:rsidRPr="00092862">
              <w:rPr>
                <w:rFonts w:ascii="Times New Roman" w:eastAsia="宋体" w:hAnsi="Times New Roman" w:cs="Times New Roman"/>
                <w:i/>
                <w:iCs/>
                <w:color w:val="000000" w:themeColor="text1"/>
                <w:szCs w:val="21"/>
              </w:rPr>
              <w:t>Coriaria nepalensis</w:t>
            </w:r>
          </w:p>
        </w:tc>
        <w:tc>
          <w:tcPr>
            <w:tcW w:w="1805" w:type="dxa"/>
            <w:gridSpan w:val="3"/>
            <w:vAlign w:val="center"/>
          </w:tcPr>
          <w:p w14:paraId="4CDBFC7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w:t>
            </w:r>
          </w:p>
        </w:tc>
        <w:tc>
          <w:tcPr>
            <w:tcW w:w="648" w:type="dxa"/>
            <w:vAlign w:val="center"/>
          </w:tcPr>
          <w:p w14:paraId="2E71D2A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w:t>
            </w:r>
          </w:p>
        </w:tc>
        <w:tc>
          <w:tcPr>
            <w:tcW w:w="1073" w:type="dxa"/>
            <w:gridSpan w:val="2"/>
            <w:vAlign w:val="center"/>
          </w:tcPr>
          <w:p w14:paraId="5FAB0D9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2.3</w:t>
            </w:r>
          </w:p>
        </w:tc>
        <w:tc>
          <w:tcPr>
            <w:tcW w:w="659" w:type="dxa"/>
            <w:vAlign w:val="center"/>
          </w:tcPr>
          <w:p w14:paraId="403500D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C6D3D2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290661AD" w14:textId="77777777" w:rsidTr="00A75B69">
        <w:trPr>
          <w:trHeight w:val="308"/>
          <w:jc w:val="center"/>
        </w:trPr>
        <w:tc>
          <w:tcPr>
            <w:tcW w:w="570" w:type="dxa"/>
            <w:vMerge/>
            <w:vAlign w:val="center"/>
          </w:tcPr>
          <w:p w14:paraId="5BE7946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E34E57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野桐</w:t>
            </w:r>
            <w:r w:rsidRPr="00092862">
              <w:rPr>
                <w:rFonts w:ascii="Times New Roman" w:eastAsia="宋体" w:hAnsi="Times New Roman" w:cs="Times New Roman"/>
                <w:i/>
                <w:iCs/>
                <w:color w:val="000000" w:themeColor="text1"/>
                <w:szCs w:val="21"/>
              </w:rPr>
              <w:t>Mallotus japonicus var. floccosus</w:t>
            </w:r>
          </w:p>
        </w:tc>
        <w:tc>
          <w:tcPr>
            <w:tcW w:w="1805" w:type="dxa"/>
            <w:gridSpan w:val="3"/>
            <w:vAlign w:val="center"/>
          </w:tcPr>
          <w:p w14:paraId="2E54135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w:t>
            </w:r>
          </w:p>
        </w:tc>
        <w:tc>
          <w:tcPr>
            <w:tcW w:w="648" w:type="dxa"/>
            <w:vAlign w:val="center"/>
          </w:tcPr>
          <w:p w14:paraId="6A760BC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4DADB23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w:t>
            </w:r>
          </w:p>
        </w:tc>
        <w:tc>
          <w:tcPr>
            <w:tcW w:w="659" w:type="dxa"/>
            <w:vAlign w:val="center"/>
          </w:tcPr>
          <w:p w14:paraId="1B9AF6A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2F4EBC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4F625530" w14:textId="77777777" w:rsidTr="00A75B69">
        <w:trPr>
          <w:trHeight w:val="308"/>
          <w:jc w:val="center"/>
        </w:trPr>
        <w:tc>
          <w:tcPr>
            <w:tcW w:w="570" w:type="dxa"/>
            <w:vMerge/>
            <w:vAlign w:val="center"/>
          </w:tcPr>
          <w:p w14:paraId="74DDF3A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01D9244A"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pacing w:val="2"/>
                <w:szCs w:val="21"/>
              </w:rPr>
              <w:t>杜鹃（</w:t>
            </w:r>
            <w:r w:rsidRPr="00092862">
              <w:rPr>
                <w:rFonts w:ascii="Times New Roman" w:eastAsia="宋体" w:hAnsi="Times New Roman" w:cs="Times New Roman"/>
                <w:i/>
                <w:iCs/>
                <w:color w:val="000000" w:themeColor="text1"/>
                <w:szCs w:val="21"/>
              </w:rPr>
              <w:t xml:space="preserve">Rhododendron simsii </w:t>
            </w:r>
            <w:r w:rsidRPr="00092862">
              <w:rPr>
                <w:rFonts w:ascii="Times New Roman" w:eastAsia="宋体" w:hAnsi="Times New Roman" w:cs="Times New Roman"/>
                <w:color w:val="000000" w:themeColor="text1"/>
                <w:szCs w:val="21"/>
              </w:rPr>
              <w:t>Planch.</w:t>
            </w:r>
            <w:r w:rsidRPr="00092862">
              <w:rPr>
                <w:rFonts w:ascii="Times New Roman" w:eastAsia="宋体" w:hAnsi="Times New Roman" w:cs="Times New Roman"/>
                <w:color w:val="000000" w:themeColor="text1"/>
                <w:spacing w:val="2"/>
                <w:szCs w:val="21"/>
              </w:rPr>
              <w:t>）</w:t>
            </w:r>
          </w:p>
        </w:tc>
        <w:tc>
          <w:tcPr>
            <w:tcW w:w="1805" w:type="dxa"/>
            <w:gridSpan w:val="3"/>
            <w:vAlign w:val="center"/>
          </w:tcPr>
          <w:p w14:paraId="0251DD7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648" w:type="dxa"/>
            <w:vAlign w:val="center"/>
          </w:tcPr>
          <w:p w14:paraId="19A9C2A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1073" w:type="dxa"/>
            <w:gridSpan w:val="2"/>
            <w:vAlign w:val="center"/>
          </w:tcPr>
          <w:p w14:paraId="209D2F6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w:t>
            </w:r>
          </w:p>
        </w:tc>
        <w:tc>
          <w:tcPr>
            <w:tcW w:w="659" w:type="dxa"/>
            <w:vAlign w:val="center"/>
          </w:tcPr>
          <w:p w14:paraId="4930FB4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724872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24D0CBEC" w14:textId="77777777" w:rsidTr="00A75B69">
        <w:trPr>
          <w:trHeight w:val="308"/>
          <w:jc w:val="center"/>
        </w:trPr>
        <w:tc>
          <w:tcPr>
            <w:tcW w:w="570" w:type="dxa"/>
            <w:vMerge/>
            <w:vAlign w:val="center"/>
          </w:tcPr>
          <w:p w14:paraId="0A6AE0E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142451F"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川莓</w:t>
            </w:r>
            <w:r w:rsidRPr="00092862">
              <w:rPr>
                <w:rFonts w:ascii="Times New Roman" w:eastAsia="宋体" w:hAnsi="Times New Roman" w:cs="Times New Roman"/>
                <w:i/>
                <w:iCs/>
                <w:color w:val="000000" w:themeColor="text1"/>
                <w:szCs w:val="21"/>
              </w:rPr>
              <w:t xml:space="preserve">Rubus setchuenensis </w:t>
            </w:r>
            <w:r w:rsidRPr="00092862">
              <w:rPr>
                <w:rFonts w:ascii="Times New Roman" w:eastAsia="宋体" w:hAnsi="Times New Roman" w:cs="Times New Roman"/>
                <w:color w:val="000000" w:themeColor="text1"/>
                <w:szCs w:val="21"/>
              </w:rPr>
              <w:t>Bureau et Franch.</w:t>
            </w:r>
          </w:p>
        </w:tc>
        <w:tc>
          <w:tcPr>
            <w:tcW w:w="1805" w:type="dxa"/>
            <w:gridSpan w:val="3"/>
            <w:vAlign w:val="center"/>
          </w:tcPr>
          <w:p w14:paraId="26629C3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3010B22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1073" w:type="dxa"/>
            <w:gridSpan w:val="2"/>
            <w:vAlign w:val="center"/>
          </w:tcPr>
          <w:p w14:paraId="0B8FE59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59" w:type="dxa"/>
            <w:vAlign w:val="center"/>
          </w:tcPr>
          <w:p w14:paraId="2A671CF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0CEB3B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3485DDF5" w14:textId="77777777" w:rsidTr="00A75B69">
        <w:trPr>
          <w:trHeight w:val="308"/>
          <w:jc w:val="center"/>
        </w:trPr>
        <w:tc>
          <w:tcPr>
            <w:tcW w:w="570" w:type="dxa"/>
            <w:vMerge/>
            <w:vAlign w:val="center"/>
          </w:tcPr>
          <w:p w14:paraId="792BD3C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1697315"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美丽胡枝子</w:t>
            </w:r>
            <w:r w:rsidRPr="00092862">
              <w:rPr>
                <w:rFonts w:ascii="Times New Roman" w:eastAsia="宋体" w:hAnsi="Times New Roman" w:cs="Times New Roman"/>
                <w:i/>
                <w:iCs/>
                <w:color w:val="000000" w:themeColor="text1"/>
                <w:szCs w:val="21"/>
              </w:rPr>
              <w:t>Lespedeza formosa</w:t>
            </w:r>
          </w:p>
        </w:tc>
        <w:tc>
          <w:tcPr>
            <w:tcW w:w="1805" w:type="dxa"/>
            <w:gridSpan w:val="3"/>
            <w:vAlign w:val="center"/>
          </w:tcPr>
          <w:p w14:paraId="6570C02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648" w:type="dxa"/>
            <w:vAlign w:val="center"/>
          </w:tcPr>
          <w:p w14:paraId="3189462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1073" w:type="dxa"/>
            <w:gridSpan w:val="2"/>
            <w:vAlign w:val="center"/>
          </w:tcPr>
          <w:p w14:paraId="7A543A4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w:t>
            </w:r>
          </w:p>
        </w:tc>
        <w:tc>
          <w:tcPr>
            <w:tcW w:w="659" w:type="dxa"/>
            <w:vAlign w:val="center"/>
          </w:tcPr>
          <w:p w14:paraId="0C4C8AE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F79F3A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盛</w:t>
            </w:r>
          </w:p>
        </w:tc>
      </w:tr>
      <w:tr w:rsidR="00697429" w:rsidRPr="00092862" w14:paraId="1B0D6CBE" w14:textId="77777777" w:rsidTr="00A75B69">
        <w:trPr>
          <w:trHeight w:val="308"/>
          <w:jc w:val="center"/>
        </w:trPr>
        <w:tc>
          <w:tcPr>
            <w:tcW w:w="570" w:type="dxa"/>
            <w:vMerge/>
            <w:vAlign w:val="center"/>
          </w:tcPr>
          <w:p w14:paraId="0EA0DD25"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C507F73"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山胡椒</w:t>
            </w:r>
            <w:r w:rsidRPr="00092862">
              <w:rPr>
                <w:rFonts w:ascii="Times New Roman" w:eastAsia="宋体" w:hAnsi="Times New Roman" w:cs="Times New Roman"/>
                <w:i/>
                <w:iCs/>
                <w:color w:val="000000" w:themeColor="text1"/>
                <w:szCs w:val="21"/>
              </w:rPr>
              <w:t>Lindera sp.</w:t>
            </w:r>
          </w:p>
        </w:tc>
        <w:tc>
          <w:tcPr>
            <w:tcW w:w="1805" w:type="dxa"/>
            <w:gridSpan w:val="3"/>
            <w:vAlign w:val="center"/>
          </w:tcPr>
          <w:p w14:paraId="473642A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w:t>
            </w:r>
          </w:p>
        </w:tc>
        <w:tc>
          <w:tcPr>
            <w:tcW w:w="648" w:type="dxa"/>
            <w:vAlign w:val="center"/>
          </w:tcPr>
          <w:p w14:paraId="07A805B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1073" w:type="dxa"/>
            <w:gridSpan w:val="2"/>
            <w:vAlign w:val="center"/>
          </w:tcPr>
          <w:p w14:paraId="53F1144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659" w:type="dxa"/>
            <w:vAlign w:val="center"/>
          </w:tcPr>
          <w:p w14:paraId="62A3C1D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F50D52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w:t>
            </w:r>
          </w:p>
        </w:tc>
      </w:tr>
      <w:tr w:rsidR="00697429" w:rsidRPr="00092862" w14:paraId="7D7A56DF" w14:textId="77777777" w:rsidTr="00A75B69">
        <w:trPr>
          <w:trHeight w:val="308"/>
          <w:jc w:val="center"/>
        </w:trPr>
        <w:tc>
          <w:tcPr>
            <w:tcW w:w="570" w:type="dxa"/>
            <w:vMerge w:val="restart"/>
            <w:vAlign w:val="center"/>
          </w:tcPr>
          <w:p w14:paraId="6D11845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5410181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千里光</w:t>
            </w:r>
            <w:r w:rsidRPr="00092862">
              <w:rPr>
                <w:rFonts w:ascii="Times New Roman" w:eastAsia="宋体" w:hAnsi="Times New Roman" w:cs="Times New Roman"/>
                <w:i/>
                <w:iCs/>
                <w:color w:val="000000" w:themeColor="text1"/>
                <w:szCs w:val="21"/>
              </w:rPr>
              <w:t xml:space="preserve">Senecio scandens </w:t>
            </w:r>
            <w:r w:rsidRPr="00092862">
              <w:rPr>
                <w:rFonts w:ascii="Times New Roman" w:eastAsia="宋体" w:hAnsi="Times New Roman" w:cs="Times New Roman"/>
                <w:color w:val="000000" w:themeColor="text1"/>
                <w:szCs w:val="21"/>
              </w:rPr>
              <w:t>Buch.-Ham. ex D. Don</w:t>
            </w:r>
          </w:p>
        </w:tc>
        <w:tc>
          <w:tcPr>
            <w:tcW w:w="1805" w:type="dxa"/>
            <w:gridSpan w:val="3"/>
            <w:vAlign w:val="center"/>
          </w:tcPr>
          <w:p w14:paraId="0877F8D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0.25</w:t>
            </w:r>
          </w:p>
        </w:tc>
        <w:tc>
          <w:tcPr>
            <w:tcW w:w="648" w:type="dxa"/>
            <w:vAlign w:val="center"/>
          </w:tcPr>
          <w:p w14:paraId="7D92914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Cop</w:t>
            </w:r>
            <w:r w:rsidRPr="00092862">
              <w:rPr>
                <w:rFonts w:ascii="Times New Roman" w:eastAsia="宋体" w:hAnsi="Times New Roman" w:cs="Times New Roman"/>
                <w:color w:val="000000" w:themeColor="text1"/>
                <w:szCs w:val="21"/>
                <w:vertAlign w:val="subscript"/>
              </w:rPr>
              <w:t>3</w:t>
            </w:r>
          </w:p>
        </w:tc>
        <w:tc>
          <w:tcPr>
            <w:tcW w:w="1073" w:type="dxa"/>
            <w:gridSpan w:val="2"/>
            <w:vAlign w:val="center"/>
          </w:tcPr>
          <w:p w14:paraId="7ADBE83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1698D2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95A04E4"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5BFD94D" w14:textId="77777777" w:rsidTr="00A75B69">
        <w:trPr>
          <w:trHeight w:val="308"/>
          <w:jc w:val="center"/>
        </w:trPr>
        <w:tc>
          <w:tcPr>
            <w:tcW w:w="570" w:type="dxa"/>
            <w:vMerge/>
            <w:vAlign w:val="center"/>
          </w:tcPr>
          <w:p w14:paraId="5963A41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E9BFD8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糙苏</w:t>
            </w:r>
            <w:r w:rsidRPr="00092862">
              <w:rPr>
                <w:rFonts w:ascii="Times New Roman" w:eastAsia="宋体" w:hAnsi="Times New Roman" w:cs="Times New Roman"/>
                <w:i/>
                <w:iCs/>
                <w:color w:val="000000" w:themeColor="text1"/>
                <w:szCs w:val="21"/>
              </w:rPr>
              <w:t>Phlomis umbrosa</w:t>
            </w:r>
          </w:p>
        </w:tc>
        <w:tc>
          <w:tcPr>
            <w:tcW w:w="1805" w:type="dxa"/>
            <w:gridSpan w:val="3"/>
            <w:vAlign w:val="center"/>
          </w:tcPr>
          <w:p w14:paraId="2159C35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648" w:type="dxa"/>
            <w:vAlign w:val="center"/>
          </w:tcPr>
          <w:p w14:paraId="0BA89DC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Cop</w:t>
            </w:r>
            <w:r w:rsidRPr="00092862">
              <w:rPr>
                <w:rFonts w:ascii="Times New Roman" w:eastAsia="宋体" w:hAnsi="Times New Roman" w:cs="Times New Roman"/>
                <w:color w:val="000000" w:themeColor="text1"/>
                <w:szCs w:val="21"/>
                <w:vertAlign w:val="subscript"/>
              </w:rPr>
              <w:t>1</w:t>
            </w:r>
          </w:p>
        </w:tc>
        <w:tc>
          <w:tcPr>
            <w:tcW w:w="1073" w:type="dxa"/>
            <w:gridSpan w:val="2"/>
            <w:vAlign w:val="center"/>
          </w:tcPr>
          <w:p w14:paraId="5EB9B0B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14BD12A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4817705"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146984A" w14:textId="77777777" w:rsidTr="00A75B69">
        <w:trPr>
          <w:trHeight w:val="308"/>
          <w:jc w:val="center"/>
        </w:trPr>
        <w:tc>
          <w:tcPr>
            <w:tcW w:w="570" w:type="dxa"/>
            <w:vMerge/>
            <w:vAlign w:val="center"/>
          </w:tcPr>
          <w:p w14:paraId="0C003AB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FD831F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白茅</w:t>
            </w:r>
            <w:r w:rsidRPr="00092862">
              <w:rPr>
                <w:rFonts w:ascii="Times New Roman" w:eastAsia="宋体" w:hAnsi="Times New Roman" w:cs="Times New Roman"/>
                <w:i/>
                <w:iCs/>
                <w:color w:val="000000" w:themeColor="text1"/>
                <w:szCs w:val="21"/>
              </w:rPr>
              <w:t>Imperata cylindrica</w:t>
            </w:r>
            <w:r w:rsidRPr="00092862">
              <w:rPr>
                <w:rFonts w:ascii="Times New Roman" w:eastAsia="宋体" w:hAnsi="Times New Roman" w:cs="Times New Roman"/>
                <w:color w:val="000000" w:themeColor="text1"/>
                <w:szCs w:val="21"/>
              </w:rPr>
              <w:t xml:space="preserve"> </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Linn.</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 Beauv.</w:t>
            </w:r>
          </w:p>
        </w:tc>
        <w:tc>
          <w:tcPr>
            <w:tcW w:w="1805" w:type="dxa"/>
            <w:gridSpan w:val="3"/>
            <w:vAlign w:val="center"/>
          </w:tcPr>
          <w:p w14:paraId="24030F7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2474ACE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2B19287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F32AA0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5B0F8D3"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582D877" w14:textId="77777777" w:rsidTr="00A75B69">
        <w:trPr>
          <w:trHeight w:val="308"/>
          <w:jc w:val="center"/>
        </w:trPr>
        <w:tc>
          <w:tcPr>
            <w:tcW w:w="570" w:type="dxa"/>
            <w:vMerge/>
            <w:vAlign w:val="center"/>
          </w:tcPr>
          <w:p w14:paraId="0C4CF60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F860A6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车前</w:t>
            </w:r>
            <w:r w:rsidRPr="00092862">
              <w:rPr>
                <w:rFonts w:ascii="Times New Roman" w:eastAsia="宋体" w:hAnsi="Times New Roman" w:cs="Times New Roman"/>
                <w:i/>
                <w:iCs/>
                <w:color w:val="000000" w:themeColor="text1"/>
                <w:szCs w:val="21"/>
              </w:rPr>
              <w:t xml:space="preserve">Plantago asiatica </w:t>
            </w:r>
            <w:r w:rsidRPr="00092862">
              <w:rPr>
                <w:rFonts w:ascii="Times New Roman" w:eastAsia="宋体" w:hAnsi="Times New Roman" w:cs="Times New Roman"/>
                <w:color w:val="000000" w:themeColor="text1"/>
                <w:szCs w:val="21"/>
              </w:rPr>
              <w:t>L.</w:t>
            </w:r>
          </w:p>
        </w:tc>
        <w:tc>
          <w:tcPr>
            <w:tcW w:w="1805" w:type="dxa"/>
            <w:gridSpan w:val="3"/>
            <w:vAlign w:val="center"/>
          </w:tcPr>
          <w:p w14:paraId="544B1EA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60E3B22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1A355E1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0C66E0B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1C674FC"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2D311925" w14:textId="77777777" w:rsidTr="00A75B69">
        <w:trPr>
          <w:trHeight w:val="308"/>
          <w:jc w:val="center"/>
        </w:trPr>
        <w:tc>
          <w:tcPr>
            <w:tcW w:w="570" w:type="dxa"/>
            <w:vMerge/>
            <w:vAlign w:val="center"/>
          </w:tcPr>
          <w:p w14:paraId="57B71CC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26D8E0E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聚花过路黄</w:t>
            </w:r>
            <w:r w:rsidRPr="00092862">
              <w:rPr>
                <w:rFonts w:ascii="Times New Roman" w:eastAsia="宋体" w:hAnsi="Times New Roman" w:cs="Times New Roman"/>
                <w:i/>
                <w:iCs/>
                <w:color w:val="000000" w:themeColor="text1"/>
                <w:szCs w:val="21"/>
              </w:rPr>
              <w:t xml:space="preserve">Lysimachia congestiflora </w:t>
            </w:r>
            <w:r w:rsidRPr="00092862">
              <w:rPr>
                <w:rFonts w:ascii="Times New Roman" w:eastAsia="宋体" w:hAnsi="Times New Roman" w:cs="Times New Roman"/>
                <w:color w:val="000000" w:themeColor="text1"/>
                <w:szCs w:val="21"/>
              </w:rPr>
              <w:t>Hemsl.</w:t>
            </w:r>
          </w:p>
        </w:tc>
        <w:tc>
          <w:tcPr>
            <w:tcW w:w="1805" w:type="dxa"/>
            <w:gridSpan w:val="3"/>
            <w:vAlign w:val="center"/>
          </w:tcPr>
          <w:p w14:paraId="6939D8F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0.25</w:t>
            </w:r>
          </w:p>
        </w:tc>
        <w:tc>
          <w:tcPr>
            <w:tcW w:w="648" w:type="dxa"/>
            <w:vAlign w:val="center"/>
          </w:tcPr>
          <w:p w14:paraId="6B46232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7CC030D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41E8AA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2B963A9"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7AC5415" w14:textId="77777777" w:rsidTr="00A75B69">
        <w:trPr>
          <w:trHeight w:val="308"/>
          <w:jc w:val="center"/>
        </w:trPr>
        <w:tc>
          <w:tcPr>
            <w:tcW w:w="570" w:type="dxa"/>
            <w:vMerge/>
            <w:vAlign w:val="center"/>
          </w:tcPr>
          <w:p w14:paraId="4F9E769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0D39142B"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蕺菜</w:t>
            </w:r>
            <w:r w:rsidRPr="00092862">
              <w:rPr>
                <w:rFonts w:ascii="Times New Roman" w:eastAsia="宋体" w:hAnsi="Times New Roman" w:cs="Times New Roman"/>
                <w:i/>
                <w:iCs/>
                <w:color w:val="000000" w:themeColor="text1"/>
                <w:szCs w:val="21"/>
              </w:rPr>
              <w:t xml:space="preserve">Houttuynia cordata </w:t>
            </w:r>
            <w:r w:rsidRPr="00092862">
              <w:rPr>
                <w:rFonts w:ascii="Times New Roman" w:eastAsia="宋体" w:hAnsi="Times New Roman" w:cs="Times New Roman"/>
                <w:color w:val="000000" w:themeColor="text1"/>
                <w:szCs w:val="21"/>
              </w:rPr>
              <w:t>Thunb</w:t>
            </w:r>
          </w:p>
        </w:tc>
        <w:tc>
          <w:tcPr>
            <w:tcW w:w="1805" w:type="dxa"/>
            <w:gridSpan w:val="3"/>
            <w:vAlign w:val="center"/>
          </w:tcPr>
          <w:p w14:paraId="61C772C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w:t>
            </w:r>
          </w:p>
        </w:tc>
        <w:tc>
          <w:tcPr>
            <w:tcW w:w="648" w:type="dxa"/>
            <w:vAlign w:val="center"/>
          </w:tcPr>
          <w:p w14:paraId="3B8A851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4C1FE26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E3D3B3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E16B1B6"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411CFDA1" w14:textId="77777777" w:rsidTr="00A75B69">
        <w:trPr>
          <w:trHeight w:val="308"/>
          <w:jc w:val="center"/>
        </w:trPr>
        <w:tc>
          <w:tcPr>
            <w:tcW w:w="570" w:type="dxa"/>
            <w:vMerge/>
            <w:vAlign w:val="center"/>
          </w:tcPr>
          <w:p w14:paraId="49226F9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920A689"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草莓</w:t>
            </w:r>
            <w:r w:rsidRPr="00092862">
              <w:rPr>
                <w:rFonts w:ascii="Times New Roman" w:eastAsia="宋体" w:hAnsi="Times New Roman" w:cs="Times New Roman"/>
                <w:i/>
                <w:iCs/>
                <w:color w:val="000000" w:themeColor="text1"/>
                <w:szCs w:val="21"/>
              </w:rPr>
              <w:t xml:space="preserve">Fragaria ananassa </w:t>
            </w:r>
            <w:r w:rsidRPr="00092862">
              <w:rPr>
                <w:rFonts w:ascii="Times New Roman" w:eastAsia="宋体" w:hAnsi="Times New Roman" w:cs="Times New Roman"/>
                <w:color w:val="000000" w:themeColor="text1"/>
                <w:szCs w:val="21"/>
              </w:rPr>
              <w:t>Duch.</w:t>
            </w:r>
          </w:p>
        </w:tc>
        <w:tc>
          <w:tcPr>
            <w:tcW w:w="1805" w:type="dxa"/>
            <w:gridSpan w:val="3"/>
            <w:vAlign w:val="center"/>
          </w:tcPr>
          <w:p w14:paraId="04A1C11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4C78873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46E7FAE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C9088E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FE07608"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024C39A" w14:textId="77777777" w:rsidTr="00A75B69">
        <w:trPr>
          <w:trHeight w:val="308"/>
          <w:jc w:val="center"/>
        </w:trPr>
        <w:tc>
          <w:tcPr>
            <w:tcW w:w="570" w:type="dxa"/>
            <w:vMerge/>
            <w:vAlign w:val="center"/>
          </w:tcPr>
          <w:p w14:paraId="103AD27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BA91C49"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葎草</w:t>
            </w:r>
            <w:r w:rsidRPr="00092862">
              <w:rPr>
                <w:rFonts w:ascii="Times New Roman" w:eastAsia="宋体" w:hAnsi="Times New Roman" w:cs="Times New Roman"/>
                <w:i/>
                <w:iCs/>
                <w:color w:val="000000" w:themeColor="text1"/>
                <w:szCs w:val="21"/>
              </w:rPr>
              <w:t>Humulus scandens</w:t>
            </w:r>
          </w:p>
        </w:tc>
        <w:tc>
          <w:tcPr>
            <w:tcW w:w="1805" w:type="dxa"/>
            <w:gridSpan w:val="3"/>
            <w:vAlign w:val="center"/>
          </w:tcPr>
          <w:p w14:paraId="61AEFC6D"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0.4</w:t>
            </w:r>
          </w:p>
        </w:tc>
        <w:tc>
          <w:tcPr>
            <w:tcW w:w="648" w:type="dxa"/>
            <w:vAlign w:val="center"/>
          </w:tcPr>
          <w:p w14:paraId="1116CE9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3301684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8094BD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77AE98B1"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5E71BAA8" w14:textId="77777777" w:rsidTr="00A75B69">
        <w:trPr>
          <w:trHeight w:val="308"/>
          <w:jc w:val="center"/>
        </w:trPr>
        <w:tc>
          <w:tcPr>
            <w:tcW w:w="570" w:type="dxa"/>
            <w:vMerge/>
            <w:vAlign w:val="center"/>
          </w:tcPr>
          <w:p w14:paraId="1D70A3D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05495D9A"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毛蕨</w:t>
            </w:r>
            <w:r w:rsidRPr="00092862">
              <w:rPr>
                <w:rFonts w:ascii="Times New Roman" w:eastAsia="宋体" w:hAnsi="Times New Roman" w:cs="Times New Roman"/>
                <w:i/>
                <w:iCs/>
                <w:color w:val="000000" w:themeColor="text1"/>
                <w:szCs w:val="21"/>
              </w:rPr>
              <w:t xml:space="preserve">Cyclosorus interruptus </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Willd.</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 H. Ito</w:t>
            </w:r>
          </w:p>
        </w:tc>
        <w:tc>
          <w:tcPr>
            <w:tcW w:w="1805" w:type="dxa"/>
            <w:gridSpan w:val="3"/>
            <w:vAlign w:val="center"/>
          </w:tcPr>
          <w:p w14:paraId="6A98822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0.25</w:t>
            </w:r>
          </w:p>
        </w:tc>
        <w:tc>
          <w:tcPr>
            <w:tcW w:w="648" w:type="dxa"/>
            <w:vAlign w:val="center"/>
          </w:tcPr>
          <w:p w14:paraId="77C7297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2E8F167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25CE74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0120B2A3"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4C1295A6" w14:textId="77777777" w:rsidR="009E4715" w:rsidRPr="00092862" w:rsidRDefault="009E4715" w:rsidP="009E4715">
      <w:pPr>
        <w:spacing w:line="500" w:lineRule="exact"/>
        <w:ind w:left="60" w:right="100" w:firstLine="482"/>
        <w:jc w:val="center"/>
        <w:rPr>
          <w:rFonts w:ascii="Times New Roman" w:eastAsia="宋体" w:hAnsi="Times New Roman" w:cs="Times New Roman"/>
          <w:b/>
          <w:color w:val="000000" w:themeColor="text1"/>
          <w:szCs w:val="20"/>
        </w:rPr>
      </w:pPr>
      <w:r w:rsidRPr="00092862">
        <w:rPr>
          <w:rFonts w:ascii="Times New Roman" w:eastAsia="宋体" w:hAnsi="Times New Roman" w:cs="Times New Roman"/>
          <w:b/>
          <w:color w:val="000000" w:themeColor="text1"/>
          <w:szCs w:val="20"/>
        </w:rPr>
        <w:t>样方</w:t>
      </w:r>
      <w:r w:rsidRPr="00092862">
        <w:rPr>
          <w:rFonts w:ascii="Times New Roman" w:eastAsia="宋体" w:hAnsi="Times New Roman" w:cs="Times New Roman"/>
          <w:b/>
          <w:color w:val="000000" w:themeColor="text1"/>
          <w:szCs w:val="20"/>
        </w:rPr>
        <w:t xml:space="preserve">7 </w:t>
      </w:r>
      <w:r w:rsidRPr="00092862">
        <w:rPr>
          <w:rFonts w:ascii="Times New Roman" w:eastAsia="宋体" w:hAnsi="Times New Roman" w:cs="Times New Roman"/>
          <w:b/>
          <w:bCs/>
          <w:color w:val="000000" w:themeColor="text1"/>
          <w:szCs w:val="21"/>
        </w:rPr>
        <w:t>芒、</w:t>
      </w:r>
      <w:r w:rsidRPr="00092862">
        <w:rPr>
          <w:rFonts w:ascii="Times New Roman" w:eastAsia="宋体" w:hAnsi="Times New Roman" w:cs="Times New Roman"/>
          <w:b/>
          <w:color w:val="000000" w:themeColor="text1"/>
          <w:szCs w:val="20"/>
        </w:rPr>
        <w:t>白茅群系样方表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481"/>
        <w:gridCol w:w="621"/>
        <w:gridCol w:w="648"/>
        <w:gridCol w:w="550"/>
        <w:gridCol w:w="523"/>
        <w:gridCol w:w="659"/>
        <w:gridCol w:w="743"/>
      </w:tblGrid>
      <w:tr w:rsidR="00697429" w:rsidRPr="00092862" w14:paraId="04F80683" w14:textId="77777777" w:rsidTr="00A75B69">
        <w:trPr>
          <w:trHeight w:val="755"/>
          <w:jc w:val="center"/>
        </w:trPr>
        <w:tc>
          <w:tcPr>
            <w:tcW w:w="570" w:type="dxa"/>
            <w:vAlign w:val="center"/>
          </w:tcPr>
          <w:p w14:paraId="0003E5B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309039E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107.8233,31.4600</w:t>
            </w:r>
          </w:p>
        </w:tc>
        <w:tc>
          <w:tcPr>
            <w:tcW w:w="703" w:type="dxa"/>
            <w:vAlign w:val="center"/>
          </w:tcPr>
          <w:p w14:paraId="2809408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p>
        </w:tc>
        <w:tc>
          <w:tcPr>
            <w:tcW w:w="481" w:type="dxa"/>
            <w:vAlign w:val="center"/>
          </w:tcPr>
          <w:p w14:paraId="05FCA5B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1128</w:t>
            </w:r>
          </w:p>
        </w:tc>
        <w:tc>
          <w:tcPr>
            <w:tcW w:w="621" w:type="dxa"/>
            <w:vAlign w:val="center"/>
          </w:tcPr>
          <w:p w14:paraId="486F121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68152CE4"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壤土</w:t>
            </w:r>
          </w:p>
        </w:tc>
        <w:tc>
          <w:tcPr>
            <w:tcW w:w="550" w:type="dxa"/>
            <w:vAlign w:val="center"/>
          </w:tcPr>
          <w:p w14:paraId="0F68220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28ED983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0</w:t>
            </w:r>
          </w:p>
        </w:tc>
        <w:tc>
          <w:tcPr>
            <w:tcW w:w="659" w:type="dxa"/>
            <w:vAlign w:val="center"/>
          </w:tcPr>
          <w:p w14:paraId="3DF6637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3053412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w:t>
            </w:r>
          </w:p>
        </w:tc>
      </w:tr>
      <w:tr w:rsidR="00697429" w:rsidRPr="00092862" w14:paraId="7F7810C5" w14:textId="77777777" w:rsidTr="00A75B69">
        <w:trPr>
          <w:trHeight w:val="308"/>
          <w:jc w:val="center"/>
        </w:trPr>
        <w:tc>
          <w:tcPr>
            <w:tcW w:w="570" w:type="dxa"/>
            <w:vAlign w:val="center"/>
          </w:tcPr>
          <w:p w14:paraId="3A1E74A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D6F0DA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686C973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28F1EC0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63F79FB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平均胸径</w:t>
            </w:r>
            <w:r w:rsidRPr="00092862">
              <w:rPr>
                <w:rFonts w:ascii="Times New Roman" w:eastAsia="宋体" w:hAnsi="Times New Roman" w:cs="Times New Roman"/>
                <w:bCs/>
                <w:color w:val="000000" w:themeColor="text1"/>
                <w:szCs w:val="21"/>
              </w:rPr>
              <w:t>cm</w:t>
            </w:r>
          </w:p>
        </w:tc>
        <w:tc>
          <w:tcPr>
            <w:tcW w:w="659" w:type="dxa"/>
            <w:vAlign w:val="center"/>
          </w:tcPr>
          <w:p w14:paraId="2DB799B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w:t>
            </w:r>
          </w:p>
          <w:p w14:paraId="7790873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冠幅</w:t>
            </w:r>
          </w:p>
        </w:tc>
        <w:tc>
          <w:tcPr>
            <w:tcW w:w="743" w:type="dxa"/>
            <w:vAlign w:val="center"/>
          </w:tcPr>
          <w:p w14:paraId="7EA17B9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茂盛</w:t>
            </w:r>
          </w:p>
          <w:p w14:paraId="140E30F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度</w:t>
            </w:r>
          </w:p>
        </w:tc>
      </w:tr>
      <w:tr w:rsidR="00697429" w:rsidRPr="00092862" w14:paraId="3DB1AB13" w14:textId="77777777" w:rsidTr="00A75B69">
        <w:trPr>
          <w:trHeight w:val="308"/>
          <w:jc w:val="center"/>
        </w:trPr>
        <w:tc>
          <w:tcPr>
            <w:tcW w:w="570" w:type="dxa"/>
            <w:vMerge w:val="restart"/>
            <w:vAlign w:val="center"/>
          </w:tcPr>
          <w:p w14:paraId="3C284E8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草本层</w:t>
            </w:r>
          </w:p>
        </w:tc>
        <w:tc>
          <w:tcPr>
            <w:tcW w:w="3928" w:type="dxa"/>
            <w:vAlign w:val="center"/>
          </w:tcPr>
          <w:p w14:paraId="715864E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芒</w:t>
            </w:r>
            <w:r w:rsidRPr="00092862">
              <w:rPr>
                <w:rFonts w:ascii="Times New Roman" w:eastAsia="宋体" w:hAnsi="Times New Roman" w:cs="Times New Roman"/>
                <w:i/>
                <w:color w:val="000000" w:themeColor="text1"/>
                <w:szCs w:val="21"/>
              </w:rPr>
              <w:t>Miscanthus sinensis</w:t>
            </w:r>
          </w:p>
        </w:tc>
        <w:tc>
          <w:tcPr>
            <w:tcW w:w="1805" w:type="dxa"/>
            <w:gridSpan w:val="3"/>
            <w:vAlign w:val="center"/>
          </w:tcPr>
          <w:p w14:paraId="6724F5E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1.20</w:t>
            </w:r>
          </w:p>
        </w:tc>
        <w:tc>
          <w:tcPr>
            <w:tcW w:w="648" w:type="dxa"/>
            <w:vAlign w:val="center"/>
          </w:tcPr>
          <w:p w14:paraId="0FFA40B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0E915CE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9A530F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154CFB8"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457B4AC1" w14:textId="77777777" w:rsidTr="00A75B69">
        <w:trPr>
          <w:trHeight w:val="308"/>
          <w:jc w:val="center"/>
        </w:trPr>
        <w:tc>
          <w:tcPr>
            <w:tcW w:w="570" w:type="dxa"/>
            <w:vMerge/>
            <w:vAlign w:val="center"/>
          </w:tcPr>
          <w:p w14:paraId="63FCBA9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18EFFA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白茅</w:t>
            </w:r>
            <w:r w:rsidRPr="00092862">
              <w:rPr>
                <w:rFonts w:ascii="Times New Roman" w:eastAsia="宋体" w:hAnsi="Times New Roman" w:cs="Times New Roman"/>
                <w:bCs/>
                <w:i/>
                <w:iCs/>
                <w:color w:val="000000" w:themeColor="text1"/>
                <w:szCs w:val="21"/>
              </w:rPr>
              <w:t>Imperata cylindrica.</w:t>
            </w:r>
          </w:p>
        </w:tc>
        <w:tc>
          <w:tcPr>
            <w:tcW w:w="1805" w:type="dxa"/>
            <w:gridSpan w:val="3"/>
            <w:vAlign w:val="center"/>
          </w:tcPr>
          <w:p w14:paraId="15F2B0D7"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0.8</w:t>
            </w:r>
          </w:p>
        </w:tc>
        <w:tc>
          <w:tcPr>
            <w:tcW w:w="648" w:type="dxa"/>
            <w:vAlign w:val="center"/>
          </w:tcPr>
          <w:p w14:paraId="1A76F5A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60BB07CB"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0226E7D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997F413"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2C383907" w14:textId="77777777" w:rsidTr="00A75B69">
        <w:trPr>
          <w:trHeight w:val="308"/>
          <w:jc w:val="center"/>
        </w:trPr>
        <w:tc>
          <w:tcPr>
            <w:tcW w:w="570" w:type="dxa"/>
            <w:vMerge/>
            <w:vAlign w:val="center"/>
          </w:tcPr>
          <w:p w14:paraId="25EFB46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7E837D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五节芒</w:t>
            </w:r>
            <w:r w:rsidRPr="00092862">
              <w:rPr>
                <w:rFonts w:ascii="Times New Roman" w:eastAsia="宋体" w:hAnsi="Times New Roman" w:cs="Times New Roman"/>
                <w:bCs/>
                <w:i/>
                <w:iCs/>
                <w:color w:val="000000" w:themeColor="text1"/>
                <w:szCs w:val="21"/>
              </w:rPr>
              <w:t>Miscanthus floridulus</w:t>
            </w:r>
          </w:p>
        </w:tc>
        <w:tc>
          <w:tcPr>
            <w:tcW w:w="1805" w:type="dxa"/>
            <w:gridSpan w:val="3"/>
            <w:vAlign w:val="center"/>
          </w:tcPr>
          <w:p w14:paraId="22B3394E"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0.5</w:t>
            </w:r>
          </w:p>
        </w:tc>
        <w:tc>
          <w:tcPr>
            <w:tcW w:w="648" w:type="dxa"/>
            <w:vAlign w:val="center"/>
          </w:tcPr>
          <w:p w14:paraId="50AA251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1</w:t>
            </w:r>
          </w:p>
        </w:tc>
        <w:tc>
          <w:tcPr>
            <w:tcW w:w="1073" w:type="dxa"/>
            <w:gridSpan w:val="2"/>
            <w:vAlign w:val="center"/>
          </w:tcPr>
          <w:p w14:paraId="2A5E200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7FF6E4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D3598EB"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2A9A7B0E" w14:textId="77777777" w:rsidTr="00A75B69">
        <w:trPr>
          <w:trHeight w:val="308"/>
          <w:jc w:val="center"/>
        </w:trPr>
        <w:tc>
          <w:tcPr>
            <w:tcW w:w="570" w:type="dxa"/>
            <w:vMerge/>
            <w:vAlign w:val="center"/>
          </w:tcPr>
          <w:p w14:paraId="03F08A3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3DF38DE4"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野古草</w:t>
            </w:r>
            <w:r w:rsidRPr="00092862">
              <w:rPr>
                <w:rFonts w:ascii="Times New Roman" w:eastAsia="宋体" w:hAnsi="Times New Roman" w:cs="Times New Roman"/>
                <w:bCs/>
                <w:i/>
                <w:iCs/>
                <w:color w:val="000000" w:themeColor="text1"/>
                <w:szCs w:val="21"/>
              </w:rPr>
              <w:t>Arundinella anomala</w:t>
            </w:r>
          </w:p>
        </w:tc>
        <w:tc>
          <w:tcPr>
            <w:tcW w:w="1805" w:type="dxa"/>
            <w:gridSpan w:val="3"/>
            <w:vAlign w:val="center"/>
          </w:tcPr>
          <w:p w14:paraId="43972DDB"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w:t>
            </w:r>
          </w:p>
        </w:tc>
        <w:tc>
          <w:tcPr>
            <w:tcW w:w="648" w:type="dxa"/>
            <w:vAlign w:val="center"/>
          </w:tcPr>
          <w:p w14:paraId="19C7161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Cop</w:t>
            </w:r>
            <w:r w:rsidRPr="00092862">
              <w:rPr>
                <w:rFonts w:ascii="Times New Roman" w:eastAsia="宋体" w:hAnsi="Times New Roman" w:cs="Times New Roman"/>
                <w:bCs/>
                <w:color w:val="000000" w:themeColor="text1"/>
                <w:szCs w:val="21"/>
                <w:vertAlign w:val="subscript"/>
              </w:rPr>
              <w:t>1</w:t>
            </w:r>
          </w:p>
        </w:tc>
        <w:tc>
          <w:tcPr>
            <w:tcW w:w="1073" w:type="dxa"/>
            <w:gridSpan w:val="2"/>
            <w:vAlign w:val="center"/>
          </w:tcPr>
          <w:p w14:paraId="05A6F03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7059ED2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4EBF17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1DD4648B" w14:textId="77777777" w:rsidTr="00A75B69">
        <w:trPr>
          <w:trHeight w:val="308"/>
          <w:jc w:val="center"/>
        </w:trPr>
        <w:tc>
          <w:tcPr>
            <w:tcW w:w="570" w:type="dxa"/>
            <w:vMerge/>
            <w:vAlign w:val="center"/>
          </w:tcPr>
          <w:p w14:paraId="036F9D5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BF47AA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斑茅</w:t>
            </w:r>
            <w:r w:rsidRPr="00092862">
              <w:rPr>
                <w:rFonts w:ascii="Times New Roman" w:eastAsia="宋体" w:hAnsi="Times New Roman" w:cs="Times New Roman"/>
                <w:bCs/>
                <w:i/>
                <w:iCs/>
                <w:color w:val="000000" w:themeColor="text1"/>
                <w:szCs w:val="21"/>
              </w:rPr>
              <w:t>Saccharum arundinaceum</w:t>
            </w:r>
            <w:r w:rsidRPr="00092862">
              <w:rPr>
                <w:rFonts w:ascii="Times New Roman" w:eastAsia="宋体" w:hAnsi="Times New Roman" w:cs="Times New Roman"/>
                <w:color w:val="000000" w:themeColor="text1"/>
                <w:szCs w:val="21"/>
                <w:shd w:val="clear" w:color="auto" w:fill="FFFFFF"/>
              </w:rPr>
              <w:t> Retz.</w:t>
            </w:r>
          </w:p>
        </w:tc>
        <w:tc>
          <w:tcPr>
            <w:tcW w:w="1805" w:type="dxa"/>
            <w:gridSpan w:val="3"/>
            <w:vAlign w:val="center"/>
          </w:tcPr>
          <w:p w14:paraId="1D126DA1"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0.40</w:t>
            </w:r>
          </w:p>
        </w:tc>
        <w:tc>
          <w:tcPr>
            <w:tcW w:w="648" w:type="dxa"/>
            <w:vAlign w:val="center"/>
          </w:tcPr>
          <w:p w14:paraId="670470D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306A8AA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0256F820"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5D799EF7"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58C5C9AE" w14:textId="77777777" w:rsidTr="00A75B69">
        <w:trPr>
          <w:trHeight w:val="308"/>
          <w:jc w:val="center"/>
        </w:trPr>
        <w:tc>
          <w:tcPr>
            <w:tcW w:w="570" w:type="dxa"/>
            <w:vMerge/>
            <w:vAlign w:val="center"/>
          </w:tcPr>
          <w:p w14:paraId="7821E7C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7C6DCB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婆婆针</w:t>
            </w:r>
            <w:r w:rsidRPr="00092862">
              <w:rPr>
                <w:rFonts w:ascii="Times New Roman" w:eastAsia="宋体" w:hAnsi="Times New Roman" w:cs="Times New Roman"/>
                <w:bCs/>
                <w:i/>
                <w:iCs/>
                <w:color w:val="000000" w:themeColor="text1"/>
                <w:szCs w:val="21"/>
              </w:rPr>
              <w:t>Bidens bipinnata Linn.</w:t>
            </w:r>
          </w:p>
        </w:tc>
        <w:tc>
          <w:tcPr>
            <w:tcW w:w="1805" w:type="dxa"/>
            <w:gridSpan w:val="3"/>
            <w:vAlign w:val="center"/>
          </w:tcPr>
          <w:p w14:paraId="330D731B"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0.55</w:t>
            </w:r>
          </w:p>
        </w:tc>
        <w:tc>
          <w:tcPr>
            <w:tcW w:w="648" w:type="dxa"/>
            <w:vAlign w:val="center"/>
          </w:tcPr>
          <w:p w14:paraId="26058F8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3E5F004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5D9AC1B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5076BF8"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04685A1C" w14:textId="77777777" w:rsidTr="00A75B69">
        <w:trPr>
          <w:trHeight w:val="308"/>
          <w:jc w:val="center"/>
        </w:trPr>
        <w:tc>
          <w:tcPr>
            <w:tcW w:w="570" w:type="dxa"/>
            <w:vMerge/>
            <w:vAlign w:val="center"/>
          </w:tcPr>
          <w:p w14:paraId="36D7081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725DC85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飞蓬</w:t>
            </w:r>
            <w:r w:rsidRPr="00092862">
              <w:rPr>
                <w:rFonts w:ascii="Times New Roman" w:eastAsia="宋体" w:hAnsi="Times New Roman" w:cs="Times New Roman"/>
                <w:bCs/>
                <w:i/>
                <w:iCs/>
                <w:color w:val="000000" w:themeColor="text1"/>
                <w:szCs w:val="21"/>
              </w:rPr>
              <w:t xml:space="preserve">Conyza canadensis </w:t>
            </w:r>
            <w:r w:rsidRPr="00092862">
              <w:rPr>
                <w:rFonts w:ascii="Times New Roman" w:eastAsia="宋体" w:hAnsi="Times New Roman" w:cs="Times New Roman"/>
                <w:color w:val="000000" w:themeColor="text1"/>
                <w:szCs w:val="21"/>
                <w:shd w:val="clear" w:color="auto" w:fill="FFFFFF"/>
              </w:rPr>
              <w:t>(L.) Cronq.</w:t>
            </w:r>
          </w:p>
        </w:tc>
        <w:tc>
          <w:tcPr>
            <w:tcW w:w="1805" w:type="dxa"/>
            <w:gridSpan w:val="3"/>
            <w:vAlign w:val="center"/>
          </w:tcPr>
          <w:p w14:paraId="12DCCDF0"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0.65</w:t>
            </w:r>
          </w:p>
        </w:tc>
        <w:tc>
          <w:tcPr>
            <w:tcW w:w="648" w:type="dxa"/>
            <w:vAlign w:val="center"/>
          </w:tcPr>
          <w:p w14:paraId="3BD5398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7E0D5CA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1A8D76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55D3935"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7E7DC1DA" w14:textId="77777777" w:rsidTr="00A75B69">
        <w:trPr>
          <w:trHeight w:val="268"/>
          <w:jc w:val="center"/>
        </w:trPr>
        <w:tc>
          <w:tcPr>
            <w:tcW w:w="570" w:type="dxa"/>
            <w:vMerge/>
            <w:vAlign w:val="center"/>
          </w:tcPr>
          <w:p w14:paraId="32558BF6"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6E7212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蛇莓</w:t>
            </w:r>
            <w:r w:rsidRPr="00092862">
              <w:rPr>
                <w:rFonts w:ascii="Times New Roman" w:eastAsia="宋体" w:hAnsi="Times New Roman" w:cs="Times New Roman"/>
                <w:bCs/>
                <w:i/>
                <w:iCs/>
                <w:color w:val="000000" w:themeColor="text1"/>
                <w:szCs w:val="21"/>
              </w:rPr>
              <w:t>Duchesnea indica</w:t>
            </w:r>
            <w:r w:rsidRPr="00092862">
              <w:rPr>
                <w:rFonts w:ascii="Times New Roman" w:eastAsia="宋体" w:hAnsi="Times New Roman" w:cs="Times New Roman"/>
                <w:bCs/>
                <w:color w:val="000000" w:themeColor="text1"/>
                <w:szCs w:val="21"/>
              </w:rPr>
              <w:t xml:space="preserve"> </w:t>
            </w:r>
            <w:r w:rsidRPr="00092862">
              <w:rPr>
                <w:rStyle w:val="aff4"/>
                <w:rFonts w:ascii="Times New Roman" w:eastAsia="宋体" w:hAnsi="Times New Roman" w:cs="Times New Roman"/>
                <w:color w:val="000000" w:themeColor="text1"/>
                <w:szCs w:val="21"/>
                <w:shd w:val="clear" w:color="auto" w:fill="FFFFFF"/>
              </w:rPr>
              <w:t>(Andr.) Focke</w:t>
            </w:r>
          </w:p>
        </w:tc>
        <w:tc>
          <w:tcPr>
            <w:tcW w:w="1805" w:type="dxa"/>
            <w:gridSpan w:val="3"/>
            <w:vAlign w:val="center"/>
          </w:tcPr>
          <w:p w14:paraId="3BEFA544"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0.40</w:t>
            </w:r>
          </w:p>
        </w:tc>
        <w:tc>
          <w:tcPr>
            <w:tcW w:w="648" w:type="dxa"/>
            <w:vAlign w:val="center"/>
          </w:tcPr>
          <w:p w14:paraId="73A4023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75F5A9A8"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C7A7C5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32017F4F"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672BC61A" w14:textId="77777777" w:rsidTr="00A75B69">
        <w:trPr>
          <w:trHeight w:val="308"/>
          <w:jc w:val="center"/>
        </w:trPr>
        <w:tc>
          <w:tcPr>
            <w:tcW w:w="570" w:type="dxa"/>
            <w:vMerge/>
            <w:vAlign w:val="center"/>
          </w:tcPr>
          <w:p w14:paraId="3982C554"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8D8E82D"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夏枯草</w:t>
            </w:r>
            <w:r w:rsidRPr="00092862">
              <w:rPr>
                <w:rFonts w:ascii="Times New Roman" w:eastAsia="宋体" w:hAnsi="Times New Roman" w:cs="Times New Roman"/>
                <w:bCs/>
                <w:i/>
                <w:iCs/>
                <w:color w:val="000000" w:themeColor="text1"/>
                <w:szCs w:val="21"/>
              </w:rPr>
              <w:t>Prunella vulgaris</w:t>
            </w:r>
            <w:r w:rsidRPr="00092862">
              <w:rPr>
                <w:rStyle w:val="aff4"/>
                <w:rFonts w:ascii="Times New Roman" w:eastAsia="宋体" w:hAnsi="Times New Roman" w:cs="Times New Roman"/>
                <w:i w:val="0"/>
                <w:iCs/>
                <w:color w:val="000000" w:themeColor="text1"/>
                <w:szCs w:val="21"/>
                <w:shd w:val="clear" w:color="auto" w:fill="FFFFFF"/>
              </w:rPr>
              <w:t xml:space="preserve"> </w:t>
            </w:r>
            <w:r w:rsidRPr="00092862">
              <w:rPr>
                <w:rStyle w:val="aff4"/>
                <w:rFonts w:ascii="Times New Roman" w:eastAsia="宋体" w:hAnsi="Times New Roman" w:cs="Times New Roman"/>
                <w:color w:val="000000" w:themeColor="text1"/>
                <w:szCs w:val="21"/>
                <w:shd w:val="clear" w:color="auto" w:fill="FFFFFF"/>
              </w:rPr>
              <w:t>L</w:t>
            </w:r>
          </w:p>
        </w:tc>
        <w:tc>
          <w:tcPr>
            <w:tcW w:w="1805" w:type="dxa"/>
            <w:gridSpan w:val="3"/>
            <w:vAlign w:val="center"/>
          </w:tcPr>
          <w:p w14:paraId="644FFD2F" w14:textId="77777777" w:rsidR="009E4715" w:rsidRPr="00092862" w:rsidRDefault="009E4715" w:rsidP="00A75B69">
            <w:pPr>
              <w:pStyle w:val="af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0.4</w:t>
            </w:r>
          </w:p>
        </w:tc>
        <w:tc>
          <w:tcPr>
            <w:tcW w:w="648" w:type="dxa"/>
            <w:vAlign w:val="center"/>
          </w:tcPr>
          <w:p w14:paraId="6BB0D10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7951163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36CF5B0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BE339C3"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155BD29A" w14:textId="77777777" w:rsidR="009E4715" w:rsidRPr="00092862" w:rsidRDefault="009E4715" w:rsidP="009E4715">
      <w:pPr>
        <w:rPr>
          <w:rFonts w:ascii="Times New Roman" w:hAnsi="Times New Roman" w:cs="Times New Roman"/>
          <w:color w:val="000000" w:themeColor="text1"/>
        </w:rPr>
      </w:pPr>
    </w:p>
    <w:p w14:paraId="7EAB1AC9" w14:textId="77777777" w:rsidR="009E4715" w:rsidRPr="00092862" w:rsidRDefault="009E4715" w:rsidP="009E4715">
      <w:pPr>
        <w:spacing w:line="360" w:lineRule="auto"/>
        <w:ind w:firstLineChars="200" w:firstLine="422"/>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
          <w:color w:val="000000" w:themeColor="text1"/>
          <w:szCs w:val="20"/>
        </w:rPr>
        <w:t>样方</w:t>
      </w:r>
      <w:r w:rsidRPr="00092862">
        <w:rPr>
          <w:rFonts w:ascii="Times New Roman" w:eastAsia="宋体" w:hAnsi="Times New Roman" w:cs="Times New Roman"/>
          <w:b/>
          <w:color w:val="000000" w:themeColor="text1"/>
          <w:szCs w:val="20"/>
        </w:rPr>
        <w:t xml:space="preserve">8 </w:t>
      </w:r>
      <w:r w:rsidRPr="00092862">
        <w:rPr>
          <w:rFonts w:ascii="Times New Roman" w:eastAsia="宋体" w:hAnsi="Times New Roman" w:cs="Times New Roman"/>
          <w:b/>
          <w:bCs/>
          <w:color w:val="000000" w:themeColor="text1"/>
          <w:szCs w:val="21"/>
        </w:rPr>
        <w:t>蕨、芒萁群系样方表</w:t>
      </w:r>
    </w:p>
    <w:tbl>
      <w:tblPr>
        <w:tblW w:w="9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0"/>
        <w:gridCol w:w="3928"/>
        <w:gridCol w:w="703"/>
        <w:gridCol w:w="481"/>
        <w:gridCol w:w="621"/>
        <w:gridCol w:w="648"/>
        <w:gridCol w:w="550"/>
        <w:gridCol w:w="523"/>
        <w:gridCol w:w="659"/>
        <w:gridCol w:w="743"/>
      </w:tblGrid>
      <w:tr w:rsidR="00697429" w:rsidRPr="00092862" w14:paraId="6BA3FD1E" w14:textId="77777777" w:rsidTr="00A75B69">
        <w:trPr>
          <w:trHeight w:val="755"/>
          <w:jc w:val="center"/>
        </w:trPr>
        <w:tc>
          <w:tcPr>
            <w:tcW w:w="570" w:type="dxa"/>
            <w:vAlign w:val="center"/>
          </w:tcPr>
          <w:p w14:paraId="052F7DB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坐标</w:t>
            </w:r>
          </w:p>
        </w:tc>
        <w:tc>
          <w:tcPr>
            <w:tcW w:w="3928" w:type="dxa"/>
            <w:vAlign w:val="center"/>
          </w:tcPr>
          <w:p w14:paraId="09F7AB15"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107.8184,31.4504</w:t>
            </w:r>
          </w:p>
        </w:tc>
        <w:tc>
          <w:tcPr>
            <w:tcW w:w="703" w:type="dxa"/>
            <w:vAlign w:val="center"/>
          </w:tcPr>
          <w:p w14:paraId="7D6AFBE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海拔</w:t>
            </w:r>
            <w:r w:rsidRPr="00092862">
              <w:rPr>
                <w:rFonts w:ascii="Times New Roman" w:eastAsia="宋体" w:hAnsi="Times New Roman" w:cs="Times New Roman"/>
                <w:bCs/>
                <w:color w:val="000000" w:themeColor="text1"/>
                <w:szCs w:val="21"/>
              </w:rPr>
              <w:t>(m)</w:t>
            </w:r>
          </w:p>
        </w:tc>
        <w:tc>
          <w:tcPr>
            <w:tcW w:w="481" w:type="dxa"/>
            <w:vAlign w:val="center"/>
          </w:tcPr>
          <w:p w14:paraId="0C4F8EE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1155</w:t>
            </w:r>
          </w:p>
        </w:tc>
        <w:tc>
          <w:tcPr>
            <w:tcW w:w="621" w:type="dxa"/>
            <w:vAlign w:val="center"/>
          </w:tcPr>
          <w:p w14:paraId="6329619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土壤类型</w:t>
            </w:r>
          </w:p>
        </w:tc>
        <w:tc>
          <w:tcPr>
            <w:tcW w:w="648" w:type="dxa"/>
            <w:vAlign w:val="center"/>
          </w:tcPr>
          <w:p w14:paraId="45910657" w14:textId="77777777" w:rsidR="009E4715" w:rsidRPr="00092862" w:rsidRDefault="009E4715" w:rsidP="00A75B69">
            <w:pPr>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壤土</w:t>
            </w:r>
          </w:p>
        </w:tc>
        <w:tc>
          <w:tcPr>
            <w:tcW w:w="550" w:type="dxa"/>
            <w:vAlign w:val="center"/>
          </w:tcPr>
          <w:p w14:paraId="67AD0B7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坡度</w:t>
            </w:r>
          </w:p>
        </w:tc>
        <w:tc>
          <w:tcPr>
            <w:tcW w:w="523" w:type="dxa"/>
            <w:vAlign w:val="center"/>
          </w:tcPr>
          <w:p w14:paraId="749D1E6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5</w:t>
            </w:r>
          </w:p>
        </w:tc>
        <w:tc>
          <w:tcPr>
            <w:tcW w:w="659" w:type="dxa"/>
            <w:vAlign w:val="center"/>
          </w:tcPr>
          <w:p w14:paraId="4AA5522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kern w:val="0"/>
                <w:szCs w:val="21"/>
              </w:rPr>
              <w:t>坡向</w:t>
            </w:r>
          </w:p>
        </w:tc>
        <w:tc>
          <w:tcPr>
            <w:tcW w:w="743" w:type="dxa"/>
            <w:vAlign w:val="center"/>
          </w:tcPr>
          <w:p w14:paraId="434C92A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hAnsi="Times New Roman" w:cs="Times New Roman"/>
                <w:bCs/>
                <w:color w:val="000000" w:themeColor="text1"/>
                <w:szCs w:val="21"/>
              </w:rPr>
              <w:t>SE</w:t>
            </w:r>
          </w:p>
        </w:tc>
      </w:tr>
      <w:tr w:rsidR="00697429" w:rsidRPr="00092862" w14:paraId="20BBE556" w14:textId="77777777" w:rsidTr="00A75B69">
        <w:trPr>
          <w:trHeight w:val="308"/>
          <w:jc w:val="center"/>
        </w:trPr>
        <w:tc>
          <w:tcPr>
            <w:tcW w:w="570" w:type="dxa"/>
            <w:vAlign w:val="center"/>
          </w:tcPr>
          <w:p w14:paraId="0D3254E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EF0A04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中文名（拉丁名）</w:t>
            </w:r>
          </w:p>
        </w:tc>
        <w:tc>
          <w:tcPr>
            <w:tcW w:w="1805" w:type="dxa"/>
            <w:gridSpan w:val="3"/>
            <w:vAlign w:val="center"/>
          </w:tcPr>
          <w:p w14:paraId="5042772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平均高度</w:t>
            </w:r>
            <w:r w:rsidRPr="00092862">
              <w:rPr>
                <w:rFonts w:ascii="Times New Roman" w:eastAsia="宋体" w:hAnsi="Times New Roman" w:cs="Times New Roman"/>
                <w:bCs/>
                <w:color w:val="000000" w:themeColor="text1"/>
                <w:szCs w:val="21"/>
              </w:rPr>
              <w:t>m</w:t>
            </w:r>
          </w:p>
        </w:tc>
        <w:tc>
          <w:tcPr>
            <w:tcW w:w="648" w:type="dxa"/>
            <w:vAlign w:val="center"/>
          </w:tcPr>
          <w:p w14:paraId="20E1CA18"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株数</w:t>
            </w:r>
            <w:r w:rsidRPr="00092862">
              <w:rPr>
                <w:rFonts w:ascii="Times New Roman" w:eastAsia="宋体" w:hAnsi="Times New Roman" w:cs="Times New Roman"/>
                <w:bCs/>
                <w:color w:val="000000" w:themeColor="text1"/>
                <w:szCs w:val="21"/>
              </w:rPr>
              <w:lastRenderedPageBreak/>
              <w:t>/</w:t>
            </w:r>
            <w:r w:rsidRPr="00092862">
              <w:rPr>
                <w:rFonts w:ascii="Times New Roman" w:eastAsia="宋体" w:hAnsi="Times New Roman" w:cs="Times New Roman"/>
                <w:bCs/>
                <w:color w:val="000000" w:themeColor="text1"/>
                <w:szCs w:val="21"/>
              </w:rPr>
              <w:t>多度</w:t>
            </w:r>
          </w:p>
        </w:tc>
        <w:tc>
          <w:tcPr>
            <w:tcW w:w="1073" w:type="dxa"/>
            <w:gridSpan w:val="2"/>
            <w:vAlign w:val="center"/>
          </w:tcPr>
          <w:p w14:paraId="1112B3A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平均胸径</w:t>
            </w:r>
            <w:r w:rsidRPr="00092862">
              <w:rPr>
                <w:rFonts w:ascii="Times New Roman" w:eastAsia="宋体" w:hAnsi="Times New Roman" w:cs="Times New Roman"/>
                <w:bCs/>
                <w:color w:val="000000" w:themeColor="text1"/>
                <w:szCs w:val="21"/>
              </w:rPr>
              <w:lastRenderedPageBreak/>
              <w:t>cm</w:t>
            </w:r>
          </w:p>
        </w:tc>
        <w:tc>
          <w:tcPr>
            <w:tcW w:w="659" w:type="dxa"/>
            <w:vAlign w:val="center"/>
          </w:tcPr>
          <w:p w14:paraId="15835C6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平均</w:t>
            </w:r>
          </w:p>
          <w:p w14:paraId="6B7C6E2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冠幅</w:t>
            </w:r>
          </w:p>
        </w:tc>
        <w:tc>
          <w:tcPr>
            <w:tcW w:w="743" w:type="dxa"/>
            <w:vAlign w:val="center"/>
          </w:tcPr>
          <w:p w14:paraId="1F9A9162"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茂盛</w:t>
            </w:r>
          </w:p>
          <w:p w14:paraId="07C80D89"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度</w:t>
            </w:r>
          </w:p>
        </w:tc>
      </w:tr>
      <w:tr w:rsidR="00697429" w:rsidRPr="00092862" w14:paraId="350AA605" w14:textId="77777777" w:rsidTr="00A75B69">
        <w:trPr>
          <w:trHeight w:val="308"/>
          <w:jc w:val="center"/>
        </w:trPr>
        <w:tc>
          <w:tcPr>
            <w:tcW w:w="570" w:type="dxa"/>
            <w:vMerge w:val="restart"/>
            <w:vAlign w:val="center"/>
          </w:tcPr>
          <w:p w14:paraId="6359E04B"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草本层</w:t>
            </w:r>
          </w:p>
        </w:tc>
        <w:tc>
          <w:tcPr>
            <w:tcW w:w="3928" w:type="dxa"/>
            <w:vAlign w:val="center"/>
          </w:tcPr>
          <w:p w14:paraId="09FE851A"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蕨</w:t>
            </w:r>
            <w:r w:rsidRPr="00092862">
              <w:rPr>
                <w:rFonts w:ascii="Times New Roman" w:eastAsia="宋体" w:hAnsi="Times New Roman" w:cs="Times New Roman"/>
                <w:i/>
                <w:iCs/>
                <w:color w:val="000000" w:themeColor="text1"/>
                <w:szCs w:val="21"/>
              </w:rPr>
              <w:t>P.Aquilinum</w:t>
            </w:r>
          </w:p>
        </w:tc>
        <w:tc>
          <w:tcPr>
            <w:tcW w:w="1805" w:type="dxa"/>
            <w:gridSpan w:val="3"/>
            <w:vAlign w:val="center"/>
          </w:tcPr>
          <w:p w14:paraId="0444E07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0.50</w:t>
            </w:r>
          </w:p>
        </w:tc>
        <w:tc>
          <w:tcPr>
            <w:tcW w:w="648" w:type="dxa"/>
            <w:vAlign w:val="center"/>
          </w:tcPr>
          <w:p w14:paraId="6164A4B3"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6D0F54F2"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003AB3A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70B3C06"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50D3D90E" w14:textId="77777777" w:rsidTr="00A75B69">
        <w:trPr>
          <w:trHeight w:val="308"/>
          <w:jc w:val="center"/>
        </w:trPr>
        <w:tc>
          <w:tcPr>
            <w:tcW w:w="570" w:type="dxa"/>
            <w:vMerge/>
            <w:vAlign w:val="center"/>
          </w:tcPr>
          <w:p w14:paraId="748FEEF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50D09D0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芒萁</w:t>
            </w:r>
            <w:r w:rsidRPr="00092862">
              <w:rPr>
                <w:rFonts w:ascii="Times New Roman" w:eastAsia="宋体" w:hAnsi="Times New Roman" w:cs="Times New Roman"/>
                <w:i/>
                <w:iCs/>
                <w:color w:val="000000" w:themeColor="text1"/>
                <w:szCs w:val="21"/>
              </w:rPr>
              <w:t>Dicranopteris dichotoma(Thunb.)Bernh.</w:t>
            </w:r>
          </w:p>
        </w:tc>
        <w:tc>
          <w:tcPr>
            <w:tcW w:w="1805" w:type="dxa"/>
            <w:gridSpan w:val="3"/>
            <w:vAlign w:val="center"/>
          </w:tcPr>
          <w:p w14:paraId="6E25011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0.4</w:t>
            </w:r>
          </w:p>
        </w:tc>
        <w:tc>
          <w:tcPr>
            <w:tcW w:w="648" w:type="dxa"/>
            <w:vAlign w:val="center"/>
          </w:tcPr>
          <w:p w14:paraId="1CA6B5C1"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Soc</w:t>
            </w:r>
          </w:p>
        </w:tc>
        <w:tc>
          <w:tcPr>
            <w:tcW w:w="1073" w:type="dxa"/>
            <w:gridSpan w:val="2"/>
            <w:vAlign w:val="center"/>
          </w:tcPr>
          <w:p w14:paraId="4297792A"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4810281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EDF8A92"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AFE959C" w14:textId="77777777" w:rsidTr="00A75B69">
        <w:trPr>
          <w:trHeight w:val="308"/>
          <w:jc w:val="center"/>
        </w:trPr>
        <w:tc>
          <w:tcPr>
            <w:tcW w:w="570" w:type="dxa"/>
            <w:vMerge/>
            <w:vAlign w:val="center"/>
          </w:tcPr>
          <w:p w14:paraId="6A3ADC01"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6F16FE1C"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荩草</w:t>
            </w:r>
            <w:r w:rsidRPr="00092862">
              <w:rPr>
                <w:rFonts w:ascii="Times New Roman" w:eastAsia="宋体" w:hAnsi="Times New Roman" w:cs="Times New Roman"/>
                <w:i/>
                <w:iCs/>
                <w:color w:val="000000" w:themeColor="text1"/>
                <w:szCs w:val="21"/>
              </w:rPr>
              <w:t>Arthraxon hispidus (Thunb.) Makino</w:t>
            </w:r>
          </w:p>
        </w:tc>
        <w:tc>
          <w:tcPr>
            <w:tcW w:w="1805" w:type="dxa"/>
            <w:gridSpan w:val="3"/>
            <w:vAlign w:val="center"/>
          </w:tcPr>
          <w:p w14:paraId="601F59A7"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0.25</w:t>
            </w:r>
          </w:p>
        </w:tc>
        <w:tc>
          <w:tcPr>
            <w:tcW w:w="648" w:type="dxa"/>
            <w:vAlign w:val="center"/>
          </w:tcPr>
          <w:p w14:paraId="2DBF41A6"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Sp</w:t>
            </w:r>
          </w:p>
        </w:tc>
        <w:tc>
          <w:tcPr>
            <w:tcW w:w="1073" w:type="dxa"/>
            <w:gridSpan w:val="2"/>
            <w:vAlign w:val="center"/>
          </w:tcPr>
          <w:p w14:paraId="1D4638F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2A038C3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652797FC"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29917D7" w14:textId="77777777" w:rsidTr="00A75B69">
        <w:trPr>
          <w:trHeight w:val="308"/>
          <w:jc w:val="center"/>
        </w:trPr>
        <w:tc>
          <w:tcPr>
            <w:tcW w:w="570" w:type="dxa"/>
            <w:vMerge/>
            <w:vAlign w:val="center"/>
          </w:tcPr>
          <w:p w14:paraId="53BE4D33"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6A47AF6"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四脉金茅</w:t>
            </w:r>
            <w:r w:rsidRPr="00092862">
              <w:rPr>
                <w:rFonts w:ascii="Times New Roman" w:eastAsia="宋体" w:hAnsi="Times New Roman" w:cs="Times New Roman"/>
                <w:i/>
                <w:iCs/>
                <w:color w:val="000000" w:themeColor="text1"/>
                <w:szCs w:val="21"/>
                <w:shd w:val="clear" w:color="auto" w:fill="FFFFFF"/>
              </w:rPr>
              <w:t>Eulalia quadrinervis</w:t>
            </w:r>
            <w:r w:rsidRPr="00092862">
              <w:rPr>
                <w:rFonts w:ascii="Times New Roman" w:eastAsia="宋体" w:hAnsi="Times New Roman" w:cs="Times New Roman"/>
                <w:color w:val="000000" w:themeColor="text1"/>
                <w:szCs w:val="21"/>
                <w:shd w:val="clear" w:color="auto" w:fill="FFFFFF"/>
              </w:rPr>
              <w:t xml:space="preserve"> (Hack.) Kuntze.</w:t>
            </w:r>
          </w:p>
        </w:tc>
        <w:tc>
          <w:tcPr>
            <w:tcW w:w="1805" w:type="dxa"/>
            <w:gridSpan w:val="3"/>
            <w:vAlign w:val="center"/>
          </w:tcPr>
          <w:p w14:paraId="2F0E1C9D" w14:textId="77777777" w:rsidR="009E4715" w:rsidRPr="00092862" w:rsidRDefault="009E4715" w:rsidP="00A75B69">
            <w:pPr>
              <w:pStyle w:val="af0"/>
              <w:jc w:val="center"/>
              <w:rPr>
                <w:rFonts w:ascii="Times New Roman" w:hAnsi="Times New Roman"/>
                <w:color w:val="000000" w:themeColor="text1"/>
                <w:sz w:val="21"/>
                <w:szCs w:val="21"/>
              </w:rPr>
            </w:pPr>
            <w:r w:rsidRPr="00092862">
              <w:rPr>
                <w:rFonts w:ascii="Times New Roman" w:hAnsi="Times New Roman"/>
                <w:bCs/>
                <w:color w:val="000000" w:themeColor="text1"/>
                <w:sz w:val="21"/>
                <w:szCs w:val="21"/>
              </w:rPr>
              <w:t>0.45</w:t>
            </w:r>
          </w:p>
        </w:tc>
        <w:tc>
          <w:tcPr>
            <w:tcW w:w="648" w:type="dxa"/>
            <w:vAlign w:val="center"/>
          </w:tcPr>
          <w:p w14:paraId="4B6C866E"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1D6E0A2C"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2188F62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1E580A8A"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328AE6E5" w14:textId="77777777" w:rsidTr="00A75B69">
        <w:trPr>
          <w:trHeight w:val="308"/>
          <w:jc w:val="center"/>
        </w:trPr>
        <w:tc>
          <w:tcPr>
            <w:tcW w:w="570" w:type="dxa"/>
            <w:vMerge/>
            <w:vAlign w:val="center"/>
          </w:tcPr>
          <w:p w14:paraId="3634666D"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134A3CD7"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野古草</w:t>
            </w:r>
            <w:r w:rsidRPr="00092862">
              <w:rPr>
                <w:rStyle w:val="aff4"/>
                <w:rFonts w:ascii="Times New Roman" w:eastAsia="宋体" w:hAnsi="Times New Roman" w:cs="Times New Roman"/>
                <w:color w:val="000000" w:themeColor="text1"/>
                <w:szCs w:val="21"/>
                <w:shd w:val="clear" w:color="auto" w:fill="FFFFFF"/>
              </w:rPr>
              <w:t>Arundinella anomala</w:t>
            </w:r>
            <w:r w:rsidRPr="00092862">
              <w:rPr>
                <w:rFonts w:ascii="Times New Roman" w:eastAsia="宋体" w:hAnsi="Times New Roman" w:cs="Times New Roman"/>
                <w:color w:val="000000" w:themeColor="text1"/>
                <w:szCs w:val="21"/>
                <w:shd w:val="clear" w:color="auto" w:fill="FFFFFF"/>
              </w:rPr>
              <w:t> Steud.</w:t>
            </w:r>
          </w:p>
        </w:tc>
        <w:tc>
          <w:tcPr>
            <w:tcW w:w="1805" w:type="dxa"/>
            <w:gridSpan w:val="3"/>
            <w:vAlign w:val="center"/>
          </w:tcPr>
          <w:p w14:paraId="220CC465" w14:textId="77777777" w:rsidR="009E4715" w:rsidRPr="00092862" w:rsidRDefault="009E4715" w:rsidP="00A75B69">
            <w:pPr>
              <w:pStyle w:val="af0"/>
              <w:jc w:val="center"/>
              <w:rPr>
                <w:rFonts w:ascii="Times New Roman" w:hAnsi="Times New Roman"/>
                <w:color w:val="000000" w:themeColor="text1"/>
                <w:sz w:val="21"/>
                <w:szCs w:val="21"/>
              </w:rPr>
            </w:pPr>
            <w:r w:rsidRPr="00092862">
              <w:rPr>
                <w:rFonts w:ascii="Times New Roman" w:hAnsi="Times New Roman"/>
                <w:bCs/>
                <w:color w:val="000000" w:themeColor="text1"/>
                <w:sz w:val="21"/>
                <w:szCs w:val="21"/>
              </w:rPr>
              <w:t>0.40</w:t>
            </w:r>
          </w:p>
        </w:tc>
        <w:tc>
          <w:tcPr>
            <w:tcW w:w="648" w:type="dxa"/>
            <w:vAlign w:val="center"/>
          </w:tcPr>
          <w:p w14:paraId="5ED72AAF"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Sol.</w:t>
            </w:r>
          </w:p>
        </w:tc>
        <w:tc>
          <w:tcPr>
            <w:tcW w:w="1073" w:type="dxa"/>
            <w:gridSpan w:val="2"/>
            <w:vAlign w:val="center"/>
          </w:tcPr>
          <w:p w14:paraId="7F8D6D2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FA1CC2E"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2D22FE84" w14:textId="77777777" w:rsidR="009E4715" w:rsidRPr="00092862" w:rsidRDefault="009E4715" w:rsidP="00A75B69">
            <w:pPr>
              <w:jc w:val="center"/>
              <w:rPr>
                <w:rFonts w:ascii="Times New Roman" w:eastAsia="宋体" w:hAnsi="Times New Roman" w:cs="Times New Roman"/>
                <w:bCs/>
                <w:color w:val="000000" w:themeColor="text1"/>
                <w:szCs w:val="21"/>
              </w:rPr>
            </w:pPr>
          </w:p>
        </w:tc>
      </w:tr>
      <w:tr w:rsidR="00697429" w:rsidRPr="00092862" w14:paraId="71320D84" w14:textId="77777777" w:rsidTr="00A75B69">
        <w:trPr>
          <w:trHeight w:val="308"/>
          <w:jc w:val="center"/>
        </w:trPr>
        <w:tc>
          <w:tcPr>
            <w:tcW w:w="570" w:type="dxa"/>
            <w:vMerge/>
            <w:vAlign w:val="center"/>
          </w:tcPr>
          <w:p w14:paraId="15C8A9F9"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3928" w:type="dxa"/>
            <w:vAlign w:val="center"/>
          </w:tcPr>
          <w:p w14:paraId="4E2D7392" w14:textId="77777777" w:rsidR="009E4715" w:rsidRPr="00092862" w:rsidRDefault="009E4715" w:rsidP="00A75B69">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雀稗</w:t>
            </w:r>
            <w:r w:rsidRPr="00092862">
              <w:rPr>
                <w:rStyle w:val="aff4"/>
                <w:rFonts w:ascii="Times New Roman" w:eastAsia="宋体" w:hAnsi="Times New Roman" w:cs="Times New Roman"/>
                <w:color w:val="000000" w:themeColor="text1"/>
                <w:szCs w:val="21"/>
                <w:shd w:val="clear" w:color="auto" w:fill="FFFFFF"/>
              </w:rPr>
              <w:t>Paspalum thunbergii</w:t>
            </w:r>
            <w:r w:rsidRPr="00092862">
              <w:rPr>
                <w:rFonts w:ascii="Times New Roman" w:eastAsia="宋体" w:hAnsi="Times New Roman" w:cs="Times New Roman"/>
                <w:color w:val="000000" w:themeColor="text1"/>
                <w:szCs w:val="21"/>
                <w:shd w:val="clear" w:color="auto" w:fill="FFFFFF"/>
              </w:rPr>
              <w:t> Kunth ex steud.</w:t>
            </w:r>
          </w:p>
        </w:tc>
        <w:tc>
          <w:tcPr>
            <w:tcW w:w="1805" w:type="dxa"/>
            <w:gridSpan w:val="3"/>
            <w:vAlign w:val="center"/>
          </w:tcPr>
          <w:p w14:paraId="40B79822" w14:textId="77777777" w:rsidR="009E4715" w:rsidRPr="00092862" w:rsidRDefault="009E4715" w:rsidP="00A75B69">
            <w:pPr>
              <w:pStyle w:val="af0"/>
              <w:jc w:val="center"/>
              <w:rPr>
                <w:rFonts w:ascii="Times New Roman" w:hAnsi="Times New Roman"/>
                <w:color w:val="000000" w:themeColor="text1"/>
                <w:sz w:val="21"/>
                <w:szCs w:val="21"/>
              </w:rPr>
            </w:pPr>
            <w:r w:rsidRPr="00092862">
              <w:rPr>
                <w:rFonts w:ascii="Times New Roman" w:hAnsi="Times New Roman"/>
                <w:bCs/>
                <w:color w:val="000000" w:themeColor="text1"/>
                <w:sz w:val="21"/>
                <w:szCs w:val="21"/>
              </w:rPr>
              <w:t>0.4</w:t>
            </w:r>
          </w:p>
        </w:tc>
        <w:tc>
          <w:tcPr>
            <w:tcW w:w="648" w:type="dxa"/>
            <w:vAlign w:val="center"/>
          </w:tcPr>
          <w:p w14:paraId="5E542000" w14:textId="77777777" w:rsidR="009E4715" w:rsidRPr="00092862" w:rsidRDefault="009E4715" w:rsidP="00A75B69">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Un.</w:t>
            </w:r>
          </w:p>
        </w:tc>
        <w:tc>
          <w:tcPr>
            <w:tcW w:w="1073" w:type="dxa"/>
            <w:gridSpan w:val="2"/>
            <w:vAlign w:val="center"/>
          </w:tcPr>
          <w:p w14:paraId="5C5C7D0F"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659" w:type="dxa"/>
            <w:vAlign w:val="center"/>
          </w:tcPr>
          <w:p w14:paraId="63369937" w14:textId="77777777" w:rsidR="009E4715" w:rsidRPr="00092862" w:rsidRDefault="009E4715" w:rsidP="00A75B69">
            <w:pPr>
              <w:jc w:val="center"/>
              <w:rPr>
                <w:rFonts w:ascii="Times New Roman" w:eastAsia="宋体" w:hAnsi="Times New Roman" w:cs="Times New Roman"/>
                <w:bCs/>
                <w:color w:val="000000" w:themeColor="text1"/>
                <w:szCs w:val="21"/>
              </w:rPr>
            </w:pPr>
          </w:p>
        </w:tc>
        <w:tc>
          <w:tcPr>
            <w:tcW w:w="743" w:type="dxa"/>
            <w:vAlign w:val="center"/>
          </w:tcPr>
          <w:p w14:paraId="40A0BAFB" w14:textId="77777777" w:rsidR="009E4715" w:rsidRPr="00092862" w:rsidRDefault="009E4715" w:rsidP="00A75B69">
            <w:pPr>
              <w:jc w:val="center"/>
              <w:rPr>
                <w:rFonts w:ascii="Times New Roman" w:eastAsia="宋体" w:hAnsi="Times New Roman" w:cs="Times New Roman"/>
                <w:bCs/>
                <w:color w:val="000000" w:themeColor="text1"/>
                <w:szCs w:val="21"/>
              </w:rPr>
            </w:pPr>
          </w:p>
        </w:tc>
      </w:tr>
    </w:tbl>
    <w:p w14:paraId="05204E92" w14:textId="77777777" w:rsidR="00F96F41" w:rsidRPr="00092862" w:rsidRDefault="00F96F41" w:rsidP="00F96F41">
      <w:pPr>
        <w:pStyle w:val="41"/>
        <w:adjustRightInd w:val="0"/>
        <w:snapToGrid w:val="0"/>
        <w:spacing w:beforeLines="50" w:before="120" w:line="360" w:lineRule="auto"/>
        <w:ind w:firstLineChars="200" w:firstLine="482"/>
        <w:rPr>
          <w:b/>
          <w:bCs/>
          <w:color w:val="000000" w:themeColor="text1"/>
          <w:sz w:val="24"/>
          <w:szCs w:val="24"/>
          <w:lang w:val="de-DE"/>
        </w:rPr>
      </w:pPr>
      <w:r w:rsidRPr="00092862">
        <w:rPr>
          <w:b/>
          <w:bCs/>
          <w:color w:val="000000" w:themeColor="text1"/>
          <w:sz w:val="24"/>
          <w:szCs w:val="24"/>
        </w:rPr>
        <w:t>4</w:t>
      </w:r>
      <w:r w:rsidRPr="00092862">
        <w:rPr>
          <w:b/>
          <w:bCs/>
          <w:color w:val="000000" w:themeColor="text1"/>
          <w:sz w:val="24"/>
          <w:szCs w:val="24"/>
        </w:rPr>
        <w:t>、项目评价范围</w:t>
      </w:r>
      <w:r w:rsidRPr="00092862">
        <w:rPr>
          <w:b/>
          <w:bCs/>
          <w:color w:val="000000" w:themeColor="text1"/>
          <w:sz w:val="24"/>
          <w:szCs w:val="24"/>
          <w:lang w:val="de-DE"/>
        </w:rPr>
        <w:t>植被的基本特征</w:t>
      </w:r>
    </w:p>
    <w:p w14:paraId="6C8F84A6"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根据对评价范围进行的植被考察和若干重点地区代表类型的样方调查，可知区域内植被具有以下特征：</w:t>
      </w:r>
    </w:p>
    <w:p w14:paraId="58E0B662" w14:textId="77777777" w:rsidR="009E4715" w:rsidRPr="00092862" w:rsidRDefault="009E4715" w:rsidP="00092862">
      <w:pPr>
        <w:numPr>
          <w:ilvl w:val="0"/>
          <w:numId w:val="30"/>
        </w:numPr>
        <w:spacing w:line="480" w:lineRule="exact"/>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植被次生性明显</w:t>
      </w:r>
    </w:p>
    <w:p w14:paraId="3FC1C4F6"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范围在植被带谱上应为常绿阔叶林类型，但现有的常绿阔叶林面积很少，只有在人烟稀少、田头地角有残存的常绿阔叶林。评价区山体中上部经过近年来的人工造林和封山育林等工程，许多地方已经蔚然成林，多为山地针叶林带或者针叶阔叶混交林带，主要是以马尾松、杉木、柏木为主的针叶林植被，以麻栎、青冈、栓皮栎等为主的阔叶林植被带，其群落结构大多具备有乔木、灌木、草本、地衣层，覆盖度基本保持在</w:t>
      </w:r>
      <w:r w:rsidRPr="00092862">
        <w:rPr>
          <w:rFonts w:ascii="Times New Roman" w:eastAsia="宋体" w:hAnsi="Times New Roman" w:cs="Times New Roman"/>
          <w:color w:val="000000" w:themeColor="text1"/>
          <w:sz w:val="24"/>
          <w:szCs w:val="24"/>
        </w:rPr>
        <w:t>70%</w:t>
      </w:r>
      <w:r w:rsidRPr="00092862">
        <w:rPr>
          <w:rFonts w:ascii="Times New Roman" w:eastAsia="宋体" w:hAnsi="Times New Roman" w:cs="Times New Roman"/>
          <w:color w:val="000000" w:themeColor="text1"/>
          <w:sz w:val="24"/>
          <w:szCs w:val="24"/>
        </w:rPr>
        <w:t>左右。次生灌丛则以野桐、盐肤木、马桑、黄荆、火棘、胡枝子、荚蒾、杨桐、蛇莓、算盘子为主要的优势群落，草本优势种群主要是白茅、五节芒、斑茅、野古草</w:t>
      </w:r>
      <w:r w:rsidRPr="00092862">
        <w:rPr>
          <w:rFonts w:ascii="Times New Roman" w:eastAsia="宋体" w:hAnsi="Times New Roman" w:cs="Times New Roman"/>
          <w:color w:val="000000" w:themeColor="text1"/>
          <w:sz w:val="24"/>
        </w:rPr>
        <w:t>、夏枯草、蛇含委陵草、鸡眼草、芒萁、车轴草</w:t>
      </w:r>
      <w:r w:rsidRPr="00092862">
        <w:rPr>
          <w:rFonts w:ascii="Times New Roman" w:eastAsia="宋体" w:hAnsi="Times New Roman" w:cs="Times New Roman"/>
          <w:color w:val="000000" w:themeColor="text1"/>
          <w:sz w:val="24"/>
          <w:szCs w:val="24"/>
        </w:rPr>
        <w:t>。在评价区海拔</w:t>
      </w:r>
      <w:r w:rsidRPr="00092862">
        <w:rPr>
          <w:rFonts w:ascii="Times New Roman" w:eastAsia="宋体" w:hAnsi="Times New Roman" w:cs="Times New Roman"/>
          <w:color w:val="000000" w:themeColor="text1"/>
          <w:sz w:val="24"/>
          <w:szCs w:val="24"/>
        </w:rPr>
        <w:t>400m</w:t>
      </w:r>
      <w:r w:rsidRPr="00092862">
        <w:rPr>
          <w:rFonts w:ascii="Times New Roman" w:eastAsia="宋体" w:hAnsi="Times New Roman" w:cs="Times New Roman"/>
          <w:color w:val="000000" w:themeColor="text1"/>
          <w:sz w:val="24"/>
          <w:szCs w:val="24"/>
        </w:rPr>
        <w:t>以下、坡度较缓的地带均已毁林开荒种植粮食作物，导致水土流失，自然条件发生变化，农业植被或者荒芜逐渐代替自然植被。</w:t>
      </w:r>
    </w:p>
    <w:p w14:paraId="07ADF8C6"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地带性常绿阔叶林的消失，使蕴藏其中的大部分珍稀动植物失去生存繁衍的环境，同时，植被的明显次生性，大面积人工种植的针叶林、落叶阔叶林以及次生的灌丛及灌草丛在评价区域的广泛分布，致使区内植被的生态效应的有效性、生物物种的多样性及植被生物量的丰富程度都受到一定的影响。</w:t>
      </w:r>
    </w:p>
    <w:p w14:paraId="382D6A85"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lang w:val="de-DE"/>
        </w:rPr>
        <w:t>）森林植被覆盖率较低，质量欠佳且分布不均</w:t>
      </w:r>
    </w:p>
    <w:p w14:paraId="415C38B3"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评价范围的森林植被分布较为广泛，但多为人工培育中幼龄林，因此森林蓄积量较低，森林群落的结构简单，郁闭度相对较低，生物量及生产力亦较低，</w:t>
      </w:r>
      <w:r w:rsidRPr="00092862">
        <w:rPr>
          <w:rFonts w:ascii="Times New Roman" w:eastAsia="宋体" w:hAnsi="Times New Roman" w:cs="Times New Roman"/>
          <w:color w:val="000000" w:themeColor="text1"/>
          <w:sz w:val="24"/>
          <w:szCs w:val="24"/>
          <w:lang w:val="de-DE"/>
        </w:rPr>
        <w:lastRenderedPageBreak/>
        <w:t>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14:paraId="09F7F057"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lang w:val="de-DE"/>
        </w:rPr>
        <w:t>）人工植被分布广泛，尤其旱地植被占明显优势</w:t>
      </w:r>
    </w:p>
    <w:p w14:paraId="594423B0" w14:textId="07CBEDC2" w:rsidR="00F96F41" w:rsidRPr="00092862" w:rsidRDefault="009E4715" w:rsidP="00092862">
      <w:pPr>
        <w:adjustRightInd w:val="0"/>
        <w:snapToGrid w:val="0"/>
        <w:spacing w:line="360" w:lineRule="auto"/>
        <w:ind w:firstLineChars="200" w:firstLine="480"/>
        <w:rPr>
          <w:rFonts w:ascii="Times New Roman"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评价范围地处川东北中低山区域，土地负荷极大。目前评价范围内有农田植被</w:t>
      </w:r>
      <w:r w:rsidRPr="00092862">
        <w:rPr>
          <w:rFonts w:ascii="Times New Roman" w:eastAsia="宋体" w:hAnsi="Times New Roman" w:cs="Times New Roman"/>
          <w:color w:val="000000" w:themeColor="text1"/>
          <w:sz w:val="24"/>
          <w:szCs w:val="24"/>
        </w:rPr>
        <w:t>562.16</w:t>
      </w:r>
      <w:r w:rsidRPr="00092862">
        <w:rPr>
          <w:rFonts w:ascii="Times New Roman" w:eastAsia="宋体" w:hAnsi="Times New Roman" w:cs="Times New Roman"/>
          <w:color w:val="000000" w:themeColor="text1"/>
          <w:sz w:val="24"/>
          <w:szCs w:val="24"/>
          <w:lang w:val="de-DE"/>
        </w:rPr>
        <w:t>hm²</w:t>
      </w:r>
      <w:r w:rsidRPr="00092862">
        <w:rPr>
          <w:rFonts w:ascii="Times New Roman" w:eastAsia="宋体" w:hAnsi="Times New Roman" w:cs="Times New Roman"/>
          <w:color w:val="000000" w:themeColor="text1"/>
          <w:sz w:val="24"/>
          <w:szCs w:val="24"/>
          <w:lang w:val="de-DE"/>
        </w:rPr>
        <w:t>，约占评价区内土地总面积的</w:t>
      </w:r>
      <w:r w:rsidRPr="00092862">
        <w:rPr>
          <w:rFonts w:ascii="Times New Roman" w:eastAsia="宋体" w:hAnsi="Times New Roman" w:cs="Times New Roman"/>
          <w:color w:val="000000" w:themeColor="text1"/>
          <w:sz w:val="24"/>
          <w:szCs w:val="24"/>
        </w:rPr>
        <w:t>30.02</w:t>
      </w:r>
      <w:r w:rsidRPr="00092862">
        <w:rPr>
          <w:rFonts w:ascii="Times New Roman" w:eastAsia="宋体" w:hAnsi="Times New Roman" w:cs="Times New Roman"/>
          <w:color w:val="000000" w:themeColor="text1"/>
          <w:sz w:val="24"/>
          <w:szCs w:val="24"/>
          <w:lang w:val="de-DE"/>
        </w:rPr>
        <w:t>%</w:t>
      </w:r>
      <w:r w:rsidRPr="00092862">
        <w:rPr>
          <w:rFonts w:ascii="Times New Roman" w:eastAsia="宋体" w:hAnsi="Times New Roman" w:cs="Times New Roman"/>
          <w:color w:val="000000" w:themeColor="text1"/>
          <w:sz w:val="24"/>
          <w:szCs w:val="24"/>
          <w:lang w:val="de-DE"/>
        </w:rPr>
        <w:t>，即垦殖指数达</w:t>
      </w:r>
      <w:r w:rsidRPr="00092862">
        <w:rPr>
          <w:rFonts w:ascii="Times New Roman" w:eastAsia="宋体" w:hAnsi="Times New Roman" w:cs="Times New Roman"/>
          <w:color w:val="000000" w:themeColor="text1"/>
          <w:sz w:val="24"/>
          <w:szCs w:val="24"/>
        </w:rPr>
        <w:t>30.02</w:t>
      </w:r>
      <w:r w:rsidRPr="00092862">
        <w:rPr>
          <w:rFonts w:ascii="Times New Roman" w:eastAsia="宋体" w:hAnsi="Times New Roman" w:cs="Times New Roman"/>
          <w:color w:val="000000" w:themeColor="text1"/>
          <w:sz w:val="24"/>
          <w:szCs w:val="24"/>
          <w:lang w:val="de-DE"/>
        </w:rPr>
        <w:t>%</w:t>
      </w:r>
      <w:r w:rsidRPr="00092862">
        <w:rPr>
          <w:rFonts w:ascii="Times New Roman" w:eastAsia="宋体" w:hAnsi="Times New Roman" w:cs="Times New Roman"/>
          <w:color w:val="000000" w:themeColor="text1"/>
          <w:sz w:val="24"/>
          <w:szCs w:val="24"/>
          <w:lang w:val="de-DE"/>
        </w:rPr>
        <w:t>。大面积的农田植被对于解决区内人口的粮食、蔬菜等起到了重要作用，但是由于不少旱地是在河谷斜坡和丘陵山地的斜坡面上开垦出来的，这种坡耕旱地在人类长期的翻耕种植下，会加速土壤的侵蚀，使山区生态环境进一步退化</w:t>
      </w:r>
      <w:r w:rsidR="00F96F41" w:rsidRPr="00092862">
        <w:rPr>
          <w:rFonts w:ascii="Times New Roman" w:hAnsi="Times New Roman" w:cs="Times New Roman"/>
          <w:color w:val="000000" w:themeColor="text1"/>
          <w:sz w:val="24"/>
          <w:szCs w:val="24"/>
          <w:lang w:val="de-DE"/>
        </w:rPr>
        <w:t>。</w:t>
      </w:r>
    </w:p>
    <w:p w14:paraId="2619F2BA" w14:textId="77777777" w:rsidR="00F96F41" w:rsidRPr="00092862" w:rsidRDefault="00F96F41" w:rsidP="00A364A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87" w:name="_Toc120173139"/>
      <w:r w:rsidRPr="00092862">
        <w:rPr>
          <w:rFonts w:ascii="Times New Roman" w:eastAsia="黑体" w:hAnsi="Times New Roman"/>
          <w:b w:val="0"/>
          <w:color w:val="000000" w:themeColor="text1"/>
          <w:sz w:val="24"/>
          <w:szCs w:val="24"/>
          <w:lang w:eastAsia="zh-CN"/>
        </w:rPr>
        <w:t>4.3.5</w:t>
      </w:r>
      <w:r w:rsidRPr="00092862">
        <w:rPr>
          <w:rFonts w:ascii="Times New Roman" w:eastAsia="黑体" w:hAnsi="Times New Roman"/>
          <w:b w:val="0"/>
          <w:color w:val="000000" w:themeColor="text1"/>
          <w:sz w:val="24"/>
          <w:szCs w:val="24"/>
          <w:lang w:eastAsia="zh-CN"/>
        </w:rPr>
        <w:t>评价范围植被生产力和生物量分析</w:t>
      </w:r>
      <w:bookmarkEnd w:id="187"/>
    </w:p>
    <w:p w14:paraId="64A176DA"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sz w:val="24"/>
          <w:szCs w:val="24"/>
          <w:lang w:val="de-DE"/>
        </w:rPr>
      </w:pPr>
      <w:r w:rsidRPr="00092862">
        <w:rPr>
          <w:rFonts w:ascii="Times New Roman" w:eastAsia="宋体" w:hAnsi="Times New Roman" w:cs="Times New Roman"/>
          <w:b/>
          <w:bCs/>
          <w:color w:val="000000" w:themeColor="text1"/>
          <w:sz w:val="24"/>
          <w:szCs w:val="24"/>
          <w:lang w:val="de-DE"/>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lang w:val="de-DE"/>
        </w:rPr>
        <w:t>）土地自然生产力估算</w:t>
      </w:r>
    </w:p>
    <w:p w14:paraId="215972D9"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采用</w:t>
      </w:r>
      <w:r w:rsidRPr="00092862">
        <w:rPr>
          <w:rFonts w:ascii="Times New Roman" w:eastAsia="宋体" w:hAnsi="Times New Roman" w:cs="Times New Roman"/>
          <w:color w:val="000000" w:themeColor="text1"/>
          <w:sz w:val="24"/>
          <w:szCs w:val="24"/>
          <w:lang w:val="de-DE"/>
        </w:rPr>
        <w:t>H.lieth</w:t>
      </w:r>
      <w:r w:rsidRPr="00092862">
        <w:rPr>
          <w:rFonts w:ascii="Times New Roman" w:eastAsia="宋体" w:hAnsi="Times New Roman" w:cs="Times New Roman"/>
          <w:color w:val="000000" w:themeColor="text1"/>
          <w:sz w:val="24"/>
          <w:szCs w:val="24"/>
          <w:lang w:val="de-DE"/>
        </w:rPr>
        <w:t>生物生产力经验公式计算项目区域土地自然生产力：</w:t>
      </w:r>
    </w:p>
    <w:p w14:paraId="7F97A6A6" w14:textId="77777777" w:rsidR="009E4715" w:rsidRPr="00092862" w:rsidRDefault="009E4715" w:rsidP="00092862">
      <w:pPr>
        <w:adjustRightInd w:val="0"/>
        <w:snapToGrid w:val="0"/>
        <w:spacing w:line="360" w:lineRule="auto"/>
        <w:jc w:val="center"/>
        <w:rPr>
          <w:rFonts w:ascii="Times New Roman" w:eastAsia="宋体" w:hAnsi="Times New Roman" w:cs="Times New Roman"/>
          <w:color w:val="000000" w:themeColor="text1"/>
          <w:szCs w:val="24"/>
        </w:rPr>
      </w:pPr>
      <w:r w:rsidRPr="00092862">
        <w:rPr>
          <w:rFonts w:ascii="Times New Roman" w:eastAsia="宋体" w:hAnsi="Times New Roman" w:cs="Times New Roman"/>
          <w:color w:val="000000" w:themeColor="text1"/>
          <w:position w:val="-26"/>
          <w:szCs w:val="24"/>
        </w:rPr>
        <w:object w:dxaOrig="2141" w:dyaOrig="659" w14:anchorId="7E46A423">
          <v:shape id="Object 81" o:spid="_x0000_i1027" type="#_x0000_t75" style="width:129.75pt;height:36.35pt;mso-wrap-style:square;mso-position-horizontal-relative:page;mso-position-vertical-relative:page" o:ole="">
            <v:imagedata r:id="rId68" o:title=""/>
          </v:shape>
          <o:OLEObject Type="Embed" ProgID="Equation.3" ShapeID="Object 81" DrawAspect="Content" ObjectID="_1734854728" r:id="rId69"/>
        </w:object>
      </w:r>
    </w:p>
    <w:p w14:paraId="77E13ADE" w14:textId="77777777" w:rsidR="009E4715" w:rsidRPr="00092862" w:rsidRDefault="009E4715" w:rsidP="00092862">
      <w:pPr>
        <w:jc w:val="center"/>
        <w:rPr>
          <w:rFonts w:ascii="Times New Roman" w:eastAsia="宋体" w:hAnsi="Times New Roman" w:cs="Times New Roman"/>
          <w:color w:val="000000" w:themeColor="text1"/>
          <w:szCs w:val="24"/>
        </w:rPr>
      </w:pPr>
      <w:r w:rsidRPr="00092862">
        <w:rPr>
          <w:rFonts w:ascii="Times New Roman" w:eastAsia="宋体" w:hAnsi="Times New Roman" w:cs="Times New Roman"/>
          <w:color w:val="000000" w:themeColor="text1"/>
          <w:position w:val="-10"/>
          <w:szCs w:val="24"/>
        </w:rPr>
        <w:object w:dxaOrig="2361" w:dyaOrig="359" w14:anchorId="7713BCE3">
          <v:shape id="Object 50" o:spid="_x0000_i1028" type="#_x0000_t75" style="width:150.4pt;height:21.4pt;mso-wrap-style:square;mso-position-horizontal-relative:page;mso-position-vertical-relative:page" o:ole="">
            <v:imagedata r:id="rId70" o:title=""/>
          </v:shape>
          <o:OLEObject Type="Embed" ProgID="Equation.3" ShapeID="Object 50" DrawAspect="Content" ObjectID="_1734854729" r:id="rId71"/>
        </w:object>
      </w:r>
    </w:p>
    <w:p w14:paraId="169C4D90" w14:textId="77777777" w:rsidR="009E4715" w:rsidRPr="00092862" w:rsidRDefault="009E4715" w:rsidP="00092862">
      <w:pPr>
        <w:spacing w:line="480" w:lineRule="exact"/>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lang w:val="de-DE"/>
        </w:rPr>
        <w:t>式中：</w:t>
      </w:r>
      <w:r w:rsidRPr="00092862">
        <w:rPr>
          <w:rFonts w:ascii="Times New Roman" w:eastAsia="宋体" w:hAnsi="Times New Roman" w:cs="Times New Roman"/>
          <w:color w:val="000000" w:themeColor="text1"/>
          <w:sz w:val="24"/>
          <w:szCs w:val="24"/>
          <w:lang w:val="de-DE"/>
        </w:rPr>
        <w:t>Y1——</w:t>
      </w:r>
      <w:r w:rsidRPr="00092862">
        <w:rPr>
          <w:rFonts w:ascii="Times New Roman" w:eastAsia="宋体" w:hAnsi="Times New Roman" w:cs="Times New Roman"/>
          <w:color w:val="000000" w:themeColor="text1"/>
          <w:sz w:val="24"/>
          <w:szCs w:val="24"/>
          <w:lang w:val="de-DE"/>
        </w:rPr>
        <w:t>根据年均温度（</w:t>
      </w:r>
      <w:r w:rsidRPr="00092862">
        <w:rPr>
          <w:rFonts w:ascii="Times New Roman" w:eastAsia="宋体" w:hAnsi="Times New Roman" w:cs="Times New Roman"/>
          <w:color w:val="000000" w:themeColor="text1"/>
          <w:sz w:val="24"/>
          <w:szCs w:val="24"/>
          <w:lang w:val="de-DE"/>
        </w:rPr>
        <w:t>t</w:t>
      </w:r>
      <w:r w:rsidRPr="00092862">
        <w:rPr>
          <w:rFonts w:ascii="Times New Roman" w:eastAsia="宋体" w:hAnsi="Times New Roman" w:cs="Times New Roman"/>
          <w:color w:val="000000" w:themeColor="text1"/>
          <w:sz w:val="24"/>
          <w:szCs w:val="24"/>
          <w:lang w:val="de-DE"/>
        </w:rPr>
        <w:t>）估算的热量</w:t>
      </w:r>
      <w:r w:rsidRPr="00092862">
        <w:rPr>
          <w:rFonts w:ascii="Times New Roman" w:eastAsia="宋体" w:hAnsi="Times New Roman" w:cs="Times New Roman"/>
          <w:color w:val="000000" w:themeColor="text1"/>
          <w:sz w:val="24"/>
          <w:szCs w:val="24"/>
        </w:rPr>
        <w:t>生产力（</w:t>
      </w:r>
      <w:r w:rsidRPr="00092862">
        <w:rPr>
          <w:rFonts w:ascii="Times New Roman" w:eastAsia="宋体" w:hAnsi="Times New Roman" w:cs="Times New Roman"/>
          <w:color w:val="000000" w:themeColor="text1"/>
          <w:sz w:val="24"/>
          <w:szCs w:val="24"/>
        </w:rPr>
        <w:t>g/m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05584AFB" w14:textId="77777777" w:rsidR="009E4715" w:rsidRPr="00092862" w:rsidRDefault="009E4715" w:rsidP="00092862">
      <w:pPr>
        <w:spacing w:line="480" w:lineRule="exact"/>
        <w:ind w:firstLineChars="300" w:firstLine="720"/>
        <w:rPr>
          <w:rFonts w:ascii="Times New Roman" w:eastAsia="宋体" w:hAnsi="Times New Roman" w:cs="Times New Roman"/>
          <w:color w:val="000000" w:themeColor="text1"/>
          <w:sz w:val="24"/>
          <w:szCs w:val="24"/>
        </w:rPr>
      </w:pPr>
      <w:r w:rsidRPr="00092862">
        <w:rPr>
          <w:rFonts w:ascii="Times New Roman" w:eastAsia="宋体" w:hAnsi="Times New Roman" w:cs="Times New Roman"/>
          <w:i/>
          <w:color w:val="000000" w:themeColor="text1"/>
          <w:sz w:val="24"/>
          <w:szCs w:val="24"/>
        </w:rPr>
        <w:t>Y</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根据年降水量（</w:t>
      </w:r>
      <w:r w:rsidRPr="00092862">
        <w:rPr>
          <w:rFonts w:ascii="Times New Roman" w:eastAsia="宋体" w:hAnsi="Times New Roman" w:cs="Times New Roman"/>
          <w:i/>
          <w:color w:val="000000" w:themeColor="text1"/>
          <w:sz w:val="24"/>
          <w:szCs w:val="24"/>
        </w:rPr>
        <w:t>p</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mm</w:t>
      </w:r>
      <w:r w:rsidRPr="00092862">
        <w:rPr>
          <w:rFonts w:ascii="Times New Roman" w:eastAsia="宋体" w:hAnsi="Times New Roman" w:cs="Times New Roman"/>
          <w:color w:val="000000" w:themeColor="text1"/>
          <w:sz w:val="24"/>
          <w:szCs w:val="24"/>
        </w:rPr>
        <w:t>）估算的水分生产力（</w:t>
      </w:r>
      <w:r w:rsidRPr="00092862">
        <w:rPr>
          <w:rFonts w:ascii="Times New Roman" w:eastAsia="宋体" w:hAnsi="Times New Roman" w:cs="Times New Roman"/>
          <w:color w:val="000000" w:themeColor="text1"/>
          <w:sz w:val="24"/>
          <w:szCs w:val="24"/>
        </w:rPr>
        <w:t>g/m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27414578" w14:textId="77777777" w:rsidR="009E4715" w:rsidRPr="00092862" w:rsidRDefault="009E4715" w:rsidP="00092862">
      <w:pPr>
        <w:spacing w:line="480" w:lineRule="exact"/>
        <w:ind w:firstLineChars="200" w:firstLine="480"/>
        <w:rPr>
          <w:rFonts w:ascii="Times New Roman" w:eastAsia="宋体" w:hAnsi="Times New Roman" w:cs="Times New Roman"/>
          <w:color w:val="000000" w:themeColor="text1"/>
          <w:sz w:val="24"/>
          <w:szCs w:val="24"/>
          <w:lang w:val="de-DE"/>
        </w:rPr>
      </w:pPr>
      <w:r w:rsidRPr="00092862">
        <w:rPr>
          <w:rFonts w:ascii="Times New Roman" w:eastAsia="宋体" w:hAnsi="Times New Roman" w:cs="Times New Roman"/>
          <w:color w:val="000000" w:themeColor="text1"/>
          <w:sz w:val="24"/>
          <w:szCs w:val="24"/>
          <w:lang w:val="de-DE"/>
        </w:rPr>
        <w:t>评价范围地貌类型以中低山为主，区内气候在垂直及水平方向的变化都较小，土地自然生产力计算结果如下表所示：</w:t>
      </w:r>
    </w:p>
    <w:p w14:paraId="0E12CE9C" w14:textId="77777777" w:rsidR="009E4715" w:rsidRPr="00092862" w:rsidRDefault="009E4715" w:rsidP="00092862">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4.3-11 </w:t>
      </w:r>
      <w:r w:rsidRPr="00092862">
        <w:rPr>
          <w:rFonts w:ascii="Times New Roman" w:eastAsia="宋体" w:hAnsi="Times New Roman" w:cs="Times New Roman"/>
          <w:b/>
          <w:color w:val="000000" w:themeColor="text1"/>
          <w:kern w:val="0"/>
          <w:szCs w:val="24"/>
        </w:rPr>
        <w:t>评价范围土地自然生产力计算表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135"/>
        <w:gridCol w:w="1792"/>
        <w:gridCol w:w="1791"/>
        <w:gridCol w:w="1791"/>
        <w:gridCol w:w="1791"/>
      </w:tblGrid>
      <w:tr w:rsidR="00697429" w:rsidRPr="00092862" w14:paraId="2135CAFC" w14:textId="77777777" w:rsidTr="00A364AF">
        <w:trPr>
          <w:trHeight w:val="855"/>
          <w:jc w:val="center"/>
        </w:trPr>
        <w:tc>
          <w:tcPr>
            <w:tcW w:w="683" w:type="pct"/>
            <w:vAlign w:val="center"/>
          </w:tcPr>
          <w:p w14:paraId="028CEB20"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区域</w:t>
            </w:r>
          </w:p>
        </w:tc>
        <w:tc>
          <w:tcPr>
            <w:tcW w:w="1079" w:type="pct"/>
            <w:vAlign w:val="center"/>
          </w:tcPr>
          <w:p w14:paraId="7324E3CB"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多年平均气温</w:t>
            </w:r>
          </w:p>
          <w:p w14:paraId="6943D34A"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1079" w:type="pct"/>
            <w:vAlign w:val="center"/>
          </w:tcPr>
          <w:p w14:paraId="6A0DA80E"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多年平均降水量</w:t>
            </w:r>
          </w:p>
          <w:p w14:paraId="28F509B0"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mm</w:t>
            </w:r>
            <w:r w:rsidRPr="00092862">
              <w:rPr>
                <w:rFonts w:ascii="Times New Roman" w:eastAsia="宋体" w:hAnsi="Times New Roman" w:cs="Times New Roman"/>
                <w:color w:val="000000" w:themeColor="text1"/>
                <w:szCs w:val="21"/>
              </w:rPr>
              <w:t>）</w:t>
            </w:r>
          </w:p>
        </w:tc>
        <w:tc>
          <w:tcPr>
            <w:tcW w:w="1079" w:type="pct"/>
            <w:vAlign w:val="center"/>
          </w:tcPr>
          <w:p w14:paraId="5B816E4A"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热量生产力</w:t>
            </w:r>
          </w:p>
          <w:p w14:paraId="0F71066B"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g/m</w:t>
            </w:r>
            <w:r w:rsidRPr="00092862">
              <w:rPr>
                <w:rFonts w:ascii="Times New Roman" w:eastAsia="宋体" w:hAnsi="Times New Roman" w:cs="Times New Roman"/>
                <w:color w:val="000000" w:themeColor="text1"/>
                <w:szCs w:val="21"/>
                <w:vertAlign w:val="superscript"/>
              </w:rPr>
              <w:t>2</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c>
          <w:tcPr>
            <w:tcW w:w="1079" w:type="pct"/>
            <w:vAlign w:val="center"/>
          </w:tcPr>
          <w:p w14:paraId="7E10022C"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水分生产力</w:t>
            </w:r>
          </w:p>
          <w:p w14:paraId="473040E1"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g/m</w:t>
            </w:r>
            <w:r w:rsidRPr="00092862">
              <w:rPr>
                <w:rFonts w:ascii="Times New Roman" w:eastAsia="宋体" w:hAnsi="Times New Roman" w:cs="Times New Roman"/>
                <w:color w:val="000000" w:themeColor="text1"/>
                <w:szCs w:val="21"/>
                <w:vertAlign w:val="superscript"/>
              </w:rPr>
              <w:t>2</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r>
      <w:tr w:rsidR="00697429" w:rsidRPr="00092862" w14:paraId="271EB242" w14:textId="77777777" w:rsidTr="00A364AF">
        <w:trPr>
          <w:trHeight w:val="476"/>
          <w:jc w:val="center"/>
        </w:trPr>
        <w:tc>
          <w:tcPr>
            <w:tcW w:w="683" w:type="pct"/>
            <w:vAlign w:val="center"/>
          </w:tcPr>
          <w:p w14:paraId="27B8F7D2"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宣汉县</w:t>
            </w:r>
          </w:p>
        </w:tc>
        <w:tc>
          <w:tcPr>
            <w:tcW w:w="1079" w:type="pct"/>
            <w:vAlign w:val="center"/>
          </w:tcPr>
          <w:p w14:paraId="7E07F7B2"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16.8</w:t>
            </w:r>
          </w:p>
        </w:tc>
        <w:tc>
          <w:tcPr>
            <w:tcW w:w="1079" w:type="pct"/>
            <w:vAlign w:val="center"/>
          </w:tcPr>
          <w:p w14:paraId="12B661A7"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1132.69</w:t>
            </w:r>
          </w:p>
        </w:tc>
        <w:tc>
          <w:tcPr>
            <w:tcW w:w="1079" w:type="pct"/>
            <w:vAlign w:val="center"/>
          </w:tcPr>
          <w:p w14:paraId="79CCEC0D"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1994.03</w:t>
            </w:r>
          </w:p>
        </w:tc>
        <w:tc>
          <w:tcPr>
            <w:tcW w:w="1079" w:type="pct"/>
            <w:vAlign w:val="center"/>
          </w:tcPr>
          <w:p w14:paraId="4588AB41" w14:textId="77777777" w:rsidR="009E4715" w:rsidRPr="00092862" w:rsidRDefault="009E4715" w:rsidP="00092862">
            <w:pPr>
              <w:spacing w:before="2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1585.88</w:t>
            </w:r>
          </w:p>
        </w:tc>
      </w:tr>
    </w:tbl>
    <w:p w14:paraId="5FA9590E" w14:textId="77777777" w:rsidR="009E4715" w:rsidRPr="00092862" w:rsidRDefault="009E4715" w:rsidP="00092862">
      <w:pPr>
        <w:adjustRightInd w:val="0"/>
        <w:snapToGrid w:val="0"/>
        <w:spacing w:line="360" w:lineRule="auto"/>
        <w:ind w:firstLineChars="300" w:firstLine="72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从表</w:t>
      </w:r>
      <w:r w:rsidRPr="00092862">
        <w:rPr>
          <w:rFonts w:ascii="Times New Roman" w:eastAsia="宋体" w:hAnsi="Times New Roman" w:cs="Times New Roman"/>
          <w:color w:val="000000" w:themeColor="text1"/>
          <w:sz w:val="24"/>
          <w:szCs w:val="24"/>
        </w:rPr>
        <w:t>4.3-11</w:t>
      </w:r>
      <w:r w:rsidRPr="00092862">
        <w:rPr>
          <w:rFonts w:ascii="Times New Roman" w:eastAsia="宋体" w:hAnsi="Times New Roman" w:cs="Times New Roman"/>
          <w:color w:val="000000" w:themeColor="text1"/>
          <w:sz w:val="24"/>
          <w:szCs w:val="24"/>
        </w:rPr>
        <w:t>可以看出，项目区域热量条件充足，水分条件不足，土地自然生产力受水分条件限制，根据项目区域降水量计算得出土地自然生产力为</w:t>
      </w:r>
      <w:r w:rsidRPr="00092862">
        <w:rPr>
          <w:rFonts w:ascii="Times New Roman" w:eastAsia="宋体" w:hAnsi="Times New Roman" w:cs="Times New Roman"/>
          <w:color w:val="000000" w:themeColor="text1"/>
          <w:sz w:val="24"/>
          <w:szCs w:val="24"/>
        </w:rPr>
        <w:t>1585.88gc/m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7ECA4812"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sz w:val="24"/>
          <w:szCs w:val="24"/>
          <w:lang w:val="de-DE"/>
        </w:rPr>
      </w:pPr>
      <w:r w:rsidRPr="00092862">
        <w:rPr>
          <w:rFonts w:ascii="Times New Roman" w:eastAsia="宋体" w:hAnsi="Times New Roman" w:cs="Times New Roman"/>
          <w:b/>
          <w:bCs/>
          <w:color w:val="000000" w:themeColor="text1"/>
          <w:sz w:val="24"/>
          <w:szCs w:val="24"/>
          <w:lang w:val="de-DE"/>
        </w:rPr>
        <w:t>（</w:t>
      </w: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lang w:val="de-DE"/>
        </w:rPr>
        <w:t>）植被生产力现状评价</w:t>
      </w:r>
    </w:p>
    <w:p w14:paraId="313BE083" w14:textId="77777777" w:rsidR="009E4715" w:rsidRPr="00092862" w:rsidRDefault="009E4715" w:rsidP="00092862">
      <w:pPr>
        <w:adjustRightInd w:val="0"/>
        <w:snapToGrid w:val="0"/>
        <w:spacing w:line="360" w:lineRule="auto"/>
        <w:ind w:firstLine="480"/>
        <w:jc w:val="left"/>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植被既是重要的自然资源，又是自然条件（如地质、地貌、气候、土壤等）和人类开发利用资源状况的综合反映，植被作为陆地生物圈的主体，在生</w:t>
      </w:r>
      <w:r w:rsidRPr="00092862">
        <w:rPr>
          <w:rFonts w:ascii="Times New Roman" w:eastAsia="宋体" w:hAnsi="Times New Roman" w:cs="Times New Roman"/>
          <w:color w:val="000000" w:themeColor="text1"/>
          <w:sz w:val="24"/>
          <w:szCs w:val="24"/>
        </w:rPr>
        <w:lastRenderedPageBreak/>
        <w:t>态系统中的作用也日益受到重视，尤其是对生态系统变化及稳定起决定性作用。植被净初级生产力（</w:t>
      </w:r>
      <w:r w:rsidRPr="00092862">
        <w:rPr>
          <w:rFonts w:ascii="Times New Roman" w:eastAsia="宋体" w:hAnsi="Times New Roman" w:cs="Times New Roman"/>
          <w:color w:val="000000" w:themeColor="text1"/>
          <w:sz w:val="24"/>
          <w:szCs w:val="24"/>
        </w:rPr>
        <w:t>NPP</w:t>
      </w:r>
      <w:r w:rsidRPr="00092862">
        <w:rPr>
          <w:rFonts w:ascii="Times New Roman" w:eastAsia="宋体" w:hAnsi="Times New Roman" w:cs="Times New Roman"/>
          <w:color w:val="000000" w:themeColor="text1"/>
          <w:sz w:val="24"/>
          <w:szCs w:val="24"/>
        </w:rPr>
        <w:t>）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p>
    <w:p w14:paraId="6120D2BC" w14:textId="77777777" w:rsidR="009E4715" w:rsidRPr="00092862" w:rsidRDefault="009E4715" w:rsidP="00A364AF">
      <w:pPr>
        <w:adjustRightInd w:val="0"/>
        <w:snapToGrid w:val="0"/>
        <w:spacing w:line="360" w:lineRule="auto"/>
        <w:ind w:firstLine="480"/>
        <w:jc w:val="left"/>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color w:val="000000" w:themeColor="text1"/>
          <w:sz w:val="24"/>
          <w:szCs w:val="24"/>
        </w:rPr>
        <w:t>评价范围植调查是通过实地勘察、卫片解译、室内分析并结合收集的资料经综合分析而完成。卫片信息的提取过程如下：对选取的卫片数据，利用</w:t>
      </w:r>
      <w:r w:rsidRPr="00092862">
        <w:rPr>
          <w:rFonts w:ascii="Times New Roman" w:eastAsia="宋体" w:hAnsi="Times New Roman" w:cs="Times New Roman"/>
          <w:color w:val="000000" w:themeColor="text1"/>
          <w:sz w:val="24"/>
          <w:szCs w:val="24"/>
        </w:rPr>
        <w:t>3S</w:t>
      </w:r>
      <w:r w:rsidRPr="00092862">
        <w:rPr>
          <w:rFonts w:ascii="Times New Roman" w:eastAsia="宋体" w:hAnsi="Times New Roman" w:cs="Times New Roman"/>
          <w:color w:val="000000" w:themeColor="text1"/>
          <w:sz w:val="24"/>
          <w:szCs w:val="24"/>
        </w:rPr>
        <w:t>技术进行解译，并经几何精校正、图象增强、进行融合，根据各类环境信息数据及相关图像处理软件进行综合分析，得到评价区内生态环境研究所需的相关数据和生态图件。</w:t>
      </w:r>
    </w:p>
    <w:p w14:paraId="43416BA2" w14:textId="77777777" w:rsidR="009E4715" w:rsidRPr="00092862" w:rsidRDefault="009E4715" w:rsidP="00A364AF">
      <w:pPr>
        <w:adjustRightInd w:val="0"/>
        <w:snapToGrid w:val="0"/>
        <w:spacing w:line="360" w:lineRule="auto"/>
        <w:ind w:firstLine="480"/>
        <w:jc w:val="left"/>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根据调查和卫片解译，结合生态评价范围地表植被覆盖现状和植被立地情况，可将评价范围植被类型划分为以下</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类：</w:t>
      </w:r>
    </w:p>
    <w:p w14:paraId="3FCB10ED" w14:textId="77777777" w:rsidR="009E4715" w:rsidRPr="00092862" w:rsidRDefault="009E4715" w:rsidP="00A364AF">
      <w:pPr>
        <w:tabs>
          <w:tab w:val="left" w:pos="540"/>
        </w:tabs>
        <w:adjustRightInd w:val="0"/>
        <w:snapToGrid w:val="0"/>
        <w:spacing w:line="360" w:lineRule="auto"/>
        <w:ind w:firstLine="480"/>
        <w:jc w:val="left"/>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针叶林植被：主要是马尾松、杉木、柏木为主的针叶植被，此植被类型广泛分布，面积为</w:t>
      </w:r>
      <w:r w:rsidRPr="00092862">
        <w:rPr>
          <w:rFonts w:ascii="Times New Roman" w:eastAsia="宋体" w:hAnsi="Times New Roman" w:cs="Times New Roman"/>
          <w:snapToGrid w:val="0"/>
          <w:color w:val="000000" w:themeColor="text1"/>
          <w:sz w:val="24"/>
          <w:szCs w:val="24"/>
        </w:rPr>
        <w:t>681.15</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，占评价范围面积的</w:t>
      </w:r>
      <w:r w:rsidRPr="00092862">
        <w:rPr>
          <w:rFonts w:ascii="Times New Roman" w:eastAsia="宋体" w:hAnsi="Times New Roman" w:cs="Times New Roman"/>
          <w:snapToGrid w:val="0"/>
          <w:color w:val="000000" w:themeColor="text1"/>
          <w:sz w:val="24"/>
          <w:szCs w:val="24"/>
        </w:rPr>
        <w:t>49.70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，平均净初级生产力（常绿针叶林）为</w:t>
      </w:r>
      <w:r w:rsidRPr="00092862">
        <w:rPr>
          <w:rFonts w:ascii="Times New Roman" w:eastAsia="宋体" w:hAnsi="Times New Roman" w:cs="Times New Roman"/>
          <w:color w:val="000000" w:themeColor="text1"/>
          <w:sz w:val="24"/>
          <w:szCs w:val="24"/>
        </w:rPr>
        <w:t>367.1gC/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6C551D3A" w14:textId="77777777" w:rsidR="009E4715" w:rsidRPr="00092862" w:rsidRDefault="009E4715" w:rsidP="00A364AF">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阔叶林植被：主要有麻栎、青冈、栓皮栎等阔叶树种，此植被类型广泛分布，面积</w:t>
      </w:r>
      <w:r w:rsidRPr="00092862">
        <w:rPr>
          <w:rFonts w:ascii="Times New Roman" w:eastAsia="宋体" w:hAnsi="Times New Roman" w:cs="Times New Roman"/>
          <w:snapToGrid w:val="0"/>
          <w:color w:val="000000" w:themeColor="text1"/>
          <w:sz w:val="24"/>
          <w:szCs w:val="24"/>
        </w:rPr>
        <w:t>455.53</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，占评价范围面积的</w:t>
      </w:r>
      <w:r w:rsidRPr="00092862">
        <w:rPr>
          <w:rFonts w:ascii="Times New Roman" w:eastAsia="宋体" w:hAnsi="Times New Roman" w:cs="Times New Roman"/>
          <w:snapToGrid w:val="0"/>
          <w:color w:val="000000" w:themeColor="text1"/>
          <w:sz w:val="24"/>
          <w:szCs w:val="24"/>
        </w:rPr>
        <w:t>33.24</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，平均净初级生产力（落叶阔叶林）</w:t>
      </w:r>
      <w:r w:rsidRPr="00092862">
        <w:rPr>
          <w:rFonts w:ascii="Times New Roman" w:eastAsia="宋体" w:hAnsi="Times New Roman" w:cs="Times New Roman"/>
          <w:color w:val="000000" w:themeColor="text1"/>
          <w:sz w:val="24"/>
          <w:szCs w:val="24"/>
        </w:rPr>
        <w:t>642.9gC/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184F1EB4" w14:textId="77777777" w:rsidR="009E4715" w:rsidRPr="00092862" w:rsidRDefault="009E4715" w:rsidP="00A364AF">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灌丛植被：代表植物有野桐、盐肤木、马桑、黄荆、火棘等。主要分布在林下、林缘、山脚、路边、农田两旁，对保护农田和水土保持起到很重要的作用，此植被类型面积为</w:t>
      </w:r>
      <w:r w:rsidRPr="00092862">
        <w:rPr>
          <w:rFonts w:ascii="Times New Roman" w:eastAsia="宋体" w:hAnsi="Times New Roman" w:cs="Times New Roman"/>
          <w:snapToGrid w:val="0"/>
          <w:color w:val="000000" w:themeColor="text1"/>
          <w:sz w:val="24"/>
          <w:szCs w:val="24"/>
        </w:rPr>
        <w:t xml:space="preserve">29.11 </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，占评价范围总面积的</w:t>
      </w:r>
      <w:r w:rsidRPr="00092862">
        <w:rPr>
          <w:rFonts w:ascii="Times New Roman" w:eastAsia="宋体" w:hAnsi="Times New Roman" w:cs="Times New Roman"/>
          <w:snapToGrid w:val="0"/>
          <w:color w:val="000000" w:themeColor="text1"/>
          <w:sz w:val="24"/>
          <w:szCs w:val="24"/>
        </w:rPr>
        <w:t>2.12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，平均净初级生产力为（灌木）</w:t>
      </w:r>
      <w:r w:rsidRPr="00092862">
        <w:rPr>
          <w:rFonts w:ascii="Times New Roman" w:eastAsia="宋体" w:hAnsi="Times New Roman" w:cs="Times New Roman"/>
          <w:color w:val="000000" w:themeColor="text1"/>
          <w:sz w:val="24"/>
          <w:szCs w:val="24"/>
        </w:rPr>
        <w:t>367.7gC/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2E5990C5" w14:textId="77777777" w:rsidR="009E4715" w:rsidRPr="00092862" w:rsidRDefault="009E4715" w:rsidP="00A364AF">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草丛植被：代表植物有芒、白茅、蕨、芒萁等。主要分布在分布的林下、林缘、路边、农田两旁，此植被类型面积为</w:t>
      </w:r>
      <w:r w:rsidRPr="00092862">
        <w:rPr>
          <w:rFonts w:ascii="Times New Roman" w:eastAsia="宋体" w:hAnsi="Times New Roman" w:cs="Times New Roman"/>
          <w:snapToGrid w:val="0"/>
          <w:color w:val="000000" w:themeColor="text1"/>
          <w:sz w:val="24"/>
          <w:szCs w:val="24"/>
        </w:rPr>
        <w:t>11.71</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，占评价范围总面积的</w:t>
      </w:r>
      <w:r w:rsidRPr="00092862">
        <w:rPr>
          <w:rFonts w:ascii="Times New Roman" w:eastAsia="宋体" w:hAnsi="Times New Roman" w:cs="Times New Roman"/>
          <w:snapToGrid w:val="0"/>
          <w:color w:val="000000" w:themeColor="text1"/>
          <w:sz w:val="24"/>
          <w:szCs w:val="24"/>
        </w:rPr>
        <w:t>0.85%</w:t>
      </w:r>
      <w:r w:rsidRPr="00092862">
        <w:rPr>
          <w:rFonts w:ascii="Times New Roman" w:eastAsia="宋体" w:hAnsi="Times New Roman" w:cs="Times New Roman"/>
          <w:color w:val="000000" w:themeColor="text1"/>
          <w:sz w:val="24"/>
          <w:szCs w:val="24"/>
        </w:rPr>
        <w:t>，平均净初级生产力（坡面草地）为</w:t>
      </w:r>
      <w:r w:rsidRPr="00092862">
        <w:rPr>
          <w:rFonts w:ascii="Times New Roman" w:eastAsia="宋体" w:hAnsi="Times New Roman" w:cs="Times New Roman"/>
          <w:color w:val="000000" w:themeColor="text1"/>
          <w:kern w:val="0"/>
          <w:sz w:val="24"/>
          <w:szCs w:val="24"/>
          <w:lang w:bidi="ar"/>
        </w:rPr>
        <w:t>507.4</w:t>
      </w:r>
      <w:r w:rsidRPr="00092862">
        <w:rPr>
          <w:rFonts w:ascii="Times New Roman" w:eastAsia="宋体" w:hAnsi="Times New Roman" w:cs="Times New Roman"/>
          <w:color w:val="000000" w:themeColor="text1"/>
          <w:sz w:val="24"/>
          <w:szCs w:val="24"/>
        </w:rPr>
        <w:t>gC/(m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3D13A3F1" w14:textId="77777777" w:rsidR="009E4715" w:rsidRPr="00092862" w:rsidRDefault="009E4715" w:rsidP="00A364AF">
      <w:pPr>
        <w:adjustRightInd w:val="0"/>
        <w:snapToGrid w:val="0"/>
        <w:spacing w:line="360" w:lineRule="auto"/>
        <w:ind w:firstLineChars="224" w:firstLine="538"/>
        <w:jc w:val="left"/>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⑤</w:t>
      </w:r>
      <w:r w:rsidRPr="00092862">
        <w:rPr>
          <w:rFonts w:ascii="Times New Roman" w:eastAsia="宋体" w:hAnsi="Times New Roman" w:cs="Times New Roman"/>
          <w:color w:val="000000" w:themeColor="text1"/>
          <w:sz w:val="24"/>
          <w:szCs w:val="24"/>
        </w:rPr>
        <w:t>农作物植被：该地区的农作物主要有水稻、玉米、红苕、棉花、花生、小麦、马铃薯、豌豆等，主要分布在山谷、河谷两侧等低海拔区；农作物植被</w:t>
      </w:r>
      <w:r w:rsidRPr="00092862">
        <w:rPr>
          <w:rFonts w:ascii="Times New Roman" w:eastAsia="宋体" w:hAnsi="Times New Roman" w:cs="Times New Roman"/>
          <w:color w:val="000000" w:themeColor="text1"/>
          <w:sz w:val="24"/>
          <w:szCs w:val="24"/>
        </w:rPr>
        <w:lastRenderedPageBreak/>
        <w:t>面积</w:t>
      </w:r>
      <w:r w:rsidRPr="00092862">
        <w:rPr>
          <w:rFonts w:ascii="Times New Roman" w:eastAsia="宋体" w:hAnsi="Times New Roman" w:cs="Times New Roman"/>
          <w:snapToGrid w:val="0"/>
          <w:color w:val="000000" w:themeColor="text1"/>
          <w:sz w:val="24"/>
          <w:szCs w:val="24"/>
        </w:rPr>
        <w:t>159.05</w:t>
      </w:r>
      <w:r w:rsidRPr="00092862">
        <w:rPr>
          <w:rFonts w:ascii="Times New Roman" w:eastAsia="宋体" w:hAnsi="Times New Roman" w:cs="Times New Roman"/>
          <w:color w:val="000000" w:themeColor="text1"/>
          <w:sz w:val="24"/>
          <w:szCs w:val="24"/>
        </w:rPr>
        <w: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，占评价范围面积的</w:t>
      </w:r>
      <w:r w:rsidRPr="00092862">
        <w:rPr>
          <w:rFonts w:ascii="Times New Roman" w:eastAsia="宋体" w:hAnsi="Times New Roman" w:cs="Times New Roman"/>
          <w:snapToGrid w:val="0"/>
          <w:color w:val="000000" w:themeColor="text1"/>
          <w:sz w:val="24"/>
          <w:szCs w:val="24"/>
        </w:rPr>
        <w:t>11.60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，平均净初级生产力</w:t>
      </w:r>
      <w:r w:rsidRPr="00092862">
        <w:rPr>
          <w:rFonts w:ascii="Times New Roman" w:eastAsia="宋体" w:hAnsi="Times New Roman" w:cs="Times New Roman"/>
          <w:color w:val="000000" w:themeColor="text1"/>
          <w:sz w:val="24"/>
          <w:szCs w:val="24"/>
        </w:rPr>
        <w:t>426.5gC/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p>
    <w:p w14:paraId="35852E3E" w14:textId="77777777" w:rsidR="009E4715" w:rsidRPr="00092862" w:rsidRDefault="009E4715" w:rsidP="00A364AF">
      <w:pPr>
        <w:adjustRightInd w:val="0"/>
        <w:snapToGrid w:val="0"/>
        <w:spacing w:line="360" w:lineRule="auto"/>
        <w:ind w:firstLine="480"/>
        <w:jc w:val="left"/>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kern w:val="0"/>
          <w:sz w:val="24"/>
          <w:szCs w:val="24"/>
        </w:rPr>
        <w:t>评价范围内各植被类型净生产力情况见下表。</w:t>
      </w:r>
    </w:p>
    <w:p w14:paraId="514BC442"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4.3-12 </w:t>
      </w:r>
      <w:r w:rsidRPr="00092862">
        <w:rPr>
          <w:rFonts w:ascii="Times New Roman" w:eastAsia="宋体" w:hAnsi="Times New Roman" w:cs="Times New Roman"/>
          <w:b/>
          <w:color w:val="000000" w:themeColor="text1"/>
          <w:kern w:val="0"/>
          <w:szCs w:val="24"/>
        </w:rPr>
        <w:t>评价范围植被自然生产力情况表</w:t>
      </w:r>
    </w:p>
    <w:tbl>
      <w:tblPr>
        <w:tblStyle w:val="45"/>
        <w:tblW w:w="5000" w:type="pct"/>
        <w:jc w:val="center"/>
        <w:tblInd w:w="0" w:type="dxa"/>
        <w:tblLook w:val="0000" w:firstRow="0" w:lastRow="0" w:firstColumn="0" w:lastColumn="0" w:noHBand="0" w:noVBand="0"/>
      </w:tblPr>
      <w:tblGrid>
        <w:gridCol w:w="903"/>
        <w:gridCol w:w="2063"/>
        <w:gridCol w:w="975"/>
        <w:gridCol w:w="823"/>
        <w:gridCol w:w="1200"/>
        <w:gridCol w:w="1161"/>
        <w:gridCol w:w="1175"/>
      </w:tblGrid>
      <w:tr w:rsidR="00697429" w:rsidRPr="00092862" w14:paraId="1FF1B279" w14:textId="77777777" w:rsidTr="00A364AF">
        <w:trPr>
          <w:jc w:val="center"/>
        </w:trPr>
        <w:tc>
          <w:tcPr>
            <w:tcW w:w="550" w:type="pct"/>
            <w:vAlign w:val="center"/>
          </w:tcPr>
          <w:p w14:paraId="62B4F99B"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植被</w:t>
            </w:r>
          </w:p>
          <w:p w14:paraId="53D8A326"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类型</w:t>
            </w:r>
          </w:p>
        </w:tc>
        <w:tc>
          <w:tcPr>
            <w:tcW w:w="1249" w:type="pct"/>
            <w:vAlign w:val="center"/>
          </w:tcPr>
          <w:p w14:paraId="38F7BB9A"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代表植物</w:t>
            </w:r>
          </w:p>
        </w:tc>
        <w:tc>
          <w:tcPr>
            <w:tcW w:w="558" w:type="pct"/>
            <w:vAlign w:val="center"/>
          </w:tcPr>
          <w:p w14:paraId="12E4D1C6" w14:textId="77777777" w:rsidR="009E4715" w:rsidRPr="00092862" w:rsidRDefault="009E4715" w:rsidP="009E4715">
            <w:pPr>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面积（</w:t>
            </w:r>
            <w:r w:rsidRPr="00092862">
              <w:rPr>
                <w:rFonts w:ascii="Times New Roman" w:eastAsia="宋体" w:hAnsi="Times New Roman" w:cs="Times New Roman"/>
                <w:snapToGrid w:val="0"/>
                <w:color w:val="000000" w:themeColor="text1"/>
                <w:szCs w:val="21"/>
              </w:rPr>
              <w:t>hm</w:t>
            </w:r>
            <w:r w:rsidRPr="00092862">
              <w:rPr>
                <w:rFonts w:ascii="Times New Roman" w:eastAsia="宋体" w:hAnsi="Times New Roman" w:cs="Times New Roman"/>
                <w:snapToGrid w:val="0"/>
                <w:color w:val="000000" w:themeColor="text1"/>
                <w:szCs w:val="21"/>
                <w:vertAlign w:val="superscript"/>
              </w:rPr>
              <w:t>2</w:t>
            </w:r>
            <w:r w:rsidRPr="00092862">
              <w:rPr>
                <w:rFonts w:ascii="Times New Roman" w:eastAsia="宋体" w:hAnsi="Times New Roman" w:cs="Times New Roman"/>
                <w:snapToGrid w:val="0"/>
                <w:color w:val="000000" w:themeColor="text1"/>
                <w:szCs w:val="21"/>
              </w:rPr>
              <w:t>）</w:t>
            </w:r>
          </w:p>
        </w:tc>
        <w:tc>
          <w:tcPr>
            <w:tcW w:w="502" w:type="pct"/>
            <w:vAlign w:val="center"/>
          </w:tcPr>
          <w:p w14:paraId="6F504FB3"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占评价范围（</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w:t>
            </w:r>
          </w:p>
        </w:tc>
        <w:tc>
          <w:tcPr>
            <w:tcW w:w="723" w:type="pct"/>
            <w:vAlign w:val="center"/>
          </w:tcPr>
          <w:p w14:paraId="770E7DC2"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平均净生产力</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color w:val="000000" w:themeColor="text1"/>
                <w:sz w:val="24"/>
                <w:szCs w:val="24"/>
              </w:rPr>
              <w:t>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snapToGrid w:val="0"/>
                <w:color w:val="000000" w:themeColor="text1"/>
                <w:szCs w:val="21"/>
              </w:rPr>
              <w:t>]</w:t>
            </w:r>
          </w:p>
        </w:tc>
        <w:tc>
          <w:tcPr>
            <w:tcW w:w="705" w:type="pct"/>
            <w:vAlign w:val="center"/>
          </w:tcPr>
          <w:p w14:paraId="01FB85E0"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总生产力</w:t>
            </w:r>
            <w:r w:rsidRPr="00092862">
              <w:rPr>
                <w:rFonts w:ascii="Times New Roman" w:eastAsia="宋体" w:hAnsi="Times New Roman" w:cs="Times New Roman"/>
                <w:snapToGrid w:val="0"/>
                <w:color w:val="000000" w:themeColor="text1"/>
                <w:szCs w:val="21"/>
              </w:rPr>
              <w:t>[tC/</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a</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w:t>
            </w:r>
          </w:p>
        </w:tc>
        <w:tc>
          <w:tcPr>
            <w:tcW w:w="714" w:type="pct"/>
            <w:vAlign w:val="center"/>
          </w:tcPr>
          <w:p w14:paraId="294B825F"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生产力比重</w:t>
            </w:r>
          </w:p>
          <w:p w14:paraId="50D53F7E"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w:t>
            </w:r>
          </w:p>
        </w:tc>
      </w:tr>
      <w:tr w:rsidR="00697429" w:rsidRPr="00092862" w14:paraId="42989D54" w14:textId="77777777" w:rsidTr="00A364AF">
        <w:trPr>
          <w:trHeight w:val="90"/>
          <w:jc w:val="center"/>
        </w:trPr>
        <w:tc>
          <w:tcPr>
            <w:tcW w:w="550" w:type="pct"/>
            <w:vAlign w:val="center"/>
          </w:tcPr>
          <w:p w14:paraId="16587C70"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针叶林植被</w:t>
            </w:r>
          </w:p>
        </w:tc>
        <w:tc>
          <w:tcPr>
            <w:tcW w:w="1249" w:type="pct"/>
            <w:vAlign w:val="center"/>
          </w:tcPr>
          <w:p w14:paraId="5BAA9C2B"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马尾松、杉木、柏木</w:t>
            </w:r>
          </w:p>
        </w:tc>
        <w:tc>
          <w:tcPr>
            <w:tcW w:w="558" w:type="pct"/>
            <w:vAlign w:val="center"/>
          </w:tcPr>
          <w:p w14:paraId="3B360266"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681.15 </w:t>
            </w:r>
          </w:p>
        </w:tc>
        <w:tc>
          <w:tcPr>
            <w:tcW w:w="502" w:type="pct"/>
            <w:vAlign w:val="center"/>
          </w:tcPr>
          <w:p w14:paraId="2206E8A9"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49.70 </w:t>
            </w:r>
          </w:p>
        </w:tc>
        <w:tc>
          <w:tcPr>
            <w:tcW w:w="723" w:type="pct"/>
            <w:vAlign w:val="center"/>
          </w:tcPr>
          <w:p w14:paraId="7E185A8E"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367.1 </w:t>
            </w:r>
          </w:p>
        </w:tc>
        <w:tc>
          <w:tcPr>
            <w:tcW w:w="705" w:type="pct"/>
            <w:vAlign w:val="center"/>
          </w:tcPr>
          <w:p w14:paraId="0756FE83"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2500.50 </w:t>
            </w:r>
          </w:p>
        </w:tc>
        <w:tc>
          <w:tcPr>
            <w:tcW w:w="714" w:type="pct"/>
            <w:vAlign w:val="center"/>
          </w:tcPr>
          <w:p w14:paraId="2F6EA40F"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39.86 </w:t>
            </w:r>
          </w:p>
        </w:tc>
      </w:tr>
      <w:tr w:rsidR="00697429" w:rsidRPr="00092862" w14:paraId="18535D2D" w14:textId="77777777" w:rsidTr="00A364AF">
        <w:trPr>
          <w:trHeight w:val="602"/>
          <w:jc w:val="center"/>
        </w:trPr>
        <w:tc>
          <w:tcPr>
            <w:tcW w:w="550" w:type="pct"/>
            <w:vAlign w:val="center"/>
          </w:tcPr>
          <w:p w14:paraId="73D87D19"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阔叶林植被</w:t>
            </w:r>
          </w:p>
        </w:tc>
        <w:tc>
          <w:tcPr>
            <w:tcW w:w="1249" w:type="pct"/>
            <w:vAlign w:val="center"/>
          </w:tcPr>
          <w:p w14:paraId="53442343"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麻栎、青冈、栓皮栎</w:t>
            </w:r>
          </w:p>
        </w:tc>
        <w:tc>
          <w:tcPr>
            <w:tcW w:w="558" w:type="pct"/>
            <w:vAlign w:val="center"/>
          </w:tcPr>
          <w:p w14:paraId="7809B2DA"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455.53 </w:t>
            </w:r>
          </w:p>
        </w:tc>
        <w:tc>
          <w:tcPr>
            <w:tcW w:w="502" w:type="pct"/>
            <w:vAlign w:val="center"/>
          </w:tcPr>
          <w:p w14:paraId="271F5C85"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33.24 </w:t>
            </w:r>
          </w:p>
        </w:tc>
        <w:tc>
          <w:tcPr>
            <w:tcW w:w="723" w:type="pct"/>
            <w:vAlign w:val="center"/>
          </w:tcPr>
          <w:p w14:paraId="792D0F96"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642.9 </w:t>
            </w:r>
          </w:p>
        </w:tc>
        <w:tc>
          <w:tcPr>
            <w:tcW w:w="705" w:type="pct"/>
            <w:vAlign w:val="center"/>
          </w:tcPr>
          <w:p w14:paraId="50BBF350"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2928.57 </w:t>
            </w:r>
          </w:p>
        </w:tc>
        <w:tc>
          <w:tcPr>
            <w:tcW w:w="714" w:type="pct"/>
            <w:vAlign w:val="center"/>
          </w:tcPr>
          <w:p w14:paraId="55722DC9"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46.68 </w:t>
            </w:r>
          </w:p>
        </w:tc>
      </w:tr>
      <w:tr w:rsidR="00697429" w:rsidRPr="00092862" w14:paraId="7FCA6B41" w14:textId="77777777" w:rsidTr="00A364AF">
        <w:trPr>
          <w:trHeight w:val="331"/>
          <w:jc w:val="center"/>
        </w:trPr>
        <w:tc>
          <w:tcPr>
            <w:tcW w:w="550" w:type="pct"/>
            <w:vAlign w:val="center"/>
          </w:tcPr>
          <w:p w14:paraId="512A4311"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灌丛植被</w:t>
            </w:r>
          </w:p>
        </w:tc>
        <w:tc>
          <w:tcPr>
            <w:tcW w:w="1249" w:type="pct"/>
            <w:vAlign w:val="center"/>
          </w:tcPr>
          <w:p w14:paraId="5D5BB419"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野桐、盐肤木、马桑、黄荆、火棘</w:t>
            </w:r>
          </w:p>
        </w:tc>
        <w:tc>
          <w:tcPr>
            <w:tcW w:w="558" w:type="pct"/>
            <w:vAlign w:val="center"/>
          </w:tcPr>
          <w:p w14:paraId="22190384"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29.11 </w:t>
            </w:r>
          </w:p>
        </w:tc>
        <w:tc>
          <w:tcPr>
            <w:tcW w:w="502" w:type="pct"/>
            <w:vAlign w:val="center"/>
          </w:tcPr>
          <w:p w14:paraId="34A8B007"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2.12 </w:t>
            </w:r>
          </w:p>
        </w:tc>
        <w:tc>
          <w:tcPr>
            <w:tcW w:w="723" w:type="pct"/>
            <w:vAlign w:val="center"/>
          </w:tcPr>
          <w:p w14:paraId="4675C48D"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367.7 </w:t>
            </w:r>
          </w:p>
        </w:tc>
        <w:tc>
          <w:tcPr>
            <w:tcW w:w="705" w:type="pct"/>
            <w:vAlign w:val="center"/>
          </w:tcPr>
          <w:p w14:paraId="2F021E0E"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107.02 </w:t>
            </w:r>
          </w:p>
        </w:tc>
        <w:tc>
          <w:tcPr>
            <w:tcW w:w="714" w:type="pct"/>
            <w:vAlign w:val="center"/>
          </w:tcPr>
          <w:p w14:paraId="7F47C7D6"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1.71 </w:t>
            </w:r>
          </w:p>
        </w:tc>
      </w:tr>
      <w:tr w:rsidR="00697429" w:rsidRPr="00092862" w14:paraId="74A584B0" w14:textId="77777777" w:rsidTr="00A364AF">
        <w:trPr>
          <w:trHeight w:val="708"/>
          <w:jc w:val="center"/>
        </w:trPr>
        <w:tc>
          <w:tcPr>
            <w:tcW w:w="550" w:type="pct"/>
            <w:vAlign w:val="center"/>
          </w:tcPr>
          <w:p w14:paraId="1381890A"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草丛植被</w:t>
            </w:r>
          </w:p>
        </w:tc>
        <w:tc>
          <w:tcPr>
            <w:tcW w:w="1249" w:type="pct"/>
            <w:vAlign w:val="center"/>
          </w:tcPr>
          <w:p w14:paraId="6B72F1D0"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芒、白茅、蕨、芒萁</w:t>
            </w:r>
          </w:p>
        </w:tc>
        <w:tc>
          <w:tcPr>
            <w:tcW w:w="558" w:type="pct"/>
            <w:vAlign w:val="center"/>
          </w:tcPr>
          <w:p w14:paraId="33B3A6B5"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11.71 </w:t>
            </w:r>
          </w:p>
        </w:tc>
        <w:tc>
          <w:tcPr>
            <w:tcW w:w="502" w:type="pct"/>
            <w:vAlign w:val="center"/>
          </w:tcPr>
          <w:p w14:paraId="0E0F4832"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0.85 </w:t>
            </w:r>
          </w:p>
        </w:tc>
        <w:tc>
          <w:tcPr>
            <w:tcW w:w="723" w:type="pct"/>
            <w:vAlign w:val="center"/>
          </w:tcPr>
          <w:p w14:paraId="7B5162DA"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507.4 </w:t>
            </w:r>
          </w:p>
        </w:tc>
        <w:tc>
          <w:tcPr>
            <w:tcW w:w="705" w:type="pct"/>
            <w:vAlign w:val="center"/>
          </w:tcPr>
          <w:p w14:paraId="7C4A4A57"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59.40 </w:t>
            </w:r>
          </w:p>
        </w:tc>
        <w:tc>
          <w:tcPr>
            <w:tcW w:w="714" w:type="pct"/>
            <w:vAlign w:val="center"/>
          </w:tcPr>
          <w:p w14:paraId="4912E344"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0.95 </w:t>
            </w:r>
          </w:p>
        </w:tc>
      </w:tr>
      <w:tr w:rsidR="00697429" w:rsidRPr="00092862" w14:paraId="4CFF385A" w14:textId="77777777" w:rsidTr="00A364AF">
        <w:trPr>
          <w:trHeight w:val="629"/>
          <w:jc w:val="center"/>
        </w:trPr>
        <w:tc>
          <w:tcPr>
            <w:tcW w:w="550" w:type="pct"/>
            <w:vAlign w:val="center"/>
          </w:tcPr>
          <w:p w14:paraId="0CE03DBD"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农作物植被</w:t>
            </w:r>
          </w:p>
        </w:tc>
        <w:tc>
          <w:tcPr>
            <w:tcW w:w="1249" w:type="pct"/>
            <w:vAlign w:val="center"/>
          </w:tcPr>
          <w:p w14:paraId="11AD416C"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水稻、玉米、红苕、棉花、花生、小麦、马铃薯、豌豆</w:t>
            </w:r>
          </w:p>
        </w:tc>
        <w:tc>
          <w:tcPr>
            <w:tcW w:w="558" w:type="pct"/>
            <w:vAlign w:val="center"/>
          </w:tcPr>
          <w:p w14:paraId="3EB383D5"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159.05</w:t>
            </w:r>
          </w:p>
        </w:tc>
        <w:tc>
          <w:tcPr>
            <w:tcW w:w="502" w:type="pct"/>
            <w:vAlign w:val="center"/>
          </w:tcPr>
          <w:p w14:paraId="07D553AE"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11.60 </w:t>
            </w:r>
          </w:p>
        </w:tc>
        <w:tc>
          <w:tcPr>
            <w:tcW w:w="723" w:type="pct"/>
            <w:vAlign w:val="center"/>
          </w:tcPr>
          <w:p w14:paraId="1DF7F0C3"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426.5 </w:t>
            </w:r>
          </w:p>
        </w:tc>
        <w:tc>
          <w:tcPr>
            <w:tcW w:w="705" w:type="pct"/>
            <w:vAlign w:val="center"/>
          </w:tcPr>
          <w:p w14:paraId="4BDC254E"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678.35 </w:t>
            </w:r>
          </w:p>
        </w:tc>
        <w:tc>
          <w:tcPr>
            <w:tcW w:w="714" w:type="pct"/>
            <w:vAlign w:val="center"/>
          </w:tcPr>
          <w:p w14:paraId="57901194"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10.81 </w:t>
            </w:r>
          </w:p>
        </w:tc>
      </w:tr>
      <w:tr w:rsidR="00697429" w:rsidRPr="00092862" w14:paraId="4EF4672F" w14:textId="77777777" w:rsidTr="00A364AF">
        <w:trPr>
          <w:trHeight w:val="90"/>
          <w:jc w:val="center"/>
        </w:trPr>
        <w:tc>
          <w:tcPr>
            <w:tcW w:w="550" w:type="pct"/>
            <w:vAlign w:val="center"/>
          </w:tcPr>
          <w:p w14:paraId="7621A983"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无植被</w:t>
            </w:r>
          </w:p>
        </w:tc>
        <w:tc>
          <w:tcPr>
            <w:tcW w:w="1249" w:type="pct"/>
            <w:vAlign w:val="center"/>
          </w:tcPr>
          <w:p w14:paraId="0470F81C"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558" w:type="pct"/>
            <w:vAlign w:val="center"/>
          </w:tcPr>
          <w:p w14:paraId="7CEB04D6"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33.99 </w:t>
            </w:r>
          </w:p>
        </w:tc>
        <w:tc>
          <w:tcPr>
            <w:tcW w:w="502" w:type="pct"/>
            <w:vAlign w:val="center"/>
          </w:tcPr>
          <w:p w14:paraId="5F258E8F"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2.48 </w:t>
            </w:r>
          </w:p>
        </w:tc>
        <w:tc>
          <w:tcPr>
            <w:tcW w:w="723" w:type="pct"/>
            <w:vAlign w:val="center"/>
          </w:tcPr>
          <w:p w14:paraId="3EDAF7DD"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705" w:type="pct"/>
            <w:vAlign w:val="center"/>
          </w:tcPr>
          <w:p w14:paraId="7163B30C"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0.00 </w:t>
            </w:r>
          </w:p>
        </w:tc>
        <w:tc>
          <w:tcPr>
            <w:tcW w:w="714" w:type="pct"/>
            <w:vAlign w:val="center"/>
          </w:tcPr>
          <w:p w14:paraId="18D8C46E"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0.00 </w:t>
            </w:r>
          </w:p>
        </w:tc>
      </w:tr>
      <w:tr w:rsidR="00697429" w:rsidRPr="00092862" w14:paraId="2DB8AFC1" w14:textId="77777777" w:rsidTr="00A364AF">
        <w:trPr>
          <w:jc w:val="center"/>
        </w:trPr>
        <w:tc>
          <w:tcPr>
            <w:tcW w:w="550" w:type="pct"/>
            <w:vAlign w:val="center"/>
          </w:tcPr>
          <w:p w14:paraId="11274AE5"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1249" w:type="pct"/>
            <w:vAlign w:val="center"/>
          </w:tcPr>
          <w:p w14:paraId="2B70FE59"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558" w:type="pct"/>
            <w:vAlign w:val="center"/>
          </w:tcPr>
          <w:p w14:paraId="28DA56ED"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1370.53</w:t>
            </w:r>
          </w:p>
        </w:tc>
        <w:tc>
          <w:tcPr>
            <w:tcW w:w="502" w:type="pct"/>
            <w:vAlign w:val="center"/>
          </w:tcPr>
          <w:p w14:paraId="5B459D95"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100.00 </w:t>
            </w:r>
          </w:p>
        </w:tc>
        <w:tc>
          <w:tcPr>
            <w:tcW w:w="723" w:type="pct"/>
            <w:vAlign w:val="center"/>
          </w:tcPr>
          <w:p w14:paraId="18BB5504"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705" w:type="pct"/>
            <w:vAlign w:val="center"/>
          </w:tcPr>
          <w:p w14:paraId="65B945E7"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6273.84 </w:t>
            </w:r>
          </w:p>
        </w:tc>
        <w:tc>
          <w:tcPr>
            <w:tcW w:w="714" w:type="pct"/>
            <w:vAlign w:val="center"/>
          </w:tcPr>
          <w:p w14:paraId="0FBBABC0"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100.00 </w:t>
            </w:r>
          </w:p>
        </w:tc>
      </w:tr>
      <w:tr w:rsidR="00697429" w:rsidRPr="00092862" w14:paraId="2D7DCFF1" w14:textId="77777777" w:rsidTr="00A364AF">
        <w:trPr>
          <w:jc w:val="center"/>
        </w:trPr>
        <w:tc>
          <w:tcPr>
            <w:tcW w:w="550" w:type="pct"/>
            <w:vAlign w:val="center"/>
          </w:tcPr>
          <w:p w14:paraId="213B5223"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平均</w:t>
            </w:r>
          </w:p>
        </w:tc>
        <w:tc>
          <w:tcPr>
            <w:tcW w:w="1249" w:type="pct"/>
            <w:vAlign w:val="center"/>
          </w:tcPr>
          <w:p w14:paraId="7BCAC614"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558" w:type="pct"/>
            <w:vAlign w:val="center"/>
          </w:tcPr>
          <w:p w14:paraId="2D1DE467"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502" w:type="pct"/>
            <w:vAlign w:val="center"/>
          </w:tcPr>
          <w:p w14:paraId="6ED01610"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723" w:type="pct"/>
            <w:vAlign w:val="center"/>
          </w:tcPr>
          <w:p w14:paraId="3FEB4B10"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 xml:space="preserve">457.77 </w:t>
            </w:r>
          </w:p>
        </w:tc>
        <w:tc>
          <w:tcPr>
            <w:tcW w:w="705" w:type="pct"/>
            <w:vAlign w:val="center"/>
          </w:tcPr>
          <w:p w14:paraId="40AB8A57"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p>
        </w:tc>
        <w:tc>
          <w:tcPr>
            <w:tcW w:w="714" w:type="pct"/>
            <w:vAlign w:val="center"/>
          </w:tcPr>
          <w:p w14:paraId="0FE70A2B"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p>
        </w:tc>
      </w:tr>
      <w:tr w:rsidR="00697429" w:rsidRPr="00092862" w14:paraId="23A4FF4B" w14:textId="77777777" w:rsidTr="00A364AF">
        <w:trPr>
          <w:jc w:val="center"/>
        </w:trPr>
        <w:tc>
          <w:tcPr>
            <w:tcW w:w="550" w:type="pct"/>
            <w:vAlign w:val="center"/>
          </w:tcPr>
          <w:p w14:paraId="4E9F0C7E" w14:textId="77777777" w:rsidR="009E4715" w:rsidRPr="00092862" w:rsidRDefault="009E4715" w:rsidP="009E4715">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snapToGrid w:val="0"/>
                <w:color w:val="000000" w:themeColor="text1"/>
                <w:szCs w:val="21"/>
              </w:rPr>
              <w:t>参考标准</w:t>
            </w:r>
          </w:p>
        </w:tc>
        <w:tc>
          <w:tcPr>
            <w:tcW w:w="1249" w:type="pct"/>
            <w:vAlign w:val="center"/>
          </w:tcPr>
          <w:p w14:paraId="46AF239A"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558" w:type="pct"/>
            <w:vAlign w:val="center"/>
          </w:tcPr>
          <w:p w14:paraId="47F59F04"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502" w:type="pct"/>
            <w:vAlign w:val="center"/>
          </w:tcPr>
          <w:p w14:paraId="34E22EA7"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723" w:type="pct"/>
            <w:vAlign w:val="center"/>
          </w:tcPr>
          <w:p w14:paraId="64247A1B"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684</w:t>
            </w:r>
          </w:p>
        </w:tc>
        <w:tc>
          <w:tcPr>
            <w:tcW w:w="705" w:type="pct"/>
            <w:vAlign w:val="center"/>
          </w:tcPr>
          <w:p w14:paraId="666D5BE9"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c>
          <w:tcPr>
            <w:tcW w:w="714" w:type="pct"/>
            <w:vAlign w:val="center"/>
          </w:tcPr>
          <w:p w14:paraId="0C6BEE63" w14:textId="77777777" w:rsidR="009E4715" w:rsidRPr="00092862" w:rsidRDefault="009E4715" w:rsidP="009E4715">
            <w:pPr>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w:t>
            </w:r>
          </w:p>
        </w:tc>
      </w:tr>
    </w:tbl>
    <w:p w14:paraId="0BE2A3FC" w14:textId="77777777" w:rsidR="009E4715" w:rsidRPr="00092862" w:rsidRDefault="009E4715" w:rsidP="009E4715">
      <w:pPr>
        <w:ind w:firstLine="363"/>
        <w:jc w:val="lef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注：表中平均生产力值来源于《中国陆地植被净初级生产力遥感估算》等文献，参考标准采用全国</w:t>
      </w:r>
      <w:r w:rsidRPr="00092862">
        <w:rPr>
          <w:rFonts w:ascii="Times New Roman" w:eastAsia="宋体" w:hAnsi="Times New Roman" w:cs="Times New Roman"/>
          <w:color w:val="000000" w:themeColor="text1"/>
          <w:szCs w:val="21"/>
        </w:rPr>
        <w:t>1989-1993</w:t>
      </w:r>
      <w:r w:rsidRPr="00092862">
        <w:rPr>
          <w:rFonts w:ascii="Times New Roman" w:eastAsia="宋体" w:hAnsi="Times New Roman" w:cs="Times New Roman"/>
          <w:color w:val="000000" w:themeColor="text1"/>
          <w:szCs w:val="21"/>
        </w:rPr>
        <w:t>中国陆地生态系统平均</w:t>
      </w:r>
      <w:r w:rsidRPr="00092862">
        <w:rPr>
          <w:rFonts w:ascii="Times New Roman" w:eastAsia="宋体" w:hAnsi="Times New Roman" w:cs="Times New Roman"/>
          <w:color w:val="000000" w:themeColor="text1"/>
          <w:szCs w:val="21"/>
        </w:rPr>
        <w:t>NPP</w:t>
      </w:r>
      <w:r w:rsidRPr="00092862">
        <w:rPr>
          <w:rFonts w:ascii="Times New Roman" w:eastAsia="宋体" w:hAnsi="Times New Roman" w:cs="Times New Roman"/>
          <w:color w:val="000000" w:themeColor="text1"/>
          <w:szCs w:val="21"/>
        </w:rPr>
        <w:t>值</w:t>
      </w:r>
    </w:p>
    <w:p w14:paraId="10B9B5D2"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sz w:val="24"/>
          <w:szCs w:val="24"/>
        </w:rPr>
        <w:t>从表</w:t>
      </w:r>
      <w:r w:rsidRPr="00092862">
        <w:rPr>
          <w:rFonts w:ascii="Times New Roman" w:eastAsia="宋体" w:hAnsi="Times New Roman" w:cs="Times New Roman"/>
          <w:color w:val="000000" w:themeColor="text1"/>
          <w:sz w:val="24"/>
          <w:szCs w:val="24"/>
        </w:rPr>
        <w:t>4.3-12</w:t>
      </w:r>
      <w:r w:rsidRPr="00092862">
        <w:rPr>
          <w:rFonts w:ascii="Times New Roman" w:eastAsia="宋体" w:hAnsi="Times New Roman" w:cs="Times New Roman"/>
          <w:color w:val="000000" w:themeColor="text1"/>
          <w:sz w:val="24"/>
          <w:szCs w:val="24"/>
        </w:rPr>
        <w:t>中可以看出，评价范围总</w:t>
      </w:r>
      <w:r w:rsidRPr="00092862">
        <w:rPr>
          <w:rFonts w:ascii="Times New Roman" w:eastAsia="宋体" w:hAnsi="Times New Roman" w:cs="Times New Roman"/>
          <w:snapToGrid w:val="0"/>
          <w:color w:val="000000" w:themeColor="text1"/>
          <w:sz w:val="24"/>
          <w:szCs w:val="24"/>
        </w:rPr>
        <w:t>生产力</w:t>
      </w:r>
      <w:r w:rsidRPr="00092862">
        <w:rPr>
          <w:rFonts w:ascii="Times New Roman" w:eastAsia="宋体" w:hAnsi="Times New Roman" w:cs="Times New Roman"/>
          <w:color w:val="000000" w:themeColor="text1"/>
          <w:kern w:val="0"/>
          <w:sz w:val="24"/>
          <w:szCs w:val="24"/>
          <w:lang w:bidi="ar"/>
        </w:rPr>
        <w:t>6273.84</w:t>
      </w:r>
      <w:r w:rsidRPr="00092862">
        <w:rPr>
          <w:rFonts w:ascii="Times New Roman" w:eastAsia="宋体" w:hAnsi="Times New Roman" w:cs="Times New Roman"/>
          <w:snapToGrid w:val="0"/>
          <w:color w:val="000000" w:themeColor="text1"/>
          <w:sz w:val="24"/>
          <w:szCs w:val="24"/>
        </w:rPr>
        <w:t>tC/</w:t>
      </w:r>
      <w:r w:rsidRPr="00092862">
        <w:rPr>
          <w:rFonts w:ascii="Times New Roman" w:eastAsia="宋体" w:hAnsi="Times New Roman" w:cs="Times New Roman"/>
          <w:snapToGrid w:val="0"/>
          <w:color w:val="000000" w:themeColor="text1"/>
          <w:sz w:val="24"/>
          <w:szCs w:val="24"/>
        </w:rPr>
        <w:t>（</w:t>
      </w:r>
      <w:r w:rsidRPr="00092862">
        <w:rPr>
          <w:rFonts w:ascii="Times New Roman" w:eastAsia="宋体" w:hAnsi="Times New Roman" w:cs="Times New Roman"/>
          <w:snapToGrid w:val="0"/>
          <w:color w:val="000000" w:themeColor="text1"/>
          <w:sz w:val="24"/>
          <w:szCs w:val="24"/>
        </w:rPr>
        <w:t>a</w:t>
      </w:r>
      <w:r w:rsidRPr="00092862">
        <w:rPr>
          <w:rFonts w:ascii="Times New Roman" w:eastAsia="宋体" w:hAnsi="Times New Roman" w:cs="Times New Roman"/>
          <w:snapToGrid w:val="0"/>
          <w:color w:val="000000" w:themeColor="text1"/>
          <w:sz w:val="24"/>
          <w:szCs w:val="24"/>
        </w:rPr>
        <w:t>），</w:t>
      </w:r>
      <w:r w:rsidRPr="00092862">
        <w:rPr>
          <w:rFonts w:ascii="Times New Roman" w:eastAsia="宋体" w:hAnsi="Times New Roman" w:cs="Times New Roman"/>
          <w:color w:val="000000" w:themeColor="text1"/>
          <w:sz w:val="24"/>
          <w:szCs w:val="24"/>
        </w:rPr>
        <w:t>平均净生产</w:t>
      </w:r>
      <w:r w:rsidRPr="00092862">
        <w:rPr>
          <w:rFonts w:ascii="Times New Roman" w:eastAsia="宋体" w:hAnsi="Times New Roman" w:cs="Times New Roman"/>
          <w:color w:val="000000" w:themeColor="text1"/>
          <w:sz w:val="24"/>
          <w:szCs w:val="24"/>
        </w:rPr>
        <w:t>457.77gC/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），比中国陆地生态系统</w:t>
      </w:r>
      <w:r w:rsidRPr="00092862">
        <w:rPr>
          <w:rFonts w:ascii="Times New Roman" w:eastAsia="宋体" w:hAnsi="Times New Roman" w:cs="Times New Roman"/>
          <w:snapToGrid w:val="0"/>
          <w:color w:val="000000" w:themeColor="text1"/>
          <w:sz w:val="24"/>
          <w:szCs w:val="24"/>
        </w:rPr>
        <w:t>平均值低</w:t>
      </w:r>
      <w:r w:rsidRPr="00092862">
        <w:rPr>
          <w:rFonts w:ascii="Times New Roman" w:eastAsia="宋体" w:hAnsi="Times New Roman" w:cs="Times New Roman"/>
          <w:snapToGrid w:val="0"/>
          <w:color w:val="000000" w:themeColor="text1"/>
          <w:sz w:val="24"/>
          <w:szCs w:val="24"/>
        </w:rPr>
        <w:t>226.23</w:t>
      </w:r>
      <w:r w:rsidRPr="00092862">
        <w:rPr>
          <w:rFonts w:ascii="Times New Roman" w:eastAsia="宋体" w:hAnsi="Times New Roman" w:cs="Times New Roman"/>
          <w:color w:val="000000" w:themeColor="text1"/>
          <w:sz w:val="24"/>
          <w:szCs w:val="24"/>
        </w:rPr>
        <w:t>gC/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），远不及评价范围土地自然生产力</w:t>
      </w:r>
      <w:r w:rsidRPr="00092862">
        <w:rPr>
          <w:rFonts w:ascii="Times New Roman" w:eastAsia="宋体" w:hAnsi="Times New Roman" w:cs="Times New Roman"/>
          <w:color w:val="000000" w:themeColor="text1"/>
          <w:sz w:val="24"/>
          <w:szCs w:val="24"/>
        </w:rPr>
        <w:t>1585.88t/hm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，主要是由于评价范围内</w:t>
      </w:r>
      <w:r w:rsidRPr="00092862">
        <w:rPr>
          <w:rFonts w:ascii="Times New Roman" w:eastAsia="宋体" w:hAnsi="Times New Roman" w:cs="Times New Roman"/>
          <w:snapToGrid w:val="0"/>
          <w:color w:val="000000" w:themeColor="text1"/>
          <w:sz w:val="24"/>
          <w:szCs w:val="24"/>
        </w:rPr>
        <w:t>平均净生产力水平较高的地带性常绿阔叶林植被，因为人为干扰，已经基本不复存在，取而代之的是平均净生产力水平</w:t>
      </w:r>
      <w:r w:rsidRPr="00092862">
        <w:rPr>
          <w:rFonts w:ascii="Times New Roman" w:eastAsia="宋体" w:hAnsi="Times New Roman" w:cs="Times New Roman"/>
          <w:color w:val="000000" w:themeColor="text1"/>
          <w:sz w:val="24"/>
          <w:szCs w:val="24"/>
        </w:rPr>
        <w:t>较低的常绿针叶林和落叶阔叶林植被及耕地植被</w:t>
      </w:r>
      <w:r w:rsidRPr="00092862">
        <w:rPr>
          <w:rFonts w:ascii="Times New Roman" w:eastAsia="宋体" w:hAnsi="Times New Roman" w:cs="Times New Roman"/>
          <w:color w:val="000000" w:themeColor="text1"/>
          <w:kern w:val="0"/>
          <w:sz w:val="24"/>
          <w:szCs w:val="24"/>
        </w:rPr>
        <w:t>。</w:t>
      </w:r>
    </w:p>
    <w:p w14:paraId="3F80E067"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）评价范围植被生物量现状评价</w:t>
      </w:r>
    </w:p>
    <w:p w14:paraId="4E2DA237"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kern w:val="0"/>
          <w:sz w:val="24"/>
          <w:szCs w:val="24"/>
        </w:rPr>
        <w:t>植被的生物量是指一定地段面积内植物群落在某一时期生存着的活有机物质之重量，以</w:t>
      </w:r>
      <w:r w:rsidRPr="00092862">
        <w:rPr>
          <w:rFonts w:ascii="Times New Roman" w:eastAsia="宋体" w:hAnsi="Times New Roman" w:cs="Times New Roman"/>
          <w:color w:val="000000" w:themeColor="text1"/>
          <w:kern w:val="0"/>
          <w:sz w:val="24"/>
          <w:szCs w:val="24"/>
        </w:rPr>
        <w:t>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表示。群落类型不同，其生物量测定的方法也有所不同。</w:t>
      </w:r>
    </w:p>
    <w:p w14:paraId="47B4E6CE"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kern w:val="0"/>
          <w:sz w:val="24"/>
          <w:szCs w:val="24"/>
        </w:rPr>
      </w:pPr>
      <w:r w:rsidRPr="00092862">
        <w:rPr>
          <w:rFonts w:ascii="Times New Roman" w:eastAsia="宋体" w:hAnsi="Times New Roman" w:cs="Times New Roman"/>
          <w:b/>
          <w:bCs/>
          <w:color w:val="000000" w:themeColor="text1"/>
          <w:kern w:val="0"/>
          <w:sz w:val="24"/>
          <w:szCs w:val="24"/>
        </w:rPr>
        <w:t>1</w:t>
      </w:r>
      <w:r w:rsidRPr="00092862">
        <w:rPr>
          <w:rFonts w:ascii="Times New Roman" w:eastAsia="宋体" w:hAnsi="Times New Roman" w:cs="Times New Roman"/>
          <w:b/>
          <w:bCs/>
          <w:color w:val="000000" w:themeColor="text1"/>
          <w:kern w:val="0"/>
          <w:sz w:val="24"/>
          <w:szCs w:val="24"/>
        </w:rPr>
        <w:t>、森林群落生物量</w:t>
      </w:r>
    </w:p>
    <w:p w14:paraId="020749FA"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kern w:val="0"/>
          <w:sz w:val="24"/>
          <w:szCs w:val="24"/>
        </w:rPr>
        <w:t>森林生物量目前常用材积推算法来估算，用此方法估算出的生物量被称为材积源生物量。由于在作材积分析时需要对森林群落样地的林木进行砍伐取样，在实际操作中要涉及到取样木砍伐的审批手续及样木赔偿付费等问题，因此，</w:t>
      </w:r>
      <w:r w:rsidRPr="00092862">
        <w:rPr>
          <w:rFonts w:ascii="Times New Roman" w:eastAsia="宋体" w:hAnsi="Times New Roman" w:cs="Times New Roman"/>
          <w:color w:val="000000" w:themeColor="text1"/>
          <w:kern w:val="0"/>
          <w:sz w:val="24"/>
          <w:szCs w:val="24"/>
        </w:rPr>
        <w:lastRenderedPageBreak/>
        <w:t>本次森林生物量的估算采取借用中国科学院生态环境研究中心专家建立的我国森林生物量的基本参数，以</w:t>
      </w:r>
      <w:r w:rsidRPr="00092862">
        <w:rPr>
          <w:rFonts w:ascii="Times New Roman" w:eastAsia="宋体" w:hAnsi="Times New Roman" w:cs="Times New Roman"/>
          <w:color w:val="000000" w:themeColor="text1"/>
          <w:kern w:val="0"/>
          <w:sz w:val="24"/>
          <w:szCs w:val="24"/>
        </w:rPr>
        <w:t>79.2t/hm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w:t>
      </w:r>
      <w:r w:rsidRPr="00092862">
        <w:rPr>
          <w:rFonts w:ascii="Times New Roman" w:eastAsia="宋体" w:hAnsi="Times New Roman" w:cs="Times New Roman"/>
          <w:color w:val="000000" w:themeColor="text1"/>
          <w:kern w:val="0"/>
          <w:sz w:val="24"/>
          <w:szCs w:val="24"/>
        </w:rPr>
        <w:t>10t/hm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，即以（</w:t>
      </w:r>
      <w:r w:rsidRPr="00092862">
        <w:rPr>
          <w:rFonts w:ascii="Times New Roman" w:eastAsia="宋体" w:hAnsi="Times New Roman" w:cs="Times New Roman"/>
          <w:color w:val="000000" w:themeColor="text1"/>
          <w:kern w:val="0"/>
          <w:sz w:val="24"/>
          <w:szCs w:val="24"/>
        </w:rPr>
        <w:t>79.2</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10</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来作为本评价区域森林群落生物量的基数。</w:t>
      </w:r>
    </w:p>
    <w:p w14:paraId="6CADA6D4"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kern w:val="0"/>
          <w:sz w:val="24"/>
          <w:szCs w:val="24"/>
        </w:rPr>
      </w:pPr>
      <w:r w:rsidRPr="00092862">
        <w:rPr>
          <w:rFonts w:ascii="Times New Roman" w:eastAsia="宋体" w:hAnsi="Times New Roman" w:cs="Times New Roman"/>
          <w:b/>
          <w:bCs/>
          <w:color w:val="000000" w:themeColor="text1"/>
          <w:kern w:val="0"/>
          <w:sz w:val="24"/>
          <w:szCs w:val="24"/>
        </w:rPr>
        <w:t>2</w:t>
      </w:r>
      <w:r w:rsidRPr="00092862">
        <w:rPr>
          <w:rFonts w:ascii="Times New Roman" w:eastAsia="宋体" w:hAnsi="Times New Roman" w:cs="Times New Roman"/>
          <w:b/>
          <w:bCs/>
          <w:color w:val="000000" w:themeColor="text1"/>
          <w:kern w:val="0"/>
          <w:sz w:val="24"/>
          <w:szCs w:val="24"/>
        </w:rPr>
        <w:t>、灌丛和灌草丛生物量</w:t>
      </w:r>
    </w:p>
    <w:p w14:paraId="5CE5F6E5" w14:textId="77777777" w:rsidR="009E4715" w:rsidRPr="00092862" w:rsidRDefault="009E4715" w:rsidP="00092862">
      <w:pPr>
        <w:adjustRightInd w:val="0"/>
        <w:snapToGrid w:val="0"/>
        <w:spacing w:line="360" w:lineRule="auto"/>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kern w:val="0"/>
          <w:sz w:val="24"/>
          <w:szCs w:val="24"/>
        </w:rPr>
        <w:t xml:space="preserve">    </w:t>
      </w:r>
      <w:r w:rsidRPr="00092862">
        <w:rPr>
          <w:rFonts w:ascii="Times New Roman" w:eastAsia="宋体" w:hAnsi="Times New Roman" w:cs="Times New Roman"/>
          <w:color w:val="000000" w:themeColor="text1"/>
          <w:kern w:val="0"/>
          <w:sz w:val="24"/>
          <w:szCs w:val="24"/>
        </w:rPr>
        <w:t>灌丛和灌草丛生物量采用收获法测定。本次野外实地调查中，选择不同灌丛和灌草丛类型，进行了典型样方生物量测定，考虑到不同灌丛类型其生物量有很大的差异，故分别对本区内两种类型的灌丛进行生物量的测定。灌丛共作</w:t>
      </w:r>
      <w:r w:rsidRPr="00092862">
        <w:rPr>
          <w:rFonts w:ascii="Times New Roman" w:eastAsia="宋体" w:hAnsi="Times New Roman" w:cs="Times New Roman"/>
          <w:color w:val="000000" w:themeColor="text1"/>
          <w:kern w:val="0"/>
          <w:sz w:val="24"/>
          <w:szCs w:val="24"/>
        </w:rPr>
        <w:t>4</w:t>
      </w:r>
      <w:r w:rsidRPr="00092862">
        <w:rPr>
          <w:rFonts w:ascii="Times New Roman" w:eastAsia="宋体" w:hAnsi="Times New Roman" w:cs="Times New Roman"/>
          <w:color w:val="000000" w:themeColor="text1"/>
          <w:kern w:val="0"/>
          <w:sz w:val="24"/>
          <w:szCs w:val="24"/>
        </w:rPr>
        <w:t>个</w:t>
      </w:r>
      <w:r w:rsidRPr="00092862">
        <w:rPr>
          <w:rFonts w:ascii="Times New Roman" w:eastAsia="宋体" w:hAnsi="Times New Roman" w:cs="Times New Roman"/>
          <w:color w:val="000000" w:themeColor="text1"/>
          <w:kern w:val="0"/>
          <w:sz w:val="24"/>
          <w:szCs w:val="24"/>
        </w:rPr>
        <w:t>5×5m</w:t>
      </w:r>
      <w:r w:rsidRPr="00092862">
        <w:rPr>
          <w:rFonts w:ascii="Times New Roman" w:eastAsia="宋体" w:hAnsi="Times New Roman" w:cs="Times New Roman"/>
          <w:color w:val="000000" w:themeColor="text1"/>
          <w:kern w:val="0"/>
          <w:sz w:val="24"/>
          <w:szCs w:val="24"/>
        </w:rPr>
        <w:t>的生物量样方，在每个样方内均匀取样</w:t>
      </w:r>
      <w:r w:rsidRPr="00092862">
        <w:rPr>
          <w:rFonts w:ascii="Times New Roman" w:eastAsia="宋体" w:hAnsi="Times New Roman" w:cs="Times New Roman"/>
          <w:color w:val="000000" w:themeColor="text1"/>
          <w:kern w:val="0"/>
          <w:sz w:val="24"/>
          <w:szCs w:val="24"/>
        </w:rPr>
        <w:t>4m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的生物量（鲜重），并将部分鲜样称重后带回实验室内恒温箱中</w:t>
      </w:r>
      <w:r w:rsidRPr="00092862">
        <w:rPr>
          <w:rFonts w:ascii="Times New Roman" w:eastAsia="宋体" w:hAnsi="Times New Roman" w:cs="Times New Roman"/>
          <w:color w:val="000000" w:themeColor="text1"/>
          <w:kern w:val="0"/>
          <w:sz w:val="24"/>
          <w:szCs w:val="24"/>
        </w:rPr>
        <w:t>80℃</w:t>
      </w:r>
      <w:r w:rsidRPr="00092862">
        <w:rPr>
          <w:rFonts w:ascii="Times New Roman" w:eastAsia="宋体" w:hAnsi="Times New Roman" w:cs="Times New Roman"/>
          <w:color w:val="000000" w:themeColor="text1"/>
          <w:kern w:val="0"/>
          <w:sz w:val="24"/>
          <w:szCs w:val="24"/>
        </w:rPr>
        <w:t>烘干至恒重，计算含水量及干物质重量，将生物量鲜重换算成干重，得到灌丛地上部分平均生物量为</w:t>
      </w:r>
      <w:r w:rsidRPr="00092862">
        <w:rPr>
          <w:rFonts w:ascii="Times New Roman" w:eastAsia="宋体" w:hAnsi="Times New Roman" w:cs="Times New Roman"/>
          <w:color w:val="000000" w:themeColor="text1"/>
          <w:kern w:val="0"/>
          <w:sz w:val="24"/>
          <w:szCs w:val="24"/>
        </w:rPr>
        <w:t>16.28t/hm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；灌草丛取</w:t>
      </w:r>
      <w:r w:rsidRPr="00092862">
        <w:rPr>
          <w:rFonts w:ascii="Times New Roman" w:eastAsia="宋体" w:hAnsi="Times New Roman" w:cs="Times New Roman"/>
          <w:color w:val="000000" w:themeColor="text1"/>
          <w:kern w:val="0"/>
          <w:sz w:val="24"/>
          <w:szCs w:val="24"/>
        </w:rPr>
        <w:t>4</w:t>
      </w:r>
      <w:r w:rsidRPr="00092862">
        <w:rPr>
          <w:rFonts w:ascii="Times New Roman" w:eastAsia="宋体" w:hAnsi="Times New Roman" w:cs="Times New Roman"/>
          <w:color w:val="000000" w:themeColor="text1"/>
          <w:kern w:val="0"/>
          <w:sz w:val="24"/>
          <w:szCs w:val="24"/>
        </w:rPr>
        <w:t>个</w:t>
      </w:r>
      <w:r w:rsidRPr="00092862">
        <w:rPr>
          <w:rFonts w:ascii="Times New Roman" w:eastAsia="宋体" w:hAnsi="Times New Roman" w:cs="Times New Roman"/>
          <w:color w:val="000000" w:themeColor="text1"/>
          <w:kern w:val="0"/>
          <w:sz w:val="24"/>
          <w:szCs w:val="24"/>
        </w:rPr>
        <w:t>1×1m</w:t>
      </w:r>
      <w:r w:rsidRPr="00092862">
        <w:rPr>
          <w:rFonts w:ascii="Times New Roman" w:eastAsia="宋体" w:hAnsi="Times New Roman" w:cs="Times New Roman"/>
          <w:color w:val="000000" w:themeColor="text1"/>
          <w:kern w:val="0"/>
          <w:sz w:val="24"/>
          <w:szCs w:val="24"/>
        </w:rPr>
        <w:t>的生物量样方，在每个样方内均匀取样</w:t>
      </w:r>
      <w:r w:rsidRPr="00092862">
        <w:rPr>
          <w:rFonts w:ascii="Times New Roman" w:eastAsia="宋体" w:hAnsi="Times New Roman" w:cs="Times New Roman"/>
          <w:color w:val="000000" w:themeColor="text1"/>
          <w:kern w:val="0"/>
          <w:sz w:val="24"/>
          <w:szCs w:val="24"/>
        </w:rPr>
        <w:t>1m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的生物量（鲜重），并将部分鲜样称重后带回实验室内恒温箱中</w:t>
      </w:r>
      <w:r w:rsidRPr="00092862">
        <w:rPr>
          <w:rFonts w:ascii="Times New Roman" w:eastAsia="宋体" w:hAnsi="Times New Roman" w:cs="Times New Roman"/>
          <w:color w:val="000000" w:themeColor="text1"/>
          <w:kern w:val="0"/>
          <w:sz w:val="24"/>
          <w:szCs w:val="24"/>
        </w:rPr>
        <w:t>80℃</w:t>
      </w:r>
      <w:r w:rsidRPr="00092862">
        <w:rPr>
          <w:rFonts w:ascii="Times New Roman" w:eastAsia="宋体" w:hAnsi="Times New Roman" w:cs="Times New Roman"/>
          <w:color w:val="000000" w:themeColor="text1"/>
          <w:kern w:val="0"/>
          <w:sz w:val="24"/>
          <w:szCs w:val="24"/>
        </w:rPr>
        <w:t>烘干至恒重，计算含水量及干物质重量，将生物量鲜重换算成干重，得到灌草丛地上部分平均生物量为</w:t>
      </w:r>
      <w:r w:rsidRPr="00092862">
        <w:rPr>
          <w:rFonts w:ascii="Times New Roman" w:eastAsia="宋体" w:hAnsi="Times New Roman" w:cs="Times New Roman"/>
          <w:color w:val="000000" w:themeColor="text1"/>
          <w:kern w:val="0"/>
          <w:sz w:val="24"/>
          <w:szCs w:val="24"/>
        </w:rPr>
        <w:t>4.52t/hm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。由于现场测定仅作了灌丛和灌草丛的地上部分生物量的测定，地下部分生物量则利用已有的生物量资料中地上部分（</w:t>
      </w:r>
      <w:r w:rsidRPr="00092862">
        <w:rPr>
          <w:rFonts w:ascii="Times New Roman" w:eastAsia="宋体" w:hAnsi="Times New Roman" w:cs="Times New Roman"/>
          <w:color w:val="000000" w:themeColor="text1"/>
          <w:kern w:val="0"/>
          <w:sz w:val="24"/>
          <w:szCs w:val="24"/>
        </w:rPr>
        <w:t>T</w:t>
      </w:r>
      <w:r w:rsidRPr="00092862">
        <w:rPr>
          <w:rFonts w:ascii="Times New Roman" w:eastAsia="宋体" w:hAnsi="Times New Roman" w:cs="Times New Roman"/>
          <w:color w:val="000000" w:themeColor="text1"/>
          <w:kern w:val="0"/>
          <w:sz w:val="24"/>
          <w:szCs w:val="24"/>
        </w:rPr>
        <w:t>）与地下部分（</w:t>
      </w:r>
      <w:r w:rsidRPr="00092862">
        <w:rPr>
          <w:rFonts w:ascii="Times New Roman" w:eastAsia="宋体" w:hAnsi="Times New Roman" w:cs="Times New Roman"/>
          <w:color w:val="000000" w:themeColor="text1"/>
          <w:kern w:val="0"/>
          <w:sz w:val="24"/>
          <w:szCs w:val="24"/>
        </w:rPr>
        <w:t>R</w:t>
      </w:r>
      <w:r w:rsidRPr="00092862">
        <w:rPr>
          <w:rFonts w:ascii="Times New Roman" w:eastAsia="宋体" w:hAnsi="Times New Roman" w:cs="Times New Roman"/>
          <w:color w:val="000000" w:themeColor="text1"/>
          <w:kern w:val="0"/>
          <w:sz w:val="24"/>
          <w:szCs w:val="24"/>
        </w:rPr>
        <w:t>）之比例系数（</w:t>
      </w:r>
      <w:r w:rsidRPr="00092862">
        <w:rPr>
          <w:rFonts w:ascii="Times New Roman" w:eastAsia="宋体" w:hAnsi="Times New Roman" w:cs="Times New Roman"/>
          <w:color w:val="000000" w:themeColor="text1"/>
          <w:kern w:val="0"/>
          <w:sz w:val="24"/>
          <w:szCs w:val="24"/>
        </w:rPr>
        <w:t>T/R</w:t>
      </w:r>
      <w:r w:rsidRPr="00092862">
        <w:rPr>
          <w:rFonts w:ascii="Times New Roman" w:eastAsia="宋体" w:hAnsi="Times New Roman" w:cs="Times New Roman"/>
          <w:color w:val="000000" w:themeColor="text1"/>
          <w:kern w:val="0"/>
          <w:sz w:val="24"/>
          <w:szCs w:val="24"/>
        </w:rPr>
        <w:t>）为</w:t>
      </w:r>
      <w:r w:rsidRPr="00092862">
        <w:rPr>
          <w:rFonts w:ascii="Times New Roman" w:eastAsia="宋体" w:hAnsi="Times New Roman" w:cs="Times New Roman"/>
          <w:color w:val="000000" w:themeColor="text1"/>
          <w:kern w:val="0"/>
          <w:sz w:val="24"/>
          <w:szCs w:val="24"/>
        </w:rPr>
        <w:t>1.44</w:t>
      </w:r>
      <w:r w:rsidRPr="00092862">
        <w:rPr>
          <w:rFonts w:ascii="Times New Roman" w:eastAsia="宋体" w:hAnsi="Times New Roman" w:cs="Times New Roman"/>
          <w:color w:val="000000" w:themeColor="text1"/>
          <w:kern w:val="0"/>
          <w:sz w:val="24"/>
          <w:szCs w:val="24"/>
        </w:rPr>
        <w:t>的系数来推算出本评价范围内灌丛和灌草丛生物量的地下部分（屠玉麟，贵州中部喀斯特灌丛群落生物量研究，《中国岩溶》．</w:t>
      </w:r>
      <w:r w:rsidRPr="00092862">
        <w:rPr>
          <w:rFonts w:ascii="Times New Roman" w:eastAsia="宋体" w:hAnsi="Times New Roman" w:cs="Times New Roman"/>
          <w:color w:val="000000" w:themeColor="text1"/>
          <w:kern w:val="0"/>
          <w:sz w:val="24"/>
          <w:szCs w:val="24"/>
        </w:rPr>
        <w:t>Vol.14.No.3.1995</w:t>
      </w:r>
      <w:r w:rsidRPr="00092862">
        <w:rPr>
          <w:rFonts w:ascii="Times New Roman" w:eastAsia="宋体" w:hAnsi="Times New Roman" w:cs="Times New Roman"/>
          <w:color w:val="000000" w:themeColor="text1"/>
          <w:kern w:val="0"/>
          <w:sz w:val="24"/>
          <w:szCs w:val="24"/>
        </w:rPr>
        <w:t>）。因此，灌丛的生物量即为地上部分与地下部分之和：（</w:t>
      </w:r>
      <w:r w:rsidRPr="00092862">
        <w:rPr>
          <w:rFonts w:ascii="Times New Roman" w:eastAsia="宋体" w:hAnsi="Times New Roman" w:cs="Times New Roman"/>
          <w:color w:val="000000" w:themeColor="text1"/>
          <w:kern w:val="0"/>
          <w:sz w:val="24"/>
          <w:szCs w:val="24"/>
        </w:rPr>
        <w:t>16.28</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16.28/1.44</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=27.58t/hm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，灌草丛的生物量即为地上部分与地下部分之和：（</w:t>
      </w:r>
      <w:r w:rsidRPr="00092862">
        <w:rPr>
          <w:rFonts w:ascii="Times New Roman" w:eastAsia="宋体" w:hAnsi="Times New Roman" w:cs="Times New Roman"/>
          <w:color w:val="000000" w:themeColor="text1"/>
          <w:kern w:val="0"/>
          <w:sz w:val="24"/>
          <w:szCs w:val="24"/>
        </w:rPr>
        <w:t>4.52</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4.52/1.44</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=7.66t/hm</w:t>
      </w:r>
      <w:r w:rsidRPr="00092862">
        <w:rPr>
          <w:rFonts w:ascii="Times New Roman" w:eastAsia="宋体" w:hAnsi="Times New Roman" w:cs="Times New Roman"/>
          <w:color w:val="000000" w:themeColor="text1"/>
          <w:kern w:val="0"/>
          <w:sz w:val="24"/>
          <w:szCs w:val="24"/>
          <w:vertAlign w:val="superscript"/>
        </w:rPr>
        <w:t>2</w:t>
      </w:r>
      <w:r w:rsidRPr="00092862">
        <w:rPr>
          <w:rFonts w:ascii="Times New Roman" w:eastAsia="宋体" w:hAnsi="Times New Roman" w:cs="Times New Roman"/>
          <w:color w:val="000000" w:themeColor="text1"/>
          <w:kern w:val="0"/>
          <w:sz w:val="24"/>
          <w:szCs w:val="24"/>
        </w:rPr>
        <w:t>。</w:t>
      </w:r>
    </w:p>
    <w:p w14:paraId="7D3DA4E6" w14:textId="77777777" w:rsidR="009E4715" w:rsidRPr="00092862" w:rsidRDefault="009E4715" w:rsidP="00092862">
      <w:pPr>
        <w:adjustRightInd w:val="0"/>
        <w:snapToGrid w:val="0"/>
        <w:spacing w:line="360" w:lineRule="auto"/>
        <w:rPr>
          <w:rFonts w:ascii="Times New Roman" w:eastAsia="宋体" w:hAnsi="Times New Roman" w:cs="Times New Roman"/>
          <w:b/>
          <w:bCs/>
          <w:color w:val="000000" w:themeColor="text1"/>
          <w:kern w:val="0"/>
          <w:sz w:val="24"/>
          <w:szCs w:val="24"/>
        </w:rPr>
      </w:pPr>
      <w:r w:rsidRPr="00092862">
        <w:rPr>
          <w:rFonts w:ascii="Times New Roman" w:eastAsia="宋体" w:hAnsi="Times New Roman" w:cs="Times New Roman"/>
          <w:b/>
          <w:bCs/>
          <w:color w:val="000000" w:themeColor="text1"/>
          <w:kern w:val="0"/>
          <w:sz w:val="24"/>
          <w:szCs w:val="24"/>
        </w:rPr>
        <w:t xml:space="preserve">    3</w:t>
      </w:r>
      <w:r w:rsidRPr="00092862">
        <w:rPr>
          <w:rFonts w:ascii="Times New Roman" w:eastAsia="宋体" w:hAnsi="Times New Roman" w:cs="Times New Roman"/>
          <w:b/>
          <w:bCs/>
          <w:color w:val="000000" w:themeColor="text1"/>
          <w:kern w:val="0"/>
          <w:sz w:val="24"/>
          <w:szCs w:val="24"/>
        </w:rPr>
        <w:t>、农田植被的生物量</w:t>
      </w:r>
    </w:p>
    <w:p w14:paraId="40EC1978"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农田植被生物量由三部分组成，即作物子粒、秸杆和根茬。由于目前尚无宣汉县农田的秸杆、根茬单位面积产量数据，农田植被生物量基数参考周边已有案例。</w:t>
      </w:r>
    </w:p>
    <w:p w14:paraId="3C99EBA2" w14:textId="77777777" w:rsidR="009E4715" w:rsidRPr="00092862" w:rsidRDefault="009E4715" w:rsidP="009E4715">
      <w:pPr>
        <w:adjustRightInd w:val="0"/>
        <w:snapToGrid w:val="0"/>
        <w:ind w:firstLine="561"/>
        <w:jc w:val="center"/>
        <w:rPr>
          <w:rFonts w:ascii="Times New Roman" w:eastAsia="宋体" w:hAnsi="Times New Roman" w:cs="Times New Roman"/>
          <w:b/>
          <w:color w:val="000000" w:themeColor="text1"/>
          <w:kern w:val="0"/>
          <w:szCs w:val="21"/>
        </w:rPr>
      </w:pPr>
      <w:r w:rsidRPr="00092862">
        <w:rPr>
          <w:rFonts w:ascii="Times New Roman" w:eastAsia="宋体" w:hAnsi="Times New Roman" w:cs="Times New Roman"/>
          <w:b/>
          <w:color w:val="000000" w:themeColor="text1"/>
          <w:kern w:val="0"/>
          <w:szCs w:val="21"/>
        </w:rPr>
        <w:t>表</w:t>
      </w:r>
      <w:r w:rsidRPr="00092862">
        <w:rPr>
          <w:rFonts w:ascii="Times New Roman" w:eastAsia="宋体" w:hAnsi="Times New Roman" w:cs="Times New Roman"/>
          <w:b/>
          <w:color w:val="000000" w:themeColor="text1"/>
          <w:kern w:val="0"/>
          <w:szCs w:val="21"/>
        </w:rPr>
        <w:t xml:space="preserve">4.3-13 </w:t>
      </w:r>
      <w:r w:rsidRPr="00092862">
        <w:rPr>
          <w:rFonts w:ascii="Times New Roman" w:eastAsia="宋体" w:hAnsi="Times New Roman" w:cs="Times New Roman"/>
          <w:b/>
          <w:color w:val="000000" w:themeColor="text1"/>
          <w:kern w:val="0"/>
          <w:szCs w:val="21"/>
        </w:rPr>
        <w:t>评价范围内的植被生物量现状值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9"/>
        <w:gridCol w:w="1654"/>
        <w:gridCol w:w="1833"/>
        <w:gridCol w:w="1643"/>
        <w:gridCol w:w="1511"/>
      </w:tblGrid>
      <w:tr w:rsidR="00697429" w:rsidRPr="00092862" w14:paraId="5EBFB218" w14:textId="77777777" w:rsidTr="00A364AF">
        <w:trPr>
          <w:trHeight w:val="340"/>
          <w:jc w:val="center"/>
        </w:trPr>
        <w:tc>
          <w:tcPr>
            <w:tcW w:w="999" w:type="pct"/>
            <w:vMerge w:val="restart"/>
            <w:tcBorders>
              <w:tl2br w:val="nil"/>
              <w:tr2bl w:val="nil"/>
            </w:tcBorders>
            <w:vAlign w:val="center"/>
          </w:tcPr>
          <w:p w14:paraId="77F173EC"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植被类型</w:t>
            </w:r>
          </w:p>
        </w:tc>
        <w:tc>
          <w:tcPr>
            <w:tcW w:w="3090" w:type="pct"/>
            <w:gridSpan w:val="3"/>
            <w:tcBorders>
              <w:tl2br w:val="nil"/>
              <w:tr2bl w:val="nil"/>
            </w:tcBorders>
            <w:vAlign w:val="center"/>
          </w:tcPr>
          <w:p w14:paraId="04F92F48"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项目评价范围</w:t>
            </w:r>
          </w:p>
        </w:tc>
        <w:tc>
          <w:tcPr>
            <w:tcW w:w="910" w:type="pct"/>
            <w:tcBorders>
              <w:tl2br w:val="nil"/>
              <w:tr2bl w:val="nil"/>
            </w:tcBorders>
            <w:vAlign w:val="center"/>
          </w:tcPr>
          <w:p w14:paraId="66978B16" w14:textId="77777777" w:rsidR="009E4715" w:rsidRPr="00092862" w:rsidRDefault="009E4715" w:rsidP="009E4715">
            <w:pPr>
              <w:jc w:val="center"/>
              <w:rPr>
                <w:rFonts w:ascii="Times New Roman" w:eastAsia="宋体" w:hAnsi="Times New Roman" w:cs="Times New Roman"/>
                <w:color w:val="000000" w:themeColor="text1"/>
                <w:kern w:val="0"/>
                <w:szCs w:val="21"/>
              </w:rPr>
            </w:pPr>
          </w:p>
        </w:tc>
      </w:tr>
      <w:tr w:rsidR="00697429" w:rsidRPr="00092862" w14:paraId="2111ACCB" w14:textId="77777777" w:rsidTr="00A364AF">
        <w:trPr>
          <w:trHeight w:val="340"/>
          <w:jc w:val="center"/>
        </w:trPr>
        <w:tc>
          <w:tcPr>
            <w:tcW w:w="999" w:type="pct"/>
            <w:vMerge/>
            <w:tcBorders>
              <w:tl2br w:val="nil"/>
              <w:tr2bl w:val="nil"/>
            </w:tcBorders>
            <w:vAlign w:val="center"/>
          </w:tcPr>
          <w:p w14:paraId="7B201A28" w14:textId="77777777" w:rsidR="009E4715" w:rsidRPr="00092862" w:rsidRDefault="009E4715" w:rsidP="009E4715">
            <w:pPr>
              <w:jc w:val="center"/>
              <w:rPr>
                <w:rFonts w:ascii="Times New Roman" w:eastAsia="宋体" w:hAnsi="Times New Roman" w:cs="Times New Roman"/>
                <w:color w:val="000000" w:themeColor="text1"/>
                <w:kern w:val="0"/>
                <w:szCs w:val="21"/>
              </w:rPr>
            </w:pPr>
          </w:p>
        </w:tc>
        <w:tc>
          <w:tcPr>
            <w:tcW w:w="996" w:type="pct"/>
            <w:tcBorders>
              <w:tl2br w:val="nil"/>
              <w:tr2bl w:val="nil"/>
            </w:tcBorders>
            <w:vAlign w:val="center"/>
          </w:tcPr>
          <w:p w14:paraId="19986FC3"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面积</w:t>
            </w:r>
            <w:r w:rsidRPr="00092862">
              <w:rPr>
                <w:rFonts w:ascii="Times New Roman" w:eastAsia="宋体" w:hAnsi="Times New Roman" w:cs="Times New Roman"/>
                <w:color w:val="000000" w:themeColor="text1"/>
                <w:kern w:val="0"/>
                <w:szCs w:val="21"/>
              </w:rPr>
              <w:t>(hm</w:t>
            </w:r>
            <w:r w:rsidRPr="00092862">
              <w:rPr>
                <w:rFonts w:ascii="Times New Roman" w:eastAsia="宋体" w:hAnsi="Times New Roman" w:cs="Times New Roman"/>
                <w:color w:val="000000" w:themeColor="text1"/>
                <w:kern w:val="0"/>
                <w:szCs w:val="21"/>
                <w:vertAlign w:val="superscript"/>
              </w:rPr>
              <w:t>2</w:t>
            </w:r>
            <w:r w:rsidRPr="00092862">
              <w:rPr>
                <w:rFonts w:ascii="Times New Roman" w:eastAsia="宋体" w:hAnsi="Times New Roman" w:cs="Times New Roman"/>
                <w:color w:val="000000" w:themeColor="text1"/>
                <w:kern w:val="0"/>
                <w:szCs w:val="21"/>
              </w:rPr>
              <w:t>)</w:t>
            </w:r>
          </w:p>
        </w:tc>
        <w:tc>
          <w:tcPr>
            <w:tcW w:w="1104" w:type="pct"/>
            <w:tcBorders>
              <w:tl2br w:val="nil"/>
              <w:tr2bl w:val="nil"/>
            </w:tcBorders>
            <w:vAlign w:val="center"/>
          </w:tcPr>
          <w:p w14:paraId="08044FCE"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基数</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t/hm²</w:t>
            </w:r>
            <w:r w:rsidRPr="00092862">
              <w:rPr>
                <w:rFonts w:ascii="Times New Roman" w:eastAsia="宋体" w:hAnsi="Times New Roman" w:cs="Times New Roman"/>
                <w:color w:val="000000" w:themeColor="text1"/>
                <w:kern w:val="0"/>
                <w:sz w:val="24"/>
                <w:szCs w:val="24"/>
              </w:rPr>
              <w:t>）</w:t>
            </w:r>
          </w:p>
        </w:tc>
        <w:tc>
          <w:tcPr>
            <w:tcW w:w="990" w:type="pct"/>
            <w:tcBorders>
              <w:tl2br w:val="nil"/>
              <w:tr2bl w:val="nil"/>
            </w:tcBorders>
            <w:vAlign w:val="center"/>
          </w:tcPr>
          <w:p w14:paraId="28763BA6"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生物量</w:t>
            </w:r>
            <w:r w:rsidRPr="00092862">
              <w:rPr>
                <w:rFonts w:ascii="Times New Roman" w:eastAsia="宋体" w:hAnsi="Times New Roman" w:cs="Times New Roman"/>
                <w:color w:val="000000" w:themeColor="text1"/>
                <w:kern w:val="0"/>
                <w:szCs w:val="21"/>
              </w:rPr>
              <w:t>(t)</w:t>
            </w:r>
          </w:p>
        </w:tc>
        <w:tc>
          <w:tcPr>
            <w:tcW w:w="910" w:type="pct"/>
            <w:tcBorders>
              <w:tl2br w:val="nil"/>
              <w:tr2bl w:val="nil"/>
            </w:tcBorders>
            <w:vAlign w:val="center"/>
          </w:tcPr>
          <w:p w14:paraId="5ADB106B"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百分比（</w:t>
            </w:r>
            <w:r w:rsidRPr="00092862">
              <w:rPr>
                <w:rFonts w:ascii="Times New Roman" w:eastAsia="宋体" w:hAnsi="Times New Roman" w:cs="Times New Roman"/>
                <w:color w:val="000000" w:themeColor="text1"/>
                <w:kern w:val="0"/>
                <w:szCs w:val="21"/>
              </w:rPr>
              <w:t>%</w:t>
            </w:r>
            <w:r w:rsidRPr="00092862">
              <w:rPr>
                <w:rFonts w:ascii="Times New Roman" w:eastAsia="宋体" w:hAnsi="Times New Roman" w:cs="Times New Roman"/>
                <w:color w:val="000000" w:themeColor="text1"/>
                <w:kern w:val="0"/>
                <w:szCs w:val="21"/>
              </w:rPr>
              <w:t>）</w:t>
            </w:r>
          </w:p>
        </w:tc>
      </w:tr>
      <w:tr w:rsidR="00697429" w:rsidRPr="00092862" w14:paraId="2CE80FE5" w14:textId="77777777" w:rsidTr="00A364AF">
        <w:trPr>
          <w:trHeight w:val="340"/>
          <w:jc w:val="center"/>
        </w:trPr>
        <w:tc>
          <w:tcPr>
            <w:tcW w:w="999" w:type="pct"/>
            <w:tcBorders>
              <w:tl2br w:val="nil"/>
              <w:tr2bl w:val="nil"/>
            </w:tcBorders>
            <w:vAlign w:val="center"/>
          </w:tcPr>
          <w:p w14:paraId="3E1EAC02"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水田植被</w:t>
            </w:r>
          </w:p>
        </w:tc>
        <w:tc>
          <w:tcPr>
            <w:tcW w:w="996" w:type="pct"/>
            <w:tcBorders>
              <w:tl2br w:val="nil"/>
              <w:tr2bl w:val="nil"/>
            </w:tcBorders>
            <w:vAlign w:val="center"/>
          </w:tcPr>
          <w:p w14:paraId="39B98E69"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26.93</w:t>
            </w:r>
          </w:p>
        </w:tc>
        <w:tc>
          <w:tcPr>
            <w:tcW w:w="1104" w:type="pct"/>
            <w:tcBorders>
              <w:tl2br w:val="nil"/>
              <w:tr2bl w:val="nil"/>
            </w:tcBorders>
            <w:vAlign w:val="center"/>
          </w:tcPr>
          <w:p w14:paraId="1E992923"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10.51</w:t>
            </w:r>
          </w:p>
        </w:tc>
        <w:tc>
          <w:tcPr>
            <w:tcW w:w="990" w:type="pct"/>
            <w:tcBorders>
              <w:tl2br w:val="nil"/>
              <w:tr2bl w:val="nil"/>
            </w:tcBorders>
            <w:vAlign w:val="bottom"/>
          </w:tcPr>
          <w:p w14:paraId="74CBF921"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283.03 </w:t>
            </w:r>
          </w:p>
        </w:tc>
        <w:tc>
          <w:tcPr>
            <w:tcW w:w="910" w:type="pct"/>
            <w:tcBorders>
              <w:tl2br w:val="nil"/>
              <w:tr2bl w:val="nil"/>
            </w:tcBorders>
            <w:vAlign w:val="bottom"/>
          </w:tcPr>
          <w:p w14:paraId="502169E3"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0.27 </w:t>
            </w:r>
          </w:p>
        </w:tc>
      </w:tr>
      <w:tr w:rsidR="00697429" w:rsidRPr="00092862" w14:paraId="364ED4D0" w14:textId="77777777" w:rsidTr="00A364AF">
        <w:trPr>
          <w:trHeight w:val="340"/>
          <w:jc w:val="center"/>
        </w:trPr>
        <w:tc>
          <w:tcPr>
            <w:tcW w:w="999" w:type="pct"/>
            <w:tcBorders>
              <w:tl2br w:val="nil"/>
              <w:tr2bl w:val="nil"/>
            </w:tcBorders>
            <w:vAlign w:val="center"/>
          </w:tcPr>
          <w:p w14:paraId="5DB68348"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lastRenderedPageBreak/>
              <w:t>旱地植被</w:t>
            </w:r>
          </w:p>
        </w:tc>
        <w:tc>
          <w:tcPr>
            <w:tcW w:w="996" w:type="pct"/>
            <w:tcBorders>
              <w:tl2br w:val="nil"/>
              <w:tr2bl w:val="nil"/>
            </w:tcBorders>
            <w:vAlign w:val="center"/>
          </w:tcPr>
          <w:p w14:paraId="3DD738BF"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132.12</w:t>
            </w:r>
          </w:p>
        </w:tc>
        <w:tc>
          <w:tcPr>
            <w:tcW w:w="1104" w:type="pct"/>
            <w:tcBorders>
              <w:tl2br w:val="nil"/>
              <w:tr2bl w:val="nil"/>
            </w:tcBorders>
            <w:vAlign w:val="center"/>
          </w:tcPr>
          <w:p w14:paraId="04A8DE31"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10.31</w:t>
            </w:r>
          </w:p>
        </w:tc>
        <w:tc>
          <w:tcPr>
            <w:tcW w:w="990" w:type="pct"/>
            <w:tcBorders>
              <w:tl2br w:val="nil"/>
              <w:tr2bl w:val="nil"/>
            </w:tcBorders>
            <w:vAlign w:val="bottom"/>
          </w:tcPr>
          <w:p w14:paraId="5D60B95E"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1362.16 </w:t>
            </w:r>
          </w:p>
        </w:tc>
        <w:tc>
          <w:tcPr>
            <w:tcW w:w="910" w:type="pct"/>
            <w:tcBorders>
              <w:tl2br w:val="nil"/>
              <w:tr2bl w:val="nil"/>
            </w:tcBorders>
            <w:vAlign w:val="bottom"/>
          </w:tcPr>
          <w:p w14:paraId="62B4347F"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1.31 </w:t>
            </w:r>
          </w:p>
        </w:tc>
      </w:tr>
      <w:tr w:rsidR="00697429" w:rsidRPr="00092862" w14:paraId="3F4E1C3E" w14:textId="77777777" w:rsidTr="00A364AF">
        <w:trPr>
          <w:trHeight w:val="340"/>
          <w:jc w:val="center"/>
        </w:trPr>
        <w:tc>
          <w:tcPr>
            <w:tcW w:w="999" w:type="pct"/>
            <w:tcBorders>
              <w:tl2br w:val="nil"/>
              <w:tr2bl w:val="nil"/>
            </w:tcBorders>
            <w:vAlign w:val="center"/>
          </w:tcPr>
          <w:p w14:paraId="0946FFE4"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森林植被</w:t>
            </w:r>
          </w:p>
        </w:tc>
        <w:tc>
          <w:tcPr>
            <w:tcW w:w="996" w:type="pct"/>
            <w:tcBorders>
              <w:tl2br w:val="nil"/>
              <w:tr2bl w:val="nil"/>
            </w:tcBorders>
            <w:vAlign w:val="center"/>
          </w:tcPr>
          <w:p w14:paraId="03D37685"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1136.67</w:t>
            </w:r>
          </w:p>
        </w:tc>
        <w:tc>
          <w:tcPr>
            <w:tcW w:w="1104" w:type="pct"/>
            <w:tcBorders>
              <w:tl2br w:val="nil"/>
              <w:tr2bl w:val="nil"/>
            </w:tcBorders>
            <w:vAlign w:val="center"/>
          </w:tcPr>
          <w:p w14:paraId="627671A1"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89.2</w:t>
            </w:r>
          </w:p>
        </w:tc>
        <w:tc>
          <w:tcPr>
            <w:tcW w:w="990" w:type="pct"/>
            <w:tcBorders>
              <w:tl2br w:val="nil"/>
              <w:tr2bl w:val="nil"/>
            </w:tcBorders>
            <w:vAlign w:val="bottom"/>
          </w:tcPr>
          <w:p w14:paraId="74F218DC"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101390.96 </w:t>
            </w:r>
          </w:p>
        </w:tc>
        <w:tc>
          <w:tcPr>
            <w:tcW w:w="910" w:type="pct"/>
            <w:tcBorders>
              <w:tl2br w:val="nil"/>
              <w:tr2bl w:val="nil"/>
            </w:tcBorders>
            <w:vAlign w:val="bottom"/>
          </w:tcPr>
          <w:p w14:paraId="06B094EE"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97.56 </w:t>
            </w:r>
          </w:p>
        </w:tc>
      </w:tr>
      <w:tr w:rsidR="00697429" w:rsidRPr="00092862" w14:paraId="2D8E4D18" w14:textId="77777777" w:rsidTr="00A364AF">
        <w:trPr>
          <w:trHeight w:val="340"/>
          <w:jc w:val="center"/>
        </w:trPr>
        <w:tc>
          <w:tcPr>
            <w:tcW w:w="999" w:type="pct"/>
            <w:tcBorders>
              <w:tl2br w:val="nil"/>
              <w:tr2bl w:val="nil"/>
            </w:tcBorders>
            <w:vAlign w:val="center"/>
          </w:tcPr>
          <w:p w14:paraId="329E4FB0"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灌丛植被</w:t>
            </w:r>
          </w:p>
        </w:tc>
        <w:tc>
          <w:tcPr>
            <w:tcW w:w="996" w:type="pct"/>
            <w:tcBorders>
              <w:tl2br w:val="nil"/>
              <w:tr2bl w:val="nil"/>
            </w:tcBorders>
            <w:vAlign w:val="center"/>
          </w:tcPr>
          <w:p w14:paraId="7E63F29E"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29.11</w:t>
            </w:r>
          </w:p>
        </w:tc>
        <w:tc>
          <w:tcPr>
            <w:tcW w:w="1104" w:type="pct"/>
            <w:tcBorders>
              <w:tl2br w:val="nil"/>
              <w:tr2bl w:val="nil"/>
            </w:tcBorders>
            <w:vAlign w:val="center"/>
          </w:tcPr>
          <w:p w14:paraId="5B5F95E0"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27.58</w:t>
            </w:r>
          </w:p>
        </w:tc>
        <w:tc>
          <w:tcPr>
            <w:tcW w:w="990" w:type="pct"/>
            <w:tcBorders>
              <w:tl2br w:val="nil"/>
              <w:tr2bl w:val="nil"/>
            </w:tcBorders>
            <w:vAlign w:val="bottom"/>
          </w:tcPr>
          <w:p w14:paraId="7D05A397"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802.85 </w:t>
            </w:r>
          </w:p>
        </w:tc>
        <w:tc>
          <w:tcPr>
            <w:tcW w:w="910" w:type="pct"/>
            <w:tcBorders>
              <w:tl2br w:val="nil"/>
              <w:tr2bl w:val="nil"/>
            </w:tcBorders>
            <w:vAlign w:val="bottom"/>
          </w:tcPr>
          <w:p w14:paraId="5C61C34D"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0.77 </w:t>
            </w:r>
          </w:p>
        </w:tc>
      </w:tr>
      <w:tr w:rsidR="00697429" w:rsidRPr="00092862" w14:paraId="4C56EC3F" w14:textId="77777777" w:rsidTr="00A364AF">
        <w:trPr>
          <w:trHeight w:val="340"/>
          <w:jc w:val="center"/>
        </w:trPr>
        <w:tc>
          <w:tcPr>
            <w:tcW w:w="999" w:type="pct"/>
            <w:tcBorders>
              <w:tl2br w:val="nil"/>
              <w:tr2bl w:val="nil"/>
            </w:tcBorders>
            <w:vAlign w:val="center"/>
          </w:tcPr>
          <w:p w14:paraId="47306FAE"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灌草丛植被</w:t>
            </w:r>
          </w:p>
        </w:tc>
        <w:tc>
          <w:tcPr>
            <w:tcW w:w="996" w:type="pct"/>
            <w:tcBorders>
              <w:tl2br w:val="nil"/>
              <w:tr2bl w:val="nil"/>
            </w:tcBorders>
            <w:vAlign w:val="center"/>
          </w:tcPr>
          <w:p w14:paraId="28393783"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11.71</w:t>
            </w:r>
          </w:p>
        </w:tc>
        <w:tc>
          <w:tcPr>
            <w:tcW w:w="1104" w:type="pct"/>
            <w:tcBorders>
              <w:tl2br w:val="nil"/>
              <w:tr2bl w:val="nil"/>
            </w:tcBorders>
            <w:vAlign w:val="center"/>
          </w:tcPr>
          <w:p w14:paraId="36135323"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7.66</w:t>
            </w:r>
          </w:p>
        </w:tc>
        <w:tc>
          <w:tcPr>
            <w:tcW w:w="990" w:type="pct"/>
            <w:tcBorders>
              <w:tl2br w:val="nil"/>
              <w:tr2bl w:val="nil"/>
            </w:tcBorders>
            <w:vAlign w:val="bottom"/>
          </w:tcPr>
          <w:p w14:paraId="1E69488C"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89.70 </w:t>
            </w:r>
          </w:p>
        </w:tc>
        <w:tc>
          <w:tcPr>
            <w:tcW w:w="910" w:type="pct"/>
            <w:tcBorders>
              <w:tl2br w:val="nil"/>
              <w:tr2bl w:val="nil"/>
            </w:tcBorders>
            <w:vAlign w:val="bottom"/>
          </w:tcPr>
          <w:p w14:paraId="4810ECBD"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0.09 </w:t>
            </w:r>
          </w:p>
        </w:tc>
      </w:tr>
      <w:tr w:rsidR="00697429" w:rsidRPr="00092862" w14:paraId="6E54F81E" w14:textId="77777777" w:rsidTr="00A364AF">
        <w:trPr>
          <w:trHeight w:val="340"/>
          <w:jc w:val="center"/>
        </w:trPr>
        <w:tc>
          <w:tcPr>
            <w:tcW w:w="999" w:type="pct"/>
            <w:tcBorders>
              <w:tl2br w:val="nil"/>
              <w:tr2bl w:val="nil"/>
            </w:tcBorders>
            <w:vAlign w:val="center"/>
          </w:tcPr>
          <w:p w14:paraId="3DB201B5"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合计</w:t>
            </w:r>
          </w:p>
        </w:tc>
        <w:tc>
          <w:tcPr>
            <w:tcW w:w="996" w:type="pct"/>
            <w:tcBorders>
              <w:tl2br w:val="nil"/>
              <w:tr2bl w:val="nil"/>
            </w:tcBorders>
            <w:vAlign w:val="bottom"/>
          </w:tcPr>
          <w:p w14:paraId="70F847E8"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1336.54</w:t>
            </w:r>
          </w:p>
        </w:tc>
        <w:tc>
          <w:tcPr>
            <w:tcW w:w="1104" w:type="pct"/>
            <w:tcBorders>
              <w:tl2br w:val="nil"/>
              <w:tr2bl w:val="nil"/>
            </w:tcBorders>
            <w:vAlign w:val="bottom"/>
          </w:tcPr>
          <w:p w14:paraId="7FEB703C" w14:textId="77777777" w:rsidR="009E4715" w:rsidRPr="00092862" w:rsidRDefault="009E4715" w:rsidP="009E4715">
            <w:pPr>
              <w:jc w:val="center"/>
              <w:rPr>
                <w:rFonts w:ascii="Times New Roman" w:eastAsia="宋体" w:hAnsi="Times New Roman" w:cs="Times New Roman"/>
                <w:color w:val="000000" w:themeColor="text1"/>
                <w:kern w:val="0"/>
                <w:szCs w:val="21"/>
              </w:rPr>
            </w:pPr>
          </w:p>
        </w:tc>
        <w:tc>
          <w:tcPr>
            <w:tcW w:w="990" w:type="pct"/>
            <w:tcBorders>
              <w:tl2br w:val="nil"/>
              <w:tr2bl w:val="nil"/>
            </w:tcBorders>
            <w:vAlign w:val="bottom"/>
          </w:tcPr>
          <w:p w14:paraId="063DAFCD"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103928.71 </w:t>
            </w:r>
          </w:p>
        </w:tc>
        <w:tc>
          <w:tcPr>
            <w:tcW w:w="910" w:type="pct"/>
            <w:tcBorders>
              <w:tl2br w:val="nil"/>
              <w:tr2bl w:val="nil"/>
            </w:tcBorders>
            <w:vAlign w:val="bottom"/>
          </w:tcPr>
          <w:p w14:paraId="078E04A6" w14:textId="77777777" w:rsidR="009E4715" w:rsidRPr="00092862" w:rsidRDefault="009E4715" w:rsidP="009E4715">
            <w:pPr>
              <w:jc w:val="center"/>
              <w:rPr>
                <w:rFonts w:ascii="Times New Roman" w:eastAsia="宋体" w:hAnsi="Times New Roman" w:cs="Times New Roman"/>
                <w:color w:val="000000" w:themeColor="text1"/>
                <w:kern w:val="0"/>
                <w:szCs w:val="21"/>
              </w:rPr>
            </w:pPr>
            <w:r w:rsidRPr="00092862">
              <w:rPr>
                <w:rFonts w:ascii="Times New Roman" w:eastAsia="宋体" w:hAnsi="Times New Roman" w:cs="Times New Roman"/>
                <w:color w:val="000000" w:themeColor="text1"/>
                <w:kern w:val="0"/>
                <w:szCs w:val="21"/>
              </w:rPr>
              <w:t xml:space="preserve">100.00 </w:t>
            </w:r>
          </w:p>
        </w:tc>
      </w:tr>
    </w:tbl>
    <w:p w14:paraId="4CBF905B" w14:textId="77777777" w:rsidR="009E4715" w:rsidRPr="00092862" w:rsidRDefault="009E4715" w:rsidP="00A364AF">
      <w:pPr>
        <w:adjustRightInd w:val="0"/>
        <w:snapToGrid w:val="0"/>
        <w:spacing w:line="360" w:lineRule="auto"/>
        <w:ind w:firstLineChars="200" w:firstLine="480"/>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kern w:val="0"/>
          <w:sz w:val="24"/>
          <w:szCs w:val="24"/>
        </w:rPr>
        <w:t>由表</w:t>
      </w:r>
      <w:r w:rsidRPr="00092862">
        <w:rPr>
          <w:rFonts w:ascii="Times New Roman" w:eastAsia="宋体" w:hAnsi="Times New Roman" w:cs="Times New Roman"/>
          <w:color w:val="000000" w:themeColor="text1"/>
          <w:kern w:val="0"/>
          <w:sz w:val="24"/>
          <w:szCs w:val="24"/>
        </w:rPr>
        <w:t>4.3-13</w:t>
      </w:r>
      <w:r w:rsidRPr="00092862">
        <w:rPr>
          <w:rFonts w:ascii="Times New Roman" w:eastAsia="宋体" w:hAnsi="Times New Roman" w:cs="Times New Roman"/>
          <w:color w:val="000000" w:themeColor="text1"/>
          <w:kern w:val="0"/>
          <w:sz w:val="24"/>
          <w:szCs w:val="24"/>
        </w:rPr>
        <w:t>可知，在评价范围内植物总生物量中，森林植被生物量所占比重最大，达到</w:t>
      </w:r>
      <w:r w:rsidRPr="00092862">
        <w:rPr>
          <w:rFonts w:ascii="Times New Roman" w:eastAsia="宋体" w:hAnsi="Times New Roman" w:cs="Times New Roman"/>
          <w:color w:val="000000" w:themeColor="text1"/>
          <w:kern w:val="0"/>
          <w:sz w:val="24"/>
          <w:szCs w:val="24"/>
        </w:rPr>
        <w:t>97.56%</w:t>
      </w:r>
      <w:r w:rsidRPr="00092862">
        <w:rPr>
          <w:rFonts w:ascii="Times New Roman" w:eastAsia="宋体" w:hAnsi="Times New Roman" w:cs="Times New Roman"/>
          <w:color w:val="000000" w:themeColor="text1"/>
          <w:kern w:val="0"/>
          <w:sz w:val="24"/>
          <w:szCs w:val="24"/>
        </w:rPr>
        <w:t>，可见森林植被对区域生物量的贡献之大，同时也表明森林植被是本评价区域最重要的生态系统，森林生态效益不可忽视，在维持区域生态平衡方面有绝对的意义。</w:t>
      </w:r>
    </w:p>
    <w:p w14:paraId="6C11DDD4" w14:textId="77777777" w:rsidR="009E4715" w:rsidRPr="00092862" w:rsidRDefault="009E4715" w:rsidP="00092862">
      <w:pPr>
        <w:keepNext/>
        <w:keepLines/>
        <w:adjustRightInd w:val="0"/>
        <w:snapToGrid w:val="0"/>
        <w:spacing w:line="360" w:lineRule="auto"/>
        <w:jc w:val="left"/>
        <w:outlineLvl w:val="2"/>
        <w:rPr>
          <w:rFonts w:ascii="Times New Roman" w:eastAsia="宋体" w:hAnsi="Times New Roman" w:cs="Times New Roman"/>
          <w:b/>
          <w:bCs/>
          <w:color w:val="000000" w:themeColor="text1"/>
          <w:kern w:val="0"/>
          <w:sz w:val="24"/>
          <w:szCs w:val="24"/>
        </w:rPr>
      </w:pPr>
      <w:bookmarkStart w:id="188" w:name="_Toc22583"/>
      <w:r w:rsidRPr="00092862">
        <w:rPr>
          <w:rFonts w:ascii="Times New Roman" w:eastAsia="宋体" w:hAnsi="Times New Roman" w:cs="Times New Roman"/>
          <w:b/>
          <w:bCs/>
          <w:color w:val="000000" w:themeColor="text1"/>
          <w:kern w:val="0"/>
          <w:sz w:val="24"/>
          <w:szCs w:val="24"/>
        </w:rPr>
        <w:t>4.3.6</w:t>
      </w:r>
      <w:r w:rsidRPr="00092862">
        <w:rPr>
          <w:rFonts w:ascii="Times New Roman" w:eastAsia="宋体" w:hAnsi="Times New Roman" w:cs="Times New Roman"/>
          <w:b/>
          <w:bCs/>
          <w:color w:val="000000" w:themeColor="text1"/>
          <w:kern w:val="0"/>
          <w:sz w:val="24"/>
          <w:szCs w:val="24"/>
        </w:rPr>
        <w:t>景观生态体系现状调查</w:t>
      </w:r>
      <w:bookmarkEnd w:id="188"/>
    </w:p>
    <w:p w14:paraId="04780801"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景观（</w:t>
      </w:r>
      <w:r w:rsidRPr="00092862">
        <w:rPr>
          <w:rFonts w:ascii="Times New Roman" w:eastAsia="宋体" w:hAnsi="Times New Roman" w:cs="Times New Roman"/>
          <w:color w:val="000000" w:themeColor="text1"/>
          <w:sz w:val="24"/>
          <w:szCs w:val="24"/>
        </w:rPr>
        <w:t>Landscape</w:t>
      </w:r>
      <w:r w:rsidRPr="00092862">
        <w:rPr>
          <w:rFonts w:ascii="Times New Roman" w:eastAsia="宋体" w:hAnsi="Times New Roman" w:cs="Times New Roman"/>
          <w:color w:val="000000" w:themeColor="text1"/>
          <w:sz w:val="24"/>
          <w:szCs w:val="24"/>
        </w:rPr>
        <w:t>）的定义有多种表述，但大部分都是反映内陆地形、地貌或景色的，或是反映某一地理区域的综合地形特征。而景观生态学（</w:t>
      </w:r>
      <w:r w:rsidRPr="00092862">
        <w:rPr>
          <w:rFonts w:ascii="Times New Roman" w:eastAsia="宋体" w:hAnsi="Times New Roman" w:cs="Times New Roman"/>
          <w:color w:val="000000" w:themeColor="text1"/>
          <w:sz w:val="24"/>
          <w:szCs w:val="24"/>
        </w:rPr>
        <w:t>LandscapeEcology</w:t>
      </w:r>
      <w:r w:rsidRPr="00092862">
        <w:rPr>
          <w:rFonts w:ascii="Times New Roman" w:eastAsia="宋体" w:hAnsi="Times New Roman" w:cs="Times New Roman"/>
          <w:color w:val="000000" w:themeColor="text1"/>
          <w:sz w:val="24"/>
          <w:szCs w:val="24"/>
        </w:rPr>
        <w:t>）将景观定义为：</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一个空间异质性的区域，由相互作用的拼块（</w:t>
      </w:r>
      <w:r w:rsidRPr="00092862">
        <w:rPr>
          <w:rFonts w:ascii="Times New Roman" w:eastAsia="宋体" w:hAnsi="Times New Roman" w:cs="Times New Roman"/>
          <w:color w:val="000000" w:themeColor="text1"/>
          <w:sz w:val="24"/>
          <w:szCs w:val="24"/>
        </w:rPr>
        <w:t>patch</w:t>
      </w:r>
      <w:r w:rsidRPr="00092862">
        <w:rPr>
          <w:rFonts w:ascii="Times New Roman" w:eastAsia="宋体" w:hAnsi="Times New Roman" w:cs="Times New Roman"/>
          <w:color w:val="000000" w:themeColor="text1"/>
          <w:sz w:val="24"/>
          <w:szCs w:val="24"/>
        </w:rPr>
        <w:t>）或生态系统组成，以相似的形式重复出现的生态体系</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。为了深入认识评价范围内的环境特征，下面用景观生态学的原理和方法来研究生态体系的组成、特征、生产力及其稳定性。</w:t>
      </w:r>
    </w:p>
    <w:p w14:paraId="0BD7B6C1"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、景观生态体系组成与特征</w:t>
      </w:r>
    </w:p>
    <w:p w14:paraId="6D8AB9EA"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kern w:val="0"/>
          <w:sz w:val="24"/>
          <w:szCs w:val="24"/>
        </w:rPr>
      </w:pPr>
      <w:r w:rsidRPr="00092862">
        <w:rPr>
          <w:rFonts w:ascii="Times New Roman" w:eastAsia="宋体" w:hAnsi="Times New Roman" w:cs="Times New Roman"/>
          <w:color w:val="000000" w:themeColor="text1"/>
          <w:sz w:val="24"/>
          <w:szCs w:val="24"/>
        </w:rPr>
        <w:t>按照生态学中景观的概念描述可知，景观生态体系的组成即生态系统或土地利</w:t>
      </w:r>
      <w:r w:rsidRPr="00092862">
        <w:rPr>
          <w:rFonts w:ascii="Times New Roman" w:eastAsia="宋体" w:hAnsi="Times New Roman" w:cs="Times New Roman"/>
          <w:color w:val="000000" w:themeColor="text1"/>
          <w:kern w:val="0"/>
          <w:sz w:val="24"/>
          <w:szCs w:val="24"/>
        </w:rPr>
        <w:t>用类型组成，因而可以用评价范围内的主要土地利用类型</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森林、灌丛、灌草丛、耕地、河流水面、建设用地等生态系统作为景观体系的基本单元</w:t>
      </w:r>
      <w:r w:rsidRPr="00092862">
        <w:rPr>
          <w:rFonts w:ascii="Times New Roman" w:eastAsia="宋体" w:hAnsi="Times New Roman" w:cs="Times New Roman"/>
          <w:color w:val="000000" w:themeColor="text1"/>
          <w:kern w:val="0"/>
          <w:sz w:val="24"/>
          <w:szCs w:val="24"/>
        </w:rPr>
        <w:t>——</w:t>
      </w:r>
      <w:r w:rsidRPr="00092862">
        <w:rPr>
          <w:rFonts w:ascii="Times New Roman" w:eastAsia="宋体" w:hAnsi="Times New Roman" w:cs="Times New Roman"/>
          <w:color w:val="000000" w:themeColor="text1"/>
          <w:kern w:val="0"/>
          <w:sz w:val="24"/>
          <w:szCs w:val="24"/>
        </w:rPr>
        <w:t>拼块来进行景观分析。</w:t>
      </w:r>
    </w:p>
    <w:p w14:paraId="7E0B41DC"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）马尾松、杉木、柏木、麻栎、青冈、栓皮栎及乔木经济树种等为主的森林拼块</w:t>
      </w:r>
    </w:p>
    <w:p w14:paraId="10EA9EDE"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属于人工栽培或干预后经过一段时间自然生长发育形成，具有一定人工性，属于环境资源拼块。该拼块广泛分布，连通程度较高。该拼块面积为</w:t>
      </w:r>
      <w:r w:rsidRPr="00092862">
        <w:rPr>
          <w:rFonts w:ascii="Times New Roman" w:eastAsia="宋体" w:hAnsi="Times New Roman" w:cs="Times New Roman"/>
          <w:color w:val="000000" w:themeColor="text1"/>
          <w:kern w:val="0"/>
          <w:sz w:val="24"/>
          <w:szCs w:val="24"/>
          <w:lang w:bidi="ar"/>
        </w:rPr>
        <w:t>1136.67</w:t>
      </w:r>
      <w:r w:rsidRPr="00092862">
        <w:rPr>
          <w:rFonts w:ascii="Times New Roman" w:eastAsia="宋体" w:hAnsi="Times New Roman" w:cs="Times New Roman"/>
          <w:color w:val="000000" w:themeColor="text1"/>
          <w:sz w:val="24"/>
          <w:szCs w:val="24"/>
        </w:rPr>
        <w:t>hm²</w:t>
      </w:r>
      <w:r w:rsidRPr="00092862">
        <w:rPr>
          <w:rFonts w:ascii="Times New Roman" w:eastAsia="宋体" w:hAnsi="Times New Roman" w:cs="Times New Roman"/>
          <w:color w:val="000000" w:themeColor="text1"/>
          <w:sz w:val="24"/>
          <w:szCs w:val="24"/>
        </w:rPr>
        <w:t>，约占评价区域总面积的</w:t>
      </w:r>
      <w:r w:rsidRPr="00092862">
        <w:rPr>
          <w:rFonts w:ascii="Times New Roman" w:eastAsia="宋体" w:hAnsi="Times New Roman" w:cs="Times New Roman"/>
          <w:color w:val="000000" w:themeColor="text1"/>
          <w:sz w:val="24"/>
          <w:szCs w:val="24"/>
        </w:rPr>
        <w:t>82.94%</w:t>
      </w:r>
      <w:r w:rsidRPr="00092862">
        <w:rPr>
          <w:rFonts w:ascii="Times New Roman" w:eastAsia="宋体" w:hAnsi="Times New Roman" w:cs="Times New Roman"/>
          <w:color w:val="000000" w:themeColor="text1"/>
          <w:sz w:val="24"/>
          <w:szCs w:val="24"/>
        </w:rPr>
        <w:t>，是评价区内较最重要的景观拼块，对评价区内生态起着绝对作用。</w:t>
      </w:r>
    </w:p>
    <w:p w14:paraId="13DD6D90"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野桐、盐肤木、马桑、黄荆、火棘及灌木经济树种等为主的灌丛拼块属于人类活动影响下形成的干扰拼块，多分布在林地边缘地带或荒坡田坎，由于人类活动频繁，受干扰程度高，水土流失和生物多样性受损较严重。该拼块面积为</w:t>
      </w:r>
      <w:r w:rsidRPr="00092862">
        <w:rPr>
          <w:rFonts w:ascii="Times New Roman" w:eastAsia="宋体" w:hAnsi="Times New Roman" w:cs="Times New Roman"/>
          <w:color w:val="000000" w:themeColor="text1"/>
          <w:kern w:val="0"/>
          <w:sz w:val="24"/>
          <w:szCs w:val="24"/>
          <w:lang w:bidi="ar"/>
        </w:rPr>
        <w:t>29.11</w:t>
      </w:r>
      <w:r w:rsidRPr="00092862">
        <w:rPr>
          <w:rFonts w:ascii="Times New Roman" w:eastAsia="宋体" w:hAnsi="Times New Roman" w:cs="Times New Roman"/>
          <w:color w:val="000000" w:themeColor="text1"/>
          <w:sz w:val="24"/>
          <w:szCs w:val="24"/>
        </w:rPr>
        <w:t>hm²</w:t>
      </w:r>
      <w:r w:rsidRPr="00092862">
        <w:rPr>
          <w:rFonts w:ascii="Times New Roman" w:eastAsia="宋体" w:hAnsi="Times New Roman" w:cs="Times New Roman"/>
          <w:color w:val="000000" w:themeColor="text1"/>
          <w:sz w:val="24"/>
          <w:szCs w:val="24"/>
        </w:rPr>
        <w:t>，占评价区域总面积的</w:t>
      </w:r>
      <w:r w:rsidRPr="00092862">
        <w:rPr>
          <w:rFonts w:ascii="Times New Roman" w:eastAsia="宋体" w:hAnsi="Times New Roman" w:cs="Times New Roman"/>
          <w:color w:val="000000" w:themeColor="text1"/>
          <w:kern w:val="0"/>
          <w:sz w:val="24"/>
          <w:szCs w:val="24"/>
        </w:rPr>
        <w:t>2.12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，是评价区内重要的拼块之一。</w:t>
      </w:r>
    </w:p>
    <w:p w14:paraId="30C0E8A8"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）芒、白茅、蕨、芒萁等为主的灌草丛拼块</w:t>
      </w:r>
    </w:p>
    <w:p w14:paraId="73AA4979"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属于人类活动影响下形成的干扰拼块，分布广泛，由于人类活动频繁，受干扰程度高，水土流失和生物多样性受损较严重。该拼块面积为</w:t>
      </w:r>
      <w:r w:rsidRPr="00092862">
        <w:rPr>
          <w:rFonts w:ascii="Times New Roman" w:eastAsia="宋体" w:hAnsi="Times New Roman" w:cs="Times New Roman"/>
          <w:color w:val="000000" w:themeColor="text1"/>
          <w:kern w:val="0"/>
          <w:sz w:val="24"/>
          <w:szCs w:val="24"/>
          <w:lang w:bidi="ar"/>
        </w:rPr>
        <w:t>11.71</w:t>
      </w:r>
      <w:r w:rsidRPr="00092862">
        <w:rPr>
          <w:rFonts w:ascii="Times New Roman" w:eastAsia="宋体" w:hAnsi="Times New Roman" w:cs="Times New Roman"/>
          <w:color w:val="000000" w:themeColor="text1"/>
          <w:sz w:val="24"/>
          <w:szCs w:val="24"/>
        </w:rPr>
        <w:t>hm²</w:t>
      </w:r>
      <w:r w:rsidRPr="00092862">
        <w:rPr>
          <w:rFonts w:ascii="Times New Roman" w:eastAsia="宋体" w:hAnsi="Times New Roman" w:cs="Times New Roman"/>
          <w:color w:val="000000" w:themeColor="text1"/>
          <w:sz w:val="24"/>
          <w:szCs w:val="24"/>
        </w:rPr>
        <w:t>，占评价区总面积的</w:t>
      </w:r>
      <w:r w:rsidRPr="00092862">
        <w:rPr>
          <w:rFonts w:ascii="Times New Roman" w:eastAsia="宋体" w:hAnsi="Times New Roman" w:cs="Times New Roman"/>
          <w:color w:val="000000" w:themeColor="text1"/>
          <w:kern w:val="0"/>
          <w:sz w:val="24"/>
          <w:szCs w:val="24"/>
        </w:rPr>
        <w:t>0.85%</w:t>
      </w:r>
      <w:r w:rsidRPr="00092862">
        <w:rPr>
          <w:rFonts w:ascii="Times New Roman" w:eastAsia="宋体" w:hAnsi="Times New Roman" w:cs="Times New Roman"/>
          <w:color w:val="000000" w:themeColor="text1"/>
          <w:sz w:val="24"/>
          <w:szCs w:val="24"/>
        </w:rPr>
        <w:t>。</w:t>
      </w:r>
    </w:p>
    <w:p w14:paraId="66D19BFE"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）以水稻、玉米、红苕、棉花、花生、小麦、马铃薯、豌豆为主的耕地植被拼块</w:t>
      </w:r>
    </w:p>
    <w:p w14:paraId="125A54FD"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属于人工引进的种植拼块。该拼块的生境、外貌及结构与水田均有明显区别，其生境一般比较干燥，地面具有一定坡度，作物种类比较多样化，并形成多种组合。该拼块面积为</w:t>
      </w:r>
      <w:r w:rsidRPr="00092862">
        <w:rPr>
          <w:rFonts w:ascii="Times New Roman" w:eastAsia="宋体" w:hAnsi="Times New Roman" w:cs="Times New Roman"/>
          <w:color w:val="000000" w:themeColor="text1"/>
          <w:kern w:val="0"/>
          <w:sz w:val="24"/>
          <w:szCs w:val="24"/>
          <w:lang w:bidi="ar"/>
        </w:rPr>
        <w:t>159.05</w:t>
      </w:r>
      <w:r w:rsidRPr="00092862">
        <w:rPr>
          <w:rFonts w:ascii="Times New Roman" w:eastAsia="宋体" w:hAnsi="Times New Roman" w:cs="Times New Roman"/>
          <w:color w:val="000000" w:themeColor="text1"/>
          <w:sz w:val="24"/>
          <w:szCs w:val="24"/>
        </w:rPr>
        <w:t>hm²</w:t>
      </w:r>
      <w:r w:rsidRPr="00092862">
        <w:rPr>
          <w:rFonts w:ascii="Times New Roman" w:eastAsia="宋体" w:hAnsi="Times New Roman" w:cs="Times New Roman"/>
          <w:color w:val="000000" w:themeColor="text1"/>
          <w:sz w:val="24"/>
          <w:szCs w:val="24"/>
        </w:rPr>
        <w:t>，占评价区面积的</w:t>
      </w:r>
      <w:r w:rsidRPr="00092862">
        <w:rPr>
          <w:rFonts w:ascii="Times New Roman" w:eastAsia="宋体" w:hAnsi="Times New Roman" w:cs="Times New Roman"/>
          <w:color w:val="000000" w:themeColor="text1"/>
          <w:kern w:val="0"/>
          <w:sz w:val="24"/>
          <w:szCs w:val="24"/>
        </w:rPr>
        <w:t>11.61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p>
    <w:p w14:paraId="2E7B2F19"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）以河流为主的水面拼块</w:t>
      </w:r>
    </w:p>
    <w:p w14:paraId="46CAACF8"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为自然或人工形成的水生生态系统，含河流水面，属环境资源拼块。水面拼块总面积为</w:t>
      </w:r>
      <w:r w:rsidRPr="00092862">
        <w:rPr>
          <w:rFonts w:ascii="Times New Roman" w:eastAsia="宋体" w:hAnsi="Times New Roman" w:cs="Times New Roman"/>
          <w:color w:val="000000" w:themeColor="text1"/>
          <w:kern w:val="0"/>
          <w:sz w:val="24"/>
          <w:szCs w:val="24"/>
          <w:lang w:bidi="ar"/>
        </w:rPr>
        <w:t>1.35</w:t>
      </w:r>
      <w:r w:rsidRPr="00092862">
        <w:rPr>
          <w:rFonts w:ascii="Times New Roman" w:eastAsia="宋体" w:hAnsi="Times New Roman" w:cs="Times New Roman"/>
          <w:color w:val="000000" w:themeColor="text1"/>
          <w:sz w:val="24"/>
          <w:szCs w:val="24"/>
        </w:rPr>
        <w:t>hm²</w:t>
      </w:r>
      <w:r w:rsidRPr="00092862">
        <w:rPr>
          <w:rFonts w:ascii="Times New Roman" w:eastAsia="宋体" w:hAnsi="Times New Roman" w:cs="Times New Roman"/>
          <w:color w:val="000000" w:themeColor="text1"/>
          <w:sz w:val="24"/>
          <w:szCs w:val="24"/>
        </w:rPr>
        <w:t>，占评价区面积的</w:t>
      </w:r>
      <w:r w:rsidRPr="00092862">
        <w:rPr>
          <w:rFonts w:ascii="Times New Roman" w:eastAsia="宋体" w:hAnsi="Times New Roman" w:cs="Times New Roman"/>
          <w:color w:val="000000" w:themeColor="text1"/>
          <w:kern w:val="0"/>
          <w:sz w:val="24"/>
          <w:szCs w:val="24"/>
        </w:rPr>
        <w:t>0.1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p>
    <w:p w14:paraId="685A8C98"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）建设用地为主的人工生态系统拼块</w:t>
      </w:r>
    </w:p>
    <w:p w14:paraId="74D08FA3"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sidRPr="00092862">
        <w:rPr>
          <w:rFonts w:ascii="Times New Roman" w:eastAsia="宋体" w:hAnsi="Times New Roman" w:cs="Times New Roman"/>
          <w:color w:val="000000" w:themeColor="text1"/>
          <w:kern w:val="0"/>
          <w:sz w:val="24"/>
          <w:szCs w:val="24"/>
          <w:lang w:bidi="ar"/>
        </w:rPr>
        <w:t>32.64</w:t>
      </w:r>
      <w:r w:rsidRPr="00092862">
        <w:rPr>
          <w:rFonts w:ascii="Times New Roman" w:eastAsia="宋体" w:hAnsi="Times New Roman" w:cs="Times New Roman"/>
          <w:color w:val="000000" w:themeColor="text1"/>
          <w:sz w:val="24"/>
          <w:szCs w:val="24"/>
        </w:rPr>
        <w:t>hm²</w:t>
      </w:r>
      <w:r w:rsidRPr="00092862">
        <w:rPr>
          <w:rFonts w:ascii="Times New Roman" w:eastAsia="宋体" w:hAnsi="Times New Roman" w:cs="Times New Roman"/>
          <w:color w:val="000000" w:themeColor="text1"/>
          <w:sz w:val="24"/>
          <w:szCs w:val="24"/>
        </w:rPr>
        <w:t>，占评价区总面积的</w:t>
      </w:r>
      <w:r w:rsidRPr="00092862">
        <w:rPr>
          <w:rFonts w:ascii="Times New Roman" w:eastAsia="宋体" w:hAnsi="Times New Roman" w:cs="Times New Roman"/>
          <w:color w:val="000000" w:themeColor="text1"/>
          <w:sz w:val="24"/>
          <w:szCs w:val="24"/>
        </w:rPr>
        <w:t>2.38%</w:t>
      </w:r>
      <w:r w:rsidRPr="00092862">
        <w:rPr>
          <w:rFonts w:ascii="Times New Roman" w:eastAsia="宋体" w:hAnsi="Times New Roman" w:cs="Times New Roman"/>
          <w:color w:val="000000" w:themeColor="text1"/>
          <w:sz w:val="24"/>
          <w:szCs w:val="24"/>
        </w:rPr>
        <w:t>。</w:t>
      </w:r>
    </w:p>
    <w:p w14:paraId="00235A0D"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以上拼块类型构成了本区景观生态体系，它们之间既相互联系又相互制约。</w:t>
      </w:r>
    </w:p>
    <w:p w14:paraId="674265AF" w14:textId="77777777" w:rsidR="009E4715" w:rsidRPr="00092862" w:rsidRDefault="009E4715" w:rsidP="00092862">
      <w:pPr>
        <w:adjustRightInd w:val="0"/>
        <w:snapToGrid w:val="0"/>
        <w:spacing w:line="360" w:lineRule="auto"/>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以马尾松、杉木、柏木、麻栎、青冈、栓皮栎及乔木经济树种的森林拼块，以野桐、盐肤木、马桑、黄荆、火棘及灌木经济树种为主的灌丛拼块等陆地生态系统决定了以河流水面为主的水生生态系统状况，同时对以水稻、玉米、红苕、棉花、花生、小麦、马铃薯、豌豆为主的耕地植被的生产力水平有着重要影响。环境资源拼块自然生产能力和稳定性的维护是决定本区生态环境质量的主导性因素，该类型拼块的总面积为</w:t>
      </w:r>
      <w:r w:rsidRPr="00092862">
        <w:rPr>
          <w:rFonts w:ascii="Times New Roman" w:eastAsia="宋体" w:hAnsi="Times New Roman" w:cs="Times New Roman"/>
          <w:color w:val="000000" w:themeColor="text1"/>
          <w:sz w:val="24"/>
          <w:szCs w:val="24"/>
        </w:rPr>
        <w:t>1178.84hm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，占所有拼块总面积的</w:t>
      </w:r>
      <w:r w:rsidRPr="00092862">
        <w:rPr>
          <w:rFonts w:ascii="Times New Roman" w:eastAsia="宋体" w:hAnsi="Times New Roman" w:cs="Times New Roman"/>
          <w:color w:val="000000" w:themeColor="text1"/>
          <w:sz w:val="24"/>
          <w:szCs w:val="24"/>
        </w:rPr>
        <w:t>86.01%</w:t>
      </w:r>
      <w:r w:rsidRPr="00092862">
        <w:rPr>
          <w:rFonts w:ascii="Times New Roman" w:eastAsia="宋体" w:hAnsi="Times New Roman" w:cs="Times New Roman"/>
          <w:color w:val="000000" w:themeColor="text1"/>
          <w:sz w:val="24"/>
          <w:szCs w:val="24"/>
        </w:rPr>
        <w:t>；人为活动影响产生的拼块总面积为</w:t>
      </w:r>
      <w:r w:rsidRPr="00092862">
        <w:rPr>
          <w:rFonts w:ascii="Times New Roman" w:eastAsia="宋体" w:hAnsi="Times New Roman" w:cs="Times New Roman"/>
          <w:color w:val="000000" w:themeColor="text1"/>
          <w:sz w:val="24"/>
          <w:szCs w:val="24"/>
        </w:rPr>
        <w:t>191.70hm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，占所有拼块总面积的</w:t>
      </w:r>
      <w:r w:rsidRPr="00092862">
        <w:rPr>
          <w:rFonts w:ascii="Times New Roman" w:eastAsia="宋体" w:hAnsi="Times New Roman" w:cs="Times New Roman"/>
          <w:color w:val="000000" w:themeColor="text1"/>
          <w:sz w:val="24"/>
          <w:szCs w:val="24"/>
        </w:rPr>
        <w:t>13.99%</w:t>
      </w:r>
      <w:r w:rsidRPr="00092862">
        <w:rPr>
          <w:rFonts w:ascii="Times New Roman" w:eastAsia="宋体" w:hAnsi="Times New Roman" w:cs="Times New Roman"/>
          <w:color w:val="000000" w:themeColor="text1"/>
          <w:sz w:val="24"/>
          <w:szCs w:val="24"/>
        </w:rPr>
        <w:t>。</w:t>
      </w:r>
    </w:p>
    <w:p w14:paraId="7943D6EB" w14:textId="77777777" w:rsidR="009E4715" w:rsidRPr="00092862" w:rsidRDefault="009E4715" w:rsidP="00092862">
      <w:pPr>
        <w:adjustRightInd w:val="0"/>
        <w:snapToGrid w:val="0"/>
        <w:spacing w:line="360" w:lineRule="auto"/>
        <w:ind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评价范围内以上各景观拼块相应特征见表</w:t>
      </w:r>
      <w:r w:rsidRPr="00092862">
        <w:rPr>
          <w:rFonts w:ascii="Times New Roman" w:eastAsia="宋体" w:hAnsi="Times New Roman" w:cs="Times New Roman"/>
          <w:color w:val="000000" w:themeColor="text1"/>
          <w:sz w:val="24"/>
          <w:szCs w:val="24"/>
        </w:rPr>
        <w:t>4.3-14</w:t>
      </w:r>
      <w:r w:rsidRPr="00092862">
        <w:rPr>
          <w:rFonts w:ascii="Times New Roman" w:eastAsia="宋体" w:hAnsi="Times New Roman" w:cs="Times New Roman"/>
          <w:color w:val="000000" w:themeColor="text1"/>
          <w:sz w:val="24"/>
          <w:szCs w:val="24"/>
        </w:rPr>
        <w:t>。</w:t>
      </w:r>
    </w:p>
    <w:p w14:paraId="3A98F6A0" w14:textId="77777777" w:rsidR="009E4715" w:rsidRPr="00092862" w:rsidRDefault="009E4715" w:rsidP="00092862">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4.3-14 </w:t>
      </w:r>
      <w:r w:rsidRPr="00092862">
        <w:rPr>
          <w:rFonts w:ascii="Times New Roman" w:eastAsia="宋体" w:hAnsi="Times New Roman" w:cs="Times New Roman"/>
          <w:b/>
          <w:color w:val="000000" w:themeColor="text1"/>
          <w:kern w:val="0"/>
          <w:szCs w:val="24"/>
        </w:rPr>
        <w:t>评价区域拼块类型、数量及面积表</w:t>
      </w:r>
    </w:p>
    <w:tbl>
      <w:tblPr>
        <w:tblW w:w="5000" w:type="pct"/>
        <w:jc w:val="center"/>
        <w:tblCellMar>
          <w:top w:w="15" w:type="dxa"/>
          <w:left w:w="15" w:type="dxa"/>
          <w:bottom w:w="15" w:type="dxa"/>
          <w:right w:w="15" w:type="dxa"/>
        </w:tblCellMar>
        <w:tblLook w:val="0000" w:firstRow="0" w:lastRow="0" w:firstColumn="0" w:lastColumn="0" w:noHBand="0" w:noVBand="0"/>
      </w:tblPr>
      <w:tblGrid>
        <w:gridCol w:w="3108"/>
        <w:gridCol w:w="2772"/>
        <w:gridCol w:w="2420"/>
      </w:tblGrid>
      <w:tr w:rsidR="00697429" w:rsidRPr="00092862" w14:paraId="25FB0815" w14:textId="77777777" w:rsidTr="00A364AF">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193A1857"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拼块类型</w:t>
            </w:r>
          </w:p>
        </w:tc>
        <w:tc>
          <w:tcPr>
            <w:tcW w:w="1670" w:type="pct"/>
            <w:tcBorders>
              <w:top w:val="single" w:sz="4" w:space="0" w:color="000000"/>
              <w:left w:val="single" w:sz="4" w:space="0" w:color="000000"/>
              <w:bottom w:val="single" w:sz="4" w:space="0" w:color="000000"/>
              <w:right w:val="single" w:sz="4" w:space="0" w:color="000000"/>
            </w:tcBorders>
            <w:vAlign w:val="center"/>
          </w:tcPr>
          <w:p w14:paraId="64C48EA1"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面积（</w:t>
            </w:r>
            <w:r w:rsidRPr="00092862">
              <w:rPr>
                <w:rFonts w:ascii="Times New Roman" w:eastAsia="宋体" w:hAnsi="Times New Roman" w:cs="Times New Roman"/>
                <w:color w:val="000000" w:themeColor="text1"/>
                <w:kern w:val="0"/>
                <w:szCs w:val="21"/>
                <w:lang w:bidi="ar"/>
              </w:rPr>
              <w:t>hm</w:t>
            </w:r>
            <w:r w:rsidRPr="00092862">
              <w:rPr>
                <w:rFonts w:ascii="Times New Roman" w:eastAsia="宋体" w:hAnsi="Times New Roman" w:cs="Times New Roman"/>
                <w:color w:val="000000" w:themeColor="text1"/>
                <w:kern w:val="0"/>
                <w:szCs w:val="21"/>
                <w:vertAlign w:val="superscript"/>
                <w:lang w:bidi="ar"/>
              </w:rPr>
              <w:t>2</w:t>
            </w:r>
            <w:r w:rsidRPr="00092862">
              <w:rPr>
                <w:rFonts w:ascii="Times New Roman" w:eastAsia="宋体" w:hAnsi="Times New Roman" w:cs="Times New Roman"/>
                <w:color w:val="000000" w:themeColor="text1"/>
                <w:kern w:val="0"/>
                <w:szCs w:val="21"/>
                <w:lang w:bidi="ar"/>
              </w:rPr>
              <w:t>）</w:t>
            </w:r>
          </w:p>
        </w:tc>
        <w:tc>
          <w:tcPr>
            <w:tcW w:w="1459" w:type="pct"/>
            <w:tcBorders>
              <w:top w:val="single" w:sz="4" w:space="0" w:color="000000"/>
              <w:left w:val="single" w:sz="4" w:space="0" w:color="000000"/>
              <w:bottom w:val="single" w:sz="4" w:space="0" w:color="000000"/>
              <w:right w:val="single" w:sz="4" w:space="0" w:color="000000"/>
            </w:tcBorders>
            <w:vAlign w:val="center"/>
          </w:tcPr>
          <w:p w14:paraId="63A0AC33"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百分比（</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r>
      <w:tr w:rsidR="00697429" w:rsidRPr="00092862" w14:paraId="24B07BF8" w14:textId="77777777" w:rsidTr="00A364AF">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2A71C228"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森林拼块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693238AB"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 w:val="24"/>
                <w:szCs w:val="24"/>
                <w:lang w:bidi="ar"/>
              </w:rPr>
              <w:t xml:space="preserve">1136.67 </w:t>
            </w:r>
          </w:p>
        </w:tc>
        <w:tc>
          <w:tcPr>
            <w:tcW w:w="1459" w:type="pct"/>
            <w:tcBorders>
              <w:top w:val="single" w:sz="4" w:space="0" w:color="000000"/>
              <w:left w:val="single" w:sz="4" w:space="0" w:color="000000"/>
              <w:bottom w:val="single" w:sz="4" w:space="0" w:color="000000"/>
              <w:right w:val="single" w:sz="4" w:space="0" w:color="000000"/>
            </w:tcBorders>
            <w:vAlign w:val="center"/>
          </w:tcPr>
          <w:p w14:paraId="46B4E48B"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 w:val="24"/>
                <w:szCs w:val="24"/>
                <w:lang w:bidi="ar"/>
              </w:rPr>
              <w:t xml:space="preserve">82.94 </w:t>
            </w:r>
          </w:p>
        </w:tc>
      </w:tr>
      <w:tr w:rsidR="00697429" w:rsidRPr="00092862" w14:paraId="6B37CE8B" w14:textId="77777777" w:rsidTr="00A364AF">
        <w:trPr>
          <w:trHeight w:val="40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219099E9"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灌丛拼块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436D37B1"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 w:val="24"/>
                <w:szCs w:val="24"/>
                <w:lang w:bidi="ar"/>
              </w:rPr>
              <w:t xml:space="preserve">29.11 </w:t>
            </w:r>
          </w:p>
        </w:tc>
        <w:tc>
          <w:tcPr>
            <w:tcW w:w="1459" w:type="pct"/>
            <w:tcBorders>
              <w:top w:val="single" w:sz="4" w:space="0" w:color="000000"/>
              <w:left w:val="single" w:sz="4" w:space="0" w:color="000000"/>
              <w:bottom w:val="single" w:sz="4" w:space="0" w:color="000000"/>
              <w:right w:val="single" w:sz="4" w:space="0" w:color="000000"/>
            </w:tcBorders>
            <w:vAlign w:val="center"/>
          </w:tcPr>
          <w:p w14:paraId="4FFE560B"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 w:val="24"/>
                <w:szCs w:val="24"/>
                <w:lang w:bidi="ar"/>
              </w:rPr>
              <w:t xml:space="preserve">2.12 </w:t>
            </w:r>
          </w:p>
        </w:tc>
      </w:tr>
      <w:tr w:rsidR="00697429" w:rsidRPr="00092862" w14:paraId="00596997" w14:textId="77777777" w:rsidTr="00A364AF">
        <w:trPr>
          <w:trHeight w:val="38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56FB8F93"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lastRenderedPageBreak/>
              <w:t>灌草丛拼块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0BBFD598"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 w:val="22"/>
                <w:lang w:bidi="ar"/>
              </w:rPr>
              <w:t xml:space="preserve">11.71 </w:t>
            </w:r>
          </w:p>
        </w:tc>
        <w:tc>
          <w:tcPr>
            <w:tcW w:w="1459" w:type="pct"/>
            <w:tcBorders>
              <w:top w:val="single" w:sz="4" w:space="0" w:color="000000"/>
              <w:left w:val="single" w:sz="4" w:space="0" w:color="000000"/>
              <w:bottom w:val="single" w:sz="4" w:space="0" w:color="000000"/>
              <w:right w:val="single" w:sz="4" w:space="0" w:color="000000"/>
            </w:tcBorders>
            <w:vAlign w:val="center"/>
          </w:tcPr>
          <w:p w14:paraId="5971DDDE"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 w:val="24"/>
                <w:szCs w:val="24"/>
                <w:lang w:bidi="ar"/>
              </w:rPr>
              <w:t xml:space="preserve">0.85 </w:t>
            </w:r>
          </w:p>
        </w:tc>
      </w:tr>
      <w:tr w:rsidR="00697429" w:rsidRPr="00092862" w14:paraId="03D40DC6" w14:textId="77777777" w:rsidTr="00A364AF">
        <w:trPr>
          <w:trHeight w:val="330"/>
          <w:jc w:val="center"/>
        </w:trPr>
        <w:tc>
          <w:tcPr>
            <w:tcW w:w="1872" w:type="pct"/>
            <w:tcBorders>
              <w:top w:val="single" w:sz="4" w:space="0" w:color="000000"/>
              <w:left w:val="single" w:sz="4" w:space="0" w:color="000000"/>
              <w:bottom w:val="single" w:sz="4" w:space="0" w:color="auto"/>
              <w:right w:val="single" w:sz="4" w:space="0" w:color="000000"/>
            </w:tcBorders>
            <w:vAlign w:val="center"/>
          </w:tcPr>
          <w:p w14:paraId="01347477"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耕地植被拼块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5464ABF5"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159.05</w:t>
            </w:r>
          </w:p>
        </w:tc>
        <w:tc>
          <w:tcPr>
            <w:tcW w:w="1459" w:type="pct"/>
            <w:tcBorders>
              <w:top w:val="single" w:sz="4" w:space="0" w:color="000000"/>
              <w:left w:val="single" w:sz="4" w:space="0" w:color="000000"/>
              <w:bottom w:val="single" w:sz="4" w:space="0" w:color="000000"/>
              <w:right w:val="single" w:sz="4" w:space="0" w:color="000000"/>
            </w:tcBorders>
            <w:vAlign w:val="center"/>
          </w:tcPr>
          <w:p w14:paraId="3525BD18"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11.61</w:t>
            </w:r>
          </w:p>
        </w:tc>
      </w:tr>
      <w:tr w:rsidR="00697429" w:rsidRPr="00092862" w14:paraId="755D6B6B" w14:textId="77777777" w:rsidTr="00A364A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7921266A"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水面拼块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07CBA746"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1.35</w:t>
            </w:r>
          </w:p>
        </w:tc>
        <w:tc>
          <w:tcPr>
            <w:tcW w:w="1459" w:type="pct"/>
            <w:tcBorders>
              <w:top w:val="single" w:sz="4" w:space="0" w:color="000000"/>
              <w:left w:val="single" w:sz="4" w:space="0" w:color="000000"/>
              <w:bottom w:val="single" w:sz="4" w:space="0" w:color="000000"/>
              <w:right w:val="single" w:sz="4" w:space="0" w:color="000000"/>
            </w:tcBorders>
            <w:vAlign w:val="center"/>
          </w:tcPr>
          <w:p w14:paraId="2ADCD829"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0.1</w:t>
            </w:r>
          </w:p>
        </w:tc>
      </w:tr>
      <w:tr w:rsidR="00697429" w:rsidRPr="00092862" w14:paraId="674F435A" w14:textId="77777777" w:rsidTr="00A364A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1BEECF80"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人工生态系统拼块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339B1D12"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32.64</w:t>
            </w:r>
          </w:p>
        </w:tc>
        <w:tc>
          <w:tcPr>
            <w:tcW w:w="1459" w:type="pct"/>
            <w:tcBorders>
              <w:top w:val="single" w:sz="4" w:space="0" w:color="000000"/>
              <w:left w:val="single" w:sz="4" w:space="0" w:color="000000"/>
              <w:bottom w:val="single" w:sz="4" w:space="0" w:color="000000"/>
              <w:right w:val="single" w:sz="4" w:space="0" w:color="000000"/>
            </w:tcBorders>
            <w:vAlign w:val="bottom"/>
          </w:tcPr>
          <w:p w14:paraId="60B6FE86"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2.38</w:t>
            </w:r>
          </w:p>
        </w:tc>
      </w:tr>
      <w:tr w:rsidR="00697429" w:rsidRPr="00092862" w14:paraId="41A6457E" w14:textId="77777777" w:rsidTr="00A364AF">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66D7CA61"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总计</w:t>
            </w:r>
          </w:p>
        </w:tc>
        <w:tc>
          <w:tcPr>
            <w:tcW w:w="1670" w:type="pct"/>
            <w:tcBorders>
              <w:top w:val="single" w:sz="4" w:space="0" w:color="000000"/>
              <w:left w:val="single" w:sz="4" w:space="0" w:color="auto"/>
              <w:bottom w:val="single" w:sz="4" w:space="0" w:color="000000"/>
              <w:right w:val="single" w:sz="4" w:space="0" w:color="000000"/>
            </w:tcBorders>
            <w:vAlign w:val="center"/>
          </w:tcPr>
          <w:p w14:paraId="7F7BE0A6"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1370.53</w:t>
            </w:r>
          </w:p>
        </w:tc>
        <w:tc>
          <w:tcPr>
            <w:tcW w:w="1459" w:type="pct"/>
            <w:tcBorders>
              <w:top w:val="single" w:sz="4" w:space="0" w:color="000000"/>
              <w:left w:val="single" w:sz="4" w:space="0" w:color="000000"/>
              <w:bottom w:val="single" w:sz="4" w:space="0" w:color="000000"/>
              <w:right w:val="single" w:sz="4" w:space="0" w:color="000000"/>
            </w:tcBorders>
            <w:vAlign w:val="center"/>
          </w:tcPr>
          <w:p w14:paraId="4E663258" w14:textId="77777777" w:rsidR="009E4715" w:rsidRPr="00092862" w:rsidRDefault="009E4715" w:rsidP="00092862">
            <w:pPr>
              <w:widowControl/>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100.00</w:t>
            </w:r>
          </w:p>
        </w:tc>
      </w:tr>
    </w:tbl>
    <w:p w14:paraId="22C4BF5A" w14:textId="77777777" w:rsidR="009E4715" w:rsidRPr="00092862" w:rsidRDefault="009E4715" w:rsidP="00092862">
      <w:pPr>
        <w:spacing w:line="154" w:lineRule="exact"/>
        <w:rPr>
          <w:rFonts w:ascii="Times New Roman" w:eastAsia="宋体" w:hAnsi="Times New Roman" w:cs="Times New Roman"/>
          <w:color w:val="000000" w:themeColor="text1"/>
          <w:szCs w:val="24"/>
        </w:rPr>
      </w:pPr>
    </w:p>
    <w:p w14:paraId="70EDAB98" w14:textId="77777777" w:rsidR="009E4715" w:rsidRPr="00092862" w:rsidRDefault="009E4715" w:rsidP="00092862">
      <w:pPr>
        <w:spacing w:line="480" w:lineRule="exact"/>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、景观生态体系现状质量评价</w:t>
      </w:r>
    </w:p>
    <w:p w14:paraId="68DCE67E"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景观稳定性是景观的各种参数的长期变化呈水平状态，或是在水平线上下摆动的幅度和周期性具有统计特征（</w:t>
      </w:r>
      <w:r w:rsidRPr="00092862">
        <w:rPr>
          <w:rFonts w:ascii="Times New Roman" w:eastAsia="宋体" w:hAnsi="Times New Roman" w:cs="Times New Roman"/>
          <w:color w:val="000000" w:themeColor="text1"/>
          <w:sz w:val="24"/>
          <w:szCs w:val="24"/>
        </w:rPr>
        <w:t>Format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1990</w:t>
      </w:r>
      <w:r w:rsidRPr="00092862">
        <w:rPr>
          <w:rFonts w:ascii="Times New Roman" w:eastAsia="宋体" w:hAnsi="Times New Roman" w:cs="Times New Roman"/>
          <w:color w:val="000000" w:themeColor="text1"/>
          <w:sz w:val="24"/>
          <w:szCs w:val="24"/>
        </w:rPr>
        <w:t>），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14:paraId="7D836EC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域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生态影响》（</w:t>
      </w:r>
      <w:r w:rsidRPr="00092862">
        <w:rPr>
          <w:rFonts w:ascii="Times New Roman" w:eastAsia="宋体" w:hAnsi="Times New Roman" w:cs="Times New Roman"/>
          <w:color w:val="000000" w:themeColor="text1"/>
          <w:sz w:val="24"/>
          <w:szCs w:val="24"/>
        </w:rPr>
        <w:t>HJ19-2011</w:t>
      </w:r>
      <w:r w:rsidRPr="00092862">
        <w:rPr>
          <w:rFonts w:ascii="Times New Roman" w:eastAsia="宋体" w:hAnsi="Times New Roman" w:cs="Times New Roman"/>
          <w:color w:val="000000" w:themeColor="text1"/>
          <w:sz w:val="24"/>
          <w:szCs w:val="24"/>
        </w:rPr>
        <w:t>）中推荐的优势度计算法，各参数计算公式如下：</w:t>
      </w:r>
    </w:p>
    <w:p w14:paraId="363D9D90" w14:textId="77777777" w:rsidR="009E4715" w:rsidRPr="00092862" w:rsidRDefault="009E4715" w:rsidP="00092862">
      <w:pPr>
        <w:spacing w:line="500" w:lineRule="exact"/>
        <w:ind w:right="10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密度</w:t>
      </w:r>
      <w:r w:rsidRPr="00092862">
        <w:rPr>
          <w:rFonts w:ascii="Times New Roman" w:eastAsia="宋体" w:hAnsi="Times New Roman" w:cs="Times New Roman"/>
          <w:color w:val="000000" w:themeColor="text1"/>
          <w:sz w:val="24"/>
          <w:szCs w:val="24"/>
        </w:rPr>
        <w:t>Rd=I</w:t>
      </w:r>
      <w:r w:rsidRPr="00092862">
        <w:rPr>
          <w:rFonts w:ascii="Times New Roman" w:eastAsia="宋体" w:hAnsi="Times New Roman" w:cs="Times New Roman"/>
          <w:color w:val="000000" w:themeColor="text1"/>
          <w:sz w:val="24"/>
          <w:szCs w:val="24"/>
        </w:rPr>
        <w:t>拼块的数目</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拼块的总数</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p>
    <w:p w14:paraId="74D26C0F" w14:textId="77777777" w:rsidR="009E4715" w:rsidRPr="00092862" w:rsidRDefault="009E4715" w:rsidP="00092862">
      <w:pPr>
        <w:spacing w:line="500" w:lineRule="exact"/>
        <w:ind w:right="100"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频率</w:t>
      </w:r>
      <w:r w:rsidRPr="00092862">
        <w:rPr>
          <w:rFonts w:ascii="Times New Roman" w:eastAsia="宋体" w:hAnsi="Times New Roman" w:cs="Times New Roman"/>
          <w:color w:val="000000" w:themeColor="text1"/>
          <w:sz w:val="24"/>
          <w:szCs w:val="24"/>
        </w:rPr>
        <w:t>Rf=</w:t>
      </w:r>
      <w:r w:rsidRPr="00092862">
        <w:rPr>
          <w:rFonts w:ascii="Times New Roman" w:eastAsia="宋体" w:hAnsi="Times New Roman" w:cs="Times New Roman"/>
          <w:color w:val="000000" w:themeColor="text1"/>
          <w:sz w:val="24"/>
          <w:szCs w:val="24"/>
        </w:rPr>
        <w:t>拼块</w:t>
      </w:r>
      <w:r w:rsidRPr="00092862">
        <w:rPr>
          <w:rFonts w:ascii="Times New Roman" w:eastAsia="宋体" w:hAnsi="Times New Roman" w:cs="Times New Roman"/>
          <w:color w:val="000000" w:themeColor="text1"/>
          <w:sz w:val="24"/>
          <w:szCs w:val="24"/>
        </w:rPr>
        <w:t>I</w:t>
      </w:r>
      <w:r w:rsidRPr="00092862">
        <w:rPr>
          <w:rFonts w:ascii="Times New Roman" w:eastAsia="宋体" w:hAnsi="Times New Roman" w:cs="Times New Roman"/>
          <w:color w:val="000000" w:themeColor="text1"/>
          <w:sz w:val="24"/>
          <w:szCs w:val="24"/>
        </w:rPr>
        <w:t>出现的小样方数</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小样方总数</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p>
    <w:p w14:paraId="478877FB" w14:textId="77777777" w:rsidR="009E4715" w:rsidRPr="00092862" w:rsidRDefault="009E4715" w:rsidP="00092862">
      <w:pPr>
        <w:spacing w:line="500" w:lineRule="exact"/>
        <w:ind w:right="100"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景观比例</w:t>
      </w:r>
      <w:r w:rsidRPr="00092862">
        <w:rPr>
          <w:rFonts w:ascii="Times New Roman" w:eastAsia="宋体" w:hAnsi="Times New Roman" w:cs="Times New Roman"/>
          <w:color w:val="000000" w:themeColor="text1"/>
          <w:sz w:val="24"/>
          <w:szCs w:val="24"/>
        </w:rPr>
        <w:t>Lp</w:t>
      </w:r>
      <w:r w:rsidRPr="00092862">
        <w:rPr>
          <w:rFonts w:ascii="Times New Roman" w:eastAsia="宋体" w:hAnsi="Times New Roman" w:cs="Times New Roman"/>
          <w:color w:val="000000" w:themeColor="text1"/>
          <w:sz w:val="24"/>
          <w:szCs w:val="24"/>
        </w:rPr>
        <w:t>＝拼块</w:t>
      </w:r>
      <w:r w:rsidRPr="00092862">
        <w:rPr>
          <w:rFonts w:ascii="Times New Roman" w:eastAsia="宋体" w:hAnsi="Times New Roman" w:cs="Times New Roman"/>
          <w:color w:val="000000" w:themeColor="text1"/>
          <w:sz w:val="24"/>
          <w:szCs w:val="24"/>
        </w:rPr>
        <w:t>I</w:t>
      </w:r>
      <w:r w:rsidRPr="00092862">
        <w:rPr>
          <w:rFonts w:ascii="Times New Roman" w:eastAsia="宋体" w:hAnsi="Times New Roman" w:cs="Times New Roman"/>
          <w:color w:val="000000" w:themeColor="text1"/>
          <w:sz w:val="24"/>
          <w:szCs w:val="24"/>
        </w:rPr>
        <w:t>的面积</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样地总面积</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p>
    <w:p w14:paraId="596FADD3" w14:textId="77777777" w:rsidR="009E4715" w:rsidRPr="00092862" w:rsidRDefault="009E4715" w:rsidP="00092862">
      <w:pPr>
        <w:spacing w:line="500" w:lineRule="exact"/>
        <w:ind w:right="100"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景观优势度</w:t>
      </w:r>
      <w:r w:rsidRPr="00092862">
        <w:rPr>
          <w:rFonts w:ascii="Times New Roman" w:eastAsia="宋体" w:hAnsi="Times New Roman" w:cs="Times New Roman"/>
          <w:color w:val="000000" w:themeColor="text1"/>
          <w:sz w:val="24"/>
          <w:szCs w:val="24"/>
        </w:rPr>
        <w:t>Do</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Rd+Rf</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Lp]×100</w:t>
      </w:r>
      <w:r w:rsidRPr="00092862">
        <w:rPr>
          <w:rFonts w:ascii="Times New Roman" w:eastAsia="宋体" w:hAnsi="Times New Roman" w:cs="Times New Roman"/>
          <w:color w:val="000000" w:themeColor="text1"/>
          <w:sz w:val="24"/>
          <w:szCs w:val="24"/>
        </w:rPr>
        <w:t>﹪。</w:t>
      </w:r>
    </w:p>
    <w:p w14:paraId="2C6C6918"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在景观频率的评判中，采取在微机上的土地利用图上取样的方法，共选取</w:t>
      </w:r>
      <w:r w:rsidRPr="00092862">
        <w:rPr>
          <w:rFonts w:ascii="Times New Roman" w:eastAsia="宋体" w:hAnsi="Times New Roman" w:cs="Times New Roman"/>
          <w:color w:val="000000" w:themeColor="text1"/>
          <w:sz w:val="24"/>
          <w:szCs w:val="24"/>
        </w:rPr>
        <w:t>200</w:t>
      </w:r>
      <w:r w:rsidRPr="00092862">
        <w:rPr>
          <w:rFonts w:ascii="Times New Roman" w:eastAsia="宋体" w:hAnsi="Times New Roman" w:cs="Times New Roman"/>
          <w:color w:val="000000" w:themeColor="text1"/>
          <w:sz w:val="24"/>
          <w:szCs w:val="24"/>
        </w:rPr>
        <w:t>个小样方。统计各类拼块出现的小样方数，得出各个拼块的频度，计算出主要拼块的优势度，结果见表</w:t>
      </w:r>
      <w:r w:rsidRPr="00092862">
        <w:rPr>
          <w:rFonts w:ascii="Times New Roman" w:eastAsia="宋体" w:hAnsi="Times New Roman" w:cs="Times New Roman"/>
          <w:color w:val="000000" w:themeColor="text1"/>
          <w:sz w:val="24"/>
          <w:szCs w:val="24"/>
        </w:rPr>
        <w:t>4.3-15</w:t>
      </w:r>
      <w:r w:rsidRPr="00092862">
        <w:rPr>
          <w:rFonts w:ascii="Times New Roman" w:eastAsia="宋体" w:hAnsi="Times New Roman" w:cs="Times New Roman"/>
          <w:color w:val="000000" w:themeColor="text1"/>
          <w:sz w:val="24"/>
          <w:szCs w:val="24"/>
        </w:rPr>
        <w:t>。</w:t>
      </w:r>
    </w:p>
    <w:p w14:paraId="560897B5" w14:textId="77777777" w:rsidR="009E4715" w:rsidRPr="00092862" w:rsidRDefault="009E4715" w:rsidP="00092862">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4.3-15 </w:t>
      </w:r>
      <w:r w:rsidRPr="00092862">
        <w:rPr>
          <w:rFonts w:ascii="Times New Roman" w:eastAsia="宋体" w:hAnsi="Times New Roman" w:cs="Times New Roman"/>
          <w:b/>
          <w:color w:val="000000" w:themeColor="text1"/>
          <w:kern w:val="0"/>
          <w:szCs w:val="24"/>
        </w:rPr>
        <w:t>评价范围各拼块优势度值</w:t>
      </w:r>
    </w:p>
    <w:tbl>
      <w:tblPr>
        <w:tblW w:w="5000" w:type="pct"/>
        <w:jc w:val="center"/>
        <w:tblCellMar>
          <w:top w:w="15" w:type="dxa"/>
          <w:left w:w="15" w:type="dxa"/>
          <w:bottom w:w="15" w:type="dxa"/>
          <w:right w:w="15" w:type="dxa"/>
        </w:tblCellMar>
        <w:tblLook w:val="0000" w:firstRow="0" w:lastRow="0" w:firstColumn="0" w:lastColumn="0" w:noHBand="0" w:noVBand="0"/>
      </w:tblPr>
      <w:tblGrid>
        <w:gridCol w:w="1633"/>
        <w:gridCol w:w="1529"/>
        <w:gridCol w:w="1602"/>
        <w:gridCol w:w="1951"/>
        <w:gridCol w:w="1585"/>
      </w:tblGrid>
      <w:tr w:rsidR="00697429" w:rsidRPr="00092862" w14:paraId="11CF594E"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22B0DA5D"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拼块类型</w:t>
            </w:r>
          </w:p>
        </w:tc>
        <w:tc>
          <w:tcPr>
            <w:tcW w:w="921" w:type="pct"/>
            <w:tcBorders>
              <w:top w:val="single" w:sz="4" w:space="0" w:color="000000"/>
              <w:left w:val="single" w:sz="4" w:space="0" w:color="000000"/>
              <w:bottom w:val="single" w:sz="4" w:space="0" w:color="000000"/>
              <w:right w:val="single" w:sz="4" w:space="0" w:color="000000"/>
            </w:tcBorders>
            <w:vAlign w:val="bottom"/>
          </w:tcPr>
          <w:p w14:paraId="75B5F2EE"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密度</w:t>
            </w:r>
            <w:r w:rsidRPr="00092862">
              <w:rPr>
                <w:rFonts w:ascii="Times New Roman" w:eastAsia="宋体" w:hAnsi="Times New Roman" w:cs="Times New Roman"/>
                <w:color w:val="000000" w:themeColor="text1"/>
                <w:kern w:val="0"/>
                <w:szCs w:val="21"/>
                <w:lang w:bidi="ar"/>
              </w:rPr>
              <w:t>Rd</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965" w:type="pct"/>
            <w:tcBorders>
              <w:top w:val="single" w:sz="4" w:space="0" w:color="000000"/>
              <w:left w:val="single" w:sz="4" w:space="0" w:color="000000"/>
              <w:bottom w:val="single" w:sz="4" w:space="0" w:color="000000"/>
              <w:right w:val="single" w:sz="4" w:space="0" w:color="000000"/>
            </w:tcBorders>
            <w:vAlign w:val="bottom"/>
          </w:tcPr>
          <w:p w14:paraId="603589CC"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频率</w:t>
            </w:r>
            <w:r w:rsidRPr="00092862">
              <w:rPr>
                <w:rFonts w:ascii="Times New Roman" w:eastAsia="宋体" w:hAnsi="Times New Roman" w:cs="Times New Roman"/>
                <w:color w:val="000000" w:themeColor="text1"/>
                <w:kern w:val="0"/>
                <w:szCs w:val="21"/>
                <w:lang w:bidi="ar"/>
              </w:rPr>
              <w:t>Rf</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1175" w:type="pct"/>
            <w:tcBorders>
              <w:top w:val="single" w:sz="4" w:space="0" w:color="000000"/>
              <w:left w:val="single" w:sz="4" w:space="0" w:color="000000"/>
              <w:bottom w:val="single" w:sz="4" w:space="0" w:color="000000"/>
              <w:right w:val="single" w:sz="4" w:space="0" w:color="000000"/>
            </w:tcBorders>
            <w:vAlign w:val="bottom"/>
          </w:tcPr>
          <w:p w14:paraId="00F44256"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景观比例</w:t>
            </w:r>
            <w:r w:rsidRPr="00092862">
              <w:rPr>
                <w:rFonts w:ascii="Times New Roman" w:eastAsia="宋体" w:hAnsi="Times New Roman" w:cs="Times New Roman"/>
                <w:color w:val="000000" w:themeColor="text1"/>
                <w:kern w:val="0"/>
                <w:szCs w:val="21"/>
                <w:lang w:bidi="ar"/>
              </w:rPr>
              <w:t>Lp</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955" w:type="pct"/>
            <w:tcBorders>
              <w:top w:val="single" w:sz="4" w:space="0" w:color="000000"/>
              <w:left w:val="single" w:sz="4" w:space="0" w:color="000000"/>
              <w:bottom w:val="single" w:sz="4" w:space="0" w:color="000000"/>
              <w:right w:val="single" w:sz="4" w:space="0" w:color="000000"/>
            </w:tcBorders>
            <w:vAlign w:val="bottom"/>
          </w:tcPr>
          <w:p w14:paraId="35A18DF2"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优势度</w:t>
            </w:r>
            <w:r w:rsidRPr="00092862">
              <w:rPr>
                <w:rFonts w:ascii="Times New Roman" w:eastAsia="宋体" w:hAnsi="Times New Roman" w:cs="Times New Roman"/>
                <w:color w:val="000000" w:themeColor="text1"/>
                <w:kern w:val="0"/>
                <w:szCs w:val="21"/>
                <w:lang w:bidi="ar"/>
              </w:rPr>
              <w:t>Do</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r>
      <w:tr w:rsidR="00697429" w:rsidRPr="00092862" w14:paraId="5BB3D307"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5AA1C2DA"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森林</w:t>
            </w:r>
          </w:p>
        </w:tc>
        <w:tc>
          <w:tcPr>
            <w:tcW w:w="921" w:type="pct"/>
            <w:tcBorders>
              <w:top w:val="single" w:sz="4" w:space="0" w:color="000000"/>
              <w:left w:val="single" w:sz="4" w:space="0" w:color="000000"/>
              <w:bottom w:val="single" w:sz="4" w:space="0" w:color="000000"/>
              <w:right w:val="single" w:sz="4" w:space="0" w:color="000000"/>
            </w:tcBorders>
            <w:vAlign w:val="bottom"/>
          </w:tcPr>
          <w:p w14:paraId="0ABD03E9"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75.65</w:t>
            </w:r>
          </w:p>
        </w:tc>
        <w:tc>
          <w:tcPr>
            <w:tcW w:w="965" w:type="pct"/>
            <w:tcBorders>
              <w:top w:val="single" w:sz="4" w:space="0" w:color="000000"/>
              <w:left w:val="single" w:sz="4" w:space="0" w:color="000000"/>
              <w:bottom w:val="single" w:sz="4" w:space="0" w:color="000000"/>
              <w:right w:val="single" w:sz="4" w:space="0" w:color="000000"/>
            </w:tcBorders>
            <w:vAlign w:val="center"/>
          </w:tcPr>
          <w:p w14:paraId="104BA58A"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86.37</w:t>
            </w:r>
          </w:p>
        </w:tc>
        <w:tc>
          <w:tcPr>
            <w:tcW w:w="1175" w:type="pct"/>
            <w:tcBorders>
              <w:top w:val="single" w:sz="4" w:space="0" w:color="000000"/>
              <w:left w:val="single" w:sz="4" w:space="0" w:color="000000"/>
              <w:bottom w:val="single" w:sz="4" w:space="0" w:color="000000"/>
              <w:right w:val="single" w:sz="4" w:space="0" w:color="000000"/>
            </w:tcBorders>
            <w:vAlign w:val="center"/>
          </w:tcPr>
          <w:p w14:paraId="411A52D5"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83.24</w:t>
            </w:r>
          </w:p>
        </w:tc>
        <w:tc>
          <w:tcPr>
            <w:tcW w:w="955" w:type="pct"/>
            <w:tcBorders>
              <w:top w:val="single" w:sz="4" w:space="0" w:color="000000"/>
              <w:left w:val="single" w:sz="4" w:space="0" w:color="000000"/>
              <w:bottom w:val="single" w:sz="4" w:space="0" w:color="000000"/>
              <w:right w:val="single" w:sz="4" w:space="0" w:color="000000"/>
            </w:tcBorders>
            <w:vAlign w:val="bottom"/>
          </w:tcPr>
          <w:p w14:paraId="29E89BF5"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82.13 </w:t>
            </w:r>
          </w:p>
        </w:tc>
      </w:tr>
      <w:tr w:rsidR="00697429" w:rsidRPr="00092862" w14:paraId="7A9F09ED"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1CB3A942"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lastRenderedPageBreak/>
              <w:t>灌丛</w:t>
            </w:r>
          </w:p>
        </w:tc>
        <w:tc>
          <w:tcPr>
            <w:tcW w:w="921" w:type="pct"/>
            <w:tcBorders>
              <w:top w:val="single" w:sz="4" w:space="0" w:color="000000"/>
              <w:left w:val="single" w:sz="4" w:space="0" w:color="000000"/>
              <w:bottom w:val="single" w:sz="4" w:space="0" w:color="000000"/>
              <w:right w:val="single" w:sz="4" w:space="0" w:color="000000"/>
            </w:tcBorders>
            <w:vAlign w:val="bottom"/>
          </w:tcPr>
          <w:p w14:paraId="33710A2A"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3.24</w:t>
            </w:r>
          </w:p>
        </w:tc>
        <w:tc>
          <w:tcPr>
            <w:tcW w:w="965" w:type="pct"/>
            <w:tcBorders>
              <w:top w:val="single" w:sz="4" w:space="0" w:color="000000"/>
              <w:left w:val="single" w:sz="4" w:space="0" w:color="000000"/>
              <w:bottom w:val="single" w:sz="4" w:space="0" w:color="000000"/>
              <w:right w:val="single" w:sz="4" w:space="0" w:color="000000"/>
            </w:tcBorders>
            <w:vAlign w:val="center"/>
          </w:tcPr>
          <w:p w14:paraId="129FC826"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2.69</w:t>
            </w:r>
          </w:p>
        </w:tc>
        <w:tc>
          <w:tcPr>
            <w:tcW w:w="1175" w:type="pct"/>
            <w:tcBorders>
              <w:top w:val="single" w:sz="4" w:space="0" w:color="000000"/>
              <w:left w:val="single" w:sz="4" w:space="0" w:color="000000"/>
              <w:bottom w:val="single" w:sz="4" w:space="0" w:color="000000"/>
              <w:right w:val="single" w:sz="4" w:space="0" w:color="000000"/>
            </w:tcBorders>
            <w:vAlign w:val="center"/>
          </w:tcPr>
          <w:p w14:paraId="16CE19F2"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2.16</w:t>
            </w:r>
          </w:p>
        </w:tc>
        <w:tc>
          <w:tcPr>
            <w:tcW w:w="955" w:type="pct"/>
            <w:tcBorders>
              <w:top w:val="single" w:sz="4" w:space="0" w:color="000000"/>
              <w:left w:val="single" w:sz="4" w:space="0" w:color="000000"/>
              <w:bottom w:val="single" w:sz="4" w:space="0" w:color="000000"/>
              <w:right w:val="single" w:sz="4" w:space="0" w:color="000000"/>
            </w:tcBorders>
            <w:vAlign w:val="bottom"/>
          </w:tcPr>
          <w:p w14:paraId="7BC61EF8"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2.56 </w:t>
            </w:r>
          </w:p>
        </w:tc>
      </w:tr>
      <w:tr w:rsidR="00697429" w:rsidRPr="00092862" w14:paraId="239EEFB9"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424CB06D"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灌草丛</w:t>
            </w:r>
          </w:p>
        </w:tc>
        <w:tc>
          <w:tcPr>
            <w:tcW w:w="921" w:type="pct"/>
            <w:tcBorders>
              <w:top w:val="single" w:sz="4" w:space="0" w:color="000000"/>
              <w:left w:val="single" w:sz="4" w:space="0" w:color="000000"/>
              <w:bottom w:val="single" w:sz="4" w:space="0" w:color="000000"/>
              <w:right w:val="single" w:sz="4" w:space="0" w:color="000000"/>
            </w:tcBorders>
            <w:vAlign w:val="bottom"/>
          </w:tcPr>
          <w:p w14:paraId="13190BA9"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1.55</w:t>
            </w:r>
          </w:p>
        </w:tc>
        <w:tc>
          <w:tcPr>
            <w:tcW w:w="965" w:type="pct"/>
            <w:tcBorders>
              <w:top w:val="single" w:sz="4" w:space="0" w:color="000000"/>
              <w:left w:val="single" w:sz="4" w:space="0" w:color="000000"/>
              <w:bottom w:val="single" w:sz="4" w:space="0" w:color="000000"/>
              <w:right w:val="single" w:sz="4" w:space="0" w:color="000000"/>
            </w:tcBorders>
            <w:vAlign w:val="center"/>
          </w:tcPr>
          <w:p w14:paraId="42E0FF80"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0.97</w:t>
            </w:r>
          </w:p>
        </w:tc>
        <w:tc>
          <w:tcPr>
            <w:tcW w:w="1175" w:type="pct"/>
            <w:tcBorders>
              <w:top w:val="single" w:sz="4" w:space="0" w:color="000000"/>
              <w:left w:val="single" w:sz="4" w:space="0" w:color="000000"/>
              <w:bottom w:val="single" w:sz="4" w:space="0" w:color="000000"/>
              <w:right w:val="single" w:sz="4" w:space="0" w:color="000000"/>
            </w:tcBorders>
            <w:vAlign w:val="center"/>
          </w:tcPr>
          <w:p w14:paraId="4CB6B8AD"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0.86</w:t>
            </w:r>
          </w:p>
        </w:tc>
        <w:tc>
          <w:tcPr>
            <w:tcW w:w="955" w:type="pct"/>
            <w:tcBorders>
              <w:top w:val="single" w:sz="4" w:space="0" w:color="000000"/>
              <w:left w:val="single" w:sz="4" w:space="0" w:color="000000"/>
              <w:bottom w:val="single" w:sz="4" w:space="0" w:color="000000"/>
              <w:right w:val="single" w:sz="4" w:space="0" w:color="000000"/>
            </w:tcBorders>
            <w:vAlign w:val="bottom"/>
          </w:tcPr>
          <w:p w14:paraId="18D7A343"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1.06 </w:t>
            </w:r>
          </w:p>
        </w:tc>
      </w:tr>
      <w:tr w:rsidR="00697429" w:rsidRPr="00092862" w14:paraId="58579606"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235F5065"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耕地</w:t>
            </w:r>
          </w:p>
        </w:tc>
        <w:tc>
          <w:tcPr>
            <w:tcW w:w="921" w:type="pct"/>
            <w:tcBorders>
              <w:top w:val="single" w:sz="4" w:space="0" w:color="000000"/>
              <w:left w:val="single" w:sz="4" w:space="0" w:color="000000"/>
              <w:bottom w:val="single" w:sz="4" w:space="0" w:color="000000"/>
              <w:right w:val="single" w:sz="4" w:space="0" w:color="000000"/>
            </w:tcBorders>
            <w:vAlign w:val="bottom"/>
          </w:tcPr>
          <w:p w14:paraId="1A9BF169"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11.3</w:t>
            </w:r>
          </w:p>
        </w:tc>
        <w:tc>
          <w:tcPr>
            <w:tcW w:w="965" w:type="pct"/>
            <w:tcBorders>
              <w:top w:val="single" w:sz="4" w:space="0" w:color="000000"/>
              <w:left w:val="single" w:sz="4" w:space="0" w:color="000000"/>
              <w:bottom w:val="single" w:sz="4" w:space="0" w:color="000000"/>
              <w:right w:val="single" w:sz="4" w:space="0" w:color="000000"/>
            </w:tcBorders>
            <w:vAlign w:val="center"/>
          </w:tcPr>
          <w:p w14:paraId="6B88FDE4"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12.57</w:t>
            </w:r>
          </w:p>
        </w:tc>
        <w:tc>
          <w:tcPr>
            <w:tcW w:w="1175" w:type="pct"/>
            <w:tcBorders>
              <w:top w:val="single" w:sz="4" w:space="0" w:color="000000"/>
              <w:left w:val="single" w:sz="4" w:space="0" w:color="000000"/>
              <w:bottom w:val="single" w:sz="4" w:space="0" w:color="000000"/>
              <w:right w:val="single" w:sz="4" w:space="0" w:color="000000"/>
            </w:tcBorders>
            <w:vAlign w:val="center"/>
          </w:tcPr>
          <w:p w14:paraId="01810F3D"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10.98</w:t>
            </w:r>
          </w:p>
        </w:tc>
        <w:tc>
          <w:tcPr>
            <w:tcW w:w="955" w:type="pct"/>
            <w:tcBorders>
              <w:top w:val="single" w:sz="4" w:space="0" w:color="000000"/>
              <w:left w:val="single" w:sz="4" w:space="0" w:color="000000"/>
              <w:bottom w:val="single" w:sz="4" w:space="0" w:color="000000"/>
              <w:right w:val="single" w:sz="4" w:space="0" w:color="000000"/>
            </w:tcBorders>
            <w:vAlign w:val="bottom"/>
          </w:tcPr>
          <w:p w14:paraId="4F3250EE"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11.46 </w:t>
            </w:r>
          </w:p>
        </w:tc>
      </w:tr>
      <w:tr w:rsidR="00697429" w:rsidRPr="00092862" w14:paraId="30DB5427"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33234823"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河流水面</w:t>
            </w:r>
          </w:p>
        </w:tc>
        <w:tc>
          <w:tcPr>
            <w:tcW w:w="921" w:type="pct"/>
            <w:tcBorders>
              <w:top w:val="single" w:sz="4" w:space="0" w:color="000000"/>
              <w:left w:val="single" w:sz="4" w:space="0" w:color="000000"/>
              <w:bottom w:val="single" w:sz="4" w:space="0" w:color="000000"/>
              <w:right w:val="single" w:sz="4" w:space="0" w:color="000000"/>
            </w:tcBorders>
            <w:vAlign w:val="bottom"/>
          </w:tcPr>
          <w:p w14:paraId="6B932607"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0.12</w:t>
            </w:r>
          </w:p>
        </w:tc>
        <w:tc>
          <w:tcPr>
            <w:tcW w:w="965" w:type="pct"/>
            <w:tcBorders>
              <w:top w:val="single" w:sz="4" w:space="0" w:color="000000"/>
              <w:left w:val="single" w:sz="4" w:space="0" w:color="000000"/>
              <w:bottom w:val="single" w:sz="4" w:space="0" w:color="000000"/>
              <w:right w:val="single" w:sz="4" w:space="0" w:color="000000"/>
            </w:tcBorders>
            <w:vAlign w:val="center"/>
          </w:tcPr>
          <w:p w14:paraId="0726C70B"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0.12</w:t>
            </w:r>
          </w:p>
        </w:tc>
        <w:tc>
          <w:tcPr>
            <w:tcW w:w="1175" w:type="pct"/>
            <w:tcBorders>
              <w:top w:val="single" w:sz="4" w:space="0" w:color="000000"/>
              <w:left w:val="single" w:sz="4" w:space="0" w:color="000000"/>
              <w:bottom w:val="single" w:sz="4" w:space="0" w:color="000000"/>
              <w:right w:val="single" w:sz="4" w:space="0" w:color="000000"/>
            </w:tcBorders>
            <w:vAlign w:val="center"/>
          </w:tcPr>
          <w:p w14:paraId="75AEA511"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0.1</w:t>
            </w:r>
          </w:p>
        </w:tc>
        <w:tc>
          <w:tcPr>
            <w:tcW w:w="955" w:type="pct"/>
            <w:tcBorders>
              <w:top w:val="single" w:sz="4" w:space="0" w:color="000000"/>
              <w:left w:val="single" w:sz="4" w:space="0" w:color="000000"/>
              <w:bottom w:val="single" w:sz="4" w:space="0" w:color="000000"/>
              <w:right w:val="single" w:sz="4" w:space="0" w:color="000000"/>
            </w:tcBorders>
            <w:vAlign w:val="bottom"/>
          </w:tcPr>
          <w:p w14:paraId="47FF8698"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0.11 </w:t>
            </w:r>
          </w:p>
        </w:tc>
      </w:tr>
      <w:tr w:rsidR="00697429" w:rsidRPr="00092862" w14:paraId="59C7FB36" w14:textId="77777777" w:rsidTr="00A364AF">
        <w:trPr>
          <w:trHeight w:hRule="exact" w:val="340"/>
          <w:jc w:val="center"/>
        </w:trPr>
        <w:tc>
          <w:tcPr>
            <w:tcW w:w="984" w:type="pct"/>
            <w:tcBorders>
              <w:top w:val="single" w:sz="4" w:space="0" w:color="000000"/>
              <w:left w:val="single" w:sz="4" w:space="0" w:color="000000"/>
              <w:bottom w:val="single" w:sz="4" w:space="0" w:color="000000"/>
              <w:right w:val="single" w:sz="4" w:space="0" w:color="000000"/>
            </w:tcBorders>
            <w:vAlign w:val="bottom"/>
          </w:tcPr>
          <w:p w14:paraId="69383B53"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人工生态系统</w:t>
            </w:r>
          </w:p>
        </w:tc>
        <w:tc>
          <w:tcPr>
            <w:tcW w:w="921" w:type="pct"/>
            <w:tcBorders>
              <w:top w:val="single" w:sz="4" w:space="0" w:color="000000"/>
              <w:left w:val="single" w:sz="4" w:space="0" w:color="000000"/>
              <w:bottom w:val="single" w:sz="4" w:space="0" w:color="000000"/>
              <w:right w:val="single" w:sz="4" w:space="0" w:color="000000"/>
            </w:tcBorders>
            <w:vAlign w:val="bottom"/>
          </w:tcPr>
          <w:p w14:paraId="2D48D338"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8.14</w:t>
            </w:r>
          </w:p>
        </w:tc>
        <w:tc>
          <w:tcPr>
            <w:tcW w:w="965" w:type="pct"/>
            <w:tcBorders>
              <w:top w:val="single" w:sz="4" w:space="0" w:color="000000"/>
              <w:left w:val="single" w:sz="4" w:space="0" w:color="000000"/>
              <w:bottom w:val="single" w:sz="4" w:space="0" w:color="000000"/>
              <w:right w:val="single" w:sz="4" w:space="0" w:color="000000"/>
            </w:tcBorders>
            <w:vAlign w:val="center"/>
          </w:tcPr>
          <w:p w14:paraId="5DDBCCAE"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2.84</w:t>
            </w:r>
          </w:p>
        </w:tc>
        <w:tc>
          <w:tcPr>
            <w:tcW w:w="1175" w:type="pct"/>
            <w:tcBorders>
              <w:top w:val="single" w:sz="4" w:space="0" w:color="000000"/>
              <w:left w:val="single" w:sz="4" w:space="0" w:color="000000"/>
              <w:bottom w:val="single" w:sz="4" w:space="0" w:color="000000"/>
              <w:right w:val="single" w:sz="4" w:space="0" w:color="000000"/>
            </w:tcBorders>
            <w:vAlign w:val="center"/>
          </w:tcPr>
          <w:p w14:paraId="54481809"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2.69</w:t>
            </w:r>
          </w:p>
        </w:tc>
        <w:tc>
          <w:tcPr>
            <w:tcW w:w="955" w:type="pct"/>
            <w:tcBorders>
              <w:top w:val="single" w:sz="4" w:space="0" w:color="000000"/>
              <w:left w:val="single" w:sz="4" w:space="0" w:color="000000"/>
              <w:bottom w:val="single" w:sz="4" w:space="0" w:color="000000"/>
              <w:right w:val="single" w:sz="4" w:space="0" w:color="000000"/>
            </w:tcBorders>
            <w:vAlign w:val="bottom"/>
          </w:tcPr>
          <w:p w14:paraId="6CCEEF87" w14:textId="77777777" w:rsidR="009E4715" w:rsidRPr="00092862" w:rsidRDefault="009E4715" w:rsidP="00092862">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4.09 </w:t>
            </w:r>
          </w:p>
        </w:tc>
      </w:tr>
    </w:tbl>
    <w:p w14:paraId="67FD397B" w14:textId="77777777" w:rsidR="009E4715" w:rsidRPr="00092862" w:rsidRDefault="009E4715" w:rsidP="00092862">
      <w:pPr>
        <w:spacing w:line="154" w:lineRule="exact"/>
        <w:rPr>
          <w:rFonts w:ascii="Times New Roman" w:eastAsia="宋体" w:hAnsi="Times New Roman" w:cs="Times New Roman"/>
          <w:color w:val="000000" w:themeColor="text1"/>
          <w:szCs w:val="24"/>
        </w:rPr>
      </w:pPr>
    </w:p>
    <w:p w14:paraId="78930EFA"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从</w:t>
      </w:r>
      <w:r w:rsidRPr="00092862">
        <w:rPr>
          <w:rFonts w:ascii="Times New Roman" w:eastAsia="宋体" w:hAnsi="Times New Roman" w:cs="Times New Roman"/>
          <w:color w:val="000000" w:themeColor="text1"/>
          <w:sz w:val="24"/>
          <w:szCs w:val="24"/>
        </w:rPr>
        <w:t>4.3-15</w:t>
      </w:r>
      <w:r w:rsidRPr="00092862">
        <w:rPr>
          <w:rFonts w:ascii="Times New Roman" w:eastAsia="宋体" w:hAnsi="Times New Roman" w:cs="Times New Roman"/>
          <w:color w:val="000000" w:themeColor="text1"/>
          <w:sz w:val="24"/>
          <w:szCs w:val="24"/>
        </w:rPr>
        <w:t>可以看出，在本次评价区域，各类拼块的优势度值差异较大，具有一定连通度，但它们之间都存在一定差异。其中森林拼块的优势度</w:t>
      </w:r>
      <w:r w:rsidRPr="00092862">
        <w:rPr>
          <w:rFonts w:ascii="Times New Roman" w:eastAsia="宋体" w:hAnsi="Times New Roman" w:cs="Times New Roman"/>
          <w:color w:val="000000" w:themeColor="text1"/>
          <w:sz w:val="24"/>
          <w:szCs w:val="24"/>
        </w:rPr>
        <w:t>Do</w:t>
      </w:r>
      <w:r w:rsidRPr="00092862">
        <w:rPr>
          <w:rFonts w:ascii="Times New Roman" w:eastAsia="宋体" w:hAnsi="Times New Roman" w:cs="Times New Roman"/>
          <w:color w:val="000000" w:themeColor="text1"/>
          <w:sz w:val="24"/>
          <w:szCs w:val="24"/>
        </w:rPr>
        <w:t>值最高，为</w:t>
      </w:r>
      <w:r w:rsidRPr="00092862">
        <w:rPr>
          <w:rFonts w:ascii="Times New Roman" w:eastAsia="宋体" w:hAnsi="Times New Roman" w:cs="Times New Roman"/>
          <w:color w:val="000000" w:themeColor="text1"/>
          <w:sz w:val="24"/>
          <w:szCs w:val="24"/>
        </w:rPr>
        <w:t>82.13%</w:t>
      </w:r>
      <w:r w:rsidRPr="00092862">
        <w:rPr>
          <w:rFonts w:ascii="Times New Roman" w:eastAsia="宋体" w:hAnsi="Times New Roman" w:cs="Times New Roman"/>
          <w:color w:val="000000" w:themeColor="text1"/>
          <w:sz w:val="24"/>
          <w:szCs w:val="24"/>
        </w:rPr>
        <w:t>，景观比例</w:t>
      </w:r>
      <w:r w:rsidRPr="00092862">
        <w:rPr>
          <w:rFonts w:ascii="Times New Roman" w:eastAsia="宋体" w:hAnsi="Times New Roman" w:cs="Times New Roman"/>
          <w:color w:val="000000" w:themeColor="text1"/>
          <w:sz w:val="24"/>
          <w:szCs w:val="24"/>
        </w:rPr>
        <w:t>Lp</w:t>
      </w:r>
      <w:r w:rsidRPr="00092862">
        <w:rPr>
          <w:rFonts w:ascii="Times New Roman" w:eastAsia="宋体" w:hAnsi="Times New Roman" w:cs="Times New Roman"/>
          <w:color w:val="000000" w:themeColor="text1"/>
          <w:sz w:val="24"/>
          <w:szCs w:val="24"/>
        </w:rPr>
        <w:t>为</w:t>
      </w:r>
      <w:r w:rsidRPr="00092862">
        <w:rPr>
          <w:rFonts w:ascii="Times New Roman" w:eastAsia="宋体" w:hAnsi="Times New Roman" w:cs="Times New Roman"/>
          <w:color w:val="000000" w:themeColor="text1"/>
          <w:sz w:val="24"/>
          <w:szCs w:val="24"/>
        </w:rPr>
        <w:t>83.24%</w:t>
      </w:r>
      <w:r w:rsidRPr="00092862">
        <w:rPr>
          <w:rFonts w:ascii="Times New Roman" w:eastAsia="宋体" w:hAnsi="Times New Roman" w:cs="Times New Roman"/>
          <w:color w:val="000000" w:themeColor="text1"/>
          <w:sz w:val="24"/>
          <w:szCs w:val="24"/>
        </w:rPr>
        <w:t>，出现的频率为</w:t>
      </w:r>
      <w:r w:rsidRPr="00092862">
        <w:rPr>
          <w:rFonts w:ascii="Times New Roman" w:eastAsia="宋体" w:hAnsi="Times New Roman" w:cs="Times New Roman"/>
          <w:color w:val="000000" w:themeColor="text1"/>
          <w:sz w:val="24"/>
          <w:szCs w:val="24"/>
        </w:rPr>
        <w:t>86.37%</w:t>
      </w:r>
      <w:r w:rsidRPr="00092862">
        <w:rPr>
          <w:rFonts w:ascii="Times New Roman" w:eastAsia="宋体" w:hAnsi="Times New Roman" w:cs="Times New Roman"/>
          <w:color w:val="000000" w:themeColor="text1"/>
          <w:sz w:val="24"/>
          <w:szCs w:val="24"/>
        </w:rPr>
        <w:t>；其次是耕地拼块，优势度</w:t>
      </w:r>
      <w:r w:rsidRPr="00092862">
        <w:rPr>
          <w:rFonts w:ascii="Times New Roman" w:eastAsia="宋体" w:hAnsi="Times New Roman" w:cs="Times New Roman"/>
          <w:color w:val="000000" w:themeColor="text1"/>
          <w:sz w:val="24"/>
          <w:szCs w:val="24"/>
        </w:rPr>
        <w:t>Do</w:t>
      </w:r>
      <w:r w:rsidRPr="00092862">
        <w:rPr>
          <w:rFonts w:ascii="Times New Roman" w:eastAsia="宋体" w:hAnsi="Times New Roman" w:cs="Times New Roman"/>
          <w:color w:val="000000" w:themeColor="text1"/>
          <w:sz w:val="24"/>
          <w:szCs w:val="24"/>
        </w:rPr>
        <w:t>值</w:t>
      </w:r>
      <w:r w:rsidRPr="00092862">
        <w:rPr>
          <w:rFonts w:ascii="Times New Roman" w:eastAsia="宋体" w:hAnsi="Times New Roman" w:cs="Times New Roman"/>
          <w:color w:val="000000" w:themeColor="text1"/>
          <w:sz w:val="24"/>
          <w:szCs w:val="24"/>
        </w:rPr>
        <w:t>11.46%</w:t>
      </w:r>
      <w:r w:rsidRPr="00092862">
        <w:rPr>
          <w:rFonts w:ascii="Times New Roman" w:eastAsia="宋体" w:hAnsi="Times New Roman" w:cs="Times New Roman"/>
          <w:color w:val="000000" w:themeColor="text1"/>
          <w:sz w:val="24"/>
          <w:szCs w:val="24"/>
        </w:rPr>
        <w:t>，景观比例</w:t>
      </w:r>
      <w:r w:rsidRPr="00092862">
        <w:rPr>
          <w:rFonts w:ascii="Times New Roman" w:eastAsia="宋体" w:hAnsi="Times New Roman" w:cs="Times New Roman"/>
          <w:color w:val="000000" w:themeColor="text1"/>
          <w:sz w:val="24"/>
          <w:szCs w:val="24"/>
        </w:rPr>
        <w:t>Lp</w:t>
      </w:r>
      <w:r w:rsidRPr="00092862">
        <w:rPr>
          <w:rFonts w:ascii="Times New Roman" w:eastAsia="宋体" w:hAnsi="Times New Roman" w:cs="Times New Roman"/>
          <w:color w:val="000000" w:themeColor="text1"/>
          <w:sz w:val="24"/>
          <w:szCs w:val="24"/>
        </w:rPr>
        <w:t>为</w:t>
      </w:r>
      <w:r w:rsidRPr="00092862">
        <w:rPr>
          <w:rFonts w:ascii="Times New Roman" w:eastAsia="宋体" w:hAnsi="Times New Roman" w:cs="Times New Roman"/>
          <w:color w:val="000000" w:themeColor="text1"/>
          <w:sz w:val="24"/>
          <w:szCs w:val="24"/>
        </w:rPr>
        <w:t>10.98%</w:t>
      </w:r>
      <w:r w:rsidRPr="00092862">
        <w:rPr>
          <w:rFonts w:ascii="Times New Roman" w:eastAsia="宋体" w:hAnsi="Times New Roman" w:cs="Times New Roman"/>
          <w:color w:val="000000" w:themeColor="text1"/>
          <w:sz w:val="24"/>
          <w:szCs w:val="24"/>
        </w:rPr>
        <w:t>，出现的频率</w:t>
      </w:r>
      <w:r w:rsidRPr="00092862">
        <w:rPr>
          <w:rFonts w:ascii="Times New Roman" w:eastAsia="宋体" w:hAnsi="Times New Roman" w:cs="Times New Roman"/>
          <w:color w:val="000000" w:themeColor="text1"/>
          <w:sz w:val="24"/>
          <w:szCs w:val="24"/>
        </w:rPr>
        <w:t>Rf</w:t>
      </w:r>
      <w:r w:rsidRPr="00092862">
        <w:rPr>
          <w:rFonts w:ascii="Times New Roman" w:eastAsia="宋体" w:hAnsi="Times New Roman" w:cs="Times New Roman"/>
          <w:color w:val="000000" w:themeColor="text1"/>
          <w:sz w:val="24"/>
          <w:szCs w:val="24"/>
        </w:rPr>
        <w:t>为</w:t>
      </w:r>
      <w:r w:rsidRPr="00092862">
        <w:rPr>
          <w:rFonts w:ascii="Times New Roman" w:eastAsia="宋体" w:hAnsi="Times New Roman" w:cs="Times New Roman"/>
          <w:color w:val="000000" w:themeColor="text1"/>
          <w:sz w:val="24"/>
          <w:szCs w:val="24"/>
        </w:rPr>
        <w:t>12.57%</w:t>
      </w:r>
      <w:r w:rsidRPr="00092862">
        <w:rPr>
          <w:rFonts w:ascii="Times New Roman" w:eastAsia="宋体" w:hAnsi="Times New Roman" w:cs="Times New Roman"/>
          <w:color w:val="000000" w:themeColor="text1"/>
          <w:sz w:val="24"/>
          <w:szCs w:val="24"/>
        </w:rPr>
        <w:t>，其他拼块所占比较均低于</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w:t>
      </w:r>
    </w:p>
    <w:p w14:paraId="3CB29138" w14:textId="77777777" w:rsidR="009E4715" w:rsidRPr="00092862" w:rsidRDefault="009E4715" w:rsidP="00092862">
      <w:pPr>
        <w:keepNext/>
        <w:keepLines/>
        <w:adjustRightInd w:val="0"/>
        <w:snapToGrid w:val="0"/>
        <w:spacing w:line="360" w:lineRule="auto"/>
        <w:jc w:val="left"/>
        <w:outlineLvl w:val="2"/>
        <w:rPr>
          <w:rFonts w:ascii="Times New Roman" w:eastAsia="宋体" w:hAnsi="Times New Roman" w:cs="Times New Roman"/>
          <w:b/>
          <w:bCs/>
          <w:color w:val="000000" w:themeColor="text1"/>
          <w:kern w:val="0"/>
          <w:sz w:val="24"/>
          <w:szCs w:val="24"/>
        </w:rPr>
      </w:pPr>
      <w:bookmarkStart w:id="189" w:name="_Toc8062"/>
      <w:r w:rsidRPr="00092862">
        <w:rPr>
          <w:rFonts w:ascii="Times New Roman" w:eastAsia="宋体" w:hAnsi="Times New Roman" w:cs="Times New Roman"/>
          <w:b/>
          <w:bCs/>
          <w:color w:val="000000" w:themeColor="text1"/>
          <w:kern w:val="0"/>
          <w:sz w:val="24"/>
          <w:szCs w:val="24"/>
        </w:rPr>
        <w:t>4.3.7</w:t>
      </w:r>
      <w:r w:rsidRPr="00092862">
        <w:rPr>
          <w:rFonts w:ascii="Times New Roman" w:eastAsia="宋体" w:hAnsi="Times New Roman" w:cs="Times New Roman"/>
          <w:b/>
          <w:bCs/>
          <w:color w:val="000000" w:themeColor="text1"/>
          <w:kern w:val="0"/>
          <w:sz w:val="24"/>
          <w:szCs w:val="24"/>
        </w:rPr>
        <w:t>生态系统类型调查与评价</w:t>
      </w:r>
      <w:bookmarkEnd w:id="189"/>
    </w:p>
    <w:p w14:paraId="2979E9B0" w14:textId="77777777" w:rsidR="009E4715" w:rsidRPr="00092862" w:rsidRDefault="009E4715" w:rsidP="00A364A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地形地貌、土地利用类型以及植被类型的不同，将评价范围内生态系统划分为不同的类型。调查显示，评价范围内生态系统类型主要包括针叶林生态系统、阔叶林生态系统、阔叶灌丛生态系统、草丛生态系统、河流生态系统、湖泊生态系统、耕地生态系统、居住地生态系统、工矿交通生态系统。生态系统整体开发强度大，区域内森林多为人工林，少量为次生林。</w:t>
      </w:r>
    </w:p>
    <w:p w14:paraId="6D0B801D" w14:textId="77777777" w:rsidR="00A364AF" w:rsidRPr="00092862" w:rsidRDefault="009E4715" w:rsidP="00A364A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根据现场调查，评价范围内的森林生态系统占绝对优势，面积</w:t>
      </w:r>
      <w:r w:rsidRPr="00092862">
        <w:rPr>
          <w:rFonts w:ascii="Times New Roman" w:eastAsia="宋体" w:hAnsi="Times New Roman" w:cs="Times New Roman"/>
          <w:bCs/>
          <w:color w:val="000000" w:themeColor="text1"/>
          <w:sz w:val="24"/>
          <w:szCs w:val="24"/>
        </w:rPr>
        <w:t>1136.67hm</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，占比</w:t>
      </w:r>
      <w:r w:rsidRPr="00092862">
        <w:rPr>
          <w:rFonts w:ascii="Times New Roman" w:eastAsia="宋体" w:hAnsi="Times New Roman" w:cs="Times New Roman"/>
          <w:bCs/>
          <w:color w:val="000000" w:themeColor="text1"/>
          <w:sz w:val="24"/>
          <w:szCs w:val="24"/>
        </w:rPr>
        <w:t>82.94%</w:t>
      </w:r>
      <w:r w:rsidRPr="00092862">
        <w:rPr>
          <w:rFonts w:ascii="Times New Roman" w:eastAsia="宋体" w:hAnsi="Times New Roman" w:cs="Times New Roman"/>
          <w:bCs/>
          <w:color w:val="000000" w:themeColor="text1"/>
          <w:sz w:val="24"/>
          <w:szCs w:val="24"/>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14:paraId="2EC0A1F7" w14:textId="7D2AC66F" w:rsidR="009E4715" w:rsidRPr="00092862" w:rsidRDefault="009E4715" w:rsidP="00A364A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评价区生态系统类型分布特征及解译结果见下表。</w:t>
      </w:r>
    </w:p>
    <w:p w14:paraId="2F124777"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4.3-16 </w:t>
      </w:r>
      <w:r w:rsidRPr="00092862">
        <w:rPr>
          <w:rFonts w:ascii="Times New Roman" w:eastAsia="宋体" w:hAnsi="Times New Roman" w:cs="Times New Roman"/>
          <w:b/>
          <w:color w:val="000000" w:themeColor="text1"/>
          <w:kern w:val="0"/>
          <w:szCs w:val="24"/>
        </w:rPr>
        <w:t>生态系统类型面积统计表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24"/>
        <w:gridCol w:w="2737"/>
        <w:gridCol w:w="2639"/>
      </w:tblGrid>
      <w:tr w:rsidR="00697429" w:rsidRPr="00092862" w14:paraId="4D9D2CE5" w14:textId="77777777" w:rsidTr="00A364AF">
        <w:trPr>
          <w:trHeight w:hRule="exact" w:val="397"/>
          <w:jc w:val="center"/>
        </w:trPr>
        <w:tc>
          <w:tcPr>
            <w:tcW w:w="1761" w:type="pct"/>
            <w:vMerge w:val="restart"/>
            <w:shd w:val="clear" w:color="auto" w:fill="auto"/>
            <w:noWrap/>
            <w:vAlign w:val="center"/>
          </w:tcPr>
          <w:p w14:paraId="6B4C65B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生态系统类型</w:t>
            </w:r>
          </w:p>
        </w:tc>
        <w:tc>
          <w:tcPr>
            <w:tcW w:w="3239" w:type="pct"/>
            <w:gridSpan w:val="2"/>
            <w:shd w:val="clear" w:color="000000" w:fill="FFFFFF"/>
            <w:noWrap/>
            <w:vAlign w:val="center"/>
          </w:tcPr>
          <w:p w14:paraId="6CE5F963"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评价区范围</w:t>
            </w:r>
          </w:p>
        </w:tc>
      </w:tr>
      <w:tr w:rsidR="00697429" w:rsidRPr="00092862" w14:paraId="575568EE" w14:textId="77777777" w:rsidTr="00A364AF">
        <w:trPr>
          <w:trHeight w:hRule="exact" w:val="397"/>
          <w:jc w:val="center"/>
        </w:trPr>
        <w:tc>
          <w:tcPr>
            <w:tcW w:w="1761" w:type="pct"/>
            <w:vMerge/>
            <w:shd w:val="clear" w:color="auto" w:fill="auto"/>
            <w:vAlign w:val="center"/>
          </w:tcPr>
          <w:p w14:paraId="21D0369E"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p>
        </w:tc>
        <w:tc>
          <w:tcPr>
            <w:tcW w:w="1649" w:type="pct"/>
            <w:shd w:val="clear" w:color="000000" w:fill="FFFFFF"/>
            <w:noWrap/>
            <w:vAlign w:val="center"/>
          </w:tcPr>
          <w:p w14:paraId="4BCC14AE"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面积（</w:t>
            </w:r>
            <w:r w:rsidRPr="00092862">
              <w:rPr>
                <w:rFonts w:ascii="Times New Roman" w:eastAsia="宋体" w:hAnsi="Times New Roman" w:cs="Times New Roman"/>
                <w:color w:val="000000" w:themeColor="text1"/>
                <w:kern w:val="0"/>
                <w:szCs w:val="21"/>
                <w:lang w:bidi="ar"/>
              </w:rPr>
              <w:t>hm</w:t>
            </w:r>
            <w:r w:rsidRPr="00092862">
              <w:rPr>
                <w:rFonts w:ascii="Times New Roman" w:eastAsia="宋体" w:hAnsi="Times New Roman" w:cs="Times New Roman"/>
                <w:color w:val="000000" w:themeColor="text1"/>
                <w:kern w:val="0"/>
                <w:szCs w:val="21"/>
                <w:vertAlign w:val="superscript"/>
                <w:lang w:bidi="ar"/>
              </w:rPr>
              <w:t>2</w:t>
            </w:r>
            <w:r w:rsidRPr="00092862">
              <w:rPr>
                <w:rFonts w:ascii="Times New Roman" w:eastAsia="宋体" w:hAnsi="Times New Roman" w:cs="Times New Roman"/>
                <w:color w:val="000000" w:themeColor="text1"/>
                <w:kern w:val="0"/>
                <w:szCs w:val="21"/>
                <w:lang w:bidi="ar"/>
              </w:rPr>
              <w:t>）</w:t>
            </w:r>
          </w:p>
        </w:tc>
        <w:tc>
          <w:tcPr>
            <w:tcW w:w="1589" w:type="pct"/>
            <w:shd w:val="clear" w:color="000000" w:fill="FFFFFF"/>
            <w:noWrap/>
            <w:vAlign w:val="center"/>
          </w:tcPr>
          <w:p w14:paraId="6F42236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占比（</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r>
      <w:tr w:rsidR="00697429" w:rsidRPr="00092862" w14:paraId="24CB7013" w14:textId="77777777" w:rsidTr="00A364AF">
        <w:trPr>
          <w:trHeight w:hRule="exact" w:val="397"/>
          <w:jc w:val="center"/>
        </w:trPr>
        <w:tc>
          <w:tcPr>
            <w:tcW w:w="1761" w:type="pct"/>
            <w:shd w:val="clear" w:color="auto" w:fill="auto"/>
            <w:noWrap/>
            <w:vAlign w:val="center"/>
          </w:tcPr>
          <w:p w14:paraId="02A760FC"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森林生态系统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针叶林</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6A4053F3"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681.15 </w:t>
            </w:r>
          </w:p>
        </w:tc>
        <w:tc>
          <w:tcPr>
            <w:tcW w:w="1589" w:type="pct"/>
            <w:shd w:val="clear" w:color="000000" w:fill="FFFFFF"/>
            <w:noWrap/>
            <w:vAlign w:val="center"/>
          </w:tcPr>
          <w:p w14:paraId="40E17828"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49.70 </w:t>
            </w:r>
          </w:p>
        </w:tc>
      </w:tr>
      <w:tr w:rsidR="00697429" w:rsidRPr="00092862" w14:paraId="0D7DE7C9" w14:textId="77777777" w:rsidTr="00A364AF">
        <w:trPr>
          <w:trHeight w:hRule="exact" w:val="397"/>
          <w:jc w:val="center"/>
        </w:trPr>
        <w:tc>
          <w:tcPr>
            <w:tcW w:w="1761" w:type="pct"/>
            <w:shd w:val="clear" w:color="auto" w:fill="auto"/>
            <w:noWrap/>
            <w:vAlign w:val="center"/>
          </w:tcPr>
          <w:p w14:paraId="2B973EB4"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森林生态系统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阔叶林</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644D42E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455.53 </w:t>
            </w:r>
          </w:p>
        </w:tc>
        <w:tc>
          <w:tcPr>
            <w:tcW w:w="1589" w:type="pct"/>
            <w:shd w:val="clear" w:color="000000" w:fill="FFFFFF"/>
            <w:noWrap/>
            <w:vAlign w:val="center"/>
          </w:tcPr>
          <w:p w14:paraId="030C64A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33.24 </w:t>
            </w:r>
          </w:p>
        </w:tc>
      </w:tr>
      <w:tr w:rsidR="00697429" w:rsidRPr="00092862" w14:paraId="27D0FD6A" w14:textId="77777777" w:rsidTr="00A364AF">
        <w:trPr>
          <w:trHeight w:hRule="exact" w:val="397"/>
          <w:jc w:val="center"/>
        </w:trPr>
        <w:tc>
          <w:tcPr>
            <w:tcW w:w="1761" w:type="pct"/>
            <w:shd w:val="clear" w:color="auto" w:fill="auto"/>
            <w:noWrap/>
            <w:vAlign w:val="bottom"/>
          </w:tcPr>
          <w:p w14:paraId="3231B55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灌丛生态系统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阔叶灌丛</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380647E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29.11 </w:t>
            </w:r>
          </w:p>
        </w:tc>
        <w:tc>
          <w:tcPr>
            <w:tcW w:w="1589" w:type="pct"/>
            <w:shd w:val="clear" w:color="000000" w:fill="FFFFFF"/>
            <w:noWrap/>
            <w:vAlign w:val="center"/>
          </w:tcPr>
          <w:p w14:paraId="64017ACD"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2.12 </w:t>
            </w:r>
          </w:p>
        </w:tc>
      </w:tr>
      <w:tr w:rsidR="00697429" w:rsidRPr="00092862" w14:paraId="0C34B8A1" w14:textId="77777777" w:rsidTr="00A364AF">
        <w:trPr>
          <w:trHeight w:hRule="exact" w:val="397"/>
          <w:jc w:val="center"/>
        </w:trPr>
        <w:tc>
          <w:tcPr>
            <w:tcW w:w="1761" w:type="pct"/>
            <w:shd w:val="clear" w:color="auto" w:fill="auto"/>
            <w:noWrap/>
            <w:vAlign w:val="bottom"/>
          </w:tcPr>
          <w:p w14:paraId="1796976A"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草地生态系统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草丛</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073B711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11.71 </w:t>
            </w:r>
          </w:p>
        </w:tc>
        <w:tc>
          <w:tcPr>
            <w:tcW w:w="1589" w:type="pct"/>
            <w:shd w:val="clear" w:color="000000" w:fill="FFFFFF"/>
            <w:noWrap/>
            <w:vAlign w:val="center"/>
          </w:tcPr>
          <w:p w14:paraId="0E6D2518"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0.85 </w:t>
            </w:r>
          </w:p>
        </w:tc>
      </w:tr>
      <w:tr w:rsidR="00697429" w:rsidRPr="00092862" w14:paraId="2A6E9103" w14:textId="77777777" w:rsidTr="00A364AF">
        <w:trPr>
          <w:trHeight w:hRule="exact" w:val="397"/>
          <w:jc w:val="center"/>
        </w:trPr>
        <w:tc>
          <w:tcPr>
            <w:tcW w:w="1761" w:type="pct"/>
            <w:shd w:val="clear" w:color="auto" w:fill="auto"/>
            <w:noWrap/>
            <w:vAlign w:val="bottom"/>
          </w:tcPr>
          <w:p w14:paraId="5D9BA0B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湿地生态系统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河流</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3671C7CD"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0.30 </w:t>
            </w:r>
          </w:p>
        </w:tc>
        <w:tc>
          <w:tcPr>
            <w:tcW w:w="1589" w:type="pct"/>
            <w:shd w:val="clear" w:color="000000" w:fill="FFFFFF"/>
            <w:noWrap/>
            <w:vAlign w:val="center"/>
          </w:tcPr>
          <w:p w14:paraId="460AE13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0.02 </w:t>
            </w:r>
          </w:p>
        </w:tc>
      </w:tr>
      <w:tr w:rsidR="00697429" w:rsidRPr="00092862" w14:paraId="21172F34" w14:textId="77777777" w:rsidTr="00A364AF">
        <w:trPr>
          <w:trHeight w:hRule="exact" w:val="397"/>
          <w:jc w:val="center"/>
        </w:trPr>
        <w:tc>
          <w:tcPr>
            <w:tcW w:w="1761" w:type="pct"/>
            <w:shd w:val="clear" w:color="auto" w:fill="auto"/>
            <w:noWrap/>
            <w:vAlign w:val="bottom"/>
          </w:tcPr>
          <w:p w14:paraId="6EBDE30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湿地生态系统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湖泊</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05BA58B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1.05 </w:t>
            </w:r>
          </w:p>
        </w:tc>
        <w:tc>
          <w:tcPr>
            <w:tcW w:w="1589" w:type="pct"/>
            <w:shd w:val="clear" w:color="000000" w:fill="FFFFFF"/>
            <w:noWrap/>
            <w:vAlign w:val="center"/>
          </w:tcPr>
          <w:p w14:paraId="58E9EC32"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0.08 </w:t>
            </w:r>
          </w:p>
        </w:tc>
      </w:tr>
      <w:tr w:rsidR="00697429" w:rsidRPr="00092862" w14:paraId="6BE96D75" w14:textId="77777777" w:rsidTr="00A364AF">
        <w:trPr>
          <w:trHeight w:hRule="exact" w:val="397"/>
          <w:jc w:val="center"/>
        </w:trPr>
        <w:tc>
          <w:tcPr>
            <w:tcW w:w="1761" w:type="pct"/>
            <w:shd w:val="clear" w:color="auto" w:fill="auto"/>
            <w:noWrap/>
            <w:vAlign w:val="bottom"/>
          </w:tcPr>
          <w:p w14:paraId="117AAD18"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农田生态系统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耕地</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2A4F24F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159.05</w:t>
            </w:r>
          </w:p>
        </w:tc>
        <w:tc>
          <w:tcPr>
            <w:tcW w:w="1589" w:type="pct"/>
            <w:shd w:val="clear" w:color="000000" w:fill="FFFFFF"/>
            <w:noWrap/>
            <w:vAlign w:val="center"/>
          </w:tcPr>
          <w:p w14:paraId="394A213A"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11.61</w:t>
            </w:r>
          </w:p>
        </w:tc>
      </w:tr>
      <w:tr w:rsidR="00697429" w:rsidRPr="00092862" w14:paraId="43CB536D" w14:textId="77777777" w:rsidTr="00A364AF">
        <w:trPr>
          <w:trHeight w:hRule="exact" w:val="397"/>
          <w:jc w:val="center"/>
        </w:trPr>
        <w:tc>
          <w:tcPr>
            <w:tcW w:w="1761" w:type="pct"/>
            <w:shd w:val="clear" w:color="auto" w:fill="auto"/>
            <w:noWrap/>
            <w:vAlign w:val="bottom"/>
          </w:tcPr>
          <w:p w14:paraId="751914F7"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lastRenderedPageBreak/>
              <w:t>城镇生态系统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居住地</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5E46447C"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12.86 </w:t>
            </w:r>
          </w:p>
        </w:tc>
        <w:tc>
          <w:tcPr>
            <w:tcW w:w="1589" w:type="pct"/>
            <w:shd w:val="clear" w:color="000000" w:fill="FFFFFF"/>
            <w:noWrap/>
            <w:vAlign w:val="center"/>
          </w:tcPr>
          <w:p w14:paraId="48BE338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0.94 </w:t>
            </w:r>
          </w:p>
        </w:tc>
      </w:tr>
      <w:tr w:rsidR="00697429" w:rsidRPr="00092862" w14:paraId="78F8FA62" w14:textId="77777777" w:rsidTr="00A364AF">
        <w:trPr>
          <w:trHeight w:hRule="exact" w:val="397"/>
          <w:jc w:val="center"/>
        </w:trPr>
        <w:tc>
          <w:tcPr>
            <w:tcW w:w="1761" w:type="pct"/>
            <w:shd w:val="clear" w:color="auto" w:fill="auto"/>
            <w:noWrap/>
            <w:vAlign w:val="bottom"/>
          </w:tcPr>
          <w:p w14:paraId="6A4C5BD4"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城镇生态系统</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工矿交通</w:t>
            </w:r>
            <w:r w:rsidRPr="00092862">
              <w:rPr>
                <w:rFonts w:ascii="Times New Roman" w:eastAsia="宋体" w:hAnsi="Times New Roman" w:cs="Times New Roman"/>
                <w:color w:val="000000" w:themeColor="text1"/>
                <w:kern w:val="0"/>
                <w:szCs w:val="21"/>
                <w:lang w:bidi="ar"/>
              </w:rPr>
              <w:t>)</w:t>
            </w:r>
          </w:p>
        </w:tc>
        <w:tc>
          <w:tcPr>
            <w:tcW w:w="1649" w:type="pct"/>
            <w:shd w:val="clear" w:color="000000" w:fill="FFFFFF"/>
            <w:noWrap/>
            <w:vAlign w:val="center"/>
          </w:tcPr>
          <w:p w14:paraId="0E6BCF0D"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19.77</w:t>
            </w:r>
          </w:p>
        </w:tc>
        <w:tc>
          <w:tcPr>
            <w:tcW w:w="1589" w:type="pct"/>
            <w:shd w:val="clear" w:color="000000" w:fill="FFFFFF"/>
            <w:noWrap/>
            <w:vAlign w:val="center"/>
          </w:tcPr>
          <w:p w14:paraId="58F2E2F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1.44</w:t>
            </w:r>
          </w:p>
        </w:tc>
      </w:tr>
      <w:tr w:rsidR="00697429" w:rsidRPr="00092862" w14:paraId="538EF7F3" w14:textId="77777777" w:rsidTr="00A364AF">
        <w:trPr>
          <w:trHeight w:hRule="exact" w:val="397"/>
          <w:jc w:val="center"/>
        </w:trPr>
        <w:tc>
          <w:tcPr>
            <w:tcW w:w="1761" w:type="pct"/>
            <w:shd w:val="clear" w:color="auto" w:fill="auto"/>
            <w:noWrap/>
            <w:vAlign w:val="bottom"/>
          </w:tcPr>
          <w:p w14:paraId="02AA82B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合计</w:t>
            </w:r>
          </w:p>
        </w:tc>
        <w:tc>
          <w:tcPr>
            <w:tcW w:w="1649" w:type="pct"/>
            <w:shd w:val="clear" w:color="000000" w:fill="FFFFFF"/>
            <w:noWrap/>
            <w:vAlign w:val="center"/>
          </w:tcPr>
          <w:p w14:paraId="62650C07"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1370.53 </w:t>
            </w:r>
          </w:p>
        </w:tc>
        <w:tc>
          <w:tcPr>
            <w:tcW w:w="1589" w:type="pct"/>
            <w:shd w:val="clear" w:color="000000" w:fill="FFFFFF"/>
            <w:noWrap/>
            <w:vAlign w:val="center"/>
          </w:tcPr>
          <w:p w14:paraId="598B642D"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100.00 </w:t>
            </w:r>
          </w:p>
        </w:tc>
      </w:tr>
    </w:tbl>
    <w:p w14:paraId="2ECB0ACE" w14:textId="77777777" w:rsidR="009E4715" w:rsidRPr="00092862" w:rsidRDefault="009E4715" w:rsidP="00092862">
      <w:pPr>
        <w:keepNext/>
        <w:keepLines/>
        <w:spacing w:beforeLines="50" w:before="120" w:afterLines="50" w:after="120" w:line="360" w:lineRule="atLeast"/>
        <w:jc w:val="left"/>
        <w:outlineLvl w:val="2"/>
        <w:rPr>
          <w:rFonts w:ascii="Times New Roman" w:eastAsia="宋体" w:hAnsi="Times New Roman" w:cs="Times New Roman"/>
          <w:b/>
          <w:bCs/>
          <w:color w:val="000000" w:themeColor="text1"/>
          <w:kern w:val="0"/>
          <w:sz w:val="24"/>
          <w:szCs w:val="24"/>
        </w:rPr>
      </w:pPr>
      <w:bookmarkStart w:id="190" w:name="_Toc25098"/>
      <w:r w:rsidRPr="00092862">
        <w:rPr>
          <w:rFonts w:ascii="Times New Roman" w:eastAsia="宋体" w:hAnsi="Times New Roman" w:cs="Times New Roman"/>
          <w:b/>
          <w:bCs/>
          <w:color w:val="000000" w:themeColor="text1"/>
          <w:kern w:val="0"/>
          <w:sz w:val="24"/>
          <w:szCs w:val="24"/>
        </w:rPr>
        <w:t>4.3.8</w:t>
      </w:r>
      <w:r w:rsidRPr="00092862">
        <w:rPr>
          <w:rFonts w:ascii="Times New Roman" w:eastAsia="宋体" w:hAnsi="Times New Roman" w:cs="Times New Roman"/>
          <w:b/>
          <w:bCs/>
          <w:color w:val="000000" w:themeColor="text1"/>
          <w:kern w:val="0"/>
          <w:sz w:val="24"/>
          <w:szCs w:val="24"/>
        </w:rPr>
        <w:t>生态系统服务功能评价</w:t>
      </w:r>
      <w:bookmarkEnd w:id="190"/>
    </w:p>
    <w:p w14:paraId="3E6A5F65"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生态系统服务功能主要有水源涵养、土壤保持、生物多样性保护功能等，项目区处于属亚热带季风气候区，水热条件较好，植被总体覆盖度较高，生态系统服务功能主要为土壤保持功能、水源涵养功能、生物多样性保护功能，本次评价基于《生态保护红线划定指南》（环办生态</w:t>
      </w:r>
      <w:r w:rsidRPr="00092862">
        <w:rPr>
          <w:rFonts w:ascii="Times New Roman" w:eastAsia="宋体" w:hAnsi="Times New Roman" w:cs="Times New Roman"/>
          <w:bCs/>
          <w:color w:val="000000" w:themeColor="text1"/>
          <w:sz w:val="24"/>
          <w:szCs w:val="24"/>
        </w:rPr>
        <w:t>[2017] 48</w:t>
      </w:r>
      <w:r w:rsidRPr="00092862">
        <w:rPr>
          <w:rFonts w:ascii="Times New Roman" w:eastAsia="宋体" w:hAnsi="Times New Roman" w:cs="Times New Roman"/>
          <w:bCs/>
          <w:color w:val="000000" w:themeColor="text1"/>
          <w:sz w:val="24"/>
          <w:szCs w:val="24"/>
        </w:rPr>
        <w:t>号）</w:t>
      </w:r>
      <w:r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中关于生态系统服务重要性的评估方法，针对土壤保持功能、水源涵养功能、生物多样性保护功能进行分级评价。</w:t>
      </w:r>
    </w:p>
    <w:p w14:paraId="11DA8860"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、土壤保持功能分级评价</w:t>
      </w:r>
    </w:p>
    <w:p w14:paraId="07AE86D2"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将反映土壤保持功能各因素的单因子分布数据，用地理信息系统进行乘积运算，公式如下：</w:t>
      </w:r>
    </w:p>
    <w:p w14:paraId="4D76E5C1" w14:textId="037A4012" w:rsidR="009E4715" w:rsidRPr="00092862" w:rsidRDefault="009E4715" w:rsidP="00092862">
      <w:pPr>
        <w:widowControl/>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noProof/>
          <w:color w:val="000000" w:themeColor="text1"/>
          <w:sz w:val="24"/>
          <w:szCs w:val="24"/>
        </w:rPr>
        <w:drawing>
          <wp:inline distT="0" distB="0" distL="0" distR="0" wp14:anchorId="4B423924" wp14:editId="68A7ABE4">
            <wp:extent cx="1557020" cy="271780"/>
            <wp:effectExtent l="0" t="0" r="5080" b="0"/>
            <wp:docPr id="1855" name="图片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57020" cy="271780"/>
                    </a:xfrm>
                    <a:prstGeom prst="rect">
                      <a:avLst/>
                    </a:prstGeom>
                    <a:noFill/>
                    <a:ln>
                      <a:noFill/>
                    </a:ln>
                  </pic:spPr>
                </pic:pic>
              </a:graphicData>
            </a:graphic>
          </wp:inline>
        </w:drawing>
      </w:r>
    </w:p>
    <w:p w14:paraId="6558F12E" w14:textId="0C21FED2" w:rsidR="009E4715" w:rsidRPr="00092862" w:rsidRDefault="009E4715" w:rsidP="00092862">
      <w:pPr>
        <w:widowControl/>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式中：</w:t>
      </w:r>
      <w:r w:rsidRPr="00092862">
        <w:rPr>
          <w:rFonts w:ascii="Times New Roman" w:eastAsia="宋体" w:hAnsi="Times New Roman" w:cs="Times New Roman"/>
          <w:bCs/>
          <w:noProof/>
          <w:color w:val="000000" w:themeColor="text1"/>
          <w:sz w:val="24"/>
          <w:szCs w:val="24"/>
        </w:rPr>
        <w:drawing>
          <wp:inline distT="0" distB="0" distL="0" distR="0" wp14:anchorId="4696EA7A" wp14:editId="61EAEA0E">
            <wp:extent cx="271780" cy="244475"/>
            <wp:effectExtent l="0" t="0" r="0" b="3175"/>
            <wp:docPr id="1816" name="图片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780" cy="244475"/>
                    </a:xfrm>
                    <a:prstGeom prst="rect">
                      <a:avLst/>
                    </a:prstGeom>
                    <a:noFill/>
                    <a:ln>
                      <a:noFill/>
                    </a:ln>
                  </pic:spPr>
                </pic:pic>
              </a:graphicData>
            </a:graphic>
          </wp:inline>
        </w:drawing>
      </w:r>
      <w:r w:rsidRPr="00092862">
        <w:rPr>
          <w:rFonts w:ascii="Times New Roman" w:eastAsia="宋体" w:hAnsi="Times New Roman" w:cs="Times New Roman"/>
          <w:bCs/>
          <w:color w:val="000000" w:themeColor="text1"/>
          <w:sz w:val="24"/>
          <w:szCs w:val="24"/>
        </w:rPr>
        <w:t>为土壤保持服务；</w:t>
      </w:r>
      <w:r w:rsidRPr="00092862">
        <w:rPr>
          <w:rFonts w:ascii="Times New Roman" w:eastAsia="宋体" w:hAnsi="Times New Roman" w:cs="Times New Roman"/>
          <w:bCs/>
          <w:color w:val="000000" w:themeColor="text1"/>
          <w:sz w:val="24"/>
          <w:szCs w:val="24"/>
        </w:rPr>
        <w:t>NPPmean</w:t>
      </w:r>
      <w:r w:rsidRPr="00092862">
        <w:rPr>
          <w:rFonts w:ascii="Times New Roman" w:eastAsia="宋体" w:hAnsi="Times New Roman" w:cs="Times New Roman"/>
          <w:bCs/>
          <w:color w:val="000000" w:themeColor="text1"/>
          <w:sz w:val="24"/>
          <w:szCs w:val="24"/>
        </w:rPr>
        <w:t>为评价区多年生态系统净初级生产力平均值；</w:t>
      </w:r>
      <w:r w:rsidRPr="00092862">
        <w:rPr>
          <w:rFonts w:ascii="Times New Roman" w:eastAsia="宋体" w:hAnsi="Times New Roman" w:cs="Times New Roman"/>
          <w:bCs/>
          <w:color w:val="000000" w:themeColor="text1"/>
          <w:sz w:val="24"/>
          <w:szCs w:val="24"/>
        </w:rPr>
        <w:t>Fslo</w:t>
      </w:r>
      <w:r w:rsidRPr="00092862">
        <w:rPr>
          <w:rFonts w:ascii="Times New Roman" w:eastAsia="宋体" w:hAnsi="Times New Roman" w:cs="Times New Roman"/>
          <w:bCs/>
          <w:color w:val="000000" w:themeColor="text1"/>
          <w:sz w:val="24"/>
          <w:szCs w:val="24"/>
        </w:rPr>
        <w:t>为根据最大最小值法归一化到</w:t>
      </w:r>
      <w:r w:rsidRPr="00092862">
        <w:rPr>
          <w:rFonts w:ascii="Times New Roman" w:eastAsia="宋体" w:hAnsi="Times New Roman" w:cs="Times New Roman"/>
          <w:bCs/>
          <w:color w:val="000000" w:themeColor="text1"/>
          <w:sz w:val="24"/>
          <w:szCs w:val="24"/>
        </w:rPr>
        <w:t>0-1</w:t>
      </w:r>
      <w:r w:rsidRPr="00092862">
        <w:rPr>
          <w:rFonts w:ascii="Times New Roman" w:eastAsia="宋体" w:hAnsi="Times New Roman" w:cs="Times New Roman"/>
          <w:bCs/>
          <w:color w:val="000000" w:themeColor="text1"/>
          <w:sz w:val="24"/>
          <w:szCs w:val="24"/>
        </w:rPr>
        <w:t>之间的评价区坡度栅格数据。</w:t>
      </w:r>
    </w:p>
    <w:p w14:paraId="20296A46" w14:textId="3D2D1530" w:rsidR="009E4715" w:rsidRPr="00092862" w:rsidRDefault="009E4715" w:rsidP="00092862">
      <w:pPr>
        <w:widowControl/>
        <w:adjustRightInd w:val="0"/>
        <w:snapToGrid w:val="0"/>
        <w:spacing w:line="360" w:lineRule="auto"/>
        <w:ind w:firstLineChars="200" w:firstLine="480"/>
        <w:jc w:val="left"/>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分别计算评价区</w:t>
      </w:r>
      <w:r w:rsidRPr="00092862">
        <w:rPr>
          <w:rFonts w:ascii="Times New Roman" w:eastAsia="宋体" w:hAnsi="Times New Roman" w:cs="Times New Roman"/>
          <w:bCs/>
          <w:color w:val="000000" w:themeColor="text1"/>
          <w:sz w:val="24"/>
          <w:szCs w:val="24"/>
        </w:rPr>
        <w:t>NPPmean</w:t>
      </w:r>
      <w:r w:rsidRPr="00092862">
        <w:rPr>
          <w:rFonts w:ascii="Times New Roman" w:eastAsia="宋体" w:hAnsi="Times New Roman" w:cs="Times New Roman"/>
          <w:bCs/>
          <w:color w:val="000000" w:themeColor="text1"/>
          <w:sz w:val="24"/>
          <w:szCs w:val="24"/>
        </w:rPr>
        <w:t>和</w:t>
      </w:r>
      <w:r w:rsidRPr="00092862">
        <w:rPr>
          <w:rFonts w:ascii="Times New Roman" w:eastAsia="宋体" w:hAnsi="Times New Roman" w:cs="Times New Roman"/>
          <w:bCs/>
          <w:color w:val="000000" w:themeColor="text1"/>
          <w:sz w:val="24"/>
          <w:szCs w:val="24"/>
        </w:rPr>
        <w:t>Fslo</w:t>
      </w:r>
      <w:r w:rsidRPr="00092862">
        <w:rPr>
          <w:rFonts w:ascii="Times New Roman" w:eastAsia="宋体" w:hAnsi="Times New Roman" w:cs="Times New Roman"/>
          <w:bCs/>
          <w:color w:val="000000" w:themeColor="text1"/>
          <w:sz w:val="24"/>
          <w:szCs w:val="24"/>
        </w:rPr>
        <w:t>等指标后，按照公式</w:t>
      </w:r>
      <w:r w:rsidRPr="00092862">
        <w:rPr>
          <w:rFonts w:ascii="Times New Roman" w:eastAsia="宋体" w:hAnsi="Times New Roman" w:cs="Times New Roman"/>
          <w:bCs/>
          <w:noProof/>
          <w:color w:val="000000" w:themeColor="text1"/>
          <w:sz w:val="24"/>
          <w:szCs w:val="24"/>
        </w:rPr>
        <w:drawing>
          <wp:inline distT="0" distB="0" distL="0" distR="0" wp14:anchorId="26AE2057" wp14:editId="768A92C2">
            <wp:extent cx="1557020" cy="271780"/>
            <wp:effectExtent l="0" t="0" r="5080" b="0"/>
            <wp:docPr id="1803" name="图片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57020" cy="271780"/>
                    </a:xfrm>
                    <a:prstGeom prst="rect">
                      <a:avLst/>
                    </a:prstGeom>
                    <a:noFill/>
                    <a:ln>
                      <a:noFill/>
                    </a:ln>
                  </pic:spPr>
                </pic:pic>
              </a:graphicData>
            </a:graphic>
          </wp:inline>
        </w:drawing>
      </w:r>
      <w:r w:rsidRPr="00092862">
        <w:rPr>
          <w:rFonts w:ascii="Times New Roman" w:eastAsia="宋体" w:hAnsi="Times New Roman" w:cs="Times New Roman"/>
          <w:bCs/>
          <w:color w:val="000000" w:themeColor="text1"/>
          <w:sz w:val="24"/>
          <w:szCs w:val="24"/>
        </w:rPr>
        <w:t>，计算求得评价区内</w:t>
      </w:r>
      <w:r w:rsidRPr="00092862">
        <w:rPr>
          <w:rFonts w:ascii="Times New Roman" w:eastAsia="宋体" w:hAnsi="Times New Roman" w:cs="Times New Roman"/>
          <w:bCs/>
          <w:noProof/>
          <w:color w:val="000000" w:themeColor="text1"/>
          <w:sz w:val="24"/>
          <w:szCs w:val="24"/>
        </w:rPr>
        <w:drawing>
          <wp:inline distT="0" distB="0" distL="0" distR="0" wp14:anchorId="011B712B" wp14:editId="7768E932">
            <wp:extent cx="271780" cy="244475"/>
            <wp:effectExtent l="0" t="0" r="0" b="3175"/>
            <wp:docPr id="1802" name="图片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780" cy="244475"/>
                    </a:xfrm>
                    <a:prstGeom prst="rect">
                      <a:avLst/>
                    </a:prstGeom>
                    <a:noFill/>
                    <a:ln>
                      <a:noFill/>
                    </a:ln>
                  </pic:spPr>
                </pic:pic>
              </a:graphicData>
            </a:graphic>
          </wp:inline>
        </w:drawing>
      </w:r>
      <w:r w:rsidRPr="00092862">
        <w:rPr>
          <w:rFonts w:ascii="Times New Roman" w:eastAsia="宋体" w:hAnsi="Times New Roman" w:cs="Times New Roman"/>
          <w:bCs/>
          <w:color w:val="000000" w:themeColor="text1"/>
          <w:sz w:val="24"/>
          <w:szCs w:val="24"/>
        </w:rPr>
        <w:t>值分布情况。</w:t>
      </w:r>
    </w:p>
    <w:p w14:paraId="6FDEBCDE"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经过计算分析，土壤保持功能重要性等级比例最大的为极重要，面积</w:t>
      </w:r>
      <w:r w:rsidRPr="00092862">
        <w:rPr>
          <w:rFonts w:ascii="Times New Roman" w:eastAsia="宋体" w:hAnsi="Times New Roman" w:cs="Times New Roman"/>
          <w:color w:val="000000" w:themeColor="text1"/>
          <w:kern w:val="0"/>
          <w:sz w:val="24"/>
          <w:szCs w:val="24"/>
          <w:lang w:bidi="ar"/>
        </w:rPr>
        <w:t>1015.49</w:t>
      </w:r>
      <w:r w:rsidRPr="00092862">
        <w:rPr>
          <w:rFonts w:ascii="Times New Roman" w:eastAsia="宋体" w:hAnsi="Times New Roman" w:cs="Times New Roman"/>
          <w:bCs/>
          <w:color w:val="000000" w:themeColor="text1"/>
          <w:sz w:val="24"/>
          <w:szCs w:val="24"/>
        </w:rPr>
        <w:t>hm²</w:t>
      </w:r>
      <w:r w:rsidRPr="00092862">
        <w:rPr>
          <w:rFonts w:ascii="Times New Roman" w:eastAsia="宋体" w:hAnsi="Times New Roman" w:cs="Times New Roman"/>
          <w:bCs/>
          <w:color w:val="000000" w:themeColor="text1"/>
          <w:sz w:val="24"/>
          <w:szCs w:val="24"/>
        </w:rPr>
        <w:t>，比例为</w:t>
      </w:r>
      <w:r w:rsidRPr="00092862">
        <w:rPr>
          <w:rFonts w:ascii="Times New Roman" w:eastAsia="宋体" w:hAnsi="Times New Roman" w:cs="Times New Roman"/>
          <w:bCs/>
          <w:color w:val="000000" w:themeColor="text1"/>
          <w:sz w:val="24"/>
          <w:szCs w:val="24"/>
        </w:rPr>
        <w:t>74.09%</w:t>
      </w:r>
      <w:r w:rsidRPr="00092862">
        <w:rPr>
          <w:rFonts w:ascii="Times New Roman" w:eastAsia="宋体" w:hAnsi="Times New Roman" w:cs="Times New Roman"/>
          <w:bCs/>
          <w:color w:val="000000" w:themeColor="text1"/>
          <w:sz w:val="24"/>
          <w:szCs w:val="24"/>
        </w:rPr>
        <w:t>，主要为森林及高覆盖度灌丛植被区且坡度平缓区，生态系统净初级生产力较高；重要性等级比例最小的为一般重要，面积</w:t>
      </w:r>
      <w:r w:rsidRPr="00092862">
        <w:rPr>
          <w:rFonts w:ascii="Times New Roman" w:eastAsia="宋体" w:hAnsi="Times New Roman" w:cs="Times New Roman"/>
          <w:bCs/>
          <w:color w:val="000000" w:themeColor="text1"/>
          <w:sz w:val="24"/>
          <w:szCs w:val="24"/>
        </w:rPr>
        <w:t>43.99hm²</w:t>
      </w:r>
      <w:r w:rsidRPr="00092862">
        <w:rPr>
          <w:rFonts w:ascii="Times New Roman" w:eastAsia="宋体" w:hAnsi="Times New Roman" w:cs="Times New Roman"/>
          <w:bCs/>
          <w:color w:val="000000" w:themeColor="text1"/>
          <w:sz w:val="24"/>
          <w:szCs w:val="24"/>
        </w:rPr>
        <w:t>，比例为</w:t>
      </w:r>
      <w:r w:rsidRPr="00092862">
        <w:rPr>
          <w:rFonts w:ascii="Times New Roman" w:eastAsia="宋体" w:hAnsi="Times New Roman" w:cs="Times New Roman"/>
          <w:bCs/>
          <w:color w:val="000000" w:themeColor="text1"/>
          <w:sz w:val="24"/>
          <w:szCs w:val="24"/>
        </w:rPr>
        <w:t>3.21%</w:t>
      </w:r>
      <w:r w:rsidRPr="00092862">
        <w:rPr>
          <w:rFonts w:ascii="Times New Roman" w:eastAsia="宋体" w:hAnsi="Times New Roman" w:cs="Times New Roman"/>
          <w:bCs/>
          <w:color w:val="000000" w:themeColor="text1"/>
          <w:sz w:val="24"/>
          <w:szCs w:val="24"/>
        </w:rPr>
        <w:t>，主要为非植被区，详见表</w:t>
      </w:r>
      <w:r w:rsidRPr="00092862">
        <w:rPr>
          <w:rFonts w:ascii="Times New Roman" w:eastAsia="宋体" w:hAnsi="Times New Roman" w:cs="Times New Roman"/>
          <w:bCs/>
          <w:color w:val="000000" w:themeColor="text1"/>
          <w:sz w:val="24"/>
          <w:szCs w:val="24"/>
        </w:rPr>
        <w:t>4.3-17</w:t>
      </w:r>
      <w:r w:rsidRPr="00092862">
        <w:rPr>
          <w:rFonts w:ascii="Times New Roman" w:eastAsia="宋体" w:hAnsi="Times New Roman" w:cs="Times New Roman"/>
          <w:bCs/>
          <w:color w:val="000000" w:themeColor="text1"/>
          <w:sz w:val="24"/>
          <w:szCs w:val="24"/>
        </w:rPr>
        <w:t>。</w:t>
      </w:r>
    </w:p>
    <w:p w14:paraId="4F008EC1"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4.3-17 </w:t>
      </w:r>
      <w:r w:rsidRPr="00092862">
        <w:rPr>
          <w:rFonts w:ascii="Times New Roman" w:eastAsia="宋体" w:hAnsi="Times New Roman" w:cs="Times New Roman"/>
          <w:b/>
          <w:color w:val="000000" w:themeColor="text1"/>
          <w:kern w:val="0"/>
          <w:szCs w:val="24"/>
        </w:rPr>
        <w:t>土壤保持功能重要性评价分布表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7"/>
        <w:gridCol w:w="1431"/>
        <w:gridCol w:w="1370"/>
        <w:gridCol w:w="4122"/>
      </w:tblGrid>
      <w:tr w:rsidR="00697429" w:rsidRPr="00092862" w14:paraId="54DFACD0" w14:textId="77777777" w:rsidTr="00A364AF">
        <w:trPr>
          <w:trHeight w:hRule="exact" w:val="397"/>
          <w:jc w:val="center"/>
        </w:trPr>
        <w:tc>
          <w:tcPr>
            <w:tcW w:w="830" w:type="pct"/>
            <w:vAlign w:val="center"/>
          </w:tcPr>
          <w:p w14:paraId="63715090"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分级</w:t>
            </w:r>
          </w:p>
        </w:tc>
        <w:tc>
          <w:tcPr>
            <w:tcW w:w="862" w:type="pct"/>
            <w:vAlign w:val="center"/>
          </w:tcPr>
          <w:p w14:paraId="0D2C84F9"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面积（</w:t>
            </w:r>
            <w:r w:rsidRPr="00092862">
              <w:rPr>
                <w:rFonts w:ascii="Times New Roman" w:eastAsia="宋体" w:hAnsi="Times New Roman" w:cs="Times New Roman"/>
                <w:color w:val="000000" w:themeColor="text1"/>
                <w:szCs w:val="21"/>
              </w:rPr>
              <w:t>hm²</w:t>
            </w:r>
            <w:r w:rsidRPr="00092862">
              <w:rPr>
                <w:rFonts w:ascii="Times New Roman" w:eastAsia="宋体" w:hAnsi="Times New Roman" w:cs="Times New Roman"/>
                <w:color w:val="000000" w:themeColor="text1"/>
                <w:szCs w:val="21"/>
              </w:rPr>
              <w:t>）</w:t>
            </w:r>
          </w:p>
        </w:tc>
        <w:tc>
          <w:tcPr>
            <w:tcW w:w="825" w:type="pct"/>
            <w:vAlign w:val="center"/>
          </w:tcPr>
          <w:p w14:paraId="7FF60411"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比例（</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2483" w:type="pct"/>
            <w:vAlign w:val="center"/>
          </w:tcPr>
          <w:p w14:paraId="1C07088C"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分布特征</w:t>
            </w:r>
          </w:p>
        </w:tc>
      </w:tr>
      <w:tr w:rsidR="00697429" w:rsidRPr="00092862" w14:paraId="7F0BB2A0" w14:textId="77777777" w:rsidTr="00A364AF">
        <w:trPr>
          <w:trHeight w:hRule="exact" w:val="397"/>
          <w:jc w:val="center"/>
        </w:trPr>
        <w:tc>
          <w:tcPr>
            <w:tcW w:w="830" w:type="pct"/>
            <w:vAlign w:val="center"/>
          </w:tcPr>
          <w:p w14:paraId="23F58C1E"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一般重要</w:t>
            </w:r>
          </w:p>
        </w:tc>
        <w:tc>
          <w:tcPr>
            <w:tcW w:w="862" w:type="pct"/>
            <w:vAlign w:val="center"/>
          </w:tcPr>
          <w:p w14:paraId="1E0D2B99"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43.99</w:t>
            </w:r>
          </w:p>
        </w:tc>
        <w:tc>
          <w:tcPr>
            <w:tcW w:w="825" w:type="pct"/>
            <w:vAlign w:val="center"/>
          </w:tcPr>
          <w:p w14:paraId="7A4E581B"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 xml:space="preserve">3.21 </w:t>
            </w:r>
          </w:p>
        </w:tc>
        <w:tc>
          <w:tcPr>
            <w:tcW w:w="2483" w:type="pct"/>
            <w:vAlign w:val="center"/>
          </w:tcPr>
          <w:p w14:paraId="2A97079C" w14:textId="77777777" w:rsidR="009E4715" w:rsidRPr="00092862" w:rsidRDefault="009E4715" w:rsidP="009E4715">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非植被区</w:t>
            </w:r>
          </w:p>
        </w:tc>
      </w:tr>
      <w:tr w:rsidR="00697429" w:rsidRPr="00092862" w14:paraId="528D3128" w14:textId="77777777" w:rsidTr="00A364AF">
        <w:trPr>
          <w:trHeight w:hRule="exact" w:val="397"/>
          <w:jc w:val="center"/>
        </w:trPr>
        <w:tc>
          <w:tcPr>
            <w:tcW w:w="830" w:type="pct"/>
            <w:vAlign w:val="center"/>
          </w:tcPr>
          <w:p w14:paraId="7ED0A4D9"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较重要</w:t>
            </w:r>
          </w:p>
        </w:tc>
        <w:tc>
          <w:tcPr>
            <w:tcW w:w="862" w:type="pct"/>
            <w:vAlign w:val="center"/>
          </w:tcPr>
          <w:p w14:paraId="25511B6F"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162.01</w:t>
            </w:r>
          </w:p>
        </w:tc>
        <w:tc>
          <w:tcPr>
            <w:tcW w:w="825" w:type="pct"/>
            <w:vAlign w:val="center"/>
          </w:tcPr>
          <w:p w14:paraId="33963BE1"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 xml:space="preserve">11.82 </w:t>
            </w:r>
          </w:p>
        </w:tc>
        <w:tc>
          <w:tcPr>
            <w:tcW w:w="2483" w:type="pct"/>
            <w:vAlign w:val="center"/>
          </w:tcPr>
          <w:p w14:paraId="2583F650" w14:textId="77777777" w:rsidR="009E4715" w:rsidRPr="00092862" w:rsidRDefault="009E4715" w:rsidP="009E4715">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耕地区</w:t>
            </w:r>
          </w:p>
        </w:tc>
      </w:tr>
      <w:tr w:rsidR="00697429" w:rsidRPr="00092862" w14:paraId="74F88189" w14:textId="77777777" w:rsidTr="00A364AF">
        <w:trPr>
          <w:trHeight w:hRule="exact" w:val="902"/>
          <w:jc w:val="center"/>
        </w:trPr>
        <w:tc>
          <w:tcPr>
            <w:tcW w:w="830" w:type="pct"/>
            <w:vAlign w:val="center"/>
          </w:tcPr>
          <w:p w14:paraId="0DA39A0F"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中度重要</w:t>
            </w:r>
          </w:p>
        </w:tc>
        <w:tc>
          <w:tcPr>
            <w:tcW w:w="862" w:type="pct"/>
            <w:vAlign w:val="center"/>
          </w:tcPr>
          <w:p w14:paraId="5859F2B6"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23.68</w:t>
            </w:r>
          </w:p>
        </w:tc>
        <w:tc>
          <w:tcPr>
            <w:tcW w:w="825" w:type="pct"/>
            <w:vAlign w:val="center"/>
          </w:tcPr>
          <w:p w14:paraId="0DC111FA"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 xml:space="preserve">1.73 </w:t>
            </w:r>
          </w:p>
        </w:tc>
        <w:tc>
          <w:tcPr>
            <w:tcW w:w="2483" w:type="pct"/>
            <w:vAlign w:val="center"/>
          </w:tcPr>
          <w:p w14:paraId="42DB5FD7" w14:textId="77777777" w:rsidR="009E4715" w:rsidRPr="00092862" w:rsidRDefault="009E4715" w:rsidP="009E4715">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中高覆盖度灌丛植被区且坡度陡峭区、草地分布区且有一定坡度地段</w:t>
            </w:r>
          </w:p>
        </w:tc>
      </w:tr>
      <w:tr w:rsidR="00697429" w:rsidRPr="00092862" w14:paraId="157B7A3E" w14:textId="77777777" w:rsidTr="00A364AF">
        <w:trPr>
          <w:trHeight w:hRule="exact" w:val="782"/>
          <w:jc w:val="center"/>
        </w:trPr>
        <w:tc>
          <w:tcPr>
            <w:tcW w:w="830" w:type="pct"/>
            <w:vAlign w:val="center"/>
          </w:tcPr>
          <w:p w14:paraId="7C8E5B14"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高度重要</w:t>
            </w:r>
          </w:p>
        </w:tc>
        <w:tc>
          <w:tcPr>
            <w:tcW w:w="862" w:type="pct"/>
            <w:vAlign w:val="center"/>
          </w:tcPr>
          <w:p w14:paraId="7C490745"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125.36</w:t>
            </w:r>
          </w:p>
        </w:tc>
        <w:tc>
          <w:tcPr>
            <w:tcW w:w="825" w:type="pct"/>
            <w:vAlign w:val="center"/>
          </w:tcPr>
          <w:p w14:paraId="18A8EFC2"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 xml:space="preserve">9.15 </w:t>
            </w:r>
          </w:p>
        </w:tc>
        <w:tc>
          <w:tcPr>
            <w:tcW w:w="2483" w:type="pct"/>
            <w:vAlign w:val="center"/>
          </w:tcPr>
          <w:p w14:paraId="2402AB89" w14:textId="77777777" w:rsidR="009E4715" w:rsidRPr="00092862" w:rsidRDefault="009E4715" w:rsidP="009E4715">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森林及高覆盖度灌丛植被区且坡度陡峭区、中高覆盖度灌丛植被区且坡度较缓地段</w:t>
            </w:r>
          </w:p>
        </w:tc>
      </w:tr>
      <w:tr w:rsidR="00697429" w:rsidRPr="00092862" w14:paraId="6F385E87" w14:textId="77777777" w:rsidTr="00A364AF">
        <w:trPr>
          <w:trHeight w:hRule="exact" w:val="397"/>
          <w:jc w:val="center"/>
        </w:trPr>
        <w:tc>
          <w:tcPr>
            <w:tcW w:w="830" w:type="pct"/>
            <w:vAlign w:val="center"/>
          </w:tcPr>
          <w:p w14:paraId="3D0D5D56"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极重要</w:t>
            </w:r>
          </w:p>
        </w:tc>
        <w:tc>
          <w:tcPr>
            <w:tcW w:w="862" w:type="pct"/>
            <w:vAlign w:val="center"/>
          </w:tcPr>
          <w:p w14:paraId="44C28AA7"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1015.49</w:t>
            </w:r>
          </w:p>
        </w:tc>
        <w:tc>
          <w:tcPr>
            <w:tcW w:w="825" w:type="pct"/>
            <w:vAlign w:val="center"/>
          </w:tcPr>
          <w:p w14:paraId="764DFD69"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 xml:space="preserve">74.09 </w:t>
            </w:r>
          </w:p>
        </w:tc>
        <w:tc>
          <w:tcPr>
            <w:tcW w:w="2483" w:type="pct"/>
            <w:vAlign w:val="center"/>
          </w:tcPr>
          <w:p w14:paraId="28FF8FB2" w14:textId="77777777" w:rsidR="009E4715" w:rsidRPr="00092862" w:rsidRDefault="009E4715" w:rsidP="009E4715">
            <w:pPr>
              <w:jc w:val="center"/>
              <w:rPr>
                <w:rFonts w:ascii="Times New Roman" w:eastAsia="宋体" w:hAnsi="Times New Roman" w:cs="Times New Roman"/>
                <w:color w:val="000000" w:themeColor="text1"/>
                <w:szCs w:val="21"/>
                <w:lang w:bidi="ar"/>
              </w:rPr>
            </w:pPr>
            <w:r w:rsidRPr="00092862">
              <w:rPr>
                <w:rFonts w:ascii="Times New Roman" w:eastAsia="宋体" w:hAnsi="Times New Roman" w:cs="Times New Roman"/>
                <w:color w:val="000000" w:themeColor="text1"/>
                <w:szCs w:val="21"/>
              </w:rPr>
              <w:t>森林及高覆盖度灌丛植被区且坡度平缓区</w:t>
            </w:r>
          </w:p>
        </w:tc>
      </w:tr>
      <w:tr w:rsidR="00697429" w:rsidRPr="00092862" w14:paraId="5B5D7742" w14:textId="77777777" w:rsidTr="00A364AF">
        <w:trPr>
          <w:trHeight w:hRule="exact" w:val="397"/>
          <w:jc w:val="center"/>
        </w:trPr>
        <w:tc>
          <w:tcPr>
            <w:tcW w:w="830" w:type="pct"/>
            <w:vAlign w:val="center"/>
          </w:tcPr>
          <w:p w14:paraId="608F4A17"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总计</w:t>
            </w:r>
          </w:p>
        </w:tc>
        <w:tc>
          <w:tcPr>
            <w:tcW w:w="862" w:type="pct"/>
            <w:vAlign w:val="center"/>
          </w:tcPr>
          <w:p w14:paraId="741A47AB"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1370.53</w:t>
            </w:r>
          </w:p>
        </w:tc>
        <w:tc>
          <w:tcPr>
            <w:tcW w:w="825" w:type="pct"/>
            <w:vAlign w:val="center"/>
          </w:tcPr>
          <w:p w14:paraId="2F3C59DE" w14:textId="77777777" w:rsidR="009E4715" w:rsidRPr="00092862" w:rsidRDefault="009E4715" w:rsidP="009E4715">
            <w:pPr>
              <w:widowControl/>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 xml:space="preserve">100.00 </w:t>
            </w:r>
          </w:p>
        </w:tc>
        <w:tc>
          <w:tcPr>
            <w:tcW w:w="2483" w:type="pct"/>
            <w:vAlign w:val="center"/>
          </w:tcPr>
          <w:p w14:paraId="39505F1C" w14:textId="77777777" w:rsidR="009E4715" w:rsidRPr="00092862" w:rsidRDefault="009E4715" w:rsidP="009E4715">
            <w:pPr>
              <w:jc w:val="center"/>
              <w:rPr>
                <w:rFonts w:ascii="Times New Roman" w:eastAsia="宋体" w:hAnsi="Times New Roman" w:cs="Times New Roman"/>
                <w:color w:val="000000" w:themeColor="text1"/>
                <w:szCs w:val="21"/>
                <w:lang w:bidi="ar"/>
              </w:rPr>
            </w:pPr>
          </w:p>
        </w:tc>
      </w:tr>
    </w:tbl>
    <w:p w14:paraId="2BB500C2" w14:textId="77777777" w:rsidR="009E4715" w:rsidRPr="00092862" w:rsidRDefault="009E4715" w:rsidP="00092862">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、水源涵养功能分级评价</w:t>
      </w:r>
    </w:p>
    <w:p w14:paraId="59EAEDE3"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水源涵养功能重要性评价采用基于降水和蒸散的水量分解模型法</w:t>
      </w:r>
    </w:p>
    <w:p w14:paraId="24B50E62" w14:textId="38B65444"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noProof/>
          <w:color w:val="000000" w:themeColor="text1"/>
          <w:sz w:val="24"/>
          <w:szCs w:val="24"/>
        </w:rPr>
        <w:drawing>
          <wp:inline distT="0" distB="0" distL="0" distR="0" wp14:anchorId="14D11DA5" wp14:editId="24505414">
            <wp:extent cx="1747520" cy="1095375"/>
            <wp:effectExtent l="0" t="0" r="5080" b="9525"/>
            <wp:docPr id="1801" name="图片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7520" cy="1095375"/>
                    </a:xfrm>
                    <a:prstGeom prst="rect">
                      <a:avLst/>
                    </a:prstGeom>
                    <a:noFill/>
                    <a:ln>
                      <a:noFill/>
                    </a:ln>
                  </pic:spPr>
                </pic:pic>
              </a:graphicData>
            </a:graphic>
          </wp:inline>
        </w:drawing>
      </w:r>
    </w:p>
    <w:p w14:paraId="50F5952D"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式中：</w:t>
      </w:r>
      <w:r w:rsidRPr="00092862">
        <w:rPr>
          <w:rFonts w:ascii="Times New Roman" w:eastAsia="宋体" w:hAnsi="Times New Roman" w:cs="Times New Roman"/>
          <w:bCs/>
          <w:color w:val="000000" w:themeColor="text1"/>
          <w:sz w:val="24"/>
          <w:szCs w:val="24"/>
        </w:rPr>
        <w:t>WY</w:t>
      </w:r>
      <w:r w:rsidRPr="00092862">
        <w:rPr>
          <w:rFonts w:ascii="Times New Roman" w:eastAsia="宋体" w:hAnsi="Times New Roman" w:cs="Times New Roman"/>
          <w:bCs/>
          <w:color w:val="000000" w:themeColor="text1"/>
          <w:sz w:val="24"/>
          <w:szCs w:val="24"/>
        </w:rPr>
        <w:t>为地表总产水量，作为水源涵养服务能力的代用指标，</w:t>
      </w:r>
      <w:r w:rsidRPr="00092862">
        <w:rPr>
          <w:rFonts w:ascii="Times New Roman" w:eastAsia="宋体" w:hAnsi="Times New Roman" w:cs="Times New Roman"/>
          <w:bCs/>
          <w:color w:val="000000" w:themeColor="text1"/>
          <w:sz w:val="24"/>
          <w:szCs w:val="24"/>
        </w:rPr>
        <w:t>P</w:t>
      </w:r>
      <w:r w:rsidRPr="00092862">
        <w:rPr>
          <w:rFonts w:ascii="Times New Roman" w:eastAsia="宋体" w:hAnsi="Times New Roman" w:cs="Times New Roman"/>
          <w:bCs/>
          <w:color w:val="000000" w:themeColor="text1"/>
          <w:sz w:val="24"/>
          <w:szCs w:val="24"/>
        </w:rPr>
        <w:t>为多年平均年降水量，</w:t>
      </w:r>
      <w:r w:rsidRPr="00092862">
        <w:rPr>
          <w:rFonts w:ascii="Times New Roman" w:eastAsia="宋体" w:hAnsi="Times New Roman" w:cs="Times New Roman"/>
          <w:bCs/>
          <w:color w:val="000000" w:themeColor="text1"/>
          <w:sz w:val="24"/>
          <w:szCs w:val="24"/>
        </w:rPr>
        <w:t>ET</w:t>
      </w:r>
      <w:r w:rsidRPr="00092862">
        <w:rPr>
          <w:rFonts w:ascii="Times New Roman" w:eastAsia="宋体" w:hAnsi="Times New Roman" w:cs="Times New Roman"/>
          <w:bCs/>
          <w:color w:val="000000" w:themeColor="text1"/>
          <w:sz w:val="24"/>
          <w:szCs w:val="24"/>
        </w:rPr>
        <w:t>为蒸散量，</w:t>
      </w:r>
      <w:r w:rsidRPr="00092862">
        <w:rPr>
          <w:rFonts w:ascii="Times New Roman" w:eastAsia="宋体" w:hAnsi="Times New Roman" w:cs="Times New Roman"/>
          <w:bCs/>
          <w:color w:val="000000" w:themeColor="text1"/>
          <w:sz w:val="24"/>
          <w:szCs w:val="24"/>
        </w:rPr>
        <w:t>PET</w:t>
      </w:r>
      <w:r w:rsidRPr="00092862">
        <w:rPr>
          <w:rFonts w:ascii="Times New Roman" w:eastAsia="宋体" w:hAnsi="Times New Roman" w:cs="Times New Roman"/>
          <w:bCs/>
          <w:color w:val="000000" w:themeColor="text1"/>
          <w:sz w:val="24"/>
          <w:szCs w:val="24"/>
        </w:rPr>
        <w:t>为多年平均潜在蒸发量，</w:t>
      </w:r>
      <w:r w:rsidRPr="00092862">
        <w:rPr>
          <w:rFonts w:ascii="Times New Roman" w:eastAsia="宋体" w:hAnsi="Times New Roman" w:cs="Times New Roman"/>
          <w:bCs/>
          <w:color w:val="000000" w:themeColor="text1"/>
          <w:sz w:val="24"/>
          <w:szCs w:val="24"/>
        </w:rPr>
        <w:t>ω</w:t>
      </w:r>
      <w:r w:rsidRPr="00092862">
        <w:rPr>
          <w:rFonts w:ascii="Times New Roman" w:eastAsia="宋体" w:hAnsi="Times New Roman" w:cs="Times New Roman"/>
          <w:bCs/>
          <w:color w:val="000000" w:themeColor="text1"/>
          <w:sz w:val="24"/>
          <w:szCs w:val="24"/>
        </w:rPr>
        <w:t>为下垫面（土地覆盖）影响系数，依据土地利用类型取值。</w:t>
      </w:r>
    </w:p>
    <w:p w14:paraId="7868B570"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由于项目区面积较小，项目区水源涵养功能重要性分布差异主要受到</w:t>
      </w:r>
      <w:r w:rsidRPr="00092862">
        <w:rPr>
          <w:rFonts w:ascii="Times New Roman" w:eastAsia="宋体" w:hAnsi="Times New Roman" w:cs="Times New Roman"/>
          <w:bCs/>
          <w:color w:val="000000" w:themeColor="text1"/>
          <w:sz w:val="24"/>
          <w:szCs w:val="24"/>
        </w:rPr>
        <w:t>ω</w:t>
      </w:r>
      <w:r w:rsidRPr="00092862">
        <w:rPr>
          <w:rFonts w:ascii="Times New Roman" w:eastAsia="宋体" w:hAnsi="Times New Roman" w:cs="Times New Roman"/>
          <w:bCs/>
          <w:color w:val="000000" w:themeColor="text1"/>
          <w:sz w:val="24"/>
          <w:szCs w:val="24"/>
        </w:rPr>
        <w:t>下垫面的影响。其中，极重要的面积最大，达到</w:t>
      </w:r>
      <w:r w:rsidRPr="00092862">
        <w:rPr>
          <w:rFonts w:ascii="Times New Roman" w:eastAsia="宋体" w:hAnsi="Times New Roman" w:cs="Times New Roman"/>
          <w:color w:val="000000" w:themeColor="text1"/>
          <w:kern w:val="0"/>
          <w:sz w:val="24"/>
          <w:szCs w:val="24"/>
          <w:lang w:bidi="ar"/>
        </w:rPr>
        <w:t>1143.34</w:t>
      </w:r>
      <w:r w:rsidRPr="00092862">
        <w:rPr>
          <w:rFonts w:ascii="Times New Roman" w:eastAsia="宋体" w:hAnsi="Times New Roman" w:cs="Times New Roman"/>
          <w:bCs/>
          <w:color w:val="000000" w:themeColor="text1"/>
          <w:sz w:val="24"/>
          <w:szCs w:val="24"/>
        </w:rPr>
        <w:t>hm²</w:t>
      </w:r>
      <w:r w:rsidRPr="00092862">
        <w:rPr>
          <w:rFonts w:ascii="Times New Roman" w:eastAsia="宋体" w:hAnsi="Times New Roman" w:cs="Times New Roman"/>
          <w:bCs/>
          <w:color w:val="000000" w:themeColor="text1"/>
          <w:sz w:val="24"/>
          <w:szCs w:val="24"/>
        </w:rPr>
        <w:t>，占总面积的比例为</w:t>
      </w:r>
      <w:r w:rsidRPr="00092862">
        <w:rPr>
          <w:rFonts w:ascii="Times New Roman" w:eastAsia="宋体" w:hAnsi="Times New Roman" w:cs="Times New Roman"/>
          <w:color w:val="000000" w:themeColor="text1"/>
          <w:kern w:val="0"/>
          <w:sz w:val="24"/>
          <w:szCs w:val="24"/>
          <w:lang w:bidi="ar"/>
        </w:rPr>
        <w:t>83.42</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，一般重要的面积最小，为</w:t>
      </w:r>
      <w:r w:rsidRPr="00092862">
        <w:rPr>
          <w:rFonts w:ascii="Times New Roman" w:eastAsia="宋体" w:hAnsi="Times New Roman" w:cs="Times New Roman"/>
          <w:color w:val="000000" w:themeColor="text1"/>
          <w:kern w:val="0"/>
          <w:sz w:val="24"/>
          <w:szCs w:val="24"/>
          <w:lang w:bidi="ar"/>
        </w:rPr>
        <w:t>16.04</w:t>
      </w:r>
      <w:r w:rsidRPr="00092862">
        <w:rPr>
          <w:rFonts w:ascii="Times New Roman" w:eastAsia="宋体" w:hAnsi="Times New Roman" w:cs="Times New Roman"/>
          <w:bCs/>
          <w:color w:val="000000" w:themeColor="text1"/>
          <w:sz w:val="24"/>
          <w:szCs w:val="24"/>
        </w:rPr>
        <w:t>hm²</w:t>
      </w:r>
      <w:r w:rsidRPr="00092862">
        <w:rPr>
          <w:rFonts w:ascii="Times New Roman" w:eastAsia="宋体" w:hAnsi="Times New Roman" w:cs="Times New Roman"/>
          <w:bCs/>
          <w:color w:val="000000" w:themeColor="text1"/>
          <w:sz w:val="24"/>
          <w:szCs w:val="24"/>
        </w:rPr>
        <w:t>，占总面积的比例为</w:t>
      </w:r>
      <w:r w:rsidRPr="00092862">
        <w:rPr>
          <w:rFonts w:ascii="Times New Roman" w:eastAsia="宋体" w:hAnsi="Times New Roman" w:cs="Times New Roman"/>
          <w:color w:val="000000" w:themeColor="text1"/>
          <w:kern w:val="0"/>
          <w:sz w:val="24"/>
          <w:szCs w:val="24"/>
          <w:lang w:bidi="ar"/>
        </w:rPr>
        <w:t>1.17</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，详见表</w:t>
      </w:r>
      <w:r w:rsidRPr="00092862">
        <w:rPr>
          <w:rFonts w:ascii="Times New Roman" w:eastAsia="宋体" w:hAnsi="Times New Roman" w:cs="Times New Roman"/>
          <w:bCs/>
          <w:color w:val="000000" w:themeColor="text1"/>
          <w:sz w:val="24"/>
          <w:szCs w:val="24"/>
        </w:rPr>
        <w:t>4.3-18</w:t>
      </w:r>
      <w:r w:rsidRPr="00092862">
        <w:rPr>
          <w:rFonts w:ascii="Times New Roman" w:eastAsia="宋体" w:hAnsi="Times New Roman" w:cs="Times New Roman"/>
          <w:bCs/>
          <w:color w:val="000000" w:themeColor="text1"/>
          <w:sz w:val="24"/>
          <w:szCs w:val="24"/>
        </w:rPr>
        <w:t>。</w:t>
      </w:r>
    </w:p>
    <w:p w14:paraId="64057E93"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4.3-18 </w:t>
      </w:r>
      <w:r w:rsidRPr="00092862">
        <w:rPr>
          <w:rFonts w:ascii="Times New Roman" w:eastAsia="宋体" w:hAnsi="Times New Roman" w:cs="Times New Roman"/>
          <w:b/>
          <w:color w:val="000000" w:themeColor="text1"/>
          <w:kern w:val="0"/>
          <w:szCs w:val="24"/>
        </w:rPr>
        <w:t>评价区水源涵养功能重要性评价分布表</w:t>
      </w:r>
    </w:p>
    <w:tbl>
      <w:tblPr>
        <w:tblStyle w:val="45"/>
        <w:tblW w:w="5000" w:type="pct"/>
        <w:tblInd w:w="0" w:type="dxa"/>
        <w:tblLook w:val="0000" w:firstRow="0" w:lastRow="0" w:firstColumn="0" w:lastColumn="0" w:noHBand="0" w:noVBand="0"/>
      </w:tblPr>
      <w:tblGrid>
        <w:gridCol w:w="1843"/>
        <w:gridCol w:w="1914"/>
        <w:gridCol w:w="2045"/>
        <w:gridCol w:w="2498"/>
      </w:tblGrid>
      <w:tr w:rsidR="00697429" w:rsidRPr="00092862" w14:paraId="70669636" w14:textId="77777777" w:rsidTr="00A364AF">
        <w:trPr>
          <w:trHeight w:hRule="exact" w:val="397"/>
        </w:trPr>
        <w:tc>
          <w:tcPr>
            <w:tcW w:w="1110" w:type="pct"/>
            <w:vAlign w:val="center"/>
          </w:tcPr>
          <w:p w14:paraId="41D5B507" w14:textId="77777777" w:rsidR="009E4715" w:rsidRPr="00092862" w:rsidRDefault="009E4715" w:rsidP="009E4715">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分级</w:t>
            </w:r>
          </w:p>
        </w:tc>
        <w:tc>
          <w:tcPr>
            <w:tcW w:w="1153" w:type="pct"/>
            <w:vAlign w:val="center"/>
          </w:tcPr>
          <w:p w14:paraId="3E8EAF66" w14:textId="77777777" w:rsidR="009E4715" w:rsidRPr="00092862" w:rsidRDefault="009E4715" w:rsidP="009E4715">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面积（</w:t>
            </w:r>
            <w:r w:rsidRPr="00092862">
              <w:rPr>
                <w:rFonts w:ascii="Times New Roman" w:eastAsia="宋体" w:hAnsi="Times New Roman" w:cs="Times New Roman"/>
                <w:color w:val="000000" w:themeColor="text1"/>
                <w:szCs w:val="21"/>
              </w:rPr>
              <w:t>hm²</w:t>
            </w:r>
            <w:r w:rsidRPr="00092862">
              <w:rPr>
                <w:rFonts w:ascii="Times New Roman" w:eastAsia="宋体" w:hAnsi="Times New Roman" w:cs="Times New Roman"/>
                <w:color w:val="000000" w:themeColor="text1"/>
                <w:szCs w:val="21"/>
              </w:rPr>
              <w:t>）</w:t>
            </w:r>
          </w:p>
        </w:tc>
        <w:tc>
          <w:tcPr>
            <w:tcW w:w="1232" w:type="pct"/>
            <w:vAlign w:val="center"/>
          </w:tcPr>
          <w:p w14:paraId="02EBBE71" w14:textId="77777777" w:rsidR="009E4715" w:rsidRPr="00092862" w:rsidRDefault="009E4715" w:rsidP="009E4715">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比例（</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1505" w:type="pct"/>
            <w:vAlign w:val="center"/>
          </w:tcPr>
          <w:p w14:paraId="28F5951F" w14:textId="77777777" w:rsidR="009E4715" w:rsidRPr="00092862" w:rsidRDefault="009E4715" w:rsidP="009E4715">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分布特征</w:t>
            </w:r>
          </w:p>
        </w:tc>
      </w:tr>
      <w:tr w:rsidR="00697429" w:rsidRPr="00092862" w14:paraId="57115BFC" w14:textId="77777777" w:rsidTr="00A364AF">
        <w:trPr>
          <w:trHeight w:hRule="exact" w:val="397"/>
        </w:trPr>
        <w:tc>
          <w:tcPr>
            <w:tcW w:w="1110" w:type="pct"/>
            <w:vAlign w:val="center"/>
          </w:tcPr>
          <w:p w14:paraId="2A9D7F31"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一般重要</w:t>
            </w:r>
          </w:p>
        </w:tc>
        <w:tc>
          <w:tcPr>
            <w:tcW w:w="1153" w:type="pct"/>
            <w:vAlign w:val="center"/>
          </w:tcPr>
          <w:p w14:paraId="77255217"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16.04</w:t>
            </w:r>
          </w:p>
        </w:tc>
        <w:tc>
          <w:tcPr>
            <w:tcW w:w="1232" w:type="pct"/>
            <w:vAlign w:val="center"/>
          </w:tcPr>
          <w:p w14:paraId="6DCB2DA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1.17 </w:t>
            </w:r>
          </w:p>
        </w:tc>
        <w:tc>
          <w:tcPr>
            <w:tcW w:w="1505" w:type="pct"/>
            <w:vAlign w:val="center"/>
          </w:tcPr>
          <w:p w14:paraId="26A3055C"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非植被区植被区</w:t>
            </w:r>
          </w:p>
        </w:tc>
      </w:tr>
      <w:tr w:rsidR="00697429" w:rsidRPr="00092862" w14:paraId="31031D6C" w14:textId="77777777" w:rsidTr="00A364AF">
        <w:trPr>
          <w:trHeight w:hRule="exact" w:val="397"/>
        </w:trPr>
        <w:tc>
          <w:tcPr>
            <w:tcW w:w="1110" w:type="pct"/>
            <w:vAlign w:val="center"/>
          </w:tcPr>
          <w:p w14:paraId="5002A9EA"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较重要</w:t>
            </w:r>
          </w:p>
        </w:tc>
        <w:tc>
          <w:tcPr>
            <w:tcW w:w="1153" w:type="pct"/>
            <w:vAlign w:val="center"/>
          </w:tcPr>
          <w:p w14:paraId="113D47E8"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25.37</w:t>
            </w:r>
          </w:p>
        </w:tc>
        <w:tc>
          <w:tcPr>
            <w:tcW w:w="1232" w:type="pct"/>
            <w:vAlign w:val="center"/>
          </w:tcPr>
          <w:p w14:paraId="76FC5736"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1.85 </w:t>
            </w:r>
          </w:p>
        </w:tc>
        <w:tc>
          <w:tcPr>
            <w:tcW w:w="1505" w:type="pct"/>
            <w:vAlign w:val="center"/>
          </w:tcPr>
          <w:p w14:paraId="49AA9AD8"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中低低覆盖度植被区</w:t>
            </w:r>
          </w:p>
        </w:tc>
      </w:tr>
      <w:tr w:rsidR="00697429" w:rsidRPr="00092862" w14:paraId="3C59303C" w14:textId="77777777" w:rsidTr="00A364AF">
        <w:trPr>
          <w:trHeight w:hRule="exact" w:val="397"/>
        </w:trPr>
        <w:tc>
          <w:tcPr>
            <w:tcW w:w="1110" w:type="pct"/>
            <w:vAlign w:val="center"/>
          </w:tcPr>
          <w:p w14:paraId="5F8C809D"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中度重要</w:t>
            </w:r>
          </w:p>
        </w:tc>
        <w:tc>
          <w:tcPr>
            <w:tcW w:w="1153" w:type="pct"/>
            <w:vAlign w:val="center"/>
          </w:tcPr>
          <w:p w14:paraId="2C2EF2B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43.81</w:t>
            </w:r>
          </w:p>
        </w:tc>
        <w:tc>
          <w:tcPr>
            <w:tcW w:w="1232" w:type="pct"/>
            <w:vAlign w:val="center"/>
          </w:tcPr>
          <w:p w14:paraId="2021E44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3.20 </w:t>
            </w:r>
          </w:p>
        </w:tc>
        <w:tc>
          <w:tcPr>
            <w:tcW w:w="1505" w:type="pct"/>
            <w:vAlign w:val="center"/>
          </w:tcPr>
          <w:p w14:paraId="4F3EEEBA"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中覆盖度植被区</w:t>
            </w:r>
          </w:p>
        </w:tc>
      </w:tr>
      <w:tr w:rsidR="00697429" w:rsidRPr="00092862" w14:paraId="3980D52F" w14:textId="77777777" w:rsidTr="00A364AF">
        <w:trPr>
          <w:trHeight w:hRule="exact" w:val="397"/>
        </w:trPr>
        <w:tc>
          <w:tcPr>
            <w:tcW w:w="1110" w:type="pct"/>
            <w:vAlign w:val="center"/>
          </w:tcPr>
          <w:p w14:paraId="449C3F6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高度重要</w:t>
            </w:r>
          </w:p>
        </w:tc>
        <w:tc>
          <w:tcPr>
            <w:tcW w:w="1153" w:type="pct"/>
            <w:vAlign w:val="center"/>
          </w:tcPr>
          <w:p w14:paraId="3938D81D"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141.97</w:t>
            </w:r>
          </w:p>
        </w:tc>
        <w:tc>
          <w:tcPr>
            <w:tcW w:w="1232" w:type="pct"/>
            <w:vAlign w:val="center"/>
          </w:tcPr>
          <w:p w14:paraId="54C7A2E1"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10.36 </w:t>
            </w:r>
          </w:p>
        </w:tc>
        <w:tc>
          <w:tcPr>
            <w:tcW w:w="1505" w:type="pct"/>
            <w:vAlign w:val="center"/>
          </w:tcPr>
          <w:p w14:paraId="09C0837C"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中高覆盖度植被区</w:t>
            </w:r>
          </w:p>
        </w:tc>
      </w:tr>
      <w:tr w:rsidR="00697429" w:rsidRPr="00092862" w14:paraId="29C53AF9" w14:textId="77777777" w:rsidTr="00A364AF">
        <w:trPr>
          <w:trHeight w:hRule="exact" w:val="397"/>
        </w:trPr>
        <w:tc>
          <w:tcPr>
            <w:tcW w:w="1110" w:type="pct"/>
            <w:vAlign w:val="center"/>
          </w:tcPr>
          <w:p w14:paraId="1E7F3B33"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极重要</w:t>
            </w:r>
          </w:p>
        </w:tc>
        <w:tc>
          <w:tcPr>
            <w:tcW w:w="1153" w:type="pct"/>
            <w:vAlign w:val="center"/>
          </w:tcPr>
          <w:p w14:paraId="120EE62D"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1143.34</w:t>
            </w:r>
          </w:p>
        </w:tc>
        <w:tc>
          <w:tcPr>
            <w:tcW w:w="1232" w:type="pct"/>
            <w:vAlign w:val="center"/>
          </w:tcPr>
          <w:p w14:paraId="60A10D3C"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83.42 </w:t>
            </w:r>
          </w:p>
        </w:tc>
        <w:tc>
          <w:tcPr>
            <w:tcW w:w="1505" w:type="pct"/>
            <w:vAlign w:val="center"/>
          </w:tcPr>
          <w:p w14:paraId="1D859C2D"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高覆盖度植被区</w:t>
            </w:r>
          </w:p>
        </w:tc>
      </w:tr>
      <w:tr w:rsidR="00697429" w:rsidRPr="00092862" w14:paraId="268D2FF4" w14:textId="77777777" w:rsidTr="00A364AF">
        <w:trPr>
          <w:trHeight w:hRule="exact" w:val="397"/>
        </w:trPr>
        <w:tc>
          <w:tcPr>
            <w:tcW w:w="1110" w:type="pct"/>
            <w:vAlign w:val="center"/>
          </w:tcPr>
          <w:p w14:paraId="0E74270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1153" w:type="pct"/>
            <w:vAlign w:val="center"/>
          </w:tcPr>
          <w:p w14:paraId="1909A603"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1370.53</w:t>
            </w:r>
          </w:p>
        </w:tc>
        <w:tc>
          <w:tcPr>
            <w:tcW w:w="1232" w:type="pct"/>
            <w:vAlign w:val="center"/>
          </w:tcPr>
          <w:p w14:paraId="22328799"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100.00 </w:t>
            </w:r>
          </w:p>
        </w:tc>
        <w:tc>
          <w:tcPr>
            <w:tcW w:w="1505" w:type="pct"/>
            <w:vAlign w:val="center"/>
          </w:tcPr>
          <w:p w14:paraId="0788CF81" w14:textId="77777777" w:rsidR="009E4715" w:rsidRPr="00092862" w:rsidRDefault="009E4715" w:rsidP="009E4715">
            <w:pPr>
              <w:jc w:val="center"/>
              <w:rPr>
                <w:rFonts w:ascii="Times New Roman" w:eastAsia="宋体" w:hAnsi="Times New Roman" w:cs="Times New Roman"/>
                <w:color w:val="000000" w:themeColor="text1"/>
                <w:szCs w:val="21"/>
              </w:rPr>
            </w:pPr>
          </w:p>
        </w:tc>
      </w:tr>
    </w:tbl>
    <w:p w14:paraId="11755DF0" w14:textId="77777777" w:rsidR="009E4715" w:rsidRPr="00092862" w:rsidRDefault="009E4715" w:rsidP="00092862">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、生物多样性保护功能分级评价</w:t>
      </w:r>
    </w:p>
    <w:p w14:paraId="5EA17FCD"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采用基于生境多样性的方法进行评价：</w:t>
      </w:r>
    </w:p>
    <w:p w14:paraId="74B0BD7A" w14:textId="77777777" w:rsidR="009E4715" w:rsidRPr="00092862" w:rsidRDefault="00000000"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Pr>
          <w:rFonts w:ascii="Times New Roman" w:eastAsia="宋体" w:hAnsi="Times New Roman" w:cs="Times New Roman"/>
          <w:bCs/>
          <w:color w:val="000000" w:themeColor="text1"/>
          <w:sz w:val="24"/>
          <w:szCs w:val="24"/>
        </w:rPr>
        <w:pict w14:anchorId="356AFE10">
          <v:shape id="图片 167" o:spid="_x0000_i1029" type="#_x0000_t75" style="width:166.8pt;height:19.25pt;mso-wrap-style:square;mso-position-horizontal-relative:page;mso-position-vertical-relative:page">
            <v:imagedata r:id="rId75" o:title=""/>
          </v:shape>
        </w:pict>
      </w:r>
    </w:p>
    <w:p w14:paraId="3B61E1A3" w14:textId="77777777" w:rsidR="009E4715" w:rsidRPr="00092862" w:rsidRDefault="009E4715" w:rsidP="00092862">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式中：</w:t>
      </w:r>
      <w:r w:rsidRPr="00092862">
        <w:rPr>
          <w:rFonts w:ascii="Times New Roman" w:eastAsia="宋体" w:hAnsi="Times New Roman" w:cs="Times New Roman"/>
          <w:bCs/>
          <w:color w:val="000000" w:themeColor="text1"/>
          <w:sz w:val="24"/>
          <w:szCs w:val="24"/>
        </w:rPr>
        <w:t>Sbio</w:t>
      </w:r>
      <w:r w:rsidRPr="00092862">
        <w:rPr>
          <w:rFonts w:ascii="Times New Roman" w:eastAsia="宋体" w:hAnsi="Times New Roman" w:cs="Times New Roman"/>
          <w:bCs/>
          <w:color w:val="000000" w:themeColor="text1"/>
          <w:sz w:val="24"/>
          <w:szCs w:val="24"/>
        </w:rPr>
        <w:t>为生物多样性保护服务，</w:t>
      </w:r>
      <w:r w:rsidRPr="00092862">
        <w:rPr>
          <w:rFonts w:ascii="Times New Roman" w:eastAsia="宋体" w:hAnsi="Times New Roman" w:cs="Times New Roman"/>
          <w:bCs/>
          <w:color w:val="000000" w:themeColor="text1"/>
          <w:sz w:val="24"/>
          <w:szCs w:val="24"/>
        </w:rPr>
        <w:t>NPPmean</w:t>
      </w:r>
      <w:r w:rsidRPr="00092862">
        <w:rPr>
          <w:rFonts w:ascii="Times New Roman" w:eastAsia="宋体" w:hAnsi="Times New Roman" w:cs="Times New Roman"/>
          <w:bCs/>
          <w:color w:val="000000" w:themeColor="text1"/>
          <w:sz w:val="24"/>
          <w:szCs w:val="24"/>
        </w:rPr>
        <w:t>参数的计算方法同上，</w:t>
      </w:r>
      <w:r w:rsidRPr="00092862">
        <w:rPr>
          <w:rFonts w:ascii="Times New Roman" w:eastAsia="宋体" w:hAnsi="Times New Roman" w:cs="Times New Roman"/>
          <w:bCs/>
          <w:color w:val="000000" w:themeColor="text1"/>
          <w:sz w:val="24"/>
          <w:szCs w:val="24"/>
        </w:rPr>
        <w:t>Ftem</w:t>
      </w:r>
      <w:r w:rsidRPr="00092862">
        <w:rPr>
          <w:rFonts w:ascii="Times New Roman" w:eastAsia="宋体" w:hAnsi="Times New Roman" w:cs="Times New Roman"/>
          <w:bCs/>
          <w:color w:val="000000" w:themeColor="text1"/>
          <w:sz w:val="24"/>
          <w:szCs w:val="24"/>
        </w:rPr>
        <w:t>为气温参数，由多年（</w:t>
      </w:r>
      <w:r w:rsidRPr="00092862">
        <w:rPr>
          <w:rFonts w:ascii="Times New Roman" w:eastAsia="宋体" w:hAnsi="Times New Roman" w:cs="Times New Roman"/>
          <w:bCs/>
          <w:color w:val="000000" w:themeColor="text1"/>
          <w:sz w:val="24"/>
          <w:szCs w:val="24"/>
        </w:rPr>
        <w:t>10~30</w:t>
      </w:r>
      <w:r w:rsidRPr="00092862">
        <w:rPr>
          <w:rFonts w:ascii="Times New Roman" w:eastAsia="宋体" w:hAnsi="Times New Roman" w:cs="Times New Roman"/>
          <w:bCs/>
          <w:color w:val="000000" w:themeColor="text1"/>
          <w:sz w:val="24"/>
          <w:szCs w:val="24"/>
        </w:rPr>
        <w:t>年）平均年降水量数据插值获得，得到的结果归一化到</w:t>
      </w:r>
      <w:r w:rsidRPr="00092862">
        <w:rPr>
          <w:rFonts w:ascii="Times New Roman" w:eastAsia="宋体" w:hAnsi="Times New Roman" w:cs="Times New Roman"/>
          <w:bCs/>
          <w:color w:val="000000" w:themeColor="text1"/>
          <w:sz w:val="24"/>
          <w:szCs w:val="24"/>
        </w:rPr>
        <w:t>0~1</w:t>
      </w:r>
      <w:r w:rsidRPr="00092862">
        <w:rPr>
          <w:rFonts w:ascii="Times New Roman" w:eastAsia="宋体" w:hAnsi="Times New Roman" w:cs="Times New Roman"/>
          <w:bCs/>
          <w:color w:val="000000" w:themeColor="text1"/>
          <w:sz w:val="24"/>
          <w:szCs w:val="24"/>
        </w:rPr>
        <w:t>之间。</w:t>
      </w:r>
      <w:r w:rsidRPr="00092862">
        <w:rPr>
          <w:rFonts w:ascii="Times New Roman" w:eastAsia="宋体" w:hAnsi="Times New Roman" w:cs="Times New Roman"/>
          <w:bCs/>
          <w:color w:val="000000" w:themeColor="text1"/>
          <w:sz w:val="24"/>
          <w:szCs w:val="24"/>
        </w:rPr>
        <w:t>Falt</w:t>
      </w:r>
      <w:r w:rsidRPr="00092862">
        <w:rPr>
          <w:rFonts w:ascii="Times New Roman" w:eastAsia="宋体" w:hAnsi="Times New Roman" w:cs="Times New Roman"/>
          <w:bCs/>
          <w:color w:val="000000" w:themeColor="text1"/>
          <w:sz w:val="24"/>
          <w:szCs w:val="24"/>
        </w:rPr>
        <w:t>为海拔参数，由评价区海拔进行归一化获得。</w:t>
      </w:r>
      <w:r w:rsidRPr="00092862">
        <w:rPr>
          <w:rFonts w:ascii="Times New Roman" w:eastAsia="宋体" w:hAnsi="Times New Roman" w:cs="Times New Roman"/>
          <w:bCs/>
          <w:color w:val="000000" w:themeColor="text1"/>
          <w:sz w:val="24"/>
          <w:szCs w:val="24"/>
        </w:rPr>
        <w:t>Fpre</w:t>
      </w:r>
      <w:r w:rsidRPr="00092862">
        <w:rPr>
          <w:rFonts w:ascii="Times New Roman" w:eastAsia="宋体" w:hAnsi="Times New Roman" w:cs="Times New Roman"/>
          <w:bCs/>
          <w:color w:val="000000" w:themeColor="text1"/>
          <w:sz w:val="24"/>
          <w:szCs w:val="24"/>
        </w:rPr>
        <w:t>参数根据降水量分布数据，利用计算机进行归一化处理得到，其分布规律与水源涵养功能重要性评价中平均降水量</w:t>
      </w:r>
      <w:r w:rsidRPr="00092862">
        <w:rPr>
          <w:rFonts w:ascii="Times New Roman" w:eastAsia="宋体" w:hAnsi="Times New Roman" w:cs="Times New Roman"/>
          <w:bCs/>
          <w:color w:val="000000" w:themeColor="text1"/>
          <w:sz w:val="24"/>
          <w:szCs w:val="24"/>
        </w:rPr>
        <w:t>P</w:t>
      </w:r>
      <w:r w:rsidRPr="00092862">
        <w:rPr>
          <w:rFonts w:ascii="Times New Roman" w:eastAsia="宋体" w:hAnsi="Times New Roman" w:cs="Times New Roman"/>
          <w:bCs/>
          <w:color w:val="000000" w:themeColor="text1"/>
          <w:sz w:val="24"/>
          <w:szCs w:val="24"/>
        </w:rPr>
        <w:t>值分布规律相同。</w:t>
      </w:r>
    </w:p>
    <w:p w14:paraId="351A0ED8" w14:textId="77777777" w:rsidR="009E4715" w:rsidRPr="00092862" w:rsidRDefault="009E4715" w:rsidP="009E471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经过计算分析，土壤保持功能等级比例最大的极重要，面积</w:t>
      </w:r>
      <w:r w:rsidRPr="00092862">
        <w:rPr>
          <w:rFonts w:ascii="Times New Roman" w:eastAsia="宋体" w:hAnsi="Times New Roman" w:cs="Times New Roman"/>
          <w:color w:val="000000" w:themeColor="text1"/>
          <w:kern w:val="0"/>
          <w:sz w:val="24"/>
          <w:szCs w:val="24"/>
          <w:lang w:bidi="ar"/>
        </w:rPr>
        <w:t>1139.67</w:t>
      </w:r>
      <w:r w:rsidRPr="00092862">
        <w:rPr>
          <w:rFonts w:ascii="Times New Roman" w:eastAsia="宋体" w:hAnsi="Times New Roman" w:cs="Times New Roman"/>
          <w:bCs/>
          <w:color w:val="000000" w:themeColor="text1"/>
          <w:sz w:val="24"/>
          <w:szCs w:val="24"/>
        </w:rPr>
        <w:t>hm²</w:t>
      </w:r>
      <w:r w:rsidRPr="00092862">
        <w:rPr>
          <w:rFonts w:ascii="Times New Roman" w:eastAsia="宋体" w:hAnsi="Times New Roman" w:cs="Times New Roman"/>
          <w:bCs/>
          <w:color w:val="000000" w:themeColor="text1"/>
          <w:sz w:val="24"/>
          <w:szCs w:val="24"/>
        </w:rPr>
        <w:t>，比例为</w:t>
      </w:r>
      <w:r w:rsidRPr="00092862">
        <w:rPr>
          <w:rFonts w:ascii="Times New Roman" w:eastAsia="宋体" w:hAnsi="Times New Roman" w:cs="Times New Roman"/>
          <w:color w:val="000000" w:themeColor="text1"/>
          <w:kern w:val="0"/>
          <w:sz w:val="24"/>
          <w:szCs w:val="24"/>
          <w:lang w:bidi="ar"/>
        </w:rPr>
        <w:t>83.16</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，重要性等级比例最小的为</w:t>
      </w:r>
      <w:r w:rsidRPr="00092862">
        <w:rPr>
          <w:rFonts w:ascii="Times New Roman" w:eastAsia="宋体" w:hAnsi="Times New Roman" w:cs="Times New Roman"/>
          <w:color w:val="000000" w:themeColor="text1"/>
          <w:sz w:val="24"/>
          <w:szCs w:val="24"/>
        </w:rPr>
        <w:t>中度重要</w:t>
      </w:r>
      <w:r w:rsidRPr="00092862">
        <w:rPr>
          <w:rFonts w:ascii="Times New Roman" w:eastAsia="宋体" w:hAnsi="Times New Roman" w:cs="Times New Roman"/>
          <w:bCs/>
          <w:color w:val="000000" w:themeColor="text1"/>
          <w:sz w:val="24"/>
          <w:szCs w:val="24"/>
        </w:rPr>
        <w:t>，面积</w:t>
      </w:r>
      <w:r w:rsidRPr="00092862">
        <w:rPr>
          <w:rFonts w:ascii="Times New Roman" w:eastAsia="宋体" w:hAnsi="Times New Roman" w:cs="Times New Roman"/>
          <w:color w:val="000000" w:themeColor="text1"/>
          <w:kern w:val="0"/>
          <w:sz w:val="24"/>
          <w:szCs w:val="24"/>
          <w:lang w:bidi="ar"/>
        </w:rPr>
        <w:t>12.44</w:t>
      </w:r>
      <w:r w:rsidRPr="00092862">
        <w:rPr>
          <w:rFonts w:ascii="Times New Roman" w:eastAsia="宋体" w:hAnsi="Times New Roman" w:cs="Times New Roman"/>
          <w:bCs/>
          <w:color w:val="000000" w:themeColor="text1"/>
          <w:sz w:val="24"/>
          <w:szCs w:val="24"/>
        </w:rPr>
        <w:t>hm</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，比例为</w:t>
      </w:r>
      <w:r w:rsidRPr="00092862">
        <w:rPr>
          <w:rFonts w:ascii="Times New Roman" w:eastAsia="宋体" w:hAnsi="Times New Roman" w:cs="Times New Roman"/>
          <w:color w:val="000000" w:themeColor="text1"/>
          <w:kern w:val="0"/>
          <w:sz w:val="24"/>
          <w:szCs w:val="24"/>
          <w:lang w:bidi="ar"/>
        </w:rPr>
        <w:t>0.91</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，详见表</w:t>
      </w:r>
      <w:r w:rsidRPr="00092862">
        <w:rPr>
          <w:rFonts w:ascii="Times New Roman" w:eastAsia="宋体" w:hAnsi="Times New Roman" w:cs="Times New Roman"/>
          <w:bCs/>
          <w:color w:val="000000" w:themeColor="text1"/>
          <w:sz w:val="24"/>
          <w:szCs w:val="24"/>
        </w:rPr>
        <w:t>4.3-19</w:t>
      </w:r>
      <w:r w:rsidRPr="00092862">
        <w:rPr>
          <w:rFonts w:ascii="Times New Roman" w:eastAsia="宋体" w:hAnsi="Times New Roman" w:cs="Times New Roman"/>
          <w:bCs/>
          <w:color w:val="000000" w:themeColor="text1"/>
          <w:sz w:val="24"/>
          <w:szCs w:val="24"/>
        </w:rPr>
        <w:t>。</w:t>
      </w:r>
    </w:p>
    <w:p w14:paraId="43B84C23"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4.3-19 </w:t>
      </w:r>
      <w:r w:rsidRPr="00092862">
        <w:rPr>
          <w:rFonts w:ascii="Times New Roman" w:eastAsia="宋体" w:hAnsi="Times New Roman" w:cs="Times New Roman"/>
          <w:b/>
          <w:color w:val="000000" w:themeColor="text1"/>
          <w:kern w:val="0"/>
          <w:szCs w:val="24"/>
        </w:rPr>
        <w:t>评价区生物多样性保护功能评价分布表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0"/>
        <w:gridCol w:w="1514"/>
        <w:gridCol w:w="1549"/>
        <w:gridCol w:w="3627"/>
      </w:tblGrid>
      <w:tr w:rsidR="00697429" w:rsidRPr="00092862" w14:paraId="7D9AE3DA" w14:textId="77777777" w:rsidTr="00A364AF">
        <w:trPr>
          <w:trHeight w:hRule="exact" w:val="397"/>
          <w:jc w:val="center"/>
        </w:trPr>
        <w:tc>
          <w:tcPr>
            <w:tcW w:w="970" w:type="pct"/>
            <w:vAlign w:val="center"/>
          </w:tcPr>
          <w:p w14:paraId="104DA220"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重要性</w:t>
            </w:r>
          </w:p>
        </w:tc>
        <w:tc>
          <w:tcPr>
            <w:tcW w:w="912" w:type="pct"/>
            <w:vAlign w:val="center"/>
          </w:tcPr>
          <w:p w14:paraId="0D515D13"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面积（</w:t>
            </w:r>
            <w:r w:rsidRPr="00092862">
              <w:rPr>
                <w:rFonts w:ascii="Times New Roman" w:eastAsia="宋体" w:hAnsi="Times New Roman" w:cs="Times New Roman"/>
                <w:color w:val="000000" w:themeColor="text1"/>
                <w:szCs w:val="21"/>
              </w:rPr>
              <w:t>hm</w:t>
            </w:r>
            <w:r w:rsidRPr="00092862">
              <w:rPr>
                <w:rFonts w:ascii="Times New Roman" w:eastAsia="宋体" w:hAnsi="Times New Roman" w:cs="Times New Roman"/>
                <w:color w:val="000000" w:themeColor="text1"/>
                <w:szCs w:val="21"/>
                <w:vertAlign w:val="superscript"/>
              </w:rPr>
              <w:t>2</w:t>
            </w:r>
            <w:r w:rsidRPr="00092862">
              <w:rPr>
                <w:rFonts w:ascii="Times New Roman" w:eastAsia="宋体" w:hAnsi="Times New Roman" w:cs="Times New Roman"/>
                <w:color w:val="000000" w:themeColor="text1"/>
                <w:szCs w:val="21"/>
              </w:rPr>
              <w:t>）</w:t>
            </w:r>
          </w:p>
        </w:tc>
        <w:tc>
          <w:tcPr>
            <w:tcW w:w="933" w:type="pct"/>
            <w:vAlign w:val="center"/>
          </w:tcPr>
          <w:p w14:paraId="056C6544"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比例（</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2185" w:type="pct"/>
            <w:vAlign w:val="center"/>
          </w:tcPr>
          <w:p w14:paraId="2A75A07F"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分布特征</w:t>
            </w:r>
          </w:p>
        </w:tc>
      </w:tr>
      <w:tr w:rsidR="00697429" w:rsidRPr="00092862" w14:paraId="1CA75110" w14:textId="77777777" w:rsidTr="00A364AF">
        <w:trPr>
          <w:trHeight w:hRule="exact" w:val="397"/>
          <w:jc w:val="center"/>
        </w:trPr>
        <w:tc>
          <w:tcPr>
            <w:tcW w:w="970" w:type="pct"/>
            <w:vAlign w:val="center"/>
          </w:tcPr>
          <w:p w14:paraId="3A24197B"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一般重要</w:t>
            </w:r>
          </w:p>
        </w:tc>
        <w:tc>
          <w:tcPr>
            <w:tcW w:w="912" w:type="pct"/>
            <w:vAlign w:val="bottom"/>
          </w:tcPr>
          <w:p w14:paraId="15F2641F"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33.67</w:t>
            </w:r>
          </w:p>
        </w:tc>
        <w:tc>
          <w:tcPr>
            <w:tcW w:w="933" w:type="pct"/>
            <w:vAlign w:val="center"/>
          </w:tcPr>
          <w:p w14:paraId="0EF7A3F9"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2.46 </w:t>
            </w:r>
          </w:p>
        </w:tc>
        <w:tc>
          <w:tcPr>
            <w:tcW w:w="2185" w:type="pct"/>
            <w:vAlign w:val="center"/>
          </w:tcPr>
          <w:p w14:paraId="4D5A4F76"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非植被区</w:t>
            </w:r>
          </w:p>
        </w:tc>
      </w:tr>
      <w:tr w:rsidR="00697429" w:rsidRPr="00092862" w14:paraId="57E5A3E8" w14:textId="77777777" w:rsidTr="00A364AF">
        <w:trPr>
          <w:trHeight w:hRule="exact" w:val="397"/>
          <w:jc w:val="center"/>
        </w:trPr>
        <w:tc>
          <w:tcPr>
            <w:tcW w:w="970" w:type="pct"/>
            <w:vAlign w:val="center"/>
          </w:tcPr>
          <w:p w14:paraId="59DD9B91"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较重要</w:t>
            </w:r>
          </w:p>
        </w:tc>
        <w:tc>
          <w:tcPr>
            <w:tcW w:w="912" w:type="pct"/>
            <w:vAlign w:val="bottom"/>
          </w:tcPr>
          <w:p w14:paraId="25A5F1D4"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158.94</w:t>
            </w:r>
          </w:p>
        </w:tc>
        <w:tc>
          <w:tcPr>
            <w:tcW w:w="933" w:type="pct"/>
            <w:vAlign w:val="center"/>
          </w:tcPr>
          <w:p w14:paraId="6A3B17EC"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11.60 </w:t>
            </w:r>
          </w:p>
        </w:tc>
        <w:tc>
          <w:tcPr>
            <w:tcW w:w="2185" w:type="pct"/>
            <w:vAlign w:val="center"/>
          </w:tcPr>
          <w:p w14:paraId="7811A4A1"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耕地区</w:t>
            </w:r>
          </w:p>
        </w:tc>
      </w:tr>
      <w:tr w:rsidR="00697429" w:rsidRPr="00092862" w14:paraId="5C2A8531" w14:textId="77777777" w:rsidTr="00A364AF">
        <w:trPr>
          <w:trHeight w:hRule="exact" w:val="397"/>
          <w:jc w:val="center"/>
        </w:trPr>
        <w:tc>
          <w:tcPr>
            <w:tcW w:w="970" w:type="pct"/>
            <w:vAlign w:val="center"/>
          </w:tcPr>
          <w:p w14:paraId="1FCDD90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中度重要</w:t>
            </w:r>
          </w:p>
        </w:tc>
        <w:tc>
          <w:tcPr>
            <w:tcW w:w="912" w:type="pct"/>
            <w:vAlign w:val="center"/>
          </w:tcPr>
          <w:p w14:paraId="370B5136"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12.44</w:t>
            </w:r>
          </w:p>
        </w:tc>
        <w:tc>
          <w:tcPr>
            <w:tcW w:w="933" w:type="pct"/>
            <w:vAlign w:val="center"/>
          </w:tcPr>
          <w:p w14:paraId="48374787"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0.91 </w:t>
            </w:r>
          </w:p>
        </w:tc>
        <w:tc>
          <w:tcPr>
            <w:tcW w:w="2185" w:type="pct"/>
            <w:vAlign w:val="center"/>
          </w:tcPr>
          <w:p w14:paraId="0BBFE7C1"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草地及低覆盖度灌丛植被分布区</w:t>
            </w:r>
          </w:p>
        </w:tc>
      </w:tr>
      <w:tr w:rsidR="00697429" w:rsidRPr="00092862" w14:paraId="1B645589" w14:textId="77777777" w:rsidTr="00A364AF">
        <w:trPr>
          <w:trHeight w:hRule="exact" w:val="397"/>
          <w:jc w:val="center"/>
        </w:trPr>
        <w:tc>
          <w:tcPr>
            <w:tcW w:w="970" w:type="pct"/>
            <w:vAlign w:val="center"/>
          </w:tcPr>
          <w:p w14:paraId="66449DD6"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高度重要</w:t>
            </w:r>
          </w:p>
        </w:tc>
        <w:tc>
          <w:tcPr>
            <w:tcW w:w="912" w:type="pct"/>
            <w:vAlign w:val="center"/>
          </w:tcPr>
          <w:p w14:paraId="7168104D"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25.81</w:t>
            </w:r>
          </w:p>
        </w:tc>
        <w:tc>
          <w:tcPr>
            <w:tcW w:w="933" w:type="pct"/>
            <w:vAlign w:val="center"/>
          </w:tcPr>
          <w:p w14:paraId="404659F3"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1.88 </w:t>
            </w:r>
          </w:p>
        </w:tc>
        <w:tc>
          <w:tcPr>
            <w:tcW w:w="2185" w:type="pct"/>
            <w:vAlign w:val="center"/>
          </w:tcPr>
          <w:p w14:paraId="65F5A268"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中高覆盖度灌丛植被区</w:t>
            </w:r>
          </w:p>
        </w:tc>
      </w:tr>
      <w:tr w:rsidR="00697429" w:rsidRPr="00092862" w14:paraId="3FDA6F54" w14:textId="77777777" w:rsidTr="00A364AF">
        <w:trPr>
          <w:trHeight w:hRule="exact" w:val="397"/>
          <w:jc w:val="center"/>
        </w:trPr>
        <w:tc>
          <w:tcPr>
            <w:tcW w:w="970" w:type="pct"/>
            <w:vAlign w:val="center"/>
          </w:tcPr>
          <w:p w14:paraId="733235DE"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极重要</w:t>
            </w:r>
          </w:p>
        </w:tc>
        <w:tc>
          <w:tcPr>
            <w:tcW w:w="912" w:type="pct"/>
            <w:vAlign w:val="center"/>
          </w:tcPr>
          <w:p w14:paraId="68498254"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1139.67</w:t>
            </w:r>
          </w:p>
        </w:tc>
        <w:tc>
          <w:tcPr>
            <w:tcW w:w="933" w:type="pct"/>
            <w:vAlign w:val="center"/>
          </w:tcPr>
          <w:p w14:paraId="6719B3F2"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83.16 </w:t>
            </w:r>
          </w:p>
        </w:tc>
        <w:tc>
          <w:tcPr>
            <w:tcW w:w="2185" w:type="pct"/>
            <w:vAlign w:val="center"/>
          </w:tcPr>
          <w:p w14:paraId="6019262D"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森林及高覆盖度灌丛植被区</w:t>
            </w:r>
          </w:p>
        </w:tc>
      </w:tr>
      <w:tr w:rsidR="00697429" w:rsidRPr="00092862" w14:paraId="02F971C6" w14:textId="77777777" w:rsidTr="00A364AF">
        <w:trPr>
          <w:trHeight w:hRule="exact" w:val="397"/>
          <w:jc w:val="center"/>
        </w:trPr>
        <w:tc>
          <w:tcPr>
            <w:tcW w:w="970" w:type="pct"/>
            <w:vAlign w:val="center"/>
          </w:tcPr>
          <w:p w14:paraId="39EDC155"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912" w:type="pct"/>
            <w:vAlign w:val="center"/>
          </w:tcPr>
          <w:p w14:paraId="711EAF38"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1370.53</w:t>
            </w:r>
          </w:p>
        </w:tc>
        <w:tc>
          <w:tcPr>
            <w:tcW w:w="933" w:type="pct"/>
            <w:vAlign w:val="center"/>
          </w:tcPr>
          <w:p w14:paraId="4134F347" w14:textId="77777777" w:rsidR="009E4715" w:rsidRPr="00092862" w:rsidRDefault="009E4715" w:rsidP="009E4715">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100.00 </w:t>
            </w:r>
          </w:p>
        </w:tc>
        <w:tc>
          <w:tcPr>
            <w:tcW w:w="2185" w:type="pct"/>
            <w:vAlign w:val="center"/>
          </w:tcPr>
          <w:p w14:paraId="2765AF0E" w14:textId="77777777" w:rsidR="009E4715" w:rsidRPr="00092862" w:rsidRDefault="009E4715" w:rsidP="009E4715">
            <w:pPr>
              <w:jc w:val="center"/>
              <w:rPr>
                <w:rFonts w:ascii="Times New Roman" w:eastAsia="宋体" w:hAnsi="Times New Roman" w:cs="Times New Roman"/>
                <w:color w:val="000000" w:themeColor="text1"/>
                <w:szCs w:val="21"/>
              </w:rPr>
            </w:pPr>
          </w:p>
        </w:tc>
      </w:tr>
    </w:tbl>
    <w:p w14:paraId="368E698F" w14:textId="77777777" w:rsidR="009E4715" w:rsidRPr="00092862" w:rsidRDefault="009E4715" w:rsidP="009E4715">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综上可见，评价区自然生态系统在水土保持功能、水源涵养功能、生物多样性保护功能等方面具有重要作用，为周边野生动物提供了一定的生存繁衍空间，在维持区域生态平衡中也具有良好的作用，也是维护评价区生态安全的重要屏障。</w:t>
      </w:r>
    </w:p>
    <w:p w14:paraId="1074685F" w14:textId="77777777" w:rsidR="009E4715" w:rsidRPr="00092862" w:rsidRDefault="009E4715" w:rsidP="00092862">
      <w:pPr>
        <w:keepNext/>
        <w:keepLines/>
        <w:spacing w:beforeLines="50" w:before="120" w:afterLines="50" w:after="120" w:line="360" w:lineRule="atLeast"/>
        <w:jc w:val="left"/>
        <w:outlineLvl w:val="2"/>
        <w:rPr>
          <w:rFonts w:ascii="Times New Roman" w:eastAsia="宋体" w:hAnsi="Times New Roman" w:cs="Times New Roman"/>
          <w:b/>
          <w:bCs/>
          <w:color w:val="000000" w:themeColor="text1"/>
          <w:kern w:val="0"/>
          <w:sz w:val="24"/>
          <w:szCs w:val="24"/>
        </w:rPr>
      </w:pPr>
      <w:bookmarkStart w:id="191" w:name="_Toc21490"/>
      <w:r w:rsidRPr="00092862">
        <w:rPr>
          <w:rFonts w:ascii="Times New Roman" w:eastAsia="宋体" w:hAnsi="Times New Roman" w:cs="Times New Roman"/>
          <w:b/>
          <w:bCs/>
          <w:color w:val="000000" w:themeColor="text1"/>
          <w:kern w:val="0"/>
          <w:sz w:val="24"/>
          <w:szCs w:val="24"/>
        </w:rPr>
        <w:t>4.3.9</w:t>
      </w:r>
      <w:r w:rsidRPr="00092862">
        <w:rPr>
          <w:rFonts w:ascii="Times New Roman" w:eastAsia="宋体" w:hAnsi="Times New Roman" w:cs="Times New Roman"/>
          <w:b/>
          <w:bCs/>
          <w:color w:val="000000" w:themeColor="text1"/>
          <w:kern w:val="0"/>
          <w:sz w:val="24"/>
          <w:szCs w:val="24"/>
        </w:rPr>
        <w:t>物种多样性分析</w:t>
      </w:r>
      <w:bookmarkEnd w:id="191"/>
    </w:p>
    <w:p w14:paraId="5CD4D1B0" w14:textId="77777777" w:rsidR="009E4715" w:rsidRPr="00092862" w:rsidRDefault="009E4715" w:rsidP="009E471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地处亚热带常绿阔叶林区域，气候温暖湿润，区内丘陵、低山分布其间，植被类型主要有马尾松、杉木、柏木、麻栎、青冈、栓皮栎等森林植被以及野桐、盐肤木、马桑、黄荆、火棘、芒、白茅、蕨、芒萁等为主的灌草丛植被，群落结构和组成相对复杂，但均为当地常见类型，分布较广。</w:t>
      </w:r>
    </w:p>
    <w:p w14:paraId="6B7D2A39" w14:textId="77777777" w:rsidR="009E4715" w:rsidRPr="00092862" w:rsidRDefault="009E4715" w:rsidP="009E4715">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物种多样性是物种丰富度和分布均匀性的综合反映，体现了群落结构类型、组织水平、发展阶段、稳定程度和生境差异。本项目采用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物种丰富度指数</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Margalef</w:t>
      </w:r>
      <w:r w:rsidRPr="00092862">
        <w:rPr>
          <w:rFonts w:ascii="Times New Roman" w:eastAsia="宋体" w:hAnsi="Times New Roman" w:cs="Times New Roman"/>
          <w:color w:val="000000" w:themeColor="text1"/>
          <w:sz w:val="24"/>
          <w:szCs w:val="24"/>
        </w:rPr>
        <w:t>）来测量植被群落的物种多样性。</w:t>
      </w:r>
    </w:p>
    <w:p w14:paraId="3BC9AC04" w14:textId="77777777" w:rsidR="009E4715" w:rsidRPr="00092862" w:rsidRDefault="009E4715" w:rsidP="009E4715">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公式：</w:t>
      </w:r>
      <w:r w:rsidRPr="00092862">
        <w:rPr>
          <w:rFonts w:ascii="Times New Roman" w:eastAsia="宋体" w:hAnsi="Times New Roman" w:cs="Times New Roman"/>
          <w:color w:val="000000" w:themeColor="text1"/>
          <w:sz w:val="24"/>
          <w:szCs w:val="24"/>
        </w:rPr>
        <w:t>D=(S-1)/lnN</w:t>
      </w:r>
    </w:p>
    <w:p w14:paraId="42D8F117" w14:textId="77777777" w:rsidR="009E4715" w:rsidRPr="00092862" w:rsidRDefault="009E4715" w:rsidP="009E4715">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其中：</w:t>
      </w:r>
      <w:r w:rsidRPr="00092862">
        <w:rPr>
          <w:rFonts w:ascii="Times New Roman" w:eastAsia="宋体" w:hAnsi="Times New Roman" w:cs="Times New Roman"/>
          <w:color w:val="000000" w:themeColor="text1"/>
          <w:sz w:val="24"/>
          <w:szCs w:val="24"/>
        </w:rPr>
        <w:t>s</w:t>
      </w:r>
      <w:r w:rsidRPr="00092862">
        <w:rPr>
          <w:rFonts w:ascii="Times New Roman" w:eastAsia="宋体" w:hAnsi="Times New Roman" w:cs="Times New Roman"/>
          <w:color w:val="000000" w:themeColor="text1"/>
          <w:sz w:val="24"/>
          <w:szCs w:val="24"/>
        </w:rPr>
        <w:t>为群落中物种数目</w:t>
      </w:r>
      <w:r w:rsidRPr="00092862">
        <w:rPr>
          <w:rFonts w:ascii="Times New Roman" w:eastAsia="宋体" w:hAnsi="Times New Roman" w:cs="Times New Roman"/>
          <w:color w:val="000000" w:themeColor="text1"/>
          <w:sz w:val="24"/>
          <w:szCs w:val="24"/>
        </w:rPr>
        <w:t xml:space="preserve"> N</w:t>
      </w:r>
      <w:r w:rsidRPr="00092862">
        <w:rPr>
          <w:rFonts w:ascii="Times New Roman" w:eastAsia="宋体" w:hAnsi="Times New Roman" w:cs="Times New Roman"/>
          <w:color w:val="000000" w:themeColor="text1"/>
          <w:sz w:val="24"/>
          <w:szCs w:val="24"/>
        </w:rPr>
        <w:t>为观察到的个体总数</w:t>
      </w:r>
    </w:p>
    <w:p w14:paraId="17A5DED1" w14:textId="77777777" w:rsidR="009E4715" w:rsidRPr="00092862" w:rsidRDefault="009E4715" w:rsidP="009E4715">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评价区各群落优势种物种优势度情况见下表。</w:t>
      </w:r>
    </w:p>
    <w:p w14:paraId="5161BB23"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4.3-20 </w:t>
      </w:r>
      <w:r w:rsidRPr="00092862">
        <w:rPr>
          <w:rFonts w:ascii="Times New Roman" w:eastAsia="宋体" w:hAnsi="Times New Roman" w:cs="Times New Roman"/>
          <w:b/>
          <w:color w:val="000000" w:themeColor="text1"/>
          <w:kern w:val="0"/>
          <w:szCs w:val="24"/>
        </w:rPr>
        <w:t>评价范围各群落物种丰富度指数</w:t>
      </w:r>
    </w:p>
    <w:tbl>
      <w:tblPr>
        <w:tblStyle w:val="45"/>
        <w:tblW w:w="5000" w:type="pct"/>
        <w:jc w:val="center"/>
        <w:tblInd w:w="0" w:type="dxa"/>
        <w:tblLook w:val="0000" w:firstRow="0" w:lastRow="0" w:firstColumn="0" w:lastColumn="0" w:noHBand="0" w:noVBand="0"/>
      </w:tblPr>
      <w:tblGrid>
        <w:gridCol w:w="3341"/>
        <w:gridCol w:w="3161"/>
        <w:gridCol w:w="1798"/>
      </w:tblGrid>
      <w:tr w:rsidR="00697429" w:rsidRPr="00092862" w14:paraId="15585A48" w14:textId="77777777" w:rsidTr="00A364AF">
        <w:trPr>
          <w:trHeight w:hRule="exact" w:val="397"/>
          <w:jc w:val="center"/>
        </w:trPr>
        <w:tc>
          <w:tcPr>
            <w:tcW w:w="2013" w:type="pct"/>
            <w:vAlign w:val="center"/>
          </w:tcPr>
          <w:p w14:paraId="2D5504EF" w14:textId="77777777" w:rsidR="009E4715" w:rsidRPr="00092862" w:rsidRDefault="009E4715" w:rsidP="009E4715">
            <w:pPr>
              <w:tabs>
                <w:tab w:val="left" w:pos="1440"/>
              </w:tabs>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群落名称</w:t>
            </w:r>
          </w:p>
        </w:tc>
        <w:tc>
          <w:tcPr>
            <w:tcW w:w="1904" w:type="pct"/>
            <w:vAlign w:val="center"/>
          </w:tcPr>
          <w:p w14:paraId="31AB08C9" w14:textId="77777777" w:rsidR="009E4715" w:rsidRPr="00092862" w:rsidRDefault="009E4715" w:rsidP="009E4715">
            <w:pPr>
              <w:tabs>
                <w:tab w:val="left" w:pos="1440"/>
              </w:tabs>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优势种</w:t>
            </w:r>
          </w:p>
        </w:tc>
        <w:tc>
          <w:tcPr>
            <w:tcW w:w="1084" w:type="pct"/>
            <w:vAlign w:val="center"/>
          </w:tcPr>
          <w:p w14:paraId="097CD732" w14:textId="77777777" w:rsidR="009E4715" w:rsidRPr="00092862" w:rsidRDefault="009E4715" w:rsidP="009E4715">
            <w:pPr>
              <w:tabs>
                <w:tab w:val="left" w:pos="1440"/>
              </w:tabs>
              <w:jc w:val="center"/>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Margalef</w:t>
            </w:r>
            <w:r w:rsidRPr="00092862">
              <w:rPr>
                <w:rFonts w:ascii="Times New Roman" w:eastAsia="宋体" w:hAnsi="Times New Roman" w:cs="Times New Roman"/>
                <w:bCs/>
                <w:color w:val="000000" w:themeColor="text1"/>
                <w:kern w:val="0"/>
                <w:szCs w:val="21"/>
              </w:rPr>
              <w:t>指数</w:t>
            </w:r>
          </w:p>
        </w:tc>
      </w:tr>
      <w:tr w:rsidR="00697429" w:rsidRPr="00092862" w14:paraId="111CD99F" w14:textId="77777777" w:rsidTr="00A364AF">
        <w:trPr>
          <w:trHeight w:hRule="exact" w:val="397"/>
          <w:jc w:val="center"/>
        </w:trPr>
        <w:tc>
          <w:tcPr>
            <w:tcW w:w="2013" w:type="pct"/>
            <w:vAlign w:val="center"/>
          </w:tcPr>
          <w:p w14:paraId="798C29B6"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马尾松群落</w:t>
            </w:r>
          </w:p>
        </w:tc>
        <w:tc>
          <w:tcPr>
            <w:tcW w:w="1904" w:type="pct"/>
            <w:vAlign w:val="center"/>
          </w:tcPr>
          <w:p w14:paraId="112915BE"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马尾松</w:t>
            </w:r>
          </w:p>
        </w:tc>
        <w:tc>
          <w:tcPr>
            <w:tcW w:w="1084" w:type="pct"/>
            <w:vAlign w:val="center"/>
          </w:tcPr>
          <w:p w14:paraId="7033DFC7"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0.724</w:t>
            </w:r>
          </w:p>
        </w:tc>
      </w:tr>
      <w:tr w:rsidR="00697429" w:rsidRPr="00092862" w14:paraId="7D4B9A14" w14:textId="77777777" w:rsidTr="00A364AF">
        <w:trPr>
          <w:trHeight w:hRule="exact" w:val="397"/>
          <w:jc w:val="center"/>
        </w:trPr>
        <w:tc>
          <w:tcPr>
            <w:tcW w:w="2013" w:type="pct"/>
            <w:vAlign w:val="center"/>
          </w:tcPr>
          <w:p w14:paraId="1AD553D9"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杉木群落</w:t>
            </w:r>
          </w:p>
        </w:tc>
        <w:tc>
          <w:tcPr>
            <w:tcW w:w="1904" w:type="pct"/>
            <w:vAlign w:val="center"/>
          </w:tcPr>
          <w:p w14:paraId="04FE7052"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杉木、马尾松</w:t>
            </w:r>
          </w:p>
        </w:tc>
        <w:tc>
          <w:tcPr>
            <w:tcW w:w="1084" w:type="pct"/>
            <w:vAlign w:val="center"/>
          </w:tcPr>
          <w:p w14:paraId="3027AE04"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0.693</w:t>
            </w:r>
          </w:p>
        </w:tc>
      </w:tr>
      <w:tr w:rsidR="00697429" w:rsidRPr="00092862" w14:paraId="5FD253E9" w14:textId="77777777" w:rsidTr="00A364AF">
        <w:trPr>
          <w:trHeight w:hRule="exact" w:val="459"/>
          <w:jc w:val="center"/>
        </w:trPr>
        <w:tc>
          <w:tcPr>
            <w:tcW w:w="2013" w:type="pct"/>
            <w:vAlign w:val="center"/>
          </w:tcPr>
          <w:p w14:paraId="5862EE2C"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柏木、慈竹群落</w:t>
            </w:r>
          </w:p>
        </w:tc>
        <w:tc>
          <w:tcPr>
            <w:tcW w:w="1904" w:type="pct"/>
            <w:vAlign w:val="center"/>
          </w:tcPr>
          <w:p w14:paraId="6657E007"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柏木、慈竹</w:t>
            </w:r>
          </w:p>
        </w:tc>
        <w:tc>
          <w:tcPr>
            <w:tcW w:w="1084" w:type="pct"/>
            <w:vAlign w:val="center"/>
          </w:tcPr>
          <w:p w14:paraId="543A68C6"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0.661</w:t>
            </w:r>
          </w:p>
        </w:tc>
      </w:tr>
      <w:tr w:rsidR="00697429" w:rsidRPr="00092862" w14:paraId="2AF50BCA" w14:textId="77777777" w:rsidTr="00A364AF">
        <w:trPr>
          <w:trHeight w:hRule="exact" w:val="691"/>
          <w:jc w:val="center"/>
        </w:trPr>
        <w:tc>
          <w:tcPr>
            <w:tcW w:w="2013" w:type="pct"/>
            <w:vAlign w:val="center"/>
          </w:tcPr>
          <w:p w14:paraId="22EA05A3"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lastRenderedPageBreak/>
              <w:t>麻栎、青冈、栓皮栎群落</w:t>
            </w:r>
          </w:p>
        </w:tc>
        <w:tc>
          <w:tcPr>
            <w:tcW w:w="1904" w:type="pct"/>
            <w:vAlign w:val="center"/>
          </w:tcPr>
          <w:p w14:paraId="06E6F896"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麻栎、青冈、栓皮栎、栓皮栎</w:t>
            </w:r>
          </w:p>
        </w:tc>
        <w:tc>
          <w:tcPr>
            <w:tcW w:w="1084" w:type="pct"/>
            <w:vAlign w:val="center"/>
          </w:tcPr>
          <w:p w14:paraId="65DB5913"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0.658</w:t>
            </w:r>
          </w:p>
        </w:tc>
      </w:tr>
      <w:tr w:rsidR="00697429" w:rsidRPr="00092862" w14:paraId="552A80BD" w14:textId="77777777" w:rsidTr="00A364AF">
        <w:trPr>
          <w:trHeight w:hRule="exact" w:val="462"/>
          <w:jc w:val="center"/>
        </w:trPr>
        <w:tc>
          <w:tcPr>
            <w:tcW w:w="2013" w:type="pct"/>
            <w:vAlign w:val="center"/>
          </w:tcPr>
          <w:p w14:paraId="15D20EB7"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野桐、盐肤木灌丛灌丛</w:t>
            </w:r>
          </w:p>
        </w:tc>
        <w:tc>
          <w:tcPr>
            <w:tcW w:w="1904" w:type="pct"/>
            <w:vAlign w:val="center"/>
          </w:tcPr>
          <w:p w14:paraId="368B3D26"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野桐、盐肤木</w:t>
            </w:r>
          </w:p>
        </w:tc>
        <w:tc>
          <w:tcPr>
            <w:tcW w:w="1084" w:type="pct"/>
            <w:vAlign w:val="center"/>
          </w:tcPr>
          <w:p w14:paraId="16B5BD43"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0.735</w:t>
            </w:r>
          </w:p>
        </w:tc>
      </w:tr>
      <w:tr w:rsidR="00697429" w:rsidRPr="00092862" w14:paraId="07536C01" w14:textId="77777777" w:rsidTr="00A364AF">
        <w:trPr>
          <w:trHeight w:hRule="exact" w:val="814"/>
          <w:jc w:val="center"/>
        </w:trPr>
        <w:tc>
          <w:tcPr>
            <w:tcW w:w="2013" w:type="pct"/>
            <w:vAlign w:val="center"/>
          </w:tcPr>
          <w:p w14:paraId="5A99C4D9"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马桑、黄荆、火棘、荚蒾灌丛群落</w:t>
            </w:r>
          </w:p>
        </w:tc>
        <w:tc>
          <w:tcPr>
            <w:tcW w:w="1904" w:type="pct"/>
            <w:vAlign w:val="center"/>
          </w:tcPr>
          <w:p w14:paraId="5821B224"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color w:val="000000" w:themeColor="text1"/>
                <w:spacing w:val="15"/>
                <w:szCs w:val="21"/>
              </w:rPr>
              <w:t>马桑、黄荆、火棘、荚蒾</w:t>
            </w:r>
          </w:p>
        </w:tc>
        <w:tc>
          <w:tcPr>
            <w:tcW w:w="1084" w:type="pct"/>
            <w:vAlign w:val="center"/>
          </w:tcPr>
          <w:p w14:paraId="1FBBEBD7"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0.354</w:t>
            </w:r>
          </w:p>
        </w:tc>
      </w:tr>
      <w:tr w:rsidR="00697429" w:rsidRPr="00092862" w14:paraId="3FAD5BEA" w14:textId="77777777" w:rsidTr="00A364AF">
        <w:trPr>
          <w:trHeight w:hRule="exact" w:val="465"/>
          <w:jc w:val="center"/>
        </w:trPr>
        <w:tc>
          <w:tcPr>
            <w:tcW w:w="2013" w:type="pct"/>
            <w:vAlign w:val="center"/>
          </w:tcPr>
          <w:p w14:paraId="26630E20"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芒、</w:t>
            </w:r>
            <w:r w:rsidRPr="00092862">
              <w:rPr>
                <w:rFonts w:ascii="Times New Roman" w:eastAsia="宋体" w:hAnsi="Times New Roman" w:cs="Times New Roman"/>
                <w:color w:val="000000" w:themeColor="text1"/>
                <w:spacing w:val="-4"/>
                <w:szCs w:val="21"/>
              </w:rPr>
              <w:t>白茅草丛</w:t>
            </w:r>
            <w:r w:rsidRPr="00092862">
              <w:rPr>
                <w:rFonts w:ascii="Times New Roman" w:eastAsia="宋体" w:hAnsi="Times New Roman" w:cs="Times New Roman"/>
                <w:bCs/>
                <w:color w:val="000000" w:themeColor="text1"/>
                <w:kern w:val="0"/>
                <w:szCs w:val="21"/>
              </w:rPr>
              <w:t>群系</w:t>
            </w:r>
          </w:p>
        </w:tc>
        <w:tc>
          <w:tcPr>
            <w:tcW w:w="1904" w:type="pct"/>
            <w:vAlign w:val="center"/>
          </w:tcPr>
          <w:p w14:paraId="41219819" w14:textId="77777777" w:rsidR="009E4715" w:rsidRPr="00092862" w:rsidRDefault="009E4715" w:rsidP="009E4715">
            <w:pPr>
              <w:adjustRightInd w:val="0"/>
              <w:jc w:val="center"/>
              <w:textAlignment w:val="baseline"/>
              <w:rPr>
                <w:rFonts w:ascii="Times New Roman" w:eastAsia="宋体" w:hAnsi="Times New Roman" w:cs="Times New Roman"/>
                <w:color w:val="000000" w:themeColor="text1"/>
                <w:spacing w:val="15"/>
                <w:szCs w:val="21"/>
              </w:rPr>
            </w:pPr>
            <w:r w:rsidRPr="00092862">
              <w:rPr>
                <w:rFonts w:ascii="Times New Roman" w:eastAsia="宋体" w:hAnsi="Times New Roman" w:cs="Times New Roman"/>
                <w:bCs/>
                <w:color w:val="000000" w:themeColor="text1"/>
                <w:kern w:val="0"/>
                <w:szCs w:val="21"/>
              </w:rPr>
              <w:t>芒、</w:t>
            </w:r>
            <w:r w:rsidRPr="00092862">
              <w:rPr>
                <w:rFonts w:ascii="Times New Roman" w:eastAsia="宋体" w:hAnsi="Times New Roman" w:cs="Times New Roman"/>
                <w:color w:val="000000" w:themeColor="text1"/>
                <w:spacing w:val="-4"/>
                <w:szCs w:val="21"/>
              </w:rPr>
              <w:t>白茅、五节芒</w:t>
            </w:r>
          </w:p>
        </w:tc>
        <w:tc>
          <w:tcPr>
            <w:tcW w:w="1084" w:type="pct"/>
            <w:vAlign w:val="center"/>
          </w:tcPr>
          <w:p w14:paraId="40D4D2F2"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0.336</w:t>
            </w:r>
          </w:p>
        </w:tc>
      </w:tr>
      <w:tr w:rsidR="00697429" w:rsidRPr="00092862" w14:paraId="3B029DE9" w14:textId="77777777" w:rsidTr="00A364AF">
        <w:trPr>
          <w:trHeight w:hRule="exact" w:val="458"/>
          <w:jc w:val="center"/>
        </w:trPr>
        <w:tc>
          <w:tcPr>
            <w:tcW w:w="2013" w:type="pct"/>
            <w:vAlign w:val="center"/>
          </w:tcPr>
          <w:p w14:paraId="78ABFD37"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蕨、芒萁群系</w:t>
            </w:r>
          </w:p>
        </w:tc>
        <w:tc>
          <w:tcPr>
            <w:tcW w:w="1904" w:type="pct"/>
            <w:vAlign w:val="center"/>
          </w:tcPr>
          <w:p w14:paraId="791E25AE" w14:textId="77777777" w:rsidR="009E4715" w:rsidRPr="00092862" w:rsidRDefault="009E4715" w:rsidP="009E4715">
            <w:pPr>
              <w:adjustRightInd w:val="0"/>
              <w:jc w:val="center"/>
              <w:textAlignment w:val="baseline"/>
              <w:rPr>
                <w:rFonts w:ascii="Times New Roman" w:eastAsia="宋体" w:hAnsi="Times New Roman" w:cs="Times New Roman"/>
                <w:color w:val="000000" w:themeColor="text1"/>
                <w:spacing w:val="15"/>
                <w:szCs w:val="21"/>
              </w:rPr>
            </w:pPr>
            <w:r w:rsidRPr="00092862">
              <w:rPr>
                <w:rFonts w:ascii="Times New Roman" w:eastAsia="宋体" w:hAnsi="Times New Roman" w:cs="Times New Roman"/>
                <w:bCs/>
                <w:color w:val="000000" w:themeColor="text1"/>
                <w:kern w:val="0"/>
                <w:szCs w:val="21"/>
              </w:rPr>
              <w:t>蕨、芒萁</w:t>
            </w:r>
          </w:p>
        </w:tc>
        <w:tc>
          <w:tcPr>
            <w:tcW w:w="1084" w:type="pct"/>
            <w:vAlign w:val="center"/>
          </w:tcPr>
          <w:p w14:paraId="14988A69" w14:textId="77777777" w:rsidR="009E4715" w:rsidRPr="00092862" w:rsidRDefault="009E4715" w:rsidP="009E4715">
            <w:pPr>
              <w:adjustRightInd w:val="0"/>
              <w:jc w:val="center"/>
              <w:textAlignment w:val="baseline"/>
              <w:rPr>
                <w:rFonts w:ascii="Times New Roman" w:eastAsia="宋体" w:hAnsi="Times New Roman" w:cs="Times New Roman"/>
                <w:bCs/>
                <w:color w:val="000000" w:themeColor="text1"/>
                <w:kern w:val="0"/>
                <w:szCs w:val="21"/>
              </w:rPr>
            </w:pPr>
            <w:r w:rsidRPr="00092862">
              <w:rPr>
                <w:rFonts w:ascii="Times New Roman" w:eastAsia="宋体" w:hAnsi="Times New Roman" w:cs="Times New Roman"/>
                <w:bCs/>
                <w:color w:val="000000" w:themeColor="text1"/>
                <w:kern w:val="0"/>
                <w:szCs w:val="21"/>
              </w:rPr>
              <w:t>0.311</w:t>
            </w:r>
          </w:p>
        </w:tc>
      </w:tr>
    </w:tbl>
    <w:p w14:paraId="6E70BD39" w14:textId="77777777" w:rsidR="009E4715" w:rsidRPr="00092862" w:rsidRDefault="009E4715" w:rsidP="00A364A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由上表可见，</w:t>
      </w:r>
      <w:r w:rsidRPr="00092862">
        <w:rPr>
          <w:rFonts w:ascii="Times New Roman" w:eastAsia="宋体" w:hAnsi="Times New Roman" w:cs="Times New Roman"/>
          <w:bCs/>
          <w:color w:val="000000" w:themeColor="text1"/>
          <w:sz w:val="24"/>
          <w:szCs w:val="24"/>
        </w:rPr>
        <w:t>项目</w:t>
      </w:r>
      <w:r w:rsidRPr="00092862">
        <w:rPr>
          <w:rFonts w:ascii="Times New Roman" w:eastAsia="宋体" w:hAnsi="Times New Roman" w:cs="Times New Roman"/>
          <w:color w:val="000000" w:themeColor="text1"/>
          <w:sz w:val="24"/>
          <w:szCs w:val="24"/>
        </w:rPr>
        <w:t>处于亚热带常绿阔叶林区域，水热条件较好，植被总体覆盖度较高，评价区主要群落物种丰富度指数介于</w:t>
      </w:r>
      <w:r w:rsidRPr="00092862">
        <w:rPr>
          <w:rFonts w:ascii="Times New Roman" w:eastAsia="宋体" w:hAnsi="Times New Roman" w:cs="Times New Roman"/>
          <w:color w:val="000000" w:themeColor="text1"/>
          <w:sz w:val="24"/>
          <w:szCs w:val="24"/>
        </w:rPr>
        <w:t>0.311-0.735</w:t>
      </w:r>
      <w:r w:rsidRPr="00092862">
        <w:rPr>
          <w:rFonts w:ascii="Times New Roman" w:eastAsia="宋体" w:hAnsi="Times New Roman" w:cs="Times New Roman"/>
          <w:color w:val="000000" w:themeColor="text1"/>
          <w:sz w:val="24"/>
          <w:szCs w:val="24"/>
        </w:rPr>
        <w:t>之间，表明评价区物种多样性水平较高，总体结构较复杂。</w:t>
      </w:r>
    </w:p>
    <w:p w14:paraId="76181BC8" w14:textId="77777777" w:rsidR="009E4715" w:rsidRPr="00092862" w:rsidRDefault="009E4715" w:rsidP="00092862">
      <w:pPr>
        <w:keepNext/>
        <w:keepLines/>
        <w:adjustRightInd w:val="0"/>
        <w:snapToGrid w:val="0"/>
        <w:spacing w:line="360" w:lineRule="auto"/>
        <w:jc w:val="left"/>
        <w:outlineLvl w:val="2"/>
        <w:rPr>
          <w:rFonts w:ascii="Times New Roman" w:eastAsia="宋体" w:hAnsi="Times New Roman" w:cs="Times New Roman"/>
          <w:b/>
          <w:bCs/>
          <w:color w:val="000000" w:themeColor="text1"/>
          <w:kern w:val="0"/>
          <w:sz w:val="24"/>
          <w:szCs w:val="24"/>
        </w:rPr>
      </w:pPr>
      <w:bookmarkStart w:id="192" w:name="_Toc2433"/>
      <w:r w:rsidRPr="00092862">
        <w:rPr>
          <w:rFonts w:ascii="Times New Roman" w:eastAsia="宋体" w:hAnsi="Times New Roman" w:cs="Times New Roman"/>
          <w:b/>
          <w:bCs/>
          <w:color w:val="000000" w:themeColor="text1"/>
          <w:kern w:val="0"/>
          <w:sz w:val="24"/>
          <w:szCs w:val="24"/>
        </w:rPr>
        <w:t>4.3.10</w:t>
      </w:r>
      <w:r w:rsidRPr="00092862">
        <w:rPr>
          <w:rFonts w:ascii="Times New Roman" w:eastAsia="宋体" w:hAnsi="Times New Roman" w:cs="Times New Roman"/>
          <w:b/>
          <w:bCs/>
          <w:color w:val="000000" w:themeColor="text1"/>
          <w:kern w:val="0"/>
          <w:sz w:val="24"/>
          <w:szCs w:val="24"/>
        </w:rPr>
        <w:t>陆生野生动物现状调查</w:t>
      </w:r>
      <w:bookmarkEnd w:id="192"/>
    </w:p>
    <w:p w14:paraId="15EEAD0A" w14:textId="77777777" w:rsidR="009E4715" w:rsidRPr="00092862" w:rsidRDefault="009E4715" w:rsidP="00092862">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、项目评价范围内陆生野生脊椎动物现状和特点</w:t>
      </w:r>
    </w:p>
    <w:p w14:paraId="007102F9" w14:textId="77777777" w:rsidR="009E4715" w:rsidRPr="00092862" w:rsidRDefault="009E4715" w:rsidP="00092862">
      <w:pPr>
        <w:adjustRightInd w:val="0"/>
        <w:snapToGrid w:val="0"/>
        <w:spacing w:line="360" w:lineRule="auto"/>
        <w:ind w:left="60" w:right="100" w:firstLine="20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动物调查采用样线调查法，设置调查样线</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条，样线长为</w:t>
      </w:r>
      <w:r w:rsidRPr="00092862">
        <w:rPr>
          <w:rFonts w:ascii="Times New Roman" w:eastAsia="宋体" w:hAnsi="Times New Roman" w:cs="Times New Roman"/>
          <w:color w:val="000000" w:themeColor="text1"/>
          <w:sz w:val="24"/>
          <w:szCs w:val="24"/>
        </w:rPr>
        <w:t>1-3km</w:t>
      </w:r>
      <w:r w:rsidRPr="00092862">
        <w:rPr>
          <w:rFonts w:ascii="Times New Roman" w:eastAsia="宋体" w:hAnsi="Times New Roman" w:cs="Times New Roman"/>
          <w:color w:val="000000" w:themeColor="text1"/>
          <w:sz w:val="24"/>
          <w:szCs w:val="24"/>
        </w:rPr>
        <w:t>，单侧观察宽度为</w:t>
      </w:r>
      <w:r w:rsidRPr="00092862">
        <w:rPr>
          <w:rFonts w:ascii="Times New Roman" w:eastAsia="宋体" w:hAnsi="Times New Roman" w:cs="Times New Roman"/>
          <w:color w:val="000000" w:themeColor="text1"/>
          <w:sz w:val="24"/>
          <w:szCs w:val="24"/>
        </w:rPr>
        <w:t>50m</w:t>
      </w:r>
      <w:r w:rsidRPr="00092862">
        <w:rPr>
          <w:rFonts w:ascii="Times New Roman" w:eastAsia="宋体" w:hAnsi="Times New Roman" w:cs="Times New Roman"/>
          <w:color w:val="000000" w:themeColor="text1"/>
          <w:sz w:val="24"/>
          <w:szCs w:val="24"/>
        </w:rPr>
        <w:t>，样线分别设置在乔木林、灌草丛、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次年</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月，本次评价以项目所在区域宣汉县陆生野生动物分布情况为准。</w:t>
      </w:r>
    </w:p>
    <w:p w14:paraId="0A8BAFA0"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4.3-21 </w:t>
      </w:r>
      <w:r w:rsidRPr="00092862">
        <w:rPr>
          <w:rFonts w:ascii="Times New Roman" w:eastAsia="宋体" w:hAnsi="Times New Roman" w:cs="Times New Roman"/>
          <w:b/>
          <w:color w:val="000000" w:themeColor="text1"/>
          <w:kern w:val="0"/>
          <w:szCs w:val="24"/>
        </w:rPr>
        <w:t>野生动物野外调查样线分布表</w:t>
      </w:r>
    </w:p>
    <w:p w14:paraId="2BDD4433" w14:textId="77777777" w:rsidR="009E4715" w:rsidRPr="00092862" w:rsidRDefault="009E4715" w:rsidP="009E4715">
      <w:pPr>
        <w:spacing w:line="99" w:lineRule="exact"/>
        <w:rPr>
          <w:rFonts w:ascii="Times New Roman" w:eastAsia="宋体" w:hAnsi="Times New Roman" w:cs="Times New Roman"/>
          <w:color w:val="000000" w:themeColor="text1"/>
          <w:szCs w:val="24"/>
        </w:rPr>
      </w:pPr>
    </w:p>
    <w:tbl>
      <w:tblPr>
        <w:tblStyle w:val="TableNormal24"/>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firstRow="0" w:lastRow="0" w:firstColumn="0" w:lastColumn="0" w:noHBand="0" w:noVBand="0"/>
      </w:tblPr>
      <w:tblGrid>
        <w:gridCol w:w="1617"/>
        <w:gridCol w:w="3330"/>
        <w:gridCol w:w="3337"/>
      </w:tblGrid>
      <w:tr w:rsidR="00697429" w:rsidRPr="00092862" w14:paraId="3D9FEB33" w14:textId="77777777" w:rsidTr="00A364AF">
        <w:trPr>
          <w:trHeight w:val="654"/>
          <w:jc w:val="center"/>
        </w:trPr>
        <w:tc>
          <w:tcPr>
            <w:tcW w:w="976" w:type="pct"/>
            <w:tcBorders>
              <w:left w:val="single" w:sz="10" w:space="0" w:color="000000"/>
            </w:tcBorders>
            <w:vAlign w:val="center"/>
          </w:tcPr>
          <w:p w14:paraId="628E2AE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样带编号</w:t>
            </w:r>
          </w:p>
        </w:tc>
        <w:tc>
          <w:tcPr>
            <w:tcW w:w="2010" w:type="pct"/>
            <w:vAlign w:val="center"/>
          </w:tcPr>
          <w:p w14:paraId="03110EB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生态环境</w:t>
            </w:r>
          </w:p>
        </w:tc>
        <w:tc>
          <w:tcPr>
            <w:tcW w:w="2014" w:type="pct"/>
            <w:tcBorders>
              <w:right w:val="single" w:sz="10" w:space="0" w:color="000000"/>
            </w:tcBorders>
            <w:vAlign w:val="center"/>
          </w:tcPr>
          <w:p w14:paraId="406D5698"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主要野生动物类型</w:t>
            </w:r>
          </w:p>
        </w:tc>
      </w:tr>
      <w:tr w:rsidR="00697429" w:rsidRPr="00092862" w14:paraId="3A44EAF9" w14:textId="77777777" w:rsidTr="00A364AF">
        <w:trPr>
          <w:trHeight w:val="316"/>
          <w:jc w:val="center"/>
        </w:trPr>
        <w:tc>
          <w:tcPr>
            <w:tcW w:w="976" w:type="pct"/>
            <w:tcBorders>
              <w:left w:val="single" w:sz="10" w:space="0" w:color="000000"/>
            </w:tcBorders>
            <w:vAlign w:val="center"/>
          </w:tcPr>
          <w:p w14:paraId="3B0ED62D"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01</w:t>
            </w:r>
          </w:p>
        </w:tc>
        <w:tc>
          <w:tcPr>
            <w:tcW w:w="2010" w:type="pct"/>
            <w:vAlign w:val="center"/>
          </w:tcPr>
          <w:p w14:paraId="433B3D3C"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乔木林</w:t>
            </w:r>
          </w:p>
        </w:tc>
        <w:tc>
          <w:tcPr>
            <w:tcW w:w="2014" w:type="pct"/>
            <w:tcBorders>
              <w:right w:val="single" w:sz="10" w:space="0" w:color="000000"/>
            </w:tcBorders>
            <w:vAlign w:val="center"/>
          </w:tcPr>
          <w:p w14:paraId="52A90C2D"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鸟类、爬行类、兽类</w:t>
            </w:r>
          </w:p>
        </w:tc>
      </w:tr>
      <w:tr w:rsidR="00697429" w:rsidRPr="00092862" w14:paraId="5F978B00" w14:textId="77777777" w:rsidTr="00A364AF">
        <w:trPr>
          <w:trHeight w:val="316"/>
          <w:jc w:val="center"/>
        </w:trPr>
        <w:tc>
          <w:tcPr>
            <w:tcW w:w="976" w:type="pct"/>
            <w:tcBorders>
              <w:left w:val="single" w:sz="10" w:space="0" w:color="000000"/>
            </w:tcBorders>
            <w:vAlign w:val="center"/>
          </w:tcPr>
          <w:p w14:paraId="00F7170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02</w:t>
            </w:r>
          </w:p>
        </w:tc>
        <w:tc>
          <w:tcPr>
            <w:tcW w:w="2010" w:type="pct"/>
            <w:vAlign w:val="center"/>
          </w:tcPr>
          <w:p w14:paraId="223AD603"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灌草丛</w:t>
            </w:r>
          </w:p>
        </w:tc>
        <w:tc>
          <w:tcPr>
            <w:tcW w:w="2014" w:type="pct"/>
            <w:tcBorders>
              <w:right w:val="single" w:sz="10" w:space="0" w:color="000000"/>
            </w:tcBorders>
            <w:vAlign w:val="center"/>
          </w:tcPr>
          <w:p w14:paraId="4630F79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鸟类、爬行类、两栖类</w:t>
            </w:r>
          </w:p>
        </w:tc>
      </w:tr>
      <w:tr w:rsidR="00697429" w:rsidRPr="00092862" w14:paraId="79496884" w14:textId="77777777" w:rsidTr="00A364AF">
        <w:trPr>
          <w:trHeight w:val="317"/>
          <w:jc w:val="center"/>
        </w:trPr>
        <w:tc>
          <w:tcPr>
            <w:tcW w:w="976" w:type="pct"/>
            <w:tcBorders>
              <w:left w:val="single" w:sz="10" w:space="0" w:color="000000"/>
            </w:tcBorders>
            <w:vAlign w:val="center"/>
          </w:tcPr>
          <w:p w14:paraId="53BC5C0F"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03</w:t>
            </w:r>
          </w:p>
        </w:tc>
        <w:tc>
          <w:tcPr>
            <w:tcW w:w="2010" w:type="pct"/>
            <w:vAlign w:val="center"/>
          </w:tcPr>
          <w:p w14:paraId="7C249C37"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耕地</w:t>
            </w:r>
          </w:p>
        </w:tc>
        <w:tc>
          <w:tcPr>
            <w:tcW w:w="2014" w:type="pct"/>
            <w:tcBorders>
              <w:right w:val="single" w:sz="10" w:space="0" w:color="000000"/>
            </w:tcBorders>
            <w:vAlign w:val="center"/>
          </w:tcPr>
          <w:p w14:paraId="2389D1FC"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鸟类、两栖类、爬行类、兽类</w:t>
            </w:r>
          </w:p>
        </w:tc>
      </w:tr>
      <w:tr w:rsidR="00697429" w:rsidRPr="00092862" w14:paraId="2A7CAF85" w14:textId="77777777" w:rsidTr="00A364AF">
        <w:trPr>
          <w:trHeight w:val="316"/>
          <w:jc w:val="center"/>
        </w:trPr>
        <w:tc>
          <w:tcPr>
            <w:tcW w:w="976" w:type="pct"/>
            <w:tcBorders>
              <w:left w:val="single" w:sz="10" w:space="0" w:color="000000"/>
            </w:tcBorders>
            <w:vAlign w:val="center"/>
          </w:tcPr>
          <w:p w14:paraId="103B8418"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04</w:t>
            </w:r>
          </w:p>
        </w:tc>
        <w:tc>
          <w:tcPr>
            <w:tcW w:w="2010" w:type="pct"/>
            <w:vAlign w:val="center"/>
          </w:tcPr>
          <w:p w14:paraId="5647552C"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居民点</w:t>
            </w:r>
          </w:p>
        </w:tc>
        <w:tc>
          <w:tcPr>
            <w:tcW w:w="2014" w:type="pct"/>
            <w:tcBorders>
              <w:right w:val="single" w:sz="10" w:space="0" w:color="000000"/>
            </w:tcBorders>
            <w:vAlign w:val="center"/>
          </w:tcPr>
          <w:p w14:paraId="099B6BA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鸟类、兽类、爬行类</w:t>
            </w:r>
          </w:p>
        </w:tc>
      </w:tr>
    </w:tbl>
    <w:p w14:paraId="0C66455B" w14:textId="77777777" w:rsidR="009E4715" w:rsidRPr="00092862" w:rsidRDefault="009E4715" w:rsidP="00092862">
      <w:pPr>
        <w:spacing w:line="480" w:lineRule="exact"/>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、物种组成</w:t>
      </w:r>
    </w:p>
    <w:p w14:paraId="4A7F64D6" w14:textId="77777777" w:rsidR="009E4715" w:rsidRPr="00092862" w:rsidRDefault="009E4715" w:rsidP="00092862">
      <w:pPr>
        <w:spacing w:line="500" w:lineRule="exact"/>
        <w:ind w:left="60" w:right="100" w:firstLine="20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根据现场调查、访问，参考保护区科考报告资料，评价区及周边不完全统计有野生脊椎动物</w:t>
      </w:r>
      <w:r w:rsidRPr="00092862">
        <w:rPr>
          <w:rFonts w:ascii="Times New Roman" w:eastAsia="宋体" w:hAnsi="Times New Roman" w:cs="Times New Roman"/>
          <w:color w:val="000000" w:themeColor="text1"/>
          <w:sz w:val="24"/>
          <w:szCs w:val="24"/>
        </w:rPr>
        <w:t>19</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35</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65</w:t>
      </w:r>
      <w:r w:rsidRPr="00092862">
        <w:rPr>
          <w:rFonts w:ascii="Times New Roman" w:eastAsia="宋体" w:hAnsi="Times New Roman" w:cs="Times New Roman"/>
          <w:color w:val="000000" w:themeColor="text1"/>
          <w:sz w:val="24"/>
          <w:szCs w:val="24"/>
        </w:rPr>
        <w:t>种，其中两栖类</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种，爬行类</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种，哺乳类</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15</w:t>
      </w:r>
      <w:r w:rsidRPr="00092862">
        <w:rPr>
          <w:rFonts w:ascii="Times New Roman" w:eastAsia="宋体" w:hAnsi="Times New Roman" w:cs="Times New Roman"/>
          <w:color w:val="000000" w:themeColor="text1"/>
          <w:sz w:val="24"/>
          <w:szCs w:val="24"/>
        </w:rPr>
        <w:t>种，鸟类</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21</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39</w:t>
      </w:r>
      <w:r w:rsidRPr="00092862">
        <w:rPr>
          <w:rFonts w:ascii="Times New Roman" w:eastAsia="宋体" w:hAnsi="Times New Roman" w:cs="Times New Roman"/>
          <w:color w:val="000000" w:themeColor="text1"/>
          <w:sz w:val="24"/>
          <w:szCs w:val="24"/>
        </w:rPr>
        <w:t>种。</w:t>
      </w:r>
    </w:p>
    <w:p w14:paraId="144C491A" w14:textId="77777777" w:rsidR="009E4715" w:rsidRPr="00092862" w:rsidRDefault="009E4715" w:rsidP="009E4715">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4.3-22 </w:t>
      </w:r>
      <w:r w:rsidRPr="00092862">
        <w:rPr>
          <w:rFonts w:ascii="Times New Roman" w:eastAsia="宋体" w:hAnsi="Times New Roman" w:cs="Times New Roman"/>
          <w:b/>
          <w:color w:val="000000" w:themeColor="text1"/>
          <w:kern w:val="0"/>
          <w:szCs w:val="24"/>
        </w:rPr>
        <w:t>评价区野生脊椎动物物种组成</w:t>
      </w:r>
    </w:p>
    <w:tbl>
      <w:tblPr>
        <w:tblStyle w:val="TableNormal24"/>
        <w:tblW w:w="8286"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1313"/>
        <w:gridCol w:w="1138"/>
        <w:gridCol w:w="1138"/>
        <w:gridCol w:w="1298"/>
        <w:gridCol w:w="1353"/>
        <w:gridCol w:w="1228"/>
        <w:gridCol w:w="818"/>
      </w:tblGrid>
      <w:tr w:rsidR="00697429" w:rsidRPr="00092862" w14:paraId="43877988" w14:textId="77777777" w:rsidTr="00A75B69">
        <w:trPr>
          <w:trHeight w:val="430"/>
          <w:jc w:val="center"/>
        </w:trPr>
        <w:tc>
          <w:tcPr>
            <w:tcW w:w="1313" w:type="dxa"/>
            <w:tcBorders>
              <w:top w:val="single" w:sz="10" w:space="0" w:color="000000"/>
              <w:left w:val="single" w:sz="10" w:space="0" w:color="000000"/>
            </w:tcBorders>
            <w:vAlign w:val="center"/>
          </w:tcPr>
          <w:p w14:paraId="4D9D186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类别</w:t>
            </w:r>
          </w:p>
        </w:tc>
        <w:tc>
          <w:tcPr>
            <w:tcW w:w="1138" w:type="dxa"/>
            <w:tcBorders>
              <w:top w:val="single" w:sz="10" w:space="0" w:color="000000"/>
            </w:tcBorders>
            <w:vAlign w:val="center"/>
          </w:tcPr>
          <w:p w14:paraId="1EBD01FB"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目数</w:t>
            </w:r>
          </w:p>
        </w:tc>
        <w:tc>
          <w:tcPr>
            <w:tcW w:w="1138" w:type="dxa"/>
            <w:tcBorders>
              <w:top w:val="single" w:sz="10" w:space="0" w:color="000000"/>
            </w:tcBorders>
            <w:vAlign w:val="center"/>
          </w:tcPr>
          <w:p w14:paraId="5401AB43"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科数</w:t>
            </w:r>
          </w:p>
        </w:tc>
        <w:tc>
          <w:tcPr>
            <w:tcW w:w="1298" w:type="dxa"/>
            <w:tcBorders>
              <w:top w:val="single" w:sz="10" w:space="0" w:color="000000"/>
            </w:tcBorders>
            <w:vAlign w:val="center"/>
          </w:tcPr>
          <w:p w14:paraId="5F140234"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物种数</w:t>
            </w:r>
          </w:p>
        </w:tc>
        <w:tc>
          <w:tcPr>
            <w:tcW w:w="1353" w:type="dxa"/>
            <w:tcBorders>
              <w:top w:val="single" w:sz="10" w:space="0" w:color="000000"/>
            </w:tcBorders>
            <w:vAlign w:val="center"/>
          </w:tcPr>
          <w:p w14:paraId="1DA56F1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国家</w:t>
            </w:r>
            <w:r w:rsidRPr="00092862">
              <w:rPr>
                <w:rFonts w:ascii="Times New Roman" w:eastAsia="宋体" w:hAnsi="Times New Roman" w:cs="Times New Roman"/>
                <w:color w:val="000000" w:themeColor="text1"/>
                <w:kern w:val="0"/>
                <w:szCs w:val="21"/>
                <w:lang w:bidi="ar"/>
              </w:rPr>
              <w:t>Ⅰ</w:t>
            </w:r>
            <w:r w:rsidRPr="00092862">
              <w:rPr>
                <w:rFonts w:ascii="Times New Roman" w:eastAsia="宋体" w:hAnsi="Times New Roman" w:cs="Times New Roman"/>
                <w:color w:val="000000" w:themeColor="text1"/>
                <w:kern w:val="0"/>
                <w:szCs w:val="21"/>
                <w:lang w:bidi="ar"/>
              </w:rPr>
              <w:t>级</w:t>
            </w:r>
          </w:p>
        </w:tc>
        <w:tc>
          <w:tcPr>
            <w:tcW w:w="1228" w:type="dxa"/>
            <w:tcBorders>
              <w:top w:val="single" w:sz="10" w:space="0" w:color="000000"/>
            </w:tcBorders>
            <w:vAlign w:val="center"/>
          </w:tcPr>
          <w:p w14:paraId="6EA2A16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国家</w:t>
            </w:r>
            <w:r w:rsidRPr="00092862">
              <w:rPr>
                <w:rFonts w:ascii="Times New Roman" w:eastAsia="宋体" w:hAnsi="Times New Roman" w:cs="Times New Roman"/>
                <w:color w:val="000000" w:themeColor="text1"/>
                <w:kern w:val="0"/>
                <w:szCs w:val="21"/>
                <w:lang w:bidi="ar"/>
              </w:rPr>
              <w:t>Ⅱ</w:t>
            </w:r>
            <w:r w:rsidRPr="00092862">
              <w:rPr>
                <w:rFonts w:ascii="Times New Roman" w:eastAsia="宋体" w:hAnsi="Times New Roman" w:cs="Times New Roman"/>
                <w:color w:val="000000" w:themeColor="text1"/>
                <w:kern w:val="0"/>
                <w:szCs w:val="21"/>
                <w:lang w:bidi="ar"/>
              </w:rPr>
              <w:t>级</w:t>
            </w:r>
          </w:p>
        </w:tc>
        <w:tc>
          <w:tcPr>
            <w:tcW w:w="818" w:type="dxa"/>
            <w:tcBorders>
              <w:top w:val="single" w:sz="10" w:space="0" w:color="000000"/>
              <w:right w:val="single" w:sz="10" w:space="0" w:color="000000"/>
            </w:tcBorders>
            <w:vAlign w:val="center"/>
          </w:tcPr>
          <w:p w14:paraId="701728DC"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省级</w:t>
            </w:r>
          </w:p>
        </w:tc>
      </w:tr>
      <w:tr w:rsidR="00697429" w:rsidRPr="00092862" w14:paraId="109E0744" w14:textId="77777777" w:rsidTr="00A75B69">
        <w:trPr>
          <w:trHeight w:val="426"/>
          <w:jc w:val="center"/>
        </w:trPr>
        <w:tc>
          <w:tcPr>
            <w:tcW w:w="1313" w:type="dxa"/>
            <w:tcBorders>
              <w:left w:val="single" w:sz="10" w:space="0" w:color="000000"/>
            </w:tcBorders>
            <w:vAlign w:val="center"/>
          </w:tcPr>
          <w:p w14:paraId="3F4E28C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lastRenderedPageBreak/>
              <w:t>两栖类</w:t>
            </w:r>
          </w:p>
        </w:tc>
        <w:tc>
          <w:tcPr>
            <w:tcW w:w="1138" w:type="dxa"/>
            <w:vAlign w:val="center"/>
          </w:tcPr>
          <w:p w14:paraId="347E3F7E"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w:t>
            </w:r>
          </w:p>
        </w:tc>
        <w:tc>
          <w:tcPr>
            <w:tcW w:w="1138" w:type="dxa"/>
            <w:vAlign w:val="center"/>
          </w:tcPr>
          <w:p w14:paraId="6A56944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3</w:t>
            </w:r>
          </w:p>
        </w:tc>
        <w:tc>
          <w:tcPr>
            <w:tcW w:w="1298" w:type="dxa"/>
            <w:vAlign w:val="center"/>
          </w:tcPr>
          <w:p w14:paraId="1683108F"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5</w:t>
            </w:r>
          </w:p>
        </w:tc>
        <w:tc>
          <w:tcPr>
            <w:tcW w:w="1353" w:type="dxa"/>
            <w:vAlign w:val="center"/>
          </w:tcPr>
          <w:p w14:paraId="3D1EEA3B"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1228" w:type="dxa"/>
            <w:vAlign w:val="center"/>
          </w:tcPr>
          <w:p w14:paraId="660CC0AF"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818" w:type="dxa"/>
            <w:tcBorders>
              <w:right w:val="single" w:sz="10" w:space="0" w:color="000000"/>
            </w:tcBorders>
            <w:vAlign w:val="center"/>
          </w:tcPr>
          <w:p w14:paraId="1248DEF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r>
      <w:tr w:rsidR="00697429" w:rsidRPr="00092862" w14:paraId="18C4CA69" w14:textId="77777777" w:rsidTr="00A75B69">
        <w:trPr>
          <w:trHeight w:val="426"/>
          <w:jc w:val="center"/>
        </w:trPr>
        <w:tc>
          <w:tcPr>
            <w:tcW w:w="1313" w:type="dxa"/>
            <w:tcBorders>
              <w:left w:val="single" w:sz="10" w:space="0" w:color="000000"/>
            </w:tcBorders>
            <w:vAlign w:val="center"/>
          </w:tcPr>
          <w:p w14:paraId="19898044"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爬行类</w:t>
            </w:r>
          </w:p>
        </w:tc>
        <w:tc>
          <w:tcPr>
            <w:tcW w:w="1138" w:type="dxa"/>
            <w:vAlign w:val="center"/>
          </w:tcPr>
          <w:p w14:paraId="4B0A6BE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w:t>
            </w:r>
          </w:p>
        </w:tc>
        <w:tc>
          <w:tcPr>
            <w:tcW w:w="1138" w:type="dxa"/>
            <w:vAlign w:val="center"/>
          </w:tcPr>
          <w:p w14:paraId="69DA1D0F"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w:t>
            </w:r>
          </w:p>
        </w:tc>
        <w:tc>
          <w:tcPr>
            <w:tcW w:w="1298" w:type="dxa"/>
            <w:vAlign w:val="center"/>
          </w:tcPr>
          <w:p w14:paraId="6F99C5BA"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6</w:t>
            </w:r>
          </w:p>
        </w:tc>
        <w:tc>
          <w:tcPr>
            <w:tcW w:w="1353" w:type="dxa"/>
            <w:vAlign w:val="center"/>
          </w:tcPr>
          <w:p w14:paraId="7943656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1228" w:type="dxa"/>
            <w:vAlign w:val="center"/>
          </w:tcPr>
          <w:p w14:paraId="2995415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818" w:type="dxa"/>
            <w:tcBorders>
              <w:right w:val="single" w:sz="10" w:space="0" w:color="000000"/>
            </w:tcBorders>
            <w:vAlign w:val="center"/>
          </w:tcPr>
          <w:p w14:paraId="5DF846E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r>
      <w:tr w:rsidR="00697429" w:rsidRPr="00092862" w14:paraId="45B94F3A" w14:textId="77777777" w:rsidTr="00A75B69">
        <w:trPr>
          <w:trHeight w:val="426"/>
          <w:jc w:val="center"/>
        </w:trPr>
        <w:tc>
          <w:tcPr>
            <w:tcW w:w="1313" w:type="dxa"/>
            <w:tcBorders>
              <w:left w:val="single" w:sz="10" w:space="0" w:color="000000"/>
            </w:tcBorders>
            <w:vAlign w:val="center"/>
          </w:tcPr>
          <w:p w14:paraId="5095E45A"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鸟类</w:t>
            </w:r>
          </w:p>
        </w:tc>
        <w:tc>
          <w:tcPr>
            <w:tcW w:w="1138" w:type="dxa"/>
            <w:vAlign w:val="center"/>
          </w:tcPr>
          <w:p w14:paraId="2166321B"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11</w:t>
            </w:r>
          </w:p>
        </w:tc>
        <w:tc>
          <w:tcPr>
            <w:tcW w:w="1138" w:type="dxa"/>
            <w:vAlign w:val="center"/>
          </w:tcPr>
          <w:p w14:paraId="689CEE6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21</w:t>
            </w:r>
          </w:p>
        </w:tc>
        <w:tc>
          <w:tcPr>
            <w:tcW w:w="1298" w:type="dxa"/>
            <w:vAlign w:val="center"/>
          </w:tcPr>
          <w:p w14:paraId="6771DE65"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39</w:t>
            </w:r>
          </w:p>
        </w:tc>
        <w:tc>
          <w:tcPr>
            <w:tcW w:w="1353" w:type="dxa"/>
            <w:vAlign w:val="center"/>
          </w:tcPr>
          <w:p w14:paraId="166DBCC2"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1228" w:type="dxa"/>
            <w:vAlign w:val="center"/>
          </w:tcPr>
          <w:p w14:paraId="0AEF1FD1"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818" w:type="dxa"/>
            <w:tcBorders>
              <w:right w:val="single" w:sz="10" w:space="0" w:color="000000"/>
            </w:tcBorders>
            <w:vAlign w:val="center"/>
          </w:tcPr>
          <w:p w14:paraId="12A45764"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r>
      <w:tr w:rsidR="00697429" w:rsidRPr="00092862" w14:paraId="2FB7960D" w14:textId="77777777" w:rsidTr="00A75B69">
        <w:trPr>
          <w:trHeight w:val="447"/>
          <w:jc w:val="center"/>
        </w:trPr>
        <w:tc>
          <w:tcPr>
            <w:tcW w:w="1313" w:type="dxa"/>
            <w:tcBorders>
              <w:left w:val="single" w:sz="10" w:space="0" w:color="000000"/>
              <w:bottom w:val="single" w:sz="10" w:space="0" w:color="000000"/>
            </w:tcBorders>
            <w:vAlign w:val="center"/>
          </w:tcPr>
          <w:p w14:paraId="71212AE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兽类</w:t>
            </w:r>
          </w:p>
        </w:tc>
        <w:tc>
          <w:tcPr>
            <w:tcW w:w="1138" w:type="dxa"/>
            <w:tcBorders>
              <w:bottom w:val="single" w:sz="10" w:space="0" w:color="000000"/>
            </w:tcBorders>
            <w:vAlign w:val="center"/>
          </w:tcPr>
          <w:p w14:paraId="2076C62B"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6</w:t>
            </w:r>
          </w:p>
        </w:tc>
        <w:tc>
          <w:tcPr>
            <w:tcW w:w="1138" w:type="dxa"/>
            <w:tcBorders>
              <w:bottom w:val="single" w:sz="10" w:space="0" w:color="000000"/>
            </w:tcBorders>
            <w:vAlign w:val="center"/>
          </w:tcPr>
          <w:p w14:paraId="079D1D97"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9</w:t>
            </w:r>
          </w:p>
        </w:tc>
        <w:tc>
          <w:tcPr>
            <w:tcW w:w="1298" w:type="dxa"/>
            <w:tcBorders>
              <w:bottom w:val="single" w:sz="10" w:space="0" w:color="000000"/>
            </w:tcBorders>
            <w:vAlign w:val="center"/>
          </w:tcPr>
          <w:p w14:paraId="3184E5A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15</w:t>
            </w:r>
          </w:p>
        </w:tc>
        <w:tc>
          <w:tcPr>
            <w:tcW w:w="1353" w:type="dxa"/>
            <w:tcBorders>
              <w:bottom w:val="single" w:sz="10" w:space="0" w:color="000000"/>
            </w:tcBorders>
            <w:vAlign w:val="center"/>
          </w:tcPr>
          <w:p w14:paraId="526AE932"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1228" w:type="dxa"/>
            <w:tcBorders>
              <w:bottom w:val="single" w:sz="10" w:space="0" w:color="000000"/>
            </w:tcBorders>
            <w:vAlign w:val="center"/>
          </w:tcPr>
          <w:p w14:paraId="6A80FF79"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818" w:type="dxa"/>
            <w:tcBorders>
              <w:bottom w:val="single" w:sz="10" w:space="0" w:color="000000"/>
              <w:right w:val="single" w:sz="10" w:space="0" w:color="000000"/>
            </w:tcBorders>
            <w:vAlign w:val="center"/>
          </w:tcPr>
          <w:p w14:paraId="71D5BCC4"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r>
      <w:tr w:rsidR="00697429" w:rsidRPr="00092862" w14:paraId="127B4E98" w14:textId="77777777" w:rsidTr="00A75B69">
        <w:tblPrEx>
          <w:tblBorders>
            <w:top w:val="single" w:sz="10" w:space="0" w:color="000000"/>
            <w:left w:val="single" w:sz="10" w:space="0" w:color="000000"/>
            <w:bottom w:val="single" w:sz="10" w:space="0" w:color="000000"/>
            <w:right w:val="single" w:sz="10" w:space="0" w:color="000000"/>
            <w:insideH w:val="single" w:sz="10" w:space="0" w:color="000000"/>
            <w:insideV w:val="single" w:sz="10" w:space="0" w:color="000000"/>
          </w:tblBorders>
        </w:tblPrEx>
        <w:trPr>
          <w:trHeight w:val="433"/>
          <w:jc w:val="center"/>
        </w:trPr>
        <w:tc>
          <w:tcPr>
            <w:tcW w:w="1313" w:type="dxa"/>
            <w:tcBorders>
              <w:right w:val="single" w:sz="2" w:space="0" w:color="000000"/>
            </w:tcBorders>
            <w:vAlign w:val="center"/>
          </w:tcPr>
          <w:p w14:paraId="31044B76"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合计</w:t>
            </w:r>
          </w:p>
        </w:tc>
        <w:tc>
          <w:tcPr>
            <w:tcW w:w="1138" w:type="dxa"/>
            <w:tcBorders>
              <w:left w:val="single" w:sz="2" w:space="0" w:color="000000"/>
              <w:right w:val="single" w:sz="2" w:space="0" w:color="000000"/>
            </w:tcBorders>
            <w:vAlign w:val="center"/>
          </w:tcPr>
          <w:p w14:paraId="0CCFC67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19</w:t>
            </w:r>
          </w:p>
        </w:tc>
        <w:tc>
          <w:tcPr>
            <w:tcW w:w="1138" w:type="dxa"/>
            <w:tcBorders>
              <w:left w:val="single" w:sz="2" w:space="0" w:color="000000"/>
              <w:right w:val="single" w:sz="2" w:space="0" w:color="000000"/>
            </w:tcBorders>
            <w:vAlign w:val="center"/>
          </w:tcPr>
          <w:p w14:paraId="19FC5EA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35</w:t>
            </w:r>
          </w:p>
        </w:tc>
        <w:tc>
          <w:tcPr>
            <w:tcW w:w="1298" w:type="dxa"/>
            <w:tcBorders>
              <w:left w:val="single" w:sz="2" w:space="0" w:color="000000"/>
              <w:right w:val="single" w:sz="2" w:space="0" w:color="000000"/>
            </w:tcBorders>
            <w:vAlign w:val="center"/>
          </w:tcPr>
          <w:p w14:paraId="01C6F2DA"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65</w:t>
            </w:r>
          </w:p>
        </w:tc>
        <w:tc>
          <w:tcPr>
            <w:tcW w:w="1353" w:type="dxa"/>
            <w:tcBorders>
              <w:left w:val="single" w:sz="2" w:space="0" w:color="000000"/>
              <w:right w:val="single" w:sz="2" w:space="0" w:color="000000"/>
            </w:tcBorders>
            <w:vAlign w:val="center"/>
          </w:tcPr>
          <w:p w14:paraId="485F36B0"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1228" w:type="dxa"/>
            <w:tcBorders>
              <w:left w:val="single" w:sz="2" w:space="0" w:color="000000"/>
              <w:right w:val="single" w:sz="2" w:space="0" w:color="000000"/>
            </w:tcBorders>
            <w:vAlign w:val="center"/>
          </w:tcPr>
          <w:p w14:paraId="07C1DF33"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c>
          <w:tcPr>
            <w:tcW w:w="818" w:type="dxa"/>
            <w:tcBorders>
              <w:left w:val="single" w:sz="2" w:space="0" w:color="000000"/>
            </w:tcBorders>
            <w:vAlign w:val="center"/>
          </w:tcPr>
          <w:p w14:paraId="339C692A" w14:textId="77777777" w:rsidR="009E4715" w:rsidRPr="00092862" w:rsidRDefault="009E4715" w:rsidP="009E4715">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w:t>
            </w:r>
          </w:p>
        </w:tc>
      </w:tr>
    </w:tbl>
    <w:p w14:paraId="1F82EAFF" w14:textId="77777777" w:rsidR="009E4715" w:rsidRPr="00092862" w:rsidRDefault="009E4715" w:rsidP="009E4715">
      <w:pPr>
        <w:spacing w:line="480" w:lineRule="exact"/>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A</w:t>
      </w:r>
      <w:r w:rsidRPr="00092862">
        <w:rPr>
          <w:rFonts w:ascii="Times New Roman" w:eastAsia="宋体" w:hAnsi="Times New Roman" w:cs="Times New Roman"/>
          <w:b/>
          <w:bCs/>
          <w:color w:val="000000" w:themeColor="text1"/>
          <w:sz w:val="24"/>
          <w:szCs w:val="24"/>
        </w:rPr>
        <w:t>、兽类的组成及分布</w:t>
      </w:r>
    </w:p>
    <w:p w14:paraId="7C7E00F0"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根据野外调查和文献资料核实，评价区共有兽类</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12</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15</w:t>
      </w:r>
      <w:r w:rsidRPr="00092862">
        <w:rPr>
          <w:rFonts w:ascii="Times New Roman" w:eastAsia="宋体" w:hAnsi="Times New Roman" w:cs="Times New Roman"/>
          <w:color w:val="000000" w:themeColor="text1"/>
          <w:sz w:val="24"/>
          <w:szCs w:val="24"/>
        </w:rPr>
        <w:t>种，即食虫目</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种、翼手目</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种、食肉目</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种、啮齿目</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种、兔形目</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种。从目一级水平看，啮齿目优势明显。由于人类活动影响，评价区的兽类主要以常见的小型兽类为主，基本难以寻觅大、中型兽类的痕迹，本次调查未发现保护兽类动物的踪迹。</w:t>
      </w:r>
    </w:p>
    <w:p w14:paraId="08F70242"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）区系分析</w:t>
      </w:r>
    </w:p>
    <w:p w14:paraId="071E5640"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区内有分布的</w:t>
      </w:r>
      <w:r w:rsidRPr="00092862">
        <w:rPr>
          <w:rFonts w:ascii="Times New Roman" w:eastAsia="宋体" w:hAnsi="Times New Roman" w:cs="Times New Roman"/>
          <w:color w:val="000000" w:themeColor="text1"/>
          <w:sz w:val="24"/>
          <w:szCs w:val="24"/>
        </w:rPr>
        <w:t>15</w:t>
      </w:r>
      <w:r w:rsidRPr="00092862">
        <w:rPr>
          <w:rFonts w:ascii="Times New Roman" w:eastAsia="宋体" w:hAnsi="Times New Roman" w:cs="Times New Roman"/>
          <w:color w:val="000000" w:themeColor="text1"/>
          <w:sz w:val="24"/>
          <w:szCs w:val="24"/>
        </w:rPr>
        <w:t>种兽类中，东洋界种类有</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种，占该区域实际调查到有分布的兽类总种数的</w:t>
      </w:r>
      <w:r w:rsidRPr="00092862">
        <w:rPr>
          <w:rFonts w:ascii="Times New Roman" w:eastAsia="宋体" w:hAnsi="Times New Roman" w:cs="Times New Roman"/>
          <w:color w:val="000000" w:themeColor="text1"/>
          <w:sz w:val="24"/>
          <w:szCs w:val="24"/>
        </w:rPr>
        <w:t>33.33%</w:t>
      </w:r>
      <w:r w:rsidRPr="00092862">
        <w:rPr>
          <w:rFonts w:ascii="Times New Roman" w:eastAsia="宋体" w:hAnsi="Times New Roman" w:cs="Times New Roman"/>
          <w:color w:val="000000" w:themeColor="text1"/>
          <w:sz w:val="24"/>
          <w:szCs w:val="24"/>
        </w:rPr>
        <w:t>；古北界种类有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种，占</w:t>
      </w:r>
      <w:r w:rsidRPr="00092862">
        <w:rPr>
          <w:rFonts w:ascii="Times New Roman" w:eastAsia="宋体" w:hAnsi="Times New Roman" w:cs="Times New Roman"/>
          <w:color w:val="000000" w:themeColor="text1"/>
          <w:sz w:val="24"/>
          <w:szCs w:val="24"/>
        </w:rPr>
        <w:t>20.00%</w:t>
      </w:r>
      <w:r w:rsidRPr="00092862">
        <w:rPr>
          <w:rFonts w:ascii="Times New Roman" w:eastAsia="宋体" w:hAnsi="Times New Roman" w:cs="Times New Roman"/>
          <w:color w:val="000000" w:themeColor="text1"/>
          <w:sz w:val="24"/>
          <w:szCs w:val="24"/>
        </w:rPr>
        <w:t>，广布种有</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种，占</w:t>
      </w:r>
      <w:r w:rsidRPr="00092862">
        <w:rPr>
          <w:rFonts w:ascii="Times New Roman" w:eastAsia="宋体" w:hAnsi="Times New Roman" w:cs="Times New Roman"/>
          <w:color w:val="000000" w:themeColor="text1"/>
          <w:sz w:val="24"/>
          <w:szCs w:val="24"/>
        </w:rPr>
        <w:t>46.67%</w:t>
      </w:r>
      <w:r w:rsidRPr="00092862">
        <w:rPr>
          <w:rFonts w:ascii="Times New Roman" w:eastAsia="宋体" w:hAnsi="Times New Roman" w:cs="Times New Roman"/>
          <w:color w:val="000000" w:themeColor="text1"/>
          <w:sz w:val="24"/>
          <w:szCs w:val="24"/>
        </w:rPr>
        <w:t>。</w:t>
      </w:r>
    </w:p>
    <w:p w14:paraId="31DF988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）生态分布</w:t>
      </w:r>
    </w:p>
    <w:p w14:paraId="69EB9DF4"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根据该区域的环境特征和兽类的生活特性，该区域兽类主要分为如下几种生态类型：</w:t>
      </w:r>
    </w:p>
    <w:p w14:paraId="0F177FD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溪流区兽类：指生活在评价区内溪流和沿岸的物种，主要包括：黄鼬、草兔、社鼠等。</w:t>
      </w:r>
    </w:p>
    <w:p w14:paraId="13905205"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林区兽类：主要是指生活在森林环境的物种，森林环境在该区域主要分布于坡地中上部。为该区最广的生境类型，主要分布的兽类有隐纹花松鼠、社鼠等。</w:t>
      </w:r>
    </w:p>
    <w:p w14:paraId="22A7476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灌草丛区兽类：该区域的生境类型主要包括灌丛、草丛和农耕地等，分布海拔相对较低，生活于其中的兽类主要包括：黄鼬、草兔、社鼠等，其中的优势种类为草兔、社鼠等。</w:t>
      </w:r>
    </w:p>
    <w:p w14:paraId="066B467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）保护物种</w:t>
      </w:r>
    </w:p>
    <w:p w14:paraId="5C7AE300"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评价区内未发现国家级重点保护动物，同时评价区的相关资料也未记载</w:t>
      </w:r>
      <w:r w:rsidRPr="00092862">
        <w:rPr>
          <w:rFonts w:ascii="Times New Roman" w:eastAsia="宋体" w:hAnsi="Times New Roman" w:cs="Times New Roman"/>
          <w:color w:val="000000" w:themeColor="text1"/>
          <w:sz w:val="24"/>
          <w:szCs w:val="24"/>
        </w:rPr>
        <w:lastRenderedPageBreak/>
        <w:t>相关国家级重点保护动物。</w:t>
      </w:r>
    </w:p>
    <w:p w14:paraId="71635170" w14:textId="77777777" w:rsidR="009E4715" w:rsidRPr="00092862" w:rsidRDefault="009E4715" w:rsidP="00092862">
      <w:pPr>
        <w:spacing w:line="480" w:lineRule="exact"/>
        <w:ind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B</w:t>
      </w:r>
      <w:r w:rsidRPr="00092862">
        <w:rPr>
          <w:rFonts w:ascii="Times New Roman" w:eastAsia="宋体" w:hAnsi="Times New Roman" w:cs="Times New Roman"/>
          <w:b/>
          <w:bCs/>
          <w:color w:val="000000" w:themeColor="text1"/>
          <w:sz w:val="24"/>
          <w:szCs w:val="24"/>
        </w:rPr>
        <w:t>、鸟类的组成及分布</w:t>
      </w:r>
    </w:p>
    <w:p w14:paraId="0A3818BF"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根据文献查阅及现场调研，评价范围内共有鸟类</w:t>
      </w:r>
      <w:r w:rsidRPr="00092862">
        <w:rPr>
          <w:rFonts w:ascii="Times New Roman" w:eastAsia="宋体" w:hAnsi="Times New Roman" w:cs="Times New Roman"/>
          <w:color w:val="000000" w:themeColor="text1"/>
          <w:sz w:val="24"/>
          <w:szCs w:val="24"/>
        </w:rPr>
        <w:t>39</w:t>
      </w:r>
      <w:r w:rsidRPr="00092862">
        <w:rPr>
          <w:rFonts w:ascii="Times New Roman" w:eastAsia="宋体" w:hAnsi="Times New Roman" w:cs="Times New Roman"/>
          <w:color w:val="000000" w:themeColor="text1"/>
          <w:sz w:val="24"/>
          <w:szCs w:val="24"/>
        </w:rPr>
        <w:t>种，隶</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21</w:t>
      </w:r>
      <w:r w:rsidRPr="00092862">
        <w:rPr>
          <w:rFonts w:ascii="Times New Roman" w:eastAsia="宋体" w:hAnsi="Times New Roman" w:cs="Times New Roman"/>
          <w:color w:val="000000" w:themeColor="text1"/>
          <w:sz w:val="24"/>
          <w:szCs w:val="24"/>
        </w:rPr>
        <w:t>科</w:t>
      </w:r>
      <w:r w:rsidRPr="00092862">
        <w:rPr>
          <w:rFonts w:ascii="Times New Roman" w:eastAsia="宋体" w:hAnsi="Times New Roman" w:cs="Times New Roman"/>
          <w:color w:val="000000" w:themeColor="text1"/>
          <w:sz w:val="24"/>
          <w:szCs w:val="24"/>
        </w:rPr>
        <w:t>34</w:t>
      </w:r>
      <w:r w:rsidRPr="00092862">
        <w:rPr>
          <w:rFonts w:ascii="Times New Roman" w:eastAsia="宋体" w:hAnsi="Times New Roman" w:cs="Times New Roman"/>
          <w:color w:val="000000" w:themeColor="text1"/>
          <w:sz w:val="24"/>
          <w:szCs w:val="24"/>
        </w:rPr>
        <w:t>属。其中，从类群构成看，雀形目鸟类</w:t>
      </w:r>
      <w:r w:rsidRPr="00092862">
        <w:rPr>
          <w:rFonts w:ascii="Times New Roman" w:eastAsia="宋体" w:hAnsi="Times New Roman" w:cs="Times New Roman"/>
          <w:color w:val="000000" w:themeColor="text1"/>
          <w:sz w:val="24"/>
          <w:szCs w:val="24"/>
        </w:rPr>
        <w:t>17</w:t>
      </w:r>
      <w:r w:rsidRPr="00092862">
        <w:rPr>
          <w:rFonts w:ascii="Times New Roman" w:eastAsia="宋体" w:hAnsi="Times New Roman" w:cs="Times New Roman"/>
          <w:color w:val="000000" w:themeColor="text1"/>
          <w:sz w:val="24"/>
          <w:szCs w:val="24"/>
        </w:rPr>
        <w:t>种，占评价区鸟类总种数的</w:t>
      </w:r>
      <w:r w:rsidRPr="00092862">
        <w:rPr>
          <w:rFonts w:ascii="Times New Roman" w:eastAsia="宋体" w:hAnsi="Times New Roman" w:cs="Times New Roman"/>
          <w:color w:val="000000" w:themeColor="text1"/>
          <w:sz w:val="24"/>
          <w:szCs w:val="24"/>
        </w:rPr>
        <w:t>43.59%</w:t>
      </w:r>
      <w:r w:rsidRPr="00092862">
        <w:rPr>
          <w:rFonts w:ascii="Times New Roman" w:eastAsia="宋体" w:hAnsi="Times New Roman" w:cs="Times New Roman"/>
          <w:color w:val="000000" w:themeColor="text1"/>
          <w:sz w:val="24"/>
          <w:szCs w:val="24"/>
        </w:rPr>
        <w:t>。</w:t>
      </w:r>
    </w:p>
    <w:p w14:paraId="251A0FF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）区系分析</w:t>
      </w:r>
    </w:p>
    <w:p w14:paraId="73E3092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评价区内鸟类中属古北界的有</w:t>
      </w:r>
      <w:r w:rsidRPr="00092862">
        <w:rPr>
          <w:rFonts w:ascii="Times New Roman" w:eastAsia="宋体" w:hAnsi="Times New Roman" w:cs="Times New Roman"/>
          <w:color w:val="000000" w:themeColor="text1"/>
          <w:sz w:val="24"/>
          <w:szCs w:val="24"/>
        </w:rPr>
        <w:t>11</w:t>
      </w:r>
      <w:r w:rsidRPr="00092862">
        <w:rPr>
          <w:rFonts w:ascii="Times New Roman" w:eastAsia="宋体" w:hAnsi="Times New Roman" w:cs="Times New Roman"/>
          <w:color w:val="000000" w:themeColor="text1"/>
          <w:sz w:val="24"/>
          <w:szCs w:val="24"/>
        </w:rPr>
        <w:t>种，占评价区内鸟类总数的</w:t>
      </w:r>
      <w:r w:rsidRPr="00092862">
        <w:rPr>
          <w:rFonts w:ascii="Times New Roman" w:eastAsia="宋体" w:hAnsi="Times New Roman" w:cs="Times New Roman"/>
          <w:color w:val="000000" w:themeColor="text1"/>
          <w:sz w:val="24"/>
          <w:szCs w:val="24"/>
        </w:rPr>
        <w:t>28.21%</w:t>
      </w:r>
      <w:r w:rsidRPr="00092862">
        <w:rPr>
          <w:rFonts w:ascii="Times New Roman" w:eastAsia="宋体" w:hAnsi="Times New Roman" w:cs="Times New Roman"/>
          <w:color w:val="000000" w:themeColor="text1"/>
          <w:sz w:val="24"/>
          <w:szCs w:val="24"/>
        </w:rPr>
        <w:t>；属东洋</w:t>
      </w:r>
    </w:p>
    <w:p w14:paraId="67E35DF5"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界的有</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种，占评价区内鸟类总数的</w:t>
      </w:r>
      <w:r w:rsidRPr="00092862">
        <w:rPr>
          <w:rFonts w:ascii="Times New Roman" w:eastAsia="宋体" w:hAnsi="Times New Roman" w:cs="Times New Roman"/>
          <w:color w:val="000000" w:themeColor="text1"/>
          <w:sz w:val="24"/>
          <w:szCs w:val="24"/>
        </w:rPr>
        <w:t>23.08%</w:t>
      </w:r>
      <w:r w:rsidRPr="00092862">
        <w:rPr>
          <w:rFonts w:ascii="Times New Roman" w:eastAsia="宋体" w:hAnsi="Times New Roman" w:cs="Times New Roman"/>
          <w:color w:val="000000" w:themeColor="text1"/>
          <w:sz w:val="24"/>
          <w:szCs w:val="24"/>
        </w:rPr>
        <w:t>；属广布种的有</w:t>
      </w:r>
      <w:r w:rsidRPr="00092862">
        <w:rPr>
          <w:rFonts w:ascii="Times New Roman" w:eastAsia="宋体" w:hAnsi="Times New Roman" w:cs="Times New Roman"/>
          <w:color w:val="000000" w:themeColor="text1"/>
          <w:sz w:val="24"/>
          <w:szCs w:val="24"/>
        </w:rPr>
        <w:t>19</w:t>
      </w:r>
      <w:r w:rsidRPr="00092862">
        <w:rPr>
          <w:rFonts w:ascii="Times New Roman" w:eastAsia="宋体" w:hAnsi="Times New Roman" w:cs="Times New Roman"/>
          <w:color w:val="000000" w:themeColor="text1"/>
          <w:sz w:val="24"/>
          <w:szCs w:val="24"/>
        </w:rPr>
        <w:t>种，占评价区内鸟类总数的</w:t>
      </w:r>
      <w:r w:rsidRPr="00092862">
        <w:rPr>
          <w:rFonts w:ascii="Times New Roman" w:eastAsia="宋体" w:hAnsi="Times New Roman" w:cs="Times New Roman"/>
          <w:color w:val="000000" w:themeColor="text1"/>
          <w:sz w:val="24"/>
          <w:szCs w:val="24"/>
        </w:rPr>
        <w:t>48.72%</w:t>
      </w:r>
      <w:r w:rsidRPr="00092862">
        <w:rPr>
          <w:rFonts w:ascii="Times New Roman" w:eastAsia="宋体" w:hAnsi="Times New Roman" w:cs="Times New Roman"/>
          <w:color w:val="000000" w:themeColor="text1"/>
          <w:sz w:val="24"/>
          <w:szCs w:val="24"/>
        </w:rPr>
        <w:t>。调查评价区内鸟类以广布种占优势。</w:t>
      </w:r>
    </w:p>
    <w:p w14:paraId="189867C8"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）居留类型</w:t>
      </w:r>
    </w:p>
    <w:p w14:paraId="29D22D1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评价区内有留鸟</w:t>
      </w:r>
      <w:r w:rsidRPr="00092862">
        <w:rPr>
          <w:rFonts w:ascii="Times New Roman" w:eastAsia="宋体" w:hAnsi="Times New Roman" w:cs="Times New Roman"/>
          <w:color w:val="000000" w:themeColor="text1"/>
          <w:sz w:val="24"/>
          <w:szCs w:val="24"/>
        </w:rPr>
        <w:t>24</w:t>
      </w:r>
      <w:r w:rsidRPr="00092862">
        <w:rPr>
          <w:rFonts w:ascii="Times New Roman" w:eastAsia="宋体" w:hAnsi="Times New Roman" w:cs="Times New Roman"/>
          <w:color w:val="000000" w:themeColor="text1"/>
          <w:sz w:val="24"/>
          <w:szCs w:val="24"/>
        </w:rPr>
        <w:t>种，占鸟类总数的</w:t>
      </w:r>
      <w:r w:rsidRPr="00092862">
        <w:rPr>
          <w:rFonts w:ascii="Times New Roman" w:eastAsia="宋体" w:hAnsi="Times New Roman" w:cs="Times New Roman"/>
          <w:color w:val="000000" w:themeColor="text1"/>
          <w:sz w:val="24"/>
          <w:szCs w:val="24"/>
        </w:rPr>
        <w:t>61.54%</w:t>
      </w:r>
      <w:r w:rsidRPr="00092862">
        <w:rPr>
          <w:rFonts w:ascii="Times New Roman" w:eastAsia="宋体" w:hAnsi="Times New Roman" w:cs="Times New Roman"/>
          <w:color w:val="000000" w:themeColor="text1"/>
          <w:sz w:val="24"/>
          <w:szCs w:val="24"/>
        </w:rPr>
        <w:t>；夏候鸟</w:t>
      </w:r>
      <w:r w:rsidRPr="00092862">
        <w:rPr>
          <w:rFonts w:ascii="Times New Roman" w:eastAsia="宋体" w:hAnsi="Times New Roman" w:cs="Times New Roman"/>
          <w:color w:val="000000" w:themeColor="text1"/>
          <w:sz w:val="24"/>
          <w:szCs w:val="24"/>
        </w:rPr>
        <w:t>13</w:t>
      </w:r>
      <w:r w:rsidRPr="00092862">
        <w:rPr>
          <w:rFonts w:ascii="Times New Roman" w:eastAsia="宋体" w:hAnsi="Times New Roman" w:cs="Times New Roman"/>
          <w:color w:val="000000" w:themeColor="text1"/>
          <w:sz w:val="24"/>
          <w:szCs w:val="24"/>
        </w:rPr>
        <w:t>种，约占</w:t>
      </w:r>
      <w:r w:rsidRPr="00092862">
        <w:rPr>
          <w:rFonts w:ascii="Times New Roman" w:eastAsia="宋体" w:hAnsi="Times New Roman" w:cs="Times New Roman"/>
          <w:color w:val="000000" w:themeColor="text1"/>
          <w:sz w:val="24"/>
          <w:szCs w:val="24"/>
        </w:rPr>
        <w:t>33.33%</w:t>
      </w:r>
      <w:r w:rsidRPr="00092862">
        <w:rPr>
          <w:rFonts w:ascii="Times New Roman" w:eastAsia="宋体" w:hAnsi="Times New Roman" w:cs="Times New Roman"/>
          <w:color w:val="000000" w:themeColor="text1"/>
          <w:sz w:val="24"/>
          <w:szCs w:val="24"/>
        </w:rPr>
        <w:t>；冬候鸟</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种，各占</w:t>
      </w:r>
      <w:r w:rsidRPr="00092862">
        <w:rPr>
          <w:rFonts w:ascii="Times New Roman" w:eastAsia="宋体" w:hAnsi="Times New Roman" w:cs="Times New Roman"/>
          <w:color w:val="000000" w:themeColor="text1"/>
          <w:sz w:val="24"/>
          <w:szCs w:val="24"/>
        </w:rPr>
        <w:t>2.56%</w:t>
      </w:r>
      <w:r w:rsidRPr="00092862">
        <w:rPr>
          <w:rFonts w:ascii="Times New Roman" w:eastAsia="宋体" w:hAnsi="Times New Roman" w:cs="Times New Roman"/>
          <w:color w:val="000000" w:themeColor="text1"/>
          <w:sz w:val="24"/>
          <w:szCs w:val="24"/>
        </w:rPr>
        <w:t>。调查评价区内鸟类以留鸟为主。</w:t>
      </w:r>
    </w:p>
    <w:p w14:paraId="7F187F2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）生态分布</w:t>
      </w:r>
    </w:p>
    <w:p w14:paraId="69D20288"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根据评价区植被分布的特点，将评价区鸟类分布的生境划分为以下几种类型：</w:t>
      </w:r>
    </w:p>
    <w:p w14:paraId="38B80AD3"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溪流区鸟类：该区域的生境类型主要包括水域、草丛、灌丛等基本类型，分布海拔相对较低，活动于其中的鸟类主要包括：鹳形目的种类。该区的优势种类是：白鹭、赤麻鸭等。</w:t>
      </w:r>
    </w:p>
    <w:p w14:paraId="07841E5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森林区鸟类：森林环境在该区域较广泛。生活于该区的鸟类较多，主要为雉科、鸦科、雀科等。优势种类有雉鸡、山斑鸠、大杜鹃、树麻雀、噪鹃等。</w:t>
      </w:r>
    </w:p>
    <w:p w14:paraId="728BBED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草灌丛、农区鸟类：该类生境在评价区内分布较狭窄。该区段生活的鸟类主要是鸡形目及雀形目的部分鸟类。其中的优势种类主要有家燕、毛脚燕、普通翠鸟等。</w:t>
      </w:r>
    </w:p>
    <w:p w14:paraId="7625783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）保护物种</w:t>
      </w:r>
    </w:p>
    <w:p w14:paraId="16822A68"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据调查和访问，评价区内有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种国家</w:t>
      </w:r>
      <w:r w:rsidRPr="00092862">
        <w:rPr>
          <w:rFonts w:ascii="Times New Roman" w:eastAsia="宋体" w:hAnsi="Times New Roman" w:cs="Times New Roman"/>
          <w:color w:val="000000" w:themeColor="text1"/>
          <w:sz w:val="24"/>
          <w:szCs w:val="24"/>
        </w:rPr>
        <w:t>Ⅱ</w:t>
      </w:r>
      <w:r w:rsidRPr="00092862">
        <w:rPr>
          <w:rFonts w:ascii="Times New Roman" w:eastAsia="宋体" w:hAnsi="Times New Roman" w:cs="Times New Roman"/>
          <w:color w:val="000000" w:themeColor="text1"/>
          <w:sz w:val="24"/>
          <w:szCs w:val="24"/>
        </w:rPr>
        <w:t>级重点保护鸟类，为雀鹰、画眉，偶见于评价区内的针叶林、阔叶林林。由于评价区人类活动较为频繁，适宜</w:t>
      </w:r>
      <w:r w:rsidRPr="00092862">
        <w:rPr>
          <w:rFonts w:ascii="Times New Roman" w:eastAsia="宋体" w:hAnsi="Times New Roman" w:cs="Times New Roman"/>
          <w:color w:val="000000" w:themeColor="text1"/>
          <w:sz w:val="24"/>
          <w:szCs w:val="24"/>
        </w:rPr>
        <w:lastRenderedPageBreak/>
        <w:t>的栖息地相对比较少，因此主要为过境取食及活动，并无栖息地。</w:t>
      </w:r>
    </w:p>
    <w:p w14:paraId="1AA18976" w14:textId="77777777" w:rsidR="009E4715" w:rsidRPr="00092862" w:rsidRDefault="009E4715" w:rsidP="00092862">
      <w:pPr>
        <w:spacing w:line="480" w:lineRule="exact"/>
        <w:ind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C</w:t>
      </w:r>
      <w:r w:rsidRPr="00092862">
        <w:rPr>
          <w:rFonts w:ascii="Times New Roman" w:eastAsia="宋体" w:hAnsi="Times New Roman" w:cs="Times New Roman"/>
          <w:b/>
          <w:bCs/>
          <w:color w:val="000000" w:themeColor="text1"/>
          <w:sz w:val="24"/>
          <w:szCs w:val="24"/>
        </w:rPr>
        <w:t>、爬行动物的组成及分布</w:t>
      </w:r>
    </w:p>
    <w:p w14:paraId="422337C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根据野外调查和相关资料，确认评价区域内共分布有爬行动物</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种，分属</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科，分别为游蛇科</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种，蝰蛇科</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种。评价范围内生境较广泛，主要有翠青蛇、赤链蛇、乌梢蛇、王锦蛇等种类。从物种的目级组成看，评价区的爬行类均为有鳞目蛇亚目的种类。从科级组成看，评价区爬行类以游蛇科种类占优势。</w:t>
      </w:r>
    </w:p>
    <w:p w14:paraId="5C1EB05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）区系分布</w:t>
      </w:r>
    </w:p>
    <w:p w14:paraId="205EFF0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评价范围分布的</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种爬行动物东洋界物种有</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种，古北种</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种，广布种</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种。</w:t>
      </w:r>
    </w:p>
    <w:p w14:paraId="776A5CB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）生态分布</w:t>
      </w:r>
    </w:p>
    <w:p w14:paraId="4674135A"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评价区的爬行动物大多栖息在灌草丛中。</w:t>
      </w:r>
    </w:p>
    <w:p w14:paraId="6E173E22"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）保护物种</w:t>
      </w:r>
    </w:p>
    <w:p w14:paraId="0CB78169"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调查中未发现属于国家级保护和四川省级保护的爬行类物种。</w:t>
      </w:r>
    </w:p>
    <w:p w14:paraId="76EC51B6" w14:textId="77777777" w:rsidR="009E4715" w:rsidRPr="00092862" w:rsidRDefault="009E4715" w:rsidP="00092862">
      <w:pPr>
        <w:spacing w:line="480" w:lineRule="exact"/>
        <w:ind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D</w:t>
      </w:r>
      <w:r w:rsidRPr="00092862">
        <w:rPr>
          <w:rFonts w:ascii="Times New Roman" w:eastAsia="宋体" w:hAnsi="Times New Roman" w:cs="Times New Roman"/>
          <w:b/>
          <w:bCs/>
          <w:color w:val="000000" w:themeColor="text1"/>
          <w:sz w:val="24"/>
          <w:szCs w:val="24"/>
        </w:rPr>
        <w:t>、两栖动物的组成及分布</w:t>
      </w:r>
    </w:p>
    <w:p w14:paraId="6307B8A3"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据不完全统计，评价区域内分布有两栖动物</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种，隶属于</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目</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科，分别为蟾蜍科</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种，蛙科</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种，叉舌蛙科</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属</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种。</w:t>
      </w:r>
    </w:p>
    <w:p w14:paraId="3A43396E"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）区系分析</w:t>
      </w:r>
    </w:p>
    <w:p w14:paraId="3FFF003C"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评价区内的两栖类以东洋界为主，仅有</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个古北种和</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个广布种。</w:t>
      </w:r>
    </w:p>
    <w:p w14:paraId="34B8DE6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）生态分布</w:t>
      </w:r>
    </w:p>
    <w:p w14:paraId="33380E40"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中华蟾蜍、黑眶蟾蜍、黑斑侧褶蛙等生活在河沟两侧或其附近环境植被较为茂密、阴湿的灌草丛区域；花臭蛙主要生活在大小溪两岸潮湿的岩石上；泽陆蛙主要在水域地区。</w:t>
      </w:r>
    </w:p>
    <w:p w14:paraId="08876D05"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）保护物种</w:t>
      </w:r>
    </w:p>
    <w:p w14:paraId="4E6DFC08"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调查中未发现属于国家级保护和省级保护的两栖类物种。</w:t>
      </w:r>
    </w:p>
    <w:p w14:paraId="6C6AA6FB" w14:textId="77777777" w:rsidR="009E4715" w:rsidRPr="00092862" w:rsidRDefault="009E4715" w:rsidP="00092862">
      <w:pPr>
        <w:keepNext/>
        <w:keepLines/>
        <w:spacing w:beforeLines="50" w:before="120" w:afterLines="50" w:after="120" w:line="360" w:lineRule="atLeast"/>
        <w:jc w:val="left"/>
        <w:outlineLvl w:val="3"/>
        <w:rPr>
          <w:rFonts w:ascii="Times New Roman" w:eastAsia="宋体" w:hAnsi="Times New Roman" w:cs="Times New Roman"/>
          <w:b/>
          <w:bCs/>
          <w:color w:val="000000" w:themeColor="text1"/>
          <w:kern w:val="0"/>
          <w:sz w:val="24"/>
          <w:szCs w:val="24"/>
        </w:rPr>
      </w:pPr>
      <w:bookmarkStart w:id="193" w:name="_Toc24365"/>
      <w:r w:rsidRPr="00092862">
        <w:rPr>
          <w:rFonts w:ascii="Times New Roman" w:eastAsia="宋体" w:hAnsi="Times New Roman" w:cs="Times New Roman"/>
          <w:b/>
          <w:bCs/>
          <w:color w:val="000000" w:themeColor="text1"/>
          <w:kern w:val="0"/>
          <w:sz w:val="24"/>
          <w:szCs w:val="24"/>
        </w:rPr>
        <w:t>4.3.11</w:t>
      </w:r>
      <w:r w:rsidRPr="00092862">
        <w:rPr>
          <w:rFonts w:ascii="Times New Roman" w:eastAsia="宋体" w:hAnsi="Times New Roman" w:cs="Times New Roman"/>
          <w:b/>
          <w:bCs/>
          <w:color w:val="000000" w:themeColor="text1"/>
          <w:kern w:val="0"/>
          <w:sz w:val="24"/>
          <w:szCs w:val="24"/>
        </w:rPr>
        <w:t>重要物种、迁徙物种、重要生境调查</w:t>
      </w:r>
      <w:bookmarkEnd w:id="193"/>
    </w:p>
    <w:p w14:paraId="5294D07C" w14:textId="77777777" w:rsidR="009E4715" w:rsidRPr="00092862" w:rsidRDefault="009E4715" w:rsidP="00092862">
      <w:pPr>
        <w:spacing w:line="480" w:lineRule="exact"/>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、项目评价范围内重点保护野生植物和古树名木</w:t>
      </w:r>
    </w:p>
    <w:p w14:paraId="320F151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pacing w:val="-6"/>
          <w:sz w:val="24"/>
          <w:szCs w:val="24"/>
        </w:rPr>
      </w:pPr>
      <w:r w:rsidRPr="00092862">
        <w:rPr>
          <w:rFonts w:ascii="Times New Roman" w:eastAsia="宋体" w:hAnsi="Times New Roman" w:cs="Times New Roman"/>
          <w:color w:val="000000" w:themeColor="text1"/>
          <w:spacing w:val="-6"/>
          <w:sz w:val="24"/>
          <w:szCs w:val="24"/>
        </w:rPr>
        <w:lastRenderedPageBreak/>
        <w:t>根据现场调查及相关文献资料查阅，本次评价范围内的林地主要为人工林，区域植物种类主要为杉木、柏木、马尾松、竹类及其他常见灌草植物和经济林木等。</w:t>
      </w:r>
      <w:r w:rsidRPr="00092862">
        <w:rPr>
          <w:rFonts w:ascii="Times New Roman" w:eastAsia="宋体" w:hAnsi="Times New Roman" w:cs="Times New Roman"/>
          <w:color w:val="000000" w:themeColor="text1"/>
          <w:sz w:val="24"/>
          <w:szCs w:val="24"/>
        </w:rPr>
        <w:t>按照现行的《中华人民共和国野生植物保护条例（</w:t>
      </w:r>
      <w:r w:rsidRPr="00092862">
        <w:rPr>
          <w:rFonts w:ascii="Times New Roman" w:eastAsia="宋体" w:hAnsi="Times New Roman" w:cs="Times New Roman"/>
          <w:color w:val="000000" w:themeColor="text1"/>
          <w:sz w:val="24"/>
          <w:szCs w:val="24"/>
        </w:rPr>
        <w:t>1999</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pacing w:val="-6"/>
          <w:sz w:val="24"/>
          <w:szCs w:val="24"/>
        </w:rPr>
        <w:t>《国家重点保护野生植物名录》</w:t>
      </w:r>
      <w:r w:rsidRPr="00092862">
        <w:rPr>
          <w:rFonts w:ascii="Times New Roman" w:eastAsia="宋体" w:hAnsi="Times New Roman" w:cs="Times New Roman"/>
          <w:color w:val="000000" w:themeColor="text1"/>
          <w:spacing w:val="-6"/>
          <w:sz w:val="24"/>
          <w:szCs w:val="24"/>
        </w:rPr>
        <w:t>(</w:t>
      </w:r>
      <w:r w:rsidRPr="00092862">
        <w:rPr>
          <w:rFonts w:ascii="Times New Roman" w:eastAsia="宋体" w:hAnsi="Times New Roman" w:cs="Times New Roman"/>
          <w:color w:val="000000" w:themeColor="text1"/>
          <w:spacing w:val="-6"/>
          <w:sz w:val="24"/>
          <w:szCs w:val="24"/>
        </w:rPr>
        <w:t>国家林业和草原局农业农村部公告</w:t>
      </w:r>
      <w:r w:rsidRPr="00092862">
        <w:rPr>
          <w:rFonts w:ascii="Times New Roman" w:eastAsia="Times New Roman" w:hAnsi="Times New Roman" w:cs="Times New Roman"/>
          <w:color w:val="000000" w:themeColor="text1"/>
          <w:spacing w:val="-6"/>
          <w:sz w:val="24"/>
          <w:szCs w:val="24"/>
        </w:rPr>
        <w:t>2021</w:t>
      </w:r>
      <w:r w:rsidRPr="00092862">
        <w:rPr>
          <w:rFonts w:ascii="Times New Roman" w:eastAsia="宋体" w:hAnsi="Times New Roman" w:cs="Times New Roman"/>
          <w:color w:val="000000" w:themeColor="text1"/>
          <w:spacing w:val="-9"/>
          <w:sz w:val="24"/>
          <w:szCs w:val="24"/>
        </w:rPr>
        <w:t>年</w:t>
      </w:r>
      <w:r w:rsidRPr="00092862">
        <w:rPr>
          <w:rFonts w:ascii="Times New Roman" w:eastAsia="宋体" w:hAnsi="Times New Roman" w:cs="Times New Roman"/>
          <w:color w:val="000000" w:themeColor="text1"/>
          <w:spacing w:val="-5"/>
          <w:sz w:val="24"/>
          <w:szCs w:val="24"/>
        </w:rPr>
        <w:t>第</w:t>
      </w:r>
      <w:r w:rsidRPr="00092862">
        <w:rPr>
          <w:rFonts w:ascii="Times New Roman" w:eastAsia="Times New Roman" w:hAnsi="Times New Roman" w:cs="Times New Roman"/>
          <w:color w:val="000000" w:themeColor="text1"/>
          <w:spacing w:val="-5"/>
          <w:sz w:val="24"/>
          <w:szCs w:val="24"/>
        </w:rPr>
        <w:t>15</w:t>
      </w:r>
      <w:r w:rsidRPr="00092862">
        <w:rPr>
          <w:rFonts w:ascii="Times New Roman" w:eastAsia="宋体" w:hAnsi="Times New Roman" w:cs="Times New Roman"/>
          <w:color w:val="000000" w:themeColor="text1"/>
          <w:spacing w:val="-5"/>
          <w:sz w:val="24"/>
          <w:szCs w:val="24"/>
        </w:rPr>
        <w:t>号</w:t>
      </w:r>
      <w:r w:rsidRPr="00092862">
        <w:rPr>
          <w:rFonts w:ascii="Times New Roman" w:eastAsia="宋体" w:hAnsi="Times New Roman" w:cs="Times New Roman"/>
          <w:color w:val="000000" w:themeColor="text1"/>
          <w:spacing w:val="-5"/>
          <w:sz w:val="24"/>
          <w:szCs w:val="24"/>
        </w:rPr>
        <w: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pacing w:val="-6"/>
          <w:sz w:val="24"/>
          <w:szCs w:val="24"/>
        </w:rPr>
        <w:t>《四川省重点保护野生植物名录》</w:t>
      </w:r>
      <w:r w:rsidRPr="00092862">
        <w:rPr>
          <w:rFonts w:ascii="Times New Roman" w:eastAsia="宋体" w:hAnsi="Times New Roman" w:cs="Times New Roman"/>
          <w:color w:val="000000" w:themeColor="text1"/>
          <w:sz w:val="24"/>
          <w:szCs w:val="24"/>
        </w:rPr>
        <w:t>、《全国古树名木普查建档技术规定（</w:t>
      </w:r>
      <w:r w:rsidRPr="00092862">
        <w:rPr>
          <w:rFonts w:ascii="Times New Roman" w:eastAsia="宋体" w:hAnsi="Times New Roman" w:cs="Times New Roman"/>
          <w:color w:val="000000" w:themeColor="text1"/>
          <w:sz w:val="24"/>
          <w:szCs w:val="24"/>
        </w:rPr>
        <w:t>2001</w:t>
      </w:r>
      <w:r w:rsidRPr="00092862">
        <w:rPr>
          <w:rFonts w:ascii="Times New Roman" w:eastAsia="宋体" w:hAnsi="Times New Roman" w:cs="Times New Roman"/>
          <w:color w:val="000000" w:themeColor="text1"/>
          <w:sz w:val="24"/>
          <w:szCs w:val="24"/>
        </w:rPr>
        <w:t>）》以及相关科考资料，评价区无重点保护野生植物和古树名木等重要物种分布。</w:t>
      </w:r>
      <w:r w:rsidRPr="00092862">
        <w:rPr>
          <w:rFonts w:ascii="Times New Roman" w:eastAsia="宋体" w:hAnsi="Times New Roman" w:cs="Times New Roman"/>
          <w:color w:val="000000" w:themeColor="text1"/>
          <w:spacing w:val="-6"/>
          <w:sz w:val="24"/>
          <w:szCs w:val="24"/>
        </w:rPr>
        <w:t>后续应加强评价范围内保护植物的跟踪调查，对及时发现的重点保护植物采取就地保护措施，对发现的名木古树采取挂牌保护。</w:t>
      </w:r>
    </w:p>
    <w:p w14:paraId="07A7F5DC" w14:textId="77777777" w:rsidR="009E4715" w:rsidRPr="00092862" w:rsidRDefault="009E4715" w:rsidP="00092862">
      <w:pPr>
        <w:spacing w:line="480" w:lineRule="exact"/>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、项目评价范围内重点保护野生动物</w:t>
      </w:r>
    </w:p>
    <w:p w14:paraId="518FB3BD"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根据实际调查及现场复核，参照《国家重点保护野生动物名录</w:t>
      </w:r>
      <w:r w:rsidRPr="00092862">
        <w:rPr>
          <w:rFonts w:ascii="Times New Roman" w:eastAsia="宋体" w:hAnsi="Times New Roman" w:cs="Times New Roman"/>
          <w:color w:val="000000" w:themeColor="text1"/>
          <w:sz w:val="24"/>
          <w:szCs w:val="24"/>
        </w:rPr>
        <w:t>2021</w:t>
      </w:r>
      <w:r w:rsidRPr="00092862">
        <w:rPr>
          <w:rFonts w:ascii="Times New Roman" w:eastAsia="宋体" w:hAnsi="Times New Roman" w:cs="Times New Roman"/>
          <w:color w:val="000000" w:themeColor="text1"/>
          <w:sz w:val="24"/>
          <w:szCs w:val="24"/>
        </w:rPr>
        <w:t>》、《四川省重点保护野生动物名录》、《四川省新增重点保护野生动物名录》及相关科考资料，在项目评价范围，无迁徙物种和重要生境分布，在评价区上空偶尔出现的保护动物有</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种，为</w:t>
      </w:r>
      <w:r w:rsidRPr="00092862">
        <w:rPr>
          <w:rFonts w:ascii="Times New Roman" w:eastAsia="宋体" w:hAnsi="Times New Roman" w:cs="Times New Roman"/>
          <w:color w:val="000000" w:themeColor="text1"/>
          <w:spacing w:val="4"/>
          <w:sz w:val="24"/>
          <w:szCs w:val="24"/>
        </w:rPr>
        <w:t>国家二级保护鸟类</w:t>
      </w:r>
      <w:r w:rsidRPr="00092862">
        <w:rPr>
          <w:rFonts w:ascii="Times New Roman" w:eastAsia="宋体" w:hAnsi="Times New Roman" w:cs="Times New Roman"/>
          <w:color w:val="000000" w:themeColor="text1"/>
          <w:sz w:val="24"/>
          <w:szCs w:val="24"/>
        </w:rPr>
        <w:t>雀鹰、画眉，偶见于评价区内的针叶林、阔叶林林。由于评价区人类活动较为频繁，适宜的栖息地相对比较少，因此主要为过境取食及活动，评价区未分布上述重点保护野生动物栖息地，无分布生境。</w:t>
      </w:r>
    </w:p>
    <w:p w14:paraId="10EF4A0E"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上述国家重点保护动物的调查统计情况见表</w:t>
      </w:r>
      <w:r w:rsidRPr="00092862">
        <w:rPr>
          <w:rFonts w:ascii="Times New Roman" w:eastAsia="宋体" w:hAnsi="Times New Roman" w:cs="Times New Roman"/>
          <w:color w:val="000000" w:themeColor="text1"/>
          <w:sz w:val="24"/>
          <w:szCs w:val="24"/>
        </w:rPr>
        <w:t>4.3-19</w:t>
      </w:r>
      <w:r w:rsidRPr="00092862">
        <w:rPr>
          <w:rFonts w:ascii="Times New Roman" w:eastAsia="宋体" w:hAnsi="Times New Roman" w:cs="Times New Roman"/>
          <w:color w:val="000000" w:themeColor="text1"/>
          <w:sz w:val="24"/>
          <w:szCs w:val="24"/>
        </w:rPr>
        <w:t>。</w:t>
      </w:r>
    </w:p>
    <w:p w14:paraId="46F8C03F" w14:textId="77777777" w:rsidR="009E4715" w:rsidRPr="00092862" w:rsidRDefault="009E4715" w:rsidP="00092862">
      <w:pPr>
        <w:autoSpaceDE w:val="0"/>
        <w:autoSpaceDN w:val="0"/>
        <w:adjustRightInd w:val="0"/>
        <w:spacing w:beforeLines="50" w:before="120"/>
        <w:jc w:val="center"/>
        <w:rPr>
          <w:rFonts w:ascii="Times New Roman" w:eastAsia="宋体" w:hAnsi="Times New Roman" w:cs="Times New Roman"/>
          <w:b/>
          <w:color w:val="000000" w:themeColor="text1"/>
          <w:kern w:val="0"/>
          <w:szCs w:val="24"/>
        </w:rPr>
      </w:pPr>
      <w:r w:rsidRPr="00092862">
        <w:rPr>
          <w:rFonts w:ascii="Times New Roman" w:eastAsia="宋体" w:hAnsi="Times New Roman" w:cs="Times New Roman"/>
          <w:b/>
          <w:color w:val="000000" w:themeColor="text1"/>
          <w:kern w:val="0"/>
          <w:szCs w:val="24"/>
        </w:rPr>
        <w:t>表</w:t>
      </w:r>
      <w:r w:rsidRPr="00092862">
        <w:rPr>
          <w:rFonts w:ascii="Times New Roman" w:eastAsia="宋体" w:hAnsi="Times New Roman" w:cs="Times New Roman"/>
          <w:b/>
          <w:color w:val="000000" w:themeColor="text1"/>
          <w:kern w:val="0"/>
          <w:szCs w:val="24"/>
        </w:rPr>
        <w:t xml:space="preserve">4.3-23 </w:t>
      </w:r>
      <w:r w:rsidRPr="00092862">
        <w:rPr>
          <w:rFonts w:ascii="Times New Roman" w:eastAsia="宋体" w:hAnsi="Times New Roman" w:cs="Times New Roman"/>
          <w:b/>
          <w:color w:val="000000" w:themeColor="text1"/>
          <w:kern w:val="0"/>
          <w:szCs w:val="24"/>
        </w:rPr>
        <w:t>评价区重点保护野生鸟类分布、栖息情况一览表</w:t>
      </w:r>
    </w:p>
    <w:tbl>
      <w:tblPr>
        <w:tblStyle w:val="45"/>
        <w:tblW w:w="5000" w:type="pct"/>
        <w:tblInd w:w="0" w:type="dxa"/>
        <w:tblLook w:val="0000" w:firstRow="0" w:lastRow="0" w:firstColumn="0" w:lastColumn="0" w:noHBand="0" w:noVBand="0"/>
      </w:tblPr>
      <w:tblGrid>
        <w:gridCol w:w="443"/>
        <w:gridCol w:w="1579"/>
        <w:gridCol w:w="1067"/>
        <w:gridCol w:w="1056"/>
        <w:gridCol w:w="712"/>
        <w:gridCol w:w="1386"/>
        <w:gridCol w:w="1102"/>
        <w:gridCol w:w="955"/>
      </w:tblGrid>
      <w:tr w:rsidR="00697429" w:rsidRPr="00092862" w14:paraId="08019144" w14:textId="77777777" w:rsidTr="00A364AF">
        <w:tc>
          <w:tcPr>
            <w:tcW w:w="266" w:type="pct"/>
            <w:vAlign w:val="center"/>
          </w:tcPr>
          <w:p w14:paraId="4FF3FD76"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951" w:type="pct"/>
            <w:vAlign w:val="center"/>
          </w:tcPr>
          <w:p w14:paraId="5E4F8A22"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物种名称</w:t>
            </w:r>
          </w:p>
        </w:tc>
        <w:tc>
          <w:tcPr>
            <w:tcW w:w="643" w:type="pct"/>
            <w:vAlign w:val="center"/>
          </w:tcPr>
          <w:p w14:paraId="2C731444"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保护级别</w:t>
            </w:r>
          </w:p>
        </w:tc>
        <w:tc>
          <w:tcPr>
            <w:tcW w:w="636" w:type="pct"/>
            <w:vAlign w:val="center"/>
          </w:tcPr>
          <w:p w14:paraId="55DD4D58"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濒危等级</w:t>
            </w:r>
          </w:p>
        </w:tc>
        <w:tc>
          <w:tcPr>
            <w:tcW w:w="429" w:type="pct"/>
            <w:vAlign w:val="center"/>
          </w:tcPr>
          <w:p w14:paraId="25ECFE3D"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特有种</w:t>
            </w:r>
          </w:p>
        </w:tc>
        <w:tc>
          <w:tcPr>
            <w:tcW w:w="835" w:type="pct"/>
            <w:vAlign w:val="center"/>
          </w:tcPr>
          <w:p w14:paraId="0FE238C3"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分布区域</w:t>
            </w:r>
          </w:p>
        </w:tc>
        <w:tc>
          <w:tcPr>
            <w:tcW w:w="664" w:type="pct"/>
            <w:vAlign w:val="center"/>
          </w:tcPr>
          <w:p w14:paraId="74A85911"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资料来源</w:t>
            </w:r>
          </w:p>
        </w:tc>
        <w:tc>
          <w:tcPr>
            <w:tcW w:w="575" w:type="pct"/>
            <w:vAlign w:val="center"/>
          </w:tcPr>
          <w:p w14:paraId="796DE545"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项目占用情况</w:t>
            </w:r>
          </w:p>
        </w:tc>
      </w:tr>
      <w:tr w:rsidR="00697429" w:rsidRPr="00092862" w14:paraId="1D00A456" w14:textId="77777777" w:rsidTr="00A364AF">
        <w:tc>
          <w:tcPr>
            <w:tcW w:w="266" w:type="pct"/>
            <w:vAlign w:val="center"/>
          </w:tcPr>
          <w:p w14:paraId="3F2E814B"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951" w:type="pct"/>
            <w:vAlign w:val="center"/>
          </w:tcPr>
          <w:p w14:paraId="7622FECC"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雀鹰</w:t>
            </w:r>
            <w:r w:rsidRPr="00092862">
              <w:rPr>
                <w:rFonts w:ascii="Times New Roman" w:eastAsia="宋体" w:hAnsi="Times New Roman" w:cs="Times New Roman"/>
                <w:color w:val="000000" w:themeColor="text1"/>
                <w:szCs w:val="21"/>
              </w:rPr>
              <w:t>Accipiter nisus</w:t>
            </w:r>
          </w:p>
        </w:tc>
        <w:tc>
          <w:tcPr>
            <w:tcW w:w="643" w:type="pct"/>
            <w:vAlign w:val="center"/>
          </w:tcPr>
          <w:p w14:paraId="3795CF2C"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Ⅱ</w:t>
            </w:r>
          </w:p>
        </w:tc>
        <w:tc>
          <w:tcPr>
            <w:tcW w:w="636" w:type="pct"/>
            <w:vAlign w:val="center"/>
          </w:tcPr>
          <w:p w14:paraId="09399697"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无危</w:t>
            </w:r>
          </w:p>
        </w:tc>
        <w:tc>
          <w:tcPr>
            <w:tcW w:w="429" w:type="pct"/>
            <w:vAlign w:val="center"/>
          </w:tcPr>
          <w:p w14:paraId="0152DCE6"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否</w:t>
            </w:r>
          </w:p>
        </w:tc>
        <w:tc>
          <w:tcPr>
            <w:tcW w:w="835" w:type="pct"/>
            <w:vMerge w:val="restart"/>
            <w:vAlign w:val="center"/>
          </w:tcPr>
          <w:p w14:paraId="62F12650"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过境取食及活动，未分布栖息地，无分布生境</w:t>
            </w:r>
          </w:p>
        </w:tc>
        <w:tc>
          <w:tcPr>
            <w:tcW w:w="664" w:type="pct"/>
            <w:vAlign w:val="center"/>
          </w:tcPr>
          <w:p w14:paraId="5857C532"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文献记录</w:t>
            </w:r>
          </w:p>
        </w:tc>
        <w:tc>
          <w:tcPr>
            <w:tcW w:w="575" w:type="pct"/>
            <w:vMerge w:val="restart"/>
            <w:vAlign w:val="center"/>
          </w:tcPr>
          <w:p w14:paraId="3A34F751"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否，生境远离占地区</w:t>
            </w:r>
          </w:p>
        </w:tc>
      </w:tr>
      <w:tr w:rsidR="00697429" w:rsidRPr="00092862" w14:paraId="446A377F" w14:textId="77777777" w:rsidTr="00A364AF">
        <w:tc>
          <w:tcPr>
            <w:tcW w:w="266" w:type="pct"/>
            <w:vAlign w:val="center"/>
          </w:tcPr>
          <w:p w14:paraId="3CAD3CC7"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951" w:type="pct"/>
            <w:vAlign w:val="center"/>
          </w:tcPr>
          <w:p w14:paraId="5D016759"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画眉</w:t>
            </w:r>
            <w:r w:rsidRPr="00092862">
              <w:rPr>
                <w:rFonts w:ascii="Times New Roman" w:eastAsia="宋体" w:hAnsi="Times New Roman" w:cs="Times New Roman"/>
                <w:color w:val="000000" w:themeColor="text1"/>
                <w:szCs w:val="21"/>
              </w:rPr>
              <w:t>Garrulax canorus</w:t>
            </w:r>
          </w:p>
        </w:tc>
        <w:tc>
          <w:tcPr>
            <w:tcW w:w="643" w:type="pct"/>
            <w:vAlign w:val="center"/>
          </w:tcPr>
          <w:p w14:paraId="19E69EFF"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Ⅱ</w:t>
            </w:r>
          </w:p>
        </w:tc>
        <w:tc>
          <w:tcPr>
            <w:tcW w:w="636" w:type="pct"/>
            <w:vAlign w:val="center"/>
          </w:tcPr>
          <w:p w14:paraId="3F6E5210"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低危</w:t>
            </w:r>
          </w:p>
        </w:tc>
        <w:tc>
          <w:tcPr>
            <w:tcW w:w="429" w:type="pct"/>
            <w:vAlign w:val="center"/>
          </w:tcPr>
          <w:p w14:paraId="064EF6D9"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否</w:t>
            </w:r>
          </w:p>
        </w:tc>
        <w:tc>
          <w:tcPr>
            <w:tcW w:w="835" w:type="pct"/>
            <w:vMerge/>
            <w:vAlign w:val="center"/>
          </w:tcPr>
          <w:p w14:paraId="1E609DCE"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p>
        </w:tc>
        <w:tc>
          <w:tcPr>
            <w:tcW w:w="664" w:type="pct"/>
            <w:vAlign w:val="center"/>
          </w:tcPr>
          <w:p w14:paraId="7B92996F"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文献记录</w:t>
            </w:r>
          </w:p>
        </w:tc>
        <w:tc>
          <w:tcPr>
            <w:tcW w:w="575" w:type="pct"/>
            <w:vMerge/>
            <w:vAlign w:val="center"/>
          </w:tcPr>
          <w:p w14:paraId="421540F8" w14:textId="77777777" w:rsidR="009E4715" w:rsidRPr="00092862" w:rsidRDefault="009E4715" w:rsidP="00092862">
            <w:pPr>
              <w:widowControl/>
              <w:jc w:val="center"/>
              <w:textAlignment w:val="bottom"/>
              <w:rPr>
                <w:rFonts w:ascii="Times New Roman" w:eastAsia="宋体" w:hAnsi="Times New Roman" w:cs="Times New Roman"/>
                <w:color w:val="000000" w:themeColor="text1"/>
                <w:szCs w:val="21"/>
              </w:rPr>
            </w:pPr>
          </w:p>
        </w:tc>
      </w:tr>
    </w:tbl>
    <w:p w14:paraId="39DFCEF7" w14:textId="77777777" w:rsidR="009E4715" w:rsidRPr="00092862" w:rsidRDefault="009E4715" w:rsidP="00092862">
      <w:pPr>
        <w:ind w:left="420" w:hanging="420"/>
        <w:jc w:val="left"/>
        <w:rPr>
          <w:rFonts w:ascii="Times New Roman" w:eastAsia="宋体" w:hAnsi="Times New Roman" w:cs="Times New Roman"/>
          <w:smallCaps/>
          <w:color w:val="000000" w:themeColor="text1"/>
          <w:sz w:val="20"/>
          <w:szCs w:val="20"/>
        </w:rPr>
      </w:pPr>
    </w:p>
    <w:p w14:paraId="5A13ACAD" w14:textId="2838C275"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noProof/>
          <w:color w:val="000000" w:themeColor="text1"/>
          <w:sz w:val="24"/>
          <w:szCs w:val="24"/>
        </w:rPr>
        <w:lastRenderedPageBreak/>
        <w:drawing>
          <wp:anchor distT="0" distB="0" distL="0" distR="0" simplePos="0" relativeHeight="252466176" behindDoc="1" locked="0" layoutInCell="0" allowOverlap="1" wp14:anchorId="4639DFF1" wp14:editId="20564243">
            <wp:simplePos x="0" y="0"/>
            <wp:positionH relativeFrom="page">
              <wp:posOffset>4823460</wp:posOffset>
            </wp:positionH>
            <wp:positionV relativeFrom="page">
              <wp:posOffset>7151370</wp:posOffset>
            </wp:positionV>
            <wp:extent cx="1583690" cy="2194560"/>
            <wp:effectExtent l="0" t="0" r="0" b="0"/>
            <wp:wrapTight wrapText="bothSides">
              <wp:wrapPolygon edited="0">
                <wp:start x="0" y="0"/>
                <wp:lineTo x="0" y="21375"/>
                <wp:lineTo x="21306" y="21375"/>
                <wp:lineTo x="21306" y="0"/>
                <wp:lineTo x="0" y="0"/>
              </wp:wrapPolygon>
            </wp:wrapTight>
            <wp:docPr id="65" name="图片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2"/>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3690" cy="219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92862">
        <w:rPr>
          <w:rFonts w:ascii="Times New Roman" w:eastAsia="宋体" w:hAnsi="Times New Roman" w:cs="Times New Roman"/>
          <w:color w:val="000000" w:themeColor="text1"/>
          <w:sz w:val="24"/>
          <w:szCs w:val="24"/>
        </w:rPr>
        <w:t>重点保护鸟类及其栖息地状况</w:t>
      </w:r>
    </w:p>
    <w:p w14:paraId="3FD4459C"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雀鹰</w:t>
      </w:r>
      <w:r w:rsidRPr="00092862">
        <w:rPr>
          <w:rFonts w:ascii="Times New Roman" w:eastAsia="宋体" w:hAnsi="Times New Roman" w:cs="Times New Roman"/>
          <w:i/>
          <w:iCs/>
          <w:color w:val="000000" w:themeColor="text1"/>
          <w:sz w:val="24"/>
          <w:szCs w:val="24"/>
        </w:rPr>
        <w:t>Accipiter nisus</w:t>
      </w:r>
    </w:p>
    <w:p w14:paraId="4D7F4691"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雀鹰</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学名：</w:t>
      </w:r>
      <w:r w:rsidRPr="00092862">
        <w:rPr>
          <w:rFonts w:ascii="Times New Roman" w:eastAsia="宋体" w:hAnsi="Times New Roman" w:cs="Times New Roman"/>
          <w:color w:val="000000" w:themeColor="text1"/>
          <w:sz w:val="24"/>
          <w:szCs w:val="24"/>
        </w:rPr>
        <w:t>Accipiter nisus)</w:t>
      </w:r>
      <w:r w:rsidRPr="00092862">
        <w:rPr>
          <w:rFonts w:ascii="Times New Roman" w:eastAsia="宋体" w:hAnsi="Times New Roman" w:cs="Times New Roman"/>
          <w:color w:val="000000" w:themeColor="text1"/>
          <w:sz w:val="24"/>
          <w:szCs w:val="24"/>
        </w:rPr>
        <w:t>属小型猛禽，为中国国家二级保护动物，体长</w:t>
      </w:r>
      <w:r w:rsidRPr="00092862">
        <w:rPr>
          <w:rFonts w:ascii="Times New Roman" w:eastAsia="宋体" w:hAnsi="Times New Roman" w:cs="Times New Roman"/>
          <w:color w:val="000000" w:themeColor="text1"/>
          <w:sz w:val="24"/>
          <w:szCs w:val="24"/>
        </w:rPr>
        <w:t>30-41</w:t>
      </w:r>
      <w:r w:rsidRPr="00092862">
        <w:rPr>
          <w:rFonts w:ascii="Times New Roman" w:eastAsia="宋体" w:hAnsi="Times New Roman" w:cs="Times New Roman"/>
          <w:color w:val="000000" w:themeColor="text1"/>
          <w:sz w:val="24"/>
          <w:szCs w:val="24"/>
        </w:rPr>
        <w:t>厘米。雌较雄略大，翅阔而圆，尾较长。雄鸟上体暗灰色，雌鸟灰褐色，头后杂有少许白色。下体白色或淡灰白色，雄鸟具细密的红褐色横斑，雌鸟具褐色横斑。尾具</w:t>
      </w:r>
      <w:r w:rsidRPr="00092862">
        <w:rPr>
          <w:rFonts w:ascii="Times New Roman" w:eastAsia="宋体" w:hAnsi="Times New Roman" w:cs="Times New Roman"/>
          <w:color w:val="000000" w:themeColor="text1"/>
          <w:sz w:val="24"/>
          <w:szCs w:val="24"/>
        </w:rPr>
        <w:t>4-5</w:t>
      </w:r>
      <w:r w:rsidRPr="00092862">
        <w:rPr>
          <w:rFonts w:ascii="Times New Roman" w:eastAsia="宋体" w:hAnsi="Times New Roman" w:cs="Times New Roman"/>
          <w:color w:val="000000" w:themeColor="text1"/>
          <w:sz w:val="24"/>
          <w:szCs w:val="24"/>
        </w:rPr>
        <w:t>道黑褐色横斑，飞翔时翼后缘略为突出，翼下飞羽具数道黑褐色横带，通常快速鼓动两翅飞一阵后接着又滑翔一会。栖息于针叶林、混交林、阔叶林等山地森林和林缘地带。日出性。常单独生活。或飞翔于空中，或栖于树上和电柱上。以雀形目小鸟、昆虫和鼠类为食，也捕食鸽形目鸟类和榛鸡等小的鸡形目鸟类，有时亦捕食野兔、蛇、昆虫幼虫。</w:t>
      </w:r>
    </w:p>
    <w:p w14:paraId="26C2FACD"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雀鹰的分布广泛，数量较多，特别是捕食大量的鼠类和害虫，对于农业、林业和牧业均十分有益，对维持生态平衡也起到了积极的作用。</w:t>
      </w:r>
    </w:p>
    <w:p w14:paraId="211C40F3" w14:textId="20427BBA"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noProof/>
          <w:color w:val="000000" w:themeColor="text1"/>
          <w:sz w:val="24"/>
          <w:szCs w:val="24"/>
        </w:rPr>
        <w:drawing>
          <wp:anchor distT="0" distB="0" distL="0" distR="0" simplePos="0" relativeHeight="252467200" behindDoc="1" locked="0" layoutInCell="0" allowOverlap="1" wp14:anchorId="3550F7FE" wp14:editId="3E64133A">
            <wp:simplePos x="0" y="0"/>
            <wp:positionH relativeFrom="page">
              <wp:posOffset>4860925</wp:posOffset>
            </wp:positionH>
            <wp:positionV relativeFrom="page">
              <wp:posOffset>3028315</wp:posOffset>
            </wp:positionV>
            <wp:extent cx="1488440" cy="1926590"/>
            <wp:effectExtent l="0" t="0" r="0" b="0"/>
            <wp:wrapTight wrapText="bothSides">
              <wp:wrapPolygon edited="0">
                <wp:start x="0" y="0"/>
                <wp:lineTo x="0" y="21358"/>
                <wp:lineTo x="21287" y="21358"/>
                <wp:lineTo x="21287" y="0"/>
                <wp:lineTo x="0" y="0"/>
              </wp:wrapPolygon>
            </wp:wrapTight>
            <wp:docPr id="64" name="图片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 23"/>
                    <pic:cNvPicPr>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8440"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画眉</w:t>
      </w:r>
      <w:r w:rsidRPr="00092862">
        <w:rPr>
          <w:rFonts w:ascii="Times New Roman" w:eastAsia="宋体" w:hAnsi="Times New Roman" w:cs="Times New Roman"/>
          <w:i/>
          <w:iCs/>
          <w:color w:val="000000" w:themeColor="text1"/>
          <w:sz w:val="24"/>
          <w:szCs w:val="24"/>
        </w:rPr>
        <w:t>Garrulax canorus</w:t>
      </w:r>
    </w:p>
    <w:p w14:paraId="53F45FC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画眉鸟：是鸟纲、画眉科的中型鸟类。体长约</w:t>
      </w:r>
      <w:r w:rsidRPr="00092862">
        <w:rPr>
          <w:rFonts w:ascii="Times New Roman" w:eastAsia="宋体" w:hAnsi="Times New Roman" w:cs="Times New Roman"/>
          <w:color w:val="000000" w:themeColor="text1"/>
          <w:sz w:val="24"/>
          <w:szCs w:val="24"/>
        </w:rPr>
        <w:t>23</w:t>
      </w:r>
      <w:r w:rsidRPr="00092862">
        <w:rPr>
          <w:rFonts w:ascii="Times New Roman" w:eastAsia="宋体" w:hAnsi="Times New Roman" w:cs="Times New Roman"/>
          <w:color w:val="000000" w:themeColor="text1"/>
          <w:sz w:val="24"/>
          <w:szCs w:val="24"/>
        </w:rPr>
        <w:t>厘米。上体橄榄色，头顶至上背棕褐色具黑色纵纹，眼圈白色，并沿上缘形成一窄纹向后延伸至枕侧，形成清</w:t>
      </w:r>
    </w:p>
    <w:p w14:paraId="610B234B" w14:textId="77777777" w:rsidR="009E4715" w:rsidRPr="00092862" w:rsidRDefault="009E4715" w:rsidP="00092862">
      <w:pPr>
        <w:spacing w:line="500" w:lineRule="exact"/>
        <w:ind w:right="10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晰的眉纹，极为醒目。下体棕黄色，喉至上胸杂有黑色纵纹，腹中部灰色。虹膜橙黄色或黄色，上嘴橘色，下嘴橄榄黄色，跗蹠和趾黄褐色或浅角色。</w:t>
      </w:r>
    </w:p>
    <w:p w14:paraId="0355D176" w14:textId="77777777" w:rsidR="009E4715" w:rsidRPr="00092862" w:rsidRDefault="009E4715" w:rsidP="00092862">
      <w:pPr>
        <w:spacing w:line="500" w:lineRule="exact"/>
        <w:ind w:left="60" w:right="100" w:firstLine="482"/>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栖息于山丘的灌丛和村落附近的灌丛或竹林中，机敏而胆怯，常在林下的草丛中觅食，不善作远距离飞翔。雄鸟在繁殖期常单独藏匿在杂草及树枝间极善鸣啭，声音十分洪亮，歌声悠扬婉转，非常动听。杂食性，主要取食昆虫，特别在繁殖季节嗜食昆虫；兼</w:t>
      </w:r>
      <w:r w:rsidRPr="00092862">
        <w:rPr>
          <w:rFonts w:ascii="Times New Roman" w:eastAsia="宋体" w:hAnsi="Times New Roman" w:cs="Times New Roman"/>
          <w:color w:val="000000" w:themeColor="text1"/>
          <w:sz w:val="24"/>
          <w:szCs w:val="24"/>
        </w:rPr>
        <w:lastRenderedPageBreak/>
        <w:t>食草籽、野果。</w:t>
      </w:r>
    </w:p>
    <w:p w14:paraId="0E514DD9" w14:textId="77777777" w:rsidR="009E4715" w:rsidRPr="00092862" w:rsidRDefault="009E4715" w:rsidP="00092862">
      <w:pPr>
        <w:spacing w:line="480" w:lineRule="exact"/>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、项目评价范围内重要生境</w:t>
      </w:r>
    </w:p>
    <w:p w14:paraId="6024373A" w14:textId="77777777" w:rsidR="009E4715" w:rsidRPr="00092862" w:rsidRDefault="009E4715" w:rsidP="00092862">
      <w:pPr>
        <w:spacing w:line="500" w:lineRule="exact"/>
        <w:ind w:right="100"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项目评价范围无重要生境分布。</w:t>
      </w:r>
    </w:p>
    <w:p w14:paraId="25D3438F" w14:textId="77777777" w:rsidR="009E4715" w:rsidRPr="00092862" w:rsidRDefault="009E4715" w:rsidP="00F96F41">
      <w:pPr>
        <w:spacing w:line="480" w:lineRule="exact"/>
        <w:ind w:firstLineChars="200" w:firstLine="480"/>
        <w:rPr>
          <w:rFonts w:ascii="Times New Roman" w:hAnsi="Times New Roman" w:cs="Times New Roman"/>
          <w:b/>
          <w:bCs/>
          <w:color w:val="000000" w:themeColor="text1"/>
          <w:sz w:val="24"/>
          <w:szCs w:val="24"/>
        </w:rPr>
      </w:pPr>
    </w:p>
    <w:p w14:paraId="3296FE8D" w14:textId="77777777" w:rsidR="009E4715" w:rsidRPr="00092862" w:rsidRDefault="009E4715" w:rsidP="00F96F41">
      <w:pPr>
        <w:spacing w:line="480" w:lineRule="exact"/>
        <w:ind w:firstLineChars="200" w:firstLine="480"/>
        <w:rPr>
          <w:rFonts w:ascii="Times New Roman" w:hAnsi="Times New Roman" w:cs="Times New Roman"/>
          <w:b/>
          <w:bCs/>
          <w:color w:val="000000" w:themeColor="text1"/>
          <w:sz w:val="24"/>
          <w:szCs w:val="24"/>
          <w:lang w:val="de-DE"/>
        </w:rPr>
      </w:pPr>
    </w:p>
    <w:p w14:paraId="34A60108" w14:textId="77777777" w:rsidR="009E4715" w:rsidRPr="00092862" w:rsidRDefault="009E4715" w:rsidP="00F96F41">
      <w:pPr>
        <w:spacing w:line="480" w:lineRule="exact"/>
        <w:ind w:firstLineChars="200" w:firstLine="480"/>
        <w:rPr>
          <w:rFonts w:ascii="Times New Roman" w:hAnsi="Times New Roman" w:cs="Times New Roman"/>
          <w:b/>
          <w:bCs/>
          <w:color w:val="000000" w:themeColor="text1"/>
          <w:sz w:val="24"/>
          <w:szCs w:val="24"/>
          <w:lang w:val="de-DE"/>
        </w:rPr>
      </w:pPr>
    </w:p>
    <w:p w14:paraId="1DFDEB05" w14:textId="122F2F3B" w:rsidR="00DC446C" w:rsidRPr="00092862" w:rsidRDefault="00DC446C" w:rsidP="00145B12">
      <w:pPr>
        <w:adjustRightInd w:val="0"/>
        <w:snapToGrid w:val="0"/>
        <w:spacing w:line="360" w:lineRule="auto"/>
        <w:ind w:firstLineChars="200" w:firstLine="480"/>
        <w:rPr>
          <w:rFonts w:ascii="Times New Roman" w:hAnsi="Times New Roman" w:cs="Times New Roman"/>
          <w:bCs/>
          <w:color w:val="000000" w:themeColor="text1"/>
          <w:sz w:val="24"/>
          <w:szCs w:val="24"/>
        </w:rPr>
      </w:pPr>
    </w:p>
    <w:bookmarkEnd w:id="179"/>
    <w:p w14:paraId="312DDEA8" w14:textId="77777777" w:rsidR="0000129F" w:rsidRPr="00092862" w:rsidRDefault="0000129F" w:rsidP="0000129F">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sectPr w:rsidR="0000129F" w:rsidRPr="00092862" w:rsidSect="00C04A25">
          <w:pgSz w:w="11910" w:h="16840"/>
          <w:pgMar w:top="1440" w:right="1800" w:bottom="1440" w:left="1800" w:header="1213" w:footer="635" w:gutter="0"/>
          <w:cols w:space="720"/>
        </w:sectPr>
      </w:pPr>
    </w:p>
    <w:p w14:paraId="47C3A394" w14:textId="77777777" w:rsidR="00DC446C" w:rsidRPr="00092862" w:rsidRDefault="003B1968" w:rsidP="0000129F">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194" w:name="_Toc123682540"/>
      <w:r w:rsidRPr="00092862">
        <w:rPr>
          <w:rFonts w:ascii="Times New Roman" w:eastAsia="黑体" w:hAnsi="Times New Roman"/>
          <w:b w:val="0"/>
          <w:color w:val="000000" w:themeColor="text1"/>
          <w:sz w:val="28"/>
          <w:szCs w:val="28"/>
          <w:lang w:eastAsia="zh-CN"/>
        </w:rPr>
        <w:lastRenderedPageBreak/>
        <w:t>5</w:t>
      </w:r>
      <w:r w:rsidRPr="00092862">
        <w:rPr>
          <w:rFonts w:ascii="Times New Roman" w:eastAsia="黑体" w:hAnsi="Times New Roman"/>
          <w:b w:val="0"/>
          <w:color w:val="000000" w:themeColor="text1"/>
          <w:sz w:val="28"/>
          <w:szCs w:val="28"/>
          <w:lang w:eastAsia="zh-CN"/>
        </w:rPr>
        <w:t>环境影响预测与评价</w:t>
      </w:r>
      <w:bookmarkEnd w:id="194"/>
    </w:p>
    <w:p w14:paraId="376748B9" w14:textId="4D9DFB9A" w:rsidR="00DC446C" w:rsidRPr="00092862" w:rsidRDefault="003B1968" w:rsidP="003D2EEB">
      <w:pPr>
        <w:pStyle w:val="2"/>
        <w:ind w:firstLine="480"/>
        <w:rPr>
          <w:color w:val="000000" w:themeColor="text1"/>
          <w:szCs w:val="24"/>
          <w:lang w:eastAsia="zh-CN"/>
        </w:rPr>
      </w:pPr>
      <w:bookmarkStart w:id="195" w:name="_bookmark28"/>
      <w:bookmarkStart w:id="196" w:name="5.1施工期环境影响分析"/>
      <w:bookmarkStart w:id="197" w:name="_Toc123682541"/>
      <w:bookmarkEnd w:id="195"/>
      <w:bookmarkEnd w:id="196"/>
      <w:r w:rsidRPr="00092862">
        <w:rPr>
          <w:color w:val="000000" w:themeColor="text1"/>
          <w:szCs w:val="24"/>
          <w:lang w:eastAsia="zh-CN"/>
        </w:rPr>
        <w:t>5.1</w:t>
      </w:r>
      <w:r w:rsidRPr="00092862">
        <w:rPr>
          <w:color w:val="000000" w:themeColor="text1"/>
          <w:szCs w:val="24"/>
          <w:lang w:eastAsia="zh-CN"/>
        </w:rPr>
        <w:t>施工期环境影响分析</w:t>
      </w:r>
      <w:bookmarkEnd w:id="197"/>
    </w:p>
    <w:p w14:paraId="2DB86DBD" w14:textId="645751AE" w:rsidR="002A379E" w:rsidRPr="00092862" w:rsidRDefault="002A379E" w:rsidP="002A379E">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98" w:name="_Toc120173150"/>
      <w:r w:rsidRPr="00092862">
        <w:rPr>
          <w:rFonts w:ascii="Times New Roman" w:eastAsia="黑体" w:hAnsi="Times New Roman"/>
          <w:b w:val="0"/>
          <w:color w:val="000000" w:themeColor="text1"/>
          <w:sz w:val="24"/>
          <w:szCs w:val="24"/>
          <w:lang w:eastAsia="zh-CN"/>
        </w:rPr>
        <w:t>5.1.1</w:t>
      </w:r>
      <w:r w:rsidRPr="00092862">
        <w:rPr>
          <w:rFonts w:ascii="Times New Roman" w:eastAsia="黑体" w:hAnsi="Times New Roman"/>
          <w:b w:val="0"/>
          <w:color w:val="000000" w:themeColor="text1"/>
          <w:sz w:val="24"/>
          <w:szCs w:val="24"/>
          <w:lang w:eastAsia="zh-CN"/>
        </w:rPr>
        <w:t>施工期生态环境影响分析</w:t>
      </w:r>
      <w:bookmarkEnd w:id="198"/>
    </w:p>
    <w:p w14:paraId="04851A59" w14:textId="054E8DBE" w:rsidR="002A379E" w:rsidRPr="00092862" w:rsidRDefault="002A379E" w:rsidP="00507027">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w:t>
      </w:r>
      <w:r w:rsidR="00573FA1" w:rsidRPr="00092862">
        <w:rPr>
          <w:rFonts w:ascii="Times New Roman" w:hAnsi="Times New Roman" w:cs="Times New Roman"/>
          <w:b/>
          <w:bCs/>
          <w:color w:val="000000" w:themeColor="text1"/>
          <w:sz w:val="24"/>
          <w:szCs w:val="24"/>
        </w:rPr>
        <w:t>1.</w:t>
      </w:r>
      <w:r w:rsidR="00A63D11" w:rsidRPr="00092862">
        <w:rPr>
          <w:rFonts w:ascii="Times New Roman" w:hAnsi="Times New Roman" w:cs="Times New Roman"/>
          <w:b/>
          <w:bCs/>
          <w:color w:val="000000" w:themeColor="text1"/>
          <w:sz w:val="24"/>
          <w:szCs w:val="24"/>
        </w:rPr>
        <w:t>1</w:t>
      </w:r>
      <w:r w:rsidRPr="00092862">
        <w:rPr>
          <w:rFonts w:ascii="Times New Roman" w:hAnsi="Times New Roman" w:cs="Times New Roman"/>
          <w:b/>
          <w:bCs/>
          <w:color w:val="000000" w:themeColor="text1"/>
          <w:sz w:val="24"/>
          <w:szCs w:val="24"/>
        </w:rPr>
        <w:t>对土地利用类型的影响</w:t>
      </w:r>
    </w:p>
    <w:p w14:paraId="7DD9FED9" w14:textId="77777777" w:rsidR="00A364AF" w:rsidRPr="00092862" w:rsidRDefault="00A364AF" w:rsidP="00A364AF">
      <w:pPr>
        <w:adjustRightIn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施工期主要建设内容为新建井场</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座（含方井</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座、井架基础</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座、放喷池</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座、循环罐、储备罐、泵机房等设备基础及边坡支护工程），进场道路</w:t>
      </w:r>
      <w:r w:rsidRPr="00092862">
        <w:rPr>
          <w:rFonts w:ascii="Times New Roman" w:eastAsia="宋体" w:hAnsi="Times New Roman" w:cs="Times New Roman"/>
          <w:color w:val="000000" w:themeColor="text1"/>
          <w:sz w:val="24"/>
        </w:rPr>
        <w:t>70m</w:t>
      </w:r>
      <w:r w:rsidRPr="00092862">
        <w:rPr>
          <w:rFonts w:ascii="Times New Roman" w:eastAsia="宋体" w:hAnsi="Times New Roman" w:cs="Times New Roman"/>
          <w:color w:val="000000" w:themeColor="text1"/>
          <w:sz w:val="24"/>
        </w:rPr>
        <w:t>、采气管道</w:t>
      </w:r>
      <w:r w:rsidRPr="00092862">
        <w:rPr>
          <w:rFonts w:ascii="Times New Roman" w:eastAsia="宋体" w:hAnsi="Times New Roman" w:cs="Times New Roman"/>
          <w:color w:val="000000" w:themeColor="text1"/>
          <w:sz w:val="24"/>
        </w:rPr>
        <w:t>40m</w:t>
      </w:r>
      <w:r w:rsidRPr="00092862">
        <w:rPr>
          <w:rFonts w:ascii="Times New Roman" w:eastAsia="宋体" w:hAnsi="Times New Roman" w:cs="Times New Roman"/>
          <w:color w:val="000000" w:themeColor="text1"/>
          <w:sz w:val="24"/>
        </w:rPr>
        <w:t>，生活营区，修复利旧原老君</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井场已建设清水池</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座，修复利旧原老君</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井场放喷池</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座。</w:t>
      </w:r>
    </w:p>
    <w:p w14:paraId="2F12BD66" w14:textId="77777777" w:rsidR="00A364AF" w:rsidRPr="00092862" w:rsidRDefault="00A364AF" w:rsidP="00A364AF">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7011</w:t>
      </w:r>
      <w:r w:rsidRPr="00092862">
        <w:rPr>
          <w:rFonts w:ascii="Times New Roman" w:eastAsia="宋体" w:hAnsi="Times New Roman" w:cs="Times New Roman"/>
          <w:color w:val="000000" w:themeColor="text1"/>
          <w:sz w:val="24"/>
        </w:rPr>
        <w:t>井场占地面积</w:t>
      </w:r>
      <w:r w:rsidRPr="00092862">
        <w:rPr>
          <w:rFonts w:ascii="Times New Roman" w:eastAsia="宋体" w:hAnsi="Times New Roman" w:cs="Times New Roman"/>
          <w:color w:val="000000" w:themeColor="text1"/>
          <w:sz w:val="24"/>
        </w:rPr>
        <w:t>15.68</w:t>
      </w:r>
      <w:r w:rsidRPr="00092862">
        <w:rPr>
          <w:rFonts w:ascii="Times New Roman" w:eastAsia="宋体" w:hAnsi="Times New Roman" w:cs="Times New Roman"/>
          <w:color w:val="000000" w:themeColor="text1"/>
          <w:sz w:val="24"/>
        </w:rPr>
        <w:t>亩，井场边坡占地面积</w:t>
      </w:r>
      <w:r w:rsidRPr="00092862">
        <w:rPr>
          <w:rFonts w:ascii="Times New Roman" w:eastAsia="宋体" w:hAnsi="Times New Roman" w:cs="Times New Roman"/>
          <w:color w:val="000000" w:themeColor="text1"/>
          <w:sz w:val="24"/>
        </w:rPr>
        <w:t>7.75</w:t>
      </w:r>
      <w:r w:rsidRPr="00092862">
        <w:rPr>
          <w:rFonts w:ascii="Times New Roman" w:eastAsia="宋体" w:hAnsi="Times New Roman" w:cs="Times New Roman"/>
          <w:color w:val="000000" w:themeColor="text1"/>
          <w:sz w:val="24"/>
        </w:rPr>
        <w:t>亩，进场道路占地面积</w:t>
      </w:r>
      <w:r w:rsidRPr="00092862">
        <w:rPr>
          <w:rFonts w:ascii="Times New Roman" w:eastAsia="宋体" w:hAnsi="Times New Roman" w:cs="Times New Roman"/>
          <w:color w:val="000000" w:themeColor="text1"/>
          <w:sz w:val="24"/>
        </w:rPr>
        <w:t>2.81</w:t>
      </w:r>
      <w:r w:rsidRPr="00092862">
        <w:rPr>
          <w:rFonts w:ascii="Times New Roman" w:eastAsia="宋体" w:hAnsi="Times New Roman" w:cs="Times New Roman"/>
          <w:color w:val="000000" w:themeColor="text1"/>
          <w:sz w:val="24"/>
        </w:rPr>
        <w:t>亩，放喷池占地面积</w:t>
      </w:r>
      <w:r w:rsidRPr="00092862">
        <w:rPr>
          <w:rFonts w:ascii="Times New Roman" w:eastAsia="宋体" w:hAnsi="Times New Roman" w:cs="Times New Roman"/>
          <w:color w:val="000000" w:themeColor="text1"/>
          <w:sz w:val="24"/>
        </w:rPr>
        <w:t>1.20</w:t>
      </w:r>
      <w:r w:rsidRPr="00092862">
        <w:rPr>
          <w:rFonts w:ascii="Times New Roman" w:eastAsia="宋体" w:hAnsi="Times New Roman" w:cs="Times New Roman"/>
          <w:color w:val="000000" w:themeColor="text1"/>
          <w:sz w:val="24"/>
        </w:rPr>
        <w:t>亩，放喷管线、施工便道占地面积</w:t>
      </w:r>
      <w:r w:rsidRPr="00092862">
        <w:rPr>
          <w:rFonts w:ascii="Times New Roman" w:eastAsia="宋体" w:hAnsi="Times New Roman" w:cs="Times New Roman"/>
          <w:color w:val="000000" w:themeColor="text1"/>
          <w:sz w:val="24"/>
        </w:rPr>
        <w:t>4.14</w:t>
      </w:r>
      <w:r w:rsidRPr="00092862">
        <w:rPr>
          <w:rFonts w:ascii="Times New Roman" w:eastAsia="宋体" w:hAnsi="Times New Roman" w:cs="Times New Roman"/>
          <w:color w:val="000000" w:themeColor="text1"/>
          <w:sz w:val="24"/>
        </w:rPr>
        <w:t>亩，弃土、表土堆放区占地面积</w:t>
      </w:r>
      <w:r w:rsidRPr="00092862">
        <w:rPr>
          <w:rFonts w:ascii="Times New Roman" w:eastAsia="宋体" w:hAnsi="Times New Roman" w:cs="Times New Roman"/>
          <w:color w:val="000000" w:themeColor="text1"/>
          <w:sz w:val="24"/>
        </w:rPr>
        <w:t>5.30</w:t>
      </w:r>
      <w:r w:rsidRPr="00092862">
        <w:rPr>
          <w:rFonts w:ascii="Times New Roman" w:eastAsia="宋体" w:hAnsi="Times New Roman" w:cs="Times New Roman"/>
          <w:color w:val="000000" w:themeColor="text1"/>
          <w:sz w:val="24"/>
        </w:rPr>
        <w:t>亩，生活营区占地面积</w:t>
      </w:r>
      <w:r w:rsidRPr="00092862">
        <w:rPr>
          <w:rFonts w:ascii="Times New Roman" w:eastAsia="宋体" w:hAnsi="Times New Roman" w:cs="Times New Roman"/>
          <w:color w:val="000000" w:themeColor="text1"/>
          <w:sz w:val="24"/>
        </w:rPr>
        <w:t>2.10</w:t>
      </w:r>
      <w:r w:rsidRPr="00092862">
        <w:rPr>
          <w:rFonts w:ascii="Times New Roman" w:eastAsia="宋体" w:hAnsi="Times New Roman" w:cs="Times New Roman"/>
          <w:color w:val="000000" w:themeColor="text1"/>
          <w:sz w:val="24"/>
        </w:rPr>
        <w:t>亩，放喷池周围</w:t>
      </w:r>
      <w:r w:rsidRPr="00092862">
        <w:rPr>
          <w:rFonts w:ascii="Times New Roman" w:eastAsia="宋体" w:hAnsi="Times New Roman" w:cs="Times New Roman"/>
          <w:color w:val="000000" w:themeColor="text1"/>
          <w:sz w:val="24"/>
        </w:rPr>
        <w:t>25m</w:t>
      </w:r>
      <w:r w:rsidRPr="00092862">
        <w:rPr>
          <w:rFonts w:ascii="Times New Roman" w:eastAsia="宋体" w:hAnsi="Times New Roman" w:cs="Times New Roman"/>
          <w:color w:val="000000" w:themeColor="text1"/>
          <w:sz w:val="24"/>
        </w:rPr>
        <w:t>清障，清障面积为</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亩，总占地面积</w:t>
      </w:r>
      <w:r w:rsidRPr="00092862">
        <w:rPr>
          <w:rFonts w:ascii="Times New Roman" w:eastAsia="宋体" w:hAnsi="Times New Roman" w:cs="Times New Roman"/>
          <w:color w:val="000000" w:themeColor="text1"/>
          <w:sz w:val="24"/>
        </w:rPr>
        <w:t>41.38</w:t>
      </w:r>
      <w:r w:rsidRPr="00092862">
        <w:rPr>
          <w:rFonts w:ascii="Times New Roman" w:eastAsia="宋体" w:hAnsi="Times New Roman" w:cs="Times New Roman"/>
          <w:color w:val="000000" w:themeColor="text1"/>
          <w:sz w:val="24"/>
        </w:rPr>
        <w:t>亩（</w:t>
      </w:r>
      <w:r w:rsidRPr="00092862">
        <w:rPr>
          <w:rFonts w:ascii="Times New Roman" w:eastAsia="宋体" w:hAnsi="Times New Roman" w:cs="Times New Roman"/>
          <w:color w:val="000000" w:themeColor="text1"/>
          <w:sz w:val="24"/>
        </w:rPr>
        <w:t>2.76hm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），其中临时占地面积</w:t>
      </w:r>
      <w:r w:rsidRPr="00092862">
        <w:rPr>
          <w:rFonts w:ascii="Times New Roman" w:eastAsia="宋体" w:hAnsi="Times New Roman" w:cs="Times New Roman"/>
          <w:color w:val="000000" w:themeColor="text1"/>
          <w:sz w:val="24"/>
        </w:rPr>
        <w:t>13.94</w:t>
      </w:r>
      <w:r w:rsidRPr="00092862">
        <w:rPr>
          <w:rFonts w:ascii="Times New Roman" w:eastAsia="宋体" w:hAnsi="Times New Roman" w:cs="Times New Roman"/>
          <w:color w:val="000000" w:themeColor="text1"/>
          <w:sz w:val="24"/>
        </w:rPr>
        <w:t>亩（</w:t>
      </w:r>
      <w:r w:rsidRPr="00092862">
        <w:rPr>
          <w:rFonts w:ascii="Times New Roman" w:eastAsia="宋体" w:hAnsi="Times New Roman" w:cs="Times New Roman"/>
          <w:color w:val="000000" w:themeColor="text1"/>
          <w:sz w:val="24"/>
        </w:rPr>
        <w:t>0.93hm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），永久占地</w:t>
      </w:r>
      <w:r w:rsidRPr="00092862">
        <w:rPr>
          <w:rFonts w:ascii="Times New Roman" w:eastAsia="宋体" w:hAnsi="Times New Roman" w:cs="Times New Roman"/>
          <w:color w:val="000000" w:themeColor="text1"/>
          <w:sz w:val="24"/>
        </w:rPr>
        <w:t>27.44</w:t>
      </w:r>
      <w:r w:rsidRPr="00092862">
        <w:rPr>
          <w:rFonts w:ascii="Times New Roman" w:eastAsia="宋体" w:hAnsi="Times New Roman" w:cs="Times New Roman"/>
          <w:color w:val="000000" w:themeColor="text1"/>
          <w:sz w:val="24"/>
        </w:rPr>
        <w:t>亩（</w:t>
      </w:r>
      <w:r w:rsidRPr="00092862">
        <w:rPr>
          <w:rFonts w:ascii="Times New Roman" w:eastAsia="宋体" w:hAnsi="Times New Roman" w:cs="Times New Roman"/>
          <w:color w:val="000000" w:themeColor="text1"/>
          <w:sz w:val="24"/>
        </w:rPr>
        <w:t>1.83hm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w:t>
      </w:r>
    </w:p>
    <w:p w14:paraId="7CF8C18D" w14:textId="77777777" w:rsidR="00A364AF" w:rsidRPr="00092862" w:rsidRDefault="00A364AF" w:rsidP="00A364AF">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于井场施工占地将会改变土地利用方式，减少地表植被。占地主要以耕地植被为主，其次为灌草丛植被，这些占地将使占用的地表植被被剥离，在一定时间内改变土地利用的类型，但施工时间较短，施工结束后临时占地区将采取土地整平、植被恢复等措施，不会长期改变土地地类，综合来看，整体上不会改变评价区内现有的土地利用类型的基本格局。</w:t>
      </w:r>
    </w:p>
    <w:p w14:paraId="5383F97E" w14:textId="6E2633B5" w:rsidR="002A379E" w:rsidRPr="00092862" w:rsidRDefault="00A364AF" w:rsidP="00A364AF">
      <w:pPr>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由于本项目在建设期间会剥离表土、产生一定的裸露地面，出现地表植被破坏，施工区较易产生水土流失等特点，在项目建设中应当尽可能减少对土地的占用，严格在征地红线范围内施工，最大限度节约土地资源</w:t>
      </w:r>
      <w:r w:rsidR="002A379E" w:rsidRPr="00092862">
        <w:rPr>
          <w:rFonts w:ascii="Times New Roman" w:hAnsi="Times New Roman" w:cs="Times New Roman"/>
          <w:color w:val="000000" w:themeColor="text1"/>
          <w:sz w:val="24"/>
        </w:rPr>
        <w:t>。</w:t>
      </w:r>
    </w:p>
    <w:p w14:paraId="09073B25" w14:textId="46578E69" w:rsidR="002A379E" w:rsidRPr="00092862" w:rsidRDefault="002A379E" w:rsidP="00573FA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w:t>
      </w:r>
      <w:r w:rsidR="00573FA1" w:rsidRPr="00092862">
        <w:rPr>
          <w:rFonts w:ascii="Times New Roman" w:hAnsi="Times New Roman" w:cs="Times New Roman"/>
          <w:b/>
          <w:bCs/>
          <w:color w:val="000000" w:themeColor="text1"/>
          <w:sz w:val="24"/>
          <w:szCs w:val="24"/>
        </w:rPr>
        <w:t>1.</w:t>
      </w:r>
      <w:r w:rsidR="00A63D11" w:rsidRPr="00092862">
        <w:rPr>
          <w:rFonts w:ascii="Times New Roman" w:hAnsi="Times New Roman" w:cs="Times New Roman"/>
          <w:b/>
          <w:bCs/>
          <w:color w:val="000000" w:themeColor="text1"/>
          <w:sz w:val="24"/>
          <w:szCs w:val="24"/>
        </w:rPr>
        <w:t>2</w:t>
      </w:r>
      <w:r w:rsidRPr="00092862">
        <w:rPr>
          <w:rFonts w:ascii="Times New Roman" w:hAnsi="Times New Roman" w:cs="Times New Roman"/>
          <w:b/>
          <w:bCs/>
          <w:color w:val="000000" w:themeColor="text1"/>
          <w:sz w:val="24"/>
          <w:szCs w:val="24"/>
        </w:rPr>
        <w:t>对植被及生物量的影响</w:t>
      </w:r>
    </w:p>
    <w:p w14:paraId="7574A67F" w14:textId="77777777" w:rsidR="002A379E" w:rsidRPr="00092862" w:rsidRDefault="002A379E" w:rsidP="00A63D11">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）项目占地</w:t>
      </w:r>
    </w:p>
    <w:p w14:paraId="0B4A30FE" w14:textId="77777777" w:rsidR="00A364AF" w:rsidRPr="00092862" w:rsidRDefault="00A364AF" w:rsidP="00A364AF">
      <w:pPr>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rPr>
        <w:t>项目占地主要包</w:t>
      </w:r>
      <w:r w:rsidRPr="00092862">
        <w:rPr>
          <w:rFonts w:ascii="Times New Roman" w:eastAsia="宋体" w:hAnsi="Times New Roman" w:cs="Times New Roman"/>
          <w:color w:val="000000" w:themeColor="text1"/>
          <w:sz w:val="24"/>
          <w:szCs w:val="24"/>
        </w:rPr>
        <w:t>括</w:t>
      </w:r>
      <w:r w:rsidRPr="00092862">
        <w:rPr>
          <w:rFonts w:ascii="Times New Roman" w:hAnsi="Times New Roman" w:cs="Times New Roman"/>
          <w:color w:val="000000" w:themeColor="text1"/>
          <w:sz w:val="24"/>
          <w:szCs w:val="24"/>
        </w:rPr>
        <w:t>井场、</w:t>
      </w:r>
      <w:r w:rsidRPr="00092862">
        <w:rPr>
          <w:rFonts w:ascii="Times New Roman" w:eastAsia="宋体" w:hAnsi="Times New Roman" w:cs="Times New Roman"/>
          <w:color w:val="000000" w:themeColor="text1"/>
          <w:sz w:val="24"/>
        </w:rPr>
        <w:t>进场道路、采气管道，生活营区</w:t>
      </w:r>
      <w:r w:rsidRPr="00092862">
        <w:rPr>
          <w:rFonts w:ascii="Times New Roman" w:eastAsia="宋体" w:hAnsi="Times New Roman" w:cs="Times New Roman"/>
          <w:color w:val="000000" w:themeColor="text1"/>
          <w:sz w:val="24"/>
          <w:szCs w:val="24"/>
        </w:rPr>
        <w:t>，占地总面积</w:t>
      </w:r>
      <w:r w:rsidRPr="00092862">
        <w:rPr>
          <w:rFonts w:ascii="Times New Roman" w:eastAsia="宋体" w:hAnsi="Times New Roman" w:cs="Times New Roman"/>
          <w:color w:val="000000" w:themeColor="text1"/>
          <w:sz w:val="24"/>
          <w:szCs w:val="24"/>
        </w:rPr>
        <w:t>2.76hm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，占地范围内不涉及国家保护野生植物和四川省重点保护野生植物。</w:t>
      </w:r>
    </w:p>
    <w:p w14:paraId="66F1A648" w14:textId="384635A0" w:rsidR="002A379E" w:rsidRPr="00092862" w:rsidRDefault="00A364AF" w:rsidP="00A364AF">
      <w:pPr>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szCs w:val="24"/>
        </w:rPr>
        <w:t>项目占地</w:t>
      </w:r>
      <w:r w:rsidRPr="00092862">
        <w:rPr>
          <w:rFonts w:ascii="Times New Roman" w:eastAsia="宋体" w:hAnsi="Times New Roman" w:cs="Times New Roman"/>
          <w:color w:val="000000" w:themeColor="text1"/>
          <w:sz w:val="24"/>
        </w:rPr>
        <w:t>施工损毁的植被类型属于评价范围内普遍分布的类型，主要有野桐、盐肤木、马桑、黄荆、火棘、芒、白茅、蕨、芒萁等，其物区系组成成分不会发生变化，损失的只是局部群落及部分</w:t>
      </w:r>
      <w:r w:rsidRPr="00092862">
        <w:rPr>
          <w:rFonts w:ascii="Times New Roman" w:eastAsia="宋体" w:hAnsi="Times New Roman" w:cs="Times New Roman"/>
          <w:color w:val="000000" w:themeColor="text1"/>
          <w:sz w:val="24"/>
          <w:szCs w:val="24"/>
        </w:rPr>
        <w:t>生产力</w:t>
      </w:r>
      <w:r w:rsidRPr="00092862">
        <w:rPr>
          <w:rFonts w:ascii="Times New Roman" w:eastAsia="宋体" w:hAnsi="Times New Roman" w:cs="Times New Roman"/>
          <w:color w:val="000000" w:themeColor="text1"/>
          <w:sz w:val="24"/>
        </w:rPr>
        <w:t>和生物量，项目占地损失总</w:t>
      </w:r>
      <w:r w:rsidRPr="00092862">
        <w:rPr>
          <w:rFonts w:ascii="Times New Roman" w:eastAsia="宋体" w:hAnsi="Times New Roman" w:cs="Times New Roman"/>
          <w:color w:val="000000" w:themeColor="text1"/>
          <w:sz w:val="24"/>
        </w:rPr>
        <w:lastRenderedPageBreak/>
        <w:t>生产力</w:t>
      </w:r>
      <w:r w:rsidRPr="00092862">
        <w:rPr>
          <w:rFonts w:ascii="Times New Roman" w:eastAsia="宋体" w:hAnsi="Times New Roman" w:cs="Times New Roman"/>
          <w:color w:val="000000" w:themeColor="text1"/>
          <w:sz w:val="24"/>
        </w:rPr>
        <w:t>10.64tc/a</w:t>
      </w:r>
      <w:r w:rsidRPr="00092862">
        <w:rPr>
          <w:rFonts w:ascii="Times New Roman" w:eastAsia="宋体" w:hAnsi="Times New Roman" w:cs="Times New Roman"/>
          <w:color w:val="000000" w:themeColor="text1"/>
          <w:sz w:val="24"/>
        </w:rPr>
        <w:t>，损失总生物量为</w:t>
      </w:r>
      <w:r w:rsidRPr="00092862">
        <w:rPr>
          <w:rFonts w:ascii="Times New Roman" w:eastAsia="宋体" w:hAnsi="Times New Roman" w:cs="Times New Roman"/>
          <w:color w:val="000000" w:themeColor="text1"/>
          <w:sz w:val="24"/>
        </w:rPr>
        <w:t>28.17t</w:t>
      </w:r>
      <w:r w:rsidRPr="00092862">
        <w:rPr>
          <w:rFonts w:ascii="Times New Roman" w:eastAsia="宋体" w:hAnsi="Times New Roman" w:cs="Times New Roman"/>
          <w:color w:val="000000" w:themeColor="text1"/>
          <w:sz w:val="24"/>
        </w:rPr>
        <w:t>，占评价区总生产力和总生物量的比例为</w:t>
      </w:r>
      <w:r w:rsidRPr="00092862">
        <w:rPr>
          <w:rFonts w:ascii="Times New Roman" w:eastAsia="宋体" w:hAnsi="Times New Roman" w:cs="Times New Roman"/>
          <w:color w:val="000000" w:themeColor="text1"/>
          <w:sz w:val="24"/>
        </w:rPr>
        <w:t>0.17%</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0.45%</w:t>
      </w:r>
      <w:r w:rsidRPr="00092862">
        <w:rPr>
          <w:rFonts w:ascii="Times New Roman" w:eastAsia="宋体" w:hAnsi="Times New Roman" w:cs="Times New Roman"/>
          <w:color w:val="000000" w:themeColor="text1"/>
          <w:sz w:val="24"/>
        </w:rPr>
        <w:t>，占比极低，主要因为项目占地面积小，且占地为生态效能较低的灌草丛。</w:t>
      </w:r>
      <w:r w:rsidRPr="00092862">
        <w:rPr>
          <w:rFonts w:ascii="Times New Roman" w:eastAsia="宋体" w:hAnsi="Times New Roman" w:cs="Times New Roman"/>
          <w:color w:val="000000" w:themeColor="text1"/>
          <w:sz w:val="24"/>
          <w:szCs w:val="24"/>
        </w:rPr>
        <w:t>损失植被类型及生物量见表</w:t>
      </w:r>
      <w:r w:rsidRPr="00092862">
        <w:rPr>
          <w:rFonts w:ascii="Times New Roman" w:eastAsia="宋体" w:hAnsi="Times New Roman" w:cs="Times New Roman"/>
          <w:color w:val="000000" w:themeColor="text1"/>
          <w:sz w:val="24"/>
          <w:szCs w:val="24"/>
        </w:rPr>
        <w:t>5.1-1</w:t>
      </w:r>
      <w:r w:rsidR="002A379E" w:rsidRPr="00092862">
        <w:rPr>
          <w:rFonts w:ascii="Times New Roman" w:hAnsi="Times New Roman" w:cs="Times New Roman"/>
          <w:color w:val="000000" w:themeColor="text1"/>
          <w:sz w:val="24"/>
        </w:rPr>
        <w:t>。</w:t>
      </w:r>
    </w:p>
    <w:p w14:paraId="2A885DBA" w14:textId="77777777" w:rsidR="002C77F6" w:rsidRPr="00092862" w:rsidRDefault="002C77F6" w:rsidP="000C4084">
      <w:pPr>
        <w:pStyle w:val="ac"/>
        <w:tabs>
          <w:tab w:val="left" w:pos="863"/>
        </w:tabs>
        <w:spacing w:before="0"/>
        <w:ind w:left="0"/>
        <w:jc w:val="center"/>
        <w:rPr>
          <w:rFonts w:ascii="Times New Roman" w:eastAsia="黑体" w:hAnsi="Times New Roman"/>
          <w:color w:val="000000" w:themeColor="text1"/>
          <w:sz w:val="21"/>
          <w:szCs w:val="21"/>
          <w:lang w:eastAsia="zh-CN"/>
        </w:rPr>
      </w:pPr>
    </w:p>
    <w:p w14:paraId="5F8514FC" w14:textId="1D944EE9" w:rsidR="002A379E" w:rsidRPr="00092862" w:rsidRDefault="002A379E" w:rsidP="000C4084">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5.1-</w:t>
      </w:r>
      <w:r w:rsidR="002C77F6" w:rsidRPr="00092862">
        <w:rPr>
          <w:rFonts w:ascii="Times New Roman" w:eastAsia="黑体" w:hAnsi="Times New Roman"/>
          <w:color w:val="000000" w:themeColor="text1"/>
          <w:sz w:val="21"/>
          <w:szCs w:val="21"/>
          <w:lang w:eastAsia="zh-CN"/>
        </w:rPr>
        <w:t xml:space="preserve">1 </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工程占地影响植被类型及生物量统计表</w:t>
      </w:r>
    </w:p>
    <w:tbl>
      <w:tblPr>
        <w:tblW w:w="8318" w:type="dxa"/>
        <w:jc w:val="center"/>
        <w:tblLayout w:type="fixed"/>
        <w:tblLook w:val="0000" w:firstRow="0" w:lastRow="0" w:firstColumn="0" w:lastColumn="0" w:noHBand="0" w:noVBand="0"/>
      </w:tblPr>
      <w:tblGrid>
        <w:gridCol w:w="523"/>
        <w:gridCol w:w="1217"/>
        <w:gridCol w:w="990"/>
        <w:gridCol w:w="1353"/>
        <w:gridCol w:w="1341"/>
        <w:gridCol w:w="2894"/>
      </w:tblGrid>
      <w:tr w:rsidR="00697429" w:rsidRPr="00092862" w14:paraId="349D5FB7" w14:textId="77777777" w:rsidTr="00A75B69">
        <w:trPr>
          <w:trHeight w:val="1082"/>
          <w:jc w:val="center"/>
        </w:trPr>
        <w:tc>
          <w:tcPr>
            <w:tcW w:w="523" w:type="dxa"/>
            <w:tcBorders>
              <w:top w:val="single" w:sz="4" w:space="0" w:color="auto"/>
              <w:left w:val="single" w:sz="4" w:space="0" w:color="auto"/>
              <w:bottom w:val="single" w:sz="4" w:space="0" w:color="auto"/>
              <w:right w:val="single" w:sz="4" w:space="0" w:color="auto"/>
            </w:tcBorders>
            <w:vAlign w:val="center"/>
          </w:tcPr>
          <w:p w14:paraId="4B44D428"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序号</w:t>
            </w:r>
          </w:p>
        </w:tc>
        <w:tc>
          <w:tcPr>
            <w:tcW w:w="1217" w:type="dxa"/>
            <w:tcBorders>
              <w:top w:val="single" w:sz="4" w:space="0" w:color="auto"/>
              <w:left w:val="single" w:sz="4" w:space="0" w:color="auto"/>
              <w:bottom w:val="single" w:sz="4" w:space="0" w:color="auto"/>
              <w:right w:val="single" w:sz="4" w:space="0" w:color="auto"/>
            </w:tcBorders>
            <w:vAlign w:val="center"/>
          </w:tcPr>
          <w:p w14:paraId="2A8BE091"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名称</w:t>
            </w:r>
          </w:p>
        </w:tc>
        <w:tc>
          <w:tcPr>
            <w:tcW w:w="990" w:type="dxa"/>
            <w:tcBorders>
              <w:top w:val="single" w:sz="4" w:space="0" w:color="auto"/>
              <w:left w:val="single" w:sz="4" w:space="0" w:color="auto"/>
              <w:bottom w:val="single" w:sz="4" w:space="0" w:color="auto"/>
              <w:right w:val="single" w:sz="4" w:space="0" w:color="auto"/>
            </w:tcBorders>
            <w:vAlign w:val="center"/>
          </w:tcPr>
          <w:p w14:paraId="5332F2F1"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占地面积</w:t>
            </w:r>
            <w:r w:rsidRPr="00092862">
              <w:rPr>
                <w:rFonts w:ascii="Times New Roman" w:eastAsia="宋体" w:hAnsi="Times New Roman" w:cs="Times New Roman"/>
                <w:color w:val="000000" w:themeColor="text1"/>
                <w:kern w:val="0"/>
                <w:szCs w:val="21"/>
                <w:lang w:bidi="ar"/>
              </w:rPr>
              <w:t>(hm</w:t>
            </w:r>
            <w:r w:rsidRPr="00092862">
              <w:rPr>
                <w:rFonts w:ascii="Times New Roman" w:eastAsia="宋体" w:hAnsi="Times New Roman" w:cs="Times New Roman"/>
                <w:color w:val="000000" w:themeColor="text1"/>
                <w:kern w:val="0"/>
                <w:szCs w:val="21"/>
                <w:vertAlign w:val="superscript"/>
                <w:lang w:bidi="ar"/>
              </w:rPr>
              <w:t>2</w:t>
            </w:r>
            <w:r w:rsidRPr="00092862">
              <w:rPr>
                <w:rFonts w:ascii="Times New Roman" w:eastAsia="宋体" w:hAnsi="Times New Roman" w:cs="Times New Roman"/>
                <w:color w:val="000000" w:themeColor="text1"/>
                <w:kern w:val="0"/>
                <w:szCs w:val="21"/>
                <w:lang w:bidi="ar"/>
              </w:rPr>
              <w:t>)</w:t>
            </w:r>
          </w:p>
        </w:tc>
        <w:tc>
          <w:tcPr>
            <w:tcW w:w="1353" w:type="dxa"/>
            <w:tcBorders>
              <w:top w:val="single" w:sz="4" w:space="0" w:color="auto"/>
              <w:left w:val="single" w:sz="4" w:space="0" w:color="auto"/>
              <w:bottom w:val="single" w:sz="4" w:space="0" w:color="auto"/>
              <w:right w:val="single" w:sz="4" w:space="0" w:color="auto"/>
            </w:tcBorders>
            <w:vAlign w:val="center"/>
          </w:tcPr>
          <w:p w14:paraId="649EE057"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损失生产力（</w:t>
            </w:r>
            <w:r w:rsidRPr="00092862">
              <w:rPr>
                <w:rFonts w:ascii="Times New Roman" w:eastAsia="宋体" w:hAnsi="Times New Roman" w:cs="Times New Roman"/>
                <w:color w:val="000000" w:themeColor="text1"/>
                <w:kern w:val="0"/>
                <w:szCs w:val="21"/>
                <w:lang w:bidi="ar"/>
              </w:rPr>
              <w:t>tC/</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a</w:t>
            </w:r>
            <w:r w:rsidRPr="00092862">
              <w:rPr>
                <w:rFonts w:ascii="Times New Roman" w:eastAsia="宋体" w:hAnsi="Times New Roman" w:cs="Times New Roman"/>
                <w:color w:val="000000" w:themeColor="text1"/>
                <w:kern w:val="0"/>
                <w:szCs w:val="21"/>
                <w:lang w:bidi="ar"/>
              </w:rPr>
              <w:t>））</w:t>
            </w:r>
          </w:p>
        </w:tc>
        <w:tc>
          <w:tcPr>
            <w:tcW w:w="1341" w:type="dxa"/>
            <w:tcBorders>
              <w:top w:val="single" w:sz="4" w:space="0" w:color="auto"/>
              <w:left w:val="single" w:sz="4" w:space="0" w:color="auto"/>
              <w:bottom w:val="single" w:sz="4" w:space="0" w:color="auto"/>
              <w:right w:val="single" w:sz="4" w:space="0" w:color="auto"/>
            </w:tcBorders>
            <w:vAlign w:val="center"/>
          </w:tcPr>
          <w:p w14:paraId="3E114CD0"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损失生物量（</w:t>
            </w:r>
            <w:r w:rsidRPr="00092862">
              <w:rPr>
                <w:rFonts w:ascii="Times New Roman" w:eastAsia="宋体" w:hAnsi="Times New Roman" w:cs="Times New Roman"/>
                <w:color w:val="000000" w:themeColor="text1"/>
                <w:kern w:val="0"/>
                <w:szCs w:val="21"/>
                <w:lang w:bidi="ar"/>
              </w:rPr>
              <w:t>t</w:t>
            </w:r>
            <w:r w:rsidRPr="00092862">
              <w:rPr>
                <w:rFonts w:ascii="Times New Roman" w:eastAsia="宋体" w:hAnsi="Times New Roman" w:cs="Times New Roman"/>
                <w:color w:val="000000" w:themeColor="text1"/>
                <w:kern w:val="0"/>
                <w:szCs w:val="21"/>
                <w:lang w:bidi="ar"/>
              </w:rPr>
              <w:t>）</w:t>
            </w:r>
          </w:p>
        </w:tc>
        <w:tc>
          <w:tcPr>
            <w:tcW w:w="2894" w:type="dxa"/>
            <w:tcBorders>
              <w:top w:val="single" w:sz="4" w:space="0" w:color="auto"/>
              <w:left w:val="single" w:sz="4" w:space="0" w:color="auto"/>
              <w:bottom w:val="single" w:sz="4" w:space="0" w:color="auto"/>
              <w:right w:val="single" w:sz="4" w:space="0" w:color="auto"/>
            </w:tcBorders>
            <w:vAlign w:val="center"/>
          </w:tcPr>
          <w:p w14:paraId="38BC8DEC"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受影响的植被类型</w:t>
            </w:r>
          </w:p>
        </w:tc>
      </w:tr>
      <w:tr w:rsidR="00697429" w:rsidRPr="00092862" w14:paraId="1C50CAC5" w14:textId="77777777" w:rsidTr="00A75B69">
        <w:trPr>
          <w:trHeight w:val="707"/>
          <w:jc w:val="center"/>
        </w:trPr>
        <w:tc>
          <w:tcPr>
            <w:tcW w:w="523" w:type="dxa"/>
            <w:tcBorders>
              <w:top w:val="nil"/>
              <w:left w:val="single" w:sz="4" w:space="0" w:color="auto"/>
              <w:bottom w:val="single" w:sz="4" w:space="0" w:color="auto"/>
              <w:right w:val="single" w:sz="4" w:space="0" w:color="auto"/>
            </w:tcBorders>
            <w:vAlign w:val="center"/>
          </w:tcPr>
          <w:p w14:paraId="146DC62D"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w:t>
            </w:r>
          </w:p>
        </w:tc>
        <w:tc>
          <w:tcPr>
            <w:tcW w:w="1217" w:type="dxa"/>
            <w:tcBorders>
              <w:top w:val="nil"/>
              <w:left w:val="nil"/>
              <w:bottom w:val="single" w:sz="4" w:space="0" w:color="auto"/>
              <w:right w:val="single" w:sz="4" w:space="0" w:color="auto"/>
            </w:tcBorders>
            <w:vAlign w:val="center"/>
          </w:tcPr>
          <w:p w14:paraId="525865E4"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灌丛植被</w:t>
            </w:r>
          </w:p>
        </w:tc>
        <w:tc>
          <w:tcPr>
            <w:tcW w:w="990" w:type="dxa"/>
            <w:tcBorders>
              <w:top w:val="nil"/>
              <w:left w:val="nil"/>
              <w:bottom w:val="single" w:sz="4" w:space="0" w:color="auto"/>
              <w:right w:val="single" w:sz="4" w:space="0" w:color="auto"/>
            </w:tcBorders>
            <w:vAlign w:val="center"/>
          </w:tcPr>
          <w:p w14:paraId="2449C8DA"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0.28 </w:t>
            </w:r>
          </w:p>
        </w:tc>
        <w:tc>
          <w:tcPr>
            <w:tcW w:w="1353" w:type="dxa"/>
            <w:tcBorders>
              <w:top w:val="nil"/>
              <w:left w:val="nil"/>
              <w:bottom w:val="single" w:sz="4" w:space="0" w:color="auto"/>
              <w:right w:val="single" w:sz="4" w:space="0" w:color="auto"/>
            </w:tcBorders>
            <w:vAlign w:val="center"/>
          </w:tcPr>
          <w:p w14:paraId="3DAB11B0"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1.04 </w:t>
            </w:r>
          </w:p>
        </w:tc>
        <w:tc>
          <w:tcPr>
            <w:tcW w:w="1341" w:type="dxa"/>
            <w:tcBorders>
              <w:top w:val="nil"/>
              <w:left w:val="nil"/>
              <w:bottom w:val="single" w:sz="4" w:space="0" w:color="auto"/>
              <w:right w:val="single" w:sz="4" w:space="0" w:color="auto"/>
            </w:tcBorders>
            <w:vAlign w:val="center"/>
          </w:tcPr>
          <w:p w14:paraId="66D25325"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7.81 </w:t>
            </w:r>
          </w:p>
        </w:tc>
        <w:tc>
          <w:tcPr>
            <w:tcW w:w="2894" w:type="dxa"/>
            <w:tcBorders>
              <w:top w:val="nil"/>
              <w:left w:val="nil"/>
              <w:bottom w:val="single" w:sz="4" w:space="0" w:color="auto"/>
              <w:right w:val="single" w:sz="4" w:space="0" w:color="auto"/>
            </w:tcBorders>
            <w:vAlign w:val="center"/>
          </w:tcPr>
          <w:p w14:paraId="2DCC93DA"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野桐、盐肤木、马桑、黄荆、火棘</w:t>
            </w:r>
          </w:p>
        </w:tc>
      </w:tr>
      <w:tr w:rsidR="00697429" w:rsidRPr="00092862" w14:paraId="6BBA6749" w14:textId="77777777" w:rsidTr="00A75B69">
        <w:trPr>
          <w:trHeight w:val="707"/>
          <w:jc w:val="center"/>
        </w:trPr>
        <w:tc>
          <w:tcPr>
            <w:tcW w:w="523" w:type="dxa"/>
            <w:tcBorders>
              <w:top w:val="nil"/>
              <w:left w:val="single" w:sz="4" w:space="0" w:color="auto"/>
              <w:bottom w:val="single" w:sz="4" w:space="0" w:color="auto"/>
              <w:right w:val="single" w:sz="4" w:space="0" w:color="auto"/>
            </w:tcBorders>
            <w:vAlign w:val="center"/>
          </w:tcPr>
          <w:p w14:paraId="627FA05C"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w:t>
            </w:r>
          </w:p>
        </w:tc>
        <w:tc>
          <w:tcPr>
            <w:tcW w:w="1217" w:type="dxa"/>
            <w:tcBorders>
              <w:top w:val="nil"/>
              <w:left w:val="nil"/>
              <w:bottom w:val="single" w:sz="4" w:space="0" w:color="auto"/>
              <w:right w:val="single" w:sz="4" w:space="0" w:color="auto"/>
            </w:tcBorders>
            <w:vAlign w:val="center"/>
          </w:tcPr>
          <w:p w14:paraId="5537DD7C"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草丛植被</w:t>
            </w:r>
          </w:p>
        </w:tc>
        <w:tc>
          <w:tcPr>
            <w:tcW w:w="990" w:type="dxa"/>
            <w:tcBorders>
              <w:top w:val="nil"/>
              <w:left w:val="nil"/>
              <w:bottom w:val="single" w:sz="4" w:space="0" w:color="auto"/>
              <w:right w:val="single" w:sz="4" w:space="0" w:color="auto"/>
            </w:tcBorders>
            <w:vAlign w:val="center"/>
          </w:tcPr>
          <w:p w14:paraId="5B38C5BF"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0.62 </w:t>
            </w:r>
          </w:p>
        </w:tc>
        <w:tc>
          <w:tcPr>
            <w:tcW w:w="1353" w:type="dxa"/>
            <w:tcBorders>
              <w:top w:val="nil"/>
              <w:left w:val="nil"/>
              <w:bottom w:val="single" w:sz="4" w:space="0" w:color="auto"/>
              <w:right w:val="single" w:sz="4" w:space="0" w:color="auto"/>
            </w:tcBorders>
            <w:vAlign w:val="center"/>
          </w:tcPr>
          <w:p w14:paraId="2C071937"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3.13 </w:t>
            </w:r>
          </w:p>
        </w:tc>
        <w:tc>
          <w:tcPr>
            <w:tcW w:w="1341" w:type="dxa"/>
            <w:tcBorders>
              <w:top w:val="nil"/>
              <w:left w:val="nil"/>
              <w:bottom w:val="single" w:sz="4" w:space="0" w:color="auto"/>
              <w:right w:val="single" w:sz="4" w:space="0" w:color="auto"/>
            </w:tcBorders>
            <w:vAlign w:val="center"/>
          </w:tcPr>
          <w:p w14:paraId="275F0AE1"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4.72 </w:t>
            </w:r>
          </w:p>
        </w:tc>
        <w:tc>
          <w:tcPr>
            <w:tcW w:w="2894" w:type="dxa"/>
            <w:tcBorders>
              <w:top w:val="nil"/>
              <w:left w:val="nil"/>
              <w:bottom w:val="single" w:sz="4" w:space="0" w:color="auto"/>
              <w:right w:val="single" w:sz="4" w:space="0" w:color="auto"/>
            </w:tcBorders>
            <w:vAlign w:val="center"/>
          </w:tcPr>
          <w:p w14:paraId="0431208D"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芒、白茅、蕨、芒萁</w:t>
            </w:r>
          </w:p>
        </w:tc>
      </w:tr>
      <w:tr w:rsidR="00697429" w:rsidRPr="00092862" w14:paraId="0B2F56C4" w14:textId="77777777" w:rsidTr="00A75B69">
        <w:trPr>
          <w:trHeight w:val="707"/>
          <w:jc w:val="center"/>
        </w:trPr>
        <w:tc>
          <w:tcPr>
            <w:tcW w:w="523" w:type="dxa"/>
            <w:tcBorders>
              <w:top w:val="nil"/>
              <w:left w:val="single" w:sz="4" w:space="0" w:color="auto"/>
              <w:bottom w:val="single" w:sz="4" w:space="0" w:color="auto"/>
              <w:right w:val="single" w:sz="4" w:space="0" w:color="auto"/>
            </w:tcBorders>
            <w:vAlign w:val="center"/>
          </w:tcPr>
          <w:p w14:paraId="69193FD9"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3</w:t>
            </w:r>
          </w:p>
        </w:tc>
        <w:tc>
          <w:tcPr>
            <w:tcW w:w="1217" w:type="dxa"/>
            <w:tcBorders>
              <w:top w:val="nil"/>
              <w:left w:val="nil"/>
              <w:bottom w:val="single" w:sz="4" w:space="0" w:color="auto"/>
              <w:right w:val="single" w:sz="4" w:space="0" w:color="auto"/>
            </w:tcBorders>
            <w:vAlign w:val="center"/>
          </w:tcPr>
          <w:p w14:paraId="08B34A11"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旱地作物植被</w:t>
            </w:r>
          </w:p>
        </w:tc>
        <w:tc>
          <w:tcPr>
            <w:tcW w:w="990" w:type="dxa"/>
            <w:tcBorders>
              <w:top w:val="nil"/>
              <w:left w:val="nil"/>
              <w:bottom w:val="single" w:sz="4" w:space="0" w:color="auto"/>
              <w:right w:val="single" w:sz="4" w:space="0" w:color="auto"/>
            </w:tcBorders>
            <w:vAlign w:val="center"/>
          </w:tcPr>
          <w:p w14:paraId="612D26AC"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1.52 </w:t>
            </w:r>
          </w:p>
        </w:tc>
        <w:tc>
          <w:tcPr>
            <w:tcW w:w="1353" w:type="dxa"/>
            <w:tcBorders>
              <w:top w:val="nil"/>
              <w:left w:val="nil"/>
              <w:bottom w:val="single" w:sz="4" w:space="0" w:color="auto"/>
              <w:right w:val="single" w:sz="4" w:space="0" w:color="auto"/>
            </w:tcBorders>
            <w:vAlign w:val="center"/>
          </w:tcPr>
          <w:p w14:paraId="1C316CAD"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6.47 </w:t>
            </w:r>
          </w:p>
        </w:tc>
        <w:tc>
          <w:tcPr>
            <w:tcW w:w="1341" w:type="dxa"/>
            <w:tcBorders>
              <w:top w:val="nil"/>
              <w:left w:val="nil"/>
              <w:bottom w:val="single" w:sz="4" w:space="0" w:color="auto"/>
              <w:right w:val="single" w:sz="4" w:space="0" w:color="auto"/>
            </w:tcBorders>
            <w:vAlign w:val="center"/>
          </w:tcPr>
          <w:p w14:paraId="2F22FAAC"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15.63 </w:t>
            </w:r>
          </w:p>
        </w:tc>
        <w:tc>
          <w:tcPr>
            <w:tcW w:w="2894" w:type="dxa"/>
            <w:tcBorders>
              <w:top w:val="nil"/>
              <w:left w:val="nil"/>
              <w:bottom w:val="single" w:sz="4" w:space="0" w:color="auto"/>
              <w:right w:val="single" w:sz="4" w:space="0" w:color="auto"/>
            </w:tcBorders>
            <w:vAlign w:val="center"/>
          </w:tcPr>
          <w:p w14:paraId="6BF75972"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玉米、红苕、棉花、花生、小麦、马铃薯、豌豆</w:t>
            </w:r>
          </w:p>
        </w:tc>
      </w:tr>
      <w:tr w:rsidR="00697429" w:rsidRPr="00092862" w14:paraId="3E7C6EA2" w14:textId="77777777" w:rsidTr="00A75B69">
        <w:trPr>
          <w:trHeight w:val="556"/>
          <w:jc w:val="center"/>
        </w:trPr>
        <w:tc>
          <w:tcPr>
            <w:tcW w:w="1740" w:type="dxa"/>
            <w:gridSpan w:val="2"/>
            <w:tcBorders>
              <w:top w:val="single" w:sz="4" w:space="0" w:color="auto"/>
              <w:left w:val="single" w:sz="4" w:space="0" w:color="auto"/>
              <w:bottom w:val="single" w:sz="4" w:space="0" w:color="auto"/>
              <w:right w:val="single" w:sz="4" w:space="0" w:color="auto"/>
            </w:tcBorders>
            <w:vAlign w:val="center"/>
          </w:tcPr>
          <w:p w14:paraId="3220437E"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合计</w:t>
            </w:r>
          </w:p>
        </w:tc>
        <w:tc>
          <w:tcPr>
            <w:tcW w:w="990" w:type="dxa"/>
            <w:tcBorders>
              <w:top w:val="single" w:sz="4" w:space="0" w:color="auto"/>
              <w:left w:val="nil"/>
              <w:bottom w:val="single" w:sz="4" w:space="0" w:color="auto"/>
              <w:right w:val="single" w:sz="4" w:space="0" w:color="auto"/>
            </w:tcBorders>
            <w:vAlign w:val="center"/>
          </w:tcPr>
          <w:p w14:paraId="1ACA0BA6"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0.62</w:t>
            </w:r>
          </w:p>
        </w:tc>
        <w:tc>
          <w:tcPr>
            <w:tcW w:w="1353" w:type="dxa"/>
            <w:tcBorders>
              <w:top w:val="nil"/>
              <w:left w:val="nil"/>
              <w:bottom w:val="single" w:sz="4" w:space="0" w:color="auto"/>
              <w:right w:val="single" w:sz="4" w:space="0" w:color="auto"/>
            </w:tcBorders>
            <w:vAlign w:val="center"/>
          </w:tcPr>
          <w:p w14:paraId="542D8EBC"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10.64</w:t>
            </w:r>
          </w:p>
        </w:tc>
        <w:tc>
          <w:tcPr>
            <w:tcW w:w="1341" w:type="dxa"/>
            <w:tcBorders>
              <w:top w:val="nil"/>
              <w:left w:val="nil"/>
              <w:bottom w:val="single" w:sz="4" w:space="0" w:color="auto"/>
              <w:right w:val="single" w:sz="4" w:space="0" w:color="auto"/>
            </w:tcBorders>
            <w:vAlign w:val="center"/>
          </w:tcPr>
          <w:p w14:paraId="72C99B4F"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28.17</w:t>
            </w:r>
          </w:p>
        </w:tc>
        <w:tc>
          <w:tcPr>
            <w:tcW w:w="2894" w:type="dxa"/>
            <w:tcBorders>
              <w:top w:val="nil"/>
              <w:left w:val="nil"/>
              <w:bottom w:val="single" w:sz="4" w:space="0" w:color="auto"/>
              <w:right w:val="single" w:sz="4" w:space="0" w:color="auto"/>
            </w:tcBorders>
            <w:vAlign w:val="center"/>
          </w:tcPr>
          <w:p w14:paraId="3B581DCF" w14:textId="77777777" w:rsidR="00A364AF" w:rsidRPr="00092862" w:rsidRDefault="00A364AF" w:rsidP="00A364AF">
            <w:pPr>
              <w:widowControl/>
              <w:adjustRightInd w:val="0"/>
              <w:snapToGrid w:val="0"/>
              <w:jc w:val="center"/>
              <w:textAlignment w:val="center"/>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　</w:t>
            </w:r>
          </w:p>
        </w:tc>
      </w:tr>
    </w:tbl>
    <w:p w14:paraId="4D40E335" w14:textId="77777777" w:rsidR="002A379E" w:rsidRPr="00092862" w:rsidRDefault="002A379E" w:rsidP="002A379E">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）人员进驻及施工活动</w:t>
      </w:r>
    </w:p>
    <w:p w14:paraId="6F66C266" w14:textId="77777777" w:rsidR="00A364AF" w:rsidRPr="00092862" w:rsidRDefault="00A364AF" w:rsidP="00A364AF">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在项目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用地区土地整平、植被更新恢复措施的实施，其影响会得到逐步恢复的。</w:t>
      </w:r>
    </w:p>
    <w:p w14:paraId="543CAF7A" w14:textId="77777777" w:rsidR="00A364AF" w:rsidRPr="00092862" w:rsidRDefault="00A364AF" w:rsidP="00A364AF">
      <w:pPr>
        <w:adjustRightInd w:val="0"/>
        <w:snapToGrid w:val="0"/>
        <w:spacing w:line="360" w:lineRule="auto"/>
        <w:ind w:firstLineChars="200" w:firstLine="480"/>
        <w:jc w:val="left"/>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由上可见，项目施工占地</w:t>
      </w:r>
      <w:r w:rsidRPr="00092862">
        <w:rPr>
          <w:rFonts w:ascii="Times New Roman" w:eastAsia="宋体" w:hAnsi="Times New Roman" w:cs="Times New Roman"/>
          <w:color w:val="000000" w:themeColor="text1"/>
          <w:sz w:val="24"/>
        </w:rPr>
        <w:t>2.76hm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使得在栖息在这片土上的生物资源受到影响，部分乔木林植被因生境发生改变而死亡，以此为栖息地的其他动物、微生物则失去原栖息场所，导致动、植物资源量减少，生物量受到一定影响。但项目占地相对整个宣化县比例则极小，不会对该地区造成较大影响，同时，退役后，随着设施拆除、封井及植被恢复措施的实施及植被自然演替更新，占地影响也将逐渐消失。</w:t>
      </w:r>
    </w:p>
    <w:p w14:paraId="2CC47681" w14:textId="3724AEDE" w:rsidR="002A379E" w:rsidRPr="00092862" w:rsidRDefault="00A364AF" w:rsidP="00A364AF">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尽管如此，本报告仍然建议，在项目实施过程中通过优化施工布置，最大程度减少项目建设造成的植被资源损失，尽量减少对评价区灌草丛生态系统的影响</w:t>
      </w:r>
      <w:r w:rsidR="002A379E" w:rsidRPr="00092862">
        <w:rPr>
          <w:rFonts w:ascii="Times New Roman" w:hAnsi="Times New Roman" w:cs="Times New Roman"/>
          <w:color w:val="000000" w:themeColor="text1"/>
          <w:sz w:val="24"/>
        </w:rPr>
        <w:t>。</w:t>
      </w:r>
    </w:p>
    <w:p w14:paraId="1FA98334" w14:textId="142701C4" w:rsidR="00A63D11" w:rsidRPr="00092862" w:rsidRDefault="00A63D11" w:rsidP="00A63D1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5.1.1.3</w:t>
      </w:r>
      <w:r w:rsidRPr="00092862">
        <w:rPr>
          <w:rFonts w:ascii="Times New Roman" w:hAnsi="Times New Roman" w:cs="Times New Roman"/>
          <w:b/>
          <w:bCs/>
          <w:color w:val="000000" w:themeColor="text1"/>
          <w:sz w:val="24"/>
          <w:szCs w:val="24"/>
        </w:rPr>
        <w:t>对景观生态的影响分析</w:t>
      </w:r>
    </w:p>
    <w:p w14:paraId="2E05AED3" w14:textId="77777777" w:rsidR="00A364AF" w:rsidRPr="00092862" w:rsidRDefault="00A364AF" w:rsidP="00507027">
      <w:pPr>
        <w:spacing w:line="480" w:lineRule="exact"/>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lastRenderedPageBreak/>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）对自然生态体系稳定性的影响</w:t>
      </w:r>
      <w:r w:rsidRPr="00092862">
        <w:rPr>
          <w:rFonts w:ascii="Times New Roman" w:eastAsia="宋体" w:hAnsi="Times New Roman" w:cs="Times New Roman"/>
          <w:b/>
          <w:bCs/>
          <w:color w:val="000000" w:themeColor="text1"/>
          <w:kern w:val="0"/>
          <w:sz w:val="24"/>
          <w:szCs w:val="24"/>
        </w:rPr>
        <w:t>预测</w:t>
      </w:r>
    </w:p>
    <w:p w14:paraId="2B10A9C6" w14:textId="77777777" w:rsidR="00A364AF" w:rsidRPr="00092862" w:rsidRDefault="00A364AF" w:rsidP="00507027">
      <w:pPr>
        <w:spacing w:line="480" w:lineRule="exact"/>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恢复稳定性影响分析</w:t>
      </w:r>
    </w:p>
    <w:p w14:paraId="394DD198" w14:textId="77777777" w:rsidR="00A364AF" w:rsidRPr="00092862" w:rsidRDefault="00A364AF" w:rsidP="00507027">
      <w:pPr>
        <w:spacing w:line="480" w:lineRule="exact"/>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退役后，随着设施拆除、植被恢复措施的实施及植被自然演替更新等，将会使项目占地区生态环境质量得到较大改善，植被会朝着正向演替方向发展，逐步恢复景观稳定性。</w:t>
      </w:r>
    </w:p>
    <w:p w14:paraId="796E84B0" w14:textId="77777777" w:rsidR="00A364AF" w:rsidRPr="00092862" w:rsidRDefault="00A364AF" w:rsidP="00507027">
      <w:pPr>
        <w:spacing w:line="480" w:lineRule="exact"/>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阻抗稳定性影响分析</w:t>
      </w:r>
    </w:p>
    <w:p w14:paraId="1FE5574A" w14:textId="77777777" w:rsidR="00A364AF" w:rsidRPr="00092862" w:rsidRDefault="00A364AF" w:rsidP="00507027">
      <w:pPr>
        <w:spacing w:line="480" w:lineRule="exact"/>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占地损失的自然物种野桐、盐肤木、马桑、黄荆、火棘、芒、白茅、蕨、芒萁等群系均属广布种，对物种种类没有影响，仅损失部分生物量。在景观异质性影响方面，本评价范围的草地拼块在项目实施后所发生的变化主要是拼块面积的变化，而在拼块数量（密度）、拼块频率等要素特征上发生变化较小，随着设施拆除、植被恢复措施的实施及植被自然演替更新等，评价范围内森林植被还将是当地的模地，模地不会动摇，景观的异质性不会发生质的变化。</w:t>
      </w:r>
    </w:p>
    <w:p w14:paraId="3C527565" w14:textId="77777777" w:rsidR="00A364AF" w:rsidRPr="00092862" w:rsidRDefault="00A364AF" w:rsidP="00507027">
      <w:pPr>
        <w:spacing w:line="480" w:lineRule="exact"/>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）景观生态体系质量影响</w:t>
      </w:r>
      <w:r w:rsidRPr="00092862">
        <w:rPr>
          <w:rFonts w:ascii="Times New Roman" w:eastAsia="宋体" w:hAnsi="Times New Roman" w:cs="Times New Roman"/>
          <w:b/>
          <w:bCs/>
          <w:color w:val="000000" w:themeColor="text1"/>
          <w:kern w:val="0"/>
          <w:sz w:val="24"/>
          <w:szCs w:val="24"/>
        </w:rPr>
        <w:t>预测</w:t>
      </w:r>
    </w:p>
    <w:p w14:paraId="056BF4BA" w14:textId="426E706B" w:rsidR="00A63D11" w:rsidRPr="00092862" w:rsidRDefault="00A364AF" w:rsidP="00507027">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根据表</w:t>
      </w:r>
      <w:r w:rsidRPr="00092862">
        <w:rPr>
          <w:rFonts w:ascii="Times New Roman" w:eastAsia="宋体" w:hAnsi="Times New Roman" w:cs="Times New Roman"/>
          <w:color w:val="000000" w:themeColor="text1"/>
          <w:sz w:val="24"/>
        </w:rPr>
        <w:t>4.3-15</w:t>
      </w:r>
      <w:r w:rsidRPr="00092862">
        <w:rPr>
          <w:rFonts w:ascii="Times New Roman" w:eastAsia="宋体" w:hAnsi="Times New Roman" w:cs="Times New Roman"/>
          <w:color w:val="000000" w:themeColor="text1"/>
          <w:sz w:val="24"/>
        </w:rPr>
        <w:t>，森林拼块的景观优势度远高于其他拼块，属模地。因此在评价范围内占有十分重要的地位。项目实施后，对当地的自然系统造成一定损害，受损后的景观体系情况，如下表</w:t>
      </w:r>
      <w:r w:rsidR="00A63D11" w:rsidRPr="00092862">
        <w:rPr>
          <w:rFonts w:ascii="Times New Roman" w:hAnsi="Times New Roman" w:cs="Times New Roman"/>
          <w:color w:val="000000" w:themeColor="text1"/>
          <w:sz w:val="24"/>
        </w:rPr>
        <w:t>。</w:t>
      </w:r>
    </w:p>
    <w:p w14:paraId="71CEE66E" w14:textId="0D3B5072" w:rsidR="00A63D11" w:rsidRPr="00092862" w:rsidRDefault="00A63D11" w:rsidP="00507027">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5.1-2 </w:t>
      </w:r>
      <w:r w:rsidR="002C77F6"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评价范围自然体系受损前后的各类拼块的优势度值</w:t>
      </w:r>
    </w:p>
    <w:tbl>
      <w:tblPr>
        <w:tblW w:w="5000" w:type="pct"/>
        <w:jc w:val="center"/>
        <w:tblCellMar>
          <w:top w:w="15" w:type="dxa"/>
          <w:left w:w="15" w:type="dxa"/>
          <w:bottom w:w="15" w:type="dxa"/>
          <w:right w:w="15" w:type="dxa"/>
        </w:tblCellMar>
        <w:tblLook w:val="0000" w:firstRow="0" w:lastRow="0" w:firstColumn="0" w:lastColumn="0" w:noHBand="0" w:noVBand="0"/>
      </w:tblPr>
      <w:tblGrid>
        <w:gridCol w:w="1178"/>
        <w:gridCol w:w="1102"/>
        <w:gridCol w:w="1159"/>
        <w:gridCol w:w="1411"/>
        <w:gridCol w:w="1147"/>
        <w:gridCol w:w="1154"/>
        <w:gridCol w:w="1149"/>
      </w:tblGrid>
      <w:tr w:rsidR="00697429" w:rsidRPr="00092862" w14:paraId="7B02B9A5" w14:textId="77777777" w:rsidTr="00A364AF">
        <w:trPr>
          <w:trHeight w:hRule="exact" w:val="645"/>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237F353D"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拼块类型</w:t>
            </w:r>
          </w:p>
        </w:tc>
        <w:tc>
          <w:tcPr>
            <w:tcW w:w="664" w:type="pct"/>
            <w:tcBorders>
              <w:top w:val="single" w:sz="4" w:space="0" w:color="000000"/>
              <w:left w:val="single" w:sz="4" w:space="0" w:color="000000"/>
              <w:bottom w:val="single" w:sz="4" w:space="0" w:color="000000"/>
              <w:right w:val="single" w:sz="4" w:space="0" w:color="000000"/>
            </w:tcBorders>
            <w:vAlign w:val="center"/>
          </w:tcPr>
          <w:p w14:paraId="622A24FF"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密度</w:t>
            </w:r>
            <w:r w:rsidRPr="00092862">
              <w:rPr>
                <w:rFonts w:ascii="Times New Roman" w:eastAsia="宋体" w:hAnsi="Times New Roman" w:cs="Times New Roman"/>
                <w:color w:val="000000" w:themeColor="text1"/>
                <w:kern w:val="0"/>
                <w:szCs w:val="21"/>
                <w:lang w:bidi="ar"/>
              </w:rPr>
              <w:t>Rd</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698" w:type="pct"/>
            <w:tcBorders>
              <w:top w:val="single" w:sz="4" w:space="0" w:color="000000"/>
              <w:left w:val="single" w:sz="4" w:space="0" w:color="000000"/>
              <w:bottom w:val="single" w:sz="4" w:space="0" w:color="000000"/>
              <w:right w:val="single" w:sz="4" w:space="0" w:color="000000"/>
            </w:tcBorders>
            <w:vAlign w:val="center"/>
          </w:tcPr>
          <w:p w14:paraId="05DA418D"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频率</w:t>
            </w:r>
            <w:r w:rsidRPr="00092862">
              <w:rPr>
                <w:rFonts w:ascii="Times New Roman" w:eastAsia="宋体" w:hAnsi="Times New Roman" w:cs="Times New Roman"/>
                <w:color w:val="000000" w:themeColor="text1"/>
                <w:kern w:val="0"/>
                <w:szCs w:val="21"/>
                <w:lang w:bidi="ar"/>
              </w:rPr>
              <w:t>Rf</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850" w:type="pct"/>
            <w:tcBorders>
              <w:top w:val="single" w:sz="4" w:space="0" w:color="000000"/>
              <w:left w:val="single" w:sz="4" w:space="0" w:color="000000"/>
              <w:bottom w:val="single" w:sz="4" w:space="0" w:color="000000"/>
              <w:right w:val="single" w:sz="4" w:space="0" w:color="000000"/>
            </w:tcBorders>
            <w:vAlign w:val="center"/>
          </w:tcPr>
          <w:p w14:paraId="21117BD1"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景观比例</w:t>
            </w:r>
            <w:r w:rsidRPr="00092862">
              <w:rPr>
                <w:rFonts w:ascii="Times New Roman" w:eastAsia="宋体" w:hAnsi="Times New Roman" w:cs="Times New Roman"/>
                <w:color w:val="000000" w:themeColor="text1"/>
                <w:kern w:val="0"/>
                <w:szCs w:val="21"/>
                <w:lang w:bidi="ar"/>
              </w:rPr>
              <w:t>Lp</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691" w:type="pct"/>
            <w:tcBorders>
              <w:top w:val="single" w:sz="4" w:space="0" w:color="000000"/>
              <w:left w:val="single" w:sz="4" w:space="0" w:color="000000"/>
              <w:bottom w:val="single" w:sz="4" w:space="0" w:color="000000"/>
              <w:right w:val="single" w:sz="4" w:space="0" w:color="000000"/>
            </w:tcBorders>
            <w:vAlign w:val="center"/>
          </w:tcPr>
          <w:p w14:paraId="36C7C03E" w14:textId="77777777" w:rsidR="00A364AF" w:rsidRPr="00092862" w:rsidRDefault="00A364AF" w:rsidP="00507027">
            <w:pPr>
              <w:adjustRightInd w:val="0"/>
              <w:jc w:val="center"/>
              <w:textAlignment w:val="baseline"/>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szCs w:val="21"/>
              </w:rPr>
              <w:t>优势度</w:t>
            </w:r>
            <w:r w:rsidRPr="00092862">
              <w:rPr>
                <w:rFonts w:ascii="Times New Roman" w:eastAsia="宋体" w:hAnsi="Times New Roman" w:cs="Times New Roman"/>
                <w:color w:val="000000" w:themeColor="text1"/>
                <w:szCs w:val="21"/>
              </w:rPr>
              <w:t>Do</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2826D0A8" w14:textId="77777777" w:rsidR="00A364AF" w:rsidRPr="00092862" w:rsidRDefault="00A364AF" w:rsidP="00507027">
            <w:pPr>
              <w:adjustRightInd w:val="0"/>
              <w:jc w:val="center"/>
              <w:textAlignment w:val="baseline"/>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szCs w:val="21"/>
              </w:rPr>
              <w:t>原有优势度</w:t>
            </w:r>
            <w:r w:rsidRPr="00092862">
              <w:rPr>
                <w:rFonts w:ascii="Times New Roman" w:eastAsia="宋体" w:hAnsi="Times New Roman" w:cs="Times New Roman"/>
                <w:color w:val="000000" w:themeColor="text1"/>
                <w:szCs w:val="21"/>
              </w:rPr>
              <w:t>Do</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c>
          <w:tcPr>
            <w:tcW w:w="692" w:type="pct"/>
            <w:tcBorders>
              <w:top w:val="single" w:sz="4" w:space="0" w:color="000000"/>
              <w:left w:val="single" w:sz="4" w:space="0" w:color="000000"/>
              <w:bottom w:val="single" w:sz="4" w:space="0" w:color="000000"/>
              <w:right w:val="single" w:sz="4" w:space="0" w:color="000000"/>
            </w:tcBorders>
            <w:vAlign w:val="center"/>
          </w:tcPr>
          <w:p w14:paraId="741F9778" w14:textId="77777777" w:rsidR="00A364AF" w:rsidRPr="00092862" w:rsidRDefault="00A364AF" w:rsidP="00507027">
            <w:pPr>
              <w:adjustRightInd w:val="0"/>
              <w:jc w:val="center"/>
              <w:textAlignment w:val="baseline"/>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szCs w:val="21"/>
              </w:rPr>
              <w:t>变幅</w:t>
            </w:r>
            <w:r w:rsidRPr="00092862">
              <w:rPr>
                <w:rFonts w:ascii="Times New Roman" w:eastAsia="宋体" w:hAnsi="Times New Roman" w:cs="Times New Roman"/>
                <w:color w:val="000000" w:themeColor="text1"/>
                <w:szCs w:val="21"/>
              </w:rPr>
              <w:t>Do</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r w:rsidRPr="00092862">
              <w:rPr>
                <w:rFonts w:ascii="Times New Roman" w:eastAsia="宋体" w:hAnsi="Times New Roman" w:cs="Times New Roman"/>
                <w:color w:val="000000" w:themeColor="text1"/>
                <w:kern w:val="0"/>
                <w:szCs w:val="21"/>
                <w:lang w:bidi="ar"/>
              </w:rPr>
              <w:t>）</w:t>
            </w:r>
          </w:p>
        </w:tc>
      </w:tr>
      <w:tr w:rsidR="00697429" w:rsidRPr="00092862" w14:paraId="1D06E55E" w14:textId="77777777" w:rsidTr="00A364AF">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3298F43D"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森林</w:t>
            </w:r>
          </w:p>
        </w:tc>
        <w:tc>
          <w:tcPr>
            <w:tcW w:w="664" w:type="pct"/>
            <w:tcBorders>
              <w:top w:val="single" w:sz="4" w:space="0" w:color="000000"/>
              <w:left w:val="single" w:sz="4" w:space="0" w:color="000000"/>
              <w:bottom w:val="single" w:sz="4" w:space="0" w:color="000000"/>
              <w:right w:val="single" w:sz="4" w:space="0" w:color="000000"/>
            </w:tcBorders>
            <w:vAlign w:val="center"/>
          </w:tcPr>
          <w:p w14:paraId="30DEA765"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75.65 </w:t>
            </w:r>
          </w:p>
        </w:tc>
        <w:tc>
          <w:tcPr>
            <w:tcW w:w="698" w:type="pct"/>
            <w:tcBorders>
              <w:top w:val="single" w:sz="4" w:space="0" w:color="000000"/>
              <w:left w:val="single" w:sz="4" w:space="0" w:color="000000"/>
              <w:bottom w:val="single" w:sz="4" w:space="0" w:color="000000"/>
              <w:right w:val="single" w:sz="4" w:space="0" w:color="000000"/>
            </w:tcBorders>
            <w:vAlign w:val="center"/>
          </w:tcPr>
          <w:p w14:paraId="68C8A25C"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86.37 </w:t>
            </w:r>
          </w:p>
        </w:tc>
        <w:tc>
          <w:tcPr>
            <w:tcW w:w="850" w:type="pct"/>
            <w:tcBorders>
              <w:top w:val="single" w:sz="4" w:space="0" w:color="000000"/>
              <w:left w:val="single" w:sz="4" w:space="0" w:color="000000"/>
              <w:bottom w:val="single" w:sz="4" w:space="0" w:color="000000"/>
              <w:right w:val="single" w:sz="4" w:space="0" w:color="000000"/>
            </w:tcBorders>
            <w:vAlign w:val="center"/>
          </w:tcPr>
          <w:p w14:paraId="74098700"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83.24 </w:t>
            </w:r>
          </w:p>
        </w:tc>
        <w:tc>
          <w:tcPr>
            <w:tcW w:w="691" w:type="pct"/>
            <w:tcBorders>
              <w:top w:val="single" w:sz="4" w:space="0" w:color="000000"/>
              <w:left w:val="single" w:sz="4" w:space="0" w:color="000000"/>
              <w:bottom w:val="single" w:sz="4" w:space="0" w:color="000000"/>
              <w:right w:val="single" w:sz="4" w:space="0" w:color="000000"/>
            </w:tcBorders>
            <w:vAlign w:val="center"/>
          </w:tcPr>
          <w:p w14:paraId="2C8CF433"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82.13 </w:t>
            </w:r>
          </w:p>
        </w:tc>
        <w:tc>
          <w:tcPr>
            <w:tcW w:w="695" w:type="pct"/>
            <w:tcBorders>
              <w:top w:val="single" w:sz="4" w:space="0" w:color="000000"/>
              <w:left w:val="single" w:sz="4" w:space="0" w:color="000000"/>
              <w:bottom w:val="single" w:sz="4" w:space="0" w:color="000000"/>
              <w:right w:val="single" w:sz="4" w:space="0" w:color="000000"/>
            </w:tcBorders>
            <w:vAlign w:val="center"/>
          </w:tcPr>
          <w:p w14:paraId="36812344"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82.13</w:t>
            </w:r>
          </w:p>
        </w:tc>
        <w:tc>
          <w:tcPr>
            <w:tcW w:w="692" w:type="pct"/>
            <w:tcBorders>
              <w:top w:val="single" w:sz="4" w:space="0" w:color="000000"/>
              <w:left w:val="single" w:sz="4" w:space="0" w:color="000000"/>
              <w:bottom w:val="single" w:sz="4" w:space="0" w:color="000000"/>
              <w:right w:val="single" w:sz="4" w:space="0" w:color="000000"/>
            </w:tcBorders>
            <w:vAlign w:val="center"/>
          </w:tcPr>
          <w:p w14:paraId="1332C045"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0.00 </w:t>
            </w:r>
          </w:p>
        </w:tc>
      </w:tr>
      <w:tr w:rsidR="00697429" w:rsidRPr="00092862" w14:paraId="3B74A956" w14:textId="77777777" w:rsidTr="00A364AF">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2C9A19DF"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灌丛</w:t>
            </w:r>
          </w:p>
        </w:tc>
        <w:tc>
          <w:tcPr>
            <w:tcW w:w="664" w:type="pct"/>
            <w:tcBorders>
              <w:top w:val="single" w:sz="4" w:space="0" w:color="000000"/>
              <w:left w:val="single" w:sz="4" w:space="0" w:color="000000"/>
              <w:bottom w:val="single" w:sz="4" w:space="0" w:color="000000"/>
              <w:right w:val="single" w:sz="4" w:space="0" w:color="000000"/>
            </w:tcBorders>
            <w:vAlign w:val="center"/>
          </w:tcPr>
          <w:p w14:paraId="2EDF47DF"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3.21 </w:t>
            </w:r>
          </w:p>
        </w:tc>
        <w:tc>
          <w:tcPr>
            <w:tcW w:w="698" w:type="pct"/>
            <w:tcBorders>
              <w:top w:val="single" w:sz="4" w:space="0" w:color="000000"/>
              <w:left w:val="single" w:sz="4" w:space="0" w:color="000000"/>
              <w:bottom w:val="single" w:sz="4" w:space="0" w:color="000000"/>
              <w:right w:val="single" w:sz="4" w:space="0" w:color="000000"/>
            </w:tcBorders>
            <w:vAlign w:val="center"/>
          </w:tcPr>
          <w:p w14:paraId="46D4F0E8"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2.66 </w:t>
            </w:r>
          </w:p>
        </w:tc>
        <w:tc>
          <w:tcPr>
            <w:tcW w:w="850" w:type="pct"/>
            <w:tcBorders>
              <w:top w:val="single" w:sz="4" w:space="0" w:color="000000"/>
              <w:left w:val="single" w:sz="4" w:space="0" w:color="000000"/>
              <w:bottom w:val="single" w:sz="4" w:space="0" w:color="000000"/>
              <w:right w:val="single" w:sz="4" w:space="0" w:color="000000"/>
            </w:tcBorders>
            <w:vAlign w:val="center"/>
          </w:tcPr>
          <w:p w14:paraId="722AC547"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2.14 </w:t>
            </w:r>
          </w:p>
        </w:tc>
        <w:tc>
          <w:tcPr>
            <w:tcW w:w="691" w:type="pct"/>
            <w:tcBorders>
              <w:top w:val="single" w:sz="4" w:space="0" w:color="000000"/>
              <w:left w:val="single" w:sz="4" w:space="0" w:color="000000"/>
              <w:bottom w:val="single" w:sz="4" w:space="0" w:color="000000"/>
              <w:right w:val="single" w:sz="4" w:space="0" w:color="000000"/>
            </w:tcBorders>
            <w:vAlign w:val="center"/>
          </w:tcPr>
          <w:p w14:paraId="6DDF1C31"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2.54 </w:t>
            </w:r>
          </w:p>
        </w:tc>
        <w:tc>
          <w:tcPr>
            <w:tcW w:w="695" w:type="pct"/>
            <w:tcBorders>
              <w:top w:val="single" w:sz="4" w:space="0" w:color="000000"/>
              <w:left w:val="single" w:sz="4" w:space="0" w:color="000000"/>
              <w:bottom w:val="single" w:sz="4" w:space="0" w:color="000000"/>
              <w:right w:val="single" w:sz="4" w:space="0" w:color="000000"/>
            </w:tcBorders>
            <w:vAlign w:val="center"/>
          </w:tcPr>
          <w:p w14:paraId="2349771E"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2.56</w:t>
            </w:r>
          </w:p>
        </w:tc>
        <w:tc>
          <w:tcPr>
            <w:tcW w:w="692" w:type="pct"/>
            <w:tcBorders>
              <w:top w:val="single" w:sz="4" w:space="0" w:color="000000"/>
              <w:left w:val="single" w:sz="4" w:space="0" w:color="000000"/>
              <w:bottom w:val="single" w:sz="4" w:space="0" w:color="000000"/>
              <w:right w:val="single" w:sz="4" w:space="0" w:color="000000"/>
            </w:tcBorders>
            <w:vAlign w:val="center"/>
          </w:tcPr>
          <w:p w14:paraId="546B825A"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-0.02 </w:t>
            </w:r>
          </w:p>
        </w:tc>
      </w:tr>
      <w:tr w:rsidR="00697429" w:rsidRPr="00092862" w14:paraId="030B61AB" w14:textId="77777777" w:rsidTr="00A364AF">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05911EA3"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灌草丛</w:t>
            </w:r>
          </w:p>
        </w:tc>
        <w:tc>
          <w:tcPr>
            <w:tcW w:w="664" w:type="pct"/>
            <w:tcBorders>
              <w:top w:val="single" w:sz="4" w:space="0" w:color="000000"/>
              <w:left w:val="single" w:sz="4" w:space="0" w:color="000000"/>
              <w:bottom w:val="single" w:sz="4" w:space="0" w:color="000000"/>
              <w:right w:val="single" w:sz="4" w:space="0" w:color="000000"/>
            </w:tcBorders>
            <w:vAlign w:val="center"/>
          </w:tcPr>
          <w:p w14:paraId="2B511740"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1.47 </w:t>
            </w:r>
          </w:p>
        </w:tc>
        <w:tc>
          <w:tcPr>
            <w:tcW w:w="698" w:type="pct"/>
            <w:tcBorders>
              <w:top w:val="single" w:sz="4" w:space="0" w:color="000000"/>
              <w:left w:val="single" w:sz="4" w:space="0" w:color="000000"/>
              <w:bottom w:val="single" w:sz="4" w:space="0" w:color="000000"/>
              <w:right w:val="single" w:sz="4" w:space="0" w:color="000000"/>
            </w:tcBorders>
            <w:vAlign w:val="center"/>
          </w:tcPr>
          <w:p w14:paraId="60F5C964"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0.92 </w:t>
            </w:r>
          </w:p>
        </w:tc>
        <w:tc>
          <w:tcPr>
            <w:tcW w:w="850" w:type="pct"/>
            <w:tcBorders>
              <w:top w:val="single" w:sz="4" w:space="0" w:color="000000"/>
              <w:left w:val="single" w:sz="4" w:space="0" w:color="000000"/>
              <w:bottom w:val="single" w:sz="4" w:space="0" w:color="000000"/>
              <w:right w:val="single" w:sz="4" w:space="0" w:color="000000"/>
            </w:tcBorders>
            <w:vAlign w:val="center"/>
          </w:tcPr>
          <w:p w14:paraId="503BE4AF"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0.82 </w:t>
            </w:r>
          </w:p>
        </w:tc>
        <w:tc>
          <w:tcPr>
            <w:tcW w:w="691" w:type="pct"/>
            <w:tcBorders>
              <w:top w:val="single" w:sz="4" w:space="0" w:color="000000"/>
              <w:left w:val="single" w:sz="4" w:space="0" w:color="000000"/>
              <w:bottom w:val="single" w:sz="4" w:space="0" w:color="000000"/>
              <w:right w:val="single" w:sz="4" w:space="0" w:color="000000"/>
            </w:tcBorders>
            <w:vAlign w:val="center"/>
          </w:tcPr>
          <w:p w14:paraId="24C0E1DF"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1.01 </w:t>
            </w:r>
          </w:p>
        </w:tc>
        <w:tc>
          <w:tcPr>
            <w:tcW w:w="695" w:type="pct"/>
            <w:tcBorders>
              <w:top w:val="single" w:sz="4" w:space="0" w:color="000000"/>
              <w:left w:val="single" w:sz="4" w:space="0" w:color="000000"/>
              <w:bottom w:val="single" w:sz="4" w:space="0" w:color="000000"/>
              <w:right w:val="single" w:sz="4" w:space="0" w:color="000000"/>
            </w:tcBorders>
            <w:vAlign w:val="center"/>
          </w:tcPr>
          <w:p w14:paraId="16A5E8C1"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1.06</w:t>
            </w:r>
          </w:p>
        </w:tc>
        <w:tc>
          <w:tcPr>
            <w:tcW w:w="692" w:type="pct"/>
            <w:tcBorders>
              <w:top w:val="single" w:sz="4" w:space="0" w:color="000000"/>
              <w:left w:val="single" w:sz="4" w:space="0" w:color="000000"/>
              <w:bottom w:val="single" w:sz="4" w:space="0" w:color="000000"/>
              <w:right w:val="single" w:sz="4" w:space="0" w:color="000000"/>
            </w:tcBorders>
            <w:vAlign w:val="center"/>
          </w:tcPr>
          <w:p w14:paraId="75DEE530"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-0.05 </w:t>
            </w:r>
          </w:p>
        </w:tc>
      </w:tr>
      <w:tr w:rsidR="00697429" w:rsidRPr="00092862" w14:paraId="380ED290" w14:textId="77777777" w:rsidTr="00A364AF">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66AEA114" w14:textId="77777777" w:rsidR="00A364AF" w:rsidRPr="00092862" w:rsidRDefault="00A364AF" w:rsidP="00507027">
            <w:pPr>
              <w:widowControl/>
              <w:jc w:val="center"/>
              <w:textAlignment w:val="bottom"/>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kern w:val="0"/>
                <w:szCs w:val="21"/>
                <w:lang w:bidi="ar"/>
              </w:rPr>
              <w:t>耕地</w:t>
            </w:r>
          </w:p>
        </w:tc>
        <w:tc>
          <w:tcPr>
            <w:tcW w:w="664" w:type="pct"/>
            <w:tcBorders>
              <w:top w:val="single" w:sz="4" w:space="0" w:color="000000"/>
              <w:left w:val="single" w:sz="4" w:space="0" w:color="000000"/>
              <w:bottom w:val="single" w:sz="4" w:space="0" w:color="000000"/>
              <w:right w:val="single" w:sz="4" w:space="0" w:color="000000"/>
            </w:tcBorders>
            <w:vAlign w:val="center"/>
          </w:tcPr>
          <w:p w14:paraId="546672CE"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11.19 </w:t>
            </w:r>
          </w:p>
        </w:tc>
        <w:tc>
          <w:tcPr>
            <w:tcW w:w="698" w:type="pct"/>
            <w:tcBorders>
              <w:top w:val="single" w:sz="4" w:space="0" w:color="000000"/>
              <w:left w:val="single" w:sz="4" w:space="0" w:color="000000"/>
              <w:bottom w:val="single" w:sz="4" w:space="0" w:color="000000"/>
              <w:right w:val="single" w:sz="4" w:space="0" w:color="000000"/>
            </w:tcBorders>
            <w:vAlign w:val="center"/>
          </w:tcPr>
          <w:p w14:paraId="794F20F3"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12.44 </w:t>
            </w:r>
          </w:p>
        </w:tc>
        <w:tc>
          <w:tcPr>
            <w:tcW w:w="850" w:type="pct"/>
            <w:tcBorders>
              <w:top w:val="single" w:sz="4" w:space="0" w:color="000000"/>
              <w:left w:val="single" w:sz="4" w:space="0" w:color="000000"/>
              <w:bottom w:val="single" w:sz="4" w:space="0" w:color="000000"/>
              <w:right w:val="single" w:sz="4" w:space="0" w:color="000000"/>
            </w:tcBorders>
            <w:vAlign w:val="center"/>
          </w:tcPr>
          <w:p w14:paraId="6BAFFB7E"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10.87 </w:t>
            </w:r>
          </w:p>
        </w:tc>
        <w:tc>
          <w:tcPr>
            <w:tcW w:w="691" w:type="pct"/>
            <w:tcBorders>
              <w:top w:val="single" w:sz="4" w:space="0" w:color="000000"/>
              <w:left w:val="single" w:sz="4" w:space="0" w:color="000000"/>
              <w:bottom w:val="single" w:sz="4" w:space="0" w:color="000000"/>
              <w:right w:val="single" w:sz="4" w:space="0" w:color="000000"/>
            </w:tcBorders>
            <w:vAlign w:val="center"/>
          </w:tcPr>
          <w:p w14:paraId="594FFC4B"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11.34 </w:t>
            </w:r>
          </w:p>
        </w:tc>
        <w:tc>
          <w:tcPr>
            <w:tcW w:w="695" w:type="pct"/>
            <w:tcBorders>
              <w:top w:val="single" w:sz="4" w:space="0" w:color="000000"/>
              <w:left w:val="single" w:sz="4" w:space="0" w:color="000000"/>
              <w:bottom w:val="single" w:sz="4" w:space="0" w:color="000000"/>
              <w:right w:val="single" w:sz="4" w:space="0" w:color="000000"/>
            </w:tcBorders>
            <w:vAlign w:val="center"/>
          </w:tcPr>
          <w:p w14:paraId="6C8EBC42"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11.46</w:t>
            </w:r>
          </w:p>
        </w:tc>
        <w:tc>
          <w:tcPr>
            <w:tcW w:w="692" w:type="pct"/>
            <w:tcBorders>
              <w:top w:val="single" w:sz="4" w:space="0" w:color="000000"/>
              <w:left w:val="single" w:sz="4" w:space="0" w:color="000000"/>
              <w:bottom w:val="single" w:sz="4" w:space="0" w:color="000000"/>
              <w:right w:val="single" w:sz="4" w:space="0" w:color="000000"/>
            </w:tcBorders>
            <w:vAlign w:val="center"/>
          </w:tcPr>
          <w:p w14:paraId="3AD92936"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-0.12 </w:t>
            </w:r>
          </w:p>
        </w:tc>
      </w:tr>
      <w:tr w:rsidR="00697429" w:rsidRPr="00092862" w14:paraId="7B238E63" w14:textId="77777777" w:rsidTr="00A364AF">
        <w:trPr>
          <w:trHeight w:hRule="exact" w:val="340"/>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2BB09EE7"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河流水面</w:t>
            </w:r>
          </w:p>
        </w:tc>
        <w:tc>
          <w:tcPr>
            <w:tcW w:w="664" w:type="pct"/>
            <w:tcBorders>
              <w:top w:val="single" w:sz="4" w:space="0" w:color="000000"/>
              <w:left w:val="single" w:sz="4" w:space="0" w:color="000000"/>
              <w:bottom w:val="single" w:sz="4" w:space="0" w:color="000000"/>
              <w:right w:val="single" w:sz="4" w:space="0" w:color="000000"/>
            </w:tcBorders>
            <w:vAlign w:val="center"/>
          </w:tcPr>
          <w:p w14:paraId="31CCCD6C"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0.12 </w:t>
            </w:r>
          </w:p>
        </w:tc>
        <w:tc>
          <w:tcPr>
            <w:tcW w:w="698" w:type="pct"/>
            <w:tcBorders>
              <w:top w:val="single" w:sz="4" w:space="0" w:color="000000"/>
              <w:left w:val="single" w:sz="4" w:space="0" w:color="000000"/>
              <w:bottom w:val="single" w:sz="4" w:space="0" w:color="000000"/>
              <w:right w:val="single" w:sz="4" w:space="0" w:color="000000"/>
            </w:tcBorders>
            <w:vAlign w:val="center"/>
          </w:tcPr>
          <w:p w14:paraId="18F18958"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0.12 </w:t>
            </w:r>
          </w:p>
        </w:tc>
        <w:tc>
          <w:tcPr>
            <w:tcW w:w="850" w:type="pct"/>
            <w:tcBorders>
              <w:top w:val="single" w:sz="4" w:space="0" w:color="000000"/>
              <w:left w:val="single" w:sz="4" w:space="0" w:color="000000"/>
              <w:bottom w:val="single" w:sz="4" w:space="0" w:color="000000"/>
              <w:right w:val="single" w:sz="4" w:space="0" w:color="000000"/>
            </w:tcBorders>
            <w:vAlign w:val="center"/>
          </w:tcPr>
          <w:p w14:paraId="052EB809"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0.10 </w:t>
            </w:r>
          </w:p>
        </w:tc>
        <w:tc>
          <w:tcPr>
            <w:tcW w:w="691" w:type="pct"/>
            <w:tcBorders>
              <w:top w:val="single" w:sz="4" w:space="0" w:color="000000"/>
              <w:left w:val="single" w:sz="4" w:space="0" w:color="000000"/>
              <w:bottom w:val="single" w:sz="4" w:space="0" w:color="000000"/>
              <w:right w:val="single" w:sz="4" w:space="0" w:color="000000"/>
            </w:tcBorders>
            <w:vAlign w:val="center"/>
          </w:tcPr>
          <w:p w14:paraId="6C56D42F"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0.11 </w:t>
            </w:r>
          </w:p>
        </w:tc>
        <w:tc>
          <w:tcPr>
            <w:tcW w:w="695" w:type="pct"/>
            <w:tcBorders>
              <w:top w:val="single" w:sz="4" w:space="0" w:color="000000"/>
              <w:left w:val="single" w:sz="4" w:space="0" w:color="000000"/>
              <w:bottom w:val="single" w:sz="4" w:space="0" w:color="000000"/>
              <w:right w:val="single" w:sz="4" w:space="0" w:color="000000"/>
            </w:tcBorders>
            <w:vAlign w:val="center"/>
          </w:tcPr>
          <w:p w14:paraId="5A1701A3"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0.11</w:t>
            </w:r>
          </w:p>
        </w:tc>
        <w:tc>
          <w:tcPr>
            <w:tcW w:w="692" w:type="pct"/>
            <w:tcBorders>
              <w:top w:val="single" w:sz="4" w:space="0" w:color="000000"/>
              <w:left w:val="single" w:sz="4" w:space="0" w:color="000000"/>
              <w:bottom w:val="single" w:sz="4" w:space="0" w:color="000000"/>
              <w:right w:val="single" w:sz="4" w:space="0" w:color="000000"/>
            </w:tcBorders>
            <w:vAlign w:val="center"/>
          </w:tcPr>
          <w:p w14:paraId="3FA6C014"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0.00 </w:t>
            </w:r>
          </w:p>
        </w:tc>
      </w:tr>
      <w:tr w:rsidR="00697429" w:rsidRPr="00092862" w14:paraId="31019BDC" w14:textId="77777777" w:rsidTr="00A364AF">
        <w:trPr>
          <w:trHeight w:hRule="exact" w:val="657"/>
          <w:jc w:val="center"/>
        </w:trPr>
        <w:tc>
          <w:tcPr>
            <w:tcW w:w="710" w:type="pct"/>
            <w:tcBorders>
              <w:top w:val="single" w:sz="4" w:space="0" w:color="000000"/>
              <w:left w:val="single" w:sz="4" w:space="0" w:color="000000"/>
              <w:bottom w:val="single" w:sz="4" w:space="0" w:color="000000"/>
              <w:right w:val="single" w:sz="4" w:space="0" w:color="000000"/>
            </w:tcBorders>
            <w:vAlign w:val="center"/>
          </w:tcPr>
          <w:p w14:paraId="1E1A64FA"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人工生态系统</w:t>
            </w:r>
          </w:p>
        </w:tc>
        <w:tc>
          <w:tcPr>
            <w:tcW w:w="664" w:type="pct"/>
            <w:tcBorders>
              <w:top w:val="single" w:sz="4" w:space="0" w:color="000000"/>
              <w:left w:val="single" w:sz="4" w:space="0" w:color="000000"/>
              <w:bottom w:val="single" w:sz="4" w:space="0" w:color="000000"/>
              <w:right w:val="single" w:sz="4" w:space="0" w:color="000000"/>
            </w:tcBorders>
            <w:vAlign w:val="center"/>
          </w:tcPr>
          <w:p w14:paraId="75A08BC8"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8.36 </w:t>
            </w:r>
          </w:p>
        </w:tc>
        <w:tc>
          <w:tcPr>
            <w:tcW w:w="698" w:type="pct"/>
            <w:tcBorders>
              <w:top w:val="single" w:sz="4" w:space="0" w:color="000000"/>
              <w:left w:val="single" w:sz="4" w:space="0" w:color="000000"/>
              <w:bottom w:val="single" w:sz="4" w:space="0" w:color="000000"/>
              <w:right w:val="single" w:sz="4" w:space="0" w:color="000000"/>
            </w:tcBorders>
            <w:vAlign w:val="center"/>
          </w:tcPr>
          <w:p w14:paraId="2B1F6401"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2.99 </w:t>
            </w:r>
          </w:p>
        </w:tc>
        <w:tc>
          <w:tcPr>
            <w:tcW w:w="850" w:type="pct"/>
            <w:tcBorders>
              <w:top w:val="single" w:sz="4" w:space="0" w:color="000000"/>
              <w:left w:val="single" w:sz="4" w:space="0" w:color="000000"/>
              <w:bottom w:val="single" w:sz="4" w:space="0" w:color="000000"/>
              <w:right w:val="single" w:sz="4" w:space="0" w:color="000000"/>
            </w:tcBorders>
            <w:vAlign w:val="center"/>
          </w:tcPr>
          <w:p w14:paraId="6E4C4703"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2.83 </w:t>
            </w:r>
          </w:p>
        </w:tc>
        <w:tc>
          <w:tcPr>
            <w:tcW w:w="691" w:type="pct"/>
            <w:tcBorders>
              <w:top w:val="single" w:sz="4" w:space="0" w:color="000000"/>
              <w:left w:val="single" w:sz="4" w:space="0" w:color="000000"/>
              <w:bottom w:val="single" w:sz="4" w:space="0" w:color="000000"/>
              <w:right w:val="single" w:sz="4" w:space="0" w:color="000000"/>
            </w:tcBorders>
            <w:vAlign w:val="center"/>
          </w:tcPr>
          <w:p w14:paraId="7F4D3752"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4.25 </w:t>
            </w:r>
          </w:p>
        </w:tc>
        <w:tc>
          <w:tcPr>
            <w:tcW w:w="695" w:type="pct"/>
            <w:tcBorders>
              <w:top w:val="single" w:sz="4" w:space="0" w:color="000000"/>
              <w:left w:val="single" w:sz="4" w:space="0" w:color="000000"/>
              <w:bottom w:val="single" w:sz="4" w:space="0" w:color="000000"/>
              <w:right w:val="single" w:sz="4" w:space="0" w:color="000000"/>
            </w:tcBorders>
            <w:vAlign w:val="center"/>
          </w:tcPr>
          <w:p w14:paraId="50504118"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4.09</w:t>
            </w:r>
          </w:p>
        </w:tc>
        <w:tc>
          <w:tcPr>
            <w:tcW w:w="692" w:type="pct"/>
            <w:tcBorders>
              <w:top w:val="single" w:sz="4" w:space="0" w:color="000000"/>
              <w:left w:val="single" w:sz="4" w:space="0" w:color="000000"/>
              <w:bottom w:val="single" w:sz="4" w:space="0" w:color="000000"/>
              <w:right w:val="single" w:sz="4" w:space="0" w:color="000000"/>
            </w:tcBorders>
            <w:vAlign w:val="center"/>
          </w:tcPr>
          <w:p w14:paraId="31DE1CBF" w14:textId="77777777" w:rsidR="00A364AF" w:rsidRPr="00092862" w:rsidRDefault="00A364AF" w:rsidP="00507027">
            <w:pPr>
              <w:widowControl/>
              <w:jc w:val="center"/>
              <w:textAlignment w:val="bottom"/>
              <w:rPr>
                <w:rFonts w:ascii="Times New Roman" w:eastAsia="宋体" w:hAnsi="Times New Roman" w:cs="Times New Roman"/>
                <w:color w:val="000000" w:themeColor="text1"/>
                <w:kern w:val="0"/>
                <w:szCs w:val="21"/>
                <w:lang w:bidi="ar"/>
              </w:rPr>
            </w:pPr>
            <w:r w:rsidRPr="00092862">
              <w:rPr>
                <w:rFonts w:ascii="Times New Roman" w:eastAsia="宋体" w:hAnsi="Times New Roman" w:cs="Times New Roman"/>
                <w:color w:val="000000" w:themeColor="text1"/>
                <w:kern w:val="0"/>
                <w:szCs w:val="21"/>
                <w:lang w:bidi="ar"/>
              </w:rPr>
              <w:t xml:space="preserve">0.16 </w:t>
            </w:r>
          </w:p>
        </w:tc>
      </w:tr>
    </w:tbl>
    <w:p w14:paraId="1C47EB3E" w14:textId="77777777" w:rsidR="00A364AF"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由表</w:t>
      </w:r>
      <w:r w:rsidRPr="00092862">
        <w:rPr>
          <w:rFonts w:ascii="Times New Roman" w:eastAsia="宋体" w:hAnsi="Times New Roman" w:cs="Times New Roman"/>
          <w:color w:val="000000" w:themeColor="text1"/>
          <w:sz w:val="24"/>
          <w:szCs w:val="24"/>
        </w:rPr>
        <w:t>5.1-2</w:t>
      </w:r>
      <w:r w:rsidRPr="00092862">
        <w:rPr>
          <w:rFonts w:ascii="Times New Roman" w:eastAsia="宋体" w:hAnsi="Times New Roman" w:cs="Times New Roman"/>
          <w:color w:val="000000" w:themeColor="text1"/>
          <w:sz w:val="24"/>
          <w:szCs w:val="24"/>
        </w:rPr>
        <w:t>可以看出各拼块的优势度值变化较小，而人工生态系统拼块变幅是</w:t>
      </w:r>
      <w:r w:rsidRPr="00092862">
        <w:rPr>
          <w:rFonts w:ascii="Times New Roman" w:eastAsia="宋体" w:hAnsi="Times New Roman" w:cs="Times New Roman"/>
          <w:color w:val="000000" w:themeColor="text1"/>
          <w:sz w:val="24"/>
          <w:szCs w:val="24"/>
        </w:rPr>
        <w:t>0.16%</w:t>
      </w:r>
      <w:r w:rsidRPr="00092862">
        <w:rPr>
          <w:rFonts w:ascii="Times New Roman" w:eastAsia="宋体" w:hAnsi="Times New Roman" w:cs="Times New Roman"/>
          <w:color w:val="000000" w:themeColor="text1"/>
          <w:sz w:val="24"/>
          <w:szCs w:val="24"/>
        </w:rPr>
        <w:t>，灌丛拼块变幅为</w:t>
      </w:r>
      <w:r w:rsidRPr="00092862">
        <w:rPr>
          <w:rFonts w:ascii="Times New Roman" w:eastAsia="宋体" w:hAnsi="Times New Roman" w:cs="Times New Roman"/>
          <w:color w:val="000000" w:themeColor="text1"/>
          <w:sz w:val="24"/>
          <w:szCs w:val="24"/>
        </w:rPr>
        <w:t>-0.02%</w:t>
      </w:r>
      <w:r w:rsidRPr="00092862">
        <w:rPr>
          <w:rFonts w:ascii="Times New Roman" w:eastAsia="宋体" w:hAnsi="Times New Roman" w:cs="Times New Roman"/>
          <w:color w:val="000000" w:themeColor="text1"/>
          <w:sz w:val="24"/>
          <w:szCs w:val="24"/>
        </w:rPr>
        <w:t>，灌草丛拼块变幅为</w:t>
      </w:r>
      <w:r w:rsidRPr="00092862">
        <w:rPr>
          <w:rFonts w:ascii="Times New Roman" w:eastAsia="宋体" w:hAnsi="Times New Roman" w:cs="Times New Roman"/>
          <w:color w:val="000000" w:themeColor="text1"/>
          <w:sz w:val="24"/>
          <w:szCs w:val="24"/>
        </w:rPr>
        <w:t>-0.05%</w:t>
      </w:r>
      <w:r w:rsidRPr="00092862">
        <w:rPr>
          <w:rFonts w:ascii="Times New Roman" w:eastAsia="宋体" w:hAnsi="Times New Roman" w:cs="Times New Roman"/>
          <w:color w:val="000000" w:themeColor="text1"/>
          <w:sz w:val="24"/>
          <w:szCs w:val="24"/>
        </w:rPr>
        <w:t>，耕地拼块变幅为</w:t>
      </w:r>
      <w:r w:rsidRPr="00092862">
        <w:rPr>
          <w:rFonts w:ascii="Times New Roman" w:eastAsia="宋体" w:hAnsi="Times New Roman" w:cs="Times New Roman"/>
          <w:color w:val="000000" w:themeColor="text1"/>
          <w:sz w:val="24"/>
          <w:szCs w:val="24"/>
        </w:rPr>
        <w:t>-0.12%</w:t>
      </w:r>
      <w:r w:rsidRPr="00092862">
        <w:rPr>
          <w:rFonts w:ascii="Times New Roman" w:eastAsia="宋体" w:hAnsi="Times New Roman" w:cs="Times New Roman"/>
          <w:color w:val="000000" w:themeColor="text1"/>
          <w:sz w:val="24"/>
          <w:szCs w:val="24"/>
        </w:rPr>
        <w:t>，其他拼块则无变化。</w:t>
      </w:r>
    </w:p>
    <w:p w14:paraId="42A7ECC3" w14:textId="0E185C07" w:rsidR="00A63D11" w:rsidRPr="00092862" w:rsidRDefault="00A364AF" w:rsidP="00507027">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szCs w:val="24"/>
        </w:rPr>
        <w:lastRenderedPageBreak/>
        <w:t>森林拼块的景观优势度扔远高于其他拼块，属模地，生态环境不会发生质的变化</w:t>
      </w:r>
      <w:r w:rsidR="00A63D11" w:rsidRPr="00092862">
        <w:rPr>
          <w:rFonts w:ascii="Times New Roman" w:hAnsi="Times New Roman" w:cs="Times New Roman"/>
          <w:color w:val="000000" w:themeColor="text1"/>
          <w:sz w:val="24"/>
        </w:rPr>
        <w:t>。</w:t>
      </w:r>
    </w:p>
    <w:p w14:paraId="5EFE408E" w14:textId="77777777" w:rsidR="00A364AF" w:rsidRPr="00092862" w:rsidRDefault="00A364AF" w:rsidP="00507027">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）对自然景观协调性影响预测</w:t>
      </w:r>
    </w:p>
    <w:p w14:paraId="562F119C" w14:textId="5AFF73EE" w:rsidR="00A63D11" w:rsidRPr="00092862" w:rsidRDefault="00A364AF" w:rsidP="00507027">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项目施工在视觉上会对项目区产生一定的影响，占据一定的数据空间及景观节点，尤其是与周边绿色植被环境形成明显的视觉异质性；施工便道等线性工程会形成景观廊道，将不可避免的改变沿线传统的视觉环境。本项目施工对周边原本连续的自然景观环境形成切割，对其空间连续性造成一定的破坏。切割山坡、植被，使绿色的背景呈现出明显的人工印迹。建议在项目退役后及时拆除临时建筑设施，恢复植被，尽量采用以当地乡土灌草先锋物种种植为首选的临时植被恢复工程，增加与周围自然景观的协调性</w:t>
      </w:r>
      <w:r w:rsidR="00A63D11" w:rsidRPr="00092862">
        <w:rPr>
          <w:rFonts w:ascii="Times New Roman" w:hAnsi="Times New Roman" w:cs="Times New Roman"/>
          <w:color w:val="000000" w:themeColor="text1"/>
          <w:sz w:val="24"/>
        </w:rPr>
        <w:t>。</w:t>
      </w:r>
    </w:p>
    <w:p w14:paraId="7F692464" w14:textId="5BF1F7EA" w:rsidR="00A63D11" w:rsidRPr="00092862" w:rsidRDefault="00A63D11" w:rsidP="00507027">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5.1.1.4</w:t>
      </w:r>
      <w:r w:rsidRPr="00092862">
        <w:rPr>
          <w:rFonts w:ascii="Times New Roman" w:hAnsi="Times New Roman" w:cs="Times New Roman"/>
          <w:b/>
          <w:bCs/>
          <w:color w:val="000000" w:themeColor="text1"/>
          <w:sz w:val="24"/>
          <w:szCs w:val="24"/>
        </w:rPr>
        <w:t>对生态系统类型影响分析</w:t>
      </w:r>
    </w:p>
    <w:p w14:paraId="61D62503" w14:textId="77777777" w:rsidR="00A364AF" w:rsidRPr="00092862" w:rsidRDefault="00A364AF" w:rsidP="00A364AF">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根据项目《附图</w:t>
      </w:r>
      <w:r w:rsidRPr="00092862">
        <w:rPr>
          <w:rFonts w:ascii="Times New Roman" w:eastAsia="宋体" w:hAnsi="Times New Roman" w:cs="Times New Roman"/>
          <w:color w:val="000000" w:themeColor="text1"/>
          <w:sz w:val="24"/>
        </w:rPr>
        <w:t xml:space="preserve"> </w:t>
      </w:r>
      <w:r w:rsidRPr="00092862">
        <w:rPr>
          <w:rFonts w:ascii="Times New Roman" w:eastAsia="宋体" w:hAnsi="Times New Roman" w:cs="Times New Roman"/>
          <w:color w:val="000000" w:themeColor="text1"/>
          <w:sz w:val="24"/>
        </w:rPr>
        <w:t>生态系统类型图》，利用</w:t>
      </w:r>
      <w:r w:rsidRPr="00092862">
        <w:rPr>
          <w:rFonts w:ascii="Times New Roman" w:eastAsia="宋体" w:hAnsi="Times New Roman" w:cs="Times New Roman"/>
          <w:color w:val="000000" w:themeColor="text1"/>
          <w:sz w:val="24"/>
        </w:rPr>
        <w:t>GIS</w:t>
      </w:r>
      <w:r w:rsidRPr="00092862">
        <w:rPr>
          <w:rFonts w:ascii="Times New Roman" w:eastAsia="宋体" w:hAnsi="Times New Roman" w:cs="Times New Roman"/>
          <w:color w:val="000000" w:themeColor="text1"/>
          <w:sz w:val="24"/>
        </w:rPr>
        <w:t>软件，采用图形叠置分析可知，项目占用的生态系统类型主要为农田生态系统，面积为</w:t>
      </w:r>
      <w:r w:rsidRPr="00092862">
        <w:rPr>
          <w:rFonts w:ascii="Times New Roman" w:eastAsia="宋体" w:hAnsi="Times New Roman" w:cs="Times New Roman"/>
          <w:color w:val="000000" w:themeColor="text1"/>
          <w:sz w:val="24"/>
        </w:rPr>
        <w:t>1.52hm</w:t>
      </w:r>
      <w:r w:rsidRPr="00092862">
        <w:rPr>
          <w:rFonts w:ascii="Times New Roman" w:eastAsia="宋体" w:hAnsi="Times New Roman" w:cs="Times New Roman"/>
          <w:color w:val="000000" w:themeColor="text1"/>
          <w:sz w:val="24"/>
          <w:vertAlign w:val="superscript"/>
        </w:rPr>
        <w:t>2</w:t>
      </w:r>
      <w:r w:rsidRPr="00092862">
        <w:rPr>
          <w:rFonts w:ascii="Times New Roman" w:eastAsia="宋体" w:hAnsi="Times New Roman" w:cs="Times New Roman"/>
          <w:color w:val="000000" w:themeColor="text1"/>
          <w:sz w:val="24"/>
        </w:rPr>
        <w:t>，占评价范围比例为</w:t>
      </w:r>
      <w:r w:rsidRPr="00092862">
        <w:rPr>
          <w:rFonts w:ascii="Times New Roman" w:eastAsia="宋体" w:hAnsi="Times New Roman" w:cs="Times New Roman"/>
          <w:color w:val="000000" w:themeColor="text1"/>
          <w:sz w:val="24"/>
        </w:rPr>
        <w:t>0.11%</w:t>
      </w:r>
      <w:r w:rsidRPr="00092862">
        <w:rPr>
          <w:rFonts w:ascii="Times New Roman" w:eastAsia="宋体" w:hAnsi="Times New Roman" w:cs="Times New Roman"/>
          <w:color w:val="000000" w:themeColor="text1"/>
          <w:sz w:val="24"/>
        </w:rPr>
        <w:t>，其次为阔叶灌丛生态系统及草地生态系统，占比分别为</w:t>
      </w:r>
      <w:r w:rsidRPr="00092862">
        <w:rPr>
          <w:rFonts w:ascii="Times New Roman" w:eastAsia="宋体" w:hAnsi="Times New Roman" w:cs="Times New Roman"/>
          <w:color w:val="000000" w:themeColor="text1"/>
          <w:sz w:val="24"/>
        </w:rPr>
        <w:t>0.02%</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0.04%</w:t>
      </w:r>
      <w:r w:rsidRPr="00092862">
        <w:rPr>
          <w:rFonts w:ascii="Times New Roman" w:eastAsia="宋体" w:hAnsi="Times New Roman" w:cs="Times New Roman"/>
          <w:color w:val="000000" w:themeColor="text1"/>
          <w:sz w:val="24"/>
        </w:rPr>
        <w:t>。</w:t>
      </w:r>
    </w:p>
    <w:p w14:paraId="6F56CEDC" w14:textId="77777777" w:rsidR="00A364AF" w:rsidRPr="00092862" w:rsidRDefault="00A364AF" w:rsidP="00A364AF">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项目占用的生态系统类型属于评价范围内普遍分布的类型，项目占地损失总生产力</w:t>
      </w:r>
      <w:r w:rsidRPr="00092862">
        <w:rPr>
          <w:rFonts w:ascii="Times New Roman" w:eastAsia="宋体" w:hAnsi="Times New Roman" w:cs="Times New Roman"/>
          <w:color w:val="000000" w:themeColor="text1"/>
          <w:sz w:val="24"/>
        </w:rPr>
        <w:t>10.64tc/a</w:t>
      </w:r>
      <w:r w:rsidRPr="00092862">
        <w:rPr>
          <w:rFonts w:ascii="Times New Roman" w:eastAsia="宋体" w:hAnsi="Times New Roman" w:cs="Times New Roman"/>
          <w:color w:val="000000" w:themeColor="text1"/>
          <w:sz w:val="24"/>
        </w:rPr>
        <w:t>，损失总生物量为</w:t>
      </w:r>
      <w:r w:rsidRPr="00092862">
        <w:rPr>
          <w:rFonts w:ascii="Times New Roman" w:eastAsia="宋体" w:hAnsi="Times New Roman" w:cs="Times New Roman"/>
          <w:color w:val="000000" w:themeColor="text1"/>
          <w:sz w:val="24"/>
        </w:rPr>
        <w:t>28.17t</w:t>
      </w:r>
      <w:r w:rsidRPr="00092862">
        <w:rPr>
          <w:rFonts w:ascii="Times New Roman" w:eastAsia="宋体" w:hAnsi="Times New Roman" w:cs="Times New Roman"/>
          <w:color w:val="000000" w:themeColor="text1"/>
          <w:sz w:val="24"/>
        </w:rPr>
        <w:t>，占评价区总生产力和总生物量的比例为</w:t>
      </w:r>
      <w:r w:rsidRPr="00092862">
        <w:rPr>
          <w:rFonts w:ascii="Times New Roman" w:eastAsia="宋体" w:hAnsi="Times New Roman" w:cs="Times New Roman"/>
          <w:color w:val="000000" w:themeColor="text1"/>
          <w:sz w:val="24"/>
        </w:rPr>
        <w:t>0.17%</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0.45%</w:t>
      </w:r>
      <w:r w:rsidRPr="00092862">
        <w:rPr>
          <w:rFonts w:ascii="Times New Roman" w:eastAsia="宋体" w:hAnsi="Times New Roman" w:cs="Times New Roman"/>
          <w:color w:val="000000" w:themeColor="text1"/>
          <w:sz w:val="24"/>
        </w:rPr>
        <w:t>，占比极低。</w:t>
      </w:r>
    </w:p>
    <w:p w14:paraId="74F61543" w14:textId="704AC7E7" w:rsidR="00A63D11" w:rsidRPr="00092862" w:rsidRDefault="00A364AF" w:rsidP="00A364AF">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项目建设不会对该区域植被分布情况造成大的改变，项目对评价区内的自然生态系统的完整性和结构稳定性影响较小，随着退役后占地设施拆除和地形地貌以及植被恢复措施的实施，评价区内自然生态系统面积、结构和功能会得到进一步恢复；生态系统的结构与功能完整性、以及生态服务功能的完整性并不会受到项目建设的直接影响，依然具有维持良性发展的潜力</w:t>
      </w:r>
      <w:r w:rsidR="00A63D11" w:rsidRPr="00092862">
        <w:rPr>
          <w:rFonts w:ascii="Times New Roman" w:hAnsi="Times New Roman" w:cs="Times New Roman"/>
          <w:color w:val="000000" w:themeColor="text1"/>
          <w:sz w:val="24"/>
        </w:rPr>
        <w:t>。</w:t>
      </w:r>
    </w:p>
    <w:p w14:paraId="52253577" w14:textId="223D3FCE" w:rsidR="00A63D11" w:rsidRPr="00092862" w:rsidRDefault="00A63D11" w:rsidP="00A63D1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5.1.1.5</w:t>
      </w:r>
      <w:r w:rsidRPr="00092862">
        <w:rPr>
          <w:rFonts w:ascii="Times New Roman" w:hAnsi="Times New Roman" w:cs="Times New Roman"/>
          <w:b/>
          <w:bCs/>
          <w:color w:val="000000" w:themeColor="text1"/>
          <w:sz w:val="24"/>
          <w:szCs w:val="24"/>
        </w:rPr>
        <w:t>对生态系统结构稳定性分析</w:t>
      </w:r>
    </w:p>
    <w:p w14:paraId="0B54E997" w14:textId="482C8977" w:rsidR="00A63D11" w:rsidRPr="00092862" w:rsidRDefault="00A364AF" w:rsidP="00A63D11">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项目占地主要为</w:t>
      </w:r>
      <w:r w:rsidRPr="00092862">
        <w:rPr>
          <w:rFonts w:ascii="Times New Roman" w:hAnsi="Times New Roman" w:cs="Times New Roman"/>
          <w:color w:val="000000" w:themeColor="text1"/>
          <w:sz w:val="24"/>
          <w:szCs w:val="24"/>
        </w:rPr>
        <w:t>井场、</w:t>
      </w:r>
      <w:r w:rsidRPr="00092862">
        <w:rPr>
          <w:rFonts w:ascii="Times New Roman" w:eastAsia="宋体" w:hAnsi="Times New Roman" w:cs="Times New Roman"/>
          <w:color w:val="000000" w:themeColor="text1"/>
          <w:sz w:val="24"/>
        </w:rPr>
        <w:t>进场道路、采气管道，生活营区</w:t>
      </w:r>
      <w:r w:rsidRPr="00092862">
        <w:rPr>
          <w:rFonts w:ascii="Times New Roman" w:eastAsia="宋体" w:hAnsi="Times New Roman" w:cs="Times New Roman"/>
          <w:color w:val="000000" w:themeColor="text1"/>
          <w:sz w:val="24"/>
          <w:szCs w:val="24"/>
        </w:rPr>
        <w:t>，占地总面积</w:t>
      </w:r>
      <w:r w:rsidRPr="00092862">
        <w:rPr>
          <w:rFonts w:ascii="Times New Roman" w:eastAsia="宋体" w:hAnsi="Times New Roman" w:cs="Times New Roman"/>
          <w:color w:val="000000" w:themeColor="text1"/>
          <w:sz w:val="24"/>
          <w:szCs w:val="24"/>
        </w:rPr>
        <w:t>2.76hm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rPr>
        <w:t>，占评价范围总面积的</w:t>
      </w:r>
      <w:r w:rsidRPr="00092862">
        <w:rPr>
          <w:rFonts w:ascii="Times New Roman" w:hAnsi="Times New Roman" w:cs="Times New Roman"/>
          <w:color w:val="000000" w:themeColor="text1"/>
          <w:sz w:val="24"/>
        </w:rPr>
        <w:t>0.20</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，不会对该区域植被分布情况和</w:t>
      </w:r>
      <w:r w:rsidRPr="00092862">
        <w:rPr>
          <w:rFonts w:ascii="Times New Roman" w:hAnsi="Times New Roman" w:cs="Times New Roman"/>
          <w:color w:val="000000" w:themeColor="text1"/>
          <w:sz w:val="24"/>
        </w:rPr>
        <w:t>植被</w:t>
      </w:r>
      <w:r w:rsidRPr="00092862">
        <w:rPr>
          <w:rFonts w:ascii="Times New Roman" w:eastAsia="宋体" w:hAnsi="Times New Roman" w:cs="Times New Roman"/>
          <w:color w:val="000000" w:themeColor="text1"/>
          <w:sz w:val="24"/>
        </w:rPr>
        <w:t>群落结构造成</w:t>
      </w:r>
      <w:r w:rsidRPr="00092862">
        <w:rPr>
          <w:rFonts w:ascii="Times New Roman" w:hAnsi="Times New Roman" w:cs="Times New Roman"/>
          <w:color w:val="000000" w:themeColor="text1"/>
          <w:sz w:val="24"/>
        </w:rPr>
        <w:t>任何</w:t>
      </w:r>
      <w:r w:rsidRPr="00092862">
        <w:rPr>
          <w:rFonts w:ascii="Times New Roman" w:eastAsia="宋体" w:hAnsi="Times New Roman" w:cs="Times New Roman"/>
          <w:color w:val="000000" w:themeColor="text1"/>
          <w:sz w:val="24"/>
        </w:rPr>
        <w:t>改变，项目对评价区内的，灌丛和草地等自然生态系统的类型完整性和结构稳定性影响</w:t>
      </w:r>
      <w:r w:rsidRPr="00092862">
        <w:rPr>
          <w:rFonts w:ascii="Times New Roman" w:hAnsi="Times New Roman" w:cs="Times New Roman"/>
          <w:color w:val="000000" w:themeColor="text1"/>
          <w:sz w:val="24"/>
        </w:rPr>
        <w:t>可忽略不计</w:t>
      </w:r>
      <w:r w:rsidRPr="00092862">
        <w:rPr>
          <w:rFonts w:ascii="Times New Roman" w:eastAsia="宋体" w:hAnsi="Times New Roman" w:cs="Times New Roman"/>
          <w:color w:val="000000" w:themeColor="text1"/>
          <w:sz w:val="24"/>
        </w:rPr>
        <w:t>，</w:t>
      </w:r>
      <w:r w:rsidRPr="00092862">
        <w:rPr>
          <w:rFonts w:ascii="Times New Roman" w:hAnsi="Times New Roman" w:cs="Times New Roman"/>
          <w:color w:val="000000" w:themeColor="text1"/>
          <w:sz w:val="24"/>
        </w:rPr>
        <w:t>随着退役后占地设施拆除和地形地貌以及植被恢复措施的实施</w:t>
      </w:r>
      <w:r w:rsidRPr="00092862">
        <w:rPr>
          <w:rFonts w:ascii="Times New Roman" w:eastAsia="宋体" w:hAnsi="Times New Roman" w:cs="Times New Roman"/>
          <w:color w:val="000000" w:themeColor="text1"/>
          <w:sz w:val="24"/>
        </w:rPr>
        <w:t>，评价区内各生态系统（尤其是灌丛和草地）面积、结构</w:t>
      </w:r>
      <w:r w:rsidRPr="00092862">
        <w:rPr>
          <w:rFonts w:ascii="Times New Roman" w:eastAsia="宋体" w:hAnsi="Times New Roman" w:cs="Times New Roman"/>
          <w:color w:val="000000" w:themeColor="text1"/>
          <w:sz w:val="24"/>
        </w:rPr>
        <w:lastRenderedPageBreak/>
        <w:t>和功能会得到进一步恢复；各类生态系统的结构与功能完整性、以及生态服务功能的完整性并不会受到</w:t>
      </w:r>
      <w:r w:rsidRPr="00092862">
        <w:rPr>
          <w:rFonts w:ascii="Times New Roman" w:hAnsi="Times New Roman" w:cs="Times New Roman"/>
          <w:color w:val="000000" w:themeColor="text1"/>
          <w:sz w:val="24"/>
        </w:rPr>
        <w:t>项目施工</w:t>
      </w:r>
      <w:r w:rsidRPr="00092862">
        <w:rPr>
          <w:rFonts w:ascii="Times New Roman" w:eastAsia="宋体" w:hAnsi="Times New Roman" w:cs="Times New Roman"/>
          <w:color w:val="000000" w:themeColor="text1"/>
          <w:sz w:val="24"/>
        </w:rPr>
        <w:t>运营的直接影响，依然具有维持良性发展的潜力</w:t>
      </w:r>
      <w:r w:rsidR="00A63D11" w:rsidRPr="00092862">
        <w:rPr>
          <w:rFonts w:ascii="Times New Roman" w:hAnsi="Times New Roman" w:cs="Times New Roman"/>
          <w:color w:val="000000" w:themeColor="text1"/>
          <w:sz w:val="24"/>
        </w:rPr>
        <w:t>。</w:t>
      </w:r>
    </w:p>
    <w:p w14:paraId="3FD5A489" w14:textId="0B6B4376" w:rsidR="00A63D11" w:rsidRPr="00092862" w:rsidRDefault="00A63D11" w:rsidP="00A63D1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5.1.1.6</w:t>
      </w:r>
      <w:r w:rsidRPr="00092862">
        <w:rPr>
          <w:rFonts w:ascii="Times New Roman" w:hAnsi="Times New Roman" w:cs="Times New Roman"/>
          <w:b/>
          <w:bCs/>
          <w:color w:val="000000" w:themeColor="text1"/>
          <w:sz w:val="24"/>
          <w:szCs w:val="24"/>
        </w:rPr>
        <w:t>对生态系统完整性的影响分析</w:t>
      </w:r>
    </w:p>
    <w:p w14:paraId="578B8F48"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、对生态效能的影响</w:t>
      </w:r>
    </w:p>
    <w:p w14:paraId="2004B0C6"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14:paraId="6EFE59D1"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、对景观风貌的影响</w:t>
      </w:r>
    </w:p>
    <w:p w14:paraId="2EC8A87A"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建设产生的表土剥离、运输等活动，均会影响土体的结构，降低原来地表的固土保水能力，改变其结构特征，自然景观受到一定影响，但在项目退役后，随着占地设施拆除及植被自然恢复，项目区范围内的动、植物的繁衍条件将得以恢复，景观风貌也会逐步恢复。</w:t>
      </w:r>
    </w:p>
    <w:p w14:paraId="62F42C68"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、对环境质量的影响</w:t>
      </w:r>
    </w:p>
    <w:p w14:paraId="4C5874B0"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过程中采取的技术措施可最大程度减少负面影响，项目建设对环境质量的影响很小。</w:t>
      </w:r>
    </w:p>
    <w:p w14:paraId="788154C8"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、对物种多样性的影响</w:t>
      </w:r>
    </w:p>
    <w:p w14:paraId="149E7C7D" w14:textId="77777777" w:rsidR="00A364AF" w:rsidRPr="00092862" w:rsidRDefault="00A364AF" w:rsidP="00507027">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占地范围自然植被类型主要有野桐、盐肤木、马桑、黄荆、火棘、芒、白茅、蕨、芒萁等灌草丛植被，群落结构和组成相对简单，且均为当地常见类型，分布较广，施工期对生物群落多样性、生态系统多样性及完整性的影响较小，项目占地不会对用地范围物种多样性和生态功能产生较大影响。</w:t>
      </w:r>
    </w:p>
    <w:p w14:paraId="217EAA68" w14:textId="1F1A7664" w:rsidR="00A63D11" w:rsidRPr="00092862" w:rsidRDefault="00A364AF" w:rsidP="00507027">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综上所述，项目建设对项目区及周边区域生态效能、景观风貌、环境质量、物种多样性等生态因子影响很小，项目建设不会对区域生态完整性产生影响</w:t>
      </w:r>
      <w:r w:rsidR="00A63D11" w:rsidRPr="00092862">
        <w:rPr>
          <w:rFonts w:ascii="Times New Roman" w:hAnsi="Times New Roman" w:cs="Times New Roman"/>
          <w:color w:val="000000" w:themeColor="text1"/>
          <w:sz w:val="24"/>
        </w:rPr>
        <w:t>。</w:t>
      </w:r>
    </w:p>
    <w:p w14:paraId="4AE335F0" w14:textId="46B43B3A" w:rsidR="00A63D11" w:rsidRPr="00092862" w:rsidRDefault="00A63D11" w:rsidP="00A63D1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5.1.1.7</w:t>
      </w:r>
      <w:r w:rsidRPr="00092862">
        <w:rPr>
          <w:rFonts w:ascii="Times New Roman" w:hAnsi="Times New Roman" w:cs="Times New Roman"/>
          <w:b/>
          <w:bCs/>
          <w:color w:val="000000" w:themeColor="text1"/>
          <w:sz w:val="24"/>
          <w:szCs w:val="24"/>
        </w:rPr>
        <w:t>对生态系统服务功能的影响分析</w:t>
      </w:r>
    </w:p>
    <w:p w14:paraId="6EC8B8C0" w14:textId="77777777" w:rsidR="00A364AF" w:rsidRPr="00092862" w:rsidRDefault="00A364AF" w:rsidP="00507027">
      <w:pPr>
        <w:pStyle w:val="41"/>
        <w:spacing w:line="480" w:lineRule="exact"/>
        <w:ind w:firstLineChars="200" w:firstLine="480"/>
        <w:rPr>
          <w:color w:val="000000" w:themeColor="text1"/>
          <w:sz w:val="24"/>
        </w:rPr>
      </w:pPr>
      <w:r w:rsidRPr="00092862">
        <w:rPr>
          <w:color w:val="000000" w:themeColor="text1"/>
          <w:sz w:val="24"/>
        </w:rPr>
        <w:lastRenderedPageBreak/>
        <w:t>（</w:t>
      </w:r>
      <w:r w:rsidRPr="00092862">
        <w:rPr>
          <w:color w:val="000000" w:themeColor="text1"/>
          <w:sz w:val="24"/>
        </w:rPr>
        <w:t>1</w:t>
      </w:r>
      <w:r w:rsidRPr="00092862">
        <w:rPr>
          <w:color w:val="000000" w:themeColor="text1"/>
          <w:sz w:val="24"/>
        </w:rPr>
        <w:t>）水土流失与水源涵养功能的影响</w:t>
      </w:r>
    </w:p>
    <w:p w14:paraId="25649FFA" w14:textId="77777777" w:rsidR="00A364AF" w:rsidRPr="00092862" w:rsidRDefault="00A364AF" w:rsidP="00507027">
      <w:pPr>
        <w:pStyle w:val="41"/>
        <w:spacing w:line="480" w:lineRule="exact"/>
        <w:ind w:firstLineChars="200" w:firstLine="480"/>
        <w:rPr>
          <w:color w:val="000000" w:themeColor="text1"/>
          <w:sz w:val="24"/>
        </w:rPr>
      </w:pPr>
      <w:r w:rsidRPr="00092862">
        <w:rPr>
          <w:color w:val="000000" w:themeColor="text1"/>
          <w:sz w:val="24"/>
        </w:rPr>
        <w:t>评价区地表植被覆盖度高，但由于地形地貌的特殊性和降水量较大等特点使得水力侵蚀过程明显。项目建设对评价区水土流失的影响主要集中在项目建设期施工占地，如果不能及时采取相应的防护措施处理或治理，会造成新的水土流失。在项目施工过程中要尽量减少了对周边区域地表植被的破坏，并对填挖高度进行严格的控制。</w:t>
      </w:r>
    </w:p>
    <w:p w14:paraId="205A07F9" w14:textId="77777777" w:rsidR="00A364AF" w:rsidRPr="00092862" w:rsidRDefault="00A364AF" w:rsidP="00507027">
      <w:pPr>
        <w:pStyle w:val="41"/>
        <w:spacing w:line="480" w:lineRule="exact"/>
        <w:ind w:firstLineChars="200" w:firstLine="480"/>
        <w:rPr>
          <w:color w:val="000000" w:themeColor="text1"/>
          <w:sz w:val="24"/>
        </w:rPr>
      </w:pPr>
      <w:r w:rsidRPr="00092862">
        <w:rPr>
          <w:color w:val="000000" w:themeColor="text1"/>
          <w:sz w:val="24"/>
        </w:rPr>
        <w:t>森林和灌草丛等在评价区内发挥着较为重要的水源涵养功能，因此在施工结束及运营阶段应特别注重林草种植和植被恢复，通过增加植被覆盖，促进土壤蓄渗降水；而灌木的枯枝落叶层吸收水分等方式对水资源进行充分利用，尽量选择乡土阔叶植物作为恢复树种，注意因地制宜和加强管理。</w:t>
      </w:r>
    </w:p>
    <w:p w14:paraId="38F0A03E" w14:textId="77777777" w:rsidR="00A364AF" w:rsidRPr="00092862" w:rsidRDefault="00A364AF" w:rsidP="00507027">
      <w:pPr>
        <w:pStyle w:val="41"/>
        <w:spacing w:line="480" w:lineRule="exact"/>
        <w:ind w:firstLineChars="200" w:firstLine="480"/>
        <w:rPr>
          <w:color w:val="000000" w:themeColor="text1"/>
          <w:sz w:val="24"/>
        </w:rPr>
      </w:pPr>
      <w:r w:rsidRPr="00092862">
        <w:rPr>
          <w:color w:val="000000" w:themeColor="text1"/>
          <w:sz w:val="24"/>
        </w:rPr>
        <w:t>（</w:t>
      </w:r>
      <w:r w:rsidRPr="00092862">
        <w:rPr>
          <w:color w:val="000000" w:themeColor="text1"/>
          <w:sz w:val="24"/>
        </w:rPr>
        <w:t>2</w:t>
      </w:r>
      <w:r w:rsidRPr="00092862">
        <w:rPr>
          <w:color w:val="000000" w:themeColor="text1"/>
          <w:sz w:val="24"/>
        </w:rPr>
        <w:t>）对其它生态服务功能的影响</w:t>
      </w:r>
    </w:p>
    <w:p w14:paraId="02403AA0" w14:textId="77777777" w:rsidR="00A364AF" w:rsidRPr="00092862" w:rsidRDefault="00A364AF" w:rsidP="00507027">
      <w:pPr>
        <w:pStyle w:val="41"/>
        <w:spacing w:line="480" w:lineRule="exact"/>
        <w:ind w:firstLineChars="200" w:firstLine="480"/>
        <w:rPr>
          <w:color w:val="000000" w:themeColor="text1"/>
          <w:sz w:val="24"/>
        </w:rPr>
      </w:pPr>
      <w:r w:rsidRPr="00092862">
        <w:rPr>
          <w:color w:val="000000" w:themeColor="text1"/>
          <w:sz w:val="24"/>
        </w:rPr>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运营期间的闲置土地及裸地应及时种植植被，以减少土壤养分的流失。本项目建设尽管占用了部分灌草丛等自然生态系统，部分改变了土地利用类型，但对评价区内自然生态系统肩负的维持生物多样性、净化空气、调节小气候等生态服务功能的影响还是非常间接和有限的。</w:t>
      </w:r>
    </w:p>
    <w:p w14:paraId="5113E783" w14:textId="7515C644" w:rsidR="00A63D11" w:rsidRPr="00092862" w:rsidRDefault="00A364AF" w:rsidP="00507027">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综上所述，本项目的建设对评价区域生态环境会有一定的影响，但不会显著改变评价区域的植物物种多样性状况、植被组成类型、动物多样性和种群结构组成。项目建设对景观生态系统的影响范围有限，评价区域内各类拼块构成、廊道类型和基质特点、各类环境资源拼块优势度等景观格局和动态不会发生明显变化；森林生态系统、灌丛和草地生态系统和河流生态系统的稳定性和景观完整性没有显著影响。在采取植被恢复、水土流失防治措施、野生动植物保护等措施的情况下，本项目造成的生态影响可得到有效减缓，生态系统的稳定性尚好</w:t>
      </w:r>
      <w:r w:rsidR="00A63D11" w:rsidRPr="00092862">
        <w:rPr>
          <w:rFonts w:ascii="Times New Roman" w:hAnsi="Times New Roman" w:cs="Times New Roman"/>
          <w:color w:val="000000" w:themeColor="text1"/>
          <w:sz w:val="24"/>
        </w:rPr>
        <w:t>。</w:t>
      </w:r>
    </w:p>
    <w:p w14:paraId="1A202E6E" w14:textId="57666B74" w:rsidR="00A63D11" w:rsidRPr="00092862" w:rsidRDefault="00A63D11" w:rsidP="00A63D1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5.1.1.8</w:t>
      </w:r>
      <w:r w:rsidRPr="00092862">
        <w:rPr>
          <w:rFonts w:ascii="Times New Roman" w:hAnsi="Times New Roman" w:cs="Times New Roman"/>
          <w:b/>
          <w:bCs/>
          <w:color w:val="000000" w:themeColor="text1"/>
          <w:sz w:val="24"/>
          <w:szCs w:val="24"/>
        </w:rPr>
        <w:t>对物种多样性的影响分析</w:t>
      </w:r>
    </w:p>
    <w:p w14:paraId="32FC4735" w14:textId="77777777" w:rsidR="00A364AF" w:rsidRPr="00092862" w:rsidRDefault="00A364AF" w:rsidP="00A364AF">
      <w:pPr>
        <w:pStyle w:val="41"/>
        <w:spacing w:line="480" w:lineRule="exact"/>
        <w:ind w:firstLineChars="200" w:firstLine="480"/>
        <w:rPr>
          <w:color w:val="000000" w:themeColor="text1"/>
          <w:sz w:val="24"/>
        </w:rPr>
      </w:pPr>
      <w:r w:rsidRPr="00092862">
        <w:rPr>
          <w:color w:val="000000" w:themeColor="text1"/>
          <w:sz w:val="24"/>
        </w:rPr>
        <w:lastRenderedPageBreak/>
        <w:t>项目占用的生态系统类型主要为农田生态系统，面积为</w:t>
      </w:r>
      <w:r w:rsidRPr="00092862">
        <w:rPr>
          <w:color w:val="000000" w:themeColor="text1"/>
          <w:sz w:val="24"/>
        </w:rPr>
        <w:t>1.52hm</w:t>
      </w:r>
      <w:r w:rsidRPr="00092862">
        <w:rPr>
          <w:color w:val="000000" w:themeColor="text1"/>
          <w:sz w:val="24"/>
          <w:vertAlign w:val="superscript"/>
        </w:rPr>
        <w:t>2</w:t>
      </w:r>
      <w:r w:rsidRPr="00092862">
        <w:rPr>
          <w:color w:val="000000" w:themeColor="text1"/>
          <w:sz w:val="24"/>
        </w:rPr>
        <w:t>，占评价范围比例为</w:t>
      </w:r>
      <w:r w:rsidRPr="00092862">
        <w:rPr>
          <w:color w:val="000000" w:themeColor="text1"/>
          <w:sz w:val="24"/>
        </w:rPr>
        <w:t>0.11%</w:t>
      </w:r>
      <w:r w:rsidRPr="00092862">
        <w:rPr>
          <w:color w:val="000000" w:themeColor="text1"/>
          <w:sz w:val="24"/>
        </w:rPr>
        <w:t>，其次为阔叶灌丛生态系统及草地生态系统，占比分别为</w:t>
      </w:r>
      <w:r w:rsidRPr="00092862">
        <w:rPr>
          <w:color w:val="000000" w:themeColor="text1"/>
          <w:sz w:val="24"/>
        </w:rPr>
        <w:t>0.02%</w:t>
      </w:r>
      <w:r w:rsidRPr="00092862">
        <w:rPr>
          <w:color w:val="000000" w:themeColor="text1"/>
          <w:sz w:val="24"/>
        </w:rPr>
        <w:t>和</w:t>
      </w:r>
      <w:r w:rsidRPr="00092862">
        <w:rPr>
          <w:color w:val="000000" w:themeColor="text1"/>
          <w:sz w:val="24"/>
        </w:rPr>
        <w:t>0.04%</w:t>
      </w:r>
      <w:r w:rsidRPr="00092862">
        <w:rPr>
          <w:color w:val="000000" w:themeColor="text1"/>
          <w:sz w:val="24"/>
        </w:rPr>
        <w:t>。</w:t>
      </w:r>
    </w:p>
    <w:p w14:paraId="6D38A0A3" w14:textId="13447B6C" w:rsidR="00A63D11" w:rsidRPr="00092862" w:rsidRDefault="00A364AF" w:rsidP="00A364AF">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项目建设影响的只是占地范围内的物种多样性，由原来的农田及灌草丛生态系统临时变为工矿用地生态系统，损失的只是占地期限内占地范围的生物量和生产力，对未占地区域的物种多样性无直接影响</w:t>
      </w:r>
      <w:r w:rsidR="00A63D11" w:rsidRPr="00092862">
        <w:rPr>
          <w:rFonts w:ascii="Times New Roman" w:hAnsi="Times New Roman" w:cs="Times New Roman"/>
          <w:color w:val="000000" w:themeColor="text1"/>
          <w:sz w:val="24"/>
        </w:rPr>
        <w:t>。</w:t>
      </w:r>
    </w:p>
    <w:p w14:paraId="5528625E" w14:textId="4CBFA166" w:rsidR="00A63D11" w:rsidRPr="00092862" w:rsidRDefault="00A63D11" w:rsidP="00A63D11">
      <w:pPr>
        <w:tabs>
          <w:tab w:val="left" w:pos="1440"/>
        </w:tabs>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5.1.1.9</w:t>
      </w:r>
      <w:r w:rsidRPr="00092862">
        <w:rPr>
          <w:rFonts w:ascii="Times New Roman" w:hAnsi="Times New Roman" w:cs="Times New Roman"/>
          <w:b/>
          <w:bCs/>
          <w:color w:val="000000" w:themeColor="text1"/>
          <w:sz w:val="24"/>
          <w:szCs w:val="24"/>
        </w:rPr>
        <w:t>对陆生野生动物的影响分析</w:t>
      </w:r>
    </w:p>
    <w:p w14:paraId="544CB8AA" w14:textId="77777777" w:rsidR="00A364AF"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施工占地</w:t>
      </w:r>
    </w:p>
    <w:p w14:paraId="1E554779" w14:textId="77777777" w:rsidR="00A364AF"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占地类型主要为灌草丛。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退役后这类动物还可迁回。对于迁移能力弱的动物，因占地面积较少，损失只局限于少数个体，不会对种群数量产生影响。</w:t>
      </w:r>
    </w:p>
    <w:p w14:paraId="48A3AE25" w14:textId="77777777" w:rsidR="00A364AF"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施工人员非法捕猎</w:t>
      </w:r>
    </w:p>
    <w:p w14:paraId="4A5C9C54" w14:textId="77777777" w:rsidR="00A364AF"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由于施工人员进入，可能有非法捕猎，直接杀死动物、鸟类。可通过加强教育宣传来杜绝此类行为。</w:t>
      </w:r>
    </w:p>
    <w:p w14:paraId="5DE62904" w14:textId="77777777" w:rsidR="00A364AF"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施工活动</w:t>
      </w:r>
    </w:p>
    <w:p w14:paraId="72710D76" w14:textId="61C06ADF" w:rsidR="00A63D11" w:rsidRPr="00092862" w:rsidRDefault="00A364AF" w:rsidP="0050702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项目施工可直接破坏一些分布在施工区域内动物的生存环境，如一些蛇类、蛙类和鼠类等的栖息洞穴；项目施工还可直接杀死一些生活在施工区域内的动物，这些动物主要是无迁移能力或迁移能力较弱的幼体及在施工时还栖息在洞穴内的部分蛇类、蛙类和鼠类等。由于施工区的范围有限，上述两种情况不会对动物组成和多度产生较大影响。项目施工对其它动物的影响主要还是间接影响，即施工噪声迫使绝大多数动物的成体通过迁移方式远离施工区，但当施工结束后，施工区域内或施工区附近的植被逐渐恢复，这些动物又会逐渐返回</w:t>
      </w:r>
      <w:r w:rsidR="00A63D11" w:rsidRPr="00092862">
        <w:rPr>
          <w:rFonts w:ascii="Times New Roman" w:eastAsia="宋体" w:hAnsi="Times New Roman" w:cs="Times New Roman"/>
          <w:color w:val="000000" w:themeColor="text1"/>
          <w:sz w:val="24"/>
        </w:rPr>
        <w:t>。</w:t>
      </w:r>
    </w:p>
    <w:p w14:paraId="19C747CB" w14:textId="1D8F54DA" w:rsidR="00A63D11" w:rsidRPr="00092862" w:rsidRDefault="00A63D11" w:rsidP="00A364AF">
      <w:pPr>
        <w:tabs>
          <w:tab w:val="left" w:pos="1440"/>
        </w:tabs>
        <w:adjustRightInd w:val="0"/>
        <w:snapToGrid w:val="0"/>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5.1.1.10</w:t>
      </w:r>
      <w:r w:rsidRPr="00092862">
        <w:rPr>
          <w:rFonts w:ascii="Times New Roman" w:hAnsi="Times New Roman" w:cs="Times New Roman"/>
          <w:b/>
          <w:bCs/>
          <w:color w:val="000000" w:themeColor="text1"/>
          <w:sz w:val="24"/>
          <w:szCs w:val="24"/>
        </w:rPr>
        <w:t>对重点保护野生动植物的影响分析</w:t>
      </w:r>
    </w:p>
    <w:p w14:paraId="12240398" w14:textId="77777777" w:rsidR="00A364AF" w:rsidRPr="00092862" w:rsidRDefault="00A364AF" w:rsidP="00A364AF">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根据实地调查，在项目评价区内未发现国家和省级重点保护野生植物。</w:t>
      </w:r>
    </w:p>
    <w:p w14:paraId="0AAA90B9" w14:textId="77777777" w:rsidR="00A364AF" w:rsidRPr="00092862" w:rsidRDefault="00A364AF" w:rsidP="00A364AF">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据调查和访问，评价区内有</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种国家</w:t>
      </w:r>
      <w:r w:rsidRPr="00092862">
        <w:rPr>
          <w:rFonts w:ascii="Times New Roman" w:eastAsia="宋体" w:hAnsi="Times New Roman" w:cs="Times New Roman"/>
          <w:color w:val="000000" w:themeColor="text1"/>
          <w:sz w:val="24"/>
        </w:rPr>
        <w:t>Ⅱ</w:t>
      </w:r>
      <w:r w:rsidRPr="00092862">
        <w:rPr>
          <w:rFonts w:ascii="Times New Roman" w:eastAsia="宋体" w:hAnsi="Times New Roman" w:cs="Times New Roman"/>
          <w:color w:val="000000" w:themeColor="text1"/>
          <w:sz w:val="24"/>
        </w:rPr>
        <w:t>级重点保护鸟类，为雀鹰、画眉，偶</w:t>
      </w:r>
      <w:r w:rsidRPr="00092862">
        <w:rPr>
          <w:rFonts w:ascii="Times New Roman" w:eastAsia="宋体" w:hAnsi="Times New Roman" w:cs="Times New Roman"/>
          <w:color w:val="000000" w:themeColor="text1"/>
          <w:sz w:val="24"/>
        </w:rPr>
        <w:lastRenderedPageBreak/>
        <w:t>见于评价区内的针叶林、阔叶林林。</w:t>
      </w:r>
    </w:p>
    <w:p w14:paraId="4535DE42" w14:textId="4C7ECD04" w:rsidR="00A63D11" w:rsidRPr="00092862" w:rsidRDefault="00A364AF" w:rsidP="00A364AF">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由于评价区人类活动较为频繁，适宜的栖息地相对比较少，因此主要为过境取食及活动，并无栖息地。同时，雀鹰、画眉飞翔能力和自主迁徙能力较强，捕食范围很广，施工活动对其影响很小，在施工期，要加强在施工人员中的宣传教育，严禁捕捉野生动物，同时，要文明施工，将人为影响降至最低</w:t>
      </w:r>
      <w:r w:rsidR="00A63D11" w:rsidRPr="00092862">
        <w:rPr>
          <w:rFonts w:ascii="Times New Roman" w:hAnsi="Times New Roman" w:cs="Times New Roman"/>
          <w:color w:val="000000" w:themeColor="text1"/>
          <w:sz w:val="24"/>
        </w:rPr>
        <w:t>。</w:t>
      </w:r>
    </w:p>
    <w:p w14:paraId="105DA086" w14:textId="49595D31" w:rsidR="0003568A" w:rsidRPr="00092862" w:rsidRDefault="0003568A" w:rsidP="0003568A">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199" w:name="_Toc120173151"/>
      <w:r w:rsidRPr="00092862">
        <w:rPr>
          <w:rFonts w:ascii="Times New Roman" w:eastAsia="黑体" w:hAnsi="Times New Roman"/>
          <w:b w:val="0"/>
          <w:color w:val="000000" w:themeColor="text1"/>
          <w:sz w:val="24"/>
          <w:szCs w:val="24"/>
          <w:lang w:eastAsia="zh-CN"/>
        </w:rPr>
        <w:t>5.1.</w:t>
      </w:r>
      <w:r w:rsidR="00573FA1" w:rsidRPr="00092862">
        <w:rPr>
          <w:rFonts w:ascii="Times New Roman" w:eastAsia="黑体" w:hAnsi="Times New Roman"/>
          <w:b w:val="0"/>
          <w:color w:val="000000" w:themeColor="text1"/>
          <w:sz w:val="24"/>
          <w:szCs w:val="24"/>
          <w:lang w:eastAsia="zh-CN"/>
        </w:rPr>
        <w:t>2</w:t>
      </w:r>
      <w:r w:rsidRPr="00092862">
        <w:rPr>
          <w:rFonts w:ascii="Times New Roman" w:eastAsia="黑体" w:hAnsi="Times New Roman"/>
          <w:b w:val="0"/>
          <w:color w:val="000000" w:themeColor="text1"/>
          <w:sz w:val="24"/>
          <w:szCs w:val="24"/>
          <w:lang w:eastAsia="zh-CN"/>
        </w:rPr>
        <w:t>施工期钻前工程环境影响分析</w:t>
      </w:r>
      <w:bookmarkEnd w:id="199"/>
    </w:p>
    <w:p w14:paraId="33166966" w14:textId="67B91309" w:rsidR="00CA2BF8" w:rsidRPr="00092862" w:rsidRDefault="00573FA1" w:rsidP="00CA2BF8">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00CA2BF8" w:rsidRPr="00092862">
        <w:rPr>
          <w:rFonts w:ascii="Times New Roman" w:eastAsia="宋体" w:hAnsi="Times New Roman" w:cs="Times New Roman"/>
          <w:bCs/>
          <w:color w:val="000000" w:themeColor="text1"/>
          <w:sz w:val="24"/>
          <w:szCs w:val="24"/>
        </w:rPr>
        <w:t>、大气环境影响分析</w:t>
      </w:r>
    </w:p>
    <w:p w14:paraId="6B5372D5" w14:textId="77777777"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）废气源</w:t>
      </w:r>
    </w:p>
    <w:p w14:paraId="7B695474" w14:textId="77777777"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钻前施工人员多为临时聘请的当地民工，租住在附近农户家中，钻前工程不设集中生活营区，无集中生活废气排放。</w:t>
      </w:r>
    </w:p>
    <w:p w14:paraId="12D9E8BE" w14:textId="0CE05644"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钻前工程大气污染物主要为施工粉尘、运输和作业车辆排放的汽车尾气，但属短期影响（钻前施工工期约</w:t>
      </w:r>
      <w:r w:rsidR="004C317E"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0</w:t>
      </w:r>
      <w:r w:rsidRPr="00092862">
        <w:rPr>
          <w:rFonts w:ascii="Times New Roman" w:eastAsia="宋体" w:hAnsi="Times New Roman" w:cs="Times New Roman"/>
          <w:color w:val="000000" w:themeColor="text1"/>
          <w:sz w:val="24"/>
        </w:rPr>
        <w:t>天）。粉尘主要源于材料运输、使用过程中的粉尘散落；修筑钻井场地和井场外道路的挖填方转运过程中的二次扬尘。</w:t>
      </w:r>
    </w:p>
    <w:p w14:paraId="4CC28B94" w14:textId="77777777"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）大气环境影响分析</w:t>
      </w:r>
    </w:p>
    <w:p w14:paraId="5E717C57" w14:textId="7A56A02A"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钻前施工对环境空气的影响主要是道路扬尘及燃油动力机械废气。扬尘主要来自施工现场运输车辆、筑路机械作业过程中扬起的灰尘。据经验数据，在风速为</w:t>
      </w:r>
      <w:r w:rsidRPr="00092862">
        <w:rPr>
          <w:rFonts w:ascii="Times New Roman" w:eastAsia="宋体" w:hAnsi="Times New Roman" w:cs="Times New Roman"/>
          <w:color w:val="000000" w:themeColor="text1"/>
          <w:sz w:val="24"/>
        </w:rPr>
        <w:t>1.2m/s</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2.4m/s</w:t>
      </w:r>
      <w:r w:rsidRPr="00092862">
        <w:rPr>
          <w:rFonts w:ascii="Times New Roman" w:eastAsia="宋体" w:hAnsi="Times New Roman" w:cs="Times New Roman"/>
          <w:color w:val="000000" w:themeColor="text1"/>
          <w:sz w:val="24"/>
        </w:rPr>
        <w:t>下土方和灰土的装卸、运输、施工或现场施工以及石料运输时距离</w:t>
      </w:r>
      <w:r w:rsidRPr="00092862">
        <w:rPr>
          <w:rFonts w:ascii="Times New Roman" w:eastAsia="宋体" w:hAnsi="Times New Roman" w:cs="Times New Roman"/>
          <w:color w:val="000000" w:themeColor="text1"/>
          <w:sz w:val="24"/>
        </w:rPr>
        <w:t>50~150m</w:t>
      </w:r>
      <w:r w:rsidRPr="00092862">
        <w:rPr>
          <w:rFonts w:ascii="Times New Roman" w:eastAsia="宋体" w:hAnsi="Times New Roman" w:cs="Times New Roman"/>
          <w:color w:val="000000" w:themeColor="text1"/>
          <w:sz w:val="24"/>
        </w:rPr>
        <w:t>处下风方向粉尘浓度为</w:t>
      </w:r>
      <w:r w:rsidRPr="00092862">
        <w:rPr>
          <w:rFonts w:ascii="Times New Roman" w:eastAsia="宋体" w:hAnsi="Times New Roman" w:cs="Times New Roman"/>
          <w:color w:val="000000" w:themeColor="text1"/>
          <w:sz w:val="24"/>
        </w:rPr>
        <w:t>11.7</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5.0mg/m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。项目所在区域的年平均风速为</w:t>
      </w:r>
      <w:r w:rsidRPr="00092862">
        <w:rPr>
          <w:rFonts w:ascii="Times New Roman" w:eastAsia="宋体" w:hAnsi="Times New Roman" w:cs="Times New Roman"/>
          <w:color w:val="000000" w:themeColor="text1"/>
          <w:sz w:val="24"/>
        </w:rPr>
        <w:t>1.5m/s</w:t>
      </w:r>
      <w:r w:rsidRPr="00092862">
        <w:rPr>
          <w:rFonts w:ascii="Times New Roman" w:eastAsia="宋体" w:hAnsi="Times New Roman" w:cs="Times New Roman"/>
          <w:color w:val="000000" w:themeColor="text1"/>
          <w:sz w:val="24"/>
        </w:rPr>
        <w:t>，风速较小，产生的扬尘量小。</w:t>
      </w:r>
    </w:p>
    <w:p w14:paraId="42BBEBB3" w14:textId="77777777"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14:paraId="3E4E008D" w14:textId="77777777"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根据四川省《中华人民共和国大气污染防治法》实施办法（</w:t>
      </w:r>
      <w:r w:rsidRPr="00092862">
        <w:rPr>
          <w:rFonts w:ascii="Times New Roman" w:eastAsia="宋体" w:hAnsi="Times New Roman" w:cs="Times New Roman"/>
          <w:color w:val="000000" w:themeColor="text1"/>
          <w:sz w:val="24"/>
        </w:rPr>
        <w:t>2018</w:t>
      </w:r>
      <w:r w:rsidRPr="00092862">
        <w:rPr>
          <w:rFonts w:ascii="Times New Roman" w:eastAsia="宋体" w:hAnsi="Times New Roman" w:cs="Times New Roman"/>
          <w:color w:val="000000" w:themeColor="text1"/>
          <w:sz w:val="24"/>
        </w:rPr>
        <w:t>修订）相关要求，建设单位要加强对建设工地的监督检查，督促施工单位落实降尘、压尘和抑尘措施。钻前工程施工时间很短，完成后影响即可消失，无长期影响，通过采取降措施，对区域环境影响小。</w:t>
      </w:r>
    </w:p>
    <w:p w14:paraId="517808D9" w14:textId="77777777" w:rsidR="005E3C60" w:rsidRPr="00092862" w:rsidRDefault="005E3C60" w:rsidP="005E3C60">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各类燃油动力机械在现场进行场地挖填、运输、施工等作业时，排放的废气中含</w:t>
      </w:r>
      <w:r w:rsidRPr="00092862">
        <w:rPr>
          <w:rFonts w:ascii="Times New Roman" w:eastAsia="宋体" w:hAnsi="Times New Roman" w:cs="Times New Roman"/>
          <w:color w:val="000000" w:themeColor="text1"/>
          <w:sz w:val="24"/>
        </w:rPr>
        <w:t>CO</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NOx</w:t>
      </w:r>
      <w:r w:rsidRPr="00092862">
        <w:rPr>
          <w:rFonts w:ascii="Times New Roman" w:eastAsia="宋体" w:hAnsi="Times New Roman" w:cs="Times New Roman"/>
          <w:color w:val="000000" w:themeColor="text1"/>
          <w:sz w:val="24"/>
        </w:rPr>
        <w:t>等污染物，由于施工的燃油机械为间断施工，加之污染物排放量小，对环境空气的不利影响很小，施工结束后，影响将消失。</w:t>
      </w:r>
    </w:p>
    <w:p w14:paraId="7DD643C5" w14:textId="3AED004F" w:rsidR="00CA2BF8" w:rsidRPr="00092862" w:rsidRDefault="005E3C60" w:rsidP="005E3C60">
      <w:pPr>
        <w:adjustRightInd w:val="0"/>
        <w:snapToGrid w:val="0"/>
        <w:spacing w:line="360" w:lineRule="auto"/>
        <w:ind w:firstLineChars="200" w:firstLine="482"/>
        <w:rPr>
          <w:rFonts w:ascii="Times New Roman" w:eastAsia="宋体" w:hAnsi="Times New Roman" w:cs="Times New Roman"/>
          <w:color w:val="000000" w:themeColor="text1"/>
          <w:sz w:val="24"/>
        </w:rPr>
      </w:pPr>
      <w:r w:rsidRPr="00092862">
        <w:rPr>
          <w:rFonts w:ascii="Times New Roman" w:eastAsia="宋体" w:hAnsi="Times New Roman" w:cs="Times New Roman"/>
          <w:b/>
          <w:color w:val="000000" w:themeColor="text1"/>
          <w:sz w:val="24"/>
        </w:rPr>
        <w:lastRenderedPageBreak/>
        <w:t>综上所述，由于钻前工程废气产生量较少、施工期短，对当地环境空气影响较小</w:t>
      </w:r>
      <w:r w:rsidR="00CA2BF8" w:rsidRPr="00092862">
        <w:rPr>
          <w:rFonts w:ascii="Times New Roman" w:eastAsia="宋体" w:hAnsi="Times New Roman" w:cs="Times New Roman"/>
          <w:b/>
          <w:bCs/>
          <w:color w:val="000000" w:themeColor="text1"/>
          <w:sz w:val="24"/>
        </w:rPr>
        <w:t>。</w:t>
      </w:r>
    </w:p>
    <w:p w14:paraId="1FF2D4FA" w14:textId="505DF994" w:rsidR="000852FA" w:rsidRPr="00092862" w:rsidRDefault="00573FA1" w:rsidP="000852FA">
      <w:pPr>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2</w:t>
      </w:r>
      <w:r w:rsidR="000852FA" w:rsidRPr="00092862">
        <w:rPr>
          <w:rFonts w:ascii="Times New Roman" w:eastAsia="黑体" w:hAnsi="Times New Roman" w:cs="Times New Roman"/>
          <w:bCs/>
          <w:color w:val="000000" w:themeColor="text1"/>
          <w:sz w:val="24"/>
          <w:szCs w:val="24"/>
        </w:rPr>
        <w:t>、地表水环境影响分析</w:t>
      </w:r>
    </w:p>
    <w:p w14:paraId="41E150C3" w14:textId="67CEDF01" w:rsidR="00CA2BF8" w:rsidRPr="00092862" w:rsidRDefault="000852FA" w:rsidP="000852FA">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前工程水环境的影响主要是生活污水和施工废水。生活污水来自施工人员，施工期间生活污水产生量小，钻前工程人员租住农户家，生活污水由当地农户旱厕收集后农用，对当地水环境的影响小。施工废水来自施工场地</w:t>
      </w:r>
      <w:r w:rsidR="00CD6B96" w:rsidRPr="00092862">
        <w:rPr>
          <w:rFonts w:ascii="Times New Roman" w:eastAsia="宋体" w:hAnsi="Times New Roman" w:cs="Times New Roman"/>
          <w:color w:val="000000" w:themeColor="text1"/>
          <w:sz w:val="24"/>
        </w:rPr>
        <w:t>等</w:t>
      </w:r>
      <w:r w:rsidRPr="00092862">
        <w:rPr>
          <w:rFonts w:ascii="Times New Roman" w:eastAsia="宋体" w:hAnsi="Times New Roman" w:cs="Times New Roman"/>
          <w:color w:val="000000" w:themeColor="text1"/>
          <w:sz w:val="24"/>
        </w:rPr>
        <w:t>施工过程遇雨产生的地表径流，径流雨水中夹带有悬浮物；井场基础建设产生的废水主要来自砂石骨料加工、混凝土拌和及养护等过程中</w:t>
      </w:r>
      <w:r w:rsidR="005E3C60" w:rsidRPr="00092862">
        <w:rPr>
          <w:rFonts w:ascii="Times New Roman" w:eastAsia="宋体" w:hAnsi="Times New Roman" w:cs="Times New Roman"/>
          <w:color w:val="000000" w:themeColor="text1"/>
          <w:sz w:val="24"/>
        </w:rPr>
        <w:t>，经隔油池沉淀处理后回用于洒水降尘</w:t>
      </w:r>
      <w:r w:rsidRPr="00092862">
        <w:rPr>
          <w:rFonts w:ascii="Times New Roman" w:eastAsia="宋体" w:hAnsi="Times New Roman" w:cs="Times New Roman"/>
          <w:color w:val="000000" w:themeColor="text1"/>
          <w:sz w:val="24"/>
        </w:rPr>
        <w:t>。施工单位</w:t>
      </w:r>
      <w:r w:rsidR="005E3C60" w:rsidRPr="00092862">
        <w:rPr>
          <w:rFonts w:ascii="Times New Roman" w:eastAsia="宋体" w:hAnsi="Times New Roman" w:cs="Times New Roman"/>
          <w:color w:val="000000" w:themeColor="text1"/>
          <w:sz w:val="24"/>
        </w:rPr>
        <w:t>通过</w:t>
      </w:r>
      <w:r w:rsidRPr="00092862">
        <w:rPr>
          <w:rFonts w:ascii="Times New Roman" w:eastAsia="宋体" w:hAnsi="Times New Roman" w:cs="Times New Roman"/>
          <w:color w:val="000000" w:themeColor="text1"/>
          <w:sz w:val="24"/>
        </w:rPr>
        <w:t>定期检查，减少油类物质对周边土壤的影响。</w:t>
      </w:r>
      <w:r w:rsidR="005E3C60" w:rsidRPr="00092862">
        <w:rPr>
          <w:rFonts w:ascii="Times New Roman" w:eastAsia="宋体" w:hAnsi="Times New Roman" w:cs="Times New Roman"/>
          <w:color w:val="000000" w:themeColor="text1"/>
          <w:sz w:val="24"/>
        </w:rPr>
        <w:t>采取上述措施后</w:t>
      </w:r>
      <w:r w:rsidRPr="00092862">
        <w:rPr>
          <w:rFonts w:ascii="Times New Roman" w:eastAsia="宋体" w:hAnsi="Times New Roman" w:cs="Times New Roman"/>
          <w:color w:val="000000" w:themeColor="text1"/>
          <w:sz w:val="24"/>
        </w:rPr>
        <w:t>对区域地表水环境基本无影响。</w:t>
      </w:r>
    </w:p>
    <w:p w14:paraId="7BE42FCA" w14:textId="6B1D9CA2" w:rsidR="000852FA" w:rsidRPr="00092862" w:rsidRDefault="00573FA1" w:rsidP="000852FA">
      <w:pPr>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3</w:t>
      </w:r>
      <w:r w:rsidR="000852FA" w:rsidRPr="00092862">
        <w:rPr>
          <w:rFonts w:ascii="Times New Roman" w:eastAsia="黑体" w:hAnsi="Times New Roman" w:cs="Times New Roman"/>
          <w:bCs/>
          <w:color w:val="000000" w:themeColor="text1"/>
          <w:sz w:val="24"/>
          <w:szCs w:val="24"/>
        </w:rPr>
        <w:t>、地下水和土壤环境影响分析</w:t>
      </w:r>
    </w:p>
    <w:p w14:paraId="7C0A483F" w14:textId="4F69D263" w:rsidR="00DF369A" w:rsidRPr="00092862" w:rsidRDefault="000852FA" w:rsidP="000852FA">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钻前工程对地下水和土壤环境的影响主要是施工废水及原辅材料泄露进入地下水和土壤环境，对其造成污染。钻前施工</w:t>
      </w:r>
      <w:r w:rsidR="000D0F83" w:rsidRPr="00092862">
        <w:rPr>
          <w:rFonts w:ascii="Times New Roman" w:eastAsia="宋体" w:hAnsi="Times New Roman" w:cs="Times New Roman"/>
          <w:color w:val="000000" w:themeColor="text1"/>
          <w:sz w:val="24"/>
        </w:rPr>
        <w:t>对</w:t>
      </w:r>
      <w:r w:rsidRPr="00092862">
        <w:rPr>
          <w:rFonts w:ascii="Times New Roman" w:eastAsia="宋体" w:hAnsi="Times New Roman" w:cs="Times New Roman"/>
          <w:color w:val="000000" w:themeColor="text1"/>
          <w:sz w:val="24"/>
        </w:rPr>
        <w:t>沉淀池进行防渗，机具材料堆放于防渗垫上面</w:t>
      </w:r>
      <w:r w:rsidR="00DF369A" w:rsidRPr="00092862">
        <w:rPr>
          <w:rFonts w:ascii="Times New Roman" w:eastAsia="宋体" w:hAnsi="Times New Roman" w:cs="Times New Roman"/>
          <w:color w:val="000000" w:themeColor="text1"/>
          <w:sz w:val="24"/>
        </w:rPr>
        <w:t>，因此，</w:t>
      </w:r>
      <w:r w:rsidR="000D0F83" w:rsidRPr="00092862">
        <w:rPr>
          <w:rFonts w:ascii="Times New Roman" w:eastAsia="宋体" w:hAnsi="Times New Roman" w:cs="Times New Roman"/>
          <w:color w:val="000000" w:themeColor="text1"/>
          <w:sz w:val="24"/>
        </w:rPr>
        <w:t>采取上述措施后</w:t>
      </w:r>
      <w:r w:rsidR="00DF369A" w:rsidRPr="00092862">
        <w:rPr>
          <w:rFonts w:ascii="Times New Roman" w:eastAsia="宋体" w:hAnsi="Times New Roman" w:cs="Times New Roman"/>
          <w:color w:val="000000" w:themeColor="text1"/>
          <w:sz w:val="24"/>
        </w:rPr>
        <w:t>钻前工程对区域地下水和土壤环境基本无影响。</w:t>
      </w:r>
    </w:p>
    <w:p w14:paraId="3182A06F" w14:textId="59BA7B67" w:rsidR="00DF369A" w:rsidRPr="00092862" w:rsidRDefault="00573FA1" w:rsidP="000852FA">
      <w:pPr>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4</w:t>
      </w:r>
      <w:r w:rsidR="00DF369A" w:rsidRPr="00092862">
        <w:rPr>
          <w:rFonts w:ascii="Times New Roman" w:eastAsia="黑体" w:hAnsi="Times New Roman" w:cs="Times New Roman"/>
          <w:bCs/>
          <w:color w:val="000000" w:themeColor="text1"/>
          <w:sz w:val="24"/>
          <w:szCs w:val="24"/>
        </w:rPr>
        <w:t>、固废影响分析</w:t>
      </w:r>
    </w:p>
    <w:p w14:paraId="7B518C6D" w14:textId="5E2BFC67" w:rsidR="00CA2BF8" w:rsidRPr="00092862" w:rsidRDefault="002579C0" w:rsidP="00DF369A">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w:t>
      </w:r>
      <w:r w:rsidR="00DB2C6C" w:rsidRPr="00092862">
        <w:rPr>
          <w:rFonts w:ascii="Times New Roman" w:eastAsia="宋体" w:hAnsi="Times New Roman" w:cs="Times New Roman"/>
          <w:color w:val="000000" w:themeColor="text1"/>
          <w:sz w:val="24"/>
        </w:rPr>
        <w:t>为新建</w:t>
      </w:r>
      <w:r w:rsidR="00450ECF" w:rsidRPr="00092862">
        <w:rPr>
          <w:rFonts w:ascii="Times New Roman" w:eastAsia="宋体" w:hAnsi="Times New Roman" w:cs="Times New Roman"/>
          <w:color w:val="000000" w:themeColor="text1"/>
          <w:sz w:val="24"/>
        </w:rPr>
        <w:t>，钻前工程工程量小，时间短，</w:t>
      </w:r>
      <w:r w:rsidR="00DF369A" w:rsidRPr="00092862">
        <w:rPr>
          <w:rFonts w:ascii="Times New Roman" w:eastAsia="宋体" w:hAnsi="Times New Roman" w:cs="Times New Roman"/>
          <w:color w:val="000000" w:themeColor="text1"/>
          <w:sz w:val="24"/>
        </w:rPr>
        <w:t>工程</w:t>
      </w:r>
      <w:r w:rsidR="004D4F75" w:rsidRPr="00092862">
        <w:rPr>
          <w:rFonts w:ascii="Times New Roman" w:eastAsia="宋体" w:hAnsi="Times New Roman" w:cs="Times New Roman"/>
          <w:color w:val="000000" w:themeColor="text1"/>
          <w:sz w:val="24"/>
        </w:rPr>
        <w:t>弃土主要为</w:t>
      </w:r>
      <w:r w:rsidR="00DB2C6C" w:rsidRPr="00092862">
        <w:rPr>
          <w:rFonts w:ascii="Times New Roman" w:eastAsia="宋体" w:hAnsi="Times New Roman" w:cs="Times New Roman"/>
          <w:color w:val="000000" w:themeColor="text1"/>
          <w:sz w:val="24"/>
        </w:rPr>
        <w:t>井场</w:t>
      </w:r>
      <w:r w:rsidR="004D4F75" w:rsidRPr="00092862">
        <w:rPr>
          <w:rFonts w:ascii="Times New Roman" w:eastAsia="宋体" w:hAnsi="Times New Roman" w:cs="Times New Roman"/>
          <w:color w:val="000000" w:themeColor="text1"/>
          <w:sz w:val="24"/>
        </w:rPr>
        <w:t>设备基础施工产生的弃土与拆除工程产生的建筑弃渣</w:t>
      </w:r>
      <w:r w:rsidR="00DF369A" w:rsidRPr="00092862">
        <w:rPr>
          <w:rFonts w:ascii="Times New Roman" w:eastAsia="宋体" w:hAnsi="Times New Roman" w:cs="Times New Roman"/>
          <w:color w:val="000000" w:themeColor="text1"/>
          <w:sz w:val="24"/>
        </w:rPr>
        <w:t>，这些弃土</w:t>
      </w:r>
      <w:r w:rsidR="00CF55F4" w:rsidRPr="00092862">
        <w:rPr>
          <w:rFonts w:ascii="Times New Roman" w:eastAsia="宋体" w:hAnsi="Times New Roman" w:cs="Times New Roman"/>
          <w:color w:val="000000" w:themeColor="text1"/>
          <w:sz w:val="24"/>
        </w:rPr>
        <w:t>用于井场平整，无弃渣产生</w:t>
      </w:r>
      <w:r w:rsidR="00DF369A" w:rsidRPr="00092862">
        <w:rPr>
          <w:rFonts w:ascii="Times New Roman" w:eastAsia="宋体" w:hAnsi="Times New Roman" w:cs="Times New Roman"/>
          <w:color w:val="000000" w:themeColor="text1"/>
          <w:sz w:val="24"/>
        </w:rPr>
        <w:t>。钻前工程产生其他的建筑废料、弃渣和生活垃圾产生量较少，</w:t>
      </w:r>
      <w:r w:rsidR="00D47588" w:rsidRPr="00092862">
        <w:rPr>
          <w:rFonts w:ascii="Times New Roman" w:eastAsia="宋体" w:hAnsi="Times New Roman" w:cs="Times New Roman"/>
          <w:color w:val="000000" w:themeColor="text1"/>
          <w:sz w:val="24"/>
        </w:rPr>
        <w:t>建筑垃圾</w:t>
      </w:r>
      <w:r w:rsidR="00DF369A" w:rsidRPr="00092862">
        <w:rPr>
          <w:rFonts w:ascii="Times New Roman" w:eastAsia="宋体" w:hAnsi="Times New Roman" w:cs="Times New Roman"/>
          <w:color w:val="000000" w:themeColor="text1"/>
          <w:sz w:val="24"/>
        </w:rPr>
        <w:t>用于井场平整或</w:t>
      </w:r>
      <w:r w:rsidR="00D47588" w:rsidRPr="00092862">
        <w:rPr>
          <w:rFonts w:ascii="Times New Roman" w:eastAsia="宋体" w:hAnsi="Times New Roman" w:cs="Times New Roman"/>
          <w:color w:val="000000" w:themeColor="text1"/>
          <w:sz w:val="24"/>
        </w:rPr>
        <w:t>统一收集清运至政府指定地点，生活垃圾收集后</w:t>
      </w:r>
      <w:r w:rsidR="00DF369A" w:rsidRPr="00092862">
        <w:rPr>
          <w:rFonts w:ascii="Times New Roman" w:eastAsia="宋体" w:hAnsi="Times New Roman" w:cs="Times New Roman"/>
          <w:color w:val="000000" w:themeColor="text1"/>
          <w:sz w:val="24"/>
        </w:rPr>
        <w:t>依托当地环卫部门处理</w:t>
      </w:r>
      <w:r w:rsidR="000852FA" w:rsidRPr="00092862">
        <w:rPr>
          <w:rFonts w:ascii="Times New Roman" w:eastAsia="宋体" w:hAnsi="Times New Roman" w:cs="Times New Roman"/>
          <w:color w:val="000000" w:themeColor="text1"/>
          <w:sz w:val="24"/>
        </w:rPr>
        <w:t>，对环境影响</w:t>
      </w:r>
      <w:r w:rsidR="00DF369A" w:rsidRPr="00092862">
        <w:rPr>
          <w:rFonts w:ascii="Times New Roman" w:eastAsia="宋体" w:hAnsi="Times New Roman" w:cs="Times New Roman"/>
          <w:color w:val="000000" w:themeColor="text1"/>
          <w:sz w:val="24"/>
        </w:rPr>
        <w:t>小</w:t>
      </w:r>
      <w:r w:rsidR="000852FA" w:rsidRPr="00092862">
        <w:rPr>
          <w:rFonts w:ascii="Times New Roman" w:eastAsia="宋体" w:hAnsi="Times New Roman" w:cs="Times New Roman"/>
          <w:color w:val="000000" w:themeColor="text1"/>
          <w:sz w:val="24"/>
        </w:rPr>
        <w:t>。</w:t>
      </w:r>
    </w:p>
    <w:p w14:paraId="02852418" w14:textId="6246C142" w:rsidR="00DF369A" w:rsidRPr="00092862" w:rsidRDefault="00DF369A" w:rsidP="00DF369A">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00" w:name="_Toc120173152"/>
      <w:r w:rsidRPr="00092862">
        <w:rPr>
          <w:rFonts w:ascii="Times New Roman" w:eastAsia="黑体" w:hAnsi="Times New Roman"/>
          <w:b w:val="0"/>
          <w:color w:val="000000" w:themeColor="text1"/>
          <w:sz w:val="24"/>
          <w:szCs w:val="24"/>
          <w:lang w:eastAsia="zh-CN"/>
        </w:rPr>
        <w:t>5.1.</w:t>
      </w:r>
      <w:r w:rsidR="00573FA1"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施工期钻井工程环境影响分析</w:t>
      </w:r>
      <w:bookmarkEnd w:id="200"/>
    </w:p>
    <w:p w14:paraId="64B3F5D4" w14:textId="37B83366" w:rsidR="000852FA" w:rsidRPr="00092862" w:rsidRDefault="00573FA1" w:rsidP="00F521DD">
      <w:pPr>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1</w:t>
      </w:r>
      <w:r w:rsidR="000852FA" w:rsidRPr="00092862">
        <w:rPr>
          <w:rFonts w:ascii="Times New Roman" w:eastAsia="黑体" w:hAnsi="Times New Roman" w:cs="Times New Roman"/>
          <w:bCs/>
          <w:color w:val="000000" w:themeColor="text1"/>
          <w:sz w:val="24"/>
          <w:szCs w:val="24"/>
        </w:rPr>
        <w:t>、</w:t>
      </w:r>
      <w:r w:rsidR="00DF369A" w:rsidRPr="00092862">
        <w:rPr>
          <w:rFonts w:ascii="Times New Roman" w:eastAsia="黑体" w:hAnsi="Times New Roman" w:cs="Times New Roman"/>
          <w:bCs/>
          <w:color w:val="000000" w:themeColor="text1"/>
          <w:sz w:val="24"/>
          <w:szCs w:val="24"/>
        </w:rPr>
        <w:t>大气</w:t>
      </w:r>
      <w:r w:rsidR="000852FA" w:rsidRPr="00092862">
        <w:rPr>
          <w:rFonts w:ascii="Times New Roman" w:eastAsia="黑体" w:hAnsi="Times New Roman" w:cs="Times New Roman"/>
          <w:bCs/>
          <w:color w:val="000000" w:themeColor="text1"/>
          <w:sz w:val="24"/>
          <w:szCs w:val="24"/>
        </w:rPr>
        <w:t>环境影响分析</w:t>
      </w:r>
    </w:p>
    <w:p w14:paraId="66EAC458" w14:textId="3651D2CA" w:rsidR="000852FA" w:rsidRPr="00092862" w:rsidRDefault="003909FC" w:rsidP="003909FC">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本项目钻井阶段废气主要为</w:t>
      </w:r>
      <w:r w:rsidR="00F947C6" w:rsidRPr="00092862">
        <w:rPr>
          <w:rFonts w:ascii="Times New Roman" w:eastAsia="宋体" w:hAnsi="Times New Roman" w:cs="Times New Roman"/>
          <w:color w:val="000000" w:themeColor="text1"/>
          <w:sz w:val="24"/>
        </w:rPr>
        <w:t>备用柴油机</w:t>
      </w:r>
      <w:r w:rsidR="00F947C6" w:rsidRPr="00092862">
        <w:rPr>
          <w:rFonts w:ascii="Times New Roman" w:eastAsia="宋体" w:hAnsi="Times New Roman" w:cs="Times New Roman"/>
          <w:color w:val="000000" w:themeColor="text1"/>
          <w:sz w:val="24"/>
        </w:rPr>
        <w:t>/</w:t>
      </w:r>
      <w:r w:rsidR="00F947C6" w:rsidRPr="00092862">
        <w:rPr>
          <w:rFonts w:ascii="Times New Roman" w:eastAsia="宋体" w:hAnsi="Times New Roman" w:cs="Times New Roman"/>
          <w:color w:val="000000" w:themeColor="text1"/>
          <w:sz w:val="24"/>
        </w:rPr>
        <w:t>发电机废气、事故放喷废气、压裂作业废气、无组织挥发性废气、完井测试放喷废气</w:t>
      </w:r>
      <w:r w:rsidRPr="00092862">
        <w:rPr>
          <w:rFonts w:ascii="Times New Roman" w:eastAsia="宋体" w:hAnsi="Times New Roman" w:cs="Times New Roman"/>
          <w:color w:val="000000" w:themeColor="text1"/>
          <w:sz w:val="24"/>
        </w:rPr>
        <w:t>。</w:t>
      </w:r>
    </w:p>
    <w:p w14:paraId="577B473F" w14:textId="77777777" w:rsidR="000852FA" w:rsidRPr="00092862" w:rsidRDefault="003909FC" w:rsidP="000852FA">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）备用柴油机</w:t>
      </w: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发电机废气</w:t>
      </w:r>
      <w:r w:rsidR="0069295E" w:rsidRPr="00092862">
        <w:rPr>
          <w:rFonts w:ascii="Times New Roman" w:eastAsia="宋体" w:hAnsi="Times New Roman" w:cs="Times New Roman"/>
          <w:b/>
          <w:color w:val="000000" w:themeColor="text1"/>
          <w:sz w:val="24"/>
          <w:szCs w:val="24"/>
        </w:rPr>
        <w:t>影响分析</w:t>
      </w:r>
    </w:p>
    <w:p w14:paraId="2F692F94" w14:textId="5D5B715B" w:rsidR="000852FA" w:rsidRPr="00092862" w:rsidRDefault="003909FC" w:rsidP="003909FC">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钻井期间，一般电力由当地电网提供，钻井作业期间停电等紧急情况下柴油发电机组废气主要污染物为</w:t>
      </w:r>
      <w:r w:rsidRPr="00092862">
        <w:rPr>
          <w:rFonts w:ascii="Times New Roman" w:eastAsia="宋体" w:hAnsi="Times New Roman" w:cs="Times New Roman"/>
          <w:color w:val="000000" w:themeColor="text1"/>
          <w:sz w:val="24"/>
        </w:rPr>
        <w:t>NOx</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SO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、颗粒物，虽然柴油机自带排气筒距离地面约</w:t>
      </w:r>
      <w:r w:rsidRPr="00092862">
        <w:rPr>
          <w:rFonts w:ascii="Times New Roman" w:eastAsia="宋体" w:hAnsi="Times New Roman" w:cs="Times New Roman"/>
          <w:color w:val="000000" w:themeColor="text1"/>
          <w:sz w:val="24"/>
        </w:rPr>
        <w:t>6m</w:t>
      </w:r>
      <w:r w:rsidRPr="00092862">
        <w:rPr>
          <w:rFonts w:ascii="Times New Roman" w:eastAsia="宋体" w:hAnsi="Times New Roman" w:cs="Times New Roman"/>
          <w:color w:val="000000" w:themeColor="text1"/>
          <w:sz w:val="24"/>
        </w:rPr>
        <w:t>，未达到</w:t>
      </w:r>
      <w:r w:rsidRPr="00092862">
        <w:rPr>
          <w:rFonts w:ascii="Times New Roman" w:eastAsia="宋体" w:hAnsi="Times New Roman" w:cs="Times New Roman"/>
          <w:color w:val="000000" w:themeColor="text1"/>
          <w:sz w:val="24"/>
        </w:rPr>
        <w:t>15m</w:t>
      </w:r>
      <w:r w:rsidRPr="00092862">
        <w:rPr>
          <w:rFonts w:ascii="Times New Roman" w:eastAsia="宋体" w:hAnsi="Times New Roman" w:cs="Times New Roman"/>
          <w:color w:val="000000" w:themeColor="text1"/>
          <w:sz w:val="24"/>
        </w:rPr>
        <w:t>，但由于在设备上升高排气筒技术上难实行，设备自身是环保达标设备，采用设备自带排气筒排气影响范围小，影响时间短</w:t>
      </w:r>
      <w:r w:rsidR="00E92E71" w:rsidRPr="00092862">
        <w:rPr>
          <w:rFonts w:ascii="Times New Roman" w:eastAsia="宋体" w:hAnsi="Times New Roman" w:cs="Times New Roman"/>
          <w:color w:val="000000" w:themeColor="text1"/>
          <w:sz w:val="24"/>
        </w:rPr>
        <w:t>，且根</w:t>
      </w:r>
      <w:r w:rsidR="00E92E71" w:rsidRPr="00092862">
        <w:rPr>
          <w:rFonts w:ascii="Times New Roman" w:eastAsia="宋体" w:hAnsi="Times New Roman" w:cs="Times New Roman"/>
          <w:color w:val="000000" w:themeColor="text1"/>
          <w:sz w:val="24"/>
        </w:rPr>
        <w:lastRenderedPageBreak/>
        <w:t>据</w:t>
      </w:r>
      <w:r w:rsidR="00E92E71" w:rsidRPr="00092862">
        <w:rPr>
          <w:rFonts w:ascii="Times New Roman" w:eastAsia="宋体" w:hAnsi="Times New Roman" w:cs="Times New Roman"/>
          <w:color w:val="000000" w:themeColor="text1"/>
          <w:sz w:val="24"/>
        </w:rPr>
        <w:t>2017.1.12</w:t>
      </w:r>
      <w:r w:rsidR="00E92E71" w:rsidRPr="00092862">
        <w:rPr>
          <w:rFonts w:ascii="Times New Roman" w:eastAsia="宋体" w:hAnsi="Times New Roman" w:cs="Times New Roman"/>
          <w:color w:val="000000" w:themeColor="text1"/>
          <w:sz w:val="24"/>
        </w:rPr>
        <w:t>环保部长《关于</w:t>
      </w:r>
      <w:r w:rsidR="00E92E71" w:rsidRPr="00092862">
        <w:rPr>
          <w:rFonts w:ascii="Times New Roman" w:eastAsia="宋体" w:hAnsi="Times New Roman" w:cs="Times New Roman"/>
          <w:color w:val="000000" w:themeColor="text1"/>
          <w:sz w:val="24"/>
        </w:rPr>
        <w:t xml:space="preserve">GB16297-1996 </w:t>
      </w:r>
      <w:r w:rsidR="00E92E71" w:rsidRPr="00092862">
        <w:rPr>
          <w:rFonts w:ascii="Times New Roman" w:eastAsia="宋体" w:hAnsi="Times New Roman" w:cs="Times New Roman"/>
          <w:color w:val="000000" w:themeColor="text1"/>
          <w:sz w:val="24"/>
        </w:rPr>
        <w:t>的适用范围的回复》，对</w:t>
      </w:r>
      <w:r w:rsidR="00E92E71" w:rsidRPr="00092862">
        <w:rPr>
          <w:rFonts w:ascii="Times New Roman" w:eastAsia="宋体" w:hAnsi="Times New Roman" w:cs="Times New Roman"/>
          <w:color w:val="000000" w:themeColor="text1"/>
          <w:sz w:val="24"/>
        </w:rPr>
        <w:t>“</w:t>
      </w:r>
      <w:r w:rsidR="00E92E71" w:rsidRPr="00092862">
        <w:rPr>
          <w:rFonts w:ascii="Times New Roman" w:eastAsia="宋体" w:hAnsi="Times New Roman" w:cs="Times New Roman"/>
          <w:bCs/>
          <w:color w:val="000000" w:themeColor="text1"/>
          <w:sz w:val="24"/>
        </w:rPr>
        <w:t>固定式柴油发电机排气筒高度和排放速率暂不作要求</w:t>
      </w:r>
      <w:r w:rsidR="00E92E71"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w:t>
      </w:r>
      <w:r w:rsidR="00E92E71" w:rsidRPr="00092862">
        <w:rPr>
          <w:rFonts w:ascii="Times New Roman" w:eastAsia="宋体" w:hAnsi="Times New Roman" w:cs="Times New Roman"/>
          <w:color w:val="000000" w:themeColor="text1"/>
          <w:sz w:val="24"/>
        </w:rPr>
        <w:t>因此</w:t>
      </w:r>
      <w:r w:rsidRPr="00092862">
        <w:rPr>
          <w:rFonts w:ascii="Times New Roman" w:eastAsia="宋体" w:hAnsi="Times New Roman" w:cs="Times New Roman"/>
          <w:color w:val="000000" w:themeColor="text1"/>
          <w:sz w:val="24"/>
        </w:rPr>
        <w:t>可不新增措施。</w:t>
      </w:r>
    </w:p>
    <w:p w14:paraId="7153059F" w14:textId="1C6BA081" w:rsidR="003909FC" w:rsidRPr="00092862" w:rsidRDefault="003909FC" w:rsidP="003909FC">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本工程钻井期柴油动力机和发电机废气排放量为</w:t>
      </w:r>
      <w:r w:rsidR="002B62C1" w:rsidRPr="00092862">
        <w:rPr>
          <w:rFonts w:ascii="Times New Roman" w:eastAsia="宋体" w:hAnsi="Times New Roman" w:cs="Times New Roman"/>
          <w:color w:val="000000" w:themeColor="text1"/>
          <w:sz w:val="24"/>
        </w:rPr>
        <w:t>7760</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NOx</w:t>
      </w:r>
      <w:r w:rsidRPr="00092862">
        <w:rPr>
          <w:rFonts w:ascii="Times New Roman" w:eastAsia="宋体" w:hAnsi="Times New Roman" w:cs="Times New Roman"/>
          <w:color w:val="000000" w:themeColor="text1"/>
          <w:sz w:val="24"/>
        </w:rPr>
        <w:t>排放速率约为</w:t>
      </w:r>
      <w:r w:rsidR="002B62C1" w:rsidRPr="00092862">
        <w:rPr>
          <w:rFonts w:ascii="Times New Roman" w:eastAsia="宋体" w:hAnsi="Times New Roman" w:cs="Times New Roman"/>
          <w:color w:val="000000" w:themeColor="text1"/>
          <w:sz w:val="24"/>
        </w:rPr>
        <w:t>1.17</w:t>
      </w:r>
      <w:r w:rsidRPr="00092862">
        <w:rPr>
          <w:rFonts w:ascii="Times New Roman" w:eastAsia="宋体" w:hAnsi="Times New Roman" w:cs="Times New Roman"/>
          <w:color w:val="000000" w:themeColor="text1"/>
          <w:sz w:val="24"/>
        </w:rPr>
        <w:t>kg/h</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SO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排放速率约为</w:t>
      </w:r>
      <w:r w:rsidRPr="00092862">
        <w:rPr>
          <w:rFonts w:ascii="Times New Roman" w:eastAsia="宋体" w:hAnsi="Times New Roman" w:cs="Times New Roman"/>
          <w:color w:val="000000" w:themeColor="text1"/>
          <w:sz w:val="24"/>
        </w:rPr>
        <w:t>0.</w:t>
      </w:r>
      <w:r w:rsidR="002B62C1" w:rsidRPr="00092862">
        <w:rPr>
          <w:rFonts w:ascii="Times New Roman" w:eastAsia="宋体" w:hAnsi="Times New Roman" w:cs="Times New Roman"/>
          <w:color w:val="000000" w:themeColor="text1"/>
          <w:sz w:val="24"/>
        </w:rPr>
        <w:t>008</w:t>
      </w:r>
      <w:r w:rsidRPr="00092862">
        <w:rPr>
          <w:rFonts w:ascii="Times New Roman" w:eastAsia="宋体" w:hAnsi="Times New Roman" w:cs="Times New Roman"/>
          <w:color w:val="000000" w:themeColor="text1"/>
          <w:sz w:val="24"/>
        </w:rPr>
        <w:t>kg/h</w:t>
      </w:r>
      <w:r w:rsidRPr="00092862">
        <w:rPr>
          <w:rFonts w:ascii="Times New Roman" w:eastAsia="宋体" w:hAnsi="Times New Roman" w:cs="Times New Roman"/>
          <w:color w:val="000000" w:themeColor="text1"/>
          <w:sz w:val="24"/>
        </w:rPr>
        <w:t>，颗粒物排放速率约为</w:t>
      </w:r>
      <w:r w:rsidRPr="00092862">
        <w:rPr>
          <w:rFonts w:ascii="Times New Roman" w:eastAsia="宋体" w:hAnsi="Times New Roman" w:cs="Times New Roman"/>
          <w:color w:val="000000" w:themeColor="text1"/>
          <w:sz w:val="24"/>
        </w:rPr>
        <w:t>0.</w:t>
      </w:r>
      <w:r w:rsidR="002B62C1" w:rsidRPr="00092862">
        <w:rPr>
          <w:rFonts w:ascii="Times New Roman" w:eastAsia="宋体" w:hAnsi="Times New Roman" w:cs="Times New Roman"/>
          <w:color w:val="000000" w:themeColor="text1"/>
          <w:sz w:val="24"/>
        </w:rPr>
        <w:t>33</w:t>
      </w:r>
      <w:r w:rsidRPr="00092862">
        <w:rPr>
          <w:rFonts w:ascii="Times New Roman" w:eastAsia="宋体" w:hAnsi="Times New Roman" w:cs="Times New Roman"/>
          <w:color w:val="000000" w:themeColor="text1"/>
          <w:sz w:val="24"/>
        </w:rPr>
        <w:t>kg/h</w:t>
      </w:r>
      <w:r w:rsidRPr="00092862">
        <w:rPr>
          <w:rFonts w:ascii="Times New Roman" w:eastAsia="宋体" w:hAnsi="Times New Roman" w:cs="Times New Roman"/>
          <w:color w:val="000000" w:themeColor="text1"/>
          <w:sz w:val="24"/>
        </w:rPr>
        <w:t>，属连续排放。燃料废气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14:paraId="0FE4DF99" w14:textId="2B0EF040" w:rsidR="003909FC" w:rsidRPr="00092862" w:rsidRDefault="003909FC" w:rsidP="008A21BE">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00E424DA"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）事故放喷废气</w:t>
      </w:r>
      <w:r w:rsidR="0069295E" w:rsidRPr="00092862">
        <w:rPr>
          <w:rFonts w:ascii="Times New Roman" w:eastAsia="宋体" w:hAnsi="Times New Roman" w:cs="Times New Roman"/>
          <w:b/>
          <w:color w:val="000000" w:themeColor="text1"/>
          <w:sz w:val="24"/>
          <w:szCs w:val="24"/>
        </w:rPr>
        <w:t>影响分析</w:t>
      </w:r>
    </w:p>
    <w:p w14:paraId="05CB5EE0" w14:textId="77777777" w:rsidR="00E424DA" w:rsidRPr="00092862" w:rsidRDefault="00E424DA" w:rsidP="00E424DA">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事故放喷是由于地层高压异常导致的，在石油天然气行业是低概率事件。事故放喷主产物是含硫天然气燃烧后产生的</w:t>
      </w:r>
      <w:r w:rsidRPr="00092862">
        <w:rPr>
          <w:rFonts w:ascii="Times New Roman" w:eastAsia="宋体" w:hAnsi="Times New Roman" w:cs="Times New Roman"/>
          <w:color w:val="000000" w:themeColor="text1"/>
          <w:sz w:val="24"/>
        </w:rPr>
        <w:t>CO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SO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2A95DB1B" w14:textId="3FCAF91B" w:rsidR="00E424DA" w:rsidRPr="00092862" w:rsidRDefault="00E424DA" w:rsidP="00E424DA">
      <w:pPr>
        <w:adjustRightInd w:val="0"/>
        <w:snapToGrid w:val="0"/>
        <w:spacing w:line="360" w:lineRule="auto"/>
        <w:ind w:firstLineChars="200" w:firstLine="480"/>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 w:val="24"/>
        </w:rPr>
        <w:t>放喷前建设单位应对距离井口</w:t>
      </w:r>
      <w:r w:rsidRPr="00092862">
        <w:rPr>
          <w:rFonts w:ascii="Times New Roman" w:eastAsia="宋体" w:hAnsi="Times New Roman" w:cs="Times New Roman"/>
          <w:color w:val="000000" w:themeColor="text1"/>
          <w:sz w:val="24"/>
        </w:rPr>
        <w:t>500m</w:t>
      </w:r>
      <w:r w:rsidRPr="00092862">
        <w:rPr>
          <w:rFonts w:ascii="Times New Roman" w:eastAsia="宋体" w:hAnsi="Times New Roman" w:cs="Times New Roman"/>
          <w:color w:val="000000" w:themeColor="text1"/>
          <w:sz w:val="24"/>
        </w:rPr>
        <w:t>范围内的居民临时撤离，并建立警戒点进行</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小时警戒，严禁居民靠近，以减轻放喷废气对这些居民的影响。同时由于测试放喷时间一般为</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小时，属短期排放，不会形成长期环境影响，短期影响也可控制在周边居民健康安全限值以下，污染物排放随测试放喷的结束而停止，不会长期存在，不会影响区域环境空气功能区划。</w:t>
      </w:r>
    </w:p>
    <w:p w14:paraId="15F49CD9" w14:textId="77948AB1" w:rsidR="008A21BE" w:rsidRPr="00092862" w:rsidRDefault="008A21BE" w:rsidP="008A21BE">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002D111E"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）压裂作业废气</w:t>
      </w:r>
      <w:r w:rsidR="0069295E" w:rsidRPr="00092862">
        <w:rPr>
          <w:rFonts w:ascii="Times New Roman" w:eastAsia="宋体" w:hAnsi="Times New Roman" w:cs="Times New Roman"/>
          <w:b/>
          <w:color w:val="000000" w:themeColor="text1"/>
          <w:sz w:val="24"/>
          <w:szCs w:val="24"/>
        </w:rPr>
        <w:t>影响分析</w:t>
      </w:r>
    </w:p>
    <w:p w14:paraId="6431E8A7" w14:textId="748A20E7" w:rsidR="008A21BE" w:rsidRPr="00092862" w:rsidRDefault="008A21BE" w:rsidP="008A21BE">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压裂作业废气主要为压裂车施工机械尾气，主要污染物为</w:t>
      </w:r>
      <w:r w:rsidRPr="00092862">
        <w:rPr>
          <w:rFonts w:ascii="Times New Roman" w:eastAsia="宋体" w:hAnsi="Times New Roman" w:cs="Times New Roman"/>
          <w:color w:val="000000" w:themeColor="text1"/>
          <w:sz w:val="24"/>
        </w:rPr>
        <w:t>NO</w:t>
      </w:r>
      <w:r w:rsidRPr="00092862">
        <w:rPr>
          <w:rFonts w:ascii="Times New Roman" w:eastAsia="宋体" w:hAnsi="Times New Roman" w:cs="Times New Roman"/>
          <w:color w:val="000000" w:themeColor="text1"/>
          <w:sz w:val="24"/>
          <w:vertAlign w:val="subscript"/>
        </w:rPr>
        <w:t>X</w:t>
      </w:r>
      <w:r w:rsidRPr="00092862">
        <w:rPr>
          <w:rFonts w:ascii="Times New Roman" w:eastAsia="宋体" w:hAnsi="Times New Roman" w:cs="Times New Roman"/>
          <w:color w:val="000000" w:themeColor="text1"/>
          <w:sz w:val="24"/>
        </w:rPr>
        <w:t>、烟尘及少量</w:t>
      </w:r>
      <w:r w:rsidRPr="00092862">
        <w:rPr>
          <w:rFonts w:ascii="Times New Roman" w:eastAsia="宋体" w:hAnsi="Times New Roman" w:cs="Times New Roman"/>
          <w:color w:val="000000" w:themeColor="text1"/>
          <w:sz w:val="24"/>
        </w:rPr>
        <w:t>CO</w:t>
      </w:r>
      <w:r w:rsidRPr="00092862">
        <w:rPr>
          <w:rFonts w:ascii="Times New Roman" w:eastAsia="宋体" w:hAnsi="Times New Roman" w:cs="Times New Roman"/>
          <w:color w:val="000000" w:themeColor="text1"/>
          <w:sz w:val="24"/>
        </w:rPr>
        <w:t>，采用合格燃油、加强设备保养减少尾气排放量。压裂作业持续时间较短、污染物产生量小，对当地大气环境影响较小，影响可接受。</w:t>
      </w:r>
    </w:p>
    <w:p w14:paraId="721D435D" w14:textId="0479AC68" w:rsidR="002D111E" w:rsidRPr="00092862" w:rsidRDefault="002D111E" w:rsidP="002D111E">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4</w:t>
      </w:r>
      <w:r w:rsidRPr="00092862">
        <w:rPr>
          <w:rFonts w:ascii="Times New Roman" w:eastAsia="宋体" w:hAnsi="Times New Roman" w:cs="Times New Roman"/>
          <w:b/>
          <w:bCs/>
          <w:color w:val="000000" w:themeColor="text1"/>
          <w:sz w:val="24"/>
        </w:rPr>
        <w:t>）无组织挥发性废气</w:t>
      </w:r>
    </w:p>
    <w:p w14:paraId="210C0A82" w14:textId="1FEC67F4" w:rsidR="002D111E" w:rsidRPr="00092862" w:rsidRDefault="002D111E" w:rsidP="002D111E">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69B734DE" w14:textId="77777777" w:rsidR="003909FC" w:rsidRPr="00092862" w:rsidRDefault="003909FC" w:rsidP="008A21BE">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lastRenderedPageBreak/>
        <w:t>（</w:t>
      </w:r>
      <w:r w:rsidR="008A21BE" w:rsidRPr="00092862">
        <w:rPr>
          <w:rFonts w:ascii="Times New Roman" w:eastAsia="宋体" w:hAnsi="Times New Roman" w:cs="Times New Roman"/>
          <w:b/>
          <w:bCs/>
          <w:color w:val="000000" w:themeColor="text1"/>
          <w:sz w:val="24"/>
        </w:rPr>
        <w:t>5</w:t>
      </w:r>
      <w:r w:rsidRPr="00092862">
        <w:rPr>
          <w:rFonts w:ascii="Times New Roman" w:eastAsia="宋体" w:hAnsi="Times New Roman" w:cs="Times New Roman"/>
          <w:b/>
          <w:bCs/>
          <w:color w:val="000000" w:themeColor="text1"/>
          <w:sz w:val="24"/>
        </w:rPr>
        <w:t>）测试放喷废气</w:t>
      </w:r>
      <w:r w:rsidR="0069295E" w:rsidRPr="00092862">
        <w:rPr>
          <w:rFonts w:ascii="Times New Roman" w:eastAsia="宋体" w:hAnsi="Times New Roman" w:cs="Times New Roman"/>
          <w:b/>
          <w:color w:val="000000" w:themeColor="text1"/>
          <w:sz w:val="24"/>
          <w:szCs w:val="24"/>
        </w:rPr>
        <w:t>影响分析</w:t>
      </w:r>
    </w:p>
    <w:p w14:paraId="34741F90" w14:textId="0955F8F9" w:rsidR="003909FC" w:rsidRPr="00092862" w:rsidRDefault="003909FC" w:rsidP="008A21BE">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测试放喷废气采用地面灼烧处理，放喷池地势空旷，该技术在钻井工程中广泛应用，技术成熟可靠，措施可行，</w:t>
      </w:r>
      <w:r w:rsidR="002D111E" w:rsidRPr="00092862">
        <w:rPr>
          <w:rFonts w:ascii="Times New Roman" w:eastAsia="宋体" w:hAnsi="Times New Roman" w:cs="Times New Roman"/>
          <w:color w:val="000000" w:themeColor="text1"/>
          <w:sz w:val="24"/>
          <w:szCs w:val="24"/>
        </w:rPr>
        <w:t>其主要污染物为</w:t>
      </w:r>
      <w:r w:rsidR="002D111E" w:rsidRPr="00092862">
        <w:rPr>
          <w:rFonts w:ascii="Times New Roman" w:eastAsia="宋体" w:hAnsi="Times New Roman" w:cs="Times New Roman"/>
          <w:color w:val="000000" w:themeColor="text1"/>
          <w:sz w:val="24"/>
          <w:szCs w:val="24"/>
        </w:rPr>
        <w:t>CO</w:t>
      </w:r>
      <w:r w:rsidR="002D111E" w:rsidRPr="00092862">
        <w:rPr>
          <w:rFonts w:ascii="Times New Roman" w:eastAsia="宋体" w:hAnsi="Times New Roman" w:cs="Times New Roman"/>
          <w:color w:val="000000" w:themeColor="text1"/>
          <w:sz w:val="24"/>
          <w:szCs w:val="24"/>
          <w:vertAlign w:val="subscript"/>
        </w:rPr>
        <w:t>2</w:t>
      </w:r>
      <w:r w:rsidR="002D111E" w:rsidRPr="00092862">
        <w:rPr>
          <w:rFonts w:ascii="Times New Roman" w:eastAsia="宋体" w:hAnsi="Times New Roman" w:cs="Times New Roman"/>
          <w:color w:val="000000" w:themeColor="text1"/>
          <w:sz w:val="24"/>
          <w:szCs w:val="24"/>
        </w:rPr>
        <w:t>和</w:t>
      </w:r>
      <w:r w:rsidR="002D111E" w:rsidRPr="00092862">
        <w:rPr>
          <w:rFonts w:ascii="Times New Roman" w:eastAsia="宋体" w:hAnsi="Times New Roman" w:cs="Times New Roman"/>
          <w:color w:val="000000" w:themeColor="text1"/>
          <w:sz w:val="24"/>
          <w:szCs w:val="24"/>
        </w:rPr>
        <w:t>SO</w:t>
      </w:r>
      <w:r w:rsidR="002D111E"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rPr>
        <w:t>等，放喷时间短，属临时排放，</w:t>
      </w:r>
      <w:r w:rsidR="00CD3B93" w:rsidRPr="00092862">
        <w:rPr>
          <w:rFonts w:ascii="Times New Roman" w:eastAsia="宋体" w:hAnsi="Times New Roman" w:cs="Times New Roman"/>
          <w:color w:val="000000" w:themeColor="text1"/>
          <w:sz w:val="24"/>
        </w:rPr>
        <w:t>类比</w:t>
      </w:r>
      <w:r w:rsidR="002D111E" w:rsidRPr="00092862">
        <w:rPr>
          <w:rFonts w:ascii="Times New Roman" w:eastAsia="宋体" w:hAnsi="Times New Roman" w:cs="Times New Roman"/>
          <w:color w:val="000000" w:themeColor="text1"/>
          <w:sz w:val="24"/>
        </w:rPr>
        <w:t>区域</w:t>
      </w:r>
      <w:r w:rsidR="00CD3B93" w:rsidRPr="00092862">
        <w:rPr>
          <w:rFonts w:ascii="Times New Roman" w:eastAsia="宋体" w:hAnsi="Times New Roman" w:cs="Times New Roman"/>
          <w:color w:val="000000" w:themeColor="text1"/>
          <w:sz w:val="24"/>
        </w:rPr>
        <w:t>已完钻井测试情况，测试放喷废气</w:t>
      </w:r>
      <w:r w:rsidRPr="00092862">
        <w:rPr>
          <w:rFonts w:ascii="Times New Roman" w:eastAsia="宋体" w:hAnsi="Times New Roman" w:cs="Times New Roman"/>
          <w:color w:val="000000" w:themeColor="text1"/>
          <w:sz w:val="24"/>
        </w:rPr>
        <w:t>对大气环境的影响是可接受的。</w:t>
      </w:r>
      <w:r w:rsidR="002D111E" w:rsidRPr="00092862">
        <w:rPr>
          <w:rFonts w:ascii="Times New Roman" w:eastAsia="宋体" w:hAnsi="Times New Roman" w:cs="Times New Roman"/>
          <w:color w:val="000000" w:themeColor="text1"/>
          <w:sz w:val="24"/>
          <w:szCs w:val="24"/>
        </w:rPr>
        <w:t>并将随测试放喷的结束而消除，对周边大气环境影响较小。</w:t>
      </w:r>
    </w:p>
    <w:p w14:paraId="65EB94E7" w14:textId="77777777" w:rsidR="003909FC" w:rsidRPr="00092862" w:rsidRDefault="003909FC" w:rsidP="008A21BE">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总之，钻井期间废气污染物排放量少，且排放时间短，对井场所在地大气环境影响甚微。</w:t>
      </w:r>
    </w:p>
    <w:p w14:paraId="19BC4799" w14:textId="6CA91D20" w:rsidR="00880CFC" w:rsidRPr="00092862" w:rsidRDefault="00573FA1" w:rsidP="00880CFC">
      <w:pPr>
        <w:adjustRightInd w:val="0"/>
        <w:snapToGrid w:val="0"/>
        <w:spacing w:line="360" w:lineRule="auto"/>
        <w:ind w:firstLineChars="200" w:firstLine="480"/>
        <w:rPr>
          <w:rFonts w:ascii="Times New Roman" w:eastAsia="黑体" w:hAnsi="Times New Roman" w:cs="Times New Roman"/>
          <w:bCs/>
          <w:color w:val="000000" w:themeColor="text1"/>
          <w:sz w:val="24"/>
          <w:szCs w:val="24"/>
        </w:rPr>
      </w:pPr>
      <w:r w:rsidRPr="00092862">
        <w:rPr>
          <w:rFonts w:ascii="Times New Roman" w:eastAsia="黑体" w:hAnsi="Times New Roman" w:cs="Times New Roman"/>
          <w:bCs/>
          <w:color w:val="000000" w:themeColor="text1"/>
          <w:sz w:val="24"/>
          <w:szCs w:val="24"/>
        </w:rPr>
        <w:t>2</w:t>
      </w:r>
      <w:r w:rsidR="00880CFC" w:rsidRPr="00092862">
        <w:rPr>
          <w:rFonts w:ascii="Times New Roman" w:eastAsia="黑体" w:hAnsi="Times New Roman" w:cs="Times New Roman"/>
          <w:bCs/>
          <w:color w:val="000000" w:themeColor="text1"/>
          <w:sz w:val="24"/>
          <w:szCs w:val="24"/>
        </w:rPr>
        <w:t>、</w:t>
      </w:r>
      <w:r w:rsidR="00CD3B93" w:rsidRPr="00092862">
        <w:rPr>
          <w:rFonts w:ascii="Times New Roman" w:eastAsia="黑体" w:hAnsi="Times New Roman" w:cs="Times New Roman"/>
          <w:bCs/>
          <w:color w:val="000000" w:themeColor="text1"/>
          <w:sz w:val="24"/>
          <w:szCs w:val="24"/>
        </w:rPr>
        <w:t>地表水</w:t>
      </w:r>
      <w:r w:rsidR="00880CFC" w:rsidRPr="00092862">
        <w:rPr>
          <w:rFonts w:ascii="Times New Roman" w:eastAsia="黑体" w:hAnsi="Times New Roman" w:cs="Times New Roman"/>
          <w:bCs/>
          <w:color w:val="000000" w:themeColor="text1"/>
          <w:sz w:val="24"/>
          <w:szCs w:val="24"/>
        </w:rPr>
        <w:t>环境影响分析</w:t>
      </w:r>
    </w:p>
    <w:p w14:paraId="67137EB6" w14:textId="77777777" w:rsidR="00CD3B93" w:rsidRPr="00092862" w:rsidRDefault="00880CFC" w:rsidP="00CD3B93">
      <w:pPr>
        <w:adjustRightInd w:val="0"/>
        <w:snapToGrid w:val="0"/>
        <w:spacing w:line="360" w:lineRule="auto"/>
        <w:ind w:firstLineChars="200" w:firstLine="482"/>
        <w:rPr>
          <w:rFonts w:ascii="Times New Roman" w:eastAsia="宋体" w:hAnsi="Times New Roman" w:cs="Times New Roman"/>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w:t>
      </w:r>
      <w:r w:rsidR="00CD3B93" w:rsidRPr="00092862">
        <w:rPr>
          <w:rFonts w:ascii="Times New Roman" w:eastAsia="宋体" w:hAnsi="Times New Roman" w:cs="Times New Roman"/>
          <w:b/>
          <w:bCs/>
          <w:color w:val="000000" w:themeColor="text1"/>
          <w:sz w:val="24"/>
        </w:rPr>
        <w:t>场地渗透、外溢对地表水环境影响分析</w:t>
      </w:r>
    </w:p>
    <w:p w14:paraId="71F10CEB" w14:textId="228FBF6C" w:rsidR="00CD3B93" w:rsidRPr="00092862" w:rsidRDefault="00CD3B93" w:rsidP="00CD3B93">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color w:val="000000" w:themeColor="text1"/>
          <w:sz w:val="24"/>
        </w:rPr>
        <w:t>本项目井口设置方井，用于收集钻井过程中散落的泥浆和污水，泥浆泵入泥浆罐回收利用，废水通过污水泵泵入泥浆不落地系统内处理回用。</w:t>
      </w:r>
      <w:r w:rsidR="00271DF7" w:rsidRPr="00092862">
        <w:rPr>
          <w:rFonts w:ascii="Times New Roman" w:eastAsia="宋体" w:hAnsi="Times New Roman" w:cs="Times New Roman"/>
          <w:bCs/>
          <w:color w:val="000000" w:themeColor="text1"/>
          <w:sz w:val="24"/>
        </w:rPr>
        <w:t>钻井期生活污水经生态厕所收集后定期由密闭罐车拉运至周边生活污水处理厂处理</w:t>
      </w:r>
      <w:r w:rsidRPr="00092862">
        <w:rPr>
          <w:rFonts w:ascii="Times New Roman" w:eastAsia="宋体" w:hAnsi="Times New Roman" w:cs="Times New Roman"/>
          <w:bCs/>
          <w:color w:val="000000" w:themeColor="text1"/>
          <w:sz w:val="24"/>
        </w:rPr>
        <w:t>；项目产生的钻井废水、洗井废水和压裂返排液被贮</w:t>
      </w:r>
      <w:r w:rsidR="00893738" w:rsidRPr="00092862">
        <w:rPr>
          <w:rFonts w:ascii="Times New Roman" w:eastAsia="宋体" w:hAnsi="Times New Roman" w:cs="Times New Roman"/>
          <w:bCs/>
          <w:color w:val="000000" w:themeColor="text1"/>
          <w:sz w:val="24"/>
        </w:rPr>
        <w:t>存于井场泥浆不落地装置</w:t>
      </w:r>
      <w:r w:rsidR="00745CAF" w:rsidRPr="00092862">
        <w:rPr>
          <w:rFonts w:ascii="Times New Roman" w:eastAsia="宋体" w:hAnsi="Times New Roman" w:cs="Times New Roman"/>
          <w:bCs/>
          <w:color w:val="000000" w:themeColor="text1"/>
          <w:sz w:val="24"/>
        </w:rPr>
        <w:t>污水</w:t>
      </w:r>
      <w:r w:rsidR="00893738" w:rsidRPr="00092862">
        <w:rPr>
          <w:rFonts w:ascii="Times New Roman" w:eastAsia="宋体" w:hAnsi="Times New Roman" w:cs="Times New Roman"/>
          <w:bCs/>
          <w:color w:val="000000" w:themeColor="text1"/>
          <w:sz w:val="24"/>
        </w:rPr>
        <w:t>罐</w:t>
      </w:r>
      <w:r w:rsidR="007F2122" w:rsidRPr="00092862">
        <w:rPr>
          <w:rFonts w:ascii="Times New Roman" w:eastAsia="宋体" w:hAnsi="Times New Roman" w:cs="Times New Roman"/>
          <w:bCs/>
          <w:color w:val="000000" w:themeColor="text1"/>
          <w:sz w:val="24"/>
        </w:rPr>
        <w:t>、</w:t>
      </w:r>
      <w:r w:rsidR="00893738" w:rsidRPr="00092862">
        <w:rPr>
          <w:rFonts w:ascii="Times New Roman" w:eastAsia="宋体" w:hAnsi="Times New Roman" w:cs="Times New Roman"/>
          <w:bCs/>
          <w:color w:val="000000" w:themeColor="text1"/>
          <w:sz w:val="24"/>
        </w:rPr>
        <w:t>放喷池中。</w:t>
      </w:r>
      <w:r w:rsidRPr="00092862">
        <w:rPr>
          <w:rFonts w:ascii="Times New Roman" w:eastAsia="宋体" w:hAnsi="Times New Roman" w:cs="Times New Roman"/>
          <w:bCs/>
          <w:color w:val="000000" w:themeColor="text1"/>
          <w:sz w:val="24"/>
        </w:rPr>
        <w:t>根据工程分析中的废水收集回用措施可知，泥浆不落地装置</w:t>
      </w:r>
      <w:r w:rsidR="007F2122" w:rsidRPr="00092862">
        <w:rPr>
          <w:rFonts w:ascii="Times New Roman" w:eastAsia="宋体" w:hAnsi="Times New Roman" w:cs="Times New Roman"/>
          <w:bCs/>
          <w:color w:val="000000" w:themeColor="text1"/>
          <w:sz w:val="24"/>
        </w:rPr>
        <w:t>污水</w:t>
      </w:r>
      <w:r w:rsidR="00893738" w:rsidRPr="00092862">
        <w:rPr>
          <w:rFonts w:ascii="Times New Roman" w:eastAsia="宋体" w:hAnsi="Times New Roman" w:cs="Times New Roman"/>
          <w:bCs/>
          <w:color w:val="000000" w:themeColor="text1"/>
          <w:sz w:val="24"/>
        </w:rPr>
        <w:t>罐、</w:t>
      </w:r>
      <w:r w:rsidRPr="00092862">
        <w:rPr>
          <w:rFonts w:ascii="Times New Roman" w:eastAsia="宋体" w:hAnsi="Times New Roman" w:cs="Times New Roman"/>
          <w:bCs/>
          <w:color w:val="000000" w:themeColor="text1"/>
          <w:sz w:val="24"/>
        </w:rPr>
        <w:t>放喷池容积能够满足钻井废水、洗井废水、压裂返排液贮存要求；当发生事故排水时，废水直接汇入泥浆不落地装置或放喷池中，不会造成废水外溢。另外，在工程设计时，泥浆不落地装置</w:t>
      </w:r>
      <w:r w:rsidR="007F2122" w:rsidRPr="00092862">
        <w:rPr>
          <w:rFonts w:ascii="Times New Roman" w:eastAsia="宋体" w:hAnsi="Times New Roman" w:cs="Times New Roman"/>
          <w:bCs/>
          <w:color w:val="000000" w:themeColor="text1"/>
          <w:sz w:val="24"/>
        </w:rPr>
        <w:t>污水</w:t>
      </w:r>
      <w:r w:rsidR="00893738" w:rsidRPr="00092862">
        <w:rPr>
          <w:rFonts w:ascii="Times New Roman" w:eastAsia="宋体" w:hAnsi="Times New Roman" w:cs="Times New Roman"/>
          <w:bCs/>
          <w:color w:val="000000" w:themeColor="text1"/>
          <w:sz w:val="24"/>
        </w:rPr>
        <w:t>罐</w:t>
      </w:r>
      <w:r w:rsidR="007F2122"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放喷池均比地面高且有遮雨篷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由作业队伍从集水坑抽汲至泥浆不落地装置或放喷池。</w:t>
      </w:r>
    </w:p>
    <w:p w14:paraId="7F911287" w14:textId="11E31B0A" w:rsidR="00CD3B93" w:rsidRPr="00092862" w:rsidRDefault="00CD3B93" w:rsidP="00CD3B93">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bCs/>
          <w:color w:val="000000" w:themeColor="text1"/>
          <w:sz w:val="24"/>
        </w:rPr>
        <w:t>本项目区域内雨水排入</w:t>
      </w:r>
      <w:r w:rsidR="00C8630C" w:rsidRPr="00092862">
        <w:rPr>
          <w:rFonts w:ascii="Times New Roman" w:eastAsia="宋体" w:hAnsi="Times New Roman" w:cs="Times New Roman"/>
          <w:bCs/>
          <w:color w:val="000000" w:themeColor="text1"/>
          <w:sz w:val="24"/>
        </w:rPr>
        <w:t>山间冲沟</w:t>
      </w:r>
      <w:r w:rsidRPr="00092862">
        <w:rPr>
          <w:rFonts w:ascii="Times New Roman" w:eastAsia="宋体" w:hAnsi="Times New Roman" w:cs="Times New Roman"/>
          <w:bCs/>
          <w:color w:val="000000" w:themeColor="text1"/>
          <w:sz w:val="24"/>
        </w:rPr>
        <w:t>，井场场地内及场地周围地表水仅在暴雨期间会对附近</w:t>
      </w:r>
      <w:r w:rsidR="00C8630C" w:rsidRPr="00092862">
        <w:rPr>
          <w:rFonts w:ascii="Times New Roman" w:eastAsia="宋体" w:hAnsi="Times New Roman" w:cs="Times New Roman"/>
          <w:bCs/>
          <w:color w:val="000000" w:themeColor="text1"/>
          <w:sz w:val="24"/>
        </w:rPr>
        <w:t>冲沟</w:t>
      </w:r>
      <w:r w:rsidRPr="00092862">
        <w:rPr>
          <w:rFonts w:ascii="Times New Roman" w:eastAsia="宋体" w:hAnsi="Times New Roman" w:cs="Times New Roman"/>
          <w:bCs/>
          <w:color w:val="000000" w:themeColor="text1"/>
          <w:sz w:val="24"/>
        </w:rPr>
        <w:t>造成影响，属于正常的雨水排放，</w:t>
      </w:r>
      <w:r w:rsidR="00462385" w:rsidRPr="00092862">
        <w:rPr>
          <w:rFonts w:ascii="Times New Roman" w:eastAsia="宋体" w:hAnsi="Times New Roman" w:cs="Times New Roman"/>
          <w:bCs/>
          <w:color w:val="000000" w:themeColor="text1"/>
          <w:sz w:val="24"/>
        </w:rPr>
        <w:t>进入千河沟</w:t>
      </w:r>
      <w:r w:rsidR="008449E8" w:rsidRPr="00092862">
        <w:rPr>
          <w:rFonts w:ascii="Times New Roman" w:eastAsia="宋体" w:hAnsi="Times New Roman" w:cs="Times New Roman"/>
          <w:bCs/>
          <w:color w:val="000000" w:themeColor="text1"/>
          <w:sz w:val="24"/>
        </w:rPr>
        <w:t>最终汇入</w:t>
      </w:r>
      <w:r w:rsidR="00C8630C" w:rsidRPr="00092862">
        <w:rPr>
          <w:rFonts w:ascii="Times New Roman" w:eastAsia="宋体" w:hAnsi="Times New Roman" w:cs="Times New Roman"/>
          <w:bCs/>
          <w:color w:val="000000" w:themeColor="text1"/>
          <w:sz w:val="24"/>
        </w:rPr>
        <w:t>后</w:t>
      </w:r>
      <w:r w:rsidR="008449E8" w:rsidRPr="00092862">
        <w:rPr>
          <w:rFonts w:ascii="Times New Roman" w:eastAsia="宋体" w:hAnsi="Times New Roman" w:cs="Times New Roman"/>
          <w:bCs/>
          <w:color w:val="000000" w:themeColor="text1"/>
          <w:sz w:val="24"/>
        </w:rPr>
        <w:t>河，</w:t>
      </w:r>
      <w:r w:rsidRPr="00092862">
        <w:rPr>
          <w:rFonts w:ascii="Times New Roman" w:eastAsia="宋体" w:hAnsi="Times New Roman" w:cs="Times New Roman"/>
          <w:bCs/>
          <w:color w:val="000000" w:themeColor="text1"/>
          <w:sz w:val="24"/>
        </w:rPr>
        <w:t>不会对其水体功能造成影响。在暴雨期间应加强内外环沟的开闭工作，保证井场内初期雨水不流出井场。</w:t>
      </w:r>
      <w:r w:rsidRPr="00092862">
        <w:rPr>
          <w:rFonts w:ascii="Times New Roman" w:eastAsia="宋体" w:hAnsi="Times New Roman" w:cs="Times New Roman"/>
          <w:color w:val="000000" w:themeColor="text1"/>
          <w:sz w:val="24"/>
        </w:rPr>
        <w:t>另外，井场采取防渗措施，泥浆不落地工艺区、井口区域、</w:t>
      </w:r>
      <w:r w:rsidR="00E460BC" w:rsidRPr="00092862">
        <w:rPr>
          <w:rFonts w:ascii="Times New Roman" w:eastAsia="宋体" w:hAnsi="Times New Roman" w:cs="Times New Roman"/>
          <w:color w:val="000000" w:themeColor="text1"/>
          <w:sz w:val="24"/>
        </w:rPr>
        <w:t>循环</w:t>
      </w:r>
      <w:r w:rsidRPr="00092862">
        <w:rPr>
          <w:rFonts w:ascii="Times New Roman" w:eastAsia="宋体" w:hAnsi="Times New Roman" w:cs="Times New Roman"/>
          <w:color w:val="000000" w:themeColor="text1"/>
          <w:sz w:val="24"/>
        </w:rPr>
        <w:t>罐区</w:t>
      </w:r>
      <w:r w:rsidR="00E460BC" w:rsidRPr="00092862">
        <w:rPr>
          <w:rFonts w:ascii="Times New Roman" w:eastAsia="宋体" w:hAnsi="Times New Roman" w:cs="Times New Roman"/>
          <w:color w:val="000000" w:themeColor="text1"/>
          <w:sz w:val="24"/>
        </w:rPr>
        <w:t>、钻井固废暂存区</w:t>
      </w:r>
      <w:r w:rsidRPr="00092862">
        <w:rPr>
          <w:rFonts w:ascii="Times New Roman" w:eastAsia="宋体" w:hAnsi="Times New Roman" w:cs="Times New Roman"/>
          <w:color w:val="000000" w:themeColor="text1"/>
          <w:sz w:val="24"/>
        </w:rPr>
        <w:t>、柴油罐区、发电机区</w:t>
      </w:r>
      <w:r w:rsidR="00E460BC" w:rsidRPr="00092862">
        <w:rPr>
          <w:rFonts w:ascii="Times New Roman" w:eastAsia="宋体" w:hAnsi="Times New Roman" w:cs="Times New Roman"/>
          <w:color w:val="000000" w:themeColor="text1"/>
          <w:sz w:val="24"/>
        </w:rPr>
        <w:t>、</w:t>
      </w:r>
      <w:r w:rsidR="00D774F2" w:rsidRPr="00092862">
        <w:rPr>
          <w:rFonts w:ascii="Times New Roman" w:eastAsia="宋体" w:hAnsi="Times New Roman" w:cs="Times New Roman"/>
          <w:color w:val="000000" w:themeColor="text1"/>
          <w:sz w:val="24"/>
        </w:rPr>
        <w:t>污水池</w:t>
      </w:r>
      <w:r w:rsidRPr="00092862">
        <w:rPr>
          <w:rFonts w:ascii="Times New Roman" w:eastAsia="宋体" w:hAnsi="Times New Roman" w:cs="Times New Roman"/>
          <w:color w:val="000000" w:themeColor="text1"/>
          <w:sz w:val="24"/>
        </w:rPr>
        <w:t>、放喷池等均采取防渗处理，有效避免废水通过漏失和渗漏进入当地环境中。</w:t>
      </w:r>
    </w:p>
    <w:p w14:paraId="7B80CA90" w14:textId="5076EED9" w:rsidR="003909FC" w:rsidRPr="00092862" w:rsidRDefault="00CD3B93" w:rsidP="00CD3B93">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在采取上述措施后，废水以漏失、渗透、外溢等方式进入地表水环境的量极少，类比本项目已实施钻井情况，预计不会对周边河流</w:t>
      </w:r>
      <w:r w:rsidR="00C8630C" w:rsidRPr="00092862">
        <w:rPr>
          <w:rFonts w:ascii="Times New Roman" w:eastAsia="宋体" w:hAnsi="Times New Roman" w:cs="Times New Roman"/>
          <w:color w:val="000000" w:themeColor="text1"/>
          <w:sz w:val="24"/>
        </w:rPr>
        <w:t>等</w:t>
      </w:r>
      <w:r w:rsidRPr="00092862">
        <w:rPr>
          <w:rFonts w:ascii="Times New Roman" w:eastAsia="宋体" w:hAnsi="Times New Roman" w:cs="Times New Roman"/>
          <w:color w:val="000000" w:themeColor="text1"/>
          <w:sz w:val="24"/>
        </w:rPr>
        <w:t>水环境造成污染影响，对地表水环境影响很小。</w:t>
      </w:r>
    </w:p>
    <w:p w14:paraId="16E7EA87" w14:textId="77777777" w:rsidR="00CD3B93" w:rsidRPr="00092862" w:rsidRDefault="00CD3B93" w:rsidP="00CD3B93">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2</w:t>
      </w:r>
      <w:r w:rsidRPr="00092862">
        <w:rPr>
          <w:rFonts w:ascii="Times New Roman" w:eastAsia="宋体" w:hAnsi="Times New Roman" w:cs="Times New Roman"/>
          <w:b/>
          <w:color w:val="000000" w:themeColor="text1"/>
          <w:sz w:val="24"/>
        </w:rPr>
        <w:t>）项目用水对区域水资源影响</w:t>
      </w:r>
      <w:r w:rsidR="0069295E" w:rsidRPr="00092862">
        <w:rPr>
          <w:rFonts w:ascii="Times New Roman" w:eastAsia="宋体" w:hAnsi="Times New Roman" w:cs="Times New Roman"/>
          <w:b/>
          <w:color w:val="000000" w:themeColor="text1"/>
          <w:sz w:val="24"/>
        </w:rPr>
        <w:t>分析</w:t>
      </w:r>
    </w:p>
    <w:p w14:paraId="5A1D0C64" w14:textId="45FC71DB" w:rsidR="00CD3B93" w:rsidRPr="00092862" w:rsidRDefault="00CD3B93" w:rsidP="00CD3B93">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本项目施工期的生产用水根据施工期附近地表水存储情况就近采用附近地表水</w:t>
      </w:r>
      <w:r w:rsidR="00154FD3" w:rsidRPr="00092862">
        <w:rPr>
          <w:rFonts w:ascii="Times New Roman" w:eastAsia="宋体" w:hAnsi="Times New Roman" w:cs="Times New Roman"/>
          <w:bCs/>
          <w:color w:val="000000" w:themeColor="text1"/>
          <w:sz w:val="24"/>
        </w:rPr>
        <w:t>（后河）</w:t>
      </w:r>
      <w:r w:rsidRPr="00092862">
        <w:rPr>
          <w:rFonts w:ascii="Times New Roman" w:eastAsia="宋体" w:hAnsi="Times New Roman" w:cs="Times New Roman"/>
          <w:bCs/>
          <w:color w:val="000000" w:themeColor="text1"/>
          <w:sz w:val="24"/>
        </w:rPr>
        <w:t>，生活用水使用自来水。由于项目距离</w:t>
      </w:r>
      <w:r w:rsidR="00B60C26" w:rsidRPr="00092862">
        <w:rPr>
          <w:rFonts w:ascii="Times New Roman" w:eastAsia="宋体" w:hAnsi="Times New Roman" w:cs="Times New Roman"/>
          <w:bCs/>
          <w:color w:val="000000" w:themeColor="text1"/>
          <w:sz w:val="24"/>
        </w:rPr>
        <w:t>后河</w:t>
      </w:r>
      <w:r w:rsidRPr="00092862">
        <w:rPr>
          <w:rFonts w:ascii="Times New Roman" w:eastAsia="宋体" w:hAnsi="Times New Roman" w:cs="Times New Roman"/>
          <w:bCs/>
          <w:color w:val="000000" w:themeColor="text1"/>
          <w:sz w:val="24"/>
        </w:rPr>
        <w:t>较近，水量充足，项目生产用水量少，合理安排施工季节，尽量不在枯水期取水，用水前做好与当地主管部门沟通协调工作，项目取水不会对周边</w:t>
      </w:r>
      <w:r w:rsidR="00416CDD" w:rsidRPr="00092862">
        <w:rPr>
          <w:rFonts w:ascii="Times New Roman" w:eastAsia="宋体" w:hAnsi="Times New Roman" w:cs="Times New Roman"/>
          <w:bCs/>
          <w:color w:val="000000" w:themeColor="text1"/>
          <w:sz w:val="24"/>
        </w:rPr>
        <w:t>耕地</w:t>
      </w:r>
      <w:r w:rsidR="00B60C26" w:rsidRPr="00092862">
        <w:rPr>
          <w:rFonts w:ascii="Times New Roman" w:eastAsia="宋体" w:hAnsi="Times New Roman" w:cs="Times New Roman"/>
          <w:bCs/>
          <w:color w:val="000000" w:themeColor="text1"/>
          <w:sz w:val="24"/>
        </w:rPr>
        <w:t>等</w:t>
      </w:r>
      <w:r w:rsidRPr="00092862">
        <w:rPr>
          <w:rFonts w:ascii="Times New Roman" w:eastAsia="宋体" w:hAnsi="Times New Roman" w:cs="Times New Roman"/>
          <w:bCs/>
          <w:color w:val="000000" w:themeColor="text1"/>
          <w:sz w:val="24"/>
        </w:rPr>
        <w:t>用水造成影响；若必须在枯水期取水要首先满足下游生态流量和管理部门的要求，无法满足则备用自来水水源作为生产用水。项目位于</w:t>
      </w:r>
      <w:r w:rsidR="00B60C26" w:rsidRPr="00092862">
        <w:rPr>
          <w:rFonts w:ascii="Times New Roman" w:eastAsia="宋体" w:hAnsi="Times New Roman" w:cs="Times New Roman"/>
          <w:bCs/>
          <w:color w:val="000000" w:themeColor="text1"/>
          <w:sz w:val="24"/>
        </w:rPr>
        <w:t>丘陵</w:t>
      </w:r>
      <w:r w:rsidRPr="00092862">
        <w:rPr>
          <w:rFonts w:ascii="Times New Roman" w:eastAsia="宋体" w:hAnsi="Times New Roman" w:cs="Times New Roman"/>
          <w:bCs/>
          <w:color w:val="000000" w:themeColor="text1"/>
          <w:sz w:val="24"/>
        </w:rPr>
        <w:t>区，</w:t>
      </w:r>
      <w:bookmarkStart w:id="201" w:name="_Hlk88835004"/>
      <w:r w:rsidR="008449E8" w:rsidRPr="00092862">
        <w:rPr>
          <w:rFonts w:ascii="Times New Roman" w:eastAsia="宋体" w:hAnsi="Times New Roman" w:cs="Times New Roman"/>
          <w:bCs/>
          <w:color w:val="000000" w:themeColor="text1"/>
          <w:sz w:val="24"/>
        </w:rPr>
        <w:t>周边居民已使用自来水</w:t>
      </w:r>
      <w:r w:rsidR="00462385" w:rsidRPr="00092862">
        <w:rPr>
          <w:rFonts w:ascii="Times New Roman" w:eastAsia="宋体" w:hAnsi="Times New Roman" w:cs="Times New Roman"/>
          <w:bCs/>
          <w:color w:val="000000" w:themeColor="text1"/>
          <w:sz w:val="24"/>
        </w:rPr>
        <w:t>（水源为千河沟地表水，且位于项目所在地地表水流向上游）</w:t>
      </w:r>
      <w:r w:rsidR="008449E8" w:rsidRPr="00092862">
        <w:rPr>
          <w:rFonts w:ascii="Times New Roman" w:eastAsia="宋体" w:hAnsi="Times New Roman" w:cs="Times New Roman"/>
          <w:bCs/>
          <w:color w:val="000000" w:themeColor="text1"/>
          <w:sz w:val="24"/>
        </w:rPr>
        <w:t>，</w:t>
      </w:r>
      <w:bookmarkEnd w:id="201"/>
      <w:r w:rsidRPr="00092862">
        <w:rPr>
          <w:rFonts w:ascii="Times New Roman" w:eastAsia="宋体" w:hAnsi="Times New Roman" w:cs="Times New Roman"/>
          <w:bCs/>
          <w:color w:val="000000" w:themeColor="text1"/>
          <w:sz w:val="24"/>
        </w:rPr>
        <w:t>项目用水相对较小，故项目建设生产及生活用水不会对区域水资源造成影响。</w:t>
      </w:r>
    </w:p>
    <w:p w14:paraId="27713FE1" w14:textId="77777777" w:rsidR="00CD3B93" w:rsidRPr="00092862" w:rsidRDefault="00CD3B93" w:rsidP="00CD3B93">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3</w:t>
      </w:r>
      <w:r w:rsidRPr="00092862">
        <w:rPr>
          <w:rFonts w:ascii="Times New Roman" w:eastAsia="宋体" w:hAnsi="Times New Roman" w:cs="Times New Roman"/>
          <w:b/>
          <w:color w:val="000000" w:themeColor="text1"/>
          <w:sz w:val="24"/>
        </w:rPr>
        <w:t>）对区域地表水</w:t>
      </w:r>
      <w:r w:rsidR="0069295E" w:rsidRPr="00092862">
        <w:rPr>
          <w:rFonts w:ascii="Times New Roman" w:eastAsia="宋体" w:hAnsi="Times New Roman" w:cs="Times New Roman"/>
          <w:b/>
          <w:color w:val="000000" w:themeColor="text1"/>
          <w:sz w:val="24"/>
          <w:szCs w:val="24"/>
        </w:rPr>
        <w:t>影响分析</w:t>
      </w:r>
    </w:p>
    <w:p w14:paraId="3EAC75A0" w14:textId="52DC6056" w:rsidR="00CD3B93" w:rsidRPr="00092862" w:rsidRDefault="00271DF7" w:rsidP="00CD3B93">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钻井期生活污水经生态厕所收集后定期由密闭罐车拉运至周边生活污水处理厂处理</w:t>
      </w:r>
      <w:r w:rsidR="00CD3B93" w:rsidRPr="00092862">
        <w:rPr>
          <w:rFonts w:ascii="Times New Roman" w:eastAsia="宋体" w:hAnsi="Times New Roman" w:cs="Times New Roman"/>
          <w:bCs/>
          <w:color w:val="000000" w:themeColor="text1"/>
          <w:sz w:val="24"/>
        </w:rPr>
        <w:t>；项目产生的钻井废水经固控设备固液分离后满足要求的全部回用于钻井过程，</w:t>
      </w:r>
      <w:r w:rsidR="00E275A8" w:rsidRPr="00092862">
        <w:rPr>
          <w:rFonts w:ascii="Times New Roman" w:eastAsia="宋体" w:hAnsi="Times New Roman" w:cs="Times New Roman"/>
          <w:bCs/>
          <w:color w:val="000000" w:themeColor="text1"/>
          <w:sz w:val="24"/>
          <w:szCs w:val="24"/>
        </w:rPr>
        <w:t>剩余废水经预处理后由罐车拉运至</w:t>
      </w:r>
      <w:r w:rsidR="005D5A22" w:rsidRPr="00092862">
        <w:rPr>
          <w:rFonts w:ascii="Times New Roman" w:eastAsia="宋体" w:hAnsi="Times New Roman" w:cs="Times New Roman"/>
          <w:bCs/>
          <w:color w:val="000000" w:themeColor="text1"/>
          <w:sz w:val="24"/>
          <w:szCs w:val="24"/>
        </w:rPr>
        <w:t>赵家坝污水处理站达标后管输至普光</w:t>
      </w:r>
      <w:r w:rsidR="005D5A22" w:rsidRPr="00092862">
        <w:rPr>
          <w:rFonts w:ascii="Times New Roman" w:eastAsia="宋体" w:hAnsi="Times New Roman" w:cs="Times New Roman"/>
          <w:bCs/>
          <w:color w:val="000000" w:themeColor="text1"/>
          <w:sz w:val="24"/>
          <w:szCs w:val="24"/>
        </w:rPr>
        <w:t>11</w:t>
      </w:r>
      <w:r w:rsidR="005D5A22" w:rsidRPr="00092862">
        <w:rPr>
          <w:rFonts w:ascii="Times New Roman" w:eastAsia="宋体" w:hAnsi="Times New Roman" w:cs="Times New Roman"/>
          <w:bCs/>
          <w:color w:val="000000" w:themeColor="text1"/>
          <w:sz w:val="24"/>
          <w:szCs w:val="24"/>
        </w:rPr>
        <w:t>井回注站回注</w:t>
      </w:r>
      <w:r w:rsidR="00E275A8" w:rsidRPr="00092862">
        <w:rPr>
          <w:rFonts w:ascii="Times New Roman" w:eastAsia="宋体" w:hAnsi="Times New Roman" w:cs="Times New Roman"/>
          <w:bCs/>
          <w:color w:val="000000" w:themeColor="text1"/>
          <w:sz w:val="24"/>
          <w:szCs w:val="24"/>
        </w:rPr>
        <w:t>，不外排</w:t>
      </w:r>
      <w:r w:rsidR="00CD3B93" w:rsidRPr="00092862">
        <w:rPr>
          <w:rFonts w:ascii="Times New Roman" w:eastAsia="宋体" w:hAnsi="Times New Roman" w:cs="Times New Roman"/>
          <w:bCs/>
          <w:color w:val="000000" w:themeColor="text1"/>
          <w:sz w:val="24"/>
        </w:rPr>
        <w:t>；</w:t>
      </w:r>
      <w:r w:rsidR="00E275A8" w:rsidRPr="00092862">
        <w:rPr>
          <w:rFonts w:ascii="Times New Roman" w:eastAsia="宋体" w:hAnsi="Times New Roman" w:cs="Times New Roman"/>
          <w:color w:val="000000" w:themeColor="text1"/>
          <w:sz w:val="24"/>
        </w:rPr>
        <w:t>压裂返排液及洗井废水临时暂存于放喷池或者污水池，</w:t>
      </w:r>
      <w:r w:rsidR="00CC3871" w:rsidRPr="00092862">
        <w:rPr>
          <w:rFonts w:ascii="Times New Roman" w:eastAsia="宋体" w:hAnsi="Times New Roman" w:cs="Times New Roman"/>
          <w:color w:val="000000" w:themeColor="text1"/>
          <w:sz w:val="24"/>
        </w:rPr>
        <w:t>优先回用于钻井工段及周边平台钻井工段</w:t>
      </w:r>
      <w:r w:rsidR="00E275A8" w:rsidRPr="00092862">
        <w:rPr>
          <w:rFonts w:ascii="Times New Roman" w:eastAsia="宋体" w:hAnsi="Times New Roman" w:cs="Times New Roman"/>
          <w:color w:val="000000" w:themeColor="text1"/>
          <w:sz w:val="24"/>
        </w:rPr>
        <w:t>，不能回用的用罐车拉运至</w:t>
      </w:r>
      <w:r w:rsidR="000F6507" w:rsidRPr="00092862">
        <w:rPr>
          <w:rFonts w:ascii="Times New Roman" w:eastAsia="宋体" w:hAnsi="Times New Roman" w:cs="Times New Roman"/>
          <w:color w:val="000000" w:themeColor="text1"/>
          <w:sz w:val="24"/>
        </w:rPr>
        <w:t>赵家坝污水处理站</w:t>
      </w:r>
      <w:r w:rsidR="00E275A8" w:rsidRPr="00092862">
        <w:rPr>
          <w:rFonts w:ascii="Times New Roman" w:eastAsia="宋体" w:hAnsi="Times New Roman" w:cs="Times New Roman"/>
          <w:color w:val="000000" w:themeColor="text1"/>
          <w:sz w:val="24"/>
        </w:rPr>
        <w:t>处理达标后经</w:t>
      </w:r>
      <w:r w:rsidR="005D5A22" w:rsidRPr="00092862">
        <w:rPr>
          <w:rFonts w:ascii="Times New Roman" w:eastAsia="宋体" w:hAnsi="Times New Roman" w:cs="Times New Roman"/>
          <w:color w:val="000000" w:themeColor="text1"/>
          <w:sz w:val="24"/>
        </w:rPr>
        <w:t>普光</w:t>
      </w:r>
      <w:r w:rsidR="005D5A22" w:rsidRPr="00092862">
        <w:rPr>
          <w:rFonts w:ascii="Times New Roman" w:eastAsia="宋体" w:hAnsi="Times New Roman" w:cs="Times New Roman"/>
          <w:color w:val="000000" w:themeColor="text1"/>
          <w:sz w:val="24"/>
        </w:rPr>
        <w:t>11</w:t>
      </w:r>
      <w:r w:rsidR="005D5A22" w:rsidRPr="00092862">
        <w:rPr>
          <w:rFonts w:ascii="Times New Roman" w:eastAsia="宋体" w:hAnsi="Times New Roman" w:cs="Times New Roman"/>
          <w:color w:val="000000" w:themeColor="text1"/>
          <w:sz w:val="24"/>
        </w:rPr>
        <w:t>井回注站</w:t>
      </w:r>
      <w:r w:rsidR="00E275A8" w:rsidRPr="00092862">
        <w:rPr>
          <w:rFonts w:ascii="Times New Roman" w:eastAsia="宋体" w:hAnsi="Times New Roman" w:cs="Times New Roman"/>
          <w:color w:val="000000" w:themeColor="text1"/>
          <w:sz w:val="24"/>
        </w:rPr>
        <w:t>回注</w:t>
      </w:r>
      <w:r w:rsidR="00CD3B93" w:rsidRPr="00092862">
        <w:rPr>
          <w:rFonts w:ascii="Times New Roman" w:eastAsia="宋体" w:hAnsi="Times New Roman" w:cs="Times New Roman"/>
          <w:bCs/>
          <w:color w:val="000000" w:themeColor="text1"/>
          <w:sz w:val="24"/>
        </w:rPr>
        <w:t>，不外排；</w:t>
      </w:r>
      <w:r w:rsidR="000C1A72" w:rsidRPr="00092862">
        <w:rPr>
          <w:rFonts w:ascii="Times New Roman" w:eastAsia="宋体" w:hAnsi="Times New Roman" w:cs="Times New Roman"/>
          <w:bCs/>
          <w:color w:val="000000" w:themeColor="text1"/>
          <w:sz w:val="24"/>
        </w:rPr>
        <w:t>初期雨水收集后进入泥浆不落地处理系统处理后用于配置钻井液。</w:t>
      </w:r>
      <w:r w:rsidR="00CD3B93" w:rsidRPr="00092862">
        <w:rPr>
          <w:rFonts w:ascii="Times New Roman" w:eastAsia="宋体" w:hAnsi="Times New Roman" w:cs="Times New Roman"/>
          <w:bCs/>
          <w:color w:val="000000" w:themeColor="text1"/>
          <w:sz w:val="24"/>
        </w:rPr>
        <w:t>项目废水产生量少，经处理达标后污染物排放量也少，对当地地表水环境的影响属可接受范围。</w:t>
      </w:r>
    </w:p>
    <w:p w14:paraId="792961A0" w14:textId="5FDEDC8A" w:rsidR="00CD3B93" w:rsidRPr="00092862" w:rsidRDefault="000C1A72" w:rsidP="00CD3B93">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4</w:t>
      </w:r>
      <w:r w:rsidRPr="00092862">
        <w:rPr>
          <w:rFonts w:ascii="Times New Roman" w:eastAsia="宋体" w:hAnsi="Times New Roman" w:cs="Times New Roman"/>
          <w:b/>
          <w:color w:val="000000" w:themeColor="text1"/>
          <w:sz w:val="24"/>
        </w:rPr>
        <w:t>）</w:t>
      </w:r>
      <w:r w:rsidR="00CD3B93" w:rsidRPr="00092862">
        <w:rPr>
          <w:rFonts w:ascii="Times New Roman" w:eastAsia="宋体" w:hAnsi="Times New Roman" w:cs="Times New Roman"/>
          <w:b/>
          <w:color w:val="000000" w:themeColor="text1"/>
          <w:sz w:val="24"/>
        </w:rPr>
        <w:t>对项目周边</w:t>
      </w:r>
      <w:r w:rsidR="00416CDD" w:rsidRPr="00092862">
        <w:rPr>
          <w:rFonts w:ascii="Times New Roman" w:eastAsia="宋体" w:hAnsi="Times New Roman" w:cs="Times New Roman"/>
          <w:b/>
          <w:color w:val="000000" w:themeColor="text1"/>
          <w:sz w:val="24"/>
        </w:rPr>
        <w:t>耕地</w:t>
      </w:r>
      <w:r w:rsidR="0069295E" w:rsidRPr="00092862">
        <w:rPr>
          <w:rFonts w:ascii="Times New Roman" w:eastAsia="宋体" w:hAnsi="Times New Roman" w:cs="Times New Roman"/>
          <w:b/>
          <w:color w:val="000000" w:themeColor="text1"/>
          <w:sz w:val="24"/>
          <w:szCs w:val="24"/>
        </w:rPr>
        <w:t>影响分析</w:t>
      </w:r>
    </w:p>
    <w:p w14:paraId="4393238C" w14:textId="65210E7C" w:rsidR="003909FC" w:rsidRPr="00092862" w:rsidRDefault="00CD3B93" w:rsidP="00CD3B93">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bCs/>
          <w:color w:val="000000" w:themeColor="text1"/>
          <w:sz w:val="24"/>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集污坑隔油沉淀后，废水进入废水罐，废油回用或委托有资质单位处理；井场内其他非混凝土基础部分没有废油产生，雨水则直接进入场界周边的排水沟排入周围环境，对周边</w:t>
      </w:r>
      <w:r w:rsidR="00416CDD" w:rsidRPr="00092862">
        <w:rPr>
          <w:rFonts w:ascii="Times New Roman" w:eastAsia="宋体" w:hAnsi="Times New Roman" w:cs="Times New Roman"/>
          <w:bCs/>
          <w:color w:val="000000" w:themeColor="text1"/>
          <w:sz w:val="24"/>
        </w:rPr>
        <w:t>耕地</w:t>
      </w:r>
      <w:r w:rsidRPr="00092862">
        <w:rPr>
          <w:rFonts w:ascii="Times New Roman" w:eastAsia="宋体" w:hAnsi="Times New Roman" w:cs="Times New Roman"/>
          <w:bCs/>
          <w:color w:val="000000" w:themeColor="text1"/>
          <w:sz w:val="24"/>
        </w:rPr>
        <w:t>影响甚微。</w:t>
      </w:r>
    </w:p>
    <w:p w14:paraId="7EC78567" w14:textId="636075E7" w:rsidR="00DC446C" w:rsidRPr="00092862" w:rsidRDefault="00573FA1" w:rsidP="000C1A72">
      <w:pPr>
        <w:adjustRightInd w:val="0"/>
        <w:snapToGrid w:val="0"/>
        <w:spacing w:line="360" w:lineRule="auto"/>
        <w:ind w:firstLineChars="200" w:firstLine="480"/>
        <w:rPr>
          <w:rFonts w:ascii="Times New Roman" w:eastAsia="黑体" w:hAnsi="Times New Roman" w:cs="Times New Roman"/>
          <w:bCs/>
          <w:color w:val="000000" w:themeColor="text1"/>
          <w:sz w:val="24"/>
          <w:szCs w:val="24"/>
        </w:rPr>
      </w:pPr>
      <w:bookmarkStart w:id="202" w:name="5.1.1施工期大气环境影响分析"/>
      <w:bookmarkStart w:id="203" w:name="5.1.3施工期噪声环境影响分析"/>
      <w:bookmarkEnd w:id="202"/>
      <w:bookmarkEnd w:id="203"/>
      <w:r w:rsidRPr="00092862">
        <w:rPr>
          <w:rFonts w:ascii="Times New Roman" w:eastAsia="黑体" w:hAnsi="Times New Roman" w:cs="Times New Roman"/>
          <w:bCs/>
          <w:color w:val="000000" w:themeColor="text1"/>
          <w:sz w:val="24"/>
          <w:szCs w:val="24"/>
        </w:rPr>
        <w:t>3</w:t>
      </w:r>
      <w:r w:rsidR="000C1A72" w:rsidRPr="00092862">
        <w:rPr>
          <w:rFonts w:ascii="Times New Roman" w:eastAsia="黑体" w:hAnsi="Times New Roman" w:cs="Times New Roman"/>
          <w:bCs/>
          <w:color w:val="000000" w:themeColor="text1"/>
          <w:sz w:val="24"/>
          <w:szCs w:val="24"/>
        </w:rPr>
        <w:t>、</w:t>
      </w:r>
      <w:r w:rsidR="003B1968" w:rsidRPr="00092862">
        <w:rPr>
          <w:rFonts w:ascii="Times New Roman" w:eastAsia="黑体" w:hAnsi="Times New Roman" w:cs="Times New Roman"/>
          <w:bCs/>
          <w:color w:val="000000" w:themeColor="text1"/>
          <w:sz w:val="24"/>
          <w:szCs w:val="24"/>
        </w:rPr>
        <w:t>施工期噪声环境影响分析</w:t>
      </w:r>
    </w:p>
    <w:p w14:paraId="4755AE90" w14:textId="77777777" w:rsidR="00DC446C" w:rsidRPr="00092862" w:rsidRDefault="003B1968" w:rsidP="000C1A72">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该项目钻井期间噪声影响主要来源于柴油发电机（备用）、钻机、泥浆泵、</w:t>
      </w:r>
      <w:r w:rsidRPr="00092862">
        <w:rPr>
          <w:rFonts w:ascii="Times New Roman" w:eastAsia="宋体" w:hAnsi="Times New Roman" w:cs="Times New Roman"/>
          <w:color w:val="000000" w:themeColor="text1"/>
          <w:sz w:val="24"/>
        </w:rPr>
        <w:lastRenderedPageBreak/>
        <w:t>振动筛、离心机等设备产生的连续机械噪声；此外，在完井压裂和油气测试过程将产生压裂设备噪声和测试放喷噪声。</w:t>
      </w:r>
    </w:p>
    <w:p w14:paraId="3D16A4C0" w14:textId="77777777" w:rsidR="00DC446C" w:rsidRPr="00092862" w:rsidRDefault="003B1968" w:rsidP="000C1A72">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1</w:t>
      </w:r>
      <w:r w:rsidRPr="00092862">
        <w:rPr>
          <w:rFonts w:ascii="Times New Roman" w:hAnsi="Times New Roman"/>
          <w:b/>
          <w:bCs/>
          <w:color w:val="000000" w:themeColor="text1"/>
          <w:szCs w:val="24"/>
        </w:rPr>
        <w:t>）预测评价方法</w:t>
      </w:r>
    </w:p>
    <w:p w14:paraId="28BB3CCF" w14:textId="450D99B6" w:rsidR="00DC446C" w:rsidRPr="00092862" w:rsidRDefault="003B1968" w:rsidP="00BC4FE4">
      <w:pPr>
        <w:pStyle w:val="2SLCON2"/>
        <w:adjustRightInd w:val="0"/>
        <w:snapToGrid w:val="0"/>
        <w:ind w:leftChars="50" w:left="105" w:firstLineChars="150" w:firstLine="360"/>
        <w:jc w:val="both"/>
        <w:rPr>
          <w:rFonts w:ascii="Times New Roman" w:hAnsi="Times New Roman" w:cs="Times New Roman"/>
          <w:color w:val="000000" w:themeColor="text1"/>
          <w:szCs w:val="24"/>
          <w:lang w:eastAsia="zh-CN"/>
        </w:rPr>
      </w:pPr>
      <w:r w:rsidRPr="00092862">
        <w:rPr>
          <w:rFonts w:ascii="Times New Roman" w:hAnsi="Times New Roman" w:cs="Times New Roman"/>
          <w:color w:val="000000" w:themeColor="text1"/>
          <w:szCs w:val="24"/>
          <w:lang w:eastAsia="zh-CN"/>
        </w:rPr>
        <w:t>本工程选址区域声环境功能区划为</w:t>
      </w:r>
      <w:r w:rsidRPr="00092862">
        <w:rPr>
          <w:rFonts w:ascii="Times New Roman" w:hAnsi="Times New Roman" w:cs="Times New Roman"/>
          <w:color w:val="000000" w:themeColor="text1"/>
          <w:szCs w:val="24"/>
          <w:lang w:eastAsia="zh-CN"/>
        </w:rPr>
        <w:t>2</w:t>
      </w:r>
      <w:r w:rsidRPr="00092862">
        <w:rPr>
          <w:rFonts w:ascii="Times New Roman" w:hAnsi="Times New Roman" w:cs="Times New Roman"/>
          <w:color w:val="000000" w:themeColor="text1"/>
          <w:szCs w:val="24"/>
          <w:lang w:eastAsia="zh-CN"/>
        </w:rPr>
        <w:t>类区，根据《环境影响评价技术导则声环境》（</w:t>
      </w:r>
      <w:r w:rsidRPr="00092862">
        <w:rPr>
          <w:rFonts w:ascii="Times New Roman" w:hAnsi="Times New Roman" w:cs="Times New Roman"/>
          <w:color w:val="000000" w:themeColor="text1"/>
          <w:szCs w:val="24"/>
          <w:lang w:eastAsia="zh-CN"/>
        </w:rPr>
        <w:t>HJ2.4-20</w:t>
      </w:r>
      <w:r w:rsidR="00E460BC" w:rsidRPr="00092862">
        <w:rPr>
          <w:rFonts w:ascii="Times New Roman" w:hAnsi="Times New Roman" w:cs="Times New Roman"/>
          <w:color w:val="000000" w:themeColor="text1"/>
          <w:szCs w:val="24"/>
          <w:lang w:eastAsia="zh-CN"/>
        </w:rPr>
        <w:t>21</w:t>
      </w:r>
      <w:r w:rsidRPr="00092862">
        <w:rPr>
          <w:rFonts w:ascii="Times New Roman" w:hAnsi="Times New Roman" w:cs="Times New Roman"/>
          <w:color w:val="000000" w:themeColor="text1"/>
          <w:szCs w:val="24"/>
          <w:lang w:eastAsia="zh-CN"/>
        </w:rPr>
        <w:t>）中关于工作等级划分的要求，声环境影响预测按二级进行评价，评价范围为井口周边</w:t>
      </w:r>
      <w:r w:rsidRPr="00092862">
        <w:rPr>
          <w:rFonts w:ascii="Times New Roman" w:hAnsi="Times New Roman" w:cs="Times New Roman"/>
          <w:color w:val="000000" w:themeColor="text1"/>
          <w:szCs w:val="24"/>
          <w:lang w:eastAsia="zh-CN"/>
        </w:rPr>
        <w:t>300m</w:t>
      </w:r>
      <w:r w:rsidRPr="00092862">
        <w:rPr>
          <w:rFonts w:ascii="Times New Roman" w:hAnsi="Times New Roman" w:cs="Times New Roman"/>
          <w:color w:val="000000" w:themeColor="text1"/>
          <w:szCs w:val="24"/>
          <w:lang w:eastAsia="zh-CN"/>
        </w:rPr>
        <w:t>。</w:t>
      </w:r>
    </w:p>
    <w:p w14:paraId="3218899F" w14:textId="77777777" w:rsidR="00DC446C" w:rsidRPr="00092862" w:rsidRDefault="003B1968" w:rsidP="000C1A72">
      <w:pPr>
        <w:pStyle w:val="2SLCON2"/>
        <w:adjustRightInd w:val="0"/>
        <w:snapToGrid w:val="0"/>
        <w:jc w:val="both"/>
        <w:rPr>
          <w:rFonts w:ascii="Times New Roman" w:hAnsi="Times New Roman" w:cs="Times New Roman"/>
          <w:color w:val="000000" w:themeColor="text1"/>
          <w:szCs w:val="24"/>
          <w:lang w:eastAsia="zh-CN"/>
        </w:rPr>
      </w:pPr>
      <w:r w:rsidRPr="00092862">
        <w:rPr>
          <w:rFonts w:ascii="Times New Roman" w:hAnsi="Times New Roman" w:cs="Times New Roman"/>
          <w:bCs/>
          <w:color w:val="000000" w:themeColor="text1"/>
          <w:szCs w:val="24"/>
          <w:lang w:eastAsia="zh-CN"/>
        </w:rPr>
        <w:t>评价各噪声源通过噪声衰减模式计算对不同预测点的噪声贡献值，再将各自预测点的噪声贡献值叠加即得到本项目对各预测点的噪声贡献值，最后与监测点的噪声现状值叠加，得到各预测值</w:t>
      </w:r>
      <w:r w:rsidRPr="00092862">
        <w:rPr>
          <w:rFonts w:ascii="Times New Roman" w:hAnsi="Times New Roman" w:cs="Times New Roman"/>
          <w:color w:val="000000" w:themeColor="text1"/>
          <w:szCs w:val="24"/>
          <w:lang w:eastAsia="zh-CN"/>
        </w:rPr>
        <w:t>，绘制等声级线图</w:t>
      </w:r>
      <w:r w:rsidRPr="00092862">
        <w:rPr>
          <w:rFonts w:ascii="Times New Roman" w:hAnsi="Times New Roman" w:cs="Times New Roman"/>
          <w:bCs/>
          <w:color w:val="000000" w:themeColor="text1"/>
          <w:szCs w:val="24"/>
          <w:lang w:eastAsia="zh-CN"/>
        </w:rPr>
        <w:t>，并</w:t>
      </w:r>
      <w:r w:rsidRPr="00092862">
        <w:rPr>
          <w:rFonts w:ascii="Times New Roman" w:hAnsi="Times New Roman" w:cs="Times New Roman"/>
          <w:color w:val="000000" w:themeColor="text1"/>
          <w:szCs w:val="24"/>
          <w:lang w:eastAsia="zh-CN"/>
        </w:rPr>
        <w:t>进行达标分析。</w:t>
      </w:r>
    </w:p>
    <w:p w14:paraId="726469FB" w14:textId="77777777" w:rsidR="00DC446C" w:rsidRPr="00092862" w:rsidRDefault="003B1968" w:rsidP="000C1A72">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2</w:t>
      </w:r>
      <w:r w:rsidRPr="00092862">
        <w:rPr>
          <w:rFonts w:ascii="Times New Roman" w:hAnsi="Times New Roman"/>
          <w:b/>
          <w:bCs/>
          <w:color w:val="000000" w:themeColor="text1"/>
          <w:szCs w:val="24"/>
        </w:rPr>
        <w:t>）预测模式</w:t>
      </w:r>
    </w:p>
    <w:p w14:paraId="1142BE7E" w14:textId="77777777" w:rsidR="00DC446C" w:rsidRPr="00092862" w:rsidRDefault="003B1968" w:rsidP="000C1A72">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根据《环境影响评价技术导则</w:t>
      </w:r>
      <w:r w:rsidRPr="00092862">
        <w:rPr>
          <w:rFonts w:ascii="Times New Roman" w:hAnsi="Times New Roman"/>
          <w:color w:val="000000" w:themeColor="text1"/>
          <w:szCs w:val="24"/>
        </w:rPr>
        <w:t>·</w:t>
      </w:r>
      <w:r w:rsidRPr="00092862">
        <w:rPr>
          <w:rFonts w:ascii="Times New Roman" w:hAnsi="Times New Roman"/>
          <w:color w:val="000000" w:themeColor="text1"/>
          <w:szCs w:val="24"/>
        </w:rPr>
        <w:t>声环境》中工业噪声预测模式中室外点声源模式：</w:t>
      </w:r>
    </w:p>
    <w:p w14:paraId="4892A870" w14:textId="77777777" w:rsidR="00DC446C" w:rsidRPr="00092862" w:rsidRDefault="003B1968" w:rsidP="003D2EE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LA</w:t>
      </w:r>
      <w:r w:rsidRPr="00092862">
        <w:rPr>
          <w:rFonts w:ascii="Times New Roman" w:hAnsi="Times New Roman"/>
          <w:color w:val="000000" w:themeColor="text1"/>
          <w:szCs w:val="24"/>
        </w:rPr>
        <w:t>（</w:t>
      </w:r>
      <w:r w:rsidRPr="00092862">
        <w:rPr>
          <w:rFonts w:ascii="Times New Roman" w:hAnsi="Times New Roman"/>
          <w:color w:val="000000" w:themeColor="text1"/>
          <w:szCs w:val="24"/>
        </w:rPr>
        <w:t>r</w:t>
      </w:r>
      <w:r w:rsidRPr="00092862">
        <w:rPr>
          <w:rFonts w:ascii="Times New Roman" w:hAnsi="Times New Roman"/>
          <w:color w:val="000000" w:themeColor="text1"/>
          <w:szCs w:val="24"/>
        </w:rPr>
        <w:t>）</w:t>
      </w:r>
      <w:r w:rsidRPr="00092862">
        <w:rPr>
          <w:rFonts w:ascii="Times New Roman" w:hAnsi="Times New Roman"/>
          <w:color w:val="000000" w:themeColor="text1"/>
          <w:szCs w:val="24"/>
        </w:rPr>
        <w:t>=LA</w:t>
      </w:r>
      <w:r w:rsidRPr="00092862">
        <w:rPr>
          <w:rFonts w:ascii="Times New Roman" w:hAnsi="Times New Roman"/>
          <w:color w:val="000000" w:themeColor="text1"/>
          <w:szCs w:val="24"/>
        </w:rPr>
        <w:t>（</w:t>
      </w:r>
      <w:r w:rsidRPr="00092862">
        <w:rPr>
          <w:rFonts w:ascii="Times New Roman" w:hAnsi="Times New Roman"/>
          <w:color w:val="000000" w:themeColor="text1"/>
          <w:szCs w:val="24"/>
        </w:rPr>
        <w:t>r</w:t>
      </w:r>
      <w:r w:rsidRPr="00092862">
        <w:rPr>
          <w:rFonts w:ascii="Times New Roman" w:hAnsi="Times New Roman"/>
          <w:color w:val="000000" w:themeColor="text1"/>
          <w:szCs w:val="24"/>
          <w:vertAlign w:val="subscript"/>
        </w:rPr>
        <w:t>0</w:t>
      </w:r>
      <w:r w:rsidRPr="00092862">
        <w:rPr>
          <w:rFonts w:ascii="Times New Roman" w:hAnsi="Times New Roman"/>
          <w:color w:val="000000" w:themeColor="text1"/>
          <w:szCs w:val="24"/>
        </w:rPr>
        <w:t>）</w:t>
      </w:r>
      <w:r w:rsidRPr="00092862">
        <w:rPr>
          <w:rFonts w:ascii="Times New Roman" w:hAnsi="Times New Roman"/>
          <w:color w:val="000000" w:themeColor="text1"/>
          <w:szCs w:val="24"/>
        </w:rPr>
        <w:t>-A=LA</w:t>
      </w:r>
      <w:r w:rsidRPr="00092862">
        <w:rPr>
          <w:rFonts w:ascii="Times New Roman" w:hAnsi="Times New Roman"/>
          <w:color w:val="000000" w:themeColor="text1"/>
          <w:szCs w:val="24"/>
        </w:rPr>
        <w:t>（</w:t>
      </w:r>
      <w:r w:rsidRPr="00092862">
        <w:rPr>
          <w:rFonts w:ascii="Times New Roman" w:hAnsi="Times New Roman"/>
          <w:color w:val="000000" w:themeColor="text1"/>
          <w:szCs w:val="24"/>
        </w:rPr>
        <w:t>r</w:t>
      </w:r>
      <w:r w:rsidRPr="00092862">
        <w:rPr>
          <w:rFonts w:ascii="Times New Roman" w:hAnsi="Times New Roman"/>
          <w:color w:val="000000" w:themeColor="text1"/>
          <w:szCs w:val="24"/>
          <w:vertAlign w:val="subscript"/>
        </w:rPr>
        <w:t>0</w:t>
      </w:r>
      <w:r w:rsidRPr="00092862">
        <w:rPr>
          <w:rFonts w:ascii="Times New Roman" w:hAnsi="Times New Roman"/>
          <w:color w:val="000000" w:themeColor="text1"/>
          <w:szCs w:val="24"/>
        </w:rPr>
        <w:t>）－</w:t>
      </w:r>
      <w:r w:rsidRPr="00092862">
        <w:rPr>
          <w:rFonts w:ascii="Times New Roman" w:hAnsi="Times New Roman"/>
          <w:color w:val="000000" w:themeColor="text1"/>
          <w:szCs w:val="24"/>
        </w:rPr>
        <w:t>Adiv</w:t>
      </w:r>
      <w:r w:rsidRPr="00092862">
        <w:rPr>
          <w:rFonts w:ascii="Times New Roman" w:hAnsi="Times New Roman"/>
          <w:color w:val="000000" w:themeColor="text1"/>
          <w:szCs w:val="24"/>
        </w:rPr>
        <w:t>－</w:t>
      </w:r>
      <w:r w:rsidRPr="00092862">
        <w:rPr>
          <w:rFonts w:ascii="Times New Roman" w:hAnsi="Times New Roman"/>
          <w:color w:val="000000" w:themeColor="text1"/>
          <w:szCs w:val="24"/>
        </w:rPr>
        <w:t>Aatm</w:t>
      </w:r>
      <w:r w:rsidRPr="00092862">
        <w:rPr>
          <w:rFonts w:ascii="Times New Roman" w:hAnsi="Times New Roman"/>
          <w:color w:val="000000" w:themeColor="text1"/>
          <w:szCs w:val="24"/>
        </w:rPr>
        <w:t>－</w:t>
      </w:r>
      <w:r w:rsidRPr="00092862">
        <w:rPr>
          <w:rFonts w:ascii="Times New Roman" w:hAnsi="Times New Roman"/>
          <w:color w:val="000000" w:themeColor="text1"/>
          <w:szCs w:val="24"/>
        </w:rPr>
        <w:t>Agr</w:t>
      </w:r>
      <w:r w:rsidRPr="00092862">
        <w:rPr>
          <w:rFonts w:ascii="Times New Roman" w:hAnsi="Times New Roman"/>
          <w:color w:val="000000" w:themeColor="text1"/>
          <w:szCs w:val="24"/>
        </w:rPr>
        <w:t>－</w:t>
      </w:r>
      <w:r w:rsidRPr="00092862">
        <w:rPr>
          <w:rFonts w:ascii="Times New Roman" w:hAnsi="Times New Roman"/>
          <w:color w:val="000000" w:themeColor="text1"/>
          <w:szCs w:val="24"/>
        </w:rPr>
        <w:t>Abar</w:t>
      </w:r>
      <w:r w:rsidRPr="00092862">
        <w:rPr>
          <w:rFonts w:ascii="Times New Roman" w:hAnsi="Times New Roman"/>
          <w:color w:val="000000" w:themeColor="text1"/>
          <w:szCs w:val="24"/>
        </w:rPr>
        <w:t>－</w:t>
      </w:r>
      <w:r w:rsidRPr="00092862">
        <w:rPr>
          <w:rFonts w:ascii="Times New Roman" w:hAnsi="Times New Roman"/>
          <w:color w:val="000000" w:themeColor="text1"/>
          <w:szCs w:val="24"/>
        </w:rPr>
        <w:t>Amisc</w:t>
      </w:r>
    </w:p>
    <w:p w14:paraId="3D54A129" w14:textId="77777777" w:rsidR="00DC446C" w:rsidRPr="00092862" w:rsidRDefault="003B1968" w:rsidP="003D2EE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式中：</w:t>
      </w:r>
      <w:r w:rsidRPr="00092862">
        <w:rPr>
          <w:rFonts w:ascii="Times New Roman" w:hAnsi="Times New Roman"/>
          <w:color w:val="000000" w:themeColor="text1"/>
          <w:szCs w:val="24"/>
        </w:rPr>
        <w:t>LA</w:t>
      </w:r>
      <w:r w:rsidRPr="00092862">
        <w:rPr>
          <w:rFonts w:ascii="Times New Roman" w:hAnsi="Times New Roman"/>
          <w:color w:val="000000" w:themeColor="text1"/>
          <w:szCs w:val="24"/>
        </w:rPr>
        <w:t>（</w:t>
      </w:r>
      <w:r w:rsidRPr="00092862">
        <w:rPr>
          <w:rFonts w:ascii="Times New Roman" w:hAnsi="Times New Roman"/>
          <w:color w:val="000000" w:themeColor="text1"/>
          <w:szCs w:val="24"/>
        </w:rPr>
        <w:t>r</w:t>
      </w:r>
      <w:r w:rsidRPr="00092862">
        <w:rPr>
          <w:rFonts w:ascii="Times New Roman" w:hAnsi="Times New Roman"/>
          <w:color w:val="000000" w:themeColor="text1"/>
          <w:szCs w:val="24"/>
        </w:rPr>
        <w:t>）</w:t>
      </w:r>
      <w:r w:rsidRPr="00092862">
        <w:rPr>
          <w:rFonts w:ascii="Times New Roman" w:hAnsi="Times New Roman"/>
          <w:color w:val="000000" w:themeColor="text1"/>
          <w:szCs w:val="24"/>
        </w:rPr>
        <w:t>——</w:t>
      </w:r>
      <w:r w:rsidRPr="00092862">
        <w:rPr>
          <w:rFonts w:ascii="Times New Roman" w:hAnsi="Times New Roman"/>
          <w:color w:val="000000" w:themeColor="text1"/>
          <w:szCs w:val="24"/>
        </w:rPr>
        <w:t>距声源</w:t>
      </w:r>
      <w:r w:rsidRPr="00092862">
        <w:rPr>
          <w:rFonts w:ascii="Times New Roman" w:hAnsi="Times New Roman"/>
          <w:color w:val="000000" w:themeColor="text1"/>
          <w:szCs w:val="24"/>
        </w:rPr>
        <w:t>r</w:t>
      </w:r>
      <w:r w:rsidRPr="00092862">
        <w:rPr>
          <w:rFonts w:ascii="Times New Roman" w:hAnsi="Times New Roman"/>
          <w:color w:val="000000" w:themeColor="text1"/>
          <w:szCs w:val="24"/>
        </w:rPr>
        <w:t>处的</w:t>
      </w:r>
      <w:r w:rsidRPr="00092862">
        <w:rPr>
          <w:rFonts w:ascii="Times New Roman" w:hAnsi="Times New Roman"/>
          <w:color w:val="000000" w:themeColor="text1"/>
          <w:szCs w:val="24"/>
        </w:rPr>
        <w:t>A</w:t>
      </w:r>
      <w:r w:rsidRPr="00092862">
        <w:rPr>
          <w:rFonts w:ascii="Times New Roman" w:hAnsi="Times New Roman"/>
          <w:color w:val="000000" w:themeColor="text1"/>
          <w:szCs w:val="24"/>
        </w:rPr>
        <w:t>声级</w:t>
      </w:r>
    </w:p>
    <w:p w14:paraId="72B77EE1" w14:textId="77777777" w:rsidR="00BC4FE4" w:rsidRPr="00092862" w:rsidRDefault="003B1968" w:rsidP="00BC4FE4">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 xml:space="preserve">    </w:t>
      </w:r>
      <w:r w:rsidR="00BC4FE4" w:rsidRPr="00092862">
        <w:rPr>
          <w:rFonts w:ascii="Times New Roman" w:hAnsi="Times New Roman"/>
          <w:color w:val="000000" w:themeColor="text1"/>
          <w:szCs w:val="24"/>
        </w:rPr>
        <w:t xml:space="preserve">     </w:t>
      </w:r>
      <w:r w:rsidRPr="00092862">
        <w:rPr>
          <w:rFonts w:ascii="Times New Roman" w:hAnsi="Times New Roman"/>
          <w:color w:val="000000" w:themeColor="text1"/>
          <w:szCs w:val="24"/>
        </w:rPr>
        <w:t xml:space="preserve">  LA</w:t>
      </w:r>
      <w:r w:rsidRPr="00092862">
        <w:rPr>
          <w:rFonts w:ascii="Times New Roman" w:hAnsi="Times New Roman"/>
          <w:color w:val="000000" w:themeColor="text1"/>
          <w:szCs w:val="24"/>
        </w:rPr>
        <w:t>（</w:t>
      </w:r>
      <w:r w:rsidRPr="00092862">
        <w:rPr>
          <w:rFonts w:ascii="Times New Roman" w:hAnsi="Times New Roman"/>
          <w:color w:val="000000" w:themeColor="text1"/>
          <w:szCs w:val="24"/>
        </w:rPr>
        <w:t>r</w:t>
      </w:r>
      <w:r w:rsidRPr="00092862">
        <w:rPr>
          <w:rFonts w:ascii="Times New Roman" w:hAnsi="Times New Roman"/>
          <w:color w:val="000000" w:themeColor="text1"/>
          <w:szCs w:val="24"/>
          <w:vertAlign w:val="subscript"/>
        </w:rPr>
        <w:t>0</w:t>
      </w:r>
      <w:r w:rsidRPr="00092862">
        <w:rPr>
          <w:rFonts w:ascii="Times New Roman" w:hAnsi="Times New Roman"/>
          <w:color w:val="000000" w:themeColor="text1"/>
          <w:szCs w:val="24"/>
        </w:rPr>
        <w:t>）</w:t>
      </w:r>
      <w:r w:rsidRPr="00092862">
        <w:rPr>
          <w:rFonts w:ascii="Times New Roman" w:hAnsi="Times New Roman"/>
          <w:color w:val="000000" w:themeColor="text1"/>
          <w:szCs w:val="24"/>
        </w:rPr>
        <w:t>——</w:t>
      </w:r>
      <w:r w:rsidRPr="00092862">
        <w:rPr>
          <w:rFonts w:ascii="Times New Roman" w:hAnsi="Times New Roman"/>
          <w:color w:val="000000" w:themeColor="text1"/>
          <w:szCs w:val="24"/>
        </w:rPr>
        <w:t>参考位置</w:t>
      </w:r>
      <w:r w:rsidRPr="00092862">
        <w:rPr>
          <w:rFonts w:ascii="Times New Roman" w:hAnsi="Times New Roman"/>
          <w:color w:val="000000" w:themeColor="text1"/>
          <w:szCs w:val="24"/>
        </w:rPr>
        <w:t>r</w:t>
      </w:r>
      <w:r w:rsidRPr="00092862">
        <w:rPr>
          <w:rFonts w:ascii="Times New Roman" w:hAnsi="Times New Roman"/>
          <w:color w:val="000000" w:themeColor="text1"/>
          <w:szCs w:val="24"/>
          <w:vertAlign w:val="subscript"/>
        </w:rPr>
        <w:t>0</w:t>
      </w:r>
      <w:r w:rsidRPr="00092862">
        <w:rPr>
          <w:rFonts w:ascii="Times New Roman" w:hAnsi="Times New Roman"/>
          <w:color w:val="000000" w:themeColor="text1"/>
          <w:szCs w:val="24"/>
        </w:rPr>
        <w:t>处的</w:t>
      </w:r>
      <w:r w:rsidRPr="00092862">
        <w:rPr>
          <w:rFonts w:ascii="Times New Roman" w:hAnsi="Times New Roman"/>
          <w:color w:val="000000" w:themeColor="text1"/>
          <w:szCs w:val="24"/>
        </w:rPr>
        <w:t>A</w:t>
      </w:r>
      <w:r w:rsidRPr="00092862">
        <w:rPr>
          <w:rFonts w:ascii="Times New Roman" w:hAnsi="Times New Roman"/>
          <w:color w:val="000000" w:themeColor="text1"/>
          <w:szCs w:val="24"/>
        </w:rPr>
        <w:t>声级</w:t>
      </w:r>
    </w:p>
    <w:p w14:paraId="048B678A" w14:textId="77777777" w:rsidR="00BC4FE4" w:rsidRPr="00092862" w:rsidRDefault="003B1968" w:rsidP="00BC4FE4">
      <w:pPr>
        <w:pStyle w:val="af0"/>
        <w:adjustRightInd w:val="0"/>
        <w:snapToGrid w:val="0"/>
        <w:spacing w:line="360" w:lineRule="auto"/>
        <w:ind w:firstLineChars="450" w:firstLine="1080"/>
        <w:rPr>
          <w:rFonts w:ascii="Times New Roman" w:hAnsi="Times New Roman"/>
          <w:color w:val="000000" w:themeColor="text1"/>
          <w:szCs w:val="24"/>
        </w:rPr>
      </w:pPr>
      <w:r w:rsidRPr="00092862">
        <w:rPr>
          <w:rFonts w:ascii="Times New Roman" w:hAnsi="Times New Roman"/>
          <w:color w:val="000000" w:themeColor="text1"/>
          <w:szCs w:val="24"/>
        </w:rPr>
        <w:t>A</w:t>
      </w:r>
      <w:r w:rsidRPr="00092862">
        <w:rPr>
          <w:rFonts w:ascii="Times New Roman" w:hAnsi="Times New Roman"/>
          <w:color w:val="000000" w:themeColor="text1"/>
          <w:szCs w:val="24"/>
          <w:vertAlign w:val="subscript"/>
        </w:rPr>
        <w:t>div</w:t>
      </w:r>
      <w:r w:rsidRPr="00092862">
        <w:rPr>
          <w:rFonts w:ascii="Times New Roman" w:hAnsi="Times New Roman"/>
          <w:color w:val="000000" w:themeColor="text1"/>
          <w:szCs w:val="24"/>
        </w:rPr>
        <w:t>——</w:t>
      </w:r>
      <w:r w:rsidRPr="00092862">
        <w:rPr>
          <w:rFonts w:ascii="Times New Roman" w:hAnsi="Times New Roman"/>
          <w:color w:val="000000" w:themeColor="text1"/>
          <w:szCs w:val="24"/>
        </w:rPr>
        <w:t>声波几何发散引起的倍频带衰减量</w:t>
      </w:r>
    </w:p>
    <w:p w14:paraId="730FDEE3" w14:textId="77777777" w:rsidR="00BC4FE4" w:rsidRPr="00092862" w:rsidRDefault="003B1968" w:rsidP="00BC4FE4">
      <w:pPr>
        <w:pStyle w:val="af0"/>
        <w:adjustRightInd w:val="0"/>
        <w:snapToGrid w:val="0"/>
        <w:spacing w:line="360" w:lineRule="auto"/>
        <w:ind w:firstLineChars="450" w:firstLine="1080"/>
        <w:rPr>
          <w:rFonts w:ascii="Times New Roman" w:hAnsi="Times New Roman"/>
          <w:color w:val="000000" w:themeColor="text1"/>
          <w:szCs w:val="24"/>
        </w:rPr>
      </w:pPr>
      <w:r w:rsidRPr="00092862">
        <w:rPr>
          <w:rFonts w:ascii="Times New Roman" w:hAnsi="Times New Roman"/>
          <w:color w:val="000000" w:themeColor="text1"/>
          <w:szCs w:val="24"/>
        </w:rPr>
        <w:t>A</w:t>
      </w:r>
      <w:r w:rsidRPr="00092862">
        <w:rPr>
          <w:rFonts w:ascii="Times New Roman" w:hAnsi="Times New Roman"/>
          <w:color w:val="000000" w:themeColor="text1"/>
          <w:szCs w:val="24"/>
          <w:vertAlign w:val="subscript"/>
        </w:rPr>
        <w:t>atm</w:t>
      </w:r>
      <w:r w:rsidRPr="00092862">
        <w:rPr>
          <w:rFonts w:ascii="Times New Roman" w:hAnsi="Times New Roman"/>
          <w:color w:val="000000" w:themeColor="text1"/>
          <w:szCs w:val="24"/>
        </w:rPr>
        <w:t>——</w:t>
      </w:r>
      <w:r w:rsidRPr="00092862">
        <w:rPr>
          <w:rFonts w:ascii="Times New Roman" w:hAnsi="Times New Roman"/>
          <w:color w:val="000000" w:themeColor="text1"/>
          <w:szCs w:val="24"/>
        </w:rPr>
        <w:t>空气吸收引起的倍频带衰减量</w:t>
      </w:r>
    </w:p>
    <w:p w14:paraId="42E6AECA" w14:textId="77777777" w:rsidR="00BC4FE4" w:rsidRPr="00092862" w:rsidRDefault="003B1968" w:rsidP="00BC4FE4">
      <w:pPr>
        <w:pStyle w:val="af0"/>
        <w:adjustRightInd w:val="0"/>
        <w:snapToGrid w:val="0"/>
        <w:spacing w:line="360" w:lineRule="auto"/>
        <w:ind w:firstLineChars="450" w:firstLine="1080"/>
        <w:rPr>
          <w:rFonts w:ascii="Times New Roman" w:hAnsi="Times New Roman"/>
          <w:color w:val="000000" w:themeColor="text1"/>
          <w:szCs w:val="24"/>
        </w:rPr>
      </w:pPr>
      <w:r w:rsidRPr="00092862">
        <w:rPr>
          <w:rFonts w:ascii="Times New Roman" w:hAnsi="Times New Roman"/>
          <w:color w:val="000000" w:themeColor="text1"/>
          <w:szCs w:val="24"/>
        </w:rPr>
        <w:t>A</w:t>
      </w:r>
      <w:r w:rsidRPr="00092862">
        <w:rPr>
          <w:rFonts w:ascii="Times New Roman" w:hAnsi="Times New Roman"/>
          <w:color w:val="000000" w:themeColor="text1"/>
          <w:szCs w:val="24"/>
          <w:vertAlign w:val="subscript"/>
        </w:rPr>
        <w:t>gr</w:t>
      </w:r>
      <w:r w:rsidRPr="00092862">
        <w:rPr>
          <w:rFonts w:ascii="Times New Roman" w:hAnsi="Times New Roman"/>
          <w:color w:val="000000" w:themeColor="text1"/>
          <w:szCs w:val="24"/>
        </w:rPr>
        <w:t xml:space="preserve"> ——</w:t>
      </w:r>
      <w:r w:rsidRPr="00092862">
        <w:rPr>
          <w:rFonts w:ascii="Times New Roman" w:hAnsi="Times New Roman"/>
          <w:color w:val="000000" w:themeColor="text1"/>
          <w:szCs w:val="24"/>
        </w:rPr>
        <w:t>地面效应引起的倍频带衰减量</w:t>
      </w:r>
    </w:p>
    <w:p w14:paraId="26CC4CD5" w14:textId="77777777" w:rsidR="00BC4FE4" w:rsidRPr="00092862" w:rsidRDefault="003B1968" w:rsidP="00BC4FE4">
      <w:pPr>
        <w:pStyle w:val="af0"/>
        <w:adjustRightInd w:val="0"/>
        <w:snapToGrid w:val="0"/>
        <w:spacing w:line="360" w:lineRule="auto"/>
        <w:ind w:firstLineChars="450" w:firstLine="1080"/>
        <w:rPr>
          <w:rFonts w:ascii="Times New Roman" w:hAnsi="Times New Roman"/>
          <w:color w:val="000000" w:themeColor="text1"/>
          <w:szCs w:val="24"/>
        </w:rPr>
      </w:pPr>
      <w:r w:rsidRPr="00092862">
        <w:rPr>
          <w:rFonts w:ascii="Times New Roman" w:hAnsi="Times New Roman"/>
          <w:color w:val="000000" w:themeColor="text1"/>
          <w:szCs w:val="24"/>
        </w:rPr>
        <w:t>A</w:t>
      </w:r>
      <w:r w:rsidRPr="00092862">
        <w:rPr>
          <w:rFonts w:ascii="Times New Roman" w:hAnsi="Times New Roman"/>
          <w:color w:val="000000" w:themeColor="text1"/>
          <w:szCs w:val="24"/>
          <w:vertAlign w:val="subscript"/>
        </w:rPr>
        <w:t>bar</w:t>
      </w:r>
      <w:r w:rsidRPr="00092862">
        <w:rPr>
          <w:rFonts w:ascii="Times New Roman" w:hAnsi="Times New Roman"/>
          <w:color w:val="000000" w:themeColor="text1"/>
          <w:szCs w:val="24"/>
        </w:rPr>
        <w:t>——</w:t>
      </w:r>
      <w:r w:rsidRPr="00092862">
        <w:rPr>
          <w:rFonts w:ascii="Times New Roman" w:hAnsi="Times New Roman"/>
          <w:color w:val="000000" w:themeColor="text1"/>
          <w:szCs w:val="24"/>
        </w:rPr>
        <w:t>屏障引起的倍频带衰减量</w:t>
      </w:r>
    </w:p>
    <w:p w14:paraId="06AC4BDE" w14:textId="77777777" w:rsidR="00BC4FE4" w:rsidRPr="00092862" w:rsidRDefault="003B1968" w:rsidP="00BC4FE4">
      <w:pPr>
        <w:pStyle w:val="af0"/>
        <w:adjustRightInd w:val="0"/>
        <w:snapToGrid w:val="0"/>
        <w:spacing w:line="360" w:lineRule="auto"/>
        <w:ind w:firstLineChars="450" w:firstLine="1080"/>
        <w:rPr>
          <w:rFonts w:ascii="Times New Roman" w:hAnsi="Times New Roman"/>
          <w:color w:val="000000" w:themeColor="text1"/>
          <w:szCs w:val="24"/>
        </w:rPr>
      </w:pPr>
      <w:r w:rsidRPr="00092862">
        <w:rPr>
          <w:rFonts w:ascii="Times New Roman" w:hAnsi="Times New Roman"/>
          <w:color w:val="000000" w:themeColor="text1"/>
          <w:szCs w:val="24"/>
        </w:rPr>
        <w:t>A</w:t>
      </w:r>
      <w:r w:rsidRPr="00092862">
        <w:rPr>
          <w:rFonts w:ascii="Times New Roman" w:hAnsi="Times New Roman"/>
          <w:color w:val="000000" w:themeColor="text1"/>
          <w:szCs w:val="24"/>
          <w:vertAlign w:val="subscript"/>
        </w:rPr>
        <w:t>misc</w:t>
      </w:r>
      <w:r w:rsidRPr="00092862">
        <w:rPr>
          <w:rFonts w:ascii="Times New Roman" w:hAnsi="Times New Roman"/>
          <w:color w:val="000000" w:themeColor="text1"/>
          <w:szCs w:val="24"/>
        </w:rPr>
        <w:t>——</w:t>
      </w:r>
      <w:r w:rsidRPr="00092862">
        <w:rPr>
          <w:rFonts w:ascii="Times New Roman" w:hAnsi="Times New Roman"/>
          <w:color w:val="000000" w:themeColor="text1"/>
          <w:szCs w:val="24"/>
        </w:rPr>
        <w:t>其他多方面效应引起的倍频带衰减量</w:t>
      </w:r>
    </w:p>
    <w:p w14:paraId="1AE737E0" w14:textId="77777777" w:rsidR="00BC4FE4" w:rsidRPr="00092862" w:rsidRDefault="003B1968" w:rsidP="00BC4FE4">
      <w:pPr>
        <w:pStyle w:val="af0"/>
        <w:adjustRightInd w:val="0"/>
        <w:snapToGrid w:val="0"/>
        <w:spacing w:line="360" w:lineRule="auto"/>
        <w:ind w:firstLineChars="450" w:firstLine="1080"/>
        <w:rPr>
          <w:rFonts w:ascii="Times New Roman" w:hAnsi="Times New Roman"/>
          <w:color w:val="000000" w:themeColor="text1"/>
          <w:szCs w:val="24"/>
        </w:rPr>
      </w:pPr>
      <w:r w:rsidRPr="00092862">
        <w:rPr>
          <w:rFonts w:ascii="Times New Roman" w:hAnsi="Times New Roman"/>
          <w:color w:val="000000" w:themeColor="text1"/>
          <w:szCs w:val="24"/>
        </w:rPr>
        <w:t>A——</w:t>
      </w:r>
      <w:r w:rsidRPr="00092862">
        <w:rPr>
          <w:rFonts w:ascii="Times New Roman" w:hAnsi="Times New Roman"/>
          <w:color w:val="000000" w:themeColor="text1"/>
          <w:szCs w:val="24"/>
        </w:rPr>
        <w:t>选择对</w:t>
      </w:r>
      <w:r w:rsidRPr="00092862">
        <w:rPr>
          <w:rFonts w:ascii="Times New Roman" w:hAnsi="Times New Roman"/>
          <w:color w:val="000000" w:themeColor="text1"/>
          <w:szCs w:val="24"/>
        </w:rPr>
        <w:t>A</w:t>
      </w:r>
      <w:r w:rsidRPr="00092862">
        <w:rPr>
          <w:rFonts w:ascii="Times New Roman" w:hAnsi="Times New Roman"/>
          <w:color w:val="000000" w:themeColor="text1"/>
          <w:szCs w:val="24"/>
        </w:rPr>
        <w:t>声级影响最大的倍频带计算，一边选择中心频率</w:t>
      </w:r>
      <w:r w:rsidRPr="00092862">
        <w:rPr>
          <w:rFonts w:ascii="Times New Roman" w:hAnsi="Times New Roman"/>
          <w:color w:val="000000" w:themeColor="text1"/>
          <w:szCs w:val="24"/>
        </w:rPr>
        <w:t>500HZ</w:t>
      </w:r>
      <w:r w:rsidRPr="00092862">
        <w:rPr>
          <w:rFonts w:ascii="Times New Roman" w:hAnsi="Times New Roman"/>
          <w:color w:val="000000" w:themeColor="text1"/>
          <w:szCs w:val="24"/>
        </w:rPr>
        <w:t>的倍频带计算。</w:t>
      </w:r>
    </w:p>
    <w:p w14:paraId="33575701" w14:textId="77777777" w:rsidR="00DC446C" w:rsidRPr="00092862" w:rsidRDefault="003B1968" w:rsidP="00BC4FE4">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本项目以几何发散衰减为主：</w:t>
      </w:r>
      <w:r w:rsidRPr="00092862">
        <w:rPr>
          <w:rFonts w:ascii="Times New Roman" w:hAnsi="Times New Roman"/>
          <w:color w:val="000000" w:themeColor="text1"/>
          <w:szCs w:val="24"/>
        </w:rPr>
        <w:t>A</w:t>
      </w:r>
      <w:r w:rsidRPr="00092862">
        <w:rPr>
          <w:rFonts w:ascii="Times New Roman" w:hAnsi="Times New Roman"/>
          <w:color w:val="000000" w:themeColor="text1"/>
          <w:szCs w:val="24"/>
          <w:vertAlign w:val="subscript"/>
        </w:rPr>
        <w:t>div</w:t>
      </w:r>
      <w:r w:rsidRPr="00092862">
        <w:rPr>
          <w:rFonts w:ascii="Times New Roman" w:hAnsi="Times New Roman"/>
          <w:color w:val="000000" w:themeColor="text1"/>
          <w:szCs w:val="24"/>
        </w:rPr>
        <w:t>＝</w:t>
      </w:r>
      <w:r w:rsidRPr="00092862">
        <w:rPr>
          <w:rFonts w:ascii="Times New Roman" w:hAnsi="Times New Roman"/>
          <w:color w:val="000000" w:themeColor="text1"/>
          <w:szCs w:val="24"/>
        </w:rPr>
        <w:t>201g(r/r</w:t>
      </w:r>
      <w:r w:rsidRPr="00092862">
        <w:rPr>
          <w:rFonts w:ascii="Times New Roman" w:hAnsi="Times New Roman"/>
          <w:color w:val="000000" w:themeColor="text1"/>
          <w:szCs w:val="24"/>
          <w:vertAlign w:val="subscript"/>
        </w:rPr>
        <w:t>0</w:t>
      </w:r>
      <w:r w:rsidRPr="00092862">
        <w:rPr>
          <w:rFonts w:ascii="Times New Roman" w:hAnsi="Times New Roman"/>
          <w:color w:val="000000" w:themeColor="text1"/>
          <w:szCs w:val="24"/>
        </w:rPr>
        <w:t>)</w:t>
      </w:r>
    </w:p>
    <w:p w14:paraId="38B197E8" w14:textId="77777777" w:rsidR="00DC446C" w:rsidRPr="00092862" w:rsidRDefault="003B1968" w:rsidP="003D2EE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由于钻井噪声较大，声源的地势较空旷，评价周边居民远，地势高差对噪声影响为保守起见，可忽略，同时考虑属于施工期短期影响，评价主要以几何发散衰减计算，同时考虑井场围墙及设备用房的衰减，与井场间有山丘相隔的居民考虑屏障引起衰减量，距离</w:t>
      </w:r>
      <w:r w:rsidRPr="00092862">
        <w:rPr>
          <w:rFonts w:ascii="Times New Roman" w:hAnsi="Times New Roman"/>
          <w:color w:val="000000" w:themeColor="text1"/>
          <w:szCs w:val="24"/>
        </w:rPr>
        <w:t>200m</w:t>
      </w:r>
      <w:r w:rsidRPr="00092862">
        <w:rPr>
          <w:rFonts w:ascii="Times New Roman" w:hAnsi="Times New Roman"/>
          <w:color w:val="000000" w:themeColor="text1"/>
          <w:szCs w:val="24"/>
        </w:rPr>
        <w:t>以上的考虑地面效应衰减。</w:t>
      </w:r>
    </w:p>
    <w:p w14:paraId="101D7142" w14:textId="77777777" w:rsidR="00DC446C" w:rsidRPr="00092862" w:rsidRDefault="003B1968" w:rsidP="003D2EEB">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3</w:t>
      </w:r>
      <w:r w:rsidRPr="00092862">
        <w:rPr>
          <w:rFonts w:ascii="Times New Roman" w:hAnsi="Times New Roman"/>
          <w:b/>
          <w:bCs/>
          <w:color w:val="000000" w:themeColor="text1"/>
          <w:szCs w:val="24"/>
        </w:rPr>
        <w:t>）钻井噪声环境影响预测及分析</w:t>
      </w:r>
    </w:p>
    <w:p w14:paraId="548E9983" w14:textId="77777777" w:rsidR="00DC446C" w:rsidRPr="00092862" w:rsidRDefault="00BC4FE4" w:rsidP="00BA0EC4">
      <w:pPr>
        <w:pStyle w:val="af0"/>
        <w:adjustRightInd w:val="0"/>
        <w:snapToGrid w:val="0"/>
        <w:spacing w:line="360" w:lineRule="auto"/>
        <w:ind w:firstLineChars="200" w:firstLine="480"/>
        <w:rPr>
          <w:rFonts w:ascii="Times New Roman" w:hAnsi="Times New Roman"/>
          <w:color w:val="000000" w:themeColor="text1"/>
          <w:szCs w:val="26"/>
        </w:rPr>
      </w:pPr>
      <w:r w:rsidRPr="00092862">
        <w:rPr>
          <w:rFonts w:ascii="Times New Roman" w:hAnsi="Times New Roman"/>
          <w:color w:val="000000" w:themeColor="text1"/>
          <w:szCs w:val="24"/>
        </w:rPr>
        <w:t>1</w:t>
      </w:r>
      <w:r w:rsidRPr="00092862">
        <w:rPr>
          <w:rFonts w:ascii="Times New Roman" w:hAnsi="Times New Roman"/>
          <w:color w:val="000000" w:themeColor="text1"/>
          <w:szCs w:val="24"/>
        </w:rPr>
        <w:t>）</w:t>
      </w:r>
      <w:r w:rsidR="00BA0EC4" w:rsidRPr="00092862">
        <w:rPr>
          <w:rFonts w:ascii="Times New Roman" w:hAnsi="Times New Roman"/>
          <w:color w:val="000000" w:themeColor="text1"/>
          <w:szCs w:val="24"/>
        </w:rPr>
        <w:t>正常工况（网电）</w:t>
      </w:r>
    </w:p>
    <w:p w14:paraId="7DA41AB1" w14:textId="77777777" w:rsidR="00DC446C" w:rsidRPr="00092862" w:rsidRDefault="003B1968" w:rsidP="003D2EE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正常工况</w:t>
      </w:r>
      <w:r w:rsidR="00BC4FE4" w:rsidRPr="00092862">
        <w:rPr>
          <w:rFonts w:ascii="Times New Roman" w:hAnsi="Times New Roman"/>
          <w:color w:val="000000" w:themeColor="text1"/>
          <w:szCs w:val="24"/>
        </w:rPr>
        <w:t>（网电工况）</w:t>
      </w:r>
      <w:r w:rsidRPr="00092862">
        <w:rPr>
          <w:rFonts w:ascii="Times New Roman" w:hAnsi="Times New Roman"/>
          <w:color w:val="000000" w:themeColor="text1"/>
          <w:szCs w:val="24"/>
        </w:rPr>
        <w:t>下</w:t>
      </w:r>
      <w:r w:rsidR="00BA0EC4" w:rsidRPr="00092862">
        <w:rPr>
          <w:rFonts w:ascii="Times New Roman" w:hAnsi="Times New Roman"/>
          <w:color w:val="000000" w:themeColor="text1"/>
          <w:szCs w:val="24"/>
        </w:rPr>
        <w:t>本项目优先使用网电，网电</w:t>
      </w:r>
      <w:r w:rsidRPr="00092862">
        <w:rPr>
          <w:rFonts w:ascii="Times New Roman" w:hAnsi="Times New Roman"/>
          <w:color w:val="000000" w:themeColor="text1"/>
          <w:szCs w:val="24"/>
        </w:rPr>
        <w:t>钻井期间同时作业的</w:t>
      </w:r>
      <w:r w:rsidRPr="00092862">
        <w:rPr>
          <w:rFonts w:ascii="Times New Roman" w:hAnsi="Times New Roman"/>
          <w:color w:val="000000" w:themeColor="text1"/>
          <w:szCs w:val="24"/>
        </w:rPr>
        <w:lastRenderedPageBreak/>
        <w:t>设施有钻机</w:t>
      </w:r>
      <w:r w:rsidRPr="00092862">
        <w:rPr>
          <w:rFonts w:ascii="Times New Roman" w:hAnsi="Times New Roman"/>
          <w:color w:val="000000" w:themeColor="text1"/>
          <w:szCs w:val="24"/>
        </w:rPr>
        <w:t>1</w:t>
      </w:r>
      <w:r w:rsidRPr="00092862">
        <w:rPr>
          <w:rFonts w:ascii="Times New Roman" w:hAnsi="Times New Roman"/>
          <w:color w:val="000000" w:themeColor="text1"/>
          <w:szCs w:val="24"/>
        </w:rPr>
        <w:t>台、泥浆泵</w:t>
      </w:r>
      <w:r w:rsidRPr="00092862">
        <w:rPr>
          <w:rFonts w:ascii="Times New Roman" w:hAnsi="Times New Roman"/>
          <w:color w:val="000000" w:themeColor="text1"/>
          <w:szCs w:val="24"/>
        </w:rPr>
        <w:t>2</w:t>
      </w:r>
      <w:r w:rsidRPr="00092862">
        <w:rPr>
          <w:rFonts w:ascii="Times New Roman" w:hAnsi="Times New Roman"/>
          <w:color w:val="000000" w:themeColor="text1"/>
          <w:szCs w:val="24"/>
        </w:rPr>
        <w:t>台、振动筛</w:t>
      </w:r>
      <w:r w:rsidRPr="00092862">
        <w:rPr>
          <w:rFonts w:ascii="Times New Roman" w:hAnsi="Times New Roman"/>
          <w:color w:val="000000" w:themeColor="text1"/>
          <w:szCs w:val="24"/>
        </w:rPr>
        <w:t>2</w:t>
      </w:r>
      <w:r w:rsidRPr="00092862">
        <w:rPr>
          <w:rFonts w:ascii="Times New Roman" w:hAnsi="Times New Roman"/>
          <w:color w:val="000000" w:themeColor="text1"/>
          <w:szCs w:val="24"/>
        </w:rPr>
        <w:t>台，以及设备棚内的泥浆处理装置若干。根据各噪声设备的噪声级和布置，噪声源主要分布在井场井口周边</w:t>
      </w:r>
      <w:r w:rsidRPr="00092862">
        <w:rPr>
          <w:rFonts w:ascii="Times New Roman" w:hAnsi="Times New Roman"/>
          <w:color w:val="000000" w:themeColor="text1"/>
          <w:szCs w:val="24"/>
        </w:rPr>
        <w:t>20m</w:t>
      </w:r>
      <w:r w:rsidRPr="00092862">
        <w:rPr>
          <w:rFonts w:ascii="Times New Roman" w:hAnsi="Times New Roman"/>
          <w:color w:val="000000" w:themeColor="text1"/>
          <w:szCs w:val="24"/>
        </w:rPr>
        <w:t>内，在预测敏感点的噪声值时，将各噪声源简化为</w:t>
      </w:r>
      <w:r w:rsidRPr="00092862">
        <w:rPr>
          <w:rFonts w:ascii="Times New Roman" w:hAnsi="Times New Roman"/>
          <w:color w:val="000000" w:themeColor="text1"/>
          <w:szCs w:val="24"/>
        </w:rPr>
        <w:t>1</w:t>
      </w:r>
      <w:r w:rsidRPr="00092862">
        <w:rPr>
          <w:rFonts w:ascii="Times New Roman" w:hAnsi="Times New Roman"/>
          <w:color w:val="000000" w:themeColor="text1"/>
          <w:szCs w:val="24"/>
        </w:rPr>
        <w:t>个噪声源点。根据噪声叠加模式计算各主要噪声设备近似点源的噪声值为</w:t>
      </w:r>
      <w:r w:rsidRPr="00092862">
        <w:rPr>
          <w:rFonts w:ascii="Times New Roman" w:hAnsi="Times New Roman"/>
          <w:color w:val="000000" w:themeColor="text1"/>
          <w:szCs w:val="24"/>
        </w:rPr>
        <w:t>99.</w:t>
      </w:r>
      <w:r w:rsidR="00BC4FE4" w:rsidRPr="00092862">
        <w:rPr>
          <w:rFonts w:ascii="Times New Roman" w:hAnsi="Times New Roman"/>
          <w:color w:val="000000" w:themeColor="text1"/>
          <w:szCs w:val="24"/>
        </w:rPr>
        <w:t>5</w:t>
      </w:r>
      <w:r w:rsidRPr="00092862">
        <w:rPr>
          <w:rFonts w:ascii="Times New Roman" w:hAnsi="Times New Roman"/>
          <w:color w:val="000000" w:themeColor="text1"/>
          <w:szCs w:val="24"/>
        </w:rPr>
        <w:t>dB(A)</w:t>
      </w:r>
      <w:r w:rsidRPr="00092862">
        <w:rPr>
          <w:rFonts w:ascii="Times New Roman" w:hAnsi="Times New Roman"/>
          <w:color w:val="000000" w:themeColor="text1"/>
          <w:szCs w:val="24"/>
        </w:rPr>
        <w:t>。</w:t>
      </w:r>
    </w:p>
    <w:p w14:paraId="1BA0EBEB" w14:textId="63576288" w:rsidR="00DC446C" w:rsidRPr="00092862" w:rsidRDefault="003B1968" w:rsidP="00B0483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根据平面布置，主要噪声设备位于井口及后场</w:t>
      </w:r>
      <w:r w:rsidR="00C60799" w:rsidRPr="00092862">
        <w:rPr>
          <w:rFonts w:ascii="Times New Roman" w:hAnsi="Times New Roman"/>
          <w:color w:val="000000" w:themeColor="text1"/>
          <w:szCs w:val="24"/>
        </w:rPr>
        <w:t>，</w:t>
      </w:r>
      <w:r w:rsidRPr="00092862">
        <w:rPr>
          <w:rFonts w:ascii="Times New Roman" w:hAnsi="Times New Roman"/>
          <w:color w:val="000000" w:themeColor="text1"/>
          <w:szCs w:val="24"/>
        </w:rPr>
        <w:t>厂界距离井口约</w:t>
      </w:r>
      <w:r w:rsidR="00B0483B" w:rsidRPr="00092862">
        <w:rPr>
          <w:rFonts w:ascii="Times New Roman" w:hAnsi="Times New Roman"/>
          <w:color w:val="000000" w:themeColor="text1"/>
          <w:szCs w:val="24"/>
        </w:rPr>
        <w:t>2</w:t>
      </w:r>
      <w:r w:rsidR="00DB2C6C" w:rsidRPr="00092862">
        <w:rPr>
          <w:rFonts w:ascii="Times New Roman" w:hAnsi="Times New Roman"/>
          <w:color w:val="000000" w:themeColor="text1"/>
          <w:szCs w:val="24"/>
        </w:rPr>
        <w:t>5</w:t>
      </w:r>
      <w:r w:rsidRPr="00092862">
        <w:rPr>
          <w:rFonts w:ascii="Times New Roman" w:hAnsi="Times New Roman"/>
          <w:color w:val="000000" w:themeColor="text1"/>
          <w:szCs w:val="24"/>
        </w:rPr>
        <w:t>m</w:t>
      </w:r>
      <w:r w:rsidRPr="00092862">
        <w:rPr>
          <w:rFonts w:ascii="Times New Roman" w:hAnsi="Times New Roman"/>
          <w:color w:val="000000" w:themeColor="text1"/>
          <w:szCs w:val="24"/>
        </w:rPr>
        <w:t>～</w:t>
      </w:r>
      <w:r w:rsidR="00C108E4" w:rsidRPr="00092862">
        <w:rPr>
          <w:rFonts w:ascii="Times New Roman" w:hAnsi="Times New Roman"/>
          <w:color w:val="000000" w:themeColor="text1"/>
          <w:szCs w:val="24"/>
        </w:rPr>
        <w:t>95</w:t>
      </w:r>
      <w:r w:rsidRPr="00092862">
        <w:rPr>
          <w:rFonts w:ascii="Times New Roman" w:hAnsi="Times New Roman"/>
          <w:color w:val="000000" w:themeColor="text1"/>
          <w:szCs w:val="24"/>
        </w:rPr>
        <w:t>m</w:t>
      </w:r>
      <w:r w:rsidRPr="00092862">
        <w:rPr>
          <w:rFonts w:ascii="Times New Roman" w:hAnsi="Times New Roman"/>
          <w:color w:val="000000" w:themeColor="text1"/>
          <w:szCs w:val="24"/>
        </w:rPr>
        <w:t>，忽略地面效应和山体树林隔挡，</w:t>
      </w:r>
      <w:r w:rsidR="009904D6" w:rsidRPr="00092862">
        <w:rPr>
          <w:rFonts w:ascii="Times New Roman" w:hAnsi="Times New Roman"/>
          <w:color w:val="000000" w:themeColor="text1"/>
          <w:szCs w:val="24"/>
        </w:rPr>
        <w:t>考虑地面及设备用房的衰减量为</w:t>
      </w:r>
      <w:r w:rsidR="009904D6" w:rsidRPr="00092862">
        <w:rPr>
          <w:rFonts w:ascii="Times New Roman" w:hAnsi="Times New Roman"/>
          <w:color w:val="000000" w:themeColor="text1"/>
          <w:szCs w:val="24"/>
        </w:rPr>
        <w:t>2dB(A)</w:t>
      </w:r>
      <w:r w:rsidR="009904D6" w:rsidRPr="00092862">
        <w:rPr>
          <w:rFonts w:ascii="Times New Roman" w:hAnsi="Times New Roman"/>
          <w:color w:val="000000" w:themeColor="text1"/>
          <w:szCs w:val="24"/>
        </w:rPr>
        <w:t>，</w:t>
      </w:r>
      <w:r w:rsidR="00BA0EC4" w:rsidRPr="00092862">
        <w:rPr>
          <w:rFonts w:ascii="Times New Roman" w:hAnsi="Times New Roman"/>
          <w:color w:val="000000" w:themeColor="text1"/>
          <w:szCs w:val="24"/>
        </w:rPr>
        <w:t>本项目与周边较近居民点地势差异</w:t>
      </w:r>
      <w:r w:rsidR="00AC673E" w:rsidRPr="00092862">
        <w:rPr>
          <w:rFonts w:ascii="Times New Roman" w:hAnsi="Times New Roman"/>
          <w:color w:val="000000" w:themeColor="text1"/>
          <w:szCs w:val="24"/>
        </w:rPr>
        <w:t>较</w:t>
      </w:r>
      <w:r w:rsidR="00BA0EC4" w:rsidRPr="00092862">
        <w:rPr>
          <w:rFonts w:ascii="Times New Roman" w:hAnsi="Times New Roman"/>
          <w:color w:val="000000" w:themeColor="text1"/>
          <w:szCs w:val="24"/>
        </w:rPr>
        <w:t>大，</w:t>
      </w:r>
      <w:r w:rsidR="009904D6" w:rsidRPr="00092862">
        <w:rPr>
          <w:rFonts w:ascii="Times New Roman" w:hAnsi="Times New Roman"/>
          <w:color w:val="000000" w:themeColor="text1"/>
          <w:szCs w:val="24"/>
        </w:rPr>
        <w:t>100m</w:t>
      </w:r>
      <w:r w:rsidR="009904D6" w:rsidRPr="00092862">
        <w:rPr>
          <w:rFonts w:ascii="Times New Roman" w:hAnsi="Times New Roman"/>
          <w:color w:val="000000" w:themeColor="text1"/>
          <w:szCs w:val="24"/>
        </w:rPr>
        <w:t>范围外敏感点考虑地面及设备用房的衰减量为</w:t>
      </w:r>
      <w:r w:rsidR="00BA0EC4" w:rsidRPr="00092862">
        <w:rPr>
          <w:rFonts w:ascii="Times New Roman" w:hAnsi="Times New Roman"/>
          <w:color w:val="000000" w:themeColor="text1"/>
          <w:szCs w:val="24"/>
        </w:rPr>
        <w:t>4</w:t>
      </w:r>
      <w:r w:rsidR="009904D6" w:rsidRPr="00092862">
        <w:rPr>
          <w:rFonts w:ascii="Times New Roman" w:hAnsi="Times New Roman"/>
          <w:color w:val="000000" w:themeColor="text1"/>
          <w:szCs w:val="24"/>
        </w:rPr>
        <w:t>dB(A)</w:t>
      </w:r>
      <w:r w:rsidR="00C108E4" w:rsidRPr="00092862">
        <w:rPr>
          <w:rFonts w:ascii="Times New Roman" w:hAnsi="Times New Roman"/>
          <w:color w:val="000000" w:themeColor="text1"/>
          <w:szCs w:val="24"/>
        </w:rPr>
        <w:t>，本项目井口</w:t>
      </w:r>
      <w:r w:rsidR="00C108E4" w:rsidRPr="00092862">
        <w:rPr>
          <w:rFonts w:ascii="Times New Roman" w:hAnsi="Times New Roman"/>
          <w:color w:val="000000" w:themeColor="text1"/>
          <w:szCs w:val="24"/>
        </w:rPr>
        <w:t>300m</w:t>
      </w:r>
      <w:r w:rsidR="00C108E4" w:rsidRPr="00092862">
        <w:rPr>
          <w:rFonts w:ascii="Times New Roman" w:hAnsi="Times New Roman"/>
          <w:color w:val="000000" w:themeColor="text1"/>
          <w:szCs w:val="24"/>
        </w:rPr>
        <w:t>范围内无居民等敏感目标分布</w:t>
      </w:r>
      <w:r w:rsidR="00AC673E" w:rsidRPr="00092862">
        <w:rPr>
          <w:rFonts w:ascii="Times New Roman" w:hAnsi="Times New Roman"/>
          <w:color w:val="000000" w:themeColor="text1"/>
          <w:szCs w:val="24"/>
        </w:rPr>
        <w:t>，</w:t>
      </w:r>
      <w:r w:rsidR="009904D6" w:rsidRPr="00092862">
        <w:rPr>
          <w:rFonts w:ascii="Times New Roman" w:hAnsi="Times New Roman"/>
          <w:color w:val="000000" w:themeColor="text1"/>
          <w:szCs w:val="24"/>
        </w:rPr>
        <w:t>预测结果如下</w:t>
      </w:r>
      <w:r w:rsidRPr="00092862">
        <w:rPr>
          <w:rFonts w:ascii="Times New Roman" w:hAnsi="Times New Roman"/>
          <w:color w:val="000000" w:themeColor="text1"/>
          <w:szCs w:val="24"/>
        </w:rPr>
        <w:t>。</w:t>
      </w:r>
    </w:p>
    <w:p w14:paraId="07875457" w14:textId="20A08B0B" w:rsidR="00DC446C" w:rsidRPr="00092862" w:rsidRDefault="003B196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5.1-</w:t>
      </w:r>
      <w:r w:rsidR="002C77F6"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 </w:t>
      </w:r>
      <w:r w:rsidR="009904D6" w:rsidRPr="00092862">
        <w:rPr>
          <w:rFonts w:ascii="Times New Roman" w:eastAsia="黑体" w:hAnsi="Times New Roman"/>
          <w:color w:val="000000" w:themeColor="text1"/>
          <w:sz w:val="21"/>
          <w:szCs w:val="21"/>
          <w:lang w:eastAsia="zh-CN"/>
        </w:rPr>
        <w:t xml:space="preserve"> </w:t>
      </w:r>
      <w:r w:rsidR="00FA2743" w:rsidRPr="00092862">
        <w:rPr>
          <w:rFonts w:ascii="Times New Roman" w:eastAsia="黑体" w:hAnsi="Times New Roman"/>
          <w:color w:val="000000" w:themeColor="text1"/>
          <w:sz w:val="21"/>
          <w:szCs w:val="21"/>
          <w:lang w:eastAsia="zh-CN"/>
        </w:rPr>
        <w:t>本项目</w:t>
      </w:r>
      <w:r w:rsidRPr="00092862">
        <w:rPr>
          <w:rFonts w:ascii="Times New Roman" w:eastAsia="黑体" w:hAnsi="Times New Roman"/>
          <w:color w:val="000000" w:themeColor="text1"/>
          <w:sz w:val="21"/>
          <w:szCs w:val="21"/>
          <w:lang w:eastAsia="zh-CN"/>
        </w:rPr>
        <w:t>正常工况钻井噪声影响</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697429" w:rsidRPr="00092862" w14:paraId="17ECABC8" w14:textId="77777777" w:rsidTr="00573E9C">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207B5B32" w14:textId="77777777" w:rsidR="00AB5105" w:rsidRPr="00092862" w:rsidRDefault="00AB5105" w:rsidP="00573E9C">
            <w:pPr>
              <w:adjustRightInd w:val="0"/>
              <w:snapToGrid w:val="0"/>
              <w:jc w:val="right"/>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项目</w:t>
            </w:r>
          </w:p>
          <w:p w14:paraId="37664570" w14:textId="77777777" w:rsidR="00AB5105" w:rsidRPr="00092862" w:rsidRDefault="00AB5105" w:rsidP="00573E9C">
            <w:pPr>
              <w:adjustRightInd w:val="0"/>
              <w:snapToGrid w:val="0"/>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9829CF9"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2CCDAA4"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达标情况</w:t>
            </w:r>
          </w:p>
        </w:tc>
      </w:tr>
      <w:tr w:rsidR="00697429" w:rsidRPr="00092862" w14:paraId="54B0F247"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6D86E834"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厂界北侧</w:t>
            </w:r>
          </w:p>
        </w:tc>
        <w:tc>
          <w:tcPr>
            <w:tcW w:w="1289" w:type="dxa"/>
            <w:tcBorders>
              <w:top w:val="single" w:sz="4" w:space="0" w:color="auto"/>
              <w:left w:val="single" w:sz="4" w:space="0" w:color="auto"/>
              <w:bottom w:val="single" w:sz="4" w:space="0" w:color="auto"/>
              <w:right w:val="single" w:sz="4" w:space="0" w:color="auto"/>
            </w:tcBorders>
            <w:vAlign w:val="center"/>
          </w:tcPr>
          <w:p w14:paraId="6B86F6D8"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3B8A24C" w14:textId="3B9CE53F"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57.5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D3711C1"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达标</w:t>
            </w:r>
          </w:p>
        </w:tc>
      </w:tr>
      <w:tr w:rsidR="00697429" w:rsidRPr="00092862" w14:paraId="41D7B6BD"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234B6D7A"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FB3B970"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CDDC88A" w14:textId="04049C5E"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57.5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3634194"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超标</w:t>
            </w:r>
          </w:p>
        </w:tc>
      </w:tr>
      <w:tr w:rsidR="00697429" w:rsidRPr="00092862" w14:paraId="6287433A"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B8A40C3"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厂界东侧</w:t>
            </w:r>
          </w:p>
        </w:tc>
        <w:tc>
          <w:tcPr>
            <w:tcW w:w="1289" w:type="dxa"/>
            <w:tcBorders>
              <w:top w:val="single" w:sz="4" w:space="0" w:color="auto"/>
              <w:left w:val="single" w:sz="4" w:space="0" w:color="auto"/>
              <w:bottom w:val="single" w:sz="4" w:space="0" w:color="auto"/>
              <w:right w:val="single" w:sz="4" w:space="0" w:color="auto"/>
            </w:tcBorders>
            <w:vAlign w:val="center"/>
          </w:tcPr>
          <w:p w14:paraId="51E332FC"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427C597" w14:textId="50E00C5F"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55.8</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4D3F5BD"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达标</w:t>
            </w:r>
          </w:p>
        </w:tc>
      </w:tr>
      <w:tr w:rsidR="00697429" w:rsidRPr="00092862" w14:paraId="39094944"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A2AF3AA"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5CD2BAAA"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B4FF9FB" w14:textId="6170B736"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55.8</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635CD13"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超标</w:t>
            </w:r>
          </w:p>
        </w:tc>
      </w:tr>
      <w:tr w:rsidR="00697429" w:rsidRPr="00092862" w14:paraId="4D85B4C8" w14:textId="77777777" w:rsidTr="00573E9C">
        <w:trPr>
          <w:jc w:val="center"/>
        </w:trPr>
        <w:tc>
          <w:tcPr>
            <w:tcW w:w="1761" w:type="dxa"/>
            <w:vMerge w:val="restart"/>
            <w:tcBorders>
              <w:top w:val="single" w:sz="4" w:space="0" w:color="auto"/>
              <w:left w:val="single" w:sz="4" w:space="0" w:color="auto"/>
              <w:right w:val="single" w:sz="4" w:space="0" w:color="auto"/>
            </w:tcBorders>
            <w:vAlign w:val="center"/>
          </w:tcPr>
          <w:p w14:paraId="344C76BE"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厂界南侧</w:t>
            </w:r>
          </w:p>
        </w:tc>
        <w:tc>
          <w:tcPr>
            <w:tcW w:w="1289" w:type="dxa"/>
            <w:tcBorders>
              <w:top w:val="single" w:sz="4" w:space="0" w:color="auto"/>
              <w:left w:val="single" w:sz="4" w:space="0" w:color="auto"/>
              <w:bottom w:val="single" w:sz="4" w:space="0" w:color="auto"/>
              <w:right w:val="single" w:sz="4" w:space="0" w:color="auto"/>
            </w:tcBorders>
            <w:vAlign w:val="center"/>
          </w:tcPr>
          <w:p w14:paraId="747423F9"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694F634" w14:textId="4B89BEA4"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56.2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BB5EE5A"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达标</w:t>
            </w:r>
          </w:p>
        </w:tc>
      </w:tr>
      <w:tr w:rsidR="00697429" w:rsidRPr="00092862" w14:paraId="0BEC1280" w14:textId="77777777" w:rsidTr="00573E9C">
        <w:trPr>
          <w:jc w:val="center"/>
        </w:trPr>
        <w:tc>
          <w:tcPr>
            <w:tcW w:w="1761" w:type="dxa"/>
            <w:vMerge/>
            <w:tcBorders>
              <w:left w:val="single" w:sz="4" w:space="0" w:color="auto"/>
              <w:bottom w:val="single" w:sz="4" w:space="0" w:color="auto"/>
              <w:right w:val="single" w:sz="4" w:space="0" w:color="auto"/>
            </w:tcBorders>
            <w:vAlign w:val="center"/>
          </w:tcPr>
          <w:p w14:paraId="1D753E71"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5E92A1A"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D00F200" w14:textId="51011EF9"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56.2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850B993"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超标</w:t>
            </w:r>
          </w:p>
        </w:tc>
      </w:tr>
      <w:tr w:rsidR="00697429" w:rsidRPr="00092862" w14:paraId="6DB36CF8" w14:textId="77777777" w:rsidTr="00573E9C">
        <w:trPr>
          <w:jc w:val="center"/>
        </w:trPr>
        <w:tc>
          <w:tcPr>
            <w:tcW w:w="1761" w:type="dxa"/>
            <w:vMerge w:val="restart"/>
            <w:tcBorders>
              <w:top w:val="single" w:sz="4" w:space="0" w:color="auto"/>
              <w:left w:val="single" w:sz="4" w:space="0" w:color="auto"/>
              <w:right w:val="single" w:sz="4" w:space="0" w:color="auto"/>
            </w:tcBorders>
            <w:vAlign w:val="center"/>
          </w:tcPr>
          <w:p w14:paraId="7A8E60A9"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厂界西侧</w:t>
            </w:r>
          </w:p>
        </w:tc>
        <w:tc>
          <w:tcPr>
            <w:tcW w:w="1289" w:type="dxa"/>
            <w:tcBorders>
              <w:top w:val="single" w:sz="4" w:space="0" w:color="auto"/>
              <w:left w:val="single" w:sz="4" w:space="0" w:color="auto"/>
              <w:bottom w:val="single" w:sz="4" w:space="0" w:color="auto"/>
              <w:right w:val="single" w:sz="4" w:space="0" w:color="auto"/>
            </w:tcBorders>
            <w:vAlign w:val="center"/>
          </w:tcPr>
          <w:p w14:paraId="431F1B05"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B5C70C0" w14:textId="5AA089F1"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60.1</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45E38BC"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达标</w:t>
            </w:r>
          </w:p>
        </w:tc>
      </w:tr>
      <w:tr w:rsidR="00697429" w:rsidRPr="00092862" w14:paraId="036D8EE3" w14:textId="77777777" w:rsidTr="00573E9C">
        <w:trPr>
          <w:jc w:val="center"/>
        </w:trPr>
        <w:tc>
          <w:tcPr>
            <w:tcW w:w="1761" w:type="dxa"/>
            <w:vMerge/>
            <w:tcBorders>
              <w:left w:val="single" w:sz="4" w:space="0" w:color="auto"/>
              <w:bottom w:val="single" w:sz="4" w:space="0" w:color="auto"/>
              <w:right w:val="single" w:sz="4" w:space="0" w:color="auto"/>
            </w:tcBorders>
            <w:vAlign w:val="center"/>
          </w:tcPr>
          <w:p w14:paraId="17685CC8"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19BC33B5"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418726E" w14:textId="27553C42"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60.1</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8EAD156"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超标</w:t>
            </w:r>
          </w:p>
        </w:tc>
      </w:tr>
      <w:tr w:rsidR="00697429" w:rsidRPr="00092862" w14:paraId="6E53720D" w14:textId="77777777" w:rsidTr="00573E9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1D0F4840"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施工期场界标准</w:t>
            </w:r>
            <w:r w:rsidRPr="00092862">
              <w:rPr>
                <w:rFonts w:ascii="Times New Roman" w:hAnsi="Times New Roman" w:cs="Times New Roman"/>
                <w:color w:val="000000" w:themeColor="text1"/>
                <w:szCs w:val="21"/>
              </w:rPr>
              <w:t>70dB</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A</w:t>
            </w:r>
            <w:r w:rsidRPr="00092862">
              <w:rPr>
                <w:rFonts w:ascii="Times New Roman" w:hAnsi="Times New Roman" w:cs="Times New Roman"/>
                <w:color w:val="000000" w:themeColor="text1"/>
                <w:szCs w:val="21"/>
              </w:rPr>
              <w:t>）（昼间）、</w:t>
            </w:r>
            <w:r w:rsidRPr="00092862">
              <w:rPr>
                <w:rFonts w:ascii="Times New Roman" w:hAnsi="Times New Roman" w:cs="Times New Roman"/>
                <w:color w:val="000000" w:themeColor="text1"/>
                <w:szCs w:val="21"/>
              </w:rPr>
              <w:t>55dB</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A</w:t>
            </w:r>
            <w:r w:rsidRPr="00092862">
              <w:rPr>
                <w:rFonts w:ascii="Times New Roman" w:hAnsi="Times New Roman" w:cs="Times New Roman"/>
                <w:color w:val="000000" w:themeColor="text1"/>
                <w:szCs w:val="21"/>
              </w:rPr>
              <w:t>）（夜间）</w:t>
            </w:r>
          </w:p>
        </w:tc>
      </w:tr>
      <w:tr w:rsidR="00697429" w:rsidRPr="00092862" w14:paraId="44B87263" w14:textId="77777777" w:rsidTr="00573E9C">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24B3C69"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14:paraId="6B5939F8" w14:textId="77777777" w:rsidR="00AB5105" w:rsidRPr="00092862" w:rsidRDefault="00AB5105" w:rsidP="00573E9C">
            <w:pPr>
              <w:autoSpaceDE w:val="0"/>
              <w:autoSpaceDN w:val="0"/>
              <w:adjustRightInd w:val="0"/>
              <w:snapToGrid w:val="0"/>
              <w:jc w:val="center"/>
              <w:textAlignment w:val="baseline"/>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5911D747" w14:textId="77777777" w:rsidR="00AB5105" w:rsidRPr="00092862" w:rsidRDefault="00AB5105" w:rsidP="00573E9C">
            <w:pPr>
              <w:autoSpaceDE w:val="0"/>
              <w:autoSpaceDN w:val="0"/>
              <w:adjustRightInd w:val="0"/>
              <w:snapToGrid w:val="0"/>
              <w:jc w:val="center"/>
              <w:textAlignment w:val="baseline"/>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1C7CA61F" w14:textId="77777777" w:rsidR="00AB5105" w:rsidRPr="00092862" w:rsidRDefault="00AB5105" w:rsidP="00573E9C">
            <w:pPr>
              <w:autoSpaceDE w:val="0"/>
              <w:autoSpaceDN w:val="0"/>
              <w:adjustRightInd w:val="0"/>
              <w:snapToGrid w:val="0"/>
              <w:jc w:val="center"/>
              <w:textAlignment w:val="baseline"/>
              <w:rPr>
                <w:rFonts w:ascii="Times New Roman" w:hAnsi="Times New Roman" w:cs="Times New Roman"/>
                <w:b/>
                <w:bCs/>
                <w:color w:val="000000" w:themeColor="text1"/>
                <w:szCs w:val="21"/>
              </w:rPr>
            </w:pPr>
            <w:r w:rsidRPr="00092862">
              <w:rPr>
                <w:rFonts w:ascii="Times New Roman" w:hAnsi="Times New Roman" w:cs="Times New Roman"/>
                <w:color w:val="000000" w:themeColor="text1"/>
                <w:szCs w:val="21"/>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74FDB93E" w14:textId="77777777" w:rsidR="00AB5105" w:rsidRPr="00092862" w:rsidRDefault="00AB5105" w:rsidP="00573E9C">
            <w:pPr>
              <w:autoSpaceDE w:val="0"/>
              <w:autoSpaceDN w:val="0"/>
              <w:adjustRightInd w:val="0"/>
              <w:snapToGrid w:val="0"/>
              <w:jc w:val="center"/>
              <w:textAlignment w:val="baseline"/>
              <w:rPr>
                <w:rFonts w:ascii="Times New Roman" w:hAnsi="Times New Roman" w:cs="Times New Roman"/>
                <w:b/>
                <w:bCs/>
                <w:color w:val="000000" w:themeColor="text1"/>
                <w:szCs w:val="21"/>
              </w:rPr>
            </w:pPr>
            <w:r w:rsidRPr="00092862">
              <w:rPr>
                <w:rFonts w:ascii="Times New Roman" w:hAnsi="Times New Roman" w:cs="Times New Roman"/>
                <w:color w:val="000000" w:themeColor="text1"/>
                <w:szCs w:val="21"/>
              </w:rPr>
              <w:t>达标情况</w:t>
            </w:r>
          </w:p>
        </w:tc>
      </w:tr>
      <w:tr w:rsidR="00697429" w:rsidRPr="00092862" w14:paraId="3A38654A"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3092B56"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距井口</w:t>
            </w:r>
            <w:r w:rsidRPr="00092862">
              <w:rPr>
                <w:rFonts w:ascii="Times New Roman" w:hAnsi="Times New Roman" w:cs="Times New Roman"/>
                <w:color w:val="000000" w:themeColor="text1"/>
                <w:szCs w:val="21"/>
              </w:rPr>
              <w:t>100m</w:t>
            </w:r>
            <w:r w:rsidRPr="00092862">
              <w:rPr>
                <w:rFonts w:ascii="Times New Roman" w:hAnsi="Times New Roman" w:cs="Times New Roman"/>
                <w:color w:val="000000" w:themeColor="text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41D0673F"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7315B007" w14:textId="61A75189"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53.1</w:t>
            </w:r>
          </w:p>
        </w:tc>
        <w:tc>
          <w:tcPr>
            <w:tcW w:w="1293" w:type="dxa"/>
            <w:tcBorders>
              <w:top w:val="single" w:sz="4" w:space="0" w:color="auto"/>
              <w:left w:val="single" w:sz="4" w:space="0" w:color="auto"/>
              <w:bottom w:val="single" w:sz="4" w:space="0" w:color="auto"/>
              <w:right w:val="single" w:sz="4" w:space="0" w:color="auto"/>
            </w:tcBorders>
            <w:vAlign w:val="center"/>
          </w:tcPr>
          <w:p w14:paraId="220EFC13"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42</w:t>
            </w:r>
          </w:p>
        </w:tc>
        <w:tc>
          <w:tcPr>
            <w:tcW w:w="1293" w:type="dxa"/>
            <w:tcBorders>
              <w:top w:val="single" w:sz="4" w:space="0" w:color="auto"/>
              <w:left w:val="single" w:sz="4" w:space="0" w:color="auto"/>
              <w:bottom w:val="single" w:sz="4" w:space="0" w:color="auto"/>
              <w:right w:val="single" w:sz="4" w:space="0" w:color="auto"/>
            </w:tcBorders>
            <w:vAlign w:val="center"/>
          </w:tcPr>
          <w:p w14:paraId="33E91E60" w14:textId="42B9CC02"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53.4</w:t>
            </w:r>
          </w:p>
        </w:tc>
        <w:tc>
          <w:tcPr>
            <w:tcW w:w="1293" w:type="dxa"/>
            <w:tcBorders>
              <w:top w:val="single" w:sz="4" w:space="0" w:color="auto"/>
              <w:left w:val="single" w:sz="4" w:space="0" w:color="auto"/>
              <w:bottom w:val="single" w:sz="4" w:space="0" w:color="auto"/>
              <w:right w:val="single" w:sz="4" w:space="0" w:color="auto"/>
            </w:tcBorders>
            <w:vAlign w:val="center"/>
          </w:tcPr>
          <w:p w14:paraId="113F0891" w14:textId="77777777" w:rsidR="00AB5105" w:rsidRPr="00092862" w:rsidRDefault="00AB5105" w:rsidP="00573E9C">
            <w:pPr>
              <w:adjustRightInd w:val="0"/>
              <w:snapToGrid w:val="0"/>
              <w:jc w:val="center"/>
              <w:rPr>
                <w:rFonts w:ascii="Times New Roman" w:hAnsi="Times New Roman" w:cs="Times New Roman"/>
                <w:b/>
                <w:bCs/>
                <w:color w:val="000000" w:themeColor="text1"/>
                <w:szCs w:val="21"/>
              </w:rPr>
            </w:pPr>
            <w:r w:rsidRPr="00092862">
              <w:rPr>
                <w:rFonts w:ascii="Times New Roman" w:hAnsi="Times New Roman" w:cs="Times New Roman"/>
                <w:bCs/>
                <w:color w:val="000000" w:themeColor="text1"/>
                <w:szCs w:val="21"/>
              </w:rPr>
              <w:t>达标</w:t>
            </w:r>
          </w:p>
        </w:tc>
      </w:tr>
      <w:tr w:rsidR="00697429" w:rsidRPr="00092862" w14:paraId="7E4A23F6"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20928DB8"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1538A69"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6CF1AB51" w14:textId="79039D7F"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53.1</w:t>
            </w:r>
          </w:p>
        </w:tc>
        <w:tc>
          <w:tcPr>
            <w:tcW w:w="1293" w:type="dxa"/>
            <w:tcBorders>
              <w:top w:val="single" w:sz="4" w:space="0" w:color="auto"/>
              <w:left w:val="single" w:sz="4" w:space="0" w:color="auto"/>
              <w:bottom w:val="single" w:sz="4" w:space="0" w:color="auto"/>
              <w:right w:val="single" w:sz="4" w:space="0" w:color="auto"/>
            </w:tcBorders>
            <w:vAlign w:val="center"/>
          </w:tcPr>
          <w:p w14:paraId="0E464614"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38</w:t>
            </w:r>
          </w:p>
        </w:tc>
        <w:tc>
          <w:tcPr>
            <w:tcW w:w="1293" w:type="dxa"/>
            <w:tcBorders>
              <w:top w:val="single" w:sz="4" w:space="0" w:color="auto"/>
              <w:left w:val="single" w:sz="4" w:space="0" w:color="auto"/>
              <w:bottom w:val="single" w:sz="4" w:space="0" w:color="auto"/>
              <w:right w:val="single" w:sz="4" w:space="0" w:color="auto"/>
            </w:tcBorders>
            <w:vAlign w:val="center"/>
          </w:tcPr>
          <w:p w14:paraId="38FB2649" w14:textId="1F671603"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53.2</w:t>
            </w:r>
          </w:p>
        </w:tc>
        <w:tc>
          <w:tcPr>
            <w:tcW w:w="1293" w:type="dxa"/>
            <w:tcBorders>
              <w:top w:val="single" w:sz="4" w:space="0" w:color="auto"/>
              <w:left w:val="single" w:sz="4" w:space="0" w:color="auto"/>
              <w:bottom w:val="single" w:sz="4" w:space="0" w:color="auto"/>
              <w:right w:val="single" w:sz="4" w:space="0" w:color="auto"/>
            </w:tcBorders>
            <w:vAlign w:val="center"/>
          </w:tcPr>
          <w:p w14:paraId="15F8A121"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超标</w:t>
            </w:r>
          </w:p>
        </w:tc>
      </w:tr>
      <w:tr w:rsidR="00697429" w:rsidRPr="00092862" w14:paraId="325B6DBE"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D527E50"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距井口</w:t>
            </w:r>
            <w:r w:rsidRPr="00092862">
              <w:rPr>
                <w:rFonts w:ascii="Times New Roman" w:hAnsi="Times New Roman" w:cs="Times New Roman"/>
                <w:color w:val="000000" w:themeColor="text1"/>
                <w:szCs w:val="21"/>
              </w:rPr>
              <w:t>200m</w:t>
            </w:r>
            <w:r w:rsidRPr="00092862">
              <w:rPr>
                <w:rFonts w:ascii="Times New Roman" w:hAnsi="Times New Roman" w:cs="Times New Roman"/>
                <w:color w:val="000000" w:themeColor="text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60C4BD45"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769DE3CB" w14:textId="02E232AC"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45.7</w:t>
            </w:r>
          </w:p>
        </w:tc>
        <w:tc>
          <w:tcPr>
            <w:tcW w:w="1293" w:type="dxa"/>
            <w:tcBorders>
              <w:top w:val="single" w:sz="4" w:space="0" w:color="auto"/>
              <w:left w:val="single" w:sz="4" w:space="0" w:color="auto"/>
              <w:bottom w:val="single" w:sz="4" w:space="0" w:color="auto"/>
              <w:right w:val="single" w:sz="4" w:space="0" w:color="auto"/>
            </w:tcBorders>
            <w:vAlign w:val="center"/>
          </w:tcPr>
          <w:p w14:paraId="2238D9E2"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42</w:t>
            </w:r>
          </w:p>
        </w:tc>
        <w:tc>
          <w:tcPr>
            <w:tcW w:w="1293" w:type="dxa"/>
            <w:tcBorders>
              <w:top w:val="single" w:sz="4" w:space="0" w:color="auto"/>
              <w:left w:val="single" w:sz="4" w:space="0" w:color="auto"/>
              <w:bottom w:val="single" w:sz="4" w:space="0" w:color="auto"/>
              <w:right w:val="single" w:sz="4" w:space="0" w:color="auto"/>
            </w:tcBorders>
            <w:vAlign w:val="center"/>
          </w:tcPr>
          <w:p w14:paraId="7A0B85BF" w14:textId="42C9ED6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47.2</w:t>
            </w:r>
          </w:p>
        </w:tc>
        <w:tc>
          <w:tcPr>
            <w:tcW w:w="1293" w:type="dxa"/>
            <w:tcBorders>
              <w:top w:val="single" w:sz="4" w:space="0" w:color="auto"/>
              <w:left w:val="single" w:sz="4" w:space="0" w:color="auto"/>
              <w:bottom w:val="single" w:sz="4" w:space="0" w:color="auto"/>
              <w:right w:val="single" w:sz="4" w:space="0" w:color="auto"/>
            </w:tcBorders>
            <w:vAlign w:val="center"/>
          </w:tcPr>
          <w:p w14:paraId="2716D7A4"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达标</w:t>
            </w:r>
          </w:p>
        </w:tc>
      </w:tr>
      <w:tr w:rsidR="00697429" w:rsidRPr="00092862" w14:paraId="3B2C1221"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88DF094"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785366CE"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329BF595" w14:textId="1C973F39"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45.7</w:t>
            </w:r>
          </w:p>
        </w:tc>
        <w:tc>
          <w:tcPr>
            <w:tcW w:w="1293" w:type="dxa"/>
            <w:tcBorders>
              <w:top w:val="single" w:sz="4" w:space="0" w:color="auto"/>
              <w:left w:val="single" w:sz="4" w:space="0" w:color="auto"/>
              <w:bottom w:val="single" w:sz="4" w:space="0" w:color="auto"/>
              <w:right w:val="single" w:sz="4" w:space="0" w:color="auto"/>
            </w:tcBorders>
            <w:vAlign w:val="center"/>
          </w:tcPr>
          <w:p w14:paraId="24291BA3"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38</w:t>
            </w:r>
          </w:p>
        </w:tc>
        <w:tc>
          <w:tcPr>
            <w:tcW w:w="1293" w:type="dxa"/>
            <w:tcBorders>
              <w:top w:val="single" w:sz="4" w:space="0" w:color="auto"/>
              <w:left w:val="single" w:sz="4" w:space="0" w:color="auto"/>
              <w:bottom w:val="single" w:sz="4" w:space="0" w:color="auto"/>
              <w:right w:val="single" w:sz="4" w:space="0" w:color="auto"/>
            </w:tcBorders>
            <w:vAlign w:val="center"/>
          </w:tcPr>
          <w:p w14:paraId="58161321" w14:textId="6F052C4C"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46.4</w:t>
            </w:r>
          </w:p>
        </w:tc>
        <w:tc>
          <w:tcPr>
            <w:tcW w:w="1293" w:type="dxa"/>
            <w:tcBorders>
              <w:top w:val="single" w:sz="4" w:space="0" w:color="auto"/>
              <w:left w:val="single" w:sz="4" w:space="0" w:color="auto"/>
              <w:bottom w:val="single" w:sz="4" w:space="0" w:color="auto"/>
              <w:right w:val="single" w:sz="4" w:space="0" w:color="auto"/>
            </w:tcBorders>
            <w:vAlign w:val="center"/>
          </w:tcPr>
          <w:p w14:paraId="61E8CDCD"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bCs/>
                <w:color w:val="000000" w:themeColor="text1"/>
                <w:szCs w:val="21"/>
              </w:rPr>
              <w:t>达标</w:t>
            </w:r>
          </w:p>
        </w:tc>
      </w:tr>
      <w:tr w:rsidR="00697429" w:rsidRPr="00092862" w14:paraId="037B22BE" w14:textId="77777777" w:rsidTr="00573E9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24C061F8" w14:textId="77777777" w:rsidR="00AB5105" w:rsidRPr="00092862" w:rsidRDefault="00AB5105" w:rsidP="00573E9C">
            <w:pPr>
              <w:adjustRightInd w:val="0"/>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敏感点标准</w:t>
            </w:r>
            <w:r w:rsidRPr="00092862">
              <w:rPr>
                <w:rFonts w:ascii="Times New Roman" w:hAnsi="Times New Roman" w:cs="Times New Roman"/>
                <w:color w:val="000000" w:themeColor="text1"/>
                <w:szCs w:val="21"/>
              </w:rPr>
              <w:t>60dB</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A</w:t>
            </w:r>
            <w:r w:rsidRPr="00092862">
              <w:rPr>
                <w:rFonts w:ascii="Times New Roman" w:hAnsi="Times New Roman" w:cs="Times New Roman"/>
                <w:color w:val="000000" w:themeColor="text1"/>
                <w:szCs w:val="21"/>
              </w:rPr>
              <w:t>）（昼间）、</w:t>
            </w:r>
            <w:r w:rsidRPr="00092862">
              <w:rPr>
                <w:rFonts w:ascii="Times New Roman" w:hAnsi="Times New Roman" w:cs="Times New Roman"/>
                <w:color w:val="000000" w:themeColor="text1"/>
                <w:szCs w:val="21"/>
              </w:rPr>
              <w:t>50dB</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A</w:t>
            </w:r>
            <w:r w:rsidRPr="00092862">
              <w:rPr>
                <w:rFonts w:ascii="Times New Roman" w:hAnsi="Times New Roman" w:cs="Times New Roman"/>
                <w:color w:val="000000" w:themeColor="text1"/>
                <w:szCs w:val="21"/>
              </w:rPr>
              <w:t>）（夜间）</w:t>
            </w:r>
          </w:p>
        </w:tc>
      </w:tr>
    </w:tbl>
    <w:p w14:paraId="08AB685E" w14:textId="397A17DB" w:rsidR="00DC446C" w:rsidRPr="00092862" w:rsidRDefault="003B1968" w:rsidP="003D2EEB">
      <w:pPr>
        <w:pStyle w:val="af0"/>
        <w:adjustRightInd w:val="0"/>
        <w:snapToGrid w:val="0"/>
        <w:spacing w:beforeLines="50" w:before="120"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由于昼夜连续作业，昼夜噪声变化不大，正常工况下昼间场界噪声均出现超过《建筑施工场界环境噪声排放标准》</w:t>
      </w:r>
      <w:r w:rsidRPr="00092862">
        <w:rPr>
          <w:rFonts w:ascii="Times New Roman" w:hAnsi="Times New Roman"/>
          <w:color w:val="000000" w:themeColor="text1"/>
          <w:szCs w:val="24"/>
        </w:rPr>
        <w:t>GB12523-2011</w:t>
      </w:r>
      <w:r w:rsidRPr="00092862">
        <w:rPr>
          <w:rFonts w:ascii="Times New Roman" w:hAnsi="Times New Roman"/>
          <w:color w:val="000000" w:themeColor="text1"/>
          <w:szCs w:val="24"/>
        </w:rPr>
        <w:t>的标准限值情况</w:t>
      </w:r>
      <w:r w:rsidR="00C108E4" w:rsidRPr="00092862">
        <w:rPr>
          <w:rFonts w:ascii="Times New Roman" w:hAnsi="Times New Roman"/>
          <w:color w:val="000000" w:themeColor="text1"/>
          <w:szCs w:val="24"/>
        </w:rPr>
        <w:t>（最远厂界处昼间场界噪声能满足《建筑施工场界环境噪声排放标准》</w:t>
      </w:r>
      <w:r w:rsidR="00C108E4" w:rsidRPr="00092862">
        <w:rPr>
          <w:rFonts w:ascii="Times New Roman" w:hAnsi="Times New Roman"/>
          <w:color w:val="000000" w:themeColor="text1"/>
          <w:szCs w:val="24"/>
        </w:rPr>
        <w:t>GB12523-2011</w:t>
      </w:r>
      <w:r w:rsidR="00C108E4" w:rsidRPr="00092862">
        <w:rPr>
          <w:rFonts w:ascii="Times New Roman" w:hAnsi="Times New Roman"/>
          <w:color w:val="000000" w:themeColor="text1"/>
          <w:szCs w:val="24"/>
        </w:rPr>
        <w:t>的标准限值）</w:t>
      </w:r>
      <w:r w:rsidRPr="00092862">
        <w:rPr>
          <w:rFonts w:ascii="Times New Roman" w:hAnsi="Times New Roman"/>
          <w:color w:val="000000" w:themeColor="text1"/>
          <w:szCs w:val="24"/>
        </w:rPr>
        <w:t>。由于钻井作业的特点以及场地小等特点，在当前技术经济条件下，难以满足场界达标。</w:t>
      </w:r>
      <w:r w:rsidR="00BB19B4" w:rsidRPr="00092862">
        <w:rPr>
          <w:rFonts w:ascii="Times New Roman" w:hAnsi="Times New Roman"/>
          <w:color w:val="000000" w:themeColor="text1"/>
          <w:szCs w:val="24"/>
        </w:rPr>
        <w:t>仅考虑距离衰减情况下，</w:t>
      </w:r>
      <w:r w:rsidR="00AC673E" w:rsidRPr="00092862">
        <w:rPr>
          <w:rFonts w:ascii="Times New Roman" w:hAnsi="Times New Roman"/>
          <w:color w:val="000000" w:themeColor="text1"/>
          <w:szCs w:val="24"/>
        </w:rPr>
        <w:t>周边最近居民点</w:t>
      </w:r>
      <w:r w:rsidR="001E5B8F" w:rsidRPr="00092862">
        <w:rPr>
          <w:rFonts w:ascii="Times New Roman" w:hAnsi="Times New Roman"/>
          <w:color w:val="000000" w:themeColor="text1"/>
          <w:szCs w:val="24"/>
        </w:rPr>
        <w:t>（井口</w:t>
      </w:r>
      <w:r w:rsidR="00C108E4" w:rsidRPr="00092862">
        <w:rPr>
          <w:rFonts w:ascii="Times New Roman" w:hAnsi="Times New Roman"/>
          <w:color w:val="000000" w:themeColor="text1"/>
          <w:szCs w:val="24"/>
        </w:rPr>
        <w:t>3</w:t>
      </w:r>
      <w:r w:rsidR="001E5B8F" w:rsidRPr="00092862">
        <w:rPr>
          <w:rFonts w:ascii="Times New Roman" w:hAnsi="Times New Roman"/>
          <w:color w:val="000000" w:themeColor="text1"/>
          <w:szCs w:val="24"/>
        </w:rPr>
        <w:t>00m</w:t>
      </w:r>
      <w:r w:rsidR="001E5B8F" w:rsidRPr="00092862">
        <w:rPr>
          <w:rFonts w:ascii="Times New Roman" w:hAnsi="Times New Roman"/>
          <w:color w:val="000000" w:themeColor="text1"/>
          <w:szCs w:val="24"/>
        </w:rPr>
        <w:t>外）</w:t>
      </w:r>
      <w:r w:rsidR="00AC673E" w:rsidRPr="00092862">
        <w:rPr>
          <w:rFonts w:ascii="Times New Roman" w:hAnsi="Times New Roman"/>
          <w:color w:val="000000" w:themeColor="text1"/>
          <w:szCs w:val="24"/>
        </w:rPr>
        <w:t>处声环境能达标</w:t>
      </w:r>
      <w:r w:rsidR="00BB19B4" w:rsidRPr="00092862">
        <w:rPr>
          <w:rFonts w:ascii="Times New Roman" w:hAnsi="Times New Roman"/>
          <w:color w:val="000000" w:themeColor="text1"/>
          <w:szCs w:val="24"/>
        </w:rPr>
        <w:t>，为了进一步了解噪声对环境的影响分析，并充分考虑高程差和树林的遮挡、地面吸收衰减等效应，本次评价采用</w:t>
      </w:r>
      <w:r w:rsidR="00AB5105" w:rsidRPr="00092862">
        <w:rPr>
          <w:rFonts w:ascii="Times New Roman" w:hAnsi="Times New Roman"/>
          <w:color w:val="000000" w:themeColor="text1"/>
          <w:szCs w:val="24"/>
        </w:rPr>
        <w:t>环安</w:t>
      </w:r>
      <w:r w:rsidR="00BB19B4" w:rsidRPr="00092862">
        <w:rPr>
          <w:rFonts w:ascii="Times New Roman" w:hAnsi="Times New Roman"/>
          <w:color w:val="000000" w:themeColor="text1"/>
          <w:szCs w:val="24"/>
        </w:rPr>
        <w:t>噪声预测软件进行噪声影响预测，本项目钻井期正常工况噪声贡献值预测结果见图</w:t>
      </w:r>
      <w:r w:rsidR="00B0483B" w:rsidRPr="00092862">
        <w:rPr>
          <w:rFonts w:ascii="Times New Roman" w:hAnsi="Times New Roman"/>
          <w:color w:val="000000" w:themeColor="text1"/>
          <w:szCs w:val="24"/>
        </w:rPr>
        <w:t>5</w:t>
      </w:r>
      <w:r w:rsidRPr="00092862">
        <w:rPr>
          <w:rFonts w:ascii="Times New Roman" w:hAnsi="Times New Roman"/>
          <w:color w:val="000000" w:themeColor="text1"/>
          <w:szCs w:val="24"/>
        </w:rPr>
        <w:t>.1-1</w:t>
      </w:r>
      <w:r w:rsidRPr="00092862">
        <w:rPr>
          <w:rFonts w:ascii="Times New Roman" w:hAnsi="Times New Roman"/>
          <w:color w:val="000000" w:themeColor="text1"/>
          <w:szCs w:val="24"/>
        </w:rPr>
        <w:t>。</w:t>
      </w:r>
    </w:p>
    <w:p w14:paraId="2AD045DF" w14:textId="171624B0" w:rsidR="00DC446C" w:rsidRPr="00092862" w:rsidRDefault="00E35FCA" w:rsidP="00AB5105">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w:t>
      </w:r>
      <w:r w:rsidR="003B1968" w:rsidRPr="00092862">
        <w:rPr>
          <w:rFonts w:ascii="Times New Roman" w:hAnsi="Times New Roman"/>
          <w:color w:val="000000" w:themeColor="text1"/>
          <w:szCs w:val="24"/>
        </w:rPr>
        <w:t>图</w:t>
      </w:r>
      <w:r w:rsidR="003B1968" w:rsidRPr="00092862">
        <w:rPr>
          <w:rFonts w:ascii="Times New Roman" w:hAnsi="Times New Roman"/>
          <w:color w:val="000000" w:themeColor="text1"/>
          <w:szCs w:val="24"/>
        </w:rPr>
        <w:t>5.1-1</w:t>
      </w:r>
      <w:r w:rsidR="003B1968" w:rsidRPr="00092862">
        <w:rPr>
          <w:rFonts w:ascii="Times New Roman" w:hAnsi="Times New Roman"/>
          <w:color w:val="000000" w:themeColor="text1"/>
          <w:szCs w:val="24"/>
        </w:rPr>
        <w:t>预测结果可知，</w:t>
      </w:r>
      <w:r w:rsidR="00AB5105" w:rsidRPr="00092862">
        <w:rPr>
          <w:rFonts w:ascii="Times New Roman" w:hAnsi="Times New Roman"/>
          <w:color w:val="000000" w:themeColor="text1"/>
          <w:szCs w:val="24"/>
        </w:rPr>
        <w:t xml:space="preserve"> </w:t>
      </w:r>
      <w:r w:rsidR="00B0483B" w:rsidRPr="00092862">
        <w:rPr>
          <w:rFonts w:ascii="Times New Roman" w:hAnsi="Times New Roman"/>
          <w:color w:val="000000" w:themeColor="text1"/>
          <w:szCs w:val="24"/>
        </w:rPr>
        <w:t>钻井期间</w:t>
      </w:r>
      <w:r w:rsidR="00574E5E" w:rsidRPr="00092862">
        <w:rPr>
          <w:rFonts w:ascii="Times New Roman" w:hAnsi="Times New Roman"/>
          <w:color w:val="000000" w:themeColor="text1"/>
          <w:szCs w:val="24"/>
        </w:rPr>
        <w:t>网电工况下</w:t>
      </w:r>
      <w:r w:rsidR="00B0483B" w:rsidRPr="00092862">
        <w:rPr>
          <w:rFonts w:ascii="Times New Roman" w:hAnsi="Times New Roman"/>
          <w:color w:val="000000" w:themeColor="text1"/>
          <w:szCs w:val="24"/>
        </w:rPr>
        <w:t>的噪声达标距离昼间在距</w:t>
      </w:r>
      <w:r w:rsidR="00B0483B" w:rsidRPr="00092862">
        <w:rPr>
          <w:rFonts w:ascii="Times New Roman" w:hAnsi="Times New Roman"/>
          <w:color w:val="000000" w:themeColor="text1"/>
          <w:szCs w:val="24"/>
        </w:rPr>
        <w:lastRenderedPageBreak/>
        <w:t>井口</w:t>
      </w:r>
      <w:r w:rsidR="00AB5105" w:rsidRPr="00092862">
        <w:rPr>
          <w:rFonts w:ascii="Times New Roman" w:hAnsi="Times New Roman"/>
          <w:color w:val="000000" w:themeColor="text1"/>
          <w:szCs w:val="24"/>
        </w:rPr>
        <w:t>5</w:t>
      </w:r>
      <w:r w:rsidR="0036682F" w:rsidRPr="00092862">
        <w:rPr>
          <w:rFonts w:ascii="Times New Roman" w:hAnsi="Times New Roman"/>
          <w:color w:val="000000" w:themeColor="text1"/>
          <w:szCs w:val="24"/>
        </w:rPr>
        <w:t>5</w:t>
      </w:r>
      <w:r w:rsidR="00B0483B" w:rsidRPr="00092862">
        <w:rPr>
          <w:rFonts w:ascii="Times New Roman" w:hAnsi="Times New Roman"/>
          <w:color w:val="000000" w:themeColor="text1"/>
          <w:szCs w:val="24"/>
        </w:rPr>
        <w:t>m</w:t>
      </w:r>
      <w:r w:rsidR="00B0483B" w:rsidRPr="00092862">
        <w:rPr>
          <w:rFonts w:ascii="Times New Roman" w:hAnsi="Times New Roman"/>
          <w:color w:val="000000" w:themeColor="text1"/>
          <w:szCs w:val="24"/>
        </w:rPr>
        <w:t>处，该区域内无居民分布；夜间噪声达标距离在无树林等遮挡的空旷处距井口</w:t>
      </w:r>
      <w:r w:rsidR="000F3E53" w:rsidRPr="00092862">
        <w:rPr>
          <w:rFonts w:ascii="Times New Roman" w:hAnsi="Times New Roman"/>
          <w:color w:val="000000" w:themeColor="text1"/>
          <w:szCs w:val="24"/>
        </w:rPr>
        <w:t>1</w:t>
      </w:r>
      <w:r w:rsidR="00AB5105" w:rsidRPr="00092862">
        <w:rPr>
          <w:rFonts w:ascii="Times New Roman" w:hAnsi="Times New Roman"/>
          <w:color w:val="000000" w:themeColor="text1"/>
          <w:szCs w:val="24"/>
        </w:rPr>
        <w:t>32</w:t>
      </w:r>
      <w:r w:rsidR="00B0483B" w:rsidRPr="00092862">
        <w:rPr>
          <w:rFonts w:ascii="Times New Roman" w:hAnsi="Times New Roman"/>
          <w:color w:val="000000" w:themeColor="text1"/>
          <w:szCs w:val="24"/>
        </w:rPr>
        <w:t>m</w:t>
      </w:r>
      <w:r w:rsidR="00B0483B" w:rsidRPr="00092862">
        <w:rPr>
          <w:rFonts w:ascii="Times New Roman" w:hAnsi="Times New Roman"/>
          <w:color w:val="000000" w:themeColor="text1"/>
          <w:szCs w:val="24"/>
        </w:rPr>
        <w:t>处，</w:t>
      </w:r>
      <w:r w:rsidR="00012758" w:rsidRPr="00092862">
        <w:rPr>
          <w:rFonts w:ascii="Times New Roman" w:hAnsi="Times New Roman"/>
          <w:color w:val="000000" w:themeColor="text1"/>
          <w:szCs w:val="24"/>
        </w:rPr>
        <w:t>该区域内无居民分布</w:t>
      </w:r>
      <w:r w:rsidR="00BB19B4" w:rsidRPr="00092862">
        <w:rPr>
          <w:rFonts w:ascii="Times New Roman" w:hAnsi="Times New Roman"/>
          <w:color w:val="000000" w:themeColor="text1"/>
          <w:szCs w:val="24"/>
        </w:rPr>
        <w:t>，项目钻井施工对对</w:t>
      </w:r>
      <w:r w:rsidR="00012758" w:rsidRPr="00092862">
        <w:rPr>
          <w:rFonts w:ascii="Times New Roman" w:hAnsi="Times New Roman"/>
          <w:color w:val="000000" w:themeColor="text1"/>
          <w:szCs w:val="24"/>
        </w:rPr>
        <w:t>周边</w:t>
      </w:r>
      <w:r w:rsidR="00BB19B4" w:rsidRPr="00092862">
        <w:rPr>
          <w:rFonts w:ascii="Times New Roman" w:hAnsi="Times New Roman"/>
          <w:color w:val="000000" w:themeColor="text1"/>
          <w:szCs w:val="24"/>
        </w:rPr>
        <w:t>居民造成噪声污染影响比预测结果更小。总的来看</w:t>
      </w:r>
      <w:r w:rsidR="00B0483B" w:rsidRPr="00092862">
        <w:rPr>
          <w:rFonts w:ascii="Times New Roman" w:hAnsi="Times New Roman"/>
          <w:color w:val="000000" w:themeColor="text1"/>
          <w:szCs w:val="24"/>
        </w:rPr>
        <w:t>，项目的建设对周围居民</w:t>
      </w:r>
      <w:r w:rsidR="00E92E71" w:rsidRPr="00092862">
        <w:rPr>
          <w:rFonts w:ascii="Times New Roman" w:hAnsi="Times New Roman"/>
          <w:color w:val="000000" w:themeColor="text1"/>
          <w:szCs w:val="24"/>
        </w:rPr>
        <w:t>（均位于井口周边</w:t>
      </w:r>
      <w:r w:rsidR="00870A55" w:rsidRPr="00092862">
        <w:rPr>
          <w:rFonts w:ascii="Times New Roman" w:hAnsi="Times New Roman"/>
          <w:color w:val="000000" w:themeColor="text1"/>
          <w:szCs w:val="24"/>
        </w:rPr>
        <w:t>3</w:t>
      </w:r>
      <w:r w:rsidR="00E92E71" w:rsidRPr="00092862">
        <w:rPr>
          <w:rFonts w:ascii="Times New Roman" w:hAnsi="Times New Roman"/>
          <w:color w:val="000000" w:themeColor="text1"/>
          <w:szCs w:val="24"/>
        </w:rPr>
        <w:t>00m</w:t>
      </w:r>
      <w:r w:rsidR="00E92E71" w:rsidRPr="00092862">
        <w:rPr>
          <w:rFonts w:ascii="Times New Roman" w:hAnsi="Times New Roman"/>
          <w:color w:val="000000" w:themeColor="text1"/>
          <w:szCs w:val="24"/>
        </w:rPr>
        <w:t>范围外）基本无影响</w:t>
      </w:r>
      <w:r w:rsidR="00B0483B" w:rsidRPr="00092862">
        <w:rPr>
          <w:rFonts w:ascii="Times New Roman" w:hAnsi="Times New Roman"/>
          <w:color w:val="000000" w:themeColor="text1"/>
          <w:szCs w:val="24"/>
        </w:rPr>
        <w:t>。</w:t>
      </w:r>
    </w:p>
    <w:p w14:paraId="13153F86" w14:textId="77777777" w:rsidR="00DC446C" w:rsidRPr="00092862" w:rsidRDefault="00BA0EC4" w:rsidP="003D2EE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2</w:t>
      </w:r>
      <w:r w:rsidRPr="00092862">
        <w:rPr>
          <w:rFonts w:ascii="Times New Roman" w:hAnsi="Times New Roman"/>
          <w:color w:val="000000" w:themeColor="text1"/>
          <w:szCs w:val="24"/>
        </w:rPr>
        <w:t>）</w:t>
      </w:r>
      <w:r w:rsidR="003B1968" w:rsidRPr="00092862">
        <w:rPr>
          <w:rFonts w:ascii="Times New Roman" w:hAnsi="Times New Roman"/>
          <w:color w:val="000000" w:themeColor="text1"/>
          <w:szCs w:val="24"/>
        </w:rPr>
        <w:t>非正常情况</w:t>
      </w:r>
      <w:r w:rsidR="00B0483B" w:rsidRPr="00092862">
        <w:rPr>
          <w:rFonts w:ascii="Times New Roman" w:hAnsi="Times New Roman"/>
          <w:color w:val="000000" w:themeColor="text1"/>
          <w:szCs w:val="24"/>
        </w:rPr>
        <w:t>（柴油机工况）</w:t>
      </w:r>
    </w:p>
    <w:p w14:paraId="3132C468" w14:textId="77777777" w:rsidR="00BA0EC4" w:rsidRPr="00092862" w:rsidRDefault="00BA0EC4" w:rsidP="00BA0EC4">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网电无法使用的非正常工况下，钻井期间同时作业的设施有柴油动力机</w:t>
      </w:r>
      <w:r w:rsidRPr="00092862">
        <w:rPr>
          <w:rFonts w:ascii="Times New Roman" w:hAnsi="Times New Roman"/>
          <w:color w:val="000000" w:themeColor="text1"/>
          <w:szCs w:val="24"/>
        </w:rPr>
        <w:t>2</w:t>
      </w:r>
      <w:r w:rsidRPr="00092862">
        <w:rPr>
          <w:rFonts w:ascii="Times New Roman" w:hAnsi="Times New Roman"/>
          <w:color w:val="000000" w:themeColor="text1"/>
          <w:szCs w:val="24"/>
        </w:rPr>
        <w:t>台、发电机</w:t>
      </w:r>
      <w:r w:rsidRPr="00092862">
        <w:rPr>
          <w:rFonts w:ascii="Times New Roman" w:hAnsi="Times New Roman"/>
          <w:color w:val="000000" w:themeColor="text1"/>
          <w:szCs w:val="24"/>
        </w:rPr>
        <w:t>1</w:t>
      </w:r>
      <w:r w:rsidRPr="00092862">
        <w:rPr>
          <w:rFonts w:ascii="Times New Roman" w:hAnsi="Times New Roman"/>
          <w:color w:val="000000" w:themeColor="text1"/>
          <w:szCs w:val="24"/>
        </w:rPr>
        <w:t>台、钻机</w:t>
      </w:r>
      <w:r w:rsidRPr="00092862">
        <w:rPr>
          <w:rFonts w:ascii="Times New Roman" w:hAnsi="Times New Roman"/>
          <w:color w:val="000000" w:themeColor="text1"/>
          <w:szCs w:val="24"/>
        </w:rPr>
        <w:t>1</w:t>
      </w:r>
      <w:r w:rsidRPr="00092862">
        <w:rPr>
          <w:rFonts w:ascii="Times New Roman" w:hAnsi="Times New Roman"/>
          <w:color w:val="000000" w:themeColor="text1"/>
          <w:szCs w:val="24"/>
        </w:rPr>
        <w:t>台、泥浆泵</w:t>
      </w:r>
      <w:r w:rsidRPr="00092862">
        <w:rPr>
          <w:rFonts w:ascii="Times New Roman" w:hAnsi="Times New Roman"/>
          <w:color w:val="000000" w:themeColor="text1"/>
          <w:szCs w:val="24"/>
        </w:rPr>
        <w:t>2</w:t>
      </w:r>
      <w:r w:rsidRPr="00092862">
        <w:rPr>
          <w:rFonts w:ascii="Times New Roman" w:hAnsi="Times New Roman"/>
          <w:color w:val="000000" w:themeColor="text1"/>
          <w:szCs w:val="24"/>
        </w:rPr>
        <w:t>台、振动筛</w:t>
      </w:r>
      <w:r w:rsidRPr="00092862">
        <w:rPr>
          <w:rFonts w:ascii="Times New Roman" w:hAnsi="Times New Roman"/>
          <w:color w:val="000000" w:themeColor="text1"/>
          <w:szCs w:val="24"/>
        </w:rPr>
        <w:t>2</w:t>
      </w:r>
      <w:r w:rsidRPr="00092862">
        <w:rPr>
          <w:rFonts w:ascii="Times New Roman" w:hAnsi="Times New Roman"/>
          <w:color w:val="000000" w:themeColor="text1"/>
          <w:szCs w:val="24"/>
        </w:rPr>
        <w:t>台，以及设备棚内的泥浆处理装置若干。根据各噪声设备的噪声级和布置，其中主要噪声源为柴油机组和钻机，其他噪声源主要分布在井场井口周边</w:t>
      </w:r>
      <w:r w:rsidRPr="00092862">
        <w:rPr>
          <w:rFonts w:ascii="Times New Roman" w:hAnsi="Times New Roman"/>
          <w:color w:val="000000" w:themeColor="text1"/>
          <w:szCs w:val="24"/>
        </w:rPr>
        <w:t>20m</w:t>
      </w:r>
      <w:r w:rsidRPr="00092862">
        <w:rPr>
          <w:rFonts w:ascii="Times New Roman" w:hAnsi="Times New Roman"/>
          <w:color w:val="000000" w:themeColor="text1"/>
          <w:szCs w:val="24"/>
        </w:rPr>
        <w:t>内，在预测敏感点的噪声值时，将各噪声源简化为</w:t>
      </w:r>
      <w:r w:rsidRPr="00092862">
        <w:rPr>
          <w:rFonts w:ascii="Times New Roman" w:hAnsi="Times New Roman"/>
          <w:color w:val="000000" w:themeColor="text1"/>
          <w:szCs w:val="24"/>
        </w:rPr>
        <w:t>1</w:t>
      </w:r>
      <w:r w:rsidRPr="00092862">
        <w:rPr>
          <w:rFonts w:ascii="Times New Roman" w:hAnsi="Times New Roman"/>
          <w:color w:val="000000" w:themeColor="text1"/>
          <w:szCs w:val="24"/>
        </w:rPr>
        <w:t>个噪声源点。位置为井口位置。根据噪声叠加模式计算各主要噪声设备近似点源的噪声值为</w:t>
      </w:r>
      <w:r w:rsidRPr="00092862">
        <w:rPr>
          <w:rFonts w:ascii="Times New Roman" w:hAnsi="Times New Roman"/>
          <w:color w:val="000000" w:themeColor="text1"/>
          <w:szCs w:val="24"/>
        </w:rPr>
        <w:t>101.8dB(A)</w:t>
      </w:r>
      <w:r w:rsidRPr="00092862">
        <w:rPr>
          <w:rFonts w:ascii="Times New Roman" w:hAnsi="Times New Roman"/>
          <w:color w:val="000000" w:themeColor="text1"/>
          <w:szCs w:val="24"/>
        </w:rPr>
        <w:t>。</w:t>
      </w:r>
    </w:p>
    <w:p w14:paraId="03A5A3A0" w14:textId="09C6CE34" w:rsidR="00DC446C" w:rsidRPr="00092862" w:rsidRDefault="00BA0EC4" w:rsidP="00BA0EC4">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根据平面布置，主要噪声设备位于井口及后场，厂界距离井口约</w:t>
      </w:r>
      <w:r w:rsidRPr="00092862">
        <w:rPr>
          <w:rFonts w:ascii="Times New Roman" w:hAnsi="Times New Roman"/>
          <w:color w:val="000000" w:themeColor="text1"/>
          <w:szCs w:val="24"/>
        </w:rPr>
        <w:t>2</w:t>
      </w:r>
      <w:r w:rsidR="00870A55" w:rsidRPr="00092862">
        <w:rPr>
          <w:rFonts w:ascii="Times New Roman" w:hAnsi="Times New Roman"/>
          <w:color w:val="000000" w:themeColor="text1"/>
          <w:szCs w:val="24"/>
        </w:rPr>
        <w:t>3</w:t>
      </w:r>
      <w:r w:rsidRPr="00092862">
        <w:rPr>
          <w:rFonts w:ascii="Times New Roman" w:hAnsi="Times New Roman"/>
          <w:color w:val="000000" w:themeColor="text1"/>
          <w:szCs w:val="24"/>
        </w:rPr>
        <w:t>m</w:t>
      </w:r>
      <w:r w:rsidRPr="00092862">
        <w:rPr>
          <w:rFonts w:ascii="Times New Roman" w:hAnsi="Times New Roman"/>
          <w:color w:val="000000" w:themeColor="text1"/>
          <w:szCs w:val="24"/>
        </w:rPr>
        <w:t>～</w:t>
      </w:r>
      <w:r w:rsidR="00870A55" w:rsidRPr="00092862">
        <w:rPr>
          <w:rFonts w:ascii="Times New Roman" w:hAnsi="Times New Roman"/>
          <w:color w:val="000000" w:themeColor="text1"/>
          <w:szCs w:val="24"/>
        </w:rPr>
        <w:t>95</w:t>
      </w:r>
      <w:r w:rsidRPr="00092862">
        <w:rPr>
          <w:rFonts w:ascii="Times New Roman" w:hAnsi="Times New Roman"/>
          <w:color w:val="000000" w:themeColor="text1"/>
          <w:szCs w:val="24"/>
        </w:rPr>
        <w:t>m</w:t>
      </w:r>
      <w:r w:rsidRPr="00092862">
        <w:rPr>
          <w:rFonts w:ascii="Times New Roman" w:hAnsi="Times New Roman"/>
          <w:color w:val="000000" w:themeColor="text1"/>
          <w:szCs w:val="24"/>
        </w:rPr>
        <w:t>，忽略地面效应和山体树林隔挡，</w:t>
      </w:r>
      <w:r w:rsidR="00A809F3" w:rsidRPr="00092862">
        <w:rPr>
          <w:rFonts w:ascii="Times New Roman" w:hAnsi="Times New Roman"/>
          <w:color w:val="000000" w:themeColor="text1"/>
          <w:szCs w:val="24"/>
        </w:rPr>
        <w:t>考虑地面及设备用房的衰减量为</w:t>
      </w:r>
      <w:r w:rsidR="00A809F3" w:rsidRPr="00092862">
        <w:rPr>
          <w:rFonts w:ascii="Times New Roman" w:hAnsi="Times New Roman"/>
          <w:color w:val="000000" w:themeColor="text1"/>
          <w:szCs w:val="24"/>
        </w:rPr>
        <w:t>2dB(A)</w:t>
      </w:r>
      <w:r w:rsidR="00A809F3" w:rsidRPr="00092862">
        <w:rPr>
          <w:rFonts w:ascii="Times New Roman" w:hAnsi="Times New Roman"/>
          <w:color w:val="000000" w:themeColor="text1"/>
          <w:szCs w:val="24"/>
        </w:rPr>
        <w:t>，本项目与周边较近居民点地势差异较大，</w:t>
      </w:r>
      <w:r w:rsidR="00A809F3" w:rsidRPr="00092862">
        <w:rPr>
          <w:rFonts w:ascii="Times New Roman" w:hAnsi="Times New Roman"/>
          <w:color w:val="000000" w:themeColor="text1"/>
          <w:szCs w:val="24"/>
        </w:rPr>
        <w:t>100m</w:t>
      </w:r>
      <w:r w:rsidR="00A809F3" w:rsidRPr="00092862">
        <w:rPr>
          <w:rFonts w:ascii="Times New Roman" w:hAnsi="Times New Roman"/>
          <w:color w:val="000000" w:themeColor="text1"/>
          <w:szCs w:val="24"/>
        </w:rPr>
        <w:t>范围外敏感点考虑地面及设备用房的衰减量为</w:t>
      </w:r>
      <w:r w:rsidR="00A809F3" w:rsidRPr="00092862">
        <w:rPr>
          <w:rFonts w:ascii="Times New Roman" w:hAnsi="Times New Roman"/>
          <w:color w:val="000000" w:themeColor="text1"/>
          <w:szCs w:val="24"/>
        </w:rPr>
        <w:t>4dB(A)</w:t>
      </w:r>
      <w:r w:rsidR="00A809F3" w:rsidRPr="00092862">
        <w:rPr>
          <w:rFonts w:ascii="Times New Roman" w:hAnsi="Times New Roman"/>
          <w:color w:val="000000" w:themeColor="text1"/>
          <w:szCs w:val="24"/>
        </w:rPr>
        <w:t>，最近居民点</w:t>
      </w:r>
      <w:r w:rsidR="007B7044" w:rsidRPr="00092862">
        <w:rPr>
          <w:rFonts w:ascii="Times New Roman" w:hAnsi="Times New Roman"/>
          <w:color w:val="000000" w:themeColor="text1"/>
          <w:szCs w:val="24"/>
        </w:rPr>
        <w:t>搬迁</w:t>
      </w:r>
      <w:r w:rsidR="00A809F3" w:rsidRPr="00092862">
        <w:rPr>
          <w:rFonts w:ascii="Times New Roman" w:hAnsi="Times New Roman"/>
          <w:color w:val="000000" w:themeColor="text1"/>
          <w:szCs w:val="24"/>
        </w:rPr>
        <w:t>后</w:t>
      </w:r>
      <w:r w:rsidR="001A000B" w:rsidRPr="00092862">
        <w:rPr>
          <w:rFonts w:ascii="Times New Roman" w:hAnsi="Times New Roman"/>
          <w:color w:val="000000" w:themeColor="text1"/>
          <w:szCs w:val="24"/>
        </w:rPr>
        <w:t>井口</w:t>
      </w:r>
      <w:r w:rsidR="00A809F3" w:rsidRPr="00092862">
        <w:rPr>
          <w:rFonts w:ascii="Times New Roman" w:hAnsi="Times New Roman"/>
          <w:color w:val="000000" w:themeColor="text1"/>
          <w:szCs w:val="24"/>
        </w:rPr>
        <w:t>周边</w:t>
      </w:r>
      <w:r w:rsidR="00870A55" w:rsidRPr="00092862">
        <w:rPr>
          <w:rFonts w:ascii="Times New Roman" w:hAnsi="Times New Roman"/>
          <w:color w:val="000000" w:themeColor="text1"/>
          <w:szCs w:val="24"/>
        </w:rPr>
        <w:t>3</w:t>
      </w:r>
      <w:r w:rsidR="00A809F3" w:rsidRPr="00092862">
        <w:rPr>
          <w:rFonts w:ascii="Times New Roman" w:hAnsi="Times New Roman"/>
          <w:color w:val="000000" w:themeColor="text1"/>
          <w:szCs w:val="24"/>
        </w:rPr>
        <w:t>00m</w:t>
      </w:r>
      <w:r w:rsidR="00A809F3" w:rsidRPr="00092862">
        <w:rPr>
          <w:rFonts w:ascii="Times New Roman" w:hAnsi="Times New Roman"/>
          <w:color w:val="000000" w:themeColor="text1"/>
          <w:szCs w:val="24"/>
        </w:rPr>
        <w:t>范围内无居民等敏感目标分布</w:t>
      </w:r>
      <w:r w:rsidRPr="00092862">
        <w:rPr>
          <w:rFonts w:ascii="Times New Roman" w:hAnsi="Times New Roman"/>
          <w:color w:val="000000" w:themeColor="text1"/>
          <w:szCs w:val="24"/>
        </w:rPr>
        <w:t>，预测结果如下。</w:t>
      </w:r>
    </w:p>
    <w:p w14:paraId="0482DC70" w14:textId="60E1764A" w:rsidR="00DC446C" w:rsidRPr="00092862" w:rsidRDefault="003B1968"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5.1-</w:t>
      </w:r>
      <w:r w:rsidR="002C77F6" w:rsidRPr="00092862">
        <w:rPr>
          <w:rFonts w:ascii="Times New Roman" w:eastAsia="黑体" w:hAnsi="Times New Roman"/>
          <w:color w:val="000000" w:themeColor="text1"/>
          <w:sz w:val="21"/>
          <w:szCs w:val="21"/>
          <w:lang w:eastAsia="zh-CN"/>
        </w:rPr>
        <w:t>4</w:t>
      </w:r>
      <w:r w:rsidRPr="00092862">
        <w:rPr>
          <w:rFonts w:ascii="Times New Roman" w:eastAsia="黑体" w:hAnsi="Times New Roman"/>
          <w:color w:val="000000" w:themeColor="text1"/>
          <w:sz w:val="21"/>
          <w:szCs w:val="21"/>
          <w:lang w:eastAsia="zh-CN"/>
        </w:rPr>
        <w:t xml:space="preserve"> </w:t>
      </w:r>
      <w:r w:rsidR="00BA0EC4" w:rsidRPr="00092862">
        <w:rPr>
          <w:rFonts w:ascii="Times New Roman" w:eastAsia="黑体" w:hAnsi="Times New Roman"/>
          <w:color w:val="000000" w:themeColor="text1"/>
          <w:sz w:val="21"/>
          <w:szCs w:val="21"/>
          <w:lang w:eastAsia="zh-CN"/>
        </w:rPr>
        <w:t xml:space="preserve"> </w:t>
      </w:r>
      <w:r w:rsidR="0036682F" w:rsidRPr="00092862">
        <w:rPr>
          <w:rFonts w:ascii="Times New Roman" w:eastAsia="黑体" w:hAnsi="Times New Roman"/>
          <w:color w:val="000000" w:themeColor="text1"/>
          <w:sz w:val="21"/>
          <w:szCs w:val="21"/>
          <w:lang w:eastAsia="zh-CN"/>
        </w:rPr>
        <w:t xml:space="preserve"> </w:t>
      </w:r>
      <w:r w:rsidR="0036682F" w:rsidRPr="00092862">
        <w:rPr>
          <w:rFonts w:ascii="Times New Roman" w:eastAsia="黑体" w:hAnsi="Times New Roman"/>
          <w:color w:val="000000" w:themeColor="text1"/>
          <w:sz w:val="21"/>
          <w:szCs w:val="21"/>
          <w:lang w:eastAsia="zh-CN"/>
        </w:rPr>
        <w:t>本项目</w:t>
      </w:r>
      <w:r w:rsidRPr="00092862">
        <w:rPr>
          <w:rFonts w:ascii="Times New Roman" w:eastAsia="黑体" w:hAnsi="Times New Roman"/>
          <w:color w:val="000000" w:themeColor="text1"/>
          <w:sz w:val="21"/>
          <w:szCs w:val="21"/>
          <w:lang w:eastAsia="zh-CN"/>
        </w:rPr>
        <w:t>非正常工况钻井噪声影响</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697429" w:rsidRPr="00092862" w14:paraId="518C32C6" w14:textId="77777777" w:rsidTr="00BC3AEA">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2B4F67B7" w14:textId="77777777" w:rsidR="00BA0EC4" w:rsidRPr="00092862" w:rsidRDefault="00BA0EC4" w:rsidP="00FB1DF9">
            <w:pPr>
              <w:adjustRightInd w:val="0"/>
              <w:snapToGrid w:val="0"/>
              <w:jc w:val="righ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项目</w:t>
            </w:r>
          </w:p>
          <w:p w14:paraId="204AA5B5" w14:textId="77777777" w:rsidR="00BA0EC4" w:rsidRPr="00092862" w:rsidRDefault="00BA0EC4" w:rsidP="00FB1DF9">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C3DC81"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6EF3333"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达标情况</w:t>
            </w:r>
          </w:p>
        </w:tc>
      </w:tr>
      <w:tr w:rsidR="00697429" w:rsidRPr="00092862" w14:paraId="1C852DB4"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A84AA87" w14:textId="77D53321"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厂界北侧</w:t>
            </w:r>
          </w:p>
        </w:tc>
        <w:tc>
          <w:tcPr>
            <w:tcW w:w="1289" w:type="dxa"/>
            <w:tcBorders>
              <w:top w:val="single" w:sz="4" w:space="0" w:color="auto"/>
              <w:left w:val="single" w:sz="4" w:space="0" w:color="auto"/>
              <w:bottom w:val="single" w:sz="4" w:space="0" w:color="auto"/>
              <w:right w:val="single" w:sz="4" w:space="0" w:color="auto"/>
            </w:tcBorders>
            <w:vAlign w:val="center"/>
          </w:tcPr>
          <w:p w14:paraId="1E8EB34B"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3810B34" w14:textId="01F75308"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64.2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897A441" w14:textId="0E37E528"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0962369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3C370EEF"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744B7AC"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2471AF4" w14:textId="06200FE0"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64.2</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CE1B178"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4865A799"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7D50B36" w14:textId="0A238CDF"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厂界东侧</w:t>
            </w:r>
          </w:p>
        </w:tc>
        <w:tc>
          <w:tcPr>
            <w:tcW w:w="1289" w:type="dxa"/>
            <w:tcBorders>
              <w:top w:val="single" w:sz="4" w:space="0" w:color="auto"/>
              <w:left w:val="single" w:sz="4" w:space="0" w:color="auto"/>
              <w:bottom w:val="single" w:sz="4" w:space="0" w:color="auto"/>
              <w:right w:val="single" w:sz="4" w:space="0" w:color="auto"/>
            </w:tcBorders>
            <w:vAlign w:val="center"/>
          </w:tcPr>
          <w:p w14:paraId="631BCD9D"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CABE650" w14:textId="37CE7BC9"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57.4</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9AF6295"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46B5B7E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EDB7EA1"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595F5D3"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5048BED" w14:textId="7889CC39"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57.4</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A78C8A2"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超标</w:t>
            </w:r>
          </w:p>
        </w:tc>
      </w:tr>
      <w:tr w:rsidR="00697429" w:rsidRPr="00092862" w14:paraId="6D20D4D3" w14:textId="77777777" w:rsidTr="00AD65D6">
        <w:trPr>
          <w:jc w:val="center"/>
        </w:trPr>
        <w:tc>
          <w:tcPr>
            <w:tcW w:w="1761" w:type="dxa"/>
            <w:vMerge w:val="restart"/>
            <w:tcBorders>
              <w:top w:val="single" w:sz="4" w:space="0" w:color="auto"/>
              <w:left w:val="single" w:sz="4" w:space="0" w:color="auto"/>
              <w:right w:val="single" w:sz="4" w:space="0" w:color="auto"/>
            </w:tcBorders>
            <w:vAlign w:val="center"/>
          </w:tcPr>
          <w:p w14:paraId="4D90C7A6" w14:textId="1CF4EDFA"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厂界南侧</w:t>
            </w:r>
          </w:p>
        </w:tc>
        <w:tc>
          <w:tcPr>
            <w:tcW w:w="1289" w:type="dxa"/>
            <w:tcBorders>
              <w:top w:val="single" w:sz="4" w:space="0" w:color="auto"/>
              <w:left w:val="single" w:sz="4" w:space="0" w:color="auto"/>
              <w:bottom w:val="single" w:sz="4" w:space="0" w:color="auto"/>
              <w:right w:val="single" w:sz="4" w:space="0" w:color="auto"/>
            </w:tcBorders>
            <w:vAlign w:val="center"/>
          </w:tcPr>
          <w:p w14:paraId="464807EA" w14:textId="19271F8D"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4648954" w14:textId="3BAE0626"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61.0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FF535E1" w14:textId="00256AF4"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6B394632" w14:textId="77777777" w:rsidTr="00AD65D6">
        <w:trPr>
          <w:jc w:val="center"/>
        </w:trPr>
        <w:tc>
          <w:tcPr>
            <w:tcW w:w="1761" w:type="dxa"/>
            <w:vMerge/>
            <w:tcBorders>
              <w:left w:val="single" w:sz="4" w:space="0" w:color="auto"/>
              <w:bottom w:val="single" w:sz="4" w:space="0" w:color="auto"/>
              <w:right w:val="single" w:sz="4" w:space="0" w:color="auto"/>
            </w:tcBorders>
            <w:vAlign w:val="center"/>
          </w:tcPr>
          <w:p w14:paraId="43F3C540"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79E310EC" w14:textId="0CF22D22"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70D246C" w14:textId="29D2739F"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61.0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E3B1248" w14:textId="3684B123"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1DEBD493" w14:textId="77777777" w:rsidTr="00E80C43">
        <w:trPr>
          <w:jc w:val="center"/>
        </w:trPr>
        <w:tc>
          <w:tcPr>
            <w:tcW w:w="1761" w:type="dxa"/>
            <w:vMerge w:val="restart"/>
            <w:tcBorders>
              <w:top w:val="single" w:sz="4" w:space="0" w:color="auto"/>
              <w:left w:val="single" w:sz="4" w:space="0" w:color="auto"/>
              <w:right w:val="single" w:sz="4" w:space="0" w:color="auto"/>
            </w:tcBorders>
            <w:vAlign w:val="center"/>
          </w:tcPr>
          <w:p w14:paraId="2FF76F4A" w14:textId="61C5014E"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厂界西侧</w:t>
            </w:r>
          </w:p>
        </w:tc>
        <w:tc>
          <w:tcPr>
            <w:tcW w:w="1289" w:type="dxa"/>
            <w:tcBorders>
              <w:top w:val="single" w:sz="4" w:space="0" w:color="auto"/>
              <w:left w:val="single" w:sz="4" w:space="0" w:color="auto"/>
              <w:bottom w:val="single" w:sz="4" w:space="0" w:color="auto"/>
              <w:right w:val="single" w:sz="4" w:space="0" w:color="auto"/>
            </w:tcBorders>
            <w:vAlign w:val="center"/>
          </w:tcPr>
          <w:p w14:paraId="42753D34" w14:textId="41BA1AB6"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6B9CD22" w14:textId="2C1B951E"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61.0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0FF51A4" w14:textId="1B8C62C9"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3D45F6FF" w14:textId="77777777" w:rsidTr="00E80C43">
        <w:trPr>
          <w:jc w:val="center"/>
        </w:trPr>
        <w:tc>
          <w:tcPr>
            <w:tcW w:w="1761" w:type="dxa"/>
            <w:vMerge/>
            <w:tcBorders>
              <w:left w:val="single" w:sz="4" w:space="0" w:color="auto"/>
              <w:bottom w:val="single" w:sz="4" w:space="0" w:color="auto"/>
              <w:right w:val="single" w:sz="4" w:space="0" w:color="auto"/>
            </w:tcBorders>
            <w:vAlign w:val="center"/>
          </w:tcPr>
          <w:p w14:paraId="418EEE2B"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353CECD" w14:textId="1B9F9C26"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1314684" w14:textId="449086B0"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61.0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A6B3110" w14:textId="73B67D6D"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432C2557" w14:textId="77777777" w:rsidTr="00BC3AEA">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445D1CF1"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施工期场界标准</w:t>
            </w:r>
            <w:r w:rsidRPr="00092862">
              <w:rPr>
                <w:rFonts w:ascii="Times New Roman" w:eastAsia="宋体" w:hAnsi="Times New Roman" w:cs="Times New Roman"/>
                <w:color w:val="000000" w:themeColor="text1"/>
                <w:szCs w:val="21"/>
              </w:rPr>
              <w:t>70dB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）（昼间）、</w:t>
            </w:r>
            <w:r w:rsidRPr="00092862">
              <w:rPr>
                <w:rFonts w:ascii="Times New Roman" w:eastAsia="宋体" w:hAnsi="Times New Roman" w:cs="Times New Roman"/>
                <w:color w:val="000000" w:themeColor="text1"/>
                <w:szCs w:val="21"/>
              </w:rPr>
              <w:t>55dB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）（夜间）</w:t>
            </w:r>
          </w:p>
        </w:tc>
      </w:tr>
      <w:tr w:rsidR="00697429" w:rsidRPr="00092862" w14:paraId="2AF34107" w14:textId="77777777" w:rsidTr="00BC3AEA">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0FA141A4"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14:paraId="385FEB8C" w14:textId="77777777" w:rsidR="00BA0EC4" w:rsidRPr="00092862" w:rsidRDefault="00BA0EC4" w:rsidP="00FB1DF9">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52DC31D3" w14:textId="77777777" w:rsidR="00BA0EC4" w:rsidRPr="00092862" w:rsidRDefault="00BA0EC4" w:rsidP="00FB1DF9">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64704EEE" w14:textId="77777777" w:rsidR="00BA0EC4" w:rsidRPr="00092862" w:rsidRDefault="00BA0EC4" w:rsidP="00FB1DF9">
            <w:pPr>
              <w:autoSpaceDE w:val="0"/>
              <w:autoSpaceDN w:val="0"/>
              <w:adjustRightInd w:val="0"/>
              <w:snapToGrid w:val="0"/>
              <w:jc w:val="center"/>
              <w:textAlignment w:val="baseline"/>
              <w:rPr>
                <w:rFonts w:ascii="Times New Roman" w:eastAsia="宋体" w:hAnsi="Times New Roman" w:cs="Times New Roman"/>
                <w:b/>
                <w:bCs/>
                <w:color w:val="000000" w:themeColor="text1"/>
                <w:szCs w:val="21"/>
              </w:rPr>
            </w:pPr>
            <w:r w:rsidRPr="00092862">
              <w:rPr>
                <w:rFonts w:ascii="Times New Roman" w:eastAsia="宋体" w:hAnsi="Times New Roman" w:cs="Times New Roman"/>
                <w:color w:val="000000" w:themeColor="text1"/>
                <w:szCs w:val="21"/>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4390F426" w14:textId="77777777" w:rsidR="00BA0EC4" w:rsidRPr="00092862" w:rsidRDefault="00BA0EC4" w:rsidP="00FB1DF9">
            <w:pPr>
              <w:autoSpaceDE w:val="0"/>
              <w:autoSpaceDN w:val="0"/>
              <w:adjustRightInd w:val="0"/>
              <w:snapToGrid w:val="0"/>
              <w:jc w:val="center"/>
              <w:textAlignment w:val="baseline"/>
              <w:rPr>
                <w:rFonts w:ascii="Times New Roman" w:eastAsia="宋体" w:hAnsi="Times New Roman" w:cs="Times New Roman"/>
                <w:b/>
                <w:bCs/>
                <w:color w:val="000000" w:themeColor="text1"/>
                <w:szCs w:val="21"/>
              </w:rPr>
            </w:pPr>
            <w:r w:rsidRPr="00092862">
              <w:rPr>
                <w:rFonts w:ascii="Times New Roman" w:eastAsia="宋体" w:hAnsi="Times New Roman" w:cs="Times New Roman"/>
                <w:color w:val="000000" w:themeColor="text1"/>
                <w:szCs w:val="21"/>
              </w:rPr>
              <w:t>达标情况</w:t>
            </w:r>
          </w:p>
        </w:tc>
      </w:tr>
      <w:tr w:rsidR="00697429" w:rsidRPr="00092862" w14:paraId="314BB71A"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5112809C"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距井口</w:t>
            </w:r>
            <w:r w:rsidRPr="00092862">
              <w:rPr>
                <w:rFonts w:ascii="Times New Roman" w:eastAsia="宋体" w:hAnsi="Times New Roman" w:cs="Times New Roman"/>
                <w:color w:val="000000" w:themeColor="text1"/>
                <w:szCs w:val="21"/>
              </w:rPr>
              <w:t>100m</w:t>
            </w:r>
            <w:r w:rsidRPr="00092862">
              <w:rPr>
                <w:rFonts w:ascii="Times New Roman" w:eastAsia="宋体" w:hAnsi="Times New Roman" w:cs="Times New Roman"/>
                <w:color w:val="000000" w:themeColor="text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4DDCBD0F"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284DC0DE" w14:textId="3616A9B3"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55.0</w:t>
            </w:r>
          </w:p>
        </w:tc>
        <w:tc>
          <w:tcPr>
            <w:tcW w:w="1293" w:type="dxa"/>
            <w:tcBorders>
              <w:top w:val="single" w:sz="4" w:space="0" w:color="auto"/>
              <w:left w:val="single" w:sz="4" w:space="0" w:color="auto"/>
              <w:bottom w:val="single" w:sz="4" w:space="0" w:color="auto"/>
              <w:right w:val="single" w:sz="4" w:space="0" w:color="auto"/>
            </w:tcBorders>
            <w:vAlign w:val="center"/>
          </w:tcPr>
          <w:p w14:paraId="49ECC503" w14:textId="70F4CF63"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w:t>
            </w:r>
          </w:p>
        </w:tc>
        <w:tc>
          <w:tcPr>
            <w:tcW w:w="1293" w:type="dxa"/>
            <w:tcBorders>
              <w:top w:val="single" w:sz="4" w:space="0" w:color="auto"/>
              <w:left w:val="single" w:sz="4" w:space="0" w:color="auto"/>
              <w:bottom w:val="single" w:sz="4" w:space="0" w:color="auto"/>
              <w:right w:val="single" w:sz="4" w:space="0" w:color="auto"/>
            </w:tcBorders>
            <w:vAlign w:val="center"/>
          </w:tcPr>
          <w:p w14:paraId="1B4EDF0E" w14:textId="253C3991"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52.2</w:t>
            </w:r>
          </w:p>
        </w:tc>
        <w:tc>
          <w:tcPr>
            <w:tcW w:w="1293" w:type="dxa"/>
            <w:tcBorders>
              <w:top w:val="single" w:sz="4" w:space="0" w:color="auto"/>
              <w:left w:val="single" w:sz="4" w:space="0" w:color="auto"/>
              <w:bottom w:val="single" w:sz="4" w:space="0" w:color="auto"/>
              <w:right w:val="single" w:sz="4" w:space="0" w:color="auto"/>
            </w:tcBorders>
            <w:vAlign w:val="center"/>
          </w:tcPr>
          <w:p w14:paraId="3BCFE332" w14:textId="22773597" w:rsidR="00BA0EC4" w:rsidRPr="00092862" w:rsidRDefault="00C820DD" w:rsidP="00FB1DF9">
            <w:pPr>
              <w:adjustRightInd w:val="0"/>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Cs/>
                <w:color w:val="000000" w:themeColor="text1"/>
                <w:szCs w:val="21"/>
              </w:rPr>
              <w:t>达</w:t>
            </w:r>
            <w:r w:rsidR="008D1A91" w:rsidRPr="00092862">
              <w:rPr>
                <w:rFonts w:ascii="Times New Roman" w:eastAsia="宋体" w:hAnsi="Times New Roman" w:cs="Times New Roman"/>
                <w:bCs/>
                <w:color w:val="000000" w:themeColor="text1"/>
                <w:szCs w:val="21"/>
              </w:rPr>
              <w:t>标</w:t>
            </w:r>
          </w:p>
        </w:tc>
      </w:tr>
      <w:tr w:rsidR="00697429" w:rsidRPr="00092862" w14:paraId="6B00FD04"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0BC344A"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F2EDE8A"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141C1DF1" w14:textId="0905FE89"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55.0</w:t>
            </w:r>
          </w:p>
        </w:tc>
        <w:tc>
          <w:tcPr>
            <w:tcW w:w="1293" w:type="dxa"/>
            <w:tcBorders>
              <w:top w:val="single" w:sz="4" w:space="0" w:color="auto"/>
              <w:left w:val="single" w:sz="4" w:space="0" w:color="auto"/>
              <w:bottom w:val="single" w:sz="4" w:space="0" w:color="auto"/>
              <w:right w:val="single" w:sz="4" w:space="0" w:color="auto"/>
            </w:tcBorders>
            <w:vAlign w:val="center"/>
          </w:tcPr>
          <w:p w14:paraId="15B556CF" w14:textId="729078B7"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38</w:t>
            </w:r>
          </w:p>
        </w:tc>
        <w:tc>
          <w:tcPr>
            <w:tcW w:w="1293" w:type="dxa"/>
            <w:tcBorders>
              <w:top w:val="single" w:sz="4" w:space="0" w:color="auto"/>
              <w:left w:val="single" w:sz="4" w:space="0" w:color="auto"/>
              <w:bottom w:val="single" w:sz="4" w:space="0" w:color="auto"/>
              <w:right w:val="single" w:sz="4" w:space="0" w:color="auto"/>
            </w:tcBorders>
            <w:vAlign w:val="center"/>
          </w:tcPr>
          <w:p w14:paraId="68CFF5C6" w14:textId="5C21B54C" w:rsidR="00BA0EC4" w:rsidRPr="00092862" w:rsidRDefault="00C820DD"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52.1</w:t>
            </w:r>
          </w:p>
        </w:tc>
        <w:tc>
          <w:tcPr>
            <w:tcW w:w="1293" w:type="dxa"/>
            <w:tcBorders>
              <w:top w:val="single" w:sz="4" w:space="0" w:color="auto"/>
              <w:left w:val="single" w:sz="4" w:space="0" w:color="auto"/>
              <w:bottom w:val="single" w:sz="4" w:space="0" w:color="auto"/>
              <w:right w:val="single" w:sz="4" w:space="0" w:color="auto"/>
            </w:tcBorders>
            <w:vAlign w:val="center"/>
          </w:tcPr>
          <w:p w14:paraId="0D149E13"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4E9A89D9" w14:textId="77777777" w:rsidTr="00BC3AEA">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FF7728C"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距井口</w:t>
            </w:r>
            <w:r w:rsidRPr="00092862">
              <w:rPr>
                <w:rFonts w:ascii="Times New Roman" w:eastAsia="宋体" w:hAnsi="Times New Roman" w:cs="Times New Roman"/>
                <w:color w:val="000000" w:themeColor="text1"/>
                <w:szCs w:val="21"/>
              </w:rPr>
              <w:t>200m</w:t>
            </w:r>
            <w:r w:rsidRPr="00092862">
              <w:rPr>
                <w:rFonts w:ascii="Times New Roman" w:eastAsia="宋体" w:hAnsi="Times New Roman" w:cs="Times New Roman"/>
                <w:color w:val="000000" w:themeColor="text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72F23481"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50D53C49" w14:textId="1B48160B"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49.6</w:t>
            </w:r>
          </w:p>
        </w:tc>
        <w:tc>
          <w:tcPr>
            <w:tcW w:w="1293" w:type="dxa"/>
            <w:tcBorders>
              <w:top w:val="single" w:sz="4" w:space="0" w:color="auto"/>
              <w:left w:val="single" w:sz="4" w:space="0" w:color="auto"/>
              <w:bottom w:val="single" w:sz="4" w:space="0" w:color="auto"/>
              <w:right w:val="single" w:sz="4" w:space="0" w:color="auto"/>
            </w:tcBorders>
            <w:vAlign w:val="center"/>
          </w:tcPr>
          <w:p w14:paraId="1F76AD70" w14:textId="050AE91A"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w:t>
            </w:r>
          </w:p>
        </w:tc>
        <w:tc>
          <w:tcPr>
            <w:tcW w:w="1293" w:type="dxa"/>
            <w:tcBorders>
              <w:top w:val="single" w:sz="4" w:space="0" w:color="auto"/>
              <w:left w:val="single" w:sz="4" w:space="0" w:color="auto"/>
              <w:bottom w:val="single" w:sz="4" w:space="0" w:color="auto"/>
              <w:right w:val="single" w:sz="4" w:space="0" w:color="auto"/>
            </w:tcBorders>
            <w:vAlign w:val="center"/>
          </w:tcPr>
          <w:p w14:paraId="26E87143" w14:textId="5E8E0BFD" w:rsidR="00C820DD" w:rsidRPr="00092862" w:rsidRDefault="00AB5105"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50.3</w:t>
            </w:r>
          </w:p>
        </w:tc>
        <w:tc>
          <w:tcPr>
            <w:tcW w:w="1293" w:type="dxa"/>
            <w:tcBorders>
              <w:top w:val="single" w:sz="4" w:space="0" w:color="auto"/>
              <w:left w:val="single" w:sz="4" w:space="0" w:color="auto"/>
              <w:bottom w:val="single" w:sz="4" w:space="0" w:color="auto"/>
              <w:right w:val="single" w:sz="4" w:space="0" w:color="auto"/>
            </w:tcBorders>
            <w:vAlign w:val="center"/>
          </w:tcPr>
          <w:p w14:paraId="3E4DED6F"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达标</w:t>
            </w:r>
          </w:p>
        </w:tc>
      </w:tr>
      <w:tr w:rsidR="00697429" w:rsidRPr="00092862" w14:paraId="09676078" w14:textId="77777777" w:rsidTr="00BC3AEA">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9A73176"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3E21375C" w14:textId="77777777"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1B55A6CE" w14:textId="5E74EFA3" w:rsidR="00C820DD" w:rsidRPr="00092862" w:rsidRDefault="00AB5105"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49.6</w:t>
            </w:r>
          </w:p>
        </w:tc>
        <w:tc>
          <w:tcPr>
            <w:tcW w:w="1293" w:type="dxa"/>
            <w:tcBorders>
              <w:top w:val="single" w:sz="4" w:space="0" w:color="auto"/>
              <w:left w:val="single" w:sz="4" w:space="0" w:color="auto"/>
              <w:bottom w:val="single" w:sz="4" w:space="0" w:color="auto"/>
              <w:right w:val="single" w:sz="4" w:space="0" w:color="auto"/>
            </w:tcBorders>
            <w:vAlign w:val="center"/>
          </w:tcPr>
          <w:p w14:paraId="3FECF345" w14:textId="0E9D353C" w:rsidR="00C820DD" w:rsidRPr="00092862" w:rsidRDefault="00C820DD"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38</w:t>
            </w:r>
          </w:p>
        </w:tc>
        <w:tc>
          <w:tcPr>
            <w:tcW w:w="1293" w:type="dxa"/>
            <w:tcBorders>
              <w:top w:val="single" w:sz="4" w:space="0" w:color="auto"/>
              <w:left w:val="single" w:sz="4" w:space="0" w:color="auto"/>
              <w:bottom w:val="single" w:sz="4" w:space="0" w:color="auto"/>
              <w:right w:val="single" w:sz="4" w:space="0" w:color="auto"/>
            </w:tcBorders>
            <w:vAlign w:val="center"/>
          </w:tcPr>
          <w:p w14:paraId="003D6E05" w14:textId="048B18CE" w:rsidR="00C820DD" w:rsidRPr="00092862" w:rsidRDefault="00AB5105"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49.9</w:t>
            </w:r>
          </w:p>
        </w:tc>
        <w:tc>
          <w:tcPr>
            <w:tcW w:w="1293" w:type="dxa"/>
            <w:tcBorders>
              <w:top w:val="single" w:sz="4" w:space="0" w:color="auto"/>
              <w:left w:val="single" w:sz="4" w:space="0" w:color="auto"/>
              <w:bottom w:val="single" w:sz="4" w:space="0" w:color="auto"/>
              <w:right w:val="single" w:sz="4" w:space="0" w:color="auto"/>
            </w:tcBorders>
            <w:vAlign w:val="center"/>
          </w:tcPr>
          <w:p w14:paraId="4FB26206" w14:textId="77A28F0B" w:rsidR="00C820DD" w:rsidRPr="00092862" w:rsidRDefault="00AB5105" w:rsidP="00C820D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达标</w:t>
            </w:r>
          </w:p>
        </w:tc>
      </w:tr>
      <w:tr w:rsidR="00697429" w:rsidRPr="00092862" w14:paraId="1780758F" w14:textId="77777777" w:rsidTr="00BC3AEA">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1CB2EED0" w14:textId="77777777" w:rsidR="00BA0EC4" w:rsidRPr="00092862" w:rsidRDefault="00BA0EC4" w:rsidP="00FB1DF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敏感点标准</w:t>
            </w:r>
            <w:r w:rsidRPr="00092862">
              <w:rPr>
                <w:rFonts w:ascii="Times New Roman" w:eastAsia="宋体" w:hAnsi="Times New Roman" w:cs="Times New Roman"/>
                <w:color w:val="000000" w:themeColor="text1"/>
                <w:szCs w:val="21"/>
              </w:rPr>
              <w:t>60dB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）（昼间）、</w:t>
            </w:r>
            <w:r w:rsidRPr="00092862">
              <w:rPr>
                <w:rFonts w:ascii="Times New Roman" w:eastAsia="宋体" w:hAnsi="Times New Roman" w:cs="Times New Roman"/>
                <w:color w:val="000000" w:themeColor="text1"/>
                <w:szCs w:val="21"/>
              </w:rPr>
              <w:t>50dB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）（夜间）</w:t>
            </w:r>
          </w:p>
        </w:tc>
      </w:tr>
    </w:tbl>
    <w:p w14:paraId="362ABA2E" w14:textId="4CF60E2D" w:rsidR="00DC446C" w:rsidRPr="00092862" w:rsidRDefault="003B1968" w:rsidP="00BB19B4">
      <w:pPr>
        <w:pStyle w:val="af0"/>
        <w:adjustRightInd w:val="0"/>
        <w:snapToGrid w:val="0"/>
        <w:spacing w:beforeLines="50" w:before="120"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由于昼夜连续作业，昼夜噪声变化不大，</w:t>
      </w:r>
      <w:r w:rsidR="00BB19B4" w:rsidRPr="00092862">
        <w:rPr>
          <w:rFonts w:ascii="Times New Roman" w:hAnsi="Times New Roman"/>
          <w:color w:val="000000" w:themeColor="text1"/>
          <w:szCs w:val="24"/>
        </w:rPr>
        <w:t>柴油机工况下</w:t>
      </w:r>
      <w:r w:rsidRPr="00092862">
        <w:rPr>
          <w:rFonts w:ascii="Times New Roman" w:hAnsi="Times New Roman"/>
          <w:color w:val="000000" w:themeColor="text1"/>
          <w:szCs w:val="24"/>
        </w:rPr>
        <w:t>昼夜间场界噪声均出现超过《建筑施工场界环境噪声排放标准》</w:t>
      </w:r>
      <w:r w:rsidRPr="00092862">
        <w:rPr>
          <w:rFonts w:ascii="Times New Roman" w:hAnsi="Times New Roman"/>
          <w:color w:val="000000" w:themeColor="text1"/>
          <w:szCs w:val="24"/>
        </w:rPr>
        <w:t>GB12523-2011</w:t>
      </w:r>
      <w:r w:rsidRPr="00092862">
        <w:rPr>
          <w:rFonts w:ascii="Times New Roman" w:hAnsi="Times New Roman"/>
          <w:color w:val="000000" w:themeColor="text1"/>
          <w:szCs w:val="24"/>
        </w:rPr>
        <w:t>的标准限值情况。由于钻井作业的特点以及场地小等特点，在当前技术经济条件下，难以满足场</w:t>
      </w:r>
      <w:r w:rsidRPr="00092862">
        <w:rPr>
          <w:rFonts w:ascii="Times New Roman" w:hAnsi="Times New Roman"/>
          <w:color w:val="000000" w:themeColor="text1"/>
          <w:szCs w:val="24"/>
        </w:rPr>
        <w:lastRenderedPageBreak/>
        <w:t>界达标。</w:t>
      </w:r>
      <w:r w:rsidR="00BB19B4" w:rsidRPr="00092862">
        <w:rPr>
          <w:rFonts w:ascii="Times New Roman" w:hAnsi="Times New Roman"/>
          <w:color w:val="000000" w:themeColor="text1"/>
          <w:szCs w:val="24"/>
        </w:rPr>
        <w:t>仅考虑距离衰减情况下，</w:t>
      </w:r>
      <w:r w:rsidR="001A000B" w:rsidRPr="00092862">
        <w:rPr>
          <w:rFonts w:ascii="Times New Roman" w:hAnsi="Times New Roman"/>
          <w:color w:val="000000" w:themeColor="text1"/>
          <w:szCs w:val="24"/>
        </w:rPr>
        <w:t>周边居民点处</w:t>
      </w:r>
      <w:r w:rsidR="008D1A91" w:rsidRPr="00092862">
        <w:rPr>
          <w:rFonts w:ascii="Times New Roman" w:hAnsi="Times New Roman"/>
          <w:color w:val="000000" w:themeColor="text1"/>
          <w:szCs w:val="24"/>
        </w:rPr>
        <w:t>（位于井口</w:t>
      </w:r>
      <w:r w:rsidR="008D1A91" w:rsidRPr="00092862">
        <w:rPr>
          <w:rFonts w:ascii="Times New Roman" w:hAnsi="Times New Roman"/>
          <w:color w:val="000000" w:themeColor="text1"/>
          <w:szCs w:val="24"/>
        </w:rPr>
        <w:t>300m</w:t>
      </w:r>
      <w:r w:rsidR="008D1A91" w:rsidRPr="00092862">
        <w:rPr>
          <w:rFonts w:ascii="Times New Roman" w:hAnsi="Times New Roman"/>
          <w:color w:val="000000" w:themeColor="text1"/>
          <w:szCs w:val="24"/>
        </w:rPr>
        <w:t>范围外）</w:t>
      </w:r>
      <w:r w:rsidR="001A000B" w:rsidRPr="00092862">
        <w:rPr>
          <w:rFonts w:ascii="Times New Roman" w:hAnsi="Times New Roman"/>
          <w:color w:val="000000" w:themeColor="text1"/>
          <w:szCs w:val="24"/>
        </w:rPr>
        <w:t>声环境均能满足相关标准</w:t>
      </w:r>
      <w:r w:rsidR="00BB19B4" w:rsidRPr="00092862">
        <w:rPr>
          <w:rFonts w:ascii="Times New Roman" w:hAnsi="Times New Roman"/>
          <w:color w:val="000000" w:themeColor="text1"/>
          <w:szCs w:val="24"/>
        </w:rPr>
        <w:t>，为了进一步了解噪声对环境的影响分析，并充分考虑高程差和树林的遮挡、地面吸收衰减等效应，本次评价采用</w:t>
      </w:r>
      <w:r w:rsidR="00AB5105" w:rsidRPr="00092862">
        <w:rPr>
          <w:rFonts w:ascii="Times New Roman" w:hAnsi="Times New Roman"/>
          <w:color w:val="000000" w:themeColor="text1"/>
          <w:szCs w:val="24"/>
        </w:rPr>
        <w:t>环安</w:t>
      </w:r>
      <w:r w:rsidR="00BB19B4" w:rsidRPr="00092862">
        <w:rPr>
          <w:rFonts w:ascii="Times New Roman" w:hAnsi="Times New Roman"/>
          <w:color w:val="000000" w:themeColor="text1"/>
          <w:szCs w:val="24"/>
        </w:rPr>
        <w:t>噪声预测软件进行噪声影响预测，考虑高程差和树林的遮挡、地面吸收衰减后，本项目钻井期非正常工况下噪声贡献值预测结果见</w:t>
      </w:r>
      <w:r w:rsidRPr="00092862">
        <w:rPr>
          <w:rFonts w:ascii="Times New Roman" w:hAnsi="Times New Roman"/>
          <w:color w:val="000000" w:themeColor="text1"/>
          <w:szCs w:val="24"/>
        </w:rPr>
        <w:t>图</w:t>
      </w:r>
      <w:r w:rsidRPr="00092862">
        <w:rPr>
          <w:rFonts w:ascii="Times New Roman" w:hAnsi="Times New Roman"/>
          <w:color w:val="000000" w:themeColor="text1"/>
          <w:szCs w:val="24"/>
        </w:rPr>
        <w:t>5.1-</w:t>
      </w:r>
      <w:r w:rsidR="00D47588" w:rsidRPr="00092862">
        <w:rPr>
          <w:rFonts w:ascii="Times New Roman" w:hAnsi="Times New Roman"/>
          <w:color w:val="000000" w:themeColor="text1"/>
          <w:szCs w:val="24"/>
        </w:rPr>
        <w:t>3</w:t>
      </w:r>
      <w:r w:rsidRPr="00092862">
        <w:rPr>
          <w:rFonts w:ascii="Times New Roman" w:hAnsi="Times New Roman"/>
          <w:color w:val="000000" w:themeColor="text1"/>
          <w:szCs w:val="24"/>
        </w:rPr>
        <w:t>。</w:t>
      </w:r>
    </w:p>
    <w:p w14:paraId="20353847" w14:textId="27BE9EF8" w:rsidR="00DC446C" w:rsidRPr="00092862" w:rsidRDefault="00C820DD" w:rsidP="007410A8">
      <w:pPr>
        <w:pStyle w:val="ac"/>
        <w:adjustRightInd w:val="0"/>
        <w:snapToGrid w:val="0"/>
        <w:spacing w:before="0"/>
        <w:ind w:left="0"/>
        <w:jc w:val="center"/>
        <w:rPr>
          <w:rFonts w:ascii="Times New Roman" w:eastAsia="黑体" w:hAnsi="Times New Roman"/>
          <w:bCs/>
          <w:color w:val="000000" w:themeColor="text1"/>
          <w:kern w:val="2"/>
          <w:sz w:val="21"/>
          <w:szCs w:val="21"/>
          <w:lang w:eastAsia="zh-CN"/>
        </w:rPr>
      </w:pPr>
      <w:r w:rsidRPr="00092862">
        <w:rPr>
          <w:rFonts w:ascii="Times New Roman" w:eastAsia="黑体" w:hAnsi="Times New Roman"/>
          <w:bCs/>
          <w:noProof/>
          <w:color w:val="000000" w:themeColor="text1"/>
          <w:kern w:val="2"/>
          <w:sz w:val="21"/>
          <w:szCs w:val="21"/>
          <w:lang w:eastAsia="zh-CN"/>
        </w:rPr>
        <w:drawing>
          <wp:inline distT="0" distB="0" distL="0" distR="0" wp14:anchorId="0F481CC7" wp14:editId="76C3C633">
            <wp:extent cx="5276850" cy="4170680"/>
            <wp:effectExtent l="0" t="0" r="0" b="1270"/>
            <wp:docPr id="1808" name="图片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6850" cy="4170680"/>
                    </a:xfrm>
                    <a:prstGeom prst="rect">
                      <a:avLst/>
                    </a:prstGeom>
                    <a:noFill/>
                    <a:ln>
                      <a:noFill/>
                    </a:ln>
                  </pic:spPr>
                </pic:pic>
              </a:graphicData>
            </a:graphic>
          </wp:inline>
        </w:drawing>
      </w:r>
    </w:p>
    <w:p w14:paraId="34BCACCC" w14:textId="0664FE88" w:rsidR="00DC446C" w:rsidRPr="00092862" w:rsidRDefault="003B1968" w:rsidP="00BB19B4">
      <w:pPr>
        <w:pStyle w:val="ac"/>
        <w:adjustRightInd w:val="0"/>
        <w:snapToGrid w:val="0"/>
        <w:spacing w:before="0" w:line="360" w:lineRule="auto"/>
        <w:ind w:left="0"/>
        <w:jc w:val="center"/>
        <w:rPr>
          <w:rFonts w:ascii="Times New Roman" w:hAnsi="Times New Roman"/>
          <w:color w:val="000000" w:themeColor="text1"/>
          <w:lang w:eastAsia="zh-CN"/>
        </w:rPr>
      </w:pPr>
      <w:r w:rsidRPr="00092862">
        <w:rPr>
          <w:rFonts w:ascii="Times New Roman" w:eastAsia="黑体" w:hAnsi="Times New Roman"/>
          <w:bCs/>
          <w:color w:val="000000" w:themeColor="text1"/>
          <w:kern w:val="2"/>
          <w:sz w:val="21"/>
          <w:szCs w:val="21"/>
          <w:lang w:eastAsia="zh-CN"/>
        </w:rPr>
        <w:t>图</w:t>
      </w:r>
      <w:r w:rsidRPr="00092862">
        <w:rPr>
          <w:rFonts w:ascii="Times New Roman" w:eastAsia="黑体" w:hAnsi="Times New Roman"/>
          <w:bCs/>
          <w:color w:val="000000" w:themeColor="text1"/>
          <w:kern w:val="2"/>
          <w:sz w:val="21"/>
          <w:szCs w:val="21"/>
          <w:lang w:eastAsia="zh-CN"/>
        </w:rPr>
        <w:t>5.1-</w:t>
      </w:r>
      <w:r w:rsidR="0036682F" w:rsidRPr="00092862">
        <w:rPr>
          <w:rFonts w:ascii="Times New Roman" w:eastAsia="黑体" w:hAnsi="Times New Roman"/>
          <w:bCs/>
          <w:color w:val="000000" w:themeColor="text1"/>
          <w:kern w:val="2"/>
          <w:sz w:val="21"/>
          <w:szCs w:val="21"/>
          <w:lang w:eastAsia="zh-CN"/>
        </w:rPr>
        <w:t>2</w:t>
      </w:r>
      <w:r w:rsidRPr="00092862">
        <w:rPr>
          <w:rFonts w:ascii="Times New Roman" w:eastAsia="黑体" w:hAnsi="Times New Roman"/>
          <w:bCs/>
          <w:color w:val="000000" w:themeColor="text1"/>
          <w:kern w:val="2"/>
          <w:sz w:val="21"/>
          <w:szCs w:val="21"/>
          <w:lang w:eastAsia="zh-CN"/>
        </w:rPr>
        <w:t xml:space="preserve">  </w:t>
      </w:r>
      <w:r w:rsidR="00C820DD" w:rsidRPr="00092862">
        <w:rPr>
          <w:rFonts w:ascii="Times New Roman" w:eastAsia="黑体" w:hAnsi="Times New Roman"/>
          <w:bCs/>
          <w:color w:val="000000" w:themeColor="text1"/>
          <w:kern w:val="2"/>
          <w:sz w:val="21"/>
          <w:szCs w:val="21"/>
          <w:lang w:eastAsia="zh-CN"/>
        </w:rPr>
        <w:t xml:space="preserve"> </w:t>
      </w:r>
      <w:r w:rsidRPr="00092862">
        <w:rPr>
          <w:rFonts w:ascii="Times New Roman" w:eastAsia="黑体" w:hAnsi="Times New Roman"/>
          <w:bCs/>
          <w:color w:val="000000" w:themeColor="text1"/>
          <w:kern w:val="2"/>
          <w:sz w:val="21"/>
          <w:szCs w:val="21"/>
          <w:lang w:eastAsia="zh-CN"/>
        </w:rPr>
        <w:t>钻井期</w:t>
      </w:r>
      <w:r w:rsidR="00B05A6E" w:rsidRPr="00092862">
        <w:rPr>
          <w:rFonts w:ascii="Times New Roman" w:eastAsia="黑体" w:hAnsi="Times New Roman"/>
          <w:bCs/>
          <w:color w:val="000000" w:themeColor="text1"/>
          <w:kern w:val="2"/>
          <w:sz w:val="21"/>
          <w:szCs w:val="21"/>
          <w:lang w:eastAsia="zh-CN"/>
        </w:rPr>
        <w:t>柴油机</w:t>
      </w:r>
      <w:r w:rsidRPr="00092862">
        <w:rPr>
          <w:rFonts w:ascii="Times New Roman" w:eastAsia="黑体" w:hAnsi="Times New Roman"/>
          <w:bCs/>
          <w:color w:val="000000" w:themeColor="text1"/>
          <w:kern w:val="2"/>
          <w:sz w:val="21"/>
          <w:szCs w:val="21"/>
          <w:lang w:eastAsia="zh-CN"/>
        </w:rPr>
        <w:t>工况噪声贡献值等声级线图</w:t>
      </w:r>
      <w:r w:rsidR="003B0CCB" w:rsidRPr="00092862">
        <w:rPr>
          <w:rFonts w:ascii="Times New Roman" w:eastAsia="黑体" w:hAnsi="Times New Roman"/>
          <w:bCs/>
          <w:color w:val="000000" w:themeColor="text1"/>
          <w:kern w:val="2"/>
          <w:sz w:val="21"/>
          <w:szCs w:val="21"/>
          <w:lang w:eastAsia="zh-CN"/>
        </w:rPr>
        <w:t>（未考虑遮挡与地面衰减）</w:t>
      </w:r>
    </w:p>
    <w:p w14:paraId="6D47DECE" w14:textId="509E07E5" w:rsidR="00DC446C" w:rsidRPr="00092862" w:rsidRDefault="00BB19B4" w:rsidP="00AB5105">
      <w:pPr>
        <w:pStyle w:val="ac"/>
        <w:widowControl w:val="0"/>
        <w:overflowPunct w:val="0"/>
        <w:adjustRightInd w:val="0"/>
        <w:snapToGrid w:val="0"/>
        <w:spacing w:before="0" w:line="360" w:lineRule="auto"/>
        <w:ind w:left="0" w:firstLineChars="200" w:firstLine="480"/>
        <w:jc w:val="both"/>
        <w:textAlignment w:val="baseline"/>
        <w:rPr>
          <w:rFonts w:ascii="Times New Roman" w:eastAsia="黑体" w:hAnsi="Times New Roman"/>
          <w:bCs/>
          <w:color w:val="000000" w:themeColor="text1"/>
          <w:kern w:val="2"/>
          <w:sz w:val="21"/>
          <w:szCs w:val="21"/>
          <w:lang w:eastAsia="zh-CN"/>
        </w:rPr>
      </w:pPr>
      <w:r w:rsidRPr="00092862">
        <w:rPr>
          <w:rFonts w:ascii="Times New Roman" w:hAnsi="Times New Roman"/>
          <w:color w:val="000000" w:themeColor="text1"/>
          <w:kern w:val="2"/>
          <w:lang w:eastAsia="zh-CN"/>
        </w:rPr>
        <w:t>根据图</w:t>
      </w:r>
      <w:r w:rsidR="00E35FCA" w:rsidRPr="00092862">
        <w:rPr>
          <w:rFonts w:ascii="Times New Roman" w:hAnsi="Times New Roman"/>
          <w:color w:val="000000" w:themeColor="text1"/>
          <w:kern w:val="2"/>
          <w:lang w:eastAsia="zh-CN"/>
        </w:rPr>
        <w:t>5.1-</w:t>
      </w:r>
      <w:r w:rsidR="0036682F" w:rsidRPr="00092862">
        <w:rPr>
          <w:rFonts w:ascii="Times New Roman" w:hAnsi="Times New Roman"/>
          <w:color w:val="000000" w:themeColor="text1"/>
          <w:kern w:val="2"/>
          <w:lang w:eastAsia="zh-CN"/>
        </w:rPr>
        <w:t>2</w:t>
      </w:r>
      <w:r w:rsidRPr="00092862">
        <w:rPr>
          <w:rFonts w:ascii="Times New Roman" w:hAnsi="Times New Roman"/>
          <w:color w:val="000000" w:themeColor="text1"/>
          <w:kern w:val="2"/>
          <w:lang w:eastAsia="zh-CN"/>
        </w:rPr>
        <w:t>预测结果，</w:t>
      </w:r>
      <w:r w:rsidR="003B1968" w:rsidRPr="00092862">
        <w:rPr>
          <w:rFonts w:ascii="Times New Roman" w:hAnsi="Times New Roman"/>
          <w:color w:val="000000" w:themeColor="text1"/>
          <w:lang w:eastAsia="zh-CN"/>
        </w:rPr>
        <w:t>非正常情况下</w:t>
      </w:r>
      <w:r w:rsidR="003C3238" w:rsidRPr="00092862">
        <w:rPr>
          <w:rFonts w:ascii="Times New Roman" w:hAnsi="Times New Roman"/>
          <w:color w:val="000000" w:themeColor="text1"/>
          <w:lang w:eastAsia="zh-CN"/>
        </w:rPr>
        <w:t>老君</w:t>
      </w:r>
      <w:r w:rsidR="003C3238" w:rsidRPr="00092862">
        <w:rPr>
          <w:rFonts w:ascii="Times New Roman" w:hAnsi="Times New Roman"/>
          <w:color w:val="000000" w:themeColor="text1"/>
          <w:lang w:eastAsia="zh-CN"/>
        </w:rPr>
        <w:t>701</w:t>
      </w:r>
      <w:r w:rsidR="00247409" w:rsidRPr="00092862">
        <w:rPr>
          <w:rFonts w:ascii="Times New Roman" w:hAnsi="Times New Roman"/>
          <w:color w:val="000000" w:themeColor="text1"/>
          <w:lang w:eastAsia="zh-CN"/>
        </w:rPr>
        <w:t>集气站</w:t>
      </w:r>
      <w:r w:rsidR="003B1968" w:rsidRPr="00092862">
        <w:rPr>
          <w:rFonts w:ascii="Times New Roman" w:hAnsi="Times New Roman"/>
          <w:color w:val="000000" w:themeColor="text1"/>
          <w:lang w:eastAsia="zh-CN"/>
        </w:rPr>
        <w:t>钻井期间</w:t>
      </w:r>
      <w:r w:rsidR="00574E5E" w:rsidRPr="00092862">
        <w:rPr>
          <w:rFonts w:ascii="Times New Roman" w:hAnsi="Times New Roman"/>
          <w:color w:val="000000" w:themeColor="text1"/>
          <w:lang w:eastAsia="zh-CN"/>
        </w:rPr>
        <w:t>柴油机工况下</w:t>
      </w:r>
      <w:r w:rsidR="003B1968" w:rsidRPr="00092862">
        <w:rPr>
          <w:rFonts w:ascii="Times New Roman" w:hAnsi="Times New Roman"/>
          <w:color w:val="000000" w:themeColor="text1"/>
          <w:lang w:eastAsia="zh-CN"/>
        </w:rPr>
        <w:t>的噪声达标距离昼间在距井口</w:t>
      </w:r>
      <w:r w:rsidR="00AB5105" w:rsidRPr="00092862">
        <w:rPr>
          <w:rFonts w:ascii="Times New Roman" w:hAnsi="Times New Roman"/>
          <w:color w:val="000000" w:themeColor="text1"/>
          <w:lang w:eastAsia="zh-CN"/>
        </w:rPr>
        <w:t>72</w:t>
      </w:r>
      <w:r w:rsidR="003B1968" w:rsidRPr="00092862">
        <w:rPr>
          <w:rFonts w:ascii="Times New Roman" w:hAnsi="Times New Roman"/>
          <w:color w:val="000000" w:themeColor="text1"/>
          <w:lang w:eastAsia="zh-CN"/>
        </w:rPr>
        <w:t>m</w:t>
      </w:r>
      <w:r w:rsidR="003B1968" w:rsidRPr="00092862">
        <w:rPr>
          <w:rFonts w:ascii="Times New Roman" w:hAnsi="Times New Roman"/>
          <w:color w:val="000000" w:themeColor="text1"/>
          <w:lang w:eastAsia="zh-CN"/>
        </w:rPr>
        <w:t>处，超标区域内无居民分布；夜间噪声达标距离在无树林等遮挡的空旷处距井口</w:t>
      </w:r>
      <w:r w:rsidR="00AB5105" w:rsidRPr="00092862">
        <w:rPr>
          <w:rFonts w:ascii="Times New Roman" w:hAnsi="Times New Roman"/>
          <w:color w:val="000000" w:themeColor="text1"/>
          <w:lang w:eastAsia="zh-CN"/>
        </w:rPr>
        <w:t>175</w:t>
      </w:r>
      <w:r w:rsidR="003B1968" w:rsidRPr="00092862">
        <w:rPr>
          <w:rFonts w:ascii="Times New Roman" w:hAnsi="Times New Roman"/>
          <w:color w:val="000000" w:themeColor="text1"/>
          <w:lang w:eastAsia="zh-CN"/>
        </w:rPr>
        <w:t>m</w:t>
      </w:r>
      <w:r w:rsidR="003B1968" w:rsidRPr="00092862">
        <w:rPr>
          <w:rFonts w:ascii="Times New Roman" w:hAnsi="Times New Roman"/>
          <w:color w:val="000000" w:themeColor="text1"/>
          <w:lang w:eastAsia="zh-CN"/>
        </w:rPr>
        <w:t>处，</w:t>
      </w:r>
      <w:r w:rsidR="001A000B" w:rsidRPr="00092862">
        <w:rPr>
          <w:rFonts w:ascii="Times New Roman" w:hAnsi="Times New Roman"/>
          <w:color w:val="000000" w:themeColor="text1"/>
          <w:lang w:eastAsia="zh-CN"/>
        </w:rPr>
        <w:t>超标区域内无居民分布</w:t>
      </w:r>
      <w:r w:rsidR="007410A8" w:rsidRPr="00092862">
        <w:rPr>
          <w:rFonts w:ascii="Times New Roman" w:hAnsi="Times New Roman"/>
          <w:color w:val="000000" w:themeColor="text1"/>
          <w:lang w:eastAsia="zh-CN"/>
        </w:rPr>
        <w:t>。</w:t>
      </w:r>
      <w:r w:rsidR="001A000B" w:rsidRPr="00092862">
        <w:rPr>
          <w:rFonts w:ascii="Times New Roman" w:hAnsi="Times New Roman"/>
          <w:color w:val="000000" w:themeColor="text1"/>
          <w:lang w:eastAsia="zh-CN"/>
        </w:rPr>
        <w:t>同时项目区周边树林较为茂密</w:t>
      </w:r>
      <w:r w:rsidR="007410A8" w:rsidRPr="00092862">
        <w:rPr>
          <w:rFonts w:ascii="Times New Roman" w:hAnsi="Times New Roman"/>
          <w:color w:val="000000" w:themeColor="text1"/>
          <w:lang w:eastAsia="zh-CN"/>
        </w:rPr>
        <w:t>，</w:t>
      </w:r>
      <w:r w:rsidR="00D47588" w:rsidRPr="00092862">
        <w:rPr>
          <w:rFonts w:ascii="Times New Roman" w:hAnsi="Times New Roman"/>
          <w:color w:val="000000" w:themeColor="text1"/>
          <w:lang w:eastAsia="zh-CN"/>
        </w:rPr>
        <w:t>项目钻井施工对对</w:t>
      </w:r>
      <w:r w:rsidR="001A000B" w:rsidRPr="00092862">
        <w:rPr>
          <w:rFonts w:ascii="Times New Roman" w:hAnsi="Times New Roman"/>
          <w:color w:val="000000" w:themeColor="text1"/>
          <w:lang w:eastAsia="zh-CN"/>
        </w:rPr>
        <w:t>周边</w:t>
      </w:r>
      <w:r w:rsidR="00D47588" w:rsidRPr="00092862">
        <w:rPr>
          <w:rFonts w:ascii="Times New Roman" w:hAnsi="Times New Roman"/>
          <w:color w:val="000000" w:themeColor="text1"/>
          <w:lang w:eastAsia="zh-CN"/>
        </w:rPr>
        <w:t>的居民造成噪声污染影响比预测结果更小。总的来看，项目的建设</w:t>
      </w:r>
      <w:r w:rsidR="001A000B" w:rsidRPr="00092862">
        <w:rPr>
          <w:rFonts w:ascii="Times New Roman" w:hAnsi="Times New Roman"/>
          <w:color w:val="000000" w:themeColor="text1"/>
          <w:lang w:eastAsia="zh-CN"/>
        </w:rPr>
        <w:t>对周边声环境影响较小</w:t>
      </w:r>
      <w:r w:rsidR="003B1968" w:rsidRPr="00092862">
        <w:rPr>
          <w:rFonts w:ascii="Times New Roman" w:hAnsi="Times New Roman"/>
          <w:color w:val="000000" w:themeColor="text1"/>
          <w:lang w:eastAsia="zh-CN"/>
        </w:rPr>
        <w:t>。</w:t>
      </w:r>
    </w:p>
    <w:p w14:paraId="793B6EDB" w14:textId="317773D7" w:rsidR="00E35FCA" w:rsidRPr="00092862" w:rsidRDefault="00E35FCA" w:rsidP="00D47588">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根据预测结果，当网电不能正常使用启用柴油发电机后，项目施工对外环境的噪声影响明显加大，超标范围扩大，因此要求建设单位施工前与地方供电部门协调好项目用电，尽量避免使用备用柴油发电机。</w:t>
      </w:r>
      <w:r w:rsidR="00336873" w:rsidRPr="00092862">
        <w:rPr>
          <w:rFonts w:ascii="Times New Roman" w:hAnsi="Times New Roman"/>
          <w:color w:val="000000" w:themeColor="text1"/>
          <w:szCs w:val="24"/>
        </w:rPr>
        <w:t>同时注意夜间施工噪声控制，</w:t>
      </w:r>
      <w:r w:rsidR="001A000B" w:rsidRPr="00092862">
        <w:rPr>
          <w:rFonts w:ascii="Times New Roman" w:hAnsi="Times New Roman"/>
          <w:color w:val="000000" w:themeColor="text1"/>
          <w:szCs w:val="24"/>
        </w:rPr>
        <w:t>尽量降低噪声对外环境的影响</w:t>
      </w:r>
      <w:r w:rsidRPr="00092862">
        <w:rPr>
          <w:rFonts w:ascii="Times New Roman" w:hAnsi="Times New Roman"/>
          <w:color w:val="000000" w:themeColor="text1"/>
          <w:szCs w:val="24"/>
        </w:rPr>
        <w:t>。</w:t>
      </w:r>
    </w:p>
    <w:p w14:paraId="7818C8A8" w14:textId="77777777" w:rsidR="00DC446C" w:rsidRPr="00092862" w:rsidRDefault="003B1968" w:rsidP="00D47588">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4</w:t>
      </w:r>
      <w:r w:rsidRPr="00092862">
        <w:rPr>
          <w:rFonts w:ascii="Times New Roman" w:hAnsi="Times New Roman"/>
          <w:b/>
          <w:bCs/>
          <w:color w:val="000000" w:themeColor="text1"/>
          <w:szCs w:val="24"/>
        </w:rPr>
        <w:t>）压裂噪声环境影响预测及分析</w:t>
      </w:r>
    </w:p>
    <w:p w14:paraId="69D6D408" w14:textId="6EA061E5" w:rsidR="00061D76" w:rsidRPr="00092862" w:rsidRDefault="003B1968" w:rsidP="00D47588">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lastRenderedPageBreak/>
        <w:t>本项目压裂作业时间短，仅在白天施工。压裂过程中噪声源主要来自于压裂泵车，单台噪声源强情况</w:t>
      </w:r>
      <w:r w:rsidRPr="00092862">
        <w:rPr>
          <w:rFonts w:ascii="Times New Roman" w:hAnsi="Times New Roman"/>
          <w:color w:val="000000" w:themeColor="text1"/>
          <w:szCs w:val="24"/>
        </w:rPr>
        <w:t>90~100dB</w:t>
      </w:r>
      <w:r w:rsidRPr="00092862">
        <w:rPr>
          <w:rFonts w:ascii="Times New Roman" w:hAnsi="Times New Roman"/>
          <w:color w:val="000000" w:themeColor="text1"/>
          <w:szCs w:val="24"/>
        </w:rPr>
        <w:t>（</w:t>
      </w:r>
      <w:r w:rsidRPr="00092862">
        <w:rPr>
          <w:rFonts w:ascii="Times New Roman" w:hAnsi="Times New Roman"/>
          <w:color w:val="000000" w:themeColor="text1"/>
          <w:szCs w:val="24"/>
        </w:rPr>
        <w:t>A</w:t>
      </w:r>
      <w:r w:rsidRPr="00092862">
        <w:rPr>
          <w:rFonts w:ascii="Times New Roman" w:hAnsi="Times New Roman"/>
          <w:color w:val="000000" w:themeColor="text1"/>
          <w:szCs w:val="24"/>
        </w:rPr>
        <w:t>），由于压裂机组设备分布较为集中，距离敏感点较远，敏感点与项目之间有诸多树林间隔。根据《环境影响评价技术导则</w:t>
      </w:r>
      <w:r w:rsidRPr="00092862">
        <w:rPr>
          <w:rFonts w:ascii="Times New Roman" w:hAnsi="Times New Roman"/>
          <w:color w:val="000000" w:themeColor="text1"/>
          <w:szCs w:val="24"/>
        </w:rPr>
        <w:t xml:space="preserve"> </w:t>
      </w:r>
      <w:r w:rsidRPr="00092862">
        <w:rPr>
          <w:rFonts w:ascii="Times New Roman" w:hAnsi="Times New Roman"/>
          <w:color w:val="000000" w:themeColor="text1"/>
          <w:szCs w:val="24"/>
        </w:rPr>
        <w:t>声环境》（</w:t>
      </w:r>
      <w:r w:rsidRPr="00092862">
        <w:rPr>
          <w:rFonts w:ascii="Times New Roman" w:hAnsi="Times New Roman"/>
          <w:color w:val="000000" w:themeColor="text1"/>
          <w:szCs w:val="24"/>
        </w:rPr>
        <w:t>HJ2.</w:t>
      </w:r>
      <w:r w:rsidR="00B00014" w:rsidRPr="00092862">
        <w:rPr>
          <w:rFonts w:ascii="Times New Roman" w:hAnsi="Times New Roman"/>
          <w:color w:val="000000" w:themeColor="text1"/>
          <w:szCs w:val="24"/>
        </w:rPr>
        <w:t>4</w:t>
      </w:r>
      <w:r w:rsidRPr="00092862">
        <w:rPr>
          <w:rFonts w:ascii="Times New Roman" w:hAnsi="Times New Roman"/>
          <w:color w:val="000000" w:themeColor="text1"/>
          <w:szCs w:val="24"/>
        </w:rPr>
        <w:t>-20</w:t>
      </w:r>
      <w:r w:rsidR="00BF3A2C" w:rsidRPr="00092862">
        <w:rPr>
          <w:rFonts w:ascii="Times New Roman" w:hAnsi="Times New Roman"/>
          <w:color w:val="000000" w:themeColor="text1"/>
          <w:szCs w:val="24"/>
        </w:rPr>
        <w:t>21</w:t>
      </w:r>
      <w:r w:rsidRPr="00092862">
        <w:rPr>
          <w:rFonts w:ascii="Times New Roman" w:hAnsi="Times New Roman"/>
          <w:color w:val="000000" w:themeColor="text1"/>
          <w:szCs w:val="24"/>
        </w:rPr>
        <w:t>）：实际的室外声源组，可以用处于该组中部的等效点声源来描述，</w:t>
      </w:r>
      <w:r w:rsidR="00061D76" w:rsidRPr="00092862">
        <w:rPr>
          <w:rFonts w:ascii="Times New Roman" w:hAnsi="Times New Roman"/>
          <w:color w:val="000000" w:themeColor="text1"/>
          <w:szCs w:val="24"/>
        </w:rPr>
        <w:t>本项目最多同时</w:t>
      </w:r>
      <w:r w:rsidR="00061D76" w:rsidRPr="00092862">
        <w:rPr>
          <w:rFonts w:ascii="Times New Roman" w:hAnsi="Times New Roman"/>
          <w:color w:val="000000" w:themeColor="text1"/>
          <w:szCs w:val="24"/>
        </w:rPr>
        <w:t>5</w:t>
      </w:r>
      <w:r w:rsidR="00061D76" w:rsidRPr="00092862">
        <w:rPr>
          <w:rFonts w:ascii="Times New Roman" w:hAnsi="Times New Roman"/>
          <w:color w:val="000000" w:themeColor="text1"/>
          <w:szCs w:val="24"/>
        </w:rPr>
        <w:t>台压裂设备同时作业，</w:t>
      </w:r>
      <w:r w:rsidRPr="00092862">
        <w:rPr>
          <w:rFonts w:ascii="Times New Roman" w:hAnsi="Times New Roman"/>
          <w:color w:val="000000" w:themeColor="text1"/>
          <w:szCs w:val="24"/>
        </w:rPr>
        <w:t>则本工程压裂期间叠加后的噪声源强为</w:t>
      </w:r>
      <w:r w:rsidRPr="00092862">
        <w:rPr>
          <w:rFonts w:ascii="Times New Roman" w:hAnsi="Times New Roman"/>
          <w:color w:val="000000" w:themeColor="text1"/>
          <w:szCs w:val="24"/>
        </w:rPr>
        <w:t>10</w:t>
      </w:r>
      <w:r w:rsidR="00061D76" w:rsidRPr="00092862">
        <w:rPr>
          <w:rFonts w:ascii="Times New Roman" w:hAnsi="Times New Roman"/>
          <w:color w:val="000000" w:themeColor="text1"/>
          <w:szCs w:val="24"/>
        </w:rPr>
        <w:t>7</w:t>
      </w:r>
      <w:r w:rsidRPr="00092862">
        <w:rPr>
          <w:rFonts w:ascii="Times New Roman" w:hAnsi="Times New Roman"/>
          <w:color w:val="000000" w:themeColor="text1"/>
          <w:szCs w:val="24"/>
        </w:rPr>
        <w:t>dB(A)</w:t>
      </w:r>
      <w:r w:rsidRPr="00092862">
        <w:rPr>
          <w:rFonts w:ascii="Times New Roman" w:hAnsi="Times New Roman"/>
          <w:color w:val="000000" w:themeColor="text1"/>
          <w:szCs w:val="24"/>
        </w:rPr>
        <w:t>。</w:t>
      </w:r>
    </w:p>
    <w:p w14:paraId="7191329C" w14:textId="3050A948" w:rsidR="00061D76" w:rsidRPr="00092862" w:rsidRDefault="00061D76" w:rsidP="00D47588">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根据平面布置，主要噪声设备位于井口及后场，厂界距离井口约</w:t>
      </w:r>
      <w:r w:rsidRPr="00092862">
        <w:rPr>
          <w:rFonts w:ascii="Times New Roman" w:hAnsi="Times New Roman"/>
          <w:color w:val="000000" w:themeColor="text1"/>
          <w:szCs w:val="24"/>
        </w:rPr>
        <w:t>2</w:t>
      </w:r>
      <w:r w:rsidR="006E6449" w:rsidRPr="00092862">
        <w:rPr>
          <w:rFonts w:ascii="Times New Roman" w:hAnsi="Times New Roman"/>
          <w:color w:val="000000" w:themeColor="text1"/>
          <w:szCs w:val="24"/>
        </w:rPr>
        <w:t>3</w:t>
      </w:r>
      <w:r w:rsidRPr="00092862">
        <w:rPr>
          <w:rFonts w:ascii="Times New Roman" w:hAnsi="Times New Roman"/>
          <w:color w:val="000000" w:themeColor="text1"/>
          <w:szCs w:val="24"/>
        </w:rPr>
        <w:t>m</w:t>
      </w:r>
      <w:r w:rsidRPr="00092862">
        <w:rPr>
          <w:rFonts w:ascii="Times New Roman" w:hAnsi="Times New Roman"/>
          <w:color w:val="000000" w:themeColor="text1"/>
          <w:szCs w:val="24"/>
        </w:rPr>
        <w:t>～</w:t>
      </w:r>
      <w:r w:rsidR="006E6449" w:rsidRPr="00092862">
        <w:rPr>
          <w:rFonts w:ascii="Times New Roman" w:hAnsi="Times New Roman"/>
          <w:color w:val="000000" w:themeColor="text1"/>
          <w:szCs w:val="24"/>
        </w:rPr>
        <w:t>9</w:t>
      </w:r>
      <w:r w:rsidR="00272C9F" w:rsidRPr="00092862">
        <w:rPr>
          <w:rFonts w:ascii="Times New Roman" w:hAnsi="Times New Roman"/>
          <w:color w:val="000000" w:themeColor="text1"/>
          <w:szCs w:val="24"/>
        </w:rPr>
        <w:t>5</w:t>
      </w:r>
      <w:r w:rsidRPr="00092862">
        <w:rPr>
          <w:rFonts w:ascii="Times New Roman" w:hAnsi="Times New Roman"/>
          <w:color w:val="000000" w:themeColor="text1"/>
          <w:szCs w:val="24"/>
        </w:rPr>
        <w:t>m</w:t>
      </w:r>
      <w:r w:rsidRPr="00092862">
        <w:rPr>
          <w:rFonts w:ascii="Times New Roman" w:hAnsi="Times New Roman"/>
          <w:color w:val="000000" w:themeColor="text1"/>
          <w:szCs w:val="24"/>
        </w:rPr>
        <w:t>，忽略地面效应和山体树林隔挡，</w:t>
      </w:r>
      <w:r w:rsidR="00A809F3" w:rsidRPr="00092862">
        <w:rPr>
          <w:rFonts w:ascii="Times New Roman" w:hAnsi="Times New Roman"/>
          <w:color w:val="000000" w:themeColor="text1"/>
          <w:szCs w:val="24"/>
        </w:rPr>
        <w:t>考虑地面及设备用房的衰减量为</w:t>
      </w:r>
      <w:r w:rsidR="00A809F3" w:rsidRPr="00092862">
        <w:rPr>
          <w:rFonts w:ascii="Times New Roman" w:hAnsi="Times New Roman"/>
          <w:color w:val="000000" w:themeColor="text1"/>
          <w:szCs w:val="24"/>
        </w:rPr>
        <w:t>2dB(A)</w:t>
      </w:r>
      <w:r w:rsidR="00A809F3" w:rsidRPr="00092862">
        <w:rPr>
          <w:rFonts w:ascii="Times New Roman" w:hAnsi="Times New Roman"/>
          <w:color w:val="000000" w:themeColor="text1"/>
          <w:szCs w:val="24"/>
        </w:rPr>
        <w:t>，本项目与周边较近居民点地势差异较大，</w:t>
      </w:r>
      <w:r w:rsidR="00A809F3" w:rsidRPr="00092862">
        <w:rPr>
          <w:rFonts w:ascii="Times New Roman" w:hAnsi="Times New Roman"/>
          <w:color w:val="000000" w:themeColor="text1"/>
          <w:szCs w:val="24"/>
        </w:rPr>
        <w:t>100m</w:t>
      </w:r>
      <w:r w:rsidR="00A809F3" w:rsidRPr="00092862">
        <w:rPr>
          <w:rFonts w:ascii="Times New Roman" w:hAnsi="Times New Roman"/>
          <w:color w:val="000000" w:themeColor="text1"/>
          <w:szCs w:val="24"/>
        </w:rPr>
        <w:t>范围外敏感点考虑地面及设备用房的衰减量为</w:t>
      </w:r>
      <w:r w:rsidR="00A809F3" w:rsidRPr="00092862">
        <w:rPr>
          <w:rFonts w:ascii="Times New Roman" w:hAnsi="Times New Roman"/>
          <w:color w:val="000000" w:themeColor="text1"/>
          <w:szCs w:val="24"/>
        </w:rPr>
        <w:t>4dB(A)</w:t>
      </w:r>
      <w:r w:rsidR="00A809F3" w:rsidRPr="00092862">
        <w:rPr>
          <w:rFonts w:ascii="Times New Roman" w:hAnsi="Times New Roman"/>
          <w:color w:val="000000" w:themeColor="text1"/>
          <w:szCs w:val="24"/>
        </w:rPr>
        <w:t>，</w:t>
      </w:r>
      <w:r w:rsidRPr="00092862">
        <w:rPr>
          <w:rFonts w:ascii="Times New Roman" w:hAnsi="Times New Roman"/>
          <w:color w:val="000000" w:themeColor="text1"/>
          <w:szCs w:val="24"/>
        </w:rPr>
        <w:t>预测结果如下。</w:t>
      </w:r>
    </w:p>
    <w:p w14:paraId="6A4F869A" w14:textId="5279549F" w:rsidR="00061D76" w:rsidRPr="00092862" w:rsidRDefault="00061D76"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5.1-</w:t>
      </w:r>
      <w:r w:rsidR="002C77F6"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0036682F" w:rsidRPr="00092862">
        <w:rPr>
          <w:rFonts w:ascii="Times New Roman" w:eastAsia="黑体" w:hAnsi="Times New Roman"/>
          <w:color w:val="000000" w:themeColor="text1"/>
          <w:sz w:val="21"/>
          <w:szCs w:val="21"/>
          <w:lang w:eastAsia="zh-CN"/>
        </w:rPr>
        <w:t>本项目</w:t>
      </w:r>
      <w:r w:rsidRPr="00092862">
        <w:rPr>
          <w:rFonts w:ascii="Times New Roman" w:eastAsia="黑体" w:hAnsi="Times New Roman"/>
          <w:color w:val="000000" w:themeColor="text1"/>
          <w:sz w:val="21"/>
          <w:szCs w:val="21"/>
          <w:lang w:eastAsia="zh-CN"/>
        </w:rPr>
        <w:t>压裂作业噪声影响</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单位：</w:t>
      </w:r>
      <w:r w:rsidRPr="00092862">
        <w:rPr>
          <w:rFonts w:ascii="Times New Roman" w:eastAsia="黑体" w:hAnsi="Times New Roman"/>
          <w:color w:val="000000" w:themeColor="text1"/>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697429" w:rsidRPr="00092862" w14:paraId="6027DAB1" w14:textId="77777777" w:rsidTr="00573E9C">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5CD142B4" w14:textId="77777777" w:rsidR="0036682F" w:rsidRPr="00092862" w:rsidRDefault="0036682F" w:rsidP="00573E9C">
            <w:pPr>
              <w:adjustRightInd w:val="0"/>
              <w:snapToGrid w:val="0"/>
              <w:jc w:val="right"/>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项目</w:t>
            </w:r>
          </w:p>
          <w:p w14:paraId="62F8CF07" w14:textId="77777777" w:rsidR="0036682F" w:rsidRPr="00092862" w:rsidRDefault="0036682F" w:rsidP="00573E9C">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E2B1F00"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7512C93"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达标情况</w:t>
            </w:r>
          </w:p>
        </w:tc>
      </w:tr>
      <w:tr w:rsidR="00697429" w:rsidRPr="00092862" w14:paraId="1792D67A"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3FDA997"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厂界北侧</w:t>
            </w:r>
          </w:p>
        </w:tc>
        <w:tc>
          <w:tcPr>
            <w:tcW w:w="1289" w:type="dxa"/>
            <w:tcBorders>
              <w:top w:val="single" w:sz="4" w:space="0" w:color="auto"/>
              <w:left w:val="single" w:sz="4" w:space="0" w:color="auto"/>
              <w:bottom w:val="single" w:sz="4" w:space="0" w:color="auto"/>
              <w:right w:val="single" w:sz="4" w:space="0" w:color="auto"/>
            </w:tcBorders>
            <w:vAlign w:val="center"/>
          </w:tcPr>
          <w:p w14:paraId="655FF845"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DC456FE" w14:textId="5279302B"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04A25A3"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575327DF"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773ACE40"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607557A"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266F647" w14:textId="0B07F89D"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52.0</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302A3D0" w14:textId="4E300D6B"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00372E48"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2C2D8788"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厂界东侧</w:t>
            </w:r>
          </w:p>
        </w:tc>
        <w:tc>
          <w:tcPr>
            <w:tcW w:w="1289" w:type="dxa"/>
            <w:tcBorders>
              <w:top w:val="single" w:sz="4" w:space="0" w:color="auto"/>
              <w:left w:val="single" w:sz="4" w:space="0" w:color="auto"/>
              <w:bottom w:val="single" w:sz="4" w:space="0" w:color="auto"/>
              <w:right w:val="single" w:sz="4" w:space="0" w:color="auto"/>
            </w:tcBorders>
            <w:vAlign w:val="center"/>
          </w:tcPr>
          <w:p w14:paraId="69B526FF"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5A6067C" w14:textId="3B23377A"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57.3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D53BAEF"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6EB5336E"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5FF73042"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9034559"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D88225F" w14:textId="1B115D84"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57.3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A9B9BCF"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超标</w:t>
            </w:r>
          </w:p>
        </w:tc>
      </w:tr>
      <w:tr w:rsidR="00697429" w:rsidRPr="00092862" w14:paraId="210E5DEF" w14:textId="77777777" w:rsidTr="00573E9C">
        <w:trPr>
          <w:jc w:val="center"/>
        </w:trPr>
        <w:tc>
          <w:tcPr>
            <w:tcW w:w="1761" w:type="dxa"/>
            <w:vMerge w:val="restart"/>
            <w:tcBorders>
              <w:top w:val="single" w:sz="4" w:space="0" w:color="auto"/>
              <w:left w:val="single" w:sz="4" w:space="0" w:color="auto"/>
              <w:right w:val="single" w:sz="4" w:space="0" w:color="auto"/>
            </w:tcBorders>
            <w:vAlign w:val="center"/>
          </w:tcPr>
          <w:p w14:paraId="3882FDFE"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厂界南侧</w:t>
            </w:r>
          </w:p>
        </w:tc>
        <w:tc>
          <w:tcPr>
            <w:tcW w:w="1289" w:type="dxa"/>
            <w:tcBorders>
              <w:top w:val="single" w:sz="4" w:space="0" w:color="auto"/>
              <w:left w:val="single" w:sz="4" w:space="0" w:color="auto"/>
              <w:bottom w:val="single" w:sz="4" w:space="0" w:color="auto"/>
              <w:right w:val="single" w:sz="4" w:space="0" w:color="auto"/>
            </w:tcBorders>
            <w:vAlign w:val="center"/>
          </w:tcPr>
          <w:p w14:paraId="1456DD02"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3694022" w14:textId="15893DB2"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7CE5136"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72C17EF9" w14:textId="77777777" w:rsidTr="00573E9C">
        <w:trPr>
          <w:jc w:val="center"/>
        </w:trPr>
        <w:tc>
          <w:tcPr>
            <w:tcW w:w="1761" w:type="dxa"/>
            <w:vMerge/>
            <w:tcBorders>
              <w:left w:val="single" w:sz="4" w:space="0" w:color="auto"/>
              <w:bottom w:val="single" w:sz="4" w:space="0" w:color="auto"/>
              <w:right w:val="single" w:sz="4" w:space="0" w:color="auto"/>
            </w:tcBorders>
            <w:vAlign w:val="center"/>
          </w:tcPr>
          <w:p w14:paraId="3F366115"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4373281"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4994A77" w14:textId="12DB39F8"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7CA9BA3"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3BDA4930" w14:textId="77777777" w:rsidTr="00573E9C">
        <w:trPr>
          <w:jc w:val="center"/>
        </w:trPr>
        <w:tc>
          <w:tcPr>
            <w:tcW w:w="1761" w:type="dxa"/>
            <w:vMerge w:val="restart"/>
            <w:tcBorders>
              <w:top w:val="single" w:sz="4" w:space="0" w:color="auto"/>
              <w:left w:val="single" w:sz="4" w:space="0" w:color="auto"/>
              <w:right w:val="single" w:sz="4" w:space="0" w:color="auto"/>
            </w:tcBorders>
            <w:vAlign w:val="center"/>
          </w:tcPr>
          <w:p w14:paraId="04311098"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厂界西侧</w:t>
            </w:r>
          </w:p>
        </w:tc>
        <w:tc>
          <w:tcPr>
            <w:tcW w:w="1289" w:type="dxa"/>
            <w:tcBorders>
              <w:top w:val="single" w:sz="4" w:space="0" w:color="auto"/>
              <w:left w:val="single" w:sz="4" w:space="0" w:color="auto"/>
              <w:bottom w:val="single" w:sz="4" w:space="0" w:color="auto"/>
              <w:right w:val="single" w:sz="4" w:space="0" w:color="auto"/>
            </w:tcBorders>
            <w:vAlign w:val="center"/>
          </w:tcPr>
          <w:p w14:paraId="69564DB0"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EEF5B2A" w14:textId="7B5566A4"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71.4</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2F892842" w14:textId="3ACA0D50"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50BBD648" w14:textId="77777777" w:rsidTr="00573E9C">
        <w:trPr>
          <w:jc w:val="center"/>
        </w:trPr>
        <w:tc>
          <w:tcPr>
            <w:tcW w:w="1761" w:type="dxa"/>
            <w:vMerge/>
            <w:tcBorders>
              <w:left w:val="single" w:sz="4" w:space="0" w:color="auto"/>
              <w:bottom w:val="single" w:sz="4" w:space="0" w:color="auto"/>
              <w:right w:val="single" w:sz="4" w:space="0" w:color="auto"/>
            </w:tcBorders>
            <w:vAlign w:val="center"/>
          </w:tcPr>
          <w:p w14:paraId="40368EC7"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0810480E"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3A8F9CE" w14:textId="1CE5DDCF"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71.4</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348440EF"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31A4CC17" w14:textId="77777777" w:rsidTr="00573E9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5118709B"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施工期场界标准</w:t>
            </w:r>
            <w:r w:rsidRPr="00092862">
              <w:rPr>
                <w:rFonts w:ascii="Times New Roman" w:eastAsia="宋体" w:hAnsi="Times New Roman" w:cs="Times New Roman"/>
                <w:color w:val="000000" w:themeColor="text1"/>
                <w:szCs w:val="21"/>
              </w:rPr>
              <w:t>70dB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）（昼间）、</w:t>
            </w:r>
            <w:r w:rsidRPr="00092862">
              <w:rPr>
                <w:rFonts w:ascii="Times New Roman" w:eastAsia="宋体" w:hAnsi="Times New Roman" w:cs="Times New Roman"/>
                <w:color w:val="000000" w:themeColor="text1"/>
                <w:szCs w:val="21"/>
              </w:rPr>
              <w:t>55dB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）（夜间）</w:t>
            </w:r>
          </w:p>
        </w:tc>
      </w:tr>
      <w:tr w:rsidR="00697429" w:rsidRPr="00092862" w14:paraId="0A9EA055" w14:textId="77777777" w:rsidTr="00573E9C">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1A3669C5"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14:paraId="3484751F" w14:textId="77777777" w:rsidR="0036682F" w:rsidRPr="00092862" w:rsidRDefault="0036682F" w:rsidP="00573E9C">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588DF5D6" w14:textId="77777777" w:rsidR="0036682F" w:rsidRPr="00092862" w:rsidRDefault="0036682F" w:rsidP="00573E9C">
            <w:pPr>
              <w:autoSpaceDE w:val="0"/>
              <w:autoSpaceDN w:val="0"/>
              <w:adjustRightInd w:val="0"/>
              <w:snapToGrid w:val="0"/>
              <w:jc w:val="center"/>
              <w:textAlignment w:val="baseline"/>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591CE8D5" w14:textId="77777777" w:rsidR="0036682F" w:rsidRPr="00092862" w:rsidRDefault="0036682F" w:rsidP="00573E9C">
            <w:pPr>
              <w:autoSpaceDE w:val="0"/>
              <w:autoSpaceDN w:val="0"/>
              <w:adjustRightInd w:val="0"/>
              <w:snapToGrid w:val="0"/>
              <w:jc w:val="center"/>
              <w:textAlignment w:val="baseline"/>
              <w:rPr>
                <w:rFonts w:ascii="Times New Roman" w:eastAsia="宋体" w:hAnsi="Times New Roman" w:cs="Times New Roman"/>
                <w:b/>
                <w:bCs/>
                <w:color w:val="000000" w:themeColor="text1"/>
                <w:szCs w:val="21"/>
              </w:rPr>
            </w:pPr>
            <w:r w:rsidRPr="00092862">
              <w:rPr>
                <w:rFonts w:ascii="Times New Roman" w:eastAsia="宋体" w:hAnsi="Times New Roman" w:cs="Times New Roman"/>
                <w:color w:val="000000" w:themeColor="text1"/>
                <w:szCs w:val="21"/>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451D2844" w14:textId="77777777" w:rsidR="0036682F" w:rsidRPr="00092862" w:rsidRDefault="0036682F" w:rsidP="00573E9C">
            <w:pPr>
              <w:autoSpaceDE w:val="0"/>
              <w:autoSpaceDN w:val="0"/>
              <w:adjustRightInd w:val="0"/>
              <w:snapToGrid w:val="0"/>
              <w:jc w:val="center"/>
              <w:textAlignment w:val="baseline"/>
              <w:rPr>
                <w:rFonts w:ascii="Times New Roman" w:eastAsia="宋体" w:hAnsi="Times New Roman" w:cs="Times New Roman"/>
                <w:b/>
                <w:bCs/>
                <w:color w:val="000000" w:themeColor="text1"/>
                <w:szCs w:val="21"/>
              </w:rPr>
            </w:pPr>
            <w:r w:rsidRPr="00092862">
              <w:rPr>
                <w:rFonts w:ascii="Times New Roman" w:eastAsia="宋体" w:hAnsi="Times New Roman" w:cs="Times New Roman"/>
                <w:color w:val="000000" w:themeColor="text1"/>
                <w:szCs w:val="21"/>
              </w:rPr>
              <w:t>达标情况</w:t>
            </w:r>
          </w:p>
        </w:tc>
      </w:tr>
      <w:tr w:rsidR="00697429" w:rsidRPr="00092862" w14:paraId="18766FC8"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2799860"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距井口</w:t>
            </w:r>
            <w:r w:rsidRPr="00092862">
              <w:rPr>
                <w:rFonts w:ascii="Times New Roman" w:eastAsia="宋体" w:hAnsi="Times New Roman" w:cs="Times New Roman"/>
                <w:color w:val="000000" w:themeColor="text1"/>
                <w:szCs w:val="21"/>
              </w:rPr>
              <w:t>100m</w:t>
            </w:r>
            <w:r w:rsidRPr="00092862">
              <w:rPr>
                <w:rFonts w:ascii="Times New Roman" w:eastAsia="宋体" w:hAnsi="Times New Roman" w:cs="Times New Roman"/>
                <w:color w:val="000000" w:themeColor="text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0DD756E5"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192D55A1" w14:textId="1BB6E52B"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52.1</w:t>
            </w:r>
          </w:p>
        </w:tc>
        <w:tc>
          <w:tcPr>
            <w:tcW w:w="1293" w:type="dxa"/>
            <w:tcBorders>
              <w:top w:val="single" w:sz="4" w:space="0" w:color="auto"/>
              <w:left w:val="single" w:sz="4" w:space="0" w:color="auto"/>
              <w:bottom w:val="single" w:sz="4" w:space="0" w:color="auto"/>
              <w:right w:val="single" w:sz="4" w:space="0" w:color="auto"/>
            </w:tcBorders>
            <w:vAlign w:val="center"/>
          </w:tcPr>
          <w:p w14:paraId="7B3AC213"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w:t>
            </w:r>
          </w:p>
        </w:tc>
        <w:tc>
          <w:tcPr>
            <w:tcW w:w="1293" w:type="dxa"/>
            <w:tcBorders>
              <w:top w:val="single" w:sz="4" w:space="0" w:color="auto"/>
              <w:left w:val="single" w:sz="4" w:space="0" w:color="auto"/>
              <w:bottom w:val="single" w:sz="4" w:space="0" w:color="auto"/>
              <w:right w:val="single" w:sz="4" w:space="0" w:color="auto"/>
            </w:tcBorders>
            <w:vAlign w:val="center"/>
          </w:tcPr>
          <w:p w14:paraId="183442C6" w14:textId="75096223"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w:t>
            </w:r>
            <w:r w:rsidR="00193AC2" w:rsidRPr="00092862">
              <w:rPr>
                <w:rFonts w:ascii="Times New Roman" w:eastAsia="宋体" w:hAnsi="Times New Roman" w:cs="Times New Roman"/>
                <w:color w:val="000000" w:themeColor="text1"/>
                <w:szCs w:val="21"/>
              </w:rPr>
              <w:t>5</w:t>
            </w:r>
          </w:p>
        </w:tc>
        <w:tc>
          <w:tcPr>
            <w:tcW w:w="1293" w:type="dxa"/>
            <w:tcBorders>
              <w:top w:val="single" w:sz="4" w:space="0" w:color="auto"/>
              <w:left w:val="single" w:sz="4" w:space="0" w:color="auto"/>
              <w:bottom w:val="single" w:sz="4" w:space="0" w:color="auto"/>
              <w:right w:val="single" w:sz="4" w:space="0" w:color="auto"/>
            </w:tcBorders>
            <w:vAlign w:val="center"/>
          </w:tcPr>
          <w:p w14:paraId="27F260C0" w14:textId="77777777" w:rsidR="0036682F" w:rsidRPr="00092862" w:rsidRDefault="0036682F" w:rsidP="00573E9C">
            <w:pPr>
              <w:adjustRightInd w:val="0"/>
              <w:snapToGrid w:val="0"/>
              <w:jc w:val="center"/>
              <w:rPr>
                <w:rFonts w:ascii="Times New Roman" w:eastAsia="宋体" w:hAnsi="Times New Roman" w:cs="Times New Roman"/>
                <w:b/>
                <w:bCs/>
                <w:color w:val="000000" w:themeColor="text1"/>
                <w:szCs w:val="21"/>
              </w:rPr>
            </w:pPr>
            <w:r w:rsidRPr="00092862">
              <w:rPr>
                <w:rFonts w:ascii="Times New Roman" w:eastAsia="宋体" w:hAnsi="Times New Roman" w:cs="Times New Roman"/>
                <w:bCs/>
                <w:color w:val="000000" w:themeColor="text1"/>
                <w:szCs w:val="21"/>
              </w:rPr>
              <w:t>达标</w:t>
            </w:r>
          </w:p>
        </w:tc>
      </w:tr>
      <w:tr w:rsidR="00697429" w:rsidRPr="00092862" w14:paraId="099CB72C"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2AB10D1"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7B0EE81"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69BA96C3" w14:textId="7B59EB5F"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52.1</w:t>
            </w:r>
          </w:p>
        </w:tc>
        <w:tc>
          <w:tcPr>
            <w:tcW w:w="1293" w:type="dxa"/>
            <w:tcBorders>
              <w:top w:val="single" w:sz="4" w:space="0" w:color="auto"/>
              <w:left w:val="single" w:sz="4" w:space="0" w:color="auto"/>
              <w:bottom w:val="single" w:sz="4" w:space="0" w:color="auto"/>
              <w:right w:val="single" w:sz="4" w:space="0" w:color="auto"/>
            </w:tcBorders>
            <w:vAlign w:val="center"/>
          </w:tcPr>
          <w:p w14:paraId="3636B71E"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38</w:t>
            </w:r>
          </w:p>
        </w:tc>
        <w:tc>
          <w:tcPr>
            <w:tcW w:w="1293" w:type="dxa"/>
            <w:tcBorders>
              <w:top w:val="single" w:sz="4" w:space="0" w:color="auto"/>
              <w:left w:val="single" w:sz="4" w:space="0" w:color="auto"/>
              <w:bottom w:val="single" w:sz="4" w:space="0" w:color="auto"/>
              <w:right w:val="single" w:sz="4" w:space="0" w:color="auto"/>
            </w:tcBorders>
            <w:vAlign w:val="center"/>
          </w:tcPr>
          <w:p w14:paraId="6C1BD289" w14:textId="1183B1BF"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w:t>
            </w:r>
            <w:r w:rsidR="00193AC2" w:rsidRPr="00092862">
              <w:rPr>
                <w:rFonts w:ascii="Times New Roman" w:eastAsia="宋体" w:hAnsi="Times New Roman" w:cs="Times New Roman"/>
                <w:color w:val="000000" w:themeColor="text1"/>
                <w:szCs w:val="21"/>
              </w:rPr>
              <w:t>3</w:t>
            </w:r>
          </w:p>
        </w:tc>
        <w:tc>
          <w:tcPr>
            <w:tcW w:w="1293" w:type="dxa"/>
            <w:tcBorders>
              <w:top w:val="single" w:sz="4" w:space="0" w:color="auto"/>
              <w:left w:val="single" w:sz="4" w:space="0" w:color="auto"/>
              <w:bottom w:val="single" w:sz="4" w:space="0" w:color="auto"/>
              <w:right w:val="single" w:sz="4" w:space="0" w:color="auto"/>
            </w:tcBorders>
            <w:vAlign w:val="center"/>
          </w:tcPr>
          <w:p w14:paraId="0268CD68"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超标</w:t>
            </w:r>
          </w:p>
        </w:tc>
      </w:tr>
      <w:tr w:rsidR="00697429" w:rsidRPr="00092862" w14:paraId="58C7B3BC" w14:textId="77777777" w:rsidTr="00573E9C">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5C2BC2CA"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距井口</w:t>
            </w:r>
            <w:r w:rsidRPr="00092862">
              <w:rPr>
                <w:rFonts w:ascii="Times New Roman" w:eastAsia="宋体" w:hAnsi="Times New Roman" w:cs="Times New Roman"/>
                <w:color w:val="000000" w:themeColor="text1"/>
                <w:szCs w:val="21"/>
              </w:rPr>
              <w:t>200m</w:t>
            </w:r>
            <w:r w:rsidRPr="00092862">
              <w:rPr>
                <w:rFonts w:ascii="Times New Roman" w:eastAsia="宋体" w:hAnsi="Times New Roman" w:cs="Times New Roman"/>
                <w:color w:val="000000" w:themeColor="text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15DCABDF"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4DBA552A" w14:textId="0AD7690E"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47.3</w:t>
            </w:r>
          </w:p>
        </w:tc>
        <w:tc>
          <w:tcPr>
            <w:tcW w:w="1293" w:type="dxa"/>
            <w:tcBorders>
              <w:top w:val="single" w:sz="4" w:space="0" w:color="auto"/>
              <w:left w:val="single" w:sz="4" w:space="0" w:color="auto"/>
              <w:bottom w:val="single" w:sz="4" w:space="0" w:color="auto"/>
              <w:right w:val="single" w:sz="4" w:space="0" w:color="auto"/>
            </w:tcBorders>
            <w:vAlign w:val="center"/>
          </w:tcPr>
          <w:p w14:paraId="00620D38"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w:t>
            </w:r>
          </w:p>
        </w:tc>
        <w:tc>
          <w:tcPr>
            <w:tcW w:w="1293" w:type="dxa"/>
            <w:tcBorders>
              <w:top w:val="single" w:sz="4" w:space="0" w:color="auto"/>
              <w:left w:val="single" w:sz="4" w:space="0" w:color="auto"/>
              <w:bottom w:val="single" w:sz="4" w:space="0" w:color="auto"/>
              <w:right w:val="single" w:sz="4" w:space="0" w:color="auto"/>
            </w:tcBorders>
            <w:vAlign w:val="center"/>
          </w:tcPr>
          <w:p w14:paraId="4CA1D278" w14:textId="602ED82D" w:rsidR="0036682F" w:rsidRPr="00092862" w:rsidRDefault="00193AC2"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48.4</w:t>
            </w:r>
          </w:p>
        </w:tc>
        <w:tc>
          <w:tcPr>
            <w:tcW w:w="1293" w:type="dxa"/>
            <w:tcBorders>
              <w:top w:val="single" w:sz="4" w:space="0" w:color="auto"/>
              <w:left w:val="single" w:sz="4" w:space="0" w:color="auto"/>
              <w:bottom w:val="single" w:sz="4" w:space="0" w:color="auto"/>
              <w:right w:val="single" w:sz="4" w:space="0" w:color="auto"/>
            </w:tcBorders>
            <w:vAlign w:val="center"/>
          </w:tcPr>
          <w:p w14:paraId="7714171D"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达标</w:t>
            </w:r>
          </w:p>
        </w:tc>
      </w:tr>
      <w:tr w:rsidR="00697429" w:rsidRPr="00092862" w14:paraId="5A9A25FE" w14:textId="77777777" w:rsidTr="00573E9C">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00472B69"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45591524"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058CD030" w14:textId="7F49436D"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47.3</w:t>
            </w:r>
          </w:p>
        </w:tc>
        <w:tc>
          <w:tcPr>
            <w:tcW w:w="1293" w:type="dxa"/>
            <w:tcBorders>
              <w:top w:val="single" w:sz="4" w:space="0" w:color="auto"/>
              <w:left w:val="single" w:sz="4" w:space="0" w:color="auto"/>
              <w:bottom w:val="single" w:sz="4" w:space="0" w:color="auto"/>
              <w:right w:val="single" w:sz="4" w:space="0" w:color="auto"/>
            </w:tcBorders>
            <w:vAlign w:val="center"/>
          </w:tcPr>
          <w:p w14:paraId="061B7597"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38</w:t>
            </w:r>
          </w:p>
        </w:tc>
        <w:tc>
          <w:tcPr>
            <w:tcW w:w="1293" w:type="dxa"/>
            <w:tcBorders>
              <w:top w:val="single" w:sz="4" w:space="0" w:color="auto"/>
              <w:left w:val="single" w:sz="4" w:space="0" w:color="auto"/>
              <w:bottom w:val="single" w:sz="4" w:space="0" w:color="auto"/>
              <w:right w:val="single" w:sz="4" w:space="0" w:color="auto"/>
            </w:tcBorders>
            <w:vAlign w:val="center"/>
          </w:tcPr>
          <w:p w14:paraId="667AE584" w14:textId="18C03007" w:rsidR="0036682F" w:rsidRPr="00092862" w:rsidRDefault="00193AC2"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47.8</w:t>
            </w:r>
          </w:p>
        </w:tc>
        <w:tc>
          <w:tcPr>
            <w:tcW w:w="1293" w:type="dxa"/>
            <w:tcBorders>
              <w:top w:val="single" w:sz="4" w:space="0" w:color="auto"/>
              <w:left w:val="single" w:sz="4" w:space="0" w:color="auto"/>
              <w:bottom w:val="single" w:sz="4" w:space="0" w:color="auto"/>
              <w:right w:val="single" w:sz="4" w:space="0" w:color="auto"/>
            </w:tcBorders>
            <w:vAlign w:val="center"/>
          </w:tcPr>
          <w:p w14:paraId="13C3D39F"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bCs/>
                <w:color w:val="000000" w:themeColor="text1"/>
                <w:szCs w:val="21"/>
              </w:rPr>
              <w:t>达标</w:t>
            </w:r>
          </w:p>
        </w:tc>
      </w:tr>
      <w:tr w:rsidR="00697429" w:rsidRPr="00092862" w14:paraId="1B4763CC" w14:textId="77777777" w:rsidTr="00573E9C">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66B07A0E" w14:textId="77777777" w:rsidR="0036682F" w:rsidRPr="00092862" w:rsidRDefault="0036682F" w:rsidP="00573E9C">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敏感点标准</w:t>
            </w:r>
            <w:r w:rsidRPr="00092862">
              <w:rPr>
                <w:rFonts w:ascii="Times New Roman" w:eastAsia="宋体" w:hAnsi="Times New Roman" w:cs="Times New Roman"/>
                <w:color w:val="000000" w:themeColor="text1"/>
                <w:szCs w:val="21"/>
              </w:rPr>
              <w:t>60dB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）（昼间）、</w:t>
            </w:r>
            <w:r w:rsidRPr="00092862">
              <w:rPr>
                <w:rFonts w:ascii="Times New Roman" w:eastAsia="宋体" w:hAnsi="Times New Roman" w:cs="Times New Roman"/>
                <w:color w:val="000000" w:themeColor="text1"/>
                <w:szCs w:val="21"/>
              </w:rPr>
              <w:t>50dB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）（夜间）</w:t>
            </w:r>
          </w:p>
        </w:tc>
      </w:tr>
    </w:tbl>
    <w:p w14:paraId="3347B122" w14:textId="156199A3" w:rsidR="0036682F" w:rsidRPr="00092862" w:rsidRDefault="0036682F" w:rsidP="0036682F">
      <w:pPr>
        <w:pStyle w:val="af0"/>
        <w:adjustRightInd w:val="0"/>
        <w:snapToGrid w:val="0"/>
        <w:spacing w:beforeLines="50" w:before="120" w:line="360" w:lineRule="auto"/>
        <w:rPr>
          <w:rFonts w:ascii="Times New Roman" w:hAnsi="Times New Roman"/>
          <w:color w:val="000000" w:themeColor="text1"/>
          <w:szCs w:val="24"/>
        </w:rPr>
      </w:pPr>
      <w:r w:rsidRPr="00092862">
        <w:rPr>
          <w:rFonts w:ascii="Times New Roman" w:hAnsi="Times New Roman"/>
          <w:noProof/>
          <w:color w:val="000000" w:themeColor="text1"/>
          <w:szCs w:val="24"/>
        </w:rPr>
        <w:lastRenderedPageBreak/>
        <w:drawing>
          <wp:inline distT="0" distB="0" distL="0" distR="0" wp14:anchorId="310ED067" wp14:editId="769DFAF0">
            <wp:extent cx="5276850" cy="4018915"/>
            <wp:effectExtent l="0" t="0" r="0" b="635"/>
            <wp:docPr id="1810" name="图片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6850" cy="4018915"/>
                    </a:xfrm>
                    <a:prstGeom prst="rect">
                      <a:avLst/>
                    </a:prstGeom>
                    <a:noFill/>
                    <a:ln>
                      <a:noFill/>
                    </a:ln>
                  </pic:spPr>
                </pic:pic>
              </a:graphicData>
            </a:graphic>
          </wp:inline>
        </w:drawing>
      </w:r>
    </w:p>
    <w:p w14:paraId="7A1F4BC7" w14:textId="357BCC87" w:rsidR="0036682F" w:rsidRPr="00092862" w:rsidRDefault="0036682F" w:rsidP="0036682F">
      <w:pPr>
        <w:pStyle w:val="ac"/>
        <w:adjustRightInd w:val="0"/>
        <w:snapToGrid w:val="0"/>
        <w:spacing w:before="0" w:line="360" w:lineRule="auto"/>
        <w:ind w:left="0"/>
        <w:jc w:val="center"/>
        <w:rPr>
          <w:rFonts w:ascii="Times New Roman" w:hAnsi="Times New Roman"/>
          <w:color w:val="000000" w:themeColor="text1"/>
          <w:lang w:eastAsia="zh-CN"/>
        </w:rPr>
      </w:pPr>
      <w:r w:rsidRPr="00092862">
        <w:rPr>
          <w:rFonts w:ascii="Times New Roman" w:eastAsia="黑体" w:hAnsi="Times New Roman"/>
          <w:bCs/>
          <w:color w:val="000000" w:themeColor="text1"/>
          <w:kern w:val="2"/>
          <w:sz w:val="21"/>
          <w:szCs w:val="21"/>
          <w:lang w:eastAsia="zh-CN"/>
        </w:rPr>
        <w:t>图</w:t>
      </w:r>
      <w:r w:rsidRPr="00092862">
        <w:rPr>
          <w:rFonts w:ascii="Times New Roman" w:eastAsia="黑体" w:hAnsi="Times New Roman"/>
          <w:bCs/>
          <w:color w:val="000000" w:themeColor="text1"/>
          <w:kern w:val="2"/>
          <w:sz w:val="21"/>
          <w:szCs w:val="21"/>
          <w:lang w:eastAsia="zh-CN"/>
        </w:rPr>
        <w:t xml:space="preserve">5.1-3   </w:t>
      </w:r>
      <w:r w:rsidRPr="00092862">
        <w:rPr>
          <w:rFonts w:ascii="Times New Roman" w:eastAsia="黑体" w:hAnsi="Times New Roman"/>
          <w:bCs/>
          <w:color w:val="000000" w:themeColor="text1"/>
          <w:kern w:val="2"/>
          <w:sz w:val="21"/>
          <w:szCs w:val="21"/>
          <w:lang w:eastAsia="zh-CN"/>
        </w:rPr>
        <w:t>压裂作业期柴油机工况噪声贡献值等声级线图（未考虑遮挡与地面衰减）</w:t>
      </w:r>
    </w:p>
    <w:p w14:paraId="5C4FBD55" w14:textId="77777777" w:rsidR="0036682F" w:rsidRPr="00092862" w:rsidRDefault="0036682F" w:rsidP="0036682F">
      <w:pPr>
        <w:rPr>
          <w:rFonts w:ascii="Times New Roman" w:hAnsi="Times New Roman" w:cs="Times New Roman"/>
          <w:color w:val="000000" w:themeColor="text1"/>
        </w:rPr>
      </w:pPr>
    </w:p>
    <w:p w14:paraId="2D6A972F" w14:textId="5D1827FF" w:rsidR="00DC446C" w:rsidRPr="00092862" w:rsidRDefault="00C51DC9" w:rsidP="00C51DC9">
      <w:pPr>
        <w:pStyle w:val="af0"/>
        <w:adjustRightInd w:val="0"/>
        <w:snapToGrid w:val="0"/>
        <w:spacing w:beforeLines="50" w:before="120"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上表可知，压裂作业期间场界噪声不能满足《建筑施工场界环境噪声排放标准》（</w:t>
      </w:r>
      <w:r w:rsidRPr="00092862">
        <w:rPr>
          <w:rFonts w:ascii="Times New Roman" w:hAnsi="Times New Roman"/>
          <w:color w:val="000000" w:themeColor="text1"/>
          <w:szCs w:val="24"/>
        </w:rPr>
        <w:t>GB12523-2011</w:t>
      </w:r>
      <w:r w:rsidRPr="00092862">
        <w:rPr>
          <w:rFonts w:ascii="Times New Roman" w:hAnsi="Times New Roman"/>
          <w:color w:val="000000" w:themeColor="text1"/>
          <w:szCs w:val="24"/>
        </w:rPr>
        <w:t>）标准，压裂作业仅在昼间进行，不在夜间施工，进一步预测得知，压裂作业期间昼间噪声达标距离为井口约</w:t>
      </w:r>
      <w:r w:rsidR="00193AC2" w:rsidRPr="00092862">
        <w:rPr>
          <w:rFonts w:ascii="Times New Roman" w:hAnsi="Times New Roman"/>
          <w:color w:val="000000" w:themeColor="text1"/>
          <w:szCs w:val="24"/>
        </w:rPr>
        <w:t>85</w:t>
      </w:r>
      <w:r w:rsidRPr="00092862">
        <w:rPr>
          <w:rFonts w:ascii="Times New Roman" w:hAnsi="Times New Roman"/>
          <w:color w:val="000000" w:themeColor="text1"/>
          <w:szCs w:val="24"/>
        </w:rPr>
        <w:t>m</w:t>
      </w:r>
      <w:r w:rsidRPr="00092862">
        <w:rPr>
          <w:rFonts w:ascii="Times New Roman" w:hAnsi="Times New Roman"/>
          <w:color w:val="000000" w:themeColor="text1"/>
          <w:szCs w:val="24"/>
        </w:rPr>
        <w:t>范围内</w:t>
      </w:r>
      <w:r w:rsidR="0085013D" w:rsidRPr="00092862">
        <w:rPr>
          <w:rFonts w:ascii="Times New Roman" w:hAnsi="Times New Roman"/>
          <w:color w:val="000000" w:themeColor="text1"/>
          <w:szCs w:val="24"/>
        </w:rPr>
        <w:t>，此范围内</w:t>
      </w:r>
      <w:r w:rsidR="0049005E" w:rsidRPr="00092862">
        <w:rPr>
          <w:rFonts w:ascii="Times New Roman" w:hAnsi="Times New Roman"/>
          <w:color w:val="000000" w:themeColor="text1"/>
          <w:szCs w:val="24"/>
        </w:rPr>
        <w:t>均无居民分布</w:t>
      </w:r>
      <w:r w:rsidRPr="00092862">
        <w:rPr>
          <w:rFonts w:ascii="Times New Roman" w:hAnsi="Times New Roman"/>
          <w:color w:val="000000" w:themeColor="text1"/>
          <w:szCs w:val="24"/>
        </w:rPr>
        <w:t>。压裂</w:t>
      </w:r>
      <w:r w:rsidR="003B1968" w:rsidRPr="00092862">
        <w:rPr>
          <w:rFonts w:ascii="Times New Roman" w:hAnsi="Times New Roman"/>
          <w:color w:val="000000" w:themeColor="text1"/>
          <w:szCs w:val="24"/>
        </w:rPr>
        <w:t>施工时间短，</w:t>
      </w:r>
      <w:r w:rsidRPr="00092862">
        <w:rPr>
          <w:rFonts w:ascii="Times New Roman" w:hAnsi="Times New Roman"/>
          <w:color w:val="000000" w:themeColor="text1"/>
          <w:szCs w:val="24"/>
        </w:rPr>
        <w:t>夜间不作业，</w:t>
      </w:r>
      <w:r w:rsidR="003B1968" w:rsidRPr="00092862">
        <w:rPr>
          <w:rFonts w:ascii="Times New Roman" w:hAnsi="Times New Roman"/>
          <w:color w:val="000000" w:themeColor="text1"/>
          <w:szCs w:val="24"/>
        </w:rPr>
        <w:t>单井约</w:t>
      </w:r>
      <w:r w:rsidR="003B1968" w:rsidRPr="00092862">
        <w:rPr>
          <w:rFonts w:ascii="Times New Roman" w:hAnsi="Times New Roman"/>
          <w:color w:val="000000" w:themeColor="text1"/>
          <w:szCs w:val="24"/>
        </w:rPr>
        <w:t>2~5</w:t>
      </w:r>
      <w:r w:rsidR="003B1968" w:rsidRPr="00092862">
        <w:rPr>
          <w:rFonts w:ascii="Times New Roman" w:hAnsi="Times New Roman"/>
          <w:color w:val="000000" w:themeColor="text1"/>
          <w:szCs w:val="24"/>
        </w:rPr>
        <w:t>天完成压裂作业</w:t>
      </w:r>
      <w:r w:rsidR="005A3B78" w:rsidRPr="00092862">
        <w:rPr>
          <w:rFonts w:ascii="Times New Roman" w:hAnsi="Times New Roman"/>
          <w:color w:val="000000" w:themeColor="text1"/>
          <w:szCs w:val="24"/>
        </w:rPr>
        <w:t>，</w:t>
      </w:r>
      <w:r w:rsidR="003B1968" w:rsidRPr="00092862">
        <w:rPr>
          <w:rFonts w:ascii="Times New Roman" w:hAnsi="Times New Roman"/>
          <w:color w:val="000000" w:themeColor="text1"/>
          <w:szCs w:val="24"/>
        </w:rPr>
        <w:t>压裂施工不是连续施工，噪声产生也不是连续的，随着压裂作业的结束，噪声影响也消失。因此，压裂作业噪声影响是短暂的，对周围居民影响是可接受的。</w:t>
      </w:r>
    </w:p>
    <w:p w14:paraId="6D36A563" w14:textId="77777777" w:rsidR="00DC446C" w:rsidRPr="00092862" w:rsidRDefault="003B1968" w:rsidP="003D2EEB">
      <w:pPr>
        <w:pStyle w:val="2SLCON2"/>
        <w:adjustRightInd w:val="0"/>
        <w:snapToGrid w:val="0"/>
        <w:ind w:firstLine="482"/>
        <w:rPr>
          <w:rFonts w:ascii="Times New Roman" w:hAnsi="Times New Roman" w:cs="Times New Roman"/>
          <w:b/>
          <w:color w:val="000000" w:themeColor="text1"/>
          <w:lang w:eastAsia="zh-CN"/>
        </w:rPr>
      </w:pPr>
      <w:r w:rsidRPr="00092862">
        <w:rPr>
          <w:rFonts w:ascii="Times New Roman" w:hAnsi="Times New Roman" w:cs="Times New Roman"/>
          <w:b/>
          <w:color w:val="000000" w:themeColor="text1"/>
          <w:lang w:eastAsia="zh-CN"/>
        </w:rPr>
        <w:t>（</w:t>
      </w:r>
      <w:r w:rsidRPr="00092862">
        <w:rPr>
          <w:rFonts w:ascii="Times New Roman" w:hAnsi="Times New Roman" w:cs="Times New Roman"/>
          <w:b/>
          <w:color w:val="000000" w:themeColor="text1"/>
          <w:lang w:eastAsia="zh-CN"/>
        </w:rPr>
        <w:t>5</w:t>
      </w:r>
      <w:r w:rsidRPr="00092862">
        <w:rPr>
          <w:rFonts w:ascii="Times New Roman" w:hAnsi="Times New Roman" w:cs="Times New Roman"/>
          <w:b/>
          <w:color w:val="000000" w:themeColor="text1"/>
          <w:lang w:eastAsia="zh-CN"/>
        </w:rPr>
        <w:t>）测试放喷噪声环境影响预测及分析</w:t>
      </w:r>
    </w:p>
    <w:p w14:paraId="6473B376" w14:textId="1AC5B210" w:rsidR="00DC446C" w:rsidRPr="00092862" w:rsidRDefault="003B1968" w:rsidP="00C51DC9">
      <w:pPr>
        <w:adjustRightInd w:val="0"/>
        <w:snapToGrid w:val="0"/>
        <w:spacing w:line="360" w:lineRule="auto"/>
        <w:ind w:firstLineChars="200" w:firstLine="480"/>
        <w:rPr>
          <w:rFonts w:ascii="Times New Roman" w:hAnsi="Times New Roman" w:cs="Times New Roman"/>
          <w:color w:val="000000" w:themeColor="text1"/>
          <w:u w:val="single"/>
        </w:rPr>
      </w:pPr>
      <w:r w:rsidRPr="00092862">
        <w:rPr>
          <w:rFonts w:ascii="Times New Roman" w:eastAsia="宋体" w:hAnsi="Times New Roman" w:cs="Times New Roman"/>
          <w:color w:val="000000" w:themeColor="text1"/>
          <w:sz w:val="24"/>
          <w:szCs w:val="24"/>
        </w:rPr>
        <w:t>天然气测试放喷过程的噪声为连续噪声，仅在完井时测试中进行放喷，时间</w:t>
      </w:r>
      <w:r w:rsidR="005A3B78" w:rsidRPr="00092862">
        <w:rPr>
          <w:rFonts w:ascii="Times New Roman" w:eastAsia="宋体" w:hAnsi="Times New Roman" w:cs="Times New Roman"/>
          <w:color w:val="000000" w:themeColor="text1"/>
          <w:sz w:val="24"/>
          <w:szCs w:val="24"/>
        </w:rPr>
        <w:t>约</w:t>
      </w:r>
      <w:r w:rsidRPr="00092862">
        <w:rPr>
          <w:rFonts w:ascii="Times New Roman" w:eastAsia="宋体" w:hAnsi="Times New Roman" w:cs="Times New Roman"/>
          <w:color w:val="000000" w:themeColor="text1"/>
          <w:sz w:val="24"/>
          <w:szCs w:val="24"/>
        </w:rPr>
        <w:t>为</w:t>
      </w:r>
      <w:r w:rsidR="005A3B78"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小时，噪声源强度约为</w:t>
      </w:r>
      <w:r w:rsidRPr="00092862">
        <w:rPr>
          <w:rFonts w:ascii="Times New Roman" w:eastAsia="宋体" w:hAnsi="Times New Roman" w:cs="Times New Roman"/>
          <w:color w:val="000000" w:themeColor="text1"/>
          <w:sz w:val="24"/>
          <w:szCs w:val="24"/>
        </w:rPr>
        <w:t>95-105dB</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）。项目通过在放喷池设置三面建较高的密实的防火墙，可以降低一定的噪声；同时由于测试放喷时间较短，并选择在昼间进行测试，随着测试的结束，噪声影响也消失。</w:t>
      </w:r>
      <w:r w:rsidR="00C51DC9" w:rsidRPr="00092862">
        <w:rPr>
          <w:rFonts w:ascii="Times New Roman" w:eastAsia="宋体" w:hAnsi="Times New Roman" w:cs="Times New Roman"/>
          <w:color w:val="000000" w:themeColor="text1"/>
          <w:sz w:val="24"/>
          <w:szCs w:val="24"/>
        </w:rPr>
        <w:t>同时，根据本项目的测试外围应急疏散方案，放喷测试前组织临时疏散周边居民，</w:t>
      </w:r>
      <w:r w:rsidRPr="00092862">
        <w:rPr>
          <w:rFonts w:ascii="Times New Roman" w:eastAsia="宋体" w:hAnsi="Times New Roman" w:cs="Times New Roman"/>
          <w:color w:val="000000" w:themeColor="text1"/>
          <w:sz w:val="24"/>
          <w:szCs w:val="24"/>
        </w:rPr>
        <w:t>因此，测试放喷噪声影响短暂的，对周围居民影响是可接受的</w:t>
      </w:r>
      <w:r w:rsidRPr="00092862">
        <w:rPr>
          <w:rFonts w:ascii="Times New Roman" w:hAnsi="Times New Roman" w:cs="Times New Roman"/>
          <w:color w:val="000000" w:themeColor="text1"/>
          <w:sz w:val="24"/>
          <w:szCs w:val="24"/>
        </w:rPr>
        <w:t>。</w:t>
      </w:r>
    </w:p>
    <w:p w14:paraId="45B8904E" w14:textId="0F431B3F" w:rsidR="00965A02" w:rsidRPr="00092862" w:rsidRDefault="00573FA1" w:rsidP="00965A02">
      <w:pPr>
        <w:pStyle w:val="af0"/>
        <w:adjustRightInd w:val="0"/>
        <w:snapToGrid w:val="0"/>
        <w:spacing w:line="360" w:lineRule="auto"/>
        <w:ind w:firstLineChars="200" w:firstLine="480"/>
        <w:rPr>
          <w:rFonts w:ascii="Times New Roman" w:eastAsia="黑体" w:hAnsi="Times New Roman"/>
          <w:color w:val="000000" w:themeColor="text1"/>
          <w:szCs w:val="24"/>
        </w:rPr>
      </w:pPr>
      <w:bookmarkStart w:id="204" w:name="5.1.4施工期固体废物环境影响分析"/>
      <w:bookmarkEnd w:id="204"/>
      <w:r w:rsidRPr="00092862">
        <w:rPr>
          <w:rFonts w:ascii="Times New Roman" w:eastAsia="黑体" w:hAnsi="Times New Roman"/>
          <w:color w:val="000000" w:themeColor="text1"/>
          <w:szCs w:val="24"/>
        </w:rPr>
        <w:t>4</w:t>
      </w:r>
      <w:r w:rsidR="00965A02" w:rsidRPr="00092862">
        <w:rPr>
          <w:rFonts w:ascii="Times New Roman" w:eastAsia="黑体" w:hAnsi="Times New Roman"/>
          <w:color w:val="000000" w:themeColor="text1"/>
          <w:szCs w:val="24"/>
        </w:rPr>
        <w:t>、土壤环境影响分析</w:t>
      </w:r>
    </w:p>
    <w:p w14:paraId="5484E364" w14:textId="77777777" w:rsidR="00965A02" w:rsidRPr="00092862" w:rsidRDefault="00965A02" w:rsidP="00965A02">
      <w:pPr>
        <w:pStyle w:val="af0"/>
        <w:adjustRightInd w:val="0"/>
        <w:snapToGrid w:val="0"/>
        <w:spacing w:line="360" w:lineRule="auto"/>
        <w:ind w:firstLineChars="200" w:firstLine="482"/>
        <w:rPr>
          <w:rFonts w:ascii="Times New Roman" w:hAnsi="Times New Roman"/>
          <w:b/>
          <w:color w:val="000000" w:themeColor="text1"/>
          <w:szCs w:val="24"/>
        </w:rPr>
      </w:pPr>
      <w:r w:rsidRPr="00092862">
        <w:rPr>
          <w:rFonts w:ascii="Times New Roman" w:hAnsi="Times New Roman"/>
          <w:b/>
          <w:color w:val="000000" w:themeColor="text1"/>
          <w:szCs w:val="24"/>
        </w:rPr>
        <w:lastRenderedPageBreak/>
        <w:t>（</w:t>
      </w:r>
      <w:r w:rsidRPr="00092862">
        <w:rPr>
          <w:rFonts w:ascii="Times New Roman" w:hAnsi="Times New Roman"/>
          <w:b/>
          <w:color w:val="000000" w:themeColor="text1"/>
          <w:szCs w:val="24"/>
        </w:rPr>
        <w:t>1</w:t>
      </w:r>
      <w:r w:rsidRPr="00092862">
        <w:rPr>
          <w:rFonts w:ascii="Times New Roman" w:hAnsi="Times New Roman"/>
          <w:b/>
          <w:color w:val="000000" w:themeColor="text1"/>
          <w:szCs w:val="24"/>
        </w:rPr>
        <w:t>）土壤环境影响分析</w:t>
      </w:r>
    </w:p>
    <w:p w14:paraId="0914521E" w14:textId="77777777" w:rsidR="00965A02" w:rsidRPr="00092862" w:rsidRDefault="00FB1DF9"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1</w:t>
      </w:r>
      <w:r w:rsidRPr="00092862">
        <w:rPr>
          <w:rFonts w:ascii="Times New Roman" w:hAnsi="Times New Roman"/>
          <w:bCs/>
          <w:color w:val="000000" w:themeColor="text1"/>
          <w:szCs w:val="24"/>
        </w:rPr>
        <w:t>）</w:t>
      </w:r>
      <w:r w:rsidR="00965A02" w:rsidRPr="00092862">
        <w:rPr>
          <w:rFonts w:ascii="Times New Roman" w:hAnsi="Times New Roman"/>
          <w:bCs/>
          <w:color w:val="000000" w:themeColor="text1"/>
          <w:szCs w:val="24"/>
        </w:rPr>
        <w:t>大气污染途径</w:t>
      </w:r>
    </w:p>
    <w:p w14:paraId="6B9EF3C1" w14:textId="77777777"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天然气开发过程中主要的大气污染物有甲烷、</w:t>
      </w:r>
      <w:r w:rsidRPr="00092862">
        <w:rPr>
          <w:rFonts w:ascii="Times New Roman" w:hAnsi="Times New Roman"/>
          <w:bCs/>
          <w:color w:val="000000" w:themeColor="text1"/>
          <w:szCs w:val="24"/>
        </w:rPr>
        <w:t>SO</w:t>
      </w:r>
      <w:r w:rsidR="00FB1DF9" w:rsidRPr="00092862">
        <w:rPr>
          <w:rFonts w:ascii="Times New Roman" w:hAnsi="Times New Roman"/>
          <w:bCs/>
          <w:color w:val="000000" w:themeColor="text1"/>
          <w:szCs w:val="24"/>
          <w:vertAlign w:val="subscript"/>
        </w:rPr>
        <w:t>2</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NOx</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CO</w:t>
      </w:r>
      <w:r w:rsidRPr="00092862">
        <w:rPr>
          <w:rFonts w:ascii="Times New Roman" w:hAnsi="Times New Roman"/>
          <w:bCs/>
          <w:color w:val="000000" w:themeColor="text1"/>
          <w:szCs w:val="24"/>
        </w:rPr>
        <w:t>、颗粒物及挥发性有机物等，主要来源于场地施工机械、柴油发电机、压裂车、放喷燃烧等。大气污染物通过降雨或沉降进入土壤，从而引起土壤污染。</w:t>
      </w:r>
    </w:p>
    <w:p w14:paraId="4BFA2F6B" w14:textId="77777777"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根据对已建天然气项目的调查，通过施工单位严格施工管理，天然气开发过程中周边大气中一般不会出现重金属、挥发性有机物以及</w:t>
      </w:r>
      <w:r w:rsidRPr="00092862">
        <w:rPr>
          <w:rFonts w:ascii="Times New Roman" w:hAnsi="Times New Roman"/>
          <w:bCs/>
          <w:color w:val="000000" w:themeColor="text1"/>
          <w:szCs w:val="24"/>
        </w:rPr>
        <w:t>SO</w:t>
      </w:r>
      <w:r w:rsidR="00FB1DF9" w:rsidRPr="00092862">
        <w:rPr>
          <w:rFonts w:ascii="Times New Roman" w:hAnsi="Times New Roman"/>
          <w:bCs/>
          <w:color w:val="000000" w:themeColor="text1"/>
          <w:szCs w:val="24"/>
          <w:vertAlign w:val="subscript"/>
        </w:rPr>
        <w:t>2</w:t>
      </w:r>
      <w:r w:rsidRPr="00092862">
        <w:rPr>
          <w:rFonts w:ascii="Times New Roman" w:hAnsi="Times New Roman"/>
          <w:bCs/>
          <w:color w:val="000000" w:themeColor="text1"/>
          <w:szCs w:val="24"/>
        </w:rPr>
        <w:t>等酸性氧化物超标的情况，通过大气污染土壤的可能性较小。</w:t>
      </w:r>
    </w:p>
    <w:p w14:paraId="57FA02E5" w14:textId="77777777" w:rsidR="00965A02" w:rsidRPr="00092862" w:rsidRDefault="00FB1DF9"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2</w:t>
      </w:r>
      <w:r w:rsidRPr="00092862">
        <w:rPr>
          <w:rFonts w:ascii="Times New Roman" w:hAnsi="Times New Roman"/>
          <w:bCs/>
          <w:color w:val="000000" w:themeColor="text1"/>
          <w:szCs w:val="24"/>
        </w:rPr>
        <w:t>）</w:t>
      </w:r>
      <w:r w:rsidR="00965A02" w:rsidRPr="00092862">
        <w:rPr>
          <w:rFonts w:ascii="Times New Roman" w:hAnsi="Times New Roman"/>
          <w:bCs/>
          <w:color w:val="000000" w:themeColor="text1"/>
          <w:szCs w:val="24"/>
        </w:rPr>
        <w:t>水污染途径</w:t>
      </w:r>
    </w:p>
    <w:p w14:paraId="2D4E0207" w14:textId="77777777"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本项目井场建设期污染物主要通过地面漫流、垂直入渗途径污染土壤。</w:t>
      </w:r>
    </w:p>
    <w:p w14:paraId="24B0A388" w14:textId="77777777" w:rsidR="00965A02" w:rsidRPr="00092862" w:rsidRDefault="00FB1DF9"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hAnsi="宋体" w:cs="宋体" w:hint="eastAsia"/>
          <w:bCs/>
          <w:color w:val="000000" w:themeColor="text1"/>
          <w:szCs w:val="24"/>
        </w:rPr>
        <w:t>①</w:t>
      </w:r>
      <w:r w:rsidR="00965A02" w:rsidRPr="00092862">
        <w:rPr>
          <w:rFonts w:ascii="Times New Roman" w:hAnsi="Times New Roman"/>
          <w:bCs/>
          <w:color w:val="000000" w:themeColor="text1"/>
          <w:szCs w:val="24"/>
        </w:rPr>
        <w:t>地面漫流</w:t>
      </w:r>
    </w:p>
    <w:p w14:paraId="277E5BD8" w14:textId="7E3E1726"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对于泥浆不落地</w:t>
      </w:r>
      <w:r w:rsidR="00FB1DF9" w:rsidRPr="00092862">
        <w:rPr>
          <w:rFonts w:ascii="Times New Roman" w:hAnsi="Times New Roman"/>
          <w:bCs/>
          <w:color w:val="000000" w:themeColor="text1"/>
          <w:szCs w:val="24"/>
        </w:rPr>
        <w:t>装置</w:t>
      </w:r>
      <w:r w:rsidRPr="00092862">
        <w:rPr>
          <w:rFonts w:ascii="Times New Roman" w:hAnsi="Times New Roman"/>
          <w:bCs/>
          <w:color w:val="000000" w:themeColor="text1"/>
          <w:szCs w:val="24"/>
        </w:rPr>
        <w:t>区及泥浆循环系统、泥浆料台区、</w:t>
      </w:r>
      <w:r w:rsidR="00D25A33" w:rsidRPr="00092862">
        <w:rPr>
          <w:rFonts w:ascii="Times New Roman" w:hAnsi="Times New Roman"/>
          <w:bCs/>
          <w:color w:val="000000" w:themeColor="text1"/>
          <w:szCs w:val="24"/>
        </w:rPr>
        <w:t>储备</w:t>
      </w:r>
      <w:r w:rsidRPr="00092862">
        <w:rPr>
          <w:rFonts w:ascii="Times New Roman" w:hAnsi="Times New Roman"/>
          <w:bCs/>
          <w:color w:val="000000" w:themeColor="text1"/>
          <w:szCs w:val="24"/>
        </w:rPr>
        <w:t>罐区、油罐区、柴油机组区、放喷池等区域，在事故情况和降雨情况下产生的废水会发生地面漫流，进一步污染土壤。</w:t>
      </w:r>
    </w:p>
    <w:p w14:paraId="3596333A" w14:textId="15372BB6" w:rsidR="00FB1DF9"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建设单位对泥浆不落地</w:t>
      </w:r>
      <w:r w:rsidR="00FB1DF9" w:rsidRPr="00092862">
        <w:rPr>
          <w:rFonts w:ascii="Times New Roman" w:hAnsi="Times New Roman"/>
          <w:bCs/>
          <w:color w:val="000000" w:themeColor="text1"/>
          <w:szCs w:val="24"/>
        </w:rPr>
        <w:t>装置区</w:t>
      </w:r>
      <w:r w:rsidRPr="00092862">
        <w:rPr>
          <w:rFonts w:ascii="Times New Roman" w:hAnsi="Times New Roman"/>
          <w:bCs/>
          <w:color w:val="000000" w:themeColor="text1"/>
          <w:szCs w:val="24"/>
        </w:rPr>
        <w:t>及泥浆循环系统、泥浆料台区、</w:t>
      </w:r>
      <w:r w:rsidR="005A3B78" w:rsidRPr="00092862">
        <w:rPr>
          <w:rFonts w:ascii="Times New Roman" w:hAnsi="Times New Roman"/>
          <w:bCs/>
          <w:color w:val="000000" w:themeColor="text1"/>
          <w:szCs w:val="24"/>
        </w:rPr>
        <w:t>储备</w:t>
      </w:r>
      <w:r w:rsidRPr="00092862">
        <w:rPr>
          <w:rFonts w:ascii="Times New Roman" w:hAnsi="Times New Roman"/>
          <w:bCs/>
          <w:color w:val="000000" w:themeColor="text1"/>
          <w:szCs w:val="24"/>
        </w:rPr>
        <w:t>罐区、油罐区、柴油机组区均设置了防雨棚，废油暂存区、</w:t>
      </w:r>
      <w:r w:rsidR="00C41D8D" w:rsidRPr="00092862">
        <w:rPr>
          <w:rFonts w:ascii="Times New Roman" w:hAnsi="Times New Roman"/>
          <w:bCs/>
          <w:color w:val="000000" w:themeColor="text1"/>
          <w:szCs w:val="24"/>
        </w:rPr>
        <w:t>发</w:t>
      </w:r>
      <w:r w:rsidRPr="00092862">
        <w:rPr>
          <w:rFonts w:ascii="Times New Roman" w:hAnsi="Times New Roman"/>
          <w:bCs/>
          <w:color w:val="000000" w:themeColor="text1"/>
          <w:szCs w:val="24"/>
        </w:rPr>
        <w:t>电机均设在活动房内，方井周边、放喷池在雨天加盖篷布，避免暴雨引起废水、废油外溢形成地面漫流。并在废水收集罐周围设置</w:t>
      </w:r>
      <w:r w:rsidRPr="00092862">
        <w:rPr>
          <w:rFonts w:ascii="Times New Roman" w:hAnsi="Times New Roman"/>
          <w:bCs/>
          <w:color w:val="000000" w:themeColor="text1"/>
          <w:szCs w:val="24"/>
        </w:rPr>
        <w:t>0.5m</w:t>
      </w:r>
      <w:r w:rsidRPr="00092862">
        <w:rPr>
          <w:rFonts w:ascii="Times New Roman" w:hAnsi="Times New Roman"/>
          <w:bCs/>
          <w:color w:val="000000" w:themeColor="text1"/>
          <w:szCs w:val="24"/>
        </w:rPr>
        <w:t>高围堰，防止废水外溢；油罐区周围设置</w:t>
      </w:r>
      <w:r w:rsidRPr="00092862">
        <w:rPr>
          <w:rFonts w:ascii="Times New Roman" w:hAnsi="Times New Roman"/>
          <w:bCs/>
          <w:color w:val="000000" w:themeColor="text1"/>
          <w:szCs w:val="24"/>
        </w:rPr>
        <w:t>0.15m</w:t>
      </w:r>
      <w:r w:rsidRPr="00092862">
        <w:rPr>
          <w:rFonts w:ascii="Times New Roman" w:hAnsi="Times New Roman"/>
          <w:bCs/>
          <w:color w:val="000000" w:themeColor="text1"/>
          <w:szCs w:val="24"/>
        </w:rPr>
        <w:t>高围堰及集油池，防止泄露油料外溢；放喷池最低面墙设置不低于</w:t>
      </w:r>
      <w:r w:rsidRPr="00092862">
        <w:rPr>
          <w:rFonts w:ascii="Times New Roman" w:hAnsi="Times New Roman"/>
          <w:bCs/>
          <w:color w:val="000000" w:themeColor="text1"/>
          <w:szCs w:val="24"/>
        </w:rPr>
        <w:t>0.5m</w:t>
      </w:r>
      <w:r w:rsidRPr="00092862">
        <w:rPr>
          <w:rFonts w:ascii="Times New Roman" w:hAnsi="Times New Roman"/>
          <w:bCs/>
          <w:color w:val="000000" w:themeColor="text1"/>
          <w:szCs w:val="24"/>
        </w:rPr>
        <w:t>，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14:paraId="5E381607" w14:textId="77777777"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在全面落实污染防控措施的情况下，污染物的地面漫流对土壤影响较小。</w:t>
      </w:r>
    </w:p>
    <w:p w14:paraId="28B20235" w14:textId="77777777" w:rsidR="00965A02" w:rsidRPr="00092862" w:rsidRDefault="00FB1DF9"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hAnsi="宋体" w:cs="宋体" w:hint="eastAsia"/>
          <w:bCs/>
          <w:color w:val="000000" w:themeColor="text1"/>
          <w:szCs w:val="24"/>
        </w:rPr>
        <w:t>②</w:t>
      </w:r>
      <w:r w:rsidR="00965A02" w:rsidRPr="00092862">
        <w:rPr>
          <w:rFonts w:ascii="Times New Roman" w:hAnsi="Times New Roman"/>
          <w:bCs/>
          <w:color w:val="000000" w:themeColor="text1"/>
          <w:szCs w:val="24"/>
        </w:rPr>
        <w:t>垂直入渗</w:t>
      </w:r>
    </w:p>
    <w:p w14:paraId="500B61CD" w14:textId="4E42967C"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对于泥浆不落地</w:t>
      </w:r>
      <w:r w:rsidR="00FB1DF9" w:rsidRPr="00092862">
        <w:rPr>
          <w:rFonts w:ascii="Times New Roman" w:hAnsi="Times New Roman"/>
          <w:bCs/>
          <w:color w:val="000000" w:themeColor="text1"/>
          <w:szCs w:val="24"/>
        </w:rPr>
        <w:t>装置区</w:t>
      </w:r>
      <w:r w:rsidRPr="00092862">
        <w:rPr>
          <w:rFonts w:ascii="Times New Roman" w:hAnsi="Times New Roman"/>
          <w:bCs/>
          <w:color w:val="000000" w:themeColor="text1"/>
          <w:szCs w:val="24"/>
        </w:rPr>
        <w:t>及泥浆循环系统、泥浆料台区、</w:t>
      </w:r>
      <w:r w:rsidR="00D25A33" w:rsidRPr="00092862">
        <w:rPr>
          <w:rFonts w:ascii="Times New Roman" w:hAnsi="Times New Roman"/>
          <w:bCs/>
          <w:color w:val="000000" w:themeColor="text1"/>
          <w:szCs w:val="24"/>
        </w:rPr>
        <w:t>储备</w:t>
      </w:r>
      <w:r w:rsidRPr="00092862">
        <w:rPr>
          <w:rFonts w:ascii="Times New Roman" w:hAnsi="Times New Roman"/>
          <w:bCs/>
          <w:color w:val="000000" w:themeColor="text1"/>
          <w:szCs w:val="24"/>
        </w:rPr>
        <w:t>罐区、油罐区、放喷池、方井周边、</w:t>
      </w:r>
      <w:r w:rsidR="0014729F" w:rsidRPr="00092862">
        <w:rPr>
          <w:rFonts w:ascii="Times New Roman" w:hAnsi="Times New Roman"/>
          <w:color w:val="000000" w:themeColor="text1"/>
          <w:szCs w:val="24"/>
        </w:rPr>
        <w:t>钻井固废暂存区</w:t>
      </w:r>
      <w:r w:rsidRPr="00092862">
        <w:rPr>
          <w:rFonts w:ascii="Times New Roman" w:hAnsi="Times New Roman"/>
          <w:bCs/>
          <w:color w:val="000000" w:themeColor="text1"/>
          <w:szCs w:val="24"/>
        </w:rPr>
        <w:t>、发电机房、柴油机组区等区域，在事故情况下会造成污染物的泄露，通过垂直入渗途径污染土壤。</w:t>
      </w:r>
    </w:p>
    <w:p w14:paraId="5FB3D84D" w14:textId="646FB056" w:rsidR="00965A02" w:rsidRPr="00092862" w:rsidRDefault="00965A02" w:rsidP="00965A02">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szCs w:val="24"/>
        </w:rPr>
        <w:t>本项目井场采取分区防渗措施，</w:t>
      </w:r>
      <w:r w:rsidR="00EA4054" w:rsidRPr="00092862">
        <w:rPr>
          <w:rFonts w:ascii="Times New Roman" w:hAnsi="Times New Roman"/>
          <w:color w:val="000000" w:themeColor="text1"/>
          <w:szCs w:val="24"/>
        </w:rPr>
        <w:t>场地内场地内方井、泥浆循环系统区域、泥浆不落地系统区域（含油桶堆放区）、泥浆储备罐区、循环罐区、柴油罐区、</w:t>
      </w:r>
      <w:r w:rsidR="00EA4054" w:rsidRPr="00092862">
        <w:rPr>
          <w:rFonts w:ascii="Times New Roman" w:hAnsi="Times New Roman"/>
          <w:color w:val="000000" w:themeColor="text1"/>
          <w:szCs w:val="24"/>
        </w:rPr>
        <w:lastRenderedPageBreak/>
        <w:t>放喷池、</w:t>
      </w:r>
      <w:r w:rsidR="00D774F2" w:rsidRPr="00092862">
        <w:rPr>
          <w:rFonts w:ascii="Times New Roman" w:hAnsi="Times New Roman"/>
          <w:color w:val="000000" w:themeColor="text1"/>
          <w:szCs w:val="24"/>
        </w:rPr>
        <w:t>污水池</w:t>
      </w:r>
      <w:r w:rsidR="00006D9D" w:rsidRPr="00092862">
        <w:rPr>
          <w:rFonts w:ascii="Times New Roman" w:hAnsi="Times New Roman"/>
          <w:color w:val="000000" w:themeColor="text1"/>
          <w:szCs w:val="24"/>
        </w:rPr>
        <w:t>、埋地管道</w:t>
      </w:r>
      <w:r w:rsidR="00EA4054" w:rsidRPr="00092862">
        <w:rPr>
          <w:rFonts w:ascii="Times New Roman" w:hAnsi="Times New Roman"/>
          <w:color w:val="000000" w:themeColor="text1"/>
          <w:szCs w:val="24"/>
        </w:rPr>
        <w:t>等采取重点防渗措施；</w:t>
      </w:r>
      <w:r w:rsidR="0017502F" w:rsidRPr="00092862">
        <w:rPr>
          <w:rFonts w:ascii="Times New Roman" w:hAnsi="Times New Roman"/>
          <w:color w:val="000000" w:themeColor="text1"/>
          <w:szCs w:val="24"/>
        </w:rPr>
        <w:t>井架基础、发电机房、钻井固废暂存区、气源房、材料棚、雨、污分流区域以及厕所等区域采取一般防渗措施</w:t>
      </w:r>
      <w:r w:rsidR="00EA4054" w:rsidRPr="00092862">
        <w:rPr>
          <w:rFonts w:ascii="Times New Roman" w:hAnsi="Times New Roman"/>
          <w:color w:val="000000" w:themeColor="text1"/>
          <w:szCs w:val="24"/>
        </w:rPr>
        <w:t>；其他区域等采取简单防渗措施</w:t>
      </w:r>
      <w:r w:rsidRPr="00092862">
        <w:rPr>
          <w:rFonts w:ascii="Times New Roman" w:hAnsi="Times New Roman"/>
          <w:bCs/>
          <w:color w:val="000000" w:themeColor="text1"/>
          <w:szCs w:val="24"/>
        </w:rPr>
        <w:t>。在全面落实分区防渗措施的情况下，污染物的垂直入渗对土壤影响较小。</w:t>
      </w:r>
    </w:p>
    <w:p w14:paraId="117DF238" w14:textId="77777777" w:rsidR="00FB1DF9" w:rsidRPr="00092862" w:rsidRDefault="00FB1DF9" w:rsidP="00965A02">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hAnsi="宋体" w:cs="宋体" w:hint="eastAsia"/>
          <w:color w:val="000000" w:themeColor="text1"/>
          <w:szCs w:val="24"/>
        </w:rPr>
        <w:t>③</w:t>
      </w:r>
      <w:r w:rsidRPr="00092862">
        <w:rPr>
          <w:rFonts w:ascii="Times New Roman" w:hAnsi="Times New Roman"/>
          <w:color w:val="000000" w:themeColor="text1"/>
          <w:szCs w:val="24"/>
        </w:rPr>
        <w:t>钻井液漏失进入土壤</w:t>
      </w:r>
    </w:p>
    <w:p w14:paraId="27C20591" w14:textId="7CBCA4C9" w:rsidR="00FB1DF9" w:rsidRPr="00092862" w:rsidRDefault="00FB1DF9" w:rsidP="00965A02">
      <w:pPr>
        <w:pStyle w:val="af0"/>
        <w:adjustRightInd w:val="0"/>
        <w:snapToGrid w:val="0"/>
        <w:spacing w:line="360" w:lineRule="auto"/>
        <w:ind w:firstLineChars="200" w:firstLine="480"/>
        <w:rPr>
          <w:rFonts w:ascii="Times New Roman" w:hAnsi="Times New Roman"/>
          <w:b/>
          <w:color w:val="000000" w:themeColor="text1"/>
          <w:szCs w:val="24"/>
        </w:rPr>
      </w:pPr>
      <w:r w:rsidRPr="00092862">
        <w:rPr>
          <w:rFonts w:ascii="Times New Roman" w:hAnsi="Times New Roman"/>
          <w:color w:val="000000" w:themeColor="text1"/>
          <w:szCs w:val="24"/>
        </w:rPr>
        <w:t>钻井选用全井段套管保护</w:t>
      </w:r>
      <w:r w:rsidRPr="00092862">
        <w:rPr>
          <w:rFonts w:ascii="Times New Roman" w:hAnsi="Times New Roman"/>
          <w:color w:val="000000" w:themeColor="text1"/>
          <w:szCs w:val="24"/>
        </w:rPr>
        <w:t>+</w:t>
      </w:r>
      <w:r w:rsidRPr="00092862">
        <w:rPr>
          <w:rFonts w:ascii="Times New Roman" w:hAnsi="Times New Roman"/>
          <w:color w:val="000000" w:themeColor="text1"/>
          <w:szCs w:val="24"/>
        </w:rPr>
        <w:t>水泥固井工艺，</w:t>
      </w:r>
      <w:r w:rsidR="00661B79" w:rsidRPr="00092862">
        <w:rPr>
          <w:rFonts w:ascii="Times New Roman" w:hAnsi="Times New Roman"/>
          <w:color w:val="000000" w:themeColor="text1"/>
          <w:szCs w:val="24"/>
        </w:rPr>
        <w:t>本项目仅</w:t>
      </w:r>
      <w:r w:rsidRPr="00092862">
        <w:rPr>
          <w:rFonts w:ascii="Times New Roman" w:hAnsi="Times New Roman"/>
          <w:color w:val="000000" w:themeColor="text1"/>
          <w:szCs w:val="24"/>
        </w:rPr>
        <w:t>采用套管和水泥固井防止地下水污染，并在设计中做好及时堵漏准备，防止泥浆流失进入地下水或土壤环境。因此在</w:t>
      </w:r>
      <w:r w:rsidR="00404795" w:rsidRPr="00092862">
        <w:rPr>
          <w:rFonts w:ascii="Times New Roman" w:hAnsi="Times New Roman"/>
          <w:color w:val="000000" w:themeColor="text1"/>
          <w:szCs w:val="24"/>
        </w:rPr>
        <w:t>采取</w:t>
      </w:r>
      <w:r w:rsidRPr="00092862">
        <w:rPr>
          <w:rFonts w:ascii="Times New Roman" w:hAnsi="Times New Roman"/>
          <w:color w:val="000000" w:themeColor="text1"/>
          <w:szCs w:val="24"/>
        </w:rPr>
        <w:t>措施后，钻井液漏失进入土壤环境可能性很小</w:t>
      </w:r>
      <w:r w:rsidR="00661B79" w:rsidRPr="00092862">
        <w:rPr>
          <w:rFonts w:ascii="Times New Roman" w:hAnsi="Times New Roman"/>
          <w:color w:val="000000" w:themeColor="text1"/>
          <w:szCs w:val="24"/>
        </w:rPr>
        <w:t>。</w:t>
      </w:r>
    </w:p>
    <w:p w14:paraId="595C607E" w14:textId="77777777" w:rsidR="00965A02" w:rsidRPr="00092862" w:rsidRDefault="00965A02" w:rsidP="00965A02">
      <w:pPr>
        <w:pStyle w:val="af0"/>
        <w:adjustRightInd w:val="0"/>
        <w:snapToGrid w:val="0"/>
        <w:spacing w:line="360" w:lineRule="auto"/>
        <w:ind w:firstLineChars="200" w:firstLine="482"/>
        <w:rPr>
          <w:rFonts w:ascii="Times New Roman" w:hAnsi="Times New Roman"/>
          <w:b/>
          <w:color w:val="000000" w:themeColor="text1"/>
          <w:szCs w:val="24"/>
        </w:rPr>
      </w:pPr>
      <w:r w:rsidRPr="00092862">
        <w:rPr>
          <w:rFonts w:ascii="Times New Roman" w:hAnsi="Times New Roman"/>
          <w:b/>
          <w:color w:val="000000" w:themeColor="text1"/>
          <w:szCs w:val="24"/>
        </w:rPr>
        <w:t>（</w:t>
      </w:r>
      <w:r w:rsidRPr="00092862">
        <w:rPr>
          <w:rFonts w:ascii="Times New Roman" w:hAnsi="Times New Roman"/>
          <w:b/>
          <w:color w:val="000000" w:themeColor="text1"/>
          <w:szCs w:val="24"/>
        </w:rPr>
        <w:t>2</w:t>
      </w:r>
      <w:r w:rsidRPr="00092862">
        <w:rPr>
          <w:rFonts w:ascii="Times New Roman" w:hAnsi="Times New Roman"/>
          <w:b/>
          <w:color w:val="000000" w:themeColor="text1"/>
          <w:szCs w:val="24"/>
        </w:rPr>
        <w:t>）土壤环境影响</w:t>
      </w:r>
      <w:r w:rsidR="00FB1DF9" w:rsidRPr="00092862">
        <w:rPr>
          <w:rFonts w:ascii="Times New Roman" w:hAnsi="Times New Roman"/>
          <w:b/>
          <w:color w:val="000000" w:themeColor="text1"/>
          <w:szCs w:val="24"/>
        </w:rPr>
        <w:t>预测与</w:t>
      </w:r>
      <w:r w:rsidRPr="00092862">
        <w:rPr>
          <w:rFonts w:ascii="Times New Roman" w:hAnsi="Times New Roman"/>
          <w:b/>
          <w:color w:val="000000" w:themeColor="text1"/>
          <w:szCs w:val="24"/>
        </w:rPr>
        <w:t>评价</w:t>
      </w:r>
    </w:p>
    <w:p w14:paraId="47EEB34A" w14:textId="776B6137" w:rsidR="0035419D" w:rsidRPr="00092862" w:rsidRDefault="00404795" w:rsidP="007D49D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本项目</w:t>
      </w:r>
      <w:r w:rsidR="008C6DFA" w:rsidRPr="00092862">
        <w:rPr>
          <w:rFonts w:ascii="Times New Roman" w:hAnsi="Times New Roman"/>
          <w:color w:val="000000" w:themeColor="text1"/>
          <w:szCs w:val="24"/>
        </w:rPr>
        <w:t>新增占地</w:t>
      </w:r>
      <w:r w:rsidR="009C4CA7" w:rsidRPr="00092862">
        <w:rPr>
          <w:rFonts w:ascii="Times New Roman" w:hAnsi="Times New Roman"/>
          <w:color w:val="000000" w:themeColor="text1"/>
          <w:szCs w:val="24"/>
        </w:rPr>
        <w:t>进行</w:t>
      </w:r>
      <w:r w:rsidRPr="00092862">
        <w:rPr>
          <w:rFonts w:ascii="Times New Roman" w:hAnsi="Times New Roman"/>
          <w:color w:val="000000" w:themeColor="text1"/>
          <w:szCs w:val="24"/>
        </w:rPr>
        <w:t>建设，项目施工期时间短、工程量小，施工占地范围小，对土壤环境的扰动范围很小。本次土壤环境影响评价</w:t>
      </w:r>
      <w:r w:rsidR="007B0218" w:rsidRPr="00092862">
        <w:rPr>
          <w:rFonts w:ascii="Times New Roman" w:hAnsi="Times New Roman"/>
          <w:color w:val="000000" w:themeColor="text1"/>
          <w:szCs w:val="24"/>
        </w:rPr>
        <w:t>采用本项目平台内监测数据</w:t>
      </w:r>
      <w:r w:rsidRPr="00092862">
        <w:rPr>
          <w:rFonts w:ascii="Times New Roman" w:hAnsi="Times New Roman"/>
          <w:color w:val="000000" w:themeColor="text1"/>
          <w:szCs w:val="24"/>
        </w:rPr>
        <w:t>进行分析</w:t>
      </w:r>
      <w:r w:rsidR="007B0218" w:rsidRPr="00092862">
        <w:rPr>
          <w:rFonts w:ascii="Times New Roman" w:hAnsi="Times New Roman"/>
          <w:color w:val="000000" w:themeColor="text1"/>
          <w:szCs w:val="24"/>
        </w:rPr>
        <w:t>（本项目</w:t>
      </w:r>
      <w:r w:rsidR="004D07D0" w:rsidRPr="00092862">
        <w:rPr>
          <w:rFonts w:ascii="Times New Roman" w:hAnsi="Times New Roman"/>
          <w:color w:val="000000" w:themeColor="text1"/>
          <w:szCs w:val="24"/>
        </w:rPr>
        <w:t>原老君</w:t>
      </w:r>
      <w:r w:rsidR="004D07D0" w:rsidRPr="00092862">
        <w:rPr>
          <w:rFonts w:ascii="Times New Roman" w:hAnsi="Times New Roman"/>
          <w:color w:val="000000" w:themeColor="text1"/>
          <w:szCs w:val="24"/>
        </w:rPr>
        <w:t>701</w:t>
      </w:r>
      <w:r w:rsidR="004D07D0" w:rsidRPr="00092862">
        <w:rPr>
          <w:rFonts w:ascii="Times New Roman" w:hAnsi="Times New Roman"/>
          <w:color w:val="000000" w:themeColor="text1"/>
          <w:szCs w:val="24"/>
        </w:rPr>
        <w:t>集气站旁</w:t>
      </w:r>
      <w:r w:rsidR="007B0218" w:rsidRPr="00092862">
        <w:rPr>
          <w:rFonts w:ascii="Times New Roman" w:hAnsi="Times New Roman"/>
          <w:color w:val="000000" w:themeColor="text1"/>
          <w:szCs w:val="24"/>
        </w:rPr>
        <w:t>涉及</w:t>
      </w:r>
      <w:r w:rsidR="00804740" w:rsidRPr="00092862">
        <w:rPr>
          <w:rFonts w:ascii="Times New Roman" w:hAnsi="Times New Roman"/>
          <w:color w:val="000000" w:themeColor="text1"/>
          <w:szCs w:val="24"/>
        </w:rPr>
        <w:t>施工</w:t>
      </w:r>
      <w:r w:rsidR="007B0218" w:rsidRPr="00092862">
        <w:rPr>
          <w:rFonts w:ascii="Times New Roman" w:hAnsi="Times New Roman"/>
          <w:color w:val="000000" w:themeColor="text1"/>
          <w:szCs w:val="24"/>
        </w:rPr>
        <w:t>钻井期</w:t>
      </w:r>
      <w:r w:rsidR="00804740" w:rsidRPr="00092862">
        <w:rPr>
          <w:rFonts w:ascii="Times New Roman" w:hAnsi="Times New Roman"/>
          <w:color w:val="000000" w:themeColor="text1"/>
          <w:szCs w:val="24"/>
        </w:rPr>
        <w:t>与运营采气期</w:t>
      </w:r>
      <w:r w:rsidR="003B039B" w:rsidRPr="00092862">
        <w:rPr>
          <w:rFonts w:ascii="Times New Roman" w:hAnsi="Times New Roman"/>
          <w:color w:val="000000" w:themeColor="text1"/>
          <w:szCs w:val="24"/>
        </w:rPr>
        <w:t>，因此具有可比性</w:t>
      </w:r>
      <w:r w:rsidR="007B0218" w:rsidRPr="00092862">
        <w:rPr>
          <w:rFonts w:ascii="Times New Roman" w:hAnsi="Times New Roman"/>
          <w:color w:val="000000" w:themeColor="text1"/>
          <w:szCs w:val="24"/>
        </w:rPr>
        <w:t>）</w:t>
      </w:r>
      <w:r w:rsidRPr="00092862">
        <w:rPr>
          <w:rFonts w:ascii="Times New Roman" w:hAnsi="Times New Roman"/>
          <w:color w:val="000000" w:themeColor="text1"/>
          <w:szCs w:val="24"/>
        </w:rPr>
        <w:t>。</w:t>
      </w:r>
    </w:p>
    <w:p w14:paraId="34540830" w14:textId="5C3014CD" w:rsidR="007856EF" w:rsidRPr="00092862" w:rsidRDefault="00404795" w:rsidP="003B039B">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根据</w:t>
      </w:r>
      <w:r w:rsidR="003B039B" w:rsidRPr="00092862">
        <w:rPr>
          <w:rFonts w:ascii="Times New Roman" w:hAnsi="Times New Roman"/>
          <w:color w:val="000000" w:themeColor="text1"/>
          <w:szCs w:val="24"/>
        </w:rPr>
        <w:t>前文</w:t>
      </w:r>
      <w:r w:rsidRPr="00092862">
        <w:rPr>
          <w:rFonts w:ascii="Times New Roman" w:hAnsi="Times New Roman"/>
          <w:color w:val="000000" w:themeColor="text1"/>
          <w:szCs w:val="24"/>
        </w:rPr>
        <w:t>土壤环境现状监测数据，在已钻井施工完成的</w:t>
      </w:r>
      <w:r w:rsidR="003C3238" w:rsidRPr="00092862">
        <w:rPr>
          <w:rFonts w:ascii="Times New Roman" w:hAnsi="Times New Roman"/>
          <w:color w:val="000000" w:themeColor="text1"/>
          <w:szCs w:val="24"/>
        </w:rPr>
        <w:t>老君</w:t>
      </w:r>
      <w:r w:rsidR="003C3238" w:rsidRPr="00092862">
        <w:rPr>
          <w:rFonts w:ascii="Times New Roman" w:hAnsi="Times New Roman"/>
          <w:color w:val="000000" w:themeColor="text1"/>
          <w:szCs w:val="24"/>
        </w:rPr>
        <w:t>701</w:t>
      </w:r>
      <w:r w:rsidR="00804740" w:rsidRPr="00092862">
        <w:rPr>
          <w:rFonts w:ascii="Times New Roman" w:hAnsi="Times New Roman"/>
          <w:color w:val="000000" w:themeColor="text1"/>
          <w:szCs w:val="24"/>
        </w:rPr>
        <w:t>集气站</w:t>
      </w:r>
      <w:r w:rsidR="008C6DFA" w:rsidRPr="00092862">
        <w:rPr>
          <w:rFonts w:ascii="Times New Roman" w:hAnsi="Times New Roman"/>
          <w:color w:val="000000" w:themeColor="text1"/>
          <w:szCs w:val="24"/>
        </w:rPr>
        <w:t>旁布设了</w:t>
      </w:r>
      <w:r w:rsidR="008C6DFA" w:rsidRPr="00092862">
        <w:rPr>
          <w:rFonts w:ascii="Times New Roman" w:hAnsi="Times New Roman"/>
          <w:color w:val="000000" w:themeColor="text1"/>
          <w:szCs w:val="24"/>
        </w:rPr>
        <w:t>6</w:t>
      </w:r>
      <w:r w:rsidR="008C6DFA" w:rsidRPr="00092862">
        <w:rPr>
          <w:rFonts w:ascii="Times New Roman" w:hAnsi="Times New Roman"/>
          <w:color w:val="000000" w:themeColor="text1"/>
          <w:szCs w:val="24"/>
        </w:rPr>
        <w:t>个土壤监测点，其中新建井场内</w:t>
      </w:r>
      <w:r w:rsidRPr="00092862">
        <w:rPr>
          <w:rFonts w:ascii="Times New Roman" w:hAnsi="Times New Roman"/>
          <w:color w:val="000000" w:themeColor="text1"/>
          <w:szCs w:val="24"/>
        </w:rPr>
        <w:t>布置</w:t>
      </w:r>
      <w:r w:rsidRPr="00092862">
        <w:rPr>
          <w:rFonts w:ascii="Times New Roman" w:hAnsi="Times New Roman"/>
          <w:color w:val="000000" w:themeColor="text1"/>
          <w:szCs w:val="24"/>
        </w:rPr>
        <w:t>1</w:t>
      </w:r>
      <w:r w:rsidRPr="00092862">
        <w:rPr>
          <w:rFonts w:ascii="Times New Roman" w:hAnsi="Times New Roman"/>
          <w:color w:val="000000" w:themeColor="text1"/>
          <w:szCs w:val="24"/>
        </w:rPr>
        <w:t>个表层样点，</w:t>
      </w:r>
      <w:r w:rsidRPr="00092862">
        <w:rPr>
          <w:rFonts w:ascii="Times New Roman" w:hAnsi="Times New Roman"/>
          <w:color w:val="000000" w:themeColor="text1"/>
          <w:szCs w:val="24"/>
        </w:rPr>
        <w:t>3</w:t>
      </w:r>
      <w:r w:rsidRPr="00092862">
        <w:rPr>
          <w:rFonts w:ascii="Times New Roman" w:hAnsi="Times New Roman"/>
          <w:color w:val="000000" w:themeColor="text1"/>
          <w:szCs w:val="24"/>
        </w:rPr>
        <w:t>个柱状样点，井场外布置</w:t>
      </w:r>
      <w:r w:rsidRPr="00092862">
        <w:rPr>
          <w:rFonts w:ascii="Times New Roman" w:hAnsi="Times New Roman"/>
          <w:color w:val="000000" w:themeColor="text1"/>
          <w:szCs w:val="24"/>
        </w:rPr>
        <w:t>2</w:t>
      </w:r>
      <w:r w:rsidRPr="00092862">
        <w:rPr>
          <w:rFonts w:ascii="Times New Roman" w:hAnsi="Times New Roman"/>
          <w:color w:val="000000" w:themeColor="text1"/>
          <w:szCs w:val="24"/>
        </w:rPr>
        <w:t>个表层样点，各监测指标均满足</w:t>
      </w:r>
      <w:r w:rsidRPr="00092862">
        <w:rPr>
          <w:rFonts w:ascii="Times New Roman" w:hAnsi="Times New Roman"/>
          <w:bCs/>
          <w:color w:val="000000" w:themeColor="text1"/>
          <w:szCs w:val="24"/>
        </w:rPr>
        <w:t>《土壤环境质量</w:t>
      </w:r>
      <w:r w:rsidRPr="00092862">
        <w:rPr>
          <w:rFonts w:ascii="Times New Roman" w:hAnsi="Times New Roman"/>
          <w:bCs/>
          <w:color w:val="000000" w:themeColor="text1"/>
          <w:szCs w:val="24"/>
        </w:rPr>
        <w:t xml:space="preserve"> </w:t>
      </w:r>
      <w:r w:rsidRPr="00092862">
        <w:rPr>
          <w:rFonts w:ascii="Times New Roman" w:hAnsi="Times New Roman"/>
          <w:bCs/>
          <w:color w:val="000000" w:themeColor="text1"/>
          <w:szCs w:val="24"/>
        </w:rPr>
        <w:t>建设用地土壤污染风险管控标准（试行）</w:t>
      </w:r>
      <w:r w:rsidRPr="00092862">
        <w:rPr>
          <w:rFonts w:ascii="Times New Roman" w:hAnsi="Times New Roman"/>
          <w:bCs/>
          <w:color w:val="000000" w:themeColor="text1"/>
          <w:szCs w:val="24"/>
        </w:rPr>
        <w:t>(GB36600—2018)</w:t>
      </w:r>
      <w:r w:rsidRPr="00092862">
        <w:rPr>
          <w:rFonts w:ascii="Times New Roman" w:hAnsi="Times New Roman"/>
          <w:bCs/>
          <w:color w:val="000000" w:themeColor="text1"/>
          <w:szCs w:val="24"/>
        </w:rPr>
        <w:t>》第二类用地筛选值和《土壤环境质量</w:t>
      </w:r>
      <w:r w:rsidRPr="00092862">
        <w:rPr>
          <w:rFonts w:ascii="Times New Roman" w:hAnsi="Times New Roman"/>
          <w:bCs/>
          <w:color w:val="000000" w:themeColor="text1"/>
          <w:szCs w:val="24"/>
        </w:rPr>
        <w:t xml:space="preserve"> </w:t>
      </w:r>
      <w:r w:rsidRPr="00092862">
        <w:rPr>
          <w:rFonts w:ascii="Times New Roman" w:hAnsi="Times New Roman"/>
          <w:bCs/>
          <w:color w:val="000000" w:themeColor="text1"/>
          <w:szCs w:val="24"/>
        </w:rPr>
        <w:t>农用地土壤污染风险管控标准（试行）</w:t>
      </w:r>
      <w:r w:rsidRPr="00092862">
        <w:rPr>
          <w:rFonts w:ascii="Times New Roman" w:hAnsi="Times New Roman"/>
          <w:bCs/>
          <w:color w:val="000000" w:themeColor="text1"/>
          <w:szCs w:val="24"/>
        </w:rPr>
        <w:t>(GB15618—2018)</w:t>
      </w:r>
      <w:r w:rsidRPr="00092862">
        <w:rPr>
          <w:rFonts w:ascii="Times New Roman" w:hAnsi="Times New Roman"/>
          <w:bCs/>
          <w:color w:val="000000" w:themeColor="text1"/>
          <w:szCs w:val="24"/>
        </w:rPr>
        <w:t>》中</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其他</w:t>
      </w:r>
      <w:r w:rsidRPr="00092862">
        <w:rPr>
          <w:rFonts w:ascii="Times New Roman" w:hAnsi="Times New Roman"/>
          <w:bCs/>
          <w:color w:val="000000" w:themeColor="text1"/>
          <w:szCs w:val="24"/>
        </w:rPr>
        <w:t>”</w:t>
      </w:r>
      <w:r w:rsidRPr="00092862">
        <w:rPr>
          <w:rFonts w:ascii="Times New Roman" w:hAnsi="Times New Roman"/>
          <w:bCs/>
          <w:color w:val="000000" w:themeColor="text1"/>
          <w:szCs w:val="24"/>
        </w:rPr>
        <w:t>用地类型筛选值，特征因子石油烃满足参考的《土壤环境质量</w:t>
      </w:r>
      <w:r w:rsidRPr="00092862">
        <w:rPr>
          <w:rFonts w:ascii="Times New Roman" w:hAnsi="Times New Roman"/>
          <w:bCs/>
          <w:color w:val="000000" w:themeColor="text1"/>
          <w:szCs w:val="24"/>
        </w:rPr>
        <w:t xml:space="preserve"> </w:t>
      </w:r>
      <w:r w:rsidRPr="00092862">
        <w:rPr>
          <w:rFonts w:ascii="Times New Roman" w:hAnsi="Times New Roman"/>
          <w:bCs/>
          <w:color w:val="000000" w:themeColor="text1"/>
          <w:szCs w:val="24"/>
        </w:rPr>
        <w:t>建设用地土壤污染风险管控标准（试行）</w:t>
      </w:r>
      <w:r w:rsidRPr="00092862">
        <w:rPr>
          <w:rFonts w:ascii="Times New Roman" w:hAnsi="Times New Roman"/>
          <w:bCs/>
          <w:color w:val="000000" w:themeColor="text1"/>
          <w:szCs w:val="24"/>
        </w:rPr>
        <w:t>(GB36600—2018)</w:t>
      </w:r>
      <w:r w:rsidRPr="00092862">
        <w:rPr>
          <w:rFonts w:ascii="Times New Roman" w:hAnsi="Times New Roman"/>
          <w:bCs/>
          <w:color w:val="000000" w:themeColor="text1"/>
          <w:szCs w:val="24"/>
        </w:rPr>
        <w:t>》筛选值。由此可见，</w:t>
      </w:r>
      <w:r w:rsidR="003C3238" w:rsidRPr="00092862">
        <w:rPr>
          <w:rFonts w:ascii="Times New Roman" w:hAnsi="Times New Roman"/>
          <w:color w:val="000000" w:themeColor="text1"/>
          <w:szCs w:val="24"/>
        </w:rPr>
        <w:t>老君</w:t>
      </w:r>
      <w:r w:rsidR="003C3238" w:rsidRPr="00092862">
        <w:rPr>
          <w:rFonts w:ascii="Times New Roman" w:hAnsi="Times New Roman"/>
          <w:color w:val="000000" w:themeColor="text1"/>
          <w:szCs w:val="24"/>
        </w:rPr>
        <w:t>701</w:t>
      </w:r>
      <w:r w:rsidR="004B09F7" w:rsidRPr="00092862">
        <w:rPr>
          <w:rFonts w:ascii="Times New Roman" w:hAnsi="Times New Roman"/>
          <w:color w:val="000000" w:themeColor="text1"/>
          <w:szCs w:val="24"/>
        </w:rPr>
        <w:t>集气站（含钻井与采气期）</w:t>
      </w:r>
      <w:r w:rsidRPr="00092862">
        <w:rPr>
          <w:rFonts w:ascii="Times New Roman" w:hAnsi="Times New Roman"/>
          <w:color w:val="000000" w:themeColor="text1"/>
          <w:szCs w:val="24"/>
        </w:rPr>
        <w:t>的建设并未对土壤环境造成污染。</w:t>
      </w:r>
    </w:p>
    <w:p w14:paraId="16CADF93" w14:textId="2DF9CBA7" w:rsidR="007856EF" w:rsidRPr="00092862" w:rsidRDefault="00965A02" w:rsidP="007856EF">
      <w:pPr>
        <w:pStyle w:val="af0"/>
        <w:adjustRightInd w:val="0"/>
        <w:snapToGrid w:val="0"/>
        <w:spacing w:line="360" w:lineRule="auto"/>
        <w:ind w:firstLineChars="200" w:firstLine="480"/>
        <w:rPr>
          <w:rFonts w:ascii="Times New Roman" w:hAnsi="Times New Roman"/>
          <w:bCs/>
          <w:color w:val="000000" w:themeColor="text1"/>
          <w:szCs w:val="24"/>
        </w:rPr>
      </w:pPr>
      <w:r w:rsidRPr="00092862">
        <w:rPr>
          <w:rFonts w:ascii="Times New Roman" w:hAnsi="Times New Roman"/>
          <w:bCs/>
          <w:color w:val="000000" w:themeColor="text1"/>
        </w:rPr>
        <w:t>因此，根据项目对土壤环境影响途径分析</w:t>
      </w:r>
      <w:r w:rsidR="003B039B" w:rsidRPr="00092862">
        <w:rPr>
          <w:rFonts w:ascii="Times New Roman" w:hAnsi="Times New Roman"/>
          <w:bCs/>
          <w:color w:val="000000" w:themeColor="text1"/>
        </w:rPr>
        <w:t>、本项目场地的监测结果</w:t>
      </w:r>
      <w:r w:rsidRPr="00092862">
        <w:rPr>
          <w:rFonts w:ascii="Times New Roman" w:hAnsi="Times New Roman"/>
          <w:bCs/>
          <w:color w:val="000000" w:themeColor="text1"/>
        </w:rPr>
        <w:t>和类比同类项目同类地区的建设经验，</w:t>
      </w:r>
      <w:r w:rsidR="007E0D82" w:rsidRPr="00092862">
        <w:rPr>
          <w:rFonts w:ascii="Times New Roman" w:hAnsi="Times New Roman"/>
          <w:bCs/>
          <w:color w:val="000000" w:themeColor="text1"/>
        </w:rPr>
        <w:t>项目建设对土壤环境的影响很小，可接受。</w:t>
      </w:r>
      <w:r w:rsidR="007856EF" w:rsidRPr="00092862">
        <w:rPr>
          <w:rFonts w:ascii="Times New Roman" w:hAnsi="Times New Roman"/>
          <w:bCs/>
          <w:color w:val="000000" w:themeColor="text1"/>
        </w:rPr>
        <w:t>本</w:t>
      </w:r>
      <w:r w:rsidR="007856EF" w:rsidRPr="00092862">
        <w:rPr>
          <w:rFonts w:ascii="Times New Roman" w:hAnsi="Times New Roman"/>
          <w:color w:val="000000" w:themeColor="text1"/>
          <w:szCs w:val="24"/>
        </w:rPr>
        <w:t>项目除采取上述土壤污染防治措施外，还应将</w:t>
      </w:r>
      <w:r w:rsidR="007856EF" w:rsidRPr="00092862">
        <w:rPr>
          <w:rFonts w:ascii="Times New Roman" w:hAnsi="Times New Roman"/>
          <w:bCs/>
          <w:color w:val="000000" w:themeColor="text1"/>
          <w:szCs w:val="24"/>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14:paraId="7FEFBE79" w14:textId="6878D8CE" w:rsidR="00DC446C" w:rsidRPr="00092862" w:rsidRDefault="00573FA1" w:rsidP="007856EF">
      <w:pPr>
        <w:pStyle w:val="af0"/>
        <w:adjustRightInd w:val="0"/>
        <w:snapToGrid w:val="0"/>
        <w:spacing w:line="360" w:lineRule="auto"/>
        <w:ind w:firstLineChars="200" w:firstLine="480"/>
        <w:rPr>
          <w:rFonts w:ascii="Times New Roman" w:eastAsia="黑体" w:hAnsi="Times New Roman"/>
          <w:color w:val="000000" w:themeColor="text1"/>
          <w:szCs w:val="24"/>
        </w:rPr>
      </w:pPr>
      <w:r w:rsidRPr="00092862">
        <w:rPr>
          <w:rFonts w:ascii="Times New Roman" w:eastAsia="黑体" w:hAnsi="Times New Roman"/>
          <w:color w:val="000000" w:themeColor="text1"/>
          <w:szCs w:val="24"/>
        </w:rPr>
        <w:t>5</w:t>
      </w:r>
      <w:r w:rsidR="00D47588" w:rsidRPr="00092862">
        <w:rPr>
          <w:rFonts w:ascii="Times New Roman" w:eastAsia="黑体" w:hAnsi="Times New Roman"/>
          <w:color w:val="000000" w:themeColor="text1"/>
          <w:szCs w:val="24"/>
        </w:rPr>
        <w:t>、</w:t>
      </w:r>
      <w:r w:rsidR="003B1968" w:rsidRPr="00092862">
        <w:rPr>
          <w:rFonts w:ascii="Times New Roman" w:eastAsia="黑体" w:hAnsi="Times New Roman"/>
          <w:color w:val="000000" w:themeColor="text1"/>
          <w:szCs w:val="24"/>
        </w:rPr>
        <w:t>固体废物环境影响分析</w:t>
      </w:r>
    </w:p>
    <w:p w14:paraId="2B6B3161" w14:textId="77777777" w:rsidR="00DC446C" w:rsidRPr="00092862" w:rsidRDefault="003B1968" w:rsidP="003D2EEB">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00D47588" w:rsidRPr="00092862">
        <w:rPr>
          <w:rFonts w:ascii="Times New Roman" w:hAnsi="Times New Roman"/>
          <w:b/>
          <w:bCs/>
          <w:color w:val="000000" w:themeColor="text1"/>
          <w:szCs w:val="24"/>
        </w:rPr>
        <w:t>1</w:t>
      </w:r>
      <w:r w:rsidRPr="00092862">
        <w:rPr>
          <w:rFonts w:ascii="Times New Roman" w:hAnsi="Times New Roman"/>
          <w:b/>
          <w:bCs/>
          <w:color w:val="000000" w:themeColor="text1"/>
          <w:szCs w:val="24"/>
        </w:rPr>
        <w:t>）钻井固废</w:t>
      </w:r>
      <w:r w:rsidR="00B67DC8" w:rsidRPr="00092862">
        <w:rPr>
          <w:rFonts w:ascii="Times New Roman" w:hAnsi="Times New Roman"/>
          <w:b/>
          <w:color w:val="000000" w:themeColor="text1"/>
          <w:szCs w:val="24"/>
        </w:rPr>
        <w:t>影响分析</w:t>
      </w:r>
    </w:p>
    <w:p w14:paraId="490EFA5C" w14:textId="57BC799D" w:rsidR="00D47588" w:rsidRPr="00092862" w:rsidRDefault="00D47588" w:rsidP="00D47588">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水基泥浆体系中不添加有毒有害重金属等物质，主要成分为水、无机盐、</w:t>
      </w:r>
      <w:r w:rsidRPr="00092862">
        <w:rPr>
          <w:rFonts w:ascii="Times New Roman" w:hAnsi="Times New Roman"/>
          <w:color w:val="000000" w:themeColor="text1"/>
          <w:szCs w:val="24"/>
        </w:rPr>
        <w:lastRenderedPageBreak/>
        <w:t>普通有机聚合物等无毒物质。水基钻井固废为经泥浆不落地工艺对钻井泥浆及岩屑等进行固液分离后产生的固相废渣，属于第</w:t>
      </w:r>
      <w:r w:rsidRPr="00092862">
        <w:rPr>
          <w:rFonts w:ascii="Times New Roman" w:hAnsi="Times New Roman"/>
          <w:color w:val="000000" w:themeColor="text1"/>
          <w:szCs w:val="24"/>
        </w:rPr>
        <w:t>Ⅱ</w:t>
      </w:r>
      <w:r w:rsidRPr="00092862">
        <w:rPr>
          <w:rFonts w:ascii="Times New Roman" w:hAnsi="Times New Roman"/>
          <w:color w:val="000000" w:themeColor="text1"/>
          <w:szCs w:val="24"/>
        </w:rPr>
        <w:t>类一般工业固体废物，按照</w:t>
      </w:r>
      <w:r w:rsidR="00885B4D" w:rsidRPr="00092862">
        <w:rPr>
          <w:rFonts w:ascii="Times New Roman" w:hAnsi="Times New Roman"/>
          <w:bCs/>
          <w:color w:val="000000" w:themeColor="text1"/>
          <w:szCs w:val="24"/>
        </w:rPr>
        <w:t>《一般工业固体废物贮存和填埋污染控制标准》（</w:t>
      </w:r>
      <w:r w:rsidR="00885B4D" w:rsidRPr="00092862">
        <w:rPr>
          <w:rFonts w:ascii="Times New Roman" w:hAnsi="Times New Roman"/>
          <w:bCs/>
          <w:color w:val="000000" w:themeColor="text1"/>
          <w:szCs w:val="24"/>
        </w:rPr>
        <w:t>GB18599-2020</w:t>
      </w:r>
      <w:r w:rsidR="00885B4D" w:rsidRPr="00092862">
        <w:rPr>
          <w:rFonts w:ascii="Times New Roman" w:hAnsi="Times New Roman"/>
          <w:bCs/>
          <w:color w:val="000000" w:themeColor="text1"/>
          <w:szCs w:val="24"/>
        </w:rPr>
        <w:t>）</w:t>
      </w:r>
      <w:r w:rsidRPr="00092862">
        <w:rPr>
          <w:rFonts w:ascii="Times New Roman" w:hAnsi="Times New Roman"/>
          <w:color w:val="000000" w:themeColor="text1"/>
          <w:szCs w:val="24"/>
        </w:rPr>
        <w:t>中对第</w:t>
      </w:r>
      <w:r w:rsidRPr="00092862">
        <w:rPr>
          <w:rFonts w:ascii="Times New Roman" w:hAnsi="Times New Roman"/>
          <w:color w:val="000000" w:themeColor="text1"/>
          <w:szCs w:val="24"/>
        </w:rPr>
        <w:t>Ⅱ</w:t>
      </w:r>
      <w:r w:rsidRPr="00092862">
        <w:rPr>
          <w:rFonts w:ascii="Times New Roman" w:hAnsi="Times New Roman"/>
          <w:color w:val="000000" w:themeColor="text1"/>
          <w:szCs w:val="24"/>
        </w:rPr>
        <w:t>类一般工业固体废物的处置要求，</w:t>
      </w:r>
      <w:r w:rsidR="00E471CC" w:rsidRPr="00092862">
        <w:rPr>
          <w:rFonts w:ascii="Times New Roman" w:hAnsi="Times New Roman"/>
          <w:color w:val="000000" w:themeColor="text1"/>
          <w:szCs w:val="24"/>
        </w:rPr>
        <w:t>本项目现场在泥浆不落地装置附近设置的钻井固废暂存区暂存钻井固废，防渗层渗透系数</w:t>
      </w:r>
      <w:r w:rsidR="00E471CC" w:rsidRPr="00092862">
        <w:rPr>
          <w:rFonts w:ascii="Times New Roman" w:hAnsi="Times New Roman"/>
          <w:color w:val="000000" w:themeColor="text1"/>
          <w:szCs w:val="24"/>
        </w:rPr>
        <w:t>≤</w:t>
      </w:r>
      <w:r w:rsidR="004074CB" w:rsidRPr="00092862">
        <w:rPr>
          <w:rFonts w:ascii="Times New Roman" w:hAnsi="Times New Roman"/>
          <w:color w:val="000000" w:themeColor="text1"/>
          <w:szCs w:val="24"/>
        </w:rPr>
        <w:t>1.0×</w:t>
      </w:r>
      <w:r w:rsidR="00E471CC" w:rsidRPr="00092862">
        <w:rPr>
          <w:rFonts w:ascii="Times New Roman" w:hAnsi="Times New Roman"/>
          <w:color w:val="000000" w:themeColor="text1"/>
          <w:szCs w:val="24"/>
        </w:rPr>
        <w:t>10</w:t>
      </w:r>
      <w:r w:rsidR="00E471CC" w:rsidRPr="00092862">
        <w:rPr>
          <w:rFonts w:ascii="Times New Roman" w:hAnsi="Times New Roman"/>
          <w:color w:val="000000" w:themeColor="text1"/>
          <w:szCs w:val="24"/>
          <w:vertAlign w:val="superscript"/>
        </w:rPr>
        <w:t>-</w:t>
      </w:r>
      <w:r w:rsidR="004074CB" w:rsidRPr="00092862">
        <w:rPr>
          <w:rFonts w:ascii="Times New Roman" w:hAnsi="Times New Roman"/>
          <w:color w:val="000000" w:themeColor="text1"/>
          <w:szCs w:val="24"/>
          <w:vertAlign w:val="superscript"/>
        </w:rPr>
        <w:t>7</w:t>
      </w:r>
      <w:r w:rsidR="00E471CC" w:rsidRPr="00092862">
        <w:rPr>
          <w:rFonts w:ascii="Times New Roman" w:hAnsi="Times New Roman"/>
          <w:color w:val="000000" w:themeColor="text1"/>
          <w:szCs w:val="24"/>
        </w:rPr>
        <w:t>cm/s</w:t>
      </w:r>
      <w:r w:rsidR="00E471CC" w:rsidRPr="00092862">
        <w:rPr>
          <w:rFonts w:ascii="Times New Roman" w:hAnsi="Times New Roman"/>
          <w:color w:val="000000" w:themeColor="text1"/>
          <w:szCs w:val="24"/>
        </w:rPr>
        <w:t>，满足第</w:t>
      </w:r>
      <w:r w:rsidR="00E471CC" w:rsidRPr="00092862">
        <w:rPr>
          <w:rFonts w:ascii="Times New Roman" w:hAnsi="Times New Roman"/>
          <w:color w:val="000000" w:themeColor="text1"/>
          <w:szCs w:val="24"/>
        </w:rPr>
        <w:t>Ⅱ</w:t>
      </w:r>
      <w:r w:rsidR="00E471CC" w:rsidRPr="00092862">
        <w:rPr>
          <w:rFonts w:ascii="Times New Roman" w:hAnsi="Times New Roman"/>
          <w:color w:val="000000" w:themeColor="text1"/>
          <w:szCs w:val="24"/>
        </w:rPr>
        <w:t>类一般工业固体废物处置场防渗要求。</w:t>
      </w:r>
    </w:p>
    <w:p w14:paraId="5EA7691F" w14:textId="69058B02" w:rsidR="00DC446C" w:rsidRPr="00092862" w:rsidRDefault="00D47588" w:rsidP="00D47588">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本项目水基钻井固废总计产生量约</w:t>
      </w:r>
      <w:r w:rsidR="000B7444" w:rsidRPr="00092862">
        <w:rPr>
          <w:rFonts w:ascii="Times New Roman" w:hAnsi="Times New Roman"/>
          <w:color w:val="000000" w:themeColor="text1"/>
          <w:szCs w:val="24"/>
        </w:rPr>
        <w:t>4216.39t</w:t>
      </w:r>
      <w:r w:rsidRPr="00092862">
        <w:rPr>
          <w:rFonts w:ascii="Times New Roman" w:hAnsi="Times New Roman"/>
          <w:color w:val="000000" w:themeColor="text1"/>
          <w:szCs w:val="24"/>
        </w:rPr>
        <w:t>，水基钻井固废</w:t>
      </w:r>
      <w:r w:rsidR="00C96A6A" w:rsidRPr="00092862">
        <w:rPr>
          <w:rFonts w:ascii="Times New Roman" w:hAnsi="Times New Roman"/>
          <w:color w:val="000000" w:themeColor="text1"/>
        </w:rPr>
        <w:t>在</w:t>
      </w:r>
      <w:r w:rsidR="00C96A6A" w:rsidRPr="00092862">
        <w:rPr>
          <w:rFonts w:ascii="Times New Roman" w:hAnsi="Times New Roman"/>
          <w:color w:val="000000" w:themeColor="text1"/>
          <w:szCs w:val="24"/>
        </w:rPr>
        <w:t>泥浆不落地装置附近设置钻井固废暂存区</w:t>
      </w:r>
      <w:r w:rsidR="00C96A6A" w:rsidRPr="00092862">
        <w:rPr>
          <w:rFonts w:ascii="Times New Roman" w:hAnsi="Times New Roman"/>
          <w:color w:val="000000" w:themeColor="text1"/>
        </w:rPr>
        <w:t>由废渣收集罐收集后临时暂存，</w:t>
      </w:r>
      <w:r w:rsidR="00A02F80" w:rsidRPr="00092862">
        <w:rPr>
          <w:rFonts w:ascii="Times New Roman" w:hAnsi="Times New Roman"/>
          <w:color w:val="000000" w:themeColor="text1"/>
        </w:rPr>
        <w:t>定期用密闭罐车</w:t>
      </w:r>
      <w:r w:rsidR="000408D0" w:rsidRPr="00092862">
        <w:rPr>
          <w:rFonts w:ascii="Times New Roman" w:hAnsi="Times New Roman"/>
          <w:color w:val="000000" w:themeColor="text1"/>
        </w:rPr>
        <w:t>及时转运至达州地区环保手续齐全、环保设施稳定运行固废烧结厂进行烧结后综合利用</w:t>
      </w:r>
      <w:r w:rsidRPr="00092862">
        <w:rPr>
          <w:rFonts w:ascii="Times New Roman" w:hAnsi="Times New Roman"/>
          <w:color w:val="000000" w:themeColor="text1"/>
          <w:szCs w:val="24"/>
        </w:rPr>
        <w:t>，不会对区域环境造成影响。</w:t>
      </w:r>
    </w:p>
    <w:p w14:paraId="36FD1D10" w14:textId="77777777" w:rsidR="002E192E" w:rsidRPr="00092862" w:rsidRDefault="002E192E" w:rsidP="002E192E">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2</w:t>
      </w:r>
      <w:r w:rsidRPr="00092862">
        <w:rPr>
          <w:rFonts w:ascii="Times New Roman" w:hAnsi="Times New Roman"/>
          <w:b/>
          <w:bCs/>
          <w:color w:val="000000" w:themeColor="text1"/>
          <w:szCs w:val="24"/>
        </w:rPr>
        <w:t>）废油</w:t>
      </w:r>
      <w:r w:rsidR="00B67DC8" w:rsidRPr="00092862">
        <w:rPr>
          <w:rFonts w:ascii="Times New Roman" w:hAnsi="Times New Roman"/>
          <w:b/>
          <w:color w:val="000000" w:themeColor="text1"/>
          <w:szCs w:val="24"/>
        </w:rPr>
        <w:t>影响分析</w:t>
      </w:r>
    </w:p>
    <w:p w14:paraId="2750B59F" w14:textId="6759E241" w:rsidR="002E192E" w:rsidRPr="00092862" w:rsidRDefault="002E192E" w:rsidP="002E192E">
      <w:pPr>
        <w:pStyle w:val="af0"/>
        <w:adjustRightInd w:val="0"/>
        <w:snapToGrid w:val="0"/>
        <w:spacing w:line="360" w:lineRule="auto"/>
        <w:ind w:firstLineChars="200" w:firstLine="480"/>
        <w:rPr>
          <w:rFonts w:ascii="Times New Roman" w:hAnsi="Times New Roman"/>
          <w:color w:val="000000" w:themeColor="text1"/>
        </w:rPr>
      </w:pPr>
      <w:r w:rsidRPr="00092862">
        <w:rPr>
          <w:rFonts w:ascii="Times New Roman" w:hAnsi="Times New Roman"/>
          <w:color w:val="000000" w:themeColor="text1"/>
          <w:szCs w:val="24"/>
        </w:rPr>
        <w:t>井场内设备保养润滑用油及跑冒滴漏产生的少量含油属于危险废物（物类别为</w:t>
      </w:r>
      <w:r w:rsidRPr="00092862">
        <w:rPr>
          <w:rFonts w:ascii="Times New Roman" w:hAnsi="Times New Roman"/>
          <w:color w:val="000000" w:themeColor="text1"/>
          <w:szCs w:val="24"/>
        </w:rPr>
        <w:t>HW08</w:t>
      </w:r>
      <w:r w:rsidRPr="00092862">
        <w:rPr>
          <w:rFonts w:ascii="Times New Roman" w:hAnsi="Times New Roman"/>
          <w:color w:val="000000" w:themeColor="text1"/>
          <w:szCs w:val="24"/>
        </w:rPr>
        <w:t>，废物代码</w:t>
      </w:r>
      <w:r w:rsidRPr="00092862">
        <w:rPr>
          <w:rFonts w:ascii="Times New Roman" w:hAnsi="Times New Roman"/>
          <w:color w:val="000000" w:themeColor="text1"/>
          <w:szCs w:val="24"/>
        </w:rPr>
        <w:t>900-214-08</w:t>
      </w:r>
      <w:r w:rsidRPr="00092862">
        <w:rPr>
          <w:rFonts w:ascii="Times New Roman" w:hAnsi="Times New Roman"/>
          <w:color w:val="000000" w:themeColor="text1"/>
          <w:szCs w:val="24"/>
        </w:rPr>
        <w:t>），按照</w:t>
      </w:r>
      <w:bookmarkStart w:id="205" w:name="_Hlk92724121"/>
      <w:r w:rsidRPr="00092862">
        <w:rPr>
          <w:rFonts w:ascii="Times New Roman" w:hAnsi="Times New Roman"/>
          <w:color w:val="000000" w:themeColor="text1"/>
          <w:szCs w:val="24"/>
        </w:rPr>
        <w:t>《危险废物贮存污染控制标准》（</w:t>
      </w:r>
      <w:r w:rsidRPr="00092862">
        <w:rPr>
          <w:rFonts w:ascii="Times New Roman" w:hAnsi="Times New Roman"/>
          <w:color w:val="000000" w:themeColor="text1"/>
          <w:szCs w:val="24"/>
        </w:rPr>
        <w:t>GB18597-2001</w:t>
      </w:r>
      <w:r w:rsidRPr="00092862">
        <w:rPr>
          <w:rFonts w:ascii="Times New Roman" w:hAnsi="Times New Roman"/>
          <w:color w:val="000000" w:themeColor="text1"/>
          <w:szCs w:val="24"/>
        </w:rPr>
        <w:t>（</w:t>
      </w:r>
      <w:r w:rsidRPr="00092862">
        <w:rPr>
          <w:rFonts w:ascii="Times New Roman" w:hAnsi="Times New Roman"/>
          <w:color w:val="000000" w:themeColor="text1"/>
          <w:szCs w:val="24"/>
        </w:rPr>
        <w:t>2013</w:t>
      </w:r>
      <w:r w:rsidRPr="00092862">
        <w:rPr>
          <w:rFonts w:ascii="Times New Roman" w:hAnsi="Times New Roman"/>
          <w:color w:val="000000" w:themeColor="text1"/>
          <w:szCs w:val="24"/>
        </w:rPr>
        <w:t>年修订））</w:t>
      </w:r>
      <w:bookmarkEnd w:id="205"/>
      <w:r w:rsidRPr="00092862">
        <w:rPr>
          <w:rFonts w:ascii="Times New Roman" w:hAnsi="Times New Roman"/>
          <w:color w:val="000000" w:themeColor="text1"/>
          <w:szCs w:val="24"/>
        </w:rPr>
        <w:t>和《废矿物油回收利用污染控制技术规范》（</w:t>
      </w:r>
      <w:r w:rsidRPr="00092862">
        <w:rPr>
          <w:rFonts w:ascii="Times New Roman" w:hAnsi="Times New Roman"/>
          <w:color w:val="000000" w:themeColor="text1"/>
          <w:szCs w:val="24"/>
        </w:rPr>
        <w:t>HJ607-2011</w:t>
      </w:r>
      <w:r w:rsidRPr="00092862">
        <w:rPr>
          <w:rFonts w:ascii="Times New Roman" w:hAnsi="Times New Roman"/>
          <w:color w:val="000000" w:themeColor="text1"/>
          <w:szCs w:val="24"/>
        </w:rPr>
        <w:t>）的相关规定要求，对产生的油类用废油桶集中收集，</w:t>
      </w:r>
      <w:r w:rsidR="003F2E8B" w:rsidRPr="00092862">
        <w:rPr>
          <w:rFonts w:ascii="Times New Roman" w:hAnsi="Times New Roman"/>
          <w:color w:val="000000" w:themeColor="text1"/>
          <w:szCs w:val="24"/>
        </w:rPr>
        <w:t>钻井队综合利用或交由有资质的单位处理</w:t>
      </w:r>
      <w:r w:rsidRPr="00092862">
        <w:rPr>
          <w:rFonts w:ascii="Times New Roman" w:hAnsi="Times New Roman"/>
          <w:color w:val="000000" w:themeColor="text1"/>
          <w:szCs w:val="24"/>
        </w:rPr>
        <w:t>，</w:t>
      </w:r>
      <w:r w:rsidR="0082425F" w:rsidRPr="00092862">
        <w:rPr>
          <w:rFonts w:ascii="Times New Roman" w:hAnsi="Times New Roman"/>
          <w:color w:val="000000" w:themeColor="text1"/>
        </w:rPr>
        <w:t>设置废油桶集中收集暂存于泥浆不落地装置区临时堆放区内，</w:t>
      </w:r>
      <w:r w:rsidRPr="00092862">
        <w:rPr>
          <w:rFonts w:ascii="Times New Roman" w:hAnsi="Times New Roman"/>
          <w:color w:val="000000" w:themeColor="text1"/>
        </w:rPr>
        <w:t>并做好</w:t>
      </w:r>
      <w:r w:rsidRPr="00092862">
        <w:rPr>
          <w:rFonts w:ascii="Times New Roman" w:hAnsi="Times New Roman"/>
          <w:color w:val="000000" w:themeColor="text1"/>
        </w:rPr>
        <w:t>“</w:t>
      </w:r>
      <w:r w:rsidRPr="00092862">
        <w:rPr>
          <w:rFonts w:ascii="Times New Roman" w:hAnsi="Times New Roman"/>
          <w:color w:val="000000" w:themeColor="text1"/>
        </w:rPr>
        <w:t>防风、防雨、防晒、防渗漏</w:t>
      </w:r>
      <w:r w:rsidRPr="00092862">
        <w:rPr>
          <w:rFonts w:ascii="Times New Roman" w:hAnsi="Times New Roman"/>
          <w:color w:val="000000" w:themeColor="text1"/>
        </w:rPr>
        <w:t>”</w:t>
      </w:r>
      <w:r w:rsidRPr="00092862">
        <w:rPr>
          <w:rFonts w:ascii="Times New Roman" w:hAnsi="Times New Roman"/>
          <w:color w:val="000000" w:themeColor="text1"/>
        </w:rPr>
        <w:t>四防措施，暂存期间做好废油管理记录，通过</w:t>
      </w:r>
      <w:r w:rsidRPr="00092862">
        <w:rPr>
          <w:rFonts w:ascii="Times New Roman" w:hAnsi="Times New Roman"/>
          <w:color w:val="000000" w:themeColor="text1"/>
          <w:szCs w:val="24"/>
        </w:rPr>
        <w:t>后期</w:t>
      </w:r>
      <w:r w:rsidRPr="00092862">
        <w:rPr>
          <w:rFonts w:ascii="Times New Roman" w:hAnsi="Times New Roman"/>
          <w:color w:val="000000" w:themeColor="text1"/>
        </w:rPr>
        <w:t>擦拭站场设备、原料添加、放喷点火等方式回收综合利用，根据类比调查井站产生废油能在井站内全部综合利用。若因为个别特殊情况存在不能综合利用的废油，则和不能继续使用的废油桶以及擦拭站场设备产生的</w:t>
      </w:r>
      <w:r w:rsidR="00425E5E" w:rsidRPr="00092862">
        <w:rPr>
          <w:rFonts w:ascii="Times New Roman" w:hAnsi="Times New Roman"/>
          <w:color w:val="000000" w:themeColor="text1"/>
        </w:rPr>
        <w:t>其他含油固废</w:t>
      </w:r>
      <w:r w:rsidRPr="00092862">
        <w:rPr>
          <w:rFonts w:ascii="Times New Roman" w:hAnsi="Times New Roman"/>
          <w:color w:val="000000" w:themeColor="text1"/>
        </w:rPr>
        <w:t>交由有资质的单位处理</w:t>
      </w:r>
      <w:r w:rsidRPr="00092862">
        <w:rPr>
          <w:rFonts w:ascii="Times New Roman" w:hAnsi="Times New Roman"/>
          <w:color w:val="000000" w:themeColor="text1"/>
          <w:szCs w:val="24"/>
        </w:rPr>
        <w:t>，对周围环境的影响较小。</w:t>
      </w:r>
    </w:p>
    <w:p w14:paraId="5E546130" w14:textId="77777777" w:rsidR="00DC446C" w:rsidRPr="00092862" w:rsidRDefault="003B1968" w:rsidP="003D2EEB">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3</w:t>
      </w:r>
      <w:r w:rsidRPr="00092862">
        <w:rPr>
          <w:rFonts w:ascii="Times New Roman" w:hAnsi="Times New Roman"/>
          <w:b/>
          <w:bCs/>
          <w:color w:val="000000" w:themeColor="text1"/>
          <w:szCs w:val="24"/>
        </w:rPr>
        <w:t>）生活垃圾</w:t>
      </w:r>
      <w:r w:rsidR="00B67DC8" w:rsidRPr="00092862">
        <w:rPr>
          <w:rFonts w:ascii="Times New Roman" w:hAnsi="Times New Roman"/>
          <w:b/>
          <w:color w:val="000000" w:themeColor="text1"/>
          <w:szCs w:val="24"/>
        </w:rPr>
        <w:t>影响分析</w:t>
      </w:r>
    </w:p>
    <w:p w14:paraId="662152C4" w14:textId="30CC1DB4" w:rsidR="002E192E" w:rsidRPr="00092862" w:rsidRDefault="002E192E" w:rsidP="002E192E">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生活垃圾可分为两类，如可降解的果皮、菜根、废纸、烟盒、剩饭菜等，不可降解的塑料制品、废金属、废电池等，这些垃圾分类堆放，</w:t>
      </w:r>
      <w:r w:rsidR="002445D5" w:rsidRPr="00092862">
        <w:rPr>
          <w:rFonts w:ascii="Times New Roman" w:hAnsi="Times New Roman"/>
          <w:color w:val="000000" w:themeColor="text1"/>
          <w:szCs w:val="24"/>
        </w:rPr>
        <w:t>定期交由环卫部门妥善处置</w:t>
      </w:r>
      <w:r w:rsidRPr="00092862">
        <w:rPr>
          <w:rFonts w:ascii="Times New Roman" w:hAnsi="Times New Roman"/>
          <w:color w:val="000000" w:themeColor="text1"/>
          <w:szCs w:val="24"/>
        </w:rPr>
        <w:t>。</w:t>
      </w:r>
    </w:p>
    <w:p w14:paraId="27710B5C" w14:textId="77777777" w:rsidR="00DC446C" w:rsidRPr="00092862" w:rsidRDefault="002E192E" w:rsidP="002E192E">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w:t>
      </w:r>
      <w:r w:rsidRPr="00092862">
        <w:rPr>
          <w:rFonts w:ascii="Times New Roman" w:hAnsi="Times New Roman"/>
          <w:color w:val="000000" w:themeColor="text1"/>
          <w:szCs w:val="24"/>
        </w:rPr>
        <w:lastRenderedPageBreak/>
        <w:t>施工作业场地设垃圾收集桶，生活垃圾依托当地环卫部门对生活垃圾进行定期清运在统一外运至当地垃圾处理场所进行处置后，对环境影响较小</w:t>
      </w:r>
      <w:r w:rsidR="003B1968" w:rsidRPr="00092862">
        <w:rPr>
          <w:rFonts w:ascii="Times New Roman" w:hAnsi="Times New Roman"/>
          <w:color w:val="000000" w:themeColor="text1"/>
          <w:szCs w:val="24"/>
        </w:rPr>
        <w:t>。</w:t>
      </w:r>
    </w:p>
    <w:p w14:paraId="36CDA050" w14:textId="77777777" w:rsidR="00DC446C" w:rsidRPr="00092862" w:rsidRDefault="003B1968" w:rsidP="003D2EEB">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4</w:t>
      </w:r>
      <w:r w:rsidRPr="00092862">
        <w:rPr>
          <w:rFonts w:ascii="Times New Roman" w:hAnsi="Times New Roman"/>
          <w:b/>
          <w:bCs/>
          <w:color w:val="000000" w:themeColor="text1"/>
          <w:szCs w:val="24"/>
        </w:rPr>
        <w:t>）</w:t>
      </w:r>
      <w:r w:rsidR="00F521DD" w:rsidRPr="00092862">
        <w:rPr>
          <w:rFonts w:ascii="Times New Roman" w:hAnsi="Times New Roman"/>
          <w:b/>
          <w:bCs/>
          <w:color w:val="000000" w:themeColor="text1"/>
        </w:rPr>
        <w:t>废包装材料</w:t>
      </w:r>
      <w:r w:rsidR="00B67DC8" w:rsidRPr="00092862">
        <w:rPr>
          <w:rFonts w:ascii="Times New Roman" w:hAnsi="Times New Roman"/>
          <w:b/>
          <w:color w:val="000000" w:themeColor="text1"/>
          <w:szCs w:val="24"/>
        </w:rPr>
        <w:t>影响分析</w:t>
      </w:r>
    </w:p>
    <w:p w14:paraId="098BF961" w14:textId="77777777" w:rsidR="00DC446C" w:rsidRPr="00092862" w:rsidRDefault="00F521DD" w:rsidP="00F521DD">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废弃包装材料集中收集后施工队自己回用部分，剩余部分送当地废品回收站处理，对周围环境的影响也较小。</w:t>
      </w:r>
    </w:p>
    <w:p w14:paraId="59EAA952" w14:textId="77777777" w:rsidR="00DC446C" w:rsidRPr="00092862" w:rsidRDefault="003B1968" w:rsidP="003D2EEB">
      <w:pPr>
        <w:pStyle w:val="af0"/>
        <w:adjustRightInd w:val="0"/>
        <w:snapToGrid w:val="0"/>
        <w:spacing w:line="360" w:lineRule="auto"/>
        <w:ind w:firstLineChars="200" w:firstLine="482"/>
        <w:rPr>
          <w:rFonts w:ascii="Times New Roman" w:hAnsi="Times New Roman"/>
          <w:b/>
          <w:bCs/>
          <w:color w:val="000000" w:themeColor="text1"/>
          <w:szCs w:val="24"/>
        </w:rPr>
      </w:pPr>
      <w:r w:rsidRPr="00092862">
        <w:rPr>
          <w:rFonts w:ascii="Times New Roman" w:hAnsi="Times New Roman"/>
          <w:b/>
          <w:bCs/>
          <w:color w:val="000000" w:themeColor="text1"/>
          <w:szCs w:val="24"/>
        </w:rPr>
        <w:t>（</w:t>
      </w:r>
      <w:r w:rsidRPr="00092862">
        <w:rPr>
          <w:rFonts w:ascii="Times New Roman" w:hAnsi="Times New Roman"/>
          <w:b/>
          <w:bCs/>
          <w:color w:val="000000" w:themeColor="text1"/>
          <w:szCs w:val="24"/>
        </w:rPr>
        <w:t>5</w:t>
      </w:r>
      <w:r w:rsidRPr="00092862">
        <w:rPr>
          <w:rFonts w:ascii="Times New Roman" w:hAnsi="Times New Roman"/>
          <w:b/>
          <w:bCs/>
          <w:color w:val="000000" w:themeColor="text1"/>
          <w:szCs w:val="24"/>
        </w:rPr>
        <w:t>）其他</w:t>
      </w:r>
    </w:p>
    <w:p w14:paraId="1A6E99A4" w14:textId="223EA64A" w:rsidR="00DC446C" w:rsidRPr="00092862" w:rsidRDefault="003B1968" w:rsidP="00F521DD">
      <w:pPr>
        <w:pStyle w:val="af0"/>
        <w:adjustRightInd w:val="0"/>
        <w:snapToGrid w:val="0"/>
        <w:spacing w:line="360" w:lineRule="auto"/>
        <w:ind w:firstLineChars="200" w:firstLine="480"/>
        <w:rPr>
          <w:rFonts w:ascii="Times New Roman" w:hAnsi="Times New Roman"/>
          <w:color w:val="000000" w:themeColor="text1"/>
          <w:szCs w:val="24"/>
        </w:rPr>
      </w:pPr>
      <w:r w:rsidRPr="00092862">
        <w:rPr>
          <w:rFonts w:ascii="Times New Roman" w:hAnsi="Times New Roman"/>
          <w:color w:val="000000" w:themeColor="text1"/>
          <w:szCs w:val="24"/>
        </w:rPr>
        <w:t>散失的钻井泥浆材料（重晶石、膨润土粉、堵漏剂）、水泥废浆、废弃包装材料、防冻保温废料及废棉纱等一般固废，产生量少，</w:t>
      </w:r>
      <w:r w:rsidR="00F521DD" w:rsidRPr="00092862">
        <w:rPr>
          <w:rFonts w:ascii="Times New Roman" w:hAnsi="Times New Roman"/>
          <w:color w:val="000000" w:themeColor="text1"/>
          <w:szCs w:val="24"/>
        </w:rPr>
        <w:t>全部收集并资源化回收利用；完井</w:t>
      </w:r>
      <w:r w:rsidR="007B7044" w:rsidRPr="00092862">
        <w:rPr>
          <w:rFonts w:ascii="Times New Roman" w:hAnsi="Times New Roman"/>
          <w:color w:val="000000" w:themeColor="text1"/>
          <w:szCs w:val="24"/>
        </w:rPr>
        <w:t>搬迁</w:t>
      </w:r>
      <w:r w:rsidR="00F521DD" w:rsidRPr="00092862">
        <w:rPr>
          <w:rFonts w:ascii="Times New Roman" w:hAnsi="Times New Roman"/>
          <w:color w:val="000000" w:themeColor="text1"/>
          <w:szCs w:val="24"/>
        </w:rPr>
        <w:t>时可能产生少量建筑垃圾，主要如包装袋，废弃建筑材料等，其量小，由施工队伍统一收集清运至政府指定地方，</w:t>
      </w:r>
      <w:r w:rsidRPr="00092862">
        <w:rPr>
          <w:rFonts w:ascii="Times New Roman" w:hAnsi="Times New Roman"/>
          <w:color w:val="000000" w:themeColor="text1"/>
          <w:szCs w:val="24"/>
        </w:rPr>
        <w:t>对环境影响轻微。</w:t>
      </w:r>
    </w:p>
    <w:p w14:paraId="2008DCCE" w14:textId="5CC5FFFC" w:rsidR="00DC446C" w:rsidRPr="00092862" w:rsidRDefault="003B1968" w:rsidP="003D2EEB">
      <w:pPr>
        <w:adjustRightInd w:val="0"/>
        <w:snapToGrid w:val="0"/>
        <w:spacing w:line="360" w:lineRule="auto"/>
        <w:ind w:firstLineChars="200" w:firstLine="480"/>
        <w:rPr>
          <w:rFonts w:ascii="Times New Roman" w:hAnsi="Times New Roman" w:cs="Times New Roman"/>
          <w:bCs/>
          <w:color w:val="000000" w:themeColor="text1"/>
          <w:sz w:val="24"/>
          <w:szCs w:val="24"/>
        </w:rPr>
      </w:pPr>
      <w:r w:rsidRPr="00092862">
        <w:rPr>
          <w:rFonts w:ascii="Times New Roman" w:hAnsi="Times New Roman" w:cs="Times New Roman"/>
          <w:color w:val="000000" w:themeColor="text1"/>
          <w:sz w:val="24"/>
          <w:szCs w:val="24"/>
        </w:rPr>
        <w:t>综上分析，项目固体废物均可得到综合利用和妥善处置，项目产生的固体废物对环境的影响较小</w:t>
      </w:r>
      <w:r w:rsidRPr="00092862">
        <w:rPr>
          <w:rFonts w:ascii="Times New Roman" w:hAnsi="Times New Roman" w:cs="Times New Roman"/>
          <w:bCs/>
          <w:color w:val="000000" w:themeColor="text1"/>
          <w:sz w:val="24"/>
          <w:szCs w:val="24"/>
        </w:rPr>
        <w:t>。</w:t>
      </w:r>
    </w:p>
    <w:p w14:paraId="15578D2A" w14:textId="23CAC6F9" w:rsidR="00482ACF" w:rsidRPr="00092862" w:rsidRDefault="00482ACF" w:rsidP="00482AC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06" w:name="_Toc120173153"/>
      <w:r w:rsidRPr="00092862">
        <w:rPr>
          <w:rFonts w:ascii="Times New Roman" w:eastAsia="黑体" w:hAnsi="Times New Roman"/>
          <w:b w:val="0"/>
          <w:color w:val="000000" w:themeColor="text1"/>
          <w:sz w:val="24"/>
          <w:szCs w:val="24"/>
          <w:lang w:eastAsia="zh-CN"/>
        </w:rPr>
        <w:t>5.1.</w:t>
      </w:r>
      <w:r w:rsidR="00573FA1" w:rsidRPr="00092862">
        <w:rPr>
          <w:rFonts w:ascii="Times New Roman" w:eastAsia="黑体" w:hAnsi="Times New Roman"/>
          <w:b w:val="0"/>
          <w:color w:val="000000" w:themeColor="text1"/>
          <w:sz w:val="24"/>
          <w:szCs w:val="24"/>
          <w:lang w:eastAsia="zh-CN"/>
        </w:rPr>
        <w:t>4</w:t>
      </w:r>
      <w:r w:rsidRPr="00092862">
        <w:rPr>
          <w:rFonts w:ascii="Times New Roman" w:eastAsia="黑体" w:hAnsi="Times New Roman"/>
          <w:b w:val="0"/>
          <w:color w:val="000000" w:themeColor="text1"/>
          <w:sz w:val="24"/>
          <w:szCs w:val="24"/>
          <w:lang w:eastAsia="zh-CN"/>
        </w:rPr>
        <w:t>施工期外输管线及</w:t>
      </w:r>
      <w:r w:rsidR="00F30AFD" w:rsidRPr="00092862">
        <w:rPr>
          <w:rFonts w:ascii="Times New Roman" w:eastAsia="黑体" w:hAnsi="Times New Roman"/>
          <w:b w:val="0"/>
          <w:color w:val="000000" w:themeColor="text1"/>
          <w:sz w:val="24"/>
          <w:szCs w:val="24"/>
          <w:lang w:eastAsia="zh-CN"/>
        </w:rPr>
        <w:t>集气站</w:t>
      </w:r>
      <w:r w:rsidRPr="00092862">
        <w:rPr>
          <w:rFonts w:ascii="Times New Roman" w:eastAsia="黑体" w:hAnsi="Times New Roman"/>
          <w:b w:val="0"/>
          <w:color w:val="000000" w:themeColor="text1"/>
          <w:sz w:val="24"/>
          <w:szCs w:val="24"/>
          <w:lang w:eastAsia="zh-CN"/>
        </w:rPr>
        <w:t>工程环境影响分析</w:t>
      </w:r>
      <w:bookmarkEnd w:id="206"/>
    </w:p>
    <w:p w14:paraId="5A5C388E" w14:textId="4A9C0DA7" w:rsidR="00E52F99" w:rsidRPr="00092862" w:rsidRDefault="00573FA1" w:rsidP="00E52F99">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1</w:t>
      </w:r>
      <w:r w:rsidR="00E52F99" w:rsidRPr="00092862">
        <w:rPr>
          <w:rFonts w:ascii="Times New Roman" w:eastAsia="宋体" w:hAnsi="Times New Roman" w:cs="Times New Roman"/>
          <w:b/>
          <w:color w:val="000000" w:themeColor="text1"/>
          <w:sz w:val="24"/>
          <w:szCs w:val="24"/>
        </w:rPr>
        <w:t>、大气环境影响分析</w:t>
      </w:r>
    </w:p>
    <w:p w14:paraId="1EF2838B" w14:textId="4312B4FA" w:rsidR="00E52F99" w:rsidRPr="00092862" w:rsidRDefault="00F30AFD" w:rsidP="00E52F99">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集气站</w:t>
      </w:r>
      <w:r w:rsidR="004B09F7" w:rsidRPr="00092862">
        <w:rPr>
          <w:rFonts w:ascii="Times New Roman" w:eastAsia="宋体" w:hAnsi="Times New Roman" w:cs="Times New Roman"/>
          <w:bCs/>
          <w:color w:val="000000" w:themeColor="text1"/>
          <w:sz w:val="24"/>
        </w:rPr>
        <w:t>复建涉及</w:t>
      </w:r>
      <w:r w:rsidR="00E52F99" w:rsidRPr="00092862">
        <w:rPr>
          <w:rFonts w:ascii="Times New Roman" w:eastAsia="宋体" w:hAnsi="Times New Roman" w:cs="Times New Roman"/>
          <w:bCs/>
          <w:color w:val="000000" w:themeColor="text1"/>
          <w:sz w:val="24"/>
        </w:rPr>
        <w:t>少量地面开挖、回填、土石堆放和运输车辆行驶产生的扬尘（粉尘）、及施工机械、运输车辆排放的尾气。针对施工扬尘，项目工程施工作业时，设置围栏或部分围栏、洒水抑尘等措施，降低扬尘的产生量，从而从源头上降低施工扬尘对环境空气质量和敏感点的影响。在加强洒水防尘作业后，项目站场施工对环境的影响是局部的，并随着施工的结束而结束。施工机械、运输车辆排放的尾气中污染物主要为</w:t>
      </w:r>
      <w:r w:rsidR="00E52F99" w:rsidRPr="00092862">
        <w:rPr>
          <w:rFonts w:ascii="Times New Roman" w:eastAsia="宋体" w:hAnsi="Times New Roman" w:cs="Times New Roman"/>
          <w:bCs/>
          <w:color w:val="000000" w:themeColor="text1"/>
          <w:sz w:val="24"/>
        </w:rPr>
        <w:t>NO</w:t>
      </w:r>
      <w:r w:rsidR="00E52F99" w:rsidRPr="00092862">
        <w:rPr>
          <w:rFonts w:ascii="Times New Roman" w:eastAsia="宋体" w:hAnsi="Times New Roman" w:cs="Times New Roman"/>
          <w:bCs/>
          <w:color w:val="000000" w:themeColor="text1"/>
          <w:sz w:val="24"/>
          <w:vertAlign w:val="subscript"/>
        </w:rPr>
        <w:t>X</w:t>
      </w:r>
      <w:r w:rsidR="00E52F99" w:rsidRPr="00092862">
        <w:rPr>
          <w:rFonts w:ascii="Times New Roman" w:eastAsia="宋体" w:hAnsi="Times New Roman" w:cs="Times New Roman"/>
          <w:bCs/>
          <w:color w:val="000000" w:themeColor="text1"/>
          <w:sz w:val="24"/>
        </w:rPr>
        <w:t>、烟尘及少量</w:t>
      </w:r>
      <w:r w:rsidR="00E52F99" w:rsidRPr="00092862">
        <w:rPr>
          <w:rFonts w:ascii="Times New Roman" w:eastAsia="宋体" w:hAnsi="Times New Roman" w:cs="Times New Roman"/>
          <w:bCs/>
          <w:color w:val="000000" w:themeColor="text1"/>
          <w:sz w:val="24"/>
        </w:rPr>
        <w:t>CO</w:t>
      </w:r>
      <w:r w:rsidR="00E52F99" w:rsidRPr="00092862">
        <w:rPr>
          <w:rFonts w:ascii="Times New Roman" w:eastAsia="宋体" w:hAnsi="Times New Roman" w:cs="Times New Roman"/>
          <w:bCs/>
          <w:color w:val="000000" w:themeColor="text1"/>
          <w:sz w:val="24"/>
        </w:rPr>
        <w:t>等，施工机械使用合格燃油、加强设备保养、运输车辆控制车速等，最终产生的废气量较小。这些污染物将对环境空气造成一定程度的污染，但这种污染是短期的，工程结束后，将不复存在，对大气环境影响小。</w:t>
      </w:r>
    </w:p>
    <w:p w14:paraId="58AD2ACF" w14:textId="142AE2F0" w:rsidR="00E52F99" w:rsidRPr="00092862" w:rsidRDefault="00573FA1" w:rsidP="00E52F99">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2</w:t>
      </w:r>
      <w:r w:rsidR="00E52F99" w:rsidRPr="00092862">
        <w:rPr>
          <w:rFonts w:ascii="Times New Roman" w:eastAsia="宋体" w:hAnsi="Times New Roman" w:cs="Times New Roman"/>
          <w:b/>
          <w:color w:val="000000" w:themeColor="text1"/>
          <w:sz w:val="24"/>
          <w:szCs w:val="24"/>
        </w:rPr>
        <w:t>、地表水环境影响分析</w:t>
      </w:r>
    </w:p>
    <w:p w14:paraId="065033B3" w14:textId="25C2016A" w:rsidR="00E52F99" w:rsidRPr="00092862" w:rsidRDefault="00E52F99" w:rsidP="00E52F99">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color w:val="000000" w:themeColor="text1"/>
          <w:sz w:val="24"/>
          <w:szCs w:val="24"/>
        </w:rPr>
        <w:t>废水主要施工废水</w:t>
      </w:r>
      <w:r w:rsidRPr="00092862">
        <w:rPr>
          <w:rFonts w:ascii="Times New Roman" w:eastAsia="宋体" w:hAnsi="Times New Roman" w:cs="Times New Roman"/>
          <w:bCs/>
          <w:color w:val="000000" w:themeColor="text1"/>
          <w:sz w:val="24"/>
          <w:szCs w:val="24"/>
        </w:rPr>
        <w:t>（主要污染物为</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color w:val="000000" w:themeColor="text1"/>
          <w:sz w:val="24"/>
          <w:szCs w:val="24"/>
        </w:rPr>
        <w:t>以及施工人员的生活污水（主要污染物为</w:t>
      </w:r>
      <w:r w:rsidRPr="00092862">
        <w:rPr>
          <w:rFonts w:ascii="Times New Roman" w:eastAsia="宋体" w:hAnsi="Times New Roman" w:cs="Times New Roman"/>
          <w:bCs/>
          <w:color w:val="000000" w:themeColor="text1"/>
          <w:sz w:val="24"/>
          <w:szCs w:val="24"/>
        </w:rPr>
        <w:t>COD</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SS</w:t>
      </w:r>
      <w:r w:rsidRPr="00092862">
        <w:rPr>
          <w:rFonts w:ascii="Times New Roman" w:eastAsia="宋体" w:hAnsi="Times New Roman" w:cs="Times New Roman"/>
          <w:bCs/>
          <w:color w:val="000000" w:themeColor="text1"/>
          <w:sz w:val="24"/>
          <w:szCs w:val="24"/>
        </w:rPr>
        <w:t>和</w:t>
      </w:r>
      <w:r w:rsidRPr="00092862">
        <w:rPr>
          <w:rFonts w:ascii="Times New Roman" w:eastAsia="宋体" w:hAnsi="Times New Roman" w:cs="Times New Roman"/>
          <w:bCs/>
          <w:color w:val="000000" w:themeColor="text1"/>
          <w:sz w:val="24"/>
          <w:szCs w:val="24"/>
        </w:rPr>
        <w:t>NH</w:t>
      </w:r>
      <w:r w:rsidRPr="00092862">
        <w:rPr>
          <w:rFonts w:ascii="Times New Roman" w:eastAsia="宋体" w:hAnsi="Times New Roman" w:cs="Times New Roman"/>
          <w:bCs/>
          <w:color w:val="000000" w:themeColor="text1"/>
          <w:sz w:val="24"/>
          <w:szCs w:val="24"/>
          <w:vertAlign w:val="subscript"/>
        </w:rPr>
        <w:t>3</w:t>
      </w:r>
      <w:r w:rsidRPr="00092862">
        <w:rPr>
          <w:rFonts w:ascii="Times New Roman" w:eastAsia="宋体" w:hAnsi="Times New Roman" w:cs="Times New Roman"/>
          <w:bCs/>
          <w:color w:val="000000" w:themeColor="text1"/>
          <w:sz w:val="24"/>
          <w:szCs w:val="24"/>
        </w:rPr>
        <w:t>-N</w:t>
      </w:r>
      <w:r w:rsidRPr="00092862">
        <w:rPr>
          <w:rFonts w:ascii="Times New Roman" w:eastAsia="宋体" w:hAnsi="Times New Roman" w:cs="Times New Roman"/>
          <w:bCs/>
          <w:color w:val="000000" w:themeColor="text1"/>
          <w:sz w:val="24"/>
          <w:szCs w:val="24"/>
        </w:rPr>
        <w:t>等</w:t>
      </w:r>
      <w:r w:rsidRPr="00092862">
        <w:rPr>
          <w:rFonts w:ascii="Times New Roman" w:eastAsia="宋体" w:hAnsi="Times New Roman" w:cs="Times New Roman"/>
          <w:color w:val="000000" w:themeColor="text1"/>
          <w:sz w:val="24"/>
          <w:szCs w:val="24"/>
        </w:rPr>
        <w:t>）。站场建设工程量小，施工时间短，</w:t>
      </w:r>
      <w:r w:rsidR="00271DF7" w:rsidRPr="00092862">
        <w:rPr>
          <w:rFonts w:ascii="Times New Roman" w:eastAsia="宋体" w:hAnsi="Times New Roman" w:cs="Times New Roman"/>
          <w:bCs/>
          <w:color w:val="000000" w:themeColor="text1"/>
          <w:sz w:val="24"/>
        </w:rPr>
        <w:t>生活污水经生态厕所收集后定期由密闭罐车拉运至周边生活污水处理厂处理</w:t>
      </w:r>
      <w:r w:rsidR="00E62C83"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少量生产废水在施工现场设置沉淀池，施工废水经隔油沉淀处理后回用于洒水降尘，不外排</w:t>
      </w:r>
      <w:r w:rsidR="00E62C83"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对地表水环境影响小</w:t>
      </w:r>
      <w:r w:rsidRPr="00092862">
        <w:rPr>
          <w:rFonts w:ascii="Times New Roman" w:eastAsia="宋体" w:hAnsi="Times New Roman" w:cs="Times New Roman"/>
          <w:bCs/>
          <w:color w:val="000000" w:themeColor="text1"/>
          <w:sz w:val="24"/>
        </w:rPr>
        <w:t>。</w:t>
      </w:r>
    </w:p>
    <w:p w14:paraId="4DDC0E1A" w14:textId="50B54984" w:rsidR="00E52F99" w:rsidRPr="00092862" w:rsidRDefault="00573FA1" w:rsidP="00E52F99">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3</w:t>
      </w:r>
      <w:r w:rsidR="00E52F99" w:rsidRPr="00092862">
        <w:rPr>
          <w:rFonts w:ascii="Times New Roman" w:eastAsia="宋体" w:hAnsi="Times New Roman" w:cs="Times New Roman"/>
          <w:b/>
          <w:color w:val="000000" w:themeColor="text1"/>
          <w:sz w:val="24"/>
          <w:szCs w:val="24"/>
        </w:rPr>
        <w:t>、声环境影响分析</w:t>
      </w:r>
    </w:p>
    <w:p w14:paraId="0E15DE81" w14:textId="2924FAA8" w:rsidR="00E52F99" w:rsidRPr="00092862" w:rsidRDefault="00E52F99" w:rsidP="00E52F99">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lastRenderedPageBreak/>
        <w:t>站场</w:t>
      </w:r>
      <w:r w:rsidR="00E62C83" w:rsidRPr="00092862">
        <w:rPr>
          <w:rFonts w:ascii="Times New Roman" w:eastAsia="宋体" w:hAnsi="Times New Roman" w:cs="Times New Roman"/>
          <w:color w:val="000000" w:themeColor="text1"/>
          <w:sz w:val="24"/>
          <w:szCs w:val="24"/>
        </w:rPr>
        <w:t>与管线</w:t>
      </w:r>
      <w:r w:rsidRPr="00092862">
        <w:rPr>
          <w:rFonts w:ascii="Times New Roman" w:eastAsia="宋体" w:hAnsi="Times New Roman" w:cs="Times New Roman"/>
          <w:color w:val="000000" w:themeColor="text1"/>
          <w:sz w:val="24"/>
          <w:szCs w:val="24"/>
        </w:rPr>
        <w:t>建设的噪声主要是推土机、挖掘机、载重汽车等运行中产生的，工程量小、时间短，噪声源强小，夜间不施工，对环境影响小。</w:t>
      </w:r>
    </w:p>
    <w:p w14:paraId="7805B348" w14:textId="7C43731A" w:rsidR="00E52F99" w:rsidRPr="00092862" w:rsidRDefault="00573FA1" w:rsidP="00E52F99">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4</w:t>
      </w:r>
      <w:r w:rsidR="00E52F99" w:rsidRPr="00092862">
        <w:rPr>
          <w:rFonts w:ascii="Times New Roman" w:eastAsia="宋体" w:hAnsi="Times New Roman" w:cs="Times New Roman"/>
          <w:b/>
          <w:color w:val="000000" w:themeColor="text1"/>
          <w:sz w:val="24"/>
          <w:szCs w:val="24"/>
        </w:rPr>
        <w:t>、固废影响分析</w:t>
      </w:r>
    </w:p>
    <w:p w14:paraId="0DBBC8BF" w14:textId="4BC984B9" w:rsidR="00E52F99" w:rsidRPr="00092862" w:rsidRDefault="00E52F99" w:rsidP="00E52F99">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站场建设产生少量建筑垃圾，如包装袋</w:t>
      </w:r>
      <w:r w:rsidR="00E62C83"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废弃建筑材料</w:t>
      </w:r>
      <w:r w:rsidR="00E62C83" w:rsidRPr="00092862">
        <w:rPr>
          <w:rFonts w:ascii="Times New Roman" w:eastAsia="宋体" w:hAnsi="Times New Roman" w:cs="Times New Roman"/>
          <w:color w:val="000000" w:themeColor="text1"/>
          <w:sz w:val="24"/>
          <w:szCs w:val="24"/>
        </w:rPr>
        <w:t>、废焊条、焊渣</w:t>
      </w:r>
      <w:r w:rsidRPr="00092862">
        <w:rPr>
          <w:rFonts w:ascii="Times New Roman" w:eastAsia="宋体" w:hAnsi="Times New Roman" w:cs="Times New Roman"/>
          <w:color w:val="000000" w:themeColor="text1"/>
          <w:sz w:val="24"/>
          <w:szCs w:val="24"/>
        </w:rPr>
        <w:t>等，其量小，</w:t>
      </w:r>
      <w:r w:rsidR="00E62C83" w:rsidRPr="00092862">
        <w:rPr>
          <w:rFonts w:ascii="Times New Roman" w:eastAsia="宋体" w:hAnsi="Times New Roman" w:cs="Times New Roman"/>
          <w:color w:val="000000" w:themeColor="text1"/>
          <w:sz w:val="24"/>
          <w:szCs w:val="24"/>
        </w:rPr>
        <w:t>施工废料部分可回收利用，剩余废料</w:t>
      </w:r>
      <w:r w:rsidRPr="00092862">
        <w:rPr>
          <w:rFonts w:ascii="Times New Roman" w:eastAsia="宋体" w:hAnsi="Times New Roman" w:cs="Times New Roman"/>
          <w:color w:val="000000" w:themeColor="text1"/>
          <w:sz w:val="24"/>
          <w:szCs w:val="24"/>
        </w:rPr>
        <w:t>由施工队伍统一收集清运至政府指定地方。施工人员多为当地民工，租住在附近农户，无集中生活垃圾产生，其产生的生活垃圾利用附近农户现有的设施进行收集处置，无集中生活垃圾产生。站场建设固废产生量少，经有效收集处置后，不会产生二次污染，对环境影响小。</w:t>
      </w:r>
    </w:p>
    <w:p w14:paraId="0F0B9578" w14:textId="4F3C1E71" w:rsidR="00DC446C" w:rsidRPr="00092862" w:rsidRDefault="003B1968" w:rsidP="001E56F9">
      <w:pPr>
        <w:pStyle w:val="2"/>
        <w:ind w:firstLine="480"/>
        <w:rPr>
          <w:color w:val="000000" w:themeColor="text1"/>
          <w:szCs w:val="24"/>
          <w:lang w:eastAsia="zh-CN"/>
        </w:rPr>
      </w:pPr>
      <w:bookmarkStart w:id="207" w:name="5.1.5生态影响分析"/>
      <w:bookmarkStart w:id="208" w:name="_bookmark29"/>
      <w:bookmarkStart w:id="209" w:name="5.2运营期环境影响分析"/>
      <w:bookmarkStart w:id="210" w:name="_Toc123682542"/>
      <w:bookmarkEnd w:id="207"/>
      <w:bookmarkEnd w:id="208"/>
      <w:bookmarkEnd w:id="209"/>
      <w:r w:rsidRPr="00092862">
        <w:rPr>
          <w:color w:val="000000" w:themeColor="text1"/>
          <w:szCs w:val="24"/>
          <w:lang w:eastAsia="zh-CN"/>
        </w:rPr>
        <w:t>5.2</w:t>
      </w:r>
      <w:r w:rsidR="001A6854" w:rsidRPr="00092862">
        <w:rPr>
          <w:color w:val="000000" w:themeColor="text1"/>
          <w:szCs w:val="24"/>
          <w:lang w:eastAsia="zh-CN"/>
        </w:rPr>
        <w:t>试采期</w:t>
      </w:r>
      <w:r w:rsidRPr="00092862">
        <w:rPr>
          <w:color w:val="000000" w:themeColor="text1"/>
          <w:szCs w:val="24"/>
          <w:lang w:eastAsia="zh-CN"/>
        </w:rPr>
        <w:t>环境影响分析</w:t>
      </w:r>
      <w:bookmarkEnd w:id="210"/>
    </w:p>
    <w:p w14:paraId="2F173FD0" w14:textId="5D862690" w:rsidR="00573FA1" w:rsidRPr="00092862" w:rsidRDefault="00573FA1" w:rsidP="001E56F9">
      <w:pPr>
        <w:adjustRightInd w:val="0"/>
        <w:snapToGrid w:val="0"/>
        <w:spacing w:line="360" w:lineRule="auto"/>
        <w:ind w:firstLineChars="200" w:firstLine="480"/>
        <w:outlineLvl w:val="2"/>
        <w:rPr>
          <w:rFonts w:ascii="Times New Roman" w:eastAsia="黑体" w:hAnsi="Times New Roman" w:cs="Times New Roman"/>
          <w:bCs/>
          <w:color w:val="000000" w:themeColor="text1"/>
          <w:sz w:val="24"/>
          <w:szCs w:val="24"/>
        </w:rPr>
      </w:pPr>
      <w:bookmarkStart w:id="211" w:name="5.2.1地表水环境影响分析"/>
      <w:bookmarkStart w:id="212" w:name="_Toc120173155"/>
      <w:bookmarkEnd w:id="211"/>
      <w:r w:rsidRPr="00092862">
        <w:rPr>
          <w:rFonts w:ascii="Times New Roman" w:eastAsia="黑体" w:hAnsi="Times New Roman" w:cs="Times New Roman"/>
          <w:bCs/>
          <w:color w:val="000000" w:themeColor="text1"/>
          <w:sz w:val="24"/>
          <w:szCs w:val="24"/>
        </w:rPr>
        <w:t>5.2.1</w:t>
      </w:r>
      <w:r w:rsidRPr="00092862">
        <w:rPr>
          <w:rFonts w:ascii="Times New Roman" w:eastAsia="黑体" w:hAnsi="Times New Roman" w:cs="Times New Roman"/>
          <w:bCs/>
          <w:color w:val="000000" w:themeColor="text1"/>
          <w:sz w:val="24"/>
          <w:szCs w:val="24"/>
        </w:rPr>
        <w:t>试采期生态环境影响分析</w:t>
      </w:r>
      <w:bookmarkEnd w:id="212"/>
    </w:p>
    <w:p w14:paraId="29F7E136" w14:textId="33C636FD" w:rsidR="00573FA1" w:rsidRPr="00092862" w:rsidRDefault="00573FA1" w:rsidP="001E56F9">
      <w:pPr>
        <w:tabs>
          <w:tab w:val="left" w:pos="1440"/>
        </w:tabs>
        <w:adjustRightInd w:val="0"/>
        <w:snapToGrid w:val="0"/>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5.2.1.1</w:t>
      </w:r>
      <w:r w:rsidRPr="00092862">
        <w:rPr>
          <w:rFonts w:ascii="Times New Roman" w:hAnsi="Times New Roman" w:cs="Times New Roman"/>
          <w:b/>
          <w:bCs/>
          <w:color w:val="000000" w:themeColor="text1"/>
          <w:sz w:val="24"/>
          <w:szCs w:val="24"/>
        </w:rPr>
        <w:t>对土地利用类型的影响</w:t>
      </w:r>
    </w:p>
    <w:p w14:paraId="25879582" w14:textId="4B8A3153" w:rsidR="00573FA1" w:rsidRPr="00092862" w:rsidRDefault="00573FA1"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本项目</w:t>
      </w:r>
      <w:r w:rsidR="00444493" w:rsidRPr="00092862">
        <w:rPr>
          <w:color w:val="000000" w:themeColor="text1"/>
          <w:sz w:val="24"/>
        </w:rPr>
        <w:t>试采</w:t>
      </w:r>
      <w:r w:rsidRPr="00092862">
        <w:rPr>
          <w:color w:val="000000" w:themeColor="text1"/>
          <w:sz w:val="24"/>
        </w:rPr>
        <w:t>期不涉及新增占地</w:t>
      </w:r>
      <w:r w:rsidR="0072464E" w:rsidRPr="00092862">
        <w:rPr>
          <w:color w:val="000000" w:themeColor="text1"/>
          <w:sz w:val="24"/>
        </w:rPr>
        <w:t>（</w:t>
      </w:r>
      <w:r w:rsidR="0028745C" w:rsidRPr="00092862">
        <w:rPr>
          <w:color w:val="000000" w:themeColor="text1"/>
          <w:sz w:val="24"/>
        </w:rPr>
        <w:t>仅</w:t>
      </w:r>
      <w:r w:rsidR="008C6DFA" w:rsidRPr="00092862">
        <w:rPr>
          <w:color w:val="000000" w:themeColor="text1"/>
          <w:sz w:val="24"/>
        </w:rPr>
        <w:t>在钻井井场占地范围内进行建设</w:t>
      </w:r>
      <w:r w:rsidR="0072464E" w:rsidRPr="00092862">
        <w:rPr>
          <w:color w:val="000000" w:themeColor="text1"/>
          <w:sz w:val="24"/>
        </w:rPr>
        <w:t>）</w:t>
      </w:r>
      <w:r w:rsidRPr="00092862">
        <w:rPr>
          <w:color w:val="000000" w:themeColor="text1"/>
          <w:sz w:val="24"/>
        </w:rPr>
        <w:t>，不会直接改变土地利用方式，项目运营不会改变评价区内现有的土地利用的基本格局。</w:t>
      </w:r>
    </w:p>
    <w:p w14:paraId="5D7F5B3D" w14:textId="209B902F" w:rsidR="00573FA1" w:rsidRPr="00092862" w:rsidRDefault="00573FA1" w:rsidP="001E56F9">
      <w:pPr>
        <w:tabs>
          <w:tab w:val="left" w:pos="1440"/>
        </w:tabs>
        <w:adjustRightInd w:val="0"/>
        <w:snapToGrid w:val="0"/>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5.2.1.2</w:t>
      </w:r>
      <w:r w:rsidRPr="00092862">
        <w:rPr>
          <w:rFonts w:ascii="Times New Roman" w:hAnsi="Times New Roman" w:cs="Times New Roman"/>
          <w:b/>
          <w:bCs/>
          <w:color w:val="000000" w:themeColor="text1"/>
          <w:sz w:val="24"/>
          <w:szCs w:val="24"/>
        </w:rPr>
        <w:t>对植被及生物量的影响</w:t>
      </w:r>
    </w:p>
    <w:p w14:paraId="79DC2A25" w14:textId="77777777" w:rsidR="00573FA1" w:rsidRPr="00092862" w:rsidRDefault="00573FA1"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w:t>
      </w:r>
      <w:r w:rsidRPr="00092862">
        <w:rPr>
          <w:color w:val="000000" w:themeColor="text1"/>
          <w:sz w:val="24"/>
        </w:rPr>
        <w:t>1</w:t>
      </w:r>
      <w:r w:rsidRPr="00092862">
        <w:rPr>
          <w:color w:val="000000" w:themeColor="text1"/>
          <w:sz w:val="24"/>
        </w:rPr>
        <w:t>）工程占地</w:t>
      </w:r>
    </w:p>
    <w:p w14:paraId="0E49B85E" w14:textId="477839DB" w:rsidR="00573FA1" w:rsidRPr="00092862" w:rsidRDefault="001E56F9"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本项目运营期不涉及新增占地，对植被及生物量无直接影响</w:t>
      </w:r>
      <w:r w:rsidR="00573FA1" w:rsidRPr="00092862">
        <w:rPr>
          <w:color w:val="000000" w:themeColor="text1"/>
          <w:sz w:val="24"/>
        </w:rPr>
        <w:t>。</w:t>
      </w:r>
    </w:p>
    <w:p w14:paraId="3D32A96B" w14:textId="77777777" w:rsidR="00573FA1" w:rsidRPr="00092862" w:rsidRDefault="00573FA1"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w:t>
      </w:r>
      <w:r w:rsidRPr="00092862">
        <w:rPr>
          <w:color w:val="000000" w:themeColor="text1"/>
          <w:sz w:val="24"/>
        </w:rPr>
        <w:t>2</w:t>
      </w:r>
      <w:r w:rsidRPr="00092862">
        <w:rPr>
          <w:color w:val="000000" w:themeColor="text1"/>
          <w:sz w:val="24"/>
        </w:rPr>
        <w:t>）人员活动</w:t>
      </w:r>
    </w:p>
    <w:p w14:paraId="5B9A3B58" w14:textId="1923C8D1" w:rsidR="00573FA1" w:rsidRPr="00092862" w:rsidRDefault="00573FA1"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本项目</w:t>
      </w:r>
      <w:r w:rsidR="0028745C" w:rsidRPr="00092862">
        <w:rPr>
          <w:color w:val="000000" w:themeColor="text1"/>
          <w:sz w:val="24"/>
        </w:rPr>
        <w:t>为依托</w:t>
      </w:r>
      <w:r w:rsidR="004D07D0" w:rsidRPr="00092862">
        <w:rPr>
          <w:color w:val="000000" w:themeColor="text1"/>
          <w:sz w:val="24"/>
        </w:rPr>
        <w:t>原老君</w:t>
      </w:r>
      <w:r w:rsidR="004D07D0" w:rsidRPr="00092862">
        <w:rPr>
          <w:color w:val="000000" w:themeColor="text1"/>
          <w:sz w:val="24"/>
        </w:rPr>
        <w:t>701</w:t>
      </w:r>
      <w:r w:rsidR="004D07D0" w:rsidRPr="00092862">
        <w:rPr>
          <w:color w:val="000000" w:themeColor="text1"/>
          <w:sz w:val="24"/>
        </w:rPr>
        <w:t>集气站旁</w:t>
      </w:r>
      <w:r w:rsidR="0028745C" w:rsidRPr="00092862">
        <w:rPr>
          <w:color w:val="000000" w:themeColor="text1"/>
          <w:sz w:val="24"/>
        </w:rPr>
        <w:t>工作人员，不新增，</w:t>
      </w:r>
      <w:r w:rsidR="00253A79" w:rsidRPr="00092862">
        <w:rPr>
          <w:color w:val="000000" w:themeColor="text1"/>
          <w:sz w:val="24"/>
        </w:rPr>
        <w:t>项目区现有土地开发利用程度较高，野生动物组成比较简单，种类较少，多为已经适应人类生产生活等环境的鸟类和小型啮齿类动物，项目运营对其影响较小</w:t>
      </w:r>
      <w:r w:rsidRPr="00092862">
        <w:rPr>
          <w:color w:val="000000" w:themeColor="text1"/>
          <w:sz w:val="24"/>
        </w:rPr>
        <w:t>。</w:t>
      </w:r>
    </w:p>
    <w:p w14:paraId="46E39821" w14:textId="25B6C0DC" w:rsidR="00573FA1" w:rsidRPr="00092862" w:rsidRDefault="00573FA1" w:rsidP="001E56F9">
      <w:pPr>
        <w:tabs>
          <w:tab w:val="left" w:pos="1440"/>
        </w:tabs>
        <w:adjustRightInd w:val="0"/>
        <w:snapToGrid w:val="0"/>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5.2.1.3</w:t>
      </w:r>
      <w:r w:rsidRPr="00092862">
        <w:rPr>
          <w:rFonts w:ascii="Times New Roman" w:hAnsi="Times New Roman" w:cs="Times New Roman"/>
          <w:b/>
          <w:bCs/>
          <w:color w:val="000000" w:themeColor="text1"/>
          <w:sz w:val="24"/>
          <w:szCs w:val="24"/>
        </w:rPr>
        <w:t>对陆生野生动物的影响分析</w:t>
      </w:r>
    </w:p>
    <w:p w14:paraId="244FF8D1" w14:textId="54EF6C25" w:rsidR="00573FA1" w:rsidRPr="00092862" w:rsidRDefault="00573FA1"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本项目</w:t>
      </w:r>
      <w:r w:rsidR="00444493" w:rsidRPr="00092862">
        <w:rPr>
          <w:color w:val="000000" w:themeColor="text1"/>
          <w:sz w:val="24"/>
        </w:rPr>
        <w:t>试采</w:t>
      </w:r>
      <w:r w:rsidRPr="00092862">
        <w:rPr>
          <w:color w:val="000000" w:themeColor="text1"/>
          <w:sz w:val="24"/>
        </w:rPr>
        <w:t>期不涉及新增占地，</w:t>
      </w:r>
      <w:r w:rsidR="0028745C" w:rsidRPr="00092862">
        <w:rPr>
          <w:color w:val="000000" w:themeColor="text1"/>
          <w:sz w:val="24"/>
        </w:rPr>
        <w:t>无新增工作人员</w:t>
      </w:r>
      <w:r w:rsidRPr="00092862">
        <w:rPr>
          <w:color w:val="000000" w:themeColor="text1"/>
          <w:sz w:val="24"/>
        </w:rPr>
        <w:t>，</w:t>
      </w:r>
      <w:r w:rsidR="00253A79" w:rsidRPr="00092862">
        <w:rPr>
          <w:color w:val="000000" w:themeColor="text1"/>
          <w:sz w:val="24"/>
        </w:rPr>
        <w:t>项目区现有土地开发利用程度较高，野生动物组成比较简单，种类较少，多为已经适应人类生产生活等环境的鸟类和小型啮齿类动物，项目运营对其影响较小</w:t>
      </w:r>
      <w:r w:rsidRPr="00092862">
        <w:rPr>
          <w:color w:val="000000" w:themeColor="text1"/>
          <w:sz w:val="24"/>
        </w:rPr>
        <w:t>。</w:t>
      </w:r>
    </w:p>
    <w:p w14:paraId="2B0920B3" w14:textId="40285A1B" w:rsidR="00573FA1" w:rsidRPr="00092862" w:rsidRDefault="00573FA1" w:rsidP="001E56F9">
      <w:pPr>
        <w:tabs>
          <w:tab w:val="left" w:pos="1440"/>
        </w:tabs>
        <w:adjustRightInd w:val="0"/>
        <w:snapToGrid w:val="0"/>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5.2.1.4</w:t>
      </w:r>
      <w:r w:rsidRPr="00092862">
        <w:rPr>
          <w:rFonts w:ascii="Times New Roman" w:hAnsi="Times New Roman" w:cs="Times New Roman"/>
          <w:b/>
          <w:bCs/>
          <w:color w:val="000000" w:themeColor="text1"/>
          <w:sz w:val="24"/>
          <w:szCs w:val="24"/>
        </w:rPr>
        <w:t>对重点保护野生动植物的影响</w:t>
      </w:r>
    </w:p>
    <w:p w14:paraId="5F854DDB" w14:textId="77777777" w:rsidR="001E56F9" w:rsidRPr="00092862" w:rsidRDefault="001E56F9" w:rsidP="001E56F9">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根据实地调查，在项目评价区内未发现国家和省级重点保护野生植物。</w:t>
      </w:r>
    </w:p>
    <w:p w14:paraId="41A4E0EF" w14:textId="1808C2D2" w:rsidR="00573FA1" w:rsidRPr="00092862" w:rsidRDefault="001E56F9" w:rsidP="001E56F9">
      <w:pPr>
        <w:pStyle w:val="41"/>
        <w:adjustRightInd w:val="0"/>
        <w:snapToGrid w:val="0"/>
        <w:spacing w:line="360" w:lineRule="auto"/>
        <w:ind w:firstLineChars="200" w:firstLine="480"/>
        <w:rPr>
          <w:color w:val="000000" w:themeColor="text1"/>
          <w:sz w:val="24"/>
        </w:rPr>
      </w:pPr>
      <w:r w:rsidRPr="00092862">
        <w:rPr>
          <w:color w:val="000000" w:themeColor="text1"/>
          <w:sz w:val="24"/>
        </w:rPr>
        <w:t>本项目运营期不涉及新增占地，运营期间有人值守。项目区可能出现的重点保护鸟类雀鹰、画眉主要为过境取食及活动，并无栖息地。同时，雀鹰、画</w:t>
      </w:r>
      <w:r w:rsidRPr="00092862">
        <w:rPr>
          <w:color w:val="000000" w:themeColor="text1"/>
          <w:sz w:val="24"/>
        </w:rPr>
        <w:lastRenderedPageBreak/>
        <w:t>眉飞翔能力和自主迁徙能力较强，捕食范围很广，项目运营对其影响很小。在运营期间，要加强在施工人员中的宣传教育，严禁捕捉野生动物</w:t>
      </w:r>
      <w:r w:rsidR="00573FA1" w:rsidRPr="00092862">
        <w:rPr>
          <w:color w:val="000000" w:themeColor="text1"/>
          <w:sz w:val="24"/>
        </w:rPr>
        <w:t>。</w:t>
      </w:r>
    </w:p>
    <w:p w14:paraId="6D560F88" w14:textId="5F36BED0" w:rsidR="00573FA1" w:rsidRPr="00092862" w:rsidRDefault="00573FA1" w:rsidP="001E56F9">
      <w:pPr>
        <w:tabs>
          <w:tab w:val="left" w:pos="1440"/>
        </w:tabs>
        <w:adjustRightInd w:val="0"/>
        <w:snapToGrid w:val="0"/>
        <w:spacing w:line="360" w:lineRule="auto"/>
        <w:ind w:firstLineChars="200" w:firstLine="480"/>
        <w:outlineLvl w:val="3"/>
        <w:rPr>
          <w:rFonts w:ascii="Times New Roman" w:hAnsi="Times New Roman" w:cs="Times New Roman"/>
          <w:b/>
          <w:bCs/>
          <w:color w:val="000000" w:themeColor="text1"/>
          <w:sz w:val="24"/>
          <w:szCs w:val="24"/>
        </w:rPr>
      </w:pPr>
      <w:r w:rsidRPr="00092862">
        <w:rPr>
          <w:rFonts w:ascii="Times New Roman" w:hAnsi="Times New Roman" w:cs="Times New Roman"/>
          <w:b/>
          <w:bCs/>
          <w:color w:val="000000" w:themeColor="text1"/>
          <w:sz w:val="24"/>
          <w:szCs w:val="24"/>
        </w:rPr>
        <w:t>5.2.1.5</w:t>
      </w:r>
      <w:r w:rsidRPr="00092862">
        <w:rPr>
          <w:rFonts w:ascii="Times New Roman" w:hAnsi="Times New Roman" w:cs="Times New Roman"/>
          <w:b/>
          <w:bCs/>
          <w:color w:val="000000" w:themeColor="text1"/>
          <w:sz w:val="24"/>
          <w:szCs w:val="24"/>
        </w:rPr>
        <w:t>对景观生态和生态系统影响分析</w:t>
      </w:r>
    </w:p>
    <w:p w14:paraId="1AF27BC3" w14:textId="2D4439D5" w:rsidR="00573FA1" w:rsidRPr="00092862" w:rsidRDefault="001E56F9" w:rsidP="001E56F9">
      <w:pPr>
        <w:adjustRightInd w:val="0"/>
        <w:snapToGrid w:val="0"/>
        <w:spacing w:line="360" w:lineRule="auto"/>
        <w:ind w:firstLineChars="200" w:firstLine="480"/>
        <w:rPr>
          <w:rFonts w:ascii="Times New Roman" w:hAnsi="Times New Roman" w:cs="Times New Roman"/>
          <w:bCs/>
          <w:color w:val="000000" w:themeColor="text1"/>
          <w:sz w:val="24"/>
          <w:szCs w:val="24"/>
        </w:rPr>
      </w:pPr>
      <w:r w:rsidRPr="00092862">
        <w:rPr>
          <w:rFonts w:ascii="Times New Roman" w:eastAsia="宋体" w:hAnsi="Times New Roman" w:cs="Times New Roman"/>
          <w:color w:val="000000" w:themeColor="text1"/>
          <w:sz w:val="24"/>
        </w:rPr>
        <w:t>项目运营期不涉及新增占地，森林模地根基不会动摇，景观的恢复稳定性和阻抗稳定性不会改变，生态环境不会发生质的变化，项目区及周边区域生态效能、景观风貌、环境质量、物种多样性等生态因子影响很小，不会对区域生态完整性产生影响</w:t>
      </w:r>
      <w:r w:rsidR="00573FA1" w:rsidRPr="00092862">
        <w:rPr>
          <w:rFonts w:ascii="Times New Roman" w:hAnsi="Times New Roman" w:cs="Times New Roman"/>
          <w:bCs/>
          <w:color w:val="000000" w:themeColor="text1"/>
          <w:sz w:val="24"/>
          <w:szCs w:val="24"/>
        </w:rPr>
        <w:t>。</w:t>
      </w:r>
    </w:p>
    <w:p w14:paraId="32FDCACC" w14:textId="753550C1" w:rsidR="00F77930" w:rsidRPr="00092862" w:rsidRDefault="00BB0B1C" w:rsidP="00BB0B1C">
      <w:pPr>
        <w:adjustRightInd w:val="0"/>
        <w:snapToGrid w:val="0"/>
        <w:spacing w:line="360" w:lineRule="auto"/>
        <w:ind w:firstLineChars="200" w:firstLine="480"/>
        <w:outlineLvl w:val="2"/>
        <w:rPr>
          <w:rFonts w:ascii="Times New Roman" w:eastAsia="黑体" w:hAnsi="Times New Roman" w:cs="Times New Roman"/>
          <w:bCs/>
          <w:color w:val="000000" w:themeColor="text1"/>
          <w:sz w:val="24"/>
          <w:szCs w:val="24"/>
        </w:rPr>
      </w:pPr>
      <w:bookmarkStart w:id="213" w:name="_Toc120173156"/>
      <w:r w:rsidRPr="00092862">
        <w:rPr>
          <w:rFonts w:ascii="Times New Roman" w:eastAsia="黑体" w:hAnsi="Times New Roman" w:cs="Times New Roman"/>
          <w:bCs/>
          <w:color w:val="000000" w:themeColor="text1"/>
          <w:sz w:val="24"/>
          <w:szCs w:val="24"/>
        </w:rPr>
        <w:t>5.2.</w:t>
      </w:r>
      <w:r w:rsidR="00573FA1" w:rsidRPr="00092862">
        <w:rPr>
          <w:rFonts w:ascii="Times New Roman" w:eastAsia="黑体" w:hAnsi="Times New Roman" w:cs="Times New Roman"/>
          <w:bCs/>
          <w:color w:val="000000" w:themeColor="text1"/>
          <w:sz w:val="24"/>
          <w:szCs w:val="24"/>
        </w:rPr>
        <w:t>2</w:t>
      </w:r>
      <w:r w:rsidR="00F77930" w:rsidRPr="00092862">
        <w:rPr>
          <w:rFonts w:ascii="Times New Roman" w:eastAsia="黑体" w:hAnsi="Times New Roman" w:cs="Times New Roman"/>
          <w:bCs/>
          <w:color w:val="000000" w:themeColor="text1"/>
          <w:sz w:val="24"/>
          <w:szCs w:val="24"/>
        </w:rPr>
        <w:t>大气环境影响分析</w:t>
      </w:r>
      <w:bookmarkEnd w:id="213"/>
    </w:p>
    <w:p w14:paraId="2736B9B9" w14:textId="22827688" w:rsidR="00E10DFC" w:rsidRPr="00092862" w:rsidRDefault="0028745C" w:rsidP="00E10DF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废气主要来自水套加热炉</w:t>
      </w:r>
      <w:r w:rsidR="004B4FA7" w:rsidRPr="00092862">
        <w:rPr>
          <w:rFonts w:ascii="Times New Roman" w:eastAsia="宋体" w:hAnsi="Times New Roman" w:cs="Times New Roman"/>
          <w:color w:val="000000" w:themeColor="text1"/>
          <w:sz w:val="24"/>
          <w:szCs w:val="24"/>
        </w:rPr>
        <w:t>与放空火炬长明灯</w:t>
      </w:r>
      <w:r w:rsidRPr="00092862">
        <w:rPr>
          <w:rFonts w:ascii="Times New Roman" w:eastAsia="宋体" w:hAnsi="Times New Roman" w:cs="Times New Roman"/>
          <w:color w:val="000000" w:themeColor="text1"/>
          <w:sz w:val="24"/>
          <w:szCs w:val="24"/>
        </w:rPr>
        <w:t>天然气燃烧所产生的废气、</w:t>
      </w:r>
      <w:r w:rsidR="004B4FA7" w:rsidRPr="00092862">
        <w:rPr>
          <w:rFonts w:ascii="Times New Roman" w:eastAsia="宋体" w:hAnsi="Times New Roman" w:cs="Times New Roman"/>
          <w:color w:val="000000" w:themeColor="text1"/>
          <w:sz w:val="24"/>
          <w:szCs w:val="24"/>
        </w:rPr>
        <w:t>无组织泄漏烃类气体与设备检修或系统超压时排放少量天然气</w:t>
      </w:r>
      <w:r w:rsidRPr="00092862">
        <w:rPr>
          <w:rFonts w:ascii="Times New Roman" w:eastAsia="宋体" w:hAnsi="Times New Roman" w:cs="Times New Roman"/>
          <w:color w:val="000000" w:themeColor="text1"/>
          <w:sz w:val="24"/>
          <w:szCs w:val="24"/>
        </w:rPr>
        <w:t>。</w:t>
      </w:r>
      <w:r w:rsidR="004B4FA7" w:rsidRPr="00092862">
        <w:rPr>
          <w:rFonts w:ascii="Times New Roman" w:eastAsia="宋体" w:hAnsi="Times New Roman" w:cs="Times New Roman"/>
          <w:color w:val="000000" w:themeColor="text1"/>
          <w:sz w:val="24"/>
          <w:szCs w:val="24"/>
        </w:rPr>
        <w:t>本项目</w:t>
      </w:r>
      <w:r w:rsidR="00E10DFC" w:rsidRPr="00092862">
        <w:rPr>
          <w:rFonts w:ascii="Times New Roman" w:eastAsia="宋体" w:hAnsi="Times New Roman" w:cs="Times New Roman"/>
          <w:color w:val="000000" w:themeColor="text1"/>
          <w:sz w:val="24"/>
          <w:szCs w:val="24"/>
        </w:rPr>
        <w:t>主要</w:t>
      </w:r>
      <w:r w:rsidR="004B4FA7" w:rsidRPr="00092862">
        <w:rPr>
          <w:rFonts w:ascii="Times New Roman" w:eastAsia="宋体" w:hAnsi="Times New Roman" w:cs="Times New Roman"/>
          <w:color w:val="000000" w:themeColor="text1"/>
          <w:sz w:val="24"/>
          <w:szCs w:val="24"/>
        </w:rPr>
        <w:t>依托</w:t>
      </w:r>
      <w:r w:rsidR="004D07D0" w:rsidRPr="00092862">
        <w:rPr>
          <w:rFonts w:ascii="Times New Roman" w:eastAsia="宋体" w:hAnsi="Times New Roman" w:cs="Times New Roman"/>
          <w:color w:val="000000" w:themeColor="text1"/>
          <w:sz w:val="24"/>
          <w:szCs w:val="24"/>
        </w:rPr>
        <w:t>原老君</w:t>
      </w:r>
      <w:r w:rsidR="004D07D0" w:rsidRPr="00092862">
        <w:rPr>
          <w:rFonts w:ascii="Times New Roman" w:eastAsia="宋体" w:hAnsi="Times New Roman" w:cs="Times New Roman"/>
          <w:color w:val="000000" w:themeColor="text1"/>
          <w:sz w:val="24"/>
          <w:szCs w:val="24"/>
        </w:rPr>
        <w:t>701</w:t>
      </w:r>
      <w:r w:rsidR="004D07D0" w:rsidRPr="00092862">
        <w:rPr>
          <w:rFonts w:ascii="Times New Roman" w:eastAsia="宋体" w:hAnsi="Times New Roman" w:cs="Times New Roman"/>
          <w:color w:val="000000" w:themeColor="text1"/>
          <w:sz w:val="24"/>
          <w:szCs w:val="24"/>
        </w:rPr>
        <w:t>集气站旁</w:t>
      </w:r>
      <w:r w:rsidR="004B4FA7" w:rsidRPr="00092862">
        <w:rPr>
          <w:rFonts w:ascii="Times New Roman" w:eastAsia="宋体" w:hAnsi="Times New Roman" w:cs="Times New Roman"/>
          <w:color w:val="000000" w:themeColor="text1"/>
          <w:sz w:val="24"/>
          <w:szCs w:val="24"/>
        </w:rPr>
        <w:t>已批复建设的水套加热炉与放空火炬、生产工艺</w:t>
      </w:r>
      <w:r w:rsidR="00E10DFC" w:rsidRPr="00092862">
        <w:rPr>
          <w:rFonts w:ascii="Times New Roman" w:eastAsia="宋体" w:hAnsi="Times New Roman" w:cs="Times New Roman"/>
          <w:color w:val="000000" w:themeColor="text1"/>
          <w:sz w:val="24"/>
          <w:szCs w:val="24"/>
        </w:rPr>
        <w:t>等生产</w:t>
      </w:r>
      <w:r w:rsidR="004B4FA7" w:rsidRPr="00092862">
        <w:rPr>
          <w:rFonts w:ascii="Times New Roman" w:eastAsia="宋体" w:hAnsi="Times New Roman" w:cs="Times New Roman"/>
          <w:color w:val="000000" w:themeColor="text1"/>
          <w:sz w:val="24"/>
          <w:szCs w:val="24"/>
        </w:rPr>
        <w:t>流程，</w:t>
      </w:r>
      <w:r w:rsidR="00E10DFC" w:rsidRPr="00092862">
        <w:rPr>
          <w:rFonts w:ascii="Times New Roman" w:eastAsia="宋体" w:hAnsi="Times New Roman" w:cs="Times New Roman"/>
          <w:b/>
          <w:bCs/>
          <w:color w:val="000000" w:themeColor="text1"/>
          <w:sz w:val="24"/>
          <w:szCs w:val="24"/>
        </w:rPr>
        <w:t>本项目的建设不会改变原老君</w:t>
      </w:r>
      <w:r w:rsidR="00E10DFC" w:rsidRPr="00092862">
        <w:rPr>
          <w:rFonts w:ascii="Times New Roman" w:eastAsia="宋体" w:hAnsi="Times New Roman" w:cs="Times New Roman"/>
          <w:b/>
          <w:bCs/>
          <w:color w:val="000000" w:themeColor="text1"/>
          <w:sz w:val="24"/>
          <w:szCs w:val="24"/>
        </w:rPr>
        <w:t>701</w:t>
      </w:r>
      <w:r w:rsidR="00E10DFC" w:rsidRPr="00092862">
        <w:rPr>
          <w:rFonts w:ascii="Times New Roman" w:eastAsia="宋体" w:hAnsi="Times New Roman" w:cs="Times New Roman"/>
          <w:b/>
          <w:bCs/>
          <w:color w:val="000000" w:themeColor="text1"/>
          <w:sz w:val="24"/>
          <w:szCs w:val="24"/>
        </w:rPr>
        <w:t>集气站既有上述生产设施的</w:t>
      </w:r>
      <w:r w:rsidR="00253A79" w:rsidRPr="00092862">
        <w:rPr>
          <w:rFonts w:ascii="Times New Roman" w:eastAsia="宋体" w:hAnsi="Times New Roman" w:cs="Times New Roman"/>
          <w:b/>
          <w:bCs/>
          <w:color w:val="000000" w:themeColor="text1"/>
          <w:sz w:val="24"/>
          <w:szCs w:val="24"/>
        </w:rPr>
        <w:t>废气量及污染物排放量</w:t>
      </w:r>
      <w:r w:rsidR="004B4FA7" w:rsidRPr="00092862">
        <w:rPr>
          <w:rFonts w:ascii="Times New Roman" w:eastAsia="宋体" w:hAnsi="Times New Roman" w:cs="Times New Roman"/>
          <w:b/>
          <w:bCs/>
          <w:color w:val="000000" w:themeColor="text1"/>
          <w:sz w:val="24"/>
          <w:szCs w:val="24"/>
        </w:rPr>
        <w:t>均不变。</w:t>
      </w:r>
      <w:r w:rsidR="00E10DFC" w:rsidRPr="00092862">
        <w:rPr>
          <w:rFonts w:ascii="Times New Roman" w:eastAsia="宋体" w:hAnsi="Times New Roman" w:cs="Times New Roman"/>
          <w:color w:val="000000" w:themeColor="text1"/>
          <w:sz w:val="24"/>
          <w:szCs w:val="24"/>
        </w:rPr>
        <w:t>但由于热力负荷的需求，本项目需要新增</w:t>
      </w:r>
      <w:r w:rsidR="00E10DFC" w:rsidRPr="00092862">
        <w:rPr>
          <w:rFonts w:ascii="Times New Roman" w:eastAsia="宋体" w:hAnsi="Times New Roman" w:cs="Times New Roman"/>
          <w:color w:val="000000" w:themeColor="text1"/>
          <w:sz w:val="24"/>
          <w:szCs w:val="24"/>
        </w:rPr>
        <w:t>1</w:t>
      </w:r>
      <w:r w:rsidR="00E10DFC" w:rsidRPr="00092862">
        <w:rPr>
          <w:rFonts w:ascii="Times New Roman" w:eastAsia="宋体" w:hAnsi="Times New Roman" w:cs="Times New Roman"/>
          <w:color w:val="000000" w:themeColor="text1"/>
          <w:sz w:val="24"/>
          <w:szCs w:val="24"/>
        </w:rPr>
        <w:t>套水套加热炉，因此，试采工程的主要大气影响</w:t>
      </w:r>
      <w:r w:rsidR="00465174" w:rsidRPr="00092862">
        <w:rPr>
          <w:rFonts w:ascii="Times New Roman" w:eastAsia="宋体" w:hAnsi="Times New Roman" w:cs="Times New Roman"/>
          <w:color w:val="000000" w:themeColor="text1"/>
          <w:sz w:val="24"/>
          <w:szCs w:val="24"/>
        </w:rPr>
        <w:t>预测主要</w:t>
      </w:r>
      <w:r w:rsidR="00E10DFC" w:rsidRPr="00092862">
        <w:rPr>
          <w:rFonts w:ascii="Times New Roman" w:eastAsia="宋体" w:hAnsi="Times New Roman" w:cs="Times New Roman"/>
          <w:color w:val="000000" w:themeColor="text1"/>
          <w:sz w:val="24"/>
          <w:szCs w:val="24"/>
        </w:rPr>
        <w:t>为</w:t>
      </w:r>
      <w:r w:rsidR="00465174" w:rsidRPr="00092862">
        <w:rPr>
          <w:rFonts w:ascii="Times New Roman" w:eastAsia="宋体" w:hAnsi="Times New Roman" w:cs="Times New Roman"/>
          <w:color w:val="000000" w:themeColor="text1"/>
          <w:sz w:val="24"/>
          <w:szCs w:val="24"/>
        </w:rPr>
        <w:t>预测</w:t>
      </w:r>
      <w:r w:rsidR="00E10DFC" w:rsidRPr="00092862">
        <w:rPr>
          <w:rFonts w:ascii="Times New Roman" w:eastAsia="宋体" w:hAnsi="Times New Roman" w:cs="Times New Roman"/>
          <w:color w:val="000000" w:themeColor="text1"/>
          <w:sz w:val="24"/>
          <w:szCs w:val="24"/>
        </w:rPr>
        <w:t>新增</w:t>
      </w:r>
      <w:r w:rsidR="00E10DFC" w:rsidRPr="00092862">
        <w:rPr>
          <w:rFonts w:ascii="Times New Roman" w:eastAsia="宋体" w:hAnsi="Times New Roman" w:cs="Times New Roman"/>
          <w:color w:val="000000" w:themeColor="text1"/>
          <w:sz w:val="24"/>
          <w:szCs w:val="24"/>
        </w:rPr>
        <w:t>1</w:t>
      </w:r>
      <w:r w:rsidR="00E10DFC" w:rsidRPr="00092862">
        <w:rPr>
          <w:rFonts w:ascii="Times New Roman" w:eastAsia="宋体" w:hAnsi="Times New Roman" w:cs="Times New Roman"/>
          <w:color w:val="000000" w:themeColor="text1"/>
          <w:sz w:val="24"/>
          <w:szCs w:val="24"/>
        </w:rPr>
        <w:t>套水套加热炉对周边大气环境质量的影响。</w:t>
      </w:r>
    </w:p>
    <w:p w14:paraId="550D7EDF" w14:textId="67C49AAA" w:rsidR="00465174" w:rsidRPr="00092862" w:rsidRDefault="00465174" w:rsidP="00E10DF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）源强参数分析</w:t>
      </w:r>
    </w:p>
    <w:p w14:paraId="5A4294DF" w14:textId="020A0279" w:rsidR="00E10DFC" w:rsidRPr="00092862" w:rsidRDefault="00E10DFC" w:rsidP="00E10DF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根据前文工程分析，本项目拟新增的</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套水套加热炉的产排污情况见下表。</w:t>
      </w:r>
    </w:p>
    <w:p w14:paraId="5222DBB8" w14:textId="77777777" w:rsidR="00E10DFC" w:rsidRPr="00092862" w:rsidRDefault="00E10DFC" w:rsidP="00E10DFC">
      <w:pPr>
        <w:pStyle w:val="WJ"/>
        <w:rPr>
          <w:rFonts w:ascii="Times New Roman" w:hAnsi="Times New Roman"/>
          <w:color w:val="000000" w:themeColor="text1"/>
        </w:rPr>
      </w:pPr>
      <w:r w:rsidRPr="00092862">
        <w:rPr>
          <w:rFonts w:ascii="Times New Roman" w:hAnsi="Times New Roman"/>
          <w:color w:val="000000" w:themeColor="text1"/>
        </w:rPr>
        <w:t>表</w:t>
      </w:r>
      <w:r w:rsidRPr="00092862">
        <w:rPr>
          <w:rFonts w:ascii="Times New Roman" w:hAnsi="Times New Roman"/>
          <w:color w:val="000000" w:themeColor="text1"/>
        </w:rPr>
        <w:t xml:space="preserve"> 5.2-1 </w:t>
      </w:r>
      <w:r w:rsidRPr="00092862">
        <w:rPr>
          <w:rFonts w:ascii="Times New Roman" w:hAnsi="Times New Roman"/>
          <w:color w:val="000000" w:themeColor="text1"/>
        </w:rPr>
        <w:t>废气有组织污染源点源清单</w:t>
      </w:r>
    </w:p>
    <w:tbl>
      <w:tblPr>
        <w:tblW w:w="4576"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396"/>
        <w:gridCol w:w="407"/>
        <w:gridCol w:w="1073"/>
        <w:gridCol w:w="983"/>
        <w:gridCol w:w="717"/>
        <w:gridCol w:w="717"/>
        <w:gridCol w:w="717"/>
        <w:gridCol w:w="762"/>
        <w:gridCol w:w="838"/>
        <w:gridCol w:w="802"/>
        <w:gridCol w:w="893"/>
      </w:tblGrid>
      <w:tr w:rsidR="00697429" w:rsidRPr="00092862" w14:paraId="7BF3111F" w14:textId="76BF473D" w:rsidTr="00554597">
        <w:trPr>
          <w:trHeight w:val="473"/>
        </w:trPr>
        <w:tc>
          <w:tcPr>
            <w:tcW w:w="259" w:type="pct"/>
            <w:vMerge w:val="restart"/>
            <w:tcBorders>
              <w:right w:val="single" w:sz="4" w:space="0" w:color="auto"/>
            </w:tcBorders>
            <w:vAlign w:val="center"/>
          </w:tcPr>
          <w:p w14:paraId="1E53FE02"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污染源名称</w:t>
            </w:r>
          </w:p>
        </w:tc>
        <w:tc>
          <w:tcPr>
            <w:tcW w:w="266" w:type="pct"/>
            <w:vMerge w:val="restart"/>
            <w:tcBorders>
              <w:left w:val="single" w:sz="4" w:space="0" w:color="auto"/>
              <w:right w:val="single" w:sz="4" w:space="0" w:color="auto"/>
            </w:tcBorders>
            <w:vAlign w:val="center"/>
          </w:tcPr>
          <w:p w14:paraId="1744563D"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排气筒编号</w:t>
            </w:r>
          </w:p>
        </w:tc>
        <w:tc>
          <w:tcPr>
            <w:tcW w:w="1336" w:type="pct"/>
            <w:gridSpan w:val="2"/>
            <w:tcBorders>
              <w:left w:val="single" w:sz="4" w:space="0" w:color="auto"/>
            </w:tcBorders>
            <w:vAlign w:val="center"/>
          </w:tcPr>
          <w:p w14:paraId="33AD2EE3"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排气筒底部中心坐标（</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467" w:type="pct"/>
            <w:vMerge w:val="restart"/>
            <w:vAlign w:val="center"/>
          </w:tcPr>
          <w:p w14:paraId="15EC944F"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排气筒底部海拔高度（</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w:t>
            </w:r>
          </w:p>
        </w:tc>
        <w:tc>
          <w:tcPr>
            <w:tcW w:w="1972" w:type="pct"/>
            <w:gridSpan w:val="4"/>
            <w:vAlign w:val="center"/>
          </w:tcPr>
          <w:p w14:paraId="30024602"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排气筒参数</w:t>
            </w:r>
          </w:p>
        </w:tc>
        <w:tc>
          <w:tcPr>
            <w:tcW w:w="701" w:type="pct"/>
            <w:gridSpan w:val="2"/>
            <w:tcBorders>
              <w:right w:val="single" w:sz="4" w:space="0" w:color="auto"/>
            </w:tcBorders>
            <w:vAlign w:val="center"/>
          </w:tcPr>
          <w:p w14:paraId="6244941D"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污染物排放速率（</w:t>
            </w:r>
            <w:r w:rsidRPr="00092862">
              <w:rPr>
                <w:rFonts w:ascii="Times New Roman" w:eastAsia="宋体" w:hAnsi="Times New Roman" w:cs="Times New Roman"/>
                <w:color w:val="000000" w:themeColor="text1"/>
                <w:szCs w:val="21"/>
              </w:rPr>
              <w:t>kg/h</w:t>
            </w:r>
            <w:r w:rsidRPr="00092862">
              <w:rPr>
                <w:rFonts w:ascii="Times New Roman" w:eastAsia="宋体" w:hAnsi="Times New Roman" w:cs="Times New Roman"/>
                <w:color w:val="000000" w:themeColor="text1"/>
                <w:szCs w:val="21"/>
              </w:rPr>
              <w:t>）</w:t>
            </w:r>
          </w:p>
        </w:tc>
      </w:tr>
      <w:tr w:rsidR="00697429" w:rsidRPr="00092862" w14:paraId="2DC00D6C" w14:textId="77777777" w:rsidTr="00554597">
        <w:trPr>
          <w:trHeight w:val="393"/>
        </w:trPr>
        <w:tc>
          <w:tcPr>
            <w:tcW w:w="259" w:type="pct"/>
            <w:vMerge/>
            <w:tcBorders>
              <w:right w:val="single" w:sz="4" w:space="0" w:color="auto"/>
            </w:tcBorders>
            <w:vAlign w:val="center"/>
          </w:tcPr>
          <w:p w14:paraId="36E4C461"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p>
        </w:tc>
        <w:tc>
          <w:tcPr>
            <w:tcW w:w="266" w:type="pct"/>
            <w:vMerge/>
            <w:tcBorders>
              <w:left w:val="single" w:sz="4" w:space="0" w:color="auto"/>
              <w:right w:val="single" w:sz="4" w:space="0" w:color="auto"/>
            </w:tcBorders>
            <w:vAlign w:val="center"/>
          </w:tcPr>
          <w:p w14:paraId="014E894B"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p>
        </w:tc>
        <w:tc>
          <w:tcPr>
            <w:tcW w:w="697" w:type="pct"/>
            <w:tcBorders>
              <w:top w:val="single" w:sz="4" w:space="0" w:color="auto"/>
              <w:left w:val="single" w:sz="4" w:space="0" w:color="auto"/>
            </w:tcBorders>
            <w:vAlign w:val="center"/>
          </w:tcPr>
          <w:p w14:paraId="3CF5C3BC"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经度</w:t>
            </w:r>
          </w:p>
        </w:tc>
        <w:tc>
          <w:tcPr>
            <w:tcW w:w="639" w:type="pct"/>
            <w:tcBorders>
              <w:top w:val="single" w:sz="4" w:space="0" w:color="auto"/>
            </w:tcBorders>
            <w:vAlign w:val="center"/>
          </w:tcPr>
          <w:p w14:paraId="3B62D3B2"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纬度</w:t>
            </w:r>
          </w:p>
        </w:tc>
        <w:tc>
          <w:tcPr>
            <w:tcW w:w="467" w:type="pct"/>
            <w:vMerge/>
            <w:vAlign w:val="center"/>
          </w:tcPr>
          <w:p w14:paraId="59603525"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p>
        </w:tc>
        <w:tc>
          <w:tcPr>
            <w:tcW w:w="467" w:type="pct"/>
            <w:vAlign w:val="center"/>
          </w:tcPr>
          <w:p w14:paraId="5AE3B258"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高度（</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w:t>
            </w:r>
          </w:p>
        </w:tc>
        <w:tc>
          <w:tcPr>
            <w:tcW w:w="467" w:type="pct"/>
            <w:vAlign w:val="center"/>
          </w:tcPr>
          <w:p w14:paraId="6C3DB501"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内径（</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w:t>
            </w:r>
          </w:p>
        </w:tc>
        <w:tc>
          <w:tcPr>
            <w:tcW w:w="493" w:type="pct"/>
            <w:vAlign w:val="center"/>
          </w:tcPr>
          <w:p w14:paraId="1655DBCE"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温度（</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545" w:type="pct"/>
            <w:vAlign w:val="center"/>
          </w:tcPr>
          <w:p w14:paraId="76DE2BCC"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流速（</w:t>
            </w:r>
            <w:r w:rsidRPr="00092862">
              <w:rPr>
                <w:rFonts w:ascii="Times New Roman" w:eastAsia="宋体" w:hAnsi="Times New Roman" w:cs="Times New Roman"/>
                <w:color w:val="000000" w:themeColor="text1"/>
                <w:szCs w:val="21"/>
              </w:rPr>
              <w:t>m/s</w:t>
            </w:r>
            <w:r w:rsidRPr="00092862">
              <w:rPr>
                <w:rFonts w:ascii="Times New Roman" w:eastAsia="宋体" w:hAnsi="Times New Roman" w:cs="Times New Roman"/>
                <w:color w:val="000000" w:themeColor="text1"/>
                <w:szCs w:val="21"/>
              </w:rPr>
              <w:t>）</w:t>
            </w:r>
          </w:p>
        </w:tc>
        <w:tc>
          <w:tcPr>
            <w:tcW w:w="370" w:type="pct"/>
            <w:vAlign w:val="center"/>
          </w:tcPr>
          <w:p w14:paraId="444339A1"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NOx</w:t>
            </w:r>
          </w:p>
        </w:tc>
        <w:tc>
          <w:tcPr>
            <w:tcW w:w="331" w:type="pct"/>
            <w:tcBorders>
              <w:right w:val="single" w:sz="4" w:space="0" w:color="auto"/>
            </w:tcBorders>
            <w:vAlign w:val="center"/>
          </w:tcPr>
          <w:p w14:paraId="6206AD87" w14:textId="77777777"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SO</w:t>
            </w:r>
            <w:r w:rsidRPr="00092862">
              <w:rPr>
                <w:rFonts w:ascii="Times New Roman" w:eastAsia="宋体" w:hAnsi="Times New Roman" w:cs="Times New Roman"/>
                <w:color w:val="000000" w:themeColor="text1"/>
                <w:szCs w:val="21"/>
                <w:vertAlign w:val="subscript"/>
              </w:rPr>
              <w:t>2</w:t>
            </w:r>
          </w:p>
        </w:tc>
      </w:tr>
      <w:tr w:rsidR="00697429" w:rsidRPr="00092862" w14:paraId="577E8173" w14:textId="77777777" w:rsidTr="00554597">
        <w:trPr>
          <w:trHeight w:val="653"/>
        </w:trPr>
        <w:tc>
          <w:tcPr>
            <w:tcW w:w="259" w:type="pct"/>
            <w:tcBorders>
              <w:right w:val="single" w:sz="4" w:space="0" w:color="auto"/>
            </w:tcBorders>
            <w:vAlign w:val="center"/>
          </w:tcPr>
          <w:p w14:paraId="3BCFB004" w14:textId="7DFD569F" w:rsidR="00554597" w:rsidRPr="00092862" w:rsidRDefault="00554597" w:rsidP="00852E5F">
            <w:pPr>
              <w:pStyle w:val="WJ0"/>
              <w:spacing w:line="320" w:lineRule="exact"/>
              <w:rPr>
                <w:rFonts w:ascii="Times New Roman" w:hAnsi="Times New Roman"/>
                <w:color w:val="000000" w:themeColor="text1"/>
              </w:rPr>
            </w:pPr>
            <w:r w:rsidRPr="00092862">
              <w:rPr>
                <w:rFonts w:ascii="Times New Roman" w:hAnsi="Times New Roman"/>
                <w:color w:val="000000" w:themeColor="text1"/>
              </w:rPr>
              <w:t>水套加热炉排气筒</w:t>
            </w:r>
          </w:p>
        </w:tc>
        <w:tc>
          <w:tcPr>
            <w:tcW w:w="266" w:type="pct"/>
            <w:tcBorders>
              <w:left w:val="single" w:sz="4" w:space="0" w:color="auto"/>
            </w:tcBorders>
            <w:vAlign w:val="center"/>
          </w:tcPr>
          <w:p w14:paraId="29A063BE" w14:textId="77777777" w:rsidR="00554597" w:rsidRPr="00092862" w:rsidRDefault="00554597" w:rsidP="00852E5F">
            <w:pPr>
              <w:pStyle w:val="WJ0"/>
              <w:spacing w:line="320" w:lineRule="exact"/>
              <w:rPr>
                <w:rFonts w:ascii="Times New Roman" w:hAnsi="Times New Roman"/>
                <w:color w:val="000000" w:themeColor="text1"/>
              </w:rPr>
            </w:pPr>
            <w:r w:rsidRPr="00092862">
              <w:rPr>
                <w:rFonts w:ascii="Times New Roman" w:hAnsi="Times New Roman"/>
                <w:color w:val="000000" w:themeColor="text1"/>
              </w:rPr>
              <w:t>P1</w:t>
            </w:r>
          </w:p>
        </w:tc>
        <w:tc>
          <w:tcPr>
            <w:tcW w:w="697" w:type="pct"/>
            <w:vAlign w:val="center"/>
          </w:tcPr>
          <w:p w14:paraId="091F4525" w14:textId="32489B90" w:rsidR="00554597" w:rsidRPr="00092862" w:rsidRDefault="008E1CA1"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107.818601</w:t>
            </w:r>
          </w:p>
        </w:tc>
        <w:tc>
          <w:tcPr>
            <w:tcW w:w="639" w:type="pct"/>
            <w:vAlign w:val="center"/>
          </w:tcPr>
          <w:p w14:paraId="0FAC5D1C" w14:textId="7975CDC8" w:rsidR="00554597" w:rsidRPr="00092862" w:rsidRDefault="008E1CA1"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31.451012</w:t>
            </w:r>
          </w:p>
        </w:tc>
        <w:tc>
          <w:tcPr>
            <w:tcW w:w="467" w:type="pct"/>
            <w:vAlign w:val="center"/>
          </w:tcPr>
          <w:p w14:paraId="627CA548" w14:textId="3066DC76"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1161</w:t>
            </w:r>
          </w:p>
        </w:tc>
        <w:tc>
          <w:tcPr>
            <w:tcW w:w="467" w:type="pct"/>
            <w:vAlign w:val="center"/>
          </w:tcPr>
          <w:p w14:paraId="62DD9824" w14:textId="6A24FA45" w:rsidR="00554597" w:rsidRPr="00092862" w:rsidRDefault="008E1CA1"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c>
          <w:tcPr>
            <w:tcW w:w="467" w:type="pct"/>
            <w:vAlign w:val="center"/>
          </w:tcPr>
          <w:p w14:paraId="6A2286E0" w14:textId="04D202AB" w:rsidR="00554597" w:rsidRPr="00092862" w:rsidRDefault="00554597" w:rsidP="00852E5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0.1</w:t>
            </w:r>
          </w:p>
        </w:tc>
        <w:tc>
          <w:tcPr>
            <w:tcW w:w="493" w:type="pct"/>
            <w:vAlign w:val="center"/>
          </w:tcPr>
          <w:p w14:paraId="499D2B7F" w14:textId="6824DD60"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200</w:t>
            </w:r>
          </w:p>
        </w:tc>
        <w:tc>
          <w:tcPr>
            <w:tcW w:w="545" w:type="pct"/>
            <w:vAlign w:val="center"/>
          </w:tcPr>
          <w:p w14:paraId="2D9A8519" w14:textId="5B1A39AF" w:rsidR="00554597" w:rsidRPr="00092862" w:rsidRDefault="00554597" w:rsidP="00852E5F">
            <w:pPr>
              <w:jc w:val="center"/>
              <w:textAlignment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lang w:bidi="ar"/>
              </w:rPr>
              <w:t>8.73</w:t>
            </w:r>
          </w:p>
        </w:tc>
        <w:tc>
          <w:tcPr>
            <w:tcW w:w="370" w:type="pct"/>
            <w:vAlign w:val="center"/>
          </w:tcPr>
          <w:p w14:paraId="1BF0E162" w14:textId="7FDDC5D9"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0.01596</w:t>
            </w:r>
          </w:p>
        </w:tc>
        <w:tc>
          <w:tcPr>
            <w:tcW w:w="331" w:type="pct"/>
            <w:vAlign w:val="center"/>
          </w:tcPr>
          <w:p w14:paraId="03032327" w14:textId="1A7423F8" w:rsidR="00554597" w:rsidRPr="00092862" w:rsidRDefault="00554597" w:rsidP="00852E5F">
            <w:pPr>
              <w:adjustRightIn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0.000256</w:t>
            </w:r>
          </w:p>
        </w:tc>
      </w:tr>
    </w:tbl>
    <w:p w14:paraId="33A942DF" w14:textId="77777777" w:rsidR="00E10DFC" w:rsidRPr="00092862" w:rsidRDefault="00E10DFC" w:rsidP="00E10DFC">
      <w:pPr>
        <w:adjustRightInd w:val="0"/>
        <w:snapToGrid w:val="0"/>
        <w:spacing w:line="360" w:lineRule="auto"/>
        <w:ind w:firstLineChars="200" w:firstLine="480"/>
        <w:rPr>
          <w:rFonts w:ascii="Times New Roman" w:hAnsi="Times New Roman" w:cs="Times New Roman"/>
          <w:bCs/>
          <w:color w:val="000000" w:themeColor="text1"/>
          <w:sz w:val="24"/>
        </w:rPr>
      </w:pPr>
    </w:p>
    <w:p w14:paraId="5A2621B7" w14:textId="77777777" w:rsidR="00465174" w:rsidRPr="00092862" w:rsidRDefault="00465174" w:rsidP="00465174">
      <w:pPr>
        <w:spacing w:line="360" w:lineRule="auto"/>
        <w:ind w:firstLineChars="200" w:firstLine="480"/>
        <w:rPr>
          <w:rFonts w:ascii="Times New Roman" w:eastAsia="宋体" w:hAnsi="Times New Roman" w:cs="Times New Roman"/>
          <w:color w:val="000000" w:themeColor="text1"/>
          <w:sz w:val="24"/>
          <w:szCs w:val="20"/>
        </w:rPr>
      </w:pPr>
      <w:r w:rsidRPr="00092862">
        <w:rPr>
          <w:rFonts w:ascii="Times New Roman" w:eastAsia="宋体" w:hAnsi="Times New Roman" w:cs="Times New Roman"/>
          <w:color w:val="000000" w:themeColor="text1"/>
          <w:sz w:val="24"/>
          <w:szCs w:val="20"/>
        </w:rPr>
        <w:t>（</w:t>
      </w:r>
      <w:r w:rsidRPr="00092862">
        <w:rPr>
          <w:rFonts w:ascii="Times New Roman" w:eastAsia="宋体" w:hAnsi="Times New Roman" w:cs="Times New Roman"/>
          <w:color w:val="000000" w:themeColor="text1"/>
          <w:sz w:val="24"/>
          <w:szCs w:val="20"/>
        </w:rPr>
        <w:t>2</w:t>
      </w:r>
      <w:r w:rsidRPr="00092862">
        <w:rPr>
          <w:rFonts w:ascii="Times New Roman" w:eastAsia="宋体" w:hAnsi="Times New Roman" w:cs="Times New Roman"/>
          <w:color w:val="000000" w:themeColor="text1"/>
          <w:sz w:val="24"/>
          <w:szCs w:val="20"/>
        </w:rPr>
        <w:t>）预测估算模式参数</w:t>
      </w:r>
    </w:p>
    <w:p w14:paraId="03E83E9A" w14:textId="77777777" w:rsidR="00465174" w:rsidRPr="00092862" w:rsidRDefault="00465174" w:rsidP="00465174">
      <w:pPr>
        <w:spacing w:line="360" w:lineRule="auto"/>
        <w:ind w:firstLineChars="200" w:firstLine="480"/>
        <w:rPr>
          <w:rFonts w:ascii="Times New Roman" w:eastAsia="宋体" w:hAnsi="Times New Roman" w:cs="Times New Roman"/>
          <w:color w:val="000000" w:themeColor="text1"/>
          <w:sz w:val="24"/>
          <w:szCs w:val="20"/>
        </w:rPr>
      </w:pPr>
      <w:r w:rsidRPr="00092862">
        <w:rPr>
          <w:rFonts w:ascii="Times New Roman" w:eastAsia="宋体" w:hAnsi="Times New Roman" w:cs="Times New Roman"/>
          <w:color w:val="000000" w:themeColor="text1"/>
          <w:sz w:val="24"/>
          <w:szCs w:val="20"/>
        </w:rPr>
        <w:lastRenderedPageBreak/>
        <w:t>本次评价估算模式所用参数见下表：</w:t>
      </w:r>
    </w:p>
    <w:p w14:paraId="7FB65A9B" w14:textId="56604E92" w:rsidR="00465174" w:rsidRPr="00092862" w:rsidRDefault="00465174" w:rsidP="00465174">
      <w:pPr>
        <w:spacing w:line="360" w:lineRule="auto"/>
        <w:jc w:val="center"/>
        <w:rPr>
          <w:rFonts w:ascii="Times New Roman" w:eastAsia="黑体" w:hAnsi="Times New Roman" w:cs="Times New Roman"/>
          <w:color w:val="000000" w:themeColor="text1"/>
          <w:sz w:val="24"/>
          <w:szCs w:val="20"/>
        </w:rPr>
      </w:pPr>
      <w:r w:rsidRPr="00092862">
        <w:rPr>
          <w:rFonts w:ascii="Times New Roman" w:eastAsia="黑体" w:hAnsi="Times New Roman" w:cs="Times New Roman"/>
          <w:color w:val="000000" w:themeColor="text1"/>
          <w:sz w:val="24"/>
          <w:szCs w:val="20"/>
        </w:rPr>
        <w:t>表</w:t>
      </w:r>
      <w:r w:rsidRPr="00092862">
        <w:rPr>
          <w:rFonts w:ascii="Times New Roman" w:eastAsia="黑体" w:hAnsi="Times New Roman" w:cs="Times New Roman"/>
          <w:color w:val="000000" w:themeColor="text1"/>
          <w:sz w:val="24"/>
          <w:szCs w:val="20"/>
        </w:rPr>
        <w:t xml:space="preserve">5.2-2  </w:t>
      </w:r>
      <w:r w:rsidRPr="00092862">
        <w:rPr>
          <w:rFonts w:ascii="Times New Roman" w:eastAsia="黑体" w:hAnsi="Times New Roman" w:cs="Times New Roman"/>
          <w:color w:val="000000" w:themeColor="text1"/>
          <w:sz w:val="24"/>
          <w:szCs w:val="20"/>
        </w:rPr>
        <w:t>项目大气影响预测参数情况表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1"/>
        <w:gridCol w:w="3445"/>
        <w:gridCol w:w="2721"/>
      </w:tblGrid>
      <w:tr w:rsidR="00697429" w:rsidRPr="00092862" w14:paraId="65BA0223" w14:textId="77777777" w:rsidTr="00852E5F">
        <w:trPr>
          <w:trHeight w:val="260"/>
        </w:trPr>
        <w:tc>
          <w:tcPr>
            <w:tcW w:w="3360" w:type="pct"/>
            <w:gridSpan w:val="2"/>
            <w:vAlign w:val="center"/>
          </w:tcPr>
          <w:p w14:paraId="11BEE326"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参数</w:t>
            </w:r>
          </w:p>
        </w:tc>
        <w:tc>
          <w:tcPr>
            <w:tcW w:w="1640" w:type="pct"/>
            <w:vAlign w:val="center"/>
          </w:tcPr>
          <w:p w14:paraId="631CDF93"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取值</w:t>
            </w:r>
          </w:p>
        </w:tc>
      </w:tr>
      <w:tr w:rsidR="00697429" w:rsidRPr="00092862" w14:paraId="435C438B" w14:textId="77777777" w:rsidTr="00852E5F">
        <w:trPr>
          <w:trHeight w:val="260"/>
        </w:trPr>
        <w:tc>
          <w:tcPr>
            <w:tcW w:w="1284" w:type="pct"/>
            <w:vMerge w:val="restart"/>
            <w:vAlign w:val="center"/>
          </w:tcPr>
          <w:p w14:paraId="2BF0DC99"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城市</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农村选项</w:t>
            </w:r>
          </w:p>
        </w:tc>
        <w:tc>
          <w:tcPr>
            <w:tcW w:w="2076" w:type="pct"/>
            <w:vAlign w:val="center"/>
          </w:tcPr>
          <w:p w14:paraId="524B91ED"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城市</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农村</w:t>
            </w:r>
          </w:p>
        </w:tc>
        <w:tc>
          <w:tcPr>
            <w:tcW w:w="1640" w:type="pct"/>
            <w:vAlign w:val="center"/>
          </w:tcPr>
          <w:p w14:paraId="382A21B7"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农村</w:t>
            </w:r>
          </w:p>
        </w:tc>
      </w:tr>
      <w:tr w:rsidR="00697429" w:rsidRPr="00092862" w14:paraId="14DFC8D4" w14:textId="77777777" w:rsidTr="00852E5F">
        <w:trPr>
          <w:trHeight w:val="260"/>
        </w:trPr>
        <w:tc>
          <w:tcPr>
            <w:tcW w:w="1284" w:type="pct"/>
            <w:vMerge/>
            <w:vAlign w:val="center"/>
          </w:tcPr>
          <w:p w14:paraId="45981213"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p>
        </w:tc>
        <w:tc>
          <w:tcPr>
            <w:tcW w:w="2076" w:type="pct"/>
            <w:vAlign w:val="center"/>
          </w:tcPr>
          <w:p w14:paraId="75FA2FED"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人口数（城市选项时）</w:t>
            </w:r>
          </w:p>
        </w:tc>
        <w:tc>
          <w:tcPr>
            <w:tcW w:w="1640" w:type="pct"/>
            <w:vAlign w:val="center"/>
          </w:tcPr>
          <w:p w14:paraId="1A0D8CD0"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08C3581C" w14:textId="77777777" w:rsidTr="00852E5F">
        <w:trPr>
          <w:trHeight w:val="260"/>
        </w:trPr>
        <w:tc>
          <w:tcPr>
            <w:tcW w:w="3360" w:type="pct"/>
            <w:gridSpan w:val="2"/>
            <w:vAlign w:val="center"/>
          </w:tcPr>
          <w:p w14:paraId="68282882"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最高环境温度</w:t>
            </w:r>
            <w:r w:rsidRPr="00092862">
              <w:rPr>
                <w:rFonts w:ascii="Times New Roman" w:eastAsia="宋体" w:hAnsi="Times New Roman" w:cs="Times New Roman"/>
                <w:color w:val="000000" w:themeColor="text1"/>
                <w:szCs w:val="21"/>
              </w:rPr>
              <w:t>/℃</w:t>
            </w:r>
          </w:p>
        </w:tc>
        <w:tc>
          <w:tcPr>
            <w:tcW w:w="1640" w:type="pct"/>
            <w:vAlign w:val="center"/>
          </w:tcPr>
          <w:p w14:paraId="67A6E59B" w14:textId="235B2F76"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42.3</w:t>
            </w:r>
          </w:p>
        </w:tc>
      </w:tr>
      <w:tr w:rsidR="00697429" w:rsidRPr="00092862" w14:paraId="18C088A5" w14:textId="77777777" w:rsidTr="00852E5F">
        <w:trPr>
          <w:trHeight w:val="260"/>
        </w:trPr>
        <w:tc>
          <w:tcPr>
            <w:tcW w:w="3360" w:type="pct"/>
            <w:gridSpan w:val="2"/>
            <w:vAlign w:val="center"/>
          </w:tcPr>
          <w:p w14:paraId="4917D3C2"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最低环境温度</w:t>
            </w:r>
            <w:r w:rsidRPr="00092862">
              <w:rPr>
                <w:rFonts w:ascii="Times New Roman" w:eastAsia="宋体" w:hAnsi="Times New Roman" w:cs="Times New Roman"/>
                <w:color w:val="000000" w:themeColor="text1"/>
                <w:szCs w:val="21"/>
              </w:rPr>
              <w:t>/℃</w:t>
            </w:r>
          </w:p>
        </w:tc>
        <w:tc>
          <w:tcPr>
            <w:tcW w:w="1640" w:type="pct"/>
            <w:vAlign w:val="center"/>
          </w:tcPr>
          <w:p w14:paraId="32238C0C" w14:textId="1DAF9A7F"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-4.7</w:t>
            </w:r>
          </w:p>
        </w:tc>
      </w:tr>
      <w:tr w:rsidR="00697429" w:rsidRPr="00092862" w14:paraId="0753900A" w14:textId="77777777" w:rsidTr="00852E5F">
        <w:trPr>
          <w:trHeight w:val="260"/>
        </w:trPr>
        <w:tc>
          <w:tcPr>
            <w:tcW w:w="3360" w:type="pct"/>
            <w:gridSpan w:val="2"/>
            <w:vAlign w:val="center"/>
          </w:tcPr>
          <w:p w14:paraId="2D46E514"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土地利用类型</w:t>
            </w:r>
          </w:p>
        </w:tc>
        <w:tc>
          <w:tcPr>
            <w:tcW w:w="1640" w:type="pct"/>
            <w:vAlign w:val="center"/>
          </w:tcPr>
          <w:p w14:paraId="13CF0084" w14:textId="214E7A23"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阔叶林</w:t>
            </w:r>
          </w:p>
        </w:tc>
      </w:tr>
      <w:tr w:rsidR="00697429" w:rsidRPr="00092862" w14:paraId="21E0BC83" w14:textId="77777777" w:rsidTr="00852E5F">
        <w:trPr>
          <w:trHeight w:val="260"/>
        </w:trPr>
        <w:tc>
          <w:tcPr>
            <w:tcW w:w="3360" w:type="pct"/>
            <w:gridSpan w:val="2"/>
            <w:vAlign w:val="center"/>
          </w:tcPr>
          <w:p w14:paraId="2BC97912"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区域湿度条件</w:t>
            </w:r>
          </w:p>
        </w:tc>
        <w:tc>
          <w:tcPr>
            <w:tcW w:w="1640" w:type="pct"/>
            <w:vAlign w:val="center"/>
          </w:tcPr>
          <w:p w14:paraId="6B366C2C"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潮湿气候</w:t>
            </w:r>
          </w:p>
        </w:tc>
      </w:tr>
      <w:tr w:rsidR="00697429" w:rsidRPr="00092862" w14:paraId="3103517D" w14:textId="77777777" w:rsidTr="00852E5F">
        <w:trPr>
          <w:trHeight w:val="260"/>
        </w:trPr>
        <w:tc>
          <w:tcPr>
            <w:tcW w:w="1284" w:type="pct"/>
            <w:vMerge w:val="restart"/>
            <w:vAlign w:val="center"/>
          </w:tcPr>
          <w:p w14:paraId="45ACB00D"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是否考虑地形</w:t>
            </w:r>
          </w:p>
        </w:tc>
        <w:tc>
          <w:tcPr>
            <w:tcW w:w="2076" w:type="pct"/>
            <w:vAlign w:val="center"/>
          </w:tcPr>
          <w:p w14:paraId="0CEAC0FC"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考虑地形</w:t>
            </w:r>
          </w:p>
        </w:tc>
        <w:tc>
          <w:tcPr>
            <w:tcW w:w="1640" w:type="pct"/>
            <w:vAlign w:val="center"/>
          </w:tcPr>
          <w:p w14:paraId="24FA4A5B"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是</w:t>
            </w:r>
          </w:p>
        </w:tc>
      </w:tr>
      <w:tr w:rsidR="00697429" w:rsidRPr="00092862" w14:paraId="3C8CBB7F" w14:textId="77777777" w:rsidTr="00852E5F">
        <w:trPr>
          <w:trHeight w:val="260"/>
        </w:trPr>
        <w:tc>
          <w:tcPr>
            <w:tcW w:w="1284" w:type="pct"/>
            <w:vMerge/>
            <w:vAlign w:val="center"/>
          </w:tcPr>
          <w:p w14:paraId="6759E660"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p>
        </w:tc>
        <w:tc>
          <w:tcPr>
            <w:tcW w:w="2076" w:type="pct"/>
            <w:vAlign w:val="center"/>
          </w:tcPr>
          <w:p w14:paraId="7EE7D307"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地形数据分辨率</w:t>
            </w:r>
            <w:r w:rsidRPr="00092862">
              <w:rPr>
                <w:rFonts w:ascii="Times New Roman" w:eastAsia="宋体" w:hAnsi="Times New Roman" w:cs="Times New Roman"/>
                <w:color w:val="000000" w:themeColor="text1"/>
                <w:szCs w:val="21"/>
              </w:rPr>
              <w:t>/m</w:t>
            </w:r>
          </w:p>
        </w:tc>
        <w:tc>
          <w:tcPr>
            <w:tcW w:w="1640" w:type="pct"/>
            <w:vAlign w:val="center"/>
          </w:tcPr>
          <w:p w14:paraId="1E97B1CD"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90</w:t>
            </w:r>
          </w:p>
        </w:tc>
      </w:tr>
      <w:tr w:rsidR="00697429" w:rsidRPr="00092862" w14:paraId="6EE08C80" w14:textId="77777777" w:rsidTr="00852E5F">
        <w:trPr>
          <w:trHeight w:val="260"/>
        </w:trPr>
        <w:tc>
          <w:tcPr>
            <w:tcW w:w="1284" w:type="pct"/>
            <w:vMerge w:val="restart"/>
            <w:vAlign w:val="center"/>
          </w:tcPr>
          <w:p w14:paraId="7E01CF8C"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是否考虑岸线熏烟</w:t>
            </w:r>
          </w:p>
        </w:tc>
        <w:tc>
          <w:tcPr>
            <w:tcW w:w="2076" w:type="pct"/>
            <w:vAlign w:val="center"/>
          </w:tcPr>
          <w:p w14:paraId="26843AF4"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考虑岸线熏烟</w:t>
            </w:r>
          </w:p>
        </w:tc>
        <w:tc>
          <w:tcPr>
            <w:tcW w:w="1640" w:type="pct"/>
            <w:vAlign w:val="center"/>
          </w:tcPr>
          <w:p w14:paraId="39D65751"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否</w:t>
            </w:r>
          </w:p>
        </w:tc>
      </w:tr>
      <w:tr w:rsidR="00697429" w:rsidRPr="00092862" w14:paraId="6B164F2C" w14:textId="77777777" w:rsidTr="00852E5F">
        <w:trPr>
          <w:trHeight w:val="260"/>
        </w:trPr>
        <w:tc>
          <w:tcPr>
            <w:tcW w:w="1284" w:type="pct"/>
            <w:vMerge/>
            <w:vAlign w:val="center"/>
          </w:tcPr>
          <w:p w14:paraId="377AEEAE"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p>
        </w:tc>
        <w:tc>
          <w:tcPr>
            <w:tcW w:w="2076" w:type="pct"/>
            <w:vAlign w:val="center"/>
          </w:tcPr>
          <w:p w14:paraId="02235D82"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岸线距离</w:t>
            </w:r>
            <w:r w:rsidRPr="00092862">
              <w:rPr>
                <w:rFonts w:ascii="Times New Roman" w:eastAsia="宋体" w:hAnsi="Times New Roman" w:cs="Times New Roman"/>
                <w:color w:val="000000" w:themeColor="text1"/>
                <w:szCs w:val="21"/>
              </w:rPr>
              <w:t>/km</w:t>
            </w:r>
          </w:p>
        </w:tc>
        <w:tc>
          <w:tcPr>
            <w:tcW w:w="1640" w:type="pct"/>
            <w:vAlign w:val="center"/>
          </w:tcPr>
          <w:p w14:paraId="21C704F7"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424E513A" w14:textId="77777777" w:rsidTr="00852E5F">
        <w:trPr>
          <w:trHeight w:val="291"/>
        </w:trPr>
        <w:tc>
          <w:tcPr>
            <w:tcW w:w="1284" w:type="pct"/>
            <w:vMerge/>
            <w:vAlign w:val="center"/>
          </w:tcPr>
          <w:p w14:paraId="51E83ADA"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p>
        </w:tc>
        <w:tc>
          <w:tcPr>
            <w:tcW w:w="2076" w:type="pct"/>
            <w:vAlign w:val="center"/>
          </w:tcPr>
          <w:p w14:paraId="55269E60"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岸线方向</w:t>
            </w:r>
            <w:r w:rsidRPr="00092862">
              <w:rPr>
                <w:rFonts w:ascii="Times New Roman" w:eastAsia="宋体" w:hAnsi="Times New Roman" w:cs="Times New Roman"/>
                <w:color w:val="000000" w:themeColor="text1"/>
                <w:szCs w:val="21"/>
              </w:rPr>
              <w:t>/°</w:t>
            </w:r>
          </w:p>
        </w:tc>
        <w:tc>
          <w:tcPr>
            <w:tcW w:w="1640" w:type="pct"/>
            <w:vAlign w:val="center"/>
          </w:tcPr>
          <w:p w14:paraId="4596B944" w14:textId="77777777" w:rsidR="00465174" w:rsidRPr="00092862" w:rsidRDefault="00465174" w:rsidP="00465174">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bl>
    <w:p w14:paraId="518EEAA5" w14:textId="77777777" w:rsidR="00465174" w:rsidRPr="00092862" w:rsidRDefault="00465174" w:rsidP="00465174">
      <w:pPr>
        <w:tabs>
          <w:tab w:val="left" w:pos="600"/>
        </w:tabs>
        <w:spacing w:line="480" w:lineRule="exact"/>
        <w:ind w:firstLineChars="200" w:firstLine="480"/>
        <w:rPr>
          <w:rFonts w:ascii="Times New Roman" w:eastAsia="宋体" w:hAnsi="Times New Roman" w:cs="Times New Roman"/>
          <w:color w:val="000000" w:themeColor="text1"/>
          <w:sz w:val="24"/>
          <w:szCs w:val="24"/>
          <w:lang w:val="zh-CN"/>
        </w:rPr>
      </w:pPr>
      <w:r w:rsidRPr="00092862">
        <w:rPr>
          <w:rFonts w:ascii="Times New Roman" w:eastAsia="宋体" w:hAnsi="Times New Roman" w:cs="Times New Roman"/>
          <w:color w:val="000000" w:themeColor="text1"/>
          <w:sz w:val="24"/>
          <w:szCs w:val="24"/>
          <w:lang w:val="zh-CN"/>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lang w:val="zh-CN"/>
        </w:rPr>
        <w:t>）预测结果</w:t>
      </w:r>
    </w:p>
    <w:p w14:paraId="72CCAE34" w14:textId="77777777" w:rsidR="00465174" w:rsidRPr="00092862" w:rsidRDefault="00465174" w:rsidP="00465174">
      <w:pPr>
        <w:tabs>
          <w:tab w:val="left" w:pos="600"/>
        </w:tabs>
        <w:spacing w:line="480" w:lineRule="exact"/>
        <w:ind w:firstLineChars="200" w:firstLine="480"/>
        <w:rPr>
          <w:rFonts w:ascii="Times New Roman" w:eastAsia="宋体" w:hAnsi="Times New Roman" w:cs="Times New Roman"/>
          <w:color w:val="000000" w:themeColor="text1"/>
          <w:sz w:val="24"/>
          <w:szCs w:val="24"/>
          <w:lang w:val="zh-CN"/>
        </w:rPr>
      </w:pPr>
      <w:r w:rsidRPr="00092862">
        <w:rPr>
          <w:rFonts w:ascii="Times New Roman" w:eastAsia="宋体" w:hAnsi="Times New Roman" w:cs="Times New Roman"/>
          <w:color w:val="000000" w:themeColor="text1"/>
          <w:sz w:val="24"/>
          <w:szCs w:val="24"/>
        </w:rPr>
        <w:t>结合项目工程分析结果，选择正常排放的主要污染物及排放参数，采用《环境影响评价技术导则</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大气环境》（</w:t>
      </w:r>
      <w:r w:rsidRPr="00092862">
        <w:rPr>
          <w:rFonts w:ascii="Times New Roman" w:eastAsia="宋体" w:hAnsi="Times New Roman" w:cs="Times New Roman"/>
          <w:color w:val="000000" w:themeColor="text1"/>
          <w:sz w:val="24"/>
          <w:szCs w:val="24"/>
        </w:rPr>
        <w:t>HJ2.2-2018</w:t>
      </w:r>
      <w:r w:rsidRPr="00092862">
        <w:rPr>
          <w:rFonts w:ascii="Times New Roman" w:eastAsia="宋体" w:hAnsi="Times New Roman" w:cs="Times New Roman"/>
          <w:color w:val="000000" w:themeColor="text1"/>
          <w:sz w:val="24"/>
          <w:szCs w:val="24"/>
        </w:rPr>
        <w:t>）附录</w:t>
      </w: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推荐模型中的</w:t>
      </w:r>
      <w:r w:rsidRPr="00092862">
        <w:rPr>
          <w:rFonts w:ascii="Times New Roman" w:eastAsia="宋体" w:hAnsi="Times New Roman" w:cs="Times New Roman"/>
          <w:color w:val="000000" w:themeColor="text1"/>
          <w:sz w:val="24"/>
          <w:szCs w:val="24"/>
        </w:rPr>
        <w:t xml:space="preserve"> AERSCREEN</w:t>
      </w:r>
      <w:r w:rsidRPr="00092862">
        <w:rPr>
          <w:rFonts w:ascii="Times New Roman" w:eastAsia="宋体" w:hAnsi="Times New Roman" w:cs="Times New Roman"/>
          <w:color w:val="000000" w:themeColor="text1"/>
          <w:sz w:val="24"/>
          <w:szCs w:val="24"/>
        </w:rPr>
        <w:t>模式计算项目污染源的最大环境影响，</w:t>
      </w:r>
      <w:r w:rsidRPr="00092862">
        <w:rPr>
          <w:rFonts w:ascii="Times New Roman" w:eastAsia="宋体" w:hAnsi="Times New Roman" w:cs="Times New Roman"/>
          <w:color w:val="000000" w:themeColor="text1"/>
          <w:sz w:val="24"/>
          <w:szCs w:val="24"/>
          <w:lang w:val="zh-CN"/>
        </w:rPr>
        <w:t>预测结果见表</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lang w:val="zh-CN"/>
        </w:rPr>
        <w:t>.2-</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lang w:val="zh-CN"/>
        </w:rPr>
        <w:t>。</w:t>
      </w:r>
    </w:p>
    <w:p w14:paraId="3144012B" w14:textId="3E9AD6E1" w:rsidR="00465174" w:rsidRPr="00092862" w:rsidRDefault="00465174" w:rsidP="00465174">
      <w:pPr>
        <w:adjustRightInd w:val="0"/>
        <w:snapToGrid w:val="0"/>
        <w:spacing w:line="480" w:lineRule="exact"/>
        <w:jc w:val="center"/>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表</w:t>
      </w:r>
      <w:r w:rsidRPr="00092862">
        <w:rPr>
          <w:rFonts w:ascii="Times New Roman" w:eastAsia="黑体" w:hAnsi="Times New Roman" w:cs="Times New Roman"/>
          <w:color w:val="000000" w:themeColor="text1"/>
          <w:sz w:val="24"/>
          <w:szCs w:val="24"/>
        </w:rPr>
        <w:t xml:space="preserve">5.2-3  </w:t>
      </w:r>
      <w:r w:rsidRPr="00092862">
        <w:rPr>
          <w:rFonts w:ascii="Times New Roman" w:eastAsia="黑体" w:hAnsi="Times New Roman" w:cs="Times New Roman"/>
          <w:color w:val="000000" w:themeColor="text1"/>
          <w:sz w:val="24"/>
          <w:szCs w:val="24"/>
        </w:rPr>
        <w:t>有组织废气排放影响估算结果表</w:t>
      </w: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1460"/>
        <w:gridCol w:w="1416"/>
        <w:gridCol w:w="1559"/>
        <w:gridCol w:w="1938"/>
      </w:tblGrid>
      <w:tr w:rsidR="00697429" w:rsidRPr="00092862" w14:paraId="46FEFF4A" w14:textId="77777777" w:rsidTr="00465174">
        <w:trPr>
          <w:trHeight w:val="339"/>
          <w:tblHeader/>
          <w:jc w:val="center"/>
        </w:trPr>
        <w:tc>
          <w:tcPr>
            <w:tcW w:w="1166" w:type="pct"/>
            <w:vMerge w:val="restart"/>
            <w:vAlign w:val="center"/>
          </w:tcPr>
          <w:p w14:paraId="2E7F647D"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距源中心下风向</w:t>
            </w:r>
          </w:p>
          <w:p w14:paraId="683EDD7C"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距离</w:t>
            </w:r>
            <w:r w:rsidRPr="00092862">
              <w:rPr>
                <w:rFonts w:ascii="Times New Roman" w:hAnsi="Times New Roman" w:cs="Times New Roman"/>
                <w:color w:val="000000" w:themeColor="text1"/>
                <w:szCs w:val="21"/>
              </w:rPr>
              <w:t>D/m</w:t>
            </w:r>
          </w:p>
        </w:tc>
        <w:tc>
          <w:tcPr>
            <w:tcW w:w="3834" w:type="pct"/>
            <w:gridSpan w:val="4"/>
            <w:vAlign w:val="center"/>
          </w:tcPr>
          <w:p w14:paraId="4EC3C23A" w14:textId="238C3A81" w:rsidR="00465174" w:rsidRPr="00092862" w:rsidRDefault="00465174" w:rsidP="00465174">
            <w:pPr>
              <w:ind w:left="57" w:right="57"/>
              <w:jc w:val="center"/>
              <w:rPr>
                <w:rFonts w:ascii="Times New Roman" w:hAnsi="Times New Roman" w:cs="Times New Roman"/>
                <w:b/>
                <w:bCs/>
                <w:snapToGrid w:val="0"/>
                <w:color w:val="000000" w:themeColor="text1"/>
                <w:spacing w:val="-20"/>
                <w:szCs w:val="21"/>
              </w:rPr>
            </w:pPr>
            <w:r w:rsidRPr="00092862">
              <w:rPr>
                <w:rFonts w:ascii="Times New Roman" w:hAnsi="Times New Roman" w:cs="Times New Roman"/>
                <w:color w:val="000000" w:themeColor="text1"/>
                <w:szCs w:val="21"/>
              </w:rPr>
              <w:t>水套加热炉排气筒</w:t>
            </w:r>
            <w:r w:rsidRPr="00092862">
              <w:rPr>
                <w:rFonts w:ascii="Times New Roman" w:hAnsi="Times New Roman" w:cs="Times New Roman"/>
                <w:color w:val="000000" w:themeColor="text1"/>
                <w:szCs w:val="21"/>
              </w:rPr>
              <w:t>(P1)</w:t>
            </w:r>
          </w:p>
        </w:tc>
      </w:tr>
      <w:tr w:rsidR="00697429" w:rsidRPr="00092862" w14:paraId="287702BB" w14:textId="77777777" w:rsidTr="00465174">
        <w:trPr>
          <w:trHeight w:val="339"/>
          <w:tblHeader/>
          <w:jc w:val="center"/>
        </w:trPr>
        <w:tc>
          <w:tcPr>
            <w:tcW w:w="1166" w:type="pct"/>
            <w:vMerge/>
            <w:vAlign w:val="center"/>
          </w:tcPr>
          <w:p w14:paraId="3F949A04" w14:textId="77777777" w:rsidR="00465174" w:rsidRPr="00092862" w:rsidRDefault="00465174" w:rsidP="00465174">
            <w:pPr>
              <w:ind w:left="57" w:right="57"/>
              <w:jc w:val="center"/>
              <w:rPr>
                <w:rFonts w:ascii="Times New Roman" w:hAnsi="Times New Roman" w:cs="Times New Roman"/>
                <w:color w:val="000000" w:themeColor="text1"/>
                <w:szCs w:val="21"/>
              </w:rPr>
            </w:pPr>
          </w:p>
        </w:tc>
        <w:tc>
          <w:tcPr>
            <w:tcW w:w="1730" w:type="pct"/>
            <w:gridSpan w:val="2"/>
            <w:vAlign w:val="center"/>
          </w:tcPr>
          <w:p w14:paraId="42E56704"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SO</w:t>
            </w:r>
            <w:r w:rsidRPr="00092862">
              <w:rPr>
                <w:rFonts w:ascii="Times New Roman" w:hAnsi="Times New Roman" w:cs="Times New Roman"/>
                <w:color w:val="000000" w:themeColor="text1"/>
                <w:szCs w:val="21"/>
                <w:vertAlign w:val="subscript"/>
              </w:rPr>
              <w:t>2</w:t>
            </w:r>
          </w:p>
        </w:tc>
        <w:tc>
          <w:tcPr>
            <w:tcW w:w="2104" w:type="pct"/>
            <w:gridSpan w:val="2"/>
            <w:vAlign w:val="center"/>
          </w:tcPr>
          <w:p w14:paraId="2A01F73F" w14:textId="79698644" w:rsidR="00465174" w:rsidRPr="00092862" w:rsidRDefault="00465174" w:rsidP="00465174">
            <w:pPr>
              <w:ind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NOx</w:t>
            </w:r>
          </w:p>
        </w:tc>
      </w:tr>
      <w:tr w:rsidR="00697429" w:rsidRPr="00092862" w14:paraId="4B4C6923" w14:textId="77777777" w:rsidTr="00465174">
        <w:trPr>
          <w:trHeight w:val="339"/>
          <w:tblHeader/>
          <w:jc w:val="center"/>
        </w:trPr>
        <w:tc>
          <w:tcPr>
            <w:tcW w:w="1166" w:type="pct"/>
            <w:vMerge/>
            <w:vAlign w:val="center"/>
          </w:tcPr>
          <w:p w14:paraId="78B08769" w14:textId="77777777" w:rsidR="00465174" w:rsidRPr="00092862" w:rsidRDefault="00465174" w:rsidP="00465174">
            <w:pPr>
              <w:ind w:left="57" w:right="57"/>
              <w:jc w:val="center"/>
              <w:rPr>
                <w:rFonts w:ascii="Times New Roman" w:hAnsi="Times New Roman" w:cs="Times New Roman"/>
                <w:color w:val="000000" w:themeColor="text1"/>
                <w:szCs w:val="21"/>
              </w:rPr>
            </w:pPr>
          </w:p>
        </w:tc>
        <w:tc>
          <w:tcPr>
            <w:tcW w:w="878" w:type="pct"/>
            <w:vAlign w:val="center"/>
          </w:tcPr>
          <w:p w14:paraId="2747D24A"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μg/m³</w:t>
            </w:r>
            <w:r w:rsidRPr="00092862">
              <w:rPr>
                <w:rFonts w:ascii="Times New Roman" w:hAnsi="Times New Roman" w:cs="Times New Roman"/>
                <w:color w:val="000000" w:themeColor="text1"/>
                <w:szCs w:val="21"/>
              </w:rPr>
              <w:t>）</w:t>
            </w:r>
          </w:p>
        </w:tc>
        <w:tc>
          <w:tcPr>
            <w:tcW w:w="852" w:type="pct"/>
            <w:vAlign w:val="center"/>
          </w:tcPr>
          <w:p w14:paraId="095B2033"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P/%</w:t>
            </w:r>
          </w:p>
        </w:tc>
        <w:tc>
          <w:tcPr>
            <w:tcW w:w="938" w:type="pct"/>
            <w:vAlign w:val="center"/>
          </w:tcPr>
          <w:p w14:paraId="07EF0AAA" w14:textId="77777777" w:rsidR="00465174" w:rsidRPr="00092862" w:rsidRDefault="00465174" w:rsidP="00465174">
            <w:pPr>
              <w:ind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μg/m³</w:t>
            </w:r>
            <w:r w:rsidRPr="00092862">
              <w:rPr>
                <w:rFonts w:ascii="Times New Roman" w:hAnsi="Times New Roman" w:cs="Times New Roman"/>
                <w:color w:val="000000" w:themeColor="text1"/>
                <w:szCs w:val="21"/>
              </w:rPr>
              <w:t>）</w:t>
            </w:r>
          </w:p>
        </w:tc>
        <w:tc>
          <w:tcPr>
            <w:tcW w:w="1166" w:type="pct"/>
            <w:vAlign w:val="center"/>
          </w:tcPr>
          <w:p w14:paraId="59A5DE42" w14:textId="1044F87D"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shd w:val="pct10" w:color="auto" w:fill="FFFFFF"/>
              </w:rPr>
              <w:t>P/%</w:t>
            </w:r>
          </w:p>
        </w:tc>
      </w:tr>
      <w:tr w:rsidR="00697429" w:rsidRPr="00092862" w14:paraId="0BA7C616" w14:textId="77777777" w:rsidTr="00465174">
        <w:trPr>
          <w:trHeight w:val="339"/>
          <w:tblHeader/>
          <w:jc w:val="center"/>
        </w:trPr>
        <w:tc>
          <w:tcPr>
            <w:tcW w:w="1166" w:type="pct"/>
            <w:vAlign w:val="center"/>
          </w:tcPr>
          <w:p w14:paraId="4D6A316A"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下风向最大浓度</w:t>
            </w:r>
          </w:p>
        </w:tc>
        <w:tc>
          <w:tcPr>
            <w:tcW w:w="878" w:type="pct"/>
            <w:vAlign w:val="center"/>
          </w:tcPr>
          <w:p w14:paraId="7DF69735" w14:textId="77777777" w:rsidR="00465174" w:rsidRPr="00092862" w:rsidRDefault="00465174" w:rsidP="0046517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0.368</w:t>
            </w:r>
          </w:p>
        </w:tc>
        <w:tc>
          <w:tcPr>
            <w:tcW w:w="852" w:type="pct"/>
            <w:vAlign w:val="center"/>
          </w:tcPr>
          <w:p w14:paraId="7813B513" w14:textId="77777777" w:rsidR="00465174" w:rsidRPr="00092862" w:rsidRDefault="00465174" w:rsidP="0046517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0.07</w:t>
            </w:r>
          </w:p>
        </w:tc>
        <w:tc>
          <w:tcPr>
            <w:tcW w:w="938" w:type="pct"/>
            <w:vAlign w:val="center"/>
          </w:tcPr>
          <w:p w14:paraId="27169E9A" w14:textId="77777777" w:rsidR="00465174" w:rsidRPr="00092862" w:rsidRDefault="00465174" w:rsidP="0046517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17.62</w:t>
            </w:r>
          </w:p>
        </w:tc>
        <w:tc>
          <w:tcPr>
            <w:tcW w:w="1166" w:type="pct"/>
            <w:vAlign w:val="center"/>
          </w:tcPr>
          <w:p w14:paraId="3E6D8C2F" w14:textId="50780096" w:rsidR="00465174" w:rsidRPr="00092862" w:rsidRDefault="00465174" w:rsidP="00465174">
            <w:pPr>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shd w:val="pct10" w:color="auto" w:fill="FFFFFF"/>
              </w:rPr>
              <w:t>8.81</w:t>
            </w:r>
          </w:p>
        </w:tc>
      </w:tr>
      <w:tr w:rsidR="00697429" w:rsidRPr="00092862" w14:paraId="7B9A6E28" w14:textId="77777777" w:rsidTr="00465174">
        <w:trPr>
          <w:trHeight w:val="339"/>
          <w:tblHeader/>
          <w:jc w:val="center"/>
        </w:trPr>
        <w:tc>
          <w:tcPr>
            <w:tcW w:w="1166" w:type="pct"/>
            <w:vAlign w:val="center"/>
          </w:tcPr>
          <w:p w14:paraId="3E66F9C2"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最大浓度出现距离</w:t>
            </w:r>
          </w:p>
        </w:tc>
        <w:tc>
          <w:tcPr>
            <w:tcW w:w="3834" w:type="pct"/>
            <w:gridSpan w:val="4"/>
            <w:vAlign w:val="center"/>
          </w:tcPr>
          <w:p w14:paraId="0F88510F" w14:textId="1662C91E" w:rsidR="00465174" w:rsidRPr="00092862" w:rsidRDefault="008B37BB"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1089</w:t>
            </w:r>
            <w:r w:rsidR="00465174" w:rsidRPr="00092862">
              <w:rPr>
                <w:rFonts w:ascii="Times New Roman" w:hAnsi="Times New Roman" w:cs="Times New Roman"/>
                <w:color w:val="000000" w:themeColor="text1"/>
                <w:szCs w:val="21"/>
              </w:rPr>
              <w:t>m</w:t>
            </w:r>
          </w:p>
        </w:tc>
      </w:tr>
      <w:tr w:rsidR="00697429" w:rsidRPr="00092862" w14:paraId="7A1CC9D4" w14:textId="77777777" w:rsidTr="00465174">
        <w:trPr>
          <w:trHeight w:val="339"/>
          <w:tblHeader/>
          <w:jc w:val="center"/>
        </w:trPr>
        <w:tc>
          <w:tcPr>
            <w:tcW w:w="1166" w:type="pct"/>
            <w:vAlign w:val="center"/>
          </w:tcPr>
          <w:p w14:paraId="6E810032"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距源最远距离</w:t>
            </w:r>
            <w:r w:rsidRPr="00092862">
              <w:rPr>
                <w:rFonts w:ascii="Times New Roman" w:hAnsi="Times New Roman" w:cs="Times New Roman"/>
                <w:color w:val="000000" w:themeColor="text1"/>
                <w:szCs w:val="21"/>
              </w:rPr>
              <w:t>D10%</w:t>
            </w:r>
          </w:p>
        </w:tc>
        <w:tc>
          <w:tcPr>
            <w:tcW w:w="3834" w:type="pct"/>
            <w:gridSpan w:val="4"/>
            <w:vAlign w:val="center"/>
          </w:tcPr>
          <w:p w14:paraId="65F16E2E" w14:textId="77777777" w:rsidR="00465174" w:rsidRPr="00092862" w:rsidRDefault="00465174" w:rsidP="00465174">
            <w:pPr>
              <w:ind w:left="57" w:right="57"/>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Pmax</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10%</w:t>
            </w:r>
          </w:p>
        </w:tc>
      </w:tr>
    </w:tbl>
    <w:p w14:paraId="0F589D62" w14:textId="77777777" w:rsidR="00465174" w:rsidRPr="00092862" w:rsidRDefault="00465174" w:rsidP="00465174">
      <w:pPr>
        <w:spacing w:line="360" w:lineRule="exact"/>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注：上表中</w:t>
      </w: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rPr>
        <w:t>表示落地浓度（</w:t>
      </w:r>
      <w:r w:rsidRPr="00092862">
        <w:rPr>
          <w:rFonts w:ascii="Times New Roman" w:hAnsi="Times New Roman" w:cs="Times New Roman"/>
          <w:color w:val="000000" w:themeColor="text1"/>
          <w:szCs w:val="21"/>
        </w:rPr>
        <w:t>mg/m</w:t>
      </w:r>
      <w:r w:rsidRPr="00092862">
        <w:rPr>
          <w:rFonts w:ascii="Times New Roman" w:hAnsi="Times New Roman" w:cs="Times New Roman"/>
          <w:color w:val="000000" w:themeColor="text1"/>
          <w:szCs w:val="21"/>
          <w:vertAlign w:val="superscript"/>
        </w:rPr>
        <w:t>3</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P</w:t>
      </w:r>
      <w:r w:rsidRPr="00092862">
        <w:rPr>
          <w:rFonts w:ascii="Times New Roman" w:hAnsi="Times New Roman" w:cs="Times New Roman"/>
          <w:color w:val="000000" w:themeColor="text1"/>
          <w:szCs w:val="21"/>
        </w:rPr>
        <w:t>表示占标率（</w:t>
      </w:r>
      <w:r w:rsidRPr="00092862">
        <w:rPr>
          <w:rFonts w:ascii="Times New Roman" w:hAnsi="Times New Roman" w:cs="Times New Roman"/>
          <w:color w:val="000000" w:themeColor="text1"/>
          <w:szCs w:val="21"/>
        </w:rPr>
        <w:t>%</w:t>
      </w:r>
      <w:r w:rsidRPr="00092862">
        <w:rPr>
          <w:rFonts w:ascii="Times New Roman" w:hAnsi="Times New Roman" w:cs="Times New Roman"/>
          <w:color w:val="000000" w:themeColor="text1"/>
          <w:szCs w:val="21"/>
        </w:rPr>
        <w:t>）。</w:t>
      </w:r>
    </w:p>
    <w:p w14:paraId="78EA1FB2" w14:textId="6203A8CC" w:rsidR="00465174" w:rsidRPr="00092862" w:rsidRDefault="00465174" w:rsidP="00465174">
      <w:pPr>
        <w:tabs>
          <w:tab w:val="left" w:pos="600"/>
        </w:tabs>
        <w:adjustRightInd w:val="0"/>
        <w:snapToGrid w:val="0"/>
        <w:spacing w:line="360" w:lineRule="auto"/>
        <w:ind w:firstLineChars="200" w:firstLine="480"/>
        <w:rPr>
          <w:rFonts w:ascii="Times New Roman" w:eastAsia="宋体" w:hAnsi="Times New Roman" w:cs="Times New Roman"/>
          <w:color w:val="000000" w:themeColor="text1"/>
          <w:sz w:val="24"/>
          <w:szCs w:val="24"/>
          <w:lang w:bidi="en-US"/>
        </w:rPr>
      </w:pPr>
      <w:r w:rsidRPr="00092862">
        <w:rPr>
          <w:rFonts w:ascii="Times New Roman" w:eastAsia="宋体" w:hAnsi="Times New Roman" w:cs="Times New Roman"/>
          <w:color w:val="000000" w:themeColor="text1"/>
          <w:sz w:val="24"/>
          <w:szCs w:val="24"/>
          <w:lang w:bidi="en-US"/>
        </w:rPr>
        <w:t>由表</w:t>
      </w:r>
      <w:r w:rsidRPr="00092862">
        <w:rPr>
          <w:rFonts w:ascii="Times New Roman" w:eastAsia="宋体" w:hAnsi="Times New Roman" w:cs="Times New Roman"/>
          <w:color w:val="000000" w:themeColor="text1"/>
          <w:sz w:val="24"/>
          <w:szCs w:val="24"/>
          <w:lang w:bidi="en-US"/>
        </w:rPr>
        <w:t>5.2-3</w:t>
      </w:r>
      <w:r w:rsidRPr="00092862">
        <w:rPr>
          <w:rFonts w:ascii="Times New Roman" w:eastAsia="宋体" w:hAnsi="Times New Roman" w:cs="Times New Roman"/>
          <w:color w:val="000000" w:themeColor="text1"/>
          <w:sz w:val="24"/>
          <w:szCs w:val="24"/>
          <w:lang w:bidi="en-US"/>
        </w:rPr>
        <w:t>预测结果可知，</w:t>
      </w:r>
      <w:r w:rsidRPr="00092862">
        <w:rPr>
          <w:rFonts w:ascii="Times New Roman" w:eastAsia="宋体" w:hAnsi="Times New Roman" w:cs="Times New Roman"/>
          <w:color w:val="000000" w:themeColor="text1"/>
          <w:sz w:val="24"/>
          <w:szCs w:val="24"/>
        </w:rPr>
        <w:t>本项目水套加热炉</w:t>
      </w:r>
      <w:r w:rsidRPr="00092862">
        <w:rPr>
          <w:rFonts w:ascii="Times New Roman" w:eastAsia="宋体" w:hAnsi="Times New Roman" w:cs="Times New Roman"/>
          <w:color w:val="000000" w:themeColor="text1"/>
          <w:sz w:val="24"/>
          <w:szCs w:val="24"/>
          <w:lang w:bidi="en-US"/>
        </w:rPr>
        <w:t>排放的</w:t>
      </w:r>
      <w:bookmarkStart w:id="214" w:name="OLE_LINK72"/>
      <w:r w:rsidRPr="00092862">
        <w:rPr>
          <w:rFonts w:ascii="Times New Roman" w:eastAsia="宋体" w:hAnsi="Times New Roman" w:cs="Times New Roman"/>
          <w:color w:val="000000" w:themeColor="text1"/>
          <w:sz w:val="24"/>
          <w:szCs w:val="24"/>
        </w:rPr>
        <w:t>SO</w:t>
      </w:r>
      <w:r w:rsidRPr="00092862">
        <w:rPr>
          <w:rFonts w:ascii="Times New Roman" w:eastAsia="宋体" w:hAnsi="Times New Roman" w:cs="Times New Roman"/>
          <w:color w:val="000000" w:themeColor="text1"/>
          <w:sz w:val="24"/>
          <w:szCs w:val="24"/>
          <w:vertAlign w:val="subscript"/>
        </w:rPr>
        <w:t>2</w:t>
      </w:r>
      <w:bookmarkStart w:id="215" w:name="OLE_LINK69"/>
      <w:r w:rsidRPr="00092862">
        <w:rPr>
          <w:rFonts w:ascii="Times New Roman" w:eastAsia="宋体" w:hAnsi="Times New Roman" w:cs="Times New Roman"/>
          <w:color w:val="000000" w:themeColor="text1"/>
          <w:sz w:val="24"/>
          <w:szCs w:val="24"/>
          <w:lang w:bidi="en-US"/>
        </w:rPr>
        <w:t>、</w:t>
      </w:r>
      <w:r w:rsidRPr="00092862">
        <w:rPr>
          <w:rFonts w:ascii="Times New Roman" w:eastAsia="宋体" w:hAnsi="Times New Roman" w:cs="Times New Roman"/>
          <w:color w:val="000000" w:themeColor="text1"/>
          <w:sz w:val="24"/>
          <w:szCs w:val="24"/>
        </w:rPr>
        <w:t>NO</w:t>
      </w:r>
      <w:bookmarkEnd w:id="215"/>
      <w:r w:rsidRPr="00092862">
        <w:rPr>
          <w:rFonts w:ascii="Times New Roman" w:eastAsia="宋体" w:hAnsi="Times New Roman" w:cs="Times New Roman"/>
          <w:color w:val="000000" w:themeColor="text1"/>
          <w:sz w:val="24"/>
          <w:szCs w:val="24"/>
          <w:vertAlign w:val="subscript"/>
        </w:rPr>
        <w:t>X</w:t>
      </w:r>
      <w:bookmarkStart w:id="216" w:name="OLE_LINK74"/>
      <w:bookmarkEnd w:id="214"/>
      <w:r w:rsidRPr="00092862">
        <w:rPr>
          <w:rFonts w:ascii="Times New Roman" w:eastAsia="宋体" w:hAnsi="Times New Roman" w:cs="Times New Roman"/>
          <w:color w:val="000000" w:themeColor="text1"/>
          <w:sz w:val="24"/>
          <w:szCs w:val="24"/>
          <w:lang w:bidi="en-US"/>
        </w:rPr>
        <w:t>最大落地浓度出现在</w:t>
      </w:r>
      <w:bookmarkEnd w:id="216"/>
      <w:r w:rsidR="008B37BB" w:rsidRPr="00092862">
        <w:rPr>
          <w:rFonts w:ascii="Times New Roman" w:eastAsia="宋体" w:hAnsi="Times New Roman" w:cs="Times New Roman"/>
          <w:color w:val="000000" w:themeColor="text1"/>
          <w:sz w:val="24"/>
          <w:szCs w:val="24"/>
          <w:lang w:bidi="en-US"/>
        </w:rPr>
        <w:t>1089</w:t>
      </w:r>
      <w:r w:rsidRPr="00092862">
        <w:rPr>
          <w:rFonts w:ascii="Times New Roman" w:eastAsia="宋体" w:hAnsi="Times New Roman" w:cs="Times New Roman"/>
          <w:color w:val="000000" w:themeColor="text1"/>
          <w:sz w:val="24"/>
          <w:szCs w:val="24"/>
          <w:lang w:bidi="en-US"/>
        </w:rPr>
        <w:t>m</w:t>
      </w:r>
      <w:r w:rsidRPr="00092862">
        <w:rPr>
          <w:rFonts w:ascii="Times New Roman" w:eastAsia="宋体" w:hAnsi="Times New Roman" w:cs="Times New Roman"/>
          <w:color w:val="000000" w:themeColor="text1"/>
          <w:sz w:val="24"/>
          <w:szCs w:val="24"/>
          <w:lang w:bidi="en-US"/>
        </w:rPr>
        <w:t>处，</w:t>
      </w:r>
      <w:bookmarkStart w:id="217" w:name="OLE_LINK73"/>
      <w:r w:rsidRPr="00092862">
        <w:rPr>
          <w:rFonts w:ascii="Times New Roman" w:eastAsia="宋体" w:hAnsi="Times New Roman" w:cs="Times New Roman"/>
          <w:color w:val="000000" w:themeColor="text1"/>
          <w:sz w:val="24"/>
          <w:szCs w:val="24"/>
          <w:lang w:bidi="en-US"/>
        </w:rPr>
        <w:t>最</w:t>
      </w:r>
      <w:r w:rsidRPr="00092862">
        <w:rPr>
          <w:rFonts w:ascii="Times New Roman" w:eastAsia="宋体" w:hAnsi="Times New Roman" w:cs="Times New Roman"/>
          <w:color w:val="000000" w:themeColor="text1"/>
          <w:sz w:val="24"/>
          <w:szCs w:val="24"/>
        </w:rPr>
        <w:t>大落地浓度分别为</w:t>
      </w:r>
      <w:bookmarkEnd w:id="217"/>
      <w:r w:rsidRPr="00092862">
        <w:rPr>
          <w:rFonts w:ascii="Times New Roman" w:eastAsia="宋体" w:hAnsi="Times New Roman" w:cs="Times New Roman"/>
          <w:color w:val="000000" w:themeColor="text1"/>
          <w:sz w:val="24"/>
          <w:szCs w:val="24"/>
        </w:rPr>
        <w:t>0.368μg/m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17.62μg/m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lang w:bidi="en-US"/>
        </w:rPr>
        <w:t>相应占标率分别为</w:t>
      </w:r>
      <w:r w:rsidRPr="00092862">
        <w:rPr>
          <w:rFonts w:ascii="Times New Roman" w:eastAsia="宋体" w:hAnsi="Times New Roman" w:cs="Times New Roman"/>
          <w:color w:val="000000" w:themeColor="text1"/>
          <w:sz w:val="24"/>
          <w:szCs w:val="24"/>
          <w:lang w:bidi="en-US"/>
        </w:rPr>
        <w:t>0.07%</w:t>
      </w:r>
      <w:r w:rsidRPr="00092862">
        <w:rPr>
          <w:rFonts w:ascii="Times New Roman" w:eastAsia="宋体" w:hAnsi="Times New Roman" w:cs="Times New Roman"/>
          <w:color w:val="000000" w:themeColor="text1"/>
          <w:sz w:val="24"/>
          <w:szCs w:val="24"/>
          <w:lang w:bidi="en-US"/>
        </w:rPr>
        <w:t>、</w:t>
      </w:r>
      <w:r w:rsidRPr="00092862">
        <w:rPr>
          <w:rFonts w:ascii="Times New Roman" w:eastAsia="宋体" w:hAnsi="Times New Roman" w:cs="Times New Roman"/>
          <w:color w:val="000000" w:themeColor="text1"/>
          <w:sz w:val="24"/>
          <w:szCs w:val="24"/>
          <w:lang w:bidi="en-US"/>
        </w:rPr>
        <w:t>8.81%</w:t>
      </w:r>
      <w:r w:rsidRPr="00092862">
        <w:rPr>
          <w:rFonts w:ascii="Times New Roman" w:eastAsia="宋体" w:hAnsi="Times New Roman" w:cs="Times New Roman"/>
          <w:color w:val="000000" w:themeColor="text1"/>
          <w:sz w:val="24"/>
          <w:szCs w:val="24"/>
          <w:lang w:bidi="en-US"/>
        </w:rPr>
        <w:t>。由此可见，在正常排放情况下，本项目水套加热炉有组织排放的污染物对环境影响较小，不会改变周围大气环境功能。</w:t>
      </w:r>
    </w:p>
    <w:p w14:paraId="22307CDC" w14:textId="436496E6" w:rsidR="00BB611D" w:rsidRPr="00092862" w:rsidRDefault="00BB0B1C" w:rsidP="00465174">
      <w:pPr>
        <w:adjustRightInd w:val="0"/>
        <w:snapToGrid w:val="0"/>
        <w:spacing w:line="360" w:lineRule="auto"/>
        <w:ind w:firstLineChars="200" w:firstLine="480"/>
        <w:outlineLvl w:val="2"/>
        <w:rPr>
          <w:rFonts w:ascii="Times New Roman" w:eastAsia="黑体" w:hAnsi="Times New Roman" w:cs="Times New Roman"/>
          <w:bCs/>
          <w:color w:val="000000" w:themeColor="text1"/>
          <w:sz w:val="24"/>
          <w:szCs w:val="24"/>
        </w:rPr>
      </w:pPr>
      <w:bookmarkStart w:id="218" w:name="_Toc120173157"/>
      <w:r w:rsidRPr="00092862">
        <w:rPr>
          <w:rFonts w:ascii="Times New Roman" w:eastAsia="黑体" w:hAnsi="Times New Roman" w:cs="Times New Roman"/>
          <w:bCs/>
          <w:color w:val="000000" w:themeColor="text1"/>
          <w:sz w:val="24"/>
          <w:szCs w:val="24"/>
        </w:rPr>
        <w:t>5.2.</w:t>
      </w:r>
      <w:r w:rsidR="00573FA1" w:rsidRPr="00092862">
        <w:rPr>
          <w:rFonts w:ascii="Times New Roman" w:eastAsia="黑体" w:hAnsi="Times New Roman" w:cs="Times New Roman"/>
          <w:bCs/>
          <w:color w:val="000000" w:themeColor="text1"/>
          <w:sz w:val="24"/>
          <w:szCs w:val="24"/>
        </w:rPr>
        <w:t>3</w:t>
      </w:r>
      <w:r w:rsidR="00BB611D" w:rsidRPr="00092862">
        <w:rPr>
          <w:rFonts w:ascii="Times New Roman" w:eastAsia="黑体" w:hAnsi="Times New Roman" w:cs="Times New Roman"/>
          <w:bCs/>
          <w:color w:val="000000" w:themeColor="text1"/>
          <w:sz w:val="24"/>
          <w:szCs w:val="24"/>
        </w:rPr>
        <w:t>地表水环境影响分析</w:t>
      </w:r>
      <w:bookmarkEnd w:id="218"/>
    </w:p>
    <w:p w14:paraId="3932D944" w14:textId="77777777" w:rsidR="00BB611D" w:rsidRPr="00092862" w:rsidRDefault="00BB611D" w:rsidP="00465174">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1</w:t>
      </w:r>
      <w:r w:rsidRPr="00092862">
        <w:rPr>
          <w:rFonts w:ascii="Times New Roman" w:eastAsia="宋体" w:hAnsi="Times New Roman" w:cs="Times New Roman"/>
          <w:b/>
          <w:color w:val="000000" w:themeColor="text1"/>
          <w:sz w:val="24"/>
          <w:szCs w:val="24"/>
        </w:rPr>
        <w:t>）</w:t>
      </w:r>
      <w:r w:rsidR="00EB378F" w:rsidRPr="00092862">
        <w:rPr>
          <w:rFonts w:ascii="Times New Roman" w:eastAsia="宋体" w:hAnsi="Times New Roman" w:cs="Times New Roman"/>
          <w:b/>
          <w:color w:val="000000" w:themeColor="text1"/>
          <w:sz w:val="24"/>
          <w:szCs w:val="24"/>
        </w:rPr>
        <w:t>采气废水</w:t>
      </w:r>
      <w:r w:rsidR="00B67DC8" w:rsidRPr="00092862">
        <w:rPr>
          <w:rFonts w:ascii="Times New Roman" w:eastAsia="宋体" w:hAnsi="Times New Roman" w:cs="Times New Roman"/>
          <w:b/>
          <w:color w:val="000000" w:themeColor="text1"/>
          <w:sz w:val="24"/>
          <w:szCs w:val="24"/>
        </w:rPr>
        <w:t>影响分析</w:t>
      </w:r>
    </w:p>
    <w:p w14:paraId="6EC5DB45" w14:textId="190E1E23" w:rsidR="00EB378F" w:rsidRPr="00092862" w:rsidRDefault="00302AAA" w:rsidP="0046517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rPr>
        <w:t>根据</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4B4FA7"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测试气质组分情况，类比区块普光气田开发井日产气田水情况，预估</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4B4FA7"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气田水产生量约为</w:t>
      </w:r>
      <w:r w:rsidR="008C6DFA"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0m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/d</w:t>
      </w:r>
      <w:r w:rsidRPr="00092862">
        <w:rPr>
          <w:rFonts w:ascii="Times New Roman" w:eastAsia="宋体" w:hAnsi="Times New Roman" w:cs="Times New Roman"/>
          <w:bCs/>
          <w:color w:val="000000" w:themeColor="text1"/>
          <w:sz w:val="24"/>
        </w:rPr>
        <w:t>。酸气采取全湿气加热保温混输工艺，为防止酸化压裂液返排对地面</w:t>
      </w:r>
      <w:r w:rsidR="00BF38B7"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管道造成腐蚀，工艺流程</w:t>
      </w:r>
      <w:r w:rsidRPr="00092862">
        <w:rPr>
          <w:rFonts w:ascii="Times New Roman" w:eastAsia="宋体" w:hAnsi="Times New Roman" w:cs="Times New Roman"/>
          <w:bCs/>
          <w:color w:val="000000" w:themeColor="text1"/>
          <w:sz w:val="24"/>
        </w:rPr>
        <w:lastRenderedPageBreak/>
        <w:t>中在</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内设计了</w:t>
      </w:r>
      <w:r w:rsidR="004B4FA7" w:rsidRPr="00092862">
        <w:rPr>
          <w:rFonts w:ascii="Times New Roman" w:eastAsia="宋体" w:hAnsi="Times New Roman" w:cs="Times New Roman"/>
          <w:bCs/>
          <w:color w:val="000000" w:themeColor="text1"/>
          <w:sz w:val="24"/>
        </w:rPr>
        <w:t>临时分酸</w:t>
      </w:r>
      <w:r w:rsidRPr="00092862">
        <w:rPr>
          <w:rFonts w:ascii="Times New Roman" w:eastAsia="宋体" w:hAnsi="Times New Roman" w:cs="Times New Roman"/>
          <w:bCs/>
          <w:color w:val="000000" w:themeColor="text1"/>
          <w:sz w:val="24"/>
        </w:rPr>
        <w:t>分离器。酸气气液经过</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新建的</w:t>
      </w:r>
      <w:r w:rsidR="004B4FA7" w:rsidRPr="00092862">
        <w:rPr>
          <w:rFonts w:ascii="Times New Roman" w:eastAsia="宋体" w:hAnsi="Times New Roman" w:cs="Times New Roman"/>
          <w:bCs/>
          <w:color w:val="000000" w:themeColor="text1"/>
          <w:sz w:val="24"/>
        </w:rPr>
        <w:t>分酸</w:t>
      </w:r>
      <w:r w:rsidRPr="00092862">
        <w:rPr>
          <w:rFonts w:ascii="Times New Roman" w:eastAsia="宋体" w:hAnsi="Times New Roman" w:cs="Times New Roman"/>
          <w:bCs/>
          <w:color w:val="000000" w:themeColor="text1"/>
          <w:sz w:val="24"/>
        </w:rPr>
        <w:t>分离器进行气液分离，分离气田水进入</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F30AFD" w:rsidRPr="00092862">
        <w:rPr>
          <w:rFonts w:ascii="Times New Roman" w:eastAsia="宋体" w:hAnsi="Times New Roman" w:cs="Times New Roman"/>
          <w:bCs/>
          <w:color w:val="000000" w:themeColor="text1"/>
          <w:sz w:val="24"/>
        </w:rPr>
        <w:t>集气站</w:t>
      </w:r>
      <w:r w:rsidRPr="00092862">
        <w:rPr>
          <w:rFonts w:ascii="Times New Roman" w:eastAsia="宋体" w:hAnsi="Times New Roman" w:cs="Times New Roman"/>
          <w:bCs/>
          <w:color w:val="000000" w:themeColor="text1"/>
          <w:sz w:val="24"/>
        </w:rPr>
        <w:t>建设的</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30m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）暂存，暂存一定量后</w:t>
      </w:r>
      <w:r w:rsidR="00146BF2" w:rsidRPr="00092862">
        <w:rPr>
          <w:rFonts w:ascii="Times New Roman" w:eastAsia="宋体" w:hAnsi="Times New Roman" w:cs="Times New Roman"/>
          <w:bCs/>
          <w:color w:val="000000" w:themeColor="text1"/>
          <w:sz w:val="24"/>
        </w:rPr>
        <w:t>（</w:t>
      </w:r>
      <w:r w:rsidR="00146BF2" w:rsidRPr="00092862">
        <w:rPr>
          <w:rFonts w:ascii="Times New Roman" w:eastAsia="宋体" w:hAnsi="Times New Roman" w:cs="Times New Roman"/>
          <w:bCs/>
          <w:color w:val="000000" w:themeColor="text1"/>
          <w:sz w:val="24"/>
          <w:szCs w:val="24"/>
        </w:rPr>
        <w:t>低于容积</w:t>
      </w:r>
      <w:r w:rsidR="00146BF2" w:rsidRPr="00092862">
        <w:rPr>
          <w:rFonts w:ascii="Times New Roman" w:eastAsia="宋体" w:hAnsi="Times New Roman" w:cs="Times New Roman"/>
          <w:bCs/>
          <w:color w:val="000000" w:themeColor="text1"/>
          <w:sz w:val="24"/>
          <w:szCs w:val="24"/>
        </w:rPr>
        <w:t>80%</w:t>
      </w:r>
      <w:r w:rsidR="00146BF2" w:rsidRPr="00092862">
        <w:rPr>
          <w:rFonts w:ascii="Times New Roman" w:eastAsia="宋体" w:hAnsi="Times New Roman" w:cs="Times New Roman"/>
          <w:bCs/>
          <w:color w:val="000000" w:themeColor="text1"/>
          <w:sz w:val="24"/>
          <w:szCs w:val="24"/>
        </w:rPr>
        <w:t>前</w:t>
      </w:r>
      <w:r w:rsidR="00146BF2"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用密闭罐车拉</w:t>
      </w:r>
      <w:r w:rsidR="005D5A22" w:rsidRPr="00092862">
        <w:rPr>
          <w:rFonts w:ascii="Times New Roman" w:eastAsia="宋体" w:hAnsi="Times New Roman" w:cs="Times New Roman"/>
          <w:bCs/>
          <w:color w:val="000000" w:themeColor="text1"/>
          <w:sz w:val="24"/>
        </w:rPr>
        <w:t>运至赵家坝污水处理站</w:t>
      </w:r>
      <w:r w:rsidRPr="00092862">
        <w:rPr>
          <w:rFonts w:ascii="Times New Roman" w:eastAsia="宋体" w:hAnsi="Times New Roman" w:cs="Times New Roman"/>
          <w:bCs/>
          <w:color w:val="000000" w:themeColor="text1"/>
          <w:sz w:val="24"/>
        </w:rPr>
        <w:t>处理达到《气田水回注方法》（</w:t>
      </w:r>
      <w:r w:rsidRPr="00092862">
        <w:rPr>
          <w:rFonts w:ascii="Times New Roman" w:eastAsia="宋体" w:hAnsi="Times New Roman" w:cs="Times New Roman"/>
          <w:bCs/>
          <w:color w:val="000000" w:themeColor="text1"/>
          <w:sz w:val="24"/>
        </w:rPr>
        <w:t>SY/T 6596-2016</w:t>
      </w:r>
      <w:r w:rsidRPr="00092862">
        <w:rPr>
          <w:rFonts w:ascii="Times New Roman" w:eastAsia="宋体" w:hAnsi="Times New Roman" w:cs="Times New Roman"/>
          <w:bCs/>
          <w:color w:val="000000" w:themeColor="text1"/>
          <w:sz w:val="24"/>
        </w:rPr>
        <w:t>）中注入水基本要求后管输至</w:t>
      </w:r>
      <w:r w:rsidR="005D5A22" w:rsidRPr="00092862">
        <w:rPr>
          <w:rFonts w:ascii="Times New Roman" w:eastAsia="宋体" w:hAnsi="Times New Roman" w:cs="Times New Roman"/>
          <w:bCs/>
          <w:color w:val="000000" w:themeColor="text1"/>
          <w:sz w:val="24"/>
        </w:rPr>
        <w:t>普光</w:t>
      </w:r>
      <w:r w:rsidR="005D5A22" w:rsidRPr="00092862">
        <w:rPr>
          <w:rFonts w:ascii="Times New Roman" w:eastAsia="宋体" w:hAnsi="Times New Roman" w:cs="Times New Roman"/>
          <w:bCs/>
          <w:color w:val="000000" w:themeColor="text1"/>
          <w:sz w:val="24"/>
        </w:rPr>
        <w:t>11</w:t>
      </w:r>
      <w:r w:rsidR="005D5A22" w:rsidRPr="00092862">
        <w:rPr>
          <w:rFonts w:ascii="Times New Roman" w:eastAsia="宋体" w:hAnsi="Times New Roman" w:cs="Times New Roman"/>
          <w:bCs/>
          <w:color w:val="000000" w:themeColor="text1"/>
          <w:sz w:val="24"/>
        </w:rPr>
        <w:t>井回注站</w:t>
      </w:r>
      <w:r w:rsidRPr="00092862">
        <w:rPr>
          <w:rFonts w:ascii="Times New Roman" w:eastAsia="宋体" w:hAnsi="Times New Roman" w:cs="Times New Roman"/>
          <w:bCs/>
          <w:color w:val="000000" w:themeColor="text1"/>
          <w:sz w:val="24"/>
        </w:rPr>
        <w:t>回注处理，不外排。</w:t>
      </w:r>
      <w:r w:rsidR="00EB378F" w:rsidRPr="00092862">
        <w:rPr>
          <w:rFonts w:ascii="Times New Roman" w:eastAsia="宋体" w:hAnsi="Times New Roman" w:cs="Times New Roman"/>
          <w:bCs/>
          <w:color w:val="000000" w:themeColor="text1"/>
          <w:sz w:val="24"/>
          <w:szCs w:val="24"/>
        </w:rPr>
        <w:t>现场无废水外排，对地表水体影响较小。</w:t>
      </w:r>
      <w:r w:rsidR="00146BF2" w:rsidRPr="00092862">
        <w:rPr>
          <w:rFonts w:ascii="Times New Roman" w:eastAsia="宋体" w:hAnsi="Times New Roman" w:cs="Times New Roman"/>
          <w:bCs/>
          <w:color w:val="000000" w:themeColor="text1"/>
          <w:sz w:val="24"/>
          <w:szCs w:val="24"/>
        </w:rPr>
        <w:t>且随着采气</w:t>
      </w:r>
      <w:r w:rsidR="001A6854" w:rsidRPr="00092862">
        <w:rPr>
          <w:rFonts w:ascii="Times New Roman" w:eastAsia="宋体" w:hAnsi="Times New Roman" w:cs="Times New Roman"/>
          <w:bCs/>
          <w:color w:val="000000" w:themeColor="text1"/>
          <w:sz w:val="24"/>
          <w:szCs w:val="24"/>
        </w:rPr>
        <w:t>试采</w:t>
      </w:r>
      <w:r w:rsidR="00146BF2" w:rsidRPr="00092862">
        <w:rPr>
          <w:rFonts w:ascii="Times New Roman" w:eastAsia="宋体" w:hAnsi="Times New Roman" w:cs="Times New Roman"/>
          <w:bCs/>
          <w:color w:val="000000" w:themeColor="text1"/>
          <w:sz w:val="24"/>
          <w:szCs w:val="24"/>
        </w:rPr>
        <w:t>，</w:t>
      </w:r>
      <w:r w:rsidR="00EB378F" w:rsidRPr="00092862">
        <w:rPr>
          <w:rFonts w:ascii="Times New Roman" w:eastAsia="宋体" w:hAnsi="Times New Roman" w:cs="Times New Roman"/>
          <w:bCs/>
          <w:color w:val="000000" w:themeColor="text1"/>
          <w:sz w:val="24"/>
          <w:szCs w:val="24"/>
        </w:rPr>
        <w:t>废水产生量</w:t>
      </w:r>
      <w:r w:rsidR="00146BF2" w:rsidRPr="00092862">
        <w:rPr>
          <w:rFonts w:ascii="Times New Roman" w:eastAsia="宋体" w:hAnsi="Times New Roman" w:cs="Times New Roman"/>
          <w:bCs/>
          <w:color w:val="000000" w:themeColor="text1"/>
          <w:sz w:val="24"/>
          <w:szCs w:val="24"/>
        </w:rPr>
        <w:t>将更</w:t>
      </w:r>
      <w:r w:rsidR="00EB378F" w:rsidRPr="00092862">
        <w:rPr>
          <w:rFonts w:ascii="Times New Roman" w:eastAsia="宋体" w:hAnsi="Times New Roman" w:cs="Times New Roman"/>
          <w:bCs/>
          <w:color w:val="000000" w:themeColor="text1"/>
          <w:sz w:val="24"/>
          <w:szCs w:val="24"/>
        </w:rPr>
        <w:t>小，水质简单，去向明确，本项目</w:t>
      </w:r>
      <w:r w:rsidR="00146BF2" w:rsidRPr="00092862">
        <w:rPr>
          <w:rFonts w:ascii="Times New Roman" w:eastAsia="宋体" w:hAnsi="Times New Roman" w:cs="Times New Roman"/>
          <w:bCs/>
          <w:color w:val="000000" w:themeColor="text1"/>
          <w:sz w:val="24"/>
          <w:szCs w:val="24"/>
        </w:rPr>
        <w:t>试采</w:t>
      </w:r>
      <w:r w:rsidR="00EB378F" w:rsidRPr="00092862">
        <w:rPr>
          <w:rFonts w:ascii="Times New Roman" w:eastAsia="宋体" w:hAnsi="Times New Roman" w:cs="Times New Roman"/>
          <w:bCs/>
          <w:color w:val="000000" w:themeColor="text1"/>
          <w:sz w:val="24"/>
          <w:szCs w:val="24"/>
        </w:rPr>
        <w:t>期废水依托的</w:t>
      </w:r>
      <w:r w:rsidR="00DD4FA1" w:rsidRPr="00092862">
        <w:rPr>
          <w:rFonts w:ascii="Times New Roman" w:eastAsia="宋体" w:hAnsi="Times New Roman" w:cs="Times New Roman"/>
          <w:bCs/>
          <w:color w:val="000000" w:themeColor="text1"/>
          <w:sz w:val="24"/>
        </w:rPr>
        <w:t>火炬分液罐</w:t>
      </w:r>
      <w:r w:rsidR="00EB378F" w:rsidRPr="00092862">
        <w:rPr>
          <w:rFonts w:ascii="Times New Roman" w:eastAsia="宋体" w:hAnsi="Times New Roman" w:cs="Times New Roman"/>
          <w:bCs/>
          <w:color w:val="000000" w:themeColor="text1"/>
          <w:sz w:val="24"/>
          <w:szCs w:val="24"/>
        </w:rPr>
        <w:t>和配套环保设施处理能力满足本项目需求，收集处理工艺在</w:t>
      </w:r>
      <w:r w:rsidR="00146BF2" w:rsidRPr="00092862">
        <w:rPr>
          <w:rFonts w:ascii="Times New Roman" w:eastAsia="宋体" w:hAnsi="Times New Roman" w:cs="Times New Roman"/>
          <w:color w:val="000000" w:themeColor="text1"/>
          <w:sz w:val="24"/>
        </w:rPr>
        <w:t>川东北气田开发区块</w:t>
      </w:r>
      <w:r w:rsidR="00EB378F" w:rsidRPr="00092862">
        <w:rPr>
          <w:rFonts w:ascii="Times New Roman" w:eastAsia="宋体" w:hAnsi="Times New Roman" w:cs="Times New Roman"/>
          <w:bCs/>
          <w:color w:val="000000" w:themeColor="text1"/>
          <w:sz w:val="24"/>
          <w:szCs w:val="24"/>
        </w:rPr>
        <w:t>已运行多年，效果稳定可靠，未发生过处理不佳导致环境污染的事故发生。因此，本项目</w:t>
      </w:r>
      <w:r w:rsidR="00146BF2" w:rsidRPr="00092862">
        <w:rPr>
          <w:rFonts w:ascii="Times New Roman" w:eastAsia="宋体" w:hAnsi="Times New Roman" w:cs="Times New Roman"/>
          <w:bCs/>
          <w:color w:val="000000" w:themeColor="text1"/>
          <w:sz w:val="24"/>
          <w:szCs w:val="24"/>
        </w:rPr>
        <w:t>试采</w:t>
      </w:r>
      <w:r w:rsidR="00EB378F" w:rsidRPr="00092862">
        <w:rPr>
          <w:rFonts w:ascii="Times New Roman" w:eastAsia="宋体" w:hAnsi="Times New Roman" w:cs="Times New Roman"/>
          <w:bCs/>
          <w:color w:val="000000" w:themeColor="text1"/>
          <w:sz w:val="24"/>
          <w:szCs w:val="24"/>
        </w:rPr>
        <w:t>期采气废水不会对地表水环境造成不良影响。</w:t>
      </w:r>
    </w:p>
    <w:p w14:paraId="0A1FBC27" w14:textId="722F483F" w:rsidR="00E22226" w:rsidRPr="00092862" w:rsidRDefault="00E22226" w:rsidP="00E22226">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）非正常工况井下作业废水</w:t>
      </w:r>
    </w:p>
    <w:p w14:paraId="68DFBFB6" w14:textId="17898167" w:rsidR="00E22226" w:rsidRPr="00092862" w:rsidRDefault="00E22226" w:rsidP="00E2222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rPr>
        <w:t>正常试采期，当地层堵塞时，为提高地层渗透率，需进行压裂酸化等作业，属于试采期非正常工况。根据类比调查，作业频次为</w:t>
      </w:r>
      <w:r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次</w:t>
      </w:r>
      <w:r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，单井排放量为</w:t>
      </w:r>
      <w:r w:rsidRPr="00092862">
        <w:rPr>
          <w:rFonts w:ascii="Times New Roman" w:eastAsia="宋体" w:hAnsi="Times New Roman" w:cs="Times New Roman"/>
          <w:bCs/>
          <w:color w:val="000000" w:themeColor="text1"/>
          <w:sz w:val="24"/>
        </w:rPr>
        <w:t>50m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，则本项目</w:t>
      </w:r>
      <w:r w:rsidR="00EC70BF" w:rsidRPr="00092862">
        <w:rPr>
          <w:rFonts w:ascii="Times New Roman" w:eastAsia="宋体" w:hAnsi="Times New Roman" w:cs="Times New Roman"/>
          <w:bCs/>
          <w:color w:val="000000" w:themeColor="text1"/>
          <w:sz w:val="24"/>
        </w:rPr>
        <w:t>2</w:t>
      </w:r>
      <w:r w:rsidR="00EC70BF" w:rsidRPr="00092862">
        <w:rPr>
          <w:rFonts w:ascii="Times New Roman" w:eastAsia="宋体" w:hAnsi="Times New Roman" w:cs="Times New Roman"/>
          <w:bCs/>
          <w:color w:val="000000" w:themeColor="text1"/>
          <w:sz w:val="24"/>
        </w:rPr>
        <w:t>口井</w:t>
      </w:r>
      <w:r w:rsidRPr="00092862">
        <w:rPr>
          <w:rFonts w:ascii="Times New Roman" w:eastAsia="宋体" w:hAnsi="Times New Roman" w:cs="Times New Roman"/>
          <w:bCs/>
          <w:color w:val="000000" w:themeColor="text1"/>
          <w:sz w:val="24"/>
        </w:rPr>
        <w:t>排放量为</w:t>
      </w:r>
      <w:r w:rsidRPr="00092862">
        <w:rPr>
          <w:rFonts w:ascii="Times New Roman" w:eastAsia="宋体" w:hAnsi="Times New Roman" w:cs="Times New Roman"/>
          <w:bCs/>
          <w:color w:val="000000" w:themeColor="text1"/>
          <w:sz w:val="24"/>
        </w:rPr>
        <w:t>1</w:t>
      </w:r>
      <w:r w:rsidR="008C6DFA" w:rsidRPr="00092862">
        <w:rPr>
          <w:rFonts w:ascii="Times New Roman" w:eastAsia="宋体" w:hAnsi="Times New Roman" w:cs="Times New Roman"/>
          <w:bCs/>
          <w:color w:val="000000" w:themeColor="text1"/>
          <w:sz w:val="24"/>
        </w:rPr>
        <w:t>0</w:t>
      </w:r>
      <w:r w:rsidRPr="00092862">
        <w:rPr>
          <w:rFonts w:ascii="Times New Roman" w:eastAsia="宋体" w:hAnsi="Times New Roman" w:cs="Times New Roman"/>
          <w:bCs/>
          <w:color w:val="000000" w:themeColor="text1"/>
          <w:sz w:val="24"/>
        </w:rPr>
        <w:t>0m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，将废水用密闭罐车拉运至赵家坝污水处理站处理达标后经普光</w:t>
      </w:r>
      <w:r w:rsidRPr="00092862">
        <w:rPr>
          <w:rFonts w:ascii="Times New Roman" w:eastAsia="宋体" w:hAnsi="Times New Roman" w:cs="Times New Roman"/>
          <w:bCs/>
          <w:color w:val="000000" w:themeColor="text1"/>
          <w:sz w:val="24"/>
        </w:rPr>
        <w:t>11</w:t>
      </w:r>
      <w:r w:rsidRPr="00092862">
        <w:rPr>
          <w:rFonts w:ascii="Times New Roman" w:eastAsia="宋体" w:hAnsi="Times New Roman" w:cs="Times New Roman"/>
          <w:bCs/>
          <w:color w:val="000000" w:themeColor="text1"/>
          <w:sz w:val="24"/>
        </w:rPr>
        <w:t>井回注站回注，与</w:t>
      </w:r>
      <w:r w:rsidR="004D07D0" w:rsidRPr="00092862">
        <w:rPr>
          <w:rFonts w:ascii="Times New Roman" w:eastAsia="宋体" w:hAnsi="Times New Roman" w:cs="Times New Roman"/>
          <w:bCs/>
          <w:color w:val="000000" w:themeColor="text1"/>
          <w:sz w:val="24"/>
          <w:szCs w:val="24"/>
        </w:rPr>
        <w:t>原老君</w:t>
      </w:r>
      <w:r w:rsidR="004D07D0" w:rsidRPr="00092862">
        <w:rPr>
          <w:rFonts w:ascii="Times New Roman" w:eastAsia="宋体" w:hAnsi="Times New Roman" w:cs="Times New Roman"/>
          <w:bCs/>
          <w:color w:val="000000" w:themeColor="text1"/>
          <w:sz w:val="24"/>
          <w:szCs w:val="24"/>
        </w:rPr>
        <w:t>701</w:t>
      </w:r>
      <w:r w:rsidR="004D07D0" w:rsidRPr="00092862">
        <w:rPr>
          <w:rFonts w:ascii="Times New Roman" w:eastAsia="宋体" w:hAnsi="Times New Roman" w:cs="Times New Roman"/>
          <w:bCs/>
          <w:color w:val="000000" w:themeColor="text1"/>
          <w:sz w:val="24"/>
          <w:szCs w:val="24"/>
        </w:rPr>
        <w:t>集气站旁</w:t>
      </w:r>
      <w:r w:rsidRPr="00092862">
        <w:rPr>
          <w:rFonts w:ascii="Times New Roman" w:eastAsia="宋体" w:hAnsi="Times New Roman" w:cs="Times New Roman"/>
          <w:bCs/>
          <w:color w:val="000000" w:themeColor="text1"/>
          <w:sz w:val="24"/>
          <w:szCs w:val="24"/>
        </w:rPr>
        <w:t>内</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口天然气井污水产生量与处置方式均相同</w:t>
      </w:r>
      <w:r w:rsidRPr="00092862">
        <w:rPr>
          <w:rFonts w:ascii="Times New Roman" w:eastAsia="宋体" w:hAnsi="Times New Roman" w:cs="Times New Roman"/>
          <w:bCs/>
          <w:color w:val="000000" w:themeColor="text1"/>
          <w:sz w:val="24"/>
        </w:rPr>
        <w:t>。</w:t>
      </w:r>
    </w:p>
    <w:p w14:paraId="3779D08A" w14:textId="7DFAD881" w:rsidR="00EB378F" w:rsidRPr="00092862" w:rsidRDefault="00EB378F" w:rsidP="00EB378F">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00E22226" w:rsidRPr="00092862">
        <w:rPr>
          <w:rFonts w:ascii="Times New Roman" w:eastAsia="宋体" w:hAnsi="Times New Roman" w:cs="Times New Roman"/>
          <w:b/>
          <w:color w:val="000000" w:themeColor="text1"/>
          <w:sz w:val="24"/>
          <w:szCs w:val="24"/>
        </w:rPr>
        <w:t>3</w:t>
      </w:r>
      <w:r w:rsidRPr="00092862">
        <w:rPr>
          <w:rFonts w:ascii="Times New Roman" w:eastAsia="宋体" w:hAnsi="Times New Roman" w:cs="Times New Roman"/>
          <w:b/>
          <w:color w:val="000000" w:themeColor="text1"/>
          <w:sz w:val="24"/>
          <w:szCs w:val="24"/>
        </w:rPr>
        <w:t>）生活污水</w:t>
      </w:r>
      <w:r w:rsidR="00B67DC8" w:rsidRPr="00092862">
        <w:rPr>
          <w:rFonts w:ascii="Times New Roman" w:eastAsia="宋体" w:hAnsi="Times New Roman" w:cs="Times New Roman"/>
          <w:b/>
          <w:color w:val="000000" w:themeColor="text1"/>
          <w:sz w:val="24"/>
          <w:szCs w:val="24"/>
        </w:rPr>
        <w:t>影响分析</w:t>
      </w:r>
    </w:p>
    <w:p w14:paraId="57421C51" w14:textId="30A7724F" w:rsidR="00EB378F" w:rsidRPr="00092862" w:rsidRDefault="00146BF2" w:rsidP="00EB378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w:t>
      </w:r>
      <w:r w:rsidR="004B4FA7" w:rsidRPr="00092862">
        <w:rPr>
          <w:rFonts w:ascii="Times New Roman" w:eastAsia="宋体" w:hAnsi="Times New Roman" w:cs="Times New Roman"/>
          <w:bCs/>
          <w:color w:val="000000" w:themeColor="text1"/>
          <w:sz w:val="24"/>
          <w:szCs w:val="24"/>
        </w:rPr>
        <w:t>不新增工作人员，无新增生活污水产生，</w:t>
      </w:r>
      <w:r w:rsidR="004D07D0" w:rsidRPr="00092862">
        <w:rPr>
          <w:rFonts w:ascii="Times New Roman" w:eastAsia="宋体" w:hAnsi="Times New Roman" w:cs="Times New Roman"/>
          <w:bCs/>
          <w:color w:val="000000" w:themeColor="text1"/>
          <w:sz w:val="24"/>
          <w:szCs w:val="24"/>
        </w:rPr>
        <w:t>原老君</w:t>
      </w:r>
      <w:r w:rsidR="004D07D0" w:rsidRPr="00092862">
        <w:rPr>
          <w:rFonts w:ascii="Times New Roman" w:eastAsia="宋体" w:hAnsi="Times New Roman" w:cs="Times New Roman"/>
          <w:bCs/>
          <w:color w:val="000000" w:themeColor="text1"/>
          <w:sz w:val="24"/>
          <w:szCs w:val="24"/>
        </w:rPr>
        <w:t>701</w:t>
      </w:r>
      <w:r w:rsidR="004D07D0" w:rsidRPr="00092862">
        <w:rPr>
          <w:rFonts w:ascii="Times New Roman" w:eastAsia="宋体" w:hAnsi="Times New Roman" w:cs="Times New Roman"/>
          <w:bCs/>
          <w:color w:val="000000" w:themeColor="text1"/>
          <w:sz w:val="24"/>
          <w:szCs w:val="24"/>
        </w:rPr>
        <w:t>集气站旁</w:t>
      </w:r>
      <w:r w:rsidR="00271DF7" w:rsidRPr="00092862">
        <w:rPr>
          <w:rFonts w:ascii="Times New Roman" w:eastAsia="宋体" w:hAnsi="Times New Roman" w:cs="Times New Roman"/>
          <w:bCs/>
          <w:color w:val="000000" w:themeColor="text1"/>
          <w:sz w:val="24"/>
          <w:szCs w:val="24"/>
        </w:rPr>
        <w:t>工作人员生活污水经站场化粪池处理后定期由密闭罐车拉运至周边生活污水处理厂处理</w:t>
      </w:r>
      <w:r w:rsidR="00E22226" w:rsidRPr="00092862">
        <w:rPr>
          <w:rFonts w:ascii="Times New Roman" w:eastAsia="宋体" w:hAnsi="Times New Roman" w:cs="Times New Roman"/>
          <w:bCs/>
          <w:color w:val="000000" w:themeColor="text1"/>
          <w:sz w:val="24"/>
        </w:rPr>
        <w:t>，不外排</w:t>
      </w:r>
      <w:r w:rsidR="00EB378F" w:rsidRPr="00092862">
        <w:rPr>
          <w:rFonts w:ascii="Times New Roman" w:eastAsia="宋体" w:hAnsi="Times New Roman" w:cs="Times New Roman"/>
          <w:bCs/>
          <w:color w:val="000000" w:themeColor="text1"/>
          <w:sz w:val="24"/>
          <w:szCs w:val="24"/>
        </w:rPr>
        <w:t>。</w:t>
      </w:r>
    </w:p>
    <w:p w14:paraId="1E4535A1" w14:textId="3E9627FE" w:rsidR="00BB611D" w:rsidRPr="00092862" w:rsidRDefault="00EB378F" w:rsidP="00EB378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综上所述，在严格落实各项污染防治措施的前提下，本项目</w:t>
      </w:r>
      <w:r w:rsidR="001A6854"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对周围地表水环境影响较小。</w:t>
      </w:r>
    </w:p>
    <w:p w14:paraId="60273209" w14:textId="19493903" w:rsidR="00EB378F" w:rsidRPr="00092862" w:rsidRDefault="00BB0B1C" w:rsidP="00BB0B1C">
      <w:pPr>
        <w:adjustRightInd w:val="0"/>
        <w:snapToGrid w:val="0"/>
        <w:spacing w:line="360" w:lineRule="auto"/>
        <w:ind w:firstLineChars="200" w:firstLine="480"/>
        <w:outlineLvl w:val="2"/>
        <w:rPr>
          <w:rFonts w:ascii="Times New Roman" w:eastAsia="黑体" w:hAnsi="Times New Roman" w:cs="Times New Roman"/>
          <w:bCs/>
          <w:color w:val="000000" w:themeColor="text1"/>
          <w:sz w:val="24"/>
          <w:szCs w:val="24"/>
        </w:rPr>
      </w:pPr>
      <w:bookmarkStart w:id="219" w:name="_Toc120173158"/>
      <w:r w:rsidRPr="00092862">
        <w:rPr>
          <w:rFonts w:ascii="Times New Roman" w:eastAsia="黑体" w:hAnsi="Times New Roman" w:cs="Times New Roman"/>
          <w:bCs/>
          <w:color w:val="000000" w:themeColor="text1"/>
          <w:sz w:val="24"/>
          <w:szCs w:val="24"/>
        </w:rPr>
        <w:t>5.2.</w:t>
      </w:r>
      <w:r w:rsidR="00573FA1" w:rsidRPr="00092862">
        <w:rPr>
          <w:rFonts w:ascii="Times New Roman" w:eastAsia="黑体" w:hAnsi="Times New Roman" w:cs="Times New Roman"/>
          <w:bCs/>
          <w:color w:val="000000" w:themeColor="text1"/>
          <w:sz w:val="24"/>
          <w:szCs w:val="24"/>
        </w:rPr>
        <w:t>4</w:t>
      </w:r>
      <w:r w:rsidR="00EB378F" w:rsidRPr="00092862">
        <w:rPr>
          <w:rFonts w:ascii="Times New Roman" w:eastAsia="黑体" w:hAnsi="Times New Roman" w:cs="Times New Roman"/>
          <w:bCs/>
          <w:color w:val="000000" w:themeColor="text1"/>
          <w:sz w:val="24"/>
          <w:szCs w:val="24"/>
        </w:rPr>
        <w:t>声环境影响分析</w:t>
      </w:r>
      <w:bookmarkEnd w:id="219"/>
    </w:p>
    <w:p w14:paraId="0692E4F7" w14:textId="4CF59ACC" w:rsidR="00513E1B" w:rsidRPr="00092862" w:rsidRDefault="00513E1B" w:rsidP="00715C1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本项目运营期</w:t>
      </w:r>
      <w:r w:rsidR="008C6DFA" w:rsidRPr="00092862">
        <w:rPr>
          <w:rFonts w:ascii="Times New Roman" w:eastAsia="宋体" w:hAnsi="Times New Roman" w:cs="Times New Roman"/>
          <w:bCs/>
          <w:color w:val="000000" w:themeColor="text1"/>
          <w:sz w:val="24"/>
          <w:szCs w:val="24"/>
        </w:rPr>
        <w:t>主要依托老君</w:t>
      </w:r>
      <w:r w:rsidR="008C6DFA" w:rsidRPr="00092862">
        <w:rPr>
          <w:rFonts w:ascii="Times New Roman" w:eastAsia="宋体" w:hAnsi="Times New Roman" w:cs="Times New Roman"/>
          <w:bCs/>
          <w:color w:val="000000" w:themeColor="text1"/>
          <w:sz w:val="24"/>
          <w:szCs w:val="24"/>
        </w:rPr>
        <w:t>701</w:t>
      </w:r>
      <w:r w:rsidR="008C6DFA" w:rsidRPr="00092862">
        <w:rPr>
          <w:rFonts w:ascii="Times New Roman" w:eastAsia="宋体" w:hAnsi="Times New Roman" w:cs="Times New Roman"/>
          <w:bCs/>
          <w:color w:val="000000" w:themeColor="text1"/>
          <w:sz w:val="24"/>
          <w:szCs w:val="24"/>
        </w:rPr>
        <w:t>集气站进行试采生产，拟建井场内进需新建</w:t>
      </w:r>
      <w:r w:rsidR="008C6DFA" w:rsidRPr="00092862">
        <w:rPr>
          <w:rFonts w:ascii="Times New Roman" w:eastAsia="宋体" w:hAnsi="Times New Roman" w:cs="Times New Roman"/>
          <w:bCs/>
          <w:color w:val="000000" w:themeColor="text1"/>
          <w:sz w:val="24"/>
          <w:szCs w:val="24"/>
        </w:rPr>
        <w:t>1</w:t>
      </w:r>
      <w:r w:rsidR="008C6DFA" w:rsidRPr="00092862">
        <w:rPr>
          <w:rFonts w:ascii="Times New Roman" w:eastAsia="宋体" w:hAnsi="Times New Roman" w:cs="Times New Roman"/>
          <w:bCs/>
          <w:color w:val="000000" w:themeColor="text1"/>
          <w:sz w:val="24"/>
          <w:szCs w:val="24"/>
        </w:rPr>
        <w:t>座采气站场，主要生产设备为采气树、</w:t>
      </w:r>
      <w:r w:rsidR="00715C15" w:rsidRPr="00092862">
        <w:rPr>
          <w:rFonts w:ascii="Times New Roman" w:eastAsia="宋体" w:hAnsi="Times New Roman" w:cs="Times New Roman"/>
          <w:bCs/>
          <w:color w:val="000000" w:themeColor="text1"/>
          <w:sz w:val="24"/>
          <w:szCs w:val="24"/>
        </w:rPr>
        <w:t>水套加热炉及</w:t>
      </w:r>
      <w:r w:rsidR="00715C15" w:rsidRPr="00092862">
        <w:rPr>
          <w:rFonts w:ascii="Times New Roman" w:eastAsia="宋体" w:hAnsi="Times New Roman" w:cs="Times New Roman"/>
          <w:color w:val="000000" w:themeColor="text1"/>
          <w:sz w:val="24"/>
        </w:rPr>
        <w:t>超声波流量计等。</w:t>
      </w:r>
      <w:r w:rsidRPr="00092862">
        <w:rPr>
          <w:rFonts w:ascii="Times New Roman" w:eastAsia="宋体" w:hAnsi="Times New Roman" w:cs="Times New Roman"/>
          <w:bCs/>
          <w:color w:val="000000" w:themeColor="text1"/>
          <w:sz w:val="24"/>
          <w:szCs w:val="24"/>
        </w:rPr>
        <w:t>因此试采期</w:t>
      </w:r>
      <w:r w:rsidR="003C3238" w:rsidRPr="00092862">
        <w:rPr>
          <w:rFonts w:ascii="Times New Roman" w:eastAsia="宋体" w:hAnsi="Times New Roman" w:cs="Times New Roman"/>
          <w:bCs/>
          <w:color w:val="000000" w:themeColor="text1"/>
          <w:sz w:val="24"/>
          <w:szCs w:val="24"/>
        </w:rPr>
        <w:t>老君</w:t>
      </w:r>
      <w:r w:rsidR="003C3238" w:rsidRPr="00092862">
        <w:rPr>
          <w:rFonts w:ascii="Times New Roman" w:eastAsia="宋体" w:hAnsi="Times New Roman" w:cs="Times New Roman"/>
          <w:bCs/>
          <w:color w:val="000000" w:themeColor="text1"/>
          <w:sz w:val="24"/>
          <w:szCs w:val="24"/>
        </w:rPr>
        <w:t>701</w:t>
      </w:r>
      <w:r w:rsidRPr="00092862">
        <w:rPr>
          <w:rFonts w:ascii="Times New Roman" w:eastAsia="宋体" w:hAnsi="Times New Roman" w:cs="Times New Roman"/>
          <w:bCs/>
          <w:color w:val="000000" w:themeColor="text1"/>
          <w:sz w:val="24"/>
          <w:szCs w:val="24"/>
        </w:rPr>
        <w:t>集气站厂界噪声与对敏感目标</w:t>
      </w:r>
      <w:r w:rsidR="00253A79" w:rsidRPr="00092862">
        <w:rPr>
          <w:rFonts w:ascii="Times New Roman" w:eastAsia="宋体" w:hAnsi="Times New Roman" w:cs="Times New Roman"/>
          <w:bCs/>
          <w:color w:val="000000" w:themeColor="text1"/>
          <w:sz w:val="24"/>
          <w:szCs w:val="24"/>
        </w:rPr>
        <w:t>（厂界</w:t>
      </w:r>
      <w:r w:rsidR="00253A79" w:rsidRPr="00092862">
        <w:rPr>
          <w:rFonts w:ascii="Times New Roman" w:eastAsia="宋体" w:hAnsi="Times New Roman" w:cs="Times New Roman"/>
          <w:bCs/>
          <w:color w:val="000000" w:themeColor="text1"/>
          <w:sz w:val="24"/>
          <w:szCs w:val="24"/>
        </w:rPr>
        <w:t>200m</w:t>
      </w:r>
      <w:r w:rsidR="00253A79" w:rsidRPr="00092862">
        <w:rPr>
          <w:rFonts w:ascii="Times New Roman" w:eastAsia="宋体" w:hAnsi="Times New Roman" w:cs="Times New Roman"/>
          <w:bCs/>
          <w:color w:val="000000" w:themeColor="text1"/>
          <w:sz w:val="24"/>
          <w:szCs w:val="24"/>
        </w:rPr>
        <w:t>范围内无居民分布）</w:t>
      </w:r>
      <w:r w:rsidRPr="00092862">
        <w:rPr>
          <w:rFonts w:ascii="Times New Roman" w:eastAsia="宋体" w:hAnsi="Times New Roman" w:cs="Times New Roman"/>
          <w:bCs/>
          <w:color w:val="000000" w:themeColor="text1"/>
          <w:sz w:val="24"/>
          <w:szCs w:val="24"/>
        </w:rPr>
        <w:t>的影响基本无变化</w:t>
      </w:r>
      <w:r w:rsidR="00715C15" w:rsidRPr="00092862">
        <w:rPr>
          <w:rFonts w:ascii="Times New Roman" w:eastAsia="宋体" w:hAnsi="Times New Roman" w:cs="Times New Roman"/>
          <w:bCs/>
          <w:color w:val="000000" w:themeColor="text1"/>
          <w:sz w:val="24"/>
          <w:szCs w:val="24"/>
        </w:rPr>
        <w:t>，本次评价主要针对新建采气站进行分析</w:t>
      </w:r>
      <w:r w:rsidRPr="00092862">
        <w:rPr>
          <w:rFonts w:ascii="Times New Roman" w:eastAsia="宋体" w:hAnsi="Times New Roman" w:cs="Times New Roman"/>
          <w:bCs/>
          <w:color w:val="000000" w:themeColor="text1"/>
          <w:sz w:val="24"/>
          <w:szCs w:val="24"/>
        </w:rPr>
        <w:t>。</w:t>
      </w:r>
    </w:p>
    <w:p w14:paraId="5AB76739" w14:textId="126BCBBC" w:rsidR="00EB378F" w:rsidRPr="00092862" w:rsidRDefault="00EB378F" w:rsidP="00EB378F">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1</w:t>
      </w:r>
      <w:r w:rsidRPr="00092862">
        <w:rPr>
          <w:rFonts w:ascii="Times New Roman" w:eastAsia="宋体" w:hAnsi="Times New Roman" w:cs="Times New Roman"/>
          <w:b/>
          <w:color w:val="000000" w:themeColor="text1"/>
          <w:sz w:val="24"/>
          <w:szCs w:val="24"/>
        </w:rPr>
        <w:t>）采气</w:t>
      </w:r>
      <w:r w:rsidR="00715C15" w:rsidRPr="00092862">
        <w:rPr>
          <w:rFonts w:ascii="Times New Roman" w:eastAsia="宋体" w:hAnsi="Times New Roman" w:cs="Times New Roman"/>
          <w:b/>
          <w:color w:val="000000" w:themeColor="text1"/>
          <w:sz w:val="24"/>
          <w:szCs w:val="24"/>
        </w:rPr>
        <w:t>站</w:t>
      </w:r>
      <w:r w:rsidRPr="00092862">
        <w:rPr>
          <w:rFonts w:ascii="Times New Roman" w:eastAsia="宋体" w:hAnsi="Times New Roman" w:cs="Times New Roman"/>
          <w:b/>
          <w:color w:val="000000" w:themeColor="text1"/>
          <w:sz w:val="24"/>
          <w:szCs w:val="24"/>
        </w:rPr>
        <w:t>设备噪声</w:t>
      </w:r>
      <w:r w:rsidR="00B67DC8" w:rsidRPr="00092862">
        <w:rPr>
          <w:rFonts w:ascii="Times New Roman" w:eastAsia="宋体" w:hAnsi="Times New Roman" w:cs="Times New Roman"/>
          <w:b/>
          <w:color w:val="000000" w:themeColor="text1"/>
          <w:sz w:val="24"/>
          <w:szCs w:val="24"/>
        </w:rPr>
        <w:t>影响分析</w:t>
      </w:r>
    </w:p>
    <w:p w14:paraId="1A902B1A" w14:textId="4E64FB26" w:rsidR="00EB378F" w:rsidRPr="00092862" w:rsidRDefault="00EB378F" w:rsidP="00715C15">
      <w:pPr>
        <w:adjustRightInd w:val="0"/>
        <w:snapToGrid w:val="0"/>
        <w:spacing w:line="360" w:lineRule="auto"/>
        <w:ind w:firstLineChars="200" w:firstLine="480"/>
        <w:rPr>
          <w:rFonts w:ascii="Times New Roman" w:eastAsia="宋体" w:hAnsi="Times New Roman" w:cs="Times New Roman"/>
          <w:color w:val="000000" w:themeColor="text1"/>
          <w:sz w:val="24"/>
        </w:rPr>
      </w:pPr>
      <w:bookmarkStart w:id="220" w:name="_Hlk87898866"/>
      <w:r w:rsidRPr="00092862">
        <w:rPr>
          <w:rFonts w:ascii="Times New Roman" w:eastAsia="宋体" w:hAnsi="Times New Roman" w:cs="Times New Roman"/>
          <w:bCs/>
          <w:color w:val="000000" w:themeColor="text1"/>
          <w:sz w:val="24"/>
        </w:rPr>
        <w:t>井站噪声主要来自水套加热炉等设备的气流摩擦噪声，通过大量钻井项目的</w:t>
      </w:r>
      <w:r w:rsidR="009C4CA7"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气流噪声源类比调查结果，预计本项目</w:t>
      </w:r>
      <w:r w:rsidR="009C4CA7"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单井噪声级约</w:t>
      </w:r>
      <w:r w:rsidRPr="00092862">
        <w:rPr>
          <w:rFonts w:ascii="Times New Roman" w:eastAsia="宋体" w:hAnsi="Times New Roman" w:cs="Times New Roman"/>
          <w:bCs/>
          <w:color w:val="000000" w:themeColor="text1"/>
          <w:sz w:val="24"/>
        </w:rPr>
        <w:t>60dB</w:t>
      </w:r>
      <w:r w:rsidRPr="00092862">
        <w:rPr>
          <w:rFonts w:ascii="Times New Roman" w:eastAsia="宋体" w:hAnsi="Times New Roman" w:cs="Times New Roman"/>
          <w:bCs/>
          <w:color w:val="000000" w:themeColor="text1"/>
          <w:sz w:val="24"/>
        </w:rPr>
        <w:lastRenderedPageBreak/>
        <w:t>（</w:t>
      </w:r>
      <w:r w:rsidRPr="00092862">
        <w:rPr>
          <w:rFonts w:ascii="Times New Roman" w:eastAsia="宋体" w:hAnsi="Times New Roman" w:cs="Times New Roman"/>
          <w:bCs/>
          <w:color w:val="000000" w:themeColor="text1"/>
          <w:sz w:val="24"/>
        </w:rPr>
        <w:t>A</w:t>
      </w:r>
      <w:r w:rsidRPr="00092862">
        <w:rPr>
          <w:rFonts w:ascii="Times New Roman" w:eastAsia="宋体" w:hAnsi="Times New Roman" w:cs="Times New Roman"/>
          <w:bCs/>
          <w:color w:val="000000" w:themeColor="text1"/>
          <w:sz w:val="24"/>
        </w:rPr>
        <w:t>）。为有效控制噪声，首先在平面布置时进行合理布局，控制气流速度，减少站场工艺管线的弯头、三通等管件，降低</w:t>
      </w:r>
      <w:r w:rsidR="00F30AFD" w:rsidRPr="00092862">
        <w:rPr>
          <w:rFonts w:ascii="Times New Roman" w:eastAsia="宋体" w:hAnsi="Times New Roman" w:cs="Times New Roman"/>
          <w:bCs/>
          <w:color w:val="000000" w:themeColor="text1"/>
          <w:sz w:val="24"/>
        </w:rPr>
        <w:t>站</w:t>
      </w:r>
      <w:r w:rsidRPr="00092862">
        <w:rPr>
          <w:rFonts w:ascii="Times New Roman" w:eastAsia="宋体" w:hAnsi="Times New Roman" w:cs="Times New Roman"/>
          <w:bCs/>
          <w:color w:val="000000" w:themeColor="text1"/>
          <w:sz w:val="24"/>
        </w:rPr>
        <w:t>内噪声；其次，选用高效低噪声的</w:t>
      </w:r>
      <w:r w:rsidR="00C26134" w:rsidRPr="00092862">
        <w:rPr>
          <w:rFonts w:ascii="Times New Roman" w:eastAsia="宋体" w:hAnsi="Times New Roman" w:cs="Times New Roman"/>
          <w:bCs/>
          <w:color w:val="000000" w:themeColor="text1"/>
          <w:sz w:val="24"/>
        </w:rPr>
        <w:t>水套加热炉</w:t>
      </w:r>
      <w:r w:rsidRPr="00092862">
        <w:rPr>
          <w:rFonts w:ascii="Times New Roman" w:eastAsia="宋体" w:hAnsi="Times New Roman" w:cs="Times New Roman"/>
          <w:bCs/>
          <w:color w:val="000000" w:themeColor="text1"/>
          <w:sz w:val="24"/>
        </w:rPr>
        <w:t>备。通过采取这些噪声控制措施后，单井</w:t>
      </w:r>
      <w:r w:rsidRPr="00092862">
        <w:rPr>
          <w:rFonts w:ascii="Times New Roman" w:eastAsia="宋体" w:hAnsi="Times New Roman" w:cs="Times New Roman"/>
          <w:color w:val="000000" w:themeColor="text1"/>
          <w:sz w:val="24"/>
        </w:rPr>
        <w:t>噪声源的声级值约</w:t>
      </w:r>
      <w:r w:rsidRPr="00092862">
        <w:rPr>
          <w:rFonts w:ascii="Times New Roman" w:eastAsia="宋体" w:hAnsi="Times New Roman" w:cs="Times New Roman"/>
          <w:color w:val="000000" w:themeColor="text1"/>
          <w:sz w:val="24"/>
        </w:rPr>
        <w:t>55dB</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A</w:t>
      </w:r>
      <w:r w:rsidRPr="00092862">
        <w:rPr>
          <w:rFonts w:ascii="Times New Roman" w:eastAsia="宋体" w:hAnsi="Times New Roman" w:cs="Times New Roman"/>
          <w:color w:val="000000" w:themeColor="text1"/>
          <w:sz w:val="24"/>
        </w:rPr>
        <w:t>）以下。</w:t>
      </w:r>
      <w:bookmarkEnd w:id="220"/>
      <w:r w:rsidR="00715C15" w:rsidRPr="00092862">
        <w:rPr>
          <w:rFonts w:ascii="Times New Roman" w:eastAsia="宋体" w:hAnsi="Times New Roman" w:cs="Times New Roman"/>
          <w:color w:val="000000" w:themeColor="text1"/>
          <w:sz w:val="24"/>
        </w:rPr>
        <w:t>项目采气站</w:t>
      </w:r>
      <w:r w:rsidRPr="00092862">
        <w:rPr>
          <w:rFonts w:ascii="Times New Roman" w:eastAsia="宋体" w:hAnsi="Times New Roman" w:cs="Times New Roman"/>
          <w:bCs/>
          <w:color w:val="000000" w:themeColor="text1"/>
          <w:sz w:val="24"/>
        </w:rPr>
        <w:t>噪声影响预测结果见表</w:t>
      </w:r>
      <w:r w:rsidR="0069295E" w:rsidRPr="00092862">
        <w:rPr>
          <w:rFonts w:ascii="Times New Roman" w:eastAsia="宋体" w:hAnsi="Times New Roman" w:cs="Times New Roman"/>
          <w:bCs/>
          <w:color w:val="000000" w:themeColor="text1"/>
          <w:sz w:val="24"/>
        </w:rPr>
        <w:t>5.2-</w:t>
      </w:r>
      <w:r w:rsidR="002C77F6"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w:t>
      </w:r>
    </w:p>
    <w:p w14:paraId="27D23886" w14:textId="04141A51" w:rsidR="00EB378F" w:rsidRPr="00092862" w:rsidRDefault="00EB378F" w:rsidP="0007350F">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69295E" w:rsidRPr="00092862">
        <w:rPr>
          <w:rFonts w:ascii="Times New Roman" w:eastAsia="黑体" w:hAnsi="Times New Roman"/>
          <w:color w:val="000000" w:themeColor="text1"/>
          <w:sz w:val="21"/>
          <w:szCs w:val="21"/>
          <w:lang w:eastAsia="zh-CN"/>
        </w:rPr>
        <w:t>5.2-</w:t>
      </w:r>
      <w:r w:rsidR="002C77F6" w:rsidRPr="00092862">
        <w:rPr>
          <w:rFonts w:ascii="Times New Roman" w:eastAsia="黑体" w:hAnsi="Times New Roman"/>
          <w:color w:val="000000" w:themeColor="text1"/>
          <w:sz w:val="21"/>
          <w:szCs w:val="21"/>
          <w:lang w:eastAsia="zh-CN"/>
        </w:rPr>
        <w:t>1</w:t>
      </w:r>
      <w:r w:rsidRPr="00092862">
        <w:rPr>
          <w:rFonts w:ascii="Times New Roman" w:eastAsia="黑体" w:hAnsi="Times New Roman"/>
          <w:color w:val="000000" w:themeColor="text1"/>
          <w:sz w:val="21"/>
          <w:szCs w:val="21"/>
          <w:lang w:eastAsia="zh-CN"/>
        </w:rPr>
        <w:t xml:space="preserve">  </w:t>
      </w:r>
      <w:r w:rsidR="009C4CA7" w:rsidRPr="00092862">
        <w:rPr>
          <w:rFonts w:ascii="Times New Roman" w:eastAsia="黑体" w:hAnsi="Times New Roman"/>
          <w:color w:val="000000" w:themeColor="text1"/>
          <w:sz w:val="21"/>
          <w:szCs w:val="21"/>
          <w:lang w:eastAsia="zh-CN"/>
        </w:rPr>
        <w:t>试采期</w:t>
      </w:r>
      <w:r w:rsidRPr="00092862">
        <w:rPr>
          <w:rFonts w:ascii="Times New Roman" w:eastAsia="黑体" w:hAnsi="Times New Roman"/>
          <w:color w:val="000000" w:themeColor="text1"/>
          <w:sz w:val="21"/>
          <w:szCs w:val="21"/>
          <w:lang w:eastAsia="zh-CN"/>
        </w:rPr>
        <w:t>噪声影响预测</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1"/>
        <w:gridCol w:w="1146"/>
        <w:gridCol w:w="636"/>
        <w:gridCol w:w="757"/>
        <w:gridCol w:w="712"/>
        <w:gridCol w:w="769"/>
        <w:gridCol w:w="755"/>
        <w:gridCol w:w="674"/>
        <w:gridCol w:w="674"/>
        <w:gridCol w:w="674"/>
        <w:gridCol w:w="934"/>
      </w:tblGrid>
      <w:tr w:rsidR="00697429" w:rsidRPr="00092862" w14:paraId="1955BCE4" w14:textId="77777777" w:rsidTr="0069295E">
        <w:trPr>
          <w:cantSplit/>
          <w:jc w:val="center"/>
        </w:trPr>
        <w:tc>
          <w:tcPr>
            <w:tcW w:w="491" w:type="dxa"/>
            <w:vMerge w:val="restart"/>
            <w:tcMar>
              <w:left w:w="0" w:type="dxa"/>
              <w:right w:w="0" w:type="dxa"/>
            </w:tcMar>
            <w:vAlign w:val="center"/>
          </w:tcPr>
          <w:p w14:paraId="46CF295F"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监测点</w:t>
            </w:r>
          </w:p>
        </w:tc>
        <w:tc>
          <w:tcPr>
            <w:tcW w:w="1146" w:type="dxa"/>
            <w:vMerge w:val="restart"/>
            <w:tcMar>
              <w:left w:w="0" w:type="dxa"/>
              <w:right w:w="0" w:type="dxa"/>
            </w:tcMar>
            <w:vAlign w:val="center"/>
          </w:tcPr>
          <w:p w14:paraId="1473004D"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预测点位置</w:t>
            </w:r>
          </w:p>
        </w:tc>
        <w:tc>
          <w:tcPr>
            <w:tcW w:w="636" w:type="dxa"/>
            <w:vMerge w:val="restart"/>
            <w:tcMar>
              <w:left w:w="0" w:type="dxa"/>
              <w:right w:w="0" w:type="dxa"/>
            </w:tcMar>
            <w:vAlign w:val="center"/>
          </w:tcPr>
          <w:p w14:paraId="1ADF34D6"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距离</w:t>
            </w:r>
            <w:r w:rsidRPr="00092862">
              <w:rPr>
                <w:rFonts w:ascii="Times New Roman" w:eastAsia="宋体" w:hAnsi="Times New Roman" w:cs="Times New Roman"/>
                <w:color w:val="000000" w:themeColor="text1"/>
                <w:szCs w:val="21"/>
              </w:rPr>
              <w:t>(m)</w:t>
            </w:r>
          </w:p>
        </w:tc>
        <w:tc>
          <w:tcPr>
            <w:tcW w:w="1469" w:type="dxa"/>
            <w:gridSpan w:val="2"/>
            <w:vAlign w:val="center"/>
          </w:tcPr>
          <w:p w14:paraId="7FFAA551"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现状值</w:t>
            </w:r>
          </w:p>
          <w:p w14:paraId="4DA521BD" w14:textId="77777777" w:rsidR="00EB378F" w:rsidRPr="00092862" w:rsidRDefault="005C599D"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EB378F" w:rsidRPr="00092862">
              <w:rPr>
                <w:rFonts w:ascii="Times New Roman" w:eastAsia="宋体" w:hAnsi="Times New Roman" w:cs="Times New Roman"/>
                <w:color w:val="000000" w:themeColor="text1"/>
                <w:szCs w:val="21"/>
              </w:rPr>
              <w:t>dB</w:t>
            </w:r>
            <w:r w:rsidR="00EB378F" w:rsidRPr="00092862">
              <w:rPr>
                <w:rFonts w:ascii="Times New Roman" w:eastAsia="宋体" w:hAnsi="Times New Roman" w:cs="Times New Roman"/>
                <w:color w:val="000000" w:themeColor="text1"/>
                <w:szCs w:val="21"/>
              </w:rPr>
              <w:t>（</w:t>
            </w:r>
            <w:r w:rsidR="00EB378F" w:rsidRPr="00092862">
              <w:rPr>
                <w:rFonts w:ascii="Times New Roman" w:eastAsia="宋体" w:hAnsi="Times New Roman" w:cs="Times New Roman"/>
                <w:color w:val="000000" w:themeColor="text1"/>
                <w:szCs w:val="21"/>
              </w:rPr>
              <w:t>A</w:t>
            </w:r>
            <w:r w:rsidR="00EB378F"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1524" w:type="dxa"/>
            <w:gridSpan w:val="2"/>
            <w:vAlign w:val="center"/>
          </w:tcPr>
          <w:p w14:paraId="530C3FAD"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贡献值</w:t>
            </w:r>
          </w:p>
          <w:p w14:paraId="17F3BEE5" w14:textId="77777777" w:rsidR="00EB378F" w:rsidRPr="00092862" w:rsidRDefault="005C599D"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EB378F" w:rsidRPr="00092862">
              <w:rPr>
                <w:rFonts w:ascii="Times New Roman" w:eastAsia="宋体" w:hAnsi="Times New Roman" w:cs="Times New Roman"/>
                <w:color w:val="000000" w:themeColor="text1"/>
                <w:szCs w:val="21"/>
              </w:rPr>
              <w:t>dB</w:t>
            </w:r>
            <w:r w:rsidR="00EB378F" w:rsidRPr="00092862">
              <w:rPr>
                <w:rFonts w:ascii="Times New Roman" w:eastAsia="宋体" w:hAnsi="Times New Roman" w:cs="Times New Roman"/>
                <w:color w:val="000000" w:themeColor="text1"/>
                <w:szCs w:val="21"/>
              </w:rPr>
              <w:t>（</w:t>
            </w:r>
            <w:r w:rsidR="00EB378F" w:rsidRPr="00092862">
              <w:rPr>
                <w:rFonts w:ascii="Times New Roman" w:eastAsia="宋体" w:hAnsi="Times New Roman" w:cs="Times New Roman"/>
                <w:color w:val="000000" w:themeColor="text1"/>
                <w:szCs w:val="21"/>
              </w:rPr>
              <w:t>A</w:t>
            </w:r>
            <w:r w:rsidR="00EB378F"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1348" w:type="dxa"/>
            <w:gridSpan w:val="2"/>
            <w:vAlign w:val="center"/>
          </w:tcPr>
          <w:p w14:paraId="7CEF1202"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预测值</w:t>
            </w:r>
          </w:p>
          <w:p w14:paraId="7A92C71E" w14:textId="77777777" w:rsidR="00EB378F" w:rsidRPr="00092862" w:rsidRDefault="005C599D"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r w:rsidR="00EB378F" w:rsidRPr="00092862">
              <w:rPr>
                <w:rFonts w:ascii="Times New Roman" w:eastAsia="宋体" w:hAnsi="Times New Roman" w:cs="Times New Roman"/>
                <w:color w:val="000000" w:themeColor="text1"/>
                <w:szCs w:val="21"/>
              </w:rPr>
              <w:t>dB</w:t>
            </w:r>
            <w:r w:rsidR="00EB378F" w:rsidRPr="00092862">
              <w:rPr>
                <w:rFonts w:ascii="Times New Roman" w:eastAsia="宋体" w:hAnsi="Times New Roman" w:cs="Times New Roman"/>
                <w:color w:val="000000" w:themeColor="text1"/>
                <w:szCs w:val="21"/>
              </w:rPr>
              <w:t>（</w:t>
            </w:r>
            <w:r w:rsidR="00EB378F" w:rsidRPr="00092862">
              <w:rPr>
                <w:rFonts w:ascii="Times New Roman" w:eastAsia="宋体" w:hAnsi="Times New Roman" w:cs="Times New Roman"/>
                <w:color w:val="000000" w:themeColor="text1"/>
                <w:szCs w:val="21"/>
              </w:rPr>
              <w:t>A</w:t>
            </w:r>
            <w:r w:rsidR="00EB378F"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p>
        </w:tc>
        <w:tc>
          <w:tcPr>
            <w:tcW w:w="1608" w:type="dxa"/>
            <w:gridSpan w:val="2"/>
            <w:vAlign w:val="center"/>
          </w:tcPr>
          <w:p w14:paraId="6BEDB56B"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达标情况</w:t>
            </w:r>
          </w:p>
        </w:tc>
      </w:tr>
      <w:tr w:rsidR="00697429" w:rsidRPr="00092862" w14:paraId="2847A183" w14:textId="77777777" w:rsidTr="0069295E">
        <w:trPr>
          <w:cantSplit/>
          <w:jc w:val="center"/>
        </w:trPr>
        <w:tc>
          <w:tcPr>
            <w:tcW w:w="491" w:type="dxa"/>
            <w:vMerge/>
            <w:tcMar>
              <w:left w:w="0" w:type="dxa"/>
              <w:right w:w="0" w:type="dxa"/>
            </w:tcMar>
            <w:vAlign w:val="center"/>
          </w:tcPr>
          <w:p w14:paraId="093C236A"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p>
        </w:tc>
        <w:tc>
          <w:tcPr>
            <w:tcW w:w="1146" w:type="dxa"/>
            <w:vMerge/>
            <w:tcMar>
              <w:left w:w="0" w:type="dxa"/>
              <w:right w:w="0" w:type="dxa"/>
            </w:tcMar>
            <w:vAlign w:val="center"/>
          </w:tcPr>
          <w:p w14:paraId="63274FE7"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p>
        </w:tc>
        <w:tc>
          <w:tcPr>
            <w:tcW w:w="636" w:type="dxa"/>
            <w:vMerge/>
            <w:tcMar>
              <w:left w:w="0" w:type="dxa"/>
              <w:right w:w="0" w:type="dxa"/>
            </w:tcMar>
            <w:vAlign w:val="center"/>
          </w:tcPr>
          <w:p w14:paraId="76314C2C"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p>
        </w:tc>
        <w:tc>
          <w:tcPr>
            <w:tcW w:w="757" w:type="dxa"/>
            <w:tcMar>
              <w:left w:w="0" w:type="dxa"/>
              <w:right w:w="0" w:type="dxa"/>
            </w:tcMar>
            <w:vAlign w:val="center"/>
          </w:tcPr>
          <w:p w14:paraId="5C442C78"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712" w:type="dxa"/>
            <w:tcMar>
              <w:left w:w="0" w:type="dxa"/>
              <w:right w:w="0" w:type="dxa"/>
            </w:tcMar>
            <w:vAlign w:val="center"/>
          </w:tcPr>
          <w:p w14:paraId="3E6AD46E"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769" w:type="dxa"/>
            <w:tcMar>
              <w:left w:w="0" w:type="dxa"/>
              <w:right w:w="0" w:type="dxa"/>
            </w:tcMar>
            <w:vAlign w:val="center"/>
          </w:tcPr>
          <w:p w14:paraId="23645BD3"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755" w:type="dxa"/>
            <w:tcMar>
              <w:left w:w="0" w:type="dxa"/>
              <w:right w:w="0" w:type="dxa"/>
            </w:tcMar>
            <w:vAlign w:val="center"/>
          </w:tcPr>
          <w:p w14:paraId="5C237BA7"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674" w:type="dxa"/>
            <w:vAlign w:val="center"/>
          </w:tcPr>
          <w:p w14:paraId="584B92E1"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674" w:type="dxa"/>
            <w:vAlign w:val="center"/>
          </w:tcPr>
          <w:p w14:paraId="664E9A14"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c>
          <w:tcPr>
            <w:tcW w:w="674" w:type="dxa"/>
            <w:tcMar>
              <w:left w:w="0" w:type="dxa"/>
              <w:right w:w="0" w:type="dxa"/>
            </w:tcMar>
            <w:vAlign w:val="center"/>
          </w:tcPr>
          <w:p w14:paraId="7079D105"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昼间</w:t>
            </w:r>
          </w:p>
        </w:tc>
        <w:tc>
          <w:tcPr>
            <w:tcW w:w="934" w:type="dxa"/>
            <w:tcMar>
              <w:left w:w="0" w:type="dxa"/>
              <w:right w:w="0" w:type="dxa"/>
            </w:tcMar>
            <w:vAlign w:val="center"/>
          </w:tcPr>
          <w:p w14:paraId="0C54B244" w14:textId="77777777" w:rsidR="00EB378F" w:rsidRPr="00092862" w:rsidRDefault="00EB378F" w:rsidP="00FF116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夜间</w:t>
            </w:r>
          </w:p>
        </w:tc>
      </w:tr>
      <w:tr w:rsidR="00697429" w:rsidRPr="00092862" w14:paraId="4A14AC5D" w14:textId="77777777" w:rsidTr="0069295E">
        <w:trPr>
          <w:cantSplit/>
          <w:jc w:val="center"/>
        </w:trPr>
        <w:tc>
          <w:tcPr>
            <w:tcW w:w="491" w:type="dxa"/>
            <w:tcMar>
              <w:left w:w="0" w:type="dxa"/>
              <w:right w:w="0" w:type="dxa"/>
            </w:tcMar>
            <w:vAlign w:val="center"/>
          </w:tcPr>
          <w:p w14:paraId="5F0BEB04"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146" w:type="dxa"/>
            <w:tcMar>
              <w:left w:w="0" w:type="dxa"/>
              <w:right w:w="0" w:type="dxa"/>
            </w:tcMar>
            <w:vAlign w:val="center"/>
          </w:tcPr>
          <w:p w14:paraId="6743DCC8" w14:textId="184072D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东场界</w:t>
            </w:r>
          </w:p>
        </w:tc>
        <w:tc>
          <w:tcPr>
            <w:tcW w:w="636" w:type="dxa"/>
            <w:tcMar>
              <w:left w:w="0" w:type="dxa"/>
              <w:right w:w="0" w:type="dxa"/>
            </w:tcMar>
            <w:vAlign w:val="center"/>
          </w:tcPr>
          <w:p w14:paraId="3179C6D0" w14:textId="39580055"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w:t>
            </w:r>
          </w:p>
        </w:tc>
        <w:tc>
          <w:tcPr>
            <w:tcW w:w="757" w:type="dxa"/>
            <w:vAlign w:val="center"/>
          </w:tcPr>
          <w:p w14:paraId="27CCF175"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12" w:type="dxa"/>
            <w:vAlign w:val="center"/>
          </w:tcPr>
          <w:p w14:paraId="7C57CB73"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9" w:type="dxa"/>
            <w:vAlign w:val="center"/>
          </w:tcPr>
          <w:p w14:paraId="4F24F296" w14:textId="2C29D4BA"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20.6</w:t>
            </w:r>
          </w:p>
        </w:tc>
        <w:tc>
          <w:tcPr>
            <w:tcW w:w="755" w:type="dxa"/>
            <w:vAlign w:val="center"/>
          </w:tcPr>
          <w:p w14:paraId="577B4F6A" w14:textId="24A3FBE9"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20.6</w:t>
            </w:r>
          </w:p>
        </w:tc>
        <w:tc>
          <w:tcPr>
            <w:tcW w:w="674" w:type="dxa"/>
            <w:vAlign w:val="center"/>
          </w:tcPr>
          <w:p w14:paraId="30A27711"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63BE8DAE"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204E497E"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c>
          <w:tcPr>
            <w:tcW w:w="934" w:type="dxa"/>
            <w:vAlign w:val="center"/>
          </w:tcPr>
          <w:p w14:paraId="76663538"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5AAC6165" w14:textId="77777777" w:rsidTr="0069295E">
        <w:trPr>
          <w:cantSplit/>
          <w:jc w:val="center"/>
        </w:trPr>
        <w:tc>
          <w:tcPr>
            <w:tcW w:w="491" w:type="dxa"/>
            <w:tcMar>
              <w:left w:w="0" w:type="dxa"/>
              <w:right w:w="0" w:type="dxa"/>
            </w:tcMar>
            <w:vAlign w:val="center"/>
          </w:tcPr>
          <w:p w14:paraId="162551EA"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1146" w:type="dxa"/>
            <w:tcMar>
              <w:left w:w="0" w:type="dxa"/>
              <w:right w:w="0" w:type="dxa"/>
            </w:tcMar>
            <w:vAlign w:val="center"/>
          </w:tcPr>
          <w:p w14:paraId="30C44797" w14:textId="5295A13D"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南场界</w:t>
            </w:r>
          </w:p>
        </w:tc>
        <w:tc>
          <w:tcPr>
            <w:tcW w:w="636" w:type="dxa"/>
            <w:tcMar>
              <w:left w:w="0" w:type="dxa"/>
              <w:right w:w="0" w:type="dxa"/>
            </w:tcMar>
            <w:vAlign w:val="center"/>
          </w:tcPr>
          <w:p w14:paraId="74FB2D91" w14:textId="3393EFD6"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39</w:t>
            </w:r>
          </w:p>
        </w:tc>
        <w:tc>
          <w:tcPr>
            <w:tcW w:w="757" w:type="dxa"/>
            <w:vAlign w:val="center"/>
          </w:tcPr>
          <w:p w14:paraId="630FF8FA"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12" w:type="dxa"/>
            <w:vAlign w:val="center"/>
          </w:tcPr>
          <w:p w14:paraId="76CF7ED6"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9" w:type="dxa"/>
            <w:vAlign w:val="center"/>
          </w:tcPr>
          <w:p w14:paraId="1141C6CA" w14:textId="2853EA24"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16.7</w:t>
            </w:r>
          </w:p>
        </w:tc>
        <w:tc>
          <w:tcPr>
            <w:tcW w:w="755" w:type="dxa"/>
            <w:vAlign w:val="center"/>
          </w:tcPr>
          <w:p w14:paraId="2373EE5A" w14:textId="29BDEEF5"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16.7</w:t>
            </w:r>
          </w:p>
        </w:tc>
        <w:tc>
          <w:tcPr>
            <w:tcW w:w="674" w:type="dxa"/>
            <w:vAlign w:val="center"/>
          </w:tcPr>
          <w:p w14:paraId="318BCAAA"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5AEA98AC"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74EFF22C"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c>
          <w:tcPr>
            <w:tcW w:w="934" w:type="dxa"/>
            <w:vAlign w:val="center"/>
          </w:tcPr>
          <w:p w14:paraId="342A6D35"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5F7F9737" w14:textId="77777777" w:rsidTr="0069295E">
        <w:trPr>
          <w:cantSplit/>
          <w:jc w:val="center"/>
        </w:trPr>
        <w:tc>
          <w:tcPr>
            <w:tcW w:w="491" w:type="dxa"/>
            <w:tcMar>
              <w:left w:w="0" w:type="dxa"/>
              <w:right w:w="0" w:type="dxa"/>
            </w:tcMar>
            <w:vAlign w:val="center"/>
          </w:tcPr>
          <w:p w14:paraId="2221430C"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1146" w:type="dxa"/>
            <w:tcMar>
              <w:left w:w="0" w:type="dxa"/>
              <w:right w:w="0" w:type="dxa"/>
            </w:tcMar>
            <w:vAlign w:val="center"/>
          </w:tcPr>
          <w:p w14:paraId="7115F7A7" w14:textId="2638A81A"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西场界</w:t>
            </w:r>
          </w:p>
        </w:tc>
        <w:tc>
          <w:tcPr>
            <w:tcW w:w="636" w:type="dxa"/>
            <w:tcMar>
              <w:left w:w="0" w:type="dxa"/>
              <w:right w:w="0" w:type="dxa"/>
            </w:tcMar>
            <w:vAlign w:val="center"/>
          </w:tcPr>
          <w:p w14:paraId="72CAA8C4" w14:textId="07200BA5"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35</w:t>
            </w:r>
          </w:p>
        </w:tc>
        <w:tc>
          <w:tcPr>
            <w:tcW w:w="757" w:type="dxa"/>
            <w:vAlign w:val="center"/>
          </w:tcPr>
          <w:p w14:paraId="63B96502"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12" w:type="dxa"/>
            <w:vAlign w:val="center"/>
          </w:tcPr>
          <w:p w14:paraId="5A64D6AA"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9" w:type="dxa"/>
            <w:vAlign w:val="center"/>
          </w:tcPr>
          <w:p w14:paraId="698C28E6" w14:textId="3727F2FF"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17.8</w:t>
            </w:r>
          </w:p>
        </w:tc>
        <w:tc>
          <w:tcPr>
            <w:tcW w:w="755" w:type="dxa"/>
            <w:vAlign w:val="center"/>
          </w:tcPr>
          <w:p w14:paraId="4109E409" w14:textId="661158E9"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17.8</w:t>
            </w:r>
          </w:p>
        </w:tc>
        <w:tc>
          <w:tcPr>
            <w:tcW w:w="674" w:type="dxa"/>
            <w:vAlign w:val="center"/>
          </w:tcPr>
          <w:p w14:paraId="337DF700"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02798AA7"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0BC8DF5E"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c>
          <w:tcPr>
            <w:tcW w:w="934" w:type="dxa"/>
            <w:vAlign w:val="center"/>
          </w:tcPr>
          <w:p w14:paraId="342DE38E"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686BC5F5" w14:textId="77777777" w:rsidTr="0069295E">
        <w:trPr>
          <w:cantSplit/>
          <w:jc w:val="center"/>
        </w:trPr>
        <w:tc>
          <w:tcPr>
            <w:tcW w:w="491" w:type="dxa"/>
            <w:tcMar>
              <w:left w:w="0" w:type="dxa"/>
              <w:right w:w="0" w:type="dxa"/>
            </w:tcMar>
            <w:vAlign w:val="center"/>
          </w:tcPr>
          <w:p w14:paraId="3CD9055D"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c>
          <w:tcPr>
            <w:tcW w:w="1146" w:type="dxa"/>
            <w:tcMar>
              <w:left w:w="0" w:type="dxa"/>
              <w:right w:w="0" w:type="dxa"/>
            </w:tcMar>
            <w:vAlign w:val="center"/>
          </w:tcPr>
          <w:p w14:paraId="6CAFA3FD" w14:textId="189E2921"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北场界</w:t>
            </w:r>
          </w:p>
        </w:tc>
        <w:tc>
          <w:tcPr>
            <w:tcW w:w="636" w:type="dxa"/>
            <w:tcMar>
              <w:left w:w="0" w:type="dxa"/>
              <w:right w:w="0" w:type="dxa"/>
            </w:tcMar>
            <w:vAlign w:val="center"/>
          </w:tcPr>
          <w:p w14:paraId="29330DA2" w14:textId="64CE098B"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w:t>
            </w:r>
          </w:p>
        </w:tc>
        <w:tc>
          <w:tcPr>
            <w:tcW w:w="757" w:type="dxa"/>
            <w:vAlign w:val="center"/>
          </w:tcPr>
          <w:p w14:paraId="269EC8E9"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12" w:type="dxa"/>
            <w:vAlign w:val="center"/>
          </w:tcPr>
          <w:p w14:paraId="348E49F1"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769" w:type="dxa"/>
            <w:vAlign w:val="center"/>
          </w:tcPr>
          <w:p w14:paraId="51B77E56" w14:textId="7634DD65"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20.3</w:t>
            </w:r>
          </w:p>
        </w:tc>
        <w:tc>
          <w:tcPr>
            <w:tcW w:w="755" w:type="dxa"/>
            <w:vAlign w:val="center"/>
          </w:tcPr>
          <w:p w14:paraId="077696A4" w14:textId="2D7523B8"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20.3</w:t>
            </w:r>
          </w:p>
        </w:tc>
        <w:tc>
          <w:tcPr>
            <w:tcW w:w="674" w:type="dxa"/>
            <w:vAlign w:val="center"/>
          </w:tcPr>
          <w:p w14:paraId="6B7DCC8B"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541CEED3"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674" w:type="dxa"/>
            <w:vAlign w:val="center"/>
          </w:tcPr>
          <w:p w14:paraId="7502F814"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c>
          <w:tcPr>
            <w:tcW w:w="934" w:type="dxa"/>
            <w:vAlign w:val="center"/>
          </w:tcPr>
          <w:p w14:paraId="0DF418E5" w14:textId="77777777" w:rsidR="00715C15" w:rsidRPr="00092862" w:rsidRDefault="00715C15" w:rsidP="00715C15">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达标</w:t>
            </w:r>
          </w:p>
        </w:tc>
      </w:tr>
      <w:tr w:rsidR="00697429" w:rsidRPr="00092862" w14:paraId="7148C7D7" w14:textId="77777777" w:rsidTr="0069295E">
        <w:trPr>
          <w:cantSplit/>
          <w:jc w:val="center"/>
        </w:trPr>
        <w:tc>
          <w:tcPr>
            <w:tcW w:w="8222" w:type="dxa"/>
            <w:gridSpan w:val="11"/>
            <w:tcMar>
              <w:left w:w="0" w:type="dxa"/>
              <w:right w:w="0" w:type="dxa"/>
            </w:tcMar>
            <w:vAlign w:val="center"/>
          </w:tcPr>
          <w:p w14:paraId="13424B20" w14:textId="77777777" w:rsidR="00EB378F" w:rsidRPr="00092862" w:rsidRDefault="00EB378F" w:rsidP="00FF1168">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标准值：昼间</w:t>
            </w:r>
            <w:r w:rsidRPr="00092862">
              <w:rPr>
                <w:rFonts w:ascii="Times New Roman" w:eastAsia="宋体" w:hAnsi="Times New Roman" w:cs="Times New Roman"/>
                <w:color w:val="000000" w:themeColor="text1"/>
                <w:szCs w:val="21"/>
              </w:rPr>
              <w:t>60dB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），夜间</w:t>
            </w:r>
            <w:r w:rsidRPr="00092862">
              <w:rPr>
                <w:rFonts w:ascii="Times New Roman" w:eastAsia="宋体" w:hAnsi="Times New Roman" w:cs="Times New Roman"/>
                <w:color w:val="000000" w:themeColor="text1"/>
                <w:szCs w:val="21"/>
              </w:rPr>
              <w:t>50dB</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w:t>
            </w:r>
          </w:p>
        </w:tc>
      </w:tr>
    </w:tbl>
    <w:p w14:paraId="263662C6" w14:textId="77777777" w:rsidR="00715C15" w:rsidRPr="00092862" w:rsidRDefault="00715C15" w:rsidP="00715C15">
      <w:pPr>
        <w:adjustRightInd w:val="0"/>
        <w:snapToGrid w:val="0"/>
        <w:spacing w:beforeLines="50" w:before="120" w:line="360" w:lineRule="auto"/>
        <w:rPr>
          <w:rFonts w:ascii="Times New Roman" w:hAnsi="Times New Roman" w:cs="Times New Roman"/>
          <w:bCs/>
          <w:color w:val="000000" w:themeColor="text1"/>
          <w:sz w:val="24"/>
        </w:rPr>
      </w:pPr>
      <w:r w:rsidRPr="00092862">
        <w:rPr>
          <w:rFonts w:ascii="Times New Roman" w:hAnsi="Times New Roman" w:cs="Times New Roman"/>
          <w:noProof/>
          <w:color w:val="000000" w:themeColor="text1"/>
        </w:rPr>
        <w:drawing>
          <wp:inline distT="0" distB="0" distL="0" distR="0" wp14:anchorId="6D1A4DA5" wp14:editId="5E580570">
            <wp:extent cx="5276850" cy="300672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6850" cy="3006725"/>
                    </a:xfrm>
                    <a:prstGeom prst="rect">
                      <a:avLst/>
                    </a:prstGeom>
                  </pic:spPr>
                </pic:pic>
              </a:graphicData>
            </a:graphic>
          </wp:inline>
        </w:drawing>
      </w:r>
    </w:p>
    <w:p w14:paraId="52EB2C08" w14:textId="0B684083" w:rsidR="00715C15" w:rsidRPr="00092862" w:rsidRDefault="00715C15" w:rsidP="00715C1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Pr="00092862">
        <w:rPr>
          <w:rFonts w:ascii="Times New Roman" w:eastAsia="黑体" w:hAnsi="Times New Roman"/>
          <w:color w:val="000000" w:themeColor="text1"/>
          <w:sz w:val="21"/>
          <w:szCs w:val="21"/>
          <w:lang w:eastAsia="zh-CN"/>
        </w:rPr>
        <w:t xml:space="preserve">5.2-1  </w:t>
      </w:r>
      <w:r w:rsidRPr="00092862">
        <w:rPr>
          <w:rFonts w:ascii="Times New Roman" w:eastAsia="黑体" w:hAnsi="Times New Roman"/>
          <w:color w:val="000000" w:themeColor="text1"/>
          <w:sz w:val="21"/>
          <w:szCs w:val="21"/>
          <w:lang w:eastAsia="zh-CN"/>
        </w:rPr>
        <w:t>试采期噪声影响等声级线图</w:t>
      </w:r>
    </w:p>
    <w:p w14:paraId="0DEEDFAC" w14:textId="77777777" w:rsidR="00715C15" w:rsidRPr="00092862" w:rsidRDefault="00715C15" w:rsidP="00715C15">
      <w:pPr>
        <w:adjustRightInd w:val="0"/>
        <w:snapToGrid w:val="0"/>
        <w:spacing w:beforeLines="50" w:before="120" w:line="360" w:lineRule="auto"/>
        <w:rPr>
          <w:rFonts w:ascii="Times New Roman" w:hAnsi="Times New Roman" w:cs="Times New Roman"/>
          <w:bCs/>
          <w:color w:val="000000" w:themeColor="text1"/>
          <w:sz w:val="24"/>
        </w:rPr>
      </w:pPr>
    </w:p>
    <w:p w14:paraId="10276C4F" w14:textId="5BF0AF5B" w:rsidR="00BB611D" w:rsidRPr="00092862" w:rsidRDefault="00EB378F" w:rsidP="00715C15">
      <w:pPr>
        <w:adjustRightInd w:val="0"/>
        <w:snapToGrid w:val="0"/>
        <w:spacing w:beforeLines="50" w:before="120"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rPr>
        <w:t>由上表</w:t>
      </w:r>
      <w:r w:rsidR="00715C15" w:rsidRPr="00092862">
        <w:rPr>
          <w:rFonts w:ascii="Times New Roman" w:eastAsia="宋体" w:hAnsi="Times New Roman" w:cs="Times New Roman"/>
          <w:bCs/>
          <w:color w:val="000000" w:themeColor="text1"/>
          <w:sz w:val="24"/>
        </w:rPr>
        <w:t>及预测图</w:t>
      </w:r>
      <w:r w:rsidRPr="00092862">
        <w:rPr>
          <w:rFonts w:ascii="Times New Roman" w:eastAsia="宋体" w:hAnsi="Times New Roman" w:cs="Times New Roman"/>
          <w:bCs/>
          <w:color w:val="000000" w:themeColor="text1"/>
          <w:sz w:val="24"/>
        </w:rPr>
        <w:t>可见，项目</w:t>
      </w:r>
      <w:r w:rsidR="00D0111B"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期通过采取低噪声设备、优化</w:t>
      </w:r>
      <w:r w:rsidR="00715C15" w:rsidRPr="00092862">
        <w:rPr>
          <w:rFonts w:ascii="Times New Roman" w:eastAsia="宋体" w:hAnsi="Times New Roman" w:cs="Times New Roman"/>
          <w:bCs/>
          <w:color w:val="000000" w:themeColor="text1"/>
          <w:sz w:val="24"/>
        </w:rPr>
        <w:t>站场</w:t>
      </w:r>
      <w:r w:rsidRPr="00092862">
        <w:rPr>
          <w:rFonts w:ascii="Times New Roman" w:eastAsia="宋体" w:hAnsi="Times New Roman" w:cs="Times New Roman"/>
          <w:bCs/>
          <w:color w:val="000000" w:themeColor="text1"/>
          <w:sz w:val="24"/>
        </w:rPr>
        <w:t>工艺、合理布局等综合防噪措施后，厂界噪声能满足《工业企业厂界环境噪声排放标准》</w:t>
      </w:r>
      <w:r w:rsidRPr="00092862">
        <w:rPr>
          <w:rFonts w:ascii="Times New Roman" w:eastAsia="宋体" w:hAnsi="Times New Roman" w:cs="Times New Roman"/>
          <w:bCs/>
          <w:color w:val="000000" w:themeColor="text1"/>
          <w:sz w:val="24"/>
        </w:rPr>
        <w:t>(GB12348-2008)</w:t>
      </w:r>
      <w:r w:rsidRPr="00092862">
        <w:rPr>
          <w:rFonts w:ascii="Times New Roman" w:eastAsia="宋体" w:hAnsi="Times New Roman" w:cs="Times New Roman"/>
          <w:bCs/>
          <w:color w:val="000000" w:themeColor="text1"/>
          <w:sz w:val="24"/>
        </w:rPr>
        <w:t>中</w:t>
      </w:r>
      <w:r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类标准。</w:t>
      </w:r>
      <w:r w:rsidR="00513E1B" w:rsidRPr="00092862">
        <w:rPr>
          <w:rFonts w:ascii="Times New Roman" w:eastAsia="宋体" w:hAnsi="Times New Roman" w:cs="Times New Roman"/>
          <w:bCs/>
          <w:color w:val="000000" w:themeColor="text1"/>
          <w:sz w:val="24"/>
        </w:rPr>
        <w:t>集气站</w:t>
      </w:r>
      <w:r w:rsidR="00D0111B" w:rsidRPr="00092862">
        <w:rPr>
          <w:rFonts w:ascii="Times New Roman" w:eastAsia="宋体" w:hAnsi="Times New Roman" w:cs="Times New Roman"/>
          <w:bCs/>
          <w:color w:val="000000" w:themeColor="text1"/>
          <w:sz w:val="24"/>
        </w:rPr>
        <w:t>周边</w:t>
      </w:r>
      <w:r w:rsidR="00513E1B" w:rsidRPr="00092862">
        <w:rPr>
          <w:rFonts w:ascii="Times New Roman" w:eastAsia="宋体" w:hAnsi="Times New Roman" w:cs="Times New Roman"/>
          <w:bCs/>
          <w:color w:val="000000" w:themeColor="text1"/>
          <w:sz w:val="24"/>
        </w:rPr>
        <w:t>2</w:t>
      </w:r>
      <w:r w:rsidR="00D0111B" w:rsidRPr="00092862">
        <w:rPr>
          <w:rFonts w:ascii="Times New Roman" w:eastAsia="宋体" w:hAnsi="Times New Roman" w:cs="Times New Roman"/>
          <w:bCs/>
          <w:color w:val="000000" w:themeColor="text1"/>
          <w:sz w:val="24"/>
        </w:rPr>
        <w:t>00m</w:t>
      </w:r>
      <w:r w:rsidR="00D0111B" w:rsidRPr="00092862">
        <w:rPr>
          <w:rFonts w:ascii="Times New Roman" w:eastAsia="宋体" w:hAnsi="Times New Roman" w:cs="Times New Roman"/>
          <w:bCs/>
          <w:color w:val="000000" w:themeColor="text1"/>
          <w:sz w:val="24"/>
        </w:rPr>
        <w:t>范围内无居民等敏感点分布</w:t>
      </w:r>
      <w:r w:rsidRPr="00092862">
        <w:rPr>
          <w:rFonts w:ascii="Times New Roman" w:eastAsia="宋体" w:hAnsi="Times New Roman" w:cs="Times New Roman"/>
          <w:bCs/>
          <w:color w:val="000000" w:themeColor="text1"/>
          <w:sz w:val="24"/>
        </w:rPr>
        <w:t>，</w:t>
      </w:r>
      <w:r w:rsidR="00D0111B" w:rsidRPr="00092862">
        <w:rPr>
          <w:rFonts w:ascii="Times New Roman" w:eastAsia="宋体" w:hAnsi="Times New Roman" w:cs="Times New Roman"/>
          <w:bCs/>
          <w:color w:val="000000" w:themeColor="text1"/>
          <w:sz w:val="24"/>
        </w:rPr>
        <w:t>周边外环境</w:t>
      </w:r>
      <w:r w:rsidRPr="00092862">
        <w:rPr>
          <w:rFonts w:ascii="Times New Roman" w:eastAsia="宋体" w:hAnsi="Times New Roman" w:cs="Times New Roman"/>
          <w:bCs/>
          <w:color w:val="000000" w:themeColor="text1"/>
          <w:sz w:val="24"/>
        </w:rPr>
        <w:t>能满足《声环境质量标准》（</w:t>
      </w:r>
      <w:r w:rsidRPr="00092862">
        <w:rPr>
          <w:rFonts w:ascii="Times New Roman" w:eastAsia="宋体" w:hAnsi="Times New Roman" w:cs="Times New Roman"/>
          <w:bCs/>
          <w:color w:val="000000" w:themeColor="text1"/>
          <w:sz w:val="24"/>
        </w:rPr>
        <w:t>GB3096-2008</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类标准要求。由此可见，项目</w:t>
      </w:r>
      <w:r w:rsidR="00D0111B"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期不会对</w:t>
      </w:r>
      <w:r w:rsidR="00D635EB" w:rsidRPr="00092862">
        <w:rPr>
          <w:rFonts w:ascii="Times New Roman" w:eastAsia="宋体" w:hAnsi="Times New Roman" w:cs="Times New Roman"/>
          <w:bCs/>
          <w:color w:val="000000" w:themeColor="text1"/>
          <w:sz w:val="24"/>
        </w:rPr>
        <w:t>区域</w:t>
      </w:r>
      <w:r w:rsidRPr="00092862">
        <w:rPr>
          <w:rFonts w:ascii="Times New Roman" w:eastAsia="宋体" w:hAnsi="Times New Roman" w:cs="Times New Roman"/>
          <w:bCs/>
          <w:color w:val="000000" w:themeColor="text1"/>
          <w:sz w:val="24"/>
        </w:rPr>
        <w:t>声环境造成噪声污染影响。</w:t>
      </w:r>
    </w:p>
    <w:p w14:paraId="5372C713" w14:textId="77777777" w:rsidR="0069295E" w:rsidRPr="00092862" w:rsidRDefault="0069295E" w:rsidP="0069295E">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）放空火炬燃烧噪声影响分析</w:t>
      </w:r>
    </w:p>
    <w:p w14:paraId="754BFC77" w14:textId="03946BC6" w:rsidR="00EB378F" w:rsidRPr="00092862" w:rsidRDefault="0069295E" w:rsidP="0069295E">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本项目</w:t>
      </w:r>
      <w:r w:rsidR="001A6854"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非正常情况下，</w:t>
      </w:r>
      <w:r w:rsidR="00C64087" w:rsidRPr="00092862">
        <w:rPr>
          <w:rFonts w:ascii="Times New Roman" w:eastAsia="宋体" w:hAnsi="Times New Roman" w:cs="Times New Roman"/>
          <w:bCs/>
          <w:color w:val="000000" w:themeColor="text1"/>
          <w:sz w:val="24"/>
          <w:szCs w:val="24"/>
        </w:rPr>
        <w:t>本项目依托老君</w:t>
      </w:r>
      <w:r w:rsidR="00C64087" w:rsidRPr="00092862">
        <w:rPr>
          <w:rFonts w:ascii="Times New Roman" w:eastAsia="宋体" w:hAnsi="Times New Roman" w:cs="Times New Roman"/>
          <w:bCs/>
          <w:color w:val="000000" w:themeColor="text1"/>
          <w:sz w:val="24"/>
          <w:szCs w:val="24"/>
        </w:rPr>
        <w:t>701</w:t>
      </w:r>
      <w:r w:rsidR="00F30AFD" w:rsidRPr="00092862">
        <w:rPr>
          <w:rFonts w:ascii="Times New Roman" w:eastAsia="宋体" w:hAnsi="Times New Roman" w:cs="Times New Roman"/>
          <w:bCs/>
          <w:color w:val="000000" w:themeColor="text1"/>
          <w:sz w:val="24"/>
          <w:szCs w:val="24"/>
        </w:rPr>
        <w:t>集气站</w:t>
      </w:r>
      <w:r w:rsidR="00D10F07" w:rsidRPr="00092862">
        <w:rPr>
          <w:rFonts w:ascii="Times New Roman" w:eastAsia="宋体" w:hAnsi="Times New Roman" w:cs="Times New Roman"/>
          <w:bCs/>
          <w:color w:val="000000" w:themeColor="text1"/>
          <w:sz w:val="24"/>
          <w:szCs w:val="24"/>
        </w:rPr>
        <w:t>场</w:t>
      </w:r>
      <w:r w:rsidRPr="00092862">
        <w:rPr>
          <w:rFonts w:ascii="Times New Roman" w:eastAsia="宋体" w:hAnsi="Times New Roman" w:cs="Times New Roman"/>
          <w:bCs/>
          <w:color w:val="000000" w:themeColor="text1"/>
          <w:sz w:val="24"/>
          <w:szCs w:val="24"/>
        </w:rPr>
        <w:t>产生放空火炬燃烧噪声，放空噪声在</w:t>
      </w:r>
      <w:r w:rsidRPr="00092862">
        <w:rPr>
          <w:rFonts w:ascii="Times New Roman" w:eastAsia="宋体" w:hAnsi="Times New Roman" w:cs="Times New Roman"/>
          <w:bCs/>
          <w:color w:val="000000" w:themeColor="text1"/>
          <w:sz w:val="24"/>
          <w:szCs w:val="24"/>
        </w:rPr>
        <w:t>90~105dB</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A</w:t>
      </w:r>
      <w:r w:rsidRPr="00092862">
        <w:rPr>
          <w:rFonts w:ascii="Times New Roman" w:eastAsia="宋体" w:hAnsi="Times New Roman" w:cs="Times New Roman"/>
          <w:bCs/>
          <w:color w:val="000000" w:themeColor="text1"/>
          <w:sz w:val="24"/>
          <w:szCs w:val="24"/>
        </w:rPr>
        <w:t>）之间，影响范围约</w:t>
      </w:r>
      <w:r w:rsidRPr="00092862">
        <w:rPr>
          <w:rFonts w:ascii="Times New Roman" w:eastAsia="宋体" w:hAnsi="Times New Roman" w:cs="Times New Roman"/>
          <w:bCs/>
          <w:color w:val="000000" w:themeColor="text1"/>
          <w:sz w:val="24"/>
          <w:szCs w:val="24"/>
        </w:rPr>
        <w:t>300m</w:t>
      </w:r>
      <w:r w:rsidRPr="00092862">
        <w:rPr>
          <w:rFonts w:ascii="Times New Roman" w:eastAsia="宋体" w:hAnsi="Times New Roman" w:cs="Times New Roman"/>
          <w:bCs/>
          <w:color w:val="000000" w:themeColor="text1"/>
          <w:sz w:val="24"/>
          <w:szCs w:val="24"/>
        </w:rPr>
        <w:t>左右</w:t>
      </w:r>
      <w:r w:rsidR="00513FCE"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由于放空噪声属于偶发噪声，发生频率低、时间短，对周围的环境影响是短暂的</w:t>
      </w:r>
      <w:r w:rsidR="007242B7" w:rsidRPr="00092862">
        <w:rPr>
          <w:rFonts w:ascii="Times New Roman" w:eastAsia="宋体" w:hAnsi="Times New Roman" w:cs="Times New Roman"/>
          <w:bCs/>
          <w:color w:val="000000" w:themeColor="text1"/>
          <w:sz w:val="24"/>
          <w:szCs w:val="24"/>
        </w:rPr>
        <w:t>，且放空火炬周边</w:t>
      </w:r>
      <w:r w:rsidR="007242B7" w:rsidRPr="00092862">
        <w:rPr>
          <w:rFonts w:ascii="Times New Roman" w:eastAsia="宋体" w:hAnsi="Times New Roman" w:cs="Times New Roman"/>
          <w:bCs/>
          <w:color w:val="000000" w:themeColor="text1"/>
          <w:sz w:val="24"/>
          <w:szCs w:val="24"/>
        </w:rPr>
        <w:t>300m</w:t>
      </w:r>
      <w:r w:rsidR="007242B7" w:rsidRPr="00092862">
        <w:rPr>
          <w:rFonts w:ascii="Times New Roman" w:eastAsia="宋体" w:hAnsi="Times New Roman" w:cs="Times New Roman"/>
          <w:bCs/>
          <w:color w:val="000000" w:themeColor="text1"/>
          <w:sz w:val="24"/>
          <w:szCs w:val="24"/>
        </w:rPr>
        <w:t>范围内</w:t>
      </w:r>
      <w:r w:rsidR="00C64087" w:rsidRPr="00092862">
        <w:rPr>
          <w:rFonts w:ascii="Times New Roman" w:eastAsia="宋体" w:hAnsi="Times New Roman" w:cs="Times New Roman"/>
          <w:bCs/>
          <w:color w:val="000000" w:themeColor="text1"/>
          <w:sz w:val="24"/>
          <w:szCs w:val="24"/>
        </w:rPr>
        <w:t>无居民分布</w:t>
      </w:r>
      <w:r w:rsidRPr="00092862">
        <w:rPr>
          <w:rFonts w:ascii="Times New Roman" w:eastAsia="宋体" w:hAnsi="Times New Roman" w:cs="Times New Roman"/>
          <w:bCs/>
          <w:color w:val="000000" w:themeColor="text1"/>
          <w:sz w:val="24"/>
          <w:szCs w:val="24"/>
        </w:rPr>
        <w:t>，因此非正常情况下自动放空的噪声对</w:t>
      </w:r>
      <w:r w:rsidR="00D635EB" w:rsidRPr="00092862">
        <w:rPr>
          <w:rFonts w:ascii="Times New Roman" w:eastAsia="宋体" w:hAnsi="Times New Roman" w:cs="Times New Roman"/>
          <w:bCs/>
          <w:color w:val="000000" w:themeColor="text1"/>
          <w:sz w:val="24"/>
          <w:szCs w:val="24"/>
        </w:rPr>
        <w:t>区域</w:t>
      </w:r>
      <w:r w:rsidRPr="00092862">
        <w:rPr>
          <w:rFonts w:ascii="Times New Roman" w:eastAsia="宋体" w:hAnsi="Times New Roman" w:cs="Times New Roman"/>
          <w:bCs/>
          <w:color w:val="000000" w:themeColor="text1"/>
          <w:sz w:val="24"/>
          <w:szCs w:val="24"/>
        </w:rPr>
        <w:t>声环境</w:t>
      </w:r>
      <w:r w:rsidR="0074450A" w:rsidRPr="00092862">
        <w:rPr>
          <w:rFonts w:ascii="Times New Roman" w:eastAsia="宋体" w:hAnsi="Times New Roman" w:cs="Times New Roman"/>
          <w:bCs/>
          <w:color w:val="000000" w:themeColor="text1"/>
          <w:sz w:val="24"/>
          <w:szCs w:val="24"/>
        </w:rPr>
        <w:t>和敏感目标</w:t>
      </w:r>
      <w:r w:rsidRPr="00092862">
        <w:rPr>
          <w:rFonts w:ascii="Times New Roman" w:eastAsia="宋体" w:hAnsi="Times New Roman" w:cs="Times New Roman"/>
          <w:bCs/>
          <w:color w:val="000000" w:themeColor="text1"/>
          <w:sz w:val="24"/>
          <w:szCs w:val="24"/>
        </w:rPr>
        <w:t>的影响是可接受的</w:t>
      </w:r>
      <w:r w:rsidR="00513FCE" w:rsidRPr="00092862">
        <w:rPr>
          <w:rFonts w:ascii="Times New Roman" w:eastAsia="宋体" w:hAnsi="Times New Roman" w:cs="Times New Roman"/>
          <w:bCs/>
          <w:color w:val="000000" w:themeColor="text1"/>
          <w:sz w:val="24"/>
          <w:szCs w:val="24"/>
        </w:rPr>
        <w:t>。</w:t>
      </w:r>
    </w:p>
    <w:p w14:paraId="7F2155E4" w14:textId="537EF714" w:rsidR="0069295E" w:rsidRPr="00092862" w:rsidRDefault="00BB0B1C" w:rsidP="00BB0B1C">
      <w:pPr>
        <w:adjustRightInd w:val="0"/>
        <w:snapToGrid w:val="0"/>
        <w:spacing w:line="360" w:lineRule="auto"/>
        <w:ind w:firstLineChars="200" w:firstLine="480"/>
        <w:outlineLvl w:val="2"/>
        <w:rPr>
          <w:rFonts w:ascii="Times New Roman" w:eastAsia="黑体" w:hAnsi="Times New Roman" w:cs="Times New Roman"/>
          <w:bCs/>
          <w:color w:val="000000" w:themeColor="text1"/>
          <w:sz w:val="24"/>
          <w:szCs w:val="24"/>
        </w:rPr>
      </w:pPr>
      <w:bookmarkStart w:id="221" w:name="_Toc120173159"/>
      <w:r w:rsidRPr="00092862">
        <w:rPr>
          <w:rFonts w:ascii="Times New Roman" w:eastAsia="黑体" w:hAnsi="Times New Roman" w:cs="Times New Roman"/>
          <w:bCs/>
          <w:color w:val="000000" w:themeColor="text1"/>
          <w:sz w:val="24"/>
          <w:szCs w:val="24"/>
        </w:rPr>
        <w:t>5.2.</w:t>
      </w:r>
      <w:r w:rsidR="00573FA1" w:rsidRPr="00092862">
        <w:rPr>
          <w:rFonts w:ascii="Times New Roman" w:eastAsia="黑体" w:hAnsi="Times New Roman" w:cs="Times New Roman"/>
          <w:bCs/>
          <w:color w:val="000000" w:themeColor="text1"/>
          <w:sz w:val="24"/>
          <w:szCs w:val="24"/>
        </w:rPr>
        <w:t>5</w:t>
      </w:r>
      <w:r w:rsidR="0069295E" w:rsidRPr="00092862">
        <w:rPr>
          <w:rFonts w:ascii="Times New Roman" w:eastAsia="黑体" w:hAnsi="Times New Roman" w:cs="Times New Roman"/>
          <w:bCs/>
          <w:color w:val="000000" w:themeColor="text1"/>
          <w:sz w:val="24"/>
          <w:szCs w:val="24"/>
        </w:rPr>
        <w:t>固废影响分析</w:t>
      </w:r>
      <w:bookmarkEnd w:id="221"/>
    </w:p>
    <w:p w14:paraId="2F4B697E" w14:textId="7B580EC5" w:rsidR="0069295E" w:rsidRPr="00092862" w:rsidRDefault="002A22EA" w:rsidP="0069295E">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62503B" w:rsidRPr="00092862">
        <w:rPr>
          <w:rFonts w:ascii="Times New Roman" w:eastAsia="宋体" w:hAnsi="Times New Roman" w:cs="Times New Roman"/>
          <w:bCs/>
          <w:color w:val="000000" w:themeColor="text1"/>
          <w:sz w:val="24"/>
        </w:rPr>
        <w:t>依托</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62503B" w:rsidRPr="00092862">
        <w:rPr>
          <w:rFonts w:ascii="Times New Roman" w:eastAsia="宋体" w:hAnsi="Times New Roman" w:cs="Times New Roman"/>
          <w:bCs/>
          <w:color w:val="000000" w:themeColor="text1"/>
          <w:sz w:val="24"/>
        </w:rPr>
        <w:t>集气站进行生产运营，外输管线为</w:t>
      </w:r>
      <w:r w:rsidR="004D07D0" w:rsidRPr="00092862">
        <w:rPr>
          <w:rFonts w:ascii="Times New Roman" w:eastAsia="宋体" w:hAnsi="Times New Roman" w:cs="Times New Roman"/>
          <w:bCs/>
          <w:color w:val="000000" w:themeColor="text1"/>
          <w:sz w:val="24"/>
        </w:rPr>
        <w:t>原老君</w:t>
      </w:r>
      <w:r w:rsidR="004D07D0" w:rsidRPr="00092862">
        <w:rPr>
          <w:rFonts w:ascii="Times New Roman" w:eastAsia="宋体" w:hAnsi="Times New Roman" w:cs="Times New Roman"/>
          <w:bCs/>
          <w:color w:val="000000" w:themeColor="text1"/>
          <w:sz w:val="24"/>
        </w:rPr>
        <w:t>701</w:t>
      </w:r>
      <w:r w:rsidR="004D07D0" w:rsidRPr="00092862">
        <w:rPr>
          <w:rFonts w:ascii="Times New Roman" w:eastAsia="宋体" w:hAnsi="Times New Roman" w:cs="Times New Roman"/>
          <w:bCs/>
          <w:color w:val="000000" w:themeColor="text1"/>
          <w:sz w:val="24"/>
        </w:rPr>
        <w:t>集气站旁</w:t>
      </w:r>
      <w:r w:rsidR="0062503B" w:rsidRPr="00092862">
        <w:rPr>
          <w:rFonts w:ascii="Times New Roman" w:eastAsia="宋体" w:hAnsi="Times New Roman" w:cs="Times New Roman"/>
          <w:bCs/>
          <w:color w:val="000000" w:themeColor="text1"/>
          <w:sz w:val="24"/>
        </w:rPr>
        <w:t>已建，且本项目不新增工作人员，因此本项目无新增固体废弃物产生</w:t>
      </w:r>
      <w:r w:rsidRPr="00092862">
        <w:rPr>
          <w:rFonts w:ascii="Times New Roman" w:eastAsia="宋体" w:hAnsi="Times New Roman" w:cs="Times New Roman"/>
          <w:bCs/>
          <w:color w:val="000000" w:themeColor="text1"/>
          <w:sz w:val="24"/>
        </w:rPr>
        <w:t>。</w:t>
      </w:r>
    </w:p>
    <w:p w14:paraId="7B1AC350" w14:textId="60A0241F" w:rsidR="00B67DC8" w:rsidRPr="00092862" w:rsidRDefault="00BB0B1C" w:rsidP="00BB0B1C">
      <w:pPr>
        <w:adjustRightInd w:val="0"/>
        <w:snapToGrid w:val="0"/>
        <w:spacing w:line="360" w:lineRule="auto"/>
        <w:ind w:firstLineChars="200" w:firstLine="480"/>
        <w:outlineLvl w:val="2"/>
        <w:rPr>
          <w:rFonts w:ascii="Times New Roman" w:eastAsia="黑体" w:hAnsi="Times New Roman" w:cs="Times New Roman"/>
          <w:bCs/>
          <w:color w:val="000000" w:themeColor="text1"/>
          <w:sz w:val="24"/>
          <w:szCs w:val="24"/>
        </w:rPr>
      </w:pPr>
      <w:bookmarkStart w:id="222" w:name="_Toc120173160"/>
      <w:r w:rsidRPr="00092862">
        <w:rPr>
          <w:rFonts w:ascii="Times New Roman" w:eastAsia="黑体" w:hAnsi="Times New Roman" w:cs="Times New Roman"/>
          <w:bCs/>
          <w:color w:val="000000" w:themeColor="text1"/>
          <w:sz w:val="24"/>
          <w:szCs w:val="24"/>
        </w:rPr>
        <w:t>5.2.</w:t>
      </w:r>
      <w:r w:rsidR="00573FA1" w:rsidRPr="00092862">
        <w:rPr>
          <w:rFonts w:ascii="Times New Roman" w:eastAsia="黑体" w:hAnsi="Times New Roman" w:cs="Times New Roman"/>
          <w:bCs/>
          <w:color w:val="000000" w:themeColor="text1"/>
          <w:sz w:val="24"/>
          <w:szCs w:val="24"/>
        </w:rPr>
        <w:t>6</w:t>
      </w:r>
      <w:r w:rsidR="00B67DC8" w:rsidRPr="00092862">
        <w:rPr>
          <w:rFonts w:ascii="Times New Roman" w:eastAsia="黑体" w:hAnsi="Times New Roman" w:cs="Times New Roman"/>
          <w:bCs/>
          <w:color w:val="000000" w:themeColor="text1"/>
          <w:sz w:val="24"/>
          <w:szCs w:val="24"/>
        </w:rPr>
        <w:t>土壤环境影响分析</w:t>
      </w:r>
      <w:bookmarkEnd w:id="222"/>
    </w:p>
    <w:p w14:paraId="0E5A15F9" w14:textId="21692F39" w:rsidR="00B67DC8" w:rsidRPr="00092862" w:rsidRDefault="00B67DC8" w:rsidP="00B67DC8">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污染物主要通过地面漫流、垂直入渗途径污染土壤。对于</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区，在事故情况下会造成污染物的泄露，通过地面漫流、垂直入渗途径污染土壤。</w:t>
      </w:r>
    </w:p>
    <w:p w14:paraId="3109A742" w14:textId="39BEE826" w:rsidR="00B67DC8" w:rsidRPr="00092862" w:rsidRDefault="00B67DC8" w:rsidP="00B67DC8">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对井身固井合格后运行，地层水不会从井筒泄漏进入土壤环境；</w:t>
      </w:r>
      <w:r w:rsidRPr="00092862">
        <w:rPr>
          <w:rFonts w:ascii="Times New Roman" w:eastAsia="宋体" w:hAnsi="Times New Roman" w:cs="Times New Roman"/>
          <w:color w:val="000000" w:themeColor="text1"/>
          <w:sz w:val="24"/>
          <w:szCs w:val="24"/>
        </w:rPr>
        <w:t>采气废水暂存于</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color w:val="000000" w:themeColor="text1"/>
          <w:sz w:val="24"/>
          <w:szCs w:val="24"/>
        </w:rPr>
        <w:t>，罐车外运行处理</w:t>
      </w:r>
      <w:r w:rsidR="0062503B" w:rsidRPr="00092862">
        <w:rPr>
          <w:rFonts w:ascii="Times New Roman" w:eastAsia="宋体" w:hAnsi="Times New Roman" w:cs="Times New Roman"/>
          <w:color w:val="000000" w:themeColor="text1"/>
          <w:sz w:val="24"/>
          <w:szCs w:val="24"/>
        </w:rPr>
        <w:t>；非正常工况井下作业废水用密闭罐车拉运至赵家坝污水处理站处理达标后经普光</w:t>
      </w:r>
      <w:r w:rsidR="0062503B" w:rsidRPr="00092862">
        <w:rPr>
          <w:rFonts w:ascii="Times New Roman" w:eastAsia="宋体" w:hAnsi="Times New Roman" w:cs="Times New Roman"/>
          <w:color w:val="000000" w:themeColor="text1"/>
          <w:sz w:val="24"/>
          <w:szCs w:val="24"/>
        </w:rPr>
        <w:t>11</w:t>
      </w:r>
      <w:r w:rsidR="0062503B" w:rsidRPr="00092862">
        <w:rPr>
          <w:rFonts w:ascii="Times New Roman" w:eastAsia="宋体" w:hAnsi="Times New Roman" w:cs="Times New Roman"/>
          <w:color w:val="000000" w:themeColor="text1"/>
          <w:sz w:val="24"/>
          <w:szCs w:val="24"/>
        </w:rPr>
        <w:t>井回注站回注</w:t>
      </w:r>
      <w:r w:rsidRPr="00092862">
        <w:rPr>
          <w:rFonts w:ascii="Times New Roman" w:eastAsia="宋体" w:hAnsi="Times New Roman" w:cs="Times New Roman"/>
          <w:color w:val="000000" w:themeColor="text1"/>
          <w:sz w:val="24"/>
          <w:szCs w:val="24"/>
        </w:rPr>
        <w:t>；</w:t>
      </w:r>
      <w:r w:rsidR="00271DF7" w:rsidRPr="00092862">
        <w:rPr>
          <w:rFonts w:ascii="Times New Roman" w:eastAsia="宋体" w:hAnsi="Times New Roman" w:cs="Times New Roman"/>
          <w:color w:val="000000" w:themeColor="text1"/>
          <w:sz w:val="24"/>
          <w:szCs w:val="24"/>
        </w:rPr>
        <w:t>试采期工作人员生活污水经站场化粪池处理后定期由密闭罐车拉运至周边生活污水处理厂处理</w:t>
      </w:r>
      <w:r w:rsidRPr="00092862">
        <w:rPr>
          <w:rFonts w:ascii="Times New Roman" w:eastAsia="宋体" w:hAnsi="Times New Roman" w:cs="Times New Roman"/>
          <w:color w:val="000000" w:themeColor="text1"/>
          <w:sz w:val="24"/>
          <w:szCs w:val="24"/>
        </w:rPr>
        <w:t>；除此之外，无其他废水产生，井站也无生产固废产生和堆放。同时</w:t>
      </w:r>
      <w:r w:rsidRPr="00092862">
        <w:rPr>
          <w:rFonts w:ascii="Times New Roman" w:eastAsia="宋体" w:hAnsi="Times New Roman" w:cs="Times New Roman"/>
          <w:bCs/>
          <w:color w:val="000000" w:themeColor="text1"/>
          <w:sz w:val="24"/>
        </w:rPr>
        <w:t>井站设置了清污分流，</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区和方井设置了围堰拦截</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事故状态下泄露的污水，同时</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周围设置导流沟，将可能泄露的废水导流至集污坑；井场四周设置有排水沟与自然沟渠连接，便于疏导场地雨水。此外，本项目</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对</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区、方井周边采取重点防渗，工艺区进行一般防渗，</w:t>
      </w:r>
      <w:r w:rsidR="00DD4FA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暂存地层水及时转运，污水发生泄露进入土壤环境可能性较小，在加强土壤环境的跟踪监测在后，</w:t>
      </w:r>
      <w:r w:rsidR="009C4CA7"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不会对土壤环境造成不利影响。</w:t>
      </w:r>
    </w:p>
    <w:p w14:paraId="09035224" w14:textId="34EAE0A5" w:rsidR="00EB378F" w:rsidRPr="00092862" w:rsidRDefault="00B67DC8" w:rsidP="008B37B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rPr>
        <w:t>同时调查了川</w:t>
      </w:r>
      <w:r w:rsidR="00C3514D" w:rsidRPr="00092862">
        <w:rPr>
          <w:rFonts w:ascii="Times New Roman" w:eastAsia="宋体" w:hAnsi="Times New Roman" w:cs="Times New Roman"/>
          <w:bCs/>
          <w:color w:val="000000" w:themeColor="text1"/>
          <w:sz w:val="24"/>
        </w:rPr>
        <w:t>东北</w:t>
      </w:r>
      <w:r w:rsidRPr="00092862">
        <w:rPr>
          <w:rFonts w:ascii="Times New Roman" w:eastAsia="宋体" w:hAnsi="Times New Roman" w:cs="Times New Roman"/>
          <w:bCs/>
          <w:color w:val="000000" w:themeColor="text1"/>
          <w:sz w:val="24"/>
        </w:rPr>
        <w:t>地区诸多天然气勘探、钻采工程，</w:t>
      </w:r>
      <w:r w:rsidR="001A6854" w:rsidRPr="00092862">
        <w:rPr>
          <w:rFonts w:ascii="Times New Roman" w:eastAsia="宋体" w:hAnsi="Times New Roman" w:cs="Times New Roman"/>
          <w:bCs/>
          <w:color w:val="000000" w:themeColor="text1"/>
          <w:sz w:val="24"/>
        </w:rPr>
        <w:t>试采期</w:t>
      </w:r>
      <w:r w:rsidR="00AC7C9A" w:rsidRPr="00092862">
        <w:rPr>
          <w:rFonts w:ascii="Times New Roman" w:eastAsia="宋体" w:hAnsi="Times New Roman" w:cs="Times New Roman"/>
          <w:bCs/>
          <w:color w:val="000000" w:themeColor="text1"/>
          <w:sz w:val="24"/>
        </w:rPr>
        <w:t>均</w:t>
      </w:r>
      <w:r w:rsidRPr="00092862">
        <w:rPr>
          <w:rFonts w:ascii="Times New Roman" w:eastAsia="宋体" w:hAnsi="Times New Roman" w:cs="Times New Roman"/>
          <w:bCs/>
          <w:color w:val="000000" w:themeColor="text1"/>
          <w:sz w:val="24"/>
        </w:rPr>
        <w:t>未对土壤环境造成不利影响，因此本项目</w:t>
      </w:r>
      <w:r w:rsidR="00C3514D"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期对土壤环境影响很小，项目在</w:t>
      </w:r>
      <w:r w:rsidR="00C3514D"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期对土壤环境的影响是可以接受的。</w:t>
      </w:r>
    </w:p>
    <w:p w14:paraId="6EDA4F79" w14:textId="14A73403" w:rsidR="00C51DC9" w:rsidRPr="00092862" w:rsidRDefault="00C51DC9" w:rsidP="008B37BB">
      <w:pPr>
        <w:pStyle w:val="2"/>
        <w:ind w:firstLine="480"/>
        <w:rPr>
          <w:color w:val="000000" w:themeColor="text1"/>
          <w:szCs w:val="24"/>
          <w:lang w:eastAsia="zh-CN"/>
        </w:rPr>
      </w:pPr>
      <w:bookmarkStart w:id="223" w:name="5.2.4营运期声环境影响分析"/>
      <w:bookmarkStart w:id="224" w:name="5.3环境风险分析"/>
      <w:bookmarkStart w:id="225" w:name="_bookmark30"/>
      <w:bookmarkStart w:id="226" w:name="5.2.5营运期固体废弃物对环境的影响"/>
      <w:bookmarkStart w:id="227" w:name="_Toc123682543"/>
      <w:bookmarkEnd w:id="223"/>
      <w:bookmarkEnd w:id="224"/>
      <w:bookmarkEnd w:id="225"/>
      <w:bookmarkEnd w:id="226"/>
      <w:r w:rsidRPr="00092862">
        <w:rPr>
          <w:color w:val="000000" w:themeColor="text1"/>
          <w:szCs w:val="24"/>
          <w:lang w:eastAsia="zh-CN"/>
        </w:rPr>
        <w:t>5.</w:t>
      </w:r>
      <w:r w:rsidR="00CA20DF" w:rsidRPr="00092862">
        <w:rPr>
          <w:color w:val="000000" w:themeColor="text1"/>
          <w:szCs w:val="24"/>
          <w:lang w:eastAsia="zh-CN"/>
        </w:rPr>
        <w:t>3</w:t>
      </w:r>
      <w:r w:rsidRPr="00092862">
        <w:rPr>
          <w:color w:val="000000" w:themeColor="text1"/>
          <w:szCs w:val="24"/>
          <w:lang w:eastAsia="zh-CN"/>
        </w:rPr>
        <w:t>地下水环境影响分析</w:t>
      </w:r>
      <w:bookmarkEnd w:id="227"/>
    </w:p>
    <w:p w14:paraId="4827C666" w14:textId="58C8BC5F" w:rsidR="00CB0025" w:rsidRPr="00092862" w:rsidRDefault="00CB0025" w:rsidP="008B37B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28" w:name="_Toc120173162"/>
      <w:r w:rsidRPr="00092862">
        <w:rPr>
          <w:rFonts w:ascii="Times New Roman" w:eastAsia="黑体" w:hAnsi="Times New Roman"/>
          <w:b w:val="0"/>
          <w:color w:val="000000" w:themeColor="text1"/>
          <w:sz w:val="24"/>
          <w:szCs w:val="24"/>
          <w:lang w:eastAsia="zh-CN"/>
        </w:rPr>
        <w:t>5.</w:t>
      </w:r>
      <w:r w:rsidR="00CA20DF"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.1</w:t>
      </w:r>
      <w:r w:rsidRPr="00092862">
        <w:rPr>
          <w:rFonts w:ascii="Times New Roman" w:eastAsia="黑体" w:hAnsi="Times New Roman"/>
          <w:b w:val="0"/>
          <w:color w:val="000000" w:themeColor="text1"/>
          <w:sz w:val="24"/>
          <w:szCs w:val="24"/>
          <w:lang w:eastAsia="zh-CN"/>
        </w:rPr>
        <w:t>项目区水文地质条件</w:t>
      </w:r>
      <w:bookmarkEnd w:id="228"/>
    </w:p>
    <w:p w14:paraId="38F31132" w14:textId="77777777" w:rsidR="00CB0025" w:rsidRPr="00092862" w:rsidRDefault="00CB0025" w:rsidP="008B37BB">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r w:rsidRPr="00092862">
        <w:rPr>
          <w:rFonts w:ascii="Times New Roman" w:eastAsia="黑体" w:hAnsi="Times New Roman"/>
          <w:bCs/>
          <w:color w:val="000000" w:themeColor="text1"/>
          <w:kern w:val="2"/>
          <w:lang w:eastAsia="zh-CN"/>
        </w:rPr>
        <w:t>1</w:t>
      </w:r>
      <w:r w:rsidRPr="00092862">
        <w:rPr>
          <w:rFonts w:ascii="Times New Roman" w:eastAsia="黑体" w:hAnsi="Times New Roman"/>
          <w:bCs/>
          <w:color w:val="000000" w:themeColor="text1"/>
          <w:kern w:val="2"/>
          <w:lang w:eastAsia="zh-CN"/>
        </w:rPr>
        <w:t>、地下水类型及补给、径流和排泄</w:t>
      </w:r>
    </w:p>
    <w:p w14:paraId="4868459D" w14:textId="77777777" w:rsidR="009377B0" w:rsidRPr="00092862" w:rsidRDefault="009377B0" w:rsidP="008B37BB">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229" w:name="_Toc14702819"/>
      <w:r w:rsidRPr="00092862">
        <w:rPr>
          <w:rFonts w:ascii="Times New Roman" w:eastAsia="宋体" w:hAnsi="Times New Roman" w:cs="Times New Roman"/>
          <w:color w:val="000000" w:themeColor="text1"/>
          <w:sz w:val="24"/>
          <w:szCs w:val="24"/>
        </w:rPr>
        <w:t>普光气田开发区主要位于北东向的黄金口背斜处，由背斜轴部向翼部，地</w:t>
      </w:r>
      <w:r w:rsidRPr="00092862">
        <w:rPr>
          <w:rFonts w:ascii="Times New Roman" w:eastAsia="宋体" w:hAnsi="Times New Roman" w:cs="Times New Roman"/>
          <w:color w:val="000000" w:themeColor="text1"/>
          <w:sz w:val="24"/>
          <w:szCs w:val="24"/>
        </w:rPr>
        <w:lastRenderedPageBreak/>
        <w:t>层由老到新，呈条带状依次展布包括侏罗系中统千佛崖组、沙溪庙组，上统遂宁组、蓬莱镇组及白垩系。普光气田区含有地下水的层位主要有侏罗系蓬莱镇组、遂宁组和上沙溪庙组，地形不同、地表出露地层不同，其主要含有地下水的层位也不同。</w:t>
      </w:r>
    </w:p>
    <w:p w14:paraId="4A8BCF97" w14:textId="35921031" w:rsidR="009377B0" w:rsidRPr="00092862" w:rsidRDefault="009377B0" w:rsidP="001C7C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普光气田开发区内地下水类型包括松散堆积层孔隙水、碎屑岩裂隙孔隙水和基岩裂隙水，其中本项目所在区域以</w:t>
      </w:r>
      <w:r w:rsidR="00F64CF6" w:rsidRPr="00092862">
        <w:rPr>
          <w:rFonts w:ascii="Times New Roman" w:eastAsia="宋体" w:hAnsi="Times New Roman" w:cs="Times New Roman"/>
          <w:color w:val="000000" w:themeColor="text1"/>
          <w:sz w:val="24"/>
          <w:szCs w:val="24"/>
        </w:rPr>
        <w:t>基岩裂隙水与碎屑岩类裂隙水</w:t>
      </w:r>
      <w:r w:rsidRPr="00092862">
        <w:rPr>
          <w:rFonts w:ascii="Times New Roman" w:eastAsia="宋体" w:hAnsi="Times New Roman" w:cs="Times New Roman"/>
          <w:color w:val="000000" w:themeColor="text1"/>
          <w:sz w:val="24"/>
          <w:szCs w:val="24"/>
        </w:rPr>
        <w:t>为主。沟谷地段为地下水的排泄区。岩性变化地段和结构松散的卸荷岩体具有较强的透水性能，岩体的透水性具有随着深度的增加、卸荷的减弱而递减的一般规律。</w:t>
      </w:r>
    </w:p>
    <w:p w14:paraId="0232A313" w14:textId="77777777" w:rsidR="00A22CD8" w:rsidRPr="00092862" w:rsidRDefault="009377B0" w:rsidP="001C7C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）松散堆积层孔隙水</w:t>
      </w:r>
    </w:p>
    <w:p w14:paraId="4D1A893D" w14:textId="655A3867" w:rsidR="001C7C3D" w:rsidRPr="00092862" w:rsidRDefault="009377B0" w:rsidP="001C7C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松散堆积层孔隙潜水主要赋存于河流阶地的细砂层中，基岩为相对隔水层，零星分布在赵家坝、清溪镇等地，即中河、后河、清溪河宽谷地带，含水层为第四系全新统，以冲积、冲洪积砂质粘土夹砾石为主，次为残坡积和崩坡积之砂质粘土，粘质砂土夹杂碎石块。泉流量一般小于</w:t>
      </w:r>
      <w:r w:rsidRPr="00092862">
        <w:rPr>
          <w:rFonts w:ascii="Times New Roman" w:eastAsia="宋体" w:hAnsi="Times New Roman" w:cs="Times New Roman"/>
          <w:color w:val="000000" w:themeColor="text1"/>
          <w:sz w:val="24"/>
          <w:szCs w:val="24"/>
        </w:rPr>
        <w:t>0.1L/s</w:t>
      </w:r>
      <w:r w:rsidRPr="00092862">
        <w:rPr>
          <w:rFonts w:ascii="Times New Roman" w:eastAsia="宋体" w:hAnsi="Times New Roman" w:cs="Times New Roman"/>
          <w:color w:val="000000" w:themeColor="text1"/>
          <w:sz w:val="24"/>
          <w:szCs w:val="24"/>
        </w:rPr>
        <w:t>，钻孔涌水量小于</w:t>
      </w:r>
      <w:r w:rsidRPr="00092862">
        <w:rPr>
          <w:rFonts w:ascii="Times New Roman" w:eastAsia="宋体" w:hAnsi="Times New Roman" w:cs="Times New Roman"/>
          <w:color w:val="000000" w:themeColor="text1"/>
          <w:sz w:val="24"/>
          <w:szCs w:val="24"/>
        </w:rPr>
        <w:t>50m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。分布零星，面积窄小，厚度薄（</w:t>
      </w:r>
      <w:r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20m</w:t>
      </w:r>
      <w:r w:rsidRPr="00092862">
        <w:rPr>
          <w:rFonts w:ascii="Times New Roman" w:eastAsia="宋体" w:hAnsi="Times New Roman" w:cs="Times New Roman"/>
          <w:color w:val="000000" w:themeColor="text1"/>
          <w:sz w:val="24"/>
          <w:szCs w:val="24"/>
        </w:rPr>
        <w:t>），地下水较为贫乏，不具有供水意义。一般属</w:t>
      </w:r>
      <w:r w:rsidRPr="00092862">
        <w:rPr>
          <w:rFonts w:ascii="Times New Roman" w:eastAsia="宋体" w:hAnsi="Times New Roman" w:cs="Times New Roman"/>
          <w:color w:val="000000" w:themeColor="text1"/>
          <w:sz w:val="24"/>
          <w:szCs w:val="24"/>
        </w:rPr>
        <w:t>HCO</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--Ca</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Na+K</w:t>
      </w:r>
      <w:r w:rsidRPr="00092862">
        <w:rPr>
          <w:rFonts w:ascii="Times New Roman" w:eastAsia="宋体" w:hAnsi="Times New Roman" w:cs="Times New Roman"/>
          <w:color w:val="000000" w:themeColor="text1"/>
          <w:sz w:val="24"/>
          <w:szCs w:val="24"/>
        </w:rPr>
        <w:t>）水，矿化度</w:t>
      </w:r>
      <w:r w:rsidRPr="00092862">
        <w:rPr>
          <w:rFonts w:ascii="Times New Roman" w:eastAsia="宋体" w:hAnsi="Times New Roman" w:cs="Times New Roman"/>
          <w:color w:val="000000" w:themeColor="text1"/>
          <w:sz w:val="24"/>
          <w:szCs w:val="24"/>
        </w:rPr>
        <w:t>0.356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0.392g/L</w:t>
      </w:r>
      <w:r w:rsidRPr="00092862">
        <w:rPr>
          <w:rFonts w:ascii="Times New Roman" w:eastAsia="宋体" w:hAnsi="Times New Roman" w:cs="Times New Roman"/>
          <w:color w:val="000000" w:themeColor="text1"/>
          <w:sz w:val="24"/>
          <w:szCs w:val="24"/>
        </w:rPr>
        <w:t>，总硬度</w:t>
      </w:r>
      <w:r w:rsidRPr="00092862">
        <w:rPr>
          <w:rFonts w:ascii="Times New Roman" w:eastAsia="宋体" w:hAnsi="Times New Roman" w:cs="Times New Roman"/>
          <w:color w:val="000000" w:themeColor="text1"/>
          <w:sz w:val="24"/>
          <w:szCs w:val="24"/>
        </w:rPr>
        <w:t>13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15</w:t>
      </w:r>
      <w:r w:rsidRPr="00092862">
        <w:rPr>
          <w:rFonts w:ascii="Times New Roman" w:eastAsia="宋体" w:hAnsi="Times New Roman" w:cs="Times New Roman"/>
          <w:color w:val="000000" w:themeColor="text1"/>
          <w:sz w:val="24"/>
          <w:szCs w:val="24"/>
        </w:rPr>
        <w:t>德度，</w:t>
      </w:r>
      <w:r w:rsidRPr="00092862">
        <w:rPr>
          <w:rFonts w:ascii="Times New Roman" w:eastAsia="宋体" w:hAnsi="Times New Roman" w:cs="Times New Roman"/>
          <w:color w:val="000000" w:themeColor="text1"/>
          <w:sz w:val="24"/>
          <w:szCs w:val="24"/>
        </w:rPr>
        <w:t>pH</w:t>
      </w:r>
      <w:r w:rsidRPr="00092862">
        <w:rPr>
          <w:rFonts w:ascii="Times New Roman" w:eastAsia="宋体" w:hAnsi="Times New Roman" w:cs="Times New Roman"/>
          <w:color w:val="000000" w:themeColor="text1"/>
          <w:sz w:val="24"/>
          <w:szCs w:val="24"/>
        </w:rPr>
        <w:t>值</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w:t>
      </w:r>
    </w:p>
    <w:p w14:paraId="49A0B140" w14:textId="388873A0"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碎屑岩裂隙孔隙水</w:t>
      </w:r>
    </w:p>
    <w:p w14:paraId="327D6474" w14:textId="5132C04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分布于黄金口背斜中段一带，主要由沙溪庙组地层组成，但在其中段核部有两处出露了千佛崖组地层，形成构造窗。其中南面的一处位于普光镇西北，长</w:t>
      </w:r>
      <w:r w:rsidRPr="00092862">
        <w:rPr>
          <w:rFonts w:ascii="Times New Roman" w:eastAsia="宋体" w:hAnsi="Times New Roman" w:cs="Times New Roman"/>
          <w:color w:val="000000" w:themeColor="text1"/>
          <w:sz w:val="24"/>
          <w:szCs w:val="24"/>
        </w:rPr>
        <w:t>15km</w:t>
      </w:r>
      <w:r w:rsidRPr="00092862">
        <w:rPr>
          <w:rFonts w:ascii="Times New Roman" w:eastAsia="宋体" w:hAnsi="Times New Roman" w:cs="Times New Roman"/>
          <w:color w:val="000000" w:themeColor="text1"/>
          <w:sz w:val="24"/>
          <w:szCs w:val="24"/>
        </w:rPr>
        <w:t>左右，宽</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2km</w:t>
      </w:r>
      <w:r w:rsidRPr="00092862">
        <w:rPr>
          <w:rFonts w:ascii="Times New Roman" w:eastAsia="宋体" w:hAnsi="Times New Roman" w:cs="Times New Roman"/>
          <w:color w:val="000000" w:themeColor="text1"/>
          <w:sz w:val="24"/>
          <w:szCs w:val="24"/>
        </w:rPr>
        <w:t>；北面一处位于黄金口边，长</w:t>
      </w:r>
      <w:r w:rsidRPr="00092862">
        <w:rPr>
          <w:rFonts w:ascii="Times New Roman" w:eastAsia="宋体" w:hAnsi="Times New Roman" w:cs="Times New Roman"/>
          <w:color w:val="000000" w:themeColor="text1"/>
          <w:sz w:val="24"/>
          <w:szCs w:val="24"/>
        </w:rPr>
        <w:t>10km</w:t>
      </w:r>
      <w:r w:rsidRPr="00092862">
        <w:rPr>
          <w:rFonts w:ascii="Times New Roman" w:eastAsia="宋体" w:hAnsi="Times New Roman" w:cs="Times New Roman"/>
          <w:color w:val="000000" w:themeColor="text1"/>
          <w:sz w:val="24"/>
          <w:szCs w:val="24"/>
        </w:rPr>
        <w:t>，宽</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4km</w:t>
      </w:r>
      <w:r w:rsidRPr="00092862">
        <w:rPr>
          <w:rFonts w:ascii="Times New Roman" w:eastAsia="宋体" w:hAnsi="Times New Roman" w:cs="Times New Roman"/>
          <w:color w:val="000000" w:themeColor="text1"/>
          <w:sz w:val="24"/>
          <w:szCs w:val="24"/>
        </w:rPr>
        <w:t>。由于该背斜穿插于北西向构造之中，并受到强烈的挤压，因而两翼岩层产状较陡，倾角达</w:t>
      </w:r>
      <w:r w:rsidRPr="00092862">
        <w:rPr>
          <w:rFonts w:ascii="Times New Roman" w:eastAsia="宋体" w:hAnsi="Times New Roman" w:cs="Times New Roman"/>
          <w:color w:val="000000" w:themeColor="text1"/>
          <w:sz w:val="24"/>
          <w:szCs w:val="24"/>
        </w:rPr>
        <w:t>20°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50°</w:t>
      </w:r>
      <w:r w:rsidRPr="00092862">
        <w:rPr>
          <w:rFonts w:ascii="Times New Roman" w:eastAsia="宋体" w:hAnsi="Times New Roman" w:cs="Times New Roman"/>
          <w:color w:val="000000" w:themeColor="text1"/>
          <w:sz w:val="24"/>
          <w:szCs w:val="24"/>
        </w:rPr>
        <w:t>。但向外围很快变缓，节理裂隙发育。在地貌上形成背斜山，千佛崖组地层裸露于轴部附近山岭一带，补给区位置较高，对于翼部地下水的补给、运移和富集有利，因而黄金口背斜翼部地下水比较丰富，特别是在千佛崖组和沙溪庙组接触带附近，有较丰富的层间承压水，泉水流量大于</w:t>
      </w:r>
      <w:r w:rsidRPr="00092862">
        <w:rPr>
          <w:rFonts w:ascii="Times New Roman" w:eastAsia="宋体" w:hAnsi="Times New Roman" w:cs="Times New Roman"/>
          <w:color w:val="000000" w:themeColor="text1"/>
          <w:sz w:val="24"/>
          <w:szCs w:val="24"/>
        </w:rPr>
        <w:t>11m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，单井涌水量可达</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500m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，含水层顶板埋深</w:t>
      </w:r>
      <w:r w:rsidRPr="00092862">
        <w:rPr>
          <w:rFonts w:ascii="Times New Roman" w:eastAsia="宋体" w:hAnsi="Times New Roman" w:cs="Times New Roman"/>
          <w:color w:val="000000" w:themeColor="text1"/>
          <w:sz w:val="24"/>
          <w:szCs w:val="24"/>
        </w:rPr>
        <w:t>50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100m</w:t>
      </w:r>
      <w:r w:rsidRPr="00092862">
        <w:rPr>
          <w:rFonts w:ascii="Times New Roman" w:eastAsia="宋体" w:hAnsi="Times New Roman" w:cs="Times New Roman"/>
          <w:color w:val="000000" w:themeColor="text1"/>
          <w:sz w:val="24"/>
          <w:szCs w:val="24"/>
        </w:rPr>
        <w:t>。</w:t>
      </w:r>
    </w:p>
    <w:p w14:paraId="016971F6" w14:textId="2E113A63"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由于含水层主要出露于山岭地带，补给区所处位置较高，地下水以接受大气降水的渗入补给为主，补给后地下水主要通过构造裂隙和层间裂隙沿岩层倾斜方向作垂向（倾向）运动。一部分地下水在地表侵蚀基准面之上以下降泉的形式排泄，一部分向深部运移、贮集，并作水平（走向）运动。在含水层被沟</w:t>
      </w:r>
      <w:r w:rsidRPr="00092862">
        <w:rPr>
          <w:rFonts w:ascii="Times New Roman" w:eastAsia="宋体" w:hAnsi="Times New Roman" w:cs="Times New Roman"/>
          <w:color w:val="000000" w:themeColor="text1"/>
          <w:sz w:val="24"/>
          <w:szCs w:val="24"/>
        </w:rPr>
        <w:lastRenderedPageBreak/>
        <w:t>谷切割的地段，可以接受地表水的补给，地下水运动的总趋势是由北</w:t>
      </w:r>
      <w:r w:rsidR="00A34671" w:rsidRPr="00092862">
        <w:rPr>
          <w:rFonts w:ascii="Times New Roman" w:eastAsia="宋体" w:hAnsi="Times New Roman" w:cs="Times New Roman"/>
          <w:color w:val="000000" w:themeColor="text1"/>
          <w:sz w:val="24"/>
          <w:szCs w:val="24"/>
        </w:rPr>
        <w:t>东</w:t>
      </w:r>
      <w:r w:rsidRPr="00092862">
        <w:rPr>
          <w:rFonts w:ascii="Times New Roman" w:eastAsia="宋体" w:hAnsi="Times New Roman" w:cs="Times New Roman"/>
          <w:color w:val="000000" w:themeColor="text1"/>
          <w:sz w:val="24"/>
          <w:szCs w:val="24"/>
        </w:rPr>
        <w:t>向南</w:t>
      </w:r>
      <w:r w:rsidR="00A34671" w:rsidRPr="00092862">
        <w:rPr>
          <w:rFonts w:ascii="Times New Roman" w:eastAsia="宋体" w:hAnsi="Times New Roman" w:cs="Times New Roman"/>
          <w:color w:val="000000" w:themeColor="text1"/>
          <w:sz w:val="24"/>
          <w:szCs w:val="24"/>
        </w:rPr>
        <w:t>西</w:t>
      </w:r>
      <w:r w:rsidRPr="00092862">
        <w:rPr>
          <w:rFonts w:ascii="Times New Roman" w:eastAsia="宋体" w:hAnsi="Times New Roman" w:cs="Times New Roman"/>
          <w:color w:val="000000" w:themeColor="text1"/>
          <w:sz w:val="24"/>
          <w:szCs w:val="24"/>
        </w:rPr>
        <w:t>方向径流。地下水化学类型为重碳酸钙镁型和重碳酸硫酸钙镁型，矿化度</w:t>
      </w:r>
      <w:r w:rsidRPr="00092862">
        <w:rPr>
          <w:rFonts w:ascii="Times New Roman" w:eastAsia="宋体" w:hAnsi="Times New Roman" w:cs="Times New Roman"/>
          <w:color w:val="000000" w:themeColor="text1"/>
          <w:sz w:val="24"/>
          <w:szCs w:val="24"/>
        </w:rPr>
        <w:t>0.2g/L</w:t>
      </w:r>
      <w:r w:rsidRPr="00092862">
        <w:rPr>
          <w:rFonts w:ascii="Times New Roman" w:eastAsia="宋体" w:hAnsi="Times New Roman" w:cs="Times New Roman"/>
          <w:color w:val="000000" w:themeColor="text1"/>
          <w:sz w:val="24"/>
          <w:szCs w:val="24"/>
        </w:rPr>
        <w:t>左右，总硬度</w:t>
      </w:r>
      <w:r w:rsidRPr="00092862">
        <w:rPr>
          <w:rFonts w:ascii="Times New Roman" w:eastAsia="宋体" w:hAnsi="Times New Roman" w:cs="Times New Roman"/>
          <w:color w:val="000000" w:themeColor="text1"/>
          <w:sz w:val="24"/>
          <w:szCs w:val="24"/>
        </w:rPr>
        <w:t>0.8</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6.5</w:t>
      </w:r>
      <w:r w:rsidRPr="00092862">
        <w:rPr>
          <w:rFonts w:ascii="Times New Roman" w:eastAsia="宋体" w:hAnsi="Times New Roman" w:cs="Times New Roman"/>
          <w:color w:val="000000" w:themeColor="text1"/>
          <w:sz w:val="24"/>
          <w:szCs w:val="24"/>
        </w:rPr>
        <w:t>德度，</w:t>
      </w:r>
      <w:r w:rsidRPr="00092862">
        <w:rPr>
          <w:rFonts w:ascii="Times New Roman" w:eastAsia="宋体" w:hAnsi="Times New Roman" w:cs="Times New Roman"/>
          <w:color w:val="000000" w:themeColor="text1"/>
          <w:sz w:val="24"/>
          <w:szCs w:val="24"/>
        </w:rPr>
        <w:t>pH</w:t>
      </w:r>
      <w:r w:rsidRPr="00092862">
        <w:rPr>
          <w:rFonts w:ascii="Times New Roman" w:eastAsia="宋体" w:hAnsi="Times New Roman" w:cs="Times New Roman"/>
          <w:color w:val="000000" w:themeColor="text1"/>
          <w:sz w:val="24"/>
          <w:szCs w:val="24"/>
        </w:rPr>
        <w:t>值</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w:t>
      </w:r>
    </w:p>
    <w:p w14:paraId="1596C3E8" w14:textId="7777777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）基岩裂隙水</w:t>
      </w:r>
    </w:p>
    <w:p w14:paraId="309AE54C" w14:textId="23073D1C"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此类型在气田区广泛分布，本项目区也属于此类型，按裂隙性质，地下水的富存条件可分为构造裂隙水和风化带网状裂隙水两大亚类。</w:t>
      </w:r>
    </w:p>
    <w:p w14:paraId="6DF8E793" w14:textId="62982F4E"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、构造裂隙水</w:t>
      </w:r>
    </w:p>
    <w:p w14:paraId="437A45C0" w14:textId="67C0226D"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构造裂隙水主要分布在侏罗系蓬莱镇组（</w:t>
      </w:r>
      <w:r w:rsidRPr="00092862">
        <w:rPr>
          <w:rFonts w:ascii="Times New Roman" w:eastAsia="宋体" w:hAnsi="Times New Roman" w:cs="Times New Roman"/>
          <w:color w:val="000000" w:themeColor="text1"/>
          <w:sz w:val="24"/>
          <w:szCs w:val="24"/>
        </w:rPr>
        <w:t>J</w:t>
      </w:r>
      <w:r w:rsidRPr="00092862">
        <w:rPr>
          <w:rFonts w:ascii="Times New Roman" w:eastAsia="宋体" w:hAnsi="Times New Roman" w:cs="Times New Roman"/>
          <w:color w:val="000000" w:themeColor="text1"/>
          <w:sz w:val="24"/>
          <w:szCs w:val="24"/>
          <w:vertAlign w:val="subscript"/>
        </w:rPr>
        <w:t>3</w:t>
      </w:r>
      <w:r w:rsidRPr="00092862">
        <w:rPr>
          <w:rFonts w:ascii="Times New Roman" w:eastAsia="宋体" w:hAnsi="Times New Roman" w:cs="Times New Roman"/>
          <w:color w:val="000000" w:themeColor="text1"/>
          <w:sz w:val="24"/>
          <w:szCs w:val="24"/>
        </w:rPr>
        <w:t>p</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）、下白垩统苍溪组（</w:t>
      </w:r>
      <w:r w:rsidRPr="00092862">
        <w:rPr>
          <w:rFonts w:ascii="Times New Roman" w:eastAsia="宋体" w:hAnsi="Times New Roman" w:cs="Times New Roman"/>
          <w:color w:val="000000" w:themeColor="text1"/>
          <w:sz w:val="24"/>
          <w:szCs w:val="24"/>
        </w:rPr>
        <w:t>K</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c</w:t>
      </w:r>
      <w:r w:rsidRPr="00092862">
        <w:rPr>
          <w:rFonts w:ascii="Times New Roman" w:eastAsia="宋体" w:hAnsi="Times New Roman" w:cs="Times New Roman"/>
          <w:color w:val="000000" w:themeColor="text1"/>
          <w:sz w:val="24"/>
          <w:szCs w:val="24"/>
        </w:rPr>
        <w:t>）、白龙组（</w:t>
      </w:r>
      <w:r w:rsidRPr="00092862">
        <w:rPr>
          <w:rFonts w:ascii="Times New Roman" w:eastAsia="宋体" w:hAnsi="Times New Roman" w:cs="Times New Roman"/>
          <w:color w:val="000000" w:themeColor="text1"/>
          <w:sz w:val="24"/>
          <w:szCs w:val="24"/>
        </w:rPr>
        <w:t>K</w:t>
      </w:r>
      <w:r w:rsidRPr="00092862">
        <w:rPr>
          <w:rFonts w:ascii="Times New Roman" w:eastAsia="宋体" w:hAnsi="Times New Roman" w:cs="Times New Roman"/>
          <w:color w:val="000000" w:themeColor="text1"/>
          <w:sz w:val="24"/>
          <w:szCs w:val="24"/>
          <w:vertAlign w:val="subscript"/>
        </w:rPr>
        <w:t>1</w:t>
      </w:r>
      <w:r w:rsidRPr="00092862">
        <w:rPr>
          <w:rFonts w:ascii="Times New Roman" w:eastAsia="宋体" w:hAnsi="Times New Roman" w:cs="Times New Roman"/>
          <w:color w:val="000000" w:themeColor="text1"/>
          <w:sz w:val="24"/>
          <w:szCs w:val="24"/>
        </w:rPr>
        <w:t>b</w:t>
      </w:r>
      <w:r w:rsidRPr="00092862">
        <w:rPr>
          <w:rFonts w:ascii="Times New Roman" w:eastAsia="宋体" w:hAnsi="Times New Roman" w:cs="Times New Roman"/>
          <w:color w:val="000000" w:themeColor="text1"/>
          <w:sz w:val="24"/>
          <w:szCs w:val="24"/>
        </w:rPr>
        <w:t>），岩性主要是紫红色泥岩、粉砂质泥岩与厚至块状细粒长石、石英砂岩互层，上侏罗统蓬莱镇组上段和的砂岩和泥岩之不等厚互层组成，一般以砂岩为主要含水层，且为双层结构（即上部以浅层潜水为主，下部以承压水为主）的含水特征，以碎屑岩裂隙孔隙水－层间承压水为主。地下水位埋深一般小于</w:t>
      </w:r>
      <w:r w:rsidRPr="00092862">
        <w:rPr>
          <w:rFonts w:ascii="Times New Roman" w:eastAsia="宋体" w:hAnsi="Times New Roman" w:cs="Times New Roman"/>
          <w:color w:val="000000" w:themeColor="text1"/>
          <w:sz w:val="24"/>
          <w:szCs w:val="24"/>
        </w:rPr>
        <w:t>20m</w:t>
      </w:r>
      <w:r w:rsidRPr="00092862">
        <w:rPr>
          <w:rFonts w:ascii="Times New Roman" w:eastAsia="宋体" w:hAnsi="Times New Roman" w:cs="Times New Roman"/>
          <w:color w:val="000000" w:themeColor="text1"/>
          <w:sz w:val="24"/>
          <w:szCs w:val="24"/>
        </w:rPr>
        <w:t>，含水层顶板埋深一般小于</w:t>
      </w:r>
      <w:r w:rsidRPr="00092862">
        <w:rPr>
          <w:rFonts w:ascii="Times New Roman" w:eastAsia="宋体" w:hAnsi="Times New Roman" w:cs="Times New Roman"/>
          <w:color w:val="000000" w:themeColor="text1"/>
          <w:sz w:val="24"/>
          <w:szCs w:val="24"/>
        </w:rPr>
        <w:t>50m</w:t>
      </w:r>
      <w:r w:rsidRPr="00092862">
        <w:rPr>
          <w:rFonts w:ascii="Times New Roman" w:eastAsia="宋体" w:hAnsi="Times New Roman" w:cs="Times New Roman"/>
          <w:color w:val="000000" w:themeColor="text1"/>
          <w:sz w:val="24"/>
          <w:szCs w:val="24"/>
        </w:rPr>
        <w:t>。地下径流模数</w:t>
      </w:r>
      <w:r w:rsidRPr="00092862">
        <w:rPr>
          <w:rFonts w:ascii="Times New Roman" w:eastAsia="宋体" w:hAnsi="Times New Roman" w:cs="Times New Roman"/>
          <w:color w:val="000000" w:themeColor="text1"/>
          <w:sz w:val="24"/>
          <w:szCs w:val="24"/>
        </w:rPr>
        <w:t>0.5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s·km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），钻孔涌水量一般可达</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500m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，属于中等富水地带。</w:t>
      </w:r>
    </w:p>
    <w:p w14:paraId="6C7BC096" w14:textId="7777777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水质以重碳酸钠型和重碳酸钙型为主，矿化度</w:t>
      </w:r>
      <w:r w:rsidRPr="00092862">
        <w:rPr>
          <w:rFonts w:ascii="Times New Roman" w:eastAsia="宋体" w:hAnsi="Times New Roman" w:cs="Times New Roman"/>
          <w:color w:val="000000" w:themeColor="text1"/>
          <w:sz w:val="24"/>
          <w:szCs w:val="24"/>
        </w:rPr>
        <w:t>0.1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0.5g/L</w:t>
      </w:r>
      <w:r w:rsidRPr="00092862">
        <w:rPr>
          <w:rFonts w:ascii="Times New Roman" w:eastAsia="宋体" w:hAnsi="Times New Roman" w:cs="Times New Roman"/>
          <w:color w:val="000000" w:themeColor="text1"/>
          <w:sz w:val="24"/>
          <w:szCs w:val="24"/>
        </w:rPr>
        <w:t>，总硬度为</w:t>
      </w:r>
      <w:r w:rsidRPr="00092862">
        <w:rPr>
          <w:rFonts w:ascii="Times New Roman" w:eastAsia="宋体" w:hAnsi="Times New Roman" w:cs="Times New Roman"/>
          <w:color w:val="000000" w:themeColor="text1"/>
          <w:sz w:val="24"/>
          <w:szCs w:val="24"/>
        </w:rPr>
        <w:t>0.5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德度，</w:t>
      </w:r>
      <w:r w:rsidRPr="00092862">
        <w:rPr>
          <w:rFonts w:ascii="Times New Roman" w:eastAsia="宋体" w:hAnsi="Times New Roman" w:cs="Times New Roman"/>
          <w:color w:val="000000" w:themeColor="text1"/>
          <w:sz w:val="24"/>
          <w:szCs w:val="24"/>
        </w:rPr>
        <w:t>pH</w:t>
      </w:r>
      <w:r w:rsidRPr="00092862">
        <w:rPr>
          <w:rFonts w:ascii="Times New Roman" w:eastAsia="宋体" w:hAnsi="Times New Roman" w:cs="Times New Roman"/>
          <w:color w:val="000000" w:themeColor="text1"/>
          <w:sz w:val="24"/>
          <w:szCs w:val="24"/>
        </w:rPr>
        <w:t>值为</w:t>
      </w:r>
      <w:r w:rsidRPr="00092862">
        <w:rPr>
          <w:rFonts w:ascii="Times New Roman" w:eastAsia="宋体" w:hAnsi="Times New Roman" w:cs="Times New Roman"/>
          <w:color w:val="000000" w:themeColor="text1"/>
          <w:sz w:val="24"/>
          <w:szCs w:val="24"/>
        </w:rPr>
        <w:t>7.5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。泉流量一般在</w:t>
      </w:r>
      <w:r w:rsidRPr="00092862">
        <w:rPr>
          <w:rFonts w:ascii="Times New Roman" w:eastAsia="宋体" w:hAnsi="Times New Roman" w:cs="Times New Roman"/>
          <w:color w:val="000000" w:themeColor="text1"/>
          <w:sz w:val="24"/>
          <w:szCs w:val="24"/>
        </w:rPr>
        <w:t>0.1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1L/s</w:t>
      </w:r>
      <w:r w:rsidRPr="00092862">
        <w:rPr>
          <w:rFonts w:ascii="Times New Roman" w:eastAsia="宋体" w:hAnsi="Times New Roman" w:cs="Times New Roman"/>
          <w:color w:val="000000" w:themeColor="text1"/>
          <w:sz w:val="24"/>
          <w:szCs w:val="24"/>
        </w:rPr>
        <w:t>之间。</w:t>
      </w:r>
      <w:r w:rsidRPr="00092862">
        <w:rPr>
          <w:rFonts w:ascii="Times New Roman" w:eastAsia="宋体" w:hAnsi="Times New Roman" w:cs="Times New Roman"/>
          <w:color w:val="000000" w:themeColor="text1"/>
          <w:sz w:val="24"/>
          <w:szCs w:val="24"/>
        </w:rPr>
        <w:t xml:space="preserve"> </w:t>
      </w:r>
    </w:p>
    <w:p w14:paraId="51464835" w14:textId="7777777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B</w:t>
      </w:r>
      <w:r w:rsidRPr="00092862">
        <w:rPr>
          <w:rFonts w:ascii="Times New Roman" w:eastAsia="宋体" w:hAnsi="Times New Roman" w:cs="Times New Roman"/>
          <w:color w:val="000000" w:themeColor="text1"/>
          <w:sz w:val="24"/>
          <w:szCs w:val="24"/>
        </w:rPr>
        <w:t>、风化带网状裂隙水</w:t>
      </w:r>
    </w:p>
    <w:p w14:paraId="169374FA" w14:textId="7AE7CE5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风化带网状裂隙水主要分布于普光气田区西部、西南部，地下水为潜水，主要赋存于沙溪庙组和遂宁组地层中浅部风化网状裂隙发育地带。普光气田区西部、西南相对高差较小，故侵蚀作用较弱，对风化带发育比较有利，风化带发育深度一般为</w:t>
      </w:r>
      <w:r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10m</w:t>
      </w:r>
      <w:r w:rsidRPr="00092862">
        <w:rPr>
          <w:rFonts w:ascii="Times New Roman" w:eastAsia="宋体" w:hAnsi="Times New Roman" w:cs="Times New Roman"/>
          <w:color w:val="000000" w:themeColor="text1"/>
          <w:sz w:val="24"/>
          <w:szCs w:val="24"/>
        </w:rPr>
        <w:t>。由于风化带厚度较薄并因发育不均匀呈断续分布，一般不能形成连续分布的统一含水层，其地下水的补给条件和赋存条件比较差，表现为富水性弱和水量一般较为贫乏。泉流量一般在</w:t>
      </w:r>
      <w:r w:rsidRPr="00092862">
        <w:rPr>
          <w:rFonts w:ascii="Times New Roman" w:eastAsia="宋体" w:hAnsi="Times New Roman" w:cs="Times New Roman"/>
          <w:color w:val="000000" w:themeColor="text1"/>
          <w:sz w:val="24"/>
          <w:szCs w:val="24"/>
        </w:rPr>
        <w:t>0.01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0.1L/s</w:t>
      </w:r>
      <w:r w:rsidRPr="00092862">
        <w:rPr>
          <w:rFonts w:ascii="Times New Roman" w:eastAsia="宋体" w:hAnsi="Times New Roman" w:cs="Times New Roman"/>
          <w:color w:val="000000" w:themeColor="text1"/>
          <w:sz w:val="24"/>
          <w:szCs w:val="24"/>
        </w:rPr>
        <w:t>，地下径流模数</w:t>
      </w:r>
      <w:r w:rsidRPr="00092862">
        <w:rPr>
          <w:rFonts w:ascii="Times New Roman" w:eastAsia="宋体" w:hAnsi="Times New Roman" w:cs="Times New Roman"/>
          <w:color w:val="000000" w:themeColor="text1"/>
          <w:sz w:val="24"/>
          <w:szCs w:val="24"/>
        </w:rPr>
        <w:t>0.1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0.5L/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s·km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），钻孔涌水量多小于</w:t>
      </w:r>
      <w:r w:rsidRPr="00092862">
        <w:rPr>
          <w:rFonts w:ascii="Times New Roman" w:eastAsia="宋体" w:hAnsi="Times New Roman" w:cs="Times New Roman"/>
          <w:color w:val="000000" w:themeColor="text1"/>
          <w:sz w:val="24"/>
          <w:szCs w:val="24"/>
        </w:rPr>
        <w:t>50m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。因此，虽然通常可供分散的独家小户居民用水之需，但遇干旱季节，则常有枯竭之忧。</w:t>
      </w:r>
    </w:p>
    <w:p w14:paraId="4BD8CD83" w14:textId="7777777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水质一般为重碳酸钙型或重碳酸钙镁型水，矿化度</w:t>
      </w:r>
      <w:r w:rsidRPr="00092862">
        <w:rPr>
          <w:rFonts w:ascii="Times New Roman" w:eastAsia="宋体" w:hAnsi="Times New Roman" w:cs="Times New Roman"/>
          <w:color w:val="000000" w:themeColor="text1"/>
          <w:sz w:val="24"/>
          <w:szCs w:val="24"/>
        </w:rPr>
        <w:t>0.1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0.3g/L</w:t>
      </w:r>
      <w:r w:rsidRPr="00092862">
        <w:rPr>
          <w:rFonts w:ascii="Times New Roman" w:eastAsia="宋体" w:hAnsi="Times New Roman" w:cs="Times New Roman"/>
          <w:color w:val="000000" w:themeColor="text1"/>
          <w:sz w:val="24"/>
          <w:szCs w:val="24"/>
        </w:rPr>
        <w:t>，总硬度在</w:t>
      </w:r>
      <w:r w:rsidRPr="00092862">
        <w:rPr>
          <w:rFonts w:ascii="Times New Roman" w:eastAsia="宋体" w:hAnsi="Times New Roman" w:cs="Times New Roman"/>
          <w:color w:val="000000" w:themeColor="text1"/>
          <w:sz w:val="24"/>
          <w:szCs w:val="24"/>
        </w:rPr>
        <w:t xml:space="preserve">8 </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13</w:t>
      </w:r>
      <w:r w:rsidRPr="00092862">
        <w:rPr>
          <w:rFonts w:ascii="Times New Roman" w:eastAsia="宋体" w:hAnsi="Times New Roman" w:cs="Times New Roman"/>
          <w:color w:val="000000" w:themeColor="text1"/>
          <w:sz w:val="24"/>
          <w:szCs w:val="24"/>
        </w:rPr>
        <w:t>德度，</w:t>
      </w:r>
      <w:r w:rsidRPr="00092862">
        <w:rPr>
          <w:rFonts w:ascii="Times New Roman" w:eastAsia="宋体" w:hAnsi="Times New Roman" w:cs="Times New Roman"/>
          <w:color w:val="000000" w:themeColor="text1"/>
          <w:sz w:val="24"/>
          <w:szCs w:val="24"/>
        </w:rPr>
        <w:t>pH</w:t>
      </w:r>
      <w:r w:rsidRPr="00092862">
        <w:rPr>
          <w:rFonts w:ascii="Times New Roman" w:eastAsia="宋体" w:hAnsi="Times New Roman" w:cs="Times New Roman"/>
          <w:color w:val="000000" w:themeColor="text1"/>
          <w:sz w:val="24"/>
          <w:szCs w:val="24"/>
        </w:rPr>
        <w:t>值</w:t>
      </w:r>
      <w:r w:rsidRPr="00092862">
        <w:rPr>
          <w:rFonts w:ascii="Times New Roman" w:eastAsia="宋体" w:hAnsi="Times New Roman" w:cs="Times New Roman"/>
          <w:color w:val="000000" w:themeColor="text1"/>
          <w:sz w:val="24"/>
          <w:szCs w:val="24"/>
        </w:rPr>
        <w:t>6.5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7.5</w:t>
      </w:r>
      <w:r w:rsidRPr="00092862">
        <w:rPr>
          <w:rFonts w:ascii="Times New Roman" w:eastAsia="宋体" w:hAnsi="Times New Roman" w:cs="Times New Roman"/>
          <w:color w:val="000000" w:themeColor="text1"/>
          <w:sz w:val="24"/>
          <w:szCs w:val="24"/>
        </w:rPr>
        <w:t>。</w:t>
      </w:r>
    </w:p>
    <w:p w14:paraId="2AC68EF7" w14:textId="27A327A3"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14:paraId="4D1F980C" w14:textId="77777777" w:rsidR="009377B0" w:rsidRPr="00092862" w:rsidRDefault="009377B0"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lastRenderedPageBreak/>
        <w:t>②</w:t>
      </w:r>
      <w:r w:rsidRPr="00092862">
        <w:rPr>
          <w:rFonts w:ascii="Times New Roman" w:eastAsia="宋体" w:hAnsi="Times New Roman" w:cs="Times New Roman"/>
          <w:color w:val="000000" w:themeColor="text1"/>
          <w:sz w:val="24"/>
          <w:szCs w:val="24"/>
        </w:rPr>
        <w:t>地下水赋存特征及补径排关系</w:t>
      </w:r>
    </w:p>
    <w:p w14:paraId="7986FC15" w14:textId="5DBE887A" w:rsidR="00D555EC" w:rsidRPr="00092862" w:rsidRDefault="00F64CF6"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基岩裂隙水与碎屑岩类裂隙水</w:t>
      </w:r>
      <w:r w:rsidR="009377B0" w:rsidRPr="00092862">
        <w:rPr>
          <w:rFonts w:ascii="Times New Roman" w:eastAsia="宋体" w:hAnsi="Times New Roman" w:cs="Times New Roman"/>
          <w:color w:val="000000" w:themeColor="text1"/>
          <w:sz w:val="24"/>
          <w:szCs w:val="24"/>
        </w:rPr>
        <w:t>广泛分布全区，地表出露</w:t>
      </w:r>
      <w:r w:rsidRPr="00092862">
        <w:rPr>
          <w:rFonts w:ascii="Times New Roman" w:eastAsia="宋体" w:hAnsi="Times New Roman" w:cs="Times New Roman"/>
          <w:color w:val="000000" w:themeColor="text1"/>
          <w:sz w:val="24"/>
          <w:szCs w:val="24"/>
        </w:rPr>
        <w:t>较常见</w:t>
      </w:r>
      <w:r w:rsidR="009377B0" w:rsidRPr="00092862">
        <w:rPr>
          <w:rFonts w:ascii="Times New Roman" w:eastAsia="宋体" w:hAnsi="Times New Roman" w:cs="Times New Roman"/>
          <w:color w:val="000000" w:themeColor="text1"/>
          <w:sz w:val="24"/>
          <w:szCs w:val="24"/>
        </w:rPr>
        <w:t>，井、泉</w:t>
      </w:r>
      <w:r w:rsidRPr="00092862">
        <w:rPr>
          <w:rFonts w:ascii="Times New Roman" w:eastAsia="宋体" w:hAnsi="Times New Roman" w:cs="Times New Roman"/>
          <w:color w:val="000000" w:themeColor="text1"/>
          <w:sz w:val="24"/>
          <w:szCs w:val="24"/>
        </w:rPr>
        <w:t>可见</w:t>
      </w:r>
      <w:r w:rsidR="009377B0" w:rsidRPr="00092862">
        <w:rPr>
          <w:rFonts w:ascii="Times New Roman" w:eastAsia="宋体" w:hAnsi="Times New Roman" w:cs="Times New Roman"/>
          <w:color w:val="000000" w:themeColor="text1"/>
          <w:sz w:val="24"/>
          <w:szCs w:val="24"/>
        </w:rPr>
        <w:t>，为当地居民之饮用水源</w:t>
      </w:r>
      <w:r w:rsidRPr="00092862">
        <w:rPr>
          <w:rFonts w:ascii="Times New Roman" w:eastAsia="宋体" w:hAnsi="Times New Roman" w:cs="Times New Roman"/>
          <w:color w:val="000000" w:themeColor="text1"/>
          <w:sz w:val="24"/>
          <w:szCs w:val="24"/>
        </w:rPr>
        <w:t>（</w:t>
      </w:r>
      <w:r w:rsidR="0042456F" w:rsidRPr="00092862">
        <w:rPr>
          <w:rFonts w:ascii="Times New Roman" w:eastAsia="宋体" w:hAnsi="Times New Roman" w:cs="Times New Roman"/>
          <w:color w:val="000000" w:themeColor="text1"/>
          <w:sz w:val="24"/>
          <w:szCs w:val="24"/>
        </w:rPr>
        <w:t>本项目地下水评价范围内居民饮用水为地表水型自来水，取水点位于项目所在区域地表水流向上游，本项目建设不会对其造成影响</w:t>
      </w:r>
      <w:r w:rsidRPr="00092862">
        <w:rPr>
          <w:rFonts w:ascii="Times New Roman" w:eastAsia="宋体" w:hAnsi="Times New Roman" w:cs="Times New Roman"/>
          <w:color w:val="000000" w:themeColor="text1"/>
          <w:sz w:val="24"/>
          <w:szCs w:val="24"/>
        </w:rPr>
        <w:t>）</w:t>
      </w:r>
      <w:r w:rsidR="009377B0" w:rsidRPr="00092862">
        <w:rPr>
          <w:rFonts w:ascii="Times New Roman" w:eastAsia="宋体" w:hAnsi="Times New Roman" w:cs="Times New Roman"/>
          <w:color w:val="000000" w:themeColor="text1"/>
          <w:sz w:val="24"/>
          <w:szCs w:val="24"/>
        </w:rPr>
        <w:t>，一般埋深较浅（</w:t>
      </w:r>
      <w:r w:rsidR="009377B0" w:rsidRPr="00092862">
        <w:rPr>
          <w:rFonts w:ascii="Times New Roman" w:eastAsia="宋体" w:hAnsi="Times New Roman" w:cs="Times New Roman"/>
          <w:color w:val="000000" w:themeColor="text1"/>
          <w:sz w:val="24"/>
          <w:szCs w:val="24"/>
        </w:rPr>
        <w:t>10</w:t>
      </w:r>
      <w:r w:rsidR="009377B0" w:rsidRPr="00092862">
        <w:rPr>
          <w:rFonts w:ascii="Times New Roman" w:eastAsia="宋体" w:hAnsi="Times New Roman" w:cs="Times New Roman"/>
          <w:color w:val="000000" w:themeColor="text1"/>
          <w:sz w:val="24"/>
          <w:szCs w:val="24"/>
        </w:rPr>
        <w:t>～</w:t>
      </w:r>
      <w:r w:rsidR="009377B0" w:rsidRPr="00092862">
        <w:rPr>
          <w:rFonts w:ascii="Times New Roman" w:eastAsia="宋体" w:hAnsi="Times New Roman" w:cs="Times New Roman"/>
          <w:color w:val="000000" w:themeColor="text1"/>
          <w:sz w:val="24"/>
          <w:szCs w:val="24"/>
        </w:rPr>
        <w:t>200m</w:t>
      </w:r>
      <w:r w:rsidR="009377B0" w:rsidRPr="00092862">
        <w:rPr>
          <w:rFonts w:ascii="Times New Roman" w:eastAsia="宋体" w:hAnsi="Times New Roman" w:cs="Times New Roman"/>
          <w:color w:val="000000" w:themeColor="text1"/>
          <w:sz w:val="24"/>
          <w:szCs w:val="24"/>
        </w:rPr>
        <w:t>），几乎都产出在风化带影响范围之内。含</w:t>
      </w:r>
      <w:r w:rsidR="00D555EC" w:rsidRPr="00092862">
        <w:rPr>
          <w:rFonts w:ascii="Times New Roman" w:eastAsia="宋体" w:hAnsi="Times New Roman" w:cs="Times New Roman"/>
          <w:color w:val="000000" w:themeColor="text1"/>
          <w:sz w:val="24"/>
          <w:szCs w:val="24"/>
        </w:rPr>
        <w:t>水层的埋藏特点以及补给、径流、排泄条件，决定区内地下水的水质、水量。地下水主要赋存特征如下：</w:t>
      </w:r>
    </w:p>
    <w:p w14:paraId="57179A44" w14:textId="77777777" w:rsidR="00D555EC"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A</w:t>
      </w:r>
      <w:r w:rsidRPr="00092862">
        <w:rPr>
          <w:rFonts w:ascii="Times New Roman" w:eastAsia="宋体" w:hAnsi="Times New Roman" w:cs="Times New Roman"/>
          <w:color w:val="000000" w:themeColor="text1"/>
          <w:sz w:val="24"/>
          <w:szCs w:val="24"/>
        </w:rPr>
        <w:t>、风化带网状裂隙水分布十分广泛</w:t>
      </w:r>
    </w:p>
    <w:p w14:paraId="4E56F11C" w14:textId="77777777" w:rsidR="00D555EC"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14:paraId="502718D6" w14:textId="77777777" w:rsidR="00D555EC"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B</w:t>
      </w:r>
      <w:r w:rsidRPr="00092862">
        <w:rPr>
          <w:rFonts w:ascii="Times New Roman" w:eastAsia="宋体" w:hAnsi="Times New Roman" w:cs="Times New Roman"/>
          <w:color w:val="000000" w:themeColor="text1"/>
          <w:sz w:val="24"/>
          <w:szCs w:val="24"/>
        </w:rPr>
        <w:t>、各地段富水性一般较差，水量极不均匀</w:t>
      </w:r>
    </w:p>
    <w:p w14:paraId="35605AD7" w14:textId="47DB8C25" w:rsidR="00D555EC"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据</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20</w:t>
      </w:r>
      <w:r w:rsidRPr="00092862">
        <w:rPr>
          <w:rFonts w:ascii="Times New Roman" w:eastAsia="宋体" w:hAnsi="Times New Roman" w:cs="Times New Roman"/>
          <w:color w:val="000000" w:themeColor="text1"/>
          <w:sz w:val="24"/>
          <w:szCs w:val="24"/>
        </w:rPr>
        <w:t>万区域水文地质普查报告统计，在广大红层丘陵区，</w:t>
      </w:r>
      <w:r w:rsidRPr="00092862">
        <w:rPr>
          <w:rFonts w:ascii="Times New Roman" w:eastAsia="宋体" w:hAnsi="Times New Roman" w:cs="Times New Roman"/>
          <w:color w:val="000000" w:themeColor="text1"/>
          <w:sz w:val="24"/>
          <w:szCs w:val="24"/>
        </w:rPr>
        <w:t>60%</w:t>
      </w:r>
      <w:r w:rsidRPr="00092862">
        <w:rPr>
          <w:rFonts w:ascii="Times New Roman" w:eastAsia="宋体" w:hAnsi="Times New Roman" w:cs="Times New Roman"/>
          <w:color w:val="000000" w:themeColor="text1"/>
          <w:sz w:val="24"/>
          <w:szCs w:val="24"/>
        </w:rPr>
        <w:t>以上的泉水流量在</w:t>
      </w:r>
      <w:r w:rsidRPr="00092862">
        <w:rPr>
          <w:rFonts w:ascii="Times New Roman" w:eastAsia="宋体" w:hAnsi="Times New Roman" w:cs="Times New Roman"/>
          <w:color w:val="000000" w:themeColor="text1"/>
          <w:sz w:val="24"/>
          <w:szCs w:val="24"/>
        </w:rPr>
        <w:t>0.05L/s</w:t>
      </w:r>
      <w:r w:rsidRPr="00092862">
        <w:rPr>
          <w:rFonts w:ascii="Times New Roman" w:eastAsia="宋体" w:hAnsi="Times New Roman" w:cs="Times New Roman"/>
          <w:color w:val="000000" w:themeColor="text1"/>
          <w:sz w:val="24"/>
          <w:szCs w:val="24"/>
        </w:rPr>
        <w:t>以下，超过</w:t>
      </w:r>
      <w:r w:rsidRPr="00092862">
        <w:rPr>
          <w:rFonts w:ascii="Times New Roman" w:eastAsia="宋体" w:hAnsi="Times New Roman" w:cs="Times New Roman"/>
          <w:color w:val="000000" w:themeColor="text1"/>
          <w:sz w:val="24"/>
          <w:szCs w:val="24"/>
        </w:rPr>
        <w:t>0.1L/s</w:t>
      </w:r>
      <w:r w:rsidRPr="00092862">
        <w:rPr>
          <w:rFonts w:ascii="Times New Roman" w:eastAsia="宋体" w:hAnsi="Times New Roman" w:cs="Times New Roman"/>
          <w:color w:val="000000" w:themeColor="text1"/>
          <w:sz w:val="24"/>
          <w:szCs w:val="24"/>
        </w:rPr>
        <w:t>的大泉仅占</w:t>
      </w:r>
      <w:r w:rsidRPr="00092862">
        <w:rPr>
          <w:rFonts w:ascii="Times New Roman" w:eastAsia="宋体" w:hAnsi="Times New Roman" w:cs="Times New Roman"/>
          <w:color w:val="000000" w:themeColor="text1"/>
          <w:sz w:val="24"/>
          <w:szCs w:val="24"/>
        </w:rPr>
        <w:t>16%</w:t>
      </w:r>
      <w:r w:rsidRPr="00092862">
        <w:rPr>
          <w:rFonts w:ascii="Times New Roman" w:eastAsia="宋体" w:hAnsi="Times New Roman" w:cs="Times New Roman"/>
          <w:color w:val="000000" w:themeColor="text1"/>
          <w:sz w:val="24"/>
          <w:szCs w:val="24"/>
        </w:rPr>
        <w:t>，其中最大的只达</w:t>
      </w:r>
      <w:r w:rsidRPr="00092862">
        <w:rPr>
          <w:rFonts w:ascii="Times New Roman" w:eastAsia="宋体" w:hAnsi="Times New Roman" w:cs="Times New Roman"/>
          <w:color w:val="000000" w:themeColor="text1"/>
          <w:sz w:val="24"/>
          <w:szCs w:val="24"/>
        </w:rPr>
        <w:t>0.15L/s</w:t>
      </w:r>
      <w:r w:rsidRPr="00092862">
        <w:rPr>
          <w:rFonts w:ascii="Times New Roman" w:eastAsia="宋体" w:hAnsi="Times New Roman" w:cs="Times New Roman"/>
          <w:color w:val="000000" w:themeColor="text1"/>
          <w:sz w:val="24"/>
          <w:szCs w:val="24"/>
        </w:rPr>
        <w:t>左右。</w:t>
      </w:r>
      <w:r w:rsidRPr="00092862">
        <w:rPr>
          <w:rFonts w:ascii="Times New Roman" w:eastAsia="宋体" w:hAnsi="Times New Roman" w:cs="Times New Roman"/>
          <w:color w:val="000000" w:themeColor="text1"/>
          <w:sz w:val="24"/>
          <w:szCs w:val="24"/>
        </w:rPr>
        <w:t>80%</w:t>
      </w:r>
      <w:r w:rsidRPr="00092862">
        <w:rPr>
          <w:rFonts w:ascii="Times New Roman" w:eastAsia="宋体" w:hAnsi="Times New Roman" w:cs="Times New Roman"/>
          <w:color w:val="000000" w:themeColor="text1"/>
          <w:sz w:val="24"/>
          <w:szCs w:val="24"/>
        </w:rPr>
        <w:t>以上的地区单孔涌水量在</w:t>
      </w:r>
      <w:r w:rsidRPr="00092862">
        <w:rPr>
          <w:rFonts w:ascii="Times New Roman" w:eastAsia="宋体" w:hAnsi="Times New Roman" w:cs="Times New Roman"/>
          <w:color w:val="000000" w:themeColor="text1"/>
          <w:sz w:val="24"/>
          <w:szCs w:val="24"/>
        </w:rPr>
        <w:t>100t/d</w:t>
      </w:r>
      <w:r w:rsidRPr="00092862">
        <w:rPr>
          <w:rFonts w:ascii="Times New Roman" w:eastAsia="宋体" w:hAnsi="Times New Roman" w:cs="Times New Roman"/>
          <w:color w:val="000000" w:themeColor="text1"/>
          <w:sz w:val="24"/>
          <w:szCs w:val="24"/>
        </w:rPr>
        <w:t>以下，其中单孔涌水量小于</w:t>
      </w:r>
      <w:r w:rsidRPr="00092862">
        <w:rPr>
          <w:rFonts w:ascii="Times New Roman" w:eastAsia="宋体" w:hAnsi="Times New Roman" w:cs="Times New Roman"/>
          <w:color w:val="000000" w:themeColor="text1"/>
          <w:sz w:val="24"/>
          <w:szCs w:val="24"/>
        </w:rPr>
        <w:t>30t/d</w:t>
      </w:r>
      <w:r w:rsidRPr="00092862">
        <w:rPr>
          <w:rFonts w:ascii="Times New Roman" w:eastAsia="宋体" w:hAnsi="Times New Roman" w:cs="Times New Roman"/>
          <w:color w:val="000000" w:themeColor="text1"/>
          <w:sz w:val="24"/>
          <w:szCs w:val="24"/>
        </w:rPr>
        <w:t>的地区</w:t>
      </w:r>
      <w:r w:rsidRPr="00092862">
        <w:rPr>
          <w:rFonts w:ascii="Times New Roman" w:eastAsia="宋体" w:hAnsi="Times New Roman" w:cs="Times New Roman"/>
          <w:color w:val="000000" w:themeColor="text1"/>
          <w:sz w:val="24"/>
          <w:szCs w:val="24"/>
        </w:rPr>
        <w:t>30%</w:t>
      </w:r>
      <w:r w:rsidRPr="00092862">
        <w:rPr>
          <w:rFonts w:ascii="Times New Roman" w:eastAsia="宋体" w:hAnsi="Times New Roman" w:cs="Times New Roman"/>
          <w:color w:val="000000" w:themeColor="text1"/>
          <w:sz w:val="24"/>
          <w:szCs w:val="24"/>
        </w:rPr>
        <w:t>左右。这种不均匀性在区域上的表现通常是贫中有富，即在广大贫水地区存在着一些相对富水地段。而这些富水地段的泉水流量一般为</w:t>
      </w:r>
      <w:r w:rsidRPr="00092862">
        <w:rPr>
          <w:rFonts w:ascii="Times New Roman" w:eastAsia="宋体" w:hAnsi="Times New Roman" w:cs="Times New Roman"/>
          <w:color w:val="000000" w:themeColor="text1"/>
          <w:sz w:val="24"/>
          <w:szCs w:val="24"/>
        </w:rPr>
        <w:t>0.105</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0.15L/s</w:t>
      </w:r>
      <w:r w:rsidRPr="00092862">
        <w:rPr>
          <w:rFonts w:ascii="Times New Roman" w:eastAsia="宋体" w:hAnsi="Times New Roman" w:cs="Times New Roman"/>
          <w:color w:val="000000" w:themeColor="text1"/>
          <w:sz w:val="24"/>
          <w:szCs w:val="24"/>
        </w:rPr>
        <w:t>，钻孔涌水量</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1000t/d</w:t>
      </w:r>
      <w:r w:rsidRPr="00092862">
        <w:rPr>
          <w:rFonts w:ascii="Times New Roman" w:eastAsia="宋体" w:hAnsi="Times New Roman" w:cs="Times New Roman"/>
          <w:color w:val="000000" w:themeColor="text1"/>
          <w:sz w:val="24"/>
          <w:szCs w:val="24"/>
        </w:rPr>
        <w:t>，其面积一般只占基岩裂隙水地区的</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15%</w:t>
      </w:r>
      <w:r w:rsidRPr="00092862">
        <w:rPr>
          <w:rFonts w:ascii="Times New Roman" w:eastAsia="宋体" w:hAnsi="Times New Roman" w:cs="Times New Roman"/>
          <w:color w:val="000000" w:themeColor="text1"/>
          <w:sz w:val="24"/>
          <w:szCs w:val="24"/>
        </w:rPr>
        <w:t>。另外，这种不均匀性还表现在同一局部地区或同一含水层富水性的悬殊上，这大概正是基岩风化裂隙水的特点。由此可见，富水地段并非井井富水，贫水地段并非井井贫水，水量多少实际上与具体井位的选择有很大关系；即使在同一含水层中，由于岩性、裂隙发育程度的变化，其含水性在不同的井、孔中也可能相差十分悬殊。</w:t>
      </w:r>
    </w:p>
    <w:p w14:paraId="4057CFDE" w14:textId="77777777" w:rsidR="00D555EC"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C</w:t>
      </w:r>
      <w:r w:rsidRPr="00092862">
        <w:rPr>
          <w:rFonts w:ascii="Times New Roman" w:eastAsia="宋体" w:hAnsi="Times New Roman" w:cs="Times New Roman"/>
          <w:color w:val="000000" w:themeColor="text1"/>
          <w:sz w:val="24"/>
          <w:szCs w:val="24"/>
        </w:rPr>
        <w:t>地下水位高，埋深浅，淡水带厚度通常较薄</w:t>
      </w:r>
    </w:p>
    <w:p w14:paraId="7F06D806" w14:textId="77777777" w:rsidR="00D555EC"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本区基岩裂隙水一般为潜水，其埋深</w:t>
      </w:r>
      <w:r w:rsidRPr="00092862">
        <w:rPr>
          <w:rFonts w:ascii="Times New Roman" w:eastAsia="宋体" w:hAnsi="Times New Roman" w:cs="Times New Roman"/>
          <w:color w:val="000000" w:themeColor="text1"/>
          <w:sz w:val="24"/>
          <w:szCs w:val="24"/>
        </w:rPr>
        <w:t>80%</w:t>
      </w:r>
      <w:r w:rsidRPr="00092862">
        <w:rPr>
          <w:rFonts w:ascii="Times New Roman" w:eastAsia="宋体" w:hAnsi="Times New Roman" w:cs="Times New Roman"/>
          <w:color w:val="000000" w:themeColor="text1"/>
          <w:sz w:val="24"/>
          <w:szCs w:val="24"/>
        </w:rPr>
        <w:t>以上的在</w:t>
      </w:r>
      <w:r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5m</w:t>
      </w:r>
      <w:r w:rsidRPr="00092862">
        <w:rPr>
          <w:rFonts w:ascii="Times New Roman" w:eastAsia="宋体" w:hAnsi="Times New Roman" w:cs="Times New Roman"/>
          <w:color w:val="000000" w:themeColor="text1"/>
          <w:sz w:val="24"/>
          <w:szCs w:val="24"/>
        </w:rPr>
        <w:t>之间，尤以</w:t>
      </w:r>
      <w:r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3m</w:t>
      </w:r>
      <w:r w:rsidRPr="00092862">
        <w:rPr>
          <w:rFonts w:ascii="Times New Roman" w:eastAsia="宋体" w:hAnsi="Times New Roman" w:cs="Times New Roman"/>
          <w:color w:val="000000" w:themeColor="text1"/>
          <w:sz w:val="24"/>
          <w:szCs w:val="24"/>
        </w:rPr>
        <w:t>为多。但在上沙溪庙组分布的丘陵区，也有水位较深者。另外，在裂隙潜水广泛分布的背景下，亦有时可见局部承压水出现。究其原因主要是与覆盖层性质有关，即在以遂宁组泥岩为含水层的宽谷丘陵区，不仅覆盖层以第四系粘性</w:t>
      </w:r>
      <w:r w:rsidRPr="00092862">
        <w:rPr>
          <w:rFonts w:ascii="Times New Roman" w:eastAsia="宋体" w:hAnsi="Times New Roman" w:cs="Times New Roman"/>
          <w:color w:val="000000" w:themeColor="text1"/>
          <w:sz w:val="24"/>
          <w:szCs w:val="24"/>
        </w:rPr>
        <w:lastRenderedPageBreak/>
        <w:t>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14:paraId="1BA28F30" w14:textId="779DE007" w:rsidR="009377B0"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、地下水补给、径流、排泄条件良好，动态不稳定</w:t>
      </w:r>
    </w:p>
    <w:p w14:paraId="4C8DFCA5" w14:textId="621F7E56" w:rsidR="009377B0" w:rsidRPr="00092862" w:rsidRDefault="00D555EC" w:rsidP="009377B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浅层地下水是可供饮用和灌溉的优良淡矿化水，其淡水带深度一般不大，风化裂隙带发育深度一般在</w:t>
      </w:r>
      <w:r w:rsidRPr="00092862">
        <w:rPr>
          <w:rFonts w:ascii="Times New Roman" w:eastAsia="宋体" w:hAnsi="Times New Roman" w:cs="Times New Roman"/>
          <w:color w:val="000000" w:themeColor="text1"/>
          <w:sz w:val="24"/>
          <w:szCs w:val="24"/>
        </w:rPr>
        <w:t>20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30m</w:t>
      </w:r>
      <w:r w:rsidRPr="00092862">
        <w:rPr>
          <w:rFonts w:ascii="Times New Roman" w:eastAsia="宋体" w:hAnsi="Times New Roman" w:cs="Times New Roman"/>
          <w:color w:val="000000" w:themeColor="text1"/>
          <w:sz w:val="24"/>
          <w:szCs w:val="24"/>
        </w:rPr>
        <w:t>，地下水位埋深在沟谷地带一般为</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5m</w:t>
      </w:r>
      <w:r w:rsidRPr="00092862">
        <w:rPr>
          <w:rFonts w:ascii="Times New Roman" w:eastAsia="宋体" w:hAnsi="Times New Roman" w:cs="Times New Roman"/>
          <w:color w:val="000000" w:themeColor="text1"/>
          <w:sz w:val="24"/>
          <w:szCs w:val="24"/>
        </w:rPr>
        <w:t>，丘坡下部一般</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9m</w:t>
      </w:r>
      <w:r w:rsidRPr="00092862">
        <w:rPr>
          <w:rFonts w:ascii="Times New Roman" w:eastAsia="宋体" w:hAnsi="Times New Roman" w:cs="Times New Roman"/>
          <w:color w:val="000000" w:themeColor="text1"/>
          <w:sz w:val="24"/>
          <w:szCs w:val="24"/>
        </w:rPr>
        <w:t>，井深</w:t>
      </w:r>
      <w:r w:rsidRPr="00092862">
        <w:rPr>
          <w:rFonts w:ascii="Times New Roman" w:eastAsia="宋体" w:hAnsi="Times New Roman" w:cs="Times New Roman"/>
          <w:color w:val="000000" w:themeColor="text1"/>
          <w:sz w:val="24"/>
          <w:szCs w:val="24"/>
        </w:rPr>
        <w:t>20m</w:t>
      </w:r>
      <w:r w:rsidRPr="00092862">
        <w:rPr>
          <w:rFonts w:ascii="Times New Roman" w:eastAsia="宋体" w:hAnsi="Times New Roman" w:cs="Times New Roman"/>
          <w:color w:val="000000" w:themeColor="text1"/>
          <w:sz w:val="24"/>
          <w:szCs w:val="24"/>
        </w:rPr>
        <w:t>左右一般可揭露主要潜水含水层。因向下部多迅速转为微咸水、咸水，以至盐卤水所接替。淡水带深度，即咸、淡水界面埋藏深度，因受地下水径流条件控制，表现出周边深，盆内浅的规律。盆地腹心，以沙溪庙组（</w:t>
      </w:r>
      <w:r w:rsidRPr="00092862">
        <w:rPr>
          <w:rFonts w:ascii="Times New Roman" w:eastAsia="宋体" w:hAnsi="Times New Roman" w:cs="Times New Roman"/>
          <w:color w:val="000000" w:themeColor="text1"/>
          <w:sz w:val="24"/>
          <w:szCs w:val="24"/>
        </w:rPr>
        <w:t>J</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s</w:t>
      </w:r>
      <w:r w:rsidRPr="00092862">
        <w:rPr>
          <w:rFonts w:ascii="Times New Roman" w:eastAsia="宋体" w:hAnsi="Times New Roman" w:cs="Times New Roman"/>
          <w:color w:val="000000" w:themeColor="text1"/>
          <w:sz w:val="24"/>
          <w:szCs w:val="24"/>
        </w:rPr>
        <w:t>）、遂宁组（</w:t>
      </w:r>
      <w:r w:rsidRPr="00092862">
        <w:rPr>
          <w:rFonts w:ascii="Times New Roman" w:eastAsia="宋体" w:hAnsi="Times New Roman" w:cs="Times New Roman"/>
          <w:color w:val="000000" w:themeColor="text1"/>
          <w:sz w:val="24"/>
          <w:szCs w:val="24"/>
        </w:rPr>
        <w:t>J</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sn</w:t>
      </w:r>
      <w:r w:rsidRPr="00092862">
        <w:rPr>
          <w:rFonts w:ascii="Times New Roman" w:eastAsia="宋体" w:hAnsi="Times New Roman" w:cs="Times New Roman"/>
          <w:color w:val="000000" w:themeColor="text1"/>
          <w:sz w:val="24"/>
          <w:szCs w:val="24"/>
        </w:rPr>
        <w:t>）为主，组成的浅丘区，地下水交替条件差，咸淡水界面埋深一般</w:t>
      </w:r>
      <w:r w:rsidRPr="00092862">
        <w:rPr>
          <w:rFonts w:ascii="Times New Roman" w:eastAsia="宋体" w:hAnsi="Times New Roman" w:cs="Times New Roman"/>
          <w:color w:val="000000" w:themeColor="text1"/>
          <w:sz w:val="24"/>
          <w:szCs w:val="24"/>
        </w:rPr>
        <w:t>50m</w:t>
      </w:r>
      <w:r w:rsidRPr="00092862">
        <w:rPr>
          <w:rFonts w:ascii="Times New Roman" w:eastAsia="宋体" w:hAnsi="Times New Roman" w:cs="Times New Roman"/>
          <w:color w:val="000000" w:themeColor="text1"/>
          <w:sz w:val="24"/>
          <w:szCs w:val="24"/>
        </w:rPr>
        <w:t>左右，甚或小于</w:t>
      </w:r>
      <w:r w:rsidRPr="00092862">
        <w:rPr>
          <w:rFonts w:ascii="Times New Roman" w:eastAsia="宋体" w:hAnsi="Times New Roman" w:cs="Times New Roman"/>
          <w:color w:val="000000" w:themeColor="text1"/>
          <w:sz w:val="24"/>
          <w:szCs w:val="24"/>
        </w:rPr>
        <w:t>50m</w:t>
      </w:r>
      <w:r w:rsidRPr="00092862">
        <w:rPr>
          <w:rFonts w:ascii="Times New Roman" w:eastAsia="宋体" w:hAnsi="Times New Roman" w:cs="Times New Roman"/>
          <w:color w:val="000000" w:themeColor="text1"/>
          <w:sz w:val="24"/>
          <w:szCs w:val="24"/>
        </w:rPr>
        <w:t>。向外围低山丘陵区，随着径流条件变化，渐增至</w:t>
      </w:r>
      <w:r w:rsidRPr="00092862">
        <w:rPr>
          <w:rFonts w:ascii="Times New Roman" w:eastAsia="宋体" w:hAnsi="Times New Roman" w:cs="Times New Roman"/>
          <w:color w:val="000000" w:themeColor="text1"/>
          <w:sz w:val="24"/>
          <w:szCs w:val="24"/>
        </w:rPr>
        <w:t>50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100m</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200m</w:t>
      </w:r>
      <w:r w:rsidRPr="00092862">
        <w:rPr>
          <w:rFonts w:ascii="Times New Roman" w:eastAsia="宋体" w:hAnsi="Times New Roman" w:cs="Times New Roman"/>
          <w:color w:val="000000" w:themeColor="text1"/>
          <w:sz w:val="24"/>
          <w:szCs w:val="24"/>
        </w:rPr>
        <w:t>。接近盆缘地区，深度大于</w:t>
      </w:r>
      <w:r w:rsidRPr="00092862">
        <w:rPr>
          <w:rFonts w:ascii="Times New Roman" w:eastAsia="宋体" w:hAnsi="Times New Roman" w:cs="Times New Roman"/>
          <w:color w:val="000000" w:themeColor="text1"/>
          <w:sz w:val="24"/>
          <w:szCs w:val="24"/>
        </w:rPr>
        <w:t>200m</w:t>
      </w:r>
      <w:r w:rsidRPr="00092862">
        <w:rPr>
          <w:rFonts w:ascii="Times New Roman" w:eastAsia="宋体" w:hAnsi="Times New Roman" w:cs="Times New Roman"/>
          <w:color w:val="000000" w:themeColor="text1"/>
          <w:sz w:val="24"/>
          <w:szCs w:val="24"/>
        </w:rPr>
        <w:t>。本项目区可利用地下水淡水深度在</w:t>
      </w:r>
      <w:r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200m</w:t>
      </w:r>
      <w:r w:rsidRPr="00092862">
        <w:rPr>
          <w:rFonts w:ascii="Times New Roman" w:eastAsia="宋体" w:hAnsi="Times New Roman" w:cs="Times New Roman"/>
          <w:color w:val="000000" w:themeColor="text1"/>
          <w:sz w:val="24"/>
          <w:szCs w:val="24"/>
        </w:rPr>
        <w:t>。</w:t>
      </w:r>
    </w:p>
    <w:p w14:paraId="6D3E90A4" w14:textId="42F80CC8" w:rsidR="006C03A1" w:rsidRPr="00092862" w:rsidRDefault="006C03A1" w:rsidP="00F64CF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区内含水层主要接受大气降雨补给</w:t>
      </w:r>
      <w:r w:rsidR="00F64CF6" w:rsidRPr="00092862">
        <w:rPr>
          <w:rFonts w:ascii="Times New Roman" w:eastAsia="宋体" w:hAnsi="Times New Roman" w:cs="Times New Roman"/>
          <w:color w:val="000000" w:themeColor="text1"/>
          <w:sz w:val="24"/>
          <w:szCs w:val="24"/>
        </w:rPr>
        <w:t>，该类地下水主要依靠大气降水补给。因评价区内地形坡降较大，地表径流条件好，大气降水多以面流方式排泄，少量沿地表岩土层裂隙下渗并径流补给地下水。项目区含水层接受补给后，主要由项目区</w:t>
      </w:r>
      <w:r w:rsidR="00C64087" w:rsidRPr="00092862">
        <w:rPr>
          <w:rFonts w:ascii="Times New Roman" w:eastAsia="宋体" w:hAnsi="Times New Roman" w:cs="Times New Roman"/>
          <w:color w:val="000000" w:themeColor="text1"/>
          <w:sz w:val="24"/>
          <w:szCs w:val="24"/>
        </w:rPr>
        <w:t>西南</w:t>
      </w:r>
      <w:r w:rsidR="00F64CF6" w:rsidRPr="00092862">
        <w:rPr>
          <w:rFonts w:ascii="Times New Roman" w:eastAsia="宋体" w:hAnsi="Times New Roman" w:cs="Times New Roman"/>
          <w:color w:val="000000" w:themeColor="text1"/>
          <w:sz w:val="24"/>
          <w:szCs w:val="24"/>
        </w:rPr>
        <w:t>向</w:t>
      </w:r>
      <w:r w:rsidR="00C64087" w:rsidRPr="00092862">
        <w:rPr>
          <w:rFonts w:ascii="Times New Roman" w:eastAsia="宋体" w:hAnsi="Times New Roman" w:cs="Times New Roman"/>
          <w:color w:val="000000" w:themeColor="text1"/>
          <w:sz w:val="24"/>
          <w:szCs w:val="24"/>
        </w:rPr>
        <w:t>东北</w:t>
      </w:r>
      <w:r w:rsidR="00F64CF6" w:rsidRPr="00092862">
        <w:rPr>
          <w:rFonts w:ascii="Times New Roman" w:eastAsia="宋体" w:hAnsi="Times New Roman" w:cs="Times New Roman"/>
          <w:color w:val="000000" w:themeColor="text1"/>
          <w:sz w:val="24"/>
          <w:szCs w:val="24"/>
        </w:rPr>
        <w:t>径流，于地势较低及构造有利位置以泉的形式出露，或呈泄流的方式排泄至评价区最低排泄基准面</w:t>
      </w:r>
      <w:r w:rsidR="0042456F" w:rsidRPr="00092862">
        <w:rPr>
          <w:rFonts w:ascii="Times New Roman" w:eastAsia="宋体" w:hAnsi="Times New Roman" w:cs="Times New Roman"/>
          <w:color w:val="000000" w:themeColor="text1"/>
          <w:sz w:val="24"/>
          <w:szCs w:val="24"/>
        </w:rPr>
        <w:t>千河沟与</w:t>
      </w:r>
      <w:r w:rsidR="00F64CF6" w:rsidRPr="00092862">
        <w:rPr>
          <w:rFonts w:ascii="Times New Roman" w:eastAsia="宋体" w:hAnsi="Times New Roman" w:cs="Times New Roman"/>
          <w:color w:val="000000" w:themeColor="text1"/>
          <w:sz w:val="24"/>
          <w:szCs w:val="24"/>
        </w:rPr>
        <w:t>后河。</w:t>
      </w:r>
      <w:r w:rsidRPr="00092862">
        <w:rPr>
          <w:rFonts w:ascii="Times New Roman" w:eastAsia="宋体" w:hAnsi="Times New Roman" w:cs="Times New Roman"/>
          <w:color w:val="000000" w:themeColor="text1"/>
          <w:sz w:val="24"/>
          <w:szCs w:val="24"/>
        </w:rPr>
        <w:t>经调查，当地地下水水质良好，无原生水文地质环境问题。</w:t>
      </w:r>
    </w:p>
    <w:p w14:paraId="50FA52EF" w14:textId="77777777" w:rsidR="00CB0025" w:rsidRPr="00092862" w:rsidRDefault="003C3813" w:rsidP="001C7C3D">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r w:rsidRPr="00092862">
        <w:rPr>
          <w:rFonts w:ascii="Times New Roman" w:eastAsia="黑体" w:hAnsi="Times New Roman"/>
          <w:bCs/>
          <w:color w:val="000000" w:themeColor="text1"/>
          <w:kern w:val="2"/>
          <w:lang w:eastAsia="zh-CN"/>
        </w:rPr>
        <w:t>2</w:t>
      </w:r>
      <w:r w:rsidRPr="00092862">
        <w:rPr>
          <w:rFonts w:ascii="Times New Roman" w:eastAsia="黑体" w:hAnsi="Times New Roman"/>
          <w:bCs/>
          <w:color w:val="000000" w:themeColor="text1"/>
          <w:kern w:val="2"/>
          <w:lang w:eastAsia="zh-CN"/>
        </w:rPr>
        <w:t>、</w:t>
      </w:r>
      <w:r w:rsidR="00CB0025" w:rsidRPr="00092862">
        <w:rPr>
          <w:rFonts w:ascii="Times New Roman" w:eastAsia="黑体" w:hAnsi="Times New Roman"/>
          <w:bCs/>
          <w:color w:val="000000" w:themeColor="text1"/>
          <w:kern w:val="2"/>
          <w:lang w:eastAsia="zh-CN"/>
        </w:rPr>
        <w:t>地下水开发利用现状</w:t>
      </w:r>
      <w:bookmarkEnd w:id="229"/>
    </w:p>
    <w:p w14:paraId="2E4C7125" w14:textId="2D080D2D" w:rsidR="00CB0025" w:rsidRPr="00092862" w:rsidRDefault="00D555EC" w:rsidP="00CB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经调查，评价区内无集中地下水水源地，</w:t>
      </w:r>
      <w:r w:rsidR="00C64087" w:rsidRPr="00092862">
        <w:rPr>
          <w:rFonts w:ascii="Times New Roman" w:hAnsi="Times New Roman"/>
          <w:bCs/>
          <w:color w:val="000000" w:themeColor="text1"/>
          <w:kern w:val="2"/>
          <w:lang w:eastAsia="zh-CN"/>
        </w:rPr>
        <w:t>根据外环境调查，井场附近居民家中部分使用自建水井作为饮用水源，其中约</w:t>
      </w:r>
      <w:r w:rsidR="00C64087" w:rsidRPr="00092862">
        <w:rPr>
          <w:rFonts w:ascii="Times New Roman" w:hAnsi="Times New Roman"/>
          <w:bCs/>
          <w:color w:val="000000" w:themeColor="text1"/>
          <w:kern w:val="2"/>
          <w:lang w:eastAsia="zh-CN"/>
        </w:rPr>
        <w:t>3~5</w:t>
      </w:r>
      <w:r w:rsidR="00C64087" w:rsidRPr="00092862">
        <w:rPr>
          <w:rFonts w:ascii="Times New Roman" w:hAnsi="Times New Roman"/>
          <w:bCs/>
          <w:color w:val="000000" w:themeColor="text1"/>
          <w:kern w:val="2"/>
          <w:lang w:eastAsia="zh-CN"/>
        </w:rPr>
        <w:t>户</w:t>
      </w:r>
      <w:r w:rsidR="00C64087" w:rsidRPr="00092862">
        <w:rPr>
          <w:rFonts w:ascii="Times New Roman" w:hAnsi="Times New Roman"/>
          <w:bCs/>
          <w:color w:val="000000" w:themeColor="text1"/>
          <w:kern w:val="2"/>
          <w:lang w:eastAsia="zh-CN"/>
        </w:rPr>
        <w:t>1</w:t>
      </w:r>
      <w:r w:rsidR="00C64087" w:rsidRPr="00092862">
        <w:rPr>
          <w:rFonts w:ascii="Times New Roman" w:hAnsi="Times New Roman"/>
          <w:bCs/>
          <w:color w:val="000000" w:themeColor="text1"/>
          <w:kern w:val="2"/>
          <w:lang w:eastAsia="zh-CN"/>
        </w:rPr>
        <w:t>口</w:t>
      </w:r>
      <w:r w:rsidRPr="00092862">
        <w:rPr>
          <w:rFonts w:ascii="Times New Roman" w:hAnsi="Times New Roman"/>
          <w:color w:val="000000" w:themeColor="text1"/>
          <w:lang w:eastAsia="zh-CN"/>
        </w:rPr>
        <w:t>。</w:t>
      </w:r>
    </w:p>
    <w:p w14:paraId="459D5582" w14:textId="77777777" w:rsidR="00CB0025" w:rsidRPr="00092862" w:rsidRDefault="003C3813" w:rsidP="00CB0025">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bookmarkStart w:id="230" w:name="_Toc498501600"/>
      <w:bookmarkStart w:id="231" w:name="_Toc14702820"/>
      <w:r w:rsidRPr="00092862">
        <w:rPr>
          <w:rFonts w:ascii="Times New Roman" w:eastAsia="黑体" w:hAnsi="Times New Roman"/>
          <w:bCs/>
          <w:color w:val="000000" w:themeColor="text1"/>
          <w:kern w:val="2"/>
          <w:lang w:eastAsia="zh-CN"/>
        </w:rPr>
        <w:t>3</w:t>
      </w:r>
      <w:r w:rsidRPr="00092862">
        <w:rPr>
          <w:rFonts w:ascii="Times New Roman" w:eastAsia="黑体" w:hAnsi="Times New Roman"/>
          <w:bCs/>
          <w:color w:val="000000" w:themeColor="text1"/>
          <w:kern w:val="2"/>
          <w:lang w:eastAsia="zh-CN"/>
        </w:rPr>
        <w:t>、</w:t>
      </w:r>
      <w:r w:rsidR="00CB0025" w:rsidRPr="00092862">
        <w:rPr>
          <w:rFonts w:ascii="Times New Roman" w:eastAsia="黑体" w:hAnsi="Times New Roman"/>
          <w:bCs/>
          <w:color w:val="000000" w:themeColor="text1"/>
          <w:kern w:val="2"/>
          <w:lang w:eastAsia="zh-CN"/>
        </w:rPr>
        <w:t>环境水文地质调查</w:t>
      </w:r>
      <w:bookmarkEnd w:id="230"/>
      <w:bookmarkEnd w:id="231"/>
    </w:p>
    <w:p w14:paraId="3FE6377D" w14:textId="77777777" w:rsidR="00CB0025" w:rsidRPr="00092862" w:rsidRDefault="00CB0025" w:rsidP="00CB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按照地下水环境影响评价导则，针对本项目特征，本次调查包括：</w:t>
      </w:r>
      <w:r w:rsidRPr="00092862">
        <w:rPr>
          <w:rFonts w:cs="宋体" w:hint="eastAsia"/>
          <w:bCs/>
          <w:color w:val="000000" w:themeColor="text1"/>
          <w:kern w:val="2"/>
          <w:lang w:eastAsia="zh-CN"/>
        </w:rPr>
        <w:t>①</w:t>
      </w:r>
      <w:r w:rsidRPr="00092862">
        <w:rPr>
          <w:rFonts w:ascii="Times New Roman" w:hAnsi="Times New Roman"/>
          <w:bCs/>
          <w:color w:val="000000" w:themeColor="text1"/>
          <w:kern w:val="2"/>
          <w:lang w:eastAsia="zh-CN"/>
        </w:rPr>
        <w:t>原生水文地质问题调查；</w:t>
      </w:r>
      <w:r w:rsidRPr="00092862">
        <w:rPr>
          <w:rFonts w:cs="宋体" w:hint="eastAsia"/>
          <w:bCs/>
          <w:color w:val="000000" w:themeColor="text1"/>
          <w:kern w:val="2"/>
          <w:lang w:eastAsia="zh-CN"/>
        </w:rPr>
        <w:t>②</w:t>
      </w:r>
      <w:r w:rsidRPr="00092862">
        <w:rPr>
          <w:rFonts w:ascii="Times New Roman" w:hAnsi="Times New Roman"/>
          <w:bCs/>
          <w:color w:val="000000" w:themeColor="text1"/>
          <w:kern w:val="2"/>
          <w:lang w:eastAsia="zh-CN"/>
        </w:rPr>
        <w:t>地下水污染源分布及类型调查。</w:t>
      </w:r>
    </w:p>
    <w:p w14:paraId="7DEB9963" w14:textId="77777777" w:rsidR="00CB0025" w:rsidRPr="00092862" w:rsidRDefault="003C3813" w:rsidP="00CB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bookmarkStart w:id="232" w:name="_Toc14702821"/>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w:t>
      </w:r>
      <w:r w:rsidR="00CB0025" w:rsidRPr="00092862">
        <w:rPr>
          <w:rFonts w:ascii="Times New Roman" w:hAnsi="Times New Roman"/>
          <w:b/>
          <w:color w:val="000000" w:themeColor="text1"/>
          <w:kern w:val="2"/>
          <w:lang w:eastAsia="zh-CN"/>
        </w:rPr>
        <w:t>原生水文地质问题调查</w:t>
      </w:r>
      <w:bookmarkEnd w:id="232"/>
    </w:p>
    <w:p w14:paraId="52686925" w14:textId="77777777" w:rsidR="00CB0025" w:rsidRPr="00092862" w:rsidRDefault="00CB0025" w:rsidP="00CB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根据评价区下水水质监测结果，本项目区地下水属于低矿化度淡水，水质情况尚可；根据相关资料及调查访问，评价区未出现地方病等与地下水相关的环境问题。</w:t>
      </w:r>
    </w:p>
    <w:p w14:paraId="0A9685CA" w14:textId="77777777" w:rsidR="00CB0025" w:rsidRPr="00092862" w:rsidRDefault="003C3813" w:rsidP="003C3813">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bookmarkStart w:id="233" w:name="_Toc14702822"/>
      <w:r w:rsidRPr="00092862">
        <w:rPr>
          <w:rFonts w:ascii="Times New Roman" w:hAnsi="Times New Roman"/>
          <w:b/>
          <w:color w:val="000000" w:themeColor="text1"/>
          <w:kern w:val="2"/>
          <w:lang w:eastAsia="zh-CN"/>
        </w:rPr>
        <w:lastRenderedPageBreak/>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w:t>
      </w:r>
      <w:r w:rsidR="00CB0025" w:rsidRPr="00092862">
        <w:rPr>
          <w:rFonts w:ascii="Times New Roman" w:hAnsi="Times New Roman"/>
          <w:b/>
          <w:color w:val="000000" w:themeColor="text1"/>
          <w:kern w:val="2"/>
          <w:lang w:eastAsia="zh-CN"/>
        </w:rPr>
        <w:t>地下水污染源调查</w:t>
      </w:r>
      <w:bookmarkEnd w:id="233"/>
    </w:p>
    <w:p w14:paraId="4B974596" w14:textId="5AF5D0F0" w:rsidR="00CB0025" w:rsidRPr="00092862" w:rsidRDefault="00CB0025" w:rsidP="00CB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根据现场调查，评价范围内主要地下水污染源为：分散居民农业生产及</w:t>
      </w:r>
      <w:r w:rsidR="00540655" w:rsidRPr="00092862">
        <w:rPr>
          <w:rFonts w:ascii="Times New Roman" w:hAnsi="Times New Roman"/>
          <w:bCs/>
          <w:color w:val="000000" w:themeColor="text1"/>
          <w:kern w:val="2"/>
          <w:lang w:eastAsia="zh-CN"/>
        </w:rPr>
        <w:t>生活污水</w:t>
      </w:r>
      <w:r w:rsidRPr="00092862">
        <w:rPr>
          <w:rFonts w:ascii="Times New Roman" w:hAnsi="Times New Roman"/>
          <w:bCs/>
          <w:color w:val="000000" w:themeColor="text1"/>
          <w:kern w:val="2"/>
          <w:lang w:eastAsia="zh-CN"/>
        </w:rPr>
        <w:t>对地下水水质的扰动。</w:t>
      </w:r>
    </w:p>
    <w:p w14:paraId="055575F8" w14:textId="25F3247D" w:rsidR="00B54635" w:rsidRPr="00092862" w:rsidRDefault="00CB0025" w:rsidP="00CB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34" w:name="_Toc120173163"/>
      <w:r w:rsidRPr="00092862">
        <w:rPr>
          <w:rFonts w:ascii="Times New Roman" w:hAnsi="Times New Roman"/>
          <w:b w:val="0"/>
          <w:bCs w:val="0"/>
          <w:color w:val="000000" w:themeColor="text1"/>
          <w:kern w:val="2"/>
          <w:sz w:val="24"/>
          <w:szCs w:val="24"/>
          <w:lang w:eastAsia="zh-CN"/>
        </w:rPr>
        <w:t>5</w:t>
      </w:r>
      <w:r w:rsidR="00B54635" w:rsidRPr="00092862">
        <w:rPr>
          <w:rFonts w:ascii="Times New Roman" w:eastAsia="黑体" w:hAnsi="Times New Roman"/>
          <w:b w:val="0"/>
          <w:color w:val="000000" w:themeColor="text1"/>
          <w:sz w:val="24"/>
          <w:szCs w:val="24"/>
          <w:lang w:eastAsia="zh-CN"/>
        </w:rPr>
        <w:t>.</w:t>
      </w:r>
      <w:r w:rsidR="00CA20DF" w:rsidRPr="00092862">
        <w:rPr>
          <w:rFonts w:ascii="Times New Roman" w:eastAsia="黑体" w:hAnsi="Times New Roman"/>
          <w:b w:val="0"/>
          <w:color w:val="000000" w:themeColor="text1"/>
          <w:sz w:val="24"/>
          <w:szCs w:val="24"/>
          <w:lang w:eastAsia="zh-CN"/>
        </w:rPr>
        <w:t>3</w:t>
      </w:r>
      <w:r w:rsidR="00B54635" w:rsidRPr="00092862">
        <w:rPr>
          <w:rFonts w:ascii="Times New Roman" w:eastAsia="黑体" w:hAnsi="Times New Roman"/>
          <w:b w:val="0"/>
          <w:color w:val="000000" w:themeColor="text1"/>
          <w:sz w:val="24"/>
          <w:szCs w:val="24"/>
          <w:lang w:eastAsia="zh-CN"/>
        </w:rPr>
        <w:t>.</w:t>
      </w:r>
      <w:r w:rsidR="003C3813" w:rsidRPr="00092862">
        <w:rPr>
          <w:rFonts w:ascii="Times New Roman" w:eastAsia="黑体" w:hAnsi="Times New Roman"/>
          <w:b w:val="0"/>
          <w:color w:val="000000" w:themeColor="text1"/>
          <w:sz w:val="24"/>
          <w:szCs w:val="24"/>
          <w:lang w:eastAsia="zh-CN"/>
        </w:rPr>
        <w:t>2</w:t>
      </w:r>
      <w:r w:rsidR="00B54635" w:rsidRPr="00092862">
        <w:rPr>
          <w:rFonts w:ascii="Times New Roman" w:eastAsia="黑体" w:hAnsi="Times New Roman"/>
          <w:b w:val="0"/>
          <w:color w:val="000000" w:themeColor="text1"/>
          <w:sz w:val="24"/>
          <w:szCs w:val="24"/>
          <w:lang w:eastAsia="zh-CN"/>
        </w:rPr>
        <w:t>地下水环境功能与环境保护目标</w:t>
      </w:r>
      <w:bookmarkEnd w:id="234"/>
    </w:p>
    <w:p w14:paraId="3A9B62D7"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r w:rsidRPr="00092862">
        <w:rPr>
          <w:rFonts w:ascii="Times New Roman" w:eastAsia="黑体" w:hAnsi="Times New Roman"/>
          <w:bCs/>
          <w:color w:val="000000" w:themeColor="text1"/>
          <w:kern w:val="2"/>
          <w:lang w:eastAsia="zh-CN"/>
        </w:rPr>
        <w:t>1</w:t>
      </w:r>
      <w:r w:rsidRPr="00092862">
        <w:rPr>
          <w:rFonts w:ascii="Times New Roman" w:eastAsia="黑体" w:hAnsi="Times New Roman"/>
          <w:bCs/>
          <w:color w:val="000000" w:themeColor="text1"/>
          <w:kern w:val="2"/>
          <w:lang w:eastAsia="zh-CN"/>
        </w:rPr>
        <w:t>、地下水功能划分</w:t>
      </w:r>
    </w:p>
    <w:p w14:paraId="762BB156"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确定评价区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14:paraId="053F2B47" w14:textId="77777777" w:rsidR="00B54635" w:rsidRPr="00092862" w:rsidRDefault="00B54635" w:rsidP="00B5463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）地下水功能及其划分</w:t>
      </w:r>
    </w:p>
    <w:p w14:paraId="636C0028"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地下水功能是指地下水的水质和水量及其在空间和时间上的变化对人类社会和环境所产生的作用或效应，它由地下水的资源功能、生态环境功能和地质环境功能组成。</w:t>
      </w:r>
    </w:p>
    <w:p w14:paraId="414EF5AB"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）地下水的资源功能是指具备一定的补给、储存和更新条件的地下水资源供给保障作用或效应。为了保持地下水的资源供给功能，首先在水量上，地下水要得到可持续的稳定补给，这样才能保障可持续开发。</w:t>
      </w:r>
    </w:p>
    <w:p w14:paraId="0D33739F"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14:paraId="09E74DB7"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）地下水的地质环境功能是指地下水的地质安全保障功能，是指地下水系统对其所赋存的地质环境稳定性所具有支撑和保护的作用或效应，如果地下水系统发生变化，则地质环境出现相应的改变。</w:t>
      </w:r>
    </w:p>
    <w:p w14:paraId="099D2CBE" w14:textId="77777777" w:rsidR="00B54635" w:rsidRPr="00092862" w:rsidRDefault="00B54635" w:rsidP="00B5463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）地下水环境调查</w:t>
      </w:r>
    </w:p>
    <w:p w14:paraId="7E02395E" w14:textId="161E62F4" w:rsidR="00B54635" w:rsidRPr="00092862" w:rsidRDefault="000972F8"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通过对项目区地下水、地表水、居民用水及环境状况调查，本项目位于</w:t>
      </w:r>
      <w:r w:rsidR="00AD5561" w:rsidRPr="00092862">
        <w:rPr>
          <w:rFonts w:ascii="Times New Roman" w:hAnsi="Times New Roman"/>
          <w:bCs/>
          <w:color w:val="000000" w:themeColor="text1"/>
          <w:kern w:val="2"/>
          <w:lang w:eastAsia="zh-CN"/>
        </w:rPr>
        <w:t>四川省达州市</w:t>
      </w:r>
      <w:r w:rsidR="00BD26E4" w:rsidRPr="00092862">
        <w:rPr>
          <w:rFonts w:ascii="Times New Roman" w:hAnsi="Times New Roman"/>
          <w:bCs/>
          <w:color w:val="000000" w:themeColor="text1"/>
          <w:kern w:val="2"/>
          <w:lang w:eastAsia="zh-CN"/>
        </w:rPr>
        <w:t>宣汉县</w:t>
      </w:r>
      <w:r w:rsidR="00215953" w:rsidRPr="00092862">
        <w:rPr>
          <w:rFonts w:ascii="Times New Roman" w:hAnsi="Times New Roman"/>
          <w:bCs/>
          <w:color w:val="000000" w:themeColor="text1"/>
          <w:kern w:val="2"/>
          <w:lang w:eastAsia="zh-CN"/>
        </w:rPr>
        <w:t>老君乡古楼村</w:t>
      </w:r>
      <w:r w:rsidRPr="00092862">
        <w:rPr>
          <w:rFonts w:ascii="Times New Roman" w:hAnsi="Times New Roman"/>
          <w:bCs/>
          <w:color w:val="000000" w:themeColor="text1"/>
          <w:kern w:val="2"/>
          <w:lang w:eastAsia="zh-CN"/>
        </w:rPr>
        <w:t>（</w:t>
      </w:r>
      <w:r w:rsidR="004D07D0" w:rsidRPr="00092862">
        <w:rPr>
          <w:rFonts w:ascii="Times New Roman" w:hAnsi="Times New Roman"/>
          <w:bCs/>
          <w:color w:val="000000" w:themeColor="text1"/>
          <w:kern w:val="2"/>
          <w:lang w:eastAsia="zh-CN"/>
        </w:rPr>
        <w:t>原老君</w:t>
      </w:r>
      <w:r w:rsidR="004D07D0" w:rsidRPr="00092862">
        <w:rPr>
          <w:rFonts w:ascii="Times New Roman" w:hAnsi="Times New Roman"/>
          <w:bCs/>
          <w:color w:val="000000" w:themeColor="text1"/>
          <w:kern w:val="2"/>
          <w:lang w:eastAsia="zh-CN"/>
        </w:rPr>
        <w:t>701</w:t>
      </w:r>
      <w:r w:rsidR="004D07D0" w:rsidRPr="00092862">
        <w:rPr>
          <w:rFonts w:ascii="Times New Roman" w:hAnsi="Times New Roman"/>
          <w:bCs/>
          <w:color w:val="000000" w:themeColor="text1"/>
          <w:kern w:val="2"/>
          <w:lang w:eastAsia="zh-CN"/>
        </w:rPr>
        <w:t>集气站旁</w:t>
      </w:r>
      <w:r w:rsidRPr="00092862">
        <w:rPr>
          <w:rFonts w:ascii="Times New Roman" w:hAnsi="Times New Roman"/>
          <w:bCs/>
          <w:color w:val="000000" w:themeColor="text1"/>
          <w:kern w:val="2"/>
          <w:lang w:eastAsia="zh-CN"/>
        </w:rPr>
        <w:t>），</w:t>
      </w:r>
      <w:r w:rsidR="00192A0E" w:rsidRPr="00092862">
        <w:rPr>
          <w:rFonts w:ascii="Times New Roman" w:hAnsi="Times New Roman"/>
          <w:bCs/>
          <w:color w:val="000000" w:themeColor="text1"/>
          <w:kern w:val="2"/>
          <w:lang w:eastAsia="zh-CN"/>
        </w:rPr>
        <w:t>评价区内仅有少数居民分布，均为采用评价区外</w:t>
      </w:r>
      <w:r w:rsidR="00B86F77" w:rsidRPr="00092862">
        <w:rPr>
          <w:rFonts w:ascii="Times New Roman" w:hAnsi="Times New Roman"/>
          <w:bCs/>
          <w:color w:val="000000" w:themeColor="text1"/>
          <w:kern w:val="2"/>
          <w:lang w:eastAsia="zh-CN"/>
        </w:rPr>
        <w:t>地表水</w:t>
      </w:r>
      <w:r w:rsidR="00192A0E" w:rsidRPr="00092862">
        <w:rPr>
          <w:rFonts w:ascii="Times New Roman" w:hAnsi="Times New Roman"/>
          <w:bCs/>
          <w:color w:val="000000" w:themeColor="text1"/>
          <w:kern w:val="2"/>
          <w:lang w:eastAsia="zh-CN"/>
        </w:rPr>
        <w:t>进行集中供水</w:t>
      </w:r>
      <w:r w:rsidRPr="00092862">
        <w:rPr>
          <w:rFonts w:ascii="Times New Roman" w:hAnsi="Times New Roman"/>
          <w:bCs/>
          <w:color w:val="000000" w:themeColor="text1"/>
          <w:kern w:val="2"/>
          <w:lang w:eastAsia="zh-CN"/>
        </w:rPr>
        <w:t>。</w:t>
      </w:r>
      <w:r w:rsidR="00192A0E" w:rsidRPr="00092862">
        <w:rPr>
          <w:rFonts w:ascii="Times New Roman" w:hAnsi="Times New Roman"/>
          <w:bCs/>
          <w:color w:val="000000" w:themeColor="text1"/>
          <w:kern w:val="2"/>
          <w:lang w:eastAsia="zh-CN"/>
        </w:rPr>
        <w:t>本项目评价范围内无居民取用区域地下水</w:t>
      </w:r>
      <w:r w:rsidRPr="00092862">
        <w:rPr>
          <w:rFonts w:ascii="Times New Roman" w:hAnsi="Times New Roman"/>
          <w:color w:val="000000" w:themeColor="text1"/>
          <w:lang w:eastAsia="zh-CN"/>
        </w:rPr>
        <w:t>。</w:t>
      </w:r>
    </w:p>
    <w:p w14:paraId="365FD5FE" w14:textId="7C1B1CE0" w:rsidR="00B54635" w:rsidRPr="00092862" w:rsidRDefault="00B54635" w:rsidP="00B546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综上，根据《全国地下水功能区划分技术大纲》的要求和实地调查评价区地下水环境状况，本项目评价区地下水功能为供水水源资源功能。</w:t>
      </w:r>
    </w:p>
    <w:p w14:paraId="15A13B15" w14:textId="77777777" w:rsidR="00B54635" w:rsidRPr="00092862" w:rsidRDefault="00B54635" w:rsidP="00B54635">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r w:rsidRPr="00092862">
        <w:rPr>
          <w:rFonts w:ascii="Times New Roman" w:eastAsia="黑体" w:hAnsi="Times New Roman"/>
          <w:bCs/>
          <w:color w:val="000000" w:themeColor="text1"/>
          <w:kern w:val="2"/>
          <w:lang w:eastAsia="zh-CN"/>
        </w:rPr>
        <w:t>2</w:t>
      </w:r>
      <w:r w:rsidRPr="00092862">
        <w:rPr>
          <w:rFonts w:ascii="Times New Roman" w:eastAsia="黑体" w:hAnsi="Times New Roman"/>
          <w:bCs/>
          <w:color w:val="000000" w:themeColor="text1"/>
          <w:kern w:val="2"/>
          <w:lang w:eastAsia="zh-CN"/>
        </w:rPr>
        <w:t>、地下水环境保护目标</w:t>
      </w:r>
    </w:p>
    <w:p w14:paraId="656444E1" w14:textId="56A69767" w:rsidR="00EE3F7A" w:rsidRPr="00092862" w:rsidRDefault="000972F8" w:rsidP="000972F8">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根据外环境调查，结合项目场地所处水文地质条件，</w:t>
      </w:r>
      <w:r w:rsidR="00192A0E" w:rsidRPr="00092862">
        <w:rPr>
          <w:rFonts w:ascii="Times New Roman" w:hAnsi="Times New Roman"/>
          <w:bCs/>
          <w:color w:val="000000" w:themeColor="text1"/>
          <w:kern w:val="2"/>
          <w:lang w:eastAsia="zh-CN"/>
        </w:rPr>
        <w:t>区域地下水</w:t>
      </w:r>
      <w:r w:rsidRPr="00092862">
        <w:rPr>
          <w:rFonts w:ascii="Times New Roman" w:hAnsi="Times New Roman"/>
          <w:bCs/>
          <w:color w:val="000000" w:themeColor="text1"/>
          <w:kern w:val="2"/>
          <w:lang w:eastAsia="zh-CN"/>
        </w:rPr>
        <w:t>总体流向为</w:t>
      </w:r>
      <w:r w:rsidR="00C64087" w:rsidRPr="00092862">
        <w:rPr>
          <w:rFonts w:ascii="Times New Roman" w:hAnsi="Times New Roman"/>
          <w:bCs/>
          <w:color w:val="000000" w:themeColor="text1"/>
          <w:kern w:val="2"/>
          <w:lang w:eastAsia="zh-CN"/>
        </w:rPr>
        <w:t>西南</w:t>
      </w:r>
      <w:r w:rsidRPr="00092862">
        <w:rPr>
          <w:rFonts w:ascii="Times New Roman" w:hAnsi="Times New Roman"/>
          <w:bCs/>
          <w:color w:val="000000" w:themeColor="text1"/>
          <w:kern w:val="2"/>
          <w:lang w:eastAsia="zh-CN"/>
        </w:rPr>
        <w:t>至</w:t>
      </w:r>
      <w:r w:rsidR="00C64087" w:rsidRPr="00092862">
        <w:rPr>
          <w:rFonts w:ascii="Times New Roman" w:hAnsi="Times New Roman"/>
          <w:bCs/>
          <w:color w:val="000000" w:themeColor="text1"/>
          <w:kern w:val="2"/>
          <w:lang w:eastAsia="zh-CN"/>
        </w:rPr>
        <w:t>东北</w:t>
      </w:r>
      <w:r w:rsidRPr="00092862">
        <w:rPr>
          <w:rFonts w:ascii="Times New Roman" w:hAnsi="Times New Roman"/>
          <w:bCs/>
          <w:color w:val="000000" w:themeColor="text1"/>
          <w:kern w:val="2"/>
          <w:lang w:eastAsia="zh-CN"/>
        </w:rPr>
        <w:t>，排泄至</w:t>
      </w:r>
      <w:r w:rsidR="00C64087" w:rsidRPr="00092862">
        <w:rPr>
          <w:rFonts w:ascii="Times New Roman" w:hAnsi="Times New Roman"/>
          <w:bCs/>
          <w:color w:val="000000" w:themeColor="text1"/>
          <w:kern w:val="2"/>
          <w:lang w:eastAsia="zh-CN"/>
        </w:rPr>
        <w:t>下游季节性沟渠</w:t>
      </w:r>
      <w:r w:rsidRPr="00092862">
        <w:rPr>
          <w:rFonts w:ascii="Times New Roman" w:hAnsi="Times New Roman"/>
          <w:bCs/>
          <w:color w:val="000000" w:themeColor="text1"/>
          <w:kern w:val="2"/>
          <w:lang w:eastAsia="zh-CN"/>
        </w:rPr>
        <w:t>。项目施工可能受影响的含水层为</w:t>
      </w:r>
      <w:r w:rsidR="00EE77D5" w:rsidRPr="00092862">
        <w:rPr>
          <w:rFonts w:ascii="Times New Roman" w:hAnsi="Times New Roman"/>
          <w:color w:val="000000" w:themeColor="text1"/>
          <w:lang w:eastAsia="zh-CN"/>
        </w:rPr>
        <w:t>基岩裂隙水与碎屑岩类裂隙水</w:t>
      </w:r>
      <w:r w:rsidRPr="00092862">
        <w:rPr>
          <w:rFonts w:ascii="Times New Roman" w:hAnsi="Times New Roman"/>
          <w:bCs/>
          <w:color w:val="000000" w:themeColor="text1"/>
          <w:kern w:val="2"/>
          <w:lang w:eastAsia="zh-CN"/>
        </w:rPr>
        <w:t>。</w:t>
      </w:r>
      <w:r w:rsidR="00EE3F7A" w:rsidRPr="00092862">
        <w:rPr>
          <w:rFonts w:ascii="Times New Roman" w:hAnsi="Times New Roman"/>
          <w:bCs/>
          <w:color w:val="000000" w:themeColor="text1"/>
          <w:kern w:val="2"/>
          <w:lang w:eastAsia="zh-CN"/>
        </w:rPr>
        <w:t>本项目地下水环境保护目标见前文</w:t>
      </w:r>
      <w:r w:rsidR="00EE3F7A" w:rsidRPr="00092862">
        <w:rPr>
          <w:rFonts w:ascii="Times New Roman" w:hAnsi="Times New Roman"/>
          <w:bCs/>
          <w:color w:val="000000" w:themeColor="text1"/>
          <w:kern w:val="2"/>
          <w:lang w:eastAsia="zh-CN"/>
        </w:rPr>
        <w:t>“2.9.1</w:t>
      </w:r>
      <w:r w:rsidR="00EE3F7A" w:rsidRPr="00092862">
        <w:rPr>
          <w:rFonts w:ascii="Times New Roman" w:hAnsi="Times New Roman"/>
          <w:bCs/>
          <w:color w:val="000000" w:themeColor="text1"/>
          <w:kern w:val="2"/>
          <w:lang w:eastAsia="zh-CN"/>
        </w:rPr>
        <w:t>外环境关系</w:t>
      </w:r>
      <w:r w:rsidR="00EE3F7A" w:rsidRPr="00092862">
        <w:rPr>
          <w:rFonts w:ascii="Times New Roman" w:hAnsi="Times New Roman"/>
          <w:bCs/>
          <w:color w:val="000000" w:themeColor="text1"/>
          <w:kern w:val="2"/>
          <w:lang w:eastAsia="zh-CN"/>
        </w:rPr>
        <w:t>”</w:t>
      </w:r>
      <w:r w:rsidR="00EE3F7A" w:rsidRPr="00092862">
        <w:rPr>
          <w:rFonts w:ascii="Times New Roman" w:hAnsi="Times New Roman"/>
          <w:bCs/>
          <w:color w:val="000000" w:themeColor="text1"/>
          <w:kern w:val="2"/>
          <w:lang w:eastAsia="zh-CN"/>
        </w:rPr>
        <w:t>。</w:t>
      </w:r>
    </w:p>
    <w:p w14:paraId="52B36B0A" w14:textId="4DCFDD71" w:rsidR="00EE3F7A" w:rsidRPr="00092862" w:rsidRDefault="00EE3F7A" w:rsidP="00EE3F7A">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235" w:name="_Toc120173164"/>
      <w:r w:rsidRPr="00092862">
        <w:rPr>
          <w:rFonts w:ascii="Times New Roman" w:eastAsia="黑体" w:hAnsi="Times New Roman"/>
          <w:b w:val="0"/>
          <w:color w:val="000000" w:themeColor="text1"/>
          <w:sz w:val="24"/>
          <w:szCs w:val="24"/>
          <w:lang w:eastAsia="zh-CN"/>
        </w:rPr>
        <w:t>5.</w:t>
      </w:r>
      <w:r w:rsidR="00CA20DF"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w:t>
      </w:r>
      <w:r w:rsidR="003C3813"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地下水评价因子及识别</w:t>
      </w:r>
      <w:bookmarkEnd w:id="235"/>
    </w:p>
    <w:p w14:paraId="481E4FC6" w14:textId="77777777" w:rsidR="00EE3F7A" w:rsidRPr="00092862" w:rsidRDefault="00EE3F7A" w:rsidP="00EE3F7A">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bookmarkStart w:id="236" w:name="_Toc9106"/>
      <w:bookmarkStart w:id="237" w:name="_Toc14702795"/>
      <w:r w:rsidRPr="00092862">
        <w:rPr>
          <w:rFonts w:ascii="Times New Roman" w:eastAsia="黑体" w:hAnsi="Times New Roman"/>
          <w:bCs/>
          <w:color w:val="000000" w:themeColor="text1"/>
          <w:kern w:val="2"/>
          <w:lang w:eastAsia="zh-CN"/>
        </w:rPr>
        <w:t>1</w:t>
      </w:r>
      <w:r w:rsidRPr="00092862">
        <w:rPr>
          <w:rFonts w:ascii="Times New Roman" w:eastAsia="黑体" w:hAnsi="Times New Roman"/>
          <w:bCs/>
          <w:color w:val="000000" w:themeColor="text1"/>
          <w:kern w:val="2"/>
          <w:lang w:eastAsia="zh-CN"/>
        </w:rPr>
        <w:t>、地下水环境现状评价因子</w:t>
      </w:r>
      <w:bookmarkEnd w:id="236"/>
      <w:bookmarkEnd w:id="237"/>
    </w:p>
    <w:p w14:paraId="4DE74368" w14:textId="77777777" w:rsidR="00EE3F7A" w:rsidRPr="00092862" w:rsidRDefault="00EE3F7A" w:rsidP="00EE3F7A">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地下水环境：</w:t>
      </w:r>
      <w:r w:rsidRPr="00092862">
        <w:rPr>
          <w:rFonts w:ascii="Times New Roman" w:hAnsi="Times New Roman"/>
          <w:bCs/>
          <w:color w:val="000000" w:themeColor="text1"/>
          <w:kern w:val="2"/>
          <w:lang w:eastAsia="zh-CN"/>
        </w:rPr>
        <w:t>K</w:t>
      </w:r>
      <w:r w:rsidRPr="00092862">
        <w:rPr>
          <w:rFonts w:ascii="Times New Roman" w:hAnsi="Times New Roman"/>
          <w:bCs/>
          <w:color w:val="000000" w:themeColor="text1"/>
          <w:kern w:val="2"/>
          <w:vertAlign w:val="superscript"/>
          <w:lang w:eastAsia="zh-CN"/>
        </w:rPr>
        <w:t>+</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Na</w:t>
      </w:r>
      <w:r w:rsidRPr="00092862">
        <w:rPr>
          <w:rFonts w:ascii="Times New Roman" w:hAnsi="Times New Roman"/>
          <w:bCs/>
          <w:color w:val="000000" w:themeColor="text1"/>
          <w:kern w:val="2"/>
          <w:vertAlign w:val="superscript"/>
          <w:lang w:eastAsia="zh-CN"/>
        </w:rPr>
        <w:t>+</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Ca</w:t>
      </w:r>
      <w:r w:rsidRPr="00092862">
        <w:rPr>
          <w:rFonts w:ascii="Times New Roman" w:hAnsi="Times New Roman"/>
          <w:bCs/>
          <w:color w:val="000000" w:themeColor="text1"/>
          <w:kern w:val="2"/>
          <w:vertAlign w:val="super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Mg</w:t>
      </w:r>
      <w:r w:rsidRPr="00092862">
        <w:rPr>
          <w:rFonts w:ascii="Times New Roman" w:hAnsi="Times New Roman"/>
          <w:bCs/>
          <w:color w:val="000000" w:themeColor="text1"/>
          <w:kern w:val="2"/>
          <w:vertAlign w:val="super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vertAlign w:val="subscript"/>
          <w:lang w:eastAsia="zh-CN"/>
        </w:rPr>
        <w:t>3</w:t>
      </w:r>
      <w:r w:rsidRPr="00092862">
        <w:rPr>
          <w:rFonts w:ascii="Times New Roman" w:hAnsi="Times New Roman"/>
          <w:bCs/>
          <w:color w:val="000000" w:themeColor="text1"/>
          <w:kern w:val="2"/>
          <w:vertAlign w:val="super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HCO</w:t>
      </w:r>
      <w:r w:rsidRPr="00092862">
        <w:rPr>
          <w:rFonts w:ascii="Times New Roman" w:hAnsi="Times New Roman"/>
          <w:bCs/>
          <w:color w:val="000000" w:themeColor="text1"/>
          <w:kern w:val="2"/>
          <w:vertAlign w:val="superscript"/>
          <w:lang w:eastAsia="zh-CN"/>
        </w:rPr>
        <w:t>3-</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Cl</w:t>
      </w:r>
      <w:r w:rsidRPr="00092862">
        <w:rPr>
          <w:rFonts w:ascii="Times New Roman" w:hAnsi="Times New Roman"/>
          <w:bCs/>
          <w:color w:val="000000" w:themeColor="text1"/>
          <w:kern w:val="2"/>
          <w:vertAlign w:val="superscript"/>
          <w:lang w:eastAsia="zh-CN"/>
        </w:rPr>
        <w:t>-</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4</w:t>
      </w:r>
      <w:r w:rsidRPr="00092862">
        <w:rPr>
          <w:rFonts w:ascii="Times New Roman" w:hAnsi="Times New Roman"/>
          <w:bCs/>
          <w:color w:val="000000" w:themeColor="text1"/>
          <w:kern w:val="2"/>
          <w:vertAlign w:val="super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pH</w:t>
      </w:r>
      <w:r w:rsidRPr="00092862">
        <w:rPr>
          <w:rFonts w:ascii="Times New Roman" w:hAnsi="Times New Roman"/>
          <w:bCs/>
          <w:color w:val="000000" w:themeColor="text1"/>
          <w:kern w:val="2"/>
          <w:lang w:eastAsia="zh-CN"/>
        </w:rPr>
        <w:t>、氨氮、硝酸盐、亚硝酸盐、挥发性酚类、氰化物、砷、汞、铬（六价）、总硬度、铅、氟、镉、铁、锰、溶解性总固体、高锰酸盐指数、硫酸盐、总大肠菌群、细菌总数。</w:t>
      </w:r>
    </w:p>
    <w:p w14:paraId="3C11DCE0" w14:textId="77777777" w:rsidR="00EE3F7A" w:rsidRPr="00092862" w:rsidRDefault="00EE3F7A" w:rsidP="00EE3F7A">
      <w:pPr>
        <w:pStyle w:val="ac"/>
        <w:adjustRightInd w:val="0"/>
        <w:snapToGrid w:val="0"/>
        <w:spacing w:before="0" w:line="360" w:lineRule="auto"/>
        <w:ind w:left="0" w:firstLineChars="200" w:firstLine="480"/>
        <w:jc w:val="both"/>
        <w:rPr>
          <w:rFonts w:ascii="Times New Roman" w:eastAsia="黑体" w:hAnsi="Times New Roman"/>
          <w:bCs/>
          <w:color w:val="000000" w:themeColor="text1"/>
          <w:kern w:val="2"/>
          <w:lang w:eastAsia="zh-CN"/>
        </w:rPr>
      </w:pPr>
      <w:bookmarkStart w:id="238" w:name="_Toc21960"/>
      <w:bookmarkStart w:id="239" w:name="_Toc14702796"/>
      <w:r w:rsidRPr="00092862">
        <w:rPr>
          <w:rFonts w:ascii="Times New Roman" w:eastAsia="黑体" w:hAnsi="Times New Roman"/>
          <w:bCs/>
          <w:color w:val="000000" w:themeColor="text1"/>
          <w:kern w:val="2"/>
          <w:lang w:eastAsia="zh-CN"/>
        </w:rPr>
        <w:t>2</w:t>
      </w:r>
      <w:r w:rsidRPr="00092862">
        <w:rPr>
          <w:rFonts w:ascii="Times New Roman" w:eastAsia="黑体" w:hAnsi="Times New Roman"/>
          <w:bCs/>
          <w:color w:val="000000" w:themeColor="text1"/>
          <w:kern w:val="2"/>
          <w:lang w:eastAsia="zh-CN"/>
        </w:rPr>
        <w:t>、地下水环境影响评价因子</w:t>
      </w:r>
      <w:bookmarkEnd w:id="238"/>
      <w:bookmarkEnd w:id="239"/>
    </w:p>
    <w:p w14:paraId="14534D07" w14:textId="77777777" w:rsidR="00EE3F7A" w:rsidRPr="00092862" w:rsidRDefault="00EE3F7A" w:rsidP="00EE3F7A">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鉴于本项目废水具有氯化物、悬浮物含量高，含石油类、有机物，且变化范围大，水质复杂的特点，类比同类项目，本项目产生废水水质主要含有有机物、石油类、氯离子、无机盐等。</w:t>
      </w:r>
    </w:p>
    <w:p w14:paraId="5ABEBC3D" w14:textId="61B14921" w:rsidR="00EE3F7A" w:rsidRPr="00092862" w:rsidRDefault="00EE3F7A" w:rsidP="00EE3F7A">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根据《环境影响评价技术导则</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地下水环境》（</w:t>
      </w:r>
      <w:r w:rsidRPr="00092862">
        <w:rPr>
          <w:rFonts w:ascii="Times New Roman" w:hAnsi="Times New Roman"/>
          <w:bCs/>
          <w:color w:val="000000" w:themeColor="text1"/>
          <w:kern w:val="2"/>
          <w:lang w:eastAsia="zh-CN"/>
        </w:rPr>
        <w:t>HJ610-2016</w:t>
      </w:r>
      <w:r w:rsidRPr="00092862">
        <w:rPr>
          <w:rFonts w:ascii="Times New Roman" w:hAnsi="Times New Roman"/>
          <w:bCs/>
          <w:color w:val="000000" w:themeColor="text1"/>
          <w:kern w:val="2"/>
          <w:lang w:eastAsia="zh-CN"/>
        </w:rPr>
        <w:t>），预测因子识别应对项目污染物进行分类后（重金属、持久性污染物和其他类别进行分类），对每一类中各项因子采用标准指数法进行排序，分别取标准指数最大的因子作为预测因子；如该项目属于</w:t>
      </w:r>
      <w:r w:rsidR="00CD4EAA" w:rsidRPr="00092862">
        <w:rPr>
          <w:rFonts w:ascii="Times New Roman" w:hAnsi="Times New Roman"/>
          <w:bCs/>
          <w:color w:val="000000" w:themeColor="text1"/>
          <w:kern w:val="2"/>
          <w:lang w:eastAsia="zh-CN"/>
        </w:rPr>
        <w:t>改扩建</w:t>
      </w:r>
      <w:r w:rsidRPr="00092862">
        <w:rPr>
          <w:rFonts w:ascii="Times New Roman" w:hAnsi="Times New Roman"/>
          <w:bCs/>
          <w:color w:val="000000" w:themeColor="text1"/>
          <w:kern w:val="2"/>
          <w:lang w:eastAsia="zh-CN"/>
        </w:rPr>
        <w:t>项目，将选择技改后继续产生的特征因子，改扩建后新增加的特征因子作为预测因子；污染场地已经查明的主要污染物作为预测因子。</w:t>
      </w:r>
    </w:p>
    <w:p w14:paraId="624860ED" w14:textId="7043C96A" w:rsidR="00EE3F7A" w:rsidRPr="00092862" w:rsidRDefault="00EE3F7A" w:rsidP="00EE3F7A">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根据监测资料，</w:t>
      </w:r>
      <w:r w:rsidR="00D4705A" w:rsidRPr="00092862">
        <w:rPr>
          <w:rFonts w:ascii="Times New Roman" w:hAnsi="Times New Roman"/>
          <w:bCs/>
          <w:color w:val="000000" w:themeColor="text1"/>
          <w:kern w:val="2"/>
          <w:lang w:eastAsia="zh-CN"/>
        </w:rPr>
        <w:t>本项目拟建地</w:t>
      </w:r>
      <w:r w:rsidRPr="00092862">
        <w:rPr>
          <w:rFonts w:ascii="Times New Roman" w:hAnsi="Times New Roman"/>
          <w:bCs/>
          <w:color w:val="000000" w:themeColor="text1"/>
          <w:kern w:val="2"/>
          <w:lang w:eastAsia="zh-CN"/>
        </w:rPr>
        <w:t>附近潜水含水层地下水水质良好，所有指标均未超过《地下水质量标准》（</w:t>
      </w:r>
      <w:r w:rsidRPr="00092862">
        <w:rPr>
          <w:rFonts w:ascii="Times New Roman" w:hAnsi="Times New Roman"/>
          <w:bCs/>
          <w:color w:val="000000" w:themeColor="text1"/>
          <w:kern w:val="2"/>
          <w:lang w:eastAsia="zh-CN"/>
        </w:rPr>
        <w:t>GB/T14848-2017</w:t>
      </w:r>
      <w:r w:rsidRPr="00092862">
        <w:rPr>
          <w:rFonts w:ascii="Times New Roman" w:hAnsi="Times New Roman"/>
          <w:bCs/>
          <w:color w:val="000000" w:themeColor="text1"/>
          <w:kern w:val="2"/>
          <w:lang w:eastAsia="zh-CN"/>
        </w:rPr>
        <w:t>）中的</w:t>
      </w:r>
      <w:r w:rsidRPr="00092862">
        <w:rPr>
          <w:rFonts w:ascii="Times New Roman" w:hAnsi="Times New Roman"/>
          <w:bCs/>
          <w:color w:val="000000" w:themeColor="text1"/>
          <w:kern w:val="2"/>
          <w:lang w:eastAsia="zh-CN"/>
        </w:rPr>
        <w:t>Ⅲ</w:t>
      </w:r>
      <w:r w:rsidRPr="00092862">
        <w:rPr>
          <w:rFonts w:ascii="Times New Roman" w:hAnsi="Times New Roman"/>
          <w:bCs/>
          <w:color w:val="000000" w:themeColor="text1"/>
          <w:kern w:val="2"/>
          <w:lang w:eastAsia="zh-CN"/>
        </w:rPr>
        <w:t>类标准限值要求。基于本项目废水的水质特征，选择无机离子中等标污染负荷最大的氯离子，持久性污染物中等标污染负荷最大的</w:t>
      </w:r>
      <w:r w:rsidRPr="00092862">
        <w:rPr>
          <w:rFonts w:ascii="Times New Roman" w:hAnsi="Times New Roman"/>
          <w:bCs/>
          <w:color w:val="000000" w:themeColor="text1"/>
          <w:kern w:val="2"/>
          <w:lang w:eastAsia="zh-CN"/>
        </w:rPr>
        <w:t>COD</w:t>
      </w:r>
      <w:r w:rsidRPr="00092862">
        <w:rPr>
          <w:rFonts w:ascii="Times New Roman" w:hAnsi="Times New Roman"/>
          <w:bCs/>
          <w:color w:val="000000" w:themeColor="text1"/>
          <w:kern w:val="2"/>
          <w:vertAlign w:val="subscript"/>
          <w:lang w:eastAsia="zh-CN"/>
        </w:rPr>
        <w:t>Cr</w:t>
      </w:r>
      <w:r w:rsidRPr="00092862">
        <w:rPr>
          <w:rFonts w:ascii="Times New Roman" w:hAnsi="Times New Roman"/>
          <w:bCs/>
          <w:color w:val="000000" w:themeColor="text1"/>
          <w:kern w:val="2"/>
          <w:lang w:eastAsia="zh-CN"/>
        </w:rPr>
        <w:t>，特征污染因子石油类作为本次评价的预测因子。</w:t>
      </w:r>
    </w:p>
    <w:p w14:paraId="0DBB4C1A" w14:textId="5161B142" w:rsidR="00EE3F7A" w:rsidRPr="00092862" w:rsidRDefault="00EE3F7A" w:rsidP="00EE3F7A">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240" w:name="_Toc14702804"/>
      <w:bookmarkStart w:id="241" w:name="_Toc120173165"/>
      <w:r w:rsidRPr="00092862">
        <w:rPr>
          <w:rFonts w:ascii="Times New Roman" w:eastAsia="黑体" w:hAnsi="Times New Roman"/>
          <w:b w:val="0"/>
          <w:color w:val="000000" w:themeColor="text1"/>
          <w:sz w:val="24"/>
          <w:szCs w:val="24"/>
          <w:lang w:eastAsia="zh-CN"/>
        </w:rPr>
        <w:t>5.</w:t>
      </w:r>
      <w:r w:rsidR="00CA20DF"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w:t>
      </w:r>
      <w:r w:rsidR="003C3813" w:rsidRPr="00092862">
        <w:rPr>
          <w:rFonts w:ascii="Times New Roman" w:eastAsia="黑体" w:hAnsi="Times New Roman"/>
          <w:b w:val="0"/>
          <w:color w:val="000000" w:themeColor="text1"/>
          <w:sz w:val="24"/>
          <w:szCs w:val="24"/>
          <w:lang w:eastAsia="zh-CN"/>
        </w:rPr>
        <w:t>4</w:t>
      </w:r>
      <w:r w:rsidRPr="00092862">
        <w:rPr>
          <w:rFonts w:ascii="Times New Roman" w:eastAsia="黑体" w:hAnsi="Times New Roman"/>
          <w:b w:val="0"/>
          <w:color w:val="000000" w:themeColor="text1"/>
          <w:sz w:val="24"/>
          <w:szCs w:val="24"/>
          <w:lang w:eastAsia="zh-CN"/>
        </w:rPr>
        <w:t>水文地质参数识别</w:t>
      </w:r>
      <w:bookmarkEnd w:id="240"/>
      <w:bookmarkEnd w:id="241"/>
    </w:p>
    <w:p w14:paraId="6563396A" w14:textId="388C1B28" w:rsidR="0050312F" w:rsidRPr="00092862" w:rsidRDefault="0050312F" w:rsidP="00C9046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本次评价充分参考</w:t>
      </w:r>
      <w:r w:rsidR="00C90463" w:rsidRPr="00092862">
        <w:rPr>
          <w:rFonts w:ascii="Times New Roman" w:eastAsia="宋体" w:hAnsi="Times New Roman" w:cs="Times New Roman"/>
          <w:color w:val="000000" w:themeColor="text1"/>
          <w:sz w:val="24"/>
          <w:szCs w:val="24"/>
        </w:rPr>
        <w:t>《中国石油化工股份有限公司中原油田普光分公司普光</w:t>
      </w:r>
      <w:r w:rsidR="00C90463" w:rsidRPr="00092862">
        <w:rPr>
          <w:rFonts w:ascii="Times New Roman" w:eastAsia="宋体" w:hAnsi="Times New Roman" w:cs="Times New Roman"/>
          <w:color w:val="000000" w:themeColor="text1"/>
          <w:sz w:val="24"/>
          <w:szCs w:val="24"/>
        </w:rPr>
        <w:lastRenderedPageBreak/>
        <w:t>分公司</w:t>
      </w:r>
      <w:r w:rsidR="00D4705A" w:rsidRPr="00092862">
        <w:rPr>
          <w:rFonts w:ascii="Times New Roman" w:eastAsia="宋体" w:hAnsi="Times New Roman" w:cs="Times New Roman"/>
          <w:color w:val="000000" w:themeColor="text1"/>
          <w:sz w:val="24"/>
          <w:szCs w:val="24"/>
        </w:rPr>
        <w:t>老君</w:t>
      </w:r>
      <w:r w:rsidR="00D4705A" w:rsidRPr="00092862">
        <w:rPr>
          <w:rFonts w:ascii="Times New Roman" w:eastAsia="宋体" w:hAnsi="Times New Roman" w:cs="Times New Roman"/>
          <w:color w:val="000000" w:themeColor="text1"/>
          <w:sz w:val="24"/>
          <w:szCs w:val="24"/>
        </w:rPr>
        <w:t>701</w:t>
      </w:r>
      <w:r w:rsidR="00D4705A" w:rsidRPr="00092862">
        <w:rPr>
          <w:rFonts w:ascii="Times New Roman" w:eastAsia="宋体" w:hAnsi="Times New Roman" w:cs="Times New Roman"/>
          <w:color w:val="000000" w:themeColor="text1"/>
          <w:sz w:val="24"/>
          <w:szCs w:val="24"/>
        </w:rPr>
        <w:t>井台</w:t>
      </w:r>
      <w:r w:rsidR="00C90463" w:rsidRPr="00092862">
        <w:rPr>
          <w:rFonts w:ascii="Times New Roman" w:eastAsia="宋体" w:hAnsi="Times New Roman" w:cs="Times New Roman"/>
          <w:color w:val="000000" w:themeColor="text1"/>
          <w:sz w:val="24"/>
          <w:szCs w:val="24"/>
        </w:rPr>
        <w:t>产能建设项目地下水环境影响评价专题》、</w:t>
      </w:r>
      <w:r w:rsidR="00D4705A" w:rsidRPr="00092862">
        <w:rPr>
          <w:rFonts w:ascii="Times New Roman" w:eastAsia="宋体" w:hAnsi="Times New Roman" w:cs="Times New Roman"/>
          <w:color w:val="000000" w:themeColor="text1"/>
          <w:sz w:val="24"/>
          <w:szCs w:val="24"/>
        </w:rPr>
        <w:t>据《老君</w:t>
      </w:r>
      <w:r w:rsidR="00D4705A" w:rsidRPr="00092862">
        <w:rPr>
          <w:rFonts w:ascii="Times New Roman" w:eastAsia="宋体" w:hAnsi="Times New Roman" w:cs="Times New Roman"/>
          <w:color w:val="000000" w:themeColor="text1"/>
          <w:sz w:val="24"/>
          <w:szCs w:val="24"/>
        </w:rPr>
        <w:t xml:space="preserve"> 4 </w:t>
      </w:r>
      <w:r w:rsidR="00D4705A" w:rsidRPr="00092862">
        <w:rPr>
          <w:rFonts w:ascii="Times New Roman" w:eastAsia="宋体" w:hAnsi="Times New Roman" w:cs="Times New Roman"/>
          <w:color w:val="000000" w:themeColor="text1"/>
          <w:sz w:val="24"/>
          <w:szCs w:val="24"/>
        </w:rPr>
        <w:t>井钻井工程环境影响报告表》、</w:t>
      </w:r>
      <w:r w:rsidR="00BC4FFF" w:rsidRPr="00092862">
        <w:rPr>
          <w:rFonts w:ascii="Times New Roman" w:eastAsia="宋体" w:hAnsi="Times New Roman" w:cs="Times New Roman"/>
          <w:color w:val="000000" w:themeColor="text1"/>
          <w:sz w:val="24"/>
          <w:szCs w:val="24"/>
        </w:rPr>
        <w:t>《大湾</w:t>
      </w:r>
      <w:r w:rsidR="00BC4FFF" w:rsidRPr="00092862">
        <w:rPr>
          <w:rFonts w:ascii="Times New Roman" w:eastAsia="宋体" w:hAnsi="Times New Roman" w:cs="Times New Roman"/>
          <w:color w:val="000000" w:themeColor="text1"/>
          <w:sz w:val="24"/>
          <w:szCs w:val="24"/>
        </w:rPr>
        <w:t>406</w:t>
      </w:r>
      <w:r w:rsidR="00BC4FFF" w:rsidRPr="00092862">
        <w:rPr>
          <w:rFonts w:ascii="Times New Roman" w:eastAsia="宋体" w:hAnsi="Times New Roman" w:cs="Times New Roman"/>
          <w:color w:val="000000" w:themeColor="text1"/>
          <w:sz w:val="24"/>
          <w:szCs w:val="24"/>
        </w:rPr>
        <w:t>滚动勘探井地下水环境影响评价专题报告》、《</w:t>
      </w:r>
      <w:r w:rsidR="00BC4FFF" w:rsidRPr="00092862">
        <w:rPr>
          <w:rFonts w:ascii="Times New Roman" w:eastAsia="宋体" w:hAnsi="Times New Roman" w:cs="Times New Roman"/>
          <w:color w:val="000000" w:themeColor="text1"/>
          <w:sz w:val="24"/>
          <w:szCs w:val="24"/>
        </w:rPr>
        <w:t>M506-1T</w:t>
      </w:r>
      <w:r w:rsidR="00BC4FFF" w:rsidRPr="00092862">
        <w:rPr>
          <w:rFonts w:ascii="Times New Roman" w:eastAsia="宋体" w:hAnsi="Times New Roman" w:cs="Times New Roman"/>
          <w:color w:val="000000" w:themeColor="text1"/>
          <w:sz w:val="24"/>
          <w:szCs w:val="24"/>
        </w:rPr>
        <w:t>井产能建设项目地下水环境影响评价专题报告》、《大湾</w:t>
      </w:r>
      <w:r w:rsidR="00BC4FFF" w:rsidRPr="00092862">
        <w:rPr>
          <w:rFonts w:ascii="Times New Roman" w:eastAsia="宋体" w:hAnsi="Times New Roman" w:cs="Times New Roman"/>
          <w:color w:val="000000" w:themeColor="text1"/>
          <w:sz w:val="24"/>
          <w:szCs w:val="24"/>
        </w:rPr>
        <w:t>4</w:t>
      </w:r>
      <w:r w:rsidR="00BC4FFF" w:rsidRPr="00092862">
        <w:rPr>
          <w:rFonts w:ascii="Times New Roman" w:eastAsia="宋体" w:hAnsi="Times New Roman" w:cs="Times New Roman"/>
          <w:color w:val="000000" w:themeColor="text1"/>
          <w:sz w:val="24"/>
          <w:szCs w:val="24"/>
        </w:rPr>
        <w:t>井探工程地下水环境影响评价专题报告</w:t>
      </w:r>
      <w:r w:rsidR="00BC4FFF" w:rsidRPr="00092862">
        <w:rPr>
          <w:rFonts w:ascii="Times New Roman" w:eastAsia="宋体" w:hAnsi="Times New Roman" w:cs="Times New Roman"/>
          <w:color w:val="000000" w:themeColor="text1"/>
          <w:sz w:val="24"/>
          <w:szCs w:val="24"/>
        </w:rPr>
        <w:t xml:space="preserve"> </w:t>
      </w:r>
      <w:r w:rsidR="00BC4FFF" w:rsidRPr="00092862">
        <w:rPr>
          <w:rFonts w:ascii="Times New Roman" w:eastAsia="宋体" w:hAnsi="Times New Roman" w:cs="Times New Roman"/>
          <w:color w:val="000000" w:themeColor="text1"/>
          <w:sz w:val="24"/>
          <w:szCs w:val="24"/>
        </w:rPr>
        <w:t>西南交通大学地球科学与环境工程学院</w:t>
      </w:r>
      <w:r w:rsidR="00BC4FFF" w:rsidRPr="00092862">
        <w:rPr>
          <w:rFonts w:ascii="Times New Roman" w:eastAsia="宋体" w:hAnsi="Times New Roman" w:cs="Times New Roman"/>
          <w:color w:val="000000" w:themeColor="text1"/>
          <w:sz w:val="24"/>
          <w:szCs w:val="24"/>
        </w:rPr>
        <w:t xml:space="preserve"> 2018.8</w:t>
      </w:r>
      <w:r w:rsidR="00BC4FFF"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的地下水环境影响评价成果来选取水文地质参数。</w:t>
      </w:r>
      <w:r w:rsidR="00EE281B" w:rsidRPr="00092862">
        <w:rPr>
          <w:rFonts w:ascii="Times New Roman" w:eastAsia="宋体" w:hAnsi="Times New Roman" w:cs="Times New Roman"/>
          <w:color w:val="000000" w:themeColor="text1"/>
          <w:sz w:val="24"/>
          <w:szCs w:val="24"/>
        </w:rPr>
        <w:t>根据附图</w:t>
      </w:r>
      <w:r w:rsidR="00EE281B" w:rsidRPr="00092862">
        <w:rPr>
          <w:rFonts w:ascii="Times New Roman" w:eastAsia="宋体" w:hAnsi="Times New Roman" w:cs="Times New Roman"/>
          <w:color w:val="000000" w:themeColor="text1"/>
          <w:sz w:val="24"/>
          <w:szCs w:val="24"/>
        </w:rPr>
        <w:t>11</w:t>
      </w:r>
      <w:r w:rsidR="00EE281B" w:rsidRPr="00092862">
        <w:rPr>
          <w:rFonts w:ascii="Times New Roman" w:eastAsia="宋体" w:hAnsi="Times New Roman" w:cs="Times New Roman"/>
          <w:color w:val="000000" w:themeColor="text1"/>
          <w:sz w:val="24"/>
          <w:szCs w:val="24"/>
        </w:rPr>
        <w:t>可知</w:t>
      </w:r>
      <w:r w:rsidR="00D4705A" w:rsidRPr="00092862">
        <w:rPr>
          <w:rFonts w:ascii="Times New Roman" w:eastAsia="宋体" w:hAnsi="Times New Roman" w:cs="Times New Roman"/>
          <w:color w:val="000000" w:themeColor="text1"/>
          <w:sz w:val="24"/>
          <w:szCs w:val="24"/>
        </w:rPr>
        <w:t>老君</w:t>
      </w:r>
      <w:r w:rsidR="00D4705A" w:rsidRPr="00092862">
        <w:rPr>
          <w:rFonts w:ascii="Times New Roman" w:eastAsia="宋体" w:hAnsi="Times New Roman" w:cs="Times New Roman"/>
          <w:color w:val="000000" w:themeColor="text1"/>
          <w:sz w:val="24"/>
          <w:szCs w:val="24"/>
        </w:rPr>
        <w:t>4</w:t>
      </w:r>
      <w:r w:rsidR="00D4705A" w:rsidRPr="00092862">
        <w:rPr>
          <w:rFonts w:ascii="Times New Roman" w:eastAsia="宋体" w:hAnsi="Times New Roman" w:cs="Times New Roman"/>
          <w:color w:val="000000" w:themeColor="text1"/>
          <w:sz w:val="24"/>
          <w:szCs w:val="24"/>
        </w:rPr>
        <w:t>井、老君</w:t>
      </w:r>
      <w:r w:rsidR="00D4705A" w:rsidRPr="00092862">
        <w:rPr>
          <w:rFonts w:ascii="Times New Roman" w:eastAsia="宋体" w:hAnsi="Times New Roman" w:cs="Times New Roman"/>
          <w:color w:val="000000" w:themeColor="text1"/>
          <w:sz w:val="24"/>
          <w:szCs w:val="24"/>
        </w:rPr>
        <w:t>701-3H</w:t>
      </w:r>
      <w:r w:rsidR="00C90463" w:rsidRPr="00092862">
        <w:rPr>
          <w:rFonts w:ascii="Times New Roman" w:eastAsia="宋体" w:hAnsi="Times New Roman" w:cs="Times New Roman"/>
          <w:color w:val="000000" w:themeColor="text1"/>
          <w:sz w:val="24"/>
          <w:szCs w:val="24"/>
        </w:rPr>
        <w:t>井、</w:t>
      </w:r>
      <w:r w:rsidR="00EE281B" w:rsidRPr="00092862">
        <w:rPr>
          <w:rFonts w:ascii="Times New Roman" w:eastAsia="宋体" w:hAnsi="Times New Roman" w:cs="Times New Roman"/>
          <w:color w:val="000000" w:themeColor="text1"/>
          <w:sz w:val="24"/>
          <w:szCs w:val="24"/>
        </w:rPr>
        <w:t>大湾</w:t>
      </w:r>
      <w:r w:rsidR="00EE281B" w:rsidRPr="00092862">
        <w:rPr>
          <w:rFonts w:ascii="Times New Roman" w:eastAsia="宋体" w:hAnsi="Times New Roman" w:cs="Times New Roman"/>
          <w:color w:val="000000" w:themeColor="text1"/>
          <w:sz w:val="24"/>
          <w:szCs w:val="24"/>
        </w:rPr>
        <w:t>406</w:t>
      </w:r>
      <w:r w:rsidR="00EE281B" w:rsidRPr="00092862">
        <w:rPr>
          <w:rFonts w:ascii="Times New Roman" w:eastAsia="宋体" w:hAnsi="Times New Roman" w:cs="Times New Roman"/>
          <w:color w:val="000000" w:themeColor="text1"/>
          <w:sz w:val="24"/>
          <w:szCs w:val="24"/>
        </w:rPr>
        <w:t>井、大湾</w:t>
      </w:r>
      <w:r w:rsidR="00EE281B" w:rsidRPr="00092862">
        <w:rPr>
          <w:rFonts w:ascii="Times New Roman" w:eastAsia="宋体" w:hAnsi="Times New Roman" w:cs="Times New Roman"/>
          <w:color w:val="000000" w:themeColor="text1"/>
          <w:sz w:val="24"/>
          <w:szCs w:val="24"/>
        </w:rPr>
        <w:t>4</w:t>
      </w:r>
      <w:r w:rsidR="00EE281B" w:rsidRPr="00092862">
        <w:rPr>
          <w:rFonts w:ascii="Times New Roman" w:eastAsia="宋体" w:hAnsi="Times New Roman" w:cs="Times New Roman"/>
          <w:color w:val="000000" w:themeColor="text1"/>
          <w:sz w:val="24"/>
          <w:szCs w:val="24"/>
        </w:rPr>
        <w:t>井与</w:t>
      </w:r>
      <w:r w:rsidR="00EE281B" w:rsidRPr="00092862">
        <w:rPr>
          <w:rFonts w:ascii="Times New Roman" w:eastAsia="宋体" w:hAnsi="Times New Roman" w:cs="Times New Roman"/>
          <w:color w:val="000000" w:themeColor="text1"/>
          <w:sz w:val="24"/>
          <w:szCs w:val="24"/>
        </w:rPr>
        <w:t>M506-1T</w:t>
      </w:r>
      <w:r w:rsidR="00EE281B" w:rsidRPr="00092862">
        <w:rPr>
          <w:rFonts w:ascii="Times New Roman" w:eastAsia="宋体" w:hAnsi="Times New Roman" w:cs="Times New Roman"/>
          <w:color w:val="000000" w:themeColor="text1"/>
          <w:sz w:val="24"/>
          <w:szCs w:val="24"/>
        </w:rPr>
        <w:t>井均位于本项目周边较近区域，地下水类型均以裂隙水为主</w:t>
      </w:r>
      <w:r w:rsidR="00FE60A0" w:rsidRPr="00092862">
        <w:rPr>
          <w:rFonts w:ascii="Times New Roman" w:eastAsia="宋体" w:hAnsi="Times New Roman" w:cs="Times New Roman"/>
          <w:color w:val="000000" w:themeColor="text1"/>
          <w:sz w:val="24"/>
          <w:szCs w:val="24"/>
        </w:rPr>
        <w:t>。地下水赋存于侏罗系</w:t>
      </w:r>
      <w:r w:rsidR="00C90463" w:rsidRPr="00092862">
        <w:rPr>
          <w:rFonts w:ascii="Times New Roman" w:eastAsia="宋体" w:hAnsi="Times New Roman" w:cs="Times New Roman"/>
          <w:color w:val="000000" w:themeColor="text1"/>
          <w:sz w:val="24"/>
          <w:szCs w:val="24"/>
        </w:rPr>
        <w:t>上</w:t>
      </w:r>
      <w:r w:rsidR="00FE60A0" w:rsidRPr="00092862">
        <w:rPr>
          <w:rFonts w:ascii="Times New Roman" w:eastAsia="宋体" w:hAnsi="Times New Roman" w:cs="Times New Roman"/>
          <w:color w:val="000000" w:themeColor="text1"/>
          <w:sz w:val="24"/>
          <w:szCs w:val="24"/>
        </w:rPr>
        <w:t>统</w:t>
      </w:r>
      <w:r w:rsidR="00C90463" w:rsidRPr="00092862">
        <w:rPr>
          <w:rFonts w:ascii="Times New Roman" w:eastAsia="宋体" w:hAnsi="Times New Roman" w:cs="Times New Roman"/>
          <w:color w:val="000000" w:themeColor="text1"/>
          <w:sz w:val="24"/>
          <w:szCs w:val="24"/>
        </w:rPr>
        <w:t>蓬莱镇</w:t>
      </w:r>
      <w:r w:rsidR="00FE60A0" w:rsidRPr="00092862">
        <w:rPr>
          <w:rFonts w:ascii="Times New Roman" w:eastAsia="宋体" w:hAnsi="Times New Roman" w:cs="Times New Roman"/>
          <w:color w:val="000000" w:themeColor="text1"/>
          <w:sz w:val="24"/>
          <w:szCs w:val="24"/>
        </w:rPr>
        <w:t>组（</w:t>
      </w:r>
      <w:r w:rsidR="00FE60A0" w:rsidRPr="00092862">
        <w:rPr>
          <w:rFonts w:ascii="Times New Roman" w:eastAsia="宋体" w:hAnsi="Times New Roman" w:cs="Times New Roman"/>
          <w:color w:val="000000" w:themeColor="text1"/>
          <w:sz w:val="24"/>
          <w:szCs w:val="24"/>
        </w:rPr>
        <w:t>J</w:t>
      </w:r>
      <w:r w:rsidR="00C90463" w:rsidRPr="00092862">
        <w:rPr>
          <w:rFonts w:ascii="Times New Roman" w:eastAsia="宋体" w:hAnsi="Times New Roman" w:cs="Times New Roman"/>
          <w:color w:val="000000" w:themeColor="text1"/>
          <w:sz w:val="24"/>
          <w:szCs w:val="24"/>
          <w:vertAlign w:val="subscript"/>
        </w:rPr>
        <w:t>3</w:t>
      </w:r>
      <w:r w:rsidR="00C90463" w:rsidRPr="00092862">
        <w:rPr>
          <w:rFonts w:ascii="Times New Roman" w:eastAsia="宋体" w:hAnsi="Times New Roman" w:cs="Times New Roman"/>
          <w:color w:val="000000" w:themeColor="text1"/>
          <w:sz w:val="24"/>
          <w:szCs w:val="24"/>
        </w:rPr>
        <w:t>p</w:t>
      </w:r>
      <w:r w:rsidR="00C90463" w:rsidRPr="00092862">
        <w:rPr>
          <w:rFonts w:ascii="Times New Roman" w:eastAsia="宋体" w:hAnsi="Times New Roman" w:cs="Times New Roman"/>
          <w:color w:val="000000" w:themeColor="text1"/>
          <w:sz w:val="24"/>
          <w:szCs w:val="24"/>
          <w:vertAlign w:val="subscript"/>
        </w:rPr>
        <w:t>2</w:t>
      </w:r>
      <w:r w:rsidR="00FE60A0" w:rsidRPr="00092862">
        <w:rPr>
          <w:rFonts w:ascii="Times New Roman" w:eastAsia="宋体" w:hAnsi="Times New Roman" w:cs="Times New Roman"/>
          <w:color w:val="000000" w:themeColor="text1"/>
          <w:sz w:val="24"/>
          <w:szCs w:val="24"/>
        </w:rPr>
        <w:t>）构造裂隙中，砂岩为主要含水层。</w:t>
      </w:r>
    </w:p>
    <w:p w14:paraId="7170F1DF" w14:textId="695BE8E3" w:rsidR="00D553FF" w:rsidRPr="00092862" w:rsidRDefault="00D553FF" w:rsidP="00D553FF">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242" w:name="_Toc120173166"/>
      <w:r w:rsidRPr="00092862">
        <w:rPr>
          <w:rFonts w:ascii="Times New Roman" w:eastAsia="黑体" w:hAnsi="Times New Roman"/>
          <w:b w:val="0"/>
          <w:color w:val="000000" w:themeColor="text1"/>
          <w:sz w:val="24"/>
          <w:szCs w:val="24"/>
          <w:lang w:eastAsia="zh-CN"/>
        </w:rPr>
        <w:t>5.</w:t>
      </w:r>
      <w:r w:rsidR="00CA20DF"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w:t>
      </w:r>
      <w:r w:rsidR="003C3813" w:rsidRPr="00092862">
        <w:rPr>
          <w:rFonts w:ascii="Times New Roman" w:eastAsia="黑体" w:hAnsi="Times New Roman"/>
          <w:b w:val="0"/>
          <w:color w:val="000000" w:themeColor="text1"/>
          <w:sz w:val="24"/>
          <w:szCs w:val="24"/>
          <w:lang w:eastAsia="zh-CN"/>
        </w:rPr>
        <w:t>5</w:t>
      </w:r>
      <w:r w:rsidRPr="00092862">
        <w:rPr>
          <w:rFonts w:ascii="Times New Roman" w:eastAsia="黑体" w:hAnsi="Times New Roman"/>
          <w:b w:val="0"/>
          <w:color w:val="000000" w:themeColor="text1"/>
          <w:sz w:val="24"/>
          <w:szCs w:val="24"/>
          <w:lang w:eastAsia="zh-CN"/>
        </w:rPr>
        <w:t>地下水污染源源强分析</w:t>
      </w:r>
      <w:bookmarkEnd w:id="242"/>
    </w:p>
    <w:p w14:paraId="14FBFC90" w14:textId="77777777" w:rsidR="00D553FF" w:rsidRPr="00092862" w:rsidRDefault="00D553FF" w:rsidP="00D553F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、产污环节分析</w:t>
      </w:r>
    </w:p>
    <w:p w14:paraId="2214E03A" w14:textId="2D1AEC4F" w:rsidR="00D553FF" w:rsidRPr="00092862" w:rsidRDefault="00D553FF" w:rsidP="00D553F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钻前工程施工时间短，废水产生量小且为一般施工废水，无特殊污染物，回用于洒水降尘不会对地下水环境造成影响；采气</w:t>
      </w:r>
      <w:r w:rsidR="001A6854"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产生气田水由</w:t>
      </w:r>
      <w:r w:rsidR="00021A23" w:rsidRPr="00092862">
        <w:rPr>
          <w:rFonts w:ascii="Times New Roman" w:eastAsia="宋体" w:hAnsi="Times New Roman" w:cs="Times New Roman"/>
          <w:bCs/>
          <w:color w:val="000000" w:themeColor="text1"/>
          <w:sz w:val="24"/>
          <w:szCs w:val="24"/>
        </w:rPr>
        <w:t>火炬分液</w:t>
      </w:r>
      <w:r w:rsidRPr="00092862">
        <w:rPr>
          <w:rFonts w:ascii="Times New Roman" w:eastAsia="宋体" w:hAnsi="Times New Roman" w:cs="Times New Roman"/>
          <w:bCs/>
          <w:color w:val="000000" w:themeColor="text1"/>
          <w:sz w:val="24"/>
          <w:szCs w:val="24"/>
        </w:rPr>
        <w:t>罐收集后外运处理，污水罐设置于防渗区，事故情况下也难以入渗地下水系统，</w:t>
      </w:r>
      <w:r w:rsidR="00A30905" w:rsidRPr="00092862">
        <w:rPr>
          <w:rFonts w:ascii="Times New Roman" w:eastAsia="宋体" w:hAnsi="Times New Roman" w:cs="Times New Roman"/>
          <w:bCs/>
          <w:color w:val="000000" w:themeColor="text1"/>
          <w:sz w:val="24"/>
          <w:szCs w:val="24"/>
        </w:rPr>
        <w:t>钻井工程生活污水</w:t>
      </w:r>
      <w:r w:rsidR="00271DF7" w:rsidRPr="00092862">
        <w:rPr>
          <w:rFonts w:ascii="Times New Roman" w:eastAsia="宋体" w:hAnsi="Times New Roman" w:cs="Times New Roman"/>
          <w:color w:val="000000" w:themeColor="text1"/>
          <w:sz w:val="24"/>
          <w:szCs w:val="24"/>
        </w:rPr>
        <w:t>经生态厕所收集后定期由密闭罐车拉运至周边生活污水处理厂处理</w:t>
      </w:r>
      <w:r w:rsidRPr="00092862">
        <w:rPr>
          <w:rFonts w:ascii="Times New Roman" w:eastAsia="宋体" w:hAnsi="Times New Roman" w:cs="Times New Roman"/>
          <w:bCs/>
          <w:color w:val="000000" w:themeColor="text1"/>
          <w:sz w:val="24"/>
          <w:szCs w:val="24"/>
        </w:rPr>
        <w:t>，都不会对地下水造成污染</w:t>
      </w:r>
      <w:r w:rsidR="00A30905" w:rsidRPr="00092862">
        <w:rPr>
          <w:rFonts w:ascii="Times New Roman" w:eastAsia="宋体" w:hAnsi="Times New Roman" w:cs="Times New Roman"/>
          <w:bCs/>
          <w:color w:val="000000" w:themeColor="text1"/>
          <w:sz w:val="24"/>
          <w:szCs w:val="24"/>
        </w:rPr>
        <w:t>；</w:t>
      </w:r>
      <w:r w:rsidR="00271DF7" w:rsidRPr="00092862">
        <w:rPr>
          <w:rFonts w:ascii="Times New Roman" w:eastAsia="宋体" w:hAnsi="Times New Roman" w:cs="Times New Roman"/>
          <w:color w:val="000000" w:themeColor="text1"/>
          <w:sz w:val="24"/>
          <w:szCs w:val="24"/>
        </w:rPr>
        <w:t>试采期工作人员生活污水经站场化粪池处理后定期由密闭罐车拉运至周边生活污水处理厂处理</w:t>
      </w:r>
      <w:r w:rsidRPr="00092862">
        <w:rPr>
          <w:rFonts w:ascii="Times New Roman" w:eastAsia="宋体" w:hAnsi="Times New Roman" w:cs="Times New Roman"/>
          <w:bCs/>
          <w:color w:val="000000" w:themeColor="text1"/>
          <w:sz w:val="24"/>
          <w:szCs w:val="24"/>
        </w:rPr>
        <w:t>。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14:paraId="15EAE897" w14:textId="77777777" w:rsidR="00D553FF" w:rsidRPr="00092862" w:rsidRDefault="00D553FF" w:rsidP="00D553F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bookmarkStart w:id="243" w:name="_Toc14702812"/>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、地下水污染源分析</w:t>
      </w:r>
      <w:bookmarkEnd w:id="243"/>
    </w:p>
    <w:p w14:paraId="6FE9A253" w14:textId="77777777" w:rsidR="00D553FF" w:rsidRPr="00092862" w:rsidRDefault="00D553FF" w:rsidP="00D553FF">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bookmarkStart w:id="244" w:name="_Toc29002"/>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）正常状况</w:t>
      </w:r>
    </w:p>
    <w:p w14:paraId="71053034" w14:textId="580CFB3F" w:rsidR="00D9111A"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本项目钻井工程</w:t>
      </w:r>
      <w:r w:rsidR="00BC4FFF" w:rsidRPr="00092862">
        <w:rPr>
          <w:rFonts w:ascii="Times New Roman" w:eastAsia="宋体" w:hAnsi="Times New Roman" w:cs="Times New Roman"/>
          <w:color w:val="000000" w:themeColor="text1"/>
          <w:sz w:val="24"/>
          <w:szCs w:val="24"/>
        </w:rPr>
        <w:t>不涉及浅层钻</w:t>
      </w:r>
      <w:r w:rsidR="009212EC" w:rsidRPr="00092862">
        <w:rPr>
          <w:rFonts w:ascii="Times New Roman" w:eastAsia="宋体" w:hAnsi="Times New Roman" w:cs="Times New Roman"/>
          <w:color w:val="000000" w:themeColor="text1"/>
          <w:sz w:val="24"/>
          <w:szCs w:val="24"/>
        </w:rPr>
        <w:t>，因此钻井作业钻井液漏失对地下水基本无影响，本次评价不做预测。</w:t>
      </w:r>
    </w:p>
    <w:p w14:paraId="6F172403"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的地下水污染源主要来自钻井废水、废钻井泥浆、作业废液、放喷池污水以及柴油机房、储备罐中的油类物质等的泄漏和外溢，这些物质都放置在相应的储备罐或储存池中，一般情况下，只要对各种地下水污染源及时采取回用、转运、防渗等方式处理，就不会对地下水水质产生大的影响。与此同时，井场选址于地质稳定地带，也不受当地河水洪灾危险，正常状况下废水外溢及下渗造成地下水污染的可能性极小。</w:t>
      </w:r>
    </w:p>
    <w:p w14:paraId="65CD814C" w14:textId="7AE77D93"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本工程按《环境影响评价技术导则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地下水环境》（</w:t>
      </w:r>
      <w:r w:rsidRPr="00092862">
        <w:rPr>
          <w:rFonts w:ascii="Times New Roman" w:eastAsia="宋体" w:hAnsi="Times New Roman" w:cs="Times New Roman"/>
          <w:color w:val="000000" w:themeColor="text1"/>
          <w:sz w:val="24"/>
          <w:szCs w:val="24"/>
        </w:rPr>
        <w:t>HJ 610-2016</w:t>
      </w:r>
      <w:r w:rsidRPr="00092862">
        <w:rPr>
          <w:rFonts w:ascii="Times New Roman" w:eastAsia="宋体" w:hAnsi="Times New Roman" w:cs="Times New Roman"/>
          <w:color w:val="000000" w:themeColor="text1"/>
          <w:sz w:val="24"/>
          <w:szCs w:val="24"/>
        </w:rPr>
        <w:t>）和《石油化工工程防渗技术规范》（</w:t>
      </w:r>
      <w:r w:rsidRPr="00092862">
        <w:rPr>
          <w:rFonts w:ascii="Times New Roman" w:eastAsia="宋体" w:hAnsi="Times New Roman" w:cs="Times New Roman"/>
          <w:color w:val="000000" w:themeColor="text1"/>
          <w:sz w:val="24"/>
          <w:szCs w:val="24"/>
        </w:rPr>
        <w:t>GB/T50934-2013</w:t>
      </w:r>
      <w:r w:rsidRPr="00092862">
        <w:rPr>
          <w:rFonts w:ascii="Times New Roman" w:eastAsia="宋体" w:hAnsi="Times New Roman" w:cs="Times New Roman"/>
          <w:color w:val="000000" w:themeColor="text1"/>
          <w:sz w:val="24"/>
          <w:szCs w:val="24"/>
        </w:rPr>
        <w:t>）设计地下水防渗措施，根据《环境影响评价技术导则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地下水环境》（</w:t>
      </w:r>
      <w:r w:rsidRPr="00092862">
        <w:rPr>
          <w:rFonts w:ascii="Times New Roman" w:eastAsia="宋体" w:hAnsi="Times New Roman" w:cs="Times New Roman"/>
          <w:color w:val="000000" w:themeColor="text1"/>
          <w:sz w:val="24"/>
          <w:szCs w:val="24"/>
        </w:rPr>
        <w:t>HJ 610-2016</w:t>
      </w:r>
      <w:r w:rsidRPr="00092862">
        <w:rPr>
          <w:rFonts w:ascii="Times New Roman" w:eastAsia="宋体" w:hAnsi="Times New Roman" w:cs="Times New Roman"/>
          <w:color w:val="000000" w:themeColor="text1"/>
          <w:sz w:val="24"/>
          <w:szCs w:val="24"/>
        </w:rPr>
        <w:t>）中</w:t>
      </w:r>
      <w:r w:rsidRPr="00092862">
        <w:rPr>
          <w:rFonts w:ascii="Times New Roman" w:eastAsia="宋体" w:hAnsi="Times New Roman" w:cs="Times New Roman"/>
          <w:color w:val="000000" w:themeColor="text1"/>
          <w:sz w:val="24"/>
          <w:szCs w:val="24"/>
        </w:rPr>
        <w:t>9.4.2</w:t>
      </w:r>
      <w:r w:rsidRPr="00092862">
        <w:rPr>
          <w:rFonts w:ascii="Times New Roman" w:eastAsia="宋体" w:hAnsi="Times New Roman" w:cs="Times New Roman"/>
          <w:color w:val="000000" w:themeColor="text1"/>
          <w:sz w:val="24"/>
          <w:szCs w:val="24"/>
        </w:rPr>
        <w:t>，本工程不进行正常状况情景下的预测。</w:t>
      </w:r>
    </w:p>
    <w:p w14:paraId="17E62457" w14:textId="77777777" w:rsidR="00D553FF" w:rsidRPr="00092862" w:rsidRDefault="00D553FF" w:rsidP="00D553FF">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）非正常状况</w:t>
      </w:r>
    </w:p>
    <w:p w14:paraId="730CEE60"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）污染源分析</w:t>
      </w:r>
    </w:p>
    <w:p w14:paraId="5221D1BC"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非正常状况下本项目对地下水可能产生的不利影响途径主要有以下几个方面：</w:t>
      </w:r>
    </w:p>
    <w:p w14:paraId="7677F2AF" w14:textId="76312D5D"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钻井初期钻井液渗入浅层地下水</w:t>
      </w:r>
      <w:r w:rsidR="00A34671" w:rsidRPr="00092862">
        <w:rPr>
          <w:rFonts w:ascii="Times New Roman" w:eastAsia="宋体" w:hAnsi="Times New Roman" w:cs="Times New Roman"/>
          <w:color w:val="000000" w:themeColor="text1"/>
          <w:sz w:val="24"/>
          <w:szCs w:val="24"/>
        </w:rPr>
        <w:t>（本项目不涉及浅层钻，不会有此泄露风险）</w:t>
      </w:r>
      <w:r w:rsidRPr="00092862">
        <w:rPr>
          <w:rFonts w:ascii="Times New Roman" w:eastAsia="宋体" w:hAnsi="Times New Roman" w:cs="Times New Roman"/>
          <w:color w:val="000000" w:themeColor="text1"/>
          <w:sz w:val="24"/>
          <w:szCs w:val="24"/>
        </w:rPr>
        <w:t>；</w:t>
      </w:r>
    </w:p>
    <w:p w14:paraId="72A61829"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14:paraId="68F9CF02"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物料跑冒滴漏，钻井过程中物料管理不严格、化学品堆放不当、柴油泄漏等物料的跑冒滴漏不同程度的污染地下水；</w:t>
      </w:r>
    </w:p>
    <w:p w14:paraId="52877224"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放喷池主要收集压裂作业废水，因防渗不到位出现返排液渗漏，有可能造成不同程度的地下水污染；</w:t>
      </w:r>
    </w:p>
    <w:p w14:paraId="3132B6EE"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⑤</w:t>
      </w:r>
      <w:r w:rsidRPr="00092862">
        <w:rPr>
          <w:rFonts w:ascii="Times New Roman" w:eastAsia="宋体" w:hAnsi="Times New Roman" w:cs="Times New Roman"/>
          <w:color w:val="000000" w:themeColor="text1"/>
          <w:sz w:val="24"/>
          <w:szCs w:val="24"/>
        </w:rPr>
        <w:t>井口作业区、泥浆循环系统区、泥浆不落地装置区散落的泥浆、废水进入井场未硬化地面入渗；</w:t>
      </w:r>
    </w:p>
    <w:p w14:paraId="01A098DD"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⑥</w:t>
      </w:r>
      <w:r w:rsidRPr="00092862">
        <w:rPr>
          <w:rFonts w:ascii="Times New Roman" w:eastAsia="宋体" w:hAnsi="Times New Roman" w:cs="Times New Roman"/>
          <w:color w:val="000000" w:themeColor="text1"/>
          <w:sz w:val="24"/>
          <w:szCs w:val="24"/>
        </w:rPr>
        <w:t>压裂过程井筒破裂，压裂液进入含水层。</w:t>
      </w:r>
    </w:p>
    <w:p w14:paraId="091505F1" w14:textId="0B10194F"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钻井施工过程中若出现上述几种非正常状况，则可能对区域地下水环境产生影响。本项目采取分区分级防渗：</w:t>
      </w:r>
      <w:r w:rsidR="00EA4054" w:rsidRPr="00092862">
        <w:rPr>
          <w:rFonts w:ascii="Times New Roman" w:eastAsia="宋体" w:hAnsi="Times New Roman" w:cs="Times New Roman"/>
          <w:color w:val="000000" w:themeColor="text1"/>
          <w:sz w:val="24"/>
          <w:szCs w:val="24"/>
        </w:rPr>
        <w:t>场地内场地内方井、泥浆循环系统区域、泥浆不落地系统区域（含油桶堆放区）、泥浆储备罐区、循环罐区、柴油罐区、放喷池、</w:t>
      </w:r>
      <w:r w:rsidR="00D774F2" w:rsidRPr="00092862">
        <w:rPr>
          <w:rFonts w:ascii="Times New Roman" w:eastAsia="宋体" w:hAnsi="Times New Roman" w:cs="Times New Roman"/>
          <w:color w:val="000000" w:themeColor="text1"/>
          <w:sz w:val="24"/>
          <w:szCs w:val="24"/>
        </w:rPr>
        <w:t>污水池</w:t>
      </w:r>
      <w:r w:rsidR="00006D9D" w:rsidRPr="00092862">
        <w:rPr>
          <w:rFonts w:ascii="Times New Roman" w:eastAsia="宋体" w:hAnsi="Times New Roman" w:cs="Times New Roman"/>
          <w:color w:val="000000" w:themeColor="text1"/>
          <w:sz w:val="24"/>
          <w:szCs w:val="24"/>
        </w:rPr>
        <w:t>、埋地管道</w:t>
      </w:r>
      <w:r w:rsidR="00EA4054" w:rsidRPr="00092862">
        <w:rPr>
          <w:rFonts w:ascii="Times New Roman" w:eastAsia="宋体" w:hAnsi="Times New Roman" w:cs="Times New Roman"/>
          <w:color w:val="000000" w:themeColor="text1"/>
          <w:sz w:val="24"/>
          <w:szCs w:val="24"/>
        </w:rPr>
        <w:t>等采取重点防渗措施；</w:t>
      </w:r>
      <w:r w:rsidR="0017502F" w:rsidRPr="00092862">
        <w:rPr>
          <w:rFonts w:ascii="Times New Roman" w:eastAsia="宋体" w:hAnsi="Times New Roman" w:cs="Times New Roman"/>
          <w:color w:val="000000" w:themeColor="text1"/>
          <w:sz w:val="24"/>
          <w:szCs w:val="24"/>
        </w:rPr>
        <w:t>井架基础、发电机房、钻井固废暂存区、气源房、材料棚、雨、污分流区域以及厕所等区域采取一般防渗措施</w:t>
      </w:r>
      <w:r w:rsidR="00EA4054" w:rsidRPr="00092862">
        <w:rPr>
          <w:rFonts w:ascii="Times New Roman" w:eastAsia="宋体" w:hAnsi="Times New Roman" w:cs="Times New Roman"/>
          <w:color w:val="000000" w:themeColor="text1"/>
          <w:sz w:val="24"/>
          <w:szCs w:val="24"/>
        </w:rPr>
        <w:t>；其他区域等采取简单防渗措施</w:t>
      </w:r>
      <w:r w:rsidRPr="00092862">
        <w:rPr>
          <w:rFonts w:ascii="Times New Roman" w:eastAsia="宋体" w:hAnsi="Times New Roman" w:cs="Times New Roman"/>
          <w:color w:val="000000" w:themeColor="text1"/>
          <w:sz w:val="24"/>
          <w:szCs w:val="24"/>
        </w:rPr>
        <w:t>。本项目除放喷池</w:t>
      </w:r>
      <w:r w:rsidR="003D4A9F" w:rsidRPr="00092862">
        <w:rPr>
          <w:rFonts w:ascii="Times New Roman" w:eastAsia="宋体" w:hAnsi="Times New Roman" w:cs="Times New Roman"/>
          <w:color w:val="000000" w:themeColor="text1"/>
          <w:sz w:val="24"/>
          <w:szCs w:val="24"/>
        </w:rPr>
        <w:t>与</w:t>
      </w:r>
      <w:r w:rsidR="00D774F2" w:rsidRPr="00092862">
        <w:rPr>
          <w:rFonts w:ascii="Times New Roman" w:eastAsia="宋体" w:hAnsi="Times New Roman" w:cs="Times New Roman"/>
          <w:color w:val="000000" w:themeColor="text1"/>
          <w:sz w:val="24"/>
          <w:szCs w:val="24"/>
        </w:rPr>
        <w:t>污水池</w:t>
      </w:r>
      <w:r w:rsidRPr="00092862">
        <w:rPr>
          <w:rFonts w:ascii="Times New Roman" w:eastAsia="宋体" w:hAnsi="Times New Roman" w:cs="Times New Roman"/>
          <w:color w:val="000000" w:themeColor="text1"/>
          <w:sz w:val="24"/>
          <w:szCs w:val="24"/>
        </w:rPr>
        <w:t>直接采用池体外，其他存放污水和泥浆装置均为罐体且安装于防渗地面上，能及时发现泄漏和收集处理，放喷池使用时间短且重点防渗，同时对跑冒滴漏等散落在井场的</w:t>
      </w:r>
      <w:r w:rsidRPr="00092862">
        <w:rPr>
          <w:rFonts w:ascii="Times New Roman" w:eastAsia="宋体" w:hAnsi="Times New Roman" w:cs="Times New Roman"/>
          <w:color w:val="000000" w:themeColor="text1"/>
          <w:sz w:val="24"/>
          <w:szCs w:val="24"/>
        </w:rPr>
        <w:lastRenderedPageBreak/>
        <w:t>污染物及时收集，可有效避免地表污染物入渗。因此非正常情况下，对地下水可能造成的影响的主要是放喷池泄漏和压裂过程井筒破裂。</w:t>
      </w:r>
    </w:p>
    <w:p w14:paraId="0691B61D"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）源强分析</w:t>
      </w:r>
    </w:p>
    <w:p w14:paraId="1F04210F"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废水泄漏</w:t>
      </w:r>
    </w:p>
    <w:p w14:paraId="7C750636" w14:textId="1943AB57" w:rsidR="00D553FF" w:rsidRPr="00092862" w:rsidRDefault="00D553FF" w:rsidP="00D553FF">
      <w:pPr>
        <w:adjustRightInd w:val="0"/>
        <w:snapToGrid w:val="0"/>
        <w:spacing w:line="360" w:lineRule="auto"/>
        <w:ind w:firstLineChars="200" w:firstLine="480"/>
        <w:rPr>
          <w:rFonts w:ascii="Times New Roman" w:eastAsia="宋体" w:hAnsi="Times New Roman" w:cs="Times New Roman"/>
          <w:snapToGrid w:val="0"/>
          <w:color w:val="000000" w:themeColor="text1"/>
          <w:sz w:val="24"/>
          <w:szCs w:val="24"/>
        </w:rPr>
      </w:pPr>
      <w:r w:rsidRPr="00092862">
        <w:rPr>
          <w:rFonts w:ascii="Times New Roman" w:eastAsia="宋体" w:hAnsi="Times New Roman" w:cs="Times New Roman"/>
          <w:snapToGrid w:val="0"/>
          <w:color w:val="000000" w:themeColor="text1"/>
          <w:sz w:val="24"/>
          <w:szCs w:val="24"/>
        </w:rPr>
        <w:t>本项目在井场界外</w:t>
      </w:r>
      <w:r w:rsidR="00D4705A" w:rsidRPr="00092862">
        <w:rPr>
          <w:rFonts w:ascii="Times New Roman" w:eastAsia="宋体" w:hAnsi="Times New Roman" w:cs="Times New Roman"/>
          <w:snapToGrid w:val="0"/>
          <w:color w:val="000000" w:themeColor="text1"/>
          <w:sz w:val="24"/>
          <w:szCs w:val="24"/>
        </w:rPr>
        <w:t>设置</w:t>
      </w:r>
      <w:r w:rsidRPr="00092862">
        <w:rPr>
          <w:rFonts w:ascii="Times New Roman" w:eastAsia="宋体" w:hAnsi="Times New Roman" w:cs="Times New Roman"/>
          <w:snapToGrid w:val="0"/>
          <w:color w:val="000000" w:themeColor="text1"/>
          <w:sz w:val="24"/>
          <w:szCs w:val="24"/>
        </w:rPr>
        <w:t>有放喷池</w:t>
      </w:r>
      <w:r w:rsidR="003D4A9F" w:rsidRPr="00092862">
        <w:rPr>
          <w:rFonts w:ascii="Times New Roman" w:eastAsia="宋体" w:hAnsi="Times New Roman" w:cs="Times New Roman"/>
          <w:snapToGrid w:val="0"/>
          <w:color w:val="000000" w:themeColor="text1"/>
          <w:sz w:val="24"/>
          <w:szCs w:val="24"/>
        </w:rPr>
        <w:t>2</w:t>
      </w:r>
      <w:r w:rsidRPr="00092862">
        <w:rPr>
          <w:rFonts w:ascii="Times New Roman" w:eastAsia="宋体" w:hAnsi="Times New Roman" w:cs="Times New Roman"/>
          <w:snapToGrid w:val="0"/>
          <w:color w:val="000000" w:themeColor="text1"/>
          <w:sz w:val="24"/>
          <w:szCs w:val="24"/>
        </w:rPr>
        <w:t>座</w:t>
      </w:r>
      <w:r w:rsidR="00D4705A" w:rsidRPr="00092862">
        <w:rPr>
          <w:rFonts w:ascii="Times New Roman" w:eastAsia="宋体" w:hAnsi="Times New Roman" w:cs="Times New Roman"/>
          <w:snapToGrid w:val="0"/>
          <w:color w:val="000000" w:themeColor="text1"/>
          <w:sz w:val="24"/>
          <w:szCs w:val="24"/>
        </w:rPr>
        <w:t>（</w:t>
      </w:r>
      <w:r w:rsidR="00D4705A" w:rsidRPr="00092862">
        <w:rPr>
          <w:rFonts w:ascii="Times New Roman" w:eastAsia="宋体" w:hAnsi="Times New Roman" w:cs="Times New Roman"/>
          <w:snapToGrid w:val="0"/>
          <w:color w:val="000000" w:themeColor="text1"/>
          <w:sz w:val="24"/>
          <w:szCs w:val="24"/>
        </w:rPr>
        <w:t>1</w:t>
      </w:r>
      <w:r w:rsidR="00D4705A" w:rsidRPr="00092862">
        <w:rPr>
          <w:rFonts w:ascii="Times New Roman" w:eastAsia="宋体" w:hAnsi="Times New Roman" w:cs="Times New Roman"/>
          <w:snapToGrid w:val="0"/>
          <w:color w:val="000000" w:themeColor="text1"/>
          <w:sz w:val="24"/>
          <w:szCs w:val="24"/>
        </w:rPr>
        <w:t>座利旧、</w:t>
      </w:r>
      <w:r w:rsidR="00D4705A" w:rsidRPr="00092862">
        <w:rPr>
          <w:rFonts w:ascii="Times New Roman" w:eastAsia="宋体" w:hAnsi="Times New Roman" w:cs="Times New Roman"/>
          <w:snapToGrid w:val="0"/>
          <w:color w:val="000000" w:themeColor="text1"/>
          <w:sz w:val="24"/>
          <w:szCs w:val="24"/>
        </w:rPr>
        <w:t>1</w:t>
      </w:r>
      <w:r w:rsidR="00D4705A" w:rsidRPr="00092862">
        <w:rPr>
          <w:rFonts w:ascii="Times New Roman" w:eastAsia="宋体" w:hAnsi="Times New Roman" w:cs="Times New Roman"/>
          <w:snapToGrid w:val="0"/>
          <w:color w:val="000000" w:themeColor="text1"/>
          <w:sz w:val="24"/>
          <w:szCs w:val="24"/>
        </w:rPr>
        <w:t>座新建）</w:t>
      </w:r>
      <w:r w:rsidRPr="00092862">
        <w:rPr>
          <w:rFonts w:ascii="Times New Roman" w:eastAsia="宋体" w:hAnsi="Times New Roman" w:cs="Times New Roman"/>
          <w:snapToGrid w:val="0"/>
          <w:color w:val="000000" w:themeColor="text1"/>
          <w:sz w:val="24"/>
          <w:szCs w:val="24"/>
        </w:rPr>
        <w:t>，</w:t>
      </w:r>
      <w:r w:rsidR="00D4705A" w:rsidRPr="00092862">
        <w:rPr>
          <w:rFonts w:ascii="Times New Roman" w:eastAsia="宋体" w:hAnsi="Times New Roman" w:cs="Times New Roman"/>
          <w:snapToGrid w:val="0"/>
          <w:color w:val="000000" w:themeColor="text1"/>
          <w:sz w:val="24"/>
          <w:szCs w:val="24"/>
        </w:rPr>
        <w:t>单座</w:t>
      </w:r>
      <w:r w:rsidRPr="00092862">
        <w:rPr>
          <w:rFonts w:ascii="Times New Roman" w:eastAsia="宋体" w:hAnsi="Times New Roman" w:cs="Times New Roman"/>
          <w:snapToGrid w:val="0"/>
          <w:color w:val="000000" w:themeColor="text1"/>
          <w:sz w:val="24"/>
          <w:szCs w:val="24"/>
        </w:rPr>
        <w:t>设计容积</w:t>
      </w:r>
      <w:r w:rsidR="00BC4FFF" w:rsidRPr="00092862">
        <w:rPr>
          <w:rFonts w:ascii="Times New Roman" w:eastAsia="宋体" w:hAnsi="Times New Roman" w:cs="Times New Roman"/>
          <w:snapToGrid w:val="0"/>
          <w:color w:val="000000" w:themeColor="text1"/>
          <w:sz w:val="24"/>
          <w:szCs w:val="24"/>
        </w:rPr>
        <w:t>3</w:t>
      </w:r>
      <w:r w:rsidRPr="00092862">
        <w:rPr>
          <w:rFonts w:ascii="Times New Roman" w:eastAsia="宋体" w:hAnsi="Times New Roman" w:cs="Times New Roman"/>
          <w:snapToGrid w:val="0"/>
          <w:color w:val="000000" w:themeColor="text1"/>
          <w:sz w:val="24"/>
          <w:szCs w:val="24"/>
        </w:rPr>
        <w:t>00m</w:t>
      </w:r>
      <w:r w:rsidRPr="00092862">
        <w:rPr>
          <w:rFonts w:ascii="Times New Roman" w:eastAsia="宋体" w:hAnsi="Times New Roman" w:cs="Times New Roman"/>
          <w:snapToGrid w:val="0"/>
          <w:color w:val="000000" w:themeColor="text1"/>
          <w:sz w:val="24"/>
          <w:szCs w:val="24"/>
          <w:vertAlign w:val="superscript"/>
        </w:rPr>
        <w:t>3</w:t>
      </w:r>
      <w:r w:rsidRPr="00092862">
        <w:rPr>
          <w:rFonts w:ascii="Times New Roman" w:eastAsia="宋体" w:hAnsi="Times New Roman" w:cs="Times New Roman"/>
          <w:snapToGrid w:val="0"/>
          <w:color w:val="000000" w:themeColor="text1"/>
          <w:sz w:val="24"/>
          <w:szCs w:val="24"/>
        </w:rPr>
        <w:t>，</w:t>
      </w:r>
      <w:r w:rsidR="003D4A9F" w:rsidRPr="00092862">
        <w:rPr>
          <w:rFonts w:ascii="Times New Roman" w:eastAsia="宋体" w:hAnsi="Times New Roman" w:cs="Times New Roman"/>
          <w:snapToGrid w:val="0"/>
          <w:color w:val="000000" w:themeColor="text1"/>
          <w:sz w:val="24"/>
          <w:szCs w:val="24"/>
        </w:rPr>
        <w:t>单个</w:t>
      </w:r>
      <w:r w:rsidRPr="00092862">
        <w:rPr>
          <w:rFonts w:ascii="Times New Roman" w:eastAsia="宋体" w:hAnsi="Times New Roman" w:cs="Times New Roman"/>
          <w:snapToGrid w:val="0"/>
          <w:color w:val="000000" w:themeColor="text1"/>
          <w:sz w:val="24"/>
          <w:szCs w:val="24"/>
        </w:rPr>
        <w:t>尺寸为</w:t>
      </w:r>
      <w:r w:rsidR="009D587F" w:rsidRPr="00092862">
        <w:rPr>
          <w:rFonts w:ascii="Times New Roman" w:eastAsia="宋体" w:hAnsi="Times New Roman" w:cs="Times New Roman"/>
          <w:color w:val="000000" w:themeColor="text1"/>
          <w:sz w:val="24"/>
          <w:szCs w:val="24"/>
        </w:rPr>
        <w:t>20m×10m×1.5m</w:t>
      </w:r>
      <w:r w:rsidRPr="00092862">
        <w:rPr>
          <w:rFonts w:ascii="Times New Roman" w:eastAsia="宋体" w:hAnsi="Times New Roman" w:cs="Times New Roman"/>
          <w:snapToGrid w:val="0"/>
          <w:color w:val="000000" w:themeColor="text1"/>
          <w:sz w:val="24"/>
          <w:szCs w:val="24"/>
        </w:rPr>
        <w:t>，主要在压裂期间用于暂存压裂返排液，储存时间短，在返排液进入放喷池后应及时转运返排液，储存周期不超过</w:t>
      </w:r>
      <w:r w:rsidRPr="00092862">
        <w:rPr>
          <w:rFonts w:ascii="Times New Roman" w:eastAsia="宋体" w:hAnsi="Times New Roman" w:cs="Times New Roman"/>
          <w:snapToGrid w:val="0"/>
          <w:color w:val="000000" w:themeColor="text1"/>
          <w:sz w:val="24"/>
          <w:szCs w:val="24"/>
        </w:rPr>
        <w:t>10</w:t>
      </w:r>
      <w:r w:rsidRPr="00092862">
        <w:rPr>
          <w:rFonts w:ascii="Times New Roman" w:eastAsia="宋体" w:hAnsi="Times New Roman" w:cs="Times New Roman"/>
          <w:snapToGrid w:val="0"/>
          <w:color w:val="000000" w:themeColor="text1"/>
          <w:sz w:val="24"/>
          <w:szCs w:val="24"/>
        </w:rPr>
        <w:t>天</w:t>
      </w:r>
      <w:bookmarkStart w:id="245" w:name="_Hlk89072732"/>
      <w:r w:rsidR="0050312F" w:rsidRPr="00092862">
        <w:rPr>
          <w:rFonts w:ascii="Times New Roman" w:eastAsia="宋体" w:hAnsi="Times New Roman" w:cs="Times New Roman"/>
          <w:snapToGrid w:val="0"/>
          <w:color w:val="000000" w:themeColor="text1"/>
          <w:sz w:val="24"/>
          <w:szCs w:val="24"/>
        </w:rPr>
        <w:t>（</w:t>
      </w:r>
      <w:r w:rsidR="0050312F" w:rsidRPr="00092862">
        <w:rPr>
          <w:rFonts w:ascii="Times New Roman" w:eastAsia="宋体" w:hAnsi="Times New Roman" w:cs="Times New Roman"/>
          <w:color w:val="000000" w:themeColor="text1"/>
          <w:sz w:val="24"/>
          <w:szCs w:val="24"/>
        </w:rPr>
        <w:t>本项目单井加砂压裂液的返排周期约</w:t>
      </w:r>
      <w:r w:rsidR="0050312F" w:rsidRPr="00092862">
        <w:rPr>
          <w:rFonts w:ascii="Times New Roman" w:eastAsia="宋体" w:hAnsi="Times New Roman" w:cs="Times New Roman"/>
          <w:color w:val="000000" w:themeColor="text1"/>
          <w:sz w:val="24"/>
          <w:szCs w:val="24"/>
        </w:rPr>
        <w:t>3~5d</w:t>
      </w:r>
      <w:r w:rsidR="0050312F" w:rsidRPr="00092862">
        <w:rPr>
          <w:rFonts w:ascii="Times New Roman" w:eastAsia="宋体" w:hAnsi="Times New Roman" w:cs="Times New Roman"/>
          <w:snapToGrid w:val="0"/>
          <w:color w:val="000000" w:themeColor="text1"/>
          <w:sz w:val="24"/>
          <w:szCs w:val="24"/>
        </w:rPr>
        <w:t>）</w:t>
      </w:r>
      <w:bookmarkEnd w:id="245"/>
      <w:r w:rsidR="003D4A9F" w:rsidRPr="00092862">
        <w:rPr>
          <w:rFonts w:ascii="Times New Roman" w:eastAsia="宋体" w:hAnsi="Times New Roman" w:cs="Times New Roman"/>
          <w:snapToGrid w:val="0"/>
          <w:color w:val="000000" w:themeColor="text1"/>
          <w:sz w:val="24"/>
          <w:szCs w:val="24"/>
        </w:rPr>
        <w:t>；本项目在井场界外修建有</w:t>
      </w:r>
      <w:r w:rsidR="00D774F2" w:rsidRPr="00092862">
        <w:rPr>
          <w:rFonts w:ascii="Times New Roman" w:eastAsia="宋体" w:hAnsi="Times New Roman" w:cs="Times New Roman"/>
          <w:snapToGrid w:val="0"/>
          <w:color w:val="000000" w:themeColor="text1"/>
          <w:sz w:val="24"/>
          <w:szCs w:val="24"/>
        </w:rPr>
        <w:t>污水池</w:t>
      </w:r>
      <w:r w:rsidR="003D4A9F" w:rsidRPr="00092862">
        <w:rPr>
          <w:rFonts w:ascii="Times New Roman" w:eastAsia="宋体" w:hAnsi="Times New Roman" w:cs="Times New Roman"/>
          <w:snapToGrid w:val="0"/>
          <w:color w:val="000000" w:themeColor="text1"/>
          <w:sz w:val="24"/>
          <w:szCs w:val="24"/>
        </w:rPr>
        <w:t>1</w:t>
      </w:r>
      <w:r w:rsidR="003D4A9F" w:rsidRPr="00092862">
        <w:rPr>
          <w:rFonts w:ascii="Times New Roman" w:eastAsia="宋体" w:hAnsi="Times New Roman" w:cs="Times New Roman"/>
          <w:snapToGrid w:val="0"/>
          <w:color w:val="000000" w:themeColor="text1"/>
          <w:sz w:val="24"/>
          <w:szCs w:val="24"/>
        </w:rPr>
        <w:t>座，设计容积</w:t>
      </w:r>
      <w:r w:rsidR="008B442C" w:rsidRPr="00092862">
        <w:rPr>
          <w:rFonts w:ascii="Times New Roman" w:eastAsia="宋体" w:hAnsi="Times New Roman" w:cs="Times New Roman"/>
          <w:snapToGrid w:val="0"/>
          <w:color w:val="000000" w:themeColor="text1"/>
          <w:sz w:val="24"/>
          <w:szCs w:val="24"/>
        </w:rPr>
        <w:t>16</w:t>
      </w:r>
      <w:r w:rsidR="003D4A9F" w:rsidRPr="00092862">
        <w:rPr>
          <w:rFonts w:ascii="Times New Roman" w:eastAsia="宋体" w:hAnsi="Times New Roman" w:cs="Times New Roman"/>
          <w:snapToGrid w:val="0"/>
          <w:color w:val="000000" w:themeColor="text1"/>
          <w:sz w:val="24"/>
          <w:szCs w:val="24"/>
        </w:rPr>
        <w:t>0</w:t>
      </w:r>
      <w:r w:rsidR="009D587F" w:rsidRPr="00092862">
        <w:rPr>
          <w:rFonts w:ascii="Times New Roman" w:eastAsia="宋体" w:hAnsi="Times New Roman" w:cs="Times New Roman"/>
          <w:snapToGrid w:val="0"/>
          <w:color w:val="000000" w:themeColor="text1"/>
          <w:sz w:val="24"/>
          <w:szCs w:val="24"/>
        </w:rPr>
        <w:t>0</w:t>
      </w:r>
      <w:r w:rsidR="003D4A9F" w:rsidRPr="00092862">
        <w:rPr>
          <w:rFonts w:ascii="Times New Roman" w:eastAsia="宋体" w:hAnsi="Times New Roman" w:cs="Times New Roman"/>
          <w:snapToGrid w:val="0"/>
          <w:color w:val="000000" w:themeColor="text1"/>
          <w:sz w:val="24"/>
          <w:szCs w:val="24"/>
        </w:rPr>
        <w:t>m</w:t>
      </w:r>
      <w:r w:rsidR="003D4A9F" w:rsidRPr="00092862">
        <w:rPr>
          <w:rFonts w:ascii="Times New Roman" w:eastAsia="宋体" w:hAnsi="Times New Roman" w:cs="Times New Roman"/>
          <w:snapToGrid w:val="0"/>
          <w:color w:val="000000" w:themeColor="text1"/>
          <w:sz w:val="24"/>
          <w:szCs w:val="24"/>
          <w:vertAlign w:val="superscript"/>
        </w:rPr>
        <w:t>3</w:t>
      </w:r>
      <w:r w:rsidR="003D4A9F" w:rsidRPr="00092862">
        <w:rPr>
          <w:rFonts w:ascii="Times New Roman" w:eastAsia="宋体" w:hAnsi="Times New Roman" w:cs="Times New Roman"/>
          <w:snapToGrid w:val="0"/>
          <w:color w:val="000000" w:themeColor="text1"/>
          <w:sz w:val="24"/>
          <w:szCs w:val="24"/>
        </w:rPr>
        <w:t>，尺寸为</w:t>
      </w:r>
      <w:r w:rsidR="009D587F" w:rsidRPr="00092862">
        <w:rPr>
          <w:rFonts w:ascii="Times New Roman" w:eastAsia="宋体" w:hAnsi="Times New Roman" w:cs="Times New Roman"/>
          <w:snapToGrid w:val="0"/>
          <w:color w:val="000000" w:themeColor="text1"/>
          <w:sz w:val="24"/>
          <w:szCs w:val="24"/>
        </w:rPr>
        <w:t>40</w:t>
      </w:r>
      <w:r w:rsidR="003D4A9F" w:rsidRPr="00092862">
        <w:rPr>
          <w:rFonts w:ascii="Times New Roman" w:eastAsia="宋体" w:hAnsi="Times New Roman" w:cs="Times New Roman"/>
          <w:snapToGrid w:val="0"/>
          <w:color w:val="000000" w:themeColor="text1"/>
          <w:sz w:val="24"/>
          <w:szCs w:val="24"/>
        </w:rPr>
        <w:t>m×10m×</w:t>
      </w:r>
      <w:r w:rsidR="009D587F" w:rsidRPr="00092862">
        <w:rPr>
          <w:rFonts w:ascii="Times New Roman" w:eastAsia="宋体" w:hAnsi="Times New Roman" w:cs="Times New Roman"/>
          <w:snapToGrid w:val="0"/>
          <w:color w:val="000000" w:themeColor="text1"/>
          <w:sz w:val="24"/>
          <w:szCs w:val="24"/>
        </w:rPr>
        <w:t>4</w:t>
      </w:r>
      <w:r w:rsidR="003D4A9F" w:rsidRPr="00092862">
        <w:rPr>
          <w:rFonts w:ascii="Times New Roman" w:eastAsia="宋体" w:hAnsi="Times New Roman" w:cs="Times New Roman"/>
          <w:snapToGrid w:val="0"/>
          <w:color w:val="000000" w:themeColor="text1"/>
          <w:sz w:val="24"/>
          <w:szCs w:val="24"/>
        </w:rPr>
        <w:t>m</w:t>
      </w:r>
      <w:r w:rsidR="003D4A9F" w:rsidRPr="00092862">
        <w:rPr>
          <w:rFonts w:ascii="Times New Roman" w:eastAsia="宋体" w:hAnsi="Times New Roman" w:cs="Times New Roman"/>
          <w:snapToGrid w:val="0"/>
          <w:color w:val="000000" w:themeColor="text1"/>
          <w:sz w:val="24"/>
          <w:szCs w:val="24"/>
        </w:rPr>
        <w:t>，主要</w:t>
      </w:r>
      <w:r w:rsidR="00813CA5" w:rsidRPr="00092862">
        <w:rPr>
          <w:rFonts w:ascii="Times New Roman" w:eastAsia="宋体" w:hAnsi="Times New Roman" w:cs="Times New Roman"/>
          <w:snapToGrid w:val="0"/>
          <w:color w:val="000000" w:themeColor="text1"/>
          <w:sz w:val="24"/>
          <w:szCs w:val="24"/>
        </w:rPr>
        <w:t>用于钻井废水的临时储存和应急</w:t>
      </w:r>
      <w:r w:rsidR="003D4A9F" w:rsidRPr="00092862">
        <w:rPr>
          <w:rFonts w:ascii="Times New Roman" w:eastAsia="宋体" w:hAnsi="Times New Roman" w:cs="Times New Roman"/>
          <w:snapToGrid w:val="0"/>
          <w:color w:val="000000" w:themeColor="text1"/>
          <w:sz w:val="24"/>
          <w:szCs w:val="24"/>
        </w:rPr>
        <w:t>，储存时间短，</w:t>
      </w:r>
      <w:r w:rsidR="00813CA5" w:rsidRPr="00092862">
        <w:rPr>
          <w:rFonts w:ascii="Times New Roman" w:eastAsia="宋体" w:hAnsi="Times New Roman" w:cs="Times New Roman"/>
          <w:snapToGrid w:val="0"/>
          <w:color w:val="000000" w:themeColor="text1"/>
          <w:sz w:val="24"/>
          <w:szCs w:val="24"/>
        </w:rPr>
        <w:t>钻井废水等应及时转运</w:t>
      </w:r>
      <w:r w:rsidRPr="00092862">
        <w:rPr>
          <w:rFonts w:ascii="Times New Roman" w:eastAsia="宋体" w:hAnsi="Times New Roman" w:cs="Times New Roman"/>
          <w:snapToGrid w:val="0"/>
          <w:color w:val="000000" w:themeColor="text1"/>
          <w:sz w:val="24"/>
          <w:szCs w:val="24"/>
        </w:rPr>
        <w:t>。</w:t>
      </w:r>
      <w:r w:rsidR="00813CA5" w:rsidRPr="00092862">
        <w:rPr>
          <w:rFonts w:ascii="Times New Roman" w:eastAsia="宋体" w:hAnsi="Times New Roman" w:cs="Times New Roman"/>
          <w:snapToGrid w:val="0"/>
          <w:color w:val="000000" w:themeColor="text1"/>
          <w:sz w:val="24"/>
          <w:szCs w:val="24"/>
        </w:rPr>
        <w:t>因</w:t>
      </w:r>
      <w:r w:rsidR="00D774F2" w:rsidRPr="00092862">
        <w:rPr>
          <w:rFonts w:ascii="Times New Roman" w:eastAsia="宋体" w:hAnsi="Times New Roman" w:cs="Times New Roman"/>
          <w:snapToGrid w:val="0"/>
          <w:color w:val="000000" w:themeColor="text1"/>
          <w:sz w:val="24"/>
          <w:szCs w:val="24"/>
        </w:rPr>
        <w:t>污水池</w:t>
      </w:r>
      <w:r w:rsidR="00813CA5" w:rsidRPr="00092862">
        <w:rPr>
          <w:rFonts w:ascii="Times New Roman" w:eastAsia="宋体" w:hAnsi="Times New Roman" w:cs="Times New Roman"/>
          <w:snapToGrid w:val="0"/>
          <w:color w:val="000000" w:themeColor="text1"/>
          <w:sz w:val="24"/>
          <w:szCs w:val="24"/>
        </w:rPr>
        <w:t>与放喷池发生风险事故后泄露情景相似，且放喷池池底面积较大，发生风险事故概率大于</w:t>
      </w:r>
      <w:r w:rsidR="00D774F2" w:rsidRPr="00092862">
        <w:rPr>
          <w:rFonts w:ascii="Times New Roman" w:eastAsia="宋体" w:hAnsi="Times New Roman" w:cs="Times New Roman"/>
          <w:snapToGrid w:val="0"/>
          <w:color w:val="000000" w:themeColor="text1"/>
          <w:sz w:val="24"/>
          <w:szCs w:val="24"/>
        </w:rPr>
        <w:t>污水池</w:t>
      </w:r>
      <w:r w:rsidR="00813CA5" w:rsidRPr="00092862">
        <w:rPr>
          <w:rFonts w:ascii="Times New Roman" w:eastAsia="宋体" w:hAnsi="Times New Roman" w:cs="Times New Roman"/>
          <w:snapToGrid w:val="0"/>
          <w:color w:val="000000" w:themeColor="text1"/>
          <w:sz w:val="24"/>
          <w:szCs w:val="24"/>
        </w:rPr>
        <w:t>，因此</w:t>
      </w:r>
      <w:r w:rsidRPr="00092862">
        <w:rPr>
          <w:rFonts w:ascii="Times New Roman" w:eastAsia="宋体" w:hAnsi="Times New Roman" w:cs="Times New Roman"/>
          <w:snapToGrid w:val="0"/>
          <w:color w:val="000000" w:themeColor="text1"/>
          <w:sz w:val="24"/>
          <w:szCs w:val="24"/>
        </w:rPr>
        <w:t>假定放喷池池底产生裂缝，压裂返排液通过裂缝逐渐渗漏到地下含水层中，对地下水水质造成污染，染源类型为短时源强。根据</w:t>
      </w:r>
      <w:r w:rsidR="00D774F2" w:rsidRPr="00092862">
        <w:rPr>
          <w:rFonts w:ascii="Times New Roman" w:eastAsia="宋体" w:hAnsi="Times New Roman" w:cs="Times New Roman"/>
          <w:snapToGrid w:val="0"/>
          <w:color w:val="000000" w:themeColor="text1"/>
          <w:sz w:val="24"/>
          <w:szCs w:val="24"/>
        </w:rPr>
        <w:t>污水池</w:t>
      </w:r>
      <w:r w:rsidRPr="00092862">
        <w:rPr>
          <w:rFonts w:ascii="Times New Roman" w:eastAsia="宋体" w:hAnsi="Times New Roman" w:cs="Times New Roman"/>
          <w:snapToGrid w:val="0"/>
          <w:color w:val="000000" w:themeColor="text1"/>
          <w:sz w:val="24"/>
          <w:szCs w:val="24"/>
        </w:rPr>
        <w:t>对地下水的影响途径来设定主要污染源的分布位置，选定优先控制的污染物，预测事故工况下污染物在地下水中迁移过程，进一步分析污染物影响范围、超标范围和迁出场区后浓度变化。</w:t>
      </w:r>
    </w:p>
    <w:p w14:paraId="307C524C" w14:textId="2D1B3E76"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snapToGrid w:val="0"/>
          <w:color w:val="000000" w:themeColor="text1"/>
          <w:sz w:val="24"/>
          <w:szCs w:val="24"/>
        </w:rPr>
        <w:t>根据类比防渗池体泄漏情况，一般泄漏面积因池子面积大小而不同，参考中石化、中石油放喷池检修过程中池子破损的面积统计数据，</w:t>
      </w:r>
      <w:r w:rsidR="00BC4FFF" w:rsidRPr="00092862">
        <w:rPr>
          <w:rFonts w:ascii="Times New Roman" w:eastAsia="宋体" w:hAnsi="Times New Roman" w:cs="Times New Roman"/>
          <w:snapToGrid w:val="0"/>
          <w:color w:val="000000" w:themeColor="text1"/>
          <w:sz w:val="24"/>
          <w:szCs w:val="24"/>
        </w:rPr>
        <w:t>3</w:t>
      </w:r>
      <w:r w:rsidRPr="00092862">
        <w:rPr>
          <w:rFonts w:ascii="Times New Roman" w:eastAsia="宋体" w:hAnsi="Times New Roman" w:cs="Times New Roman"/>
          <w:snapToGrid w:val="0"/>
          <w:color w:val="000000" w:themeColor="text1"/>
          <w:sz w:val="24"/>
          <w:szCs w:val="24"/>
        </w:rPr>
        <w:t>00m</w:t>
      </w:r>
      <w:r w:rsidRPr="00092862">
        <w:rPr>
          <w:rFonts w:ascii="Times New Roman" w:eastAsia="宋体" w:hAnsi="Times New Roman" w:cs="Times New Roman"/>
          <w:snapToGrid w:val="0"/>
          <w:color w:val="000000" w:themeColor="text1"/>
          <w:sz w:val="24"/>
          <w:szCs w:val="24"/>
          <w:vertAlign w:val="superscript"/>
        </w:rPr>
        <w:t>3</w:t>
      </w:r>
      <w:r w:rsidRPr="00092862">
        <w:rPr>
          <w:rFonts w:ascii="Times New Roman" w:eastAsia="宋体" w:hAnsi="Times New Roman" w:cs="Times New Roman"/>
          <w:snapToGrid w:val="0"/>
          <w:color w:val="000000" w:themeColor="text1"/>
          <w:sz w:val="24"/>
          <w:szCs w:val="24"/>
        </w:rPr>
        <w:t>放喷池破损面积在</w:t>
      </w:r>
      <w:r w:rsidRPr="00092862">
        <w:rPr>
          <w:rFonts w:ascii="Times New Roman" w:eastAsia="宋体" w:hAnsi="Times New Roman" w:cs="Times New Roman"/>
          <w:snapToGrid w:val="0"/>
          <w:color w:val="000000" w:themeColor="text1"/>
          <w:sz w:val="24"/>
          <w:szCs w:val="24"/>
        </w:rPr>
        <w:t>0~10%</w:t>
      </w:r>
      <w:r w:rsidRPr="00092862">
        <w:rPr>
          <w:rFonts w:ascii="Times New Roman" w:eastAsia="宋体" w:hAnsi="Times New Roman" w:cs="Times New Roman"/>
          <w:snapToGrid w:val="0"/>
          <w:color w:val="000000" w:themeColor="text1"/>
          <w:sz w:val="24"/>
          <w:szCs w:val="24"/>
        </w:rPr>
        <w:t>之间，大于</w:t>
      </w:r>
      <w:r w:rsidRPr="00092862">
        <w:rPr>
          <w:rFonts w:ascii="Times New Roman" w:eastAsia="宋体" w:hAnsi="Times New Roman" w:cs="Times New Roman"/>
          <w:snapToGrid w:val="0"/>
          <w:color w:val="000000" w:themeColor="text1"/>
          <w:sz w:val="24"/>
          <w:szCs w:val="24"/>
        </w:rPr>
        <w:t>10%</w:t>
      </w:r>
      <w:r w:rsidRPr="00092862">
        <w:rPr>
          <w:rFonts w:ascii="Times New Roman" w:eastAsia="宋体" w:hAnsi="Times New Roman" w:cs="Times New Roman"/>
          <w:snapToGrid w:val="0"/>
          <w:color w:val="000000" w:themeColor="text1"/>
          <w:sz w:val="24"/>
          <w:szCs w:val="24"/>
        </w:rPr>
        <w:t>的池体破损还未发现过。假定放喷池渗漏面积为池底总面积的</w:t>
      </w:r>
      <w:r w:rsidRPr="00092862">
        <w:rPr>
          <w:rFonts w:ascii="Times New Roman" w:eastAsia="宋体" w:hAnsi="Times New Roman" w:cs="Times New Roman"/>
          <w:snapToGrid w:val="0"/>
          <w:color w:val="000000" w:themeColor="text1"/>
          <w:sz w:val="24"/>
          <w:szCs w:val="24"/>
        </w:rPr>
        <w:t>10%</w:t>
      </w:r>
      <w:r w:rsidRPr="00092862">
        <w:rPr>
          <w:rFonts w:ascii="Times New Roman" w:eastAsia="宋体" w:hAnsi="Times New Roman" w:cs="Times New Roman"/>
          <w:snapToGrid w:val="0"/>
          <w:color w:val="000000" w:themeColor="text1"/>
          <w:sz w:val="24"/>
          <w:szCs w:val="24"/>
        </w:rPr>
        <w:t>（</w:t>
      </w:r>
      <w:r w:rsidR="009D587F" w:rsidRPr="00092862">
        <w:rPr>
          <w:rFonts w:ascii="Times New Roman" w:eastAsia="宋体" w:hAnsi="Times New Roman" w:cs="Times New Roman"/>
          <w:snapToGrid w:val="0"/>
          <w:color w:val="000000" w:themeColor="text1"/>
          <w:sz w:val="24"/>
          <w:szCs w:val="24"/>
        </w:rPr>
        <w:t>2</w:t>
      </w:r>
      <w:r w:rsidRPr="00092862">
        <w:rPr>
          <w:rFonts w:ascii="Times New Roman" w:eastAsia="宋体" w:hAnsi="Times New Roman" w:cs="Times New Roman"/>
          <w:snapToGrid w:val="0"/>
          <w:color w:val="000000" w:themeColor="text1"/>
          <w:sz w:val="24"/>
          <w:szCs w:val="24"/>
        </w:rPr>
        <w:t>0m</w:t>
      </w:r>
      <w:r w:rsidRPr="00092862">
        <w:rPr>
          <w:rFonts w:ascii="Times New Roman" w:eastAsia="宋体" w:hAnsi="Times New Roman" w:cs="Times New Roman"/>
          <w:snapToGrid w:val="0"/>
          <w:color w:val="000000" w:themeColor="text1"/>
          <w:sz w:val="24"/>
          <w:szCs w:val="24"/>
          <w:vertAlign w:val="superscript"/>
        </w:rPr>
        <w:t>2</w:t>
      </w:r>
      <w:r w:rsidRPr="00092862">
        <w:rPr>
          <w:rFonts w:ascii="Times New Roman" w:eastAsia="宋体" w:hAnsi="Times New Roman" w:cs="Times New Roman"/>
          <w:snapToGrid w:val="0"/>
          <w:color w:val="000000" w:themeColor="text1"/>
          <w:sz w:val="24"/>
          <w:szCs w:val="24"/>
        </w:rPr>
        <w:t>），放喷池中存储有废水，废水进入地下属于有压渗透，假定包气带充满水，按达西公式计算源强，公式如下：</w:t>
      </w:r>
    </w:p>
    <w:p w14:paraId="2C6DF578" w14:textId="05442E5D"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noProof/>
          <w:color w:val="000000" w:themeColor="text1"/>
          <w:sz w:val="24"/>
          <w:szCs w:val="24"/>
        </w:rPr>
        <w:drawing>
          <wp:inline distT="0" distB="0" distL="0" distR="0" wp14:anchorId="7536E2EF" wp14:editId="55ACDBD1">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74090" cy="379730"/>
                    </a:xfrm>
                    <a:prstGeom prst="rect">
                      <a:avLst/>
                    </a:prstGeom>
                    <a:noFill/>
                    <a:ln>
                      <a:noFill/>
                    </a:ln>
                  </pic:spPr>
                </pic:pic>
              </a:graphicData>
            </a:graphic>
          </wp:inline>
        </w:drawing>
      </w:r>
    </w:p>
    <w:p w14:paraId="116EB77E"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式中：</w:t>
      </w:r>
      <w:r w:rsidRPr="00092862">
        <w:rPr>
          <w:rFonts w:ascii="Times New Roman" w:eastAsia="宋体" w:hAnsi="Times New Roman" w:cs="Times New Roman"/>
          <w:bCs/>
          <w:color w:val="000000" w:themeColor="text1"/>
          <w:sz w:val="24"/>
          <w:szCs w:val="24"/>
        </w:rPr>
        <w:t>Q—</w:t>
      </w:r>
      <w:r w:rsidRPr="00092862">
        <w:rPr>
          <w:rFonts w:ascii="Times New Roman" w:eastAsia="宋体" w:hAnsi="Times New Roman" w:cs="Times New Roman"/>
          <w:bCs/>
          <w:color w:val="000000" w:themeColor="text1"/>
          <w:sz w:val="24"/>
          <w:szCs w:val="24"/>
        </w:rPr>
        <w:t>渗入到地下水的污水量；</w:t>
      </w:r>
    </w:p>
    <w:p w14:paraId="5F820768" w14:textId="736C6C60" w:rsidR="0050312F" w:rsidRPr="00092862" w:rsidRDefault="00D553FF" w:rsidP="00D553F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 xml:space="preserve">      </w:t>
      </w:r>
      <w:r w:rsidR="00053B30" w:rsidRPr="00092862">
        <w:rPr>
          <w:rFonts w:ascii="Times New Roman" w:eastAsia="宋体" w:hAnsi="Times New Roman" w:cs="Times New Roman"/>
          <w:bCs/>
          <w:color w:val="000000" w:themeColor="text1"/>
          <w:sz w:val="24"/>
          <w:szCs w:val="24"/>
        </w:rPr>
        <w:t xml:space="preserve">      </w:t>
      </w:r>
      <w:r w:rsidRPr="00092862">
        <w:rPr>
          <w:rFonts w:ascii="Times New Roman" w:eastAsia="宋体" w:hAnsi="Times New Roman" w:cs="Times New Roman"/>
          <w:bCs/>
          <w:color w:val="000000" w:themeColor="text1"/>
          <w:sz w:val="24"/>
          <w:szCs w:val="24"/>
        </w:rPr>
        <w:t>K—</w:t>
      </w:r>
      <w:r w:rsidRPr="00092862">
        <w:rPr>
          <w:rFonts w:ascii="Times New Roman" w:eastAsia="宋体" w:hAnsi="Times New Roman" w:cs="Times New Roman"/>
          <w:bCs/>
          <w:color w:val="000000" w:themeColor="text1"/>
          <w:sz w:val="24"/>
          <w:szCs w:val="24"/>
        </w:rPr>
        <w:t>地面垂向渗透系数，</w:t>
      </w:r>
      <w:r w:rsidRPr="00092862">
        <w:rPr>
          <w:rFonts w:ascii="Times New Roman" w:eastAsia="宋体" w:hAnsi="Times New Roman" w:cs="Times New Roman"/>
          <w:bCs/>
          <w:color w:val="000000" w:themeColor="text1"/>
          <w:sz w:val="24"/>
          <w:szCs w:val="24"/>
        </w:rPr>
        <w:t>0.</w:t>
      </w:r>
      <w:r w:rsidR="00D4705A" w:rsidRPr="00092862">
        <w:rPr>
          <w:rFonts w:ascii="Times New Roman" w:eastAsia="宋体" w:hAnsi="Times New Roman" w:cs="Times New Roman"/>
          <w:bCs/>
          <w:color w:val="000000" w:themeColor="text1"/>
          <w:sz w:val="24"/>
          <w:szCs w:val="24"/>
        </w:rPr>
        <w:t>133</w:t>
      </w:r>
      <w:r w:rsidRPr="00092862">
        <w:rPr>
          <w:rFonts w:ascii="Times New Roman" w:eastAsia="宋体" w:hAnsi="Times New Roman" w:cs="Times New Roman"/>
          <w:bCs/>
          <w:color w:val="000000" w:themeColor="text1"/>
          <w:sz w:val="24"/>
          <w:szCs w:val="24"/>
        </w:rPr>
        <w:t>m/d</w:t>
      </w:r>
      <w:r w:rsidR="001A207A" w:rsidRPr="00092862">
        <w:rPr>
          <w:rFonts w:ascii="Times New Roman" w:eastAsia="宋体" w:hAnsi="Times New Roman" w:cs="Times New Roman"/>
          <w:bCs/>
          <w:color w:val="000000" w:themeColor="text1"/>
          <w:sz w:val="24"/>
          <w:szCs w:val="24"/>
        </w:rPr>
        <w:t>（取</w:t>
      </w:r>
      <w:r w:rsidR="001A207A" w:rsidRPr="00092862">
        <w:rPr>
          <w:rFonts w:ascii="Times New Roman" w:eastAsia="宋体" w:hAnsi="Times New Roman" w:cs="Times New Roman"/>
          <w:bCs/>
          <w:color w:val="000000" w:themeColor="text1"/>
          <w:sz w:val="24"/>
          <w:szCs w:val="24"/>
        </w:rPr>
        <w:t>1.</w:t>
      </w:r>
      <w:r w:rsidR="004C7300" w:rsidRPr="00092862">
        <w:rPr>
          <w:rFonts w:ascii="Times New Roman" w:eastAsia="宋体" w:hAnsi="Times New Roman" w:cs="Times New Roman"/>
          <w:bCs/>
          <w:color w:val="000000" w:themeColor="text1"/>
          <w:sz w:val="24"/>
          <w:szCs w:val="24"/>
        </w:rPr>
        <w:t>54</w:t>
      </w:r>
      <w:r w:rsidR="001A207A" w:rsidRPr="00092862">
        <w:rPr>
          <w:rFonts w:ascii="Times New Roman" w:eastAsia="宋体" w:hAnsi="Times New Roman" w:cs="Times New Roman"/>
          <w:bCs/>
          <w:color w:val="000000" w:themeColor="text1"/>
          <w:sz w:val="24"/>
          <w:szCs w:val="24"/>
        </w:rPr>
        <w:t>×10</w:t>
      </w:r>
      <w:r w:rsidR="001A207A" w:rsidRPr="00092862">
        <w:rPr>
          <w:rFonts w:ascii="Times New Roman" w:eastAsia="宋体" w:hAnsi="Times New Roman" w:cs="Times New Roman"/>
          <w:bCs/>
          <w:color w:val="000000" w:themeColor="text1"/>
          <w:sz w:val="24"/>
          <w:szCs w:val="24"/>
          <w:vertAlign w:val="superscript"/>
        </w:rPr>
        <w:t>-4</w:t>
      </w:r>
      <w:r w:rsidR="001A207A" w:rsidRPr="00092862">
        <w:rPr>
          <w:rFonts w:ascii="Times New Roman" w:eastAsia="宋体" w:hAnsi="Times New Roman" w:cs="Times New Roman"/>
          <w:bCs/>
          <w:color w:val="000000" w:themeColor="text1"/>
          <w:sz w:val="24"/>
          <w:szCs w:val="24"/>
        </w:rPr>
        <w:t>cm/s</w:t>
      </w:r>
      <w:r w:rsidR="001A207A"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w:t>
      </w:r>
    </w:p>
    <w:p w14:paraId="1A63082F" w14:textId="77777777" w:rsidR="0050312F" w:rsidRPr="00092862" w:rsidRDefault="00D553FF" w:rsidP="0050312F">
      <w:pPr>
        <w:adjustRightInd w:val="0"/>
        <w:snapToGrid w:val="0"/>
        <w:spacing w:line="360" w:lineRule="auto"/>
        <w:ind w:firstLineChars="350" w:firstLine="84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 xml:space="preserve">      H—</w:t>
      </w:r>
      <w:r w:rsidRPr="00092862">
        <w:rPr>
          <w:rFonts w:ascii="Times New Roman" w:eastAsia="宋体" w:hAnsi="Times New Roman" w:cs="Times New Roman"/>
          <w:bCs/>
          <w:color w:val="000000" w:themeColor="text1"/>
          <w:sz w:val="24"/>
          <w:szCs w:val="24"/>
        </w:rPr>
        <w:t>池内水深，</w:t>
      </w:r>
      <w:r w:rsidR="00CB0025" w:rsidRPr="00092862">
        <w:rPr>
          <w:rFonts w:ascii="Times New Roman" w:eastAsia="宋体" w:hAnsi="Times New Roman" w:cs="Times New Roman"/>
          <w:bCs/>
          <w:color w:val="000000" w:themeColor="text1"/>
          <w:sz w:val="24"/>
          <w:szCs w:val="24"/>
        </w:rPr>
        <w:t>按可能最大水深取</w:t>
      </w:r>
      <w:r w:rsidRPr="00092862">
        <w:rPr>
          <w:rFonts w:ascii="Times New Roman" w:eastAsia="宋体" w:hAnsi="Times New Roman" w:cs="Times New Roman"/>
          <w:bCs/>
          <w:color w:val="000000" w:themeColor="text1"/>
          <w:sz w:val="24"/>
          <w:szCs w:val="24"/>
        </w:rPr>
        <w:t>1.</w:t>
      </w:r>
      <w:r w:rsidR="00CB0025"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w:t>
      </w:r>
    </w:p>
    <w:p w14:paraId="643DC006" w14:textId="6119C3B1" w:rsidR="0050312F" w:rsidRPr="00092862" w:rsidRDefault="00D553FF" w:rsidP="0050312F">
      <w:pPr>
        <w:adjustRightInd w:val="0"/>
        <w:snapToGrid w:val="0"/>
        <w:spacing w:line="360" w:lineRule="auto"/>
        <w:ind w:firstLineChars="350" w:firstLine="84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 xml:space="preserve">      D—</w:t>
      </w:r>
      <w:r w:rsidRPr="00092862">
        <w:rPr>
          <w:rFonts w:ascii="Times New Roman" w:eastAsia="宋体" w:hAnsi="Times New Roman" w:cs="Times New Roman"/>
          <w:bCs/>
          <w:color w:val="000000" w:themeColor="text1"/>
          <w:sz w:val="24"/>
          <w:szCs w:val="24"/>
        </w:rPr>
        <w:t>地下水埋深，</w:t>
      </w:r>
      <w:r w:rsidR="00053B30" w:rsidRPr="00092862">
        <w:rPr>
          <w:rFonts w:ascii="Times New Roman" w:eastAsia="宋体" w:hAnsi="Times New Roman" w:cs="Times New Roman"/>
          <w:bCs/>
          <w:color w:val="000000" w:themeColor="text1"/>
          <w:sz w:val="24"/>
          <w:szCs w:val="24"/>
        </w:rPr>
        <w:t>按最不利</w:t>
      </w:r>
      <w:r w:rsidRPr="00092862">
        <w:rPr>
          <w:rFonts w:ascii="Times New Roman" w:eastAsia="宋体" w:hAnsi="Times New Roman" w:cs="Times New Roman"/>
          <w:bCs/>
          <w:color w:val="000000" w:themeColor="text1"/>
          <w:sz w:val="24"/>
          <w:szCs w:val="24"/>
        </w:rPr>
        <w:t>场地取</w:t>
      </w:r>
      <w:r w:rsidR="004C7300" w:rsidRPr="00092862">
        <w:rPr>
          <w:rFonts w:ascii="Times New Roman" w:eastAsia="宋体" w:hAnsi="Times New Roman" w:cs="Times New Roman"/>
          <w:bCs/>
          <w:color w:val="000000" w:themeColor="text1"/>
          <w:sz w:val="24"/>
          <w:szCs w:val="24"/>
        </w:rPr>
        <w:t>15</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rPr>
        <w:t>；</w:t>
      </w:r>
    </w:p>
    <w:p w14:paraId="2FFC94ED" w14:textId="463FEB6F" w:rsidR="00D553FF" w:rsidRPr="00092862" w:rsidRDefault="00D553FF" w:rsidP="0050312F">
      <w:pPr>
        <w:adjustRightInd w:val="0"/>
        <w:snapToGrid w:val="0"/>
        <w:spacing w:line="360" w:lineRule="auto"/>
        <w:ind w:firstLineChars="350" w:firstLine="84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 xml:space="preserve">      A—</w:t>
      </w:r>
      <w:r w:rsidRPr="00092862">
        <w:rPr>
          <w:rFonts w:ascii="Times New Roman" w:eastAsia="宋体" w:hAnsi="Times New Roman" w:cs="Times New Roman"/>
          <w:bCs/>
          <w:color w:val="000000" w:themeColor="text1"/>
          <w:sz w:val="24"/>
          <w:szCs w:val="24"/>
        </w:rPr>
        <w:t>池底泄漏面积（</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），取</w:t>
      </w:r>
      <w:r w:rsidR="009D587F"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0m</w:t>
      </w:r>
      <w:r w:rsidRPr="00092862">
        <w:rPr>
          <w:rFonts w:ascii="Times New Roman" w:eastAsia="宋体" w:hAnsi="Times New Roman" w:cs="Times New Roman"/>
          <w:bCs/>
          <w:color w:val="000000" w:themeColor="text1"/>
          <w:sz w:val="24"/>
          <w:szCs w:val="24"/>
          <w:vertAlign w:val="superscript"/>
        </w:rPr>
        <w:t>2</w:t>
      </w:r>
      <w:r w:rsidRPr="00092862">
        <w:rPr>
          <w:rFonts w:ascii="Times New Roman" w:eastAsia="宋体" w:hAnsi="Times New Roman" w:cs="Times New Roman"/>
          <w:bCs/>
          <w:color w:val="000000" w:themeColor="text1"/>
          <w:sz w:val="24"/>
          <w:szCs w:val="24"/>
        </w:rPr>
        <w:t>。</w:t>
      </w:r>
    </w:p>
    <w:p w14:paraId="07EA0D69" w14:textId="2401CBC6"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szCs w:val="24"/>
        </w:rPr>
        <w:t>根据计算，本项目泄漏量约为</w:t>
      </w:r>
      <w:r w:rsidR="004C7300" w:rsidRPr="00092862">
        <w:rPr>
          <w:rFonts w:ascii="Times New Roman" w:eastAsia="宋体" w:hAnsi="Times New Roman" w:cs="Times New Roman"/>
          <w:bCs/>
          <w:color w:val="000000" w:themeColor="text1"/>
          <w:sz w:val="24"/>
          <w:szCs w:val="24"/>
        </w:rPr>
        <w:t>2.89</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，放喷池储存周期最长为</w:t>
      </w:r>
      <w:r w:rsidRPr="00092862">
        <w:rPr>
          <w:rFonts w:ascii="Times New Roman" w:eastAsia="宋体" w:hAnsi="Times New Roman" w:cs="Times New Roman"/>
          <w:bCs/>
          <w:color w:val="000000" w:themeColor="text1"/>
          <w:sz w:val="24"/>
          <w:szCs w:val="24"/>
        </w:rPr>
        <w:t>10</w:t>
      </w:r>
      <w:r w:rsidRPr="00092862">
        <w:rPr>
          <w:rFonts w:ascii="Times New Roman" w:eastAsia="宋体" w:hAnsi="Times New Roman" w:cs="Times New Roman"/>
          <w:bCs/>
          <w:color w:val="000000" w:themeColor="text1"/>
          <w:sz w:val="24"/>
          <w:szCs w:val="24"/>
        </w:rPr>
        <w:t>天，即持续渗漏持续时间为</w:t>
      </w:r>
      <w:r w:rsidRPr="00092862">
        <w:rPr>
          <w:rFonts w:ascii="Times New Roman" w:eastAsia="宋体" w:hAnsi="Times New Roman" w:cs="Times New Roman"/>
          <w:bCs/>
          <w:color w:val="000000" w:themeColor="text1"/>
          <w:sz w:val="24"/>
          <w:szCs w:val="24"/>
        </w:rPr>
        <w:t>10d</w:t>
      </w:r>
      <w:r w:rsidRPr="00092862">
        <w:rPr>
          <w:rFonts w:ascii="Times New Roman" w:eastAsia="宋体" w:hAnsi="Times New Roman" w:cs="Times New Roman"/>
          <w:bCs/>
          <w:color w:val="000000" w:themeColor="text1"/>
          <w:sz w:val="24"/>
          <w:szCs w:val="24"/>
        </w:rPr>
        <w:t>，渗漏量为</w:t>
      </w:r>
      <w:r w:rsidR="004C7300" w:rsidRPr="00092862">
        <w:rPr>
          <w:rFonts w:ascii="Times New Roman" w:eastAsia="宋体" w:hAnsi="Times New Roman" w:cs="Times New Roman"/>
          <w:bCs/>
          <w:color w:val="000000" w:themeColor="text1"/>
          <w:sz w:val="24"/>
          <w:szCs w:val="24"/>
        </w:rPr>
        <w:t>28.9</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w:t>
      </w:r>
    </w:p>
    <w:p w14:paraId="3911294C" w14:textId="77777777"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lastRenderedPageBreak/>
        <w:t>②</w:t>
      </w:r>
      <w:r w:rsidRPr="00092862">
        <w:rPr>
          <w:rFonts w:ascii="Times New Roman" w:eastAsia="宋体" w:hAnsi="Times New Roman" w:cs="Times New Roman"/>
          <w:color w:val="000000" w:themeColor="text1"/>
          <w:sz w:val="24"/>
          <w:szCs w:val="24"/>
        </w:rPr>
        <w:t>压裂过程井筒破裂</w:t>
      </w:r>
    </w:p>
    <w:p w14:paraId="626A0C45" w14:textId="3541847B" w:rsidR="00D553FF" w:rsidRPr="00092862" w:rsidRDefault="00D553FF" w:rsidP="00D553F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事故工况下，压裂过程中导致井筒破裂，排放形式可概化为点源，排放规律可简化为非连续恒定排放，瞬时泄漏量按单段压裂液（</w:t>
      </w:r>
      <w:r w:rsidR="00ED0379" w:rsidRPr="00092862">
        <w:rPr>
          <w:rFonts w:ascii="Times New Roman" w:eastAsia="宋体" w:hAnsi="Times New Roman" w:cs="Times New Roman"/>
          <w:color w:val="000000" w:themeColor="text1"/>
          <w:sz w:val="24"/>
          <w:szCs w:val="24"/>
        </w:rPr>
        <w:t>清洁酸</w:t>
      </w:r>
      <w:r w:rsidR="00DD6D87" w:rsidRPr="00092862">
        <w:rPr>
          <w:rFonts w:ascii="Times New Roman" w:eastAsia="宋体" w:hAnsi="Times New Roman" w:cs="Times New Roman"/>
          <w:color w:val="000000" w:themeColor="text1"/>
          <w:sz w:val="24"/>
          <w:szCs w:val="24"/>
        </w:rPr>
        <w:t>6</w:t>
      </w:r>
      <w:r w:rsidR="009D587F"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）用量的</w:t>
      </w:r>
      <w:r w:rsidR="00DD6D87"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，泄露时间假定为</w:t>
      </w:r>
      <w:r w:rsidRPr="00092862">
        <w:rPr>
          <w:rFonts w:ascii="Times New Roman" w:eastAsia="宋体" w:hAnsi="Times New Roman" w:cs="Times New Roman"/>
          <w:color w:val="000000" w:themeColor="text1"/>
          <w:sz w:val="24"/>
          <w:szCs w:val="24"/>
        </w:rPr>
        <w:t>10min</w:t>
      </w:r>
      <w:r w:rsidRPr="00092862">
        <w:rPr>
          <w:rFonts w:ascii="Times New Roman" w:eastAsia="宋体" w:hAnsi="Times New Roman" w:cs="Times New Roman"/>
          <w:color w:val="000000" w:themeColor="text1"/>
          <w:sz w:val="24"/>
          <w:szCs w:val="24"/>
        </w:rPr>
        <w:t>，因此瞬时泄漏量为</w:t>
      </w:r>
      <w:r w:rsidR="00DD6D87" w:rsidRPr="00092862">
        <w:rPr>
          <w:rFonts w:ascii="Times New Roman" w:eastAsia="宋体" w:hAnsi="Times New Roman" w:cs="Times New Roman"/>
          <w:color w:val="000000" w:themeColor="text1"/>
          <w:sz w:val="24"/>
          <w:szCs w:val="24"/>
        </w:rPr>
        <w:t>6</w:t>
      </w:r>
      <w:r w:rsidR="009D587F"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，非正常情况下污染源强统计表见表</w:t>
      </w:r>
      <w:r w:rsidR="00CB0025"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00CB0025"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p>
    <w:p w14:paraId="19658DBB" w14:textId="383560C0" w:rsidR="00D553FF" w:rsidRPr="00092862" w:rsidRDefault="00D553FF"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B0025"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00CB0025" w:rsidRPr="00092862">
        <w:rPr>
          <w:rFonts w:ascii="Times New Roman" w:eastAsia="黑体" w:hAnsi="Times New Roman"/>
          <w:color w:val="000000" w:themeColor="text1"/>
          <w:sz w:val="21"/>
          <w:szCs w:val="21"/>
          <w:lang w:eastAsia="zh-CN"/>
        </w:rPr>
        <w:t>-1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非正常情况下污染源源强统计表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69"/>
        <w:gridCol w:w="1541"/>
        <w:gridCol w:w="1370"/>
        <w:gridCol w:w="1371"/>
        <w:gridCol w:w="1371"/>
      </w:tblGrid>
      <w:tr w:rsidR="00697429" w:rsidRPr="00092862" w14:paraId="1B6CC298" w14:textId="77777777" w:rsidTr="00DD6D87">
        <w:trPr>
          <w:jc w:val="center"/>
        </w:trPr>
        <w:tc>
          <w:tcPr>
            <w:tcW w:w="1200" w:type="dxa"/>
            <w:vAlign w:val="center"/>
          </w:tcPr>
          <w:p w14:paraId="67FB1087" w14:textId="77777777" w:rsidR="00D553FF" w:rsidRPr="00092862" w:rsidRDefault="00D553F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泄漏位置</w:t>
            </w:r>
          </w:p>
        </w:tc>
        <w:tc>
          <w:tcPr>
            <w:tcW w:w="1369" w:type="dxa"/>
            <w:vAlign w:val="center"/>
          </w:tcPr>
          <w:p w14:paraId="25B603D4" w14:textId="77777777" w:rsidR="00D553FF" w:rsidRPr="00092862" w:rsidRDefault="00D553F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特征污染物</w:t>
            </w:r>
          </w:p>
        </w:tc>
        <w:tc>
          <w:tcPr>
            <w:tcW w:w="1541" w:type="dxa"/>
            <w:vAlign w:val="center"/>
          </w:tcPr>
          <w:p w14:paraId="52BDAE5C" w14:textId="77777777" w:rsidR="00D553FF" w:rsidRPr="00092862" w:rsidRDefault="00D553F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浓度（</w:t>
            </w:r>
            <w:r w:rsidRPr="00092862">
              <w:rPr>
                <w:rFonts w:ascii="Times New Roman" w:eastAsia="宋体" w:hAnsi="Times New Roman" w:cs="Times New Roman"/>
                <w:color w:val="000000" w:themeColor="text1"/>
                <w:szCs w:val="21"/>
              </w:rPr>
              <w:t>mg/L</w:t>
            </w:r>
            <w:r w:rsidRPr="00092862">
              <w:rPr>
                <w:rFonts w:ascii="Times New Roman" w:eastAsia="宋体" w:hAnsi="Times New Roman" w:cs="Times New Roman"/>
                <w:color w:val="000000" w:themeColor="text1"/>
                <w:szCs w:val="21"/>
              </w:rPr>
              <w:t>）</w:t>
            </w:r>
          </w:p>
        </w:tc>
        <w:tc>
          <w:tcPr>
            <w:tcW w:w="1370" w:type="dxa"/>
            <w:vAlign w:val="center"/>
          </w:tcPr>
          <w:p w14:paraId="51D6F12A" w14:textId="77777777" w:rsidR="00D553FF" w:rsidRPr="00092862" w:rsidRDefault="00D553F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泄漏量（</w:t>
            </w:r>
            <w:r w:rsidRPr="00092862">
              <w:rPr>
                <w:rFonts w:ascii="Times New Roman" w:eastAsia="宋体" w:hAnsi="Times New Roman" w:cs="Times New Roman"/>
                <w:color w:val="000000" w:themeColor="text1"/>
                <w:szCs w:val="21"/>
              </w:rPr>
              <w:t>kg</w:t>
            </w:r>
            <w:r w:rsidRPr="00092862">
              <w:rPr>
                <w:rFonts w:ascii="Times New Roman" w:eastAsia="宋体" w:hAnsi="Times New Roman" w:cs="Times New Roman"/>
                <w:color w:val="000000" w:themeColor="text1"/>
                <w:szCs w:val="21"/>
              </w:rPr>
              <w:t>）</w:t>
            </w:r>
          </w:p>
        </w:tc>
        <w:tc>
          <w:tcPr>
            <w:tcW w:w="1371" w:type="dxa"/>
            <w:vAlign w:val="center"/>
          </w:tcPr>
          <w:p w14:paraId="3DEEA7C2" w14:textId="77777777" w:rsidR="00D553FF" w:rsidRPr="00092862" w:rsidRDefault="00D553F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泄漏时间</w:t>
            </w:r>
          </w:p>
        </w:tc>
        <w:tc>
          <w:tcPr>
            <w:tcW w:w="1371" w:type="dxa"/>
            <w:vAlign w:val="center"/>
          </w:tcPr>
          <w:p w14:paraId="07A68C9B" w14:textId="77777777" w:rsidR="00D553FF" w:rsidRPr="00092862" w:rsidRDefault="00D553F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含水层</w:t>
            </w:r>
          </w:p>
        </w:tc>
      </w:tr>
      <w:tr w:rsidR="00697429" w:rsidRPr="00092862" w14:paraId="1BC0E947" w14:textId="77777777" w:rsidTr="00CA4AE9">
        <w:trPr>
          <w:jc w:val="center"/>
        </w:trPr>
        <w:tc>
          <w:tcPr>
            <w:tcW w:w="1200" w:type="dxa"/>
            <w:vMerge w:val="restart"/>
            <w:vAlign w:val="center"/>
          </w:tcPr>
          <w:p w14:paraId="3672021C" w14:textId="77777777" w:rsidR="004C7300" w:rsidRPr="00092862" w:rsidRDefault="004C7300" w:rsidP="004C7300">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放喷池破裂</w:t>
            </w:r>
          </w:p>
        </w:tc>
        <w:tc>
          <w:tcPr>
            <w:tcW w:w="1369" w:type="dxa"/>
            <w:vAlign w:val="center"/>
          </w:tcPr>
          <w:p w14:paraId="4EC7AB30" w14:textId="77777777"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vertAlign w:val="subscript"/>
              </w:rPr>
              <w:t>Cr</w:t>
            </w:r>
          </w:p>
        </w:tc>
        <w:tc>
          <w:tcPr>
            <w:tcW w:w="1541" w:type="dxa"/>
            <w:vAlign w:val="center"/>
          </w:tcPr>
          <w:p w14:paraId="5CFF210F" w14:textId="1A36B89D"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5000</w:t>
            </w:r>
          </w:p>
        </w:tc>
        <w:tc>
          <w:tcPr>
            <w:tcW w:w="1370" w:type="dxa"/>
            <w:vAlign w:val="bottom"/>
          </w:tcPr>
          <w:p w14:paraId="42A4275F" w14:textId="7A1292B7"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144.5</w:t>
            </w:r>
          </w:p>
        </w:tc>
        <w:tc>
          <w:tcPr>
            <w:tcW w:w="1371" w:type="dxa"/>
            <w:vMerge w:val="restart"/>
            <w:vAlign w:val="center"/>
          </w:tcPr>
          <w:p w14:paraId="2E874912" w14:textId="77777777" w:rsidR="004C7300" w:rsidRPr="00092862" w:rsidRDefault="004C7300" w:rsidP="004C7300">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10d</w:t>
            </w:r>
          </w:p>
        </w:tc>
        <w:tc>
          <w:tcPr>
            <w:tcW w:w="1371" w:type="dxa"/>
            <w:vAlign w:val="center"/>
          </w:tcPr>
          <w:p w14:paraId="170AFE0D" w14:textId="77777777" w:rsidR="004C7300" w:rsidRPr="00092862" w:rsidRDefault="004C7300" w:rsidP="004C7300">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潜水</w:t>
            </w:r>
          </w:p>
        </w:tc>
      </w:tr>
      <w:tr w:rsidR="00697429" w:rsidRPr="00092862" w14:paraId="021042CC" w14:textId="77777777" w:rsidTr="00CA4AE9">
        <w:trPr>
          <w:jc w:val="center"/>
        </w:trPr>
        <w:tc>
          <w:tcPr>
            <w:tcW w:w="1200" w:type="dxa"/>
            <w:vMerge/>
            <w:vAlign w:val="center"/>
          </w:tcPr>
          <w:p w14:paraId="52C2173E" w14:textId="77777777" w:rsidR="004C7300" w:rsidRPr="00092862" w:rsidRDefault="004C7300" w:rsidP="004C7300">
            <w:pPr>
              <w:jc w:val="center"/>
              <w:rPr>
                <w:rFonts w:ascii="Times New Roman" w:eastAsia="宋体" w:hAnsi="Times New Roman" w:cs="Times New Roman"/>
                <w:color w:val="000000" w:themeColor="text1"/>
                <w:szCs w:val="21"/>
              </w:rPr>
            </w:pPr>
          </w:p>
        </w:tc>
        <w:tc>
          <w:tcPr>
            <w:tcW w:w="1369" w:type="dxa"/>
            <w:vAlign w:val="center"/>
          </w:tcPr>
          <w:p w14:paraId="7B02862D" w14:textId="77777777"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石油类</w:t>
            </w:r>
          </w:p>
        </w:tc>
        <w:tc>
          <w:tcPr>
            <w:tcW w:w="1541" w:type="dxa"/>
            <w:vAlign w:val="center"/>
          </w:tcPr>
          <w:p w14:paraId="2AE278B1" w14:textId="24C7F9F8"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200</w:t>
            </w:r>
          </w:p>
        </w:tc>
        <w:tc>
          <w:tcPr>
            <w:tcW w:w="1370" w:type="dxa"/>
            <w:vAlign w:val="bottom"/>
          </w:tcPr>
          <w:p w14:paraId="4D3CDA05" w14:textId="76DAD6B2"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5.78</w:t>
            </w:r>
          </w:p>
        </w:tc>
        <w:tc>
          <w:tcPr>
            <w:tcW w:w="1371" w:type="dxa"/>
            <w:vMerge/>
            <w:vAlign w:val="center"/>
          </w:tcPr>
          <w:p w14:paraId="3284C2BD" w14:textId="77777777" w:rsidR="004C7300" w:rsidRPr="00092862" w:rsidRDefault="004C7300" w:rsidP="004C7300">
            <w:pPr>
              <w:jc w:val="center"/>
              <w:rPr>
                <w:rFonts w:ascii="Times New Roman" w:eastAsia="宋体" w:hAnsi="Times New Roman" w:cs="Times New Roman"/>
                <w:color w:val="000000" w:themeColor="text1"/>
                <w:szCs w:val="21"/>
              </w:rPr>
            </w:pPr>
          </w:p>
        </w:tc>
        <w:tc>
          <w:tcPr>
            <w:tcW w:w="1371" w:type="dxa"/>
            <w:vAlign w:val="center"/>
          </w:tcPr>
          <w:p w14:paraId="2A2FAD18" w14:textId="77777777" w:rsidR="004C7300" w:rsidRPr="00092862" w:rsidRDefault="004C7300" w:rsidP="004C7300">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潜水</w:t>
            </w:r>
          </w:p>
        </w:tc>
      </w:tr>
      <w:tr w:rsidR="00697429" w:rsidRPr="00092862" w14:paraId="5FCFBF6A" w14:textId="77777777" w:rsidTr="00CA4AE9">
        <w:trPr>
          <w:jc w:val="center"/>
        </w:trPr>
        <w:tc>
          <w:tcPr>
            <w:tcW w:w="1200" w:type="dxa"/>
            <w:vMerge/>
            <w:vAlign w:val="center"/>
          </w:tcPr>
          <w:p w14:paraId="44DF2DC1" w14:textId="77777777" w:rsidR="004C7300" w:rsidRPr="00092862" w:rsidRDefault="004C7300" w:rsidP="004C7300">
            <w:pPr>
              <w:jc w:val="center"/>
              <w:rPr>
                <w:rFonts w:ascii="Times New Roman" w:eastAsia="宋体" w:hAnsi="Times New Roman" w:cs="Times New Roman"/>
                <w:color w:val="000000" w:themeColor="text1"/>
                <w:szCs w:val="21"/>
              </w:rPr>
            </w:pPr>
          </w:p>
        </w:tc>
        <w:tc>
          <w:tcPr>
            <w:tcW w:w="1369" w:type="dxa"/>
            <w:vAlign w:val="center"/>
          </w:tcPr>
          <w:p w14:paraId="40EB0DF2" w14:textId="77777777"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氯化物</w:t>
            </w:r>
          </w:p>
        </w:tc>
        <w:tc>
          <w:tcPr>
            <w:tcW w:w="1541" w:type="dxa"/>
            <w:vAlign w:val="center"/>
          </w:tcPr>
          <w:p w14:paraId="1482DCAD" w14:textId="2F276E3A"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4000</w:t>
            </w:r>
          </w:p>
        </w:tc>
        <w:tc>
          <w:tcPr>
            <w:tcW w:w="1370" w:type="dxa"/>
            <w:vAlign w:val="bottom"/>
          </w:tcPr>
          <w:p w14:paraId="7B589191" w14:textId="6637CC41" w:rsidR="004C7300" w:rsidRPr="00092862" w:rsidRDefault="004C7300" w:rsidP="004C7300">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115.6</w:t>
            </w:r>
          </w:p>
        </w:tc>
        <w:tc>
          <w:tcPr>
            <w:tcW w:w="1371" w:type="dxa"/>
            <w:vMerge/>
            <w:vAlign w:val="center"/>
          </w:tcPr>
          <w:p w14:paraId="0FD554C6" w14:textId="77777777" w:rsidR="004C7300" w:rsidRPr="00092862" w:rsidRDefault="004C7300" w:rsidP="004C7300">
            <w:pPr>
              <w:jc w:val="center"/>
              <w:rPr>
                <w:rFonts w:ascii="Times New Roman" w:eastAsia="宋体" w:hAnsi="Times New Roman" w:cs="Times New Roman"/>
                <w:color w:val="000000" w:themeColor="text1"/>
                <w:szCs w:val="21"/>
              </w:rPr>
            </w:pPr>
          </w:p>
        </w:tc>
        <w:tc>
          <w:tcPr>
            <w:tcW w:w="1371" w:type="dxa"/>
            <w:vAlign w:val="center"/>
          </w:tcPr>
          <w:p w14:paraId="0621F564" w14:textId="77777777" w:rsidR="004C7300" w:rsidRPr="00092862" w:rsidRDefault="004C7300" w:rsidP="004C7300">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潜水</w:t>
            </w:r>
          </w:p>
        </w:tc>
      </w:tr>
      <w:tr w:rsidR="00697429" w:rsidRPr="00092862" w14:paraId="5F79F84F" w14:textId="77777777" w:rsidTr="00DD6D87">
        <w:trPr>
          <w:jc w:val="center"/>
        </w:trPr>
        <w:tc>
          <w:tcPr>
            <w:tcW w:w="1200" w:type="dxa"/>
            <w:vMerge w:val="restart"/>
            <w:vAlign w:val="center"/>
          </w:tcPr>
          <w:p w14:paraId="3FEF274A" w14:textId="77777777" w:rsidR="00DD6D87" w:rsidRPr="00092862" w:rsidRDefault="00DD6D87" w:rsidP="00DD6D8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压裂过程中井筒破裂</w:t>
            </w:r>
          </w:p>
        </w:tc>
        <w:tc>
          <w:tcPr>
            <w:tcW w:w="1369" w:type="dxa"/>
            <w:vAlign w:val="center"/>
          </w:tcPr>
          <w:p w14:paraId="54C31D4B" w14:textId="77777777" w:rsidR="00DD6D87" w:rsidRPr="00092862" w:rsidRDefault="00DD6D87" w:rsidP="00DD6D87">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COD</w:t>
            </w:r>
            <w:r w:rsidRPr="00092862">
              <w:rPr>
                <w:rFonts w:ascii="Times New Roman" w:eastAsia="宋体" w:hAnsi="Times New Roman" w:cs="Times New Roman"/>
                <w:snapToGrid w:val="0"/>
                <w:color w:val="000000" w:themeColor="text1"/>
                <w:szCs w:val="21"/>
                <w:vertAlign w:val="subscript"/>
              </w:rPr>
              <w:t>Cr</w:t>
            </w:r>
          </w:p>
        </w:tc>
        <w:tc>
          <w:tcPr>
            <w:tcW w:w="1541" w:type="dxa"/>
            <w:vAlign w:val="center"/>
          </w:tcPr>
          <w:p w14:paraId="5C47B729" w14:textId="6ACC79DD" w:rsidR="00DD6D87" w:rsidRPr="00092862" w:rsidRDefault="00DD6D87" w:rsidP="00DD6D87">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5000</w:t>
            </w:r>
          </w:p>
        </w:tc>
        <w:tc>
          <w:tcPr>
            <w:tcW w:w="1370" w:type="dxa"/>
            <w:vAlign w:val="center"/>
          </w:tcPr>
          <w:p w14:paraId="464A95D5" w14:textId="6EAAE62B" w:rsidR="00DD6D87" w:rsidRPr="00092862" w:rsidRDefault="008A0A57" w:rsidP="00DD6D8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300</w:t>
            </w:r>
          </w:p>
        </w:tc>
        <w:tc>
          <w:tcPr>
            <w:tcW w:w="1371" w:type="dxa"/>
            <w:vMerge w:val="restart"/>
            <w:vAlign w:val="center"/>
          </w:tcPr>
          <w:p w14:paraId="3662E279" w14:textId="77777777" w:rsidR="00DD6D87" w:rsidRPr="00092862" w:rsidRDefault="00DD6D87" w:rsidP="00DD6D8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10min</w:t>
            </w:r>
          </w:p>
        </w:tc>
        <w:tc>
          <w:tcPr>
            <w:tcW w:w="1371" w:type="dxa"/>
            <w:vAlign w:val="center"/>
          </w:tcPr>
          <w:p w14:paraId="0A970A7C" w14:textId="77777777" w:rsidR="00DD6D87" w:rsidRPr="00092862" w:rsidRDefault="00DD6D87" w:rsidP="00DD6D8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潜水</w:t>
            </w:r>
          </w:p>
        </w:tc>
      </w:tr>
      <w:tr w:rsidR="00697429" w:rsidRPr="00092862" w14:paraId="7A940E3F" w14:textId="77777777" w:rsidTr="00DD6D87">
        <w:trPr>
          <w:jc w:val="center"/>
        </w:trPr>
        <w:tc>
          <w:tcPr>
            <w:tcW w:w="1200" w:type="dxa"/>
            <w:vMerge/>
            <w:vAlign w:val="center"/>
          </w:tcPr>
          <w:p w14:paraId="6537D08E" w14:textId="77777777" w:rsidR="00DD6D87" w:rsidRPr="00092862" w:rsidRDefault="00DD6D87" w:rsidP="00DD6D87">
            <w:pPr>
              <w:jc w:val="center"/>
              <w:rPr>
                <w:rFonts w:ascii="Times New Roman" w:eastAsia="宋体" w:hAnsi="Times New Roman" w:cs="Times New Roman"/>
                <w:color w:val="000000" w:themeColor="text1"/>
                <w:szCs w:val="21"/>
              </w:rPr>
            </w:pPr>
          </w:p>
        </w:tc>
        <w:tc>
          <w:tcPr>
            <w:tcW w:w="1369" w:type="dxa"/>
            <w:vAlign w:val="center"/>
          </w:tcPr>
          <w:p w14:paraId="2948B9F8" w14:textId="77777777" w:rsidR="00DD6D87" w:rsidRPr="00092862" w:rsidRDefault="00DD6D87" w:rsidP="00DD6D87">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石油类</w:t>
            </w:r>
          </w:p>
        </w:tc>
        <w:tc>
          <w:tcPr>
            <w:tcW w:w="1541" w:type="dxa"/>
            <w:vAlign w:val="center"/>
          </w:tcPr>
          <w:p w14:paraId="66132586" w14:textId="6AAA4EC7" w:rsidR="00DD6D87" w:rsidRPr="00092862" w:rsidRDefault="00DD6D87" w:rsidP="00DD6D87">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200</w:t>
            </w:r>
          </w:p>
        </w:tc>
        <w:tc>
          <w:tcPr>
            <w:tcW w:w="1370" w:type="dxa"/>
            <w:vAlign w:val="center"/>
          </w:tcPr>
          <w:p w14:paraId="07937BFF" w14:textId="7D5F4D05" w:rsidR="00DD6D87" w:rsidRPr="00092862" w:rsidRDefault="008A0A57" w:rsidP="00DD6D8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w:t>
            </w:r>
          </w:p>
        </w:tc>
        <w:tc>
          <w:tcPr>
            <w:tcW w:w="1371" w:type="dxa"/>
            <w:vMerge/>
            <w:vAlign w:val="center"/>
          </w:tcPr>
          <w:p w14:paraId="400891D8" w14:textId="77777777" w:rsidR="00DD6D87" w:rsidRPr="00092862" w:rsidRDefault="00DD6D87" w:rsidP="00DD6D87">
            <w:pPr>
              <w:jc w:val="center"/>
              <w:rPr>
                <w:rFonts w:ascii="Times New Roman" w:eastAsia="宋体" w:hAnsi="Times New Roman" w:cs="Times New Roman"/>
                <w:color w:val="000000" w:themeColor="text1"/>
                <w:szCs w:val="21"/>
              </w:rPr>
            </w:pPr>
          </w:p>
        </w:tc>
        <w:tc>
          <w:tcPr>
            <w:tcW w:w="1371" w:type="dxa"/>
            <w:vAlign w:val="center"/>
          </w:tcPr>
          <w:p w14:paraId="23CFEBC1" w14:textId="77777777" w:rsidR="00DD6D87" w:rsidRPr="00092862" w:rsidRDefault="00DD6D87" w:rsidP="00DD6D8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潜水</w:t>
            </w:r>
          </w:p>
        </w:tc>
      </w:tr>
      <w:tr w:rsidR="00697429" w:rsidRPr="00092862" w14:paraId="0C9D8286" w14:textId="77777777" w:rsidTr="00DD6D87">
        <w:trPr>
          <w:jc w:val="center"/>
        </w:trPr>
        <w:tc>
          <w:tcPr>
            <w:tcW w:w="1200" w:type="dxa"/>
            <w:vMerge/>
            <w:vAlign w:val="center"/>
          </w:tcPr>
          <w:p w14:paraId="1CF37D80" w14:textId="77777777" w:rsidR="00DD6D87" w:rsidRPr="00092862" w:rsidRDefault="00DD6D87" w:rsidP="00DD6D87">
            <w:pPr>
              <w:jc w:val="center"/>
              <w:rPr>
                <w:rFonts w:ascii="Times New Roman" w:eastAsia="宋体" w:hAnsi="Times New Roman" w:cs="Times New Roman"/>
                <w:color w:val="000000" w:themeColor="text1"/>
                <w:szCs w:val="21"/>
              </w:rPr>
            </w:pPr>
          </w:p>
        </w:tc>
        <w:tc>
          <w:tcPr>
            <w:tcW w:w="1369" w:type="dxa"/>
            <w:vAlign w:val="center"/>
          </w:tcPr>
          <w:p w14:paraId="44225FA8" w14:textId="77777777" w:rsidR="00DD6D87" w:rsidRPr="00092862" w:rsidRDefault="00DD6D87" w:rsidP="00DD6D87">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氯化物</w:t>
            </w:r>
          </w:p>
        </w:tc>
        <w:tc>
          <w:tcPr>
            <w:tcW w:w="1541" w:type="dxa"/>
            <w:vAlign w:val="center"/>
          </w:tcPr>
          <w:p w14:paraId="75BC86CC" w14:textId="7FC31D5A" w:rsidR="00DD6D87" w:rsidRPr="00092862" w:rsidRDefault="00DD6D87" w:rsidP="00DD6D87">
            <w:pPr>
              <w:spacing w:line="320" w:lineRule="exact"/>
              <w:ind w:leftChars="-22" w:left="-46" w:rightChars="67" w:right="141"/>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4000</w:t>
            </w:r>
          </w:p>
        </w:tc>
        <w:tc>
          <w:tcPr>
            <w:tcW w:w="1370" w:type="dxa"/>
            <w:vAlign w:val="center"/>
          </w:tcPr>
          <w:p w14:paraId="5C8C26FC" w14:textId="49058209" w:rsidR="00DD6D87" w:rsidRPr="00092862" w:rsidRDefault="008A0A57" w:rsidP="00DD6D8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240</w:t>
            </w:r>
          </w:p>
        </w:tc>
        <w:tc>
          <w:tcPr>
            <w:tcW w:w="1371" w:type="dxa"/>
            <w:vMerge/>
            <w:vAlign w:val="center"/>
          </w:tcPr>
          <w:p w14:paraId="07C07A86" w14:textId="77777777" w:rsidR="00DD6D87" w:rsidRPr="00092862" w:rsidRDefault="00DD6D87" w:rsidP="00DD6D87">
            <w:pPr>
              <w:jc w:val="center"/>
              <w:rPr>
                <w:rFonts w:ascii="Times New Roman" w:eastAsia="宋体" w:hAnsi="Times New Roman" w:cs="Times New Roman"/>
                <w:color w:val="000000" w:themeColor="text1"/>
                <w:szCs w:val="21"/>
              </w:rPr>
            </w:pPr>
          </w:p>
        </w:tc>
        <w:tc>
          <w:tcPr>
            <w:tcW w:w="1371" w:type="dxa"/>
            <w:vAlign w:val="center"/>
          </w:tcPr>
          <w:p w14:paraId="7E292C82" w14:textId="77777777" w:rsidR="00DD6D87" w:rsidRPr="00092862" w:rsidRDefault="00DD6D87" w:rsidP="00DD6D87">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潜水</w:t>
            </w:r>
          </w:p>
        </w:tc>
      </w:tr>
    </w:tbl>
    <w:p w14:paraId="006D9FEF" w14:textId="1C5346B3" w:rsidR="003C3813" w:rsidRPr="00092862" w:rsidRDefault="003C3813" w:rsidP="003C3813">
      <w:pPr>
        <w:pStyle w:val="3"/>
        <w:adjustRightInd w:val="0"/>
        <w:snapToGrid w:val="0"/>
        <w:spacing w:beforeLines="50" w:before="120" w:after="0" w:line="360" w:lineRule="auto"/>
        <w:ind w:firstLineChars="200" w:firstLine="480"/>
        <w:jc w:val="both"/>
        <w:rPr>
          <w:rFonts w:ascii="Times New Roman" w:eastAsia="黑体" w:hAnsi="Times New Roman"/>
          <w:b w:val="0"/>
          <w:color w:val="000000" w:themeColor="text1"/>
          <w:sz w:val="24"/>
          <w:szCs w:val="24"/>
          <w:lang w:eastAsia="zh-CN"/>
        </w:rPr>
      </w:pPr>
      <w:bookmarkStart w:id="246" w:name="_Toc120173167"/>
      <w:bookmarkEnd w:id="244"/>
      <w:r w:rsidRPr="00092862">
        <w:rPr>
          <w:rFonts w:ascii="Times New Roman" w:eastAsia="黑体" w:hAnsi="Times New Roman"/>
          <w:b w:val="0"/>
          <w:color w:val="000000" w:themeColor="text1"/>
          <w:sz w:val="24"/>
          <w:szCs w:val="24"/>
          <w:lang w:eastAsia="zh-CN"/>
        </w:rPr>
        <w:t>5.</w:t>
      </w:r>
      <w:r w:rsidR="00CA20DF" w:rsidRPr="00092862">
        <w:rPr>
          <w:rFonts w:ascii="Times New Roman" w:eastAsia="黑体" w:hAnsi="Times New Roman"/>
          <w:b w:val="0"/>
          <w:color w:val="000000" w:themeColor="text1"/>
          <w:sz w:val="24"/>
          <w:szCs w:val="24"/>
          <w:lang w:eastAsia="zh-CN"/>
        </w:rPr>
        <w:t>3</w:t>
      </w:r>
      <w:r w:rsidRPr="00092862">
        <w:rPr>
          <w:rFonts w:ascii="Times New Roman" w:eastAsia="黑体" w:hAnsi="Times New Roman"/>
          <w:b w:val="0"/>
          <w:color w:val="000000" w:themeColor="text1"/>
          <w:sz w:val="24"/>
          <w:szCs w:val="24"/>
          <w:lang w:eastAsia="zh-CN"/>
        </w:rPr>
        <w:t>.6</w:t>
      </w:r>
      <w:r w:rsidRPr="00092862">
        <w:rPr>
          <w:rFonts w:ascii="Times New Roman" w:eastAsia="黑体" w:hAnsi="Times New Roman"/>
          <w:b w:val="0"/>
          <w:color w:val="000000" w:themeColor="text1"/>
          <w:sz w:val="24"/>
          <w:szCs w:val="24"/>
          <w:lang w:eastAsia="zh-CN"/>
        </w:rPr>
        <w:t>地下水环境影响预测及评价</w:t>
      </w:r>
      <w:bookmarkEnd w:id="246"/>
    </w:p>
    <w:p w14:paraId="089D48A7" w14:textId="77777777" w:rsidR="003C3813" w:rsidRPr="00092862" w:rsidRDefault="003C3813" w:rsidP="003C381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、地下水环境影响预测原则</w:t>
      </w:r>
    </w:p>
    <w:p w14:paraId="14F8E452" w14:textId="77777777" w:rsidR="00CB0025"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szCs w:val="24"/>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14:paraId="2B5BDEDE" w14:textId="77777777" w:rsidR="003C3813" w:rsidRPr="00092862" w:rsidRDefault="003C3813" w:rsidP="003C381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、模型概化及参数选取</w:t>
      </w:r>
    </w:p>
    <w:p w14:paraId="7E81A7E6" w14:textId="77777777" w:rsidR="003C3813" w:rsidRPr="00092862" w:rsidRDefault="003C3813" w:rsidP="003C3813">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）模型概化</w:t>
      </w:r>
    </w:p>
    <w:p w14:paraId="4F13226B"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地下水》（</w:t>
      </w:r>
      <w:r w:rsidRPr="00092862">
        <w:rPr>
          <w:rFonts w:ascii="Times New Roman" w:eastAsia="宋体" w:hAnsi="Times New Roman" w:cs="Times New Roman"/>
          <w:color w:val="000000" w:themeColor="text1"/>
          <w:sz w:val="24"/>
          <w:szCs w:val="24"/>
        </w:rPr>
        <w:t>HJ610-2016</w:t>
      </w:r>
      <w:r w:rsidRPr="00092862">
        <w:rPr>
          <w:rFonts w:ascii="Times New Roman" w:eastAsia="宋体" w:hAnsi="Times New Roman" w:cs="Times New Roman"/>
          <w:color w:val="000000" w:themeColor="text1"/>
          <w:sz w:val="24"/>
          <w:szCs w:val="24"/>
        </w:rPr>
        <w:t>）中的地下水一维稳定流二维水动力弥散瞬时注入模式，采用解析法进行估算。</w:t>
      </w:r>
    </w:p>
    <w:p w14:paraId="2C1C4ED8" w14:textId="57FE5070" w:rsidR="003C3813" w:rsidRPr="00092862" w:rsidRDefault="003C3813" w:rsidP="003C3813">
      <w:pPr>
        <w:adjustRightInd w:val="0"/>
        <w:snapToGrid w:val="0"/>
        <w:spacing w:line="360" w:lineRule="auto"/>
        <w:ind w:firstLineChars="200" w:firstLine="480"/>
        <w:rPr>
          <w:rFonts w:ascii="Times New Roman" w:hAnsi="Times New Roman" w:cs="Times New Roman"/>
          <w:color w:val="000000" w:themeColor="text1"/>
          <w:sz w:val="24"/>
          <w:szCs w:val="24"/>
        </w:rPr>
      </w:pPr>
      <w:r w:rsidRPr="00092862">
        <w:rPr>
          <w:rFonts w:ascii="Times New Roman" w:hAnsi="Times New Roman" w:cs="Times New Roman"/>
          <w:noProof/>
          <w:color w:val="000000" w:themeColor="text1"/>
          <w:sz w:val="24"/>
          <w:szCs w:val="24"/>
        </w:rPr>
        <w:drawing>
          <wp:inline distT="0" distB="0" distL="0" distR="0" wp14:anchorId="6379B777" wp14:editId="4F804891">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26385" cy="724535"/>
                    </a:xfrm>
                    <a:prstGeom prst="rect">
                      <a:avLst/>
                    </a:prstGeom>
                    <a:noFill/>
                    <a:ln>
                      <a:noFill/>
                    </a:ln>
                  </pic:spPr>
                </pic:pic>
              </a:graphicData>
            </a:graphic>
          </wp:inline>
        </w:drawing>
      </w:r>
    </w:p>
    <w:p w14:paraId="5509847E"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式中：</w:t>
      </w:r>
    </w:p>
    <w:p w14:paraId="692CAF50"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x</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y—</w:t>
      </w:r>
      <w:r w:rsidRPr="00092862">
        <w:rPr>
          <w:rFonts w:ascii="Times New Roman" w:eastAsia="宋体" w:hAnsi="Times New Roman" w:cs="Times New Roman"/>
          <w:color w:val="000000" w:themeColor="text1"/>
          <w:sz w:val="24"/>
          <w:szCs w:val="24"/>
        </w:rPr>
        <w:t>计算点处的位置坐标；</w:t>
      </w:r>
    </w:p>
    <w:p w14:paraId="724E6C39"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rPr>
        <w:t>时间，</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p>
    <w:p w14:paraId="459AB095"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C</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x</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y</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—t</w:t>
      </w:r>
      <w:r w:rsidRPr="00092862">
        <w:rPr>
          <w:rFonts w:ascii="Times New Roman" w:eastAsia="宋体" w:hAnsi="Times New Roman" w:cs="Times New Roman"/>
          <w:color w:val="000000" w:themeColor="text1"/>
          <w:sz w:val="24"/>
          <w:szCs w:val="24"/>
        </w:rPr>
        <w:t>时刻点</w:t>
      </w:r>
      <w:r w:rsidRPr="00092862">
        <w:rPr>
          <w:rFonts w:ascii="Times New Roman" w:eastAsia="宋体" w:hAnsi="Times New Roman" w:cs="Times New Roman"/>
          <w:color w:val="000000" w:themeColor="text1"/>
          <w:sz w:val="24"/>
          <w:szCs w:val="24"/>
        </w:rPr>
        <w:t>x</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y</w:t>
      </w:r>
      <w:r w:rsidRPr="00092862">
        <w:rPr>
          <w:rFonts w:ascii="Times New Roman" w:eastAsia="宋体" w:hAnsi="Times New Roman" w:cs="Times New Roman"/>
          <w:color w:val="000000" w:themeColor="text1"/>
          <w:sz w:val="24"/>
          <w:szCs w:val="24"/>
        </w:rPr>
        <w:t>处的示踪剂浓度，</w:t>
      </w:r>
      <w:r w:rsidRPr="00092862">
        <w:rPr>
          <w:rFonts w:ascii="Times New Roman" w:eastAsia="宋体" w:hAnsi="Times New Roman" w:cs="Times New Roman"/>
          <w:color w:val="000000" w:themeColor="text1"/>
          <w:sz w:val="24"/>
          <w:szCs w:val="24"/>
        </w:rPr>
        <w:t>g/L</w:t>
      </w:r>
      <w:r w:rsidRPr="00092862">
        <w:rPr>
          <w:rFonts w:ascii="Times New Roman" w:eastAsia="宋体" w:hAnsi="Times New Roman" w:cs="Times New Roman"/>
          <w:color w:val="000000" w:themeColor="text1"/>
          <w:sz w:val="24"/>
          <w:szCs w:val="24"/>
        </w:rPr>
        <w:t>；</w:t>
      </w:r>
    </w:p>
    <w:p w14:paraId="5A7510EE"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rPr>
        <w:t>含水层的厚度，</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rPr>
        <w:t>；</w:t>
      </w:r>
    </w:p>
    <w:p w14:paraId="58175B44" w14:textId="77777777" w:rsidR="003C3813" w:rsidRPr="00092862" w:rsidRDefault="00000000"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m:oMath>
        <m:sSub>
          <m:sSubPr>
            <m:ctrlPr>
              <w:rPr>
                <w:rFonts w:ascii="Cambria Math" w:eastAsia="宋体" w:hAnsi="Cambria Math" w:cs="Times New Roman"/>
                <w:i/>
                <w:snapToGrid w:val="0"/>
                <w:color w:val="000000" w:themeColor="text1"/>
                <w:sz w:val="24"/>
                <w:szCs w:val="24"/>
              </w:rPr>
            </m:ctrlPr>
          </m:sSubPr>
          <m:e>
            <m:r>
              <w:rPr>
                <w:rFonts w:ascii="Cambria Math" w:eastAsia="宋体" w:hAnsi="Cambria Math" w:cs="Times New Roman"/>
                <w:snapToGrid w:val="0"/>
                <w:color w:val="000000" w:themeColor="text1"/>
                <w:sz w:val="24"/>
                <w:szCs w:val="24"/>
              </w:rPr>
              <m:t>m</m:t>
            </m:r>
          </m:e>
          <m:sub>
            <m:r>
              <w:rPr>
                <w:rFonts w:ascii="Cambria Math" w:eastAsia="宋体" w:hAnsi="Cambria Math" w:cs="Times New Roman"/>
                <w:snapToGrid w:val="0"/>
                <w:color w:val="000000" w:themeColor="text1"/>
                <w:sz w:val="24"/>
                <w:szCs w:val="24"/>
              </w:rPr>
              <m:t>M</m:t>
            </m:r>
          </m:sub>
        </m:sSub>
      </m:oMath>
      <w:r w:rsidR="003C3813" w:rsidRPr="00092862">
        <w:rPr>
          <w:rFonts w:ascii="Times New Roman" w:eastAsia="宋体" w:hAnsi="Times New Roman" w:cs="Times New Roman"/>
          <w:color w:val="000000" w:themeColor="text1"/>
          <w:sz w:val="24"/>
          <w:szCs w:val="24"/>
        </w:rPr>
        <w:t>—</w:t>
      </w:r>
      <w:r w:rsidR="003C3813" w:rsidRPr="00092862">
        <w:rPr>
          <w:rFonts w:ascii="Times New Roman" w:eastAsia="宋体" w:hAnsi="Times New Roman" w:cs="Times New Roman"/>
          <w:color w:val="000000" w:themeColor="text1"/>
          <w:sz w:val="24"/>
          <w:szCs w:val="24"/>
        </w:rPr>
        <w:t>瞬时注入示踪剂的质量，</w:t>
      </w:r>
      <w:r w:rsidR="003C3813" w:rsidRPr="00092862">
        <w:rPr>
          <w:rFonts w:ascii="Times New Roman" w:eastAsia="宋体" w:hAnsi="Times New Roman" w:cs="Times New Roman"/>
          <w:color w:val="000000" w:themeColor="text1"/>
          <w:sz w:val="24"/>
          <w:szCs w:val="24"/>
        </w:rPr>
        <w:t>kg</w:t>
      </w:r>
      <w:r w:rsidR="003C3813" w:rsidRPr="00092862">
        <w:rPr>
          <w:rFonts w:ascii="Times New Roman" w:eastAsia="宋体" w:hAnsi="Times New Roman" w:cs="Times New Roman"/>
          <w:color w:val="000000" w:themeColor="text1"/>
          <w:sz w:val="24"/>
          <w:szCs w:val="24"/>
        </w:rPr>
        <w:t>；</w:t>
      </w:r>
    </w:p>
    <w:p w14:paraId="1315339F"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u—</w:t>
      </w:r>
      <w:r w:rsidRPr="00092862">
        <w:rPr>
          <w:rFonts w:ascii="Times New Roman" w:eastAsia="宋体" w:hAnsi="Times New Roman" w:cs="Times New Roman"/>
          <w:color w:val="000000" w:themeColor="text1"/>
          <w:sz w:val="24"/>
          <w:szCs w:val="24"/>
        </w:rPr>
        <w:t>水流速度，</w:t>
      </w:r>
      <w:r w:rsidRPr="00092862">
        <w:rPr>
          <w:rFonts w:ascii="Times New Roman" w:eastAsia="宋体" w:hAnsi="Times New Roman" w:cs="Times New Roman"/>
          <w:color w:val="000000" w:themeColor="text1"/>
          <w:sz w:val="24"/>
          <w:szCs w:val="24"/>
        </w:rPr>
        <w:t>m/d</w:t>
      </w:r>
      <w:r w:rsidRPr="00092862">
        <w:rPr>
          <w:rFonts w:ascii="Times New Roman" w:eastAsia="宋体" w:hAnsi="Times New Roman" w:cs="Times New Roman"/>
          <w:color w:val="000000" w:themeColor="text1"/>
          <w:sz w:val="24"/>
          <w:szCs w:val="24"/>
        </w:rPr>
        <w:t>；</w:t>
      </w:r>
    </w:p>
    <w:p w14:paraId="2F6A0E2A"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n—</w:t>
      </w:r>
      <w:r w:rsidRPr="00092862">
        <w:rPr>
          <w:rFonts w:ascii="Times New Roman" w:eastAsia="宋体" w:hAnsi="Times New Roman" w:cs="Times New Roman"/>
          <w:color w:val="000000" w:themeColor="text1"/>
          <w:sz w:val="24"/>
          <w:szCs w:val="24"/>
        </w:rPr>
        <w:t>有效孔隙度，无量纲；</w:t>
      </w:r>
    </w:p>
    <w:p w14:paraId="12AE2BF7" w14:textId="77777777" w:rsidR="003C3813" w:rsidRPr="00092862" w:rsidRDefault="00000000"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m:oMath>
        <m:sSub>
          <m:sSubPr>
            <m:ctrlPr>
              <w:rPr>
                <w:rFonts w:ascii="Cambria Math" w:eastAsia="宋体" w:hAnsi="Cambria Math" w:cs="Times New Roman"/>
                <w:i/>
                <w:snapToGrid w:val="0"/>
                <w:color w:val="000000" w:themeColor="text1"/>
                <w:sz w:val="24"/>
                <w:szCs w:val="24"/>
              </w:rPr>
            </m:ctrlPr>
          </m:sSubPr>
          <m:e>
            <m:r>
              <w:rPr>
                <w:rFonts w:ascii="Cambria Math" w:eastAsia="宋体" w:hAnsi="Cambria Math" w:cs="Times New Roman"/>
                <w:snapToGrid w:val="0"/>
                <w:color w:val="000000" w:themeColor="text1"/>
                <w:sz w:val="24"/>
                <w:szCs w:val="24"/>
              </w:rPr>
              <m:t>D</m:t>
            </m:r>
          </m:e>
          <m:sub>
            <m:r>
              <w:rPr>
                <w:rFonts w:ascii="Cambria Math" w:eastAsia="宋体" w:hAnsi="Cambria Math" w:cs="Times New Roman"/>
                <w:snapToGrid w:val="0"/>
                <w:color w:val="000000" w:themeColor="text1"/>
                <w:sz w:val="24"/>
                <w:szCs w:val="24"/>
              </w:rPr>
              <m:t>L</m:t>
            </m:r>
          </m:sub>
        </m:sSub>
      </m:oMath>
      <w:r w:rsidR="003C3813" w:rsidRPr="00092862">
        <w:rPr>
          <w:rFonts w:ascii="Times New Roman" w:eastAsia="宋体" w:hAnsi="Times New Roman" w:cs="Times New Roman"/>
          <w:color w:val="000000" w:themeColor="text1"/>
          <w:sz w:val="24"/>
          <w:szCs w:val="24"/>
        </w:rPr>
        <w:t>—</w:t>
      </w:r>
      <w:r w:rsidR="003C3813" w:rsidRPr="00092862">
        <w:rPr>
          <w:rFonts w:ascii="Times New Roman" w:eastAsia="宋体" w:hAnsi="Times New Roman" w:cs="Times New Roman"/>
          <w:color w:val="000000" w:themeColor="text1"/>
          <w:sz w:val="24"/>
          <w:szCs w:val="24"/>
        </w:rPr>
        <w:t>纵向弥散系数，</w:t>
      </w:r>
      <w:r w:rsidR="003C3813" w:rsidRPr="00092862">
        <w:rPr>
          <w:rFonts w:ascii="Times New Roman" w:eastAsia="宋体" w:hAnsi="Times New Roman" w:cs="Times New Roman"/>
          <w:color w:val="000000" w:themeColor="text1"/>
          <w:sz w:val="24"/>
          <w:szCs w:val="24"/>
        </w:rPr>
        <w:t>m</w:t>
      </w:r>
      <w:r w:rsidR="003C3813" w:rsidRPr="00092862">
        <w:rPr>
          <w:rFonts w:ascii="Times New Roman" w:eastAsia="宋体" w:hAnsi="Times New Roman" w:cs="Times New Roman"/>
          <w:color w:val="000000" w:themeColor="text1"/>
          <w:sz w:val="24"/>
          <w:szCs w:val="24"/>
          <w:vertAlign w:val="superscript"/>
        </w:rPr>
        <w:t>2</w:t>
      </w:r>
      <w:r w:rsidR="003C3813" w:rsidRPr="00092862">
        <w:rPr>
          <w:rFonts w:ascii="Times New Roman" w:eastAsia="宋体" w:hAnsi="Times New Roman" w:cs="Times New Roman"/>
          <w:color w:val="000000" w:themeColor="text1"/>
          <w:sz w:val="24"/>
          <w:szCs w:val="24"/>
        </w:rPr>
        <w:t>/d</w:t>
      </w:r>
      <w:r w:rsidR="003C3813" w:rsidRPr="00092862">
        <w:rPr>
          <w:rFonts w:ascii="Times New Roman" w:eastAsia="宋体" w:hAnsi="Times New Roman" w:cs="Times New Roman"/>
          <w:color w:val="000000" w:themeColor="text1"/>
          <w:sz w:val="24"/>
          <w:szCs w:val="24"/>
        </w:rPr>
        <w:t>；</w:t>
      </w:r>
    </w:p>
    <w:p w14:paraId="3ED959E1" w14:textId="77777777" w:rsidR="003C3813" w:rsidRPr="00092862" w:rsidRDefault="00000000"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m:oMath>
        <m:sSub>
          <m:sSubPr>
            <m:ctrlPr>
              <w:rPr>
                <w:rFonts w:ascii="Cambria Math" w:eastAsia="宋体" w:hAnsi="Cambria Math" w:cs="Times New Roman"/>
                <w:i/>
                <w:snapToGrid w:val="0"/>
                <w:color w:val="000000" w:themeColor="text1"/>
                <w:sz w:val="24"/>
                <w:szCs w:val="24"/>
              </w:rPr>
            </m:ctrlPr>
          </m:sSubPr>
          <m:e>
            <m:r>
              <w:rPr>
                <w:rFonts w:ascii="Cambria Math" w:eastAsia="宋体" w:hAnsi="Cambria Math" w:cs="Times New Roman"/>
                <w:snapToGrid w:val="0"/>
                <w:color w:val="000000" w:themeColor="text1"/>
                <w:sz w:val="24"/>
                <w:szCs w:val="24"/>
              </w:rPr>
              <m:t>D</m:t>
            </m:r>
          </m:e>
          <m:sub>
            <m:r>
              <w:rPr>
                <w:rFonts w:ascii="Cambria Math" w:eastAsia="宋体" w:hAnsi="Cambria Math" w:cs="Times New Roman"/>
                <w:snapToGrid w:val="0"/>
                <w:color w:val="000000" w:themeColor="text1"/>
                <w:sz w:val="24"/>
                <w:szCs w:val="24"/>
              </w:rPr>
              <m:t>T</m:t>
            </m:r>
          </m:sub>
        </m:sSub>
      </m:oMath>
      <w:r w:rsidR="003C3813" w:rsidRPr="00092862">
        <w:rPr>
          <w:rFonts w:ascii="Times New Roman" w:eastAsia="宋体" w:hAnsi="Times New Roman" w:cs="Times New Roman"/>
          <w:color w:val="000000" w:themeColor="text1"/>
          <w:sz w:val="24"/>
          <w:szCs w:val="24"/>
        </w:rPr>
        <w:t>—</w:t>
      </w:r>
      <w:r w:rsidR="003C3813" w:rsidRPr="00092862">
        <w:rPr>
          <w:rFonts w:ascii="Times New Roman" w:eastAsia="宋体" w:hAnsi="Times New Roman" w:cs="Times New Roman"/>
          <w:color w:val="000000" w:themeColor="text1"/>
          <w:sz w:val="24"/>
          <w:szCs w:val="24"/>
        </w:rPr>
        <w:t>横向</w:t>
      </w:r>
      <w:r w:rsidR="003C3813" w:rsidRPr="00092862">
        <w:rPr>
          <w:rFonts w:ascii="Times New Roman" w:eastAsia="宋体" w:hAnsi="Times New Roman" w:cs="Times New Roman"/>
          <w:color w:val="000000" w:themeColor="text1"/>
          <w:sz w:val="24"/>
          <w:szCs w:val="24"/>
        </w:rPr>
        <w:t>y</w:t>
      </w:r>
      <w:r w:rsidR="003C3813" w:rsidRPr="00092862">
        <w:rPr>
          <w:rFonts w:ascii="Times New Roman" w:eastAsia="宋体" w:hAnsi="Times New Roman" w:cs="Times New Roman"/>
          <w:color w:val="000000" w:themeColor="text1"/>
          <w:sz w:val="24"/>
          <w:szCs w:val="24"/>
        </w:rPr>
        <w:t>方向的弥散系数，</w:t>
      </w:r>
      <w:r w:rsidR="003C3813" w:rsidRPr="00092862">
        <w:rPr>
          <w:rFonts w:ascii="Times New Roman" w:eastAsia="宋体" w:hAnsi="Times New Roman" w:cs="Times New Roman"/>
          <w:color w:val="000000" w:themeColor="text1"/>
          <w:sz w:val="24"/>
          <w:szCs w:val="24"/>
        </w:rPr>
        <w:t>m</w:t>
      </w:r>
      <w:r w:rsidR="003C3813" w:rsidRPr="00092862">
        <w:rPr>
          <w:rFonts w:ascii="Times New Roman" w:eastAsia="宋体" w:hAnsi="Times New Roman" w:cs="Times New Roman"/>
          <w:color w:val="000000" w:themeColor="text1"/>
          <w:sz w:val="24"/>
          <w:szCs w:val="24"/>
          <w:vertAlign w:val="superscript"/>
        </w:rPr>
        <w:t>2</w:t>
      </w:r>
      <w:r w:rsidR="003C3813" w:rsidRPr="00092862">
        <w:rPr>
          <w:rFonts w:ascii="Times New Roman" w:eastAsia="宋体" w:hAnsi="Times New Roman" w:cs="Times New Roman"/>
          <w:color w:val="000000" w:themeColor="text1"/>
          <w:sz w:val="24"/>
          <w:szCs w:val="24"/>
        </w:rPr>
        <w:t>/d</w:t>
      </w:r>
      <w:r w:rsidR="003C3813" w:rsidRPr="00092862">
        <w:rPr>
          <w:rFonts w:ascii="Times New Roman" w:eastAsia="宋体" w:hAnsi="Times New Roman" w:cs="Times New Roman"/>
          <w:color w:val="000000" w:themeColor="text1"/>
          <w:sz w:val="24"/>
          <w:szCs w:val="24"/>
        </w:rPr>
        <w:t>；</w:t>
      </w:r>
    </w:p>
    <w:p w14:paraId="3359DA97"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m:oMath>
        <m:r>
          <w:rPr>
            <w:rFonts w:ascii="Cambria Math" w:eastAsia="宋体" w:hAnsi="Cambria Math" w:cs="Times New Roman"/>
            <w:snapToGrid w:val="0"/>
            <w:color w:val="000000" w:themeColor="text1"/>
            <w:sz w:val="24"/>
            <w:szCs w:val="24"/>
          </w:rPr>
          <m:t>π</m:t>
        </m:r>
      </m:oMath>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圆周率。</w:t>
      </w:r>
    </w:p>
    <w:p w14:paraId="1923A222"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将本次预测所用模型转换形式后可得：</w:t>
      </w:r>
    </w:p>
    <w:p w14:paraId="070FAC93" w14:textId="77777777" w:rsidR="003C3813" w:rsidRPr="00092862" w:rsidRDefault="00000000"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m:oMathPara>
        <m:oMath>
          <m:f>
            <m:fPr>
              <m:ctrlPr>
                <w:rPr>
                  <w:rFonts w:ascii="Cambria Math" w:eastAsia="宋体" w:hAnsi="Cambria Math" w:cs="Times New Roman"/>
                  <w:i/>
                  <w:color w:val="000000" w:themeColor="text1"/>
                  <w:sz w:val="24"/>
                  <w:szCs w:val="24"/>
                </w:rPr>
              </m:ctrlPr>
            </m:fPr>
            <m:num>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(x-ut)</m:t>
                  </m:r>
                </m:e>
                <m:sup>
                  <m:r>
                    <w:rPr>
                      <w:rFonts w:ascii="Cambria Math" w:eastAsia="宋体" w:hAnsi="Cambria Math" w:cs="Times New Roman"/>
                      <w:color w:val="000000" w:themeColor="text1"/>
                      <w:sz w:val="24"/>
                      <w:szCs w:val="24"/>
                    </w:rPr>
                    <m:t>2</m:t>
                  </m:r>
                </m:sup>
              </m:sSup>
            </m:num>
            <m:den>
              <m:r>
                <w:rPr>
                  <w:rFonts w:ascii="Cambria Math" w:eastAsia="宋体" w:hAnsi="Cambria Math" w:cs="Times New Roman"/>
                  <w:color w:val="000000" w:themeColor="text1"/>
                  <w:sz w:val="24"/>
                  <w:szCs w:val="24"/>
                </w:rPr>
                <m:t>4</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L</m:t>
                  </m:r>
                </m:sub>
              </m:sSub>
              <m:r>
                <w:rPr>
                  <w:rFonts w:ascii="Cambria Math" w:eastAsia="宋体" w:hAnsi="Cambria Math" w:cs="Times New Roman"/>
                  <w:color w:val="000000" w:themeColor="text1"/>
                  <w:sz w:val="24"/>
                  <w:szCs w:val="24"/>
                </w:rPr>
                <m:t>t</m:t>
              </m:r>
            </m:den>
          </m:f>
          <m:r>
            <w:rPr>
              <w:rFonts w:ascii="Cambria Math" w:eastAsia="宋体" w:hAnsi="Cambria Math" w:cs="Times New Roman"/>
              <w:color w:val="000000" w:themeColor="text1"/>
              <w:sz w:val="24"/>
              <w:szCs w:val="24"/>
            </w:rPr>
            <m:t>+</m:t>
          </m:r>
          <m:f>
            <m:fPr>
              <m:ctrlPr>
                <w:rPr>
                  <w:rFonts w:ascii="Cambria Math" w:eastAsia="宋体" w:hAnsi="Cambria Math" w:cs="Times New Roman"/>
                  <w:i/>
                  <w:color w:val="000000" w:themeColor="text1"/>
                  <w:sz w:val="24"/>
                  <w:szCs w:val="24"/>
                </w:rPr>
              </m:ctrlPr>
            </m:fPr>
            <m:num>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y</m:t>
                  </m:r>
                </m:e>
                <m:sup>
                  <m:r>
                    <w:rPr>
                      <w:rFonts w:ascii="Cambria Math" w:eastAsia="宋体" w:hAnsi="Cambria Math" w:cs="Times New Roman"/>
                      <w:color w:val="000000" w:themeColor="text1"/>
                      <w:sz w:val="24"/>
                      <w:szCs w:val="24"/>
                    </w:rPr>
                    <m:t>2</m:t>
                  </m:r>
                </m:sup>
              </m:sSup>
            </m:num>
            <m:den>
              <m:r>
                <w:rPr>
                  <w:rFonts w:ascii="Cambria Math" w:eastAsia="宋体" w:hAnsi="Cambria Math" w:cs="Times New Roman"/>
                  <w:color w:val="000000" w:themeColor="text1"/>
                  <w:sz w:val="24"/>
                  <w:szCs w:val="24"/>
                </w:rPr>
                <m:t>4</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T</m:t>
                  </m:r>
                </m:sub>
              </m:sSub>
              <m:r>
                <w:rPr>
                  <w:rFonts w:ascii="Cambria Math" w:eastAsia="宋体" w:hAnsi="Cambria Math" w:cs="Times New Roman"/>
                  <w:color w:val="000000" w:themeColor="text1"/>
                  <w:sz w:val="24"/>
                  <w:szCs w:val="24"/>
                </w:rPr>
                <m:t>t</m:t>
              </m:r>
            </m:den>
          </m:f>
          <m:r>
            <w:rPr>
              <w:rFonts w:ascii="Cambria Math" w:eastAsia="宋体" w:hAnsi="Cambria Math" w:cs="Times New Roman"/>
              <w:color w:val="000000" w:themeColor="text1"/>
              <w:sz w:val="24"/>
              <w:szCs w:val="24"/>
            </w:rPr>
            <m:t>=</m:t>
          </m:r>
          <m:func>
            <m:funcPr>
              <m:ctrlPr>
                <w:rPr>
                  <w:rFonts w:ascii="Cambria Math" w:eastAsia="宋体" w:hAnsi="Cambria Math" w:cs="Times New Roman"/>
                  <w:i/>
                  <w:color w:val="000000" w:themeColor="text1"/>
                  <w:sz w:val="24"/>
                  <w:szCs w:val="24"/>
                </w:rPr>
              </m:ctrlPr>
            </m:funcPr>
            <m:fName>
              <m:r>
                <m:rPr>
                  <m:sty m:val="p"/>
                </m:rPr>
                <w:rPr>
                  <w:rFonts w:ascii="Cambria Math" w:eastAsia="宋体" w:hAnsi="Cambria Math" w:cs="Times New Roman"/>
                  <w:color w:val="000000" w:themeColor="text1"/>
                  <w:sz w:val="24"/>
                  <w:szCs w:val="24"/>
                </w:rPr>
                <m:t>ln</m:t>
              </m:r>
            </m:fName>
            <m:e>
              <m:d>
                <m:dPr>
                  <m:begChr m:val="["/>
                  <m:endChr m:val="]"/>
                  <m:ctrlPr>
                    <w:rPr>
                      <w:rFonts w:ascii="Cambria Math" w:eastAsia="宋体" w:hAnsi="Cambria Math" w:cs="Times New Roman"/>
                      <w:i/>
                      <w:color w:val="000000" w:themeColor="text1"/>
                      <w:sz w:val="24"/>
                      <w:szCs w:val="24"/>
                    </w:rPr>
                  </m:ctrlPr>
                </m:dPr>
                <m:e>
                  <m:f>
                    <m:fPr>
                      <m:ctrlPr>
                        <w:rPr>
                          <w:rFonts w:ascii="Cambria Math" w:eastAsia="宋体" w:hAnsi="Cambria Math" w:cs="Times New Roman"/>
                          <w:i/>
                          <w:color w:val="000000" w:themeColor="text1"/>
                          <w:sz w:val="24"/>
                          <w:szCs w:val="24"/>
                        </w:rPr>
                      </m:ctrlPr>
                    </m:fPr>
                    <m:num>
                      <m:sSub>
                        <m:sSubPr>
                          <m:ctrlPr>
                            <w:rPr>
                              <w:rFonts w:ascii="Cambria Math" w:eastAsia="宋体" w:hAnsi="Cambria Math" w:cs="Times New Roman"/>
                              <w:color w:val="000000" w:themeColor="text1"/>
                              <w:sz w:val="24"/>
                              <w:szCs w:val="24"/>
                            </w:rPr>
                          </m:ctrlPr>
                        </m:sSubPr>
                        <m:e>
                          <m:r>
                            <m:rPr>
                              <m:sty m:val="p"/>
                            </m:rPr>
                            <w:rPr>
                              <w:rFonts w:ascii="Cambria Math" w:eastAsia="宋体" w:hAnsi="Cambria Math" w:cs="Times New Roman"/>
                              <w:color w:val="000000" w:themeColor="text1"/>
                              <w:sz w:val="24"/>
                              <w:szCs w:val="24"/>
                            </w:rPr>
                            <m:t>m</m:t>
                          </m:r>
                        </m:e>
                        <m:sub>
                          <m:r>
                            <w:rPr>
                              <w:rFonts w:ascii="Cambria Math" w:eastAsia="宋体" w:hAnsi="Cambria Math" w:cs="Times New Roman"/>
                              <w:color w:val="000000" w:themeColor="text1"/>
                              <w:sz w:val="24"/>
                              <w:szCs w:val="24"/>
                            </w:rPr>
                            <m:t>M</m:t>
                          </m:r>
                        </m:sub>
                      </m:sSub>
                    </m:num>
                    <m:den>
                      <m:r>
                        <w:rPr>
                          <w:rFonts w:ascii="Cambria Math" w:eastAsia="宋体" w:hAnsi="Cambria Math" w:cs="Times New Roman"/>
                          <w:color w:val="000000" w:themeColor="text1"/>
                          <w:sz w:val="24"/>
                          <w:szCs w:val="24"/>
                        </w:rPr>
                        <m:t>4πnM</m:t>
                      </m:r>
                      <m:r>
                        <m:rPr>
                          <m:sty m:val="p"/>
                        </m:rPr>
                        <w:rPr>
                          <w:rFonts w:ascii="Cambria Math" w:eastAsia="宋体" w:hAnsi="Cambria Math" w:cs="Times New Roman"/>
                          <w:color w:val="000000" w:themeColor="text1"/>
                          <w:sz w:val="24"/>
                          <w:szCs w:val="24"/>
                        </w:rPr>
                        <m:t>C</m:t>
                      </m:r>
                      <m:d>
                        <m:dPr>
                          <m:begChr m:val="（"/>
                          <m:endChr m:val="）"/>
                          <m:ctrlPr>
                            <w:rPr>
                              <w:rFonts w:ascii="Cambria Math" w:eastAsia="宋体" w:hAnsi="Cambria Math" w:cs="Times New Roman"/>
                              <w:color w:val="000000" w:themeColor="text1"/>
                              <w:sz w:val="24"/>
                              <w:szCs w:val="24"/>
                            </w:rPr>
                          </m:ctrlPr>
                        </m:dPr>
                        <m:e>
                          <m:r>
                            <w:rPr>
                              <w:rFonts w:ascii="Cambria Math" w:eastAsia="宋体" w:hAnsi="Cambria Math" w:cs="Times New Roman"/>
                              <w:color w:val="000000" w:themeColor="text1"/>
                              <w:sz w:val="24"/>
                              <w:szCs w:val="24"/>
                            </w:rPr>
                            <m:t>x</m:t>
                          </m:r>
                          <m:r>
                            <w:rPr>
                              <w:rFonts w:ascii="Cambria Math" w:eastAsia="宋体" w:hAnsi="Cambria Math" w:cs="Times New Roman"/>
                              <w:color w:val="000000" w:themeColor="text1"/>
                              <w:sz w:val="24"/>
                              <w:szCs w:val="24"/>
                            </w:rPr>
                            <m:t>，</m:t>
                          </m:r>
                          <m:r>
                            <w:rPr>
                              <w:rFonts w:ascii="Cambria Math" w:eastAsia="宋体" w:hAnsi="Cambria Math" w:cs="Times New Roman"/>
                              <w:color w:val="000000" w:themeColor="text1"/>
                              <w:sz w:val="24"/>
                              <w:szCs w:val="24"/>
                            </w:rPr>
                            <m:t>y</m:t>
                          </m:r>
                          <m:r>
                            <w:rPr>
                              <w:rFonts w:ascii="Cambria Math" w:eastAsia="宋体" w:hAnsi="Cambria Math" w:cs="Times New Roman"/>
                              <w:color w:val="000000" w:themeColor="text1"/>
                              <w:sz w:val="24"/>
                              <w:szCs w:val="24"/>
                            </w:rPr>
                            <m:t>，</m:t>
                          </m:r>
                          <m:r>
                            <w:rPr>
                              <w:rFonts w:ascii="Cambria Math" w:eastAsia="宋体" w:hAnsi="Cambria Math" w:cs="Times New Roman"/>
                              <w:color w:val="000000" w:themeColor="text1"/>
                              <w:sz w:val="24"/>
                              <w:szCs w:val="24"/>
                            </w:rPr>
                            <m:t>t</m:t>
                          </m:r>
                        </m:e>
                      </m:d>
                      <m:rad>
                        <m:radPr>
                          <m:degHide m:val="1"/>
                          <m:ctrlPr>
                            <w:rPr>
                              <w:rFonts w:ascii="Cambria Math" w:eastAsia="宋体" w:hAnsi="Cambria Math" w:cs="Times New Roman"/>
                              <w:i/>
                              <w:color w:val="000000" w:themeColor="text1"/>
                              <w:sz w:val="24"/>
                              <w:szCs w:val="24"/>
                            </w:rPr>
                          </m:ctrlPr>
                        </m:radPr>
                        <m:deg/>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L</m:t>
                              </m:r>
                            </m:sub>
                          </m:sSub>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T</m:t>
                              </m:r>
                            </m:sub>
                          </m:sSub>
                        </m:e>
                      </m:rad>
                      <m:r>
                        <w:rPr>
                          <w:rFonts w:ascii="Cambria Math" w:eastAsia="宋体" w:hAnsi="Cambria Math" w:cs="Times New Roman"/>
                          <w:color w:val="000000" w:themeColor="text1"/>
                          <w:sz w:val="24"/>
                          <w:szCs w:val="24"/>
                        </w:rPr>
                        <m:t>t</m:t>
                      </m:r>
                    </m:den>
                  </m:f>
                </m:e>
              </m:d>
            </m:e>
          </m:func>
        </m:oMath>
      </m:oMathPara>
    </w:p>
    <w:p w14:paraId="7F5C3C0B"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从上式可以看出，当污染物排放量一定，排放时间一定时，同一浓度等值线为一椭圆。同时从该式可知，仅当右式大于</w:t>
      </w:r>
      <w:r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时，该式才有意义。</w:t>
      </w:r>
    </w:p>
    <w:p w14:paraId="10787E7D"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本次预测所用模型需要的参数有：含水层厚度</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rPr>
        <w:t>；外泄污染物质量</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bscript"/>
        </w:rPr>
        <w:t>M</w:t>
      </w:r>
      <w:r w:rsidRPr="00092862">
        <w:rPr>
          <w:rFonts w:ascii="Times New Roman" w:eastAsia="宋体" w:hAnsi="Times New Roman" w:cs="Times New Roman"/>
          <w:color w:val="000000" w:themeColor="text1"/>
          <w:sz w:val="24"/>
          <w:szCs w:val="24"/>
        </w:rPr>
        <w:t>；岩层的有效孔隙度</w:t>
      </w:r>
      <w:r w:rsidRPr="00092862">
        <w:rPr>
          <w:rFonts w:ascii="Times New Roman" w:eastAsia="宋体" w:hAnsi="Times New Roman" w:cs="Times New Roman"/>
          <w:color w:val="000000" w:themeColor="text1"/>
          <w:sz w:val="24"/>
          <w:szCs w:val="24"/>
        </w:rPr>
        <w:t>n</w:t>
      </w:r>
      <w:r w:rsidRPr="00092862">
        <w:rPr>
          <w:rFonts w:ascii="Times New Roman" w:eastAsia="宋体" w:hAnsi="Times New Roman" w:cs="Times New Roman"/>
          <w:color w:val="000000" w:themeColor="text1"/>
          <w:sz w:val="24"/>
          <w:szCs w:val="24"/>
        </w:rPr>
        <w:t>；水流速度</w:t>
      </w:r>
      <w:r w:rsidRPr="00092862">
        <w:rPr>
          <w:rFonts w:ascii="Times New Roman" w:eastAsia="宋体" w:hAnsi="Times New Roman" w:cs="Times New Roman"/>
          <w:color w:val="000000" w:themeColor="text1"/>
          <w:sz w:val="24"/>
          <w:szCs w:val="24"/>
        </w:rPr>
        <w:t>u</w:t>
      </w:r>
      <w:r w:rsidRPr="00092862">
        <w:rPr>
          <w:rFonts w:ascii="Times New Roman" w:eastAsia="宋体" w:hAnsi="Times New Roman" w:cs="Times New Roman"/>
          <w:color w:val="000000" w:themeColor="text1"/>
          <w:sz w:val="24"/>
          <w:szCs w:val="24"/>
        </w:rPr>
        <w:t>；污染物纵向弥散系数</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L</w:t>
      </w:r>
      <w:r w:rsidRPr="00092862">
        <w:rPr>
          <w:rFonts w:ascii="Times New Roman" w:eastAsia="宋体" w:hAnsi="Times New Roman" w:cs="Times New Roman"/>
          <w:color w:val="000000" w:themeColor="text1"/>
          <w:sz w:val="24"/>
          <w:szCs w:val="24"/>
        </w:rPr>
        <w:t>；污染物横向弥散系数</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T</w:t>
      </w:r>
      <w:r w:rsidRPr="00092862">
        <w:rPr>
          <w:rFonts w:ascii="Times New Roman" w:eastAsia="宋体" w:hAnsi="Times New Roman" w:cs="Times New Roman"/>
          <w:color w:val="000000" w:themeColor="text1"/>
          <w:sz w:val="24"/>
          <w:szCs w:val="24"/>
        </w:rPr>
        <w:t>。这些参数主要由本次工作的调查资料以及类比区最新的勘察成果资料来确定。</w:t>
      </w:r>
    </w:p>
    <w:p w14:paraId="79994B10" w14:textId="77777777" w:rsidR="003C3813" w:rsidRPr="00092862" w:rsidRDefault="003C3813" w:rsidP="003C3813">
      <w:pPr>
        <w:adjustRightInd w:val="0"/>
        <w:snapToGrid w:val="0"/>
        <w:spacing w:line="360" w:lineRule="auto"/>
        <w:ind w:firstLineChars="200" w:firstLine="482"/>
        <w:rPr>
          <w:rFonts w:ascii="Times New Roman" w:eastAsia="宋体" w:hAnsi="Times New Roman" w:cs="Times New Roman"/>
          <w:b/>
          <w:bCs/>
          <w:snapToGrid w:val="0"/>
          <w:color w:val="000000" w:themeColor="text1"/>
          <w:sz w:val="24"/>
          <w:szCs w:val="24"/>
        </w:rPr>
      </w:pPr>
      <w:r w:rsidRPr="00092862">
        <w:rPr>
          <w:rFonts w:ascii="Times New Roman" w:eastAsia="宋体" w:hAnsi="Times New Roman" w:cs="Times New Roman"/>
          <w:b/>
          <w:bCs/>
          <w:snapToGrid w:val="0"/>
          <w:color w:val="000000" w:themeColor="text1"/>
          <w:sz w:val="24"/>
          <w:szCs w:val="24"/>
        </w:rPr>
        <w:t>（</w:t>
      </w:r>
      <w:r w:rsidRPr="00092862">
        <w:rPr>
          <w:rFonts w:ascii="Times New Roman" w:eastAsia="宋体" w:hAnsi="Times New Roman" w:cs="Times New Roman"/>
          <w:b/>
          <w:bCs/>
          <w:snapToGrid w:val="0"/>
          <w:color w:val="000000" w:themeColor="text1"/>
          <w:sz w:val="24"/>
          <w:szCs w:val="24"/>
        </w:rPr>
        <w:t>2</w:t>
      </w:r>
      <w:r w:rsidRPr="00092862">
        <w:rPr>
          <w:rFonts w:ascii="Times New Roman" w:eastAsia="宋体" w:hAnsi="Times New Roman" w:cs="Times New Roman"/>
          <w:b/>
          <w:bCs/>
          <w:snapToGrid w:val="0"/>
          <w:color w:val="000000" w:themeColor="text1"/>
          <w:sz w:val="24"/>
          <w:szCs w:val="24"/>
        </w:rPr>
        <w:t>）模型参数选取</w:t>
      </w:r>
    </w:p>
    <w:p w14:paraId="08E193DC" w14:textId="29939111" w:rsidR="003C3813" w:rsidRPr="00092862" w:rsidRDefault="003C3813" w:rsidP="008A0A5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含水层厚度</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rPr>
        <w:t>：</w:t>
      </w:r>
      <w:r w:rsidR="008A0A57" w:rsidRPr="00092862">
        <w:rPr>
          <w:rFonts w:ascii="Times New Roman" w:eastAsia="宋体" w:hAnsi="Times New Roman" w:cs="Times New Roman"/>
          <w:color w:val="000000" w:themeColor="text1"/>
          <w:sz w:val="24"/>
          <w:szCs w:val="24"/>
        </w:rPr>
        <w:t>本区域含水层厚度为</w:t>
      </w:r>
      <w:r w:rsidR="008A0A57" w:rsidRPr="00092862">
        <w:rPr>
          <w:rFonts w:ascii="Times New Roman" w:eastAsia="宋体" w:hAnsi="Times New Roman" w:cs="Times New Roman"/>
          <w:color w:val="000000" w:themeColor="text1"/>
          <w:sz w:val="24"/>
          <w:szCs w:val="24"/>
        </w:rPr>
        <w:t>20</w:t>
      </w:r>
      <w:r w:rsidR="008A0A57" w:rsidRPr="00092862">
        <w:rPr>
          <w:rFonts w:ascii="Times New Roman" w:eastAsia="宋体" w:hAnsi="Times New Roman" w:cs="Times New Roman"/>
          <w:color w:val="000000" w:themeColor="text1"/>
          <w:sz w:val="24"/>
          <w:szCs w:val="24"/>
        </w:rPr>
        <w:t>～</w:t>
      </w:r>
      <w:r w:rsidR="008A0A57" w:rsidRPr="00092862">
        <w:rPr>
          <w:rFonts w:ascii="Times New Roman" w:eastAsia="宋体" w:hAnsi="Times New Roman" w:cs="Times New Roman"/>
          <w:color w:val="000000" w:themeColor="text1"/>
          <w:sz w:val="24"/>
          <w:szCs w:val="24"/>
        </w:rPr>
        <w:t>30m</w:t>
      </w:r>
      <w:r w:rsidR="008A0A57" w:rsidRPr="00092862">
        <w:rPr>
          <w:rFonts w:ascii="Times New Roman" w:eastAsia="宋体" w:hAnsi="Times New Roman" w:cs="Times New Roman"/>
          <w:color w:val="000000" w:themeColor="text1"/>
          <w:sz w:val="24"/>
          <w:szCs w:val="24"/>
        </w:rPr>
        <w:t>，本次取</w:t>
      </w:r>
      <w:r w:rsidR="00ED0379" w:rsidRPr="00092862">
        <w:rPr>
          <w:rFonts w:ascii="Times New Roman" w:eastAsia="宋体" w:hAnsi="Times New Roman" w:cs="Times New Roman"/>
          <w:color w:val="000000" w:themeColor="text1"/>
          <w:sz w:val="24"/>
          <w:szCs w:val="24"/>
        </w:rPr>
        <w:t>30</w:t>
      </w:r>
      <w:r w:rsidR="008A0A57" w:rsidRPr="00092862">
        <w:rPr>
          <w:rFonts w:ascii="Times New Roman" w:eastAsia="宋体" w:hAnsi="Times New Roman" w:cs="Times New Roman"/>
          <w:color w:val="000000" w:themeColor="text1"/>
          <w:sz w:val="24"/>
          <w:szCs w:val="24"/>
        </w:rPr>
        <w:t>m</w:t>
      </w:r>
      <w:r w:rsidR="00E47407" w:rsidRPr="00092862">
        <w:rPr>
          <w:rFonts w:ascii="Times New Roman" w:eastAsia="宋体" w:hAnsi="Times New Roman" w:cs="Times New Roman"/>
          <w:color w:val="000000" w:themeColor="text1"/>
          <w:sz w:val="24"/>
          <w:szCs w:val="24"/>
        </w:rPr>
        <w:t>。</w:t>
      </w:r>
    </w:p>
    <w:p w14:paraId="50F219E4"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瞬时注入的示踪剂质量</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bscript"/>
        </w:rPr>
        <w:t>M</w:t>
      </w:r>
      <w:r w:rsidRPr="00092862">
        <w:rPr>
          <w:rFonts w:ascii="Times New Roman" w:eastAsia="宋体" w:hAnsi="Times New Roman" w:cs="Times New Roman"/>
          <w:color w:val="000000" w:themeColor="text1"/>
          <w:sz w:val="24"/>
          <w:szCs w:val="24"/>
        </w:rPr>
        <w:t>：项目在压裂过程井筒破裂发生渗透性漏失、放喷池泄漏，最大漏失量进行最不利计算，选取污染物特征因子石油类、</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、氯化物。</w:t>
      </w:r>
    </w:p>
    <w:p w14:paraId="72D817CB" w14:textId="0928BAF9"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含水层的平均有效孔隙度</w:t>
      </w:r>
      <w:r w:rsidRPr="00092862">
        <w:rPr>
          <w:rFonts w:ascii="Times New Roman" w:eastAsia="宋体" w:hAnsi="Times New Roman" w:cs="Times New Roman"/>
          <w:color w:val="000000" w:themeColor="text1"/>
          <w:sz w:val="24"/>
          <w:szCs w:val="24"/>
        </w:rPr>
        <w:t>n</w:t>
      </w:r>
      <w:r w:rsidRPr="00092862">
        <w:rPr>
          <w:rFonts w:ascii="Times New Roman" w:eastAsia="宋体" w:hAnsi="Times New Roman" w:cs="Times New Roman"/>
          <w:color w:val="000000" w:themeColor="text1"/>
          <w:sz w:val="24"/>
          <w:szCs w:val="24"/>
        </w:rPr>
        <w:t>：地下水含水层岩性以</w:t>
      </w:r>
      <w:r w:rsidR="00A123BE" w:rsidRPr="00092862">
        <w:rPr>
          <w:rFonts w:ascii="Times New Roman" w:eastAsia="宋体" w:hAnsi="Times New Roman" w:cs="Times New Roman"/>
          <w:color w:val="000000" w:themeColor="text1"/>
          <w:sz w:val="24"/>
          <w:szCs w:val="24"/>
        </w:rPr>
        <w:t>紫红色泥岩、粉砂质泥岩与厚至块状细粒长石石英砂岩互层</w:t>
      </w:r>
      <w:r w:rsidRPr="00092862">
        <w:rPr>
          <w:rFonts w:ascii="Times New Roman" w:eastAsia="宋体" w:hAnsi="Times New Roman" w:cs="Times New Roman"/>
          <w:color w:val="000000" w:themeColor="text1"/>
          <w:sz w:val="24"/>
          <w:szCs w:val="24"/>
        </w:rPr>
        <w:t>为主，参考弗里泽孔隙度与岩石粒度近似关系范围并适当修正，有效孔隙度取</w:t>
      </w:r>
      <w:r w:rsidRPr="00092862">
        <w:rPr>
          <w:rFonts w:ascii="Times New Roman" w:eastAsia="宋体" w:hAnsi="Times New Roman" w:cs="Times New Roman"/>
          <w:color w:val="000000" w:themeColor="text1"/>
          <w:sz w:val="24"/>
          <w:szCs w:val="24"/>
        </w:rPr>
        <w:t>0.</w:t>
      </w:r>
      <w:r w:rsidR="00A123BE" w:rsidRPr="00092862">
        <w:rPr>
          <w:rFonts w:ascii="Times New Roman" w:eastAsia="宋体" w:hAnsi="Times New Roman" w:cs="Times New Roman"/>
          <w:color w:val="000000" w:themeColor="text1"/>
          <w:sz w:val="24"/>
          <w:szCs w:val="24"/>
        </w:rPr>
        <w:t>1</w:t>
      </w:r>
      <w:r w:rsidR="004C7300"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p>
    <w:p w14:paraId="6715AA06" w14:textId="1C92BF51"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水流速度</w:t>
      </w:r>
      <w:r w:rsidRPr="00092862">
        <w:rPr>
          <w:rFonts w:ascii="Times New Roman" w:eastAsia="宋体" w:hAnsi="Times New Roman" w:cs="Times New Roman"/>
          <w:color w:val="000000" w:themeColor="text1"/>
          <w:sz w:val="24"/>
          <w:szCs w:val="24"/>
        </w:rPr>
        <w:t>u</w:t>
      </w:r>
      <w:r w:rsidRPr="00092862">
        <w:rPr>
          <w:rFonts w:ascii="Times New Roman" w:eastAsia="宋体" w:hAnsi="Times New Roman" w:cs="Times New Roman"/>
          <w:color w:val="000000" w:themeColor="text1"/>
          <w:sz w:val="24"/>
          <w:szCs w:val="24"/>
        </w:rPr>
        <w:t>：</w:t>
      </w:r>
      <w:r w:rsidR="0076593F" w:rsidRPr="00092862">
        <w:rPr>
          <w:rFonts w:ascii="Times New Roman" w:eastAsia="宋体" w:hAnsi="Times New Roman" w:cs="Times New Roman"/>
          <w:color w:val="000000" w:themeColor="text1"/>
          <w:sz w:val="24"/>
          <w:szCs w:val="24"/>
        </w:rPr>
        <w:t>评价区地下水含水层岩性为砂砾岩，本评价渗透系数取值</w:t>
      </w:r>
      <w:r w:rsidR="00A123BE" w:rsidRPr="00092862">
        <w:rPr>
          <w:rFonts w:ascii="Times New Roman" w:eastAsia="宋体" w:hAnsi="Times New Roman" w:cs="Times New Roman"/>
          <w:color w:val="000000" w:themeColor="text1"/>
          <w:sz w:val="24"/>
          <w:szCs w:val="24"/>
        </w:rPr>
        <w:t>0.1</w:t>
      </w:r>
      <w:r w:rsidR="004C7300" w:rsidRPr="00092862">
        <w:rPr>
          <w:rFonts w:ascii="Times New Roman" w:eastAsia="宋体" w:hAnsi="Times New Roman" w:cs="Times New Roman"/>
          <w:color w:val="000000" w:themeColor="text1"/>
          <w:sz w:val="24"/>
          <w:szCs w:val="24"/>
        </w:rPr>
        <w:t>33</w:t>
      </w:r>
      <w:r w:rsidR="0076593F" w:rsidRPr="00092862">
        <w:rPr>
          <w:rFonts w:ascii="Times New Roman" w:eastAsia="宋体" w:hAnsi="Times New Roman" w:cs="Times New Roman"/>
          <w:color w:val="000000" w:themeColor="text1"/>
          <w:sz w:val="24"/>
          <w:szCs w:val="24"/>
        </w:rPr>
        <w:t>m/d</w:t>
      </w:r>
      <w:r w:rsidR="0076593F" w:rsidRPr="00092862">
        <w:rPr>
          <w:rFonts w:ascii="Times New Roman" w:eastAsia="宋体" w:hAnsi="Times New Roman" w:cs="Times New Roman"/>
          <w:color w:val="000000" w:themeColor="text1"/>
          <w:sz w:val="24"/>
          <w:szCs w:val="24"/>
        </w:rPr>
        <w:t>，水力坡度约为</w:t>
      </w:r>
      <w:r w:rsidR="0076593F" w:rsidRPr="00092862">
        <w:rPr>
          <w:rFonts w:ascii="Times New Roman" w:eastAsia="宋体" w:hAnsi="Times New Roman" w:cs="Times New Roman"/>
          <w:color w:val="000000" w:themeColor="text1"/>
          <w:sz w:val="24"/>
          <w:szCs w:val="24"/>
        </w:rPr>
        <w:t>0.</w:t>
      </w:r>
      <w:r w:rsidR="00C045E7" w:rsidRPr="00092862">
        <w:rPr>
          <w:rFonts w:ascii="Times New Roman" w:eastAsia="宋体" w:hAnsi="Times New Roman" w:cs="Times New Roman"/>
          <w:color w:val="000000" w:themeColor="text1"/>
          <w:sz w:val="24"/>
          <w:szCs w:val="24"/>
        </w:rPr>
        <w:t>1</w:t>
      </w:r>
      <w:r w:rsidR="004C7300" w:rsidRPr="00092862">
        <w:rPr>
          <w:rFonts w:ascii="Times New Roman" w:eastAsia="宋体" w:hAnsi="Times New Roman" w:cs="Times New Roman"/>
          <w:color w:val="000000" w:themeColor="text1"/>
          <w:sz w:val="24"/>
          <w:szCs w:val="24"/>
        </w:rPr>
        <w:t>14</w:t>
      </w:r>
      <w:r w:rsidR="0076593F" w:rsidRPr="00092862">
        <w:rPr>
          <w:rFonts w:ascii="Times New Roman" w:eastAsia="宋体" w:hAnsi="Times New Roman" w:cs="Times New Roman"/>
          <w:color w:val="000000" w:themeColor="text1"/>
          <w:sz w:val="24"/>
          <w:szCs w:val="24"/>
        </w:rPr>
        <w:t>，因此地下水的渗流速度</w:t>
      </w:r>
      <w:r w:rsidR="0076593F" w:rsidRPr="00092862">
        <w:rPr>
          <w:rFonts w:ascii="Times New Roman" w:eastAsia="宋体" w:hAnsi="Times New Roman" w:cs="Times New Roman"/>
          <w:color w:val="000000" w:themeColor="text1"/>
          <w:sz w:val="24"/>
          <w:szCs w:val="24"/>
        </w:rPr>
        <w:t>v=KI=0.0</w:t>
      </w:r>
      <w:r w:rsidR="00C045E7" w:rsidRPr="00092862">
        <w:rPr>
          <w:rFonts w:ascii="Times New Roman" w:eastAsia="宋体" w:hAnsi="Times New Roman" w:cs="Times New Roman"/>
          <w:color w:val="000000" w:themeColor="text1"/>
          <w:sz w:val="24"/>
          <w:szCs w:val="24"/>
        </w:rPr>
        <w:t>1</w:t>
      </w:r>
      <w:r w:rsidR="004C7300" w:rsidRPr="00092862">
        <w:rPr>
          <w:rFonts w:ascii="Times New Roman" w:eastAsia="宋体" w:hAnsi="Times New Roman" w:cs="Times New Roman"/>
          <w:color w:val="000000" w:themeColor="text1"/>
          <w:sz w:val="24"/>
          <w:szCs w:val="24"/>
        </w:rPr>
        <w:t>52</w:t>
      </w:r>
      <w:r w:rsidR="0076593F" w:rsidRPr="00092862">
        <w:rPr>
          <w:rFonts w:ascii="Times New Roman" w:eastAsia="宋体" w:hAnsi="Times New Roman" w:cs="Times New Roman"/>
          <w:color w:val="000000" w:themeColor="text1"/>
          <w:sz w:val="24"/>
          <w:szCs w:val="24"/>
        </w:rPr>
        <w:t>m/d</w:t>
      </w:r>
      <w:r w:rsidR="0076593F" w:rsidRPr="00092862">
        <w:rPr>
          <w:rFonts w:ascii="Times New Roman" w:eastAsia="宋体" w:hAnsi="Times New Roman" w:cs="Times New Roman"/>
          <w:color w:val="000000" w:themeColor="text1"/>
          <w:sz w:val="24"/>
          <w:szCs w:val="24"/>
        </w:rPr>
        <w:t>，水流速度取实际流速</w:t>
      </w:r>
      <w:r w:rsidR="0076593F" w:rsidRPr="00092862">
        <w:rPr>
          <w:rFonts w:ascii="Times New Roman" w:eastAsia="宋体" w:hAnsi="Times New Roman" w:cs="Times New Roman"/>
          <w:color w:val="000000" w:themeColor="text1"/>
          <w:sz w:val="24"/>
          <w:szCs w:val="24"/>
        </w:rPr>
        <w:t>u=v/n=0.</w:t>
      </w:r>
      <w:r w:rsidR="00ED0379" w:rsidRPr="00092862">
        <w:rPr>
          <w:rFonts w:ascii="Times New Roman" w:eastAsia="宋体" w:hAnsi="Times New Roman" w:cs="Times New Roman"/>
          <w:color w:val="000000" w:themeColor="text1"/>
          <w:sz w:val="24"/>
          <w:szCs w:val="24"/>
        </w:rPr>
        <w:t>1</w:t>
      </w:r>
      <w:r w:rsidR="00C06DEC" w:rsidRPr="00092862">
        <w:rPr>
          <w:rFonts w:ascii="Times New Roman" w:eastAsia="宋体" w:hAnsi="Times New Roman" w:cs="Times New Roman"/>
          <w:color w:val="000000" w:themeColor="text1"/>
          <w:sz w:val="24"/>
          <w:szCs w:val="24"/>
        </w:rPr>
        <w:t>17</w:t>
      </w:r>
      <w:r w:rsidR="0076593F" w:rsidRPr="00092862">
        <w:rPr>
          <w:rFonts w:ascii="Times New Roman" w:eastAsia="宋体" w:hAnsi="Times New Roman" w:cs="Times New Roman"/>
          <w:color w:val="000000" w:themeColor="text1"/>
          <w:sz w:val="24"/>
          <w:szCs w:val="24"/>
        </w:rPr>
        <w:t>m/d</w:t>
      </w:r>
      <w:r w:rsidR="0076593F" w:rsidRPr="00092862">
        <w:rPr>
          <w:rFonts w:ascii="Times New Roman" w:eastAsia="宋体" w:hAnsi="Times New Roman" w:cs="Times New Roman"/>
          <w:color w:val="000000" w:themeColor="text1"/>
          <w:sz w:val="24"/>
          <w:szCs w:val="24"/>
        </w:rPr>
        <w:t>。</w:t>
      </w:r>
    </w:p>
    <w:p w14:paraId="45289BF2" w14:textId="02D4CF61"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lastRenderedPageBreak/>
        <w:t>⑤</w:t>
      </w:r>
      <w:r w:rsidRPr="00092862">
        <w:rPr>
          <w:rFonts w:ascii="Times New Roman" w:eastAsia="宋体" w:hAnsi="Times New Roman" w:cs="Times New Roman"/>
          <w:color w:val="000000" w:themeColor="text1"/>
          <w:sz w:val="24"/>
          <w:szCs w:val="24"/>
        </w:rPr>
        <w:t>纵向</w:t>
      </w:r>
      <w:r w:rsidRPr="00092862">
        <w:rPr>
          <w:rFonts w:ascii="Times New Roman" w:eastAsia="宋体" w:hAnsi="Times New Roman" w:cs="Times New Roman"/>
          <w:color w:val="000000" w:themeColor="text1"/>
          <w:sz w:val="24"/>
          <w:szCs w:val="24"/>
        </w:rPr>
        <w:t>x</w:t>
      </w:r>
      <w:r w:rsidRPr="00092862">
        <w:rPr>
          <w:rFonts w:ascii="Times New Roman" w:eastAsia="宋体" w:hAnsi="Times New Roman" w:cs="Times New Roman"/>
          <w:color w:val="000000" w:themeColor="text1"/>
          <w:sz w:val="24"/>
          <w:szCs w:val="24"/>
        </w:rPr>
        <w:t>方向的弥散系数</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L</w:t>
      </w:r>
      <w:r w:rsidRPr="00092862">
        <w:rPr>
          <w:rFonts w:ascii="Times New Roman" w:eastAsia="宋体" w:hAnsi="Times New Roman" w:cs="Times New Roman"/>
          <w:color w:val="000000" w:themeColor="text1"/>
          <w:sz w:val="24"/>
          <w:szCs w:val="24"/>
        </w:rPr>
        <w:t>：参考</w:t>
      </w:r>
      <w:r w:rsidRPr="00092862">
        <w:rPr>
          <w:rFonts w:ascii="Times New Roman" w:eastAsia="宋体" w:hAnsi="Times New Roman" w:cs="Times New Roman"/>
          <w:color w:val="000000" w:themeColor="text1"/>
          <w:sz w:val="24"/>
          <w:szCs w:val="24"/>
        </w:rPr>
        <w:t>Gelhar</w:t>
      </w:r>
      <w:r w:rsidRPr="00092862">
        <w:rPr>
          <w:rFonts w:ascii="Times New Roman" w:eastAsia="宋体" w:hAnsi="Times New Roman" w:cs="Times New Roman"/>
          <w:color w:val="000000" w:themeColor="text1"/>
          <w:sz w:val="24"/>
          <w:szCs w:val="24"/>
        </w:rPr>
        <w:t>等人关于纵向弥散度与观测尺度关系的理论，根据本次污染场地的研究尺度，模型计算中纵向弥散度选用</w:t>
      </w:r>
      <w:r w:rsidRPr="00092862">
        <w:rPr>
          <w:rFonts w:ascii="Times New Roman" w:eastAsia="宋体" w:hAnsi="Times New Roman" w:cs="Times New Roman"/>
          <w:color w:val="000000" w:themeColor="text1"/>
          <w:sz w:val="24"/>
          <w:szCs w:val="24"/>
        </w:rPr>
        <w:t>10.0m</w:t>
      </w:r>
      <w:r w:rsidRPr="00092862">
        <w:rPr>
          <w:rFonts w:ascii="Times New Roman" w:eastAsia="宋体" w:hAnsi="Times New Roman" w:cs="Times New Roman"/>
          <w:color w:val="000000" w:themeColor="text1"/>
          <w:sz w:val="24"/>
          <w:szCs w:val="24"/>
        </w:rPr>
        <w:t>。由此计算评估区含水层中的纵向弥散系数：</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L</w:t>
      </w:r>
      <w:r w:rsidRPr="00092862">
        <w:rPr>
          <w:rFonts w:ascii="Times New Roman" w:eastAsia="宋体" w:hAnsi="Times New Roman" w:cs="Times New Roman"/>
          <w:color w:val="000000" w:themeColor="text1"/>
          <w:sz w:val="24"/>
          <w:szCs w:val="24"/>
        </w:rPr>
        <w:t>=α</w:t>
      </w:r>
      <w:r w:rsidRPr="00092862">
        <w:rPr>
          <w:rFonts w:ascii="Times New Roman" w:eastAsia="宋体" w:hAnsi="Times New Roman" w:cs="Times New Roman"/>
          <w:color w:val="000000" w:themeColor="text1"/>
          <w:sz w:val="24"/>
          <w:szCs w:val="24"/>
          <w:vertAlign w:val="subscript"/>
        </w:rPr>
        <w:t>L</w:t>
      </w:r>
      <w:r w:rsidRPr="00092862">
        <w:rPr>
          <w:rFonts w:ascii="Times New Roman" w:eastAsia="宋体" w:hAnsi="Times New Roman" w:cs="Times New Roman"/>
          <w:color w:val="000000" w:themeColor="text1"/>
          <w:sz w:val="24"/>
          <w:szCs w:val="24"/>
        </w:rPr>
        <w:t>×u=</w:t>
      </w:r>
      <w:r w:rsidR="00ED0379" w:rsidRPr="00092862">
        <w:rPr>
          <w:rFonts w:ascii="Times New Roman" w:eastAsia="宋体" w:hAnsi="Times New Roman" w:cs="Times New Roman"/>
          <w:color w:val="000000" w:themeColor="text1"/>
          <w:sz w:val="24"/>
          <w:szCs w:val="24"/>
        </w:rPr>
        <w:t>1.</w:t>
      </w:r>
      <w:r w:rsidR="00C06DEC" w:rsidRPr="00092862">
        <w:rPr>
          <w:rFonts w:ascii="Times New Roman" w:eastAsia="宋体" w:hAnsi="Times New Roman" w:cs="Times New Roman"/>
          <w:color w:val="000000" w:themeColor="text1"/>
          <w:sz w:val="24"/>
          <w:szCs w:val="24"/>
        </w:rPr>
        <w:t>17</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p>
    <w:p w14:paraId="41F35EBE" w14:textId="449E3D4F" w:rsidR="003C3813" w:rsidRPr="00092862" w:rsidRDefault="003C3813" w:rsidP="003C3813">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⑥</w:t>
      </w:r>
      <w:r w:rsidRPr="00092862">
        <w:rPr>
          <w:rFonts w:ascii="Times New Roman" w:eastAsia="宋体" w:hAnsi="Times New Roman" w:cs="Times New Roman"/>
          <w:color w:val="000000" w:themeColor="text1"/>
          <w:sz w:val="24"/>
          <w:szCs w:val="24"/>
        </w:rPr>
        <w:t>横向</w:t>
      </w:r>
      <w:r w:rsidRPr="00092862">
        <w:rPr>
          <w:rFonts w:ascii="Times New Roman" w:eastAsia="宋体" w:hAnsi="Times New Roman" w:cs="Times New Roman"/>
          <w:color w:val="000000" w:themeColor="text1"/>
          <w:sz w:val="24"/>
          <w:szCs w:val="24"/>
        </w:rPr>
        <w:t>y</w:t>
      </w:r>
      <w:r w:rsidRPr="00092862">
        <w:rPr>
          <w:rFonts w:ascii="Times New Roman" w:eastAsia="宋体" w:hAnsi="Times New Roman" w:cs="Times New Roman"/>
          <w:color w:val="000000" w:themeColor="text1"/>
          <w:sz w:val="24"/>
          <w:szCs w:val="24"/>
        </w:rPr>
        <w:t>方向的弥散系数</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T</w:t>
      </w:r>
      <w:r w:rsidRPr="00092862">
        <w:rPr>
          <w:rFonts w:ascii="Times New Roman" w:eastAsia="宋体" w:hAnsi="Times New Roman" w:cs="Times New Roman"/>
          <w:color w:val="000000" w:themeColor="text1"/>
          <w:sz w:val="24"/>
          <w:szCs w:val="24"/>
        </w:rPr>
        <w:t>：根据经验一般</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T</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L</w:t>
      </w:r>
      <w:r w:rsidRPr="00092862">
        <w:rPr>
          <w:rFonts w:ascii="Times New Roman" w:eastAsia="宋体" w:hAnsi="Times New Roman" w:cs="Times New Roman"/>
          <w:color w:val="000000" w:themeColor="text1"/>
          <w:sz w:val="24"/>
          <w:szCs w:val="24"/>
        </w:rPr>
        <w:t>=0.1</w:t>
      </w:r>
      <w:r w:rsidRPr="00092862">
        <w:rPr>
          <w:rFonts w:ascii="Times New Roman" w:eastAsia="宋体" w:hAnsi="Times New Roman" w:cs="Times New Roman"/>
          <w:color w:val="000000" w:themeColor="text1"/>
          <w:sz w:val="24"/>
          <w:szCs w:val="24"/>
        </w:rPr>
        <w:t>，因此</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vertAlign w:val="subscript"/>
        </w:rPr>
        <w:t>T</w:t>
      </w:r>
      <w:r w:rsidRPr="00092862">
        <w:rPr>
          <w:rFonts w:ascii="Times New Roman" w:eastAsia="宋体" w:hAnsi="Times New Roman" w:cs="Times New Roman"/>
          <w:color w:val="000000" w:themeColor="text1"/>
          <w:sz w:val="24"/>
          <w:szCs w:val="24"/>
        </w:rPr>
        <w:t>取值</w:t>
      </w:r>
      <w:r w:rsidRPr="00092862">
        <w:rPr>
          <w:rFonts w:ascii="Times New Roman" w:eastAsia="宋体" w:hAnsi="Times New Roman" w:cs="Times New Roman"/>
          <w:color w:val="000000" w:themeColor="text1"/>
          <w:sz w:val="24"/>
          <w:szCs w:val="24"/>
        </w:rPr>
        <w:t>0.</w:t>
      </w:r>
      <w:r w:rsidR="00C06DEC" w:rsidRPr="00092862">
        <w:rPr>
          <w:rFonts w:ascii="Times New Roman" w:eastAsia="宋体" w:hAnsi="Times New Roman" w:cs="Times New Roman"/>
          <w:color w:val="000000" w:themeColor="text1"/>
          <w:sz w:val="24"/>
          <w:szCs w:val="24"/>
        </w:rPr>
        <w:t>117</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2</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p>
    <w:p w14:paraId="308671F8" w14:textId="77777777" w:rsidR="003C3813" w:rsidRPr="00092862" w:rsidRDefault="003C3813" w:rsidP="003C3813">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、影响预测</w:t>
      </w:r>
    </w:p>
    <w:p w14:paraId="30CF13DB" w14:textId="77777777" w:rsidR="003C3813" w:rsidRPr="00092862" w:rsidRDefault="003C3813" w:rsidP="003C3813">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1</w:t>
      </w:r>
      <w:r w:rsidRPr="00092862">
        <w:rPr>
          <w:rFonts w:ascii="Times New Roman" w:eastAsia="宋体" w:hAnsi="Times New Roman" w:cs="Times New Roman"/>
          <w:b/>
          <w:color w:val="000000" w:themeColor="text1"/>
          <w:sz w:val="24"/>
          <w:szCs w:val="24"/>
        </w:rPr>
        <w:t>）预测方法</w:t>
      </w:r>
    </w:p>
    <w:p w14:paraId="13398D75"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14:paraId="21F46D44"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14:paraId="3910802D"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地下水环境影响预测范围与调查评价范围一致，预测层位以潜水含水层为主。</w:t>
      </w:r>
    </w:p>
    <w:p w14:paraId="49121A36" w14:textId="77777777" w:rsidR="003C3813" w:rsidRPr="00092862" w:rsidRDefault="003C3813" w:rsidP="003C3813">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）预测时段</w:t>
      </w:r>
    </w:p>
    <w:p w14:paraId="5684579E" w14:textId="77777777" w:rsidR="003C3813" w:rsidRPr="00092862" w:rsidRDefault="001758C3" w:rsidP="003C381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地下水环境影响预测时段应选取可能产生地下水污染的关键时段，至少包括污染发生后</w:t>
      </w:r>
      <w:r w:rsidRPr="00092862">
        <w:rPr>
          <w:rFonts w:ascii="Times New Roman" w:eastAsia="宋体" w:hAnsi="Times New Roman" w:cs="Times New Roman"/>
          <w:bCs/>
          <w:color w:val="000000" w:themeColor="text1"/>
          <w:sz w:val="24"/>
          <w:szCs w:val="24"/>
        </w:rPr>
        <w:t>100d</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1000d</w:t>
      </w:r>
      <w:r w:rsidRPr="00092862">
        <w:rPr>
          <w:rFonts w:ascii="Times New Roman" w:eastAsia="宋体" w:hAnsi="Times New Roman" w:cs="Times New Roman"/>
          <w:bCs/>
          <w:color w:val="000000" w:themeColor="text1"/>
          <w:sz w:val="24"/>
          <w:szCs w:val="24"/>
        </w:rPr>
        <w:t>，服务年限或能反应特征因子迁移规律的其他重要时间节点。</w:t>
      </w:r>
      <w:r w:rsidR="003C3813" w:rsidRPr="00092862">
        <w:rPr>
          <w:rFonts w:ascii="Times New Roman" w:eastAsia="宋体" w:hAnsi="Times New Roman" w:cs="Times New Roman"/>
          <w:bCs/>
          <w:color w:val="000000" w:themeColor="text1"/>
          <w:sz w:val="24"/>
          <w:szCs w:val="24"/>
        </w:rPr>
        <w:t>本项目为油气开发井钻采项目，对地下水的影响主要在项目的施工期，生产运行和服务期满后两个阶段对地下水的影响极小。</w:t>
      </w:r>
    </w:p>
    <w:p w14:paraId="2E22259C" w14:textId="77777777" w:rsidR="003C3813" w:rsidRPr="00092862" w:rsidRDefault="003C3813" w:rsidP="003C381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因此，根据《环境影响评价技术导则</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地下水环境》（</w:t>
      </w:r>
      <w:r w:rsidRPr="00092862">
        <w:rPr>
          <w:rFonts w:ascii="Times New Roman" w:eastAsia="宋体" w:hAnsi="Times New Roman" w:cs="Times New Roman"/>
          <w:bCs/>
          <w:color w:val="000000" w:themeColor="text1"/>
          <w:sz w:val="24"/>
          <w:szCs w:val="24"/>
        </w:rPr>
        <w:t>HJ610-2016</w:t>
      </w:r>
      <w:r w:rsidRPr="00092862">
        <w:rPr>
          <w:rFonts w:ascii="Times New Roman" w:eastAsia="宋体" w:hAnsi="Times New Roman" w:cs="Times New Roman"/>
          <w:bCs/>
          <w:color w:val="000000" w:themeColor="text1"/>
          <w:sz w:val="24"/>
          <w:szCs w:val="24"/>
        </w:rPr>
        <w:t>）和项目施工期时长，将地下水环境影响预测时限定为</w:t>
      </w:r>
      <w:r w:rsidRPr="00092862">
        <w:rPr>
          <w:rFonts w:ascii="Times New Roman" w:eastAsia="宋体" w:hAnsi="Times New Roman" w:cs="Times New Roman"/>
          <w:bCs/>
          <w:color w:val="000000" w:themeColor="text1"/>
          <w:sz w:val="24"/>
          <w:szCs w:val="24"/>
        </w:rPr>
        <w:t>100</w:t>
      </w:r>
      <w:r w:rsidRPr="00092862">
        <w:rPr>
          <w:rFonts w:ascii="Times New Roman" w:eastAsia="宋体" w:hAnsi="Times New Roman" w:cs="Times New Roman"/>
          <w:bCs/>
          <w:color w:val="000000" w:themeColor="text1"/>
          <w:sz w:val="24"/>
          <w:szCs w:val="24"/>
        </w:rPr>
        <w:t>天、</w:t>
      </w:r>
      <w:r w:rsidRPr="00092862">
        <w:rPr>
          <w:rFonts w:ascii="Times New Roman" w:eastAsia="宋体" w:hAnsi="Times New Roman" w:cs="Times New Roman"/>
          <w:bCs/>
          <w:color w:val="000000" w:themeColor="text1"/>
          <w:sz w:val="24"/>
          <w:szCs w:val="24"/>
        </w:rPr>
        <w:t>365</w:t>
      </w:r>
      <w:r w:rsidRPr="00092862">
        <w:rPr>
          <w:rFonts w:ascii="Times New Roman" w:eastAsia="宋体" w:hAnsi="Times New Roman" w:cs="Times New Roman"/>
          <w:bCs/>
          <w:color w:val="000000" w:themeColor="text1"/>
          <w:sz w:val="24"/>
          <w:szCs w:val="24"/>
        </w:rPr>
        <w:t>天、</w:t>
      </w:r>
      <w:r w:rsidRPr="00092862">
        <w:rPr>
          <w:rFonts w:ascii="Times New Roman" w:eastAsia="宋体" w:hAnsi="Times New Roman" w:cs="Times New Roman"/>
          <w:bCs/>
          <w:color w:val="000000" w:themeColor="text1"/>
          <w:sz w:val="24"/>
          <w:szCs w:val="24"/>
        </w:rPr>
        <w:t>1000</w:t>
      </w:r>
      <w:r w:rsidRPr="00092862">
        <w:rPr>
          <w:rFonts w:ascii="Times New Roman" w:eastAsia="宋体" w:hAnsi="Times New Roman" w:cs="Times New Roman"/>
          <w:bCs/>
          <w:color w:val="000000" w:themeColor="text1"/>
          <w:sz w:val="24"/>
          <w:szCs w:val="24"/>
        </w:rPr>
        <w:t>天和</w:t>
      </w:r>
      <w:r w:rsidRPr="00092862">
        <w:rPr>
          <w:rFonts w:ascii="Times New Roman" w:eastAsia="宋体" w:hAnsi="Times New Roman" w:cs="Times New Roman"/>
          <w:bCs/>
          <w:color w:val="000000" w:themeColor="text1"/>
          <w:sz w:val="24"/>
          <w:szCs w:val="24"/>
        </w:rPr>
        <w:t>3650</w:t>
      </w:r>
      <w:r w:rsidRPr="00092862">
        <w:rPr>
          <w:rFonts w:ascii="Times New Roman" w:eastAsia="宋体" w:hAnsi="Times New Roman" w:cs="Times New Roman"/>
          <w:bCs/>
          <w:color w:val="000000" w:themeColor="text1"/>
          <w:sz w:val="24"/>
          <w:szCs w:val="24"/>
        </w:rPr>
        <w:t>天。</w:t>
      </w:r>
    </w:p>
    <w:p w14:paraId="6F09AA03" w14:textId="77777777" w:rsidR="003C3813" w:rsidRPr="00092862" w:rsidRDefault="001758C3" w:rsidP="001758C3">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3</w:t>
      </w:r>
      <w:r w:rsidRPr="00092862">
        <w:rPr>
          <w:rFonts w:ascii="Times New Roman" w:eastAsia="宋体" w:hAnsi="Times New Roman" w:cs="Times New Roman"/>
          <w:b/>
          <w:color w:val="000000" w:themeColor="text1"/>
          <w:sz w:val="24"/>
          <w:szCs w:val="24"/>
        </w:rPr>
        <w:t>）</w:t>
      </w:r>
      <w:r w:rsidR="003C3813" w:rsidRPr="00092862">
        <w:rPr>
          <w:rFonts w:ascii="Times New Roman" w:eastAsia="宋体" w:hAnsi="Times New Roman" w:cs="Times New Roman"/>
          <w:b/>
          <w:color w:val="000000" w:themeColor="text1"/>
          <w:sz w:val="24"/>
          <w:szCs w:val="24"/>
        </w:rPr>
        <w:t>预测因子</w:t>
      </w:r>
    </w:p>
    <w:p w14:paraId="60CC14D9" w14:textId="77777777"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根据《环境影响评价技术导则</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地下水环境》</w:t>
      </w:r>
      <w:r w:rsidRPr="00092862">
        <w:rPr>
          <w:rFonts w:ascii="Times New Roman" w:eastAsia="宋体" w:hAnsi="Times New Roman" w:cs="Times New Roman"/>
          <w:bCs/>
          <w:color w:val="000000" w:themeColor="text1"/>
          <w:sz w:val="24"/>
          <w:szCs w:val="24"/>
        </w:rPr>
        <w:t>(HJ610-2016)</w:t>
      </w:r>
      <w:r w:rsidRPr="00092862">
        <w:rPr>
          <w:rFonts w:ascii="Times New Roman" w:eastAsia="宋体" w:hAnsi="Times New Roman" w:cs="Times New Roman"/>
          <w:bCs/>
          <w:color w:val="000000" w:themeColor="text1"/>
          <w:sz w:val="24"/>
          <w:szCs w:val="24"/>
        </w:rPr>
        <w:t>，建设项目预测因子选取重点应包括：</w:t>
      </w:r>
    </w:p>
    <w:p w14:paraId="1048A812" w14:textId="77777777"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）改、扩建项目已经排放的及将要产生的主要污染物；</w:t>
      </w:r>
    </w:p>
    <w:p w14:paraId="4E6468D8" w14:textId="77777777"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2</w:t>
      </w:r>
      <w:r w:rsidRPr="00092862">
        <w:rPr>
          <w:rFonts w:ascii="Times New Roman" w:eastAsia="宋体" w:hAnsi="Times New Roman" w:cs="Times New Roman"/>
          <w:bCs/>
          <w:color w:val="000000" w:themeColor="text1"/>
          <w:sz w:val="24"/>
          <w:szCs w:val="24"/>
        </w:rPr>
        <w:t>）难降解、易生物蓄积、长期接触对人体和生物产生危害作用的污染物，应特别关注持久性有机污染物；</w:t>
      </w:r>
    </w:p>
    <w:p w14:paraId="7D170A0C" w14:textId="77777777"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）国家或地方要求控制的污染物；</w:t>
      </w:r>
    </w:p>
    <w:p w14:paraId="77E9578E" w14:textId="77777777"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4</w:t>
      </w:r>
      <w:r w:rsidRPr="00092862">
        <w:rPr>
          <w:rFonts w:ascii="Times New Roman" w:eastAsia="宋体" w:hAnsi="Times New Roman" w:cs="Times New Roman"/>
          <w:bCs/>
          <w:color w:val="000000" w:themeColor="text1"/>
          <w:sz w:val="24"/>
          <w:szCs w:val="24"/>
        </w:rPr>
        <w:t>）反映地下水循环特征和水质成因类型的常规项目或超标项目。</w:t>
      </w:r>
    </w:p>
    <w:p w14:paraId="4DD0E3B0" w14:textId="25F602FF"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预测因子识别应对项目污染物进行分类后（重金属、持久性污染物和其他类别进行分类），对每一类中各项因子采用标准指数法进行排序，分别取标准指数最大的因子作为预测因子；如该项目属于</w:t>
      </w:r>
      <w:r w:rsidR="00CD4EAA" w:rsidRPr="00092862">
        <w:rPr>
          <w:rFonts w:ascii="Times New Roman" w:eastAsia="宋体" w:hAnsi="Times New Roman" w:cs="Times New Roman"/>
          <w:bCs/>
          <w:color w:val="000000" w:themeColor="text1"/>
          <w:sz w:val="24"/>
          <w:szCs w:val="24"/>
        </w:rPr>
        <w:t>改扩建</w:t>
      </w:r>
      <w:r w:rsidRPr="00092862">
        <w:rPr>
          <w:rFonts w:ascii="Times New Roman" w:eastAsia="宋体" w:hAnsi="Times New Roman" w:cs="Times New Roman"/>
          <w:bCs/>
          <w:color w:val="000000" w:themeColor="text1"/>
          <w:sz w:val="24"/>
          <w:szCs w:val="24"/>
        </w:rPr>
        <w:t>项目，将选择技改后继续产生的特征因子，改扩建后新增加的特征因子作为预测因子；污染场地已经查明的主要污染物作为预测因子。</w:t>
      </w:r>
    </w:p>
    <w:p w14:paraId="61BBAF93" w14:textId="7F764329"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根据监测资料，</w:t>
      </w:r>
      <w:r w:rsidR="00FA2743" w:rsidRPr="00092862">
        <w:rPr>
          <w:rFonts w:ascii="Times New Roman" w:eastAsia="宋体" w:hAnsi="Times New Roman" w:cs="Times New Roman"/>
          <w:bCs/>
          <w:color w:val="000000" w:themeColor="text1"/>
          <w:sz w:val="24"/>
          <w:szCs w:val="24"/>
        </w:rPr>
        <w:t>本项目</w:t>
      </w:r>
      <w:r w:rsidRPr="00092862">
        <w:rPr>
          <w:rFonts w:ascii="Times New Roman" w:eastAsia="宋体" w:hAnsi="Times New Roman" w:cs="Times New Roman"/>
          <w:bCs/>
          <w:color w:val="000000" w:themeColor="text1"/>
          <w:sz w:val="24"/>
          <w:szCs w:val="24"/>
        </w:rPr>
        <w:t>附近潜水含水层地下水水质良好，现状监测指标</w:t>
      </w:r>
      <w:r w:rsidR="001758C3" w:rsidRPr="00092862">
        <w:rPr>
          <w:rFonts w:ascii="Times New Roman" w:eastAsia="宋体" w:hAnsi="Times New Roman" w:cs="Times New Roman"/>
          <w:bCs/>
          <w:color w:val="000000" w:themeColor="text1"/>
          <w:sz w:val="24"/>
          <w:szCs w:val="24"/>
        </w:rPr>
        <w:t>基本</w:t>
      </w:r>
      <w:r w:rsidRPr="00092862">
        <w:rPr>
          <w:rFonts w:ascii="Times New Roman" w:eastAsia="宋体" w:hAnsi="Times New Roman" w:cs="Times New Roman"/>
          <w:bCs/>
          <w:color w:val="000000" w:themeColor="text1"/>
          <w:sz w:val="24"/>
          <w:szCs w:val="24"/>
        </w:rPr>
        <w:t>能满足《地下水质量标准》（</w:t>
      </w:r>
      <w:r w:rsidRPr="00092862">
        <w:rPr>
          <w:rFonts w:ascii="Times New Roman" w:eastAsia="宋体" w:hAnsi="Times New Roman" w:cs="Times New Roman"/>
          <w:bCs/>
          <w:color w:val="000000" w:themeColor="text1"/>
          <w:sz w:val="24"/>
          <w:szCs w:val="24"/>
        </w:rPr>
        <w:t>GB14848-2017</w:t>
      </w:r>
      <w:r w:rsidRPr="00092862">
        <w:rPr>
          <w:rFonts w:ascii="Times New Roman" w:eastAsia="宋体" w:hAnsi="Times New Roman" w:cs="Times New Roman"/>
          <w:bCs/>
          <w:color w:val="000000" w:themeColor="text1"/>
          <w:sz w:val="24"/>
          <w:szCs w:val="24"/>
        </w:rPr>
        <w:t>）中</w:t>
      </w:r>
      <w:r w:rsidRPr="00092862">
        <w:rPr>
          <w:rFonts w:ascii="Times New Roman" w:eastAsia="宋体" w:hAnsi="Times New Roman" w:cs="Times New Roman"/>
          <w:bCs/>
          <w:color w:val="000000" w:themeColor="text1"/>
          <w:sz w:val="24"/>
          <w:szCs w:val="24"/>
        </w:rPr>
        <w:t>III</w:t>
      </w:r>
      <w:r w:rsidRPr="00092862">
        <w:rPr>
          <w:rFonts w:ascii="Times New Roman" w:eastAsia="宋体" w:hAnsi="Times New Roman" w:cs="Times New Roman"/>
          <w:bCs/>
          <w:color w:val="000000" w:themeColor="text1"/>
          <w:sz w:val="24"/>
          <w:szCs w:val="24"/>
        </w:rPr>
        <w:t>类水质标准限值要求。基于本项目废水的水质特征，一方面考虑预测的可行性，同时考虑预测因子的代表性，并以各污染物最高浓度为源强进行预测，选择无机离子中等标污染负荷最大的氯离子，持久性污染物中等标污染负荷最大的</w:t>
      </w:r>
      <w:r w:rsidRPr="00092862">
        <w:rPr>
          <w:rFonts w:ascii="Times New Roman" w:eastAsia="宋体" w:hAnsi="Times New Roman" w:cs="Times New Roman"/>
          <w:bCs/>
          <w:color w:val="000000" w:themeColor="text1"/>
          <w:sz w:val="24"/>
          <w:szCs w:val="24"/>
        </w:rPr>
        <w:t>COD</w:t>
      </w:r>
      <w:r w:rsidRPr="00092862">
        <w:rPr>
          <w:rFonts w:ascii="Times New Roman" w:eastAsia="宋体" w:hAnsi="Times New Roman" w:cs="Times New Roman"/>
          <w:bCs/>
          <w:color w:val="000000" w:themeColor="text1"/>
          <w:sz w:val="24"/>
          <w:szCs w:val="24"/>
          <w:vertAlign w:val="subscript"/>
        </w:rPr>
        <w:t>Cr</w:t>
      </w:r>
      <w:r w:rsidRPr="00092862">
        <w:rPr>
          <w:rFonts w:ascii="Times New Roman" w:eastAsia="宋体" w:hAnsi="Times New Roman" w:cs="Times New Roman"/>
          <w:bCs/>
          <w:color w:val="000000" w:themeColor="text1"/>
          <w:sz w:val="24"/>
          <w:szCs w:val="24"/>
        </w:rPr>
        <w:t>，特征污染因子石油类作为本次评价的预测因子。</w:t>
      </w:r>
    </w:p>
    <w:p w14:paraId="784B9608" w14:textId="62E73D3A" w:rsidR="003C3813" w:rsidRPr="00092862" w:rsidRDefault="003C3813" w:rsidP="001758C3">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根据现场勘察</w:t>
      </w:r>
      <w:r w:rsidR="0076593F" w:rsidRPr="00092862">
        <w:rPr>
          <w:rFonts w:ascii="Times New Roman" w:eastAsia="宋体" w:hAnsi="Times New Roman" w:cs="Times New Roman"/>
          <w:bCs/>
          <w:color w:val="000000" w:themeColor="text1"/>
          <w:sz w:val="24"/>
          <w:szCs w:val="24"/>
        </w:rPr>
        <w:t>本项目区域地下水自北东向南西径流，</w:t>
      </w:r>
      <w:r w:rsidR="009D587F" w:rsidRPr="00092862">
        <w:rPr>
          <w:rFonts w:ascii="Times New Roman" w:eastAsia="宋体" w:hAnsi="Times New Roman" w:cs="Times New Roman"/>
          <w:bCs/>
          <w:color w:val="000000" w:themeColor="text1"/>
          <w:sz w:val="24"/>
          <w:szCs w:val="24"/>
        </w:rPr>
        <w:t>地下水评价范围内</w:t>
      </w:r>
      <w:r w:rsidR="00ED0379" w:rsidRPr="00092862">
        <w:rPr>
          <w:rFonts w:ascii="Times New Roman" w:eastAsia="宋体" w:hAnsi="Times New Roman" w:cs="Times New Roman"/>
          <w:bCs/>
          <w:color w:val="000000" w:themeColor="text1"/>
          <w:sz w:val="24"/>
          <w:szCs w:val="24"/>
        </w:rPr>
        <w:t>地下水流向下游及侧游</w:t>
      </w:r>
      <w:r w:rsidR="009D587F" w:rsidRPr="00092862">
        <w:rPr>
          <w:rFonts w:ascii="Times New Roman" w:eastAsia="宋体" w:hAnsi="Times New Roman" w:cs="Times New Roman"/>
          <w:bCs/>
          <w:color w:val="000000" w:themeColor="text1"/>
          <w:sz w:val="24"/>
          <w:szCs w:val="24"/>
        </w:rPr>
        <w:t>无</w:t>
      </w:r>
      <w:r w:rsidR="00ED0379" w:rsidRPr="00092862">
        <w:rPr>
          <w:rFonts w:ascii="Times New Roman" w:eastAsia="宋体" w:hAnsi="Times New Roman" w:cs="Times New Roman"/>
          <w:bCs/>
          <w:color w:val="000000" w:themeColor="text1"/>
          <w:sz w:val="24"/>
          <w:szCs w:val="24"/>
        </w:rPr>
        <w:t>在用</w:t>
      </w:r>
      <w:r w:rsidR="009D587F" w:rsidRPr="00092862">
        <w:rPr>
          <w:rFonts w:ascii="Times New Roman" w:eastAsia="宋体" w:hAnsi="Times New Roman" w:cs="Times New Roman"/>
          <w:bCs/>
          <w:color w:val="000000" w:themeColor="text1"/>
          <w:sz w:val="24"/>
          <w:szCs w:val="24"/>
        </w:rPr>
        <w:t>居民饮用水井分布，因此本次评价不对地下水水井开展预测</w:t>
      </w:r>
      <w:r w:rsidR="0076593F" w:rsidRPr="00092862">
        <w:rPr>
          <w:rFonts w:ascii="Times New Roman" w:eastAsia="宋体" w:hAnsi="Times New Roman" w:cs="Times New Roman"/>
          <w:bCs/>
          <w:color w:val="000000" w:themeColor="text1"/>
          <w:sz w:val="24"/>
          <w:szCs w:val="24"/>
        </w:rPr>
        <w:t>。</w:t>
      </w:r>
    </w:p>
    <w:p w14:paraId="06C7A5E0" w14:textId="77777777" w:rsidR="003C3813" w:rsidRPr="00092862" w:rsidRDefault="001758C3" w:rsidP="001758C3">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bookmarkStart w:id="247" w:name="_Toc14702837"/>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4</w:t>
      </w:r>
      <w:r w:rsidRPr="00092862">
        <w:rPr>
          <w:rFonts w:ascii="Times New Roman" w:eastAsia="宋体" w:hAnsi="Times New Roman" w:cs="Times New Roman"/>
          <w:b/>
          <w:color w:val="000000" w:themeColor="text1"/>
          <w:sz w:val="24"/>
          <w:szCs w:val="24"/>
        </w:rPr>
        <w:t>）</w:t>
      </w:r>
      <w:r w:rsidR="003C3813" w:rsidRPr="00092862">
        <w:rPr>
          <w:rFonts w:ascii="Times New Roman" w:eastAsia="宋体" w:hAnsi="Times New Roman" w:cs="Times New Roman"/>
          <w:b/>
          <w:color w:val="000000" w:themeColor="text1"/>
          <w:sz w:val="24"/>
          <w:szCs w:val="24"/>
        </w:rPr>
        <w:t>预测结果</w:t>
      </w:r>
      <w:bookmarkEnd w:id="247"/>
    </w:p>
    <w:p w14:paraId="34332452" w14:textId="39C57E8A" w:rsidR="003C3813" w:rsidRPr="00092862" w:rsidRDefault="003C3813" w:rsidP="001758C3">
      <w:pPr>
        <w:adjustRightInd w:val="0"/>
        <w:snapToGrid w:val="0"/>
        <w:spacing w:line="360" w:lineRule="auto"/>
        <w:ind w:firstLineChars="200" w:firstLine="480"/>
        <w:rPr>
          <w:rFonts w:ascii="Times New Roman"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本次预测，各特征因子浓度超过标准限值即为超标，影响浓度定义为各指标的检出下限，当预测结果小于影响浓度（检出限或标准值的十分之一</w:t>
      </w:r>
      <w:r w:rsidR="003747E9" w:rsidRPr="00092862">
        <w:rPr>
          <w:rFonts w:ascii="Times New Roman" w:eastAsia="宋体" w:hAnsi="Times New Roman" w:cs="Times New Roman"/>
          <w:color w:val="000000" w:themeColor="text1"/>
          <w:sz w:val="24"/>
          <w:szCs w:val="24"/>
        </w:rPr>
        <w:t>+</w:t>
      </w:r>
      <w:r w:rsidR="003747E9" w:rsidRPr="00092862">
        <w:rPr>
          <w:rFonts w:ascii="Times New Roman" w:eastAsia="宋体" w:hAnsi="Times New Roman" w:cs="Times New Roman"/>
          <w:color w:val="000000" w:themeColor="text1"/>
          <w:sz w:val="24"/>
          <w:szCs w:val="24"/>
        </w:rPr>
        <w:t>背景值</w:t>
      </w:r>
      <w:r w:rsidRPr="00092862">
        <w:rPr>
          <w:rFonts w:ascii="Times New Roman" w:eastAsia="宋体" w:hAnsi="Times New Roman" w:cs="Times New Roman"/>
          <w:color w:val="000000" w:themeColor="text1"/>
          <w:sz w:val="24"/>
          <w:szCs w:val="24"/>
        </w:rPr>
        <w:t>）时则视同对地下水环境几乎没有影响。</w:t>
      </w:r>
      <w:r w:rsidR="001758C3" w:rsidRPr="00092862">
        <w:rPr>
          <w:rFonts w:ascii="Times New Roman" w:eastAsia="宋体" w:hAnsi="Times New Roman" w:cs="Times New Roman"/>
          <w:color w:val="000000" w:themeColor="text1"/>
          <w:sz w:val="24"/>
          <w:szCs w:val="24"/>
        </w:rPr>
        <w:t>背景值根据本次监测结果取最大值，其中</w:t>
      </w:r>
      <w:r w:rsidR="001758C3" w:rsidRPr="00092862">
        <w:rPr>
          <w:rFonts w:ascii="Times New Roman" w:eastAsia="宋体" w:hAnsi="Times New Roman" w:cs="Times New Roman"/>
          <w:color w:val="000000" w:themeColor="text1"/>
          <w:sz w:val="24"/>
          <w:szCs w:val="24"/>
        </w:rPr>
        <w:t>COD</w:t>
      </w:r>
      <w:r w:rsidR="001758C3" w:rsidRPr="00092862">
        <w:rPr>
          <w:rFonts w:ascii="Times New Roman" w:eastAsia="宋体" w:hAnsi="Times New Roman" w:cs="Times New Roman"/>
          <w:color w:val="000000" w:themeColor="text1"/>
          <w:sz w:val="24"/>
          <w:szCs w:val="24"/>
          <w:vertAlign w:val="subscript"/>
        </w:rPr>
        <w:t>Cr</w:t>
      </w:r>
      <w:r w:rsidR="001758C3" w:rsidRPr="00092862">
        <w:rPr>
          <w:rFonts w:ascii="Times New Roman" w:eastAsia="宋体" w:hAnsi="Times New Roman" w:cs="Times New Roman"/>
          <w:color w:val="000000" w:themeColor="text1"/>
          <w:sz w:val="24"/>
          <w:szCs w:val="24"/>
        </w:rPr>
        <w:t>按照耗氧量指标</w:t>
      </w:r>
      <w:r w:rsidR="0076593F" w:rsidRPr="00092862">
        <w:rPr>
          <w:rFonts w:ascii="Times New Roman" w:eastAsia="宋体" w:hAnsi="Times New Roman" w:cs="Times New Roman"/>
          <w:color w:val="000000" w:themeColor="text1"/>
          <w:sz w:val="24"/>
          <w:szCs w:val="24"/>
        </w:rPr>
        <w:t>取最大值的</w:t>
      </w:r>
      <w:r w:rsidR="0076593F" w:rsidRPr="00092862">
        <w:rPr>
          <w:rFonts w:ascii="Times New Roman" w:eastAsia="宋体" w:hAnsi="Times New Roman" w:cs="Times New Roman"/>
          <w:color w:val="000000" w:themeColor="text1"/>
          <w:sz w:val="24"/>
          <w:szCs w:val="24"/>
        </w:rPr>
        <w:t>2</w:t>
      </w:r>
      <w:r w:rsidR="0076593F" w:rsidRPr="00092862">
        <w:rPr>
          <w:rFonts w:ascii="Times New Roman" w:eastAsia="宋体" w:hAnsi="Times New Roman" w:cs="Times New Roman"/>
          <w:color w:val="000000" w:themeColor="text1"/>
          <w:sz w:val="24"/>
          <w:szCs w:val="24"/>
        </w:rPr>
        <w:t>倍约</w:t>
      </w:r>
      <w:r w:rsidR="0076593F" w:rsidRPr="00092862">
        <w:rPr>
          <w:rFonts w:ascii="Times New Roman" w:eastAsia="宋体" w:hAnsi="Times New Roman" w:cs="Times New Roman"/>
          <w:color w:val="000000" w:themeColor="text1"/>
          <w:sz w:val="24"/>
          <w:szCs w:val="24"/>
        </w:rPr>
        <w:t>2*</w:t>
      </w:r>
      <w:r w:rsidR="00C06DEC" w:rsidRPr="00092862">
        <w:rPr>
          <w:rFonts w:ascii="Times New Roman" w:eastAsia="宋体" w:hAnsi="Times New Roman" w:cs="Times New Roman"/>
          <w:color w:val="000000" w:themeColor="text1"/>
          <w:sz w:val="24"/>
          <w:szCs w:val="24"/>
        </w:rPr>
        <w:t>1</w:t>
      </w:r>
      <w:r w:rsidR="0087311E" w:rsidRPr="00092862">
        <w:rPr>
          <w:rFonts w:ascii="Times New Roman" w:eastAsia="宋体" w:hAnsi="Times New Roman" w:cs="Times New Roman"/>
          <w:color w:val="000000" w:themeColor="text1"/>
          <w:sz w:val="24"/>
          <w:szCs w:val="24"/>
        </w:rPr>
        <w:t>.6</w:t>
      </w:r>
      <w:r w:rsidR="00C06DEC" w:rsidRPr="00092862">
        <w:rPr>
          <w:rFonts w:ascii="Times New Roman" w:eastAsia="宋体" w:hAnsi="Times New Roman" w:cs="Times New Roman"/>
          <w:color w:val="000000" w:themeColor="text1"/>
          <w:sz w:val="24"/>
          <w:szCs w:val="24"/>
        </w:rPr>
        <w:t>6</w:t>
      </w:r>
      <w:r w:rsidR="0076593F" w:rsidRPr="00092862">
        <w:rPr>
          <w:rFonts w:ascii="Times New Roman" w:eastAsia="宋体" w:hAnsi="Times New Roman" w:cs="Times New Roman"/>
          <w:color w:val="000000" w:themeColor="text1"/>
          <w:sz w:val="24"/>
          <w:szCs w:val="24"/>
        </w:rPr>
        <w:t>=</w:t>
      </w:r>
      <w:r w:rsidR="00C06DEC" w:rsidRPr="00092862">
        <w:rPr>
          <w:rFonts w:ascii="Times New Roman" w:eastAsia="宋体" w:hAnsi="Times New Roman" w:cs="Times New Roman"/>
          <w:color w:val="000000" w:themeColor="text1"/>
          <w:sz w:val="24"/>
          <w:szCs w:val="24"/>
        </w:rPr>
        <w:t>3.32</w:t>
      </w:r>
      <w:r w:rsidR="0076593F" w:rsidRPr="00092862">
        <w:rPr>
          <w:rFonts w:ascii="Times New Roman" w:eastAsia="宋体" w:hAnsi="Times New Roman" w:cs="Times New Roman"/>
          <w:color w:val="000000" w:themeColor="text1"/>
          <w:sz w:val="24"/>
          <w:szCs w:val="24"/>
        </w:rPr>
        <w:t>mg/L</w:t>
      </w:r>
      <w:r w:rsidR="0076593F" w:rsidRPr="00092862">
        <w:rPr>
          <w:rFonts w:ascii="Times New Roman" w:eastAsia="宋体" w:hAnsi="Times New Roman" w:cs="Times New Roman"/>
          <w:color w:val="000000" w:themeColor="text1"/>
          <w:sz w:val="24"/>
          <w:szCs w:val="24"/>
        </w:rPr>
        <w:t>，</w:t>
      </w:r>
      <w:r w:rsidR="001758C3" w:rsidRPr="00092862">
        <w:rPr>
          <w:rFonts w:ascii="Times New Roman" w:eastAsia="宋体" w:hAnsi="Times New Roman" w:cs="Times New Roman"/>
          <w:color w:val="000000" w:themeColor="text1"/>
          <w:sz w:val="24"/>
          <w:szCs w:val="24"/>
        </w:rPr>
        <w:t>石油类指标取</w:t>
      </w:r>
      <w:r w:rsidR="00D4635A" w:rsidRPr="00092862">
        <w:rPr>
          <w:rFonts w:ascii="Times New Roman" w:eastAsia="宋体" w:hAnsi="Times New Roman" w:cs="Times New Roman"/>
          <w:color w:val="000000" w:themeColor="text1"/>
          <w:sz w:val="24"/>
          <w:szCs w:val="24"/>
        </w:rPr>
        <w:t>值</w:t>
      </w:r>
      <w:r w:rsidR="001758C3" w:rsidRPr="00092862">
        <w:rPr>
          <w:rFonts w:ascii="Times New Roman" w:eastAsia="宋体" w:hAnsi="Times New Roman" w:cs="Times New Roman"/>
          <w:color w:val="000000" w:themeColor="text1"/>
          <w:sz w:val="24"/>
          <w:szCs w:val="24"/>
        </w:rPr>
        <w:t>0.0</w:t>
      </w:r>
      <w:r w:rsidR="00D4635A" w:rsidRPr="00092862">
        <w:rPr>
          <w:rFonts w:ascii="Times New Roman" w:eastAsia="宋体" w:hAnsi="Times New Roman" w:cs="Times New Roman"/>
          <w:color w:val="000000" w:themeColor="text1"/>
          <w:sz w:val="24"/>
          <w:szCs w:val="24"/>
        </w:rPr>
        <w:t>4</w:t>
      </w:r>
      <w:r w:rsidR="001758C3" w:rsidRPr="00092862">
        <w:rPr>
          <w:rFonts w:ascii="Times New Roman" w:eastAsia="宋体" w:hAnsi="Times New Roman" w:cs="Times New Roman"/>
          <w:color w:val="000000" w:themeColor="text1"/>
          <w:sz w:val="24"/>
          <w:szCs w:val="24"/>
        </w:rPr>
        <w:t>mg/L</w:t>
      </w:r>
      <w:r w:rsidR="001758C3" w:rsidRPr="00092862">
        <w:rPr>
          <w:rFonts w:ascii="Times New Roman" w:eastAsia="宋体" w:hAnsi="Times New Roman" w:cs="Times New Roman"/>
          <w:color w:val="000000" w:themeColor="text1"/>
          <w:sz w:val="24"/>
          <w:szCs w:val="24"/>
        </w:rPr>
        <w:t>，氯离子取值</w:t>
      </w:r>
      <w:r w:rsidR="00C06DEC" w:rsidRPr="00092862">
        <w:rPr>
          <w:rFonts w:ascii="Times New Roman" w:eastAsia="宋体" w:hAnsi="Times New Roman" w:cs="Times New Roman"/>
          <w:color w:val="000000" w:themeColor="text1"/>
          <w:sz w:val="24"/>
          <w:szCs w:val="24"/>
        </w:rPr>
        <w:t>24.4</w:t>
      </w:r>
      <w:r w:rsidR="001758C3" w:rsidRPr="00092862">
        <w:rPr>
          <w:rFonts w:ascii="Times New Roman" w:eastAsia="宋体" w:hAnsi="Times New Roman" w:cs="Times New Roman"/>
          <w:color w:val="000000" w:themeColor="text1"/>
          <w:sz w:val="24"/>
          <w:szCs w:val="24"/>
        </w:rPr>
        <w:t>mg/L</w:t>
      </w:r>
      <w:r w:rsidR="001758C3"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根据《地下水质量标准》（</w:t>
      </w:r>
      <w:r w:rsidRPr="00092862">
        <w:rPr>
          <w:rFonts w:ascii="Times New Roman" w:eastAsia="宋体" w:hAnsi="Times New Roman" w:cs="Times New Roman"/>
          <w:color w:val="000000" w:themeColor="text1"/>
          <w:sz w:val="24"/>
          <w:szCs w:val="24"/>
        </w:rPr>
        <w:t>GB/T14848-2017</w:t>
      </w:r>
      <w:r w:rsidRPr="00092862">
        <w:rPr>
          <w:rFonts w:ascii="Times New Roman" w:eastAsia="宋体" w:hAnsi="Times New Roman" w:cs="Times New Roman"/>
          <w:color w:val="000000" w:themeColor="text1"/>
          <w:sz w:val="24"/>
          <w:szCs w:val="24"/>
        </w:rPr>
        <w:t>）及项目执行的环保标准，该项目所在区域地下水属</w:t>
      </w:r>
      <w:r w:rsidRPr="00092862">
        <w:rPr>
          <w:rFonts w:ascii="Times New Roman" w:eastAsia="宋体" w:hAnsi="Times New Roman" w:cs="Times New Roman"/>
          <w:color w:val="000000" w:themeColor="text1"/>
          <w:sz w:val="24"/>
          <w:szCs w:val="24"/>
        </w:rPr>
        <w:t>Ⅲ</w:t>
      </w:r>
      <w:r w:rsidRPr="00092862">
        <w:rPr>
          <w:rFonts w:ascii="Times New Roman" w:eastAsia="宋体" w:hAnsi="Times New Roman" w:cs="Times New Roman"/>
          <w:color w:val="000000" w:themeColor="text1"/>
          <w:sz w:val="24"/>
          <w:szCs w:val="24"/>
        </w:rPr>
        <w:t>类水质，因此，</w:t>
      </w:r>
      <w:r w:rsidRPr="00092862">
        <w:rPr>
          <w:rFonts w:ascii="Times New Roman" w:eastAsia="宋体" w:hAnsi="Times New Roman" w:cs="Times New Roman"/>
          <w:color w:val="000000" w:themeColor="text1"/>
          <w:sz w:val="24"/>
          <w:szCs w:val="24"/>
        </w:rPr>
        <w:t>Cl</w:t>
      </w:r>
      <w:r w:rsidRPr="00092862">
        <w:rPr>
          <w:rFonts w:ascii="Times New Roman" w:eastAsia="宋体" w:hAnsi="Times New Roman" w:cs="Times New Roman"/>
          <w:color w:val="000000" w:themeColor="text1"/>
          <w:sz w:val="24"/>
          <w:szCs w:val="24"/>
          <w:vertAlign w:val="superscript"/>
        </w:rPr>
        <w:t>-</w:t>
      </w:r>
      <w:r w:rsidRPr="00092862">
        <w:rPr>
          <w:rFonts w:ascii="Times New Roman" w:eastAsia="宋体" w:hAnsi="Times New Roman" w:cs="Times New Roman"/>
          <w:color w:val="000000" w:themeColor="text1"/>
          <w:sz w:val="24"/>
          <w:szCs w:val="24"/>
        </w:rPr>
        <w:t>标准限值参照《地下水质量标准》（</w:t>
      </w:r>
      <w:r w:rsidRPr="00092862">
        <w:rPr>
          <w:rFonts w:ascii="Times New Roman" w:eastAsia="宋体" w:hAnsi="Times New Roman" w:cs="Times New Roman"/>
          <w:color w:val="000000" w:themeColor="text1"/>
          <w:sz w:val="24"/>
          <w:szCs w:val="24"/>
        </w:rPr>
        <w:t>GB/T14848-2017</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Ⅲ</w:t>
      </w:r>
      <w:r w:rsidRPr="00092862">
        <w:rPr>
          <w:rFonts w:ascii="Times New Roman" w:eastAsia="宋体" w:hAnsi="Times New Roman" w:cs="Times New Roman"/>
          <w:color w:val="000000" w:themeColor="text1"/>
          <w:sz w:val="24"/>
          <w:szCs w:val="24"/>
        </w:rPr>
        <w:t>类标准，为</w:t>
      </w:r>
      <w:r w:rsidRPr="00092862">
        <w:rPr>
          <w:rFonts w:ascii="Times New Roman" w:eastAsia="宋体" w:hAnsi="Times New Roman" w:cs="Times New Roman"/>
          <w:color w:val="000000" w:themeColor="text1"/>
          <w:sz w:val="24"/>
          <w:szCs w:val="24"/>
        </w:rPr>
        <w:t>250mg/L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和石油类标准限值参照《地表水环境质量标准</w:t>
      </w:r>
      <w:r w:rsidRPr="00092862">
        <w:rPr>
          <w:rFonts w:ascii="Times New Roman" w:eastAsia="宋体" w:hAnsi="Times New Roman" w:cs="Times New Roman"/>
          <w:color w:val="000000" w:themeColor="text1"/>
          <w:sz w:val="24"/>
          <w:szCs w:val="24"/>
        </w:rPr>
        <w:t>GB3838-2002</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Ⅲ</w:t>
      </w:r>
      <w:r w:rsidRPr="00092862">
        <w:rPr>
          <w:rFonts w:ascii="Times New Roman" w:eastAsia="宋体" w:hAnsi="Times New Roman" w:cs="Times New Roman"/>
          <w:color w:val="000000" w:themeColor="text1"/>
          <w:sz w:val="24"/>
          <w:szCs w:val="24"/>
        </w:rPr>
        <w:t>类标准，分别为</w:t>
      </w:r>
      <w:r w:rsidRPr="00092862">
        <w:rPr>
          <w:rFonts w:ascii="Times New Roman" w:eastAsia="宋体" w:hAnsi="Times New Roman" w:cs="Times New Roman"/>
          <w:color w:val="000000" w:themeColor="text1"/>
          <w:sz w:val="24"/>
          <w:szCs w:val="24"/>
        </w:rPr>
        <w:t>20mg/L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0.05mg/L</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影响浓度为</w:t>
      </w:r>
      <w:r w:rsidR="00C06DEC" w:rsidRPr="00092862">
        <w:rPr>
          <w:rFonts w:ascii="Times New Roman" w:eastAsia="宋体" w:hAnsi="Times New Roman" w:cs="Times New Roman"/>
          <w:color w:val="000000" w:themeColor="text1"/>
          <w:sz w:val="24"/>
          <w:szCs w:val="24"/>
        </w:rPr>
        <w:t>3.42</w:t>
      </w:r>
      <w:r w:rsidRPr="00092862">
        <w:rPr>
          <w:rFonts w:ascii="Times New Roman" w:eastAsia="宋体" w:hAnsi="Times New Roman" w:cs="Times New Roman"/>
          <w:color w:val="000000" w:themeColor="text1"/>
          <w:sz w:val="24"/>
          <w:szCs w:val="24"/>
        </w:rPr>
        <w:t>mg/L</w:t>
      </w:r>
      <w:r w:rsidR="00F6733C" w:rsidRPr="00092862">
        <w:rPr>
          <w:rFonts w:ascii="Times New Roman" w:eastAsia="宋体" w:hAnsi="Times New Roman" w:cs="Times New Roman"/>
          <w:color w:val="000000" w:themeColor="text1"/>
          <w:sz w:val="24"/>
          <w:szCs w:val="24"/>
        </w:rPr>
        <w:t>（检出限</w:t>
      </w:r>
      <w:r w:rsidR="00F6733C" w:rsidRPr="00092862">
        <w:rPr>
          <w:rFonts w:ascii="Times New Roman" w:eastAsia="宋体" w:hAnsi="Times New Roman" w:cs="Times New Roman"/>
          <w:color w:val="000000" w:themeColor="text1"/>
          <w:sz w:val="24"/>
          <w:szCs w:val="24"/>
        </w:rPr>
        <w:t>+</w:t>
      </w:r>
      <w:r w:rsidR="00F6733C" w:rsidRPr="00092862">
        <w:rPr>
          <w:rFonts w:ascii="Times New Roman" w:eastAsia="宋体" w:hAnsi="Times New Roman" w:cs="Times New Roman"/>
          <w:color w:val="000000" w:themeColor="text1"/>
          <w:sz w:val="24"/>
          <w:szCs w:val="24"/>
        </w:rPr>
        <w:t>背景值）</w:t>
      </w:r>
      <w:r w:rsidRPr="00092862">
        <w:rPr>
          <w:rFonts w:ascii="Times New Roman" w:eastAsia="宋体" w:hAnsi="Times New Roman" w:cs="Times New Roman"/>
          <w:color w:val="000000" w:themeColor="text1"/>
          <w:sz w:val="24"/>
          <w:szCs w:val="24"/>
        </w:rPr>
        <w:t>，石油类影响浓度为</w:t>
      </w:r>
      <w:r w:rsidRPr="00092862">
        <w:rPr>
          <w:rFonts w:ascii="Times New Roman" w:eastAsia="宋体" w:hAnsi="Times New Roman" w:cs="Times New Roman"/>
          <w:color w:val="000000" w:themeColor="text1"/>
          <w:sz w:val="24"/>
          <w:szCs w:val="24"/>
        </w:rPr>
        <w:t>0.0</w:t>
      </w:r>
      <w:r w:rsidR="00D4635A"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mg/L</w:t>
      </w:r>
      <w:r w:rsidR="00F6733C" w:rsidRPr="00092862">
        <w:rPr>
          <w:rFonts w:ascii="Times New Roman" w:eastAsia="宋体" w:hAnsi="Times New Roman" w:cs="Times New Roman"/>
          <w:color w:val="000000" w:themeColor="text1"/>
          <w:sz w:val="24"/>
          <w:szCs w:val="24"/>
        </w:rPr>
        <w:t>（检出限</w:t>
      </w:r>
      <w:r w:rsidR="00F6733C" w:rsidRPr="00092862">
        <w:rPr>
          <w:rFonts w:ascii="Times New Roman" w:eastAsia="宋体" w:hAnsi="Times New Roman" w:cs="Times New Roman"/>
          <w:color w:val="000000" w:themeColor="text1"/>
          <w:sz w:val="24"/>
          <w:szCs w:val="24"/>
        </w:rPr>
        <w:t>+</w:t>
      </w:r>
      <w:r w:rsidR="00F6733C" w:rsidRPr="00092862">
        <w:rPr>
          <w:rFonts w:ascii="Times New Roman" w:eastAsia="宋体" w:hAnsi="Times New Roman" w:cs="Times New Roman"/>
          <w:color w:val="000000" w:themeColor="text1"/>
          <w:sz w:val="24"/>
          <w:szCs w:val="24"/>
        </w:rPr>
        <w:t>背景值）</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Cl</w:t>
      </w:r>
      <w:r w:rsidRPr="00092862">
        <w:rPr>
          <w:rFonts w:ascii="Times New Roman" w:eastAsia="宋体" w:hAnsi="Times New Roman" w:cs="Times New Roman"/>
          <w:color w:val="000000" w:themeColor="text1"/>
          <w:sz w:val="24"/>
          <w:szCs w:val="24"/>
          <w:vertAlign w:val="superscript"/>
        </w:rPr>
        <w:t>-</w:t>
      </w:r>
      <w:r w:rsidRPr="00092862">
        <w:rPr>
          <w:rFonts w:ascii="Times New Roman" w:eastAsia="宋体" w:hAnsi="Times New Roman" w:cs="Times New Roman"/>
          <w:color w:val="000000" w:themeColor="text1"/>
          <w:sz w:val="24"/>
          <w:szCs w:val="24"/>
        </w:rPr>
        <w:t>影响浓度为</w:t>
      </w:r>
      <w:r w:rsidR="00C06DEC" w:rsidRPr="00092862">
        <w:rPr>
          <w:rFonts w:ascii="Times New Roman" w:eastAsia="宋体" w:hAnsi="Times New Roman" w:cs="Times New Roman"/>
          <w:color w:val="000000" w:themeColor="text1"/>
          <w:sz w:val="24"/>
          <w:szCs w:val="24"/>
        </w:rPr>
        <w:t>49.4</w:t>
      </w:r>
      <w:r w:rsidRPr="00092862">
        <w:rPr>
          <w:rFonts w:ascii="Times New Roman" w:eastAsia="宋体" w:hAnsi="Times New Roman" w:cs="Times New Roman"/>
          <w:color w:val="000000" w:themeColor="text1"/>
          <w:sz w:val="24"/>
          <w:szCs w:val="24"/>
        </w:rPr>
        <w:t>mg/L</w:t>
      </w:r>
      <w:r w:rsidR="00F6733C" w:rsidRPr="00092862">
        <w:rPr>
          <w:rFonts w:ascii="Times New Roman" w:eastAsia="宋体" w:hAnsi="Times New Roman" w:cs="Times New Roman"/>
          <w:color w:val="000000" w:themeColor="text1"/>
          <w:sz w:val="24"/>
          <w:szCs w:val="24"/>
        </w:rPr>
        <w:t>（标准值的十分之</w:t>
      </w:r>
      <w:r w:rsidR="00C06DEC" w:rsidRPr="00092862">
        <w:rPr>
          <w:rFonts w:ascii="Times New Roman" w:eastAsia="宋体" w:hAnsi="Times New Roman" w:cs="Times New Roman"/>
          <w:color w:val="000000" w:themeColor="text1"/>
          <w:sz w:val="24"/>
          <w:szCs w:val="24"/>
        </w:rPr>
        <w:t>一</w:t>
      </w:r>
      <w:r w:rsidR="00F6733C" w:rsidRPr="00092862">
        <w:rPr>
          <w:rFonts w:ascii="Times New Roman" w:eastAsia="宋体" w:hAnsi="Times New Roman" w:cs="Times New Roman"/>
          <w:color w:val="000000" w:themeColor="text1"/>
          <w:sz w:val="24"/>
          <w:szCs w:val="24"/>
        </w:rPr>
        <w:t>+</w:t>
      </w:r>
      <w:r w:rsidR="00F6733C" w:rsidRPr="00092862">
        <w:rPr>
          <w:rFonts w:ascii="Times New Roman" w:eastAsia="宋体" w:hAnsi="Times New Roman" w:cs="Times New Roman"/>
          <w:color w:val="000000" w:themeColor="text1"/>
          <w:sz w:val="24"/>
          <w:szCs w:val="24"/>
        </w:rPr>
        <w:t>背景值）</w:t>
      </w:r>
      <w:r w:rsidRPr="00092862">
        <w:rPr>
          <w:rFonts w:ascii="Times New Roman" w:eastAsia="宋体" w:hAnsi="Times New Roman" w:cs="Times New Roman"/>
          <w:color w:val="000000" w:themeColor="text1"/>
          <w:sz w:val="24"/>
          <w:szCs w:val="24"/>
        </w:rPr>
        <w:t>，见表</w:t>
      </w:r>
      <w:r w:rsidR="001758C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001758C3"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p>
    <w:p w14:paraId="29051C22" w14:textId="38CA2578" w:rsidR="003C3813" w:rsidRPr="00092862" w:rsidRDefault="003C3813"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1758C3"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001758C3" w:rsidRPr="00092862">
        <w:rPr>
          <w:rFonts w:ascii="Times New Roman" w:eastAsia="黑体" w:hAnsi="Times New Roman"/>
          <w:color w:val="000000" w:themeColor="text1"/>
          <w:sz w:val="21"/>
          <w:szCs w:val="21"/>
          <w:lang w:eastAsia="zh-CN"/>
        </w:rPr>
        <w:t>-2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预测指标标准限值及影响浓度一览表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6"/>
        <w:gridCol w:w="2056"/>
        <w:gridCol w:w="2055"/>
        <w:gridCol w:w="2055"/>
      </w:tblGrid>
      <w:tr w:rsidR="00697429" w:rsidRPr="00092862" w14:paraId="11E1A644" w14:textId="77777777" w:rsidTr="001758C3">
        <w:trPr>
          <w:jc w:val="center"/>
        </w:trPr>
        <w:tc>
          <w:tcPr>
            <w:tcW w:w="2129" w:type="dxa"/>
            <w:vAlign w:val="center"/>
          </w:tcPr>
          <w:p w14:paraId="4414FC9F"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污染物</w:t>
            </w:r>
          </w:p>
        </w:tc>
        <w:tc>
          <w:tcPr>
            <w:tcW w:w="2129" w:type="dxa"/>
            <w:vAlign w:val="center"/>
          </w:tcPr>
          <w:p w14:paraId="742C4968"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vertAlign w:val="subscript"/>
              </w:rPr>
              <w:t>Cr</w:t>
            </w:r>
          </w:p>
        </w:tc>
        <w:tc>
          <w:tcPr>
            <w:tcW w:w="2129" w:type="dxa"/>
            <w:vAlign w:val="center"/>
          </w:tcPr>
          <w:p w14:paraId="62091F54"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氯化物</w:t>
            </w:r>
          </w:p>
        </w:tc>
        <w:tc>
          <w:tcPr>
            <w:tcW w:w="2129" w:type="dxa"/>
            <w:vAlign w:val="center"/>
          </w:tcPr>
          <w:p w14:paraId="1303BFCC"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石油类</w:t>
            </w:r>
          </w:p>
        </w:tc>
      </w:tr>
      <w:tr w:rsidR="00697429" w:rsidRPr="00092862" w14:paraId="0AA515C7" w14:textId="77777777" w:rsidTr="001758C3">
        <w:trPr>
          <w:jc w:val="center"/>
        </w:trPr>
        <w:tc>
          <w:tcPr>
            <w:tcW w:w="2129" w:type="dxa"/>
            <w:vAlign w:val="center"/>
          </w:tcPr>
          <w:p w14:paraId="18B4382D" w14:textId="77777777" w:rsidR="001758C3" w:rsidRPr="00092862" w:rsidRDefault="001758C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背景值</w:t>
            </w:r>
          </w:p>
        </w:tc>
        <w:tc>
          <w:tcPr>
            <w:tcW w:w="2129" w:type="dxa"/>
            <w:vAlign w:val="center"/>
          </w:tcPr>
          <w:p w14:paraId="54DBD609" w14:textId="74C78CB3" w:rsidR="001758C3" w:rsidRPr="00092862" w:rsidRDefault="00C06DEC"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3.32</w:t>
            </w:r>
          </w:p>
        </w:tc>
        <w:tc>
          <w:tcPr>
            <w:tcW w:w="2129" w:type="dxa"/>
            <w:vAlign w:val="center"/>
          </w:tcPr>
          <w:p w14:paraId="10AF003F" w14:textId="54B436E8" w:rsidR="001758C3" w:rsidRPr="00092862" w:rsidRDefault="00C06DEC"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24.4</w:t>
            </w:r>
          </w:p>
        </w:tc>
        <w:tc>
          <w:tcPr>
            <w:tcW w:w="2129" w:type="dxa"/>
            <w:vAlign w:val="center"/>
          </w:tcPr>
          <w:p w14:paraId="24A936B9" w14:textId="6D4D9564" w:rsidR="001758C3" w:rsidRPr="00092862" w:rsidRDefault="00C9445F"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w:t>
            </w:r>
            <w:r w:rsidR="00D4635A" w:rsidRPr="00092862">
              <w:rPr>
                <w:rFonts w:ascii="Times New Roman" w:eastAsia="宋体" w:hAnsi="Times New Roman" w:cs="Times New Roman"/>
                <w:color w:val="000000" w:themeColor="text1"/>
                <w:szCs w:val="21"/>
              </w:rPr>
              <w:t>4</w:t>
            </w:r>
          </w:p>
        </w:tc>
      </w:tr>
      <w:tr w:rsidR="00697429" w:rsidRPr="00092862" w14:paraId="6756750F" w14:textId="77777777" w:rsidTr="001758C3">
        <w:trPr>
          <w:jc w:val="center"/>
        </w:trPr>
        <w:tc>
          <w:tcPr>
            <w:tcW w:w="2129" w:type="dxa"/>
            <w:vAlign w:val="center"/>
          </w:tcPr>
          <w:p w14:paraId="7A411A1A"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标准限值（</w:t>
            </w:r>
            <w:r w:rsidRPr="00092862">
              <w:rPr>
                <w:rFonts w:ascii="Times New Roman" w:eastAsia="宋体" w:hAnsi="Times New Roman" w:cs="Times New Roman"/>
                <w:color w:val="000000" w:themeColor="text1"/>
                <w:szCs w:val="21"/>
              </w:rPr>
              <w:t>mg/L</w:t>
            </w:r>
            <w:r w:rsidRPr="00092862">
              <w:rPr>
                <w:rFonts w:ascii="Times New Roman" w:eastAsia="宋体" w:hAnsi="Times New Roman" w:cs="Times New Roman"/>
                <w:color w:val="000000" w:themeColor="text1"/>
                <w:szCs w:val="21"/>
              </w:rPr>
              <w:t>）</w:t>
            </w:r>
          </w:p>
        </w:tc>
        <w:tc>
          <w:tcPr>
            <w:tcW w:w="2129" w:type="dxa"/>
            <w:vAlign w:val="center"/>
          </w:tcPr>
          <w:p w14:paraId="2E935B19"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p>
        </w:tc>
        <w:tc>
          <w:tcPr>
            <w:tcW w:w="2129" w:type="dxa"/>
            <w:vAlign w:val="center"/>
          </w:tcPr>
          <w:p w14:paraId="661A871A"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250</w:t>
            </w:r>
          </w:p>
        </w:tc>
        <w:tc>
          <w:tcPr>
            <w:tcW w:w="2129" w:type="dxa"/>
            <w:vAlign w:val="center"/>
          </w:tcPr>
          <w:p w14:paraId="22BDD30E"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0.05</w:t>
            </w:r>
          </w:p>
        </w:tc>
      </w:tr>
      <w:tr w:rsidR="00697429" w:rsidRPr="00092862" w14:paraId="37693535" w14:textId="77777777" w:rsidTr="001758C3">
        <w:trPr>
          <w:jc w:val="center"/>
        </w:trPr>
        <w:tc>
          <w:tcPr>
            <w:tcW w:w="2129" w:type="dxa"/>
            <w:vAlign w:val="center"/>
          </w:tcPr>
          <w:p w14:paraId="7AD5AA65" w14:textId="77777777"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影响浓度（</w:t>
            </w:r>
            <w:r w:rsidRPr="00092862">
              <w:rPr>
                <w:rFonts w:ascii="Times New Roman" w:eastAsia="宋体" w:hAnsi="Times New Roman" w:cs="Times New Roman"/>
                <w:color w:val="000000" w:themeColor="text1"/>
                <w:szCs w:val="21"/>
              </w:rPr>
              <w:t>mg/L</w:t>
            </w:r>
            <w:r w:rsidRPr="00092862">
              <w:rPr>
                <w:rFonts w:ascii="Times New Roman" w:eastAsia="宋体" w:hAnsi="Times New Roman" w:cs="Times New Roman"/>
                <w:color w:val="000000" w:themeColor="text1"/>
                <w:szCs w:val="21"/>
              </w:rPr>
              <w:t>）</w:t>
            </w:r>
          </w:p>
        </w:tc>
        <w:tc>
          <w:tcPr>
            <w:tcW w:w="2129" w:type="dxa"/>
            <w:vAlign w:val="center"/>
          </w:tcPr>
          <w:p w14:paraId="71F6DEBF" w14:textId="2AC89EAE" w:rsidR="003C3813" w:rsidRPr="00092862" w:rsidRDefault="00C06DEC"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3.42</w:t>
            </w:r>
          </w:p>
        </w:tc>
        <w:tc>
          <w:tcPr>
            <w:tcW w:w="2129" w:type="dxa"/>
            <w:vAlign w:val="center"/>
          </w:tcPr>
          <w:p w14:paraId="26CC418B" w14:textId="5D26C494" w:rsidR="003C3813" w:rsidRPr="00092862" w:rsidRDefault="00C06DEC"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49.4</w:t>
            </w:r>
          </w:p>
        </w:tc>
        <w:tc>
          <w:tcPr>
            <w:tcW w:w="2129" w:type="dxa"/>
            <w:vAlign w:val="center"/>
          </w:tcPr>
          <w:p w14:paraId="04FB4A97" w14:textId="3CF4C2D5" w:rsidR="003C3813" w:rsidRPr="00092862" w:rsidRDefault="003C3813" w:rsidP="004A6D52">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w:t>
            </w:r>
            <w:r w:rsidR="00D4635A" w:rsidRPr="00092862">
              <w:rPr>
                <w:rFonts w:ascii="Times New Roman" w:eastAsia="宋体" w:hAnsi="Times New Roman" w:cs="Times New Roman"/>
                <w:color w:val="000000" w:themeColor="text1"/>
                <w:szCs w:val="21"/>
              </w:rPr>
              <w:t>5</w:t>
            </w:r>
          </w:p>
        </w:tc>
      </w:tr>
    </w:tbl>
    <w:p w14:paraId="5A2B0E7D" w14:textId="77777777" w:rsidR="004A6D52" w:rsidRPr="00092862" w:rsidRDefault="004A6D52" w:rsidP="004A6D52">
      <w:pPr>
        <w:adjustRightInd w:val="0"/>
        <w:snapToGrid w:val="0"/>
        <w:spacing w:beforeLines="50" w:before="120"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）放喷池泄漏</w:t>
      </w:r>
    </w:p>
    <w:p w14:paraId="40D7C241" w14:textId="2DA870F8" w:rsidR="004A6D52" w:rsidRPr="00092862" w:rsidRDefault="004A6D52" w:rsidP="004A6D52">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地下水中</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的超标及影响距离计算结果见表</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F80DBA"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及图</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p>
    <w:p w14:paraId="30440038" w14:textId="2A7623C0"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-3  </w:t>
      </w:r>
      <w:r w:rsidRPr="00092862">
        <w:rPr>
          <w:rFonts w:ascii="Times New Roman" w:eastAsia="黑体" w:hAnsi="Times New Roman"/>
          <w:color w:val="000000" w:themeColor="text1"/>
          <w:sz w:val="21"/>
          <w:szCs w:val="21"/>
          <w:lang w:eastAsia="zh-CN"/>
        </w:rPr>
        <w:t>放喷池泄漏地下水中</w:t>
      </w:r>
      <w:r w:rsidRPr="00092862">
        <w:rPr>
          <w:rFonts w:ascii="Times New Roman" w:eastAsia="黑体" w:hAnsi="Times New Roman"/>
          <w:color w:val="000000" w:themeColor="text1"/>
          <w:sz w:val="21"/>
          <w:szCs w:val="21"/>
          <w:lang w:eastAsia="zh-CN"/>
        </w:rPr>
        <w:t>COD</w:t>
      </w:r>
      <w:r w:rsidRPr="00092862">
        <w:rPr>
          <w:rFonts w:ascii="Times New Roman" w:eastAsia="黑体" w:hAnsi="Times New Roman"/>
          <w:color w:val="000000" w:themeColor="text1"/>
          <w:sz w:val="21"/>
          <w:szCs w:val="21"/>
          <w:vertAlign w:val="subscript"/>
          <w:lang w:eastAsia="zh-CN"/>
        </w:rPr>
        <w:t>Cr</w:t>
      </w:r>
      <w:r w:rsidRPr="00092862">
        <w:rPr>
          <w:rFonts w:ascii="Times New Roman" w:eastAsia="黑体" w:hAnsi="Times New Roman"/>
          <w:color w:val="000000" w:themeColor="text1"/>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3"/>
        <w:gridCol w:w="1494"/>
        <w:gridCol w:w="1494"/>
        <w:gridCol w:w="1328"/>
        <w:gridCol w:w="1373"/>
      </w:tblGrid>
      <w:tr w:rsidR="00697429" w:rsidRPr="00092862" w14:paraId="717128E0" w14:textId="77777777" w:rsidTr="00BB111E">
        <w:trPr>
          <w:jc w:val="center"/>
        </w:trPr>
        <w:tc>
          <w:tcPr>
            <w:tcW w:w="673" w:type="pct"/>
            <w:vAlign w:val="center"/>
          </w:tcPr>
          <w:p w14:paraId="3BC93E8F" w14:textId="77777777" w:rsidR="00BB111E" w:rsidRPr="00092862" w:rsidRDefault="00BB111E"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污染时间</w:t>
            </w:r>
          </w:p>
        </w:tc>
        <w:tc>
          <w:tcPr>
            <w:tcW w:w="899" w:type="pct"/>
            <w:vAlign w:val="center"/>
          </w:tcPr>
          <w:p w14:paraId="3271C21A" w14:textId="77777777" w:rsidR="00BB111E" w:rsidRPr="00092862" w:rsidRDefault="00BB111E"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中心点迁移距离（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900" w:type="pct"/>
            <w:vAlign w:val="center"/>
          </w:tcPr>
          <w:p w14:paraId="5130243B" w14:textId="77777777" w:rsidR="00BB111E" w:rsidRPr="00092862" w:rsidRDefault="00BB111E"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中心点处浓度（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900" w:type="pct"/>
            <w:vAlign w:val="center"/>
          </w:tcPr>
          <w:p w14:paraId="3EEABB88" w14:textId="77777777" w:rsidR="00BB111E" w:rsidRPr="00092862" w:rsidRDefault="00BB111E"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叠加后浓度（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800" w:type="pct"/>
            <w:vAlign w:val="center"/>
          </w:tcPr>
          <w:p w14:paraId="4E2930EA" w14:textId="77777777" w:rsidR="00BB111E" w:rsidRPr="00092862" w:rsidRDefault="00BB111E"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最远超标距离（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827" w:type="pct"/>
            <w:vAlign w:val="center"/>
          </w:tcPr>
          <w:p w14:paraId="2ED30B9C" w14:textId="77777777" w:rsidR="00BB111E" w:rsidRPr="00092862" w:rsidRDefault="00BB111E"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最远影响距离（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r>
      <w:tr w:rsidR="00697429" w:rsidRPr="00092862" w14:paraId="09C230B2" w14:textId="77777777" w:rsidTr="00BB111E">
        <w:trPr>
          <w:jc w:val="center"/>
        </w:trPr>
        <w:tc>
          <w:tcPr>
            <w:tcW w:w="673" w:type="pct"/>
            <w:vAlign w:val="center"/>
          </w:tcPr>
          <w:p w14:paraId="1D3A04F9" w14:textId="77777777" w:rsidR="001836D4" w:rsidRPr="00092862" w:rsidRDefault="001836D4"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100d</w:t>
            </w:r>
          </w:p>
        </w:tc>
        <w:tc>
          <w:tcPr>
            <w:tcW w:w="899" w:type="pct"/>
            <w:vAlign w:val="center"/>
          </w:tcPr>
          <w:p w14:paraId="55DD9800" w14:textId="15D7FCE5"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311D2625" w14:textId="07F55C71"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79.7</w:t>
            </w:r>
          </w:p>
        </w:tc>
        <w:tc>
          <w:tcPr>
            <w:tcW w:w="900" w:type="pct"/>
            <w:vAlign w:val="center"/>
          </w:tcPr>
          <w:p w14:paraId="464D33BB" w14:textId="1F3C5323"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83.02</w:t>
            </w:r>
          </w:p>
        </w:tc>
        <w:tc>
          <w:tcPr>
            <w:tcW w:w="800" w:type="pct"/>
            <w:vAlign w:val="center"/>
          </w:tcPr>
          <w:p w14:paraId="1AC6620E" w14:textId="7C5B77FE"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37</w:t>
            </w:r>
          </w:p>
        </w:tc>
        <w:tc>
          <w:tcPr>
            <w:tcW w:w="827" w:type="pct"/>
            <w:vAlign w:val="center"/>
          </w:tcPr>
          <w:p w14:paraId="3DE15D39" w14:textId="4051BF3F"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46</w:t>
            </w:r>
          </w:p>
        </w:tc>
      </w:tr>
      <w:tr w:rsidR="00697429" w:rsidRPr="00092862" w14:paraId="78E77FE2" w14:textId="77777777" w:rsidTr="00BB111E">
        <w:trPr>
          <w:jc w:val="center"/>
        </w:trPr>
        <w:tc>
          <w:tcPr>
            <w:tcW w:w="673" w:type="pct"/>
            <w:vAlign w:val="center"/>
          </w:tcPr>
          <w:p w14:paraId="79D2E019" w14:textId="77777777" w:rsidR="001836D4" w:rsidRPr="00092862" w:rsidRDefault="001836D4"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365d</w:t>
            </w:r>
          </w:p>
        </w:tc>
        <w:tc>
          <w:tcPr>
            <w:tcW w:w="899" w:type="pct"/>
            <w:vAlign w:val="center"/>
          </w:tcPr>
          <w:p w14:paraId="29EC0B35" w14:textId="0BA7265F"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5F76A7ED" w14:textId="2C4E5B26"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21.8</w:t>
            </w:r>
          </w:p>
        </w:tc>
        <w:tc>
          <w:tcPr>
            <w:tcW w:w="900" w:type="pct"/>
            <w:vAlign w:val="center"/>
          </w:tcPr>
          <w:p w14:paraId="6615075C" w14:textId="16A76C1C"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25.12</w:t>
            </w:r>
          </w:p>
        </w:tc>
        <w:tc>
          <w:tcPr>
            <w:tcW w:w="800" w:type="pct"/>
            <w:vAlign w:val="center"/>
          </w:tcPr>
          <w:p w14:paraId="4FC85393" w14:textId="6CACF57F"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55</w:t>
            </w:r>
          </w:p>
        </w:tc>
        <w:tc>
          <w:tcPr>
            <w:tcW w:w="827" w:type="pct"/>
            <w:vAlign w:val="center"/>
          </w:tcPr>
          <w:p w14:paraId="1C1F5408" w14:textId="059A4BF1"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99</w:t>
            </w:r>
          </w:p>
        </w:tc>
      </w:tr>
      <w:tr w:rsidR="00697429" w:rsidRPr="00092862" w14:paraId="50367648" w14:textId="77777777" w:rsidTr="00BB111E">
        <w:trPr>
          <w:jc w:val="center"/>
        </w:trPr>
        <w:tc>
          <w:tcPr>
            <w:tcW w:w="673" w:type="pct"/>
            <w:vAlign w:val="center"/>
          </w:tcPr>
          <w:p w14:paraId="6421FE28" w14:textId="77777777" w:rsidR="001836D4" w:rsidRPr="00092862" w:rsidRDefault="001836D4"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1000d</w:t>
            </w:r>
          </w:p>
        </w:tc>
        <w:tc>
          <w:tcPr>
            <w:tcW w:w="899" w:type="pct"/>
            <w:vAlign w:val="center"/>
          </w:tcPr>
          <w:p w14:paraId="07202485" w14:textId="124E59D0"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7725A993" w14:textId="5E824170"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7.9</w:t>
            </w:r>
          </w:p>
        </w:tc>
        <w:tc>
          <w:tcPr>
            <w:tcW w:w="900" w:type="pct"/>
            <w:vAlign w:val="center"/>
          </w:tcPr>
          <w:p w14:paraId="7AE7737F" w14:textId="10BB55C4" w:rsidR="001836D4" w:rsidRPr="00092862" w:rsidRDefault="0002590C"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11.22</w:t>
            </w:r>
          </w:p>
        </w:tc>
        <w:tc>
          <w:tcPr>
            <w:tcW w:w="800" w:type="pct"/>
            <w:vAlign w:val="center"/>
          </w:tcPr>
          <w:p w14:paraId="1C46BC29" w14:textId="5829614D" w:rsidR="001836D4" w:rsidRPr="00092862" w:rsidRDefault="001836D4"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7" w:type="pct"/>
            <w:vAlign w:val="center"/>
          </w:tcPr>
          <w:p w14:paraId="6F028F0A" w14:textId="32015B02" w:rsidR="001836D4" w:rsidRPr="00092862" w:rsidRDefault="004C7059"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182</w:t>
            </w:r>
          </w:p>
        </w:tc>
      </w:tr>
      <w:tr w:rsidR="00697429" w:rsidRPr="00092862" w14:paraId="535484A2" w14:textId="77777777" w:rsidTr="00BB111E">
        <w:trPr>
          <w:jc w:val="center"/>
        </w:trPr>
        <w:tc>
          <w:tcPr>
            <w:tcW w:w="673" w:type="pct"/>
            <w:vAlign w:val="center"/>
          </w:tcPr>
          <w:p w14:paraId="5464878A" w14:textId="77777777" w:rsidR="001836D4" w:rsidRPr="00092862" w:rsidRDefault="001836D4"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3650d</w:t>
            </w:r>
          </w:p>
        </w:tc>
        <w:tc>
          <w:tcPr>
            <w:tcW w:w="899" w:type="pct"/>
            <w:vAlign w:val="center"/>
          </w:tcPr>
          <w:p w14:paraId="2FB09BBD" w14:textId="571519CE" w:rsidR="001836D4" w:rsidRPr="00092862" w:rsidRDefault="004C7059"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25537D00" w14:textId="6990846B" w:rsidR="001836D4" w:rsidRPr="00092862" w:rsidRDefault="004C7059"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2.18</w:t>
            </w:r>
          </w:p>
        </w:tc>
        <w:tc>
          <w:tcPr>
            <w:tcW w:w="900" w:type="pct"/>
            <w:vAlign w:val="center"/>
          </w:tcPr>
          <w:p w14:paraId="0EEF2C97" w14:textId="1006A860" w:rsidR="001836D4" w:rsidRPr="00092862" w:rsidRDefault="004C7059"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5.5</w:t>
            </w:r>
          </w:p>
        </w:tc>
        <w:tc>
          <w:tcPr>
            <w:tcW w:w="800" w:type="pct"/>
            <w:vAlign w:val="center"/>
          </w:tcPr>
          <w:p w14:paraId="088E4A31" w14:textId="77777777" w:rsidR="001836D4" w:rsidRPr="00092862" w:rsidRDefault="001836D4"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7" w:type="pct"/>
            <w:vAlign w:val="center"/>
          </w:tcPr>
          <w:p w14:paraId="64BD7593" w14:textId="2E023D36" w:rsidR="001836D4" w:rsidRPr="00092862" w:rsidRDefault="004C7059" w:rsidP="001836D4">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bl>
    <w:p w14:paraId="6C711AD5" w14:textId="30E51F64" w:rsidR="004A6D52" w:rsidRPr="00092862" w:rsidRDefault="0002590C" w:rsidP="004A6D52">
      <w:pPr>
        <w:snapToGrid w:val="0"/>
        <w:rPr>
          <w:rFonts w:ascii="Times New Roman" w:hAnsi="Times New Roman" w:cs="Times New Roman"/>
          <w:bCs/>
          <w:color w:val="000000" w:themeColor="text1"/>
          <w:szCs w:val="21"/>
        </w:rPr>
      </w:pPr>
      <w:r w:rsidRPr="00092862">
        <w:rPr>
          <w:rFonts w:ascii="Times New Roman" w:hAnsi="Times New Roman" w:cs="Times New Roman"/>
          <w:bCs/>
          <w:noProof/>
          <w:color w:val="000000" w:themeColor="text1"/>
          <w:szCs w:val="21"/>
        </w:rPr>
        <w:drawing>
          <wp:inline distT="0" distB="0" distL="0" distR="0" wp14:anchorId="1CD00DD7" wp14:editId="651807DF">
            <wp:extent cx="2676168" cy="1796994"/>
            <wp:effectExtent l="0" t="0" r="0" b="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86079" cy="1803649"/>
                    </a:xfrm>
                    <a:prstGeom prst="rect">
                      <a:avLst/>
                    </a:prstGeom>
                    <a:noFill/>
                    <a:ln>
                      <a:noFill/>
                    </a:ln>
                  </pic:spPr>
                </pic:pic>
              </a:graphicData>
            </a:graphic>
          </wp:inline>
        </w:drawing>
      </w:r>
      <w:r w:rsidRPr="00092862">
        <w:rPr>
          <w:rFonts w:ascii="Times New Roman" w:hAnsi="Times New Roman" w:cs="Times New Roman"/>
          <w:bCs/>
          <w:noProof/>
          <w:color w:val="000000" w:themeColor="text1"/>
          <w:szCs w:val="21"/>
        </w:rPr>
        <w:drawing>
          <wp:inline distT="0" distB="0" distL="0" distR="0" wp14:anchorId="56F2B41B" wp14:editId="3EFA2313">
            <wp:extent cx="2584174" cy="1593108"/>
            <wp:effectExtent l="0" t="0" r="6985" b="7620"/>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0450" cy="1596977"/>
                    </a:xfrm>
                    <a:prstGeom prst="rect">
                      <a:avLst/>
                    </a:prstGeom>
                    <a:noFill/>
                    <a:ln>
                      <a:noFill/>
                    </a:ln>
                  </pic:spPr>
                </pic:pic>
              </a:graphicData>
            </a:graphic>
          </wp:inline>
        </w:drawing>
      </w:r>
    </w:p>
    <w:p w14:paraId="4A1F515E" w14:textId="77777777" w:rsidR="004A6D52" w:rsidRPr="00092862" w:rsidRDefault="004A6D52" w:rsidP="004A6D52">
      <w:pPr>
        <w:pStyle w:val="af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100d                                                                      365d</w:t>
      </w:r>
    </w:p>
    <w:p w14:paraId="2E8163E2" w14:textId="4BE8B3D5" w:rsidR="004A6D52" w:rsidRPr="00092862" w:rsidRDefault="0002590C" w:rsidP="004A6D52">
      <w:pPr>
        <w:rPr>
          <w:rFonts w:ascii="Times New Roman" w:hAnsi="Times New Roman" w:cs="Times New Roman"/>
          <w:bCs/>
          <w:color w:val="000000" w:themeColor="text1"/>
          <w:szCs w:val="21"/>
        </w:rPr>
      </w:pPr>
      <w:r w:rsidRPr="00092862">
        <w:rPr>
          <w:rFonts w:ascii="Times New Roman" w:hAnsi="Times New Roman" w:cs="Times New Roman"/>
          <w:bCs/>
          <w:noProof/>
          <w:color w:val="000000" w:themeColor="text1"/>
          <w:szCs w:val="21"/>
        </w:rPr>
        <w:drawing>
          <wp:inline distT="0" distB="0" distL="0" distR="0" wp14:anchorId="6F78D5B3" wp14:editId="1C60B90A">
            <wp:extent cx="2675890" cy="1663818"/>
            <wp:effectExtent l="0" t="0" r="0" b="0"/>
            <wp:docPr id="1811" name="图片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82475" cy="1667912"/>
                    </a:xfrm>
                    <a:prstGeom prst="rect">
                      <a:avLst/>
                    </a:prstGeom>
                    <a:noFill/>
                    <a:ln>
                      <a:noFill/>
                    </a:ln>
                  </pic:spPr>
                </pic:pic>
              </a:graphicData>
            </a:graphic>
          </wp:inline>
        </w:drawing>
      </w:r>
      <w:r w:rsidR="004C7059" w:rsidRPr="00092862">
        <w:rPr>
          <w:rFonts w:ascii="Times New Roman" w:hAnsi="Times New Roman" w:cs="Times New Roman"/>
          <w:bCs/>
          <w:noProof/>
          <w:color w:val="000000" w:themeColor="text1"/>
          <w:szCs w:val="21"/>
        </w:rPr>
        <w:drawing>
          <wp:inline distT="0" distB="0" distL="0" distR="0" wp14:anchorId="458BF11C" wp14:editId="0E7EB569">
            <wp:extent cx="2576222" cy="1546353"/>
            <wp:effectExtent l="0" t="0" r="0" b="0"/>
            <wp:docPr id="1812" name="图片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6967" cy="1552803"/>
                    </a:xfrm>
                    <a:prstGeom prst="rect">
                      <a:avLst/>
                    </a:prstGeom>
                    <a:noFill/>
                    <a:ln>
                      <a:noFill/>
                    </a:ln>
                  </pic:spPr>
                </pic:pic>
              </a:graphicData>
            </a:graphic>
          </wp:inline>
        </w:drawing>
      </w:r>
    </w:p>
    <w:p w14:paraId="34E19BAF" w14:textId="77777777" w:rsidR="004A6D52" w:rsidRPr="00092862" w:rsidRDefault="004A6D52" w:rsidP="004A6D52">
      <w:pPr>
        <w:pStyle w:val="af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1000d                                                                      3650d</w:t>
      </w:r>
    </w:p>
    <w:p w14:paraId="4E1E6675" w14:textId="5146DE1B" w:rsidR="004A6D52" w:rsidRPr="00092862" w:rsidRDefault="004A6D52" w:rsidP="008C28E1">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Pr="00092862">
        <w:rPr>
          <w:rFonts w:ascii="Times New Roman" w:eastAsia="黑体" w:hAnsi="Times New Roman" w:cs="Times New Roman"/>
          <w:color w:val="000000" w:themeColor="text1"/>
          <w:szCs w:val="21"/>
        </w:rPr>
        <w:t>5.</w:t>
      </w:r>
      <w:r w:rsidR="00CA20DF"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 xml:space="preserve">-1 </w:t>
      </w:r>
      <w:r w:rsidRPr="00092862">
        <w:rPr>
          <w:rFonts w:ascii="Times New Roman" w:eastAsia="黑体" w:hAnsi="Times New Roman" w:cs="Times New Roman"/>
          <w:color w:val="000000" w:themeColor="text1"/>
          <w:szCs w:val="21"/>
        </w:rPr>
        <w:t>放喷池泄漏不同预测时间</w:t>
      </w:r>
      <w:r w:rsidRPr="00092862">
        <w:rPr>
          <w:rFonts w:ascii="Times New Roman" w:eastAsia="黑体" w:hAnsi="Times New Roman" w:cs="Times New Roman"/>
          <w:color w:val="000000" w:themeColor="text1"/>
          <w:szCs w:val="21"/>
        </w:rPr>
        <w:t>COD</w:t>
      </w:r>
      <w:r w:rsidRPr="00092862">
        <w:rPr>
          <w:rFonts w:ascii="Times New Roman" w:eastAsia="黑体" w:hAnsi="Times New Roman" w:cs="Times New Roman"/>
          <w:color w:val="000000" w:themeColor="text1"/>
          <w:szCs w:val="21"/>
          <w:vertAlign w:val="subscript"/>
        </w:rPr>
        <w:t>Cr</w:t>
      </w:r>
      <w:r w:rsidRPr="00092862">
        <w:rPr>
          <w:rFonts w:ascii="Times New Roman" w:eastAsia="黑体" w:hAnsi="Times New Roman" w:cs="Times New Roman"/>
          <w:color w:val="000000" w:themeColor="text1"/>
          <w:szCs w:val="21"/>
        </w:rPr>
        <w:t>贡献值与距离浓度关系图</w:t>
      </w:r>
    </w:p>
    <w:p w14:paraId="01A76FFB" w14:textId="2A7FF3DF" w:rsidR="004A6D52" w:rsidRPr="00092862" w:rsidRDefault="004A6D52" w:rsidP="007029B3">
      <w:pPr>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地下水中石油类的超标及影响距离计算结果见表</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007029B3"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及图</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8C28E1"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p>
    <w:p w14:paraId="0F7F9D38" w14:textId="385AFF42"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F68B9"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w:t>
      </w:r>
      <w:r w:rsidR="00CF68B9" w:rsidRPr="00092862">
        <w:rPr>
          <w:rFonts w:ascii="Times New Roman" w:eastAsia="黑体" w:hAnsi="Times New Roman"/>
          <w:color w:val="000000" w:themeColor="text1"/>
          <w:sz w:val="21"/>
          <w:szCs w:val="21"/>
          <w:lang w:eastAsia="zh-CN"/>
        </w:rPr>
        <w:t>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放喷池泄漏地下水中石油类超标及影响距离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8"/>
        <w:gridCol w:w="1492"/>
        <w:gridCol w:w="1494"/>
        <w:gridCol w:w="1494"/>
        <w:gridCol w:w="1328"/>
        <w:gridCol w:w="1374"/>
      </w:tblGrid>
      <w:tr w:rsidR="00697429" w:rsidRPr="00092862" w14:paraId="59E45A4E" w14:textId="77777777" w:rsidTr="001836D4">
        <w:trPr>
          <w:trHeight w:val="590"/>
          <w:jc w:val="center"/>
        </w:trPr>
        <w:tc>
          <w:tcPr>
            <w:tcW w:w="673" w:type="pct"/>
            <w:vAlign w:val="center"/>
          </w:tcPr>
          <w:p w14:paraId="2DBF2731" w14:textId="77777777" w:rsidR="001836D4" w:rsidRPr="00092862" w:rsidRDefault="001836D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污染时间</w:t>
            </w:r>
          </w:p>
        </w:tc>
        <w:tc>
          <w:tcPr>
            <w:tcW w:w="899" w:type="pct"/>
            <w:vAlign w:val="center"/>
          </w:tcPr>
          <w:p w14:paraId="194F4A79" w14:textId="77777777" w:rsidR="001836D4" w:rsidRPr="00092862" w:rsidRDefault="001836D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中心点迁移距离（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900" w:type="pct"/>
            <w:vAlign w:val="center"/>
          </w:tcPr>
          <w:p w14:paraId="11E8C09D" w14:textId="77777777" w:rsidR="001836D4" w:rsidRPr="00092862" w:rsidRDefault="001836D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中心点处浓度（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900" w:type="pct"/>
            <w:vAlign w:val="center"/>
          </w:tcPr>
          <w:p w14:paraId="29320F28" w14:textId="77777777" w:rsidR="001836D4" w:rsidRPr="00092862" w:rsidRDefault="001836D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叠加后浓度（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800" w:type="pct"/>
            <w:vAlign w:val="center"/>
          </w:tcPr>
          <w:p w14:paraId="007C31A3" w14:textId="77777777" w:rsidR="001836D4" w:rsidRPr="00092862" w:rsidRDefault="001836D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最远超标距离（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828" w:type="pct"/>
            <w:vAlign w:val="center"/>
          </w:tcPr>
          <w:p w14:paraId="1A76C806" w14:textId="77777777" w:rsidR="001836D4" w:rsidRPr="00092862" w:rsidRDefault="001836D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最远影响距离（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r>
      <w:tr w:rsidR="00697429" w:rsidRPr="00092862" w14:paraId="0F69F9F1" w14:textId="77777777" w:rsidTr="001836D4">
        <w:trPr>
          <w:trHeight w:val="270"/>
          <w:jc w:val="center"/>
        </w:trPr>
        <w:tc>
          <w:tcPr>
            <w:tcW w:w="673" w:type="pct"/>
            <w:vAlign w:val="center"/>
          </w:tcPr>
          <w:p w14:paraId="28695128" w14:textId="77777777"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100d</w:t>
            </w:r>
          </w:p>
        </w:tc>
        <w:tc>
          <w:tcPr>
            <w:tcW w:w="899" w:type="pct"/>
            <w:vAlign w:val="center"/>
          </w:tcPr>
          <w:p w14:paraId="6B5B37CE" w14:textId="33A48732"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2578D698" w14:textId="76975A07" w:rsidR="004C7059" w:rsidRPr="00092862" w:rsidRDefault="004C7059" w:rsidP="004C7059">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3.18</w:t>
            </w:r>
          </w:p>
        </w:tc>
        <w:tc>
          <w:tcPr>
            <w:tcW w:w="900" w:type="pct"/>
            <w:vAlign w:val="center"/>
          </w:tcPr>
          <w:p w14:paraId="27CD4955" w14:textId="59CA17EB"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3.22</w:t>
            </w:r>
          </w:p>
        </w:tc>
        <w:tc>
          <w:tcPr>
            <w:tcW w:w="800" w:type="pct"/>
            <w:vAlign w:val="center"/>
          </w:tcPr>
          <w:p w14:paraId="0982F9A1" w14:textId="7BA96EEA"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56</w:t>
            </w:r>
          </w:p>
        </w:tc>
        <w:tc>
          <w:tcPr>
            <w:tcW w:w="828" w:type="pct"/>
            <w:vAlign w:val="center"/>
          </w:tcPr>
          <w:p w14:paraId="605DF417" w14:textId="20F1AB5D"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56</w:t>
            </w:r>
          </w:p>
        </w:tc>
      </w:tr>
      <w:tr w:rsidR="00697429" w:rsidRPr="00092862" w14:paraId="3B8878B7" w14:textId="77777777" w:rsidTr="001836D4">
        <w:trPr>
          <w:trHeight w:val="248"/>
          <w:jc w:val="center"/>
        </w:trPr>
        <w:tc>
          <w:tcPr>
            <w:tcW w:w="673" w:type="pct"/>
            <w:vAlign w:val="center"/>
          </w:tcPr>
          <w:p w14:paraId="6FA63A7C" w14:textId="77777777"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365d</w:t>
            </w:r>
          </w:p>
        </w:tc>
        <w:tc>
          <w:tcPr>
            <w:tcW w:w="899" w:type="pct"/>
            <w:vAlign w:val="center"/>
          </w:tcPr>
          <w:p w14:paraId="571EA021" w14:textId="304092BB"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4CF20035" w14:textId="2C239E84" w:rsidR="004C7059" w:rsidRPr="00092862" w:rsidRDefault="004C7059" w:rsidP="004C7059">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0.87</w:t>
            </w:r>
          </w:p>
        </w:tc>
        <w:tc>
          <w:tcPr>
            <w:tcW w:w="900" w:type="pct"/>
            <w:vAlign w:val="center"/>
          </w:tcPr>
          <w:p w14:paraId="7AFED282" w14:textId="17A91EBC"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0.91</w:t>
            </w:r>
          </w:p>
        </w:tc>
        <w:tc>
          <w:tcPr>
            <w:tcW w:w="800" w:type="pct"/>
            <w:vAlign w:val="center"/>
          </w:tcPr>
          <w:p w14:paraId="1CDEBC97" w14:textId="5F2D8941"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74</w:t>
            </w:r>
          </w:p>
        </w:tc>
        <w:tc>
          <w:tcPr>
            <w:tcW w:w="828" w:type="pct"/>
            <w:vAlign w:val="center"/>
          </w:tcPr>
          <w:p w14:paraId="171FD704" w14:textId="5FFB3946"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74</w:t>
            </w:r>
          </w:p>
        </w:tc>
      </w:tr>
      <w:tr w:rsidR="00697429" w:rsidRPr="00092862" w14:paraId="0A932999" w14:textId="77777777" w:rsidTr="001836D4">
        <w:trPr>
          <w:trHeight w:val="270"/>
          <w:jc w:val="center"/>
        </w:trPr>
        <w:tc>
          <w:tcPr>
            <w:tcW w:w="673" w:type="pct"/>
            <w:vAlign w:val="center"/>
          </w:tcPr>
          <w:p w14:paraId="7D8BCA29" w14:textId="77777777"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1000d</w:t>
            </w:r>
          </w:p>
        </w:tc>
        <w:tc>
          <w:tcPr>
            <w:tcW w:w="899" w:type="pct"/>
            <w:vAlign w:val="center"/>
          </w:tcPr>
          <w:p w14:paraId="76D7843F" w14:textId="04837AA9" w:rsidR="004C7059" w:rsidRPr="00092862" w:rsidRDefault="004C7059"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44F960BE" w14:textId="40B6ECF1" w:rsidR="004C7059" w:rsidRPr="00092862" w:rsidRDefault="004C7059" w:rsidP="004C7059">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0.32</w:t>
            </w:r>
          </w:p>
        </w:tc>
        <w:tc>
          <w:tcPr>
            <w:tcW w:w="900" w:type="pct"/>
            <w:vAlign w:val="center"/>
          </w:tcPr>
          <w:p w14:paraId="2E013C9B" w14:textId="7CBE5911" w:rsidR="004C7059" w:rsidRPr="00092862" w:rsidRDefault="00D563E6"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0.36</w:t>
            </w:r>
          </w:p>
        </w:tc>
        <w:tc>
          <w:tcPr>
            <w:tcW w:w="800" w:type="pct"/>
            <w:vAlign w:val="center"/>
          </w:tcPr>
          <w:p w14:paraId="007EC926" w14:textId="2D6BEE6B" w:rsidR="004C7059" w:rsidRPr="00092862" w:rsidRDefault="00D563E6"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20D79C48" w14:textId="20A6417C" w:rsidR="004C7059" w:rsidRPr="00092862" w:rsidRDefault="00D563E6" w:rsidP="004C7059">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r w:rsidR="00697429" w:rsidRPr="00092862" w14:paraId="6F0F51DC" w14:textId="77777777" w:rsidTr="001836D4">
        <w:trPr>
          <w:trHeight w:val="248"/>
          <w:jc w:val="center"/>
        </w:trPr>
        <w:tc>
          <w:tcPr>
            <w:tcW w:w="673" w:type="pct"/>
            <w:vAlign w:val="center"/>
          </w:tcPr>
          <w:p w14:paraId="4AAF8D96"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3650d</w:t>
            </w:r>
          </w:p>
        </w:tc>
        <w:tc>
          <w:tcPr>
            <w:tcW w:w="899" w:type="pct"/>
            <w:vAlign w:val="center"/>
          </w:tcPr>
          <w:p w14:paraId="4BD7A220" w14:textId="3F0136C1"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2A7373B4" w14:textId="1666783F"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0.087</w:t>
            </w:r>
          </w:p>
        </w:tc>
        <w:tc>
          <w:tcPr>
            <w:tcW w:w="900" w:type="pct"/>
            <w:vAlign w:val="center"/>
          </w:tcPr>
          <w:p w14:paraId="2A2A7E35" w14:textId="6B2107C2"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0.127</w:t>
            </w:r>
          </w:p>
        </w:tc>
        <w:tc>
          <w:tcPr>
            <w:tcW w:w="800" w:type="pct"/>
            <w:vAlign w:val="center"/>
          </w:tcPr>
          <w:p w14:paraId="3B388B79" w14:textId="67818A00"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02A42AEC" w14:textId="6F982186"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bl>
    <w:p w14:paraId="39C4699E" w14:textId="1A40BF24" w:rsidR="004A6D52" w:rsidRPr="00092862" w:rsidRDefault="004C7059" w:rsidP="004C7059">
      <w:pPr>
        <w:adjustRightInd w:val="0"/>
        <w:snapToGrid w:val="0"/>
        <w:rPr>
          <w:rFonts w:ascii="Times New Roman" w:hAnsi="Times New Roman" w:cs="Times New Roman"/>
          <w:bCs/>
          <w:color w:val="000000" w:themeColor="text1"/>
          <w:szCs w:val="21"/>
        </w:rPr>
      </w:pPr>
      <w:r w:rsidRPr="00092862">
        <w:rPr>
          <w:rFonts w:ascii="Times New Roman" w:hAnsi="Times New Roman" w:cs="Times New Roman"/>
          <w:bCs/>
          <w:noProof/>
          <w:color w:val="000000" w:themeColor="text1"/>
          <w:szCs w:val="21"/>
        </w:rPr>
        <w:lastRenderedPageBreak/>
        <w:drawing>
          <wp:inline distT="0" distB="0" distL="0" distR="0" wp14:anchorId="39948614" wp14:editId="5DD9CEE2">
            <wp:extent cx="2517275" cy="1598212"/>
            <wp:effectExtent l="0" t="0" r="0" b="2540"/>
            <wp:docPr id="1813" name="图片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34763" cy="1609315"/>
                    </a:xfrm>
                    <a:prstGeom prst="rect">
                      <a:avLst/>
                    </a:prstGeom>
                    <a:noFill/>
                    <a:ln>
                      <a:noFill/>
                    </a:ln>
                  </pic:spPr>
                </pic:pic>
              </a:graphicData>
            </a:graphic>
          </wp:inline>
        </w:drawing>
      </w:r>
      <w:r w:rsidRPr="00092862">
        <w:rPr>
          <w:rFonts w:ascii="Times New Roman" w:hAnsi="Times New Roman" w:cs="Times New Roman"/>
          <w:bCs/>
          <w:noProof/>
          <w:color w:val="000000" w:themeColor="text1"/>
          <w:szCs w:val="21"/>
        </w:rPr>
        <w:drawing>
          <wp:inline distT="0" distB="0" distL="0" distR="0" wp14:anchorId="6C8B4245" wp14:editId="7A77DCEE">
            <wp:extent cx="2735221" cy="1683592"/>
            <wp:effectExtent l="0" t="0" r="8255" b="0"/>
            <wp:docPr id="1814" name="图片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50455" cy="1692969"/>
                    </a:xfrm>
                    <a:prstGeom prst="rect">
                      <a:avLst/>
                    </a:prstGeom>
                    <a:noFill/>
                    <a:ln>
                      <a:noFill/>
                    </a:ln>
                  </pic:spPr>
                </pic:pic>
              </a:graphicData>
            </a:graphic>
          </wp:inline>
        </w:drawing>
      </w:r>
    </w:p>
    <w:p w14:paraId="3F14989B" w14:textId="77777777" w:rsidR="004A6D52" w:rsidRPr="00092862" w:rsidRDefault="004A6D52" w:rsidP="004A6D52">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100d                                                                   365d</w:t>
      </w:r>
    </w:p>
    <w:p w14:paraId="142F53B8" w14:textId="7494AB2C" w:rsidR="004A6D52" w:rsidRPr="00092862" w:rsidRDefault="004C7059" w:rsidP="004C7059">
      <w:pPr>
        <w:pStyle w:val="af0"/>
        <w:adjustRightInd w:val="0"/>
        <w:snapToGrid w:val="0"/>
        <w:jc w:val="left"/>
        <w:rPr>
          <w:rFonts w:ascii="Times New Roman" w:hAnsi="Times New Roman"/>
          <w:bCs/>
          <w:color w:val="000000" w:themeColor="text1"/>
          <w:sz w:val="21"/>
          <w:szCs w:val="21"/>
        </w:rPr>
      </w:pPr>
      <w:r w:rsidRPr="00092862">
        <w:rPr>
          <w:rFonts w:ascii="Times New Roman" w:hAnsi="Times New Roman"/>
          <w:bCs/>
          <w:noProof/>
          <w:color w:val="000000" w:themeColor="text1"/>
          <w:sz w:val="21"/>
          <w:szCs w:val="21"/>
        </w:rPr>
        <w:drawing>
          <wp:inline distT="0" distB="0" distL="0" distR="0" wp14:anchorId="1FBAB6D8" wp14:editId="2A9BD66A">
            <wp:extent cx="2417196" cy="1479696"/>
            <wp:effectExtent l="0" t="0" r="2540" b="6350"/>
            <wp:docPr id="1815" name="图片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33811" cy="1489867"/>
                    </a:xfrm>
                    <a:prstGeom prst="rect">
                      <a:avLst/>
                    </a:prstGeom>
                    <a:noFill/>
                    <a:ln>
                      <a:noFill/>
                    </a:ln>
                  </pic:spPr>
                </pic:pic>
              </a:graphicData>
            </a:graphic>
          </wp:inline>
        </w:drawing>
      </w:r>
      <w:r w:rsidR="004A6D52" w:rsidRPr="00092862">
        <w:rPr>
          <w:rFonts w:ascii="Times New Roman" w:hAnsi="Times New Roman"/>
          <w:bCs/>
          <w:color w:val="000000" w:themeColor="text1"/>
          <w:sz w:val="21"/>
          <w:szCs w:val="21"/>
        </w:rPr>
        <w:t xml:space="preserve"> </w:t>
      </w:r>
      <w:r w:rsidR="00D563E6" w:rsidRPr="00092862">
        <w:rPr>
          <w:rFonts w:ascii="Times New Roman" w:hAnsi="Times New Roman"/>
          <w:bCs/>
          <w:noProof/>
          <w:color w:val="000000" w:themeColor="text1"/>
          <w:sz w:val="21"/>
          <w:szCs w:val="21"/>
        </w:rPr>
        <w:drawing>
          <wp:inline distT="0" distB="0" distL="0" distR="0" wp14:anchorId="58AFA30C" wp14:editId="13BB5EF2">
            <wp:extent cx="2711395" cy="1652287"/>
            <wp:effectExtent l="0" t="0" r="0" b="508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25197" cy="1660698"/>
                    </a:xfrm>
                    <a:prstGeom prst="rect">
                      <a:avLst/>
                    </a:prstGeom>
                    <a:noFill/>
                    <a:ln>
                      <a:noFill/>
                    </a:ln>
                  </pic:spPr>
                </pic:pic>
              </a:graphicData>
            </a:graphic>
          </wp:inline>
        </w:drawing>
      </w:r>
    </w:p>
    <w:p w14:paraId="76AB7269" w14:textId="77777777" w:rsidR="004A6D52" w:rsidRPr="00092862" w:rsidRDefault="004A6D52" w:rsidP="004A6D52">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1000d                                                               3650d</w:t>
      </w:r>
    </w:p>
    <w:p w14:paraId="2A512BAB" w14:textId="330A1BE0" w:rsidR="004A6D52" w:rsidRPr="00092862" w:rsidRDefault="004A6D52" w:rsidP="008C28E1">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CF68B9" w:rsidRPr="00092862">
        <w:rPr>
          <w:rFonts w:ascii="Times New Roman" w:eastAsia="黑体" w:hAnsi="Times New Roman" w:cs="Times New Roman"/>
          <w:color w:val="000000" w:themeColor="text1"/>
          <w:szCs w:val="21"/>
        </w:rPr>
        <w:t>5.4</w:t>
      </w:r>
      <w:r w:rsidRPr="00092862">
        <w:rPr>
          <w:rFonts w:ascii="Times New Roman" w:eastAsia="黑体" w:hAnsi="Times New Roman" w:cs="Times New Roman"/>
          <w:color w:val="000000" w:themeColor="text1"/>
          <w:szCs w:val="21"/>
        </w:rPr>
        <w:t>-</w:t>
      </w:r>
      <w:r w:rsidR="008C28E1" w:rsidRPr="00092862">
        <w:rPr>
          <w:rFonts w:ascii="Times New Roman" w:eastAsia="黑体" w:hAnsi="Times New Roman" w:cs="Times New Roman"/>
          <w:color w:val="000000" w:themeColor="text1"/>
          <w:szCs w:val="21"/>
        </w:rPr>
        <w:t>2</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放喷池泄漏不同预测时间石油类贡献值与距离浓度关系图</w:t>
      </w:r>
    </w:p>
    <w:p w14:paraId="6DC20E7E" w14:textId="6255EBEA" w:rsidR="004A6D52" w:rsidRPr="00092862" w:rsidRDefault="004A6D52" w:rsidP="00CF68B9">
      <w:pPr>
        <w:snapToGrid w:val="0"/>
        <w:spacing w:line="360" w:lineRule="auto"/>
        <w:ind w:firstLineChars="200" w:firstLine="480"/>
        <w:rPr>
          <w:rFonts w:ascii="Times New Roman" w:eastAsia="宋体" w:hAnsi="Times New Roman" w:cs="Times New Roman"/>
          <w:color w:val="000000" w:themeColor="text1"/>
          <w:sz w:val="24"/>
          <w:szCs w:val="24"/>
        </w:rPr>
      </w:pPr>
      <w:bookmarkStart w:id="248" w:name="_Toc449942877"/>
      <w:bookmarkStart w:id="249" w:name="_Toc449394636"/>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地下水中氯离子的超标及影响距离计算结果见表</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7029B3"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及图</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8C28E1"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p>
    <w:p w14:paraId="48B2E7CB" w14:textId="14707709"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D87027"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00D87027" w:rsidRPr="00092862">
        <w:rPr>
          <w:rFonts w:ascii="Times New Roman" w:eastAsia="黑体" w:hAnsi="Times New Roman"/>
          <w:color w:val="000000" w:themeColor="text1"/>
          <w:sz w:val="21"/>
          <w:szCs w:val="21"/>
          <w:lang w:eastAsia="zh-CN"/>
        </w:rPr>
        <w:t>-5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放喷池泄漏地下水中氯离子超标及影响距离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52"/>
        <w:gridCol w:w="1494"/>
        <w:gridCol w:w="1658"/>
        <w:gridCol w:w="1328"/>
        <w:gridCol w:w="1494"/>
        <w:gridCol w:w="1374"/>
      </w:tblGrid>
      <w:tr w:rsidR="00697429" w:rsidRPr="00092862" w14:paraId="606B713E" w14:textId="77777777" w:rsidTr="00834927">
        <w:trPr>
          <w:trHeight w:val="590"/>
          <w:jc w:val="center"/>
        </w:trPr>
        <w:tc>
          <w:tcPr>
            <w:tcW w:w="573" w:type="pct"/>
            <w:vAlign w:val="center"/>
          </w:tcPr>
          <w:p w14:paraId="12731F81" w14:textId="77777777" w:rsidR="00834927" w:rsidRPr="00092862" w:rsidRDefault="00834927"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污染时间</w:t>
            </w:r>
          </w:p>
        </w:tc>
        <w:tc>
          <w:tcPr>
            <w:tcW w:w="900" w:type="pct"/>
            <w:vAlign w:val="center"/>
          </w:tcPr>
          <w:p w14:paraId="658C59A6" w14:textId="77777777" w:rsidR="00834927" w:rsidRPr="00092862" w:rsidRDefault="00834927"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中心点迁移距离（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999" w:type="pct"/>
            <w:vAlign w:val="center"/>
          </w:tcPr>
          <w:p w14:paraId="54582193" w14:textId="77777777" w:rsidR="00834927" w:rsidRPr="00092862" w:rsidRDefault="00834927"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中心点处浓度（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800" w:type="pct"/>
            <w:vAlign w:val="center"/>
          </w:tcPr>
          <w:p w14:paraId="540CF04C" w14:textId="77777777" w:rsidR="00834927" w:rsidRPr="00092862" w:rsidRDefault="00834927"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叠加后浓度（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900" w:type="pct"/>
            <w:vAlign w:val="center"/>
          </w:tcPr>
          <w:p w14:paraId="0F6B8308" w14:textId="77777777" w:rsidR="00834927" w:rsidRPr="00092862" w:rsidRDefault="00834927"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最远超标距离（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828" w:type="pct"/>
            <w:vAlign w:val="center"/>
          </w:tcPr>
          <w:p w14:paraId="37FF83AE" w14:textId="77777777" w:rsidR="00834927" w:rsidRPr="00092862" w:rsidRDefault="00834927"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最远影响距离（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r>
      <w:tr w:rsidR="00697429" w:rsidRPr="00092862" w14:paraId="61837958" w14:textId="77777777" w:rsidTr="00834927">
        <w:trPr>
          <w:trHeight w:val="270"/>
          <w:jc w:val="center"/>
        </w:trPr>
        <w:tc>
          <w:tcPr>
            <w:tcW w:w="573" w:type="pct"/>
            <w:vAlign w:val="center"/>
          </w:tcPr>
          <w:p w14:paraId="14E438DC"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100d</w:t>
            </w:r>
          </w:p>
        </w:tc>
        <w:tc>
          <w:tcPr>
            <w:tcW w:w="900" w:type="pct"/>
            <w:vAlign w:val="center"/>
          </w:tcPr>
          <w:p w14:paraId="12660187" w14:textId="05D5BB19"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99" w:type="pct"/>
            <w:vAlign w:val="center"/>
          </w:tcPr>
          <w:p w14:paraId="6E5554F5" w14:textId="5BE66A2C"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63.7</w:t>
            </w:r>
          </w:p>
        </w:tc>
        <w:tc>
          <w:tcPr>
            <w:tcW w:w="800" w:type="pct"/>
            <w:vAlign w:val="center"/>
          </w:tcPr>
          <w:p w14:paraId="5AA92EB1" w14:textId="7F02E6F6"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88.1</w:t>
            </w:r>
          </w:p>
        </w:tc>
        <w:tc>
          <w:tcPr>
            <w:tcW w:w="900" w:type="pct"/>
            <w:vAlign w:val="center"/>
          </w:tcPr>
          <w:p w14:paraId="27712786" w14:textId="2E2BDAFE"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73A379C5" w14:textId="4215097B"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24</w:t>
            </w:r>
          </w:p>
        </w:tc>
      </w:tr>
      <w:tr w:rsidR="00697429" w:rsidRPr="00092862" w14:paraId="6BE92428" w14:textId="77777777" w:rsidTr="00834927">
        <w:trPr>
          <w:trHeight w:val="248"/>
          <w:jc w:val="center"/>
        </w:trPr>
        <w:tc>
          <w:tcPr>
            <w:tcW w:w="573" w:type="pct"/>
            <w:vAlign w:val="center"/>
          </w:tcPr>
          <w:p w14:paraId="0BD30BB3"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365d</w:t>
            </w:r>
          </w:p>
        </w:tc>
        <w:tc>
          <w:tcPr>
            <w:tcW w:w="900" w:type="pct"/>
            <w:vAlign w:val="center"/>
          </w:tcPr>
          <w:p w14:paraId="3A7486A1" w14:textId="476A8B29"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99" w:type="pct"/>
            <w:vAlign w:val="center"/>
          </w:tcPr>
          <w:p w14:paraId="235D9599" w14:textId="73466D0F"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17.5</w:t>
            </w:r>
          </w:p>
        </w:tc>
        <w:tc>
          <w:tcPr>
            <w:tcW w:w="800" w:type="pct"/>
            <w:vAlign w:val="center"/>
          </w:tcPr>
          <w:p w14:paraId="5840D085" w14:textId="5DE26E0A"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41.9</w:t>
            </w:r>
          </w:p>
        </w:tc>
        <w:tc>
          <w:tcPr>
            <w:tcW w:w="900" w:type="pct"/>
            <w:vAlign w:val="center"/>
          </w:tcPr>
          <w:p w14:paraId="498C5229"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49F23507" w14:textId="5A36A550"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r w:rsidR="00697429" w:rsidRPr="00092862" w14:paraId="04B7EE84" w14:textId="77777777" w:rsidTr="00834927">
        <w:trPr>
          <w:trHeight w:val="270"/>
          <w:jc w:val="center"/>
        </w:trPr>
        <w:tc>
          <w:tcPr>
            <w:tcW w:w="573" w:type="pct"/>
            <w:vAlign w:val="center"/>
          </w:tcPr>
          <w:p w14:paraId="6A1D11D5"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1000d</w:t>
            </w:r>
          </w:p>
        </w:tc>
        <w:tc>
          <w:tcPr>
            <w:tcW w:w="900" w:type="pct"/>
            <w:vAlign w:val="center"/>
          </w:tcPr>
          <w:p w14:paraId="78420998" w14:textId="35D806A3"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99" w:type="pct"/>
            <w:vAlign w:val="center"/>
          </w:tcPr>
          <w:p w14:paraId="1876F7AB" w14:textId="602A170C"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6.37</w:t>
            </w:r>
          </w:p>
        </w:tc>
        <w:tc>
          <w:tcPr>
            <w:tcW w:w="800" w:type="pct"/>
            <w:vAlign w:val="center"/>
          </w:tcPr>
          <w:p w14:paraId="270820E2" w14:textId="4563AE6C"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30.78</w:t>
            </w:r>
          </w:p>
        </w:tc>
        <w:tc>
          <w:tcPr>
            <w:tcW w:w="900" w:type="pct"/>
            <w:vAlign w:val="center"/>
          </w:tcPr>
          <w:p w14:paraId="7DE235B2"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3D947E24" w14:textId="6472660A"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r w:rsidR="00697429" w:rsidRPr="00092862" w14:paraId="601EBEAA" w14:textId="77777777" w:rsidTr="00834927">
        <w:trPr>
          <w:trHeight w:val="248"/>
          <w:jc w:val="center"/>
        </w:trPr>
        <w:tc>
          <w:tcPr>
            <w:tcW w:w="573" w:type="pct"/>
            <w:vAlign w:val="center"/>
          </w:tcPr>
          <w:p w14:paraId="1F4603B7"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3650d</w:t>
            </w:r>
          </w:p>
        </w:tc>
        <w:tc>
          <w:tcPr>
            <w:tcW w:w="900" w:type="pct"/>
            <w:vAlign w:val="center"/>
          </w:tcPr>
          <w:p w14:paraId="5C093B13" w14:textId="3DF1E2F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99" w:type="pct"/>
            <w:vAlign w:val="center"/>
          </w:tcPr>
          <w:p w14:paraId="692C3F90" w14:textId="2DDD4CB1"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1.76</w:t>
            </w:r>
          </w:p>
        </w:tc>
        <w:tc>
          <w:tcPr>
            <w:tcW w:w="800" w:type="pct"/>
            <w:vAlign w:val="center"/>
          </w:tcPr>
          <w:p w14:paraId="618F5439" w14:textId="59FB09B1" w:rsidR="00D563E6" w:rsidRPr="00092862" w:rsidRDefault="00D563E6" w:rsidP="00D563E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21.16</w:t>
            </w:r>
          </w:p>
        </w:tc>
        <w:tc>
          <w:tcPr>
            <w:tcW w:w="900" w:type="pct"/>
            <w:vAlign w:val="center"/>
          </w:tcPr>
          <w:p w14:paraId="529EF189"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73BE21AC" w14:textId="77777777" w:rsidR="00D563E6" w:rsidRPr="00092862" w:rsidRDefault="00D563E6" w:rsidP="00D563E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bl>
    <w:p w14:paraId="16857147" w14:textId="37653763" w:rsidR="004A6D52" w:rsidRPr="00092862" w:rsidRDefault="00D563E6" w:rsidP="00D563E6">
      <w:pPr>
        <w:adjustRightInd w:val="0"/>
        <w:snapToGrid w:val="0"/>
        <w:rPr>
          <w:rFonts w:ascii="Times New Roman" w:hAnsi="Times New Roman" w:cs="Times New Roman"/>
          <w:bCs/>
          <w:color w:val="000000" w:themeColor="text1"/>
          <w:szCs w:val="21"/>
        </w:rPr>
      </w:pPr>
      <w:r w:rsidRPr="00092862">
        <w:rPr>
          <w:rFonts w:ascii="Times New Roman" w:hAnsi="Times New Roman" w:cs="Times New Roman"/>
          <w:bCs/>
          <w:noProof/>
          <w:color w:val="000000" w:themeColor="text1"/>
          <w:szCs w:val="21"/>
        </w:rPr>
        <w:drawing>
          <wp:inline distT="0" distB="0" distL="0" distR="0" wp14:anchorId="3923844A" wp14:editId="0416A401">
            <wp:extent cx="2489910" cy="1494845"/>
            <wp:effectExtent l="0" t="0" r="5715" b="0"/>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93628" cy="1497077"/>
                    </a:xfrm>
                    <a:prstGeom prst="rect">
                      <a:avLst/>
                    </a:prstGeom>
                    <a:noFill/>
                    <a:ln>
                      <a:noFill/>
                    </a:ln>
                  </pic:spPr>
                </pic:pic>
              </a:graphicData>
            </a:graphic>
          </wp:inline>
        </w:drawing>
      </w:r>
      <w:r w:rsidRPr="00092862">
        <w:rPr>
          <w:rFonts w:ascii="Times New Roman" w:hAnsi="Times New Roman" w:cs="Times New Roman"/>
          <w:bCs/>
          <w:noProof/>
          <w:color w:val="000000" w:themeColor="text1"/>
          <w:szCs w:val="21"/>
        </w:rPr>
        <w:drawing>
          <wp:inline distT="0" distB="0" distL="0" distR="0" wp14:anchorId="0394D13F" wp14:editId="7527BF57">
            <wp:extent cx="2472856" cy="1501271"/>
            <wp:effectExtent l="0" t="0" r="3810" b="3810"/>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89598" cy="1511435"/>
                    </a:xfrm>
                    <a:prstGeom prst="rect">
                      <a:avLst/>
                    </a:prstGeom>
                    <a:noFill/>
                    <a:ln>
                      <a:noFill/>
                    </a:ln>
                  </pic:spPr>
                </pic:pic>
              </a:graphicData>
            </a:graphic>
          </wp:inline>
        </w:drawing>
      </w:r>
    </w:p>
    <w:p w14:paraId="18576B64" w14:textId="77777777" w:rsidR="004A6D52" w:rsidRPr="00092862" w:rsidRDefault="004A6D52" w:rsidP="00AB51CD">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 xml:space="preserve">100d                 </w:t>
      </w:r>
      <w:r w:rsidR="00D87027" w:rsidRPr="00092862">
        <w:rPr>
          <w:rFonts w:ascii="Times New Roman" w:hAnsi="Times New Roman"/>
          <w:bCs/>
          <w:color w:val="000000" w:themeColor="text1"/>
          <w:sz w:val="21"/>
          <w:szCs w:val="21"/>
        </w:rPr>
        <w:t xml:space="preserve">                                  </w:t>
      </w:r>
      <w:r w:rsidRPr="00092862">
        <w:rPr>
          <w:rFonts w:ascii="Times New Roman" w:hAnsi="Times New Roman"/>
          <w:bCs/>
          <w:color w:val="000000" w:themeColor="text1"/>
          <w:sz w:val="21"/>
          <w:szCs w:val="21"/>
        </w:rPr>
        <w:t xml:space="preserve">              365d</w:t>
      </w:r>
    </w:p>
    <w:p w14:paraId="6CBF9073" w14:textId="04642B70" w:rsidR="004A6D52" w:rsidRPr="00092862" w:rsidRDefault="00D563E6" w:rsidP="00D563E6">
      <w:pPr>
        <w:pStyle w:val="af0"/>
        <w:adjustRightInd w:val="0"/>
        <w:snapToGrid w:val="0"/>
        <w:jc w:val="left"/>
        <w:rPr>
          <w:rFonts w:ascii="Times New Roman" w:hAnsi="Times New Roman"/>
          <w:bCs/>
          <w:color w:val="000000" w:themeColor="text1"/>
          <w:sz w:val="21"/>
          <w:szCs w:val="21"/>
        </w:rPr>
      </w:pPr>
      <w:r w:rsidRPr="00092862">
        <w:rPr>
          <w:rFonts w:ascii="Times New Roman" w:hAnsi="Times New Roman"/>
          <w:bCs/>
          <w:noProof/>
          <w:color w:val="000000" w:themeColor="text1"/>
          <w:sz w:val="21"/>
          <w:szCs w:val="21"/>
        </w:rPr>
        <w:drawing>
          <wp:inline distT="0" distB="0" distL="0" distR="0" wp14:anchorId="6CE14EF8" wp14:editId="530053F4">
            <wp:extent cx="2592830" cy="1588460"/>
            <wp:effectExtent l="0" t="0" r="0" b="0"/>
            <wp:docPr id="1820" name="图片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99538" cy="1592570"/>
                    </a:xfrm>
                    <a:prstGeom prst="rect">
                      <a:avLst/>
                    </a:prstGeom>
                    <a:noFill/>
                    <a:ln>
                      <a:noFill/>
                    </a:ln>
                  </pic:spPr>
                </pic:pic>
              </a:graphicData>
            </a:graphic>
          </wp:inline>
        </w:drawing>
      </w:r>
      <w:r w:rsidRPr="00092862">
        <w:rPr>
          <w:rFonts w:ascii="Times New Roman" w:hAnsi="Times New Roman"/>
          <w:bCs/>
          <w:noProof/>
          <w:color w:val="000000" w:themeColor="text1"/>
          <w:sz w:val="21"/>
          <w:szCs w:val="21"/>
        </w:rPr>
        <w:drawing>
          <wp:inline distT="0" distB="0" distL="0" distR="0" wp14:anchorId="6289E0AD" wp14:editId="020D8213">
            <wp:extent cx="2464904" cy="1505639"/>
            <wp:effectExtent l="0" t="0" r="0" b="0"/>
            <wp:docPr id="1821" name="图片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00535" cy="1527403"/>
                    </a:xfrm>
                    <a:prstGeom prst="rect">
                      <a:avLst/>
                    </a:prstGeom>
                    <a:noFill/>
                    <a:ln>
                      <a:noFill/>
                    </a:ln>
                  </pic:spPr>
                </pic:pic>
              </a:graphicData>
            </a:graphic>
          </wp:inline>
        </w:drawing>
      </w:r>
    </w:p>
    <w:p w14:paraId="0C1583AB" w14:textId="77777777" w:rsidR="004A6D52" w:rsidRPr="00092862" w:rsidRDefault="004A6D52" w:rsidP="00D87027">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 xml:space="preserve">1000d             </w:t>
      </w:r>
      <w:r w:rsidR="00D87027" w:rsidRPr="00092862">
        <w:rPr>
          <w:rFonts w:ascii="Times New Roman" w:hAnsi="Times New Roman"/>
          <w:bCs/>
          <w:color w:val="000000" w:themeColor="text1"/>
          <w:sz w:val="21"/>
          <w:szCs w:val="21"/>
        </w:rPr>
        <w:t xml:space="preserve">                                       </w:t>
      </w:r>
      <w:r w:rsidRPr="00092862">
        <w:rPr>
          <w:rFonts w:ascii="Times New Roman" w:hAnsi="Times New Roman"/>
          <w:bCs/>
          <w:color w:val="000000" w:themeColor="text1"/>
          <w:sz w:val="21"/>
          <w:szCs w:val="21"/>
        </w:rPr>
        <w:t xml:space="preserve">                   3650d</w:t>
      </w:r>
    </w:p>
    <w:p w14:paraId="3068DC36" w14:textId="66338E04" w:rsidR="004A6D52" w:rsidRPr="00092862" w:rsidRDefault="004A6D52" w:rsidP="008C28E1">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lastRenderedPageBreak/>
        <w:t>图</w:t>
      </w:r>
      <w:r w:rsidR="00D87027" w:rsidRPr="00092862">
        <w:rPr>
          <w:rFonts w:ascii="Times New Roman" w:eastAsia="黑体" w:hAnsi="Times New Roman" w:cs="Times New Roman"/>
          <w:color w:val="000000" w:themeColor="text1"/>
          <w:szCs w:val="21"/>
        </w:rPr>
        <w:t>5.</w:t>
      </w:r>
      <w:r w:rsidR="00CA20DF"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w:t>
      </w:r>
      <w:r w:rsidR="008C28E1"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 xml:space="preserve"> </w:t>
      </w:r>
      <w:r w:rsidR="00D87027"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放喷池泄漏不同预测时间氯离子贡献值与距离浓度关系图</w:t>
      </w:r>
    </w:p>
    <w:p w14:paraId="3B11529D" w14:textId="77777777" w:rsidR="004A6D52" w:rsidRPr="00092862" w:rsidRDefault="004A6D52" w:rsidP="00D8702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）压裂过程中井筒破裂</w:t>
      </w:r>
    </w:p>
    <w:p w14:paraId="229B2389" w14:textId="5E7579B2" w:rsidR="004A6D52" w:rsidRPr="00092862" w:rsidRDefault="004A6D52" w:rsidP="00CF68B9">
      <w:pPr>
        <w:snapToGrid w:val="0"/>
        <w:spacing w:line="360" w:lineRule="auto"/>
        <w:ind w:firstLineChars="200" w:firstLine="480"/>
        <w:rPr>
          <w:rFonts w:ascii="Times New Roman" w:eastAsia="宋体" w:hAnsi="Times New Roman" w:cs="Times New Roman"/>
          <w:color w:val="000000" w:themeColor="text1"/>
          <w:sz w:val="24"/>
          <w:szCs w:val="24"/>
        </w:rPr>
      </w:pPr>
      <w:bookmarkStart w:id="250" w:name="_Toc7285"/>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地下水中</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的超标及影响距离计算结果见表</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007029B3"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及图</w:t>
      </w:r>
      <w:r w:rsidR="007029B3"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8C28E1"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w:t>
      </w:r>
    </w:p>
    <w:p w14:paraId="34AEF1B9" w14:textId="32A76284"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29B3"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007029B3" w:rsidRPr="00092862">
        <w:rPr>
          <w:rFonts w:ascii="Times New Roman" w:eastAsia="黑体" w:hAnsi="Times New Roman"/>
          <w:color w:val="000000" w:themeColor="text1"/>
          <w:sz w:val="21"/>
          <w:szCs w:val="21"/>
          <w:lang w:eastAsia="zh-CN"/>
        </w:rPr>
        <w:t>-6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压裂过程中井筒破裂地下水中</w:t>
      </w:r>
      <w:r w:rsidRPr="00092862">
        <w:rPr>
          <w:rFonts w:ascii="Times New Roman" w:eastAsia="黑体" w:hAnsi="Times New Roman"/>
          <w:color w:val="000000" w:themeColor="text1"/>
          <w:sz w:val="21"/>
          <w:szCs w:val="21"/>
          <w:lang w:eastAsia="zh-CN"/>
        </w:rPr>
        <w:t>COD</w:t>
      </w:r>
      <w:r w:rsidRPr="00092862">
        <w:rPr>
          <w:rFonts w:ascii="Times New Roman" w:eastAsia="黑体" w:hAnsi="Times New Roman"/>
          <w:color w:val="000000" w:themeColor="text1"/>
          <w:sz w:val="21"/>
          <w:szCs w:val="21"/>
          <w:vertAlign w:val="subscript"/>
          <w:lang w:eastAsia="zh-CN"/>
        </w:rPr>
        <w:t>Cr</w:t>
      </w:r>
      <w:r w:rsidRPr="00092862">
        <w:rPr>
          <w:rFonts w:ascii="Times New Roman" w:eastAsia="黑体" w:hAnsi="Times New Roman"/>
          <w:color w:val="000000" w:themeColor="text1"/>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18"/>
        <w:gridCol w:w="1492"/>
        <w:gridCol w:w="1494"/>
        <w:gridCol w:w="1494"/>
        <w:gridCol w:w="1328"/>
        <w:gridCol w:w="1374"/>
      </w:tblGrid>
      <w:tr w:rsidR="00697429" w:rsidRPr="00092862" w14:paraId="5AD2FD76" w14:textId="77777777" w:rsidTr="00793A46">
        <w:trPr>
          <w:trHeight w:val="590"/>
          <w:jc w:val="center"/>
        </w:trPr>
        <w:tc>
          <w:tcPr>
            <w:tcW w:w="673" w:type="pct"/>
            <w:vAlign w:val="center"/>
          </w:tcPr>
          <w:p w14:paraId="367C0D77" w14:textId="77777777" w:rsidR="0009444A" w:rsidRPr="00092862" w:rsidRDefault="0009444A"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污染时间</w:t>
            </w:r>
          </w:p>
        </w:tc>
        <w:tc>
          <w:tcPr>
            <w:tcW w:w="899" w:type="pct"/>
            <w:vAlign w:val="center"/>
          </w:tcPr>
          <w:p w14:paraId="501D5E1A" w14:textId="77777777" w:rsidR="0009444A" w:rsidRPr="00092862" w:rsidRDefault="0009444A"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中心点迁移距离（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900" w:type="pct"/>
            <w:vAlign w:val="center"/>
          </w:tcPr>
          <w:p w14:paraId="11AFFD6A" w14:textId="77777777" w:rsidR="0009444A" w:rsidRPr="00092862" w:rsidRDefault="0009444A"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中心点处浓度（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900" w:type="pct"/>
            <w:vAlign w:val="center"/>
          </w:tcPr>
          <w:p w14:paraId="2799898D" w14:textId="77777777" w:rsidR="0009444A" w:rsidRPr="00092862" w:rsidRDefault="0009444A"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叠加后浓度（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800" w:type="pct"/>
            <w:vAlign w:val="center"/>
          </w:tcPr>
          <w:p w14:paraId="483EA8FC" w14:textId="77777777" w:rsidR="0009444A" w:rsidRPr="00092862" w:rsidRDefault="0009444A"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最远超标距离（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828" w:type="pct"/>
            <w:vAlign w:val="center"/>
          </w:tcPr>
          <w:p w14:paraId="521DC31C" w14:textId="77777777" w:rsidR="0009444A" w:rsidRPr="00092862" w:rsidRDefault="0009444A"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最远影响距离（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r>
      <w:tr w:rsidR="00697429" w:rsidRPr="00092862" w14:paraId="5C6CDFA6" w14:textId="77777777" w:rsidTr="00793A46">
        <w:trPr>
          <w:trHeight w:val="270"/>
          <w:jc w:val="center"/>
        </w:trPr>
        <w:tc>
          <w:tcPr>
            <w:tcW w:w="673" w:type="pct"/>
            <w:vAlign w:val="center"/>
          </w:tcPr>
          <w:p w14:paraId="6B526E1B"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100d</w:t>
            </w:r>
          </w:p>
        </w:tc>
        <w:tc>
          <w:tcPr>
            <w:tcW w:w="899" w:type="pct"/>
            <w:vAlign w:val="center"/>
          </w:tcPr>
          <w:p w14:paraId="545704A2" w14:textId="5C1331EC"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29599A63" w14:textId="7CB68FD6"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165.44</w:t>
            </w:r>
          </w:p>
        </w:tc>
        <w:tc>
          <w:tcPr>
            <w:tcW w:w="900" w:type="pct"/>
            <w:vAlign w:val="center"/>
          </w:tcPr>
          <w:p w14:paraId="6D849224" w14:textId="0EC0C0AA"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168.76</w:t>
            </w:r>
          </w:p>
        </w:tc>
        <w:tc>
          <w:tcPr>
            <w:tcW w:w="800" w:type="pct"/>
            <w:vAlign w:val="center"/>
          </w:tcPr>
          <w:p w14:paraId="11E7688A" w14:textId="493F7FDC"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43</w:t>
            </w:r>
          </w:p>
        </w:tc>
        <w:tc>
          <w:tcPr>
            <w:tcW w:w="828" w:type="pct"/>
            <w:vAlign w:val="center"/>
          </w:tcPr>
          <w:p w14:paraId="6BACBA1D" w14:textId="62EC4A8C"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55</w:t>
            </w:r>
          </w:p>
        </w:tc>
      </w:tr>
      <w:tr w:rsidR="00697429" w:rsidRPr="00092862" w14:paraId="28A9B022" w14:textId="77777777" w:rsidTr="00793A46">
        <w:trPr>
          <w:trHeight w:val="248"/>
          <w:jc w:val="center"/>
        </w:trPr>
        <w:tc>
          <w:tcPr>
            <w:tcW w:w="673" w:type="pct"/>
            <w:vAlign w:val="center"/>
          </w:tcPr>
          <w:p w14:paraId="57CCB98C"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365d</w:t>
            </w:r>
          </w:p>
        </w:tc>
        <w:tc>
          <w:tcPr>
            <w:tcW w:w="899" w:type="pct"/>
            <w:vAlign w:val="center"/>
          </w:tcPr>
          <w:p w14:paraId="63F70C52" w14:textId="2851959D"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17A0852D" w14:textId="7A2F8596"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45.3</w:t>
            </w:r>
          </w:p>
        </w:tc>
        <w:tc>
          <w:tcPr>
            <w:tcW w:w="900" w:type="pct"/>
            <w:vAlign w:val="center"/>
          </w:tcPr>
          <w:p w14:paraId="0421CB98" w14:textId="2C5B705C"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48.62</w:t>
            </w:r>
          </w:p>
        </w:tc>
        <w:tc>
          <w:tcPr>
            <w:tcW w:w="800" w:type="pct"/>
            <w:vAlign w:val="center"/>
          </w:tcPr>
          <w:p w14:paraId="1F8C3B32" w14:textId="123D4C5F"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80</w:t>
            </w:r>
          </w:p>
        </w:tc>
        <w:tc>
          <w:tcPr>
            <w:tcW w:w="828" w:type="pct"/>
            <w:vAlign w:val="center"/>
          </w:tcPr>
          <w:p w14:paraId="44D48972" w14:textId="1556960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110</w:t>
            </w:r>
          </w:p>
        </w:tc>
      </w:tr>
      <w:tr w:rsidR="00697429" w:rsidRPr="00092862" w14:paraId="6CC60450" w14:textId="77777777" w:rsidTr="00793A46">
        <w:trPr>
          <w:trHeight w:val="270"/>
          <w:jc w:val="center"/>
        </w:trPr>
        <w:tc>
          <w:tcPr>
            <w:tcW w:w="673" w:type="pct"/>
            <w:vAlign w:val="center"/>
          </w:tcPr>
          <w:p w14:paraId="10D6DA67"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1000d</w:t>
            </w:r>
          </w:p>
        </w:tc>
        <w:tc>
          <w:tcPr>
            <w:tcW w:w="899" w:type="pct"/>
            <w:vAlign w:val="center"/>
          </w:tcPr>
          <w:p w14:paraId="1D8550ED" w14:textId="66677D16"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1E7E4DB8" w14:textId="451F99FE"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16.5</w:t>
            </w:r>
          </w:p>
        </w:tc>
        <w:tc>
          <w:tcPr>
            <w:tcW w:w="900" w:type="pct"/>
            <w:vAlign w:val="center"/>
          </w:tcPr>
          <w:p w14:paraId="6E785978" w14:textId="7E21463B"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19.82</w:t>
            </w:r>
          </w:p>
        </w:tc>
        <w:tc>
          <w:tcPr>
            <w:tcW w:w="800" w:type="pct"/>
            <w:vAlign w:val="center"/>
          </w:tcPr>
          <w:p w14:paraId="1A0D3154" w14:textId="006FC3E2"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p>
        </w:tc>
        <w:tc>
          <w:tcPr>
            <w:tcW w:w="828" w:type="pct"/>
            <w:vAlign w:val="center"/>
          </w:tcPr>
          <w:p w14:paraId="77A0BED6" w14:textId="32D54CA9"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205</w:t>
            </w:r>
          </w:p>
        </w:tc>
      </w:tr>
      <w:tr w:rsidR="00697429" w:rsidRPr="00092862" w14:paraId="4F941572" w14:textId="77777777" w:rsidTr="00793A46">
        <w:trPr>
          <w:trHeight w:val="248"/>
          <w:jc w:val="center"/>
        </w:trPr>
        <w:tc>
          <w:tcPr>
            <w:tcW w:w="673" w:type="pct"/>
            <w:vAlign w:val="center"/>
          </w:tcPr>
          <w:p w14:paraId="03A0528C"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3650d</w:t>
            </w:r>
          </w:p>
        </w:tc>
        <w:tc>
          <w:tcPr>
            <w:tcW w:w="899" w:type="pct"/>
            <w:vAlign w:val="center"/>
          </w:tcPr>
          <w:p w14:paraId="388B8479" w14:textId="6B0BE544"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5B65F7F6" w14:textId="04209CC4" w:rsidR="00AB2FA6" w:rsidRPr="00092862" w:rsidRDefault="00AB2FA6"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4.53</w:t>
            </w:r>
          </w:p>
        </w:tc>
        <w:tc>
          <w:tcPr>
            <w:tcW w:w="900" w:type="pct"/>
            <w:vAlign w:val="center"/>
          </w:tcPr>
          <w:p w14:paraId="71E688AF" w14:textId="0FC757B9" w:rsidR="00AB2FA6" w:rsidRPr="00092862" w:rsidRDefault="00AB2FA6" w:rsidP="00AB2FA6">
            <w:pPr>
              <w:snapToGrid w:val="0"/>
              <w:jc w:val="center"/>
              <w:rPr>
                <w:rFonts w:ascii="Times New Roman" w:eastAsia="宋体" w:hAnsi="Times New Roman" w:cs="Times New Roman"/>
                <w:bCs/>
                <w:color w:val="000000" w:themeColor="text1"/>
                <w:szCs w:val="21"/>
              </w:rPr>
            </w:pPr>
          </w:p>
        </w:tc>
        <w:tc>
          <w:tcPr>
            <w:tcW w:w="800" w:type="pct"/>
            <w:vAlign w:val="center"/>
          </w:tcPr>
          <w:p w14:paraId="34168621"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28" w:type="pct"/>
            <w:vAlign w:val="center"/>
          </w:tcPr>
          <w:p w14:paraId="14099B36" w14:textId="4744C5A4"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506</w:t>
            </w:r>
          </w:p>
        </w:tc>
      </w:tr>
    </w:tbl>
    <w:p w14:paraId="7F07A468" w14:textId="0E7AA222" w:rsidR="007029B3" w:rsidRPr="00092862" w:rsidRDefault="00AB2FA6" w:rsidP="00AB2FA6">
      <w:pPr>
        <w:adjustRightInd w:val="0"/>
        <w:snapToGrid w:val="0"/>
        <w:rPr>
          <w:rFonts w:ascii="Times New Roman" w:hAnsi="Times New Roman" w:cs="Times New Roman"/>
          <w:bCs/>
          <w:color w:val="000000" w:themeColor="text1"/>
          <w:szCs w:val="21"/>
        </w:rPr>
      </w:pPr>
      <w:r w:rsidRPr="00092862">
        <w:rPr>
          <w:rFonts w:ascii="Times New Roman" w:hAnsi="Times New Roman" w:cs="Times New Roman"/>
          <w:bCs/>
          <w:noProof/>
          <w:color w:val="000000" w:themeColor="text1"/>
          <w:szCs w:val="21"/>
        </w:rPr>
        <w:drawing>
          <wp:inline distT="0" distB="0" distL="0" distR="0" wp14:anchorId="745697D6" wp14:editId="34EC1042">
            <wp:extent cx="2647784" cy="1610656"/>
            <wp:effectExtent l="0" t="0" r="635" b="8890"/>
            <wp:docPr id="1823" name="图片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4621" cy="1614815"/>
                    </a:xfrm>
                    <a:prstGeom prst="rect">
                      <a:avLst/>
                    </a:prstGeom>
                    <a:noFill/>
                    <a:ln>
                      <a:noFill/>
                    </a:ln>
                  </pic:spPr>
                </pic:pic>
              </a:graphicData>
            </a:graphic>
          </wp:inline>
        </w:drawing>
      </w:r>
      <w:r w:rsidRPr="00092862">
        <w:rPr>
          <w:rFonts w:ascii="Times New Roman" w:hAnsi="Times New Roman" w:cs="Times New Roman"/>
          <w:bCs/>
          <w:noProof/>
          <w:color w:val="000000" w:themeColor="text1"/>
          <w:szCs w:val="21"/>
        </w:rPr>
        <w:drawing>
          <wp:inline distT="0" distB="0" distL="0" distR="0" wp14:anchorId="19ACDA44" wp14:editId="4DB529EB">
            <wp:extent cx="2583217" cy="1561743"/>
            <wp:effectExtent l="0" t="0" r="7620" b="635"/>
            <wp:docPr id="1824" name="图片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01685" cy="1572908"/>
                    </a:xfrm>
                    <a:prstGeom prst="rect">
                      <a:avLst/>
                    </a:prstGeom>
                    <a:noFill/>
                    <a:ln>
                      <a:noFill/>
                    </a:ln>
                  </pic:spPr>
                </pic:pic>
              </a:graphicData>
            </a:graphic>
          </wp:inline>
        </w:drawing>
      </w:r>
    </w:p>
    <w:p w14:paraId="633B1C7F" w14:textId="77777777" w:rsidR="007029B3" w:rsidRPr="00092862" w:rsidRDefault="007029B3" w:rsidP="007029B3">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100d                                                                 365d</w:t>
      </w:r>
    </w:p>
    <w:p w14:paraId="6DC11192" w14:textId="51F77A08" w:rsidR="007029B3" w:rsidRPr="00092862" w:rsidRDefault="00AB2FA6" w:rsidP="00AB2FA6">
      <w:pPr>
        <w:pStyle w:val="af0"/>
        <w:adjustRightInd w:val="0"/>
        <w:snapToGrid w:val="0"/>
        <w:jc w:val="left"/>
        <w:rPr>
          <w:rFonts w:ascii="Times New Roman" w:hAnsi="Times New Roman"/>
          <w:bCs/>
          <w:color w:val="000000" w:themeColor="text1"/>
          <w:sz w:val="21"/>
          <w:szCs w:val="21"/>
        </w:rPr>
      </w:pPr>
      <w:r w:rsidRPr="00092862">
        <w:rPr>
          <w:rFonts w:ascii="Times New Roman" w:hAnsi="Times New Roman"/>
          <w:bCs/>
          <w:noProof/>
          <w:color w:val="000000" w:themeColor="text1"/>
          <w:sz w:val="21"/>
          <w:szCs w:val="21"/>
        </w:rPr>
        <w:drawing>
          <wp:inline distT="0" distB="0" distL="0" distR="0" wp14:anchorId="77C00BE3" wp14:editId="4AC9221F">
            <wp:extent cx="2576222" cy="1612078"/>
            <wp:effectExtent l="0" t="0" r="0" b="7620"/>
            <wp:docPr id="1825" name="图片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8212" cy="1638353"/>
                    </a:xfrm>
                    <a:prstGeom prst="rect">
                      <a:avLst/>
                    </a:prstGeom>
                    <a:noFill/>
                    <a:ln>
                      <a:noFill/>
                    </a:ln>
                  </pic:spPr>
                </pic:pic>
              </a:graphicData>
            </a:graphic>
          </wp:inline>
        </w:drawing>
      </w:r>
      <w:r w:rsidRPr="00092862">
        <w:rPr>
          <w:rFonts w:ascii="Times New Roman" w:hAnsi="Times New Roman"/>
          <w:bCs/>
          <w:noProof/>
          <w:color w:val="000000" w:themeColor="text1"/>
          <w:sz w:val="21"/>
          <w:szCs w:val="21"/>
        </w:rPr>
        <w:drawing>
          <wp:inline distT="0" distB="0" distL="0" distR="0" wp14:anchorId="6E2FD52A" wp14:editId="2137F057">
            <wp:extent cx="2647784" cy="1594089"/>
            <wp:effectExtent l="0" t="0" r="635" b="6350"/>
            <wp:docPr id="1822" name="图片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2430" cy="1608927"/>
                    </a:xfrm>
                    <a:prstGeom prst="rect">
                      <a:avLst/>
                    </a:prstGeom>
                    <a:noFill/>
                    <a:ln>
                      <a:noFill/>
                    </a:ln>
                  </pic:spPr>
                </pic:pic>
              </a:graphicData>
            </a:graphic>
          </wp:inline>
        </w:drawing>
      </w:r>
    </w:p>
    <w:p w14:paraId="22CBFB49" w14:textId="77777777" w:rsidR="007029B3" w:rsidRPr="00092862" w:rsidRDefault="007029B3" w:rsidP="007029B3">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1000d                                                                       3650d</w:t>
      </w:r>
    </w:p>
    <w:p w14:paraId="0673F312" w14:textId="2C8783E8" w:rsidR="004A6D52" w:rsidRPr="00092862" w:rsidRDefault="004A6D52" w:rsidP="008C28E1">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7029B3" w:rsidRPr="00092862">
        <w:rPr>
          <w:rFonts w:ascii="Times New Roman" w:eastAsia="黑体" w:hAnsi="Times New Roman" w:cs="Times New Roman"/>
          <w:color w:val="000000" w:themeColor="text1"/>
          <w:szCs w:val="21"/>
        </w:rPr>
        <w:t>5.</w:t>
      </w:r>
      <w:r w:rsidR="00CA20DF"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w:t>
      </w:r>
      <w:r w:rsidR="008C28E1" w:rsidRPr="00092862">
        <w:rPr>
          <w:rFonts w:ascii="Times New Roman" w:eastAsia="黑体" w:hAnsi="Times New Roman" w:cs="Times New Roman"/>
          <w:color w:val="000000" w:themeColor="text1"/>
          <w:szCs w:val="21"/>
        </w:rPr>
        <w:t>4</w:t>
      </w:r>
      <w:r w:rsidR="007029B3"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井筒破裂不同预测时间</w:t>
      </w:r>
      <w:r w:rsidRPr="00092862">
        <w:rPr>
          <w:rFonts w:ascii="Times New Roman" w:eastAsia="黑体" w:hAnsi="Times New Roman" w:cs="Times New Roman"/>
          <w:color w:val="000000" w:themeColor="text1"/>
          <w:szCs w:val="21"/>
        </w:rPr>
        <w:t>COD</w:t>
      </w:r>
      <w:r w:rsidRPr="00092862">
        <w:rPr>
          <w:rFonts w:ascii="Times New Roman" w:eastAsia="黑体" w:hAnsi="Times New Roman" w:cs="Times New Roman"/>
          <w:color w:val="000000" w:themeColor="text1"/>
          <w:szCs w:val="21"/>
          <w:vertAlign w:val="subscript"/>
        </w:rPr>
        <w:t>Cr</w:t>
      </w:r>
      <w:r w:rsidRPr="00092862">
        <w:rPr>
          <w:rFonts w:ascii="Times New Roman" w:eastAsia="黑体" w:hAnsi="Times New Roman" w:cs="Times New Roman"/>
          <w:color w:val="000000" w:themeColor="text1"/>
          <w:szCs w:val="21"/>
        </w:rPr>
        <w:t>贡献值与距离浓度关系图</w:t>
      </w:r>
    </w:p>
    <w:p w14:paraId="18D36B0A" w14:textId="455E3913" w:rsidR="004A6D52" w:rsidRPr="00092862" w:rsidRDefault="004A6D52" w:rsidP="00CF68B9">
      <w:pPr>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地下水中石油类的超标及影响距离计算结果见表</w:t>
      </w:r>
      <w:r w:rsidR="00F80DBA"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F80DBA"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及图</w:t>
      </w:r>
      <w:r w:rsidR="00F80DBA"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8C28E1"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w:t>
      </w:r>
    </w:p>
    <w:p w14:paraId="01BE1542" w14:textId="4828E363"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F80DBA"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w:t>
      </w:r>
      <w:r w:rsidR="00F80DBA"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压裂过程中井筒破裂地下水中石油类超标及影响距离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1"/>
        <w:gridCol w:w="1479"/>
        <w:gridCol w:w="1494"/>
        <w:gridCol w:w="1494"/>
        <w:gridCol w:w="1328"/>
        <w:gridCol w:w="1374"/>
      </w:tblGrid>
      <w:tr w:rsidR="00697429" w:rsidRPr="00092862" w14:paraId="6777B7D1" w14:textId="77777777" w:rsidTr="009712F8">
        <w:trPr>
          <w:trHeight w:val="590"/>
          <w:jc w:val="center"/>
        </w:trPr>
        <w:tc>
          <w:tcPr>
            <w:tcW w:w="681" w:type="pct"/>
            <w:vAlign w:val="center"/>
          </w:tcPr>
          <w:p w14:paraId="74424869" w14:textId="77777777" w:rsidR="00E86F14" w:rsidRPr="00092862" w:rsidRDefault="00E86F1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污染时间</w:t>
            </w:r>
          </w:p>
        </w:tc>
        <w:tc>
          <w:tcPr>
            <w:tcW w:w="891" w:type="pct"/>
            <w:vAlign w:val="center"/>
          </w:tcPr>
          <w:p w14:paraId="2DE0D045" w14:textId="77777777" w:rsidR="00E86F14" w:rsidRPr="00092862" w:rsidRDefault="00E86F1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中心点迁移距离（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900" w:type="pct"/>
            <w:vAlign w:val="center"/>
          </w:tcPr>
          <w:p w14:paraId="24A2B5AB" w14:textId="77777777" w:rsidR="00E86F14" w:rsidRPr="00092862" w:rsidRDefault="00E86F1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中心点处浓度（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900" w:type="pct"/>
            <w:vAlign w:val="center"/>
          </w:tcPr>
          <w:p w14:paraId="1120295B" w14:textId="77777777" w:rsidR="00E86F14" w:rsidRPr="00092862" w:rsidRDefault="00E86F1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叠加后浓度（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800" w:type="pct"/>
            <w:vAlign w:val="center"/>
          </w:tcPr>
          <w:p w14:paraId="19DF3F6F" w14:textId="77777777" w:rsidR="00E86F14" w:rsidRPr="00092862" w:rsidRDefault="00E86F1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最远超标距离（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828" w:type="pct"/>
            <w:vAlign w:val="center"/>
          </w:tcPr>
          <w:p w14:paraId="7392F2C0" w14:textId="77777777" w:rsidR="00E86F14" w:rsidRPr="00092862" w:rsidRDefault="00E86F14"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最远影响距离（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r>
      <w:tr w:rsidR="00697429" w:rsidRPr="00092862" w14:paraId="43811376" w14:textId="77777777" w:rsidTr="009712F8">
        <w:trPr>
          <w:trHeight w:val="270"/>
          <w:jc w:val="center"/>
        </w:trPr>
        <w:tc>
          <w:tcPr>
            <w:tcW w:w="681" w:type="pct"/>
            <w:vAlign w:val="center"/>
          </w:tcPr>
          <w:p w14:paraId="76D3C7BB"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100d</w:t>
            </w:r>
          </w:p>
        </w:tc>
        <w:tc>
          <w:tcPr>
            <w:tcW w:w="891" w:type="pct"/>
            <w:vAlign w:val="center"/>
          </w:tcPr>
          <w:p w14:paraId="35A245F9" w14:textId="0638CFA6"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2D6330CF" w14:textId="50AFEEAE"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6.62</w:t>
            </w:r>
          </w:p>
        </w:tc>
        <w:tc>
          <w:tcPr>
            <w:tcW w:w="900" w:type="pct"/>
            <w:vAlign w:val="center"/>
          </w:tcPr>
          <w:p w14:paraId="51543663" w14:textId="08F4E0A1"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6.66</w:t>
            </w:r>
          </w:p>
        </w:tc>
        <w:tc>
          <w:tcPr>
            <w:tcW w:w="800" w:type="pct"/>
            <w:vAlign w:val="center"/>
          </w:tcPr>
          <w:p w14:paraId="26B74EDB" w14:textId="271B7FF6"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60</w:t>
            </w:r>
          </w:p>
        </w:tc>
        <w:tc>
          <w:tcPr>
            <w:tcW w:w="828" w:type="pct"/>
            <w:vAlign w:val="center"/>
          </w:tcPr>
          <w:p w14:paraId="2ABD8416" w14:textId="21379B1C"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60</w:t>
            </w:r>
          </w:p>
        </w:tc>
      </w:tr>
      <w:tr w:rsidR="00697429" w:rsidRPr="00092862" w14:paraId="05DD45F0" w14:textId="77777777" w:rsidTr="009712F8">
        <w:trPr>
          <w:trHeight w:val="248"/>
          <w:jc w:val="center"/>
        </w:trPr>
        <w:tc>
          <w:tcPr>
            <w:tcW w:w="681" w:type="pct"/>
            <w:vAlign w:val="center"/>
          </w:tcPr>
          <w:p w14:paraId="49D47D0B"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365d</w:t>
            </w:r>
          </w:p>
        </w:tc>
        <w:tc>
          <w:tcPr>
            <w:tcW w:w="891" w:type="pct"/>
            <w:vAlign w:val="center"/>
          </w:tcPr>
          <w:p w14:paraId="77CDED67" w14:textId="4E16CF1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32198387" w14:textId="69DD3285"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1.81</w:t>
            </w:r>
          </w:p>
        </w:tc>
        <w:tc>
          <w:tcPr>
            <w:tcW w:w="900" w:type="pct"/>
            <w:vAlign w:val="center"/>
          </w:tcPr>
          <w:p w14:paraId="17D7964E" w14:textId="3DBAB9AA"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1.85</w:t>
            </w:r>
          </w:p>
        </w:tc>
        <w:tc>
          <w:tcPr>
            <w:tcW w:w="800" w:type="pct"/>
            <w:vAlign w:val="center"/>
          </w:tcPr>
          <w:p w14:paraId="44ADF405" w14:textId="502D9207"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91</w:t>
            </w:r>
          </w:p>
        </w:tc>
        <w:tc>
          <w:tcPr>
            <w:tcW w:w="828" w:type="pct"/>
            <w:vAlign w:val="center"/>
          </w:tcPr>
          <w:p w14:paraId="5917EC9E" w14:textId="04C6DDD2"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91</w:t>
            </w:r>
          </w:p>
        </w:tc>
      </w:tr>
      <w:tr w:rsidR="00697429" w:rsidRPr="00092862" w14:paraId="7F32D682" w14:textId="77777777" w:rsidTr="009712F8">
        <w:trPr>
          <w:trHeight w:val="270"/>
          <w:jc w:val="center"/>
        </w:trPr>
        <w:tc>
          <w:tcPr>
            <w:tcW w:w="681" w:type="pct"/>
            <w:vAlign w:val="center"/>
          </w:tcPr>
          <w:p w14:paraId="14D0C82E"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1000d</w:t>
            </w:r>
          </w:p>
        </w:tc>
        <w:tc>
          <w:tcPr>
            <w:tcW w:w="891" w:type="pct"/>
            <w:vAlign w:val="center"/>
          </w:tcPr>
          <w:p w14:paraId="289C44D6" w14:textId="726839D1"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00" w:type="pct"/>
            <w:vAlign w:val="center"/>
          </w:tcPr>
          <w:p w14:paraId="0E097B18" w14:textId="60A66E15"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0.66</w:t>
            </w:r>
          </w:p>
        </w:tc>
        <w:tc>
          <w:tcPr>
            <w:tcW w:w="900" w:type="pct"/>
            <w:vAlign w:val="center"/>
          </w:tcPr>
          <w:p w14:paraId="1CC407C9" w14:textId="605BA019"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0.7</w:t>
            </w:r>
          </w:p>
        </w:tc>
        <w:tc>
          <w:tcPr>
            <w:tcW w:w="800" w:type="pct"/>
            <w:vAlign w:val="center"/>
          </w:tcPr>
          <w:p w14:paraId="276B691C" w14:textId="5F1E8492"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152</w:t>
            </w:r>
          </w:p>
        </w:tc>
        <w:tc>
          <w:tcPr>
            <w:tcW w:w="828" w:type="pct"/>
            <w:vAlign w:val="center"/>
          </w:tcPr>
          <w:p w14:paraId="0E8AD5A5" w14:textId="2ED2FF74"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152</w:t>
            </w:r>
          </w:p>
        </w:tc>
      </w:tr>
      <w:tr w:rsidR="00697429" w:rsidRPr="00092862" w14:paraId="40B93010" w14:textId="77777777" w:rsidTr="009712F8">
        <w:trPr>
          <w:trHeight w:val="248"/>
          <w:jc w:val="center"/>
        </w:trPr>
        <w:tc>
          <w:tcPr>
            <w:tcW w:w="681" w:type="pct"/>
            <w:vAlign w:val="center"/>
          </w:tcPr>
          <w:p w14:paraId="5C5C2293"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3650d</w:t>
            </w:r>
          </w:p>
        </w:tc>
        <w:tc>
          <w:tcPr>
            <w:tcW w:w="891" w:type="pct"/>
            <w:vAlign w:val="center"/>
          </w:tcPr>
          <w:p w14:paraId="55A74A3A" w14:textId="5A0ADCB3"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00" w:type="pct"/>
            <w:vAlign w:val="center"/>
          </w:tcPr>
          <w:p w14:paraId="0DD77155" w14:textId="48049DF2"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0.18</w:t>
            </w:r>
          </w:p>
        </w:tc>
        <w:tc>
          <w:tcPr>
            <w:tcW w:w="900" w:type="pct"/>
            <w:vAlign w:val="center"/>
          </w:tcPr>
          <w:p w14:paraId="1D2390B0" w14:textId="1940D612"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0.22</w:t>
            </w:r>
          </w:p>
        </w:tc>
        <w:tc>
          <w:tcPr>
            <w:tcW w:w="800" w:type="pct"/>
            <w:vAlign w:val="center"/>
          </w:tcPr>
          <w:p w14:paraId="78727C5C" w14:textId="54582BFF"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575</w:t>
            </w:r>
          </w:p>
        </w:tc>
        <w:tc>
          <w:tcPr>
            <w:tcW w:w="828" w:type="pct"/>
            <w:vAlign w:val="center"/>
          </w:tcPr>
          <w:p w14:paraId="0AB79AC5" w14:textId="69A8E476"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575</w:t>
            </w:r>
          </w:p>
        </w:tc>
      </w:tr>
    </w:tbl>
    <w:p w14:paraId="1B75AE01" w14:textId="33F011B3" w:rsidR="004A6D52" w:rsidRPr="00092862" w:rsidRDefault="00F63403" w:rsidP="00F63403">
      <w:pPr>
        <w:adjustRightInd w:val="0"/>
        <w:snapToGrid w:val="0"/>
        <w:rPr>
          <w:rFonts w:ascii="Times New Roman" w:eastAsia="黑体" w:hAnsi="Times New Roman" w:cs="Times New Roman"/>
          <w:color w:val="000000" w:themeColor="text1"/>
          <w:szCs w:val="24"/>
        </w:rPr>
      </w:pPr>
      <w:r w:rsidRPr="00092862">
        <w:rPr>
          <w:rFonts w:ascii="Times New Roman" w:eastAsia="黑体" w:hAnsi="Times New Roman" w:cs="Times New Roman"/>
          <w:noProof/>
          <w:color w:val="000000" w:themeColor="text1"/>
          <w:szCs w:val="24"/>
        </w:rPr>
        <w:lastRenderedPageBreak/>
        <w:drawing>
          <wp:inline distT="0" distB="0" distL="0" distR="0" wp14:anchorId="11F07A7A" wp14:editId="6FDD1BBF">
            <wp:extent cx="2683732" cy="1614115"/>
            <wp:effectExtent l="0" t="0" r="2540" b="5715"/>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93199" cy="1619809"/>
                    </a:xfrm>
                    <a:prstGeom prst="rect">
                      <a:avLst/>
                    </a:prstGeom>
                    <a:noFill/>
                    <a:ln>
                      <a:noFill/>
                    </a:ln>
                  </pic:spPr>
                </pic:pic>
              </a:graphicData>
            </a:graphic>
          </wp:inline>
        </w:drawing>
      </w:r>
      <w:r w:rsidRPr="00092862">
        <w:rPr>
          <w:rFonts w:ascii="Times New Roman" w:eastAsia="黑体" w:hAnsi="Times New Roman" w:cs="Times New Roman"/>
          <w:noProof/>
          <w:color w:val="000000" w:themeColor="text1"/>
          <w:szCs w:val="24"/>
        </w:rPr>
        <w:drawing>
          <wp:inline distT="0" distB="0" distL="0" distR="0" wp14:anchorId="50F18BC9" wp14:editId="00851D81">
            <wp:extent cx="2544269" cy="1578610"/>
            <wp:effectExtent l="0" t="0" r="8890" b="2540"/>
            <wp:docPr id="1829" name="图片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56262" cy="1586051"/>
                    </a:xfrm>
                    <a:prstGeom prst="rect">
                      <a:avLst/>
                    </a:prstGeom>
                    <a:noFill/>
                    <a:ln>
                      <a:noFill/>
                    </a:ln>
                  </pic:spPr>
                </pic:pic>
              </a:graphicData>
            </a:graphic>
          </wp:inline>
        </w:drawing>
      </w:r>
    </w:p>
    <w:p w14:paraId="0CA12E30" w14:textId="3E1080FD" w:rsidR="00F80DBA" w:rsidRPr="00092862" w:rsidRDefault="00F80DBA" w:rsidP="00F80DBA">
      <w:pPr>
        <w:adjustRightInd w:val="0"/>
        <w:snapToGrid w:val="0"/>
        <w:jc w:val="center"/>
        <w:rPr>
          <w:rFonts w:ascii="Times New Roman" w:hAnsi="Times New Roman" w:cs="Times New Roman"/>
          <w:bCs/>
          <w:color w:val="000000" w:themeColor="text1"/>
          <w:szCs w:val="21"/>
        </w:rPr>
      </w:pPr>
    </w:p>
    <w:p w14:paraId="1E75A867" w14:textId="77777777" w:rsidR="00F80DBA" w:rsidRPr="00092862" w:rsidRDefault="00F80DBA" w:rsidP="00F80DBA">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100d                                                                 365d</w:t>
      </w:r>
    </w:p>
    <w:p w14:paraId="22CA3D67" w14:textId="3D2F90C4" w:rsidR="00F80DBA" w:rsidRPr="00092862" w:rsidRDefault="00F63403" w:rsidP="00F63403">
      <w:pPr>
        <w:pStyle w:val="af0"/>
        <w:adjustRightInd w:val="0"/>
        <w:snapToGrid w:val="0"/>
        <w:jc w:val="left"/>
        <w:rPr>
          <w:rFonts w:ascii="Times New Roman" w:hAnsi="Times New Roman"/>
          <w:bCs/>
          <w:color w:val="000000" w:themeColor="text1"/>
          <w:sz w:val="21"/>
          <w:szCs w:val="21"/>
        </w:rPr>
      </w:pPr>
      <w:r w:rsidRPr="00092862">
        <w:rPr>
          <w:rFonts w:ascii="Times New Roman" w:hAnsi="Times New Roman"/>
          <w:bCs/>
          <w:noProof/>
          <w:color w:val="000000" w:themeColor="text1"/>
          <w:sz w:val="21"/>
          <w:szCs w:val="21"/>
        </w:rPr>
        <w:drawing>
          <wp:inline distT="0" distB="0" distL="0" distR="0" wp14:anchorId="08C2752E" wp14:editId="3C067C90">
            <wp:extent cx="2576222" cy="1590995"/>
            <wp:effectExtent l="0" t="0" r="0" b="9525"/>
            <wp:docPr id="1830" name="图片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84475" cy="1596092"/>
                    </a:xfrm>
                    <a:prstGeom prst="rect">
                      <a:avLst/>
                    </a:prstGeom>
                    <a:noFill/>
                    <a:ln>
                      <a:noFill/>
                    </a:ln>
                  </pic:spPr>
                </pic:pic>
              </a:graphicData>
            </a:graphic>
          </wp:inline>
        </w:drawing>
      </w:r>
      <w:r w:rsidRPr="00092862">
        <w:rPr>
          <w:rFonts w:ascii="Times New Roman" w:hAnsi="Times New Roman"/>
          <w:bCs/>
          <w:noProof/>
          <w:color w:val="000000" w:themeColor="text1"/>
          <w:sz w:val="21"/>
          <w:szCs w:val="21"/>
        </w:rPr>
        <w:drawing>
          <wp:inline distT="0" distB="0" distL="0" distR="0" wp14:anchorId="06D54748" wp14:editId="22F74C1B">
            <wp:extent cx="2560320" cy="1573780"/>
            <wp:effectExtent l="0" t="0" r="0" b="7620"/>
            <wp:docPr id="1831" name="图片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79626" cy="1585647"/>
                    </a:xfrm>
                    <a:prstGeom prst="rect">
                      <a:avLst/>
                    </a:prstGeom>
                    <a:noFill/>
                    <a:ln>
                      <a:noFill/>
                    </a:ln>
                  </pic:spPr>
                </pic:pic>
              </a:graphicData>
            </a:graphic>
          </wp:inline>
        </w:drawing>
      </w:r>
    </w:p>
    <w:p w14:paraId="43A264EB" w14:textId="77777777" w:rsidR="00F80DBA" w:rsidRPr="00092862" w:rsidRDefault="00F80DBA" w:rsidP="00F80DBA">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1000d                                                                       3650d</w:t>
      </w:r>
    </w:p>
    <w:p w14:paraId="480676AB" w14:textId="55161624" w:rsidR="004A6D52" w:rsidRPr="00092862" w:rsidRDefault="004A6D52" w:rsidP="008C28E1">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F80DBA" w:rsidRPr="00092862">
        <w:rPr>
          <w:rFonts w:ascii="Times New Roman" w:eastAsia="黑体" w:hAnsi="Times New Roman" w:cs="Times New Roman"/>
          <w:color w:val="000000" w:themeColor="text1"/>
          <w:szCs w:val="21"/>
        </w:rPr>
        <w:t>5.</w:t>
      </w:r>
      <w:r w:rsidR="00CA20DF"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w:t>
      </w:r>
      <w:r w:rsidR="008C28E1" w:rsidRPr="00092862">
        <w:rPr>
          <w:rFonts w:ascii="Times New Roman" w:eastAsia="黑体" w:hAnsi="Times New Roman" w:cs="Times New Roman"/>
          <w:color w:val="000000" w:themeColor="text1"/>
          <w:szCs w:val="21"/>
        </w:rPr>
        <w:t xml:space="preserve">5 </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压裂过程中井筒破裂不同预测时间石油类贡献值与距离浓度关系图</w:t>
      </w:r>
    </w:p>
    <w:p w14:paraId="23623533" w14:textId="20474D14" w:rsidR="004A6D52" w:rsidRPr="00092862" w:rsidRDefault="004A6D52" w:rsidP="00CF68B9">
      <w:pPr>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地下水中氯离子的超标及影响距离计算结果见表</w:t>
      </w:r>
      <w:r w:rsidR="00F80DBA"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F80DBA" w:rsidRPr="00092862">
        <w:rPr>
          <w:rFonts w:ascii="Times New Roman" w:eastAsia="宋体" w:hAnsi="Times New Roman" w:cs="Times New Roman"/>
          <w:color w:val="000000" w:themeColor="text1"/>
          <w:sz w:val="24"/>
          <w:szCs w:val="24"/>
        </w:rPr>
        <w:t>8</w:t>
      </w:r>
      <w:r w:rsidRPr="00092862">
        <w:rPr>
          <w:rFonts w:ascii="Times New Roman" w:eastAsia="宋体" w:hAnsi="Times New Roman" w:cs="Times New Roman"/>
          <w:color w:val="000000" w:themeColor="text1"/>
          <w:sz w:val="24"/>
          <w:szCs w:val="24"/>
        </w:rPr>
        <w:t>及图</w:t>
      </w:r>
      <w:r w:rsidR="00F80DBA" w:rsidRPr="00092862">
        <w:rPr>
          <w:rFonts w:ascii="Times New Roman" w:eastAsia="宋体" w:hAnsi="Times New Roman" w:cs="Times New Roman"/>
          <w:color w:val="000000" w:themeColor="text1"/>
          <w:sz w:val="24"/>
          <w:szCs w:val="24"/>
        </w:rPr>
        <w:t>5.</w:t>
      </w:r>
      <w:r w:rsidR="00CA20DF"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r w:rsidR="008C28E1"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w:t>
      </w:r>
    </w:p>
    <w:p w14:paraId="099FAE83" w14:textId="33AD233B"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E946C3" w:rsidRPr="00092862">
        <w:rPr>
          <w:rFonts w:ascii="Times New Roman" w:eastAsia="黑体" w:hAnsi="Times New Roman"/>
          <w:color w:val="000000" w:themeColor="text1"/>
          <w:sz w:val="21"/>
          <w:szCs w:val="21"/>
          <w:lang w:eastAsia="zh-CN"/>
        </w:rPr>
        <w:t>5.</w:t>
      </w:r>
      <w:r w:rsidR="00CA20DF"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w:t>
      </w:r>
      <w:r w:rsidR="00F80DBA"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压裂过程中井筒破裂地下水中氯离子超标及影响距离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69"/>
        <w:gridCol w:w="1524"/>
        <w:gridCol w:w="1524"/>
        <w:gridCol w:w="1524"/>
        <w:gridCol w:w="1355"/>
        <w:gridCol w:w="1404"/>
      </w:tblGrid>
      <w:tr w:rsidR="00697429" w:rsidRPr="00092862" w14:paraId="45017608" w14:textId="77777777" w:rsidTr="00566A95">
        <w:trPr>
          <w:trHeight w:val="590"/>
          <w:jc w:val="center"/>
        </w:trPr>
        <w:tc>
          <w:tcPr>
            <w:tcW w:w="584" w:type="pct"/>
            <w:vAlign w:val="center"/>
          </w:tcPr>
          <w:p w14:paraId="4DF687EB" w14:textId="77777777" w:rsidR="00566A95" w:rsidRPr="00092862" w:rsidRDefault="00566A95"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污染时间</w:t>
            </w:r>
          </w:p>
        </w:tc>
        <w:tc>
          <w:tcPr>
            <w:tcW w:w="918" w:type="pct"/>
            <w:vAlign w:val="center"/>
          </w:tcPr>
          <w:p w14:paraId="05C92248" w14:textId="77777777" w:rsidR="00566A95" w:rsidRPr="00092862" w:rsidRDefault="00566A95"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中心点迁移距离（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918" w:type="pct"/>
            <w:vAlign w:val="center"/>
          </w:tcPr>
          <w:p w14:paraId="1034EAD1" w14:textId="77777777" w:rsidR="00566A95" w:rsidRPr="00092862" w:rsidRDefault="00566A95"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中心点处浓度（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918" w:type="pct"/>
            <w:vAlign w:val="center"/>
          </w:tcPr>
          <w:p w14:paraId="5921126A" w14:textId="77777777" w:rsidR="00566A95" w:rsidRPr="00092862" w:rsidRDefault="00566A95"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叠加后浓度（</w:t>
            </w:r>
            <w:r w:rsidRPr="00092862">
              <w:rPr>
                <w:rFonts w:ascii="Times New Roman" w:eastAsia="宋体" w:hAnsi="Times New Roman" w:cs="Times New Roman"/>
                <w:b/>
                <w:color w:val="000000" w:themeColor="text1"/>
                <w:szCs w:val="21"/>
              </w:rPr>
              <w:t>mg/L</w:t>
            </w:r>
            <w:r w:rsidRPr="00092862">
              <w:rPr>
                <w:rFonts w:ascii="Times New Roman" w:eastAsia="宋体" w:hAnsi="Times New Roman" w:cs="Times New Roman"/>
                <w:b/>
                <w:color w:val="000000" w:themeColor="text1"/>
                <w:szCs w:val="21"/>
              </w:rPr>
              <w:t>）</w:t>
            </w:r>
          </w:p>
        </w:tc>
        <w:tc>
          <w:tcPr>
            <w:tcW w:w="816" w:type="pct"/>
            <w:vAlign w:val="center"/>
          </w:tcPr>
          <w:p w14:paraId="64CC5914" w14:textId="77777777" w:rsidR="00566A95" w:rsidRPr="00092862" w:rsidRDefault="00566A95"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最远超标距离（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c>
          <w:tcPr>
            <w:tcW w:w="846" w:type="pct"/>
            <w:vAlign w:val="center"/>
          </w:tcPr>
          <w:p w14:paraId="3451E66B" w14:textId="77777777" w:rsidR="00566A95" w:rsidRPr="00092862" w:rsidRDefault="00566A95" w:rsidP="004A6D52">
            <w:pPr>
              <w:adjustRightInd w:val="0"/>
              <w:snapToGrid w:val="0"/>
              <w:jc w:val="center"/>
              <w:rPr>
                <w:rFonts w:ascii="Times New Roman" w:eastAsia="宋体" w:hAnsi="Times New Roman" w:cs="Times New Roman"/>
                <w:b/>
                <w:color w:val="000000" w:themeColor="text1"/>
                <w:szCs w:val="21"/>
              </w:rPr>
            </w:pPr>
            <w:r w:rsidRPr="00092862">
              <w:rPr>
                <w:rFonts w:ascii="Times New Roman" w:eastAsia="宋体" w:hAnsi="Times New Roman" w:cs="Times New Roman"/>
                <w:b/>
                <w:color w:val="000000" w:themeColor="text1"/>
                <w:szCs w:val="21"/>
              </w:rPr>
              <w:t>最远影响距离（</w:t>
            </w:r>
            <w:r w:rsidRPr="00092862">
              <w:rPr>
                <w:rFonts w:ascii="Times New Roman" w:eastAsia="宋体" w:hAnsi="Times New Roman" w:cs="Times New Roman"/>
                <w:b/>
                <w:color w:val="000000" w:themeColor="text1"/>
                <w:szCs w:val="21"/>
              </w:rPr>
              <w:t>m</w:t>
            </w:r>
            <w:r w:rsidRPr="00092862">
              <w:rPr>
                <w:rFonts w:ascii="Times New Roman" w:eastAsia="宋体" w:hAnsi="Times New Roman" w:cs="Times New Roman"/>
                <w:b/>
                <w:color w:val="000000" w:themeColor="text1"/>
                <w:szCs w:val="21"/>
              </w:rPr>
              <w:t>）</w:t>
            </w:r>
          </w:p>
        </w:tc>
      </w:tr>
      <w:tr w:rsidR="00697429" w:rsidRPr="00092862" w14:paraId="0615F289" w14:textId="77777777" w:rsidTr="00566A95">
        <w:trPr>
          <w:trHeight w:val="270"/>
          <w:jc w:val="center"/>
        </w:trPr>
        <w:tc>
          <w:tcPr>
            <w:tcW w:w="584" w:type="pct"/>
            <w:vAlign w:val="center"/>
          </w:tcPr>
          <w:p w14:paraId="6419DE9B"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100d</w:t>
            </w:r>
          </w:p>
        </w:tc>
        <w:tc>
          <w:tcPr>
            <w:tcW w:w="918" w:type="pct"/>
            <w:vAlign w:val="center"/>
          </w:tcPr>
          <w:p w14:paraId="4F7DC802" w14:textId="6CE83489"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18" w:type="pct"/>
            <w:vAlign w:val="center"/>
          </w:tcPr>
          <w:p w14:paraId="276EDD8E" w14:textId="42741CBA"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132.3</w:t>
            </w:r>
          </w:p>
        </w:tc>
        <w:tc>
          <w:tcPr>
            <w:tcW w:w="918" w:type="pct"/>
            <w:vAlign w:val="center"/>
          </w:tcPr>
          <w:p w14:paraId="6336487B" w14:textId="281A42EA"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156.7</w:t>
            </w:r>
          </w:p>
        </w:tc>
        <w:tc>
          <w:tcPr>
            <w:tcW w:w="816" w:type="pct"/>
            <w:vAlign w:val="center"/>
          </w:tcPr>
          <w:p w14:paraId="348783DB" w14:textId="693E1D25"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46" w:type="pct"/>
            <w:vAlign w:val="center"/>
          </w:tcPr>
          <w:p w14:paraId="472F8BE0" w14:textId="5D834930"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33</w:t>
            </w:r>
          </w:p>
        </w:tc>
      </w:tr>
      <w:tr w:rsidR="00697429" w:rsidRPr="00092862" w14:paraId="6C78F3F1" w14:textId="77777777" w:rsidTr="00566A95">
        <w:trPr>
          <w:trHeight w:val="248"/>
          <w:jc w:val="center"/>
        </w:trPr>
        <w:tc>
          <w:tcPr>
            <w:tcW w:w="584" w:type="pct"/>
            <w:vAlign w:val="center"/>
          </w:tcPr>
          <w:p w14:paraId="1306234D"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365d</w:t>
            </w:r>
          </w:p>
        </w:tc>
        <w:tc>
          <w:tcPr>
            <w:tcW w:w="918" w:type="pct"/>
            <w:vAlign w:val="center"/>
          </w:tcPr>
          <w:p w14:paraId="6D84F6EB" w14:textId="2C92279E"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18" w:type="pct"/>
            <w:vAlign w:val="center"/>
          </w:tcPr>
          <w:p w14:paraId="21018D2F" w14:textId="2A3EEE59"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36.3</w:t>
            </w:r>
          </w:p>
        </w:tc>
        <w:tc>
          <w:tcPr>
            <w:tcW w:w="918" w:type="pct"/>
            <w:vAlign w:val="center"/>
          </w:tcPr>
          <w:p w14:paraId="539208A2" w14:textId="24A627D9" w:rsidR="00AB2FA6" w:rsidRPr="00092862" w:rsidRDefault="00F63403"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60.7</w:t>
            </w:r>
          </w:p>
        </w:tc>
        <w:tc>
          <w:tcPr>
            <w:tcW w:w="816" w:type="pct"/>
            <w:vAlign w:val="center"/>
          </w:tcPr>
          <w:p w14:paraId="24621069"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46" w:type="pct"/>
            <w:vAlign w:val="center"/>
          </w:tcPr>
          <w:p w14:paraId="169BA796" w14:textId="1631A671" w:rsidR="00AB2FA6" w:rsidRPr="00092862" w:rsidRDefault="00F63403"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r w:rsidR="00697429" w:rsidRPr="00092862" w14:paraId="1B20034F" w14:textId="77777777" w:rsidTr="00566A95">
        <w:trPr>
          <w:trHeight w:val="270"/>
          <w:jc w:val="center"/>
        </w:trPr>
        <w:tc>
          <w:tcPr>
            <w:tcW w:w="584" w:type="pct"/>
            <w:vAlign w:val="center"/>
          </w:tcPr>
          <w:p w14:paraId="77334535"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1000d</w:t>
            </w:r>
          </w:p>
        </w:tc>
        <w:tc>
          <w:tcPr>
            <w:tcW w:w="918" w:type="pct"/>
            <w:vAlign w:val="center"/>
          </w:tcPr>
          <w:p w14:paraId="04F2E863" w14:textId="5FBA594F"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117</w:t>
            </w:r>
          </w:p>
        </w:tc>
        <w:tc>
          <w:tcPr>
            <w:tcW w:w="918" w:type="pct"/>
            <w:vAlign w:val="center"/>
          </w:tcPr>
          <w:p w14:paraId="75C9C141" w14:textId="2D54F649" w:rsidR="00AB2FA6" w:rsidRPr="00092862" w:rsidRDefault="0063005D"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13.2</w:t>
            </w:r>
          </w:p>
        </w:tc>
        <w:tc>
          <w:tcPr>
            <w:tcW w:w="918" w:type="pct"/>
            <w:vAlign w:val="center"/>
          </w:tcPr>
          <w:p w14:paraId="5807C9A8" w14:textId="58B48AA7" w:rsidR="00AB2FA6" w:rsidRPr="00092862" w:rsidRDefault="0063005D"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37.6</w:t>
            </w:r>
          </w:p>
        </w:tc>
        <w:tc>
          <w:tcPr>
            <w:tcW w:w="816" w:type="pct"/>
            <w:vAlign w:val="center"/>
          </w:tcPr>
          <w:p w14:paraId="3DD0135D"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46" w:type="pct"/>
            <w:vAlign w:val="center"/>
          </w:tcPr>
          <w:p w14:paraId="40D3DF08" w14:textId="3911103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r w:rsidR="00697429" w:rsidRPr="00092862" w14:paraId="58A7D141" w14:textId="77777777" w:rsidTr="00566A95">
        <w:trPr>
          <w:trHeight w:val="248"/>
          <w:jc w:val="center"/>
        </w:trPr>
        <w:tc>
          <w:tcPr>
            <w:tcW w:w="584" w:type="pct"/>
            <w:vAlign w:val="center"/>
          </w:tcPr>
          <w:p w14:paraId="362BB987"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3650d</w:t>
            </w:r>
          </w:p>
        </w:tc>
        <w:tc>
          <w:tcPr>
            <w:tcW w:w="918" w:type="pct"/>
            <w:vAlign w:val="center"/>
          </w:tcPr>
          <w:p w14:paraId="467942FD" w14:textId="421E86B8"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427</w:t>
            </w:r>
          </w:p>
        </w:tc>
        <w:tc>
          <w:tcPr>
            <w:tcW w:w="918" w:type="pct"/>
            <w:vAlign w:val="center"/>
          </w:tcPr>
          <w:p w14:paraId="350BC0AC" w14:textId="5087E82C" w:rsidR="00AB2FA6" w:rsidRPr="00092862" w:rsidRDefault="0063005D"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3.63</w:t>
            </w:r>
          </w:p>
        </w:tc>
        <w:tc>
          <w:tcPr>
            <w:tcW w:w="918" w:type="pct"/>
            <w:vAlign w:val="center"/>
          </w:tcPr>
          <w:p w14:paraId="1EEB5B61" w14:textId="0D238BBC" w:rsidR="00AB2FA6" w:rsidRPr="00092862" w:rsidRDefault="0063005D" w:rsidP="00AB2FA6">
            <w:pPr>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28.03</w:t>
            </w:r>
          </w:p>
        </w:tc>
        <w:tc>
          <w:tcPr>
            <w:tcW w:w="816" w:type="pct"/>
            <w:vAlign w:val="center"/>
          </w:tcPr>
          <w:p w14:paraId="461D6A5C"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c>
          <w:tcPr>
            <w:tcW w:w="846" w:type="pct"/>
            <w:vAlign w:val="center"/>
          </w:tcPr>
          <w:p w14:paraId="42C347D7" w14:textId="77777777" w:rsidR="00AB2FA6" w:rsidRPr="00092862" w:rsidRDefault="00AB2FA6" w:rsidP="00AB2FA6">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w:t>
            </w:r>
          </w:p>
        </w:tc>
      </w:tr>
    </w:tbl>
    <w:p w14:paraId="391395C3" w14:textId="2846AE2B" w:rsidR="00F80DBA" w:rsidRPr="00092862" w:rsidRDefault="00F63403" w:rsidP="00F63403">
      <w:pPr>
        <w:adjustRightInd w:val="0"/>
        <w:snapToGrid w:val="0"/>
        <w:rPr>
          <w:rFonts w:ascii="Times New Roman" w:hAnsi="Times New Roman" w:cs="Times New Roman"/>
          <w:bCs/>
          <w:color w:val="000000" w:themeColor="text1"/>
          <w:szCs w:val="21"/>
        </w:rPr>
      </w:pPr>
      <w:r w:rsidRPr="00092862">
        <w:rPr>
          <w:rFonts w:ascii="Times New Roman" w:hAnsi="Times New Roman" w:cs="Times New Roman"/>
          <w:bCs/>
          <w:noProof/>
          <w:color w:val="000000" w:themeColor="text1"/>
          <w:szCs w:val="21"/>
        </w:rPr>
        <w:drawing>
          <wp:inline distT="0" distB="0" distL="0" distR="0" wp14:anchorId="5B9C135C" wp14:editId="5C069620">
            <wp:extent cx="2642857" cy="1630238"/>
            <wp:effectExtent l="0" t="0" r="5715" b="8255"/>
            <wp:docPr id="1832" name="图片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55279" cy="1637900"/>
                    </a:xfrm>
                    <a:prstGeom prst="rect">
                      <a:avLst/>
                    </a:prstGeom>
                    <a:noFill/>
                    <a:ln>
                      <a:noFill/>
                    </a:ln>
                  </pic:spPr>
                </pic:pic>
              </a:graphicData>
            </a:graphic>
          </wp:inline>
        </w:drawing>
      </w:r>
      <w:r w:rsidRPr="00092862">
        <w:rPr>
          <w:rFonts w:ascii="Times New Roman" w:hAnsi="Times New Roman" w:cs="Times New Roman"/>
          <w:bCs/>
          <w:noProof/>
          <w:color w:val="000000" w:themeColor="text1"/>
          <w:szCs w:val="21"/>
        </w:rPr>
        <w:drawing>
          <wp:inline distT="0" distB="0" distL="0" distR="0" wp14:anchorId="1077FDC9" wp14:editId="3C04BA1A">
            <wp:extent cx="2475830" cy="1540317"/>
            <wp:effectExtent l="0" t="0" r="1270" b="3175"/>
            <wp:docPr id="1833" name="图片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99949" cy="1555322"/>
                    </a:xfrm>
                    <a:prstGeom prst="rect">
                      <a:avLst/>
                    </a:prstGeom>
                    <a:noFill/>
                    <a:ln>
                      <a:noFill/>
                    </a:ln>
                  </pic:spPr>
                </pic:pic>
              </a:graphicData>
            </a:graphic>
          </wp:inline>
        </w:drawing>
      </w:r>
    </w:p>
    <w:p w14:paraId="3F6529F0" w14:textId="6AEC71E6" w:rsidR="00F80DBA" w:rsidRPr="00092862" w:rsidRDefault="00F80DBA" w:rsidP="00F80DBA">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100d                                                                 365d</w:t>
      </w:r>
    </w:p>
    <w:p w14:paraId="0BDA8091" w14:textId="77777777" w:rsidR="008C28E1" w:rsidRPr="00092862" w:rsidRDefault="008C28E1" w:rsidP="008C28E1">
      <w:pPr>
        <w:rPr>
          <w:rFonts w:ascii="Times New Roman" w:hAnsi="Times New Roman" w:cs="Times New Roman"/>
          <w:color w:val="000000" w:themeColor="text1"/>
        </w:rPr>
      </w:pPr>
    </w:p>
    <w:p w14:paraId="2706BCB2" w14:textId="782369D5" w:rsidR="00F80DBA" w:rsidRPr="00092862" w:rsidRDefault="0063005D" w:rsidP="0063005D">
      <w:pPr>
        <w:pStyle w:val="af0"/>
        <w:adjustRightInd w:val="0"/>
        <w:snapToGrid w:val="0"/>
        <w:jc w:val="left"/>
        <w:rPr>
          <w:rFonts w:ascii="Times New Roman" w:hAnsi="Times New Roman"/>
          <w:bCs/>
          <w:color w:val="000000" w:themeColor="text1"/>
          <w:sz w:val="21"/>
          <w:szCs w:val="21"/>
        </w:rPr>
      </w:pPr>
      <w:r w:rsidRPr="00092862">
        <w:rPr>
          <w:rFonts w:ascii="Times New Roman" w:hAnsi="Times New Roman"/>
          <w:bCs/>
          <w:noProof/>
          <w:color w:val="000000" w:themeColor="text1"/>
          <w:sz w:val="21"/>
          <w:szCs w:val="21"/>
        </w:rPr>
        <w:lastRenderedPageBreak/>
        <w:drawing>
          <wp:inline distT="0" distB="0" distL="0" distR="0" wp14:anchorId="2A6C535A" wp14:editId="27048F82">
            <wp:extent cx="2687541" cy="1640661"/>
            <wp:effectExtent l="0" t="0" r="0" b="0"/>
            <wp:docPr id="1834" name="图片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92701" cy="1643811"/>
                    </a:xfrm>
                    <a:prstGeom prst="rect">
                      <a:avLst/>
                    </a:prstGeom>
                    <a:noFill/>
                    <a:ln>
                      <a:noFill/>
                    </a:ln>
                  </pic:spPr>
                </pic:pic>
              </a:graphicData>
            </a:graphic>
          </wp:inline>
        </w:drawing>
      </w:r>
      <w:r w:rsidRPr="00092862">
        <w:rPr>
          <w:rFonts w:ascii="Times New Roman" w:hAnsi="Times New Roman"/>
          <w:bCs/>
          <w:noProof/>
          <w:color w:val="000000" w:themeColor="text1"/>
          <w:sz w:val="21"/>
          <w:szCs w:val="21"/>
        </w:rPr>
        <w:drawing>
          <wp:inline distT="0" distB="0" distL="0" distR="0" wp14:anchorId="1CC8409A" wp14:editId="4B5DD335">
            <wp:extent cx="2512612" cy="1535687"/>
            <wp:effectExtent l="0" t="0" r="2540" b="7620"/>
            <wp:docPr id="1835" name="图片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2858" cy="1541949"/>
                    </a:xfrm>
                    <a:prstGeom prst="rect">
                      <a:avLst/>
                    </a:prstGeom>
                    <a:noFill/>
                    <a:ln>
                      <a:noFill/>
                    </a:ln>
                  </pic:spPr>
                </pic:pic>
              </a:graphicData>
            </a:graphic>
          </wp:inline>
        </w:drawing>
      </w:r>
    </w:p>
    <w:p w14:paraId="4881D0B4" w14:textId="77777777" w:rsidR="00F80DBA" w:rsidRPr="00092862" w:rsidRDefault="00F80DBA" w:rsidP="00F80DBA">
      <w:pPr>
        <w:pStyle w:val="af0"/>
        <w:adjustRightInd w:val="0"/>
        <w:snapToGrid w:val="0"/>
        <w:jc w:val="center"/>
        <w:rPr>
          <w:rFonts w:ascii="Times New Roman" w:hAnsi="Times New Roman"/>
          <w:bCs/>
          <w:color w:val="000000" w:themeColor="text1"/>
          <w:sz w:val="21"/>
          <w:szCs w:val="21"/>
        </w:rPr>
      </w:pPr>
      <w:r w:rsidRPr="00092862">
        <w:rPr>
          <w:rFonts w:ascii="Times New Roman" w:hAnsi="Times New Roman"/>
          <w:bCs/>
          <w:color w:val="000000" w:themeColor="text1"/>
          <w:sz w:val="21"/>
          <w:szCs w:val="21"/>
        </w:rPr>
        <w:t>1000d                                                                       3650d</w:t>
      </w:r>
    </w:p>
    <w:p w14:paraId="373073A4" w14:textId="2AD2B073" w:rsidR="004A6D52" w:rsidRPr="00092862" w:rsidRDefault="004A6D52" w:rsidP="008C28E1">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F80DBA" w:rsidRPr="00092862">
        <w:rPr>
          <w:rFonts w:ascii="Times New Roman" w:eastAsia="黑体" w:hAnsi="Times New Roman" w:cs="Times New Roman"/>
          <w:color w:val="000000" w:themeColor="text1"/>
          <w:szCs w:val="21"/>
        </w:rPr>
        <w:t>5.</w:t>
      </w:r>
      <w:r w:rsidR="00CA20DF"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w:t>
      </w:r>
      <w:r w:rsidR="008C28E1" w:rsidRPr="00092862">
        <w:rPr>
          <w:rFonts w:ascii="Times New Roman" w:eastAsia="黑体" w:hAnsi="Times New Roman" w:cs="Times New Roman"/>
          <w:color w:val="000000" w:themeColor="text1"/>
          <w:szCs w:val="21"/>
        </w:rPr>
        <w:t>6</w:t>
      </w:r>
      <w:r w:rsidRPr="00092862">
        <w:rPr>
          <w:rFonts w:ascii="Times New Roman" w:eastAsia="黑体" w:hAnsi="Times New Roman" w:cs="Times New Roman"/>
          <w:color w:val="000000" w:themeColor="text1"/>
          <w:szCs w:val="21"/>
        </w:rPr>
        <w:t xml:space="preserve"> </w:t>
      </w:r>
      <w:r w:rsidR="00F80DBA"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井筒破裂不同预测时间氯离子贡献值与距离大小关系图</w:t>
      </w:r>
    </w:p>
    <w:p w14:paraId="5A9C6323" w14:textId="77777777" w:rsidR="004A6D52" w:rsidRPr="00092862" w:rsidRDefault="004C730C" w:rsidP="00CF68B9">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bookmarkStart w:id="251" w:name="_Toc78877615"/>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5</w:t>
      </w:r>
      <w:r w:rsidRPr="00092862">
        <w:rPr>
          <w:rFonts w:ascii="Times New Roman" w:eastAsia="宋体" w:hAnsi="Times New Roman" w:cs="Times New Roman"/>
          <w:b/>
          <w:bCs/>
          <w:color w:val="000000" w:themeColor="text1"/>
          <w:sz w:val="24"/>
          <w:szCs w:val="24"/>
        </w:rPr>
        <w:t>）</w:t>
      </w:r>
      <w:r w:rsidR="004A6D52" w:rsidRPr="00092862">
        <w:rPr>
          <w:rFonts w:ascii="Times New Roman" w:eastAsia="宋体" w:hAnsi="Times New Roman" w:cs="Times New Roman"/>
          <w:b/>
          <w:bCs/>
          <w:color w:val="000000" w:themeColor="text1"/>
          <w:sz w:val="24"/>
          <w:szCs w:val="24"/>
        </w:rPr>
        <w:t>地下水影响评价</w:t>
      </w:r>
      <w:bookmarkEnd w:id="251"/>
    </w:p>
    <w:bookmarkEnd w:id="248"/>
    <w:bookmarkEnd w:id="249"/>
    <w:bookmarkEnd w:id="250"/>
    <w:p w14:paraId="3C940AD5" w14:textId="77777777"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）放喷池池体破裂</w:t>
      </w:r>
    </w:p>
    <w:p w14:paraId="16707468" w14:textId="19DA6E13"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在放喷池池体破裂</w:t>
      </w:r>
      <w:r w:rsidR="001B7E99" w:rsidRPr="00092862">
        <w:rPr>
          <w:rFonts w:ascii="Times New Roman" w:eastAsia="宋体" w:hAnsi="Times New Roman" w:cs="Times New Roman"/>
          <w:color w:val="000000" w:themeColor="text1"/>
          <w:sz w:val="24"/>
          <w:szCs w:val="24"/>
        </w:rPr>
        <w:t>365</w:t>
      </w:r>
      <w:r w:rsidR="00CB0D0A" w:rsidRPr="00092862">
        <w:rPr>
          <w:rFonts w:ascii="Times New Roman" w:eastAsia="宋体" w:hAnsi="Times New Roman" w:cs="Times New Roman"/>
          <w:color w:val="000000" w:themeColor="text1"/>
          <w:sz w:val="24"/>
          <w:szCs w:val="24"/>
        </w:rPr>
        <w:t>d</w:t>
      </w:r>
      <w:r w:rsidR="00CB0D0A" w:rsidRPr="00092862">
        <w:rPr>
          <w:rFonts w:ascii="Times New Roman" w:eastAsia="宋体" w:hAnsi="Times New Roman" w:cs="Times New Roman"/>
          <w:color w:val="000000" w:themeColor="text1"/>
          <w:sz w:val="24"/>
          <w:szCs w:val="24"/>
        </w:rPr>
        <w:t>时最远超标距离为下游</w:t>
      </w:r>
      <w:r w:rsidR="003B49A8" w:rsidRPr="00092862">
        <w:rPr>
          <w:rFonts w:ascii="Times New Roman" w:eastAsia="宋体" w:hAnsi="Times New Roman" w:cs="Times New Roman"/>
          <w:color w:val="000000" w:themeColor="text1"/>
          <w:sz w:val="24"/>
          <w:szCs w:val="24"/>
        </w:rPr>
        <w:t>55</w:t>
      </w:r>
      <w:r w:rsidR="00CB0D0A" w:rsidRPr="00092862">
        <w:rPr>
          <w:rFonts w:ascii="Times New Roman" w:eastAsia="宋体" w:hAnsi="Times New Roman" w:cs="Times New Roman"/>
          <w:color w:val="000000" w:themeColor="text1"/>
          <w:sz w:val="24"/>
          <w:szCs w:val="24"/>
        </w:rPr>
        <w:t>m</w:t>
      </w:r>
      <w:r w:rsidR="00CB0D0A" w:rsidRPr="00092862">
        <w:rPr>
          <w:rFonts w:ascii="Times New Roman" w:eastAsia="宋体" w:hAnsi="Times New Roman" w:cs="Times New Roman"/>
          <w:color w:val="000000" w:themeColor="text1"/>
          <w:sz w:val="24"/>
          <w:szCs w:val="24"/>
        </w:rPr>
        <w:t>，</w:t>
      </w:r>
      <w:r w:rsidR="001B7E99" w:rsidRPr="00092862">
        <w:rPr>
          <w:rFonts w:ascii="Times New Roman" w:eastAsia="宋体" w:hAnsi="Times New Roman" w:cs="Times New Roman"/>
          <w:color w:val="000000" w:themeColor="text1"/>
          <w:sz w:val="24"/>
          <w:szCs w:val="24"/>
        </w:rPr>
        <w:t>最高浓度为</w:t>
      </w:r>
      <w:r w:rsidR="008A188D" w:rsidRPr="00092862">
        <w:rPr>
          <w:rFonts w:ascii="Times New Roman" w:eastAsia="宋体" w:hAnsi="Times New Roman" w:cs="Times New Roman"/>
          <w:bCs/>
          <w:color w:val="000000" w:themeColor="text1"/>
          <w:sz w:val="24"/>
          <w:szCs w:val="24"/>
        </w:rPr>
        <w:t>21.8</w:t>
      </w:r>
      <w:r w:rsidR="001B7E99" w:rsidRPr="00092862">
        <w:rPr>
          <w:rFonts w:ascii="Times New Roman" w:eastAsia="宋体" w:hAnsi="Times New Roman" w:cs="Times New Roman"/>
          <w:color w:val="000000" w:themeColor="text1"/>
          <w:sz w:val="24"/>
          <w:szCs w:val="24"/>
        </w:rPr>
        <w:t>mg/L</w:t>
      </w:r>
      <w:r w:rsidR="001B7E99" w:rsidRPr="00092862">
        <w:rPr>
          <w:rFonts w:ascii="Times New Roman" w:eastAsia="宋体" w:hAnsi="Times New Roman" w:cs="Times New Roman"/>
          <w:color w:val="000000" w:themeColor="text1"/>
          <w:sz w:val="24"/>
          <w:szCs w:val="24"/>
        </w:rPr>
        <w:t>（</w:t>
      </w:r>
      <w:r w:rsidR="008A188D" w:rsidRPr="00092862">
        <w:rPr>
          <w:rFonts w:ascii="Times New Roman" w:eastAsia="宋体" w:hAnsi="Times New Roman" w:cs="Times New Roman"/>
          <w:color w:val="000000" w:themeColor="text1"/>
          <w:sz w:val="24"/>
          <w:szCs w:val="24"/>
        </w:rPr>
        <w:t>42.7</w:t>
      </w:r>
      <w:r w:rsidR="001B7E99" w:rsidRPr="00092862">
        <w:rPr>
          <w:rFonts w:ascii="Times New Roman" w:eastAsia="宋体" w:hAnsi="Times New Roman" w:cs="Times New Roman"/>
          <w:color w:val="000000" w:themeColor="text1"/>
          <w:sz w:val="24"/>
          <w:szCs w:val="24"/>
        </w:rPr>
        <w:t>m</w:t>
      </w:r>
      <w:r w:rsidR="001B7E99" w:rsidRPr="00092862">
        <w:rPr>
          <w:rFonts w:ascii="Times New Roman" w:eastAsia="宋体" w:hAnsi="Times New Roman" w:cs="Times New Roman"/>
          <w:color w:val="000000" w:themeColor="text1"/>
          <w:sz w:val="24"/>
          <w:szCs w:val="24"/>
        </w:rPr>
        <w:t>处），在</w:t>
      </w:r>
      <w:r w:rsidR="001B7E99" w:rsidRPr="00092862">
        <w:rPr>
          <w:rFonts w:ascii="Times New Roman" w:eastAsia="宋体" w:hAnsi="Times New Roman" w:cs="Times New Roman"/>
          <w:color w:val="000000" w:themeColor="text1"/>
          <w:sz w:val="24"/>
          <w:szCs w:val="24"/>
        </w:rPr>
        <w:t>1000d</w:t>
      </w:r>
      <w:r w:rsidR="001B7E99" w:rsidRPr="00092862">
        <w:rPr>
          <w:rFonts w:ascii="Times New Roman" w:eastAsia="宋体" w:hAnsi="Times New Roman" w:cs="Times New Roman"/>
          <w:color w:val="000000" w:themeColor="text1"/>
          <w:sz w:val="24"/>
          <w:szCs w:val="24"/>
        </w:rPr>
        <w:t>时，已无超标范围</w:t>
      </w:r>
      <w:r w:rsidR="006375C5" w:rsidRPr="00092862">
        <w:rPr>
          <w:rFonts w:ascii="Times New Roman" w:eastAsia="宋体" w:hAnsi="Times New Roman" w:cs="Times New Roman"/>
          <w:color w:val="000000" w:themeColor="text1"/>
          <w:sz w:val="24"/>
          <w:szCs w:val="24"/>
        </w:rPr>
        <w:t>。</w:t>
      </w:r>
    </w:p>
    <w:p w14:paraId="732E8A40" w14:textId="17224907"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石油类</w:t>
      </w:r>
      <w:r w:rsidR="001B7E99" w:rsidRPr="00092862">
        <w:rPr>
          <w:rFonts w:ascii="Times New Roman" w:eastAsia="宋体" w:hAnsi="Times New Roman" w:cs="Times New Roman"/>
          <w:color w:val="000000" w:themeColor="text1"/>
          <w:sz w:val="24"/>
          <w:szCs w:val="24"/>
        </w:rPr>
        <w:t>在放喷池池体破裂</w:t>
      </w:r>
      <w:r w:rsidR="001B7E99" w:rsidRPr="00092862">
        <w:rPr>
          <w:rFonts w:ascii="Times New Roman" w:eastAsia="宋体" w:hAnsi="Times New Roman" w:cs="Times New Roman"/>
          <w:color w:val="000000" w:themeColor="text1"/>
          <w:sz w:val="24"/>
          <w:szCs w:val="24"/>
        </w:rPr>
        <w:t>365d</w:t>
      </w:r>
      <w:r w:rsidR="001B7E99" w:rsidRPr="00092862">
        <w:rPr>
          <w:rFonts w:ascii="Times New Roman" w:eastAsia="宋体" w:hAnsi="Times New Roman" w:cs="Times New Roman"/>
          <w:color w:val="000000" w:themeColor="text1"/>
          <w:sz w:val="24"/>
          <w:szCs w:val="24"/>
        </w:rPr>
        <w:t>时最远超标距离为下游</w:t>
      </w:r>
      <w:r w:rsidR="008A188D" w:rsidRPr="00092862">
        <w:rPr>
          <w:rFonts w:ascii="Times New Roman" w:eastAsia="宋体" w:hAnsi="Times New Roman" w:cs="Times New Roman"/>
          <w:color w:val="000000" w:themeColor="text1"/>
          <w:sz w:val="24"/>
          <w:szCs w:val="24"/>
        </w:rPr>
        <w:t>74</w:t>
      </w:r>
      <w:r w:rsidR="001B7E99" w:rsidRPr="00092862">
        <w:rPr>
          <w:rFonts w:ascii="Times New Roman" w:eastAsia="宋体" w:hAnsi="Times New Roman" w:cs="Times New Roman"/>
          <w:color w:val="000000" w:themeColor="text1"/>
          <w:sz w:val="24"/>
          <w:szCs w:val="24"/>
        </w:rPr>
        <w:t>m</w:t>
      </w:r>
      <w:r w:rsidR="001B7E99" w:rsidRPr="00092862">
        <w:rPr>
          <w:rFonts w:ascii="Times New Roman" w:eastAsia="宋体" w:hAnsi="Times New Roman" w:cs="Times New Roman"/>
          <w:color w:val="000000" w:themeColor="text1"/>
          <w:sz w:val="24"/>
          <w:szCs w:val="24"/>
        </w:rPr>
        <w:t>，最高浓度为</w:t>
      </w:r>
      <w:r w:rsidR="008A188D" w:rsidRPr="00092862">
        <w:rPr>
          <w:rFonts w:ascii="Times New Roman" w:eastAsia="宋体" w:hAnsi="Times New Roman" w:cs="Times New Roman"/>
          <w:bCs/>
          <w:color w:val="000000" w:themeColor="text1"/>
          <w:sz w:val="24"/>
          <w:szCs w:val="24"/>
        </w:rPr>
        <w:t>0.87</w:t>
      </w:r>
      <w:r w:rsidR="001B7E99" w:rsidRPr="00092862">
        <w:rPr>
          <w:rFonts w:ascii="Times New Roman" w:eastAsia="宋体" w:hAnsi="Times New Roman" w:cs="Times New Roman"/>
          <w:color w:val="000000" w:themeColor="text1"/>
          <w:sz w:val="24"/>
          <w:szCs w:val="24"/>
        </w:rPr>
        <w:t>mg/L</w:t>
      </w:r>
      <w:r w:rsidR="001B7E99" w:rsidRPr="00092862">
        <w:rPr>
          <w:rFonts w:ascii="Times New Roman" w:eastAsia="宋体" w:hAnsi="Times New Roman" w:cs="Times New Roman"/>
          <w:color w:val="000000" w:themeColor="text1"/>
          <w:sz w:val="24"/>
          <w:szCs w:val="24"/>
        </w:rPr>
        <w:t>（</w:t>
      </w:r>
      <w:r w:rsidR="008A188D" w:rsidRPr="00092862">
        <w:rPr>
          <w:rFonts w:ascii="Times New Roman" w:eastAsia="宋体" w:hAnsi="Times New Roman" w:cs="Times New Roman"/>
          <w:color w:val="000000" w:themeColor="text1"/>
          <w:sz w:val="24"/>
          <w:szCs w:val="24"/>
        </w:rPr>
        <w:t>42.7</w:t>
      </w:r>
      <w:r w:rsidR="001B7E99" w:rsidRPr="00092862">
        <w:rPr>
          <w:rFonts w:ascii="Times New Roman" w:eastAsia="宋体" w:hAnsi="Times New Roman" w:cs="Times New Roman"/>
          <w:color w:val="000000" w:themeColor="text1"/>
          <w:sz w:val="24"/>
          <w:szCs w:val="24"/>
        </w:rPr>
        <w:t>m</w:t>
      </w:r>
      <w:r w:rsidR="001B7E99" w:rsidRPr="00092862">
        <w:rPr>
          <w:rFonts w:ascii="Times New Roman" w:eastAsia="宋体" w:hAnsi="Times New Roman" w:cs="Times New Roman"/>
          <w:color w:val="000000" w:themeColor="text1"/>
          <w:sz w:val="24"/>
          <w:szCs w:val="24"/>
        </w:rPr>
        <w:t>处）</w:t>
      </w:r>
      <w:r w:rsidRPr="00092862">
        <w:rPr>
          <w:rFonts w:ascii="Times New Roman" w:eastAsia="宋体" w:hAnsi="Times New Roman" w:cs="Times New Roman"/>
          <w:color w:val="000000" w:themeColor="text1"/>
          <w:sz w:val="24"/>
          <w:szCs w:val="24"/>
        </w:rPr>
        <w:t>。</w:t>
      </w:r>
    </w:p>
    <w:p w14:paraId="5B7ABC99" w14:textId="7F8D39D5"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氯化物在放喷池破裂</w:t>
      </w:r>
      <w:r w:rsidR="001B7E99" w:rsidRPr="00092862">
        <w:rPr>
          <w:rFonts w:ascii="Times New Roman" w:eastAsia="宋体" w:hAnsi="Times New Roman" w:cs="Times New Roman"/>
          <w:color w:val="000000" w:themeColor="text1"/>
          <w:sz w:val="24"/>
          <w:szCs w:val="24"/>
        </w:rPr>
        <w:t>整个工况下中心点处均未出现超标现象</w:t>
      </w:r>
      <w:r w:rsidRPr="00092862">
        <w:rPr>
          <w:rFonts w:ascii="Times New Roman" w:eastAsia="宋体" w:hAnsi="Times New Roman" w:cs="Times New Roman"/>
          <w:color w:val="000000" w:themeColor="text1"/>
          <w:sz w:val="24"/>
          <w:szCs w:val="24"/>
        </w:rPr>
        <w:t>。</w:t>
      </w:r>
    </w:p>
    <w:p w14:paraId="0EA22376" w14:textId="77777777"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）压裂过程井筒破裂</w:t>
      </w:r>
    </w:p>
    <w:p w14:paraId="7D370C3A" w14:textId="077326D3"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COD</w:t>
      </w:r>
      <w:r w:rsidRPr="00092862">
        <w:rPr>
          <w:rFonts w:ascii="Times New Roman" w:eastAsia="宋体" w:hAnsi="Times New Roman" w:cs="Times New Roman"/>
          <w:color w:val="000000" w:themeColor="text1"/>
          <w:sz w:val="24"/>
          <w:szCs w:val="24"/>
          <w:vertAlign w:val="subscript"/>
        </w:rPr>
        <w:t>Cr</w:t>
      </w:r>
      <w:r w:rsidRPr="00092862">
        <w:rPr>
          <w:rFonts w:ascii="Times New Roman" w:eastAsia="宋体" w:hAnsi="Times New Roman" w:cs="Times New Roman"/>
          <w:color w:val="000000" w:themeColor="text1"/>
          <w:sz w:val="24"/>
          <w:szCs w:val="24"/>
        </w:rPr>
        <w:t>在井筒破裂</w:t>
      </w:r>
      <w:r w:rsidR="0081102E" w:rsidRPr="00092862">
        <w:rPr>
          <w:rFonts w:ascii="Times New Roman" w:eastAsia="宋体" w:hAnsi="Times New Roman" w:cs="Times New Roman"/>
          <w:color w:val="000000" w:themeColor="text1"/>
          <w:sz w:val="24"/>
          <w:szCs w:val="24"/>
        </w:rPr>
        <w:t>1000d</w:t>
      </w:r>
      <w:r w:rsidR="006C3F99" w:rsidRPr="00092862">
        <w:rPr>
          <w:rFonts w:ascii="Times New Roman" w:eastAsia="宋体" w:hAnsi="Times New Roman" w:cs="Times New Roman"/>
          <w:color w:val="000000" w:themeColor="text1"/>
          <w:sz w:val="24"/>
          <w:szCs w:val="24"/>
        </w:rPr>
        <w:t>时最远超标距离为下游</w:t>
      </w:r>
      <w:r w:rsidR="008A188D" w:rsidRPr="00092862">
        <w:rPr>
          <w:rFonts w:ascii="Times New Roman" w:eastAsia="宋体" w:hAnsi="Times New Roman" w:cs="Times New Roman"/>
          <w:color w:val="000000" w:themeColor="text1"/>
          <w:sz w:val="24"/>
          <w:szCs w:val="24"/>
        </w:rPr>
        <w:t>80</w:t>
      </w:r>
      <w:r w:rsidR="006C3F99" w:rsidRPr="00092862">
        <w:rPr>
          <w:rFonts w:ascii="Times New Roman" w:eastAsia="宋体" w:hAnsi="Times New Roman" w:cs="Times New Roman"/>
          <w:color w:val="000000" w:themeColor="text1"/>
          <w:sz w:val="24"/>
          <w:szCs w:val="24"/>
        </w:rPr>
        <w:t>m</w:t>
      </w:r>
      <w:r w:rsidR="006C3F99" w:rsidRPr="00092862">
        <w:rPr>
          <w:rFonts w:ascii="Times New Roman" w:eastAsia="宋体" w:hAnsi="Times New Roman" w:cs="Times New Roman"/>
          <w:color w:val="000000" w:themeColor="text1"/>
          <w:sz w:val="24"/>
          <w:szCs w:val="24"/>
        </w:rPr>
        <w:t>，最高浓度为</w:t>
      </w:r>
      <w:r w:rsidR="008A188D" w:rsidRPr="00092862">
        <w:rPr>
          <w:rFonts w:ascii="Times New Roman" w:eastAsia="宋体" w:hAnsi="Times New Roman" w:cs="Times New Roman"/>
          <w:bCs/>
          <w:color w:val="000000" w:themeColor="text1"/>
          <w:sz w:val="24"/>
          <w:szCs w:val="24"/>
        </w:rPr>
        <w:t>45.3</w:t>
      </w:r>
      <w:r w:rsidR="006C3F99" w:rsidRPr="00092862">
        <w:rPr>
          <w:rFonts w:ascii="Times New Roman" w:eastAsia="宋体" w:hAnsi="Times New Roman" w:cs="Times New Roman"/>
          <w:color w:val="000000" w:themeColor="text1"/>
          <w:sz w:val="24"/>
          <w:szCs w:val="24"/>
        </w:rPr>
        <w:t>mg/L</w:t>
      </w:r>
      <w:r w:rsidR="006C3F99" w:rsidRPr="00092862">
        <w:rPr>
          <w:rFonts w:ascii="Times New Roman" w:eastAsia="宋体" w:hAnsi="Times New Roman" w:cs="Times New Roman"/>
          <w:color w:val="000000" w:themeColor="text1"/>
          <w:sz w:val="24"/>
          <w:szCs w:val="24"/>
        </w:rPr>
        <w:t>（</w:t>
      </w:r>
      <w:r w:rsidR="008A188D" w:rsidRPr="00092862">
        <w:rPr>
          <w:rFonts w:ascii="Times New Roman" w:eastAsia="宋体" w:hAnsi="Times New Roman" w:cs="Times New Roman"/>
          <w:color w:val="000000" w:themeColor="text1"/>
          <w:sz w:val="24"/>
          <w:szCs w:val="24"/>
        </w:rPr>
        <w:t>42.7</w:t>
      </w:r>
      <w:r w:rsidR="006C3F99" w:rsidRPr="00092862">
        <w:rPr>
          <w:rFonts w:ascii="Times New Roman" w:eastAsia="宋体" w:hAnsi="Times New Roman" w:cs="Times New Roman"/>
          <w:color w:val="000000" w:themeColor="text1"/>
          <w:sz w:val="24"/>
          <w:szCs w:val="24"/>
        </w:rPr>
        <w:t>m</w:t>
      </w:r>
      <w:r w:rsidR="006C3F99" w:rsidRPr="00092862">
        <w:rPr>
          <w:rFonts w:ascii="Times New Roman" w:eastAsia="宋体" w:hAnsi="Times New Roman" w:cs="Times New Roman"/>
          <w:color w:val="000000" w:themeColor="text1"/>
          <w:sz w:val="24"/>
          <w:szCs w:val="24"/>
        </w:rPr>
        <w:t>处），在</w:t>
      </w:r>
      <w:r w:rsidR="001619C8" w:rsidRPr="00092862">
        <w:rPr>
          <w:rFonts w:ascii="Times New Roman" w:eastAsia="宋体" w:hAnsi="Times New Roman" w:cs="Times New Roman"/>
          <w:color w:val="000000" w:themeColor="text1"/>
          <w:sz w:val="24"/>
          <w:szCs w:val="24"/>
        </w:rPr>
        <w:t>3650</w:t>
      </w:r>
      <w:r w:rsidR="006C3F99" w:rsidRPr="00092862">
        <w:rPr>
          <w:rFonts w:ascii="Times New Roman" w:eastAsia="宋体" w:hAnsi="Times New Roman" w:cs="Times New Roman"/>
          <w:color w:val="000000" w:themeColor="text1"/>
          <w:sz w:val="24"/>
          <w:szCs w:val="24"/>
        </w:rPr>
        <w:t>d</w:t>
      </w:r>
      <w:r w:rsidR="006C3F99" w:rsidRPr="00092862">
        <w:rPr>
          <w:rFonts w:ascii="Times New Roman" w:eastAsia="宋体" w:hAnsi="Times New Roman" w:cs="Times New Roman"/>
          <w:color w:val="000000" w:themeColor="text1"/>
          <w:sz w:val="24"/>
          <w:szCs w:val="24"/>
        </w:rPr>
        <w:t>时，已无超标范围</w:t>
      </w:r>
      <w:r w:rsidRPr="00092862">
        <w:rPr>
          <w:rFonts w:ascii="Times New Roman" w:eastAsia="宋体" w:hAnsi="Times New Roman" w:cs="Times New Roman"/>
          <w:color w:val="000000" w:themeColor="text1"/>
          <w:sz w:val="24"/>
          <w:szCs w:val="24"/>
        </w:rPr>
        <w:t>。</w:t>
      </w:r>
    </w:p>
    <w:p w14:paraId="43DD0D46" w14:textId="2A085FC1"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006C3F99" w:rsidRPr="00092862">
        <w:rPr>
          <w:rFonts w:ascii="Times New Roman" w:eastAsia="宋体" w:hAnsi="Times New Roman" w:cs="Times New Roman"/>
          <w:color w:val="000000" w:themeColor="text1"/>
          <w:sz w:val="24"/>
          <w:szCs w:val="24"/>
        </w:rPr>
        <w:t>石油类在放喷池池体破裂</w:t>
      </w:r>
      <w:r w:rsidR="006C3F99" w:rsidRPr="00092862">
        <w:rPr>
          <w:rFonts w:ascii="Times New Roman" w:eastAsia="宋体" w:hAnsi="Times New Roman" w:cs="Times New Roman"/>
          <w:color w:val="000000" w:themeColor="text1"/>
          <w:sz w:val="24"/>
          <w:szCs w:val="24"/>
        </w:rPr>
        <w:t>3650d</w:t>
      </w:r>
      <w:r w:rsidR="006C3F99" w:rsidRPr="00092862">
        <w:rPr>
          <w:rFonts w:ascii="Times New Roman" w:eastAsia="宋体" w:hAnsi="Times New Roman" w:cs="Times New Roman"/>
          <w:color w:val="000000" w:themeColor="text1"/>
          <w:sz w:val="24"/>
          <w:szCs w:val="24"/>
        </w:rPr>
        <w:t>时最远超标距离为下游</w:t>
      </w:r>
      <w:r w:rsidR="008A188D" w:rsidRPr="00092862">
        <w:rPr>
          <w:rFonts w:ascii="Times New Roman" w:eastAsia="宋体" w:hAnsi="Times New Roman" w:cs="Times New Roman"/>
          <w:color w:val="000000" w:themeColor="text1"/>
          <w:sz w:val="24"/>
          <w:szCs w:val="24"/>
        </w:rPr>
        <w:t>575</w:t>
      </w:r>
      <w:r w:rsidR="006C3F99" w:rsidRPr="00092862">
        <w:rPr>
          <w:rFonts w:ascii="Times New Roman" w:eastAsia="宋体" w:hAnsi="Times New Roman" w:cs="Times New Roman"/>
          <w:color w:val="000000" w:themeColor="text1"/>
          <w:sz w:val="24"/>
          <w:szCs w:val="24"/>
        </w:rPr>
        <w:t>m</w:t>
      </w:r>
      <w:r w:rsidR="006C3F99" w:rsidRPr="00092862">
        <w:rPr>
          <w:rFonts w:ascii="Times New Roman" w:eastAsia="宋体" w:hAnsi="Times New Roman" w:cs="Times New Roman"/>
          <w:color w:val="000000" w:themeColor="text1"/>
          <w:sz w:val="24"/>
          <w:szCs w:val="24"/>
        </w:rPr>
        <w:t>，最高浓度为</w:t>
      </w:r>
      <w:r w:rsidR="001619C8" w:rsidRPr="00092862">
        <w:rPr>
          <w:rFonts w:ascii="Times New Roman" w:eastAsia="宋体" w:hAnsi="Times New Roman" w:cs="Times New Roman"/>
          <w:bCs/>
          <w:color w:val="000000" w:themeColor="text1"/>
          <w:sz w:val="24"/>
          <w:szCs w:val="24"/>
        </w:rPr>
        <w:t>0.</w:t>
      </w:r>
      <w:r w:rsidR="008A188D" w:rsidRPr="00092862">
        <w:rPr>
          <w:rFonts w:ascii="Times New Roman" w:eastAsia="宋体" w:hAnsi="Times New Roman" w:cs="Times New Roman"/>
          <w:bCs/>
          <w:color w:val="000000" w:themeColor="text1"/>
          <w:sz w:val="24"/>
          <w:szCs w:val="24"/>
        </w:rPr>
        <w:t>18</w:t>
      </w:r>
      <w:r w:rsidR="006C3F99" w:rsidRPr="00092862">
        <w:rPr>
          <w:rFonts w:ascii="Times New Roman" w:eastAsia="宋体" w:hAnsi="Times New Roman" w:cs="Times New Roman"/>
          <w:color w:val="000000" w:themeColor="text1"/>
          <w:sz w:val="24"/>
          <w:szCs w:val="24"/>
        </w:rPr>
        <w:t>mg/L</w:t>
      </w:r>
      <w:r w:rsidR="006C3F99" w:rsidRPr="00092862">
        <w:rPr>
          <w:rFonts w:ascii="Times New Roman" w:eastAsia="宋体" w:hAnsi="Times New Roman" w:cs="Times New Roman"/>
          <w:color w:val="000000" w:themeColor="text1"/>
          <w:sz w:val="24"/>
          <w:szCs w:val="24"/>
        </w:rPr>
        <w:t>（</w:t>
      </w:r>
      <w:r w:rsidR="008A188D" w:rsidRPr="00092862">
        <w:rPr>
          <w:rFonts w:ascii="Times New Roman" w:eastAsia="宋体" w:hAnsi="Times New Roman" w:cs="Times New Roman"/>
          <w:color w:val="000000" w:themeColor="text1"/>
          <w:sz w:val="24"/>
          <w:szCs w:val="24"/>
        </w:rPr>
        <w:t>427</w:t>
      </w:r>
      <w:r w:rsidR="006C3F99" w:rsidRPr="00092862">
        <w:rPr>
          <w:rFonts w:ascii="Times New Roman" w:eastAsia="宋体" w:hAnsi="Times New Roman" w:cs="Times New Roman"/>
          <w:color w:val="000000" w:themeColor="text1"/>
          <w:sz w:val="24"/>
          <w:szCs w:val="24"/>
        </w:rPr>
        <w:t>m</w:t>
      </w:r>
      <w:r w:rsidR="006C3F99" w:rsidRPr="00092862">
        <w:rPr>
          <w:rFonts w:ascii="Times New Roman" w:eastAsia="宋体" w:hAnsi="Times New Roman" w:cs="Times New Roman"/>
          <w:color w:val="000000" w:themeColor="text1"/>
          <w:sz w:val="24"/>
          <w:szCs w:val="24"/>
        </w:rPr>
        <w:t>处）</w:t>
      </w:r>
      <w:r w:rsidRPr="00092862">
        <w:rPr>
          <w:rFonts w:ascii="Times New Roman" w:eastAsia="宋体" w:hAnsi="Times New Roman" w:cs="Times New Roman"/>
          <w:color w:val="000000" w:themeColor="text1"/>
          <w:sz w:val="24"/>
          <w:szCs w:val="24"/>
        </w:rPr>
        <w:t>。</w:t>
      </w:r>
    </w:p>
    <w:p w14:paraId="1253082E" w14:textId="466854D5"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001B7E99" w:rsidRPr="00092862">
        <w:rPr>
          <w:rFonts w:ascii="Times New Roman" w:eastAsia="宋体" w:hAnsi="Times New Roman" w:cs="Times New Roman"/>
          <w:color w:val="000000" w:themeColor="text1"/>
          <w:sz w:val="24"/>
          <w:szCs w:val="24"/>
        </w:rPr>
        <w:t>氯化物在放喷池破裂整个工况下中心点处均未出现超标现象</w:t>
      </w:r>
      <w:r w:rsidRPr="00092862">
        <w:rPr>
          <w:rFonts w:ascii="Times New Roman" w:eastAsia="宋体" w:hAnsi="Times New Roman" w:cs="Times New Roman"/>
          <w:color w:val="000000" w:themeColor="text1"/>
          <w:sz w:val="24"/>
          <w:szCs w:val="24"/>
        </w:rPr>
        <w:t>。</w:t>
      </w:r>
    </w:p>
    <w:p w14:paraId="166D86B5" w14:textId="77777777"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snapToGrid w:val="0"/>
          <w:color w:val="000000" w:themeColor="text1"/>
          <w:sz w:val="24"/>
          <w:szCs w:val="24"/>
        </w:rPr>
        <w:t>综上所述，不同预测情景对地下水保护目标的预测结果见表</w:t>
      </w:r>
      <w:r w:rsidRPr="00092862">
        <w:rPr>
          <w:rFonts w:ascii="Times New Roman" w:eastAsia="宋体" w:hAnsi="Times New Roman" w:cs="Times New Roman"/>
          <w:snapToGrid w:val="0"/>
          <w:color w:val="000000" w:themeColor="text1"/>
          <w:sz w:val="24"/>
          <w:szCs w:val="24"/>
        </w:rPr>
        <w:t>4.</w:t>
      </w:r>
      <w:r w:rsidR="004C730C" w:rsidRPr="00092862">
        <w:rPr>
          <w:rFonts w:ascii="Times New Roman" w:eastAsia="宋体" w:hAnsi="Times New Roman" w:cs="Times New Roman"/>
          <w:snapToGrid w:val="0"/>
          <w:color w:val="000000" w:themeColor="text1"/>
          <w:sz w:val="24"/>
          <w:szCs w:val="24"/>
        </w:rPr>
        <w:t>3-9</w:t>
      </w:r>
      <w:r w:rsidRPr="00092862">
        <w:rPr>
          <w:rFonts w:ascii="Times New Roman" w:eastAsia="宋体" w:hAnsi="Times New Roman" w:cs="Times New Roman"/>
          <w:snapToGrid w:val="0"/>
          <w:color w:val="000000" w:themeColor="text1"/>
          <w:sz w:val="24"/>
          <w:szCs w:val="24"/>
        </w:rPr>
        <w:t>。</w:t>
      </w:r>
    </w:p>
    <w:p w14:paraId="02D597DD" w14:textId="77777777" w:rsidR="004A6D52" w:rsidRPr="00092862" w:rsidRDefault="004A6D52"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4.</w:t>
      </w:r>
      <w:r w:rsidR="004C730C" w:rsidRPr="00092862">
        <w:rPr>
          <w:rFonts w:ascii="Times New Roman" w:eastAsia="黑体" w:hAnsi="Times New Roman"/>
          <w:color w:val="000000" w:themeColor="text1"/>
          <w:sz w:val="21"/>
          <w:szCs w:val="21"/>
          <w:lang w:eastAsia="zh-CN"/>
        </w:rPr>
        <w:t>3-9</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非正常状况对地下水保护目标的影响预测结果</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701"/>
        <w:gridCol w:w="1679"/>
        <w:gridCol w:w="2148"/>
        <w:gridCol w:w="2024"/>
      </w:tblGrid>
      <w:tr w:rsidR="00697429" w:rsidRPr="00092862" w14:paraId="3A5273FA" w14:textId="77777777" w:rsidTr="004A6D52">
        <w:trPr>
          <w:trHeight w:val="392"/>
          <w:jc w:val="center"/>
        </w:trPr>
        <w:tc>
          <w:tcPr>
            <w:tcW w:w="670" w:type="dxa"/>
            <w:vAlign w:val="center"/>
          </w:tcPr>
          <w:p w14:paraId="572F9F0C" w14:textId="77777777" w:rsidR="004A6D52" w:rsidRPr="00092862" w:rsidRDefault="004A6D52"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编号</w:t>
            </w:r>
          </w:p>
        </w:tc>
        <w:tc>
          <w:tcPr>
            <w:tcW w:w="1701" w:type="dxa"/>
            <w:vAlign w:val="center"/>
          </w:tcPr>
          <w:p w14:paraId="58F57E2E" w14:textId="77777777" w:rsidR="004A6D52" w:rsidRPr="00092862" w:rsidRDefault="004A6D52"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非正常状况</w:t>
            </w:r>
          </w:p>
        </w:tc>
        <w:tc>
          <w:tcPr>
            <w:tcW w:w="1679" w:type="dxa"/>
          </w:tcPr>
          <w:p w14:paraId="5CF68DFD" w14:textId="77777777" w:rsidR="004A6D52" w:rsidRPr="00092862" w:rsidRDefault="004A6D52"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方位</w:t>
            </w:r>
          </w:p>
        </w:tc>
        <w:tc>
          <w:tcPr>
            <w:tcW w:w="2148" w:type="dxa"/>
            <w:vAlign w:val="center"/>
          </w:tcPr>
          <w:p w14:paraId="79B21699" w14:textId="1B8FE37B" w:rsidR="004A6D52" w:rsidRPr="00092862" w:rsidRDefault="004A6D52"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最大可能超标</w:t>
            </w:r>
            <w:r w:rsidR="001B7E99" w:rsidRPr="00092862">
              <w:rPr>
                <w:rFonts w:ascii="Times New Roman" w:eastAsia="宋体" w:hAnsi="Times New Roman" w:cs="Times New Roman"/>
                <w:color w:val="000000" w:themeColor="text1"/>
                <w:szCs w:val="21"/>
              </w:rPr>
              <w:t>居民饮用</w:t>
            </w:r>
            <w:r w:rsidRPr="00092862">
              <w:rPr>
                <w:rFonts w:ascii="Times New Roman" w:eastAsia="宋体" w:hAnsi="Times New Roman" w:cs="Times New Roman"/>
                <w:color w:val="000000" w:themeColor="text1"/>
                <w:szCs w:val="21"/>
              </w:rPr>
              <w:t>水井</w:t>
            </w:r>
          </w:p>
        </w:tc>
        <w:tc>
          <w:tcPr>
            <w:tcW w:w="2024" w:type="dxa"/>
            <w:vAlign w:val="center"/>
          </w:tcPr>
          <w:p w14:paraId="4019D6CE" w14:textId="77777777" w:rsidR="004A6D52" w:rsidRPr="00092862" w:rsidRDefault="004A6D52"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备注</w:t>
            </w:r>
          </w:p>
        </w:tc>
      </w:tr>
      <w:tr w:rsidR="00697429" w:rsidRPr="00092862" w14:paraId="13432995" w14:textId="77777777" w:rsidTr="004A6D52">
        <w:trPr>
          <w:trHeight w:val="197"/>
          <w:jc w:val="center"/>
        </w:trPr>
        <w:tc>
          <w:tcPr>
            <w:tcW w:w="670" w:type="dxa"/>
            <w:vAlign w:val="center"/>
          </w:tcPr>
          <w:p w14:paraId="0838212E" w14:textId="77777777" w:rsidR="00847C56" w:rsidRPr="00092862" w:rsidRDefault="00847C56"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701" w:type="dxa"/>
            <w:vAlign w:val="center"/>
          </w:tcPr>
          <w:p w14:paraId="6C5D8FA4" w14:textId="77777777" w:rsidR="00847C56" w:rsidRPr="00092862" w:rsidRDefault="00847C56"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压裂井筒破裂</w:t>
            </w:r>
          </w:p>
        </w:tc>
        <w:tc>
          <w:tcPr>
            <w:tcW w:w="1679" w:type="dxa"/>
          </w:tcPr>
          <w:p w14:paraId="5C5C6DAE" w14:textId="52826E99" w:rsidR="00847C56" w:rsidRPr="00092862" w:rsidRDefault="001B7E99"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西南</w:t>
            </w:r>
            <w:r w:rsidR="00847C56" w:rsidRPr="00092862">
              <w:rPr>
                <w:rFonts w:ascii="Times New Roman" w:eastAsia="宋体" w:hAnsi="Times New Roman" w:cs="Times New Roman"/>
                <w:color w:val="000000" w:themeColor="text1"/>
                <w:szCs w:val="21"/>
              </w:rPr>
              <w:t>侧</w:t>
            </w:r>
          </w:p>
        </w:tc>
        <w:tc>
          <w:tcPr>
            <w:tcW w:w="2148" w:type="dxa"/>
            <w:vAlign w:val="center"/>
          </w:tcPr>
          <w:p w14:paraId="60E883A7" w14:textId="4366009B" w:rsidR="00847C56" w:rsidRPr="00092862" w:rsidRDefault="00BC4FFF" w:rsidP="004A6D52">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p>
        </w:tc>
        <w:tc>
          <w:tcPr>
            <w:tcW w:w="2024" w:type="dxa"/>
            <w:vMerge w:val="restart"/>
            <w:vAlign w:val="center"/>
          </w:tcPr>
          <w:p w14:paraId="530F7688" w14:textId="55BD412C" w:rsidR="00847C56" w:rsidRPr="00092862" w:rsidRDefault="00847C56" w:rsidP="00847C5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按最不利估算</w:t>
            </w:r>
          </w:p>
        </w:tc>
      </w:tr>
      <w:tr w:rsidR="00697429" w:rsidRPr="00092862" w14:paraId="7A3975D9" w14:textId="77777777" w:rsidTr="004A6D52">
        <w:trPr>
          <w:trHeight w:val="217"/>
          <w:jc w:val="center"/>
        </w:trPr>
        <w:tc>
          <w:tcPr>
            <w:tcW w:w="670" w:type="dxa"/>
            <w:vAlign w:val="center"/>
          </w:tcPr>
          <w:p w14:paraId="4BAD9237" w14:textId="77777777" w:rsidR="00847C56" w:rsidRPr="00092862" w:rsidRDefault="00847C56" w:rsidP="00847C5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1701" w:type="dxa"/>
            <w:vAlign w:val="center"/>
          </w:tcPr>
          <w:p w14:paraId="5CCF2BB5" w14:textId="77777777" w:rsidR="00847C56" w:rsidRPr="00092862" w:rsidRDefault="00847C56" w:rsidP="00847C5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放喷池泄漏</w:t>
            </w:r>
          </w:p>
        </w:tc>
        <w:tc>
          <w:tcPr>
            <w:tcW w:w="1679" w:type="dxa"/>
          </w:tcPr>
          <w:p w14:paraId="12CCB5E5" w14:textId="2FF143A8" w:rsidR="00847C56" w:rsidRPr="00092862" w:rsidRDefault="001B7E99" w:rsidP="00847C5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西南侧</w:t>
            </w:r>
          </w:p>
        </w:tc>
        <w:tc>
          <w:tcPr>
            <w:tcW w:w="2148" w:type="dxa"/>
            <w:vAlign w:val="center"/>
          </w:tcPr>
          <w:p w14:paraId="526ABE53" w14:textId="6B8CC766" w:rsidR="00847C56" w:rsidRPr="00092862" w:rsidRDefault="00BC4FFF" w:rsidP="00847C5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w:t>
            </w:r>
          </w:p>
        </w:tc>
        <w:tc>
          <w:tcPr>
            <w:tcW w:w="2024" w:type="dxa"/>
            <w:vMerge/>
            <w:vAlign w:val="center"/>
          </w:tcPr>
          <w:p w14:paraId="64144F77" w14:textId="77777777" w:rsidR="00847C56" w:rsidRPr="00092862" w:rsidRDefault="00847C56" w:rsidP="00847C56">
            <w:pPr>
              <w:snapToGrid w:val="0"/>
              <w:jc w:val="center"/>
              <w:rPr>
                <w:rFonts w:ascii="Times New Roman" w:eastAsia="宋体" w:hAnsi="Times New Roman" w:cs="Times New Roman"/>
                <w:color w:val="000000" w:themeColor="text1"/>
                <w:szCs w:val="21"/>
              </w:rPr>
            </w:pPr>
          </w:p>
        </w:tc>
      </w:tr>
    </w:tbl>
    <w:p w14:paraId="2178AB3A" w14:textId="127DF836" w:rsidR="004A6D52" w:rsidRPr="00092862" w:rsidRDefault="003F5110"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252" w:name="_Hlk89072087"/>
      <w:bookmarkStart w:id="253" w:name="_Toc10566"/>
      <w:r w:rsidRPr="00092862">
        <w:rPr>
          <w:rFonts w:ascii="Times New Roman" w:eastAsia="宋体" w:hAnsi="Times New Roman" w:cs="Times New Roman"/>
          <w:color w:val="000000" w:themeColor="text1"/>
          <w:sz w:val="24"/>
          <w:szCs w:val="24"/>
        </w:rPr>
        <w:t>本项目不涉</w:t>
      </w:r>
      <w:bookmarkEnd w:id="252"/>
      <w:r w:rsidR="006C3F99" w:rsidRPr="00092862">
        <w:rPr>
          <w:rFonts w:ascii="Times New Roman" w:eastAsia="宋体" w:hAnsi="Times New Roman" w:cs="Times New Roman"/>
          <w:color w:val="000000" w:themeColor="text1"/>
          <w:sz w:val="24"/>
          <w:szCs w:val="24"/>
        </w:rPr>
        <w:t>各饮用水井</w:t>
      </w:r>
      <w:r w:rsidR="004A6D52" w:rsidRPr="00092862">
        <w:rPr>
          <w:rFonts w:ascii="Times New Roman" w:eastAsia="宋体" w:hAnsi="Times New Roman" w:cs="Times New Roman"/>
          <w:bCs/>
          <w:color w:val="000000" w:themeColor="text1"/>
          <w:sz w:val="24"/>
          <w:szCs w:val="24"/>
        </w:rPr>
        <w:t>，</w:t>
      </w:r>
      <w:r w:rsidR="006C3F99" w:rsidRPr="00092862">
        <w:rPr>
          <w:rFonts w:ascii="Times New Roman" w:eastAsia="宋体" w:hAnsi="Times New Roman" w:cs="Times New Roman"/>
          <w:bCs/>
          <w:color w:val="000000" w:themeColor="text1"/>
          <w:sz w:val="24"/>
          <w:szCs w:val="24"/>
        </w:rPr>
        <w:t>且</w:t>
      </w:r>
      <w:r w:rsidR="004A6D52" w:rsidRPr="00092862">
        <w:rPr>
          <w:rFonts w:ascii="Times New Roman" w:eastAsia="宋体" w:hAnsi="Times New Roman" w:cs="Times New Roman"/>
          <w:bCs/>
          <w:color w:val="000000" w:themeColor="text1"/>
          <w:sz w:val="24"/>
          <w:szCs w:val="24"/>
        </w:rPr>
        <w:t>之间有诸多丘坡相隔，不在</w:t>
      </w:r>
      <w:r w:rsidR="006B6D9E" w:rsidRPr="00092862">
        <w:rPr>
          <w:rFonts w:ascii="Times New Roman" w:eastAsia="宋体" w:hAnsi="Times New Roman" w:cs="Times New Roman"/>
          <w:bCs/>
          <w:color w:val="000000" w:themeColor="text1"/>
          <w:sz w:val="24"/>
          <w:szCs w:val="24"/>
        </w:rPr>
        <w:t>其</w:t>
      </w:r>
      <w:r w:rsidRPr="00092862">
        <w:rPr>
          <w:rFonts w:ascii="Times New Roman" w:eastAsia="宋体" w:hAnsi="Times New Roman" w:cs="Times New Roman"/>
          <w:bCs/>
          <w:color w:val="000000" w:themeColor="text1"/>
          <w:sz w:val="24"/>
          <w:szCs w:val="24"/>
        </w:rPr>
        <w:t>地下水</w:t>
      </w:r>
      <w:r w:rsidR="006B6D9E" w:rsidRPr="00092862">
        <w:rPr>
          <w:rFonts w:ascii="Times New Roman" w:eastAsia="宋体" w:hAnsi="Times New Roman" w:cs="Times New Roman"/>
          <w:bCs/>
          <w:color w:val="000000" w:themeColor="text1"/>
          <w:sz w:val="24"/>
          <w:szCs w:val="24"/>
        </w:rPr>
        <w:t>上游</w:t>
      </w:r>
      <w:r w:rsidRPr="00092862">
        <w:rPr>
          <w:rFonts w:ascii="Times New Roman" w:eastAsia="宋体" w:hAnsi="Times New Roman" w:cs="Times New Roman"/>
          <w:bCs/>
          <w:color w:val="000000" w:themeColor="text1"/>
          <w:sz w:val="24"/>
          <w:szCs w:val="24"/>
        </w:rPr>
        <w:t>或补给区</w:t>
      </w:r>
      <w:r w:rsidR="006C3F99" w:rsidRPr="00092862">
        <w:rPr>
          <w:rFonts w:ascii="Times New Roman" w:eastAsia="宋体" w:hAnsi="Times New Roman" w:cs="Times New Roman"/>
          <w:bCs/>
          <w:color w:val="000000" w:themeColor="text1"/>
          <w:sz w:val="24"/>
          <w:szCs w:val="24"/>
        </w:rPr>
        <w:t>，未位于同一水文地质单元</w:t>
      </w:r>
      <w:r w:rsidR="004A6D52" w:rsidRPr="00092862">
        <w:rPr>
          <w:rFonts w:ascii="Times New Roman" w:eastAsia="宋体" w:hAnsi="Times New Roman" w:cs="Times New Roman"/>
          <w:bCs/>
          <w:color w:val="000000" w:themeColor="text1"/>
          <w:sz w:val="24"/>
          <w:szCs w:val="24"/>
        </w:rPr>
        <w:t>，</w:t>
      </w:r>
      <w:r w:rsidR="006B6D9E" w:rsidRPr="00092862">
        <w:rPr>
          <w:rFonts w:ascii="Times New Roman" w:eastAsia="宋体" w:hAnsi="Times New Roman" w:cs="Times New Roman"/>
          <w:bCs/>
          <w:color w:val="000000" w:themeColor="text1"/>
          <w:sz w:val="24"/>
          <w:szCs w:val="24"/>
        </w:rPr>
        <w:t>项目事故情况下对其无影响。同时</w:t>
      </w:r>
      <w:r w:rsidR="004A6D52" w:rsidRPr="00092862">
        <w:rPr>
          <w:rFonts w:ascii="Times New Roman" w:eastAsia="宋体" w:hAnsi="Times New Roman" w:cs="Times New Roman"/>
          <w:color w:val="000000" w:themeColor="text1"/>
          <w:sz w:val="24"/>
          <w:szCs w:val="24"/>
        </w:rPr>
        <w:t>项目建设</w:t>
      </w:r>
      <w:r w:rsidR="006C3F99" w:rsidRPr="00092862">
        <w:rPr>
          <w:rFonts w:ascii="Times New Roman" w:eastAsia="宋体" w:hAnsi="Times New Roman" w:cs="Times New Roman"/>
          <w:color w:val="000000" w:themeColor="text1"/>
          <w:sz w:val="24"/>
          <w:szCs w:val="24"/>
        </w:rPr>
        <w:t>所用水量较</w:t>
      </w:r>
      <w:r w:rsidR="004A6D52" w:rsidRPr="00092862">
        <w:rPr>
          <w:rFonts w:ascii="Times New Roman" w:eastAsia="宋体" w:hAnsi="Times New Roman" w:cs="Times New Roman"/>
          <w:color w:val="000000" w:themeColor="text1"/>
          <w:sz w:val="24"/>
          <w:szCs w:val="24"/>
        </w:rPr>
        <w:t>少，不会对饮用水源造成不利影响。</w:t>
      </w:r>
    </w:p>
    <w:p w14:paraId="2D4D8A97" w14:textId="3F7A1177"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w:t>
      </w:r>
      <w:r w:rsidRPr="00092862">
        <w:rPr>
          <w:rFonts w:ascii="Times New Roman" w:eastAsia="宋体" w:hAnsi="Times New Roman" w:cs="Times New Roman"/>
          <w:color w:val="000000" w:themeColor="text1"/>
          <w:sz w:val="24"/>
          <w:szCs w:val="24"/>
        </w:rPr>
        <w:lastRenderedPageBreak/>
        <w:t>根据中石化川</w:t>
      </w:r>
      <w:r w:rsidR="004629A9"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压返液因深层井筒破裂进入浅层含水层是很难发生的；池体修建均采用高标准要求，防渗达到设计要求，发生垮塌泄漏的可能性非常小，因此由于井筒破裂事故和池体渗漏造成的地下水不利影响是极难发生的。</w:t>
      </w:r>
    </w:p>
    <w:p w14:paraId="12CA9761" w14:textId="44D4F815"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根据项目井场布置和周边居民水井分布情况，本项目在井筒破裂和放喷池风险泄漏初期除小范围地区地下水水质超标外，超标范围均较小，超标范围内</w:t>
      </w:r>
      <w:r w:rsidR="006C3F99" w:rsidRPr="00092862">
        <w:rPr>
          <w:rFonts w:ascii="Times New Roman" w:eastAsia="宋体" w:hAnsi="Times New Roman" w:cs="Times New Roman"/>
          <w:color w:val="000000" w:themeColor="text1"/>
          <w:sz w:val="24"/>
          <w:szCs w:val="24"/>
        </w:rPr>
        <w:t>无</w:t>
      </w:r>
      <w:r w:rsidRPr="00092862">
        <w:rPr>
          <w:rFonts w:ascii="Times New Roman" w:eastAsia="宋体" w:hAnsi="Times New Roman" w:cs="Times New Roman"/>
          <w:color w:val="000000" w:themeColor="text1"/>
          <w:sz w:val="24"/>
          <w:szCs w:val="24"/>
        </w:rPr>
        <w:t>居民</w:t>
      </w:r>
      <w:r w:rsidR="006C3F99" w:rsidRPr="00092862">
        <w:rPr>
          <w:rFonts w:ascii="Times New Roman" w:eastAsia="宋体" w:hAnsi="Times New Roman" w:cs="Times New Roman"/>
          <w:color w:val="000000" w:themeColor="text1"/>
          <w:sz w:val="24"/>
          <w:szCs w:val="24"/>
        </w:rPr>
        <w:t>饮用</w:t>
      </w:r>
      <w:r w:rsidRPr="00092862">
        <w:rPr>
          <w:rFonts w:ascii="Times New Roman" w:eastAsia="宋体" w:hAnsi="Times New Roman" w:cs="Times New Roman"/>
          <w:color w:val="000000" w:themeColor="text1"/>
          <w:sz w:val="24"/>
          <w:szCs w:val="24"/>
        </w:rPr>
        <w:t>水井</w:t>
      </w:r>
      <w:r w:rsidR="006C3F99" w:rsidRPr="00092862">
        <w:rPr>
          <w:rFonts w:ascii="Times New Roman" w:eastAsia="宋体" w:hAnsi="Times New Roman" w:cs="Times New Roman"/>
          <w:color w:val="000000" w:themeColor="text1"/>
          <w:sz w:val="24"/>
          <w:szCs w:val="24"/>
        </w:rPr>
        <w:t>分布</w:t>
      </w:r>
      <w:r w:rsidRPr="00092862">
        <w:rPr>
          <w:rFonts w:ascii="Times New Roman" w:eastAsia="宋体" w:hAnsi="Times New Roman" w:cs="Times New Roman"/>
          <w:color w:val="000000" w:themeColor="text1"/>
          <w:sz w:val="24"/>
          <w:szCs w:val="24"/>
        </w:rPr>
        <w:t>，</w:t>
      </w:r>
      <w:r w:rsidR="006B6D9E" w:rsidRPr="00092862">
        <w:rPr>
          <w:rFonts w:ascii="Times New Roman" w:eastAsia="宋体" w:hAnsi="Times New Roman" w:cs="Times New Roman"/>
          <w:color w:val="000000" w:themeColor="text1"/>
          <w:sz w:val="24"/>
          <w:szCs w:val="24"/>
        </w:rPr>
        <w:t>超标范围内无集中式饮用水源取水点，</w:t>
      </w:r>
      <w:r w:rsidRPr="00092862">
        <w:rPr>
          <w:rFonts w:ascii="Times New Roman" w:eastAsia="宋体" w:hAnsi="Times New Roman" w:cs="Times New Roman"/>
          <w:color w:val="000000" w:themeColor="text1"/>
          <w:sz w:val="24"/>
          <w:szCs w:val="24"/>
        </w:rPr>
        <w:t>其余地区地下水水质均满足《地下水质量标准》（</w:t>
      </w:r>
      <w:r w:rsidRPr="00092862">
        <w:rPr>
          <w:rFonts w:ascii="Times New Roman" w:eastAsia="宋体" w:hAnsi="Times New Roman" w:cs="Times New Roman"/>
          <w:color w:val="000000" w:themeColor="text1"/>
          <w:sz w:val="24"/>
          <w:szCs w:val="24"/>
        </w:rPr>
        <w:t>GB/T14848-2017</w:t>
      </w:r>
      <w:r w:rsidRPr="00092862">
        <w:rPr>
          <w:rFonts w:ascii="Times New Roman" w:eastAsia="宋体" w:hAnsi="Times New Roman" w:cs="Times New Roman"/>
          <w:color w:val="000000" w:themeColor="text1"/>
          <w:sz w:val="24"/>
          <w:szCs w:val="24"/>
        </w:rPr>
        <w:t>）中的</w:t>
      </w:r>
      <w:r w:rsidRPr="00092862">
        <w:rPr>
          <w:rFonts w:ascii="Times New Roman" w:eastAsia="宋体" w:hAnsi="Times New Roman" w:cs="Times New Roman"/>
          <w:color w:val="000000" w:themeColor="text1"/>
          <w:sz w:val="24"/>
          <w:szCs w:val="24"/>
        </w:rPr>
        <w:t>Ⅲ</w:t>
      </w:r>
      <w:r w:rsidRPr="00092862">
        <w:rPr>
          <w:rFonts w:ascii="Times New Roman" w:eastAsia="宋体" w:hAnsi="Times New Roman" w:cs="Times New Roman"/>
          <w:color w:val="000000" w:themeColor="text1"/>
          <w:sz w:val="24"/>
          <w:szCs w:val="24"/>
        </w:rPr>
        <w:t>类标准，随着时间的推移，污染物在整个评价范围内超标现象逐渐消失。</w:t>
      </w:r>
    </w:p>
    <w:p w14:paraId="011E1386" w14:textId="5E8F49AE"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鉴于模拟的两种情况的污染物超标范围会随着时间的增加逐渐扩大。本环评建议：在钻井作业中加强生产管理，严密监控压裂液及放喷池的运行状况，发现井管破裂后应立即停止压裂作业并启动应急预案，按要求在下游设置的监控水井加密监控，采取有效措施控制污染物扩散范围，降低环境影响。</w:t>
      </w:r>
      <w:r w:rsidR="00F53230" w:rsidRPr="00092862">
        <w:rPr>
          <w:rFonts w:ascii="Times New Roman" w:eastAsia="宋体" w:hAnsi="Times New Roman" w:cs="Times New Roman"/>
          <w:color w:val="000000" w:themeColor="text1"/>
          <w:sz w:val="24"/>
          <w:szCs w:val="24"/>
        </w:rPr>
        <w:t>同时建议建设单位在施工期应加强与宣汉县普光镇千河沟徐家梁（村级）集中式饮用水水源地的沟通联系，及时了解该地表水水源地水质的变化情况，若发生改变应及时查明原因，确保与本项目的施工无关，并可协助主管部门采取相应保护措施。</w:t>
      </w:r>
    </w:p>
    <w:p w14:paraId="79DFA064" w14:textId="77777777" w:rsidR="004A6D52" w:rsidRPr="00092862" w:rsidRDefault="004A6D52" w:rsidP="00CF68B9">
      <w:pPr>
        <w:autoSpaceDE w:val="0"/>
        <w:autoSpaceDN w:val="0"/>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在对下游居民水井加强监控后，项目建设不会对周围居民水井产生不利影响，也不会对地下水环境造成明显不利影响，项目建设对地下水的影响是可接受的。</w:t>
      </w:r>
    </w:p>
    <w:p w14:paraId="13191CAF" w14:textId="2FA93746" w:rsidR="004A6D52" w:rsidRPr="00092862" w:rsidRDefault="004A6D52" w:rsidP="004C730C">
      <w:pPr>
        <w:adjustRightInd w:val="0"/>
        <w:snapToGrid w:val="0"/>
        <w:spacing w:line="360" w:lineRule="auto"/>
        <w:ind w:firstLineChars="200" w:firstLine="480"/>
        <w:rPr>
          <w:rFonts w:ascii="Times New Roman" w:eastAsia="黑体" w:hAnsi="Times New Roman" w:cs="Times New Roman"/>
          <w:color w:val="000000" w:themeColor="text1"/>
          <w:sz w:val="24"/>
          <w:szCs w:val="24"/>
        </w:rPr>
      </w:pPr>
      <w:bookmarkStart w:id="254" w:name="_Toc78877616"/>
      <w:bookmarkEnd w:id="253"/>
      <w:r w:rsidRPr="00092862">
        <w:rPr>
          <w:rFonts w:ascii="Times New Roman" w:eastAsia="黑体" w:hAnsi="Times New Roman" w:cs="Times New Roman"/>
          <w:color w:val="000000" w:themeColor="text1"/>
          <w:sz w:val="24"/>
          <w:szCs w:val="24"/>
        </w:rPr>
        <w:t>4</w:t>
      </w:r>
      <w:r w:rsidR="004C730C" w:rsidRPr="00092862">
        <w:rPr>
          <w:rFonts w:ascii="Times New Roman" w:eastAsia="黑体" w:hAnsi="Times New Roman" w:cs="Times New Roman"/>
          <w:color w:val="000000" w:themeColor="text1"/>
          <w:sz w:val="24"/>
          <w:szCs w:val="24"/>
        </w:rPr>
        <w:t>、</w:t>
      </w:r>
      <w:r w:rsidR="009C4CA7" w:rsidRPr="00092862">
        <w:rPr>
          <w:rFonts w:ascii="Times New Roman" w:eastAsia="黑体" w:hAnsi="Times New Roman" w:cs="Times New Roman"/>
          <w:color w:val="000000" w:themeColor="text1"/>
          <w:sz w:val="24"/>
          <w:szCs w:val="24"/>
        </w:rPr>
        <w:t>试采期</w:t>
      </w:r>
      <w:r w:rsidRPr="00092862">
        <w:rPr>
          <w:rFonts w:ascii="Times New Roman" w:eastAsia="黑体" w:hAnsi="Times New Roman" w:cs="Times New Roman"/>
          <w:color w:val="000000" w:themeColor="text1"/>
          <w:sz w:val="24"/>
          <w:szCs w:val="24"/>
        </w:rPr>
        <w:t>地下水影响预测分析</w:t>
      </w:r>
      <w:bookmarkEnd w:id="254"/>
    </w:p>
    <w:p w14:paraId="456E2A6F" w14:textId="0552D1FA" w:rsidR="004A6D52" w:rsidRPr="00092862" w:rsidRDefault="004A6D52"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本项目为油气</w:t>
      </w:r>
      <w:r w:rsidR="00625D3A"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项目，对地下水的影响主要在项目的施工期，</w:t>
      </w:r>
      <w:r w:rsidR="006C3F99"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阶段对地下水的影响极小。</w:t>
      </w:r>
    </w:p>
    <w:p w14:paraId="2E5EBB64" w14:textId="030B1C34" w:rsidR="004A6D52" w:rsidRPr="00092862" w:rsidRDefault="006C3F99" w:rsidP="00CF68B9">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试采</w:t>
      </w:r>
      <w:r w:rsidR="004A6D52" w:rsidRPr="00092862">
        <w:rPr>
          <w:rFonts w:ascii="Times New Roman" w:eastAsia="宋体" w:hAnsi="Times New Roman" w:cs="Times New Roman"/>
          <w:color w:val="000000" w:themeColor="text1"/>
          <w:sz w:val="24"/>
          <w:szCs w:val="24"/>
        </w:rPr>
        <w:t>期无生产固废产生和堆放；采气废水暂存于</w:t>
      </w:r>
      <w:r w:rsidR="00DD4FA1" w:rsidRPr="00092862">
        <w:rPr>
          <w:rFonts w:ascii="Times New Roman" w:eastAsia="宋体" w:hAnsi="Times New Roman" w:cs="Times New Roman"/>
          <w:color w:val="000000" w:themeColor="text1"/>
          <w:sz w:val="24"/>
          <w:szCs w:val="24"/>
        </w:rPr>
        <w:t>火炬分液罐</w:t>
      </w:r>
      <w:r w:rsidR="004A6D52" w:rsidRPr="00092862">
        <w:rPr>
          <w:rFonts w:ascii="Times New Roman" w:eastAsia="宋体" w:hAnsi="Times New Roman" w:cs="Times New Roman"/>
          <w:color w:val="000000" w:themeColor="text1"/>
          <w:sz w:val="24"/>
          <w:szCs w:val="24"/>
        </w:rPr>
        <w:t>，</w:t>
      </w:r>
      <w:r w:rsidR="00CB1CA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004A6D52" w:rsidRPr="00092862">
        <w:rPr>
          <w:rFonts w:ascii="Times New Roman" w:eastAsia="宋体" w:hAnsi="Times New Roman" w:cs="Times New Roman"/>
          <w:color w:val="000000" w:themeColor="text1"/>
          <w:sz w:val="24"/>
          <w:szCs w:val="24"/>
        </w:rPr>
        <w:t>。</w:t>
      </w:r>
      <w:r w:rsidR="00271DF7" w:rsidRPr="00092862">
        <w:rPr>
          <w:rFonts w:ascii="Times New Roman" w:eastAsia="宋体" w:hAnsi="Times New Roman" w:cs="Times New Roman"/>
          <w:color w:val="000000" w:themeColor="text1"/>
          <w:sz w:val="24"/>
          <w:szCs w:val="24"/>
        </w:rPr>
        <w:t>试采期工作人员生活污水经站场化粪池处理后定期由密闭罐车拉运至周边生活污水处理厂处理</w:t>
      </w:r>
      <w:r w:rsidR="004A6D52" w:rsidRPr="00092862">
        <w:rPr>
          <w:rFonts w:ascii="Times New Roman" w:eastAsia="宋体" w:hAnsi="Times New Roman" w:cs="Times New Roman"/>
          <w:color w:val="000000" w:themeColor="text1"/>
          <w:sz w:val="24"/>
          <w:szCs w:val="24"/>
        </w:rPr>
        <w:t>；除此之外，无其他废水产生。</w:t>
      </w:r>
      <w:r w:rsidRPr="00092862">
        <w:rPr>
          <w:rFonts w:ascii="Times New Roman" w:eastAsia="宋体" w:hAnsi="Times New Roman" w:cs="Times New Roman"/>
          <w:color w:val="000000" w:themeColor="text1"/>
          <w:sz w:val="24"/>
          <w:szCs w:val="24"/>
        </w:rPr>
        <w:t>火炬分液罐</w:t>
      </w:r>
      <w:r w:rsidR="004A6D52" w:rsidRPr="00092862">
        <w:rPr>
          <w:rFonts w:ascii="Times New Roman" w:eastAsia="宋体" w:hAnsi="Times New Roman" w:cs="Times New Roman"/>
          <w:color w:val="000000" w:themeColor="text1"/>
          <w:sz w:val="24"/>
          <w:szCs w:val="24"/>
        </w:rPr>
        <w:t>区采取了围堰并重点防渗，</w:t>
      </w:r>
      <w:r w:rsidRPr="00092862">
        <w:rPr>
          <w:rFonts w:ascii="Times New Roman" w:eastAsia="宋体" w:hAnsi="Times New Roman" w:cs="Times New Roman"/>
          <w:color w:val="000000" w:themeColor="text1"/>
          <w:sz w:val="24"/>
          <w:szCs w:val="24"/>
        </w:rPr>
        <w:lastRenderedPageBreak/>
        <w:t>火炬分液罐</w:t>
      </w:r>
      <w:r w:rsidR="004A6D52" w:rsidRPr="00092862">
        <w:rPr>
          <w:rFonts w:ascii="Times New Roman" w:eastAsia="宋体" w:hAnsi="Times New Roman" w:cs="Times New Roman"/>
          <w:color w:val="000000" w:themeColor="text1"/>
          <w:sz w:val="24"/>
          <w:szCs w:val="24"/>
        </w:rPr>
        <w:t>暂存地层水及时转运，污水发生泄漏进入地下水环境可能性基本不存在，在加强对监控井在</w:t>
      </w:r>
      <w:r w:rsidR="009C4CA7" w:rsidRPr="00092862">
        <w:rPr>
          <w:rFonts w:ascii="Times New Roman" w:eastAsia="宋体" w:hAnsi="Times New Roman" w:cs="Times New Roman"/>
          <w:color w:val="000000" w:themeColor="text1"/>
          <w:sz w:val="24"/>
          <w:szCs w:val="24"/>
        </w:rPr>
        <w:t>试采期</w:t>
      </w:r>
      <w:r w:rsidR="004A6D52" w:rsidRPr="00092862">
        <w:rPr>
          <w:rFonts w:ascii="Times New Roman" w:eastAsia="宋体" w:hAnsi="Times New Roman" w:cs="Times New Roman"/>
          <w:color w:val="000000" w:themeColor="text1"/>
          <w:sz w:val="24"/>
          <w:szCs w:val="24"/>
        </w:rPr>
        <w:t>内例行监测后，</w:t>
      </w:r>
      <w:r w:rsidRPr="00092862">
        <w:rPr>
          <w:rFonts w:ascii="Times New Roman" w:eastAsia="宋体" w:hAnsi="Times New Roman" w:cs="Times New Roman"/>
          <w:color w:val="000000" w:themeColor="text1"/>
          <w:sz w:val="24"/>
          <w:szCs w:val="24"/>
        </w:rPr>
        <w:t>试采</w:t>
      </w:r>
      <w:r w:rsidR="004A6D52" w:rsidRPr="00092862">
        <w:rPr>
          <w:rFonts w:ascii="Times New Roman" w:eastAsia="宋体" w:hAnsi="Times New Roman" w:cs="Times New Roman"/>
          <w:color w:val="000000" w:themeColor="text1"/>
          <w:sz w:val="24"/>
          <w:szCs w:val="24"/>
        </w:rPr>
        <w:t>期不会对地下水环境造成不利影响。</w:t>
      </w:r>
    </w:p>
    <w:p w14:paraId="0347C7B8" w14:textId="77777777" w:rsidR="006B6D9E" w:rsidRPr="00092862" w:rsidRDefault="006B6D9E" w:rsidP="006B6D9E">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5</w:t>
      </w:r>
      <w:r w:rsidRPr="00092862">
        <w:rPr>
          <w:rFonts w:ascii="Times New Roman" w:eastAsia="黑体" w:hAnsi="Times New Roman" w:cs="Times New Roman"/>
          <w:color w:val="000000" w:themeColor="text1"/>
          <w:sz w:val="24"/>
          <w:szCs w:val="24"/>
        </w:rPr>
        <w:t>、退役期地下水环境影响</w:t>
      </w:r>
    </w:p>
    <w:p w14:paraId="73C58FE5" w14:textId="77777777" w:rsidR="006B6D9E" w:rsidRPr="00092862" w:rsidRDefault="006B6D9E" w:rsidP="006B6D9E">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项目退役期进行站场拆除、封井和生态恢复，</w:t>
      </w:r>
      <w:r w:rsidR="0029178F" w:rsidRPr="00092862">
        <w:rPr>
          <w:rFonts w:ascii="Times New Roman" w:eastAsia="宋体" w:hAnsi="Times New Roman" w:cs="Times New Roman"/>
          <w:color w:val="000000" w:themeColor="text1"/>
          <w:sz w:val="24"/>
          <w:szCs w:val="24"/>
        </w:rPr>
        <w:t>对井场进行无害化治理，</w:t>
      </w:r>
      <w:r w:rsidR="00570CD2" w:rsidRPr="00092862">
        <w:rPr>
          <w:rFonts w:ascii="Times New Roman" w:eastAsia="宋体" w:hAnsi="Times New Roman" w:cs="Times New Roman"/>
          <w:color w:val="000000" w:themeColor="text1"/>
          <w:sz w:val="24"/>
          <w:szCs w:val="24"/>
        </w:rPr>
        <w:t>产生少量建筑垃圾及时转运至当地政府制定地点处理，避开雨季对固废的淋滤，退役期对地下水环境影响很有限，</w:t>
      </w:r>
      <w:r w:rsidRPr="00092862">
        <w:rPr>
          <w:rFonts w:ascii="Times New Roman" w:eastAsia="宋体" w:hAnsi="Times New Roman" w:cs="Times New Roman"/>
          <w:color w:val="000000" w:themeColor="text1"/>
          <w:sz w:val="24"/>
          <w:szCs w:val="24"/>
        </w:rPr>
        <w:t>对地下水</w:t>
      </w:r>
      <w:r w:rsidR="00570CD2" w:rsidRPr="00092862">
        <w:rPr>
          <w:rFonts w:ascii="Times New Roman" w:eastAsia="宋体" w:hAnsi="Times New Roman" w:cs="Times New Roman"/>
          <w:color w:val="000000" w:themeColor="text1"/>
          <w:sz w:val="24"/>
          <w:szCs w:val="24"/>
        </w:rPr>
        <w:t>环境</w:t>
      </w:r>
      <w:r w:rsidRPr="00092862">
        <w:rPr>
          <w:rFonts w:ascii="Times New Roman" w:eastAsia="宋体" w:hAnsi="Times New Roman" w:cs="Times New Roman"/>
          <w:color w:val="000000" w:themeColor="text1"/>
          <w:sz w:val="24"/>
          <w:szCs w:val="24"/>
        </w:rPr>
        <w:t>的影响是可接受的。</w:t>
      </w:r>
    </w:p>
    <w:p w14:paraId="7D2E2AEB" w14:textId="77777777" w:rsidR="004A6D52" w:rsidRPr="00092862" w:rsidRDefault="006B6D9E" w:rsidP="00C66CCB">
      <w:pPr>
        <w:adjustRightInd w:val="0"/>
        <w:snapToGrid w:val="0"/>
        <w:spacing w:line="360" w:lineRule="auto"/>
        <w:ind w:firstLineChars="200" w:firstLine="480"/>
        <w:rPr>
          <w:rFonts w:ascii="Times New Roman" w:eastAsia="黑体" w:hAnsi="Times New Roman" w:cs="Times New Roman"/>
          <w:color w:val="000000" w:themeColor="text1"/>
          <w:sz w:val="24"/>
          <w:szCs w:val="24"/>
        </w:rPr>
      </w:pPr>
      <w:bookmarkStart w:id="255" w:name="_Toc78877617"/>
      <w:r w:rsidRPr="00092862">
        <w:rPr>
          <w:rFonts w:ascii="Times New Roman" w:eastAsia="黑体" w:hAnsi="Times New Roman" w:cs="Times New Roman"/>
          <w:color w:val="000000" w:themeColor="text1"/>
          <w:sz w:val="24"/>
          <w:szCs w:val="24"/>
        </w:rPr>
        <w:t>6</w:t>
      </w:r>
      <w:r w:rsidR="004C730C" w:rsidRPr="00092862">
        <w:rPr>
          <w:rFonts w:ascii="Times New Roman" w:eastAsia="黑体" w:hAnsi="Times New Roman" w:cs="Times New Roman"/>
          <w:color w:val="000000" w:themeColor="text1"/>
          <w:sz w:val="24"/>
          <w:szCs w:val="24"/>
        </w:rPr>
        <w:t>、</w:t>
      </w:r>
      <w:r w:rsidR="004A6D52" w:rsidRPr="00092862">
        <w:rPr>
          <w:rFonts w:ascii="Times New Roman" w:eastAsia="黑体" w:hAnsi="Times New Roman" w:cs="Times New Roman"/>
          <w:color w:val="000000" w:themeColor="text1"/>
          <w:sz w:val="24"/>
          <w:szCs w:val="24"/>
        </w:rPr>
        <w:t>地下水环境影响预测小结</w:t>
      </w:r>
      <w:bookmarkEnd w:id="255"/>
    </w:p>
    <w:p w14:paraId="6F316B56" w14:textId="7433B331" w:rsidR="003C3813" w:rsidRPr="00092862" w:rsidRDefault="004A6D52" w:rsidP="00C66CC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根据项目外环境关系，</w:t>
      </w:r>
      <w:r w:rsidR="00847C56" w:rsidRPr="00092862">
        <w:rPr>
          <w:rFonts w:ascii="Times New Roman" w:eastAsia="宋体" w:hAnsi="Times New Roman" w:cs="Times New Roman"/>
          <w:color w:val="000000" w:themeColor="text1"/>
          <w:sz w:val="24"/>
          <w:szCs w:val="24"/>
        </w:rPr>
        <w:t>项目下游西南方向水井最近距离井口</w:t>
      </w:r>
      <w:r w:rsidR="00045C09" w:rsidRPr="00092862">
        <w:rPr>
          <w:rFonts w:ascii="Times New Roman" w:eastAsia="宋体" w:hAnsi="Times New Roman" w:cs="Times New Roman"/>
          <w:color w:val="000000" w:themeColor="text1"/>
          <w:sz w:val="24"/>
          <w:szCs w:val="24"/>
        </w:rPr>
        <w:t>1500</w:t>
      </w:r>
      <w:r w:rsidR="00847C56" w:rsidRPr="00092862">
        <w:rPr>
          <w:rFonts w:ascii="Times New Roman" w:eastAsia="宋体" w:hAnsi="Times New Roman" w:cs="Times New Roman"/>
          <w:color w:val="000000" w:themeColor="text1"/>
          <w:sz w:val="24"/>
          <w:szCs w:val="24"/>
        </w:rPr>
        <w:t>m</w:t>
      </w:r>
      <w:r w:rsidR="009C4926" w:rsidRPr="00092862">
        <w:rPr>
          <w:rFonts w:ascii="Times New Roman" w:eastAsia="宋体" w:hAnsi="Times New Roman" w:cs="Times New Roman"/>
          <w:color w:val="000000" w:themeColor="text1"/>
          <w:sz w:val="24"/>
          <w:szCs w:val="24"/>
        </w:rPr>
        <w:t>（且未饮用）</w:t>
      </w:r>
      <w:r w:rsidR="00847C56" w:rsidRPr="00092862">
        <w:rPr>
          <w:rFonts w:ascii="Times New Roman" w:eastAsia="宋体" w:hAnsi="Times New Roman" w:cs="Times New Roman"/>
          <w:color w:val="000000" w:themeColor="text1"/>
          <w:sz w:val="24"/>
          <w:szCs w:val="24"/>
        </w:rPr>
        <w:t>，超标范围内</w:t>
      </w:r>
      <w:r w:rsidR="009C4926" w:rsidRPr="00092862">
        <w:rPr>
          <w:rFonts w:ascii="Times New Roman" w:eastAsia="宋体" w:hAnsi="Times New Roman" w:cs="Times New Roman"/>
          <w:color w:val="000000" w:themeColor="text1"/>
          <w:sz w:val="24"/>
          <w:szCs w:val="24"/>
        </w:rPr>
        <w:t>无居民水井分布</w:t>
      </w:r>
      <w:r w:rsidR="00847C56"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周边居民水井距离项目较远，因此对项目附近地下水水源影响很小。在对下游居民水井加强监控后，项目建设不会对周围居民水井产生不利影响，也不会对地下水环境造成明显不利影响，项目建设对地下水的影响是可接受的。</w:t>
      </w:r>
    </w:p>
    <w:p w14:paraId="55EFA6B8" w14:textId="49E579B9" w:rsidR="00053B30" w:rsidRPr="00092862" w:rsidRDefault="00053B30" w:rsidP="00C66CCB">
      <w:pPr>
        <w:pStyle w:val="2"/>
        <w:ind w:firstLine="480"/>
        <w:jc w:val="both"/>
        <w:rPr>
          <w:color w:val="000000" w:themeColor="text1"/>
          <w:szCs w:val="24"/>
          <w:lang w:eastAsia="zh-CN"/>
        </w:rPr>
      </w:pPr>
      <w:bookmarkStart w:id="256" w:name="_Toc123682544"/>
      <w:r w:rsidRPr="00092862">
        <w:rPr>
          <w:color w:val="000000" w:themeColor="text1"/>
          <w:szCs w:val="24"/>
          <w:lang w:eastAsia="zh-CN"/>
        </w:rPr>
        <w:t>5.</w:t>
      </w:r>
      <w:r w:rsidR="00CA20DF" w:rsidRPr="00092862">
        <w:rPr>
          <w:color w:val="000000" w:themeColor="text1"/>
          <w:szCs w:val="24"/>
          <w:lang w:eastAsia="zh-CN"/>
        </w:rPr>
        <w:t>4</w:t>
      </w:r>
      <w:r w:rsidRPr="00092862">
        <w:rPr>
          <w:color w:val="000000" w:themeColor="text1"/>
          <w:szCs w:val="24"/>
          <w:lang w:eastAsia="zh-CN"/>
        </w:rPr>
        <w:t>退役期环境影响分析</w:t>
      </w:r>
      <w:bookmarkEnd w:id="256"/>
    </w:p>
    <w:p w14:paraId="65DBD102" w14:textId="04CC084A" w:rsidR="00D52DB5" w:rsidRPr="00092862" w:rsidRDefault="00D52DB5" w:rsidP="00C66CC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随着天然气开采的不断进行，其储量逐渐下降，最终将进入服役期满</w:t>
      </w:r>
      <w:r w:rsidR="00A31899" w:rsidRPr="00092862">
        <w:rPr>
          <w:rFonts w:ascii="Times New Roman" w:hAnsi="Times New Roman"/>
          <w:bCs/>
          <w:color w:val="000000" w:themeColor="text1"/>
          <w:lang w:eastAsia="zh-CN"/>
        </w:rPr>
        <w:t>（若试采效果不理想，也会提前进入退役期</w:t>
      </w:r>
      <w:r w:rsidR="00F40728" w:rsidRPr="00092862">
        <w:rPr>
          <w:rFonts w:ascii="Times New Roman" w:hAnsi="Times New Roman"/>
          <w:bCs/>
          <w:color w:val="000000" w:themeColor="text1"/>
          <w:lang w:eastAsia="zh-CN"/>
        </w:rPr>
        <w:t>，若集气站与井口有后续开发计划，则井口封井后与集气站留待后续开发使用，生态恢复纳入后续建设工程</w:t>
      </w:r>
      <w:r w:rsidR="00A31899" w:rsidRPr="00092862">
        <w:rPr>
          <w:rFonts w:ascii="Times New Roman" w:hAnsi="Times New Roman"/>
          <w:bCs/>
          <w:color w:val="000000" w:themeColor="text1"/>
          <w:lang w:eastAsia="zh-CN"/>
        </w:rPr>
        <w:t>）</w:t>
      </w:r>
      <w:r w:rsidRPr="00092862">
        <w:rPr>
          <w:rFonts w:ascii="Times New Roman" w:hAnsi="Times New Roman"/>
          <w:bCs/>
          <w:color w:val="000000" w:themeColor="text1"/>
          <w:kern w:val="2"/>
          <w:lang w:eastAsia="zh-CN"/>
        </w:rPr>
        <w:t>。当气井开发接近尾声时，各种机械设备将停止使用，进驻其中的天然气开发工作人员将陆续撤离井场，由此带来的大气污染物、生产废水、生活污水、噪声及固体废物等对环境的影响将会消失。</w:t>
      </w:r>
    </w:p>
    <w:p w14:paraId="3CEE36B5" w14:textId="77777777" w:rsidR="00D52DB5" w:rsidRPr="00092862" w:rsidRDefault="00D52DB5" w:rsidP="00C66CC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服役期满的环境影响以生态环境的恢复为主，同时封井和井场清理也会产生少量扬尘和建筑垃圾，会对周围的环境造成一定影响。</w:t>
      </w:r>
    </w:p>
    <w:p w14:paraId="19B596B2" w14:textId="77777777" w:rsidR="00D52DB5" w:rsidRPr="00092862" w:rsidRDefault="00D52DB5" w:rsidP="00C66CC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气井停采后将进行一系列清理工作，包括地面设施拆除、地下截去至少</w:t>
      </w:r>
      <w:r w:rsidRPr="00092862">
        <w:rPr>
          <w:rFonts w:ascii="Times New Roman" w:hAnsi="Times New Roman"/>
          <w:bCs/>
          <w:color w:val="000000" w:themeColor="text1"/>
          <w:kern w:val="2"/>
          <w:lang w:eastAsia="zh-CN"/>
        </w:rPr>
        <w:t>1m</w:t>
      </w:r>
      <w:r w:rsidRPr="00092862">
        <w:rPr>
          <w:rFonts w:ascii="Times New Roman" w:hAnsi="Times New Roman"/>
          <w:bCs/>
          <w:color w:val="000000" w:themeColor="text1"/>
          <w:kern w:val="2"/>
          <w:lang w:eastAsia="zh-CN"/>
        </w:rPr>
        <w:t>的井筒并用水泥灌注封井、井场清理等。在这期间，将会产生少量扬尘和固体废物。在闭井施工操作中应注意采取降尘措施，文明施工，防止水泥等的洒落与飘散，同时在清理井场时防止产生飞灰、扬尘的产生，尽可能降低对周边大气环境的影响。</w:t>
      </w:r>
    </w:p>
    <w:p w14:paraId="6662F571" w14:textId="77777777" w:rsidR="00D52DB5" w:rsidRPr="00092862" w:rsidRDefault="00D52DB5" w:rsidP="00C66CC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另外，井场清理等工作还会产生部分废弃管线、废弃建筑残渣等固体废物，对这些废弃管线、残渣等进行集中清理收集，管线外运经清洗后可回收再利用，</w:t>
      </w:r>
      <w:r w:rsidRPr="00092862">
        <w:rPr>
          <w:rFonts w:ascii="Times New Roman" w:hAnsi="Times New Roman"/>
          <w:bCs/>
          <w:color w:val="000000" w:themeColor="text1"/>
          <w:kern w:val="2"/>
          <w:lang w:eastAsia="zh-CN"/>
        </w:rPr>
        <w:lastRenderedPageBreak/>
        <w:t>废弃建筑残渣外运至指定处理场填埋处理。固体废物的妥善处理，可以有效控制对区域环境的影响。</w:t>
      </w:r>
    </w:p>
    <w:p w14:paraId="7D6ED487" w14:textId="77777777" w:rsidR="00EE3F7A" w:rsidRPr="00092862" w:rsidRDefault="00D52DB5" w:rsidP="00EE3F7A">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井场经过清理后，永久性占地范围内的水泥平台或砂砾石铺垫被清理，随后根据周边区域的自然现状对其进行恢复，使井场恢复到相对自然的一种状态。</w:t>
      </w:r>
      <w:r w:rsidR="00C66CCB" w:rsidRPr="00092862">
        <w:rPr>
          <w:rFonts w:ascii="Times New Roman" w:hAnsi="Times New Roman"/>
          <w:bCs/>
          <w:color w:val="000000" w:themeColor="text1"/>
          <w:kern w:val="2"/>
          <w:lang w:eastAsia="zh-CN"/>
        </w:rPr>
        <w:t>井场</w:t>
      </w:r>
      <w:r w:rsidRPr="00092862">
        <w:rPr>
          <w:rFonts w:ascii="Times New Roman" w:hAnsi="Times New Roman"/>
          <w:bCs/>
          <w:color w:val="000000" w:themeColor="text1"/>
          <w:kern w:val="2"/>
          <w:lang w:eastAsia="zh-CN"/>
        </w:rPr>
        <w:t>设施退役后，人员撤离，区域内没有了人为的扰动，井场范围内的自然环境会逐渐得以恢复，有助于区域生态环境的改善。</w:t>
      </w:r>
    </w:p>
    <w:p w14:paraId="1FDC2F23" w14:textId="77777777" w:rsidR="00EE3F7A" w:rsidRPr="00092862" w:rsidRDefault="00EE3F7A" w:rsidP="003D2EEB">
      <w:pPr>
        <w:pStyle w:val="1"/>
        <w:adjustRightInd w:val="0"/>
        <w:snapToGrid w:val="0"/>
        <w:spacing w:beforeLines="200" w:before="480" w:after="0" w:line="480" w:lineRule="auto"/>
        <w:jc w:val="center"/>
        <w:rPr>
          <w:rFonts w:ascii="Times New Roman" w:eastAsiaTheme="minorEastAsia" w:hAnsi="Times New Roman"/>
          <w:color w:val="000000" w:themeColor="text1"/>
          <w:sz w:val="24"/>
          <w:szCs w:val="24"/>
          <w:lang w:eastAsia="zh-CN"/>
        </w:rPr>
        <w:sectPr w:rsidR="00EE3F7A" w:rsidRPr="00092862" w:rsidSect="00C04A25">
          <w:pgSz w:w="11910" w:h="16840"/>
          <w:pgMar w:top="1440" w:right="1800" w:bottom="1440" w:left="1800" w:header="1213" w:footer="635" w:gutter="0"/>
          <w:cols w:space="720"/>
        </w:sectPr>
      </w:pPr>
      <w:bookmarkStart w:id="257" w:name="_bookmark31"/>
      <w:bookmarkStart w:id="258" w:name="第六章__环境保护措施及其可行性论证"/>
      <w:bookmarkEnd w:id="257"/>
      <w:bookmarkEnd w:id="258"/>
    </w:p>
    <w:p w14:paraId="4B5BFF77" w14:textId="55F6A4FA" w:rsidR="00450025" w:rsidRPr="00092862" w:rsidRDefault="00450025" w:rsidP="00450025">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259" w:name="_Toc123682545"/>
      <w:r w:rsidRPr="00092862">
        <w:rPr>
          <w:rFonts w:ascii="Times New Roman" w:eastAsia="黑体" w:hAnsi="Times New Roman"/>
          <w:b w:val="0"/>
          <w:color w:val="000000" w:themeColor="text1"/>
          <w:sz w:val="28"/>
          <w:szCs w:val="28"/>
          <w:lang w:eastAsia="zh-CN"/>
        </w:rPr>
        <w:lastRenderedPageBreak/>
        <w:t>6</w:t>
      </w:r>
      <w:r w:rsidRPr="00092862">
        <w:rPr>
          <w:rFonts w:ascii="Times New Roman" w:eastAsia="黑体" w:hAnsi="Times New Roman"/>
          <w:b w:val="0"/>
          <w:color w:val="000000" w:themeColor="text1"/>
          <w:sz w:val="28"/>
          <w:szCs w:val="28"/>
          <w:lang w:eastAsia="zh-CN"/>
        </w:rPr>
        <w:t>环境风险分析</w:t>
      </w:r>
      <w:bookmarkEnd w:id="259"/>
    </w:p>
    <w:p w14:paraId="2364479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环境风险评价是分析和预测该项目在钻井、压裂测试过程中存在的潜在危险、有害因素，该项目在建设期间可能发生的突发性事件或事故（不包括认为破坏或自然灾害），引起平台内可燃气体、液体泄漏，所造成的人身安全、环境影响的损害程度，提出合理可行的防范、应急与减缓措施，以使建设项目事故率、损失和环境风险影响达到可接受水平。</w:t>
      </w:r>
    </w:p>
    <w:p w14:paraId="591AE05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根据《建设项目环境风险评价技术导则》（</w:t>
      </w:r>
      <w:r w:rsidRPr="00092862">
        <w:rPr>
          <w:rFonts w:ascii="Times New Roman" w:hAnsi="Times New Roman"/>
          <w:bCs/>
          <w:color w:val="000000" w:themeColor="text1"/>
          <w:kern w:val="2"/>
          <w:lang w:eastAsia="zh-CN"/>
        </w:rPr>
        <w:t>HJ169-2018</w:t>
      </w:r>
      <w:r w:rsidRPr="00092862">
        <w:rPr>
          <w:rFonts w:ascii="Times New Roman" w:hAnsi="Times New Roman"/>
          <w:bCs/>
          <w:color w:val="000000" w:themeColor="text1"/>
          <w:kern w:val="2"/>
          <w:lang w:eastAsia="zh-CN"/>
        </w:rPr>
        <w:t>）导则要求，本次环境风险评价关注点为环境风险事故状态下对厂（场）界外环境的影响，同时关注生产放喷池泄漏等对当地耕地、水体的环境风险影响。</w:t>
      </w:r>
    </w:p>
    <w:p w14:paraId="771C5E50" w14:textId="34F78519" w:rsidR="00450025" w:rsidRPr="00092862" w:rsidRDefault="00450025" w:rsidP="00450025">
      <w:pPr>
        <w:pStyle w:val="2"/>
        <w:ind w:firstLine="480"/>
        <w:rPr>
          <w:color w:val="000000" w:themeColor="text1"/>
          <w:szCs w:val="24"/>
          <w:lang w:eastAsia="zh-CN"/>
        </w:rPr>
      </w:pPr>
      <w:bookmarkStart w:id="260" w:name="5.3.1评价依据"/>
      <w:bookmarkStart w:id="261" w:name="_Toc123682546"/>
      <w:bookmarkEnd w:id="260"/>
      <w:r w:rsidRPr="00092862">
        <w:rPr>
          <w:color w:val="000000" w:themeColor="text1"/>
          <w:szCs w:val="24"/>
          <w:lang w:eastAsia="zh-CN"/>
        </w:rPr>
        <w:t>6.1</w:t>
      </w:r>
      <w:r w:rsidRPr="00092862">
        <w:rPr>
          <w:color w:val="000000" w:themeColor="text1"/>
          <w:szCs w:val="24"/>
          <w:lang w:eastAsia="zh-CN"/>
        </w:rPr>
        <w:t>评价依据</w:t>
      </w:r>
      <w:bookmarkEnd w:id="261"/>
    </w:p>
    <w:p w14:paraId="165B0991" w14:textId="1EE437E2" w:rsidR="00450025" w:rsidRPr="00092862" w:rsidRDefault="00450025" w:rsidP="0045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62" w:name="_Toc120173171"/>
      <w:r w:rsidRPr="00092862">
        <w:rPr>
          <w:rFonts w:ascii="Times New Roman" w:eastAsia="黑体" w:hAnsi="Times New Roman"/>
          <w:b w:val="0"/>
          <w:color w:val="000000" w:themeColor="text1"/>
          <w:sz w:val="24"/>
          <w:szCs w:val="24"/>
          <w:lang w:eastAsia="zh-CN"/>
        </w:rPr>
        <w:t>6.1.1</w:t>
      </w:r>
      <w:r w:rsidRPr="00092862">
        <w:rPr>
          <w:rFonts w:ascii="Times New Roman" w:eastAsia="黑体" w:hAnsi="Times New Roman"/>
          <w:b w:val="0"/>
          <w:color w:val="000000" w:themeColor="text1"/>
          <w:sz w:val="24"/>
          <w:szCs w:val="24"/>
          <w:lang w:eastAsia="zh-CN"/>
        </w:rPr>
        <w:t>风险调查</w:t>
      </w:r>
      <w:bookmarkEnd w:id="262"/>
    </w:p>
    <w:p w14:paraId="3D8AC5BC"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根据《危险化学品重大危险源辨识》</w:t>
      </w:r>
      <w:r w:rsidRPr="00092862">
        <w:rPr>
          <w:rFonts w:ascii="Times New Roman" w:hAnsi="Times New Roman"/>
          <w:bCs/>
          <w:color w:val="000000" w:themeColor="text1"/>
          <w:kern w:val="2"/>
          <w:lang w:eastAsia="zh-CN"/>
        </w:rPr>
        <w:t>(GB18218-2018)</w:t>
      </w:r>
      <w:r w:rsidRPr="00092862">
        <w:rPr>
          <w:rFonts w:ascii="Times New Roman" w:hAnsi="Times New Roman"/>
          <w:bCs/>
          <w:color w:val="000000" w:themeColor="text1"/>
          <w:kern w:val="2"/>
          <w:lang w:eastAsia="zh-CN"/>
        </w:rPr>
        <w:t>的有关规定，本项目试采的天然气含硫，因此，项目涉及的主要危险物质主要包括</w:t>
      </w:r>
      <w:r w:rsidRPr="00092862">
        <w:rPr>
          <w:rFonts w:ascii="Times New Roman" w:hAnsi="Times New Roman"/>
          <w:bCs/>
          <w:color w:val="000000" w:themeColor="text1"/>
          <w:kern w:val="2"/>
          <w:lang w:eastAsia="zh-CN"/>
        </w:rPr>
        <w:t>CH</w:t>
      </w:r>
      <w:r w:rsidRPr="00092862">
        <w:rPr>
          <w:rFonts w:ascii="Times New Roman" w:hAnsi="Times New Roman"/>
          <w:bCs/>
          <w:color w:val="000000" w:themeColor="text1"/>
          <w:kern w:val="2"/>
          <w:vertAlign w:val="subscript"/>
          <w:lang w:eastAsia="zh-CN"/>
        </w:rPr>
        <w:t>4</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、停电等紧急情况下使用柴油发电机所需的易燃物质柴油以及生产过程中产生的废油，存在发生火灾、泄露、爆炸等突发性风险事故的可能性。</w:t>
      </w:r>
    </w:p>
    <w:p w14:paraId="0FD090C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根据工艺生产特点，该项目钻井过程中使用主要原、辅材料有泥浆、加重剂、固井水泥、添加剂、堵漏剂、试采的天然气、柴油发电机用柴油，井站试采期由工艺系统分离产生的气田水、试采的天然气。</w:t>
      </w:r>
    </w:p>
    <w:p w14:paraId="4F4E9661" w14:textId="7AA03D76" w:rsidR="00450025" w:rsidRPr="00092862" w:rsidRDefault="00450025" w:rsidP="001E56F9">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bCs/>
          <w:color w:val="000000" w:themeColor="text1"/>
          <w:kern w:val="2"/>
          <w:lang w:eastAsia="zh-CN"/>
        </w:rPr>
        <w:t>钻井过程中设置了自动、手动和电子共</w:t>
      </w:r>
      <w:r w:rsidR="00DC6306"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套点火装置，根据《石油天然气钻井井控技术规范》（</w:t>
      </w:r>
      <w:r w:rsidRPr="00092862">
        <w:rPr>
          <w:rFonts w:ascii="Times New Roman" w:hAnsi="Times New Roman"/>
          <w:bCs/>
          <w:color w:val="000000" w:themeColor="text1"/>
          <w:kern w:val="2"/>
          <w:lang w:eastAsia="zh-CN"/>
        </w:rPr>
        <w:t>GB/T31033-2014</w:t>
      </w:r>
      <w:r w:rsidRPr="00092862">
        <w:rPr>
          <w:rFonts w:ascii="Times New Roman" w:hAnsi="Times New Roman"/>
          <w:bCs/>
          <w:color w:val="000000" w:themeColor="text1"/>
          <w:kern w:val="2"/>
          <w:lang w:eastAsia="zh-CN"/>
        </w:rPr>
        <w:t>）等井控技术规范，发生井喷后可保证在</w:t>
      </w:r>
      <w:r w:rsidRPr="00092862">
        <w:rPr>
          <w:rFonts w:ascii="Times New Roman" w:hAnsi="Times New Roman"/>
          <w:bCs/>
          <w:color w:val="000000" w:themeColor="text1"/>
          <w:kern w:val="2"/>
          <w:lang w:eastAsia="zh-CN"/>
        </w:rPr>
        <w:t>15min</w:t>
      </w:r>
      <w:r w:rsidRPr="00092862">
        <w:rPr>
          <w:rFonts w:ascii="Times New Roman" w:hAnsi="Times New Roman"/>
          <w:bCs/>
          <w:color w:val="000000" w:themeColor="text1"/>
          <w:kern w:val="2"/>
          <w:lang w:eastAsia="zh-CN"/>
        </w:rPr>
        <w:t>内实施井口点火，故钻井施工现场风险事故泄漏的甲烷和硫化氢泄漏量按</w:t>
      </w:r>
      <w:r w:rsidRPr="00092862">
        <w:rPr>
          <w:rFonts w:ascii="Times New Roman" w:hAnsi="Times New Roman"/>
          <w:bCs/>
          <w:color w:val="000000" w:themeColor="text1"/>
          <w:kern w:val="2"/>
          <w:lang w:eastAsia="zh-CN"/>
        </w:rPr>
        <w:t>15min</w:t>
      </w:r>
      <w:r w:rsidRPr="00092862">
        <w:rPr>
          <w:rFonts w:ascii="Times New Roman" w:hAnsi="Times New Roman"/>
          <w:bCs/>
          <w:color w:val="000000" w:themeColor="text1"/>
          <w:kern w:val="2"/>
          <w:lang w:eastAsia="zh-CN"/>
        </w:rPr>
        <w:t>计。根据项目可研报告可知，</w:t>
      </w:r>
      <w:r w:rsidR="00DC6306" w:rsidRPr="00092862">
        <w:rPr>
          <w:rFonts w:ascii="Times New Roman" w:hAnsi="Times New Roman"/>
          <w:color w:val="000000" w:themeColor="text1"/>
          <w:lang w:eastAsia="zh-CN"/>
        </w:rPr>
        <w:t>基于普光气田在飞三、飞一二段及老君</w:t>
      </w:r>
      <w:r w:rsidR="00DC6306" w:rsidRPr="00092862">
        <w:rPr>
          <w:rFonts w:ascii="Times New Roman" w:hAnsi="Times New Roman"/>
          <w:color w:val="000000" w:themeColor="text1"/>
          <w:lang w:eastAsia="zh-CN"/>
        </w:rPr>
        <w:t>4</w:t>
      </w:r>
      <w:r w:rsidR="00DC6306" w:rsidRPr="00092862">
        <w:rPr>
          <w:rFonts w:ascii="Times New Roman" w:hAnsi="Times New Roman"/>
          <w:color w:val="000000" w:themeColor="text1"/>
          <w:lang w:eastAsia="zh-CN"/>
        </w:rPr>
        <w:t>投产试气资料，本次风险</w:t>
      </w:r>
      <w:r w:rsidR="001E56F9" w:rsidRPr="00092862">
        <w:rPr>
          <w:rFonts w:ascii="Times New Roman" w:hAnsi="Times New Roman"/>
          <w:color w:val="000000" w:themeColor="text1"/>
          <w:lang w:eastAsia="zh-CN"/>
        </w:rPr>
        <w:t>事故情形考虑为酸压前发生风险事故，且</w:t>
      </w:r>
      <w:r w:rsidR="00DC6306" w:rsidRPr="00092862">
        <w:rPr>
          <w:rFonts w:ascii="Times New Roman" w:hAnsi="Times New Roman"/>
          <w:color w:val="000000" w:themeColor="text1"/>
          <w:lang w:eastAsia="zh-CN"/>
        </w:rPr>
        <w:t>评价考虑两口井不同时测试，因此风险评价</w:t>
      </w:r>
      <w:r w:rsidR="00DC6306" w:rsidRPr="00092862">
        <w:rPr>
          <w:rFonts w:ascii="Times New Roman" w:hAnsi="Times New Roman"/>
          <w:bCs/>
          <w:color w:val="000000" w:themeColor="text1"/>
          <w:kern w:val="2"/>
          <w:lang w:eastAsia="zh-CN"/>
        </w:rPr>
        <w:t>按单井最大</w:t>
      </w:r>
      <w:r w:rsidR="00DC6306" w:rsidRPr="00092862">
        <w:rPr>
          <w:rFonts w:ascii="Times New Roman" w:hAnsi="Times New Roman"/>
          <w:color w:val="000000" w:themeColor="text1"/>
          <w:lang w:eastAsia="zh-CN"/>
        </w:rPr>
        <w:t>L7011-5H</w:t>
      </w:r>
      <w:r w:rsidR="00DC6306" w:rsidRPr="00092862">
        <w:rPr>
          <w:rFonts w:ascii="Times New Roman" w:hAnsi="Times New Roman"/>
          <w:color w:val="000000" w:themeColor="text1"/>
          <w:lang w:eastAsia="zh-CN"/>
        </w:rPr>
        <w:t>井的</w:t>
      </w:r>
      <w:r w:rsidR="00697429" w:rsidRPr="00092862">
        <w:rPr>
          <w:rFonts w:ascii="Times New Roman" w:hAnsi="Times New Roman"/>
          <w:color w:val="000000" w:themeColor="text1"/>
          <w:lang w:eastAsia="zh-CN"/>
        </w:rPr>
        <w:t>酸化压裂前</w:t>
      </w:r>
      <w:r w:rsidR="00DC6306" w:rsidRPr="00092862">
        <w:rPr>
          <w:rFonts w:ascii="Times New Roman" w:hAnsi="Times New Roman"/>
          <w:color w:val="000000" w:themeColor="text1"/>
          <w:lang w:eastAsia="zh-CN"/>
        </w:rPr>
        <w:t>无阻流量</w:t>
      </w:r>
      <w:r w:rsidR="00697429" w:rsidRPr="00092862">
        <w:rPr>
          <w:rFonts w:ascii="Times New Roman" w:hAnsi="Times New Roman"/>
          <w:color w:val="000000" w:themeColor="text1"/>
          <w:lang w:eastAsia="zh-CN"/>
        </w:rPr>
        <w:t>100.23×10</w:t>
      </w:r>
      <w:r w:rsidR="00DC6306" w:rsidRPr="00092862">
        <w:rPr>
          <w:rFonts w:ascii="Times New Roman" w:hAnsi="Times New Roman"/>
          <w:color w:val="000000" w:themeColor="text1"/>
          <w:vertAlign w:val="superscript"/>
          <w:lang w:eastAsia="zh-CN"/>
        </w:rPr>
        <w:t>4</w:t>
      </w:r>
      <w:r w:rsidR="00DC6306" w:rsidRPr="00092862">
        <w:rPr>
          <w:rFonts w:ascii="Times New Roman" w:hAnsi="Times New Roman"/>
          <w:color w:val="000000" w:themeColor="text1"/>
          <w:lang w:eastAsia="zh-CN"/>
        </w:rPr>
        <w:t>m</w:t>
      </w:r>
      <w:r w:rsidR="00DC6306" w:rsidRPr="00092862">
        <w:rPr>
          <w:rFonts w:ascii="Times New Roman" w:hAnsi="Times New Roman"/>
          <w:color w:val="000000" w:themeColor="text1"/>
          <w:vertAlign w:val="superscript"/>
          <w:lang w:eastAsia="zh-CN"/>
        </w:rPr>
        <w:t>3</w:t>
      </w:r>
      <w:r w:rsidR="00DC6306" w:rsidRPr="00092862">
        <w:rPr>
          <w:rFonts w:ascii="Times New Roman" w:hAnsi="Times New Roman"/>
          <w:color w:val="000000" w:themeColor="text1"/>
          <w:lang w:eastAsia="zh-CN"/>
        </w:rPr>
        <w:t>/d</w:t>
      </w:r>
      <w:r w:rsidR="00DC6306" w:rsidRPr="00092862">
        <w:rPr>
          <w:rFonts w:ascii="Times New Roman" w:hAnsi="Times New Roman"/>
          <w:color w:val="000000" w:themeColor="text1"/>
          <w:lang w:eastAsia="zh-CN"/>
        </w:rPr>
        <w:t>进行核算</w:t>
      </w:r>
      <w:r w:rsidRPr="00092862">
        <w:rPr>
          <w:rFonts w:ascii="Times New Roman" w:hAnsi="Times New Roman"/>
          <w:bCs/>
          <w:color w:val="000000" w:themeColor="text1"/>
          <w:kern w:val="2"/>
          <w:lang w:eastAsia="zh-CN"/>
        </w:rPr>
        <w:t>。</w:t>
      </w:r>
    </w:p>
    <w:p w14:paraId="14EBE5A7"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本项目涉及危险物质数量及分布情况见下表。</w:t>
      </w:r>
    </w:p>
    <w:p w14:paraId="38D5E60D" w14:textId="77777777"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Pr="00092862">
        <w:rPr>
          <w:rFonts w:ascii="Times New Roman" w:eastAsia="黑体" w:hAnsi="Times New Roman"/>
          <w:color w:val="000000" w:themeColor="text1"/>
          <w:sz w:val="21"/>
          <w:szCs w:val="21"/>
          <w:lang w:eastAsia="zh-CN"/>
        </w:rPr>
        <w:t xml:space="preserve">5.3-1  </w:t>
      </w:r>
      <w:r w:rsidRPr="00092862">
        <w:rPr>
          <w:rFonts w:ascii="Times New Roman" w:eastAsia="黑体" w:hAnsi="Times New Roman"/>
          <w:color w:val="000000" w:themeColor="text1"/>
          <w:sz w:val="21"/>
          <w:szCs w:val="21"/>
          <w:lang w:eastAsia="zh-CN"/>
        </w:rPr>
        <w:t>本项目涉及危险物质数量及分布情况表</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28" w:type="dxa"/>
          <w:bottom w:w="28" w:type="dxa"/>
          <w:right w:w="28" w:type="dxa"/>
        </w:tblCellMar>
        <w:tblLook w:val="0000" w:firstRow="0" w:lastRow="0" w:firstColumn="0" w:lastColumn="0" w:noHBand="0" w:noVBand="0"/>
      </w:tblPr>
      <w:tblGrid>
        <w:gridCol w:w="701"/>
        <w:gridCol w:w="992"/>
        <w:gridCol w:w="1701"/>
        <w:gridCol w:w="1418"/>
        <w:gridCol w:w="3410"/>
      </w:tblGrid>
      <w:tr w:rsidR="00697429" w:rsidRPr="00092862" w14:paraId="64904DA0" w14:textId="77777777" w:rsidTr="00C54C73">
        <w:trPr>
          <w:jc w:val="center"/>
        </w:trPr>
        <w:tc>
          <w:tcPr>
            <w:tcW w:w="701" w:type="dxa"/>
            <w:vAlign w:val="center"/>
          </w:tcPr>
          <w:p w14:paraId="00E744E9"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序号</w:t>
            </w:r>
          </w:p>
        </w:tc>
        <w:tc>
          <w:tcPr>
            <w:tcW w:w="992" w:type="dxa"/>
            <w:vAlign w:val="center"/>
          </w:tcPr>
          <w:p w14:paraId="434B5D5C"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时段</w:t>
            </w:r>
          </w:p>
        </w:tc>
        <w:tc>
          <w:tcPr>
            <w:tcW w:w="1701" w:type="dxa"/>
            <w:vAlign w:val="center"/>
          </w:tcPr>
          <w:p w14:paraId="3D496D89"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物质</w:t>
            </w:r>
          </w:p>
        </w:tc>
        <w:tc>
          <w:tcPr>
            <w:tcW w:w="1418" w:type="dxa"/>
            <w:vAlign w:val="center"/>
          </w:tcPr>
          <w:p w14:paraId="44FC014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最大存在量</w:t>
            </w:r>
          </w:p>
        </w:tc>
        <w:tc>
          <w:tcPr>
            <w:tcW w:w="3410" w:type="dxa"/>
            <w:vAlign w:val="center"/>
          </w:tcPr>
          <w:p w14:paraId="12C9D8D6"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分布位置</w:t>
            </w:r>
          </w:p>
        </w:tc>
      </w:tr>
      <w:tr w:rsidR="00697429" w:rsidRPr="00092862" w14:paraId="687EE49D" w14:textId="77777777" w:rsidTr="00C54C73">
        <w:trPr>
          <w:jc w:val="center"/>
        </w:trPr>
        <w:tc>
          <w:tcPr>
            <w:tcW w:w="701" w:type="dxa"/>
            <w:vAlign w:val="center"/>
          </w:tcPr>
          <w:p w14:paraId="0EFEE2B2"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w:t>
            </w:r>
          </w:p>
        </w:tc>
        <w:tc>
          <w:tcPr>
            <w:tcW w:w="992" w:type="dxa"/>
            <w:vMerge w:val="restart"/>
            <w:vAlign w:val="center"/>
          </w:tcPr>
          <w:p w14:paraId="634B8BE5"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施工期</w:t>
            </w:r>
            <w:r w:rsidRPr="00092862">
              <w:rPr>
                <w:rFonts w:ascii="Times New Roman" w:eastAsia="宋体" w:hAnsi="Times New Roman" w:cs="Times New Roman"/>
                <w:color w:val="000000" w:themeColor="text1"/>
                <w:spacing w:val="-3"/>
                <w:szCs w:val="21"/>
              </w:rPr>
              <w:lastRenderedPageBreak/>
              <w:t>（钻井工程）</w:t>
            </w:r>
          </w:p>
        </w:tc>
        <w:tc>
          <w:tcPr>
            <w:tcW w:w="1701" w:type="dxa"/>
            <w:vAlign w:val="center"/>
          </w:tcPr>
          <w:p w14:paraId="6442CA19"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lastRenderedPageBreak/>
              <w:t>水基泥浆、固井</w:t>
            </w:r>
            <w:r w:rsidRPr="00092862">
              <w:rPr>
                <w:rFonts w:ascii="Times New Roman" w:eastAsia="宋体" w:hAnsi="Times New Roman" w:cs="Times New Roman"/>
                <w:color w:val="000000" w:themeColor="text1"/>
                <w:spacing w:val="-3"/>
                <w:szCs w:val="21"/>
              </w:rPr>
              <w:lastRenderedPageBreak/>
              <w:t>水泥及添加剂</w:t>
            </w:r>
          </w:p>
        </w:tc>
        <w:tc>
          <w:tcPr>
            <w:tcW w:w="1418" w:type="dxa"/>
            <w:vAlign w:val="center"/>
          </w:tcPr>
          <w:p w14:paraId="71500F39" w14:textId="184504AA"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lastRenderedPageBreak/>
              <w:t>约</w:t>
            </w:r>
            <w:r w:rsidR="00850D78" w:rsidRPr="00092862">
              <w:rPr>
                <w:rFonts w:ascii="Times New Roman" w:eastAsia="宋体" w:hAnsi="Times New Roman" w:cs="Times New Roman"/>
                <w:color w:val="000000" w:themeColor="text1"/>
                <w:spacing w:val="-3"/>
                <w:szCs w:val="21"/>
              </w:rPr>
              <w:t>5858</w:t>
            </w:r>
            <w:r w:rsidRPr="00092862">
              <w:rPr>
                <w:rFonts w:ascii="Times New Roman" w:eastAsia="宋体" w:hAnsi="Times New Roman" w:cs="Times New Roman"/>
                <w:color w:val="000000" w:themeColor="text1"/>
                <w:spacing w:val="-3"/>
                <w:szCs w:val="21"/>
              </w:rPr>
              <w:t>m</w:t>
            </w:r>
            <w:r w:rsidRPr="00092862">
              <w:rPr>
                <w:rFonts w:ascii="Times New Roman" w:eastAsia="宋体" w:hAnsi="Times New Roman" w:cs="Times New Roman"/>
                <w:color w:val="000000" w:themeColor="text1"/>
                <w:spacing w:val="-3"/>
                <w:szCs w:val="21"/>
                <w:vertAlign w:val="superscript"/>
              </w:rPr>
              <w:t>3</w:t>
            </w:r>
          </w:p>
        </w:tc>
        <w:tc>
          <w:tcPr>
            <w:tcW w:w="3410" w:type="dxa"/>
            <w:vAlign w:val="center"/>
          </w:tcPr>
          <w:p w14:paraId="2764FE5C"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泥浆循环系统、泥浆不落地工艺区，</w:t>
            </w:r>
            <w:r w:rsidRPr="00092862">
              <w:rPr>
                <w:rFonts w:ascii="Times New Roman" w:eastAsia="宋体" w:hAnsi="Times New Roman" w:cs="Times New Roman"/>
                <w:color w:val="000000" w:themeColor="text1"/>
                <w:spacing w:val="-3"/>
                <w:szCs w:val="21"/>
              </w:rPr>
              <w:lastRenderedPageBreak/>
              <w:t>重浆罐、泥浆材料区</w:t>
            </w:r>
          </w:p>
        </w:tc>
      </w:tr>
      <w:tr w:rsidR="00697429" w:rsidRPr="00092862" w14:paraId="4286B636" w14:textId="77777777" w:rsidTr="00C54C73">
        <w:trPr>
          <w:jc w:val="center"/>
        </w:trPr>
        <w:tc>
          <w:tcPr>
            <w:tcW w:w="701" w:type="dxa"/>
            <w:vAlign w:val="center"/>
          </w:tcPr>
          <w:p w14:paraId="6715490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lastRenderedPageBreak/>
              <w:t>2</w:t>
            </w:r>
          </w:p>
        </w:tc>
        <w:tc>
          <w:tcPr>
            <w:tcW w:w="992" w:type="dxa"/>
            <w:vMerge/>
            <w:vAlign w:val="center"/>
          </w:tcPr>
          <w:p w14:paraId="369F8442"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20A1B55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钻井废水</w:t>
            </w:r>
          </w:p>
        </w:tc>
        <w:tc>
          <w:tcPr>
            <w:tcW w:w="1418" w:type="dxa"/>
            <w:vAlign w:val="center"/>
          </w:tcPr>
          <w:p w14:paraId="76B68A84" w14:textId="07F034D0" w:rsidR="00450025" w:rsidRPr="00092862" w:rsidRDefault="00317F32"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bCs/>
                <w:color w:val="000000" w:themeColor="text1"/>
                <w:spacing w:val="-3"/>
                <w:szCs w:val="21"/>
              </w:rPr>
              <w:t>2791.68</w:t>
            </w:r>
            <w:r w:rsidR="00450025" w:rsidRPr="00092862">
              <w:rPr>
                <w:rFonts w:ascii="Times New Roman" w:eastAsia="宋体" w:hAnsi="Times New Roman" w:cs="Times New Roman"/>
                <w:color w:val="000000" w:themeColor="text1"/>
                <w:spacing w:val="-3"/>
                <w:szCs w:val="21"/>
              </w:rPr>
              <w:t>m</w:t>
            </w:r>
            <w:r w:rsidR="00450025" w:rsidRPr="00092862">
              <w:rPr>
                <w:rFonts w:ascii="Times New Roman" w:eastAsia="宋体" w:hAnsi="Times New Roman" w:cs="Times New Roman"/>
                <w:color w:val="000000" w:themeColor="text1"/>
                <w:spacing w:val="-3"/>
                <w:szCs w:val="21"/>
                <w:vertAlign w:val="superscript"/>
              </w:rPr>
              <w:t>3</w:t>
            </w:r>
          </w:p>
        </w:tc>
        <w:tc>
          <w:tcPr>
            <w:tcW w:w="3410" w:type="dxa"/>
            <w:vAlign w:val="center"/>
          </w:tcPr>
          <w:p w14:paraId="53ECE7D5"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废水收集罐</w:t>
            </w:r>
          </w:p>
        </w:tc>
      </w:tr>
      <w:tr w:rsidR="00697429" w:rsidRPr="00092862" w14:paraId="3DBBCA12" w14:textId="77777777" w:rsidTr="00C54C73">
        <w:trPr>
          <w:jc w:val="center"/>
        </w:trPr>
        <w:tc>
          <w:tcPr>
            <w:tcW w:w="701" w:type="dxa"/>
            <w:vAlign w:val="center"/>
          </w:tcPr>
          <w:p w14:paraId="45091BAB"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3</w:t>
            </w:r>
          </w:p>
        </w:tc>
        <w:tc>
          <w:tcPr>
            <w:tcW w:w="992" w:type="dxa"/>
            <w:vMerge/>
            <w:vAlign w:val="center"/>
          </w:tcPr>
          <w:p w14:paraId="09775819"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427B7CEA"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柴油</w:t>
            </w:r>
          </w:p>
        </w:tc>
        <w:tc>
          <w:tcPr>
            <w:tcW w:w="1418" w:type="dxa"/>
            <w:vAlign w:val="center"/>
          </w:tcPr>
          <w:p w14:paraId="167401F0"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16t</w:t>
            </w:r>
          </w:p>
        </w:tc>
        <w:tc>
          <w:tcPr>
            <w:tcW w:w="3410" w:type="dxa"/>
            <w:vAlign w:val="center"/>
          </w:tcPr>
          <w:p w14:paraId="7B7B215C"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柴油罐区</w:t>
            </w:r>
          </w:p>
        </w:tc>
      </w:tr>
      <w:tr w:rsidR="00697429" w:rsidRPr="00092862" w14:paraId="5BD1F7B2" w14:textId="77777777" w:rsidTr="00C54C73">
        <w:trPr>
          <w:jc w:val="center"/>
        </w:trPr>
        <w:tc>
          <w:tcPr>
            <w:tcW w:w="701" w:type="dxa"/>
            <w:vAlign w:val="center"/>
          </w:tcPr>
          <w:p w14:paraId="6843F3EC"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5</w:t>
            </w:r>
          </w:p>
        </w:tc>
        <w:tc>
          <w:tcPr>
            <w:tcW w:w="992" w:type="dxa"/>
            <w:vMerge/>
            <w:vAlign w:val="center"/>
          </w:tcPr>
          <w:p w14:paraId="11F18758"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79E1EFF1"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废油</w:t>
            </w:r>
          </w:p>
        </w:tc>
        <w:tc>
          <w:tcPr>
            <w:tcW w:w="1418" w:type="dxa"/>
            <w:vAlign w:val="center"/>
          </w:tcPr>
          <w:p w14:paraId="6BBEDA7F"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0.085t</w:t>
            </w:r>
          </w:p>
        </w:tc>
        <w:tc>
          <w:tcPr>
            <w:tcW w:w="3410" w:type="dxa"/>
            <w:vAlign w:val="center"/>
          </w:tcPr>
          <w:p w14:paraId="13D13459"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油桶区</w:t>
            </w:r>
          </w:p>
        </w:tc>
      </w:tr>
      <w:tr w:rsidR="00697429" w:rsidRPr="00092862" w14:paraId="2BC985DA" w14:textId="77777777" w:rsidTr="00C54C73">
        <w:trPr>
          <w:jc w:val="center"/>
        </w:trPr>
        <w:tc>
          <w:tcPr>
            <w:tcW w:w="701" w:type="dxa"/>
            <w:vAlign w:val="center"/>
          </w:tcPr>
          <w:p w14:paraId="21185ECD"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6</w:t>
            </w:r>
          </w:p>
        </w:tc>
        <w:tc>
          <w:tcPr>
            <w:tcW w:w="992" w:type="dxa"/>
            <w:vMerge/>
            <w:vAlign w:val="center"/>
          </w:tcPr>
          <w:p w14:paraId="3EF9B0F8"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0C06F369"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甲烷</w:t>
            </w:r>
          </w:p>
        </w:tc>
        <w:tc>
          <w:tcPr>
            <w:tcW w:w="1418" w:type="dxa"/>
            <w:vAlign w:val="center"/>
          </w:tcPr>
          <w:p w14:paraId="01B4CA68" w14:textId="1AB691D0" w:rsidR="00450025" w:rsidRPr="00092862" w:rsidRDefault="00D713D7"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5.27t</w:t>
            </w:r>
            <w:r w:rsidR="00450025" w:rsidRPr="00092862">
              <w:rPr>
                <w:rFonts w:ascii="Times New Roman" w:eastAsia="宋体" w:hAnsi="Times New Roman" w:cs="Times New Roman"/>
                <w:color w:val="000000" w:themeColor="text1"/>
                <w:spacing w:val="-3"/>
                <w:szCs w:val="21"/>
              </w:rPr>
              <w:t>（按井喷</w:t>
            </w:r>
            <w:r w:rsidR="00450025" w:rsidRPr="00092862">
              <w:rPr>
                <w:rFonts w:ascii="Times New Roman" w:eastAsia="宋体" w:hAnsi="Times New Roman" w:cs="Times New Roman"/>
                <w:color w:val="000000" w:themeColor="text1"/>
                <w:spacing w:val="-3"/>
                <w:szCs w:val="21"/>
              </w:rPr>
              <w:t>15min</w:t>
            </w:r>
            <w:r w:rsidR="00450025" w:rsidRPr="00092862">
              <w:rPr>
                <w:rFonts w:ascii="Times New Roman" w:eastAsia="宋体" w:hAnsi="Times New Roman" w:cs="Times New Roman"/>
                <w:color w:val="000000" w:themeColor="text1"/>
                <w:spacing w:val="-3"/>
                <w:szCs w:val="21"/>
              </w:rPr>
              <w:t>计算）</w:t>
            </w:r>
          </w:p>
        </w:tc>
        <w:tc>
          <w:tcPr>
            <w:tcW w:w="3410" w:type="dxa"/>
            <w:vAlign w:val="center"/>
          </w:tcPr>
          <w:p w14:paraId="0FC5A14B"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单井井喷失控</w:t>
            </w:r>
          </w:p>
        </w:tc>
      </w:tr>
      <w:tr w:rsidR="00697429" w:rsidRPr="00092862" w14:paraId="32169DBB" w14:textId="77777777" w:rsidTr="00C54C73">
        <w:trPr>
          <w:jc w:val="center"/>
        </w:trPr>
        <w:tc>
          <w:tcPr>
            <w:tcW w:w="701" w:type="dxa"/>
            <w:vAlign w:val="center"/>
          </w:tcPr>
          <w:p w14:paraId="6D20D13D"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7</w:t>
            </w:r>
          </w:p>
        </w:tc>
        <w:tc>
          <w:tcPr>
            <w:tcW w:w="992" w:type="dxa"/>
            <w:vMerge/>
            <w:vAlign w:val="center"/>
          </w:tcPr>
          <w:p w14:paraId="1F07F138"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0EBDC61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硫化氢</w:t>
            </w:r>
          </w:p>
        </w:tc>
        <w:tc>
          <w:tcPr>
            <w:tcW w:w="1418" w:type="dxa"/>
            <w:vAlign w:val="center"/>
          </w:tcPr>
          <w:p w14:paraId="2165248B" w14:textId="3B804171" w:rsidR="00450025" w:rsidRPr="00092862" w:rsidRDefault="00D713D7"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1.98t</w:t>
            </w:r>
            <w:r w:rsidR="00450025" w:rsidRPr="00092862">
              <w:rPr>
                <w:rFonts w:ascii="Times New Roman" w:eastAsia="宋体" w:hAnsi="Times New Roman" w:cs="Times New Roman"/>
                <w:color w:val="000000" w:themeColor="text1"/>
                <w:spacing w:val="-3"/>
                <w:szCs w:val="21"/>
              </w:rPr>
              <w:t>（按井喷</w:t>
            </w:r>
            <w:r w:rsidR="00450025" w:rsidRPr="00092862">
              <w:rPr>
                <w:rFonts w:ascii="Times New Roman" w:eastAsia="宋体" w:hAnsi="Times New Roman" w:cs="Times New Roman"/>
                <w:color w:val="000000" w:themeColor="text1"/>
                <w:spacing w:val="-3"/>
                <w:szCs w:val="21"/>
              </w:rPr>
              <w:t>15min</w:t>
            </w:r>
            <w:r w:rsidR="00450025" w:rsidRPr="00092862">
              <w:rPr>
                <w:rFonts w:ascii="Times New Roman" w:eastAsia="宋体" w:hAnsi="Times New Roman" w:cs="Times New Roman"/>
                <w:color w:val="000000" w:themeColor="text1"/>
                <w:spacing w:val="-3"/>
                <w:szCs w:val="21"/>
              </w:rPr>
              <w:t>计算）</w:t>
            </w:r>
          </w:p>
        </w:tc>
        <w:tc>
          <w:tcPr>
            <w:tcW w:w="3410" w:type="dxa"/>
            <w:vAlign w:val="center"/>
          </w:tcPr>
          <w:p w14:paraId="4037A736"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单井井喷失控</w:t>
            </w:r>
          </w:p>
        </w:tc>
      </w:tr>
      <w:tr w:rsidR="00697429" w:rsidRPr="00092862" w14:paraId="2051224D" w14:textId="77777777" w:rsidTr="00C54C73">
        <w:trPr>
          <w:jc w:val="center"/>
        </w:trPr>
        <w:tc>
          <w:tcPr>
            <w:tcW w:w="701" w:type="dxa"/>
            <w:vAlign w:val="center"/>
          </w:tcPr>
          <w:p w14:paraId="28ADE3FB"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8</w:t>
            </w:r>
          </w:p>
        </w:tc>
        <w:tc>
          <w:tcPr>
            <w:tcW w:w="992" w:type="dxa"/>
            <w:vMerge w:val="restart"/>
            <w:vAlign w:val="center"/>
          </w:tcPr>
          <w:p w14:paraId="320FCDE1"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施工期（压裂测试）</w:t>
            </w:r>
          </w:p>
        </w:tc>
        <w:tc>
          <w:tcPr>
            <w:tcW w:w="1701" w:type="dxa"/>
            <w:vMerge w:val="restart"/>
            <w:vAlign w:val="center"/>
          </w:tcPr>
          <w:p w14:paraId="235A0556"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压裂液（含压裂反排液）</w:t>
            </w:r>
          </w:p>
        </w:tc>
        <w:tc>
          <w:tcPr>
            <w:tcW w:w="1418" w:type="dxa"/>
            <w:vAlign w:val="center"/>
          </w:tcPr>
          <w:p w14:paraId="4F8B6A7D" w14:textId="4AD0782C" w:rsidR="00450025" w:rsidRPr="00092862" w:rsidRDefault="00E0523C"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2465</w:t>
            </w:r>
            <w:r w:rsidR="00450025" w:rsidRPr="00092862">
              <w:rPr>
                <w:rFonts w:ascii="Times New Roman" w:eastAsia="宋体" w:hAnsi="Times New Roman" w:cs="Times New Roman"/>
                <w:color w:val="000000" w:themeColor="text1"/>
                <w:spacing w:val="-3"/>
                <w:szCs w:val="21"/>
              </w:rPr>
              <w:t>m</w:t>
            </w:r>
            <w:r w:rsidR="00450025" w:rsidRPr="00092862">
              <w:rPr>
                <w:rFonts w:ascii="Times New Roman" w:eastAsia="宋体" w:hAnsi="Times New Roman" w:cs="Times New Roman"/>
                <w:color w:val="000000" w:themeColor="text1"/>
                <w:spacing w:val="-3"/>
                <w:szCs w:val="21"/>
                <w:vertAlign w:val="superscript"/>
              </w:rPr>
              <w:t>3</w:t>
            </w:r>
          </w:p>
        </w:tc>
        <w:tc>
          <w:tcPr>
            <w:tcW w:w="3410" w:type="dxa"/>
            <w:vAlign w:val="center"/>
          </w:tcPr>
          <w:p w14:paraId="32812ABB"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井场压裂液储罐</w:t>
            </w:r>
          </w:p>
        </w:tc>
      </w:tr>
      <w:tr w:rsidR="00697429" w:rsidRPr="00092862" w14:paraId="709F75A9" w14:textId="77777777" w:rsidTr="00C54C73">
        <w:trPr>
          <w:jc w:val="center"/>
        </w:trPr>
        <w:tc>
          <w:tcPr>
            <w:tcW w:w="701" w:type="dxa"/>
            <w:vAlign w:val="center"/>
          </w:tcPr>
          <w:p w14:paraId="639D99B2"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9</w:t>
            </w:r>
          </w:p>
        </w:tc>
        <w:tc>
          <w:tcPr>
            <w:tcW w:w="992" w:type="dxa"/>
            <w:vMerge/>
            <w:vAlign w:val="center"/>
          </w:tcPr>
          <w:p w14:paraId="301E2492"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Merge/>
            <w:vAlign w:val="center"/>
          </w:tcPr>
          <w:p w14:paraId="0F6DC5E4"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418" w:type="dxa"/>
            <w:vAlign w:val="center"/>
          </w:tcPr>
          <w:p w14:paraId="014D6EEF" w14:textId="6B021A52" w:rsidR="00450025" w:rsidRPr="00092862" w:rsidRDefault="00E0523C"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739.5</w:t>
            </w:r>
            <w:r w:rsidR="00450025" w:rsidRPr="00092862">
              <w:rPr>
                <w:rFonts w:ascii="Times New Roman" w:eastAsia="宋体" w:hAnsi="Times New Roman" w:cs="Times New Roman"/>
                <w:color w:val="000000" w:themeColor="text1"/>
                <w:spacing w:val="-3"/>
                <w:szCs w:val="21"/>
              </w:rPr>
              <w:t>m</w:t>
            </w:r>
            <w:r w:rsidR="00450025" w:rsidRPr="00092862">
              <w:rPr>
                <w:rFonts w:ascii="Times New Roman" w:eastAsia="宋体" w:hAnsi="Times New Roman" w:cs="Times New Roman"/>
                <w:color w:val="000000" w:themeColor="text1"/>
                <w:spacing w:val="-3"/>
                <w:szCs w:val="21"/>
                <w:vertAlign w:val="superscript"/>
              </w:rPr>
              <w:t>3</w:t>
            </w:r>
          </w:p>
        </w:tc>
        <w:tc>
          <w:tcPr>
            <w:tcW w:w="3410" w:type="dxa"/>
            <w:vAlign w:val="center"/>
          </w:tcPr>
          <w:p w14:paraId="12A575A8"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放喷池</w:t>
            </w:r>
          </w:p>
        </w:tc>
      </w:tr>
      <w:tr w:rsidR="00697429" w:rsidRPr="00092862" w14:paraId="333778AF" w14:textId="77777777" w:rsidTr="00C54C73">
        <w:trPr>
          <w:jc w:val="center"/>
        </w:trPr>
        <w:tc>
          <w:tcPr>
            <w:tcW w:w="701" w:type="dxa"/>
            <w:vAlign w:val="center"/>
          </w:tcPr>
          <w:p w14:paraId="3071D29D"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10</w:t>
            </w:r>
          </w:p>
        </w:tc>
        <w:tc>
          <w:tcPr>
            <w:tcW w:w="992" w:type="dxa"/>
            <w:vMerge/>
            <w:vAlign w:val="center"/>
          </w:tcPr>
          <w:p w14:paraId="19A996CC"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1A0AC7B5"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柴油</w:t>
            </w:r>
          </w:p>
        </w:tc>
        <w:tc>
          <w:tcPr>
            <w:tcW w:w="1418" w:type="dxa"/>
            <w:vAlign w:val="center"/>
          </w:tcPr>
          <w:p w14:paraId="2A9C3C0E"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16t</w:t>
            </w:r>
          </w:p>
        </w:tc>
        <w:tc>
          <w:tcPr>
            <w:tcW w:w="3410" w:type="dxa"/>
            <w:vAlign w:val="center"/>
          </w:tcPr>
          <w:p w14:paraId="46B89BA2"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柴油罐区</w:t>
            </w:r>
          </w:p>
        </w:tc>
      </w:tr>
      <w:tr w:rsidR="00697429" w:rsidRPr="00092862" w14:paraId="6D3E8D28" w14:textId="77777777" w:rsidTr="00C54C73">
        <w:trPr>
          <w:jc w:val="center"/>
        </w:trPr>
        <w:tc>
          <w:tcPr>
            <w:tcW w:w="701" w:type="dxa"/>
            <w:vAlign w:val="center"/>
          </w:tcPr>
          <w:p w14:paraId="721D9B73"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11</w:t>
            </w:r>
          </w:p>
        </w:tc>
        <w:tc>
          <w:tcPr>
            <w:tcW w:w="992" w:type="dxa"/>
            <w:vMerge w:val="restart"/>
            <w:vAlign w:val="center"/>
          </w:tcPr>
          <w:p w14:paraId="74E18EB9"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试采期</w:t>
            </w:r>
          </w:p>
        </w:tc>
        <w:tc>
          <w:tcPr>
            <w:tcW w:w="1701" w:type="dxa"/>
            <w:vAlign w:val="center"/>
          </w:tcPr>
          <w:p w14:paraId="0C2D4A78"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甲烷</w:t>
            </w:r>
          </w:p>
        </w:tc>
        <w:tc>
          <w:tcPr>
            <w:tcW w:w="1418" w:type="dxa"/>
            <w:vAlign w:val="center"/>
          </w:tcPr>
          <w:p w14:paraId="408E896D"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0.12t</w:t>
            </w:r>
          </w:p>
        </w:tc>
        <w:tc>
          <w:tcPr>
            <w:tcW w:w="3410" w:type="dxa"/>
            <w:vAlign w:val="center"/>
          </w:tcPr>
          <w:p w14:paraId="373AFE6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井口和站场工艺设备、管线（按</w:t>
            </w:r>
            <w:r w:rsidRPr="00092862">
              <w:rPr>
                <w:rFonts w:ascii="Times New Roman" w:eastAsia="宋体" w:hAnsi="Times New Roman" w:cs="Times New Roman"/>
                <w:color w:val="000000" w:themeColor="text1"/>
                <w:spacing w:val="-3"/>
                <w:szCs w:val="21"/>
              </w:rPr>
              <w:t>200m</w:t>
            </w:r>
            <w:r w:rsidRPr="00092862">
              <w:rPr>
                <w:rFonts w:ascii="Times New Roman" w:eastAsia="宋体" w:hAnsi="Times New Roman" w:cs="Times New Roman"/>
                <w:color w:val="000000" w:themeColor="text1"/>
                <w:spacing w:val="-3"/>
                <w:szCs w:val="21"/>
                <w:vertAlign w:val="superscript"/>
              </w:rPr>
              <w:t>3</w:t>
            </w:r>
            <w:r w:rsidRPr="00092862">
              <w:rPr>
                <w:rFonts w:ascii="Times New Roman" w:eastAsia="宋体" w:hAnsi="Times New Roman" w:cs="Times New Roman"/>
                <w:color w:val="000000" w:themeColor="text1"/>
                <w:spacing w:val="-3"/>
                <w:szCs w:val="21"/>
              </w:rPr>
              <w:t>计）</w:t>
            </w:r>
          </w:p>
        </w:tc>
      </w:tr>
      <w:tr w:rsidR="00697429" w:rsidRPr="00092862" w14:paraId="479B501B" w14:textId="77777777" w:rsidTr="00C54C73">
        <w:trPr>
          <w:jc w:val="center"/>
        </w:trPr>
        <w:tc>
          <w:tcPr>
            <w:tcW w:w="701" w:type="dxa"/>
            <w:vAlign w:val="center"/>
          </w:tcPr>
          <w:p w14:paraId="13BA2C46"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12</w:t>
            </w:r>
          </w:p>
        </w:tc>
        <w:tc>
          <w:tcPr>
            <w:tcW w:w="992" w:type="dxa"/>
            <w:vMerge/>
            <w:vAlign w:val="center"/>
          </w:tcPr>
          <w:p w14:paraId="68412CE7"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276491F4"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硫化氢</w:t>
            </w:r>
          </w:p>
        </w:tc>
        <w:tc>
          <w:tcPr>
            <w:tcW w:w="1418" w:type="dxa"/>
            <w:vAlign w:val="center"/>
          </w:tcPr>
          <w:p w14:paraId="5840170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0.04t</w:t>
            </w:r>
          </w:p>
        </w:tc>
        <w:tc>
          <w:tcPr>
            <w:tcW w:w="3410" w:type="dxa"/>
            <w:vAlign w:val="center"/>
          </w:tcPr>
          <w:p w14:paraId="2DC05C22"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井口和站场工艺设备、管线（按</w:t>
            </w:r>
            <w:r w:rsidRPr="00092862">
              <w:rPr>
                <w:rFonts w:ascii="Times New Roman" w:eastAsia="宋体" w:hAnsi="Times New Roman" w:cs="Times New Roman"/>
                <w:color w:val="000000" w:themeColor="text1"/>
                <w:spacing w:val="-3"/>
                <w:szCs w:val="21"/>
              </w:rPr>
              <w:t>200m</w:t>
            </w:r>
            <w:r w:rsidRPr="00092862">
              <w:rPr>
                <w:rFonts w:ascii="Times New Roman" w:eastAsia="宋体" w:hAnsi="Times New Roman" w:cs="Times New Roman"/>
                <w:color w:val="000000" w:themeColor="text1"/>
                <w:spacing w:val="-3"/>
                <w:szCs w:val="21"/>
                <w:vertAlign w:val="superscript"/>
              </w:rPr>
              <w:t>3</w:t>
            </w:r>
            <w:r w:rsidRPr="00092862">
              <w:rPr>
                <w:rFonts w:ascii="Times New Roman" w:eastAsia="宋体" w:hAnsi="Times New Roman" w:cs="Times New Roman"/>
                <w:color w:val="000000" w:themeColor="text1"/>
                <w:spacing w:val="-3"/>
                <w:szCs w:val="21"/>
              </w:rPr>
              <w:t>计）</w:t>
            </w:r>
          </w:p>
        </w:tc>
      </w:tr>
      <w:tr w:rsidR="00697429" w:rsidRPr="00092862" w14:paraId="0231664B" w14:textId="77777777" w:rsidTr="00C54C73">
        <w:trPr>
          <w:jc w:val="center"/>
        </w:trPr>
        <w:tc>
          <w:tcPr>
            <w:tcW w:w="701" w:type="dxa"/>
            <w:vAlign w:val="center"/>
          </w:tcPr>
          <w:p w14:paraId="2C5CE7CA"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13</w:t>
            </w:r>
          </w:p>
        </w:tc>
        <w:tc>
          <w:tcPr>
            <w:tcW w:w="992" w:type="dxa"/>
            <w:vMerge/>
            <w:vAlign w:val="center"/>
          </w:tcPr>
          <w:p w14:paraId="0334EAE8" w14:textId="77777777" w:rsidR="00450025" w:rsidRPr="00092862" w:rsidRDefault="00450025" w:rsidP="00C54C73">
            <w:pPr>
              <w:jc w:val="center"/>
              <w:rPr>
                <w:rFonts w:ascii="Times New Roman" w:eastAsia="宋体" w:hAnsi="Times New Roman" w:cs="Times New Roman"/>
                <w:color w:val="000000" w:themeColor="text1"/>
                <w:spacing w:val="-3"/>
                <w:szCs w:val="21"/>
              </w:rPr>
            </w:pPr>
          </w:p>
        </w:tc>
        <w:tc>
          <w:tcPr>
            <w:tcW w:w="1701" w:type="dxa"/>
            <w:vAlign w:val="center"/>
          </w:tcPr>
          <w:p w14:paraId="20247470"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气田水</w:t>
            </w:r>
          </w:p>
        </w:tc>
        <w:tc>
          <w:tcPr>
            <w:tcW w:w="1418" w:type="dxa"/>
            <w:vAlign w:val="center"/>
          </w:tcPr>
          <w:p w14:paraId="3193C256"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30m</w:t>
            </w:r>
            <w:r w:rsidRPr="00092862">
              <w:rPr>
                <w:rFonts w:ascii="Times New Roman" w:eastAsia="宋体" w:hAnsi="Times New Roman" w:cs="Times New Roman"/>
                <w:color w:val="000000" w:themeColor="text1"/>
                <w:spacing w:val="-3"/>
                <w:szCs w:val="21"/>
                <w:vertAlign w:val="superscript"/>
              </w:rPr>
              <w:t>3</w:t>
            </w:r>
          </w:p>
        </w:tc>
        <w:tc>
          <w:tcPr>
            <w:tcW w:w="3410" w:type="dxa"/>
            <w:vAlign w:val="center"/>
          </w:tcPr>
          <w:p w14:paraId="0C9318F7" w14:textId="77777777" w:rsidR="00450025" w:rsidRPr="00092862" w:rsidRDefault="00450025" w:rsidP="00C54C73">
            <w:pPr>
              <w:jc w:val="center"/>
              <w:rPr>
                <w:rFonts w:ascii="Times New Roman" w:eastAsia="宋体" w:hAnsi="Times New Roman" w:cs="Times New Roman"/>
                <w:color w:val="000000" w:themeColor="text1"/>
                <w:spacing w:val="-3"/>
                <w:szCs w:val="21"/>
              </w:rPr>
            </w:pPr>
            <w:r w:rsidRPr="00092862">
              <w:rPr>
                <w:rFonts w:ascii="Times New Roman" w:eastAsia="宋体" w:hAnsi="Times New Roman" w:cs="Times New Roman"/>
                <w:color w:val="000000" w:themeColor="text1"/>
                <w:spacing w:val="-3"/>
                <w:szCs w:val="21"/>
              </w:rPr>
              <w:t>火炬分液罐区</w:t>
            </w:r>
          </w:p>
        </w:tc>
      </w:tr>
    </w:tbl>
    <w:p w14:paraId="3C2E0551" w14:textId="77777777" w:rsidR="00450025" w:rsidRPr="00092862" w:rsidRDefault="00450025" w:rsidP="00450025">
      <w:pPr>
        <w:pStyle w:val="ac"/>
        <w:adjustRightInd w:val="0"/>
        <w:snapToGrid w:val="0"/>
        <w:spacing w:beforeLines="50" w:before="12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本项目涉及的危险物质物理化学特性及毒理性如下：</w:t>
      </w:r>
    </w:p>
    <w:p w14:paraId="4C8EC580"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）水基泥浆、固井水泥及添加剂危险性分析</w:t>
      </w:r>
    </w:p>
    <w:p w14:paraId="1C3B9E83"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泥浆为水基泥浆，以粘土（主要用膨润土）、水作为基础配浆材料，加入各种有机和无机材料形成的多种成份和相态共存的悬浮液，主要添加成分有聚合物、氯化钠、羧甲基纤维素（</w:t>
      </w:r>
      <w:r w:rsidRPr="00092862">
        <w:rPr>
          <w:rFonts w:ascii="Times New Roman" w:hAnsi="Times New Roman"/>
          <w:bCs/>
          <w:color w:val="000000" w:themeColor="text1"/>
          <w:kern w:val="2"/>
          <w:lang w:eastAsia="zh-CN"/>
        </w:rPr>
        <w:t>CMC</w:t>
      </w:r>
      <w:r w:rsidRPr="00092862">
        <w:rPr>
          <w:rFonts w:ascii="Times New Roman" w:hAnsi="Times New Roman"/>
          <w:bCs/>
          <w:color w:val="000000" w:themeColor="text1"/>
          <w:kern w:val="2"/>
          <w:lang w:eastAsia="zh-CN"/>
        </w:rPr>
        <w:t>）、木质硫酸盐、盐抑制剂以及改性石棉、石墨粉、烧碱等</w:t>
      </w:r>
      <w:r w:rsidRPr="00092862">
        <w:rPr>
          <w:rFonts w:ascii="Times New Roman" w:hAnsi="Times New Roman"/>
          <w:bCs/>
          <w:color w:val="000000" w:themeColor="text1"/>
          <w:kern w:val="2"/>
          <w:lang w:eastAsia="zh-CN"/>
        </w:rPr>
        <w:t>20</w:t>
      </w:r>
      <w:r w:rsidRPr="00092862">
        <w:rPr>
          <w:rFonts w:ascii="Times New Roman" w:hAnsi="Times New Roman"/>
          <w:bCs/>
          <w:color w:val="000000" w:themeColor="text1"/>
          <w:kern w:val="2"/>
          <w:lang w:eastAsia="zh-CN"/>
        </w:rPr>
        <w:t>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14:paraId="363CC75B"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）钻井废水危险性分析</w:t>
      </w:r>
    </w:p>
    <w:p w14:paraId="54B8B7A3"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钻井废水主要呈现出</w:t>
      </w:r>
      <w:r w:rsidRPr="00092862">
        <w:rPr>
          <w:rFonts w:ascii="Times New Roman" w:hAnsi="Times New Roman"/>
          <w:bCs/>
          <w:color w:val="000000" w:themeColor="text1"/>
          <w:kern w:val="2"/>
          <w:lang w:eastAsia="zh-CN"/>
        </w:rPr>
        <w:t>pH</w:t>
      </w:r>
      <w:r w:rsidRPr="00092862">
        <w:rPr>
          <w:rFonts w:ascii="Times New Roman" w:hAnsi="Times New Roman"/>
          <w:bCs/>
          <w:color w:val="000000" w:themeColor="text1"/>
          <w:kern w:val="2"/>
          <w:lang w:eastAsia="zh-CN"/>
        </w:rPr>
        <w:t>值偏高，属碱性废水，含较高的</w:t>
      </w:r>
      <w:r w:rsidRPr="00092862">
        <w:rPr>
          <w:rFonts w:ascii="Times New Roman" w:hAnsi="Times New Roman"/>
          <w:bCs/>
          <w:color w:val="000000" w:themeColor="text1"/>
          <w:kern w:val="2"/>
          <w:lang w:eastAsia="zh-CN"/>
        </w:rPr>
        <w:t>COD</w:t>
      </w:r>
      <w:r w:rsidRPr="00092862">
        <w:rPr>
          <w:rFonts w:ascii="Times New Roman" w:hAnsi="Times New Roman"/>
          <w:bCs/>
          <w:color w:val="000000" w:themeColor="text1"/>
          <w:kern w:val="2"/>
          <w:lang w:eastAsia="zh-CN"/>
        </w:rPr>
        <w:t>和色度，具有一定的腐蚀性。</w:t>
      </w:r>
    </w:p>
    <w:p w14:paraId="4D69D04A"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3</w:t>
      </w:r>
      <w:r w:rsidRPr="00092862">
        <w:rPr>
          <w:rFonts w:ascii="Times New Roman" w:hAnsi="Times New Roman"/>
          <w:b/>
          <w:color w:val="000000" w:themeColor="text1"/>
          <w:kern w:val="2"/>
          <w:lang w:eastAsia="zh-CN"/>
        </w:rPr>
        <w:t>）压裂液危险性分析</w:t>
      </w:r>
    </w:p>
    <w:p w14:paraId="6F688C2F"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压裂液主要成分为清水，主要添加成分为稀盐酸、胶凝剂、缓蚀剂、铁稳剂、助排剂、</w:t>
      </w:r>
      <w:r w:rsidRPr="00092862">
        <w:rPr>
          <w:rFonts w:ascii="Times New Roman" w:hAnsi="Times New Roman"/>
          <w:bCs/>
          <w:color w:val="000000" w:themeColor="text1"/>
          <w:kern w:val="2"/>
          <w:lang w:eastAsia="zh-CN"/>
        </w:rPr>
        <w:t>NaOH</w:t>
      </w:r>
      <w:r w:rsidRPr="00092862">
        <w:rPr>
          <w:rFonts w:ascii="Times New Roman" w:hAnsi="Times New Roman"/>
          <w:bCs/>
          <w:color w:val="000000" w:themeColor="text1"/>
          <w:kern w:val="2"/>
          <w:lang w:eastAsia="zh-CN"/>
        </w:rPr>
        <w:t>、多功能增效剂、瓜胶等。本项目采用的压裂液不含有重金属和其他有毒物质，呈酸性，影响环境的主要成分是有机物类、无机盐类。</w:t>
      </w:r>
    </w:p>
    <w:p w14:paraId="18D6D718"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4</w:t>
      </w:r>
      <w:r w:rsidRPr="00092862">
        <w:rPr>
          <w:rFonts w:ascii="Times New Roman" w:hAnsi="Times New Roman"/>
          <w:b/>
          <w:color w:val="000000" w:themeColor="text1"/>
          <w:kern w:val="2"/>
          <w:lang w:eastAsia="zh-CN"/>
        </w:rPr>
        <w:t>）气田水危险性分析</w:t>
      </w:r>
    </w:p>
    <w:p w14:paraId="05067C7A"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采气废水中的主要污染物成分为石油类、</w:t>
      </w:r>
      <w:r w:rsidRPr="00092862">
        <w:rPr>
          <w:rFonts w:ascii="Times New Roman" w:hAnsi="Times New Roman"/>
          <w:bCs/>
          <w:color w:val="000000" w:themeColor="text1"/>
          <w:kern w:val="2"/>
          <w:lang w:eastAsia="zh-CN"/>
        </w:rPr>
        <w:t>COD</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Cl</w:t>
      </w:r>
      <w:r w:rsidRPr="00092862">
        <w:rPr>
          <w:rFonts w:ascii="Times New Roman" w:hAnsi="Times New Roman"/>
          <w:bCs/>
          <w:color w:val="000000" w:themeColor="text1"/>
          <w:kern w:val="2"/>
          <w:vertAlign w:val="superscript"/>
          <w:lang w:eastAsia="zh-CN"/>
        </w:rPr>
        <w:t>-</w:t>
      </w:r>
      <w:r w:rsidRPr="00092862">
        <w:rPr>
          <w:rFonts w:ascii="Times New Roman" w:hAnsi="Times New Roman"/>
          <w:bCs/>
          <w:color w:val="000000" w:themeColor="text1"/>
          <w:kern w:val="2"/>
          <w:lang w:eastAsia="zh-CN"/>
        </w:rPr>
        <w:t>。结合工程项目的实际情况，采气废水泄漏后会对地表水、地下水和土壤产生一定危害。</w:t>
      </w:r>
    </w:p>
    <w:p w14:paraId="64E2161B"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5</w:t>
      </w:r>
      <w:r w:rsidRPr="00092862">
        <w:rPr>
          <w:rFonts w:ascii="Times New Roman" w:hAnsi="Times New Roman"/>
          <w:b/>
          <w:color w:val="000000" w:themeColor="text1"/>
          <w:kern w:val="2"/>
          <w:lang w:eastAsia="zh-CN"/>
        </w:rPr>
        <w:t>）甲烷危险性分析</w:t>
      </w:r>
    </w:p>
    <w:p w14:paraId="5076F614" w14:textId="4F6D41AD"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从地层中试采出的天然气属易燃、易爆物质，极易在通常环境中引起燃烧和爆炸，主要烃组份的甲烷属于《化学品分类和危险性公示通则》</w:t>
      </w:r>
      <w:r w:rsidRPr="00092862">
        <w:rPr>
          <w:rFonts w:ascii="Times New Roman" w:hAnsi="Times New Roman"/>
          <w:bCs/>
          <w:color w:val="000000" w:themeColor="text1"/>
          <w:kern w:val="2"/>
          <w:lang w:eastAsia="zh-CN"/>
        </w:rPr>
        <w:t>(GB13690-2009)</w:t>
      </w:r>
      <w:r w:rsidRPr="00092862">
        <w:rPr>
          <w:rFonts w:ascii="Times New Roman" w:hAnsi="Times New Roman"/>
          <w:bCs/>
          <w:color w:val="000000" w:themeColor="text1"/>
          <w:kern w:val="2"/>
          <w:lang w:eastAsia="zh-CN"/>
        </w:rPr>
        <w:t>中的气相爆炸物质，泄漏在环境中与空气混合后易达到爆炸极限，此时若遇火或静电可能引起燃烧和爆炸。其爆炸极限范围为</w:t>
      </w: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15%</w:t>
      </w:r>
      <w:r w:rsidRPr="00092862">
        <w:rPr>
          <w:rFonts w:ascii="Times New Roman" w:hAnsi="Times New Roman"/>
          <w:bCs/>
          <w:color w:val="000000" w:themeColor="text1"/>
          <w:kern w:val="2"/>
          <w:lang w:eastAsia="zh-CN"/>
        </w:rPr>
        <w:t>（体积比）。当空气中甲烷浓度达到</w:t>
      </w:r>
      <w:r w:rsidRPr="00092862">
        <w:rPr>
          <w:rFonts w:ascii="Times New Roman" w:hAnsi="Times New Roman"/>
          <w:bCs/>
          <w:color w:val="000000" w:themeColor="text1"/>
          <w:kern w:val="2"/>
          <w:lang w:eastAsia="zh-CN"/>
        </w:rPr>
        <w:t>10%</w:t>
      </w:r>
      <w:r w:rsidRPr="00092862">
        <w:rPr>
          <w:rFonts w:ascii="Times New Roman" w:hAnsi="Times New Roman"/>
          <w:bCs/>
          <w:color w:val="000000" w:themeColor="text1"/>
          <w:kern w:val="2"/>
          <w:lang w:eastAsia="zh-CN"/>
        </w:rPr>
        <w:t>时，就使人感到氧气不足；当空气中甲烷浓度达</w:t>
      </w:r>
      <w:r w:rsidRPr="00092862">
        <w:rPr>
          <w:rFonts w:ascii="Times New Roman" w:hAnsi="Times New Roman"/>
          <w:bCs/>
          <w:color w:val="000000" w:themeColor="text1"/>
          <w:kern w:val="2"/>
          <w:lang w:eastAsia="zh-CN"/>
        </w:rPr>
        <w:t>25%</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30%</w:t>
      </w:r>
      <w:r w:rsidRPr="00092862">
        <w:rPr>
          <w:rFonts w:ascii="Times New Roman" w:hAnsi="Times New Roman"/>
          <w:bCs/>
          <w:color w:val="000000" w:themeColor="text1"/>
          <w:kern w:val="2"/>
          <w:lang w:eastAsia="zh-CN"/>
        </w:rPr>
        <w:t>时，可引起头痛、头晕、注意力不集中，呼吸和心跳加速、精细动作障碍等；当空气中甲烷浓度达</w:t>
      </w:r>
      <w:r w:rsidRPr="00092862">
        <w:rPr>
          <w:rFonts w:ascii="Times New Roman" w:hAnsi="Times New Roman"/>
          <w:bCs/>
          <w:color w:val="000000" w:themeColor="text1"/>
          <w:kern w:val="2"/>
          <w:lang w:eastAsia="zh-CN"/>
        </w:rPr>
        <w:t>30%</w:t>
      </w:r>
      <w:r w:rsidRPr="00092862">
        <w:rPr>
          <w:rFonts w:ascii="Times New Roman" w:hAnsi="Times New Roman"/>
          <w:bCs/>
          <w:color w:val="000000" w:themeColor="text1"/>
          <w:kern w:val="2"/>
          <w:lang w:eastAsia="zh-CN"/>
        </w:rPr>
        <w:t>以上时可能会因缺氧窒息、昏迷等。《石油天然气工程设计防火规范》</w:t>
      </w:r>
      <w:r w:rsidRPr="00092862">
        <w:rPr>
          <w:rFonts w:ascii="Times New Roman" w:hAnsi="Times New Roman"/>
          <w:bCs/>
          <w:color w:val="000000" w:themeColor="text1"/>
          <w:kern w:val="2"/>
          <w:lang w:eastAsia="zh-CN"/>
        </w:rPr>
        <w:t>(GB50183-2015)</w:t>
      </w:r>
      <w:r w:rsidRPr="00092862">
        <w:rPr>
          <w:rFonts w:ascii="Times New Roman" w:hAnsi="Times New Roman"/>
          <w:bCs/>
          <w:color w:val="000000" w:themeColor="text1"/>
          <w:kern w:val="2"/>
          <w:lang w:eastAsia="zh-CN"/>
        </w:rPr>
        <w:t>将使用或产生甲烷</w:t>
      </w:r>
      <w:r w:rsidRPr="00092862">
        <w:rPr>
          <w:rFonts w:ascii="Times New Roman" w:hAnsi="Times New Roman"/>
          <w:bCs/>
          <w:color w:val="000000" w:themeColor="text1"/>
          <w:kern w:val="2"/>
          <w:lang w:eastAsia="zh-CN"/>
        </w:rPr>
        <w:t>(CH</w:t>
      </w:r>
      <w:r w:rsidRPr="00092862">
        <w:rPr>
          <w:rFonts w:ascii="Times New Roman" w:hAnsi="Times New Roman"/>
          <w:bCs/>
          <w:color w:val="000000" w:themeColor="text1"/>
          <w:kern w:val="2"/>
          <w:vertAlign w:val="subscript"/>
          <w:lang w:eastAsia="zh-CN"/>
        </w:rPr>
        <w:t>4</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的生产列为甲类火灾危险性生产。甲烷的危险、有害特性详见表</w:t>
      </w:r>
      <w:r w:rsidR="00CA20DF" w:rsidRPr="00092862">
        <w:rPr>
          <w:rFonts w:ascii="Times New Roman" w:hAnsi="Times New Roman"/>
          <w:bCs/>
          <w:color w:val="000000" w:themeColor="text1"/>
          <w:kern w:val="2"/>
          <w:lang w:eastAsia="zh-CN"/>
        </w:rPr>
        <w:t>6.1-1</w:t>
      </w:r>
      <w:r w:rsidRPr="00092862">
        <w:rPr>
          <w:rFonts w:ascii="Times New Roman" w:hAnsi="Times New Roman"/>
          <w:bCs/>
          <w:color w:val="000000" w:themeColor="text1"/>
          <w:kern w:val="2"/>
          <w:lang w:eastAsia="zh-CN"/>
        </w:rPr>
        <w:t>。</w:t>
      </w:r>
    </w:p>
    <w:p w14:paraId="7ECB4929" w14:textId="3D032865"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甲烷危险、有害特性表</w:t>
      </w:r>
    </w:p>
    <w:tbl>
      <w:tblPr>
        <w:tblW w:w="822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791"/>
        <w:gridCol w:w="1581"/>
        <w:gridCol w:w="1702"/>
        <w:gridCol w:w="1848"/>
        <w:gridCol w:w="97"/>
        <w:gridCol w:w="2203"/>
      </w:tblGrid>
      <w:tr w:rsidR="00697429" w:rsidRPr="00092862" w14:paraId="34A2167A" w14:textId="77777777" w:rsidTr="00C54C73">
        <w:trPr>
          <w:cantSplit/>
          <w:jc w:val="center"/>
        </w:trPr>
        <w:tc>
          <w:tcPr>
            <w:tcW w:w="791" w:type="dxa"/>
            <w:vMerge w:val="restart"/>
            <w:vAlign w:val="center"/>
          </w:tcPr>
          <w:p w14:paraId="57C29950"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标识</w:t>
            </w:r>
          </w:p>
        </w:tc>
        <w:tc>
          <w:tcPr>
            <w:tcW w:w="1581" w:type="dxa"/>
            <w:vAlign w:val="center"/>
          </w:tcPr>
          <w:p w14:paraId="5F806FC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中文名</w:t>
            </w:r>
          </w:p>
        </w:tc>
        <w:tc>
          <w:tcPr>
            <w:tcW w:w="1702" w:type="dxa"/>
            <w:vAlign w:val="center"/>
          </w:tcPr>
          <w:p w14:paraId="5D4DC7D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甲烷</w:t>
            </w:r>
          </w:p>
        </w:tc>
        <w:tc>
          <w:tcPr>
            <w:tcW w:w="1848" w:type="dxa"/>
            <w:vAlign w:val="center"/>
          </w:tcPr>
          <w:p w14:paraId="0BF95290"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英文名</w:t>
            </w:r>
          </w:p>
        </w:tc>
        <w:tc>
          <w:tcPr>
            <w:tcW w:w="2300" w:type="dxa"/>
            <w:gridSpan w:val="2"/>
            <w:vAlign w:val="center"/>
          </w:tcPr>
          <w:p w14:paraId="76E119A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Methane</w:t>
            </w:r>
          </w:p>
        </w:tc>
      </w:tr>
      <w:tr w:rsidR="00697429" w:rsidRPr="00092862" w14:paraId="4E017292" w14:textId="77777777" w:rsidTr="00C54C73">
        <w:trPr>
          <w:cantSplit/>
          <w:jc w:val="center"/>
        </w:trPr>
        <w:tc>
          <w:tcPr>
            <w:tcW w:w="791" w:type="dxa"/>
            <w:vMerge/>
            <w:vAlign w:val="center"/>
          </w:tcPr>
          <w:p w14:paraId="49451512"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7A4629B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化学式</w:t>
            </w:r>
          </w:p>
        </w:tc>
        <w:tc>
          <w:tcPr>
            <w:tcW w:w="1702" w:type="dxa"/>
            <w:vAlign w:val="center"/>
          </w:tcPr>
          <w:p w14:paraId="70BADA3F"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CH</w:t>
            </w:r>
            <w:r w:rsidRPr="00092862">
              <w:rPr>
                <w:rFonts w:ascii="Times New Roman" w:eastAsia="宋体" w:hAnsi="Times New Roman" w:cs="Times New Roman"/>
                <w:color w:val="000000" w:themeColor="text1"/>
                <w:szCs w:val="21"/>
                <w:vertAlign w:val="subscript"/>
              </w:rPr>
              <w:t>4</w:t>
            </w:r>
          </w:p>
        </w:tc>
        <w:tc>
          <w:tcPr>
            <w:tcW w:w="1848" w:type="dxa"/>
            <w:vAlign w:val="center"/>
          </w:tcPr>
          <w:p w14:paraId="4B53867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分子量</w:t>
            </w:r>
          </w:p>
        </w:tc>
        <w:tc>
          <w:tcPr>
            <w:tcW w:w="2300" w:type="dxa"/>
            <w:gridSpan w:val="2"/>
            <w:vAlign w:val="center"/>
          </w:tcPr>
          <w:p w14:paraId="5E5A6C81"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16.04</w:t>
            </w:r>
          </w:p>
        </w:tc>
      </w:tr>
      <w:tr w:rsidR="00697429" w:rsidRPr="00092862" w14:paraId="39F5EDEF" w14:textId="77777777" w:rsidTr="00C54C73">
        <w:trPr>
          <w:cantSplit/>
          <w:jc w:val="center"/>
        </w:trPr>
        <w:tc>
          <w:tcPr>
            <w:tcW w:w="791" w:type="dxa"/>
            <w:vMerge/>
            <w:vAlign w:val="center"/>
          </w:tcPr>
          <w:p w14:paraId="28951F7C"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7BE5A6B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ICSC</w:t>
            </w:r>
            <w:r w:rsidRPr="00092862">
              <w:rPr>
                <w:rFonts w:ascii="Times New Roman" w:eastAsia="宋体" w:hAnsi="Times New Roman" w:cs="Times New Roman"/>
                <w:color w:val="000000" w:themeColor="text1"/>
                <w:szCs w:val="21"/>
              </w:rPr>
              <w:t>编号</w:t>
            </w:r>
          </w:p>
        </w:tc>
        <w:tc>
          <w:tcPr>
            <w:tcW w:w="1702" w:type="dxa"/>
            <w:vAlign w:val="center"/>
          </w:tcPr>
          <w:p w14:paraId="3439D66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0291</w:t>
            </w:r>
          </w:p>
        </w:tc>
        <w:tc>
          <w:tcPr>
            <w:tcW w:w="1848" w:type="dxa"/>
            <w:vAlign w:val="center"/>
          </w:tcPr>
          <w:p w14:paraId="29E32D79"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IMDG</w:t>
            </w:r>
            <w:r w:rsidRPr="00092862">
              <w:rPr>
                <w:rFonts w:ascii="Times New Roman" w:eastAsia="宋体" w:hAnsi="Times New Roman" w:cs="Times New Roman"/>
                <w:color w:val="000000" w:themeColor="text1"/>
                <w:szCs w:val="21"/>
              </w:rPr>
              <w:t>规则页码</w:t>
            </w:r>
          </w:p>
        </w:tc>
        <w:tc>
          <w:tcPr>
            <w:tcW w:w="2300" w:type="dxa"/>
            <w:gridSpan w:val="2"/>
            <w:vAlign w:val="center"/>
          </w:tcPr>
          <w:p w14:paraId="0B543EB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2156</w:t>
            </w:r>
          </w:p>
        </w:tc>
      </w:tr>
      <w:tr w:rsidR="00697429" w:rsidRPr="00092862" w14:paraId="60F5D1D3" w14:textId="77777777" w:rsidTr="00C54C73">
        <w:trPr>
          <w:cantSplit/>
          <w:jc w:val="center"/>
        </w:trPr>
        <w:tc>
          <w:tcPr>
            <w:tcW w:w="791" w:type="dxa"/>
            <w:vMerge/>
            <w:vAlign w:val="center"/>
          </w:tcPr>
          <w:p w14:paraId="2AB5B74D"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1845D7C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CAS</w:t>
            </w:r>
            <w:r w:rsidRPr="00092862">
              <w:rPr>
                <w:rFonts w:ascii="Times New Roman" w:eastAsia="宋体" w:hAnsi="Times New Roman" w:cs="Times New Roman"/>
                <w:color w:val="000000" w:themeColor="text1"/>
                <w:szCs w:val="21"/>
              </w:rPr>
              <w:t>号</w:t>
            </w:r>
          </w:p>
        </w:tc>
        <w:tc>
          <w:tcPr>
            <w:tcW w:w="1702" w:type="dxa"/>
            <w:vAlign w:val="center"/>
          </w:tcPr>
          <w:p w14:paraId="4A736F6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74-82-8</w:t>
            </w:r>
          </w:p>
        </w:tc>
        <w:tc>
          <w:tcPr>
            <w:tcW w:w="1848" w:type="dxa"/>
            <w:vAlign w:val="center"/>
          </w:tcPr>
          <w:p w14:paraId="49852C7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RTECS</w:t>
            </w:r>
            <w:r w:rsidRPr="00092862">
              <w:rPr>
                <w:rFonts w:ascii="Times New Roman" w:eastAsia="宋体" w:hAnsi="Times New Roman" w:cs="Times New Roman"/>
                <w:color w:val="000000" w:themeColor="text1"/>
                <w:szCs w:val="21"/>
              </w:rPr>
              <w:t>号</w:t>
            </w:r>
          </w:p>
        </w:tc>
        <w:tc>
          <w:tcPr>
            <w:tcW w:w="2300" w:type="dxa"/>
            <w:gridSpan w:val="2"/>
            <w:vAlign w:val="center"/>
          </w:tcPr>
          <w:p w14:paraId="1507A29B"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PA1490000</w:t>
            </w:r>
          </w:p>
        </w:tc>
      </w:tr>
      <w:tr w:rsidR="00697429" w:rsidRPr="00092862" w14:paraId="3A706F93" w14:textId="77777777" w:rsidTr="00C54C73">
        <w:trPr>
          <w:cantSplit/>
          <w:jc w:val="center"/>
        </w:trPr>
        <w:tc>
          <w:tcPr>
            <w:tcW w:w="791" w:type="dxa"/>
            <w:vMerge/>
            <w:vAlign w:val="center"/>
          </w:tcPr>
          <w:p w14:paraId="517F6A5C"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20203C0B"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UN</w:t>
            </w:r>
            <w:r w:rsidRPr="00092862">
              <w:rPr>
                <w:rFonts w:ascii="Times New Roman" w:eastAsia="宋体" w:hAnsi="Times New Roman" w:cs="Times New Roman"/>
                <w:color w:val="000000" w:themeColor="text1"/>
                <w:szCs w:val="21"/>
              </w:rPr>
              <w:t>编号</w:t>
            </w:r>
          </w:p>
        </w:tc>
        <w:tc>
          <w:tcPr>
            <w:tcW w:w="1702" w:type="dxa"/>
            <w:vAlign w:val="center"/>
          </w:tcPr>
          <w:p w14:paraId="0FAC25B3"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1971</w:t>
            </w:r>
          </w:p>
        </w:tc>
        <w:tc>
          <w:tcPr>
            <w:tcW w:w="1848" w:type="dxa"/>
            <w:vAlign w:val="center"/>
          </w:tcPr>
          <w:p w14:paraId="5A2F043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危险货物编号</w:t>
            </w:r>
          </w:p>
        </w:tc>
        <w:tc>
          <w:tcPr>
            <w:tcW w:w="2300" w:type="dxa"/>
            <w:gridSpan w:val="2"/>
            <w:vAlign w:val="center"/>
          </w:tcPr>
          <w:p w14:paraId="58C28B8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21007</w:t>
            </w:r>
          </w:p>
        </w:tc>
      </w:tr>
      <w:tr w:rsidR="00697429" w:rsidRPr="00092862" w14:paraId="1EF2DE30" w14:textId="77777777" w:rsidTr="00C54C73">
        <w:trPr>
          <w:cantSplit/>
          <w:jc w:val="center"/>
        </w:trPr>
        <w:tc>
          <w:tcPr>
            <w:tcW w:w="791" w:type="dxa"/>
            <w:vMerge/>
            <w:vAlign w:val="center"/>
          </w:tcPr>
          <w:p w14:paraId="06751B98"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55B04AB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EC</w:t>
            </w:r>
            <w:r w:rsidRPr="00092862">
              <w:rPr>
                <w:rFonts w:ascii="Times New Roman" w:eastAsia="宋体" w:hAnsi="Times New Roman" w:cs="Times New Roman"/>
                <w:color w:val="000000" w:themeColor="text1"/>
                <w:szCs w:val="21"/>
              </w:rPr>
              <w:t>编号</w:t>
            </w:r>
          </w:p>
        </w:tc>
        <w:tc>
          <w:tcPr>
            <w:tcW w:w="1702" w:type="dxa"/>
            <w:vAlign w:val="center"/>
          </w:tcPr>
          <w:p w14:paraId="67304186"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601-001-00-4</w:t>
            </w:r>
          </w:p>
        </w:tc>
        <w:tc>
          <w:tcPr>
            <w:tcW w:w="1848" w:type="dxa"/>
            <w:vAlign w:val="center"/>
          </w:tcPr>
          <w:p w14:paraId="414E9E1A"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2300" w:type="dxa"/>
            <w:gridSpan w:val="2"/>
            <w:vAlign w:val="center"/>
          </w:tcPr>
          <w:p w14:paraId="00141EEB" w14:textId="77777777" w:rsidR="00450025" w:rsidRPr="00092862" w:rsidRDefault="00450025" w:rsidP="00C54C73">
            <w:pPr>
              <w:jc w:val="center"/>
              <w:rPr>
                <w:rFonts w:ascii="Times New Roman" w:eastAsia="宋体" w:hAnsi="Times New Roman" w:cs="Times New Roman"/>
                <w:color w:val="000000" w:themeColor="text1"/>
                <w:szCs w:val="21"/>
              </w:rPr>
            </w:pPr>
          </w:p>
        </w:tc>
      </w:tr>
      <w:tr w:rsidR="00697429" w:rsidRPr="00092862" w14:paraId="11603427" w14:textId="77777777" w:rsidTr="00C54C73">
        <w:trPr>
          <w:cantSplit/>
          <w:jc w:val="center"/>
        </w:trPr>
        <w:tc>
          <w:tcPr>
            <w:tcW w:w="791" w:type="dxa"/>
            <w:vMerge w:val="restart"/>
            <w:vAlign w:val="center"/>
          </w:tcPr>
          <w:p w14:paraId="66428F7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理化</w:t>
            </w:r>
          </w:p>
          <w:p w14:paraId="22876A6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性质</w:t>
            </w:r>
          </w:p>
        </w:tc>
        <w:tc>
          <w:tcPr>
            <w:tcW w:w="1581" w:type="dxa"/>
            <w:vAlign w:val="center"/>
          </w:tcPr>
          <w:p w14:paraId="400AC46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外观与性状</w:t>
            </w:r>
          </w:p>
        </w:tc>
        <w:tc>
          <w:tcPr>
            <w:tcW w:w="5850" w:type="dxa"/>
            <w:gridSpan w:val="4"/>
            <w:vAlign w:val="center"/>
          </w:tcPr>
          <w:p w14:paraId="781D26A3"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无色无臭气体。</w:t>
            </w:r>
          </w:p>
        </w:tc>
      </w:tr>
      <w:tr w:rsidR="00697429" w:rsidRPr="00092862" w14:paraId="3653E3AB" w14:textId="77777777" w:rsidTr="00C54C73">
        <w:trPr>
          <w:cantSplit/>
          <w:jc w:val="center"/>
        </w:trPr>
        <w:tc>
          <w:tcPr>
            <w:tcW w:w="791" w:type="dxa"/>
            <w:vMerge/>
            <w:vAlign w:val="center"/>
          </w:tcPr>
          <w:p w14:paraId="32BD763D"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296DD33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溶解性</w:t>
            </w:r>
          </w:p>
        </w:tc>
        <w:tc>
          <w:tcPr>
            <w:tcW w:w="5850" w:type="dxa"/>
            <w:gridSpan w:val="4"/>
            <w:vAlign w:val="center"/>
          </w:tcPr>
          <w:p w14:paraId="754D6CC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微溶于水，溶于乙醇、乙醚</w:t>
            </w:r>
            <w:r w:rsidRPr="00092862">
              <w:rPr>
                <w:rFonts w:ascii="Times New Roman" w:eastAsia="宋体" w:hAnsi="Times New Roman" w:cs="Times New Roman"/>
                <w:color w:val="000000" w:themeColor="text1"/>
                <w:szCs w:val="21"/>
              </w:rPr>
              <w:t>.</w:t>
            </w:r>
          </w:p>
        </w:tc>
      </w:tr>
      <w:tr w:rsidR="00697429" w:rsidRPr="00092862" w14:paraId="05D1B22E" w14:textId="77777777" w:rsidTr="00C54C73">
        <w:trPr>
          <w:cantSplit/>
          <w:jc w:val="center"/>
        </w:trPr>
        <w:tc>
          <w:tcPr>
            <w:tcW w:w="791" w:type="dxa"/>
            <w:vMerge/>
            <w:vAlign w:val="center"/>
          </w:tcPr>
          <w:p w14:paraId="4B51DFE0"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1F067C8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主要用途</w:t>
            </w:r>
          </w:p>
        </w:tc>
        <w:tc>
          <w:tcPr>
            <w:tcW w:w="5850" w:type="dxa"/>
            <w:gridSpan w:val="4"/>
            <w:vAlign w:val="center"/>
          </w:tcPr>
          <w:p w14:paraId="56E40CF3"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用作燃料和用于炭黑、氢、乙炔、甲醛等的制造。</w:t>
            </w:r>
          </w:p>
        </w:tc>
      </w:tr>
      <w:tr w:rsidR="00697429" w:rsidRPr="00092862" w14:paraId="0582F067" w14:textId="77777777" w:rsidTr="00C54C73">
        <w:trPr>
          <w:cantSplit/>
          <w:jc w:val="center"/>
        </w:trPr>
        <w:tc>
          <w:tcPr>
            <w:tcW w:w="791" w:type="dxa"/>
            <w:vMerge/>
            <w:vAlign w:val="center"/>
          </w:tcPr>
          <w:p w14:paraId="58AD3167"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074D1A1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熔点</w:t>
            </w:r>
            <w:r w:rsidRPr="00092862">
              <w:rPr>
                <w:rFonts w:ascii="Times New Roman" w:eastAsia="宋体" w:hAnsi="Times New Roman" w:cs="Times New Roman"/>
                <w:color w:val="000000" w:themeColor="text1"/>
                <w:szCs w:val="21"/>
              </w:rPr>
              <w:t>(℃)</w:t>
            </w:r>
          </w:p>
        </w:tc>
        <w:tc>
          <w:tcPr>
            <w:tcW w:w="1702" w:type="dxa"/>
            <w:vAlign w:val="center"/>
          </w:tcPr>
          <w:p w14:paraId="33EE4D0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-182.5</w:t>
            </w:r>
          </w:p>
        </w:tc>
        <w:tc>
          <w:tcPr>
            <w:tcW w:w="1945" w:type="dxa"/>
            <w:gridSpan w:val="2"/>
            <w:vAlign w:val="center"/>
          </w:tcPr>
          <w:p w14:paraId="580ED91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相对密度</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水</w:t>
            </w:r>
            <w:r w:rsidRPr="00092862">
              <w:rPr>
                <w:rFonts w:ascii="Times New Roman" w:eastAsia="宋体" w:hAnsi="Times New Roman" w:cs="Times New Roman"/>
                <w:color w:val="000000" w:themeColor="text1"/>
                <w:szCs w:val="21"/>
              </w:rPr>
              <w:t>=1)</w:t>
            </w:r>
          </w:p>
        </w:tc>
        <w:tc>
          <w:tcPr>
            <w:tcW w:w="2203" w:type="dxa"/>
            <w:vAlign w:val="center"/>
          </w:tcPr>
          <w:p w14:paraId="4CAC353B"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0.42/-164℃</w:t>
            </w:r>
          </w:p>
        </w:tc>
      </w:tr>
      <w:tr w:rsidR="00697429" w:rsidRPr="00092862" w14:paraId="3BCCCD38" w14:textId="77777777" w:rsidTr="00C54C73">
        <w:trPr>
          <w:cantSplit/>
          <w:jc w:val="center"/>
        </w:trPr>
        <w:tc>
          <w:tcPr>
            <w:tcW w:w="791" w:type="dxa"/>
            <w:vMerge/>
            <w:vAlign w:val="center"/>
          </w:tcPr>
          <w:p w14:paraId="0B4D5C57"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31DC1C9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沸点</w:t>
            </w:r>
            <w:r w:rsidRPr="00092862">
              <w:rPr>
                <w:rFonts w:ascii="Times New Roman" w:eastAsia="宋体" w:hAnsi="Times New Roman" w:cs="Times New Roman"/>
                <w:color w:val="000000" w:themeColor="text1"/>
                <w:szCs w:val="21"/>
              </w:rPr>
              <w:t>(℃)</w:t>
            </w:r>
          </w:p>
        </w:tc>
        <w:tc>
          <w:tcPr>
            <w:tcW w:w="1702" w:type="dxa"/>
            <w:vAlign w:val="center"/>
          </w:tcPr>
          <w:p w14:paraId="6440D1E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-161.5</w:t>
            </w:r>
          </w:p>
        </w:tc>
        <w:tc>
          <w:tcPr>
            <w:tcW w:w="1945" w:type="dxa"/>
            <w:gridSpan w:val="2"/>
            <w:vAlign w:val="center"/>
          </w:tcPr>
          <w:p w14:paraId="25C13BA0"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相对密度</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空气</w:t>
            </w:r>
            <w:r w:rsidRPr="00092862">
              <w:rPr>
                <w:rFonts w:ascii="Times New Roman" w:eastAsia="宋体" w:hAnsi="Times New Roman" w:cs="Times New Roman"/>
                <w:color w:val="000000" w:themeColor="text1"/>
                <w:szCs w:val="21"/>
              </w:rPr>
              <w:t>=1)</w:t>
            </w:r>
          </w:p>
        </w:tc>
        <w:tc>
          <w:tcPr>
            <w:tcW w:w="2203" w:type="dxa"/>
            <w:vAlign w:val="center"/>
          </w:tcPr>
          <w:p w14:paraId="01191F2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0.55</w:t>
            </w:r>
          </w:p>
        </w:tc>
      </w:tr>
      <w:tr w:rsidR="00697429" w:rsidRPr="00092862" w14:paraId="13E36790" w14:textId="77777777" w:rsidTr="00C54C73">
        <w:trPr>
          <w:cantSplit/>
          <w:jc w:val="center"/>
        </w:trPr>
        <w:tc>
          <w:tcPr>
            <w:tcW w:w="791" w:type="dxa"/>
            <w:vMerge/>
            <w:vAlign w:val="center"/>
          </w:tcPr>
          <w:p w14:paraId="3AE9C412"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3513CCF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饱和蒸汽压</w:t>
            </w:r>
            <w:r w:rsidRPr="00092862">
              <w:rPr>
                <w:rFonts w:ascii="Times New Roman" w:eastAsia="宋体" w:hAnsi="Times New Roman" w:cs="Times New Roman"/>
                <w:color w:val="000000" w:themeColor="text1"/>
                <w:szCs w:val="21"/>
              </w:rPr>
              <w:t>(kpa)</w:t>
            </w:r>
          </w:p>
        </w:tc>
        <w:tc>
          <w:tcPr>
            <w:tcW w:w="3647" w:type="dxa"/>
            <w:gridSpan w:val="3"/>
            <w:vAlign w:val="center"/>
          </w:tcPr>
          <w:p w14:paraId="53AB052F"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53.32(-168.8℃)</w:t>
            </w:r>
          </w:p>
        </w:tc>
        <w:tc>
          <w:tcPr>
            <w:tcW w:w="2203" w:type="dxa"/>
            <w:vAlign w:val="center"/>
          </w:tcPr>
          <w:p w14:paraId="62F2B3AA" w14:textId="77777777" w:rsidR="00450025" w:rsidRPr="00092862" w:rsidRDefault="00450025" w:rsidP="00C54C73">
            <w:pPr>
              <w:jc w:val="center"/>
              <w:rPr>
                <w:rFonts w:ascii="Times New Roman" w:eastAsia="宋体" w:hAnsi="Times New Roman" w:cs="Times New Roman"/>
                <w:color w:val="000000" w:themeColor="text1"/>
                <w:szCs w:val="21"/>
              </w:rPr>
            </w:pPr>
          </w:p>
        </w:tc>
      </w:tr>
      <w:tr w:rsidR="00697429" w:rsidRPr="00092862" w14:paraId="01260BEA" w14:textId="77777777" w:rsidTr="00C54C73">
        <w:trPr>
          <w:cantSplit/>
          <w:jc w:val="center"/>
        </w:trPr>
        <w:tc>
          <w:tcPr>
            <w:tcW w:w="791" w:type="dxa"/>
            <w:vMerge/>
            <w:vAlign w:val="center"/>
          </w:tcPr>
          <w:p w14:paraId="1608BAE2"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67F63316"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临界温度</w:t>
            </w:r>
            <w:r w:rsidRPr="00092862">
              <w:rPr>
                <w:rFonts w:ascii="Times New Roman" w:eastAsia="宋体" w:hAnsi="Times New Roman" w:cs="Times New Roman"/>
                <w:color w:val="000000" w:themeColor="text1"/>
                <w:szCs w:val="21"/>
              </w:rPr>
              <w:t>(℃)</w:t>
            </w:r>
          </w:p>
        </w:tc>
        <w:tc>
          <w:tcPr>
            <w:tcW w:w="1702" w:type="dxa"/>
            <w:vAlign w:val="center"/>
          </w:tcPr>
          <w:p w14:paraId="6B12BBAA"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-82.6</w:t>
            </w:r>
          </w:p>
        </w:tc>
        <w:tc>
          <w:tcPr>
            <w:tcW w:w="1945" w:type="dxa"/>
            <w:gridSpan w:val="2"/>
            <w:vAlign w:val="center"/>
          </w:tcPr>
          <w:p w14:paraId="48B65F7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临界压力</w:t>
            </w:r>
            <w:r w:rsidRPr="00092862">
              <w:rPr>
                <w:rFonts w:ascii="Times New Roman" w:eastAsia="宋体" w:hAnsi="Times New Roman" w:cs="Times New Roman"/>
                <w:color w:val="000000" w:themeColor="text1"/>
                <w:szCs w:val="21"/>
              </w:rPr>
              <w:t>(Mpa)</w:t>
            </w:r>
          </w:p>
        </w:tc>
        <w:tc>
          <w:tcPr>
            <w:tcW w:w="2203" w:type="dxa"/>
            <w:vAlign w:val="center"/>
          </w:tcPr>
          <w:p w14:paraId="1778677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4.59</w:t>
            </w:r>
          </w:p>
        </w:tc>
      </w:tr>
      <w:tr w:rsidR="00697429" w:rsidRPr="00092862" w14:paraId="3427A2F5" w14:textId="77777777" w:rsidTr="00C54C73">
        <w:trPr>
          <w:cantSplit/>
          <w:jc w:val="center"/>
        </w:trPr>
        <w:tc>
          <w:tcPr>
            <w:tcW w:w="791" w:type="dxa"/>
            <w:vMerge/>
            <w:vAlign w:val="center"/>
          </w:tcPr>
          <w:p w14:paraId="2BA3AEA8"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417021A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燃烧热</w:t>
            </w:r>
            <w:r w:rsidRPr="00092862">
              <w:rPr>
                <w:rFonts w:ascii="Times New Roman" w:eastAsia="宋体" w:hAnsi="Times New Roman" w:cs="Times New Roman"/>
                <w:color w:val="000000" w:themeColor="text1"/>
                <w:szCs w:val="21"/>
              </w:rPr>
              <w:t>(KJ/mol)</w:t>
            </w:r>
          </w:p>
        </w:tc>
        <w:tc>
          <w:tcPr>
            <w:tcW w:w="1702" w:type="dxa"/>
            <w:vAlign w:val="center"/>
          </w:tcPr>
          <w:p w14:paraId="05C8A32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889.5</w:t>
            </w:r>
          </w:p>
        </w:tc>
        <w:tc>
          <w:tcPr>
            <w:tcW w:w="1945" w:type="dxa"/>
            <w:gridSpan w:val="2"/>
            <w:vAlign w:val="center"/>
          </w:tcPr>
          <w:p w14:paraId="7D2710D6"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最小引燃能量</w:t>
            </w:r>
            <w:r w:rsidRPr="00092862">
              <w:rPr>
                <w:rFonts w:ascii="Times New Roman" w:eastAsia="宋体" w:hAnsi="Times New Roman" w:cs="Times New Roman"/>
                <w:color w:val="000000" w:themeColor="text1"/>
                <w:szCs w:val="21"/>
              </w:rPr>
              <w:t>(mJ)</w:t>
            </w:r>
          </w:p>
        </w:tc>
        <w:tc>
          <w:tcPr>
            <w:tcW w:w="2203" w:type="dxa"/>
            <w:vAlign w:val="center"/>
          </w:tcPr>
          <w:p w14:paraId="5EBDD881"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0.28</w:t>
            </w:r>
          </w:p>
        </w:tc>
      </w:tr>
      <w:tr w:rsidR="00697429" w:rsidRPr="00092862" w14:paraId="64BE4688" w14:textId="77777777" w:rsidTr="00C54C73">
        <w:trPr>
          <w:cantSplit/>
          <w:jc w:val="center"/>
        </w:trPr>
        <w:tc>
          <w:tcPr>
            <w:tcW w:w="791" w:type="dxa"/>
            <w:vMerge w:val="restart"/>
            <w:vAlign w:val="center"/>
          </w:tcPr>
          <w:p w14:paraId="6FA35F8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毒性</w:t>
            </w:r>
          </w:p>
          <w:p w14:paraId="6994A5AB"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及健</w:t>
            </w:r>
          </w:p>
          <w:p w14:paraId="06A4730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康危</w:t>
            </w:r>
          </w:p>
          <w:p w14:paraId="6DDEA31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害</w:t>
            </w:r>
          </w:p>
        </w:tc>
        <w:tc>
          <w:tcPr>
            <w:tcW w:w="1581" w:type="dxa"/>
            <w:vMerge w:val="restart"/>
            <w:vAlign w:val="center"/>
          </w:tcPr>
          <w:p w14:paraId="1122D23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接触限值</w:t>
            </w:r>
          </w:p>
        </w:tc>
        <w:tc>
          <w:tcPr>
            <w:tcW w:w="1702" w:type="dxa"/>
            <w:vAlign w:val="center"/>
          </w:tcPr>
          <w:p w14:paraId="7FE75860"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中国</w:t>
            </w:r>
            <w:r w:rsidRPr="00092862">
              <w:rPr>
                <w:rFonts w:ascii="Times New Roman" w:eastAsia="宋体" w:hAnsi="Times New Roman" w:cs="Times New Roman"/>
                <w:color w:val="000000" w:themeColor="text1"/>
                <w:szCs w:val="21"/>
              </w:rPr>
              <w:t>MAC</w:t>
            </w:r>
          </w:p>
        </w:tc>
        <w:tc>
          <w:tcPr>
            <w:tcW w:w="4148" w:type="dxa"/>
            <w:gridSpan w:val="3"/>
            <w:vAlign w:val="center"/>
          </w:tcPr>
          <w:p w14:paraId="69365741"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未制定标准</w:t>
            </w:r>
          </w:p>
        </w:tc>
      </w:tr>
      <w:tr w:rsidR="00697429" w:rsidRPr="00092862" w14:paraId="46AA4F36" w14:textId="77777777" w:rsidTr="00C54C73">
        <w:trPr>
          <w:cantSplit/>
          <w:jc w:val="center"/>
        </w:trPr>
        <w:tc>
          <w:tcPr>
            <w:tcW w:w="791" w:type="dxa"/>
            <w:vMerge/>
            <w:vAlign w:val="center"/>
          </w:tcPr>
          <w:p w14:paraId="72A4BB26"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Merge/>
            <w:vAlign w:val="center"/>
          </w:tcPr>
          <w:p w14:paraId="34ACA8A7"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702" w:type="dxa"/>
            <w:vAlign w:val="center"/>
          </w:tcPr>
          <w:p w14:paraId="5ECECE4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前苏联</w:t>
            </w:r>
            <w:r w:rsidRPr="00092862">
              <w:rPr>
                <w:rFonts w:ascii="Times New Roman" w:eastAsia="宋体" w:hAnsi="Times New Roman" w:cs="Times New Roman"/>
                <w:color w:val="000000" w:themeColor="text1"/>
                <w:szCs w:val="21"/>
              </w:rPr>
              <w:t>MAC</w:t>
            </w:r>
          </w:p>
        </w:tc>
        <w:tc>
          <w:tcPr>
            <w:tcW w:w="4148" w:type="dxa"/>
            <w:gridSpan w:val="3"/>
            <w:vAlign w:val="center"/>
          </w:tcPr>
          <w:p w14:paraId="3ECC822A"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300mg/m3</w:t>
            </w:r>
          </w:p>
        </w:tc>
      </w:tr>
      <w:tr w:rsidR="00697429" w:rsidRPr="00092862" w14:paraId="6E3AF2FB" w14:textId="77777777" w:rsidTr="00C54C73">
        <w:trPr>
          <w:cantSplit/>
          <w:jc w:val="center"/>
        </w:trPr>
        <w:tc>
          <w:tcPr>
            <w:tcW w:w="791" w:type="dxa"/>
            <w:vMerge/>
            <w:vAlign w:val="center"/>
          </w:tcPr>
          <w:p w14:paraId="0EADAF2D"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Merge/>
            <w:vAlign w:val="center"/>
          </w:tcPr>
          <w:p w14:paraId="3825FBAF"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702" w:type="dxa"/>
            <w:vAlign w:val="center"/>
          </w:tcPr>
          <w:p w14:paraId="2435341B"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美国</w:t>
            </w:r>
            <w:r w:rsidRPr="00092862">
              <w:rPr>
                <w:rFonts w:ascii="Times New Roman" w:eastAsia="宋体" w:hAnsi="Times New Roman" w:cs="Times New Roman"/>
                <w:color w:val="000000" w:themeColor="text1"/>
                <w:szCs w:val="21"/>
              </w:rPr>
              <w:t>TWA</w:t>
            </w:r>
          </w:p>
        </w:tc>
        <w:tc>
          <w:tcPr>
            <w:tcW w:w="4148" w:type="dxa"/>
            <w:gridSpan w:val="3"/>
            <w:vAlign w:val="center"/>
          </w:tcPr>
          <w:p w14:paraId="281CA6E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ACGIH</w:t>
            </w:r>
            <w:r w:rsidRPr="00092862">
              <w:rPr>
                <w:rFonts w:ascii="Times New Roman" w:eastAsia="宋体" w:hAnsi="Times New Roman" w:cs="Times New Roman"/>
                <w:color w:val="000000" w:themeColor="text1"/>
                <w:szCs w:val="21"/>
              </w:rPr>
              <w:t>窒息性气体</w:t>
            </w:r>
          </w:p>
        </w:tc>
      </w:tr>
      <w:tr w:rsidR="00697429" w:rsidRPr="00092862" w14:paraId="7367A1FD" w14:textId="77777777" w:rsidTr="00C54C73">
        <w:trPr>
          <w:cantSplit/>
          <w:jc w:val="center"/>
        </w:trPr>
        <w:tc>
          <w:tcPr>
            <w:tcW w:w="791" w:type="dxa"/>
            <w:vMerge/>
            <w:vAlign w:val="center"/>
          </w:tcPr>
          <w:p w14:paraId="668880F1"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Merge/>
            <w:vAlign w:val="center"/>
          </w:tcPr>
          <w:p w14:paraId="1DC77DD6"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702" w:type="dxa"/>
            <w:vAlign w:val="center"/>
          </w:tcPr>
          <w:p w14:paraId="09333DE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美国</w:t>
            </w:r>
            <w:r w:rsidRPr="00092862">
              <w:rPr>
                <w:rFonts w:ascii="Times New Roman" w:eastAsia="宋体" w:hAnsi="Times New Roman" w:cs="Times New Roman"/>
                <w:color w:val="000000" w:themeColor="text1"/>
                <w:szCs w:val="21"/>
              </w:rPr>
              <w:t>STEL</w:t>
            </w:r>
          </w:p>
        </w:tc>
        <w:tc>
          <w:tcPr>
            <w:tcW w:w="4148" w:type="dxa"/>
            <w:gridSpan w:val="3"/>
            <w:vAlign w:val="center"/>
          </w:tcPr>
          <w:p w14:paraId="0DD9B0F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未制定标准</w:t>
            </w:r>
          </w:p>
        </w:tc>
      </w:tr>
      <w:tr w:rsidR="00697429" w:rsidRPr="00092862" w14:paraId="34AF55E3" w14:textId="77777777" w:rsidTr="00C54C73">
        <w:trPr>
          <w:cantSplit/>
          <w:jc w:val="center"/>
        </w:trPr>
        <w:tc>
          <w:tcPr>
            <w:tcW w:w="791" w:type="dxa"/>
            <w:vMerge/>
            <w:vAlign w:val="center"/>
          </w:tcPr>
          <w:p w14:paraId="69BE5D12"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4705669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侵入途径</w:t>
            </w:r>
          </w:p>
        </w:tc>
        <w:tc>
          <w:tcPr>
            <w:tcW w:w="5850" w:type="dxa"/>
            <w:gridSpan w:val="4"/>
            <w:vAlign w:val="center"/>
          </w:tcPr>
          <w:p w14:paraId="353E5E2B"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吸入</w:t>
            </w:r>
          </w:p>
        </w:tc>
      </w:tr>
      <w:tr w:rsidR="00697429" w:rsidRPr="00092862" w14:paraId="7C4E79AC" w14:textId="77777777" w:rsidTr="00C54C73">
        <w:trPr>
          <w:cantSplit/>
          <w:jc w:val="center"/>
        </w:trPr>
        <w:tc>
          <w:tcPr>
            <w:tcW w:w="791" w:type="dxa"/>
            <w:vMerge/>
            <w:vAlign w:val="center"/>
          </w:tcPr>
          <w:p w14:paraId="457EBD22"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2A2A88C3"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健康危害</w:t>
            </w:r>
          </w:p>
        </w:tc>
        <w:tc>
          <w:tcPr>
            <w:tcW w:w="5850" w:type="dxa"/>
            <w:gridSpan w:val="4"/>
            <w:vAlign w:val="center"/>
          </w:tcPr>
          <w:p w14:paraId="3CCD584A"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、当空气中甲烷浓度达</w:t>
            </w:r>
            <w:r w:rsidRPr="00092862">
              <w:rPr>
                <w:rFonts w:ascii="Times New Roman" w:eastAsia="宋体" w:hAnsi="Times New Roman" w:cs="Times New Roman"/>
                <w:color w:val="000000" w:themeColor="text1"/>
                <w:szCs w:val="21"/>
              </w:rPr>
              <w:t>25—30%</w:t>
            </w:r>
            <w:r w:rsidRPr="00092862">
              <w:rPr>
                <w:rFonts w:ascii="Times New Roman" w:eastAsia="宋体" w:hAnsi="Times New Roman" w:cs="Times New Roman"/>
                <w:color w:val="000000" w:themeColor="text1"/>
                <w:szCs w:val="21"/>
              </w:rPr>
              <w:t>时，可引起头痛、头晕、乏力、注意力不集中、呼吸和心跳加速、精细动作障碍等；</w:t>
            </w:r>
          </w:p>
          <w:p w14:paraId="2CC0D23F"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、当空气中甲烷浓度更高时，可能使人出现窒息、昏迷等。</w:t>
            </w:r>
          </w:p>
        </w:tc>
      </w:tr>
      <w:tr w:rsidR="00697429" w:rsidRPr="00092862" w14:paraId="1C65B8CC" w14:textId="77777777" w:rsidTr="00C54C73">
        <w:trPr>
          <w:cantSplit/>
          <w:jc w:val="center"/>
        </w:trPr>
        <w:tc>
          <w:tcPr>
            <w:tcW w:w="791" w:type="dxa"/>
            <w:vMerge w:val="restart"/>
            <w:vAlign w:val="center"/>
          </w:tcPr>
          <w:p w14:paraId="699EC3E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燃烧</w:t>
            </w:r>
          </w:p>
          <w:p w14:paraId="0ACF5276"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爆炸</w:t>
            </w:r>
          </w:p>
          <w:p w14:paraId="4E9B39E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w:t>
            </w:r>
          </w:p>
          <w:p w14:paraId="3409463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性</w:t>
            </w:r>
          </w:p>
        </w:tc>
        <w:tc>
          <w:tcPr>
            <w:tcW w:w="1581" w:type="dxa"/>
            <w:vAlign w:val="center"/>
          </w:tcPr>
          <w:p w14:paraId="62D8342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燃烧性</w:t>
            </w:r>
          </w:p>
        </w:tc>
        <w:tc>
          <w:tcPr>
            <w:tcW w:w="1702" w:type="dxa"/>
            <w:vAlign w:val="center"/>
          </w:tcPr>
          <w:p w14:paraId="1B568E06"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易燃</w:t>
            </w:r>
          </w:p>
        </w:tc>
        <w:tc>
          <w:tcPr>
            <w:tcW w:w="1945" w:type="dxa"/>
            <w:gridSpan w:val="2"/>
            <w:vAlign w:val="center"/>
          </w:tcPr>
          <w:p w14:paraId="6293305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建规火险等级</w:t>
            </w:r>
          </w:p>
        </w:tc>
        <w:tc>
          <w:tcPr>
            <w:tcW w:w="2203" w:type="dxa"/>
            <w:vAlign w:val="center"/>
          </w:tcPr>
          <w:p w14:paraId="43B1F08A"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甲</w:t>
            </w:r>
          </w:p>
        </w:tc>
      </w:tr>
      <w:tr w:rsidR="00697429" w:rsidRPr="00092862" w14:paraId="617D9142" w14:textId="77777777" w:rsidTr="00C54C73">
        <w:trPr>
          <w:cantSplit/>
          <w:jc w:val="center"/>
        </w:trPr>
        <w:tc>
          <w:tcPr>
            <w:tcW w:w="791" w:type="dxa"/>
            <w:vMerge/>
            <w:vAlign w:val="center"/>
          </w:tcPr>
          <w:p w14:paraId="056F3BB6"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1752612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闪点</w:t>
            </w:r>
            <w:r w:rsidRPr="00092862">
              <w:rPr>
                <w:rFonts w:ascii="Times New Roman" w:eastAsia="宋体" w:hAnsi="Times New Roman" w:cs="Times New Roman"/>
                <w:color w:val="000000" w:themeColor="text1"/>
                <w:szCs w:val="21"/>
              </w:rPr>
              <w:t>(℃)</w:t>
            </w:r>
          </w:p>
        </w:tc>
        <w:tc>
          <w:tcPr>
            <w:tcW w:w="1702" w:type="dxa"/>
            <w:vAlign w:val="center"/>
          </w:tcPr>
          <w:p w14:paraId="4E66CDB1"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-188</w:t>
            </w:r>
          </w:p>
        </w:tc>
        <w:tc>
          <w:tcPr>
            <w:tcW w:w="1945" w:type="dxa"/>
            <w:gridSpan w:val="2"/>
            <w:vAlign w:val="center"/>
          </w:tcPr>
          <w:p w14:paraId="58EDF10A"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爆炸下限</w:t>
            </w:r>
            <w:r w:rsidRPr="00092862">
              <w:rPr>
                <w:rFonts w:ascii="Times New Roman" w:eastAsia="宋体" w:hAnsi="Times New Roman" w:cs="Times New Roman"/>
                <w:color w:val="000000" w:themeColor="text1"/>
                <w:szCs w:val="21"/>
              </w:rPr>
              <w:t>(v%)</w:t>
            </w:r>
          </w:p>
        </w:tc>
        <w:tc>
          <w:tcPr>
            <w:tcW w:w="2203" w:type="dxa"/>
            <w:vAlign w:val="center"/>
          </w:tcPr>
          <w:p w14:paraId="3B45027F"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w:t>
            </w:r>
          </w:p>
        </w:tc>
      </w:tr>
      <w:tr w:rsidR="00697429" w:rsidRPr="00092862" w14:paraId="401D0DA6" w14:textId="77777777" w:rsidTr="00C54C73">
        <w:trPr>
          <w:cantSplit/>
          <w:jc w:val="center"/>
        </w:trPr>
        <w:tc>
          <w:tcPr>
            <w:tcW w:w="791" w:type="dxa"/>
            <w:vMerge/>
            <w:vAlign w:val="center"/>
          </w:tcPr>
          <w:p w14:paraId="293A89FD"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45CC6FC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自然温度</w:t>
            </w:r>
            <w:r w:rsidRPr="00092862">
              <w:rPr>
                <w:rFonts w:ascii="Times New Roman" w:eastAsia="宋体" w:hAnsi="Times New Roman" w:cs="Times New Roman"/>
                <w:color w:val="000000" w:themeColor="text1"/>
                <w:szCs w:val="21"/>
              </w:rPr>
              <w:t>(℃)</w:t>
            </w:r>
          </w:p>
        </w:tc>
        <w:tc>
          <w:tcPr>
            <w:tcW w:w="1702" w:type="dxa"/>
            <w:vAlign w:val="center"/>
          </w:tcPr>
          <w:p w14:paraId="4EE9CA7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538</w:t>
            </w:r>
          </w:p>
        </w:tc>
        <w:tc>
          <w:tcPr>
            <w:tcW w:w="1945" w:type="dxa"/>
            <w:gridSpan w:val="2"/>
            <w:vAlign w:val="center"/>
          </w:tcPr>
          <w:p w14:paraId="7A09EE0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爆炸上限</w:t>
            </w:r>
            <w:r w:rsidRPr="00092862">
              <w:rPr>
                <w:rFonts w:ascii="Times New Roman" w:eastAsia="宋体" w:hAnsi="Times New Roman" w:cs="Times New Roman"/>
                <w:color w:val="000000" w:themeColor="text1"/>
                <w:szCs w:val="21"/>
              </w:rPr>
              <w:t>(v%)</w:t>
            </w:r>
          </w:p>
        </w:tc>
        <w:tc>
          <w:tcPr>
            <w:tcW w:w="2203" w:type="dxa"/>
            <w:vAlign w:val="center"/>
          </w:tcPr>
          <w:p w14:paraId="69FD93D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r>
      <w:tr w:rsidR="00697429" w:rsidRPr="00092862" w14:paraId="0798B1DF" w14:textId="77777777" w:rsidTr="00C54C73">
        <w:trPr>
          <w:cantSplit/>
          <w:jc w:val="center"/>
        </w:trPr>
        <w:tc>
          <w:tcPr>
            <w:tcW w:w="791" w:type="dxa"/>
            <w:vMerge/>
            <w:vAlign w:val="center"/>
          </w:tcPr>
          <w:p w14:paraId="35A166C8"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0BF0D97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危险特性</w:t>
            </w:r>
          </w:p>
        </w:tc>
        <w:tc>
          <w:tcPr>
            <w:tcW w:w="5850" w:type="dxa"/>
            <w:gridSpan w:val="4"/>
            <w:vAlign w:val="center"/>
          </w:tcPr>
          <w:p w14:paraId="31D305F7"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、甲烷与空气混合能形成爆炸性混合物，当在爆炸极限范围内遇明火、高热能时引起燃烧爆炸。</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、甲烷与氟、氯等能发生剧烈的化学反应。</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、甲烷若遇高热，容器内压增大，有开裂和爆炸的危险。</w:t>
            </w:r>
          </w:p>
        </w:tc>
      </w:tr>
      <w:tr w:rsidR="00697429" w:rsidRPr="00092862" w14:paraId="311C9621" w14:textId="77777777" w:rsidTr="00C54C73">
        <w:trPr>
          <w:cantSplit/>
          <w:jc w:val="center"/>
        </w:trPr>
        <w:tc>
          <w:tcPr>
            <w:tcW w:w="791" w:type="dxa"/>
            <w:vMerge/>
            <w:vAlign w:val="center"/>
          </w:tcPr>
          <w:p w14:paraId="07EC6306"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129F9AB3"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稳定性</w:t>
            </w:r>
          </w:p>
        </w:tc>
        <w:tc>
          <w:tcPr>
            <w:tcW w:w="5850" w:type="dxa"/>
            <w:gridSpan w:val="4"/>
            <w:vAlign w:val="center"/>
          </w:tcPr>
          <w:p w14:paraId="0FFE7D60"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稳定</w:t>
            </w:r>
          </w:p>
        </w:tc>
      </w:tr>
      <w:tr w:rsidR="00697429" w:rsidRPr="00092862" w14:paraId="17153D5A" w14:textId="77777777" w:rsidTr="00C54C73">
        <w:trPr>
          <w:cantSplit/>
          <w:jc w:val="center"/>
        </w:trPr>
        <w:tc>
          <w:tcPr>
            <w:tcW w:w="791" w:type="dxa"/>
            <w:vMerge/>
            <w:vAlign w:val="center"/>
          </w:tcPr>
          <w:p w14:paraId="30B84A0E"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28FDBB4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聚合危害</w:t>
            </w:r>
          </w:p>
        </w:tc>
        <w:tc>
          <w:tcPr>
            <w:tcW w:w="5850" w:type="dxa"/>
            <w:gridSpan w:val="4"/>
            <w:vAlign w:val="center"/>
          </w:tcPr>
          <w:p w14:paraId="29074600"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不会出现聚合危害</w:t>
            </w:r>
          </w:p>
        </w:tc>
      </w:tr>
      <w:tr w:rsidR="00697429" w:rsidRPr="00092862" w14:paraId="7705AE90" w14:textId="77777777" w:rsidTr="00C54C73">
        <w:trPr>
          <w:cantSplit/>
          <w:jc w:val="center"/>
        </w:trPr>
        <w:tc>
          <w:tcPr>
            <w:tcW w:w="791" w:type="dxa"/>
            <w:vMerge/>
            <w:vAlign w:val="center"/>
          </w:tcPr>
          <w:p w14:paraId="24DF66E3"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297AC6F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禁忌物</w:t>
            </w:r>
          </w:p>
        </w:tc>
        <w:tc>
          <w:tcPr>
            <w:tcW w:w="5850" w:type="dxa"/>
            <w:gridSpan w:val="4"/>
            <w:vAlign w:val="center"/>
          </w:tcPr>
          <w:p w14:paraId="6630BE69"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强氧化剂，如氟、氯等</w:t>
            </w:r>
          </w:p>
        </w:tc>
      </w:tr>
      <w:tr w:rsidR="00697429" w:rsidRPr="00092862" w14:paraId="738882B9" w14:textId="77777777" w:rsidTr="00C54C73">
        <w:trPr>
          <w:cantSplit/>
          <w:jc w:val="center"/>
        </w:trPr>
        <w:tc>
          <w:tcPr>
            <w:tcW w:w="791" w:type="dxa"/>
            <w:vMerge/>
            <w:vAlign w:val="center"/>
          </w:tcPr>
          <w:p w14:paraId="3006C426"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0E9FA6C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灭火方法</w:t>
            </w:r>
          </w:p>
        </w:tc>
        <w:tc>
          <w:tcPr>
            <w:tcW w:w="5850" w:type="dxa"/>
            <w:gridSpan w:val="4"/>
            <w:vAlign w:val="center"/>
          </w:tcPr>
          <w:p w14:paraId="1DCD998D"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、立即切断气源。</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、若不能立即切断气源，则不允许熄灭正在燃烧的气体。</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、喷水冷却容器，如果可能应将容器从火场移至空旷处。</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、采用雾状水、泡沫灭火器和二氧化碳灭火器等。</w:t>
            </w:r>
          </w:p>
        </w:tc>
      </w:tr>
      <w:tr w:rsidR="00697429" w:rsidRPr="00092862" w14:paraId="40604E4A" w14:textId="77777777" w:rsidTr="00C54C73">
        <w:trPr>
          <w:cantSplit/>
          <w:jc w:val="center"/>
        </w:trPr>
        <w:tc>
          <w:tcPr>
            <w:tcW w:w="791" w:type="dxa"/>
            <w:vMerge w:val="restart"/>
            <w:vAlign w:val="center"/>
          </w:tcPr>
          <w:p w14:paraId="570BDE81"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包装</w:t>
            </w:r>
          </w:p>
          <w:p w14:paraId="7D63D8E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储运</w:t>
            </w:r>
          </w:p>
        </w:tc>
        <w:tc>
          <w:tcPr>
            <w:tcW w:w="1581" w:type="dxa"/>
            <w:vAlign w:val="center"/>
          </w:tcPr>
          <w:p w14:paraId="7A84C7D1"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危险性类别</w:t>
            </w:r>
          </w:p>
        </w:tc>
        <w:tc>
          <w:tcPr>
            <w:tcW w:w="5850" w:type="dxa"/>
            <w:gridSpan w:val="4"/>
            <w:vAlign w:val="center"/>
          </w:tcPr>
          <w:p w14:paraId="52F29C3A"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w:t>
            </w:r>
            <w:r w:rsidRPr="00092862">
              <w:rPr>
                <w:rFonts w:ascii="Times New Roman" w:eastAsia="宋体" w:hAnsi="Times New Roman" w:cs="Times New Roman"/>
                <w:color w:val="000000" w:themeColor="text1"/>
                <w:szCs w:val="21"/>
              </w:rPr>
              <w:t>2.1</w:t>
            </w:r>
            <w:r w:rsidRPr="00092862">
              <w:rPr>
                <w:rFonts w:ascii="Times New Roman" w:eastAsia="宋体" w:hAnsi="Times New Roman" w:cs="Times New Roman"/>
                <w:color w:val="000000" w:themeColor="text1"/>
                <w:szCs w:val="21"/>
              </w:rPr>
              <w:t>类</w:t>
            </w:r>
            <w:r w:rsidRPr="00092862">
              <w:rPr>
                <w:rFonts w:ascii="Times New Roman" w:eastAsia="宋体" w:hAnsi="Times New Roman" w:cs="Times New Roman"/>
                <w:color w:val="000000" w:themeColor="text1"/>
                <w:szCs w:val="21"/>
              </w:rPr>
              <w:t>(UN</w:t>
            </w:r>
            <w:r w:rsidRPr="00092862">
              <w:rPr>
                <w:rFonts w:ascii="Times New Roman" w:eastAsia="宋体" w:hAnsi="Times New Roman" w:cs="Times New Roman"/>
                <w:color w:val="000000" w:themeColor="text1"/>
                <w:szCs w:val="21"/>
              </w:rPr>
              <w:t>类别</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易燃气体</w:t>
            </w:r>
          </w:p>
        </w:tc>
      </w:tr>
      <w:tr w:rsidR="00697429" w:rsidRPr="00092862" w14:paraId="229F5D0D" w14:textId="77777777" w:rsidTr="00C54C73">
        <w:trPr>
          <w:cantSplit/>
          <w:jc w:val="center"/>
        </w:trPr>
        <w:tc>
          <w:tcPr>
            <w:tcW w:w="791" w:type="dxa"/>
            <w:vMerge/>
            <w:vAlign w:val="center"/>
          </w:tcPr>
          <w:p w14:paraId="49A831F7"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5491BCB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危险货物包装标志</w:t>
            </w:r>
          </w:p>
        </w:tc>
        <w:tc>
          <w:tcPr>
            <w:tcW w:w="5850" w:type="dxa"/>
            <w:gridSpan w:val="4"/>
            <w:vAlign w:val="center"/>
          </w:tcPr>
          <w:p w14:paraId="76011569"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w:t>
            </w:r>
          </w:p>
        </w:tc>
      </w:tr>
      <w:tr w:rsidR="00697429" w:rsidRPr="00092862" w14:paraId="63F88824" w14:textId="77777777" w:rsidTr="00C54C73">
        <w:trPr>
          <w:cantSplit/>
          <w:jc w:val="center"/>
        </w:trPr>
        <w:tc>
          <w:tcPr>
            <w:tcW w:w="791" w:type="dxa"/>
            <w:vAlign w:val="center"/>
          </w:tcPr>
          <w:p w14:paraId="56C1719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包装</w:t>
            </w:r>
          </w:p>
          <w:p w14:paraId="562FC50F"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储运</w:t>
            </w:r>
          </w:p>
        </w:tc>
        <w:tc>
          <w:tcPr>
            <w:tcW w:w="1581" w:type="dxa"/>
            <w:vAlign w:val="center"/>
          </w:tcPr>
          <w:p w14:paraId="01A7BF6C"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储运注意事项</w:t>
            </w:r>
          </w:p>
        </w:tc>
        <w:tc>
          <w:tcPr>
            <w:tcW w:w="5850" w:type="dxa"/>
            <w:gridSpan w:val="4"/>
            <w:vAlign w:val="center"/>
          </w:tcPr>
          <w:p w14:paraId="1B674616"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、储存于阴凉、通风的储存间内，且储存间内温度不宜超过</w:t>
            </w:r>
            <w:r w:rsidRPr="00092862">
              <w:rPr>
                <w:rFonts w:ascii="Times New Roman" w:eastAsia="宋体" w:hAnsi="Times New Roman" w:cs="Times New Roman"/>
                <w:color w:val="000000" w:themeColor="text1"/>
                <w:szCs w:val="21"/>
              </w:rPr>
              <w:t>30℃</w:t>
            </w:r>
            <w:r w:rsidRPr="00092862">
              <w:rPr>
                <w:rFonts w:ascii="Times New Roman" w:eastAsia="宋体" w:hAnsi="Times New Roman" w:cs="Times New Roman"/>
                <w:color w:val="000000" w:themeColor="text1"/>
                <w:szCs w:val="21"/>
              </w:rPr>
              <w:t>，储存间内的照明、通风设施应采用防爆型，开关设置于储存间外。</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、罐储时，要有防火防爆措施，若为露天储罐夏季应有降温措施。</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、储存间和储罐附近应配备相应品种和数量的消防器材。</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、远离火种、热源，禁止使用易产生火花的机械设备和工具。</w:t>
            </w: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、防止阳光直射。</w:t>
            </w:r>
            <w:r w:rsidRPr="00092862">
              <w:rPr>
                <w:rFonts w:ascii="Times New Roman" w:eastAsia="宋体" w:hAnsi="Times New Roman" w:cs="Times New Roman"/>
                <w:color w:val="000000" w:themeColor="text1"/>
                <w:szCs w:val="21"/>
              </w:rPr>
              <w:t>6</w:t>
            </w:r>
            <w:r w:rsidRPr="00092862">
              <w:rPr>
                <w:rFonts w:ascii="Times New Roman" w:eastAsia="宋体" w:hAnsi="Times New Roman" w:cs="Times New Roman"/>
                <w:color w:val="000000" w:themeColor="text1"/>
                <w:szCs w:val="21"/>
              </w:rPr>
              <w:t>、与氧气、压缩空气、卤素</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氟、氯、溴</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等分开存放，切忌混储混运。</w:t>
            </w:r>
            <w:r w:rsidRPr="00092862">
              <w:rPr>
                <w:rFonts w:ascii="Times New Roman" w:eastAsia="宋体" w:hAnsi="Times New Roman" w:cs="Times New Roman"/>
                <w:color w:val="000000" w:themeColor="text1"/>
                <w:szCs w:val="21"/>
              </w:rPr>
              <w:t>7</w:t>
            </w:r>
            <w:r w:rsidRPr="00092862">
              <w:rPr>
                <w:rFonts w:ascii="Times New Roman" w:eastAsia="宋体" w:hAnsi="Times New Roman" w:cs="Times New Roman"/>
                <w:color w:val="000000" w:themeColor="text1"/>
                <w:szCs w:val="21"/>
              </w:rPr>
              <w:t>、验收时应注意品名，注意验瓶日期，先进储存的先发用。</w:t>
            </w:r>
            <w:r w:rsidRPr="00092862">
              <w:rPr>
                <w:rFonts w:ascii="Times New Roman" w:eastAsia="宋体" w:hAnsi="Times New Roman" w:cs="Times New Roman"/>
                <w:color w:val="000000" w:themeColor="text1"/>
                <w:szCs w:val="21"/>
              </w:rPr>
              <w:t>8</w:t>
            </w:r>
            <w:r w:rsidRPr="00092862">
              <w:rPr>
                <w:rFonts w:ascii="Times New Roman" w:eastAsia="宋体" w:hAnsi="Times New Roman" w:cs="Times New Roman"/>
                <w:color w:val="000000" w:themeColor="text1"/>
                <w:szCs w:val="21"/>
              </w:rPr>
              <w:t>、搬运时轻装轻卸，防止钢瓶及附件破损。</w:t>
            </w:r>
          </w:p>
        </w:tc>
      </w:tr>
      <w:tr w:rsidR="00697429" w:rsidRPr="00092862" w14:paraId="17FB5736" w14:textId="77777777" w:rsidTr="00C54C73">
        <w:trPr>
          <w:cantSplit/>
          <w:jc w:val="center"/>
        </w:trPr>
        <w:tc>
          <w:tcPr>
            <w:tcW w:w="791" w:type="dxa"/>
            <w:vMerge w:val="restart"/>
            <w:vAlign w:val="center"/>
          </w:tcPr>
          <w:p w14:paraId="508BC3BA"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急救</w:t>
            </w:r>
          </w:p>
        </w:tc>
        <w:tc>
          <w:tcPr>
            <w:tcW w:w="1581" w:type="dxa"/>
            <w:vAlign w:val="center"/>
          </w:tcPr>
          <w:p w14:paraId="1CE0954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皮肤接触</w:t>
            </w:r>
          </w:p>
        </w:tc>
        <w:tc>
          <w:tcPr>
            <w:tcW w:w="5850" w:type="dxa"/>
            <w:gridSpan w:val="4"/>
            <w:vAlign w:val="center"/>
          </w:tcPr>
          <w:p w14:paraId="6ECBB568"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若有冻伤，就医治疗。</w:t>
            </w:r>
          </w:p>
        </w:tc>
      </w:tr>
      <w:tr w:rsidR="00697429" w:rsidRPr="00092862" w14:paraId="6C80DCF1" w14:textId="77777777" w:rsidTr="00C54C73">
        <w:trPr>
          <w:cantSplit/>
          <w:jc w:val="center"/>
        </w:trPr>
        <w:tc>
          <w:tcPr>
            <w:tcW w:w="791" w:type="dxa"/>
            <w:vMerge/>
            <w:vAlign w:val="center"/>
          </w:tcPr>
          <w:p w14:paraId="204D72FC"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5640E22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吸入</w:t>
            </w:r>
          </w:p>
        </w:tc>
        <w:tc>
          <w:tcPr>
            <w:tcW w:w="5850" w:type="dxa"/>
            <w:gridSpan w:val="4"/>
            <w:vAlign w:val="center"/>
          </w:tcPr>
          <w:p w14:paraId="123092EA"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、迅速脱离现场至空气新鲜处。</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、注意保暖，呼吸困难时给输氧。</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、呼吸及心跳停止者立即进行人工呼吸和心脏按压术，并就医治疗。</w:t>
            </w:r>
          </w:p>
        </w:tc>
      </w:tr>
      <w:tr w:rsidR="00697429" w:rsidRPr="00092862" w14:paraId="54EAEEF2" w14:textId="77777777" w:rsidTr="00C54C73">
        <w:trPr>
          <w:cantSplit/>
          <w:jc w:val="center"/>
        </w:trPr>
        <w:tc>
          <w:tcPr>
            <w:tcW w:w="791" w:type="dxa"/>
            <w:vMerge w:val="restart"/>
            <w:vAlign w:val="center"/>
          </w:tcPr>
          <w:p w14:paraId="26A903C3"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防护</w:t>
            </w:r>
          </w:p>
          <w:p w14:paraId="3D020D35"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措施</w:t>
            </w:r>
          </w:p>
        </w:tc>
        <w:tc>
          <w:tcPr>
            <w:tcW w:w="1581" w:type="dxa"/>
            <w:vAlign w:val="center"/>
          </w:tcPr>
          <w:p w14:paraId="12C17B08"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工程控制</w:t>
            </w:r>
          </w:p>
        </w:tc>
        <w:tc>
          <w:tcPr>
            <w:tcW w:w="5850" w:type="dxa"/>
            <w:gridSpan w:val="4"/>
            <w:vAlign w:val="center"/>
          </w:tcPr>
          <w:p w14:paraId="23998E0B"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全面通风。</w:t>
            </w:r>
          </w:p>
        </w:tc>
      </w:tr>
      <w:tr w:rsidR="00697429" w:rsidRPr="00092862" w14:paraId="4FB59BF9" w14:textId="77777777" w:rsidTr="00C54C73">
        <w:trPr>
          <w:cantSplit/>
          <w:jc w:val="center"/>
        </w:trPr>
        <w:tc>
          <w:tcPr>
            <w:tcW w:w="791" w:type="dxa"/>
            <w:vMerge/>
            <w:vAlign w:val="center"/>
          </w:tcPr>
          <w:p w14:paraId="53DDA789"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797102A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呼吸系统防护</w:t>
            </w:r>
          </w:p>
        </w:tc>
        <w:tc>
          <w:tcPr>
            <w:tcW w:w="5850" w:type="dxa"/>
            <w:gridSpan w:val="4"/>
            <w:vAlign w:val="center"/>
          </w:tcPr>
          <w:p w14:paraId="7F7F3F8A"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一般不需要特殊防护，高浓度环境中，可佩带供气式呼吸器。</w:t>
            </w:r>
          </w:p>
        </w:tc>
      </w:tr>
      <w:tr w:rsidR="00697429" w:rsidRPr="00092862" w14:paraId="574D5682" w14:textId="77777777" w:rsidTr="00C54C73">
        <w:trPr>
          <w:cantSplit/>
          <w:jc w:val="center"/>
        </w:trPr>
        <w:tc>
          <w:tcPr>
            <w:tcW w:w="791" w:type="dxa"/>
            <w:vMerge/>
            <w:vAlign w:val="center"/>
          </w:tcPr>
          <w:p w14:paraId="052D8FA1"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3FEBC3BE"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眼睛防护</w:t>
            </w:r>
          </w:p>
        </w:tc>
        <w:tc>
          <w:tcPr>
            <w:tcW w:w="5850" w:type="dxa"/>
            <w:gridSpan w:val="4"/>
            <w:vAlign w:val="center"/>
          </w:tcPr>
          <w:p w14:paraId="52C128F6"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一般不需要特殊防护，高浓度接触时可戴安全防护眼镜。</w:t>
            </w:r>
          </w:p>
        </w:tc>
      </w:tr>
      <w:tr w:rsidR="00697429" w:rsidRPr="00092862" w14:paraId="0158DFBB" w14:textId="77777777" w:rsidTr="00C54C73">
        <w:trPr>
          <w:cantSplit/>
          <w:jc w:val="center"/>
        </w:trPr>
        <w:tc>
          <w:tcPr>
            <w:tcW w:w="791" w:type="dxa"/>
            <w:vMerge/>
            <w:vAlign w:val="center"/>
          </w:tcPr>
          <w:p w14:paraId="4CFC9DB4"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123AF27D"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手防护</w:t>
            </w:r>
          </w:p>
        </w:tc>
        <w:tc>
          <w:tcPr>
            <w:tcW w:w="5850" w:type="dxa"/>
            <w:gridSpan w:val="4"/>
            <w:vAlign w:val="center"/>
          </w:tcPr>
          <w:p w14:paraId="7A754EB1"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一般不需要特殊防护，高浓度接触可戴防护手套。</w:t>
            </w:r>
          </w:p>
        </w:tc>
      </w:tr>
      <w:tr w:rsidR="00697429" w:rsidRPr="00092862" w14:paraId="1DC1097F" w14:textId="77777777" w:rsidTr="00C54C73">
        <w:trPr>
          <w:cantSplit/>
          <w:jc w:val="center"/>
        </w:trPr>
        <w:tc>
          <w:tcPr>
            <w:tcW w:w="791" w:type="dxa"/>
            <w:vMerge/>
            <w:vAlign w:val="center"/>
          </w:tcPr>
          <w:p w14:paraId="498BAD20" w14:textId="77777777" w:rsidR="00450025" w:rsidRPr="00092862" w:rsidRDefault="00450025" w:rsidP="00C54C73">
            <w:pPr>
              <w:jc w:val="center"/>
              <w:rPr>
                <w:rFonts w:ascii="Times New Roman" w:eastAsia="宋体" w:hAnsi="Times New Roman" w:cs="Times New Roman"/>
                <w:color w:val="000000" w:themeColor="text1"/>
                <w:szCs w:val="21"/>
              </w:rPr>
            </w:pPr>
          </w:p>
        </w:tc>
        <w:tc>
          <w:tcPr>
            <w:tcW w:w="1581" w:type="dxa"/>
            <w:vAlign w:val="center"/>
          </w:tcPr>
          <w:p w14:paraId="0E7D7434"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其它</w:t>
            </w:r>
          </w:p>
        </w:tc>
        <w:tc>
          <w:tcPr>
            <w:tcW w:w="5850" w:type="dxa"/>
            <w:gridSpan w:val="4"/>
            <w:vAlign w:val="center"/>
          </w:tcPr>
          <w:p w14:paraId="7DDFAA15"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、工作现场严禁吸烟；</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、避免长期反复接触；</w:t>
            </w:r>
          </w:p>
          <w:p w14:paraId="088CD481"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、进入罐区或其它高浓度区作业时须有人监护。</w:t>
            </w:r>
          </w:p>
        </w:tc>
      </w:tr>
      <w:tr w:rsidR="00697429" w:rsidRPr="00092862" w14:paraId="79666AB3" w14:textId="77777777" w:rsidTr="00C54C73">
        <w:trPr>
          <w:cantSplit/>
          <w:jc w:val="center"/>
        </w:trPr>
        <w:tc>
          <w:tcPr>
            <w:tcW w:w="791" w:type="dxa"/>
            <w:vAlign w:val="center"/>
          </w:tcPr>
          <w:p w14:paraId="1195FC32"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泄露</w:t>
            </w:r>
          </w:p>
          <w:p w14:paraId="41F8C056" w14:textId="77777777" w:rsidR="00450025" w:rsidRPr="00092862" w:rsidRDefault="00450025" w:rsidP="00C54C73">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处理</w:t>
            </w:r>
          </w:p>
        </w:tc>
        <w:tc>
          <w:tcPr>
            <w:tcW w:w="7431" w:type="dxa"/>
            <w:gridSpan w:val="5"/>
            <w:vAlign w:val="center"/>
          </w:tcPr>
          <w:p w14:paraId="7EF78997" w14:textId="77777777"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、切断气源，喷雾状水稀释、降温，抽排</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室内</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或强力通风</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室外</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、切断火源，迅速撤离泄露污染区人员至上风处，并隔离直至气体散尽。</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、应急处理人员应戴自给式呼吸器，穿一般消防防护服。</w:t>
            </w:r>
            <w:r w:rsidRPr="00092862">
              <w:rPr>
                <w:rFonts w:ascii="Times New Roman" w:eastAsia="宋体" w:hAnsi="Times New Roman" w:cs="Times New Roman"/>
                <w:color w:val="000000" w:themeColor="text1"/>
                <w:szCs w:val="21"/>
              </w:rPr>
              <w:t>4</w:t>
            </w:r>
            <w:r w:rsidRPr="00092862">
              <w:rPr>
                <w:rFonts w:ascii="Times New Roman" w:eastAsia="宋体" w:hAnsi="Times New Roman" w:cs="Times New Roman"/>
                <w:color w:val="000000" w:themeColor="text1"/>
                <w:szCs w:val="21"/>
              </w:rPr>
              <w:t>、如有可能，应将漏出气用排风机送至空旷地方或装设适当喷头烧掉；也可以将漏气的容器移至空旷处，注意通风。</w:t>
            </w:r>
            <w:r w:rsidRPr="00092862">
              <w:rPr>
                <w:rFonts w:ascii="Times New Roman" w:eastAsia="宋体" w:hAnsi="Times New Roman" w:cs="Times New Roman"/>
                <w:color w:val="000000" w:themeColor="text1"/>
                <w:szCs w:val="21"/>
              </w:rPr>
              <w:t>5</w:t>
            </w:r>
            <w:r w:rsidRPr="00092862">
              <w:rPr>
                <w:rFonts w:ascii="Times New Roman" w:eastAsia="宋体" w:hAnsi="Times New Roman" w:cs="Times New Roman"/>
                <w:color w:val="000000" w:themeColor="text1"/>
                <w:szCs w:val="21"/>
              </w:rPr>
              <w:t>、漏气容器不能再用，且要经过技术处理以清除可能剩下的气休。</w:t>
            </w:r>
          </w:p>
        </w:tc>
      </w:tr>
    </w:tbl>
    <w:p w14:paraId="6918572D" w14:textId="77777777" w:rsidR="00450025" w:rsidRPr="00092862" w:rsidRDefault="00450025" w:rsidP="00450025">
      <w:pPr>
        <w:pStyle w:val="ac"/>
        <w:adjustRightInd w:val="0"/>
        <w:snapToGrid w:val="0"/>
        <w:spacing w:beforeLines="50" w:before="12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6</w:t>
      </w:r>
      <w:r w:rsidRPr="00092862">
        <w:rPr>
          <w:rFonts w:ascii="Times New Roman" w:hAnsi="Times New Roman"/>
          <w:b/>
          <w:color w:val="000000" w:themeColor="text1"/>
          <w:kern w:val="2"/>
          <w:lang w:eastAsia="zh-CN"/>
        </w:rPr>
        <w:t>）硫化氢危险性分析</w:t>
      </w:r>
    </w:p>
    <w:p w14:paraId="65D546D1" w14:textId="394DAA7D" w:rsidR="00450025" w:rsidRPr="00092862" w:rsidRDefault="00450025" w:rsidP="00450025">
      <w:pPr>
        <w:pStyle w:val="afffff6"/>
        <w:ind w:firstLine="480"/>
        <w:rPr>
          <w:color w:val="000000" w:themeColor="text1"/>
        </w:rPr>
      </w:pPr>
      <w:r w:rsidRPr="00092862">
        <w:rPr>
          <w:color w:val="000000" w:themeColor="text1"/>
        </w:rPr>
        <w:t>本工程天然气为含硫气，可能对环境造成危害的物质为硫化氢。硫化氢为强烈的神经性毒物，对粘膜有强烈的刺激作用。硫化氢对人的生理影响及危害见表</w:t>
      </w:r>
      <w:r w:rsidR="00CA20DF" w:rsidRPr="00092862">
        <w:rPr>
          <w:color w:val="000000" w:themeColor="text1"/>
        </w:rPr>
        <w:t>6.1-2</w:t>
      </w:r>
      <w:r w:rsidRPr="00092862">
        <w:rPr>
          <w:color w:val="000000" w:themeColor="text1"/>
        </w:rPr>
        <w:t>。</w:t>
      </w:r>
    </w:p>
    <w:p w14:paraId="420AA83A" w14:textId="58A5870E"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硫化氢物化性质表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5"/>
        <w:gridCol w:w="1275"/>
        <w:gridCol w:w="2125"/>
        <w:gridCol w:w="1987"/>
        <w:gridCol w:w="17"/>
        <w:gridCol w:w="181"/>
        <w:gridCol w:w="2150"/>
      </w:tblGrid>
      <w:tr w:rsidR="00697429" w:rsidRPr="00092862" w14:paraId="19442A33" w14:textId="77777777" w:rsidTr="00C54C73">
        <w:trPr>
          <w:trHeight w:val="19"/>
          <w:jc w:val="center"/>
        </w:trPr>
        <w:tc>
          <w:tcPr>
            <w:tcW w:w="341" w:type="pct"/>
            <w:vMerge w:val="restart"/>
            <w:vAlign w:val="center"/>
          </w:tcPr>
          <w:p w14:paraId="2DE48CEB" w14:textId="77777777" w:rsidR="00450025" w:rsidRPr="00092862" w:rsidRDefault="00450025" w:rsidP="00C54C73">
            <w:pPr>
              <w:pStyle w:val="afffff7"/>
              <w:rPr>
                <w:color w:val="000000" w:themeColor="text1"/>
              </w:rPr>
            </w:pPr>
            <w:r w:rsidRPr="00092862">
              <w:rPr>
                <w:color w:val="000000" w:themeColor="text1"/>
              </w:rPr>
              <w:t>标识</w:t>
            </w:r>
          </w:p>
        </w:tc>
        <w:tc>
          <w:tcPr>
            <w:tcW w:w="768" w:type="pct"/>
            <w:vAlign w:val="center"/>
          </w:tcPr>
          <w:p w14:paraId="33FED0AA" w14:textId="77777777" w:rsidR="00450025" w:rsidRPr="00092862" w:rsidRDefault="00450025" w:rsidP="00C54C73">
            <w:pPr>
              <w:pStyle w:val="afffff7"/>
              <w:rPr>
                <w:color w:val="000000" w:themeColor="text1"/>
              </w:rPr>
            </w:pPr>
            <w:r w:rsidRPr="00092862">
              <w:rPr>
                <w:color w:val="000000" w:themeColor="text1"/>
              </w:rPr>
              <w:t>中文名</w:t>
            </w:r>
          </w:p>
        </w:tc>
        <w:tc>
          <w:tcPr>
            <w:tcW w:w="1280" w:type="pct"/>
            <w:vAlign w:val="center"/>
          </w:tcPr>
          <w:p w14:paraId="5197D390" w14:textId="77777777" w:rsidR="00450025" w:rsidRPr="00092862" w:rsidRDefault="00450025" w:rsidP="00C54C73">
            <w:pPr>
              <w:pStyle w:val="afffff7"/>
              <w:rPr>
                <w:color w:val="000000" w:themeColor="text1"/>
              </w:rPr>
            </w:pPr>
            <w:r w:rsidRPr="00092862">
              <w:rPr>
                <w:color w:val="000000" w:themeColor="text1"/>
              </w:rPr>
              <w:t>硫化氢</w:t>
            </w:r>
          </w:p>
        </w:tc>
        <w:tc>
          <w:tcPr>
            <w:tcW w:w="1197" w:type="pct"/>
            <w:vAlign w:val="center"/>
          </w:tcPr>
          <w:p w14:paraId="489C11EE" w14:textId="77777777" w:rsidR="00450025" w:rsidRPr="00092862" w:rsidRDefault="00450025" w:rsidP="00C54C73">
            <w:pPr>
              <w:pStyle w:val="afffff7"/>
              <w:rPr>
                <w:color w:val="000000" w:themeColor="text1"/>
              </w:rPr>
            </w:pPr>
            <w:r w:rsidRPr="00092862">
              <w:rPr>
                <w:color w:val="000000" w:themeColor="text1"/>
              </w:rPr>
              <w:t>英文名</w:t>
            </w:r>
          </w:p>
        </w:tc>
        <w:tc>
          <w:tcPr>
            <w:tcW w:w="1414" w:type="pct"/>
            <w:gridSpan w:val="3"/>
            <w:vAlign w:val="center"/>
          </w:tcPr>
          <w:p w14:paraId="2668B067" w14:textId="77777777" w:rsidR="00450025" w:rsidRPr="00092862" w:rsidRDefault="00450025" w:rsidP="00C54C73">
            <w:pPr>
              <w:pStyle w:val="afffff7"/>
              <w:rPr>
                <w:color w:val="000000" w:themeColor="text1"/>
              </w:rPr>
            </w:pPr>
            <w:r w:rsidRPr="00092862">
              <w:rPr>
                <w:color w:val="000000" w:themeColor="text1"/>
              </w:rPr>
              <w:t>Hydrogen Sulfide</w:t>
            </w:r>
          </w:p>
        </w:tc>
      </w:tr>
      <w:tr w:rsidR="00697429" w:rsidRPr="00092862" w14:paraId="3447CAB0" w14:textId="77777777" w:rsidTr="00C54C73">
        <w:trPr>
          <w:trHeight w:val="19"/>
          <w:jc w:val="center"/>
        </w:trPr>
        <w:tc>
          <w:tcPr>
            <w:tcW w:w="341" w:type="pct"/>
            <w:vMerge/>
            <w:vAlign w:val="center"/>
          </w:tcPr>
          <w:p w14:paraId="6713A4A4" w14:textId="77777777" w:rsidR="00450025" w:rsidRPr="00092862" w:rsidRDefault="00450025" w:rsidP="00C54C73">
            <w:pPr>
              <w:pStyle w:val="afffff7"/>
              <w:rPr>
                <w:color w:val="000000" w:themeColor="text1"/>
              </w:rPr>
            </w:pPr>
          </w:p>
        </w:tc>
        <w:tc>
          <w:tcPr>
            <w:tcW w:w="768" w:type="pct"/>
            <w:vAlign w:val="center"/>
          </w:tcPr>
          <w:p w14:paraId="77A017AB" w14:textId="77777777" w:rsidR="00450025" w:rsidRPr="00092862" w:rsidRDefault="00450025" w:rsidP="00C54C73">
            <w:pPr>
              <w:pStyle w:val="afffff7"/>
              <w:rPr>
                <w:color w:val="000000" w:themeColor="text1"/>
              </w:rPr>
            </w:pPr>
            <w:r w:rsidRPr="00092862">
              <w:rPr>
                <w:color w:val="000000" w:themeColor="text1"/>
              </w:rPr>
              <w:t>分子式</w:t>
            </w:r>
          </w:p>
        </w:tc>
        <w:tc>
          <w:tcPr>
            <w:tcW w:w="1280" w:type="pct"/>
            <w:vAlign w:val="center"/>
          </w:tcPr>
          <w:p w14:paraId="53B8F122" w14:textId="77777777" w:rsidR="00450025" w:rsidRPr="00092862" w:rsidRDefault="00450025" w:rsidP="00C54C73">
            <w:pPr>
              <w:pStyle w:val="afffff7"/>
              <w:rPr>
                <w:color w:val="000000" w:themeColor="text1"/>
              </w:rPr>
            </w:pPr>
            <w:r w:rsidRPr="00092862">
              <w:rPr>
                <w:color w:val="000000" w:themeColor="text1"/>
              </w:rPr>
              <w:t>H</w:t>
            </w:r>
            <w:r w:rsidRPr="00092862">
              <w:rPr>
                <w:color w:val="000000" w:themeColor="text1"/>
                <w:vertAlign w:val="subscript"/>
              </w:rPr>
              <w:t>2</w:t>
            </w:r>
            <w:r w:rsidRPr="00092862">
              <w:rPr>
                <w:color w:val="000000" w:themeColor="text1"/>
              </w:rPr>
              <w:t>S</w:t>
            </w:r>
          </w:p>
        </w:tc>
        <w:tc>
          <w:tcPr>
            <w:tcW w:w="1207" w:type="pct"/>
            <w:gridSpan w:val="2"/>
            <w:vAlign w:val="center"/>
          </w:tcPr>
          <w:p w14:paraId="7907827C" w14:textId="77777777" w:rsidR="00450025" w:rsidRPr="00092862" w:rsidRDefault="00450025" w:rsidP="00C54C73">
            <w:pPr>
              <w:pStyle w:val="afffff7"/>
              <w:rPr>
                <w:color w:val="000000" w:themeColor="text1"/>
              </w:rPr>
            </w:pPr>
            <w:r w:rsidRPr="00092862">
              <w:rPr>
                <w:color w:val="000000" w:themeColor="text1"/>
              </w:rPr>
              <w:t>危险货物：</w:t>
            </w:r>
            <w:r w:rsidRPr="00092862">
              <w:rPr>
                <w:color w:val="000000" w:themeColor="text1"/>
              </w:rPr>
              <w:t>UN</w:t>
            </w:r>
            <w:r w:rsidRPr="00092862">
              <w:rPr>
                <w:color w:val="000000" w:themeColor="text1"/>
              </w:rPr>
              <w:t>编号</w:t>
            </w:r>
          </w:p>
        </w:tc>
        <w:tc>
          <w:tcPr>
            <w:tcW w:w="1404" w:type="pct"/>
            <w:gridSpan w:val="2"/>
            <w:vAlign w:val="center"/>
          </w:tcPr>
          <w:p w14:paraId="3025C6C9" w14:textId="77777777" w:rsidR="00450025" w:rsidRPr="00092862" w:rsidRDefault="00450025" w:rsidP="00C54C73">
            <w:pPr>
              <w:pStyle w:val="afffff7"/>
              <w:rPr>
                <w:color w:val="000000" w:themeColor="text1"/>
              </w:rPr>
            </w:pPr>
            <w:r w:rsidRPr="00092862">
              <w:rPr>
                <w:color w:val="000000" w:themeColor="text1"/>
              </w:rPr>
              <w:t>21006:1053</w:t>
            </w:r>
          </w:p>
        </w:tc>
      </w:tr>
      <w:tr w:rsidR="00697429" w:rsidRPr="00092862" w14:paraId="2C3D19A8" w14:textId="77777777" w:rsidTr="00C54C73">
        <w:trPr>
          <w:trHeight w:val="19"/>
          <w:jc w:val="center"/>
        </w:trPr>
        <w:tc>
          <w:tcPr>
            <w:tcW w:w="341" w:type="pct"/>
            <w:vMerge/>
            <w:vAlign w:val="center"/>
          </w:tcPr>
          <w:p w14:paraId="41378838" w14:textId="77777777" w:rsidR="00450025" w:rsidRPr="00092862" w:rsidRDefault="00450025" w:rsidP="00C54C73">
            <w:pPr>
              <w:pStyle w:val="afffff7"/>
              <w:rPr>
                <w:color w:val="000000" w:themeColor="text1"/>
              </w:rPr>
            </w:pPr>
          </w:p>
        </w:tc>
        <w:tc>
          <w:tcPr>
            <w:tcW w:w="768" w:type="pct"/>
            <w:vAlign w:val="center"/>
          </w:tcPr>
          <w:p w14:paraId="0A71B4B9" w14:textId="77777777" w:rsidR="00450025" w:rsidRPr="00092862" w:rsidRDefault="00450025" w:rsidP="00C54C73">
            <w:pPr>
              <w:pStyle w:val="afffff7"/>
              <w:rPr>
                <w:color w:val="000000" w:themeColor="text1"/>
              </w:rPr>
            </w:pPr>
            <w:r w:rsidRPr="00092862">
              <w:rPr>
                <w:color w:val="000000" w:themeColor="text1"/>
              </w:rPr>
              <w:t>沸点</w:t>
            </w:r>
          </w:p>
        </w:tc>
        <w:tc>
          <w:tcPr>
            <w:tcW w:w="1280" w:type="pct"/>
            <w:vAlign w:val="center"/>
          </w:tcPr>
          <w:p w14:paraId="472ED1A8" w14:textId="77777777" w:rsidR="00450025" w:rsidRPr="00092862" w:rsidRDefault="00450025" w:rsidP="00C54C73">
            <w:pPr>
              <w:pStyle w:val="afffff7"/>
              <w:rPr>
                <w:color w:val="000000" w:themeColor="text1"/>
              </w:rPr>
            </w:pPr>
            <w:r w:rsidRPr="00092862">
              <w:rPr>
                <w:color w:val="000000" w:themeColor="text1"/>
              </w:rPr>
              <w:t>-60.4℃</w:t>
            </w:r>
          </w:p>
        </w:tc>
        <w:tc>
          <w:tcPr>
            <w:tcW w:w="1207" w:type="pct"/>
            <w:gridSpan w:val="2"/>
            <w:vAlign w:val="center"/>
          </w:tcPr>
          <w:p w14:paraId="6A2DF990" w14:textId="77777777" w:rsidR="00450025" w:rsidRPr="00092862" w:rsidRDefault="00450025" w:rsidP="00C54C73">
            <w:pPr>
              <w:pStyle w:val="afffff7"/>
              <w:rPr>
                <w:color w:val="000000" w:themeColor="text1"/>
              </w:rPr>
            </w:pPr>
            <w:r w:rsidRPr="00092862">
              <w:rPr>
                <w:color w:val="000000" w:themeColor="text1"/>
              </w:rPr>
              <w:t>临界温度</w:t>
            </w:r>
          </w:p>
        </w:tc>
        <w:tc>
          <w:tcPr>
            <w:tcW w:w="1404" w:type="pct"/>
            <w:gridSpan w:val="2"/>
            <w:vAlign w:val="center"/>
          </w:tcPr>
          <w:p w14:paraId="00CBF9DC" w14:textId="77777777" w:rsidR="00450025" w:rsidRPr="00092862" w:rsidRDefault="00450025" w:rsidP="00C54C73">
            <w:pPr>
              <w:pStyle w:val="afffff7"/>
              <w:rPr>
                <w:color w:val="000000" w:themeColor="text1"/>
              </w:rPr>
            </w:pPr>
            <w:r w:rsidRPr="00092862">
              <w:rPr>
                <w:color w:val="000000" w:themeColor="text1"/>
              </w:rPr>
              <w:t>100.4℃</w:t>
            </w:r>
          </w:p>
        </w:tc>
      </w:tr>
      <w:tr w:rsidR="00697429" w:rsidRPr="00092862" w14:paraId="51C3C3EE" w14:textId="77777777" w:rsidTr="00C54C73">
        <w:trPr>
          <w:trHeight w:val="19"/>
          <w:jc w:val="center"/>
        </w:trPr>
        <w:tc>
          <w:tcPr>
            <w:tcW w:w="341" w:type="pct"/>
            <w:vMerge/>
            <w:vAlign w:val="center"/>
          </w:tcPr>
          <w:p w14:paraId="3F0E065E" w14:textId="77777777" w:rsidR="00450025" w:rsidRPr="00092862" w:rsidRDefault="00450025" w:rsidP="00C54C73">
            <w:pPr>
              <w:pStyle w:val="afffff7"/>
              <w:rPr>
                <w:color w:val="000000" w:themeColor="text1"/>
              </w:rPr>
            </w:pPr>
          </w:p>
        </w:tc>
        <w:tc>
          <w:tcPr>
            <w:tcW w:w="768" w:type="pct"/>
            <w:vAlign w:val="center"/>
          </w:tcPr>
          <w:p w14:paraId="18171C4E" w14:textId="77777777" w:rsidR="00450025" w:rsidRPr="00092862" w:rsidRDefault="00450025" w:rsidP="00C54C73">
            <w:pPr>
              <w:pStyle w:val="afffff7"/>
              <w:rPr>
                <w:color w:val="000000" w:themeColor="text1"/>
              </w:rPr>
            </w:pPr>
            <w:r w:rsidRPr="00092862">
              <w:rPr>
                <w:color w:val="000000" w:themeColor="text1"/>
              </w:rPr>
              <w:t>相对密度</w:t>
            </w:r>
          </w:p>
          <w:p w14:paraId="49A59787" w14:textId="77777777" w:rsidR="00450025" w:rsidRPr="00092862" w:rsidRDefault="00450025" w:rsidP="00C54C73">
            <w:pPr>
              <w:pStyle w:val="afffff7"/>
              <w:rPr>
                <w:color w:val="000000" w:themeColor="text1"/>
              </w:rPr>
            </w:pPr>
            <w:r w:rsidRPr="00092862">
              <w:rPr>
                <w:color w:val="000000" w:themeColor="text1"/>
              </w:rPr>
              <w:t>（水</w:t>
            </w:r>
            <w:r w:rsidRPr="00092862">
              <w:rPr>
                <w:color w:val="000000" w:themeColor="text1"/>
              </w:rPr>
              <w:t>=1</w:t>
            </w:r>
            <w:r w:rsidRPr="00092862">
              <w:rPr>
                <w:color w:val="000000" w:themeColor="text1"/>
              </w:rPr>
              <w:t>）</w:t>
            </w:r>
          </w:p>
        </w:tc>
        <w:tc>
          <w:tcPr>
            <w:tcW w:w="1280" w:type="pct"/>
            <w:vAlign w:val="center"/>
          </w:tcPr>
          <w:p w14:paraId="70B302E9" w14:textId="77777777" w:rsidR="00450025" w:rsidRPr="00092862" w:rsidRDefault="00450025" w:rsidP="00C54C73">
            <w:pPr>
              <w:pStyle w:val="afffff7"/>
              <w:rPr>
                <w:color w:val="000000" w:themeColor="text1"/>
              </w:rPr>
            </w:pPr>
            <w:r w:rsidRPr="00092862">
              <w:rPr>
                <w:color w:val="000000" w:themeColor="text1"/>
              </w:rPr>
              <w:t>/</w:t>
            </w:r>
          </w:p>
        </w:tc>
        <w:tc>
          <w:tcPr>
            <w:tcW w:w="1207" w:type="pct"/>
            <w:gridSpan w:val="2"/>
            <w:vAlign w:val="center"/>
          </w:tcPr>
          <w:p w14:paraId="1E83A1ED" w14:textId="77777777" w:rsidR="00450025" w:rsidRPr="00092862" w:rsidRDefault="00450025" w:rsidP="00C54C73">
            <w:pPr>
              <w:pStyle w:val="afffff7"/>
              <w:rPr>
                <w:color w:val="000000" w:themeColor="text1"/>
              </w:rPr>
            </w:pPr>
            <w:r w:rsidRPr="00092862">
              <w:rPr>
                <w:color w:val="000000" w:themeColor="text1"/>
              </w:rPr>
              <w:t>相对密度</w:t>
            </w:r>
          </w:p>
          <w:p w14:paraId="3AE7CF8C" w14:textId="77777777" w:rsidR="00450025" w:rsidRPr="00092862" w:rsidRDefault="00450025" w:rsidP="00C54C73">
            <w:pPr>
              <w:pStyle w:val="afffff7"/>
              <w:rPr>
                <w:color w:val="000000" w:themeColor="text1"/>
              </w:rPr>
            </w:pPr>
            <w:r w:rsidRPr="00092862">
              <w:rPr>
                <w:color w:val="000000" w:themeColor="text1"/>
              </w:rPr>
              <w:t>（空气</w:t>
            </w:r>
            <w:r w:rsidRPr="00092862">
              <w:rPr>
                <w:color w:val="000000" w:themeColor="text1"/>
              </w:rPr>
              <w:t>=1</w:t>
            </w:r>
            <w:r w:rsidRPr="00092862">
              <w:rPr>
                <w:color w:val="000000" w:themeColor="text1"/>
              </w:rPr>
              <w:t>）</w:t>
            </w:r>
          </w:p>
        </w:tc>
        <w:tc>
          <w:tcPr>
            <w:tcW w:w="1404" w:type="pct"/>
            <w:gridSpan w:val="2"/>
            <w:vAlign w:val="center"/>
          </w:tcPr>
          <w:p w14:paraId="6A120E84" w14:textId="77777777" w:rsidR="00450025" w:rsidRPr="00092862" w:rsidRDefault="00450025" w:rsidP="00C54C73">
            <w:pPr>
              <w:pStyle w:val="afffff7"/>
              <w:rPr>
                <w:color w:val="000000" w:themeColor="text1"/>
              </w:rPr>
            </w:pPr>
            <w:r w:rsidRPr="00092862">
              <w:rPr>
                <w:color w:val="000000" w:themeColor="text1"/>
              </w:rPr>
              <w:t>1.19</w:t>
            </w:r>
          </w:p>
        </w:tc>
      </w:tr>
      <w:tr w:rsidR="00697429" w:rsidRPr="00092862" w14:paraId="38B85235" w14:textId="77777777" w:rsidTr="00C54C73">
        <w:trPr>
          <w:trHeight w:val="19"/>
          <w:jc w:val="center"/>
        </w:trPr>
        <w:tc>
          <w:tcPr>
            <w:tcW w:w="341" w:type="pct"/>
            <w:vMerge/>
            <w:vAlign w:val="center"/>
          </w:tcPr>
          <w:p w14:paraId="5E406377" w14:textId="77777777" w:rsidR="00450025" w:rsidRPr="00092862" w:rsidRDefault="00450025" w:rsidP="00C54C73">
            <w:pPr>
              <w:pStyle w:val="afffff7"/>
              <w:rPr>
                <w:color w:val="000000" w:themeColor="text1"/>
              </w:rPr>
            </w:pPr>
          </w:p>
        </w:tc>
        <w:tc>
          <w:tcPr>
            <w:tcW w:w="768" w:type="pct"/>
            <w:vAlign w:val="center"/>
          </w:tcPr>
          <w:p w14:paraId="6734BC8C" w14:textId="77777777" w:rsidR="00450025" w:rsidRPr="00092862" w:rsidRDefault="00450025" w:rsidP="00C54C73">
            <w:pPr>
              <w:pStyle w:val="afffff7"/>
              <w:rPr>
                <w:color w:val="000000" w:themeColor="text1"/>
              </w:rPr>
            </w:pPr>
            <w:r w:rsidRPr="00092862">
              <w:rPr>
                <w:color w:val="000000" w:themeColor="text1"/>
              </w:rPr>
              <w:t>外观性状</w:t>
            </w:r>
          </w:p>
        </w:tc>
        <w:tc>
          <w:tcPr>
            <w:tcW w:w="3891" w:type="pct"/>
            <w:gridSpan w:val="5"/>
            <w:vAlign w:val="center"/>
          </w:tcPr>
          <w:p w14:paraId="6D322B69" w14:textId="77777777" w:rsidR="00450025" w:rsidRPr="00092862" w:rsidRDefault="00450025" w:rsidP="00C54C73">
            <w:pPr>
              <w:pStyle w:val="afffff7"/>
              <w:rPr>
                <w:color w:val="000000" w:themeColor="text1"/>
              </w:rPr>
            </w:pPr>
            <w:r w:rsidRPr="00092862">
              <w:rPr>
                <w:color w:val="000000" w:themeColor="text1"/>
              </w:rPr>
              <w:t>无色、有恶臭的气体</w:t>
            </w:r>
          </w:p>
        </w:tc>
      </w:tr>
      <w:tr w:rsidR="00697429" w:rsidRPr="00092862" w14:paraId="65DD5E8B" w14:textId="77777777" w:rsidTr="00C54C73">
        <w:trPr>
          <w:trHeight w:val="19"/>
          <w:jc w:val="center"/>
        </w:trPr>
        <w:tc>
          <w:tcPr>
            <w:tcW w:w="341" w:type="pct"/>
            <w:vMerge/>
            <w:vAlign w:val="center"/>
          </w:tcPr>
          <w:p w14:paraId="123686DC" w14:textId="77777777" w:rsidR="00450025" w:rsidRPr="00092862" w:rsidRDefault="00450025" w:rsidP="00C54C73">
            <w:pPr>
              <w:pStyle w:val="afffff7"/>
              <w:rPr>
                <w:color w:val="000000" w:themeColor="text1"/>
              </w:rPr>
            </w:pPr>
          </w:p>
        </w:tc>
        <w:tc>
          <w:tcPr>
            <w:tcW w:w="768" w:type="pct"/>
            <w:vAlign w:val="center"/>
          </w:tcPr>
          <w:p w14:paraId="50E063F6" w14:textId="77777777" w:rsidR="00450025" w:rsidRPr="00092862" w:rsidRDefault="00450025" w:rsidP="00C54C73">
            <w:pPr>
              <w:pStyle w:val="afffff7"/>
              <w:rPr>
                <w:color w:val="000000" w:themeColor="text1"/>
              </w:rPr>
            </w:pPr>
            <w:r w:rsidRPr="00092862">
              <w:rPr>
                <w:color w:val="000000" w:themeColor="text1"/>
              </w:rPr>
              <w:t>溶解性</w:t>
            </w:r>
          </w:p>
        </w:tc>
        <w:tc>
          <w:tcPr>
            <w:tcW w:w="3891" w:type="pct"/>
            <w:gridSpan w:val="5"/>
            <w:vAlign w:val="center"/>
          </w:tcPr>
          <w:p w14:paraId="4B67BD7E" w14:textId="77777777" w:rsidR="00450025" w:rsidRPr="00092862" w:rsidRDefault="00450025" w:rsidP="00C54C73">
            <w:pPr>
              <w:pStyle w:val="afffff7"/>
              <w:rPr>
                <w:color w:val="000000" w:themeColor="text1"/>
              </w:rPr>
            </w:pPr>
            <w:r w:rsidRPr="00092862">
              <w:rPr>
                <w:color w:val="000000" w:themeColor="text1"/>
              </w:rPr>
              <w:t>溶于水、乙醇</w:t>
            </w:r>
          </w:p>
        </w:tc>
      </w:tr>
      <w:tr w:rsidR="00697429" w:rsidRPr="00092862" w14:paraId="085C7A3F" w14:textId="77777777" w:rsidTr="00C54C73">
        <w:trPr>
          <w:trHeight w:val="19"/>
          <w:jc w:val="center"/>
        </w:trPr>
        <w:tc>
          <w:tcPr>
            <w:tcW w:w="341" w:type="pct"/>
            <w:vMerge/>
            <w:vAlign w:val="center"/>
          </w:tcPr>
          <w:p w14:paraId="7880D72E" w14:textId="77777777" w:rsidR="00450025" w:rsidRPr="00092862" w:rsidRDefault="00450025" w:rsidP="00C54C73">
            <w:pPr>
              <w:pStyle w:val="afffff7"/>
              <w:rPr>
                <w:color w:val="000000" w:themeColor="text1"/>
              </w:rPr>
            </w:pPr>
          </w:p>
        </w:tc>
        <w:tc>
          <w:tcPr>
            <w:tcW w:w="4659" w:type="pct"/>
            <w:gridSpan w:val="6"/>
            <w:vAlign w:val="center"/>
          </w:tcPr>
          <w:p w14:paraId="01CBF401" w14:textId="77777777" w:rsidR="00450025" w:rsidRPr="00092862" w:rsidRDefault="00450025" w:rsidP="00C54C73">
            <w:pPr>
              <w:pStyle w:val="afffff7"/>
              <w:rPr>
                <w:color w:val="000000" w:themeColor="text1"/>
              </w:rPr>
            </w:pPr>
            <w:r w:rsidRPr="00092862">
              <w:rPr>
                <w:color w:val="000000" w:themeColor="text1"/>
              </w:rPr>
              <w:t>外观与性状：无色无臭气体</w:t>
            </w:r>
          </w:p>
        </w:tc>
      </w:tr>
      <w:tr w:rsidR="00697429" w:rsidRPr="00092862" w14:paraId="64C047ED" w14:textId="77777777" w:rsidTr="00C54C73">
        <w:trPr>
          <w:trHeight w:val="19"/>
          <w:jc w:val="center"/>
        </w:trPr>
        <w:tc>
          <w:tcPr>
            <w:tcW w:w="341" w:type="pct"/>
            <w:vMerge w:val="restart"/>
            <w:vAlign w:val="center"/>
          </w:tcPr>
          <w:p w14:paraId="5ECA78FC" w14:textId="77777777" w:rsidR="00450025" w:rsidRPr="00092862" w:rsidRDefault="00450025" w:rsidP="00C54C73">
            <w:pPr>
              <w:pStyle w:val="afffff7"/>
              <w:rPr>
                <w:color w:val="000000" w:themeColor="text1"/>
              </w:rPr>
            </w:pPr>
            <w:r w:rsidRPr="00092862">
              <w:rPr>
                <w:color w:val="000000" w:themeColor="text1"/>
              </w:rPr>
              <w:t>危险性参数</w:t>
            </w:r>
          </w:p>
        </w:tc>
        <w:tc>
          <w:tcPr>
            <w:tcW w:w="768" w:type="pct"/>
            <w:vAlign w:val="center"/>
          </w:tcPr>
          <w:p w14:paraId="189051ED" w14:textId="77777777" w:rsidR="00450025" w:rsidRPr="00092862" w:rsidRDefault="00450025" w:rsidP="00C54C73">
            <w:pPr>
              <w:pStyle w:val="afffff7"/>
              <w:rPr>
                <w:color w:val="000000" w:themeColor="text1"/>
              </w:rPr>
            </w:pPr>
            <w:r w:rsidRPr="00092862">
              <w:rPr>
                <w:color w:val="000000" w:themeColor="text1"/>
              </w:rPr>
              <w:t>闪点</w:t>
            </w:r>
          </w:p>
        </w:tc>
        <w:tc>
          <w:tcPr>
            <w:tcW w:w="1280" w:type="pct"/>
            <w:vAlign w:val="center"/>
          </w:tcPr>
          <w:p w14:paraId="73A3BB59" w14:textId="77777777" w:rsidR="00450025" w:rsidRPr="00092862" w:rsidRDefault="00450025" w:rsidP="00C54C73">
            <w:pPr>
              <w:pStyle w:val="afffff7"/>
              <w:rPr>
                <w:color w:val="000000" w:themeColor="text1"/>
              </w:rPr>
            </w:pPr>
            <w:r w:rsidRPr="00092862">
              <w:rPr>
                <w:color w:val="000000" w:themeColor="text1"/>
              </w:rPr>
              <w:t>/</w:t>
            </w:r>
          </w:p>
        </w:tc>
        <w:tc>
          <w:tcPr>
            <w:tcW w:w="1316" w:type="pct"/>
            <w:gridSpan w:val="3"/>
            <w:vAlign w:val="center"/>
          </w:tcPr>
          <w:p w14:paraId="6B5745C2" w14:textId="77777777" w:rsidR="00450025" w:rsidRPr="00092862" w:rsidRDefault="00450025" w:rsidP="00C54C73">
            <w:pPr>
              <w:pStyle w:val="afffff7"/>
              <w:rPr>
                <w:color w:val="000000" w:themeColor="text1"/>
              </w:rPr>
            </w:pPr>
            <w:r w:rsidRPr="00092862">
              <w:rPr>
                <w:color w:val="000000" w:themeColor="text1"/>
              </w:rPr>
              <w:t>爆炸上限</w:t>
            </w:r>
          </w:p>
        </w:tc>
        <w:tc>
          <w:tcPr>
            <w:tcW w:w="1295" w:type="pct"/>
            <w:vAlign w:val="center"/>
          </w:tcPr>
          <w:p w14:paraId="0E1C0A35" w14:textId="77777777" w:rsidR="00450025" w:rsidRPr="00092862" w:rsidRDefault="00450025" w:rsidP="00C54C73">
            <w:pPr>
              <w:pStyle w:val="afffff7"/>
              <w:rPr>
                <w:color w:val="000000" w:themeColor="text1"/>
              </w:rPr>
            </w:pPr>
            <w:r w:rsidRPr="00092862">
              <w:rPr>
                <w:color w:val="000000" w:themeColor="text1"/>
              </w:rPr>
              <w:t>46%(V/V)</w:t>
            </w:r>
          </w:p>
        </w:tc>
      </w:tr>
      <w:tr w:rsidR="00697429" w:rsidRPr="00092862" w14:paraId="3084E2FB" w14:textId="77777777" w:rsidTr="00C54C73">
        <w:trPr>
          <w:trHeight w:val="19"/>
          <w:jc w:val="center"/>
        </w:trPr>
        <w:tc>
          <w:tcPr>
            <w:tcW w:w="341" w:type="pct"/>
            <w:vMerge/>
            <w:vAlign w:val="center"/>
          </w:tcPr>
          <w:p w14:paraId="3F944389" w14:textId="77777777" w:rsidR="00450025" w:rsidRPr="00092862" w:rsidRDefault="00450025" w:rsidP="00C54C73">
            <w:pPr>
              <w:pStyle w:val="afffff7"/>
              <w:rPr>
                <w:color w:val="000000" w:themeColor="text1"/>
              </w:rPr>
            </w:pPr>
          </w:p>
        </w:tc>
        <w:tc>
          <w:tcPr>
            <w:tcW w:w="768" w:type="pct"/>
            <w:vAlign w:val="center"/>
          </w:tcPr>
          <w:p w14:paraId="35EFC2F3" w14:textId="77777777" w:rsidR="00450025" w:rsidRPr="00092862" w:rsidRDefault="00450025" w:rsidP="00C54C73">
            <w:pPr>
              <w:pStyle w:val="afffff7"/>
              <w:rPr>
                <w:color w:val="000000" w:themeColor="text1"/>
              </w:rPr>
            </w:pPr>
            <w:r w:rsidRPr="00092862">
              <w:rPr>
                <w:color w:val="000000" w:themeColor="text1"/>
              </w:rPr>
              <w:t>引燃温度</w:t>
            </w:r>
          </w:p>
        </w:tc>
        <w:tc>
          <w:tcPr>
            <w:tcW w:w="1280" w:type="pct"/>
            <w:vAlign w:val="center"/>
          </w:tcPr>
          <w:p w14:paraId="4A16B87F" w14:textId="77777777" w:rsidR="00450025" w:rsidRPr="00092862" w:rsidRDefault="00450025" w:rsidP="00C54C73">
            <w:pPr>
              <w:pStyle w:val="afffff7"/>
              <w:rPr>
                <w:color w:val="000000" w:themeColor="text1"/>
              </w:rPr>
            </w:pPr>
            <w:r w:rsidRPr="00092862">
              <w:rPr>
                <w:color w:val="000000" w:themeColor="text1"/>
              </w:rPr>
              <w:t>260℃</w:t>
            </w:r>
          </w:p>
        </w:tc>
        <w:tc>
          <w:tcPr>
            <w:tcW w:w="1316" w:type="pct"/>
            <w:gridSpan w:val="3"/>
            <w:vAlign w:val="center"/>
          </w:tcPr>
          <w:p w14:paraId="64B0C045" w14:textId="77777777" w:rsidR="00450025" w:rsidRPr="00092862" w:rsidRDefault="00450025" w:rsidP="00C54C73">
            <w:pPr>
              <w:pStyle w:val="afffff7"/>
              <w:rPr>
                <w:color w:val="000000" w:themeColor="text1"/>
              </w:rPr>
            </w:pPr>
            <w:r w:rsidRPr="00092862">
              <w:rPr>
                <w:color w:val="000000" w:themeColor="text1"/>
              </w:rPr>
              <w:t>爆炸下限</w:t>
            </w:r>
          </w:p>
        </w:tc>
        <w:tc>
          <w:tcPr>
            <w:tcW w:w="1295" w:type="pct"/>
            <w:vAlign w:val="center"/>
          </w:tcPr>
          <w:p w14:paraId="6BCCF2A0" w14:textId="77777777" w:rsidR="00450025" w:rsidRPr="00092862" w:rsidRDefault="00450025" w:rsidP="00C54C73">
            <w:pPr>
              <w:pStyle w:val="afffff7"/>
              <w:rPr>
                <w:color w:val="000000" w:themeColor="text1"/>
              </w:rPr>
            </w:pPr>
            <w:r w:rsidRPr="00092862">
              <w:rPr>
                <w:color w:val="000000" w:themeColor="text1"/>
              </w:rPr>
              <w:t>4%(V/V)</w:t>
            </w:r>
          </w:p>
        </w:tc>
      </w:tr>
      <w:tr w:rsidR="00697429" w:rsidRPr="00092862" w14:paraId="552DAED6" w14:textId="77777777" w:rsidTr="00C54C73">
        <w:trPr>
          <w:trHeight w:val="19"/>
          <w:jc w:val="center"/>
        </w:trPr>
        <w:tc>
          <w:tcPr>
            <w:tcW w:w="341" w:type="pct"/>
            <w:vMerge/>
            <w:vAlign w:val="center"/>
          </w:tcPr>
          <w:p w14:paraId="75047E96" w14:textId="77777777" w:rsidR="00450025" w:rsidRPr="00092862" w:rsidRDefault="00450025" w:rsidP="00C54C73">
            <w:pPr>
              <w:pStyle w:val="afffff7"/>
              <w:rPr>
                <w:color w:val="000000" w:themeColor="text1"/>
              </w:rPr>
            </w:pPr>
          </w:p>
        </w:tc>
        <w:tc>
          <w:tcPr>
            <w:tcW w:w="768" w:type="pct"/>
            <w:vAlign w:val="center"/>
          </w:tcPr>
          <w:p w14:paraId="487944AA" w14:textId="77777777" w:rsidR="00450025" w:rsidRPr="00092862" w:rsidRDefault="00450025" w:rsidP="00C54C73">
            <w:pPr>
              <w:pStyle w:val="afffff7"/>
              <w:rPr>
                <w:color w:val="000000" w:themeColor="text1"/>
              </w:rPr>
            </w:pPr>
            <w:r w:rsidRPr="00092862">
              <w:rPr>
                <w:color w:val="000000" w:themeColor="text1"/>
              </w:rPr>
              <w:t>危险特性</w:t>
            </w:r>
          </w:p>
        </w:tc>
        <w:tc>
          <w:tcPr>
            <w:tcW w:w="3891" w:type="pct"/>
            <w:gridSpan w:val="5"/>
            <w:vAlign w:val="center"/>
          </w:tcPr>
          <w:p w14:paraId="6F4C177B" w14:textId="77777777" w:rsidR="00450025" w:rsidRPr="00092862" w:rsidRDefault="00450025" w:rsidP="00C54C73">
            <w:pPr>
              <w:pStyle w:val="afffff7"/>
              <w:jc w:val="left"/>
              <w:rPr>
                <w:color w:val="000000" w:themeColor="text1"/>
              </w:rPr>
            </w:pPr>
            <w:r w:rsidRPr="00092862">
              <w:rPr>
                <w:color w:val="000000" w:themeColor="text1"/>
              </w:rPr>
              <w:t>易燃，与空气混合能形成爆炸性混合物，遇明火、高热能引起燃烧爆炸。与浓硝酸、发烟硝酸或其它强氧化剂剧烈反应，发生爆炸。气体比空气重，能在较低处扩散到相当远的地方，遇火源会着火回燃。</w:t>
            </w:r>
          </w:p>
        </w:tc>
      </w:tr>
      <w:tr w:rsidR="00697429" w:rsidRPr="00092862" w14:paraId="3A996239" w14:textId="77777777" w:rsidTr="00C54C73">
        <w:trPr>
          <w:trHeight w:val="19"/>
          <w:jc w:val="center"/>
        </w:trPr>
        <w:tc>
          <w:tcPr>
            <w:tcW w:w="341" w:type="pct"/>
            <w:vMerge/>
            <w:vAlign w:val="center"/>
          </w:tcPr>
          <w:p w14:paraId="549929F9" w14:textId="77777777" w:rsidR="00450025" w:rsidRPr="00092862" w:rsidRDefault="00450025" w:rsidP="00C54C73">
            <w:pPr>
              <w:pStyle w:val="afffff7"/>
              <w:rPr>
                <w:color w:val="000000" w:themeColor="text1"/>
              </w:rPr>
            </w:pPr>
          </w:p>
        </w:tc>
        <w:tc>
          <w:tcPr>
            <w:tcW w:w="768" w:type="pct"/>
            <w:vAlign w:val="center"/>
          </w:tcPr>
          <w:p w14:paraId="12EC1452" w14:textId="77777777" w:rsidR="00450025" w:rsidRPr="00092862" w:rsidRDefault="00450025" w:rsidP="00C54C73">
            <w:pPr>
              <w:pStyle w:val="afffff7"/>
              <w:rPr>
                <w:color w:val="000000" w:themeColor="text1"/>
              </w:rPr>
            </w:pPr>
            <w:r w:rsidRPr="00092862">
              <w:rPr>
                <w:color w:val="000000" w:themeColor="text1"/>
              </w:rPr>
              <w:t>燃烧产物</w:t>
            </w:r>
          </w:p>
        </w:tc>
        <w:tc>
          <w:tcPr>
            <w:tcW w:w="3891" w:type="pct"/>
            <w:gridSpan w:val="5"/>
            <w:vAlign w:val="center"/>
          </w:tcPr>
          <w:p w14:paraId="05D43F9F" w14:textId="77777777" w:rsidR="00450025" w:rsidRPr="00092862" w:rsidRDefault="00450025" w:rsidP="00C54C73">
            <w:pPr>
              <w:pStyle w:val="afffff7"/>
              <w:jc w:val="left"/>
              <w:rPr>
                <w:color w:val="000000" w:themeColor="text1"/>
              </w:rPr>
            </w:pPr>
            <w:r w:rsidRPr="00092862">
              <w:rPr>
                <w:color w:val="000000" w:themeColor="text1"/>
              </w:rPr>
              <w:t>二氧化硫</w:t>
            </w:r>
          </w:p>
        </w:tc>
      </w:tr>
      <w:tr w:rsidR="00697429" w:rsidRPr="00092862" w14:paraId="0A389118" w14:textId="77777777" w:rsidTr="00C54C73">
        <w:trPr>
          <w:trHeight w:val="19"/>
          <w:jc w:val="center"/>
        </w:trPr>
        <w:tc>
          <w:tcPr>
            <w:tcW w:w="341" w:type="pct"/>
            <w:vMerge w:val="restart"/>
            <w:vAlign w:val="center"/>
          </w:tcPr>
          <w:p w14:paraId="2959E5AC" w14:textId="77777777" w:rsidR="00450025" w:rsidRPr="00092862" w:rsidRDefault="00450025" w:rsidP="00C54C73">
            <w:pPr>
              <w:pStyle w:val="afffff7"/>
              <w:rPr>
                <w:color w:val="000000" w:themeColor="text1"/>
              </w:rPr>
            </w:pPr>
            <w:r w:rsidRPr="00092862">
              <w:rPr>
                <w:color w:val="000000" w:themeColor="text1"/>
              </w:rPr>
              <w:t>灭火</w:t>
            </w:r>
          </w:p>
        </w:tc>
        <w:tc>
          <w:tcPr>
            <w:tcW w:w="768" w:type="pct"/>
            <w:vAlign w:val="center"/>
          </w:tcPr>
          <w:p w14:paraId="78CCBD77" w14:textId="77777777" w:rsidR="00450025" w:rsidRPr="00092862" w:rsidRDefault="00450025" w:rsidP="00C54C73">
            <w:pPr>
              <w:pStyle w:val="afffff7"/>
              <w:rPr>
                <w:color w:val="000000" w:themeColor="text1"/>
              </w:rPr>
            </w:pPr>
            <w:r w:rsidRPr="00092862">
              <w:rPr>
                <w:color w:val="000000" w:themeColor="text1"/>
              </w:rPr>
              <w:t>灭火剂</w:t>
            </w:r>
          </w:p>
        </w:tc>
        <w:tc>
          <w:tcPr>
            <w:tcW w:w="3891" w:type="pct"/>
            <w:gridSpan w:val="5"/>
            <w:vAlign w:val="center"/>
          </w:tcPr>
          <w:p w14:paraId="618D7118" w14:textId="77777777" w:rsidR="00450025" w:rsidRPr="00092862" w:rsidRDefault="00450025" w:rsidP="00C54C73">
            <w:pPr>
              <w:pStyle w:val="afffff7"/>
              <w:jc w:val="left"/>
              <w:rPr>
                <w:color w:val="000000" w:themeColor="text1"/>
              </w:rPr>
            </w:pPr>
            <w:r w:rsidRPr="00092862">
              <w:rPr>
                <w:color w:val="000000" w:themeColor="text1"/>
              </w:rPr>
              <w:t>雾状水、抗溶性泡沫、干粉。</w:t>
            </w:r>
          </w:p>
        </w:tc>
      </w:tr>
      <w:tr w:rsidR="00697429" w:rsidRPr="00092862" w14:paraId="642BD7C9" w14:textId="77777777" w:rsidTr="00C54C73">
        <w:trPr>
          <w:trHeight w:val="19"/>
          <w:jc w:val="center"/>
        </w:trPr>
        <w:tc>
          <w:tcPr>
            <w:tcW w:w="341" w:type="pct"/>
            <w:vMerge/>
            <w:vAlign w:val="center"/>
          </w:tcPr>
          <w:p w14:paraId="3723045C" w14:textId="77777777" w:rsidR="00450025" w:rsidRPr="00092862" w:rsidRDefault="00450025" w:rsidP="00C54C73">
            <w:pPr>
              <w:pStyle w:val="afffff7"/>
              <w:rPr>
                <w:color w:val="000000" w:themeColor="text1"/>
              </w:rPr>
            </w:pPr>
          </w:p>
        </w:tc>
        <w:tc>
          <w:tcPr>
            <w:tcW w:w="768" w:type="pct"/>
            <w:vAlign w:val="center"/>
          </w:tcPr>
          <w:p w14:paraId="556B1191" w14:textId="77777777" w:rsidR="00450025" w:rsidRPr="00092862" w:rsidRDefault="00450025" w:rsidP="00C54C73">
            <w:pPr>
              <w:pStyle w:val="afffff7"/>
              <w:rPr>
                <w:color w:val="000000" w:themeColor="text1"/>
              </w:rPr>
            </w:pPr>
            <w:r w:rsidRPr="00092862">
              <w:rPr>
                <w:color w:val="000000" w:themeColor="text1"/>
              </w:rPr>
              <w:t>灭火方法</w:t>
            </w:r>
          </w:p>
        </w:tc>
        <w:tc>
          <w:tcPr>
            <w:tcW w:w="3891" w:type="pct"/>
            <w:gridSpan w:val="5"/>
            <w:vAlign w:val="center"/>
          </w:tcPr>
          <w:p w14:paraId="078DC0D8" w14:textId="77777777" w:rsidR="00450025" w:rsidRPr="00092862" w:rsidRDefault="00450025" w:rsidP="00C54C73">
            <w:pPr>
              <w:pStyle w:val="afffff7"/>
              <w:jc w:val="left"/>
              <w:rPr>
                <w:color w:val="000000" w:themeColor="text1"/>
              </w:rPr>
            </w:pPr>
            <w:r w:rsidRPr="00092862">
              <w:rPr>
                <w:color w:val="000000" w:themeColor="text1"/>
              </w:rPr>
              <w:t>消防人员必须穿全身防火防毒服，在上风向灭火。切断气源。若不能切断气源，则不允许熄灭泄漏处的火焰。喷水冷却容器，可能的话将容器从火场移至空旷处。</w:t>
            </w:r>
          </w:p>
        </w:tc>
      </w:tr>
      <w:tr w:rsidR="00697429" w:rsidRPr="00092862" w14:paraId="75D4BD83" w14:textId="77777777" w:rsidTr="00C54C73">
        <w:trPr>
          <w:trHeight w:val="19"/>
          <w:jc w:val="center"/>
        </w:trPr>
        <w:tc>
          <w:tcPr>
            <w:tcW w:w="341" w:type="pct"/>
            <w:vMerge w:val="restart"/>
            <w:vAlign w:val="center"/>
          </w:tcPr>
          <w:p w14:paraId="01023881" w14:textId="77777777" w:rsidR="00450025" w:rsidRPr="00092862" w:rsidRDefault="00450025" w:rsidP="00C54C73">
            <w:pPr>
              <w:pStyle w:val="afffff7"/>
              <w:rPr>
                <w:color w:val="000000" w:themeColor="text1"/>
              </w:rPr>
            </w:pPr>
            <w:r w:rsidRPr="00092862">
              <w:rPr>
                <w:color w:val="000000" w:themeColor="text1"/>
              </w:rPr>
              <w:t>毒性及健康危害</w:t>
            </w:r>
          </w:p>
        </w:tc>
        <w:tc>
          <w:tcPr>
            <w:tcW w:w="768" w:type="pct"/>
            <w:vAlign w:val="center"/>
          </w:tcPr>
          <w:p w14:paraId="4D3E515A" w14:textId="77777777" w:rsidR="00450025" w:rsidRPr="00092862" w:rsidRDefault="00450025" w:rsidP="00C54C73">
            <w:pPr>
              <w:pStyle w:val="afffff7"/>
              <w:rPr>
                <w:color w:val="000000" w:themeColor="text1"/>
              </w:rPr>
            </w:pPr>
            <w:r w:rsidRPr="00092862">
              <w:rPr>
                <w:color w:val="000000" w:themeColor="text1"/>
                <w:szCs w:val="21"/>
              </w:rPr>
              <w:t>毒性</w:t>
            </w:r>
          </w:p>
        </w:tc>
        <w:tc>
          <w:tcPr>
            <w:tcW w:w="3891" w:type="pct"/>
            <w:gridSpan w:val="5"/>
            <w:vAlign w:val="center"/>
          </w:tcPr>
          <w:p w14:paraId="6AC3D524" w14:textId="77777777" w:rsidR="00450025" w:rsidRPr="00092862" w:rsidRDefault="00450025" w:rsidP="00C54C73">
            <w:pPr>
              <w:pStyle w:val="afffff7"/>
              <w:jc w:val="left"/>
              <w:rPr>
                <w:color w:val="000000" w:themeColor="text1"/>
              </w:rPr>
            </w:pPr>
            <w:r w:rsidRPr="00092862">
              <w:rPr>
                <w:color w:val="000000" w:themeColor="text1"/>
              </w:rPr>
              <w:t>LC50</w:t>
            </w:r>
            <w:r w:rsidRPr="00092862">
              <w:rPr>
                <w:color w:val="000000" w:themeColor="text1"/>
              </w:rPr>
              <w:t>：</w:t>
            </w:r>
            <w:r w:rsidRPr="00092862">
              <w:rPr>
                <w:color w:val="000000" w:themeColor="text1"/>
              </w:rPr>
              <w:t>618mg/m</w:t>
            </w:r>
            <w:r w:rsidRPr="00092862">
              <w:rPr>
                <w:color w:val="000000" w:themeColor="text1"/>
                <w:vertAlign w:val="superscript"/>
              </w:rPr>
              <w:t>3</w:t>
            </w:r>
            <w:r w:rsidRPr="00092862">
              <w:rPr>
                <w:color w:val="000000" w:themeColor="text1"/>
              </w:rPr>
              <w:t>(</w:t>
            </w:r>
            <w:r w:rsidRPr="00092862">
              <w:rPr>
                <w:color w:val="000000" w:themeColor="text1"/>
              </w:rPr>
              <w:t>大鼠吸入</w:t>
            </w:r>
            <w:r w:rsidRPr="00092862">
              <w:rPr>
                <w:color w:val="000000" w:themeColor="text1"/>
              </w:rPr>
              <w:t>)</w:t>
            </w:r>
          </w:p>
        </w:tc>
      </w:tr>
      <w:tr w:rsidR="00697429" w:rsidRPr="00092862" w14:paraId="02980312" w14:textId="77777777" w:rsidTr="00C54C73">
        <w:trPr>
          <w:trHeight w:val="19"/>
          <w:jc w:val="center"/>
        </w:trPr>
        <w:tc>
          <w:tcPr>
            <w:tcW w:w="341" w:type="pct"/>
            <w:vMerge/>
            <w:vAlign w:val="center"/>
          </w:tcPr>
          <w:p w14:paraId="7D7738F5" w14:textId="77777777" w:rsidR="00450025" w:rsidRPr="00092862" w:rsidRDefault="00450025" w:rsidP="00C54C73">
            <w:pPr>
              <w:pStyle w:val="afffff7"/>
              <w:rPr>
                <w:color w:val="000000" w:themeColor="text1"/>
              </w:rPr>
            </w:pPr>
          </w:p>
        </w:tc>
        <w:tc>
          <w:tcPr>
            <w:tcW w:w="768" w:type="pct"/>
            <w:vAlign w:val="center"/>
          </w:tcPr>
          <w:p w14:paraId="61D0FE45" w14:textId="77777777" w:rsidR="00450025" w:rsidRPr="00092862" w:rsidRDefault="00450025" w:rsidP="00C54C73">
            <w:pPr>
              <w:pStyle w:val="afffff7"/>
              <w:rPr>
                <w:color w:val="000000" w:themeColor="text1"/>
              </w:rPr>
            </w:pPr>
            <w:r w:rsidRPr="00092862">
              <w:rPr>
                <w:color w:val="000000" w:themeColor="text1"/>
              </w:rPr>
              <w:t>健康危害</w:t>
            </w:r>
          </w:p>
        </w:tc>
        <w:tc>
          <w:tcPr>
            <w:tcW w:w="3891" w:type="pct"/>
            <w:gridSpan w:val="5"/>
            <w:vAlign w:val="center"/>
          </w:tcPr>
          <w:p w14:paraId="29B7933B" w14:textId="77777777" w:rsidR="00450025" w:rsidRPr="00092862" w:rsidRDefault="00450025" w:rsidP="00C54C73">
            <w:pPr>
              <w:pStyle w:val="afffff7"/>
              <w:jc w:val="left"/>
              <w:rPr>
                <w:color w:val="000000" w:themeColor="text1"/>
              </w:rPr>
            </w:pPr>
            <w:r w:rsidRPr="00092862">
              <w:rPr>
                <w:color w:val="000000" w:themeColor="text1"/>
              </w:rPr>
              <w:t>本品是强烈的神经毒物，对粘膜有强烈刺激作用。急性中毒：短期内吸入高浓度硫化氢后出现流泪、眼痛、眼内异物感、畏光、视物模糊、流涕、咽喉部灼热感、咳嗽、胸闷、头痛、头晕、乏力、意识模糊等。部分患者可有心肌损害。重者可出现脑水肿、肺水肿。极高浓度</w:t>
            </w:r>
            <w:r w:rsidRPr="00092862">
              <w:rPr>
                <w:color w:val="000000" w:themeColor="text1"/>
              </w:rPr>
              <w:t>(1000mg/m</w:t>
            </w:r>
            <w:r w:rsidRPr="00092862">
              <w:rPr>
                <w:color w:val="000000" w:themeColor="text1"/>
                <w:vertAlign w:val="superscript"/>
              </w:rPr>
              <w:t>3</w:t>
            </w:r>
            <w:r w:rsidRPr="00092862">
              <w:rPr>
                <w:color w:val="000000" w:themeColor="text1"/>
              </w:rPr>
              <w:t>以上</w:t>
            </w:r>
            <w:r w:rsidRPr="00092862">
              <w:rPr>
                <w:color w:val="000000" w:themeColor="text1"/>
              </w:rPr>
              <w:t>)</w:t>
            </w:r>
            <w:r w:rsidRPr="00092862">
              <w:rPr>
                <w:color w:val="000000" w:themeColor="text1"/>
              </w:rPr>
              <w:t>时可在数秒钟内突然昏迷，呼吸和心跳骤停，发生闪电型死亡。高浓度接触眼结膜发生水肿和角膜溃疡。长期低浓度接触，引起神经衰弱综合征和植物神经功能紊乱。</w:t>
            </w:r>
          </w:p>
        </w:tc>
      </w:tr>
      <w:tr w:rsidR="00697429" w:rsidRPr="00092862" w14:paraId="5BA8ACB7" w14:textId="77777777" w:rsidTr="00C54C73">
        <w:trPr>
          <w:trHeight w:val="19"/>
          <w:jc w:val="center"/>
        </w:trPr>
        <w:tc>
          <w:tcPr>
            <w:tcW w:w="341" w:type="pct"/>
            <w:vMerge w:val="restart"/>
            <w:vAlign w:val="center"/>
          </w:tcPr>
          <w:p w14:paraId="1CBA8BB4" w14:textId="77777777" w:rsidR="00450025" w:rsidRPr="00092862" w:rsidRDefault="00450025" w:rsidP="00C54C73">
            <w:pPr>
              <w:pStyle w:val="afffff7"/>
              <w:rPr>
                <w:color w:val="000000" w:themeColor="text1"/>
              </w:rPr>
            </w:pPr>
            <w:r w:rsidRPr="00092862">
              <w:rPr>
                <w:color w:val="000000" w:themeColor="text1"/>
              </w:rPr>
              <w:t>应急处理处置方法</w:t>
            </w:r>
          </w:p>
        </w:tc>
        <w:tc>
          <w:tcPr>
            <w:tcW w:w="768" w:type="pct"/>
            <w:vAlign w:val="center"/>
          </w:tcPr>
          <w:p w14:paraId="3B8E3AC8" w14:textId="77777777" w:rsidR="00450025" w:rsidRPr="00092862" w:rsidRDefault="00450025" w:rsidP="00C54C73">
            <w:pPr>
              <w:pStyle w:val="afffff7"/>
              <w:rPr>
                <w:color w:val="000000" w:themeColor="text1"/>
              </w:rPr>
            </w:pPr>
            <w:r w:rsidRPr="00092862">
              <w:rPr>
                <w:color w:val="000000" w:themeColor="text1"/>
              </w:rPr>
              <w:t>泄漏应急处理</w:t>
            </w:r>
          </w:p>
        </w:tc>
        <w:tc>
          <w:tcPr>
            <w:tcW w:w="3891" w:type="pct"/>
            <w:gridSpan w:val="5"/>
            <w:vAlign w:val="center"/>
          </w:tcPr>
          <w:p w14:paraId="5A71D296" w14:textId="77777777" w:rsidR="00450025" w:rsidRPr="00092862" w:rsidRDefault="00450025" w:rsidP="00C54C73">
            <w:pPr>
              <w:pStyle w:val="afffff7"/>
              <w:jc w:val="left"/>
              <w:rPr>
                <w:color w:val="000000" w:themeColor="text1"/>
              </w:rPr>
            </w:pPr>
            <w:r w:rsidRPr="00092862">
              <w:rPr>
                <w:color w:val="000000" w:themeColor="text1"/>
              </w:rPr>
              <w:t>迅速撤离泄漏污染区人员至上风处，并立即进行隔离，小泄漏时隔离</w:t>
            </w:r>
            <w:r w:rsidRPr="00092862">
              <w:rPr>
                <w:color w:val="000000" w:themeColor="text1"/>
              </w:rPr>
              <w:t>150m</w:t>
            </w:r>
            <w:r w:rsidRPr="00092862">
              <w:rPr>
                <w:color w:val="000000" w:themeColor="text1"/>
              </w:rPr>
              <w:t>，大泄漏时隔离</w:t>
            </w:r>
            <w:r w:rsidRPr="00092862">
              <w:rPr>
                <w:color w:val="000000" w:themeColor="text1"/>
              </w:rPr>
              <w:t>300m</w:t>
            </w:r>
            <w:r w:rsidRPr="00092862">
              <w:rPr>
                <w:color w:val="000000" w:themeColor="text1"/>
              </w:rPr>
              <w:t>，严格限制出入。切断火源。建议应急处理人员戴自给正压式呼吸器，穿防静电工作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rsidR="00697429" w:rsidRPr="00092862" w14:paraId="32762BD0" w14:textId="77777777" w:rsidTr="00C54C73">
        <w:trPr>
          <w:trHeight w:val="19"/>
          <w:jc w:val="center"/>
        </w:trPr>
        <w:tc>
          <w:tcPr>
            <w:tcW w:w="341" w:type="pct"/>
            <w:vMerge/>
            <w:vAlign w:val="center"/>
          </w:tcPr>
          <w:p w14:paraId="70F6DBB8" w14:textId="77777777" w:rsidR="00450025" w:rsidRPr="00092862" w:rsidRDefault="00450025" w:rsidP="00C54C73">
            <w:pPr>
              <w:pStyle w:val="afffff7"/>
              <w:rPr>
                <w:color w:val="000000" w:themeColor="text1"/>
              </w:rPr>
            </w:pPr>
          </w:p>
        </w:tc>
        <w:tc>
          <w:tcPr>
            <w:tcW w:w="768" w:type="pct"/>
            <w:vAlign w:val="center"/>
          </w:tcPr>
          <w:p w14:paraId="4958099F" w14:textId="77777777" w:rsidR="00450025" w:rsidRPr="00092862" w:rsidRDefault="00450025" w:rsidP="00C54C73">
            <w:pPr>
              <w:pStyle w:val="afffff7"/>
              <w:rPr>
                <w:color w:val="000000" w:themeColor="text1"/>
              </w:rPr>
            </w:pPr>
            <w:r w:rsidRPr="00092862">
              <w:rPr>
                <w:color w:val="000000" w:themeColor="text1"/>
              </w:rPr>
              <w:t>眼睛接触</w:t>
            </w:r>
          </w:p>
        </w:tc>
        <w:tc>
          <w:tcPr>
            <w:tcW w:w="3891" w:type="pct"/>
            <w:gridSpan w:val="5"/>
            <w:vAlign w:val="center"/>
          </w:tcPr>
          <w:p w14:paraId="5175E244" w14:textId="77777777" w:rsidR="00450025" w:rsidRPr="00092862" w:rsidRDefault="00450025" w:rsidP="00C54C73">
            <w:pPr>
              <w:pStyle w:val="afffff7"/>
              <w:jc w:val="left"/>
              <w:rPr>
                <w:color w:val="000000" w:themeColor="text1"/>
              </w:rPr>
            </w:pPr>
            <w:r w:rsidRPr="00092862">
              <w:rPr>
                <w:color w:val="000000" w:themeColor="text1"/>
              </w:rPr>
              <w:t>立即提起眼睑，用大量流动清水或生理盐水彻底冲洗至少</w:t>
            </w:r>
            <w:r w:rsidRPr="00092862">
              <w:rPr>
                <w:color w:val="000000" w:themeColor="text1"/>
              </w:rPr>
              <w:t>15</w:t>
            </w:r>
            <w:r w:rsidRPr="00092862">
              <w:rPr>
                <w:color w:val="000000" w:themeColor="text1"/>
              </w:rPr>
              <w:t>分钟。就医。</w:t>
            </w:r>
          </w:p>
        </w:tc>
      </w:tr>
      <w:tr w:rsidR="008B37BB" w:rsidRPr="00092862" w14:paraId="3D536BCA" w14:textId="77777777" w:rsidTr="00C54C73">
        <w:trPr>
          <w:trHeight w:val="19"/>
          <w:jc w:val="center"/>
        </w:trPr>
        <w:tc>
          <w:tcPr>
            <w:tcW w:w="341" w:type="pct"/>
            <w:vMerge/>
            <w:vAlign w:val="center"/>
          </w:tcPr>
          <w:p w14:paraId="7A7B8D9F" w14:textId="77777777" w:rsidR="00450025" w:rsidRPr="00092862" w:rsidRDefault="00450025" w:rsidP="00C54C73">
            <w:pPr>
              <w:pStyle w:val="afffff7"/>
              <w:rPr>
                <w:color w:val="000000" w:themeColor="text1"/>
              </w:rPr>
            </w:pPr>
          </w:p>
        </w:tc>
        <w:tc>
          <w:tcPr>
            <w:tcW w:w="768" w:type="pct"/>
            <w:vAlign w:val="center"/>
          </w:tcPr>
          <w:p w14:paraId="70F4FC67" w14:textId="77777777" w:rsidR="00450025" w:rsidRPr="00092862" w:rsidRDefault="00450025" w:rsidP="00C54C73">
            <w:pPr>
              <w:pStyle w:val="afffff7"/>
              <w:rPr>
                <w:color w:val="000000" w:themeColor="text1"/>
              </w:rPr>
            </w:pPr>
            <w:r w:rsidRPr="00092862">
              <w:rPr>
                <w:color w:val="000000" w:themeColor="text1"/>
              </w:rPr>
              <w:t>吸入</w:t>
            </w:r>
          </w:p>
        </w:tc>
        <w:tc>
          <w:tcPr>
            <w:tcW w:w="3891" w:type="pct"/>
            <w:gridSpan w:val="5"/>
            <w:vAlign w:val="center"/>
          </w:tcPr>
          <w:p w14:paraId="0183EE23" w14:textId="77777777" w:rsidR="00450025" w:rsidRPr="00092862" w:rsidRDefault="00450025" w:rsidP="00C54C73">
            <w:pPr>
              <w:pStyle w:val="afffff7"/>
              <w:jc w:val="left"/>
              <w:rPr>
                <w:color w:val="000000" w:themeColor="text1"/>
              </w:rPr>
            </w:pPr>
            <w:r w:rsidRPr="00092862">
              <w:rPr>
                <w:color w:val="000000" w:themeColor="text1"/>
              </w:rPr>
              <w:t>迅速脱离现场至空气新鲜处。保持呼吸道通畅。如呼吸困难，给输氧。如呼吸停止，立即进行人工呼吸。就医。</w:t>
            </w:r>
          </w:p>
        </w:tc>
      </w:tr>
    </w:tbl>
    <w:p w14:paraId="445AEB44" w14:textId="77777777" w:rsidR="00450025" w:rsidRPr="00092862" w:rsidRDefault="00450025" w:rsidP="00450025">
      <w:pPr>
        <w:pStyle w:val="TOC110"/>
        <w:rPr>
          <w:rFonts w:eastAsia="宋体" w:cs="Times New Roman"/>
          <w:color w:val="000000" w:themeColor="text1"/>
        </w:rPr>
      </w:pPr>
    </w:p>
    <w:p w14:paraId="6F006E8F" w14:textId="177DFDEF"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硫化氢对人的生理影响及危害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7"/>
        <w:gridCol w:w="2460"/>
        <w:gridCol w:w="3073"/>
      </w:tblGrid>
      <w:tr w:rsidR="00697429" w:rsidRPr="00092862" w14:paraId="13630DAA" w14:textId="77777777" w:rsidTr="00C54C73">
        <w:trPr>
          <w:cantSplit/>
          <w:jc w:val="center"/>
        </w:trPr>
        <w:tc>
          <w:tcPr>
            <w:tcW w:w="1667" w:type="pct"/>
            <w:vAlign w:val="center"/>
          </w:tcPr>
          <w:p w14:paraId="7E9E6280" w14:textId="77777777" w:rsidR="00450025" w:rsidRPr="00092862" w:rsidRDefault="00450025" w:rsidP="00C54C73">
            <w:pPr>
              <w:pStyle w:val="afffff7"/>
              <w:rPr>
                <w:b/>
                <w:color w:val="000000" w:themeColor="text1"/>
              </w:rPr>
            </w:pPr>
            <w:r w:rsidRPr="00092862">
              <w:rPr>
                <w:b/>
                <w:color w:val="000000" w:themeColor="text1"/>
              </w:rPr>
              <w:t>空气中</w:t>
            </w:r>
            <w:r w:rsidRPr="00092862">
              <w:rPr>
                <w:b/>
                <w:color w:val="000000" w:themeColor="text1"/>
              </w:rPr>
              <w:t>H</w:t>
            </w:r>
            <w:r w:rsidRPr="00092862">
              <w:rPr>
                <w:b/>
                <w:color w:val="000000" w:themeColor="text1"/>
                <w:vertAlign w:val="subscript"/>
              </w:rPr>
              <w:t>2</w:t>
            </w:r>
            <w:r w:rsidRPr="00092862">
              <w:rPr>
                <w:b/>
                <w:color w:val="000000" w:themeColor="text1"/>
              </w:rPr>
              <w:t>S</w:t>
            </w:r>
            <w:r w:rsidRPr="00092862">
              <w:rPr>
                <w:b/>
                <w:color w:val="000000" w:themeColor="text1"/>
              </w:rPr>
              <w:t>浓度（</w:t>
            </w:r>
            <w:r w:rsidRPr="00092862">
              <w:rPr>
                <w:b/>
                <w:color w:val="000000" w:themeColor="text1"/>
              </w:rPr>
              <w:t>mg/m</w:t>
            </w:r>
            <w:r w:rsidRPr="00092862">
              <w:rPr>
                <w:b/>
                <w:color w:val="000000" w:themeColor="text1"/>
                <w:vertAlign w:val="superscript"/>
              </w:rPr>
              <w:t>3</w:t>
            </w:r>
            <w:r w:rsidRPr="00092862">
              <w:rPr>
                <w:b/>
                <w:color w:val="000000" w:themeColor="text1"/>
              </w:rPr>
              <w:t>）</w:t>
            </w:r>
          </w:p>
        </w:tc>
        <w:tc>
          <w:tcPr>
            <w:tcW w:w="1482" w:type="pct"/>
            <w:vAlign w:val="center"/>
          </w:tcPr>
          <w:p w14:paraId="1D35C0C3" w14:textId="77777777" w:rsidR="00450025" w:rsidRPr="00092862" w:rsidRDefault="00450025" w:rsidP="00C54C73">
            <w:pPr>
              <w:pStyle w:val="afffff7"/>
              <w:rPr>
                <w:b/>
                <w:color w:val="000000" w:themeColor="text1"/>
              </w:rPr>
            </w:pPr>
            <w:r w:rsidRPr="00092862">
              <w:rPr>
                <w:b/>
                <w:color w:val="000000" w:themeColor="text1"/>
              </w:rPr>
              <w:t>接触时间</w:t>
            </w:r>
          </w:p>
        </w:tc>
        <w:tc>
          <w:tcPr>
            <w:tcW w:w="1851" w:type="pct"/>
            <w:vAlign w:val="center"/>
          </w:tcPr>
          <w:p w14:paraId="3230C0D9" w14:textId="77777777" w:rsidR="00450025" w:rsidRPr="00092862" w:rsidRDefault="00450025" w:rsidP="00C54C73">
            <w:pPr>
              <w:pStyle w:val="afffff7"/>
              <w:rPr>
                <w:b/>
                <w:color w:val="000000" w:themeColor="text1"/>
              </w:rPr>
            </w:pPr>
            <w:r w:rsidRPr="00092862">
              <w:rPr>
                <w:b/>
                <w:color w:val="000000" w:themeColor="text1"/>
              </w:rPr>
              <w:t>生理影响及危害</w:t>
            </w:r>
          </w:p>
        </w:tc>
      </w:tr>
      <w:tr w:rsidR="00697429" w:rsidRPr="00092862" w14:paraId="4078945C" w14:textId="77777777" w:rsidTr="00C54C73">
        <w:trPr>
          <w:cantSplit/>
          <w:jc w:val="center"/>
        </w:trPr>
        <w:tc>
          <w:tcPr>
            <w:tcW w:w="1667" w:type="pct"/>
            <w:vAlign w:val="center"/>
          </w:tcPr>
          <w:p w14:paraId="5A0FFB83" w14:textId="77777777" w:rsidR="00450025" w:rsidRPr="00092862" w:rsidRDefault="00450025" w:rsidP="00C54C73">
            <w:pPr>
              <w:pStyle w:val="afffff7"/>
              <w:rPr>
                <w:color w:val="000000" w:themeColor="text1"/>
              </w:rPr>
            </w:pPr>
            <w:r w:rsidRPr="00092862">
              <w:rPr>
                <w:color w:val="000000" w:themeColor="text1"/>
              </w:rPr>
              <w:t>0.04</w:t>
            </w:r>
          </w:p>
        </w:tc>
        <w:tc>
          <w:tcPr>
            <w:tcW w:w="1482" w:type="pct"/>
            <w:vAlign w:val="center"/>
          </w:tcPr>
          <w:p w14:paraId="3230B8BE"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122C16EF" w14:textId="77777777" w:rsidR="00450025" w:rsidRPr="00092862" w:rsidRDefault="00450025" w:rsidP="00C54C73">
            <w:pPr>
              <w:pStyle w:val="afffff7"/>
              <w:rPr>
                <w:color w:val="000000" w:themeColor="text1"/>
              </w:rPr>
            </w:pPr>
            <w:r w:rsidRPr="00092862">
              <w:rPr>
                <w:color w:val="000000" w:themeColor="text1"/>
              </w:rPr>
              <w:t>感到臭味</w:t>
            </w:r>
          </w:p>
        </w:tc>
      </w:tr>
      <w:tr w:rsidR="00697429" w:rsidRPr="00092862" w14:paraId="24B42A4F" w14:textId="77777777" w:rsidTr="00C54C73">
        <w:trPr>
          <w:cantSplit/>
          <w:jc w:val="center"/>
        </w:trPr>
        <w:tc>
          <w:tcPr>
            <w:tcW w:w="1667" w:type="pct"/>
            <w:vAlign w:val="center"/>
          </w:tcPr>
          <w:p w14:paraId="6CE05679" w14:textId="77777777" w:rsidR="00450025" w:rsidRPr="00092862" w:rsidRDefault="00450025" w:rsidP="00C54C73">
            <w:pPr>
              <w:pStyle w:val="afffff7"/>
              <w:rPr>
                <w:color w:val="000000" w:themeColor="text1"/>
              </w:rPr>
            </w:pPr>
            <w:r w:rsidRPr="00092862">
              <w:rPr>
                <w:color w:val="000000" w:themeColor="text1"/>
              </w:rPr>
              <w:t>0.5</w:t>
            </w:r>
          </w:p>
        </w:tc>
        <w:tc>
          <w:tcPr>
            <w:tcW w:w="1482" w:type="pct"/>
            <w:vAlign w:val="center"/>
          </w:tcPr>
          <w:p w14:paraId="756263FA"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5AA2701F" w14:textId="77777777" w:rsidR="00450025" w:rsidRPr="00092862" w:rsidRDefault="00450025" w:rsidP="00C54C73">
            <w:pPr>
              <w:pStyle w:val="afffff7"/>
              <w:rPr>
                <w:color w:val="000000" w:themeColor="text1"/>
              </w:rPr>
            </w:pPr>
            <w:r w:rsidRPr="00092862">
              <w:rPr>
                <w:color w:val="000000" w:themeColor="text1"/>
              </w:rPr>
              <w:t>感到明显臭味</w:t>
            </w:r>
          </w:p>
        </w:tc>
      </w:tr>
      <w:tr w:rsidR="00697429" w:rsidRPr="00092862" w14:paraId="4E6C614F" w14:textId="77777777" w:rsidTr="00C54C73">
        <w:trPr>
          <w:cantSplit/>
          <w:jc w:val="center"/>
        </w:trPr>
        <w:tc>
          <w:tcPr>
            <w:tcW w:w="1667" w:type="pct"/>
            <w:vAlign w:val="center"/>
          </w:tcPr>
          <w:p w14:paraId="2EC7D265" w14:textId="77777777" w:rsidR="00450025" w:rsidRPr="00092862" w:rsidRDefault="00450025" w:rsidP="00C54C73">
            <w:pPr>
              <w:pStyle w:val="afffff7"/>
              <w:rPr>
                <w:color w:val="000000" w:themeColor="text1"/>
              </w:rPr>
            </w:pPr>
            <w:r w:rsidRPr="00092862">
              <w:rPr>
                <w:color w:val="000000" w:themeColor="text1"/>
              </w:rPr>
              <w:t>5.0</w:t>
            </w:r>
          </w:p>
        </w:tc>
        <w:tc>
          <w:tcPr>
            <w:tcW w:w="1482" w:type="pct"/>
            <w:vAlign w:val="center"/>
          </w:tcPr>
          <w:p w14:paraId="42DF4149"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09D86A22" w14:textId="77777777" w:rsidR="00450025" w:rsidRPr="00092862" w:rsidRDefault="00450025" w:rsidP="00C54C73">
            <w:pPr>
              <w:pStyle w:val="afffff7"/>
              <w:rPr>
                <w:color w:val="000000" w:themeColor="text1"/>
              </w:rPr>
            </w:pPr>
            <w:r w:rsidRPr="00092862">
              <w:rPr>
                <w:color w:val="000000" w:themeColor="text1"/>
              </w:rPr>
              <w:t>有强烈臭味</w:t>
            </w:r>
          </w:p>
        </w:tc>
      </w:tr>
      <w:tr w:rsidR="00697429" w:rsidRPr="00092862" w14:paraId="79EAE0B6" w14:textId="77777777" w:rsidTr="00C54C73">
        <w:trPr>
          <w:cantSplit/>
          <w:jc w:val="center"/>
        </w:trPr>
        <w:tc>
          <w:tcPr>
            <w:tcW w:w="1667" w:type="pct"/>
            <w:vAlign w:val="center"/>
          </w:tcPr>
          <w:p w14:paraId="2EDDEE10" w14:textId="77777777" w:rsidR="00450025" w:rsidRPr="00092862" w:rsidRDefault="00450025" w:rsidP="00C54C73">
            <w:pPr>
              <w:pStyle w:val="afffff7"/>
              <w:rPr>
                <w:color w:val="000000" w:themeColor="text1"/>
              </w:rPr>
            </w:pPr>
            <w:r w:rsidRPr="00092862">
              <w:rPr>
                <w:color w:val="000000" w:themeColor="text1"/>
              </w:rPr>
              <w:t>7.5</w:t>
            </w:r>
          </w:p>
        </w:tc>
        <w:tc>
          <w:tcPr>
            <w:tcW w:w="1482" w:type="pct"/>
            <w:vAlign w:val="center"/>
          </w:tcPr>
          <w:p w14:paraId="1302B7E7"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6A55D575" w14:textId="77777777" w:rsidR="00450025" w:rsidRPr="00092862" w:rsidRDefault="00450025" w:rsidP="00C54C73">
            <w:pPr>
              <w:pStyle w:val="afffff7"/>
              <w:rPr>
                <w:color w:val="000000" w:themeColor="text1"/>
              </w:rPr>
            </w:pPr>
            <w:r w:rsidRPr="00092862">
              <w:rPr>
                <w:color w:val="000000" w:themeColor="text1"/>
              </w:rPr>
              <w:t>有不快感</w:t>
            </w:r>
          </w:p>
        </w:tc>
      </w:tr>
      <w:tr w:rsidR="00697429" w:rsidRPr="00092862" w14:paraId="776CCDF7" w14:textId="77777777" w:rsidTr="00C54C73">
        <w:trPr>
          <w:cantSplit/>
          <w:jc w:val="center"/>
        </w:trPr>
        <w:tc>
          <w:tcPr>
            <w:tcW w:w="1667" w:type="pct"/>
            <w:vAlign w:val="center"/>
          </w:tcPr>
          <w:p w14:paraId="42BBA5F2" w14:textId="77777777" w:rsidR="00450025" w:rsidRPr="00092862" w:rsidRDefault="00450025" w:rsidP="00C54C73">
            <w:pPr>
              <w:pStyle w:val="afffff7"/>
              <w:rPr>
                <w:color w:val="000000" w:themeColor="text1"/>
              </w:rPr>
            </w:pPr>
            <w:r w:rsidRPr="00092862">
              <w:rPr>
                <w:color w:val="000000" w:themeColor="text1"/>
              </w:rPr>
              <w:t>15</w:t>
            </w:r>
          </w:p>
        </w:tc>
        <w:tc>
          <w:tcPr>
            <w:tcW w:w="1482" w:type="pct"/>
            <w:vAlign w:val="center"/>
          </w:tcPr>
          <w:p w14:paraId="33DA0A42"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4EC85B8B" w14:textId="77777777" w:rsidR="00450025" w:rsidRPr="00092862" w:rsidRDefault="00450025" w:rsidP="00C54C73">
            <w:pPr>
              <w:pStyle w:val="afffff7"/>
              <w:rPr>
                <w:color w:val="000000" w:themeColor="text1"/>
              </w:rPr>
            </w:pPr>
            <w:r w:rsidRPr="00092862">
              <w:rPr>
                <w:color w:val="000000" w:themeColor="text1"/>
              </w:rPr>
              <w:t>刺激眼睛</w:t>
            </w:r>
          </w:p>
        </w:tc>
      </w:tr>
      <w:tr w:rsidR="00697429" w:rsidRPr="00092862" w14:paraId="05833FFB" w14:textId="77777777" w:rsidTr="00C54C73">
        <w:trPr>
          <w:cantSplit/>
          <w:jc w:val="center"/>
        </w:trPr>
        <w:tc>
          <w:tcPr>
            <w:tcW w:w="1667" w:type="pct"/>
            <w:vAlign w:val="center"/>
          </w:tcPr>
          <w:p w14:paraId="24268135" w14:textId="77777777" w:rsidR="00450025" w:rsidRPr="00092862" w:rsidRDefault="00450025" w:rsidP="00C54C73">
            <w:pPr>
              <w:pStyle w:val="afffff7"/>
              <w:rPr>
                <w:color w:val="000000" w:themeColor="text1"/>
              </w:rPr>
            </w:pPr>
            <w:r w:rsidRPr="00092862">
              <w:rPr>
                <w:color w:val="000000" w:themeColor="text1"/>
              </w:rPr>
              <w:t>35</w:t>
            </w:r>
            <w:r w:rsidRPr="00092862">
              <w:rPr>
                <w:color w:val="000000" w:themeColor="text1"/>
              </w:rPr>
              <w:t>～</w:t>
            </w:r>
            <w:r w:rsidRPr="00092862">
              <w:rPr>
                <w:color w:val="000000" w:themeColor="text1"/>
              </w:rPr>
              <w:t>45</w:t>
            </w:r>
          </w:p>
        </w:tc>
        <w:tc>
          <w:tcPr>
            <w:tcW w:w="1482" w:type="pct"/>
            <w:vAlign w:val="center"/>
          </w:tcPr>
          <w:p w14:paraId="7437871F"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1147AB4C" w14:textId="77777777" w:rsidR="00450025" w:rsidRPr="00092862" w:rsidRDefault="00450025" w:rsidP="00C54C73">
            <w:pPr>
              <w:pStyle w:val="afffff7"/>
              <w:rPr>
                <w:color w:val="000000" w:themeColor="text1"/>
              </w:rPr>
            </w:pPr>
            <w:r w:rsidRPr="00092862">
              <w:rPr>
                <w:color w:val="000000" w:themeColor="text1"/>
              </w:rPr>
              <w:t>强烈刺激粘膜</w:t>
            </w:r>
          </w:p>
        </w:tc>
      </w:tr>
      <w:tr w:rsidR="00697429" w:rsidRPr="00092862" w14:paraId="33E55D5E" w14:textId="77777777" w:rsidTr="00C54C73">
        <w:trPr>
          <w:cantSplit/>
          <w:jc w:val="center"/>
        </w:trPr>
        <w:tc>
          <w:tcPr>
            <w:tcW w:w="1667" w:type="pct"/>
            <w:vAlign w:val="center"/>
          </w:tcPr>
          <w:p w14:paraId="173A2A99" w14:textId="77777777" w:rsidR="00450025" w:rsidRPr="00092862" w:rsidRDefault="00450025" w:rsidP="00C54C73">
            <w:pPr>
              <w:pStyle w:val="afffff7"/>
              <w:rPr>
                <w:color w:val="000000" w:themeColor="text1"/>
              </w:rPr>
            </w:pPr>
            <w:r w:rsidRPr="00092862">
              <w:rPr>
                <w:color w:val="000000" w:themeColor="text1"/>
              </w:rPr>
              <w:t>75</w:t>
            </w:r>
            <w:r w:rsidRPr="00092862">
              <w:rPr>
                <w:color w:val="000000" w:themeColor="text1"/>
              </w:rPr>
              <w:t>～</w:t>
            </w:r>
            <w:r w:rsidRPr="00092862">
              <w:rPr>
                <w:color w:val="000000" w:themeColor="text1"/>
              </w:rPr>
              <w:t>150</w:t>
            </w:r>
          </w:p>
        </w:tc>
        <w:tc>
          <w:tcPr>
            <w:tcW w:w="1482" w:type="pct"/>
            <w:vAlign w:val="center"/>
          </w:tcPr>
          <w:p w14:paraId="2D80DBB7"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4379D4CC" w14:textId="77777777" w:rsidR="00450025" w:rsidRPr="00092862" w:rsidRDefault="00450025" w:rsidP="00C54C73">
            <w:pPr>
              <w:pStyle w:val="afffff7"/>
              <w:rPr>
                <w:color w:val="000000" w:themeColor="text1"/>
              </w:rPr>
            </w:pPr>
            <w:r w:rsidRPr="00092862">
              <w:rPr>
                <w:color w:val="000000" w:themeColor="text1"/>
              </w:rPr>
              <w:t>刺激呼吸道</w:t>
            </w:r>
          </w:p>
        </w:tc>
      </w:tr>
      <w:tr w:rsidR="00697429" w:rsidRPr="00092862" w14:paraId="22BEE10A" w14:textId="77777777" w:rsidTr="00C54C73">
        <w:trPr>
          <w:cantSplit/>
          <w:jc w:val="center"/>
        </w:trPr>
        <w:tc>
          <w:tcPr>
            <w:tcW w:w="1667" w:type="pct"/>
            <w:vAlign w:val="center"/>
          </w:tcPr>
          <w:p w14:paraId="013BAF07" w14:textId="77777777" w:rsidR="00450025" w:rsidRPr="00092862" w:rsidRDefault="00450025" w:rsidP="00C54C73">
            <w:pPr>
              <w:pStyle w:val="afffff7"/>
              <w:rPr>
                <w:color w:val="000000" w:themeColor="text1"/>
              </w:rPr>
            </w:pPr>
            <w:r w:rsidRPr="00092862">
              <w:rPr>
                <w:color w:val="000000" w:themeColor="text1"/>
              </w:rPr>
              <w:t>150</w:t>
            </w:r>
            <w:r w:rsidRPr="00092862">
              <w:rPr>
                <w:color w:val="000000" w:themeColor="text1"/>
              </w:rPr>
              <w:t>～</w:t>
            </w:r>
            <w:r w:rsidRPr="00092862">
              <w:rPr>
                <w:color w:val="000000" w:themeColor="text1"/>
              </w:rPr>
              <w:t>300</w:t>
            </w:r>
          </w:p>
        </w:tc>
        <w:tc>
          <w:tcPr>
            <w:tcW w:w="1482" w:type="pct"/>
            <w:vAlign w:val="center"/>
          </w:tcPr>
          <w:p w14:paraId="69B644C8" w14:textId="77777777" w:rsidR="00450025" w:rsidRPr="00092862" w:rsidRDefault="00450025" w:rsidP="00C54C73">
            <w:pPr>
              <w:pStyle w:val="afffff7"/>
              <w:rPr>
                <w:color w:val="000000" w:themeColor="text1"/>
              </w:rPr>
            </w:pPr>
            <w:r w:rsidRPr="00092862">
              <w:rPr>
                <w:color w:val="000000" w:themeColor="text1"/>
              </w:rPr>
              <w:t>15min</w:t>
            </w:r>
          </w:p>
        </w:tc>
        <w:tc>
          <w:tcPr>
            <w:tcW w:w="1851" w:type="pct"/>
            <w:vAlign w:val="center"/>
          </w:tcPr>
          <w:p w14:paraId="10799111" w14:textId="77777777" w:rsidR="00450025" w:rsidRPr="00092862" w:rsidRDefault="00450025" w:rsidP="00C54C73">
            <w:pPr>
              <w:pStyle w:val="afffff7"/>
              <w:rPr>
                <w:color w:val="000000" w:themeColor="text1"/>
              </w:rPr>
            </w:pPr>
            <w:r w:rsidRPr="00092862">
              <w:rPr>
                <w:color w:val="000000" w:themeColor="text1"/>
              </w:rPr>
              <w:t>嗅觉麻痹</w:t>
            </w:r>
          </w:p>
        </w:tc>
      </w:tr>
      <w:tr w:rsidR="00697429" w:rsidRPr="00092862" w14:paraId="5C684DD8" w14:textId="77777777" w:rsidTr="00C54C73">
        <w:trPr>
          <w:cantSplit/>
          <w:jc w:val="center"/>
        </w:trPr>
        <w:tc>
          <w:tcPr>
            <w:tcW w:w="1667" w:type="pct"/>
            <w:vAlign w:val="center"/>
          </w:tcPr>
          <w:p w14:paraId="0FCC0863" w14:textId="77777777" w:rsidR="00450025" w:rsidRPr="00092862" w:rsidRDefault="00450025" w:rsidP="00C54C73">
            <w:pPr>
              <w:pStyle w:val="afffff7"/>
              <w:rPr>
                <w:color w:val="000000" w:themeColor="text1"/>
              </w:rPr>
            </w:pPr>
            <w:r w:rsidRPr="00092862">
              <w:rPr>
                <w:color w:val="000000" w:themeColor="text1"/>
              </w:rPr>
              <w:t>300</w:t>
            </w:r>
          </w:p>
        </w:tc>
        <w:tc>
          <w:tcPr>
            <w:tcW w:w="1482" w:type="pct"/>
            <w:vAlign w:val="center"/>
          </w:tcPr>
          <w:p w14:paraId="216A89F2"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0F3AC370" w14:textId="77777777" w:rsidR="00450025" w:rsidRPr="00092862" w:rsidRDefault="00450025" w:rsidP="00C54C73">
            <w:pPr>
              <w:pStyle w:val="afffff7"/>
              <w:rPr>
                <w:color w:val="000000" w:themeColor="text1"/>
              </w:rPr>
            </w:pPr>
            <w:r w:rsidRPr="00092862">
              <w:rPr>
                <w:color w:val="000000" w:themeColor="text1"/>
              </w:rPr>
              <w:t>暴露时间长有中毒症状</w:t>
            </w:r>
          </w:p>
        </w:tc>
      </w:tr>
      <w:tr w:rsidR="00697429" w:rsidRPr="00092862" w14:paraId="1E9A5ECA" w14:textId="77777777" w:rsidTr="00C54C73">
        <w:trPr>
          <w:cantSplit/>
          <w:jc w:val="center"/>
        </w:trPr>
        <w:tc>
          <w:tcPr>
            <w:tcW w:w="1667" w:type="pct"/>
            <w:vAlign w:val="center"/>
          </w:tcPr>
          <w:p w14:paraId="287F2D1D" w14:textId="77777777" w:rsidR="00450025" w:rsidRPr="00092862" w:rsidRDefault="00450025" w:rsidP="00C54C73">
            <w:pPr>
              <w:pStyle w:val="afffff7"/>
              <w:rPr>
                <w:color w:val="000000" w:themeColor="text1"/>
              </w:rPr>
            </w:pPr>
            <w:r w:rsidRPr="00092862">
              <w:rPr>
                <w:color w:val="000000" w:themeColor="text1"/>
              </w:rPr>
              <w:t>300</w:t>
            </w:r>
            <w:r w:rsidRPr="00092862">
              <w:rPr>
                <w:color w:val="000000" w:themeColor="text1"/>
              </w:rPr>
              <w:t>～</w:t>
            </w:r>
            <w:r w:rsidRPr="00092862">
              <w:rPr>
                <w:color w:val="000000" w:themeColor="text1"/>
              </w:rPr>
              <w:t>450</w:t>
            </w:r>
          </w:p>
        </w:tc>
        <w:tc>
          <w:tcPr>
            <w:tcW w:w="1482" w:type="pct"/>
            <w:vAlign w:val="center"/>
          </w:tcPr>
          <w:p w14:paraId="31F27C9D" w14:textId="77777777" w:rsidR="00450025" w:rsidRPr="00092862" w:rsidRDefault="00450025" w:rsidP="00C54C73">
            <w:pPr>
              <w:pStyle w:val="afffff7"/>
              <w:rPr>
                <w:color w:val="000000" w:themeColor="text1"/>
              </w:rPr>
            </w:pPr>
            <w:r w:rsidRPr="00092862">
              <w:rPr>
                <w:color w:val="000000" w:themeColor="text1"/>
              </w:rPr>
              <w:t>1h</w:t>
            </w:r>
          </w:p>
        </w:tc>
        <w:tc>
          <w:tcPr>
            <w:tcW w:w="1851" w:type="pct"/>
            <w:vAlign w:val="center"/>
          </w:tcPr>
          <w:p w14:paraId="3EA36D06" w14:textId="77777777" w:rsidR="00450025" w:rsidRPr="00092862" w:rsidRDefault="00450025" w:rsidP="00C54C73">
            <w:pPr>
              <w:pStyle w:val="afffff7"/>
              <w:rPr>
                <w:color w:val="000000" w:themeColor="text1"/>
              </w:rPr>
            </w:pPr>
            <w:r w:rsidRPr="00092862">
              <w:rPr>
                <w:color w:val="000000" w:themeColor="text1"/>
              </w:rPr>
              <w:t>引起亚急性中毒</w:t>
            </w:r>
          </w:p>
        </w:tc>
      </w:tr>
      <w:tr w:rsidR="00697429" w:rsidRPr="00092862" w14:paraId="4FA8C644" w14:textId="77777777" w:rsidTr="00C54C73">
        <w:trPr>
          <w:cantSplit/>
          <w:jc w:val="center"/>
        </w:trPr>
        <w:tc>
          <w:tcPr>
            <w:tcW w:w="1667" w:type="pct"/>
            <w:vAlign w:val="center"/>
          </w:tcPr>
          <w:p w14:paraId="23333C88" w14:textId="77777777" w:rsidR="00450025" w:rsidRPr="00092862" w:rsidRDefault="00450025" w:rsidP="00C54C73">
            <w:pPr>
              <w:pStyle w:val="afffff7"/>
              <w:rPr>
                <w:color w:val="000000" w:themeColor="text1"/>
              </w:rPr>
            </w:pPr>
            <w:r w:rsidRPr="00092862">
              <w:rPr>
                <w:color w:val="000000" w:themeColor="text1"/>
              </w:rPr>
              <w:t>375</w:t>
            </w:r>
            <w:r w:rsidRPr="00092862">
              <w:rPr>
                <w:color w:val="000000" w:themeColor="text1"/>
              </w:rPr>
              <w:t>～</w:t>
            </w:r>
            <w:r w:rsidRPr="00092862">
              <w:rPr>
                <w:color w:val="000000" w:themeColor="text1"/>
              </w:rPr>
              <w:t>525</w:t>
            </w:r>
          </w:p>
        </w:tc>
        <w:tc>
          <w:tcPr>
            <w:tcW w:w="1482" w:type="pct"/>
            <w:vAlign w:val="center"/>
          </w:tcPr>
          <w:p w14:paraId="7FA5FC61" w14:textId="77777777" w:rsidR="00450025" w:rsidRPr="00092862" w:rsidRDefault="00450025" w:rsidP="00C54C73">
            <w:pPr>
              <w:pStyle w:val="afffff7"/>
              <w:rPr>
                <w:color w:val="000000" w:themeColor="text1"/>
              </w:rPr>
            </w:pPr>
            <w:r w:rsidRPr="00092862">
              <w:rPr>
                <w:color w:val="000000" w:themeColor="text1"/>
              </w:rPr>
              <w:t>4</w:t>
            </w:r>
            <w:r w:rsidRPr="00092862">
              <w:rPr>
                <w:color w:val="000000" w:themeColor="text1"/>
              </w:rPr>
              <w:t>～</w:t>
            </w:r>
            <w:r w:rsidRPr="00092862">
              <w:rPr>
                <w:color w:val="000000" w:themeColor="text1"/>
              </w:rPr>
              <w:t>8h</w:t>
            </w:r>
          </w:p>
        </w:tc>
        <w:tc>
          <w:tcPr>
            <w:tcW w:w="1851" w:type="pct"/>
            <w:vAlign w:val="center"/>
          </w:tcPr>
          <w:p w14:paraId="1DD00050" w14:textId="77777777" w:rsidR="00450025" w:rsidRPr="00092862" w:rsidRDefault="00450025" w:rsidP="00C54C73">
            <w:pPr>
              <w:pStyle w:val="afffff7"/>
              <w:rPr>
                <w:color w:val="000000" w:themeColor="text1"/>
              </w:rPr>
            </w:pPr>
            <w:r w:rsidRPr="00092862">
              <w:rPr>
                <w:color w:val="000000" w:themeColor="text1"/>
              </w:rPr>
              <w:t>有生命危险</w:t>
            </w:r>
          </w:p>
        </w:tc>
      </w:tr>
      <w:tr w:rsidR="00697429" w:rsidRPr="00092862" w14:paraId="5087EE5F" w14:textId="77777777" w:rsidTr="00C54C73">
        <w:trPr>
          <w:cantSplit/>
          <w:jc w:val="center"/>
        </w:trPr>
        <w:tc>
          <w:tcPr>
            <w:tcW w:w="1667" w:type="pct"/>
            <w:vAlign w:val="center"/>
          </w:tcPr>
          <w:p w14:paraId="18CB0A4E" w14:textId="77777777" w:rsidR="00450025" w:rsidRPr="00092862" w:rsidRDefault="00450025" w:rsidP="00C54C73">
            <w:pPr>
              <w:pStyle w:val="afffff7"/>
              <w:rPr>
                <w:color w:val="000000" w:themeColor="text1"/>
              </w:rPr>
            </w:pPr>
            <w:r w:rsidRPr="00092862">
              <w:rPr>
                <w:color w:val="000000" w:themeColor="text1"/>
              </w:rPr>
              <w:lastRenderedPageBreak/>
              <w:t>525</w:t>
            </w:r>
            <w:r w:rsidRPr="00092862">
              <w:rPr>
                <w:color w:val="000000" w:themeColor="text1"/>
              </w:rPr>
              <w:t>～</w:t>
            </w:r>
            <w:r w:rsidRPr="00092862">
              <w:rPr>
                <w:color w:val="000000" w:themeColor="text1"/>
              </w:rPr>
              <w:t>600</w:t>
            </w:r>
          </w:p>
        </w:tc>
        <w:tc>
          <w:tcPr>
            <w:tcW w:w="1482" w:type="pct"/>
            <w:vAlign w:val="center"/>
          </w:tcPr>
          <w:p w14:paraId="4056FF85" w14:textId="77777777" w:rsidR="00450025" w:rsidRPr="00092862" w:rsidRDefault="00450025" w:rsidP="00C54C73">
            <w:pPr>
              <w:pStyle w:val="afffff7"/>
              <w:rPr>
                <w:color w:val="000000" w:themeColor="text1"/>
              </w:rPr>
            </w:pPr>
            <w:r w:rsidRPr="00092862">
              <w:rPr>
                <w:color w:val="000000" w:themeColor="text1"/>
              </w:rPr>
              <w:t>1</w:t>
            </w:r>
            <w:r w:rsidRPr="00092862">
              <w:rPr>
                <w:color w:val="000000" w:themeColor="text1"/>
              </w:rPr>
              <w:t>～</w:t>
            </w:r>
            <w:r w:rsidRPr="00092862">
              <w:rPr>
                <w:color w:val="000000" w:themeColor="text1"/>
              </w:rPr>
              <w:t>4h</w:t>
            </w:r>
          </w:p>
        </w:tc>
        <w:tc>
          <w:tcPr>
            <w:tcW w:w="1851" w:type="pct"/>
            <w:vAlign w:val="center"/>
          </w:tcPr>
          <w:p w14:paraId="64955919" w14:textId="77777777" w:rsidR="00450025" w:rsidRPr="00092862" w:rsidRDefault="00450025" w:rsidP="00C54C73">
            <w:pPr>
              <w:pStyle w:val="afffff7"/>
              <w:rPr>
                <w:color w:val="000000" w:themeColor="text1"/>
              </w:rPr>
            </w:pPr>
            <w:r w:rsidRPr="00092862">
              <w:rPr>
                <w:color w:val="000000" w:themeColor="text1"/>
              </w:rPr>
              <w:t>有生命危险</w:t>
            </w:r>
          </w:p>
        </w:tc>
      </w:tr>
      <w:tr w:rsidR="00697429" w:rsidRPr="00092862" w14:paraId="0B4C8C96" w14:textId="77777777" w:rsidTr="00C54C73">
        <w:trPr>
          <w:cantSplit/>
          <w:jc w:val="center"/>
        </w:trPr>
        <w:tc>
          <w:tcPr>
            <w:tcW w:w="1667" w:type="pct"/>
            <w:vAlign w:val="center"/>
          </w:tcPr>
          <w:p w14:paraId="09D087A2" w14:textId="77777777" w:rsidR="00450025" w:rsidRPr="00092862" w:rsidRDefault="00450025" w:rsidP="00C54C73">
            <w:pPr>
              <w:pStyle w:val="afffff7"/>
              <w:rPr>
                <w:color w:val="000000" w:themeColor="text1"/>
              </w:rPr>
            </w:pPr>
            <w:r w:rsidRPr="00092862">
              <w:rPr>
                <w:color w:val="000000" w:themeColor="text1"/>
              </w:rPr>
              <w:t>900</w:t>
            </w:r>
          </w:p>
        </w:tc>
        <w:tc>
          <w:tcPr>
            <w:tcW w:w="1482" w:type="pct"/>
            <w:vAlign w:val="center"/>
          </w:tcPr>
          <w:p w14:paraId="1FF01284" w14:textId="77777777" w:rsidR="00450025" w:rsidRPr="00092862" w:rsidRDefault="00450025" w:rsidP="00C54C73">
            <w:pPr>
              <w:pStyle w:val="afffff7"/>
              <w:rPr>
                <w:color w:val="000000" w:themeColor="text1"/>
              </w:rPr>
            </w:pPr>
            <w:r w:rsidRPr="00092862">
              <w:rPr>
                <w:color w:val="000000" w:themeColor="text1"/>
              </w:rPr>
              <w:t>30min</w:t>
            </w:r>
          </w:p>
        </w:tc>
        <w:tc>
          <w:tcPr>
            <w:tcW w:w="1851" w:type="pct"/>
            <w:vAlign w:val="center"/>
          </w:tcPr>
          <w:p w14:paraId="5803226D" w14:textId="77777777" w:rsidR="00450025" w:rsidRPr="00092862" w:rsidRDefault="00450025" w:rsidP="00C54C73">
            <w:pPr>
              <w:pStyle w:val="afffff7"/>
              <w:rPr>
                <w:color w:val="000000" w:themeColor="text1"/>
              </w:rPr>
            </w:pPr>
            <w:r w:rsidRPr="00092862">
              <w:rPr>
                <w:color w:val="000000" w:themeColor="text1"/>
              </w:rPr>
              <w:t>引起致命性中毒</w:t>
            </w:r>
          </w:p>
        </w:tc>
      </w:tr>
      <w:tr w:rsidR="00697429" w:rsidRPr="00092862" w14:paraId="217FE8A3" w14:textId="77777777" w:rsidTr="00C54C73">
        <w:trPr>
          <w:cantSplit/>
          <w:jc w:val="center"/>
        </w:trPr>
        <w:tc>
          <w:tcPr>
            <w:tcW w:w="1667" w:type="pct"/>
            <w:vAlign w:val="center"/>
          </w:tcPr>
          <w:p w14:paraId="12BA19EE" w14:textId="77777777" w:rsidR="00450025" w:rsidRPr="00092862" w:rsidRDefault="00450025" w:rsidP="00C54C73">
            <w:pPr>
              <w:pStyle w:val="afffff7"/>
              <w:rPr>
                <w:color w:val="000000" w:themeColor="text1"/>
              </w:rPr>
            </w:pPr>
            <w:r w:rsidRPr="00092862">
              <w:rPr>
                <w:color w:val="000000" w:themeColor="text1"/>
              </w:rPr>
              <w:t>1500</w:t>
            </w:r>
          </w:p>
        </w:tc>
        <w:tc>
          <w:tcPr>
            <w:tcW w:w="1482" w:type="pct"/>
            <w:vAlign w:val="center"/>
          </w:tcPr>
          <w:p w14:paraId="08818539" w14:textId="77777777" w:rsidR="00450025" w:rsidRPr="00092862" w:rsidRDefault="00450025" w:rsidP="00C54C73">
            <w:pPr>
              <w:pStyle w:val="afffff7"/>
              <w:rPr>
                <w:color w:val="000000" w:themeColor="text1"/>
              </w:rPr>
            </w:pPr>
            <w:r w:rsidRPr="00092862">
              <w:rPr>
                <w:color w:val="000000" w:themeColor="text1"/>
              </w:rPr>
              <w:t>/</w:t>
            </w:r>
          </w:p>
        </w:tc>
        <w:tc>
          <w:tcPr>
            <w:tcW w:w="1851" w:type="pct"/>
            <w:vAlign w:val="center"/>
          </w:tcPr>
          <w:p w14:paraId="6BE0934D" w14:textId="77777777" w:rsidR="00450025" w:rsidRPr="00092862" w:rsidRDefault="00450025" w:rsidP="00C54C73">
            <w:pPr>
              <w:pStyle w:val="afffff7"/>
              <w:rPr>
                <w:color w:val="000000" w:themeColor="text1"/>
              </w:rPr>
            </w:pPr>
            <w:r w:rsidRPr="00092862">
              <w:rPr>
                <w:color w:val="000000" w:themeColor="text1"/>
              </w:rPr>
              <w:t>引起呼吸道麻痹、有生命危险</w:t>
            </w:r>
          </w:p>
        </w:tc>
      </w:tr>
      <w:tr w:rsidR="00697429" w:rsidRPr="00092862" w14:paraId="779DB792" w14:textId="77777777" w:rsidTr="00C54C73">
        <w:trPr>
          <w:cantSplit/>
          <w:jc w:val="center"/>
        </w:trPr>
        <w:tc>
          <w:tcPr>
            <w:tcW w:w="1667" w:type="pct"/>
            <w:vAlign w:val="center"/>
          </w:tcPr>
          <w:p w14:paraId="430C6BD6" w14:textId="77777777" w:rsidR="00450025" w:rsidRPr="00092862" w:rsidRDefault="00450025" w:rsidP="00C54C73">
            <w:pPr>
              <w:pStyle w:val="afffff7"/>
              <w:rPr>
                <w:color w:val="000000" w:themeColor="text1"/>
              </w:rPr>
            </w:pPr>
            <w:r w:rsidRPr="00092862">
              <w:rPr>
                <w:color w:val="000000" w:themeColor="text1"/>
              </w:rPr>
              <w:t>1500</w:t>
            </w:r>
            <w:r w:rsidRPr="00092862">
              <w:rPr>
                <w:color w:val="000000" w:themeColor="text1"/>
              </w:rPr>
              <w:t>～</w:t>
            </w:r>
            <w:r w:rsidRPr="00092862">
              <w:rPr>
                <w:color w:val="000000" w:themeColor="text1"/>
              </w:rPr>
              <w:t>2250</w:t>
            </w:r>
          </w:p>
        </w:tc>
        <w:tc>
          <w:tcPr>
            <w:tcW w:w="1482" w:type="pct"/>
            <w:vAlign w:val="center"/>
          </w:tcPr>
          <w:p w14:paraId="4E91DA8A" w14:textId="77777777" w:rsidR="00450025" w:rsidRPr="00092862" w:rsidRDefault="00450025" w:rsidP="00C54C73">
            <w:pPr>
              <w:pStyle w:val="afffff7"/>
              <w:rPr>
                <w:color w:val="000000" w:themeColor="text1"/>
              </w:rPr>
            </w:pPr>
            <w:r w:rsidRPr="00092862">
              <w:rPr>
                <w:color w:val="000000" w:themeColor="text1"/>
              </w:rPr>
              <w:t>数分钟</w:t>
            </w:r>
          </w:p>
        </w:tc>
        <w:tc>
          <w:tcPr>
            <w:tcW w:w="1851" w:type="pct"/>
            <w:vAlign w:val="center"/>
          </w:tcPr>
          <w:p w14:paraId="4C79CC41" w14:textId="77777777" w:rsidR="00450025" w:rsidRPr="00092862" w:rsidRDefault="00450025" w:rsidP="00C54C73">
            <w:pPr>
              <w:pStyle w:val="afffff7"/>
              <w:rPr>
                <w:color w:val="000000" w:themeColor="text1"/>
              </w:rPr>
            </w:pPr>
            <w:r w:rsidRPr="00092862">
              <w:rPr>
                <w:color w:val="000000" w:themeColor="text1"/>
              </w:rPr>
              <w:t>死亡</w:t>
            </w:r>
          </w:p>
        </w:tc>
      </w:tr>
    </w:tbl>
    <w:p w14:paraId="789853B2" w14:textId="77777777" w:rsidR="00450025" w:rsidRPr="00092862" w:rsidRDefault="00450025" w:rsidP="00450025">
      <w:pPr>
        <w:pStyle w:val="ac"/>
        <w:adjustRightInd w:val="0"/>
        <w:snapToGrid w:val="0"/>
        <w:spacing w:beforeLines="50" w:before="12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7</w:t>
      </w:r>
      <w:r w:rsidRPr="00092862">
        <w:rPr>
          <w:rFonts w:ascii="Times New Roman" w:hAnsi="Times New Roman"/>
          <w:b/>
          <w:color w:val="000000" w:themeColor="text1"/>
          <w:kern w:val="2"/>
          <w:lang w:eastAsia="zh-CN"/>
        </w:rPr>
        <w:t>）柴油危险性分析</w:t>
      </w:r>
    </w:p>
    <w:p w14:paraId="06CFD704" w14:textId="400876BB" w:rsidR="00450025" w:rsidRPr="00092862" w:rsidRDefault="00450025" w:rsidP="00450025">
      <w:pPr>
        <w:adjustRightInd w:val="0"/>
        <w:snapToGrid w:val="0"/>
        <w:spacing w:line="360" w:lineRule="auto"/>
        <w:ind w:firstLineChars="200" w:firstLine="480"/>
        <w:rPr>
          <w:rFonts w:ascii="Times New Roman" w:hAnsi="Times New Roman" w:cs="Times New Roman"/>
          <w:bCs/>
          <w:color w:val="000000" w:themeColor="text1"/>
          <w:sz w:val="24"/>
          <w:szCs w:val="24"/>
        </w:rPr>
      </w:pPr>
      <w:r w:rsidRPr="00092862">
        <w:rPr>
          <w:rFonts w:ascii="Times New Roman" w:hAnsi="Times New Roman" w:cs="Times New Roman"/>
          <w:bCs/>
          <w:color w:val="000000" w:themeColor="text1"/>
          <w:sz w:val="24"/>
          <w:szCs w:val="24"/>
        </w:rPr>
        <w:t>钻井及井下作业过程中使用柴油机作为钻井作业现场电力和动力输出，柴油具有可燃性，其物理化学特性见表</w:t>
      </w:r>
      <w:r w:rsidR="00CA20DF" w:rsidRPr="00092862">
        <w:rPr>
          <w:rFonts w:ascii="Times New Roman" w:hAnsi="Times New Roman" w:cs="Times New Roman"/>
          <w:bCs/>
          <w:color w:val="000000" w:themeColor="text1"/>
          <w:sz w:val="24"/>
          <w:szCs w:val="24"/>
        </w:rPr>
        <w:t>6.1-4</w:t>
      </w:r>
      <w:r w:rsidRPr="00092862">
        <w:rPr>
          <w:rFonts w:ascii="Times New Roman" w:hAnsi="Times New Roman" w:cs="Times New Roman"/>
          <w:bCs/>
          <w:color w:val="000000" w:themeColor="text1"/>
          <w:sz w:val="24"/>
          <w:szCs w:val="24"/>
        </w:rPr>
        <w:t>。</w:t>
      </w:r>
    </w:p>
    <w:p w14:paraId="6E7877F6" w14:textId="75DD3932"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柴油特性表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948"/>
        <w:gridCol w:w="1883"/>
        <w:gridCol w:w="2570"/>
      </w:tblGrid>
      <w:tr w:rsidR="00697429" w:rsidRPr="00092862" w14:paraId="56876158" w14:textId="77777777" w:rsidTr="00C54C73">
        <w:trPr>
          <w:trHeight w:val="20"/>
          <w:jc w:val="center"/>
        </w:trPr>
        <w:tc>
          <w:tcPr>
            <w:tcW w:w="8222" w:type="dxa"/>
            <w:gridSpan w:val="4"/>
            <w:vAlign w:val="center"/>
          </w:tcPr>
          <w:p w14:paraId="1E9F0B7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第一部分危险性概述</w:t>
            </w:r>
          </w:p>
        </w:tc>
      </w:tr>
      <w:tr w:rsidR="00697429" w:rsidRPr="00092862" w14:paraId="2666E252" w14:textId="77777777" w:rsidTr="00C54C73">
        <w:trPr>
          <w:trHeight w:val="20"/>
          <w:jc w:val="center"/>
        </w:trPr>
        <w:tc>
          <w:tcPr>
            <w:tcW w:w="1821" w:type="dxa"/>
            <w:vAlign w:val="center"/>
          </w:tcPr>
          <w:p w14:paraId="22AE3EA5"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危险性类别</w:t>
            </w:r>
          </w:p>
        </w:tc>
        <w:tc>
          <w:tcPr>
            <w:tcW w:w="6401" w:type="dxa"/>
            <w:gridSpan w:val="3"/>
            <w:vAlign w:val="center"/>
          </w:tcPr>
          <w:p w14:paraId="11A5F2F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w:t>
            </w:r>
            <w:r w:rsidRPr="00092862">
              <w:rPr>
                <w:rFonts w:ascii="Times New Roman" w:eastAsia="宋体" w:hAnsi="Times New Roman" w:cs="Times New Roman"/>
                <w:color w:val="000000" w:themeColor="text1"/>
                <w:szCs w:val="21"/>
              </w:rPr>
              <w:t>3.3</w:t>
            </w:r>
            <w:r w:rsidRPr="00092862">
              <w:rPr>
                <w:rFonts w:ascii="Times New Roman" w:eastAsia="宋体" w:hAnsi="Times New Roman" w:cs="Times New Roman"/>
                <w:color w:val="000000" w:themeColor="text1"/>
                <w:szCs w:val="21"/>
              </w:rPr>
              <w:t>类高闪点易燃液体。</w:t>
            </w:r>
          </w:p>
        </w:tc>
      </w:tr>
      <w:tr w:rsidR="00697429" w:rsidRPr="00092862" w14:paraId="50DB09D7" w14:textId="77777777" w:rsidTr="00C54C73">
        <w:trPr>
          <w:trHeight w:val="20"/>
          <w:jc w:val="center"/>
        </w:trPr>
        <w:tc>
          <w:tcPr>
            <w:tcW w:w="1821" w:type="dxa"/>
            <w:vAlign w:val="center"/>
          </w:tcPr>
          <w:p w14:paraId="54052F8A"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侵入途径</w:t>
            </w:r>
          </w:p>
        </w:tc>
        <w:tc>
          <w:tcPr>
            <w:tcW w:w="6401" w:type="dxa"/>
            <w:gridSpan w:val="3"/>
            <w:vAlign w:val="center"/>
          </w:tcPr>
          <w:p w14:paraId="65FDB37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吸入、食入、经皮肤吸收</w:t>
            </w:r>
          </w:p>
        </w:tc>
      </w:tr>
      <w:tr w:rsidR="00697429" w:rsidRPr="00092862" w14:paraId="18CD1CB9" w14:textId="77777777" w:rsidTr="00C54C73">
        <w:trPr>
          <w:trHeight w:val="20"/>
          <w:jc w:val="center"/>
        </w:trPr>
        <w:tc>
          <w:tcPr>
            <w:tcW w:w="1821" w:type="dxa"/>
            <w:vAlign w:val="center"/>
          </w:tcPr>
          <w:p w14:paraId="7E15519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健康危害</w:t>
            </w:r>
          </w:p>
        </w:tc>
        <w:tc>
          <w:tcPr>
            <w:tcW w:w="6401" w:type="dxa"/>
            <w:gridSpan w:val="3"/>
            <w:vAlign w:val="center"/>
          </w:tcPr>
          <w:p w14:paraId="12E93CC5"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皮肤接触柴油可引起接触性皮炎、油性痤疮，吸入可引起吸入性肺炎。能经胎盘进入胎儿血中。柴油废气可引起眼、鼻刺激症状，头痛。</w:t>
            </w:r>
          </w:p>
        </w:tc>
      </w:tr>
      <w:tr w:rsidR="00697429" w:rsidRPr="00092862" w14:paraId="44A656F6" w14:textId="77777777" w:rsidTr="00C54C73">
        <w:trPr>
          <w:trHeight w:val="20"/>
          <w:jc w:val="center"/>
        </w:trPr>
        <w:tc>
          <w:tcPr>
            <w:tcW w:w="8222" w:type="dxa"/>
            <w:gridSpan w:val="4"/>
            <w:vAlign w:val="center"/>
          </w:tcPr>
          <w:p w14:paraId="0FD39FC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第二部分急救措施</w:t>
            </w:r>
          </w:p>
        </w:tc>
      </w:tr>
      <w:tr w:rsidR="00697429" w:rsidRPr="00092862" w14:paraId="79924A9F" w14:textId="77777777" w:rsidTr="00C54C73">
        <w:trPr>
          <w:trHeight w:val="20"/>
          <w:jc w:val="center"/>
        </w:trPr>
        <w:tc>
          <w:tcPr>
            <w:tcW w:w="1821" w:type="dxa"/>
            <w:vAlign w:val="center"/>
          </w:tcPr>
          <w:p w14:paraId="3C62ECE4"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皮肤接触</w:t>
            </w:r>
          </w:p>
        </w:tc>
        <w:tc>
          <w:tcPr>
            <w:tcW w:w="6401" w:type="dxa"/>
            <w:gridSpan w:val="3"/>
            <w:vAlign w:val="center"/>
          </w:tcPr>
          <w:p w14:paraId="3A26B248"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脱去污染的衣着，用肥皂和大量清水清洗污染皮肤。</w:t>
            </w:r>
          </w:p>
        </w:tc>
      </w:tr>
      <w:tr w:rsidR="00697429" w:rsidRPr="00092862" w14:paraId="2BBDC067" w14:textId="77777777" w:rsidTr="00C54C73">
        <w:trPr>
          <w:trHeight w:val="20"/>
          <w:jc w:val="center"/>
        </w:trPr>
        <w:tc>
          <w:tcPr>
            <w:tcW w:w="1821" w:type="dxa"/>
            <w:vAlign w:val="center"/>
          </w:tcPr>
          <w:p w14:paraId="7C45A72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眼睛接触</w:t>
            </w:r>
          </w:p>
        </w:tc>
        <w:tc>
          <w:tcPr>
            <w:tcW w:w="6401" w:type="dxa"/>
            <w:gridSpan w:val="3"/>
            <w:vAlign w:val="center"/>
          </w:tcPr>
          <w:p w14:paraId="1729701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立即翻开上下眼睑，用流动清水冲洗，至少</w:t>
            </w:r>
            <w:r w:rsidRPr="00092862">
              <w:rPr>
                <w:rFonts w:ascii="Times New Roman" w:eastAsia="宋体" w:hAnsi="Times New Roman" w:cs="Times New Roman"/>
                <w:color w:val="000000" w:themeColor="text1"/>
                <w:szCs w:val="21"/>
              </w:rPr>
              <w:t>15min</w:t>
            </w:r>
            <w:r w:rsidRPr="00092862">
              <w:rPr>
                <w:rFonts w:ascii="Times New Roman" w:eastAsia="宋体" w:hAnsi="Times New Roman" w:cs="Times New Roman"/>
                <w:color w:val="000000" w:themeColor="text1"/>
                <w:szCs w:val="21"/>
              </w:rPr>
              <w:t>。就医。</w:t>
            </w:r>
          </w:p>
        </w:tc>
      </w:tr>
      <w:tr w:rsidR="00697429" w:rsidRPr="00092862" w14:paraId="0B3E36C6" w14:textId="77777777" w:rsidTr="00C54C73">
        <w:trPr>
          <w:trHeight w:val="20"/>
          <w:jc w:val="center"/>
        </w:trPr>
        <w:tc>
          <w:tcPr>
            <w:tcW w:w="1821" w:type="dxa"/>
            <w:vAlign w:val="center"/>
          </w:tcPr>
          <w:p w14:paraId="298B030A"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吸入</w:t>
            </w:r>
          </w:p>
        </w:tc>
        <w:tc>
          <w:tcPr>
            <w:tcW w:w="6401" w:type="dxa"/>
            <w:gridSpan w:val="3"/>
            <w:vAlign w:val="center"/>
          </w:tcPr>
          <w:p w14:paraId="55006562"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脱离现场。脱去污染的衣着，至空气新鲜处，就医。防治吸入性肺炎。</w:t>
            </w:r>
          </w:p>
        </w:tc>
      </w:tr>
      <w:tr w:rsidR="00697429" w:rsidRPr="00092862" w14:paraId="01944DE0" w14:textId="77777777" w:rsidTr="00C54C73">
        <w:trPr>
          <w:trHeight w:val="20"/>
          <w:jc w:val="center"/>
        </w:trPr>
        <w:tc>
          <w:tcPr>
            <w:tcW w:w="1821" w:type="dxa"/>
            <w:vAlign w:val="center"/>
          </w:tcPr>
          <w:p w14:paraId="6CC7F90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误服</w:t>
            </w:r>
          </w:p>
        </w:tc>
        <w:tc>
          <w:tcPr>
            <w:tcW w:w="6401" w:type="dxa"/>
            <w:gridSpan w:val="3"/>
            <w:vAlign w:val="center"/>
          </w:tcPr>
          <w:p w14:paraId="4EAA97F4"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误服者饮牛奶或植物油，洗胃并灌肠，就医。</w:t>
            </w:r>
          </w:p>
        </w:tc>
      </w:tr>
      <w:tr w:rsidR="00697429" w:rsidRPr="00092862" w14:paraId="071E3D35" w14:textId="77777777" w:rsidTr="00C54C73">
        <w:trPr>
          <w:trHeight w:val="20"/>
          <w:jc w:val="center"/>
        </w:trPr>
        <w:tc>
          <w:tcPr>
            <w:tcW w:w="8222" w:type="dxa"/>
            <w:gridSpan w:val="4"/>
            <w:vAlign w:val="center"/>
          </w:tcPr>
          <w:p w14:paraId="317C42D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第三部分消防措施</w:t>
            </w:r>
          </w:p>
        </w:tc>
      </w:tr>
      <w:tr w:rsidR="00697429" w:rsidRPr="00092862" w14:paraId="77365F9C" w14:textId="77777777" w:rsidTr="00C54C73">
        <w:trPr>
          <w:trHeight w:val="20"/>
          <w:jc w:val="center"/>
        </w:trPr>
        <w:tc>
          <w:tcPr>
            <w:tcW w:w="1821" w:type="dxa"/>
            <w:vAlign w:val="center"/>
          </w:tcPr>
          <w:p w14:paraId="2E1ED13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危险特性</w:t>
            </w:r>
          </w:p>
        </w:tc>
        <w:tc>
          <w:tcPr>
            <w:tcW w:w="6401" w:type="dxa"/>
            <w:gridSpan w:val="3"/>
            <w:vAlign w:val="center"/>
          </w:tcPr>
          <w:p w14:paraId="6F4CFA9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遇明火、高热或与氧化剂接触，有引起燃烧爆炸的危险。若遇高热，容器内压增大，有开裂和爆炸的危险。</w:t>
            </w:r>
          </w:p>
        </w:tc>
      </w:tr>
      <w:tr w:rsidR="00697429" w:rsidRPr="00092862" w14:paraId="5CC8FB2A" w14:textId="77777777" w:rsidTr="00C54C73">
        <w:trPr>
          <w:trHeight w:val="20"/>
          <w:jc w:val="center"/>
        </w:trPr>
        <w:tc>
          <w:tcPr>
            <w:tcW w:w="1821" w:type="dxa"/>
            <w:vAlign w:val="center"/>
          </w:tcPr>
          <w:p w14:paraId="7BFEE9B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有害燃烧产物</w:t>
            </w:r>
          </w:p>
        </w:tc>
        <w:tc>
          <w:tcPr>
            <w:tcW w:w="6401" w:type="dxa"/>
            <w:gridSpan w:val="3"/>
            <w:vAlign w:val="center"/>
          </w:tcPr>
          <w:p w14:paraId="7D591008"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一氧化碳、二氧化碳。</w:t>
            </w:r>
          </w:p>
        </w:tc>
      </w:tr>
      <w:tr w:rsidR="00697429" w:rsidRPr="00092862" w14:paraId="21495F8C" w14:textId="77777777" w:rsidTr="00C54C73">
        <w:trPr>
          <w:trHeight w:val="20"/>
          <w:jc w:val="center"/>
        </w:trPr>
        <w:tc>
          <w:tcPr>
            <w:tcW w:w="1821" w:type="dxa"/>
            <w:vAlign w:val="center"/>
          </w:tcPr>
          <w:p w14:paraId="255868A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灭火方法灭火剂</w:t>
            </w:r>
          </w:p>
        </w:tc>
        <w:tc>
          <w:tcPr>
            <w:tcW w:w="6401" w:type="dxa"/>
            <w:gridSpan w:val="3"/>
            <w:vAlign w:val="center"/>
          </w:tcPr>
          <w:p w14:paraId="4BB2B15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泡沫、二氧化碳、干粉、砂土。</w:t>
            </w:r>
          </w:p>
        </w:tc>
      </w:tr>
      <w:tr w:rsidR="00697429" w:rsidRPr="00092862" w14:paraId="270D8937" w14:textId="77777777" w:rsidTr="00C54C73">
        <w:trPr>
          <w:trHeight w:val="20"/>
          <w:jc w:val="center"/>
        </w:trPr>
        <w:tc>
          <w:tcPr>
            <w:tcW w:w="8222" w:type="dxa"/>
            <w:gridSpan w:val="4"/>
            <w:vAlign w:val="center"/>
          </w:tcPr>
          <w:p w14:paraId="16E33FA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第四部分泄露应急处理</w:t>
            </w:r>
          </w:p>
        </w:tc>
      </w:tr>
      <w:tr w:rsidR="00697429" w:rsidRPr="00092862" w14:paraId="1069DF64" w14:textId="77777777" w:rsidTr="00C54C73">
        <w:trPr>
          <w:trHeight w:val="20"/>
          <w:jc w:val="center"/>
        </w:trPr>
        <w:tc>
          <w:tcPr>
            <w:tcW w:w="1821" w:type="dxa"/>
            <w:vAlign w:val="center"/>
          </w:tcPr>
          <w:p w14:paraId="4D55C883"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应急处理</w:t>
            </w:r>
          </w:p>
        </w:tc>
        <w:tc>
          <w:tcPr>
            <w:tcW w:w="6401" w:type="dxa"/>
            <w:gridSpan w:val="3"/>
            <w:vAlign w:val="center"/>
          </w:tcPr>
          <w:p w14:paraId="6EFA390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切断火源。应急处理人员戴好防毒面具，穿化学防护服。在确保安全情况下堵漏。用活性炭或其他惰性材料吸收，然后收集运到空旷处焚烧。如大量泄露，利用围堤收容，然后收集、转移、回收或无害处理后废弃。</w:t>
            </w:r>
          </w:p>
        </w:tc>
      </w:tr>
      <w:tr w:rsidR="00697429" w:rsidRPr="00092862" w14:paraId="7E47D6E2" w14:textId="77777777" w:rsidTr="00C54C73">
        <w:trPr>
          <w:trHeight w:val="20"/>
          <w:jc w:val="center"/>
        </w:trPr>
        <w:tc>
          <w:tcPr>
            <w:tcW w:w="8222" w:type="dxa"/>
            <w:gridSpan w:val="4"/>
            <w:vAlign w:val="center"/>
          </w:tcPr>
          <w:p w14:paraId="48ABB4E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第五部分操作处置与储存</w:t>
            </w:r>
          </w:p>
        </w:tc>
      </w:tr>
      <w:tr w:rsidR="00697429" w:rsidRPr="00092862" w14:paraId="53CC9914" w14:textId="77777777" w:rsidTr="00C54C73">
        <w:trPr>
          <w:trHeight w:val="20"/>
          <w:jc w:val="center"/>
        </w:trPr>
        <w:tc>
          <w:tcPr>
            <w:tcW w:w="1821" w:type="dxa"/>
            <w:vAlign w:val="center"/>
          </w:tcPr>
          <w:p w14:paraId="250B9B8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储存注意事项</w:t>
            </w:r>
          </w:p>
        </w:tc>
        <w:tc>
          <w:tcPr>
            <w:tcW w:w="6401" w:type="dxa"/>
            <w:gridSpan w:val="3"/>
            <w:vAlign w:val="center"/>
          </w:tcPr>
          <w:p w14:paraId="495B6F6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储存于阴凉、通风仓间内。远离火种、热源。保持容器密封。应与氧化剂分开存放。桶装堆垛不可过大，应留墙距、顶距、柱距及必要的防火检查走道。罐储时要有防火防爆技术措施。禁止使用易产生火花的机械设备和工具。充装要控制流速，注意防止静电积聚。搬运时轻装轻卸，防止包装及容器损坏。</w:t>
            </w:r>
          </w:p>
        </w:tc>
      </w:tr>
      <w:tr w:rsidR="00697429" w:rsidRPr="00092862" w14:paraId="4C7632E4" w14:textId="77777777" w:rsidTr="00C54C73">
        <w:trPr>
          <w:trHeight w:val="20"/>
          <w:jc w:val="center"/>
        </w:trPr>
        <w:tc>
          <w:tcPr>
            <w:tcW w:w="8222" w:type="dxa"/>
            <w:gridSpan w:val="4"/>
            <w:vAlign w:val="center"/>
          </w:tcPr>
          <w:p w14:paraId="6B1980FC"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第六部分接触控制</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个体防护</w:t>
            </w:r>
          </w:p>
        </w:tc>
      </w:tr>
      <w:tr w:rsidR="00697429" w:rsidRPr="00092862" w14:paraId="0724E4AA" w14:textId="77777777" w:rsidTr="00C54C73">
        <w:trPr>
          <w:trHeight w:val="20"/>
          <w:jc w:val="center"/>
        </w:trPr>
        <w:tc>
          <w:tcPr>
            <w:tcW w:w="1821" w:type="dxa"/>
            <w:vAlign w:val="center"/>
          </w:tcPr>
          <w:p w14:paraId="6D8B2BA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工程控制</w:t>
            </w:r>
          </w:p>
        </w:tc>
        <w:tc>
          <w:tcPr>
            <w:tcW w:w="6401" w:type="dxa"/>
            <w:gridSpan w:val="3"/>
            <w:vAlign w:val="center"/>
          </w:tcPr>
          <w:p w14:paraId="0F172CF8"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密闭操作，注意通风。</w:t>
            </w:r>
          </w:p>
        </w:tc>
      </w:tr>
      <w:tr w:rsidR="00697429" w:rsidRPr="00092862" w14:paraId="5753E976" w14:textId="77777777" w:rsidTr="00C54C73">
        <w:trPr>
          <w:trHeight w:val="20"/>
          <w:jc w:val="center"/>
        </w:trPr>
        <w:tc>
          <w:tcPr>
            <w:tcW w:w="1821" w:type="dxa"/>
            <w:vAlign w:val="center"/>
          </w:tcPr>
          <w:p w14:paraId="2D64F492"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眼睛防护</w:t>
            </w:r>
          </w:p>
        </w:tc>
        <w:tc>
          <w:tcPr>
            <w:tcW w:w="6401" w:type="dxa"/>
            <w:gridSpan w:val="3"/>
            <w:vAlign w:val="center"/>
          </w:tcPr>
          <w:p w14:paraId="15076254"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必要时戴安全防护眼镜。</w:t>
            </w:r>
          </w:p>
        </w:tc>
      </w:tr>
      <w:tr w:rsidR="00697429" w:rsidRPr="00092862" w14:paraId="580BFE5D" w14:textId="77777777" w:rsidTr="00C54C73">
        <w:trPr>
          <w:trHeight w:val="20"/>
          <w:jc w:val="center"/>
        </w:trPr>
        <w:tc>
          <w:tcPr>
            <w:tcW w:w="1821" w:type="dxa"/>
            <w:vAlign w:val="center"/>
          </w:tcPr>
          <w:p w14:paraId="49302F8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呼吸系统防护</w:t>
            </w:r>
          </w:p>
        </w:tc>
        <w:tc>
          <w:tcPr>
            <w:tcW w:w="6401" w:type="dxa"/>
            <w:gridSpan w:val="3"/>
            <w:vAlign w:val="center"/>
          </w:tcPr>
          <w:p w14:paraId="589B4752"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一般不需特殊防护，但建议特殊情况下，佩戴供气式呼吸器。</w:t>
            </w:r>
          </w:p>
        </w:tc>
      </w:tr>
      <w:tr w:rsidR="00697429" w:rsidRPr="00092862" w14:paraId="50237753" w14:textId="77777777" w:rsidTr="00C54C73">
        <w:trPr>
          <w:trHeight w:val="20"/>
          <w:jc w:val="center"/>
        </w:trPr>
        <w:tc>
          <w:tcPr>
            <w:tcW w:w="1821" w:type="dxa"/>
            <w:vAlign w:val="center"/>
          </w:tcPr>
          <w:p w14:paraId="5F2A0D0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身体防护</w:t>
            </w:r>
          </w:p>
        </w:tc>
        <w:tc>
          <w:tcPr>
            <w:tcW w:w="6401" w:type="dxa"/>
            <w:gridSpan w:val="3"/>
            <w:vAlign w:val="center"/>
          </w:tcPr>
          <w:p w14:paraId="6B41A352"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穿工作服。</w:t>
            </w:r>
          </w:p>
        </w:tc>
      </w:tr>
      <w:tr w:rsidR="00697429" w:rsidRPr="00092862" w14:paraId="10179A57" w14:textId="77777777" w:rsidTr="00C54C73">
        <w:trPr>
          <w:trHeight w:val="20"/>
          <w:jc w:val="center"/>
        </w:trPr>
        <w:tc>
          <w:tcPr>
            <w:tcW w:w="1821" w:type="dxa"/>
            <w:vAlign w:val="center"/>
          </w:tcPr>
          <w:p w14:paraId="7BA592C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手防护</w:t>
            </w:r>
          </w:p>
        </w:tc>
        <w:tc>
          <w:tcPr>
            <w:tcW w:w="6401" w:type="dxa"/>
            <w:gridSpan w:val="3"/>
            <w:vAlign w:val="center"/>
          </w:tcPr>
          <w:p w14:paraId="19FCBE2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必要时戴防护手套。</w:t>
            </w:r>
          </w:p>
        </w:tc>
      </w:tr>
      <w:tr w:rsidR="00697429" w:rsidRPr="00092862" w14:paraId="55FF536B" w14:textId="77777777" w:rsidTr="00C54C73">
        <w:trPr>
          <w:trHeight w:val="20"/>
          <w:jc w:val="center"/>
        </w:trPr>
        <w:tc>
          <w:tcPr>
            <w:tcW w:w="1821" w:type="dxa"/>
            <w:vAlign w:val="center"/>
          </w:tcPr>
          <w:p w14:paraId="7488A99C"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其他防护</w:t>
            </w:r>
          </w:p>
        </w:tc>
        <w:tc>
          <w:tcPr>
            <w:tcW w:w="6401" w:type="dxa"/>
            <w:gridSpan w:val="3"/>
            <w:vAlign w:val="center"/>
          </w:tcPr>
          <w:p w14:paraId="39DFB3B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工作现场严禁吸烟。避免长期反复接触。</w:t>
            </w:r>
          </w:p>
        </w:tc>
      </w:tr>
      <w:tr w:rsidR="00697429" w:rsidRPr="00092862" w14:paraId="31E5B1CC" w14:textId="77777777" w:rsidTr="00C54C73">
        <w:trPr>
          <w:trHeight w:val="20"/>
          <w:jc w:val="center"/>
        </w:trPr>
        <w:tc>
          <w:tcPr>
            <w:tcW w:w="8222" w:type="dxa"/>
            <w:gridSpan w:val="4"/>
            <w:vAlign w:val="center"/>
          </w:tcPr>
          <w:p w14:paraId="3F301014"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第七部分理化特性</w:t>
            </w:r>
          </w:p>
        </w:tc>
      </w:tr>
      <w:tr w:rsidR="00697429" w:rsidRPr="00092862" w14:paraId="50D9A826" w14:textId="77777777" w:rsidTr="00C54C73">
        <w:trPr>
          <w:trHeight w:val="20"/>
          <w:jc w:val="center"/>
        </w:trPr>
        <w:tc>
          <w:tcPr>
            <w:tcW w:w="1821" w:type="dxa"/>
            <w:vAlign w:val="center"/>
          </w:tcPr>
          <w:p w14:paraId="53E2B37A"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外观及性状</w:t>
            </w:r>
          </w:p>
        </w:tc>
        <w:tc>
          <w:tcPr>
            <w:tcW w:w="1948" w:type="dxa"/>
            <w:vAlign w:val="center"/>
          </w:tcPr>
          <w:p w14:paraId="3B0C3D64"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粘性棕色液体。</w:t>
            </w:r>
          </w:p>
        </w:tc>
        <w:tc>
          <w:tcPr>
            <w:tcW w:w="1883" w:type="dxa"/>
            <w:vAlign w:val="center"/>
          </w:tcPr>
          <w:p w14:paraId="5F9BF8A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闪点</w:t>
            </w:r>
            <w:r w:rsidRPr="00092862">
              <w:rPr>
                <w:rFonts w:ascii="Times New Roman" w:eastAsia="宋体" w:hAnsi="Times New Roman" w:cs="Times New Roman"/>
                <w:color w:val="000000" w:themeColor="text1"/>
                <w:szCs w:val="21"/>
              </w:rPr>
              <w:t>(℃)</w:t>
            </w:r>
          </w:p>
        </w:tc>
        <w:tc>
          <w:tcPr>
            <w:tcW w:w="2570" w:type="dxa"/>
            <w:vAlign w:val="center"/>
          </w:tcPr>
          <w:p w14:paraId="7D9ED18A"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55</w:t>
            </w:r>
          </w:p>
        </w:tc>
      </w:tr>
      <w:tr w:rsidR="00697429" w:rsidRPr="00092862" w14:paraId="58E84B5C" w14:textId="77777777" w:rsidTr="00C54C73">
        <w:trPr>
          <w:trHeight w:val="20"/>
          <w:jc w:val="center"/>
        </w:trPr>
        <w:tc>
          <w:tcPr>
            <w:tcW w:w="1821" w:type="dxa"/>
            <w:vAlign w:val="center"/>
          </w:tcPr>
          <w:p w14:paraId="49148DF3"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相对密度</w:t>
            </w:r>
          </w:p>
        </w:tc>
        <w:tc>
          <w:tcPr>
            <w:tcW w:w="1948" w:type="dxa"/>
            <w:vAlign w:val="center"/>
          </w:tcPr>
          <w:p w14:paraId="34967C7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0.87</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0.9(</w:t>
            </w:r>
            <w:r w:rsidRPr="00092862">
              <w:rPr>
                <w:rFonts w:ascii="Times New Roman" w:eastAsia="宋体" w:hAnsi="Times New Roman" w:cs="Times New Roman"/>
                <w:color w:val="000000" w:themeColor="text1"/>
                <w:szCs w:val="21"/>
              </w:rPr>
              <w:t>水</w:t>
            </w:r>
            <w:r w:rsidRPr="00092862">
              <w:rPr>
                <w:rFonts w:ascii="Times New Roman" w:eastAsia="宋体" w:hAnsi="Times New Roman" w:cs="Times New Roman"/>
                <w:color w:val="000000" w:themeColor="text1"/>
                <w:szCs w:val="21"/>
              </w:rPr>
              <w:t>=1)</w:t>
            </w:r>
          </w:p>
        </w:tc>
        <w:tc>
          <w:tcPr>
            <w:tcW w:w="1883" w:type="dxa"/>
            <w:vAlign w:val="center"/>
          </w:tcPr>
          <w:p w14:paraId="0C30DABD"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爆炸下限</w:t>
            </w:r>
            <w:r w:rsidRPr="00092862">
              <w:rPr>
                <w:rFonts w:ascii="Times New Roman" w:eastAsia="宋体" w:hAnsi="Times New Roman" w:cs="Times New Roman"/>
                <w:color w:val="000000" w:themeColor="text1"/>
                <w:szCs w:val="21"/>
              </w:rPr>
              <w:t>(V%)</w:t>
            </w:r>
          </w:p>
        </w:tc>
        <w:tc>
          <w:tcPr>
            <w:tcW w:w="2570" w:type="dxa"/>
            <w:vAlign w:val="center"/>
          </w:tcPr>
          <w:p w14:paraId="4944366A"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w:t>
            </w:r>
          </w:p>
        </w:tc>
      </w:tr>
      <w:tr w:rsidR="00697429" w:rsidRPr="00092862" w14:paraId="406AB01C" w14:textId="77777777" w:rsidTr="00C54C73">
        <w:trPr>
          <w:trHeight w:val="20"/>
          <w:jc w:val="center"/>
        </w:trPr>
        <w:tc>
          <w:tcPr>
            <w:tcW w:w="1821" w:type="dxa"/>
            <w:vAlign w:val="center"/>
          </w:tcPr>
          <w:p w14:paraId="629FF3D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相对密度</w:t>
            </w:r>
          </w:p>
        </w:tc>
        <w:tc>
          <w:tcPr>
            <w:tcW w:w="1948" w:type="dxa"/>
            <w:vAlign w:val="center"/>
          </w:tcPr>
          <w:p w14:paraId="2D5B779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3.5(</w:t>
            </w:r>
            <w:r w:rsidRPr="00092862">
              <w:rPr>
                <w:rFonts w:ascii="Times New Roman" w:eastAsia="宋体" w:hAnsi="Times New Roman" w:cs="Times New Roman"/>
                <w:color w:val="000000" w:themeColor="text1"/>
                <w:szCs w:val="21"/>
              </w:rPr>
              <w:t>空气</w:t>
            </w:r>
            <w:r w:rsidRPr="00092862">
              <w:rPr>
                <w:rFonts w:ascii="Times New Roman" w:eastAsia="宋体" w:hAnsi="Times New Roman" w:cs="Times New Roman"/>
                <w:color w:val="000000" w:themeColor="text1"/>
                <w:szCs w:val="21"/>
              </w:rPr>
              <w:t>=1)</w:t>
            </w:r>
          </w:p>
        </w:tc>
        <w:tc>
          <w:tcPr>
            <w:tcW w:w="1883" w:type="dxa"/>
            <w:vAlign w:val="center"/>
          </w:tcPr>
          <w:p w14:paraId="2908DEC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爆炸上限</w:t>
            </w:r>
            <w:r w:rsidRPr="00092862">
              <w:rPr>
                <w:rFonts w:ascii="Times New Roman" w:eastAsia="宋体" w:hAnsi="Times New Roman" w:cs="Times New Roman"/>
                <w:color w:val="000000" w:themeColor="text1"/>
                <w:szCs w:val="21"/>
              </w:rPr>
              <w:t>(V%)</w:t>
            </w:r>
          </w:p>
        </w:tc>
        <w:tc>
          <w:tcPr>
            <w:tcW w:w="2570" w:type="dxa"/>
            <w:vAlign w:val="center"/>
          </w:tcPr>
          <w:p w14:paraId="54579E8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4.5</w:t>
            </w:r>
          </w:p>
        </w:tc>
      </w:tr>
      <w:tr w:rsidR="00697429" w:rsidRPr="00092862" w14:paraId="056D4B1E" w14:textId="77777777" w:rsidTr="00C54C73">
        <w:trPr>
          <w:trHeight w:val="20"/>
          <w:jc w:val="center"/>
        </w:trPr>
        <w:tc>
          <w:tcPr>
            <w:tcW w:w="1821" w:type="dxa"/>
            <w:vAlign w:val="center"/>
          </w:tcPr>
          <w:p w14:paraId="57F30C0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引燃温度</w:t>
            </w:r>
            <w:r w:rsidRPr="00092862">
              <w:rPr>
                <w:rFonts w:ascii="Times New Roman" w:eastAsia="宋体" w:hAnsi="Times New Roman" w:cs="Times New Roman"/>
                <w:color w:val="000000" w:themeColor="text1"/>
                <w:szCs w:val="21"/>
              </w:rPr>
              <w:t>(℃)</w:t>
            </w:r>
          </w:p>
        </w:tc>
        <w:tc>
          <w:tcPr>
            <w:tcW w:w="1948" w:type="dxa"/>
            <w:vAlign w:val="center"/>
          </w:tcPr>
          <w:p w14:paraId="2221F51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257</w:t>
            </w:r>
          </w:p>
        </w:tc>
        <w:tc>
          <w:tcPr>
            <w:tcW w:w="1883" w:type="dxa"/>
            <w:vAlign w:val="center"/>
          </w:tcPr>
          <w:p w14:paraId="0BC426D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用途</w:t>
            </w:r>
          </w:p>
        </w:tc>
        <w:tc>
          <w:tcPr>
            <w:tcW w:w="2570" w:type="dxa"/>
            <w:vAlign w:val="center"/>
          </w:tcPr>
          <w:p w14:paraId="7F128B0C"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用作柴油机的燃料。</w:t>
            </w:r>
          </w:p>
        </w:tc>
      </w:tr>
      <w:tr w:rsidR="00697429" w:rsidRPr="00092862" w14:paraId="3684BE16" w14:textId="77777777" w:rsidTr="00C54C73">
        <w:trPr>
          <w:trHeight w:val="20"/>
          <w:jc w:val="center"/>
        </w:trPr>
        <w:tc>
          <w:tcPr>
            <w:tcW w:w="1821" w:type="dxa"/>
            <w:vAlign w:val="center"/>
          </w:tcPr>
          <w:p w14:paraId="4CE765D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溶解性</w:t>
            </w:r>
          </w:p>
        </w:tc>
        <w:tc>
          <w:tcPr>
            <w:tcW w:w="6401" w:type="dxa"/>
            <w:gridSpan w:val="3"/>
            <w:vAlign w:val="center"/>
          </w:tcPr>
          <w:p w14:paraId="643A957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不溶于水，易溶于苯、二硫化碳、醇，易溶于脂肪。</w:t>
            </w:r>
          </w:p>
        </w:tc>
      </w:tr>
      <w:tr w:rsidR="00697429" w:rsidRPr="00092862" w14:paraId="6723EF3F" w14:textId="77777777" w:rsidTr="00C54C73">
        <w:trPr>
          <w:trHeight w:val="20"/>
          <w:jc w:val="center"/>
        </w:trPr>
        <w:tc>
          <w:tcPr>
            <w:tcW w:w="8222" w:type="dxa"/>
            <w:gridSpan w:val="4"/>
            <w:vAlign w:val="center"/>
          </w:tcPr>
          <w:p w14:paraId="1D7D334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第八部分稳定性及化学活性</w:t>
            </w:r>
          </w:p>
        </w:tc>
      </w:tr>
      <w:tr w:rsidR="00697429" w:rsidRPr="00092862" w14:paraId="5B58AF69" w14:textId="77777777" w:rsidTr="00C54C73">
        <w:trPr>
          <w:trHeight w:val="20"/>
          <w:jc w:val="center"/>
        </w:trPr>
        <w:tc>
          <w:tcPr>
            <w:tcW w:w="1821" w:type="dxa"/>
            <w:vAlign w:val="center"/>
          </w:tcPr>
          <w:p w14:paraId="689E2B4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稳定性</w:t>
            </w:r>
          </w:p>
        </w:tc>
        <w:tc>
          <w:tcPr>
            <w:tcW w:w="1948" w:type="dxa"/>
            <w:vAlign w:val="center"/>
          </w:tcPr>
          <w:p w14:paraId="16EF82D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稳定</w:t>
            </w:r>
          </w:p>
        </w:tc>
        <w:tc>
          <w:tcPr>
            <w:tcW w:w="1883" w:type="dxa"/>
            <w:vAlign w:val="center"/>
          </w:tcPr>
          <w:p w14:paraId="7D7B141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避免接触的条件</w:t>
            </w:r>
          </w:p>
        </w:tc>
        <w:tc>
          <w:tcPr>
            <w:tcW w:w="2570" w:type="dxa"/>
            <w:vAlign w:val="center"/>
          </w:tcPr>
          <w:p w14:paraId="75BFD4E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明火、高热</w:t>
            </w:r>
          </w:p>
        </w:tc>
      </w:tr>
      <w:tr w:rsidR="00697429" w:rsidRPr="00092862" w14:paraId="4AE8D4B1" w14:textId="77777777" w:rsidTr="00C54C73">
        <w:trPr>
          <w:trHeight w:val="20"/>
          <w:jc w:val="center"/>
        </w:trPr>
        <w:tc>
          <w:tcPr>
            <w:tcW w:w="1821" w:type="dxa"/>
            <w:vAlign w:val="center"/>
          </w:tcPr>
          <w:p w14:paraId="744E4035"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禁配物</w:t>
            </w:r>
          </w:p>
        </w:tc>
        <w:tc>
          <w:tcPr>
            <w:tcW w:w="1948" w:type="dxa"/>
            <w:vAlign w:val="center"/>
          </w:tcPr>
          <w:p w14:paraId="7902352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强氧化剂、卤素</w:t>
            </w:r>
          </w:p>
        </w:tc>
        <w:tc>
          <w:tcPr>
            <w:tcW w:w="1883" w:type="dxa"/>
            <w:vAlign w:val="center"/>
          </w:tcPr>
          <w:p w14:paraId="64BD00D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聚合危害</w:t>
            </w:r>
          </w:p>
        </w:tc>
        <w:tc>
          <w:tcPr>
            <w:tcW w:w="2570" w:type="dxa"/>
            <w:vAlign w:val="center"/>
          </w:tcPr>
          <w:p w14:paraId="41D60774"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不能出现。</w:t>
            </w:r>
          </w:p>
        </w:tc>
      </w:tr>
      <w:tr w:rsidR="00697429" w:rsidRPr="00092862" w14:paraId="489B8B9C" w14:textId="77777777" w:rsidTr="00C54C73">
        <w:trPr>
          <w:trHeight w:val="20"/>
          <w:jc w:val="center"/>
        </w:trPr>
        <w:tc>
          <w:tcPr>
            <w:tcW w:w="1821" w:type="dxa"/>
            <w:vAlign w:val="center"/>
          </w:tcPr>
          <w:p w14:paraId="6134653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分解产物</w:t>
            </w:r>
          </w:p>
        </w:tc>
        <w:tc>
          <w:tcPr>
            <w:tcW w:w="6401" w:type="dxa"/>
            <w:gridSpan w:val="3"/>
            <w:vAlign w:val="center"/>
          </w:tcPr>
          <w:p w14:paraId="321AC8F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一氧化碳、二氧化碳。</w:t>
            </w:r>
          </w:p>
        </w:tc>
      </w:tr>
    </w:tbl>
    <w:p w14:paraId="1247B325"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8</w:t>
      </w:r>
      <w:r w:rsidRPr="00092862">
        <w:rPr>
          <w:rFonts w:ascii="Times New Roman" w:eastAsia="宋体" w:hAnsi="Times New Roman" w:cs="Times New Roman"/>
          <w:b/>
          <w:bCs/>
          <w:color w:val="000000" w:themeColor="text1"/>
          <w:sz w:val="24"/>
          <w:szCs w:val="24"/>
        </w:rPr>
        <w:t>）废油</w:t>
      </w:r>
    </w:p>
    <w:p w14:paraId="63B0534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项目钻井使用设备过程中，或多或少会产生一些废油，主要是设备润滑、保养产生的废机油。废油主要分布于油桶里面，其特性和润滑油差不多。废油对眼睛、皮肤、粘膜和上呼吸道具有刺激作用。吸入后，可引起喉、支气管的火症、水肿、痉挛、化学性肺炎或肺水肿。接触后可引起燃灼感、咳嗽、喘息、气短、头痛、恶心和呕吐等。皮肤接触可发生接触性皮炎及油疹，可致急性肾脏损害，吸入其雾滴或液体呛入可引起吸入性肺炎。结合工程项目的实际情况，主要危害为废油泄露后地表水、地下水和土壤的影响。</w:t>
      </w:r>
    </w:p>
    <w:p w14:paraId="7E76C305"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9</w:t>
      </w:r>
      <w:r w:rsidRPr="00092862">
        <w:rPr>
          <w:rFonts w:ascii="Times New Roman" w:eastAsia="宋体" w:hAnsi="Times New Roman" w:cs="Times New Roman"/>
          <w:b/>
          <w:bCs/>
          <w:color w:val="000000" w:themeColor="text1"/>
          <w:sz w:val="24"/>
          <w:szCs w:val="24"/>
        </w:rPr>
        <w:t>）二氧化硫</w:t>
      </w:r>
    </w:p>
    <w:p w14:paraId="2D2491E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SO</w:t>
      </w:r>
      <w:r w:rsidRPr="00092862">
        <w:rPr>
          <w:rFonts w:ascii="Times New Roman" w:eastAsia="宋体" w:hAnsi="Times New Roman" w:cs="Times New Roman"/>
          <w:bCs/>
          <w:color w:val="000000" w:themeColor="text1"/>
          <w:sz w:val="24"/>
          <w:szCs w:val="24"/>
          <w:vertAlign w:val="subscript"/>
        </w:rPr>
        <w:t>2</w:t>
      </w:r>
      <w:r w:rsidRPr="00092862">
        <w:rPr>
          <w:rFonts w:ascii="Times New Roman" w:eastAsia="宋体" w:hAnsi="Times New Roman" w:cs="Times New Roman"/>
          <w:bCs/>
          <w:color w:val="000000" w:themeColor="text1"/>
          <w:sz w:val="24"/>
          <w:szCs w:val="24"/>
        </w:rPr>
        <w:t>为无色气体，具有窒息性特臭。易被湿润的粘膜表面吸收生成亚硫酸、硫酸。对眼及呼吸道粘膜有强烈的刺激作用。大量吸入可引起肺水肿、喉水肿、声带痉挛而致窒息。</w:t>
      </w:r>
    </w:p>
    <w:p w14:paraId="6EFEF55B" w14:textId="441F5491"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二氧化硫对人的生理影响及危害</w:t>
      </w:r>
    </w:p>
    <w:tbl>
      <w:tblPr>
        <w:tblStyle w:val="aff"/>
        <w:tblW w:w="0" w:type="auto"/>
        <w:tblLook w:val="04A0" w:firstRow="1" w:lastRow="0" w:firstColumn="1" w:lastColumn="0" w:noHBand="0" w:noVBand="1"/>
      </w:tblPr>
      <w:tblGrid>
        <w:gridCol w:w="899"/>
        <w:gridCol w:w="636"/>
        <w:gridCol w:w="899"/>
        <w:gridCol w:w="5866"/>
      </w:tblGrid>
      <w:tr w:rsidR="00697429" w:rsidRPr="00092862" w14:paraId="4FAF77A2" w14:textId="77777777" w:rsidTr="00C54C73">
        <w:tc>
          <w:tcPr>
            <w:tcW w:w="0" w:type="auto"/>
            <w:gridSpan w:val="3"/>
            <w:vAlign w:val="center"/>
          </w:tcPr>
          <w:p w14:paraId="4617901B"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在空气中的浓度</w:t>
            </w:r>
          </w:p>
        </w:tc>
        <w:tc>
          <w:tcPr>
            <w:tcW w:w="0" w:type="auto"/>
            <w:vMerge w:val="restart"/>
            <w:vAlign w:val="center"/>
          </w:tcPr>
          <w:p w14:paraId="110032F4"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暴露于二氧化硫的典型特性</w:t>
            </w:r>
          </w:p>
        </w:tc>
      </w:tr>
      <w:tr w:rsidR="00697429" w:rsidRPr="00092862" w14:paraId="58C21FE5" w14:textId="77777777" w:rsidTr="00C54C73">
        <w:tc>
          <w:tcPr>
            <w:tcW w:w="0" w:type="auto"/>
            <w:vAlign w:val="center"/>
          </w:tcPr>
          <w:p w14:paraId="198D5626"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V</w:t>
            </w:r>
            <w:r w:rsidRPr="00092862">
              <w:rPr>
                <w:rFonts w:ascii="Times New Roman" w:eastAsia="宋体" w:hAnsi="Times New Roman" w:cs="Times New Roman"/>
                <w:color w:val="000000" w:themeColor="text1"/>
                <w:szCs w:val="21"/>
              </w:rPr>
              <w:t>）</w:t>
            </w:r>
          </w:p>
        </w:tc>
        <w:tc>
          <w:tcPr>
            <w:tcW w:w="0" w:type="auto"/>
            <w:vAlign w:val="center"/>
          </w:tcPr>
          <w:p w14:paraId="5E2EB08B"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ppm</w:t>
            </w:r>
          </w:p>
        </w:tc>
        <w:tc>
          <w:tcPr>
            <w:tcW w:w="0" w:type="auto"/>
            <w:vAlign w:val="center"/>
          </w:tcPr>
          <w:p w14:paraId="40379BF0"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mg/m</w:t>
            </w:r>
            <w:r w:rsidRPr="00092862">
              <w:rPr>
                <w:rFonts w:ascii="Times New Roman" w:eastAsia="宋体" w:hAnsi="Times New Roman" w:cs="Times New Roman"/>
                <w:color w:val="000000" w:themeColor="text1"/>
                <w:szCs w:val="21"/>
                <w:vertAlign w:val="superscript"/>
              </w:rPr>
              <w:t>3</w:t>
            </w:r>
          </w:p>
        </w:tc>
        <w:tc>
          <w:tcPr>
            <w:tcW w:w="0" w:type="auto"/>
            <w:vMerge/>
            <w:vAlign w:val="center"/>
          </w:tcPr>
          <w:p w14:paraId="30661F0E"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p>
        </w:tc>
      </w:tr>
      <w:tr w:rsidR="00697429" w:rsidRPr="00092862" w14:paraId="576716EC" w14:textId="77777777" w:rsidTr="00C54C73">
        <w:tc>
          <w:tcPr>
            <w:tcW w:w="0" w:type="auto"/>
            <w:vAlign w:val="center"/>
          </w:tcPr>
          <w:p w14:paraId="2A4E7CCB"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0.0001</w:t>
            </w:r>
          </w:p>
        </w:tc>
        <w:tc>
          <w:tcPr>
            <w:tcW w:w="0" w:type="auto"/>
            <w:vAlign w:val="center"/>
          </w:tcPr>
          <w:p w14:paraId="2016411A"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w:t>
            </w:r>
          </w:p>
        </w:tc>
        <w:tc>
          <w:tcPr>
            <w:tcW w:w="0" w:type="auto"/>
            <w:vAlign w:val="center"/>
          </w:tcPr>
          <w:p w14:paraId="10CC559E"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2.71</w:t>
            </w:r>
          </w:p>
        </w:tc>
        <w:tc>
          <w:tcPr>
            <w:tcW w:w="0" w:type="auto"/>
            <w:vAlign w:val="center"/>
          </w:tcPr>
          <w:p w14:paraId="09FD59B4"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具有刺激性气味，可能引起呼吸改变</w:t>
            </w:r>
          </w:p>
        </w:tc>
      </w:tr>
      <w:tr w:rsidR="00697429" w:rsidRPr="00092862" w14:paraId="083B283E" w14:textId="77777777" w:rsidTr="00C54C73">
        <w:tc>
          <w:tcPr>
            <w:tcW w:w="0" w:type="auto"/>
            <w:vAlign w:val="center"/>
          </w:tcPr>
          <w:p w14:paraId="28E72EFB"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0.0002</w:t>
            </w:r>
          </w:p>
        </w:tc>
        <w:tc>
          <w:tcPr>
            <w:tcW w:w="0" w:type="auto"/>
            <w:vAlign w:val="center"/>
          </w:tcPr>
          <w:p w14:paraId="48022574"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w:t>
            </w:r>
          </w:p>
        </w:tc>
        <w:tc>
          <w:tcPr>
            <w:tcW w:w="0" w:type="auto"/>
            <w:vAlign w:val="center"/>
          </w:tcPr>
          <w:p w14:paraId="1563BDEB"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5.4</w:t>
            </w:r>
          </w:p>
        </w:tc>
        <w:tc>
          <w:tcPr>
            <w:tcW w:w="0" w:type="auto"/>
            <w:vAlign w:val="center"/>
          </w:tcPr>
          <w:p w14:paraId="2E798DA1"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ACGIH TLV</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NIOSH REL</w:t>
            </w:r>
            <w:r w:rsidRPr="00092862">
              <w:rPr>
                <w:rFonts w:ascii="Times New Roman" w:eastAsia="宋体" w:hAnsi="Times New Roman" w:cs="Times New Roman"/>
                <w:color w:val="000000" w:themeColor="text1"/>
                <w:szCs w:val="21"/>
              </w:rPr>
              <w:t>，我国规定的阈限值</w:t>
            </w:r>
          </w:p>
        </w:tc>
      </w:tr>
      <w:tr w:rsidR="00697429" w:rsidRPr="00092862" w14:paraId="51D57B9E" w14:textId="77777777" w:rsidTr="00C54C73">
        <w:tc>
          <w:tcPr>
            <w:tcW w:w="0" w:type="auto"/>
            <w:vAlign w:val="center"/>
          </w:tcPr>
          <w:p w14:paraId="60838253"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0.0005</w:t>
            </w:r>
          </w:p>
        </w:tc>
        <w:tc>
          <w:tcPr>
            <w:tcW w:w="0" w:type="auto"/>
            <w:vAlign w:val="center"/>
          </w:tcPr>
          <w:p w14:paraId="302BA603"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p>
        </w:tc>
        <w:tc>
          <w:tcPr>
            <w:tcW w:w="0" w:type="auto"/>
            <w:vAlign w:val="center"/>
          </w:tcPr>
          <w:p w14:paraId="158C7E3C"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13.50</w:t>
            </w:r>
          </w:p>
        </w:tc>
        <w:tc>
          <w:tcPr>
            <w:tcW w:w="0" w:type="auto"/>
            <w:vAlign w:val="center"/>
          </w:tcPr>
          <w:p w14:paraId="49D37FAA"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灼伤眼睛，刺激呼吸，对嗓子有较小的刺激</w:t>
            </w:r>
          </w:p>
        </w:tc>
      </w:tr>
      <w:tr w:rsidR="00697429" w:rsidRPr="00092862" w14:paraId="4AD49F88" w14:textId="77777777" w:rsidTr="00C54C73">
        <w:tc>
          <w:tcPr>
            <w:tcW w:w="0" w:type="auto"/>
            <w:vAlign w:val="center"/>
          </w:tcPr>
          <w:p w14:paraId="05F43498"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0.0012</w:t>
            </w:r>
          </w:p>
        </w:tc>
        <w:tc>
          <w:tcPr>
            <w:tcW w:w="0" w:type="auto"/>
            <w:vAlign w:val="center"/>
          </w:tcPr>
          <w:p w14:paraId="049256AE"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12</w:t>
            </w:r>
          </w:p>
        </w:tc>
        <w:tc>
          <w:tcPr>
            <w:tcW w:w="0" w:type="auto"/>
            <w:vAlign w:val="center"/>
          </w:tcPr>
          <w:p w14:paraId="7D14122C"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32.49</w:t>
            </w:r>
          </w:p>
        </w:tc>
        <w:tc>
          <w:tcPr>
            <w:tcW w:w="0" w:type="auto"/>
            <w:vAlign w:val="center"/>
          </w:tcPr>
          <w:p w14:paraId="060A0E56"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刺激嗓子咳嗽，胸腔收缩，流眼泪和恶心</w:t>
            </w:r>
          </w:p>
        </w:tc>
      </w:tr>
      <w:tr w:rsidR="00697429" w:rsidRPr="00092862" w14:paraId="29D8FBD1" w14:textId="77777777" w:rsidTr="00C54C73">
        <w:tc>
          <w:tcPr>
            <w:tcW w:w="0" w:type="auto"/>
            <w:vAlign w:val="center"/>
          </w:tcPr>
          <w:p w14:paraId="59F8F747"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0.010</w:t>
            </w:r>
          </w:p>
        </w:tc>
        <w:tc>
          <w:tcPr>
            <w:tcW w:w="0" w:type="auto"/>
            <w:vAlign w:val="center"/>
          </w:tcPr>
          <w:p w14:paraId="3F333496"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w:t>
            </w:r>
          </w:p>
        </w:tc>
        <w:tc>
          <w:tcPr>
            <w:tcW w:w="0" w:type="auto"/>
            <w:vAlign w:val="center"/>
          </w:tcPr>
          <w:p w14:paraId="2A753782"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271.00</w:t>
            </w:r>
          </w:p>
        </w:tc>
        <w:tc>
          <w:tcPr>
            <w:tcW w:w="0" w:type="auto"/>
            <w:vAlign w:val="center"/>
          </w:tcPr>
          <w:p w14:paraId="6DDF47F9"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立即对生命和健康产生危险的浓度（</w:t>
            </w:r>
            <w:r w:rsidRPr="00092862">
              <w:rPr>
                <w:rFonts w:ascii="Times New Roman" w:eastAsia="宋体" w:hAnsi="Times New Roman" w:cs="Times New Roman"/>
                <w:color w:val="000000" w:themeColor="text1"/>
                <w:szCs w:val="21"/>
              </w:rPr>
              <w:t>IDLH</w:t>
            </w:r>
            <w:r w:rsidRPr="00092862">
              <w:rPr>
                <w:rFonts w:ascii="Times New Roman" w:eastAsia="宋体" w:hAnsi="Times New Roman" w:cs="Times New Roman"/>
                <w:color w:val="000000" w:themeColor="text1"/>
                <w:szCs w:val="21"/>
              </w:rPr>
              <w:t>），见</w:t>
            </w:r>
            <w:r w:rsidRPr="00092862">
              <w:rPr>
                <w:rFonts w:ascii="Times New Roman" w:eastAsia="宋体" w:hAnsi="Times New Roman" w:cs="Times New Roman"/>
                <w:color w:val="000000" w:themeColor="text1"/>
                <w:szCs w:val="21"/>
              </w:rPr>
              <w:t>DHHS No.85-114</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 xml:space="preserve">NOISH </w:t>
            </w:r>
            <w:r w:rsidRPr="00092862">
              <w:rPr>
                <w:rFonts w:ascii="Times New Roman" w:eastAsia="宋体" w:hAnsi="Times New Roman" w:cs="Times New Roman"/>
                <w:color w:val="000000" w:themeColor="text1"/>
                <w:szCs w:val="21"/>
              </w:rPr>
              <w:t>化学危险品手册</w:t>
            </w:r>
          </w:p>
        </w:tc>
      </w:tr>
      <w:tr w:rsidR="00697429" w:rsidRPr="00092862" w14:paraId="1D0547F7" w14:textId="77777777" w:rsidTr="00C54C73">
        <w:tc>
          <w:tcPr>
            <w:tcW w:w="0" w:type="auto"/>
            <w:vAlign w:val="center"/>
          </w:tcPr>
          <w:p w14:paraId="04414B2F"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0.015</w:t>
            </w:r>
          </w:p>
        </w:tc>
        <w:tc>
          <w:tcPr>
            <w:tcW w:w="0" w:type="auto"/>
            <w:vAlign w:val="center"/>
          </w:tcPr>
          <w:p w14:paraId="57EDFDC6"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150</w:t>
            </w:r>
          </w:p>
        </w:tc>
        <w:tc>
          <w:tcPr>
            <w:tcW w:w="0" w:type="auto"/>
            <w:vAlign w:val="center"/>
          </w:tcPr>
          <w:p w14:paraId="602D7B81"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406.35</w:t>
            </w:r>
          </w:p>
        </w:tc>
        <w:tc>
          <w:tcPr>
            <w:tcW w:w="0" w:type="auto"/>
            <w:vAlign w:val="center"/>
          </w:tcPr>
          <w:p w14:paraId="4BE7F741"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产生强烈的刺激，只能忍受几分钟</w:t>
            </w:r>
          </w:p>
        </w:tc>
      </w:tr>
      <w:tr w:rsidR="00697429" w:rsidRPr="00092862" w14:paraId="79084D62" w14:textId="77777777" w:rsidTr="00C54C73">
        <w:tc>
          <w:tcPr>
            <w:tcW w:w="0" w:type="auto"/>
            <w:vAlign w:val="center"/>
          </w:tcPr>
          <w:p w14:paraId="6EA68FEA"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0.05</w:t>
            </w:r>
          </w:p>
        </w:tc>
        <w:tc>
          <w:tcPr>
            <w:tcW w:w="0" w:type="auto"/>
            <w:vAlign w:val="center"/>
          </w:tcPr>
          <w:p w14:paraId="06EC0543"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500</w:t>
            </w:r>
          </w:p>
        </w:tc>
        <w:tc>
          <w:tcPr>
            <w:tcW w:w="0" w:type="auto"/>
            <w:vAlign w:val="center"/>
          </w:tcPr>
          <w:p w14:paraId="27929B8E"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1354.50</w:t>
            </w:r>
          </w:p>
        </w:tc>
        <w:tc>
          <w:tcPr>
            <w:tcW w:w="0" w:type="auto"/>
            <w:vAlign w:val="center"/>
          </w:tcPr>
          <w:p w14:paraId="3E66639D"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即使吸入一口，就产生窒息感。应立即救治，提供人工呼吸或心肺复苏技术（</w:t>
            </w:r>
            <w:r w:rsidRPr="00092862">
              <w:rPr>
                <w:rFonts w:ascii="Times New Roman" w:eastAsia="宋体" w:hAnsi="Times New Roman" w:cs="Times New Roman"/>
                <w:color w:val="000000" w:themeColor="text1"/>
                <w:szCs w:val="21"/>
              </w:rPr>
              <w:t>CPR</w:t>
            </w:r>
            <w:r w:rsidRPr="00092862">
              <w:rPr>
                <w:rFonts w:ascii="Times New Roman" w:eastAsia="宋体" w:hAnsi="Times New Roman" w:cs="Times New Roman"/>
                <w:color w:val="000000" w:themeColor="text1"/>
                <w:szCs w:val="21"/>
              </w:rPr>
              <w:t>）</w:t>
            </w:r>
          </w:p>
        </w:tc>
      </w:tr>
      <w:tr w:rsidR="00697429" w:rsidRPr="00092862" w14:paraId="1389D8E3" w14:textId="77777777" w:rsidTr="00C54C73">
        <w:tc>
          <w:tcPr>
            <w:tcW w:w="0" w:type="auto"/>
            <w:vAlign w:val="center"/>
          </w:tcPr>
          <w:p w14:paraId="4E8D9027"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0.10</w:t>
            </w:r>
          </w:p>
        </w:tc>
        <w:tc>
          <w:tcPr>
            <w:tcW w:w="0" w:type="auto"/>
            <w:vAlign w:val="center"/>
          </w:tcPr>
          <w:p w14:paraId="27E00335"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1000</w:t>
            </w:r>
          </w:p>
        </w:tc>
        <w:tc>
          <w:tcPr>
            <w:tcW w:w="0" w:type="auto"/>
            <w:vAlign w:val="center"/>
          </w:tcPr>
          <w:p w14:paraId="57E7D654"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2708.99</w:t>
            </w:r>
          </w:p>
        </w:tc>
        <w:tc>
          <w:tcPr>
            <w:tcW w:w="0" w:type="auto"/>
            <w:vAlign w:val="center"/>
          </w:tcPr>
          <w:p w14:paraId="741638B1"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如不立即救治会导致死亡，应马上进行人工呼吸或心肺复苏（</w:t>
            </w:r>
            <w:r w:rsidRPr="00092862">
              <w:rPr>
                <w:rFonts w:ascii="Times New Roman" w:eastAsia="宋体" w:hAnsi="Times New Roman" w:cs="Times New Roman"/>
                <w:color w:val="000000" w:themeColor="text1"/>
                <w:szCs w:val="21"/>
              </w:rPr>
              <w:t>CPR</w:t>
            </w:r>
            <w:r w:rsidRPr="00092862">
              <w:rPr>
                <w:rFonts w:ascii="Times New Roman" w:eastAsia="宋体" w:hAnsi="Times New Roman" w:cs="Times New Roman"/>
                <w:color w:val="000000" w:themeColor="text1"/>
                <w:szCs w:val="21"/>
              </w:rPr>
              <w:t>）</w:t>
            </w:r>
          </w:p>
        </w:tc>
      </w:tr>
      <w:tr w:rsidR="00697429" w:rsidRPr="00092862" w14:paraId="2EF7775C" w14:textId="77777777" w:rsidTr="00C54C73">
        <w:tc>
          <w:tcPr>
            <w:tcW w:w="0" w:type="auto"/>
            <w:gridSpan w:val="4"/>
            <w:vAlign w:val="center"/>
          </w:tcPr>
          <w:p w14:paraId="2A52363C" w14:textId="77777777" w:rsidR="00450025" w:rsidRPr="00092862" w:rsidRDefault="00450025" w:rsidP="00C54C73">
            <w:pPr>
              <w:adjustRightInd w:val="0"/>
              <w:snapToGrid w:val="0"/>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注：表中数据来源于《含硫化氢油气井安全钻井推荐作法》（</w:t>
            </w:r>
            <w:r w:rsidRPr="00092862">
              <w:rPr>
                <w:rFonts w:ascii="Times New Roman" w:eastAsia="宋体" w:hAnsi="Times New Roman" w:cs="Times New Roman"/>
                <w:bCs/>
                <w:color w:val="000000" w:themeColor="text1"/>
                <w:szCs w:val="21"/>
              </w:rPr>
              <w:t>SY/T5087-2005</w:t>
            </w:r>
            <w:r w:rsidRPr="00092862">
              <w:rPr>
                <w:rFonts w:ascii="Times New Roman" w:eastAsia="宋体" w:hAnsi="Times New Roman" w:cs="Times New Roman"/>
                <w:bCs/>
                <w:color w:val="000000" w:themeColor="text1"/>
                <w:szCs w:val="21"/>
              </w:rPr>
              <w:t>）</w:t>
            </w:r>
          </w:p>
        </w:tc>
      </w:tr>
    </w:tbl>
    <w:p w14:paraId="66AADCE9"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10</w:t>
      </w:r>
      <w:r w:rsidRPr="00092862">
        <w:rPr>
          <w:rFonts w:ascii="Times New Roman" w:eastAsia="宋体" w:hAnsi="Times New Roman" w:cs="Times New Roman"/>
          <w:b/>
          <w:bCs/>
          <w:color w:val="000000" w:themeColor="text1"/>
          <w:sz w:val="24"/>
          <w:szCs w:val="24"/>
        </w:rPr>
        <w:t>）二氧化碳</w:t>
      </w:r>
    </w:p>
    <w:p w14:paraId="43E9C457" w14:textId="77777777" w:rsidR="00450025" w:rsidRPr="00092862" w:rsidRDefault="00450025" w:rsidP="00450025">
      <w:pPr>
        <w:pStyle w:val="L-"/>
        <w:spacing w:line="360" w:lineRule="auto"/>
        <w:rPr>
          <w:rFonts w:ascii="Times New Roman" w:cs="Times New Roman"/>
          <w:color w:val="000000" w:themeColor="text1"/>
          <w:szCs w:val="24"/>
        </w:rPr>
      </w:pPr>
      <w:r w:rsidRPr="00092862">
        <w:rPr>
          <w:rFonts w:ascii="Times New Roman" w:cs="Times New Roman"/>
          <w:color w:val="000000" w:themeColor="text1"/>
          <w:szCs w:val="24"/>
        </w:rPr>
        <w:t>二氧化碳可以溶解在水中，生成碳酸，引起电化学腐蚀。钢材中二氧化碳腐蚀的产物都是易溶的，不易形成保护膜，特别是随二氧化碳浓度的增加，腐蚀速度增加很快。</w:t>
      </w:r>
    </w:p>
    <w:p w14:paraId="7A1E1472" w14:textId="77777777" w:rsidR="00450025" w:rsidRPr="00092862" w:rsidRDefault="00450025" w:rsidP="00450025">
      <w:pPr>
        <w:pStyle w:val="L-"/>
        <w:spacing w:line="360" w:lineRule="auto"/>
        <w:rPr>
          <w:rFonts w:ascii="Times New Roman" w:cs="Times New Roman"/>
          <w:color w:val="000000" w:themeColor="text1"/>
          <w:szCs w:val="24"/>
        </w:rPr>
      </w:pPr>
      <w:r w:rsidRPr="00092862">
        <w:rPr>
          <w:rFonts w:ascii="Times New Roman" w:cs="Times New Roman"/>
          <w:color w:val="000000" w:themeColor="text1"/>
          <w:szCs w:val="24"/>
        </w:rPr>
        <w:t>根据</w:t>
      </w:r>
      <w:r w:rsidRPr="00092862">
        <w:rPr>
          <w:rFonts w:ascii="Times New Roman" w:cs="Times New Roman"/>
          <w:color w:val="000000" w:themeColor="text1"/>
          <w:szCs w:val="24"/>
        </w:rPr>
        <w:t>NACE</w:t>
      </w:r>
      <w:r w:rsidRPr="00092862">
        <w:rPr>
          <w:rFonts w:ascii="Times New Roman" w:cs="Times New Roman"/>
          <w:color w:val="000000" w:themeColor="text1"/>
          <w:szCs w:val="24"/>
        </w:rPr>
        <w:t>（美国腐蚀工程师协会）有关</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分压腐蚀的标准，</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分压</w:t>
      </w:r>
      <w:r w:rsidRPr="00092862">
        <w:rPr>
          <w:rFonts w:ascii="Times New Roman" w:cs="Times New Roman"/>
          <w:color w:val="000000" w:themeColor="text1"/>
          <w:szCs w:val="24"/>
        </w:rPr>
        <w:lastRenderedPageBreak/>
        <w:t>大于</w:t>
      </w:r>
      <w:r w:rsidRPr="00092862">
        <w:rPr>
          <w:rFonts w:ascii="Times New Roman" w:cs="Times New Roman"/>
          <w:color w:val="000000" w:themeColor="text1"/>
          <w:szCs w:val="24"/>
        </w:rPr>
        <w:t>0.2MPa</w:t>
      </w:r>
      <w:r w:rsidRPr="00092862">
        <w:rPr>
          <w:rFonts w:ascii="Times New Roman" w:cs="Times New Roman"/>
          <w:color w:val="000000" w:themeColor="text1"/>
          <w:szCs w:val="24"/>
        </w:rPr>
        <w:t>就属于严重腐蚀区，本项目气藏</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分压大于</w:t>
      </w:r>
      <w:r w:rsidRPr="00092862">
        <w:rPr>
          <w:rFonts w:ascii="Times New Roman" w:cs="Times New Roman"/>
          <w:color w:val="000000" w:themeColor="text1"/>
          <w:szCs w:val="24"/>
        </w:rPr>
        <w:t>0.2MPa</w:t>
      </w:r>
      <w:r w:rsidRPr="00092862">
        <w:rPr>
          <w:rFonts w:ascii="Times New Roman" w:cs="Times New Roman"/>
          <w:color w:val="000000" w:themeColor="text1"/>
          <w:szCs w:val="24"/>
        </w:rPr>
        <w:t>。</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腐蚀的主要形态为点蚀、台地状腐蚀、环状腐蚀和冲刷腐蚀等，且腐蚀穿孔的速度很快。在影响</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腐蚀速率的各个因素中，</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分压和温度是最重要的两个参数。</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分压越高，其腐蚀产物</w:t>
      </w:r>
      <w:r w:rsidRPr="00092862">
        <w:rPr>
          <w:rFonts w:ascii="Times New Roman" w:cs="Times New Roman"/>
          <w:color w:val="000000" w:themeColor="text1"/>
          <w:szCs w:val="24"/>
        </w:rPr>
        <w:t>FeCO</w:t>
      </w:r>
      <w:r w:rsidRPr="00092862">
        <w:rPr>
          <w:rFonts w:ascii="Times New Roman" w:cs="Times New Roman"/>
          <w:color w:val="000000" w:themeColor="text1"/>
          <w:szCs w:val="24"/>
          <w:vertAlign w:val="subscript"/>
        </w:rPr>
        <w:t>3</w:t>
      </w:r>
      <w:r w:rsidRPr="00092862">
        <w:rPr>
          <w:rFonts w:ascii="Times New Roman" w:cs="Times New Roman"/>
          <w:color w:val="000000" w:themeColor="text1"/>
          <w:szCs w:val="24"/>
        </w:rPr>
        <w:t>膜的保护性越差，且</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的腐蚀速度随温度升高而增加，</w:t>
      </w:r>
      <w:r w:rsidRPr="00092862">
        <w:rPr>
          <w:rFonts w:ascii="Times New Roman" w:cs="Times New Roman"/>
          <w:color w:val="000000" w:themeColor="text1"/>
          <w:szCs w:val="24"/>
        </w:rPr>
        <w:t>60℃</w:t>
      </w:r>
      <w:r w:rsidRPr="00092862">
        <w:rPr>
          <w:rFonts w:ascii="Times New Roman" w:cs="Times New Roman"/>
          <w:color w:val="000000" w:themeColor="text1"/>
          <w:szCs w:val="24"/>
        </w:rPr>
        <w:t>～</w:t>
      </w:r>
      <w:r w:rsidRPr="00092862">
        <w:rPr>
          <w:rFonts w:ascii="Times New Roman" w:cs="Times New Roman"/>
          <w:color w:val="000000" w:themeColor="text1"/>
          <w:szCs w:val="24"/>
        </w:rPr>
        <w:t>110℃</w:t>
      </w:r>
      <w:r w:rsidRPr="00092862">
        <w:rPr>
          <w:rFonts w:ascii="Times New Roman" w:cs="Times New Roman"/>
          <w:color w:val="000000" w:themeColor="text1"/>
          <w:szCs w:val="24"/>
        </w:rPr>
        <w:t>为</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腐蚀的敏感区域，本项目深层气藏地层平均温度＞</w:t>
      </w:r>
      <w:r w:rsidRPr="00092862">
        <w:rPr>
          <w:rFonts w:ascii="Times New Roman" w:cs="Times New Roman"/>
          <w:color w:val="000000" w:themeColor="text1"/>
          <w:szCs w:val="24"/>
        </w:rPr>
        <w:t>110℃</w:t>
      </w:r>
      <w:r w:rsidRPr="00092862">
        <w:rPr>
          <w:rFonts w:ascii="Times New Roman" w:cs="Times New Roman"/>
          <w:color w:val="000000" w:themeColor="text1"/>
          <w:szCs w:val="24"/>
        </w:rPr>
        <w:t>，因此井下设备存在</w:t>
      </w:r>
      <w:r w:rsidRPr="00092862">
        <w:rPr>
          <w:rFonts w:ascii="Times New Roman" w:cs="Times New Roman"/>
          <w:color w:val="000000" w:themeColor="text1"/>
          <w:szCs w:val="24"/>
        </w:rPr>
        <w:t>CO</w:t>
      </w:r>
      <w:r w:rsidRPr="00092862">
        <w:rPr>
          <w:rFonts w:ascii="Times New Roman" w:cs="Times New Roman"/>
          <w:color w:val="000000" w:themeColor="text1"/>
          <w:szCs w:val="24"/>
          <w:vertAlign w:val="subscript"/>
        </w:rPr>
        <w:t>2</w:t>
      </w:r>
      <w:r w:rsidRPr="00092862">
        <w:rPr>
          <w:rFonts w:ascii="Times New Roman" w:cs="Times New Roman"/>
          <w:color w:val="000000" w:themeColor="text1"/>
          <w:szCs w:val="24"/>
        </w:rPr>
        <w:t>腐蚀的风险。</w:t>
      </w:r>
    </w:p>
    <w:p w14:paraId="6F03474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二氧化碳是一种窒息性气体，对人的最低毒性浓度体积分数为</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％，超过此浓度可引起呼吸器官的损害，达到</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会使人窒息。</w:t>
      </w:r>
    </w:p>
    <w:p w14:paraId="6BD193E7" w14:textId="6C37C801" w:rsidR="00450025" w:rsidRPr="00092862" w:rsidRDefault="00450025" w:rsidP="0045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63" w:name="_Toc120173172"/>
      <w:r w:rsidRPr="00092862">
        <w:rPr>
          <w:rFonts w:ascii="Times New Roman" w:eastAsia="黑体" w:hAnsi="Times New Roman"/>
          <w:b w:val="0"/>
          <w:color w:val="000000" w:themeColor="text1"/>
          <w:sz w:val="24"/>
          <w:szCs w:val="24"/>
          <w:lang w:eastAsia="zh-CN"/>
        </w:rPr>
        <w:t>6.1.2</w:t>
      </w:r>
      <w:r w:rsidRPr="00092862">
        <w:rPr>
          <w:rFonts w:ascii="Times New Roman" w:eastAsia="黑体" w:hAnsi="Times New Roman"/>
          <w:b w:val="0"/>
          <w:color w:val="000000" w:themeColor="text1"/>
          <w:sz w:val="24"/>
          <w:szCs w:val="24"/>
          <w:lang w:eastAsia="zh-CN"/>
        </w:rPr>
        <w:t>环境风险潜势初判</w:t>
      </w:r>
      <w:bookmarkEnd w:id="263"/>
    </w:p>
    <w:p w14:paraId="6AE68EF4" w14:textId="77777777"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4"/>
          <w:lang w:val="zh-CN"/>
        </w:rPr>
      </w:pP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1</w:t>
      </w:r>
      <w:r w:rsidRPr="00092862">
        <w:rPr>
          <w:rFonts w:ascii="Times New Roman" w:eastAsia="宋体" w:hAnsi="Times New Roman" w:cs="Times New Roman"/>
          <w:bCs/>
          <w:color w:val="000000" w:themeColor="text1"/>
          <w:sz w:val="24"/>
          <w:szCs w:val="24"/>
          <w:lang w:val="zh-CN"/>
        </w:rPr>
        <w:t>）危险物质数量与临界量的比值（</w:t>
      </w:r>
      <w:r w:rsidRPr="00092862">
        <w:rPr>
          <w:rFonts w:ascii="Times New Roman" w:eastAsia="宋体" w:hAnsi="Times New Roman" w:cs="Times New Roman"/>
          <w:bCs/>
          <w:color w:val="000000" w:themeColor="text1"/>
          <w:sz w:val="24"/>
          <w:szCs w:val="24"/>
          <w:lang w:val="zh-CN"/>
        </w:rPr>
        <w:t>Q</w:t>
      </w:r>
      <w:r w:rsidRPr="00092862">
        <w:rPr>
          <w:rFonts w:ascii="Times New Roman" w:eastAsia="宋体" w:hAnsi="Times New Roman" w:cs="Times New Roman"/>
          <w:bCs/>
          <w:color w:val="000000" w:themeColor="text1"/>
          <w:sz w:val="24"/>
          <w:szCs w:val="24"/>
          <w:lang w:val="zh-CN"/>
        </w:rPr>
        <w:t>）</w:t>
      </w:r>
    </w:p>
    <w:p w14:paraId="2A0713F6" w14:textId="77777777"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4"/>
          <w:lang w:val="zh-CN"/>
        </w:rPr>
      </w:pPr>
      <w:r w:rsidRPr="00092862">
        <w:rPr>
          <w:rFonts w:ascii="Times New Roman" w:eastAsia="宋体" w:hAnsi="Times New Roman" w:cs="Times New Roman"/>
          <w:bCs/>
          <w:color w:val="000000" w:themeColor="text1"/>
          <w:sz w:val="24"/>
          <w:szCs w:val="24"/>
          <w:lang w:val="zh-CN"/>
        </w:rPr>
        <w:t>分析建设项目生产、使用、储存过程中涉及的有毒有害、易燃易爆物质，参见</w:t>
      </w:r>
      <w:r w:rsidRPr="00092862">
        <w:rPr>
          <w:rFonts w:ascii="Times New Roman" w:eastAsia="宋体" w:hAnsi="Times New Roman" w:cs="Times New Roman"/>
          <w:bCs/>
          <w:color w:val="000000" w:themeColor="text1"/>
          <w:sz w:val="24"/>
          <w:szCs w:val="24"/>
          <w:lang w:val="zh-CN"/>
        </w:rPr>
        <w:t>HJ 169-2018</w:t>
      </w:r>
      <w:r w:rsidRPr="00092862">
        <w:rPr>
          <w:rFonts w:ascii="Times New Roman" w:eastAsia="宋体" w:hAnsi="Times New Roman" w:cs="Times New Roman"/>
          <w:bCs/>
          <w:color w:val="000000" w:themeColor="text1"/>
          <w:sz w:val="24"/>
          <w:szCs w:val="24"/>
          <w:lang w:val="zh-CN"/>
        </w:rPr>
        <w:t>中附录</w:t>
      </w:r>
      <w:r w:rsidRPr="00092862">
        <w:rPr>
          <w:rFonts w:ascii="Times New Roman" w:eastAsia="宋体" w:hAnsi="Times New Roman" w:cs="Times New Roman"/>
          <w:bCs/>
          <w:color w:val="000000" w:themeColor="text1"/>
          <w:sz w:val="24"/>
          <w:szCs w:val="24"/>
          <w:lang w:val="zh-CN"/>
        </w:rPr>
        <w:t>B</w:t>
      </w:r>
      <w:r w:rsidRPr="00092862">
        <w:rPr>
          <w:rFonts w:ascii="Times New Roman" w:eastAsia="宋体" w:hAnsi="Times New Roman" w:cs="Times New Roman"/>
          <w:bCs/>
          <w:color w:val="000000" w:themeColor="text1"/>
          <w:sz w:val="24"/>
          <w:szCs w:val="24"/>
          <w:lang w:val="zh-CN"/>
        </w:rPr>
        <w:t>确定危险物质的临界量，并参照附录</w:t>
      </w:r>
      <w:r w:rsidRPr="00092862">
        <w:rPr>
          <w:rFonts w:ascii="Times New Roman" w:eastAsia="宋体" w:hAnsi="Times New Roman" w:cs="Times New Roman"/>
          <w:bCs/>
          <w:color w:val="000000" w:themeColor="text1"/>
          <w:sz w:val="24"/>
          <w:szCs w:val="24"/>
          <w:lang w:val="zh-CN"/>
        </w:rPr>
        <w:t>C</w:t>
      </w:r>
      <w:r w:rsidRPr="00092862">
        <w:rPr>
          <w:rFonts w:ascii="Times New Roman" w:eastAsia="宋体" w:hAnsi="Times New Roman" w:cs="Times New Roman"/>
          <w:bCs/>
          <w:color w:val="000000" w:themeColor="text1"/>
          <w:sz w:val="24"/>
          <w:szCs w:val="24"/>
          <w:lang w:val="zh-CN"/>
        </w:rPr>
        <w:t>进行判定。</w:t>
      </w:r>
    </w:p>
    <w:p w14:paraId="6C959ECE" w14:textId="77777777"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4"/>
          <w:lang w:val="zh-CN"/>
        </w:rPr>
      </w:pPr>
      <w:r w:rsidRPr="00092862">
        <w:rPr>
          <w:rFonts w:ascii="宋体" w:eastAsia="宋体" w:hAnsi="宋体" w:cs="宋体" w:hint="eastAsia"/>
          <w:bCs/>
          <w:color w:val="000000" w:themeColor="text1"/>
          <w:sz w:val="24"/>
          <w:szCs w:val="24"/>
          <w:lang w:val="zh-CN"/>
        </w:rPr>
        <w:t>①</w:t>
      </w:r>
      <w:r w:rsidRPr="00092862">
        <w:rPr>
          <w:rFonts w:ascii="Times New Roman" w:eastAsia="宋体" w:hAnsi="Times New Roman" w:cs="Times New Roman"/>
          <w:bCs/>
          <w:color w:val="000000" w:themeColor="text1"/>
          <w:sz w:val="24"/>
          <w:szCs w:val="24"/>
          <w:lang w:val="zh-CN"/>
        </w:rPr>
        <w:t>当企业只涉及一种风险物质时，该物质的数量与其临界量比值，即为</w:t>
      </w:r>
      <w:r w:rsidRPr="00092862">
        <w:rPr>
          <w:rFonts w:ascii="Times New Roman" w:eastAsia="宋体" w:hAnsi="Times New Roman" w:cs="Times New Roman"/>
          <w:bCs/>
          <w:color w:val="000000" w:themeColor="text1"/>
          <w:sz w:val="24"/>
          <w:szCs w:val="24"/>
          <w:lang w:val="zh-CN"/>
        </w:rPr>
        <w:t>Q</w:t>
      </w:r>
      <w:r w:rsidRPr="00092862">
        <w:rPr>
          <w:rFonts w:ascii="Times New Roman" w:eastAsia="宋体" w:hAnsi="Times New Roman" w:cs="Times New Roman"/>
          <w:bCs/>
          <w:color w:val="000000" w:themeColor="text1"/>
          <w:sz w:val="24"/>
          <w:szCs w:val="24"/>
          <w:lang w:val="zh-CN"/>
        </w:rPr>
        <w:t>。</w:t>
      </w:r>
    </w:p>
    <w:p w14:paraId="42FA27E4" w14:textId="77777777"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4"/>
          <w:lang w:val="zh-CN"/>
        </w:rPr>
      </w:pPr>
      <w:r w:rsidRPr="00092862">
        <w:rPr>
          <w:rFonts w:ascii="宋体" w:eastAsia="宋体" w:hAnsi="宋体" w:cs="宋体" w:hint="eastAsia"/>
          <w:bCs/>
          <w:color w:val="000000" w:themeColor="text1"/>
          <w:sz w:val="24"/>
          <w:szCs w:val="24"/>
          <w:lang w:val="zh-CN"/>
        </w:rPr>
        <w:t>②</w:t>
      </w:r>
      <w:r w:rsidRPr="00092862">
        <w:rPr>
          <w:rFonts w:ascii="Times New Roman" w:eastAsia="宋体" w:hAnsi="Times New Roman" w:cs="Times New Roman"/>
          <w:bCs/>
          <w:color w:val="000000" w:themeColor="text1"/>
          <w:sz w:val="24"/>
          <w:szCs w:val="24"/>
          <w:lang w:val="zh-CN"/>
        </w:rPr>
        <w:t>当企业存在多种风险物质时，则按下式计算：</w:t>
      </w:r>
    </w:p>
    <w:p w14:paraId="11D934C4" w14:textId="77777777" w:rsidR="008439D2" w:rsidRPr="00092862" w:rsidRDefault="008439D2" w:rsidP="008439D2">
      <w:pPr>
        <w:pStyle w:val="-"/>
        <w:ind w:firstLine="480"/>
        <w:jc w:val="center"/>
        <w:rPr>
          <w:rFonts w:ascii="Times New Roman"/>
          <w:bCs/>
          <w:color w:val="000000" w:themeColor="text1"/>
          <w:szCs w:val="24"/>
          <w:vertAlign w:val="subscript"/>
        </w:rPr>
      </w:pPr>
      <w:r w:rsidRPr="00092862">
        <w:rPr>
          <w:rFonts w:ascii="Times New Roman"/>
          <w:bCs/>
          <w:color w:val="000000" w:themeColor="text1"/>
          <w:szCs w:val="24"/>
        </w:rPr>
        <w:t>Q=q</w:t>
      </w:r>
      <w:r w:rsidRPr="00092862">
        <w:rPr>
          <w:rFonts w:ascii="Times New Roman"/>
          <w:bCs/>
          <w:color w:val="000000" w:themeColor="text1"/>
          <w:szCs w:val="24"/>
          <w:vertAlign w:val="subscript"/>
        </w:rPr>
        <w:t>1</w:t>
      </w:r>
      <w:r w:rsidRPr="00092862">
        <w:rPr>
          <w:rFonts w:ascii="Times New Roman"/>
          <w:bCs/>
          <w:color w:val="000000" w:themeColor="text1"/>
          <w:szCs w:val="24"/>
        </w:rPr>
        <w:t>/Q</w:t>
      </w:r>
      <w:r w:rsidRPr="00092862">
        <w:rPr>
          <w:rFonts w:ascii="Times New Roman"/>
          <w:bCs/>
          <w:color w:val="000000" w:themeColor="text1"/>
          <w:szCs w:val="24"/>
          <w:vertAlign w:val="subscript"/>
        </w:rPr>
        <w:t>1</w:t>
      </w:r>
      <w:r w:rsidRPr="00092862">
        <w:rPr>
          <w:rFonts w:ascii="Times New Roman"/>
          <w:bCs/>
          <w:color w:val="000000" w:themeColor="text1"/>
          <w:szCs w:val="24"/>
        </w:rPr>
        <w:t>+q</w:t>
      </w:r>
      <w:r w:rsidRPr="00092862">
        <w:rPr>
          <w:rFonts w:ascii="Times New Roman"/>
          <w:bCs/>
          <w:color w:val="000000" w:themeColor="text1"/>
          <w:szCs w:val="24"/>
          <w:vertAlign w:val="subscript"/>
        </w:rPr>
        <w:t>2</w:t>
      </w:r>
      <w:r w:rsidRPr="00092862">
        <w:rPr>
          <w:rFonts w:ascii="Times New Roman"/>
          <w:bCs/>
          <w:color w:val="000000" w:themeColor="text1"/>
          <w:szCs w:val="24"/>
        </w:rPr>
        <w:t>/Q</w:t>
      </w:r>
      <w:r w:rsidRPr="00092862">
        <w:rPr>
          <w:rFonts w:ascii="Times New Roman"/>
          <w:bCs/>
          <w:color w:val="000000" w:themeColor="text1"/>
          <w:szCs w:val="24"/>
          <w:vertAlign w:val="subscript"/>
        </w:rPr>
        <w:t>2</w:t>
      </w:r>
      <w:r w:rsidRPr="00092862">
        <w:rPr>
          <w:rFonts w:ascii="Times New Roman"/>
          <w:bCs/>
          <w:color w:val="000000" w:themeColor="text1"/>
          <w:szCs w:val="24"/>
        </w:rPr>
        <w:t>+</w:t>
      </w:r>
      <w:r w:rsidRPr="00092862">
        <w:rPr>
          <w:rFonts w:ascii="Times New Roman"/>
          <w:bCs/>
          <w:color w:val="000000" w:themeColor="text1"/>
          <w:spacing w:val="-4"/>
          <w:szCs w:val="24"/>
        </w:rPr>
        <w:t>...</w:t>
      </w:r>
      <w:r w:rsidRPr="00092862">
        <w:rPr>
          <w:rFonts w:ascii="Times New Roman"/>
          <w:bCs/>
          <w:color w:val="000000" w:themeColor="text1"/>
          <w:szCs w:val="24"/>
        </w:rPr>
        <w:t>+q</w:t>
      </w:r>
      <w:r w:rsidRPr="00092862">
        <w:rPr>
          <w:rFonts w:ascii="Times New Roman"/>
          <w:bCs/>
          <w:color w:val="000000" w:themeColor="text1"/>
          <w:szCs w:val="24"/>
          <w:vertAlign w:val="subscript"/>
        </w:rPr>
        <w:t>n</w:t>
      </w:r>
      <w:r w:rsidRPr="00092862">
        <w:rPr>
          <w:rFonts w:ascii="Times New Roman"/>
          <w:bCs/>
          <w:color w:val="000000" w:themeColor="text1"/>
          <w:szCs w:val="24"/>
        </w:rPr>
        <w:t>/Q</w:t>
      </w:r>
      <w:r w:rsidRPr="00092862">
        <w:rPr>
          <w:rFonts w:ascii="Times New Roman"/>
          <w:bCs/>
          <w:color w:val="000000" w:themeColor="text1"/>
          <w:szCs w:val="24"/>
          <w:vertAlign w:val="subscript"/>
        </w:rPr>
        <w:t>n</w:t>
      </w:r>
    </w:p>
    <w:p w14:paraId="54C9FBFF" w14:textId="77777777" w:rsidR="008439D2" w:rsidRPr="00092862" w:rsidRDefault="008439D2" w:rsidP="008439D2">
      <w:pPr>
        <w:pStyle w:val="-"/>
        <w:ind w:firstLine="472"/>
        <w:rPr>
          <w:rFonts w:ascii="Times New Roman"/>
          <w:bCs/>
          <w:color w:val="000000" w:themeColor="text1"/>
          <w:spacing w:val="-4"/>
          <w:szCs w:val="24"/>
        </w:rPr>
      </w:pPr>
      <w:r w:rsidRPr="00092862">
        <w:rPr>
          <w:rFonts w:ascii="Times New Roman"/>
          <w:bCs/>
          <w:color w:val="000000" w:themeColor="text1"/>
          <w:spacing w:val="-4"/>
          <w:szCs w:val="24"/>
        </w:rPr>
        <w:t>式中：</w:t>
      </w:r>
      <w:r w:rsidRPr="00092862">
        <w:rPr>
          <w:rFonts w:ascii="Times New Roman"/>
          <w:bCs/>
          <w:color w:val="000000" w:themeColor="text1"/>
          <w:spacing w:val="-4"/>
          <w:szCs w:val="24"/>
        </w:rPr>
        <w:t>q</w:t>
      </w:r>
      <w:r w:rsidRPr="00092862">
        <w:rPr>
          <w:rFonts w:ascii="Times New Roman"/>
          <w:bCs/>
          <w:color w:val="000000" w:themeColor="text1"/>
          <w:spacing w:val="-4"/>
          <w:szCs w:val="24"/>
          <w:vertAlign w:val="subscript"/>
        </w:rPr>
        <w:t>1</w:t>
      </w:r>
      <w:r w:rsidRPr="00092862">
        <w:rPr>
          <w:rFonts w:ascii="Times New Roman"/>
          <w:bCs/>
          <w:color w:val="000000" w:themeColor="text1"/>
          <w:spacing w:val="-4"/>
          <w:szCs w:val="24"/>
        </w:rPr>
        <w:t>，</w:t>
      </w:r>
      <w:r w:rsidRPr="00092862">
        <w:rPr>
          <w:rFonts w:ascii="Times New Roman"/>
          <w:bCs/>
          <w:color w:val="000000" w:themeColor="text1"/>
          <w:spacing w:val="-4"/>
          <w:szCs w:val="24"/>
        </w:rPr>
        <w:t>q</w:t>
      </w:r>
      <w:r w:rsidRPr="00092862">
        <w:rPr>
          <w:rFonts w:ascii="Times New Roman"/>
          <w:bCs/>
          <w:color w:val="000000" w:themeColor="text1"/>
          <w:spacing w:val="-4"/>
          <w:szCs w:val="24"/>
          <w:vertAlign w:val="subscript"/>
        </w:rPr>
        <w:t>2</w:t>
      </w:r>
      <w:r w:rsidRPr="00092862">
        <w:rPr>
          <w:rFonts w:ascii="Times New Roman"/>
          <w:bCs/>
          <w:color w:val="000000" w:themeColor="text1"/>
          <w:spacing w:val="-4"/>
          <w:szCs w:val="24"/>
        </w:rPr>
        <w:t>，</w:t>
      </w:r>
      <w:r w:rsidRPr="00092862">
        <w:rPr>
          <w:rFonts w:ascii="Times New Roman"/>
          <w:bCs/>
          <w:color w:val="000000" w:themeColor="text1"/>
          <w:spacing w:val="-4"/>
          <w:szCs w:val="24"/>
        </w:rPr>
        <w:t>...</w:t>
      </w:r>
      <w:r w:rsidRPr="00092862">
        <w:rPr>
          <w:rFonts w:ascii="Times New Roman"/>
          <w:bCs/>
          <w:color w:val="000000" w:themeColor="text1"/>
          <w:spacing w:val="-4"/>
          <w:szCs w:val="24"/>
        </w:rPr>
        <w:t>，</w:t>
      </w:r>
      <w:r w:rsidRPr="00092862">
        <w:rPr>
          <w:rFonts w:ascii="Times New Roman"/>
          <w:bCs/>
          <w:color w:val="000000" w:themeColor="text1"/>
          <w:spacing w:val="-4"/>
          <w:szCs w:val="24"/>
        </w:rPr>
        <w:t>q</w:t>
      </w:r>
      <w:r w:rsidRPr="00092862">
        <w:rPr>
          <w:rFonts w:ascii="Times New Roman"/>
          <w:bCs/>
          <w:color w:val="000000" w:themeColor="text1"/>
          <w:spacing w:val="-4"/>
          <w:szCs w:val="24"/>
          <w:vertAlign w:val="subscript"/>
        </w:rPr>
        <w:t>n</w:t>
      </w:r>
      <w:r w:rsidRPr="00092862">
        <w:rPr>
          <w:rFonts w:ascii="Times New Roman"/>
          <w:bCs/>
          <w:color w:val="000000" w:themeColor="text1"/>
          <w:spacing w:val="-4"/>
          <w:szCs w:val="24"/>
        </w:rPr>
        <w:t>——</w:t>
      </w:r>
      <w:r w:rsidRPr="00092862">
        <w:rPr>
          <w:rFonts w:ascii="Times New Roman"/>
          <w:bCs/>
          <w:color w:val="000000" w:themeColor="text1"/>
          <w:spacing w:val="-4"/>
          <w:szCs w:val="24"/>
        </w:rPr>
        <w:t>每种风险物质的存在量，</w:t>
      </w:r>
      <w:r w:rsidRPr="00092862">
        <w:rPr>
          <w:rFonts w:ascii="Times New Roman"/>
          <w:bCs/>
          <w:color w:val="000000" w:themeColor="text1"/>
          <w:spacing w:val="-4"/>
          <w:szCs w:val="24"/>
        </w:rPr>
        <w:t>t</w:t>
      </w:r>
      <w:r w:rsidRPr="00092862">
        <w:rPr>
          <w:rFonts w:ascii="Times New Roman"/>
          <w:bCs/>
          <w:color w:val="000000" w:themeColor="text1"/>
          <w:spacing w:val="-4"/>
          <w:szCs w:val="24"/>
        </w:rPr>
        <w:t>；</w:t>
      </w:r>
    </w:p>
    <w:p w14:paraId="63D559B3" w14:textId="77777777" w:rsidR="008439D2" w:rsidRPr="00092862" w:rsidRDefault="008439D2" w:rsidP="008439D2">
      <w:pPr>
        <w:pStyle w:val="-"/>
        <w:ind w:firstLineChars="450" w:firstLine="1080"/>
        <w:rPr>
          <w:rFonts w:ascii="Times New Roman"/>
          <w:bCs/>
          <w:color w:val="000000" w:themeColor="text1"/>
          <w:szCs w:val="24"/>
        </w:rPr>
      </w:pPr>
      <w:r w:rsidRPr="00092862">
        <w:rPr>
          <w:rFonts w:ascii="Times New Roman"/>
          <w:bCs/>
          <w:color w:val="000000" w:themeColor="text1"/>
          <w:szCs w:val="24"/>
        </w:rPr>
        <w:t>Q</w:t>
      </w:r>
      <w:r w:rsidRPr="00092862">
        <w:rPr>
          <w:rFonts w:ascii="Times New Roman"/>
          <w:bCs/>
          <w:color w:val="000000" w:themeColor="text1"/>
          <w:szCs w:val="24"/>
          <w:vertAlign w:val="subscript"/>
        </w:rPr>
        <w:t>1</w:t>
      </w:r>
      <w:r w:rsidRPr="00092862">
        <w:rPr>
          <w:rFonts w:ascii="Times New Roman"/>
          <w:bCs/>
          <w:color w:val="000000" w:themeColor="text1"/>
          <w:szCs w:val="24"/>
        </w:rPr>
        <w:t>，</w:t>
      </w:r>
      <w:r w:rsidRPr="00092862">
        <w:rPr>
          <w:rFonts w:ascii="Times New Roman"/>
          <w:bCs/>
          <w:color w:val="000000" w:themeColor="text1"/>
          <w:szCs w:val="24"/>
        </w:rPr>
        <w:t>Q</w:t>
      </w:r>
      <w:r w:rsidRPr="00092862">
        <w:rPr>
          <w:rFonts w:ascii="Times New Roman"/>
          <w:bCs/>
          <w:color w:val="000000" w:themeColor="text1"/>
          <w:szCs w:val="24"/>
          <w:vertAlign w:val="subscript"/>
        </w:rPr>
        <w:t>2</w:t>
      </w:r>
      <w:r w:rsidRPr="00092862">
        <w:rPr>
          <w:rFonts w:ascii="Times New Roman"/>
          <w:bCs/>
          <w:color w:val="000000" w:themeColor="text1"/>
          <w:szCs w:val="24"/>
        </w:rPr>
        <w:t>，</w:t>
      </w:r>
      <w:r w:rsidRPr="00092862">
        <w:rPr>
          <w:rFonts w:ascii="Times New Roman"/>
          <w:bCs/>
          <w:color w:val="000000" w:themeColor="text1"/>
          <w:szCs w:val="24"/>
        </w:rPr>
        <w:t>...</w:t>
      </w:r>
      <w:r w:rsidRPr="00092862">
        <w:rPr>
          <w:rFonts w:ascii="Times New Roman"/>
          <w:bCs/>
          <w:color w:val="000000" w:themeColor="text1"/>
          <w:szCs w:val="24"/>
        </w:rPr>
        <w:t>，</w:t>
      </w:r>
      <w:r w:rsidRPr="00092862">
        <w:rPr>
          <w:rFonts w:ascii="Times New Roman"/>
          <w:bCs/>
          <w:color w:val="000000" w:themeColor="text1"/>
          <w:szCs w:val="24"/>
        </w:rPr>
        <w:t>Q</w:t>
      </w:r>
      <w:r w:rsidRPr="00092862">
        <w:rPr>
          <w:rFonts w:ascii="Times New Roman"/>
          <w:bCs/>
          <w:color w:val="000000" w:themeColor="text1"/>
          <w:szCs w:val="24"/>
          <w:vertAlign w:val="subscript"/>
        </w:rPr>
        <w:t>n</w:t>
      </w:r>
      <w:r w:rsidRPr="00092862">
        <w:rPr>
          <w:rFonts w:ascii="Times New Roman"/>
          <w:bCs/>
          <w:color w:val="000000" w:themeColor="text1"/>
          <w:szCs w:val="24"/>
        </w:rPr>
        <w:t>——</w:t>
      </w:r>
      <w:r w:rsidRPr="00092862">
        <w:rPr>
          <w:rFonts w:ascii="Times New Roman"/>
          <w:bCs/>
          <w:color w:val="000000" w:themeColor="text1"/>
          <w:szCs w:val="24"/>
        </w:rPr>
        <w:t>每种风险物质的临界量，</w:t>
      </w:r>
      <w:r w:rsidRPr="00092862">
        <w:rPr>
          <w:rFonts w:ascii="Times New Roman"/>
          <w:bCs/>
          <w:color w:val="000000" w:themeColor="text1"/>
          <w:szCs w:val="24"/>
        </w:rPr>
        <w:t>t</w:t>
      </w:r>
      <w:r w:rsidRPr="00092862">
        <w:rPr>
          <w:rFonts w:ascii="Times New Roman"/>
          <w:bCs/>
          <w:color w:val="000000" w:themeColor="text1"/>
          <w:szCs w:val="24"/>
        </w:rPr>
        <w:t>。</w:t>
      </w:r>
    </w:p>
    <w:p w14:paraId="0ADF0FBB" w14:textId="77777777" w:rsidR="008439D2" w:rsidRPr="00092862" w:rsidRDefault="008439D2" w:rsidP="008439D2">
      <w:pPr>
        <w:pStyle w:val="-"/>
        <w:ind w:firstLine="480"/>
        <w:rPr>
          <w:rFonts w:ascii="Times New Roman"/>
          <w:bCs/>
          <w:snapToGrid w:val="0"/>
          <w:color w:val="000000" w:themeColor="text1"/>
          <w:szCs w:val="24"/>
        </w:rPr>
      </w:pPr>
      <w:r w:rsidRPr="00092862">
        <w:rPr>
          <w:rFonts w:ascii="Times New Roman"/>
          <w:bCs/>
          <w:snapToGrid w:val="0"/>
          <w:color w:val="000000" w:themeColor="text1"/>
          <w:szCs w:val="24"/>
        </w:rPr>
        <w:t>当</w:t>
      </w:r>
      <w:r w:rsidRPr="00092862">
        <w:rPr>
          <w:rFonts w:ascii="Times New Roman"/>
          <w:bCs/>
          <w:snapToGrid w:val="0"/>
          <w:color w:val="000000" w:themeColor="text1"/>
          <w:szCs w:val="24"/>
        </w:rPr>
        <w:t>Q</w:t>
      </w:r>
      <w:r w:rsidRPr="00092862">
        <w:rPr>
          <w:rFonts w:ascii="Times New Roman"/>
          <w:bCs/>
          <w:snapToGrid w:val="0"/>
          <w:color w:val="000000" w:themeColor="text1"/>
          <w:szCs w:val="24"/>
        </w:rPr>
        <w:t>＜</w:t>
      </w:r>
      <w:r w:rsidRPr="00092862">
        <w:rPr>
          <w:rFonts w:ascii="Times New Roman"/>
          <w:bCs/>
          <w:snapToGrid w:val="0"/>
          <w:color w:val="000000" w:themeColor="text1"/>
          <w:szCs w:val="24"/>
        </w:rPr>
        <w:t>1</w:t>
      </w:r>
      <w:r w:rsidRPr="00092862">
        <w:rPr>
          <w:rFonts w:ascii="Times New Roman"/>
          <w:bCs/>
          <w:snapToGrid w:val="0"/>
          <w:color w:val="000000" w:themeColor="text1"/>
          <w:szCs w:val="24"/>
        </w:rPr>
        <w:t>时，本项目环境风险潜势为</w:t>
      </w:r>
      <w:r w:rsidRPr="00092862">
        <w:rPr>
          <w:rFonts w:ascii="Times New Roman"/>
          <w:bCs/>
          <w:snapToGrid w:val="0"/>
          <w:color w:val="000000" w:themeColor="text1"/>
          <w:szCs w:val="24"/>
        </w:rPr>
        <w:t>Ⅰ</w:t>
      </w:r>
      <w:r w:rsidRPr="00092862">
        <w:rPr>
          <w:rFonts w:ascii="Times New Roman"/>
          <w:bCs/>
          <w:snapToGrid w:val="0"/>
          <w:color w:val="000000" w:themeColor="text1"/>
          <w:szCs w:val="24"/>
        </w:rPr>
        <w:t>级。</w:t>
      </w:r>
    </w:p>
    <w:p w14:paraId="2A6B3B66" w14:textId="77777777"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4"/>
          <w:lang w:val="zh-CN"/>
        </w:rPr>
      </w:pPr>
      <w:r w:rsidRPr="00092862">
        <w:rPr>
          <w:rFonts w:ascii="Times New Roman" w:eastAsia="宋体" w:hAnsi="Times New Roman" w:cs="Times New Roman"/>
          <w:bCs/>
          <w:color w:val="000000" w:themeColor="text1"/>
          <w:sz w:val="24"/>
          <w:szCs w:val="24"/>
          <w:lang w:val="zh-CN"/>
        </w:rPr>
        <w:t>当</w:t>
      </w:r>
      <w:r w:rsidRPr="00092862">
        <w:rPr>
          <w:rFonts w:ascii="Times New Roman" w:eastAsia="宋体" w:hAnsi="Times New Roman" w:cs="Times New Roman"/>
          <w:bCs/>
          <w:color w:val="000000" w:themeColor="text1"/>
          <w:sz w:val="24"/>
          <w:szCs w:val="24"/>
          <w:lang w:val="zh-CN"/>
        </w:rPr>
        <w:t>Q≥1</w:t>
      </w:r>
      <w:r w:rsidRPr="00092862">
        <w:rPr>
          <w:rFonts w:ascii="Times New Roman" w:eastAsia="宋体" w:hAnsi="Times New Roman" w:cs="Times New Roman"/>
          <w:bCs/>
          <w:color w:val="000000" w:themeColor="text1"/>
          <w:sz w:val="24"/>
          <w:szCs w:val="24"/>
          <w:lang w:val="zh-CN"/>
        </w:rPr>
        <w:t>时，将</w:t>
      </w:r>
      <w:r w:rsidRPr="00092862">
        <w:rPr>
          <w:rFonts w:ascii="Times New Roman" w:eastAsia="宋体" w:hAnsi="Times New Roman" w:cs="Times New Roman"/>
          <w:bCs/>
          <w:color w:val="000000" w:themeColor="text1"/>
          <w:sz w:val="24"/>
          <w:szCs w:val="24"/>
          <w:lang w:val="zh-CN"/>
        </w:rPr>
        <w:t>Q</w:t>
      </w:r>
      <w:r w:rsidRPr="00092862">
        <w:rPr>
          <w:rFonts w:ascii="Times New Roman" w:eastAsia="宋体" w:hAnsi="Times New Roman" w:cs="Times New Roman"/>
          <w:bCs/>
          <w:color w:val="000000" w:themeColor="text1"/>
          <w:sz w:val="24"/>
          <w:szCs w:val="24"/>
          <w:lang w:val="zh-CN"/>
        </w:rPr>
        <w:t>值划分为：（</w:t>
      </w:r>
      <w:r w:rsidRPr="00092862">
        <w:rPr>
          <w:rFonts w:ascii="Times New Roman" w:eastAsia="宋体" w:hAnsi="Times New Roman" w:cs="Times New Roman"/>
          <w:bCs/>
          <w:color w:val="000000" w:themeColor="text1"/>
          <w:sz w:val="24"/>
          <w:szCs w:val="24"/>
          <w:lang w:val="zh-CN"/>
        </w:rPr>
        <w:t>1</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1≤Q</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10</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2</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10≤Q</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100</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3</w:t>
      </w:r>
      <w:r w:rsidRPr="00092862">
        <w:rPr>
          <w:rFonts w:ascii="Times New Roman" w:eastAsia="宋体" w:hAnsi="Times New Roman" w:cs="Times New Roman"/>
          <w:bCs/>
          <w:color w:val="000000" w:themeColor="text1"/>
          <w:sz w:val="24"/>
          <w:szCs w:val="24"/>
          <w:lang w:val="zh-CN"/>
        </w:rPr>
        <w:t>）</w:t>
      </w:r>
      <w:r w:rsidRPr="00092862">
        <w:rPr>
          <w:rFonts w:ascii="Times New Roman" w:eastAsia="宋体" w:hAnsi="Times New Roman" w:cs="Times New Roman"/>
          <w:bCs/>
          <w:color w:val="000000" w:themeColor="text1"/>
          <w:sz w:val="24"/>
          <w:szCs w:val="24"/>
          <w:lang w:val="zh-CN"/>
        </w:rPr>
        <w:t>Q≥100</w:t>
      </w:r>
      <w:r w:rsidRPr="00092862">
        <w:rPr>
          <w:rFonts w:ascii="Times New Roman" w:eastAsia="宋体" w:hAnsi="Times New Roman" w:cs="Times New Roman"/>
          <w:bCs/>
          <w:color w:val="000000" w:themeColor="text1"/>
          <w:sz w:val="24"/>
          <w:szCs w:val="24"/>
          <w:lang w:val="zh-CN"/>
        </w:rPr>
        <w:t>。</w:t>
      </w:r>
    </w:p>
    <w:p w14:paraId="43C4860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根据《建设项目环境风险评价技术导则》（</w:t>
      </w:r>
      <w:r w:rsidRPr="00092862">
        <w:rPr>
          <w:rFonts w:ascii="Times New Roman" w:eastAsia="宋体" w:hAnsi="Times New Roman" w:cs="Times New Roman"/>
          <w:bCs/>
          <w:color w:val="000000" w:themeColor="text1"/>
          <w:sz w:val="24"/>
          <w:szCs w:val="24"/>
        </w:rPr>
        <w:t>HJ/T169-2018</w:t>
      </w:r>
      <w:r w:rsidRPr="00092862">
        <w:rPr>
          <w:rFonts w:ascii="Times New Roman" w:eastAsia="宋体" w:hAnsi="Times New Roman" w:cs="Times New Roman"/>
          <w:bCs/>
          <w:color w:val="000000" w:themeColor="text1"/>
          <w:sz w:val="24"/>
          <w:szCs w:val="24"/>
        </w:rPr>
        <w:t>），本项目天然气所含的甲烷、硫化氢、柴油和废油等油类物质属于附录</w:t>
      </w:r>
      <w:r w:rsidRPr="00092862">
        <w:rPr>
          <w:rFonts w:ascii="Times New Roman" w:eastAsia="宋体" w:hAnsi="Times New Roman" w:cs="Times New Roman"/>
          <w:bCs/>
          <w:color w:val="000000" w:themeColor="text1"/>
          <w:sz w:val="24"/>
          <w:szCs w:val="24"/>
        </w:rPr>
        <w:t>B.1</w:t>
      </w:r>
      <w:r w:rsidRPr="00092862">
        <w:rPr>
          <w:rFonts w:ascii="Times New Roman" w:eastAsia="宋体" w:hAnsi="Times New Roman" w:cs="Times New Roman"/>
          <w:bCs/>
          <w:color w:val="000000" w:themeColor="text1"/>
          <w:sz w:val="24"/>
          <w:szCs w:val="24"/>
        </w:rPr>
        <w:t>突发环境事件风险物质，甲烷临界量为</w:t>
      </w:r>
      <w:r w:rsidRPr="00092862">
        <w:rPr>
          <w:rFonts w:ascii="Times New Roman" w:eastAsia="宋体" w:hAnsi="Times New Roman" w:cs="Times New Roman"/>
          <w:bCs/>
          <w:color w:val="000000" w:themeColor="text1"/>
          <w:sz w:val="24"/>
          <w:szCs w:val="24"/>
        </w:rPr>
        <w:t>10t</w:t>
      </w:r>
      <w:r w:rsidRPr="00092862">
        <w:rPr>
          <w:rFonts w:ascii="Times New Roman" w:eastAsia="宋体" w:hAnsi="Times New Roman" w:cs="Times New Roman"/>
          <w:bCs/>
          <w:color w:val="000000" w:themeColor="text1"/>
          <w:sz w:val="24"/>
          <w:szCs w:val="24"/>
        </w:rPr>
        <w:t>、硫化氢临界量为</w:t>
      </w:r>
      <w:r w:rsidRPr="00092862">
        <w:rPr>
          <w:rFonts w:ascii="Times New Roman" w:eastAsia="宋体" w:hAnsi="Times New Roman" w:cs="Times New Roman"/>
          <w:bCs/>
          <w:color w:val="000000" w:themeColor="text1"/>
          <w:sz w:val="24"/>
          <w:szCs w:val="24"/>
        </w:rPr>
        <w:t>2.5t</w:t>
      </w:r>
      <w:r w:rsidRPr="00092862">
        <w:rPr>
          <w:rFonts w:ascii="Times New Roman" w:eastAsia="宋体" w:hAnsi="Times New Roman" w:cs="Times New Roman"/>
          <w:bCs/>
          <w:color w:val="000000" w:themeColor="text1"/>
          <w:sz w:val="24"/>
          <w:szCs w:val="24"/>
        </w:rPr>
        <w:t>、柴油和废油等油类物质临界量为</w:t>
      </w:r>
      <w:r w:rsidRPr="00092862">
        <w:rPr>
          <w:rFonts w:ascii="Times New Roman" w:eastAsia="宋体" w:hAnsi="Times New Roman" w:cs="Times New Roman"/>
          <w:bCs/>
          <w:color w:val="000000" w:themeColor="text1"/>
          <w:sz w:val="24"/>
          <w:szCs w:val="24"/>
        </w:rPr>
        <w:t>2500t</w:t>
      </w:r>
      <w:r w:rsidRPr="00092862">
        <w:rPr>
          <w:rFonts w:ascii="Times New Roman" w:eastAsia="宋体" w:hAnsi="Times New Roman" w:cs="Times New Roman"/>
          <w:bCs/>
          <w:color w:val="000000" w:themeColor="text1"/>
          <w:sz w:val="24"/>
          <w:szCs w:val="24"/>
        </w:rPr>
        <w:t>。</w:t>
      </w:r>
    </w:p>
    <w:p w14:paraId="6556201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本项目大气环境危险物质主要涉及到甲烷（</w:t>
      </w:r>
      <w:r w:rsidRPr="00092862">
        <w:rPr>
          <w:rFonts w:ascii="Times New Roman" w:eastAsia="宋体" w:hAnsi="Times New Roman" w:cs="Times New Roman"/>
          <w:bCs/>
          <w:color w:val="000000" w:themeColor="text1"/>
          <w:sz w:val="24"/>
          <w:szCs w:val="24"/>
        </w:rPr>
        <w:t>CH</w:t>
      </w:r>
      <w:r w:rsidRPr="00092862">
        <w:rPr>
          <w:rFonts w:ascii="Times New Roman" w:eastAsia="宋体" w:hAnsi="Times New Roman" w:cs="Times New Roman"/>
          <w:bCs/>
          <w:color w:val="000000" w:themeColor="text1"/>
          <w:sz w:val="24"/>
          <w:szCs w:val="24"/>
          <w:vertAlign w:val="subscript"/>
        </w:rPr>
        <w:t>4</w:t>
      </w:r>
      <w:r w:rsidRPr="00092862">
        <w:rPr>
          <w:rFonts w:ascii="Times New Roman" w:eastAsia="宋体" w:hAnsi="Times New Roman" w:cs="Times New Roman"/>
          <w:bCs/>
          <w:color w:val="000000" w:themeColor="text1"/>
          <w:sz w:val="24"/>
          <w:szCs w:val="24"/>
        </w:rPr>
        <w:t>）、硫化氢和油类（柴油、废油）三类物质。根据周边其他勘探井情况，本项目单井预计最大产气量为</w:t>
      </w:r>
      <w:r w:rsidRPr="00092862">
        <w:rPr>
          <w:rFonts w:ascii="Times New Roman" w:eastAsia="宋体" w:hAnsi="Times New Roman" w:cs="Times New Roman"/>
          <w:bCs/>
          <w:color w:val="000000" w:themeColor="text1"/>
          <w:sz w:val="24"/>
          <w:szCs w:val="24"/>
        </w:rPr>
        <w:t>20×10</w:t>
      </w:r>
      <w:r w:rsidRPr="00092862">
        <w:rPr>
          <w:rFonts w:ascii="Times New Roman" w:eastAsia="宋体" w:hAnsi="Times New Roman" w:cs="Times New Roman"/>
          <w:bCs/>
          <w:color w:val="000000" w:themeColor="text1"/>
          <w:sz w:val="24"/>
          <w:szCs w:val="24"/>
          <w:vertAlign w:val="superscript"/>
        </w:rPr>
        <w:t>4</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。按照环境风险管理规定，事故状态下在不超过</w:t>
      </w:r>
      <w:r w:rsidRPr="00092862">
        <w:rPr>
          <w:rFonts w:ascii="Times New Roman" w:eastAsia="宋体" w:hAnsi="Times New Roman" w:cs="Times New Roman"/>
          <w:bCs/>
          <w:color w:val="000000" w:themeColor="text1"/>
          <w:sz w:val="24"/>
          <w:szCs w:val="24"/>
        </w:rPr>
        <w:t>15min</w:t>
      </w:r>
      <w:r w:rsidRPr="00092862">
        <w:rPr>
          <w:rFonts w:ascii="Times New Roman" w:eastAsia="宋体" w:hAnsi="Times New Roman" w:cs="Times New Roman"/>
          <w:bCs/>
          <w:color w:val="000000" w:themeColor="text1"/>
          <w:sz w:val="24"/>
          <w:szCs w:val="24"/>
        </w:rPr>
        <w:t>内对井场可燃气体实施点火应急处置作业。</w:t>
      </w:r>
    </w:p>
    <w:p w14:paraId="341A0DFD" w14:textId="0BD32C68"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施工期：根据前文计算，本项目事故时</w:t>
      </w:r>
      <w:r w:rsidRPr="00092862">
        <w:rPr>
          <w:rFonts w:ascii="Times New Roman" w:eastAsia="宋体" w:hAnsi="Times New Roman" w:cs="Times New Roman"/>
          <w:color w:val="000000" w:themeColor="text1"/>
          <w:sz w:val="24"/>
          <w:szCs w:val="24"/>
        </w:rPr>
        <w:t>CH</w:t>
      </w:r>
      <w:r w:rsidRPr="00092862">
        <w:rPr>
          <w:rFonts w:ascii="Times New Roman" w:eastAsia="宋体" w:hAnsi="Times New Roman" w:cs="Times New Roman"/>
          <w:color w:val="000000" w:themeColor="text1"/>
          <w:sz w:val="24"/>
          <w:szCs w:val="24"/>
          <w:vertAlign w:val="subscript"/>
        </w:rPr>
        <w:t>4</w:t>
      </w:r>
      <w:r w:rsidRPr="00092862">
        <w:rPr>
          <w:rFonts w:ascii="Times New Roman" w:eastAsia="宋体" w:hAnsi="Times New Roman" w:cs="Times New Roman"/>
          <w:color w:val="000000" w:themeColor="text1"/>
          <w:sz w:val="24"/>
          <w:szCs w:val="24"/>
        </w:rPr>
        <w:t>泄露总量按单井计最大为</w:t>
      </w:r>
      <w:r w:rsidR="00D713D7" w:rsidRPr="00092862">
        <w:rPr>
          <w:rFonts w:ascii="Times New Roman" w:eastAsia="宋体" w:hAnsi="Times New Roman" w:cs="Times New Roman"/>
          <w:color w:val="000000" w:themeColor="text1"/>
          <w:sz w:val="24"/>
          <w:szCs w:val="24"/>
        </w:rPr>
        <w:t>5.27t</w:t>
      </w:r>
      <w:r w:rsidRPr="00092862">
        <w:rPr>
          <w:rFonts w:ascii="Times New Roman" w:eastAsia="宋体" w:hAnsi="Times New Roman" w:cs="Times New Roman"/>
          <w:color w:val="000000" w:themeColor="text1"/>
          <w:sz w:val="24"/>
          <w:szCs w:val="24"/>
        </w:rPr>
        <w:t>，</w:t>
      </w:r>
      <w:r w:rsidR="00697429" w:rsidRPr="00092862">
        <w:rPr>
          <w:rFonts w:ascii="Times New Roman" w:eastAsia="宋体" w:hAnsi="Times New Roman" w:cs="Times New Roman"/>
          <w:color w:val="000000" w:themeColor="text1"/>
          <w:sz w:val="24"/>
          <w:szCs w:val="24"/>
        </w:rPr>
        <w:t>小</w:t>
      </w:r>
      <w:r w:rsidRPr="00092862">
        <w:rPr>
          <w:rFonts w:ascii="Times New Roman" w:eastAsia="宋体" w:hAnsi="Times New Roman" w:cs="Times New Roman"/>
          <w:color w:val="000000" w:themeColor="text1"/>
          <w:sz w:val="24"/>
          <w:szCs w:val="24"/>
        </w:rPr>
        <w:t>于其临界量</w:t>
      </w:r>
      <w:r w:rsidRPr="00092862">
        <w:rPr>
          <w:rFonts w:ascii="Times New Roman" w:eastAsia="宋体" w:hAnsi="Times New Roman" w:cs="Times New Roman"/>
          <w:color w:val="000000" w:themeColor="text1"/>
          <w:sz w:val="24"/>
          <w:szCs w:val="24"/>
        </w:rPr>
        <w:t>10t</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bCs/>
          <w:color w:val="000000" w:themeColor="text1"/>
          <w:sz w:val="24"/>
          <w:szCs w:val="24"/>
        </w:rPr>
        <w:t>H</w:t>
      </w:r>
      <w:r w:rsidRPr="00092862">
        <w:rPr>
          <w:rFonts w:ascii="Times New Roman" w:eastAsia="宋体" w:hAnsi="Times New Roman" w:cs="Times New Roman"/>
          <w:bCs/>
          <w:color w:val="000000" w:themeColor="text1"/>
          <w:sz w:val="24"/>
          <w:szCs w:val="24"/>
          <w:vertAlign w:val="subscript"/>
        </w:rPr>
        <w:t>2</w:t>
      </w:r>
      <w:r w:rsidRPr="00092862">
        <w:rPr>
          <w:rFonts w:ascii="Times New Roman" w:eastAsia="宋体" w:hAnsi="Times New Roman" w:cs="Times New Roman"/>
          <w:bCs/>
          <w:color w:val="000000" w:themeColor="text1"/>
          <w:sz w:val="24"/>
          <w:szCs w:val="24"/>
        </w:rPr>
        <w:t>S</w:t>
      </w:r>
      <w:r w:rsidRPr="00092862">
        <w:rPr>
          <w:rFonts w:ascii="Times New Roman" w:eastAsia="宋体" w:hAnsi="Times New Roman" w:cs="Times New Roman"/>
          <w:color w:val="000000" w:themeColor="text1"/>
          <w:sz w:val="24"/>
          <w:szCs w:val="24"/>
        </w:rPr>
        <w:t>泄露总量按单井计最大为</w:t>
      </w:r>
      <w:r w:rsidR="00D713D7" w:rsidRPr="00092862">
        <w:rPr>
          <w:rFonts w:ascii="Times New Roman" w:eastAsia="宋体" w:hAnsi="Times New Roman" w:cs="Times New Roman"/>
          <w:color w:val="000000" w:themeColor="text1"/>
          <w:sz w:val="24"/>
          <w:szCs w:val="24"/>
        </w:rPr>
        <w:t>1.98t</w:t>
      </w:r>
      <w:r w:rsidRPr="00092862">
        <w:rPr>
          <w:rFonts w:ascii="Times New Roman" w:eastAsia="宋体" w:hAnsi="Times New Roman" w:cs="Times New Roman"/>
          <w:color w:val="000000" w:themeColor="text1"/>
          <w:sz w:val="24"/>
          <w:szCs w:val="24"/>
        </w:rPr>
        <w:t>，</w:t>
      </w:r>
      <w:r w:rsidR="00697429" w:rsidRPr="00092862">
        <w:rPr>
          <w:rFonts w:ascii="Times New Roman" w:eastAsia="宋体" w:hAnsi="Times New Roman" w:cs="Times New Roman"/>
          <w:color w:val="000000" w:themeColor="text1"/>
          <w:sz w:val="24"/>
          <w:szCs w:val="24"/>
        </w:rPr>
        <w:t>小</w:t>
      </w:r>
      <w:r w:rsidRPr="00092862">
        <w:rPr>
          <w:rFonts w:ascii="Times New Roman" w:eastAsia="宋体" w:hAnsi="Times New Roman" w:cs="Times New Roman"/>
          <w:color w:val="000000" w:themeColor="text1"/>
          <w:sz w:val="24"/>
          <w:szCs w:val="24"/>
        </w:rPr>
        <w:t>于其临界量</w:t>
      </w:r>
      <w:r w:rsidRPr="00092862">
        <w:rPr>
          <w:rFonts w:ascii="Times New Roman" w:eastAsia="宋体" w:hAnsi="Times New Roman" w:cs="Times New Roman"/>
          <w:color w:val="000000" w:themeColor="text1"/>
          <w:sz w:val="24"/>
          <w:szCs w:val="24"/>
        </w:rPr>
        <w:t>2.5t</w:t>
      </w:r>
      <w:r w:rsidRPr="00092862">
        <w:rPr>
          <w:rFonts w:ascii="Times New Roman" w:eastAsia="宋体" w:hAnsi="Times New Roman" w:cs="Times New Roman"/>
          <w:color w:val="000000" w:themeColor="text1"/>
          <w:sz w:val="24"/>
          <w:szCs w:val="24"/>
        </w:rPr>
        <w:t>。钻</w:t>
      </w:r>
      <w:r w:rsidRPr="00092862">
        <w:rPr>
          <w:rFonts w:ascii="Times New Roman" w:eastAsia="宋体" w:hAnsi="Times New Roman" w:cs="Times New Roman"/>
          <w:color w:val="000000" w:themeColor="text1"/>
          <w:sz w:val="24"/>
          <w:szCs w:val="24"/>
        </w:rPr>
        <w:lastRenderedPageBreak/>
        <w:t>井阶段现场柴油储存、使用量最大为</w:t>
      </w:r>
      <w:r w:rsidRPr="00092862">
        <w:rPr>
          <w:rFonts w:ascii="Times New Roman" w:eastAsia="宋体" w:hAnsi="Times New Roman" w:cs="Times New Roman"/>
          <w:color w:val="000000" w:themeColor="text1"/>
          <w:sz w:val="24"/>
          <w:szCs w:val="24"/>
        </w:rPr>
        <w:t>16t</w:t>
      </w:r>
      <w:r w:rsidRPr="00092862">
        <w:rPr>
          <w:rFonts w:ascii="Times New Roman" w:eastAsia="宋体" w:hAnsi="Times New Roman" w:cs="Times New Roman"/>
          <w:color w:val="000000" w:themeColor="text1"/>
          <w:sz w:val="24"/>
          <w:szCs w:val="24"/>
        </w:rPr>
        <w:t>；废油单井产生量约</w:t>
      </w:r>
      <w:r w:rsidRPr="00092862">
        <w:rPr>
          <w:rFonts w:ascii="Times New Roman" w:eastAsia="宋体" w:hAnsi="Times New Roman" w:cs="Times New Roman"/>
          <w:color w:val="000000" w:themeColor="text1"/>
          <w:sz w:val="24"/>
          <w:szCs w:val="24"/>
        </w:rPr>
        <w:t>0.4m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，现场采取</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个容积为</w:t>
      </w:r>
      <w:r w:rsidRPr="00092862">
        <w:rPr>
          <w:rFonts w:ascii="Times New Roman" w:eastAsia="宋体" w:hAnsi="Times New Roman" w:cs="Times New Roman"/>
          <w:color w:val="000000" w:themeColor="text1"/>
          <w:sz w:val="24"/>
          <w:szCs w:val="24"/>
        </w:rPr>
        <w:t>25L</w:t>
      </w:r>
      <w:r w:rsidRPr="00092862">
        <w:rPr>
          <w:rFonts w:ascii="Times New Roman" w:eastAsia="宋体" w:hAnsi="Times New Roman" w:cs="Times New Roman"/>
          <w:color w:val="000000" w:themeColor="text1"/>
          <w:sz w:val="24"/>
          <w:szCs w:val="24"/>
        </w:rPr>
        <w:t>的废油收集桶，废油随时回用，废油最大存在量为</w:t>
      </w:r>
      <w:r w:rsidRPr="00092862">
        <w:rPr>
          <w:rFonts w:ascii="Times New Roman" w:eastAsia="宋体" w:hAnsi="Times New Roman" w:cs="Times New Roman"/>
          <w:color w:val="000000" w:themeColor="text1"/>
          <w:sz w:val="24"/>
          <w:szCs w:val="24"/>
        </w:rPr>
        <w:t>0.1m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，废油密度约</w:t>
      </w:r>
      <w:r w:rsidRPr="00092862">
        <w:rPr>
          <w:rFonts w:ascii="Times New Roman" w:eastAsia="宋体" w:hAnsi="Times New Roman" w:cs="Times New Roman"/>
          <w:color w:val="000000" w:themeColor="text1"/>
          <w:sz w:val="24"/>
          <w:szCs w:val="24"/>
        </w:rPr>
        <w:t>0.85</w:t>
      </w:r>
      <w:r w:rsidRPr="00092862">
        <w:rPr>
          <w:rFonts w:ascii="Times New Roman" w:eastAsia="宋体" w:hAnsi="Times New Roman" w:cs="Times New Roman"/>
          <w:color w:val="000000" w:themeColor="text1"/>
          <w:sz w:val="24"/>
          <w:szCs w:val="24"/>
        </w:rPr>
        <w:t>，故废油量最大为</w:t>
      </w:r>
      <w:r w:rsidRPr="00092862">
        <w:rPr>
          <w:rFonts w:ascii="Times New Roman" w:eastAsia="宋体" w:hAnsi="Times New Roman" w:cs="Times New Roman"/>
          <w:color w:val="000000" w:themeColor="text1"/>
          <w:sz w:val="24"/>
          <w:szCs w:val="24"/>
        </w:rPr>
        <w:t>0.085t</w:t>
      </w:r>
      <w:r w:rsidRPr="00092862">
        <w:rPr>
          <w:rFonts w:ascii="Times New Roman" w:eastAsia="宋体" w:hAnsi="Times New Roman" w:cs="Times New Roman"/>
          <w:color w:val="000000" w:themeColor="text1"/>
          <w:sz w:val="24"/>
          <w:szCs w:val="24"/>
        </w:rPr>
        <w:t>，因此共计油类</w:t>
      </w:r>
      <w:r w:rsidRPr="00092862">
        <w:rPr>
          <w:rFonts w:ascii="Times New Roman" w:eastAsia="宋体" w:hAnsi="Times New Roman" w:cs="Times New Roman"/>
          <w:color w:val="000000" w:themeColor="text1"/>
          <w:sz w:val="24"/>
          <w:szCs w:val="24"/>
        </w:rPr>
        <w:t>16.085t</w:t>
      </w:r>
      <w:r w:rsidRPr="00092862">
        <w:rPr>
          <w:rFonts w:ascii="Times New Roman" w:eastAsia="宋体" w:hAnsi="Times New Roman" w:cs="Times New Roman"/>
          <w:color w:val="000000" w:themeColor="text1"/>
          <w:sz w:val="24"/>
          <w:szCs w:val="24"/>
        </w:rPr>
        <w:t>，远小于油类物质临界量为</w:t>
      </w:r>
      <w:r w:rsidRPr="00092862">
        <w:rPr>
          <w:rFonts w:ascii="Times New Roman" w:eastAsia="宋体" w:hAnsi="Times New Roman" w:cs="Times New Roman"/>
          <w:color w:val="000000" w:themeColor="text1"/>
          <w:sz w:val="24"/>
          <w:szCs w:val="24"/>
        </w:rPr>
        <w:t>2500t</w:t>
      </w:r>
      <w:r w:rsidRPr="00092862">
        <w:rPr>
          <w:rFonts w:ascii="Times New Roman" w:eastAsia="宋体" w:hAnsi="Times New Roman" w:cs="Times New Roman"/>
          <w:color w:val="000000" w:themeColor="text1"/>
          <w:sz w:val="24"/>
          <w:szCs w:val="24"/>
        </w:rPr>
        <w:t>。</w:t>
      </w:r>
    </w:p>
    <w:p w14:paraId="6697718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试采期：类比川东北地区类似井站经验数据，集气站场工艺设备及管道内天然气在发生事故后可通过截断阀控制，试采期采气、分离设备管线内单井天然气量约</w:t>
      </w:r>
      <w:r w:rsidRPr="00092862">
        <w:rPr>
          <w:rFonts w:ascii="Times New Roman" w:eastAsia="宋体" w:hAnsi="Times New Roman" w:cs="Times New Roman"/>
          <w:color w:val="000000" w:themeColor="text1"/>
          <w:sz w:val="24"/>
          <w:szCs w:val="24"/>
        </w:rPr>
        <w:t>200m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，其中甲烷在线量为</w:t>
      </w:r>
      <w:r w:rsidRPr="00092862">
        <w:rPr>
          <w:rFonts w:ascii="Times New Roman" w:eastAsia="宋体" w:hAnsi="Times New Roman" w:cs="Times New Roman"/>
          <w:color w:val="000000" w:themeColor="text1"/>
          <w:sz w:val="24"/>
          <w:szCs w:val="24"/>
        </w:rPr>
        <w:t>0.12t</w:t>
      </w:r>
      <w:r w:rsidRPr="00092862">
        <w:rPr>
          <w:rFonts w:ascii="Times New Roman" w:eastAsia="宋体" w:hAnsi="Times New Roman" w:cs="Times New Roman"/>
          <w:color w:val="000000" w:themeColor="text1"/>
          <w:sz w:val="24"/>
          <w:szCs w:val="24"/>
        </w:rPr>
        <w:t>，小于其临界量</w:t>
      </w:r>
      <w:r w:rsidRPr="00092862">
        <w:rPr>
          <w:rFonts w:ascii="Times New Roman" w:eastAsia="宋体" w:hAnsi="Times New Roman" w:cs="Times New Roman"/>
          <w:color w:val="000000" w:themeColor="text1"/>
          <w:sz w:val="24"/>
          <w:szCs w:val="24"/>
        </w:rPr>
        <w:t>10t</w:t>
      </w:r>
      <w:r w:rsidRPr="00092862">
        <w:rPr>
          <w:rFonts w:ascii="Times New Roman" w:eastAsia="宋体" w:hAnsi="Times New Roman" w:cs="Times New Roman"/>
          <w:color w:val="000000" w:themeColor="text1"/>
          <w:sz w:val="24"/>
          <w:szCs w:val="24"/>
        </w:rPr>
        <w:t>；硫化氢在线量为</w:t>
      </w:r>
      <w:r w:rsidRPr="00092862">
        <w:rPr>
          <w:rFonts w:ascii="Times New Roman" w:eastAsia="宋体" w:hAnsi="Times New Roman" w:cs="Times New Roman"/>
          <w:color w:val="000000" w:themeColor="text1"/>
          <w:sz w:val="24"/>
          <w:szCs w:val="24"/>
        </w:rPr>
        <w:t>0.04t</w:t>
      </w:r>
      <w:r w:rsidRPr="00092862">
        <w:rPr>
          <w:rFonts w:ascii="Times New Roman" w:eastAsia="宋体" w:hAnsi="Times New Roman" w:cs="Times New Roman"/>
          <w:color w:val="000000" w:themeColor="text1"/>
          <w:sz w:val="24"/>
          <w:szCs w:val="24"/>
        </w:rPr>
        <w:t>，小于其临界量</w:t>
      </w:r>
      <w:r w:rsidRPr="00092862">
        <w:rPr>
          <w:rFonts w:ascii="Times New Roman" w:eastAsia="宋体" w:hAnsi="Times New Roman" w:cs="Times New Roman"/>
          <w:color w:val="000000" w:themeColor="text1"/>
          <w:sz w:val="24"/>
          <w:szCs w:val="24"/>
        </w:rPr>
        <w:t>10t</w:t>
      </w:r>
      <w:r w:rsidRPr="00092862">
        <w:rPr>
          <w:rFonts w:ascii="Times New Roman" w:eastAsia="宋体" w:hAnsi="Times New Roman" w:cs="Times New Roman"/>
          <w:color w:val="000000" w:themeColor="text1"/>
          <w:sz w:val="24"/>
          <w:szCs w:val="24"/>
        </w:rPr>
        <w:t>。</w:t>
      </w:r>
    </w:p>
    <w:p w14:paraId="5AEA76D2" w14:textId="3FD3125F"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本项目环境风险物质数量与临界量的比值</w:t>
      </w:r>
      <w:r w:rsidRPr="00092862">
        <w:rPr>
          <w:rFonts w:ascii="Times New Roman" w:eastAsia="黑体" w:hAnsi="Times New Roman"/>
          <w:color w:val="000000" w:themeColor="text1"/>
          <w:sz w:val="21"/>
          <w:szCs w:val="21"/>
          <w:lang w:eastAsia="zh-CN"/>
        </w:rPr>
        <w:t>Q</w:t>
      </w:r>
      <w:r w:rsidRPr="00092862">
        <w:rPr>
          <w:rFonts w:ascii="Times New Roman" w:eastAsia="黑体" w:hAnsi="Times New Roman"/>
          <w:color w:val="000000" w:themeColor="text1"/>
          <w:sz w:val="21"/>
          <w:szCs w:val="21"/>
          <w:lang w:eastAsia="zh-CN"/>
        </w:rPr>
        <w:t>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836"/>
        <w:gridCol w:w="1439"/>
        <w:gridCol w:w="1703"/>
        <w:gridCol w:w="1704"/>
        <w:gridCol w:w="1703"/>
      </w:tblGrid>
      <w:tr w:rsidR="00697429" w:rsidRPr="00092862" w14:paraId="06B21606" w14:textId="77777777" w:rsidTr="00C54C73">
        <w:trPr>
          <w:jc w:val="center"/>
        </w:trPr>
        <w:tc>
          <w:tcPr>
            <w:tcW w:w="837" w:type="dxa"/>
            <w:vMerge w:val="restart"/>
            <w:vAlign w:val="center"/>
          </w:tcPr>
          <w:p w14:paraId="6FDD340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w:t>
            </w:r>
          </w:p>
        </w:tc>
        <w:tc>
          <w:tcPr>
            <w:tcW w:w="836" w:type="dxa"/>
            <w:vAlign w:val="center"/>
          </w:tcPr>
          <w:p w14:paraId="1421ACF0"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1439" w:type="dxa"/>
            <w:vAlign w:val="center"/>
          </w:tcPr>
          <w:p w14:paraId="6AF4363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物质</w:t>
            </w:r>
          </w:p>
        </w:tc>
        <w:tc>
          <w:tcPr>
            <w:tcW w:w="1703" w:type="dxa"/>
          </w:tcPr>
          <w:p w14:paraId="35D1FE88"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q</w:t>
            </w:r>
            <w:r w:rsidRPr="00092862">
              <w:rPr>
                <w:rFonts w:ascii="Times New Roman" w:eastAsia="宋体" w:hAnsi="Times New Roman" w:cs="Times New Roman"/>
                <w:color w:val="000000" w:themeColor="text1"/>
                <w:szCs w:val="21"/>
                <w:vertAlign w:val="subscript"/>
              </w:rPr>
              <w:t>n</w:t>
            </w:r>
            <w:r w:rsidRPr="00092862">
              <w:rPr>
                <w:rFonts w:ascii="Times New Roman" w:eastAsia="宋体" w:hAnsi="Times New Roman" w:cs="Times New Roman"/>
                <w:color w:val="000000" w:themeColor="text1"/>
                <w:szCs w:val="21"/>
              </w:rPr>
              <w:t>，储存量，</w:t>
            </w:r>
            <w:r w:rsidRPr="00092862">
              <w:rPr>
                <w:rFonts w:ascii="Times New Roman" w:eastAsia="宋体" w:hAnsi="Times New Roman" w:cs="Times New Roman"/>
                <w:color w:val="000000" w:themeColor="text1"/>
                <w:szCs w:val="21"/>
              </w:rPr>
              <w:t>t</w:t>
            </w:r>
          </w:p>
        </w:tc>
        <w:tc>
          <w:tcPr>
            <w:tcW w:w="1704" w:type="dxa"/>
          </w:tcPr>
          <w:p w14:paraId="541E73C2"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Q</w:t>
            </w:r>
            <w:r w:rsidRPr="00092862">
              <w:rPr>
                <w:rFonts w:ascii="Times New Roman" w:eastAsia="宋体" w:hAnsi="Times New Roman" w:cs="Times New Roman"/>
                <w:color w:val="000000" w:themeColor="text1"/>
                <w:szCs w:val="21"/>
                <w:vertAlign w:val="subscript"/>
              </w:rPr>
              <w:t>n</w:t>
            </w:r>
            <w:r w:rsidRPr="00092862">
              <w:rPr>
                <w:rFonts w:ascii="Times New Roman" w:eastAsia="宋体" w:hAnsi="Times New Roman" w:cs="Times New Roman"/>
                <w:color w:val="000000" w:themeColor="text1"/>
                <w:szCs w:val="21"/>
                <w:vertAlign w:val="subscript"/>
              </w:rPr>
              <w:t>，</w:t>
            </w:r>
            <w:r w:rsidRPr="00092862">
              <w:rPr>
                <w:rFonts w:ascii="Times New Roman" w:eastAsia="宋体" w:hAnsi="Times New Roman" w:cs="Times New Roman"/>
                <w:color w:val="000000" w:themeColor="text1"/>
                <w:szCs w:val="21"/>
              </w:rPr>
              <w:t>临界量，</w:t>
            </w:r>
            <w:r w:rsidRPr="00092862">
              <w:rPr>
                <w:rFonts w:ascii="Times New Roman" w:eastAsia="宋体" w:hAnsi="Times New Roman" w:cs="Times New Roman"/>
                <w:color w:val="000000" w:themeColor="text1"/>
                <w:szCs w:val="21"/>
              </w:rPr>
              <w:t>t</w:t>
            </w:r>
          </w:p>
        </w:tc>
        <w:tc>
          <w:tcPr>
            <w:tcW w:w="1703" w:type="dxa"/>
          </w:tcPr>
          <w:p w14:paraId="2F4BB6D7"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Q</w:t>
            </w:r>
          </w:p>
        </w:tc>
      </w:tr>
      <w:tr w:rsidR="00697429" w:rsidRPr="00092862" w14:paraId="31CDCA1B" w14:textId="77777777" w:rsidTr="00811387">
        <w:trPr>
          <w:jc w:val="center"/>
        </w:trPr>
        <w:tc>
          <w:tcPr>
            <w:tcW w:w="837" w:type="dxa"/>
            <w:vMerge/>
          </w:tcPr>
          <w:p w14:paraId="79039554"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p>
        </w:tc>
        <w:tc>
          <w:tcPr>
            <w:tcW w:w="836" w:type="dxa"/>
            <w:vAlign w:val="center"/>
          </w:tcPr>
          <w:p w14:paraId="1984BDB7"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439" w:type="dxa"/>
            <w:vAlign w:val="center"/>
          </w:tcPr>
          <w:p w14:paraId="146ED53F"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甲烷</w:t>
            </w:r>
          </w:p>
        </w:tc>
        <w:tc>
          <w:tcPr>
            <w:tcW w:w="1703" w:type="dxa"/>
          </w:tcPr>
          <w:p w14:paraId="7AF79B77" w14:textId="682681E3" w:rsidR="00D229E0" w:rsidRPr="00092862" w:rsidRDefault="00D713D7"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5.27</w:t>
            </w:r>
          </w:p>
        </w:tc>
        <w:tc>
          <w:tcPr>
            <w:tcW w:w="1704" w:type="dxa"/>
          </w:tcPr>
          <w:p w14:paraId="08140C4F"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1703" w:type="dxa"/>
            <w:vAlign w:val="bottom"/>
          </w:tcPr>
          <w:p w14:paraId="0428F1B8" w14:textId="706EB77E"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1.16</w:t>
            </w:r>
          </w:p>
        </w:tc>
      </w:tr>
      <w:tr w:rsidR="00697429" w:rsidRPr="00092862" w14:paraId="2E80BB98" w14:textId="77777777" w:rsidTr="00811387">
        <w:trPr>
          <w:jc w:val="center"/>
        </w:trPr>
        <w:tc>
          <w:tcPr>
            <w:tcW w:w="837" w:type="dxa"/>
            <w:vMerge/>
          </w:tcPr>
          <w:p w14:paraId="3ECF325E"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p>
        </w:tc>
        <w:tc>
          <w:tcPr>
            <w:tcW w:w="836" w:type="dxa"/>
            <w:vAlign w:val="center"/>
          </w:tcPr>
          <w:p w14:paraId="2DCC21B5"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1439" w:type="dxa"/>
            <w:vAlign w:val="center"/>
          </w:tcPr>
          <w:p w14:paraId="0B35E344"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硫化氢</w:t>
            </w:r>
          </w:p>
        </w:tc>
        <w:tc>
          <w:tcPr>
            <w:tcW w:w="1703" w:type="dxa"/>
          </w:tcPr>
          <w:p w14:paraId="2D5C5842" w14:textId="547E9C5D" w:rsidR="00D229E0" w:rsidRPr="00092862" w:rsidRDefault="00D713D7"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1.98</w:t>
            </w:r>
          </w:p>
        </w:tc>
        <w:tc>
          <w:tcPr>
            <w:tcW w:w="1704" w:type="dxa"/>
          </w:tcPr>
          <w:p w14:paraId="4AB2AA6D" w14:textId="77777777"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w:t>
            </w:r>
          </w:p>
        </w:tc>
        <w:tc>
          <w:tcPr>
            <w:tcW w:w="1703" w:type="dxa"/>
            <w:vAlign w:val="bottom"/>
          </w:tcPr>
          <w:p w14:paraId="4340F841" w14:textId="3D0DA1D0" w:rsidR="00D229E0" w:rsidRPr="00092862" w:rsidRDefault="00D229E0" w:rsidP="00D229E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1.74</w:t>
            </w:r>
          </w:p>
        </w:tc>
      </w:tr>
      <w:tr w:rsidR="00697429" w:rsidRPr="00092862" w14:paraId="2E8ECB8A" w14:textId="77777777" w:rsidTr="00C54C73">
        <w:trPr>
          <w:jc w:val="center"/>
        </w:trPr>
        <w:tc>
          <w:tcPr>
            <w:tcW w:w="837" w:type="dxa"/>
            <w:vMerge/>
          </w:tcPr>
          <w:p w14:paraId="1BA971DD"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p>
        </w:tc>
        <w:tc>
          <w:tcPr>
            <w:tcW w:w="836" w:type="dxa"/>
            <w:vAlign w:val="center"/>
          </w:tcPr>
          <w:p w14:paraId="4E81F53D"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p>
        </w:tc>
        <w:tc>
          <w:tcPr>
            <w:tcW w:w="1439" w:type="dxa"/>
            <w:vAlign w:val="center"/>
          </w:tcPr>
          <w:p w14:paraId="6AAA09B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油类</w:t>
            </w:r>
          </w:p>
        </w:tc>
        <w:tc>
          <w:tcPr>
            <w:tcW w:w="1703" w:type="dxa"/>
          </w:tcPr>
          <w:p w14:paraId="1843822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16.085</w:t>
            </w:r>
          </w:p>
        </w:tc>
        <w:tc>
          <w:tcPr>
            <w:tcW w:w="1704" w:type="dxa"/>
          </w:tcPr>
          <w:p w14:paraId="70E5EA3C"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2500</w:t>
            </w:r>
          </w:p>
        </w:tc>
        <w:tc>
          <w:tcPr>
            <w:tcW w:w="1703" w:type="dxa"/>
          </w:tcPr>
          <w:p w14:paraId="3F58039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0.006</w:t>
            </w:r>
          </w:p>
        </w:tc>
      </w:tr>
      <w:tr w:rsidR="00697429" w:rsidRPr="00092862" w14:paraId="3BA157E2" w14:textId="77777777" w:rsidTr="00C54C73">
        <w:trPr>
          <w:jc w:val="center"/>
        </w:trPr>
        <w:tc>
          <w:tcPr>
            <w:tcW w:w="837" w:type="dxa"/>
            <w:vMerge/>
          </w:tcPr>
          <w:p w14:paraId="3723477F"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p>
        </w:tc>
        <w:tc>
          <w:tcPr>
            <w:tcW w:w="5682" w:type="dxa"/>
            <w:gridSpan w:val="4"/>
            <w:vAlign w:val="center"/>
          </w:tcPr>
          <w:p w14:paraId="5F7AAF3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1703" w:type="dxa"/>
          </w:tcPr>
          <w:p w14:paraId="00A1009E" w14:textId="0634D965" w:rsidR="00450025" w:rsidRPr="00092862" w:rsidRDefault="00D713D7"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1.325</w:t>
            </w:r>
          </w:p>
        </w:tc>
      </w:tr>
      <w:tr w:rsidR="00697429" w:rsidRPr="00092862" w14:paraId="70D72DB1" w14:textId="77777777" w:rsidTr="00C54C73">
        <w:trPr>
          <w:jc w:val="center"/>
        </w:trPr>
        <w:tc>
          <w:tcPr>
            <w:tcW w:w="837" w:type="dxa"/>
            <w:vMerge w:val="restart"/>
            <w:vAlign w:val="center"/>
          </w:tcPr>
          <w:p w14:paraId="37B5529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p>
        </w:tc>
        <w:tc>
          <w:tcPr>
            <w:tcW w:w="836" w:type="dxa"/>
            <w:vAlign w:val="center"/>
          </w:tcPr>
          <w:p w14:paraId="422D6555"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序号</w:t>
            </w:r>
          </w:p>
        </w:tc>
        <w:tc>
          <w:tcPr>
            <w:tcW w:w="1439" w:type="dxa"/>
            <w:vAlign w:val="center"/>
          </w:tcPr>
          <w:p w14:paraId="629553D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物质</w:t>
            </w:r>
          </w:p>
        </w:tc>
        <w:tc>
          <w:tcPr>
            <w:tcW w:w="1703" w:type="dxa"/>
          </w:tcPr>
          <w:p w14:paraId="15BEDA9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q</w:t>
            </w:r>
            <w:r w:rsidRPr="00092862">
              <w:rPr>
                <w:rFonts w:ascii="Times New Roman" w:eastAsia="宋体" w:hAnsi="Times New Roman" w:cs="Times New Roman"/>
                <w:color w:val="000000" w:themeColor="text1"/>
                <w:szCs w:val="21"/>
                <w:vertAlign w:val="subscript"/>
              </w:rPr>
              <w:t>n</w:t>
            </w:r>
            <w:r w:rsidRPr="00092862">
              <w:rPr>
                <w:rFonts w:ascii="Times New Roman" w:eastAsia="宋体" w:hAnsi="Times New Roman" w:cs="Times New Roman"/>
                <w:color w:val="000000" w:themeColor="text1"/>
                <w:szCs w:val="21"/>
              </w:rPr>
              <w:t>，储存量，</w:t>
            </w:r>
            <w:r w:rsidRPr="00092862">
              <w:rPr>
                <w:rFonts w:ascii="Times New Roman" w:eastAsia="宋体" w:hAnsi="Times New Roman" w:cs="Times New Roman"/>
                <w:color w:val="000000" w:themeColor="text1"/>
                <w:szCs w:val="21"/>
              </w:rPr>
              <w:t>t</w:t>
            </w:r>
          </w:p>
        </w:tc>
        <w:tc>
          <w:tcPr>
            <w:tcW w:w="1704" w:type="dxa"/>
          </w:tcPr>
          <w:p w14:paraId="55D3B6A1"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Q</w:t>
            </w:r>
            <w:r w:rsidRPr="00092862">
              <w:rPr>
                <w:rFonts w:ascii="Times New Roman" w:eastAsia="宋体" w:hAnsi="Times New Roman" w:cs="Times New Roman"/>
                <w:color w:val="000000" w:themeColor="text1"/>
                <w:szCs w:val="21"/>
                <w:vertAlign w:val="subscript"/>
              </w:rPr>
              <w:t>n</w:t>
            </w:r>
            <w:r w:rsidRPr="00092862">
              <w:rPr>
                <w:rFonts w:ascii="Times New Roman" w:eastAsia="宋体" w:hAnsi="Times New Roman" w:cs="Times New Roman"/>
                <w:color w:val="000000" w:themeColor="text1"/>
                <w:szCs w:val="21"/>
                <w:vertAlign w:val="subscript"/>
              </w:rPr>
              <w:t>，</w:t>
            </w:r>
            <w:r w:rsidRPr="00092862">
              <w:rPr>
                <w:rFonts w:ascii="Times New Roman" w:eastAsia="宋体" w:hAnsi="Times New Roman" w:cs="Times New Roman"/>
                <w:color w:val="000000" w:themeColor="text1"/>
                <w:szCs w:val="21"/>
              </w:rPr>
              <w:t>临界量，</w:t>
            </w:r>
            <w:r w:rsidRPr="00092862">
              <w:rPr>
                <w:rFonts w:ascii="Times New Roman" w:eastAsia="宋体" w:hAnsi="Times New Roman" w:cs="Times New Roman"/>
                <w:color w:val="000000" w:themeColor="text1"/>
                <w:szCs w:val="21"/>
              </w:rPr>
              <w:t>t</w:t>
            </w:r>
          </w:p>
        </w:tc>
        <w:tc>
          <w:tcPr>
            <w:tcW w:w="1703" w:type="dxa"/>
          </w:tcPr>
          <w:p w14:paraId="3612230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Q</w:t>
            </w:r>
          </w:p>
        </w:tc>
      </w:tr>
      <w:tr w:rsidR="00697429" w:rsidRPr="00092862" w14:paraId="710B4E6A" w14:textId="77777777" w:rsidTr="00C54C73">
        <w:trPr>
          <w:jc w:val="center"/>
        </w:trPr>
        <w:tc>
          <w:tcPr>
            <w:tcW w:w="837" w:type="dxa"/>
            <w:vMerge/>
          </w:tcPr>
          <w:p w14:paraId="0A00D132"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p>
        </w:tc>
        <w:tc>
          <w:tcPr>
            <w:tcW w:w="836" w:type="dxa"/>
            <w:vAlign w:val="center"/>
          </w:tcPr>
          <w:p w14:paraId="5C66223C"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c>
          <w:tcPr>
            <w:tcW w:w="1439" w:type="dxa"/>
            <w:vAlign w:val="center"/>
          </w:tcPr>
          <w:p w14:paraId="553C450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甲烷</w:t>
            </w:r>
          </w:p>
        </w:tc>
        <w:tc>
          <w:tcPr>
            <w:tcW w:w="1703" w:type="dxa"/>
          </w:tcPr>
          <w:p w14:paraId="04318A65"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0.12</w:t>
            </w:r>
          </w:p>
        </w:tc>
        <w:tc>
          <w:tcPr>
            <w:tcW w:w="1704" w:type="dxa"/>
          </w:tcPr>
          <w:p w14:paraId="7B96FE88"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1703" w:type="dxa"/>
          </w:tcPr>
          <w:p w14:paraId="6AAFB04C"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0.012</w:t>
            </w:r>
          </w:p>
        </w:tc>
      </w:tr>
      <w:tr w:rsidR="00697429" w:rsidRPr="00092862" w14:paraId="4B1F20D1" w14:textId="77777777" w:rsidTr="00C54C73">
        <w:trPr>
          <w:jc w:val="center"/>
        </w:trPr>
        <w:tc>
          <w:tcPr>
            <w:tcW w:w="837" w:type="dxa"/>
            <w:vMerge/>
          </w:tcPr>
          <w:p w14:paraId="59CC2D8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p>
        </w:tc>
        <w:tc>
          <w:tcPr>
            <w:tcW w:w="836" w:type="dxa"/>
            <w:vAlign w:val="center"/>
          </w:tcPr>
          <w:p w14:paraId="08FC2336"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c>
          <w:tcPr>
            <w:tcW w:w="1439" w:type="dxa"/>
            <w:vAlign w:val="center"/>
          </w:tcPr>
          <w:p w14:paraId="4BDF8FC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硫化氢</w:t>
            </w:r>
          </w:p>
        </w:tc>
        <w:tc>
          <w:tcPr>
            <w:tcW w:w="1703" w:type="dxa"/>
          </w:tcPr>
          <w:p w14:paraId="5A9CACB9"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0.04</w:t>
            </w:r>
          </w:p>
        </w:tc>
        <w:tc>
          <w:tcPr>
            <w:tcW w:w="1704" w:type="dxa"/>
          </w:tcPr>
          <w:p w14:paraId="479B1BB5"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w:t>
            </w:r>
          </w:p>
        </w:tc>
        <w:tc>
          <w:tcPr>
            <w:tcW w:w="1703" w:type="dxa"/>
          </w:tcPr>
          <w:p w14:paraId="2482DB2D"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0.016</w:t>
            </w:r>
          </w:p>
        </w:tc>
      </w:tr>
      <w:tr w:rsidR="00697429" w:rsidRPr="00092862" w14:paraId="48201A85" w14:textId="77777777" w:rsidTr="00C54C73">
        <w:trPr>
          <w:jc w:val="center"/>
        </w:trPr>
        <w:tc>
          <w:tcPr>
            <w:tcW w:w="837" w:type="dxa"/>
            <w:vMerge/>
          </w:tcPr>
          <w:p w14:paraId="043AD91B"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p>
        </w:tc>
        <w:tc>
          <w:tcPr>
            <w:tcW w:w="5682" w:type="dxa"/>
            <w:gridSpan w:val="4"/>
            <w:vAlign w:val="center"/>
          </w:tcPr>
          <w:p w14:paraId="60A798DA"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1703" w:type="dxa"/>
          </w:tcPr>
          <w:p w14:paraId="189FDE4E" w14:textId="77777777" w:rsidR="00450025" w:rsidRPr="00092862" w:rsidRDefault="00450025" w:rsidP="00C54C73">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0.028</w:t>
            </w:r>
          </w:p>
        </w:tc>
      </w:tr>
    </w:tbl>
    <w:p w14:paraId="12A64566" w14:textId="2699C878" w:rsidR="00450025" w:rsidRPr="00092862" w:rsidRDefault="00450025" w:rsidP="00450025">
      <w:pPr>
        <w:pStyle w:val="ac"/>
        <w:adjustRightInd w:val="0"/>
        <w:snapToGrid w:val="0"/>
        <w:spacing w:beforeLines="50" w:before="120" w:line="360" w:lineRule="auto"/>
        <w:ind w:left="0" w:firstLineChars="200" w:firstLine="480"/>
        <w:jc w:val="both"/>
        <w:rPr>
          <w:rFonts w:ascii="Times New Roman" w:hAnsi="Times New Roman"/>
          <w:bCs/>
          <w:snapToGrid w:val="0"/>
          <w:color w:val="000000" w:themeColor="text1"/>
          <w:lang w:eastAsia="zh-CN"/>
        </w:rPr>
      </w:pPr>
      <w:r w:rsidRPr="00092862">
        <w:rPr>
          <w:rFonts w:ascii="Times New Roman" w:hAnsi="Times New Roman"/>
          <w:bCs/>
          <w:snapToGrid w:val="0"/>
          <w:color w:val="000000" w:themeColor="text1"/>
          <w:lang w:eastAsia="zh-CN"/>
        </w:rPr>
        <w:t>根据表</w:t>
      </w:r>
      <w:r w:rsidR="00CA20DF" w:rsidRPr="00092862">
        <w:rPr>
          <w:rFonts w:ascii="Times New Roman" w:hAnsi="Times New Roman"/>
          <w:bCs/>
          <w:snapToGrid w:val="0"/>
          <w:color w:val="000000" w:themeColor="text1"/>
          <w:lang w:eastAsia="zh-CN"/>
        </w:rPr>
        <w:t>6.1-6</w:t>
      </w:r>
      <w:r w:rsidRPr="00092862">
        <w:rPr>
          <w:rFonts w:ascii="Times New Roman" w:hAnsi="Times New Roman"/>
          <w:bCs/>
          <w:snapToGrid w:val="0"/>
          <w:color w:val="000000" w:themeColor="text1"/>
          <w:lang w:eastAsia="zh-CN"/>
        </w:rPr>
        <w:t>计算可知，企业的主要危险物质：施工期天然气所含的甲烷、硫化氢和油类物质的</w:t>
      </w:r>
      <w:r w:rsidRPr="00092862">
        <w:rPr>
          <w:rFonts w:ascii="Times New Roman" w:hAnsi="Times New Roman"/>
          <w:bCs/>
          <w:snapToGrid w:val="0"/>
          <w:color w:val="000000" w:themeColor="text1"/>
          <w:lang w:eastAsia="zh-CN"/>
        </w:rPr>
        <w:t>Q</w:t>
      </w:r>
      <w:r w:rsidRPr="00092862">
        <w:rPr>
          <w:rFonts w:ascii="Times New Roman" w:hAnsi="Times New Roman"/>
          <w:bCs/>
          <w:snapToGrid w:val="0"/>
          <w:color w:val="000000" w:themeColor="text1"/>
          <w:lang w:eastAsia="zh-CN"/>
        </w:rPr>
        <w:t>值计算结果为</w:t>
      </w:r>
      <w:r w:rsidR="00697429" w:rsidRPr="00092862">
        <w:rPr>
          <w:rFonts w:ascii="Times New Roman" w:hAnsi="Times New Roman"/>
          <w:bCs/>
          <w:snapToGrid w:val="0"/>
          <w:color w:val="000000" w:themeColor="text1"/>
          <w:lang w:eastAsia="zh-CN"/>
        </w:rPr>
        <w:t>1.325</w:t>
      </w:r>
      <w:r w:rsidRPr="00092862">
        <w:rPr>
          <w:rFonts w:ascii="Times New Roman" w:hAnsi="Times New Roman"/>
          <w:bCs/>
          <w:snapToGrid w:val="0"/>
          <w:color w:val="000000" w:themeColor="text1"/>
          <w:lang w:eastAsia="zh-CN"/>
        </w:rPr>
        <w:t>，</w:t>
      </w:r>
      <w:r w:rsidRPr="00092862">
        <w:rPr>
          <w:rFonts w:ascii="Times New Roman" w:hAnsi="Times New Roman"/>
          <w:bCs/>
          <w:snapToGrid w:val="0"/>
          <w:color w:val="000000" w:themeColor="text1"/>
          <w:lang w:eastAsia="zh-CN"/>
        </w:rPr>
        <w:t>Q</w:t>
      </w:r>
      <w:r w:rsidRPr="00092862">
        <w:rPr>
          <w:rFonts w:ascii="Times New Roman" w:hAnsi="Times New Roman"/>
          <w:bCs/>
          <w:snapToGrid w:val="0"/>
          <w:color w:val="000000" w:themeColor="text1"/>
          <w:lang w:eastAsia="zh-CN"/>
        </w:rPr>
        <w:t>值</w:t>
      </w:r>
      <w:r w:rsidR="00D229E0" w:rsidRPr="00092862">
        <w:rPr>
          <w:rFonts w:ascii="Times New Roman" w:hAnsi="Times New Roman"/>
          <w:bCs/>
          <w:snapToGrid w:val="0"/>
          <w:color w:val="000000" w:themeColor="text1"/>
          <w:lang w:eastAsia="zh-CN"/>
        </w:rPr>
        <w:t>＞</w:t>
      </w:r>
      <w:r w:rsidRPr="00092862">
        <w:rPr>
          <w:rFonts w:ascii="Times New Roman" w:hAnsi="Times New Roman"/>
          <w:bCs/>
          <w:snapToGrid w:val="0"/>
          <w:color w:val="000000" w:themeColor="text1"/>
          <w:lang w:eastAsia="zh-CN"/>
        </w:rPr>
        <w:t>1</w:t>
      </w:r>
      <w:r w:rsidRPr="00092862">
        <w:rPr>
          <w:rFonts w:ascii="Times New Roman" w:hAnsi="Times New Roman"/>
          <w:bCs/>
          <w:snapToGrid w:val="0"/>
          <w:color w:val="000000" w:themeColor="text1"/>
          <w:lang w:eastAsia="zh-CN"/>
        </w:rPr>
        <w:t>；试采期天然气所含的甲烷和硫化氢的</w:t>
      </w:r>
      <w:r w:rsidRPr="00092862">
        <w:rPr>
          <w:rFonts w:ascii="Times New Roman" w:hAnsi="Times New Roman"/>
          <w:bCs/>
          <w:snapToGrid w:val="0"/>
          <w:color w:val="000000" w:themeColor="text1"/>
          <w:lang w:eastAsia="zh-CN"/>
        </w:rPr>
        <w:t>Q</w:t>
      </w:r>
      <w:r w:rsidRPr="00092862">
        <w:rPr>
          <w:rFonts w:ascii="Times New Roman" w:hAnsi="Times New Roman"/>
          <w:bCs/>
          <w:snapToGrid w:val="0"/>
          <w:color w:val="000000" w:themeColor="text1"/>
          <w:lang w:eastAsia="zh-CN"/>
        </w:rPr>
        <w:t>值计算结果为</w:t>
      </w:r>
      <w:r w:rsidRPr="00092862">
        <w:rPr>
          <w:rFonts w:ascii="Times New Roman" w:hAnsi="Times New Roman"/>
          <w:bCs/>
          <w:snapToGrid w:val="0"/>
          <w:color w:val="000000" w:themeColor="text1"/>
          <w:lang w:eastAsia="zh-CN"/>
        </w:rPr>
        <w:t>0.028</w:t>
      </w:r>
      <w:r w:rsidRPr="00092862">
        <w:rPr>
          <w:rFonts w:ascii="Times New Roman" w:hAnsi="Times New Roman"/>
          <w:bCs/>
          <w:snapToGrid w:val="0"/>
          <w:color w:val="000000" w:themeColor="text1"/>
          <w:lang w:eastAsia="zh-CN"/>
        </w:rPr>
        <w:t>，</w:t>
      </w:r>
      <w:r w:rsidRPr="00092862">
        <w:rPr>
          <w:rFonts w:ascii="Times New Roman" w:hAnsi="Times New Roman"/>
          <w:bCs/>
          <w:snapToGrid w:val="0"/>
          <w:color w:val="000000" w:themeColor="text1"/>
          <w:lang w:eastAsia="zh-CN"/>
        </w:rPr>
        <w:t>Q</w:t>
      </w:r>
      <w:r w:rsidRPr="00092862">
        <w:rPr>
          <w:rFonts w:ascii="Times New Roman" w:hAnsi="Times New Roman"/>
          <w:bCs/>
          <w:snapToGrid w:val="0"/>
          <w:color w:val="000000" w:themeColor="text1"/>
          <w:lang w:eastAsia="zh-CN"/>
        </w:rPr>
        <w:t>值＜</w:t>
      </w:r>
      <w:r w:rsidRPr="00092862">
        <w:rPr>
          <w:rFonts w:ascii="Times New Roman" w:hAnsi="Times New Roman"/>
          <w:bCs/>
          <w:snapToGrid w:val="0"/>
          <w:color w:val="000000" w:themeColor="text1"/>
          <w:lang w:eastAsia="zh-CN"/>
        </w:rPr>
        <w:t>1</w:t>
      </w:r>
      <w:r w:rsidRPr="00092862">
        <w:rPr>
          <w:rFonts w:ascii="Times New Roman" w:hAnsi="Times New Roman"/>
          <w:bCs/>
          <w:snapToGrid w:val="0"/>
          <w:color w:val="000000" w:themeColor="text1"/>
          <w:lang w:eastAsia="zh-CN"/>
        </w:rPr>
        <w:t>。</w:t>
      </w:r>
    </w:p>
    <w:p w14:paraId="169AFF65" w14:textId="77777777" w:rsidR="008439D2" w:rsidRPr="00092862" w:rsidRDefault="008439D2" w:rsidP="008439D2">
      <w:pPr>
        <w:adjustRightInd w:val="0"/>
        <w:spacing w:line="360" w:lineRule="auto"/>
        <w:ind w:firstLineChars="200" w:firstLine="480"/>
        <w:rPr>
          <w:rFonts w:ascii="Times New Roman" w:hAnsi="Times New Roman" w:cs="Times New Roman"/>
          <w:bCs/>
          <w:color w:val="000000" w:themeColor="text1"/>
          <w:sz w:val="24"/>
          <w:szCs w:val="20"/>
          <w:lang w:val="zh-CN"/>
        </w:rPr>
      </w:pPr>
      <w:r w:rsidRPr="00092862">
        <w:rPr>
          <w:rFonts w:ascii="Times New Roman" w:hAnsi="Times New Roman" w:cs="Times New Roman"/>
          <w:bCs/>
          <w:color w:val="000000" w:themeColor="text1"/>
          <w:sz w:val="24"/>
          <w:szCs w:val="20"/>
          <w:lang w:val="zh-CN"/>
        </w:rPr>
        <w:t>（</w:t>
      </w:r>
      <w:r w:rsidRPr="00092862">
        <w:rPr>
          <w:rFonts w:ascii="Times New Roman" w:hAnsi="Times New Roman" w:cs="Times New Roman"/>
          <w:bCs/>
          <w:color w:val="000000" w:themeColor="text1"/>
          <w:sz w:val="24"/>
          <w:szCs w:val="20"/>
          <w:lang w:val="zh-CN"/>
        </w:rPr>
        <w:t>2</w:t>
      </w:r>
      <w:r w:rsidRPr="00092862">
        <w:rPr>
          <w:rFonts w:ascii="Times New Roman" w:hAnsi="Times New Roman" w:cs="Times New Roman"/>
          <w:bCs/>
          <w:color w:val="000000" w:themeColor="text1"/>
          <w:sz w:val="24"/>
          <w:szCs w:val="20"/>
          <w:lang w:val="zh-CN"/>
        </w:rPr>
        <w:t>）行业及生产工艺（</w:t>
      </w:r>
      <w:r w:rsidRPr="00092862">
        <w:rPr>
          <w:rFonts w:ascii="Times New Roman" w:hAnsi="Times New Roman" w:cs="Times New Roman"/>
          <w:bCs/>
          <w:color w:val="000000" w:themeColor="text1"/>
          <w:sz w:val="24"/>
          <w:szCs w:val="20"/>
          <w:lang w:val="zh-CN"/>
        </w:rPr>
        <w:t>M</w:t>
      </w:r>
      <w:r w:rsidRPr="00092862">
        <w:rPr>
          <w:rFonts w:ascii="Times New Roman" w:hAnsi="Times New Roman" w:cs="Times New Roman"/>
          <w:bCs/>
          <w:color w:val="000000" w:themeColor="text1"/>
          <w:sz w:val="24"/>
          <w:szCs w:val="20"/>
          <w:lang w:val="zh-CN"/>
        </w:rPr>
        <w:t>）</w:t>
      </w:r>
    </w:p>
    <w:p w14:paraId="53448D9F" w14:textId="3AC51155" w:rsidR="008439D2" w:rsidRPr="00092862" w:rsidRDefault="008439D2" w:rsidP="008439D2">
      <w:pPr>
        <w:adjustRightInd w:val="0"/>
        <w:spacing w:line="360" w:lineRule="auto"/>
        <w:ind w:firstLineChars="200" w:firstLine="480"/>
        <w:rPr>
          <w:rFonts w:ascii="Times New Roman" w:hAnsi="Times New Roman" w:cs="Times New Roman"/>
          <w:bCs/>
          <w:color w:val="000000" w:themeColor="text1"/>
          <w:sz w:val="24"/>
          <w:szCs w:val="20"/>
          <w:lang w:val="zh-CN"/>
        </w:rPr>
      </w:pPr>
      <w:r w:rsidRPr="00092862">
        <w:rPr>
          <w:rFonts w:ascii="Times New Roman" w:hAnsi="Times New Roman" w:cs="Times New Roman"/>
          <w:bCs/>
          <w:color w:val="000000" w:themeColor="text1"/>
          <w:sz w:val="24"/>
          <w:szCs w:val="20"/>
        </w:rPr>
        <w:t>本项目属于</w:t>
      </w:r>
      <w:r w:rsidRPr="00092862">
        <w:rPr>
          <w:rFonts w:ascii="Times New Roman" w:hAnsi="Times New Roman" w:cs="Times New Roman"/>
          <w:bCs/>
          <w:color w:val="000000" w:themeColor="text1"/>
          <w:sz w:val="24"/>
          <w:szCs w:val="20"/>
        </w:rPr>
        <w:t>“</w:t>
      </w:r>
      <w:r w:rsidRPr="00092862">
        <w:rPr>
          <w:rFonts w:ascii="Times New Roman" w:hAnsi="Times New Roman" w:cs="Times New Roman"/>
          <w:bCs/>
          <w:color w:val="000000" w:themeColor="text1"/>
          <w:sz w:val="24"/>
          <w:szCs w:val="20"/>
        </w:rPr>
        <w:t>石油天然气</w:t>
      </w:r>
      <w:r w:rsidRPr="00092862">
        <w:rPr>
          <w:rFonts w:ascii="Times New Roman" w:hAnsi="Times New Roman" w:cs="Times New Roman"/>
          <w:bCs/>
          <w:color w:val="000000" w:themeColor="text1"/>
          <w:sz w:val="24"/>
          <w:szCs w:val="20"/>
        </w:rPr>
        <w:t>”</w:t>
      </w:r>
      <w:r w:rsidRPr="00092862">
        <w:rPr>
          <w:rFonts w:ascii="Times New Roman" w:hAnsi="Times New Roman" w:cs="Times New Roman"/>
          <w:bCs/>
          <w:color w:val="000000" w:themeColor="text1"/>
          <w:sz w:val="24"/>
          <w:szCs w:val="20"/>
        </w:rPr>
        <w:t>中</w:t>
      </w:r>
      <w:r w:rsidRPr="00092862">
        <w:rPr>
          <w:rFonts w:ascii="Times New Roman" w:hAnsi="Times New Roman" w:cs="Times New Roman"/>
          <w:bCs/>
          <w:color w:val="000000" w:themeColor="text1"/>
          <w:sz w:val="24"/>
          <w:szCs w:val="20"/>
        </w:rPr>
        <w:t>“</w:t>
      </w:r>
      <w:r w:rsidRPr="00092862">
        <w:rPr>
          <w:rFonts w:ascii="Times New Roman" w:hAnsi="Times New Roman" w:cs="Times New Roman"/>
          <w:bCs/>
          <w:color w:val="000000" w:themeColor="text1"/>
          <w:sz w:val="24"/>
          <w:szCs w:val="20"/>
        </w:rPr>
        <w:t>天然气开采</w:t>
      </w:r>
      <w:r w:rsidRPr="00092862">
        <w:rPr>
          <w:rFonts w:ascii="Times New Roman" w:hAnsi="Times New Roman" w:cs="Times New Roman"/>
          <w:bCs/>
          <w:color w:val="000000" w:themeColor="text1"/>
          <w:sz w:val="24"/>
          <w:szCs w:val="20"/>
        </w:rPr>
        <w:t>”</w:t>
      </w:r>
      <w:r w:rsidRPr="00092862">
        <w:rPr>
          <w:rFonts w:ascii="Times New Roman" w:hAnsi="Times New Roman" w:cs="Times New Roman"/>
          <w:bCs/>
          <w:color w:val="000000" w:themeColor="text1"/>
          <w:sz w:val="24"/>
          <w:szCs w:val="20"/>
        </w:rPr>
        <w:t>，不涉及重点监管危险化工工艺。本项目</w:t>
      </w:r>
      <w:r w:rsidRPr="00092862">
        <w:rPr>
          <w:rFonts w:ascii="Times New Roman" w:hAnsi="Times New Roman" w:cs="Times New Roman"/>
          <w:bCs/>
          <w:color w:val="000000" w:themeColor="text1"/>
          <w:sz w:val="24"/>
          <w:szCs w:val="20"/>
        </w:rPr>
        <w:t>M</w:t>
      </w:r>
      <w:r w:rsidRPr="00092862">
        <w:rPr>
          <w:rFonts w:ascii="Times New Roman" w:hAnsi="Times New Roman" w:cs="Times New Roman"/>
          <w:bCs/>
          <w:color w:val="000000" w:themeColor="text1"/>
          <w:sz w:val="24"/>
          <w:szCs w:val="20"/>
        </w:rPr>
        <w:t>值确定见下表。</w:t>
      </w:r>
    </w:p>
    <w:p w14:paraId="07F9F4FE" w14:textId="00EC0BA9" w:rsidR="008439D2" w:rsidRPr="00092862" w:rsidRDefault="008439D2" w:rsidP="008439D2">
      <w:pPr>
        <w:jc w:val="center"/>
        <w:rPr>
          <w:rFonts w:ascii="Times New Roman" w:eastAsia="黑体" w:hAnsi="Times New Roman" w:cs="Times New Roman"/>
          <w:color w:val="000000" w:themeColor="text1"/>
          <w:kern w:val="0"/>
          <w:szCs w:val="21"/>
        </w:rPr>
      </w:pPr>
      <w:r w:rsidRPr="00092862">
        <w:rPr>
          <w:rFonts w:ascii="Times New Roman" w:eastAsia="黑体" w:hAnsi="Times New Roman" w:cs="Times New Roman"/>
          <w:color w:val="000000" w:themeColor="text1"/>
          <w:kern w:val="0"/>
          <w:szCs w:val="21"/>
        </w:rPr>
        <w:t>表</w:t>
      </w:r>
      <w:r w:rsidRPr="00092862">
        <w:rPr>
          <w:rFonts w:ascii="Times New Roman" w:eastAsia="黑体" w:hAnsi="Times New Roman" w:cs="Times New Roman"/>
          <w:color w:val="000000" w:themeColor="text1"/>
          <w:kern w:val="0"/>
          <w:szCs w:val="21"/>
        </w:rPr>
        <w:t>6.</w:t>
      </w:r>
      <w:r w:rsidR="004A71B6" w:rsidRPr="00092862">
        <w:rPr>
          <w:rFonts w:ascii="Times New Roman" w:eastAsia="黑体" w:hAnsi="Times New Roman" w:cs="Times New Roman"/>
          <w:color w:val="000000" w:themeColor="text1"/>
          <w:szCs w:val="21"/>
        </w:rPr>
        <w:t>1-7</w:t>
      </w:r>
      <w:r w:rsidRPr="00092862">
        <w:rPr>
          <w:rFonts w:ascii="Times New Roman" w:eastAsia="黑体" w:hAnsi="Times New Roman" w:cs="Times New Roman"/>
          <w:color w:val="000000" w:themeColor="text1"/>
          <w:kern w:val="0"/>
          <w:szCs w:val="21"/>
        </w:rPr>
        <w:t xml:space="preserve">  </w:t>
      </w:r>
      <w:r w:rsidRPr="00092862">
        <w:rPr>
          <w:rFonts w:ascii="Times New Roman" w:eastAsia="黑体" w:hAnsi="Times New Roman" w:cs="Times New Roman"/>
          <w:color w:val="000000" w:themeColor="text1"/>
          <w:kern w:val="0"/>
          <w:szCs w:val="21"/>
        </w:rPr>
        <w:t>本项目</w:t>
      </w:r>
      <w:r w:rsidRPr="00092862">
        <w:rPr>
          <w:rFonts w:ascii="Times New Roman" w:eastAsia="黑体" w:hAnsi="Times New Roman" w:cs="Times New Roman"/>
          <w:color w:val="000000" w:themeColor="text1"/>
          <w:kern w:val="0"/>
          <w:szCs w:val="21"/>
        </w:rPr>
        <w:t>M</w:t>
      </w:r>
      <w:r w:rsidRPr="00092862">
        <w:rPr>
          <w:rFonts w:ascii="Times New Roman" w:eastAsia="黑体" w:hAnsi="Times New Roman" w:cs="Times New Roman"/>
          <w:color w:val="000000" w:themeColor="text1"/>
          <w:kern w:val="0"/>
          <w:szCs w:val="21"/>
        </w:rPr>
        <w:t>值确定表</w:t>
      </w:r>
    </w:p>
    <w:tbl>
      <w:tblPr>
        <w:tblW w:w="50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71"/>
        <w:gridCol w:w="3890"/>
        <w:gridCol w:w="917"/>
        <w:gridCol w:w="1527"/>
        <w:gridCol w:w="858"/>
      </w:tblGrid>
      <w:tr w:rsidR="00697429" w:rsidRPr="00092862" w14:paraId="686DB7AF" w14:textId="77777777" w:rsidTr="00852E5F">
        <w:trPr>
          <w:jc w:val="center"/>
        </w:trPr>
        <w:tc>
          <w:tcPr>
            <w:tcW w:w="700" w:type="pct"/>
            <w:vMerge w:val="restart"/>
            <w:vAlign w:val="center"/>
          </w:tcPr>
          <w:p w14:paraId="1B385ACA"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行业</w:t>
            </w:r>
          </w:p>
        </w:tc>
        <w:tc>
          <w:tcPr>
            <w:tcW w:w="2326" w:type="pct"/>
            <w:vMerge w:val="restart"/>
            <w:vAlign w:val="center"/>
          </w:tcPr>
          <w:p w14:paraId="5BFFB8CB"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评估依据</w:t>
            </w:r>
          </w:p>
        </w:tc>
        <w:tc>
          <w:tcPr>
            <w:tcW w:w="548" w:type="pct"/>
            <w:vMerge w:val="restart"/>
            <w:vAlign w:val="center"/>
          </w:tcPr>
          <w:p w14:paraId="7C613389"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分值</w:t>
            </w:r>
          </w:p>
        </w:tc>
        <w:tc>
          <w:tcPr>
            <w:tcW w:w="1426" w:type="pct"/>
            <w:gridSpan w:val="2"/>
            <w:vAlign w:val="center"/>
          </w:tcPr>
          <w:p w14:paraId="38030F46"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本项目情况</w:t>
            </w:r>
          </w:p>
        </w:tc>
      </w:tr>
      <w:tr w:rsidR="00697429" w:rsidRPr="00092862" w14:paraId="68A2B2AD" w14:textId="77777777" w:rsidTr="00852E5F">
        <w:trPr>
          <w:jc w:val="center"/>
        </w:trPr>
        <w:tc>
          <w:tcPr>
            <w:tcW w:w="700" w:type="pct"/>
            <w:vMerge/>
            <w:vAlign w:val="center"/>
          </w:tcPr>
          <w:p w14:paraId="542CAACF" w14:textId="77777777" w:rsidR="008439D2" w:rsidRPr="00092862" w:rsidRDefault="008439D2" w:rsidP="008439D2">
            <w:pPr>
              <w:jc w:val="center"/>
              <w:rPr>
                <w:rFonts w:ascii="Times New Roman" w:eastAsia="宋体" w:hAnsi="Times New Roman" w:cs="Times New Roman"/>
                <w:bCs/>
                <w:color w:val="000000" w:themeColor="text1"/>
                <w:szCs w:val="21"/>
              </w:rPr>
            </w:pPr>
          </w:p>
        </w:tc>
        <w:tc>
          <w:tcPr>
            <w:tcW w:w="2326" w:type="pct"/>
            <w:vMerge/>
            <w:vAlign w:val="center"/>
          </w:tcPr>
          <w:p w14:paraId="50A1B92A" w14:textId="77777777" w:rsidR="008439D2" w:rsidRPr="00092862" w:rsidRDefault="008439D2" w:rsidP="008439D2">
            <w:pPr>
              <w:jc w:val="center"/>
              <w:rPr>
                <w:rFonts w:ascii="Times New Roman" w:eastAsia="宋体" w:hAnsi="Times New Roman" w:cs="Times New Roman"/>
                <w:bCs/>
                <w:color w:val="000000" w:themeColor="text1"/>
                <w:szCs w:val="21"/>
              </w:rPr>
            </w:pPr>
          </w:p>
        </w:tc>
        <w:tc>
          <w:tcPr>
            <w:tcW w:w="548" w:type="pct"/>
            <w:vMerge/>
            <w:vAlign w:val="center"/>
          </w:tcPr>
          <w:p w14:paraId="674964A9" w14:textId="77777777" w:rsidR="008439D2" w:rsidRPr="00092862" w:rsidRDefault="008439D2" w:rsidP="008439D2">
            <w:pPr>
              <w:jc w:val="center"/>
              <w:rPr>
                <w:rFonts w:ascii="Times New Roman" w:eastAsia="宋体" w:hAnsi="Times New Roman" w:cs="Times New Roman"/>
                <w:bCs/>
                <w:color w:val="000000" w:themeColor="text1"/>
                <w:szCs w:val="21"/>
              </w:rPr>
            </w:pPr>
          </w:p>
        </w:tc>
        <w:tc>
          <w:tcPr>
            <w:tcW w:w="913" w:type="pct"/>
            <w:vAlign w:val="center"/>
          </w:tcPr>
          <w:p w14:paraId="05A79086"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涉及内容</w:t>
            </w:r>
          </w:p>
        </w:tc>
        <w:tc>
          <w:tcPr>
            <w:tcW w:w="513" w:type="pct"/>
            <w:vAlign w:val="center"/>
          </w:tcPr>
          <w:p w14:paraId="08601217"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分值</w:t>
            </w:r>
          </w:p>
        </w:tc>
      </w:tr>
      <w:tr w:rsidR="00697429" w:rsidRPr="00092862" w14:paraId="6D50C9EA" w14:textId="77777777" w:rsidTr="00852E5F">
        <w:trPr>
          <w:jc w:val="center"/>
        </w:trPr>
        <w:tc>
          <w:tcPr>
            <w:tcW w:w="700" w:type="pct"/>
            <w:vMerge w:val="restart"/>
            <w:vAlign w:val="center"/>
          </w:tcPr>
          <w:p w14:paraId="44AD8B23"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石化、化工、医药、轻工、化纤、有色冶炼等</w:t>
            </w:r>
          </w:p>
        </w:tc>
        <w:tc>
          <w:tcPr>
            <w:tcW w:w="2326" w:type="pct"/>
            <w:vAlign w:val="center"/>
          </w:tcPr>
          <w:p w14:paraId="50BF93F5"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涉及光气及光气化反应、电解工艺（氯碱）、氯化工艺、硝化工艺、合成氨工艺、裂解（裂化）工艺、氟化工艺、加氢工艺、重氮化工艺、氧化工艺、胺基化工艺、磺化工艺、聚合工艺、烷基化工艺、新型煤化工工艺、电石生产工艺、偶氮化工艺</w:t>
            </w:r>
          </w:p>
        </w:tc>
        <w:tc>
          <w:tcPr>
            <w:tcW w:w="548" w:type="pct"/>
            <w:vAlign w:val="center"/>
          </w:tcPr>
          <w:p w14:paraId="609BFA77"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r w:rsidRPr="00092862">
              <w:rPr>
                <w:rFonts w:ascii="Times New Roman" w:eastAsia="宋体" w:hAnsi="Times New Roman" w:cs="Times New Roman"/>
                <w:bCs/>
                <w:color w:val="000000" w:themeColor="text1"/>
                <w:szCs w:val="21"/>
              </w:rPr>
              <w:t>套</w:t>
            </w:r>
          </w:p>
        </w:tc>
        <w:tc>
          <w:tcPr>
            <w:tcW w:w="913" w:type="pct"/>
            <w:vAlign w:val="center"/>
          </w:tcPr>
          <w:p w14:paraId="5AE4869D"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不涉及</w:t>
            </w:r>
          </w:p>
        </w:tc>
        <w:tc>
          <w:tcPr>
            <w:tcW w:w="513" w:type="pct"/>
            <w:vAlign w:val="center"/>
          </w:tcPr>
          <w:p w14:paraId="0C0D17A5"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w:t>
            </w:r>
          </w:p>
        </w:tc>
      </w:tr>
      <w:tr w:rsidR="00697429" w:rsidRPr="00092862" w14:paraId="0A053C87" w14:textId="77777777" w:rsidTr="00852E5F">
        <w:trPr>
          <w:jc w:val="center"/>
        </w:trPr>
        <w:tc>
          <w:tcPr>
            <w:tcW w:w="700" w:type="pct"/>
            <w:vMerge/>
            <w:vAlign w:val="center"/>
          </w:tcPr>
          <w:p w14:paraId="4F5EFFF5" w14:textId="77777777" w:rsidR="008439D2" w:rsidRPr="00092862" w:rsidRDefault="008439D2" w:rsidP="008439D2">
            <w:pPr>
              <w:jc w:val="center"/>
              <w:rPr>
                <w:rFonts w:ascii="Times New Roman" w:eastAsia="宋体" w:hAnsi="Times New Roman" w:cs="Times New Roman"/>
                <w:bCs/>
                <w:color w:val="000000" w:themeColor="text1"/>
                <w:szCs w:val="21"/>
              </w:rPr>
            </w:pPr>
          </w:p>
        </w:tc>
        <w:tc>
          <w:tcPr>
            <w:tcW w:w="2326" w:type="pct"/>
            <w:vAlign w:val="center"/>
          </w:tcPr>
          <w:p w14:paraId="0A8E2DDA"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无机酸制酸工艺、焦化工艺</w:t>
            </w:r>
          </w:p>
        </w:tc>
        <w:tc>
          <w:tcPr>
            <w:tcW w:w="548" w:type="pct"/>
            <w:vAlign w:val="center"/>
          </w:tcPr>
          <w:p w14:paraId="0B81C17D"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r w:rsidRPr="00092862">
              <w:rPr>
                <w:rFonts w:ascii="Times New Roman" w:eastAsia="宋体" w:hAnsi="Times New Roman" w:cs="Times New Roman"/>
                <w:bCs/>
                <w:color w:val="000000" w:themeColor="text1"/>
                <w:szCs w:val="21"/>
              </w:rPr>
              <w:t>套</w:t>
            </w:r>
          </w:p>
        </w:tc>
        <w:tc>
          <w:tcPr>
            <w:tcW w:w="913" w:type="pct"/>
            <w:vAlign w:val="center"/>
          </w:tcPr>
          <w:p w14:paraId="0BE8A23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不涉及</w:t>
            </w:r>
          </w:p>
        </w:tc>
        <w:tc>
          <w:tcPr>
            <w:tcW w:w="513" w:type="pct"/>
            <w:vAlign w:val="center"/>
          </w:tcPr>
          <w:p w14:paraId="76A3EE9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w:t>
            </w:r>
          </w:p>
        </w:tc>
      </w:tr>
      <w:tr w:rsidR="00697429" w:rsidRPr="00092862" w14:paraId="64C708D8" w14:textId="77777777" w:rsidTr="00852E5F">
        <w:trPr>
          <w:jc w:val="center"/>
        </w:trPr>
        <w:tc>
          <w:tcPr>
            <w:tcW w:w="700" w:type="pct"/>
            <w:vMerge/>
            <w:vAlign w:val="center"/>
          </w:tcPr>
          <w:p w14:paraId="05EFAB89" w14:textId="77777777" w:rsidR="008439D2" w:rsidRPr="00092862" w:rsidRDefault="008439D2" w:rsidP="008439D2">
            <w:pPr>
              <w:jc w:val="center"/>
              <w:rPr>
                <w:rFonts w:ascii="Times New Roman" w:eastAsia="宋体" w:hAnsi="Times New Roman" w:cs="Times New Roman"/>
                <w:bCs/>
                <w:color w:val="000000" w:themeColor="text1"/>
                <w:szCs w:val="21"/>
              </w:rPr>
            </w:pPr>
          </w:p>
        </w:tc>
        <w:tc>
          <w:tcPr>
            <w:tcW w:w="2326" w:type="pct"/>
            <w:vAlign w:val="center"/>
          </w:tcPr>
          <w:p w14:paraId="56946BDA"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其他高温或高压、且涉及危险物质的工艺过程</w:t>
            </w:r>
            <w:r w:rsidRPr="00092862">
              <w:rPr>
                <w:rFonts w:ascii="Times New Roman" w:eastAsia="宋体" w:hAnsi="Times New Roman" w:cs="Times New Roman"/>
                <w:bCs/>
                <w:color w:val="000000" w:themeColor="text1"/>
                <w:szCs w:val="21"/>
                <w:vertAlign w:val="superscript"/>
              </w:rPr>
              <w:t>a</w:t>
            </w:r>
            <w:r w:rsidRPr="00092862">
              <w:rPr>
                <w:rFonts w:ascii="Times New Roman" w:eastAsia="宋体" w:hAnsi="Times New Roman" w:cs="Times New Roman"/>
                <w:bCs/>
                <w:color w:val="000000" w:themeColor="text1"/>
                <w:szCs w:val="21"/>
              </w:rPr>
              <w:t>、危险物质储存罐区</w:t>
            </w:r>
          </w:p>
        </w:tc>
        <w:tc>
          <w:tcPr>
            <w:tcW w:w="548" w:type="pct"/>
            <w:vAlign w:val="center"/>
          </w:tcPr>
          <w:p w14:paraId="16FA762B"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r w:rsidRPr="00092862">
              <w:rPr>
                <w:rFonts w:ascii="Times New Roman" w:eastAsia="宋体" w:hAnsi="Times New Roman" w:cs="Times New Roman"/>
                <w:bCs/>
                <w:color w:val="000000" w:themeColor="text1"/>
                <w:szCs w:val="21"/>
              </w:rPr>
              <w:t>套（罐区）</w:t>
            </w:r>
          </w:p>
        </w:tc>
        <w:tc>
          <w:tcPr>
            <w:tcW w:w="913" w:type="pct"/>
            <w:vAlign w:val="center"/>
          </w:tcPr>
          <w:p w14:paraId="21941FA6"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不涉及</w:t>
            </w:r>
          </w:p>
        </w:tc>
        <w:tc>
          <w:tcPr>
            <w:tcW w:w="513" w:type="pct"/>
            <w:vAlign w:val="center"/>
          </w:tcPr>
          <w:p w14:paraId="4A8ED67B"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w:t>
            </w:r>
          </w:p>
        </w:tc>
      </w:tr>
      <w:tr w:rsidR="00697429" w:rsidRPr="00092862" w14:paraId="4BB0D032" w14:textId="77777777" w:rsidTr="00852E5F">
        <w:trPr>
          <w:jc w:val="center"/>
        </w:trPr>
        <w:tc>
          <w:tcPr>
            <w:tcW w:w="700" w:type="pct"/>
            <w:vAlign w:val="center"/>
          </w:tcPr>
          <w:p w14:paraId="42AB305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管道、码头</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港口等</w:t>
            </w:r>
          </w:p>
        </w:tc>
        <w:tc>
          <w:tcPr>
            <w:tcW w:w="2326" w:type="pct"/>
            <w:vAlign w:val="center"/>
          </w:tcPr>
          <w:p w14:paraId="3C6A6CB2"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涉及危险物质管道运输项目、港口</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码头等</w:t>
            </w:r>
          </w:p>
        </w:tc>
        <w:tc>
          <w:tcPr>
            <w:tcW w:w="548" w:type="pct"/>
            <w:vAlign w:val="center"/>
          </w:tcPr>
          <w:p w14:paraId="59D8C280"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913" w:type="pct"/>
            <w:vAlign w:val="center"/>
          </w:tcPr>
          <w:p w14:paraId="6BAAA08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不涉及</w:t>
            </w:r>
          </w:p>
        </w:tc>
        <w:tc>
          <w:tcPr>
            <w:tcW w:w="513" w:type="pct"/>
            <w:vAlign w:val="center"/>
          </w:tcPr>
          <w:p w14:paraId="0BDD812A"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w:t>
            </w:r>
          </w:p>
        </w:tc>
      </w:tr>
      <w:tr w:rsidR="00697429" w:rsidRPr="00092862" w14:paraId="30D485B1" w14:textId="77777777" w:rsidTr="00852E5F">
        <w:trPr>
          <w:jc w:val="center"/>
        </w:trPr>
        <w:tc>
          <w:tcPr>
            <w:tcW w:w="700" w:type="pct"/>
            <w:vAlign w:val="center"/>
          </w:tcPr>
          <w:p w14:paraId="592FE0E2"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lastRenderedPageBreak/>
              <w:t>石油天然气</w:t>
            </w:r>
          </w:p>
        </w:tc>
        <w:tc>
          <w:tcPr>
            <w:tcW w:w="2326" w:type="pct"/>
            <w:vAlign w:val="center"/>
          </w:tcPr>
          <w:p w14:paraId="1CD32C53"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石油、天然气、页岩气开采（含净化），气库（不含加气站的气库），油库（不含加气站的油库）、油气管线</w:t>
            </w:r>
            <w:r w:rsidRPr="00092862">
              <w:rPr>
                <w:rFonts w:ascii="Times New Roman" w:eastAsia="宋体" w:hAnsi="Times New Roman" w:cs="Times New Roman"/>
                <w:bCs/>
                <w:color w:val="000000" w:themeColor="text1"/>
                <w:szCs w:val="21"/>
              </w:rPr>
              <w:t>b</w:t>
            </w:r>
            <w:r w:rsidRPr="00092862">
              <w:rPr>
                <w:rFonts w:ascii="Times New Roman" w:eastAsia="宋体" w:hAnsi="Times New Roman" w:cs="Times New Roman"/>
                <w:bCs/>
                <w:color w:val="000000" w:themeColor="text1"/>
                <w:szCs w:val="21"/>
              </w:rPr>
              <w:t>（不含城镇燃气管线）</w:t>
            </w:r>
          </w:p>
        </w:tc>
        <w:tc>
          <w:tcPr>
            <w:tcW w:w="548" w:type="pct"/>
            <w:vAlign w:val="center"/>
          </w:tcPr>
          <w:p w14:paraId="6C58270B"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c>
          <w:tcPr>
            <w:tcW w:w="913" w:type="pct"/>
            <w:vAlign w:val="center"/>
          </w:tcPr>
          <w:p w14:paraId="0CDEC85C" w14:textId="66E952CE"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天然气开采</w:t>
            </w:r>
          </w:p>
        </w:tc>
        <w:tc>
          <w:tcPr>
            <w:tcW w:w="513" w:type="pct"/>
            <w:vAlign w:val="center"/>
          </w:tcPr>
          <w:p w14:paraId="59B93289"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r>
      <w:tr w:rsidR="00697429" w:rsidRPr="00092862" w14:paraId="7EA81E46" w14:textId="77777777" w:rsidTr="00852E5F">
        <w:trPr>
          <w:jc w:val="center"/>
        </w:trPr>
        <w:tc>
          <w:tcPr>
            <w:tcW w:w="700" w:type="pct"/>
            <w:vAlign w:val="center"/>
          </w:tcPr>
          <w:p w14:paraId="64199B8F"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其他</w:t>
            </w:r>
          </w:p>
        </w:tc>
        <w:tc>
          <w:tcPr>
            <w:tcW w:w="2326" w:type="pct"/>
            <w:vAlign w:val="center"/>
          </w:tcPr>
          <w:p w14:paraId="4571A8FF"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涉及危险物质使用、贮存的项目</w:t>
            </w:r>
          </w:p>
        </w:tc>
        <w:tc>
          <w:tcPr>
            <w:tcW w:w="548" w:type="pct"/>
            <w:vAlign w:val="center"/>
          </w:tcPr>
          <w:p w14:paraId="346D15A1"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5</w:t>
            </w:r>
          </w:p>
        </w:tc>
        <w:tc>
          <w:tcPr>
            <w:tcW w:w="913" w:type="pct"/>
            <w:vAlign w:val="center"/>
          </w:tcPr>
          <w:p w14:paraId="57E396E8" w14:textId="69AE37B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不涉及</w:t>
            </w:r>
          </w:p>
        </w:tc>
        <w:tc>
          <w:tcPr>
            <w:tcW w:w="513" w:type="pct"/>
            <w:vAlign w:val="center"/>
          </w:tcPr>
          <w:p w14:paraId="51211ED1" w14:textId="34F42E6F"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0</w:t>
            </w:r>
          </w:p>
        </w:tc>
      </w:tr>
      <w:tr w:rsidR="00697429" w:rsidRPr="00092862" w14:paraId="18ADE62A" w14:textId="77777777" w:rsidTr="00852E5F">
        <w:trPr>
          <w:jc w:val="center"/>
        </w:trPr>
        <w:tc>
          <w:tcPr>
            <w:tcW w:w="4487" w:type="pct"/>
            <w:gridSpan w:val="4"/>
            <w:vAlign w:val="center"/>
          </w:tcPr>
          <w:p w14:paraId="129E684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合计</w:t>
            </w:r>
          </w:p>
        </w:tc>
        <w:tc>
          <w:tcPr>
            <w:tcW w:w="513" w:type="pct"/>
            <w:vAlign w:val="center"/>
          </w:tcPr>
          <w:p w14:paraId="62134794" w14:textId="16826B8E"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w:t>
            </w:r>
          </w:p>
        </w:tc>
      </w:tr>
      <w:tr w:rsidR="00697429" w:rsidRPr="00092862" w14:paraId="54AA358C" w14:textId="77777777" w:rsidTr="00852E5F">
        <w:trPr>
          <w:jc w:val="center"/>
        </w:trPr>
        <w:tc>
          <w:tcPr>
            <w:tcW w:w="5000" w:type="pct"/>
            <w:gridSpan w:val="5"/>
            <w:vAlign w:val="center"/>
          </w:tcPr>
          <w:p w14:paraId="62639439" w14:textId="77777777" w:rsidR="008439D2" w:rsidRPr="00092862" w:rsidRDefault="008439D2" w:rsidP="008439D2">
            <w:pPr>
              <w:kinsoku w:val="0"/>
              <w:overflowPunct w:val="0"/>
              <w:spacing w:after="120" w:line="211" w:lineRule="exact"/>
              <w:ind w:right="237"/>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a</w:t>
            </w:r>
            <w:r w:rsidRPr="00092862">
              <w:rPr>
                <w:rFonts w:ascii="Times New Roman" w:eastAsia="宋体" w:hAnsi="Times New Roman" w:cs="Times New Roman"/>
                <w:color w:val="000000" w:themeColor="text1"/>
                <w:szCs w:val="21"/>
              </w:rPr>
              <w:t>：高温指工艺温度</w:t>
            </w:r>
            <w:r w:rsidRPr="00092862">
              <w:rPr>
                <w:rFonts w:ascii="Times New Roman" w:eastAsia="宋体" w:hAnsi="Times New Roman" w:cs="Times New Roman"/>
                <w:color w:val="000000" w:themeColor="text1"/>
                <w:szCs w:val="21"/>
              </w:rPr>
              <w:t>≥300℃</w:t>
            </w:r>
            <w:r w:rsidRPr="00092862">
              <w:rPr>
                <w:rFonts w:ascii="Times New Roman" w:eastAsia="宋体" w:hAnsi="Times New Roman" w:cs="Times New Roman"/>
                <w:color w:val="000000" w:themeColor="text1"/>
                <w:szCs w:val="21"/>
              </w:rPr>
              <w:t>，高压指压力容器的设计压力（</w:t>
            </w:r>
            <w:r w:rsidRPr="00092862">
              <w:rPr>
                <w:rFonts w:ascii="Times New Roman" w:eastAsia="宋体" w:hAnsi="Times New Roman" w:cs="Times New Roman"/>
                <w:color w:val="000000" w:themeColor="text1"/>
                <w:szCs w:val="21"/>
              </w:rPr>
              <w:t>P</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≥10.0MPa</w:t>
            </w:r>
            <w:r w:rsidRPr="00092862">
              <w:rPr>
                <w:rFonts w:ascii="Times New Roman" w:eastAsia="宋体" w:hAnsi="Times New Roman" w:cs="Times New Roman"/>
                <w:color w:val="000000" w:themeColor="text1"/>
                <w:szCs w:val="21"/>
              </w:rPr>
              <w:t>；</w:t>
            </w:r>
          </w:p>
          <w:p w14:paraId="213A4D0A" w14:textId="77777777" w:rsidR="008439D2" w:rsidRPr="00092862" w:rsidRDefault="008439D2" w:rsidP="008439D2">
            <w:pPr>
              <w:rPr>
                <w:rFonts w:ascii="Times New Roman" w:eastAsia="宋体" w:hAnsi="Times New Roman" w:cs="Times New Roman"/>
                <w:bCs/>
                <w:color w:val="000000" w:themeColor="text1"/>
                <w:szCs w:val="21"/>
              </w:rPr>
            </w:pPr>
            <w:r w:rsidRPr="00092862">
              <w:rPr>
                <w:rFonts w:ascii="Times New Roman" w:eastAsia="宋体" w:hAnsi="Times New Roman" w:cs="Times New Roman"/>
                <w:color w:val="000000" w:themeColor="text1"/>
                <w:szCs w:val="21"/>
              </w:rPr>
              <w:t>b</w:t>
            </w:r>
            <w:r w:rsidRPr="00092862">
              <w:rPr>
                <w:rFonts w:ascii="Times New Roman" w:eastAsia="宋体" w:hAnsi="Times New Roman" w:cs="Times New Roman"/>
                <w:color w:val="000000" w:themeColor="text1"/>
                <w:szCs w:val="21"/>
              </w:rPr>
              <w:t>：长输管道运输项目应按站场、管线分段进行评价。</w:t>
            </w:r>
          </w:p>
        </w:tc>
      </w:tr>
    </w:tbl>
    <w:p w14:paraId="20D52F8D" w14:textId="3B4BC33C"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0"/>
          <w:lang w:val="zh-CN"/>
        </w:rPr>
      </w:pPr>
      <w:r w:rsidRPr="00092862">
        <w:rPr>
          <w:rFonts w:ascii="Times New Roman" w:eastAsia="宋体" w:hAnsi="Times New Roman" w:cs="Times New Roman"/>
          <w:bCs/>
          <w:color w:val="000000" w:themeColor="text1"/>
          <w:sz w:val="24"/>
          <w:szCs w:val="20"/>
        </w:rPr>
        <w:t>根据《建设项目环境风险评价技术导则》（</w:t>
      </w:r>
      <w:r w:rsidRPr="00092862">
        <w:rPr>
          <w:rFonts w:ascii="Times New Roman" w:eastAsia="宋体" w:hAnsi="Times New Roman" w:cs="Times New Roman"/>
          <w:bCs/>
          <w:color w:val="000000" w:themeColor="text1"/>
          <w:sz w:val="24"/>
          <w:szCs w:val="20"/>
        </w:rPr>
        <w:t>HJ 169-2018</w:t>
      </w:r>
      <w:r w:rsidRPr="00092862">
        <w:rPr>
          <w:rFonts w:ascii="Times New Roman" w:eastAsia="宋体" w:hAnsi="Times New Roman" w:cs="Times New Roman"/>
          <w:bCs/>
          <w:color w:val="000000" w:themeColor="text1"/>
          <w:sz w:val="24"/>
          <w:szCs w:val="20"/>
        </w:rPr>
        <w:t>）附录</w:t>
      </w:r>
      <w:r w:rsidRPr="00092862">
        <w:rPr>
          <w:rFonts w:ascii="Times New Roman" w:eastAsia="宋体" w:hAnsi="Times New Roman" w:cs="Times New Roman"/>
          <w:bCs/>
          <w:color w:val="000000" w:themeColor="text1"/>
          <w:sz w:val="24"/>
          <w:szCs w:val="20"/>
        </w:rPr>
        <w:t>C</w:t>
      </w:r>
      <w:r w:rsidRPr="00092862">
        <w:rPr>
          <w:rFonts w:ascii="Times New Roman" w:eastAsia="宋体" w:hAnsi="Times New Roman" w:cs="Times New Roman"/>
          <w:bCs/>
          <w:color w:val="000000" w:themeColor="text1"/>
          <w:sz w:val="24"/>
          <w:szCs w:val="20"/>
        </w:rPr>
        <w:t>中表</w:t>
      </w:r>
      <w:r w:rsidRPr="00092862">
        <w:rPr>
          <w:rFonts w:ascii="Times New Roman" w:eastAsia="宋体" w:hAnsi="Times New Roman" w:cs="Times New Roman"/>
          <w:bCs/>
          <w:color w:val="000000" w:themeColor="text1"/>
          <w:sz w:val="24"/>
          <w:szCs w:val="20"/>
        </w:rPr>
        <w:t>C.1</w:t>
      </w:r>
      <w:r w:rsidRPr="00092862">
        <w:rPr>
          <w:rFonts w:ascii="Times New Roman" w:eastAsia="宋体" w:hAnsi="Times New Roman" w:cs="Times New Roman"/>
          <w:bCs/>
          <w:color w:val="000000" w:themeColor="text1"/>
          <w:sz w:val="24"/>
          <w:szCs w:val="20"/>
        </w:rPr>
        <w:t>计算结果，本项目行业及生产工艺（</w:t>
      </w:r>
      <w:r w:rsidRPr="00092862">
        <w:rPr>
          <w:rFonts w:ascii="Times New Roman" w:eastAsia="宋体" w:hAnsi="Times New Roman" w:cs="Times New Roman"/>
          <w:bCs/>
          <w:color w:val="000000" w:themeColor="text1"/>
          <w:sz w:val="24"/>
          <w:szCs w:val="20"/>
        </w:rPr>
        <w:t>M</w:t>
      </w:r>
      <w:r w:rsidRPr="00092862">
        <w:rPr>
          <w:rFonts w:ascii="Times New Roman" w:eastAsia="宋体" w:hAnsi="Times New Roman" w:cs="Times New Roman"/>
          <w:bCs/>
          <w:color w:val="000000" w:themeColor="text1"/>
          <w:sz w:val="24"/>
          <w:szCs w:val="20"/>
        </w:rPr>
        <w:t>）值为</w:t>
      </w:r>
      <w:r w:rsidRPr="00092862">
        <w:rPr>
          <w:rFonts w:ascii="Times New Roman" w:eastAsia="宋体" w:hAnsi="Times New Roman" w:cs="Times New Roman"/>
          <w:bCs/>
          <w:color w:val="000000" w:themeColor="text1"/>
          <w:sz w:val="24"/>
          <w:szCs w:val="20"/>
        </w:rPr>
        <w:t>10</w:t>
      </w:r>
      <w:r w:rsidRPr="00092862">
        <w:rPr>
          <w:rFonts w:ascii="Times New Roman" w:eastAsia="宋体" w:hAnsi="Times New Roman" w:cs="Times New Roman"/>
          <w:bCs/>
          <w:color w:val="000000" w:themeColor="text1"/>
          <w:sz w:val="24"/>
          <w:szCs w:val="20"/>
        </w:rPr>
        <w:t>，属于</w:t>
      </w:r>
      <w:r w:rsidRPr="00092862">
        <w:rPr>
          <w:rFonts w:ascii="Times New Roman" w:eastAsia="宋体" w:hAnsi="Times New Roman" w:cs="Times New Roman"/>
          <w:bCs/>
          <w:color w:val="000000" w:themeColor="text1"/>
          <w:sz w:val="24"/>
          <w:szCs w:val="20"/>
        </w:rPr>
        <w:t>M1</w:t>
      </w:r>
      <w:r w:rsidRPr="00092862">
        <w:rPr>
          <w:rFonts w:ascii="Times New Roman" w:eastAsia="宋体" w:hAnsi="Times New Roman" w:cs="Times New Roman"/>
          <w:bCs/>
          <w:color w:val="000000" w:themeColor="text1"/>
          <w:sz w:val="24"/>
          <w:szCs w:val="20"/>
        </w:rPr>
        <w:t>（</w:t>
      </w:r>
      <w:r w:rsidRPr="00092862">
        <w:rPr>
          <w:rFonts w:ascii="Times New Roman" w:eastAsia="宋体" w:hAnsi="Times New Roman" w:cs="Times New Roman"/>
          <w:bCs/>
          <w:color w:val="000000" w:themeColor="text1"/>
          <w:sz w:val="24"/>
          <w:szCs w:val="20"/>
        </w:rPr>
        <w:t>5</w:t>
      </w:r>
      <w:r w:rsidRPr="00092862">
        <w:rPr>
          <w:rFonts w:ascii="Times New Roman" w:eastAsia="宋体" w:hAnsi="Times New Roman" w:cs="Times New Roman"/>
          <w:bCs/>
          <w:color w:val="000000" w:themeColor="text1"/>
          <w:sz w:val="24"/>
          <w:szCs w:val="20"/>
        </w:rPr>
        <w:t>＜</w:t>
      </w:r>
      <w:r w:rsidRPr="00092862">
        <w:rPr>
          <w:rFonts w:ascii="Times New Roman" w:eastAsia="宋体" w:hAnsi="Times New Roman" w:cs="Times New Roman"/>
          <w:bCs/>
          <w:color w:val="000000" w:themeColor="text1"/>
          <w:sz w:val="24"/>
          <w:szCs w:val="20"/>
        </w:rPr>
        <w:t>M3≤10</w:t>
      </w:r>
      <w:r w:rsidRPr="00092862">
        <w:rPr>
          <w:rFonts w:ascii="Times New Roman" w:eastAsia="宋体" w:hAnsi="Times New Roman" w:cs="Times New Roman"/>
          <w:bCs/>
          <w:color w:val="000000" w:themeColor="text1"/>
          <w:sz w:val="24"/>
          <w:szCs w:val="20"/>
        </w:rPr>
        <w:t>）等级。</w:t>
      </w:r>
    </w:p>
    <w:p w14:paraId="2D8DF915" w14:textId="77777777"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0"/>
          <w:lang w:val="zh-CN"/>
        </w:rPr>
      </w:pPr>
      <w:r w:rsidRPr="00092862">
        <w:rPr>
          <w:rFonts w:ascii="Times New Roman" w:eastAsia="宋体" w:hAnsi="Times New Roman" w:cs="Times New Roman"/>
          <w:bCs/>
          <w:color w:val="000000" w:themeColor="text1"/>
          <w:sz w:val="24"/>
          <w:szCs w:val="20"/>
          <w:lang w:val="zh-CN"/>
        </w:rPr>
        <w:t>（</w:t>
      </w:r>
      <w:r w:rsidRPr="00092862">
        <w:rPr>
          <w:rFonts w:ascii="Times New Roman" w:eastAsia="宋体" w:hAnsi="Times New Roman" w:cs="Times New Roman"/>
          <w:bCs/>
          <w:color w:val="000000" w:themeColor="text1"/>
          <w:sz w:val="24"/>
          <w:szCs w:val="20"/>
          <w:lang w:val="zh-CN"/>
        </w:rPr>
        <w:t>3</w:t>
      </w:r>
      <w:r w:rsidRPr="00092862">
        <w:rPr>
          <w:rFonts w:ascii="Times New Roman" w:eastAsia="宋体" w:hAnsi="Times New Roman" w:cs="Times New Roman"/>
          <w:bCs/>
          <w:color w:val="000000" w:themeColor="text1"/>
          <w:sz w:val="24"/>
          <w:szCs w:val="20"/>
          <w:lang w:val="zh-CN"/>
        </w:rPr>
        <w:t>）</w:t>
      </w:r>
      <w:r w:rsidRPr="00092862">
        <w:rPr>
          <w:rFonts w:ascii="Times New Roman" w:eastAsia="宋体" w:hAnsi="Times New Roman" w:cs="Times New Roman"/>
          <w:bCs/>
          <w:color w:val="000000" w:themeColor="text1"/>
          <w:sz w:val="24"/>
          <w:szCs w:val="20"/>
          <w:lang w:val="zh-CN"/>
        </w:rPr>
        <w:t>P</w:t>
      </w:r>
      <w:r w:rsidRPr="00092862">
        <w:rPr>
          <w:rFonts w:ascii="Times New Roman" w:eastAsia="宋体" w:hAnsi="Times New Roman" w:cs="Times New Roman"/>
          <w:bCs/>
          <w:color w:val="000000" w:themeColor="text1"/>
          <w:sz w:val="24"/>
          <w:szCs w:val="20"/>
          <w:lang w:val="zh-CN"/>
        </w:rPr>
        <w:t>值的确定</w:t>
      </w:r>
    </w:p>
    <w:p w14:paraId="3A9971B2" w14:textId="633759D3" w:rsidR="008439D2" w:rsidRPr="00092862" w:rsidRDefault="008439D2" w:rsidP="008439D2">
      <w:pPr>
        <w:adjustRightInd w:val="0"/>
        <w:spacing w:line="360" w:lineRule="auto"/>
        <w:ind w:firstLineChars="200" w:firstLine="480"/>
        <w:rPr>
          <w:rFonts w:ascii="Times New Roman" w:eastAsia="宋体" w:hAnsi="Times New Roman" w:cs="Times New Roman"/>
          <w:bCs/>
          <w:color w:val="000000" w:themeColor="text1"/>
          <w:sz w:val="24"/>
          <w:szCs w:val="20"/>
          <w:lang w:val="zh-CN"/>
        </w:rPr>
      </w:pPr>
      <w:r w:rsidRPr="00092862">
        <w:rPr>
          <w:rFonts w:ascii="Times New Roman" w:eastAsia="宋体" w:hAnsi="Times New Roman" w:cs="Times New Roman"/>
          <w:bCs/>
          <w:color w:val="000000" w:themeColor="text1"/>
          <w:sz w:val="24"/>
          <w:szCs w:val="20"/>
        </w:rPr>
        <w:t>根据《建设项目环境风险评价技术导则》（</w:t>
      </w:r>
      <w:r w:rsidRPr="00092862">
        <w:rPr>
          <w:rFonts w:ascii="Times New Roman" w:eastAsia="宋体" w:hAnsi="Times New Roman" w:cs="Times New Roman"/>
          <w:bCs/>
          <w:color w:val="000000" w:themeColor="text1"/>
          <w:sz w:val="24"/>
          <w:szCs w:val="20"/>
        </w:rPr>
        <w:t>HJ 169</w:t>
      </w:r>
      <w:r w:rsidRPr="00092862">
        <w:rPr>
          <w:rFonts w:ascii="Times New Roman" w:eastAsia="宋体" w:hAnsi="Times New Roman" w:cs="Times New Roman"/>
          <w:bCs/>
          <w:color w:val="000000" w:themeColor="text1"/>
          <w:sz w:val="24"/>
          <w:szCs w:val="20"/>
        </w:rPr>
        <w:t>－</w:t>
      </w:r>
      <w:r w:rsidRPr="00092862">
        <w:rPr>
          <w:rFonts w:ascii="Times New Roman" w:eastAsia="宋体" w:hAnsi="Times New Roman" w:cs="Times New Roman"/>
          <w:bCs/>
          <w:color w:val="000000" w:themeColor="text1"/>
          <w:sz w:val="24"/>
          <w:szCs w:val="20"/>
        </w:rPr>
        <w:t>2018</w:t>
      </w:r>
      <w:r w:rsidRPr="00092862">
        <w:rPr>
          <w:rFonts w:ascii="Times New Roman" w:eastAsia="宋体" w:hAnsi="Times New Roman" w:cs="Times New Roman"/>
          <w:bCs/>
          <w:color w:val="000000" w:themeColor="text1"/>
          <w:sz w:val="24"/>
          <w:szCs w:val="20"/>
        </w:rPr>
        <w:t>）附录</w:t>
      </w:r>
      <w:r w:rsidRPr="00092862">
        <w:rPr>
          <w:rFonts w:ascii="Times New Roman" w:eastAsia="宋体" w:hAnsi="Times New Roman" w:cs="Times New Roman"/>
          <w:bCs/>
          <w:color w:val="000000" w:themeColor="text1"/>
          <w:sz w:val="24"/>
          <w:szCs w:val="20"/>
        </w:rPr>
        <w:t>C</w:t>
      </w:r>
      <w:r w:rsidRPr="00092862">
        <w:rPr>
          <w:rFonts w:ascii="Times New Roman" w:eastAsia="宋体" w:hAnsi="Times New Roman" w:cs="Times New Roman"/>
          <w:bCs/>
          <w:color w:val="000000" w:themeColor="text1"/>
          <w:sz w:val="24"/>
          <w:szCs w:val="20"/>
        </w:rPr>
        <w:t>中</w:t>
      </w:r>
      <w:r w:rsidRPr="00092862">
        <w:rPr>
          <w:rFonts w:ascii="Times New Roman" w:eastAsia="宋体" w:hAnsi="Times New Roman" w:cs="Times New Roman"/>
          <w:bCs/>
          <w:color w:val="000000" w:themeColor="text1"/>
          <w:sz w:val="24"/>
          <w:szCs w:val="20"/>
        </w:rPr>
        <w:t>P</w:t>
      </w:r>
      <w:r w:rsidRPr="00092862">
        <w:rPr>
          <w:rFonts w:ascii="Times New Roman" w:eastAsia="宋体" w:hAnsi="Times New Roman" w:cs="Times New Roman"/>
          <w:bCs/>
          <w:color w:val="000000" w:themeColor="text1"/>
          <w:sz w:val="24"/>
          <w:szCs w:val="20"/>
        </w:rPr>
        <w:t>的确定依据，项目危险物质及工艺系统危害性（</w:t>
      </w:r>
      <w:r w:rsidRPr="00092862">
        <w:rPr>
          <w:rFonts w:ascii="Times New Roman" w:eastAsia="宋体" w:hAnsi="Times New Roman" w:cs="Times New Roman"/>
          <w:bCs/>
          <w:color w:val="000000" w:themeColor="text1"/>
          <w:sz w:val="24"/>
          <w:szCs w:val="20"/>
        </w:rPr>
        <w:t>P</w:t>
      </w:r>
      <w:r w:rsidRPr="00092862">
        <w:rPr>
          <w:rFonts w:ascii="Times New Roman" w:eastAsia="宋体" w:hAnsi="Times New Roman" w:cs="Times New Roman"/>
          <w:bCs/>
          <w:color w:val="000000" w:themeColor="text1"/>
          <w:sz w:val="24"/>
          <w:szCs w:val="20"/>
        </w:rPr>
        <w:t>）的等级</w:t>
      </w:r>
      <w:r w:rsidRPr="00092862">
        <w:rPr>
          <w:rFonts w:ascii="Times New Roman" w:eastAsia="宋体" w:hAnsi="Times New Roman" w:cs="Times New Roman"/>
          <w:bCs/>
          <w:color w:val="000000" w:themeColor="text1"/>
          <w:sz w:val="24"/>
          <w:szCs w:val="20"/>
        </w:rPr>
        <w:t>P4</w:t>
      </w:r>
      <w:r w:rsidRPr="00092862">
        <w:rPr>
          <w:rFonts w:ascii="Times New Roman" w:eastAsia="宋体" w:hAnsi="Times New Roman" w:cs="Times New Roman"/>
          <w:bCs/>
          <w:color w:val="000000" w:themeColor="text1"/>
          <w:sz w:val="24"/>
          <w:szCs w:val="20"/>
        </w:rPr>
        <w:t>。</w:t>
      </w:r>
    </w:p>
    <w:p w14:paraId="2BAB960D" w14:textId="5BF5E784" w:rsidR="008439D2" w:rsidRPr="00092862" w:rsidRDefault="008439D2" w:rsidP="008439D2">
      <w:pPr>
        <w:jc w:val="center"/>
        <w:rPr>
          <w:rFonts w:ascii="Times New Roman" w:eastAsia="黑体" w:hAnsi="Times New Roman" w:cs="Times New Roman"/>
          <w:color w:val="000000" w:themeColor="text1"/>
          <w:kern w:val="0"/>
          <w:szCs w:val="21"/>
        </w:rPr>
      </w:pPr>
      <w:r w:rsidRPr="00092862">
        <w:rPr>
          <w:rFonts w:ascii="Times New Roman" w:eastAsia="黑体" w:hAnsi="Times New Roman" w:cs="Times New Roman"/>
          <w:color w:val="000000" w:themeColor="text1"/>
          <w:kern w:val="0"/>
          <w:szCs w:val="21"/>
        </w:rPr>
        <w:t>表</w:t>
      </w:r>
      <w:r w:rsidRPr="00092862">
        <w:rPr>
          <w:rFonts w:ascii="Times New Roman" w:eastAsia="黑体" w:hAnsi="Times New Roman" w:cs="Times New Roman"/>
          <w:color w:val="000000" w:themeColor="text1"/>
          <w:kern w:val="0"/>
          <w:szCs w:val="21"/>
        </w:rPr>
        <w:t>6.</w:t>
      </w:r>
      <w:r w:rsidR="004A71B6" w:rsidRPr="00092862">
        <w:rPr>
          <w:rFonts w:ascii="Times New Roman" w:eastAsia="黑体" w:hAnsi="Times New Roman" w:cs="Times New Roman"/>
          <w:color w:val="000000" w:themeColor="text1"/>
          <w:szCs w:val="21"/>
        </w:rPr>
        <w:t>1-8</w:t>
      </w:r>
      <w:r w:rsidRPr="00092862">
        <w:rPr>
          <w:rFonts w:ascii="Times New Roman" w:eastAsia="黑体" w:hAnsi="Times New Roman" w:cs="Times New Roman"/>
          <w:color w:val="000000" w:themeColor="text1"/>
          <w:kern w:val="0"/>
          <w:szCs w:val="21"/>
        </w:rPr>
        <w:t xml:space="preserve">  </w:t>
      </w:r>
      <w:r w:rsidRPr="00092862">
        <w:rPr>
          <w:rFonts w:ascii="Times New Roman" w:eastAsia="黑体" w:hAnsi="Times New Roman" w:cs="Times New Roman"/>
          <w:color w:val="000000" w:themeColor="text1"/>
          <w:kern w:val="0"/>
          <w:szCs w:val="21"/>
        </w:rPr>
        <w:t>本项目危险物质及工艺系统危害性等级判断</w:t>
      </w:r>
    </w:p>
    <w:tbl>
      <w:tblPr>
        <w:tblW w:w="8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82"/>
        <w:gridCol w:w="1107"/>
        <w:gridCol w:w="1711"/>
        <w:gridCol w:w="1709"/>
        <w:gridCol w:w="1708"/>
      </w:tblGrid>
      <w:tr w:rsidR="00697429" w:rsidRPr="00092862" w14:paraId="4B398C17" w14:textId="77777777" w:rsidTr="00852E5F">
        <w:trPr>
          <w:trHeight w:hRule="exact" w:val="302"/>
          <w:jc w:val="center"/>
        </w:trPr>
        <w:tc>
          <w:tcPr>
            <w:tcW w:w="2282" w:type="dxa"/>
            <w:vMerge w:val="restart"/>
          </w:tcPr>
          <w:p w14:paraId="70A84923"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危险物质数量与临界量的比值（</w:t>
            </w:r>
            <w:r w:rsidRPr="00092862">
              <w:rPr>
                <w:rFonts w:ascii="Times New Roman" w:eastAsia="宋体" w:hAnsi="Times New Roman" w:cs="Times New Roman"/>
                <w:bCs/>
                <w:color w:val="000000" w:themeColor="text1"/>
                <w:szCs w:val="21"/>
              </w:rPr>
              <w:t>Q</w:t>
            </w:r>
            <w:r w:rsidRPr="00092862">
              <w:rPr>
                <w:rFonts w:ascii="Times New Roman" w:eastAsia="宋体" w:hAnsi="Times New Roman" w:cs="Times New Roman"/>
                <w:bCs/>
                <w:color w:val="000000" w:themeColor="text1"/>
                <w:szCs w:val="21"/>
              </w:rPr>
              <w:t>）</w:t>
            </w:r>
          </w:p>
        </w:tc>
        <w:tc>
          <w:tcPr>
            <w:tcW w:w="6235" w:type="dxa"/>
            <w:gridSpan w:val="4"/>
          </w:tcPr>
          <w:p w14:paraId="030AAA72"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行业及生产工艺（</w:t>
            </w:r>
            <w:r w:rsidRPr="00092862">
              <w:rPr>
                <w:rFonts w:ascii="Times New Roman" w:eastAsia="宋体" w:hAnsi="Times New Roman" w:cs="Times New Roman"/>
                <w:bCs/>
                <w:color w:val="000000" w:themeColor="text1"/>
                <w:szCs w:val="21"/>
              </w:rPr>
              <w:t>M</w:t>
            </w:r>
            <w:r w:rsidRPr="00092862">
              <w:rPr>
                <w:rFonts w:ascii="Times New Roman" w:eastAsia="宋体" w:hAnsi="Times New Roman" w:cs="Times New Roman"/>
                <w:bCs/>
                <w:color w:val="000000" w:themeColor="text1"/>
                <w:szCs w:val="21"/>
              </w:rPr>
              <w:t>）</w:t>
            </w:r>
          </w:p>
        </w:tc>
      </w:tr>
      <w:tr w:rsidR="00697429" w:rsidRPr="00092862" w14:paraId="41ED2144" w14:textId="77777777" w:rsidTr="00852E5F">
        <w:trPr>
          <w:trHeight w:hRule="exact" w:val="295"/>
          <w:jc w:val="center"/>
        </w:trPr>
        <w:tc>
          <w:tcPr>
            <w:tcW w:w="2282" w:type="dxa"/>
            <w:vMerge/>
          </w:tcPr>
          <w:p w14:paraId="79C01C6E" w14:textId="77777777" w:rsidR="008439D2" w:rsidRPr="00092862" w:rsidRDefault="008439D2" w:rsidP="008439D2">
            <w:pPr>
              <w:jc w:val="center"/>
              <w:rPr>
                <w:rFonts w:ascii="Times New Roman" w:eastAsia="宋体" w:hAnsi="Times New Roman" w:cs="Times New Roman"/>
                <w:bCs/>
                <w:color w:val="000000" w:themeColor="text1"/>
                <w:szCs w:val="21"/>
              </w:rPr>
            </w:pPr>
          </w:p>
        </w:tc>
        <w:tc>
          <w:tcPr>
            <w:tcW w:w="1107" w:type="dxa"/>
          </w:tcPr>
          <w:p w14:paraId="5A0FA324"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M1</w:t>
            </w:r>
          </w:p>
        </w:tc>
        <w:tc>
          <w:tcPr>
            <w:tcW w:w="1711" w:type="dxa"/>
          </w:tcPr>
          <w:p w14:paraId="24F28D99"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M2</w:t>
            </w:r>
          </w:p>
        </w:tc>
        <w:tc>
          <w:tcPr>
            <w:tcW w:w="1709" w:type="dxa"/>
          </w:tcPr>
          <w:p w14:paraId="082EE12E"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shd w:val="pct15" w:color="auto" w:fill="FFFFFF"/>
              </w:rPr>
              <w:t>M3</w:t>
            </w:r>
          </w:p>
        </w:tc>
        <w:tc>
          <w:tcPr>
            <w:tcW w:w="1708" w:type="dxa"/>
          </w:tcPr>
          <w:p w14:paraId="098156D7"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M4</w:t>
            </w:r>
          </w:p>
        </w:tc>
      </w:tr>
      <w:tr w:rsidR="00697429" w:rsidRPr="00092862" w14:paraId="462ED6BA" w14:textId="77777777" w:rsidTr="00852E5F">
        <w:trPr>
          <w:trHeight w:hRule="exact" w:val="322"/>
          <w:jc w:val="center"/>
        </w:trPr>
        <w:tc>
          <w:tcPr>
            <w:tcW w:w="2282" w:type="dxa"/>
          </w:tcPr>
          <w:p w14:paraId="4121F92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Q≥100</w:t>
            </w:r>
          </w:p>
        </w:tc>
        <w:tc>
          <w:tcPr>
            <w:tcW w:w="1107" w:type="dxa"/>
          </w:tcPr>
          <w:p w14:paraId="4F6049FF"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P1</w:t>
            </w:r>
          </w:p>
        </w:tc>
        <w:tc>
          <w:tcPr>
            <w:tcW w:w="1711" w:type="dxa"/>
          </w:tcPr>
          <w:p w14:paraId="3C03AD01"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P1</w:t>
            </w:r>
          </w:p>
        </w:tc>
        <w:tc>
          <w:tcPr>
            <w:tcW w:w="1709" w:type="dxa"/>
          </w:tcPr>
          <w:p w14:paraId="7410D262"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P2</w:t>
            </w:r>
          </w:p>
        </w:tc>
        <w:tc>
          <w:tcPr>
            <w:tcW w:w="1708" w:type="dxa"/>
          </w:tcPr>
          <w:p w14:paraId="4463DD55"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P3</w:t>
            </w:r>
          </w:p>
        </w:tc>
      </w:tr>
      <w:tr w:rsidR="00697429" w:rsidRPr="00092862" w14:paraId="450A4EAE" w14:textId="77777777" w:rsidTr="00852E5F">
        <w:trPr>
          <w:trHeight w:hRule="exact" w:val="322"/>
          <w:jc w:val="center"/>
        </w:trPr>
        <w:tc>
          <w:tcPr>
            <w:tcW w:w="2282" w:type="dxa"/>
          </w:tcPr>
          <w:p w14:paraId="0DF0770A"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10≤Q</w:t>
            </w:r>
            <w:r w:rsidRPr="00092862">
              <w:rPr>
                <w:rFonts w:ascii="Times New Roman" w:eastAsia="宋体" w:hAnsi="Times New Roman" w:cs="Times New Roman"/>
                <w:bCs/>
                <w:color w:val="000000" w:themeColor="text1"/>
                <w:szCs w:val="21"/>
              </w:rPr>
              <w:t>＜</w:t>
            </w:r>
            <w:r w:rsidRPr="00092862">
              <w:rPr>
                <w:rFonts w:ascii="Times New Roman" w:eastAsia="宋体" w:hAnsi="Times New Roman" w:cs="Times New Roman"/>
                <w:bCs/>
                <w:color w:val="000000" w:themeColor="text1"/>
                <w:szCs w:val="21"/>
              </w:rPr>
              <w:t>100</w:t>
            </w:r>
          </w:p>
        </w:tc>
        <w:tc>
          <w:tcPr>
            <w:tcW w:w="1107" w:type="dxa"/>
          </w:tcPr>
          <w:p w14:paraId="5D136976"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P1</w:t>
            </w:r>
          </w:p>
        </w:tc>
        <w:tc>
          <w:tcPr>
            <w:tcW w:w="1711" w:type="dxa"/>
          </w:tcPr>
          <w:p w14:paraId="4CC1C1DD"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P2</w:t>
            </w:r>
          </w:p>
        </w:tc>
        <w:tc>
          <w:tcPr>
            <w:tcW w:w="1709" w:type="dxa"/>
          </w:tcPr>
          <w:p w14:paraId="403707A3"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P3</w:t>
            </w:r>
          </w:p>
        </w:tc>
        <w:tc>
          <w:tcPr>
            <w:tcW w:w="1708" w:type="dxa"/>
          </w:tcPr>
          <w:p w14:paraId="1A2CD594"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P4</w:t>
            </w:r>
          </w:p>
        </w:tc>
      </w:tr>
      <w:tr w:rsidR="00697429" w:rsidRPr="00092862" w14:paraId="615079F0" w14:textId="77777777" w:rsidTr="00852E5F">
        <w:trPr>
          <w:trHeight w:hRule="exact" w:val="324"/>
          <w:jc w:val="center"/>
        </w:trPr>
        <w:tc>
          <w:tcPr>
            <w:tcW w:w="2282" w:type="dxa"/>
          </w:tcPr>
          <w:p w14:paraId="377940BA"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shd w:val="pct15" w:color="auto" w:fill="FFFFFF"/>
              </w:rPr>
              <w:t>1≤Q</w:t>
            </w:r>
            <w:r w:rsidRPr="00092862">
              <w:rPr>
                <w:rFonts w:ascii="Times New Roman" w:eastAsia="宋体" w:hAnsi="Times New Roman" w:cs="Times New Roman"/>
                <w:bCs/>
                <w:color w:val="000000" w:themeColor="text1"/>
                <w:szCs w:val="21"/>
                <w:shd w:val="pct15" w:color="auto" w:fill="FFFFFF"/>
              </w:rPr>
              <w:t>＜</w:t>
            </w:r>
            <w:r w:rsidRPr="00092862">
              <w:rPr>
                <w:rFonts w:ascii="Times New Roman" w:eastAsia="宋体" w:hAnsi="Times New Roman" w:cs="Times New Roman"/>
                <w:bCs/>
                <w:color w:val="000000" w:themeColor="text1"/>
                <w:szCs w:val="21"/>
                <w:shd w:val="pct15" w:color="auto" w:fill="FFFFFF"/>
              </w:rPr>
              <w:t>10</w:t>
            </w:r>
          </w:p>
        </w:tc>
        <w:tc>
          <w:tcPr>
            <w:tcW w:w="1107" w:type="dxa"/>
          </w:tcPr>
          <w:p w14:paraId="41B4FF67"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P2</w:t>
            </w:r>
          </w:p>
        </w:tc>
        <w:tc>
          <w:tcPr>
            <w:tcW w:w="1711" w:type="dxa"/>
          </w:tcPr>
          <w:p w14:paraId="57B6F878"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P3</w:t>
            </w:r>
          </w:p>
        </w:tc>
        <w:tc>
          <w:tcPr>
            <w:tcW w:w="1709" w:type="dxa"/>
          </w:tcPr>
          <w:p w14:paraId="2166FC92"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shd w:val="pct15" w:color="auto" w:fill="FFFFFF"/>
              </w:rPr>
              <w:t>P4</w:t>
            </w:r>
          </w:p>
        </w:tc>
        <w:tc>
          <w:tcPr>
            <w:tcW w:w="1708" w:type="dxa"/>
          </w:tcPr>
          <w:p w14:paraId="06F432E0" w14:textId="77777777" w:rsidR="008439D2" w:rsidRPr="00092862" w:rsidRDefault="008439D2" w:rsidP="008439D2">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P4</w:t>
            </w:r>
          </w:p>
        </w:tc>
      </w:tr>
    </w:tbl>
    <w:p w14:paraId="5728E29B" w14:textId="6076C8A9" w:rsidR="008439D2" w:rsidRPr="00092862" w:rsidRDefault="008439D2" w:rsidP="008439D2">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r w:rsidRPr="00092862">
        <w:rPr>
          <w:rFonts w:ascii="Times New Roman" w:eastAsia="黑体" w:hAnsi="Times New Roman"/>
          <w:b w:val="0"/>
          <w:color w:val="000000" w:themeColor="text1"/>
          <w:sz w:val="24"/>
          <w:szCs w:val="24"/>
          <w:lang w:eastAsia="zh-CN"/>
        </w:rPr>
        <w:t>6.1.3</w:t>
      </w:r>
      <w:r w:rsidRPr="00092862">
        <w:rPr>
          <w:rFonts w:ascii="Times New Roman" w:eastAsia="黑体" w:hAnsi="Times New Roman"/>
          <w:b w:val="0"/>
          <w:color w:val="000000" w:themeColor="text1"/>
          <w:sz w:val="24"/>
          <w:szCs w:val="24"/>
          <w:lang w:eastAsia="zh-CN"/>
        </w:rPr>
        <w:t>环境敏感程度（</w:t>
      </w:r>
      <w:r w:rsidRPr="00092862">
        <w:rPr>
          <w:rFonts w:ascii="Times New Roman" w:eastAsia="黑体" w:hAnsi="Times New Roman"/>
          <w:b w:val="0"/>
          <w:color w:val="000000" w:themeColor="text1"/>
          <w:sz w:val="24"/>
          <w:szCs w:val="24"/>
          <w:lang w:eastAsia="zh-CN"/>
        </w:rPr>
        <w:t>E</w:t>
      </w:r>
      <w:r w:rsidRPr="00092862">
        <w:rPr>
          <w:rFonts w:ascii="Times New Roman" w:eastAsia="黑体" w:hAnsi="Times New Roman"/>
          <w:b w:val="0"/>
          <w:color w:val="000000" w:themeColor="text1"/>
          <w:sz w:val="24"/>
          <w:szCs w:val="24"/>
          <w:lang w:eastAsia="zh-CN"/>
        </w:rPr>
        <w:t>）的确定</w:t>
      </w:r>
    </w:p>
    <w:p w14:paraId="0CCA8D40" w14:textId="77777777" w:rsidR="00602761" w:rsidRPr="00092862" w:rsidRDefault="00602761" w:rsidP="00602761">
      <w:pPr>
        <w:adjustRightInd w:val="0"/>
        <w:spacing w:line="360" w:lineRule="auto"/>
        <w:ind w:firstLineChars="200" w:firstLine="482"/>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、大气环境</w:t>
      </w:r>
    </w:p>
    <w:p w14:paraId="51997557" w14:textId="77777777" w:rsidR="00602761" w:rsidRPr="00092862" w:rsidRDefault="00602761" w:rsidP="0060276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周边</w:t>
      </w:r>
      <w:r w:rsidRPr="00092862">
        <w:rPr>
          <w:rFonts w:ascii="Times New Roman" w:eastAsia="宋体" w:hAnsi="Times New Roman" w:cs="Times New Roman"/>
          <w:bCs/>
          <w:color w:val="000000" w:themeColor="text1"/>
          <w:sz w:val="24"/>
          <w:szCs w:val="24"/>
        </w:rPr>
        <w:t>5km</w:t>
      </w:r>
      <w:r w:rsidRPr="00092862">
        <w:rPr>
          <w:rFonts w:ascii="Times New Roman" w:eastAsia="宋体" w:hAnsi="Times New Roman" w:cs="Times New Roman"/>
          <w:bCs/>
          <w:color w:val="000000" w:themeColor="text1"/>
          <w:sz w:val="24"/>
          <w:szCs w:val="24"/>
        </w:rPr>
        <w:t>范围内居住区、医疗卫生、文化教育、科研、行政办公等机构人口总数大于</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万人，小于</w:t>
      </w:r>
      <w:r w:rsidRPr="00092862">
        <w:rPr>
          <w:rFonts w:ascii="Times New Roman" w:eastAsia="宋体" w:hAnsi="Times New Roman" w:cs="Times New Roman"/>
          <w:bCs/>
          <w:color w:val="000000" w:themeColor="text1"/>
          <w:sz w:val="24"/>
          <w:szCs w:val="24"/>
        </w:rPr>
        <w:t>5</w:t>
      </w:r>
      <w:r w:rsidRPr="00092862">
        <w:rPr>
          <w:rFonts w:ascii="Times New Roman" w:eastAsia="宋体" w:hAnsi="Times New Roman" w:cs="Times New Roman"/>
          <w:bCs/>
          <w:color w:val="000000" w:themeColor="text1"/>
          <w:sz w:val="24"/>
          <w:szCs w:val="24"/>
        </w:rPr>
        <w:t>万人；无其他需要特殊保护的地区；周边</w:t>
      </w:r>
      <w:r w:rsidRPr="00092862">
        <w:rPr>
          <w:rFonts w:ascii="Times New Roman" w:eastAsia="宋体" w:hAnsi="Times New Roman" w:cs="Times New Roman"/>
          <w:bCs/>
          <w:color w:val="000000" w:themeColor="text1"/>
          <w:sz w:val="24"/>
          <w:szCs w:val="24"/>
        </w:rPr>
        <w:t>500m</w:t>
      </w:r>
      <w:r w:rsidRPr="00092862">
        <w:rPr>
          <w:rFonts w:ascii="Times New Roman" w:eastAsia="宋体" w:hAnsi="Times New Roman" w:cs="Times New Roman"/>
          <w:bCs/>
          <w:color w:val="000000" w:themeColor="text1"/>
          <w:sz w:val="24"/>
          <w:szCs w:val="24"/>
        </w:rPr>
        <w:t>范围内人口总数为小于</w:t>
      </w:r>
      <w:r w:rsidRPr="00092862">
        <w:rPr>
          <w:rFonts w:ascii="Times New Roman" w:eastAsia="宋体" w:hAnsi="Times New Roman" w:cs="Times New Roman"/>
          <w:bCs/>
          <w:color w:val="000000" w:themeColor="text1"/>
          <w:sz w:val="24"/>
          <w:szCs w:val="24"/>
        </w:rPr>
        <w:t>500</w:t>
      </w:r>
      <w:r w:rsidRPr="00092862">
        <w:rPr>
          <w:rFonts w:ascii="Times New Roman" w:eastAsia="宋体" w:hAnsi="Times New Roman" w:cs="Times New Roman"/>
          <w:bCs/>
          <w:color w:val="000000" w:themeColor="text1"/>
          <w:sz w:val="24"/>
          <w:szCs w:val="24"/>
        </w:rPr>
        <w:t>人。根据《建设项目环境风险评价技术导则》（</w:t>
      </w:r>
      <w:r w:rsidRPr="00092862">
        <w:rPr>
          <w:rFonts w:ascii="Times New Roman" w:eastAsia="宋体" w:hAnsi="Times New Roman" w:cs="Times New Roman"/>
          <w:bCs/>
          <w:color w:val="000000" w:themeColor="text1"/>
          <w:sz w:val="24"/>
          <w:szCs w:val="24"/>
        </w:rPr>
        <w:t>HJ 169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2018</w:t>
      </w:r>
      <w:r w:rsidRPr="00092862">
        <w:rPr>
          <w:rFonts w:ascii="Times New Roman" w:eastAsia="宋体" w:hAnsi="Times New Roman" w:cs="Times New Roman"/>
          <w:bCs/>
          <w:color w:val="000000" w:themeColor="text1"/>
          <w:sz w:val="24"/>
          <w:szCs w:val="24"/>
        </w:rPr>
        <w:t>）附录</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，项目大气环境敏感程度为环境高度敏感区（</w:t>
      </w:r>
      <w:r w:rsidRPr="00092862">
        <w:rPr>
          <w:rFonts w:ascii="Times New Roman" w:eastAsia="宋体" w:hAnsi="Times New Roman" w:cs="Times New Roman"/>
          <w:bCs/>
          <w:color w:val="000000" w:themeColor="text1"/>
          <w:sz w:val="24"/>
          <w:szCs w:val="24"/>
        </w:rPr>
        <w:t>E2</w:t>
      </w:r>
      <w:r w:rsidRPr="00092862">
        <w:rPr>
          <w:rFonts w:ascii="Times New Roman" w:eastAsia="宋体" w:hAnsi="Times New Roman" w:cs="Times New Roman"/>
          <w:bCs/>
          <w:color w:val="000000" w:themeColor="text1"/>
          <w:sz w:val="24"/>
          <w:szCs w:val="24"/>
        </w:rPr>
        <w:t>）。</w:t>
      </w:r>
    </w:p>
    <w:p w14:paraId="07376114" w14:textId="77777777" w:rsidR="00602761" w:rsidRPr="00092862" w:rsidRDefault="00602761" w:rsidP="00602761">
      <w:pPr>
        <w:adjustRightIn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、地表水环境</w:t>
      </w:r>
    </w:p>
    <w:p w14:paraId="7293E0E7" w14:textId="45DAC103" w:rsidR="00602761" w:rsidRPr="00092862" w:rsidRDefault="00602761" w:rsidP="0060276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本项目废水不外排，发生风险事故后，危险物质可能进入</w:t>
      </w:r>
      <w:r w:rsidR="004A71B6" w:rsidRPr="00092862">
        <w:rPr>
          <w:rFonts w:ascii="Times New Roman" w:eastAsia="宋体" w:hAnsi="Times New Roman" w:cs="Times New Roman"/>
          <w:bCs/>
          <w:color w:val="000000" w:themeColor="text1"/>
          <w:sz w:val="24"/>
          <w:szCs w:val="24"/>
        </w:rPr>
        <w:t>周边冲沟</w:t>
      </w:r>
      <w:r w:rsidRPr="00092862">
        <w:rPr>
          <w:rFonts w:ascii="Times New Roman" w:eastAsia="宋体" w:hAnsi="Times New Roman" w:cs="Times New Roman"/>
          <w:bCs/>
          <w:color w:val="000000" w:themeColor="text1"/>
          <w:sz w:val="24"/>
          <w:szCs w:val="24"/>
        </w:rPr>
        <w:t>，区域地表水环境功能为</w:t>
      </w:r>
      <w:r w:rsidRPr="00092862">
        <w:rPr>
          <w:rFonts w:ascii="Times New Roman" w:eastAsia="宋体" w:hAnsi="Times New Roman" w:cs="Times New Roman"/>
          <w:bCs/>
          <w:color w:val="000000" w:themeColor="text1"/>
          <w:sz w:val="24"/>
          <w:szCs w:val="24"/>
        </w:rPr>
        <w:t>Ⅲ</w:t>
      </w:r>
      <w:r w:rsidRPr="00092862">
        <w:rPr>
          <w:rFonts w:ascii="Times New Roman" w:eastAsia="宋体" w:hAnsi="Times New Roman" w:cs="Times New Roman"/>
          <w:bCs/>
          <w:color w:val="000000" w:themeColor="text1"/>
          <w:sz w:val="24"/>
          <w:szCs w:val="24"/>
        </w:rPr>
        <w:t>类水体，因此地表水环境敏感特征为</w:t>
      </w:r>
      <w:r w:rsidRPr="00092862">
        <w:rPr>
          <w:rFonts w:ascii="Times New Roman" w:eastAsia="宋体" w:hAnsi="Times New Roman" w:cs="Times New Roman"/>
          <w:bCs/>
          <w:color w:val="000000" w:themeColor="text1"/>
          <w:sz w:val="24"/>
          <w:szCs w:val="24"/>
        </w:rPr>
        <w:t>F2</w:t>
      </w:r>
      <w:r w:rsidRPr="00092862">
        <w:rPr>
          <w:rFonts w:ascii="Times New Roman" w:eastAsia="宋体" w:hAnsi="Times New Roman" w:cs="Times New Roman"/>
          <w:bCs/>
          <w:color w:val="000000" w:themeColor="text1"/>
          <w:sz w:val="24"/>
          <w:szCs w:val="24"/>
        </w:rPr>
        <w:t>，环境敏感目标分级为</w:t>
      </w:r>
      <w:r w:rsidRPr="00092862">
        <w:rPr>
          <w:rFonts w:ascii="Times New Roman" w:eastAsia="宋体" w:hAnsi="Times New Roman" w:cs="Times New Roman"/>
          <w:bCs/>
          <w:color w:val="000000" w:themeColor="text1"/>
          <w:sz w:val="24"/>
          <w:szCs w:val="24"/>
        </w:rPr>
        <w:t>S3</w:t>
      </w:r>
      <w:r w:rsidRPr="00092862">
        <w:rPr>
          <w:rFonts w:ascii="Times New Roman" w:eastAsia="宋体" w:hAnsi="Times New Roman" w:cs="Times New Roman"/>
          <w:bCs/>
          <w:color w:val="000000" w:themeColor="text1"/>
          <w:sz w:val="24"/>
          <w:szCs w:val="24"/>
        </w:rPr>
        <w:t>。根据《建设项目环境风险评价技术导则》（</w:t>
      </w:r>
      <w:r w:rsidRPr="00092862">
        <w:rPr>
          <w:rFonts w:ascii="Times New Roman" w:eastAsia="宋体" w:hAnsi="Times New Roman" w:cs="Times New Roman"/>
          <w:bCs/>
          <w:color w:val="000000" w:themeColor="text1"/>
          <w:sz w:val="24"/>
          <w:szCs w:val="24"/>
        </w:rPr>
        <w:t>HJ 169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2018</w:t>
      </w:r>
      <w:r w:rsidRPr="00092862">
        <w:rPr>
          <w:rFonts w:ascii="Times New Roman" w:eastAsia="宋体" w:hAnsi="Times New Roman" w:cs="Times New Roman"/>
          <w:bCs/>
          <w:color w:val="000000" w:themeColor="text1"/>
          <w:sz w:val="24"/>
          <w:szCs w:val="24"/>
        </w:rPr>
        <w:t>）附录</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，项目地表水环境敏感程度为环境中度敏感区（</w:t>
      </w:r>
      <w:r w:rsidRPr="00092862">
        <w:rPr>
          <w:rFonts w:ascii="Times New Roman" w:eastAsia="宋体" w:hAnsi="Times New Roman" w:cs="Times New Roman"/>
          <w:bCs/>
          <w:color w:val="000000" w:themeColor="text1"/>
          <w:sz w:val="24"/>
          <w:szCs w:val="24"/>
        </w:rPr>
        <w:t>E</w:t>
      </w:r>
      <w:r w:rsidR="004A71B6"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p>
    <w:p w14:paraId="2E27F74E" w14:textId="77777777" w:rsidR="00602761" w:rsidRPr="00092862" w:rsidRDefault="00602761" w:rsidP="00602761">
      <w:pPr>
        <w:adjustRightIn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、地下水环境</w:t>
      </w:r>
    </w:p>
    <w:p w14:paraId="4E4728B4" w14:textId="77777777" w:rsidR="00602761" w:rsidRPr="00092862" w:rsidRDefault="00602761" w:rsidP="00602761">
      <w:pPr>
        <w:adjustRightIn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本项目所在区域地下水敏感程度为较敏感（</w:t>
      </w:r>
      <w:r w:rsidRPr="00092862">
        <w:rPr>
          <w:rFonts w:ascii="Times New Roman" w:eastAsia="宋体" w:hAnsi="Times New Roman" w:cs="Times New Roman"/>
          <w:bCs/>
          <w:color w:val="000000" w:themeColor="text1"/>
          <w:sz w:val="24"/>
          <w:szCs w:val="24"/>
        </w:rPr>
        <w:t>G2</w:t>
      </w:r>
      <w:r w:rsidRPr="00092862">
        <w:rPr>
          <w:rFonts w:ascii="Times New Roman" w:eastAsia="宋体" w:hAnsi="Times New Roman" w:cs="Times New Roman"/>
          <w:bCs/>
          <w:color w:val="000000" w:themeColor="text1"/>
          <w:sz w:val="24"/>
          <w:szCs w:val="24"/>
        </w:rPr>
        <w:t>），包气带防污性能分级为</w:t>
      </w:r>
      <w:r w:rsidRPr="00092862">
        <w:rPr>
          <w:rFonts w:ascii="Times New Roman" w:eastAsia="宋体" w:hAnsi="Times New Roman" w:cs="Times New Roman"/>
          <w:bCs/>
          <w:color w:val="000000" w:themeColor="text1"/>
          <w:sz w:val="24"/>
          <w:szCs w:val="24"/>
        </w:rPr>
        <w:t>Mb≥1.0m</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1×10</w:t>
      </w:r>
      <w:r w:rsidRPr="00092862">
        <w:rPr>
          <w:rFonts w:ascii="Times New Roman" w:eastAsia="宋体" w:hAnsi="Times New Roman" w:cs="Times New Roman"/>
          <w:bCs/>
          <w:color w:val="000000" w:themeColor="text1"/>
          <w:sz w:val="24"/>
          <w:szCs w:val="24"/>
          <w:vertAlign w:val="superscript"/>
        </w:rPr>
        <w:t>-6</w:t>
      </w:r>
      <w:r w:rsidRPr="00092862">
        <w:rPr>
          <w:rFonts w:ascii="Times New Roman" w:eastAsia="宋体" w:hAnsi="Times New Roman" w:cs="Times New Roman"/>
          <w:bCs/>
          <w:color w:val="000000" w:themeColor="text1"/>
          <w:sz w:val="24"/>
          <w:szCs w:val="24"/>
        </w:rPr>
        <w:t>cm/s≤K≤1×10</w:t>
      </w:r>
      <w:r w:rsidRPr="00092862">
        <w:rPr>
          <w:rFonts w:ascii="Times New Roman" w:eastAsia="宋体" w:hAnsi="Times New Roman" w:cs="Times New Roman"/>
          <w:bCs/>
          <w:color w:val="000000" w:themeColor="text1"/>
          <w:sz w:val="24"/>
          <w:szCs w:val="24"/>
          <w:vertAlign w:val="superscript"/>
        </w:rPr>
        <w:t>-4</w:t>
      </w:r>
      <w:r w:rsidRPr="00092862">
        <w:rPr>
          <w:rFonts w:ascii="Times New Roman" w:eastAsia="宋体" w:hAnsi="Times New Roman" w:cs="Times New Roman"/>
          <w:bCs/>
          <w:color w:val="000000" w:themeColor="text1"/>
          <w:sz w:val="24"/>
          <w:szCs w:val="24"/>
        </w:rPr>
        <w:t>cm/s</w:t>
      </w:r>
      <w:r w:rsidRPr="00092862">
        <w:rPr>
          <w:rFonts w:ascii="Times New Roman" w:eastAsia="宋体" w:hAnsi="Times New Roman" w:cs="Times New Roman"/>
          <w:bCs/>
          <w:color w:val="000000" w:themeColor="text1"/>
          <w:sz w:val="24"/>
          <w:szCs w:val="24"/>
        </w:rPr>
        <w:t>，且分布连续、稳定（</w:t>
      </w:r>
      <w:r w:rsidRPr="00092862">
        <w:rPr>
          <w:rFonts w:ascii="Times New Roman" w:eastAsia="宋体" w:hAnsi="Times New Roman" w:cs="Times New Roman"/>
          <w:bCs/>
          <w:color w:val="000000" w:themeColor="text1"/>
          <w:sz w:val="24"/>
          <w:szCs w:val="24"/>
        </w:rPr>
        <w:t>D2</w:t>
      </w:r>
      <w:r w:rsidRPr="00092862">
        <w:rPr>
          <w:rFonts w:ascii="Times New Roman" w:eastAsia="宋体" w:hAnsi="Times New Roman" w:cs="Times New Roman"/>
          <w:bCs/>
          <w:color w:val="000000" w:themeColor="text1"/>
          <w:sz w:val="24"/>
          <w:szCs w:val="24"/>
        </w:rPr>
        <w:t>）。根据《建设项目环境风险评价技术导则》（</w:t>
      </w:r>
      <w:r w:rsidRPr="00092862">
        <w:rPr>
          <w:rFonts w:ascii="Times New Roman" w:eastAsia="宋体" w:hAnsi="Times New Roman" w:cs="Times New Roman"/>
          <w:bCs/>
          <w:color w:val="000000" w:themeColor="text1"/>
          <w:sz w:val="24"/>
          <w:szCs w:val="24"/>
        </w:rPr>
        <w:t>HJ 169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2018</w:t>
      </w:r>
      <w:r w:rsidRPr="00092862">
        <w:rPr>
          <w:rFonts w:ascii="Times New Roman" w:eastAsia="宋体" w:hAnsi="Times New Roman" w:cs="Times New Roman"/>
          <w:bCs/>
          <w:color w:val="000000" w:themeColor="text1"/>
          <w:sz w:val="24"/>
          <w:szCs w:val="24"/>
        </w:rPr>
        <w:t>）附录</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，项目地下水环境敏感程度为环境中度敏感区（</w:t>
      </w:r>
      <w:r w:rsidRPr="00092862">
        <w:rPr>
          <w:rFonts w:ascii="Times New Roman" w:eastAsia="宋体" w:hAnsi="Times New Roman" w:cs="Times New Roman"/>
          <w:bCs/>
          <w:color w:val="000000" w:themeColor="text1"/>
          <w:sz w:val="24"/>
          <w:szCs w:val="24"/>
        </w:rPr>
        <w:t>E2</w:t>
      </w:r>
      <w:r w:rsidRPr="00092862">
        <w:rPr>
          <w:rFonts w:ascii="Times New Roman" w:eastAsia="宋体" w:hAnsi="Times New Roman" w:cs="Times New Roman"/>
          <w:bCs/>
          <w:color w:val="000000" w:themeColor="text1"/>
          <w:sz w:val="24"/>
          <w:szCs w:val="24"/>
        </w:rPr>
        <w:t>）。</w:t>
      </w:r>
    </w:p>
    <w:p w14:paraId="4D73AC07" w14:textId="77777777" w:rsidR="004A71B6" w:rsidRPr="00092862" w:rsidRDefault="004A71B6" w:rsidP="004A71B6">
      <w:pPr>
        <w:adjustRightIn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综上，本项目各环境要素环境敏感程度分级及根据导则要求的环境风险潜势划分情况见下表。</w:t>
      </w:r>
    </w:p>
    <w:p w14:paraId="699B61B5" w14:textId="7D67133D" w:rsidR="004A71B6" w:rsidRPr="00092862" w:rsidRDefault="004A71B6" w:rsidP="004A71B6">
      <w:pPr>
        <w:pStyle w:val="afffffffff4"/>
        <w:spacing w:line="240" w:lineRule="auto"/>
        <w:ind w:firstLine="0"/>
        <w:jc w:val="center"/>
        <w:rPr>
          <w:rFonts w:eastAsia="黑体"/>
          <w:color w:val="000000" w:themeColor="text1"/>
          <w:kern w:val="0"/>
          <w:sz w:val="21"/>
          <w:szCs w:val="21"/>
        </w:rPr>
      </w:pPr>
      <w:r w:rsidRPr="00092862">
        <w:rPr>
          <w:rFonts w:eastAsia="黑体"/>
          <w:color w:val="000000" w:themeColor="text1"/>
          <w:kern w:val="0"/>
          <w:sz w:val="21"/>
          <w:szCs w:val="21"/>
        </w:rPr>
        <w:t>表</w:t>
      </w:r>
      <w:r w:rsidRPr="00092862">
        <w:rPr>
          <w:rFonts w:eastAsia="黑体"/>
          <w:color w:val="000000" w:themeColor="text1"/>
          <w:kern w:val="0"/>
          <w:sz w:val="21"/>
          <w:szCs w:val="21"/>
        </w:rPr>
        <w:t xml:space="preserve">6.1-9   </w:t>
      </w:r>
      <w:r w:rsidRPr="00092862">
        <w:rPr>
          <w:rFonts w:eastAsia="黑体"/>
          <w:color w:val="000000" w:themeColor="text1"/>
          <w:kern w:val="0"/>
          <w:sz w:val="21"/>
          <w:szCs w:val="21"/>
        </w:rPr>
        <w:t>本项目环境风险潜势表</w:t>
      </w:r>
    </w:p>
    <w:tbl>
      <w:tblPr>
        <w:tblW w:w="8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540"/>
        <w:gridCol w:w="1416"/>
        <w:gridCol w:w="994"/>
        <w:gridCol w:w="849"/>
        <w:gridCol w:w="1832"/>
      </w:tblGrid>
      <w:tr w:rsidR="00697429" w:rsidRPr="00092862" w14:paraId="367E6923" w14:textId="77777777" w:rsidTr="000C4D70">
        <w:trPr>
          <w:jc w:val="center"/>
        </w:trPr>
        <w:tc>
          <w:tcPr>
            <w:tcW w:w="3540" w:type="dxa"/>
            <w:vAlign w:val="center"/>
          </w:tcPr>
          <w:p w14:paraId="09003C71"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环境要素</w:t>
            </w:r>
          </w:p>
        </w:tc>
        <w:tc>
          <w:tcPr>
            <w:tcW w:w="1416" w:type="dxa"/>
            <w:vAlign w:val="center"/>
          </w:tcPr>
          <w:p w14:paraId="691B6CCD"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大气环境</w:t>
            </w:r>
          </w:p>
        </w:tc>
        <w:tc>
          <w:tcPr>
            <w:tcW w:w="994" w:type="dxa"/>
            <w:vAlign w:val="center"/>
          </w:tcPr>
          <w:p w14:paraId="5C29E5B0"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地表水环境</w:t>
            </w:r>
          </w:p>
        </w:tc>
        <w:tc>
          <w:tcPr>
            <w:tcW w:w="849" w:type="dxa"/>
            <w:vAlign w:val="center"/>
          </w:tcPr>
          <w:p w14:paraId="4E5D7C62"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地下水环境</w:t>
            </w:r>
          </w:p>
        </w:tc>
        <w:tc>
          <w:tcPr>
            <w:tcW w:w="1832" w:type="dxa"/>
            <w:vAlign w:val="center"/>
          </w:tcPr>
          <w:p w14:paraId="7379A792"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本项目环境风险</w:t>
            </w:r>
          </w:p>
          <w:p w14:paraId="1D1E826E"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潜势综合等级</w:t>
            </w:r>
          </w:p>
        </w:tc>
      </w:tr>
      <w:tr w:rsidR="00697429" w:rsidRPr="00092862" w14:paraId="432389FA" w14:textId="77777777" w:rsidTr="000C4D70">
        <w:trPr>
          <w:jc w:val="center"/>
        </w:trPr>
        <w:tc>
          <w:tcPr>
            <w:tcW w:w="3540" w:type="dxa"/>
            <w:vAlign w:val="center"/>
          </w:tcPr>
          <w:p w14:paraId="2A943FE1"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危险物质及工艺系统危险性（</w:t>
            </w:r>
            <w:r w:rsidRPr="00092862">
              <w:rPr>
                <w:rFonts w:ascii="Times New Roman" w:eastAsia="宋体" w:hAnsi="Times New Roman" w:cs="Times New Roman"/>
                <w:bCs/>
                <w:color w:val="000000" w:themeColor="text1"/>
                <w:szCs w:val="21"/>
              </w:rPr>
              <w:t>P</w:t>
            </w:r>
            <w:r w:rsidRPr="00092862">
              <w:rPr>
                <w:rFonts w:ascii="Times New Roman" w:eastAsia="宋体" w:hAnsi="Times New Roman" w:cs="Times New Roman"/>
                <w:bCs/>
                <w:color w:val="000000" w:themeColor="text1"/>
                <w:szCs w:val="21"/>
              </w:rPr>
              <w:t>）</w:t>
            </w:r>
          </w:p>
        </w:tc>
        <w:tc>
          <w:tcPr>
            <w:tcW w:w="5091" w:type="dxa"/>
            <w:gridSpan w:val="4"/>
            <w:vAlign w:val="center"/>
          </w:tcPr>
          <w:p w14:paraId="14635E40" w14:textId="497EE299"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P4</w:t>
            </w:r>
          </w:p>
        </w:tc>
      </w:tr>
      <w:tr w:rsidR="00697429" w:rsidRPr="00092862" w14:paraId="54D31E76" w14:textId="77777777" w:rsidTr="000C4D70">
        <w:trPr>
          <w:jc w:val="center"/>
        </w:trPr>
        <w:tc>
          <w:tcPr>
            <w:tcW w:w="3540" w:type="dxa"/>
            <w:vAlign w:val="center"/>
          </w:tcPr>
          <w:p w14:paraId="457115A9"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敏感度（</w:t>
            </w:r>
            <w:r w:rsidRPr="00092862">
              <w:rPr>
                <w:rFonts w:ascii="Times New Roman" w:eastAsia="宋体" w:hAnsi="Times New Roman" w:cs="Times New Roman"/>
                <w:bCs/>
                <w:color w:val="000000" w:themeColor="text1"/>
                <w:szCs w:val="21"/>
              </w:rPr>
              <w:t>E</w:t>
            </w:r>
            <w:r w:rsidRPr="00092862">
              <w:rPr>
                <w:rFonts w:ascii="Times New Roman" w:eastAsia="宋体" w:hAnsi="Times New Roman" w:cs="Times New Roman"/>
                <w:bCs/>
                <w:color w:val="000000" w:themeColor="text1"/>
                <w:szCs w:val="21"/>
              </w:rPr>
              <w:t>）</w:t>
            </w:r>
          </w:p>
        </w:tc>
        <w:tc>
          <w:tcPr>
            <w:tcW w:w="1416" w:type="dxa"/>
            <w:vAlign w:val="center"/>
          </w:tcPr>
          <w:p w14:paraId="1E58C612"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E2</w:t>
            </w:r>
          </w:p>
        </w:tc>
        <w:tc>
          <w:tcPr>
            <w:tcW w:w="994" w:type="dxa"/>
            <w:vAlign w:val="center"/>
          </w:tcPr>
          <w:p w14:paraId="4EB35391" w14:textId="3E0D7DD8"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E2</w:t>
            </w:r>
          </w:p>
        </w:tc>
        <w:tc>
          <w:tcPr>
            <w:tcW w:w="849" w:type="dxa"/>
            <w:vAlign w:val="center"/>
          </w:tcPr>
          <w:p w14:paraId="5099AFE6"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E2</w:t>
            </w:r>
          </w:p>
        </w:tc>
        <w:tc>
          <w:tcPr>
            <w:tcW w:w="1832" w:type="dxa"/>
            <w:vAlign w:val="center"/>
          </w:tcPr>
          <w:p w14:paraId="32FDFCAC" w14:textId="20C4B03D"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E2</w:t>
            </w:r>
          </w:p>
        </w:tc>
      </w:tr>
      <w:tr w:rsidR="00697429" w:rsidRPr="00092862" w14:paraId="419606C5" w14:textId="77777777" w:rsidTr="000C4D70">
        <w:trPr>
          <w:jc w:val="center"/>
        </w:trPr>
        <w:tc>
          <w:tcPr>
            <w:tcW w:w="3540" w:type="dxa"/>
            <w:vAlign w:val="center"/>
          </w:tcPr>
          <w:p w14:paraId="424475C0" w14:textId="7777777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环境风险潜势</w:t>
            </w:r>
          </w:p>
        </w:tc>
        <w:tc>
          <w:tcPr>
            <w:tcW w:w="1416" w:type="dxa"/>
            <w:vAlign w:val="center"/>
          </w:tcPr>
          <w:p w14:paraId="57661B45" w14:textId="4AE6F1EC"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snapToGrid w:val="0"/>
                <w:color w:val="000000" w:themeColor="text1"/>
                <w:szCs w:val="21"/>
              </w:rPr>
              <w:fldChar w:fldCharType="begin"/>
            </w:r>
            <w:r w:rsidRPr="00092862">
              <w:rPr>
                <w:rFonts w:ascii="Times New Roman" w:eastAsia="宋体" w:hAnsi="Times New Roman" w:cs="Times New Roman"/>
                <w:bCs/>
                <w:snapToGrid w:val="0"/>
                <w:color w:val="000000" w:themeColor="text1"/>
                <w:szCs w:val="21"/>
              </w:rPr>
              <w:instrText xml:space="preserve"> = 2 \* ROMAN </w:instrText>
            </w:r>
            <w:r w:rsidRPr="00092862">
              <w:rPr>
                <w:rFonts w:ascii="Times New Roman" w:eastAsia="宋体" w:hAnsi="Times New Roman" w:cs="Times New Roman"/>
                <w:bCs/>
                <w:snapToGrid w:val="0"/>
                <w:color w:val="000000" w:themeColor="text1"/>
                <w:szCs w:val="21"/>
              </w:rPr>
              <w:fldChar w:fldCharType="separate"/>
            </w:r>
            <w:r w:rsidRPr="00092862">
              <w:rPr>
                <w:rFonts w:ascii="Times New Roman" w:eastAsia="宋体" w:hAnsi="Times New Roman" w:cs="Times New Roman"/>
                <w:bCs/>
                <w:noProof/>
                <w:snapToGrid w:val="0"/>
                <w:color w:val="000000" w:themeColor="text1"/>
                <w:szCs w:val="21"/>
              </w:rPr>
              <w:t>II</w:t>
            </w:r>
            <w:r w:rsidRPr="00092862">
              <w:rPr>
                <w:rFonts w:ascii="Times New Roman" w:eastAsia="宋体" w:hAnsi="Times New Roman" w:cs="Times New Roman"/>
                <w:bCs/>
                <w:snapToGrid w:val="0"/>
                <w:color w:val="000000" w:themeColor="text1"/>
                <w:szCs w:val="21"/>
              </w:rPr>
              <w:fldChar w:fldCharType="end"/>
            </w:r>
          </w:p>
        </w:tc>
        <w:tc>
          <w:tcPr>
            <w:tcW w:w="994" w:type="dxa"/>
            <w:vAlign w:val="center"/>
          </w:tcPr>
          <w:p w14:paraId="0330FBB7" w14:textId="38788F51"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snapToGrid w:val="0"/>
                <w:color w:val="000000" w:themeColor="text1"/>
                <w:szCs w:val="21"/>
              </w:rPr>
              <w:fldChar w:fldCharType="begin"/>
            </w:r>
            <w:r w:rsidRPr="00092862">
              <w:rPr>
                <w:rFonts w:ascii="Times New Roman" w:eastAsia="宋体" w:hAnsi="Times New Roman" w:cs="Times New Roman"/>
                <w:bCs/>
                <w:snapToGrid w:val="0"/>
                <w:color w:val="000000" w:themeColor="text1"/>
                <w:szCs w:val="21"/>
              </w:rPr>
              <w:instrText xml:space="preserve"> = 2 \* ROMAN </w:instrText>
            </w:r>
            <w:r w:rsidRPr="00092862">
              <w:rPr>
                <w:rFonts w:ascii="Times New Roman" w:eastAsia="宋体" w:hAnsi="Times New Roman" w:cs="Times New Roman"/>
                <w:bCs/>
                <w:snapToGrid w:val="0"/>
                <w:color w:val="000000" w:themeColor="text1"/>
                <w:szCs w:val="21"/>
              </w:rPr>
              <w:fldChar w:fldCharType="separate"/>
            </w:r>
            <w:r w:rsidRPr="00092862">
              <w:rPr>
                <w:rFonts w:ascii="Times New Roman" w:eastAsia="宋体" w:hAnsi="Times New Roman" w:cs="Times New Roman"/>
                <w:bCs/>
                <w:noProof/>
                <w:snapToGrid w:val="0"/>
                <w:color w:val="000000" w:themeColor="text1"/>
                <w:szCs w:val="21"/>
              </w:rPr>
              <w:t>II</w:t>
            </w:r>
            <w:r w:rsidRPr="00092862">
              <w:rPr>
                <w:rFonts w:ascii="Times New Roman" w:eastAsia="宋体" w:hAnsi="Times New Roman" w:cs="Times New Roman"/>
                <w:bCs/>
                <w:snapToGrid w:val="0"/>
                <w:color w:val="000000" w:themeColor="text1"/>
                <w:szCs w:val="21"/>
              </w:rPr>
              <w:fldChar w:fldCharType="end"/>
            </w:r>
          </w:p>
        </w:tc>
        <w:tc>
          <w:tcPr>
            <w:tcW w:w="849" w:type="dxa"/>
            <w:vAlign w:val="center"/>
          </w:tcPr>
          <w:p w14:paraId="09354033" w14:textId="58F231F7"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snapToGrid w:val="0"/>
                <w:color w:val="000000" w:themeColor="text1"/>
                <w:szCs w:val="21"/>
              </w:rPr>
              <w:fldChar w:fldCharType="begin"/>
            </w:r>
            <w:r w:rsidRPr="00092862">
              <w:rPr>
                <w:rFonts w:ascii="Times New Roman" w:eastAsia="宋体" w:hAnsi="Times New Roman" w:cs="Times New Roman"/>
                <w:bCs/>
                <w:snapToGrid w:val="0"/>
                <w:color w:val="000000" w:themeColor="text1"/>
                <w:szCs w:val="21"/>
              </w:rPr>
              <w:instrText xml:space="preserve"> = 2 \* ROMAN </w:instrText>
            </w:r>
            <w:r w:rsidRPr="00092862">
              <w:rPr>
                <w:rFonts w:ascii="Times New Roman" w:eastAsia="宋体" w:hAnsi="Times New Roman" w:cs="Times New Roman"/>
                <w:bCs/>
                <w:snapToGrid w:val="0"/>
                <w:color w:val="000000" w:themeColor="text1"/>
                <w:szCs w:val="21"/>
              </w:rPr>
              <w:fldChar w:fldCharType="separate"/>
            </w:r>
            <w:r w:rsidRPr="00092862">
              <w:rPr>
                <w:rFonts w:ascii="Times New Roman" w:eastAsia="宋体" w:hAnsi="Times New Roman" w:cs="Times New Roman"/>
                <w:bCs/>
                <w:noProof/>
                <w:snapToGrid w:val="0"/>
                <w:color w:val="000000" w:themeColor="text1"/>
                <w:szCs w:val="21"/>
              </w:rPr>
              <w:t>II</w:t>
            </w:r>
            <w:r w:rsidRPr="00092862">
              <w:rPr>
                <w:rFonts w:ascii="Times New Roman" w:eastAsia="宋体" w:hAnsi="Times New Roman" w:cs="Times New Roman"/>
                <w:bCs/>
                <w:snapToGrid w:val="0"/>
                <w:color w:val="000000" w:themeColor="text1"/>
                <w:szCs w:val="21"/>
              </w:rPr>
              <w:fldChar w:fldCharType="end"/>
            </w:r>
          </w:p>
        </w:tc>
        <w:tc>
          <w:tcPr>
            <w:tcW w:w="1832" w:type="dxa"/>
            <w:vAlign w:val="center"/>
          </w:tcPr>
          <w:p w14:paraId="5AEC9827" w14:textId="3B37E574" w:rsidR="004A71B6" w:rsidRPr="00092862" w:rsidRDefault="004A71B6" w:rsidP="000C4D70">
            <w:pPr>
              <w:jc w:val="center"/>
              <w:rPr>
                <w:rFonts w:ascii="Times New Roman" w:eastAsia="宋体" w:hAnsi="Times New Roman" w:cs="Times New Roman"/>
                <w:bCs/>
                <w:color w:val="000000" w:themeColor="text1"/>
                <w:szCs w:val="21"/>
              </w:rPr>
            </w:pPr>
            <w:r w:rsidRPr="00092862">
              <w:rPr>
                <w:rFonts w:ascii="Times New Roman" w:eastAsia="宋体" w:hAnsi="Times New Roman" w:cs="Times New Roman"/>
                <w:bCs/>
                <w:snapToGrid w:val="0"/>
                <w:color w:val="000000" w:themeColor="text1"/>
                <w:szCs w:val="21"/>
              </w:rPr>
              <w:fldChar w:fldCharType="begin"/>
            </w:r>
            <w:r w:rsidRPr="00092862">
              <w:rPr>
                <w:rFonts w:ascii="Times New Roman" w:eastAsia="宋体" w:hAnsi="Times New Roman" w:cs="Times New Roman"/>
                <w:bCs/>
                <w:snapToGrid w:val="0"/>
                <w:color w:val="000000" w:themeColor="text1"/>
                <w:szCs w:val="21"/>
              </w:rPr>
              <w:instrText xml:space="preserve"> = 2 \* ROMAN </w:instrText>
            </w:r>
            <w:r w:rsidRPr="00092862">
              <w:rPr>
                <w:rFonts w:ascii="Times New Roman" w:eastAsia="宋体" w:hAnsi="Times New Roman" w:cs="Times New Roman"/>
                <w:bCs/>
                <w:snapToGrid w:val="0"/>
                <w:color w:val="000000" w:themeColor="text1"/>
                <w:szCs w:val="21"/>
              </w:rPr>
              <w:fldChar w:fldCharType="separate"/>
            </w:r>
            <w:r w:rsidRPr="00092862">
              <w:rPr>
                <w:rFonts w:ascii="Times New Roman" w:eastAsia="宋体" w:hAnsi="Times New Roman" w:cs="Times New Roman"/>
                <w:bCs/>
                <w:noProof/>
                <w:snapToGrid w:val="0"/>
                <w:color w:val="000000" w:themeColor="text1"/>
                <w:szCs w:val="21"/>
              </w:rPr>
              <w:t>II</w:t>
            </w:r>
            <w:r w:rsidRPr="00092862">
              <w:rPr>
                <w:rFonts w:ascii="Times New Roman" w:eastAsia="宋体" w:hAnsi="Times New Roman" w:cs="Times New Roman"/>
                <w:bCs/>
                <w:snapToGrid w:val="0"/>
                <w:color w:val="000000" w:themeColor="text1"/>
                <w:szCs w:val="21"/>
              </w:rPr>
              <w:fldChar w:fldCharType="end"/>
            </w:r>
          </w:p>
        </w:tc>
      </w:tr>
      <w:tr w:rsidR="00697429" w:rsidRPr="00092862" w14:paraId="7F9FB744" w14:textId="77777777" w:rsidTr="000C4D70">
        <w:trPr>
          <w:jc w:val="center"/>
        </w:trPr>
        <w:tc>
          <w:tcPr>
            <w:tcW w:w="8631" w:type="dxa"/>
            <w:gridSpan w:val="5"/>
            <w:vAlign w:val="center"/>
          </w:tcPr>
          <w:p w14:paraId="338E92BA" w14:textId="77777777" w:rsidR="004A71B6" w:rsidRPr="00092862" w:rsidRDefault="004A71B6" w:rsidP="000C4D70">
            <w:pPr>
              <w:rPr>
                <w:rFonts w:ascii="Times New Roman" w:eastAsia="宋体" w:hAnsi="Times New Roman" w:cs="Times New Roman"/>
                <w:bCs/>
                <w:color w:val="000000" w:themeColor="text1"/>
                <w:szCs w:val="21"/>
              </w:rPr>
            </w:pPr>
            <w:r w:rsidRPr="00092862">
              <w:rPr>
                <w:rFonts w:ascii="Times New Roman" w:eastAsia="宋体" w:hAnsi="Times New Roman" w:cs="Times New Roman"/>
                <w:bCs/>
                <w:color w:val="000000" w:themeColor="text1"/>
                <w:szCs w:val="21"/>
              </w:rPr>
              <w:t>备注：建设项目环境风险潜势综合等级取各要素等级相对高值。</w:t>
            </w:r>
          </w:p>
        </w:tc>
      </w:tr>
    </w:tbl>
    <w:p w14:paraId="0FC10ECF" w14:textId="2C1E67C2" w:rsidR="00450025" w:rsidRPr="00092862" w:rsidRDefault="00450025" w:rsidP="0045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64" w:name="_Toc120173173"/>
      <w:r w:rsidRPr="00092862">
        <w:rPr>
          <w:rFonts w:ascii="Times New Roman" w:eastAsia="黑体" w:hAnsi="Times New Roman"/>
          <w:b w:val="0"/>
          <w:color w:val="000000" w:themeColor="text1"/>
          <w:sz w:val="24"/>
          <w:szCs w:val="24"/>
          <w:lang w:eastAsia="zh-CN"/>
        </w:rPr>
        <w:t>6.1.</w:t>
      </w:r>
      <w:r w:rsidR="004A71B6" w:rsidRPr="00092862">
        <w:rPr>
          <w:rFonts w:ascii="Times New Roman" w:eastAsia="黑体" w:hAnsi="Times New Roman"/>
          <w:b w:val="0"/>
          <w:color w:val="000000" w:themeColor="text1"/>
          <w:sz w:val="24"/>
          <w:szCs w:val="24"/>
          <w:lang w:eastAsia="zh-CN"/>
        </w:rPr>
        <w:t>4</w:t>
      </w:r>
      <w:r w:rsidRPr="00092862">
        <w:rPr>
          <w:rFonts w:ascii="Times New Roman" w:eastAsia="黑体" w:hAnsi="Times New Roman"/>
          <w:b w:val="0"/>
          <w:color w:val="000000" w:themeColor="text1"/>
          <w:sz w:val="24"/>
          <w:szCs w:val="24"/>
          <w:lang w:eastAsia="zh-CN"/>
        </w:rPr>
        <w:t>评价工作等级</w:t>
      </w:r>
      <w:bookmarkEnd w:id="264"/>
    </w:p>
    <w:p w14:paraId="7C61C9E0" w14:textId="640AE401"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评价等级根据《建设项目环境风险评价技术导则》（</w:t>
      </w:r>
      <w:r w:rsidRPr="00092862">
        <w:rPr>
          <w:rFonts w:ascii="Times New Roman" w:hAnsi="Times New Roman"/>
          <w:bCs/>
          <w:color w:val="000000" w:themeColor="text1"/>
          <w:kern w:val="2"/>
          <w:lang w:eastAsia="zh-CN"/>
        </w:rPr>
        <w:t>HJ169-2018</w:t>
      </w:r>
      <w:r w:rsidRPr="00092862">
        <w:rPr>
          <w:rFonts w:ascii="Times New Roman" w:hAnsi="Times New Roman"/>
          <w:bCs/>
          <w:color w:val="000000" w:themeColor="text1"/>
          <w:kern w:val="2"/>
          <w:lang w:eastAsia="zh-CN"/>
        </w:rPr>
        <w:t>）评价等级划分原则，建设项目环境风险评价工作等级判定标准表见表</w:t>
      </w:r>
      <w:r w:rsidR="00CA20DF" w:rsidRPr="00092862">
        <w:rPr>
          <w:rFonts w:ascii="Times New Roman" w:hAnsi="Times New Roman"/>
          <w:bCs/>
          <w:color w:val="000000" w:themeColor="text1"/>
          <w:kern w:val="2"/>
          <w:lang w:eastAsia="zh-CN"/>
        </w:rPr>
        <w:t>6.1-</w:t>
      </w:r>
      <w:r w:rsidR="004A71B6" w:rsidRPr="00092862">
        <w:rPr>
          <w:rFonts w:ascii="Times New Roman" w:hAnsi="Times New Roman"/>
          <w:bCs/>
          <w:color w:val="000000" w:themeColor="text1"/>
          <w:kern w:val="2"/>
          <w:lang w:eastAsia="zh-CN"/>
        </w:rPr>
        <w:t>10</w:t>
      </w:r>
      <w:r w:rsidRPr="00092862">
        <w:rPr>
          <w:rFonts w:ascii="Times New Roman" w:hAnsi="Times New Roman"/>
          <w:bCs/>
          <w:color w:val="000000" w:themeColor="text1"/>
          <w:kern w:val="2"/>
          <w:lang w:eastAsia="zh-CN"/>
        </w:rPr>
        <w:t>。</w:t>
      </w:r>
    </w:p>
    <w:p w14:paraId="4E8A9CCC" w14:textId="14B34315"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6.1-</w:t>
      </w:r>
      <w:r w:rsidR="004A71B6" w:rsidRPr="00092862">
        <w:rPr>
          <w:rFonts w:ascii="Times New Roman" w:eastAsia="黑体" w:hAnsi="Times New Roman"/>
          <w:color w:val="000000" w:themeColor="text1"/>
          <w:sz w:val="21"/>
          <w:szCs w:val="21"/>
          <w:lang w:eastAsia="zh-CN"/>
        </w:rPr>
        <w:t>10</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项目环境风险评价分级判定</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697429" w:rsidRPr="00092862" w14:paraId="151ECF56" w14:textId="77777777" w:rsidTr="00C54C73">
        <w:trPr>
          <w:jc w:val="center"/>
        </w:trPr>
        <w:tc>
          <w:tcPr>
            <w:tcW w:w="1617" w:type="dxa"/>
            <w:vAlign w:val="center"/>
          </w:tcPr>
          <w:p w14:paraId="36AE12DB"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环境风险潜势</w:t>
            </w:r>
          </w:p>
        </w:tc>
        <w:tc>
          <w:tcPr>
            <w:tcW w:w="1650" w:type="dxa"/>
            <w:vAlign w:val="center"/>
          </w:tcPr>
          <w:p w14:paraId="4F161FBE"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Ⅳ</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Ⅴ</w:t>
            </w:r>
            <w:r w:rsidRPr="00092862">
              <w:rPr>
                <w:rFonts w:ascii="Times New Roman" w:eastAsia="宋体" w:hAnsi="Times New Roman" w:cs="Times New Roman"/>
                <w:color w:val="000000" w:themeColor="text1"/>
                <w:szCs w:val="21"/>
                <w:vertAlign w:val="superscript"/>
              </w:rPr>
              <w:t>+</w:t>
            </w:r>
          </w:p>
        </w:tc>
        <w:tc>
          <w:tcPr>
            <w:tcW w:w="1665" w:type="dxa"/>
            <w:vAlign w:val="center"/>
          </w:tcPr>
          <w:p w14:paraId="1ECCA11B"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Ⅲ</w:t>
            </w:r>
          </w:p>
        </w:tc>
        <w:tc>
          <w:tcPr>
            <w:tcW w:w="1995" w:type="dxa"/>
            <w:vAlign w:val="center"/>
          </w:tcPr>
          <w:p w14:paraId="2B4D3D8F" w14:textId="77777777" w:rsidR="00450025" w:rsidRPr="00092862" w:rsidRDefault="00450025" w:rsidP="00C54C73">
            <w:pPr>
              <w:snapToGrid w:val="0"/>
              <w:jc w:val="center"/>
              <w:rPr>
                <w:rFonts w:ascii="Times New Roman" w:eastAsia="宋体" w:hAnsi="Times New Roman" w:cs="Times New Roman"/>
                <w:color w:val="000000" w:themeColor="text1"/>
                <w:szCs w:val="21"/>
                <w:shd w:val="pct15" w:color="auto" w:fill="FFFFFF"/>
              </w:rPr>
            </w:pPr>
            <w:r w:rsidRPr="00092862">
              <w:rPr>
                <w:rFonts w:ascii="Times New Roman" w:eastAsia="宋体" w:hAnsi="Times New Roman" w:cs="Times New Roman"/>
                <w:color w:val="000000" w:themeColor="text1"/>
                <w:szCs w:val="21"/>
                <w:shd w:val="pct15" w:color="auto" w:fill="FFFFFF"/>
              </w:rPr>
              <w:t>Ⅱ</w:t>
            </w:r>
          </w:p>
        </w:tc>
        <w:tc>
          <w:tcPr>
            <w:tcW w:w="1627" w:type="dxa"/>
            <w:vAlign w:val="center"/>
          </w:tcPr>
          <w:p w14:paraId="4D3F6BFE"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Ⅰ</w:t>
            </w:r>
          </w:p>
        </w:tc>
      </w:tr>
      <w:tr w:rsidR="00697429" w:rsidRPr="00092862" w14:paraId="3F0D48A4" w14:textId="77777777" w:rsidTr="00C54C73">
        <w:trPr>
          <w:jc w:val="center"/>
        </w:trPr>
        <w:tc>
          <w:tcPr>
            <w:tcW w:w="1617" w:type="dxa"/>
            <w:vAlign w:val="center"/>
          </w:tcPr>
          <w:p w14:paraId="5A04C479"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评价工作等级</w:t>
            </w:r>
          </w:p>
        </w:tc>
        <w:tc>
          <w:tcPr>
            <w:tcW w:w="1650" w:type="dxa"/>
            <w:vAlign w:val="center"/>
          </w:tcPr>
          <w:p w14:paraId="03F23293"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w:t>
            </w:r>
          </w:p>
        </w:tc>
        <w:tc>
          <w:tcPr>
            <w:tcW w:w="1665" w:type="dxa"/>
            <w:vAlign w:val="center"/>
          </w:tcPr>
          <w:p w14:paraId="7D8AD1FE"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二</w:t>
            </w:r>
          </w:p>
        </w:tc>
        <w:tc>
          <w:tcPr>
            <w:tcW w:w="1995" w:type="dxa"/>
            <w:vAlign w:val="center"/>
          </w:tcPr>
          <w:p w14:paraId="51A6FE00" w14:textId="77777777" w:rsidR="00450025" w:rsidRPr="00092862" w:rsidRDefault="00450025" w:rsidP="00C54C73">
            <w:pPr>
              <w:snapToGrid w:val="0"/>
              <w:jc w:val="center"/>
              <w:rPr>
                <w:rFonts w:ascii="Times New Roman" w:eastAsia="宋体" w:hAnsi="Times New Roman" w:cs="Times New Roman"/>
                <w:color w:val="000000" w:themeColor="text1"/>
                <w:szCs w:val="21"/>
                <w:shd w:val="pct15" w:color="auto" w:fill="FFFFFF"/>
              </w:rPr>
            </w:pPr>
            <w:r w:rsidRPr="00092862">
              <w:rPr>
                <w:rFonts w:ascii="Times New Roman" w:eastAsia="宋体" w:hAnsi="Times New Roman" w:cs="Times New Roman"/>
                <w:color w:val="000000" w:themeColor="text1"/>
                <w:szCs w:val="21"/>
                <w:shd w:val="pct15" w:color="auto" w:fill="FFFFFF"/>
              </w:rPr>
              <w:t>三</w:t>
            </w:r>
          </w:p>
        </w:tc>
        <w:tc>
          <w:tcPr>
            <w:tcW w:w="1627" w:type="dxa"/>
            <w:vAlign w:val="center"/>
          </w:tcPr>
          <w:p w14:paraId="0E6B223D" w14:textId="77777777" w:rsidR="00450025" w:rsidRPr="00092862" w:rsidRDefault="00450025" w:rsidP="00C54C73">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简单分析</w:t>
            </w:r>
            <w:r w:rsidRPr="00092862">
              <w:rPr>
                <w:rFonts w:ascii="Times New Roman" w:eastAsia="宋体" w:hAnsi="Times New Roman" w:cs="Times New Roman"/>
                <w:color w:val="000000" w:themeColor="text1"/>
                <w:szCs w:val="21"/>
              </w:rPr>
              <w:t>a</w:t>
            </w:r>
          </w:p>
        </w:tc>
      </w:tr>
      <w:tr w:rsidR="00697429" w:rsidRPr="00092862" w14:paraId="6213BA08" w14:textId="77777777" w:rsidTr="00C54C73">
        <w:trPr>
          <w:jc w:val="center"/>
        </w:trPr>
        <w:tc>
          <w:tcPr>
            <w:tcW w:w="8554" w:type="dxa"/>
            <w:gridSpan w:val="5"/>
            <w:vAlign w:val="center"/>
          </w:tcPr>
          <w:p w14:paraId="7BA8842E" w14:textId="77777777" w:rsidR="00450025" w:rsidRPr="00092862" w:rsidRDefault="00450025" w:rsidP="00C54C73">
            <w:pPr>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 xml:space="preserve">a </w:t>
            </w:r>
            <w:r w:rsidRPr="00092862">
              <w:rPr>
                <w:rFonts w:ascii="Times New Roman" w:eastAsia="宋体" w:hAnsi="Times New Roman" w:cs="Times New Roman"/>
                <w:color w:val="000000" w:themeColor="text1"/>
                <w:szCs w:val="21"/>
              </w:rPr>
              <w:t>是相对于详细评价工作内容而言，在描述危险物质、环境影响途径、环境危害后果、</w:t>
            </w:r>
          </w:p>
          <w:p w14:paraId="0AE3D94B" w14:textId="77777777" w:rsidR="00450025" w:rsidRPr="00092862" w:rsidRDefault="00450025" w:rsidP="00C54C73">
            <w:pPr>
              <w:snapToGrid w:val="0"/>
              <w:rPr>
                <w:rFonts w:ascii="Times New Roman" w:eastAsia="宋体" w:hAnsi="Times New Roman" w:cs="Times New Roman"/>
                <w:color w:val="000000" w:themeColor="text1"/>
                <w:szCs w:val="21"/>
                <w:shd w:val="pct10" w:color="auto" w:fill="FFFFFF"/>
              </w:rPr>
            </w:pPr>
            <w:r w:rsidRPr="00092862">
              <w:rPr>
                <w:rFonts w:ascii="Times New Roman" w:eastAsia="宋体" w:hAnsi="Times New Roman" w:cs="Times New Roman"/>
                <w:color w:val="000000" w:themeColor="text1"/>
                <w:szCs w:val="21"/>
              </w:rPr>
              <w:t>风险防范措施等方面给出定性的说明。</w:t>
            </w:r>
          </w:p>
        </w:tc>
      </w:tr>
    </w:tbl>
    <w:p w14:paraId="29D4B00E" w14:textId="6C7C039D" w:rsidR="00450025" w:rsidRPr="00092862" w:rsidRDefault="00450025" w:rsidP="00450025">
      <w:pPr>
        <w:adjustRightInd w:val="0"/>
        <w:snapToGrid w:val="0"/>
        <w:spacing w:beforeLines="50" w:before="120" w:line="360" w:lineRule="auto"/>
        <w:ind w:firstLineChars="200" w:firstLine="480"/>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t>根据上述环境风险潜势初判结果，本项目需做</w:t>
      </w:r>
      <w:r w:rsidRPr="00092862">
        <w:rPr>
          <w:rFonts w:ascii="Times New Roman" w:hAnsi="Times New Roman" w:cs="Times New Roman"/>
          <w:color w:val="000000" w:themeColor="text1"/>
          <w:sz w:val="24"/>
        </w:rPr>
        <w:t>“</w:t>
      </w:r>
      <w:r w:rsidR="004A71B6" w:rsidRPr="00092862">
        <w:rPr>
          <w:rFonts w:ascii="Times New Roman" w:hAnsi="Times New Roman" w:cs="Times New Roman"/>
          <w:color w:val="000000" w:themeColor="text1"/>
          <w:sz w:val="24"/>
        </w:rPr>
        <w:t>三级评价</w:t>
      </w:r>
      <w:r w:rsidRPr="00092862">
        <w:rPr>
          <w:rFonts w:ascii="Times New Roman" w:hAnsi="Times New Roman" w:cs="Times New Roman"/>
          <w:color w:val="000000" w:themeColor="text1"/>
          <w:sz w:val="24"/>
        </w:rPr>
        <w:t>”</w:t>
      </w:r>
      <w:r w:rsidRPr="00092862">
        <w:rPr>
          <w:rFonts w:ascii="Times New Roman" w:hAnsi="Times New Roman" w:cs="Times New Roman"/>
          <w:color w:val="000000" w:themeColor="text1"/>
          <w:sz w:val="24"/>
        </w:rPr>
        <w:t>。</w:t>
      </w:r>
    </w:p>
    <w:p w14:paraId="5F72D92F" w14:textId="2416EA01"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lang w:eastAsia="zh-CN"/>
        </w:rPr>
      </w:pPr>
      <w:r w:rsidRPr="00092862">
        <w:rPr>
          <w:rFonts w:ascii="Times New Roman" w:hAnsi="Times New Roman"/>
          <w:bCs/>
          <w:color w:val="000000" w:themeColor="text1"/>
          <w:lang w:eastAsia="zh-CN"/>
        </w:rPr>
        <w:t>但考虑到硫化氢毒性较大，一旦发生井喷事故后对</w:t>
      </w:r>
      <w:r w:rsidR="00635CF6" w:rsidRPr="00092862">
        <w:rPr>
          <w:rFonts w:ascii="Times New Roman" w:hAnsi="Times New Roman"/>
          <w:bCs/>
          <w:color w:val="000000" w:themeColor="text1"/>
          <w:lang w:eastAsia="zh-CN"/>
        </w:rPr>
        <w:t>环境空气</w:t>
      </w:r>
      <w:r w:rsidRPr="00092862">
        <w:rPr>
          <w:rFonts w:ascii="Times New Roman" w:hAnsi="Times New Roman"/>
          <w:bCs/>
          <w:color w:val="000000" w:themeColor="text1"/>
          <w:lang w:eastAsia="zh-CN"/>
        </w:rPr>
        <w:t>影响较大</w:t>
      </w:r>
      <w:r w:rsidR="00635CF6" w:rsidRPr="00092862">
        <w:rPr>
          <w:rFonts w:ascii="Times New Roman" w:hAnsi="Times New Roman"/>
          <w:bCs/>
          <w:color w:val="000000" w:themeColor="text1"/>
          <w:lang w:eastAsia="zh-CN"/>
        </w:rPr>
        <w:t>，进而会对周边居民生命财产安全造成影响</w:t>
      </w:r>
      <w:r w:rsidRPr="00092862">
        <w:rPr>
          <w:rFonts w:ascii="Times New Roman" w:hAnsi="Times New Roman"/>
          <w:bCs/>
          <w:color w:val="000000" w:themeColor="text1"/>
          <w:lang w:eastAsia="zh-CN"/>
        </w:rPr>
        <w:t>，因此本次评价</w:t>
      </w:r>
      <w:r w:rsidR="00635CF6" w:rsidRPr="00092862">
        <w:rPr>
          <w:rFonts w:ascii="Times New Roman" w:hAnsi="Times New Roman"/>
          <w:bCs/>
          <w:color w:val="000000" w:themeColor="text1"/>
          <w:lang w:eastAsia="zh-CN"/>
        </w:rPr>
        <w:t>将环境风险评价等级中的大气环境定为二级，地下水环境、地表水环境仍</w:t>
      </w:r>
      <w:r w:rsidR="00F466CA" w:rsidRPr="00092862">
        <w:rPr>
          <w:rFonts w:ascii="Times New Roman" w:hAnsi="Times New Roman"/>
          <w:bCs/>
          <w:color w:val="000000" w:themeColor="text1"/>
          <w:lang w:eastAsia="zh-CN"/>
        </w:rPr>
        <w:t>为</w:t>
      </w:r>
      <w:r w:rsidR="004A71B6" w:rsidRPr="00092862">
        <w:rPr>
          <w:rFonts w:ascii="Times New Roman" w:hAnsi="Times New Roman"/>
          <w:bCs/>
          <w:color w:val="000000" w:themeColor="text1"/>
          <w:lang w:eastAsia="zh-CN"/>
        </w:rPr>
        <w:t>三级</w:t>
      </w:r>
      <w:r w:rsidR="00F466CA" w:rsidRPr="00092862">
        <w:rPr>
          <w:rFonts w:ascii="Times New Roman" w:hAnsi="Times New Roman"/>
          <w:bCs/>
          <w:color w:val="000000" w:themeColor="text1"/>
          <w:lang w:eastAsia="zh-CN"/>
        </w:rPr>
        <w:t>评价</w:t>
      </w:r>
      <w:r w:rsidR="00635CF6" w:rsidRPr="00092862">
        <w:rPr>
          <w:rFonts w:ascii="Times New Roman" w:hAnsi="Times New Roman"/>
          <w:bCs/>
          <w:color w:val="000000" w:themeColor="text1"/>
          <w:lang w:eastAsia="zh-CN"/>
        </w:rPr>
        <w:t>，因此本项目整体环境风险评价等级确定为二级</w:t>
      </w:r>
      <w:r w:rsidRPr="00092862">
        <w:rPr>
          <w:rFonts w:ascii="Times New Roman" w:hAnsi="Times New Roman"/>
          <w:bCs/>
          <w:color w:val="000000" w:themeColor="text1"/>
          <w:lang w:eastAsia="zh-CN"/>
        </w:rPr>
        <w:t>。</w:t>
      </w:r>
    </w:p>
    <w:p w14:paraId="5402C095" w14:textId="351B3F0A" w:rsidR="00450025" w:rsidRPr="00092862" w:rsidRDefault="00450025" w:rsidP="00450025">
      <w:pPr>
        <w:pStyle w:val="2"/>
        <w:ind w:firstLine="480"/>
        <w:rPr>
          <w:color w:val="000000" w:themeColor="text1"/>
          <w:szCs w:val="24"/>
          <w:lang w:eastAsia="zh-CN"/>
        </w:rPr>
      </w:pPr>
      <w:bookmarkStart w:id="265" w:name="5.3.2环境敏感目标概况"/>
      <w:bookmarkStart w:id="266" w:name="_Toc123682547"/>
      <w:bookmarkEnd w:id="265"/>
      <w:r w:rsidRPr="00092862">
        <w:rPr>
          <w:color w:val="000000" w:themeColor="text1"/>
          <w:szCs w:val="24"/>
          <w:lang w:eastAsia="zh-CN"/>
        </w:rPr>
        <w:t>6.2</w:t>
      </w:r>
      <w:r w:rsidRPr="00092862">
        <w:rPr>
          <w:color w:val="000000" w:themeColor="text1"/>
          <w:szCs w:val="24"/>
          <w:lang w:eastAsia="zh-CN"/>
        </w:rPr>
        <w:t>环境敏感目标概况</w:t>
      </w:r>
      <w:bookmarkEnd w:id="266"/>
    </w:p>
    <w:p w14:paraId="08A2EC2C" w14:textId="3AC22CC4"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lang w:eastAsia="zh-CN"/>
        </w:rPr>
        <w:t>考虑本项目为含硫天然气井，若发生井喷事故后对周边居民影响较大，根据后文预测，本项目设置了大气环境风险影响评价范围为距井口</w:t>
      </w:r>
      <w:r w:rsidR="00F466CA" w:rsidRPr="00092862">
        <w:rPr>
          <w:rFonts w:ascii="Times New Roman" w:hAnsi="Times New Roman"/>
          <w:bCs/>
          <w:color w:val="000000" w:themeColor="text1"/>
          <w:lang w:eastAsia="zh-CN"/>
        </w:rPr>
        <w:t>5k</w:t>
      </w:r>
      <w:r w:rsidRPr="00092862">
        <w:rPr>
          <w:rFonts w:ascii="Times New Roman" w:hAnsi="Times New Roman"/>
          <w:bCs/>
          <w:color w:val="000000" w:themeColor="text1"/>
          <w:lang w:eastAsia="zh-CN"/>
        </w:rPr>
        <w:t>m</w:t>
      </w:r>
      <w:r w:rsidRPr="00092862">
        <w:rPr>
          <w:rFonts w:ascii="Times New Roman" w:hAnsi="Times New Roman"/>
          <w:bCs/>
          <w:color w:val="000000" w:themeColor="text1"/>
          <w:lang w:eastAsia="zh-CN"/>
        </w:rPr>
        <w:t>范围内居民，敏感目标见后文表</w:t>
      </w:r>
      <w:r w:rsidR="00704F23" w:rsidRPr="00092862">
        <w:rPr>
          <w:rFonts w:ascii="Times New Roman" w:hAnsi="Times New Roman"/>
          <w:bCs/>
          <w:color w:val="000000" w:themeColor="text1"/>
          <w:lang w:eastAsia="zh-CN"/>
        </w:rPr>
        <w:t>6.4-3</w:t>
      </w:r>
      <w:r w:rsidRPr="00092862">
        <w:rPr>
          <w:rFonts w:ascii="Times New Roman" w:hAnsi="Times New Roman"/>
          <w:bCs/>
          <w:color w:val="000000" w:themeColor="text1"/>
          <w:lang w:eastAsia="zh-CN"/>
        </w:rPr>
        <w:t>。</w:t>
      </w:r>
    </w:p>
    <w:p w14:paraId="6D4B17DE" w14:textId="628C72F4" w:rsidR="00450025" w:rsidRPr="00092862" w:rsidRDefault="00450025" w:rsidP="00450025">
      <w:pPr>
        <w:pStyle w:val="2"/>
        <w:ind w:firstLine="480"/>
        <w:rPr>
          <w:color w:val="000000" w:themeColor="text1"/>
          <w:szCs w:val="24"/>
          <w:lang w:eastAsia="zh-CN"/>
        </w:rPr>
      </w:pPr>
      <w:bookmarkStart w:id="267" w:name="_Toc123682548"/>
      <w:r w:rsidRPr="00092862">
        <w:rPr>
          <w:color w:val="000000" w:themeColor="text1"/>
          <w:szCs w:val="24"/>
          <w:lang w:eastAsia="zh-CN"/>
        </w:rPr>
        <w:t>6.3</w:t>
      </w:r>
      <w:r w:rsidRPr="00092862">
        <w:rPr>
          <w:color w:val="000000" w:themeColor="text1"/>
          <w:szCs w:val="24"/>
          <w:lang w:eastAsia="zh-CN"/>
        </w:rPr>
        <w:t>环境风险识别</w:t>
      </w:r>
      <w:bookmarkEnd w:id="267"/>
    </w:p>
    <w:p w14:paraId="74DF8F37" w14:textId="62FD4F8D" w:rsidR="00450025" w:rsidRPr="00092862" w:rsidRDefault="00450025" w:rsidP="0045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68" w:name="_Toc120173176"/>
      <w:r w:rsidRPr="00092862">
        <w:rPr>
          <w:rFonts w:ascii="Times New Roman" w:eastAsia="黑体" w:hAnsi="Times New Roman"/>
          <w:b w:val="0"/>
          <w:color w:val="000000" w:themeColor="text1"/>
          <w:sz w:val="24"/>
          <w:szCs w:val="24"/>
          <w:lang w:eastAsia="zh-CN"/>
        </w:rPr>
        <w:t>6.3.1</w:t>
      </w:r>
      <w:r w:rsidRPr="00092862">
        <w:rPr>
          <w:rFonts w:ascii="Times New Roman" w:eastAsia="黑体" w:hAnsi="Times New Roman"/>
          <w:b w:val="0"/>
          <w:color w:val="000000" w:themeColor="text1"/>
          <w:sz w:val="24"/>
          <w:szCs w:val="24"/>
          <w:lang w:eastAsia="zh-CN"/>
        </w:rPr>
        <w:t>物质危险性识别</w:t>
      </w:r>
      <w:bookmarkEnd w:id="268"/>
    </w:p>
    <w:p w14:paraId="3F861CA7" w14:textId="76121195"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本项目生产过程中涉及的危险物质有天然气、天然气中的硫化氢、甲烷、天然气燃烧后的二氧化硫、二氧化碳、柴油、钻井废水、压裂液及返排液、废油和采气废水等，具体见</w:t>
      </w:r>
      <w:r w:rsidRPr="00092862">
        <w:rPr>
          <w:rFonts w:ascii="Times New Roman" w:hAnsi="Times New Roman"/>
          <w:bCs/>
          <w:color w:val="000000" w:themeColor="text1"/>
          <w:kern w:val="2"/>
          <w:lang w:eastAsia="zh-CN"/>
        </w:rPr>
        <w:t>“</w:t>
      </w:r>
      <w:r w:rsidR="00CA20DF" w:rsidRPr="00092862">
        <w:rPr>
          <w:rFonts w:ascii="Times New Roman" w:hAnsi="Times New Roman"/>
          <w:bCs/>
          <w:color w:val="000000" w:themeColor="text1"/>
          <w:kern w:val="2"/>
          <w:lang w:eastAsia="zh-CN"/>
        </w:rPr>
        <w:t>6</w:t>
      </w:r>
      <w:r w:rsidRPr="00092862">
        <w:rPr>
          <w:rFonts w:ascii="Times New Roman" w:hAnsi="Times New Roman"/>
          <w:bCs/>
          <w:color w:val="000000" w:themeColor="text1"/>
          <w:kern w:val="2"/>
          <w:lang w:eastAsia="zh-CN"/>
        </w:rPr>
        <w:t xml:space="preserve">.1 </w:t>
      </w:r>
      <w:r w:rsidRPr="00092862">
        <w:rPr>
          <w:rFonts w:ascii="Times New Roman" w:hAnsi="Times New Roman"/>
          <w:bCs/>
          <w:color w:val="000000" w:themeColor="text1"/>
          <w:kern w:val="2"/>
          <w:lang w:eastAsia="zh-CN"/>
        </w:rPr>
        <w:t>评价依据</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章节内容。本项目涉及的主要危险物质包括</w:t>
      </w:r>
      <w:r w:rsidRPr="00092862">
        <w:rPr>
          <w:rFonts w:ascii="Times New Roman" w:hAnsi="Times New Roman"/>
          <w:bCs/>
          <w:color w:val="000000" w:themeColor="text1"/>
          <w:kern w:val="2"/>
          <w:lang w:eastAsia="zh-CN"/>
        </w:rPr>
        <w:t>CH</w:t>
      </w:r>
      <w:r w:rsidRPr="00092862">
        <w:rPr>
          <w:rFonts w:ascii="Times New Roman" w:hAnsi="Times New Roman"/>
          <w:bCs/>
          <w:color w:val="000000" w:themeColor="text1"/>
          <w:kern w:val="2"/>
          <w:vertAlign w:val="subscript"/>
          <w:lang w:eastAsia="zh-CN"/>
        </w:rPr>
        <w:t>4</w:t>
      </w:r>
      <w:r w:rsidRPr="00092862">
        <w:rPr>
          <w:rFonts w:ascii="Times New Roman" w:hAnsi="Times New Roman"/>
          <w:bCs/>
          <w:color w:val="000000" w:themeColor="text1"/>
          <w:kern w:val="2"/>
          <w:lang w:eastAsia="zh-CN"/>
        </w:rPr>
        <w:t>（易燃易爆）、</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和油类物质等。</w:t>
      </w:r>
    </w:p>
    <w:p w14:paraId="17060D42" w14:textId="21303762" w:rsidR="00450025" w:rsidRPr="00092862" w:rsidRDefault="00450025" w:rsidP="0045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69" w:name="_Toc120173177"/>
      <w:r w:rsidRPr="00092862">
        <w:rPr>
          <w:rFonts w:ascii="Times New Roman" w:eastAsia="黑体" w:hAnsi="Times New Roman"/>
          <w:b w:val="0"/>
          <w:color w:val="000000" w:themeColor="text1"/>
          <w:sz w:val="24"/>
          <w:szCs w:val="24"/>
          <w:lang w:eastAsia="zh-CN"/>
        </w:rPr>
        <w:t>6.3.2</w:t>
      </w:r>
      <w:r w:rsidRPr="00092862">
        <w:rPr>
          <w:rFonts w:ascii="Times New Roman" w:eastAsia="黑体" w:hAnsi="Times New Roman"/>
          <w:b w:val="0"/>
          <w:color w:val="000000" w:themeColor="text1"/>
          <w:sz w:val="24"/>
          <w:szCs w:val="24"/>
          <w:lang w:eastAsia="zh-CN"/>
        </w:rPr>
        <w:t>生产系统风险识别</w:t>
      </w:r>
      <w:bookmarkEnd w:id="269"/>
    </w:p>
    <w:p w14:paraId="5E37679B"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）井喷失控造成天然气释放</w:t>
      </w:r>
    </w:p>
    <w:p w14:paraId="0E8E7BDB"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14:paraId="0B322C2C"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导致井喷失控的主要因素涉及以下几个方面：</w:t>
      </w:r>
    </w:p>
    <w:p w14:paraId="1ED53C86"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①</w:t>
      </w:r>
      <w:r w:rsidRPr="00092862">
        <w:rPr>
          <w:rFonts w:ascii="Times New Roman" w:hAnsi="Times New Roman"/>
          <w:bCs/>
          <w:color w:val="000000" w:themeColor="text1"/>
          <w:kern w:val="2"/>
          <w:lang w:eastAsia="zh-CN"/>
        </w:rPr>
        <w:t>地层压力：当钻井钻至高压气层期间，由于对地层压力预测不准，出现异常超压情况，如果操作处置失当，将导致井口装置和井控汇管失控发生井喷失控事故。</w:t>
      </w:r>
    </w:p>
    <w:p w14:paraId="757F9E6B"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②</w:t>
      </w:r>
      <w:r w:rsidRPr="00092862">
        <w:rPr>
          <w:rFonts w:ascii="Times New Roman" w:hAnsi="Times New Roman"/>
          <w:bCs/>
          <w:color w:val="000000" w:themeColor="text1"/>
          <w:kern w:val="2"/>
          <w:lang w:eastAsia="zh-CN"/>
        </w:rPr>
        <w:t>遇山洪、地震、滑坡等自然灾害，导致井口所在地地层位移甚至塌陷损坏井控装置，导致井喷失控事故。这类事故目前还未见报道。</w:t>
      </w:r>
    </w:p>
    <w:p w14:paraId="3BED627C"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③</w:t>
      </w:r>
      <w:r w:rsidRPr="00092862">
        <w:rPr>
          <w:rFonts w:ascii="Times New Roman" w:hAnsi="Times New Roman"/>
          <w:bCs/>
          <w:color w:val="000000" w:themeColor="text1"/>
          <w:kern w:val="2"/>
          <w:lang w:eastAsia="zh-CN"/>
        </w:rPr>
        <w:t>压井泥浆密度偏低，不能满足压井要求。</w:t>
      </w:r>
    </w:p>
    <w:p w14:paraId="1CE8136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④</w:t>
      </w:r>
      <w:r w:rsidRPr="00092862">
        <w:rPr>
          <w:rFonts w:ascii="Times New Roman" w:hAnsi="Times New Roman"/>
          <w:bCs/>
          <w:color w:val="000000" w:themeColor="text1"/>
          <w:kern w:val="2"/>
          <w:lang w:eastAsia="zh-CN"/>
        </w:rPr>
        <w:t>操作因素：当出现井喷前兆，如泥浆溢流、泥浆井涌等现象，作业人员未及时发现或采取有效的控制措施，从而可能导致井喷。</w:t>
      </w:r>
    </w:p>
    <w:p w14:paraId="0E3C2C09"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典型事故案例：</w:t>
      </w:r>
    </w:p>
    <w:p w14:paraId="357206CC" w14:textId="77777777" w:rsidR="00450025" w:rsidRPr="00092862" w:rsidRDefault="00450025" w:rsidP="00450025">
      <w:pPr>
        <w:pStyle w:val="0"/>
        <w:rPr>
          <w:color w:val="000000" w:themeColor="text1"/>
        </w:rPr>
      </w:pPr>
      <w:r w:rsidRPr="00092862">
        <w:rPr>
          <w:color w:val="000000" w:themeColor="text1"/>
        </w:rPr>
        <w:t>1976</w:t>
      </w:r>
      <w:r w:rsidRPr="00092862">
        <w:rPr>
          <w:color w:val="000000" w:themeColor="text1"/>
        </w:rPr>
        <w:t>年赵</w:t>
      </w:r>
      <w:r w:rsidRPr="00092862">
        <w:rPr>
          <w:color w:val="000000" w:themeColor="text1"/>
        </w:rPr>
        <w:t>1</w:t>
      </w:r>
      <w:r w:rsidRPr="00092862">
        <w:rPr>
          <w:color w:val="000000" w:themeColor="text1"/>
        </w:rPr>
        <w:t>井井喷事故：发生于钻进过程，</w:t>
      </w:r>
      <w:r w:rsidRPr="00092862">
        <w:rPr>
          <w:color w:val="000000" w:themeColor="text1"/>
        </w:rPr>
        <w:t>3</w:t>
      </w:r>
      <w:r w:rsidRPr="00092862">
        <w:rPr>
          <w:color w:val="000000" w:themeColor="text1"/>
        </w:rPr>
        <w:t>人死亡，</w:t>
      </w:r>
      <w:r w:rsidRPr="00092862">
        <w:rPr>
          <w:color w:val="000000" w:themeColor="text1"/>
        </w:rPr>
        <w:t>6</w:t>
      </w:r>
      <w:r w:rsidRPr="00092862">
        <w:rPr>
          <w:color w:val="000000" w:themeColor="text1"/>
        </w:rPr>
        <w:t>人中毒。事故原因：无井控制度、无防喷设备、未储备重型泥浆材料、无</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防护装备。</w:t>
      </w:r>
    </w:p>
    <w:p w14:paraId="727B9C6B" w14:textId="77777777" w:rsidR="00450025" w:rsidRPr="00092862" w:rsidRDefault="00450025" w:rsidP="00450025">
      <w:pPr>
        <w:pStyle w:val="0"/>
        <w:rPr>
          <w:color w:val="000000" w:themeColor="text1"/>
        </w:rPr>
      </w:pPr>
      <w:r w:rsidRPr="00092862">
        <w:rPr>
          <w:color w:val="000000" w:themeColor="text1"/>
        </w:rPr>
        <w:t>1992</w:t>
      </w:r>
      <w:r w:rsidRPr="00092862">
        <w:rPr>
          <w:color w:val="000000" w:themeColor="text1"/>
        </w:rPr>
        <w:t>年龙会</w:t>
      </w:r>
      <w:r w:rsidRPr="00092862">
        <w:rPr>
          <w:color w:val="000000" w:themeColor="text1"/>
        </w:rPr>
        <w:t>2</w:t>
      </w:r>
      <w:r w:rsidRPr="00092862">
        <w:rPr>
          <w:color w:val="000000" w:themeColor="text1"/>
        </w:rPr>
        <w:t>井井喷事故：发生于钻进过程。事故原因：对地层高压认识不足而钻井液密度偏低、发现溢流不及时、井控装置质量不合格（设计压力</w:t>
      </w:r>
      <w:r w:rsidRPr="00092862">
        <w:rPr>
          <w:color w:val="000000" w:themeColor="text1"/>
        </w:rPr>
        <w:t>35MPa</w:t>
      </w:r>
      <w:r w:rsidRPr="00092862">
        <w:rPr>
          <w:color w:val="000000" w:themeColor="text1"/>
        </w:rPr>
        <w:t>，防喷器半封闸板芯子在套压</w:t>
      </w:r>
      <w:r w:rsidRPr="00092862">
        <w:rPr>
          <w:color w:val="000000" w:themeColor="text1"/>
        </w:rPr>
        <w:t>28MPa</w:t>
      </w:r>
      <w:r w:rsidRPr="00092862">
        <w:rPr>
          <w:color w:val="000000" w:themeColor="text1"/>
        </w:rPr>
        <w:t>时损坏且无备用件）。</w:t>
      </w:r>
    </w:p>
    <w:p w14:paraId="0B2CACAF" w14:textId="77777777" w:rsidR="00450025" w:rsidRPr="00092862" w:rsidRDefault="00450025" w:rsidP="00450025">
      <w:pPr>
        <w:pStyle w:val="0"/>
        <w:rPr>
          <w:color w:val="000000" w:themeColor="text1"/>
        </w:rPr>
      </w:pPr>
      <w:r w:rsidRPr="00092862">
        <w:rPr>
          <w:color w:val="000000" w:themeColor="text1"/>
        </w:rPr>
        <w:t>1994</w:t>
      </w:r>
      <w:r w:rsidRPr="00092862">
        <w:rPr>
          <w:color w:val="000000" w:themeColor="text1"/>
        </w:rPr>
        <w:t>年赵</w:t>
      </w:r>
      <w:r w:rsidRPr="00092862">
        <w:rPr>
          <w:color w:val="000000" w:themeColor="text1"/>
        </w:rPr>
        <w:t>48</w:t>
      </w:r>
      <w:r w:rsidRPr="00092862">
        <w:rPr>
          <w:color w:val="000000" w:themeColor="text1"/>
        </w:rPr>
        <w:t>井井喷事故：发生于射孔过程，井喷时间</w:t>
      </w:r>
      <w:r w:rsidRPr="00092862">
        <w:rPr>
          <w:color w:val="000000" w:themeColor="text1"/>
        </w:rPr>
        <w:t>18h 20min</w:t>
      </w:r>
      <w:r w:rsidRPr="00092862">
        <w:rPr>
          <w:color w:val="000000" w:themeColor="text1"/>
        </w:rPr>
        <w:t>，</w:t>
      </w:r>
      <w:r w:rsidRPr="00092862">
        <w:rPr>
          <w:color w:val="000000" w:themeColor="text1"/>
        </w:rPr>
        <w:t>6</w:t>
      </w:r>
      <w:r w:rsidRPr="00092862">
        <w:rPr>
          <w:color w:val="000000" w:themeColor="text1"/>
        </w:rPr>
        <w:t>人死亡，</w:t>
      </w:r>
      <w:r w:rsidRPr="00092862">
        <w:rPr>
          <w:color w:val="000000" w:themeColor="text1"/>
        </w:rPr>
        <w:t>24</w:t>
      </w:r>
      <w:r w:rsidRPr="00092862">
        <w:rPr>
          <w:color w:val="000000" w:themeColor="text1"/>
        </w:rPr>
        <w:t>人中度中毒。事故原因：该井为预探井，未预见气藏含</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，井下工具不抗硫。</w:t>
      </w:r>
    </w:p>
    <w:p w14:paraId="4BE97A22" w14:textId="77777777" w:rsidR="00450025" w:rsidRPr="00092862" w:rsidRDefault="00450025" w:rsidP="00450025">
      <w:pPr>
        <w:pStyle w:val="0"/>
        <w:rPr>
          <w:color w:val="000000" w:themeColor="text1"/>
        </w:rPr>
      </w:pPr>
      <w:r w:rsidRPr="00092862">
        <w:rPr>
          <w:color w:val="000000" w:themeColor="text1"/>
        </w:rPr>
        <w:t>1995</w:t>
      </w:r>
      <w:r w:rsidRPr="00092862">
        <w:rPr>
          <w:color w:val="000000" w:themeColor="text1"/>
        </w:rPr>
        <w:t>年渡</w:t>
      </w:r>
      <w:r w:rsidRPr="00092862">
        <w:rPr>
          <w:color w:val="000000" w:themeColor="text1"/>
        </w:rPr>
        <w:t>1</w:t>
      </w:r>
      <w:r w:rsidRPr="00092862">
        <w:rPr>
          <w:color w:val="000000" w:themeColor="text1"/>
        </w:rPr>
        <w:t>井井喷事故：发生于钻进过程，天然气</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含量</w:t>
      </w:r>
      <w:r w:rsidRPr="00092862">
        <w:rPr>
          <w:color w:val="000000" w:themeColor="text1"/>
        </w:rPr>
        <w:t>231.93g/m</w:t>
      </w:r>
      <w:r w:rsidRPr="00092862">
        <w:rPr>
          <w:color w:val="000000" w:themeColor="text1"/>
          <w:vertAlign w:val="superscript"/>
        </w:rPr>
        <w:t>3</w:t>
      </w:r>
      <w:r w:rsidRPr="00092862">
        <w:rPr>
          <w:color w:val="000000" w:themeColor="text1"/>
        </w:rPr>
        <w:t>。发生多位员工中毒，但未造成抢险人员及周围村民死亡。事故原因：钻井液密度低于设计值、关井处置措施不当、储备的加重钻井液粘切过高、回压阀堵塞（无内防喷工具）、防喷器与防喷闸门压力等级不匹配（防喷器</w:t>
      </w:r>
      <w:r w:rsidRPr="00092862">
        <w:rPr>
          <w:color w:val="000000" w:themeColor="text1"/>
        </w:rPr>
        <w:t>70MPa</w:t>
      </w:r>
      <w:r w:rsidRPr="00092862">
        <w:rPr>
          <w:color w:val="000000" w:themeColor="text1"/>
        </w:rPr>
        <w:t>，上四通缩内控闸门</w:t>
      </w:r>
      <w:r w:rsidRPr="00092862">
        <w:rPr>
          <w:color w:val="000000" w:themeColor="text1"/>
        </w:rPr>
        <w:t>35MPa</w:t>
      </w:r>
      <w:r w:rsidRPr="00092862">
        <w:rPr>
          <w:color w:val="000000" w:themeColor="text1"/>
        </w:rPr>
        <w:t>）。</w:t>
      </w:r>
    </w:p>
    <w:p w14:paraId="56FF4BE8" w14:textId="77777777" w:rsidR="00450025" w:rsidRPr="00092862" w:rsidRDefault="00450025" w:rsidP="00450025">
      <w:pPr>
        <w:pStyle w:val="0"/>
        <w:rPr>
          <w:color w:val="000000" w:themeColor="text1"/>
        </w:rPr>
      </w:pPr>
      <w:r w:rsidRPr="00092862">
        <w:rPr>
          <w:color w:val="000000" w:themeColor="text1"/>
        </w:rPr>
        <w:t>2003</w:t>
      </w:r>
      <w:r w:rsidRPr="00092862">
        <w:rPr>
          <w:color w:val="000000" w:themeColor="text1"/>
        </w:rPr>
        <w:t>年罗家</w:t>
      </w:r>
      <w:r w:rsidRPr="00092862">
        <w:rPr>
          <w:color w:val="000000" w:themeColor="text1"/>
        </w:rPr>
        <w:t>16H</w:t>
      </w:r>
      <w:r w:rsidRPr="00092862">
        <w:rPr>
          <w:color w:val="000000" w:themeColor="text1"/>
        </w:rPr>
        <w:t>井井喷事故：发生于起、下钻过程，</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含量约</w:t>
      </w:r>
      <w:r w:rsidRPr="00092862">
        <w:rPr>
          <w:color w:val="000000" w:themeColor="text1"/>
        </w:rPr>
        <w:t>9.46%</w:t>
      </w:r>
      <w:r w:rsidRPr="00092862">
        <w:rPr>
          <w:color w:val="000000" w:themeColor="text1"/>
        </w:rPr>
        <w:t>，（</w:t>
      </w:r>
      <w:r w:rsidRPr="00092862">
        <w:rPr>
          <w:color w:val="000000" w:themeColor="text1"/>
        </w:rPr>
        <w:t>134.4g/m</w:t>
      </w:r>
      <w:r w:rsidRPr="00092862">
        <w:rPr>
          <w:color w:val="000000" w:themeColor="text1"/>
          <w:vertAlign w:val="superscript"/>
        </w:rPr>
        <w:t>3</w:t>
      </w:r>
      <w:r w:rsidRPr="00092862">
        <w:rPr>
          <w:color w:val="000000" w:themeColor="text1"/>
        </w:rPr>
        <w:t>），人员伤亡严重。事故原因：坐岗制度不落实未及时发现气侵和</w:t>
      </w:r>
      <w:r w:rsidRPr="00092862">
        <w:rPr>
          <w:color w:val="000000" w:themeColor="text1"/>
        </w:rPr>
        <w:lastRenderedPageBreak/>
        <w:t>溢流、起钻时未按井控要求及时灌注钻井液、未按要求安装回压阀无法实现内防喷、无剪切闸板防喷器而全封防喷器不能剪断钻杆控制井口，高含硫天然气喷出且未点火，持续了约</w:t>
      </w:r>
      <w:r w:rsidRPr="00092862">
        <w:rPr>
          <w:color w:val="000000" w:themeColor="text1"/>
        </w:rPr>
        <w:t>18h</w:t>
      </w:r>
      <w:r w:rsidRPr="00092862">
        <w:rPr>
          <w:color w:val="000000" w:themeColor="text1"/>
        </w:rPr>
        <w:t>。造成严重的人员伤亡。</w:t>
      </w:r>
    </w:p>
    <w:p w14:paraId="1B0FF028"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2006</w:t>
      </w:r>
      <w:r w:rsidRPr="00092862">
        <w:rPr>
          <w:rFonts w:ascii="Times New Roman" w:hAnsi="Times New Roman"/>
          <w:color w:val="000000" w:themeColor="text1"/>
          <w:lang w:eastAsia="zh-CN"/>
        </w:rPr>
        <w:t>年罗家</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井复杂井漏事故：发生于修井作业过程，通过放喷点火卸压，及时疏散人群，未造成人员伤亡。事故主要原因：固井质量缺陷。</w:t>
      </w:r>
    </w:p>
    <w:p w14:paraId="4D7CDF16"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）井漏导致泥浆泄漏</w:t>
      </w:r>
    </w:p>
    <w:p w14:paraId="4A871D7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当井下泥浆压力大于地层压力会发生井漏事故；水平井钻井液密度选择范围变小，容易出现井漏和井塌或者钻遇到大面积裂缝发育带容易发生严重井漏、井喷；固井施工中可能会因水泥浆对漏失层强烈的挤压作用发生漏失等。井漏如果发生在含水层，则泄漏的泥浆可能会污染含水层。</w:t>
      </w:r>
    </w:p>
    <w:p w14:paraId="3C8158B5"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3</w:t>
      </w:r>
      <w:r w:rsidRPr="00092862">
        <w:rPr>
          <w:rFonts w:ascii="Times New Roman" w:hAnsi="Times New Roman"/>
          <w:b/>
          <w:color w:val="000000" w:themeColor="text1"/>
          <w:kern w:val="2"/>
          <w:lang w:eastAsia="zh-CN"/>
        </w:rPr>
        <w:t>）油类物质泄漏</w:t>
      </w:r>
    </w:p>
    <w:p w14:paraId="4934FDBB"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14:paraId="10F6D0F1"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4</w:t>
      </w:r>
      <w:r w:rsidRPr="00092862">
        <w:rPr>
          <w:rFonts w:ascii="Times New Roman" w:hAnsi="Times New Roman"/>
          <w:b/>
          <w:color w:val="000000" w:themeColor="text1"/>
          <w:kern w:val="2"/>
          <w:lang w:eastAsia="zh-CN"/>
        </w:rPr>
        <w:t>）钻井液、压裂液泄漏</w:t>
      </w:r>
    </w:p>
    <w:p w14:paraId="67BA778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14:paraId="7787746A"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bCs/>
          <w:color w:val="000000" w:themeColor="text1"/>
          <w:kern w:val="2"/>
          <w:lang w:eastAsia="zh-CN"/>
        </w:rPr>
      </w:pPr>
      <w:r w:rsidRPr="00092862">
        <w:rPr>
          <w:rFonts w:ascii="Times New Roman" w:hAnsi="Times New Roman"/>
          <w:b/>
          <w:bCs/>
          <w:color w:val="000000" w:themeColor="text1"/>
          <w:lang w:eastAsia="zh-CN"/>
        </w:rPr>
        <w:t>（</w:t>
      </w:r>
      <w:r w:rsidRPr="00092862">
        <w:rPr>
          <w:rFonts w:ascii="Times New Roman" w:hAnsi="Times New Roman"/>
          <w:b/>
          <w:bCs/>
          <w:color w:val="000000" w:themeColor="text1"/>
          <w:kern w:val="2"/>
          <w:lang w:eastAsia="zh-CN"/>
        </w:rPr>
        <w:t>5</w:t>
      </w:r>
      <w:r w:rsidRPr="00092862">
        <w:rPr>
          <w:rFonts w:ascii="Times New Roman" w:hAnsi="Times New Roman"/>
          <w:b/>
          <w:bCs/>
          <w:color w:val="000000" w:themeColor="text1"/>
          <w:kern w:val="2"/>
          <w:lang w:eastAsia="zh-CN"/>
        </w:rPr>
        <w:t>）井场、站场废水泄漏</w:t>
      </w:r>
    </w:p>
    <w:p w14:paraId="2289FD92"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项目废水泄漏包括钻井期废水收集设施泄漏，试采期站场污水罐泄漏。废水泄漏原因可能为罐体老化、管道破损或人为破坏及洪水、地震等不可抗拒因素。泄漏废水可能污染地表水、地下水及土壤，影响农作物生长发育和产量。</w:t>
      </w:r>
    </w:p>
    <w:p w14:paraId="22D195A5"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bCs/>
          <w:color w:val="000000" w:themeColor="text1"/>
          <w:kern w:val="2"/>
          <w:lang w:eastAsia="zh-CN"/>
        </w:rPr>
      </w:pPr>
      <w:r w:rsidRPr="00092862">
        <w:rPr>
          <w:rFonts w:ascii="Times New Roman" w:hAnsi="Times New Roman"/>
          <w:b/>
          <w:bCs/>
          <w:color w:val="000000" w:themeColor="text1"/>
          <w:lang w:eastAsia="zh-CN"/>
        </w:rPr>
        <w:t>（</w:t>
      </w:r>
      <w:r w:rsidRPr="00092862">
        <w:rPr>
          <w:rFonts w:ascii="Times New Roman" w:hAnsi="Times New Roman"/>
          <w:b/>
          <w:bCs/>
          <w:color w:val="000000" w:themeColor="text1"/>
          <w:kern w:val="2"/>
          <w:lang w:eastAsia="zh-CN"/>
        </w:rPr>
        <w:t>6</w:t>
      </w:r>
      <w:r w:rsidRPr="00092862">
        <w:rPr>
          <w:rFonts w:ascii="Times New Roman" w:hAnsi="Times New Roman"/>
          <w:b/>
          <w:bCs/>
          <w:color w:val="000000" w:themeColor="text1"/>
          <w:kern w:val="2"/>
          <w:lang w:eastAsia="zh-CN"/>
        </w:rPr>
        <w:t>）废水转运过程泄漏</w:t>
      </w:r>
    </w:p>
    <w:p w14:paraId="5D6698FB"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钻井废水、废压裂返排液及气田水通过罐车转运回用或送至有处理能力和处理资质的单位进行处理。废水转运过程中可能存在罐体泄漏、运输车侧翻导致污水外溢的风险。如途径集中式饮用水水源地、水产种质保护区等特别敏感区域时发生泄漏，将产生一定的影响。</w:t>
      </w:r>
    </w:p>
    <w:p w14:paraId="4407BE4F"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bCs/>
          <w:color w:val="000000" w:themeColor="text1"/>
          <w:kern w:val="2"/>
          <w:lang w:eastAsia="zh-CN"/>
        </w:rPr>
      </w:pPr>
      <w:r w:rsidRPr="00092862">
        <w:rPr>
          <w:rFonts w:ascii="Times New Roman" w:hAnsi="Times New Roman"/>
          <w:b/>
          <w:bCs/>
          <w:color w:val="000000" w:themeColor="text1"/>
          <w:lang w:eastAsia="zh-CN"/>
        </w:rPr>
        <w:lastRenderedPageBreak/>
        <w:t>（</w:t>
      </w:r>
      <w:r w:rsidRPr="00092862">
        <w:rPr>
          <w:rFonts w:ascii="Times New Roman" w:hAnsi="Times New Roman"/>
          <w:b/>
          <w:bCs/>
          <w:color w:val="000000" w:themeColor="text1"/>
          <w:kern w:val="2"/>
          <w:lang w:eastAsia="zh-CN"/>
        </w:rPr>
        <w:t>7</w:t>
      </w:r>
      <w:r w:rsidRPr="00092862">
        <w:rPr>
          <w:rFonts w:ascii="Times New Roman" w:hAnsi="Times New Roman"/>
          <w:b/>
          <w:bCs/>
          <w:color w:val="000000" w:themeColor="text1"/>
          <w:kern w:val="2"/>
          <w:lang w:eastAsia="zh-CN"/>
        </w:rPr>
        <w:t>）集气站场及集输管线</w:t>
      </w:r>
    </w:p>
    <w:p w14:paraId="781CB077"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本项目天然气泄漏情形为集气站场内部的管线或设备泄漏。集气站场内部管线为井口</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水套加热炉</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外输截止阀，井场可能存在天然气泄漏的设备为撬装卧式分离器。本项目站内集输管线为天然气管线和设备破裂原因为内、外腐蚀作用，母体材料缺陷或焊口缺陷隐患，意外重大的机械损伤或地震、地陷、洪水等自然灾害破坏作用。管线或设备破裂会造成天然气泄漏，本项目井口</w:t>
      </w:r>
      <w:r w:rsidRPr="00092862">
        <w:rPr>
          <w:rFonts w:ascii="Times New Roman" w:hAnsi="Times New Roman"/>
          <w:bCs/>
          <w:color w:val="000000" w:themeColor="text1"/>
          <w:kern w:val="2"/>
          <w:lang w:eastAsia="zh-CN"/>
        </w:rPr>
        <w:t>300m</w:t>
      </w:r>
      <w:r w:rsidRPr="00092862">
        <w:rPr>
          <w:rFonts w:ascii="Times New Roman" w:hAnsi="Times New Roman"/>
          <w:bCs/>
          <w:color w:val="000000" w:themeColor="text1"/>
          <w:kern w:val="2"/>
          <w:lang w:eastAsia="zh-CN"/>
        </w:rPr>
        <w:t>范围内无居民分布，区域大气扩散条件较好，天然气中硫化氢浓度较低，发生泄漏后及时关闭阀门，泄露的天然气量较少，因此天然气泄漏对空气影响较小。</w:t>
      </w:r>
    </w:p>
    <w:p w14:paraId="7FAAC847"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bCs/>
          <w:color w:val="000000" w:themeColor="text1"/>
          <w:kern w:val="2"/>
          <w:lang w:eastAsia="zh-CN"/>
        </w:rPr>
      </w:pPr>
      <w:r w:rsidRPr="00092862">
        <w:rPr>
          <w:rFonts w:ascii="Times New Roman" w:hAnsi="Times New Roman"/>
          <w:b/>
          <w:bCs/>
          <w:color w:val="000000" w:themeColor="text1"/>
          <w:lang w:eastAsia="zh-CN"/>
        </w:rPr>
        <w:t>（</w:t>
      </w:r>
      <w:r w:rsidRPr="00092862">
        <w:rPr>
          <w:rFonts w:ascii="Times New Roman" w:hAnsi="Times New Roman"/>
          <w:b/>
          <w:bCs/>
          <w:color w:val="000000" w:themeColor="text1"/>
          <w:kern w:val="2"/>
          <w:lang w:eastAsia="zh-CN"/>
        </w:rPr>
        <w:t>8</w:t>
      </w:r>
      <w:r w:rsidRPr="00092862">
        <w:rPr>
          <w:rFonts w:ascii="Times New Roman" w:hAnsi="Times New Roman"/>
          <w:b/>
          <w:bCs/>
          <w:color w:val="000000" w:themeColor="text1"/>
          <w:kern w:val="2"/>
          <w:lang w:eastAsia="zh-CN"/>
        </w:rPr>
        <w:t>）火灾爆炸引发次生污染</w:t>
      </w:r>
    </w:p>
    <w:p w14:paraId="55D24028"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本项目发生火灾爆炸情形有如下几种：</w:t>
      </w:r>
      <w:r w:rsidRPr="00092862">
        <w:rPr>
          <w:rFonts w:cs="宋体" w:hint="eastAsia"/>
          <w:bCs/>
          <w:color w:val="000000" w:themeColor="text1"/>
          <w:kern w:val="2"/>
          <w:lang w:eastAsia="zh-CN"/>
        </w:rPr>
        <w:t>①</w:t>
      </w:r>
      <w:r w:rsidRPr="00092862">
        <w:rPr>
          <w:rFonts w:ascii="Times New Roman" w:hAnsi="Times New Roman"/>
          <w:bCs/>
          <w:color w:val="000000" w:themeColor="text1"/>
          <w:kern w:val="2"/>
          <w:lang w:eastAsia="zh-CN"/>
        </w:rPr>
        <w:t>钻井过程发生井喷失控，天然气逸散到空气中遇明火发生火灾爆炸或主动点火发生火灾爆炸，产生污染物</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进入大气；</w:t>
      </w:r>
      <w:r w:rsidRPr="00092862">
        <w:rPr>
          <w:rFonts w:cs="宋体" w:hint="eastAsia"/>
          <w:bCs/>
          <w:color w:val="000000" w:themeColor="text1"/>
          <w:kern w:val="2"/>
          <w:lang w:eastAsia="zh-CN"/>
        </w:rPr>
        <w:t>②</w:t>
      </w:r>
      <w:r w:rsidRPr="00092862">
        <w:rPr>
          <w:rFonts w:ascii="Times New Roman" w:hAnsi="Times New Roman"/>
          <w:bCs/>
          <w:color w:val="000000" w:themeColor="text1"/>
          <w:kern w:val="2"/>
          <w:lang w:eastAsia="zh-CN"/>
        </w:rPr>
        <w:t>施工期柴油泄漏后，遇明火燃烧产生污染物</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lang w:eastAsia="zh-CN"/>
        </w:rPr>
        <w:t>进入大气；</w:t>
      </w:r>
      <w:r w:rsidRPr="00092862">
        <w:rPr>
          <w:rFonts w:cs="宋体" w:hint="eastAsia"/>
          <w:bCs/>
          <w:color w:val="000000" w:themeColor="text1"/>
          <w:kern w:val="2"/>
          <w:lang w:eastAsia="zh-CN"/>
        </w:rPr>
        <w:t>③</w:t>
      </w:r>
      <w:r w:rsidRPr="00092862">
        <w:rPr>
          <w:rFonts w:ascii="Times New Roman" w:hAnsi="Times New Roman"/>
          <w:bCs/>
          <w:color w:val="000000" w:themeColor="text1"/>
          <w:kern w:val="2"/>
          <w:lang w:eastAsia="zh-CN"/>
        </w:rPr>
        <w:t>试采过程站场或集输管线发生天然气泄漏后，遇明火燃烧产生污染物</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进入大气。</w:t>
      </w:r>
    </w:p>
    <w:p w14:paraId="7DF41BD0" w14:textId="357DB1D5" w:rsidR="00450025" w:rsidRPr="00092862" w:rsidRDefault="00450025" w:rsidP="00450025">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70" w:name="_Toc120173178"/>
      <w:r w:rsidRPr="00092862">
        <w:rPr>
          <w:rFonts w:ascii="Times New Roman" w:eastAsia="黑体" w:hAnsi="Times New Roman"/>
          <w:b w:val="0"/>
          <w:color w:val="000000" w:themeColor="text1"/>
          <w:sz w:val="24"/>
          <w:szCs w:val="24"/>
          <w:lang w:eastAsia="zh-CN"/>
        </w:rPr>
        <w:t>6.3.3</w:t>
      </w:r>
      <w:r w:rsidRPr="00092862">
        <w:rPr>
          <w:rFonts w:ascii="Times New Roman" w:eastAsia="黑体" w:hAnsi="Times New Roman"/>
          <w:b w:val="0"/>
          <w:color w:val="000000" w:themeColor="text1"/>
          <w:sz w:val="24"/>
          <w:szCs w:val="24"/>
          <w:lang w:eastAsia="zh-CN"/>
        </w:rPr>
        <w:t>危险物质可能影响环境的途径</w:t>
      </w:r>
      <w:bookmarkEnd w:id="270"/>
    </w:p>
    <w:p w14:paraId="18DC003D"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通过以上物质识别、生产系统危险性识别过程可以看出，本项目涉及危险物质的向环境转移的途径主要有：</w:t>
      </w:r>
    </w:p>
    <w:p w14:paraId="4B01D96F"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）井场发生井喷后，天然气进入大气对环境空气的影响；</w:t>
      </w:r>
    </w:p>
    <w:p w14:paraId="20FF56C9"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）井漏如果发生在含水层，则泄漏的泥浆可能会污染含水层；</w:t>
      </w:r>
    </w:p>
    <w:p w14:paraId="7EB1203A"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）柴油泄漏可能污染土壤、地表水和地下水；</w:t>
      </w:r>
    </w:p>
    <w:p w14:paraId="6C2E4EA6"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）钻井泥浆、压裂液泄漏可能污染地表水、地下水及土壤；</w:t>
      </w:r>
    </w:p>
    <w:p w14:paraId="478C20A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）井场、放喷池、站场废水泄漏可能污染地表水、地下水及土壤；</w:t>
      </w:r>
    </w:p>
    <w:p w14:paraId="65CC90BC"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6</w:t>
      </w:r>
      <w:r w:rsidRPr="00092862">
        <w:rPr>
          <w:rFonts w:ascii="Times New Roman" w:hAnsi="Times New Roman"/>
          <w:bCs/>
          <w:color w:val="000000" w:themeColor="text1"/>
          <w:kern w:val="2"/>
          <w:lang w:eastAsia="zh-CN"/>
        </w:rPr>
        <w:t>）废水转运过程发生泄漏可能污染地表水、地下水及土壤；</w:t>
      </w:r>
    </w:p>
    <w:p w14:paraId="73D96ABD"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7</w:t>
      </w:r>
      <w:r w:rsidRPr="00092862">
        <w:rPr>
          <w:rFonts w:ascii="Times New Roman" w:hAnsi="Times New Roman"/>
          <w:bCs/>
          <w:color w:val="000000" w:themeColor="text1"/>
          <w:kern w:val="2"/>
          <w:lang w:eastAsia="zh-CN"/>
        </w:rPr>
        <w:t>）集气站场及集输管线发生天然气泄漏对环境空气的影响；</w:t>
      </w:r>
    </w:p>
    <w:p w14:paraId="76E0CAD2"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8</w:t>
      </w:r>
      <w:r w:rsidRPr="00092862">
        <w:rPr>
          <w:rFonts w:ascii="Times New Roman" w:hAnsi="Times New Roman"/>
          <w:bCs/>
          <w:color w:val="000000" w:themeColor="text1"/>
          <w:kern w:val="2"/>
          <w:lang w:eastAsia="zh-CN"/>
        </w:rPr>
        <w:t>）天然气、柴油泄漏后，遇明火燃烧次生污染物</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lang w:eastAsia="zh-CN"/>
        </w:rPr>
        <w:t>进入大气对环境空气的影响。</w:t>
      </w:r>
    </w:p>
    <w:p w14:paraId="28D1C55D" w14:textId="72E4A5D5" w:rsidR="00450025" w:rsidRPr="00092862" w:rsidRDefault="00450025" w:rsidP="00450025">
      <w:pPr>
        <w:pStyle w:val="2"/>
        <w:ind w:firstLine="480"/>
        <w:rPr>
          <w:color w:val="000000" w:themeColor="text1"/>
          <w:szCs w:val="24"/>
          <w:lang w:eastAsia="zh-CN"/>
        </w:rPr>
      </w:pPr>
      <w:bookmarkStart w:id="271" w:name="_Toc474725972"/>
      <w:bookmarkStart w:id="272" w:name="_Toc123682549"/>
      <w:r w:rsidRPr="00092862">
        <w:rPr>
          <w:color w:val="000000" w:themeColor="text1"/>
          <w:szCs w:val="24"/>
          <w:lang w:eastAsia="zh-CN"/>
        </w:rPr>
        <w:t>6.4</w:t>
      </w:r>
      <w:r w:rsidRPr="00092862">
        <w:rPr>
          <w:color w:val="000000" w:themeColor="text1"/>
          <w:szCs w:val="24"/>
          <w:lang w:eastAsia="zh-CN"/>
        </w:rPr>
        <w:t>环境风险分析</w:t>
      </w:r>
      <w:bookmarkEnd w:id="271"/>
      <w:bookmarkEnd w:id="272"/>
    </w:p>
    <w:p w14:paraId="128D49FE" w14:textId="3201104C"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73" w:name="_Toc120173180"/>
      <w:r w:rsidRPr="00092862">
        <w:rPr>
          <w:rFonts w:ascii="Times New Roman" w:eastAsia="黑体" w:hAnsi="Times New Roman"/>
          <w:b w:val="0"/>
          <w:color w:val="000000" w:themeColor="text1"/>
          <w:sz w:val="24"/>
          <w:szCs w:val="24"/>
          <w:lang w:eastAsia="zh-CN"/>
        </w:rPr>
        <w:t>6.4.1</w:t>
      </w:r>
      <w:r w:rsidR="00450025" w:rsidRPr="00092862">
        <w:rPr>
          <w:rFonts w:ascii="Times New Roman" w:eastAsia="黑体" w:hAnsi="Times New Roman"/>
          <w:b w:val="0"/>
          <w:color w:val="000000" w:themeColor="text1"/>
          <w:sz w:val="24"/>
          <w:szCs w:val="24"/>
          <w:lang w:eastAsia="zh-CN"/>
        </w:rPr>
        <w:t>大气环境风险影响分析</w:t>
      </w:r>
      <w:bookmarkEnd w:id="273"/>
    </w:p>
    <w:p w14:paraId="515C5A82"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）井喷环境风险影响分析</w:t>
      </w:r>
    </w:p>
    <w:p w14:paraId="5F0900C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）最大可信事故及概率</w:t>
      </w:r>
    </w:p>
    <w:p w14:paraId="776F73B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最大可信事故是指在所有预测的概率不为零的事故中，对环境（或健康）危害最严重的重大事故。本项目钻井过程中影响最大的风险事故是井喷事故。</w:t>
      </w:r>
    </w:p>
    <w:p w14:paraId="09B6E769"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在钻井或修井过程中，若出现井喷失控，气藏内的天然气在地层压力作用下，将以极高的动能速度从井口喷出，若释放的含硫天然气立即被点火燃烧排放，对环境空气的影响主要是</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；若释放的含硫天然气自始自终未遇火源，将在其自身动量与气象条件控制下，喷涌后与空气混合、扩散形成</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毒性云团，将造成严重的人员中毒伤亡，并对周围环境造成严重的污染。井喷事故事件树见图</w:t>
      </w:r>
      <w:r w:rsidRPr="00092862">
        <w:rPr>
          <w:rFonts w:ascii="Times New Roman" w:hAnsi="Times New Roman"/>
          <w:bCs/>
          <w:color w:val="000000" w:themeColor="text1"/>
          <w:kern w:val="2"/>
          <w:lang w:eastAsia="zh-CN"/>
        </w:rPr>
        <w:t>7.6-1</w:t>
      </w:r>
      <w:r w:rsidRPr="00092862">
        <w:rPr>
          <w:rFonts w:ascii="Times New Roman" w:hAnsi="Times New Roman"/>
          <w:bCs/>
          <w:color w:val="000000" w:themeColor="text1"/>
          <w:kern w:val="2"/>
          <w:lang w:eastAsia="zh-CN"/>
        </w:rPr>
        <w:t>。</w:t>
      </w:r>
    </w:p>
    <w:p w14:paraId="48D855F9"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综合考虑本项目涉及有毒有害物质中可能发生的事故及产生的影响，本次评价确定的最大可信事故主要为：井喷失控造成含硫化氢天然气释放。</w:t>
      </w:r>
    </w:p>
    <w:p w14:paraId="2E671F74" w14:textId="77777777" w:rsidR="00450025" w:rsidRPr="00092862" w:rsidRDefault="00450025" w:rsidP="00450025">
      <w:pPr>
        <w:pStyle w:val="TOC12"/>
        <w:ind w:firstLine="520"/>
        <w:rPr>
          <w:rFonts w:eastAsia="宋体"/>
          <w:color w:val="000000" w:themeColor="text1"/>
          <w:szCs w:val="22"/>
        </w:rPr>
      </w:pPr>
      <w:r w:rsidRPr="00092862">
        <w:rPr>
          <w:rFonts w:eastAsia="宋体"/>
          <w:noProof/>
          <w:color w:val="000000" w:themeColor="text1"/>
        </w:rPr>
        <w:drawing>
          <wp:inline distT="0" distB="0" distL="0" distR="0" wp14:anchorId="007E79F6" wp14:editId="0F197BBB">
            <wp:extent cx="5276850" cy="5579110"/>
            <wp:effectExtent l="0" t="0" r="0" b="25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6850" cy="5579110"/>
                    </a:xfrm>
                    <a:prstGeom prst="rect">
                      <a:avLst/>
                    </a:prstGeom>
                    <a:noFill/>
                    <a:ln>
                      <a:noFill/>
                    </a:ln>
                  </pic:spPr>
                </pic:pic>
              </a:graphicData>
            </a:graphic>
          </wp:inline>
        </w:drawing>
      </w:r>
    </w:p>
    <w:p w14:paraId="452E717E" w14:textId="6BBABAF7"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bookmarkStart w:id="274" w:name="_Ref473012051"/>
      <w:r w:rsidRPr="00092862">
        <w:rPr>
          <w:rFonts w:ascii="Times New Roman" w:eastAsia="黑体" w:hAnsi="Times New Roman"/>
          <w:color w:val="000000" w:themeColor="text1"/>
          <w:sz w:val="21"/>
          <w:szCs w:val="21"/>
          <w:lang w:eastAsia="zh-CN"/>
        </w:rPr>
        <w:t>图</w:t>
      </w:r>
      <w:bookmarkEnd w:id="274"/>
      <w:r w:rsidR="00CA20DF" w:rsidRPr="00092862">
        <w:rPr>
          <w:rFonts w:ascii="Times New Roman" w:eastAsia="黑体" w:hAnsi="Times New Roman"/>
          <w:color w:val="000000" w:themeColor="text1"/>
          <w:sz w:val="21"/>
          <w:szCs w:val="21"/>
          <w:lang w:eastAsia="zh-CN"/>
        </w:rPr>
        <w:t>6.4</w:t>
      </w:r>
      <w:r w:rsidRPr="00092862">
        <w:rPr>
          <w:rFonts w:ascii="Times New Roman" w:eastAsia="黑体" w:hAnsi="Times New Roman"/>
          <w:color w:val="000000" w:themeColor="text1"/>
          <w:sz w:val="21"/>
          <w:szCs w:val="21"/>
          <w:lang w:eastAsia="zh-CN"/>
        </w:rPr>
        <w:t xml:space="preserve">-1  </w:t>
      </w:r>
      <w:r w:rsidRPr="00092862">
        <w:rPr>
          <w:rFonts w:ascii="Times New Roman" w:eastAsia="黑体" w:hAnsi="Times New Roman"/>
          <w:color w:val="000000" w:themeColor="text1"/>
          <w:sz w:val="21"/>
          <w:szCs w:val="21"/>
          <w:lang w:eastAsia="zh-CN"/>
        </w:rPr>
        <w:t>井喷事故事件树</w:t>
      </w:r>
    </w:p>
    <w:p w14:paraId="21C4CC23" w14:textId="77777777" w:rsidR="00450025" w:rsidRPr="00092862" w:rsidRDefault="00450025" w:rsidP="00450025">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2</w:t>
      </w:r>
      <w:r w:rsidRPr="00092862">
        <w:rPr>
          <w:rFonts w:ascii="Times New Roman" w:hAnsi="Times New Roman"/>
          <w:bCs/>
          <w:color w:val="000000" w:themeColor="text1"/>
          <w:kern w:val="2"/>
          <w:lang w:eastAsia="zh-CN"/>
        </w:rPr>
        <w:t>）最大可信事故概率</w:t>
      </w:r>
    </w:p>
    <w:p w14:paraId="15D81AA2"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据不完全统计，在油气勘探开发的</w:t>
      </w:r>
      <w:r w:rsidRPr="00092862">
        <w:rPr>
          <w:rFonts w:ascii="Times New Roman" w:hAnsi="Times New Roman"/>
          <w:bCs/>
          <w:color w:val="000000" w:themeColor="text1"/>
          <w:kern w:val="2"/>
          <w:lang w:eastAsia="zh-CN"/>
        </w:rPr>
        <w:t>40</w:t>
      </w:r>
      <w:r w:rsidRPr="00092862">
        <w:rPr>
          <w:rFonts w:ascii="Times New Roman" w:hAnsi="Times New Roman"/>
          <w:bCs/>
          <w:color w:val="000000" w:themeColor="text1"/>
          <w:kern w:val="2"/>
          <w:lang w:eastAsia="zh-CN"/>
        </w:rPr>
        <w:t>年间（</w:t>
      </w:r>
      <w:r w:rsidRPr="00092862">
        <w:rPr>
          <w:rFonts w:ascii="Times New Roman" w:hAnsi="Times New Roman"/>
          <w:bCs/>
          <w:color w:val="000000" w:themeColor="text1"/>
          <w:kern w:val="2"/>
          <w:lang w:eastAsia="zh-CN"/>
        </w:rPr>
        <w:t>1950</w:t>
      </w:r>
      <w:r w:rsidRPr="00092862">
        <w:rPr>
          <w:rFonts w:ascii="Times New Roman" w:hAnsi="Times New Roman"/>
          <w:bCs/>
          <w:color w:val="000000" w:themeColor="text1"/>
          <w:kern w:val="2"/>
          <w:lang w:eastAsia="zh-CN"/>
        </w:rPr>
        <w:t>年～</w:t>
      </w:r>
      <w:r w:rsidRPr="00092862">
        <w:rPr>
          <w:rFonts w:ascii="Times New Roman" w:hAnsi="Times New Roman"/>
          <w:bCs/>
          <w:color w:val="000000" w:themeColor="text1"/>
          <w:kern w:val="2"/>
          <w:lang w:eastAsia="zh-CN"/>
        </w:rPr>
        <w:t>1990</w:t>
      </w:r>
      <w:r w:rsidRPr="00092862">
        <w:rPr>
          <w:rFonts w:ascii="Times New Roman" w:hAnsi="Times New Roman"/>
          <w:bCs/>
          <w:color w:val="000000" w:themeColor="text1"/>
          <w:kern w:val="2"/>
          <w:lang w:eastAsia="zh-CN"/>
        </w:rPr>
        <w:t>年），累计发生井喷失控事故</w:t>
      </w:r>
      <w:r w:rsidRPr="00092862">
        <w:rPr>
          <w:rFonts w:ascii="Times New Roman" w:hAnsi="Times New Roman"/>
          <w:bCs/>
          <w:color w:val="000000" w:themeColor="text1"/>
          <w:kern w:val="2"/>
          <w:lang w:eastAsia="zh-CN"/>
        </w:rPr>
        <w:t>230</w:t>
      </w:r>
      <w:r w:rsidRPr="00092862">
        <w:rPr>
          <w:rFonts w:ascii="Times New Roman" w:hAnsi="Times New Roman"/>
          <w:bCs/>
          <w:color w:val="000000" w:themeColor="text1"/>
          <w:kern w:val="2"/>
          <w:lang w:eastAsia="zh-CN"/>
        </w:rPr>
        <w:t>次，占完井总数的</w:t>
      </w:r>
      <w:r w:rsidRPr="00092862">
        <w:rPr>
          <w:rFonts w:ascii="Times New Roman" w:hAnsi="Times New Roman"/>
          <w:bCs/>
          <w:color w:val="000000" w:themeColor="text1"/>
          <w:kern w:val="2"/>
          <w:lang w:eastAsia="zh-CN"/>
        </w:rPr>
        <w:t>2.41‰</w:t>
      </w:r>
      <w:r w:rsidRPr="00092862">
        <w:rPr>
          <w:rFonts w:ascii="Times New Roman" w:hAnsi="Times New Roman"/>
          <w:bCs/>
          <w:color w:val="000000" w:themeColor="text1"/>
          <w:kern w:val="2"/>
          <w:lang w:eastAsia="zh-CN"/>
        </w:rPr>
        <w:t>，其中，井喷失控着火</w:t>
      </w:r>
      <w:r w:rsidRPr="00092862">
        <w:rPr>
          <w:rFonts w:ascii="Times New Roman" w:hAnsi="Times New Roman"/>
          <w:bCs/>
          <w:color w:val="000000" w:themeColor="text1"/>
          <w:kern w:val="2"/>
          <w:lang w:eastAsia="zh-CN"/>
        </w:rPr>
        <w:t>78</w:t>
      </w:r>
      <w:r w:rsidRPr="00092862">
        <w:rPr>
          <w:rFonts w:ascii="Times New Roman" w:hAnsi="Times New Roman"/>
          <w:bCs/>
          <w:color w:val="000000" w:themeColor="text1"/>
          <w:kern w:val="2"/>
          <w:lang w:eastAsia="zh-CN"/>
        </w:rPr>
        <w:t>次，占井喷失控总数的</w:t>
      </w:r>
      <w:r w:rsidRPr="00092862">
        <w:rPr>
          <w:rFonts w:ascii="Times New Roman" w:hAnsi="Times New Roman"/>
          <w:bCs/>
          <w:color w:val="000000" w:themeColor="text1"/>
          <w:kern w:val="2"/>
          <w:lang w:eastAsia="zh-CN"/>
        </w:rPr>
        <w:t>34%</w:t>
      </w:r>
      <w:r w:rsidRPr="00092862">
        <w:rPr>
          <w:rFonts w:ascii="Times New Roman" w:hAnsi="Times New Roman"/>
          <w:bCs/>
          <w:color w:val="000000" w:themeColor="text1"/>
          <w:kern w:val="2"/>
          <w:lang w:eastAsia="zh-CN"/>
        </w:rPr>
        <w:t>，因此，井喷失控的事故率约为</w:t>
      </w:r>
      <w:r w:rsidRPr="00092862">
        <w:rPr>
          <w:rFonts w:ascii="Times New Roman" w:hAnsi="Times New Roman"/>
          <w:bCs/>
          <w:color w:val="000000" w:themeColor="text1"/>
          <w:kern w:val="2"/>
          <w:lang w:eastAsia="zh-CN"/>
        </w:rPr>
        <w:t>0.603×10</w:t>
      </w:r>
      <w:r w:rsidRPr="00092862">
        <w:rPr>
          <w:rFonts w:ascii="Times New Roman" w:hAnsi="Times New Roman"/>
          <w:bCs/>
          <w:color w:val="000000" w:themeColor="text1"/>
          <w:kern w:val="2"/>
          <w:vertAlign w:val="superscript"/>
          <w:lang w:eastAsia="zh-CN"/>
        </w:rPr>
        <w:t>-4</w:t>
      </w:r>
      <w:r w:rsidRPr="00092862">
        <w:rPr>
          <w:rFonts w:ascii="Times New Roman" w:hAnsi="Times New Roman"/>
          <w:bCs/>
          <w:color w:val="000000" w:themeColor="text1"/>
          <w:kern w:val="2"/>
          <w:lang w:eastAsia="zh-CN"/>
        </w:rPr>
        <w:t>次</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年，其中井喷失控着火的事故率约为</w:t>
      </w:r>
      <w:r w:rsidRPr="00092862">
        <w:rPr>
          <w:rFonts w:ascii="Times New Roman" w:hAnsi="Times New Roman"/>
          <w:bCs/>
          <w:color w:val="000000" w:themeColor="text1"/>
          <w:kern w:val="2"/>
          <w:lang w:eastAsia="zh-CN"/>
        </w:rPr>
        <w:t>0.203×10</w:t>
      </w:r>
      <w:r w:rsidRPr="00092862">
        <w:rPr>
          <w:rFonts w:ascii="Times New Roman" w:hAnsi="Times New Roman"/>
          <w:bCs/>
          <w:color w:val="000000" w:themeColor="text1"/>
          <w:kern w:val="2"/>
          <w:vertAlign w:val="superscript"/>
          <w:lang w:eastAsia="zh-CN"/>
        </w:rPr>
        <w:t>-4</w:t>
      </w:r>
      <w:r w:rsidRPr="00092862">
        <w:rPr>
          <w:rFonts w:ascii="Times New Roman" w:hAnsi="Times New Roman"/>
          <w:bCs/>
          <w:color w:val="000000" w:themeColor="text1"/>
          <w:kern w:val="2"/>
          <w:lang w:eastAsia="zh-CN"/>
        </w:rPr>
        <w:t>次</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年，未着火的事故率约为</w:t>
      </w:r>
      <w:r w:rsidRPr="00092862">
        <w:rPr>
          <w:rFonts w:ascii="Times New Roman" w:hAnsi="Times New Roman"/>
          <w:bCs/>
          <w:color w:val="000000" w:themeColor="text1"/>
          <w:kern w:val="2"/>
          <w:lang w:eastAsia="zh-CN"/>
        </w:rPr>
        <w:t>0.4×10</w:t>
      </w:r>
      <w:r w:rsidRPr="00092862">
        <w:rPr>
          <w:rFonts w:ascii="Times New Roman" w:hAnsi="Times New Roman"/>
          <w:bCs/>
          <w:color w:val="000000" w:themeColor="text1"/>
          <w:kern w:val="2"/>
          <w:vertAlign w:val="superscript"/>
          <w:lang w:eastAsia="zh-CN"/>
        </w:rPr>
        <w:t>-4</w:t>
      </w:r>
      <w:r w:rsidRPr="00092862">
        <w:rPr>
          <w:rFonts w:ascii="Times New Roman" w:hAnsi="Times New Roman"/>
          <w:bCs/>
          <w:color w:val="000000" w:themeColor="text1"/>
          <w:kern w:val="2"/>
          <w:lang w:eastAsia="zh-CN"/>
        </w:rPr>
        <w:t>次</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年，其中井喷事故未着火的多数为非含硫气田开发。</w:t>
      </w:r>
    </w:p>
    <w:p w14:paraId="1E826A02"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）最大可信事故源项</w:t>
      </w:r>
    </w:p>
    <w:p w14:paraId="0C298833" w14:textId="77777777" w:rsidR="00450025" w:rsidRPr="00092862" w:rsidRDefault="00450025" w:rsidP="00450025">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发生井喷的过程主要是泥浆溢流</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井涌</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井喷。根据开发方案和设计单位的解释，在钻井过程中，井下监控发现井内泥浆溢流量达</w:t>
      </w:r>
      <w:r w:rsidRPr="00092862">
        <w:rPr>
          <w:rFonts w:ascii="Times New Roman" w:hAnsi="Times New Roman"/>
          <w:bCs/>
          <w:color w:val="000000" w:themeColor="text1"/>
          <w:kern w:val="2"/>
          <w:lang w:eastAsia="zh-CN"/>
        </w:rPr>
        <w:t>1m</w:t>
      </w:r>
      <w:r w:rsidRPr="00092862">
        <w:rPr>
          <w:rFonts w:ascii="Times New Roman" w:hAnsi="Times New Roman"/>
          <w:bCs/>
          <w:color w:val="000000" w:themeColor="text1"/>
          <w:kern w:val="2"/>
          <w:vertAlign w:val="superscript"/>
          <w:lang w:eastAsia="zh-CN"/>
        </w:rPr>
        <w:t>3</w:t>
      </w:r>
      <w:r w:rsidRPr="00092862">
        <w:rPr>
          <w:rFonts w:ascii="Times New Roman" w:hAnsi="Times New Roman"/>
          <w:bCs/>
          <w:color w:val="000000" w:themeColor="text1"/>
          <w:kern w:val="2"/>
          <w:lang w:eastAsia="zh-CN"/>
        </w:rPr>
        <w:t>时报警，达到</w:t>
      </w:r>
      <w:r w:rsidRPr="00092862">
        <w:rPr>
          <w:rFonts w:ascii="Times New Roman" w:hAnsi="Times New Roman"/>
          <w:bCs/>
          <w:color w:val="000000" w:themeColor="text1"/>
          <w:kern w:val="2"/>
          <w:lang w:eastAsia="zh-CN"/>
        </w:rPr>
        <w:t>2m</w:t>
      </w:r>
      <w:r w:rsidRPr="00092862">
        <w:rPr>
          <w:rFonts w:ascii="Times New Roman" w:hAnsi="Times New Roman"/>
          <w:bCs/>
          <w:color w:val="000000" w:themeColor="text1"/>
          <w:kern w:val="2"/>
          <w:vertAlign w:val="superscript"/>
          <w:lang w:eastAsia="zh-CN"/>
        </w:rPr>
        <w:t>3</w:t>
      </w:r>
      <w:r w:rsidRPr="00092862">
        <w:rPr>
          <w:rFonts w:ascii="Times New Roman" w:hAnsi="Times New Roman"/>
          <w:bCs/>
          <w:color w:val="000000" w:themeColor="text1"/>
          <w:kern w:val="2"/>
          <w:lang w:eastAsia="zh-CN"/>
        </w:rPr>
        <w:t>时马上采取关井措施。当所有关断措施全部失效，井口失控后，即发生井喷事故。由此看出，井喷不是突如其来的，由发生溢流开始一直到天然气从井口喷出，这段时间大约在</w:t>
      </w:r>
      <w:r w:rsidRPr="00092862">
        <w:rPr>
          <w:rFonts w:ascii="Times New Roman" w:hAnsi="Times New Roman"/>
          <w:bCs/>
          <w:color w:val="000000" w:themeColor="text1"/>
          <w:kern w:val="2"/>
          <w:lang w:eastAsia="zh-CN"/>
        </w:rPr>
        <w:t>20min</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60min</w:t>
      </w:r>
      <w:r w:rsidRPr="00092862">
        <w:rPr>
          <w:rFonts w:ascii="Times New Roman" w:hAnsi="Times New Roman"/>
          <w:bCs/>
          <w:color w:val="000000" w:themeColor="text1"/>
          <w:kern w:val="2"/>
          <w:lang w:eastAsia="zh-CN"/>
        </w:rPr>
        <w:t>。在发生井涌开始，井下阀门自动关断时间大约在一分半至三分钟左右，因此可以说，在工程上，天然气从井口喷出后即可通过井场的自动点火装置立即点火，若井场自动点火装置失灵，也可以用点火枪远距离实施点火，从井涌至井喷至少要</w:t>
      </w:r>
      <w:r w:rsidRPr="00092862">
        <w:rPr>
          <w:rFonts w:ascii="Times New Roman" w:hAnsi="Times New Roman"/>
          <w:bCs/>
          <w:color w:val="000000" w:themeColor="text1"/>
          <w:kern w:val="2"/>
          <w:lang w:eastAsia="zh-CN"/>
        </w:rPr>
        <w:t>20min</w:t>
      </w:r>
      <w:r w:rsidRPr="00092862">
        <w:rPr>
          <w:rFonts w:ascii="Times New Roman" w:hAnsi="Times New Roman"/>
          <w:bCs/>
          <w:color w:val="000000" w:themeColor="text1"/>
          <w:kern w:val="2"/>
          <w:lang w:eastAsia="zh-CN"/>
        </w:rPr>
        <w:t>，足够井场工作人员安全撤离并且做好远距离点火准备。在工程技术看，天然气从井口喷出</w:t>
      </w:r>
      <w:r w:rsidRPr="00092862">
        <w:rPr>
          <w:rFonts w:ascii="Times New Roman" w:hAnsi="Times New Roman"/>
          <w:bCs/>
          <w:color w:val="000000" w:themeColor="text1"/>
          <w:kern w:val="2"/>
          <w:lang w:eastAsia="zh-CN"/>
        </w:rPr>
        <w:t>15min</w:t>
      </w:r>
      <w:r w:rsidRPr="00092862">
        <w:rPr>
          <w:rFonts w:ascii="Times New Roman" w:hAnsi="Times New Roman"/>
          <w:bCs/>
          <w:color w:val="000000" w:themeColor="text1"/>
          <w:kern w:val="2"/>
          <w:lang w:eastAsia="zh-CN"/>
        </w:rPr>
        <w:t>内，完全可以实现点火成功。</w:t>
      </w:r>
    </w:p>
    <w:p w14:paraId="305ACC38" w14:textId="6AEC8FF9"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天然气喷射速率，将随着井内泥浆液柱的减小而增大，当井内的泥浆喷完后，达到最大喷射释放速率，其值取决于井的最大无阻流量。根据建设单位提供的本项目酸性天然气组分预测见表</w:t>
      </w:r>
      <w:r w:rsidR="00CA20DF" w:rsidRPr="00092862">
        <w:rPr>
          <w:rFonts w:ascii="Times New Roman" w:hAnsi="Times New Roman"/>
          <w:bCs/>
          <w:color w:val="000000" w:themeColor="text1"/>
          <w:kern w:val="2"/>
          <w:lang w:eastAsia="zh-CN"/>
        </w:rPr>
        <w:t>6.4-1</w:t>
      </w:r>
      <w:r w:rsidRPr="00092862">
        <w:rPr>
          <w:rFonts w:ascii="Times New Roman" w:hAnsi="Times New Roman"/>
          <w:bCs/>
          <w:color w:val="000000" w:themeColor="text1"/>
          <w:kern w:val="2"/>
          <w:lang w:eastAsia="zh-CN"/>
        </w:rPr>
        <w:t>。</w:t>
      </w:r>
    </w:p>
    <w:p w14:paraId="265942F5" w14:textId="4DCE8C10"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6.4-1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本项目天然气组分统计表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5"/>
        <w:gridCol w:w="969"/>
        <w:gridCol w:w="1144"/>
        <w:gridCol w:w="1318"/>
        <w:gridCol w:w="1144"/>
        <w:gridCol w:w="1140"/>
      </w:tblGrid>
      <w:tr w:rsidR="00697429" w:rsidRPr="00092862" w14:paraId="253BF7EC" w14:textId="77777777" w:rsidTr="000C4D70">
        <w:trPr>
          <w:jc w:val="center"/>
        </w:trPr>
        <w:tc>
          <w:tcPr>
            <w:tcW w:w="1557" w:type="pct"/>
            <w:vAlign w:val="center"/>
          </w:tcPr>
          <w:p w14:paraId="13E35415"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组分</w:t>
            </w:r>
          </w:p>
        </w:tc>
        <w:tc>
          <w:tcPr>
            <w:tcW w:w="584" w:type="pct"/>
            <w:vAlign w:val="center"/>
          </w:tcPr>
          <w:p w14:paraId="131D61FA"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CO</w:t>
            </w:r>
            <w:r w:rsidRPr="00092862">
              <w:rPr>
                <w:rFonts w:ascii="Times New Roman" w:hAnsi="Times New Roman" w:cs="Times New Roman"/>
                <w:color w:val="000000" w:themeColor="text1"/>
                <w:szCs w:val="21"/>
                <w:vertAlign w:val="subscript"/>
              </w:rPr>
              <w:t>2</w:t>
            </w:r>
          </w:p>
        </w:tc>
        <w:tc>
          <w:tcPr>
            <w:tcW w:w="689" w:type="pct"/>
            <w:vAlign w:val="center"/>
          </w:tcPr>
          <w:p w14:paraId="69447E12"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H</w:t>
            </w:r>
            <w:r w:rsidRPr="00092862">
              <w:rPr>
                <w:rFonts w:ascii="Times New Roman" w:hAnsi="Times New Roman" w:cs="Times New Roman"/>
                <w:color w:val="000000" w:themeColor="text1"/>
                <w:szCs w:val="21"/>
                <w:vertAlign w:val="subscript"/>
              </w:rPr>
              <w:t>2</w:t>
            </w:r>
            <w:r w:rsidRPr="00092862">
              <w:rPr>
                <w:rFonts w:ascii="Times New Roman" w:hAnsi="Times New Roman" w:cs="Times New Roman"/>
                <w:color w:val="000000" w:themeColor="text1"/>
                <w:szCs w:val="21"/>
              </w:rPr>
              <w:t>S</w:t>
            </w:r>
          </w:p>
        </w:tc>
        <w:tc>
          <w:tcPr>
            <w:tcW w:w="794" w:type="pct"/>
            <w:vAlign w:val="center"/>
          </w:tcPr>
          <w:p w14:paraId="03A578F8"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CH</w:t>
            </w:r>
            <w:r w:rsidRPr="00092862">
              <w:rPr>
                <w:rFonts w:ascii="Times New Roman" w:hAnsi="Times New Roman" w:cs="Times New Roman"/>
                <w:color w:val="000000" w:themeColor="text1"/>
                <w:szCs w:val="21"/>
                <w:vertAlign w:val="subscript"/>
              </w:rPr>
              <w:t>4</w:t>
            </w:r>
          </w:p>
        </w:tc>
        <w:tc>
          <w:tcPr>
            <w:tcW w:w="689" w:type="pct"/>
            <w:vAlign w:val="center"/>
          </w:tcPr>
          <w:p w14:paraId="7E1E824E"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vertAlign w:val="subscript"/>
              </w:rPr>
              <w:t>2</w:t>
            </w:r>
            <w:r w:rsidRPr="00092862">
              <w:rPr>
                <w:rFonts w:ascii="Times New Roman" w:hAnsi="Times New Roman" w:cs="Times New Roman"/>
                <w:color w:val="000000" w:themeColor="text1"/>
                <w:szCs w:val="21"/>
              </w:rPr>
              <w:t>H</w:t>
            </w:r>
            <w:r w:rsidRPr="00092862">
              <w:rPr>
                <w:rFonts w:ascii="Times New Roman" w:hAnsi="Times New Roman" w:cs="Times New Roman"/>
                <w:color w:val="000000" w:themeColor="text1"/>
                <w:szCs w:val="21"/>
                <w:vertAlign w:val="subscript"/>
              </w:rPr>
              <w:t>6</w:t>
            </w:r>
          </w:p>
        </w:tc>
        <w:tc>
          <w:tcPr>
            <w:tcW w:w="689" w:type="pct"/>
            <w:vAlign w:val="center"/>
          </w:tcPr>
          <w:p w14:paraId="7379DDB9"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C</w:t>
            </w:r>
            <w:r w:rsidRPr="00092862">
              <w:rPr>
                <w:rFonts w:ascii="Times New Roman" w:hAnsi="Times New Roman" w:cs="Times New Roman"/>
                <w:color w:val="000000" w:themeColor="text1"/>
                <w:szCs w:val="21"/>
                <w:vertAlign w:val="subscript"/>
              </w:rPr>
              <w:t>3</w:t>
            </w:r>
            <w:r w:rsidRPr="00092862">
              <w:rPr>
                <w:rFonts w:ascii="Times New Roman" w:hAnsi="Times New Roman" w:cs="Times New Roman"/>
                <w:color w:val="000000" w:themeColor="text1"/>
                <w:szCs w:val="21"/>
              </w:rPr>
              <w:t>H</w:t>
            </w:r>
            <w:r w:rsidRPr="00092862">
              <w:rPr>
                <w:rFonts w:ascii="Times New Roman" w:hAnsi="Times New Roman" w:cs="Times New Roman"/>
                <w:color w:val="000000" w:themeColor="text1"/>
                <w:szCs w:val="21"/>
                <w:vertAlign w:val="subscript"/>
              </w:rPr>
              <w:t>8</w:t>
            </w:r>
          </w:p>
        </w:tc>
      </w:tr>
      <w:tr w:rsidR="00697429" w:rsidRPr="00092862" w14:paraId="609CF5F0" w14:textId="77777777" w:rsidTr="000C4D70">
        <w:trPr>
          <w:jc w:val="center"/>
        </w:trPr>
        <w:tc>
          <w:tcPr>
            <w:tcW w:w="1557" w:type="pct"/>
            <w:vAlign w:val="center"/>
          </w:tcPr>
          <w:p w14:paraId="08A2DA00"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含量（</w:t>
            </w:r>
            <w:r w:rsidRPr="00092862">
              <w:rPr>
                <w:rFonts w:ascii="Times New Roman" w:hAnsi="Times New Roman" w:cs="Times New Roman"/>
                <w:color w:val="000000" w:themeColor="text1"/>
                <w:szCs w:val="21"/>
              </w:rPr>
              <w:t>mol%</w:t>
            </w:r>
            <w:r w:rsidRPr="00092862">
              <w:rPr>
                <w:rFonts w:ascii="Times New Roman" w:hAnsi="Times New Roman" w:cs="Times New Roman"/>
                <w:color w:val="000000" w:themeColor="text1"/>
                <w:szCs w:val="21"/>
              </w:rPr>
              <w:t>）</w:t>
            </w:r>
          </w:p>
        </w:tc>
        <w:tc>
          <w:tcPr>
            <w:tcW w:w="584" w:type="pct"/>
            <w:vAlign w:val="center"/>
          </w:tcPr>
          <w:p w14:paraId="6A91ED7E"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8.73</w:t>
            </w:r>
          </w:p>
        </w:tc>
        <w:tc>
          <w:tcPr>
            <w:tcW w:w="689" w:type="pct"/>
            <w:vAlign w:val="center"/>
          </w:tcPr>
          <w:p w14:paraId="7B50DD27"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14.97</w:t>
            </w:r>
          </w:p>
        </w:tc>
        <w:tc>
          <w:tcPr>
            <w:tcW w:w="794" w:type="pct"/>
            <w:vAlign w:val="center"/>
          </w:tcPr>
          <w:p w14:paraId="68410DF6"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75.609</w:t>
            </w:r>
          </w:p>
        </w:tc>
        <w:tc>
          <w:tcPr>
            <w:tcW w:w="689" w:type="pct"/>
            <w:vAlign w:val="center"/>
          </w:tcPr>
          <w:p w14:paraId="22C18CAE"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0.013</w:t>
            </w:r>
          </w:p>
        </w:tc>
        <w:tc>
          <w:tcPr>
            <w:tcW w:w="689" w:type="pct"/>
            <w:vAlign w:val="center"/>
          </w:tcPr>
          <w:p w14:paraId="763EC1C7" w14:textId="77777777" w:rsidR="00F466CA" w:rsidRPr="00092862" w:rsidRDefault="00F466CA" w:rsidP="000C4D70">
            <w:pPr>
              <w:snapToGrid w:val="0"/>
              <w:jc w:val="center"/>
              <w:rPr>
                <w:rFonts w:ascii="Times New Roman" w:hAnsi="Times New Roman" w:cs="Times New Roman"/>
                <w:color w:val="000000" w:themeColor="text1"/>
                <w:szCs w:val="21"/>
              </w:rPr>
            </w:pPr>
            <w:r w:rsidRPr="00092862">
              <w:rPr>
                <w:rFonts w:ascii="Times New Roman" w:hAnsi="Times New Roman" w:cs="Times New Roman"/>
                <w:color w:val="000000" w:themeColor="text1"/>
                <w:szCs w:val="21"/>
              </w:rPr>
              <w:t>0.000</w:t>
            </w:r>
          </w:p>
        </w:tc>
      </w:tr>
    </w:tbl>
    <w:p w14:paraId="67F76008" w14:textId="19173E83" w:rsidR="00450025" w:rsidRPr="00092862" w:rsidRDefault="00450025" w:rsidP="00A108E2">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根据企业提供的资料，预计本项目可能放喷的最大天然气流量为</w:t>
      </w:r>
      <w:r w:rsidR="002305D1" w:rsidRPr="00092862">
        <w:rPr>
          <w:rFonts w:ascii="Times New Roman" w:hAnsi="Times New Roman"/>
          <w:bCs/>
          <w:color w:val="000000" w:themeColor="text1"/>
          <w:kern w:val="2"/>
          <w:lang w:eastAsia="zh-CN"/>
        </w:rPr>
        <w:t>100.23</w:t>
      </w:r>
      <w:r w:rsidR="00F466CA" w:rsidRPr="00092862">
        <w:rPr>
          <w:rFonts w:ascii="Times New Roman" w:hAnsi="Times New Roman"/>
          <w:bCs/>
          <w:color w:val="000000" w:themeColor="text1"/>
          <w:kern w:val="2"/>
          <w:lang w:eastAsia="zh-CN"/>
        </w:rPr>
        <w:t>×10</w:t>
      </w:r>
      <w:r w:rsidRPr="00092862">
        <w:rPr>
          <w:rFonts w:ascii="Times New Roman" w:hAnsi="Times New Roman"/>
          <w:bCs/>
          <w:color w:val="000000" w:themeColor="text1"/>
          <w:kern w:val="2"/>
          <w:vertAlign w:val="superscript"/>
          <w:lang w:eastAsia="zh-CN"/>
        </w:rPr>
        <w:t>4</w:t>
      </w:r>
      <w:r w:rsidRPr="00092862">
        <w:rPr>
          <w:rFonts w:ascii="Times New Roman" w:hAnsi="Times New Roman"/>
          <w:bCs/>
          <w:color w:val="000000" w:themeColor="text1"/>
          <w:kern w:val="2"/>
          <w:lang w:eastAsia="zh-CN"/>
        </w:rPr>
        <w:t>m</w:t>
      </w:r>
      <w:r w:rsidRPr="00092862">
        <w:rPr>
          <w:rFonts w:ascii="Times New Roman" w:hAnsi="Times New Roman"/>
          <w:bCs/>
          <w:color w:val="000000" w:themeColor="text1"/>
          <w:kern w:val="2"/>
          <w:vertAlign w:val="superscript"/>
          <w:lang w:eastAsia="zh-CN"/>
        </w:rPr>
        <w:t>3</w:t>
      </w:r>
      <w:r w:rsidRPr="00092862">
        <w:rPr>
          <w:rFonts w:ascii="Times New Roman" w:hAnsi="Times New Roman"/>
          <w:bCs/>
          <w:color w:val="000000" w:themeColor="text1"/>
          <w:kern w:val="2"/>
          <w:lang w:eastAsia="zh-CN"/>
        </w:rPr>
        <w:t>/d</w:t>
      </w:r>
      <w:r w:rsidRPr="00092862">
        <w:rPr>
          <w:rFonts w:ascii="Times New Roman" w:hAnsi="Times New Roman"/>
          <w:bCs/>
          <w:color w:val="000000" w:themeColor="text1"/>
          <w:kern w:val="2"/>
          <w:lang w:eastAsia="zh-CN"/>
        </w:rPr>
        <w:t>（酸化压裂前最大无阻流量），根据《含硫化氢天然气井失控井口点火时间规定》（</w:t>
      </w:r>
      <w:r w:rsidRPr="00092862">
        <w:rPr>
          <w:rFonts w:ascii="Times New Roman" w:hAnsi="Times New Roman"/>
          <w:bCs/>
          <w:color w:val="000000" w:themeColor="text1"/>
          <w:kern w:val="2"/>
          <w:lang w:eastAsia="zh-CN"/>
        </w:rPr>
        <w:t>AQ2016-2008</w:t>
      </w:r>
      <w:r w:rsidRPr="00092862">
        <w:rPr>
          <w:rFonts w:ascii="Times New Roman" w:hAnsi="Times New Roman"/>
          <w:bCs/>
          <w:color w:val="000000" w:themeColor="text1"/>
          <w:kern w:val="2"/>
          <w:lang w:eastAsia="zh-CN"/>
        </w:rPr>
        <w:t>），含</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天然气井发生井喷，至少应在</w:t>
      </w:r>
      <w:r w:rsidRPr="00092862">
        <w:rPr>
          <w:rFonts w:ascii="Times New Roman" w:hAnsi="Times New Roman"/>
          <w:bCs/>
          <w:color w:val="000000" w:themeColor="text1"/>
          <w:kern w:val="2"/>
          <w:lang w:eastAsia="zh-CN"/>
        </w:rPr>
        <w:t>15min</w:t>
      </w:r>
      <w:r w:rsidRPr="00092862">
        <w:rPr>
          <w:rFonts w:ascii="Times New Roman" w:hAnsi="Times New Roman"/>
          <w:bCs/>
          <w:color w:val="000000" w:themeColor="text1"/>
          <w:kern w:val="2"/>
          <w:lang w:eastAsia="zh-CN"/>
        </w:rPr>
        <w:t>内实施井口点火</w:t>
      </w:r>
      <w:r w:rsidR="00A108E2" w:rsidRPr="00092862">
        <w:rPr>
          <w:rFonts w:ascii="Times New Roman" w:hAnsi="Times New Roman"/>
          <w:bCs/>
          <w:color w:val="000000" w:themeColor="text1"/>
          <w:kern w:val="2"/>
          <w:lang w:eastAsia="zh-CN"/>
        </w:rPr>
        <w:t>（中国石化普光气田开发及川气东送管道工程普光气田开发工程环境风险评价专题报告中提出了落实发生井喷失控（或放喷）时</w:t>
      </w:r>
      <w:r w:rsidR="00A108E2" w:rsidRPr="00092862">
        <w:rPr>
          <w:rFonts w:ascii="Times New Roman" w:hAnsi="Times New Roman"/>
          <w:bCs/>
          <w:color w:val="000000" w:themeColor="text1"/>
          <w:kern w:val="2"/>
          <w:lang w:eastAsia="zh-CN"/>
        </w:rPr>
        <w:t>5</w:t>
      </w:r>
      <w:r w:rsidR="00A108E2" w:rsidRPr="00092862">
        <w:rPr>
          <w:rFonts w:ascii="Times New Roman" w:hAnsi="Times New Roman"/>
          <w:bCs/>
          <w:color w:val="000000" w:themeColor="text1"/>
          <w:kern w:val="2"/>
          <w:lang w:eastAsia="zh-CN"/>
        </w:rPr>
        <w:t>分钟内实施点火、</w:t>
      </w:r>
      <w:r w:rsidR="00A108E2" w:rsidRPr="00092862">
        <w:rPr>
          <w:rFonts w:ascii="Times New Roman" w:hAnsi="Times New Roman"/>
          <w:bCs/>
          <w:color w:val="000000" w:themeColor="text1"/>
          <w:kern w:val="2"/>
          <w:lang w:eastAsia="zh-CN"/>
        </w:rPr>
        <w:t>30</w:t>
      </w:r>
      <w:r w:rsidR="00A108E2" w:rsidRPr="00092862">
        <w:rPr>
          <w:rFonts w:ascii="Times New Roman" w:hAnsi="Times New Roman"/>
          <w:bCs/>
          <w:color w:val="000000" w:themeColor="text1"/>
          <w:kern w:val="2"/>
          <w:lang w:eastAsia="zh-CN"/>
        </w:rPr>
        <w:t>分钟内紧急疏散伤害浓度范围内居民的措施，本项目保守考虑仍以</w:t>
      </w:r>
      <w:r w:rsidR="00A108E2" w:rsidRPr="00092862">
        <w:rPr>
          <w:rFonts w:ascii="Times New Roman" w:hAnsi="Times New Roman"/>
          <w:bCs/>
          <w:color w:val="000000" w:themeColor="text1"/>
          <w:kern w:val="2"/>
          <w:lang w:eastAsia="zh-CN"/>
        </w:rPr>
        <w:t>15min</w:t>
      </w:r>
      <w:r w:rsidR="00A108E2" w:rsidRPr="00092862">
        <w:rPr>
          <w:rFonts w:ascii="Times New Roman" w:hAnsi="Times New Roman"/>
          <w:bCs/>
          <w:color w:val="000000" w:themeColor="text1"/>
          <w:kern w:val="2"/>
          <w:lang w:eastAsia="zh-CN"/>
        </w:rPr>
        <w:t>内实施井口点火为源强进行评价分析）</w:t>
      </w:r>
      <w:r w:rsidRPr="00092862">
        <w:rPr>
          <w:rFonts w:ascii="Times New Roman" w:hAnsi="Times New Roman"/>
          <w:bCs/>
          <w:color w:val="000000" w:themeColor="text1"/>
          <w:kern w:val="2"/>
          <w:lang w:eastAsia="zh-CN"/>
        </w:rPr>
        <w:t>。类比普光气田现有管</w:t>
      </w:r>
      <w:r w:rsidRPr="00092862">
        <w:rPr>
          <w:rFonts w:ascii="Times New Roman" w:hAnsi="Times New Roman"/>
          <w:bCs/>
          <w:color w:val="000000" w:themeColor="text1"/>
          <w:kern w:val="2"/>
          <w:lang w:eastAsia="zh-CN"/>
        </w:rPr>
        <w:lastRenderedPageBreak/>
        <w:t>理规定，按照井喷后</w:t>
      </w:r>
      <w:r w:rsidRPr="00092862">
        <w:rPr>
          <w:rFonts w:ascii="Times New Roman" w:hAnsi="Times New Roman"/>
          <w:bCs/>
          <w:color w:val="000000" w:themeColor="text1"/>
          <w:kern w:val="2"/>
          <w:lang w:eastAsia="zh-CN"/>
        </w:rPr>
        <w:t>15min</w:t>
      </w:r>
      <w:r w:rsidRPr="00092862">
        <w:rPr>
          <w:rFonts w:ascii="Times New Roman" w:hAnsi="Times New Roman"/>
          <w:bCs/>
          <w:color w:val="000000" w:themeColor="text1"/>
          <w:kern w:val="2"/>
          <w:lang w:eastAsia="zh-CN"/>
        </w:rPr>
        <w:t>点火，点火前主要污染物是</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，点火后主要污染物是</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w:t>
      </w:r>
    </w:p>
    <w:p w14:paraId="182C0D91" w14:textId="568D3DC5"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本项目井喷点火前释放的</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及甲烷源强见表</w:t>
      </w:r>
      <w:r w:rsidR="00CA20DF" w:rsidRPr="00092862">
        <w:rPr>
          <w:rFonts w:ascii="Times New Roman" w:hAnsi="Times New Roman"/>
          <w:bCs/>
          <w:color w:val="000000" w:themeColor="text1"/>
          <w:kern w:val="2"/>
          <w:lang w:eastAsia="zh-CN"/>
        </w:rPr>
        <w:t>6.4-2</w:t>
      </w:r>
      <w:r w:rsidRPr="00092862">
        <w:rPr>
          <w:rFonts w:ascii="Times New Roman" w:hAnsi="Times New Roman"/>
          <w:bCs/>
          <w:color w:val="000000" w:themeColor="text1"/>
          <w:kern w:val="2"/>
          <w:lang w:eastAsia="zh-CN"/>
        </w:rPr>
        <w:t>。</w:t>
      </w:r>
    </w:p>
    <w:p w14:paraId="6D113469" w14:textId="54D4A0AE"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CA20DF" w:rsidRPr="00092862">
        <w:rPr>
          <w:rFonts w:ascii="Times New Roman" w:eastAsia="黑体" w:hAnsi="Times New Roman"/>
          <w:color w:val="000000" w:themeColor="text1"/>
          <w:sz w:val="21"/>
          <w:szCs w:val="21"/>
          <w:lang w:eastAsia="zh-CN"/>
        </w:rPr>
        <w:t>6.4-2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井喷污染物源强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8"/>
        <w:gridCol w:w="1003"/>
        <w:gridCol w:w="1222"/>
        <w:gridCol w:w="1082"/>
        <w:gridCol w:w="1082"/>
        <w:gridCol w:w="988"/>
        <w:gridCol w:w="988"/>
        <w:gridCol w:w="1117"/>
      </w:tblGrid>
      <w:tr w:rsidR="00697429" w:rsidRPr="00092862" w14:paraId="6FB2A7C9" w14:textId="77777777" w:rsidTr="00C54C73">
        <w:trPr>
          <w:trHeight w:val="266"/>
          <w:jc w:val="center"/>
        </w:trPr>
        <w:tc>
          <w:tcPr>
            <w:tcW w:w="493" w:type="pct"/>
            <w:vAlign w:val="center"/>
          </w:tcPr>
          <w:p w14:paraId="48149DF3" w14:textId="77777777" w:rsidR="00450025" w:rsidRPr="00092862" w:rsidRDefault="00450025" w:rsidP="00C54C73">
            <w:pPr>
              <w:pStyle w:val="1L"/>
              <w:rPr>
                <w:b/>
                <w:color w:val="000000" w:themeColor="text1"/>
              </w:rPr>
            </w:pPr>
            <w:r w:rsidRPr="00092862">
              <w:rPr>
                <w:b/>
                <w:color w:val="000000" w:themeColor="text1"/>
              </w:rPr>
              <w:t>时段</w:t>
            </w:r>
          </w:p>
        </w:tc>
        <w:tc>
          <w:tcPr>
            <w:tcW w:w="604" w:type="pct"/>
            <w:vAlign w:val="center"/>
          </w:tcPr>
          <w:p w14:paraId="59FC4C37" w14:textId="77777777" w:rsidR="00450025" w:rsidRPr="00092862" w:rsidRDefault="00450025" w:rsidP="00C54C73">
            <w:pPr>
              <w:pStyle w:val="1L"/>
              <w:rPr>
                <w:b/>
                <w:color w:val="000000" w:themeColor="text1"/>
              </w:rPr>
            </w:pPr>
            <w:r w:rsidRPr="00092862">
              <w:rPr>
                <w:b/>
                <w:color w:val="000000" w:themeColor="text1"/>
              </w:rPr>
              <w:t>污染物名称</w:t>
            </w:r>
          </w:p>
        </w:tc>
        <w:tc>
          <w:tcPr>
            <w:tcW w:w="736" w:type="pct"/>
            <w:vAlign w:val="center"/>
          </w:tcPr>
          <w:p w14:paraId="3F04CB1F" w14:textId="77777777" w:rsidR="00450025" w:rsidRPr="00092862" w:rsidRDefault="00450025" w:rsidP="00C54C73">
            <w:pPr>
              <w:pStyle w:val="1L"/>
              <w:rPr>
                <w:b/>
                <w:color w:val="000000" w:themeColor="text1"/>
              </w:rPr>
            </w:pPr>
            <w:r w:rsidRPr="00092862">
              <w:rPr>
                <w:b/>
                <w:color w:val="000000" w:themeColor="text1"/>
              </w:rPr>
              <w:t>含量（</w:t>
            </w:r>
            <w:r w:rsidRPr="00092862">
              <w:rPr>
                <w:b/>
                <w:color w:val="000000" w:themeColor="text1"/>
              </w:rPr>
              <w:t>mg/m</w:t>
            </w:r>
            <w:r w:rsidRPr="00092862">
              <w:rPr>
                <w:b/>
                <w:color w:val="000000" w:themeColor="text1"/>
                <w:vertAlign w:val="superscript"/>
              </w:rPr>
              <w:t>3</w:t>
            </w:r>
            <w:r w:rsidRPr="00092862">
              <w:rPr>
                <w:b/>
                <w:color w:val="000000" w:themeColor="text1"/>
              </w:rPr>
              <w:t>）</w:t>
            </w:r>
          </w:p>
        </w:tc>
        <w:tc>
          <w:tcPr>
            <w:tcW w:w="652" w:type="pct"/>
          </w:tcPr>
          <w:p w14:paraId="35F148BE" w14:textId="77777777" w:rsidR="00450025" w:rsidRPr="00092862" w:rsidRDefault="00450025" w:rsidP="00C54C73">
            <w:pPr>
              <w:pStyle w:val="1L"/>
              <w:rPr>
                <w:b/>
                <w:color w:val="000000" w:themeColor="text1"/>
              </w:rPr>
            </w:pPr>
            <w:r w:rsidRPr="00092862">
              <w:rPr>
                <w:b/>
                <w:color w:val="000000" w:themeColor="text1"/>
              </w:rPr>
              <w:t>天然气排放量（</w:t>
            </w:r>
            <w:r w:rsidRPr="00092862">
              <w:rPr>
                <w:b/>
                <w:color w:val="000000" w:themeColor="text1"/>
              </w:rPr>
              <w:t>m</w:t>
            </w:r>
            <w:r w:rsidRPr="00092862">
              <w:rPr>
                <w:b/>
                <w:color w:val="000000" w:themeColor="text1"/>
                <w:vertAlign w:val="superscript"/>
              </w:rPr>
              <w:t>3</w:t>
            </w:r>
            <w:r w:rsidRPr="00092862">
              <w:rPr>
                <w:b/>
                <w:color w:val="000000" w:themeColor="text1"/>
              </w:rPr>
              <w:t>/s</w:t>
            </w:r>
            <w:r w:rsidRPr="00092862">
              <w:rPr>
                <w:b/>
                <w:color w:val="000000" w:themeColor="text1"/>
              </w:rPr>
              <w:t>）</w:t>
            </w:r>
          </w:p>
        </w:tc>
        <w:tc>
          <w:tcPr>
            <w:tcW w:w="652" w:type="pct"/>
            <w:vAlign w:val="center"/>
          </w:tcPr>
          <w:p w14:paraId="04806AC2" w14:textId="77777777" w:rsidR="00450025" w:rsidRPr="00092862" w:rsidRDefault="00450025" w:rsidP="00C54C73">
            <w:pPr>
              <w:pStyle w:val="1L"/>
              <w:rPr>
                <w:b/>
                <w:color w:val="000000" w:themeColor="text1"/>
              </w:rPr>
            </w:pPr>
            <w:r w:rsidRPr="00092862">
              <w:rPr>
                <w:b/>
                <w:color w:val="000000" w:themeColor="text1"/>
              </w:rPr>
              <w:t>排放速率（</w:t>
            </w:r>
            <w:r w:rsidRPr="00092862">
              <w:rPr>
                <w:b/>
                <w:color w:val="000000" w:themeColor="text1"/>
              </w:rPr>
              <w:t>kg/s</w:t>
            </w:r>
            <w:r w:rsidRPr="00092862">
              <w:rPr>
                <w:b/>
                <w:color w:val="000000" w:themeColor="text1"/>
              </w:rPr>
              <w:t>）</w:t>
            </w:r>
          </w:p>
        </w:tc>
        <w:tc>
          <w:tcPr>
            <w:tcW w:w="595" w:type="pct"/>
            <w:vAlign w:val="center"/>
          </w:tcPr>
          <w:p w14:paraId="4D8C3DC3" w14:textId="77777777" w:rsidR="00450025" w:rsidRPr="00092862" w:rsidRDefault="00450025" w:rsidP="00C54C73">
            <w:pPr>
              <w:pStyle w:val="1L"/>
              <w:rPr>
                <w:b/>
                <w:color w:val="000000" w:themeColor="text1"/>
              </w:rPr>
            </w:pPr>
            <w:r w:rsidRPr="00092862">
              <w:rPr>
                <w:b/>
                <w:color w:val="000000" w:themeColor="text1"/>
              </w:rPr>
              <w:t>持续时间（</w:t>
            </w:r>
            <w:r w:rsidRPr="00092862">
              <w:rPr>
                <w:b/>
                <w:color w:val="000000" w:themeColor="text1"/>
              </w:rPr>
              <w:t>min</w:t>
            </w:r>
            <w:r w:rsidRPr="00092862">
              <w:rPr>
                <w:b/>
                <w:color w:val="000000" w:themeColor="text1"/>
              </w:rPr>
              <w:t>）</w:t>
            </w:r>
          </w:p>
        </w:tc>
        <w:tc>
          <w:tcPr>
            <w:tcW w:w="595" w:type="pct"/>
            <w:vAlign w:val="center"/>
          </w:tcPr>
          <w:p w14:paraId="182A3EE7" w14:textId="77777777" w:rsidR="00450025" w:rsidRPr="00092862" w:rsidRDefault="00450025" w:rsidP="00C54C73">
            <w:pPr>
              <w:pStyle w:val="1L"/>
              <w:rPr>
                <w:b/>
                <w:color w:val="000000" w:themeColor="text1"/>
              </w:rPr>
            </w:pPr>
            <w:r w:rsidRPr="00092862">
              <w:rPr>
                <w:b/>
                <w:color w:val="000000" w:themeColor="text1"/>
              </w:rPr>
              <w:t>排气筒内径（</w:t>
            </w:r>
            <w:r w:rsidRPr="00092862">
              <w:rPr>
                <w:b/>
                <w:color w:val="000000" w:themeColor="text1"/>
              </w:rPr>
              <w:t>mm</w:t>
            </w:r>
            <w:r w:rsidRPr="00092862">
              <w:rPr>
                <w:b/>
                <w:color w:val="000000" w:themeColor="text1"/>
              </w:rPr>
              <w:t>）</w:t>
            </w:r>
          </w:p>
        </w:tc>
        <w:tc>
          <w:tcPr>
            <w:tcW w:w="673" w:type="pct"/>
            <w:vAlign w:val="center"/>
          </w:tcPr>
          <w:p w14:paraId="27BBEE53" w14:textId="77777777" w:rsidR="00450025" w:rsidRPr="00092862" w:rsidRDefault="00450025" w:rsidP="00C54C73">
            <w:pPr>
              <w:pStyle w:val="1L"/>
              <w:rPr>
                <w:b/>
                <w:color w:val="000000" w:themeColor="text1"/>
              </w:rPr>
            </w:pPr>
            <w:r w:rsidRPr="00092862">
              <w:rPr>
                <w:b/>
                <w:color w:val="000000" w:themeColor="text1"/>
              </w:rPr>
              <w:t>总泄漏量（</w:t>
            </w:r>
            <w:r w:rsidRPr="00092862">
              <w:rPr>
                <w:b/>
                <w:color w:val="000000" w:themeColor="text1"/>
              </w:rPr>
              <w:t>kg</w:t>
            </w:r>
            <w:r w:rsidRPr="00092862">
              <w:rPr>
                <w:b/>
                <w:color w:val="000000" w:themeColor="text1"/>
              </w:rPr>
              <w:t>）</w:t>
            </w:r>
          </w:p>
        </w:tc>
      </w:tr>
      <w:tr w:rsidR="00697429" w:rsidRPr="00092862" w14:paraId="22C97D77" w14:textId="77777777" w:rsidTr="00C54C73">
        <w:trPr>
          <w:trHeight w:val="63"/>
          <w:jc w:val="center"/>
        </w:trPr>
        <w:tc>
          <w:tcPr>
            <w:tcW w:w="493" w:type="pct"/>
            <w:vMerge w:val="restart"/>
            <w:vAlign w:val="center"/>
          </w:tcPr>
          <w:p w14:paraId="0AADF926" w14:textId="606EE0FD" w:rsidR="002305D1" w:rsidRPr="00092862" w:rsidRDefault="002305D1" w:rsidP="002305D1">
            <w:pPr>
              <w:pStyle w:val="1L"/>
              <w:rPr>
                <w:color w:val="000000" w:themeColor="text1"/>
              </w:rPr>
            </w:pPr>
            <w:r w:rsidRPr="00092862">
              <w:rPr>
                <w:color w:val="000000" w:themeColor="text1"/>
              </w:rPr>
              <w:t>点火前</w:t>
            </w:r>
          </w:p>
        </w:tc>
        <w:tc>
          <w:tcPr>
            <w:tcW w:w="604" w:type="pct"/>
            <w:vAlign w:val="center"/>
          </w:tcPr>
          <w:p w14:paraId="4F3BE405" w14:textId="18BA30A4" w:rsidR="002305D1" w:rsidRPr="00092862" w:rsidRDefault="002305D1" w:rsidP="002305D1">
            <w:pPr>
              <w:pStyle w:val="1L"/>
              <w:rPr>
                <w:bCs w:val="0"/>
                <w:color w:val="000000" w:themeColor="text1"/>
              </w:rPr>
            </w:pPr>
            <w:r w:rsidRPr="00092862">
              <w:rPr>
                <w:color w:val="000000" w:themeColor="text1"/>
              </w:rPr>
              <w:t>H</w:t>
            </w:r>
            <w:r w:rsidRPr="00092862">
              <w:rPr>
                <w:color w:val="000000" w:themeColor="text1"/>
                <w:vertAlign w:val="subscript"/>
              </w:rPr>
              <w:t>2</w:t>
            </w:r>
            <w:r w:rsidRPr="00092862">
              <w:rPr>
                <w:color w:val="000000" w:themeColor="text1"/>
              </w:rPr>
              <w:t>S</w:t>
            </w:r>
          </w:p>
        </w:tc>
        <w:tc>
          <w:tcPr>
            <w:tcW w:w="736" w:type="pct"/>
            <w:vAlign w:val="center"/>
          </w:tcPr>
          <w:p w14:paraId="47A77D04" w14:textId="39E8B82E" w:rsidR="002305D1" w:rsidRPr="00092862" w:rsidRDefault="002305D1" w:rsidP="002305D1">
            <w:pPr>
              <w:pStyle w:val="1L"/>
              <w:rPr>
                <w:color w:val="000000" w:themeColor="text1"/>
              </w:rPr>
            </w:pPr>
            <w:r w:rsidRPr="00092862">
              <w:rPr>
                <w:color w:val="000000" w:themeColor="text1"/>
              </w:rPr>
              <w:t>227223</w:t>
            </w:r>
          </w:p>
        </w:tc>
        <w:tc>
          <w:tcPr>
            <w:tcW w:w="652" w:type="pct"/>
          </w:tcPr>
          <w:p w14:paraId="7F73DD30" w14:textId="2E53C18A" w:rsidR="002305D1" w:rsidRPr="00092862" w:rsidRDefault="002305D1" w:rsidP="002305D1">
            <w:pPr>
              <w:pStyle w:val="1L"/>
              <w:rPr>
                <w:color w:val="000000" w:themeColor="text1"/>
              </w:rPr>
            </w:pPr>
            <w:r w:rsidRPr="00092862">
              <w:rPr>
                <w:color w:val="000000" w:themeColor="text1"/>
              </w:rPr>
              <w:t>9.7</w:t>
            </w:r>
          </w:p>
        </w:tc>
        <w:tc>
          <w:tcPr>
            <w:tcW w:w="652" w:type="pct"/>
            <w:vAlign w:val="center"/>
          </w:tcPr>
          <w:p w14:paraId="1AF9795E" w14:textId="1E1641BA" w:rsidR="002305D1" w:rsidRPr="00092862" w:rsidRDefault="002305D1" w:rsidP="002305D1">
            <w:pPr>
              <w:pStyle w:val="1L"/>
              <w:rPr>
                <w:color w:val="000000" w:themeColor="text1"/>
              </w:rPr>
            </w:pPr>
            <w:r w:rsidRPr="00092862">
              <w:rPr>
                <w:color w:val="000000" w:themeColor="text1"/>
              </w:rPr>
              <w:t>2.20</w:t>
            </w:r>
          </w:p>
        </w:tc>
        <w:tc>
          <w:tcPr>
            <w:tcW w:w="595" w:type="pct"/>
            <w:vAlign w:val="center"/>
          </w:tcPr>
          <w:p w14:paraId="6FB1D999" w14:textId="00BE71EB" w:rsidR="002305D1" w:rsidRPr="00092862" w:rsidRDefault="002305D1" w:rsidP="002305D1">
            <w:pPr>
              <w:pStyle w:val="1L"/>
              <w:rPr>
                <w:color w:val="000000" w:themeColor="text1"/>
              </w:rPr>
            </w:pPr>
            <w:r w:rsidRPr="00092862">
              <w:rPr>
                <w:color w:val="000000" w:themeColor="text1"/>
              </w:rPr>
              <w:t>15</w:t>
            </w:r>
          </w:p>
        </w:tc>
        <w:tc>
          <w:tcPr>
            <w:tcW w:w="595" w:type="pct"/>
            <w:vAlign w:val="center"/>
          </w:tcPr>
          <w:p w14:paraId="14F5A33E" w14:textId="252501BD" w:rsidR="002305D1" w:rsidRPr="00092862" w:rsidRDefault="002305D1" w:rsidP="002305D1">
            <w:pPr>
              <w:pStyle w:val="1L"/>
              <w:rPr>
                <w:color w:val="000000" w:themeColor="text1"/>
              </w:rPr>
            </w:pPr>
            <w:r w:rsidRPr="00092862">
              <w:rPr>
                <w:color w:val="000000" w:themeColor="text1"/>
              </w:rPr>
              <w:t>149.2</w:t>
            </w:r>
          </w:p>
        </w:tc>
        <w:tc>
          <w:tcPr>
            <w:tcW w:w="673" w:type="pct"/>
            <w:vAlign w:val="center"/>
          </w:tcPr>
          <w:p w14:paraId="2E84414A" w14:textId="171DD52B" w:rsidR="002305D1" w:rsidRPr="00092862" w:rsidRDefault="002305D1" w:rsidP="002305D1">
            <w:pPr>
              <w:pStyle w:val="1L"/>
              <w:rPr>
                <w:color w:val="000000" w:themeColor="text1"/>
              </w:rPr>
            </w:pPr>
            <w:r w:rsidRPr="00092862">
              <w:rPr>
                <w:color w:val="000000" w:themeColor="text1"/>
              </w:rPr>
              <w:t>1977</w:t>
            </w:r>
          </w:p>
        </w:tc>
      </w:tr>
      <w:tr w:rsidR="008B37BB" w:rsidRPr="00092862" w14:paraId="30292F54" w14:textId="77777777" w:rsidTr="00C54C73">
        <w:trPr>
          <w:trHeight w:val="63"/>
          <w:jc w:val="center"/>
        </w:trPr>
        <w:tc>
          <w:tcPr>
            <w:tcW w:w="493" w:type="pct"/>
            <w:vMerge/>
            <w:vAlign w:val="center"/>
          </w:tcPr>
          <w:p w14:paraId="518B07E2" w14:textId="77777777" w:rsidR="002305D1" w:rsidRPr="00092862" w:rsidRDefault="002305D1" w:rsidP="002305D1">
            <w:pPr>
              <w:pStyle w:val="1L"/>
              <w:rPr>
                <w:color w:val="000000" w:themeColor="text1"/>
              </w:rPr>
            </w:pPr>
          </w:p>
        </w:tc>
        <w:tc>
          <w:tcPr>
            <w:tcW w:w="604" w:type="pct"/>
            <w:vAlign w:val="center"/>
          </w:tcPr>
          <w:p w14:paraId="5DBA4047" w14:textId="4F0C0052" w:rsidR="002305D1" w:rsidRPr="00092862" w:rsidRDefault="002305D1" w:rsidP="002305D1">
            <w:pPr>
              <w:pStyle w:val="1L"/>
              <w:rPr>
                <w:bCs w:val="0"/>
                <w:color w:val="000000" w:themeColor="text1"/>
              </w:rPr>
            </w:pPr>
            <w:r w:rsidRPr="00092862">
              <w:rPr>
                <w:bCs w:val="0"/>
                <w:color w:val="000000" w:themeColor="text1"/>
              </w:rPr>
              <w:t>CH</w:t>
            </w:r>
            <w:r w:rsidRPr="00092862">
              <w:rPr>
                <w:bCs w:val="0"/>
                <w:color w:val="000000" w:themeColor="text1"/>
                <w:vertAlign w:val="subscript"/>
              </w:rPr>
              <w:t>4</w:t>
            </w:r>
          </w:p>
        </w:tc>
        <w:tc>
          <w:tcPr>
            <w:tcW w:w="736" w:type="pct"/>
            <w:vAlign w:val="center"/>
          </w:tcPr>
          <w:p w14:paraId="4D40DDC7" w14:textId="1A7531C1" w:rsidR="002305D1" w:rsidRPr="00092862" w:rsidRDefault="002305D1" w:rsidP="002305D1">
            <w:pPr>
              <w:pStyle w:val="1L"/>
              <w:rPr>
                <w:color w:val="000000" w:themeColor="text1"/>
              </w:rPr>
            </w:pPr>
            <w:r w:rsidRPr="00092862">
              <w:rPr>
                <w:color w:val="000000" w:themeColor="text1"/>
              </w:rPr>
              <w:t>607572</w:t>
            </w:r>
          </w:p>
        </w:tc>
        <w:tc>
          <w:tcPr>
            <w:tcW w:w="652" w:type="pct"/>
          </w:tcPr>
          <w:p w14:paraId="4C88EA0B" w14:textId="79759D9F" w:rsidR="002305D1" w:rsidRPr="00092862" w:rsidRDefault="002305D1" w:rsidP="002305D1">
            <w:pPr>
              <w:pStyle w:val="1L"/>
              <w:rPr>
                <w:color w:val="000000" w:themeColor="text1"/>
              </w:rPr>
            </w:pPr>
            <w:r w:rsidRPr="00092862">
              <w:rPr>
                <w:color w:val="000000" w:themeColor="text1"/>
              </w:rPr>
              <w:t>9.7</w:t>
            </w:r>
          </w:p>
        </w:tc>
        <w:tc>
          <w:tcPr>
            <w:tcW w:w="652" w:type="pct"/>
            <w:vAlign w:val="center"/>
          </w:tcPr>
          <w:p w14:paraId="3B877E2A" w14:textId="6972A28B" w:rsidR="002305D1" w:rsidRPr="00092862" w:rsidRDefault="002305D1" w:rsidP="002305D1">
            <w:pPr>
              <w:pStyle w:val="1L"/>
              <w:rPr>
                <w:color w:val="000000" w:themeColor="text1"/>
              </w:rPr>
            </w:pPr>
            <w:r w:rsidRPr="00092862">
              <w:rPr>
                <w:color w:val="000000" w:themeColor="text1"/>
              </w:rPr>
              <w:t>5.9</w:t>
            </w:r>
          </w:p>
        </w:tc>
        <w:tc>
          <w:tcPr>
            <w:tcW w:w="595" w:type="pct"/>
            <w:vAlign w:val="center"/>
          </w:tcPr>
          <w:p w14:paraId="57FFE6C0" w14:textId="3E8D8F05" w:rsidR="002305D1" w:rsidRPr="00092862" w:rsidRDefault="002305D1" w:rsidP="002305D1">
            <w:pPr>
              <w:pStyle w:val="1L"/>
              <w:rPr>
                <w:color w:val="000000" w:themeColor="text1"/>
              </w:rPr>
            </w:pPr>
            <w:r w:rsidRPr="00092862">
              <w:rPr>
                <w:color w:val="000000" w:themeColor="text1"/>
              </w:rPr>
              <w:t>15</w:t>
            </w:r>
          </w:p>
        </w:tc>
        <w:tc>
          <w:tcPr>
            <w:tcW w:w="595" w:type="pct"/>
            <w:vAlign w:val="center"/>
          </w:tcPr>
          <w:p w14:paraId="0F443742" w14:textId="57B49918" w:rsidR="002305D1" w:rsidRPr="00092862" w:rsidRDefault="002305D1" w:rsidP="002305D1">
            <w:pPr>
              <w:pStyle w:val="1L"/>
              <w:rPr>
                <w:color w:val="000000" w:themeColor="text1"/>
              </w:rPr>
            </w:pPr>
            <w:r w:rsidRPr="00092862">
              <w:rPr>
                <w:color w:val="000000" w:themeColor="text1"/>
              </w:rPr>
              <w:t>149.2</w:t>
            </w:r>
          </w:p>
        </w:tc>
        <w:tc>
          <w:tcPr>
            <w:tcW w:w="673" w:type="pct"/>
            <w:vAlign w:val="center"/>
          </w:tcPr>
          <w:p w14:paraId="47089AD8" w14:textId="02A81261" w:rsidR="002305D1" w:rsidRPr="00092862" w:rsidRDefault="002305D1" w:rsidP="002305D1">
            <w:pPr>
              <w:pStyle w:val="1L"/>
              <w:rPr>
                <w:color w:val="000000" w:themeColor="text1"/>
              </w:rPr>
            </w:pPr>
            <w:r w:rsidRPr="00092862">
              <w:rPr>
                <w:color w:val="000000" w:themeColor="text1"/>
              </w:rPr>
              <w:t>5273</w:t>
            </w:r>
          </w:p>
        </w:tc>
      </w:tr>
    </w:tbl>
    <w:p w14:paraId="20E8A1F3" w14:textId="77777777" w:rsidR="00450025" w:rsidRPr="00092862" w:rsidRDefault="00450025"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p>
    <w:p w14:paraId="1799A578"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）事故后果预测及危害分析</w:t>
      </w:r>
    </w:p>
    <w:p w14:paraId="7C6DBD4A" w14:textId="77777777" w:rsidR="00450025" w:rsidRPr="00092862" w:rsidRDefault="00450025" w:rsidP="00450025">
      <w:pPr>
        <w:pStyle w:val="ac"/>
        <w:adjustRightInd w:val="0"/>
        <w:snapToGrid w:val="0"/>
        <w:spacing w:line="360" w:lineRule="auto"/>
        <w:ind w:left="0" w:firstLineChars="200" w:firstLine="480"/>
        <w:jc w:val="both"/>
        <w:rPr>
          <w:rFonts w:ascii="Times New Roman" w:hAnsi="Times New Roman"/>
          <w:b/>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w:t>
      </w:r>
      <w:r w:rsidRPr="00092862">
        <w:rPr>
          <w:rFonts w:ascii="Times New Roman" w:hAnsi="Times New Roman"/>
          <w:b/>
          <w:bCs/>
          <w:color w:val="000000" w:themeColor="text1"/>
          <w:kern w:val="2"/>
          <w:lang w:eastAsia="zh-CN"/>
        </w:rPr>
        <w:t>预测模型筛选</w:t>
      </w:r>
    </w:p>
    <w:p w14:paraId="1903B1C7"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大气环境风险后果预测主要采用导则推荐的模型。重质气体排放的扩散模型选用</w:t>
      </w:r>
      <w:r w:rsidRPr="00092862">
        <w:rPr>
          <w:rFonts w:ascii="Times New Roman" w:hAnsi="Times New Roman"/>
          <w:bCs/>
          <w:color w:val="000000" w:themeColor="text1"/>
          <w:kern w:val="2"/>
          <w:lang w:eastAsia="zh-CN"/>
        </w:rPr>
        <w:t>SLAB</w:t>
      </w:r>
      <w:r w:rsidRPr="00092862">
        <w:rPr>
          <w:rFonts w:ascii="Times New Roman" w:hAnsi="Times New Roman"/>
          <w:bCs/>
          <w:color w:val="000000" w:themeColor="text1"/>
          <w:kern w:val="2"/>
          <w:lang w:eastAsia="zh-CN"/>
        </w:rPr>
        <w:t>模型，中性气体和轻质气体排放以及液池蒸发气体的扩散模拟选用</w:t>
      </w:r>
      <w:r w:rsidRPr="00092862">
        <w:rPr>
          <w:rFonts w:ascii="Times New Roman" w:hAnsi="Times New Roman"/>
          <w:bCs/>
          <w:color w:val="000000" w:themeColor="text1"/>
          <w:kern w:val="2"/>
          <w:lang w:eastAsia="zh-CN"/>
        </w:rPr>
        <w:t>AFTOX</w:t>
      </w:r>
      <w:r w:rsidRPr="00092862">
        <w:rPr>
          <w:rFonts w:ascii="Times New Roman" w:hAnsi="Times New Roman"/>
          <w:bCs/>
          <w:color w:val="000000" w:themeColor="text1"/>
          <w:kern w:val="2"/>
          <w:lang w:eastAsia="zh-CN"/>
        </w:rPr>
        <w:t>模型。重质气体和轻质气体采用理查德森数进行判定。</w:t>
      </w:r>
    </w:p>
    <w:p w14:paraId="3DC7D65E"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本次评价根据《建设项目环境风险评价技术导则》（</w:t>
      </w:r>
      <w:r w:rsidRPr="00092862">
        <w:rPr>
          <w:rFonts w:ascii="Times New Roman" w:hAnsi="Times New Roman"/>
          <w:bCs/>
          <w:color w:val="000000" w:themeColor="text1"/>
          <w:kern w:val="2"/>
          <w:lang w:eastAsia="zh-CN"/>
        </w:rPr>
        <w:t>HJ 169-2018</w:t>
      </w:r>
      <w:r w:rsidRPr="00092862">
        <w:rPr>
          <w:rFonts w:ascii="Times New Roman" w:hAnsi="Times New Roman"/>
          <w:bCs/>
          <w:color w:val="000000" w:themeColor="text1"/>
          <w:kern w:val="2"/>
          <w:lang w:eastAsia="zh-CN"/>
        </w:rPr>
        <w:t>），判定连续排放还是瞬时排放，可以通过对比排放时间</w:t>
      </w:r>
      <w:r w:rsidRPr="00092862">
        <w:rPr>
          <w:rFonts w:ascii="Times New Roman" w:hAnsi="Times New Roman"/>
          <w:bCs/>
          <w:i/>
          <w:iCs/>
          <w:color w:val="000000" w:themeColor="text1"/>
          <w:kern w:val="2"/>
          <w:lang w:eastAsia="zh-CN"/>
        </w:rPr>
        <w:t>T</w:t>
      </w:r>
      <w:r w:rsidRPr="00092862">
        <w:rPr>
          <w:rFonts w:ascii="Times New Roman" w:hAnsi="Times New Roman"/>
          <w:bCs/>
          <w:i/>
          <w:iCs/>
          <w:color w:val="000000" w:themeColor="text1"/>
          <w:kern w:val="2"/>
          <w:vertAlign w:val="subscript"/>
          <w:lang w:eastAsia="zh-CN"/>
        </w:rPr>
        <w:t>d</w:t>
      </w:r>
      <w:r w:rsidRPr="00092862">
        <w:rPr>
          <w:rFonts w:ascii="Times New Roman" w:hAnsi="Times New Roman"/>
          <w:bCs/>
          <w:color w:val="000000" w:themeColor="text1"/>
          <w:kern w:val="2"/>
          <w:lang w:eastAsia="zh-CN"/>
        </w:rPr>
        <w:t>和污染物到达最近的受体点（网格点或敏感点）的时间</w:t>
      </w:r>
      <w:r w:rsidRPr="00092862">
        <w:rPr>
          <w:rFonts w:ascii="Times New Roman" w:hAnsi="Times New Roman"/>
          <w:bCs/>
          <w:color w:val="000000" w:themeColor="text1"/>
          <w:kern w:val="2"/>
          <w:lang w:eastAsia="zh-CN"/>
        </w:rPr>
        <w:t>T</w:t>
      </w:r>
      <w:r w:rsidRPr="00092862">
        <w:rPr>
          <w:rFonts w:ascii="Times New Roman" w:hAnsi="Times New Roman"/>
          <w:bCs/>
          <w:color w:val="000000" w:themeColor="text1"/>
          <w:kern w:val="2"/>
          <w:lang w:eastAsia="zh-CN"/>
        </w:rPr>
        <w:t>确定。</w:t>
      </w:r>
    </w:p>
    <w:p w14:paraId="36779B08" w14:textId="77777777" w:rsidR="00450025" w:rsidRPr="00092862" w:rsidRDefault="00450025" w:rsidP="00450025">
      <w:pPr>
        <w:pStyle w:val="ac"/>
        <w:spacing w:before="0" w:line="360" w:lineRule="auto"/>
        <w:jc w:val="center"/>
        <w:rPr>
          <w:rFonts w:ascii="Times New Roman" w:hAnsi="Times New Roman"/>
          <w:bCs/>
          <w:color w:val="000000" w:themeColor="text1"/>
          <w:kern w:val="2"/>
          <w:lang w:eastAsia="zh-CN"/>
        </w:rPr>
      </w:pPr>
      <w:r w:rsidRPr="00092862">
        <w:rPr>
          <w:rFonts w:ascii="Times New Roman" w:hAnsi="Times New Roman"/>
          <w:bCs/>
          <w:i/>
          <w:iCs/>
          <w:color w:val="000000" w:themeColor="text1"/>
          <w:kern w:val="2"/>
          <w:lang w:eastAsia="zh-CN"/>
        </w:rPr>
        <w:t>T</w:t>
      </w:r>
      <w:r w:rsidRPr="00092862">
        <w:rPr>
          <w:rFonts w:ascii="Times New Roman" w:hAnsi="Times New Roman"/>
          <w:bCs/>
          <w:color w:val="000000" w:themeColor="text1"/>
          <w:kern w:val="2"/>
          <w:lang w:eastAsia="zh-CN"/>
        </w:rPr>
        <w:t>=</w:t>
      </w:r>
      <w:r w:rsidRPr="00092862">
        <w:rPr>
          <w:rFonts w:ascii="Times New Roman" w:hAnsi="Times New Roman"/>
          <w:bCs/>
          <w:i/>
          <w:iCs/>
          <w:color w:val="000000" w:themeColor="text1"/>
          <w:kern w:val="2"/>
          <w:lang w:eastAsia="zh-CN"/>
        </w:rPr>
        <w:t>2X/U</w:t>
      </w:r>
      <w:r w:rsidRPr="00092862">
        <w:rPr>
          <w:rFonts w:ascii="Times New Roman" w:hAnsi="Times New Roman"/>
          <w:bCs/>
          <w:i/>
          <w:iCs/>
          <w:color w:val="000000" w:themeColor="text1"/>
          <w:kern w:val="2"/>
          <w:vertAlign w:val="subscript"/>
          <w:lang w:eastAsia="zh-CN"/>
        </w:rPr>
        <w:t>r</w:t>
      </w:r>
    </w:p>
    <w:p w14:paraId="2583554E" w14:textId="45C909E5"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式中</w:t>
      </w:r>
      <w:r w:rsidRPr="00092862">
        <w:rPr>
          <w:rFonts w:ascii="Times New Roman" w:hAnsi="Times New Roman"/>
          <w:bCs/>
          <w:i/>
          <w:iCs/>
          <w:color w:val="000000" w:themeColor="text1"/>
          <w:kern w:val="2"/>
          <w:lang w:eastAsia="zh-CN"/>
        </w:rPr>
        <w:t>X</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事故发生地与计算点的距离，</w:t>
      </w:r>
      <w:r w:rsidRPr="00092862">
        <w:rPr>
          <w:rFonts w:ascii="Times New Roman" w:hAnsi="Times New Roman"/>
          <w:bCs/>
          <w:color w:val="000000" w:themeColor="text1"/>
          <w:kern w:val="2"/>
          <w:lang w:eastAsia="zh-CN"/>
        </w:rPr>
        <w:t>m</w:t>
      </w:r>
      <w:r w:rsidRPr="00092862">
        <w:rPr>
          <w:rFonts w:ascii="Times New Roman" w:hAnsi="Times New Roman"/>
          <w:bCs/>
          <w:color w:val="000000" w:themeColor="text1"/>
          <w:kern w:val="2"/>
          <w:lang w:eastAsia="zh-CN"/>
        </w:rPr>
        <w:t>。本项目保守考虑，选取距离井口最近的较为集中居民点作为该距离，即约</w:t>
      </w:r>
      <w:r w:rsidR="002305D1" w:rsidRPr="00092862">
        <w:rPr>
          <w:rFonts w:ascii="Times New Roman" w:hAnsi="Times New Roman"/>
          <w:bCs/>
          <w:color w:val="000000" w:themeColor="text1"/>
          <w:kern w:val="2"/>
          <w:lang w:eastAsia="zh-CN"/>
        </w:rPr>
        <w:t>312</w:t>
      </w:r>
      <w:r w:rsidRPr="00092862">
        <w:rPr>
          <w:rFonts w:ascii="Times New Roman" w:hAnsi="Times New Roman"/>
          <w:bCs/>
          <w:color w:val="000000" w:themeColor="text1"/>
          <w:kern w:val="2"/>
          <w:lang w:eastAsia="zh-CN"/>
        </w:rPr>
        <w:t>m</w:t>
      </w:r>
      <w:r w:rsidRPr="00092862">
        <w:rPr>
          <w:rFonts w:ascii="Times New Roman" w:hAnsi="Times New Roman"/>
          <w:bCs/>
          <w:color w:val="000000" w:themeColor="text1"/>
          <w:kern w:val="2"/>
          <w:lang w:eastAsia="zh-CN"/>
        </w:rPr>
        <w:t>。</w:t>
      </w:r>
    </w:p>
    <w:p w14:paraId="3A6C4B2E"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i/>
          <w:iCs/>
          <w:color w:val="000000" w:themeColor="text1"/>
          <w:kern w:val="2"/>
          <w:lang w:eastAsia="zh-CN"/>
        </w:rPr>
        <w:t>U</w:t>
      </w:r>
      <w:r w:rsidRPr="00092862">
        <w:rPr>
          <w:rFonts w:ascii="Times New Roman" w:hAnsi="Times New Roman"/>
          <w:bCs/>
          <w:i/>
          <w:iCs/>
          <w:color w:val="000000" w:themeColor="text1"/>
          <w:kern w:val="2"/>
          <w:vertAlign w:val="subscript"/>
          <w:lang w:eastAsia="zh-CN"/>
        </w:rPr>
        <w:t>r</w:t>
      </w:r>
      <w:r w:rsidRPr="00092862">
        <w:rPr>
          <w:rFonts w:ascii="Times New Roman" w:hAnsi="Times New Roman"/>
          <w:bCs/>
          <w:color w:val="000000" w:themeColor="text1"/>
          <w:kern w:val="2"/>
          <w:lang w:eastAsia="zh-CN"/>
        </w:rPr>
        <w:t>——10m</w:t>
      </w:r>
      <w:r w:rsidRPr="00092862">
        <w:rPr>
          <w:rFonts w:ascii="Times New Roman" w:hAnsi="Times New Roman"/>
          <w:bCs/>
          <w:color w:val="000000" w:themeColor="text1"/>
          <w:kern w:val="2"/>
          <w:lang w:eastAsia="zh-CN"/>
        </w:rPr>
        <w:t>高处风速，</w:t>
      </w:r>
      <w:r w:rsidRPr="00092862">
        <w:rPr>
          <w:rFonts w:ascii="Times New Roman" w:hAnsi="Times New Roman"/>
          <w:bCs/>
          <w:color w:val="000000" w:themeColor="text1"/>
          <w:kern w:val="2"/>
          <w:lang w:eastAsia="zh-CN"/>
        </w:rPr>
        <w:t>m/s</w:t>
      </w:r>
      <w:r w:rsidRPr="00092862">
        <w:rPr>
          <w:rFonts w:ascii="Times New Roman" w:hAnsi="Times New Roman"/>
          <w:bCs/>
          <w:color w:val="000000" w:themeColor="text1"/>
          <w:kern w:val="2"/>
          <w:lang w:eastAsia="zh-CN"/>
        </w:rPr>
        <w:t>。假设风速风向在</w:t>
      </w:r>
      <w:r w:rsidRPr="00092862">
        <w:rPr>
          <w:rFonts w:ascii="Times New Roman" w:hAnsi="Times New Roman"/>
          <w:bCs/>
          <w:i/>
          <w:iCs/>
          <w:color w:val="000000" w:themeColor="text1"/>
          <w:kern w:val="2"/>
          <w:lang w:eastAsia="zh-CN"/>
        </w:rPr>
        <w:t>T</w:t>
      </w:r>
      <w:r w:rsidRPr="00092862">
        <w:rPr>
          <w:rFonts w:ascii="Times New Roman" w:hAnsi="Times New Roman"/>
          <w:bCs/>
          <w:color w:val="000000" w:themeColor="text1"/>
          <w:kern w:val="2"/>
          <w:lang w:eastAsia="zh-CN"/>
        </w:rPr>
        <w:t>时间段内保持不变。本项目最不利气象条件取</w:t>
      </w:r>
      <w:r w:rsidRPr="00092862">
        <w:rPr>
          <w:rFonts w:ascii="Times New Roman" w:hAnsi="Times New Roman"/>
          <w:bCs/>
          <w:color w:val="000000" w:themeColor="text1"/>
          <w:kern w:val="2"/>
          <w:lang w:eastAsia="zh-CN"/>
        </w:rPr>
        <w:t>1.5m/s</w:t>
      </w:r>
      <w:r w:rsidRPr="00092862">
        <w:rPr>
          <w:rFonts w:ascii="Times New Roman" w:hAnsi="Times New Roman"/>
          <w:bCs/>
          <w:color w:val="000000" w:themeColor="text1"/>
          <w:kern w:val="2"/>
          <w:lang w:eastAsia="zh-CN"/>
        </w:rPr>
        <w:t>。</w:t>
      </w:r>
    </w:p>
    <w:p w14:paraId="678D063D"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当</w:t>
      </w:r>
      <w:r w:rsidRPr="00092862">
        <w:rPr>
          <w:rFonts w:ascii="Times New Roman" w:hAnsi="Times New Roman"/>
          <w:bCs/>
          <w:i/>
          <w:iCs/>
          <w:color w:val="000000" w:themeColor="text1"/>
          <w:kern w:val="2"/>
          <w:lang w:eastAsia="zh-CN"/>
        </w:rPr>
        <w:t>T</w:t>
      </w:r>
      <w:r w:rsidRPr="00092862">
        <w:rPr>
          <w:rFonts w:ascii="Times New Roman" w:hAnsi="Times New Roman"/>
          <w:bCs/>
          <w:i/>
          <w:iCs/>
          <w:color w:val="000000" w:themeColor="text1"/>
          <w:kern w:val="2"/>
          <w:vertAlign w:val="subscript"/>
          <w:lang w:eastAsia="zh-CN"/>
        </w:rPr>
        <w:t>d</w:t>
      </w:r>
      <w:r w:rsidRPr="00092862">
        <w:rPr>
          <w:rFonts w:ascii="Times New Roman" w:hAnsi="Times New Roman"/>
          <w:bCs/>
          <w:color w:val="000000" w:themeColor="text1"/>
          <w:kern w:val="2"/>
          <w:lang w:eastAsia="zh-CN"/>
        </w:rPr>
        <w:t>＞</w:t>
      </w:r>
      <w:r w:rsidRPr="00092862">
        <w:rPr>
          <w:rFonts w:ascii="Times New Roman" w:hAnsi="Times New Roman"/>
          <w:bCs/>
          <w:i/>
          <w:iCs/>
          <w:color w:val="000000" w:themeColor="text1"/>
          <w:kern w:val="2"/>
          <w:lang w:eastAsia="zh-CN"/>
        </w:rPr>
        <w:t>T</w:t>
      </w:r>
      <w:r w:rsidRPr="00092862">
        <w:rPr>
          <w:rFonts w:ascii="Times New Roman" w:hAnsi="Times New Roman"/>
          <w:bCs/>
          <w:color w:val="000000" w:themeColor="text1"/>
          <w:kern w:val="2"/>
          <w:lang w:eastAsia="zh-CN"/>
        </w:rPr>
        <w:t>时，可被认为是连续排放的；当</w:t>
      </w:r>
      <w:r w:rsidRPr="00092862">
        <w:rPr>
          <w:rFonts w:ascii="Times New Roman" w:hAnsi="Times New Roman"/>
          <w:bCs/>
          <w:i/>
          <w:iCs/>
          <w:color w:val="000000" w:themeColor="text1"/>
          <w:kern w:val="2"/>
          <w:lang w:eastAsia="zh-CN"/>
        </w:rPr>
        <w:t>T</w:t>
      </w:r>
      <w:r w:rsidRPr="00092862">
        <w:rPr>
          <w:rFonts w:ascii="Times New Roman" w:hAnsi="Times New Roman"/>
          <w:bCs/>
          <w:i/>
          <w:iCs/>
          <w:color w:val="000000" w:themeColor="text1"/>
          <w:kern w:val="2"/>
          <w:vertAlign w:val="subscript"/>
          <w:lang w:eastAsia="zh-CN"/>
        </w:rPr>
        <w:t>d</w:t>
      </w:r>
      <w:r w:rsidRPr="00092862">
        <w:rPr>
          <w:rFonts w:ascii="Times New Roman" w:hAnsi="Times New Roman"/>
          <w:bCs/>
          <w:color w:val="000000" w:themeColor="text1"/>
          <w:kern w:val="2"/>
          <w:lang w:eastAsia="zh-CN"/>
        </w:rPr>
        <w:t>≤</w:t>
      </w:r>
      <w:r w:rsidRPr="00092862">
        <w:rPr>
          <w:rFonts w:ascii="Times New Roman" w:hAnsi="Times New Roman"/>
          <w:bCs/>
          <w:i/>
          <w:iCs/>
          <w:color w:val="000000" w:themeColor="text1"/>
          <w:kern w:val="2"/>
          <w:lang w:eastAsia="zh-CN"/>
        </w:rPr>
        <w:t>T</w:t>
      </w:r>
      <w:r w:rsidRPr="00092862">
        <w:rPr>
          <w:rFonts w:ascii="Times New Roman" w:hAnsi="Times New Roman"/>
          <w:bCs/>
          <w:color w:val="000000" w:themeColor="text1"/>
          <w:kern w:val="2"/>
          <w:lang w:eastAsia="zh-CN"/>
        </w:rPr>
        <w:t>时，可被认为是瞬时排放的。</w:t>
      </w:r>
    </w:p>
    <w:p w14:paraId="28354CE5" w14:textId="1504C1C6"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经计算可得</w:t>
      </w:r>
      <w:r w:rsidRPr="00092862">
        <w:rPr>
          <w:rFonts w:ascii="Times New Roman" w:hAnsi="Times New Roman"/>
          <w:bCs/>
          <w:i/>
          <w:iCs/>
          <w:color w:val="000000" w:themeColor="text1"/>
          <w:kern w:val="2"/>
          <w:lang w:eastAsia="zh-CN"/>
        </w:rPr>
        <w:t>T</w:t>
      </w:r>
      <w:r w:rsidRPr="00092862">
        <w:rPr>
          <w:rFonts w:ascii="Times New Roman" w:hAnsi="Times New Roman"/>
          <w:bCs/>
          <w:color w:val="000000" w:themeColor="text1"/>
          <w:kern w:val="2"/>
          <w:lang w:eastAsia="zh-CN"/>
        </w:rPr>
        <w:t>=</w:t>
      </w:r>
      <w:r w:rsidR="00D718EE" w:rsidRPr="00092862">
        <w:rPr>
          <w:rFonts w:ascii="Times New Roman" w:hAnsi="Times New Roman"/>
          <w:bCs/>
          <w:color w:val="000000" w:themeColor="text1"/>
          <w:kern w:val="2"/>
          <w:lang w:eastAsia="zh-CN"/>
        </w:rPr>
        <w:t>416</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（最不利气象条件）；</w:t>
      </w:r>
    </w:p>
    <w:p w14:paraId="1FD3B4E6"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井喷事故产生的</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时间为</w:t>
      </w:r>
      <w:r w:rsidRPr="00092862">
        <w:rPr>
          <w:rFonts w:ascii="Times New Roman" w:hAnsi="Times New Roman"/>
          <w:bCs/>
          <w:color w:val="000000" w:themeColor="text1"/>
          <w:kern w:val="2"/>
          <w:lang w:eastAsia="zh-CN"/>
        </w:rPr>
        <w:t>900s</w:t>
      </w:r>
      <w:r w:rsidRPr="00092862">
        <w:rPr>
          <w:rFonts w:ascii="Times New Roman" w:hAnsi="Times New Roman"/>
          <w:bCs/>
          <w:color w:val="000000" w:themeColor="text1"/>
          <w:kern w:val="2"/>
          <w:lang w:eastAsia="zh-CN"/>
        </w:rPr>
        <w:t>，为连续排放；</w:t>
      </w:r>
    </w:p>
    <w:p w14:paraId="17CFAEE1"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井喷事故产生的</w:t>
      </w:r>
      <w:r w:rsidRPr="00092862">
        <w:rPr>
          <w:rFonts w:ascii="Times New Roman" w:hAnsi="Times New Roman"/>
          <w:bCs/>
          <w:color w:val="000000" w:themeColor="text1"/>
          <w:kern w:val="2"/>
          <w:lang w:eastAsia="zh-CN"/>
        </w:rPr>
        <w:t>CH</w:t>
      </w:r>
      <w:r w:rsidRPr="00092862">
        <w:rPr>
          <w:rFonts w:ascii="Times New Roman" w:hAnsi="Times New Roman"/>
          <w:bCs/>
          <w:color w:val="000000" w:themeColor="text1"/>
          <w:kern w:val="2"/>
          <w:vertAlign w:val="subscript"/>
          <w:lang w:eastAsia="zh-CN"/>
        </w:rPr>
        <w:t>4</w:t>
      </w:r>
      <w:r w:rsidRPr="00092862">
        <w:rPr>
          <w:rFonts w:ascii="Times New Roman" w:hAnsi="Times New Roman"/>
          <w:bCs/>
          <w:color w:val="000000" w:themeColor="text1"/>
          <w:kern w:val="2"/>
          <w:lang w:eastAsia="zh-CN"/>
        </w:rPr>
        <w:t>时间为</w:t>
      </w:r>
      <w:r w:rsidRPr="00092862">
        <w:rPr>
          <w:rFonts w:ascii="Times New Roman" w:hAnsi="Times New Roman"/>
          <w:bCs/>
          <w:color w:val="000000" w:themeColor="text1"/>
          <w:kern w:val="2"/>
          <w:lang w:eastAsia="zh-CN"/>
        </w:rPr>
        <w:t>900s</w:t>
      </w:r>
      <w:r w:rsidRPr="00092862">
        <w:rPr>
          <w:rFonts w:ascii="Times New Roman" w:hAnsi="Times New Roman"/>
          <w:bCs/>
          <w:color w:val="000000" w:themeColor="text1"/>
          <w:kern w:val="2"/>
          <w:lang w:eastAsia="zh-CN"/>
        </w:rPr>
        <w:t>，为连续排放；</w:t>
      </w:r>
    </w:p>
    <w:p w14:paraId="1574A09E" w14:textId="77777777" w:rsidR="00450025" w:rsidRPr="00092862" w:rsidRDefault="00450025" w:rsidP="00450025">
      <w:pPr>
        <w:pStyle w:val="ac"/>
        <w:spacing w:before="0" w:line="360" w:lineRule="auto"/>
        <w:ind w:left="0" w:firstLineChars="200" w:firstLine="480"/>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井喷事故硫化氢和甲烷烟团初始密度未大于空气密度，不计算理查德森数。扩散计算建议采用</w:t>
      </w:r>
      <w:r w:rsidRPr="00092862">
        <w:rPr>
          <w:rFonts w:ascii="Times New Roman" w:hAnsi="Times New Roman"/>
          <w:bCs/>
          <w:color w:val="000000" w:themeColor="text1"/>
          <w:kern w:val="2"/>
          <w:lang w:eastAsia="zh-CN"/>
        </w:rPr>
        <w:t>AFTOX</w:t>
      </w:r>
      <w:r w:rsidRPr="00092862">
        <w:rPr>
          <w:rFonts w:ascii="Times New Roman" w:hAnsi="Times New Roman"/>
          <w:bCs/>
          <w:color w:val="000000" w:themeColor="text1"/>
          <w:kern w:val="2"/>
          <w:lang w:eastAsia="zh-CN"/>
        </w:rPr>
        <w:t>模式。</w:t>
      </w:r>
    </w:p>
    <w:p w14:paraId="36428DB0"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）预测范围与预测点</w:t>
      </w:r>
    </w:p>
    <w:p w14:paraId="32426CEF"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本次评价预测范围为井喷井口为中心，外围</w:t>
      </w:r>
      <w:r w:rsidRPr="00092862">
        <w:rPr>
          <w:rFonts w:ascii="Times New Roman" w:hAnsi="Times New Roman"/>
          <w:bCs/>
          <w:color w:val="000000" w:themeColor="text1"/>
          <w:kern w:val="2"/>
          <w:lang w:eastAsia="zh-CN"/>
        </w:rPr>
        <w:t>5000m</w:t>
      </w:r>
      <w:r w:rsidRPr="00092862">
        <w:rPr>
          <w:rFonts w:ascii="Times New Roman" w:hAnsi="Times New Roman"/>
          <w:bCs/>
          <w:color w:val="000000" w:themeColor="text1"/>
          <w:kern w:val="2"/>
          <w:lang w:eastAsia="zh-CN"/>
        </w:rPr>
        <w:t>。预测点包括一般计算点和关心点，一般计算点为本项目下风向，其下风向距离风险源间距为</w:t>
      </w:r>
      <w:r w:rsidRPr="00092862">
        <w:rPr>
          <w:rFonts w:ascii="Times New Roman" w:hAnsi="Times New Roman"/>
          <w:bCs/>
          <w:color w:val="000000" w:themeColor="text1"/>
          <w:kern w:val="2"/>
          <w:lang w:eastAsia="zh-CN"/>
        </w:rPr>
        <w:t>50m</w:t>
      </w:r>
      <w:r w:rsidRPr="00092862">
        <w:rPr>
          <w:rFonts w:ascii="Times New Roman" w:hAnsi="Times New Roman"/>
          <w:bCs/>
          <w:color w:val="000000" w:themeColor="text1"/>
          <w:kern w:val="2"/>
          <w:lang w:eastAsia="zh-CN"/>
        </w:rPr>
        <w:t>；关心点主要统计了项目</w:t>
      </w:r>
      <w:r w:rsidRPr="00092862">
        <w:rPr>
          <w:rFonts w:ascii="Times New Roman" w:hAnsi="Times New Roman"/>
          <w:bCs/>
          <w:color w:val="000000" w:themeColor="text1"/>
          <w:kern w:val="2"/>
          <w:lang w:eastAsia="zh-CN"/>
        </w:rPr>
        <w:t>5000m</w:t>
      </w:r>
      <w:r w:rsidRPr="00092862">
        <w:rPr>
          <w:rFonts w:ascii="Times New Roman" w:hAnsi="Times New Roman"/>
          <w:bCs/>
          <w:color w:val="000000" w:themeColor="text1"/>
          <w:kern w:val="2"/>
          <w:lang w:eastAsia="zh-CN"/>
        </w:rPr>
        <w:t>范围内的敏感点，敏感点坐标如下，以井口为坐标原点。</w:t>
      </w:r>
    </w:p>
    <w:p w14:paraId="3959D80E" w14:textId="68FD1CEE"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6.4</w:t>
      </w:r>
      <w:r w:rsidRPr="00092862">
        <w:rPr>
          <w:rFonts w:ascii="Times New Roman" w:eastAsia="黑体" w:hAnsi="Times New Roman"/>
          <w:color w:val="000000" w:themeColor="text1"/>
          <w:sz w:val="21"/>
          <w:szCs w:val="21"/>
          <w:lang w:eastAsia="zh-CN"/>
        </w:rPr>
        <w:t>-</w:t>
      </w:r>
      <w:r w:rsidR="00704F23" w:rsidRPr="00092862">
        <w:rPr>
          <w:rFonts w:ascii="Times New Roman" w:eastAsia="黑体" w:hAnsi="Times New Roman"/>
          <w:color w:val="000000" w:themeColor="text1"/>
          <w:sz w:val="21"/>
          <w:szCs w:val="21"/>
          <w:lang w:eastAsia="zh-CN"/>
        </w:rPr>
        <w:t>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大气风险预测敏感点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8"/>
        <w:gridCol w:w="1866"/>
        <w:gridCol w:w="1866"/>
        <w:gridCol w:w="1866"/>
        <w:gridCol w:w="1001"/>
        <w:gridCol w:w="863"/>
      </w:tblGrid>
      <w:tr w:rsidR="00697429" w:rsidRPr="00092862" w14:paraId="46A261A2" w14:textId="77777777" w:rsidTr="00C54C73">
        <w:trPr>
          <w:jc w:val="center"/>
        </w:trPr>
        <w:tc>
          <w:tcPr>
            <w:tcW w:w="1629" w:type="pct"/>
            <w:gridSpan w:val="2"/>
            <w:vMerge w:val="restart"/>
            <w:shd w:val="clear" w:color="auto" w:fill="auto"/>
            <w:vAlign w:val="center"/>
          </w:tcPr>
          <w:p w14:paraId="46C252A6" w14:textId="77777777" w:rsidR="00450025" w:rsidRPr="00092862" w:rsidRDefault="00450025" w:rsidP="00C54C73">
            <w:pPr>
              <w:pStyle w:val="afffff8"/>
              <w:adjustRightInd w:val="0"/>
              <w:snapToGrid w:val="0"/>
              <w:rPr>
                <w:color w:val="000000" w:themeColor="text1"/>
              </w:rPr>
            </w:pPr>
            <w:r w:rsidRPr="00092862">
              <w:rPr>
                <w:color w:val="000000" w:themeColor="text1"/>
              </w:rPr>
              <w:t>敏感点</w:t>
            </w:r>
          </w:p>
        </w:tc>
        <w:tc>
          <w:tcPr>
            <w:tcW w:w="1124" w:type="pct"/>
            <w:vMerge w:val="restart"/>
            <w:vAlign w:val="center"/>
          </w:tcPr>
          <w:p w14:paraId="27E981AC" w14:textId="77777777" w:rsidR="00450025" w:rsidRPr="00092862" w:rsidRDefault="00450025" w:rsidP="00C54C73">
            <w:pPr>
              <w:pStyle w:val="afffff8"/>
              <w:adjustRightInd w:val="0"/>
              <w:snapToGrid w:val="0"/>
              <w:rPr>
                <w:color w:val="000000" w:themeColor="text1"/>
              </w:rPr>
            </w:pPr>
            <w:r w:rsidRPr="00092862">
              <w:rPr>
                <w:color w:val="000000" w:themeColor="text1"/>
              </w:rPr>
              <w:t>规模</w:t>
            </w:r>
          </w:p>
        </w:tc>
        <w:tc>
          <w:tcPr>
            <w:tcW w:w="1124" w:type="pct"/>
            <w:vMerge w:val="restart"/>
            <w:vAlign w:val="center"/>
          </w:tcPr>
          <w:p w14:paraId="44207562" w14:textId="77777777" w:rsidR="00450025" w:rsidRPr="00092862" w:rsidRDefault="00450025" w:rsidP="00C54C73">
            <w:pPr>
              <w:pStyle w:val="afffff8"/>
              <w:adjustRightInd w:val="0"/>
              <w:snapToGrid w:val="0"/>
              <w:rPr>
                <w:color w:val="000000" w:themeColor="text1"/>
              </w:rPr>
            </w:pPr>
            <w:r w:rsidRPr="00092862">
              <w:rPr>
                <w:color w:val="000000" w:themeColor="text1"/>
              </w:rPr>
              <w:t>距离</w:t>
            </w:r>
          </w:p>
        </w:tc>
        <w:tc>
          <w:tcPr>
            <w:tcW w:w="1123" w:type="pct"/>
            <w:gridSpan w:val="2"/>
            <w:shd w:val="clear" w:color="auto" w:fill="auto"/>
            <w:vAlign w:val="center"/>
          </w:tcPr>
          <w:p w14:paraId="2C43F889" w14:textId="77777777" w:rsidR="00450025" w:rsidRPr="00092862" w:rsidRDefault="00450025" w:rsidP="00C54C73">
            <w:pPr>
              <w:pStyle w:val="afffff8"/>
              <w:adjustRightInd w:val="0"/>
              <w:snapToGrid w:val="0"/>
              <w:rPr>
                <w:color w:val="000000" w:themeColor="text1"/>
              </w:rPr>
            </w:pPr>
            <w:r w:rsidRPr="00092862">
              <w:rPr>
                <w:color w:val="000000" w:themeColor="text1"/>
              </w:rPr>
              <w:t>相对坐标</w:t>
            </w:r>
          </w:p>
        </w:tc>
      </w:tr>
      <w:tr w:rsidR="00697429" w:rsidRPr="00092862" w14:paraId="389B770F" w14:textId="77777777" w:rsidTr="00C54C73">
        <w:trPr>
          <w:jc w:val="center"/>
        </w:trPr>
        <w:tc>
          <w:tcPr>
            <w:tcW w:w="1629" w:type="pct"/>
            <w:gridSpan w:val="2"/>
            <w:vMerge/>
            <w:shd w:val="clear" w:color="auto" w:fill="auto"/>
            <w:vAlign w:val="center"/>
          </w:tcPr>
          <w:p w14:paraId="5E8850BA" w14:textId="77777777" w:rsidR="00450025" w:rsidRPr="00092862" w:rsidRDefault="00450025" w:rsidP="00C54C73">
            <w:pPr>
              <w:pStyle w:val="afffff8"/>
              <w:adjustRightInd w:val="0"/>
              <w:snapToGrid w:val="0"/>
              <w:rPr>
                <w:color w:val="000000" w:themeColor="text1"/>
              </w:rPr>
            </w:pPr>
          </w:p>
        </w:tc>
        <w:tc>
          <w:tcPr>
            <w:tcW w:w="1124" w:type="pct"/>
            <w:vMerge/>
            <w:vAlign w:val="center"/>
          </w:tcPr>
          <w:p w14:paraId="2E8DD759" w14:textId="77777777" w:rsidR="00450025" w:rsidRPr="00092862" w:rsidRDefault="00450025" w:rsidP="00C54C73">
            <w:pPr>
              <w:pStyle w:val="afffff8"/>
              <w:adjustRightInd w:val="0"/>
              <w:snapToGrid w:val="0"/>
              <w:rPr>
                <w:color w:val="000000" w:themeColor="text1"/>
              </w:rPr>
            </w:pPr>
          </w:p>
        </w:tc>
        <w:tc>
          <w:tcPr>
            <w:tcW w:w="1124" w:type="pct"/>
            <w:vMerge/>
            <w:vAlign w:val="center"/>
          </w:tcPr>
          <w:p w14:paraId="128B3AC4" w14:textId="77777777" w:rsidR="00450025" w:rsidRPr="00092862" w:rsidRDefault="00450025" w:rsidP="00C54C73">
            <w:pPr>
              <w:pStyle w:val="afffff8"/>
              <w:adjustRightInd w:val="0"/>
              <w:snapToGrid w:val="0"/>
              <w:rPr>
                <w:color w:val="000000" w:themeColor="text1"/>
              </w:rPr>
            </w:pPr>
          </w:p>
        </w:tc>
        <w:tc>
          <w:tcPr>
            <w:tcW w:w="603" w:type="pct"/>
            <w:shd w:val="clear" w:color="auto" w:fill="auto"/>
            <w:vAlign w:val="center"/>
          </w:tcPr>
          <w:p w14:paraId="025A24FC" w14:textId="77777777" w:rsidR="00450025" w:rsidRPr="00092862" w:rsidRDefault="00450025" w:rsidP="00C54C73">
            <w:pPr>
              <w:pStyle w:val="afffff8"/>
              <w:adjustRightInd w:val="0"/>
              <w:snapToGrid w:val="0"/>
              <w:rPr>
                <w:color w:val="000000" w:themeColor="text1"/>
              </w:rPr>
            </w:pPr>
            <w:r w:rsidRPr="00092862">
              <w:rPr>
                <w:color w:val="000000" w:themeColor="text1"/>
              </w:rPr>
              <w:t>X</w:t>
            </w:r>
          </w:p>
        </w:tc>
        <w:tc>
          <w:tcPr>
            <w:tcW w:w="520" w:type="pct"/>
            <w:vAlign w:val="center"/>
          </w:tcPr>
          <w:p w14:paraId="5749785D" w14:textId="77777777" w:rsidR="00450025" w:rsidRPr="00092862" w:rsidRDefault="00450025" w:rsidP="00C54C73">
            <w:pPr>
              <w:pStyle w:val="afffff8"/>
              <w:adjustRightInd w:val="0"/>
              <w:snapToGrid w:val="0"/>
              <w:rPr>
                <w:color w:val="000000" w:themeColor="text1"/>
              </w:rPr>
            </w:pPr>
            <w:r w:rsidRPr="00092862">
              <w:rPr>
                <w:color w:val="000000" w:themeColor="text1"/>
              </w:rPr>
              <w:t>Y</w:t>
            </w:r>
          </w:p>
        </w:tc>
      </w:tr>
      <w:tr w:rsidR="00697429" w:rsidRPr="00092862" w14:paraId="57352EF5" w14:textId="77777777" w:rsidTr="00C54C73">
        <w:trPr>
          <w:jc w:val="center"/>
        </w:trPr>
        <w:tc>
          <w:tcPr>
            <w:tcW w:w="505" w:type="pct"/>
            <w:shd w:val="clear" w:color="auto" w:fill="auto"/>
            <w:vAlign w:val="center"/>
          </w:tcPr>
          <w:p w14:paraId="3F333AD0" w14:textId="77777777" w:rsidR="00450025" w:rsidRPr="00092862" w:rsidRDefault="00450025" w:rsidP="00C54C73">
            <w:pPr>
              <w:pStyle w:val="afffff8"/>
              <w:adjustRightInd w:val="0"/>
              <w:snapToGrid w:val="0"/>
              <w:rPr>
                <w:color w:val="000000" w:themeColor="text1"/>
              </w:rPr>
            </w:pPr>
            <w:r w:rsidRPr="00092862">
              <w:rPr>
                <w:color w:val="000000" w:themeColor="text1"/>
              </w:rPr>
              <w:t>1#</w:t>
            </w:r>
            <w:r w:rsidRPr="00092862">
              <w:rPr>
                <w:color w:val="000000" w:themeColor="text1"/>
              </w:rPr>
              <w:t>敏感点</w:t>
            </w:r>
          </w:p>
        </w:tc>
        <w:tc>
          <w:tcPr>
            <w:tcW w:w="1124" w:type="pct"/>
            <w:vAlign w:val="center"/>
          </w:tcPr>
          <w:p w14:paraId="2B641887" w14:textId="507ACD26" w:rsidR="00450025" w:rsidRPr="00092862" w:rsidRDefault="00641753" w:rsidP="00C54C73">
            <w:pPr>
              <w:pStyle w:val="afffff8"/>
              <w:adjustRightInd w:val="0"/>
              <w:snapToGrid w:val="0"/>
              <w:rPr>
                <w:color w:val="000000" w:themeColor="text1"/>
              </w:rPr>
            </w:pPr>
            <w:r w:rsidRPr="00092862">
              <w:rPr>
                <w:color w:val="000000" w:themeColor="text1"/>
              </w:rPr>
              <w:t>古楼</w:t>
            </w:r>
            <w:r w:rsidR="00450025" w:rsidRPr="00092862">
              <w:rPr>
                <w:color w:val="000000" w:themeColor="text1"/>
              </w:rPr>
              <w:t>村村民点</w:t>
            </w:r>
          </w:p>
        </w:tc>
        <w:tc>
          <w:tcPr>
            <w:tcW w:w="1124" w:type="pct"/>
            <w:vAlign w:val="center"/>
          </w:tcPr>
          <w:p w14:paraId="3A0DBA27" w14:textId="680F9335" w:rsidR="00450025" w:rsidRPr="00092862" w:rsidRDefault="00450025" w:rsidP="00C54C73">
            <w:pPr>
              <w:pStyle w:val="afffff8"/>
              <w:adjustRightInd w:val="0"/>
              <w:snapToGrid w:val="0"/>
              <w:rPr>
                <w:color w:val="000000" w:themeColor="text1"/>
              </w:rPr>
            </w:pPr>
            <w:r w:rsidRPr="00092862">
              <w:rPr>
                <w:color w:val="000000" w:themeColor="text1"/>
              </w:rPr>
              <w:t>约</w:t>
            </w:r>
            <w:r w:rsidR="00641753" w:rsidRPr="00092862">
              <w:rPr>
                <w:color w:val="000000" w:themeColor="text1"/>
              </w:rPr>
              <w:t>12</w:t>
            </w:r>
            <w:r w:rsidRPr="00092862">
              <w:rPr>
                <w:color w:val="000000" w:themeColor="text1"/>
              </w:rPr>
              <w:t>户</w:t>
            </w:r>
            <w:r w:rsidR="00641753" w:rsidRPr="00092862">
              <w:rPr>
                <w:color w:val="000000" w:themeColor="text1"/>
              </w:rPr>
              <w:t>48</w:t>
            </w:r>
            <w:r w:rsidRPr="00092862">
              <w:rPr>
                <w:color w:val="000000" w:themeColor="text1"/>
              </w:rPr>
              <w:t>人</w:t>
            </w:r>
          </w:p>
        </w:tc>
        <w:tc>
          <w:tcPr>
            <w:tcW w:w="1124" w:type="pct"/>
            <w:vAlign w:val="center"/>
          </w:tcPr>
          <w:p w14:paraId="3BAB2C1B" w14:textId="4C670BCA" w:rsidR="00450025" w:rsidRPr="00092862" w:rsidRDefault="00450025" w:rsidP="00C54C73">
            <w:pPr>
              <w:pStyle w:val="afffff8"/>
              <w:adjustRightInd w:val="0"/>
              <w:snapToGrid w:val="0"/>
              <w:rPr>
                <w:color w:val="000000" w:themeColor="text1"/>
              </w:rPr>
            </w:pPr>
            <w:r w:rsidRPr="00092862">
              <w:rPr>
                <w:color w:val="000000" w:themeColor="text1"/>
              </w:rPr>
              <w:t>井口</w:t>
            </w:r>
            <w:r w:rsidR="00641753" w:rsidRPr="00092862">
              <w:rPr>
                <w:color w:val="000000" w:themeColor="text1"/>
              </w:rPr>
              <w:t>西</w:t>
            </w:r>
            <w:r w:rsidRPr="00092862">
              <w:rPr>
                <w:color w:val="000000" w:themeColor="text1"/>
              </w:rPr>
              <w:t>侧约</w:t>
            </w:r>
            <w:r w:rsidR="005A569E" w:rsidRPr="00092862">
              <w:rPr>
                <w:color w:val="000000" w:themeColor="text1"/>
              </w:rPr>
              <w:t>312</w:t>
            </w:r>
            <w:r w:rsidR="00641753" w:rsidRPr="00092862">
              <w:rPr>
                <w:color w:val="000000" w:themeColor="text1"/>
              </w:rPr>
              <w:t>~1040</w:t>
            </w:r>
            <w:r w:rsidRPr="00092862">
              <w:rPr>
                <w:color w:val="000000" w:themeColor="text1"/>
              </w:rPr>
              <w:t>m</w:t>
            </w:r>
          </w:p>
        </w:tc>
        <w:tc>
          <w:tcPr>
            <w:tcW w:w="603" w:type="pct"/>
            <w:shd w:val="clear" w:color="auto" w:fill="auto"/>
            <w:vAlign w:val="center"/>
          </w:tcPr>
          <w:p w14:paraId="30C7DBA8" w14:textId="116CE259" w:rsidR="00450025" w:rsidRPr="00092862" w:rsidRDefault="00641753" w:rsidP="00C54C73">
            <w:pPr>
              <w:pStyle w:val="afffff8"/>
              <w:adjustRightInd w:val="0"/>
              <w:snapToGrid w:val="0"/>
              <w:rPr>
                <w:color w:val="000000" w:themeColor="text1"/>
              </w:rPr>
            </w:pPr>
            <w:r w:rsidRPr="00092862">
              <w:rPr>
                <w:color w:val="000000" w:themeColor="text1"/>
              </w:rPr>
              <w:t>-</w:t>
            </w:r>
            <w:r w:rsidR="005A569E" w:rsidRPr="00092862">
              <w:rPr>
                <w:color w:val="000000" w:themeColor="text1"/>
              </w:rPr>
              <w:t>312</w:t>
            </w:r>
          </w:p>
        </w:tc>
        <w:tc>
          <w:tcPr>
            <w:tcW w:w="520" w:type="pct"/>
            <w:vAlign w:val="center"/>
          </w:tcPr>
          <w:p w14:paraId="7E427952" w14:textId="45686CFB" w:rsidR="00450025" w:rsidRPr="00092862" w:rsidRDefault="00641753" w:rsidP="00C54C73">
            <w:pPr>
              <w:pStyle w:val="afffff8"/>
              <w:adjustRightInd w:val="0"/>
              <w:snapToGrid w:val="0"/>
              <w:rPr>
                <w:color w:val="000000" w:themeColor="text1"/>
              </w:rPr>
            </w:pPr>
            <w:r w:rsidRPr="00092862">
              <w:rPr>
                <w:color w:val="000000" w:themeColor="text1"/>
              </w:rPr>
              <w:t>0</w:t>
            </w:r>
          </w:p>
        </w:tc>
      </w:tr>
      <w:tr w:rsidR="00697429" w:rsidRPr="00092862" w14:paraId="58B8ECDA" w14:textId="77777777" w:rsidTr="00C54C73">
        <w:trPr>
          <w:jc w:val="center"/>
        </w:trPr>
        <w:tc>
          <w:tcPr>
            <w:tcW w:w="505" w:type="pct"/>
            <w:shd w:val="clear" w:color="auto" w:fill="auto"/>
            <w:vAlign w:val="center"/>
          </w:tcPr>
          <w:p w14:paraId="2E5743B3" w14:textId="77777777" w:rsidR="00450025" w:rsidRPr="00092862" w:rsidRDefault="00450025" w:rsidP="00C54C73">
            <w:pPr>
              <w:pStyle w:val="afffff8"/>
              <w:adjustRightInd w:val="0"/>
              <w:snapToGrid w:val="0"/>
              <w:rPr>
                <w:color w:val="000000" w:themeColor="text1"/>
              </w:rPr>
            </w:pPr>
            <w:r w:rsidRPr="00092862">
              <w:rPr>
                <w:color w:val="000000" w:themeColor="text1"/>
              </w:rPr>
              <w:t>2#</w:t>
            </w:r>
            <w:r w:rsidRPr="00092862">
              <w:rPr>
                <w:color w:val="000000" w:themeColor="text1"/>
              </w:rPr>
              <w:t>敏感点</w:t>
            </w:r>
          </w:p>
        </w:tc>
        <w:tc>
          <w:tcPr>
            <w:tcW w:w="1124" w:type="pct"/>
            <w:vAlign w:val="center"/>
          </w:tcPr>
          <w:p w14:paraId="64CCE392" w14:textId="5F440B85" w:rsidR="00450025" w:rsidRPr="00092862" w:rsidRDefault="00641753" w:rsidP="00C54C73">
            <w:pPr>
              <w:pStyle w:val="afffff8"/>
              <w:adjustRightInd w:val="0"/>
              <w:snapToGrid w:val="0"/>
              <w:rPr>
                <w:color w:val="000000" w:themeColor="text1"/>
              </w:rPr>
            </w:pPr>
            <w:r w:rsidRPr="00092862">
              <w:rPr>
                <w:color w:val="000000" w:themeColor="text1"/>
              </w:rPr>
              <w:t>古楼村</w:t>
            </w:r>
            <w:r w:rsidR="00450025" w:rsidRPr="00092862">
              <w:rPr>
                <w:color w:val="000000" w:themeColor="text1"/>
              </w:rPr>
              <w:t>村民点</w:t>
            </w:r>
          </w:p>
        </w:tc>
        <w:tc>
          <w:tcPr>
            <w:tcW w:w="1124" w:type="pct"/>
            <w:vAlign w:val="center"/>
          </w:tcPr>
          <w:p w14:paraId="23434510" w14:textId="781066B6" w:rsidR="00450025" w:rsidRPr="00092862" w:rsidRDefault="00450025" w:rsidP="00C54C73">
            <w:pPr>
              <w:pStyle w:val="afffff8"/>
              <w:adjustRightInd w:val="0"/>
              <w:snapToGrid w:val="0"/>
              <w:rPr>
                <w:color w:val="000000" w:themeColor="text1"/>
              </w:rPr>
            </w:pPr>
            <w:r w:rsidRPr="00092862">
              <w:rPr>
                <w:color w:val="000000" w:themeColor="text1"/>
              </w:rPr>
              <w:t>约</w:t>
            </w:r>
            <w:r w:rsidR="00641753" w:rsidRPr="00092862">
              <w:rPr>
                <w:color w:val="000000" w:themeColor="text1"/>
              </w:rPr>
              <w:t>385</w:t>
            </w:r>
            <w:r w:rsidRPr="00092862">
              <w:rPr>
                <w:color w:val="000000" w:themeColor="text1"/>
              </w:rPr>
              <w:t>户</w:t>
            </w:r>
            <w:r w:rsidR="00641753" w:rsidRPr="00092862">
              <w:rPr>
                <w:color w:val="000000" w:themeColor="text1"/>
              </w:rPr>
              <w:t>1840</w:t>
            </w:r>
            <w:r w:rsidRPr="00092862">
              <w:rPr>
                <w:color w:val="000000" w:themeColor="text1"/>
              </w:rPr>
              <w:t>人</w:t>
            </w:r>
          </w:p>
        </w:tc>
        <w:tc>
          <w:tcPr>
            <w:tcW w:w="1124" w:type="pct"/>
            <w:vAlign w:val="center"/>
          </w:tcPr>
          <w:p w14:paraId="66BD354D" w14:textId="7FF68E9B" w:rsidR="00450025" w:rsidRPr="00092862" w:rsidRDefault="00450025" w:rsidP="00C54C73">
            <w:pPr>
              <w:pStyle w:val="afffff8"/>
              <w:adjustRightInd w:val="0"/>
              <w:snapToGrid w:val="0"/>
              <w:rPr>
                <w:color w:val="000000" w:themeColor="text1"/>
              </w:rPr>
            </w:pPr>
            <w:r w:rsidRPr="00092862">
              <w:rPr>
                <w:color w:val="000000" w:themeColor="text1"/>
              </w:rPr>
              <w:t>井口东北侧约</w:t>
            </w:r>
            <w:r w:rsidR="00641753" w:rsidRPr="00092862">
              <w:rPr>
                <w:color w:val="000000" w:themeColor="text1"/>
              </w:rPr>
              <w:t>776~5000</w:t>
            </w:r>
            <w:r w:rsidRPr="00092862">
              <w:rPr>
                <w:color w:val="000000" w:themeColor="text1"/>
              </w:rPr>
              <w:t>m</w:t>
            </w:r>
          </w:p>
        </w:tc>
        <w:tc>
          <w:tcPr>
            <w:tcW w:w="603" w:type="pct"/>
            <w:shd w:val="clear" w:color="auto" w:fill="auto"/>
            <w:vAlign w:val="center"/>
          </w:tcPr>
          <w:p w14:paraId="03B2B78C" w14:textId="11A01646" w:rsidR="00450025" w:rsidRPr="00092862" w:rsidRDefault="00641753" w:rsidP="00C54C73">
            <w:pPr>
              <w:pStyle w:val="afffff8"/>
              <w:adjustRightInd w:val="0"/>
              <w:snapToGrid w:val="0"/>
              <w:rPr>
                <w:color w:val="000000" w:themeColor="text1"/>
              </w:rPr>
            </w:pPr>
            <w:r w:rsidRPr="00092862">
              <w:rPr>
                <w:color w:val="000000" w:themeColor="text1"/>
              </w:rPr>
              <w:t>331</w:t>
            </w:r>
          </w:p>
        </w:tc>
        <w:tc>
          <w:tcPr>
            <w:tcW w:w="520" w:type="pct"/>
            <w:vAlign w:val="center"/>
          </w:tcPr>
          <w:p w14:paraId="7A3830E6" w14:textId="66DC001F" w:rsidR="00450025" w:rsidRPr="00092862" w:rsidRDefault="00641753" w:rsidP="00C54C73">
            <w:pPr>
              <w:pStyle w:val="afffff8"/>
              <w:adjustRightInd w:val="0"/>
              <w:snapToGrid w:val="0"/>
              <w:rPr>
                <w:color w:val="000000" w:themeColor="text1"/>
              </w:rPr>
            </w:pPr>
            <w:r w:rsidRPr="00092862">
              <w:rPr>
                <w:color w:val="000000" w:themeColor="text1"/>
              </w:rPr>
              <w:t>668</w:t>
            </w:r>
          </w:p>
        </w:tc>
      </w:tr>
      <w:tr w:rsidR="00697429" w:rsidRPr="00092862" w14:paraId="653A7068" w14:textId="77777777" w:rsidTr="00C54C73">
        <w:trPr>
          <w:jc w:val="center"/>
        </w:trPr>
        <w:tc>
          <w:tcPr>
            <w:tcW w:w="505" w:type="pct"/>
            <w:shd w:val="clear" w:color="auto" w:fill="auto"/>
            <w:vAlign w:val="center"/>
          </w:tcPr>
          <w:p w14:paraId="4963466E" w14:textId="77777777" w:rsidR="00450025" w:rsidRPr="00092862" w:rsidRDefault="00450025" w:rsidP="00C54C73">
            <w:pPr>
              <w:pStyle w:val="afffff8"/>
              <w:adjustRightInd w:val="0"/>
              <w:snapToGrid w:val="0"/>
              <w:rPr>
                <w:color w:val="000000" w:themeColor="text1"/>
              </w:rPr>
            </w:pPr>
            <w:r w:rsidRPr="00092862">
              <w:rPr>
                <w:color w:val="000000" w:themeColor="text1"/>
              </w:rPr>
              <w:t>3#</w:t>
            </w:r>
            <w:r w:rsidRPr="00092862">
              <w:rPr>
                <w:color w:val="000000" w:themeColor="text1"/>
              </w:rPr>
              <w:t>敏感点</w:t>
            </w:r>
          </w:p>
        </w:tc>
        <w:tc>
          <w:tcPr>
            <w:tcW w:w="1124" w:type="pct"/>
            <w:vAlign w:val="center"/>
          </w:tcPr>
          <w:p w14:paraId="0091BEA2" w14:textId="4D4EB35E" w:rsidR="00450025" w:rsidRPr="00092862" w:rsidRDefault="00641753" w:rsidP="00C54C73">
            <w:pPr>
              <w:pStyle w:val="afffff8"/>
              <w:adjustRightInd w:val="0"/>
              <w:snapToGrid w:val="0"/>
              <w:rPr>
                <w:color w:val="000000" w:themeColor="text1"/>
              </w:rPr>
            </w:pPr>
            <w:r w:rsidRPr="00092862">
              <w:rPr>
                <w:color w:val="000000" w:themeColor="text1"/>
              </w:rPr>
              <w:t>三</w:t>
            </w:r>
            <w:r w:rsidR="00450025" w:rsidRPr="00092862">
              <w:rPr>
                <w:color w:val="000000" w:themeColor="text1"/>
              </w:rPr>
              <w:t>凤村村民点</w:t>
            </w:r>
          </w:p>
        </w:tc>
        <w:tc>
          <w:tcPr>
            <w:tcW w:w="1124" w:type="pct"/>
            <w:vAlign w:val="center"/>
          </w:tcPr>
          <w:p w14:paraId="724B0A11" w14:textId="1F6FEEEE" w:rsidR="00450025" w:rsidRPr="00092862" w:rsidRDefault="00450025" w:rsidP="00C54C73">
            <w:pPr>
              <w:pStyle w:val="afffff8"/>
              <w:adjustRightInd w:val="0"/>
              <w:snapToGrid w:val="0"/>
              <w:rPr>
                <w:color w:val="000000" w:themeColor="text1"/>
              </w:rPr>
            </w:pPr>
            <w:r w:rsidRPr="00092862">
              <w:rPr>
                <w:color w:val="000000" w:themeColor="text1"/>
              </w:rPr>
              <w:t>约</w:t>
            </w:r>
            <w:r w:rsidR="00641753" w:rsidRPr="00092862">
              <w:rPr>
                <w:color w:val="000000" w:themeColor="text1"/>
              </w:rPr>
              <w:t>8</w:t>
            </w:r>
            <w:r w:rsidRPr="00092862">
              <w:rPr>
                <w:color w:val="000000" w:themeColor="text1"/>
              </w:rPr>
              <w:t>0</w:t>
            </w:r>
            <w:r w:rsidRPr="00092862">
              <w:rPr>
                <w:color w:val="000000" w:themeColor="text1"/>
              </w:rPr>
              <w:t>户</w:t>
            </w:r>
            <w:r w:rsidR="00641753" w:rsidRPr="00092862">
              <w:rPr>
                <w:color w:val="000000" w:themeColor="text1"/>
              </w:rPr>
              <w:t>3</w:t>
            </w:r>
            <w:r w:rsidRPr="00092862">
              <w:rPr>
                <w:color w:val="000000" w:themeColor="text1"/>
              </w:rPr>
              <w:t>20</w:t>
            </w:r>
            <w:r w:rsidRPr="00092862">
              <w:rPr>
                <w:color w:val="000000" w:themeColor="text1"/>
              </w:rPr>
              <w:t>人</w:t>
            </w:r>
          </w:p>
        </w:tc>
        <w:tc>
          <w:tcPr>
            <w:tcW w:w="1124" w:type="pct"/>
            <w:vAlign w:val="center"/>
          </w:tcPr>
          <w:p w14:paraId="43CE1760" w14:textId="2CB399E9" w:rsidR="00450025" w:rsidRPr="00092862" w:rsidRDefault="00450025" w:rsidP="00C54C73">
            <w:pPr>
              <w:pStyle w:val="afffff8"/>
              <w:adjustRightInd w:val="0"/>
              <w:snapToGrid w:val="0"/>
              <w:rPr>
                <w:color w:val="000000" w:themeColor="text1"/>
              </w:rPr>
            </w:pPr>
            <w:r w:rsidRPr="00092862">
              <w:rPr>
                <w:color w:val="000000" w:themeColor="text1"/>
              </w:rPr>
              <w:t>井口东</w:t>
            </w:r>
            <w:r w:rsidR="00641753" w:rsidRPr="00092862">
              <w:rPr>
                <w:color w:val="000000" w:themeColor="text1"/>
              </w:rPr>
              <w:t>北</w:t>
            </w:r>
            <w:r w:rsidRPr="00092862">
              <w:rPr>
                <w:color w:val="000000" w:themeColor="text1"/>
              </w:rPr>
              <w:t>侧约</w:t>
            </w:r>
            <w:r w:rsidR="00641753" w:rsidRPr="00092862">
              <w:rPr>
                <w:color w:val="000000" w:themeColor="text1"/>
              </w:rPr>
              <w:t>404</w:t>
            </w:r>
            <w:r w:rsidRPr="00092862">
              <w:rPr>
                <w:color w:val="000000" w:themeColor="text1"/>
              </w:rPr>
              <w:t>0</w:t>
            </w:r>
            <w:r w:rsidR="00641753" w:rsidRPr="00092862">
              <w:rPr>
                <w:color w:val="000000" w:themeColor="text1"/>
              </w:rPr>
              <w:t>~5000</w:t>
            </w:r>
            <w:r w:rsidRPr="00092862">
              <w:rPr>
                <w:color w:val="000000" w:themeColor="text1"/>
              </w:rPr>
              <w:t>m</w:t>
            </w:r>
          </w:p>
        </w:tc>
        <w:tc>
          <w:tcPr>
            <w:tcW w:w="603" w:type="pct"/>
            <w:shd w:val="clear" w:color="auto" w:fill="auto"/>
            <w:vAlign w:val="center"/>
          </w:tcPr>
          <w:p w14:paraId="5463A427" w14:textId="047E89CC" w:rsidR="00450025" w:rsidRPr="00092862" w:rsidRDefault="00641753" w:rsidP="00C54C73">
            <w:pPr>
              <w:pStyle w:val="afffff8"/>
              <w:adjustRightInd w:val="0"/>
              <w:snapToGrid w:val="0"/>
              <w:rPr>
                <w:color w:val="000000" w:themeColor="text1"/>
              </w:rPr>
            </w:pPr>
            <w:r w:rsidRPr="00092862">
              <w:rPr>
                <w:color w:val="000000" w:themeColor="text1"/>
              </w:rPr>
              <w:t>3620</w:t>
            </w:r>
          </w:p>
        </w:tc>
        <w:tc>
          <w:tcPr>
            <w:tcW w:w="520" w:type="pct"/>
            <w:vAlign w:val="center"/>
          </w:tcPr>
          <w:p w14:paraId="0D9D43B0" w14:textId="45032903" w:rsidR="00450025" w:rsidRPr="00092862" w:rsidRDefault="00641753" w:rsidP="00C54C73">
            <w:pPr>
              <w:pStyle w:val="afffff8"/>
              <w:adjustRightInd w:val="0"/>
              <w:snapToGrid w:val="0"/>
              <w:rPr>
                <w:color w:val="000000" w:themeColor="text1"/>
              </w:rPr>
            </w:pPr>
            <w:r w:rsidRPr="00092862">
              <w:rPr>
                <w:color w:val="000000" w:themeColor="text1"/>
              </w:rPr>
              <w:t>1666</w:t>
            </w:r>
          </w:p>
        </w:tc>
      </w:tr>
      <w:tr w:rsidR="00697429" w:rsidRPr="00092862" w14:paraId="5277A7F3" w14:textId="77777777" w:rsidTr="00C54C73">
        <w:trPr>
          <w:jc w:val="center"/>
        </w:trPr>
        <w:tc>
          <w:tcPr>
            <w:tcW w:w="505" w:type="pct"/>
            <w:shd w:val="clear" w:color="auto" w:fill="auto"/>
            <w:vAlign w:val="center"/>
          </w:tcPr>
          <w:p w14:paraId="0DF72BD6" w14:textId="77777777" w:rsidR="00450025" w:rsidRPr="00092862" w:rsidRDefault="00450025" w:rsidP="00C54C73">
            <w:pPr>
              <w:pStyle w:val="afffff8"/>
              <w:adjustRightInd w:val="0"/>
              <w:snapToGrid w:val="0"/>
              <w:rPr>
                <w:color w:val="000000" w:themeColor="text1"/>
              </w:rPr>
            </w:pPr>
            <w:r w:rsidRPr="00092862">
              <w:rPr>
                <w:color w:val="000000" w:themeColor="text1"/>
              </w:rPr>
              <w:t>4#</w:t>
            </w:r>
            <w:r w:rsidRPr="00092862">
              <w:rPr>
                <w:color w:val="000000" w:themeColor="text1"/>
              </w:rPr>
              <w:t>敏感点</w:t>
            </w:r>
          </w:p>
        </w:tc>
        <w:tc>
          <w:tcPr>
            <w:tcW w:w="1124" w:type="pct"/>
            <w:vAlign w:val="center"/>
          </w:tcPr>
          <w:p w14:paraId="5E59735A" w14:textId="02352EBD" w:rsidR="00450025" w:rsidRPr="00092862" w:rsidRDefault="00641753" w:rsidP="00C54C73">
            <w:pPr>
              <w:pStyle w:val="afffff8"/>
              <w:adjustRightInd w:val="0"/>
              <w:snapToGrid w:val="0"/>
              <w:rPr>
                <w:color w:val="000000" w:themeColor="text1"/>
              </w:rPr>
            </w:pPr>
            <w:r w:rsidRPr="00092862">
              <w:rPr>
                <w:color w:val="000000" w:themeColor="text1"/>
              </w:rPr>
              <w:t>五道口</w:t>
            </w:r>
            <w:r w:rsidR="00450025" w:rsidRPr="00092862">
              <w:rPr>
                <w:color w:val="000000" w:themeColor="text1"/>
              </w:rPr>
              <w:t>村村民点</w:t>
            </w:r>
          </w:p>
        </w:tc>
        <w:tc>
          <w:tcPr>
            <w:tcW w:w="1124" w:type="pct"/>
            <w:vAlign w:val="center"/>
          </w:tcPr>
          <w:p w14:paraId="28AB2FE5" w14:textId="0C9DA168" w:rsidR="00450025" w:rsidRPr="00092862" w:rsidRDefault="00450025" w:rsidP="00C54C73">
            <w:pPr>
              <w:pStyle w:val="afffff8"/>
              <w:adjustRightInd w:val="0"/>
              <w:snapToGrid w:val="0"/>
              <w:rPr>
                <w:color w:val="000000" w:themeColor="text1"/>
              </w:rPr>
            </w:pPr>
            <w:r w:rsidRPr="00092862">
              <w:rPr>
                <w:color w:val="000000" w:themeColor="text1"/>
              </w:rPr>
              <w:t>约</w:t>
            </w:r>
            <w:r w:rsidR="00641753" w:rsidRPr="00092862">
              <w:rPr>
                <w:color w:val="000000" w:themeColor="text1"/>
              </w:rPr>
              <w:t>21</w:t>
            </w:r>
            <w:r w:rsidRPr="00092862">
              <w:rPr>
                <w:color w:val="000000" w:themeColor="text1"/>
              </w:rPr>
              <w:t>0</w:t>
            </w:r>
            <w:r w:rsidRPr="00092862">
              <w:rPr>
                <w:color w:val="000000" w:themeColor="text1"/>
              </w:rPr>
              <w:t>户</w:t>
            </w:r>
            <w:r w:rsidR="00641753" w:rsidRPr="00092862">
              <w:rPr>
                <w:color w:val="000000" w:themeColor="text1"/>
              </w:rPr>
              <w:t>84</w:t>
            </w:r>
            <w:r w:rsidRPr="00092862">
              <w:rPr>
                <w:color w:val="000000" w:themeColor="text1"/>
              </w:rPr>
              <w:t>0</w:t>
            </w:r>
            <w:r w:rsidRPr="00092862">
              <w:rPr>
                <w:color w:val="000000" w:themeColor="text1"/>
              </w:rPr>
              <w:t>人</w:t>
            </w:r>
          </w:p>
        </w:tc>
        <w:tc>
          <w:tcPr>
            <w:tcW w:w="1124" w:type="pct"/>
            <w:vAlign w:val="center"/>
          </w:tcPr>
          <w:p w14:paraId="4A5922C2" w14:textId="5259E8FA" w:rsidR="00450025" w:rsidRPr="00092862" w:rsidRDefault="00450025" w:rsidP="00C54C73">
            <w:pPr>
              <w:pStyle w:val="afffff8"/>
              <w:adjustRightInd w:val="0"/>
              <w:snapToGrid w:val="0"/>
              <w:rPr>
                <w:color w:val="000000" w:themeColor="text1"/>
              </w:rPr>
            </w:pPr>
            <w:r w:rsidRPr="00092862">
              <w:rPr>
                <w:color w:val="000000" w:themeColor="text1"/>
              </w:rPr>
              <w:t>井口东侧约</w:t>
            </w:r>
            <w:r w:rsidR="00641753" w:rsidRPr="00092862">
              <w:rPr>
                <w:color w:val="000000" w:themeColor="text1"/>
              </w:rPr>
              <w:t>1890~5000</w:t>
            </w:r>
            <w:r w:rsidRPr="00092862">
              <w:rPr>
                <w:color w:val="000000" w:themeColor="text1"/>
              </w:rPr>
              <w:t>m</w:t>
            </w:r>
          </w:p>
        </w:tc>
        <w:tc>
          <w:tcPr>
            <w:tcW w:w="603" w:type="pct"/>
            <w:shd w:val="clear" w:color="auto" w:fill="auto"/>
            <w:vAlign w:val="center"/>
          </w:tcPr>
          <w:p w14:paraId="589739A7" w14:textId="1592041D" w:rsidR="00450025" w:rsidRPr="00092862" w:rsidRDefault="00641753" w:rsidP="00C54C73">
            <w:pPr>
              <w:pStyle w:val="afffff8"/>
              <w:adjustRightInd w:val="0"/>
              <w:snapToGrid w:val="0"/>
              <w:rPr>
                <w:color w:val="000000" w:themeColor="text1"/>
              </w:rPr>
            </w:pPr>
            <w:r w:rsidRPr="00092862">
              <w:rPr>
                <w:color w:val="000000" w:themeColor="text1"/>
              </w:rPr>
              <w:t>1890</w:t>
            </w:r>
          </w:p>
        </w:tc>
        <w:tc>
          <w:tcPr>
            <w:tcW w:w="520" w:type="pct"/>
            <w:vAlign w:val="center"/>
          </w:tcPr>
          <w:p w14:paraId="3C8B98F4" w14:textId="308E858A" w:rsidR="00450025" w:rsidRPr="00092862" w:rsidRDefault="00641753" w:rsidP="00C54C73">
            <w:pPr>
              <w:pStyle w:val="afffff8"/>
              <w:adjustRightInd w:val="0"/>
              <w:snapToGrid w:val="0"/>
              <w:rPr>
                <w:color w:val="000000" w:themeColor="text1"/>
              </w:rPr>
            </w:pPr>
            <w:r w:rsidRPr="00092862">
              <w:rPr>
                <w:color w:val="000000" w:themeColor="text1"/>
              </w:rPr>
              <w:t>0</w:t>
            </w:r>
          </w:p>
        </w:tc>
      </w:tr>
      <w:tr w:rsidR="00697429" w:rsidRPr="00092862" w14:paraId="64291615" w14:textId="77777777" w:rsidTr="00C54C73">
        <w:trPr>
          <w:jc w:val="center"/>
        </w:trPr>
        <w:tc>
          <w:tcPr>
            <w:tcW w:w="505" w:type="pct"/>
            <w:shd w:val="clear" w:color="auto" w:fill="auto"/>
            <w:vAlign w:val="center"/>
          </w:tcPr>
          <w:p w14:paraId="5372F0EA" w14:textId="77777777" w:rsidR="00450025" w:rsidRPr="00092862" w:rsidRDefault="00450025" w:rsidP="00C54C73">
            <w:pPr>
              <w:pStyle w:val="afffff8"/>
              <w:adjustRightInd w:val="0"/>
              <w:snapToGrid w:val="0"/>
              <w:rPr>
                <w:color w:val="000000" w:themeColor="text1"/>
              </w:rPr>
            </w:pPr>
            <w:r w:rsidRPr="00092862">
              <w:rPr>
                <w:color w:val="000000" w:themeColor="text1"/>
              </w:rPr>
              <w:t>5#</w:t>
            </w:r>
            <w:r w:rsidRPr="00092862">
              <w:rPr>
                <w:color w:val="000000" w:themeColor="text1"/>
              </w:rPr>
              <w:t>敏感点</w:t>
            </w:r>
          </w:p>
        </w:tc>
        <w:tc>
          <w:tcPr>
            <w:tcW w:w="1124" w:type="pct"/>
            <w:vAlign w:val="center"/>
          </w:tcPr>
          <w:p w14:paraId="7B912077" w14:textId="3E73050F" w:rsidR="00450025" w:rsidRPr="00092862" w:rsidRDefault="00641753" w:rsidP="00C54C73">
            <w:pPr>
              <w:pStyle w:val="afffff8"/>
              <w:adjustRightInd w:val="0"/>
              <w:snapToGrid w:val="0"/>
              <w:rPr>
                <w:color w:val="000000" w:themeColor="text1"/>
              </w:rPr>
            </w:pPr>
            <w:r w:rsidRPr="00092862">
              <w:rPr>
                <w:color w:val="000000" w:themeColor="text1"/>
              </w:rPr>
              <w:t>鹿坪</w:t>
            </w:r>
            <w:r w:rsidR="00450025" w:rsidRPr="00092862">
              <w:rPr>
                <w:color w:val="000000" w:themeColor="text1"/>
              </w:rPr>
              <w:t>村民点</w:t>
            </w:r>
          </w:p>
        </w:tc>
        <w:tc>
          <w:tcPr>
            <w:tcW w:w="1124" w:type="pct"/>
            <w:vAlign w:val="center"/>
          </w:tcPr>
          <w:p w14:paraId="09975ECF" w14:textId="65012D4E" w:rsidR="00450025" w:rsidRPr="00092862" w:rsidRDefault="00450025" w:rsidP="00C54C73">
            <w:pPr>
              <w:pStyle w:val="afffff8"/>
              <w:adjustRightInd w:val="0"/>
              <w:snapToGrid w:val="0"/>
              <w:rPr>
                <w:color w:val="000000" w:themeColor="text1"/>
              </w:rPr>
            </w:pPr>
            <w:r w:rsidRPr="00092862">
              <w:rPr>
                <w:color w:val="000000" w:themeColor="text1"/>
              </w:rPr>
              <w:t>约</w:t>
            </w:r>
            <w:r w:rsidRPr="00092862">
              <w:rPr>
                <w:color w:val="000000" w:themeColor="text1"/>
              </w:rPr>
              <w:t>2</w:t>
            </w:r>
            <w:r w:rsidR="00641753" w:rsidRPr="00092862">
              <w:rPr>
                <w:color w:val="000000" w:themeColor="text1"/>
              </w:rPr>
              <w:t>6</w:t>
            </w:r>
            <w:r w:rsidRPr="00092862">
              <w:rPr>
                <w:color w:val="000000" w:themeColor="text1"/>
              </w:rPr>
              <w:t>0</w:t>
            </w:r>
            <w:r w:rsidRPr="00092862">
              <w:rPr>
                <w:color w:val="000000" w:themeColor="text1"/>
              </w:rPr>
              <w:t>户</w:t>
            </w:r>
            <w:r w:rsidR="00641753" w:rsidRPr="00092862">
              <w:rPr>
                <w:color w:val="000000" w:themeColor="text1"/>
              </w:rPr>
              <w:t>1040</w:t>
            </w:r>
            <w:r w:rsidRPr="00092862">
              <w:rPr>
                <w:color w:val="000000" w:themeColor="text1"/>
              </w:rPr>
              <w:t>人</w:t>
            </w:r>
          </w:p>
        </w:tc>
        <w:tc>
          <w:tcPr>
            <w:tcW w:w="1124" w:type="pct"/>
            <w:vAlign w:val="center"/>
          </w:tcPr>
          <w:p w14:paraId="0F1CDC21" w14:textId="4862770A" w:rsidR="00450025" w:rsidRPr="00092862" w:rsidRDefault="00450025" w:rsidP="00C54C73">
            <w:pPr>
              <w:pStyle w:val="afffff8"/>
              <w:adjustRightInd w:val="0"/>
              <w:snapToGrid w:val="0"/>
              <w:rPr>
                <w:color w:val="000000" w:themeColor="text1"/>
              </w:rPr>
            </w:pPr>
            <w:r w:rsidRPr="00092862">
              <w:rPr>
                <w:color w:val="000000" w:themeColor="text1"/>
              </w:rPr>
              <w:t>井口东</w:t>
            </w:r>
            <w:r w:rsidR="00641753" w:rsidRPr="00092862">
              <w:rPr>
                <w:color w:val="000000" w:themeColor="text1"/>
              </w:rPr>
              <w:t>南</w:t>
            </w:r>
            <w:r w:rsidRPr="00092862">
              <w:rPr>
                <w:color w:val="000000" w:themeColor="text1"/>
              </w:rPr>
              <w:t>侧约</w:t>
            </w:r>
            <w:r w:rsidR="00641753" w:rsidRPr="00092862">
              <w:rPr>
                <w:color w:val="000000" w:themeColor="text1"/>
              </w:rPr>
              <w:t>1520~3450</w:t>
            </w:r>
            <w:r w:rsidRPr="00092862">
              <w:rPr>
                <w:color w:val="000000" w:themeColor="text1"/>
              </w:rPr>
              <w:t>m</w:t>
            </w:r>
          </w:p>
        </w:tc>
        <w:tc>
          <w:tcPr>
            <w:tcW w:w="603" w:type="pct"/>
            <w:shd w:val="clear" w:color="auto" w:fill="auto"/>
            <w:vAlign w:val="center"/>
          </w:tcPr>
          <w:p w14:paraId="6135A8EA" w14:textId="25451DE4" w:rsidR="00450025" w:rsidRPr="00092862" w:rsidRDefault="00641753" w:rsidP="00C54C73">
            <w:pPr>
              <w:pStyle w:val="afffff8"/>
              <w:adjustRightInd w:val="0"/>
              <w:snapToGrid w:val="0"/>
              <w:rPr>
                <w:color w:val="000000" w:themeColor="text1"/>
              </w:rPr>
            </w:pPr>
            <w:r w:rsidRPr="00092862">
              <w:rPr>
                <w:color w:val="000000" w:themeColor="text1"/>
              </w:rPr>
              <w:t>711</w:t>
            </w:r>
          </w:p>
        </w:tc>
        <w:tc>
          <w:tcPr>
            <w:tcW w:w="520" w:type="pct"/>
            <w:vAlign w:val="center"/>
          </w:tcPr>
          <w:p w14:paraId="629E0B6C" w14:textId="01EDD0E3" w:rsidR="00450025" w:rsidRPr="00092862" w:rsidRDefault="00641753" w:rsidP="00C54C73">
            <w:pPr>
              <w:pStyle w:val="afffff8"/>
              <w:adjustRightInd w:val="0"/>
              <w:snapToGrid w:val="0"/>
              <w:rPr>
                <w:color w:val="000000" w:themeColor="text1"/>
              </w:rPr>
            </w:pPr>
            <w:r w:rsidRPr="00092862">
              <w:rPr>
                <w:color w:val="000000" w:themeColor="text1"/>
              </w:rPr>
              <w:t>-1280</w:t>
            </w:r>
          </w:p>
        </w:tc>
      </w:tr>
      <w:tr w:rsidR="00697429" w:rsidRPr="00092862" w14:paraId="23BF0496" w14:textId="77777777" w:rsidTr="00C54C73">
        <w:trPr>
          <w:jc w:val="center"/>
        </w:trPr>
        <w:tc>
          <w:tcPr>
            <w:tcW w:w="505" w:type="pct"/>
            <w:shd w:val="clear" w:color="auto" w:fill="auto"/>
            <w:vAlign w:val="center"/>
          </w:tcPr>
          <w:p w14:paraId="17411A65" w14:textId="77777777" w:rsidR="00450025" w:rsidRPr="00092862" w:rsidRDefault="00450025" w:rsidP="00C54C73">
            <w:pPr>
              <w:pStyle w:val="afffff8"/>
              <w:adjustRightInd w:val="0"/>
              <w:snapToGrid w:val="0"/>
              <w:rPr>
                <w:color w:val="000000" w:themeColor="text1"/>
              </w:rPr>
            </w:pPr>
            <w:r w:rsidRPr="00092862">
              <w:rPr>
                <w:color w:val="000000" w:themeColor="text1"/>
              </w:rPr>
              <w:t>6#</w:t>
            </w:r>
            <w:r w:rsidRPr="00092862">
              <w:rPr>
                <w:color w:val="000000" w:themeColor="text1"/>
              </w:rPr>
              <w:t>敏感点</w:t>
            </w:r>
          </w:p>
        </w:tc>
        <w:tc>
          <w:tcPr>
            <w:tcW w:w="1124" w:type="pct"/>
            <w:vAlign w:val="center"/>
          </w:tcPr>
          <w:p w14:paraId="379E4459" w14:textId="185ED019" w:rsidR="00450025" w:rsidRPr="00092862" w:rsidRDefault="00641753" w:rsidP="00C54C73">
            <w:pPr>
              <w:pStyle w:val="afffff8"/>
              <w:adjustRightInd w:val="0"/>
              <w:snapToGrid w:val="0"/>
              <w:rPr>
                <w:color w:val="000000" w:themeColor="text1"/>
              </w:rPr>
            </w:pPr>
            <w:r w:rsidRPr="00092862">
              <w:rPr>
                <w:color w:val="000000" w:themeColor="text1"/>
              </w:rPr>
              <w:t>长梯</w:t>
            </w:r>
            <w:r w:rsidR="00450025" w:rsidRPr="00092862">
              <w:rPr>
                <w:color w:val="000000" w:themeColor="text1"/>
              </w:rPr>
              <w:t>村民点</w:t>
            </w:r>
          </w:p>
        </w:tc>
        <w:tc>
          <w:tcPr>
            <w:tcW w:w="1124" w:type="pct"/>
            <w:vAlign w:val="center"/>
          </w:tcPr>
          <w:p w14:paraId="4DB0D1E3" w14:textId="06E4B387" w:rsidR="00450025" w:rsidRPr="00092862" w:rsidRDefault="00450025" w:rsidP="00C54C73">
            <w:pPr>
              <w:pStyle w:val="afffff8"/>
              <w:adjustRightInd w:val="0"/>
              <w:snapToGrid w:val="0"/>
              <w:rPr>
                <w:color w:val="000000" w:themeColor="text1"/>
              </w:rPr>
            </w:pPr>
            <w:r w:rsidRPr="00092862">
              <w:rPr>
                <w:color w:val="000000" w:themeColor="text1"/>
              </w:rPr>
              <w:t>约</w:t>
            </w:r>
            <w:r w:rsidR="00641753" w:rsidRPr="00092862">
              <w:rPr>
                <w:color w:val="000000" w:themeColor="text1"/>
              </w:rPr>
              <w:t>29</w:t>
            </w:r>
            <w:r w:rsidRPr="00092862">
              <w:rPr>
                <w:color w:val="000000" w:themeColor="text1"/>
              </w:rPr>
              <w:t>0</w:t>
            </w:r>
            <w:r w:rsidRPr="00092862">
              <w:rPr>
                <w:color w:val="000000" w:themeColor="text1"/>
              </w:rPr>
              <w:t>户</w:t>
            </w:r>
            <w:r w:rsidR="00641753" w:rsidRPr="00092862">
              <w:rPr>
                <w:color w:val="000000" w:themeColor="text1"/>
              </w:rPr>
              <w:t>116</w:t>
            </w:r>
            <w:r w:rsidRPr="00092862">
              <w:rPr>
                <w:color w:val="000000" w:themeColor="text1"/>
              </w:rPr>
              <w:t>0</w:t>
            </w:r>
            <w:r w:rsidRPr="00092862">
              <w:rPr>
                <w:color w:val="000000" w:themeColor="text1"/>
              </w:rPr>
              <w:t>人</w:t>
            </w:r>
          </w:p>
        </w:tc>
        <w:tc>
          <w:tcPr>
            <w:tcW w:w="1124" w:type="pct"/>
            <w:vAlign w:val="center"/>
          </w:tcPr>
          <w:p w14:paraId="1370DD37" w14:textId="1039E2E8" w:rsidR="00450025" w:rsidRPr="00092862" w:rsidRDefault="00450025" w:rsidP="00C54C73">
            <w:pPr>
              <w:pStyle w:val="afffff8"/>
              <w:adjustRightInd w:val="0"/>
              <w:snapToGrid w:val="0"/>
              <w:rPr>
                <w:color w:val="000000" w:themeColor="text1"/>
              </w:rPr>
            </w:pPr>
            <w:r w:rsidRPr="00092862">
              <w:rPr>
                <w:color w:val="000000" w:themeColor="text1"/>
              </w:rPr>
              <w:t>井口东</w:t>
            </w:r>
            <w:r w:rsidR="00641753" w:rsidRPr="00092862">
              <w:rPr>
                <w:color w:val="000000" w:themeColor="text1"/>
              </w:rPr>
              <w:t>南</w:t>
            </w:r>
            <w:r w:rsidRPr="00092862">
              <w:rPr>
                <w:color w:val="000000" w:themeColor="text1"/>
              </w:rPr>
              <w:t>侧约</w:t>
            </w:r>
            <w:r w:rsidR="00641753" w:rsidRPr="00092862">
              <w:rPr>
                <w:color w:val="000000" w:themeColor="text1"/>
              </w:rPr>
              <w:t>345</w:t>
            </w:r>
            <w:r w:rsidRPr="00092862">
              <w:rPr>
                <w:color w:val="000000" w:themeColor="text1"/>
              </w:rPr>
              <w:t>0</w:t>
            </w:r>
            <w:r w:rsidR="00641753" w:rsidRPr="00092862">
              <w:rPr>
                <w:color w:val="000000" w:themeColor="text1"/>
              </w:rPr>
              <w:t>~5000</w:t>
            </w:r>
            <w:r w:rsidRPr="00092862">
              <w:rPr>
                <w:color w:val="000000" w:themeColor="text1"/>
              </w:rPr>
              <w:t>m</w:t>
            </w:r>
          </w:p>
        </w:tc>
        <w:tc>
          <w:tcPr>
            <w:tcW w:w="603" w:type="pct"/>
            <w:shd w:val="clear" w:color="auto" w:fill="auto"/>
            <w:vAlign w:val="center"/>
          </w:tcPr>
          <w:p w14:paraId="6BE34219" w14:textId="57DEF7F9" w:rsidR="00450025" w:rsidRPr="00092862" w:rsidRDefault="00450025" w:rsidP="00C54C73">
            <w:pPr>
              <w:pStyle w:val="afffff8"/>
              <w:adjustRightInd w:val="0"/>
              <w:snapToGrid w:val="0"/>
              <w:rPr>
                <w:color w:val="000000" w:themeColor="text1"/>
              </w:rPr>
            </w:pPr>
            <w:r w:rsidRPr="00092862">
              <w:rPr>
                <w:color w:val="000000" w:themeColor="text1"/>
              </w:rPr>
              <w:t>2</w:t>
            </w:r>
            <w:r w:rsidR="006B5A7D" w:rsidRPr="00092862">
              <w:rPr>
                <w:color w:val="000000" w:themeColor="text1"/>
              </w:rPr>
              <w:t>5</w:t>
            </w:r>
            <w:r w:rsidRPr="00092862">
              <w:rPr>
                <w:color w:val="000000" w:themeColor="text1"/>
              </w:rPr>
              <w:t>00</w:t>
            </w:r>
          </w:p>
        </w:tc>
        <w:tc>
          <w:tcPr>
            <w:tcW w:w="520" w:type="pct"/>
            <w:vAlign w:val="center"/>
          </w:tcPr>
          <w:p w14:paraId="086B9EFD" w14:textId="0686B728" w:rsidR="00450025" w:rsidRPr="00092862" w:rsidRDefault="006B5A7D" w:rsidP="00C54C73">
            <w:pPr>
              <w:pStyle w:val="afffff8"/>
              <w:adjustRightInd w:val="0"/>
              <w:snapToGrid w:val="0"/>
              <w:rPr>
                <w:color w:val="000000" w:themeColor="text1"/>
              </w:rPr>
            </w:pPr>
            <w:r w:rsidRPr="00092862">
              <w:rPr>
                <w:color w:val="000000" w:themeColor="text1"/>
              </w:rPr>
              <w:t>-2250</w:t>
            </w:r>
          </w:p>
        </w:tc>
      </w:tr>
      <w:tr w:rsidR="00697429" w:rsidRPr="00092862" w14:paraId="7EC58788" w14:textId="77777777" w:rsidTr="00C54C73">
        <w:trPr>
          <w:jc w:val="center"/>
        </w:trPr>
        <w:tc>
          <w:tcPr>
            <w:tcW w:w="505" w:type="pct"/>
            <w:shd w:val="clear" w:color="auto" w:fill="auto"/>
            <w:vAlign w:val="center"/>
          </w:tcPr>
          <w:p w14:paraId="721FBC91" w14:textId="77777777" w:rsidR="00450025" w:rsidRPr="00092862" w:rsidRDefault="00450025" w:rsidP="00C54C73">
            <w:pPr>
              <w:pStyle w:val="afffff8"/>
              <w:adjustRightInd w:val="0"/>
              <w:snapToGrid w:val="0"/>
              <w:rPr>
                <w:color w:val="000000" w:themeColor="text1"/>
              </w:rPr>
            </w:pPr>
            <w:r w:rsidRPr="00092862">
              <w:rPr>
                <w:color w:val="000000" w:themeColor="text1"/>
              </w:rPr>
              <w:t>7#</w:t>
            </w:r>
            <w:r w:rsidRPr="00092862">
              <w:rPr>
                <w:color w:val="000000" w:themeColor="text1"/>
              </w:rPr>
              <w:t>敏感点</w:t>
            </w:r>
          </w:p>
        </w:tc>
        <w:tc>
          <w:tcPr>
            <w:tcW w:w="1124" w:type="pct"/>
            <w:vAlign w:val="center"/>
          </w:tcPr>
          <w:p w14:paraId="4691EADB" w14:textId="11B8FF7D" w:rsidR="00450025" w:rsidRPr="00092862" w:rsidRDefault="006B5A7D" w:rsidP="00C54C73">
            <w:pPr>
              <w:pStyle w:val="afffff8"/>
              <w:adjustRightInd w:val="0"/>
              <w:snapToGrid w:val="0"/>
              <w:rPr>
                <w:color w:val="000000" w:themeColor="text1"/>
              </w:rPr>
            </w:pPr>
            <w:r w:rsidRPr="00092862">
              <w:rPr>
                <w:color w:val="000000" w:themeColor="text1"/>
              </w:rPr>
              <w:t>庄子</w:t>
            </w:r>
            <w:r w:rsidR="00450025" w:rsidRPr="00092862">
              <w:rPr>
                <w:color w:val="000000" w:themeColor="text1"/>
              </w:rPr>
              <w:t>村民点</w:t>
            </w:r>
          </w:p>
        </w:tc>
        <w:tc>
          <w:tcPr>
            <w:tcW w:w="1124" w:type="pct"/>
            <w:vAlign w:val="center"/>
          </w:tcPr>
          <w:p w14:paraId="66EBA7DA" w14:textId="67B5EE10" w:rsidR="00450025" w:rsidRPr="00092862" w:rsidRDefault="00450025" w:rsidP="00C54C73">
            <w:pPr>
              <w:pStyle w:val="afffff8"/>
              <w:adjustRightInd w:val="0"/>
              <w:snapToGrid w:val="0"/>
              <w:rPr>
                <w:color w:val="000000" w:themeColor="text1"/>
              </w:rPr>
            </w:pPr>
            <w:r w:rsidRPr="00092862">
              <w:rPr>
                <w:color w:val="000000" w:themeColor="text1"/>
              </w:rPr>
              <w:t>约</w:t>
            </w:r>
            <w:r w:rsidR="006B5A7D" w:rsidRPr="00092862">
              <w:rPr>
                <w:color w:val="000000" w:themeColor="text1"/>
              </w:rPr>
              <w:t>75</w:t>
            </w:r>
            <w:r w:rsidRPr="00092862">
              <w:rPr>
                <w:color w:val="000000" w:themeColor="text1"/>
              </w:rPr>
              <w:t>户</w:t>
            </w:r>
            <w:r w:rsidR="006B5A7D" w:rsidRPr="00092862">
              <w:rPr>
                <w:color w:val="000000" w:themeColor="text1"/>
              </w:rPr>
              <w:t>3</w:t>
            </w:r>
            <w:r w:rsidRPr="00092862">
              <w:rPr>
                <w:color w:val="000000" w:themeColor="text1"/>
              </w:rPr>
              <w:t>00</w:t>
            </w:r>
            <w:r w:rsidRPr="00092862">
              <w:rPr>
                <w:color w:val="000000" w:themeColor="text1"/>
              </w:rPr>
              <w:t>人</w:t>
            </w:r>
          </w:p>
        </w:tc>
        <w:tc>
          <w:tcPr>
            <w:tcW w:w="1124" w:type="pct"/>
            <w:vAlign w:val="center"/>
          </w:tcPr>
          <w:p w14:paraId="79933D4B" w14:textId="4EFF6E0D" w:rsidR="00450025" w:rsidRPr="00092862" w:rsidRDefault="00450025" w:rsidP="00C54C73">
            <w:pPr>
              <w:pStyle w:val="afffff8"/>
              <w:adjustRightInd w:val="0"/>
              <w:snapToGrid w:val="0"/>
              <w:rPr>
                <w:color w:val="000000" w:themeColor="text1"/>
              </w:rPr>
            </w:pPr>
            <w:r w:rsidRPr="00092862">
              <w:rPr>
                <w:color w:val="000000" w:themeColor="text1"/>
              </w:rPr>
              <w:t>井口东</w:t>
            </w:r>
            <w:r w:rsidR="006B5A7D" w:rsidRPr="00092862">
              <w:rPr>
                <w:color w:val="000000" w:themeColor="text1"/>
              </w:rPr>
              <w:t>南</w:t>
            </w:r>
            <w:r w:rsidRPr="00092862">
              <w:rPr>
                <w:color w:val="000000" w:themeColor="text1"/>
              </w:rPr>
              <w:t>侧约</w:t>
            </w:r>
            <w:r w:rsidR="006B5A7D" w:rsidRPr="00092862">
              <w:rPr>
                <w:color w:val="000000" w:themeColor="text1"/>
              </w:rPr>
              <w:t>273</w:t>
            </w:r>
            <w:r w:rsidRPr="00092862">
              <w:rPr>
                <w:color w:val="000000" w:themeColor="text1"/>
              </w:rPr>
              <w:t>0</w:t>
            </w:r>
            <w:r w:rsidR="006B5A7D" w:rsidRPr="00092862">
              <w:rPr>
                <w:color w:val="000000" w:themeColor="text1"/>
              </w:rPr>
              <w:t>~5000</w:t>
            </w:r>
            <w:r w:rsidRPr="00092862">
              <w:rPr>
                <w:color w:val="000000" w:themeColor="text1"/>
              </w:rPr>
              <w:t>m</w:t>
            </w:r>
          </w:p>
        </w:tc>
        <w:tc>
          <w:tcPr>
            <w:tcW w:w="603" w:type="pct"/>
            <w:shd w:val="clear" w:color="auto" w:fill="auto"/>
            <w:vAlign w:val="center"/>
          </w:tcPr>
          <w:p w14:paraId="20A3640E" w14:textId="7E83A1DF" w:rsidR="00450025" w:rsidRPr="00092862" w:rsidRDefault="006B5A7D" w:rsidP="00C54C73">
            <w:pPr>
              <w:pStyle w:val="afffff8"/>
              <w:adjustRightInd w:val="0"/>
              <w:snapToGrid w:val="0"/>
              <w:rPr>
                <w:color w:val="000000" w:themeColor="text1"/>
              </w:rPr>
            </w:pPr>
            <w:r w:rsidRPr="00092862">
              <w:rPr>
                <w:color w:val="000000" w:themeColor="text1"/>
              </w:rPr>
              <w:t>790</w:t>
            </w:r>
          </w:p>
        </w:tc>
        <w:tc>
          <w:tcPr>
            <w:tcW w:w="520" w:type="pct"/>
            <w:vAlign w:val="center"/>
          </w:tcPr>
          <w:p w14:paraId="37421FAA" w14:textId="195D891A" w:rsidR="00450025" w:rsidRPr="00092862" w:rsidRDefault="006B5A7D" w:rsidP="00C54C73">
            <w:pPr>
              <w:pStyle w:val="afffff8"/>
              <w:adjustRightInd w:val="0"/>
              <w:snapToGrid w:val="0"/>
              <w:rPr>
                <w:color w:val="000000" w:themeColor="text1"/>
              </w:rPr>
            </w:pPr>
            <w:r w:rsidRPr="00092862">
              <w:rPr>
                <w:color w:val="000000" w:themeColor="text1"/>
              </w:rPr>
              <w:t>-2620</w:t>
            </w:r>
          </w:p>
        </w:tc>
      </w:tr>
      <w:tr w:rsidR="00697429" w:rsidRPr="00092862" w14:paraId="25481020" w14:textId="77777777" w:rsidTr="00C54C73">
        <w:trPr>
          <w:jc w:val="center"/>
        </w:trPr>
        <w:tc>
          <w:tcPr>
            <w:tcW w:w="505" w:type="pct"/>
            <w:shd w:val="clear" w:color="auto" w:fill="auto"/>
            <w:vAlign w:val="center"/>
          </w:tcPr>
          <w:p w14:paraId="7AED773F" w14:textId="77777777" w:rsidR="00450025" w:rsidRPr="00092862" w:rsidRDefault="00450025" w:rsidP="00C54C73">
            <w:pPr>
              <w:pStyle w:val="afffff8"/>
              <w:adjustRightInd w:val="0"/>
              <w:snapToGrid w:val="0"/>
              <w:rPr>
                <w:color w:val="000000" w:themeColor="text1"/>
              </w:rPr>
            </w:pPr>
            <w:r w:rsidRPr="00092862">
              <w:rPr>
                <w:color w:val="000000" w:themeColor="text1"/>
              </w:rPr>
              <w:t>8#</w:t>
            </w:r>
            <w:r w:rsidRPr="00092862">
              <w:rPr>
                <w:color w:val="000000" w:themeColor="text1"/>
              </w:rPr>
              <w:t>敏感点</w:t>
            </w:r>
          </w:p>
        </w:tc>
        <w:tc>
          <w:tcPr>
            <w:tcW w:w="1124" w:type="pct"/>
            <w:vAlign w:val="center"/>
          </w:tcPr>
          <w:p w14:paraId="03049C0F" w14:textId="0179E006" w:rsidR="00450025" w:rsidRPr="00092862" w:rsidRDefault="006B5A7D" w:rsidP="00C54C73">
            <w:pPr>
              <w:pStyle w:val="afffff8"/>
              <w:adjustRightInd w:val="0"/>
              <w:snapToGrid w:val="0"/>
              <w:rPr>
                <w:color w:val="000000" w:themeColor="text1"/>
              </w:rPr>
            </w:pPr>
            <w:r w:rsidRPr="00092862">
              <w:rPr>
                <w:color w:val="000000" w:themeColor="text1"/>
              </w:rPr>
              <w:t>王家坝</w:t>
            </w:r>
            <w:r w:rsidR="00450025" w:rsidRPr="00092862">
              <w:rPr>
                <w:color w:val="000000" w:themeColor="text1"/>
              </w:rPr>
              <w:t>村村民点</w:t>
            </w:r>
          </w:p>
        </w:tc>
        <w:tc>
          <w:tcPr>
            <w:tcW w:w="1124" w:type="pct"/>
            <w:vAlign w:val="center"/>
          </w:tcPr>
          <w:p w14:paraId="62E39BC7" w14:textId="1BF65F19" w:rsidR="00450025" w:rsidRPr="00092862" w:rsidRDefault="00450025" w:rsidP="00C54C73">
            <w:pPr>
              <w:pStyle w:val="afffff8"/>
              <w:adjustRightInd w:val="0"/>
              <w:snapToGrid w:val="0"/>
              <w:rPr>
                <w:color w:val="000000" w:themeColor="text1"/>
              </w:rPr>
            </w:pPr>
            <w:r w:rsidRPr="00092862">
              <w:rPr>
                <w:color w:val="000000" w:themeColor="text1"/>
              </w:rPr>
              <w:t>约</w:t>
            </w:r>
            <w:r w:rsidR="006B5A7D" w:rsidRPr="00092862">
              <w:rPr>
                <w:color w:val="000000" w:themeColor="text1"/>
              </w:rPr>
              <w:t>19</w:t>
            </w:r>
            <w:r w:rsidRPr="00092862">
              <w:rPr>
                <w:color w:val="000000" w:themeColor="text1"/>
              </w:rPr>
              <w:t>0</w:t>
            </w:r>
            <w:r w:rsidRPr="00092862">
              <w:rPr>
                <w:color w:val="000000" w:themeColor="text1"/>
              </w:rPr>
              <w:t>户</w:t>
            </w:r>
            <w:r w:rsidR="006B5A7D" w:rsidRPr="00092862">
              <w:rPr>
                <w:color w:val="000000" w:themeColor="text1"/>
              </w:rPr>
              <w:t>76</w:t>
            </w:r>
            <w:r w:rsidRPr="00092862">
              <w:rPr>
                <w:color w:val="000000" w:themeColor="text1"/>
              </w:rPr>
              <w:t>0</w:t>
            </w:r>
            <w:r w:rsidRPr="00092862">
              <w:rPr>
                <w:color w:val="000000" w:themeColor="text1"/>
              </w:rPr>
              <w:t>人</w:t>
            </w:r>
          </w:p>
        </w:tc>
        <w:tc>
          <w:tcPr>
            <w:tcW w:w="1124" w:type="pct"/>
            <w:vAlign w:val="center"/>
          </w:tcPr>
          <w:p w14:paraId="50DC0134" w14:textId="259EA94B" w:rsidR="00450025" w:rsidRPr="00092862" w:rsidRDefault="00450025" w:rsidP="00C54C73">
            <w:pPr>
              <w:pStyle w:val="afffff8"/>
              <w:adjustRightInd w:val="0"/>
              <w:snapToGrid w:val="0"/>
              <w:rPr>
                <w:color w:val="000000" w:themeColor="text1"/>
              </w:rPr>
            </w:pPr>
            <w:r w:rsidRPr="00092862">
              <w:rPr>
                <w:color w:val="000000" w:themeColor="text1"/>
              </w:rPr>
              <w:t>井口</w:t>
            </w:r>
            <w:r w:rsidR="006B5A7D" w:rsidRPr="00092862">
              <w:rPr>
                <w:color w:val="000000" w:themeColor="text1"/>
              </w:rPr>
              <w:t>南</w:t>
            </w:r>
            <w:r w:rsidRPr="00092862">
              <w:rPr>
                <w:color w:val="000000" w:themeColor="text1"/>
              </w:rPr>
              <w:t>侧约</w:t>
            </w:r>
            <w:r w:rsidR="006B5A7D" w:rsidRPr="00092862">
              <w:rPr>
                <w:color w:val="000000" w:themeColor="text1"/>
              </w:rPr>
              <w:t>2840~5000</w:t>
            </w:r>
            <w:r w:rsidRPr="00092862">
              <w:rPr>
                <w:color w:val="000000" w:themeColor="text1"/>
              </w:rPr>
              <w:t>m</w:t>
            </w:r>
          </w:p>
        </w:tc>
        <w:tc>
          <w:tcPr>
            <w:tcW w:w="603" w:type="pct"/>
            <w:shd w:val="clear" w:color="auto" w:fill="auto"/>
            <w:vAlign w:val="center"/>
          </w:tcPr>
          <w:p w14:paraId="2327058E" w14:textId="2AC8645E" w:rsidR="00450025" w:rsidRPr="00092862" w:rsidRDefault="006B5A7D" w:rsidP="00C54C73">
            <w:pPr>
              <w:pStyle w:val="afffff8"/>
              <w:adjustRightInd w:val="0"/>
              <w:snapToGrid w:val="0"/>
              <w:rPr>
                <w:color w:val="000000" w:themeColor="text1"/>
              </w:rPr>
            </w:pPr>
            <w:r w:rsidRPr="00092862">
              <w:rPr>
                <w:color w:val="000000" w:themeColor="text1"/>
              </w:rPr>
              <w:t>0</w:t>
            </w:r>
          </w:p>
        </w:tc>
        <w:tc>
          <w:tcPr>
            <w:tcW w:w="520" w:type="pct"/>
            <w:vAlign w:val="center"/>
          </w:tcPr>
          <w:p w14:paraId="2B0CCE03" w14:textId="616892AA" w:rsidR="00450025" w:rsidRPr="00092862" w:rsidRDefault="006B5A7D" w:rsidP="00C54C73">
            <w:pPr>
              <w:pStyle w:val="afffff8"/>
              <w:adjustRightInd w:val="0"/>
              <w:snapToGrid w:val="0"/>
              <w:rPr>
                <w:color w:val="000000" w:themeColor="text1"/>
              </w:rPr>
            </w:pPr>
            <w:r w:rsidRPr="00092862">
              <w:rPr>
                <w:color w:val="000000" w:themeColor="text1"/>
              </w:rPr>
              <w:t>-2840</w:t>
            </w:r>
          </w:p>
        </w:tc>
      </w:tr>
      <w:tr w:rsidR="00697429" w:rsidRPr="00092862" w14:paraId="2B90416F" w14:textId="77777777" w:rsidTr="00C54C73">
        <w:trPr>
          <w:jc w:val="center"/>
        </w:trPr>
        <w:tc>
          <w:tcPr>
            <w:tcW w:w="505" w:type="pct"/>
            <w:shd w:val="clear" w:color="auto" w:fill="auto"/>
            <w:vAlign w:val="center"/>
          </w:tcPr>
          <w:p w14:paraId="589F5698" w14:textId="77777777" w:rsidR="00450025" w:rsidRPr="00092862" w:rsidRDefault="00450025" w:rsidP="00C54C73">
            <w:pPr>
              <w:pStyle w:val="afffff8"/>
              <w:adjustRightInd w:val="0"/>
              <w:snapToGrid w:val="0"/>
              <w:rPr>
                <w:color w:val="000000" w:themeColor="text1"/>
              </w:rPr>
            </w:pPr>
            <w:r w:rsidRPr="00092862">
              <w:rPr>
                <w:color w:val="000000" w:themeColor="text1"/>
              </w:rPr>
              <w:t>9#</w:t>
            </w:r>
            <w:r w:rsidRPr="00092862">
              <w:rPr>
                <w:color w:val="000000" w:themeColor="text1"/>
              </w:rPr>
              <w:t>敏感点</w:t>
            </w:r>
          </w:p>
        </w:tc>
        <w:tc>
          <w:tcPr>
            <w:tcW w:w="1124" w:type="pct"/>
            <w:vAlign w:val="center"/>
          </w:tcPr>
          <w:p w14:paraId="73C9DD2F" w14:textId="67235130" w:rsidR="00450025" w:rsidRPr="00092862" w:rsidRDefault="006B5A7D" w:rsidP="00C54C73">
            <w:pPr>
              <w:pStyle w:val="afffff8"/>
              <w:adjustRightInd w:val="0"/>
              <w:snapToGrid w:val="0"/>
              <w:rPr>
                <w:color w:val="000000" w:themeColor="text1"/>
              </w:rPr>
            </w:pPr>
            <w:r w:rsidRPr="00092862">
              <w:rPr>
                <w:color w:val="000000" w:themeColor="text1"/>
              </w:rPr>
              <w:t>宏文</w:t>
            </w:r>
            <w:r w:rsidR="00450025" w:rsidRPr="00092862">
              <w:rPr>
                <w:color w:val="000000" w:themeColor="text1"/>
              </w:rPr>
              <w:t>村村民点</w:t>
            </w:r>
          </w:p>
        </w:tc>
        <w:tc>
          <w:tcPr>
            <w:tcW w:w="1124" w:type="pct"/>
            <w:vAlign w:val="center"/>
          </w:tcPr>
          <w:p w14:paraId="2237375B" w14:textId="5A1E13FD" w:rsidR="00450025" w:rsidRPr="00092862" w:rsidRDefault="00450025" w:rsidP="00C54C73">
            <w:pPr>
              <w:pStyle w:val="afffff8"/>
              <w:adjustRightInd w:val="0"/>
              <w:snapToGrid w:val="0"/>
              <w:rPr>
                <w:color w:val="000000" w:themeColor="text1"/>
              </w:rPr>
            </w:pPr>
            <w:r w:rsidRPr="00092862">
              <w:rPr>
                <w:color w:val="000000" w:themeColor="text1"/>
              </w:rPr>
              <w:t>约</w:t>
            </w:r>
            <w:r w:rsidR="006B5A7D" w:rsidRPr="00092862">
              <w:rPr>
                <w:color w:val="000000" w:themeColor="text1"/>
              </w:rPr>
              <w:t>55</w:t>
            </w:r>
            <w:r w:rsidRPr="00092862">
              <w:rPr>
                <w:color w:val="000000" w:themeColor="text1"/>
              </w:rPr>
              <w:t>户</w:t>
            </w:r>
            <w:r w:rsidR="006B5A7D" w:rsidRPr="00092862">
              <w:rPr>
                <w:color w:val="000000" w:themeColor="text1"/>
              </w:rPr>
              <w:t>2</w:t>
            </w:r>
            <w:r w:rsidRPr="00092862">
              <w:rPr>
                <w:color w:val="000000" w:themeColor="text1"/>
              </w:rPr>
              <w:t>20</w:t>
            </w:r>
            <w:r w:rsidRPr="00092862">
              <w:rPr>
                <w:color w:val="000000" w:themeColor="text1"/>
              </w:rPr>
              <w:t>人</w:t>
            </w:r>
          </w:p>
        </w:tc>
        <w:tc>
          <w:tcPr>
            <w:tcW w:w="1124" w:type="pct"/>
            <w:vAlign w:val="center"/>
          </w:tcPr>
          <w:p w14:paraId="3B536B76" w14:textId="3656E197" w:rsidR="00450025" w:rsidRPr="00092862" w:rsidRDefault="00450025" w:rsidP="00C54C73">
            <w:pPr>
              <w:pStyle w:val="afffff8"/>
              <w:adjustRightInd w:val="0"/>
              <w:snapToGrid w:val="0"/>
              <w:rPr>
                <w:color w:val="000000" w:themeColor="text1"/>
              </w:rPr>
            </w:pPr>
            <w:r w:rsidRPr="00092862">
              <w:rPr>
                <w:color w:val="000000" w:themeColor="text1"/>
              </w:rPr>
              <w:t>井口</w:t>
            </w:r>
            <w:r w:rsidR="006B5A7D" w:rsidRPr="00092862">
              <w:rPr>
                <w:color w:val="000000" w:themeColor="text1"/>
              </w:rPr>
              <w:t>南</w:t>
            </w:r>
            <w:r w:rsidRPr="00092862">
              <w:rPr>
                <w:color w:val="000000" w:themeColor="text1"/>
              </w:rPr>
              <w:t>侧约</w:t>
            </w:r>
            <w:r w:rsidR="006B5A7D" w:rsidRPr="00092862">
              <w:rPr>
                <w:color w:val="000000" w:themeColor="text1"/>
              </w:rPr>
              <w:t>131</w:t>
            </w:r>
            <w:r w:rsidRPr="00092862">
              <w:rPr>
                <w:color w:val="000000" w:themeColor="text1"/>
              </w:rPr>
              <w:t>0</w:t>
            </w:r>
            <w:r w:rsidR="006B5A7D" w:rsidRPr="00092862">
              <w:rPr>
                <w:color w:val="000000" w:themeColor="text1"/>
              </w:rPr>
              <w:t>~3330</w:t>
            </w:r>
            <w:r w:rsidRPr="00092862">
              <w:rPr>
                <w:color w:val="000000" w:themeColor="text1"/>
              </w:rPr>
              <w:t>m</w:t>
            </w:r>
          </w:p>
        </w:tc>
        <w:tc>
          <w:tcPr>
            <w:tcW w:w="603" w:type="pct"/>
            <w:shd w:val="clear" w:color="auto" w:fill="auto"/>
            <w:vAlign w:val="center"/>
          </w:tcPr>
          <w:p w14:paraId="0A4E59B3" w14:textId="683B3C2E" w:rsidR="00450025" w:rsidRPr="00092862" w:rsidRDefault="006B5A7D" w:rsidP="00C54C73">
            <w:pPr>
              <w:pStyle w:val="afffff8"/>
              <w:adjustRightInd w:val="0"/>
              <w:snapToGrid w:val="0"/>
              <w:rPr>
                <w:color w:val="000000" w:themeColor="text1"/>
              </w:rPr>
            </w:pPr>
            <w:r w:rsidRPr="00092862">
              <w:rPr>
                <w:color w:val="000000" w:themeColor="text1"/>
              </w:rPr>
              <w:t>0</w:t>
            </w:r>
          </w:p>
        </w:tc>
        <w:tc>
          <w:tcPr>
            <w:tcW w:w="520" w:type="pct"/>
            <w:vAlign w:val="center"/>
          </w:tcPr>
          <w:p w14:paraId="7AD3D49B" w14:textId="33CD7CDA" w:rsidR="00450025" w:rsidRPr="00092862" w:rsidRDefault="006B5A7D" w:rsidP="00C54C73">
            <w:pPr>
              <w:pStyle w:val="afffff8"/>
              <w:adjustRightInd w:val="0"/>
              <w:snapToGrid w:val="0"/>
              <w:rPr>
                <w:color w:val="000000" w:themeColor="text1"/>
              </w:rPr>
            </w:pPr>
            <w:r w:rsidRPr="00092862">
              <w:rPr>
                <w:color w:val="000000" w:themeColor="text1"/>
              </w:rPr>
              <w:t>-</w:t>
            </w:r>
            <w:r w:rsidR="00450025" w:rsidRPr="00092862">
              <w:rPr>
                <w:color w:val="000000" w:themeColor="text1"/>
              </w:rPr>
              <w:t>1</w:t>
            </w:r>
            <w:r w:rsidRPr="00092862">
              <w:rPr>
                <w:color w:val="000000" w:themeColor="text1"/>
              </w:rPr>
              <w:t>33</w:t>
            </w:r>
            <w:r w:rsidR="00450025" w:rsidRPr="00092862">
              <w:rPr>
                <w:color w:val="000000" w:themeColor="text1"/>
              </w:rPr>
              <w:t>0</w:t>
            </w:r>
          </w:p>
        </w:tc>
      </w:tr>
      <w:tr w:rsidR="00697429" w:rsidRPr="00092862" w14:paraId="121C939D" w14:textId="77777777" w:rsidTr="00C54C73">
        <w:trPr>
          <w:jc w:val="center"/>
        </w:trPr>
        <w:tc>
          <w:tcPr>
            <w:tcW w:w="505" w:type="pct"/>
            <w:shd w:val="clear" w:color="auto" w:fill="auto"/>
            <w:vAlign w:val="center"/>
          </w:tcPr>
          <w:p w14:paraId="582B145E" w14:textId="77777777" w:rsidR="00450025" w:rsidRPr="00092862" w:rsidRDefault="00450025" w:rsidP="00C54C73">
            <w:pPr>
              <w:pStyle w:val="afffff8"/>
              <w:adjustRightInd w:val="0"/>
              <w:snapToGrid w:val="0"/>
              <w:rPr>
                <w:color w:val="000000" w:themeColor="text1"/>
              </w:rPr>
            </w:pPr>
            <w:r w:rsidRPr="00092862">
              <w:rPr>
                <w:color w:val="000000" w:themeColor="text1"/>
              </w:rPr>
              <w:t>10#</w:t>
            </w:r>
            <w:r w:rsidRPr="00092862">
              <w:rPr>
                <w:color w:val="000000" w:themeColor="text1"/>
              </w:rPr>
              <w:t>敏感点</w:t>
            </w:r>
          </w:p>
        </w:tc>
        <w:tc>
          <w:tcPr>
            <w:tcW w:w="1124" w:type="pct"/>
            <w:vAlign w:val="center"/>
          </w:tcPr>
          <w:p w14:paraId="07B93A36" w14:textId="6D806C17" w:rsidR="00450025" w:rsidRPr="00092862" w:rsidRDefault="00E112FE" w:rsidP="00C54C73">
            <w:pPr>
              <w:pStyle w:val="afffff8"/>
              <w:adjustRightInd w:val="0"/>
              <w:snapToGrid w:val="0"/>
              <w:rPr>
                <w:color w:val="000000" w:themeColor="text1"/>
              </w:rPr>
            </w:pPr>
            <w:r w:rsidRPr="00092862">
              <w:rPr>
                <w:color w:val="000000" w:themeColor="text1"/>
              </w:rPr>
              <w:t>清溪镇场镇</w:t>
            </w:r>
          </w:p>
        </w:tc>
        <w:tc>
          <w:tcPr>
            <w:tcW w:w="1124" w:type="pct"/>
            <w:vAlign w:val="center"/>
          </w:tcPr>
          <w:p w14:paraId="67FAD7D9" w14:textId="1BA21B0A" w:rsidR="00450025" w:rsidRPr="00092862" w:rsidRDefault="00450025" w:rsidP="00C54C73">
            <w:pPr>
              <w:pStyle w:val="afffff8"/>
              <w:adjustRightInd w:val="0"/>
              <w:snapToGrid w:val="0"/>
              <w:rPr>
                <w:color w:val="000000" w:themeColor="text1"/>
              </w:rPr>
            </w:pPr>
            <w:r w:rsidRPr="00092862">
              <w:rPr>
                <w:color w:val="000000" w:themeColor="text1"/>
              </w:rPr>
              <w:t>约</w:t>
            </w:r>
            <w:r w:rsidR="00E112FE" w:rsidRPr="00092862">
              <w:rPr>
                <w:color w:val="000000" w:themeColor="text1"/>
              </w:rPr>
              <w:t>7000</w:t>
            </w:r>
            <w:r w:rsidRPr="00092862">
              <w:rPr>
                <w:color w:val="000000" w:themeColor="text1"/>
              </w:rPr>
              <w:t>人</w:t>
            </w:r>
          </w:p>
        </w:tc>
        <w:tc>
          <w:tcPr>
            <w:tcW w:w="1124" w:type="pct"/>
            <w:vAlign w:val="center"/>
          </w:tcPr>
          <w:p w14:paraId="1D377C72" w14:textId="381755B8" w:rsidR="00450025" w:rsidRPr="00092862" w:rsidRDefault="00450025" w:rsidP="00C54C73">
            <w:pPr>
              <w:pStyle w:val="afffff8"/>
              <w:adjustRightInd w:val="0"/>
              <w:snapToGrid w:val="0"/>
              <w:rPr>
                <w:color w:val="000000" w:themeColor="text1"/>
              </w:rPr>
            </w:pPr>
            <w:r w:rsidRPr="00092862">
              <w:rPr>
                <w:color w:val="000000" w:themeColor="text1"/>
              </w:rPr>
              <w:t>井口西</w:t>
            </w:r>
            <w:r w:rsidR="00E112FE" w:rsidRPr="00092862">
              <w:rPr>
                <w:color w:val="000000" w:themeColor="text1"/>
              </w:rPr>
              <w:t>南</w:t>
            </w:r>
            <w:r w:rsidRPr="00092862">
              <w:rPr>
                <w:color w:val="000000" w:themeColor="text1"/>
              </w:rPr>
              <w:t>侧约</w:t>
            </w:r>
            <w:r w:rsidR="00E112FE" w:rsidRPr="00092862">
              <w:rPr>
                <w:color w:val="000000" w:themeColor="text1"/>
              </w:rPr>
              <w:t>33</w:t>
            </w:r>
            <w:r w:rsidRPr="00092862">
              <w:rPr>
                <w:color w:val="000000" w:themeColor="text1"/>
              </w:rPr>
              <w:t>00</w:t>
            </w:r>
            <w:r w:rsidR="00E112FE" w:rsidRPr="00092862">
              <w:rPr>
                <w:color w:val="000000" w:themeColor="text1"/>
              </w:rPr>
              <w:t>~5000</w:t>
            </w:r>
            <w:r w:rsidRPr="00092862">
              <w:rPr>
                <w:color w:val="000000" w:themeColor="text1"/>
              </w:rPr>
              <w:t>m</w:t>
            </w:r>
          </w:p>
        </w:tc>
        <w:tc>
          <w:tcPr>
            <w:tcW w:w="603" w:type="pct"/>
            <w:shd w:val="clear" w:color="auto" w:fill="auto"/>
            <w:vAlign w:val="center"/>
          </w:tcPr>
          <w:p w14:paraId="74ADE85E" w14:textId="08F4964D" w:rsidR="00450025" w:rsidRPr="00092862" w:rsidRDefault="00450025" w:rsidP="00C54C73">
            <w:pPr>
              <w:pStyle w:val="afffff8"/>
              <w:adjustRightInd w:val="0"/>
              <w:snapToGrid w:val="0"/>
              <w:rPr>
                <w:color w:val="000000" w:themeColor="text1"/>
              </w:rPr>
            </w:pPr>
            <w:r w:rsidRPr="00092862">
              <w:rPr>
                <w:color w:val="000000" w:themeColor="text1"/>
              </w:rPr>
              <w:t>-1</w:t>
            </w:r>
            <w:r w:rsidR="00E112FE" w:rsidRPr="00092862">
              <w:rPr>
                <w:color w:val="000000" w:themeColor="text1"/>
              </w:rPr>
              <w:t>77</w:t>
            </w:r>
            <w:r w:rsidRPr="00092862">
              <w:rPr>
                <w:color w:val="000000" w:themeColor="text1"/>
              </w:rPr>
              <w:t>0</w:t>
            </w:r>
          </w:p>
        </w:tc>
        <w:tc>
          <w:tcPr>
            <w:tcW w:w="520" w:type="pct"/>
            <w:vAlign w:val="center"/>
          </w:tcPr>
          <w:p w14:paraId="4EB85EE0" w14:textId="33815244" w:rsidR="00450025" w:rsidRPr="00092862" w:rsidRDefault="00E112FE" w:rsidP="00C54C73">
            <w:pPr>
              <w:pStyle w:val="afffff8"/>
              <w:adjustRightInd w:val="0"/>
              <w:snapToGrid w:val="0"/>
              <w:rPr>
                <w:color w:val="000000" w:themeColor="text1"/>
              </w:rPr>
            </w:pPr>
            <w:r w:rsidRPr="00092862">
              <w:rPr>
                <w:color w:val="000000" w:themeColor="text1"/>
              </w:rPr>
              <w:t>-3040</w:t>
            </w:r>
          </w:p>
        </w:tc>
      </w:tr>
      <w:tr w:rsidR="00697429" w:rsidRPr="00092862" w14:paraId="7A2E84D3" w14:textId="77777777" w:rsidTr="00C54C73">
        <w:trPr>
          <w:jc w:val="center"/>
        </w:trPr>
        <w:tc>
          <w:tcPr>
            <w:tcW w:w="505" w:type="pct"/>
            <w:shd w:val="clear" w:color="auto" w:fill="auto"/>
            <w:vAlign w:val="center"/>
          </w:tcPr>
          <w:p w14:paraId="6D57B883" w14:textId="77777777" w:rsidR="00450025" w:rsidRPr="00092862" w:rsidRDefault="00450025" w:rsidP="00C54C73">
            <w:pPr>
              <w:pStyle w:val="afffff8"/>
              <w:adjustRightInd w:val="0"/>
              <w:snapToGrid w:val="0"/>
              <w:rPr>
                <w:color w:val="000000" w:themeColor="text1"/>
              </w:rPr>
            </w:pPr>
            <w:r w:rsidRPr="00092862">
              <w:rPr>
                <w:color w:val="000000" w:themeColor="text1"/>
              </w:rPr>
              <w:t>11#</w:t>
            </w:r>
            <w:r w:rsidRPr="00092862">
              <w:rPr>
                <w:color w:val="000000" w:themeColor="text1"/>
              </w:rPr>
              <w:t>敏感点</w:t>
            </w:r>
          </w:p>
        </w:tc>
        <w:tc>
          <w:tcPr>
            <w:tcW w:w="1124" w:type="pct"/>
            <w:vAlign w:val="center"/>
          </w:tcPr>
          <w:p w14:paraId="594E688F" w14:textId="2496F860" w:rsidR="00450025" w:rsidRPr="00092862" w:rsidRDefault="00E112FE" w:rsidP="00C54C73">
            <w:pPr>
              <w:pStyle w:val="afffff8"/>
              <w:adjustRightInd w:val="0"/>
              <w:snapToGrid w:val="0"/>
              <w:rPr>
                <w:color w:val="000000" w:themeColor="text1"/>
              </w:rPr>
            </w:pPr>
            <w:r w:rsidRPr="00092862">
              <w:rPr>
                <w:color w:val="000000" w:themeColor="text1"/>
              </w:rPr>
              <w:t>黄岭滩</w:t>
            </w:r>
            <w:r w:rsidR="00450025" w:rsidRPr="00092862">
              <w:rPr>
                <w:color w:val="000000" w:themeColor="text1"/>
              </w:rPr>
              <w:t>村村民点</w:t>
            </w:r>
          </w:p>
        </w:tc>
        <w:tc>
          <w:tcPr>
            <w:tcW w:w="1124" w:type="pct"/>
            <w:vAlign w:val="center"/>
          </w:tcPr>
          <w:p w14:paraId="300E103D" w14:textId="2CB85252" w:rsidR="00450025" w:rsidRPr="00092862" w:rsidRDefault="00450025" w:rsidP="00C54C73">
            <w:pPr>
              <w:pStyle w:val="afffff8"/>
              <w:adjustRightInd w:val="0"/>
              <w:snapToGrid w:val="0"/>
              <w:rPr>
                <w:color w:val="000000" w:themeColor="text1"/>
              </w:rPr>
            </w:pPr>
            <w:r w:rsidRPr="00092862">
              <w:rPr>
                <w:color w:val="000000" w:themeColor="text1"/>
              </w:rPr>
              <w:t>约</w:t>
            </w:r>
            <w:r w:rsidR="00E112FE" w:rsidRPr="00092862">
              <w:rPr>
                <w:color w:val="000000" w:themeColor="text1"/>
              </w:rPr>
              <w:t>95</w:t>
            </w:r>
            <w:r w:rsidRPr="00092862">
              <w:rPr>
                <w:color w:val="000000" w:themeColor="text1"/>
              </w:rPr>
              <w:t>户</w:t>
            </w:r>
            <w:r w:rsidR="00E112FE" w:rsidRPr="00092862">
              <w:rPr>
                <w:color w:val="000000" w:themeColor="text1"/>
              </w:rPr>
              <w:t>390</w:t>
            </w:r>
            <w:r w:rsidRPr="00092862">
              <w:rPr>
                <w:color w:val="000000" w:themeColor="text1"/>
              </w:rPr>
              <w:t>0</w:t>
            </w:r>
            <w:r w:rsidRPr="00092862">
              <w:rPr>
                <w:color w:val="000000" w:themeColor="text1"/>
              </w:rPr>
              <w:t>人</w:t>
            </w:r>
          </w:p>
        </w:tc>
        <w:tc>
          <w:tcPr>
            <w:tcW w:w="1124" w:type="pct"/>
            <w:vAlign w:val="center"/>
          </w:tcPr>
          <w:p w14:paraId="2691C948" w14:textId="057ED735" w:rsidR="00450025" w:rsidRPr="00092862" w:rsidRDefault="00450025" w:rsidP="00C54C73">
            <w:pPr>
              <w:pStyle w:val="afffff8"/>
              <w:adjustRightInd w:val="0"/>
              <w:snapToGrid w:val="0"/>
              <w:rPr>
                <w:color w:val="000000" w:themeColor="text1"/>
              </w:rPr>
            </w:pPr>
            <w:r w:rsidRPr="00092862">
              <w:rPr>
                <w:color w:val="000000" w:themeColor="text1"/>
              </w:rPr>
              <w:t>井口西侧约</w:t>
            </w:r>
            <w:r w:rsidR="00E112FE" w:rsidRPr="00092862">
              <w:rPr>
                <w:color w:val="000000" w:themeColor="text1"/>
              </w:rPr>
              <w:t>178</w:t>
            </w:r>
            <w:r w:rsidRPr="00092862">
              <w:rPr>
                <w:color w:val="000000" w:themeColor="text1"/>
              </w:rPr>
              <w:t>0</w:t>
            </w:r>
            <w:r w:rsidR="00E112FE" w:rsidRPr="00092862">
              <w:rPr>
                <w:color w:val="000000" w:themeColor="text1"/>
              </w:rPr>
              <w:t>~2700</w:t>
            </w:r>
            <w:r w:rsidRPr="00092862">
              <w:rPr>
                <w:color w:val="000000" w:themeColor="text1"/>
              </w:rPr>
              <w:t>m</w:t>
            </w:r>
          </w:p>
        </w:tc>
        <w:tc>
          <w:tcPr>
            <w:tcW w:w="603" w:type="pct"/>
            <w:shd w:val="clear" w:color="auto" w:fill="auto"/>
            <w:vAlign w:val="center"/>
          </w:tcPr>
          <w:p w14:paraId="41E38FD2" w14:textId="61B639A9" w:rsidR="00450025" w:rsidRPr="00092862" w:rsidRDefault="00450025" w:rsidP="00C54C73">
            <w:pPr>
              <w:pStyle w:val="afffff8"/>
              <w:adjustRightInd w:val="0"/>
              <w:snapToGrid w:val="0"/>
              <w:rPr>
                <w:color w:val="000000" w:themeColor="text1"/>
              </w:rPr>
            </w:pPr>
            <w:r w:rsidRPr="00092862">
              <w:rPr>
                <w:color w:val="000000" w:themeColor="text1"/>
              </w:rPr>
              <w:t>-</w:t>
            </w:r>
            <w:r w:rsidR="00E112FE" w:rsidRPr="00092862">
              <w:rPr>
                <w:color w:val="000000" w:themeColor="text1"/>
              </w:rPr>
              <w:t>178</w:t>
            </w:r>
            <w:r w:rsidRPr="00092862">
              <w:rPr>
                <w:color w:val="000000" w:themeColor="text1"/>
              </w:rPr>
              <w:t>0</w:t>
            </w:r>
          </w:p>
        </w:tc>
        <w:tc>
          <w:tcPr>
            <w:tcW w:w="520" w:type="pct"/>
            <w:vAlign w:val="center"/>
          </w:tcPr>
          <w:p w14:paraId="52113BC3" w14:textId="6C480CC2" w:rsidR="00450025" w:rsidRPr="00092862" w:rsidRDefault="00E112FE" w:rsidP="00C54C73">
            <w:pPr>
              <w:pStyle w:val="afffff8"/>
              <w:adjustRightInd w:val="0"/>
              <w:snapToGrid w:val="0"/>
              <w:rPr>
                <w:color w:val="000000" w:themeColor="text1"/>
              </w:rPr>
            </w:pPr>
            <w:r w:rsidRPr="00092862">
              <w:rPr>
                <w:color w:val="000000" w:themeColor="text1"/>
              </w:rPr>
              <w:t>0</w:t>
            </w:r>
          </w:p>
        </w:tc>
      </w:tr>
      <w:tr w:rsidR="00697429" w:rsidRPr="00092862" w14:paraId="3F57E173" w14:textId="77777777" w:rsidTr="00C54C73">
        <w:trPr>
          <w:jc w:val="center"/>
        </w:trPr>
        <w:tc>
          <w:tcPr>
            <w:tcW w:w="505" w:type="pct"/>
            <w:shd w:val="clear" w:color="auto" w:fill="auto"/>
            <w:vAlign w:val="center"/>
          </w:tcPr>
          <w:p w14:paraId="65AA7C73" w14:textId="77777777" w:rsidR="00450025" w:rsidRPr="00092862" w:rsidRDefault="00450025" w:rsidP="00C54C73">
            <w:pPr>
              <w:pStyle w:val="afffff8"/>
              <w:adjustRightInd w:val="0"/>
              <w:snapToGrid w:val="0"/>
              <w:rPr>
                <w:color w:val="000000" w:themeColor="text1"/>
              </w:rPr>
            </w:pPr>
            <w:r w:rsidRPr="00092862">
              <w:rPr>
                <w:color w:val="000000" w:themeColor="text1"/>
              </w:rPr>
              <w:t>12#</w:t>
            </w:r>
            <w:r w:rsidRPr="00092862">
              <w:rPr>
                <w:color w:val="000000" w:themeColor="text1"/>
              </w:rPr>
              <w:t>敏感点</w:t>
            </w:r>
          </w:p>
        </w:tc>
        <w:tc>
          <w:tcPr>
            <w:tcW w:w="1124" w:type="pct"/>
            <w:vAlign w:val="center"/>
          </w:tcPr>
          <w:p w14:paraId="587533E6" w14:textId="6CA5B18B" w:rsidR="00450025" w:rsidRPr="00092862" w:rsidRDefault="00E112FE" w:rsidP="00C54C73">
            <w:pPr>
              <w:pStyle w:val="afffff8"/>
              <w:adjustRightInd w:val="0"/>
              <w:snapToGrid w:val="0"/>
              <w:rPr>
                <w:color w:val="000000" w:themeColor="text1"/>
              </w:rPr>
            </w:pPr>
            <w:r w:rsidRPr="00092862">
              <w:rPr>
                <w:color w:val="000000" w:themeColor="text1"/>
              </w:rPr>
              <w:t>燕坪村</w:t>
            </w:r>
            <w:r w:rsidR="00450025" w:rsidRPr="00092862">
              <w:rPr>
                <w:color w:val="000000" w:themeColor="text1"/>
              </w:rPr>
              <w:t>居民点</w:t>
            </w:r>
          </w:p>
        </w:tc>
        <w:tc>
          <w:tcPr>
            <w:tcW w:w="1124" w:type="pct"/>
            <w:vAlign w:val="center"/>
          </w:tcPr>
          <w:p w14:paraId="2354DC84" w14:textId="55462780" w:rsidR="00450025" w:rsidRPr="00092862" w:rsidRDefault="00450025" w:rsidP="00C54C73">
            <w:pPr>
              <w:pStyle w:val="afffff8"/>
              <w:adjustRightInd w:val="0"/>
              <w:snapToGrid w:val="0"/>
              <w:rPr>
                <w:color w:val="000000" w:themeColor="text1"/>
              </w:rPr>
            </w:pPr>
            <w:r w:rsidRPr="00092862">
              <w:rPr>
                <w:color w:val="000000" w:themeColor="text1"/>
              </w:rPr>
              <w:t>约</w:t>
            </w:r>
            <w:r w:rsidR="00E112FE" w:rsidRPr="00092862">
              <w:rPr>
                <w:color w:val="000000" w:themeColor="text1"/>
              </w:rPr>
              <w:t>26</w:t>
            </w:r>
            <w:r w:rsidRPr="00092862">
              <w:rPr>
                <w:color w:val="000000" w:themeColor="text1"/>
              </w:rPr>
              <w:t>0</w:t>
            </w:r>
            <w:r w:rsidRPr="00092862">
              <w:rPr>
                <w:color w:val="000000" w:themeColor="text1"/>
              </w:rPr>
              <w:t>户</w:t>
            </w:r>
            <w:r w:rsidR="00E112FE" w:rsidRPr="00092862">
              <w:rPr>
                <w:color w:val="000000" w:themeColor="text1"/>
              </w:rPr>
              <w:t>1040</w:t>
            </w:r>
            <w:r w:rsidRPr="00092862">
              <w:rPr>
                <w:color w:val="000000" w:themeColor="text1"/>
              </w:rPr>
              <w:t>人</w:t>
            </w:r>
          </w:p>
        </w:tc>
        <w:tc>
          <w:tcPr>
            <w:tcW w:w="1124" w:type="pct"/>
            <w:vAlign w:val="center"/>
          </w:tcPr>
          <w:p w14:paraId="099C8541" w14:textId="1BEC9661" w:rsidR="00450025" w:rsidRPr="00092862" w:rsidRDefault="00450025" w:rsidP="00C54C73">
            <w:pPr>
              <w:pStyle w:val="afffff8"/>
              <w:adjustRightInd w:val="0"/>
              <w:snapToGrid w:val="0"/>
              <w:rPr>
                <w:color w:val="000000" w:themeColor="text1"/>
              </w:rPr>
            </w:pPr>
            <w:r w:rsidRPr="00092862">
              <w:rPr>
                <w:color w:val="000000" w:themeColor="text1"/>
              </w:rPr>
              <w:t>井口西</w:t>
            </w:r>
            <w:r w:rsidR="00E112FE" w:rsidRPr="00092862">
              <w:rPr>
                <w:color w:val="000000" w:themeColor="text1"/>
              </w:rPr>
              <w:t>南</w:t>
            </w:r>
            <w:r w:rsidRPr="00092862">
              <w:rPr>
                <w:color w:val="000000" w:themeColor="text1"/>
              </w:rPr>
              <w:t>侧约</w:t>
            </w:r>
            <w:r w:rsidR="00E112FE" w:rsidRPr="00092862">
              <w:rPr>
                <w:color w:val="000000" w:themeColor="text1"/>
              </w:rPr>
              <w:t>289</w:t>
            </w:r>
            <w:r w:rsidRPr="00092862">
              <w:rPr>
                <w:color w:val="000000" w:themeColor="text1"/>
              </w:rPr>
              <w:t>0</w:t>
            </w:r>
            <w:r w:rsidR="00E112FE" w:rsidRPr="00092862">
              <w:rPr>
                <w:color w:val="000000" w:themeColor="text1"/>
              </w:rPr>
              <w:t>~500</w:t>
            </w:r>
            <w:r w:rsidRPr="00092862">
              <w:rPr>
                <w:color w:val="000000" w:themeColor="text1"/>
              </w:rPr>
              <w:t>0m</w:t>
            </w:r>
          </w:p>
        </w:tc>
        <w:tc>
          <w:tcPr>
            <w:tcW w:w="603" w:type="pct"/>
            <w:shd w:val="clear" w:color="auto" w:fill="auto"/>
            <w:vAlign w:val="center"/>
          </w:tcPr>
          <w:p w14:paraId="54B0C529" w14:textId="01F529BA" w:rsidR="00450025" w:rsidRPr="00092862" w:rsidRDefault="00450025" w:rsidP="00C54C73">
            <w:pPr>
              <w:pStyle w:val="afffff8"/>
              <w:adjustRightInd w:val="0"/>
              <w:snapToGrid w:val="0"/>
              <w:rPr>
                <w:color w:val="000000" w:themeColor="text1"/>
              </w:rPr>
            </w:pPr>
            <w:r w:rsidRPr="00092862">
              <w:rPr>
                <w:color w:val="000000" w:themeColor="text1"/>
              </w:rPr>
              <w:t>-</w:t>
            </w:r>
            <w:r w:rsidR="00E112FE" w:rsidRPr="00092862">
              <w:rPr>
                <w:color w:val="000000" w:themeColor="text1"/>
              </w:rPr>
              <w:t>2900</w:t>
            </w:r>
          </w:p>
        </w:tc>
        <w:tc>
          <w:tcPr>
            <w:tcW w:w="520" w:type="pct"/>
            <w:vAlign w:val="center"/>
          </w:tcPr>
          <w:p w14:paraId="1C8898BA" w14:textId="1B921CF1" w:rsidR="00450025" w:rsidRPr="00092862" w:rsidRDefault="00E112FE" w:rsidP="00C54C73">
            <w:pPr>
              <w:pStyle w:val="afffff8"/>
              <w:adjustRightInd w:val="0"/>
              <w:snapToGrid w:val="0"/>
              <w:rPr>
                <w:color w:val="000000" w:themeColor="text1"/>
              </w:rPr>
            </w:pPr>
            <w:r w:rsidRPr="00092862">
              <w:rPr>
                <w:color w:val="000000" w:themeColor="text1"/>
              </w:rPr>
              <w:t>-780</w:t>
            </w:r>
          </w:p>
        </w:tc>
      </w:tr>
      <w:tr w:rsidR="00697429" w:rsidRPr="00092862" w14:paraId="1DAB350D" w14:textId="77777777" w:rsidTr="00C54C73">
        <w:trPr>
          <w:jc w:val="center"/>
        </w:trPr>
        <w:tc>
          <w:tcPr>
            <w:tcW w:w="505" w:type="pct"/>
            <w:shd w:val="clear" w:color="auto" w:fill="auto"/>
            <w:vAlign w:val="center"/>
          </w:tcPr>
          <w:p w14:paraId="2970D65D" w14:textId="77777777" w:rsidR="00450025" w:rsidRPr="00092862" w:rsidRDefault="00450025" w:rsidP="00C54C73">
            <w:pPr>
              <w:pStyle w:val="afffff8"/>
              <w:adjustRightInd w:val="0"/>
              <w:snapToGrid w:val="0"/>
              <w:rPr>
                <w:color w:val="000000" w:themeColor="text1"/>
              </w:rPr>
            </w:pPr>
            <w:r w:rsidRPr="00092862">
              <w:rPr>
                <w:color w:val="000000" w:themeColor="text1"/>
              </w:rPr>
              <w:t>13#</w:t>
            </w:r>
            <w:r w:rsidRPr="00092862">
              <w:rPr>
                <w:color w:val="000000" w:themeColor="text1"/>
              </w:rPr>
              <w:t>敏感点</w:t>
            </w:r>
          </w:p>
        </w:tc>
        <w:tc>
          <w:tcPr>
            <w:tcW w:w="1124" w:type="pct"/>
            <w:vAlign w:val="center"/>
          </w:tcPr>
          <w:p w14:paraId="68DC829A" w14:textId="1B094ADB" w:rsidR="00450025" w:rsidRPr="00092862" w:rsidRDefault="00E112FE" w:rsidP="00C54C73">
            <w:pPr>
              <w:pStyle w:val="afffff8"/>
              <w:adjustRightInd w:val="0"/>
              <w:snapToGrid w:val="0"/>
              <w:rPr>
                <w:color w:val="000000" w:themeColor="text1"/>
              </w:rPr>
            </w:pPr>
            <w:r w:rsidRPr="00092862">
              <w:rPr>
                <w:color w:val="000000" w:themeColor="text1"/>
              </w:rPr>
              <w:t>长青村</w:t>
            </w:r>
            <w:r w:rsidR="00450025" w:rsidRPr="00092862">
              <w:rPr>
                <w:color w:val="000000" w:themeColor="text1"/>
              </w:rPr>
              <w:t>村民点</w:t>
            </w:r>
          </w:p>
        </w:tc>
        <w:tc>
          <w:tcPr>
            <w:tcW w:w="1124" w:type="pct"/>
            <w:vAlign w:val="center"/>
          </w:tcPr>
          <w:p w14:paraId="6E8B3F76" w14:textId="64BD5069" w:rsidR="00450025" w:rsidRPr="00092862" w:rsidRDefault="00450025" w:rsidP="00C54C73">
            <w:pPr>
              <w:pStyle w:val="afffff8"/>
              <w:adjustRightInd w:val="0"/>
              <w:snapToGrid w:val="0"/>
              <w:rPr>
                <w:color w:val="000000" w:themeColor="text1"/>
              </w:rPr>
            </w:pPr>
            <w:r w:rsidRPr="00092862">
              <w:rPr>
                <w:color w:val="000000" w:themeColor="text1"/>
              </w:rPr>
              <w:t>约</w:t>
            </w:r>
            <w:r w:rsidR="00E112FE" w:rsidRPr="00092862">
              <w:rPr>
                <w:color w:val="000000" w:themeColor="text1"/>
              </w:rPr>
              <w:t>22</w:t>
            </w:r>
            <w:r w:rsidRPr="00092862">
              <w:rPr>
                <w:color w:val="000000" w:themeColor="text1"/>
              </w:rPr>
              <w:t>0</w:t>
            </w:r>
            <w:r w:rsidRPr="00092862">
              <w:rPr>
                <w:color w:val="000000" w:themeColor="text1"/>
              </w:rPr>
              <w:t>户</w:t>
            </w:r>
            <w:r w:rsidR="00E112FE" w:rsidRPr="00092862">
              <w:rPr>
                <w:color w:val="000000" w:themeColor="text1"/>
              </w:rPr>
              <w:t>88</w:t>
            </w:r>
            <w:r w:rsidRPr="00092862">
              <w:rPr>
                <w:color w:val="000000" w:themeColor="text1"/>
              </w:rPr>
              <w:t>0</w:t>
            </w:r>
            <w:r w:rsidRPr="00092862">
              <w:rPr>
                <w:color w:val="000000" w:themeColor="text1"/>
              </w:rPr>
              <w:t>人</w:t>
            </w:r>
          </w:p>
        </w:tc>
        <w:tc>
          <w:tcPr>
            <w:tcW w:w="1124" w:type="pct"/>
            <w:vAlign w:val="center"/>
          </w:tcPr>
          <w:p w14:paraId="6F0E72D2" w14:textId="4ECCE8A1" w:rsidR="00450025" w:rsidRPr="00092862" w:rsidRDefault="00450025" w:rsidP="00C54C73">
            <w:pPr>
              <w:pStyle w:val="afffff8"/>
              <w:adjustRightInd w:val="0"/>
              <w:snapToGrid w:val="0"/>
              <w:rPr>
                <w:color w:val="000000" w:themeColor="text1"/>
              </w:rPr>
            </w:pPr>
            <w:r w:rsidRPr="00092862">
              <w:rPr>
                <w:color w:val="000000" w:themeColor="text1"/>
              </w:rPr>
              <w:t>井口西侧约</w:t>
            </w:r>
            <w:r w:rsidR="00E112FE" w:rsidRPr="00092862">
              <w:rPr>
                <w:color w:val="000000" w:themeColor="text1"/>
              </w:rPr>
              <w:t>3230</w:t>
            </w:r>
            <w:r w:rsidRPr="00092862">
              <w:rPr>
                <w:color w:val="000000" w:themeColor="text1"/>
              </w:rPr>
              <w:t>m</w:t>
            </w:r>
          </w:p>
        </w:tc>
        <w:tc>
          <w:tcPr>
            <w:tcW w:w="603" w:type="pct"/>
            <w:shd w:val="clear" w:color="auto" w:fill="auto"/>
            <w:vAlign w:val="center"/>
          </w:tcPr>
          <w:p w14:paraId="1857E44B" w14:textId="25B1EA82" w:rsidR="00450025" w:rsidRPr="00092862" w:rsidRDefault="00450025" w:rsidP="00C54C73">
            <w:pPr>
              <w:pStyle w:val="afffff8"/>
              <w:adjustRightInd w:val="0"/>
              <w:snapToGrid w:val="0"/>
              <w:rPr>
                <w:color w:val="000000" w:themeColor="text1"/>
              </w:rPr>
            </w:pPr>
            <w:r w:rsidRPr="00092862">
              <w:rPr>
                <w:color w:val="000000" w:themeColor="text1"/>
              </w:rPr>
              <w:t>-3</w:t>
            </w:r>
            <w:r w:rsidR="00E112FE" w:rsidRPr="00092862">
              <w:rPr>
                <w:color w:val="000000" w:themeColor="text1"/>
              </w:rPr>
              <w:t>2</w:t>
            </w:r>
            <w:r w:rsidRPr="00092862">
              <w:rPr>
                <w:color w:val="000000" w:themeColor="text1"/>
              </w:rPr>
              <w:t>00</w:t>
            </w:r>
          </w:p>
        </w:tc>
        <w:tc>
          <w:tcPr>
            <w:tcW w:w="520" w:type="pct"/>
            <w:vAlign w:val="center"/>
          </w:tcPr>
          <w:p w14:paraId="7EDDCA6A" w14:textId="79835DB6" w:rsidR="00450025" w:rsidRPr="00092862" w:rsidRDefault="00E112FE" w:rsidP="00C54C73">
            <w:pPr>
              <w:pStyle w:val="afffff8"/>
              <w:adjustRightInd w:val="0"/>
              <w:snapToGrid w:val="0"/>
              <w:rPr>
                <w:color w:val="000000" w:themeColor="text1"/>
              </w:rPr>
            </w:pPr>
            <w:r w:rsidRPr="00092862">
              <w:rPr>
                <w:color w:val="000000" w:themeColor="text1"/>
              </w:rPr>
              <w:t>11</w:t>
            </w:r>
            <w:r w:rsidR="00450025" w:rsidRPr="00092862">
              <w:rPr>
                <w:color w:val="000000" w:themeColor="text1"/>
              </w:rPr>
              <w:t>0</w:t>
            </w:r>
          </w:p>
        </w:tc>
      </w:tr>
      <w:tr w:rsidR="00697429" w:rsidRPr="00092862" w14:paraId="528E4DDD" w14:textId="77777777" w:rsidTr="00C54C73">
        <w:trPr>
          <w:jc w:val="center"/>
        </w:trPr>
        <w:tc>
          <w:tcPr>
            <w:tcW w:w="505" w:type="pct"/>
            <w:shd w:val="clear" w:color="auto" w:fill="auto"/>
            <w:vAlign w:val="center"/>
          </w:tcPr>
          <w:p w14:paraId="4C1F06F8" w14:textId="77777777" w:rsidR="00450025" w:rsidRPr="00092862" w:rsidRDefault="00450025" w:rsidP="00C54C73">
            <w:pPr>
              <w:pStyle w:val="afffff8"/>
              <w:adjustRightInd w:val="0"/>
              <w:snapToGrid w:val="0"/>
              <w:rPr>
                <w:color w:val="000000" w:themeColor="text1"/>
              </w:rPr>
            </w:pPr>
            <w:r w:rsidRPr="00092862">
              <w:rPr>
                <w:color w:val="000000" w:themeColor="text1"/>
              </w:rPr>
              <w:t>14#</w:t>
            </w:r>
            <w:r w:rsidRPr="00092862">
              <w:rPr>
                <w:color w:val="000000" w:themeColor="text1"/>
              </w:rPr>
              <w:t>敏感点</w:t>
            </w:r>
          </w:p>
        </w:tc>
        <w:tc>
          <w:tcPr>
            <w:tcW w:w="1124" w:type="pct"/>
            <w:vAlign w:val="center"/>
          </w:tcPr>
          <w:p w14:paraId="5D5B2A5D" w14:textId="58E127B3" w:rsidR="00450025" w:rsidRPr="00092862" w:rsidRDefault="00E112FE" w:rsidP="00C54C73">
            <w:pPr>
              <w:pStyle w:val="afffff8"/>
              <w:adjustRightInd w:val="0"/>
              <w:snapToGrid w:val="0"/>
              <w:rPr>
                <w:color w:val="000000" w:themeColor="text1"/>
              </w:rPr>
            </w:pPr>
            <w:r w:rsidRPr="00092862">
              <w:rPr>
                <w:color w:val="000000" w:themeColor="text1"/>
              </w:rPr>
              <w:t>三斗</w:t>
            </w:r>
            <w:r w:rsidR="00450025" w:rsidRPr="00092862">
              <w:rPr>
                <w:color w:val="000000" w:themeColor="text1"/>
              </w:rPr>
              <w:t>村村民点</w:t>
            </w:r>
          </w:p>
        </w:tc>
        <w:tc>
          <w:tcPr>
            <w:tcW w:w="1124" w:type="pct"/>
            <w:vAlign w:val="center"/>
          </w:tcPr>
          <w:p w14:paraId="0D751C90" w14:textId="291E6963" w:rsidR="00450025" w:rsidRPr="00092862" w:rsidRDefault="00450025" w:rsidP="00C54C73">
            <w:pPr>
              <w:pStyle w:val="afffff8"/>
              <w:adjustRightInd w:val="0"/>
              <w:snapToGrid w:val="0"/>
              <w:rPr>
                <w:color w:val="000000" w:themeColor="text1"/>
              </w:rPr>
            </w:pPr>
            <w:r w:rsidRPr="00092862">
              <w:rPr>
                <w:color w:val="000000" w:themeColor="text1"/>
              </w:rPr>
              <w:t>约</w:t>
            </w:r>
            <w:r w:rsidR="00E112FE" w:rsidRPr="00092862">
              <w:rPr>
                <w:color w:val="000000" w:themeColor="text1"/>
              </w:rPr>
              <w:t>11</w:t>
            </w:r>
            <w:r w:rsidRPr="00092862">
              <w:rPr>
                <w:color w:val="000000" w:themeColor="text1"/>
              </w:rPr>
              <w:t>0</w:t>
            </w:r>
            <w:r w:rsidRPr="00092862">
              <w:rPr>
                <w:color w:val="000000" w:themeColor="text1"/>
              </w:rPr>
              <w:t>户</w:t>
            </w:r>
            <w:r w:rsidR="00E112FE" w:rsidRPr="00092862">
              <w:rPr>
                <w:color w:val="000000" w:themeColor="text1"/>
              </w:rPr>
              <w:t>44</w:t>
            </w:r>
            <w:r w:rsidRPr="00092862">
              <w:rPr>
                <w:color w:val="000000" w:themeColor="text1"/>
              </w:rPr>
              <w:t>0</w:t>
            </w:r>
            <w:r w:rsidRPr="00092862">
              <w:rPr>
                <w:color w:val="000000" w:themeColor="text1"/>
              </w:rPr>
              <w:t>人</w:t>
            </w:r>
          </w:p>
        </w:tc>
        <w:tc>
          <w:tcPr>
            <w:tcW w:w="1124" w:type="pct"/>
            <w:vAlign w:val="center"/>
          </w:tcPr>
          <w:p w14:paraId="60D56D91" w14:textId="39B8FD56" w:rsidR="00450025" w:rsidRPr="00092862" w:rsidRDefault="00450025" w:rsidP="00C54C73">
            <w:pPr>
              <w:pStyle w:val="afffff8"/>
              <w:adjustRightInd w:val="0"/>
              <w:snapToGrid w:val="0"/>
              <w:rPr>
                <w:color w:val="000000" w:themeColor="text1"/>
              </w:rPr>
            </w:pPr>
            <w:r w:rsidRPr="00092862">
              <w:rPr>
                <w:color w:val="000000" w:themeColor="text1"/>
              </w:rPr>
              <w:t>井口西</w:t>
            </w:r>
            <w:r w:rsidR="00E112FE" w:rsidRPr="00092862">
              <w:rPr>
                <w:color w:val="000000" w:themeColor="text1"/>
              </w:rPr>
              <w:t>北</w:t>
            </w:r>
            <w:r w:rsidRPr="00092862">
              <w:rPr>
                <w:color w:val="000000" w:themeColor="text1"/>
              </w:rPr>
              <w:t>侧约</w:t>
            </w:r>
            <w:r w:rsidR="00E112FE" w:rsidRPr="00092862">
              <w:rPr>
                <w:color w:val="000000" w:themeColor="text1"/>
              </w:rPr>
              <w:t>2900~5000</w:t>
            </w:r>
            <w:r w:rsidRPr="00092862">
              <w:rPr>
                <w:color w:val="000000" w:themeColor="text1"/>
              </w:rPr>
              <w:t>m</w:t>
            </w:r>
          </w:p>
        </w:tc>
        <w:tc>
          <w:tcPr>
            <w:tcW w:w="603" w:type="pct"/>
            <w:shd w:val="clear" w:color="auto" w:fill="auto"/>
            <w:vAlign w:val="center"/>
          </w:tcPr>
          <w:p w14:paraId="76D948C9" w14:textId="07A2EBAC" w:rsidR="00450025" w:rsidRPr="00092862" w:rsidRDefault="00450025" w:rsidP="00C54C73">
            <w:pPr>
              <w:pStyle w:val="afffff8"/>
              <w:adjustRightInd w:val="0"/>
              <w:snapToGrid w:val="0"/>
              <w:rPr>
                <w:color w:val="000000" w:themeColor="text1"/>
              </w:rPr>
            </w:pPr>
            <w:r w:rsidRPr="00092862">
              <w:rPr>
                <w:color w:val="000000" w:themeColor="text1"/>
              </w:rPr>
              <w:t>-</w:t>
            </w:r>
            <w:r w:rsidR="00E112FE" w:rsidRPr="00092862">
              <w:rPr>
                <w:color w:val="000000" w:themeColor="text1"/>
              </w:rPr>
              <w:t>184</w:t>
            </w:r>
            <w:r w:rsidRPr="00092862">
              <w:rPr>
                <w:color w:val="000000" w:themeColor="text1"/>
              </w:rPr>
              <w:t>0</w:t>
            </w:r>
          </w:p>
        </w:tc>
        <w:tc>
          <w:tcPr>
            <w:tcW w:w="520" w:type="pct"/>
            <w:vAlign w:val="center"/>
          </w:tcPr>
          <w:p w14:paraId="08CA438E" w14:textId="2F4C40BD" w:rsidR="00450025" w:rsidRPr="00092862" w:rsidRDefault="00450025" w:rsidP="00C54C73">
            <w:pPr>
              <w:pStyle w:val="afffff8"/>
              <w:adjustRightInd w:val="0"/>
              <w:snapToGrid w:val="0"/>
              <w:rPr>
                <w:color w:val="000000" w:themeColor="text1"/>
              </w:rPr>
            </w:pPr>
            <w:r w:rsidRPr="00092862">
              <w:rPr>
                <w:color w:val="000000" w:themeColor="text1"/>
              </w:rPr>
              <w:t>2</w:t>
            </w:r>
            <w:r w:rsidR="00E112FE" w:rsidRPr="00092862">
              <w:rPr>
                <w:color w:val="000000" w:themeColor="text1"/>
              </w:rPr>
              <w:t>24</w:t>
            </w:r>
            <w:r w:rsidRPr="00092862">
              <w:rPr>
                <w:color w:val="000000" w:themeColor="text1"/>
              </w:rPr>
              <w:t>0</w:t>
            </w:r>
          </w:p>
        </w:tc>
      </w:tr>
      <w:tr w:rsidR="00697429" w:rsidRPr="00092862" w14:paraId="1EF9406F" w14:textId="77777777" w:rsidTr="00C54C73">
        <w:trPr>
          <w:jc w:val="center"/>
        </w:trPr>
        <w:tc>
          <w:tcPr>
            <w:tcW w:w="505" w:type="pct"/>
            <w:shd w:val="clear" w:color="auto" w:fill="auto"/>
            <w:vAlign w:val="center"/>
          </w:tcPr>
          <w:p w14:paraId="0CBCFBE5" w14:textId="4187D585" w:rsidR="001159B3" w:rsidRPr="00092862" w:rsidRDefault="001159B3" w:rsidP="00C54C73">
            <w:pPr>
              <w:pStyle w:val="afffff8"/>
              <w:adjustRightInd w:val="0"/>
              <w:snapToGrid w:val="0"/>
              <w:rPr>
                <w:color w:val="000000" w:themeColor="text1"/>
              </w:rPr>
            </w:pPr>
            <w:r w:rsidRPr="00092862">
              <w:rPr>
                <w:color w:val="000000" w:themeColor="text1"/>
              </w:rPr>
              <w:t>1</w:t>
            </w:r>
            <w:r w:rsidR="00E112FE" w:rsidRPr="00092862">
              <w:rPr>
                <w:color w:val="000000" w:themeColor="text1"/>
              </w:rPr>
              <w:t>5</w:t>
            </w:r>
            <w:r w:rsidRPr="00092862">
              <w:rPr>
                <w:color w:val="000000" w:themeColor="text1"/>
              </w:rPr>
              <w:t>#</w:t>
            </w:r>
            <w:r w:rsidRPr="00092862">
              <w:rPr>
                <w:color w:val="000000" w:themeColor="text1"/>
              </w:rPr>
              <w:t>敏感点</w:t>
            </w:r>
          </w:p>
        </w:tc>
        <w:tc>
          <w:tcPr>
            <w:tcW w:w="1124" w:type="pct"/>
            <w:vAlign w:val="center"/>
          </w:tcPr>
          <w:p w14:paraId="491849FF" w14:textId="20B29EA5" w:rsidR="001159B3" w:rsidRPr="00092862" w:rsidRDefault="00E112FE" w:rsidP="00C54C73">
            <w:pPr>
              <w:pStyle w:val="afffff8"/>
              <w:adjustRightInd w:val="0"/>
              <w:snapToGrid w:val="0"/>
              <w:rPr>
                <w:color w:val="000000" w:themeColor="text1"/>
              </w:rPr>
            </w:pPr>
            <w:r w:rsidRPr="00092862">
              <w:rPr>
                <w:color w:val="000000" w:themeColor="text1"/>
              </w:rPr>
              <w:t>清溪</w:t>
            </w:r>
            <w:r w:rsidR="001159B3" w:rsidRPr="00092862">
              <w:rPr>
                <w:color w:val="000000" w:themeColor="text1"/>
              </w:rPr>
              <w:t>镇中心</w:t>
            </w:r>
            <w:r w:rsidRPr="00092862">
              <w:rPr>
                <w:color w:val="000000" w:themeColor="text1"/>
              </w:rPr>
              <w:t>小学</w:t>
            </w:r>
          </w:p>
        </w:tc>
        <w:tc>
          <w:tcPr>
            <w:tcW w:w="1124" w:type="pct"/>
            <w:vAlign w:val="center"/>
          </w:tcPr>
          <w:p w14:paraId="43DB9241" w14:textId="7767E343" w:rsidR="001159B3" w:rsidRPr="00092862" w:rsidRDefault="001159B3" w:rsidP="00C54C73">
            <w:pPr>
              <w:pStyle w:val="afffff8"/>
              <w:adjustRightInd w:val="0"/>
              <w:snapToGrid w:val="0"/>
              <w:rPr>
                <w:color w:val="000000" w:themeColor="text1"/>
              </w:rPr>
            </w:pPr>
            <w:r w:rsidRPr="00092862">
              <w:rPr>
                <w:color w:val="000000" w:themeColor="text1"/>
              </w:rPr>
              <w:t>师生约</w:t>
            </w:r>
            <w:r w:rsidR="00E112FE" w:rsidRPr="00092862">
              <w:rPr>
                <w:color w:val="000000" w:themeColor="text1"/>
              </w:rPr>
              <w:t>9</w:t>
            </w:r>
            <w:r w:rsidRPr="00092862">
              <w:rPr>
                <w:color w:val="000000" w:themeColor="text1"/>
              </w:rPr>
              <w:t>00</w:t>
            </w:r>
            <w:r w:rsidRPr="00092862">
              <w:rPr>
                <w:color w:val="000000" w:themeColor="text1"/>
              </w:rPr>
              <w:t>人</w:t>
            </w:r>
          </w:p>
        </w:tc>
        <w:tc>
          <w:tcPr>
            <w:tcW w:w="1124" w:type="pct"/>
            <w:vAlign w:val="center"/>
          </w:tcPr>
          <w:p w14:paraId="5986A08D" w14:textId="22B299ED" w:rsidR="001159B3" w:rsidRPr="00092862" w:rsidRDefault="001159B3" w:rsidP="00C54C73">
            <w:pPr>
              <w:pStyle w:val="afffff8"/>
              <w:adjustRightInd w:val="0"/>
              <w:snapToGrid w:val="0"/>
              <w:rPr>
                <w:color w:val="000000" w:themeColor="text1"/>
              </w:rPr>
            </w:pPr>
            <w:r w:rsidRPr="00092862">
              <w:rPr>
                <w:color w:val="000000" w:themeColor="text1"/>
              </w:rPr>
              <w:t>井口西</w:t>
            </w:r>
            <w:r w:rsidR="00E112FE" w:rsidRPr="00092862">
              <w:rPr>
                <w:color w:val="000000" w:themeColor="text1"/>
              </w:rPr>
              <w:t>南</w:t>
            </w:r>
            <w:r w:rsidRPr="00092862">
              <w:rPr>
                <w:color w:val="000000" w:themeColor="text1"/>
              </w:rPr>
              <w:t>侧约</w:t>
            </w:r>
            <w:r w:rsidR="00E112FE" w:rsidRPr="00092862">
              <w:rPr>
                <w:color w:val="000000" w:themeColor="text1"/>
              </w:rPr>
              <w:t>340</w:t>
            </w:r>
            <w:r w:rsidRPr="00092862">
              <w:rPr>
                <w:color w:val="000000" w:themeColor="text1"/>
              </w:rPr>
              <w:t>0m</w:t>
            </w:r>
          </w:p>
        </w:tc>
        <w:tc>
          <w:tcPr>
            <w:tcW w:w="603" w:type="pct"/>
            <w:shd w:val="clear" w:color="auto" w:fill="auto"/>
            <w:vAlign w:val="center"/>
          </w:tcPr>
          <w:p w14:paraId="1CCA325E" w14:textId="7D76F790" w:rsidR="001159B3" w:rsidRPr="00092862" w:rsidRDefault="001159B3" w:rsidP="00C54C73">
            <w:pPr>
              <w:pStyle w:val="afffff8"/>
              <w:adjustRightInd w:val="0"/>
              <w:snapToGrid w:val="0"/>
              <w:rPr>
                <w:color w:val="000000" w:themeColor="text1"/>
              </w:rPr>
            </w:pPr>
            <w:r w:rsidRPr="00092862">
              <w:rPr>
                <w:color w:val="000000" w:themeColor="text1"/>
              </w:rPr>
              <w:t>-</w:t>
            </w:r>
            <w:r w:rsidR="00E112FE" w:rsidRPr="00092862">
              <w:rPr>
                <w:color w:val="000000" w:themeColor="text1"/>
              </w:rPr>
              <w:t>226</w:t>
            </w:r>
            <w:r w:rsidRPr="00092862">
              <w:rPr>
                <w:color w:val="000000" w:themeColor="text1"/>
              </w:rPr>
              <w:t>0</w:t>
            </w:r>
          </w:p>
        </w:tc>
        <w:tc>
          <w:tcPr>
            <w:tcW w:w="520" w:type="pct"/>
            <w:vAlign w:val="center"/>
          </w:tcPr>
          <w:p w14:paraId="13FAFE44" w14:textId="28BB5118" w:rsidR="001159B3" w:rsidRPr="00092862" w:rsidRDefault="00E112FE" w:rsidP="00C54C73">
            <w:pPr>
              <w:pStyle w:val="afffff8"/>
              <w:adjustRightInd w:val="0"/>
              <w:snapToGrid w:val="0"/>
              <w:rPr>
                <w:color w:val="000000" w:themeColor="text1"/>
              </w:rPr>
            </w:pPr>
            <w:r w:rsidRPr="00092862">
              <w:rPr>
                <w:color w:val="000000" w:themeColor="text1"/>
              </w:rPr>
              <w:t>-2530</w:t>
            </w:r>
          </w:p>
        </w:tc>
      </w:tr>
      <w:tr w:rsidR="00697429" w:rsidRPr="00092862" w14:paraId="26650A93" w14:textId="77777777" w:rsidTr="00C54C73">
        <w:trPr>
          <w:jc w:val="center"/>
        </w:trPr>
        <w:tc>
          <w:tcPr>
            <w:tcW w:w="505" w:type="pct"/>
            <w:shd w:val="clear" w:color="auto" w:fill="auto"/>
            <w:vAlign w:val="center"/>
          </w:tcPr>
          <w:p w14:paraId="748FEF98" w14:textId="05619AA7" w:rsidR="001159B3" w:rsidRPr="00092862" w:rsidRDefault="00E112FE" w:rsidP="001159B3">
            <w:pPr>
              <w:pStyle w:val="afffff8"/>
              <w:adjustRightInd w:val="0"/>
              <w:snapToGrid w:val="0"/>
              <w:rPr>
                <w:color w:val="000000" w:themeColor="text1"/>
              </w:rPr>
            </w:pPr>
            <w:r w:rsidRPr="00092862">
              <w:rPr>
                <w:color w:val="000000" w:themeColor="text1"/>
              </w:rPr>
              <w:t>16</w:t>
            </w:r>
            <w:r w:rsidR="001159B3" w:rsidRPr="00092862">
              <w:rPr>
                <w:color w:val="000000" w:themeColor="text1"/>
              </w:rPr>
              <w:t>#</w:t>
            </w:r>
            <w:r w:rsidR="001159B3" w:rsidRPr="00092862">
              <w:rPr>
                <w:color w:val="000000" w:themeColor="text1"/>
              </w:rPr>
              <w:t>敏感点</w:t>
            </w:r>
          </w:p>
        </w:tc>
        <w:tc>
          <w:tcPr>
            <w:tcW w:w="1124" w:type="pct"/>
            <w:vAlign w:val="center"/>
          </w:tcPr>
          <w:p w14:paraId="50E77D20" w14:textId="377ACEEB" w:rsidR="001159B3" w:rsidRPr="00092862" w:rsidRDefault="00E112FE" w:rsidP="001159B3">
            <w:pPr>
              <w:pStyle w:val="afffff8"/>
              <w:adjustRightInd w:val="0"/>
              <w:snapToGrid w:val="0"/>
              <w:rPr>
                <w:color w:val="000000" w:themeColor="text1"/>
              </w:rPr>
            </w:pPr>
            <w:r w:rsidRPr="00092862">
              <w:rPr>
                <w:color w:val="000000" w:themeColor="text1"/>
              </w:rPr>
              <w:t>清溪镇</w:t>
            </w:r>
            <w:r w:rsidR="001159B3" w:rsidRPr="00092862">
              <w:rPr>
                <w:color w:val="000000" w:themeColor="text1"/>
              </w:rPr>
              <w:t>卫生院</w:t>
            </w:r>
          </w:p>
        </w:tc>
        <w:tc>
          <w:tcPr>
            <w:tcW w:w="1124" w:type="pct"/>
            <w:vAlign w:val="center"/>
          </w:tcPr>
          <w:p w14:paraId="5BB80579" w14:textId="3B87C58A" w:rsidR="001159B3" w:rsidRPr="00092862" w:rsidRDefault="001159B3" w:rsidP="001159B3">
            <w:pPr>
              <w:pStyle w:val="afffff8"/>
              <w:adjustRightInd w:val="0"/>
              <w:snapToGrid w:val="0"/>
              <w:rPr>
                <w:color w:val="000000" w:themeColor="text1"/>
              </w:rPr>
            </w:pPr>
            <w:r w:rsidRPr="00092862">
              <w:rPr>
                <w:color w:val="000000" w:themeColor="text1"/>
              </w:rPr>
              <w:t>医患约</w:t>
            </w:r>
            <w:r w:rsidRPr="00092862">
              <w:rPr>
                <w:color w:val="000000" w:themeColor="text1"/>
              </w:rPr>
              <w:t>100</w:t>
            </w:r>
            <w:r w:rsidRPr="00092862">
              <w:rPr>
                <w:color w:val="000000" w:themeColor="text1"/>
              </w:rPr>
              <w:t>人</w:t>
            </w:r>
          </w:p>
        </w:tc>
        <w:tc>
          <w:tcPr>
            <w:tcW w:w="1124" w:type="pct"/>
            <w:vAlign w:val="center"/>
          </w:tcPr>
          <w:p w14:paraId="3DB6CC6C" w14:textId="4FC7C4A4" w:rsidR="001159B3" w:rsidRPr="00092862" w:rsidRDefault="00E112FE" w:rsidP="001159B3">
            <w:pPr>
              <w:pStyle w:val="afffff8"/>
              <w:adjustRightInd w:val="0"/>
              <w:snapToGrid w:val="0"/>
              <w:rPr>
                <w:color w:val="000000" w:themeColor="text1"/>
              </w:rPr>
            </w:pPr>
            <w:r w:rsidRPr="00092862">
              <w:rPr>
                <w:color w:val="000000" w:themeColor="text1"/>
              </w:rPr>
              <w:t>井口西南侧约</w:t>
            </w:r>
            <w:r w:rsidRPr="00092862">
              <w:rPr>
                <w:color w:val="000000" w:themeColor="text1"/>
              </w:rPr>
              <w:t>3800m</w:t>
            </w:r>
          </w:p>
        </w:tc>
        <w:tc>
          <w:tcPr>
            <w:tcW w:w="603" w:type="pct"/>
            <w:shd w:val="clear" w:color="auto" w:fill="auto"/>
            <w:vAlign w:val="center"/>
          </w:tcPr>
          <w:p w14:paraId="28CD206E" w14:textId="7357937A" w:rsidR="001159B3" w:rsidRPr="00092862" w:rsidRDefault="001159B3" w:rsidP="001159B3">
            <w:pPr>
              <w:pStyle w:val="afffff8"/>
              <w:adjustRightInd w:val="0"/>
              <w:snapToGrid w:val="0"/>
              <w:rPr>
                <w:color w:val="000000" w:themeColor="text1"/>
              </w:rPr>
            </w:pPr>
            <w:r w:rsidRPr="00092862">
              <w:rPr>
                <w:color w:val="000000" w:themeColor="text1"/>
              </w:rPr>
              <w:t>-</w:t>
            </w:r>
            <w:r w:rsidR="00E112FE" w:rsidRPr="00092862">
              <w:rPr>
                <w:color w:val="000000" w:themeColor="text1"/>
              </w:rPr>
              <w:t>26</w:t>
            </w:r>
            <w:r w:rsidRPr="00092862">
              <w:rPr>
                <w:color w:val="000000" w:themeColor="text1"/>
              </w:rPr>
              <w:t>90</w:t>
            </w:r>
          </w:p>
        </w:tc>
        <w:tc>
          <w:tcPr>
            <w:tcW w:w="520" w:type="pct"/>
            <w:vAlign w:val="center"/>
          </w:tcPr>
          <w:p w14:paraId="6061E397" w14:textId="4FE38CA6" w:rsidR="001159B3" w:rsidRPr="00092862" w:rsidRDefault="00E112FE" w:rsidP="001159B3">
            <w:pPr>
              <w:pStyle w:val="afffff8"/>
              <w:adjustRightInd w:val="0"/>
              <w:snapToGrid w:val="0"/>
              <w:rPr>
                <w:color w:val="000000" w:themeColor="text1"/>
              </w:rPr>
            </w:pPr>
            <w:r w:rsidRPr="00092862">
              <w:rPr>
                <w:color w:val="000000" w:themeColor="text1"/>
              </w:rPr>
              <w:t>-2800</w:t>
            </w:r>
          </w:p>
        </w:tc>
      </w:tr>
    </w:tbl>
    <w:p w14:paraId="746DC43E" w14:textId="63D5D1AC" w:rsidR="00450025" w:rsidRPr="00092862" w:rsidRDefault="00E112FE"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hAnsi="Times New Roman"/>
          <w:noProof/>
          <w:color w:val="000000" w:themeColor="text1"/>
        </w:rPr>
        <w:lastRenderedPageBreak/>
        <mc:AlternateContent>
          <mc:Choice Requires="wps">
            <w:drawing>
              <wp:anchor distT="0" distB="0" distL="114300" distR="114300" simplePos="0" relativeHeight="252464128" behindDoc="0" locked="0" layoutInCell="1" allowOverlap="1" wp14:anchorId="1CD9ADEB" wp14:editId="5630E87C">
                <wp:simplePos x="0" y="0"/>
                <wp:positionH relativeFrom="column">
                  <wp:posOffset>1684020</wp:posOffset>
                </wp:positionH>
                <wp:positionV relativeFrom="paragraph">
                  <wp:posOffset>2909423</wp:posOffset>
                </wp:positionV>
                <wp:extent cx="281940" cy="198120"/>
                <wp:effectExtent l="0" t="0" r="3810" b="11430"/>
                <wp:wrapNone/>
                <wp:docPr id="85" name="文本框 8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09D0BAD" w14:textId="3D683980" w:rsidR="00E112FE" w:rsidRPr="00345259" w:rsidRDefault="00E112FE"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6</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9ADEB" id="文本框 85" o:spid="_x0000_s1053" type="#_x0000_t202" style="position:absolute;left:0;text-align:left;margin-left:132.6pt;margin-top:229.1pt;width:22.2pt;height:15.6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" filled="f" stroked="f">
                <v:textbox inset="0,0,0,0">
                  <w:txbxContent>
                    <w:p w14:paraId="409D0BAD" w14:textId="3D683980" w:rsidR="00E112FE" w:rsidRPr="00345259" w:rsidRDefault="00E112FE"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6</w:t>
                      </w:r>
                      <w:r w:rsidRPr="00345259">
                        <w:rPr>
                          <w:rFonts w:ascii="Times New Roman" w:hAnsi="Times New Roman"/>
                          <w:b/>
                          <w:bCs/>
                          <w:color w:val="FF0000"/>
                          <w:szCs w:val="21"/>
                        </w:rPr>
                        <w:t>#</w:t>
                      </w:r>
                    </w:p>
                  </w:txbxContent>
                </v:textbox>
              </v:shape>
            </w:pict>
          </mc:Fallback>
        </mc:AlternateContent>
      </w:r>
      <w:r w:rsidRPr="00092862">
        <w:rPr>
          <w:rFonts w:ascii="Times New Roman" w:hAnsi="Times New Roman"/>
          <w:noProof/>
          <w:color w:val="000000" w:themeColor="text1"/>
        </w:rPr>
        <mc:AlternateContent>
          <mc:Choice Requires="wps">
            <w:drawing>
              <wp:anchor distT="0" distB="0" distL="114300" distR="114300" simplePos="0" relativeHeight="252462080" behindDoc="0" locked="0" layoutInCell="1" allowOverlap="1" wp14:anchorId="348BA65E" wp14:editId="026DF7E0">
                <wp:simplePos x="0" y="0"/>
                <wp:positionH relativeFrom="column">
                  <wp:posOffset>1684020</wp:posOffset>
                </wp:positionH>
                <wp:positionV relativeFrom="paragraph">
                  <wp:posOffset>2677062</wp:posOffset>
                </wp:positionV>
                <wp:extent cx="281940" cy="198120"/>
                <wp:effectExtent l="0" t="0" r="3810" b="11430"/>
                <wp:wrapNone/>
                <wp:docPr id="84" name="文本框 8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5B493573" w14:textId="00AFE7BA" w:rsidR="00E112FE" w:rsidRPr="00345259" w:rsidRDefault="00E112FE"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5</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BA65E" id="文本框 84" o:spid="_x0000_s1054" type="#_x0000_t202" style="position:absolute;left:0;text-align:left;margin-left:132.6pt;margin-top:210.8pt;width:22.2pt;height:15.6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" filled="f" stroked="f">
                <v:textbox inset="0,0,0,0">
                  <w:txbxContent>
                    <w:p w14:paraId="5B493573" w14:textId="00AFE7BA" w:rsidR="00E112FE" w:rsidRPr="00345259" w:rsidRDefault="00E112FE"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5</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51840" behindDoc="0" locked="0" layoutInCell="1" allowOverlap="1" wp14:anchorId="10BBEE02" wp14:editId="1EAC7477">
                <wp:simplePos x="0" y="0"/>
                <wp:positionH relativeFrom="column">
                  <wp:posOffset>2245692</wp:posOffset>
                </wp:positionH>
                <wp:positionV relativeFrom="paragraph">
                  <wp:posOffset>2744443</wp:posOffset>
                </wp:positionV>
                <wp:extent cx="281940" cy="198120"/>
                <wp:effectExtent l="0" t="0" r="3810" b="11430"/>
                <wp:wrapNone/>
                <wp:docPr id="1850" name="文本框 185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5579A31F" w14:textId="6DB0F225"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9</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BEE02" id="文本框 1850" o:spid="_x0000_s1055" type="#_x0000_t202" style="position:absolute;left:0;text-align:left;margin-left:176.85pt;margin-top:216.1pt;width:22.2pt;height:15.6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" filled="f" stroked="f">
                <v:textbox inset="0,0,0,0">
                  <w:txbxContent>
                    <w:p w14:paraId="5579A31F" w14:textId="6DB0F225"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9</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55936" behindDoc="0" locked="0" layoutInCell="1" allowOverlap="1" wp14:anchorId="0DD717E4" wp14:editId="0D104BD5">
                <wp:simplePos x="0" y="0"/>
                <wp:positionH relativeFrom="column">
                  <wp:posOffset>1508125</wp:posOffset>
                </wp:positionH>
                <wp:positionV relativeFrom="paragraph">
                  <wp:posOffset>914262</wp:posOffset>
                </wp:positionV>
                <wp:extent cx="281940" cy="198120"/>
                <wp:effectExtent l="0" t="0" r="3810" b="11430"/>
                <wp:wrapNone/>
                <wp:docPr id="1852" name="文本框 185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6AFD24F3" w14:textId="7B9AF89F"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4</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717E4" id="文本框 1852" o:spid="_x0000_s1056" type="#_x0000_t202" style="position:absolute;left:0;text-align:left;margin-left:118.75pt;margin-top:1in;width:22.2pt;height:15.6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" filled="f" stroked="f">
                <v:textbox inset="0,0,0,0">
                  <w:txbxContent>
                    <w:p w14:paraId="6AFD24F3" w14:textId="7B9AF89F"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4</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57984" behindDoc="0" locked="0" layoutInCell="1" allowOverlap="1" wp14:anchorId="17D0DEB4" wp14:editId="4FAFE73A">
                <wp:simplePos x="0" y="0"/>
                <wp:positionH relativeFrom="column">
                  <wp:posOffset>1078672</wp:posOffset>
                </wp:positionH>
                <wp:positionV relativeFrom="paragraph">
                  <wp:posOffset>1628803</wp:posOffset>
                </wp:positionV>
                <wp:extent cx="281940" cy="198120"/>
                <wp:effectExtent l="0" t="0" r="3810" b="11430"/>
                <wp:wrapNone/>
                <wp:docPr id="1853" name="文本框 185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02826C14" w14:textId="687C1769"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3</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0DEB4" id="文本框 1853" o:spid="_x0000_s1057" type="#_x0000_t202" style="position:absolute;left:0;text-align:left;margin-left:84.95pt;margin-top:128.25pt;width:22.2pt;height:15.6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uiPQ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" filled="f" stroked="f">
                <v:textbox inset="0,0,0,0">
                  <w:txbxContent>
                    <w:p w14:paraId="02826C14" w14:textId="687C1769"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3</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47744" behindDoc="0" locked="0" layoutInCell="1" allowOverlap="1" wp14:anchorId="02E71818" wp14:editId="5A9C8B49">
                <wp:simplePos x="0" y="0"/>
                <wp:positionH relativeFrom="column">
                  <wp:posOffset>2361013</wp:posOffset>
                </wp:positionH>
                <wp:positionV relativeFrom="paragraph">
                  <wp:posOffset>3326406</wp:posOffset>
                </wp:positionV>
                <wp:extent cx="281940" cy="198120"/>
                <wp:effectExtent l="0" t="0" r="3810" b="11430"/>
                <wp:wrapNone/>
                <wp:docPr id="1848" name="文本框 184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715CE38F" w14:textId="7B3381F8"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8</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71818" id="文本框 1848" o:spid="_x0000_s1058" type="#_x0000_t202" style="position:absolute;left:0;text-align:left;margin-left:185.9pt;margin-top:261.9pt;width:22.2pt;height:15.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ePPg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" filled="f" stroked="f">
                <v:textbox inset="0,0,0,0">
                  <w:txbxContent>
                    <w:p w14:paraId="715CE38F" w14:textId="7B3381F8"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8</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45696" behindDoc="0" locked="0" layoutInCell="1" allowOverlap="1" wp14:anchorId="12E0DA90" wp14:editId="689031EB">
                <wp:simplePos x="0" y="0"/>
                <wp:positionH relativeFrom="column">
                  <wp:posOffset>3101257</wp:posOffset>
                </wp:positionH>
                <wp:positionV relativeFrom="paragraph">
                  <wp:posOffset>3390292</wp:posOffset>
                </wp:positionV>
                <wp:extent cx="281940" cy="198120"/>
                <wp:effectExtent l="0" t="0" r="3810" b="11430"/>
                <wp:wrapNone/>
                <wp:docPr id="1847" name="文本框 184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39EC0EF7" w14:textId="3E5ED721"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7</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0DA90" id="文本框 1847" o:spid="_x0000_s1059" type="#_x0000_t202" style="position:absolute;left:0;text-align:left;margin-left:244.2pt;margin-top:266.95pt;width:22.2pt;height:15.6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" filled="f" stroked="f">
                <v:textbox inset="0,0,0,0">
                  <w:txbxContent>
                    <w:p w14:paraId="39EC0EF7" w14:textId="3E5ED721"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7</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41600" behindDoc="0" locked="0" layoutInCell="1" allowOverlap="1" wp14:anchorId="457A5999" wp14:editId="351E002C">
                <wp:simplePos x="0" y="0"/>
                <wp:positionH relativeFrom="column">
                  <wp:posOffset>3662569</wp:posOffset>
                </wp:positionH>
                <wp:positionV relativeFrom="paragraph">
                  <wp:posOffset>2940381</wp:posOffset>
                </wp:positionV>
                <wp:extent cx="281940" cy="198120"/>
                <wp:effectExtent l="0" t="0" r="3810" b="11430"/>
                <wp:wrapNone/>
                <wp:docPr id="1845" name="文本框 184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B8C75CE" w14:textId="3BDC4603"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6</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A5999" id="文本框 1845" o:spid="_x0000_s1060" type="#_x0000_t202" style="position:absolute;left:0;text-align:left;margin-left:288.4pt;margin-top:231.55pt;width:22.2pt;height:15.6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" filled="f" stroked="f">
                <v:textbox inset="0,0,0,0">
                  <w:txbxContent>
                    <w:p w14:paraId="4B8C75CE" w14:textId="3BDC4603"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6</w:t>
                      </w:r>
                      <w:r w:rsidRPr="00345259">
                        <w:rPr>
                          <w:rFonts w:ascii="Times New Roman" w:hAnsi="Times New Roman"/>
                          <w:b/>
                          <w:bCs/>
                          <w:color w:val="FF0000"/>
                          <w:szCs w:val="21"/>
                        </w:rPr>
                        <w:t>#</w:t>
                      </w:r>
                    </w:p>
                  </w:txbxContent>
                </v:textbox>
              </v:shape>
            </w:pict>
          </mc:Fallback>
        </mc:AlternateContent>
      </w:r>
      <w:r w:rsidR="006B5A7D" w:rsidRPr="00092862">
        <w:rPr>
          <w:rFonts w:ascii="Times New Roman" w:hAnsi="Times New Roman"/>
          <w:noProof/>
          <w:color w:val="000000" w:themeColor="text1"/>
        </w:rPr>
        <mc:AlternateContent>
          <mc:Choice Requires="wps">
            <w:drawing>
              <wp:anchor distT="0" distB="0" distL="114300" distR="114300" simplePos="0" relativeHeight="252435456" behindDoc="0" locked="0" layoutInCell="1" allowOverlap="1" wp14:anchorId="6A12C313" wp14:editId="3381E0B4">
                <wp:simplePos x="0" y="0"/>
                <wp:positionH relativeFrom="column">
                  <wp:posOffset>2359301</wp:posOffset>
                </wp:positionH>
                <wp:positionV relativeFrom="paragraph">
                  <wp:posOffset>1788795</wp:posOffset>
                </wp:positionV>
                <wp:extent cx="281940" cy="198120"/>
                <wp:effectExtent l="0" t="0" r="3810" b="11430"/>
                <wp:wrapNone/>
                <wp:docPr id="1837" name="文本框 183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3B8A9A05" w14:textId="77777777"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2C313" id="文本框 1837" o:spid="_x0000_s1061" type="#_x0000_t202" style="position:absolute;left:0;text-align:left;margin-left:185.75pt;margin-top:140.85pt;width:22.2pt;height:15.6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" filled="f" stroked="f">
                <v:textbox inset="0,0,0,0">
                  <w:txbxContent>
                    <w:p w14:paraId="3B8A9A05" w14:textId="77777777"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60032" behindDoc="0" locked="0" layoutInCell="1" allowOverlap="1" wp14:anchorId="00E9ED7D" wp14:editId="4A1892FF">
                <wp:simplePos x="0" y="0"/>
                <wp:positionH relativeFrom="column">
                  <wp:posOffset>1132779</wp:posOffset>
                </wp:positionH>
                <wp:positionV relativeFrom="paragraph">
                  <wp:posOffset>2508858</wp:posOffset>
                </wp:positionV>
                <wp:extent cx="281940" cy="198120"/>
                <wp:effectExtent l="0" t="0" r="3810" b="11430"/>
                <wp:wrapNone/>
                <wp:docPr id="1854" name="文本框 185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0082D2B3" w14:textId="12808BB3"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2</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9ED7D" id="文本框 1854" o:spid="_x0000_s1062" type="#_x0000_t202" style="position:absolute;left:0;text-align:left;margin-left:89.2pt;margin-top:197.55pt;width:22.2pt;height:15.6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" filled="f" stroked="f">
                <v:textbox inset="0,0,0,0">
                  <w:txbxContent>
                    <w:p w14:paraId="0082D2B3" w14:textId="12808BB3"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2</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53888" behindDoc="0" locked="0" layoutInCell="1" allowOverlap="1" wp14:anchorId="4D5BB0D2" wp14:editId="2610E275">
                <wp:simplePos x="0" y="0"/>
                <wp:positionH relativeFrom="column">
                  <wp:posOffset>1724242</wp:posOffset>
                </wp:positionH>
                <wp:positionV relativeFrom="paragraph">
                  <wp:posOffset>2158053</wp:posOffset>
                </wp:positionV>
                <wp:extent cx="281940" cy="198120"/>
                <wp:effectExtent l="0" t="0" r="3810" b="11430"/>
                <wp:wrapNone/>
                <wp:docPr id="1851" name="文本框 1851"/>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43326881" w14:textId="51C1CA73"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1</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BB0D2" id="文本框 1851" o:spid="_x0000_s1063" type="#_x0000_t202" style="position:absolute;left:0;text-align:left;margin-left:135.75pt;margin-top:169.95pt;width:22.2pt;height:15.6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" filled="f" stroked="f">
                <v:textbox inset="0,0,0,0">
                  <w:txbxContent>
                    <w:p w14:paraId="43326881" w14:textId="51C1CA73"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1</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49792" behindDoc="0" locked="0" layoutInCell="1" allowOverlap="1" wp14:anchorId="63F45BD5" wp14:editId="0B07D51C">
                <wp:simplePos x="0" y="0"/>
                <wp:positionH relativeFrom="column">
                  <wp:posOffset>1684288</wp:posOffset>
                </wp:positionH>
                <wp:positionV relativeFrom="paragraph">
                  <wp:posOffset>3127674</wp:posOffset>
                </wp:positionV>
                <wp:extent cx="281940" cy="198120"/>
                <wp:effectExtent l="0" t="0" r="3810" b="11430"/>
                <wp:wrapNone/>
                <wp:docPr id="1849" name="文本框 1849"/>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1F08FA88" w14:textId="64C0C13A"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0</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45BD5" id="文本框 1849" o:spid="_x0000_s1064" type="#_x0000_t202" style="position:absolute;left:0;text-align:left;margin-left:132.6pt;margin-top:246.25pt;width:22.2pt;height:15.6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d9gPg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" filled="f" stroked="f">
                <v:textbox inset="0,0,0,0">
                  <w:txbxContent>
                    <w:p w14:paraId="1F08FA88" w14:textId="64C0C13A"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r>
                        <w:rPr>
                          <w:rFonts w:ascii="Times New Roman" w:hAnsi="Times New Roman"/>
                          <w:b/>
                          <w:bCs/>
                          <w:color w:val="FF0000"/>
                          <w:szCs w:val="21"/>
                        </w:rPr>
                        <w:t>0</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43648" behindDoc="0" locked="0" layoutInCell="1" allowOverlap="1" wp14:anchorId="167F33E0" wp14:editId="6B80D055">
                <wp:simplePos x="0" y="0"/>
                <wp:positionH relativeFrom="column">
                  <wp:posOffset>3149237</wp:posOffset>
                </wp:positionH>
                <wp:positionV relativeFrom="paragraph">
                  <wp:posOffset>2662212</wp:posOffset>
                </wp:positionV>
                <wp:extent cx="281940" cy="198120"/>
                <wp:effectExtent l="0" t="0" r="3810" b="11430"/>
                <wp:wrapNone/>
                <wp:docPr id="1846" name="文本框 184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188FDF6A" w14:textId="6BE140B8"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5</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F33E0" id="文本框 1846" o:spid="_x0000_s1065" type="#_x0000_t202" style="position:absolute;left:0;text-align:left;margin-left:247.95pt;margin-top:209.6pt;width:22.2pt;height:15.6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" filled="f" stroked="f">
                <v:textbox inset="0,0,0,0">
                  <w:txbxContent>
                    <w:p w14:paraId="188FDF6A" w14:textId="6BE140B8"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5</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39552" behindDoc="0" locked="0" layoutInCell="1" allowOverlap="1" wp14:anchorId="0FFD01FC" wp14:editId="717FD1EE">
                <wp:simplePos x="0" y="0"/>
                <wp:positionH relativeFrom="column">
                  <wp:posOffset>3887012</wp:posOffset>
                </wp:positionH>
                <wp:positionV relativeFrom="paragraph">
                  <wp:posOffset>1915218</wp:posOffset>
                </wp:positionV>
                <wp:extent cx="281940" cy="198120"/>
                <wp:effectExtent l="0" t="0" r="3810" b="11430"/>
                <wp:wrapNone/>
                <wp:docPr id="1844" name="文本框 184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716E9A73" w14:textId="0DF3CB62"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4</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D01FC" id="文本框 1844" o:spid="_x0000_s1066" type="#_x0000_t202" style="position:absolute;left:0;text-align:left;margin-left:306.05pt;margin-top:150.8pt;width:22.2pt;height:15.6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" filled="f" stroked="f">
                <v:textbox inset="0,0,0,0">
                  <w:txbxContent>
                    <w:p w14:paraId="716E9A73" w14:textId="0DF3CB62"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4</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37504" behindDoc="0" locked="0" layoutInCell="1" allowOverlap="1" wp14:anchorId="6411D64D" wp14:editId="0DC17D0A">
                <wp:simplePos x="0" y="0"/>
                <wp:positionH relativeFrom="column">
                  <wp:posOffset>4087964</wp:posOffset>
                </wp:positionH>
                <wp:positionV relativeFrom="paragraph">
                  <wp:posOffset>1055319</wp:posOffset>
                </wp:positionV>
                <wp:extent cx="281940" cy="198120"/>
                <wp:effectExtent l="0" t="0" r="3810" b="11430"/>
                <wp:wrapNone/>
                <wp:docPr id="1843" name="文本框 184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678039B6" w14:textId="7928E32D"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3</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1D64D" id="文本框 1843" o:spid="_x0000_s1067" type="#_x0000_t202" style="position:absolute;left:0;text-align:left;margin-left:321.9pt;margin-top:83.1pt;width:22.2pt;height:15.6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" filled="f" stroked="f">
                <v:textbox inset="0,0,0,0">
                  <w:txbxContent>
                    <w:p w14:paraId="678039B6" w14:textId="7928E32D"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3</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33408" behindDoc="0" locked="0" layoutInCell="1" allowOverlap="1" wp14:anchorId="3CEE5BCE" wp14:editId="309E3318">
                <wp:simplePos x="0" y="0"/>
                <wp:positionH relativeFrom="column">
                  <wp:posOffset>2946569</wp:posOffset>
                </wp:positionH>
                <wp:positionV relativeFrom="paragraph">
                  <wp:posOffset>1146929</wp:posOffset>
                </wp:positionV>
                <wp:extent cx="281940" cy="198120"/>
                <wp:effectExtent l="0" t="0" r="3810" b="11430"/>
                <wp:wrapNone/>
                <wp:docPr id="1836" name="文本框 18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24308E8F" w14:textId="7EAD5F65"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2</w:t>
                            </w:r>
                            <w:r w:rsidRPr="00345259">
                              <w:rPr>
                                <w:rFonts w:ascii="Times New Roman" w:hAnsi="Times New Roman"/>
                                <w:b/>
                                <w:bCs/>
                                <w:color w:val="FF0000"/>
                                <w:szCs w:val="21"/>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E5BCE" id="文本框 1836" o:spid="_x0000_s1068" type="#_x0000_t202" style="position:absolute;left:0;text-align:left;margin-left:232pt;margin-top:90.3pt;width:22.2pt;height:15.6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" filled="f" stroked="f">
                <v:textbox inset="0,0,0,0">
                  <w:txbxContent>
                    <w:p w14:paraId="24308E8F" w14:textId="7EAD5F65" w:rsidR="00345259" w:rsidRPr="00345259" w:rsidRDefault="00345259" w:rsidP="00345259">
                      <w:pPr>
                        <w:rPr>
                          <w:rFonts w:ascii="Times New Roman" w:hAnsi="Times New Roman"/>
                          <w:b/>
                          <w:bCs/>
                          <w:color w:val="FF0000"/>
                          <w:szCs w:val="21"/>
                        </w:rPr>
                      </w:pPr>
                      <w:r>
                        <w:rPr>
                          <w:rFonts w:ascii="Times New Roman" w:hAnsi="Times New Roman"/>
                          <w:b/>
                          <w:bCs/>
                          <w:color w:val="FF0000"/>
                          <w:szCs w:val="21"/>
                        </w:rPr>
                        <w:t>2</w:t>
                      </w:r>
                      <w:r w:rsidRPr="00345259">
                        <w:rPr>
                          <w:rFonts w:ascii="Times New Roman" w:hAnsi="Times New Roman"/>
                          <w:b/>
                          <w:bCs/>
                          <w:color w:val="FF0000"/>
                          <w:szCs w:val="21"/>
                        </w:rPr>
                        <w:t>#</w:t>
                      </w:r>
                    </w:p>
                  </w:txbxContent>
                </v:textbox>
              </v:shape>
            </w:pict>
          </mc:Fallback>
        </mc:AlternateContent>
      </w:r>
      <w:r w:rsidR="00345259" w:rsidRPr="00092862">
        <w:rPr>
          <w:rFonts w:ascii="Times New Roman" w:hAnsi="Times New Roman"/>
          <w:noProof/>
          <w:color w:val="000000" w:themeColor="text1"/>
        </w:rPr>
        <mc:AlternateContent>
          <mc:Choice Requires="wps">
            <w:drawing>
              <wp:anchor distT="0" distB="0" distL="114300" distR="114300" simplePos="0" relativeHeight="252431360" behindDoc="0" locked="0" layoutInCell="1" allowOverlap="1" wp14:anchorId="166FBFB4" wp14:editId="3C84F734">
                <wp:simplePos x="0" y="0"/>
                <wp:positionH relativeFrom="column">
                  <wp:posOffset>2330474</wp:posOffset>
                </wp:positionH>
                <wp:positionV relativeFrom="paragraph">
                  <wp:posOffset>282061</wp:posOffset>
                </wp:positionV>
                <wp:extent cx="281940" cy="198120"/>
                <wp:effectExtent l="0" t="0" r="3810" b="11430"/>
                <wp:wrapNone/>
                <wp:docPr id="70" name="文本框 7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headEnd/>
                          <a:tailEnd/>
                        </a:ln>
                      </wps:spPr>
                      <wps:txbx>
                        <w:txbxContent>
                          <w:p w14:paraId="32BFCC5E" w14:textId="03CF70DB"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FBFB4" id="文本框 70" o:spid="_x0000_s1069" type="#_x0000_t202" style="position:absolute;left:0;text-align:left;margin-left:183.5pt;margin-top:22.2pt;width:22.2pt;height:15.6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" filled="f" stroked="f">
                <v:textbox inset="0,0,0,0">
                  <w:txbxContent>
                    <w:p w14:paraId="32BFCC5E" w14:textId="03CF70DB" w:rsidR="00345259" w:rsidRPr="00345259" w:rsidRDefault="00345259" w:rsidP="00345259">
                      <w:pPr>
                        <w:rPr>
                          <w:rFonts w:ascii="Times New Roman" w:hAnsi="Times New Roman"/>
                          <w:b/>
                          <w:bCs/>
                          <w:color w:val="FF0000"/>
                          <w:szCs w:val="21"/>
                        </w:rPr>
                      </w:pPr>
                      <w:r w:rsidRPr="00345259">
                        <w:rPr>
                          <w:rFonts w:ascii="Times New Roman" w:hAnsi="Times New Roman"/>
                          <w:b/>
                          <w:bCs/>
                          <w:color w:val="FF0000"/>
                          <w:szCs w:val="21"/>
                        </w:rPr>
                        <w:t>1#</w:t>
                      </w:r>
                    </w:p>
                  </w:txbxContent>
                </v:textbox>
              </v:shape>
            </w:pict>
          </mc:Fallback>
        </mc:AlternateContent>
      </w:r>
      <w:r w:rsidR="006B5A7D" w:rsidRPr="00092862">
        <w:rPr>
          <w:rFonts w:ascii="Times New Roman" w:eastAsia="黑体" w:hAnsi="Times New Roman"/>
          <w:noProof/>
          <w:color w:val="000000" w:themeColor="text1"/>
          <w:sz w:val="21"/>
          <w:szCs w:val="21"/>
          <w:lang w:eastAsia="zh-CN"/>
        </w:rPr>
        <w:drawing>
          <wp:inline distT="0" distB="0" distL="0" distR="0" wp14:anchorId="0EBA941D" wp14:editId="3A5854D5">
            <wp:extent cx="5276850" cy="395097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6850" cy="3950970"/>
                    </a:xfrm>
                    <a:prstGeom prst="rect">
                      <a:avLst/>
                    </a:prstGeom>
                    <a:noFill/>
                    <a:ln>
                      <a:noFill/>
                    </a:ln>
                  </pic:spPr>
                </pic:pic>
              </a:graphicData>
            </a:graphic>
          </wp:inline>
        </w:drawing>
      </w:r>
    </w:p>
    <w:p w14:paraId="6CCAE93C" w14:textId="721E6B6E"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00704F23" w:rsidRPr="00092862">
        <w:rPr>
          <w:rFonts w:ascii="Times New Roman" w:eastAsia="黑体" w:hAnsi="Times New Roman"/>
          <w:color w:val="000000" w:themeColor="text1"/>
          <w:sz w:val="21"/>
          <w:szCs w:val="21"/>
          <w:lang w:eastAsia="zh-CN"/>
        </w:rPr>
        <w:t>6.4-1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大气影响评价调查范围及敏感点分布图</w:t>
      </w:r>
    </w:p>
    <w:p w14:paraId="3F6294FD" w14:textId="02835F2B"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）气象参数</w:t>
      </w:r>
    </w:p>
    <w:p w14:paraId="2F0EA442" w14:textId="77777777" w:rsidR="00697429" w:rsidRPr="00092862" w:rsidRDefault="00697429" w:rsidP="00450025">
      <w:pPr>
        <w:pStyle w:val="ac"/>
        <w:tabs>
          <w:tab w:val="left" w:pos="863"/>
        </w:tabs>
        <w:spacing w:before="0"/>
        <w:ind w:left="0"/>
        <w:jc w:val="center"/>
        <w:rPr>
          <w:rFonts w:ascii="Times New Roman" w:eastAsia="黑体" w:hAnsi="Times New Roman"/>
          <w:color w:val="000000" w:themeColor="text1"/>
          <w:sz w:val="21"/>
          <w:szCs w:val="21"/>
          <w:lang w:eastAsia="zh-CN"/>
        </w:rPr>
      </w:pPr>
    </w:p>
    <w:p w14:paraId="43FA80DB" w14:textId="279C379F"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6.4-4</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大气风险预测模型主要参数表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67"/>
        <w:gridCol w:w="1741"/>
        <w:gridCol w:w="5192"/>
      </w:tblGrid>
      <w:tr w:rsidR="00697429" w:rsidRPr="00092862" w14:paraId="62B0DC5E" w14:textId="77777777" w:rsidTr="00C54C73">
        <w:tc>
          <w:tcPr>
            <w:tcW w:w="823" w:type="pct"/>
            <w:shd w:val="clear" w:color="auto" w:fill="auto"/>
            <w:vAlign w:val="center"/>
          </w:tcPr>
          <w:p w14:paraId="7C2E2E51" w14:textId="77777777" w:rsidR="00450025" w:rsidRPr="00092862" w:rsidRDefault="00450025" w:rsidP="00C54C73">
            <w:pPr>
              <w:pStyle w:val="afffff8"/>
              <w:rPr>
                <w:color w:val="000000" w:themeColor="text1"/>
              </w:rPr>
            </w:pPr>
            <w:r w:rsidRPr="00092862">
              <w:rPr>
                <w:color w:val="000000" w:themeColor="text1"/>
              </w:rPr>
              <w:t>参数类型</w:t>
            </w:r>
          </w:p>
        </w:tc>
        <w:tc>
          <w:tcPr>
            <w:tcW w:w="1049" w:type="pct"/>
            <w:shd w:val="clear" w:color="auto" w:fill="auto"/>
            <w:vAlign w:val="center"/>
          </w:tcPr>
          <w:p w14:paraId="12B3D4B0" w14:textId="77777777" w:rsidR="00450025" w:rsidRPr="00092862" w:rsidRDefault="00450025" w:rsidP="00C54C73">
            <w:pPr>
              <w:pStyle w:val="afffff8"/>
              <w:rPr>
                <w:color w:val="000000" w:themeColor="text1"/>
              </w:rPr>
            </w:pPr>
            <w:r w:rsidRPr="00092862">
              <w:rPr>
                <w:color w:val="000000" w:themeColor="text1"/>
              </w:rPr>
              <w:t>选项</w:t>
            </w:r>
          </w:p>
        </w:tc>
        <w:tc>
          <w:tcPr>
            <w:tcW w:w="3128" w:type="pct"/>
            <w:shd w:val="clear" w:color="auto" w:fill="auto"/>
            <w:vAlign w:val="center"/>
          </w:tcPr>
          <w:p w14:paraId="17F30FC6" w14:textId="77777777" w:rsidR="00450025" w:rsidRPr="00092862" w:rsidRDefault="00450025" w:rsidP="00C54C73">
            <w:pPr>
              <w:pStyle w:val="afffff8"/>
              <w:rPr>
                <w:color w:val="000000" w:themeColor="text1"/>
              </w:rPr>
            </w:pPr>
            <w:r w:rsidRPr="00092862">
              <w:rPr>
                <w:color w:val="000000" w:themeColor="text1"/>
              </w:rPr>
              <w:t>参数</w:t>
            </w:r>
          </w:p>
        </w:tc>
      </w:tr>
      <w:tr w:rsidR="00697429" w:rsidRPr="00092862" w14:paraId="09E7D1AF" w14:textId="77777777" w:rsidTr="00C54C73">
        <w:tc>
          <w:tcPr>
            <w:tcW w:w="823" w:type="pct"/>
            <w:vMerge w:val="restart"/>
            <w:shd w:val="clear" w:color="auto" w:fill="auto"/>
            <w:vAlign w:val="center"/>
          </w:tcPr>
          <w:p w14:paraId="36030041" w14:textId="77777777" w:rsidR="00450025" w:rsidRPr="00092862" w:rsidRDefault="00450025" w:rsidP="00C54C73">
            <w:pPr>
              <w:pStyle w:val="afffff8"/>
              <w:rPr>
                <w:color w:val="000000" w:themeColor="text1"/>
              </w:rPr>
            </w:pPr>
            <w:r w:rsidRPr="00092862">
              <w:rPr>
                <w:color w:val="000000" w:themeColor="text1"/>
              </w:rPr>
              <w:t>基本情况</w:t>
            </w:r>
          </w:p>
        </w:tc>
        <w:tc>
          <w:tcPr>
            <w:tcW w:w="1049" w:type="pct"/>
            <w:shd w:val="clear" w:color="auto" w:fill="auto"/>
            <w:vAlign w:val="center"/>
          </w:tcPr>
          <w:p w14:paraId="2C2D8BFD" w14:textId="77777777" w:rsidR="00450025" w:rsidRPr="00092862" w:rsidRDefault="00450025" w:rsidP="00C54C73">
            <w:pPr>
              <w:pStyle w:val="afffff8"/>
              <w:rPr>
                <w:color w:val="000000" w:themeColor="text1"/>
              </w:rPr>
            </w:pPr>
            <w:r w:rsidRPr="00092862">
              <w:rPr>
                <w:color w:val="000000" w:themeColor="text1"/>
              </w:rPr>
              <w:t>事故源经度</w:t>
            </w:r>
            <w:r w:rsidRPr="00092862">
              <w:rPr>
                <w:color w:val="000000" w:themeColor="text1"/>
              </w:rPr>
              <w:t>/</w:t>
            </w:r>
            <w:r w:rsidRPr="00092862">
              <w:rPr>
                <w:color w:val="000000" w:themeColor="text1"/>
              </w:rPr>
              <w:t>（</w:t>
            </w:r>
            <w:r w:rsidRPr="00092862">
              <w:rPr>
                <w:color w:val="000000" w:themeColor="text1"/>
              </w:rPr>
              <w:t>°</w:t>
            </w:r>
            <w:r w:rsidRPr="00092862">
              <w:rPr>
                <w:color w:val="000000" w:themeColor="text1"/>
              </w:rPr>
              <w:t>）</w:t>
            </w:r>
          </w:p>
        </w:tc>
        <w:tc>
          <w:tcPr>
            <w:tcW w:w="3128" w:type="pct"/>
            <w:shd w:val="clear" w:color="auto" w:fill="auto"/>
            <w:vAlign w:val="center"/>
          </w:tcPr>
          <w:p w14:paraId="6A604299" w14:textId="558752DF" w:rsidR="00450025" w:rsidRPr="00092862" w:rsidRDefault="00E112FE" w:rsidP="00C54C73">
            <w:pPr>
              <w:pStyle w:val="afffff8"/>
              <w:rPr>
                <w:color w:val="000000" w:themeColor="text1"/>
              </w:rPr>
            </w:pPr>
            <w:r w:rsidRPr="00092862">
              <w:rPr>
                <w:color w:val="000000" w:themeColor="text1"/>
              </w:rPr>
              <w:t>107.82339156</w:t>
            </w:r>
            <w:r w:rsidR="00450025" w:rsidRPr="00092862">
              <w:rPr>
                <w:color w:val="000000" w:themeColor="text1"/>
              </w:rPr>
              <w:t>°E</w:t>
            </w:r>
          </w:p>
        </w:tc>
      </w:tr>
      <w:tr w:rsidR="00697429" w:rsidRPr="00092862" w14:paraId="17323AF2" w14:textId="77777777" w:rsidTr="00C54C73">
        <w:tc>
          <w:tcPr>
            <w:tcW w:w="823" w:type="pct"/>
            <w:vMerge/>
            <w:shd w:val="clear" w:color="auto" w:fill="auto"/>
            <w:vAlign w:val="center"/>
          </w:tcPr>
          <w:p w14:paraId="1D63E1D8" w14:textId="77777777" w:rsidR="00450025" w:rsidRPr="00092862" w:rsidRDefault="00450025" w:rsidP="00C54C73">
            <w:pPr>
              <w:pStyle w:val="afffff8"/>
              <w:rPr>
                <w:color w:val="000000" w:themeColor="text1"/>
              </w:rPr>
            </w:pPr>
          </w:p>
        </w:tc>
        <w:tc>
          <w:tcPr>
            <w:tcW w:w="1049" w:type="pct"/>
            <w:shd w:val="clear" w:color="auto" w:fill="auto"/>
            <w:vAlign w:val="center"/>
          </w:tcPr>
          <w:p w14:paraId="1BDBE8F2" w14:textId="77777777" w:rsidR="00450025" w:rsidRPr="00092862" w:rsidRDefault="00450025" w:rsidP="00C54C73">
            <w:pPr>
              <w:pStyle w:val="afffff8"/>
              <w:rPr>
                <w:color w:val="000000" w:themeColor="text1"/>
              </w:rPr>
            </w:pPr>
            <w:r w:rsidRPr="00092862">
              <w:rPr>
                <w:color w:val="000000" w:themeColor="text1"/>
              </w:rPr>
              <w:t>事故源纬度</w:t>
            </w:r>
            <w:r w:rsidRPr="00092862">
              <w:rPr>
                <w:color w:val="000000" w:themeColor="text1"/>
              </w:rPr>
              <w:t>/</w:t>
            </w:r>
            <w:r w:rsidRPr="00092862">
              <w:rPr>
                <w:color w:val="000000" w:themeColor="text1"/>
              </w:rPr>
              <w:t>（</w:t>
            </w:r>
            <w:r w:rsidRPr="00092862">
              <w:rPr>
                <w:color w:val="000000" w:themeColor="text1"/>
              </w:rPr>
              <w:t>°</w:t>
            </w:r>
            <w:r w:rsidRPr="00092862">
              <w:rPr>
                <w:color w:val="000000" w:themeColor="text1"/>
              </w:rPr>
              <w:t>）</w:t>
            </w:r>
          </w:p>
        </w:tc>
        <w:tc>
          <w:tcPr>
            <w:tcW w:w="3128" w:type="pct"/>
            <w:shd w:val="clear" w:color="auto" w:fill="auto"/>
            <w:vAlign w:val="center"/>
          </w:tcPr>
          <w:p w14:paraId="5E845EB5" w14:textId="1E136FC7" w:rsidR="00450025" w:rsidRPr="00092862" w:rsidRDefault="00E112FE" w:rsidP="00C54C73">
            <w:pPr>
              <w:pStyle w:val="afffff8"/>
              <w:rPr>
                <w:color w:val="000000" w:themeColor="text1"/>
              </w:rPr>
            </w:pPr>
            <w:r w:rsidRPr="00092862">
              <w:rPr>
                <w:color w:val="000000" w:themeColor="text1"/>
              </w:rPr>
              <w:t>31.44952918</w:t>
            </w:r>
            <w:r w:rsidR="00450025" w:rsidRPr="00092862">
              <w:rPr>
                <w:color w:val="000000" w:themeColor="text1"/>
              </w:rPr>
              <w:t>°N</w:t>
            </w:r>
          </w:p>
        </w:tc>
      </w:tr>
      <w:tr w:rsidR="00697429" w:rsidRPr="00092862" w14:paraId="2D4F1338" w14:textId="77777777" w:rsidTr="00C54C73">
        <w:tc>
          <w:tcPr>
            <w:tcW w:w="823" w:type="pct"/>
            <w:vMerge/>
            <w:shd w:val="clear" w:color="auto" w:fill="auto"/>
            <w:vAlign w:val="center"/>
          </w:tcPr>
          <w:p w14:paraId="7D0C0CAF" w14:textId="77777777" w:rsidR="00450025" w:rsidRPr="00092862" w:rsidRDefault="00450025" w:rsidP="00C54C73">
            <w:pPr>
              <w:pStyle w:val="afffff8"/>
              <w:rPr>
                <w:color w:val="000000" w:themeColor="text1"/>
              </w:rPr>
            </w:pPr>
          </w:p>
        </w:tc>
        <w:tc>
          <w:tcPr>
            <w:tcW w:w="1049" w:type="pct"/>
            <w:shd w:val="clear" w:color="auto" w:fill="auto"/>
            <w:vAlign w:val="center"/>
          </w:tcPr>
          <w:p w14:paraId="524F8D4F" w14:textId="77777777" w:rsidR="00450025" w:rsidRPr="00092862" w:rsidRDefault="00450025" w:rsidP="00C54C73">
            <w:pPr>
              <w:pStyle w:val="afffff8"/>
              <w:rPr>
                <w:color w:val="000000" w:themeColor="text1"/>
              </w:rPr>
            </w:pPr>
            <w:r w:rsidRPr="00092862">
              <w:rPr>
                <w:color w:val="000000" w:themeColor="text1"/>
              </w:rPr>
              <w:t>事故源类型</w:t>
            </w:r>
          </w:p>
        </w:tc>
        <w:tc>
          <w:tcPr>
            <w:tcW w:w="3128" w:type="pct"/>
            <w:shd w:val="clear" w:color="auto" w:fill="auto"/>
            <w:vAlign w:val="center"/>
          </w:tcPr>
          <w:p w14:paraId="50ECF3BA" w14:textId="77777777" w:rsidR="00450025" w:rsidRPr="00092862" w:rsidRDefault="00450025" w:rsidP="00C54C73">
            <w:pPr>
              <w:pStyle w:val="afffff8"/>
              <w:rPr>
                <w:color w:val="000000" w:themeColor="text1"/>
              </w:rPr>
            </w:pPr>
            <w:r w:rsidRPr="00092862">
              <w:rPr>
                <w:color w:val="000000" w:themeColor="text1"/>
              </w:rPr>
              <w:t>含硫天然气井发生井喷</w:t>
            </w:r>
          </w:p>
        </w:tc>
      </w:tr>
      <w:tr w:rsidR="00697429" w:rsidRPr="00092862" w14:paraId="00510D0B" w14:textId="77777777" w:rsidTr="00C54C73">
        <w:tc>
          <w:tcPr>
            <w:tcW w:w="823" w:type="pct"/>
            <w:vMerge w:val="restart"/>
            <w:shd w:val="clear" w:color="auto" w:fill="auto"/>
            <w:vAlign w:val="center"/>
          </w:tcPr>
          <w:p w14:paraId="4DA10D5B" w14:textId="77777777" w:rsidR="00450025" w:rsidRPr="00092862" w:rsidRDefault="00450025" w:rsidP="00C54C73">
            <w:pPr>
              <w:pStyle w:val="afffff8"/>
              <w:rPr>
                <w:color w:val="000000" w:themeColor="text1"/>
              </w:rPr>
            </w:pPr>
            <w:r w:rsidRPr="00092862">
              <w:rPr>
                <w:color w:val="000000" w:themeColor="text1"/>
              </w:rPr>
              <w:t>气象参数</w:t>
            </w:r>
          </w:p>
        </w:tc>
        <w:tc>
          <w:tcPr>
            <w:tcW w:w="1049" w:type="pct"/>
            <w:shd w:val="clear" w:color="auto" w:fill="auto"/>
            <w:vAlign w:val="center"/>
          </w:tcPr>
          <w:p w14:paraId="368A36DF" w14:textId="77777777" w:rsidR="00450025" w:rsidRPr="00092862" w:rsidRDefault="00450025" w:rsidP="00C54C73">
            <w:pPr>
              <w:pStyle w:val="afffff8"/>
              <w:rPr>
                <w:color w:val="000000" w:themeColor="text1"/>
              </w:rPr>
            </w:pPr>
            <w:r w:rsidRPr="00092862">
              <w:rPr>
                <w:color w:val="000000" w:themeColor="text1"/>
              </w:rPr>
              <w:t>气象条件类型</w:t>
            </w:r>
          </w:p>
        </w:tc>
        <w:tc>
          <w:tcPr>
            <w:tcW w:w="3128" w:type="pct"/>
            <w:shd w:val="clear" w:color="auto" w:fill="auto"/>
            <w:vAlign w:val="center"/>
          </w:tcPr>
          <w:p w14:paraId="6F67E88B" w14:textId="77777777" w:rsidR="00450025" w:rsidRPr="00092862" w:rsidRDefault="00450025" w:rsidP="00C54C73">
            <w:pPr>
              <w:pStyle w:val="afffff8"/>
              <w:rPr>
                <w:color w:val="000000" w:themeColor="text1"/>
              </w:rPr>
            </w:pPr>
            <w:r w:rsidRPr="00092862">
              <w:rPr>
                <w:color w:val="000000" w:themeColor="text1"/>
              </w:rPr>
              <w:t>最不利气象</w:t>
            </w:r>
          </w:p>
        </w:tc>
      </w:tr>
      <w:tr w:rsidR="00697429" w:rsidRPr="00092862" w14:paraId="5C69754A" w14:textId="77777777" w:rsidTr="00C54C73">
        <w:tc>
          <w:tcPr>
            <w:tcW w:w="823" w:type="pct"/>
            <w:vMerge/>
            <w:shd w:val="clear" w:color="auto" w:fill="auto"/>
            <w:vAlign w:val="center"/>
          </w:tcPr>
          <w:p w14:paraId="406E0BE1" w14:textId="77777777" w:rsidR="00450025" w:rsidRPr="00092862" w:rsidRDefault="00450025" w:rsidP="00C54C73">
            <w:pPr>
              <w:pStyle w:val="afffff8"/>
              <w:rPr>
                <w:color w:val="000000" w:themeColor="text1"/>
              </w:rPr>
            </w:pPr>
          </w:p>
        </w:tc>
        <w:tc>
          <w:tcPr>
            <w:tcW w:w="1049" w:type="pct"/>
            <w:shd w:val="clear" w:color="auto" w:fill="auto"/>
            <w:vAlign w:val="center"/>
          </w:tcPr>
          <w:p w14:paraId="58CA8903" w14:textId="77777777" w:rsidR="00450025" w:rsidRPr="00092862" w:rsidRDefault="00450025" w:rsidP="00C54C73">
            <w:pPr>
              <w:pStyle w:val="afffff8"/>
              <w:rPr>
                <w:color w:val="000000" w:themeColor="text1"/>
              </w:rPr>
            </w:pPr>
            <w:r w:rsidRPr="00092862">
              <w:rPr>
                <w:color w:val="000000" w:themeColor="text1"/>
              </w:rPr>
              <w:t>风速</w:t>
            </w:r>
            <w:r w:rsidRPr="00092862">
              <w:rPr>
                <w:color w:val="000000" w:themeColor="text1"/>
              </w:rPr>
              <w:t>/</w:t>
            </w:r>
            <w:r w:rsidRPr="00092862">
              <w:rPr>
                <w:color w:val="000000" w:themeColor="text1"/>
              </w:rPr>
              <w:t>（</w:t>
            </w:r>
            <w:r w:rsidRPr="00092862">
              <w:rPr>
                <w:color w:val="000000" w:themeColor="text1"/>
              </w:rPr>
              <w:t>m/s</w:t>
            </w:r>
            <w:r w:rsidRPr="00092862">
              <w:rPr>
                <w:color w:val="000000" w:themeColor="text1"/>
              </w:rPr>
              <w:t>）</w:t>
            </w:r>
          </w:p>
        </w:tc>
        <w:tc>
          <w:tcPr>
            <w:tcW w:w="3128" w:type="pct"/>
            <w:shd w:val="clear" w:color="auto" w:fill="auto"/>
            <w:vAlign w:val="center"/>
          </w:tcPr>
          <w:p w14:paraId="6CF70AE2" w14:textId="77777777" w:rsidR="00450025" w:rsidRPr="00092862" w:rsidRDefault="00450025" w:rsidP="00C54C73">
            <w:pPr>
              <w:pStyle w:val="afffff8"/>
              <w:rPr>
                <w:color w:val="000000" w:themeColor="text1"/>
              </w:rPr>
            </w:pPr>
            <w:r w:rsidRPr="00092862">
              <w:rPr>
                <w:color w:val="000000" w:themeColor="text1"/>
              </w:rPr>
              <w:t>1.5</w:t>
            </w:r>
          </w:p>
        </w:tc>
      </w:tr>
      <w:tr w:rsidR="00697429" w:rsidRPr="00092862" w14:paraId="3779C523" w14:textId="77777777" w:rsidTr="00C54C73">
        <w:tc>
          <w:tcPr>
            <w:tcW w:w="823" w:type="pct"/>
            <w:vMerge/>
            <w:shd w:val="clear" w:color="auto" w:fill="auto"/>
            <w:vAlign w:val="center"/>
          </w:tcPr>
          <w:p w14:paraId="54C57505" w14:textId="77777777" w:rsidR="00450025" w:rsidRPr="00092862" w:rsidRDefault="00450025" w:rsidP="00C54C73">
            <w:pPr>
              <w:pStyle w:val="afffff8"/>
              <w:rPr>
                <w:color w:val="000000" w:themeColor="text1"/>
              </w:rPr>
            </w:pPr>
          </w:p>
        </w:tc>
        <w:tc>
          <w:tcPr>
            <w:tcW w:w="1049" w:type="pct"/>
            <w:shd w:val="clear" w:color="auto" w:fill="auto"/>
            <w:vAlign w:val="center"/>
          </w:tcPr>
          <w:p w14:paraId="36271231" w14:textId="77777777" w:rsidR="00450025" w:rsidRPr="00092862" w:rsidRDefault="00450025" w:rsidP="00C54C73">
            <w:pPr>
              <w:pStyle w:val="afffff8"/>
              <w:rPr>
                <w:color w:val="000000" w:themeColor="text1"/>
              </w:rPr>
            </w:pPr>
            <w:r w:rsidRPr="00092862">
              <w:rPr>
                <w:color w:val="000000" w:themeColor="text1"/>
              </w:rPr>
              <w:t>环境温度</w:t>
            </w:r>
            <w:r w:rsidRPr="00092862">
              <w:rPr>
                <w:color w:val="000000" w:themeColor="text1"/>
              </w:rPr>
              <w:t>/℃</w:t>
            </w:r>
          </w:p>
        </w:tc>
        <w:tc>
          <w:tcPr>
            <w:tcW w:w="3128" w:type="pct"/>
            <w:shd w:val="clear" w:color="auto" w:fill="auto"/>
            <w:vAlign w:val="center"/>
          </w:tcPr>
          <w:p w14:paraId="13F19F52" w14:textId="77777777" w:rsidR="00450025" w:rsidRPr="00092862" w:rsidRDefault="00450025" w:rsidP="00C54C73">
            <w:pPr>
              <w:pStyle w:val="afffff8"/>
              <w:rPr>
                <w:color w:val="000000" w:themeColor="text1"/>
              </w:rPr>
            </w:pPr>
            <w:r w:rsidRPr="00092862">
              <w:rPr>
                <w:color w:val="000000" w:themeColor="text1"/>
              </w:rPr>
              <w:t>25</w:t>
            </w:r>
          </w:p>
        </w:tc>
      </w:tr>
      <w:tr w:rsidR="00697429" w:rsidRPr="00092862" w14:paraId="206C5133" w14:textId="77777777" w:rsidTr="00C54C73">
        <w:tc>
          <w:tcPr>
            <w:tcW w:w="823" w:type="pct"/>
            <w:vMerge/>
            <w:shd w:val="clear" w:color="auto" w:fill="auto"/>
            <w:vAlign w:val="center"/>
          </w:tcPr>
          <w:p w14:paraId="558C99F8" w14:textId="77777777" w:rsidR="00450025" w:rsidRPr="00092862" w:rsidRDefault="00450025" w:rsidP="00C54C73">
            <w:pPr>
              <w:pStyle w:val="afffff8"/>
              <w:rPr>
                <w:color w:val="000000" w:themeColor="text1"/>
              </w:rPr>
            </w:pPr>
          </w:p>
        </w:tc>
        <w:tc>
          <w:tcPr>
            <w:tcW w:w="1049" w:type="pct"/>
            <w:shd w:val="clear" w:color="auto" w:fill="auto"/>
            <w:vAlign w:val="center"/>
          </w:tcPr>
          <w:p w14:paraId="0DFB9929" w14:textId="77777777" w:rsidR="00450025" w:rsidRPr="00092862" w:rsidRDefault="00450025" w:rsidP="00C54C73">
            <w:pPr>
              <w:pStyle w:val="afffff8"/>
              <w:rPr>
                <w:color w:val="000000" w:themeColor="text1"/>
              </w:rPr>
            </w:pPr>
            <w:r w:rsidRPr="00092862">
              <w:rPr>
                <w:color w:val="000000" w:themeColor="text1"/>
              </w:rPr>
              <w:t>相对湿度</w:t>
            </w:r>
            <w:r w:rsidRPr="00092862">
              <w:rPr>
                <w:color w:val="000000" w:themeColor="text1"/>
              </w:rPr>
              <w:t>/%</w:t>
            </w:r>
          </w:p>
        </w:tc>
        <w:tc>
          <w:tcPr>
            <w:tcW w:w="3128" w:type="pct"/>
            <w:shd w:val="clear" w:color="auto" w:fill="auto"/>
            <w:vAlign w:val="center"/>
          </w:tcPr>
          <w:p w14:paraId="082F7A1D" w14:textId="77777777" w:rsidR="00450025" w:rsidRPr="00092862" w:rsidRDefault="00450025" w:rsidP="00C54C73">
            <w:pPr>
              <w:pStyle w:val="afffff8"/>
              <w:rPr>
                <w:color w:val="000000" w:themeColor="text1"/>
              </w:rPr>
            </w:pPr>
            <w:r w:rsidRPr="00092862">
              <w:rPr>
                <w:color w:val="000000" w:themeColor="text1"/>
              </w:rPr>
              <w:t>50</w:t>
            </w:r>
          </w:p>
        </w:tc>
      </w:tr>
      <w:tr w:rsidR="00697429" w:rsidRPr="00092862" w14:paraId="4F1627CA" w14:textId="77777777" w:rsidTr="00C54C73">
        <w:tc>
          <w:tcPr>
            <w:tcW w:w="823" w:type="pct"/>
            <w:vMerge/>
            <w:shd w:val="clear" w:color="auto" w:fill="auto"/>
            <w:vAlign w:val="center"/>
          </w:tcPr>
          <w:p w14:paraId="7673E0E0" w14:textId="77777777" w:rsidR="00450025" w:rsidRPr="00092862" w:rsidRDefault="00450025" w:rsidP="00C54C73">
            <w:pPr>
              <w:pStyle w:val="afffff8"/>
              <w:rPr>
                <w:color w:val="000000" w:themeColor="text1"/>
              </w:rPr>
            </w:pPr>
          </w:p>
        </w:tc>
        <w:tc>
          <w:tcPr>
            <w:tcW w:w="1049" w:type="pct"/>
            <w:shd w:val="clear" w:color="auto" w:fill="auto"/>
            <w:vAlign w:val="center"/>
          </w:tcPr>
          <w:p w14:paraId="5686D8ED" w14:textId="77777777" w:rsidR="00450025" w:rsidRPr="00092862" w:rsidRDefault="00450025" w:rsidP="00C54C73">
            <w:pPr>
              <w:pStyle w:val="afffff8"/>
              <w:rPr>
                <w:color w:val="000000" w:themeColor="text1"/>
              </w:rPr>
            </w:pPr>
            <w:r w:rsidRPr="00092862">
              <w:rPr>
                <w:color w:val="000000" w:themeColor="text1"/>
              </w:rPr>
              <w:t>稳定度</w:t>
            </w:r>
          </w:p>
        </w:tc>
        <w:tc>
          <w:tcPr>
            <w:tcW w:w="3128" w:type="pct"/>
            <w:shd w:val="clear" w:color="auto" w:fill="auto"/>
            <w:vAlign w:val="center"/>
          </w:tcPr>
          <w:p w14:paraId="0E3CD724" w14:textId="77777777" w:rsidR="00450025" w:rsidRPr="00092862" w:rsidRDefault="00450025" w:rsidP="00C54C73">
            <w:pPr>
              <w:pStyle w:val="afffff8"/>
              <w:rPr>
                <w:color w:val="000000" w:themeColor="text1"/>
              </w:rPr>
            </w:pPr>
            <w:r w:rsidRPr="00092862">
              <w:rPr>
                <w:color w:val="000000" w:themeColor="text1"/>
              </w:rPr>
              <w:t>F</w:t>
            </w:r>
          </w:p>
        </w:tc>
      </w:tr>
      <w:tr w:rsidR="00697429" w:rsidRPr="00092862" w14:paraId="184E72C6" w14:textId="77777777" w:rsidTr="00C54C73">
        <w:tc>
          <w:tcPr>
            <w:tcW w:w="823" w:type="pct"/>
            <w:vMerge w:val="restart"/>
            <w:shd w:val="clear" w:color="auto" w:fill="auto"/>
            <w:vAlign w:val="center"/>
          </w:tcPr>
          <w:p w14:paraId="20015490" w14:textId="77777777" w:rsidR="00450025" w:rsidRPr="00092862" w:rsidRDefault="00450025" w:rsidP="00C54C73">
            <w:pPr>
              <w:pStyle w:val="afffff8"/>
              <w:rPr>
                <w:color w:val="000000" w:themeColor="text1"/>
              </w:rPr>
            </w:pPr>
            <w:r w:rsidRPr="00092862">
              <w:rPr>
                <w:color w:val="000000" w:themeColor="text1"/>
              </w:rPr>
              <w:t>其他参数</w:t>
            </w:r>
          </w:p>
        </w:tc>
        <w:tc>
          <w:tcPr>
            <w:tcW w:w="1049" w:type="pct"/>
            <w:shd w:val="clear" w:color="auto" w:fill="auto"/>
            <w:vAlign w:val="center"/>
          </w:tcPr>
          <w:p w14:paraId="6E15EC88" w14:textId="77777777" w:rsidR="00450025" w:rsidRPr="00092862" w:rsidRDefault="00450025" w:rsidP="00C54C73">
            <w:pPr>
              <w:pStyle w:val="afffff8"/>
              <w:rPr>
                <w:color w:val="000000" w:themeColor="text1"/>
              </w:rPr>
            </w:pPr>
            <w:r w:rsidRPr="00092862">
              <w:rPr>
                <w:color w:val="000000" w:themeColor="text1"/>
              </w:rPr>
              <w:t>地表粗糙度</w:t>
            </w:r>
            <w:r w:rsidRPr="00092862">
              <w:rPr>
                <w:color w:val="000000" w:themeColor="text1"/>
              </w:rPr>
              <w:t>/m</w:t>
            </w:r>
          </w:p>
        </w:tc>
        <w:tc>
          <w:tcPr>
            <w:tcW w:w="3128" w:type="pct"/>
            <w:shd w:val="clear" w:color="auto" w:fill="auto"/>
            <w:vAlign w:val="center"/>
          </w:tcPr>
          <w:p w14:paraId="5A1FFD8A" w14:textId="77777777" w:rsidR="00450025" w:rsidRPr="00092862" w:rsidRDefault="00450025" w:rsidP="00C54C73">
            <w:pPr>
              <w:pStyle w:val="afffff8"/>
              <w:rPr>
                <w:color w:val="000000" w:themeColor="text1"/>
              </w:rPr>
            </w:pPr>
            <w:r w:rsidRPr="00092862">
              <w:rPr>
                <w:color w:val="000000" w:themeColor="text1"/>
              </w:rPr>
              <w:t>0.13m</w:t>
            </w:r>
          </w:p>
        </w:tc>
      </w:tr>
      <w:tr w:rsidR="00697429" w:rsidRPr="00092862" w14:paraId="1A86E9D7" w14:textId="77777777" w:rsidTr="00C54C73">
        <w:tc>
          <w:tcPr>
            <w:tcW w:w="823" w:type="pct"/>
            <w:vMerge/>
            <w:shd w:val="clear" w:color="auto" w:fill="auto"/>
            <w:vAlign w:val="center"/>
          </w:tcPr>
          <w:p w14:paraId="1495CF07" w14:textId="77777777" w:rsidR="00450025" w:rsidRPr="00092862" w:rsidRDefault="00450025" w:rsidP="00C54C73">
            <w:pPr>
              <w:pStyle w:val="afffff8"/>
              <w:rPr>
                <w:color w:val="000000" w:themeColor="text1"/>
              </w:rPr>
            </w:pPr>
          </w:p>
        </w:tc>
        <w:tc>
          <w:tcPr>
            <w:tcW w:w="1049" w:type="pct"/>
            <w:shd w:val="clear" w:color="auto" w:fill="auto"/>
            <w:vAlign w:val="center"/>
          </w:tcPr>
          <w:p w14:paraId="523402C1" w14:textId="77777777" w:rsidR="00450025" w:rsidRPr="00092862" w:rsidRDefault="00450025" w:rsidP="00C54C73">
            <w:pPr>
              <w:pStyle w:val="afffff8"/>
              <w:rPr>
                <w:color w:val="000000" w:themeColor="text1"/>
              </w:rPr>
            </w:pPr>
            <w:r w:rsidRPr="00092862">
              <w:rPr>
                <w:color w:val="000000" w:themeColor="text1"/>
              </w:rPr>
              <w:t>是否考虑地形</w:t>
            </w:r>
          </w:p>
        </w:tc>
        <w:tc>
          <w:tcPr>
            <w:tcW w:w="3128" w:type="pct"/>
            <w:shd w:val="clear" w:color="auto" w:fill="auto"/>
            <w:vAlign w:val="center"/>
          </w:tcPr>
          <w:p w14:paraId="305A7D55" w14:textId="77777777" w:rsidR="00450025" w:rsidRPr="00092862" w:rsidRDefault="00450025" w:rsidP="00C54C73">
            <w:pPr>
              <w:pStyle w:val="afffff8"/>
              <w:rPr>
                <w:color w:val="000000" w:themeColor="text1"/>
              </w:rPr>
            </w:pPr>
            <w:r w:rsidRPr="00092862">
              <w:rPr>
                <w:color w:val="000000" w:themeColor="text1"/>
              </w:rPr>
              <w:t>是</w:t>
            </w:r>
          </w:p>
        </w:tc>
      </w:tr>
      <w:tr w:rsidR="00697429" w:rsidRPr="00092862" w14:paraId="1CF8742C" w14:textId="77777777" w:rsidTr="00C54C73">
        <w:tc>
          <w:tcPr>
            <w:tcW w:w="823" w:type="pct"/>
            <w:vMerge/>
            <w:shd w:val="clear" w:color="auto" w:fill="auto"/>
            <w:vAlign w:val="center"/>
          </w:tcPr>
          <w:p w14:paraId="44C5AD47" w14:textId="77777777" w:rsidR="00450025" w:rsidRPr="00092862" w:rsidRDefault="00450025" w:rsidP="00C54C73">
            <w:pPr>
              <w:pStyle w:val="afffff8"/>
              <w:rPr>
                <w:color w:val="000000" w:themeColor="text1"/>
              </w:rPr>
            </w:pPr>
          </w:p>
        </w:tc>
        <w:tc>
          <w:tcPr>
            <w:tcW w:w="1049" w:type="pct"/>
            <w:shd w:val="clear" w:color="auto" w:fill="auto"/>
            <w:vAlign w:val="center"/>
          </w:tcPr>
          <w:p w14:paraId="6E956444" w14:textId="77777777" w:rsidR="00450025" w:rsidRPr="00092862" w:rsidRDefault="00450025" w:rsidP="00C54C73">
            <w:pPr>
              <w:pStyle w:val="afffff8"/>
              <w:rPr>
                <w:color w:val="000000" w:themeColor="text1"/>
              </w:rPr>
            </w:pPr>
            <w:r w:rsidRPr="00092862">
              <w:rPr>
                <w:color w:val="000000" w:themeColor="text1"/>
              </w:rPr>
              <w:t>地形数据精度</w:t>
            </w:r>
            <w:r w:rsidRPr="00092862">
              <w:rPr>
                <w:color w:val="000000" w:themeColor="text1"/>
              </w:rPr>
              <w:t>/m</w:t>
            </w:r>
          </w:p>
        </w:tc>
        <w:tc>
          <w:tcPr>
            <w:tcW w:w="3128" w:type="pct"/>
            <w:shd w:val="clear" w:color="auto" w:fill="auto"/>
            <w:vAlign w:val="center"/>
          </w:tcPr>
          <w:p w14:paraId="74347EFC" w14:textId="77777777" w:rsidR="00450025" w:rsidRPr="00092862" w:rsidRDefault="00450025" w:rsidP="00C54C73">
            <w:pPr>
              <w:pStyle w:val="afffff8"/>
              <w:rPr>
                <w:color w:val="000000" w:themeColor="text1"/>
              </w:rPr>
            </w:pPr>
            <w:r w:rsidRPr="00092862">
              <w:rPr>
                <w:color w:val="000000" w:themeColor="text1"/>
              </w:rPr>
              <w:t>90m</w:t>
            </w:r>
          </w:p>
        </w:tc>
      </w:tr>
    </w:tbl>
    <w:p w14:paraId="028D81BF" w14:textId="245EFC2E" w:rsidR="00450025" w:rsidRPr="00092862" w:rsidRDefault="00685DF9"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r w:rsidRPr="00092862">
        <w:rPr>
          <w:rFonts w:ascii="Times New Roman" w:hAnsi="Times New Roman"/>
          <w:noProof/>
          <w:color w:val="000000" w:themeColor="text1"/>
        </w:rPr>
        <w:lastRenderedPageBreak/>
        <w:drawing>
          <wp:inline distT="0" distB="0" distL="0" distR="0" wp14:anchorId="6AFD4022" wp14:editId="1DADDB6A">
            <wp:extent cx="4779115" cy="301354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788768" cy="3019632"/>
                    </a:xfrm>
                    <a:prstGeom prst="rect">
                      <a:avLst/>
                    </a:prstGeom>
                  </pic:spPr>
                </pic:pic>
              </a:graphicData>
            </a:graphic>
          </wp:inline>
        </w:drawing>
      </w:r>
    </w:p>
    <w:p w14:paraId="09B733FD" w14:textId="77777777" w:rsidR="00450025" w:rsidRPr="00092862" w:rsidRDefault="00450025"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硫化氢事故状态参数输入</w:t>
      </w:r>
    </w:p>
    <w:p w14:paraId="54521BD8" w14:textId="106D8969" w:rsidR="00450025" w:rsidRPr="00092862" w:rsidRDefault="00863B50"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r w:rsidRPr="00092862">
        <w:rPr>
          <w:rFonts w:ascii="Times New Roman" w:hAnsi="Times New Roman"/>
          <w:noProof/>
          <w:color w:val="000000" w:themeColor="text1"/>
        </w:rPr>
        <w:drawing>
          <wp:inline distT="0" distB="0" distL="0" distR="0" wp14:anchorId="553D3CA3" wp14:editId="03FC7EBC">
            <wp:extent cx="4746719" cy="2989690"/>
            <wp:effectExtent l="0" t="0" r="0"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756766" cy="2996018"/>
                    </a:xfrm>
                    <a:prstGeom prst="rect">
                      <a:avLst/>
                    </a:prstGeom>
                  </pic:spPr>
                </pic:pic>
              </a:graphicData>
            </a:graphic>
          </wp:inline>
        </w:drawing>
      </w:r>
    </w:p>
    <w:p w14:paraId="6D03215F" w14:textId="77777777" w:rsidR="00450025" w:rsidRPr="00092862" w:rsidRDefault="00450025"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甲烷事故状态参数输入</w:t>
      </w:r>
    </w:p>
    <w:p w14:paraId="2C242A5B"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）大气毒性终点浓度选取</w:t>
      </w:r>
    </w:p>
    <w:p w14:paraId="0279ADD1" w14:textId="53DFE5BF"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6.4-5</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大气毒性终点浓度选取表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004"/>
        <w:gridCol w:w="3421"/>
        <w:gridCol w:w="2875"/>
      </w:tblGrid>
      <w:tr w:rsidR="00697429" w:rsidRPr="00092862" w14:paraId="1D7A5AA4" w14:textId="77777777" w:rsidTr="00C54C73">
        <w:tc>
          <w:tcPr>
            <w:tcW w:w="1207" w:type="pct"/>
            <w:shd w:val="clear" w:color="auto" w:fill="auto"/>
            <w:vAlign w:val="center"/>
          </w:tcPr>
          <w:p w14:paraId="110DECB7" w14:textId="77777777" w:rsidR="00450025" w:rsidRPr="00092862" w:rsidRDefault="00450025" w:rsidP="00C54C73">
            <w:pPr>
              <w:pStyle w:val="afffff8"/>
              <w:rPr>
                <w:color w:val="000000" w:themeColor="text1"/>
              </w:rPr>
            </w:pPr>
            <w:r w:rsidRPr="00092862">
              <w:rPr>
                <w:color w:val="000000" w:themeColor="text1"/>
              </w:rPr>
              <w:t>名称</w:t>
            </w:r>
          </w:p>
        </w:tc>
        <w:tc>
          <w:tcPr>
            <w:tcW w:w="2061" w:type="pct"/>
            <w:shd w:val="clear" w:color="auto" w:fill="auto"/>
            <w:vAlign w:val="center"/>
          </w:tcPr>
          <w:p w14:paraId="5E3EEE64" w14:textId="77777777" w:rsidR="00450025" w:rsidRPr="00092862" w:rsidRDefault="00450025" w:rsidP="00C54C73">
            <w:pPr>
              <w:pStyle w:val="afffff8"/>
              <w:rPr>
                <w:color w:val="000000" w:themeColor="text1"/>
              </w:rPr>
            </w:pPr>
            <w:r w:rsidRPr="00092862">
              <w:rPr>
                <w:color w:val="000000" w:themeColor="text1"/>
              </w:rPr>
              <w:t>毒性终点浓度</w:t>
            </w:r>
            <w:r w:rsidRPr="00092862">
              <w:rPr>
                <w:color w:val="000000" w:themeColor="text1"/>
              </w:rPr>
              <w:t>-1/</w:t>
            </w:r>
            <w:r w:rsidRPr="00092862">
              <w:rPr>
                <w:color w:val="000000" w:themeColor="text1"/>
              </w:rPr>
              <w:t>（</w:t>
            </w:r>
            <w:r w:rsidRPr="00092862">
              <w:rPr>
                <w:color w:val="000000" w:themeColor="text1"/>
              </w:rPr>
              <w:t>mg/m</w:t>
            </w:r>
            <w:r w:rsidRPr="00092862">
              <w:rPr>
                <w:color w:val="000000" w:themeColor="text1"/>
                <w:vertAlign w:val="superscript"/>
              </w:rPr>
              <w:t>3</w:t>
            </w:r>
            <w:r w:rsidRPr="00092862">
              <w:rPr>
                <w:color w:val="000000" w:themeColor="text1"/>
              </w:rPr>
              <w:t>）</w:t>
            </w:r>
          </w:p>
        </w:tc>
        <w:tc>
          <w:tcPr>
            <w:tcW w:w="1732" w:type="pct"/>
            <w:shd w:val="clear" w:color="auto" w:fill="auto"/>
            <w:vAlign w:val="center"/>
          </w:tcPr>
          <w:p w14:paraId="2F4C4EDE" w14:textId="77777777" w:rsidR="00450025" w:rsidRPr="00092862" w:rsidRDefault="00450025" w:rsidP="00C54C73">
            <w:pPr>
              <w:pStyle w:val="afffff8"/>
              <w:rPr>
                <w:color w:val="000000" w:themeColor="text1"/>
              </w:rPr>
            </w:pPr>
            <w:r w:rsidRPr="00092862">
              <w:rPr>
                <w:color w:val="000000" w:themeColor="text1"/>
              </w:rPr>
              <w:t>毒性终点浓度</w:t>
            </w:r>
            <w:r w:rsidRPr="00092862">
              <w:rPr>
                <w:color w:val="000000" w:themeColor="text1"/>
              </w:rPr>
              <w:t>-2/</w:t>
            </w:r>
            <w:r w:rsidRPr="00092862">
              <w:rPr>
                <w:color w:val="000000" w:themeColor="text1"/>
              </w:rPr>
              <w:t>（</w:t>
            </w:r>
            <w:r w:rsidRPr="00092862">
              <w:rPr>
                <w:color w:val="000000" w:themeColor="text1"/>
              </w:rPr>
              <w:t>mg/m</w:t>
            </w:r>
            <w:r w:rsidRPr="00092862">
              <w:rPr>
                <w:color w:val="000000" w:themeColor="text1"/>
                <w:vertAlign w:val="superscript"/>
              </w:rPr>
              <w:t>3</w:t>
            </w:r>
            <w:r w:rsidRPr="00092862">
              <w:rPr>
                <w:color w:val="000000" w:themeColor="text1"/>
              </w:rPr>
              <w:t>）</w:t>
            </w:r>
          </w:p>
        </w:tc>
      </w:tr>
      <w:tr w:rsidR="00697429" w:rsidRPr="00092862" w14:paraId="0D897573" w14:textId="77777777" w:rsidTr="00C54C73">
        <w:tc>
          <w:tcPr>
            <w:tcW w:w="1207" w:type="pct"/>
            <w:shd w:val="clear" w:color="auto" w:fill="auto"/>
            <w:vAlign w:val="center"/>
          </w:tcPr>
          <w:p w14:paraId="79F3FDB2" w14:textId="77777777" w:rsidR="00450025" w:rsidRPr="00092862" w:rsidRDefault="00450025" w:rsidP="00C54C73">
            <w:pPr>
              <w:pStyle w:val="afffff8"/>
              <w:rPr>
                <w:color w:val="000000" w:themeColor="text1"/>
              </w:rPr>
            </w:pPr>
            <w:r w:rsidRPr="00092862">
              <w:rPr>
                <w:color w:val="000000" w:themeColor="text1"/>
              </w:rPr>
              <w:t>硫化氢</w:t>
            </w:r>
          </w:p>
        </w:tc>
        <w:tc>
          <w:tcPr>
            <w:tcW w:w="2061" w:type="pct"/>
            <w:shd w:val="clear" w:color="auto" w:fill="auto"/>
            <w:vAlign w:val="center"/>
          </w:tcPr>
          <w:p w14:paraId="205897BE" w14:textId="77777777" w:rsidR="00450025" w:rsidRPr="00092862" w:rsidRDefault="00450025" w:rsidP="00C54C73">
            <w:pPr>
              <w:pStyle w:val="afffff8"/>
              <w:rPr>
                <w:color w:val="000000" w:themeColor="text1"/>
              </w:rPr>
            </w:pPr>
            <w:r w:rsidRPr="00092862">
              <w:rPr>
                <w:color w:val="000000" w:themeColor="text1"/>
              </w:rPr>
              <w:t>70</w:t>
            </w:r>
          </w:p>
        </w:tc>
        <w:tc>
          <w:tcPr>
            <w:tcW w:w="1732" w:type="pct"/>
            <w:shd w:val="clear" w:color="auto" w:fill="auto"/>
            <w:vAlign w:val="center"/>
          </w:tcPr>
          <w:p w14:paraId="01C21417" w14:textId="77777777" w:rsidR="00450025" w:rsidRPr="00092862" w:rsidRDefault="00450025" w:rsidP="00C54C73">
            <w:pPr>
              <w:pStyle w:val="afffff8"/>
              <w:rPr>
                <w:color w:val="000000" w:themeColor="text1"/>
              </w:rPr>
            </w:pPr>
            <w:r w:rsidRPr="00092862">
              <w:rPr>
                <w:color w:val="000000" w:themeColor="text1"/>
              </w:rPr>
              <w:t>38</w:t>
            </w:r>
          </w:p>
        </w:tc>
      </w:tr>
      <w:tr w:rsidR="008B37BB" w:rsidRPr="00092862" w14:paraId="560EAB17" w14:textId="77777777" w:rsidTr="00C54C73">
        <w:tc>
          <w:tcPr>
            <w:tcW w:w="1207" w:type="pct"/>
            <w:shd w:val="clear" w:color="auto" w:fill="auto"/>
            <w:vAlign w:val="center"/>
          </w:tcPr>
          <w:p w14:paraId="6D6B6E01" w14:textId="77777777" w:rsidR="00450025" w:rsidRPr="00092862" w:rsidRDefault="00450025" w:rsidP="00C54C73">
            <w:pPr>
              <w:pStyle w:val="afffff8"/>
              <w:rPr>
                <w:color w:val="000000" w:themeColor="text1"/>
                <w:vertAlign w:val="subscript"/>
              </w:rPr>
            </w:pPr>
            <w:r w:rsidRPr="00092862">
              <w:rPr>
                <w:color w:val="000000" w:themeColor="text1"/>
              </w:rPr>
              <w:t>甲烷</w:t>
            </w:r>
          </w:p>
        </w:tc>
        <w:tc>
          <w:tcPr>
            <w:tcW w:w="2061" w:type="pct"/>
            <w:shd w:val="clear" w:color="auto" w:fill="auto"/>
            <w:vAlign w:val="center"/>
          </w:tcPr>
          <w:p w14:paraId="4D681A2B" w14:textId="77777777" w:rsidR="00450025" w:rsidRPr="00092862" w:rsidRDefault="00450025" w:rsidP="00C54C73">
            <w:pPr>
              <w:pStyle w:val="afffff8"/>
              <w:rPr>
                <w:color w:val="000000" w:themeColor="text1"/>
              </w:rPr>
            </w:pPr>
            <w:r w:rsidRPr="00092862">
              <w:rPr>
                <w:color w:val="000000" w:themeColor="text1"/>
              </w:rPr>
              <w:t>260000</w:t>
            </w:r>
          </w:p>
        </w:tc>
        <w:tc>
          <w:tcPr>
            <w:tcW w:w="1732" w:type="pct"/>
            <w:shd w:val="clear" w:color="auto" w:fill="auto"/>
            <w:vAlign w:val="center"/>
          </w:tcPr>
          <w:p w14:paraId="2DC0BC90" w14:textId="1F7166C6" w:rsidR="00450025" w:rsidRPr="00092862" w:rsidRDefault="00450025" w:rsidP="00C54C73">
            <w:pPr>
              <w:pStyle w:val="afffff8"/>
              <w:rPr>
                <w:color w:val="000000" w:themeColor="text1"/>
              </w:rPr>
            </w:pPr>
            <w:r w:rsidRPr="00092862">
              <w:rPr>
                <w:color w:val="000000" w:themeColor="text1"/>
              </w:rPr>
              <w:t>150000</w:t>
            </w:r>
            <w:r w:rsidR="00685DF9" w:rsidRPr="00092862">
              <w:rPr>
                <w:color w:val="000000" w:themeColor="text1"/>
              </w:rPr>
              <w:t xml:space="preserve"> </w:t>
            </w:r>
          </w:p>
        </w:tc>
      </w:tr>
    </w:tbl>
    <w:p w14:paraId="0BC675D6" w14:textId="77777777" w:rsidR="00450025" w:rsidRPr="00092862" w:rsidRDefault="00450025"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p>
    <w:p w14:paraId="57A35C78" w14:textId="77777777" w:rsidR="00450025" w:rsidRPr="00092862" w:rsidRDefault="00450025" w:rsidP="00450025">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）预测结果</w:t>
      </w:r>
    </w:p>
    <w:p w14:paraId="311F5D9B" w14:textId="77777777" w:rsidR="00450025" w:rsidRPr="00092862" w:rsidRDefault="00450025" w:rsidP="00450025">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①</w:t>
      </w:r>
      <w:r w:rsidRPr="00092862">
        <w:rPr>
          <w:rFonts w:ascii="Times New Roman" w:hAnsi="Times New Roman"/>
          <w:bCs/>
          <w:color w:val="000000" w:themeColor="text1"/>
          <w:kern w:val="2"/>
          <w:lang w:eastAsia="zh-CN"/>
        </w:rPr>
        <w:t>一般计算点影响情况</w:t>
      </w:r>
    </w:p>
    <w:p w14:paraId="1B56E05F"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最不利气象条件下的一般计算点浓度，预测结果如下：</w:t>
      </w:r>
    </w:p>
    <w:p w14:paraId="6EEA66EA" w14:textId="6FCB011F"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6.4-6</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大气毒性终点浓度影响区域</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232"/>
        <w:gridCol w:w="1232"/>
        <w:gridCol w:w="1199"/>
        <w:gridCol w:w="1199"/>
        <w:gridCol w:w="1411"/>
        <w:gridCol w:w="2027"/>
      </w:tblGrid>
      <w:tr w:rsidR="00697429" w:rsidRPr="00092862" w14:paraId="7E1482A0" w14:textId="77777777" w:rsidTr="00C54C73">
        <w:tc>
          <w:tcPr>
            <w:tcW w:w="742" w:type="pct"/>
            <w:shd w:val="clear" w:color="auto" w:fill="auto"/>
            <w:vAlign w:val="center"/>
          </w:tcPr>
          <w:p w14:paraId="317B0702" w14:textId="77777777" w:rsidR="00450025" w:rsidRPr="00092862" w:rsidRDefault="00450025" w:rsidP="00C54C73">
            <w:pPr>
              <w:pStyle w:val="afffff8"/>
              <w:rPr>
                <w:color w:val="000000" w:themeColor="text1"/>
              </w:rPr>
            </w:pPr>
            <w:r w:rsidRPr="00092862">
              <w:rPr>
                <w:color w:val="000000" w:themeColor="text1"/>
              </w:rPr>
              <w:t>物质名称</w:t>
            </w:r>
          </w:p>
        </w:tc>
        <w:tc>
          <w:tcPr>
            <w:tcW w:w="742" w:type="pct"/>
            <w:shd w:val="clear" w:color="auto" w:fill="auto"/>
            <w:vAlign w:val="center"/>
          </w:tcPr>
          <w:p w14:paraId="57C8B60F" w14:textId="77777777" w:rsidR="00450025" w:rsidRPr="00092862" w:rsidRDefault="00450025" w:rsidP="00C54C73">
            <w:pPr>
              <w:pStyle w:val="afffff8"/>
              <w:rPr>
                <w:color w:val="000000" w:themeColor="text1"/>
              </w:rPr>
            </w:pPr>
            <w:r w:rsidRPr="00092862">
              <w:rPr>
                <w:color w:val="000000" w:themeColor="text1"/>
              </w:rPr>
              <w:t>阈值</w:t>
            </w:r>
            <w:r w:rsidRPr="00092862">
              <w:rPr>
                <w:color w:val="000000" w:themeColor="text1"/>
              </w:rPr>
              <w:t>mg/m</w:t>
            </w:r>
            <w:r w:rsidRPr="00092862">
              <w:rPr>
                <w:color w:val="000000" w:themeColor="text1"/>
                <w:vertAlign w:val="superscript"/>
              </w:rPr>
              <w:t>3</w:t>
            </w:r>
          </w:p>
        </w:tc>
        <w:tc>
          <w:tcPr>
            <w:tcW w:w="722" w:type="pct"/>
            <w:shd w:val="clear" w:color="auto" w:fill="auto"/>
            <w:vAlign w:val="center"/>
          </w:tcPr>
          <w:p w14:paraId="49FD5196" w14:textId="77777777" w:rsidR="00450025" w:rsidRPr="00092862" w:rsidRDefault="00450025" w:rsidP="00C54C73">
            <w:pPr>
              <w:pStyle w:val="afffff8"/>
              <w:rPr>
                <w:color w:val="000000" w:themeColor="text1"/>
              </w:rPr>
            </w:pPr>
            <w:r w:rsidRPr="00092862">
              <w:rPr>
                <w:color w:val="000000" w:themeColor="text1"/>
              </w:rPr>
              <w:t>X</w:t>
            </w:r>
            <w:r w:rsidRPr="00092862">
              <w:rPr>
                <w:color w:val="000000" w:themeColor="text1"/>
              </w:rPr>
              <w:t>起点，</w:t>
            </w:r>
            <w:r w:rsidRPr="00092862">
              <w:rPr>
                <w:color w:val="000000" w:themeColor="text1"/>
              </w:rPr>
              <w:t>m</w:t>
            </w:r>
          </w:p>
        </w:tc>
        <w:tc>
          <w:tcPr>
            <w:tcW w:w="722" w:type="pct"/>
            <w:shd w:val="clear" w:color="auto" w:fill="auto"/>
            <w:vAlign w:val="center"/>
          </w:tcPr>
          <w:p w14:paraId="162FD62A" w14:textId="77777777" w:rsidR="00450025" w:rsidRPr="00092862" w:rsidRDefault="00450025" w:rsidP="00C54C73">
            <w:pPr>
              <w:pStyle w:val="afffff8"/>
              <w:rPr>
                <w:color w:val="000000" w:themeColor="text1"/>
              </w:rPr>
            </w:pPr>
            <w:r w:rsidRPr="00092862">
              <w:rPr>
                <w:color w:val="000000" w:themeColor="text1"/>
              </w:rPr>
              <w:t>X</w:t>
            </w:r>
            <w:r w:rsidRPr="00092862">
              <w:rPr>
                <w:color w:val="000000" w:themeColor="text1"/>
              </w:rPr>
              <w:t>终点，</w:t>
            </w:r>
            <w:r w:rsidRPr="00092862">
              <w:rPr>
                <w:color w:val="000000" w:themeColor="text1"/>
              </w:rPr>
              <w:t>m</w:t>
            </w:r>
          </w:p>
        </w:tc>
        <w:tc>
          <w:tcPr>
            <w:tcW w:w="850" w:type="pct"/>
            <w:shd w:val="clear" w:color="auto" w:fill="auto"/>
            <w:vAlign w:val="center"/>
          </w:tcPr>
          <w:p w14:paraId="4437C799" w14:textId="77777777" w:rsidR="00450025" w:rsidRPr="00092862" w:rsidRDefault="00450025" w:rsidP="00C54C73">
            <w:pPr>
              <w:pStyle w:val="afffff8"/>
              <w:rPr>
                <w:color w:val="000000" w:themeColor="text1"/>
              </w:rPr>
            </w:pPr>
            <w:r w:rsidRPr="00092862">
              <w:rPr>
                <w:color w:val="000000" w:themeColor="text1"/>
              </w:rPr>
              <w:t>最大半宽，</w:t>
            </w:r>
            <w:r w:rsidRPr="00092862">
              <w:rPr>
                <w:color w:val="000000" w:themeColor="text1"/>
              </w:rPr>
              <w:t>m</w:t>
            </w:r>
          </w:p>
        </w:tc>
        <w:tc>
          <w:tcPr>
            <w:tcW w:w="1221" w:type="pct"/>
            <w:shd w:val="clear" w:color="auto" w:fill="auto"/>
            <w:vAlign w:val="center"/>
          </w:tcPr>
          <w:p w14:paraId="2AF11738" w14:textId="77777777" w:rsidR="00450025" w:rsidRPr="00092862" w:rsidRDefault="00450025" w:rsidP="00C54C73">
            <w:pPr>
              <w:pStyle w:val="afffff8"/>
              <w:rPr>
                <w:color w:val="000000" w:themeColor="text1"/>
              </w:rPr>
            </w:pPr>
            <w:r w:rsidRPr="00092862">
              <w:rPr>
                <w:color w:val="000000" w:themeColor="text1"/>
              </w:rPr>
              <w:t>最大半宽对应</w:t>
            </w:r>
            <w:r w:rsidRPr="00092862">
              <w:rPr>
                <w:color w:val="000000" w:themeColor="text1"/>
              </w:rPr>
              <w:t>X</w:t>
            </w:r>
            <w:r w:rsidRPr="00092862">
              <w:rPr>
                <w:color w:val="000000" w:themeColor="text1"/>
              </w:rPr>
              <w:t>，</w:t>
            </w:r>
            <w:r w:rsidRPr="00092862">
              <w:rPr>
                <w:color w:val="000000" w:themeColor="text1"/>
              </w:rPr>
              <w:t>m</w:t>
            </w:r>
          </w:p>
        </w:tc>
      </w:tr>
      <w:tr w:rsidR="00697429" w:rsidRPr="00092862" w14:paraId="38FF07AF" w14:textId="77777777" w:rsidTr="00C54C73">
        <w:tc>
          <w:tcPr>
            <w:tcW w:w="742" w:type="pct"/>
            <w:vMerge w:val="restart"/>
            <w:shd w:val="clear" w:color="auto" w:fill="auto"/>
            <w:vAlign w:val="center"/>
          </w:tcPr>
          <w:p w14:paraId="73E438AC" w14:textId="77777777" w:rsidR="00450025" w:rsidRPr="00092862" w:rsidRDefault="00450025" w:rsidP="00C54C73">
            <w:pPr>
              <w:pStyle w:val="afffff8"/>
              <w:rPr>
                <w:color w:val="000000" w:themeColor="text1"/>
              </w:rPr>
            </w:pPr>
            <w:r w:rsidRPr="00092862">
              <w:rPr>
                <w:color w:val="000000" w:themeColor="text1"/>
              </w:rPr>
              <w:t>硫化氢</w:t>
            </w:r>
          </w:p>
        </w:tc>
        <w:tc>
          <w:tcPr>
            <w:tcW w:w="742" w:type="pct"/>
            <w:shd w:val="clear" w:color="auto" w:fill="auto"/>
            <w:vAlign w:val="center"/>
          </w:tcPr>
          <w:p w14:paraId="155F04C4" w14:textId="77777777" w:rsidR="00450025" w:rsidRPr="00092862" w:rsidRDefault="00450025" w:rsidP="00C54C73">
            <w:pPr>
              <w:pStyle w:val="afffff8"/>
              <w:rPr>
                <w:color w:val="000000" w:themeColor="text1"/>
              </w:rPr>
            </w:pPr>
            <w:r w:rsidRPr="00092862">
              <w:rPr>
                <w:color w:val="000000" w:themeColor="text1"/>
              </w:rPr>
              <w:t>38</w:t>
            </w:r>
          </w:p>
        </w:tc>
        <w:tc>
          <w:tcPr>
            <w:tcW w:w="722" w:type="pct"/>
            <w:shd w:val="clear" w:color="auto" w:fill="auto"/>
            <w:vAlign w:val="center"/>
          </w:tcPr>
          <w:p w14:paraId="7946846E" w14:textId="77777777" w:rsidR="00450025" w:rsidRPr="00092862" w:rsidRDefault="00450025" w:rsidP="00C54C73">
            <w:pPr>
              <w:pStyle w:val="afffff8"/>
              <w:rPr>
                <w:color w:val="000000" w:themeColor="text1"/>
              </w:rPr>
            </w:pPr>
            <w:r w:rsidRPr="00092862">
              <w:rPr>
                <w:color w:val="000000" w:themeColor="text1"/>
              </w:rPr>
              <w:t>10</w:t>
            </w:r>
          </w:p>
        </w:tc>
        <w:tc>
          <w:tcPr>
            <w:tcW w:w="722" w:type="pct"/>
            <w:shd w:val="clear" w:color="auto" w:fill="auto"/>
            <w:vAlign w:val="center"/>
          </w:tcPr>
          <w:p w14:paraId="215356C4" w14:textId="6CC08A96" w:rsidR="00450025" w:rsidRPr="00092862" w:rsidRDefault="00685DF9" w:rsidP="00C54C73">
            <w:pPr>
              <w:pStyle w:val="afffff8"/>
              <w:rPr>
                <w:color w:val="000000" w:themeColor="text1"/>
              </w:rPr>
            </w:pPr>
            <w:r w:rsidRPr="00092862">
              <w:rPr>
                <w:color w:val="000000" w:themeColor="text1"/>
              </w:rPr>
              <w:t>4650</w:t>
            </w:r>
          </w:p>
        </w:tc>
        <w:tc>
          <w:tcPr>
            <w:tcW w:w="850" w:type="pct"/>
            <w:shd w:val="clear" w:color="auto" w:fill="auto"/>
            <w:vAlign w:val="center"/>
          </w:tcPr>
          <w:p w14:paraId="153458C6" w14:textId="2BC46079" w:rsidR="00450025" w:rsidRPr="00092862" w:rsidRDefault="00685DF9" w:rsidP="00C54C73">
            <w:pPr>
              <w:pStyle w:val="afffff8"/>
              <w:rPr>
                <w:color w:val="000000" w:themeColor="text1"/>
              </w:rPr>
            </w:pPr>
            <w:r w:rsidRPr="00092862">
              <w:rPr>
                <w:color w:val="000000" w:themeColor="text1"/>
              </w:rPr>
              <w:t>158</w:t>
            </w:r>
          </w:p>
        </w:tc>
        <w:tc>
          <w:tcPr>
            <w:tcW w:w="1221" w:type="pct"/>
            <w:shd w:val="clear" w:color="auto" w:fill="auto"/>
            <w:vAlign w:val="center"/>
          </w:tcPr>
          <w:p w14:paraId="143E66EB" w14:textId="46B91A55" w:rsidR="00450025" w:rsidRPr="00092862" w:rsidRDefault="00685DF9" w:rsidP="00C54C73">
            <w:pPr>
              <w:pStyle w:val="afffff8"/>
              <w:rPr>
                <w:color w:val="000000" w:themeColor="text1"/>
              </w:rPr>
            </w:pPr>
            <w:r w:rsidRPr="00092862">
              <w:rPr>
                <w:color w:val="000000" w:themeColor="text1"/>
              </w:rPr>
              <w:t>2360</w:t>
            </w:r>
          </w:p>
        </w:tc>
      </w:tr>
      <w:tr w:rsidR="00697429" w:rsidRPr="00092862" w14:paraId="5F8BB6DF" w14:textId="77777777" w:rsidTr="00C54C73">
        <w:tc>
          <w:tcPr>
            <w:tcW w:w="742" w:type="pct"/>
            <w:vMerge/>
            <w:shd w:val="clear" w:color="auto" w:fill="auto"/>
            <w:vAlign w:val="center"/>
          </w:tcPr>
          <w:p w14:paraId="2AD694E6" w14:textId="77777777" w:rsidR="00450025" w:rsidRPr="00092862" w:rsidRDefault="00450025" w:rsidP="00C54C73">
            <w:pPr>
              <w:pStyle w:val="afffff8"/>
              <w:rPr>
                <w:color w:val="000000" w:themeColor="text1"/>
              </w:rPr>
            </w:pPr>
          </w:p>
        </w:tc>
        <w:tc>
          <w:tcPr>
            <w:tcW w:w="742" w:type="pct"/>
            <w:shd w:val="clear" w:color="auto" w:fill="auto"/>
            <w:vAlign w:val="center"/>
          </w:tcPr>
          <w:p w14:paraId="051B0A9C" w14:textId="77777777" w:rsidR="00450025" w:rsidRPr="00092862" w:rsidRDefault="00450025" w:rsidP="00C54C73">
            <w:pPr>
              <w:pStyle w:val="afffff8"/>
              <w:rPr>
                <w:color w:val="000000" w:themeColor="text1"/>
              </w:rPr>
            </w:pPr>
            <w:r w:rsidRPr="00092862">
              <w:rPr>
                <w:color w:val="000000" w:themeColor="text1"/>
              </w:rPr>
              <w:t>70</w:t>
            </w:r>
          </w:p>
        </w:tc>
        <w:tc>
          <w:tcPr>
            <w:tcW w:w="722" w:type="pct"/>
            <w:shd w:val="clear" w:color="auto" w:fill="auto"/>
            <w:vAlign w:val="center"/>
          </w:tcPr>
          <w:p w14:paraId="7972A7FC" w14:textId="77777777" w:rsidR="00450025" w:rsidRPr="00092862" w:rsidRDefault="00450025" w:rsidP="00C54C73">
            <w:pPr>
              <w:pStyle w:val="afffff8"/>
              <w:rPr>
                <w:color w:val="000000" w:themeColor="text1"/>
              </w:rPr>
            </w:pPr>
            <w:r w:rsidRPr="00092862">
              <w:rPr>
                <w:color w:val="000000" w:themeColor="text1"/>
              </w:rPr>
              <w:t>10</w:t>
            </w:r>
          </w:p>
        </w:tc>
        <w:tc>
          <w:tcPr>
            <w:tcW w:w="722" w:type="pct"/>
            <w:shd w:val="clear" w:color="auto" w:fill="auto"/>
            <w:vAlign w:val="center"/>
          </w:tcPr>
          <w:p w14:paraId="3EA359EB" w14:textId="15D922F0" w:rsidR="00450025" w:rsidRPr="00092862" w:rsidRDefault="00685DF9" w:rsidP="00C54C73">
            <w:pPr>
              <w:pStyle w:val="afffff8"/>
              <w:rPr>
                <w:color w:val="000000" w:themeColor="text1"/>
              </w:rPr>
            </w:pPr>
            <w:r w:rsidRPr="00092862">
              <w:rPr>
                <w:color w:val="000000" w:themeColor="text1"/>
              </w:rPr>
              <w:t>2940</w:t>
            </w:r>
          </w:p>
        </w:tc>
        <w:tc>
          <w:tcPr>
            <w:tcW w:w="850" w:type="pct"/>
            <w:shd w:val="clear" w:color="auto" w:fill="auto"/>
            <w:vAlign w:val="center"/>
          </w:tcPr>
          <w:p w14:paraId="1BBD7174" w14:textId="694C2001" w:rsidR="00450025" w:rsidRPr="00092862" w:rsidRDefault="00685DF9" w:rsidP="00C54C73">
            <w:pPr>
              <w:pStyle w:val="afffff8"/>
              <w:rPr>
                <w:color w:val="000000" w:themeColor="text1"/>
              </w:rPr>
            </w:pPr>
            <w:r w:rsidRPr="00092862">
              <w:rPr>
                <w:color w:val="000000" w:themeColor="text1"/>
              </w:rPr>
              <w:t>104</w:t>
            </w:r>
          </w:p>
        </w:tc>
        <w:tc>
          <w:tcPr>
            <w:tcW w:w="1221" w:type="pct"/>
            <w:shd w:val="clear" w:color="auto" w:fill="auto"/>
            <w:vAlign w:val="center"/>
          </w:tcPr>
          <w:p w14:paraId="4DB623E4" w14:textId="0F316CF1" w:rsidR="00450025" w:rsidRPr="00092862" w:rsidRDefault="00685DF9" w:rsidP="00C54C73">
            <w:pPr>
              <w:pStyle w:val="afffff8"/>
              <w:rPr>
                <w:color w:val="000000" w:themeColor="text1"/>
              </w:rPr>
            </w:pPr>
            <w:r w:rsidRPr="00092862">
              <w:rPr>
                <w:color w:val="000000" w:themeColor="text1"/>
              </w:rPr>
              <w:t>1460</w:t>
            </w:r>
          </w:p>
        </w:tc>
      </w:tr>
      <w:tr w:rsidR="00697429" w:rsidRPr="00092862" w14:paraId="43E51C5B" w14:textId="77777777" w:rsidTr="00C54C73">
        <w:tc>
          <w:tcPr>
            <w:tcW w:w="742" w:type="pct"/>
            <w:vMerge w:val="restart"/>
            <w:shd w:val="clear" w:color="auto" w:fill="auto"/>
            <w:vAlign w:val="center"/>
          </w:tcPr>
          <w:p w14:paraId="0DF36913" w14:textId="77777777" w:rsidR="00450025" w:rsidRPr="00092862" w:rsidRDefault="00450025" w:rsidP="00C54C73">
            <w:pPr>
              <w:pStyle w:val="afffff8"/>
              <w:rPr>
                <w:color w:val="000000" w:themeColor="text1"/>
              </w:rPr>
            </w:pPr>
            <w:r w:rsidRPr="00092862">
              <w:rPr>
                <w:color w:val="000000" w:themeColor="text1"/>
              </w:rPr>
              <w:t>甲烷</w:t>
            </w:r>
          </w:p>
        </w:tc>
        <w:tc>
          <w:tcPr>
            <w:tcW w:w="742" w:type="pct"/>
            <w:shd w:val="clear" w:color="auto" w:fill="auto"/>
            <w:vAlign w:val="center"/>
          </w:tcPr>
          <w:p w14:paraId="4E12AC22" w14:textId="77777777" w:rsidR="00450025" w:rsidRPr="00092862" w:rsidRDefault="00450025" w:rsidP="00C54C73">
            <w:pPr>
              <w:pStyle w:val="afffff8"/>
              <w:rPr>
                <w:color w:val="000000" w:themeColor="text1"/>
              </w:rPr>
            </w:pPr>
            <w:r w:rsidRPr="00092862">
              <w:rPr>
                <w:color w:val="000000" w:themeColor="text1"/>
              </w:rPr>
              <w:t>150000</w:t>
            </w:r>
          </w:p>
        </w:tc>
        <w:tc>
          <w:tcPr>
            <w:tcW w:w="722" w:type="pct"/>
            <w:shd w:val="clear" w:color="auto" w:fill="auto"/>
            <w:vAlign w:val="center"/>
          </w:tcPr>
          <w:p w14:paraId="3D6270F7" w14:textId="0D9CB480" w:rsidR="00450025" w:rsidRPr="00092862" w:rsidRDefault="00863B50" w:rsidP="00C54C73">
            <w:pPr>
              <w:pStyle w:val="afffff8"/>
              <w:rPr>
                <w:color w:val="000000" w:themeColor="text1"/>
              </w:rPr>
            </w:pPr>
            <w:r w:rsidRPr="00092862">
              <w:rPr>
                <w:color w:val="000000" w:themeColor="text1"/>
              </w:rPr>
              <w:t>0</w:t>
            </w:r>
          </w:p>
        </w:tc>
        <w:tc>
          <w:tcPr>
            <w:tcW w:w="722" w:type="pct"/>
            <w:shd w:val="clear" w:color="auto" w:fill="auto"/>
            <w:vAlign w:val="center"/>
          </w:tcPr>
          <w:p w14:paraId="04947AB1" w14:textId="1815AD0E" w:rsidR="00450025" w:rsidRPr="00092862" w:rsidRDefault="00863B50" w:rsidP="00C54C73">
            <w:pPr>
              <w:pStyle w:val="afffff8"/>
              <w:rPr>
                <w:color w:val="000000" w:themeColor="text1"/>
              </w:rPr>
            </w:pPr>
            <w:r w:rsidRPr="00092862">
              <w:rPr>
                <w:color w:val="000000" w:themeColor="text1"/>
              </w:rPr>
              <w:t>0</w:t>
            </w:r>
          </w:p>
        </w:tc>
        <w:tc>
          <w:tcPr>
            <w:tcW w:w="850" w:type="pct"/>
            <w:shd w:val="clear" w:color="auto" w:fill="auto"/>
            <w:vAlign w:val="center"/>
          </w:tcPr>
          <w:p w14:paraId="4F338C4D" w14:textId="77777777" w:rsidR="00450025" w:rsidRPr="00092862" w:rsidRDefault="00450025" w:rsidP="00C54C73">
            <w:pPr>
              <w:pStyle w:val="afffff8"/>
              <w:rPr>
                <w:color w:val="000000" w:themeColor="text1"/>
              </w:rPr>
            </w:pPr>
            <w:r w:rsidRPr="00092862">
              <w:rPr>
                <w:color w:val="000000" w:themeColor="text1"/>
              </w:rPr>
              <w:t>0</w:t>
            </w:r>
          </w:p>
        </w:tc>
        <w:tc>
          <w:tcPr>
            <w:tcW w:w="1221" w:type="pct"/>
            <w:shd w:val="clear" w:color="auto" w:fill="auto"/>
            <w:vAlign w:val="center"/>
          </w:tcPr>
          <w:p w14:paraId="079A4210" w14:textId="724DB916" w:rsidR="00450025" w:rsidRPr="00092862" w:rsidRDefault="00863B50" w:rsidP="00C54C73">
            <w:pPr>
              <w:pStyle w:val="afffff8"/>
              <w:rPr>
                <w:color w:val="000000" w:themeColor="text1"/>
              </w:rPr>
            </w:pPr>
            <w:r w:rsidRPr="00092862">
              <w:rPr>
                <w:color w:val="000000" w:themeColor="text1"/>
              </w:rPr>
              <w:t>0</w:t>
            </w:r>
          </w:p>
        </w:tc>
      </w:tr>
      <w:tr w:rsidR="00697429" w:rsidRPr="00092862" w14:paraId="1617542D" w14:textId="77777777" w:rsidTr="00C54C73">
        <w:tc>
          <w:tcPr>
            <w:tcW w:w="742" w:type="pct"/>
            <w:vMerge/>
            <w:shd w:val="clear" w:color="auto" w:fill="auto"/>
            <w:vAlign w:val="center"/>
          </w:tcPr>
          <w:p w14:paraId="477D9FE8" w14:textId="77777777" w:rsidR="00450025" w:rsidRPr="00092862" w:rsidRDefault="00450025" w:rsidP="00C54C73">
            <w:pPr>
              <w:pStyle w:val="afffff8"/>
              <w:rPr>
                <w:color w:val="000000" w:themeColor="text1"/>
              </w:rPr>
            </w:pPr>
          </w:p>
        </w:tc>
        <w:tc>
          <w:tcPr>
            <w:tcW w:w="742" w:type="pct"/>
            <w:shd w:val="clear" w:color="auto" w:fill="auto"/>
            <w:vAlign w:val="center"/>
          </w:tcPr>
          <w:p w14:paraId="396C60BF" w14:textId="77777777" w:rsidR="00450025" w:rsidRPr="00092862" w:rsidRDefault="00450025" w:rsidP="00C54C73">
            <w:pPr>
              <w:pStyle w:val="afffff8"/>
              <w:rPr>
                <w:color w:val="000000" w:themeColor="text1"/>
              </w:rPr>
            </w:pPr>
            <w:r w:rsidRPr="00092862">
              <w:rPr>
                <w:color w:val="000000" w:themeColor="text1"/>
              </w:rPr>
              <w:t>260000</w:t>
            </w:r>
          </w:p>
        </w:tc>
        <w:tc>
          <w:tcPr>
            <w:tcW w:w="722" w:type="pct"/>
            <w:shd w:val="clear" w:color="auto" w:fill="auto"/>
            <w:vAlign w:val="center"/>
          </w:tcPr>
          <w:p w14:paraId="0DC85495" w14:textId="3590BA04" w:rsidR="00450025" w:rsidRPr="00092862" w:rsidRDefault="00450025" w:rsidP="00C54C73">
            <w:pPr>
              <w:pStyle w:val="afffff8"/>
              <w:rPr>
                <w:color w:val="000000" w:themeColor="text1"/>
              </w:rPr>
            </w:pPr>
            <w:r w:rsidRPr="00092862">
              <w:rPr>
                <w:color w:val="000000" w:themeColor="text1"/>
              </w:rPr>
              <w:t>0</w:t>
            </w:r>
          </w:p>
        </w:tc>
        <w:tc>
          <w:tcPr>
            <w:tcW w:w="722" w:type="pct"/>
            <w:shd w:val="clear" w:color="auto" w:fill="auto"/>
            <w:vAlign w:val="center"/>
          </w:tcPr>
          <w:p w14:paraId="59619FC2" w14:textId="2148974D" w:rsidR="00450025" w:rsidRPr="00092862" w:rsidRDefault="00863B50" w:rsidP="00C54C73">
            <w:pPr>
              <w:pStyle w:val="afffff8"/>
              <w:rPr>
                <w:color w:val="000000" w:themeColor="text1"/>
              </w:rPr>
            </w:pPr>
            <w:r w:rsidRPr="00092862">
              <w:rPr>
                <w:color w:val="000000" w:themeColor="text1"/>
              </w:rPr>
              <w:t>0</w:t>
            </w:r>
          </w:p>
        </w:tc>
        <w:tc>
          <w:tcPr>
            <w:tcW w:w="850" w:type="pct"/>
            <w:shd w:val="clear" w:color="auto" w:fill="auto"/>
            <w:vAlign w:val="center"/>
          </w:tcPr>
          <w:p w14:paraId="113AC832" w14:textId="77777777" w:rsidR="00450025" w:rsidRPr="00092862" w:rsidRDefault="00450025" w:rsidP="00C54C73">
            <w:pPr>
              <w:pStyle w:val="afffff8"/>
              <w:rPr>
                <w:color w:val="000000" w:themeColor="text1"/>
              </w:rPr>
            </w:pPr>
            <w:r w:rsidRPr="00092862">
              <w:rPr>
                <w:color w:val="000000" w:themeColor="text1"/>
              </w:rPr>
              <w:t>0</w:t>
            </w:r>
          </w:p>
        </w:tc>
        <w:tc>
          <w:tcPr>
            <w:tcW w:w="1221" w:type="pct"/>
            <w:shd w:val="clear" w:color="auto" w:fill="auto"/>
            <w:vAlign w:val="center"/>
          </w:tcPr>
          <w:p w14:paraId="171EDD2A" w14:textId="03B7E358" w:rsidR="00450025" w:rsidRPr="00092862" w:rsidRDefault="00863B50" w:rsidP="00C54C73">
            <w:pPr>
              <w:pStyle w:val="afffff8"/>
              <w:rPr>
                <w:color w:val="000000" w:themeColor="text1"/>
              </w:rPr>
            </w:pPr>
            <w:r w:rsidRPr="00092862">
              <w:rPr>
                <w:color w:val="000000" w:themeColor="text1"/>
              </w:rPr>
              <w:t>0</w:t>
            </w:r>
          </w:p>
        </w:tc>
      </w:tr>
    </w:tbl>
    <w:p w14:paraId="1804F381" w14:textId="4156A47A" w:rsidR="00450025" w:rsidRPr="00092862" w:rsidRDefault="00685DF9" w:rsidP="00450025">
      <w:pPr>
        <w:pStyle w:val="ac"/>
        <w:adjustRightInd w:val="0"/>
        <w:snapToGrid w:val="0"/>
        <w:spacing w:before="0" w:line="360" w:lineRule="auto"/>
        <w:ind w:left="0"/>
        <w:jc w:val="center"/>
        <w:rPr>
          <w:rFonts w:ascii="Times New Roman" w:hAnsi="Times New Roman"/>
          <w:color w:val="000000" w:themeColor="text1"/>
          <w:lang w:eastAsia="zh-CN"/>
        </w:rPr>
      </w:pPr>
      <w:r w:rsidRPr="00092862">
        <w:rPr>
          <w:rFonts w:ascii="Times New Roman" w:hAnsi="Times New Roman"/>
          <w:noProof/>
          <w:color w:val="000000" w:themeColor="text1"/>
        </w:rPr>
        <w:drawing>
          <wp:inline distT="0" distB="0" distL="0" distR="0" wp14:anchorId="33F0B962" wp14:editId="4B9ED35C">
            <wp:extent cx="5276850" cy="36195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6850" cy="3619500"/>
                    </a:xfrm>
                    <a:prstGeom prst="rect">
                      <a:avLst/>
                    </a:prstGeom>
                  </pic:spPr>
                </pic:pic>
              </a:graphicData>
            </a:graphic>
          </wp:inline>
        </w:drawing>
      </w:r>
    </w:p>
    <w:p w14:paraId="10FE5556" w14:textId="0F32F900"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00704F23" w:rsidRPr="00092862">
        <w:rPr>
          <w:rFonts w:ascii="Times New Roman" w:eastAsia="黑体" w:hAnsi="Times New Roman"/>
          <w:color w:val="000000" w:themeColor="text1"/>
          <w:sz w:val="21"/>
          <w:szCs w:val="21"/>
          <w:lang w:eastAsia="zh-CN"/>
        </w:rPr>
        <w:t>6.4-2</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最不利气象条件下</w:t>
      </w:r>
      <w:r w:rsidRPr="00092862">
        <w:rPr>
          <w:rFonts w:ascii="Times New Roman" w:eastAsia="黑体" w:hAnsi="Times New Roman"/>
          <w:color w:val="000000" w:themeColor="text1"/>
          <w:sz w:val="21"/>
          <w:szCs w:val="21"/>
          <w:lang w:eastAsia="zh-CN"/>
        </w:rPr>
        <w:t>H</w:t>
      </w:r>
      <w:r w:rsidRPr="00092862">
        <w:rPr>
          <w:rFonts w:ascii="Times New Roman" w:eastAsia="黑体" w:hAnsi="Times New Roman"/>
          <w:color w:val="000000" w:themeColor="text1"/>
          <w:sz w:val="21"/>
          <w:szCs w:val="21"/>
          <w:vertAlign w:val="subscript"/>
          <w:lang w:eastAsia="zh-CN"/>
        </w:rPr>
        <w:t>2</w:t>
      </w:r>
      <w:r w:rsidRPr="00092862">
        <w:rPr>
          <w:rFonts w:ascii="Times New Roman" w:eastAsia="黑体" w:hAnsi="Times New Roman"/>
          <w:color w:val="000000" w:themeColor="text1"/>
          <w:sz w:val="21"/>
          <w:szCs w:val="21"/>
          <w:lang w:eastAsia="zh-CN"/>
        </w:rPr>
        <w:t>S</w:t>
      </w:r>
      <w:r w:rsidRPr="00092862">
        <w:rPr>
          <w:rFonts w:ascii="Times New Roman" w:eastAsia="黑体" w:hAnsi="Times New Roman"/>
          <w:color w:val="000000" w:themeColor="text1"/>
          <w:sz w:val="21"/>
          <w:szCs w:val="21"/>
          <w:lang w:eastAsia="zh-CN"/>
        </w:rPr>
        <w:t>扩散最大影响区域图</w:t>
      </w:r>
    </w:p>
    <w:p w14:paraId="081C83EF" w14:textId="39D43A73" w:rsidR="00450025" w:rsidRPr="00092862" w:rsidRDefault="00863B50" w:rsidP="00450025">
      <w:pPr>
        <w:pStyle w:val="ac"/>
        <w:adjustRightInd w:val="0"/>
        <w:snapToGrid w:val="0"/>
        <w:spacing w:before="0" w:line="360" w:lineRule="auto"/>
        <w:ind w:left="0"/>
        <w:jc w:val="center"/>
        <w:rPr>
          <w:rFonts w:ascii="Times New Roman" w:hAnsi="Times New Roman"/>
          <w:color w:val="000000" w:themeColor="text1"/>
          <w:lang w:eastAsia="zh-CN"/>
        </w:rPr>
      </w:pPr>
      <w:r w:rsidRPr="00092862">
        <w:rPr>
          <w:rFonts w:ascii="Times New Roman" w:hAnsi="Times New Roman"/>
          <w:noProof/>
          <w:color w:val="000000" w:themeColor="text1"/>
        </w:rPr>
        <w:drawing>
          <wp:inline distT="0" distB="0" distL="0" distR="0" wp14:anchorId="1DD33089" wp14:editId="161BAF69">
            <wp:extent cx="5276850" cy="2679700"/>
            <wp:effectExtent l="0" t="0" r="0"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6850" cy="2679700"/>
                    </a:xfrm>
                    <a:prstGeom prst="rect">
                      <a:avLst/>
                    </a:prstGeom>
                  </pic:spPr>
                </pic:pic>
              </a:graphicData>
            </a:graphic>
          </wp:inline>
        </w:drawing>
      </w:r>
    </w:p>
    <w:p w14:paraId="48FE2A6F" w14:textId="38CD9862"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图</w:t>
      </w:r>
      <w:r w:rsidR="00704F23" w:rsidRPr="00092862">
        <w:rPr>
          <w:rFonts w:ascii="Times New Roman" w:eastAsia="黑体" w:hAnsi="Times New Roman"/>
          <w:color w:val="000000" w:themeColor="text1"/>
          <w:sz w:val="21"/>
          <w:szCs w:val="21"/>
          <w:lang w:eastAsia="zh-CN"/>
        </w:rPr>
        <w:t>6.4-3</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最不利气象条件下</w:t>
      </w:r>
      <w:r w:rsidRPr="00092862">
        <w:rPr>
          <w:rFonts w:ascii="Times New Roman" w:eastAsia="黑体" w:hAnsi="Times New Roman"/>
          <w:color w:val="000000" w:themeColor="text1"/>
          <w:sz w:val="21"/>
          <w:szCs w:val="21"/>
          <w:lang w:eastAsia="zh-CN"/>
        </w:rPr>
        <w:t>CH</w:t>
      </w:r>
      <w:r w:rsidRPr="00092862">
        <w:rPr>
          <w:rFonts w:ascii="Times New Roman" w:eastAsia="黑体" w:hAnsi="Times New Roman"/>
          <w:color w:val="000000" w:themeColor="text1"/>
          <w:sz w:val="21"/>
          <w:szCs w:val="21"/>
          <w:vertAlign w:val="subscript"/>
          <w:lang w:eastAsia="zh-CN"/>
        </w:rPr>
        <w:t>4</w:t>
      </w:r>
      <w:r w:rsidRPr="00092862">
        <w:rPr>
          <w:rFonts w:ascii="Times New Roman" w:eastAsia="黑体" w:hAnsi="Times New Roman"/>
          <w:color w:val="000000" w:themeColor="text1"/>
          <w:sz w:val="21"/>
          <w:szCs w:val="21"/>
          <w:lang w:eastAsia="zh-CN"/>
        </w:rPr>
        <w:t>扩散</w:t>
      </w:r>
      <w:r w:rsidR="00863B50" w:rsidRPr="00092862">
        <w:rPr>
          <w:rFonts w:ascii="Times New Roman" w:eastAsia="黑体" w:hAnsi="Times New Roman"/>
          <w:color w:val="000000" w:themeColor="text1"/>
          <w:sz w:val="21"/>
          <w:szCs w:val="21"/>
          <w:lang w:eastAsia="zh-CN"/>
        </w:rPr>
        <w:t>轴线扩散最大浓度</w:t>
      </w:r>
      <w:r w:rsidRPr="00092862">
        <w:rPr>
          <w:rFonts w:ascii="Times New Roman" w:eastAsia="黑体" w:hAnsi="Times New Roman"/>
          <w:color w:val="000000" w:themeColor="text1"/>
          <w:sz w:val="21"/>
          <w:szCs w:val="21"/>
          <w:lang w:eastAsia="zh-CN"/>
        </w:rPr>
        <w:t>图</w:t>
      </w:r>
    </w:p>
    <w:p w14:paraId="59AED085" w14:textId="2A38B1F9"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6.4-7</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污染物扩散轴线各点的最大浓度列表（最不利气象）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90"/>
        <w:gridCol w:w="1554"/>
        <w:gridCol w:w="1801"/>
        <w:gridCol w:w="1554"/>
        <w:gridCol w:w="1801"/>
      </w:tblGrid>
      <w:tr w:rsidR="00697429" w:rsidRPr="00092862" w14:paraId="48AE9277" w14:textId="77777777" w:rsidTr="00C54C73">
        <w:trPr>
          <w:tblHeader/>
        </w:trPr>
        <w:tc>
          <w:tcPr>
            <w:tcW w:w="958" w:type="pct"/>
            <w:vMerge w:val="restart"/>
            <w:shd w:val="clear" w:color="auto" w:fill="auto"/>
            <w:vAlign w:val="center"/>
          </w:tcPr>
          <w:p w14:paraId="2282633F" w14:textId="77777777" w:rsidR="00450025" w:rsidRPr="00092862" w:rsidRDefault="00450025" w:rsidP="0017532F">
            <w:pPr>
              <w:pStyle w:val="afffff8"/>
              <w:rPr>
                <w:color w:val="000000" w:themeColor="text1"/>
              </w:rPr>
            </w:pPr>
            <w:r w:rsidRPr="00092862">
              <w:rPr>
                <w:color w:val="000000" w:themeColor="text1"/>
              </w:rPr>
              <w:t>轴线距离（</w:t>
            </w:r>
            <w:r w:rsidRPr="00092862">
              <w:rPr>
                <w:color w:val="000000" w:themeColor="text1"/>
              </w:rPr>
              <w:t>m</w:t>
            </w:r>
            <w:r w:rsidRPr="00092862">
              <w:rPr>
                <w:color w:val="000000" w:themeColor="text1"/>
              </w:rPr>
              <w:t>）</w:t>
            </w:r>
          </w:p>
        </w:tc>
        <w:tc>
          <w:tcPr>
            <w:tcW w:w="2021" w:type="pct"/>
            <w:gridSpan w:val="2"/>
            <w:shd w:val="clear" w:color="auto" w:fill="auto"/>
            <w:vAlign w:val="center"/>
          </w:tcPr>
          <w:p w14:paraId="7F26350F" w14:textId="77777777" w:rsidR="00450025" w:rsidRPr="00092862" w:rsidRDefault="00450025" w:rsidP="0017532F">
            <w:pPr>
              <w:pStyle w:val="afffff8"/>
              <w:rPr>
                <w:color w:val="000000" w:themeColor="text1"/>
              </w:rPr>
            </w:pPr>
            <w:r w:rsidRPr="00092862">
              <w:rPr>
                <w:color w:val="000000" w:themeColor="text1"/>
              </w:rPr>
              <w:t>硫化氢</w:t>
            </w:r>
          </w:p>
        </w:tc>
        <w:tc>
          <w:tcPr>
            <w:tcW w:w="2021" w:type="pct"/>
            <w:gridSpan w:val="2"/>
            <w:shd w:val="clear" w:color="auto" w:fill="auto"/>
            <w:vAlign w:val="center"/>
          </w:tcPr>
          <w:p w14:paraId="77CE8418" w14:textId="77777777" w:rsidR="00450025" w:rsidRPr="00092862" w:rsidRDefault="00450025" w:rsidP="0017532F">
            <w:pPr>
              <w:pStyle w:val="afffff8"/>
              <w:rPr>
                <w:color w:val="000000" w:themeColor="text1"/>
              </w:rPr>
            </w:pPr>
            <w:r w:rsidRPr="00092862">
              <w:rPr>
                <w:color w:val="000000" w:themeColor="text1"/>
              </w:rPr>
              <w:t>甲烷</w:t>
            </w:r>
          </w:p>
        </w:tc>
      </w:tr>
      <w:tr w:rsidR="00697429" w:rsidRPr="00092862" w14:paraId="3A6059A1" w14:textId="77777777" w:rsidTr="00C54C73">
        <w:trPr>
          <w:tblHeader/>
        </w:trPr>
        <w:tc>
          <w:tcPr>
            <w:tcW w:w="958" w:type="pct"/>
            <w:vMerge/>
            <w:shd w:val="clear" w:color="auto" w:fill="auto"/>
            <w:vAlign w:val="center"/>
          </w:tcPr>
          <w:p w14:paraId="6C35C1E9" w14:textId="77777777" w:rsidR="00450025" w:rsidRPr="00092862" w:rsidRDefault="00450025" w:rsidP="0017532F">
            <w:pPr>
              <w:pStyle w:val="afffff8"/>
              <w:rPr>
                <w:color w:val="000000" w:themeColor="text1"/>
              </w:rPr>
            </w:pPr>
          </w:p>
        </w:tc>
        <w:tc>
          <w:tcPr>
            <w:tcW w:w="936" w:type="pct"/>
            <w:shd w:val="clear" w:color="auto" w:fill="auto"/>
            <w:vAlign w:val="center"/>
          </w:tcPr>
          <w:p w14:paraId="655CE9F3" w14:textId="77777777" w:rsidR="00450025" w:rsidRPr="00092862" w:rsidRDefault="00450025" w:rsidP="0017532F">
            <w:pPr>
              <w:pStyle w:val="afffff8"/>
              <w:rPr>
                <w:color w:val="000000" w:themeColor="text1"/>
              </w:rPr>
            </w:pPr>
            <w:r w:rsidRPr="00092862">
              <w:rPr>
                <w:color w:val="000000" w:themeColor="text1"/>
              </w:rPr>
              <w:t>出现时间，</w:t>
            </w:r>
            <w:r w:rsidRPr="00092862">
              <w:rPr>
                <w:color w:val="000000" w:themeColor="text1"/>
              </w:rPr>
              <w:t>min</w:t>
            </w:r>
          </w:p>
        </w:tc>
        <w:tc>
          <w:tcPr>
            <w:tcW w:w="1085" w:type="pct"/>
            <w:shd w:val="clear" w:color="auto" w:fill="auto"/>
            <w:vAlign w:val="center"/>
          </w:tcPr>
          <w:p w14:paraId="3887F51B" w14:textId="77777777" w:rsidR="00450025" w:rsidRPr="00092862" w:rsidRDefault="00450025" w:rsidP="0017532F">
            <w:pPr>
              <w:pStyle w:val="afffff8"/>
              <w:rPr>
                <w:color w:val="000000" w:themeColor="text1"/>
              </w:rPr>
            </w:pPr>
            <w:r w:rsidRPr="00092862">
              <w:rPr>
                <w:color w:val="000000" w:themeColor="text1"/>
              </w:rPr>
              <w:t>高峰浓度，</w:t>
            </w:r>
            <w:r w:rsidRPr="00092862">
              <w:rPr>
                <w:color w:val="000000" w:themeColor="text1"/>
              </w:rPr>
              <w:t>mg/m</w:t>
            </w:r>
            <w:r w:rsidRPr="00092862">
              <w:rPr>
                <w:color w:val="000000" w:themeColor="text1"/>
                <w:vertAlign w:val="superscript"/>
              </w:rPr>
              <w:t>3</w:t>
            </w:r>
          </w:p>
        </w:tc>
        <w:tc>
          <w:tcPr>
            <w:tcW w:w="936" w:type="pct"/>
            <w:shd w:val="clear" w:color="auto" w:fill="auto"/>
            <w:vAlign w:val="center"/>
          </w:tcPr>
          <w:p w14:paraId="52D2E0E1" w14:textId="77777777" w:rsidR="00450025" w:rsidRPr="00092862" w:rsidRDefault="00450025" w:rsidP="0017532F">
            <w:pPr>
              <w:pStyle w:val="afffff8"/>
              <w:rPr>
                <w:color w:val="000000" w:themeColor="text1"/>
              </w:rPr>
            </w:pPr>
            <w:r w:rsidRPr="00092862">
              <w:rPr>
                <w:color w:val="000000" w:themeColor="text1"/>
              </w:rPr>
              <w:t>出现时间，</w:t>
            </w:r>
            <w:r w:rsidRPr="00092862">
              <w:rPr>
                <w:color w:val="000000" w:themeColor="text1"/>
              </w:rPr>
              <w:t>min</w:t>
            </w:r>
          </w:p>
        </w:tc>
        <w:tc>
          <w:tcPr>
            <w:tcW w:w="1085" w:type="pct"/>
            <w:shd w:val="clear" w:color="auto" w:fill="auto"/>
            <w:vAlign w:val="center"/>
          </w:tcPr>
          <w:p w14:paraId="7F09E9EE" w14:textId="77777777" w:rsidR="00450025" w:rsidRPr="00092862" w:rsidRDefault="00450025" w:rsidP="0017532F">
            <w:pPr>
              <w:pStyle w:val="afffff8"/>
              <w:rPr>
                <w:color w:val="000000" w:themeColor="text1"/>
              </w:rPr>
            </w:pPr>
            <w:r w:rsidRPr="00092862">
              <w:rPr>
                <w:color w:val="000000" w:themeColor="text1"/>
              </w:rPr>
              <w:t>高峰浓度，</w:t>
            </w:r>
            <w:r w:rsidRPr="00092862">
              <w:rPr>
                <w:color w:val="000000" w:themeColor="text1"/>
              </w:rPr>
              <w:t>mg/m</w:t>
            </w:r>
            <w:r w:rsidRPr="00092862">
              <w:rPr>
                <w:color w:val="000000" w:themeColor="text1"/>
                <w:vertAlign w:val="superscript"/>
              </w:rPr>
              <w:t>3</w:t>
            </w:r>
          </w:p>
        </w:tc>
      </w:tr>
      <w:tr w:rsidR="00697429" w:rsidRPr="00092862" w14:paraId="6D0EC463" w14:textId="77777777" w:rsidTr="00C54C73">
        <w:tc>
          <w:tcPr>
            <w:tcW w:w="958" w:type="pct"/>
            <w:shd w:val="clear" w:color="auto" w:fill="auto"/>
            <w:vAlign w:val="center"/>
          </w:tcPr>
          <w:p w14:paraId="1D5B4D3B" w14:textId="77777777" w:rsidR="00450025" w:rsidRPr="00092862" w:rsidRDefault="00450025" w:rsidP="0017532F">
            <w:pPr>
              <w:pStyle w:val="afffff8"/>
              <w:rPr>
                <w:color w:val="000000" w:themeColor="text1"/>
              </w:rPr>
            </w:pPr>
            <w:r w:rsidRPr="00092862">
              <w:rPr>
                <w:color w:val="000000" w:themeColor="text1"/>
              </w:rPr>
              <w:t xml:space="preserve">10 </w:t>
            </w:r>
          </w:p>
        </w:tc>
        <w:tc>
          <w:tcPr>
            <w:tcW w:w="936" w:type="pct"/>
            <w:shd w:val="clear" w:color="auto" w:fill="auto"/>
            <w:vAlign w:val="center"/>
          </w:tcPr>
          <w:p w14:paraId="52AE9ECF" w14:textId="277012B8" w:rsidR="00450025" w:rsidRPr="00092862" w:rsidRDefault="00685DF9" w:rsidP="0017532F">
            <w:pPr>
              <w:pStyle w:val="afffff8"/>
              <w:rPr>
                <w:color w:val="000000" w:themeColor="text1"/>
              </w:rPr>
            </w:pPr>
            <w:r w:rsidRPr="00092862">
              <w:rPr>
                <w:color w:val="000000" w:themeColor="text1"/>
              </w:rPr>
              <w:t>1.1111E-01</w:t>
            </w:r>
          </w:p>
        </w:tc>
        <w:tc>
          <w:tcPr>
            <w:tcW w:w="1085" w:type="pct"/>
            <w:shd w:val="clear" w:color="auto" w:fill="auto"/>
            <w:vAlign w:val="center"/>
          </w:tcPr>
          <w:p w14:paraId="100F44E4" w14:textId="2C1E230D" w:rsidR="00450025" w:rsidRPr="00092862" w:rsidRDefault="00685DF9" w:rsidP="0017532F">
            <w:pPr>
              <w:pStyle w:val="afffff8"/>
              <w:rPr>
                <w:color w:val="000000" w:themeColor="text1"/>
              </w:rPr>
            </w:pPr>
            <w:r w:rsidRPr="00092862">
              <w:rPr>
                <w:color w:val="000000" w:themeColor="text1"/>
              </w:rPr>
              <w:t>3.3422E+01</w:t>
            </w:r>
          </w:p>
        </w:tc>
        <w:tc>
          <w:tcPr>
            <w:tcW w:w="936" w:type="pct"/>
            <w:shd w:val="clear" w:color="auto" w:fill="auto"/>
            <w:vAlign w:val="center"/>
          </w:tcPr>
          <w:p w14:paraId="34D2A290" w14:textId="50684562" w:rsidR="00450025" w:rsidRPr="00092862" w:rsidRDefault="00863B50" w:rsidP="0017532F">
            <w:pPr>
              <w:pStyle w:val="afffff8"/>
              <w:rPr>
                <w:color w:val="000000" w:themeColor="text1"/>
              </w:rPr>
            </w:pPr>
            <w:r w:rsidRPr="00092862">
              <w:rPr>
                <w:color w:val="000000" w:themeColor="text1"/>
              </w:rPr>
              <w:t>1.1111E-01</w:t>
            </w:r>
          </w:p>
        </w:tc>
        <w:tc>
          <w:tcPr>
            <w:tcW w:w="1085" w:type="pct"/>
            <w:shd w:val="clear" w:color="auto" w:fill="auto"/>
            <w:vAlign w:val="center"/>
          </w:tcPr>
          <w:p w14:paraId="0FB34FF3" w14:textId="7B265B14" w:rsidR="00450025" w:rsidRPr="00092862" w:rsidRDefault="00863B50" w:rsidP="0017532F">
            <w:pPr>
              <w:pStyle w:val="afffff8"/>
              <w:rPr>
                <w:color w:val="000000" w:themeColor="text1"/>
              </w:rPr>
            </w:pPr>
            <w:r w:rsidRPr="00092862">
              <w:rPr>
                <w:color w:val="000000" w:themeColor="text1"/>
              </w:rPr>
              <w:t>8.9631E+01</w:t>
            </w:r>
          </w:p>
        </w:tc>
      </w:tr>
      <w:tr w:rsidR="00697429" w:rsidRPr="00092862" w14:paraId="4E6838FA" w14:textId="77777777" w:rsidTr="00C54C73">
        <w:tc>
          <w:tcPr>
            <w:tcW w:w="958" w:type="pct"/>
            <w:shd w:val="clear" w:color="auto" w:fill="auto"/>
            <w:vAlign w:val="center"/>
          </w:tcPr>
          <w:p w14:paraId="6A91031F" w14:textId="77777777" w:rsidR="00450025" w:rsidRPr="00092862" w:rsidRDefault="00450025" w:rsidP="0017532F">
            <w:pPr>
              <w:pStyle w:val="afffff8"/>
              <w:rPr>
                <w:color w:val="000000" w:themeColor="text1"/>
              </w:rPr>
            </w:pPr>
            <w:r w:rsidRPr="00092862">
              <w:rPr>
                <w:color w:val="000000" w:themeColor="text1"/>
              </w:rPr>
              <w:lastRenderedPageBreak/>
              <w:t xml:space="preserve">60 </w:t>
            </w:r>
          </w:p>
        </w:tc>
        <w:tc>
          <w:tcPr>
            <w:tcW w:w="936" w:type="pct"/>
            <w:shd w:val="clear" w:color="auto" w:fill="auto"/>
            <w:vAlign w:val="center"/>
          </w:tcPr>
          <w:p w14:paraId="5831B186" w14:textId="0C6BD4F0" w:rsidR="00450025" w:rsidRPr="00092862" w:rsidRDefault="00685DF9" w:rsidP="0017532F">
            <w:pPr>
              <w:pStyle w:val="afffff8"/>
              <w:rPr>
                <w:color w:val="000000" w:themeColor="text1"/>
              </w:rPr>
            </w:pPr>
            <w:r w:rsidRPr="00092862">
              <w:rPr>
                <w:color w:val="000000" w:themeColor="text1"/>
              </w:rPr>
              <w:t>6.6667E-01</w:t>
            </w:r>
          </w:p>
        </w:tc>
        <w:tc>
          <w:tcPr>
            <w:tcW w:w="1085" w:type="pct"/>
            <w:shd w:val="clear" w:color="auto" w:fill="auto"/>
            <w:vAlign w:val="center"/>
          </w:tcPr>
          <w:p w14:paraId="057445CA" w14:textId="55D7804F" w:rsidR="00450025" w:rsidRPr="00092862" w:rsidRDefault="00685DF9" w:rsidP="0017532F">
            <w:pPr>
              <w:pStyle w:val="afffff8"/>
              <w:rPr>
                <w:color w:val="000000" w:themeColor="text1"/>
              </w:rPr>
            </w:pPr>
            <w:r w:rsidRPr="00092862">
              <w:rPr>
                <w:color w:val="000000" w:themeColor="text1"/>
              </w:rPr>
              <w:t>1.1422E+04</w:t>
            </w:r>
          </w:p>
        </w:tc>
        <w:tc>
          <w:tcPr>
            <w:tcW w:w="936" w:type="pct"/>
            <w:shd w:val="clear" w:color="auto" w:fill="auto"/>
            <w:vAlign w:val="center"/>
          </w:tcPr>
          <w:p w14:paraId="58A5FD45" w14:textId="3BD110F6" w:rsidR="00450025" w:rsidRPr="00092862" w:rsidRDefault="00863B50" w:rsidP="0017532F">
            <w:pPr>
              <w:pStyle w:val="afffff8"/>
              <w:rPr>
                <w:color w:val="000000" w:themeColor="text1"/>
              </w:rPr>
            </w:pPr>
            <w:r w:rsidRPr="00092862">
              <w:rPr>
                <w:color w:val="000000" w:themeColor="text1"/>
              </w:rPr>
              <w:t>6.6667E-01</w:t>
            </w:r>
          </w:p>
        </w:tc>
        <w:tc>
          <w:tcPr>
            <w:tcW w:w="1085" w:type="pct"/>
            <w:shd w:val="clear" w:color="auto" w:fill="auto"/>
            <w:vAlign w:val="center"/>
          </w:tcPr>
          <w:p w14:paraId="72F22451" w14:textId="0980F598" w:rsidR="00450025" w:rsidRPr="00092862" w:rsidRDefault="00863B50" w:rsidP="0017532F">
            <w:pPr>
              <w:pStyle w:val="afffff8"/>
              <w:rPr>
                <w:color w:val="000000" w:themeColor="text1"/>
              </w:rPr>
            </w:pPr>
            <w:r w:rsidRPr="00092862">
              <w:rPr>
                <w:color w:val="000000" w:themeColor="text1"/>
              </w:rPr>
              <w:t>3.0632E+04</w:t>
            </w:r>
          </w:p>
        </w:tc>
      </w:tr>
      <w:tr w:rsidR="00697429" w:rsidRPr="00092862" w14:paraId="23B40CA8" w14:textId="77777777" w:rsidTr="00C54C73">
        <w:tc>
          <w:tcPr>
            <w:tcW w:w="958" w:type="pct"/>
            <w:shd w:val="clear" w:color="auto" w:fill="auto"/>
            <w:vAlign w:val="center"/>
          </w:tcPr>
          <w:p w14:paraId="0F5EAAE9" w14:textId="77777777" w:rsidR="00450025" w:rsidRPr="00092862" w:rsidRDefault="00450025" w:rsidP="0017532F">
            <w:pPr>
              <w:pStyle w:val="afffff8"/>
              <w:rPr>
                <w:color w:val="000000" w:themeColor="text1"/>
              </w:rPr>
            </w:pPr>
            <w:r w:rsidRPr="00092862">
              <w:rPr>
                <w:color w:val="000000" w:themeColor="text1"/>
              </w:rPr>
              <w:t xml:space="preserve">110 </w:t>
            </w:r>
          </w:p>
        </w:tc>
        <w:tc>
          <w:tcPr>
            <w:tcW w:w="936" w:type="pct"/>
            <w:shd w:val="clear" w:color="auto" w:fill="auto"/>
            <w:vAlign w:val="center"/>
          </w:tcPr>
          <w:p w14:paraId="3DCF6930" w14:textId="0FE0D008" w:rsidR="00450025" w:rsidRPr="00092862" w:rsidRDefault="00685DF9" w:rsidP="0017532F">
            <w:pPr>
              <w:pStyle w:val="afffff8"/>
              <w:rPr>
                <w:color w:val="000000" w:themeColor="text1"/>
              </w:rPr>
            </w:pPr>
            <w:r w:rsidRPr="00092862">
              <w:rPr>
                <w:color w:val="000000" w:themeColor="text1"/>
              </w:rPr>
              <w:t>1.2222E+00</w:t>
            </w:r>
          </w:p>
        </w:tc>
        <w:tc>
          <w:tcPr>
            <w:tcW w:w="1085" w:type="pct"/>
            <w:shd w:val="clear" w:color="auto" w:fill="auto"/>
            <w:vAlign w:val="center"/>
          </w:tcPr>
          <w:p w14:paraId="59032749" w14:textId="4E207F04" w:rsidR="00450025" w:rsidRPr="00092862" w:rsidRDefault="00685DF9" w:rsidP="0017532F">
            <w:pPr>
              <w:pStyle w:val="afffff8"/>
              <w:rPr>
                <w:color w:val="000000" w:themeColor="text1"/>
              </w:rPr>
            </w:pPr>
            <w:r w:rsidRPr="00092862">
              <w:rPr>
                <w:color w:val="000000" w:themeColor="text1"/>
              </w:rPr>
              <w:t>7.5237E+03</w:t>
            </w:r>
          </w:p>
        </w:tc>
        <w:tc>
          <w:tcPr>
            <w:tcW w:w="936" w:type="pct"/>
            <w:shd w:val="clear" w:color="auto" w:fill="auto"/>
            <w:vAlign w:val="center"/>
          </w:tcPr>
          <w:p w14:paraId="6906F4FB" w14:textId="0966B309" w:rsidR="00450025" w:rsidRPr="00092862" w:rsidRDefault="0017532F" w:rsidP="0017532F">
            <w:pPr>
              <w:pStyle w:val="afffff8"/>
              <w:rPr>
                <w:color w:val="000000" w:themeColor="text1"/>
              </w:rPr>
            </w:pPr>
            <w:r w:rsidRPr="00092862">
              <w:rPr>
                <w:color w:val="000000" w:themeColor="text1"/>
              </w:rPr>
              <w:t>1.2222E+00</w:t>
            </w:r>
          </w:p>
        </w:tc>
        <w:tc>
          <w:tcPr>
            <w:tcW w:w="1085" w:type="pct"/>
            <w:shd w:val="clear" w:color="auto" w:fill="auto"/>
            <w:vAlign w:val="center"/>
          </w:tcPr>
          <w:p w14:paraId="4AF13CBD" w14:textId="335A8E47" w:rsidR="00450025" w:rsidRPr="00092862" w:rsidRDefault="0017532F" w:rsidP="0017532F">
            <w:pPr>
              <w:pStyle w:val="afffff8"/>
              <w:rPr>
                <w:color w:val="000000" w:themeColor="text1"/>
              </w:rPr>
            </w:pPr>
            <w:r w:rsidRPr="00092862">
              <w:rPr>
                <w:color w:val="000000" w:themeColor="text1"/>
              </w:rPr>
              <w:t>2.0177E+04</w:t>
            </w:r>
          </w:p>
        </w:tc>
      </w:tr>
      <w:tr w:rsidR="00697429" w:rsidRPr="00092862" w14:paraId="519C365E" w14:textId="77777777" w:rsidTr="00C54C73">
        <w:tc>
          <w:tcPr>
            <w:tcW w:w="958" w:type="pct"/>
            <w:shd w:val="clear" w:color="auto" w:fill="auto"/>
            <w:vAlign w:val="center"/>
          </w:tcPr>
          <w:p w14:paraId="4D565562" w14:textId="77777777" w:rsidR="00450025" w:rsidRPr="00092862" w:rsidRDefault="00450025" w:rsidP="0017532F">
            <w:pPr>
              <w:pStyle w:val="afffff8"/>
              <w:rPr>
                <w:color w:val="000000" w:themeColor="text1"/>
              </w:rPr>
            </w:pPr>
            <w:r w:rsidRPr="00092862">
              <w:rPr>
                <w:color w:val="000000" w:themeColor="text1"/>
              </w:rPr>
              <w:t xml:space="preserve">210 </w:t>
            </w:r>
          </w:p>
        </w:tc>
        <w:tc>
          <w:tcPr>
            <w:tcW w:w="936" w:type="pct"/>
            <w:shd w:val="clear" w:color="auto" w:fill="auto"/>
            <w:vAlign w:val="center"/>
          </w:tcPr>
          <w:p w14:paraId="04166DF7" w14:textId="4804CEBE" w:rsidR="00450025" w:rsidRPr="00092862" w:rsidRDefault="00685DF9" w:rsidP="0017532F">
            <w:pPr>
              <w:pStyle w:val="afffff8"/>
              <w:rPr>
                <w:color w:val="000000" w:themeColor="text1"/>
              </w:rPr>
            </w:pPr>
            <w:r w:rsidRPr="00092862">
              <w:rPr>
                <w:color w:val="000000" w:themeColor="text1"/>
              </w:rPr>
              <w:t>2.3333E+00</w:t>
            </w:r>
          </w:p>
        </w:tc>
        <w:tc>
          <w:tcPr>
            <w:tcW w:w="1085" w:type="pct"/>
            <w:shd w:val="clear" w:color="auto" w:fill="auto"/>
            <w:vAlign w:val="center"/>
          </w:tcPr>
          <w:p w14:paraId="6B855CA4" w14:textId="73522DD2" w:rsidR="00450025" w:rsidRPr="00092862" w:rsidRDefault="00685DF9" w:rsidP="0017532F">
            <w:pPr>
              <w:pStyle w:val="afffff8"/>
              <w:rPr>
                <w:color w:val="000000" w:themeColor="text1"/>
              </w:rPr>
            </w:pPr>
            <w:r w:rsidRPr="00092862">
              <w:rPr>
                <w:color w:val="000000" w:themeColor="text1"/>
              </w:rPr>
              <w:t>3.6299E+03</w:t>
            </w:r>
          </w:p>
        </w:tc>
        <w:tc>
          <w:tcPr>
            <w:tcW w:w="936" w:type="pct"/>
            <w:shd w:val="clear" w:color="auto" w:fill="auto"/>
            <w:vAlign w:val="center"/>
          </w:tcPr>
          <w:p w14:paraId="763FFD74" w14:textId="6B963691" w:rsidR="00450025" w:rsidRPr="00092862" w:rsidRDefault="0017532F" w:rsidP="0017532F">
            <w:pPr>
              <w:pStyle w:val="afffff8"/>
              <w:rPr>
                <w:color w:val="000000" w:themeColor="text1"/>
              </w:rPr>
            </w:pPr>
            <w:r w:rsidRPr="00092862">
              <w:rPr>
                <w:color w:val="000000" w:themeColor="text1"/>
              </w:rPr>
              <w:t>2.3333E+00</w:t>
            </w:r>
          </w:p>
        </w:tc>
        <w:tc>
          <w:tcPr>
            <w:tcW w:w="1085" w:type="pct"/>
            <w:shd w:val="clear" w:color="auto" w:fill="auto"/>
            <w:vAlign w:val="center"/>
          </w:tcPr>
          <w:p w14:paraId="0FEB5157" w14:textId="34110D44" w:rsidR="00450025" w:rsidRPr="00092862" w:rsidRDefault="0017532F" w:rsidP="0017532F">
            <w:pPr>
              <w:pStyle w:val="afffff8"/>
              <w:rPr>
                <w:color w:val="000000" w:themeColor="text1"/>
              </w:rPr>
            </w:pPr>
            <w:r w:rsidRPr="00092862">
              <w:rPr>
                <w:color w:val="000000" w:themeColor="text1"/>
              </w:rPr>
              <w:t>9.7348E+03</w:t>
            </w:r>
          </w:p>
        </w:tc>
      </w:tr>
      <w:tr w:rsidR="00697429" w:rsidRPr="00092862" w14:paraId="7BC49DD4" w14:textId="77777777" w:rsidTr="00C54C73">
        <w:tc>
          <w:tcPr>
            <w:tcW w:w="958" w:type="pct"/>
            <w:shd w:val="clear" w:color="auto" w:fill="auto"/>
            <w:vAlign w:val="center"/>
          </w:tcPr>
          <w:p w14:paraId="70DEA417" w14:textId="77777777" w:rsidR="00450025" w:rsidRPr="00092862" w:rsidRDefault="00450025" w:rsidP="0017532F">
            <w:pPr>
              <w:pStyle w:val="afffff8"/>
              <w:rPr>
                <w:color w:val="000000" w:themeColor="text1"/>
              </w:rPr>
            </w:pPr>
            <w:r w:rsidRPr="00092862">
              <w:rPr>
                <w:color w:val="000000" w:themeColor="text1"/>
              </w:rPr>
              <w:t xml:space="preserve">310 </w:t>
            </w:r>
          </w:p>
        </w:tc>
        <w:tc>
          <w:tcPr>
            <w:tcW w:w="936" w:type="pct"/>
            <w:shd w:val="clear" w:color="auto" w:fill="auto"/>
            <w:vAlign w:val="center"/>
          </w:tcPr>
          <w:p w14:paraId="2849EE6F" w14:textId="033C5E78" w:rsidR="00450025" w:rsidRPr="00092862" w:rsidRDefault="00685DF9" w:rsidP="0017532F">
            <w:pPr>
              <w:pStyle w:val="afffff8"/>
              <w:rPr>
                <w:color w:val="000000" w:themeColor="text1"/>
              </w:rPr>
            </w:pPr>
            <w:r w:rsidRPr="00092862">
              <w:rPr>
                <w:color w:val="000000" w:themeColor="text1"/>
              </w:rPr>
              <w:t>3.4444E+00</w:t>
            </w:r>
          </w:p>
        </w:tc>
        <w:tc>
          <w:tcPr>
            <w:tcW w:w="1085" w:type="pct"/>
            <w:shd w:val="clear" w:color="auto" w:fill="auto"/>
            <w:vAlign w:val="center"/>
          </w:tcPr>
          <w:p w14:paraId="374CD757" w14:textId="1CAA55D3" w:rsidR="00450025" w:rsidRPr="00092862" w:rsidRDefault="00685DF9" w:rsidP="0017532F">
            <w:pPr>
              <w:pStyle w:val="afffff8"/>
              <w:rPr>
                <w:color w:val="000000" w:themeColor="text1"/>
              </w:rPr>
            </w:pPr>
            <w:r w:rsidRPr="00092862">
              <w:rPr>
                <w:color w:val="000000" w:themeColor="text1"/>
              </w:rPr>
              <w:t>2.1038E+03</w:t>
            </w:r>
          </w:p>
        </w:tc>
        <w:tc>
          <w:tcPr>
            <w:tcW w:w="936" w:type="pct"/>
            <w:shd w:val="clear" w:color="auto" w:fill="auto"/>
            <w:vAlign w:val="center"/>
          </w:tcPr>
          <w:p w14:paraId="19EDF53B" w14:textId="7BE759B3" w:rsidR="00450025" w:rsidRPr="00092862" w:rsidRDefault="0017532F" w:rsidP="0017532F">
            <w:pPr>
              <w:pStyle w:val="afffff8"/>
              <w:rPr>
                <w:color w:val="000000" w:themeColor="text1"/>
              </w:rPr>
            </w:pPr>
            <w:r w:rsidRPr="00092862">
              <w:rPr>
                <w:color w:val="000000" w:themeColor="text1"/>
              </w:rPr>
              <w:t>3.4444E+00</w:t>
            </w:r>
          </w:p>
        </w:tc>
        <w:tc>
          <w:tcPr>
            <w:tcW w:w="1085" w:type="pct"/>
            <w:shd w:val="clear" w:color="auto" w:fill="auto"/>
            <w:vAlign w:val="center"/>
          </w:tcPr>
          <w:p w14:paraId="58E59CFE" w14:textId="0D36AA85" w:rsidR="00450025" w:rsidRPr="00092862" w:rsidRDefault="0017532F" w:rsidP="0017532F">
            <w:pPr>
              <w:pStyle w:val="afffff8"/>
              <w:rPr>
                <w:color w:val="000000" w:themeColor="text1"/>
              </w:rPr>
            </w:pPr>
            <w:r w:rsidRPr="00092862">
              <w:rPr>
                <w:color w:val="000000" w:themeColor="text1"/>
              </w:rPr>
              <w:t>5.6420E+03</w:t>
            </w:r>
          </w:p>
        </w:tc>
      </w:tr>
      <w:tr w:rsidR="00697429" w:rsidRPr="00092862" w14:paraId="2108685C" w14:textId="77777777" w:rsidTr="00C54C73">
        <w:tc>
          <w:tcPr>
            <w:tcW w:w="958" w:type="pct"/>
            <w:shd w:val="clear" w:color="auto" w:fill="auto"/>
            <w:vAlign w:val="center"/>
          </w:tcPr>
          <w:p w14:paraId="40E7BAE3" w14:textId="77777777" w:rsidR="00450025" w:rsidRPr="00092862" w:rsidRDefault="00450025" w:rsidP="0017532F">
            <w:pPr>
              <w:pStyle w:val="afffff8"/>
              <w:rPr>
                <w:color w:val="000000" w:themeColor="text1"/>
              </w:rPr>
            </w:pPr>
            <w:r w:rsidRPr="00092862">
              <w:rPr>
                <w:color w:val="000000" w:themeColor="text1"/>
              </w:rPr>
              <w:t xml:space="preserve">410 </w:t>
            </w:r>
          </w:p>
        </w:tc>
        <w:tc>
          <w:tcPr>
            <w:tcW w:w="936" w:type="pct"/>
            <w:shd w:val="clear" w:color="auto" w:fill="auto"/>
            <w:vAlign w:val="center"/>
          </w:tcPr>
          <w:p w14:paraId="14F96D76" w14:textId="12683F99" w:rsidR="00450025" w:rsidRPr="00092862" w:rsidRDefault="00685DF9" w:rsidP="0017532F">
            <w:pPr>
              <w:pStyle w:val="afffff8"/>
              <w:rPr>
                <w:color w:val="000000" w:themeColor="text1"/>
              </w:rPr>
            </w:pPr>
            <w:r w:rsidRPr="00092862">
              <w:rPr>
                <w:color w:val="000000" w:themeColor="text1"/>
              </w:rPr>
              <w:t>4.5556E+00</w:t>
            </w:r>
          </w:p>
        </w:tc>
        <w:tc>
          <w:tcPr>
            <w:tcW w:w="1085" w:type="pct"/>
            <w:shd w:val="clear" w:color="auto" w:fill="auto"/>
            <w:vAlign w:val="center"/>
          </w:tcPr>
          <w:p w14:paraId="3FE8F6EC" w14:textId="16641C6B" w:rsidR="00450025" w:rsidRPr="00092862" w:rsidRDefault="00685DF9" w:rsidP="0017532F">
            <w:pPr>
              <w:pStyle w:val="afffff8"/>
              <w:rPr>
                <w:color w:val="000000" w:themeColor="text1"/>
              </w:rPr>
            </w:pPr>
            <w:r w:rsidRPr="00092862">
              <w:rPr>
                <w:color w:val="000000" w:themeColor="text1"/>
              </w:rPr>
              <w:t>1.3802E+03</w:t>
            </w:r>
          </w:p>
        </w:tc>
        <w:tc>
          <w:tcPr>
            <w:tcW w:w="936" w:type="pct"/>
            <w:shd w:val="clear" w:color="auto" w:fill="auto"/>
            <w:vAlign w:val="center"/>
          </w:tcPr>
          <w:p w14:paraId="67559845" w14:textId="2F94D83F" w:rsidR="00450025" w:rsidRPr="00092862" w:rsidRDefault="0017532F" w:rsidP="0017532F">
            <w:pPr>
              <w:pStyle w:val="afffff8"/>
              <w:rPr>
                <w:color w:val="000000" w:themeColor="text1"/>
              </w:rPr>
            </w:pPr>
            <w:r w:rsidRPr="00092862">
              <w:rPr>
                <w:color w:val="000000" w:themeColor="text1"/>
              </w:rPr>
              <w:t>4.5556E+00</w:t>
            </w:r>
          </w:p>
        </w:tc>
        <w:tc>
          <w:tcPr>
            <w:tcW w:w="1085" w:type="pct"/>
            <w:shd w:val="clear" w:color="auto" w:fill="auto"/>
            <w:vAlign w:val="center"/>
          </w:tcPr>
          <w:p w14:paraId="59BF756B" w14:textId="0538685E" w:rsidR="00450025" w:rsidRPr="00092862" w:rsidRDefault="0017532F" w:rsidP="0017532F">
            <w:pPr>
              <w:pStyle w:val="afffff8"/>
              <w:rPr>
                <w:color w:val="000000" w:themeColor="text1"/>
              </w:rPr>
            </w:pPr>
            <w:r w:rsidRPr="00092862">
              <w:rPr>
                <w:color w:val="000000" w:themeColor="text1"/>
              </w:rPr>
              <w:t>3.7015E+03</w:t>
            </w:r>
          </w:p>
        </w:tc>
      </w:tr>
      <w:tr w:rsidR="00697429" w:rsidRPr="00092862" w14:paraId="5B3D2E98" w14:textId="77777777" w:rsidTr="00C54C73">
        <w:tc>
          <w:tcPr>
            <w:tcW w:w="958" w:type="pct"/>
            <w:shd w:val="clear" w:color="auto" w:fill="auto"/>
            <w:vAlign w:val="center"/>
          </w:tcPr>
          <w:p w14:paraId="5A9846C5" w14:textId="77777777" w:rsidR="00450025" w:rsidRPr="00092862" w:rsidRDefault="00450025" w:rsidP="0017532F">
            <w:pPr>
              <w:pStyle w:val="afffff8"/>
              <w:rPr>
                <w:color w:val="000000" w:themeColor="text1"/>
              </w:rPr>
            </w:pPr>
            <w:r w:rsidRPr="00092862">
              <w:rPr>
                <w:color w:val="000000" w:themeColor="text1"/>
              </w:rPr>
              <w:t xml:space="preserve">510 </w:t>
            </w:r>
          </w:p>
        </w:tc>
        <w:tc>
          <w:tcPr>
            <w:tcW w:w="936" w:type="pct"/>
            <w:shd w:val="clear" w:color="auto" w:fill="auto"/>
            <w:vAlign w:val="center"/>
          </w:tcPr>
          <w:p w14:paraId="1EDFD9FF" w14:textId="2EC46E6C" w:rsidR="00450025" w:rsidRPr="00092862" w:rsidRDefault="00685DF9" w:rsidP="0017532F">
            <w:pPr>
              <w:pStyle w:val="afffff8"/>
              <w:rPr>
                <w:color w:val="000000" w:themeColor="text1"/>
              </w:rPr>
            </w:pPr>
            <w:r w:rsidRPr="00092862">
              <w:rPr>
                <w:color w:val="000000" w:themeColor="text1"/>
              </w:rPr>
              <w:t>5.6667E+00</w:t>
            </w:r>
          </w:p>
        </w:tc>
        <w:tc>
          <w:tcPr>
            <w:tcW w:w="1085" w:type="pct"/>
            <w:shd w:val="clear" w:color="auto" w:fill="auto"/>
            <w:vAlign w:val="center"/>
          </w:tcPr>
          <w:p w14:paraId="0CBACABB" w14:textId="2007C7EC" w:rsidR="00450025" w:rsidRPr="00092862" w:rsidRDefault="00685DF9" w:rsidP="0017532F">
            <w:pPr>
              <w:pStyle w:val="afffff8"/>
              <w:rPr>
                <w:color w:val="000000" w:themeColor="text1"/>
              </w:rPr>
            </w:pPr>
            <w:r w:rsidRPr="00092862">
              <w:rPr>
                <w:color w:val="000000" w:themeColor="text1"/>
              </w:rPr>
              <w:t>9.8177E+02</w:t>
            </w:r>
          </w:p>
        </w:tc>
        <w:tc>
          <w:tcPr>
            <w:tcW w:w="936" w:type="pct"/>
            <w:shd w:val="clear" w:color="auto" w:fill="auto"/>
            <w:vAlign w:val="center"/>
          </w:tcPr>
          <w:p w14:paraId="75001929" w14:textId="2D302DB2" w:rsidR="00450025" w:rsidRPr="00092862" w:rsidRDefault="0017532F" w:rsidP="0017532F">
            <w:pPr>
              <w:pStyle w:val="afffff8"/>
              <w:rPr>
                <w:color w:val="000000" w:themeColor="text1"/>
              </w:rPr>
            </w:pPr>
            <w:r w:rsidRPr="00092862">
              <w:rPr>
                <w:color w:val="000000" w:themeColor="text1"/>
              </w:rPr>
              <w:t>5.6667E+00</w:t>
            </w:r>
          </w:p>
        </w:tc>
        <w:tc>
          <w:tcPr>
            <w:tcW w:w="1085" w:type="pct"/>
            <w:shd w:val="clear" w:color="auto" w:fill="auto"/>
            <w:vAlign w:val="center"/>
          </w:tcPr>
          <w:p w14:paraId="1FD220B3" w14:textId="60088C87" w:rsidR="00450025" w:rsidRPr="00092862" w:rsidRDefault="0017532F" w:rsidP="0017532F">
            <w:pPr>
              <w:pStyle w:val="afffff8"/>
              <w:rPr>
                <w:color w:val="000000" w:themeColor="text1"/>
              </w:rPr>
            </w:pPr>
            <w:r w:rsidRPr="00092862">
              <w:rPr>
                <w:color w:val="000000" w:themeColor="text1"/>
              </w:rPr>
              <w:t>2.6329E+03</w:t>
            </w:r>
          </w:p>
        </w:tc>
      </w:tr>
      <w:tr w:rsidR="00697429" w:rsidRPr="00092862" w14:paraId="7DDAAB85" w14:textId="77777777" w:rsidTr="00C54C73">
        <w:tc>
          <w:tcPr>
            <w:tcW w:w="958" w:type="pct"/>
            <w:shd w:val="clear" w:color="auto" w:fill="auto"/>
            <w:vAlign w:val="center"/>
          </w:tcPr>
          <w:p w14:paraId="55316691" w14:textId="77777777" w:rsidR="00450025" w:rsidRPr="00092862" w:rsidRDefault="00450025" w:rsidP="0017532F">
            <w:pPr>
              <w:pStyle w:val="afffff8"/>
              <w:rPr>
                <w:color w:val="000000" w:themeColor="text1"/>
              </w:rPr>
            </w:pPr>
            <w:r w:rsidRPr="00092862">
              <w:rPr>
                <w:color w:val="000000" w:themeColor="text1"/>
              </w:rPr>
              <w:t xml:space="preserve">610 </w:t>
            </w:r>
          </w:p>
        </w:tc>
        <w:tc>
          <w:tcPr>
            <w:tcW w:w="936" w:type="pct"/>
            <w:shd w:val="clear" w:color="auto" w:fill="auto"/>
            <w:vAlign w:val="center"/>
          </w:tcPr>
          <w:p w14:paraId="6338B159" w14:textId="788B577E" w:rsidR="00450025" w:rsidRPr="00092862" w:rsidRDefault="00685DF9" w:rsidP="0017532F">
            <w:pPr>
              <w:pStyle w:val="afffff8"/>
              <w:rPr>
                <w:color w:val="000000" w:themeColor="text1"/>
              </w:rPr>
            </w:pPr>
            <w:r w:rsidRPr="00092862">
              <w:rPr>
                <w:color w:val="000000" w:themeColor="text1"/>
              </w:rPr>
              <w:t>6.7778E+00</w:t>
            </w:r>
          </w:p>
        </w:tc>
        <w:tc>
          <w:tcPr>
            <w:tcW w:w="1085" w:type="pct"/>
            <w:shd w:val="clear" w:color="auto" w:fill="auto"/>
            <w:vAlign w:val="center"/>
          </w:tcPr>
          <w:p w14:paraId="10F89A06" w14:textId="38D1E08C" w:rsidR="00450025" w:rsidRPr="00092862" w:rsidRDefault="00685DF9" w:rsidP="0017532F">
            <w:pPr>
              <w:pStyle w:val="afffff8"/>
              <w:rPr>
                <w:color w:val="000000" w:themeColor="text1"/>
              </w:rPr>
            </w:pPr>
            <w:r w:rsidRPr="00092862">
              <w:rPr>
                <w:color w:val="000000" w:themeColor="text1"/>
              </w:rPr>
              <w:t>7.3834E+02</w:t>
            </w:r>
          </w:p>
        </w:tc>
        <w:tc>
          <w:tcPr>
            <w:tcW w:w="936" w:type="pct"/>
            <w:shd w:val="clear" w:color="auto" w:fill="auto"/>
            <w:vAlign w:val="center"/>
          </w:tcPr>
          <w:p w14:paraId="2C3980DE" w14:textId="0ACDDCCC" w:rsidR="00450025" w:rsidRPr="00092862" w:rsidRDefault="0017532F" w:rsidP="0017532F">
            <w:pPr>
              <w:pStyle w:val="afffff8"/>
              <w:rPr>
                <w:color w:val="000000" w:themeColor="text1"/>
              </w:rPr>
            </w:pPr>
            <w:r w:rsidRPr="00092862">
              <w:rPr>
                <w:color w:val="000000" w:themeColor="text1"/>
              </w:rPr>
              <w:t>6.7778E+00</w:t>
            </w:r>
          </w:p>
        </w:tc>
        <w:tc>
          <w:tcPr>
            <w:tcW w:w="1085" w:type="pct"/>
            <w:shd w:val="clear" w:color="auto" w:fill="auto"/>
            <w:vAlign w:val="center"/>
          </w:tcPr>
          <w:p w14:paraId="35119054" w14:textId="43040197" w:rsidR="00450025" w:rsidRPr="00092862" w:rsidRDefault="0017532F" w:rsidP="0017532F">
            <w:pPr>
              <w:pStyle w:val="afffff8"/>
              <w:rPr>
                <w:color w:val="000000" w:themeColor="text1"/>
              </w:rPr>
            </w:pPr>
            <w:r w:rsidRPr="00092862">
              <w:rPr>
                <w:color w:val="000000" w:themeColor="text1"/>
              </w:rPr>
              <w:t>1.9801E+03</w:t>
            </w:r>
          </w:p>
        </w:tc>
      </w:tr>
      <w:tr w:rsidR="00697429" w:rsidRPr="00092862" w14:paraId="7D3AF623" w14:textId="77777777" w:rsidTr="00C54C73">
        <w:tc>
          <w:tcPr>
            <w:tcW w:w="958" w:type="pct"/>
            <w:shd w:val="clear" w:color="auto" w:fill="auto"/>
            <w:vAlign w:val="center"/>
          </w:tcPr>
          <w:p w14:paraId="48F318AF" w14:textId="77777777" w:rsidR="00450025" w:rsidRPr="00092862" w:rsidRDefault="00450025" w:rsidP="0017532F">
            <w:pPr>
              <w:pStyle w:val="afffff8"/>
              <w:rPr>
                <w:color w:val="000000" w:themeColor="text1"/>
              </w:rPr>
            </w:pPr>
            <w:r w:rsidRPr="00092862">
              <w:rPr>
                <w:color w:val="000000" w:themeColor="text1"/>
              </w:rPr>
              <w:t xml:space="preserve">710 </w:t>
            </w:r>
          </w:p>
        </w:tc>
        <w:tc>
          <w:tcPr>
            <w:tcW w:w="936" w:type="pct"/>
            <w:shd w:val="clear" w:color="auto" w:fill="auto"/>
            <w:vAlign w:val="center"/>
          </w:tcPr>
          <w:p w14:paraId="3106C5B8" w14:textId="0C16A373" w:rsidR="00450025" w:rsidRPr="00092862" w:rsidRDefault="00685DF9" w:rsidP="0017532F">
            <w:pPr>
              <w:pStyle w:val="afffff8"/>
              <w:rPr>
                <w:color w:val="000000" w:themeColor="text1"/>
              </w:rPr>
            </w:pPr>
            <w:r w:rsidRPr="00092862">
              <w:rPr>
                <w:color w:val="000000" w:themeColor="text1"/>
              </w:rPr>
              <w:t>7.8889E+00</w:t>
            </w:r>
          </w:p>
        </w:tc>
        <w:tc>
          <w:tcPr>
            <w:tcW w:w="1085" w:type="pct"/>
            <w:shd w:val="clear" w:color="auto" w:fill="auto"/>
            <w:vAlign w:val="center"/>
          </w:tcPr>
          <w:p w14:paraId="6BDBFD02" w14:textId="1484EE6F" w:rsidR="00450025" w:rsidRPr="00092862" w:rsidRDefault="00685DF9" w:rsidP="0017532F">
            <w:pPr>
              <w:pStyle w:val="afffff8"/>
              <w:rPr>
                <w:color w:val="000000" w:themeColor="text1"/>
              </w:rPr>
            </w:pPr>
            <w:r w:rsidRPr="00092862">
              <w:rPr>
                <w:color w:val="000000" w:themeColor="text1"/>
              </w:rPr>
              <w:t>5.7816E+02</w:t>
            </w:r>
          </w:p>
        </w:tc>
        <w:tc>
          <w:tcPr>
            <w:tcW w:w="936" w:type="pct"/>
            <w:shd w:val="clear" w:color="auto" w:fill="auto"/>
            <w:vAlign w:val="center"/>
          </w:tcPr>
          <w:p w14:paraId="71861568" w14:textId="0E97D76B" w:rsidR="00450025" w:rsidRPr="00092862" w:rsidRDefault="0017532F" w:rsidP="0017532F">
            <w:pPr>
              <w:pStyle w:val="afffff8"/>
              <w:rPr>
                <w:color w:val="000000" w:themeColor="text1"/>
              </w:rPr>
            </w:pPr>
            <w:r w:rsidRPr="00092862">
              <w:rPr>
                <w:color w:val="000000" w:themeColor="text1"/>
              </w:rPr>
              <w:t>7.8889E+00</w:t>
            </w:r>
          </w:p>
        </w:tc>
        <w:tc>
          <w:tcPr>
            <w:tcW w:w="1085" w:type="pct"/>
            <w:shd w:val="clear" w:color="auto" w:fill="auto"/>
            <w:vAlign w:val="center"/>
          </w:tcPr>
          <w:p w14:paraId="3FF03556" w14:textId="1762B2D3" w:rsidR="00450025" w:rsidRPr="00092862" w:rsidRDefault="0017532F" w:rsidP="0017532F">
            <w:pPr>
              <w:pStyle w:val="afffff8"/>
              <w:rPr>
                <w:color w:val="000000" w:themeColor="text1"/>
              </w:rPr>
            </w:pPr>
            <w:r w:rsidRPr="00092862">
              <w:rPr>
                <w:color w:val="000000" w:themeColor="text1"/>
              </w:rPr>
              <w:t>1.5505E+03</w:t>
            </w:r>
          </w:p>
        </w:tc>
      </w:tr>
      <w:tr w:rsidR="00697429" w:rsidRPr="00092862" w14:paraId="1B5857ED" w14:textId="77777777" w:rsidTr="00C54C73">
        <w:tc>
          <w:tcPr>
            <w:tcW w:w="958" w:type="pct"/>
            <w:shd w:val="clear" w:color="auto" w:fill="auto"/>
            <w:vAlign w:val="center"/>
          </w:tcPr>
          <w:p w14:paraId="5A018B02" w14:textId="77777777" w:rsidR="00450025" w:rsidRPr="00092862" w:rsidRDefault="00450025" w:rsidP="0017532F">
            <w:pPr>
              <w:pStyle w:val="afffff8"/>
              <w:rPr>
                <w:color w:val="000000" w:themeColor="text1"/>
              </w:rPr>
            </w:pPr>
            <w:r w:rsidRPr="00092862">
              <w:rPr>
                <w:color w:val="000000" w:themeColor="text1"/>
              </w:rPr>
              <w:t xml:space="preserve">810 </w:t>
            </w:r>
          </w:p>
        </w:tc>
        <w:tc>
          <w:tcPr>
            <w:tcW w:w="936" w:type="pct"/>
            <w:shd w:val="clear" w:color="auto" w:fill="auto"/>
            <w:vAlign w:val="center"/>
          </w:tcPr>
          <w:p w14:paraId="083EB3F5" w14:textId="544E300C" w:rsidR="00450025" w:rsidRPr="00092862" w:rsidRDefault="00685DF9" w:rsidP="0017532F">
            <w:pPr>
              <w:pStyle w:val="afffff8"/>
              <w:rPr>
                <w:color w:val="000000" w:themeColor="text1"/>
              </w:rPr>
            </w:pPr>
            <w:r w:rsidRPr="00092862">
              <w:rPr>
                <w:color w:val="000000" w:themeColor="text1"/>
              </w:rPr>
              <w:t>9.0000E+00</w:t>
            </w:r>
          </w:p>
        </w:tc>
        <w:tc>
          <w:tcPr>
            <w:tcW w:w="1085" w:type="pct"/>
            <w:shd w:val="clear" w:color="auto" w:fill="auto"/>
            <w:vAlign w:val="center"/>
          </w:tcPr>
          <w:p w14:paraId="688A6484" w14:textId="2319A8F3" w:rsidR="00450025" w:rsidRPr="00092862" w:rsidRDefault="00685DF9" w:rsidP="0017532F">
            <w:pPr>
              <w:pStyle w:val="afffff8"/>
              <w:rPr>
                <w:color w:val="000000" w:themeColor="text1"/>
              </w:rPr>
            </w:pPr>
            <w:r w:rsidRPr="00092862">
              <w:rPr>
                <w:color w:val="000000" w:themeColor="text1"/>
              </w:rPr>
              <w:t>4.6676E+02</w:t>
            </w:r>
          </w:p>
        </w:tc>
        <w:tc>
          <w:tcPr>
            <w:tcW w:w="936" w:type="pct"/>
            <w:shd w:val="clear" w:color="auto" w:fill="auto"/>
            <w:vAlign w:val="center"/>
          </w:tcPr>
          <w:p w14:paraId="203F03BB" w14:textId="0C8400B3" w:rsidR="00450025" w:rsidRPr="00092862" w:rsidRDefault="0017532F" w:rsidP="0017532F">
            <w:pPr>
              <w:pStyle w:val="afffff8"/>
              <w:rPr>
                <w:color w:val="000000" w:themeColor="text1"/>
              </w:rPr>
            </w:pPr>
            <w:r w:rsidRPr="00092862">
              <w:rPr>
                <w:color w:val="000000" w:themeColor="text1"/>
              </w:rPr>
              <w:t>9.0000E+00</w:t>
            </w:r>
          </w:p>
        </w:tc>
        <w:tc>
          <w:tcPr>
            <w:tcW w:w="1085" w:type="pct"/>
            <w:shd w:val="clear" w:color="auto" w:fill="auto"/>
            <w:vAlign w:val="center"/>
          </w:tcPr>
          <w:p w14:paraId="2C7EE65D" w14:textId="0BBDE2F0" w:rsidR="00450025" w:rsidRPr="00092862" w:rsidRDefault="0017532F" w:rsidP="0017532F">
            <w:pPr>
              <w:pStyle w:val="afffff8"/>
              <w:rPr>
                <w:color w:val="000000" w:themeColor="text1"/>
              </w:rPr>
            </w:pPr>
            <w:r w:rsidRPr="00092862">
              <w:rPr>
                <w:color w:val="000000" w:themeColor="text1"/>
              </w:rPr>
              <w:t>1.2518E+03</w:t>
            </w:r>
          </w:p>
        </w:tc>
      </w:tr>
      <w:tr w:rsidR="00697429" w:rsidRPr="00092862" w14:paraId="1118977E" w14:textId="77777777" w:rsidTr="00C54C73">
        <w:tc>
          <w:tcPr>
            <w:tcW w:w="958" w:type="pct"/>
            <w:shd w:val="clear" w:color="auto" w:fill="auto"/>
            <w:vAlign w:val="center"/>
          </w:tcPr>
          <w:p w14:paraId="2731E648" w14:textId="77777777" w:rsidR="00450025" w:rsidRPr="00092862" w:rsidRDefault="00450025" w:rsidP="0017532F">
            <w:pPr>
              <w:pStyle w:val="afffff8"/>
              <w:rPr>
                <w:color w:val="000000" w:themeColor="text1"/>
              </w:rPr>
            </w:pPr>
            <w:r w:rsidRPr="00092862">
              <w:rPr>
                <w:color w:val="000000" w:themeColor="text1"/>
              </w:rPr>
              <w:t xml:space="preserve">910 </w:t>
            </w:r>
          </w:p>
        </w:tc>
        <w:tc>
          <w:tcPr>
            <w:tcW w:w="936" w:type="pct"/>
            <w:shd w:val="clear" w:color="auto" w:fill="auto"/>
            <w:vAlign w:val="center"/>
          </w:tcPr>
          <w:p w14:paraId="405C2110" w14:textId="7F593BED" w:rsidR="00450025" w:rsidRPr="00092862" w:rsidRDefault="00685DF9" w:rsidP="0017532F">
            <w:pPr>
              <w:pStyle w:val="afffff8"/>
              <w:rPr>
                <w:color w:val="000000" w:themeColor="text1"/>
              </w:rPr>
            </w:pPr>
            <w:r w:rsidRPr="00092862">
              <w:rPr>
                <w:color w:val="000000" w:themeColor="text1"/>
              </w:rPr>
              <w:t>1.0111E+01</w:t>
            </w:r>
          </w:p>
        </w:tc>
        <w:tc>
          <w:tcPr>
            <w:tcW w:w="1085" w:type="pct"/>
            <w:shd w:val="clear" w:color="auto" w:fill="auto"/>
            <w:vAlign w:val="center"/>
          </w:tcPr>
          <w:p w14:paraId="296D328A" w14:textId="23179C15" w:rsidR="00450025" w:rsidRPr="00092862" w:rsidRDefault="00685DF9" w:rsidP="0017532F">
            <w:pPr>
              <w:pStyle w:val="afffff8"/>
              <w:rPr>
                <w:color w:val="000000" w:themeColor="text1"/>
              </w:rPr>
            </w:pPr>
            <w:r w:rsidRPr="00092862">
              <w:rPr>
                <w:color w:val="000000" w:themeColor="text1"/>
              </w:rPr>
              <w:t>3.8591E+02</w:t>
            </w:r>
          </w:p>
        </w:tc>
        <w:tc>
          <w:tcPr>
            <w:tcW w:w="936" w:type="pct"/>
            <w:shd w:val="clear" w:color="auto" w:fill="auto"/>
            <w:vAlign w:val="center"/>
          </w:tcPr>
          <w:p w14:paraId="5D3895CC" w14:textId="6BCD7F3C" w:rsidR="00450025" w:rsidRPr="00092862" w:rsidRDefault="0017532F" w:rsidP="0017532F">
            <w:pPr>
              <w:pStyle w:val="afffff8"/>
              <w:rPr>
                <w:color w:val="000000" w:themeColor="text1"/>
              </w:rPr>
            </w:pPr>
            <w:r w:rsidRPr="00092862">
              <w:rPr>
                <w:color w:val="000000" w:themeColor="text1"/>
              </w:rPr>
              <w:t>1.0111E+01</w:t>
            </w:r>
          </w:p>
        </w:tc>
        <w:tc>
          <w:tcPr>
            <w:tcW w:w="1085" w:type="pct"/>
            <w:shd w:val="clear" w:color="auto" w:fill="auto"/>
            <w:vAlign w:val="center"/>
          </w:tcPr>
          <w:p w14:paraId="5ED79FC1" w14:textId="0EB7C5F1" w:rsidR="00450025" w:rsidRPr="00092862" w:rsidRDefault="0017532F" w:rsidP="0017532F">
            <w:pPr>
              <w:pStyle w:val="afffff8"/>
              <w:rPr>
                <w:color w:val="000000" w:themeColor="text1"/>
              </w:rPr>
            </w:pPr>
            <w:r w:rsidRPr="00092862">
              <w:rPr>
                <w:color w:val="000000" w:themeColor="text1"/>
              </w:rPr>
              <w:t>1.0349E+03</w:t>
            </w:r>
          </w:p>
        </w:tc>
      </w:tr>
      <w:tr w:rsidR="00697429" w:rsidRPr="00092862" w14:paraId="26489651" w14:textId="77777777" w:rsidTr="00C54C73">
        <w:tc>
          <w:tcPr>
            <w:tcW w:w="958" w:type="pct"/>
            <w:shd w:val="clear" w:color="auto" w:fill="auto"/>
            <w:vAlign w:val="center"/>
          </w:tcPr>
          <w:p w14:paraId="77787138" w14:textId="77777777" w:rsidR="00450025" w:rsidRPr="00092862" w:rsidRDefault="00450025" w:rsidP="0017532F">
            <w:pPr>
              <w:pStyle w:val="afffff8"/>
              <w:rPr>
                <w:color w:val="000000" w:themeColor="text1"/>
              </w:rPr>
            </w:pPr>
            <w:r w:rsidRPr="00092862">
              <w:rPr>
                <w:color w:val="000000" w:themeColor="text1"/>
              </w:rPr>
              <w:t xml:space="preserve">1010 </w:t>
            </w:r>
          </w:p>
        </w:tc>
        <w:tc>
          <w:tcPr>
            <w:tcW w:w="936" w:type="pct"/>
            <w:shd w:val="clear" w:color="auto" w:fill="auto"/>
            <w:vAlign w:val="center"/>
          </w:tcPr>
          <w:p w14:paraId="629C773D" w14:textId="25E55C44" w:rsidR="00450025" w:rsidRPr="00092862" w:rsidRDefault="00685DF9" w:rsidP="0017532F">
            <w:pPr>
              <w:pStyle w:val="afffff8"/>
              <w:rPr>
                <w:color w:val="000000" w:themeColor="text1"/>
              </w:rPr>
            </w:pPr>
            <w:r w:rsidRPr="00092862">
              <w:rPr>
                <w:color w:val="000000" w:themeColor="text1"/>
              </w:rPr>
              <w:t>1.1222E+01</w:t>
            </w:r>
          </w:p>
        </w:tc>
        <w:tc>
          <w:tcPr>
            <w:tcW w:w="1085" w:type="pct"/>
            <w:shd w:val="clear" w:color="auto" w:fill="auto"/>
            <w:vAlign w:val="center"/>
          </w:tcPr>
          <w:p w14:paraId="27974FC7" w14:textId="123DCB98" w:rsidR="00450025" w:rsidRPr="00092862" w:rsidRDefault="00685DF9" w:rsidP="0017532F">
            <w:pPr>
              <w:pStyle w:val="afffff8"/>
              <w:rPr>
                <w:color w:val="000000" w:themeColor="text1"/>
              </w:rPr>
            </w:pPr>
            <w:r w:rsidRPr="00092862">
              <w:rPr>
                <w:color w:val="000000" w:themeColor="text1"/>
              </w:rPr>
              <w:t>3.2522E+02</w:t>
            </w:r>
          </w:p>
        </w:tc>
        <w:tc>
          <w:tcPr>
            <w:tcW w:w="936" w:type="pct"/>
            <w:shd w:val="clear" w:color="auto" w:fill="auto"/>
            <w:vAlign w:val="center"/>
          </w:tcPr>
          <w:p w14:paraId="72DC5F5B" w14:textId="69D83675" w:rsidR="00450025" w:rsidRPr="00092862" w:rsidRDefault="0017532F" w:rsidP="0017532F">
            <w:pPr>
              <w:pStyle w:val="afffff8"/>
              <w:rPr>
                <w:color w:val="000000" w:themeColor="text1"/>
              </w:rPr>
            </w:pPr>
            <w:r w:rsidRPr="00092862">
              <w:rPr>
                <w:color w:val="000000" w:themeColor="text1"/>
              </w:rPr>
              <w:t>1.1222E+01</w:t>
            </w:r>
          </w:p>
        </w:tc>
        <w:tc>
          <w:tcPr>
            <w:tcW w:w="1085" w:type="pct"/>
            <w:shd w:val="clear" w:color="auto" w:fill="auto"/>
            <w:vAlign w:val="center"/>
          </w:tcPr>
          <w:p w14:paraId="0B430CA4" w14:textId="3B315D3B" w:rsidR="00450025" w:rsidRPr="00092862" w:rsidRDefault="0017532F" w:rsidP="0017532F">
            <w:pPr>
              <w:pStyle w:val="afffff8"/>
              <w:rPr>
                <w:color w:val="000000" w:themeColor="text1"/>
              </w:rPr>
            </w:pPr>
            <w:r w:rsidRPr="00092862">
              <w:rPr>
                <w:color w:val="000000" w:themeColor="text1"/>
              </w:rPr>
              <w:t>8.7219E+02</w:t>
            </w:r>
          </w:p>
        </w:tc>
      </w:tr>
      <w:tr w:rsidR="00697429" w:rsidRPr="00092862" w14:paraId="0FE4BA5C" w14:textId="77777777" w:rsidTr="00C54C73">
        <w:tc>
          <w:tcPr>
            <w:tcW w:w="958" w:type="pct"/>
            <w:shd w:val="clear" w:color="auto" w:fill="auto"/>
            <w:vAlign w:val="center"/>
          </w:tcPr>
          <w:p w14:paraId="49BB77BE" w14:textId="2105F949" w:rsidR="00450025" w:rsidRPr="00092862" w:rsidRDefault="00450025" w:rsidP="0017532F">
            <w:pPr>
              <w:pStyle w:val="afffff8"/>
              <w:rPr>
                <w:color w:val="000000" w:themeColor="text1"/>
              </w:rPr>
            </w:pPr>
            <w:r w:rsidRPr="00092862">
              <w:rPr>
                <w:color w:val="000000" w:themeColor="text1"/>
              </w:rPr>
              <w:t>1</w:t>
            </w:r>
            <w:r w:rsidR="00685DF9" w:rsidRPr="00092862">
              <w:rPr>
                <w:color w:val="000000" w:themeColor="text1"/>
              </w:rPr>
              <w:t>5</w:t>
            </w:r>
            <w:r w:rsidRPr="00092862">
              <w:rPr>
                <w:color w:val="000000" w:themeColor="text1"/>
              </w:rPr>
              <w:t xml:space="preserve">10 </w:t>
            </w:r>
          </w:p>
        </w:tc>
        <w:tc>
          <w:tcPr>
            <w:tcW w:w="936" w:type="pct"/>
            <w:shd w:val="clear" w:color="auto" w:fill="auto"/>
            <w:vAlign w:val="center"/>
          </w:tcPr>
          <w:p w14:paraId="37ED9774" w14:textId="2CF29B2C" w:rsidR="00450025" w:rsidRPr="00092862" w:rsidRDefault="00685DF9" w:rsidP="0017532F">
            <w:pPr>
              <w:pStyle w:val="afffff8"/>
              <w:rPr>
                <w:color w:val="000000" w:themeColor="text1"/>
              </w:rPr>
            </w:pPr>
            <w:r w:rsidRPr="00092862">
              <w:rPr>
                <w:color w:val="000000" w:themeColor="text1"/>
              </w:rPr>
              <w:t>2.0778E+01</w:t>
            </w:r>
          </w:p>
        </w:tc>
        <w:tc>
          <w:tcPr>
            <w:tcW w:w="1085" w:type="pct"/>
            <w:shd w:val="clear" w:color="auto" w:fill="auto"/>
            <w:vAlign w:val="center"/>
          </w:tcPr>
          <w:p w14:paraId="30D81868" w14:textId="6F5F5D55" w:rsidR="00450025" w:rsidRPr="00092862" w:rsidRDefault="00685DF9" w:rsidP="0017532F">
            <w:pPr>
              <w:pStyle w:val="afffff8"/>
              <w:rPr>
                <w:color w:val="000000" w:themeColor="text1"/>
              </w:rPr>
            </w:pPr>
            <w:r w:rsidRPr="00092862">
              <w:rPr>
                <w:color w:val="000000" w:themeColor="text1"/>
              </w:rPr>
              <w:t>1.7016E+02</w:t>
            </w:r>
          </w:p>
        </w:tc>
        <w:tc>
          <w:tcPr>
            <w:tcW w:w="936" w:type="pct"/>
            <w:shd w:val="clear" w:color="auto" w:fill="auto"/>
            <w:vAlign w:val="center"/>
          </w:tcPr>
          <w:p w14:paraId="6D2D0A65"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73F4C2DE"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514C6F10" w14:textId="77777777" w:rsidTr="00C54C73">
        <w:tc>
          <w:tcPr>
            <w:tcW w:w="958" w:type="pct"/>
            <w:shd w:val="clear" w:color="auto" w:fill="auto"/>
            <w:vAlign w:val="center"/>
          </w:tcPr>
          <w:p w14:paraId="54CE0AB3" w14:textId="7B4B5431" w:rsidR="00450025" w:rsidRPr="00092862" w:rsidRDefault="00685DF9" w:rsidP="0017532F">
            <w:pPr>
              <w:pStyle w:val="afffff8"/>
              <w:rPr>
                <w:color w:val="000000" w:themeColor="text1"/>
              </w:rPr>
            </w:pPr>
            <w:r w:rsidRPr="00092862">
              <w:rPr>
                <w:color w:val="000000" w:themeColor="text1"/>
              </w:rPr>
              <w:t>20</w:t>
            </w:r>
            <w:r w:rsidR="00450025" w:rsidRPr="00092862">
              <w:rPr>
                <w:color w:val="000000" w:themeColor="text1"/>
              </w:rPr>
              <w:t xml:space="preserve">10 </w:t>
            </w:r>
          </w:p>
        </w:tc>
        <w:tc>
          <w:tcPr>
            <w:tcW w:w="936" w:type="pct"/>
            <w:shd w:val="clear" w:color="auto" w:fill="auto"/>
            <w:vAlign w:val="center"/>
          </w:tcPr>
          <w:p w14:paraId="7F7D6677" w14:textId="19E688FA" w:rsidR="00450025" w:rsidRPr="00092862" w:rsidRDefault="00685DF9" w:rsidP="0017532F">
            <w:pPr>
              <w:pStyle w:val="afffff8"/>
              <w:rPr>
                <w:color w:val="000000" w:themeColor="text1"/>
              </w:rPr>
            </w:pPr>
            <w:r w:rsidRPr="00092862">
              <w:rPr>
                <w:color w:val="000000" w:themeColor="text1"/>
              </w:rPr>
              <w:t>2.7333E+01</w:t>
            </w:r>
          </w:p>
        </w:tc>
        <w:tc>
          <w:tcPr>
            <w:tcW w:w="1085" w:type="pct"/>
            <w:shd w:val="clear" w:color="auto" w:fill="auto"/>
            <w:vAlign w:val="center"/>
          </w:tcPr>
          <w:p w14:paraId="08D0E396" w14:textId="5D05BBA5" w:rsidR="00450025" w:rsidRPr="00092862" w:rsidRDefault="00685DF9" w:rsidP="0017532F">
            <w:pPr>
              <w:pStyle w:val="afffff8"/>
              <w:rPr>
                <w:color w:val="000000" w:themeColor="text1"/>
              </w:rPr>
            </w:pPr>
            <w:r w:rsidRPr="00092862">
              <w:rPr>
                <w:color w:val="000000" w:themeColor="text1"/>
              </w:rPr>
              <w:t>1.1647E+02</w:t>
            </w:r>
          </w:p>
        </w:tc>
        <w:tc>
          <w:tcPr>
            <w:tcW w:w="936" w:type="pct"/>
            <w:shd w:val="clear" w:color="auto" w:fill="auto"/>
            <w:vAlign w:val="center"/>
          </w:tcPr>
          <w:p w14:paraId="50B7AAD0"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3120C5AE"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768D18D3" w14:textId="77777777" w:rsidTr="00C54C73">
        <w:tc>
          <w:tcPr>
            <w:tcW w:w="958" w:type="pct"/>
            <w:shd w:val="clear" w:color="auto" w:fill="auto"/>
            <w:vAlign w:val="center"/>
          </w:tcPr>
          <w:p w14:paraId="7C4DA442" w14:textId="1AA824B2" w:rsidR="00450025" w:rsidRPr="00092862" w:rsidRDefault="00685DF9" w:rsidP="0017532F">
            <w:pPr>
              <w:pStyle w:val="afffff8"/>
              <w:rPr>
                <w:color w:val="000000" w:themeColor="text1"/>
              </w:rPr>
            </w:pPr>
            <w:r w:rsidRPr="00092862">
              <w:rPr>
                <w:color w:val="000000" w:themeColor="text1"/>
              </w:rPr>
              <w:t>25</w:t>
            </w:r>
            <w:r w:rsidR="00450025" w:rsidRPr="00092862">
              <w:rPr>
                <w:color w:val="000000" w:themeColor="text1"/>
              </w:rPr>
              <w:t xml:space="preserve">10 </w:t>
            </w:r>
          </w:p>
        </w:tc>
        <w:tc>
          <w:tcPr>
            <w:tcW w:w="936" w:type="pct"/>
            <w:shd w:val="clear" w:color="auto" w:fill="auto"/>
            <w:vAlign w:val="center"/>
          </w:tcPr>
          <w:p w14:paraId="49A363F3" w14:textId="5EF9D5A9" w:rsidR="00450025" w:rsidRPr="00092862" w:rsidRDefault="00685DF9" w:rsidP="0017532F">
            <w:pPr>
              <w:pStyle w:val="afffff8"/>
              <w:rPr>
                <w:color w:val="000000" w:themeColor="text1"/>
              </w:rPr>
            </w:pPr>
            <w:r w:rsidRPr="00092862">
              <w:rPr>
                <w:color w:val="000000" w:themeColor="text1"/>
              </w:rPr>
              <w:t>3.3889E+01</w:t>
            </w:r>
          </w:p>
        </w:tc>
        <w:tc>
          <w:tcPr>
            <w:tcW w:w="1085" w:type="pct"/>
            <w:shd w:val="clear" w:color="auto" w:fill="auto"/>
            <w:vAlign w:val="center"/>
          </w:tcPr>
          <w:p w14:paraId="1C3E3161" w14:textId="0B9879FE" w:rsidR="00450025" w:rsidRPr="00092862" w:rsidRDefault="00685DF9" w:rsidP="0017532F">
            <w:pPr>
              <w:pStyle w:val="afffff8"/>
              <w:rPr>
                <w:color w:val="000000" w:themeColor="text1"/>
              </w:rPr>
            </w:pPr>
            <w:r w:rsidRPr="00092862">
              <w:rPr>
                <w:color w:val="000000" w:themeColor="text1"/>
              </w:rPr>
              <w:t>8.6715E+01</w:t>
            </w:r>
          </w:p>
        </w:tc>
        <w:tc>
          <w:tcPr>
            <w:tcW w:w="936" w:type="pct"/>
            <w:shd w:val="clear" w:color="auto" w:fill="auto"/>
            <w:vAlign w:val="center"/>
          </w:tcPr>
          <w:p w14:paraId="18F91063"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25F657A5"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4B6803E4" w14:textId="77777777" w:rsidTr="00C54C73">
        <w:tc>
          <w:tcPr>
            <w:tcW w:w="958" w:type="pct"/>
            <w:shd w:val="clear" w:color="auto" w:fill="auto"/>
            <w:vAlign w:val="center"/>
          </w:tcPr>
          <w:p w14:paraId="1DFE4639" w14:textId="3DD81B9C" w:rsidR="00450025" w:rsidRPr="00092862" w:rsidRDefault="00685DF9" w:rsidP="0017532F">
            <w:pPr>
              <w:pStyle w:val="afffff8"/>
              <w:rPr>
                <w:color w:val="000000" w:themeColor="text1"/>
              </w:rPr>
            </w:pPr>
            <w:r w:rsidRPr="00092862">
              <w:rPr>
                <w:color w:val="000000" w:themeColor="text1"/>
              </w:rPr>
              <w:t>30</w:t>
            </w:r>
            <w:r w:rsidR="00450025" w:rsidRPr="00092862">
              <w:rPr>
                <w:color w:val="000000" w:themeColor="text1"/>
              </w:rPr>
              <w:t xml:space="preserve">10 </w:t>
            </w:r>
          </w:p>
        </w:tc>
        <w:tc>
          <w:tcPr>
            <w:tcW w:w="936" w:type="pct"/>
            <w:shd w:val="clear" w:color="auto" w:fill="auto"/>
            <w:vAlign w:val="center"/>
          </w:tcPr>
          <w:p w14:paraId="3ED8BE04" w14:textId="288427AA" w:rsidR="00450025" w:rsidRPr="00092862" w:rsidRDefault="00685DF9" w:rsidP="0017532F">
            <w:pPr>
              <w:pStyle w:val="afffff8"/>
              <w:rPr>
                <w:color w:val="000000" w:themeColor="text1"/>
              </w:rPr>
            </w:pPr>
            <w:r w:rsidRPr="00092862">
              <w:rPr>
                <w:color w:val="000000" w:themeColor="text1"/>
              </w:rPr>
              <w:t>4.0444E+01</w:t>
            </w:r>
          </w:p>
        </w:tc>
        <w:tc>
          <w:tcPr>
            <w:tcW w:w="1085" w:type="pct"/>
            <w:shd w:val="clear" w:color="auto" w:fill="auto"/>
            <w:vAlign w:val="center"/>
          </w:tcPr>
          <w:p w14:paraId="1BFE79F8" w14:textId="1B809412" w:rsidR="00450025" w:rsidRPr="00092862" w:rsidRDefault="00685DF9" w:rsidP="0017532F">
            <w:pPr>
              <w:pStyle w:val="afffff8"/>
              <w:rPr>
                <w:color w:val="000000" w:themeColor="text1"/>
              </w:rPr>
            </w:pPr>
            <w:r w:rsidRPr="00092862">
              <w:rPr>
                <w:color w:val="000000" w:themeColor="text1"/>
              </w:rPr>
              <w:t>6.8108E+01</w:t>
            </w:r>
          </w:p>
        </w:tc>
        <w:tc>
          <w:tcPr>
            <w:tcW w:w="936" w:type="pct"/>
            <w:shd w:val="clear" w:color="auto" w:fill="auto"/>
            <w:vAlign w:val="center"/>
          </w:tcPr>
          <w:p w14:paraId="0C99E2C2"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069CE0C8"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18E396DB" w14:textId="77777777" w:rsidTr="00C54C73">
        <w:tc>
          <w:tcPr>
            <w:tcW w:w="958" w:type="pct"/>
            <w:shd w:val="clear" w:color="auto" w:fill="auto"/>
            <w:vAlign w:val="center"/>
          </w:tcPr>
          <w:p w14:paraId="706A143F" w14:textId="49259306" w:rsidR="00450025" w:rsidRPr="00092862" w:rsidRDefault="00685DF9" w:rsidP="0017532F">
            <w:pPr>
              <w:pStyle w:val="afffff8"/>
              <w:rPr>
                <w:color w:val="000000" w:themeColor="text1"/>
              </w:rPr>
            </w:pPr>
            <w:r w:rsidRPr="00092862">
              <w:rPr>
                <w:color w:val="000000" w:themeColor="text1"/>
              </w:rPr>
              <w:t>35</w:t>
            </w:r>
            <w:r w:rsidR="00450025" w:rsidRPr="00092862">
              <w:rPr>
                <w:color w:val="000000" w:themeColor="text1"/>
              </w:rPr>
              <w:t xml:space="preserve">10 </w:t>
            </w:r>
          </w:p>
        </w:tc>
        <w:tc>
          <w:tcPr>
            <w:tcW w:w="936" w:type="pct"/>
            <w:shd w:val="clear" w:color="auto" w:fill="auto"/>
            <w:vAlign w:val="center"/>
          </w:tcPr>
          <w:p w14:paraId="3097AD99" w14:textId="21186E79" w:rsidR="00450025" w:rsidRPr="00092862" w:rsidRDefault="00685DF9" w:rsidP="0017532F">
            <w:pPr>
              <w:pStyle w:val="afffff8"/>
              <w:rPr>
                <w:color w:val="000000" w:themeColor="text1"/>
              </w:rPr>
            </w:pPr>
            <w:r w:rsidRPr="00092862">
              <w:rPr>
                <w:color w:val="000000" w:themeColor="text1"/>
              </w:rPr>
              <w:t>4.7000E+01</w:t>
            </w:r>
          </w:p>
        </w:tc>
        <w:tc>
          <w:tcPr>
            <w:tcW w:w="1085" w:type="pct"/>
            <w:shd w:val="clear" w:color="auto" w:fill="auto"/>
            <w:vAlign w:val="center"/>
          </w:tcPr>
          <w:p w14:paraId="45EB9209" w14:textId="501C9CC1" w:rsidR="00450025" w:rsidRPr="00092862" w:rsidRDefault="00685DF9" w:rsidP="0017532F">
            <w:pPr>
              <w:pStyle w:val="afffff8"/>
              <w:rPr>
                <w:color w:val="000000" w:themeColor="text1"/>
              </w:rPr>
            </w:pPr>
            <w:r w:rsidRPr="00092862">
              <w:rPr>
                <w:color w:val="000000" w:themeColor="text1"/>
              </w:rPr>
              <w:t>5.5509E+01</w:t>
            </w:r>
          </w:p>
        </w:tc>
        <w:tc>
          <w:tcPr>
            <w:tcW w:w="936" w:type="pct"/>
            <w:shd w:val="clear" w:color="auto" w:fill="auto"/>
            <w:vAlign w:val="center"/>
          </w:tcPr>
          <w:p w14:paraId="794E39BC"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4909D2AA"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14977E7E" w14:textId="77777777" w:rsidTr="00C54C73">
        <w:tc>
          <w:tcPr>
            <w:tcW w:w="958" w:type="pct"/>
            <w:shd w:val="clear" w:color="auto" w:fill="auto"/>
            <w:vAlign w:val="center"/>
          </w:tcPr>
          <w:p w14:paraId="6E1F13E4" w14:textId="3DFEC03C" w:rsidR="00450025" w:rsidRPr="00092862" w:rsidRDefault="00685DF9" w:rsidP="0017532F">
            <w:pPr>
              <w:pStyle w:val="afffff8"/>
              <w:rPr>
                <w:color w:val="000000" w:themeColor="text1"/>
              </w:rPr>
            </w:pPr>
            <w:r w:rsidRPr="00092862">
              <w:rPr>
                <w:color w:val="000000" w:themeColor="text1"/>
              </w:rPr>
              <w:t>40</w:t>
            </w:r>
            <w:r w:rsidR="00450025" w:rsidRPr="00092862">
              <w:rPr>
                <w:color w:val="000000" w:themeColor="text1"/>
              </w:rPr>
              <w:t xml:space="preserve">10 </w:t>
            </w:r>
          </w:p>
        </w:tc>
        <w:tc>
          <w:tcPr>
            <w:tcW w:w="936" w:type="pct"/>
            <w:shd w:val="clear" w:color="auto" w:fill="auto"/>
            <w:vAlign w:val="center"/>
          </w:tcPr>
          <w:p w14:paraId="394B04D8" w14:textId="45512D98" w:rsidR="00450025" w:rsidRPr="00092862" w:rsidRDefault="00685DF9" w:rsidP="0017532F">
            <w:pPr>
              <w:pStyle w:val="afffff8"/>
              <w:rPr>
                <w:color w:val="000000" w:themeColor="text1"/>
              </w:rPr>
            </w:pPr>
            <w:r w:rsidRPr="00092862">
              <w:rPr>
                <w:color w:val="000000" w:themeColor="text1"/>
              </w:rPr>
              <w:t>5.1556E+01</w:t>
            </w:r>
          </w:p>
        </w:tc>
        <w:tc>
          <w:tcPr>
            <w:tcW w:w="1085" w:type="pct"/>
            <w:shd w:val="clear" w:color="auto" w:fill="auto"/>
            <w:vAlign w:val="center"/>
          </w:tcPr>
          <w:p w14:paraId="0E05A56B" w14:textId="4C972A4F" w:rsidR="00450025" w:rsidRPr="00092862" w:rsidRDefault="00685DF9" w:rsidP="0017532F">
            <w:pPr>
              <w:pStyle w:val="afffff8"/>
              <w:rPr>
                <w:color w:val="000000" w:themeColor="text1"/>
              </w:rPr>
            </w:pPr>
            <w:r w:rsidRPr="00092862">
              <w:rPr>
                <w:color w:val="000000" w:themeColor="text1"/>
              </w:rPr>
              <w:t>4.6470E+01</w:t>
            </w:r>
          </w:p>
        </w:tc>
        <w:tc>
          <w:tcPr>
            <w:tcW w:w="936" w:type="pct"/>
            <w:shd w:val="clear" w:color="auto" w:fill="auto"/>
            <w:vAlign w:val="center"/>
          </w:tcPr>
          <w:p w14:paraId="09A7B046"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01221BF7"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354996B8" w14:textId="77777777" w:rsidTr="00C54C73">
        <w:tc>
          <w:tcPr>
            <w:tcW w:w="958" w:type="pct"/>
            <w:shd w:val="clear" w:color="auto" w:fill="auto"/>
            <w:vAlign w:val="center"/>
          </w:tcPr>
          <w:p w14:paraId="12DC5E40" w14:textId="1A71FB13" w:rsidR="00450025" w:rsidRPr="00092862" w:rsidRDefault="00685DF9" w:rsidP="0017532F">
            <w:pPr>
              <w:pStyle w:val="afffff8"/>
              <w:rPr>
                <w:color w:val="000000" w:themeColor="text1"/>
              </w:rPr>
            </w:pPr>
            <w:r w:rsidRPr="00092862">
              <w:rPr>
                <w:color w:val="000000" w:themeColor="text1"/>
              </w:rPr>
              <w:t>45</w:t>
            </w:r>
            <w:r w:rsidR="00450025" w:rsidRPr="00092862">
              <w:rPr>
                <w:color w:val="000000" w:themeColor="text1"/>
              </w:rPr>
              <w:t xml:space="preserve">10 </w:t>
            </w:r>
          </w:p>
        </w:tc>
        <w:tc>
          <w:tcPr>
            <w:tcW w:w="936" w:type="pct"/>
            <w:shd w:val="clear" w:color="auto" w:fill="auto"/>
            <w:vAlign w:val="center"/>
          </w:tcPr>
          <w:p w14:paraId="2B187E40" w14:textId="7E01542C" w:rsidR="00450025" w:rsidRPr="00092862" w:rsidRDefault="00685DF9" w:rsidP="0017532F">
            <w:pPr>
              <w:pStyle w:val="afffff8"/>
              <w:rPr>
                <w:color w:val="000000" w:themeColor="text1"/>
              </w:rPr>
            </w:pPr>
            <w:r w:rsidRPr="00092862">
              <w:rPr>
                <w:color w:val="000000" w:themeColor="text1"/>
              </w:rPr>
              <w:t>5.7111E+01</w:t>
            </w:r>
          </w:p>
        </w:tc>
        <w:tc>
          <w:tcPr>
            <w:tcW w:w="1085" w:type="pct"/>
            <w:shd w:val="clear" w:color="auto" w:fill="auto"/>
            <w:vAlign w:val="center"/>
          </w:tcPr>
          <w:p w14:paraId="65B039E6" w14:textId="6C8AA768" w:rsidR="00450025" w:rsidRPr="00092862" w:rsidRDefault="00685DF9" w:rsidP="0017532F">
            <w:pPr>
              <w:pStyle w:val="afffff8"/>
              <w:rPr>
                <w:color w:val="000000" w:themeColor="text1"/>
              </w:rPr>
            </w:pPr>
            <w:r w:rsidRPr="00092862">
              <w:rPr>
                <w:color w:val="000000" w:themeColor="text1"/>
              </w:rPr>
              <w:t>3.9690E+01</w:t>
            </w:r>
          </w:p>
        </w:tc>
        <w:tc>
          <w:tcPr>
            <w:tcW w:w="936" w:type="pct"/>
            <w:shd w:val="clear" w:color="auto" w:fill="auto"/>
            <w:vAlign w:val="center"/>
          </w:tcPr>
          <w:p w14:paraId="34AA0A2E"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7A554BCB" w14:textId="77777777" w:rsidR="00450025" w:rsidRPr="00092862" w:rsidRDefault="00450025" w:rsidP="0017532F">
            <w:pPr>
              <w:pStyle w:val="afffff8"/>
              <w:rPr>
                <w:color w:val="000000" w:themeColor="text1"/>
              </w:rPr>
            </w:pPr>
            <w:r w:rsidRPr="00092862">
              <w:rPr>
                <w:color w:val="000000" w:themeColor="text1"/>
              </w:rPr>
              <w:t>/</w:t>
            </w:r>
          </w:p>
        </w:tc>
      </w:tr>
      <w:tr w:rsidR="00697429" w:rsidRPr="00092862" w14:paraId="27ACC341" w14:textId="77777777" w:rsidTr="00C54C73">
        <w:tc>
          <w:tcPr>
            <w:tcW w:w="958" w:type="pct"/>
            <w:shd w:val="clear" w:color="auto" w:fill="auto"/>
            <w:vAlign w:val="center"/>
          </w:tcPr>
          <w:p w14:paraId="6327E0F1" w14:textId="7A07ACA6" w:rsidR="00450025" w:rsidRPr="00092862" w:rsidRDefault="00685DF9" w:rsidP="0017532F">
            <w:pPr>
              <w:pStyle w:val="afffff8"/>
              <w:rPr>
                <w:color w:val="000000" w:themeColor="text1"/>
              </w:rPr>
            </w:pPr>
            <w:r w:rsidRPr="00092862">
              <w:rPr>
                <w:color w:val="000000" w:themeColor="text1"/>
              </w:rPr>
              <w:t>466</w:t>
            </w:r>
            <w:r w:rsidR="00450025" w:rsidRPr="00092862">
              <w:rPr>
                <w:color w:val="000000" w:themeColor="text1"/>
              </w:rPr>
              <w:t xml:space="preserve">0 </w:t>
            </w:r>
          </w:p>
        </w:tc>
        <w:tc>
          <w:tcPr>
            <w:tcW w:w="936" w:type="pct"/>
            <w:shd w:val="clear" w:color="auto" w:fill="auto"/>
            <w:vAlign w:val="center"/>
          </w:tcPr>
          <w:p w14:paraId="0BED5E10" w14:textId="26738AD0" w:rsidR="00450025" w:rsidRPr="00092862" w:rsidRDefault="00685DF9" w:rsidP="0017532F">
            <w:pPr>
              <w:pStyle w:val="afffff8"/>
              <w:rPr>
                <w:color w:val="000000" w:themeColor="text1"/>
              </w:rPr>
            </w:pPr>
            <w:r w:rsidRPr="00092862">
              <w:rPr>
                <w:color w:val="000000" w:themeColor="text1"/>
              </w:rPr>
              <w:t>5.8778E+01</w:t>
            </w:r>
          </w:p>
        </w:tc>
        <w:tc>
          <w:tcPr>
            <w:tcW w:w="1085" w:type="pct"/>
            <w:shd w:val="clear" w:color="auto" w:fill="auto"/>
            <w:vAlign w:val="center"/>
          </w:tcPr>
          <w:p w14:paraId="2C3E3D7E" w14:textId="57AF2A4C" w:rsidR="00450025" w:rsidRPr="00092862" w:rsidRDefault="00685DF9" w:rsidP="0017532F">
            <w:pPr>
              <w:autoSpaceDE w:val="0"/>
              <w:autoSpaceDN w:val="0"/>
              <w:adjustRightInd w:val="0"/>
              <w:jc w:val="center"/>
              <w:rPr>
                <w:rFonts w:ascii="Times New Roman" w:eastAsia="宋体" w:hAnsi="Times New Roman" w:cs="Times New Roman"/>
                <w:color w:val="000000" w:themeColor="text1"/>
                <w:kern w:val="0"/>
                <w:szCs w:val="24"/>
              </w:rPr>
            </w:pPr>
            <w:r w:rsidRPr="00092862">
              <w:rPr>
                <w:rFonts w:ascii="Times New Roman" w:eastAsia="宋体" w:hAnsi="Times New Roman" w:cs="Times New Roman"/>
                <w:color w:val="000000" w:themeColor="text1"/>
                <w:kern w:val="0"/>
                <w:szCs w:val="24"/>
              </w:rPr>
              <w:t>3.7975E+01</w:t>
            </w:r>
          </w:p>
        </w:tc>
        <w:tc>
          <w:tcPr>
            <w:tcW w:w="936" w:type="pct"/>
            <w:shd w:val="clear" w:color="auto" w:fill="auto"/>
            <w:vAlign w:val="center"/>
          </w:tcPr>
          <w:p w14:paraId="6AC9CEA8"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5B09F299" w14:textId="77777777" w:rsidR="00450025" w:rsidRPr="00092862" w:rsidRDefault="00450025" w:rsidP="0017532F">
            <w:pPr>
              <w:pStyle w:val="afffff8"/>
              <w:rPr>
                <w:color w:val="000000" w:themeColor="text1"/>
              </w:rPr>
            </w:pPr>
            <w:r w:rsidRPr="00092862">
              <w:rPr>
                <w:color w:val="000000" w:themeColor="text1"/>
              </w:rPr>
              <w:t>/</w:t>
            </w:r>
          </w:p>
        </w:tc>
      </w:tr>
      <w:tr w:rsidR="008B37BB" w:rsidRPr="00092862" w14:paraId="62CB9455" w14:textId="77777777" w:rsidTr="00C54C73">
        <w:tc>
          <w:tcPr>
            <w:tcW w:w="958" w:type="pct"/>
            <w:shd w:val="clear" w:color="auto" w:fill="auto"/>
            <w:vAlign w:val="center"/>
          </w:tcPr>
          <w:p w14:paraId="29CB6F21" w14:textId="759CB5A8" w:rsidR="00450025" w:rsidRPr="00092862" w:rsidRDefault="00685DF9" w:rsidP="0017532F">
            <w:pPr>
              <w:pStyle w:val="afffff8"/>
              <w:rPr>
                <w:color w:val="000000" w:themeColor="text1"/>
              </w:rPr>
            </w:pPr>
            <w:r w:rsidRPr="00092862">
              <w:rPr>
                <w:color w:val="000000" w:themeColor="text1"/>
              </w:rPr>
              <w:t>5010</w:t>
            </w:r>
            <w:r w:rsidR="00450025" w:rsidRPr="00092862">
              <w:rPr>
                <w:color w:val="000000" w:themeColor="text1"/>
              </w:rPr>
              <w:t xml:space="preserve"> </w:t>
            </w:r>
          </w:p>
        </w:tc>
        <w:tc>
          <w:tcPr>
            <w:tcW w:w="936" w:type="pct"/>
            <w:shd w:val="clear" w:color="auto" w:fill="auto"/>
            <w:vAlign w:val="center"/>
          </w:tcPr>
          <w:p w14:paraId="7C7308A5" w14:textId="4E4FA70E" w:rsidR="00450025" w:rsidRPr="00092862" w:rsidRDefault="005B5760" w:rsidP="0017532F">
            <w:pPr>
              <w:pStyle w:val="afffff8"/>
              <w:rPr>
                <w:color w:val="000000" w:themeColor="text1"/>
              </w:rPr>
            </w:pPr>
            <w:r w:rsidRPr="00092862">
              <w:rPr>
                <w:color w:val="000000" w:themeColor="text1"/>
              </w:rPr>
              <w:t>6.2667E+01</w:t>
            </w:r>
          </w:p>
        </w:tc>
        <w:tc>
          <w:tcPr>
            <w:tcW w:w="1085" w:type="pct"/>
            <w:shd w:val="clear" w:color="auto" w:fill="auto"/>
            <w:vAlign w:val="center"/>
          </w:tcPr>
          <w:p w14:paraId="641FA2F7" w14:textId="2341A715" w:rsidR="00450025" w:rsidRPr="00092862" w:rsidRDefault="005B5760" w:rsidP="0017532F">
            <w:pPr>
              <w:pStyle w:val="afffff8"/>
              <w:rPr>
                <w:color w:val="000000" w:themeColor="text1"/>
              </w:rPr>
            </w:pPr>
            <w:r w:rsidRPr="00092862">
              <w:rPr>
                <w:color w:val="000000" w:themeColor="text1"/>
              </w:rPr>
              <w:t>3.4416E+01</w:t>
            </w:r>
          </w:p>
        </w:tc>
        <w:tc>
          <w:tcPr>
            <w:tcW w:w="936" w:type="pct"/>
            <w:shd w:val="clear" w:color="auto" w:fill="auto"/>
            <w:vAlign w:val="center"/>
          </w:tcPr>
          <w:p w14:paraId="2CBBD5D8" w14:textId="77777777" w:rsidR="00450025" w:rsidRPr="00092862" w:rsidRDefault="00450025" w:rsidP="0017532F">
            <w:pPr>
              <w:pStyle w:val="afffff8"/>
              <w:rPr>
                <w:color w:val="000000" w:themeColor="text1"/>
              </w:rPr>
            </w:pPr>
            <w:r w:rsidRPr="00092862">
              <w:rPr>
                <w:color w:val="000000" w:themeColor="text1"/>
              </w:rPr>
              <w:t>/</w:t>
            </w:r>
          </w:p>
        </w:tc>
        <w:tc>
          <w:tcPr>
            <w:tcW w:w="1085" w:type="pct"/>
            <w:shd w:val="clear" w:color="auto" w:fill="auto"/>
            <w:vAlign w:val="center"/>
          </w:tcPr>
          <w:p w14:paraId="3D077977" w14:textId="77777777" w:rsidR="00450025" w:rsidRPr="00092862" w:rsidRDefault="00450025" w:rsidP="0017532F">
            <w:pPr>
              <w:pStyle w:val="afffff8"/>
              <w:rPr>
                <w:color w:val="000000" w:themeColor="text1"/>
              </w:rPr>
            </w:pPr>
            <w:r w:rsidRPr="00092862">
              <w:rPr>
                <w:color w:val="000000" w:themeColor="text1"/>
              </w:rPr>
              <w:t>/</w:t>
            </w:r>
          </w:p>
        </w:tc>
      </w:tr>
    </w:tbl>
    <w:p w14:paraId="52011BF1" w14:textId="77777777" w:rsidR="00450025" w:rsidRPr="00092862" w:rsidRDefault="00450025" w:rsidP="00450025">
      <w:pPr>
        <w:pStyle w:val="ac"/>
        <w:adjustRightInd w:val="0"/>
        <w:snapToGrid w:val="0"/>
        <w:spacing w:before="0" w:line="360" w:lineRule="auto"/>
        <w:ind w:left="0"/>
        <w:jc w:val="center"/>
        <w:rPr>
          <w:rFonts w:ascii="Times New Roman" w:hAnsi="Times New Roman"/>
          <w:bCs/>
          <w:color w:val="000000" w:themeColor="text1"/>
          <w:kern w:val="2"/>
          <w:lang w:eastAsia="zh-CN"/>
        </w:rPr>
      </w:pPr>
    </w:p>
    <w:p w14:paraId="0F99BFA6" w14:textId="2F425ACC"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预测结果分析：发生井喷时，以井口为源点，</w:t>
      </w:r>
      <w:r w:rsidRPr="00092862">
        <w:rPr>
          <w:rFonts w:ascii="Times New Roman" w:hAnsi="Times New Roman"/>
          <w:bCs/>
          <w:color w:val="000000" w:themeColor="text1"/>
          <w:kern w:val="2"/>
          <w:lang w:eastAsia="zh-CN"/>
        </w:rPr>
        <w:t>H</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S</w:t>
      </w:r>
      <w:r w:rsidRPr="00092862">
        <w:rPr>
          <w:rFonts w:ascii="Times New Roman" w:hAnsi="Times New Roman"/>
          <w:bCs/>
          <w:color w:val="000000" w:themeColor="text1"/>
          <w:kern w:val="2"/>
          <w:lang w:eastAsia="zh-CN"/>
        </w:rPr>
        <w:t>扩散后达到毒性终点浓度</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的最远距离为下风向</w:t>
      </w:r>
      <w:r w:rsidR="005B5760" w:rsidRPr="00092862">
        <w:rPr>
          <w:rFonts w:ascii="Times New Roman" w:hAnsi="Times New Roman"/>
          <w:bCs/>
          <w:color w:val="000000" w:themeColor="text1"/>
          <w:kern w:val="2"/>
          <w:lang w:eastAsia="zh-CN"/>
        </w:rPr>
        <w:t>4650</w:t>
      </w:r>
      <w:r w:rsidRPr="00092862">
        <w:rPr>
          <w:rFonts w:ascii="Times New Roman" w:hAnsi="Times New Roman"/>
          <w:bCs/>
          <w:color w:val="000000" w:themeColor="text1"/>
          <w:kern w:val="2"/>
          <w:lang w:eastAsia="zh-CN"/>
        </w:rPr>
        <w:t>m</w:t>
      </w:r>
      <w:r w:rsidRPr="00092862">
        <w:rPr>
          <w:rFonts w:ascii="Times New Roman" w:hAnsi="Times New Roman"/>
          <w:bCs/>
          <w:color w:val="000000" w:themeColor="text1"/>
          <w:kern w:val="2"/>
          <w:lang w:eastAsia="zh-CN"/>
        </w:rPr>
        <w:t>，到达时间为</w:t>
      </w:r>
      <w:r w:rsidR="005B5760" w:rsidRPr="00092862">
        <w:rPr>
          <w:rFonts w:ascii="Times New Roman" w:hAnsi="Times New Roman"/>
          <w:bCs/>
          <w:color w:val="000000" w:themeColor="text1"/>
          <w:kern w:val="2"/>
          <w:lang w:eastAsia="zh-CN"/>
        </w:rPr>
        <w:t>58.7</w:t>
      </w:r>
      <w:r w:rsidRPr="00092862">
        <w:rPr>
          <w:rFonts w:ascii="Times New Roman" w:hAnsi="Times New Roman"/>
          <w:bCs/>
          <w:color w:val="000000" w:themeColor="text1"/>
          <w:kern w:val="2"/>
          <w:lang w:eastAsia="zh-CN"/>
        </w:rPr>
        <w:t>min</w:t>
      </w:r>
      <w:r w:rsidRPr="00092862">
        <w:rPr>
          <w:rFonts w:ascii="Times New Roman" w:hAnsi="Times New Roman"/>
          <w:bCs/>
          <w:color w:val="000000" w:themeColor="text1"/>
          <w:kern w:val="2"/>
          <w:lang w:eastAsia="zh-CN"/>
        </w:rPr>
        <w:t>，达到毒性终点浓度</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的最远距离为下风向</w:t>
      </w:r>
      <w:r w:rsidR="005B5760" w:rsidRPr="00092862">
        <w:rPr>
          <w:rFonts w:ascii="Times New Roman" w:hAnsi="Times New Roman"/>
          <w:bCs/>
          <w:color w:val="000000" w:themeColor="text1"/>
          <w:kern w:val="2"/>
          <w:lang w:eastAsia="zh-CN"/>
        </w:rPr>
        <w:t>2940</w:t>
      </w:r>
      <w:r w:rsidRPr="00092862">
        <w:rPr>
          <w:rFonts w:ascii="Times New Roman" w:hAnsi="Times New Roman"/>
          <w:bCs/>
          <w:color w:val="000000" w:themeColor="text1"/>
          <w:kern w:val="2"/>
          <w:lang w:eastAsia="zh-CN"/>
        </w:rPr>
        <w:t>m</w:t>
      </w:r>
      <w:r w:rsidRPr="00092862">
        <w:rPr>
          <w:rFonts w:ascii="Times New Roman" w:hAnsi="Times New Roman"/>
          <w:bCs/>
          <w:color w:val="000000" w:themeColor="text1"/>
          <w:kern w:val="2"/>
          <w:lang w:eastAsia="zh-CN"/>
        </w:rPr>
        <w:t>，到达时间为</w:t>
      </w:r>
      <w:r w:rsidR="005B5760" w:rsidRPr="00092862">
        <w:rPr>
          <w:rFonts w:ascii="Times New Roman" w:hAnsi="Times New Roman"/>
          <w:bCs/>
          <w:color w:val="000000" w:themeColor="text1"/>
          <w:kern w:val="2"/>
          <w:lang w:eastAsia="zh-CN"/>
        </w:rPr>
        <w:t>39.6</w:t>
      </w:r>
      <w:r w:rsidRPr="00092862">
        <w:rPr>
          <w:rFonts w:ascii="Times New Roman" w:hAnsi="Times New Roman"/>
          <w:bCs/>
          <w:color w:val="000000" w:themeColor="text1"/>
          <w:kern w:val="2"/>
          <w:lang w:eastAsia="zh-CN"/>
        </w:rPr>
        <w:t>min</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CH</w:t>
      </w:r>
      <w:r w:rsidRPr="00092862">
        <w:rPr>
          <w:rFonts w:ascii="Times New Roman" w:hAnsi="Times New Roman"/>
          <w:bCs/>
          <w:color w:val="000000" w:themeColor="text1"/>
          <w:kern w:val="2"/>
          <w:vertAlign w:val="subscript"/>
          <w:lang w:eastAsia="zh-CN"/>
        </w:rPr>
        <w:t>4</w:t>
      </w:r>
      <w:r w:rsidRPr="00092862">
        <w:rPr>
          <w:rFonts w:ascii="Times New Roman" w:hAnsi="Times New Roman"/>
          <w:bCs/>
          <w:color w:val="000000" w:themeColor="text1"/>
          <w:kern w:val="2"/>
          <w:lang w:eastAsia="zh-CN"/>
        </w:rPr>
        <w:t>扩散后达到毒性终点浓度</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和毒性终点浓度</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的最远距离为下风向</w:t>
      </w:r>
      <w:r w:rsidRPr="00092862">
        <w:rPr>
          <w:rFonts w:ascii="Times New Roman" w:hAnsi="Times New Roman"/>
          <w:bCs/>
          <w:color w:val="000000" w:themeColor="text1"/>
          <w:kern w:val="2"/>
          <w:lang w:eastAsia="zh-CN"/>
        </w:rPr>
        <w:t>10m</w:t>
      </w:r>
      <w:r w:rsidRPr="00092862">
        <w:rPr>
          <w:rFonts w:ascii="Times New Roman" w:hAnsi="Times New Roman"/>
          <w:bCs/>
          <w:color w:val="000000" w:themeColor="text1"/>
          <w:kern w:val="2"/>
          <w:lang w:eastAsia="zh-CN"/>
        </w:rPr>
        <w:t>。</w:t>
      </w:r>
    </w:p>
    <w:p w14:paraId="185A07A4" w14:textId="3ED9A58A" w:rsidR="00450025" w:rsidRPr="00092862" w:rsidRDefault="00450025" w:rsidP="00450025">
      <w:pPr>
        <w:pStyle w:val="ac"/>
        <w:adjustRightInd w:val="0"/>
        <w:snapToGrid w:val="0"/>
        <w:spacing w:before="0" w:line="360" w:lineRule="auto"/>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6.4-8</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最不利气象下污染物扩散对对周围敏感点的影响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25"/>
        <w:gridCol w:w="1104"/>
        <w:gridCol w:w="603"/>
        <w:gridCol w:w="604"/>
        <w:gridCol w:w="2390"/>
        <w:gridCol w:w="1625"/>
        <w:gridCol w:w="1449"/>
      </w:tblGrid>
      <w:tr w:rsidR="00697429" w:rsidRPr="00092862" w14:paraId="39594B4D" w14:textId="77777777" w:rsidTr="0098631F">
        <w:trPr>
          <w:trHeight w:val="270"/>
          <w:tblHeader/>
          <w:jc w:val="center"/>
        </w:trPr>
        <w:tc>
          <w:tcPr>
            <w:tcW w:w="316" w:type="pct"/>
            <w:vMerge w:val="restart"/>
            <w:shd w:val="clear" w:color="auto" w:fill="auto"/>
            <w:vAlign w:val="center"/>
          </w:tcPr>
          <w:p w14:paraId="50E3EB3B" w14:textId="77777777" w:rsidR="00450025" w:rsidRPr="00092862" w:rsidRDefault="00450025" w:rsidP="00C54C73">
            <w:pPr>
              <w:pStyle w:val="afffff8"/>
              <w:rPr>
                <w:color w:val="000000" w:themeColor="text1"/>
              </w:rPr>
            </w:pPr>
            <w:r w:rsidRPr="00092862">
              <w:rPr>
                <w:color w:val="000000" w:themeColor="text1"/>
              </w:rPr>
              <w:t>分类</w:t>
            </w:r>
          </w:p>
        </w:tc>
        <w:tc>
          <w:tcPr>
            <w:tcW w:w="665" w:type="pct"/>
            <w:vMerge w:val="restart"/>
            <w:shd w:val="clear" w:color="auto" w:fill="auto"/>
            <w:vAlign w:val="center"/>
          </w:tcPr>
          <w:p w14:paraId="52C4094E" w14:textId="77777777" w:rsidR="00450025" w:rsidRPr="00092862" w:rsidRDefault="00450025" w:rsidP="00C54C73">
            <w:pPr>
              <w:pStyle w:val="afffff8"/>
              <w:rPr>
                <w:color w:val="000000" w:themeColor="text1"/>
              </w:rPr>
            </w:pPr>
            <w:r w:rsidRPr="00092862">
              <w:rPr>
                <w:color w:val="000000" w:themeColor="text1"/>
              </w:rPr>
              <w:t>名称</w:t>
            </w:r>
          </w:p>
        </w:tc>
        <w:tc>
          <w:tcPr>
            <w:tcW w:w="727" w:type="pct"/>
            <w:gridSpan w:val="2"/>
            <w:shd w:val="clear" w:color="auto" w:fill="auto"/>
            <w:vAlign w:val="center"/>
          </w:tcPr>
          <w:p w14:paraId="45A5CB21" w14:textId="77777777" w:rsidR="00450025" w:rsidRPr="00092862" w:rsidRDefault="00450025" w:rsidP="00C54C73">
            <w:pPr>
              <w:pStyle w:val="afffff8"/>
              <w:rPr>
                <w:color w:val="000000" w:themeColor="text1"/>
              </w:rPr>
            </w:pPr>
            <w:r w:rsidRPr="00092862">
              <w:rPr>
                <w:color w:val="000000" w:themeColor="text1"/>
              </w:rPr>
              <w:t>坐标</w:t>
            </w:r>
          </w:p>
        </w:tc>
        <w:tc>
          <w:tcPr>
            <w:tcW w:w="1440" w:type="pct"/>
            <w:vMerge w:val="restart"/>
            <w:shd w:val="clear" w:color="auto" w:fill="auto"/>
            <w:vAlign w:val="center"/>
          </w:tcPr>
          <w:p w14:paraId="046E8A02" w14:textId="77777777" w:rsidR="00450025" w:rsidRPr="00092862" w:rsidRDefault="00450025" w:rsidP="00C54C73">
            <w:pPr>
              <w:pStyle w:val="afffff8"/>
              <w:rPr>
                <w:color w:val="000000" w:themeColor="text1"/>
              </w:rPr>
            </w:pPr>
            <w:r w:rsidRPr="00092862">
              <w:rPr>
                <w:color w:val="000000" w:themeColor="text1"/>
              </w:rPr>
              <w:t>最大浓度及出现时间</w:t>
            </w:r>
          </w:p>
          <w:p w14:paraId="1FB11A1D" w14:textId="77777777" w:rsidR="00450025" w:rsidRPr="00092862" w:rsidRDefault="00450025" w:rsidP="00C54C73">
            <w:pPr>
              <w:pStyle w:val="afffff8"/>
              <w:rPr>
                <w:color w:val="000000" w:themeColor="text1"/>
              </w:rPr>
            </w:pPr>
            <w:r w:rsidRPr="00092862">
              <w:rPr>
                <w:color w:val="000000" w:themeColor="text1"/>
              </w:rPr>
              <w:t>（</w:t>
            </w:r>
            <w:r w:rsidRPr="00092862">
              <w:rPr>
                <w:color w:val="000000" w:themeColor="text1"/>
              </w:rPr>
              <w:t>mg/m</w:t>
            </w:r>
            <w:r w:rsidRPr="00092862">
              <w:rPr>
                <w:color w:val="000000" w:themeColor="text1"/>
                <w:vertAlign w:val="superscript"/>
              </w:rPr>
              <w:t>3</w:t>
            </w:r>
            <w:r w:rsidRPr="00092862">
              <w:rPr>
                <w:color w:val="000000" w:themeColor="text1"/>
              </w:rPr>
              <w:t>|min</w:t>
            </w:r>
            <w:r w:rsidRPr="00092862">
              <w:rPr>
                <w:color w:val="000000" w:themeColor="text1"/>
              </w:rPr>
              <w:t>）</w:t>
            </w:r>
          </w:p>
        </w:tc>
        <w:tc>
          <w:tcPr>
            <w:tcW w:w="979" w:type="pct"/>
            <w:vMerge w:val="restart"/>
            <w:vAlign w:val="center"/>
          </w:tcPr>
          <w:p w14:paraId="68438487" w14:textId="72AD8C0A" w:rsidR="00450025" w:rsidRPr="00092862" w:rsidRDefault="00450025" w:rsidP="00C54C73">
            <w:pPr>
              <w:pStyle w:val="afffff8"/>
              <w:rPr>
                <w:color w:val="000000" w:themeColor="text1"/>
              </w:rPr>
            </w:pPr>
            <w:r w:rsidRPr="00092862">
              <w:rPr>
                <w:color w:val="000000" w:themeColor="text1"/>
              </w:rPr>
              <w:t>毒性</w:t>
            </w:r>
            <w:r w:rsidR="0098631F" w:rsidRPr="00092862">
              <w:rPr>
                <w:color w:val="000000" w:themeColor="text1"/>
              </w:rPr>
              <w:t>终点</w:t>
            </w:r>
            <w:r w:rsidRPr="00092862">
              <w:rPr>
                <w:color w:val="000000" w:themeColor="text1"/>
              </w:rPr>
              <w:t>浓度</w:t>
            </w:r>
            <w:r w:rsidRPr="00092862">
              <w:rPr>
                <w:color w:val="000000" w:themeColor="text1"/>
              </w:rPr>
              <w:t>2</w:t>
            </w:r>
          </w:p>
          <w:p w14:paraId="01401F84" w14:textId="77777777" w:rsidR="00450025" w:rsidRPr="00092862" w:rsidRDefault="00450025" w:rsidP="00C54C73">
            <w:pPr>
              <w:pStyle w:val="afffff8"/>
              <w:rPr>
                <w:color w:val="000000" w:themeColor="text1"/>
              </w:rPr>
            </w:pPr>
            <w:r w:rsidRPr="00092862">
              <w:rPr>
                <w:color w:val="000000" w:themeColor="text1"/>
              </w:rPr>
              <w:t>（</w:t>
            </w:r>
            <w:r w:rsidRPr="00092862">
              <w:rPr>
                <w:color w:val="000000" w:themeColor="text1"/>
              </w:rPr>
              <w:t>mg/m</w:t>
            </w:r>
            <w:r w:rsidRPr="00092862">
              <w:rPr>
                <w:color w:val="000000" w:themeColor="text1"/>
                <w:vertAlign w:val="superscript"/>
              </w:rPr>
              <w:t>3</w:t>
            </w:r>
            <w:r w:rsidRPr="00092862">
              <w:rPr>
                <w:color w:val="000000" w:themeColor="text1"/>
              </w:rPr>
              <w:t>）</w:t>
            </w:r>
          </w:p>
        </w:tc>
        <w:tc>
          <w:tcPr>
            <w:tcW w:w="873" w:type="pct"/>
            <w:vMerge w:val="restart"/>
            <w:vAlign w:val="center"/>
          </w:tcPr>
          <w:p w14:paraId="1405B0B8" w14:textId="77777777" w:rsidR="00450025" w:rsidRPr="00092862" w:rsidRDefault="00450025" w:rsidP="00C54C73">
            <w:pPr>
              <w:pStyle w:val="afffff8"/>
              <w:rPr>
                <w:color w:val="000000" w:themeColor="text1"/>
              </w:rPr>
            </w:pPr>
            <w:r w:rsidRPr="00092862">
              <w:rPr>
                <w:color w:val="000000" w:themeColor="text1"/>
              </w:rPr>
              <w:t>占标率（％）</w:t>
            </w:r>
          </w:p>
        </w:tc>
      </w:tr>
      <w:tr w:rsidR="00697429" w:rsidRPr="00092862" w14:paraId="49616C94" w14:textId="77777777" w:rsidTr="0098631F">
        <w:trPr>
          <w:trHeight w:val="270"/>
          <w:tblHeader/>
          <w:jc w:val="center"/>
        </w:trPr>
        <w:tc>
          <w:tcPr>
            <w:tcW w:w="316" w:type="pct"/>
            <w:vMerge/>
            <w:shd w:val="clear" w:color="auto" w:fill="auto"/>
            <w:vAlign w:val="center"/>
          </w:tcPr>
          <w:p w14:paraId="31AAA0C1" w14:textId="77777777" w:rsidR="00450025" w:rsidRPr="00092862" w:rsidRDefault="00450025" w:rsidP="00C54C73">
            <w:pPr>
              <w:pStyle w:val="afffff8"/>
              <w:rPr>
                <w:color w:val="000000" w:themeColor="text1"/>
              </w:rPr>
            </w:pPr>
          </w:p>
        </w:tc>
        <w:tc>
          <w:tcPr>
            <w:tcW w:w="665" w:type="pct"/>
            <w:vMerge/>
            <w:shd w:val="clear" w:color="auto" w:fill="auto"/>
            <w:vAlign w:val="center"/>
          </w:tcPr>
          <w:p w14:paraId="79E5CAC0" w14:textId="77777777" w:rsidR="00450025" w:rsidRPr="00092862" w:rsidRDefault="00450025" w:rsidP="00C54C73">
            <w:pPr>
              <w:pStyle w:val="afffff8"/>
              <w:rPr>
                <w:color w:val="000000" w:themeColor="text1"/>
              </w:rPr>
            </w:pPr>
          </w:p>
        </w:tc>
        <w:tc>
          <w:tcPr>
            <w:tcW w:w="363" w:type="pct"/>
            <w:shd w:val="clear" w:color="auto" w:fill="auto"/>
            <w:vAlign w:val="center"/>
          </w:tcPr>
          <w:p w14:paraId="7FA02241" w14:textId="77777777" w:rsidR="00450025" w:rsidRPr="00092862" w:rsidRDefault="00450025" w:rsidP="00C54C73">
            <w:pPr>
              <w:pStyle w:val="afffff8"/>
              <w:rPr>
                <w:color w:val="000000" w:themeColor="text1"/>
              </w:rPr>
            </w:pPr>
            <w:r w:rsidRPr="00092862">
              <w:rPr>
                <w:color w:val="000000" w:themeColor="text1"/>
              </w:rPr>
              <w:t>X</w:t>
            </w:r>
          </w:p>
        </w:tc>
        <w:tc>
          <w:tcPr>
            <w:tcW w:w="364" w:type="pct"/>
            <w:shd w:val="clear" w:color="auto" w:fill="auto"/>
            <w:vAlign w:val="center"/>
          </w:tcPr>
          <w:p w14:paraId="3D4F1737" w14:textId="77777777" w:rsidR="00450025" w:rsidRPr="00092862" w:rsidRDefault="00450025" w:rsidP="00C54C73">
            <w:pPr>
              <w:pStyle w:val="afffff8"/>
              <w:rPr>
                <w:color w:val="000000" w:themeColor="text1"/>
              </w:rPr>
            </w:pPr>
            <w:r w:rsidRPr="00092862">
              <w:rPr>
                <w:color w:val="000000" w:themeColor="text1"/>
              </w:rPr>
              <w:t>Y</w:t>
            </w:r>
          </w:p>
        </w:tc>
        <w:tc>
          <w:tcPr>
            <w:tcW w:w="1440" w:type="pct"/>
            <w:vMerge/>
            <w:shd w:val="clear" w:color="auto" w:fill="auto"/>
            <w:vAlign w:val="center"/>
          </w:tcPr>
          <w:p w14:paraId="1E3A7FB6" w14:textId="77777777" w:rsidR="00450025" w:rsidRPr="00092862" w:rsidRDefault="00450025" w:rsidP="00C54C73">
            <w:pPr>
              <w:pStyle w:val="afffff8"/>
              <w:rPr>
                <w:color w:val="000000" w:themeColor="text1"/>
              </w:rPr>
            </w:pPr>
          </w:p>
        </w:tc>
        <w:tc>
          <w:tcPr>
            <w:tcW w:w="979" w:type="pct"/>
            <w:vMerge/>
            <w:vAlign w:val="center"/>
          </w:tcPr>
          <w:p w14:paraId="45421DB8" w14:textId="77777777" w:rsidR="00450025" w:rsidRPr="00092862" w:rsidRDefault="00450025" w:rsidP="00C54C73">
            <w:pPr>
              <w:pStyle w:val="afffff8"/>
              <w:rPr>
                <w:color w:val="000000" w:themeColor="text1"/>
              </w:rPr>
            </w:pPr>
          </w:p>
        </w:tc>
        <w:tc>
          <w:tcPr>
            <w:tcW w:w="873" w:type="pct"/>
            <w:vMerge/>
            <w:vAlign w:val="center"/>
          </w:tcPr>
          <w:p w14:paraId="147AE2F4" w14:textId="77777777" w:rsidR="00450025" w:rsidRPr="00092862" w:rsidRDefault="00450025" w:rsidP="00C54C73">
            <w:pPr>
              <w:pStyle w:val="afffff8"/>
              <w:rPr>
                <w:color w:val="000000" w:themeColor="text1"/>
              </w:rPr>
            </w:pPr>
          </w:p>
        </w:tc>
      </w:tr>
      <w:tr w:rsidR="00697429" w:rsidRPr="00092862" w14:paraId="742D4403" w14:textId="77777777" w:rsidTr="0098631F">
        <w:trPr>
          <w:jc w:val="center"/>
        </w:trPr>
        <w:tc>
          <w:tcPr>
            <w:tcW w:w="316" w:type="pct"/>
            <w:vMerge w:val="restart"/>
            <w:shd w:val="clear" w:color="auto" w:fill="auto"/>
            <w:vAlign w:val="center"/>
          </w:tcPr>
          <w:p w14:paraId="398F3D9C" w14:textId="77777777" w:rsidR="0098631F" w:rsidRPr="00092862" w:rsidRDefault="0098631F" w:rsidP="0098631F">
            <w:pPr>
              <w:pStyle w:val="afffff8"/>
              <w:rPr>
                <w:color w:val="000000" w:themeColor="text1"/>
              </w:rPr>
            </w:pPr>
            <w:r w:rsidRPr="00092862">
              <w:rPr>
                <w:color w:val="000000" w:themeColor="text1"/>
              </w:rPr>
              <w:t>H</w:t>
            </w:r>
            <w:r w:rsidRPr="00092862">
              <w:rPr>
                <w:color w:val="000000" w:themeColor="text1"/>
                <w:vertAlign w:val="subscript"/>
              </w:rPr>
              <w:t>2</w:t>
            </w:r>
            <w:r w:rsidRPr="00092862">
              <w:rPr>
                <w:color w:val="000000" w:themeColor="text1"/>
              </w:rPr>
              <w:t>S</w:t>
            </w:r>
          </w:p>
        </w:tc>
        <w:tc>
          <w:tcPr>
            <w:tcW w:w="665" w:type="pct"/>
            <w:shd w:val="clear" w:color="auto" w:fill="auto"/>
            <w:vAlign w:val="center"/>
          </w:tcPr>
          <w:p w14:paraId="473B6D54" w14:textId="77777777" w:rsidR="0098631F" w:rsidRPr="00092862" w:rsidRDefault="0098631F" w:rsidP="0098631F">
            <w:pPr>
              <w:pStyle w:val="afffff8"/>
              <w:rPr>
                <w:color w:val="000000" w:themeColor="text1"/>
              </w:rPr>
            </w:pPr>
            <w:r w:rsidRPr="00092862">
              <w:rPr>
                <w:color w:val="000000" w:themeColor="text1"/>
              </w:rPr>
              <w:t>1#</w:t>
            </w:r>
            <w:r w:rsidRPr="00092862">
              <w:rPr>
                <w:color w:val="000000" w:themeColor="text1"/>
              </w:rPr>
              <w:t>敏感点</w:t>
            </w:r>
          </w:p>
        </w:tc>
        <w:tc>
          <w:tcPr>
            <w:tcW w:w="363" w:type="pct"/>
            <w:shd w:val="clear" w:color="auto" w:fill="auto"/>
            <w:vAlign w:val="center"/>
          </w:tcPr>
          <w:p w14:paraId="4DDDF952" w14:textId="38168647" w:rsidR="0098631F" w:rsidRPr="00092862" w:rsidRDefault="0098631F" w:rsidP="0098631F">
            <w:pPr>
              <w:pStyle w:val="afffff8"/>
              <w:rPr>
                <w:color w:val="000000" w:themeColor="text1"/>
              </w:rPr>
            </w:pPr>
            <w:r w:rsidRPr="00092862">
              <w:rPr>
                <w:color w:val="000000" w:themeColor="text1"/>
              </w:rPr>
              <w:t>-</w:t>
            </w:r>
            <w:r w:rsidR="005A569E" w:rsidRPr="00092862">
              <w:rPr>
                <w:color w:val="000000" w:themeColor="text1"/>
              </w:rPr>
              <w:t>312</w:t>
            </w:r>
          </w:p>
        </w:tc>
        <w:tc>
          <w:tcPr>
            <w:tcW w:w="364" w:type="pct"/>
            <w:shd w:val="clear" w:color="auto" w:fill="auto"/>
            <w:vAlign w:val="center"/>
          </w:tcPr>
          <w:p w14:paraId="57B29568" w14:textId="6C954D0D" w:rsidR="0098631F" w:rsidRPr="00092862" w:rsidRDefault="0098631F" w:rsidP="0098631F">
            <w:pPr>
              <w:pStyle w:val="afffff8"/>
              <w:rPr>
                <w:color w:val="000000" w:themeColor="text1"/>
              </w:rPr>
            </w:pPr>
            <w:r w:rsidRPr="00092862">
              <w:rPr>
                <w:color w:val="000000" w:themeColor="text1"/>
              </w:rPr>
              <w:t>0</w:t>
            </w:r>
          </w:p>
        </w:tc>
        <w:tc>
          <w:tcPr>
            <w:tcW w:w="1440" w:type="pct"/>
            <w:shd w:val="clear" w:color="auto" w:fill="auto"/>
            <w:vAlign w:val="center"/>
          </w:tcPr>
          <w:p w14:paraId="791A8FB8" w14:textId="26B47785" w:rsidR="0098631F" w:rsidRPr="00092862" w:rsidRDefault="005A569E" w:rsidP="0098631F">
            <w:pPr>
              <w:pStyle w:val="afffff8"/>
              <w:rPr>
                <w:color w:val="000000" w:themeColor="text1"/>
              </w:rPr>
            </w:pPr>
            <w:r w:rsidRPr="00092862">
              <w:rPr>
                <w:color w:val="000000" w:themeColor="text1"/>
              </w:rPr>
              <w:t>2.1038E+03</w:t>
            </w:r>
            <w:r w:rsidR="0098631F" w:rsidRPr="00092862">
              <w:rPr>
                <w:color w:val="000000" w:themeColor="text1"/>
              </w:rPr>
              <w:t>|</w:t>
            </w:r>
            <w:r w:rsidRPr="00092862">
              <w:rPr>
                <w:color w:val="000000" w:themeColor="text1"/>
              </w:rPr>
              <w:t>3.4444E+00</w:t>
            </w:r>
          </w:p>
        </w:tc>
        <w:tc>
          <w:tcPr>
            <w:tcW w:w="979" w:type="pct"/>
            <w:vAlign w:val="center"/>
          </w:tcPr>
          <w:p w14:paraId="0B0876FD" w14:textId="77777777" w:rsidR="0098631F" w:rsidRPr="00092862" w:rsidRDefault="0098631F" w:rsidP="0098631F">
            <w:pPr>
              <w:pStyle w:val="afffff8"/>
              <w:rPr>
                <w:color w:val="000000" w:themeColor="text1"/>
              </w:rPr>
            </w:pPr>
            <w:r w:rsidRPr="00092862">
              <w:rPr>
                <w:color w:val="000000" w:themeColor="text1"/>
              </w:rPr>
              <w:t>38</w:t>
            </w:r>
          </w:p>
        </w:tc>
        <w:tc>
          <w:tcPr>
            <w:tcW w:w="873" w:type="pct"/>
            <w:vAlign w:val="bottom"/>
          </w:tcPr>
          <w:p w14:paraId="5EC9862D" w14:textId="7BF9B5D5" w:rsidR="0098631F" w:rsidRPr="00092862" w:rsidRDefault="005A569E" w:rsidP="0098631F">
            <w:pPr>
              <w:pStyle w:val="afffff8"/>
              <w:rPr>
                <w:color w:val="000000" w:themeColor="text1"/>
              </w:rPr>
            </w:pPr>
            <w:r w:rsidRPr="00092862">
              <w:rPr>
                <w:color w:val="000000" w:themeColor="text1"/>
              </w:rPr>
              <w:t>5537</w:t>
            </w:r>
          </w:p>
        </w:tc>
      </w:tr>
      <w:tr w:rsidR="00697429" w:rsidRPr="00092862" w14:paraId="20FB20A2" w14:textId="77777777" w:rsidTr="0098631F">
        <w:trPr>
          <w:jc w:val="center"/>
        </w:trPr>
        <w:tc>
          <w:tcPr>
            <w:tcW w:w="316" w:type="pct"/>
            <w:vMerge/>
            <w:shd w:val="clear" w:color="auto" w:fill="auto"/>
            <w:vAlign w:val="center"/>
          </w:tcPr>
          <w:p w14:paraId="079714DD" w14:textId="77777777" w:rsidR="0098631F" w:rsidRPr="00092862" w:rsidRDefault="0098631F" w:rsidP="0098631F">
            <w:pPr>
              <w:pStyle w:val="afffff8"/>
              <w:rPr>
                <w:color w:val="000000" w:themeColor="text1"/>
              </w:rPr>
            </w:pPr>
          </w:p>
        </w:tc>
        <w:tc>
          <w:tcPr>
            <w:tcW w:w="665" w:type="pct"/>
            <w:shd w:val="clear" w:color="auto" w:fill="auto"/>
            <w:vAlign w:val="center"/>
          </w:tcPr>
          <w:p w14:paraId="4A0819CF" w14:textId="77777777" w:rsidR="0098631F" w:rsidRPr="00092862" w:rsidRDefault="0098631F" w:rsidP="0098631F">
            <w:pPr>
              <w:pStyle w:val="afffff8"/>
              <w:rPr>
                <w:color w:val="000000" w:themeColor="text1"/>
              </w:rPr>
            </w:pPr>
            <w:r w:rsidRPr="00092862">
              <w:rPr>
                <w:color w:val="000000" w:themeColor="text1"/>
              </w:rPr>
              <w:t>2#</w:t>
            </w:r>
            <w:r w:rsidRPr="00092862">
              <w:rPr>
                <w:color w:val="000000" w:themeColor="text1"/>
              </w:rPr>
              <w:t>敏感点</w:t>
            </w:r>
          </w:p>
        </w:tc>
        <w:tc>
          <w:tcPr>
            <w:tcW w:w="363" w:type="pct"/>
            <w:shd w:val="clear" w:color="auto" w:fill="auto"/>
            <w:vAlign w:val="center"/>
          </w:tcPr>
          <w:p w14:paraId="33D2E487" w14:textId="36B9ED6D" w:rsidR="0098631F" w:rsidRPr="00092862" w:rsidRDefault="0098631F" w:rsidP="0098631F">
            <w:pPr>
              <w:pStyle w:val="afffff8"/>
              <w:rPr>
                <w:color w:val="000000" w:themeColor="text1"/>
              </w:rPr>
            </w:pPr>
            <w:r w:rsidRPr="00092862">
              <w:rPr>
                <w:color w:val="000000" w:themeColor="text1"/>
              </w:rPr>
              <w:t>331</w:t>
            </w:r>
          </w:p>
        </w:tc>
        <w:tc>
          <w:tcPr>
            <w:tcW w:w="364" w:type="pct"/>
            <w:shd w:val="clear" w:color="auto" w:fill="auto"/>
            <w:vAlign w:val="center"/>
          </w:tcPr>
          <w:p w14:paraId="3C95F013" w14:textId="15D63243" w:rsidR="0098631F" w:rsidRPr="00092862" w:rsidRDefault="0098631F" w:rsidP="0098631F">
            <w:pPr>
              <w:pStyle w:val="afffff8"/>
              <w:rPr>
                <w:color w:val="000000" w:themeColor="text1"/>
              </w:rPr>
            </w:pPr>
            <w:r w:rsidRPr="00092862">
              <w:rPr>
                <w:color w:val="000000" w:themeColor="text1"/>
              </w:rPr>
              <w:t>668</w:t>
            </w:r>
          </w:p>
        </w:tc>
        <w:tc>
          <w:tcPr>
            <w:tcW w:w="1440" w:type="pct"/>
            <w:shd w:val="clear" w:color="auto" w:fill="auto"/>
            <w:vAlign w:val="center"/>
          </w:tcPr>
          <w:p w14:paraId="5F27EB5B" w14:textId="528CBB49" w:rsidR="0098631F" w:rsidRPr="00092862" w:rsidRDefault="005A569E" w:rsidP="0098631F">
            <w:pPr>
              <w:pStyle w:val="afffff8"/>
              <w:rPr>
                <w:color w:val="000000" w:themeColor="text1"/>
              </w:rPr>
            </w:pPr>
            <w:r w:rsidRPr="00092862">
              <w:rPr>
                <w:color w:val="000000" w:themeColor="text1"/>
              </w:rPr>
              <w:t>4.9634E+02</w:t>
            </w:r>
            <w:r w:rsidR="0098631F" w:rsidRPr="00092862">
              <w:rPr>
                <w:color w:val="000000" w:themeColor="text1"/>
              </w:rPr>
              <w:t>|</w:t>
            </w:r>
            <w:r w:rsidRPr="00092862">
              <w:rPr>
                <w:color w:val="000000" w:themeColor="text1"/>
              </w:rPr>
              <w:t>8.6667E+00</w:t>
            </w:r>
          </w:p>
        </w:tc>
        <w:tc>
          <w:tcPr>
            <w:tcW w:w="979" w:type="pct"/>
            <w:vAlign w:val="center"/>
          </w:tcPr>
          <w:p w14:paraId="197CF5D3" w14:textId="77777777" w:rsidR="0098631F" w:rsidRPr="00092862" w:rsidRDefault="0098631F" w:rsidP="0098631F">
            <w:pPr>
              <w:pStyle w:val="afffff8"/>
              <w:rPr>
                <w:color w:val="000000" w:themeColor="text1"/>
              </w:rPr>
            </w:pPr>
            <w:r w:rsidRPr="00092862">
              <w:rPr>
                <w:color w:val="000000" w:themeColor="text1"/>
              </w:rPr>
              <w:t>38</w:t>
            </w:r>
          </w:p>
        </w:tc>
        <w:tc>
          <w:tcPr>
            <w:tcW w:w="873" w:type="pct"/>
            <w:vAlign w:val="bottom"/>
          </w:tcPr>
          <w:p w14:paraId="69EF6B7A" w14:textId="35C1B62C" w:rsidR="0098631F" w:rsidRPr="00092862" w:rsidRDefault="005A569E" w:rsidP="0098631F">
            <w:pPr>
              <w:pStyle w:val="afffff8"/>
              <w:rPr>
                <w:color w:val="000000" w:themeColor="text1"/>
              </w:rPr>
            </w:pPr>
            <w:r w:rsidRPr="00092862">
              <w:rPr>
                <w:color w:val="000000" w:themeColor="text1"/>
              </w:rPr>
              <w:t>1305</w:t>
            </w:r>
          </w:p>
        </w:tc>
      </w:tr>
      <w:tr w:rsidR="00697429" w:rsidRPr="00092862" w14:paraId="2817EE15" w14:textId="77777777" w:rsidTr="0098631F">
        <w:trPr>
          <w:jc w:val="center"/>
        </w:trPr>
        <w:tc>
          <w:tcPr>
            <w:tcW w:w="316" w:type="pct"/>
            <w:vMerge/>
            <w:shd w:val="clear" w:color="auto" w:fill="auto"/>
            <w:vAlign w:val="center"/>
          </w:tcPr>
          <w:p w14:paraId="5D1F9D40" w14:textId="77777777" w:rsidR="0098631F" w:rsidRPr="00092862" w:rsidRDefault="0098631F" w:rsidP="0098631F">
            <w:pPr>
              <w:pStyle w:val="afffff8"/>
              <w:rPr>
                <w:color w:val="000000" w:themeColor="text1"/>
              </w:rPr>
            </w:pPr>
          </w:p>
        </w:tc>
        <w:tc>
          <w:tcPr>
            <w:tcW w:w="665" w:type="pct"/>
            <w:shd w:val="clear" w:color="auto" w:fill="auto"/>
            <w:vAlign w:val="center"/>
          </w:tcPr>
          <w:p w14:paraId="20E07525" w14:textId="77777777" w:rsidR="0098631F" w:rsidRPr="00092862" w:rsidRDefault="0098631F" w:rsidP="0098631F">
            <w:pPr>
              <w:pStyle w:val="afffff8"/>
              <w:rPr>
                <w:color w:val="000000" w:themeColor="text1"/>
              </w:rPr>
            </w:pPr>
            <w:r w:rsidRPr="00092862">
              <w:rPr>
                <w:color w:val="000000" w:themeColor="text1"/>
              </w:rPr>
              <w:t>3#</w:t>
            </w:r>
            <w:r w:rsidRPr="00092862">
              <w:rPr>
                <w:color w:val="000000" w:themeColor="text1"/>
              </w:rPr>
              <w:t>敏感点</w:t>
            </w:r>
          </w:p>
        </w:tc>
        <w:tc>
          <w:tcPr>
            <w:tcW w:w="363" w:type="pct"/>
            <w:shd w:val="clear" w:color="auto" w:fill="auto"/>
            <w:vAlign w:val="center"/>
          </w:tcPr>
          <w:p w14:paraId="5DFADE90" w14:textId="5552E8A4" w:rsidR="0098631F" w:rsidRPr="00092862" w:rsidRDefault="0098631F" w:rsidP="0098631F">
            <w:pPr>
              <w:pStyle w:val="afffff8"/>
              <w:rPr>
                <w:color w:val="000000" w:themeColor="text1"/>
              </w:rPr>
            </w:pPr>
            <w:r w:rsidRPr="00092862">
              <w:rPr>
                <w:color w:val="000000" w:themeColor="text1"/>
              </w:rPr>
              <w:t>3620</w:t>
            </w:r>
          </w:p>
        </w:tc>
        <w:tc>
          <w:tcPr>
            <w:tcW w:w="364" w:type="pct"/>
            <w:shd w:val="clear" w:color="auto" w:fill="auto"/>
            <w:vAlign w:val="center"/>
          </w:tcPr>
          <w:p w14:paraId="7C391725" w14:textId="68B3AD2C" w:rsidR="0098631F" w:rsidRPr="00092862" w:rsidRDefault="0098631F" w:rsidP="0098631F">
            <w:pPr>
              <w:pStyle w:val="afffff8"/>
              <w:rPr>
                <w:color w:val="000000" w:themeColor="text1"/>
              </w:rPr>
            </w:pPr>
            <w:r w:rsidRPr="00092862">
              <w:rPr>
                <w:color w:val="000000" w:themeColor="text1"/>
              </w:rPr>
              <w:t>1666</w:t>
            </w:r>
          </w:p>
        </w:tc>
        <w:tc>
          <w:tcPr>
            <w:tcW w:w="1440" w:type="pct"/>
            <w:shd w:val="clear" w:color="auto" w:fill="auto"/>
            <w:vAlign w:val="center"/>
          </w:tcPr>
          <w:p w14:paraId="3539E8AB" w14:textId="7F176A40" w:rsidR="0098631F" w:rsidRPr="00092862" w:rsidRDefault="00856B7A" w:rsidP="0098631F">
            <w:pPr>
              <w:pStyle w:val="afffff8"/>
              <w:rPr>
                <w:color w:val="000000" w:themeColor="text1"/>
              </w:rPr>
            </w:pPr>
            <w:r w:rsidRPr="00092862">
              <w:rPr>
                <w:color w:val="000000" w:themeColor="text1"/>
              </w:rPr>
              <w:t>4.5672E+01</w:t>
            </w:r>
            <w:r w:rsidR="0098631F" w:rsidRPr="00092862">
              <w:rPr>
                <w:color w:val="000000" w:themeColor="text1"/>
              </w:rPr>
              <w:t>|</w:t>
            </w:r>
            <w:r w:rsidRPr="00092862">
              <w:rPr>
                <w:color w:val="000000" w:themeColor="text1"/>
              </w:rPr>
              <w:t>5.2103E+01</w:t>
            </w:r>
          </w:p>
        </w:tc>
        <w:tc>
          <w:tcPr>
            <w:tcW w:w="979" w:type="pct"/>
            <w:vAlign w:val="center"/>
          </w:tcPr>
          <w:p w14:paraId="099FB646" w14:textId="77777777" w:rsidR="0098631F" w:rsidRPr="00092862" w:rsidRDefault="0098631F" w:rsidP="0098631F">
            <w:pPr>
              <w:pStyle w:val="afffff8"/>
              <w:rPr>
                <w:color w:val="000000" w:themeColor="text1"/>
              </w:rPr>
            </w:pPr>
            <w:r w:rsidRPr="00092862">
              <w:rPr>
                <w:color w:val="000000" w:themeColor="text1"/>
              </w:rPr>
              <w:t>38</w:t>
            </w:r>
          </w:p>
        </w:tc>
        <w:tc>
          <w:tcPr>
            <w:tcW w:w="873" w:type="pct"/>
            <w:vAlign w:val="bottom"/>
          </w:tcPr>
          <w:p w14:paraId="4F206037" w14:textId="18BA26C7" w:rsidR="0098631F" w:rsidRPr="00092862" w:rsidRDefault="005A569E" w:rsidP="0098631F">
            <w:pPr>
              <w:pStyle w:val="afffff8"/>
              <w:rPr>
                <w:color w:val="000000" w:themeColor="text1"/>
              </w:rPr>
            </w:pPr>
            <w:r w:rsidRPr="00092862">
              <w:rPr>
                <w:color w:val="000000" w:themeColor="text1"/>
              </w:rPr>
              <w:t>120</w:t>
            </w:r>
          </w:p>
        </w:tc>
      </w:tr>
      <w:tr w:rsidR="00697429" w:rsidRPr="00092862" w14:paraId="09904C08" w14:textId="77777777" w:rsidTr="0098631F">
        <w:trPr>
          <w:jc w:val="center"/>
        </w:trPr>
        <w:tc>
          <w:tcPr>
            <w:tcW w:w="316" w:type="pct"/>
            <w:vMerge/>
            <w:shd w:val="clear" w:color="auto" w:fill="auto"/>
            <w:vAlign w:val="center"/>
          </w:tcPr>
          <w:p w14:paraId="391555C6" w14:textId="77777777" w:rsidR="0098631F" w:rsidRPr="00092862" w:rsidRDefault="0098631F" w:rsidP="0098631F">
            <w:pPr>
              <w:pStyle w:val="afffff8"/>
              <w:rPr>
                <w:color w:val="000000" w:themeColor="text1"/>
              </w:rPr>
            </w:pPr>
          </w:p>
        </w:tc>
        <w:tc>
          <w:tcPr>
            <w:tcW w:w="665" w:type="pct"/>
            <w:shd w:val="clear" w:color="auto" w:fill="auto"/>
            <w:vAlign w:val="center"/>
          </w:tcPr>
          <w:p w14:paraId="028864F9" w14:textId="77777777" w:rsidR="0098631F" w:rsidRPr="00092862" w:rsidRDefault="0098631F" w:rsidP="0098631F">
            <w:pPr>
              <w:pStyle w:val="afffff8"/>
              <w:rPr>
                <w:color w:val="000000" w:themeColor="text1"/>
              </w:rPr>
            </w:pPr>
            <w:r w:rsidRPr="00092862">
              <w:rPr>
                <w:color w:val="000000" w:themeColor="text1"/>
              </w:rPr>
              <w:t>4#</w:t>
            </w:r>
            <w:r w:rsidRPr="00092862">
              <w:rPr>
                <w:color w:val="000000" w:themeColor="text1"/>
              </w:rPr>
              <w:t>敏感点</w:t>
            </w:r>
          </w:p>
        </w:tc>
        <w:tc>
          <w:tcPr>
            <w:tcW w:w="363" w:type="pct"/>
            <w:shd w:val="clear" w:color="auto" w:fill="auto"/>
            <w:vAlign w:val="center"/>
          </w:tcPr>
          <w:p w14:paraId="45966858" w14:textId="500769C5" w:rsidR="0098631F" w:rsidRPr="00092862" w:rsidRDefault="0098631F" w:rsidP="0098631F">
            <w:pPr>
              <w:pStyle w:val="afffff8"/>
              <w:rPr>
                <w:color w:val="000000" w:themeColor="text1"/>
              </w:rPr>
            </w:pPr>
            <w:r w:rsidRPr="00092862">
              <w:rPr>
                <w:color w:val="000000" w:themeColor="text1"/>
              </w:rPr>
              <w:t>1890</w:t>
            </w:r>
          </w:p>
        </w:tc>
        <w:tc>
          <w:tcPr>
            <w:tcW w:w="364" w:type="pct"/>
            <w:shd w:val="clear" w:color="auto" w:fill="auto"/>
            <w:vAlign w:val="center"/>
          </w:tcPr>
          <w:p w14:paraId="362DC12D" w14:textId="47717CEA" w:rsidR="0098631F" w:rsidRPr="00092862" w:rsidRDefault="0098631F" w:rsidP="0098631F">
            <w:pPr>
              <w:pStyle w:val="afffff8"/>
              <w:rPr>
                <w:color w:val="000000" w:themeColor="text1"/>
              </w:rPr>
            </w:pPr>
            <w:r w:rsidRPr="00092862">
              <w:rPr>
                <w:color w:val="000000" w:themeColor="text1"/>
              </w:rPr>
              <w:t>0</w:t>
            </w:r>
          </w:p>
        </w:tc>
        <w:tc>
          <w:tcPr>
            <w:tcW w:w="1440" w:type="pct"/>
            <w:shd w:val="clear" w:color="auto" w:fill="auto"/>
            <w:vAlign w:val="center"/>
          </w:tcPr>
          <w:p w14:paraId="1458B796" w14:textId="150D4C31" w:rsidR="0098631F" w:rsidRPr="00092862" w:rsidRDefault="00856B7A" w:rsidP="0098631F">
            <w:pPr>
              <w:pStyle w:val="afffff8"/>
              <w:rPr>
                <w:color w:val="000000" w:themeColor="text1"/>
              </w:rPr>
            </w:pPr>
            <w:r w:rsidRPr="00092862">
              <w:rPr>
                <w:color w:val="000000" w:themeColor="text1"/>
              </w:rPr>
              <w:t>1.2638E+02</w:t>
            </w:r>
            <w:r w:rsidR="0098631F" w:rsidRPr="00092862">
              <w:rPr>
                <w:color w:val="000000" w:themeColor="text1"/>
              </w:rPr>
              <w:t>|</w:t>
            </w:r>
            <w:r w:rsidRPr="00092862">
              <w:rPr>
                <w:color w:val="000000" w:themeColor="text1"/>
              </w:rPr>
              <w:t>2.6000E+01</w:t>
            </w:r>
          </w:p>
        </w:tc>
        <w:tc>
          <w:tcPr>
            <w:tcW w:w="979" w:type="pct"/>
            <w:vAlign w:val="center"/>
          </w:tcPr>
          <w:p w14:paraId="2A87BFF9" w14:textId="77777777" w:rsidR="0098631F" w:rsidRPr="00092862" w:rsidRDefault="0098631F" w:rsidP="0098631F">
            <w:pPr>
              <w:pStyle w:val="afffff8"/>
              <w:rPr>
                <w:color w:val="000000" w:themeColor="text1"/>
              </w:rPr>
            </w:pPr>
            <w:r w:rsidRPr="00092862">
              <w:rPr>
                <w:color w:val="000000" w:themeColor="text1"/>
              </w:rPr>
              <w:t>38</w:t>
            </w:r>
          </w:p>
        </w:tc>
        <w:tc>
          <w:tcPr>
            <w:tcW w:w="873" w:type="pct"/>
            <w:vAlign w:val="bottom"/>
          </w:tcPr>
          <w:p w14:paraId="34DC7C10" w14:textId="49FCA776" w:rsidR="0098631F" w:rsidRPr="00092862" w:rsidRDefault="005A569E" w:rsidP="0098631F">
            <w:pPr>
              <w:pStyle w:val="afffff8"/>
              <w:rPr>
                <w:color w:val="000000" w:themeColor="text1"/>
              </w:rPr>
            </w:pPr>
            <w:r w:rsidRPr="00092862">
              <w:rPr>
                <w:color w:val="000000" w:themeColor="text1"/>
              </w:rPr>
              <w:t>332</w:t>
            </w:r>
          </w:p>
        </w:tc>
      </w:tr>
      <w:tr w:rsidR="00697429" w:rsidRPr="00092862" w14:paraId="5B89CBC1" w14:textId="77777777" w:rsidTr="0098631F">
        <w:trPr>
          <w:jc w:val="center"/>
        </w:trPr>
        <w:tc>
          <w:tcPr>
            <w:tcW w:w="316" w:type="pct"/>
            <w:vMerge/>
            <w:shd w:val="clear" w:color="auto" w:fill="auto"/>
            <w:vAlign w:val="center"/>
          </w:tcPr>
          <w:p w14:paraId="7FC176B1" w14:textId="77777777" w:rsidR="0098631F" w:rsidRPr="00092862" w:rsidRDefault="0098631F" w:rsidP="0098631F">
            <w:pPr>
              <w:pStyle w:val="afffff8"/>
              <w:rPr>
                <w:color w:val="000000" w:themeColor="text1"/>
              </w:rPr>
            </w:pPr>
          </w:p>
        </w:tc>
        <w:tc>
          <w:tcPr>
            <w:tcW w:w="665" w:type="pct"/>
            <w:shd w:val="clear" w:color="auto" w:fill="auto"/>
            <w:vAlign w:val="center"/>
          </w:tcPr>
          <w:p w14:paraId="3BF34F73" w14:textId="77777777" w:rsidR="0098631F" w:rsidRPr="00092862" w:rsidRDefault="0098631F" w:rsidP="0098631F">
            <w:pPr>
              <w:pStyle w:val="afffff8"/>
              <w:rPr>
                <w:color w:val="000000" w:themeColor="text1"/>
              </w:rPr>
            </w:pPr>
            <w:r w:rsidRPr="00092862">
              <w:rPr>
                <w:color w:val="000000" w:themeColor="text1"/>
              </w:rPr>
              <w:t>5#</w:t>
            </w:r>
            <w:r w:rsidRPr="00092862">
              <w:rPr>
                <w:color w:val="000000" w:themeColor="text1"/>
              </w:rPr>
              <w:t>敏感点</w:t>
            </w:r>
          </w:p>
        </w:tc>
        <w:tc>
          <w:tcPr>
            <w:tcW w:w="363" w:type="pct"/>
            <w:shd w:val="clear" w:color="auto" w:fill="auto"/>
            <w:vAlign w:val="center"/>
          </w:tcPr>
          <w:p w14:paraId="003BBF08" w14:textId="67D1E862" w:rsidR="0098631F" w:rsidRPr="00092862" w:rsidRDefault="0098631F" w:rsidP="0098631F">
            <w:pPr>
              <w:pStyle w:val="afffff8"/>
              <w:rPr>
                <w:color w:val="000000" w:themeColor="text1"/>
              </w:rPr>
            </w:pPr>
            <w:r w:rsidRPr="00092862">
              <w:rPr>
                <w:color w:val="000000" w:themeColor="text1"/>
              </w:rPr>
              <w:t>711</w:t>
            </w:r>
          </w:p>
        </w:tc>
        <w:tc>
          <w:tcPr>
            <w:tcW w:w="364" w:type="pct"/>
            <w:shd w:val="clear" w:color="auto" w:fill="auto"/>
            <w:vAlign w:val="center"/>
          </w:tcPr>
          <w:p w14:paraId="0F1C37A1" w14:textId="7ACCED76" w:rsidR="0098631F" w:rsidRPr="00092862" w:rsidRDefault="0098631F" w:rsidP="0098631F">
            <w:pPr>
              <w:pStyle w:val="afffff8"/>
              <w:rPr>
                <w:color w:val="000000" w:themeColor="text1"/>
              </w:rPr>
            </w:pPr>
            <w:r w:rsidRPr="00092862">
              <w:rPr>
                <w:color w:val="000000" w:themeColor="text1"/>
              </w:rPr>
              <w:t>-1280</w:t>
            </w:r>
          </w:p>
        </w:tc>
        <w:tc>
          <w:tcPr>
            <w:tcW w:w="1440" w:type="pct"/>
            <w:shd w:val="clear" w:color="auto" w:fill="auto"/>
            <w:vAlign w:val="center"/>
          </w:tcPr>
          <w:p w14:paraId="488EC4ED" w14:textId="1680D080" w:rsidR="0098631F" w:rsidRPr="00092862" w:rsidRDefault="00856B7A" w:rsidP="0098631F">
            <w:pPr>
              <w:pStyle w:val="afffff8"/>
              <w:rPr>
                <w:color w:val="000000" w:themeColor="text1"/>
              </w:rPr>
            </w:pPr>
            <w:r w:rsidRPr="00092862">
              <w:rPr>
                <w:color w:val="000000" w:themeColor="text1"/>
              </w:rPr>
              <w:t>1.6868E+02</w:t>
            </w:r>
            <w:r w:rsidR="0098631F" w:rsidRPr="00092862">
              <w:rPr>
                <w:color w:val="000000" w:themeColor="text1"/>
              </w:rPr>
              <w:t>|</w:t>
            </w:r>
            <w:r w:rsidRPr="00092862">
              <w:rPr>
                <w:color w:val="000000" w:themeColor="text1"/>
              </w:rPr>
              <w:t>2.0889E+01</w:t>
            </w:r>
          </w:p>
        </w:tc>
        <w:tc>
          <w:tcPr>
            <w:tcW w:w="979" w:type="pct"/>
            <w:vAlign w:val="center"/>
          </w:tcPr>
          <w:p w14:paraId="28258B1A" w14:textId="77777777" w:rsidR="0098631F" w:rsidRPr="00092862" w:rsidRDefault="0098631F" w:rsidP="0098631F">
            <w:pPr>
              <w:pStyle w:val="afffff8"/>
              <w:rPr>
                <w:color w:val="000000" w:themeColor="text1"/>
              </w:rPr>
            </w:pPr>
            <w:r w:rsidRPr="00092862">
              <w:rPr>
                <w:color w:val="000000" w:themeColor="text1"/>
              </w:rPr>
              <w:t>38</w:t>
            </w:r>
          </w:p>
        </w:tc>
        <w:tc>
          <w:tcPr>
            <w:tcW w:w="873" w:type="pct"/>
            <w:vAlign w:val="bottom"/>
          </w:tcPr>
          <w:p w14:paraId="435629AE" w14:textId="0FFCFA1B" w:rsidR="0098631F" w:rsidRPr="00092862" w:rsidRDefault="005A569E" w:rsidP="0098631F">
            <w:pPr>
              <w:pStyle w:val="afffff8"/>
              <w:rPr>
                <w:color w:val="000000" w:themeColor="text1"/>
              </w:rPr>
            </w:pPr>
            <w:r w:rsidRPr="00092862">
              <w:rPr>
                <w:color w:val="000000" w:themeColor="text1"/>
              </w:rPr>
              <w:t>444</w:t>
            </w:r>
          </w:p>
        </w:tc>
      </w:tr>
      <w:tr w:rsidR="00697429" w:rsidRPr="00092862" w14:paraId="6748BFC8" w14:textId="77777777" w:rsidTr="0098631F">
        <w:trPr>
          <w:jc w:val="center"/>
        </w:trPr>
        <w:tc>
          <w:tcPr>
            <w:tcW w:w="316" w:type="pct"/>
            <w:vMerge/>
            <w:shd w:val="clear" w:color="auto" w:fill="auto"/>
            <w:vAlign w:val="center"/>
          </w:tcPr>
          <w:p w14:paraId="505A9942" w14:textId="77777777" w:rsidR="0098631F" w:rsidRPr="00092862" w:rsidRDefault="0098631F" w:rsidP="0098631F">
            <w:pPr>
              <w:pStyle w:val="afffff8"/>
              <w:rPr>
                <w:color w:val="000000" w:themeColor="text1"/>
              </w:rPr>
            </w:pPr>
          </w:p>
        </w:tc>
        <w:tc>
          <w:tcPr>
            <w:tcW w:w="665" w:type="pct"/>
            <w:shd w:val="clear" w:color="auto" w:fill="auto"/>
            <w:vAlign w:val="center"/>
          </w:tcPr>
          <w:p w14:paraId="3EB65344" w14:textId="77777777" w:rsidR="0098631F" w:rsidRPr="00092862" w:rsidRDefault="0098631F" w:rsidP="0098631F">
            <w:pPr>
              <w:pStyle w:val="afffff8"/>
              <w:rPr>
                <w:color w:val="000000" w:themeColor="text1"/>
              </w:rPr>
            </w:pPr>
            <w:r w:rsidRPr="00092862">
              <w:rPr>
                <w:color w:val="000000" w:themeColor="text1"/>
              </w:rPr>
              <w:t>6#</w:t>
            </w:r>
            <w:r w:rsidRPr="00092862">
              <w:rPr>
                <w:color w:val="000000" w:themeColor="text1"/>
              </w:rPr>
              <w:t>敏感点</w:t>
            </w:r>
          </w:p>
        </w:tc>
        <w:tc>
          <w:tcPr>
            <w:tcW w:w="363" w:type="pct"/>
            <w:shd w:val="clear" w:color="auto" w:fill="auto"/>
            <w:vAlign w:val="center"/>
          </w:tcPr>
          <w:p w14:paraId="73A52CD2" w14:textId="22BEBD5B" w:rsidR="0098631F" w:rsidRPr="00092862" w:rsidRDefault="0098631F" w:rsidP="0098631F">
            <w:pPr>
              <w:pStyle w:val="afffff8"/>
              <w:rPr>
                <w:color w:val="000000" w:themeColor="text1"/>
              </w:rPr>
            </w:pPr>
            <w:r w:rsidRPr="00092862">
              <w:rPr>
                <w:color w:val="000000" w:themeColor="text1"/>
              </w:rPr>
              <w:t>2500</w:t>
            </w:r>
          </w:p>
        </w:tc>
        <w:tc>
          <w:tcPr>
            <w:tcW w:w="364" w:type="pct"/>
            <w:shd w:val="clear" w:color="auto" w:fill="auto"/>
            <w:vAlign w:val="center"/>
          </w:tcPr>
          <w:p w14:paraId="22B55B51" w14:textId="0A731EB5" w:rsidR="0098631F" w:rsidRPr="00092862" w:rsidRDefault="0098631F" w:rsidP="0098631F">
            <w:pPr>
              <w:pStyle w:val="afffff8"/>
              <w:rPr>
                <w:color w:val="000000" w:themeColor="text1"/>
              </w:rPr>
            </w:pPr>
            <w:r w:rsidRPr="00092862">
              <w:rPr>
                <w:color w:val="000000" w:themeColor="text1"/>
              </w:rPr>
              <w:t>-2250</w:t>
            </w:r>
          </w:p>
        </w:tc>
        <w:tc>
          <w:tcPr>
            <w:tcW w:w="1440" w:type="pct"/>
            <w:shd w:val="clear" w:color="auto" w:fill="auto"/>
            <w:vAlign w:val="center"/>
          </w:tcPr>
          <w:p w14:paraId="227D02FA" w14:textId="0D8C24E5" w:rsidR="0098631F" w:rsidRPr="00092862" w:rsidRDefault="00856B7A" w:rsidP="0098631F">
            <w:pPr>
              <w:pStyle w:val="afffff8"/>
              <w:rPr>
                <w:color w:val="000000" w:themeColor="text1"/>
              </w:rPr>
            </w:pPr>
            <w:r w:rsidRPr="00092862">
              <w:rPr>
                <w:color w:val="000000" w:themeColor="text1"/>
              </w:rPr>
              <w:t>5.6799E+01|4.6333E+01</w:t>
            </w:r>
          </w:p>
        </w:tc>
        <w:tc>
          <w:tcPr>
            <w:tcW w:w="979" w:type="pct"/>
            <w:vAlign w:val="center"/>
          </w:tcPr>
          <w:p w14:paraId="30E7EE6A" w14:textId="77777777" w:rsidR="0098631F" w:rsidRPr="00092862" w:rsidRDefault="0098631F" w:rsidP="0098631F">
            <w:pPr>
              <w:pStyle w:val="afffff8"/>
              <w:rPr>
                <w:color w:val="000000" w:themeColor="text1"/>
              </w:rPr>
            </w:pPr>
            <w:r w:rsidRPr="00092862">
              <w:rPr>
                <w:color w:val="000000" w:themeColor="text1"/>
              </w:rPr>
              <w:t>38</w:t>
            </w:r>
          </w:p>
        </w:tc>
        <w:tc>
          <w:tcPr>
            <w:tcW w:w="873" w:type="pct"/>
            <w:vAlign w:val="bottom"/>
          </w:tcPr>
          <w:p w14:paraId="4CB217D2" w14:textId="53ADD59A" w:rsidR="0098631F" w:rsidRPr="00092862" w:rsidRDefault="005A569E" w:rsidP="0098631F">
            <w:pPr>
              <w:pStyle w:val="afffff8"/>
              <w:rPr>
                <w:color w:val="000000" w:themeColor="text1"/>
              </w:rPr>
            </w:pPr>
            <w:r w:rsidRPr="00092862">
              <w:rPr>
                <w:color w:val="000000" w:themeColor="text1"/>
              </w:rPr>
              <w:t>149</w:t>
            </w:r>
          </w:p>
        </w:tc>
      </w:tr>
      <w:tr w:rsidR="00697429" w:rsidRPr="00092862" w14:paraId="15BAF18B" w14:textId="77777777" w:rsidTr="00E1132F">
        <w:trPr>
          <w:jc w:val="center"/>
        </w:trPr>
        <w:tc>
          <w:tcPr>
            <w:tcW w:w="316" w:type="pct"/>
            <w:vMerge/>
            <w:shd w:val="clear" w:color="auto" w:fill="auto"/>
            <w:vAlign w:val="center"/>
          </w:tcPr>
          <w:p w14:paraId="6CF25C75" w14:textId="77777777" w:rsidR="00856B7A" w:rsidRPr="00092862" w:rsidRDefault="00856B7A" w:rsidP="00856B7A">
            <w:pPr>
              <w:pStyle w:val="afffff8"/>
              <w:rPr>
                <w:color w:val="000000" w:themeColor="text1"/>
              </w:rPr>
            </w:pPr>
          </w:p>
        </w:tc>
        <w:tc>
          <w:tcPr>
            <w:tcW w:w="665" w:type="pct"/>
            <w:shd w:val="clear" w:color="auto" w:fill="auto"/>
            <w:vAlign w:val="center"/>
          </w:tcPr>
          <w:p w14:paraId="28D1D790" w14:textId="77777777" w:rsidR="00856B7A" w:rsidRPr="00092862" w:rsidRDefault="00856B7A" w:rsidP="00856B7A">
            <w:pPr>
              <w:pStyle w:val="afffff8"/>
              <w:rPr>
                <w:color w:val="000000" w:themeColor="text1"/>
              </w:rPr>
            </w:pPr>
            <w:r w:rsidRPr="00092862">
              <w:rPr>
                <w:color w:val="000000" w:themeColor="text1"/>
              </w:rPr>
              <w:t>7#</w:t>
            </w:r>
            <w:r w:rsidRPr="00092862">
              <w:rPr>
                <w:color w:val="000000" w:themeColor="text1"/>
              </w:rPr>
              <w:t>敏感点</w:t>
            </w:r>
          </w:p>
        </w:tc>
        <w:tc>
          <w:tcPr>
            <w:tcW w:w="363" w:type="pct"/>
            <w:shd w:val="clear" w:color="auto" w:fill="auto"/>
            <w:vAlign w:val="center"/>
          </w:tcPr>
          <w:p w14:paraId="154767E3" w14:textId="7D6DC6A3" w:rsidR="00856B7A" w:rsidRPr="00092862" w:rsidRDefault="00856B7A" w:rsidP="00856B7A">
            <w:pPr>
              <w:pStyle w:val="afffff8"/>
              <w:rPr>
                <w:color w:val="000000" w:themeColor="text1"/>
              </w:rPr>
            </w:pPr>
            <w:r w:rsidRPr="00092862">
              <w:rPr>
                <w:color w:val="000000" w:themeColor="text1"/>
              </w:rPr>
              <w:t>790</w:t>
            </w:r>
          </w:p>
        </w:tc>
        <w:tc>
          <w:tcPr>
            <w:tcW w:w="364" w:type="pct"/>
            <w:shd w:val="clear" w:color="auto" w:fill="auto"/>
            <w:vAlign w:val="center"/>
          </w:tcPr>
          <w:p w14:paraId="6F692842" w14:textId="776A66F4" w:rsidR="00856B7A" w:rsidRPr="00092862" w:rsidRDefault="00856B7A" w:rsidP="00856B7A">
            <w:pPr>
              <w:pStyle w:val="afffff8"/>
              <w:rPr>
                <w:color w:val="000000" w:themeColor="text1"/>
              </w:rPr>
            </w:pPr>
            <w:r w:rsidRPr="00092862">
              <w:rPr>
                <w:color w:val="000000" w:themeColor="text1"/>
              </w:rPr>
              <w:t>-2620</w:t>
            </w:r>
          </w:p>
        </w:tc>
        <w:tc>
          <w:tcPr>
            <w:tcW w:w="1440" w:type="pct"/>
            <w:shd w:val="clear" w:color="auto" w:fill="auto"/>
          </w:tcPr>
          <w:p w14:paraId="303A600B" w14:textId="6BA991DA" w:rsidR="00856B7A" w:rsidRPr="00092862" w:rsidRDefault="00856B7A" w:rsidP="00856B7A">
            <w:pPr>
              <w:pStyle w:val="afffff8"/>
              <w:rPr>
                <w:color w:val="000000" w:themeColor="text1"/>
              </w:rPr>
            </w:pPr>
            <w:r w:rsidRPr="00092862">
              <w:rPr>
                <w:color w:val="000000" w:themeColor="text1"/>
              </w:rPr>
              <w:t>7.7552E+01|3.6333E+01</w:t>
            </w:r>
          </w:p>
        </w:tc>
        <w:tc>
          <w:tcPr>
            <w:tcW w:w="979" w:type="pct"/>
            <w:vAlign w:val="center"/>
          </w:tcPr>
          <w:p w14:paraId="4A834768"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29575093" w14:textId="16B1AD5D" w:rsidR="00856B7A" w:rsidRPr="00092862" w:rsidRDefault="00863B50" w:rsidP="00856B7A">
            <w:pPr>
              <w:pStyle w:val="afffff8"/>
              <w:rPr>
                <w:color w:val="000000" w:themeColor="text1"/>
              </w:rPr>
            </w:pPr>
            <w:r w:rsidRPr="00092862">
              <w:rPr>
                <w:color w:val="000000" w:themeColor="text1"/>
              </w:rPr>
              <w:t>204</w:t>
            </w:r>
          </w:p>
        </w:tc>
      </w:tr>
      <w:tr w:rsidR="00697429" w:rsidRPr="00092862" w14:paraId="162A639C" w14:textId="77777777" w:rsidTr="00E1132F">
        <w:trPr>
          <w:jc w:val="center"/>
        </w:trPr>
        <w:tc>
          <w:tcPr>
            <w:tcW w:w="316" w:type="pct"/>
            <w:vMerge/>
            <w:shd w:val="clear" w:color="auto" w:fill="auto"/>
            <w:vAlign w:val="center"/>
          </w:tcPr>
          <w:p w14:paraId="3FD128AE" w14:textId="77777777" w:rsidR="00856B7A" w:rsidRPr="00092862" w:rsidRDefault="00856B7A" w:rsidP="00856B7A">
            <w:pPr>
              <w:pStyle w:val="afffff8"/>
              <w:rPr>
                <w:color w:val="000000" w:themeColor="text1"/>
              </w:rPr>
            </w:pPr>
          </w:p>
        </w:tc>
        <w:tc>
          <w:tcPr>
            <w:tcW w:w="665" w:type="pct"/>
            <w:shd w:val="clear" w:color="auto" w:fill="auto"/>
            <w:vAlign w:val="center"/>
          </w:tcPr>
          <w:p w14:paraId="5612641D" w14:textId="77777777" w:rsidR="00856B7A" w:rsidRPr="00092862" w:rsidRDefault="00856B7A" w:rsidP="00856B7A">
            <w:pPr>
              <w:pStyle w:val="afffff8"/>
              <w:rPr>
                <w:color w:val="000000" w:themeColor="text1"/>
              </w:rPr>
            </w:pPr>
            <w:r w:rsidRPr="00092862">
              <w:rPr>
                <w:color w:val="000000" w:themeColor="text1"/>
              </w:rPr>
              <w:t>8#</w:t>
            </w:r>
            <w:r w:rsidRPr="00092862">
              <w:rPr>
                <w:color w:val="000000" w:themeColor="text1"/>
              </w:rPr>
              <w:t>敏感点</w:t>
            </w:r>
          </w:p>
        </w:tc>
        <w:tc>
          <w:tcPr>
            <w:tcW w:w="363" w:type="pct"/>
            <w:shd w:val="clear" w:color="auto" w:fill="auto"/>
            <w:vAlign w:val="center"/>
          </w:tcPr>
          <w:p w14:paraId="1A97A2A0" w14:textId="47FC95B4" w:rsidR="00856B7A" w:rsidRPr="00092862" w:rsidRDefault="00856B7A" w:rsidP="00856B7A">
            <w:pPr>
              <w:pStyle w:val="afffff8"/>
              <w:rPr>
                <w:color w:val="000000" w:themeColor="text1"/>
              </w:rPr>
            </w:pPr>
            <w:r w:rsidRPr="00092862">
              <w:rPr>
                <w:color w:val="000000" w:themeColor="text1"/>
              </w:rPr>
              <w:t>0</w:t>
            </w:r>
          </w:p>
        </w:tc>
        <w:tc>
          <w:tcPr>
            <w:tcW w:w="364" w:type="pct"/>
            <w:shd w:val="clear" w:color="auto" w:fill="auto"/>
            <w:vAlign w:val="center"/>
          </w:tcPr>
          <w:p w14:paraId="464691CA" w14:textId="4007E5FE" w:rsidR="00856B7A" w:rsidRPr="00092862" w:rsidRDefault="00856B7A" w:rsidP="00856B7A">
            <w:pPr>
              <w:pStyle w:val="afffff8"/>
              <w:rPr>
                <w:color w:val="000000" w:themeColor="text1"/>
              </w:rPr>
            </w:pPr>
            <w:r w:rsidRPr="00092862">
              <w:rPr>
                <w:color w:val="000000" w:themeColor="text1"/>
              </w:rPr>
              <w:t>-2840</w:t>
            </w:r>
          </w:p>
        </w:tc>
        <w:tc>
          <w:tcPr>
            <w:tcW w:w="1440" w:type="pct"/>
            <w:shd w:val="clear" w:color="auto" w:fill="auto"/>
          </w:tcPr>
          <w:p w14:paraId="1C53DF08" w14:textId="6BF28D86" w:rsidR="00856B7A" w:rsidRPr="00092862" w:rsidRDefault="00856B7A" w:rsidP="00856B7A">
            <w:pPr>
              <w:pStyle w:val="afffff8"/>
              <w:rPr>
                <w:color w:val="000000" w:themeColor="text1"/>
              </w:rPr>
            </w:pPr>
            <w:r w:rsidRPr="00092862">
              <w:rPr>
                <w:color w:val="000000" w:themeColor="text1"/>
              </w:rPr>
              <w:t>7.3583E+01|3.8555E+01</w:t>
            </w:r>
          </w:p>
        </w:tc>
        <w:tc>
          <w:tcPr>
            <w:tcW w:w="979" w:type="pct"/>
            <w:vAlign w:val="center"/>
          </w:tcPr>
          <w:p w14:paraId="589FF7EB"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0BF6CD30" w14:textId="00F303B4" w:rsidR="00856B7A" w:rsidRPr="00092862" w:rsidRDefault="00863B50" w:rsidP="00856B7A">
            <w:pPr>
              <w:pStyle w:val="afffff8"/>
              <w:rPr>
                <w:color w:val="000000" w:themeColor="text1"/>
              </w:rPr>
            </w:pPr>
            <w:r w:rsidRPr="00092862">
              <w:rPr>
                <w:color w:val="000000" w:themeColor="text1"/>
              </w:rPr>
              <w:t>194</w:t>
            </w:r>
          </w:p>
        </w:tc>
      </w:tr>
      <w:tr w:rsidR="00697429" w:rsidRPr="00092862" w14:paraId="1E41C022" w14:textId="77777777" w:rsidTr="00E1132F">
        <w:trPr>
          <w:jc w:val="center"/>
        </w:trPr>
        <w:tc>
          <w:tcPr>
            <w:tcW w:w="316" w:type="pct"/>
            <w:vMerge/>
            <w:shd w:val="clear" w:color="auto" w:fill="auto"/>
            <w:vAlign w:val="center"/>
          </w:tcPr>
          <w:p w14:paraId="733C21D9" w14:textId="77777777" w:rsidR="00856B7A" w:rsidRPr="00092862" w:rsidRDefault="00856B7A" w:rsidP="00856B7A">
            <w:pPr>
              <w:pStyle w:val="afffff8"/>
              <w:rPr>
                <w:color w:val="000000" w:themeColor="text1"/>
              </w:rPr>
            </w:pPr>
          </w:p>
        </w:tc>
        <w:tc>
          <w:tcPr>
            <w:tcW w:w="665" w:type="pct"/>
            <w:shd w:val="clear" w:color="auto" w:fill="auto"/>
            <w:vAlign w:val="center"/>
          </w:tcPr>
          <w:p w14:paraId="64EB7B4A" w14:textId="77777777" w:rsidR="00856B7A" w:rsidRPr="00092862" w:rsidRDefault="00856B7A" w:rsidP="00856B7A">
            <w:pPr>
              <w:pStyle w:val="afffff8"/>
              <w:rPr>
                <w:color w:val="000000" w:themeColor="text1"/>
              </w:rPr>
            </w:pPr>
            <w:r w:rsidRPr="00092862">
              <w:rPr>
                <w:color w:val="000000" w:themeColor="text1"/>
              </w:rPr>
              <w:t>9#</w:t>
            </w:r>
            <w:r w:rsidRPr="00092862">
              <w:rPr>
                <w:color w:val="000000" w:themeColor="text1"/>
              </w:rPr>
              <w:t>敏感点</w:t>
            </w:r>
          </w:p>
        </w:tc>
        <w:tc>
          <w:tcPr>
            <w:tcW w:w="363" w:type="pct"/>
            <w:shd w:val="clear" w:color="auto" w:fill="auto"/>
            <w:vAlign w:val="center"/>
          </w:tcPr>
          <w:p w14:paraId="38E5B0A8" w14:textId="0A0F25AE" w:rsidR="00856B7A" w:rsidRPr="00092862" w:rsidRDefault="00856B7A" w:rsidP="00856B7A">
            <w:pPr>
              <w:pStyle w:val="afffff8"/>
              <w:rPr>
                <w:color w:val="000000" w:themeColor="text1"/>
              </w:rPr>
            </w:pPr>
            <w:r w:rsidRPr="00092862">
              <w:rPr>
                <w:color w:val="000000" w:themeColor="text1"/>
              </w:rPr>
              <w:t>0</w:t>
            </w:r>
          </w:p>
        </w:tc>
        <w:tc>
          <w:tcPr>
            <w:tcW w:w="364" w:type="pct"/>
            <w:shd w:val="clear" w:color="auto" w:fill="auto"/>
            <w:vAlign w:val="center"/>
          </w:tcPr>
          <w:p w14:paraId="5EB6F0A6" w14:textId="022546FA" w:rsidR="00856B7A" w:rsidRPr="00092862" w:rsidRDefault="00856B7A" w:rsidP="00856B7A">
            <w:pPr>
              <w:pStyle w:val="afffff8"/>
              <w:rPr>
                <w:color w:val="000000" w:themeColor="text1"/>
              </w:rPr>
            </w:pPr>
            <w:r w:rsidRPr="00092862">
              <w:rPr>
                <w:color w:val="000000" w:themeColor="text1"/>
              </w:rPr>
              <w:t>-1330</w:t>
            </w:r>
          </w:p>
        </w:tc>
        <w:tc>
          <w:tcPr>
            <w:tcW w:w="1440" w:type="pct"/>
            <w:shd w:val="clear" w:color="auto" w:fill="auto"/>
          </w:tcPr>
          <w:p w14:paraId="2B3B056B" w14:textId="5B18D363" w:rsidR="00856B7A" w:rsidRPr="00092862" w:rsidRDefault="00856B7A" w:rsidP="00856B7A">
            <w:pPr>
              <w:pStyle w:val="afffff8"/>
              <w:rPr>
                <w:color w:val="000000" w:themeColor="text1"/>
              </w:rPr>
            </w:pPr>
            <w:r w:rsidRPr="00092862">
              <w:rPr>
                <w:color w:val="000000" w:themeColor="text1"/>
              </w:rPr>
              <w:t>2.1173E+02|1.4556E+01</w:t>
            </w:r>
          </w:p>
        </w:tc>
        <w:tc>
          <w:tcPr>
            <w:tcW w:w="979" w:type="pct"/>
            <w:vAlign w:val="center"/>
          </w:tcPr>
          <w:p w14:paraId="124BB00B"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7CAD451F" w14:textId="47E004E0" w:rsidR="00856B7A" w:rsidRPr="00092862" w:rsidRDefault="00863B50" w:rsidP="00856B7A">
            <w:pPr>
              <w:pStyle w:val="afffff8"/>
              <w:rPr>
                <w:color w:val="000000" w:themeColor="text1"/>
              </w:rPr>
            </w:pPr>
            <w:r w:rsidRPr="00092862">
              <w:rPr>
                <w:color w:val="000000" w:themeColor="text1"/>
              </w:rPr>
              <w:t>557</w:t>
            </w:r>
          </w:p>
        </w:tc>
      </w:tr>
      <w:tr w:rsidR="00697429" w:rsidRPr="00092862" w14:paraId="0681B930" w14:textId="77777777" w:rsidTr="00E1132F">
        <w:trPr>
          <w:jc w:val="center"/>
        </w:trPr>
        <w:tc>
          <w:tcPr>
            <w:tcW w:w="316" w:type="pct"/>
            <w:vMerge/>
            <w:shd w:val="clear" w:color="auto" w:fill="auto"/>
            <w:vAlign w:val="center"/>
          </w:tcPr>
          <w:p w14:paraId="5B749438" w14:textId="77777777" w:rsidR="00856B7A" w:rsidRPr="00092862" w:rsidRDefault="00856B7A" w:rsidP="00856B7A">
            <w:pPr>
              <w:pStyle w:val="afffff8"/>
              <w:rPr>
                <w:color w:val="000000" w:themeColor="text1"/>
              </w:rPr>
            </w:pPr>
          </w:p>
        </w:tc>
        <w:tc>
          <w:tcPr>
            <w:tcW w:w="665" w:type="pct"/>
            <w:shd w:val="clear" w:color="auto" w:fill="auto"/>
            <w:vAlign w:val="center"/>
          </w:tcPr>
          <w:p w14:paraId="22670735" w14:textId="77777777" w:rsidR="00856B7A" w:rsidRPr="00092862" w:rsidRDefault="00856B7A" w:rsidP="00856B7A">
            <w:pPr>
              <w:pStyle w:val="afffff8"/>
              <w:rPr>
                <w:color w:val="000000" w:themeColor="text1"/>
              </w:rPr>
            </w:pPr>
            <w:r w:rsidRPr="00092862">
              <w:rPr>
                <w:color w:val="000000" w:themeColor="text1"/>
              </w:rPr>
              <w:t>10#</w:t>
            </w:r>
            <w:r w:rsidRPr="00092862">
              <w:rPr>
                <w:color w:val="000000" w:themeColor="text1"/>
              </w:rPr>
              <w:t>敏感点</w:t>
            </w:r>
          </w:p>
        </w:tc>
        <w:tc>
          <w:tcPr>
            <w:tcW w:w="363" w:type="pct"/>
            <w:shd w:val="clear" w:color="auto" w:fill="auto"/>
            <w:vAlign w:val="center"/>
          </w:tcPr>
          <w:p w14:paraId="658C2E14" w14:textId="6B209239" w:rsidR="00856B7A" w:rsidRPr="00092862" w:rsidRDefault="00856B7A" w:rsidP="00856B7A">
            <w:pPr>
              <w:pStyle w:val="afffff8"/>
              <w:rPr>
                <w:color w:val="000000" w:themeColor="text1"/>
              </w:rPr>
            </w:pPr>
            <w:r w:rsidRPr="00092862">
              <w:rPr>
                <w:color w:val="000000" w:themeColor="text1"/>
              </w:rPr>
              <w:t>-1770</w:t>
            </w:r>
          </w:p>
        </w:tc>
        <w:tc>
          <w:tcPr>
            <w:tcW w:w="364" w:type="pct"/>
            <w:shd w:val="clear" w:color="auto" w:fill="auto"/>
            <w:vAlign w:val="center"/>
          </w:tcPr>
          <w:p w14:paraId="4DD0AD73" w14:textId="5B9697C2" w:rsidR="00856B7A" w:rsidRPr="00092862" w:rsidRDefault="00856B7A" w:rsidP="00856B7A">
            <w:pPr>
              <w:pStyle w:val="afffff8"/>
              <w:rPr>
                <w:color w:val="000000" w:themeColor="text1"/>
              </w:rPr>
            </w:pPr>
            <w:r w:rsidRPr="00092862">
              <w:rPr>
                <w:color w:val="000000" w:themeColor="text1"/>
              </w:rPr>
              <w:t>-3040</w:t>
            </w:r>
          </w:p>
        </w:tc>
        <w:tc>
          <w:tcPr>
            <w:tcW w:w="1440" w:type="pct"/>
            <w:shd w:val="clear" w:color="auto" w:fill="auto"/>
          </w:tcPr>
          <w:p w14:paraId="599AFC1A" w14:textId="35ABA989" w:rsidR="00856B7A" w:rsidRPr="00092862" w:rsidRDefault="00856B7A" w:rsidP="00856B7A">
            <w:pPr>
              <w:pStyle w:val="afffff8"/>
              <w:rPr>
                <w:color w:val="000000" w:themeColor="text1"/>
              </w:rPr>
            </w:pPr>
            <w:r w:rsidRPr="00092862">
              <w:rPr>
                <w:color w:val="000000" w:themeColor="text1"/>
              </w:rPr>
              <w:t>6.0262E+01| 4.4667E+01</w:t>
            </w:r>
          </w:p>
        </w:tc>
        <w:tc>
          <w:tcPr>
            <w:tcW w:w="979" w:type="pct"/>
            <w:vAlign w:val="center"/>
          </w:tcPr>
          <w:p w14:paraId="29C65DCB"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3A090140" w14:textId="0321FDF5" w:rsidR="00856B7A" w:rsidRPr="00092862" w:rsidRDefault="00863B50" w:rsidP="00856B7A">
            <w:pPr>
              <w:pStyle w:val="afffff8"/>
              <w:rPr>
                <w:color w:val="000000" w:themeColor="text1"/>
              </w:rPr>
            </w:pPr>
            <w:r w:rsidRPr="00092862">
              <w:rPr>
                <w:color w:val="000000" w:themeColor="text1"/>
              </w:rPr>
              <w:t>158</w:t>
            </w:r>
          </w:p>
        </w:tc>
      </w:tr>
      <w:tr w:rsidR="00697429" w:rsidRPr="00092862" w14:paraId="6D51574B" w14:textId="77777777" w:rsidTr="00E1132F">
        <w:trPr>
          <w:jc w:val="center"/>
        </w:trPr>
        <w:tc>
          <w:tcPr>
            <w:tcW w:w="316" w:type="pct"/>
            <w:vMerge/>
            <w:shd w:val="clear" w:color="auto" w:fill="auto"/>
            <w:vAlign w:val="center"/>
          </w:tcPr>
          <w:p w14:paraId="39AA1E1C" w14:textId="77777777" w:rsidR="00856B7A" w:rsidRPr="00092862" w:rsidRDefault="00856B7A" w:rsidP="00856B7A">
            <w:pPr>
              <w:pStyle w:val="afffff8"/>
              <w:rPr>
                <w:color w:val="000000" w:themeColor="text1"/>
              </w:rPr>
            </w:pPr>
          </w:p>
        </w:tc>
        <w:tc>
          <w:tcPr>
            <w:tcW w:w="665" w:type="pct"/>
            <w:shd w:val="clear" w:color="auto" w:fill="auto"/>
            <w:vAlign w:val="center"/>
          </w:tcPr>
          <w:p w14:paraId="4E51F070" w14:textId="77777777" w:rsidR="00856B7A" w:rsidRPr="00092862" w:rsidRDefault="00856B7A" w:rsidP="00856B7A">
            <w:pPr>
              <w:pStyle w:val="afffff8"/>
              <w:rPr>
                <w:color w:val="000000" w:themeColor="text1"/>
              </w:rPr>
            </w:pPr>
            <w:r w:rsidRPr="00092862">
              <w:rPr>
                <w:color w:val="000000" w:themeColor="text1"/>
              </w:rPr>
              <w:t>11#</w:t>
            </w:r>
            <w:r w:rsidRPr="00092862">
              <w:rPr>
                <w:color w:val="000000" w:themeColor="text1"/>
              </w:rPr>
              <w:t>敏感点</w:t>
            </w:r>
          </w:p>
        </w:tc>
        <w:tc>
          <w:tcPr>
            <w:tcW w:w="363" w:type="pct"/>
            <w:shd w:val="clear" w:color="auto" w:fill="auto"/>
            <w:vAlign w:val="center"/>
          </w:tcPr>
          <w:p w14:paraId="3881D17A" w14:textId="3B48D268" w:rsidR="00856B7A" w:rsidRPr="00092862" w:rsidRDefault="00856B7A" w:rsidP="00856B7A">
            <w:pPr>
              <w:pStyle w:val="afffff8"/>
              <w:rPr>
                <w:color w:val="000000" w:themeColor="text1"/>
              </w:rPr>
            </w:pPr>
            <w:r w:rsidRPr="00092862">
              <w:rPr>
                <w:color w:val="000000" w:themeColor="text1"/>
              </w:rPr>
              <w:t>-1780</w:t>
            </w:r>
          </w:p>
        </w:tc>
        <w:tc>
          <w:tcPr>
            <w:tcW w:w="364" w:type="pct"/>
            <w:shd w:val="clear" w:color="auto" w:fill="auto"/>
            <w:vAlign w:val="center"/>
          </w:tcPr>
          <w:p w14:paraId="674E1886" w14:textId="73BCACF4" w:rsidR="00856B7A" w:rsidRPr="00092862" w:rsidRDefault="00856B7A" w:rsidP="00856B7A">
            <w:pPr>
              <w:pStyle w:val="afffff8"/>
              <w:rPr>
                <w:color w:val="000000" w:themeColor="text1"/>
              </w:rPr>
            </w:pPr>
            <w:r w:rsidRPr="00092862">
              <w:rPr>
                <w:color w:val="000000" w:themeColor="text1"/>
              </w:rPr>
              <w:t>0</w:t>
            </w:r>
          </w:p>
        </w:tc>
        <w:tc>
          <w:tcPr>
            <w:tcW w:w="1440" w:type="pct"/>
            <w:shd w:val="clear" w:color="auto" w:fill="auto"/>
          </w:tcPr>
          <w:p w14:paraId="3A0FB967" w14:textId="000DB952" w:rsidR="00856B7A" w:rsidRPr="00092862" w:rsidRDefault="00856B7A" w:rsidP="00856B7A">
            <w:pPr>
              <w:pStyle w:val="afffff8"/>
              <w:rPr>
                <w:color w:val="000000" w:themeColor="text1"/>
              </w:rPr>
            </w:pPr>
            <w:r w:rsidRPr="00092862">
              <w:rPr>
                <w:color w:val="000000" w:themeColor="text1"/>
              </w:rPr>
              <w:t>1.3684E+02| 2.4778E+01</w:t>
            </w:r>
          </w:p>
        </w:tc>
        <w:tc>
          <w:tcPr>
            <w:tcW w:w="979" w:type="pct"/>
            <w:vAlign w:val="center"/>
          </w:tcPr>
          <w:p w14:paraId="08486D67"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5D99B8BF" w14:textId="7AC3CC60" w:rsidR="00856B7A" w:rsidRPr="00092862" w:rsidRDefault="00863B50" w:rsidP="00856B7A">
            <w:pPr>
              <w:pStyle w:val="afffff8"/>
              <w:rPr>
                <w:color w:val="000000" w:themeColor="text1"/>
              </w:rPr>
            </w:pPr>
            <w:r w:rsidRPr="00092862">
              <w:rPr>
                <w:color w:val="000000" w:themeColor="text1"/>
              </w:rPr>
              <w:t>360</w:t>
            </w:r>
          </w:p>
        </w:tc>
      </w:tr>
      <w:tr w:rsidR="00697429" w:rsidRPr="00092862" w14:paraId="3E5B3FAE" w14:textId="77777777" w:rsidTr="00E1132F">
        <w:trPr>
          <w:jc w:val="center"/>
        </w:trPr>
        <w:tc>
          <w:tcPr>
            <w:tcW w:w="316" w:type="pct"/>
            <w:vMerge/>
            <w:shd w:val="clear" w:color="auto" w:fill="auto"/>
            <w:vAlign w:val="center"/>
          </w:tcPr>
          <w:p w14:paraId="648EC544" w14:textId="77777777" w:rsidR="00856B7A" w:rsidRPr="00092862" w:rsidRDefault="00856B7A" w:rsidP="00856B7A">
            <w:pPr>
              <w:pStyle w:val="afffff8"/>
              <w:rPr>
                <w:color w:val="000000" w:themeColor="text1"/>
              </w:rPr>
            </w:pPr>
          </w:p>
        </w:tc>
        <w:tc>
          <w:tcPr>
            <w:tcW w:w="665" w:type="pct"/>
            <w:shd w:val="clear" w:color="auto" w:fill="auto"/>
            <w:vAlign w:val="center"/>
          </w:tcPr>
          <w:p w14:paraId="5432A6A1" w14:textId="77777777" w:rsidR="00856B7A" w:rsidRPr="00092862" w:rsidRDefault="00856B7A" w:rsidP="00856B7A">
            <w:pPr>
              <w:pStyle w:val="afffff8"/>
              <w:rPr>
                <w:color w:val="000000" w:themeColor="text1"/>
              </w:rPr>
            </w:pPr>
            <w:r w:rsidRPr="00092862">
              <w:rPr>
                <w:color w:val="000000" w:themeColor="text1"/>
              </w:rPr>
              <w:t>12#</w:t>
            </w:r>
            <w:r w:rsidRPr="00092862">
              <w:rPr>
                <w:color w:val="000000" w:themeColor="text1"/>
              </w:rPr>
              <w:t>敏感点</w:t>
            </w:r>
          </w:p>
        </w:tc>
        <w:tc>
          <w:tcPr>
            <w:tcW w:w="363" w:type="pct"/>
            <w:shd w:val="clear" w:color="auto" w:fill="auto"/>
            <w:vAlign w:val="center"/>
          </w:tcPr>
          <w:p w14:paraId="362F6207" w14:textId="2844104B" w:rsidR="00856B7A" w:rsidRPr="00092862" w:rsidRDefault="00856B7A" w:rsidP="00856B7A">
            <w:pPr>
              <w:pStyle w:val="afffff8"/>
              <w:rPr>
                <w:color w:val="000000" w:themeColor="text1"/>
              </w:rPr>
            </w:pPr>
            <w:r w:rsidRPr="00092862">
              <w:rPr>
                <w:color w:val="000000" w:themeColor="text1"/>
              </w:rPr>
              <w:t>-2900</w:t>
            </w:r>
          </w:p>
        </w:tc>
        <w:tc>
          <w:tcPr>
            <w:tcW w:w="364" w:type="pct"/>
            <w:shd w:val="clear" w:color="auto" w:fill="auto"/>
            <w:vAlign w:val="center"/>
          </w:tcPr>
          <w:p w14:paraId="52D083D4" w14:textId="5631C644" w:rsidR="00856B7A" w:rsidRPr="00092862" w:rsidRDefault="00856B7A" w:rsidP="00856B7A">
            <w:pPr>
              <w:pStyle w:val="afffff8"/>
              <w:rPr>
                <w:color w:val="000000" w:themeColor="text1"/>
              </w:rPr>
            </w:pPr>
            <w:r w:rsidRPr="00092862">
              <w:rPr>
                <w:color w:val="000000" w:themeColor="text1"/>
              </w:rPr>
              <w:t>-780</w:t>
            </w:r>
          </w:p>
        </w:tc>
        <w:tc>
          <w:tcPr>
            <w:tcW w:w="1440" w:type="pct"/>
            <w:shd w:val="clear" w:color="auto" w:fill="auto"/>
          </w:tcPr>
          <w:p w14:paraId="245E3B54" w14:textId="0A512366" w:rsidR="00856B7A" w:rsidRPr="00092862" w:rsidRDefault="00856B7A" w:rsidP="00856B7A">
            <w:pPr>
              <w:pStyle w:val="afffff8"/>
              <w:rPr>
                <w:color w:val="000000" w:themeColor="text1"/>
              </w:rPr>
            </w:pPr>
            <w:r w:rsidRPr="00092862">
              <w:rPr>
                <w:color w:val="000000" w:themeColor="text1"/>
              </w:rPr>
              <w:t>7.1895E+01|3.9111E+01</w:t>
            </w:r>
          </w:p>
        </w:tc>
        <w:tc>
          <w:tcPr>
            <w:tcW w:w="979" w:type="pct"/>
            <w:vAlign w:val="center"/>
          </w:tcPr>
          <w:p w14:paraId="4E16BACA"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5908B6D7" w14:textId="530BEB1D" w:rsidR="00856B7A" w:rsidRPr="00092862" w:rsidRDefault="00863B50" w:rsidP="00856B7A">
            <w:pPr>
              <w:pStyle w:val="afffff8"/>
              <w:rPr>
                <w:color w:val="000000" w:themeColor="text1"/>
              </w:rPr>
            </w:pPr>
            <w:r w:rsidRPr="00092862">
              <w:rPr>
                <w:color w:val="000000" w:themeColor="text1"/>
              </w:rPr>
              <w:t>189</w:t>
            </w:r>
          </w:p>
        </w:tc>
      </w:tr>
      <w:tr w:rsidR="00697429" w:rsidRPr="00092862" w14:paraId="0B317D0A" w14:textId="77777777" w:rsidTr="00E1132F">
        <w:trPr>
          <w:jc w:val="center"/>
        </w:trPr>
        <w:tc>
          <w:tcPr>
            <w:tcW w:w="316" w:type="pct"/>
            <w:vMerge/>
            <w:shd w:val="clear" w:color="auto" w:fill="auto"/>
            <w:vAlign w:val="center"/>
          </w:tcPr>
          <w:p w14:paraId="4DA6CD6D" w14:textId="77777777" w:rsidR="00856B7A" w:rsidRPr="00092862" w:rsidRDefault="00856B7A" w:rsidP="00856B7A">
            <w:pPr>
              <w:pStyle w:val="afffff8"/>
              <w:rPr>
                <w:color w:val="000000" w:themeColor="text1"/>
              </w:rPr>
            </w:pPr>
          </w:p>
        </w:tc>
        <w:tc>
          <w:tcPr>
            <w:tcW w:w="665" w:type="pct"/>
            <w:shd w:val="clear" w:color="auto" w:fill="auto"/>
            <w:vAlign w:val="center"/>
          </w:tcPr>
          <w:p w14:paraId="1323B8ED" w14:textId="77777777" w:rsidR="00856B7A" w:rsidRPr="00092862" w:rsidRDefault="00856B7A" w:rsidP="00856B7A">
            <w:pPr>
              <w:pStyle w:val="afffff8"/>
              <w:rPr>
                <w:color w:val="000000" w:themeColor="text1"/>
              </w:rPr>
            </w:pPr>
            <w:r w:rsidRPr="00092862">
              <w:rPr>
                <w:color w:val="000000" w:themeColor="text1"/>
              </w:rPr>
              <w:t>13#</w:t>
            </w:r>
            <w:r w:rsidRPr="00092862">
              <w:rPr>
                <w:color w:val="000000" w:themeColor="text1"/>
              </w:rPr>
              <w:t>敏感点</w:t>
            </w:r>
          </w:p>
        </w:tc>
        <w:tc>
          <w:tcPr>
            <w:tcW w:w="363" w:type="pct"/>
            <w:shd w:val="clear" w:color="auto" w:fill="auto"/>
            <w:vAlign w:val="center"/>
          </w:tcPr>
          <w:p w14:paraId="5C7A05E8" w14:textId="4E90014F" w:rsidR="00856B7A" w:rsidRPr="00092862" w:rsidRDefault="00856B7A" w:rsidP="00856B7A">
            <w:pPr>
              <w:pStyle w:val="afffff8"/>
              <w:rPr>
                <w:color w:val="000000" w:themeColor="text1"/>
              </w:rPr>
            </w:pPr>
            <w:r w:rsidRPr="00092862">
              <w:rPr>
                <w:color w:val="000000" w:themeColor="text1"/>
              </w:rPr>
              <w:t>-3200</w:t>
            </w:r>
          </w:p>
        </w:tc>
        <w:tc>
          <w:tcPr>
            <w:tcW w:w="364" w:type="pct"/>
            <w:shd w:val="clear" w:color="auto" w:fill="auto"/>
            <w:vAlign w:val="center"/>
          </w:tcPr>
          <w:p w14:paraId="50417CC2" w14:textId="058F0F0A" w:rsidR="00856B7A" w:rsidRPr="00092862" w:rsidRDefault="00856B7A" w:rsidP="00856B7A">
            <w:pPr>
              <w:pStyle w:val="afffff8"/>
              <w:rPr>
                <w:color w:val="000000" w:themeColor="text1"/>
              </w:rPr>
            </w:pPr>
            <w:r w:rsidRPr="00092862">
              <w:rPr>
                <w:color w:val="000000" w:themeColor="text1"/>
              </w:rPr>
              <w:t>110</w:t>
            </w:r>
          </w:p>
        </w:tc>
        <w:tc>
          <w:tcPr>
            <w:tcW w:w="1440" w:type="pct"/>
            <w:shd w:val="clear" w:color="auto" w:fill="auto"/>
          </w:tcPr>
          <w:p w14:paraId="7B5BF265" w14:textId="42B35258" w:rsidR="00856B7A" w:rsidRPr="00092862" w:rsidRDefault="00856B7A" w:rsidP="00856B7A">
            <w:pPr>
              <w:pStyle w:val="afffff8"/>
              <w:rPr>
                <w:color w:val="000000" w:themeColor="text1"/>
              </w:rPr>
            </w:pPr>
            <w:r w:rsidRPr="00092862">
              <w:rPr>
                <w:color w:val="000000" w:themeColor="text1"/>
              </w:rPr>
              <w:t>6.2007E+01|4.2889E+01</w:t>
            </w:r>
          </w:p>
        </w:tc>
        <w:tc>
          <w:tcPr>
            <w:tcW w:w="979" w:type="pct"/>
            <w:vAlign w:val="center"/>
          </w:tcPr>
          <w:p w14:paraId="116EF751"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6912A42F" w14:textId="1D061F38" w:rsidR="00856B7A" w:rsidRPr="00092862" w:rsidRDefault="00863B50" w:rsidP="00856B7A">
            <w:pPr>
              <w:pStyle w:val="afffff8"/>
              <w:rPr>
                <w:color w:val="000000" w:themeColor="text1"/>
              </w:rPr>
            </w:pPr>
            <w:r w:rsidRPr="00092862">
              <w:rPr>
                <w:color w:val="000000" w:themeColor="text1"/>
              </w:rPr>
              <w:t>163</w:t>
            </w:r>
          </w:p>
        </w:tc>
      </w:tr>
      <w:tr w:rsidR="00697429" w:rsidRPr="00092862" w14:paraId="517C9E78" w14:textId="77777777" w:rsidTr="00E1132F">
        <w:trPr>
          <w:jc w:val="center"/>
        </w:trPr>
        <w:tc>
          <w:tcPr>
            <w:tcW w:w="316" w:type="pct"/>
            <w:vMerge/>
            <w:shd w:val="clear" w:color="auto" w:fill="auto"/>
            <w:vAlign w:val="center"/>
          </w:tcPr>
          <w:p w14:paraId="04969392" w14:textId="77777777" w:rsidR="00856B7A" w:rsidRPr="00092862" w:rsidRDefault="00856B7A" w:rsidP="00856B7A">
            <w:pPr>
              <w:pStyle w:val="afffff8"/>
              <w:rPr>
                <w:color w:val="000000" w:themeColor="text1"/>
              </w:rPr>
            </w:pPr>
          </w:p>
        </w:tc>
        <w:tc>
          <w:tcPr>
            <w:tcW w:w="665" w:type="pct"/>
            <w:shd w:val="clear" w:color="auto" w:fill="auto"/>
            <w:vAlign w:val="center"/>
          </w:tcPr>
          <w:p w14:paraId="1FA7FE97" w14:textId="77777777" w:rsidR="00856B7A" w:rsidRPr="00092862" w:rsidRDefault="00856B7A" w:rsidP="00856B7A">
            <w:pPr>
              <w:pStyle w:val="afffff8"/>
              <w:rPr>
                <w:color w:val="000000" w:themeColor="text1"/>
              </w:rPr>
            </w:pPr>
            <w:r w:rsidRPr="00092862">
              <w:rPr>
                <w:color w:val="000000" w:themeColor="text1"/>
              </w:rPr>
              <w:t>14#</w:t>
            </w:r>
            <w:r w:rsidRPr="00092862">
              <w:rPr>
                <w:color w:val="000000" w:themeColor="text1"/>
              </w:rPr>
              <w:t>敏感点</w:t>
            </w:r>
          </w:p>
        </w:tc>
        <w:tc>
          <w:tcPr>
            <w:tcW w:w="363" w:type="pct"/>
            <w:shd w:val="clear" w:color="auto" w:fill="auto"/>
            <w:vAlign w:val="center"/>
          </w:tcPr>
          <w:p w14:paraId="0ADEA354" w14:textId="5C40B637" w:rsidR="00856B7A" w:rsidRPr="00092862" w:rsidRDefault="00856B7A" w:rsidP="00856B7A">
            <w:pPr>
              <w:pStyle w:val="afffff8"/>
              <w:rPr>
                <w:color w:val="000000" w:themeColor="text1"/>
              </w:rPr>
            </w:pPr>
            <w:r w:rsidRPr="00092862">
              <w:rPr>
                <w:color w:val="000000" w:themeColor="text1"/>
              </w:rPr>
              <w:t>-1840</w:t>
            </w:r>
          </w:p>
        </w:tc>
        <w:tc>
          <w:tcPr>
            <w:tcW w:w="364" w:type="pct"/>
            <w:shd w:val="clear" w:color="auto" w:fill="auto"/>
            <w:vAlign w:val="center"/>
          </w:tcPr>
          <w:p w14:paraId="1A2C7109" w14:textId="399B560A" w:rsidR="00856B7A" w:rsidRPr="00092862" w:rsidRDefault="00856B7A" w:rsidP="00856B7A">
            <w:pPr>
              <w:pStyle w:val="afffff8"/>
              <w:rPr>
                <w:color w:val="000000" w:themeColor="text1"/>
              </w:rPr>
            </w:pPr>
            <w:r w:rsidRPr="00092862">
              <w:rPr>
                <w:color w:val="000000" w:themeColor="text1"/>
              </w:rPr>
              <w:t>2240</w:t>
            </w:r>
          </w:p>
        </w:tc>
        <w:tc>
          <w:tcPr>
            <w:tcW w:w="1440" w:type="pct"/>
            <w:shd w:val="clear" w:color="auto" w:fill="auto"/>
          </w:tcPr>
          <w:p w14:paraId="35F91D7E" w14:textId="78627681" w:rsidR="00856B7A" w:rsidRPr="00092862" w:rsidRDefault="00856B7A" w:rsidP="00856B7A">
            <w:pPr>
              <w:pStyle w:val="afffff8"/>
              <w:rPr>
                <w:color w:val="000000" w:themeColor="text1"/>
              </w:rPr>
            </w:pPr>
            <w:r w:rsidRPr="00092862">
              <w:rPr>
                <w:color w:val="000000" w:themeColor="text1"/>
              </w:rPr>
              <w:t>7.1566E+01|3.9222E+01</w:t>
            </w:r>
          </w:p>
        </w:tc>
        <w:tc>
          <w:tcPr>
            <w:tcW w:w="979" w:type="pct"/>
            <w:vAlign w:val="center"/>
          </w:tcPr>
          <w:p w14:paraId="30ED3F98"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18AD7560" w14:textId="756F5690" w:rsidR="00856B7A" w:rsidRPr="00092862" w:rsidRDefault="00863B50" w:rsidP="00856B7A">
            <w:pPr>
              <w:pStyle w:val="afffff8"/>
              <w:rPr>
                <w:color w:val="000000" w:themeColor="text1"/>
              </w:rPr>
            </w:pPr>
            <w:r w:rsidRPr="00092862">
              <w:rPr>
                <w:color w:val="000000" w:themeColor="text1"/>
              </w:rPr>
              <w:t>188</w:t>
            </w:r>
          </w:p>
        </w:tc>
      </w:tr>
      <w:tr w:rsidR="00697429" w:rsidRPr="00092862" w14:paraId="6275CB39" w14:textId="77777777" w:rsidTr="00E1132F">
        <w:trPr>
          <w:jc w:val="center"/>
        </w:trPr>
        <w:tc>
          <w:tcPr>
            <w:tcW w:w="316" w:type="pct"/>
            <w:vMerge/>
            <w:shd w:val="clear" w:color="auto" w:fill="auto"/>
            <w:vAlign w:val="center"/>
          </w:tcPr>
          <w:p w14:paraId="34D83D15" w14:textId="77777777" w:rsidR="00856B7A" w:rsidRPr="00092862" w:rsidRDefault="00856B7A" w:rsidP="00856B7A">
            <w:pPr>
              <w:pStyle w:val="afffff8"/>
              <w:rPr>
                <w:color w:val="000000" w:themeColor="text1"/>
              </w:rPr>
            </w:pPr>
          </w:p>
        </w:tc>
        <w:tc>
          <w:tcPr>
            <w:tcW w:w="665" w:type="pct"/>
            <w:shd w:val="clear" w:color="auto" w:fill="auto"/>
            <w:vAlign w:val="center"/>
          </w:tcPr>
          <w:p w14:paraId="66AC2026" w14:textId="77777777" w:rsidR="00856B7A" w:rsidRPr="00092862" w:rsidRDefault="00856B7A" w:rsidP="00856B7A">
            <w:pPr>
              <w:pStyle w:val="afffff8"/>
              <w:rPr>
                <w:color w:val="000000" w:themeColor="text1"/>
              </w:rPr>
            </w:pPr>
            <w:r w:rsidRPr="00092862">
              <w:rPr>
                <w:color w:val="000000" w:themeColor="text1"/>
              </w:rPr>
              <w:t>15#</w:t>
            </w:r>
            <w:r w:rsidRPr="00092862">
              <w:rPr>
                <w:color w:val="000000" w:themeColor="text1"/>
              </w:rPr>
              <w:t>敏感点</w:t>
            </w:r>
          </w:p>
        </w:tc>
        <w:tc>
          <w:tcPr>
            <w:tcW w:w="363" w:type="pct"/>
            <w:shd w:val="clear" w:color="auto" w:fill="auto"/>
            <w:vAlign w:val="center"/>
          </w:tcPr>
          <w:p w14:paraId="745A439E" w14:textId="1740935B" w:rsidR="00856B7A" w:rsidRPr="00092862" w:rsidRDefault="00856B7A" w:rsidP="00856B7A">
            <w:pPr>
              <w:pStyle w:val="afffff8"/>
              <w:rPr>
                <w:color w:val="000000" w:themeColor="text1"/>
              </w:rPr>
            </w:pPr>
            <w:r w:rsidRPr="00092862">
              <w:rPr>
                <w:color w:val="000000" w:themeColor="text1"/>
              </w:rPr>
              <w:t>-2260</w:t>
            </w:r>
          </w:p>
        </w:tc>
        <w:tc>
          <w:tcPr>
            <w:tcW w:w="364" w:type="pct"/>
            <w:shd w:val="clear" w:color="auto" w:fill="auto"/>
            <w:vAlign w:val="center"/>
          </w:tcPr>
          <w:p w14:paraId="45E1013B" w14:textId="2361B5BE" w:rsidR="00856B7A" w:rsidRPr="00092862" w:rsidRDefault="00856B7A" w:rsidP="00856B7A">
            <w:pPr>
              <w:pStyle w:val="afffff8"/>
              <w:rPr>
                <w:color w:val="000000" w:themeColor="text1"/>
              </w:rPr>
            </w:pPr>
            <w:r w:rsidRPr="00092862">
              <w:rPr>
                <w:color w:val="000000" w:themeColor="text1"/>
              </w:rPr>
              <w:t>-2530</w:t>
            </w:r>
          </w:p>
        </w:tc>
        <w:tc>
          <w:tcPr>
            <w:tcW w:w="1440" w:type="pct"/>
            <w:shd w:val="clear" w:color="auto" w:fill="auto"/>
          </w:tcPr>
          <w:p w14:paraId="63F8FF96" w14:textId="40748DB2" w:rsidR="00856B7A" w:rsidRPr="00092862" w:rsidRDefault="00856B7A" w:rsidP="00856B7A">
            <w:pPr>
              <w:pStyle w:val="afffff8"/>
              <w:rPr>
                <w:color w:val="000000" w:themeColor="text1"/>
              </w:rPr>
            </w:pPr>
            <w:r w:rsidRPr="00092862">
              <w:rPr>
                <w:color w:val="000000" w:themeColor="text1"/>
              </w:rPr>
              <w:t>5.7914E+01|4.5778E+01</w:t>
            </w:r>
          </w:p>
        </w:tc>
        <w:tc>
          <w:tcPr>
            <w:tcW w:w="979" w:type="pct"/>
            <w:vAlign w:val="center"/>
          </w:tcPr>
          <w:p w14:paraId="6271FE73"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4A3B5D44" w14:textId="5C90E94F" w:rsidR="00856B7A" w:rsidRPr="00092862" w:rsidRDefault="00863B50" w:rsidP="00856B7A">
            <w:pPr>
              <w:pStyle w:val="afffff8"/>
              <w:rPr>
                <w:color w:val="000000" w:themeColor="text1"/>
              </w:rPr>
            </w:pPr>
            <w:r w:rsidRPr="00092862">
              <w:rPr>
                <w:color w:val="000000" w:themeColor="text1"/>
              </w:rPr>
              <w:t>152</w:t>
            </w:r>
          </w:p>
        </w:tc>
      </w:tr>
      <w:tr w:rsidR="00697429" w:rsidRPr="00092862" w14:paraId="14AD7349" w14:textId="77777777" w:rsidTr="00E1132F">
        <w:trPr>
          <w:jc w:val="center"/>
        </w:trPr>
        <w:tc>
          <w:tcPr>
            <w:tcW w:w="316" w:type="pct"/>
            <w:vMerge/>
            <w:shd w:val="clear" w:color="auto" w:fill="auto"/>
            <w:vAlign w:val="center"/>
          </w:tcPr>
          <w:p w14:paraId="5C023B86" w14:textId="77777777" w:rsidR="00856B7A" w:rsidRPr="00092862" w:rsidRDefault="00856B7A" w:rsidP="00856B7A">
            <w:pPr>
              <w:pStyle w:val="afffff8"/>
              <w:rPr>
                <w:color w:val="000000" w:themeColor="text1"/>
              </w:rPr>
            </w:pPr>
          </w:p>
        </w:tc>
        <w:tc>
          <w:tcPr>
            <w:tcW w:w="665" w:type="pct"/>
            <w:shd w:val="clear" w:color="auto" w:fill="auto"/>
            <w:vAlign w:val="center"/>
          </w:tcPr>
          <w:p w14:paraId="5CB25A25" w14:textId="77777777" w:rsidR="00856B7A" w:rsidRPr="00092862" w:rsidRDefault="00856B7A" w:rsidP="00856B7A">
            <w:pPr>
              <w:pStyle w:val="afffff8"/>
              <w:rPr>
                <w:color w:val="000000" w:themeColor="text1"/>
              </w:rPr>
            </w:pPr>
            <w:r w:rsidRPr="00092862">
              <w:rPr>
                <w:color w:val="000000" w:themeColor="text1"/>
              </w:rPr>
              <w:t>16#</w:t>
            </w:r>
            <w:r w:rsidRPr="00092862">
              <w:rPr>
                <w:color w:val="000000" w:themeColor="text1"/>
              </w:rPr>
              <w:t>敏感点</w:t>
            </w:r>
          </w:p>
        </w:tc>
        <w:tc>
          <w:tcPr>
            <w:tcW w:w="363" w:type="pct"/>
            <w:shd w:val="clear" w:color="auto" w:fill="auto"/>
            <w:vAlign w:val="center"/>
          </w:tcPr>
          <w:p w14:paraId="41392ECF" w14:textId="76860FE3" w:rsidR="00856B7A" w:rsidRPr="00092862" w:rsidRDefault="00856B7A" w:rsidP="00856B7A">
            <w:pPr>
              <w:pStyle w:val="afffff8"/>
              <w:rPr>
                <w:color w:val="000000" w:themeColor="text1"/>
              </w:rPr>
            </w:pPr>
            <w:r w:rsidRPr="00092862">
              <w:rPr>
                <w:color w:val="000000" w:themeColor="text1"/>
              </w:rPr>
              <w:t>-2690</w:t>
            </w:r>
          </w:p>
        </w:tc>
        <w:tc>
          <w:tcPr>
            <w:tcW w:w="364" w:type="pct"/>
            <w:shd w:val="clear" w:color="auto" w:fill="auto"/>
            <w:vAlign w:val="center"/>
          </w:tcPr>
          <w:p w14:paraId="49C58E38" w14:textId="101C7DD1" w:rsidR="00856B7A" w:rsidRPr="00092862" w:rsidRDefault="00856B7A" w:rsidP="00856B7A">
            <w:pPr>
              <w:pStyle w:val="afffff8"/>
              <w:rPr>
                <w:color w:val="000000" w:themeColor="text1"/>
              </w:rPr>
            </w:pPr>
            <w:r w:rsidRPr="00092862">
              <w:rPr>
                <w:color w:val="000000" w:themeColor="text1"/>
              </w:rPr>
              <w:t>-2800</w:t>
            </w:r>
          </w:p>
        </w:tc>
        <w:tc>
          <w:tcPr>
            <w:tcW w:w="1440" w:type="pct"/>
            <w:shd w:val="clear" w:color="auto" w:fill="auto"/>
          </w:tcPr>
          <w:p w14:paraId="3AEDDE13" w14:textId="244C2598" w:rsidR="00856B7A" w:rsidRPr="00092862" w:rsidRDefault="00856B7A" w:rsidP="00856B7A">
            <w:pPr>
              <w:pStyle w:val="afffff8"/>
              <w:rPr>
                <w:color w:val="000000" w:themeColor="text1"/>
              </w:rPr>
            </w:pPr>
            <w:r w:rsidRPr="00092862">
              <w:rPr>
                <w:color w:val="000000" w:themeColor="text1"/>
              </w:rPr>
              <w:t>4.9933E+01|4.9222E+01</w:t>
            </w:r>
          </w:p>
        </w:tc>
        <w:tc>
          <w:tcPr>
            <w:tcW w:w="979" w:type="pct"/>
            <w:vAlign w:val="center"/>
          </w:tcPr>
          <w:p w14:paraId="526D4FAD" w14:textId="77777777" w:rsidR="00856B7A" w:rsidRPr="00092862" w:rsidRDefault="00856B7A" w:rsidP="00856B7A">
            <w:pPr>
              <w:pStyle w:val="afffff8"/>
              <w:rPr>
                <w:color w:val="000000" w:themeColor="text1"/>
              </w:rPr>
            </w:pPr>
            <w:r w:rsidRPr="00092862">
              <w:rPr>
                <w:color w:val="000000" w:themeColor="text1"/>
              </w:rPr>
              <w:t>38</w:t>
            </w:r>
          </w:p>
        </w:tc>
        <w:tc>
          <w:tcPr>
            <w:tcW w:w="873" w:type="pct"/>
            <w:vAlign w:val="bottom"/>
          </w:tcPr>
          <w:p w14:paraId="46967258" w14:textId="4B5395E2" w:rsidR="00856B7A" w:rsidRPr="00092862" w:rsidRDefault="00863B50" w:rsidP="00856B7A">
            <w:pPr>
              <w:pStyle w:val="afffff8"/>
              <w:rPr>
                <w:color w:val="000000" w:themeColor="text1"/>
              </w:rPr>
            </w:pPr>
            <w:r w:rsidRPr="00092862">
              <w:rPr>
                <w:color w:val="000000" w:themeColor="text1"/>
              </w:rPr>
              <w:t>131</w:t>
            </w:r>
          </w:p>
        </w:tc>
      </w:tr>
    </w:tbl>
    <w:p w14:paraId="42C2A270" w14:textId="7EDCF243"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预测结果分析：发生井喷时，以井口为源点，</w:t>
      </w:r>
      <w:r w:rsidRPr="00092862">
        <w:rPr>
          <w:rFonts w:ascii="Times New Roman" w:hAnsi="Times New Roman"/>
          <w:color w:val="000000" w:themeColor="text1"/>
          <w:lang w:eastAsia="zh-CN"/>
        </w:rPr>
        <w:t>H</w:t>
      </w:r>
      <w:r w:rsidRPr="00092862">
        <w:rPr>
          <w:rFonts w:ascii="Times New Roman" w:hAnsi="Times New Roman"/>
          <w:color w:val="000000" w:themeColor="text1"/>
          <w:vertAlign w:val="subscript"/>
          <w:lang w:eastAsia="zh-CN"/>
        </w:rPr>
        <w:t>2</w:t>
      </w:r>
      <w:r w:rsidRPr="00092862">
        <w:rPr>
          <w:rFonts w:ascii="Times New Roman" w:hAnsi="Times New Roman"/>
          <w:color w:val="000000" w:themeColor="text1"/>
          <w:lang w:eastAsia="zh-CN"/>
        </w:rPr>
        <w:t>S</w:t>
      </w:r>
      <w:r w:rsidRPr="00092862">
        <w:rPr>
          <w:rFonts w:ascii="Times New Roman" w:hAnsi="Times New Roman"/>
          <w:color w:val="000000" w:themeColor="text1"/>
          <w:lang w:eastAsia="zh-CN"/>
        </w:rPr>
        <w:t>扩散后，</w:t>
      </w:r>
      <w:r w:rsidR="00863B50" w:rsidRPr="00092862">
        <w:rPr>
          <w:rFonts w:ascii="Times New Roman" w:hAnsi="Times New Roman"/>
          <w:color w:val="000000" w:themeColor="text1"/>
          <w:lang w:eastAsia="zh-CN"/>
        </w:rPr>
        <w:t>各</w:t>
      </w:r>
      <w:r w:rsidRPr="00092862">
        <w:rPr>
          <w:rFonts w:ascii="Times New Roman" w:hAnsi="Times New Roman"/>
          <w:color w:val="000000" w:themeColor="text1"/>
          <w:lang w:eastAsia="zh-CN"/>
        </w:rPr>
        <w:t>居民点</w:t>
      </w:r>
      <w:r w:rsidR="00863B50" w:rsidRPr="00092862">
        <w:rPr>
          <w:rFonts w:ascii="Times New Roman" w:hAnsi="Times New Roman"/>
          <w:color w:val="000000" w:themeColor="text1"/>
          <w:lang w:eastAsia="zh-CN"/>
        </w:rPr>
        <w:t>均</w:t>
      </w:r>
      <w:r w:rsidRPr="00092862">
        <w:rPr>
          <w:rFonts w:ascii="Times New Roman" w:hAnsi="Times New Roman"/>
          <w:color w:val="000000" w:themeColor="text1"/>
          <w:lang w:eastAsia="zh-CN"/>
        </w:rPr>
        <w:t>出现超过毒性</w:t>
      </w:r>
      <w:r w:rsidR="00863B50" w:rsidRPr="00092862">
        <w:rPr>
          <w:rFonts w:ascii="Times New Roman" w:hAnsi="Times New Roman"/>
          <w:color w:val="000000" w:themeColor="text1"/>
          <w:lang w:eastAsia="zh-CN"/>
        </w:rPr>
        <w:t>终点</w:t>
      </w:r>
      <w:r w:rsidRPr="00092862">
        <w:rPr>
          <w:rFonts w:ascii="Times New Roman" w:hAnsi="Times New Roman"/>
          <w:color w:val="000000" w:themeColor="text1"/>
          <w:lang w:eastAsia="zh-CN"/>
        </w:rPr>
        <w:t>浓度</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的情形</w:t>
      </w:r>
      <w:r w:rsidR="00863B50" w:rsidRPr="00092862">
        <w:rPr>
          <w:rFonts w:ascii="Times New Roman" w:hAnsi="Times New Roman"/>
          <w:color w:val="000000" w:themeColor="text1"/>
          <w:lang w:eastAsia="zh-CN"/>
        </w:rPr>
        <w:t>，特别是</w:t>
      </w:r>
      <w:r w:rsidR="00863B50" w:rsidRPr="00092862">
        <w:rPr>
          <w:rFonts w:ascii="Times New Roman" w:hAnsi="Times New Roman"/>
          <w:color w:val="000000" w:themeColor="text1"/>
          <w:lang w:eastAsia="zh-CN"/>
        </w:rPr>
        <w:t>1#</w:t>
      </w:r>
      <w:r w:rsidR="00863B50" w:rsidRPr="00092862">
        <w:rPr>
          <w:rFonts w:ascii="Times New Roman" w:hAnsi="Times New Roman"/>
          <w:color w:val="000000" w:themeColor="text1"/>
          <w:lang w:eastAsia="zh-CN"/>
        </w:rPr>
        <w:t>敏感点与</w:t>
      </w:r>
      <w:r w:rsidR="00863B50" w:rsidRPr="00092862">
        <w:rPr>
          <w:rFonts w:ascii="Times New Roman" w:hAnsi="Times New Roman"/>
          <w:color w:val="000000" w:themeColor="text1"/>
          <w:lang w:eastAsia="zh-CN"/>
        </w:rPr>
        <w:t>2#</w:t>
      </w:r>
      <w:r w:rsidR="00863B50" w:rsidRPr="00092862">
        <w:rPr>
          <w:rFonts w:ascii="Times New Roman" w:hAnsi="Times New Roman"/>
          <w:color w:val="000000" w:themeColor="text1"/>
          <w:lang w:eastAsia="zh-CN"/>
        </w:rPr>
        <w:t>敏感点距离井口较近的居民点超标较严重</w:t>
      </w:r>
      <w:r w:rsidRPr="00092862">
        <w:rPr>
          <w:rFonts w:ascii="Times New Roman" w:hAnsi="Times New Roman"/>
          <w:color w:val="000000" w:themeColor="text1"/>
          <w:lang w:eastAsia="zh-CN"/>
        </w:rPr>
        <w:t>，故发生风险事故后应重点关注上述区域范围内敏感目标的撤离，同时其他敏感目标也应有序进行撤离。</w:t>
      </w:r>
    </w:p>
    <w:p w14:paraId="3FDE6BE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发生井喷时，以井口为源点，</w:t>
      </w:r>
      <w:r w:rsidRPr="00092862">
        <w:rPr>
          <w:rFonts w:ascii="Times New Roman" w:hAnsi="Times New Roman"/>
          <w:color w:val="000000" w:themeColor="text1"/>
          <w:lang w:eastAsia="zh-CN"/>
        </w:rPr>
        <w:t>CH</w:t>
      </w:r>
      <w:r w:rsidRPr="00092862">
        <w:rPr>
          <w:rFonts w:ascii="Times New Roman" w:hAnsi="Times New Roman"/>
          <w:color w:val="000000" w:themeColor="text1"/>
          <w:vertAlign w:val="subscript"/>
          <w:lang w:eastAsia="zh-CN"/>
        </w:rPr>
        <w:t>4</w:t>
      </w:r>
      <w:r w:rsidRPr="00092862">
        <w:rPr>
          <w:rFonts w:ascii="Times New Roman" w:hAnsi="Times New Roman"/>
          <w:color w:val="000000" w:themeColor="text1"/>
          <w:lang w:eastAsia="zh-CN"/>
        </w:rPr>
        <w:t>扩散后，各敏感点均未出现超标。</w:t>
      </w:r>
    </w:p>
    <w:p w14:paraId="52DDF56D" w14:textId="0486B80E" w:rsidR="00450025" w:rsidRPr="00092862" w:rsidRDefault="00A108E2"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6</w:t>
      </w:r>
      <w:r w:rsidRPr="00092862">
        <w:rPr>
          <w:rFonts w:ascii="Times New Roman" w:hAnsi="Times New Roman"/>
          <w:bCs/>
          <w:color w:val="000000" w:themeColor="text1"/>
          <w:kern w:val="2"/>
          <w:lang w:eastAsia="zh-CN"/>
        </w:rPr>
        <w:t>）普光气田开发运营多年所采取的风险防范措施及效果</w:t>
      </w:r>
    </w:p>
    <w:p w14:paraId="4CD43D8D" w14:textId="5BBC5314" w:rsidR="00A108E2" w:rsidRPr="00092862" w:rsidRDefault="009748F7"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w:t>
      </w:r>
      <w:r w:rsidR="00A108E2" w:rsidRPr="00092862">
        <w:rPr>
          <w:rFonts w:ascii="Times New Roman" w:hAnsi="Times New Roman"/>
          <w:bCs/>
          <w:color w:val="000000" w:themeColor="text1"/>
          <w:kern w:val="2"/>
          <w:lang w:eastAsia="zh-CN"/>
        </w:rPr>
        <w:t>中国石化普光气田开发及川气东送管道工程普光气田开发工程环境风险评价专题报告</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2012</w:t>
      </w:r>
      <w:r w:rsidRPr="00092862">
        <w:rPr>
          <w:rFonts w:ascii="Times New Roman" w:hAnsi="Times New Roman"/>
          <w:bCs/>
          <w:color w:val="000000" w:themeColor="text1"/>
          <w:kern w:val="2"/>
          <w:lang w:eastAsia="zh-CN"/>
        </w:rPr>
        <w:t>年）</w:t>
      </w:r>
      <w:r w:rsidR="00876457" w:rsidRPr="00092862">
        <w:rPr>
          <w:rFonts w:ascii="Times New Roman" w:hAnsi="Times New Roman"/>
          <w:bCs/>
          <w:color w:val="000000" w:themeColor="text1"/>
          <w:kern w:val="2"/>
          <w:lang w:eastAsia="zh-CN"/>
        </w:rPr>
        <w:t>可知，建设单位在历年气田开发生产过程中采取了诸多环保措施，以确保将风险事故降至最低，主要采取了如下措施：</w:t>
      </w:r>
    </w:p>
    <w:p w14:paraId="62CC17C8" w14:textId="67990B82"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①</w:t>
      </w:r>
      <w:r w:rsidRPr="00092862">
        <w:rPr>
          <w:rFonts w:ascii="Times New Roman" w:hAnsi="Times New Roman"/>
          <w:bCs/>
          <w:color w:val="000000" w:themeColor="text1"/>
          <w:kern w:val="2"/>
          <w:lang w:eastAsia="zh-CN"/>
        </w:rPr>
        <w:t>严格落实各项环境风险防范措施，细化程序，明确责任</w:t>
      </w:r>
    </w:p>
    <w:p w14:paraId="72F840BF" w14:textId="77777777"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、严格落实了冬项环境风险防范措施</w:t>
      </w:r>
    </w:p>
    <w:p w14:paraId="2012267C" w14:textId="77777777"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、采取了高标准的技术措施</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采用的工艺技术、管线材质和风险防控措施均是国际最高标准。采用了</w:t>
      </w:r>
      <w:r w:rsidRPr="00092862">
        <w:rPr>
          <w:rFonts w:ascii="Times New Roman" w:hAnsi="Times New Roman"/>
          <w:bCs/>
          <w:color w:val="000000" w:themeColor="text1"/>
          <w:kern w:val="2"/>
          <w:lang w:eastAsia="zh-CN"/>
        </w:rPr>
        <w:t>SCADA</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(ESD</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F-G)</w:t>
      </w:r>
      <w:r w:rsidRPr="00092862">
        <w:rPr>
          <w:rFonts w:ascii="Times New Roman" w:hAnsi="Times New Roman"/>
          <w:bCs/>
          <w:color w:val="000000" w:themeColor="text1"/>
          <w:kern w:val="2"/>
          <w:lang w:eastAsia="zh-CN"/>
        </w:rPr>
        <w:t>火气监测系统、腐蚀监测、</w:t>
      </w:r>
      <w:r w:rsidRPr="00092862">
        <w:rPr>
          <w:rFonts w:ascii="Times New Roman" w:hAnsi="Times New Roman"/>
          <w:bCs/>
          <w:color w:val="000000" w:themeColor="text1"/>
          <w:kern w:val="2"/>
          <w:lang w:eastAsia="zh-CN"/>
        </w:rPr>
        <w:t>ESD</w:t>
      </w:r>
      <w:r w:rsidRPr="00092862">
        <w:rPr>
          <w:rFonts w:ascii="Times New Roman" w:hAnsi="Times New Roman"/>
          <w:bCs/>
          <w:color w:val="000000" w:themeColor="text1"/>
          <w:kern w:val="2"/>
          <w:lang w:eastAsia="zh-CN"/>
        </w:rPr>
        <w:t>等安全防范措施，风险投资达</w:t>
      </w:r>
      <w:r w:rsidRPr="00092862">
        <w:rPr>
          <w:rFonts w:ascii="Times New Roman" w:hAnsi="Times New Roman"/>
          <w:bCs/>
          <w:color w:val="000000" w:themeColor="text1"/>
          <w:kern w:val="2"/>
          <w:lang w:eastAsia="zh-CN"/>
        </w:rPr>
        <w:t>14.1437</w:t>
      </w:r>
      <w:r w:rsidRPr="00092862">
        <w:rPr>
          <w:rFonts w:ascii="Times New Roman" w:hAnsi="Times New Roman"/>
          <w:bCs/>
          <w:color w:val="000000" w:themeColor="text1"/>
          <w:kern w:val="2"/>
          <w:lang w:eastAsia="zh-CN"/>
        </w:rPr>
        <w:t>亿元。</w:t>
      </w:r>
    </w:p>
    <w:p w14:paraId="0775FCDF" w14:textId="77777777"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建立了严格的防范等级：一是采取了目前国际上最高等级的四级防范关断系统，在紧急状态，可对单井、单站、管线、全气田实二紧急关断，采取火妇放空泄乐进行控制保护，有效地杜绝了风险事件的发生，消除了环培事件隐患。二是律成了紧急疏散广播系统建成了紧急疏散广播系统，修建基站</w:t>
      </w:r>
      <w:r w:rsidRPr="00092862">
        <w:rPr>
          <w:rFonts w:ascii="Times New Roman" w:hAnsi="Times New Roman"/>
          <w:bCs/>
          <w:color w:val="000000" w:themeColor="text1"/>
          <w:kern w:val="2"/>
          <w:lang w:eastAsia="zh-CN"/>
        </w:rPr>
        <w:t>6</w:t>
      </w:r>
      <w:r w:rsidRPr="00092862">
        <w:rPr>
          <w:rFonts w:ascii="Times New Roman" w:hAnsi="Times New Roman"/>
          <w:bCs/>
          <w:color w:val="000000" w:themeColor="text1"/>
          <w:kern w:val="2"/>
          <w:lang w:eastAsia="zh-CN"/>
        </w:rPr>
        <w:t>座，安装紧急疏散广播点</w:t>
      </w:r>
      <w:r w:rsidRPr="00092862">
        <w:rPr>
          <w:rFonts w:ascii="Times New Roman" w:hAnsi="Times New Roman"/>
          <w:bCs/>
          <w:color w:val="000000" w:themeColor="text1"/>
          <w:kern w:val="2"/>
          <w:lang w:eastAsia="zh-CN"/>
        </w:rPr>
        <w:t>287</w:t>
      </w:r>
      <w:r w:rsidRPr="00092862">
        <w:rPr>
          <w:rFonts w:ascii="Times New Roman" w:hAnsi="Times New Roman"/>
          <w:bCs/>
          <w:color w:val="000000" w:themeColor="text1"/>
          <w:kern w:val="2"/>
          <w:lang w:eastAsia="zh-CN"/>
        </w:rPr>
        <w:t>个，在每个集气站安装了紧急疏散警报（属防空警报器），声音达</w:t>
      </w:r>
      <w:r w:rsidRPr="00092862">
        <w:rPr>
          <w:rFonts w:ascii="Times New Roman" w:hAnsi="Times New Roman"/>
          <w:bCs/>
          <w:color w:val="000000" w:themeColor="text1"/>
          <w:kern w:val="2"/>
          <w:lang w:eastAsia="zh-CN"/>
        </w:rPr>
        <w:t>123</w:t>
      </w:r>
      <w:r w:rsidRPr="00092862">
        <w:rPr>
          <w:rFonts w:ascii="Times New Roman" w:hAnsi="Times New Roman"/>
          <w:bCs/>
          <w:color w:val="000000" w:themeColor="text1"/>
          <w:kern w:val="2"/>
          <w:lang w:eastAsia="zh-CN"/>
        </w:rPr>
        <w:t>分贝，可覆盖场站周边</w:t>
      </w:r>
      <w:r w:rsidRPr="00092862">
        <w:rPr>
          <w:rFonts w:ascii="Times New Roman" w:hAnsi="Times New Roman"/>
          <w:bCs/>
          <w:color w:val="000000" w:themeColor="text1"/>
          <w:kern w:val="2"/>
          <w:lang w:eastAsia="zh-CN"/>
        </w:rPr>
        <w:t>2km</w:t>
      </w:r>
      <w:r w:rsidRPr="00092862">
        <w:rPr>
          <w:rFonts w:ascii="Times New Roman" w:hAnsi="Times New Roman"/>
          <w:bCs/>
          <w:color w:val="000000" w:themeColor="text1"/>
          <w:kern w:val="2"/>
          <w:lang w:eastAsia="zh-CN"/>
        </w:rPr>
        <w:t>。通过飞信及应急广播系统，及时通知周边村民。在居民密集的地方设置了逃生方向示意图。每个集气站周边有</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个以上的紧急集合点。</w:t>
      </w:r>
    </w:p>
    <w:p w14:paraId="4DF9DDF0" w14:textId="77777777"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c</w:t>
      </w:r>
      <w:r w:rsidRPr="00092862">
        <w:rPr>
          <w:rFonts w:ascii="Times New Roman" w:hAnsi="Times New Roman"/>
          <w:bCs/>
          <w:color w:val="000000" w:themeColor="text1"/>
          <w:kern w:val="2"/>
          <w:lang w:eastAsia="zh-CN"/>
        </w:rPr>
        <w:t>、完善了</w:t>
      </w:r>
      <w:r w:rsidRPr="00092862">
        <w:rPr>
          <w:rFonts w:ascii="Times New Roman" w:hAnsi="Times New Roman"/>
          <w:bCs/>
          <w:color w:val="000000" w:themeColor="text1"/>
          <w:kern w:val="2"/>
          <w:lang w:eastAsia="zh-CN"/>
        </w:rPr>
        <w:t>HSE</w:t>
      </w:r>
      <w:r w:rsidRPr="00092862">
        <w:rPr>
          <w:rFonts w:ascii="Times New Roman" w:hAnsi="Times New Roman"/>
          <w:bCs/>
          <w:color w:val="000000" w:themeColor="text1"/>
          <w:kern w:val="2"/>
          <w:lang w:eastAsia="zh-CN"/>
        </w:rPr>
        <w:t>管理体系：一是集输系统建成火气检测系统</w:t>
      </w:r>
      <w:r w:rsidRPr="00092862">
        <w:rPr>
          <w:rFonts w:ascii="Times New Roman" w:hAnsi="Times New Roman"/>
          <w:bCs/>
          <w:color w:val="000000" w:themeColor="text1"/>
          <w:kern w:val="2"/>
          <w:lang w:eastAsia="zh-CN"/>
        </w:rPr>
        <w:t>(FCS)</w:t>
      </w:r>
      <w:r w:rsidRPr="00092862">
        <w:rPr>
          <w:rFonts w:ascii="Times New Roman" w:hAnsi="Times New Roman"/>
          <w:bCs/>
          <w:color w:val="000000" w:themeColor="text1"/>
          <w:kern w:val="2"/>
          <w:lang w:eastAsia="zh-CN"/>
        </w:rPr>
        <w:t>、腐蚀监测和视频监控系统，在站场、阀室、管线和隧道等部位安装了硫化氢检测仪</w:t>
      </w:r>
      <w:r w:rsidRPr="00092862">
        <w:rPr>
          <w:rFonts w:ascii="Times New Roman" w:hAnsi="Times New Roman"/>
          <w:bCs/>
          <w:color w:val="000000" w:themeColor="text1"/>
          <w:kern w:val="2"/>
          <w:lang w:eastAsia="zh-CN"/>
        </w:rPr>
        <w:t>376</w:t>
      </w:r>
      <w:r w:rsidRPr="00092862">
        <w:rPr>
          <w:rFonts w:ascii="Times New Roman" w:hAnsi="Times New Roman"/>
          <w:bCs/>
          <w:color w:val="000000" w:themeColor="text1"/>
          <w:kern w:val="2"/>
          <w:lang w:eastAsia="zh-CN"/>
        </w:rPr>
        <w:t>个、可燃气体检测仪</w:t>
      </w:r>
      <w:r w:rsidRPr="00092862">
        <w:rPr>
          <w:rFonts w:ascii="Times New Roman" w:hAnsi="Times New Roman"/>
          <w:bCs/>
          <w:color w:val="000000" w:themeColor="text1"/>
          <w:kern w:val="2"/>
          <w:lang w:eastAsia="zh-CN"/>
        </w:rPr>
        <w:t>305</w:t>
      </w:r>
      <w:r w:rsidRPr="00092862">
        <w:rPr>
          <w:rFonts w:ascii="Times New Roman" w:hAnsi="Times New Roman"/>
          <w:bCs/>
          <w:color w:val="000000" w:themeColor="text1"/>
          <w:kern w:val="2"/>
          <w:lang w:eastAsia="zh-CN"/>
        </w:rPr>
        <w:t>个、火焰探测器</w:t>
      </w:r>
      <w:r w:rsidRPr="00092862">
        <w:rPr>
          <w:rFonts w:ascii="Times New Roman" w:hAnsi="Times New Roman"/>
          <w:bCs/>
          <w:color w:val="000000" w:themeColor="text1"/>
          <w:kern w:val="2"/>
          <w:lang w:eastAsia="zh-CN"/>
        </w:rPr>
        <w:t>124</w:t>
      </w:r>
      <w:r w:rsidRPr="00092862">
        <w:rPr>
          <w:rFonts w:ascii="Times New Roman" w:hAnsi="Times New Roman"/>
          <w:bCs/>
          <w:color w:val="000000" w:themeColor="text1"/>
          <w:kern w:val="2"/>
          <w:lang w:eastAsia="zh-CN"/>
        </w:rPr>
        <w:t>个、腐蚀监测仪</w:t>
      </w:r>
      <w:r w:rsidRPr="00092862">
        <w:rPr>
          <w:rFonts w:ascii="Times New Roman" w:hAnsi="Times New Roman"/>
          <w:bCs/>
          <w:color w:val="000000" w:themeColor="text1"/>
          <w:kern w:val="2"/>
          <w:lang w:eastAsia="zh-CN"/>
        </w:rPr>
        <w:t>309</w:t>
      </w:r>
      <w:r w:rsidRPr="00092862">
        <w:rPr>
          <w:rFonts w:ascii="Times New Roman" w:hAnsi="Times New Roman"/>
          <w:bCs/>
          <w:color w:val="000000" w:themeColor="text1"/>
          <w:kern w:val="2"/>
          <w:lang w:eastAsia="zh-CN"/>
        </w:rPr>
        <w:t>个、电指纹监测仪</w:t>
      </w:r>
      <w:r w:rsidRPr="00092862">
        <w:rPr>
          <w:rFonts w:ascii="Times New Roman" w:hAnsi="Times New Roman"/>
          <w:bCs/>
          <w:color w:val="000000" w:themeColor="text1"/>
          <w:kern w:val="2"/>
          <w:lang w:eastAsia="zh-CN"/>
        </w:rPr>
        <w:t>19</w:t>
      </w:r>
      <w:r w:rsidRPr="00092862">
        <w:rPr>
          <w:rFonts w:ascii="Times New Roman" w:hAnsi="Times New Roman"/>
          <w:bCs/>
          <w:color w:val="000000" w:themeColor="text1"/>
          <w:kern w:val="2"/>
          <w:lang w:eastAsia="zh-CN"/>
        </w:rPr>
        <w:t>个、视频摄像头</w:t>
      </w:r>
      <w:r w:rsidRPr="00092862">
        <w:rPr>
          <w:rFonts w:ascii="Times New Roman" w:hAnsi="Times New Roman"/>
          <w:bCs/>
          <w:color w:val="000000" w:themeColor="text1"/>
          <w:kern w:val="2"/>
          <w:lang w:eastAsia="zh-CN"/>
        </w:rPr>
        <w:t>120</w:t>
      </w:r>
      <w:r w:rsidRPr="00092862">
        <w:rPr>
          <w:rFonts w:ascii="Times New Roman" w:hAnsi="Times New Roman"/>
          <w:bCs/>
          <w:color w:val="000000" w:themeColor="text1"/>
          <w:kern w:val="2"/>
          <w:lang w:eastAsia="zh-CN"/>
        </w:rPr>
        <w:t>个是对投产每个站场、管道和每套装置等都进行消气防监护，储备了充足的应急物资和设备，建立了普光气田生态安全监控系统，对区域大气、水质和土壤进行监测。三是按照</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一点一事一策一案</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的原则，编制了一个总体预案，</w:t>
      </w:r>
      <w:r w:rsidRPr="00092862">
        <w:rPr>
          <w:rFonts w:ascii="Times New Roman" w:hAnsi="Times New Roman"/>
          <w:bCs/>
          <w:color w:val="000000" w:themeColor="text1"/>
          <w:kern w:val="2"/>
          <w:lang w:eastAsia="zh-CN"/>
        </w:rPr>
        <w:t>9</w:t>
      </w:r>
      <w:r w:rsidRPr="00092862">
        <w:rPr>
          <w:rFonts w:ascii="Times New Roman" w:hAnsi="Times New Roman"/>
          <w:bCs/>
          <w:color w:val="000000" w:themeColor="text1"/>
          <w:kern w:val="2"/>
          <w:lang w:eastAsia="zh-CN"/>
        </w:rPr>
        <w:t>类专项预案，</w:t>
      </w:r>
      <w:r w:rsidRPr="00092862">
        <w:rPr>
          <w:rFonts w:ascii="Times New Roman" w:hAnsi="Times New Roman"/>
          <w:bCs/>
          <w:color w:val="000000" w:themeColor="text1"/>
          <w:kern w:val="2"/>
          <w:lang w:eastAsia="zh-CN"/>
        </w:rPr>
        <w:t>122</w:t>
      </w:r>
      <w:r w:rsidRPr="00092862">
        <w:rPr>
          <w:rFonts w:ascii="Times New Roman" w:hAnsi="Times New Roman"/>
          <w:bCs/>
          <w:color w:val="000000" w:themeColor="text1"/>
          <w:kern w:val="2"/>
          <w:lang w:eastAsia="zh-CN"/>
        </w:rPr>
        <w:t>项子预案。其中包括井喷、硫化氢泄漏和水体污染环境风险应急预案。按照投产方案开展不同级别应急演练，对应急</w:t>
      </w:r>
      <w:r w:rsidRPr="00092862">
        <w:rPr>
          <w:rFonts w:ascii="Times New Roman" w:hAnsi="Times New Roman"/>
          <w:bCs/>
          <w:color w:val="000000" w:themeColor="text1"/>
          <w:kern w:val="2"/>
          <w:lang w:eastAsia="zh-CN"/>
        </w:rPr>
        <w:lastRenderedPageBreak/>
        <w:t>指挥系统进行穿行测试，验证了页案的适用性和可操作性，检验了普光气田的应急处置能力和企地双方协同作战能力及组织疏散能力，集气站每周演练一次应急预案不气区每月演练一次，采气厂每季演练一次，企地联动半年一次。</w:t>
      </w:r>
    </w:p>
    <w:p w14:paraId="01056F3C" w14:textId="77777777"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、细化了管理程序，明确了责任</w:t>
      </w:r>
    </w:p>
    <w:p w14:paraId="3E9B8B01" w14:textId="4ACE9C5A"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、编制了</w:t>
      </w:r>
      <w:r w:rsidRPr="00092862">
        <w:rPr>
          <w:rFonts w:ascii="Times New Roman" w:hAnsi="Times New Roman"/>
          <w:bCs/>
          <w:color w:val="000000" w:themeColor="text1"/>
          <w:kern w:val="2"/>
          <w:lang w:eastAsia="zh-CN"/>
        </w:rPr>
        <w:t>140</w:t>
      </w:r>
      <w:r w:rsidRPr="00092862">
        <w:rPr>
          <w:rFonts w:ascii="Times New Roman" w:hAnsi="Times New Roman"/>
          <w:bCs/>
          <w:color w:val="000000" w:themeColor="text1"/>
          <w:kern w:val="2"/>
          <w:lang w:eastAsia="zh-CN"/>
        </w:rPr>
        <w:t>项操作规程。</w:t>
      </w:r>
    </w:p>
    <w:p w14:paraId="3E244686" w14:textId="697E618B" w:rsidR="00876457" w:rsidRPr="00092862" w:rsidRDefault="00876457" w:rsidP="0087645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、编制了</w:t>
      </w:r>
      <w:r w:rsidRPr="00092862">
        <w:rPr>
          <w:rFonts w:ascii="Times New Roman" w:hAnsi="Times New Roman"/>
          <w:bCs/>
          <w:color w:val="000000" w:themeColor="text1"/>
          <w:kern w:val="2"/>
          <w:lang w:eastAsia="zh-CN"/>
        </w:rPr>
        <w:t>123</w:t>
      </w:r>
      <w:r w:rsidRPr="00092862">
        <w:rPr>
          <w:rFonts w:ascii="Times New Roman" w:hAnsi="Times New Roman"/>
          <w:bCs/>
          <w:color w:val="000000" w:themeColor="text1"/>
          <w:kern w:val="2"/>
          <w:lang w:eastAsia="zh-CN"/>
        </w:rPr>
        <w:t>项岗位</w:t>
      </w:r>
      <w:r w:rsidRPr="00092862">
        <w:rPr>
          <w:rFonts w:ascii="Times New Roman" w:hAnsi="Times New Roman"/>
          <w:bCs/>
          <w:color w:val="000000" w:themeColor="text1"/>
          <w:kern w:val="2"/>
          <w:lang w:eastAsia="zh-CN"/>
        </w:rPr>
        <w:t>HSE</w:t>
      </w:r>
      <w:r w:rsidRPr="00092862">
        <w:rPr>
          <w:rFonts w:ascii="Times New Roman" w:hAnsi="Times New Roman"/>
          <w:bCs/>
          <w:color w:val="000000" w:themeColor="text1"/>
          <w:kern w:val="2"/>
          <w:lang w:eastAsia="zh-CN"/>
        </w:rPr>
        <w:t>职责。</w:t>
      </w:r>
    </w:p>
    <w:p w14:paraId="24551A58" w14:textId="1CFC1EDF" w:rsidR="00876457" w:rsidRPr="00092862" w:rsidRDefault="00876457" w:rsidP="00876457">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②</w:t>
      </w:r>
      <w:r w:rsidRPr="00092862">
        <w:rPr>
          <w:rFonts w:ascii="Times New Roman" w:hAnsi="Times New Roman"/>
          <w:bCs/>
          <w:color w:val="000000" w:themeColor="text1"/>
          <w:kern w:val="2"/>
          <w:lang w:eastAsia="zh-CN"/>
        </w:rPr>
        <w:t>落实发生井喷失控（或放喷）时</w:t>
      </w: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分钟内实施点火、</w:t>
      </w:r>
      <w:r w:rsidRPr="00092862">
        <w:rPr>
          <w:rFonts w:ascii="Times New Roman" w:hAnsi="Times New Roman"/>
          <w:bCs/>
          <w:color w:val="000000" w:themeColor="text1"/>
          <w:kern w:val="2"/>
          <w:lang w:eastAsia="zh-CN"/>
        </w:rPr>
        <w:t>30</w:t>
      </w:r>
      <w:r w:rsidRPr="00092862">
        <w:rPr>
          <w:rFonts w:ascii="Times New Roman" w:hAnsi="Times New Roman"/>
          <w:bCs/>
          <w:color w:val="000000" w:themeColor="text1"/>
          <w:kern w:val="2"/>
          <w:lang w:eastAsia="zh-CN"/>
        </w:rPr>
        <w:t>分钟内紧急疏散伤害浓度范围内居民的措施</w:t>
      </w:r>
    </w:p>
    <w:p w14:paraId="3E0AB222" w14:textId="03636057" w:rsidR="00876457" w:rsidRPr="00092862" w:rsidRDefault="00876457"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、已在有关规章制度和应急预案中规定了发生并喷失控</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或放喷</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时</w:t>
      </w: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分钟内实施点火、</w:t>
      </w:r>
      <w:r w:rsidRPr="00092862">
        <w:rPr>
          <w:rFonts w:ascii="Times New Roman" w:hAnsi="Times New Roman"/>
          <w:bCs/>
          <w:color w:val="000000" w:themeColor="text1"/>
          <w:kern w:val="2"/>
          <w:lang w:eastAsia="zh-CN"/>
        </w:rPr>
        <w:t>30</w:t>
      </w:r>
      <w:r w:rsidRPr="00092862">
        <w:rPr>
          <w:rFonts w:ascii="Times New Roman" w:hAnsi="Times New Roman"/>
          <w:bCs/>
          <w:color w:val="000000" w:themeColor="text1"/>
          <w:kern w:val="2"/>
          <w:lang w:eastAsia="zh-CN"/>
        </w:rPr>
        <w:t>分钟内紧急疏散伤害浓度范围内居民的措施。</w:t>
      </w:r>
    </w:p>
    <w:p w14:paraId="47B1DFC7" w14:textId="77777777" w:rsidR="00876457" w:rsidRPr="00092862" w:rsidRDefault="00876457"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、与北京理工大学联合研制了并喷失控</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或放喷</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点火枪</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火焰喷射器</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，可按指今立即实施点火。</w:t>
      </w:r>
    </w:p>
    <w:p w14:paraId="4B9B5138" w14:textId="77777777" w:rsidR="00876457" w:rsidRPr="00092862" w:rsidRDefault="00876457"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、建立了应急疏散广播系统、紧急疏散警报和飞信通知系统，确保伤害浓度范围内居民得到及时疏散。</w:t>
      </w:r>
    </w:p>
    <w:p w14:paraId="7CCC512E" w14:textId="34CBFC74" w:rsidR="00876457" w:rsidRPr="00092862" w:rsidRDefault="00876457"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、截止</w:t>
      </w:r>
      <w:r w:rsidRPr="00092862">
        <w:rPr>
          <w:rFonts w:ascii="Times New Roman" w:hAnsi="Times New Roman"/>
          <w:bCs/>
          <w:color w:val="000000" w:themeColor="text1"/>
          <w:kern w:val="2"/>
          <w:lang w:eastAsia="zh-CN"/>
        </w:rPr>
        <w:t>2012</w:t>
      </w:r>
      <w:r w:rsidRPr="00092862">
        <w:rPr>
          <w:rFonts w:ascii="Times New Roman" w:hAnsi="Times New Roman"/>
          <w:bCs/>
          <w:color w:val="000000" w:themeColor="text1"/>
          <w:kern w:val="2"/>
          <w:lang w:eastAsia="zh-CN"/>
        </w:rPr>
        <w:t>年普光气钻井工程全部顺利完成</w:t>
      </w:r>
      <w:r w:rsidR="00287B90" w:rsidRPr="00092862">
        <w:rPr>
          <w:rFonts w:ascii="Times New Roman" w:hAnsi="Times New Roman"/>
          <w:bCs/>
          <w:color w:val="000000" w:themeColor="text1"/>
          <w:kern w:val="2"/>
          <w:lang w:eastAsia="zh-CN"/>
        </w:rPr>
        <w:t>的钻井均</w:t>
      </w:r>
      <w:r w:rsidRPr="00092862">
        <w:rPr>
          <w:rFonts w:ascii="Times New Roman" w:hAnsi="Times New Roman"/>
          <w:bCs/>
          <w:color w:val="000000" w:themeColor="text1"/>
          <w:kern w:val="2"/>
          <w:lang w:eastAsia="zh-CN"/>
        </w:rPr>
        <w:t>未发生喷失控事故。</w:t>
      </w:r>
    </w:p>
    <w:p w14:paraId="25F0ACFC" w14:textId="54D5677E" w:rsidR="00876457"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③</w:t>
      </w:r>
      <w:r w:rsidRPr="00092862">
        <w:rPr>
          <w:rFonts w:ascii="Times New Roman" w:hAnsi="Times New Roman"/>
          <w:bCs/>
          <w:color w:val="000000" w:themeColor="text1"/>
          <w:kern w:val="2"/>
          <w:lang w:eastAsia="zh-CN"/>
        </w:rPr>
        <w:t>采取加密截断阀、加大管壁厚度、采用抗硫化氢材料、腐蚀在线检测系统等措施，降低气田集气管道风险事故概率</w:t>
      </w:r>
    </w:p>
    <w:p w14:paraId="11523A99" w14:textId="16AB757F"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、已在工程设计、安全环保专篇落实，并已按要求完成施工。</w:t>
      </w:r>
    </w:p>
    <w:p w14:paraId="5AC264EB" w14:textId="77777777"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、根据每两个</w:t>
      </w:r>
      <w:r w:rsidRPr="00092862">
        <w:rPr>
          <w:rFonts w:ascii="Times New Roman" w:hAnsi="Times New Roman"/>
          <w:bCs/>
          <w:color w:val="000000" w:themeColor="text1"/>
          <w:kern w:val="2"/>
          <w:lang w:eastAsia="zh-CN"/>
        </w:rPr>
        <w:t>BV</w:t>
      </w:r>
      <w:r w:rsidRPr="00092862">
        <w:rPr>
          <w:rFonts w:ascii="Times New Roman" w:hAnsi="Times New Roman"/>
          <w:bCs/>
          <w:color w:val="000000" w:themeColor="text1"/>
          <w:kern w:val="2"/>
          <w:lang w:eastAsia="zh-CN"/>
        </w:rPr>
        <w:t>阀室间管道含硫化氢气体</w:t>
      </w:r>
      <w:r w:rsidRPr="00092862">
        <w:rPr>
          <w:rFonts w:ascii="Times New Roman" w:hAnsi="Times New Roman"/>
          <w:bCs/>
          <w:color w:val="000000" w:themeColor="text1"/>
          <w:kern w:val="2"/>
          <w:lang w:eastAsia="zh-CN"/>
        </w:rPr>
        <w:t>1400m</w:t>
      </w:r>
      <w:r w:rsidRPr="00092862">
        <w:rPr>
          <w:rFonts w:ascii="Times New Roman" w:hAnsi="Times New Roman"/>
          <w:bCs/>
          <w:color w:val="000000" w:themeColor="text1"/>
          <w:kern w:val="2"/>
          <w:vertAlign w:val="superscript"/>
          <w:lang w:eastAsia="zh-CN"/>
        </w:rPr>
        <w:t>3</w:t>
      </w:r>
      <w:r w:rsidRPr="00092862">
        <w:rPr>
          <w:rFonts w:ascii="Times New Roman" w:hAnsi="Times New Roman"/>
          <w:bCs/>
          <w:color w:val="000000" w:themeColor="text1"/>
          <w:kern w:val="2"/>
          <w:lang w:eastAsia="zh-CN"/>
        </w:rPr>
        <w:t>的限值，在普光主体集输管道共设置</w:t>
      </w:r>
      <w:r w:rsidRPr="00092862">
        <w:rPr>
          <w:rFonts w:ascii="Times New Roman" w:hAnsi="Times New Roman"/>
          <w:bCs/>
          <w:color w:val="000000" w:themeColor="text1"/>
          <w:kern w:val="2"/>
          <w:lang w:eastAsia="zh-CN"/>
        </w:rPr>
        <w:t>29</w:t>
      </w:r>
      <w:r w:rsidRPr="00092862">
        <w:rPr>
          <w:rFonts w:ascii="Times New Roman" w:hAnsi="Times New Roman"/>
          <w:bCs/>
          <w:color w:val="000000" w:themeColor="text1"/>
          <w:kern w:val="2"/>
          <w:lang w:eastAsia="zh-CN"/>
        </w:rPr>
        <w:t>座酸气阀室，安装了</w:t>
      </w:r>
      <w:r w:rsidRPr="00092862">
        <w:rPr>
          <w:rFonts w:ascii="Times New Roman" w:hAnsi="Times New Roman"/>
          <w:bCs/>
          <w:color w:val="000000" w:themeColor="text1"/>
          <w:kern w:val="2"/>
          <w:lang w:eastAsia="zh-CN"/>
        </w:rPr>
        <w:t>43</w:t>
      </w:r>
      <w:r w:rsidRPr="00092862">
        <w:rPr>
          <w:rFonts w:ascii="Times New Roman" w:hAnsi="Times New Roman"/>
          <w:bCs/>
          <w:color w:val="000000" w:themeColor="text1"/>
          <w:kern w:val="2"/>
          <w:lang w:eastAsia="zh-CN"/>
        </w:rPr>
        <w:t>台紧急切断阀</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液联动球阀</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，可在管段发生泄漏达至压降速率设定值</w:t>
      </w:r>
      <w:r w:rsidRPr="00092862">
        <w:rPr>
          <w:rFonts w:ascii="Times New Roman" w:hAnsi="Times New Roman"/>
          <w:bCs/>
          <w:color w:val="000000" w:themeColor="text1"/>
          <w:kern w:val="2"/>
          <w:lang w:eastAsia="zh-CN"/>
        </w:rPr>
        <w:t>(0.3Mpa/min)</w:t>
      </w:r>
      <w:r w:rsidRPr="00092862">
        <w:rPr>
          <w:rFonts w:ascii="Times New Roman" w:hAnsi="Times New Roman"/>
          <w:bCs/>
          <w:color w:val="000000" w:themeColor="text1"/>
          <w:kern w:val="2"/>
          <w:lang w:eastAsia="zh-CN"/>
        </w:rPr>
        <w:t>时，自动关断泄漏点上下游阀门，控制泄漏量。在阀室都设置了固定式硫化氢气体检测仪及可燃气体探测仪，可以实现远程监控。</w:t>
      </w:r>
    </w:p>
    <w:p w14:paraId="0179D9F6" w14:textId="77777777"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C</w:t>
      </w:r>
      <w:r w:rsidRPr="00092862">
        <w:rPr>
          <w:rFonts w:ascii="Times New Roman" w:hAnsi="Times New Roman"/>
          <w:bCs/>
          <w:color w:val="000000" w:themeColor="text1"/>
          <w:kern w:val="2"/>
          <w:lang w:eastAsia="zh-CN"/>
        </w:rPr>
        <w:t>、集气管道采用</w:t>
      </w:r>
      <w:r w:rsidRPr="00092862">
        <w:rPr>
          <w:rFonts w:ascii="Times New Roman" w:hAnsi="Times New Roman"/>
          <w:bCs/>
          <w:color w:val="000000" w:themeColor="text1"/>
          <w:kern w:val="2"/>
          <w:lang w:eastAsia="zh-CN"/>
        </w:rPr>
        <w:t>L360QCS</w:t>
      </w:r>
      <w:r w:rsidRPr="00092862">
        <w:rPr>
          <w:rFonts w:ascii="Times New Roman" w:hAnsi="Times New Roman"/>
          <w:bCs/>
          <w:color w:val="000000" w:themeColor="text1"/>
          <w:kern w:val="2"/>
          <w:lang w:eastAsia="zh-CN"/>
        </w:rPr>
        <w:t>抗疏材质，腐蚀余量为</w:t>
      </w:r>
      <w:r w:rsidRPr="00092862">
        <w:rPr>
          <w:rFonts w:ascii="Times New Roman" w:hAnsi="Times New Roman"/>
          <w:bCs/>
          <w:color w:val="000000" w:themeColor="text1"/>
          <w:kern w:val="2"/>
          <w:lang w:eastAsia="zh-CN"/>
        </w:rPr>
        <w:t>3.2mm</w:t>
      </w:r>
      <w:r w:rsidRPr="00092862">
        <w:rPr>
          <w:rFonts w:ascii="Times New Roman" w:hAnsi="Times New Roman"/>
          <w:bCs/>
          <w:color w:val="000000" w:themeColor="text1"/>
          <w:kern w:val="2"/>
          <w:lang w:eastAsia="zh-CN"/>
        </w:rPr>
        <w:t>，加大了管壁厚度。根据腐蚀监控实测数据，集气站场电阻探针监测的总体平约腐蚀速率为</w:t>
      </w:r>
      <w:r w:rsidRPr="00092862">
        <w:rPr>
          <w:rFonts w:ascii="Times New Roman" w:hAnsi="Times New Roman"/>
          <w:bCs/>
          <w:color w:val="000000" w:themeColor="text1"/>
          <w:kern w:val="2"/>
          <w:lang w:eastAsia="zh-CN"/>
        </w:rPr>
        <w:t>0.0262mm/a</w:t>
      </w:r>
      <w:r w:rsidRPr="00092862">
        <w:rPr>
          <w:rFonts w:ascii="Times New Roman" w:hAnsi="Times New Roman"/>
          <w:bCs/>
          <w:color w:val="000000" w:themeColor="text1"/>
          <w:kern w:val="2"/>
          <w:lang w:eastAsia="zh-CN"/>
        </w:rPr>
        <w:t>、集输管线上冬阀室电指纹</w:t>
      </w:r>
      <w:r w:rsidRPr="00092862">
        <w:rPr>
          <w:rFonts w:ascii="Times New Roman" w:hAnsi="Times New Roman"/>
          <w:bCs/>
          <w:color w:val="000000" w:themeColor="text1"/>
          <w:kern w:val="2"/>
          <w:lang w:eastAsia="zh-CN"/>
        </w:rPr>
        <w:t>(FSM)</w:t>
      </w:r>
      <w:r w:rsidRPr="00092862">
        <w:rPr>
          <w:rFonts w:ascii="Times New Roman" w:hAnsi="Times New Roman"/>
          <w:bCs/>
          <w:color w:val="000000" w:themeColor="text1"/>
          <w:kern w:val="2"/>
          <w:lang w:eastAsia="zh-CN"/>
        </w:rPr>
        <w:t>监测的总体平均腐速率为</w:t>
      </w:r>
      <w:r w:rsidRPr="00092862">
        <w:rPr>
          <w:rFonts w:ascii="Times New Roman" w:hAnsi="Times New Roman"/>
          <w:bCs/>
          <w:color w:val="000000" w:themeColor="text1"/>
          <w:kern w:val="2"/>
          <w:lang w:eastAsia="zh-CN"/>
        </w:rPr>
        <w:t>0.0328mm/a</w:t>
      </w:r>
      <w:r w:rsidRPr="00092862">
        <w:rPr>
          <w:rFonts w:ascii="Times New Roman" w:hAnsi="Times New Roman"/>
          <w:bCs/>
          <w:color w:val="000000" w:themeColor="text1"/>
          <w:kern w:val="2"/>
          <w:lang w:eastAsia="zh-CN"/>
        </w:rPr>
        <w:t>、站场腐蚀挂片监测的总体平均腐蚀速率为</w:t>
      </w:r>
      <w:r w:rsidRPr="00092862">
        <w:rPr>
          <w:rFonts w:ascii="Times New Roman" w:hAnsi="Times New Roman"/>
          <w:bCs/>
          <w:color w:val="000000" w:themeColor="text1"/>
          <w:kern w:val="2"/>
          <w:lang w:eastAsia="zh-CN"/>
        </w:rPr>
        <w:t>0.0329mm/a</w:t>
      </w:r>
      <w:r w:rsidRPr="00092862">
        <w:rPr>
          <w:rFonts w:ascii="Times New Roman" w:hAnsi="Times New Roman"/>
          <w:bCs/>
          <w:color w:val="000000" w:themeColor="text1"/>
          <w:kern w:val="2"/>
          <w:lang w:eastAsia="zh-CN"/>
        </w:rPr>
        <w:t>，总体的平均腐蚀速率低于推荐标准</w:t>
      </w:r>
      <w:r w:rsidRPr="00092862">
        <w:rPr>
          <w:rFonts w:ascii="Times New Roman" w:hAnsi="Times New Roman"/>
          <w:bCs/>
          <w:color w:val="000000" w:themeColor="text1"/>
          <w:kern w:val="2"/>
          <w:lang w:eastAsia="zh-CN"/>
        </w:rPr>
        <w:t>0.076mm/a</w:t>
      </w:r>
      <w:r w:rsidRPr="00092862">
        <w:rPr>
          <w:rFonts w:ascii="Times New Roman" w:hAnsi="Times New Roman"/>
          <w:bCs/>
          <w:color w:val="000000" w:themeColor="text1"/>
          <w:kern w:val="2"/>
          <w:lang w:eastAsia="zh-CN"/>
        </w:rPr>
        <w:t>，在受控范围以内。</w:t>
      </w:r>
    </w:p>
    <w:p w14:paraId="02A86663" w14:textId="50A748A8"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D</w:t>
      </w:r>
      <w:r w:rsidRPr="00092862">
        <w:rPr>
          <w:rFonts w:ascii="Times New Roman" w:hAnsi="Times New Roman"/>
          <w:bCs/>
          <w:color w:val="000000" w:themeColor="text1"/>
          <w:kern w:val="2"/>
          <w:lang w:eastAsia="zh-CN"/>
        </w:rPr>
        <w:t>、普光集气集输管道采用强制电流阴极保护，共设</w:t>
      </w:r>
      <w:r w:rsidRPr="00092862">
        <w:rPr>
          <w:rFonts w:ascii="Times New Roman" w:hAnsi="Times New Roman"/>
          <w:bCs/>
          <w:color w:val="000000" w:themeColor="text1"/>
          <w:kern w:val="2"/>
          <w:lang w:eastAsia="zh-CN"/>
        </w:rPr>
        <w:t>6</w:t>
      </w:r>
      <w:r w:rsidRPr="00092862">
        <w:rPr>
          <w:rFonts w:ascii="Times New Roman" w:hAnsi="Times New Roman"/>
          <w:bCs/>
          <w:color w:val="000000" w:themeColor="text1"/>
          <w:kern w:val="2"/>
          <w:lang w:eastAsia="zh-CN"/>
        </w:rPr>
        <w:t>座阴极保护站，分别位于集气末站、</w:t>
      </w:r>
      <w:r w:rsidRPr="00092862">
        <w:rPr>
          <w:rFonts w:ascii="Times New Roman" w:hAnsi="Times New Roman"/>
          <w:bCs/>
          <w:color w:val="000000" w:themeColor="text1"/>
          <w:kern w:val="2"/>
          <w:lang w:eastAsia="zh-CN"/>
        </w:rPr>
        <w:t>P301</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P304</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P202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P102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P104</w:t>
      </w:r>
      <w:r w:rsidRPr="00092862">
        <w:rPr>
          <w:rFonts w:ascii="Times New Roman" w:hAnsi="Times New Roman"/>
          <w:bCs/>
          <w:color w:val="000000" w:themeColor="text1"/>
          <w:kern w:val="2"/>
          <w:lang w:eastAsia="zh-CN"/>
        </w:rPr>
        <w:t>集气站。名阴极保护站设备输出信号及管道沿线保护电位，接入站控室</w:t>
      </w:r>
      <w:r w:rsidRPr="00092862">
        <w:rPr>
          <w:rFonts w:ascii="Times New Roman" w:hAnsi="Times New Roman"/>
          <w:bCs/>
          <w:color w:val="000000" w:themeColor="text1"/>
          <w:kern w:val="2"/>
          <w:lang w:eastAsia="zh-CN"/>
        </w:rPr>
        <w:t>PLC</w:t>
      </w:r>
      <w:r w:rsidRPr="00092862">
        <w:rPr>
          <w:rFonts w:ascii="Times New Roman" w:hAnsi="Times New Roman"/>
          <w:bCs/>
          <w:color w:val="000000" w:themeColor="text1"/>
          <w:kern w:val="2"/>
          <w:lang w:eastAsia="zh-CN"/>
        </w:rPr>
        <w:t>和线路截断阀室</w:t>
      </w:r>
      <w:r w:rsidRPr="00092862">
        <w:rPr>
          <w:rFonts w:ascii="Times New Roman" w:hAnsi="Times New Roman"/>
          <w:bCs/>
          <w:color w:val="000000" w:themeColor="text1"/>
          <w:kern w:val="2"/>
          <w:lang w:eastAsia="zh-CN"/>
        </w:rPr>
        <w:t>RTU</w:t>
      </w:r>
      <w:r w:rsidRPr="00092862">
        <w:rPr>
          <w:rFonts w:ascii="Times New Roman" w:hAnsi="Times New Roman"/>
          <w:bCs/>
          <w:color w:val="000000" w:themeColor="text1"/>
          <w:kern w:val="2"/>
          <w:lang w:eastAsia="zh-CN"/>
        </w:rPr>
        <w:t>，再上传至中控室阴极保护智能监测系统服务器进行数据处理、分析、报警。阴保电位每月检测一次，实测电位在保护电位范围</w:t>
      </w:r>
      <w:r w:rsidRPr="00092862">
        <w:rPr>
          <w:rFonts w:ascii="Times New Roman" w:hAnsi="Times New Roman"/>
          <w:bCs/>
          <w:color w:val="000000" w:themeColor="text1"/>
          <w:kern w:val="2"/>
          <w:lang w:eastAsia="zh-CN"/>
        </w:rPr>
        <w:t>-0.85V~-1.15V</w:t>
      </w:r>
      <w:r w:rsidRPr="00092862">
        <w:rPr>
          <w:rFonts w:ascii="Times New Roman" w:hAnsi="Times New Roman"/>
          <w:bCs/>
          <w:color w:val="000000" w:themeColor="text1"/>
          <w:kern w:val="2"/>
          <w:lang w:eastAsia="zh-CN"/>
        </w:rPr>
        <w:t>之间，保护有效。</w:t>
      </w:r>
    </w:p>
    <w:p w14:paraId="1CDDB8DF" w14:textId="77777777"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E</w:t>
      </w:r>
      <w:r w:rsidRPr="00092862">
        <w:rPr>
          <w:rFonts w:ascii="Times New Roman" w:hAnsi="Times New Roman"/>
          <w:bCs/>
          <w:color w:val="000000" w:themeColor="text1"/>
          <w:kern w:val="2"/>
          <w:lang w:eastAsia="zh-CN"/>
        </w:rPr>
        <w:t>、管道外层采用三层</w:t>
      </w:r>
      <w:r w:rsidRPr="00092862">
        <w:rPr>
          <w:rFonts w:ascii="Times New Roman" w:hAnsi="Times New Roman"/>
          <w:bCs/>
          <w:color w:val="000000" w:themeColor="text1"/>
          <w:kern w:val="2"/>
          <w:lang w:eastAsia="zh-CN"/>
        </w:rPr>
        <w:t>PE</w:t>
      </w:r>
      <w:r w:rsidRPr="00092862">
        <w:rPr>
          <w:rFonts w:ascii="Times New Roman" w:hAnsi="Times New Roman"/>
          <w:bCs/>
          <w:color w:val="000000" w:themeColor="text1"/>
          <w:kern w:val="2"/>
          <w:lang w:eastAsia="zh-CN"/>
        </w:rPr>
        <w:t>防腐层处理，内层防腐采用：</w:t>
      </w:r>
    </w:p>
    <w:p w14:paraId="2A62B1F5" w14:textId="77777777"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、预涂膜缓蚀剂：在系统投产前利用清管器携带油溶性缓蚀剂对站外集输管线内壁进行预涂膜。</w:t>
      </w:r>
    </w:p>
    <w:p w14:paraId="3FD237A0" w14:textId="77777777"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、连续加注缓蚀剂</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在每口单井和集气站外输进行连续缓蚀剂加注。</w:t>
      </w:r>
    </w:p>
    <w:p w14:paraId="5DB8AE72" w14:textId="77777777" w:rsidR="00287B90"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c</w:t>
      </w:r>
      <w:r w:rsidRPr="00092862">
        <w:rPr>
          <w:rFonts w:ascii="Times New Roman" w:hAnsi="Times New Roman"/>
          <w:bCs/>
          <w:color w:val="000000" w:themeColor="text1"/>
          <w:kern w:val="2"/>
          <w:lang w:eastAsia="zh-CN"/>
        </w:rPr>
        <w:t>、批处理缓蚀剂：为了增强连续加注缓蚀剂的保护效果，结合腐蚀监测的情况，每月采用油溶性缓蚀剂进行</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次处理</w:t>
      </w:r>
    </w:p>
    <w:p w14:paraId="64A6493A" w14:textId="77777777" w:rsidR="006E484C" w:rsidRPr="00092862" w:rsidRDefault="00287B90"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d</w:t>
      </w:r>
      <w:r w:rsidRPr="00092862">
        <w:rPr>
          <w:rFonts w:ascii="Times New Roman" w:hAnsi="Times New Roman"/>
          <w:bCs/>
          <w:color w:val="000000" w:themeColor="text1"/>
          <w:kern w:val="2"/>
          <w:lang w:eastAsia="zh-CN"/>
        </w:rPr>
        <w:t>、管道智能检测：投产前及投产一年内分别进行一次管道智能检测，正常时</w:t>
      </w:r>
      <w:r w:rsidRPr="00092862">
        <w:rPr>
          <w:rFonts w:ascii="Times New Roman" w:hAnsi="Times New Roman"/>
          <w:bCs/>
          <w:color w:val="000000" w:themeColor="text1"/>
          <w:kern w:val="2"/>
          <w:lang w:eastAsia="zh-CN"/>
        </w:rPr>
        <w:t>2-3</w:t>
      </w:r>
      <w:r w:rsidRPr="00092862">
        <w:rPr>
          <w:rFonts w:ascii="Times New Roman" w:hAnsi="Times New Roman"/>
          <w:bCs/>
          <w:color w:val="000000" w:themeColor="text1"/>
          <w:kern w:val="2"/>
          <w:lang w:eastAsia="zh-CN"/>
        </w:rPr>
        <w:t>年做一次。</w:t>
      </w:r>
    </w:p>
    <w:p w14:paraId="4992413C" w14:textId="25B56A5D" w:rsidR="00876457" w:rsidRPr="00092862" w:rsidRDefault="006E484C" w:rsidP="00287B90">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e</w:t>
      </w:r>
      <w:r w:rsidRPr="00092862">
        <w:rPr>
          <w:rFonts w:ascii="Times New Roman" w:hAnsi="Times New Roman"/>
          <w:bCs/>
          <w:color w:val="000000" w:themeColor="text1"/>
          <w:kern w:val="2"/>
          <w:lang w:eastAsia="zh-CN"/>
        </w:rPr>
        <w:t>、</w:t>
      </w:r>
      <w:r w:rsidR="00287B90" w:rsidRPr="00092862">
        <w:rPr>
          <w:rFonts w:ascii="Times New Roman" w:hAnsi="Times New Roman"/>
          <w:bCs/>
          <w:color w:val="000000" w:themeColor="text1"/>
          <w:kern w:val="2"/>
          <w:lang w:eastAsia="zh-CN"/>
        </w:rPr>
        <w:t>站场采用腐蚀挂片</w:t>
      </w:r>
      <w:r w:rsidR="00287B90" w:rsidRPr="00092862">
        <w:rPr>
          <w:rFonts w:ascii="Times New Roman" w:hAnsi="Times New Roman"/>
          <w:bCs/>
          <w:color w:val="000000" w:themeColor="text1"/>
          <w:kern w:val="2"/>
          <w:lang w:eastAsia="zh-CN"/>
        </w:rPr>
        <w:t>(138</w:t>
      </w:r>
      <w:r w:rsidR="00287B90" w:rsidRPr="00092862">
        <w:rPr>
          <w:rFonts w:ascii="Times New Roman" w:hAnsi="Times New Roman"/>
          <w:bCs/>
          <w:color w:val="000000" w:themeColor="text1"/>
          <w:kern w:val="2"/>
          <w:lang w:eastAsia="zh-CN"/>
        </w:rPr>
        <w:t>套</w:t>
      </w:r>
      <w:r w:rsidR="00287B90" w:rsidRPr="00092862">
        <w:rPr>
          <w:rFonts w:ascii="Times New Roman" w:hAnsi="Times New Roman"/>
          <w:bCs/>
          <w:color w:val="000000" w:themeColor="text1"/>
          <w:kern w:val="2"/>
          <w:lang w:eastAsia="zh-CN"/>
        </w:rPr>
        <w:t>)</w:t>
      </w:r>
      <w:r w:rsidR="00287B90" w:rsidRPr="00092862">
        <w:rPr>
          <w:rFonts w:ascii="Times New Roman" w:hAnsi="Times New Roman"/>
          <w:bCs/>
          <w:color w:val="000000" w:themeColor="text1"/>
          <w:kern w:val="2"/>
          <w:lang w:eastAsia="zh-CN"/>
        </w:rPr>
        <w:t>、电阻探针</w:t>
      </w:r>
      <w:r w:rsidR="00287B90" w:rsidRPr="00092862">
        <w:rPr>
          <w:rFonts w:ascii="Times New Roman" w:hAnsi="Times New Roman"/>
          <w:bCs/>
          <w:color w:val="000000" w:themeColor="text1"/>
          <w:kern w:val="2"/>
          <w:lang w:eastAsia="zh-CN"/>
        </w:rPr>
        <w:t>(142</w:t>
      </w:r>
      <w:r w:rsidR="00287B90" w:rsidRPr="00092862">
        <w:rPr>
          <w:rFonts w:ascii="Times New Roman" w:hAnsi="Times New Roman"/>
          <w:bCs/>
          <w:color w:val="000000" w:themeColor="text1"/>
          <w:kern w:val="2"/>
          <w:lang w:eastAsia="zh-CN"/>
        </w:rPr>
        <w:t>套</w:t>
      </w:r>
      <w:r w:rsidR="00287B90" w:rsidRPr="00092862">
        <w:rPr>
          <w:rFonts w:ascii="Times New Roman" w:hAnsi="Times New Roman"/>
          <w:bCs/>
          <w:color w:val="000000" w:themeColor="text1"/>
          <w:kern w:val="2"/>
          <w:lang w:eastAsia="zh-CN"/>
        </w:rPr>
        <w:t>)</w:t>
      </w:r>
      <w:r w:rsidR="00287B90" w:rsidRPr="00092862">
        <w:rPr>
          <w:rFonts w:ascii="Times New Roman" w:hAnsi="Times New Roman"/>
          <w:bCs/>
          <w:color w:val="000000" w:themeColor="text1"/>
          <w:kern w:val="2"/>
          <w:lang w:eastAsia="zh-CN"/>
        </w:rPr>
        <w:t>、线性极化探针</w:t>
      </w:r>
      <w:r w:rsidRPr="00092862">
        <w:rPr>
          <w:rFonts w:ascii="Times New Roman" w:hAnsi="Times New Roman"/>
          <w:bCs/>
          <w:color w:val="000000" w:themeColor="text1"/>
          <w:kern w:val="2"/>
          <w:lang w:eastAsia="zh-CN"/>
        </w:rPr>
        <w:t>（</w:t>
      </w:r>
      <w:r w:rsidR="00287B90" w:rsidRPr="00092862">
        <w:rPr>
          <w:rFonts w:ascii="Times New Roman" w:hAnsi="Times New Roman"/>
          <w:bCs/>
          <w:color w:val="000000" w:themeColor="text1"/>
          <w:kern w:val="2"/>
          <w:lang w:eastAsia="zh-CN"/>
        </w:rPr>
        <w:t>17</w:t>
      </w:r>
      <w:r w:rsidR="00287B90" w:rsidRPr="00092862">
        <w:rPr>
          <w:rFonts w:ascii="Times New Roman" w:hAnsi="Times New Roman"/>
          <w:bCs/>
          <w:color w:val="000000" w:themeColor="text1"/>
          <w:kern w:val="2"/>
          <w:lang w:eastAsia="zh-CN"/>
        </w:rPr>
        <w:t>套</w:t>
      </w:r>
      <w:r w:rsidRPr="00092862">
        <w:rPr>
          <w:rFonts w:ascii="Times New Roman" w:hAnsi="Times New Roman"/>
          <w:bCs/>
          <w:color w:val="000000" w:themeColor="text1"/>
          <w:kern w:val="2"/>
          <w:lang w:eastAsia="zh-CN"/>
        </w:rPr>
        <w:t>）</w:t>
      </w:r>
      <w:r w:rsidR="00287B90" w:rsidRPr="00092862">
        <w:rPr>
          <w:rFonts w:ascii="Times New Roman" w:hAnsi="Times New Roman"/>
          <w:bCs/>
          <w:color w:val="000000" w:themeColor="text1"/>
          <w:kern w:val="2"/>
          <w:lang w:eastAsia="zh-CN"/>
        </w:rPr>
        <w:t>方式，线路管道采用电指纹方法</w:t>
      </w:r>
      <w:r w:rsidR="00287B90" w:rsidRPr="00092862">
        <w:rPr>
          <w:rFonts w:ascii="Times New Roman" w:hAnsi="Times New Roman"/>
          <w:bCs/>
          <w:color w:val="000000" w:themeColor="text1"/>
          <w:kern w:val="2"/>
          <w:lang w:eastAsia="zh-CN"/>
        </w:rPr>
        <w:t>(19</w:t>
      </w:r>
      <w:r w:rsidR="00287B90" w:rsidRPr="00092862">
        <w:rPr>
          <w:rFonts w:ascii="Times New Roman" w:hAnsi="Times New Roman"/>
          <w:bCs/>
          <w:color w:val="000000" w:themeColor="text1"/>
          <w:kern w:val="2"/>
          <w:lang w:eastAsia="zh-CN"/>
        </w:rPr>
        <w:t>套</w:t>
      </w:r>
      <w:r w:rsidR="00287B90" w:rsidRPr="00092862">
        <w:rPr>
          <w:rFonts w:ascii="Times New Roman" w:hAnsi="Times New Roman"/>
          <w:bCs/>
          <w:color w:val="000000" w:themeColor="text1"/>
          <w:kern w:val="2"/>
          <w:lang w:eastAsia="zh-CN"/>
        </w:rPr>
        <w:t>)</w:t>
      </w:r>
      <w:r w:rsidR="00287B90" w:rsidRPr="00092862">
        <w:rPr>
          <w:rFonts w:ascii="Times New Roman" w:hAnsi="Times New Roman"/>
          <w:bCs/>
          <w:color w:val="000000" w:themeColor="text1"/>
          <w:kern w:val="2"/>
          <w:lang w:eastAsia="zh-CN"/>
        </w:rPr>
        <w:t>，进行腐蚀监测。余腐钟挂片外的所有在线监测方法测量的数据通过网络传至站控室和中控室，实时在线监测和分析处理数据。通过以上综合措施，掌握腐蚀情况，及时调整缓蚀剂加注量、优化配方及批处理频次。</w:t>
      </w:r>
    </w:p>
    <w:p w14:paraId="6F0C6926" w14:textId="5A6C4B89" w:rsidR="00876457"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④</w:t>
      </w:r>
      <w:r w:rsidRPr="00092862">
        <w:rPr>
          <w:rFonts w:ascii="Times New Roman" w:hAnsi="Times New Roman"/>
          <w:bCs/>
          <w:color w:val="000000" w:themeColor="text1"/>
          <w:kern w:val="2"/>
          <w:lang w:eastAsia="zh-CN"/>
        </w:rPr>
        <w:t>建立事故应急实时计算机评估系统</w:t>
      </w:r>
    </w:p>
    <w:p w14:paraId="7D5A1D98" w14:textId="77777777"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委托中石化西南环境保护技术中心与北京师范大学联合研制了事故应急实时计算机评估系统，该系统不仅能在事故发生时，对环培影响范围和程度进行预警预测，还可针对普光气田生产活动对环境产生的影响进行长期的跟踪监测。该系统安装在普光分公司应急救援中心环境监测站，由监测站进行日常管理和维护。</w:t>
      </w:r>
    </w:p>
    <w:p w14:paraId="06736137" w14:textId="67C7F6F6" w:rsidR="00A108E2"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、与相关院校开展研究，有针对性开展具有普光山区特点和气候特点的评估研究，建立一年四季的典型模型。</w:t>
      </w:r>
    </w:p>
    <w:p w14:paraId="2BE7CDD9" w14:textId="361054DD" w:rsidR="00A108E2"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⑤</w:t>
      </w:r>
      <w:r w:rsidRPr="00092862">
        <w:rPr>
          <w:rFonts w:ascii="Times New Roman" w:hAnsi="Times New Roman"/>
          <w:bCs/>
          <w:color w:val="000000" w:themeColor="text1"/>
          <w:kern w:val="2"/>
          <w:lang w:eastAsia="zh-CN"/>
        </w:rPr>
        <w:t>加强各井场气象观测</w:t>
      </w:r>
    </w:p>
    <w:p w14:paraId="5D90A864" w14:textId="2566222D"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在</w:t>
      </w:r>
      <w:r w:rsidRPr="00092862">
        <w:rPr>
          <w:rFonts w:ascii="Times New Roman" w:hAnsi="Times New Roman"/>
          <w:bCs/>
          <w:color w:val="000000" w:themeColor="text1"/>
          <w:kern w:val="2"/>
          <w:lang w:eastAsia="zh-CN"/>
        </w:rPr>
        <w:t>16</w:t>
      </w:r>
      <w:r w:rsidRPr="00092862">
        <w:rPr>
          <w:rFonts w:ascii="Times New Roman" w:hAnsi="Times New Roman"/>
          <w:bCs/>
          <w:color w:val="000000" w:themeColor="text1"/>
          <w:kern w:val="2"/>
          <w:lang w:eastAsia="zh-CN"/>
        </w:rPr>
        <w:t>座集气站设置了自动气象监测设施，可实时连续监测各集气站气压、湿度、温度、风向、风速等指标，可以实时就地显示及远传至应急救援中心，可在第一时间确定泄漏影响区域。</w:t>
      </w:r>
    </w:p>
    <w:p w14:paraId="3172FF14" w14:textId="72BF827D"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⑥</w:t>
      </w:r>
      <w:r w:rsidRPr="00092862">
        <w:rPr>
          <w:rFonts w:ascii="Times New Roman" w:hAnsi="Times New Roman"/>
          <w:bCs/>
          <w:color w:val="000000" w:themeColor="text1"/>
          <w:kern w:val="2"/>
          <w:lang w:eastAsia="zh-CN"/>
        </w:rPr>
        <w:t>集气站周围</w:t>
      </w:r>
      <w:r w:rsidRPr="00092862">
        <w:rPr>
          <w:rFonts w:ascii="Times New Roman" w:hAnsi="Times New Roman"/>
          <w:bCs/>
          <w:color w:val="000000" w:themeColor="text1"/>
          <w:kern w:val="2"/>
          <w:lang w:eastAsia="zh-CN"/>
        </w:rPr>
        <w:t>300m</w:t>
      </w:r>
      <w:r w:rsidRPr="00092862">
        <w:rPr>
          <w:rFonts w:ascii="Times New Roman" w:hAnsi="Times New Roman"/>
          <w:bCs/>
          <w:color w:val="000000" w:themeColor="text1"/>
          <w:kern w:val="2"/>
          <w:lang w:eastAsia="zh-CN"/>
        </w:rPr>
        <w:t>内、集气管线两侧</w:t>
      </w:r>
      <w:r w:rsidRPr="00092862">
        <w:rPr>
          <w:rFonts w:ascii="Times New Roman" w:hAnsi="Times New Roman"/>
          <w:bCs/>
          <w:color w:val="000000" w:themeColor="text1"/>
          <w:kern w:val="2"/>
          <w:lang w:eastAsia="zh-CN"/>
        </w:rPr>
        <w:t>100m</w:t>
      </w:r>
      <w:r w:rsidRPr="00092862">
        <w:rPr>
          <w:rFonts w:ascii="Times New Roman" w:hAnsi="Times New Roman"/>
          <w:bCs/>
          <w:color w:val="000000" w:themeColor="text1"/>
          <w:kern w:val="2"/>
          <w:lang w:eastAsia="zh-CN"/>
        </w:rPr>
        <w:t>内及半致死浓度范围内居民搬迁</w:t>
      </w:r>
    </w:p>
    <w:p w14:paraId="1A4C09C1" w14:textId="77777777"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、净化厂周围</w:t>
      </w:r>
      <w:r w:rsidRPr="00092862">
        <w:rPr>
          <w:rFonts w:ascii="Times New Roman" w:hAnsi="Times New Roman"/>
          <w:bCs/>
          <w:color w:val="000000" w:themeColor="text1"/>
          <w:kern w:val="2"/>
          <w:lang w:eastAsia="zh-CN"/>
        </w:rPr>
        <w:t>800m</w:t>
      </w:r>
      <w:r w:rsidRPr="00092862">
        <w:rPr>
          <w:rFonts w:ascii="Times New Roman" w:hAnsi="Times New Roman"/>
          <w:bCs/>
          <w:color w:val="000000" w:themeColor="text1"/>
          <w:kern w:val="2"/>
          <w:lang w:eastAsia="zh-CN"/>
        </w:rPr>
        <w:t>、集气站周围</w:t>
      </w:r>
      <w:r w:rsidRPr="00092862">
        <w:rPr>
          <w:rFonts w:ascii="Times New Roman" w:hAnsi="Times New Roman"/>
          <w:bCs/>
          <w:color w:val="000000" w:themeColor="text1"/>
          <w:kern w:val="2"/>
          <w:lang w:eastAsia="zh-CN"/>
        </w:rPr>
        <w:t>300m</w:t>
      </w:r>
      <w:r w:rsidRPr="00092862">
        <w:rPr>
          <w:rFonts w:ascii="Times New Roman" w:hAnsi="Times New Roman"/>
          <w:bCs/>
          <w:color w:val="000000" w:themeColor="text1"/>
          <w:kern w:val="2"/>
          <w:lang w:eastAsia="zh-CN"/>
        </w:rPr>
        <w:t>、管道两侧</w:t>
      </w:r>
      <w:r w:rsidRPr="00092862">
        <w:rPr>
          <w:rFonts w:ascii="Times New Roman" w:hAnsi="Times New Roman"/>
          <w:bCs/>
          <w:color w:val="000000" w:themeColor="text1"/>
          <w:kern w:val="2"/>
          <w:lang w:eastAsia="zh-CN"/>
        </w:rPr>
        <w:t>100m</w:t>
      </w:r>
      <w:r w:rsidRPr="00092862">
        <w:rPr>
          <w:rFonts w:ascii="Times New Roman" w:hAnsi="Times New Roman"/>
          <w:bCs/>
          <w:color w:val="000000" w:themeColor="text1"/>
          <w:kern w:val="2"/>
          <w:lang w:eastAsia="zh-CN"/>
        </w:rPr>
        <w:t>距离内的居民拆迁安置工作已全部完成。</w:t>
      </w:r>
    </w:p>
    <w:p w14:paraId="41B8EA75" w14:textId="2AC07227"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、半致死浓度范围的居民拆迁安置工作正在抓紧进行。</w:t>
      </w:r>
    </w:p>
    <w:p w14:paraId="2ED1DC6C" w14:textId="5A3496FB"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⑦</w:t>
      </w:r>
      <w:r w:rsidRPr="00092862">
        <w:rPr>
          <w:rFonts w:ascii="Times New Roman" w:hAnsi="Times New Roman"/>
          <w:bCs/>
          <w:color w:val="000000" w:themeColor="text1"/>
          <w:kern w:val="2"/>
          <w:lang w:eastAsia="zh-CN"/>
        </w:rPr>
        <w:t>设置井场地面硫化氢检测报警仪</w:t>
      </w:r>
    </w:p>
    <w:p w14:paraId="00AF1BD8" w14:textId="4AAE5FF5"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、已安装井场地面硫化氢检测报警仪。</w:t>
      </w:r>
    </w:p>
    <w:p w14:paraId="58CBEFC7" w14:textId="2990C666"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、每个钻井井场设置</w:t>
      </w: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台固定式地面硫化氢检测仪；</w:t>
      </w:r>
    </w:p>
    <w:p w14:paraId="22BA9BFC" w14:textId="4306A9C8"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、每个集气站场设置</w:t>
      </w:r>
      <w:r w:rsidRPr="00092862">
        <w:rPr>
          <w:rFonts w:ascii="Times New Roman" w:hAnsi="Times New Roman"/>
          <w:bCs/>
          <w:color w:val="000000" w:themeColor="text1"/>
          <w:kern w:val="2"/>
          <w:lang w:eastAsia="zh-CN"/>
        </w:rPr>
        <w:t>16~17</w:t>
      </w:r>
      <w:r w:rsidRPr="00092862">
        <w:rPr>
          <w:rFonts w:ascii="Times New Roman" w:hAnsi="Times New Roman"/>
          <w:bCs/>
          <w:color w:val="000000" w:themeColor="text1"/>
          <w:kern w:val="2"/>
          <w:lang w:eastAsia="zh-CN"/>
        </w:rPr>
        <w:t>台固定式地面硫化氢检测仪；</w:t>
      </w:r>
    </w:p>
    <w:p w14:paraId="67906C8A" w14:textId="7638DC0C"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c</w:t>
      </w:r>
      <w:r w:rsidRPr="00092862">
        <w:rPr>
          <w:rFonts w:ascii="Times New Roman" w:hAnsi="Times New Roman"/>
          <w:bCs/>
          <w:color w:val="000000" w:themeColor="text1"/>
          <w:kern w:val="2"/>
          <w:lang w:eastAsia="zh-CN"/>
        </w:rPr>
        <w:t>、阀室、隧道安装了</w:t>
      </w:r>
      <w:r w:rsidRPr="00092862">
        <w:rPr>
          <w:rFonts w:ascii="Times New Roman" w:hAnsi="Times New Roman"/>
          <w:bCs/>
          <w:color w:val="000000" w:themeColor="text1"/>
          <w:kern w:val="2"/>
          <w:lang w:eastAsia="zh-CN"/>
        </w:rPr>
        <w:t>68</w:t>
      </w:r>
      <w:r w:rsidRPr="00092862">
        <w:rPr>
          <w:rFonts w:ascii="Times New Roman" w:hAnsi="Times New Roman"/>
          <w:bCs/>
          <w:color w:val="000000" w:themeColor="text1"/>
          <w:kern w:val="2"/>
          <w:lang w:eastAsia="zh-CN"/>
        </w:rPr>
        <w:t>台固定式硫化氢气体检测仪；</w:t>
      </w:r>
    </w:p>
    <w:p w14:paraId="17FCC584" w14:textId="13502943"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d</w:t>
      </w:r>
      <w:r w:rsidRPr="00092862">
        <w:rPr>
          <w:rFonts w:ascii="Times New Roman" w:hAnsi="Times New Roman"/>
          <w:bCs/>
          <w:color w:val="000000" w:themeColor="text1"/>
          <w:kern w:val="2"/>
          <w:lang w:eastAsia="zh-CN"/>
        </w:rPr>
        <w:t>、在气站、阀室安装了</w:t>
      </w:r>
      <w:r w:rsidRPr="00092862">
        <w:rPr>
          <w:rFonts w:ascii="Times New Roman" w:hAnsi="Times New Roman"/>
          <w:bCs/>
          <w:color w:val="000000" w:themeColor="text1"/>
          <w:kern w:val="2"/>
          <w:lang w:eastAsia="zh-CN"/>
        </w:rPr>
        <w:t>314</w:t>
      </w:r>
      <w:r w:rsidRPr="00092862">
        <w:rPr>
          <w:rFonts w:ascii="Times New Roman" w:hAnsi="Times New Roman"/>
          <w:bCs/>
          <w:color w:val="000000" w:themeColor="text1"/>
          <w:kern w:val="2"/>
          <w:lang w:eastAsia="zh-CN"/>
        </w:rPr>
        <w:t>台可气体检测仪</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在集气站共安装了</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台火焰监测器；在每条道内设置了</w:t>
      </w:r>
      <w:r w:rsidRPr="00092862">
        <w:rPr>
          <w:rFonts w:ascii="Times New Roman" w:hAnsi="Times New Roman"/>
          <w:bCs/>
          <w:color w:val="000000" w:themeColor="text1"/>
          <w:kern w:val="2"/>
          <w:lang w:eastAsia="zh-CN"/>
        </w:rPr>
        <w:t>11</w:t>
      </w:r>
      <w:r w:rsidRPr="00092862">
        <w:rPr>
          <w:rFonts w:ascii="Times New Roman" w:hAnsi="Times New Roman"/>
          <w:bCs/>
          <w:color w:val="000000" w:themeColor="text1"/>
          <w:kern w:val="2"/>
          <w:lang w:eastAsia="zh-CN"/>
        </w:rPr>
        <w:t>对开路式红外对射式可燃气体探测器在线探测甲烷气体，在隧道内安装了</w:t>
      </w: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对开放空间气体泄漏激光检测器，同时对硫化氢气体、可燃气体进行检测。</w:t>
      </w:r>
    </w:p>
    <w:p w14:paraId="768AA21B" w14:textId="054B9C87"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、每个站场设置长明灯火炬</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双回路控制能实现自动点火</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，使泄漏的硫化氢气体得到及时燃烧。</w:t>
      </w:r>
    </w:p>
    <w:p w14:paraId="13F5AC2A" w14:textId="54E89ECB"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t>⑧</w:t>
      </w:r>
      <w:r w:rsidRPr="00092862">
        <w:rPr>
          <w:rFonts w:ascii="Times New Roman" w:hAnsi="Times New Roman"/>
          <w:bCs/>
          <w:color w:val="000000" w:themeColor="text1"/>
          <w:kern w:val="2"/>
          <w:lang w:eastAsia="zh-CN"/>
        </w:rPr>
        <w:t>发生井漏等事故溢出的硫化氢影响周边地表水体和浅层地下水时，及时采取措施，划定饮用水禁止取水范围并通知周边居民，同时采取点火措施。及时做好风险事故的各项补偿措施</w:t>
      </w:r>
    </w:p>
    <w:p w14:paraId="03E4B10D" w14:textId="77777777"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、加大表层套管下深。表层套管下深不少于</w:t>
      </w:r>
      <w:r w:rsidRPr="00092862">
        <w:rPr>
          <w:rFonts w:ascii="Times New Roman" w:hAnsi="Times New Roman"/>
          <w:bCs/>
          <w:color w:val="000000" w:themeColor="text1"/>
          <w:kern w:val="2"/>
          <w:lang w:eastAsia="zh-CN"/>
        </w:rPr>
        <w:t>700m</w:t>
      </w:r>
      <w:r w:rsidRPr="00092862">
        <w:rPr>
          <w:rFonts w:ascii="Times New Roman" w:hAnsi="Times New Roman"/>
          <w:bCs/>
          <w:color w:val="000000" w:themeColor="text1"/>
          <w:kern w:val="2"/>
          <w:lang w:eastAsia="zh-CN"/>
        </w:rPr>
        <w:t>，井口与河流、沟谷水平距离小于</w:t>
      </w:r>
      <w:r w:rsidRPr="00092862">
        <w:rPr>
          <w:rFonts w:ascii="Times New Roman" w:hAnsi="Times New Roman"/>
          <w:bCs/>
          <w:color w:val="000000" w:themeColor="text1"/>
          <w:kern w:val="2"/>
          <w:lang w:eastAsia="zh-CN"/>
        </w:rPr>
        <w:t>1000m</w:t>
      </w:r>
      <w:r w:rsidRPr="00092862">
        <w:rPr>
          <w:rFonts w:ascii="Times New Roman" w:hAnsi="Times New Roman"/>
          <w:bCs/>
          <w:color w:val="000000" w:themeColor="text1"/>
          <w:kern w:val="2"/>
          <w:lang w:eastAsia="zh-CN"/>
        </w:rPr>
        <w:t>的井，表层套管下深应低于河床、沟谷底部不少于</w:t>
      </w:r>
      <w:r w:rsidRPr="00092862">
        <w:rPr>
          <w:rFonts w:ascii="Times New Roman" w:hAnsi="Times New Roman"/>
          <w:bCs/>
          <w:color w:val="000000" w:themeColor="text1"/>
          <w:kern w:val="2"/>
          <w:lang w:eastAsia="zh-CN"/>
        </w:rPr>
        <w:t>300m</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 xml:space="preserve"> </w:t>
      </w:r>
      <w:r w:rsidRPr="00092862">
        <w:rPr>
          <w:rFonts w:ascii="Times New Roman" w:hAnsi="Times New Roman"/>
          <w:bCs/>
          <w:color w:val="000000" w:themeColor="text1"/>
          <w:kern w:val="2"/>
          <w:lang w:eastAsia="zh-CN"/>
        </w:rPr>
        <w:t>以上措施可有效杜绝发生井漏等事故溢出的硫化氢影响周边地表水体和浅层地下水。</w:t>
      </w:r>
    </w:p>
    <w:p w14:paraId="7784EA9E" w14:textId="77777777"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、完善井控制度，制定了钻井风险应急预案，配备了井场应急物资储备。</w:t>
      </w:r>
    </w:p>
    <w:p w14:paraId="2404F711" w14:textId="20275383" w:rsidR="006E484C" w:rsidRPr="00092862" w:rsidRDefault="006E484C"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C</w:t>
      </w:r>
      <w:r w:rsidR="00BD0241" w:rsidRPr="00092862">
        <w:rPr>
          <w:rFonts w:ascii="Times New Roman" w:hAnsi="Times New Roman"/>
          <w:bCs/>
          <w:color w:val="000000" w:themeColor="text1"/>
          <w:kern w:val="2"/>
          <w:lang w:eastAsia="zh-CN"/>
        </w:rPr>
        <w:t>、已完钻的井均</w:t>
      </w:r>
      <w:r w:rsidRPr="00092862">
        <w:rPr>
          <w:rFonts w:ascii="Times New Roman" w:hAnsi="Times New Roman"/>
          <w:bCs/>
          <w:color w:val="000000" w:themeColor="text1"/>
          <w:kern w:val="2"/>
          <w:lang w:eastAsia="zh-CN"/>
        </w:rPr>
        <w:t>未发生井漏等事故。</w:t>
      </w:r>
    </w:p>
    <w:p w14:paraId="716406A5" w14:textId="4E09903F" w:rsidR="006E484C" w:rsidRPr="00092862" w:rsidRDefault="00BD0241" w:rsidP="00BD0241">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cs="宋体" w:hint="eastAsia"/>
          <w:bCs/>
          <w:color w:val="000000" w:themeColor="text1"/>
          <w:kern w:val="2"/>
          <w:lang w:eastAsia="zh-CN"/>
        </w:rPr>
        <w:lastRenderedPageBreak/>
        <w:t>⑨</w:t>
      </w:r>
      <w:r w:rsidRPr="00092862">
        <w:rPr>
          <w:rFonts w:ascii="Times New Roman" w:hAnsi="Times New Roman"/>
          <w:bCs/>
          <w:color w:val="000000" w:themeColor="text1"/>
          <w:kern w:val="2"/>
          <w:lang w:eastAsia="zh-CN"/>
        </w:rPr>
        <w:t>采用电子自动点火火炬放空系统，输气管道及站场采取密闭输送，选用可靠性高的设备</w:t>
      </w:r>
    </w:p>
    <w:p w14:paraId="6793D0A4" w14:textId="3AC8792A" w:rsidR="006E484C" w:rsidRPr="00092862" w:rsidRDefault="00BD0241"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A</w:t>
      </w:r>
      <w:r w:rsidRPr="00092862">
        <w:rPr>
          <w:rFonts w:ascii="Times New Roman" w:hAnsi="Times New Roman"/>
          <w:bCs/>
          <w:color w:val="000000" w:themeColor="text1"/>
          <w:kern w:val="2"/>
          <w:lang w:eastAsia="zh-CN"/>
        </w:rPr>
        <w:t>、每一个火炬均设置了长明灯和电子自动点火装置</w:t>
      </w:r>
    </w:p>
    <w:p w14:paraId="6D195559" w14:textId="222C1C1B" w:rsidR="00BD0241" w:rsidRPr="00092862" w:rsidRDefault="00BD0241" w:rsidP="00BD0241">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B</w:t>
      </w:r>
      <w:r w:rsidRPr="00092862">
        <w:rPr>
          <w:rFonts w:ascii="Times New Roman" w:hAnsi="Times New Roman"/>
          <w:bCs/>
          <w:color w:val="000000" w:themeColor="text1"/>
          <w:kern w:val="2"/>
          <w:lang w:eastAsia="zh-CN"/>
        </w:rPr>
        <w:t>输气管道及站场装置均采取天然气密闭输送。</w:t>
      </w:r>
      <w:r w:rsidRPr="00092862">
        <w:rPr>
          <w:rFonts w:ascii="Times New Roman" w:hAnsi="Times New Roman"/>
          <w:bCs/>
          <w:color w:val="000000" w:themeColor="text1"/>
          <w:kern w:val="2"/>
          <w:lang w:eastAsia="zh-CN"/>
        </w:rPr>
        <w:t xml:space="preserve"> </w:t>
      </w:r>
    </w:p>
    <w:p w14:paraId="2B05D216" w14:textId="3E5A0E52" w:rsidR="006E484C" w:rsidRPr="00092862" w:rsidRDefault="00BD0241" w:rsidP="00BD0241">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C</w:t>
      </w:r>
      <w:r w:rsidRPr="00092862">
        <w:rPr>
          <w:rFonts w:ascii="Times New Roman" w:hAnsi="Times New Roman"/>
          <w:bCs/>
          <w:color w:val="000000" w:themeColor="text1"/>
          <w:kern w:val="2"/>
          <w:lang w:eastAsia="zh-CN"/>
        </w:rPr>
        <w:t>、采用加厚高抗硫管材、阴极保护、缓蚀剂加注及批处理涂膜、在线腐蚀监测等高性能设备；采用了先进的</w:t>
      </w:r>
      <w:r w:rsidRPr="00092862">
        <w:rPr>
          <w:rFonts w:ascii="Times New Roman" w:hAnsi="Times New Roman"/>
          <w:bCs/>
          <w:color w:val="000000" w:themeColor="text1"/>
          <w:kern w:val="2"/>
          <w:lang w:eastAsia="zh-CN"/>
        </w:rPr>
        <w:t>SCADA</w:t>
      </w:r>
      <w:r w:rsidRPr="00092862">
        <w:rPr>
          <w:rFonts w:ascii="Times New Roman" w:hAnsi="Times New Roman"/>
          <w:bCs/>
          <w:color w:val="000000" w:themeColor="text1"/>
          <w:kern w:val="2"/>
          <w:lang w:eastAsia="zh-CN"/>
        </w:rPr>
        <w:t>自动控制技术；四级关断技术等可靠性高的技术措施，实现了泄漏及时发现、有效控制。</w:t>
      </w:r>
    </w:p>
    <w:p w14:paraId="15BB2DC4" w14:textId="638A1880" w:rsidR="006E484C" w:rsidRPr="00092862" w:rsidRDefault="00BD0241" w:rsidP="006E484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上述环境风险保护措施沿用至今，均未发生过相应的环境风险事故，可认为现行的环境风险防范措施有效可行，本项目将沿用上述的环境风险措施，且在发生环境风险措施后积极采取相应措施，尽量降低风险事故发生的概率和影响。</w:t>
      </w:r>
    </w:p>
    <w:p w14:paraId="453F2F89" w14:textId="77777777" w:rsidR="00A108E2" w:rsidRPr="00092862" w:rsidRDefault="00A108E2"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p>
    <w:p w14:paraId="281D2A2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sectPr w:rsidR="00450025" w:rsidRPr="00092862" w:rsidSect="002D3605">
          <w:pgSz w:w="11910" w:h="16840"/>
          <w:pgMar w:top="1440" w:right="1800" w:bottom="1440" w:left="1800" w:header="1213" w:footer="635" w:gutter="0"/>
          <w:cols w:space="720"/>
          <w:docGrid w:linePitch="299"/>
        </w:sectPr>
      </w:pPr>
    </w:p>
    <w:p w14:paraId="01E6953A"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lastRenderedPageBreak/>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）井眼碰撞或压裂作业导致套管破裂天然气窜层泄露进入地表环境风险影响分析</w:t>
      </w:r>
    </w:p>
    <w:p w14:paraId="05F78600" w14:textId="38A744D3"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本项目在钻井施工中井组内布设</w:t>
      </w:r>
      <w:r w:rsidR="00EC70BF" w:rsidRPr="00092862">
        <w:rPr>
          <w:rFonts w:ascii="Times New Roman" w:hAnsi="Times New Roman"/>
          <w:color w:val="000000" w:themeColor="text1"/>
          <w:lang w:eastAsia="zh-CN"/>
        </w:rPr>
        <w:t>2</w:t>
      </w:r>
      <w:r w:rsidR="00EC70BF" w:rsidRPr="00092862">
        <w:rPr>
          <w:rFonts w:ascii="Times New Roman" w:hAnsi="Times New Roman"/>
          <w:color w:val="000000" w:themeColor="text1"/>
          <w:lang w:eastAsia="zh-CN"/>
        </w:rPr>
        <w:t>口井</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排排列，井眼距离约</w:t>
      </w:r>
      <w:r w:rsidRPr="00092862">
        <w:rPr>
          <w:rFonts w:ascii="Times New Roman" w:hAnsi="Times New Roman"/>
          <w:color w:val="000000" w:themeColor="text1"/>
          <w:lang w:eastAsia="zh-CN"/>
        </w:rPr>
        <w:t>10m</w:t>
      </w:r>
      <w:r w:rsidRPr="00092862">
        <w:rPr>
          <w:rFonts w:ascii="Times New Roman" w:hAnsi="Times New Roman"/>
          <w:color w:val="000000" w:themeColor="text1"/>
          <w:lang w:eastAsia="zh-CN"/>
        </w:rPr>
        <w:t>，符合《丛式井平台布置及井眼防碰技术要求》（</w:t>
      </w:r>
      <w:r w:rsidRPr="00092862">
        <w:rPr>
          <w:rFonts w:ascii="Times New Roman" w:hAnsi="Times New Roman"/>
          <w:color w:val="000000" w:themeColor="text1"/>
          <w:lang w:eastAsia="zh-CN"/>
        </w:rPr>
        <w:t>SY/T 6396-2014</w:t>
      </w:r>
      <w:r w:rsidRPr="00092862">
        <w:rPr>
          <w:rFonts w:ascii="Times New Roman" w:hAnsi="Times New Roman"/>
          <w:color w:val="000000" w:themeColor="text1"/>
          <w:lang w:eastAsia="zh-CN"/>
        </w:rPr>
        <w:t>）、《钻井井控技术规范》（</w:t>
      </w:r>
      <w:r w:rsidRPr="00092862">
        <w:rPr>
          <w:rFonts w:ascii="Times New Roman" w:hAnsi="Times New Roman"/>
          <w:color w:val="000000" w:themeColor="text1"/>
          <w:lang w:eastAsia="zh-CN"/>
        </w:rPr>
        <w:t>Q/SY1552-2012</w:t>
      </w:r>
      <w:r w:rsidRPr="00092862">
        <w:rPr>
          <w:rFonts w:ascii="Times New Roman" w:hAnsi="Times New Roman"/>
          <w:color w:val="000000" w:themeColor="text1"/>
          <w:lang w:eastAsia="zh-CN"/>
        </w:rPr>
        <w:t>），且各井均为不同方向的水平井，在钻井作业中严格控制直井段井斜和斜井水平段的位置方向，加强钻井位置监测，类比同类丛式水平井组钻井，从未发生过串井事故，因此井下工具破坏已完钻气井套管的可能性基本不存在。</w:t>
      </w:r>
    </w:p>
    <w:p w14:paraId="03DC5CC3"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
          <w:color w:val="000000" w:themeColor="text1"/>
          <w:kern w:val="2"/>
          <w:lang w:eastAsia="zh-CN"/>
        </w:rPr>
      </w:pPr>
      <w:r w:rsidRPr="00092862">
        <w:rPr>
          <w:rFonts w:ascii="Times New Roman" w:hAnsi="Times New Roman"/>
          <w:color w:val="000000" w:themeColor="text1"/>
          <w:lang w:eastAsia="zh-CN"/>
        </w:rPr>
        <w:t>完井套管均采用高压无缝钢管，压裂作业在高压压裂时破坏已完钻气井套管的可能性也很小。根据川东北地区多年来的钻井记录，井眼碰撞以及压裂作业导致套管损坏在钻井中出现的几率非常小，在严把质量关的前提下发生该事故的几率极其小。由于通过地下岩层的阻隔，事故发生后天然气窜层泄露进入地表的量、压力、速率比井喷量小很多，影响程度比井喷小很多，但出现的泄露点多，出现位置不能进行有效预测，但主要在井口周边地带，泄露范围在井口外</w:t>
      </w:r>
      <w:r w:rsidRPr="00092862">
        <w:rPr>
          <w:rFonts w:ascii="Times New Roman" w:hAnsi="Times New Roman"/>
          <w:color w:val="000000" w:themeColor="text1"/>
          <w:lang w:eastAsia="zh-CN"/>
        </w:rPr>
        <w:t>1km</w:t>
      </w:r>
      <w:r w:rsidRPr="00092862">
        <w:rPr>
          <w:rFonts w:ascii="Times New Roman" w:hAnsi="Times New Roman"/>
          <w:color w:val="000000" w:themeColor="text1"/>
          <w:lang w:eastAsia="zh-CN"/>
        </w:rPr>
        <w:t>范围内。泄露点主要表现为可燃气体的泄露遇火爆炸环境风险，形成的爆炸冲击波较井喷失控时甲烷扩散遇火爆炸形成的爆炸冲击波影响小得多。</w:t>
      </w:r>
    </w:p>
    <w:p w14:paraId="37DF5622"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3</w:t>
      </w:r>
      <w:r w:rsidRPr="00092862">
        <w:rPr>
          <w:rFonts w:ascii="Times New Roman" w:hAnsi="Times New Roman"/>
          <w:b/>
          <w:color w:val="000000" w:themeColor="text1"/>
          <w:kern w:val="2"/>
          <w:lang w:eastAsia="zh-CN"/>
        </w:rPr>
        <w:t>）套管破裂天然气串层泄露进入地表环境风险影响分析</w:t>
      </w:r>
    </w:p>
    <w:p w14:paraId="0DF834DE"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t>在施工中，出现套管破裂的概率很小。由于地下岩层的阻隔，事故发生后串层泄露进入地表的天然气量、压力、速率比井喷量小很多，影响程度比井喷小很多。</w:t>
      </w:r>
    </w:p>
    <w:p w14:paraId="0610E56B"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t>该事故主要控制措施是加强对周边</w:t>
      </w:r>
      <w:r w:rsidRPr="00092862">
        <w:rPr>
          <w:rFonts w:ascii="Times New Roman" w:hAnsi="Times New Roman" w:cs="Times New Roman"/>
          <w:color w:val="000000" w:themeColor="text1"/>
          <w:sz w:val="24"/>
        </w:rPr>
        <w:t>3km</w:t>
      </w:r>
      <w:r w:rsidRPr="00092862">
        <w:rPr>
          <w:rFonts w:ascii="Times New Roman" w:hAnsi="Times New Roman" w:cs="Times New Roman"/>
          <w:color w:val="000000" w:themeColor="text1"/>
          <w:sz w:val="24"/>
        </w:rPr>
        <w:t>范围内居民进行宣传教育，遇到此类事故应立即撤离泄露点，撤离距离根据应急监测确定。企业应在可能的泄露点周边设置便携监测仪，确定浓度，根据浓度确定具体撤离范围。企业同时应对事故后主要是堵漏，通过井口周边放喷管放喷燃烧泄压，减少周边地表泄露点泄露量，对地表泄露点进行点火燃烧。</w:t>
      </w:r>
    </w:p>
    <w:p w14:paraId="513DF942"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bookmarkStart w:id="275" w:name="_Hlk88498378"/>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4</w:t>
      </w:r>
      <w:r w:rsidRPr="00092862">
        <w:rPr>
          <w:rFonts w:ascii="Times New Roman" w:hAnsi="Times New Roman"/>
          <w:b/>
          <w:color w:val="000000" w:themeColor="text1"/>
          <w:kern w:val="2"/>
          <w:lang w:eastAsia="zh-CN"/>
        </w:rPr>
        <w:t>）试采期天然气泄漏风险分析</w:t>
      </w:r>
    </w:p>
    <w:p w14:paraId="51904C7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由于地面试采工程时在测试放喷定产后配产规模下生产，单井最大配产规模</w:t>
      </w:r>
      <w:r w:rsidRPr="00092862">
        <w:rPr>
          <w:rFonts w:ascii="Times New Roman" w:hAnsi="Times New Roman"/>
          <w:bCs/>
          <w:color w:val="000000" w:themeColor="text1"/>
          <w:kern w:val="2"/>
          <w:lang w:eastAsia="zh-CN"/>
        </w:rPr>
        <w:t>20×10</w:t>
      </w:r>
      <w:r w:rsidRPr="00092862">
        <w:rPr>
          <w:rFonts w:ascii="Times New Roman" w:hAnsi="Times New Roman"/>
          <w:bCs/>
          <w:color w:val="000000" w:themeColor="text1"/>
          <w:kern w:val="2"/>
          <w:vertAlign w:val="superscript"/>
          <w:lang w:eastAsia="zh-CN"/>
        </w:rPr>
        <w:t>4</w:t>
      </w:r>
      <w:r w:rsidRPr="00092862">
        <w:rPr>
          <w:rFonts w:ascii="Times New Roman" w:hAnsi="Times New Roman"/>
          <w:bCs/>
          <w:color w:val="000000" w:themeColor="text1"/>
          <w:kern w:val="2"/>
          <w:lang w:eastAsia="zh-CN"/>
        </w:rPr>
        <w:t>m</w:t>
      </w:r>
      <w:r w:rsidRPr="00092862">
        <w:rPr>
          <w:rFonts w:ascii="Times New Roman" w:hAnsi="Times New Roman"/>
          <w:bCs/>
          <w:color w:val="000000" w:themeColor="text1"/>
          <w:kern w:val="2"/>
          <w:vertAlign w:val="superscript"/>
          <w:lang w:eastAsia="zh-CN"/>
        </w:rPr>
        <w:t>3</w:t>
      </w:r>
      <w:r w:rsidRPr="00092862">
        <w:rPr>
          <w:rFonts w:ascii="Times New Roman" w:hAnsi="Times New Roman"/>
          <w:bCs/>
          <w:color w:val="000000" w:themeColor="text1"/>
          <w:kern w:val="2"/>
          <w:lang w:eastAsia="zh-CN"/>
        </w:rPr>
        <w:t>/d</w:t>
      </w:r>
      <w:r w:rsidRPr="00092862">
        <w:rPr>
          <w:rFonts w:ascii="Times New Roman" w:hAnsi="Times New Roman"/>
          <w:bCs/>
          <w:color w:val="000000" w:themeColor="text1"/>
          <w:kern w:val="2"/>
          <w:lang w:eastAsia="zh-CN"/>
        </w:rPr>
        <w:t>，地面试采阶段环境风险源较钻井和储层改造施工阶段小，其环境风险影响范围较施工期小，且在站内工艺管道发生断裂泄漏事故后，自控系</w:t>
      </w:r>
      <w:r w:rsidRPr="00092862">
        <w:rPr>
          <w:rFonts w:ascii="Times New Roman" w:hAnsi="Times New Roman"/>
          <w:bCs/>
          <w:color w:val="000000" w:themeColor="text1"/>
          <w:kern w:val="2"/>
          <w:lang w:eastAsia="zh-CN"/>
        </w:rPr>
        <w:lastRenderedPageBreak/>
        <w:t>统控制的截断阀能在</w:t>
      </w:r>
      <w:r w:rsidRPr="00092862">
        <w:rPr>
          <w:rFonts w:ascii="Times New Roman" w:hAnsi="Times New Roman"/>
          <w:bCs/>
          <w:color w:val="000000" w:themeColor="text1"/>
          <w:kern w:val="2"/>
          <w:lang w:eastAsia="zh-CN"/>
        </w:rPr>
        <w:t>2min</w:t>
      </w:r>
      <w:r w:rsidRPr="00092862">
        <w:rPr>
          <w:rFonts w:ascii="Times New Roman" w:hAnsi="Times New Roman"/>
          <w:bCs/>
          <w:color w:val="000000" w:themeColor="text1"/>
          <w:kern w:val="2"/>
          <w:lang w:eastAsia="zh-CN"/>
        </w:rPr>
        <w:t>内截断上游气源，管道两边截断阀（井口截断阀、出站阀组区截断阀）在第一时间响应关闭并启动放散程序，最大泄漏量为管线在线量和</w:t>
      </w:r>
      <w:r w:rsidRPr="00092862">
        <w:rPr>
          <w:rFonts w:ascii="Times New Roman" w:hAnsi="Times New Roman"/>
          <w:bCs/>
          <w:color w:val="000000" w:themeColor="text1"/>
          <w:kern w:val="2"/>
          <w:lang w:eastAsia="zh-CN"/>
        </w:rPr>
        <w:t>2min</w:t>
      </w:r>
      <w:r w:rsidRPr="00092862">
        <w:rPr>
          <w:rFonts w:ascii="Times New Roman" w:hAnsi="Times New Roman"/>
          <w:bCs/>
          <w:color w:val="000000" w:themeColor="text1"/>
          <w:kern w:val="2"/>
          <w:lang w:eastAsia="zh-CN"/>
        </w:rPr>
        <w:t>的天然气流量，天然气泄漏量很小。由于天然气主要成份为甲烷和硫化氢，稀释扩散较快，对环境、人和动物的影响是局部影响，且井口周边</w:t>
      </w:r>
      <w:r w:rsidRPr="00092862">
        <w:rPr>
          <w:rFonts w:ascii="Times New Roman" w:hAnsi="Times New Roman"/>
          <w:bCs/>
          <w:color w:val="000000" w:themeColor="text1"/>
          <w:kern w:val="2"/>
          <w:lang w:eastAsia="zh-CN"/>
        </w:rPr>
        <w:t>300m</w:t>
      </w:r>
      <w:r w:rsidRPr="00092862">
        <w:rPr>
          <w:rFonts w:ascii="Times New Roman" w:hAnsi="Times New Roman"/>
          <w:bCs/>
          <w:color w:val="000000" w:themeColor="text1"/>
          <w:kern w:val="2"/>
          <w:lang w:eastAsia="zh-CN"/>
        </w:rPr>
        <w:t>范围内无居民分布，发生风险事故后周边居民能及时的进行疏散。因此，对大气环境影响小。</w:t>
      </w:r>
    </w:p>
    <w:p w14:paraId="27D1615F"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5</w:t>
      </w:r>
      <w:r w:rsidRPr="00092862">
        <w:rPr>
          <w:rFonts w:ascii="Times New Roman" w:hAnsi="Times New Roman"/>
          <w:b/>
          <w:color w:val="000000" w:themeColor="text1"/>
          <w:kern w:val="2"/>
          <w:lang w:eastAsia="zh-CN"/>
        </w:rPr>
        <w:t>）火灾爆炸产生次生污染物对大气的影响</w:t>
      </w:r>
    </w:p>
    <w:p w14:paraId="26913695"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，毒性较大的</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lang w:eastAsia="zh-CN"/>
        </w:rPr>
        <w:t>的量相对较少。且本项目处于农村环境，周边大气敏感点分散，且环境空气流通性较好，火灾爆炸燃烧产物对大气产生的影响较小。</w:t>
      </w:r>
      <w:bookmarkEnd w:id="275"/>
    </w:p>
    <w:p w14:paraId="2BE7A708" w14:textId="4A38A395"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76" w:name="_Toc120173181"/>
      <w:r w:rsidRPr="00092862">
        <w:rPr>
          <w:rFonts w:ascii="Times New Roman" w:eastAsia="黑体" w:hAnsi="Times New Roman"/>
          <w:b w:val="0"/>
          <w:color w:val="000000" w:themeColor="text1"/>
          <w:sz w:val="24"/>
          <w:szCs w:val="24"/>
          <w:lang w:eastAsia="zh-CN"/>
        </w:rPr>
        <w:t>6.4.2</w:t>
      </w:r>
      <w:r w:rsidR="00450025" w:rsidRPr="00092862">
        <w:rPr>
          <w:rFonts w:ascii="Times New Roman" w:eastAsia="黑体" w:hAnsi="Times New Roman"/>
          <w:b w:val="0"/>
          <w:color w:val="000000" w:themeColor="text1"/>
          <w:sz w:val="24"/>
          <w:szCs w:val="24"/>
          <w:lang w:eastAsia="zh-CN"/>
        </w:rPr>
        <w:t>地表水环境风险影响分析</w:t>
      </w:r>
      <w:bookmarkEnd w:id="276"/>
    </w:p>
    <w:p w14:paraId="70FF9A85"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）废水泄漏或外溢影响分析</w:t>
      </w:r>
    </w:p>
    <w:p w14:paraId="18D7DE80"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钻井废水、压裂废水、气田水的危害主要表现在：</w:t>
      </w:r>
      <w:r w:rsidRPr="00092862">
        <w:rPr>
          <w:rFonts w:ascii="Times New Roman" w:hAnsi="Times New Roman"/>
          <w:bCs/>
          <w:color w:val="000000" w:themeColor="text1"/>
          <w:kern w:val="2"/>
          <w:lang w:eastAsia="zh-CN"/>
        </w:rPr>
        <w:t>pH</w:t>
      </w:r>
      <w:r w:rsidRPr="00092862">
        <w:rPr>
          <w:rFonts w:ascii="Times New Roman" w:hAnsi="Times New Roman"/>
          <w:bCs/>
          <w:color w:val="000000" w:themeColor="text1"/>
          <w:kern w:val="2"/>
          <w:lang w:eastAsia="zh-CN"/>
        </w:rPr>
        <w:t>值过高过低、可溶性盐含量高，含石油类。泄漏和外溢废水对地表水的影响一般有两种途径，一种是泄漏后直接进入水体；另一种是泄漏于地表，由降雨形成的地表径流将泄漏废水或受污染的土壤一起带入水体造成污染。由于本项目位于森林生态环境与农业生态环境中，周边主要为耕地与林地，项目附近有冲沟等，泄漏的废水可能随着降雨进入地表水，使地表水中的</w:t>
      </w:r>
      <w:r w:rsidRPr="00092862">
        <w:rPr>
          <w:rFonts w:ascii="Times New Roman" w:hAnsi="Times New Roman"/>
          <w:bCs/>
          <w:color w:val="000000" w:themeColor="text1"/>
          <w:kern w:val="2"/>
          <w:lang w:eastAsia="zh-CN"/>
        </w:rPr>
        <w:t>COD</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BOD</w:t>
      </w:r>
      <w:r w:rsidRPr="00092862">
        <w:rPr>
          <w:rFonts w:ascii="Times New Roman" w:hAnsi="Times New Roman"/>
          <w:bCs/>
          <w:color w:val="000000" w:themeColor="text1"/>
          <w:kern w:val="2"/>
          <w:lang w:eastAsia="zh-CN"/>
        </w:rPr>
        <w:t>、石油类增高，影响水生生物的生长。</w:t>
      </w:r>
    </w:p>
    <w:p w14:paraId="2C7F837B"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钻井井场设置清污分流系统，使井场内废水经处理后进入泥浆不落地系统内，同时避免雨水流入废水系统增加负荷，项目高出地面的放喷池集污坑等池壁也可有效避免周边雨水进入废水之中。试采期气田水于火炬分液罐内暂存，火炬分液罐外围设置有采取防渗处理的围堰，也有效防止气田水外溢。因此只要加强管理，完善风险防范措施，发生废水外溢事故的概率较低。此外，工程也有相应的事故应急预案，事故时能及时采取控制措施，确保对地表水环境的影响降至最低限度。</w:t>
      </w:r>
    </w:p>
    <w:p w14:paraId="32E3DB4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考虑到初期雨水以及井场内所有储水设备泄露收集处理不及时等极端情况时，集污坑规格不够，废水流出井场，对周围环境造成影响，要求建设单位（尤其如果项目施工在雨季时）应确保集污坑的利用效率，保证井场内废水能有效收集进入泥浆不落地装置或放喷池。建议建设单位适当加大集污坑的规格或者将集污坑改建为隔油污水池并做好防渗，增大废水储存规格，避免初期雨水控制不好或极端情况对附近水环境的污染，同时也能更加降低污水泄露对外环境（如地下水、耕地）的影响。本次环评要求构建</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三级</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防控体系：具体如下：</w:t>
      </w:r>
    </w:p>
    <w:p w14:paraId="6A5F10B9"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第一级防控措施是对存放废水和原料的罐池定期检查，确认罐池容量不超过设计容量，并及时清空，确保废水暂存容量足够；</w:t>
      </w:r>
    </w:p>
    <w:p w14:paraId="5C11675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第二级防控措施是通过对可能发生废水泄露的罐、池区以及作业区等区域修建围堰，避免泄露废水散排进入井场其他区域；</w:t>
      </w:r>
    </w:p>
    <w:p w14:paraId="22B56DA9"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第三级防控措施是内环沟集污坑、方井、井场四周集水坑等废水汇集处低进高出，同时设置水泵，将废水抽至泥浆不落地区暂存罐或应急罐、放喷池，拦截可能流出井场外的废水，保持内环沟、集污坑、方井、泥浆不落地装置应急罐等常空。</w:t>
      </w:r>
    </w:p>
    <w:p w14:paraId="253CC11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在废水外溢事故发生，集水坑拦截失效时，在集水坑附近等低洼区域以及外溢口处采用沙包、装土编织袋等拦截措施阻止废水进入外环境，同时保持泥浆不落地区暂存罐常空，通过泵将井场场内外溢废水引流至泥浆不落地区暂存罐或应急罐、放喷池，并及时处理转运。</w:t>
      </w:r>
    </w:p>
    <w:p w14:paraId="26C76665"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）油类物质的泄漏或外溢</w:t>
      </w:r>
    </w:p>
    <w:p w14:paraId="4AAFF387"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和林地，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sidRPr="00092862">
        <w:rPr>
          <w:rFonts w:ascii="Times New Roman" w:hAnsi="Times New Roman"/>
          <w:color w:val="000000" w:themeColor="text1"/>
          <w:lang w:eastAsia="zh-CN"/>
        </w:rPr>
        <w:t>钻井施工期油罐布置在井场外地势较高处，风险影响主要是柴油罐区的火灾爆炸。钻井期油罐设置在基础上，基础周边设置围栏、收油沟以及集污坑。油罐密闭，柴油</w:t>
      </w:r>
      <w:r w:rsidRPr="00092862">
        <w:rPr>
          <w:rFonts w:ascii="Times New Roman" w:hAnsi="Times New Roman"/>
          <w:color w:val="000000" w:themeColor="text1"/>
          <w:lang w:eastAsia="zh-CN"/>
        </w:rPr>
        <w:lastRenderedPageBreak/>
        <w:t>发生大量泄露的几率很小，一般情况管道阀门泄露，少量跑冒漏滴均收集在集污坑内，可有效防止污染。钻井施工期设置废油桶集中收集暂存于泥浆不落地装置区临时堆放区内，钻井队综合利用或交由有资质的单位处理，废油在施工生产过程中随时利用，废油暂存量小，废油发生泄露并进入外环境的可能性很小。废油在生产过程中随时利用，废油暂存量小，废油发生泄露并进入外环境的可能性很小。</w:t>
      </w:r>
    </w:p>
    <w:p w14:paraId="5B1E5CC8"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尽管项目在钻井期存在对地表水环境产生影响的风险因素，但项目有完善的</w:t>
      </w:r>
      <w:r w:rsidRPr="00092862">
        <w:rPr>
          <w:rFonts w:ascii="Times New Roman" w:hAnsi="Times New Roman"/>
          <w:bCs/>
          <w:color w:val="000000" w:themeColor="text1"/>
          <w:kern w:val="2"/>
          <w:lang w:eastAsia="zh-CN"/>
        </w:rPr>
        <w:t>QHSE</w:t>
      </w:r>
      <w:r w:rsidRPr="00092862">
        <w:rPr>
          <w:rFonts w:ascii="Times New Roman" w:hAnsi="Times New Roman"/>
          <w:bCs/>
          <w:color w:val="000000" w:themeColor="text1"/>
          <w:kern w:val="2"/>
          <w:lang w:eastAsia="zh-CN"/>
        </w:rPr>
        <w:t>管理体系，以及有效的风险防范措施，发生事故的概率较低。此外，工程也有相应的事故应急预案，事故时能及时采取控制措施，确保对地表水环境的影响降至最低限度。</w:t>
      </w:r>
    </w:p>
    <w:p w14:paraId="36DA3D39"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3</w:t>
      </w:r>
      <w:r w:rsidRPr="00092862">
        <w:rPr>
          <w:rFonts w:ascii="Times New Roman" w:hAnsi="Times New Roman"/>
          <w:b/>
          <w:color w:val="000000" w:themeColor="text1"/>
          <w:kern w:val="2"/>
          <w:lang w:eastAsia="zh-CN"/>
        </w:rPr>
        <w:t>）</w:t>
      </w:r>
      <w:r w:rsidRPr="00092862">
        <w:rPr>
          <w:rFonts w:ascii="Times New Roman" w:hAnsi="Times New Roman"/>
          <w:b/>
          <w:bCs/>
          <w:color w:val="000000" w:themeColor="text1"/>
          <w:kern w:val="2"/>
          <w:lang w:eastAsia="zh-CN"/>
        </w:rPr>
        <w:t>物质外运过程事故影响分析</w:t>
      </w:r>
    </w:p>
    <w:p w14:paraId="6D6B820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本项目液体类物质转运采用罐体装载，固废采用密封袋装运输，罐体为钢板密封罐，发生翻车泄露的机率很小，且合格泥浆、返排液、钻井固废等无有毒有害物质，主要是含有机污染物，罐车输送的量约</w:t>
      </w:r>
      <w:r w:rsidRPr="00092862">
        <w:rPr>
          <w:rFonts w:ascii="Times New Roman" w:hAnsi="Times New Roman"/>
          <w:bCs/>
          <w:color w:val="000000" w:themeColor="text1"/>
          <w:kern w:val="2"/>
          <w:lang w:eastAsia="zh-CN"/>
        </w:rPr>
        <w:t>10t/</w:t>
      </w:r>
      <w:r w:rsidRPr="00092862">
        <w:rPr>
          <w:rFonts w:ascii="Times New Roman" w:hAnsi="Times New Roman"/>
          <w:bCs/>
          <w:color w:val="000000" w:themeColor="text1"/>
          <w:kern w:val="2"/>
          <w:lang w:eastAsia="zh-CN"/>
        </w:rPr>
        <w:t>车，一次运输量不大，不会产生严重后果。根据沿海对盐碱地改造的经验，一块盐碱地经</w:t>
      </w:r>
      <w:r w:rsidRPr="00092862">
        <w:rPr>
          <w:rFonts w:ascii="Times New Roman" w:hAnsi="Times New Roman"/>
          <w:bCs/>
          <w:color w:val="000000" w:themeColor="text1"/>
          <w:kern w:val="2"/>
          <w:lang w:eastAsia="zh-CN"/>
        </w:rPr>
        <w:t>2~3</w:t>
      </w:r>
      <w:r w:rsidRPr="00092862">
        <w:rPr>
          <w:rFonts w:ascii="Times New Roman" w:hAnsi="Times New Roman"/>
          <w:bCs/>
          <w:color w:val="000000" w:themeColor="text1"/>
          <w:kern w:val="2"/>
          <w:lang w:eastAsia="zh-CN"/>
        </w:rPr>
        <w:t>次灌淡水浸泡后，便可种植水稻。达州地区自然降雨量大，受污染的植被、土壤、耕地经过几场雨后便可基本得到恢复。物质转运过程中发生事故污染的可能性极小，在环境所能接受的范围内。</w:t>
      </w:r>
    </w:p>
    <w:p w14:paraId="50675972" w14:textId="591E8D7E"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77" w:name="_Toc120173182"/>
      <w:r w:rsidRPr="00092862">
        <w:rPr>
          <w:rFonts w:ascii="Times New Roman" w:eastAsia="黑体" w:hAnsi="Times New Roman"/>
          <w:b w:val="0"/>
          <w:color w:val="000000" w:themeColor="text1"/>
          <w:sz w:val="24"/>
          <w:szCs w:val="24"/>
          <w:lang w:eastAsia="zh-CN"/>
        </w:rPr>
        <w:t>6.4.3</w:t>
      </w:r>
      <w:r w:rsidR="00450025" w:rsidRPr="00092862">
        <w:rPr>
          <w:rFonts w:ascii="Times New Roman" w:eastAsia="黑体" w:hAnsi="Times New Roman"/>
          <w:b w:val="0"/>
          <w:color w:val="000000" w:themeColor="text1"/>
          <w:sz w:val="24"/>
          <w:szCs w:val="24"/>
          <w:lang w:eastAsia="zh-CN"/>
        </w:rPr>
        <w:t>地下水及土壤环境风险影响分析</w:t>
      </w:r>
      <w:bookmarkEnd w:id="277"/>
    </w:p>
    <w:p w14:paraId="27DF58A3"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）井漏事故影响分析</w:t>
      </w:r>
    </w:p>
    <w:p w14:paraId="3E58201C"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hAnsi="Times New Roman" w:cs="Times New Roman"/>
          <w:color w:val="000000" w:themeColor="text1"/>
          <w:sz w:val="24"/>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但项目周边无居民饮用水井分布，事故状态下对水井影响较小。</w:t>
      </w:r>
    </w:p>
    <w:p w14:paraId="55D4A32B" w14:textId="5E6F77F6"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本项目钻井过程中对钻井液漏失量进行监控，发现钻井液漏失时，及时堵塞固井，各开完钻后及时下套管水泥固井，能有效避免钻井液漏失对环境造成污染。同时本项目不涉及表层钻井，</w:t>
      </w:r>
      <w:r w:rsidR="0019648E" w:rsidRPr="00092862">
        <w:rPr>
          <w:rFonts w:ascii="Times New Roman" w:hAnsi="Times New Roman"/>
          <w:color w:val="000000" w:themeColor="text1"/>
          <w:lang w:eastAsia="zh-CN"/>
        </w:rPr>
        <w:t>钻井</w:t>
      </w:r>
      <w:r w:rsidRPr="00092862">
        <w:rPr>
          <w:rFonts w:ascii="Times New Roman" w:hAnsi="Times New Roman"/>
          <w:color w:val="000000" w:themeColor="text1"/>
          <w:lang w:eastAsia="zh-CN"/>
        </w:rPr>
        <w:t>深度大于</w:t>
      </w:r>
      <w:r w:rsidRPr="00092862">
        <w:rPr>
          <w:rFonts w:ascii="Times New Roman" w:hAnsi="Times New Roman"/>
          <w:color w:val="000000" w:themeColor="text1"/>
          <w:lang w:eastAsia="zh-CN"/>
        </w:rPr>
        <w:t>4000m</w:t>
      </w:r>
      <w:r w:rsidRPr="00092862">
        <w:rPr>
          <w:rFonts w:ascii="Times New Roman" w:hAnsi="Times New Roman"/>
          <w:color w:val="000000" w:themeColor="text1"/>
          <w:lang w:eastAsia="zh-CN"/>
        </w:rPr>
        <w:t>，因此井漏事故情景下不会对地下水和土壤造成污染影响。同时采取了事故监控井措施，能及时发现和处理对地下水环境的不利影响，因此对周边地下水影响小。</w:t>
      </w:r>
    </w:p>
    <w:p w14:paraId="59849005"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lastRenderedPageBreak/>
        <w:t>（</w:t>
      </w:r>
      <w:r w:rsidRPr="00092862">
        <w:rPr>
          <w:rFonts w:ascii="Times New Roman" w:hAnsi="Times New Roman"/>
          <w:b/>
          <w:color w:val="000000" w:themeColor="text1"/>
          <w:kern w:val="2"/>
          <w:lang w:eastAsia="zh-CN"/>
        </w:rPr>
        <w:t>2</w:t>
      </w:r>
      <w:r w:rsidRPr="00092862">
        <w:rPr>
          <w:rFonts w:ascii="Times New Roman" w:hAnsi="Times New Roman"/>
          <w:b/>
          <w:color w:val="000000" w:themeColor="text1"/>
          <w:kern w:val="2"/>
          <w:lang w:eastAsia="zh-CN"/>
        </w:rPr>
        <w:t>）柴油、废油、钻井液、钻井废水、压裂返排液、气田水等泄漏影响分析</w:t>
      </w:r>
    </w:p>
    <w:p w14:paraId="4D96032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地下水环境影响分析章节预测结果，非正常工况，若放喷池发生渗漏或压裂施工井筒破裂压裂液漏失，污染物会大量进入地下水含水层，污染物扩散，但超标范围内无居民水井分布，因此对地下水环境影响较小。因此钻井平台施工阶段应加强场站内巡查，及时发现池、罐是否存在渗漏等异常，若发现罐体渗漏结合地下水污染超标和影响范围，建议以泄漏处两侧</w:t>
      </w:r>
      <w:r w:rsidRPr="00092862">
        <w:rPr>
          <w:rFonts w:ascii="Times New Roman" w:hAnsi="Times New Roman"/>
          <w:bCs/>
          <w:color w:val="000000" w:themeColor="text1"/>
          <w:kern w:val="2"/>
          <w:lang w:eastAsia="zh-CN"/>
        </w:rPr>
        <w:t>150m</w:t>
      </w:r>
      <w:r w:rsidRPr="00092862">
        <w:rPr>
          <w:rFonts w:ascii="Times New Roman" w:hAnsi="Times New Roman"/>
          <w:bCs/>
          <w:color w:val="000000" w:themeColor="text1"/>
          <w:kern w:val="2"/>
          <w:lang w:eastAsia="zh-CN"/>
        </w:rPr>
        <w:t>至下游划分为分散式水源禁止饮用带，同时设置地下水跟踪监测井，发现异常立即对下游邻近的居民水井（均未使用）进行取样监测，同时对居民进行告知。</w:t>
      </w:r>
    </w:p>
    <w:p w14:paraId="0F02F7BC"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壤土中渗透能力不强，与水的溶解又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14:paraId="7FE6AC9A"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bookmarkStart w:id="278" w:name="_Hlk88498239"/>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3</w:t>
      </w:r>
      <w:r w:rsidRPr="00092862">
        <w:rPr>
          <w:rFonts w:ascii="Times New Roman" w:hAnsi="Times New Roman"/>
          <w:b/>
          <w:color w:val="000000" w:themeColor="text1"/>
          <w:kern w:val="2"/>
          <w:lang w:eastAsia="zh-CN"/>
        </w:rPr>
        <w:t>）套外返水风险影响</w:t>
      </w:r>
    </w:p>
    <w:p w14:paraId="4F7890D2"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套管腐蚀损坏的机率很小，固井质量是产生套管内外返水的控制因素。一旦由于固井质量问题而出现套外返水，将对地下水、土壤产生影响。深部高矿化度地层水（主要在</w:t>
      </w:r>
      <w:r w:rsidRPr="00092862">
        <w:rPr>
          <w:rFonts w:ascii="Times New Roman" w:hAnsi="Times New Roman"/>
          <w:bCs/>
          <w:color w:val="000000" w:themeColor="text1"/>
          <w:kern w:val="2"/>
          <w:lang w:eastAsia="zh-CN"/>
        </w:rPr>
        <w:t>3000m</w:t>
      </w:r>
      <w:r w:rsidRPr="00092862">
        <w:rPr>
          <w:rFonts w:ascii="Times New Roman" w:hAnsi="Times New Roman"/>
          <w:bCs/>
          <w:color w:val="000000" w:themeColor="text1"/>
          <w:kern w:val="2"/>
          <w:lang w:eastAsia="zh-CN"/>
        </w:rPr>
        <w:t>以下地层）</w:t>
      </w:r>
      <w:r w:rsidRPr="00092862">
        <w:rPr>
          <w:rFonts w:ascii="Times New Roman" w:hAnsi="Times New Roman"/>
          <w:bCs/>
          <w:color w:val="000000" w:themeColor="text1"/>
          <w:kern w:val="2"/>
          <w:lang w:eastAsia="zh-CN"/>
        </w:rPr>
        <w:t>Cl</w:t>
      </w:r>
      <w:r w:rsidRPr="00092862">
        <w:rPr>
          <w:rFonts w:ascii="Times New Roman" w:hAnsi="Times New Roman"/>
          <w:bCs/>
          <w:color w:val="000000" w:themeColor="text1"/>
          <w:kern w:val="2"/>
          <w:vertAlign w:val="superscript"/>
          <w:lang w:eastAsia="zh-CN"/>
        </w:rPr>
        <w:t>-</w:t>
      </w:r>
      <w:r w:rsidRPr="00092862">
        <w:rPr>
          <w:rFonts w:ascii="Times New Roman" w:hAnsi="Times New Roman"/>
          <w:bCs/>
          <w:color w:val="000000" w:themeColor="text1"/>
          <w:kern w:val="2"/>
          <w:lang w:eastAsia="zh-CN"/>
        </w:rPr>
        <w:t>离子浓度达到</w:t>
      </w:r>
      <w:r w:rsidRPr="00092862">
        <w:rPr>
          <w:rFonts w:ascii="Times New Roman" w:hAnsi="Times New Roman"/>
          <w:bCs/>
          <w:color w:val="000000" w:themeColor="text1"/>
          <w:kern w:val="2"/>
          <w:lang w:eastAsia="zh-CN"/>
        </w:rPr>
        <w:t>19000</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23000mg/L</w:t>
      </w:r>
      <w:r w:rsidRPr="00092862">
        <w:rPr>
          <w:rFonts w:ascii="Times New Roman" w:hAnsi="Times New Roman"/>
          <w:bCs/>
          <w:color w:val="000000" w:themeColor="text1"/>
          <w:kern w:val="2"/>
          <w:lang w:eastAsia="zh-CN"/>
        </w:rPr>
        <w:t>，水型以</w:t>
      </w:r>
      <w:r w:rsidRPr="00092862">
        <w:rPr>
          <w:rFonts w:ascii="Times New Roman" w:hAnsi="Times New Roman"/>
          <w:bCs/>
          <w:color w:val="000000" w:themeColor="text1"/>
          <w:kern w:val="2"/>
          <w:lang w:eastAsia="zh-CN"/>
        </w:rPr>
        <w:t>CaCl</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为主，矿化度</w:t>
      </w:r>
      <w:r w:rsidRPr="00092862">
        <w:rPr>
          <w:rFonts w:ascii="Times New Roman" w:hAnsi="Times New Roman"/>
          <w:bCs/>
          <w:color w:val="000000" w:themeColor="text1"/>
          <w:kern w:val="2"/>
          <w:lang w:eastAsia="zh-CN"/>
        </w:rPr>
        <w:t>8.62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14g/L</w:t>
      </w:r>
      <w:r w:rsidRPr="00092862">
        <w:rPr>
          <w:rFonts w:ascii="Times New Roman" w:hAnsi="Times New Roman"/>
          <w:bCs/>
          <w:color w:val="000000" w:themeColor="text1"/>
          <w:kern w:val="2"/>
          <w:lang w:eastAsia="zh-CN"/>
        </w:rPr>
        <w:t>。沿套管外形成的环状空隙带上窜，在水头压力差的作用下直接进入各含水层，并随地下水的流动和在弥散作用下，在含水层中扩散迁移，将引起盐污染。</w:t>
      </w:r>
    </w:p>
    <w:p w14:paraId="5F58B250"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固井水泥返至地面，地层水通过水泥固封断产生的裂纹和缝隙带出地层水的量也不会太大，会对含水层产生一定影响，可能对附近农户水井（山泉）水质产生影响（但地下水评价范围内均无居民饮用该范围内地下水），通过目前较好的固井工艺，这种深层地层水窜入表层的机率很小，对地下水和土壤环境影响小。</w:t>
      </w:r>
      <w:bookmarkEnd w:id="278"/>
    </w:p>
    <w:p w14:paraId="68BD81B9" w14:textId="419669EE" w:rsidR="00450025" w:rsidRPr="00092862" w:rsidRDefault="00450025" w:rsidP="00450025">
      <w:pPr>
        <w:pStyle w:val="2"/>
        <w:ind w:firstLine="480"/>
        <w:rPr>
          <w:color w:val="000000" w:themeColor="text1"/>
          <w:szCs w:val="24"/>
          <w:lang w:eastAsia="zh-CN"/>
        </w:rPr>
      </w:pPr>
      <w:bookmarkStart w:id="279" w:name="5.3.5环境风险防范措施及应急要求"/>
      <w:bookmarkStart w:id="280" w:name="_Toc123682550"/>
      <w:bookmarkEnd w:id="279"/>
      <w:r w:rsidRPr="00092862">
        <w:rPr>
          <w:color w:val="000000" w:themeColor="text1"/>
          <w:szCs w:val="24"/>
          <w:lang w:eastAsia="zh-CN"/>
        </w:rPr>
        <w:lastRenderedPageBreak/>
        <w:t>6.5</w:t>
      </w:r>
      <w:r w:rsidRPr="00092862">
        <w:rPr>
          <w:color w:val="000000" w:themeColor="text1"/>
          <w:szCs w:val="24"/>
          <w:lang w:eastAsia="zh-CN"/>
        </w:rPr>
        <w:t>环境风险防范措施</w:t>
      </w:r>
      <w:bookmarkEnd w:id="280"/>
    </w:p>
    <w:p w14:paraId="49268E2B" w14:textId="339328A8"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1" w:name="_Toc120173184"/>
      <w:r w:rsidRPr="00092862">
        <w:rPr>
          <w:rFonts w:ascii="Times New Roman" w:eastAsia="黑体" w:hAnsi="Times New Roman"/>
          <w:b w:val="0"/>
          <w:color w:val="000000" w:themeColor="text1"/>
          <w:sz w:val="24"/>
          <w:szCs w:val="24"/>
          <w:lang w:eastAsia="zh-CN"/>
        </w:rPr>
        <w:t>6.5.1</w:t>
      </w:r>
      <w:r w:rsidR="00450025" w:rsidRPr="00092862">
        <w:rPr>
          <w:rFonts w:ascii="Times New Roman" w:eastAsia="黑体" w:hAnsi="Times New Roman"/>
          <w:b w:val="0"/>
          <w:color w:val="000000" w:themeColor="text1"/>
          <w:sz w:val="24"/>
          <w:szCs w:val="24"/>
          <w:lang w:eastAsia="zh-CN"/>
        </w:rPr>
        <w:t>钻井过程风险防范措施</w:t>
      </w:r>
      <w:bookmarkEnd w:id="281"/>
    </w:p>
    <w:p w14:paraId="6728DA0A" w14:textId="77777777" w:rsidR="00450025" w:rsidRPr="00092862" w:rsidRDefault="00450025" w:rsidP="00450025">
      <w:pPr>
        <w:pStyle w:val="ac"/>
        <w:adjustRightInd w:val="0"/>
        <w:snapToGrid w:val="0"/>
        <w:spacing w:before="0" w:line="360" w:lineRule="auto"/>
        <w:ind w:left="0" w:firstLineChars="200" w:firstLine="482"/>
        <w:jc w:val="both"/>
        <w:rPr>
          <w:rFonts w:ascii="Times New Roman" w:hAnsi="Times New Roman"/>
          <w:b/>
          <w:color w:val="000000" w:themeColor="text1"/>
          <w:kern w:val="2"/>
          <w:lang w:eastAsia="zh-CN"/>
        </w:rPr>
      </w:pPr>
      <w:r w:rsidRPr="00092862">
        <w:rPr>
          <w:rFonts w:ascii="Times New Roman" w:hAnsi="Times New Roman"/>
          <w:b/>
          <w:color w:val="000000" w:themeColor="text1"/>
          <w:kern w:val="2"/>
          <w:lang w:eastAsia="zh-CN"/>
        </w:rPr>
        <w:t>（</w:t>
      </w:r>
      <w:r w:rsidRPr="00092862">
        <w:rPr>
          <w:rFonts w:ascii="Times New Roman" w:hAnsi="Times New Roman"/>
          <w:b/>
          <w:color w:val="000000" w:themeColor="text1"/>
          <w:kern w:val="2"/>
          <w:lang w:eastAsia="zh-CN"/>
        </w:rPr>
        <w:t>1</w:t>
      </w:r>
      <w:r w:rsidRPr="00092862">
        <w:rPr>
          <w:rFonts w:ascii="Times New Roman" w:hAnsi="Times New Roman"/>
          <w:b/>
          <w:color w:val="000000" w:themeColor="text1"/>
          <w:kern w:val="2"/>
          <w:lang w:eastAsia="zh-CN"/>
        </w:rPr>
        <w:t>）施工设计中的防井喷措施</w:t>
      </w:r>
    </w:p>
    <w:p w14:paraId="2541AA58"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）选择合理的压井液。新井投产和试油、试气施工应参照钻穿油、气层时钻井泥浆性能，认真选择合理的压井液，避免因压井液性能达不到施工要求而造成井喷污染；</w:t>
      </w:r>
      <w:r w:rsidRPr="00092862">
        <w:rPr>
          <w:rFonts w:ascii="Times New Roman" w:hAnsi="Times New Roman"/>
          <w:bCs/>
          <w:color w:val="000000" w:themeColor="text1"/>
          <w:kern w:val="2"/>
          <w:lang w:eastAsia="zh-CN"/>
        </w:rPr>
        <w:t xml:space="preserve"> </w:t>
      </w:r>
    </w:p>
    <w:p w14:paraId="6330BD58"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）选择合理的射孔方式；</w:t>
      </w:r>
      <w:r w:rsidRPr="00092862">
        <w:rPr>
          <w:rFonts w:ascii="Times New Roman" w:hAnsi="Times New Roman"/>
          <w:bCs/>
          <w:color w:val="000000" w:themeColor="text1"/>
          <w:kern w:val="2"/>
          <w:lang w:eastAsia="zh-CN"/>
        </w:rPr>
        <w:t xml:space="preserve"> </w:t>
      </w:r>
    </w:p>
    <w:p w14:paraId="5FDCCED4"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）规定上提钻具的速度，井内下有大直径工具（工具外径超过油层套管内径</w:t>
      </w:r>
      <w:r w:rsidRPr="00092862">
        <w:rPr>
          <w:rFonts w:ascii="Times New Roman" w:hAnsi="Times New Roman"/>
          <w:bCs/>
          <w:color w:val="000000" w:themeColor="text1"/>
          <w:kern w:val="2"/>
          <w:lang w:eastAsia="zh-CN"/>
        </w:rPr>
        <w:t>80%</w:t>
      </w:r>
      <w:r w:rsidRPr="00092862">
        <w:rPr>
          <w:rFonts w:ascii="Times New Roman" w:hAnsi="Times New Roman"/>
          <w:bCs/>
          <w:color w:val="000000" w:themeColor="text1"/>
          <w:kern w:val="2"/>
          <w:lang w:eastAsia="zh-CN"/>
        </w:rPr>
        <w:t>以上）的井，严禁高速起钻，防止因高速起钻引起抽汲作用造成井喷污染；</w:t>
      </w:r>
      <w:r w:rsidRPr="00092862">
        <w:rPr>
          <w:rFonts w:ascii="Times New Roman" w:hAnsi="Times New Roman"/>
          <w:bCs/>
          <w:color w:val="000000" w:themeColor="text1"/>
          <w:kern w:val="2"/>
          <w:lang w:eastAsia="zh-CN"/>
        </w:rPr>
        <w:t xml:space="preserve"> </w:t>
      </w:r>
    </w:p>
    <w:p w14:paraId="34F79081"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）对防喷装置的配备要有明确要求；</w:t>
      </w:r>
      <w:r w:rsidRPr="00092862">
        <w:rPr>
          <w:rFonts w:ascii="Times New Roman" w:hAnsi="Times New Roman"/>
          <w:bCs/>
          <w:color w:val="000000" w:themeColor="text1"/>
          <w:kern w:val="2"/>
          <w:lang w:eastAsia="zh-CN"/>
        </w:rPr>
        <w:t xml:space="preserve"> </w:t>
      </w:r>
    </w:p>
    <w:p w14:paraId="186F7783" w14:textId="77777777" w:rsidR="00450025" w:rsidRPr="00092862" w:rsidRDefault="00450025" w:rsidP="0045002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）选择使用有利于防止和控制井喷的井下管柱和工具，以适应突发事故的处理和补救措施的需要。</w:t>
      </w:r>
      <w:r w:rsidRPr="00092862">
        <w:rPr>
          <w:rFonts w:ascii="Times New Roman" w:hAnsi="Times New Roman"/>
          <w:bCs/>
          <w:color w:val="000000" w:themeColor="text1"/>
          <w:kern w:val="2"/>
          <w:lang w:eastAsia="zh-CN"/>
        </w:rPr>
        <w:t xml:space="preserve"> </w:t>
      </w:r>
    </w:p>
    <w:p w14:paraId="07489D7B"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）钻井作业中的井喷防范措施</w:t>
      </w:r>
    </w:p>
    <w:p w14:paraId="07CE36B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施工单位应按《石油天然气钻井健康、安全与环境管理体系指南》（</w:t>
      </w:r>
      <w:r w:rsidRPr="00092862">
        <w:rPr>
          <w:rFonts w:ascii="Times New Roman" w:eastAsia="宋体" w:hAnsi="Times New Roman" w:cs="Times New Roman"/>
          <w:color w:val="000000" w:themeColor="text1"/>
          <w:sz w:val="24"/>
        </w:rPr>
        <w:t>SY/T6283-1997</w:t>
      </w:r>
      <w:r w:rsidRPr="00092862">
        <w:rPr>
          <w:rFonts w:ascii="Times New Roman" w:eastAsia="宋体" w:hAnsi="Times New Roman" w:cs="Times New Roman"/>
          <w:color w:val="000000" w:themeColor="text1"/>
          <w:sz w:val="24"/>
        </w:rPr>
        <w:t>）、中国石油天然气集团公司《石油天然气钻井作业健康、安全与环境管理导则》及相关的井控技术标准和规范中的有关规定执行，并针对本工程情况制定具体的可操作的实施方案，主要包括：</w:t>
      </w:r>
    </w:p>
    <w:p w14:paraId="0D1541A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）开钻前向全队职工、钻井现场的所有工作人员进行地质、工程、钻井液和井控装备等方面的技术交底，并提出具体要求；</w:t>
      </w:r>
    </w:p>
    <w:p w14:paraId="0384683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）严格执行井控工作九项管理制度，落实溢流监测岗位、关井操作岗位和钻井队干部</w:t>
      </w:r>
      <w:r w:rsidRPr="00092862">
        <w:rPr>
          <w:rFonts w:ascii="Times New Roman" w:eastAsia="宋体" w:hAnsi="Times New Roman" w:cs="Times New Roman"/>
          <w:color w:val="000000" w:themeColor="text1"/>
          <w:sz w:val="24"/>
        </w:rPr>
        <w:t>24h</w:t>
      </w:r>
      <w:r w:rsidRPr="00092862">
        <w:rPr>
          <w:rFonts w:ascii="Times New Roman" w:eastAsia="宋体" w:hAnsi="Times New Roman" w:cs="Times New Roman"/>
          <w:color w:val="000000" w:themeColor="text1"/>
          <w:sz w:val="24"/>
        </w:rPr>
        <w:t>值班制度，井控准备工作及应急预案必须经验收合格后，方可钻开油气层；</w:t>
      </w:r>
    </w:p>
    <w:p w14:paraId="099F5AA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）种井控装备及其它专用工具、消防器材、防爆电路系统配备齐全、运转正常；</w:t>
      </w:r>
    </w:p>
    <w:p w14:paraId="416498F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）每次起钻前必须活动方钻杆上、下旋塞一次，以保证其正常可靠；</w:t>
      </w:r>
    </w:p>
    <w:p w14:paraId="4B4E458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）气层钻进中，必须在近钻头位置安装钻具回压阀，同时钻台上配备一只与钻具尺寸相符的回压阀，且备有相应的抢接工具，在大门坡道上准备一根防喷单根（钻杆下部有与钻铤扣相符的配合接头）；</w:t>
      </w:r>
    </w:p>
    <w:p w14:paraId="14CF270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）按班组进行防喷演习，并达到规定要求；</w:t>
      </w:r>
    </w:p>
    <w:p w14:paraId="6A1964E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7</w:t>
      </w:r>
      <w:r w:rsidRPr="00092862">
        <w:rPr>
          <w:rFonts w:ascii="Times New Roman" w:eastAsia="宋体" w:hAnsi="Times New Roman" w:cs="Times New Roman"/>
          <w:color w:val="000000" w:themeColor="text1"/>
          <w:sz w:val="24"/>
        </w:rPr>
        <w:t>）严格落实坐岗制度，无论钻井还是起下钻，或其它辅助作业，钻井班落实专人坐岗观察钻井液池液面变化和钻井液出口情况，录井人员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14:paraId="6B41BE1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）认真搞好随钻地层压力的监测工作中，发现地层压力异常、溢流、井涌等情况，应及时关井并调整钻井液密度，同时上报有关部门；</w:t>
      </w:r>
    </w:p>
    <w:p w14:paraId="5425C0E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9</w:t>
      </w:r>
      <w:r w:rsidRPr="00092862">
        <w:rPr>
          <w:rFonts w:ascii="Times New Roman" w:eastAsia="宋体" w:hAnsi="Times New Roman" w:cs="Times New Roman"/>
          <w:color w:val="000000" w:themeColor="text1"/>
          <w:sz w:val="24"/>
        </w:rPr>
        <w:t>）严格控制起下钻速度，起钻必须按规定灌满钻井液；</w:t>
      </w:r>
    </w:p>
    <w:p w14:paraId="4766749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10</w:t>
      </w:r>
      <w:r w:rsidRPr="00092862">
        <w:rPr>
          <w:rFonts w:ascii="Times New Roman" w:eastAsia="宋体" w:hAnsi="Times New Roman" w:cs="Times New Roman"/>
          <w:color w:val="000000" w:themeColor="text1"/>
          <w:sz w:val="24"/>
        </w:rPr>
        <w:t>）加强井场设备的运行、保养和检查，保证设备的正常运行，设备检修必须按有关规定执行；</w:t>
      </w:r>
    </w:p>
    <w:p w14:paraId="4093F62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11</w:t>
      </w:r>
      <w:r w:rsidRPr="00092862">
        <w:rPr>
          <w:rFonts w:ascii="Times New Roman" w:eastAsia="宋体" w:hAnsi="Times New Roman" w:cs="Times New Roman"/>
          <w:color w:val="000000" w:themeColor="text1"/>
          <w:sz w:val="24"/>
        </w:rPr>
        <w:t>）钻井中遇到钻速突然加快、放散、井漏、气测及油气水显示异常等情况，应立即停钻观察，如发生溢流要按规定及时发出报警信号，并按正确的关井程序及时关井，关井求压后迅速实施压井作业；</w:t>
      </w:r>
    </w:p>
    <w:p w14:paraId="07566D6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12</w:t>
      </w:r>
      <w:r w:rsidRPr="00092862">
        <w:rPr>
          <w:rFonts w:ascii="Times New Roman" w:eastAsia="宋体" w:hAnsi="Times New Roman" w:cs="Times New Roman"/>
          <w:color w:val="000000" w:themeColor="text1"/>
          <w:sz w:val="24"/>
        </w:rPr>
        <w:t>）发生溢流后，根据关井压力，尽快在井口、地层和套管安全条件下压井，待井内平稳后才恢复钻井；</w:t>
      </w:r>
    </w:p>
    <w:p w14:paraId="19B0470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13</w:t>
      </w:r>
      <w:r w:rsidRPr="00092862">
        <w:rPr>
          <w:rFonts w:ascii="Times New Roman" w:eastAsia="宋体" w:hAnsi="Times New Roman" w:cs="Times New Roman"/>
          <w:color w:val="000000" w:themeColor="text1"/>
          <w:sz w:val="24"/>
        </w:rPr>
        <w:t>）关井压力不得超过井口装置的工作压力、套管抗内压强度的</w:t>
      </w:r>
      <w:r w:rsidRPr="00092862">
        <w:rPr>
          <w:rFonts w:ascii="Times New Roman" w:eastAsia="宋体" w:hAnsi="Times New Roman" w:cs="Times New Roman"/>
          <w:color w:val="000000" w:themeColor="text1"/>
          <w:sz w:val="24"/>
        </w:rPr>
        <w:t>80</w:t>
      </w:r>
      <w:r w:rsidRPr="00092862">
        <w:rPr>
          <w:rFonts w:ascii="Times New Roman" w:eastAsia="宋体" w:hAnsi="Times New Roman" w:cs="Times New Roman"/>
          <w:color w:val="000000" w:themeColor="text1"/>
          <w:sz w:val="24"/>
        </w:rPr>
        <w:t>％和地层破裂压力三者中的最小值；</w:t>
      </w:r>
    </w:p>
    <w:p w14:paraId="1AA201B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14</w:t>
      </w:r>
      <w:r w:rsidRPr="00092862">
        <w:rPr>
          <w:rFonts w:ascii="Times New Roman" w:eastAsia="宋体" w:hAnsi="Times New Roman" w:cs="Times New Roman"/>
          <w:color w:val="000000" w:themeColor="text1"/>
          <w:sz w:val="24"/>
        </w:rPr>
        <w:t>）强化员工的爱岗敬业教育，严格执行项操作规程，确保钻井作业过程中不因操作失误导致井喷事故的发生。</w:t>
      </w:r>
    </w:p>
    <w:p w14:paraId="542843A3"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）防井喷装置</w:t>
      </w:r>
    </w:p>
    <w:p w14:paraId="27B7979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）以半封和全封防喷器为主体的防喷装置，包括高压闸门、自封、四通、套管头、过渡法兰等；</w:t>
      </w:r>
    </w:p>
    <w:p w14:paraId="49401BE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）以节流管汇为主体的井控管汇，包括放喷管线、压井管线等；</w:t>
      </w:r>
    </w:p>
    <w:p w14:paraId="3B7A694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）井下管柱防喷工具，包括钻具、防喷单流阀等；</w:t>
      </w:r>
    </w:p>
    <w:p w14:paraId="6225506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）具有净化、加大密度、原料储备及自动调配、自动灌装等功能的压井液储备系统；</w:t>
      </w:r>
    </w:p>
    <w:p w14:paraId="4C8BA06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）防止井喷失控的专用设备、设施，包括高压自封、不压井起下管柱装置等。</w:t>
      </w:r>
    </w:p>
    <w:p w14:paraId="23951604"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bookmarkStart w:id="282" w:name="_Hlk88499419"/>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4</w:t>
      </w:r>
      <w:r w:rsidRPr="00092862">
        <w:rPr>
          <w:rFonts w:ascii="Times New Roman" w:eastAsia="宋体" w:hAnsi="Times New Roman" w:cs="Times New Roman"/>
          <w:b/>
          <w:bCs/>
          <w:color w:val="000000" w:themeColor="text1"/>
          <w:sz w:val="24"/>
        </w:rPr>
        <w:t>）井喷前期气侵、井涌防范措施</w:t>
      </w:r>
    </w:p>
    <w:p w14:paraId="297A4A5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）选择合理的压井液。新井投产和试油、试气施工应参照钻穿油、气层时</w:t>
      </w:r>
      <w:r w:rsidRPr="00092862">
        <w:rPr>
          <w:rFonts w:ascii="Times New Roman" w:eastAsia="宋体" w:hAnsi="Times New Roman" w:cs="Times New Roman"/>
          <w:color w:val="000000" w:themeColor="text1"/>
          <w:sz w:val="24"/>
        </w:rPr>
        <w:lastRenderedPageBreak/>
        <w:t>钻井泥浆性能，认真选择合理的压井液，避免因压井液性能达不到施工要求而造成井喷污染；</w:t>
      </w:r>
    </w:p>
    <w:p w14:paraId="53825F2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）选择合理的射孔方式；</w:t>
      </w:r>
    </w:p>
    <w:p w14:paraId="4B89C89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）规定上提钻具的速度。井内下有大直径工具（工具外径超过油层套管内径</w:t>
      </w:r>
      <w:r w:rsidRPr="00092862">
        <w:rPr>
          <w:rFonts w:ascii="Times New Roman" w:eastAsia="宋体" w:hAnsi="Times New Roman" w:cs="Times New Roman"/>
          <w:color w:val="000000" w:themeColor="text1"/>
          <w:sz w:val="24"/>
        </w:rPr>
        <w:t>80%</w:t>
      </w:r>
      <w:r w:rsidRPr="00092862">
        <w:rPr>
          <w:rFonts w:ascii="Times New Roman" w:eastAsia="宋体" w:hAnsi="Times New Roman" w:cs="Times New Roman"/>
          <w:color w:val="000000" w:themeColor="text1"/>
          <w:sz w:val="24"/>
        </w:rPr>
        <w:t>以上）的井，严禁高速起钻，防止因高速起钻引起抽汲作用造成井喷污染；</w:t>
      </w:r>
    </w:p>
    <w:p w14:paraId="7FE2209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）发生气侵时，及时检查调整钻井液密度，发现井涌时及时关泵压井。</w:t>
      </w:r>
    </w:p>
    <w:p w14:paraId="210A820E"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5</w:t>
      </w:r>
      <w:r w:rsidRPr="00092862">
        <w:rPr>
          <w:rFonts w:ascii="Times New Roman" w:eastAsia="宋体" w:hAnsi="Times New Roman" w:cs="Times New Roman"/>
          <w:b/>
          <w:bCs/>
          <w:color w:val="000000" w:themeColor="text1"/>
          <w:sz w:val="24"/>
        </w:rPr>
        <w:t>）钻开气层前验收</w:t>
      </w:r>
    </w:p>
    <w:p w14:paraId="2B2C042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钻开气层时极容易发生井下事故从而导致环境污染事故。钻开气层前验收就是在钻开气层前对井队的安全和井控工作进行全面大检查，以消除事故隐患，实现安全生产和清洁生产。</w:t>
      </w:r>
    </w:p>
    <w:p w14:paraId="52A8981F"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6</w:t>
      </w:r>
      <w:r w:rsidRPr="00092862">
        <w:rPr>
          <w:rFonts w:ascii="Times New Roman" w:eastAsia="宋体" w:hAnsi="Times New Roman" w:cs="Times New Roman"/>
          <w:b/>
          <w:bCs/>
          <w:color w:val="000000" w:themeColor="text1"/>
          <w:sz w:val="24"/>
        </w:rPr>
        <w:t>）钻井、完井防腐措施</w:t>
      </w:r>
    </w:p>
    <w:p w14:paraId="28E0C77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应加强油管腐蚀监测，掌握气井腐蚀状况，按井下作业流程检查油管腐蚀情况，记录每口作业井的油管腐蚀情况，根据井油管腐蚀情况进行专门的更换油管修井，以避免油管腐蚀穿孔、断落。</w:t>
      </w:r>
    </w:p>
    <w:p w14:paraId="524FD5EC" w14:textId="090CB9E4"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3" w:name="_Toc120173185"/>
      <w:r w:rsidRPr="00092862">
        <w:rPr>
          <w:rFonts w:ascii="Times New Roman" w:eastAsia="黑体" w:hAnsi="Times New Roman"/>
          <w:b w:val="0"/>
          <w:color w:val="000000" w:themeColor="text1"/>
          <w:sz w:val="24"/>
          <w:szCs w:val="24"/>
          <w:lang w:eastAsia="zh-CN"/>
        </w:rPr>
        <w:t>6.5.2</w:t>
      </w:r>
      <w:r w:rsidR="00450025" w:rsidRPr="00092862">
        <w:rPr>
          <w:rFonts w:ascii="Times New Roman" w:eastAsia="黑体" w:hAnsi="Times New Roman"/>
          <w:b w:val="0"/>
          <w:color w:val="000000" w:themeColor="text1"/>
          <w:sz w:val="24"/>
          <w:szCs w:val="24"/>
          <w:lang w:eastAsia="zh-CN"/>
        </w:rPr>
        <w:t>废水、油类外溢或泄露等风险防范措施</w:t>
      </w:r>
      <w:bookmarkEnd w:id="283"/>
    </w:p>
    <w:p w14:paraId="5BCEAE7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期废水收集罐、试采期火炬分液罐通过设置围堰和防渗，放喷池通过加固池壁和防渗，降低垮塌风险；对井场排污沟及时清扫，保证排污沟畅通；集污坑和泥浆不落地装置加强保护管理，泥浆不落地装置设计时向集污坑倾斜，避免少量集水因围堰垮塌外流。由于项目区域地势高差较大，考虑到暴雨等情况下排水问题，建议对集污坑和泥浆不落地装置内集水进行及时清理，及时清掏，适当加大集污坑规格或者适当扩大其容量，确保集污坑有足够的容量，能够对初期雨水及时收集；加大外环沟和集水坑规格，外排沟系统应与周边泄洪沟有效连接，确保雨水能正常排放，不至于淹没井场；建议对井场雨水排放口（集水坑）进行适当扩建，对正常雨水进行隔油沉淀后外排。加强平时管理，保证放喷池、泥浆不落地装置的储罐内有足够空余容积，水位达到池体</w:t>
      </w:r>
      <w:r w:rsidRPr="00092862">
        <w:rPr>
          <w:rFonts w:ascii="Times New Roman" w:eastAsia="宋体" w:hAnsi="Times New Roman" w:cs="Times New Roman"/>
          <w:color w:val="000000" w:themeColor="text1"/>
          <w:sz w:val="24"/>
        </w:rPr>
        <w:t>80%</w:t>
      </w:r>
      <w:r w:rsidRPr="00092862">
        <w:rPr>
          <w:rFonts w:ascii="Times New Roman" w:eastAsia="宋体" w:hAnsi="Times New Roman" w:cs="Times New Roman"/>
          <w:color w:val="000000" w:themeColor="text1"/>
          <w:sz w:val="24"/>
        </w:rPr>
        <w:t>时应外运处理，可有效防止水体污染事故。若池体发生垮塌事故，立即封堵内外环沟与自然沟渠连通处，及时清理池内及排污沟内废水，池底废水清理完后立即重新修建池壁，并进一步加固。试采期站内火炬分液罐安装溢外报警器，以便及时发现外溢情况。</w:t>
      </w:r>
    </w:p>
    <w:p w14:paraId="23076B50" w14:textId="1F6CB915"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4" w:name="_Toc120173186"/>
      <w:r w:rsidRPr="00092862">
        <w:rPr>
          <w:rFonts w:ascii="Times New Roman" w:eastAsia="黑体" w:hAnsi="Times New Roman"/>
          <w:b w:val="0"/>
          <w:color w:val="000000" w:themeColor="text1"/>
          <w:sz w:val="24"/>
          <w:szCs w:val="24"/>
          <w:lang w:eastAsia="zh-CN"/>
        </w:rPr>
        <w:lastRenderedPageBreak/>
        <w:t>6.5.3</w:t>
      </w:r>
      <w:r w:rsidR="00450025" w:rsidRPr="00092862">
        <w:rPr>
          <w:rFonts w:ascii="Times New Roman" w:eastAsia="黑体" w:hAnsi="Times New Roman"/>
          <w:b w:val="0"/>
          <w:color w:val="000000" w:themeColor="text1"/>
          <w:sz w:val="24"/>
          <w:szCs w:val="24"/>
          <w:lang w:eastAsia="zh-CN"/>
        </w:rPr>
        <w:t>物质外运风险防范措施</w:t>
      </w:r>
      <w:bookmarkEnd w:id="284"/>
    </w:p>
    <w:p w14:paraId="6EACA75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）废水、钻井固废转运单位在开展运输工作前，应对运输人员进行相关安全环保知识培训，运输车辆、装卸工具必须符合安全环保要求，装卸过程中不得溢出和泄漏。严禁随意倾倒、排放或者向第三方转移废水。</w:t>
      </w:r>
    </w:p>
    <w:p w14:paraId="709D89A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运输前规划运输路线，废水、钻井固废转运过程中应严格按照规定的路线运输到相应的目的地；运输过程中应尽量避开环境敏感区，遇环境敏感区需减速慢行，废水、钻井固废转运应建立交接三联单制度，确保废水运至相应的目的地。</w:t>
      </w:r>
    </w:p>
    <w:p w14:paraId="66B7AB7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）废水、钻井固废转运必须使用密闭的车辆运输，并确保运输车辆车况处于良好状态。</w:t>
      </w:r>
    </w:p>
    <w:p w14:paraId="2F3979D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）尽量避免雨天和大雾天运转废水。</w:t>
      </w:r>
    </w:p>
    <w:p w14:paraId="4B046B9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）本工程废水、钻井固废运输由专业单位负责实施，不得自行运输，也不得委托公司外其他单位运输。</w:t>
      </w:r>
    </w:p>
    <w:p w14:paraId="039FB5E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）承包废水、钻井固废转运的承包商实施车辆登记制度，为每台车辆安装</w:t>
      </w:r>
      <w:r w:rsidRPr="00092862">
        <w:rPr>
          <w:rFonts w:ascii="Times New Roman" w:eastAsia="宋体" w:hAnsi="Times New Roman" w:cs="Times New Roman"/>
          <w:color w:val="000000" w:themeColor="text1"/>
          <w:sz w:val="24"/>
        </w:rPr>
        <w:t>GPS</w:t>
      </w:r>
      <w:r w:rsidRPr="00092862">
        <w:rPr>
          <w:rFonts w:ascii="Times New Roman" w:eastAsia="宋体" w:hAnsi="Times New Roman" w:cs="Times New Roman"/>
          <w:color w:val="000000" w:themeColor="text1"/>
          <w:sz w:val="24"/>
        </w:rPr>
        <w:t>系统，并纳入建设方的</w:t>
      </w:r>
      <w:r w:rsidRPr="00092862">
        <w:rPr>
          <w:rFonts w:ascii="Times New Roman" w:eastAsia="宋体" w:hAnsi="Times New Roman" w:cs="Times New Roman"/>
          <w:color w:val="000000" w:themeColor="text1"/>
          <w:sz w:val="24"/>
        </w:rPr>
        <w:t>GPS</w:t>
      </w:r>
      <w:r w:rsidRPr="00092862">
        <w:rPr>
          <w:rFonts w:ascii="Times New Roman" w:eastAsia="宋体" w:hAnsi="Times New Roman" w:cs="Times New Roman"/>
          <w:color w:val="000000" w:themeColor="text1"/>
          <w:sz w:val="24"/>
        </w:rPr>
        <w:t>监控系统平台，以便随时掌握废水、钻井固废运输车辆位置和行驶路线，确保废水、钻井固废转运至相应的目的地。</w:t>
      </w:r>
    </w:p>
    <w:p w14:paraId="21122E0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）废水、钻井固废运输车辆严格执行签认制度。签认单保存期不得少于二年，以便备查。</w:t>
      </w:r>
    </w:p>
    <w:p w14:paraId="517D2EA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废水、钻井固废转运单位应做好应急管理工作，做好风险防范识别，编制生产废水、钻井固废运输应急预案，每次废水、钻井固废运输任务都应制定运输方案和应急措施，严禁超速超载，路过环境敏感区需减速慢性，安全驶离，强化运输过程的安全管理，防止因安全事故衍生成环保事故。</w:t>
      </w:r>
    </w:p>
    <w:p w14:paraId="4A7330D4"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9</w:t>
      </w:r>
      <w:r w:rsidRPr="00092862">
        <w:rPr>
          <w:rFonts w:ascii="Times New Roman" w:eastAsia="宋体" w:hAnsi="Times New Roman" w:cs="Times New Roman"/>
          <w:color w:val="000000" w:themeColor="text1"/>
          <w:sz w:val="24"/>
        </w:rPr>
        <w:t>）废水、钻井固废产生单位和废水、钻井固废转运单位应建立健全管理制度和办法，加强与地方相关部门的联系和协调。废水运输过程中，废水、钻井固废产生单位、承运单位应做好相关记录，建立相关台账。在发生事故后应及时通报当地环保部门，并积极配合环保部门抢险。确保安全通过，同时要注意清洁运输，防止废水、钻井固废泄漏。</w:t>
      </w:r>
    </w:p>
    <w:p w14:paraId="40251A65" w14:textId="69E8880A"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5" w:name="_Toc120173187"/>
      <w:r w:rsidRPr="00092862">
        <w:rPr>
          <w:rFonts w:ascii="Times New Roman" w:eastAsia="黑体" w:hAnsi="Times New Roman"/>
          <w:b w:val="0"/>
          <w:color w:val="000000" w:themeColor="text1"/>
          <w:sz w:val="24"/>
          <w:szCs w:val="24"/>
          <w:lang w:eastAsia="zh-CN"/>
        </w:rPr>
        <w:t>6.5.4</w:t>
      </w:r>
      <w:r w:rsidR="00450025" w:rsidRPr="00092862">
        <w:rPr>
          <w:rFonts w:ascii="Times New Roman" w:eastAsia="黑体" w:hAnsi="Times New Roman"/>
          <w:b w:val="0"/>
          <w:color w:val="000000" w:themeColor="text1"/>
          <w:sz w:val="24"/>
          <w:szCs w:val="24"/>
          <w:lang w:eastAsia="zh-CN"/>
        </w:rPr>
        <w:t>井漏防范措施</w:t>
      </w:r>
      <w:bookmarkEnd w:id="285"/>
    </w:p>
    <w:p w14:paraId="6A726550" w14:textId="18069D69"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本项目不涉及浅层钻井，</w:t>
      </w:r>
      <w:r w:rsidR="0019648E" w:rsidRPr="00092862">
        <w:rPr>
          <w:rFonts w:ascii="Times New Roman" w:eastAsia="宋体" w:hAnsi="Times New Roman" w:cs="Times New Roman"/>
          <w:color w:val="000000" w:themeColor="text1"/>
          <w:sz w:val="24"/>
        </w:rPr>
        <w:t>钻井</w:t>
      </w:r>
      <w:r w:rsidRPr="00092862">
        <w:rPr>
          <w:rFonts w:ascii="Times New Roman" w:eastAsia="宋体" w:hAnsi="Times New Roman" w:cs="Times New Roman"/>
          <w:color w:val="000000" w:themeColor="text1"/>
          <w:sz w:val="24"/>
        </w:rPr>
        <w:t>深度大于</w:t>
      </w:r>
      <w:r w:rsidRPr="00092862">
        <w:rPr>
          <w:rFonts w:ascii="Times New Roman" w:eastAsia="宋体" w:hAnsi="Times New Roman" w:cs="Times New Roman"/>
          <w:color w:val="000000" w:themeColor="text1"/>
          <w:sz w:val="24"/>
        </w:rPr>
        <w:t>4000m</w:t>
      </w:r>
      <w:r w:rsidRPr="00092862">
        <w:rPr>
          <w:rFonts w:ascii="Times New Roman" w:eastAsia="宋体" w:hAnsi="Times New Roman" w:cs="Times New Roman"/>
          <w:color w:val="000000" w:themeColor="text1"/>
          <w:sz w:val="24"/>
        </w:rPr>
        <w:t>，即使发生井漏事故后仍不会对浅层地下水造成污染影响。从钻井工艺上优化尽可能的减少井漏事故对当</w:t>
      </w:r>
      <w:r w:rsidRPr="00092862">
        <w:rPr>
          <w:rFonts w:ascii="Times New Roman" w:eastAsia="宋体" w:hAnsi="Times New Roman" w:cs="Times New Roman"/>
          <w:color w:val="000000" w:themeColor="text1"/>
          <w:sz w:val="24"/>
        </w:rPr>
        <w:lastRenderedPageBreak/>
        <w:t>地地下水环境的影响，在钻遇地下溶洞等不良地质时，漏失仅引起地下水浊度等物理指标变化，且工程上会采取快速钻井快速下管的施工工艺，因此对地下水尤其是对地下水饮用水源或水井影响不大，尽管如此，仍提出如下预防和应急措施：</w:t>
      </w:r>
    </w:p>
    <w:p w14:paraId="41A598F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井场井站项目在施工建设前应充分研究地质设计资料和钻井等，有必要时应采取钻探等方法进行调查分析，查明项目所在地的地下水分布情况、埋藏深度及岩溶发育情况等，并在此基础上优化钻井施工工艺、泥浆体系等，对钻井过程中可能发生的泥浆漏失的情况，应有所预见。</w:t>
      </w:r>
    </w:p>
    <w:p w14:paraId="08EADD1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）采用强钻方式快速钻穿漏失层达到固井层位，针对这种情况应选用合理泥浆密度，实现近平衡压力钻井，降低泥浆环空压耗，降低泥浆激动压力，从而降低井筒中泥浆动压力，减小泥浆漏失量。</w:t>
      </w:r>
    </w:p>
    <w:p w14:paraId="35311B5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）对钻井体系进行实时监控，并配备足够的堵漏材料，一旦发现井漏，立即采取堵漏措施，在压裂过程亦需监控压裂液的漏失情况，以防止压裂液的扩散污染。</w:t>
      </w:r>
    </w:p>
    <w:p w14:paraId="37F1C95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）若发现地下水受到污染，立即告知村民，定期进行监测，直至污染影响消失。</w:t>
      </w:r>
    </w:p>
    <w:p w14:paraId="51C6036B" w14:textId="76E5543C"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6" w:name="_Toc120173188"/>
      <w:bookmarkEnd w:id="282"/>
      <w:r w:rsidRPr="00092862">
        <w:rPr>
          <w:rFonts w:ascii="Times New Roman" w:eastAsia="黑体" w:hAnsi="Times New Roman"/>
          <w:b w:val="0"/>
          <w:color w:val="000000" w:themeColor="text1"/>
          <w:sz w:val="24"/>
          <w:szCs w:val="24"/>
          <w:lang w:eastAsia="zh-CN"/>
        </w:rPr>
        <w:t>6.5.5</w:t>
      </w:r>
      <w:r w:rsidR="00450025" w:rsidRPr="00092862">
        <w:rPr>
          <w:rFonts w:ascii="Times New Roman" w:eastAsia="黑体" w:hAnsi="Times New Roman"/>
          <w:b w:val="0"/>
          <w:color w:val="000000" w:themeColor="text1"/>
          <w:sz w:val="24"/>
          <w:szCs w:val="24"/>
          <w:lang w:eastAsia="zh-CN"/>
        </w:rPr>
        <w:t>套外返水事故防范</w:t>
      </w:r>
      <w:bookmarkEnd w:id="286"/>
    </w:p>
    <w:p w14:paraId="347E008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设计通过固井、水泥返至地面是防止套外返水的有效措施。固井质量的好坏是产生套管内外返水的控制因素。</w:t>
      </w:r>
    </w:p>
    <w:p w14:paraId="60E7210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施工单位应严格按照钻井行业固井作业规范进行，确保固井质量，避免和减少出现固井裂纹、缝隙、窜槽。加强套管的防腐，防止在运输、下套管，作业时对外表面防护层的磨损及套管与钻柱之间的内磨损。套管是油气与地下水隔离的屏障，要防止腐蚀和破损。</w:t>
      </w:r>
    </w:p>
    <w:p w14:paraId="1DEA9ED3" w14:textId="3E8106B6"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7" w:name="_Toc120173189"/>
      <w:r w:rsidRPr="00092862">
        <w:rPr>
          <w:rFonts w:ascii="Times New Roman" w:eastAsia="黑体" w:hAnsi="Times New Roman"/>
          <w:b w:val="0"/>
          <w:color w:val="000000" w:themeColor="text1"/>
          <w:sz w:val="24"/>
          <w:szCs w:val="24"/>
          <w:lang w:eastAsia="zh-CN"/>
        </w:rPr>
        <w:t>6.5.6</w:t>
      </w:r>
      <w:r w:rsidR="00450025" w:rsidRPr="00092862">
        <w:rPr>
          <w:rFonts w:ascii="Times New Roman" w:eastAsia="黑体" w:hAnsi="Times New Roman"/>
          <w:b w:val="0"/>
          <w:color w:val="000000" w:themeColor="text1"/>
          <w:sz w:val="24"/>
          <w:szCs w:val="24"/>
          <w:lang w:eastAsia="zh-CN"/>
        </w:rPr>
        <w:t>油类使用、储运过程中的风险防范措施</w:t>
      </w:r>
      <w:bookmarkEnd w:id="287"/>
    </w:p>
    <w:p w14:paraId="4CDBCE9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提高柴油危险性的认识。从柴油的燃烧爆炸危险性分析可以看出，正常条件下，如炎热干燥的天气、附近存在火源、工作中违章操作、油库的安全设备、设施配备不合理或管理使用不当等，都有可能将柴油引燃、引爆。</w:t>
      </w:r>
    </w:p>
    <w:p w14:paraId="2791F4D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加强对柴油和废油的储存管理，应采取减少油品蒸发、防止形成爆炸性油品混合物的一次防护措施。工程采用柴油罐对柴油进行储存，确保呼吸阀、测量孔、接地装置等附件完整可靠，防止油气的产生和积聚。油罐区均设置有</w:t>
      </w:r>
      <w:r w:rsidRPr="00092862">
        <w:rPr>
          <w:rFonts w:ascii="Times New Roman" w:eastAsia="宋体" w:hAnsi="Times New Roman" w:cs="Times New Roman"/>
          <w:color w:val="000000" w:themeColor="text1"/>
          <w:sz w:val="24"/>
        </w:rPr>
        <w:lastRenderedPageBreak/>
        <w:t>围堰，可防止油罐破损泄露的柴油污染地表土壤、地表水等。油罐区使用前底部及墙体内侧采用三油两布</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沥青、玻璃纤维布</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作防渗处理。油桶选择完好无损的油桶，置于防渗区，保持盖子紧盖，及时综合利用。</w:t>
      </w:r>
    </w:p>
    <w:p w14:paraId="256B92F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）按照危险物品贮存场地相关要求，对柴油和废油储存和使用场所设置标识标牌。</w:t>
      </w:r>
    </w:p>
    <w:p w14:paraId="2AF2991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加强油罐、油桶的管理及安全检查，防止发生结构安全事故引起重大泄露。</w:t>
      </w:r>
    </w:p>
    <w:p w14:paraId="37E74B5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）建设方将柴油和废油储存和运输列入环境事故应急处置预案，且应与当地政府的环境事故应急处置预案相衔接。</w:t>
      </w:r>
    </w:p>
    <w:p w14:paraId="3F420F7D" w14:textId="61A13791"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8" w:name="_Toc120173190"/>
      <w:r w:rsidRPr="00092862">
        <w:rPr>
          <w:rFonts w:ascii="Times New Roman" w:eastAsia="黑体" w:hAnsi="Times New Roman"/>
          <w:b w:val="0"/>
          <w:color w:val="000000" w:themeColor="text1"/>
          <w:sz w:val="24"/>
          <w:szCs w:val="24"/>
          <w:lang w:eastAsia="zh-CN"/>
        </w:rPr>
        <w:t>6.5.7</w:t>
      </w:r>
      <w:r w:rsidR="00450025" w:rsidRPr="00092862">
        <w:rPr>
          <w:rFonts w:ascii="Times New Roman" w:eastAsia="黑体" w:hAnsi="Times New Roman"/>
          <w:b w:val="0"/>
          <w:color w:val="000000" w:themeColor="text1"/>
          <w:sz w:val="24"/>
          <w:szCs w:val="24"/>
          <w:lang w:eastAsia="zh-CN"/>
        </w:rPr>
        <w:t>试采工程风险防范措施</w:t>
      </w:r>
      <w:bookmarkEnd w:id="288"/>
    </w:p>
    <w:p w14:paraId="645901C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场站应按配备足够数量的正压式空气呼吸器及空气呼吸器气瓶压力相应的空气压缩机等。配备相应的安全设施，如井口安全系统、放散系统、灭火器、消防砂池、警示标志、逃生门、防雷和防静电措施、报警系统、风向标、高音喇叭等。</w:t>
      </w:r>
    </w:p>
    <w:p w14:paraId="45A71C0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）站场周围设置明显的安全警示标志，并告知附近居民可能性危险、危害及安全注意事项。调查附近居民分布情况，掌握有效的联系方式等。</w:t>
      </w:r>
    </w:p>
    <w:p w14:paraId="36EBB48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）设备和管线焊接和检验，应符合相关标准和规范要求。</w:t>
      </w:r>
    </w:p>
    <w:p w14:paraId="0B79736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）场站的建设和布局，应严格按照设计规范要求进行设计，确保站场安全。</w:t>
      </w:r>
    </w:p>
    <w:p w14:paraId="4D4D713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）结合站场可能发生的事故类型，编制详细的应急救援预案，有针对性地进行宣传，并定期演练。</w:t>
      </w:r>
    </w:p>
    <w:p w14:paraId="2EFD1E4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加强污水运输车辆的管理，防止运输过程发生事故导致废水泄露，污染环境；定期对污水进行转运，避免由于储存过多导致其外溢污染环境；加强火炬分液罐的维护保养工作，避免由于腐蚀等造成其泄露污染环境。</w:t>
      </w:r>
    </w:p>
    <w:p w14:paraId="3F80493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）火炬分液罐区设置防渗围堰，防止泄露废水外溢。</w:t>
      </w:r>
    </w:p>
    <w:p w14:paraId="37858345" w14:textId="77777777" w:rsidR="00450025" w:rsidRPr="00092862" w:rsidRDefault="00450025" w:rsidP="00450025">
      <w:pPr>
        <w:adjustRightInd w:val="0"/>
        <w:snapToGrid w:val="0"/>
        <w:spacing w:line="360" w:lineRule="auto"/>
        <w:ind w:firstLineChars="200" w:firstLine="42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）自动控制系统。</w:t>
      </w:r>
    </w:p>
    <w:p w14:paraId="1809C21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）井场井站井口装置等相关工艺设施等实现自动控制、定期巡查；</w:t>
      </w:r>
    </w:p>
    <w:p w14:paraId="4966AB0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2</w:t>
      </w:r>
      <w:r w:rsidRPr="00092862">
        <w:rPr>
          <w:rFonts w:ascii="Times New Roman" w:eastAsia="宋体" w:hAnsi="Times New Roman" w:cs="Times New Roman"/>
          <w:color w:val="000000" w:themeColor="text1"/>
          <w:sz w:val="24"/>
        </w:rPr>
        <w:t>）对本项目井场井站生产装置等全部工艺过程进行监视和控制，实现对整个试采区域的生产运行进行监控和调度管理；</w:t>
      </w:r>
    </w:p>
    <w:p w14:paraId="02BC869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）场站可实现对下列数据的采集和传递：站场</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工艺设施的工艺变量、站场</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工艺设施的阀门状态、设备状态、井口温度、压力、流量信息</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计量参数、管道防腐参数等；</w:t>
      </w:r>
    </w:p>
    <w:p w14:paraId="1582F35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）可进行安全报警、装置气体泄漏检测；</w:t>
      </w:r>
    </w:p>
    <w:p w14:paraId="5BBD3C5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）对井场井站进行远程监视，实现紧急情况下</w:t>
      </w:r>
      <w:r w:rsidRPr="00092862">
        <w:rPr>
          <w:rFonts w:ascii="Times New Roman" w:eastAsia="宋体" w:hAnsi="Times New Roman" w:cs="Times New Roman"/>
          <w:color w:val="000000" w:themeColor="text1"/>
          <w:sz w:val="24"/>
        </w:rPr>
        <w:t>30s</w:t>
      </w:r>
      <w:r w:rsidRPr="00092862">
        <w:rPr>
          <w:rFonts w:ascii="Times New Roman" w:eastAsia="宋体" w:hAnsi="Times New Roman" w:cs="Times New Roman"/>
          <w:color w:val="000000" w:themeColor="text1"/>
          <w:sz w:val="24"/>
        </w:rPr>
        <w:t>内各切断阀自动截断关停。</w:t>
      </w:r>
    </w:p>
    <w:p w14:paraId="05C01B17" w14:textId="713304B9"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89" w:name="_Toc120173191"/>
      <w:r w:rsidRPr="00092862">
        <w:rPr>
          <w:rFonts w:ascii="Times New Roman" w:eastAsia="黑体" w:hAnsi="Times New Roman"/>
          <w:b w:val="0"/>
          <w:color w:val="000000" w:themeColor="text1"/>
          <w:sz w:val="24"/>
          <w:szCs w:val="24"/>
          <w:lang w:eastAsia="zh-CN"/>
        </w:rPr>
        <w:t>6.5.8</w:t>
      </w:r>
      <w:r w:rsidR="00450025" w:rsidRPr="00092862">
        <w:rPr>
          <w:rFonts w:ascii="Times New Roman" w:eastAsia="黑体" w:hAnsi="Times New Roman"/>
          <w:b w:val="0"/>
          <w:color w:val="000000" w:themeColor="text1"/>
          <w:sz w:val="24"/>
          <w:szCs w:val="24"/>
          <w:lang w:eastAsia="zh-CN"/>
        </w:rPr>
        <w:t>环境风险防范措施工程监理</w:t>
      </w:r>
      <w:bookmarkEnd w:id="289"/>
    </w:p>
    <w:p w14:paraId="35DBFA2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为确保工程环境风险防范措施合理有效地实施，可在钻采过程中引入工程监理制度，由监理单位负责环境风险防范措施的监理工作，确保项措施得到合理有效的落实。</w:t>
      </w:r>
    </w:p>
    <w:p w14:paraId="531877DE" w14:textId="1A0A59D2"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90" w:name="_Toc120173192"/>
      <w:r w:rsidRPr="00092862">
        <w:rPr>
          <w:rFonts w:ascii="Times New Roman" w:eastAsia="黑体" w:hAnsi="Times New Roman"/>
          <w:b w:val="0"/>
          <w:color w:val="000000" w:themeColor="text1"/>
          <w:sz w:val="24"/>
          <w:szCs w:val="24"/>
          <w:lang w:eastAsia="zh-CN"/>
        </w:rPr>
        <w:t>6.5.9</w:t>
      </w:r>
      <w:r w:rsidR="00450025" w:rsidRPr="00092862">
        <w:rPr>
          <w:rFonts w:ascii="Times New Roman" w:eastAsia="黑体" w:hAnsi="Times New Roman"/>
          <w:b w:val="0"/>
          <w:color w:val="000000" w:themeColor="text1"/>
          <w:sz w:val="24"/>
          <w:szCs w:val="24"/>
          <w:lang w:eastAsia="zh-CN"/>
        </w:rPr>
        <w:t>其他环境风险防范措施</w:t>
      </w:r>
      <w:bookmarkEnd w:id="290"/>
    </w:p>
    <w:p w14:paraId="6CBB6759"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）公众安全防护</w:t>
      </w:r>
    </w:p>
    <w:p w14:paraId="6C78AA2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按照本项目行业操作规范，需加强对井场附近居民宣传井喷的危害及相关知识。井队队长及安全员负责指定应急培训计划，定期对应急组织机构成员和应急保障系统、应急信息的有关人员进行综合性应急培训并作好培训记录。应急演练应每个月开展一次，进入气层后半个月开展一次，通过演练掌握应急人员在应急抢险中对预案的熟悉程度和能力，二是加强抢险应急设备的维护保养，检查是否备足所需应急材料。</w:t>
      </w:r>
    </w:p>
    <w:p w14:paraId="6C249ED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按照钻井行业环境风险应急预案规范要求，发生井喷失控等风险事故时应及时撤离疏散紧急撤离区内（井口周边</w:t>
      </w:r>
      <w:r w:rsidRPr="00092862">
        <w:rPr>
          <w:rFonts w:ascii="Times New Roman" w:eastAsia="宋体" w:hAnsi="Times New Roman" w:cs="Times New Roman"/>
          <w:color w:val="000000" w:themeColor="text1"/>
          <w:sz w:val="24"/>
        </w:rPr>
        <w:t>0~2220m</w:t>
      </w:r>
      <w:r w:rsidRPr="00092862">
        <w:rPr>
          <w:rFonts w:ascii="Times New Roman" w:eastAsia="宋体" w:hAnsi="Times New Roman" w:cs="Times New Roman"/>
          <w:color w:val="000000" w:themeColor="text1"/>
          <w:sz w:val="24"/>
        </w:rPr>
        <w:t>范围）居民和企业员工，保护周围居民生命安全和健康，同时井喷失控后，还需在井口周边</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范围外布设环境应急监测点，并根据监测结果及时按照环境风险应急预案制订的临时撤离方案组织一般撤离区居民和企业员工撤离。</w:t>
      </w:r>
    </w:p>
    <w:p w14:paraId="53EF788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）钻井、储层改造期间配备应急点火系统及点火时间、点火管理</w:t>
      </w:r>
    </w:p>
    <w:p w14:paraId="24EE95D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根据《钻井井控技术规程》（</w:t>
      </w:r>
      <w:r w:rsidRPr="00092862">
        <w:rPr>
          <w:rFonts w:ascii="Times New Roman" w:eastAsia="宋体" w:hAnsi="Times New Roman" w:cs="Times New Roman"/>
          <w:color w:val="000000" w:themeColor="text1"/>
          <w:sz w:val="24"/>
        </w:rPr>
        <w:t>SY/T6426-2005</w:t>
      </w:r>
      <w:r w:rsidRPr="00092862">
        <w:rPr>
          <w:rFonts w:ascii="Times New Roman" w:eastAsia="宋体" w:hAnsi="Times New Roman" w:cs="Times New Roman"/>
          <w:color w:val="000000" w:themeColor="text1"/>
          <w:sz w:val="24"/>
        </w:rPr>
        <w:t>），钻井现场仍按照含硫油气井配备自动、手动和高压高能电子点火三套独立点火系统，确保</w:t>
      </w:r>
      <w:r w:rsidRPr="00092862">
        <w:rPr>
          <w:rFonts w:ascii="Times New Roman" w:eastAsia="宋体" w:hAnsi="Times New Roman" w:cs="Times New Roman"/>
          <w:color w:val="000000" w:themeColor="text1"/>
          <w:sz w:val="24"/>
        </w:rPr>
        <w:t>100%</w:t>
      </w:r>
      <w:r w:rsidRPr="00092862">
        <w:rPr>
          <w:rFonts w:ascii="Times New Roman" w:eastAsia="宋体" w:hAnsi="Times New Roman" w:cs="Times New Roman"/>
          <w:color w:val="000000" w:themeColor="text1"/>
          <w:sz w:val="24"/>
        </w:rPr>
        <w:t>的点火成功率。钻井队在现场条件不能实施井控作业而决定放喷点火时，点火人员应佩戴防护器具，并在上风方向，离火口距离不得少于</w:t>
      </w:r>
      <w:r w:rsidRPr="00092862">
        <w:rPr>
          <w:rFonts w:ascii="Times New Roman" w:eastAsia="宋体" w:hAnsi="Times New Roman" w:cs="Times New Roman"/>
          <w:color w:val="000000" w:themeColor="text1"/>
          <w:sz w:val="24"/>
        </w:rPr>
        <w:t>10m</w:t>
      </w:r>
      <w:r w:rsidRPr="00092862">
        <w:rPr>
          <w:rFonts w:ascii="Times New Roman" w:eastAsia="宋体" w:hAnsi="Times New Roman" w:cs="Times New Roman"/>
          <w:color w:val="000000" w:themeColor="text1"/>
          <w:sz w:val="24"/>
        </w:rPr>
        <w:t>，用点火枪点火。</w:t>
      </w:r>
    </w:p>
    <w:p w14:paraId="6FF78D6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）地质灾害防范</w:t>
      </w:r>
    </w:p>
    <w:p w14:paraId="06F7C37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对项目地周边开展详尽地质勘探工作，进而指导钻前施工和钻井施工，严防地质灾害环境影响诱发本项目环境风险。</w:t>
      </w:r>
    </w:p>
    <w:p w14:paraId="6A1378F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）夜间特别管理机制</w:t>
      </w:r>
    </w:p>
    <w:p w14:paraId="08154EF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由于钻井工程特点需要</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小时连续作业，所以应特别警惕夜间风险事故的防范和应急。严格落实井喷失控</w:t>
      </w:r>
      <w:r w:rsidRPr="00092862">
        <w:rPr>
          <w:rFonts w:ascii="Times New Roman" w:eastAsia="宋体" w:hAnsi="Times New Roman" w:cs="Times New Roman"/>
          <w:color w:val="000000" w:themeColor="text1"/>
          <w:sz w:val="24"/>
        </w:rPr>
        <w:t>15min</w:t>
      </w:r>
      <w:r w:rsidRPr="00092862">
        <w:rPr>
          <w:rFonts w:ascii="Times New Roman" w:eastAsia="宋体" w:hAnsi="Times New Roman" w:cs="Times New Roman"/>
          <w:color w:val="000000" w:themeColor="text1"/>
          <w:sz w:val="24"/>
        </w:rPr>
        <w:t>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钻开气层前后及钻开过程中夜间保持一定的警惕性。</w:t>
      </w:r>
    </w:p>
    <w:p w14:paraId="34821C8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）运输路由要求及风险防范</w:t>
      </w:r>
    </w:p>
    <w:p w14:paraId="7E8D9B5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废物、回用钻井液、钻井固废等运输均由有资质单位负责运输，不能利用的废油、废油桶、含油抹布手套等危废由钻井队委托具有危废道路运输经营许可证单位运输。转运废物工作中要加强对车辆的监督和管理，采取转运联单制度，规范转运台账，避免私拉乱倒的现象发生。</w:t>
      </w:r>
    </w:p>
    <w:p w14:paraId="198C73AE" w14:textId="11CB16B1" w:rsidR="00450025" w:rsidRPr="00092862" w:rsidRDefault="00450025" w:rsidP="00450025">
      <w:pPr>
        <w:pStyle w:val="2"/>
        <w:ind w:firstLine="480"/>
        <w:rPr>
          <w:color w:val="000000" w:themeColor="text1"/>
          <w:szCs w:val="24"/>
          <w:lang w:eastAsia="zh-CN"/>
        </w:rPr>
      </w:pPr>
      <w:bookmarkStart w:id="291" w:name="_Toc80793281"/>
      <w:bookmarkStart w:id="292" w:name="_Toc123682551"/>
      <w:r w:rsidRPr="00092862">
        <w:rPr>
          <w:color w:val="000000" w:themeColor="text1"/>
          <w:szCs w:val="24"/>
          <w:lang w:eastAsia="zh-CN"/>
        </w:rPr>
        <w:t>6.6</w:t>
      </w:r>
      <w:r w:rsidRPr="00092862">
        <w:rPr>
          <w:color w:val="000000" w:themeColor="text1"/>
          <w:szCs w:val="24"/>
          <w:lang w:eastAsia="zh-CN"/>
        </w:rPr>
        <w:t>应急</w:t>
      </w:r>
      <w:bookmarkEnd w:id="291"/>
      <w:r w:rsidRPr="00092862">
        <w:rPr>
          <w:color w:val="000000" w:themeColor="text1"/>
          <w:szCs w:val="24"/>
          <w:lang w:eastAsia="zh-CN"/>
        </w:rPr>
        <w:t>措施</w:t>
      </w:r>
      <w:bookmarkEnd w:id="292"/>
    </w:p>
    <w:p w14:paraId="3C3E9A6D" w14:textId="58209A5D" w:rsidR="00450025" w:rsidRPr="00092862" w:rsidRDefault="00CA20DF" w:rsidP="00CA20DF">
      <w:pPr>
        <w:pStyle w:val="3"/>
        <w:adjustRightInd w:val="0"/>
        <w:snapToGrid w:val="0"/>
        <w:spacing w:before="0" w:after="0" w:line="360" w:lineRule="auto"/>
        <w:ind w:firstLineChars="200" w:firstLine="480"/>
        <w:rPr>
          <w:rFonts w:ascii="Times New Roman" w:hAnsi="Times New Roman"/>
          <w:b w:val="0"/>
          <w:color w:val="000000" w:themeColor="text1"/>
          <w:sz w:val="24"/>
          <w:szCs w:val="24"/>
          <w:lang w:eastAsia="zh-CN"/>
        </w:rPr>
      </w:pPr>
      <w:bookmarkStart w:id="293" w:name="_Toc120173194"/>
      <w:r w:rsidRPr="00092862">
        <w:rPr>
          <w:rFonts w:ascii="Times New Roman" w:hAnsi="Times New Roman"/>
          <w:b w:val="0"/>
          <w:color w:val="000000" w:themeColor="text1"/>
          <w:sz w:val="24"/>
          <w:szCs w:val="24"/>
          <w:lang w:eastAsia="zh-CN"/>
        </w:rPr>
        <w:t>6.6.1</w:t>
      </w:r>
      <w:r w:rsidR="00450025" w:rsidRPr="00092862">
        <w:rPr>
          <w:rFonts w:ascii="Times New Roman" w:hAnsi="Times New Roman"/>
          <w:b w:val="0"/>
          <w:color w:val="000000" w:themeColor="text1"/>
          <w:sz w:val="24"/>
          <w:szCs w:val="24"/>
          <w:lang w:eastAsia="zh-CN"/>
        </w:rPr>
        <w:t>井喷及井喷失控应急处理预案</w:t>
      </w:r>
      <w:bookmarkEnd w:id="293"/>
    </w:p>
    <w:p w14:paraId="48B714A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根据事态发展变化情况，事故现场抢险指挥部根据应急领导小组的指令并充分考虑专家和有关意见的基础上，依法采取紧急措施，并注意做好以下工作：</w:t>
      </w:r>
    </w:p>
    <w:p w14:paraId="329F0D7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）井喷失控后严防着火和爆炸。应立即停钻机、机房柴油机，切断井架、钻台、机泵房等处全部照明灯和用电设备的电源，熄灭一切火源，需要时打开专用探照灯，并组织警戒。</w:t>
      </w:r>
    </w:p>
    <w:p w14:paraId="1AD4C28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）立即向当地政府报告，协助当地政府作好井口</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）范围内散居农户和企业员工，以及场镇镇居民、学校、医院、企业等的疏散工作。此外，事故时应根据井喷的实际情况，确定扩大疏散范围。</w:t>
      </w:r>
    </w:p>
    <w:p w14:paraId="6F36D01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）设置观察点，定时取样，监测（大气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空气）中的天然气、硫化氢和二氧化碳含量等，划分安全范围，并根据对监测结果和井喷事故的严重程度及时进行研判，若井喷事故较为严重，监测（大气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空气）中的天然气、硫化氢和</w:t>
      </w:r>
      <w:r w:rsidRPr="00092862">
        <w:rPr>
          <w:rFonts w:ascii="Times New Roman" w:eastAsia="宋体" w:hAnsi="Times New Roman" w:cs="Times New Roman"/>
          <w:color w:val="000000" w:themeColor="text1"/>
          <w:sz w:val="24"/>
        </w:rPr>
        <w:lastRenderedPageBreak/>
        <w:t>二氧化碳含量等浓度较高，可将撤离疏散距离扩大到</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w:t>
      </w:r>
    </w:p>
    <w:p w14:paraId="24DACF0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）迅速成立现场抢险领导小组，根据失控状况制定抢险方案，统一指挥、组织和协调抢险工作。抢险方案制订及实施，要把环境保护同时考虑，同时实施，防止出现次生环境事故。</w:t>
      </w:r>
    </w:p>
    <w:p w14:paraId="794578B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）当井喷失控时，应立即通知并协助当地政府疏散井口</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的散居农户，以及场镇居民、学校、医院、企业等环境敏感点和社会关注点，根据检测情况，考虑风向、地形、人口密度、受污染程度等情况及时作出风险和危害程度评估，决定是否扩大撤离范围；关停生产设施；请求援助。</w:t>
      </w:r>
    </w:p>
    <w:p w14:paraId="7933F1C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）在确保人员安全的前提下，将氧气瓶、油罐等易燃易爆物品撤离危险区。</w:t>
      </w:r>
    </w:p>
    <w:p w14:paraId="58CEF9E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）在进行处置井喷事故的同时，充分考虑到事故和次生事故对环境可能造成的威胁，要严密制定并采取保护措施，防止事态扩大和引发次生灾害。</w:t>
      </w:r>
    </w:p>
    <w:p w14:paraId="17558C4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）在事故处理结束后，确认作业现场及其周边环境安全的情况下，和地方政府商定撤离群众的返回时间。</w:t>
      </w:r>
    </w:p>
    <w:p w14:paraId="47F246B8" w14:textId="7362DDDA" w:rsidR="00450025" w:rsidRPr="00092862" w:rsidRDefault="00CA20DF" w:rsidP="00CA20DF">
      <w:pPr>
        <w:pStyle w:val="3"/>
        <w:adjustRightInd w:val="0"/>
        <w:snapToGrid w:val="0"/>
        <w:spacing w:before="0" w:after="0" w:line="360" w:lineRule="auto"/>
        <w:ind w:firstLineChars="200" w:firstLine="480"/>
        <w:rPr>
          <w:rFonts w:ascii="Times New Roman" w:hAnsi="Times New Roman"/>
          <w:b w:val="0"/>
          <w:color w:val="000000" w:themeColor="text1"/>
          <w:sz w:val="24"/>
          <w:szCs w:val="24"/>
          <w:lang w:eastAsia="zh-CN"/>
        </w:rPr>
      </w:pPr>
      <w:bookmarkStart w:id="294" w:name="_Toc120173195"/>
      <w:r w:rsidRPr="00092862">
        <w:rPr>
          <w:rFonts w:ascii="Times New Roman" w:hAnsi="Times New Roman"/>
          <w:b w:val="0"/>
          <w:color w:val="000000" w:themeColor="text1"/>
          <w:sz w:val="24"/>
          <w:szCs w:val="24"/>
          <w:lang w:eastAsia="zh-CN"/>
        </w:rPr>
        <w:t>6.6.2</w:t>
      </w:r>
      <w:r w:rsidR="00450025" w:rsidRPr="00092862">
        <w:rPr>
          <w:rFonts w:ascii="Times New Roman" w:hAnsi="Times New Roman"/>
          <w:b w:val="0"/>
          <w:color w:val="000000" w:themeColor="text1"/>
          <w:sz w:val="24"/>
          <w:szCs w:val="24"/>
          <w:lang w:eastAsia="zh-CN"/>
        </w:rPr>
        <w:t>井喷或场站泄露应急疏散预案</w:t>
      </w:r>
      <w:bookmarkEnd w:id="294"/>
    </w:p>
    <w:p w14:paraId="348FE80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当井喷或天然气试采期间出现失控时，应立即通知并协助当地政府疏散井口</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）范围内的散居农户等，周边较近的场镇居民、学校师生、医院医护人员和病人等。根据监测情况，考虑风向、地形、人口密度、受污染程度等情况及时作出风险和危害程度评估，决定是否扩大撤离范围。</w:t>
      </w:r>
    </w:p>
    <w:p w14:paraId="0FC4E63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为了保障每位员工和井场周围群众的生命安全，应按正确的方法和方向撤离，每位接到撤离通知的员工和群众应按下列程序撤离：</w:t>
      </w:r>
    </w:p>
    <w:p w14:paraId="0FC113D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）群众由当地政府组织撤离，井队员工由井队组织撤离；</w:t>
      </w:r>
    </w:p>
    <w:p w14:paraId="7D21FD1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）逃生时要注意风向，一要沿上风（逆风）方向逃生，二要沿着地面上的高处跑。本项目周边地势起伏较大，但井口周边</w:t>
      </w:r>
      <w:r w:rsidRPr="00092862">
        <w:rPr>
          <w:rFonts w:ascii="Times New Roman" w:eastAsia="宋体" w:hAnsi="Times New Roman" w:cs="Times New Roman"/>
          <w:color w:val="000000" w:themeColor="text1"/>
          <w:sz w:val="24"/>
        </w:rPr>
        <w:t>300m</w:t>
      </w:r>
      <w:r w:rsidRPr="00092862">
        <w:rPr>
          <w:rFonts w:ascii="Times New Roman" w:eastAsia="宋体" w:hAnsi="Times New Roman" w:cs="Times New Roman"/>
          <w:color w:val="000000" w:themeColor="text1"/>
          <w:sz w:val="24"/>
        </w:rPr>
        <w:t>范围内无居民分布，发生井喷后影响范围约</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），井口</w:t>
      </w:r>
      <w:r w:rsidRPr="00092862">
        <w:rPr>
          <w:rFonts w:ascii="Times New Roman" w:eastAsia="宋体" w:hAnsi="Times New Roman" w:cs="Times New Roman"/>
          <w:color w:val="000000" w:themeColor="text1"/>
          <w:sz w:val="24"/>
        </w:rPr>
        <w:t>300m</w:t>
      </w:r>
      <w:r w:rsidRPr="00092862">
        <w:rPr>
          <w:rFonts w:ascii="Times New Roman" w:eastAsia="宋体" w:hAnsi="Times New Roman" w:cs="Times New Roman"/>
          <w:color w:val="000000" w:themeColor="text1"/>
          <w:sz w:val="24"/>
        </w:rPr>
        <w:t>外至</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处居民有较充足的时间撤离。撤离路线：建议撤离时根据风向，根据所在地道路分布情况转移至高处安全集合点，同时建设单位应引导周边群众撤离。撤离路线应根据实际风险进行调整，原则就是往上风向撤离。项目撤离路线均不受周边地形限制，项目区域主导风为东北风，撤离路线不位于下风向，因此撤离</w:t>
      </w:r>
      <w:r w:rsidRPr="00092862">
        <w:rPr>
          <w:rFonts w:ascii="Times New Roman" w:eastAsia="宋体" w:hAnsi="Times New Roman" w:cs="Times New Roman"/>
          <w:color w:val="000000" w:themeColor="text1"/>
          <w:sz w:val="24"/>
        </w:rPr>
        <w:lastRenderedPageBreak/>
        <w:t>路线是合理的。</w:t>
      </w:r>
    </w:p>
    <w:p w14:paraId="1BF8004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本项目所在的普光气田区域</w:t>
      </w:r>
      <w:r w:rsidRPr="00092862">
        <w:rPr>
          <w:rFonts w:ascii="Times New Roman" w:eastAsia="宋体" w:hAnsi="Times New Roman" w:cs="Times New Roman"/>
          <w:color w:val="000000" w:themeColor="text1"/>
          <w:sz w:val="24"/>
        </w:rPr>
        <w:t>5km</w:t>
      </w:r>
      <w:r w:rsidRPr="00092862">
        <w:rPr>
          <w:rFonts w:ascii="Times New Roman" w:eastAsia="宋体" w:hAnsi="Times New Roman" w:cs="Times New Roman"/>
          <w:color w:val="000000" w:themeColor="text1"/>
          <w:sz w:val="24"/>
        </w:rPr>
        <w:t>范围内各村镇均已设置有应急高音喇叭，能够对区域范围内所有居民点进行覆盖，且主要村镇均已设置有应急安置点，各村镇联系人已在中原油田普光分公司应急指挥中心办公室存档，应急措施完善，能够确保发生风险事故后第一时间启动应急预案与撤离方案，具体方案见中原油田普光分公司编制有《中原油田普光分公司环境应急预案（</w:t>
      </w:r>
      <w:r w:rsidRPr="00092862">
        <w:rPr>
          <w:rFonts w:ascii="Times New Roman" w:eastAsia="宋体" w:hAnsi="Times New Roman" w:cs="Times New Roman"/>
          <w:color w:val="000000" w:themeColor="text1"/>
          <w:sz w:val="24"/>
        </w:rPr>
        <w:t>2021</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月》，项目所在区域路网及交通条件较好，能够确保</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）范围内的居民均能及时有效的撤离至安全的应急安置点。</w:t>
      </w:r>
    </w:p>
    <w:p w14:paraId="33E7957A" w14:textId="77777777" w:rsidR="00676047" w:rsidRPr="00092862" w:rsidRDefault="00676047" w:rsidP="0067604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）时间就是生命，紧急逃生时，不要因收贵重物品等事宜延误时间，并且要轻装撤离逃生。</w:t>
      </w:r>
    </w:p>
    <w:p w14:paraId="565E476E" w14:textId="77777777" w:rsidR="00676047" w:rsidRPr="00092862" w:rsidRDefault="00676047" w:rsidP="0067604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）当所处位置离井场很远时，则只要偏离风向往离井场越来越远的方向逃生即可。</w:t>
      </w:r>
    </w:p>
    <w:p w14:paraId="79E72631" w14:textId="77777777" w:rsidR="00676047" w:rsidRPr="00092862" w:rsidRDefault="00676047" w:rsidP="00676047">
      <w:pPr>
        <w:pStyle w:val="3"/>
        <w:adjustRightInd w:val="0"/>
        <w:snapToGrid w:val="0"/>
        <w:spacing w:before="0" w:after="0" w:line="360" w:lineRule="auto"/>
        <w:ind w:firstLineChars="200" w:firstLine="480"/>
        <w:rPr>
          <w:rFonts w:ascii="Times New Roman" w:hAnsi="Times New Roman"/>
          <w:b w:val="0"/>
          <w:color w:val="000000" w:themeColor="text1"/>
          <w:sz w:val="24"/>
          <w:szCs w:val="24"/>
          <w:lang w:eastAsia="zh-CN"/>
        </w:rPr>
      </w:pPr>
      <w:bookmarkStart w:id="295" w:name="_Toc120173196"/>
      <w:r w:rsidRPr="00092862">
        <w:rPr>
          <w:rFonts w:ascii="Times New Roman" w:hAnsi="Times New Roman"/>
          <w:b w:val="0"/>
          <w:color w:val="000000" w:themeColor="text1"/>
          <w:sz w:val="24"/>
          <w:szCs w:val="24"/>
          <w:lang w:eastAsia="zh-CN"/>
        </w:rPr>
        <w:t>6.6.3</w:t>
      </w:r>
      <w:r w:rsidRPr="00092862">
        <w:rPr>
          <w:rFonts w:ascii="Times New Roman" w:hAnsi="Times New Roman"/>
          <w:b w:val="0"/>
          <w:color w:val="000000" w:themeColor="text1"/>
          <w:sz w:val="24"/>
          <w:szCs w:val="24"/>
          <w:lang w:eastAsia="zh-CN"/>
        </w:rPr>
        <w:t>天然气窜层泄露进入地表应急措施</w:t>
      </w:r>
      <w:bookmarkEnd w:id="295"/>
    </w:p>
    <w:p w14:paraId="33B120D6" w14:textId="77777777" w:rsidR="00676047" w:rsidRPr="00092862" w:rsidRDefault="00676047" w:rsidP="00676047">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由于天然气窜层泄露时，压力小，速率低，不会出现井喷式的泄露，只要及时组织人员撤离，并及时采取事故应对措施一般情况下不会引起人员伤亡。应对此类事故措施主要是通过加强对钻井返空介质的监测来及时了解井下状况，采取措施避免井漏气窜的发生，钻前加强对周边</w:t>
      </w:r>
      <w:r w:rsidRPr="00092862">
        <w:rPr>
          <w:rFonts w:ascii="Times New Roman" w:eastAsia="宋体" w:hAnsi="Times New Roman" w:cs="Times New Roman"/>
          <w:color w:val="000000" w:themeColor="text1"/>
          <w:sz w:val="24"/>
        </w:rPr>
        <w:t>2.22km</w:t>
      </w:r>
      <w:r w:rsidRPr="00092862">
        <w:rPr>
          <w:rFonts w:ascii="Times New Roman" w:eastAsia="宋体" w:hAnsi="Times New Roman" w:cs="Times New Roman"/>
          <w:color w:val="000000" w:themeColor="text1"/>
          <w:sz w:val="24"/>
        </w:rPr>
        <w:t>居民的教育培训，遇到此类事故应立即撤离并远离泄露点。企业在泄露点周边设置便携监测仪确定浓度，根据浓度确定具体撤离范围。气窜发生时及应立即采取井下堵漏措施，并通过井口放喷管放喷燃烧泄压，减少周边地表泄露点泄露量，此类环境风险是可控的。</w:t>
      </w:r>
    </w:p>
    <w:p w14:paraId="1CA74646" w14:textId="4B022EB4"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96" w:name="_Toc120173197"/>
      <w:r w:rsidRPr="00092862">
        <w:rPr>
          <w:rFonts w:ascii="Times New Roman" w:eastAsia="黑体" w:hAnsi="Times New Roman"/>
          <w:b w:val="0"/>
          <w:color w:val="000000" w:themeColor="text1"/>
          <w:sz w:val="24"/>
          <w:szCs w:val="24"/>
          <w:lang w:eastAsia="zh-CN"/>
        </w:rPr>
        <w:t>6.6.4</w:t>
      </w:r>
      <w:r w:rsidR="00450025" w:rsidRPr="00092862">
        <w:rPr>
          <w:rFonts w:ascii="Times New Roman" w:eastAsia="黑体" w:hAnsi="Times New Roman"/>
          <w:b w:val="0"/>
          <w:color w:val="000000" w:themeColor="text1"/>
          <w:sz w:val="24"/>
          <w:szCs w:val="24"/>
          <w:lang w:eastAsia="zh-CN"/>
        </w:rPr>
        <w:t>井漏环境风险事故应急措施</w:t>
      </w:r>
      <w:bookmarkEnd w:id="296"/>
    </w:p>
    <w:p w14:paraId="583FB5F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发生井漏时必须利用各种堵漏材料，处理井漏的规定流程如下：</w:t>
      </w:r>
    </w:p>
    <w:p w14:paraId="1F35542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）分析井漏发生的原因，确定漏层位置、类型及漏失严重程度。</w:t>
      </w:r>
    </w:p>
    <w:p w14:paraId="5BE8FF5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）保质保量的配置堵漏泥浆。</w:t>
      </w:r>
    </w:p>
    <w:p w14:paraId="1499149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）施工时如果能起钻，应尽可能采用光钻杆，下至漏层顶部。</w:t>
      </w:r>
    </w:p>
    <w:p w14:paraId="4FB77FC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）使用正确的堵剂注入方法，确保堵剂进入漏层近井筒处。</w:t>
      </w:r>
    </w:p>
    <w:p w14:paraId="4DACF0F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）施工过程中要不停地活动钻具，避免卡钻。</w:t>
      </w:r>
    </w:p>
    <w:p w14:paraId="7EA53C7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）凡采用桥堵剂堵漏，要卸掉循环管线及泵中的滤清器、筛网等，防止堵塞憋泵伤人。</w:t>
      </w:r>
    </w:p>
    <w:p w14:paraId="240DDAC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w:t>
      </w: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）憋压试漏时要缓慢进行，压力一般不能过大，避免造成新的诱导裂缝。</w:t>
      </w:r>
    </w:p>
    <w:p w14:paraId="428DEE1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8</w:t>
      </w:r>
      <w:r w:rsidRPr="00092862">
        <w:rPr>
          <w:rFonts w:ascii="Times New Roman" w:eastAsia="宋体" w:hAnsi="Times New Roman" w:cs="Times New Roman"/>
          <w:color w:val="000000" w:themeColor="text1"/>
          <w:sz w:val="24"/>
        </w:rPr>
        <w:t>）施工完成后，各种资料必须收集整理齐全、准确。</w:t>
      </w:r>
    </w:p>
    <w:p w14:paraId="59F2AE62" w14:textId="19CE831F"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97" w:name="_Toc120173198"/>
      <w:r w:rsidRPr="00092862">
        <w:rPr>
          <w:rFonts w:ascii="Times New Roman" w:eastAsia="黑体" w:hAnsi="Times New Roman"/>
          <w:b w:val="0"/>
          <w:color w:val="000000" w:themeColor="text1"/>
          <w:sz w:val="24"/>
          <w:szCs w:val="24"/>
          <w:lang w:eastAsia="zh-CN"/>
        </w:rPr>
        <w:t>6.6.5</w:t>
      </w:r>
      <w:r w:rsidR="00450025" w:rsidRPr="00092862">
        <w:rPr>
          <w:rFonts w:ascii="Times New Roman" w:eastAsia="黑体" w:hAnsi="Times New Roman"/>
          <w:b w:val="0"/>
          <w:color w:val="000000" w:themeColor="text1"/>
          <w:sz w:val="24"/>
          <w:szCs w:val="24"/>
          <w:lang w:eastAsia="zh-CN"/>
        </w:rPr>
        <w:t>废水、油类物质泄露应急措施</w:t>
      </w:r>
      <w:bookmarkEnd w:id="297"/>
    </w:p>
    <w:p w14:paraId="4E18C5E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）当钻井废水或油类物质油外溢时，应及时围堵，并及时进行清理，确保废水、柴油不进入河流中。</w:t>
      </w:r>
    </w:p>
    <w:p w14:paraId="276C589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）对受泄露钻井废水或油污染的土壤进行清理和置换，确保农业生产不受影响，同时避免雨水冲刷进入河流中。</w:t>
      </w:r>
    </w:p>
    <w:p w14:paraId="028FDC33" w14:textId="0200520F"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98" w:name="_Toc120173199"/>
      <w:r w:rsidRPr="00092862">
        <w:rPr>
          <w:rFonts w:ascii="Times New Roman" w:eastAsia="黑体" w:hAnsi="Times New Roman"/>
          <w:b w:val="0"/>
          <w:color w:val="000000" w:themeColor="text1"/>
          <w:sz w:val="24"/>
          <w:szCs w:val="24"/>
          <w:lang w:eastAsia="zh-CN"/>
        </w:rPr>
        <w:t>6.6.6</w:t>
      </w:r>
      <w:r w:rsidR="00450025" w:rsidRPr="00092862">
        <w:rPr>
          <w:rFonts w:ascii="Times New Roman" w:eastAsia="黑体" w:hAnsi="Times New Roman"/>
          <w:b w:val="0"/>
          <w:color w:val="000000" w:themeColor="text1"/>
          <w:sz w:val="24"/>
          <w:szCs w:val="24"/>
          <w:lang w:eastAsia="zh-CN"/>
        </w:rPr>
        <w:t>外运过程应急措施</w:t>
      </w:r>
      <w:bookmarkEnd w:id="298"/>
    </w:p>
    <w:p w14:paraId="63FF323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废水外运均采用密闭罐车运输，固废采用密封袋装运输，罐体为钢板密封罐，发生翻车泄露的机率很小，且合格泥浆、返排液、钻井固废等无有毒有害物质，主要是含有机污染物，罐车输送的量约</w:t>
      </w:r>
      <w:r w:rsidRPr="00092862">
        <w:rPr>
          <w:rFonts w:ascii="Times New Roman" w:eastAsia="宋体" w:hAnsi="Times New Roman" w:cs="Times New Roman"/>
          <w:color w:val="000000" w:themeColor="text1"/>
          <w:sz w:val="24"/>
        </w:rPr>
        <w:t>10t/</w:t>
      </w:r>
      <w:r w:rsidRPr="00092862">
        <w:rPr>
          <w:rFonts w:ascii="Times New Roman" w:eastAsia="宋体" w:hAnsi="Times New Roman" w:cs="Times New Roman"/>
          <w:color w:val="000000" w:themeColor="text1"/>
          <w:sz w:val="24"/>
        </w:rPr>
        <w: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露量、控制废水扩散范围为基本原则。施工单位须制定出应急救援预案和与当地政府和有关部门建立相衔接的应急救援体系，并按规定程序报批后进行宣传和演练，加强信息交流，建立与相关方面的通讯联络系统。</w:t>
      </w:r>
    </w:p>
    <w:p w14:paraId="50376AB0" w14:textId="0F79FC9B"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299" w:name="_Toc120173200"/>
      <w:r w:rsidRPr="00092862">
        <w:rPr>
          <w:rFonts w:ascii="Times New Roman" w:eastAsia="黑体" w:hAnsi="Times New Roman"/>
          <w:b w:val="0"/>
          <w:color w:val="000000" w:themeColor="text1"/>
          <w:sz w:val="24"/>
          <w:szCs w:val="24"/>
          <w:lang w:eastAsia="zh-CN"/>
        </w:rPr>
        <w:t>6.6.7</w:t>
      </w:r>
      <w:r w:rsidR="00450025" w:rsidRPr="00092862">
        <w:rPr>
          <w:rFonts w:ascii="Times New Roman" w:eastAsia="黑体" w:hAnsi="Times New Roman"/>
          <w:b w:val="0"/>
          <w:color w:val="000000" w:themeColor="text1"/>
          <w:sz w:val="24"/>
          <w:szCs w:val="24"/>
          <w:lang w:eastAsia="zh-CN"/>
        </w:rPr>
        <w:t>套外返水的应急措施</w:t>
      </w:r>
      <w:bookmarkEnd w:id="299"/>
    </w:p>
    <w:p w14:paraId="7904BD9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套外返水若是固井质量问题应采用工程措施进行封堵、封隔，消除套外返水情况。对受盐污染地下水采用抽采方式减缓污染，加快恢复。</w:t>
      </w:r>
    </w:p>
    <w:p w14:paraId="45E98FDC" w14:textId="14236B48"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0" w:name="_Toc120173201"/>
      <w:r w:rsidRPr="00092862">
        <w:rPr>
          <w:rFonts w:ascii="Times New Roman" w:eastAsia="黑体" w:hAnsi="Times New Roman"/>
          <w:b w:val="0"/>
          <w:color w:val="000000" w:themeColor="text1"/>
          <w:sz w:val="24"/>
          <w:szCs w:val="24"/>
          <w:lang w:eastAsia="zh-CN"/>
        </w:rPr>
        <w:t>6.6.8</w:t>
      </w:r>
      <w:r w:rsidR="00450025" w:rsidRPr="00092862">
        <w:rPr>
          <w:rFonts w:ascii="Times New Roman" w:eastAsia="黑体" w:hAnsi="Times New Roman"/>
          <w:b w:val="0"/>
          <w:color w:val="000000" w:themeColor="text1"/>
          <w:sz w:val="24"/>
          <w:szCs w:val="24"/>
          <w:lang w:eastAsia="zh-CN"/>
        </w:rPr>
        <w:t>事故发生后外环境污染物的消除方案</w:t>
      </w:r>
      <w:bookmarkEnd w:id="300"/>
    </w:p>
    <w:p w14:paraId="2C40D4A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发生天然气扩散时，应及时进行井控，争取最短时间控制井喷源头，尽可能切断泄露源。天然气扩散时间短，通过空气流动自然扩散降低空气中可燃气体浓度。井喷失控点燃后可通过空气流动自然扩散和自然降雨降低空气中污染物浓度。对洒水收集的废水经收集后单独处理达标排放。</w:t>
      </w:r>
    </w:p>
    <w:p w14:paraId="4E2AA318" w14:textId="031D0B45"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1" w:name="_Toc120173202"/>
      <w:r w:rsidRPr="00092862">
        <w:rPr>
          <w:rFonts w:ascii="Times New Roman" w:eastAsia="黑体" w:hAnsi="Times New Roman"/>
          <w:b w:val="0"/>
          <w:color w:val="000000" w:themeColor="text1"/>
          <w:sz w:val="24"/>
          <w:szCs w:val="24"/>
          <w:lang w:eastAsia="zh-CN"/>
        </w:rPr>
        <w:t>6.6.9</w:t>
      </w:r>
      <w:r w:rsidR="00450025" w:rsidRPr="00092862">
        <w:rPr>
          <w:rFonts w:ascii="Times New Roman" w:eastAsia="黑体" w:hAnsi="Times New Roman"/>
          <w:b w:val="0"/>
          <w:color w:val="000000" w:themeColor="text1"/>
          <w:sz w:val="24"/>
          <w:szCs w:val="24"/>
          <w:lang w:eastAsia="zh-CN"/>
        </w:rPr>
        <w:t>宣传、培训和演习</w:t>
      </w:r>
      <w:bookmarkEnd w:id="301"/>
    </w:p>
    <w:p w14:paraId="54BFB1C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公众信息交流。各级政府、天然气开采企业要按规定向公众和员工说明天然气开采的危险性及发生事故可能造成的危害，广泛宣传应急救援有关法律法规和天然气开采事故预防、避险、避灾、自救、互救的常识。</w:t>
      </w:r>
    </w:p>
    <w:p w14:paraId="5914D66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）培训。天然气开采有关应急救援队伍按照有关规定参加业务培训；天</w:t>
      </w:r>
      <w:r w:rsidRPr="00092862">
        <w:rPr>
          <w:rFonts w:ascii="Times New Roman" w:eastAsia="宋体" w:hAnsi="Times New Roman" w:cs="Times New Roman"/>
          <w:color w:val="000000" w:themeColor="text1"/>
          <w:sz w:val="24"/>
        </w:rPr>
        <w:lastRenderedPageBreak/>
        <w:t>然气开发企业按照有关规定对员工进行应急培训；各级安全生产监督管理部门负责对应急救援培训情况进行监督检查。各级应急救援管理机构加强应急管理、救援人员的上岗前培训和常规性培训。</w:t>
      </w:r>
    </w:p>
    <w:p w14:paraId="0F71C12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）演习。普光分公司及所属单位每年至少组织一次环境事故应急的桌面演练或全面演习，并将演习总结报应急办公室。</w:t>
      </w:r>
    </w:p>
    <w:p w14:paraId="1A0AB9B3" w14:textId="4578D446"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2" w:name="_Toc120173203"/>
      <w:r w:rsidRPr="00092862">
        <w:rPr>
          <w:rFonts w:ascii="Times New Roman" w:eastAsia="黑体" w:hAnsi="Times New Roman"/>
          <w:b w:val="0"/>
          <w:color w:val="000000" w:themeColor="text1"/>
          <w:sz w:val="24"/>
          <w:szCs w:val="24"/>
          <w:lang w:eastAsia="zh-CN"/>
        </w:rPr>
        <w:t>6.6.10</w:t>
      </w:r>
      <w:r w:rsidR="00450025" w:rsidRPr="00092862">
        <w:rPr>
          <w:rFonts w:ascii="Times New Roman" w:eastAsia="黑体" w:hAnsi="Times New Roman"/>
          <w:b w:val="0"/>
          <w:color w:val="000000" w:themeColor="text1"/>
          <w:sz w:val="24"/>
          <w:szCs w:val="24"/>
          <w:lang w:eastAsia="zh-CN"/>
        </w:rPr>
        <w:t>风险管理措施</w:t>
      </w:r>
      <w:bookmarkEnd w:id="302"/>
    </w:p>
    <w:p w14:paraId="2882D00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普光分公司成立专门的为应对油气勘探、开发等生产经营过程中可能发生的重大突发事故，最大限度地保障人民群众生命和财产安全，减轻事故灾害。普光分公司建立了详细周密的应急救援体系，设立了三级应急救援网络。</w:t>
      </w:r>
    </w:p>
    <w:p w14:paraId="3D73B21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14:paraId="1A845834" w14:textId="6A5A901F"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3" w:name="_Toc120173204"/>
      <w:r w:rsidRPr="00092862">
        <w:rPr>
          <w:rFonts w:ascii="Times New Roman" w:eastAsia="黑体" w:hAnsi="Times New Roman"/>
          <w:b w:val="0"/>
          <w:color w:val="000000" w:themeColor="text1"/>
          <w:sz w:val="24"/>
          <w:szCs w:val="24"/>
          <w:lang w:eastAsia="zh-CN"/>
        </w:rPr>
        <w:t>6.6.11</w:t>
      </w:r>
      <w:r w:rsidR="00450025" w:rsidRPr="00092862">
        <w:rPr>
          <w:rFonts w:ascii="Times New Roman" w:eastAsia="黑体" w:hAnsi="Times New Roman"/>
          <w:b w:val="0"/>
          <w:color w:val="000000" w:themeColor="text1"/>
          <w:sz w:val="24"/>
          <w:szCs w:val="24"/>
          <w:lang w:eastAsia="zh-CN"/>
        </w:rPr>
        <w:t>应急联动</w:t>
      </w:r>
      <w:bookmarkEnd w:id="303"/>
    </w:p>
    <w:p w14:paraId="623884A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上层联动：本项目所在的达州市、宣汉县、普光镇政府均设置有应急管理办公室，工程的建设和运行得到了当地各级政府的大力支持，因此，在企业自身建立并完善应急响应机制的前提下，与地方进一步强化应急联动，应急联动具有可行性。</w:t>
      </w:r>
    </w:p>
    <w:p w14:paraId="2D46CD1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）下层联动：开展项目周边人居调查工作，结合项目周边人员分布情况，落实紧急情况下的应急联络人，确保有效组织环境风险事故下的应急撤离。</w:t>
      </w:r>
    </w:p>
    <w:p w14:paraId="1037E3CC" w14:textId="40E68C93"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4" w:name="_Toc120173205"/>
      <w:r w:rsidRPr="00092862">
        <w:rPr>
          <w:rFonts w:ascii="Times New Roman" w:eastAsia="黑体" w:hAnsi="Times New Roman"/>
          <w:b w:val="0"/>
          <w:color w:val="000000" w:themeColor="text1"/>
          <w:sz w:val="24"/>
          <w:szCs w:val="24"/>
          <w:lang w:eastAsia="zh-CN"/>
        </w:rPr>
        <w:t>6.6.12</w:t>
      </w:r>
      <w:r w:rsidR="00450025" w:rsidRPr="00092862">
        <w:rPr>
          <w:rFonts w:ascii="Times New Roman" w:eastAsia="黑体" w:hAnsi="Times New Roman"/>
          <w:b w:val="0"/>
          <w:color w:val="000000" w:themeColor="text1"/>
          <w:sz w:val="24"/>
          <w:szCs w:val="24"/>
          <w:lang w:eastAsia="zh-CN"/>
        </w:rPr>
        <w:t>普光分公司应急预案体系介绍</w:t>
      </w:r>
      <w:bookmarkEnd w:id="304"/>
    </w:p>
    <w:p w14:paraId="4B2AD22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）备案情况</w:t>
      </w:r>
    </w:p>
    <w:p w14:paraId="44CD72E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中原油田普光分公司编制有《中原油田普光分公司环境应急预案（</w:t>
      </w:r>
      <w:r w:rsidRPr="00092862">
        <w:rPr>
          <w:rFonts w:ascii="Times New Roman" w:eastAsia="宋体" w:hAnsi="Times New Roman" w:cs="Times New Roman"/>
          <w:color w:val="000000" w:themeColor="text1"/>
          <w:sz w:val="24"/>
        </w:rPr>
        <w:t>2021</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月》，</w:t>
      </w:r>
      <w:r w:rsidRPr="00092862">
        <w:rPr>
          <w:rFonts w:ascii="Times New Roman" w:eastAsia="宋体" w:hAnsi="Times New Roman" w:cs="Times New Roman"/>
          <w:color w:val="000000" w:themeColor="text1"/>
          <w:sz w:val="24"/>
        </w:rPr>
        <w:t>2021</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月</w:t>
      </w:r>
      <w:r w:rsidRPr="00092862">
        <w:rPr>
          <w:rFonts w:ascii="Times New Roman" w:eastAsia="宋体" w:hAnsi="Times New Roman" w:cs="Times New Roman"/>
          <w:color w:val="000000" w:themeColor="text1"/>
          <w:sz w:val="24"/>
        </w:rPr>
        <w:t>22</w:t>
      </w:r>
      <w:r w:rsidRPr="00092862">
        <w:rPr>
          <w:rFonts w:ascii="Times New Roman" w:eastAsia="宋体" w:hAnsi="Times New Roman" w:cs="Times New Roman"/>
          <w:color w:val="000000" w:themeColor="text1"/>
          <w:sz w:val="24"/>
        </w:rPr>
        <w:t>日，达州市环保局同意备案（备案号：</w:t>
      </w:r>
      <w:r w:rsidRPr="00092862">
        <w:rPr>
          <w:rFonts w:ascii="Times New Roman" w:eastAsia="宋体" w:hAnsi="Times New Roman" w:cs="Times New Roman"/>
          <w:color w:val="000000" w:themeColor="text1"/>
          <w:sz w:val="24"/>
        </w:rPr>
        <w:t>511722-2021-012-L</w:t>
      </w:r>
      <w:r w:rsidRPr="00092862">
        <w:rPr>
          <w:rFonts w:ascii="Times New Roman" w:eastAsia="宋体" w:hAnsi="Times New Roman" w:cs="Times New Roman"/>
          <w:color w:val="000000" w:themeColor="text1"/>
          <w:sz w:val="24"/>
        </w:rPr>
        <w:t>），详见附件。</w:t>
      </w:r>
    </w:p>
    <w:p w14:paraId="18BE7D2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）应急预案体系</w:t>
      </w:r>
    </w:p>
    <w:p w14:paraId="5ED454E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）体系介绍</w:t>
      </w:r>
    </w:p>
    <w:p w14:paraId="12CAE96F" w14:textId="04B3112B"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普光分公司应急预案体系见图</w:t>
      </w:r>
      <w:r w:rsidR="00704F23" w:rsidRPr="00092862">
        <w:rPr>
          <w:rFonts w:ascii="Times New Roman" w:eastAsia="宋体" w:hAnsi="Times New Roman" w:cs="Times New Roman"/>
          <w:color w:val="000000" w:themeColor="text1"/>
          <w:sz w:val="24"/>
        </w:rPr>
        <w:t>6.6-2</w:t>
      </w:r>
      <w:r w:rsidRPr="00092862">
        <w:rPr>
          <w:rFonts w:ascii="Times New Roman" w:eastAsia="宋体" w:hAnsi="Times New Roman" w:cs="Times New Roman"/>
          <w:color w:val="000000" w:themeColor="text1"/>
          <w:sz w:val="24"/>
        </w:rPr>
        <w:t>。</w:t>
      </w:r>
    </w:p>
    <w:p w14:paraId="0D69F8EE" w14:textId="77777777" w:rsidR="00450025" w:rsidRPr="00092862" w:rsidRDefault="00450025" w:rsidP="00450025">
      <w:pPr>
        <w:adjustRightInd w:val="0"/>
        <w:snapToGrid w:val="0"/>
        <w:spacing w:line="360" w:lineRule="auto"/>
        <w:jc w:val="center"/>
        <w:rPr>
          <w:rFonts w:ascii="Times New Roman" w:hAnsi="Times New Roman" w:cs="Times New Roman"/>
          <w:color w:val="000000" w:themeColor="text1"/>
          <w:sz w:val="24"/>
        </w:rPr>
      </w:pPr>
      <w:r w:rsidRPr="00092862">
        <w:rPr>
          <w:rFonts w:ascii="Times New Roman" w:hAnsi="Times New Roman" w:cs="Times New Roman"/>
          <w:noProof/>
          <w:color w:val="000000" w:themeColor="text1"/>
        </w:rPr>
        <w:lastRenderedPageBreak/>
        <w:drawing>
          <wp:inline distT="0" distB="0" distL="0" distR="0" wp14:anchorId="10CDCD5C" wp14:editId="424C0928">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13"/>
                    <a:stretch>
                      <a:fillRect/>
                    </a:stretch>
                  </pic:blipFill>
                  <pic:spPr>
                    <a:xfrm>
                      <a:off x="0" y="0"/>
                      <a:ext cx="4133850" cy="2638425"/>
                    </a:xfrm>
                    <a:prstGeom prst="rect">
                      <a:avLst/>
                    </a:prstGeom>
                  </pic:spPr>
                </pic:pic>
              </a:graphicData>
            </a:graphic>
          </wp:inline>
        </w:drawing>
      </w:r>
    </w:p>
    <w:p w14:paraId="357F7F61" w14:textId="3CA9A64D"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bookmarkStart w:id="305" w:name="_Ref524704207"/>
      <w:r w:rsidRPr="00092862">
        <w:rPr>
          <w:rFonts w:ascii="Times New Roman" w:eastAsia="黑体" w:hAnsi="Times New Roman" w:cs="Times New Roman"/>
          <w:color w:val="000000" w:themeColor="text1"/>
          <w:szCs w:val="21"/>
        </w:rPr>
        <w:t>图</w:t>
      </w:r>
      <w:bookmarkEnd w:id="305"/>
      <w:r w:rsidR="00704F23" w:rsidRPr="00092862">
        <w:rPr>
          <w:rFonts w:ascii="Times New Roman" w:eastAsia="黑体" w:hAnsi="Times New Roman" w:cs="Times New Roman"/>
          <w:color w:val="000000" w:themeColor="text1"/>
          <w:szCs w:val="21"/>
        </w:rPr>
        <w:t>6.6-3</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普光分公司应急预案体系图</w:t>
      </w:r>
    </w:p>
    <w:p w14:paraId="7746799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专项应急预案包括高含</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泄漏环境应急预案、火灾爆炸环境应急预案、水体环境污染应急预案、大气环境污染应急预案等。此外，普光分公司应急救援中心还编制了水体污染事件环境应急监测预案和</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泄漏应急监测预案。</w:t>
      </w:r>
    </w:p>
    <w:p w14:paraId="65B2748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）普光分公司应急预案</w:t>
      </w:r>
    </w:p>
    <w:p w14:paraId="0A2D82EA" w14:textId="046DD446"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普光分公司综合应急预案框架见图</w:t>
      </w:r>
      <w:r w:rsidR="00704F23" w:rsidRPr="00092862">
        <w:rPr>
          <w:rFonts w:ascii="Times New Roman" w:eastAsia="宋体" w:hAnsi="Times New Roman" w:cs="Times New Roman"/>
          <w:color w:val="000000" w:themeColor="text1"/>
          <w:sz w:val="24"/>
        </w:rPr>
        <w:t>6.6-4</w:t>
      </w:r>
      <w:r w:rsidRPr="00092862">
        <w:rPr>
          <w:rFonts w:ascii="Times New Roman" w:eastAsia="宋体" w:hAnsi="Times New Roman" w:cs="Times New Roman"/>
          <w:color w:val="000000" w:themeColor="text1"/>
          <w:sz w:val="24"/>
        </w:rPr>
        <w:t>，普光分公司专项应急预案框架见图</w:t>
      </w:r>
      <w:r w:rsidR="00704F23" w:rsidRPr="00092862">
        <w:rPr>
          <w:rFonts w:ascii="Times New Roman" w:eastAsia="宋体" w:hAnsi="Times New Roman" w:cs="Times New Roman"/>
          <w:color w:val="000000" w:themeColor="text1"/>
          <w:sz w:val="24"/>
        </w:rPr>
        <w:t>6.6-5</w:t>
      </w:r>
      <w:r w:rsidRPr="00092862">
        <w:rPr>
          <w:rFonts w:ascii="Times New Roman" w:eastAsia="宋体" w:hAnsi="Times New Roman" w:cs="Times New Roman"/>
          <w:color w:val="000000" w:themeColor="text1"/>
          <w:sz w:val="24"/>
        </w:rPr>
        <w:t>。</w:t>
      </w:r>
    </w:p>
    <w:p w14:paraId="0F040801" w14:textId="77777777" w:rsidR="00450025" w:rsidRPr="00092862" w:rsidRDefault="00450025" w:rsidP="00450025">
      <w:pPr>
        <w:pStyle w:val="TOC1"/>
        <w:jc w:val="center"/>
        <w:rPr>
          <w:rFonts w:ascii="Times New Roman" w:hAnsi="Times New Roman"/>
          <w:color w:val="000000" w:themeColor="text1"/>
        </w:rPr>
      </w:pPr>
      <w:r w:rsidRPr="00092862">
        <w:rPr>
          <w:rFonts w:ascii="Times New Roman" w:hAnsi="Times New Roman"/>
          <w:noProof/>
          <w:color w:val="000000" w:themeColor="text1"/>
        </w:rPr>
        <w:lastRenderedPageBreak/>
        <w:drawing>
          <wp:inline distT="0" distB="0" distL="0" distR="0" wp14:anchorId="7A0808FD" wp14:editId="214DBA5D">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14:paraId="28B3BC4C" w14:textId="4DB784AF"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bookmarkStart w:id="306" w:name="_Ref473017352"/>
      <w:r w:rsidRPr="00092862">
        <w:rPr>
          <w:rFonts w:ascii="Times New Roman" w:eastAsia="黑体" w:hAnsi="Times New Roman" w:cs="Times New Roman"/>
          <w:color w:val="000000" w:themeColor="text1"/>
          <w:szCs w:val="21"/>
        </w:rPr>
        <w:t>图</w:t>
      </w:r>
      <w:bookmarkEnd w:id="306"/>
      <w:r w:rsidR="00704F23" w:rsidRPr="00092862">
        <w:rPr>
          <w:rFonts w:ascii="Times New Roman" w:eastAsia="黑体" w:hAnsi="Times New Roman" w:cs="Times New Roman"/>
          <w:color w:val="000000" w:themeColor="text1"/>
          <w:szCs w:val="21"/>
        </w:rPr>
        <w:t>6.6-4</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普光分公司综合应急预案框架图</w:t>
      </w:r>
    </w:p>
    <w:p w14:paraId="124B705A" w14:textId="77777777" w:rsidR="00450025" w:rsidRPr="00092862" w:rsidRDefault="00450025" w:rsidP="00450025">
      <w:pPr>
        <w:pStyle w:val="TOC1"/>
        <w:jc w:val="center"/>
        <w:rPr>
          <w:rFonts w:ascii="Times New Roman" w:hAnsi="Times New Roman"/>
          <w:color w:val="000000" w:themeColor="text1"/>
        </w:rPr>
      </w:pPr>
      <w:r w:rsidRPr="00092862">
        <w:rPr>
          <w:rFonts w:ascii="Times New Roman" w:hAnsi="Times New Roman"/>
          <w:noProof/>
          <w:color w:val="000000" w:themeColor="text1"/>
        </w:rPr>
        <w:lastRenderedPageBreak/>
        <w:drawing>
          <wp:inline distT="0" distB="0" distL="0" distR="0" wp14:anchorId="3DF33D5B" wp14:editId="37858F0C">
            <wp:extent cx="5147310" cy="5756910"/>
            <wp:effectExtent l="0" t="0" r="0"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5155965" cy="5766994"/>
                    </a:xfrm>
                    <a:prstGeom prst="rect">
                      <a:avLst/>
                    </a:prstGeom>
                    <a:noFill/>
                    <a:ln>
                      <a:noFill/>
                    </a:ln>
                  </pic:spPr>
                </pic:pic>
              </a:graphicData>
            </a:graphic>
          </wp:inline>
        </w:drawing>
      </w:r>
    </w:p>
    <w:p w14:paraId="7321DDC5" w14:textId="6967CD13"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bookmarkStart w:id="307" w:name="_Ref473017362"/>
      <w:r w:rsidRPr="00092862">
        <w:rPr>
          <w:rFonts w:ascii="Times New Roman" w:eastAsia="黑体" w:hAnsi="Times New Roman" w:cs="Times New Roman"/>
          <w:color w:val="000000" w:themeColor="text1"/>
          <w:szCs w:val="21"/>
        </w:rPr>
        <w:t>图</w:t>
      </w:r>
      <w:bookmarkEnd w:id="307"/>
      <w:r w:rsidR="00704F23" w:rsidRPr="00092862">
        <w:rPr>
          <w:rFonts w:ascii="Times New Roman" w:eastAsia="黑体" w:hAnsi="Times New Roman" w:cs="Times New Roman"/>
          <w:color w:val="000000" w:themeColor="text1"/>
          <w:szCs w:val="21"/>
        </w:rPr>
        <w:t>6.6-5</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普光分公司专项应急预案框架图</w:t>
      </w:r>
    </w:p>
    <w:p w14:paraId="7545CDC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）普光分公司应急组织机构</w:t>
      </w:r>
    </w:p>
    <w:p w14:paraId="11F4CF13" w14:textId="77777777" w:rsidR="00450025" w:rsidRPr="00092862" w:rsidRDefault="00450025" w:rsidP="00450025">
      <w:pPr>
        <w:pStyle w:val="TOC1"/>
        <w:jc w:val="center"/>
        <w:rPr>
          <w:rFonts w:ascii="Times New Roman" w:hAnsi="Times New Roman"/>
          <w:color w:val="000000" w:themeColor="text1"/>
        </w:rPr>
      </w:pPr>
      <w:r w:rsidRPr="00092862">
        <w:rPr>
          <w:rFonts w:ascii="Times New Roman" w:hAnsi="Times New Roman"/>
          <w:noProof/>
          <w:color w:val="000000" w:themeColor="text1"/>
        </w:rPr>
        <w:lastRenderedPageBreak/>
        <w:drawing>
          <wp:inline distT="0" distB="0" distL="0" distR="0" wp14:anchorId="19CD81AC" wp14:editId="7BF473CE">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16"/>
                    <a:stretch>
                      <a:fillRect/>
                    </a:stretch>
                  </pic:blipFill>
                  <pic:spPr>
                    <a:xfrm>
                      <a:off x="0" y="0"/>
                      <a:ext cx="5274310" cy="4202430"/>
                    </a:xfrm>
                    <a:prstGeom prst="rect">
                      <a:avLst/>
                    </a:prstGeom>
                  </pic:spPr>
                </pic:pic>
              </a:graphicData>
            </a:graphic>
          </wp:inline>
        </w:drawing>
      </w:r>
    </w:p>
    <w:p w14:paraId="77B8B5C9" w14:textId="67BF4BDE"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bookmarkStart w:id="308" w:name="_Ref524448984"/>
      <w:r w:rsidRPr="00092862">
        <w:rPr>
          <w:rFonts w:ascii="Times New Roman" w:eastAsia="黑体" w:hAnsi="Times New Roman" w:cs="Times New Roman"/>
          <w:color w:val="000000" w:themeColor="text1"/>
          <w:szCs w:val="21"/>
        </w:rPr>
        <w:t>图</w:t>
      </w:r>
      <w:bookmarkEnd w:id="308"/>
      <w:r w:rsidR="00704F23" w:rsidRPr="00092862">
        <w:rPr>
          <w:rFonts w:ascii="Times New Roman" w:eastAsia="黑体" w:hAnsi="Times New Roman" w:cs="Times New Roman"/>
          <w:color w:val="000000" w:themeColor="text1"/>
          <w:szCs w:val="21"/>
        </w:rPr>
        <w:t>6.6-6</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应急管理组织机构框图</w:t>
      </w:r>
    </w:p>
    <w:p w14:paraId="0422CE7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4</w:t>
      </w:r>
      <w:r w:rsidRPr="00092862">
        <w:rPr>
          <w:rFonts w:ascii="Times New Roman" w:eastAsia="宋体" w:hAnsi="Times New Roman" w:cs="Times New Roman"/>
          <w:bCs/>
          <w:color w:val="000000" w:themeColor="text1"/>
          <w:sz w:val="24"/>
        </w:rPr>
        <w:t>）应急响应</w:t>
      </w:r>
    </w:p>
    <w:p w14:paraId="46577B2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）分类与分级</w:t>
      </w:r>
    </w:p>
    <w:p w14:paraId="251D664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分类</w:t>
      </w:r>
    </w:p>
    <w:p w14:paraId="73E9B87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分公司各所属单位应根据应急事件的发生过程、性质和机理，按照工业生产事件、公共卫生事件、自然灾害事件和社会安全事件的类别，经危害识别、风险评估，确定单位内可能发生或易发生的应急事件。</w:t>
      </w:r>
    </w:p>
    <w:p w14:paraId="68558A2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分级</w:t>
      </w:r>
    </w:p>
    <w:p w14:paraId="34A323B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为了有效处置各类突发事件，按照突发事件的性质、危害程度、可控性、影响范围、人员伤亡和财产损失等因素，并依据机构设置情况，由高到低分为五个级别：</w:t>
      </w:r>
      <w:r w:rsidRPr="00092862">
        <w:rPr>
          <w:rFonts w:ascii="Times New Roman" w:eastAsia="宋体" w:hAnsi="Times New Roman" w:cs="Times New Roman"/>
          <w:color w:val="000000" w:themeColor="text1"/>
          <w:sz w:val="24"/>
        </w:rPr>
        <w:t>Ⅰ</w:t>
      </w:r>
      <w:r w:rsidRPr="00092862">
        <w:rPr>
          <w:rFonts w:ascii="Times New Roman" w:eastAsia="宋体" w:hAnsi="Times New Roman" w:cs="Times New Roman"/>
          <w:color w:val="000000" w:themeColor="text1"/>
          <w:sz w:val="24"/>
        </w:rPr>
        <w:t>（中国石化）级、</w:t>
      </w:r>
      <w:r w:rsidRPr="00092862">
        <w:rPr>
          <w:rFonts w:ascii="Times New Roman" w:eastAsia="宋体" w:hAnsi="Times New Roman" w:cs="Times New Roman"/>
          <w:color w:val="000000" w:themeColor="text1"/>
          <w:sz w:val="24"/>
        </w:rPr>
        <w:t>Ⅱ</w:t>
      </w:r>
      <w:r w:rsidRPr="00092862">
        <w:rPr>
          <w:rFonts w:ascii="Times New Roman" w:eastAsia="宋体" w:hAnsi="Times New Roman" w:cs="Times New Roman"/>
          <w:color w:val="000000" w:themeColor="text1"/>
          <w:sz w:val="24"/>
        </w:rPr>
        <w:t>（中原油田）级、</w:t>
      </w:r>
      <w:r w:rsidRPr="00092862">
        <w:rPr>
          <w:rFonts w:ascii="Times New Roman" w:eastAsia="宋体" w:hAnsi="Times New Roman" w:cs="Times New Roman"/>
          <w:color w:val="000000" w:themeColor="text1"/>
          <w:sz w:val="24"/>
        </w:rPr>
        <w:t>Ⅲ</w:t>
      </w:r>
      <w:r w:rsidRPr="00092862">
        <w:rPr>
          <w:rFonts w:ascii="Times New Roman" w:eastAsia="宋体" w:hAnsi="Times New Roman" w:cs="Times New Roman"/>
          <w:color w:val="000000" w:themeColor="text1"/>
          <w:sz w:val="24"/>
        </w:rPr>
        <w:t>（分公司）级、</w:t>
      </w:r>
      <w:r w:rsidRPr="00092862">
        <w:rPr>
          <w:rFonts w:ascii="Times New Roman" w:eastAsia="宋体" w:hAnsi="Times New Roman" w:cs="Times New Roman"/>
          <w:color w:val="000000" w:themeColor="text1"/>
          <w:sz w:val="24"/>
        </w:rPr>
        <w:t>Ⅳ</w:t>
      </w:r>
      <w:r w:rsidRPr="00092862">
        <w:rPr>
          <w:rFonts w:ascii="Times New Roman" w:eastAsia="宋体" w:hAnsi="Times New Roman" w:cs="Times New Roman"/>
          <w:color w:val="000000" w:themeColor="text1"/>
          <w:sz w:val="24"/>
        </w:rPr>
        <w:t>（厂）级、</w:t>
      </w:r>
      <w:r w:rsidRPr="00092862">
        <w:rPr>
          <w:rFonts w:ascii="Times New Roman" w:eastAsia="宋体" w:hAnsi="Times New Roman" w:cs="Times New Roman"/>
          <w:color w:val="000000" w:themeColor="text1"/>
          <w:sz w:val="24"/>
        </w:rPr>
        <w:t>Ⅴ</w:t>
      </w:r>
      <w:r w:rsidRPr="00092862">
        <w:rPr>
          <w:rFonts w:ascii="Times New Roman" w:eastAsia="宋体" w:hAnsi="Times New Roman" w:cs="Times New Roman"/>
          <w:color w:val="000000" w:themeColor="text1"/>
          <w:sz w:val="24"/>
        </w:rPr>
        <w:t>（车间、区）级等。</w:t>
      </w:r>
    </w:p>
    <w:p w14:paraId="719CDF0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）响应程序</w:t>
      </w:r>
    </w:p>
    <w:p w14:paraId="2A24929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应急启动条件</w:t>
      </w:r>
    </w:p>
    <w:p w14:paraId="58197C1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符合以下条件之一时，应启动本预案：</w:t>
      </w:r>
    </w:p>
    <w:p w14:paraId="64BB074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a</w:t>
      </w:r>
      <w:r w:rsidRPr="00092862">
        <w:rPr>
          <w:rFonts w:ascii="Times New Roman" w:eastAsia="宋体" w:hAnsi="Times New Roman" w:cs="Times New Roman"/>
          <w:color w:val="000000" w:themeColor="text1"/>
          <w:sz w:val="24"/>
        </w:rPr>
        <w:t>）中原油田要求分公司启动应急预案时；</w:t>
      </w:r>
    </w:p>
    <w:p w14:paraId="7613F99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b</w:t>
      </w:r>
      <w:r w:rsidRPr="00092862">
        <w:rPr>
          <w:rFonts w:ascii="Times New Roman" w:eastAsia="宋体" w:hAnsi="Times New Roman" w:cs="Times New Roman"/>
          <w:color w:val="000000" w:themeColor="text1"/>
          <w:sz w:val="24"/>
        </w:rPr>
        <w:t>）市、县级人民政府要求分公司启动应急预案时；</w:t>
      </w:r>
    </w:p>
    <w:p w14:paraId="775B609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c</w:t>
      </w:r>
      <w:r w:rsidRPr="00092862">
        <w:rPr>
          <w:rFonts w:ascii="Times New Roman" w:eastAsia="宋体" w:hAnsi="Times New Roman" w:cs="Times New Roman"/>
          <w:color w:val="000000" w:themeColor="text1"/>
          <w:sz w:val="24"/>
        </w:rPr>
        <w:t>）发生</w:t>
      </w:r>
      <w:r w:rsidRPr="00092862">
        <w:rPr>
          <w:rFonts w:ascii="Times New Roman" w:eastAsia="宋体" w:hAnsi="Times New Roman" w:cs="Times New Roman"/>
          <w:color w:val="000000" w:themeColor="text1"/>
          <w:sz w:val="24"/>
        </w:rPr>
        <w:t>Ⅲ</w:t>
      </w:r>
      <w:r w:rsidRPr="00092862">
        <w:rPr>
          <w:rFonts w:ascii="Times New Roman" w:eastAsia="宋体" w:hAnsi="Times New Roman" w:cs="Times New Roman"/>
          <w:color w:val="000000" w:themeColor="text1"/>
          <w:sz w:val="24"/>
        </w:rPr>
        <w:t>（分公司）级及</w:t>
      </w:r>
      <w:r w:rsidRPr="00092862">
        <w:rPr>
          <w:rFonts w:ascii="Times New Roman" w:eastAsia="宋体" w:hAnsi="Times New Roman" w:cs="Times New Roman"/>
          <w:color w:val="000000" w:themeColor="text1"/>
          <w:sz w:val="24"/>
        </w:rPr>
        <w:t>Ⅲ</w:t>
      </w:r>
      <w:r w:rsidRPr="00092862">
        <w:rPr>
          <w:rFonts w:ascii="Times New Roman" w:eastAsia="宋体" w:hAnsi="Times New Roman" w:cs="Times New Roman"/>
          <w:color w:val="000000" w:themeColor="text1"/>
          <w:sz w:val="24"/>
        </w:rPr>
        <w:t>级以上事件时；</w:t>
      </w:r>
    </w:p>
    <w:p w14:paraId="07962E9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d</w:t>
      </w:r>
      <w:r w:rsidRPr="00092862">
        <w:rPr>
          <w:rFonts w:ascii="Times New Roman" w:eastAsia="宋体" w:hAnsi="Times New Roman" w:cs="Times New Roman"/>
          <w:color w:val="000000" w:themeColor="text1"/>
          <w:sz w:val="24"/>
        </w:rPr>
        <w:t>）所属单位请求时。</w:t>
      </w:r>
    </w:p>
    <w:p w14:paraId="278642A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应急指令</w:t>
      </w:r>
    </w:p>
    <w:p w14:paraId="64B8CF4C"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宋体" w:hAnsi="Times New Roman" w:cs="Times New Roman"/>
          <w:color w:val="000000" w:themeColor="text1"/>
          <w:sz w:val="24"/>
        </w:rPr>
        <w:t>发生突发事件时，应急指令下达程序见下图。</w:t>
      </w:r>
    </w:p>
    <w:p w14:paraId="20F57865" w14:textId="77777777" w:rsidR="00450025" w:rsidRPr="00092862" w:rsidRDefault="00450025" w:rsidP="00450025">
      <w:pPr>
        <w:pStyle w:val="TOC1"/>
        <w:jc w:val="center"/>
        <w:rPr>
          <w:rFonts w:ascii="Times New Roman" w:hAnsi="Times New Roman"/>
          <w:color w:val="000000" w:themeColor="text1"/>
        </w:rPr>
      </w:pPr>
      <w:r w:rsidRPr="00092862">
        <w:rPr>
          <w:rFonts w:ascii="Times New Roman" w:hAnsi="Times New Roman"/>
          <w:noProof/>
          <w:color w:val="000000" w:themeColor="text1"/>
        </w:rPr>
        <w:drawing>
          <wp:inline distT="0" distB="0" distL="0" distR="0" wp14:anchorId="6C0B9B3F" wp14:editId="144FB201">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7"/>
                    <a:stretch>
                      <a:fillRect/>
                    </a:stretch>
                  </pic:blipFill>
                  <pic:spPr>
                    <a:xfrm>
                      <a:off x="0" y="0"/>
                      <a:ext cx="5274310" cy="4931410"/>
                    </a:xfrm>
                    <a:prstGeom prst="rect">
                      <a:avLst/>
                    </a:prstGeom>
                  </pic:spPr>
                </pic:pic>
              </a:graphicData>
            </a:graphic>
          </wp:inline>
        </w:drawing>
      </w:r>
    </w:p>
    <w:p w14:paraId="04186FBF" w14:textId="4C6A3A24"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704F23" w:rsidRPr="00092862">
        <w:rPr>
          <w:rFonts w:ascii="Times New Roman" w:eastAsia="黑体" w:hAnsi="Times New Roman" w:cs="Times New Roman"/>
          <w:color w:val="000000" w:themeColor="text1"/>
          <w:szCs w:val="21"/>
        </w:rPr>
        <w:t xml:space="preserve">6.6-7 </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普光分公司应急指令下达程序框图</w:t>
      </w:r>
    </w:p>
    <w:p w14:paraId="3883969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应急处置</w:t>
      </w:r>
    </w:p>
    <w:p w14:paraId="2B347B5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当符合应急预案启动条件时，分公司应急指挥中心应立即下达启动本预案的指令，并按照本预案中相应专项应急预案的要求实施应急处置。</w:t>
      </w:r>
    </w:p>
    <w:p w14:paraId="176C8EB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当事件难以控制时，分公司应急指挥中心应请求启动相应的应急预案，并向市级政府应急管理办公室报告，请求支援。</w:t>
      </w:r>
    </w:p>
    <w:p w14:paraId="3AAB378E"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5</w:t>
      </w:r>
      <w:r w:rsidRPr="00092862">
        <w:rPr>
          <w:rFonts w:ascii="Times New Roman" w:eastAsia="宋体" w:hAnsi="Times New Roman" w:cs="Times New Roman"/>
          <w:b/>
          <w:color w:val="000000" w:themeColor="text1"/>
          <w:sz w:val="24"/>
        </w:rPr>
        <w:t>）应急结束</w:t>
      </w:r>
    </w:p>
    <w:p w14:paraId="557F03D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经应急处置后，现场应急指挥部确认满足专项应急预案终止条件时，向分</w:t>
      </w:r>
      <w:r w:rsidRPr="00092862">
        <w:rPr>
          <w:rFonts w:ascii="Times New Roman" w:eastAsia="宋体" w:hAnsi="Times New Roman" w:cs="Times New Roman"/>
          <w:color w:val="000000" w:themeColor="text1"/>
          <w:sz w:val="24"/>
        </w:rPr>
        <w:lastRenderedPageBreak/>
        <w:t>公司应急指挥中心报告，分公司应急指挥中心可下达应急终止指令。</w:t>
      </w:r>
    </w:p>
    <w:p w14:paraId="04C37DB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应急终止后，现场应急指挥部负责编写应急总结，应急指挥中心办公室负责对现场应急指挥部的应急总结、值班记录等资料进行汇总、归档，经理办公室负责起草分公司应急指挥中心的应急总结上报材料。现场应急指挥部向事件调查组移交相关材料。分公司应急指挥中心负责向中原油田上报应急总结。</w:t>
      </w:r>
    </w:p>
    <w:p w14:paraId="5AB9AB51"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6</w:t>
      </w:r>
      <w:r w:rsidRPr="00092862">
        <w:rPr>
          <w:rFonts w:ascii="Times New Roman" w:eastAsia="宋体" w:hAnsi="Times New Roman" w:cs="Times New Roman"/>
          <w:b/>
          <w:color w:val="000000" w:themeColor="text1"/>
          <w:sz w:val="24"/>
        </w:rPr>
        <w:t>）应急保障</w:t>
      </w:r>
    </w:p>
    <w:p w14:paraId="1FEE2F3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）应急队伍保障</w:t>
      </w:r>
    </w:p>
    <w:p w14:paraId="0F966DA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14:paraId="18F9989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）财力保障</w:t>
      </w:r>
    </w:p>
    <w:p w14:paraId="3A602C3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事件处置过程中的费用，由计划财务部门负责保障；事件应急处置结束后，各级应急指挥中心办公室对应急处置费用进行整理汇总，计划财务部给予核销。</w:t>
      </w:r>
    </w:p>
    <w:p w14:paraId="168D969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）物资保障</w:t>
      </w:r>
    </w:p>
    <w:p w14:paraId="50D62F4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14:paraId="43E0F1F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）通讯保障</w:t>
      </w:r>
    </w:p>
    <w:p w14:paraId="27AF608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生产服务中心负责建立、完善应急通讯网络系统，在应急工作中确保应急通信畅通。</w:t>
      </w:r>
    </w:p>
    <w:p w14:paraId="0E17060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）技术保障</w:t>
      </w:r>
    </w:p>
    <w:p w14:paraId="244F962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天然气技术管理部负责建立由各专业领域技术、经验丰富的人员组成技术专家组，结合事故发生厂所属技术力量，为事故的应急处置提供技术支持。</w:t>
      </w:r>
    </w:p>
    <w:p w14:paraId="1C40654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6</w:t>
      </w:r>
      <w:r w:rsidRPr="00092862">
        <w:rPr>
          <w:rFonts w:ascii="Times New Roman" w:eastAsia="宋体" w:hAnsi="Times New Roman" w:cs="Times New Roman"/>
          <w:color w:val="000000" w:themeColor="text1"/>
          <w:sz w:val="24"/>
        </w:rPr>
        <w:t>）基本生活保障</w:t>
      </w:r>
    </w:p>
    <w:p w14:paraId="6D7A527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分公司应急指挥中心应会同事发地人民政府做好抢险队伍、受灾员工和疏散群众的基本生活保障工作。</w:t>
      </w:r>
    </w:p>
    <w:p w14:paraId="08B9D0B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7</w:t>
      </w:r>
      <w:r w:rsidRPr="00092862">
        <w:rPr>
          <w:rFonts w:ascii="Times New Roman" w:eastAsia="宋体" w:hAnsi="Times New Roman" w:cs="Times New Roman"/>
          <w:color w:val="000000" w:themeColor="text1"/>
          <w:sz w:val="24"/>
        </w:rPr>
        <w:t>）人员防护</w:t>
      </w:r>
    </w:p>
    <w:p w14:paraId="5B887BC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按照国家法律法规、标准、规范的要求，应急救援人员配备安全职业防护装备，严格按照救援程序开展应急救援工作，确保人员安全。在生产区域内岗</w:t>
      </w:r>
      <w:r w:rsidRPr="00092862">
        <w:rPr>
          <w:rFonts w:ascii="Times New Roman" w:eastAsia="宋体" w:hAnsi="Times New Roman" w:cs="Times New Roman"/>
          <w:color w:val="000000" w:themeColor="text1"/>
          <w:sz w:val="24"/>
        </w:rPr>
        <w:lastRenderedPageBreak/>
        <w:t>位人员配备安全职业防护装备，建立紧急集合点。</w:t>
      </w:r>
    </w:p>
    <w:p w14:paraId="1E0275B0" w14:textId="7EC0DE2F" w:rsidR="00450025" w:rsidRPr="00092862" w:rsidRDefault="00CA20DF" w:rsidP="00CA20D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09" w:name="_Toc120173206"/>
      <w:r w:rsidRPr="00092862">
        <w:rPr>
          <w:rFonts w:ascii="Times New Roman" w:eastAsia="黑体" w:hAnsi="Times New Roman"/>
          <w:b w:val="0"/>
          <w:color w:val="000000" w:themeColor="text1"/>
          <w:sz w:val="24"/>
          <w:szCs w:val="24"/>
          <w:lang w:eastAsia="zh-CN"/>
        </w:rPr>
        <w:t>6.6.13</w:t>
      </w:r>
      <w:r w:rsidR="00450025" w:rsidRPr="00092862">
        <w:rPr>
          <w:rFonts w:ascii="Times New Roman" w:eastAsia="黑体" w:hAnsi="Times New Roman"/>
          <w:b w:val="0"/>
          <w:color w:val="000000" w:themeColor="text1"/>
          <w:sz w:val="24"/>
          <w:szCs w:val="24"/>
          <w:lang w:eastAsia="zh-CN"/>
        </w:rPr>
        <w:t>本项目环境风险应急预案</w:t>
      </w:r>
      <w:bookmarkEnd w:id="309"/>
    </w:p>
    <w:p w14:paraId="5F69B155"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1</w:t>
      </w:r>
      <w:r w:rsidRPr="00092862">
        <w:rPr>
          <w:rFonts w:ascii="Times New Roman" w:eastAsia="宋体" w:hAnsi="Times New Roman" w:cs="Times New Roman"/>
          <w:b/>
          <w:color w:val="000000" w:themeColor="text1"/>
          <w:sz w:val="24"/>
        </w:rPr>
        <w:t>）钻井</w:t>
      </w:r>
      <w:bookmarkStart w:id="310" w:name="OLE_LINK363"/>
      <w:bookmarkStart w:id="311" w:name="OLE_LINK364"/>
      <w:r w:rsidRPr="00092862">
        <w:rPr>
          <w:rFonts w:ascii="Times New Roman" w:eastAsia="宋体" w:hAnsi="Times New Roman" w:cs="Times New Roman"/>
          <w:b/>
          <w:color w:val="000000" w:themeColor="text1"/>
          <w:sz w:val="24"/>
        </w:rPr>
        <w:t>过程</w:t>
      </w:r>
      <w:bookmarkEnd w:id="310"/>
      <w:bookmarkEnd w:id="311"/>
      <w:r w:rsidRPr="00092862">
        <w:rPr>
          <w:rFonts w:ascii="Times New Roman" w:eastAsia="宋体" w:hAnsi="Times New Roman" w:cs="Times New Roman"/>
          <w:b/>
          <w:color w:val="000000" w:themeColor="text1"/>
          <w:sz w:val="24"/>
        </w:rPr>
        <w:t>风险应急预案</w:t>
      </w:r>
    </w:p>
    <w:p w14:paraId="74C5064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前述环境风险事故分析，本次评价将针对本项目钻井作业的特点，结合企业制定的应急预案，提出环境风险事故应急预案编制要求，供企业及有关部门参考。同时环评要求建设单位在钻井工程施工前编制钻井工程专项应急预案，并在地方生态环境主管部门进行备案。</w:t>
      </w:r>
    </w:p>
    <w:p w14:paraId="458DFFE5"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1</w:t>
      </w:r>
      <w:r w:rsidRPr="00092862">
        <w:rPr>
          <w:rFonts w:ascii="Times New Roman" w:eastAsia="宋体" w:hAnsi="Times New Roman" w:cs="Times New Roman"/>
          <w:b/>
          <w:color w:val="000000" w:themeColor="text1"/>
          <w:sz w:val="24"/>
        </w:rPr>
        <w:t>）应急预案编制内容及要求</w:t>
      </w:r>
    </w:p>
    <w:p w14:paraId="739EE003" w14:textId="768CFE89"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根据前述环境风险事故分析，本次评价将针对本项目钻井作业及试采作业的特点，结合企业制定的应急预案，提出环境风险事故应急预案编制要求，供企业及有关部门参考。见表</w:t>
      </w:r>
      <w:r w:rsidR="00704F23" w:rsidRPr="00092862">
        <w:rPr>
          <w:rFonts w:ascii="Times New Roman" w:eastAsia="宋体" w:hAnsi="Times New Roman" w:cs="Times New Roman"/>
          <w:color w:val="000000" w:themeColor="text1"/>
          <w:sz w:val="24"/>
        </w:rPr>
        <w:t>6.6-1</w:t>
      </w:r>
      <w:r w:rsidRPr="00092862">
        <w:rPr>
          <w:rFonts w:ascii="Times New Roman" w:eastAsia="宋体" w:hAnsi="Times New Roman" w:cs="Times New Roman"/>
          <w:color w:val="000000" w:themeColor="text1"/>
          <w:sz w:val="24"/>
        </w:rPr>
        <w:t>。</w:t>
      </w:r>
    </w:p>
    <w:p w14:paraId="3104BB8B" w14:textId="40B07513"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bookmarkStart w:id="312" w:name="_Ref524449032"/>
      <w:r w:rsidRPr="00092862">
        <w:rPr>
          <w:rFonts w:ascii="Times New Roman" w:eastAsia="黑体" w:hAnsi="Times New Roman"/>
          <w:color w:val="000000" w:themeColor="text1"/>
          <w:sz w:val="21"/>
          <w:szCs w:val="21"/>
          <w:lang w:eastAsia="zh-CN"/>
        </w:rPr>
        <w:t>表</w:t>
      </w:r>
      <w:bookmarkEnd w:id="312"/>
      <w:r w:rsidR="00704F23" w:rsidRPr="00092862">
        <w:rPr>
          <w:rFonts w:ascii="Times New Roman" w:eastAsia="黑体" w:hAnsi="Times New Roman"/>
          <w:color w:val="000000" w:themeColor="text1"/>
          <w:sz w:val="21"/>
          <w:szCs w:val="21"/>
          <w:lang w:eastAsia="zh-CN"/>
        </w:rPr>
        <w:t>6.6-1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应急预案主要内容一览表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0"/>
        <w:gridCol w:w="1162"/>
        <w:gridCol w:w="6428"/>
      </w:tblGrid>
      <w:tr w:rsidR="00697429" w:rsidRPr="00092862" w14:paraId="7E95EC6F" w14:textId="77777777" w:rsidTr="00C54C73">
        <w:trPr>
          <w:tblHeader/>
          <w:jc w:val="center"/>
        </w:trPr>
        <w:tc>
          <w:tcPr>
            <w:tcW w:w="428" w:type="pct"/>
            <w:vAlign w:val="center"/>
          </w:tcPr>
          <w:p w14:paraId="1D9B7F11" w14:textId="77777777" w:rsidR="00450025" w:rsidRPr="00092862" w:rsidRDefault="00450025" w:rsidP="00C54C73">
            <w:pPr>
              <w:pStyle w:val="1L"/>
              <w:rPr>
                <w:b/>
                <w:color w:val="000000" w:themeColor="text1"/>
              </w:rPr>
            </w:pPr>
            <w:r w:rsidRPr="00092862">
              <w:rPr>
                <w:b/>
                <w:color w:val="000000" w:themeColor="text1"/>
              </w:rPr>
              <w:t>序号</w:t>
            </w:r>
          </w:p>
        </w:tc>
        <w:tc>
          <w:tcPr>
            <w:tcW w:w="700" w:type="pct"/>
            <w:vAlign w:val="center"/>
          </w:tcPr>
          <w:p w14:paraId="71667229" w14:textId="77777777" w:rsidR="00450025" w:rsidRPr="00092862" w:rsidRDefault="00450025" w:rsidP="00C54C73">
            <w:pPr>
              <w:pStyle w:val="1L"/>
              <w:rPr>
                <w:b/>
                <w:color w:val="000000" w:themeColor="text1"/>
              </w:rPr>
            </w:pPr>
            <w:r w:rsidRPr="00092862">
              <w:rPr>
                <w:b/>
                <w:color w:val="000000" w:themeColor="text1"/>
              </w:rPr>
              <w:t>项目</w:t>
            </w:r>
          </w:p>
        </w:tc>
        <w:tc>
          <w:tcPr>
            <w:tcW w:w="3872" w:type="pct"/>
            <w:vAlign w:val="center"/>
          </w:tcPr>
          <w:p w14:paraId="02367793" w14:textId="77777777" w:rsidR="00450025" w:rsidRPr="00092862" w:rsidRDefault="00450025" w:rsidP="00C54C73">
            <w:pPr>
              <w:pStyle w:val="1L"/>
              <w:rPr>
                <w:b/>
                <w:color w:val="000000" w:themeColor="text1"/>
              </w:rPr>
            </w:pPr>
            <w:r w:rsidRPr="00092862">
              <w:rPr>
                <w:b/>
                <w:color w:val="000000" w:themeColor="text1"/>
              </w:rPr>
              <w:t>内容及要求</w:t>
            </w:r>
          </w:p>
        </w:tc>
      </w:tr>
      <w:tr w:rsidR="00697429" w:rsidRPr="00092862" w14:paraId="442B6E0C" w14:textId="77777777" w:rsidTr="00C54C73">
        <w:trPr>
          <w:jc w:val="center"/>
        </w:trPr>
        <w:tc>
          <w:tcPr>
            <w:tcW w:w="428" w:type="pct"/>
            <w:vAlign w:val="center"/>
          </w:tcPr>
          <w:p w14:paraId="589C5AB5" w14:textId="77777777" w:rsidR="00450025" w:rsidRPr="00092862" w:rsidRDefault="00450025" w:rsidP="00C54C73">
            <w:pPr>
              <w:pStyle w:val="1L"/>
              <w:rPr>
                <w:color w:val="000000" w:themeColor="text1"/>
              </w:rPr>
            </w:pPr>
            <w:r w:rsidRPr="00092862">
              <w:rPr>
                <w:color w:val="000000" w:themeColor="text1"/>
              </w:rPr>
              <w:t>1</w:t>
            </w:r>
          </w:p>
        </w:tc>
        <w:tc>
          <w:tcPr>
            <w:tcW w:w="700" w:type="pct"/>
            <w:vAlign w:val="center"/>
          </w:tcPr>
          <w:p w14:paraId="0150B064" w14:textId="77777777" w:rsidR="00450025" w:rsidRPr="00092862" w:rsidRDefault="00450025" w:rsidP="00C54C73">
            <w:pPr>
              <w:pStyle w:val="1L"/>
              <w:rPr>
                <w:color w:val="000000" w:themeColor="text1"/>
              </w:rPr>
            </w:pPr>
            <w:r w:rsidRPr="00092862">
              <w:rPr>
                <w:color w:val="000000" w:themeColor="text1"/>
              </w:rPr>
              <w:t>应急计划区</w:t>
            </w:r>
          </w:p>
        </w:tc>
        <w:tc>
          <w:tcPr>
            <w:tcW w:w="3872" w:type="pct"/>
            <w:vAlign w:val="center"/>
          </w:tcPr>
          <w:p w14:paraId="0F8BAF9E" w14:textId="77777777" w:rsidR="00450025" w:rsidRPr="00092862" w:rsidRDefault="00450025" w:rsidP="00C54C73">
            <w:pPr>
              <w:pStyle w:val="1L"/>
              <w:jc w:val="left"/>
              <w:rPr>
                <w:color w:val="000000" w:themeColor="text1"/>
              </w:rPr>
            </w:pPr>
            <w:r w:rsidRPr="00092862">
              <w:rPr>
                <w:color w:val="000000" w:themeColor="text1"/>
              </w:rPr>
              <w:t>危险目标：钻井地层</w:t>
            </w:r>
          </w:p>
          <w:p w14:paraId="7CDCF838" w14:textId="77777777" w:rsidR="00450025" w:rsidRPr="00092862" w:rsidRDefault="00450025" w:rsidP="00C54C73">
            <w:pPr>
              <w:pStyle w:val="1L"/>
              <w:jc w:val="left"/>
              <w:rPr>
                <w:color w:val="000000" w:themeColor="text1"/>
              </w:rPr>
            </w:pPr>
            <w:r w:rsidRPr="00092862">
              <w:rPr>
                <w:color w:val="000000" w:themeColor="text1"/>
              </w:rPr>
              <w:t>环境保护目标：测试放喷时，井口周边</w:t>
            </w:r>
            <w:r w:rsidRPr="00092862">
              <w:rPr>
                <w:color w:val="000000" w:themeColor="text1"/>
              </w:rPr>
              <w:t>0</w:t>
            </w:r>
            <w:r w:rsidRPr="00092862">
              <w:rPr>
                <w:color w:val="000000" w:themeColor="text1"/>
              </w:rPr>
              <w:t>～</w:t>
            </w:r>
            <w:r w:rsidRPr="00092862">
              <w:rPr>
                <w:color w:val="000000" w:themeColor="text1"/>
              </w:rPr>
              <w:t>2220m</w:t>
            </w:r>
            <w:r w:rsidRPr="00092862">
              <w:rPr>
                <w:color w:val="000000" w:themeColor="text1"/>
              </w:rPr>
              <w:t>（或</w:t>
            </w:r>
            <w:r w:rsidRPr="00092862">
              <w:rPr>
                <w:color w:val="000000" w:themeColor="text1"/>
              </w:rPr>
              <w:t>5000m</w:t>
            </w:r>
            <w:r w:rsidRPr="00092862">
              <w:rPr>
                <w:color w:val="000000" w:themeColor="text1"/>
              </w:rPr>
              <w:t>）为紧急撤离范围。当发生井喷失控时，一般撤离范围可根据监测情况决定。</w:t>
            </w:r>
          </w:p>
        </w:tc>
      </w:tr>
      <w:tr w:rsidR="00697429" w:rsidRPr="00092862" w14:paraId="0A03D590" w14:textId="77777777" w:rsidTr="00C54C73">
        <w:trPr>
          <w:jc w:val="center"/>
        </w:trPr>
        <w:tc>
          <w:tcPr>
            <w:tcW w:w="428" w:type="pct"/>
            <w:vAlign w:val="center"/>
          </w:tcPr>
          <w:p w14:paraId="5129A198" w14:textId="77777777" w:rsidR="00450025" w:rsidRPr="00092862" w:rsidRDefault="00450025" w:rsidP="00C54C73">
            <w:pPr>
              <w:pStyle w:val="1L"/>
              <w:rPr>
                <w:color w:val="000000" w:themeColor="text1"/>
              </w:rPr>
            </w:pPr>
            <w:r w:rsidRPr="00092862">
              <w:rPr>
                <w:color w:val="000000" w:themeColor="text1"/>
              </w:rPr>
              <w:t>2</w:t>
            </w:r>
          </w:p>
        </w:tc>
        <w:tc>
          <w:tcPr>
            <w:tcW w:w="700" w:type="pct"/>
            <w:vAlign w:val="center"/>
          </w:tcPr>
          <w:p w14:paraId="452918E3" w14:textId="77777777" w:rsidR="00450025" w:rsidRPr="00092862" w:rsidRDefault="00450025" w:rsidP="00C54C73">
            <w:pPr>
              <w:pStyle w:val="1L"/>
              <w:rPr>
                <w:color w:val="000000" w:themeColor="text1"/>
              </w:rPr>
            </w:pPr>
            <w:r w:rsidRPr="00092862">
              <w:rPr>
                <w:color w:val="000000" w:themeColor="text1"/>
              </w:rPr>
              <w:t>应急组织机构、人员</w:t>
            </w:r>
          </w:p>
        </w:tc>
        <w:tc>
          <w:tcPr>
            <w:tcW w:w="3872" w:type="pct"/>
            <w:vAlign w:val="center"/>
          </w:tcPr>
          <w:p w14:paraId="54ACA00B" w14:textId="77777777" w:rsidR="00450025" w:rsidRPr="00092862" w:rsidRDefault="00450025" w:rsidP="00C54C73">
            <w:pPr>
              <w:pStyle w:val="1L"/>
              <w:jc w:val="left"/>
              <w:rPr>
                <w:color w:val="000000" w:themeColor="text1"/>
              </w:rPr>
            </w:pPr>
            <w:r w:rsidRPr="00092862">
              <w:rPr>
                <w:color w:val="000000" w:themeColor="text1"/>
              </w:rPr>
              <w:t>组织机构为中原油田普光分公司，钻井队及其管理单位、当地政府。</w:t>
            </w:r>
          </w:p>
          <w:p w14:paraId="7D84AF31" w14:textId="77777777" w:rsidR="00450025" w:rsidRPr="00092862" w:rsidRDefault="00450025" w:rsidP="00C54C73">
            <w:pPr>
              <w:pStyle w:val="1L"/>
              <w:jc w:val="left"/>
              <w:rPr>
                <w:color w:val="000000" w:themeColor="text1"/>
              </w:rPr>
            </w:pPr>
            <w:r w:rsidRPr="00092862">
              <w:rPr>
                <w:color w:val="000000" w:themeColor="text1"/>
              </w:rPr>
              <w:t>关键依靠钻井队、当地政府。</w:t>
            </w:r>
          </w:p>
          <w:p w14:paraId="6641EBE6" w14:textId="77777777" w:rsidR="00450025" w:rsidRPr="00092862" w:rsidRDefault="00450025" w:rsidP="00C54C73">
            <w:pPr>
              <w:pStyle w:val="1L"/>
              <w:jc w:val="left"/>
              <w:rPr>
                <w:color w:val="000000" w:themeColor="text1"/>
              </w:rPr>
            </w:pPr>
            <w:r w:rsidRPr="00092862">
              <w:rPr>
                <w:color w:val="000000" w:themeColor="text1"/>
              </w:rPr>
              <w:t>充分、重点发挥地方镇乡、村级政府的组织能力，纳入应急组织机构中。</w:t>
            </w:r>
          </w:p>
        </w:tc>
      </w:tr>
      <w:tr w:rsidR="00697429" w:rsidRPr="00092862" w14:paraId="0BD24472" w14:textId="77777777" w:rsidTr="00C54C73">
        <w:trPr>
          <w:jc w:val="center"/>
        </w:trPr>
        <w:tc>
          <w:tcPr>
            <w:tcW w:w="428" w:type="pct"/>
            <w:vAlign w:val="center"/>
          </w:tcPr>
          <w:p w14:paraId="5024A438" w14:textId="77777777" w:rsidR="00450025" w:rsidRPr="00092862" w:rsidRDefault="00450025" w:rsidP="00C54C73">
            <w:pPr>
              <w:pStyle w:val="1L"/>
              <w:rPr>
                <w:color w:val="000000" w:themeColor="text1"/>
              </w:rPr>
            </w:pPr>
            <w:r w:rsidRPr="00092862">
              <w:rPr>
                <w:color w:val="000000" w:themeColor="text1"/>
              </w:rPr>
              <w:t>3</w:t>
            </w:r>
          </w:p>
        </w:tc>
        <w:tc>
          <w:tcPr>
            <w:tcW w:w="700" w:type="pct"/>
            <w:vAlign w:val="center"/>
          </w:tcPr>
          <w:p w14:paraId="28BCC6F2" w14:textId="77777777" w:rsidR="00450025" w:rsidRPr="00092862" w:rsidRDefault="00450025" w:rsidP="00C54C73">
            <w:pPr>
              <w:pStyle w:val="1L"/>
              <w:rPr>
                <w:color w:val="000000" w:themeColor="text1"/>
              </w:rPr>
            </w:pPr>
            <w:r w:rsidRPr="00092862">
              <w:rPr>
                <w:color w:val="000000" w:themeColor="text1"/>
              </w:rPr>
              <w:t>预案分级</w:t>
            </w:r>
          </w:p>
          <w:p w14:paraId="6D28FA24" w14:textId="77777777" w:rsidR="00450025" w:rsidRPr="00092862" w:rsidRDefault="00450025" w:rsidP="00C54C73">
            <w:pPr>
              <w:pStyle w:val="1L"/>
              <w:rPr>
                <w:color w:val="000000" w:themeColor="text1"/>
              </w:rPr>
            </w:pPr>
            <w:r w:rsidRPr="00092862">
              <w:rPr>
                <w:color w:val="000000" w:themeColor="text1"/>
              </w:rPr>
              <w:t>响应条件</w:t>
            </w:r>
          </w:p>
        </w:tc>
        <w:tc>
          <w:tcPr>
            <w:tcW w:w="3872" w:type="pct"/>
            <w:vAlign w:val="center"/>
          </w:tcPr>
          <w:p w14:paraId="58113B2D" w14:textId="77777777" w:rsidR="00450025" w:rsidRPr="00092862" w:rsidRDefault="00450025" w:rsidP="00C54C73">
            <w:pPr>
              <w:pStyle w:val="1L"/>
              <w:jc w:val="left"/>
              <w:rPr>
                <w:color w:val="000000" w:themeColor="text1"/>
              </w:rPr>
            </w:pPr>
            <w:r w:rsidRPr="00092862">
              <w:rPr>
                <w:color w:val="000000" w:themeColor="text1"/>
              </w:rPr>
              <w:t>规定预案的级别及分级响应程序：</w:t>
            </w:r>
          </w:p>
          <w:p w14:paraId="2818102E" w14:textId="77777777" w:rsidR="00450025" w:rsidRPr="00092862" w:rsidRDefault="00450025" w:rsidP="00C54C73">
            <w:pPr>
              <w:pStyle w:val="1L"/>
              <w:jc w:val="left"/>
              <w:rPr>
                <w:color w:val="000000" w:themeColor="text1"/>
              </w:rPr>
            </w:pPr>
            <w:r w:rsidRPr="00092862">
              <w:rPr>
                <w:color w:val="000000" w:themeColor="text1"/>
              </w:rPr>
              <w:t>把重大环境污染事故定为三级，定性为一般，涉及组织单位为中原油田普光分公司、钻井队和当地环保部门。</w:t>
            </w:r>
          </w:p>
          <w:p w14:paraId="3E317E97" w14:textId="77777777" w:rsidR="00450025" w:rsidRPr="00092862" w:rsidRDefault="00450025" w:rsidP="00C54C73">
            <w:pPr>
              <w:pStyle w:val="1L"/>
              <w:jc w:val="left"/>
              <w:rPr>
                <w:color w:val="000000" w:themeColor="text1"/>
              </w:rPr>
            </w:pPr>
            <w:r w:rsidRPr="00092862">
              <w:rPr>
                <w:color w:val="000000" w:themeColor="text1"/>
              </w:rPr>
              <w:t>井喷及井喷失控定为一级。涉及组织单位为中原油田普光分公司、钻井队及其管理单位、当地政府。响应程度依次增强。</w:t>
            </w:r>
          </w:p>
        </w:tc>
      </w:tr>
      <w:tr w:rsidR="00697429" w:rsidRPr="00092862" w14:paraId="3836302A" w14:textId="77777777" w:rsidTr="00C54C73">
        <w:trPr>
          <w:jc w:val="center"/>
        </w:trPr>
        <w:tc>
          <w:tcPr>
            <w:tcW w:w="428" w:type="pct"/>
            <w:vAlign w:val="center"/>
          </w:tcPr>
          <w:p w14:paraId="1C9877DF" w14:textId="77777777" w:rsidR="00450025" w:rsidRPr="00092862" w:rsidRDefault="00450025" w:rsidP="00C54C73">
            <w:pPr>
              <w:pStyle w:val="1L"/>
              <w:rPr>
                <w:color w:val="000000" w:themeColor="text1"/>
              </w:rPr>
            </w:pPr>
            <w:r w:rsidRPr="00092862">
              <w:rPr>
                <w:color w:val="000000" w:themeColor="text1"/>
              </w:rPr>
              <w:t>4</w:t>
            </w:r>
          </w:p>
        </w:tc>
        <w:tc>
          <w:tcPr>
            <w:tcW w:w="700" w:type="pct"/>
            <w:vAlign w:val="center"/>
          </w:tcPr>
          <w:p w14:paraId="203B712B" w14:textId="77777777" w:rsidR="00450025" w:rsidRPr="00092862" w:rsidRDefault="00450025" w:rsidP="00C54C73">
            <w:pPr>
              <w:pStyle w:val="1L"/>
              <w:rPr>
                <w:color w:val="000000" w:themeColor="text1"/>
              </w:rPr>
            </w:pPr>
            <w:r w:rsidRPr="00092862">
              <w:rPr>
                <w:color w:val="000000" w:themeColor="text1"/>
              </w:rPr>
              <w:t>应急救援</w:t>
            </w:r>
          </w:p>
          <w:p w14:paraId="23713938" w14:textId="77777777" w:rsidR="00450025" w:rsidRPr="00092862" w:rsidRDefault="00450025" w:rsidP="00C54C73">
            <w:pPr>
              <w:pStyle w:val="1L"/>
              <w:rPr>
                <w:color w:val="000000" w:themeColor="text1"/>
              </w:rPr>
            </w:pPr>
            <w:r w:rsidRPr="00092862">
              <w:rPr>
                <w:color w:val="000000" w:themeColor="text1"/>
              </w:rPr>
              <w:t>保障</w:t>
            </w:r>
          </w:p>
        </w:tc>
        <w:tc>
          <w:tcPr>
            <w:tcW w:w="3872" w:type="pct"/>
            <w:vAlign w:val="center"/>
          </w:tcPr>
          <w:p w14:paraId="49ACCE78" w14:textId="77777777" w:rsidR="00450025" w:rsidRPr="00092862" w:rsidRDefault="00450025" w:rsidP="00C54C73">
            <w:pPr>
              <w:pStyle w:val="1L"/>
              <w:jc w:val="left"/>
              <w:rPr>
                <w:color w:val="000000" w:themeColor="text1"/>
              </w:rPr>
            </w:pPr>
            <w:r w:rsidRPr="00092862">
              <w:rPr>
                <w:color w:val="000000" w:themeColor="text1"/>
              </w:rPr>
              <w:t>应急设施，设备与器材等：</w:t>
            </w:r>
          </w:p>
          <w:p w14:paraId="0579A31F" w14:textId="77777777" w:rsidR="00450025" w:rsidRPr="00092862" w:rsidRDefault="00450025" w:rsidP="00C54C73">
            <w:pPr>
              <w:pStyle w:val="1L"/>
              <w:jc w:val="left"/>
              <w:rPr>
                <w:color w:val="000000" w:themeColor="text1"/>
              </w:rPr>
            </w:pPr>
            <w:r w:rsidRPr="00092862">
              <w:rPr>
                <w:color w:val="000000" w:themeColor="text1"/>
              </w:rPr>
              <w:t>井场配备</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测试、防毒、医疗、消防、疏散等应急设施。</w:t>
            </w:r>
          </w:p>
          <w:p w14:paraId="2673815A" w14:textId="77777777" w:rsidR="00450025" w:rsidRPr="00092862" w:rsidRDefault="00450025" w:rsidP="00C54C73">
            <w:pPr>
              <w:pStyle w:val="1L"/>
              <w:jc w:val="left"/>
              <w:rPr>
                <w:color w:val="000000" w:themeColor="text1"/>
              </w:rPr>
            </w:pPr>
            <w:r w:rsidRPr="00092862">
              <w:rPr>
                <w:color w:val="000000" w:themeColor="text1"/>
              </w:rPr>
              <w:t>钻开气层前通知当地医院、消防队等方面救援保障力量以及钻井队主管部门、普光分公司的应急救援单位。</w:t>
            </w:r>
          </w:p>
        </w:tc>
      </w:tr>
      <w:tr w:rsidR="00697429" w:rsidRPr="00092862" w14:paraId="4B86840C" w14:textId="77777777" w:rsidTr="00C54C73">
        <w:trPr>
          <w:jc w:val="center"/>
        </w:trPr>
        <w:tc>
          <w:tcPr>
            <w:tcW w:w="428" w:type="pct"/>
            <w:vAlign w:val="center"/>
          </w:tcPr>
          <w:p w14:paraId="11E28644" w14:textId="77777777" w:rsidR="00450025" w:rsidRPr="00092862" w:rsidRDefault="00450025" w:rsidP="00C54C73">
            <w:pPr>
              <w:pStyle w:val="1L"/>
              <w:rPr>
                <w:color w:val="000000" w:themeColor="text1"/>
              </w:rPr>
            </w:pPr>
            <w:r w:rsidRPr="00092862">
              <w:rPr>
                <w:color w:val="000000" w:themeColor="text1"/>
              </w:rPr>
              <w:t>5</w:t>
            </w:r>
          </w:p>
        </w:tc>
        <w:tc>
          <w:tcPr>
            <w:tcW w:w="700" w:type="pct"/>
            <w:vAlign w:val="center"/>
          </w:tcPr>
          <w:p w14:paraId="3A458B5C" w14:textId="77777777" w:rsidR="00450025" w:rsidRPr="00092862" w:rsidRDefault="00450025" w:rsidP="00C54C73">
            <w:pPr>
              <w:pStyle w:val="1L"/>
              <w:rPr>
                <w:color w:val="000000" w:themeColor="text1"/>
              </w:rPr>
            </w:pPr>
            <w:r w:rsidRPr="00092862">
              <w:rPr>
                <w:color w:val="000000" w:themeColor="text1"/>
              </w:rPr>
              <w:t>报警、通讯联络方式</w:t>
            </w:r>
          </w:p>
        </w:tc>
        <w:tc>
          <w:tcPr>
            <w:tcW w:w="3872" w:type="pct"/>
            <w:vAlign w:val="center"/>
          </w:tcPr>
          <w:p w14:paraId="19002C27" w14:textId="77777777" w:rsidR="00450025" w:rsidRPr="00092862" w:rsidRDefault="00450025" w:rsidP="00C54C73">
            <w:pPr>
              <w:pStyle w:val="1L"/>
              <w:jc w:val="left"/>
              <w:rPr>
                <w:color w:val="000000" w:themeColor="text1"/>
              </w:rPr>
            </w:pPr>
            <w:r w:rsidRPr="00092862">
              <w:rPr>
                <w:color w:val="000000" w:themeColor="text1"/>
              </w:rPr>
              <w:t>规定应急状态下的报警通讯方式、通知方式和交通保障、管制：</w:t>
            </w:r>
          </w:p>
          <w:p w14:paraId="36AAA4F1" w14:textId="77777777" w:rsidR="00450025" w:rsidRPr="00092862" w:rsidRDefault="00450025" w:rsidP="00C54C73">
            <w:pPr>
              <w:pStyle w:val="1L"/>
              <w:jc w:val="left"/>
              <w:rPr>
                <w:color w:val="000000" w:themeColor="text1"/>
              </w:rPr>
            </w:pPr>
            <w:r w:rsidRPr="00092862">
              <w:rPr>
                <w:color w:val="000000" w:themeColor="text1"/>
              </w:rPr>
              <w:t>协调井队通过广播系统和电话通知。至少在</w:t>
            </w:r>
            <w:r w:rsidRPr="00092862">
              <w:rPr>
                <w:color w:val="000000" w:themeColor="text1"/>
              </w:rPr>
              <w:t>1</w:t>
            </w:r>
            <w:r w:rsidRPr="00092862">
              <w:rPr>
                <w:color w:val="000000" w:themeColor="text1"/>
              </w:rPr>
              <w:t>个小组设</w:t>
            </w:r>
            <w:r w:rsidRPr="00092862">
              <w:rPr>
                <w:color w:val="000000" w:themeColor="text1"/>
              </w:rPr>
              <w:t>2</w:t>
            </w:r>
            <w:r w:rsidRPr="00092862">
              <w:rPr>
                <w:color w:val="000000" w:themeColor="text1"/>
              </w:rPr>
              <w:t>个电话联络点。小组通知人员应指定</w:t>
            </w:r>
            <w:r w:rsidRPr="00092862">
              <w:rPr>
                <w:color w:val="000000" w:themeColor="text1"/>
              </w:rPr>
              <w:t>4</w:t>
            </w:r>
            <w:r w:rsidRPr="00092862">
              <w:rPr>
                <w:color w:val="000000" w:themeColor="text1"/>
              </w:rPr>
              <w:t>人负责通知本小组内的居民。并电话通知当地交警队负责交通保障、管制，不允许非救援车辆进入危险井口周边区域。</w:t>
            </w:r>
          </w:p>
        </w:tc>
      </w:tr>
      <w:tr w:rsidR="00697429" w:rsidRPr="00092862" w14:paraId="245B1C69" w14:textId="77777777" w:rsidTr="00C54C73">
        <w:trPr>
          <w:trHeight w:val="63"/>
          <w:jc w:val="center"/>
        </w:trPr>
        <w:tc>
          <w:tcPr>
            <w:tcW w:w="428" w:type="pct"/>
            <w:vAlign w:val="center"/>
          </w:tcPr>
          <w:p w14:paraId="028499AE" w14:textId="77777777" w:rsidR="00450025" w:rsidRPr="00092862" w:rsidRDefault="00450025" w:rsidP="00C54C73">
            <w:pPr>
              <w:pStyle w:val="1L"/>
              <w:rPr>
                <w:color w:val="000000" w:themeColor="text1"/>
              </w:rPr>
            </w:pPr>
            <w:r w:rsidRPr="00092862">
              <w:rPr>
                <w:color w:val="000000" w:themeColor="text1"/>
              </w:rPr>
              <w:t>6</w:t>
            </w:r>
          </w:p>
        </w:tc>
        <w:tc>
          <w:tcPr>
            <w:tcW w:w="700" w:type="pct"/>
            <w:vAlign w:val="center"/>
          </w:tcPr>
          <w:p w14:paraId="3408491B" w14:textId="77777777" w:rsidR="00450025" w:rsidRPr="00092862" w:rsidRDefault="00450025" w:rsidP="00C54C73">
            <w:pPr>
              <w:pStyle w:val="1L"/>
              <w:rPr>
                <w:color w:val="000000" w:themeColor="text1"/>
              </w:rPr>
            </w:pPr>
            <w:r w:rsidRPr="00092862">
              <w:rPr>
                <w:color w:val="000000" w:themeColor="text1"/>
              </w:rPr>
              <w:t>应急环境监测、抢险、救援及控制</w:t>
            </w:r>
          </w:p>
          <w:p w14:paraId="3CE960AF" w14:textId="77777777" w:rsidR="00450025" w:rsidRPr="00092862" w:rsidRDefault="00450025" w:rsidP="00C54C73">
            <w:pPr>
              <w:pStyle w:val="1L"/>
              <w:rPr>
                <w:color w:val="000000" w:themeColor="text1"/>
              </w:rPr>
            </w:pPr>
            <w:r w:rsidRPr="00092862">
              <w:rPr>
                <w:color w:val="000000" w:themeColor="text1"/>
              </w:rPr>
              <w:t>措施</w:t>
            </w:r>
          </w:p>
        </w:tc>
        <w:tc>
          <w:tcPr>
            <w:tcW w:w="3872" w:type="pct"/>
            <w:vAlign w:val="center"/>
          </w:tcPr>
          <w:p w14:paraId="602EFC2E" w14:textId="77777777" w:rsidR="00450025" w:rsidRPr="00092862" w:rsidRDefault="00450025" w:rsidP="00C54C73">
            <w:pPr>
              <w:pStyle w:val="1L"/>
              <w:jc w:val="left"/>
              <w:rPr>
                <w:color w:val="000000" w:themeColor="text1"/>
              </w:rPr>
            </w:pPr>
            <w:r w:rsidRPr="00092862">
              <w:rPr>
                <w:color w:val="000000" w:themeColor="text1"/>
              </w:rPr>
              <w:t>环境应急监测可组织协调当地环境监测中心站。</w:t>
            </w:r>
          </w:p>
          <w:p w14:paraId="058D4C0D" w14:textId="77777777" w:rsidR="00450025" w:rsidRPr="00092862" w:rsidRDefault="00450025" w:rsidP="00C54C73">
            <w:pPr>
              <w:pStyle w:val="1L"/>
              <w:jc w:val="left"/>
              <w:rPr>
                <w:color w:val="000000" w:themeColor="text1"/>
              </w:rPr>
            </w:pPr>
            <w:r w:rsidRPr="00092862">
              <w:rPr>
                <w:color w:val="000000" w:themeColor="text1"/>
              </w:rPr>
              <w:t>抢险、救援组织协调当地消防队、医院和钻井主管部门及普光分公司的应急队伍。</w:t>
            </w:r>
          </w:p>
          <w:p w14:paraId="18AB5250" w14:textId="77777777" w:rsidR="00450025" w:rsidRPr="00092862" w:rsidRDefault="00450025" w:rsidP="00C54C73">
            <w:pPr>
              <w:pStyle w:val="1L"/>
              <w:jc w:val="left"/>
              <w:rPr>
                <w:color w:val="000000" w:themeColor="text1"/>
              </w:rPr>
            </w:pPr>
            <w:r w:rsidRPr="00092862">
              <w:rPr>
                <w:color w:val="000000" w:themeColor="text1"/>
              </w:rPr>
              <w:t>控制措施主要由钻井队和其管理部门、普光分公司等部门共同协商控制。</w:t>
            </w:r>
          </w:p>
          <w:p w14:paraId="7F817464" w14:textId="77777777" w:rsidR="00450025" w:rsidRPr="00092862" w:rsidRDefault="00450025" w:rsidP="00C54C73">
            <w:pPr>
              <w:pStyle w:val="1L"/>
              <w:jc w:val="left"/>
              <w:rPr>
                <w:color w:val="000000" w:themeColor="text1"/>
              </w:rPr>
            </w:pPr>
            <w:r w:rsidRPr="00092862">
              <w:rPr>
                <w:color w:val="000000" w:themeColor="text1"/>
              </w:rPr>
              <w:t>井喷失控的关键控制措施：应立即组织撤离井口周边</w:t>
            </w:r>
            <w:r w:rsidRPr="00092862">
              <w:rPr>
                <w:color w:val="000000" w:themeColor="text1"/>
              </w:rPr>
              <w:t>2220m</w:t>
            </w:r>
            <w:r w:rsidRPr="00092862">
              <w:rPr>
                <w:color w:val="000000" w:themeColor="text1"/>
              </w:rPr>
              <w:t>（或</w:t>
            </w:r>
            <w:r w:rsidRPr="00092862">
              <w:rPr>
                <w:color w:val="000000" w:themeColor="text1"/>
              </w:rPr>
              <w:t>5000m</w:t>
            </w:r>
            <w:r w:rsidRPr="00092862">
              <w:rPr>
                <w:color w:val="000000" w:themeColor="text1"/>
              </w:rPr>
              <w:t>）的居民。同时保证井喷失控在</w:t>
            </w:r>
            <w:r w:rsidRPr="00092862">
              <w:rPr>
                <w:color w:val="000000" w:themeColor="text1"/>
              </w:rPr>
              <w:t>15min</w:t>
            </w:r>
            <w:r w:rsidRPr="00092862">
              <w:rPr>
                <w:color w:val="000000" w:themeColor="text1"/>
              </w:rPr>
              <w:t>内点火，燃烧泄漏天</w:t>
            </w:r>
            <w:r w:rsidRPr="00092862">
              <w:rPr>
                <w:color w:val="000000" w:themeColor="text1"/>
              </w:rPr>
              <w:lastRenderedPageBreak/>
              <w:t>然气。</w:t>
            </w:r>
          </w:p>
        </w:tc>
      </w:tr>
      <w:tr w:rsidR="00697429" w:rsidRPr="00092862" w14:paraId="21425070" w14:textId="77777777" w:rsidTr="00C54C73">
        <w:trPr>
          <w:jc w:val="center"/>
        </w:trPr>
        <w:tc>
          <w:tcPr>
            <w:tcW w:w="428" w:type="pct"/>
            <w:vAlign w:val="center"/>
          </w:tcPr>
          <w:p w14:paraId="565DBA31" w14:textId="77777777" w:rsidR="00450025" w:rsidRPr="00092862" w:rsidRDefault="00450025" w:rsidP="00C54C73">
            <w:pPr>
              <w:pStyle w:val="1L"/>
              <w:rPr>
                <w:color w:val="000000" w:themeColor="text1"/>
              </w:rPr>
            </w:pPr>
            <w:r w:rsidRPr="00092862">
              <w:rPr>
                <w:color w:val="000000" w:themeColor="text1"/>
              </w:rPr>
              <w:lastRenderedPageBreak/>
              <w:t>7</w:t>
            </w:r>
          </w:p>
        </w:tc>
        <w:tc>
          <w:tcPr>
            <w:tcW w:w="700" w:type="pct"/>
            <w:vAlign w:val="center"/>
          </w:tcPr>
          <w:p w14:paraId="64BCBFAB" w14:textId="77777777" w:rsidR="00450025" w:rsidRPr="00092862" w:rsidRDefault="00450025" w:rsidP="00C54C73">
            <w:pPr>
              <w:pStyle w:val="1L"/>
              <w:rPr>
                <w:color w:val="000000" w:themeColor="text1"/>
              </w:rPr>
            </w:pPr>
            <w:r w:rsidRPr="00092862">
              <w:rPr>
                <w:color w:val="000000" w:themeColor="text1"/>
              </w:rPr>
              <w:t>应急检测、防护措施、清除泄漏措施和器材</w:t>
            </w:r>
          </w:p>
        </w:tc>
        <w:tc>
          <w:tcPr>
            <w:tcW w:w="3872" w:type="pct"/>
            <w:vAlign w:val="center"/>
          </w:tcPr>
          <w:p w14:paraId="3811E31B" w14:textId="77777777" w:rsidR="00450025" w:rsidRPr="00092862" w:rsidRDefault="00450025" w:rsidP="00C54C73">
            <w:pPr>
              <w:pStyle w:val="1L"/>
              <w:jc w:val="left"/>
              <w:rPr>
                <w:color w:val="000000" w:themeColor="text1"/>
              </w:rPr>
            </w:pPr>
            <w:r w:rsidRPr="00092862">
              <w:rPr>
                <w:color w:val="000000" w:themeColor="text1"/>
              </w:rPr>
              <w:t>应急检测、防护采用井队配备的设备和消防队伍的设备，必要可增加普光分公司、钻井队主管部门的检测防护设备。清除泄漏必要时可通过消防车喷雾状水溶解将大气污染物转化为地表水污染物。</w:t>
            </w:r>
          </w:p>
        </w:tc>
      </w:tr>
      <w:tr w:rsidR="00697429" w:rsidRPr="00092862" w14:paraId="698D08EF" w14:textId="77777777" w:rsidTr="00C54C73">
        <w:trPr>
          <w:jc w:val="center"/>
        </w:trPr>
        <w:tc>
          <w:tcPr>
            <w:tcW w:w="428" w:type="pct"/>
            <w:vAlign w:val="center"/>
          </w:tcPr>
          <w:p w14:paraId="0814930F" w14:textId="77777777" w:rsidR="00450025" w:rsidRPr="00092862" w:rsidRDefault="00450025" w:rsidP="00C54C73">
            <w:pPr>
              <w:pStyle w:val="1L"/>
              <w:rPr>
                <w:color w:val="000000" w:themeColor="text1"/>
              </w:rPr>
            </w:pPr>
            <w:r w:rsidRPr="00092862">
              <w:rPr>
                <w:color w:val="000000" w:themeColor="text1"/>
              </w:rPr>
              <w:t>8</w:t>
            </w:r>
          </w:p>
        </w:tc>
        <w:tc>
          <w:tcPr>
            <w:tcW w:w="700" w:type="pct"/>
            <w:vAlign w:val="center"/>
          </w:tcPr>
          <w:p w14:paraId="185A6D09" w14:textId="77777777" w:rsidR="00450025" w:rsidRPr="00092862" w:rsidRDefault="00450025" w:rsidP="00C54C73">
            <w:pPr>
              <w:pStyle w:val="1L"/>
              <w:rPr>
                <w:color w:val="000000" w:themeColor="text1"/>
              </w:rPr>
            </w:pPr>
            <w:r w:rsidRPr="00092862">
              <w:rPr>
                <w:color w:val="000000" w:themeColor="text1"/>
              </w:rPr>
              <w:t>人员紧急撤离、疏散，应急剂量控制、撤离组织计划</w:t>
            </w:r>
          </w:p>
        </w:tc>
        <w:tc>
          <w:tcPr>
            <w:tcW w:w="3872" w:type="pct"/>
            <w:vAlign w:val="center"/>
          </w:tcPr>
          <w:p w14:paraId="6015A9CA" w14:textId="77777777" w:rsidR="00450025" w:rsidRPr="00092862" w:rsidRDefault="00450025" w:rsidP="00C54C73">
            <w:pPr>
              <w:pStyle w:val="1L"/>
              <w:jc w:val="left"/>
              <w:rPr>
                <w:color w:val="000000" w:themeColor="text1"/>
              </w:rPr>
            </w:pPr>
            <w:r w:rsidRPr="00092862">
              <w:rPr>
                <w:color w:val="000000" w:themeColor="text1"/>
              </w:rPr>
              <w:t>紧急撤离区：井口外</w:t>
            </w:r>
            <w:r w:rsidRPr="00092862">
              <w:rPr>
                <w:color w:val="000000" w:themeColor="text1"/>
              </w:rPr>
              <w:t>2220m</w:t>
            </w:r>
            <w:r w:rsidRPr="00092862">
              <w:rPr>
                <w:color w:val="000000" w:themeColor="text1"/>
              </w:rPr>
              <w:t>（或</w:t>
            </w:r>
            <w:r w:rsidRPr="00092862">
              <w:rPr>
                <w:color w:val="000000" w:themeColor="text1"/>
              </w:rPr>
              <w:t>5000m</w:t>
            </w:r>
            <w:r w:rsidRPr="00092862">
              <w:rPr>
                <w:color w:val="000000" w:themeColor="text1"/>
              </w:rPr>
              <w:t>）范围为紧急撤离区。撤离路线应根据钻井井场风向标，沿发生事故时的上风向方向或侧风向远离事故源方向撤离。通过高音喇叭、广播、电话及时通知周边各户居民，保证全部及时通知撤离。</w:t>
            </w:r>
          </w:p>
          <w:p w14:paraId="3A1F9B13" w14:textId="77777777" w:rsidR="00450025" w:rsidRPr="00092862" w:rsidRDefault="00450025" w:rsidP="00C54C73">
            <w:pPr>
              <w:pStyle w:val="1L"/>
              <w:jc w:val="left"/>
              <w:rPr>
                <w:color w:val="000000" w:themeColor="text1"/>
              </w:rPr>
            </w:pPr>
            <w:r w:rsidRPr="00092862">
              <w:rPr>
                <w:color w:val="000000" w:themeColor="text1"/>
              </w:rPr>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w:t>
            </w:r>
            <w:r w:rsidRPr="00092862">
              <w:rPr>
                <w:color w:val="000000" w:themeColor="text1"/>
              </w:rPr>
              <w:t>2</w:t>
            </w:r>
            <w:r w:rsidRPr="00092862">
              <w:rPr>
                <w:color w:val="000000" w:themeColor="text1"/>
              </w:rPr>
              <w:t>个联络点。小组负责人指定</w:t>
            </w:r>
            <w:r w:rsidRPr="00092862">
              <w:rPr>
                <w:color w:val="000000" w:themeColor="text1"/>
              </w:rPr>
              <w:t>4</w:t>
            </w:r>
            <w:r w:rsidRPr="00092862">
              <w:rPr>
                <w:color w:val="000000" w:themeColor="text1"/>
              </w:rPr>
              <w:t>人负责通知小组内的居民。</w:t>
            </w:r>
          </w:p>
        </w:tc>
      </w:tr>
      <w:tr w:rsidR="00697429" w:rsidRPr="00092862" w14:paraId="0380A2C8" w14:textId="77777777" w:rsidTr="00C54C73">
        <w:trPr>
          <w:jc w:val="center"/>
        </w:trPr>
        <w:tc>
          <w:tcPr>
            <w:tcW w:w="428" w:type="pct"/>
            <w:vAlign w:val="center"/>
          </w:tcPr>
          <w:p w14:paraId="629C9B47" w14:textId="77777777" w:rsidR="00450025" w:rsidRPr="00092862" w:rsidRDefault="00450025" w:rsidP="00C54C73">
            <w:pPr>
              <w:pStyle w:val="1L"/>
              <w:rPr>
                <w:color w:val="000000" w:themeColor="text1"/>
              </w:rPr>
            </w:pPr>
            <w:r w:rsidRPr="00092862">
              <w:rPr>
                <w:color w:val="000000" w:themeColor="text1"/>
              </w:rPr>
              <w:t>9</w:t>
            </w:r>
          </w:p>
        </w:tc>
        <w:tc>
          <w:tcPr>
            <w:tcW w:w="700" w:type="pct"/>
            <w:vAlign w:val="center"/>
          </w:tcPr>
          <w:p w14:paraId="2CFDE68F" w14:textId="77777777" w:rsidR="00450025" w:rsidRPr="00092862" w:rsidRDefault="00450025" w:rsidP="00C54C73">
            <w:pPr>
              <w:pStyle w:val="1L"/>
              <w:rPr>
                <w:color w:val="000000" w:themeColor="text1"/>
              </w:rPr>
            </w:pPr>
            <w:r w:rsidRPr="00092862">
              <w:rPr>
                <w:color w:val="000000" w:themeColor="text1"/>
              </w:rPr>
              <w:t>事故应急救援关闭程序与恢复措施</w:t>
            </w:r>
          </w:p>
        </w:tc>
        <w:tc>
          <w:tcPr>
            <w:tcW w:w="3872" w:type="pct"/>
            <w:vAlign w:val="center"/>
          </w:tcPr>
          <w:p w14:paraId="2382C7C7" w14:textId="77777777" w:rsidR="00450025" w:rsidRPr="00092862" w:rsidRDefault="00450025" w:rsidP="00C54C73">
            <w:pPr>
              <w:pStyle w:val="1L"/>
              <w:jc w:val="left"/>
              <w:rPr>
                <w:color w:val="000000" w:themeColor="text1"/>
              </w:rPr>
            </w:pPr>
            <w:r w:rsidRPr="00092862">
              <w:rPr>
                <w:color w:val="000000" w:themeColor="text1"/>
              </w:rPr>
              <w:t>规定应急状态终止程序事故现场善后处理，恢复措施邻近区域解除事故警戒及善后恢复措施</w:t>
            </w:r>
          </w:p>
          <w:p w14:paraId="6B36F03C" w14:textId="77777777" w:rsidR="00450025" w:rsidRPr="00092862" w:rsidRDefault="00450025" w:rsidP="00C54C73">
            <w:pPr>
              <w:pStyle w:val="1L"/>
              <w:jc w:val="left"/>
              <w:rPr>
                <w:color w:val="000000" w:themeColor="text1"/>
              </w:rPr>
            </w:pPr>
            <w:r w:rsidRPr="00092862">
              <w:rPr>
                <w:color w:val="000000" w:themeColor="text1"/>
              </w:rPr>
              <w:t>（</w:t>
            </w:r>
            <w:r w:rsidRPr="00092862">
              <w:rPr>
                <w:color w:val="000000" w:themeColor="text1"/>
              </w:rPr>
              <w:t>1</w:t>
            </w:r>
            <w:r w:rsidRPr="00092862">
              <w:rPr>
                <w:color w:val="000000" w:themeColor="text1"/>
              </w:rPr>
              <w:t>）井喷失控得到控制，伤亡人员得到全部救援和安置，危险区域的居民全部撤离。</w:t>
            </w:r>
          </w:p>
          <w:p w14:paraId="35AB30EC" w14:textId="77777777" w:rsidR="00450025" w:rsidRPr="00092862" w:rsidRDefault="00450025" w:rsidP="00C54C73">
            <w:pPr>
              <w:pStyle w:val="1L"/>
              <w:jc w:val="left"/>
              <w:rPr>
                <w:color w:val="000000" w:themeColor="text1"/>
              </w:rPr>
            </w:pPr>
            <w:r w:rsidRPr="00092862">
              <w:rPr>
                <w:color w:val="000000" w:themeColor="text1"/>
              </w:rPr>
              <w:t>（</w:t>
            </w:r>
            <w:r w:rsidRPr="00092862">
              <w:rPr>
                <w:color w:val="000000" w:themeColor="text1"/>
              </w:rPr>
              <w:t>2</w:t>
            </w:r>
            <w:r w:rsidRPr="00092862">
              <w:rPr>
                <w:color w:val="000000" w:themeColor="text1"/>
              </w:rPr>
              <w:t>）恢复措施：对事故伤亡情况进行统计，应做好详细的记录并存档。行政领导组应尽快协调各部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w:t>
            </w:r>
            <w:r w:rsidRPr="00092862">
              <w:rPr>
                <w:color w:val="000000" w:themeColor="text1"/>
              </w:rPr>
              <w:t>“</w:t>
            </w:r>
            <w:r w:rsidRPr="00092862">
              <w:rPr>
                <w:color w:val="000000" w:themeColor="text1"/>
              </w:rPr>
              <w:t>四不放过</w:t>
            </w:r>
            <w:r w:rsidRPr="00092862">
              <w:rPr>
                <w:color w:val="000000" w:themeColor="text1"/>
              </w:rPr>
              <w:t>”</w:t>
            </w:r>
            <w:r w:rsidRPr="00092862">
              <w:rPr>
                <w:color w:val="000000" w:themeColor="text1"/>
              </w:rPr>
              <w:t>的原则进行事故处理；做出事故调查报告，同时总结事件教训，实行安全事故的教育培训，杜绝类似事件的再次发生。</w:t>
            </w:r>
          </w:p>
        </w:tc>
      </w:tr>
      <w:tr w:rsidR="00697429" w:rsidRPr="00092862" w14:paraId="7D061BEA" w14:textId="77777777" w:rsidTr="00C54C73">
        <w:trPr>
          <w:jc w:val="center"/>
        </w:trPr>
        <w:tc>
          <w:tcPr>
            <w:tcW w:w="428" w:type="pct"/>
            <w:vAlign w:val="center"/>
          </w:tcPr>
          <w:p w14:paraId="78F18C59" w14:textId="77777777" w:rsidR="00450025" w:rsidRPr="00092862" w:rsidRDefault="00450025" w:rsidP="00C54C73">
            <w:pPr>
              <w:pStyle w:val="1L"/>
              <w:rPr>
                <w:color w:val="000000" w:themeColor="text1"/>
              </w:rPr>
            </w:pPr>
            <w:r w:rsidRPr="00092862">
              <w:rPr>
                <w:color w:val="000000" w:themeColor="text1"/>
              </w:rPr>
              <w:t>10</w:t>
            </w:r>
          </w:p>
        </w:tc>
        <w:tc>
          <w:tcPr>
            <w:tcW w:w="700" w:type="pct"/>
            <w:vAlign w:val="center"/>
          </w:tcPr>
          <w:p w14:paraId="65A22D4A" w14:textId="77777777" w:rsidR="00450025" w:rsidRPr="00092862" w:rsidRDefault="00450025" w:rsidP="00C54C73">
            <w:pPr>
              <w:pStyle w:val="1L"/>
              <w:rPr>
                <w:color w:val="000000" w:themeColor="text1"/>
              </w:rPr>
            </w:pPr>
            <w:r w:rsidRPr="00092862">
              <w:rPr>
                <w:color w:val="000000" w:themeColor="text1"/>
              </w:rPr>
              <w:t>应急培训</w:t>
            </w:r>
          </w:p>
          <w:p w14:paraId="19B04C92" w14:textId="77777777" w:rsidR="00450025" w:rsidRPr="00092862" w:rsidRDefault="00450025" w:rsidP="00C54C73">
            <w:pPr>
              <w:pStyle w:val="1L"/>
              <w:rPr>
                <w:color w:val="000000" w:themeColor="text1"/>
              </w:rPr>
            </w:pPr>
            <w:r w:rsidRPr="00092862">
              <w:rPr>
                <w:color w:val="000000" w:themeColor="text1"/>
              </w:rPr>
              <w:t>计划</w:t>
            </w:r>
          </w:p>
        </w:tc>
        <w:tc>
          <w:tcPr>
            <w:tcW w:w="3872" w:type="pct"/>
            <w:vAlign w:val="center"/>
          </w:tcPr>
          <w:p w14:paraId="1B764AF8" w14:textId="77777777" w:rsidR="00450025" w:rsidRPr="00092862" w:rsidRDefault="00450025" w:rsidP="00C54C73">
            <w:pPr>
              <w:pStyle w:val="1L"/>
              <w:jc w:val="left"/>
              <w:rPr>
                <w:color w:val="000000" w:themeColor="text1"/>
              </w:rPr>
            </w:pPr>
            <w:r w:rsidRPr="00092862">
              <w:rPr>
                <w:color w:val="000000" w:themeColor="text1"/>
              </w:rPr>
              <w:t>应急计划制定后，平时安排人员培训与演练：</w:t>
            </w:r>
          </w:p>
          <w:p w14:paraId="2426BBFA" w14:textId="77777777" w:rsidR="00450025" w:rsidRPr="00092862" w:rsidRDefault="00450025" w:rsidP="00C54C73">
            <w:pPr>
              <w:pStyle w:val="1L"/>
              <w:jc w:val="left"/>
              <w:rPr>
                <w:color w:val="000000" w:themeColor="text1"/>
              </w:rPr>
            </w:pPr>
            <w:r w:rsidRPr="00092862">
              <w:rPr>
                <w:color w:val="000000" w:themeColor="text1"/>
              </w:rPr>
              <w:t>着重在钻含气层前的演练，把井口周边</w:t>
            </w:r>
            <w:r w:rsidRPr="00092862">
              <w:rPr>
                <w:color w:val="000000" w:themeColor="text1"/>
              </w:rPr>
              <w:t>2220m</w:t>
            </w:r>
            <w:r w:rsidRPr="00092862">
              <w:rPr>
                <w:color w:val="000000" w:themeColor="text1"/>
              </w:rPr>
              <w:t>（或</w:t>
            </w:r>
            <w:r w:rsidRPr="00092862">
              <w:rPr>
                <w:color w:val="000000" w:themeColor="text1"/>
              </w:rPr>
              <w:t>5000m</w:t>
            </w:r>
            <w:r w:rsidRPr="00092862">
              <w:rPr>
                <w:color w:val="000000" w:themeColor="text1"/>
              </w:rPr>
              <w:t>）范围内居民纳入培训、演练队伍。井队安全监督要对井队全体员工进行应急救援培训，提高员工的应急救援能力。加强对组织人员向井场附近居民宣传</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和井喷的危害及相关知识。井队队长及安全员负责指定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rsidR="00697429" w:rsidRPr="00092862" w14:paraId="567F1789" w14:textId="77777777" w:rsidTr="00C54C73">
        <w:trPr>
          <w:jc w:val="center"/>
        </w:trPr>
        <w:tc>
          <w:tcPr>
            <w:tcW w:w="428" w:type="pct"/>
            <w:vAlign w:val="center"/>
          </w:tcPr>
          <w:p w14:paraId="6E69E5C1" w14:textId="77777777" w:rsidR="00450025" w:rsidRPr="00092862" w:rsidRDefault="00450025" w:rsidP="00C54C73">
            <w:pPr>
              <w:pStyle w:val="1L"/>
              <w:rPr>
                <w:color w:val="000000" w:themeColor="text1"/>
              </w:rPr>
            </w:pPr>
            <w:r w:rsidRPr="00092862">
              <w:rPr>
                <w:color w:val="000000" w:themeColor="text1"/>
              </w:rPr>
              <w:t>11</w:t>
            </w:r>
          </w:p>
        </w:tc>
        <w:tc>
          <w:tcPr>
            <w:tcW w:w="700" w:type="pct"/>
            <w:vAlign w:val="center"/>
          </w:tcPr>
          <w:p w14:paraId="6F9FFFCB" w14:textId="77777777" w:rsidR="00450025" w:rsidRPr="00092862" w:rsidRDefault="00450025" w:rsidP="00C54C73">
            <w:pPr>
              <w:pStyle w:val="1L"/>
              <w:rPr>
                <w:color w:val="000000" w:themeColor="text1"/>
              </w:rPr>
            </w:pPr>
            <w:r w:rsidRPr="00092862">
              <w:rPr>
                <w:color w:val="000000" w:themeColor="text1"/>
              </w:rPr>
              <w:t>公众教育和信息</w:t>
            </w:r>
          </w:p>
        </w:tc>
        <w:tc>
          <w:tcPr>
            <w:tcW w:w="3872" w:type="pct"/>
            <w:vAlign w:val="center"/>
          </w:tcPr>
          <w:p w14:paraId="6824F120" w14:textId="77777777" w:rsidR="00450025" w:rsidRPr="00092862" w:rsidRDefault="00450025" w:rsidP="00C54C73">
            <w:pPr>
              <w:pStyle w:val="1L"/>
              <w:jc w:val="left"/>
              <w:rPr>
                <w:color w:val="000000" w:themeColor="text1"/>
              </w:rPr>
            </w:pPr>
            <w:bookmarkStart w:id="313" w:name="OLE_LINK417"/>
            <w:bookmarkStart w:id="314" w:name="OLE_LINK418"/>
            <w:r w:rsidRPr="00092862">
              <w:rPr>
                <w:color w:val="000000" w:themeColor="text1"/>
              </w:rPr>
              <w:t>对井场邻近地区开展公众教育、培训和发布有关信息：</w:t>
            </w:r>
            <w:bookmarkEnd w:id="313"/>
            <w:bookmarkEnd w:id="314"/>
          </w:p>
          <w:p w14:paraId="6C43457E" w14:textId="77777777" w:rsidR="00450025" w:rsidRPr="00092862" w:rsidRDefault="00450025" w:rsidP="00C54C73">
            <w:pPr>
              <w:pStyle w:val="1L"/>
              <w:jc w:val="left"/>
              <w:rPr>
                <w:color w:val="000000" w:themeColor="text1"/>
              </w:rPr>
            </w:pPr>
            <w:r w:rsidRPr="00092862">
              <w:rPr>
                <w:color w:val="000000" w:themeColor="text1"/>
              </w:rPr>
              <w:t>安全距离内居民进行公众教育，发宣传册。钻井工程前，要向可能危及居民安全范围内进行</w:t>
            </w:r>
            <w:r w:rsidRPr="00092862">
              <w:rPr>
                <w:color w:val="000000" w:themeColor="text1"/>
              </w:rPr>
              <w:t>H</w:t>
            </w:r>
            <w:r w:rsidRPr="00092862">
              <w:rPr>
                <w:color w:val="000000" w:themeColor="text1"/>
                <w:vertAlign w:val="subscript"/>
              </w:rPr>
              <w:t>2</w:t>
            </w:r>
            <w:r w:rsidRPr="00092862">
              <w:rPr>
                <w:color w:val="000000" w:themeColor="text1"/>
              </w:rPr>
              <w:t>S</w:t>
            </w:r>
            <w:r w:rsidRPr="00092862">
              <w:rPr>
                <w:color w:val="000000" w:themeColor="text1"/>
              </w:rPr>
              <w:t>安全知识和遇紧急情况时的应急预案教育，提出紧急情况下的安全撤离要求。</w:t>
            </w:r>
          </w:p>
          <w:p w14:paraId="6BCDF00D" w14:textId="77777777" w:rsidR="00450025" w:rsidRPr="00092862" w:rsidRDefault="00450025" w:rsidP="00C54C73">
            <w:pPr>
              <w:pStyle w:val="1L"/>
              <w:jc w:val="left"/>
              <w:rPr>
                <w:color w:val="000000" w:themeColor="text1"/>
              </w:rPr>
            </w:pPr>
            <w:r w:rsidRPr="00092862">
              <w:rPr>
                <w:color w:val="000000" w:themeColor="text1"/>
              </w:rPr>
              <w:t>施工单位应主动联系当地政府，对紧急撤离区范围内的居民通过发放宣传册普及安全知识，内容应有危害程度、防范应急救护措施。同时应在进入含硫气层前对</w:t>
            </w:r>
            <w:r w:rsidRPr="00092862">
              <w:rPr>
                <w:color w:val="000000" w:themeColor="text1"/>
              </w:rPr>
              <w:t>2220m</w:t>
            </w:r>
            <w:r w:rsidRPr="00092862">
              <w:rPr>
                <w:color w:val="000000" w:themeColor="text1"/>
              </w:rPr>
              <w:t>（或</w:t>
            </w:r>
            <w:r w:rsidRPr="00092862">
              <w:rPr>
                <w:color w:val="000000" w:themeColor="text1"/>
              </w:rPr>
              <w:t>5000m</w:t>
            </w:r>
            <w:r w:rsidRPr="00092862">
              <w:rPr>
                <w:color w:val="000000" w:themeColor="text1"/>
              </w:rPr>
              <w:t>）范围内的居民进行应急演练一次。对一般撤离区范围居民发放宣传册普及安全知识，</w:t>
            </w:r>
            <w:r w:rsidRPr="00092862">
              <w:rPr>
                <w:color w:val="000000" w:themeColor="text1"/>
              </w:rPr>
              <w:lastRenderedPageBreak/>
              <w:t>内容应有危害程度、防范应急救护措施。</w:t>
            </w:r>
          </w:p>
        </w:tc>
      </w:tr>
      <w:tr w:rsidR="00697429" w:rsidRPr="00092862" w14:paraId="42B47401" w14:textId="77777777" w:rsidTr="00C54C73">
        <w:trPr>
          <w:jc w:val="center"/>
        </w:trPr>
        <w:tc>
          <w:tcPr>
            <w:tcW w:w="428" w:type="pct"/>
            <w:vAlign w:val="center"/>
          </w:tcPr>
          <w:p w14:paraId="64B6C380" w14:textId="77777777" w:rsidR="00450025" w:rsidRPr="00092862" w:rsidRDefault="00450025" w:rsidP="00C54C73">
            <w:pPr>
              <w:pStyle w:val="1L"/>
              <w:rPr>
                <w:color w:val="000000" w:themeColor="text1"/>
              </w:rPr>
            </w:pPr>
            <w:r w:rsidRPr="00092862">
              <w:rPr>
                <w:color w:val="000000" w:themeColor="text1"/>
              </w:rPr>
              <w:lastRenderedPageBreak/>
              <w:t>12</w:t>
            </w:r>
          </w:p>
        </w:tc>
        <w:tc>
          <w:tcPr>
            <w:tcW w:w="700" w:type="pct"/>
            <w:vAlign w:val="center"/>
          </w:tcPr>
          <w:p w14:paraId="5276F272" w14:textId="77777777" w:rsidR="00450025" w:rsidRPr="00092862" w:rsidRDefault="00450025" w:rsidP="00C54C73">
            <w:pPr>
              <w:pStyle w:val="1L"/>
              <w:rPr>
                <w:color w:val="000000" w:themeColor="text1"/>
              </w:rPr>
            </w:pPr>
            <w:r w:rsidRPr="00092862">
              <w:rPr>
                <w:color w:val="000000" w:themeColor="text1"/>
              </w:rPr>
              <w:t>夜间特别管理机制</w:t>
            </w:r>
          </w:p>
        </w:tc>
        <w:tc>
          <w:tcPr>
            <w:tcW w:w="3872" w:type="pct"/>
            <w:vAlign w:val="center"/>
          </w:tcPr>
          <w:p w14:paraId="383FDD4D" w14:textId="77777777" w:rsidR="00450025" w:rsidRPr="00092862" w:rsidRDefault="00450025" w:rsidP="00C54C73">
            <w:pPr>
              <w:pStyle w:val="1L"/>
              <w:jc w:val="left"/>
              <w:rPr>
                <w:color w:val="000000" w:themeColor="text1"/>
              </w:rPr>
            </w:pPr>
            <w:r w:rsidRPr="00092862">
              <w:rPr>
                <w:color w:val="000000" w:themeColor="text1"/>
              </w:rPr>
              <w:t>井场配备高音喇叭、防爆灯具，以便夜间事故及时通知周边较近距离的居民，防爆灯具应布置在井场内风向标处，以便井场人员和周边较近居民可判断风向，带领其他人员撤离。</w:t>
            </w:r>
          </w:p>
          <w:p w14:paraId="05199D4E" w14:textId="77777777" w:rsidR="00450025" w:rsidRPr="00092862" w:rsidRDefault="00450025" w:rsidP="00C54C73">
            <w:pPr>
              <w:pStyle w:val="1L"/>
              <w:jc w:val="left"/>
              <w:rPr>
                <w:color w:val="000000" w:themeColor="text1"/>
              </w:rPr>
            </w:pPr>
            <w:r w:rsidRPr="00092862">
              <w:rPr>
                <w:color w:val="000000" w:themeColor="text1"/>
              </w:rPr>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rsidR="00697429" w:rsidRPr="00092862" w14:paraId="2BB997EF" w14:textId="77777777" w:rsidTr="00C54C73">
        <w:trPr>
          <w:jc w:val="center"/>
        </w:trPr>
        <w:tc>
          <w:tcPr>
            <w:tcW w:w="428" w:type="pct"/>
            <w:vAlign w:val="center"/>
          </w:tcPr>
          <w:p w14:paraId="1FD32CD2" w14:textId="77777777" w:rsidR="00450025" w:rsidRPr="00092862" w:rsidRDefault="00450025" w:rsidP="00C54C73">
            <w:pPr>
              <w:pStyle w:val="1L"/>
              <w:rPr>
                <w:color w:val="000000" w:themeColor="text1"/>
              </w:rPr>
            </w:pPr>
            <w:r w:rsidRPr="00092862">
              <w:rPr>
                <w:color w:val="000000" w:themeColor="text1"/>
              </w:rPr>
              <w:t>13</w:t>
            </w:r>
          </w:p>
        </w:tc>
        <w:tc>
          <w:tcPr>
            <w:tcW w:w="700" w:type="pct"/>
            <w:vAlign w:val="center"/>
          </w:tcPr>
          <w:p w14:paraId="036B41B2" w14:textId="77777777" w:rsidR="00450025" w:rsidRPr="00092862" w:rsidRDefault="00450025" w:rsidP="00C54C73">
            <w:pPr>
              <w:pStyle w:val="1L"/>
              <w:rPr>
                <w:color w:val="000000" w:themeColor="text1"/>
              </w:rPr>
            </w:pPr>
            <w:r w:rsidRPr="00092862">
              <w:rPr>
                <w:color w:val="000000" w:themeColor="text1"/>
              </w:rPr>
              <w:t>备案</w:t>
            </w:r>
          </w:p>
        </w:tc>
        <w:tc>
          <w:tcPr>
            <w:tcW w:w="3872" w:type="pct"/>
            <w:vAlign w:val="center"/>
          </w:tcPr>
          <w:p w14:paraId="44C3EF21" w14:textId="77777777" w:rsidR="00450025" w:rsidRPr="00092862" w:rsidRDefault="00450025" w:rsidP="00C54C73">
            <w:pPr>
              <w:pStyle w:val="1L"/>
              <w:jc w:val="left"/>
              <w:rPr>
                <w:color w:val="000000" w:themeColor="text1"/>
              </w:rPr>
            </w:pPr>
            <w:r w:rsidRPr="00092862">
              <w:rPr>
                <w:color w:val="000000" w:themeColor="text1"/>
              </w:rPr>
              <w:t>将本项目钻井工程应急预案报送地方环保部门备案。</w:t>
            </w:r>
          </w:p>
        </w:tc>
      </w:tr>
    </w:tbl>
    <w:p w14:paraId="0A068897"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2</w:t>
      </w:r>
      <w:r w:rsidRPr="00092862">
        <w:rPr>
          <w:rFonts w:ascii="Times New Roman" w:eastAsia="宋体" w:hAnsi="Times New Roman" w:cs="Times New Roman"/>
          <w:b/>
          <w:color w:val="000000" w:themeColor="text1"/>
          <w:sz w:val="24"/>
        </w:rPr>
        <w:t>）宣传、培训和演习</w:t>
      </w:r>
    </w:p>
    <w:p w14:paraId="37B2B76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公众信息交流：各级政府、各陆上石油天然气开采企业要按规定向公众和员工说明陆上石油天然气开采的危险性及发生事故可能造成的危害，广泛宣传应急救援有关法律法规和陆上石油天然气开采事故预防、避险、避灾、自救、互救的常识。</w:t>
      </w:r>
    </w:p>
    <w:p w14:paraId="5E32231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培训：陆上石油天然气开采有关应急救援队伍按照有关规定参加业务培训；陆上石油天然气开采企业按照有关规定对员工进行应急培训；各级安全生产监督管理部门负责对应急救援培训情况进行监督检查。各级应急救援管理机构加强应急管理、救援人员的上岗前培训和常规性培训。</w:t>
      </w:r>
    </w:p>
    <w:p w14:paraId="4478DFD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bookmarkStart w:id="315" w:name="OLE_LINK185"/>
      <w:bookmarkStart w:id="316" w:name="OLE_LINK186"/>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演习：陆上石油天然气开采企业按有关规定定期组织应急救援演习；中石化有关专业应急机构和地方人民政府根据自身实际情况定期组织陆上石油天然气开采事故应急救援演习，并于演习结束后向安全监管总局提交书面总结。应急指挥中心每年会同有关部门和地方政府组织一次应急演习。</w:t>
      </w:r>
    </w:p>
    <w:p w14:paraId="6C2FA3E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普光分公司及所属单位每年至少组织一次井喷失控事故应急演习，并将演习总结报应急指挥中心办公室。</w:t>
      </w:r>
    </w:p>
    <w:bookmarkEnd w:id="315"/>
    <w:bookmarkEnd w:id="316"/>
    <w:p w14:paraId="7AAEBCBC"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3</w:t>
      </w:r>
      <w:r w:rsidRPr="00092862">
        <w:rPr>
          <w:rFonts w:ascii="Times New Roman" w:eastAsia="宋体" w:hAnsi="Times New Roman" w:cs="Times New Roman"/>
          <w:b/>
          <w:color w:val="000000" w:themeColor="text1"/>
          <w:sz w:val="24"/>
        </w:rPr>
        <w:t>）污水池垮塌、污染物外溢的应急预案</w:t>
      </w:r>
    </w:p>
    <w:p w14:paraId="1C8B7BF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bookmarkStart w:id="317" w:name="OLE_LINK191"/>
      <w:bookmarkStart w:id="318" w:name="OLE_LINK192"/>
      <w:r w:rsidRPr="00092862">
        <w:rPr>
          <w:rFonts w:ascii="Times New Roman" w:eastAsia="宋体" w:hAnsi="Times New Roman" w:cs="Times New Roman"/>
          <w:color w:val="000000" w:themeColor="text1"/>
          <w:sz w:val="24"/>
        </w:rPr>
        <w:t>因山洪等发生污水池垮塌、污染物外溢事故时，现场工作人员应立即向现场应急领导小组组长报告；组长应立即安排人员采取堵塞沟渠或筑隔离带，拦截外溢的泥浆污染物，用泵、人工回收等方法及时清理回收废泥浆，防止污染继续扩大，同时修复污水池，彻底消除污染事故隐患。</w:t>
      </w:r>
      <w:bookmarkEnd w:id="317"/>
      <w:bookmarkEnd w:id="318"/>
    </w:p>
    <w:p w14:paraId="2E1ED24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对于受污染的居民饮用水井（本项目地下水流向下游不涉及居民饮用水井），现场应急领导小组组长安排人员在井口处设置</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不准饮用</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警示牌。派人通知各饮用水住户，告知井水被污染的情况和不准饮用的信息。用水泵抽尽井</w:t>
      </w:r>
      <w:r w:rsidRPr="00092862">
        <w:rPr>
          <w:rFonts w:ascii="Times New Roman" w:eastAsia="宋体" w:hAnsi="Times New Roman" w:cs="Times New Roman"/>
          <w:color w:val="000000" w:themeColor="text1"/>
          <w:sz w:val="24"/>
        </w:rPr>
        <w:lastRenderedPageBreak/>
        <w:t>内受污染的水源。通知监测机构对新井水取样检测，确认没有污染后，经地方生态环境局确认后，移走</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不准饮用</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的警示牌，告知当地饮用水住户可饮用的信息。</w:t>
      </w:r>
    </w:p>
    <w:p w14:paraId="6F76903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如果污染控制措施失败，污染继续扩大，钻井队已无能力继续控制时，则报当地政府及生态环境局，请求立即给予应急救援。同时配合上级有关人员对污染事故进行处理。</w:t>
      </w:r>
    </w:p>
    <w:p w14:paraId="32876952"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color w:val="000000" w:themeColor="text1"/>
          <w:sz w:val="24"/>
        </w:rPr>
      </w:pPr>
      <w:bookmarkStart w:id="319" w:name="OLE_LINK195"/>
      <w:bookmarkStart w:id="320" w:name="OLE_LINK196"/>
      <w:r w:rsidRPr="00092862">
        <w:rPr>
          <w:rFonts w:ascii="Times New Roman" w:eastAsia="宋体" w:hAnsi="Times New Roman" w:cs="Times New Roman"/>
          <w:b/>
          <w:color w:val="000000" w:themeColor="text1"/>
          <w:sz w:val="24"/>
        </w:rPr>
        <w:t>4</w:t>
      </w:r>
      <w:r w:rsidRPr="00092862">
        <w:rPr>
          <w:rFonts w:ascii="Times New Roman" w:eastAsia="宋体" w:hAnsi="Times New Roman" w:cs="Times New Roman"/>
          <w:b/>
          <w:color w:val="000000" w:themeColor="text1"/>
          <w:sz w:val="24"/>
        </w:rPr>
        <w:t>）发生火灾、爆炸的应急预</w:t>
      </w:r>
      <w:bookmarkEnd w:id="319"/>
      <w:bookmarkEnd w:id="320"/>
      <w:r w:rsidRPr="00092862">
        <w:rPr>
          <w:rFonts w:ascii="Times New Roman" w:eastAsia="宋体" w:hAnsi="Times New Roman" w:cs="Times New Roman"/>
          <w:b/>
          <w:color w:val="000000" w:themeColor="text1"/>
          <w:sz w:val="24"/>
        </w:rPr>
        <w:t>案</w:t>
      </w:r>
    </w:p>
    <w:p w14:paraId="0FE0327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bookmarkStart w:id="321" w:name="OLE_LINK201"/>
      <w:bookmarkStart w:id="322" w:name="OLE_LINK202"/>
      <w:r w:rsidRPr="00092862">
        <w:rPr>
          <w:rFonts w:ascii="Times New Roman" w:eastAsia="宋体" w:hAnsi="Times New Roman" w:cs="Times New Roman"/>
          <w:color w:val="000000" w:themeColor="text1"/>
          <w:sz w:val="24"/>
        </w:rPr>
        <w:t>当施工期间发生火灾、爆炸事故时应马上关井转入抢险救援工作。</w:t>
      </w:r>
    </w:p>
    <w:p w14:paraId="26FC407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放喷燃烧筒等设备发生火灾爆炸，设备设施破坏，现场指挥应立即指挥各工段岗位紧急停车，按紧急停车操作规程执行。</w:t>
      </w:r>
    </w:p>
    <w:p w14:paraId="364100A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因爆炸损坏井场液体装置发生泄漏，当班班长立即组织人员用雾状水喷淋泄漏源，岗位当班操作人员开关设备的相关阀门等措施处理事故。</w:t>
      </w:r>
    </w:p>
    <w:p w14:paraId="76C2B2B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初期火灾应采取现场灭火器材和消防车结合扑救方式消除，严重火灾、爆炸事故要立即通知地方公安消防部门。</w:t>
      </w:r>
    </w:p>
    <w:p w14:paraId="264F5BE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轻症烧、灼伤、机械挫伤、中毒、触电和其他轻伤人员由现场医护人员医治处理、重症人员由专车、专业医护人员陪护送就近县级以上医院医治。</w:t>
      </w:r>
    </w:p>
    <w:bookmarkEnd w:id="321"/>
    <w:bookmarkEnd w:id="322"/>
    <w:p w14:paraId="4D8611D3"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5</w:t>
      </w:r>
      <w:r w:rsidRPr="00092862">
        <w:rPr>
          <w:rFonts w:ascii="Times New Roman" w:eastAsia="宋体" w:hAnsi="Times New Roman" w:cs="Times New Roman"/>
          <w:b/>
          <w:color w:val="000000" w:themeColor="text1"/>
          <w:sz w:val="24"/>
        </w:rPr>
        <w:t>）井喷及井喷失控应急处理预案</w:t>
      </w:r>
    </w:p>
    <w:p w14:paraId="2B66A21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井喷时立即启动应急预案，根据事态发展变化情况，事故现场抢险指挥部根据应急领导小组的指令并充分考虑专家和有关意见的基础上，依法采取紧急措施，并注意做好以下工作：</w:t>
      </w:r>
    </w:p>
    <w:p w14:paraId="1B664A4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a</w:t>
      </w:r>
      <w:r w:rsidRPr="00092862">
        <w:rPr>
          <w:rFonts w:ascii="Times New Roman" w:eastAsia="宋体" w:hAnsi="Times New Roman" w:cs="Times New Roman"/>
          <w:color w:val="000000" w:themeColor="text1"/>
          <w:sz w:val="24"/>
        </w:rPr>
        <w:t>、井喷失控后严防着火和爆炸。应立即停钻机、机房柴油机，切断井架、钻台、机泵房等处全部照明灯和用电设备的电源，熄灭一切火源，需要时打开专用探照灯，并组织警戒。</w:t>
      </w:r>
    </w:p>
    <w:p w14:paraId="3E3BE5B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b</w:t>
      </w:r>
      <w:r w:rsidRPr="00092862">
        <w:rPr>
          <w:rFonts w:ascii="Times New Roman" w:eastAsia="宋体" w:hAnsi="Times New Roman" w:cs="Times New Roman"/>
          <w:color w:val="000000" w:themeColor="text1"/>
          <w:sz w:val="24"/>
        </w:rPr>
        <w:t>、立即向当地政府报告，协助当地政府作好井口</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）范围内居民的疏散工作，同时通报普光分公司应急指挥中心办公室。</w:t>
      </w:r>
    </w:p>
    <w:p w14:paraId="1AE8CDF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c</w:t>
      </w:r>
      <w:r w:rsidRPr="00092862">
        <w:rPr>
          <w:rFonts w:ascii="Times New Roman" w:eastAsia="宋体" w:hAnsi="Times New Roman" w:cs="Times New Roman"/>
          <w:color w:val="000000" w:themeColor="text1"/>
          <w:sz w:val="24"/>
        </w:rPr>
        <w:t>、设置观察点，定时取样，监测（大气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空气）中的（天然气、</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和二氧化碳含量</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有毒有害气体（如</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）的浓度），划分安全范围。</w:t>
      </w:r>
    </w:p>
    <w:p w14:paraId="703140F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d</w:t>
      </w:r>
      <w:r w:rsidRPr="00092862">
        <w:rPr>
          <w:rFonts w:ascii="Times New Roman" w:eastAsia="宋体" w:hAnsi="Times New Roman" w:cs="Times New Roman"/>
          <w:color w:val="000000" w:themeColor="text1"/>
          <w:sz w:val="24"/>
        </w:rPr>
        <w:t>、迅速成立现场抢险领导小组，根据失控状况制定抢险方案，统一指挥、组织和协调抢险工作。抢险方案制订及实施，要把环境保护同时考虑，同时实施，防止出现次生环境事故。</w:t>
      </w:r>
    </w:p>
    <w:p w14:paraId="2C95EFD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e</w:t>
      </w:r>
      <w:r w:rsidRPr="00092862">
        <w:rPr>
          <w:rFonts w:ascii="Times New Roman" w:eastAsia="宋体" w:hAnsi="Times New Roman" w:cs="Times New Roman"/>
          <w:color w:val="000000" w:themeColor="text1"/>
          <w:sz w:val="24"/>
        </w:rPr>
        <w:t>、继续监测污染区有毒有害气体的浓度，根据监测情况决定是否扩大撤离范围。</w:t>
      </w:r>
    </w:p>
    <w:p w14:paraId="0F1FCAA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f</w:t>
      </w:r>
      <w:r w:rsidRPr="00092862">
        <w:rPr>
          <w:rFonts w:ascii="Times New Roman" w:eastAsia="宋体" w:hAnsi="Times New Roman" w:cs="Times New Roman"/>
          <w:color w:val="000000" w:themeColor="text1"/>
          <w:sz w:val="24"/>
        </w:rPr>
        <w:t>、当空气中</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浓度达到</w:t>
      </w:r>
      <w:r w:rsidRPr="00092862">
        <w:rPr>
          <w:rFonts w:ascii="Times New Roman" w:eastAsia="宋体" w:hAnsi="Times New Roman" w:cs="Times New Roman"/>
          <w:color w:val="000000" w:themeColor="text1"/>
          <w:sz w:val="24"/>
        </w:rPr>
        <w:t>15mg/m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10ppm</w:t>
      </w:r>
      <w:r w:rsidRPr="00092862">
        <w:rPr>
          <w:rFonts w:ascii="Times New Roman" w:eastAsia="宋体" w:hAnsi="Times New Roman" w:cs="Times New Roman"/>
          <w:color w:val="000000" w:themeColor="text1"/>
          <w:sz w:val="24"/>
        </w:rPr>
        <w:t>）的阈限值时，现场应：</w:t>
      </w:r>
    </w:p>
    <w:p w14:paraId="51AF1D1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安排专人观察风向、风速确定危险区。</w:t>
      </w:r>
    </w:p>
    <w:p w14:paraId="45FB2DA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切断危险区不防爆电器的电源。</w:t>
      </w:r>
    </w:p>
    <w:p w14:paraId="5013520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安排专人佩戴正压式空气呼吸器到危险区检测泄漏点。</w:t>
      </w:r>
    </w:p>
    <w:p w14:paraId="103DF79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非作业人员撤入安全区。</w:t>
      </w:r>
    </w:p>
    <w:p w14:paraId="3450F03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⑤</w:t>
      </w:r>
      <w:r w:rsidRPr="00092862">
        <w:rPr>
          <w:rFonts w:ascii="Times New Roman" w:eastAsia="宋体" w:hAnsi="Times New Roman" w:cs="Times New Roman"/>
          <w:color w:val="000000" w:themeColor="text1"/>
          <w:sz w:val="24"/>
        </w:rPr>
        <w:t>继续监测空气中</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浓度（进行监测）。</w:t>
      </w:r>
    </w:p>
    <w:p w14:paraId="201B5D7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g</w:t>
      </w:r>
      <w:r w:rsidRPr="00092862">
        <w:rPr>
          <w:rFonts w:ascii="Times New Roman" w:eastAsia="宋体" w:hAnsi="Times New Roman" w:cs="Times New Roman"/>
          <w:color w:val="000000" w:themeColor="text1"/>
          <w:sz w:val="24"/>
        </w:rPr>
        <w:t>、当空气中</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浓度达到</w:t>
      </w:r>
      <w:r w:rsidRPr="00092862">
        <w:rPr>
          <w:rFonts w:ascii="Times New Roman" w:eastAsia="宋体" w:hAnsi="Times New Roman" w:cs="Times New Roman"/>
          <w:color w:val="000000" w:themeColor="text1"/>
          <w:sz w:val="24"/>
        </w:rPr>
        <w:t>30mg/m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20ppm</w:t>
      </w:r>
      <w:r w:rsidRPr="00092862">
        <w:rPr>
          <w:rFonts w:ascii="Times New Roman" w:eastAsia="宋体" w:hAnsi="Times New Roman" w:cs="Times New Roman"/>
          <w:color w:val="000000" w:themeColor="text1"/>
          <w:sz w:val="24"/>
        </w:rPr>
        <w:t>）的安全临界浓度时，应：</w:t>
      </w:r>
    </w:p>
    <w:p w14:paraId="54DCA97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启动报警音响，戴上正压式空气呼吸器。</w:t>
      </w:r>
    </w:p>
    <w:p w14:paraId="305F20C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实施井控程序，控制</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泄漏源。</w:t>
      </w:r>
    </w:p>
    <w:p w14:paraId="4C78B87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切断作业现场所有可能的着火源。</w:t>
      </w:r>
    </w:p>
    <w:p w14:paraId="4E48E4E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立即向上级部门报告。</w:t>
      </w:r>
    </w:p>
    <w:p w14:paraId="5D83271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⑤</w:t>
      </w:r>
      <w:r w:rsidRPr="00092862">
        <w:rPr>
          <w:rFonts w:ascii="Times New Roman" w:eastAsia="宋体" w:hAnsi="Times New Roman" w:cs="Times New Roman"/>
          <w:color w:val="000000" w:themeColor="text1"/>
          <w:sz w:val="24"/>
        </w:rPr>
        <w:t>指派专人在井口</w:t>
      </w:r>
      <w:r w:rsidRPr="00092862">
        <w:rPr>
          <w:rFonts w:ascii="Times New Roman" w:eastAsia="宋体" w:hAnsi="Times New Roman" w:cs="Times New Roman"/>
          <w:color w:val="000000" w:themeColor="text1"/>
          <w:sz w:val="24"/>
        </w:rPr>
        <w:t>100m</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500m</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1000m</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处进行</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监测，需要时监测点可适当加密。</w:t>
      </w:r>
    </w:p>
    <w:p w14:paraId="0B7EC89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⑥</w:t>
      </w:r>
      <w:r w:rsidRPr="00092862">
        <w:rPr>
          <w:rFonts w:ascii="Times New Roman" w:eastAsia="宋体" w:hAnsi="Times New Roman" w:cs="Times New Roman"/>
          <w:color w:val="000000" w:themeColor="text1"/>
          <w:sz w:val="24"/>
        </w:rPr>
        <w:t>设立警戒区，任何人未经许可不得入内。</w:t>
      </w:r>
    </w:p>
    <w:p w14:paraId="19E2F82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⑦</w:t>
      </w:r>
      <w:r w:rsidRPr="00092862">
        <w:rPr>
          <w:rFonts w:ascii="Times New Roman" w:eastAsia="宋体" w:hAnsi="Times New Roman" w:cs="Times New Roman"/>
          <w:color w:val="000000" w:themeColor="text1"/>
          <w:sz w:val="24"/>
        </w:rPr>
        <w:t>撤离现场的非应急处置人员。</w:t>
      </w:r>
    </w:p>
    <w:p w14:paraId="335747E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⑧</w:t>
      </w:r>
      <w:r w:rsidRPr="00092862">
        <w:rPr>
          <w:rFonts w:ascii="Times New Roman" w:eastAsia="宋体" w:hAnsi="Times New Roman" w:cs="Times New Roman"/>
          <w:color w:val="000000" w:themeColor="text1"/>
          <w:sz w:val="24"/>
        </w:rPr>
        <w:t>清点现场人员。</w:t>
      </w:r>
    </w:p>
    <w:p w14:paraId="366DA72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⑨</w:t>
      </w:r>
      <w:r w:rsidRPr="00092862">
        <w:rPr>
          <w:rFonts w:ascii="Times New Roman" w:eastAsia="宋体" w:hAnsi="Times New Roman" w:cs="Times New Roman"/>
          <w:color w:val="000000" w:themeColor="text1"/>
          <w:sz w:val="24"/>
        </w:rPr>
        <w:t>通知救援机构，救护人员进入戒备状态。</w:t>
      </w:r>
    </w:p>
    <w:p w14:paraId="27B18AC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rPr>
        <w:t>、当井喷失控时，应采取如下措施：</w:t>
      </w:r>
    </w:p>
    <w:p w14:paraId="6125124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立即通知并协助当地政府疏散井口</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）范围内的居民和其他人员，根据监测情况，考虑风向、地形、人口密度、受污染程度等情况及时作出风险和危害程度评估，决定是否扩大撤离范围。</w:t>
      </w:r>
    </w:p>
    <w:p w14:paraId="663B643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关停生产设施。</w:t>
      </w:r>
    </w:p>
    <w:p w14:paraId="0F8183A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请求援助。</w:t>
      </w:r>
    </w:p>
    <w:p w14:paraId="76A565E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i</w:t>
      </w:r>
      <w:r w:rsidRPr="00092862">
        <w:rPr>
          <w:rFonts w:ascii="Times New Roman" w:eastAsia="宋体" w:hAnsi="Times New Roman" w:cs="Times New Roman"/>
          <w:color w:val="000000" w:themeColor="text1"/>
          <w:sz w:val="24"/>
        </w:rPr>
        <w:t>、当井喷失控、空气中</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浓度达到</w:t>
      </w:r>
      <w:r w:rsidRPr="00092862">
        <w:rPr>
          <w:rFonts w:ascii="Times New Roman" w:eastAsia="宋体" w:hAnsi="Times New Roman" w:cs="Times New Roman"/>
          <w:color w:val="000000" w:themeColor="text1"/>
          <w:sz w:val="24"/>
        </w:rPr>
        <w:t>150mg/m</w:t>
      </w:r>
      <w:r w:rsidRPr="00092862">
        <w:rPr>
          <w:rFonts w:ascii="Times New Roman" w:eastAsia="宋体" w:hAnsi="Times New Roman" w:cs="Times New Roman"/>
          <w:color w:val="000000" w:themeColor="text1"/>
          <w:sz w:val="24"/>
          <w:vertAlign w:val="superscript"/>
        </w:rPr>
        <w:t>3</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100ppm</w:t>
      </w:r>
      <w:r w:rsidRPr="00092862">
        <w:rPr>
          <w:rFonts w:ascii="Times New Roman" w:eastAsia="宋体" w:hAnsi="Times New Roman" w:cs="Times New Roman"/>
          <w:color w:val="000000" w:themeColor="text1"/>
          <w:sz w:val="24"/>
        </w:rPr>
        <w:t>）的危险临界浓度时，现场作业人员应按预案立即撤离井场，通知当地政府和其他有关机构，同时向上级主管部门报告。</w:t>
      </w:r>
    </w:p>
    <w:p w14:paraId="42442C6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j</w:t>
      </w:r>
      <w:r w:rsidRPr="00092862">
        <w:rPr>
          <w:rFonts w:ascii="Times New Roman" w:eastAsia="宋体" w:hAnsi="Times New Roman" w:cs="Times New Roman"/>
          <w:color w:val="000000" w:themeColor="text1"/>
          <w:sz w:val="24"/>
        </w:rPr>
        <w:t>、在确保人员安全前提下，将氧气瓶、油罐等易燃易爆物品撤离危险区。</w:t>
      </w:r>
    </w:p>
    <w:p w14:paraId="4C678C0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k</w:t>
      </w:r>
      <w:r w:rsidRPr="00092862">
        <w:rPr>
          <w:rFonts w:ascii="Times New Roman" w:eastAsia="宋体" w:hAnsi="Times New Roman" w:cs="Times New Roman"/>
          <w:color w:val="000000" w:themeColor="text1"/>
          <w:sz w:val="24"/>
        </w:rPr>
        <w:t>、点火条件及点火时间</w:t>
      </w:r>
    </w:p>
    <w:p w14:paraId="3B74065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lastRenderedPageBreak/>
        <w:t>①</w:t>
      </w:r>
      <w:r w:rsidRPr="00092862">
        <w:rPr>
          <w:rFonts w:ascii="Times New Roman" w:eastAsia="宋体" w:hAnsi="Times New Roman" w:cs="Times New Roman"/>
          <w:color w:val="000000" w:themeColor="text1"/>
          <w:sz w:val="24"/>
        </w:rPr>
        <w:t>含硫化氢天然气井出现井喷事故征兆时，现场作业人员应立即进行点火准备工作；</w:t>
      </w:r>
    </w:p>
    <w:p w14:paraId="6D2425F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井喷失控后，在</w:t>
      </w:r>
      <w:r w:rsidRPr="00092862">
        <w:rPr>
          <w:rFonts w:ascii="Times New Roman" w:eastAsia="宋体" w:hAnsi="Times New Roman" w:cs="Times New Roman"/>
          <w:color w:val="000000" w:themeColor="text1"/>
          <w:sz w:val="24"/>
        </w:rPr>
        <w:t>5min</w:t>
      </w:r>
      <w:r w:rsidRPr="00092862">
        <w:rPr>
          <w:rFonts w:ascii="Times New Roman" w:eastAsia="宋体" w:hAnsi="Times New Roman" w:cs="Times New Roman"/>
          <w:color w:val="000000" w:themeColor="text1"/>
          <w:sz w:val="24"/>
        </w:rPr>
        <w:t>内完成井口点火燃烧泄漏天然气，将</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燃烧转化为</w:t>
      </w:r>
      <w:r w:rsidRPr="00092862">
        <w:rPr>
          <w:rFonts w:ascii="Times New Roman" w:eastAsia="宋体" w:hAnsi="Times New Roman" w:cs="Times New Roman"/>
          <w:color w:val="000000" w:themeColor="text1"/>
          <w:sz w:val="24"/>
        </w:rPr>
        <w:t>SO</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和</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O</w:t>
      </w:r>
      <w:r w:rsidRPr="00092862">
        <w:rPr>
          <w:rFonts w:ascii="Times New Roman" w:eastAsia="宋体" w:hAnsi="Times New Roman" w:cs="Times New Roman"/>
          <w:color w:val="000000" w:themeColor="text1"/>
          <w:sz w:val="24"/>
        </w:rPr>
        <w:t>。</w:t>
      </w:r>
    </w:p>
    <w:p w14:paraId="1ED1B0A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l</w:t>
      </w:r>
      <w:r w:rsidRPr="00092862">
        <w:rPr>
          <w:rFonts w:ascii="Times New Roman" w:eastAsia="宋体" w:hAnsi="Times New Roman" w:cs="Times New Roman"/>
          <w:color w:val="000000" w:themeColor="text1"/>
          <w:sz w:val="24"/>
        </w:rPr>
        <w:t>、含硫气井井口点火程序：</w:t>
      </w:r>
    </w:p>
    <w:p w14:paraId="6D72BF6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含硫气井井喷或井喷失控事故发生后，应防止着火和爆炸。</w:t>
      </w:r>
    </w:p>
    <w:p w14:paraId="66267A6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bookmarkStart w:id="323" w:name="OLE_LINK206"/>
      <w:bookmarkStart w:id="324" w:name="OLE_LINK207"/>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发</w:t>
      </w:r>
      <w:bookmarkEnd w:id="323"/>
      <w:bookmarkEnd w:id="324"/>
      <w:r w:rsidRPr="00092862">
        <w:rPr>
          <w:rFonts w:ascii="Times New Roman" w:eastAsia="宋体" w:hAnsi="Times New Roman" w:cs="Times New Roman"/>
          <w:color w:val="000000" w:themeColor="text1"/>
          <w:sz w:val="24"/>
        </w:rPr>
        <w:t>生井喷后应采取措施控制井喷，若井口压力有可能超过允许关井压力，需点火放喷时，井场应先点火后放喷。</w:t>
      </w:r>
    </w:p>
    <w:p w14:paraId="6D31EE0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井喷失控后，在人员的生命受到巨大威胁、人员撤离无望、失控井无希望得到控制的情况下，作为最后手段应按抢险作业程序对油气井井口实施点火。</w:t>
      </w:r>
    </w:p>
    <w:p w14:paraId="2F852FA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气井点火程序的相关内容应在应急预案中予以明确。油气井点火决策人宜由建设单位代表或其授权的现场负责人来担任，并列入应急预案中。</w:t>
      </w:r>
    </w:p>
    <w:p w14:paraId="2381DAA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⑤</w:t>
      </w:r>
      <w:r w:rsidRPr="00092862">
        <w:rPr>
          <w:rFonts w:ascii="Times New Roman" w:eastAsia="宋体" w:hAnsi="Times New Roman" w:cs="Times New Roman"/>
          <w:color w:val="000000" w:themeColor="text1"/>
          <w:sz w:val="24"/>
        </w:rPr>
        <w:t>井场应配备自动点火装置，并备用手动点火器具。点火人员佩戴防护器具，在上风方向，尽量远离井口使用移动点火器具点火；其他人员集中到上风方向的安全区。</w:t>
      </w:r>
    </w:p>
    <w:p w14:paraId="47AD3ED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⑥</w:t>
      </w:r>
      <w:r w:rsidRPr="00092862">
        <w:rPr>
          <w:rFonts w:ascii="Times New Roman" w:eastAsia="宋体" w:hAnsi="Times New Roman" w:cs="Times New Roman"/>
          <w:color w:val="000000" w:themeColor="text1"/>
          <w:sz w:val="24"/>
        </w:rPr>
        <w:t>点火后应对下风方向尤其是井场生活区、周围集中居住区、医院、学校等人员聚集场所的二氧化硫的浓度进行监测。</w:t>
      </w:r>
    </w:p>
    <w:p w14:paraId="5C50643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rPr>
        <w:t>、井喷发生后，及时安排消防车、救护车、医护人员和技安人员到现场。</w:t>
      </w:r>
    </w:p>
    <w:p w14:paraId="132289D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n</w:t>
      </w:r>
      <w:r w:rsidRPr="00092862">
        <w:rPr>
          <w:rFonts w:ascii="Times New Roman" w:eastAsia="宋体" w:hAnsi="Times New Roman" w:cs="Times New Roman"/>
          <w:color w:val="000000" w:themeColor="text1"/>
          <w:sz w:val="24"/>
        </w:rPr>
        <w:t>、在邻近江河、湖泊、环境敏感区以及交通干线等地区，要在进行处置井喷事故的同时，充分考虑到事故和次生事故对环境可能造成的威胁，要严密制定并采取对环境敏感区和易受损资源的保护措施，防止事态扩大和引发次生灾害。</w:t>
      </w:r>
    </w:p>
    <w:p w14:paraId="2F0E1B5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o</w:t>
      </w:r>
      <w:r w:rsidRPr="00092862">
        <w:rPr>
          <w:rFonts w:ascii="Times New Roman" w:eastAsia="宋体" w:hAnsi="Times New Roman" w:cs="Times New Roman"/>
          <w:color w:val="000000" w:themeColor="text1"/>
          <w:sz w:val="24"/>
        </w:rPr>
        <w:t>、在事故处理结束后，确认作业现场及其周边环境安全的情况下，和地方政府商定撤离群众的返回时间。</w:t>
      </w:r>
    </w:p>
    <w:p w14:paraId="4B3B176B"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6</w:t>
      </w: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H</w:t>
      </w:r>
      <w:r w:rsidRPr="00092862">
        <w:rPr>
          <w:rFonts w:ascii="Times New Roman" w:eastAsia="宋体" w:hAnsi="Times New Roman" w:cs="Times New Roman"/>
          <w:b/>
          <w:color w:val="000000" w:themeColor="text1"/>
          <w:sz w:val="24"/>
          <w:vertAlign w:val="subscript"/>
        </w:rPr>
        <w:t>2</w:t>
      </w:r>
      <w:r w:rsidRPr="00092862">
        <w:rPr>
          <w:rFonts w:ascii="Times New Roman" w:eastAsia="宋体" w:hAnsi="Times New Roman" w:cs="Times New Roman"/>
          <w:b/>
          <w:color w:val="000000" w:themeColor="text1"/>
          <w:sz w:val="24"/>
        </w:rPr>
        <w:t>S</w:t>
      </w:r>
      <w:r w:rsidRPr="00092862">
        <w:rPr>
          <w:rFonts w:ascii="Times New Roman" w:eastAsia="宋体" w:hAnsi="Times New Roman" w:cs="Times New Roman"/>
          <w:b/>
          <w:color w:val="000000" w:themeColor="text1"/>
          <w:sz w:val="24"/>
        </w:rPr>
        <w:t>中毒应急救援预案</w:t>
      </w:r>
    </w:p>
    <w:p w14:paraId="34FE3CA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在钻井作业中严格执行《硫化氢环境钻井场所作业安全规范》（</w:t>
      </w:r>
      <w:r w:rsidRPr="00092862">
        <w:rPr>
          <w:rFonts w:ascii="Times New Roman" w:eastAsia="宋体" w:hAnsi="Times New Roman" w:cs="Times New Roman"/>
          <w:color w:val="000000" w:themeColor="text1"/>
          <w:sz w:val="24"/>
        </w:rPr>
        <w:t>SY/T 5087-2017</w:t>
      </w:r>
      <w:r w:rsidRPr="00092862">
        <w:rPr>
          <w:rFonts w:ascii="Times New Roman" w:eastAsia="宋体" w:hAnsi="Times New Roman" w:cs="Times New Roman"/>
          <w:color w:val="000000" w:themeColor="text1"/>
          <w:sz w:val="24"/>
        </w:rPr>
        <w:t>）的规定；在可能存在</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的场所设立</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中毒的警示标志和风向标，作业人员尽可能在上风口位置作业；为避免</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外溢造成人、牲畜伤亡，在即将钻入含</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地层时，实施现场警戒施工当天应提前疏散村民及牲口，疏散的范围由应急领导小组确定，提前</w:t>
      </w:r>
      <w:r w:rsidRPr="00092862">
        <w:rPr>
          <w:rFonts w:ascii="Times New Roman" w:eastAsia="宋体" w:hAnsi="Times New Roman" w:cs="Times New Roman"/>
          <w:color w:val="000000" w:themeColor="text1"/>
          <w:sz w:val="24"/>
        </w:rPr>
        <w:t>24</w:t>
      </w:r>
      <w:r w:rsidRPr="00092862">
        <w:rPr>
          <w:rFonts w:ascii="Times New Roman" w:eastAsia="宋体" w:hAnsi="Times New Roman" w:cs="Times New Roman"/>
          <w:color w:val="000000" w:themeColor="text1"/>
          <w:sz w:val="24"/>
        </w:rPr>
        <w:t>小时通知当地村社干部。</w:t>
      </w:r>
    </w:p>
    <w:p w14:paraId="186A029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lastRenderedPageBreak/>
        <w:t>②</w:t>
      </w:r>
      <w:r w:rsidRPr="00092862">
        <w:rPr>
          <w:rFonts w:ascii="Times New Roman" w:eastAsia="宋体" w:hAnsi="Times New Roman" w:cs="Times New Roman"/>
          <w:color w:val="000000" w:themeColor="text1"/>
          <w:sz w:val="24"/>
        </w:rPr>
        <w:t>在井场按规定配置</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检测仪，并保证其灵敏可靠；在可能产生</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的场所工作的员工每人配备防毒面具和空（氧）气呼吸器，并保证有效使用；</w:t>
      </w:r>
    </w:p>
    <w:p w14:paraId="35F2944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向周围居民进行井喷和防</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中毒的防护知识的宣传，并调查了解附近居民的分布情况，掌握其最有效的联系方式；</w:t>
      </w:r>
    </w:p>
    <w:p w14:paraId="36303D5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听到</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报警信号后立即戴上防毒面具或氧气呼吸器；</w:t>
      </w:r>
    </w:p>
    <w:p w14:paraId="73AD231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⑤</w:t>
      </w:r>
      <w:r w:rsidRPr="00092862">
        <w:rPr>
          <w:rFonts w:ascii="Times New Roman" w:eastAsia="宋体" w:hAnsi="Times New Roman" w:cs="Times New Roman"/>
          <w:color w:val="000000" w:themeColor="text1"/>
          <w:sz w:val="24"/>
        </w:rPr>
        <w:t>发出警报信号（鸣喇叭），全队处于应急状态；当班人员按</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四七</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动作控制井口；非当班人员立即赶到井场作救护准备；卫生员准备担架、氧气袋和急救箱到井场；</w:t>
      </w:r>
      <w:r w:rsidRPr="00092862">
        <w:rPr>
          <w:rFonts w:ascii="Times New Roman" w:eastAsia="宋体" w:hAnsi="Times New Roman" w:cs="Times New Roman"/>
          <w:color w:val="000000" w:themeColor="text1"/>
          <w:sz w:val="24"/>
        </w:rPr>
        <w:t>HSE</w:t>
      </w:r>
      <w:r w:rsidRPr="00092862">
        <w:rPr>
          <w:rFonts w:ascii="Times New Roman" w:eastAsia="宋体" w:hAnsi="Times New Roman" w:cs="Times New Roman"/>
          <w:color w:val="000000" w:themeColor="text1"/>
          <w:sz w:val="24"/>
        </w:rPr>
        <w:t>监督（安全员）检查空气呼吸器并搬出备用；</w:t>
      </w:r>
    </w:p>
    <w:p w14:paraId="542915C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⑥</w:t>
      </w:r>
      <w:r w:rsidRPr="00092862">
        <w:rPr>
          <w:rFonts w:ascii="Times New Roman" w:eastAsia="宋体" w:hAnsi="Times New Roman" w:cs="Times New Roman"/>
          <w:color w:val="000000" w:themeColor="text1"/>
          <w:sz w:val="24"/>
        </w:rPr>
        <w:t>救护人员戴好空气呼吸器到岗位检查井口是否控制住，有无人员中毒；若发现有人员中毒立即抬至空气流通处施行现场急救，同时与挂钩医院联系；</w:t>
      </w:r>
    </w:p>
    <w:p w14:paraId="47366CD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⑦</w:t>
      </w:r>
      <w:r w:rsidRPr="00092862">
        <w:rPr>
          <w:rFonts w:ascii="Times New Roman" w:eastAsia="宋体" w:hAnsi="Times New Roman" w:cs="Times New Roman"/>
          <w:color w:val="000000" w:themeColor="text1"/>
          <w:sz w:val="24"/>
        </w:rPr>
        <w:t>由队长和钻井技术员组织处理消除井内的</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外逸工作。</w:t>
      </w:r>
    </w:p>
    <w:p w14:paraId="0DFAF26A"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7</w:t>
      </w:r>
      <w:r w:rsidRPr="00092862">
        <w:rPr>
          <w:rFonts w:ascii="Times New Roman" w:eastAsia="宋体" w:hAnsi="Times New Roman" w:cs="Times New Roman"/>
          <w:b/>
          <w:color w:val="000000" w:themeColor="text1"/>
          <w:sz w:val="24"/>
        </w:rPr>
        <w:t>）应急疏散预案</w:t>
      </w:r>
    </w:p>
    <w:p w14:paraId="6F3292B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当井喷失控时，应立即通知并协助当地政府疏散井口</w:t>
      </w:r>
      <w:r w:rsidRPr="00092862">
        <w:rPr>
          <w:rFonts w:ascii="Times New Roman" w:eastAsia="宋体" w:hAnsi="Times New Roman" w:cs="Times New Roman"/>
          <w:color w:val="000000" w:themeColor="text1"/>
          <w:sz w:val="24"/>
        </w:rPr>
        <w:t>2220m</w:t>
      </w:r>
      <w:r w:rsidRPr="00092862">
        <w:rPr>
          <w:rFonts w:ascii="Times New Roman" w:eastAsia="宋体" w:hAnsi="Times New Roman" w:cs="Times New Roman"/>
          <w:color w:val="000000" w:themeColor="text1"/>
          <w:sz w:val="24"/>
        </w:rPr>
        <w:t>（或</w:t>
      </w:r>
      <w:r w:rsidRPr="00092862">
        <w:rPr>
          <w:rFonts w:ascii="Times New Roman" w:eastAsia="宋体" w:hAnsi="Times New Roman" w:cs="Times New Roman"/>
          <w:color w:val="000000" w:themeColor="text1"/>
          <w:sz w:val="24"/>
        </w:rPr>
        <w:t>5000m</w:t>
      </w:r>
      <w:r w:rsidRPr="00092862">
        <w:rPr>
          <w:rFonts w:ascii="Times New Roman" w:eastAsia="宋体" w:hAnsi="Times New Roman" w:cs="Times New Roman"/>
          <w:color w:val="000000" w:themeColor="text1"/>
          <w:sz w:val="24"/>
        </w:rPr>
        <w:t>）范围内的居民和其他人员，根据监测情况，考虑风向、地形、人口密度、受污染程度等情况及时作出风险和危害程度评估，决定是否扩大撤离范围。</w:t>
      </w:r>
    </w:p>
    <w:p w14:paraId="023357E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a</w:t>
      </w:r>
      <w:r w:rsidRPr="00092862">
        <w:rPr>
          <w:rFonts w:ascii="Times New Roman" w:eastAsia="宋体" w:hAnsi="Times New Roman" w:cs="Times New Roman"/>
          <w:color w:val="000000" w:themeColor="text1"/>
          <w:sz w:val="24"/>
        </w:rPr>
        <w:t>、疏散方向原则</w:t>
      </w:r>
    </w:p>
    <w:p w14:paraId="06BF7E6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总体原则为远离泄漏源。</w:t>
      </w: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首先向远离泄漏源的方向撤离；</w:t>
      </w: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其次向上风向或侧风向撤离；</w:t>
      </w: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向高处撤离；</w:t>
      </w: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向交通方便处撤离。</w:t>
      </w:r>
    </w:p>
    <w:p w14:paraId="7B60EE3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b</w:t>
      </w:r>
      <w:r w:rsidRPr="00092862">
        <w:rPr>
          <w:rFonts w:ascii="Times New Roman" w:eastAsia="宋体" w:hAnsi="Times New Roman" w:cs="Times New Roman"/>
          <w:color w:val="000000" w:themeColor="text1"/>
          <w:sz w:val="24"/>
        </w:rPr>
        <w:t>、考虑高程情况下应急撤离路径选择原则</w:t>
      </w:r>
    </w:p>
    <w:p w14:paraId="509F98A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首先确保应急撤离路径为远离泄漏源的路径；</w:t>
      </w: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选择与泄漏源同一高程或高程增加的应急撤离路径；</w:t>
      </w: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选择交通方便的主要应急撤离路径。</w:t>
      </w:r>
    </w:p>
    <w:p w14:paraId="15B0F45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c</w:t>
      </w:r>
      <w:r w:rsidRPr="00092862">
        <w:rPr>
          <w:rFonts w:ascii="Times New Roman" w:eastAsia="宋体" w:hAnsi="Times New Roman" w:cs="Times New Roman"/>
          <w:color w:val="000000" w:themeColor="text1"/>
          <w:sz w:val="24"/>
        </w:rPr>
        <w:t>、井场人员撤离方式方法</w:t>
      </w:r>
    </w:p>
    <w:p w14:paraId="409AC97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指挥小组根据对事故发展的预测，撤离警报发出后，调度组将井场两处出口通道开至最大，指挥井场内人员及车辆离开，并禁止再次进入，同时指挥外部救援车辆有序进入场区进行事故抢险。</w:t>
      </w:r>
    </w:p>
    <w:p w14:paraId="0D2F602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岗位操作人员，根据当班调度的指令，采取控制事故扩大的措施进行紧急工艺处理（含紧急停车）。非事故岗位人员按照要求关闭电器设备后，并根据当时风向撤离井场前后两集合点。并根据毒物扩散情况，适时撤离到安全地点。撤离时全体人员带上应急自救器材，发现有人受伤时，应先判断环境的安全性再进行救助。人员清点，由后勤保障组长或安全环保组组长指定人员统计应到</w:t>
      </w:r>
      <w:r w:rsidRPr="00092862">
        <w:rPr>
          <w:rFonts w:ascii="Times New Roman" w:eastAsia="宋体" w:hAnsi="Times New Roman" w:cs="Times New Roman"/>
          <w:color w:val="000000" w:themeColor="text1"/>
          <w:sz w:val="24"/>
        </w:rPr>
        <w:lastRenderedPageBreak/>
        <w:t>人数，并及时报告领导小组，以便及时了解是否存在员工滞留在事故区。全体人员在指定的安全点停留，直到警报解除。</w:t>
      </w:r>
    </w:p>
    <w:p w14:paraId="6D88790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d</w:t>
      </w:r>
      <w:r w:rsidRPr="00092862">
        <w:rPr>
          <w:rFonts w:ascii="Times New Roman" w:eastAsia="宋体" w:hAnsi="Times New Roman" w:cs="Times New Roman"/>
          <w:color w:val="000000" w:themeColor="text1"/>
          <w:sz w:val="24"/>
        </w:rPr>
        <w:t>、周边区域的单位、村居人员的疏散方式方法</w:t>
      </w:r>
    </w:p>
    <w:p w14:paraId="2798F37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指挥小组根据事故发展趋势的预测，通过警报器向周边单位、村居民发出疏散警报，警报一声表示井场发生严重事故；连续警报不停，告知周边单位、村居人员要进行疏散。对外联系组立即通过电话报告普光镇、宣汉县政府等行政主管部门，申请联动应急救援，同时通知周边单位，村居负责人。周边单位、村居负责人立即组织本单位、村居人员，根据自己所处的位置，徒步有序地疏散到乡镇设定的安全集合点。疏散人员要带上湿毛巾衣物，当闻到臭鸡蛋气味时将口鼻捂住。疏散时</w:t>
      </w:r>
      <w:r w:rsidRPr="00092862">
        <w:rPr>
          <w:rFonts w:ascii="Times New Roman" w:eastAsia="宋体" w:hAnsi="Times New Roman" w:cs="Times New Roman"/>
          <w:color w:val="000000" w:themeColor="text1"/>
          <w:sz w:val="24"/>
        </w:rPr>
        <w:t>HSE</w:t>
      </w:r>
      <w:r w:rsidRPr="00092862">
        <w:rPr>
          <w:rFonts w:ascii="Times New Roman" w:eastAsia="宋体" w:hAnsi="Times New Roman" w:cs="Times New Roman"/>
          <w:color w:val="000000" w:themeColor="text1"/>
          <w:sz w:val="24"/>
        </w:rPr>
        <w:t>管理组、后勤保障组、对外关系组应全力配</w:t>
      </w:r>
      <w:bookmarkStart w:id="325" w:name="OLE_LINK210"/>
      <w:bookmarkStart w:id="326" w:name="OLE_LINK216"/>
      <w:r w:rsidRPr="00092862">
        <w:rPr>
          <w:rFonts w:ascii="Times New Roman" w:eastAsia="宋体" w:hAnsi="Times New Roman" w:cs="Times New Roman"/>
          <w:color w:val="000000" w:themeColor="text1"/>
          <w:sz w:val="24"/>
        </w:rPr>
        <w:t>合</w:t>
      </w:r>
      <w:bookmarkEnd w:id="325"/>
      <w:bookmarkEnd w:id="326"/>
      <w:r w:rsidRPr="00092862">
        <w:rPr>
          <w:rFonts w:ascii="Times New Roman" w:eastAsia="宋体" w:hAnsi="Times New Roman" w:cs="Times New Roman"/>
          <w:color w:val="000000" w:themeColor="text1"/>
          <w:sz w:val="24"/>
        </w:rPr>
        <w:t>乡镇政府的疏散工作。</w:t>
      </w:r>
    </w:p>
    <w:p w14:paraId="31C0ECE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周边居民安全须知和硫化氢泄漏逃生方向示意图见</w:t>
      </w:r>
      <w:bookmarkStart w:id="327" w:name="OLE_LINK220"/>
      <w:r w:rsidRPr="00092862">
        <w:rPr>
          <w:rFonts w:ascii="Times New Roman" w:eastAsia="宋体" w:hAnsi="Times New Roman" w:cs="Times New Roman"/>
          <w:color w:val="000000" w:themeColor="text1"/>
          <w:sz w:val="24"/>
        </w:rPr>
        <w:t>图</w:t>
      </w:r>
      <w:bookmarkEnd w:id="327"/>
      <w:r w:rsidRPr="00092862">
        <w:rPr>
          <w:rFonts w:ascii="Times New Roman" w:eastAsia="宋体" w:hAnsi="Times New Roman" w:cs="Times New Roman"/>
          <w:color w:val="000000" w:themeColor="text1"/>
          <w:sz w:val="24"/>
        </w:rPr>
        <w:t>5.3-12</w:t>
      </w:r>
      <w:r w:rsidRPr="00092862">
        <w:rPr>
          <w:rFonts w:ascii="Times New Roman" w:eastAsia="宋体" w:hAnsi="Times New Roman" w:cs="Times New Roman"/>
          <w:color w:val="000000" w:themeColor="text1"/>
          <w:sz w:val="24"/>
        </w:rPr>
        <w:t>，静风条件下硫化氢泄漏逃生方向示意图见图</w:t>
      </w:r>
      <w:r w:rsidRPr="00092862">
        <w:rPr>
          <w:rFonts w:ascii="Times New Roman" w:eastAsia="宋体" w:hAnsi="Times New Roman" w:cs="Times New Roman"/>
          <w:color w:val="000000" w:themeColor="text1"/>
          <w:sz w:val="24"/>
        </w:rPr>
        <w:t>5.3-13</w:t>
      </w:r>
      <w:r w:rsidRPr="00092862">
        <w:rPr>
          <w:rFonts w:ascii="Times New Roman" w:eastAsia="宋体" w:hAnsi="Times New Roman" w:cs="Times New Roman"/>
          <w:color w:val="000000" w:themeColor="text1"/>
          <w:sz w:val="24"/>
        </w:rPr>
        <w:t>。</w:t>
      </w:r>
    </w:p>
    <w:p w14:paraId="514E31FD"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sectPr w:rsidR="00450025" w:rsidRPr="00092862" w:rsidSect="00C04A25">
          <w:pgSz w:w="11910" w:h="16840"/>
          <w:pgMar w:top="1440" w:right="1800" w:bottom="1440" w:left="1800" w:header="1213" w:footer="635" w:gutter="0"/>
          <w:cols w:space="720"/>
        </w:sectPr>
      </w:pPr>
    </w:p>
    <w:p w14:paraId="3FE09459" w14:textId="77777777" w:rsidR="00450025" w:rsidRPr="00092862" w:rsidRDefault="00450025" w:rsidP="00450025">
      <w:pPr>
        <w:adjustRightInd w:val="0"/>
        <w:snapToGrid w:val="0"/>
        <w:spacing w:line="360" w:lineRule="auto"/>
        <w:jc w:val="center"/>
        <w:rPr>
          <w:rFonts w:ascii="Times New Roman" w:hAnsi="Times New Roman" w:cs="Times New Roman"/>
          <w:color w:val="000000" w:themeColor="text1"/>
          <w:sz w:val="24"/>
        </w:rPr>
      </w:pPr>
      <w:r w:rsidRPr="00092862">
        <w:rPr>
          <w:rFonts w:ascii="Times New Roman" w:hAnsi="Times New Roman" w:cs="Times New Roman"/>
          <w:noProof/>
          <w:color w:val="000000" w:themeColor="text1"/>
        </w:rPr>
        <w:lastRenderedPageBreak/>
        <w:drawing>
          <wp:inline distT="0" distB="0" distL="0" distR="0" wp14:anchorId="506C9C6A" wp14:editId="71B9765B">
            <wp:extent cx="8740140" cy="4572000"/>
            <wp:effectExtent l="0" t="0" r="381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740140" cy="4572000"/>
                    </a:xfrm>
                    <a:prstGeom prst="rect">
                      <a:avLst/>
                    </a:prstGeom>
                    <a:noFill/>
                    <a:ln>
                      <a:noFill/>
                    </a:ln>
                  </pic:spPr>
                </pic:pic>
              </a:graphicData>
            </a:graphic>
          </wp:inline>
        </w:drawing>
      </w:r>
    </w:p>
    <w:p w14:paraId="25A7E137" w14:textId="77777777"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bookmarkStart w:id="328" w:name="_Ref473017866"/>
      <w:r w:rsidRPr="00092862">
        <w:rPr>
          <w:rFonts w:ascii="Times New Roman" w:eastAsia="黑体" w:hAnsi="Times New Roman" w:cs="Times New Roman"/>
          <w:color w:val="000000" w:themeColor="text1"/>
          <w:szCs w:val="21"/>
        </w:rPr>
        <w:t>图</w:t>
      </w:r>
      <w:bookmarkEnd w:id="328"/>
      <w:r w:rsidRPr="00092862">
        <w:rPr>
          <w:rFonts w:ascii="Times New Roman" w:eastAsia="黑体" w:hAnsi="Times New Roman" w:cs="Times New Roman"/>
          <w:color w:val="000000" w:themeColor="text1"/>
          <w:szCs w:val="21"/>
        </w:rPr>
        <w:t xml:space="preserve">5.3-12  </w:t>
      </w:r>
      <w:r w:rsidRPr="00092862">
        <w:rPr>
          <w:rFonts w:ascii="Times New Roman" w:eastAsia="黑体" w:hAnsi="Times New Roman" w:cs="Times New Roman"/>
          <w:color w:val="000000" w:themeColor="text1"/>
          <w:szCs w:val="21"/>
        </w:rPr>
        <w:t>周边居民安全须知和硫化氢泄漏逃生方向示意图</w:t>
      </w:r>
    </w:p>
    <w:p w14:paraId="3477CE60" w14:textId="77777777" w:rsidR="00450025" w:rsidRPr="00092862" w:rsidRDefault="00450025" w:rsidP="00450025">
      <w:pPr>
        <w:adjustRightInd w:val="0"/>
        <w:snapToGrid w:val="0"/>
        <w:spacing w:line="360" w:lineRule="auto"/>
        <w:rPr>
          <w:rFonts w:ascii="Times New Roman" w:hAnsi="Times New Roman" w:cs="Times New Roman"/>
          <w:color w:val="000000" w:themeColor="text1"/>
          <w:sz w:val="24"/>
        </w:rPr>
      </w:pPr>
    </w:p>
    <w:p w14:paraId="73351915" w14:textId="77777777"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rPr>
        <w:sectPr w:rsidR="00450025" w:rsidRPr="00092862" w:rsidSect="00844AF0">
          <w:pgSz w:w="16840" w:h="11910" w:orient="landscape"/>
          <w:pgMar w:top="1800" w:right="1440" w:bottom="1800" w:left="1440" w:header="1213" w:footer="635" w:gutter="0"/>
          <w:cols w:space="720"/>
          <w:docGrid w:linePitch="299"/>
        </w:sectPr>
      </w:pPr>
    </w:p>
    <w:p w14:paraId="57101D29" w14:textId="77777777" w:rsidR="00450025" w:rsidRPr="00092862" w:rsidRDefault="00450025" w:rsidP="00450025">
      <w:pPr>
        <w:pStyle w:val="TOC12"/>
        <w:rPr>
          <w:rFonts w:eastAsia="宋体"/>
          <w:color w:val="000000" w:themeColor="text1"/>
        </w:rPr>
      </w:pPr>
      <w:r w:rsidRPr="00092862">
        <w:rPr>
          <w:rFonts w:eastAsia="宋体"/>
          <w:noProof/>
          <w:color w:val="000000" w:themeColor="text1"/>
        </w:rPr>
        <w:lastRenderedPageBreak/>
        <w:drawing>
          <wp:inline distT="0" distB="0" distL="0" distR="0" wp14:anchorId="72FE77D1" wp14:editId="27478962">
            <wp:extent cx="5250180" cy="3634740"/>
            <wp:effectExtent l="0" t="0" r="7620" b="3810"/>
            <wp:docPr id="39" name="图片 39" descr="不同风向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descr="不同风向撤离图"/>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50180" cy="3634740"/>
                    </a:xfrm>
                    <a:prstGeom prst="rect">
                      <a:avLst/>
                    </a:prstGeom>
                    <a:noFill/>
                    <a:ln>
                      <a:noFill/>
                    </a:ln>
                  </pic:spPr>
                </pic:pic>
              </a:graphicData>
            </a:graphic>
          </wp:inline>
        </w:drawing>
      </w:r>
    </w:p>
    <w:p w14:paraId="203B8257" w14:textId="77777777" w:rsidR="00450025" w:rsidRPr="00092862" w:rsidRDefault="00450025" w:rsidP="00450025">
      <w:pPr>
        <w:adjustRightInd w:val="0"/>
        <w:snapToGrid w:val="0"/>
        <w:spacing w:line="360" w:lineRule="auto"/>
        <w:jc w:val="center"/>
        <w:rPr>
          <w:rFonts w:ascii="Times New Roman" w:eastAsia="黑体" w:hAnsi="Times New Roman" w:cs="Times New Roman"/>
          <w:color w:val="000000" w:themeColor="text1"/>
          <w:szCs w:val="21"/>
        </w:rPr>
      </w:pPr>
      <w:bookmarkStart w:id="329" w:name="_Ref473017890"/>
      <w:r w:rsidRPr="00092862">
        <w:rPr>
          <w:rFonts w:ascii="Times New Roman" w:eastAsia="黑体" w:hAnsi="Times New Roman" w:cs="Times New Roman"/>
          <w:color w:val="000000" w:themeColor="text1"/>
          <w:szCs w:val="21"/>
        </w:rPr>
        <w:t>图</w:t>
      </w:r>
      <w:bookmarkEnd w:id="329"/>
      <w:r w:rsidRPr="00092862">
        <w:rPr>
          <w:rFonts w:ascii="Times New Roman" w:eastAsia="黑体" w:hAnsi="Times New Roman" w:cs="Times New Roman"/>
          <w:color w:val="000000" w:themeColor="text1"/>
          <w:szCs w:val="21"/>
        </w:rPr>
        <w:t xml:space="preserve">5.3-13  </w:t>
      </w:r>
      <w:r w:rsidRPr="00092862">
        <w:rPr>
          <w:rFonts w:ascii="Times New Roman" w:eastAsia="黑体" w:hAnsi="Times New Roman" w:cs="Times New Roman"/>
          <w:color w:val="000000" w:themeColor="text1"/>
          <w:szCs w:val="21"/>
        </w:rPr>
        <w:t>静风条件下硫化氢泄漏逃生方向示意图</w:t>
      </w:r>
    </w:p>
    <w:p w14:paraId="26041248"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8</w:t>
      </w:r>
      <w:r w:rsidRPr="00092862">
        <w:rPr>
          <w:rFonts w:ascii="Times New Roman" w:eastAsia="宋体" w:hAnsi="Times New Roman" w:cs="Times New Roman"/>
          <w:b/>
          <w:color w:val="000000" w:themeColor="text1"/>
          <w:sz w:val="24"/>
        </w:rPr>
        <w:t>）废水转运事故应急预案</w:t>
      </w:r>
    </w:p>
    <w:p w14:paraId="053E235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为防止环境污染，建设单位应制定废水转运事故应急预案。</w:t>
      </w:r>
    </w:p>
    <w:p w14:paraId="3BDF33A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发生废水泄漏或者交通事故等导致废水外泄时，现场拉运工作人员和驾驶员在向主管部门报告的同时，应立即采取有效措施，切断废水与河流、农田等之间的泄漏途径，防止废水进入河流或者农田，阻止事态扩大。</w:t>
      </w:r>
    </w:p>
    <w:p w14:paraId="7CCE309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建设单位应立即组织人员赶赴现场指挥应急抢险，了解掌握事故动态，采取有效措施，组织实施抢救，防止事态扩大；严格保护事故现场，维护现场秩序，收集相关证据；及时将污染情况和应急工作情况上报。</w:t>
      </w:r>
    </w:p>
    <w:p w14:paraId="0D2BDCC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结合废水转运应急预案，建设单位定期组织进行应急预案演习和培训，提高废水罐车司机和拉运工作人员对突发环境事件的应急处置能力。</w:t>
      </w:r>
    </w:p>
    <w:p w14:paraId="66C1FEA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发生事故后，应由当地专业环境监测队伍负责对事故现场进行环境监测，对事故性质、参数与后果进行评估。监测方案可参照《突发环境事件应急监测技术规范》（</w:t>
      </w:r>
      <w:r w:rsidRPr="00092862">
        <w:rPr>
          <w:rFonts w:ascii="Times New Roman" w:eastAsia="宋体" w:hAnsi="Times New Roman" w:cs="Times New Roman"/>
          <w:color w:val="000000" w:themeColor="text1"/>
          <w:sz w:val="24"/>
        </w:rPr>
        <w:t>HJ 589-2010</w:t>
      </w:r>
      <w:r w:rsidRPr="00092862">
        <w:rPr>
          <w:rFonts w:ascii="Times New Roman" w:eastAsia="宋体" w:hAnsi="Times New Roman" w:cs="Times New Roman"/>
          <w:color w:val="000000" w:themeColor="text1"/>
          <w:sz w:val="24"/>
        </w:rPr>
        <w:t>）制定。</w:t>
      </w:r>
    </w:p>
    <w:p w14:paraId="3B52711B"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2</w:t>
      </w:r>
      <w:r w:rsidRPr="00092862">
        <w:rPr>
          <w:rFonts w:ascii="Times New Roman" w:eastAsia="宋体" w:hAnsi="Times New Roman" w:cs="Times New Roman"/>
          <w:b/>
          <w:color w:val="000000" w:themeColor="text1"/>
          <w:sz w:val="24"/>
        </w:rPr>
        <w:t>）试采过程风险应急预案</w:t>
      </w:r>
    </w:p>
    <w:p w14:paraId="64C9F3F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根据前述环境风险事故分析，本次评价将针对本项目试采作业的特点，结合企业制定的应急预案，提出试采期环境风险事故应急预案编制要求，供企业</w:t>
      </w:r>
      <w:r w:rsidRPr="00092862">
        <w:rPr>
          <w:rFonts w:ascii="Times New Roman" w:eastAsia="宋体" w:hAnsi="Times New Roman" w:cs="Times New Roman"/>
          <w:color w:val="000000" w:themeColor="text1"/>
          <w:sz w:val="24"/>
        </w:rPr>
        <w:lastRenderedPageBreak/>
        <w:t>及有关部门参考。</w:t>
      </w:r>
    </w:p>
    <w:p w14:paraId="32A259A6"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1</w:t>
      </w:r>
      <w:r w:rsidRPr="00092862">
        <w:rPr>
          <w:rFonts w:ascii="Times New Roman" w:eastAsia="宋体" w:hAnsi="Times New Roman" w:cs="Times New Roman"/>
          <w:b/>
          <w:color w:val="000000" w:themeColor="text1"/>
          <w:sz w:val="24"/>
        </w:rPr>
        <w:t>）通讯联络方式</w:t>
      </w:r>
    </w:p>
    <w:p w14:paraId="1956113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报告方式</w:t>
      </w:r>
    </w:p>
    <w:p w14:paraId="15E04C7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通常方式有：捎口信、固定电话、移动电话、传真和网络。</w:t>
      </w:r>
    </w:p>
    <w:p w14:paraId="58E356D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作业区向分公司报告，除非特别紧急的情况采用电话报告外，其它一律书面报告（电传）。</w:t>
      </w:r>
    </w:p>
    <w:p w14:paraId="2488350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作业区向当地镇、县、市级政府及其职能部门报告事故时，采用先电话告之，后附书面报告。</w:t>
      </w:r>
    </w:p>
    <w:p w14:paraId="18661D3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作业区向村社报告事故时，采用电话或口头报告形式。</w:t>
      </w:r>
    </w:p>
    <w:p w14:paraId="207C77A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报警方式，作业区确认事故后，对社会公众报警的方式为：电告当地市、区、镇人民政府和所属村社。</w:t>
      </w:r>
    </w:p>
    <w:p w14:paraId="6206972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电告</w:t>
      </w:r>
      <w:r w:rsidRPr="00092862">
        <w:rPr>
          <w:rFonts w:ascii="Times New Roman" w:eastAsia="宋体" w:hAnsi="Times New Roman" w:cs="Times New Roman"/>
          <w:color w:val="000000" w:themeColor="text1"/>
          <w:sz w:val="24"/>
        </w:rPr>
        <w:t>110</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119</w:t>
      </w:r>
      <w:r w:rsidRPr="00092862">
        <w:rPr>
          <w:rFonts w:ascii="Times New Roman" w:eastAsia="宋体" w:hAnsi="Times New Roman" w:cs="Times New Roman"/>
          <w:color w:val="000000" w:themeColor="text1"/>
          <w:sz w:val="24"/>
        </w:rPr>
        <w:t>。</w:t>
      </w:r>
    </w:p>
    <w:p w14:paraId="31E2C04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电告社会团体或企事业单位。</w:t>
      </w:r>
    </w:p>
    <w:p w14:paraId="62F7A508"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用高音喇叭通知社会居民或采用口信，一传十，十传百的方式。借助天然气救险车的扩音设备，巡回告之。</w:t>
      </w:r>
    </w:p>
    <w:p w14:paraId="51830F0E"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）应急响应</w:t>
      </w:r>
    </w:p>
    <w:p w14:paraId="2BE55C3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险情发生后，应急指挥启动应急预案；</w:t>
      </w:r>
    </w:p>
    <w:p w14:paraId="190E579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应急小组立即形成，由应急指挥组组长统一发布应急指挥命令；</w:t>
      </w:r>
    </w:p>
    <w:p w14:paraId="5642C72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生产抢修组负责现场流程的切换，协调、配合抢险单位实施应急抢险工作，以及在应急情况下现场人员的疏散（考虑该工程管道据居民房屋近的特点，还应组织附近居民的疏散）；</w:t>
      </w:r>
    </w:p>
    <w:p w14:paraId="5ADFA6D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安全监护组负责现场可燃气体的检测，安全警戒线的设置，并配合相关单位实施应急救援；</w:t>
      </w:r>
    </w:p>
    <w:p w14:paraId="5111823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⑤</w:t>
      </w:r>
      <w:r w:rsidRPr="00092862">
        <w:rPr>
          <w:rFonts w:ascii="Times New Roman" w:eastAsia="宋体" w:hAnsi="Times New Roman" w:cs="Times New Roman"/>
          <w:color w:val="000000" w:themeColor="text1"/>
          <w:sz w:val="24"/>
        </w:rPr>
        <w:t>通讯联络组负责建立抢险单位、救援单位及地方政府有关部门的联络；</w:t>
      </w:r>
    </w:p>
    <w:p w14:paraId="27BD639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⑥</w:t>
      </w:r>
      <w:r w:rsidRPr="00092862">
        <w:rPr>
          <w:rFonts w:ascii="Times New Roman" w:eastAsia="宋体" w:hAnsi="Times New Roman" w:cs="Times New Roman"/>
          <w:color w:val="000000" w:themeColor="text1"/>
          <w:sz w:val="24"/>
        </w:rPr>
        <w:t>后勤保障组负责抢险物资组织，后勤、车辆的保障；</w:t>
      </w:r>
    </w:p>
    <w:p w14:paraId="27A1F85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⑦</w:t>
      </w:r>
      <w:r w:rsidRPr="00092862">
        <w:rPr>
          <w:rFonts w:ascii="Times New Roman" w:eastAsia="宋体" w:hAnsi="Times New Roman" w:cs="Times New Roman"/>
          <w:color w:val="000000" w:themeColor="text1"/>
          <w:sz w:val="24"/>
        </w:rPr>
        <w:t>站场发生异常情况（大面积泄漏、火灾、爆炸）；</w:t>
      </w:r>
    </w:p>
    <w:p w14:paraId="0BBFDCD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⑧</w:t>
      </w:r>
      <w:r w:rsidRPr="00092862">
        <w:rPr>
          <w:rFonts w:ascii="Times New Roman" w:eastAsia="宋体" w:hAnsi="Times New Roman" w:cs="Times New Roman"/>
          <w:color w:val="000000" w:themeColor="text1"/>
          <w:sz w:val="24"/>
        </w:rPr>
        <w:t>集气站值班人员在站控室按下装置</w:t>
      </w:r>
      <w:r w:rsidRPr="00092862">
        <w:rPr>
          <w:rFonts w:ascii="Times New Roman" w:eastAsia="宋体" w:hAnsi="Times New Roman" w:cs="Times New Roman"/>
          <w:color w:val="000000" w:themeColor="text1"/>
          <w:sz w:val="24"/>
        </w:rPr>
        <w:t>ESD</w:t>
      </w:r>
      <w:r w:rsidRPr="00092862">
        <w:rPr>
          <w:rFonts w:ascii="Times New Roman" w:eastAsia="宋体" w:hAnsi="Times New Roman" w:cs="Times New Roman"/>
          <w:color w:val="000000" w:themeColor="text1"/>
          <w:sz w:val="24"/>
        </w:rPr>
        <w:t>按钮，实行全站</w:t>
      </w:r>
      <w:r w:rsidRPr="00092862">
        <w:rPr>
          <w:rFonts w:ascii="Times New Roman" w:eastAsia="宋体" w:hAnsi="Times New Roman" w:cs="Times New Roman"/>
          <w:color w:val="000000" w:themeColor="text1"/>
          <w:sz w:val="24"/>
        </w:rPr>
        <w:t>ESD</w:t>
      </w:r>
      <w:r w:rsidRPr="00092862">
        <w:rPr>
          <w:rFonts w:ascii="Times New Roman" w:eastAsia="宋体" w:hAnsi="Times New Roman" w:cs="Times New Roman"/>
          <w:color w:val="000000" w:themeColor="text1"/>
          <w:sz w:val="24"/>
        </w:rPr>
        <w:t>紧急关断，生产系统闭式放空，同时即向应急指挥汇报起火部位、情况；</w:t>
      </w:r>
    </w:p>
    <w:p w14:paraId="5A8824C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⑨</w:t>
      </w:r>
      <w:r w:rsidRPr="00092862">
        <w:rPr>
          <w:rFonts w:ascii="Times New Roman" w:eastAsia="宋体" w:hAnsi="Times New Roman" w:cs="Times New Roman"/>
          <w:color w:val="000000" w:themeColor="text1"/>
          <w:sz w:val="24"/>
        </w:rPr>
        <w:t>应急指挥下令启动事故应急预案，在控制室向现场下达应急指令；</w:t>
      </w:r>
    </w:p>
    <w:p w14:paraId="33F6FB9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⑩</w:t>
      </w:r>
      <w:r w:rsidRPr="00092862">
        <w:rPr>
          <w:rFonts w:ascii="Times New Roman" w:eastAsia="宋体" w:hAnsi="Times New Roman" w:cs="Times New Roman"/>
          <w:color w:val="000000" w:themeColor="text1"/>
          <w:sz w:val="24"/>
        </w:rPr>
        <w:t>通讯联络组迅速打电话报警，向中原油田普光分公司、中国石油化工股</w:t>
      </w:r>
      <w:r w:rsidRPr="00092862">
        <w:rPr>
          <w:rFonts w:ascii="Times New Roman" w:eastAsia="宋体" w:hAnsi="Times New Roman" w:cs="Times New Roman"/>
          <w:color w:val="000000" w:themeColor="text1"/>
          <w:sz w:val="24"/>
        </w:rPr>
        <w:lastRenderedPageBreak/>
        <w:t>份有限公司汇报现场情况，并联系抢险单位实施紧急抢险工作，同时向有关地方政府机构通报情况，请求救援；</w:t>
      </w:r>
    </w:p>
    <w:p w14:paraId="251EDD3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Cambria Math" w:eastAsia="宋体" w:hAnsi="Cambria Math" w:cs="Cambria Math"/>
          <w:color w:val="000000" w:themeColor="text1"/>
          <w:sz w:val="24"/>
        </w:rPr>
        <w:t>⑪</w:t>
      </w:r>
      <w:r w:rsidRPr="00092862">
        <w:rPr>
          <w:rFonts w:ascii="Times New Roman" w:eastAsia="宋体" w:hAnsi="Times New Roman" w:cs="Times New Roman"/>
          <w:color w:val="000000" w:themeColor="text1"/>
          <w:sz w:val="24"/>
        </w:rPr>
        <w:t>生产抢修组人员立即切断生产现场电源，并对现场流程切断情况进行确认；</w:t>
      </w:r>
    </w:p>
    <w:p w14:paraId="2C1A8A5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Cambria Math" w:eastAsia="宋体" w:hAnsi="Cambria Math" w:cs="Cambria Math"/>
          <w:color w:val="000000" w:themeColor="text1"/>
          <w:sz w:val="24"/>
        </w:rPr>
        <w:t>⑫</w:t>
      </w:r>
      <w:r w:rsidRPr="00092862">
        <w:rPr>
          <w:rFonts w:ascii="Times New Roman" w:eastAsia="宋体" w:hAnsi="Times New Roman" w:cs="Times New Roman"/>
          <w:color w:val="000000" w:themeColor="text1"/>
          <w:sz w:val="24"/>
        </w:rPr>
        <w:t>如现场存在火情，现场抢修组使用固定式消防系统和移动式灭火器进行灭火；</w:t>
      </w:r>
    </w:p>
    <w:p w14:paraId="113AC86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Cambria Math" w:eastAsia="宋体" w:hAnsi="Cambria Math" w:cs="Cambria Math"/>
          <w:color w:val="000000" w:themeColor="text1"/>
          <w:sz w:val="24"/>
        </w:rPr>
        <w:t>⑬</w:t>
      </w:r>
      <w:r w:rsidRPr="00092862">
        <w:rPr>
          <w:rFonts w:ascii="Times New Roman" w:eastAsia="宋体" w:hAnsi="Times New Roman" w:cs="Times New Roman"/>
          <w:color w:val="000000" w:themeColor="text1"/>
          <w:sz w:val="24"/>
        </w:rPr>
        <w:t>安全监护组负责在现场进行检测，在影响距离外设置警戒线，进行安全监护；</w:t>
      </w:r>
    </w:p>
    <w:p w14:paraId="1727279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Cambria Math" w:eastAsia="宋体" w:hAnsi="Cambria Math" w:cs="Cambria Math"/>
          <w:color w:val="000000" w:themeColor="text1"/>
          <w:sz w:val="24"/>
        </w:rPr>
        <w:t>⑭</w:t>
      </w:r>
      <w:r w:rsidRPr="00092862">
        <w:rPr>
          <w:rFonts w:ascii="Times New Roman" w:eastAsia="宋体" w:hAnsi="Times New Roman" w:cs="Times New Roman"/>
          <w:color w:val="000000" w:themeColor="text1"/>
          <w:sz w:val="24"/>
        </w:rPr>
        <w:t>抢修现场严禁使用非防爆用具，车辆一律熄火站外停放，确因工作需要进入现场的车辆必须佩带防火帽，经安全监护组确认安全后，按指定路线行进；</w:t>
      </w:r>
    </w:p>
    <w:p w14:paraId="542644E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Cambria Math" w:eastAsia="宋体" w:hAnsi="Cambria Math" w:cs="Cambria Math"/>
          <w:color w:val="000000" w:themeColor="text1"/>
          <w:sz w:val="24"/>
        </w:rPr>
        <w:t>⑮</w:t>
      </w:r>
      <w:r w:rsidRPr="00092862">
        <w:rPr>
          <w:rFonts w:ascii="Times New Roman" w:eastAsia="宋体" w:hAnsi="Times New Roman" w:cs="Times New Roman"/>
          <w:color w:val="000000" w:themeColor="text1"/>
          <w:sz w:val="24"/>
        </w:rPr>
        <w:t>后勤保障组负责组织相关的应急抢险物资；</w:t>
      </w:r>
    </w:p>
    <w:p w14:paraId="5B2D966C"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Cambria Math" w:eastAsia="宋体" w:hAnsi="Cambria Math" w:cs="Cambria Math"/>
          <w:color w:val="000000" w:themeColor="text1"/>
          <w:sz w:val="24"/>
        </w:rPr>
        <w:t>⑯</w:t>
      </w:r>
      <w:r w:rsidRPr="00092862">
        <w:rPr>
          <w:rFonts w:ascii="Times New Roman" w:eastAsia="宋体" w:hAnsi="Times New Roman" w:cs="Times New Roman"/>
          <w:color w:val="000000" w:themeColor="text1"/>
          <w:sz w:val="24"/>
        </w:rPr>
        <w:t>若现场情况无法控制，现场抢修组组织现场人员进行撤离。</w:t>
      </w:r>
    </w:p>
    <w:p w14:paraId="7EF0A4E4"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）事故应急处理措施</w:t>
      </w:r>
    </w:p>
    <w:p w14:paraId="70F2C21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当项目天然气发生泄漏时，项目总负责人或其指定人员应向当地政府报告，协助当地政府立即疏散管线周围的居民，并立即组织对项目周边社会关注点的撤离。</w:t>
      </w:r>
    </w:p>
    <w:p w14:paraId="2C0D4247"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a</w:t>
      </w:r>
      <w:r w:rsidRPr="00092862">
        <w:rPr>
          <w:rFonts w:ascii="Times New Roman" w:eastAsia="宋体" w:hAnsi="Times New Roman" w:cs="Times New Roman"/>
          <w:b/>
          <w:color w:val="000000" w:themeColor="text1"/>
          <w:sz w:val="24"/>
        </w:rPr>
        <w:t>、硫化氢泄漏应急疏散预案</w:t>
      </w:r>
    </w:p>
    <w:p w14:paraId="13B467C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硫化氢气体泄漏时，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作出风险和危害程度评估，决定是否扩大撤离范围。</w:t>
      </w:r>
    </w:p>
    <w:p w14:paraId="0AFCEEF2"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为了在紧急突发事件情况下防止</w:t>
      </w:r>
      <w:r w:rsidRPr="00092862">
        <w:rPr>
          <w:rFonts w:ascii="Times New Roman" w:eastAsia="宋体" w:hAnsi="Times New Roman" w:cs="Times New Roman"/>
          <w:color w:val="000000" w:themeColor="text1"/>
          <w:sz w:val="24"/>
        </w:rPr>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中毒，保障每位员工和站场周围群众的生命安全，应按正确的方法和方向撤离，每位接到撤离通知的员工和群众应按下列程序撤离：</w:t>
      </w:r>
    </w:p>
    <w:p w14:paraId="24676440"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群众由当地政府组织撤离，</w:t>
      </w:r>
      <w:r w:rsidRPr="00092862">
        <w:rPr>
          <w:rFonts w:ascii="Times New Roman" w:eastAsia="宋体" w:hAnsi="Times New Roman" w:cs="Times New Roman"/>
          <w:color w:val="000000" w:themeColor="text1"/>
          <w:sz w:val="24"/>
          <w:lang w:val="en-GB"/>
        </w:rPr>
        <w:t>集气站员工由集气站</w:t>
      </w:r>
      <w:r w:rsidRPr="00092862">
        <w:rPr>
          <w:rFonts w:ascii="Times New Roman" w:eastAsia="宋体" w:hAnsi="Times New Roman" w:cs="Times New Roman"/>
          <w:color w:val="000000" w:themeColor="text1"/>
          <w:sz w:val="24"/>
        </w:rPr>
        <w:t>组织撤离；</w:t>
      </w:r>
    </w:p>
    <w:p w14:paraId="2D7DB6C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lang w:val="en-GB"/>
        </w:rPr>
        <w:t>集气站</w:t>
      </w:r>
      <w:r w:rsidRPr="00092862">
        <w:rPr>
          <w:rFonts w:ascii="Times New Roman" w:eastAsia="宋体" w:hAnsi="Times New Roman" w:cs="Times New Roman"/>
          <w:color w:val="000000" w:themeColor="text1"/>
          <w:sz w:val="24"/>
        </w:rPr>
        <w:t>操作人员戴上正压式空气呼吸器撤离逃生；</w:t>
      </w:r>
    </w:p>
    <w:p w14:paraId="4AD9CDB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无正压式空气呼吸器者用干净湿毛巾捂住口鼻逃生；</w:t>
      </w:r>
    </w:p>
    <w:p w14:paraId="20B645D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逃生时要注意风向，一要沿上风（逆风）方向逃生，二要沿着地面上的高处跑，不要接触低凹处的水源。若所处位置沿上风方向逃生时的近道要经过</w:t>
      </w:r>
      <w:r w:rsidRPr="00092862">
        <w:rPr>
          <w:rFonts w:ascii="Times New Roman" w:eastAsia="宋体" w:hAnsi="Times New Roman" w:cs="Times New Roman"/>
          <w:color w:val="000000" w:themeColor="text1"/>
          <w:sz w:val="24"/>
        </w:rPr>
        <w:lastRenderedPageBreak/>
        <w:t>H</w:t>
      </w:r>
      <w:r w:rsidRPr="00092862">
        <w:rPr>
          <w:rFonts w:ascii="Times New Roman" w:eastAsia="宋体" w:hAnsi="Times New Roman" w:cs="Times New Roman"/>
          <w:color w:val="000000" w:themeColor="text1"/>
          <w:sz w:val="24"/>
          <w:vertAlign w:val="subscript"/>
        </w:rPr>
        <w:t>2</w:t>
      </w:r>
      <w:r w:rsidRPr="00092862">
        <w:rPr>
          <w:rFonts w:ascii="Times New Roman" w:eastAsia="宋体" w:hAnsi="Times New Roman" w:cs="Times New Roman"/>
          <w:color w:val="000000" w:themeColor="text1"/>
          <w:sz w:val="24"/>
        </w:rPr>
        <w:t>S</w:t>
      </w:r>
      <w:r w:rsidRPr="00092862">
        <w:rPr>
          <w:rFonts w:ascii="Times New Roman" w:eastAsia="宋体" w:hAnsi="Times New Roman" w:cs="Times New Roman"/>
          <w:color w:val="000000" w:themeColor="text1"/>
          <w:sz w:val="24"/>
        </w:rPr>
        <w:t>严重污染区，则横向绕道避开站场吹来的下风，到达非污染区后，再沿上风方向逃生（离站场越远越好）；若所处位置在站场下风方向的较远处，且风速较小，不能沿上风方向逃生而又无横向逃生小道时，可以最快捷的方式顺风逃生到有横向绕道的地方，再横向逃生避开污染区后向上风方向及沿着地面上的高点方向逃生；</w:t>
      </w:r>
    </w:p>
    <w:p w14:paraId="0BA1365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⑤</w:t>
      </w:r>
      <w:r w:rsidRPr="00092862">
        <w:rPr>
          <w:rFonts w:ascii="Times New Roman" w:eastAsia="宋体" w:hAnsi="Times New Roman" w:cs="Times New Roman"/>
          <w:color w:val="000000" w:themeColor="text1"/>
          <w:sz w:val="24"/>
        </w:rPr>
        <w:t>时间就是生命，紧急逃生时，不要因收贵重物品等事宜延误时间，并且要轻装撤离逃生；</w:t>
      </w:r>
    </w:p>
    <w:p w14:paraId="42ADC7F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⑥</w:t>
      </w:r>
      <w:r w:rsidRPr="00092862">
        <w:rPr>
          <w:rFonts w:ascii="Times New Roman" w:eastAsia="宋体" w:hAnsi="Times New Roman" w:cs="Times New Roman"/>
          <w:color w:val="000000" w:themeColor="text1"/>
          <w:sz w:val="24"/>
        </w:rPr>
        <w:t>当所处位置离站场很远时，则只要偏离风向往离站场越来越远的方向逃生即可。</w:t>
      </w:r>
    </w:p>
    <w:p w14:paraId="1FDE642B"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b</w:t>
      </w:r>
      <w:r w:rsidRPr="00092862">
        <w:rPr>
          <w:rFonts w:ascii="Times New Roman" w:eastAsia="宋体" w:hAnsi="Times New Roman" w:cs="Times New Roman"/>
          <w:b/>
          <w:color w:val="000000" w:themeColor="text1"/>
          <w:sz w:val="24"/>
        </w:rPr>
        <w:t>、硫化氢中毒应急救援预案</w:t>
      </w:r>
    </w:p>
    <w:p w14:paraId="31B599FE"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宋体" w:eastAsia="宋体" w:hAnsi="宋体" w:cs="宋体" w:hint="eastAsia"/>
          <w:bCs/>
          <w:color w:val="000000" w:themeColor="text1"/>
          <w:sz w:val="24"/>
        </w:rPr>
        <w:t>①</w:t>
      </w:r>
      <w:r w:rsidRPr="00092862">
        <w:rPr>
          <w:rFonts w:ascii="Times New Roman" w:eastAsia="宋体" w:hAnsi="Times New Roman" w:cs="Times New Roman"/>
          <w:color w:val="000000" w:themeColor="text1"/>
          <w:sz w:val="24"/>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采用铠装控制电缆敷设至控制器，控制器接收到超标信号，传送至配套喇叭进行报警。</w:t>
      </w:r>
      <w:r w:rsidRPr="00092862">
        <w:rPr>
          <w:rFonts w:ascii="Times New Roman" w:eastAsia="宋体" w:hAnsi="Times New Roman" w:cs="Times New Roman"/>
          <w:color w:val="000000" w:themeColor="text1"/>
          <w:sz w:val="24"/>
        </w:rPr>
        <w:t>RTU</w:t>
      </w:r>
      <w:r w:rsidRPr="00092862">
        <w:rPr>
          <w:rFonts w:ascii="Times New Roman" w:eastAsia="宋体" w:hAnsi="Times New Roman" w:cs="Times New Roman"/>
          <w:color w:val="000000" w:themeColor="text1"/>
          <w:sz w:val="24"/>
        </w:rPr>
        <w:t>的数据上传至集气站控制室、脱硫净化厂中控室。硫化氢气体检测报警</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级报警值</w:t>
      </w:r>
      <w:r w:rsidRPr="00092862">
        <w:rPr>
          <w:rFonts w:ascii="Times New Roman" w:eastAsia="宋体" w:hAnsi="Times New Roman" w:cs="Times New Roman"/>
          <w:color w:val="000000" w:themeColor="text1"/>
          <w:sz w:val="24"/>
        </w:rPr>
        <w:t>10mg</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级报警值</w:t>
      </w:r>
      <w:r w:rsidRPr="00092862">
        <w:rPr>
          <w:rFonts w:ascii="Times New Roman" w:eastAsia="宋体" w:hAnsi="Times New Roman" w:cs="Times New Roman"/>
          <w:color w:val="000000" w:themeColor="text1"/>
          <w:sz w:val="24"/>
        </w:rPr>
        <w:t>20mg</w:t>
      </w:r>
      <w:r w:rsidRPr="00092862">
        <w:rPr>
          <w:rFonts w:ascii="Times New Roman" w:eastAsia="宋体" w:hAnsi="Times New Roman" w:cs="Times New Roman"/>
          <w:color w:val="000000" w:themeColor="text1"/>
          <w:sz w:val="24"/>
        </w:rPr>
        <w:t>，工作人员应根据报警值采取相应处理措施。同时在站内设置便携式硫化氢气体检测报警仪</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套，对天然气泄漏进行定期巡检。</w:t>
      </w:r>
      <w:r w:rsidRPr="00092862">
        <w:rPr>
          <w:rFonts w:ascii="Times New Roman" w:eastAsia="宋体" w:hAnsi="Times New Roman" w:cs="Times New Roman"/>
          <w:bCs/>
          <w:color w:val="000000" w:themeColor="text1"/>
          <w:sz w:val="24"/>
        </w:rPr>
        <w:t>在可能产生硫化氢的场所工作的员工每人配备防毒面具和空（氧）气呼吸器，并保证有效使用；</w:t>
      </w:r>
    </w:p>
    <w:p w14:paraId="1EE16CF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宋体" w:eastAsia="宋体" w:hAnsi="宋体" w:cs="宋体" w:hint="eastAsia"/>
          <w:bCs/>
          <w:color w:val="000000" w:themeColor="text1"/>
          <w:sz w:val="24"/>
        </w:rPr>
        <w:t>②</w:t>
      </w:r>
      <w:r w:rsidRPr="00092862">
        <w:rPr>
          <w:rFonts w:ascii="Times New Roman" w:eastAsia="宋体" w:hAnsi="Times New Roman" w:cs="Times New Roman"/>
          <w:bCs/>
          <w:color w:val="000000" w:themeColor="text1"/>
          <w:sz w:val="24"/>
        </w:rPr>
        <w:t>向周围居民进行防硫化氢中毒的防护知识的宣传，并调查了解附近居民的分布情况，掌握其最有效的联系方式；</w:t>
      </w:r>
    </w:p>
    <w:p w14:paraId="491EAC81"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宋体" w:eastAsia="宋体" w:hAnsi="宋体" w:cs="宋体" w:hint="eastAsia"/>
          <w:bCs/>
          <w:color w:val="000000" w:themeColor="text1"/>
          <w:sz w:val="24"/>
        </w:rPr>
        <w:t>③</w:t>
      </w:r>
      <w:r w:rsidRPr="00092862">
        <w:rPr>
          <w:rFonts w:ascii="Times New Roman" w:eastAsia="宋体" w:hAnsi="Times New Roman" w:cs="Times New Roman"/>
          <w:bCs/>
          <w:color w:val="000000" w:themeColor="text1"/>
          <w:sz w:val="24"/>
        </w:rPr>
        <w:t>听到硫化氢报警信号后立即戴上防毒面具或氧气呼吸器；</w:t>
      </w:r>
    </w:p>
    <w:p w14:paraId="38CCAA1B"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宋体" w:eastAsia="宋体" w:hAnsi="宋体" w:cs="宋体" w:hint="eastAsia"/>
          <w:bCs/>
          <w:color w:val="000000" w:themeColor="text1"/>
          <w:sz w:val="24"/>
        </w:rPr>
        <w:t>④</w:t>
      </w:r>
      <w:r w:rsidRPr="00092862">
        <w:rPr>
          <w:rFonts w:ascii="Times New Roman" w:eastAsia="宋体" w:hAnsi="Times New Roman" w:cs="Times New Roman"/>
          <w:bCs/>
          <w:color w:val="000000" w:themeColor="text1"/>
          <w:sz w:val="24"/>
        </w:rPr>
        <w:t>发出警报信号（鸣喇叭），全队处于应急状态；工作人员需立即赶往现场，按</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四七</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动作控制井口至脱硫塔前区域；做好站场救护准备；卫生员准备担架、氧气袋和急救箱到站场；</w:t>
      </w:r>
      <w:r w:rsidRPr="00092862">
        <w:rPr>
          <w:rFonts w:ascii="Times New Roman" w:eastAsia="宋体" w:hAnsi="Times New Roman" w:cs="Times New Roman"/>
          <w:bCs/>
          <w:color w:val="000000" w:themeColor="text1"/>
          <w:sz w:val="24"/>
        </w:rPr>
        <w:t>HSE</w:t>
      </w:r>
      <w:r w:rsidRPr="00092862">
        <w:rPr>
          <w:rFonts w:ascii="Times New Roman" w:eastAsia="宋体" w:hAnsi="Times New Roman" w:cs="Times New Roman"/>
          <w:bCs/>
          <w:color w:val="000000" w:themeColor="text1"/>
          <w:sz w:val="24"/>
        </w:rPr>
        <w:t>监督（安全员）检查空气呼吸器并搬出备用；</w:t>
      </w:r>
    </w:p>
    <w:p w14:paraId="1EA68E19"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宋体" w:eastAsia="宋体" w:hAnsi="宋体" w:cs="宋体" w:hint="eastAsia"/>
          <w:bCs/>
          <w:color w:val="000000" w:themeColor="text1"/>
          <w:sz w:val="24"/>
        </w:rPr>
        <w:t>⑤</w:t>
      </w:r>
      <w:r w:rsidRPr="00092862">
        <w:rPr>
          <w:rFonts w:ascii="Times New Roman" w:eastAsia="宋体" w:hAnsi="Times New Roman" w:cs="Times New Roman"/>
          <w:bCs/>
          <w:color w:val="000000" w:themeColor="text1"/>
          <w:sz w:val="24"/>
        </w:rPr>
        <w:t>救护人员戴好空气呼吸器到岗位检查井口区域是否控制住，有无人员中毒；若发现有人员中毒立即抬至空气流通处施行现场急救，同时与挂钩医院联系；</w:t>
      </w:r>
    </w:p>
    <w:p w14:paraId="76A6291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宋体" w:eastAsia="宋体" w:hAnsi="宋体" w:cs="宋体" w:hint="eastAsia"/>
          <w:bCs/>
          <w:color w:val="000000" w:themeColor="text1"/>
          <w:sz w:val="24"/>
        </w:rPr>
        <w:t>⑥</w:t>
      </w:r>
      <w:r w:rsidRPr="00092862">
        <w:rPr>
          <w:rFonts w:ascii="Times New Roman" w:eastAsia="宋体" w:hAnsi="Times New Roman" w:cs="Times New Roman"/>
          <w:bCs/>
          <w:color w:val="000000" w:themeColor="text1"/>
          <w:sz w:val="24"/>
        </w:rPr>
        <w:t>由技术员组织处理消除井内的</w:t>
      </w:r>
      <w:r w:rsidRPr="00092862">
        <w:rPr>
          <w:rFonts w:ascii="Times New Roman" w:eastAsia="宋体" w:hAnsi="Times New Roman" w:cs="Times New Roman"/>
          <w:bCs/>
          <w:color w:val="000000" w:themeColor="text1"/>
          <w:sz w:val="24"/>
        </w:rPr>
        <w:t>H</w:t>
      </w:r>
      <w:r w:rsidRPr="00092862">
        <w:rPr>
          <w:rFonts w:ascii="Times New Roman" w:eastAsia="宋体" w:hAnsi="Times New Roman" w:cs="Times New Roman"/>
          <w:bCs/>
          <w:color w:val="000000" w:themeColor="text1"/>
          <w:sz w:val="24"/>
          <w:vertAlign w:val="subscript"/>
        </w:rPr>
        <w:t>2</w:t>
      </w:r>
      <w:r w:rsidRPr="00092862">
        <w:rPr>
          <w:rFonts w:ascii="Times New Roman" w:eastAsia="宋体" w:hAnsi="Times New Roman" w:cs="Times New Roman"/>
          <w:bCs/>
          <w:color w:val="000000" w:themeColor="text1"/>
          <w:sz w:val="24"/>
        </w:rPr>
        <w:t>S</w:t>
      </w:r>
      <w:r w:rsidRPr="00092862">
        <w:rPr>
          <w:rFonts w:ascii="Times New Roman" w:eastAsia="宋体" w:hAnsi="Times New Roman" w:cs="Times New Roman"/>
          <w:bCs/>
          <w:color w:val="000000" w:themeColor="text1"/>
          <w:sz w:val="24"/>
        </w:rPr>
        <w:t>外逸工作。</w:t>
      </w:r>
    </w:p>
    <w:p w14:paraId="5F82AF7E"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lastRenderedPageBreak/>
        <w:t>4</w:t>
      </w:r>
      <w:r w:rsidRPr="00092862">
        <w:rPr>
          <w:rFonts w:ascii="Times New Roman" w:eastAsia="宋体" w:hAnsi="Times New Roman" w:cs="Times New Roman"/>
          <w:b/>
          <w:bCs/>
          <w:color w:val="000000" w:themeColor="text1"/>
          <w:sz w:val="24"/>
        </w:rPr>
        <w:t>）应急监测</w:t>
      </w:r>
    </w:p>
    <w:p w14:paraId="33935CB3"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按照《中国石油化工股份有限公司中原油田普光分公司环境突发环境事故应急预案》要求开展应急监测。</w:t>
      </w:r>
    </w:p>
    <w:p w14:paraId="37581665"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5</w:t>
      </w:r>
      <w:r w:rsidRPr="00092862">
        <w:rPr>
          <w:rFonts w:ascii="Times New Roman" w:eastAsia="宋体" w:hAnsi="Times New Roman" w:cs="Times New Roman"/>
          <w:b/>
          <w:bCs/>
          <w:color w:val="000000" w:themeColor="text1"/>
          <w:sz w:val="24"/>
        </w:rPr>
        <w:t>）事故后的恢复程序</w:t>
      </w:r>
    </w:p>
    <w:p w14:paraId="495FF296"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当恢复生产后，善后工作由现场人员负责具体落实，主要包括以下内容：</w:t>
      </w:r>
    </w:p>
    <w:p w14:paraId="00EA52CA"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对现场进行清理，撤除所有的机具设备。</w:t>
      </w:r>
    </w:p>
    <w:p w14:paraId="3876D13F"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恢复地貌、植被；疏通河道、交通。</w:t>
      </w:r>
    </w:p>
    <w:p w14:paraId="41462AC4"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根据事故破坏情况，进行评估，按照相关法律，进行赔偿。</w:t>
      </w:r>
    </w:p>
    <w:p w14:paraId="3BE36E15"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④</w:t>
      </w:r>
      <w:r w:rsidRPr="00092862">
        <w:rPr>
          <w:rFonts w:ascii="Times New Roman" w:eastAsia="宋体" w:hAnsi="Times New Roman" w:cs="Times New Roman"/>
          <w:color w:val="000000" w:themeColor="text1"/>
          <w:sz w:val="24"/>
        </w:rPr>
        <w:t>做好各项记录，进行归档整理。</w:t>
      </w:r>
    </w:p>
    <w:p w14:paraId="1F02DD0B" w14:textId="77777777" w:rsidR="00450025" w:rsidRPr="00092862" w:rsidRDefault="00450025" w:rsidP="00450025">
      <w:pPr>
        <w:adjustRightInd w:val="0"/>
        <w:snapToGrid w:val="0"/>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6</w:t>
      </w:r>
      <w:r w:rsidRPr="00092862">
        <w:rPr>
          <w:rFonts w:ascii="Times New Roman" w:eastAsia="宋体" w:hAnsi="Times New Roman" w:cs="Times New Roman"/>
          <w:b/>
          <w:bCs/>
          <w:color w:val="000000" w:themeColor="text1"/>
          <w:sz w:val="24"/>
        </w:rPr>
        <w:t>）应急培训与演练</w:t>
      </w:r>
    </w:p>
    <w:p w14:paraId="4BE6B86D"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应急培训和演练是培养和提高各岗位操作人员以及其他人员的日常应急处理能力的重要手段。按照《中国石油化工股份有限公司中原油田普光分公司环境突发环境事故应急预案》要求执行应急培训与演练。</w:t>
      </w:r>
    </w:p>
    <w:p w14:paraId="6D3E07BC" w14:textId="1AF1D1B8" w:rsidR="00450025" w:rsidRPr="00092862" w:rsidRDefault="00450025" w:rsidP="00450025">
      <w:pPr>
        <w:pStyle w:val="2"/>
        <w:ind w:firstLine="480"/>
        <w:rPr>
          <w:color w:val="000000" w:themeColor="text1"/>
          <w:szCs w:val="24"/>
          <w:lang w:eastAsia="zh-CN"/>
        </w:rPr>
      </w:pPr>
      <w:bookmarkStart w:id="330" w:name="5.3.7分析结论"/>
      <w:bookmarkStart w:id="331" w:name="_Toc123682552"/>
      <w:bookmarkEnd w:id="330"/>
      <w:r w:rsidRPr="00092862">
        <w:rPr>
          <w:color w:val="000000" w:themeColor="text1"/>
          <w:szCs w:val="24"/>
          <w:lang w:eastAsia="zh-CN"/>
        </w:rPr>
        <w:t>6.7</w:t>
      </w:r>
      <w:r w:rsidRPr="00092862">
        <w:rPr>
          <w:color w:val="000000" w:themeColor="text1"/>
          <w:szCs w:val="24"/>
          <w:lang w:eastAsia="zh-CN"/>
        </w:rPr>
        <w:t>分析结论</w:t>
      </w:r>
      <w:bookmarkEnd w:id="331"/>
    </w:p>
    <w:p w14:paraId="7FBBA4D7" w14:textId="77777777" w:rsidR="00450025" w:rsidRPr="00092862" w:rsidRDefault="00450025" w:rsidP="00450025">
      <w:pPr>
        <w:adjustRightInd w:val="0"/>
        <w:snapToGrid w:val="0"/>
        <w:spacing w:line="360" w:lineRule="auto"/>
        <w:ind w:firstLineChars="200" w:firstLine="480"/>
        <w:rPr>
          <w:rFonts w:ascii="Times New Roman" w:eastAsia="宋体" w:hAnsi="Times New Roman" w:cs="Times New Roman"/>
          <w:color w:val="000000" w:themeColor="text1"/>
          <w:sz w:val="24"/>
          <w:szCs w:val="26"/>
        </w:rPr>
      </w:pPr>
      <w:r w:rsidRPr="00092862">
        <w:rPr>
          <w:rFonts w:ascii="Times New Roman" w:eastAsia="宋体" w:hAnsi="Times New Roman" w:cs="Times New Roman"/>
          <w:color w:val="000000" w:themeColor="text1"/>
          <w:sz w:val="24"/>
          <w:szCs w:val="26"/>
        </w:rPr>
        <w:t>本工程地质条件、钻井深度、地层压力、天然气含量等综合试采条件在行业的试采井中属于中等不利，环境风险大小处于</w:t>
      </w:r>
      <w:r w:rsidRPr="00092862">
        <w:rPr>
          <w:rFonts w:ascii="Times New Roman" w:eastAsia="宋体" w:hAnsi="Times New Roman" w:cs="Times New Roman"/>
          <w:color w:val="000000" w:themeColor="text1"/>
          <w:sz w:val="24"/>
          <w:szCs w:val="26"/>
        </w:rPr>
        <w:t>“</w:t>
      </w:r>
      <w:r w:rsidRPr="00092862">
        <w:rPr>
          <w:rFonts w:ascii="Times New Roman" w:eastAsia="宋体" w:hAnsi="Times New Roman" w:cs="Times New Roman"/>
          <w:color w:val="000000" w:themeColor="text1"/>
          <w:sz w:val="24"/>
          <w:szCs w:val="26"/>
        </w:rPr>
        <w:t>引入风险削减措施</w:t>
      </w:r>
      <w:r w:rsidRPr="00092862">
        <w:rPr>
          <w:rFonts w:ascii="Times New Roman" w:eastAsia="宋体" w:hAnsi="Times New Roman" w:cs="Times New Roman"/>
          <w:color w:val="000000" w:themeColor="text1"/>
          <w:sz w:val="24"/>
          <w:szCs w:val="26"/>
        </w:rPr>
        <w:t>”</w:t>
      </w:r>
      <w:r w:rsidRPr="00092862">
        <w:rPr>
          <w:rFonts w:ascii="Times New Roman" w:eastAsia="宋体" w:hAnsi="Times New Roman" w:cs="Times New Roman"/>
          <w:color w:val="000000" w:themeColor="text1"/>
          <w:sz w:val="24"/>
          <w:szCs w:val="26"/>
        </w:rPr>
        <w:t>级别，与工程地层情况类似的相邻井在钻井中未发生井喷失控事故，发生可能诱发井喷失控的不良现象很少，仅表现为井漏，未出现井喷情况。废水、固废、油类物质等设置于罐内或池内，井场分区分级防渗，发生泄露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14:paraId="5CAFBB86" w14:textId="2BCB8F8F" w:rsidR="00450025" w:rsidRPr="00092862" w:rsidRDefault="00450025" w:rsidP="00450025">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6.7-1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建设项目环境风险简单分析内容表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6"/>
        <w:gridCol w:w="1231"/>
        <w:gridCol w:w="2230"/>
        <w:gridCol w:w="1050"/>
        <w:gridCol w:w="1940"/>
      </w:tblGrid>
      <w:tr w:rsidR="00697429" w:rsidRPr="00092862" w14:paraId="21D72D9E" w14:textId="77777777" w:rsidTr="00C54C73">
        <w:trPr>
          <w:trHeight w:val="255"/>
        </w:trPr>
        <w:tc>
          <w:tcPr>
            <w:tcW w:w="1112" w:type="pct"/>
            <w:vAlign w:val="center"/>
          </w:tcPr>
          <w:p w14:paraId="5CB9E16A"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建设项目名称</w:t>
            </w:r>
          </w:p>
        </w:tc>
        <w:tc>
          <w:tcPr>
            <w:tcW w:w="3888" w:type="pct"/>
            <w:gridSpan w:val="4"/>
            <w:vAlign w:val="center"/>
          </w:tcPr>
          <w:p w14:paraId="62098243" w14:textId="6BEB68BE" w:rsidR="00450025" w:rsidRPr="00092862" w:rsidRDefault="00215953"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老君</w:t>
            </w:r>
            <w:r w:rsidRPr="00092862">
              <w:rPr>
                <w:rFonts w:ascii="Times New Roman" w:eastAsia="宋体" w:hAnsi="Times New Roman" w:cs="Times New Roman"/>
                <w:color w:val="000000" w:themeColor="text1"/>
                <w:szCs w:val="21"/>
              </w:rPr>
              <w:t>7011</w:t>
            </w:r>
            <w:r w:rsidRPr="00092862">
              <w:rPr>
                <w:rFonts w:ascii="Times New Roman" w:eastAsia="宋体" w:hAnsi="Times New Roman" w:cs="Times New Roman"/>
                <w:color w:val="000000" w:themeColor="text1"/>
                <w:szCs w:val="21"/>
              </w:rPr>
              <w:t>井台钻井及试采工程</w:t>
            </w:r>
          </w:p>
        </w:tc>
      </w:tr>
      <w:tr w:rsidR="00697429" w:rsidRPr="00092862" w14:paraId="3E474C45" w14:textId="77777777" w:rsidTr="00C54C73">
        <w:trPr>
          <w:trHeight w:val="255"/>
        </w:trPr>
        <w:tc>
          <w:tcPr>
            <w:tcW w:w="1112" w:type="pct"/>
            <w:vAlign w:val="center"/>
          </w:tcPr>
          <w:p w14:paraId="56FDC1BE"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建设地点</w:t>
            </w:r>
          </w:p>
        </w:tc>
        <w:tc>
          <w:tcPr>
            <w:tcW w:w="3888" w:type="pct"/>
            <w:gridSpan w:val="4"/>
            <w:vAlign w:val="center"/>
          </w:tcPr>
          <w:p w14:paraId="5FFE6A77" w14:textId="2EBECD4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宣汉县</w:t>
            </w:r>
            <w:r w:rsidR="00215953" w:rsidRPr="00092862">
              <w:rPr>
                <w:rFonts w:ascii="Times New Roman" w:eastAsia="宋体" w:hAnsi="Times New Roman" w:cs="Times New Roman"/>
                <w:color w:val="000000" w:themeColor="text1"/>
                <w:szCs w:val="21"/>
              </w:rPr>
              <w:t>老君乡古楼村</w:t>
            </w:r>
          </w:p>
        </w:tc>
      </w:tr>
      <w:tr w:rsidR="00697429" w:rsidRPr="00092862" w14:paraId="756BEB12" w14:textId="77777777" w:rsidTr="00C54C73">
        <w:trPr>
          <w:trHeight w:val="291"/>
        </w:trPr>
        <w:tc>
          <w:tcPr>
            <w:tcW w:w="1112" w:type="pct"/>
            <w:vAlign w:val="center"/>
          </w:tcPr>
          <w:p w14:paraId="5045C244"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地理坐标</w:t>
            </w:r>
          </w:p>
        </w:tc>
        <w:tc>
          <w:tcPr>
            <w:tcW w:w="742" w:type="pct"/>
            <w:vAlign w:val="center"/>
          </w:tcPr>
          <w:p w14:paraId="1F3A8452"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经度</w:t>
            </w:r>
          </w:p>
        </w:tc>
        <w:tc>
          <w:tcPr>
            <w:tcW w:w="1344" w:type="pct"/>
            <w:vAlign w:val="center"/>
          </w:tcPr>
          <w:p w14:paraId="22F2FA8F" w14:textId="7623267C" w:rsidR="00450025" w:rsidRPr="00092862" w:rsidRDefault="00676047"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107.82339156</w:t>
            </w:r>
            <w:r w:rsidR="00450025" w:rsidRPr="00092862">
              <w:rPr>
                <w:rFonts w:ascii="Times New Roman" w:eastAsia="宋体" w:hAnsi="Times New Roman" w:cs="Times New Roman"/>
                <w:color w:val="000000" w:themeColor="text1"/>
                <w:szCs w:val="21"/>
              </w:rPr>
              <w:t>°</w:t>
            </w:r>
            <w:r w:rsidR="00450025" w:rsidRPr="00092862">
              <w:rPr>
                <w:rFonts w:ascii="Times New Roman" w:eastAsia="宋体" w:hAnsi="Times New Roman" w:cs="Times New Roman"/>
                <w:color w:val="000000" w:themeColor="text1"/>
                <w:szCs w:val="21"/>
              </w:rPr>
              <w:t>东</w:t>
            </w:r>
          </w:p>
        </w:tc>
        <w:tc>
          <w:tcPr>
            <w:tcW w:w="633" w:type="pct"/>
            <w:vAlign w:val="center"/>
          </w:tcPr>
          <w:p w14:paraId="5E82FF56"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纬度</w:t>
            </w:r>
          </w:p>
        </w:tc>
        <w:tc>
          <w:tcPr>
            <w:tcW w:w="1170" w:type="pct"/>
            <w:vAlign w:val="center"/>
          </w:tcPr>
          <w:p w14:paraId="628A79B4" w14:textId="7DD713D9" w:rsidR="00450025" w:rsidRPr="00092862" w:rsidRDefault="00676047"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31.44952918</w:t>
            </w:r>
            <w:r w:rsidR="00450025" w:rsidRPr="00092862">
              <w:rPr>
                <w:rFonts w:ascii="Times New Roman" w:eastAsia="宋体" w:hAnsi="Times New Roman" w:cs="Times New Roman"/>
                <w:color w:val="000000" w:themeColor="text1"/>
                <w:szCs w:val="21"/>
              </w:rPr>
              <w:t>°</w:t>
            </w:r>
            <w:r w:rsidR="00450025" w:rsidRPr="00092862">
              <w:rPr>
                <w:rFonts w:ascii="Times New Roman" w:eastAsia="宋体" w:hAnsi="Times New Roman" w:cs="Times New Roman"/>
                <w:color w:val="000000" w:themeColor="text1"/>
                <w:szCs w:val="21"/>
              </w:rPr>
              <w:t>北</w:t>
            </w:r>
          </w:p>
        </w:tc>
      </w:tr>
      <w:tr w:rsidR="00697429" w:rsidRPr="00092862" w14:paraId="0030207E" w14:textId="77777777" w:rsidTr="00C54C73">
        <w:trPr>
          <w:trHeight w:val="802"/>
        </w:trPr>
        <w:tc>
          <w:tcPr>
            <w:tcW w:w="1112" w:type="pct"/>
            <w:vAlign w:val="center"/>
          </w:tcPr>
          <w:p w14:paraId="4825F4F8"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主要危险物质及分布</w:t>
            </w:r>
          </w:p>
        </w:tc>
        <w:tc>
          <w:tcPr>
            <w:tcW w:w="3888" w:type="pct"/>
            <w:gridSpan w:val="4"/>
            <w:vAlign w:val="center"/>
          </w:tcPr>
          <w:p w14:paraId="7333A96E" w14:textId="5A41F875" w:rsidR="00450025" w:rsidRPr="00092862" w:rsidRDefault="00450025" w:rsidP="00C54C73">
            <w:pP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、施工期：柴油及废油，总存在量</w:t>
            </w:r>
            <w:r w:rsidRPr="00092862">
              <w:rPr>
                <w:rFonts w:ascii="Times New Roman" w:eastAsia="宋体" w:hAnsi="Times New Roman" w:cs="Times New Roman"/>
                <w:color w:val="000000" w:themeColor="text1"/>
                <w:szCs w:val="21"/>
              </w:rPr>
              <w:t>16.085t</w:t>
            </w:r>
            <w:r w:rsidRPr="00092862">
              <w:rPr>
                <w:rFonts w:ascii="Times New Roman" w:eastAsia="宋体" w:hAnsi="Times New Roman" w:cs="Times New Roman"/>
                <w:color w:val="000000" w:themeColor="text1"/>
                <w:szCs w:val="21"/>
              </w:rPr>
              <w:t>，油罐暂存井场防渗区内，废油设置废油桶集中收集暂存于泥浆不落地装置区临时堆放区内，钻井队综合利用或交由有资质的单位处理；甲烷，井喷失控泄露量为</w:t>
            </w:r>
            <w:r w:rsidR="00D713D7" w:rsidRPr="00092862">
              <w:rPr>
                <w:rFonts w:ascii="Times New Roman" w:eastAsia="宋体" w:hAnsi="Times New Roman" w:cs="Times New Roman"/>
                <w:color w:val="000000" w:themeColor="text1"/>
                <w:szCs w:val="21"/>
              </w:rPr>
              <w:t>5.27t</w:t>
            </w:r>
            <w:r w:rsidRPr="00092862">
              <w:rPr>
                <w:rFonts w:ascii="Times New Roman" w:eastAsia="宋体" w:hAnsi="Times New Roman" w:cs="Times New Roman"/>
                <w:color w:val="000000" w:themeColor="text1"/>
                <w:szCs w:val="21"/>
              </w:rPr>
              <w:t>；硫化氢，井喷失控泄露量为</w:t>
            </w:r>
            <w:r w:rsidR="00D713D7" w:rsidRPr="00092862">
              <w:rPr>
                <w:rFonts w:ascii="Times New Roman" w:eastAsia="宋体" w:hAnsi="Times New Roman" w:cs="Times New Roman"/>
                <w:color w:val="000000" w:themeColor="text1"/>
                <w:szCs w:val="21"/>
              </w:rPr>
              <w:t>1.98t</w:t>
            </w:r>
            <w:r w:rsidRPr="00092862">
              <w:rPr>
                <w:rFonts w:ascii="Times New Roman" w:eastAsia="宋体" w:hAnsi="Times New Roman" w:cs="Times New Roman"/>
                <w:color w:val="000000" w:themeColor="text1"/>
                <w:szCs w:val="21"/>
              </w:rPr>
              <w:t>。</w:t>
            </w:r>
          </w:p>
          <w:p w14:paraId="1FF7CAE9" w14:textId="77777777" w:rsidR="00450025" w:rsidRPr="00092862" w:rsidRDefault="00450025" w:rsidP="00C54C73">
            <w:pPr>
              <w:rPr>
                <w:rFonts w:ascii="Times New Roman" w:eastAsia="宋体" w:hAnsi="Times New Roman" w:cs="Times New Roman"/>
                <w:color w:val="000000" w:themeColor="text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Cs w:val="21"/>
              </w:rPr>
              <w:t>、试采期：甲烷设备在线量为</w:t>
            </w:r>
            <w:r w:rsidRPr="00092862">
              <w:rPr>
                <w:rFonts w:ascii="Times New Roman" w:eastAsia="宋体" w:hAnsi="Times New Roman" w:cs="Times New Roman"/>
                <w:color w:val="000000" w:themeColor="text1"/>
                <w:szCs w:val="21"/>
              </w:rPr>
              <w:t>0.12t</w:t>
            </w:r>
            <w:r w:rsidRPr="00092862">
              <w:rPr>
                <w:rFonts w:ascii="Times New Roman" w:eastAsia="宋体" w:hAnsi="Times New Roman" w:cs="Times New Roman"/>
                <w:color w:val="000000" w:themeColor="text1"/>
                <w:szCs w:val="21"/>
              </w:rPr>
              <w:t>，硫化氢设备在线量为</w:t>
            </w:r>
            <w:r w:rsidRPr="00092862">
              <w:rPr>
                <w:rFonts w:ascii="Times New Roman" w:eastAsia="宋体" w:hAnsi="Times New Roman" w:cs="Times New Roman"/>
                <w:color w:val="000000" w:themeColor="text1"/>
                <w:szCs w:val="21"/>
              </w:rPr>
              <w:t>0.04t</w:t>
            </w:r>
            <w:r w:rsidRPr="00092862">
              <w:rPr>
                <w:rFonts w:ascii="Times New Roman" w:eastAsia="宋体" w:hAnsi="Times New Roman" w:cs="Times New Roman"/>
                <w:color w:val="000000" w:themeColor="text1"/>
                <w:szCs w:val="21"/>
              </w:rPr>
              <w:t>。</w:t>
            </w:r>
          </w:p>
        </w:tc>
      </w:tr>
      <w:tr w:rsidR="00697429" w:rsidRPr="00092862" w14:paraId="44843795" w14:textId="77777777" w:rsidTr="00C54C73">
        <w:trPr>
          <w:trHeight w:val="2114"/>
        </w:trPr>
        <w:tc>
          <w:tcPr>
            <w:tcW w:w="1112" w:type="pct"/>
            <w:vAlign w:val="center"/>
          </w:tcPr>
          <w:p w14:paraId="515B3F10"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环境影响途径及危害后果</w:t>
            </w:r>
          </w:p>
        </w:tc>
        <w:tc>
          <w:tcPr>
            <w:tcW w:w="3888" w:type="pct"/>
            <w:gridSpan w:val="4"/>
            <w:vAlign w:val="center"/>
          </w:tcPr>
          <w:p w14:paraId="348F38FC" w14:textId="77777777" w:rsidR="00450025" w:rsidRPr="00092862" w:rsidRDefault="00450025" w:rsidP="00C54C73">
            <w:pPr>
              <w:numPr>
                <w:ilvl w:val="0"/>
                <w:numId w:val="5"/>
              </w:num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14:paraId="7589DA2F" w14:textId="77777777" w:rsidR="00450025" w:rsidRPr="00092862" w:rsidRDefault="00450025" w:rsidP="00C54C73">
            <w:pPr>
              <w:numPr>
                <w:ilvl w:val="0"/>
                <w:numId w:val="5"/>
              </w:num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甲烷、硫化氢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rsidR="008B37BB" w:rsidRPr="00092862" w14:paraId="0F13AA71" w14:textId="77777777" w:rsidTr="00C54C73">
        <w:trPr>
          <w:trHeight w:val="2679"/>
        </w:trPr>
        <w:tc>
          <w:tcPr>
            <w:tcW w:w="1112" w:type="pct"/>
            <w:vAlign w:val="center"/>
          </w:tcPr>
          <w:p w14:paraId="1F55285F"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风险防范措施要求</w:t>
            </w:r>
          </w:p>
        </w:tc>
        <w:tc>
          <w:tcPr>
            <w:tcW w:w="3888" w:type="pct"/>
            <w:gridSpan w:val="4"/>
            <w:vAlign w:val="center"/>
          </w:tcPr>
          <w:p w14:paraId="20FA84CD" w14:textId="77777777" w:rsidR="00450025" w:rsidRPr="00092862" w:rsidRDefault="00450025" w:rsidP="00C54C73">
            <w:pPr>
              <w:adjustRightInd w:val="0"/>
              <w:snapToGrid w:val="0"/>
              <w:spacing w:line="276" w:lineRule="auto"/>
              <w:rPr>
                <w:rFonts w:ascii="Times New Roman" w:eastAsia="宋体" w:hAnsi="Times New Roman" w:cs="Times New Roman"/>
                <w:color w:val="000000" w:themeColor="text1"/>
                <w:szCs w:val="21"/>
              </w:rPr>
            </w:pPr>
            <w:r w:rsidRPr="00092862">
              <w:rPr>
                <w:rFonts w:ascii="宋体" w:eastAsia="宋体" w:hAnsi="宋体" w:cs="宋体" w:hint="eastAsia"/>
                <w:color w:val="000000" w:themeColor="text1"/>
                <w:szCs w:val="21"/>
              </w:rPr>
              <w:t>①</w:t>
            </w:r>
            <w:r w:rsidRPr="00092862">
              <w:rPr>
                <w:rFonts w:ascii="Times New Roman" w:eastAsia="宋体" w:hAnsi="Times New Roman" w:cs="Times New Roman"/>
                <w:color w:val="000000" w:themeColor="text1"/>
                <w:szCs w:val="21"/>
              </w:rPr>
              <w:t>制定应急救援预案并定期演练；</w:t>
            </w:r>
          </w:p>
          <w:p w14:paraId="45C58078" w14:textId="77777777" w:rsidR="00450025" w:rsidRPr="00092862" w:rsidRDefault="00450025" w:rsidP="00C54C73">
            <w:pPr>
              <w:adjustRightInd w:val="0"/>
              <w:snapToGrid w:val="0"/>
              <w:spacing w:line="276" w:lineRule="auto"/>
              <w:rPr>
                <w:rFonts w:ascii="Times New Roman" w:eastAsia="宋体" w:hAnsi="Times New Roman" w:cs="Times New Roman"/>
                <w:color w:val="000000" w:themeColor="text1"/>
                <w:szCs w:val="21"/>
              </w:rPr>
            </w:pPr>
            <w:r w:rsidRPr="00092862">
              <w:rPr>
                <w:rFonts w:ascii="宋体" w:eastAsia="宋体" w:hAnsi="宋体" w:cs="宋体" w:hint="eastAsia"/>
                <w:color w:val="000000" w:themeColor="text1"/>
                <w:szCs w:val="21"/>
              </w:rPr>
              <w:t>②</w:t>
            </w:r>
            <w:r w:rsidRPr="00092862">
              <w:rPr>
                <w:rFonts w:ascii="Times New Roman" w:eastAsia="宋体" w:hAnsi="Times New Roman" w:cs="Times New Roman"/>
                <w:color w:val="000000" w:themeColor="text1"/>
                <w:szCs w:val="21"/>
              </w:rPr>
              <w:t>配备完善的放空系统、安全截断系统、可燃气体报警系统；</w:t>
            </w:r>
          </w:p>
          <w:p w14:paraId="44DE46D2" w14:textId="77777777" w:rsidR="00450025" w:rsidRPr="00092862" w:rsidRDefault="00450025" w:rsidP="00C54C73">
            <w:pPr>
              <w:adjustRightInd w:val="0"/>
              <w:snapToGrid w:val="0"/>
              <w:spacing w:line="276" w:lineRule="auto"/>
              <w:rPr>
                <w:rFonts w:ascii="Times New Roman" w:eastAsia="宋体" w:hAnsi="Times New Roman" w:cs="Times New Roman"/>
                <w:color w:val="000000" w:themeColor="text1"/>
                <w:szCs w:val="21"/>
              </w:rPr>
            </w:pPr>
            <w:r w:rsidRPr="00092862">
              <w:rPr>
                <w:rFonts w:ascii="宋体" w:eastAsia="宋体" w:hAnsi="宋体" w:cs="宋体" w:hint="eastAsia"/>
                <w:color w:val="000000" w:themeColor="text1"/>
                <w:szCs w:val="21"/>
              </w:rPr>
              <w:t>③</w:t>
            </w:r>
            <w:r w:rsidRPr="00092862">
              <w:rPr>
                <w:rFonts w:ascii="Times New Roman" w:eastAsia="宋体" w:hAnsi="Times New Roman" w:cs="Times New Roman"/>
                <w:color w:val="000000" w:themeColor="text1"/>
                <w:szCs w:val="21"/>
              </w:rPr>
              <w:t>按照相关规范进行了防爆、防雷、防静电设计；</w:t>
            </w:r>
          </w:p>
          <w:p w14:paraId="1E4FCE38" w14:textId="77777777" w:rsidR="00450025" w:rsidRPr="00092862" w:rsidRDefault="00450025" w:rsidP="00C54C73">
            <w:pPr>
              <w:adjustRightInd w:val="0"/>
              <w:snapToGrid w:val="0"/>
              <w:spacing w:line="276" w:lineRule="auto"/>
              <w:rPr>
                <w:rFonts w:ascii="Times New Roman" w:eastAsia="宋体" w:hAnsi="Times New Roman" w:cs="Times New Roman"/>
                <w:color w:val="000000" w:themeColor="text1"/>
                <w:szCs w:val="21"/>
              </w:rPr>
            </w:pPr>
            <w:r w:rsidRPr="00092862">
              <w:rPr>
                <w:rFonts w:ascii="宋体" w:eastAsia="宋体" w:hAnsi="宋体" w:cs="宋体" w:hint="eastAsia"/>
                <w:color w:val="000000" w:themeColor="text1"/>
                <w:szCs w:val="21"/>
              </w:rPr>
              <w:t>④</w:t>
            </w:r>
            <w:r w:rsidRPr="00092862">
              <w:rPr>
                <w:rFonts w:ascii="Times New Roman" w:eastAsia="宋体" w:hAnsi="Times New Roman" w:cs="Times New Roman"/>
                <w:color w:val="000000" w:themeColor="text1"/>
                <w:szCs w:val="21"/>
              </w:rPr>
              <w:t>与站场周边的居民和当地村委会建立联络沟通机制，完善应急监控能力；</w:t>
            </w:r>
          </w:p>
          <w:p w14:paraId="76A6EB58" w14:textId="77777777" w:rsidR="00450025" w:rsidRPr="00092862" w:rsidRDefault="00450025" w:rsidP="00C54C73">
            <w:pPr>
              <w:adjustRightInd w:val="0"/>
              <w:snapToGrid w:val="0"/>
              <w:spacing w:line="276" w:lineRule="auto"/>
              <w:rPr>
                <w:rFonts w:ascii="Times New Roman" w:eastAsia="宋体" w:hAnsi="Times New Roman" w:cs="Times New Roman"/>
                <w:color w:val="000000" w:themeColor="text1"/>
                <w:szCs w:val="21"/>
              </w:rPr>
            </w:pPr>
            <w:r w:rsidRPr="00092862">
              <w:rPr>
                <w:rFonts w:ascii="宋体" w:eastAsia="宋体" w:hAnsi="宋体" w:cs="宋体" w:hint="eastAsia"/>
                <w:color w:val="000000" w:themeColor="text1"/>
                <w:szCs w:val="21"/>
              </w:rPr>
              <w:t>⑤</w:t>
            </w:r>
            <w:r w:rsidRPr="00092862">
              <w:rPr>
                <w:rFonts w:ascii="Times New Roman" w:eastAsia="宋体" w:hAnsi="Times New Roman" w:cs="Times New Roman"/>
                <w:color w:val="000000" w:themeColor="text1"/>
                <w:szCs w:val="21"/>
              </w:rPr>
              <w:t>定期对站场设备及管线进行巡检，检查设备及管线有无漏点，确保其设备完好，无泄漏发生；</w:t>
            </w:r>
          </w:p>
          <w:p w14:paraId="7C9F873A" w14:textId="77777777" w:rsidR="00450025" w:rsidRPr="00092862" w:rsidRDefault="00450025" w:rsidP="00C54C73">
            <w:pPr>
              <w:adjustRightInd w:val="0"/>
              <w:snapToGrid w:val="0"/>
              <w:rPr>
                <w:rFonts w:ascii="Times New Roman" w:eastAsia="宋体" w:hAnsi="Times New Roman" w:cs="Times New Roman"/>
                <w:color w:val="000000" w:themeColor="text1"/>
                <w:szCs w:val="21"/>
              </w:rPr>
            </w:pPr>
            <w:r w:rsidRPr="00092862">
              <w:rPr>
                <w:rFonts w:ascii="宋体" w:eastAsia="宋体" w:hAnsi="宋体" w:cs="宋体" w:hint="eastAsia"/>
                <w:color w:val="000000" w:themeColor="text1"/>
                <w:szCs w:val="21"/>
              </w:rPr>
              <w:t>⑥</w:t>
            </w:r>
            <w:r w:rsidRPr="00092862">
              <w:rPr>
                <w:rFonts w:ascii="Times New Roman" w:eastAsia="宋体" w:hAnsi="Times New Roman" w:cs="Times New Roman"/>
                <w:color w:val="000000" w:themeColor="text1"/>
                <w:szCs w:val="21"/>
              </w:rPr>
              <w:t>钻井期做好分区分级防渗，设置围堰，试采期对火炬分液罐等进行地面硬化、防渗，做好防雨、防晒措施；修建围堰，防止油类泄漏进入周围环境。</w:t>
            </w:r>
          </w:p>
        </w:tc>
      </w:tr>
    </w:tbl>
    <w:p w14:paraId="4F179DBD" w14:textId="77777777" w:rsidR="00450025" w:rsidRPr="00092862" w:rsidRDefault="00450025" w:rsidP="00450025">
      <w:pPr>
        <w:adjustRightInd w:val="0"/>
        <w:snapToGrid w:val="0"/>
        <w:spacing w:line="360" w:lineRule="auto"/>
        <w:jc w:val="center"/>
        <w:rPr>
          <w:rFonts w:ascii="Times New Roman" w:hAnsi="Times New Roman" w:cs="Times New Roman"/>
          <w:color w:val="000000" w:themeColor="text1"/>
          <w:sz w:val="24"/>
          <w:szCs w:val="24"/>
        </w:rPr>
      </w:pPr>
    </w:p>
    <w:p w14:paraId="7ADAA276" w14:textId="0D96BAAF" w:rsidR="00450025" w:rsidRPr="00092862" w:rsidRDefault="00450025" w:rsidP="00450025">
      <w:pPr>
        <w:adjustRightInd w:val="0"/>
        <w:snapToGrid w:val="0"/>
        <w:spacing w:line="360" w:lineRule="auto"/>
        <w:ind w:firstLineChars="200" w:firstLine="480"/>
        <w:rPr>
          <w:rFonts w:ascii="Times New Roman" w:hAnsi="Times New Roman" w:cs="Times New Roman"/>
          <w:color w:val="000000" w:themeColor="text1"/>
          <w:sz w:val="24"/>
          <w:szCs w:val="24"/>
        </w:rPr>
      </w:pPr>
      <w:r w:rsidRPr="00092862">
        <w:rPr>
          <w:rFonts w:ascii="Times New Roman" w:hAnsi="Times New Roman" w:cs="Times New Roman"/>
          <w:color w:val="000000" w:themeColor="text1"/>
          <w:sz w:val="24"/>
          <w:szCs w:val="24"/>
        </w:rPr>
        <w:br w:type="page"/>
      </w:r>
    </w:p>
    <w:p w14:paraId="5D09215D" w14:textId="68A65387" w:rsidR="00DC446C" w:rsidRPr="00092862" w:rsidRDefault="00704F23"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332" w:name="_Toc123682553"/>
      <w:r w:rsidRPr="00092862">
        <w:rPr>
          <w:rFonts w:ascii="Times New Roman" w:eastAsia="黑体" w:hAnsi="Times New Roman"/>
          <w:b w:val="0"/>
          <w:color w:val="000000" w:themeColor="text1"/>
          <w:sz w:val="28"/>
          <w:szCs w:val="28"/>
          <w:lang w:eastAsia="zh-CN"/>
        </w:rPr>
        <w:lastRenderedPageBreak/>
        <w:t>7</w:t>
      </w:r>
      <w:r w:rsidR="003B1968" w:rsidRPr="00092862">
        <w:rPr>
          <w:rFonts w:ascii="Times New Roman" w:eastAsia="黑体" w:hAnsi="Times New Roman"/>
          <w:b w:val="0"/>
          <w:color w:val="000000" w:themeColor="text1"/>
          <w:sz w:val="28"/>
          <w:szCs w:val="28"/>
          <w:lang w:eastAsia="zh-CN"/>
        </w:rPr>
        <w:t>环境保护措施及其可行性论证</w:t>
      </w:r>
      <w:bookmarkEnd w:id="332"/>
    </w:p>
    <w:p w14:paraId="4251C9D9" w14:textId="45FFD11F" w:rsidR="00DC446C" w:rsidRPr="00092862" w:rsidRDefault="00704F23" w:rsidP="003D2EEB">
      <w:pPr>
        <w:pStyle w:val="2"/>
        <w:ind w:firstLine="480"/>
        <w:rPr>
          <w:color w:val="000000" w:themeColor="text1"/>
          <w:szCs w:val="24"/>
          <w:lang w:eastAsia="zh-CN"/>
        </w:rPr>
      </w:pPr>
      <w:bookmarkStart w:id="333" w:name="_bookmark32"/>
      <w:bookmarkStart w:id="334" w:name="6.1施工期环境保护措施及可行性分析"/>
      <w:bookmarkStart w:id="335" w:name="_Toc123682554"/>
      <w:bookmarkEnd w:id="333"/>
      <w:bookmarkEnd w:id="334"/>
      <w:r w:rsidRPr="00092862">
        <w:rPr>
          <w:color w:val="000000" w:themeColor="text1"/>
          <w:szCs w:val="24"/>
          <w:lang w:eastAsia="zh-CN"/>
        </w:rPr>
        <w:t>7</w:t>
      </w:r>
      <w:r w:rsidR="003B1968" w:rsidRPr="00092862">
        <w:rPr>
          <w:color w:val="000000" w:themeColor="text1"/>
          <w:szCs w:val="24"/>
          <w:lang w:eastAsia="zh-CN"/>
        </w:rPr>
        <w:t>.1</w:t>
      </w:r>
      <w:r w:rsidR="003B1968" w:rsidRPr="00092862">
        <w:rPr>
          <w:color w:val="000000" w:themeColor="text1"/>
          <w:szCs w:val="24"/>
          <w:lang w:eastAsia="zh-CN"/>
        </w:rPr>
        <w:t>施工期环境保护措施及可行性分析</w:t>
      </w:r>
      <w:bookmarkEnd w:id="335"/>
    </w:p>
    <w:p w14:paraId="56B9543C" w14:textId="34DEAFCA" w:rsidR="00C66CCB" w:rsidRPr="00092862" w:rsidRDefault="003E59EC" w:rsidP="00C66CCB">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336" w:name="6.1.1施工废气防治措施及可行性分析"/>
      <w:bookmarkEnd w:id="336"/>
      <w:r w:rsidRPr="00092862">
        <w:rPr>
          <w:rFonts w:ascii="Times New Roman" w:eastAsia="宋体" w:hAnsi="Times New Roman" w:cs="Times New Roman"/>
          <w:color w:val="000000" w:themeColor="text1"/>
          <w:sz w:val="24"/>
          <w:szCs w:val="24"/>
        </w:rPr>
        <w:t>本项目</w:t>
      </w:r>
      <w:r w:rsidR="00317F32" w:rsidRPr="00092862">
        <w:rPr>
          <w:rFonts w:ascii="Times New Roman" w:eastAsia="宋体" w:hAnsi="Times New Roman" w:cs="Times New Roman"/>
          <w:color w:val="000000" w:themeColor="text1"/>
          <w:sz w:val="24"/>
          <w:szCs w:val="24"/>
        </w:rPr>
        <w:t>为新建</w:t>
      </w:r>
      <w:r w:rsidRPr="00092862">
        <w:rPr>
          <w:rFonts w:ascii="Times New Roman" w:eastAsia="宋体" w:hAnsi="Times New Roman" w:cs="Times New Roman"/>
          <w:color w:val="000000" w:themeColor="text1"/>
          <w:sz w:val="24"/>
          <w:szCs w:val="24"/>
        </w:rPr>
        <w:t>，除施工期生活区临时占地外均位于原永久占地范围内。</w:t>
      </w:r>
      <w:r w:rsidR="00EC1F28" w:rsidRPr="00092862">
        <w:rPr>
          <w:rFonts w:ascii="Times New Roman" w:eastAsia="宋体" w:hAnsi="Times New Roman" w:cs="Times New Roman"/>
          <w:bCs/>
          <w:color w:val="000000" w:themeColor="text1"/>
          <w:sz w:val="24"/>
          <w:szCs w:val="24"/>
        </w:rPr>
        <w:t>钻前施工期间通过洒水抑尘等措施对扬尘进行控制，合理使用机械车辆，对燃油废气进行控制；生活污水依托周边居民旱厕收集处理，生产废水沉淀后循环使用；生活垃圾收集后依托当地环卫部门处理，少量建筑垃圾用于道路修整；夜间不施工，采取了噪声控制措施。通过现场调查可见钻前工程对周边环境影响很小</w:t>
      </w:r>
      <w:r w:rsidR="00077A04" w:rsidRPr="00092862">
        <w:rPr>
          <w:rFonts w:ascii="Times New Roman" w:eastAsia="宋体" w:hAnsi="Times New Roman" w:cs="Times New Roman"/>
          <w:bCs/>
          <w:color w:val="000000" w:themeColor="text1"/>
          <w:sz w:val="24"/>
          <w:szCs w:val="24"/>
        </w:rPr>
        <w:t>。</w:t>
      </w:r>
    </w:p>
    <w:p w14:paraId="1EE169CD" w14:textId="4BD28E97" w:rsidR="008D439B" w:rsidRPr="00092862" w:rsidRDefault="00704F23" w:rsidP="008D439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37" w:name="_Toc120173210"/>
      <w:r w:rsidRPr="00092862">
        <w:rPr>
          <w:rFonts w:ascii="Times New Roman" w:eastAsia="黑体" w:hAnsi="Times New Roman"/>
          <w:b w:val="0"/>
          <w:color w:val="000000" w:themeColor="text1"/>
          <w:sz w:val="24"/>
          <w:szCs w:val="24"/>
          <w:lang w:eastAsia="zh-CN"/>
        </w:rPr>
        <w:t>7</w:t>
      </w:r>
      <w:r w:rsidR="008D439B" w:rsidRPr="00092862">
        <w:rPr>
          <w:rFonts w:ascii="Times New Roman" w:eastAsia="黑体" w:hAnsi="Times New Roman"/>
          <w:b w:val="0"/>
          <w:color w:val="000000" w:themeColor="text1"/>
          <w:sz w:val="24"/>
          <w:szCs w:val="24"/>
          <w:lang w:eastAsia="zh-CN"/>
        </w:rPr>
        <w:t>.1.1</w:t>
      </w:r>
      <w:r w:rsidR="008D439B" w:rsidRPr="00092862">
        <w:rPr>
          <w:rFonts w:ascii="Times New Roman" w:eastAsia="黑体" w:hAnsi="Times New Roman"/>
          <w:b w:val="0"/>
          <w:color w:val="000000" w:themeColor="text1"/>
          <w:sz w:val="24"/>
          <w:szCs w:val="24"/>
          <w:lang w:eastAsia="zh-CN"/>
        </w:rPr>
        <w:t>施工期生态环境保护措施及可行性分析</w:t>
      </w:r>
      <w:bookmarkEnd w:id="337"/>
    </w:p>
    <w:p w14:paraId="48A49572" w14:textId="2D99831D" w:rsidR="008D439B" w:rsidRPr="00092862" w:rsidRDefault="008D439B" w:rsidP="008D439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w:t>
      </w:r>
      <w:r w:rsidR="003E59EC" w:rsidRPr="00092862">
        <w:rPr>
          <w:rFonts w:ascii="Times New Roman" w:eastAsia="宋体" w:hAnsi="Times New Roman" w:cs="Times New Roman"/>
          <w:color w:val="000000" w:themeColor="text1"/>
          <w:sz w:val="24"/>
          <w:szCs w:val="24"/>
        </w:rPr>
        <w:t>陆生生物及其生态系统保护措施</w:t>
      </w:r>
    </w:p>
    <w:p w14:paraId="3AFC8F71"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）土地与植被保护措施</w:t>
      </w:r>
    </w:p>
    <w:p w14:paraId="0617BA65"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施工期间为充分的保护评价范围现有土地和植被，可采取如下保护措施：</w:t>
      </w:r>
    </w:p>
    <w:p w14:paraId="57566E16"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优先采用生态友好的工程建设技术、工艺及材料。</w:t>
      </w:r>
    </w:p>
    <w:p w14:paraId="29CA2114"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施工前印发环境保护手册，对施工人员进行环保意识的宣传教育。</w:t>
      </w:r>
    </w:p>
    <w:p w14:paraId="4A63C2FF"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根据施工总体平面布置，确定施工用地范围，进行标桩划界，禁止施工人员进入非施工占地区，严禁任意越界破坏周围植被。</w:t>
      </w:r>
    </w:p>
    <w:p w14:paraId="703C9C75"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做好环卫工作，废弃物应合理堆放，及时处置，禁止乱丢垃圾和废弃物，严禁场内污水进入外环沟，确保周边环境不被污染。</w:t>
      </w:r>
      <w:r w:rsidRPr="00092862">
        <w:rPr>
          <w:rFonts w:ascii="Times New Roman" w:eastAsia="宋体" w:hAnsi="Times New Roman" w:cs="Times New Roman"/>
          <w:color w:val="000000" w:themeColor="text1"/>
          <w:sz w:val="24"/>
          <w:szCs w:val="24"/>
        </w:rPr>
        <w:t xml:space="preserve"> </w:t>
      </w:r>
    </w:p>
    <w:p w14:paraId="604B1CF4"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⑤</w:t>
      </w:r>
      <w:r w:rsidRPr="00092862">
        <w:rPr>
          <w:rFonts w:ascii="Times New Roman" w:eastAsia="宋体" w:hAnsi="Times New Roman" w:cs="Times New Roman"/>
          <w:color w:val="000000" w:themeColor="text1"/>
          <w:sz w:val="24"/>
          <w:szCs w:val="24"/>
        </w:rPr>
        <w:t>在项目建设过程中，对可以恢复的临时占地及时进行植被恢复。</w:t>
      </w:r>
    </w:p>
    <w:p w14:paraId="3CA29E93"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）土壤侵蚀的防治对策措施</w:t>
      </w:r>
    </w:p>
    <w:p w14:paraId="45AA3063"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在施工过程中合理安排施工进度，施工尽量避开雨天和大风天；分段施工，减少风蚀导致的水土流失。</w:t>
      </w:r>
    </w:p>
    <w:p w14:paraId="2D0F2EA4"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划定施工作业范围和路线，不得扩大施工作业范围，尽可能减少对土壤和植被的破坏以及由此引发的水土流失。</w:t>
      </w:r>
    </w:p>
    <w:p w14:paraId="3A7D19E7"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在井场站场施工，设置一定围挡，减少施工过程中水土流失量。</w:t>
      </w:r>
    </w:p>
    <w:p w14:paraId="6C5781F7"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在地面施工过程中，对于施工破坏区，施工完毕要及时平整土地及植被恢复，以防止发生新的土壤侵蚀。</w:t>
      </w:r>
    </w:p>
    <w:p w14:paraId="7421D2C5"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⑤</w:t>
      </w:r>
      <w:r w:rsidRPr="00092862">
        <w:rPr>
          <w:rFonts w:ascii="Times New Roman" w:eastAsia="宋体" w:hAnsi="Times New Roman" w:cs="Times New Roman"/>
          <w:color w:val="000000" w:themeColor="text1"/>
          <w:sz w:val="24"/>
          <w:szCs w:val="24"/>
        </w:rPr>
        <w:t>对于施工过程中产生的不能利用的废弃土石不得将任意裸露弃置，做到随挖随填，以免遇强降雨引起严重的水土流失。</w:t>
      </w:r>
    </w:p>
    <w:p w14:paraId="509FBB16"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）对陆生动物保护措施</w:t>
      </w:r>
    </w:p>
    <w:p w14:paraId="1AD92E02"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加强宣传野生动物保护法规，打击捕杀野生动物的行为</w:t>
      </w:r>
    </w:p>
    <w:p w14:paraId="18C6D59A"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提高施工人员的保护意识，施工人员必须遵守《中华人民共和国野生动物保护法》，严禁捕猎保护动物，特别是重点保护野生动物。</w:t>
      </w:r>
    </w:p>
    <w:p w14:paraId="1EFD2461"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防止动物生境污染</w:t>
      </w:r>
    </w:p>
    <w:p w14:paraId="70694FE3"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人类活动的增加，会给环境污染带来新的隐患。从保护生态与环境的角度出发，建议本项目开工之前，尽量做好施工规划前期工作，做好工程退役后生态环境的恢复工作，以尽量减少植被破坏对动物栖息地的不利影响。</w:t>
      </w:r>
    </w:p>
    <w:p w14:paraId="132AAF94"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③</w:t>
      </w:r>
      <w:r w:rsidRPr="00092862">
        <w:rPr>
          <w:rFonts w:ascii="Times New Roman" w:eastAsia="宋体" w:hAnsi="Times New Roman" w:cs="Times New Roman"/>
          <w:color w:val="000000" w:themeColor="text1"/>
          <w:sz w:val="24"/>
          <w:szCs w:val="24"/>
        </w:rPr>
        <w:t>杜绝夜间施工，以保证自然生态系统和野生动物栖息地的稳定。</w:t>
      </w:r>
    </w:p>
    <w:p w14:paraId="679E7AD5"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对野生动物具体保护方案</w:t>
      </w:r>
    </w:p>
    <w:p w14:paraId="45DB34D1"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鸟类：</w:t>
      </w:r>
      <w:r w:rsidRPr="00092862">
        <w:rPr>
          <w:rFonts w:ascii="宋体" w:eastAsia="宋体" w:hAnsi="宋体" w:cs="宋体" w:hint="eastAsia"/>
          <w:color w:val="000000" w:themeColor="text1"/>
          <w:sz w:val="24"/>
          <w:szCs w:val="24"/>
        </w:rPr>
        <w:t>①</w:t>
      </w:r>
      <w:r w:rsidRPr="00092862">
        <w:rPr>
          <w:rFonts w:ascii="Times New Roman" w:eastAsia="宋体" w:hAnsi="Times New Roman" w:cs="Times New Roman"/>
          <w:color w:val="000000" w:themeColor="text1"/>
          <w:sz w:val="24"/>
          <w:szCs w:val="24"/>
        </w:rPr>
        <w:t>尽量减少施工对植被的破坏，保证施工后植被的恢复。</w:t>
      </w:r>
      <w:r w:rsidRPr="00092862">
        <w:rPr>
          <w:rFonts w:ascii="宋体" w:eastAsia="宋体" w:hAnsi="宋体" w:cs="宋体" w:hint="eastAsia"/>
          <w:color w:val="000000" w:themeColor="text1"/>
          <w:sz w:val="24"/>
          <w:szCs w:val="24"/>
        </w:rPr>
        <w:t>②</w:t>
      </w:r>
      <w:r w:rsidRPr="00092862">
        <w:rPr>
          <w:rFonts w:ascii="Times New Roman" w:eastAsia="宋体" w:hAnsi="Times New Roman" w:cs="Times New Roman"/>
          <w:color w:val="000000" w:themeColor="text1"/>
          <w:sz w:val="24"/>
          <w:szCs w:val="24"/>
        </w:rPr>
        <w:t>增强人们的环境保护意识，加强对重点保护野生动物的保护，严禁非法猎捕保护鸟类及对人类有益的鸟类。</w:t>
      </w:r>
    </w:p>
    <w:p w14:paraId="0585FDF0"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项目施工建设对动物栖息地的破坏。</w:t>
      </w:r>
    </w:p>
    <w:p w14:paraId="006B82A9" w14:textId="77777777" w:rsidR="003E59EC" w:rsidRPr="00092862" w:rsidRDefault="003E59EC" w:rsidP="003E59E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）生态恢复与补偿措施投资保障</w:t>
      </w:r>
    </w:p>
    <w:p w14:paraId="1ADB941C" w14:textId="234E32CC" w:rsidR="008D439B" w:rsidRPr="00092862" w:rsidRDefault="003E59EC" w:rsidP="003E59EC">
      <w:pPr>
        <w:adjustRightInd w:val="0"/>
        <w:snapToGrid w:val="0"/>
        <w:spacing w:line="360" w:lineRule="auto"/>
        <w:ind w:firstLineChars="200" w:firstLine="480"/>
        <w:rPr>
          <w:rFonts w:ascii="Times New Roman" w:hAnsi="Times New Roman" w:cs="Times New Roman"/>
          <w:bCs/>
          <w:color w:val="000000" w:themeColor="text1"/>
          <w:sz w:val="24"/>
        </w:rPr>
      </w:pPr>
      <w:r w:rsidRPr="00092862">
        <w:rPr>
          <w:rFonts w:ascii="Times New Roman" w:eastAsia="宋体" w:hAnsi="Times New Roman" w:cs="Times New Roman"/>
          <w:color w:val="000000" w:themeColor="text1"/>
          <w:sz w:val="24"/>
          <w:szCs w:val="24"/>
        </w:rPr>
        <w:t>设立生态补偿专项经费，将野生动植物的保护和监测费用、工程地形地貌恢复费用纳入生态补偿费，确保生态恢复资金足额到位</w:t>
      </w:r>
      <w:r w:rsidR="008D439B" w:rsidRPr="00092862">
        <w:rPr>
          <w:rFonts w:ascii="Times New Roman" w:eastAsia="宋体" w:hAnsi="Times New Roman" w:cs="Times New Roman"/>
          <w:bCs/>
          <w:color w:val="000000" w:themeColor="text1"/>
          <w:sz w:val="24"/>
        </w:rPr>
        <w:t>。</w:t>
      </w:r>
    </w:p>
    <w:p w14:paraId="74CDB496" w14:textId="77777777" w:rsidR="008D439B" w:rsidRPr="00092862" w:rsidRDefault="008D439B" w:rsidP="008D439B">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2</w:t>
      </w:r>
      <w:r w:rsidRPr="00092862">
        <w:rPr>
          <w:rFonts w:ascii="Times New Roman" w:eastAsia="黑体" w:hAnsi="Times New Roman" w:cs="Times New Roman"/>
          <w:color w:val="000000" w:themeColor="text1"/>
          <w:sz w:val="24"/>
          <w:szCs w:val="24"/>
        </w:rPr>
        <w:t>、生态景观影响减缓措施</w:t>
      </w:r>
    </w:p>
    <w:p w14:paraId="1295C419" w14:textId="66A69891" w:rsidR="004750E4" w:rsidRPr="00092862" w:rsidRDefault="004750E4" w:rsidP="004750E4">
      <w:pPr>
        <w:spacing w:line="360" w:lineRule="auto"/>
        <w:ind w:firstLineChars="200" w:firstLine="480"/>
        <w:rPr>
          <w:rFonts w:ascii="Times New Roman" w:eastAsia="宋体" w:hAnsi="Times New Roman" w:cs="Times New Roman"/>
          <w:color w:val="000000" w:themeColor="text1"/>
          <w:sz w:val="24"/>
        </w:rPr>
      </w:pPr>
      <w:bookmarkStart w:id="338" w:name="_Hlk89361264"/>
      <w:r w:rsidRPr="00092862">
        <w:rPr>
          <w:rFonts w:ascii="Times New Roman" w:eastAsia="宋体" w:hAnsi="Times New Roman" w:cs="Times New Roman"/>
          <w:color w:val="000000" w:themeColor="text1"/>
          <w:sz w:val="24"/>
        </w:rPr>
        <w:t>本项目在施工期采取如下生态景观减缓措施。</w:t>
      </w:r>
    </w:p>
    <w:bookmarkEnd w:id="338"/>
    <w:p w14:paraId="1690B240" w14:textId="21075093" w:rsidR="008D439B" w:rsidRPr="00092862" w:rsidRDefault="008D439B" w:rsidP="008D439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）对</w:t>
      </w:r>
      <w:r w:rsidR="004750E4" w:rsidRPr="00092862">
        <w:rPr>
          <w:rFonts w:ascii="Times New Roman" w:eastAsia="宋体" w:hAnsi="Times New Roman" w:cs="Times New Roman"/>
          <w:bCs/>
          <w:color w:val="000000" w:themeColor="text1"/>
          <w:sz w:val="24"/>
        </w:rPr>
        <w:t>施工弃土</w:t>
      </w:r>
      <w:r w:rsidR="0027638E" w:rsidRPr="00092862">
        <w:rPr>
          <w:rFonts w:ascii="Times New Roman" w:eastAsia="宋体" w:hAnsi="Times New Roman" w:cs="Times New Roman"/>
          <w:bCs/>
          <w:color w:val="000000" w:themeColor="text1"/>
          <w:sz w:val="24"/>
        </w:rPr>
        <w:t>进行严格管理，做到随挖随填</w:t>
      </w:r>
      <w:r w:rsidRPr="00092862">
        <w:rPr>
          <w:rFonts w:ascii="Times New Roman" w:eastAsia="宋体" w:hAnsi="Times New Roman" w:cs="Times New Roman"/>
          <w:bCs/>
          <w:color w:val="000000" w:themeColor="text1"/>
          <w:sz w:val="24"/>
        </w:rPr>
        <w:t>；</w:t>
      </w:r>
    </w:p>
    <w:p w14:paraId="4812F972" w14:textId="77777777" w:rsidR="008D439B" w:rsidRPr="00092862" w:rsidRDefault="008D439B" w:rsidP="008D439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）进一步做好环卫工作，废弃物应合理堆放，及时处置，禁止乱丢垃圾和废弃物，严禁场内污水进入外环沟，确保周边环境不被污染；</w:t>
      </w:r>
    </w:p>
    <w:p w14:paraId="1AF86D19" w14:textId="1D95CA73" w:rsidR="008D439B" w:rsidRPr="00092862" w:rsidRDefault="008D439B" w:rsidP="008D439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3</w:t>
      </w:r>
      <w:r w:rsidRPr="00092862">
        <w:rPr>
          <w:rFonts w:ascii="Times New Roman" w:eastAsia="宋体" w:hAnsi="Times New Roman" w:cs="Times New Roman"/>
          <w:bCs/>
          <w:color w:val="000000" w:themeColor="text1"/>
          <w:sz w:val="24"/>
        </w:rPr>
        <w:t>）施工人员应严格按照设计路线和场地范围活动，减少对道路和井场周围植被的破坏；</w:t>
      </w:r>
    </w:p>
    <w:p w14:paraId="477E1406" w14:textId="288B4DFB" w:rsidR="008D439B" w:rsidRPr="00092862" w:rsidRDefault="008D439B" w:rsidP="008D439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4</w:t>
      </w:r>
      <w:r w:rsidRPr="00092862">
        <w:rPr>
          <w:rFonts w:ascii="Times New Roman" w:eastAsia="宋体" w:hAnsi="Times New Roman" w:cs="Times New Roman"/>
          <w:bCs/>
          <w:color w:val="000000" w:themeColor="text1"/>
          <w:sz w:val="24"/>
        </w:rPr>
        <w:t>）建议合理安排项目施工时间，尽量选择项目所在地处于荒芜期间（冬季）进行施工，大大减少对植被破坏，降低项目对生态景观的影响</w:t>
      </w:r>
      <w:r w:rsidR="0027638E" w:rsidRPr="00092862">
        <w:rPr>
          <w:rFonts w:ascii="Times New Roman" w:eastAsia="宋体" w:hAnsi="Times New Roman" w:cs="Times New Roman"/>
          <w:bCs/>
          <w:color w:val="000000" w:themeColor="text1"/>
          <w:sz w:val="24"/>
        </w:rPr>
        <w:t>；</w:t>
      </w:r>
    </w:p>
    <w:p w14:paraId="4AD31002" w14:textId="77777777" w:rsidR="008D439B" w:rsidRPr="00092862" w:rsidRDefault="008D439B" w:rsidP="008D439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5</w:t>
      </w:r>
      <w:r w:rsidRPr="00092862">
        <w:rPr>
          <w:rFonts w:ascii="Times New Roman" w:eastAsia="宋体" w:hAnsi="Times New Roman" w:cs="Times New Roman"/>
          <w:bCs/>
          <w:color w:val="000000" w:themeColor="text1"/>
          <w:sz w:val="24"/>
        </w:rPr>
        <w:t>）在项目建设过程中，对可以恢复的临时占地及时恢复，项目完成后应</w:t>
      </w:r>
      <w:r w:rsidRPr="00092862">
        <w:rPr>
          <w:rFonts w:ascii="Times New Roman" w:eastAsia="宋体" w:hAnsi="Times New Roman" w:cs="Times New Roman"/>
          <w:bCs/>
          <w:color w:val="000000" w:themeColor="text1"/>
          <w:sz w:val="24"/>
        </w:rPr>
        <w:lastRenderedPageBreak/>
        <w:t>及时和规划部门和当地居民或村委会协商临时用地恢复使用恢复要求，及时对项目临时占地进行恢复，力求提高当地生态景观观感。</w:t>
      </w:r>
    </w:p>
    <w:p w14:paraId="1E19F0CC" w14:textId="77777777" w:rsidR="00BE31B6" w:rsidRPr="00092862" w:rsidRDefault="00BE31B6" w:rsidP="00BE31B6">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w:t>
      </w:r>
      <w:r w:rsidRPr="00092862">
        <w:rPr>
          <w:rFonts w:ascii="Times New Roman" w:eastAsia="黑体" w:hAnsi="Times New Roman" w:cs="Times New Roman"/>
          <w:color w:val="000000" w:themeColor="text1"/>
          <w:sz w:val="24"/>
          <w:szCs w:val="24"/>
        </w:rPr>
        <w:t>、水土流失预防措施</w:t>
      </w:r>
    </w:p>
    <w:p w14:paraId="607227CE" w14:textId="77777777" w:rsidR="00463B06" w:rsidRPr="00092862" w:rsidRDefault="00463B06" w:rsidP="00463B06">
      <w:pPr>
        <w:spacing w:line="360" w:lineRule="auto"/>
        <w:ind w:firstLineChars="200" w:firstLine="480"/>
        <w:rPr>
          <w:rFonts w:ascii="Times New Roman" w:eastAsia="宋体" w:hAnsi="Times New Roman" w:cs="Times New Roman"/>
          <w:color w:val="000000" w:themeColor="text1"/>
          <w:sz w:val="24"/>
        </w:rPr>
      </w:pPr>
      <w:bookmarkStart w:id="339" w:name="_Hlk89361285"/>
      <w:r w:rsidRPr="00092862">
        <w:rPr>
          <w:rFonts w:ascii="Times New Roman" w:eastAsia="宋体" w:hAnsi="Times New Roman" w:cs="Times New Roman"/>
          <w:color w:val="000000" w:themeColor="text1"/>
          <w:sz w:val="24"/>
        </w:rPr>
        <w:t>根据《中华人民共和国长江保护法》（</w:t>
      </w:r>
      <w:r w:rsidRPr="00092862">
        <w:rPr>
          <w:rFonts w:ascii="Times New Roman" w:eastAsia="宋体" w:hAnsi="Times New Roman" w:cs="Times New Roman"/>
          <w:color w:val="000000" w:themeColor="text1"/>
          <w:sz w:val="24"/>
        </w:rPr>
        <w:t>2021</w:t>
      </w:r>
      <w:r w:rsidRPr="00092862">
        <w:rPr>
          <w:rFonts w:ascii="Times New Roman" w:eastAsia="宋体" w:hAnsi="Times New Roman" w:cs="Times New Roman"/>
          <w:color w:val="000000" w:themeColor="text1"/>
          <w:sz w:val="24"/>
        </w:rPr>
        <w:t>年</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月</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日实施）第六十一条：</w:t>
      </w:r>
    </w:p>
    <w:p w14:paraId="6AFF9D89" w14:textId="77777777" w:rsidR="00463B06" w:rsidRPr="00092862" w:rsidRDefault="00463B06" w:rsidP="00463B06">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①</w:t>
      </w:r>
      <w:r w:rsidRPr="00092862">
        <w:rPr>
          <w:rFonts w:ascii="Times New Roman" w:eastAsia="宋体" w:hAnsi="Times New Roman" w:cs="Times New Roman"/>
          <w:color w:val="000000" w:themeColor="text1"/>
          <w:sz w:val="24"/>
        </w:rPr>
        <w:t>长江流域水土流失重点预防区和重点治理区的</w:t>
      </w:r>
      <w:r w:rsidRPr="00092862">
        <w:rPr>
          <w:rFonts w:ascii="Times New Roman" w:eastAsia="宋体" w:hAnsi="Times New Roman" w:cs="Times New Roman"/>
          <w:b/>
          <w:bCs/>
          <w:color w:val="000000" w:themeColor="text1"/>
          <w:sz w:val="24"/>
        </w:rPr>
        <w:t>县级以上地方人民政府</w:t>
      </w:r>
      <w:r w:rsidRPr="00092862">
        <w:rPr>
          <w:rFonts w:ascii="Times New Roman" w:eastAsia="宋体" w:hAnsi="Times New Roman" w:cs="Times New Roman"/>
          <w:color w:val="000000" w:themeColor="text1"/>
          <w:sz w:val="24"/>
        </w:rPr>
        <w:t>应当采取措施，防治水土流失。生态保护红线范围内的水土流失地块，以自然恢复为主，按照规定有计划地实施退耕还林还草还湿；划入自然保护地核心保护区的永久基本农田，依法有序退出并予以补划。</w:t>
      </w:r>
    </w:p>
    <w:p w14:paraId="5BD31874" w14:textId="77777777" w:rsidR="00463B06" w:rsidRPr="00092862" w:rsidRDefault="00463B06" w:rsidP="00463B06">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②</w:t>
      </w:r>
      <w:r w:rsidRPr="00092862">
        <w:rPr>
          <w:rFonts w:ascii="Times New Roman" w:eastAsia="宋体" w:hAnsi="Times New Roman" w:cs="Times New Roman"/>
          <w:color w:val="000000" w:themeColor="text1"/>
          <w:sz w:val="24"/>
        </w:rPr>
        <w:t>禁止在长江流域水土流失严重、生态脆弱的区域开展可能造成水土流失的生产建设活动。确因国家发展战略和国计民生需要建设的，应当经科学论证，并依法办理审批手续。</w:t>
      </w:r>
    </w:p>
    <w:p w14:paraId="0AC6D450" w14:textId="4C5DFC4C" w:rsidR="00463B06" w:rsidRPr="00092862" w:rsidRDefault="00463B06" w:rsidP="00463B06">
      <w:pPr>
        <w:spacing w:line="360" w:lineRule="auto"/>
        <w:ind w:firstLineChars="200" w:firstLine="480"/>
        <w:rPr>
          <w:rFonts w:ascii="Times New Roman" w:eastAsia="宋体" w:hAnsi="Times New Roman" w:cs="Times New Roman"/>
          <w:color w:val="000000" w:themeColor="text1"/>
          <w:sz w:val="24"/>
        </w:rPr>
      </w:pPr>
      <w:r w:rsidRPr="00092862">
        <w:rPr>
          <w:rFonts w:ascii="宋体" w:eastAsia="宋体" w:hAnsi="宋体" w:cs="宋体" w:hint="eastAsia"/>
          <w:color w:val="000000" w:themeColor="text1"/>
          <w:sz w:val="24"/>
        </w:rPr>
        <w:t>③</w:t>
      </w:r>
      <w:r w:rsidRPr="00092862">
        <w:rPr>
          <w:rFonts w:ascii="Times New Roman" w:eastAsia="宋体" w:hAnsi="Times New Roman" w:cs="Times New Roman"/>
          <w:color w:val="000000" w:themeColor="text1"/>
          <w:sz w:val="24"/>
        </w:rPr>
        <w:t>长江流域</w:t>
      </w:r>
      <w:r w:rsidRPr="00092862">
        <w:rPr>
          <w:rFonts w:ascii="Times New Roman" w:eastAsia="宋体" w:hAnsi="Times New Roman" w:cs="Times New Roman"/>
          <w:b/>
          <w:bCs/>
          <w:color w:val="000000" w:themeColor="text1"/>
          <w:sz w:val="24"/>
        </w:rPr>
        <w:t>县级以上地方人民政府</w:t>
      </w:r>
      <w:r w:rsidRPr="00092862">
        <w:rPr>
          <w:rFonts w:ascii="Times New Roman" w:eastAsia="宋体" w:hAnsi="Times New Roman" w:cs="Times New Roman"/>
          <w:color w:val="000000" w:themeColor="text1"/>
          <w:sz w:val="24"/>
        </w:rPr>
        <w:t>应当对石漠化的土地因地制宜采取综合治理措施，修复生态系统，防止土地石漠化蔓延。</w:t>
      </w:r>
    </w:p>
    <w:p w14:paraId="0654D3B4" w14:textId="6AE3CCE5" w:rsidR="00463B06" w:rsidRPr="00092862" w:rsidRDefault="00463B06" w:rsidP="00BE31B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本项目位于长江流域水土流失重点治理区</w:t>
      </w:r>
      <w:r w:rsidR="00F23DD5" w:rsidRPr="00092862">
        <w:rPr>
          <w:rFonts w:ascii="Times New Roman" w:eastAsia="宋体" w:hAnsi="Times New Roman" w:cs="Times New Roman"/>
          <w:color w:val="000000" w:themeColor="text1"/>
          <w:sz w:val="24"/>
        </w:rPr>
        <w:t>，本项目未位于生态红线范围内，本项目在原有平台基础上建设，仅新增的火炬区涉及部分新增用地，本项目为天然气钻井与试采项目，且将依法办理审批手续。本项目所在地植被茂盛，周边</w:t>
      </w:r>
      <w:r w:rsidR="009A51A6" w:rsidRPr="00092862">
        <w:rPr>
          <w:rFonts w:ascii="Times New Roman" w:eastAsia="宋体" w:hAnsi="Times New Roman" w:cs="Times New Roman"/>
          <w:color w:val="000000" w:themeColor="text1"/>
          <w:sz w:val="24"/>
        </w:rPr>
        <w:t>树林分布广泛，水土流失现象不明显，不涉及石漠化等。综上所述，本项目与《中华人民共和国长江保护法》相符。</w:t>
      </w:r>
    </w:p>
    <w:p w14:paraId="6437944E" w14:textId="483DCFAC" w:rsidR="00BE31B6" w:rsidRPr="00092862" w:rsidRDefault="00BE31B6" w:rsidP="00BE31B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本项目在施工期</w:t>
      </w:r>
      <w:r w:rsidR="003F449B" w:rsidRPr="00092862">
        <w:rPr>
          <w:rFonts w:ascii="Times New Roman" w:eastAsia="宋体" w:hAnsi="Times New Roman" w:cs="Times New Roman"/>
          <w:color w:val="000000" w:themeColor="text1"/>
          <w:sz w:val="24"/>
        </w:rPr>
        <w:t>拟</w:t>
      </w:r>
      <w:r w:rsidRPr="00092862">
        <w:rPr>
          <w:rFonts w:ascii="Times New Roman" w:eastAsia="宋体" w:hAnsi="Times New Roman" w:cs="Times New Roman"/>
          <w:color w:val="000000" w:themeColor="text1"/>
          <w:sz w:val="24"/>
        </w:rPr>
        <w:t>采取如下</w:t>
      </w:r>
      <w:r w:rsidR="004750E4" w:rsidRPr="00092862">
        <w:rPr>
          <w:rFonts w:ascii="Times New Roman" w:eastAsia="宋体" w:hAnsi="Times New Roman" w:cs="Times New Roman"/>
          <w:color w:val="000000" w:themeColor="text1"/>
          <w:sz w:val="24"/>
        </w:rPr>
        <w:t>水保</w:t>
      </w:r>
      <w:r w:rsidRPr="00092862">
        <w:rPr>
          <w:rFonts w:ascii="Times New Roman" w:eastAsia="宋体" w:hAnsi="Times New Roman" w:cs="Times New Roman"/>
          <w:color w:val="000000" w:themeColor="text1"/>
          <w:sz w:val="24"/>
        </w:rPr>
        <w:t>措施</w:t>
      </w:r>
      <w:bookmarkEnd w:id="339"/>
      <w:r w:rsidR="003F449B" w:rsidRPr="00092862">
        <w:rPr>
          <w:rFonts w:ascii="Times New Roman" w:eastAsia="宋体" w:hAnsi="Times New Roman" w:cs="Times New Roman"/>
          <w:color w:val="000000" w:themeColor="text1"/>
          <w:sz w:val="24"/>
        </w:rPr>
        <w:t>：</w:t>
      </w:r>
    </w:p>
    <w:p w14:paraId="43415824" w14:textId="22E1681A" w:rsidR="00BE31B6" w:rsidRPr="00092862" w:rsidRDefault="00BE31B6" w:rsidP="00BE31B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）在施工过程中合理安排施工进度，施工尽量避开雨天和大风天；分段施工，未留疏松地面，减少风蚀导致的水土流失。</w:t>
      </w:r>
    </w:p>
    <w:p w14:paraId="3CDF34D2" w14:textId="2620188B" w:rsidR="00BE31B6" w:rsidRPr="00092862" w:rsidRDefault="00BE31B6" w:rsidP="00BE31B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）划定施工作业范围和路线，</w:t>
      </w:r>
      <w:r w:rsidR="003F449B" w:rsidRPr="00092862">
        <w:rPr>
          <w:rFonts w:ascii="Times New Roman" w:eastAsia="宋体" w:hAnsi="Times New Roman" w:cs="Times New Roman"/>
          <w:color w:val="000000" w:themeColor="text1"/>
          <w:sz w:val="24"/>
        </w:rPr>
        <w:t>不得</w:t>
      </w:r>
      <w:r w:rsidRPr="00092862">
        <w:rPr>
          <w:rFonts w:ascii="Times New Roman" w:eastAsia="宋体" w:hAnsi="Times New Roman" w:cs="Times New Roman"/>
          <w:color w:val="000000" w:themeColor="text1"/>
          <w:sz w:val="24"/>
        </w:rPr>
        <w:t>扩大施工作业范围，尽可能减少对土壤和农作物的破坏以及由此引发的水土流失。</w:t>
      </w:r>
    </w:p>
    <w:p w14:paraId="59FA2AAA" w14:textId="77777777" w:rsidR="00BE31B6" w:rsidRPr="00092862" w:rsidRDefault="00BE31B6" w:rsidP="00BE31B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3</w:t>
      </w:r>
      <w:r w:rsidRPr="00092862">
        <w:rPr>
          <w:rFonts w:ascii="Times New Roman" w:eastAsia="宋体" w:hAnsi="Times New Roman" w:cs="Times New Roman"/>
          <w:color w:val="000000" w:themeColor="text1"/>
          <w:sz w:val="24"/>
        </w:rPr>
        <w:t>）在施工中破坏植被的地段，施工结束后，必须及时进行植被恢复工作，减轻水土流失。</w:t>
      </w:r>
    </w:p>
    <w:p w14:paraId="6D439572" w14:textId="0AE71FF5" w:rsidR="00BE31B6" w:rsidRPr="00092862" w:rsidRDefault="00BE31B6" w:rsidP="00BE31B6">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4</w:t>
      </w:r>
      <w:r w:rsidRPr="00092862">
        <w:rPr>
          <w:rFonts w:ascii="Times New Roman" w:eastAsia="宋体" w:hAnsi="Times New Roman" w:cs="Times New Roman"/>
          <w:color w:val="000000" w:themeColor="text1"/>
          <w:sz w:val="24"/>
        </w:rPr>
        <w:t>）在井场站场施工，</w:t>
      </w:r>
      <w:r w:rsidR="00E411B0" w:rsidRPr="00092862">
        <w:rPr>
          <w:rFonts w:ascii="Times New Roman" w:eastAsia="宋体" w:hAnsi="Times New Roman" w:cs="Times New Roman"/>
          <w:color w:val="000000" w:themeColor="text1"/>
          <w:sz w:val="24"/>
        </w:rPr>
        <w:t>设置一定围挡，</w:t>
      </w:r>
      <w:r w:rsidRPr="00092862">
        <w:rPr>
          <w:rFonts w:ascii="Times New Roman" w:eastAsia="宋体" w:hAnsi="Times New Roman" w:cs="Times New Roman"/>
          <w:color w:val="000000" w:themeColor="text1"/>
          <w:sz w:val="24"/>
        </w:rPr>
        <w:t>减少施工过程中水土流失量。</w:t>
      </w:r>
    </w:p>
    <w:p w14:paraId="54C92083" w14:textId="77777777" w:rsidR="008D439B" w:rsidRPr="00092862" w:rsidRDefault="00BE31B6" w:rsidP="00E411B0">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5</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bCs/>
          <w:color w:val="000000" w:themeColor="text1"/>
          <w:sz w:val="24"/>
        </w:rPr>
        <w:t>加强对水土流失的综合治理，严格按照水土保持方案做好水土保持工作。</w:t>
      </w:r>
    </w:p>
    <w:p w14:paraId="42F12339" w14:textId="25C1C52A" w:rsidR="008D439B" w:rsidRPr="00092862" w:rsidRDefault="00126943" w:rsidP="008D439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以上生态保护措施为川</w:t>
      </w:r>
      <w:r w:rsidR="004629A9"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地区钻采工程常见措施，成熟可靠，能有效降低项目建设对区域生态环境的影响。</w:t>
      </w:r>
    </w:p>
    <w:p w14:paraId="37E10F2F" w14:textId="299EB636"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40" w:name="_Toc120173211"/>
      <w:r w:rsidRPr="00092862">
        <w:rPr>
          <w:rFonts w:ascii="Times New Roman" w:eastAsia="黑体" w:hAnsi="Times New Roman"/>
          <w:b w:val="0"/>
          <w:color w:val="000000" w:themeColor="text1"/>
          <w:sz w:val="24"/>
          <w:szCs w:val="24"/>
          <w:lang w:eastAsia="zh-CN"/>
        </w:rPr>
        <w:lastRenderedPageBreak/>
        <w:t>7</w:t>
      </w:r>
      <w:r w:rsidR="003B1968" w:rsidRPr="00092862">
        <w:rPr>
          <w:rFonts w:ascii="Times New Roman" w:eastAsia="黑体" w:hAnsi="Times New Roman"/>
          <w:b w:val="0"/>
          <w:color w:val="000000" w:themeColor="text1"/>
          <w:sz w:val="24"/>
          <w:szCs w:val="24"/>
          <w:lang w:eastAsia="zh-CN"/>
        </w:rPr>
        <w:t>.1.</w:t>
      </w:r>
      <w:r w:rsidR="00126943" w:rsidRPr="00092862">
        <w:rPr>
          <w:rFonts w:ascii="Times New Roman" w:eastAsia="黑体" w:hAnsi="Times New Roman"/>
          <w:b w:val="0"/>
          <w:color w:val="000000" w:themeColor="text1"/>
          <w:sz w:val="24"/>
          <w:szCs w:val="24"/>
          <w:lang w:eastAsia="zh-CN"/>
        </w:rPr>
        <w:t>2</w:t>
      </w:r>
      <w:r w:rsidR="00C66CCB" w:rsidRPr="00092862">
        <w:rPr>
          <w:rFonts w:ascii="Times New Roman" w:eastAsia="黑体" w:hAnsi="Times New Roman"/>
          <w:b w:val="0"/>
          <w:color w:val="000000" w:themeColor="text1"/>
          <w:sz w:val="24"/>
          <w:szCs w:val="24"/>
          <w:lang w:eastAsia="zh-CN"/>
        </w:rPr>
        <w:t>施工期大气</w:t>
      </w:r>
      <w:r w:rsidR="003B1968" w:rsidRPr="00092862">
        <w:rPr>
          <w:rFonts w:ascii="Times New Roman" w:eastAsia="黑体" w:hAnsi="Times New Roman"/>
          <w:b w:val="0"/>
          <w:color w:val="000000" w:themeColor="text1"/>
          <w:sz w:val="24"/>
          <w:szCs w:val="24"/>
          <w:lang w:eastAsia="zh-CN"/>
        </w:rPr>
        <w:t>污染防治措施及可行性分析</w:t>
      </w:r>
      <w:bookmarkEnd w:id="340"/>
    </w:p>
    <w:p w14:paraId="501050DF" w14:textId="77777777" w:rsidR="00C66CCB" w:rsidRPr="00092862" w:rsidRDefault="00827500" w:rsidP="003D2EE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、备用柴油发电机废气减缓措施</w:t>
      </w:r>
    </w:p>
    <w:p w14:paraId="1CFB49D7" w14:textId="242CED79" w:rsidR="00C66CCB" w:rsidRPr="00092862" w:rsidRDefault="003A1C90" w:rsidP="003A1C9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钻井过程中备用柴油机燃油废气，可以通过采用节能环保型柴油动力系统设备（自带消烟除尘装置），并适当提高排气筒高度（</w:t>
      </w:r>
      <w:r w:rsidRPr="00092862">
        <w:rPr>
          <w:rFonts w:ascii="Times New Roman" w:eastAsia="宋体" w:hAnsi="Times New Roman" w:cs="Times New Roman"/>
          <w:color w:val="000000" w:themeColor="text1"/>
          <w:sz w:val="24"/>
          <w:szCs w:val="24"/>
        </w:rPr>
        <w:t>6m</w:t>
      </w:r>
      <w:r w:rsidRPr="00092862">
        <w:rPr>
          <w:rFonts w:ascii="Times New Roman" w:eastAsia="宋体" w:hAnsi="Times New Roman" w:cs="Times New Roman"/>
          <w:color w:val="000000" w:themeColor="text1"/>
          <w:sz w:val="24"/>
          <w:szCs w:val="24"/>
        </w:rPr>
        <w:t>以上），减少污染物排放量与大气环境影响，其影响为临时性，将随网电的正常使用和钻井工程的结束而消除，污染减缓措施可行。</w:t>
      </w:r>
    </w:p>
    <w:p w14:paraId="6F4C73E0" w14:textId="2EF593FB" w:rsidR="003A1C90" w:rsidRPr="00092862" w:rsidRDefault="003A1C90" w:rsidP="003A1C9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w:t>
      </w:r>
      <w:r w:rsidR="0087682F" w:rsidRPr="00092862">
        <w:rPr>
          <w:rFonts w:ascii="Times New Roman" w:eastAsia="宋体" w:hAnsi="Times New Roman" w:cs="Times New Roman"/>
          <w:color w:val="000000" w:themeColor="text1"/>
          <w:sz w:val="24"/>
          <w:szCs w:val="24"/>
        </w:rPr>
        <w:t>无组织挥发性废气</w:t>
      </w:r>
      <w:r w:rsidRPr="00092862">
        <w:rPr>
          <w:rFonts w:ascii="Times New Roman" w:eastAsia="宋体" w:hAnsi="Times New Roman" w:cs="Times New Roman"/>
          <w:color w:val="000000" w:themeColor="text1"/>
          <w:sz w:val="24"/>
          <w:szCs w:val="24"/>
        </w:rPr>
        <w:t>减缓措施</w:t>
      </w:r>
    </w:p>
    <w:p w14:paraId="6306501C" w14:textId="053461E3" w:rsidR="00C66CCB" w:rsidRPr="00092862" w:rsidRDefault="0087682F" w:rsidP="0087682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本项目为天然气钻井及试采工程，因此，除燃油机械使用过程中产生的少量无组织挥发性有机物排放外，</w:t>
      </w:r>
      <w:r w:rsidR="00A945D1" w:rsidRPr="00092862">
        <w:rPr>
          <w:rFonts w:ascii="Times New Roman" w:eastAsia="宋体" w:hAnsi="Times New Roman" w:cs="Times New Roman"/>
          <w:color w:val="000000" w:themeColor="text1"/>
          <w:sz w:val="24"/>
          <w:szCs w:val="24"/>
        </w:rPr>
        <w:t>还有少量</w:t>
      </w:r>
      <w:r w:rsidRPr="00092862">
        <w:rPr>
          <w:rFonts w:ascii="Times New Roman" w:eastAsia="宋体" w:hAnsi="Times New Roman" w:cs="Times New Roman"/>
          <w:color w:val="000000" w:themeColor="text1"/>
          <w:sz w:val="24"/>
          <w:szCs w:val="24"/>
        </w:rPr>
        <w:t>钻井施工过程中无组织排放源。因此，本项目无组织挥发性有机物排放量小，通过自然扩散可有效降低其影响</w:t>
      </w:r>
      <w:r w:rsidR="003A1C90" w:rsidRPr="00092862">
        <w:rPr>
          <w:rFonts w:ascii="Times New Roman" w:eastAsia="宋体" w:hAnsi="Times New Roman" w:cs="Times New Roman"/>
          <w:color w:val="000000" w:themeColor="text1"/>
          <w:sz w:val="24"/>
          <w:szCs w:val="24"/>
        </w:rPr>
        <w:t>，污染减缓措施可行。</w:t>
      </w:r>
    </w:p>
    <w:p w14:paraId="043C2635" w14:textId="77777777" w:rsidR="003A1C90" w:rsidRPr="00092862" w:rsidRDefault="003A1C90" w:rsidP="003A1C9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、压裂测试机械、车辆尾气减缓措施</w:t>
      </w:r>
    </w:p>
    <w:p w14:paraId="12925F2D" w14:textId="77777777" w:rsidR="00C66CCB" w:rsidRPr="00092862" w:rsidRDefault="003A1C90" w:rsidP="003A1C9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14:paraId="145A035D" w14:textId="77777777" w:rsidR="003A1C90" w:rsidRPr="00092862" w:rsidRDefault="003A1C90" w:rsidP="003A1C9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、完井测试废气减缓措施</w:t>
      </w:r>
    </w:p>
    <w:p w14:paraId="5C3FBB3C" w14:textId="01460BEE" w:rsidR="00C66CCB" w:rsidRPr="00092862" w:rsidRDefault="003A1C90" w:rsidP="003A1C90">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本项目测试放喷的天然气经专用放喷管线引至放喷池后点火燃烧，</w:t>
      </w:r>
      <w:r w:rsidR="008D439B" w:rsidRPr="00092862">
        <w:rPr>
          <w:rFonts w:ascii="Times New Roman" w:eastAsia="宋体" w:hAnsi="Times New Roman" w:cs="Times New Roman"/>
          <w:color w:val="000000" w:themeColor="text1"/>
          <w:sz w:val="24"/>
          <w:szCs w:val="24"/>
        </w:rPr>
        <w:t>放喷管口高为</w:t>
      </w:r>
      <w:r w:rsidR="008D439B" w:rsidRPr="00092862">
        <w:rPr>
          <w:rFonts w:ascii="Times New Roman" w:eastAsia="宋体" w:hAnsi="Times New Roman" w:cs="Times New Roman"/>
          <w:color w:val="000000" w:themeColor="text1"/>
          <w:sz w:val="24"/>
          <w:szCs w:val="24"/>
        </w:rPr>
        <w:t>1m</w:t>
      </w:r>
      <w:r w:rsidR="008D439B" w:rsidRPr="00092862">
        <w:rPr>
          <w:rFonts w:ascii="Times New Roman" w:eastAsia="宋体" w:hAnsi="Times New Roman" w:cs="Times New Roman"/>
          <w:color w:val="000000" w:themeColor="text1"/>
          <w:sz w:val="24"/>
          <w:szCs w:val="24"/>
        </w:rPr>
        <w:t>，采用短火焰灼烧器，修建放喷池及挡墙减低辐射影响。正对燃烧筒的墙高</w:t>
      </w:r>
      <w:r w:rsidR="008D439B" w:rsidRPr="00092862">
        <w:rPr>
          <w:rFonts w:ascii="Times New Roman" w:eastAsia="宋体" w:hAnsi="Times New Roman" w:cs="Times New Roman"/>
          <w:color w:val="000000" w:themeColor="text1"/>
          <w:sz w:val="24"/>
          <w:szCs w:val="24"/>
        </w:rPr>
        <w:t>5.3m</w:t>
      </w:r>
      <w:r w:rsidR="008D439B" w:rsidRPr="00092862">
        <w:rPr>
          <w:rFonts w:ascii="Times New Roman" w:eastAsia="宋体" w:hAnsi="Times New Roman" w:cs="Times New Roman"/>
          <w:color w:val="000000" w:themeColor="text1"/>
          <w:sz w:val="24"/>
          <w:szCs w:val="24"/>
        </w:rPr>
        <w:t>，下部厚</w:t>
      </w:r>
      <w:r w:rsidR="008D439B" w:rsidRPr="00092862">
        <w:rPr>
          <w:rFonts w:ascii="Times New Roman" w:eastAsia="宋体" w:hAnsi="Times New Roman" w:cs="Times New Roman"/>
          <w:color w:val="000000" w:themeColor="text1"/>
          <w:sz w:val="24"/>
          <w:szCs w:val="24"/>
        </w:rPr>
        <w:t>0.5m</w:t>
      </w:r>
      <w:r w:rsidR="008D439B" w:rsidRPr="00092862">
        <w:rPr>
          <w:rFonts w:ascii="Times New Roman" w:eastAsia="宋体" w:hAnsi="Times New Roman" w:cs="Times New Roman"/>
          <w:color w:val="000000" w:themeColor="text1"/>
          <w:sz w:val="24"/>
          <w:szCs w:val="24"/>
        </w:rPr>
        <w:t>，上部墙厚</w:t>
      </w:r>
      <w:r w:rsidR="008D439B" w:rsidRPr="00092862">
        <w:rPr>
          <w:rFonts w:ascii="Times New Roman" w:eastAsia="宋体" w:hAnsi="Times New Roman" w:cs="Times New Roman"/>
          <w:color w:val="000000" w:themeColor="text1"/>
          <w:sz w:val="24"/>
          <w:szCs w:val="24"/>
        </w:rPr>
        <w:t>0.24m</w:t>
      </w:r>
      <w:r w:rsidR="008D439B" w:rsidRPr="00092862">
        <w:rPr>
          <w:rFonts w:ascii="Times New Roman" w:eastAsia="宋体" w:hAnsi="Times New Roman" w:cs="Times New Roman"/>
          <w:color w:val="000000" w:themeColor="text1"/>
          <w:sz w:val="24"/>
          <w:szCs w:val="24"/>
        </w:rPr>
        <w:t>，两侧墙高</w:t>
      </w:r>
      <w:r w:rsidR="008D439B" w:rsidRPr="00092862">
        <w:rPr>
          <w:rFonts w:ascii="Times New Roman" w:eastAsia="宋体" w:hAnsi="Times New Roman" w:cs="Times New Roman"/>
          <w:color w:val="000000" w:themeColor="text1"/>
          <w:sz w:val="24"/>
          <w:szCs w:val="24"/>
        </w:rPr>
        <w:t>4.3m</w:t>
      </w:r>
      <w:r w:rsidR="008D439B" w:rsidRPr="00092862">
        <w:rPr>
          <w:rFonts w:ascii="Times New Roman" w:eastAsia="宋体" w:hAnsi="Times New Roman" w:cs="Times New Roman"/>
          <w:color w:val="000000" w:themeColor="text1"/>
          <w:sz w:val="24"/>
          <w:szCs w:val="24"/>
        </w:rPr>
        <w:t>，厚</w:t>
      </w:r>
      <w:r w:rsidR="008D439B" w:rsidRPr="00092862">
        <w:rPr>
          <w:rFonts w:ascii="Times New Roman" w:eastAsia="宋体" w:hAnsi="Times New Roman" w:cs="Times New Roman"/>
          <w:color w:val="000000" w:themeColor="text1"/>
          <w:sz w:val="24"/>
          <w:szCs w:val="24"/>
        </w:rPr>
        <w:t>0.5m</w:t>
      </w:r>
      <w:r w:rsidR="008D439B" w:rsidRPr="00092862">
        <w:rPr>
          <w:rFonts w:ascii="Times New Roman" w:eastAsia="宋体" w:hAnsi="Times New Roman" w:cs="Times New Roman"/>
          <w:color w:val="000000" w:themeColor="text1"/>
          <w:sz w:val="24"/>
          <w:szCs w:val="24"/>
        </w:rPr>
        <w:t>；内层均采用耐火砖修建。放喷池地势</w:t>
      </w:r>
      <w:r w:rsidR="0087682F" w:rsidRPr="00092862">
        <w:rPr>
          <w:rFonts w:ascii="Times New Roman" w:eastAsia="宋体" w:hAnsi="Times New Roman" w:cs="Times New Roman"/>
          <w:color w:val="000000" w:themeColor="text1"/>
          <w:sz w:val="24"/>
          <w:szCs w:val="24"/>
        </w:rPr>
        <w:t>较为</w:t>
      </w:r>
      <w:r w:rsidR="008D439B" w:rsidRPr="00092862">
        <w:rPr>
          <w:rFonts w:ascii="Times New Roman" w:eastAsia="宋体" w:hAnsi="Times New Roman" w:cs="Times New Roman"/>
          <w:color w:val="000000" w:themeColor="text1"/>
          <w:sz w:val="24"/>
          <w:szCs w:val="24"/>
        </w:rPr>
        <w:t>空旷，并清除周边</w:t>
      </w:r>
      <w:r w:rsidR="008D439B" w:rsidRPr="00092862">
        <w:rPr>
          <w:rFonts w:ascii="Times New Roman" w:eastAsia="宋体" w:hAnsi="Times New Roman" w:cs="Times New Roman"/>
          <w:color w:val="000000" w:themeColor="text1"/>
          <w:sz w:val="24"/>
          <w:szCs w:val="24"/>
        </w:rPr>
        <w:t>10m</w:t>
      </w:r>
      <w:r w:rsidR="008D439B" w:rsidRPr="00092862">
        <w:rPr>
          <w:rFonts w:ascii="Times New Roman" w:eastAsia="宋体" w:hAnsi="Times New Roman" w:cs="Times New Roman"/>
          <w:color w:val="000000" w:themeColor="text1"/>
          <w:sz w:val="24"/>
          <w:szCs w:val="24"/>
        </w:rPr>
        <w:t>范围内的杂草</w:t>
      </w:r>
      <w:r w:rsidR="0087682F" w:rsidRPr="00092862">
        <w:rPr>
          <w:rFonts w:ascii="Times New Roman" w:eastAsia="宋体" w:hAnsi="Times New Roman" w:cs="Times New Roman"/>
          <w:color w:val="000000" w:themeColor="text1"/>
          <w:sz w:val="24"/>
          <w:szCs w:val="24"/>
        </w:rPr>
        <w:t>、杂树</w:t>
      </w:r>
      <w:r w:rsidR="008D439B" w:rsidRPr="00092862">
        <w:rPr>
          <w:rFonts w:ascii="Times New Roman" w:eastAsia="宋体" w:hAnsi="Times New Roman" w:cs="Times New Roman"/>
          <w:color w:val="000000" w:themeColor="text1"/>
          <w:sz w:val="24"/>
          <w:szCs w:val="24"/>
        </w:rPr>
        <w:t>，放喷池内储存约</w:t>
      </w:r>
      <w:r w:rsidR="008D439B" w:rsidRPr="00092862">
        <w:rPr>
          <w:rFonts w:ascii="Times New Roman" w:eastAsia="宋体" w:hAnsi="Times New Roman" w:cs="Times New Roman"/>
          <w:color w:val="000000" w:themeColor="text1"/>
          <w:sz w:val="24"/>
          <w:szCs w:val="24"/>
        </w:rPr>
        <w:t>1.0m</w:t>
      </w:r>
      <w:r w:rsidR="008D439B" w:rsidRPr="00092862">
        <w:rPr>
          <w:rFonts w:ascii="Times New Roman" w:eastAsia="宋体" w:hAnsi="Times New Roman" w:cs="Times New Roman"/>
          <w:color w:val="000000" w:themeColor="text1"/>
          <w:sz w:val="24"/>
          <w:szCs w:val="24"/>
        </w:rPr>
        <w:t>深的清水，有利于燃烧废气的扩散和减少热辐射污染。</w:t>
      </w:r>
      <w:r w:rsidRPr="00092862">
        <w:rPr>
          <w:rFonts w:ascii="Times New Roman" w:eastAsia="宋体" w:hAnsi="Times New Roman" w:cs="Times New Roman"/>
          <w:color w:val="000000" w:themeColor="text1"/>
          <w:sz w:val="24"/>
          <w:szCs w:val="24"/>
        </w:rPr>
        <w:t>本项目气井为含硫化氢天然气井，其燃烧主要产物为</w:t>
      </w:r>
      <w:r w:rsidRPr="00092862">
        <w:rPr>
          <w:rFonts w:ascii="Times New Roman" w:eastAsia="宋体" w:hAnsi="Times New Roman" w:cs="Times New Roman"/>
          <w:color w:val="000000" w:themeColor="text1"/>
          <w:sz w:val="24"/>
          <w:szCs w:val="24"/>
        </w:rPr>
        <w:t>CO</w:t>
      </w:r>
      <w:r w:rsidRPr="00092862">
        <w:rPr>
          <w:rFonts w:ascii="Times New Roman" w:eastAsia="宋体" w:hAnsi="Times New Roman" w:cs="Times New Roman"/>
          <w:color w:val="000000" w:themeColor="text1"/>
          <w:sz w:val="24"/>
          <w:szCs w:val="24"/>
          <w:vertAlign w:val="subscript"/>
        </w:rPr>
        <w:t>2</w:t>
      </w:r>
      <w:r w:rsidRPr="00092862">
        <w:rPr>
          <w:rFonts w:ascii="Times New Roman" w:eastAsia="宋体" w:hAnsi="Times New Roman" w:cs="Times New Roman"/>
          <w:color w:val="000000" w:themeColor="text1"/>
          <w:sz w:val="24"/>
          <w:szCs w:val="24"/>
        </w:rPr>
        <w:t>、水蒸气、</w:t>
      </w:r>
      <w:r w:rsidRPr="00092862">
        <w:rPr>
          <w:rFonts w:ascii="Times New Roman" w:eastAsia="宋体" w:hAnsi="Times New Roman" w:cs="Times New Roman"/>
          <w:color w:val="000000" w:themeColor="text1"/>
          <w:sz w:val="24"/>
          <w:szCs w:val="24"/>
        </w:rPr>
        <w:t>NOx</w:t>
      </w:r>
      <w:r w:rsidRPr="00092862">
        <w:rPr>
          <w:rFonts w:ascii="Times New Roman" w:eastAsia="宋体" w:hAnsi="Times New Roman" w:cs="Times New Roman"/>
          <w:color w:val="000000" w:themeColor="text1"/>
          <w:sz w:val="24"/>
          <w:szCs w:val="24"/>
        </w:rPr>
        <w:t>、</w:t>
      </w:r>
      <w:r w:rsidR="0087682F" w:rsidRPr="00092862">
        <w:rPr>
          <w:rFonts w:ascii="Times New Roman" w:eastAsia="宋体" w:hAnsi="Times New Roman" w:cs="Times New Roman"/>
          <w:color w:val="000000" w:themeColor="text1"/>
          <w:sz w:val="24"/>
          <w:szCs w:val="24"/>
        </w:rPr>
        <w:t>SO</w:t>
      </w:r>
      <w:r w:rsidR="0087682F" w:rsidRPr="00092862">
        <w:rPr>
          <w:rFonts w:ascii="Times New Roman" w:eastAsia="宋体" w:hAnsi="Times New Roman" w:cs="Times New Roman"/>
          <w:color w:val="000000" w:themeColor="text1"/>
          <w:sz w:val="24"/>
          <w:szCs w:val="24"/>
          <w:vertAlign w:val="subscript"/>
        </w:rPr>
        <w:t>2</w:t>
      </w:r>
      <w:r w:rsidR="0087682F"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颗粒物等。针对测试放喷废气主要采用地面灼烧处理，同时应对测试放喷时周边居民进行临时疏散。除了必要的放喷测试放空外，建议建设单位采取先建内部集输管网的方式及时将井下天然气接管外输，减少天然气放空量。该措施满足《陆上石油天然气开采工业大气污染物排放标准》（</w:t>
      </w:r>
      <w:r w:rsidRPr="00092862">
        <w:rPr>
          <w:rFonts w:ascii="Times New Roman" w:eastAsia="宋体" w:hAnsi="Times New Roman" w:cs="Times New Roman"/>
          <w:color w:val="000000" w:themeColor="text1"/>
          <w:sz w:val="24"/>
          <w:szCs w:val="24"/>
        </w:rPr>
        <w:t>GB39728—2020</w:t>
      </w:r>
      <w:r w:rsidRPr="00092862">
        <w:rPr>
          <w:rFonts w:ascii="Times New Roman" w:eastAsia="宋体" w:hAnsi="Times New Roman" w:cs="Times New Roman"/>
          <w:color w:val="000000" w:themeColor="text1"/>
          <w:sz w:val="24"/>
          <w:szCs w:val="24"/>
        </w:rPr>
        <w:t>）相关要求</w:t>
      </w:r>
      <w:r w:rsidR="008D439B" w:rsidRPr="00092862">
        <w:rPr>
          <w:rFonts w:ascii="Times New Roman" w:eastAsia="宋体" w:hAnsi="Times New Roman" w:cs="Times New Roman"/>
          <w:color w:val="000000" w:themeColor="text1"/>
          <w:sz w:val="24"/>
          <w:szCs w:val="24"/>
        </w:rPr>
        <w:t>，措施有效可行。</w:t>
      </w:r>
    </w:p>
    <w:p w14:paraId="13FECC55" w14:textId="38719D7B" w:rsidR="00BD036A" w:rsidRPr="00092862" w:rsidRDefault="00BD036A" w:rsidP="00BD036A">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综上所述，本项目施工期各类废气处置措施在川</w:t>
      </w:r>
      <w:r w:rsidR="0087682F"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地区钻采工程中已实施多年，具有较好的借鉴经验。根据本</w:t>
      </w:r>
      <w:r w:rsidR="005E600F" w:rsidRPr="00092862">
        <w:rPr>
          <w:rFonts w:ascii="Times New Roman" w:eastAsia="宋体" w:hAnsi="Times New Roman" w:cs="Times New Roman"/>
          <w:color w:val="000000" w:themeColor="text1"/>
          <w:sz w:val="24"/>
          <w:szCs w:val="24"/>
        </w:rPr>
        <w:t>井场</w:t>
      </w:r>
      <w:r w:rsidRPr="00092862">
        <w:rPr>
          <w:rFonts w:ascii="Times New Roman" w:eastAsia="宋体" w:hAnsi="Times New Roman" w:cs="Times New Roman"/>
          <w:color w:val="000000" w:themeColor="text1"/>
          <w:sz w:val="24"/>
          <w:szCs w:val="24"/>
        </w:rPr>
        <w:t>已经完</w:t>
      </w:r>
      <w:r w:rsidR="005E600F" w:rsidRPr="00092862">
        <w:rPr>
          <w:rFonts w:ascii="Times New Roman" w:eastAsia="宋体" w:hAnsi="Times New Roman" w:cs="Times New Roman"/>
          <w:color w:val="000000" w:themeColor="text1"/>
          <w:sz w:val="24"/>
          <w:szCs w:val="24"/>
        </w:rPr>
        <w:t>钻的</w:t>
      </w:r>
      <w:r w:rsidR="004D07D0" w:rsidRPr="00092862">
        <w:rPr>
          <w:rFonts w:ascii="Times New Roman" w:eastAsia="宋体" w:hAnsi="Times New Roman" w:cs="Times New Roman"/>
          <w:color w:val="000000" w:themeColor="text1"/>
          <w:sz w:val="24"/>
          <w:szCs w:val="24"/>
        </w:rPr>
        <w:t>原老君</w:t>
      </w:r>
      <w:r w:rsidR="004D07D0" w:rsidRPr="00092862">
        <w:rPr>
          <w:rFonts w:ascii="Times New Roman" w:eastAsia="宋体" w:hAnsi="Times New Roman" w:cs="Times New Roman"/>
          <w:color w:val="000000" w:themeColor="text1"/>
          <w:sz w:val="24"/>
          <w:szCs w:val="24"/>
        </w:rPr>
        <w:t>701</w:t>
      </w:r>
      <w:r w:rsidR="004D07D0" w:rsidRPr="00092862">
        <w:rPr>
          <w:rFonts w:ascii="Times New Roman" w:eastAsia="宋体" w:hAnsi="Times New Roman" w:cs="Times New Roman"/>
          <w:color w:val="000000" w:themeColor="text1"/>
          <w:sz w:val="24"/>
          <w:szCs w:val="24"/>
        </w:rPr>
        <w:t>集气站旁</w:t>
      </w:r>
      <w:r w:rsidRPr="00092862">
        <w:rPr>
          <w:rFonts w:ascii="Times New Roman" w:eastAsia="宋体" w:hAnsi="Times New Roman" w:cs="Times New Roman"/>
          <w:color w:val="000000" w:themeColor="text1"/>
          <w:sz w:val="24"/>
          <w:szCs w:val="24"/>
        </w:rPr>
        <w:t>和其他中石化</w:t>
      </w:r>
      <w:r w:rsidR="004750E4" w:rsidRPr="00092862">
        <w:rPr>
          <w:rFonts w:ascii="Times New Roman" w:eastAsia="宋体" w:hAnsi="Times New Roman" w:cs="Times New Roman"/>
          <w:color w:val="000000" w:themeColor="text1"/>
          <w:sz w:val="24"/>
          <w:szCs w:val="24"/>
        </w:rPr>
        <w:t>川</w:t>
      </w:r>
      <w:r w:rsidR="00C255D4"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地区钻采工程采用相同废气处理措施，到目前为止，</w:t>
      </w:r>
      <w:r w:rsidR="00C255D4" w:rsidRPr="00092862">
        <w:rPr>
          <w:rFonts w:ascii="Times New Roman" w:eastAsia="宋体" w:hAnsi="Times New Roman" w:cs="Times New Roman"/>
          <w:color w:val="000000" w:themeColor="text1"/>
          <w:sz w:val="24"/>
          <w:szCs w:val="24"/>
        </w:rPr>
        <w:t>中原油</w:t>
      </w:r>
      <w:r w:rsidR="00C255D4" w:rsidRPr="00092862">
        <w:rPr>
          <w:rFonts w:ascii="Times New Roman" w:eastAsia="宋体" w:hAnsi="Times New Roman" w:cs="Times New Roman"/>
          <w:color w:val="000000" w:themeColor="text1"/>
          <w:sz w:val="24"/>
          <w:szCs w:val="24"/>
        </w:rPr>
        <w:lastRenderedPageBreak/>
        <w:t>田普光分公司</w:t>
      </w:r>
      <w:r w:rsidRPr="00092862">
        <w:rPr>
          <w:rFonts w:ascii="Times New Roman" w:eastAsia="宋体" w:hAnsi="Times New Roman" w:cs="Times New Roman"/>
          <w:color w:val="000000" w:themeColor="text1"/>
          <w:sz w:val="24"/>
          <w:szCs w:val="24"/>
        </w:rPr>
        <w:t>未收到废气污染的环保投诉。因此，本项目施工期废气治理措施从经济和环保角度分析是合理、可行的。</w:t>
      </w:r>
    </w:p>
    <w:p w14:paraId="30F1A30F" w14:textId="2CC9433C" w:rsidR="008D439B" w:rsidRPr="00092862" w:rsidRDefault="00704F23" w:rsidP="008D439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41" w:name="_Toc120173212"/>
      <w:r w:rsidRPr="00092862">
        <w:rPr>
          <w:rFonts w:ascii="Times New Roman" w:eastAsia="黑体" w:hAnsi="Times New Roman"/>
          <w:b w:val="0"/>
          <w:color w:val="000000" w:themeColor="text1"/>
          <w:sz w:val="24"/>
          <w:szCs w:val="24"/>
          <w:lang w:eastAsia="zh-CN"/>
        </w:rPr>
        <w:t>7</w:t>
      </w:r>
      <w:r w:rsidR="008D439B" w:rsidRPr="00092862">
        <w:rPr>
          <w:rFonts w:ascii="Times New Roman" w:eastAsia="黑体" w:hAnsi="Times New Roman"/>
          <w:b w:val="0"/>
          <w:color w:val="000000" w:themeColor="text1"/>
          <w:sz w:val="24"/>
          <w:szCs w:val="24"/>
          <w:lang w:eastAsia="zh-CN"/>
        </w:rPr>
        <w:t>.1.</w:t>
      </w:r>
      <w:r w:rsidR="00126943" w:rsidRPr="00092862">
        <w:rPr>
          <w:rFonts w:ascii="Times New Roman" w:eastAsia="黑体" w:hAnsi="Times New Roman"/>
          <w:b w:val="0"/>
          <w:color w:val="000000" w:themeColor="text1"/>
          <w:sz w:val="24"/>
          <w:szCs w:val="24"/>
          <w:lang w:eastAsia="zh-CN"/>
        </w:rPr>
        <w:t>3</w:t>
      </w:r>
      <w:r w:rsidR="008D439B" w:rsidRPr="00092862">
        <w:rPr>
          <w:rFonts w:ascii="Times New Roman" w:eastAsia="黑体" w:hAnsi="Times New Roman"/>
          <w:b w:val="0"/>
          <w:color w:val="000000" w:themeColor="text1"/>
          <w:sz w:val="24"/>
          <w:szCs w:val="24"/>
          <w:lang w:eastAsia="zh-CN"/>
        </w:rPr>
        <w:t>施工期废水污染防治措施及可行性分析</w:t>
      </w:r>
      <w:bookmarkEnd w:id="341"/>
    </w:p>
    <w:p w14:paraId="4109498C" w14:textId="77777777" w:rsidR="008D439B" w:rsidRPr="00092862" w:rsidRDefault="008D439B" w:rsidP="008D439B">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1</w:t>
      </w:r>
      <w:r w:rsidRPr="00092862">
        <w:rPr>
          <w:rFonts w:ascii="Times New Roman" w:eastAsia="黑体" w:hAnsi="Times New Roman" w:cs="Times New Roman"/>
          <w:color w:val="000000" w:themeColor="text1"/>
          <w:sz w:val="24"/>
          <w:szCs w:val="24"/>
        </w:rPr>
        <w:t>、</w:t>
      </w:r>
      <w:r w:rsidR="00126943" w:rsidRPr="00092862">
        <w:rPr>
          <w:rFonts w:ascii="Times New Roman" w:eastAsia="黑体" w:hAnsi="Times New Roman" w:cs="Times New Roman"/>
          <w:color w:val="000000" w:themeColor="text1"/>
          <w:sz w:val="24"/>
          <w:szCs w:val="24"/>
        </w:rPr>
        <w:t>治理</w:t>
      </w:r>
      <w:r w:rsidRPr="00092862">
        <w:rPr>
          <w:rFonts w:ascii="Times New Roman" w:eastAsia="黑体" w:hAnsi="Times New Roman" w:cs="Times New Roman"/>
          <w:color w:val="000000" w:themeColor="text1"/>
          <w:sz w:val="24"/>
          <w:szCs w:val="24"/>
        </w:rPr>
        <w:t>措施</w:t>
      </w:r>
    </w:p>
    <w:p w14:paraId="1C574432" w14:textId="5138CD17" w:rsidR="00D543CD" w:rsidRPr="00092862" w:rsidRDefault="00D543CD" w:rsidP="008D439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）钻井废水、洗井废水</w:t>
      </w:r>
    </w:p>
    <w:p w14:paraId="5ADFFED0" w14:textId="01B5D05C" w:rsidR="00D543CD" w:rsidRPr="00092862" w:rsidRDefault="00D543CD" w:rsidP="008D439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钻井泥浆大多数回用于项目本身，先经固控设备固液分离后，合格泥浆直接进入泥浆循环罐回用，不合格泥浆和设备冲洗废水、洗井废水等经泥浆不落地处理后的钻井废水约</w:t>
      </w:r>
      <w:r w:rsidRPr="00092862">
        <w:rPr>
          <w:rFonts w:ascii="Times New Roman" w:eastAsia="宋体" w:hAnsi="Times New Roman" w:cs="Times New Roman"/>
          <w:color w:val="000000" w:themeColor="text1"/>
          <w:sz w:val="24"/>
          <w:szCs w:val="24"/>
        </w:rPr>
        <w:t>90%</w:t>
      </w:r>
      <w:r w:rsidRPr="00092862">
        <w:rPr>
          <w:rFonts w:ascii="Times New Roman" w:eastAsia="宋体" w:hAnsi="Times New Roman" w:cs="Times New Roman"/>
          <w:color w:val="000000" w:themeColor="text1"/>
          <w:sz w:val="24"/>
          <w:szCs w:val="24"/>
        </w:rPr>
        <w:t>回用于钻井过程，约</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rPr>
        <w:t>暂存于泥浆不落地装置</w:t>
      </w:r>
      <w:r w:rsidR="0077729A" w:rsidRPr="00092862">
        <w:rPr>
          <w:rFonts w:ascii="Times New Roman" w:eastAsia="宋体" w:hAnsi="Times New Roman" w:cs="Times New Roman"/>
          <w:color w:val="000000" w:themeColor="text1"/>
          <w:sz w:val="24"/>
          <w:szCs w:val="24"/>
        </w:rPr>
        <w:t>内</w:t>
      </w:r>
      <w:r w:rsidRPr="00092862">
        <w:rPr>
          <w:rFonts w:ascii="Times New Roman" w:eastAsia="宋体" w:hAnsi="Times New Roman" w:cs="Times New Roman"/>
          <w:color w:val="000000" w:themeColor="text1"/>
          <w:sz w:val="24"/>
          <w:szCs w:val="24"/>
        </w:rPr>
        <w:t>，定期用密闭罐车</w:t>
      </w:r>
      <w:r w:rsidR="00CB1CAD" w:rsidRPr="00092862">
        <w:rPr>
          <w:rFonts w:ascii="Times New Roman" w:eastAsia="宋体" w:hAnsi="Times New Roman" w:cs="Times New Roman"/>
          <w:color w:val="000000" w:themeColor="text1"/>
          <w:sz w:val="24"/>
          <w:szCs w:val="24"/>
        </w:rPr>
        <w:t>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color w:val="000000" w:themeColor="text1"/>
          <w:sz w:val="24"/>
          <w:szCs w:val="24"/>
        </w:rPr>
        <w:t>；固体为钻井固废用密闭罐车</w:t>
      </w:r>
      <w:r w:rsidR="000408D0" w:rsidRPr="00092862">
        <w:rPr>
          <w:rFonts w:ascii="Times New Roman" w:eastAsia="宋体" w:hAnsi="Times New Roman" w:cs="Times New Roman"/>
          <w:color w:val="000000" w:themeColor="text1"/>
          <w:sz w:val="24"/>
          <w:szCs w:val="24"/>
        </w:rPr>
        <w:t>及时转运至达州地区环保手续齐全、环保设施稳定运行固废烧结厂进行烧结后综合利用</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rPr>
        <w:t>项目钻井期间钻井废水、洗井废水回收及处置措施工艺流程如下</w:t>
      </w:r>
      <w:r w:rsidR="00A56406" w:rsidRPr="00092862">
        <w:rPr>
          <w:rFonts w:ascii="Times New Roman" w:eastAsia="宋体" w:hAnsi="Times New Roman" w:cs="Times New Roman"/>
          <w:color w:val="000000" w:themeColor="text1"/>
          <w:sz w:val="24"/>
        </w:rPr>
        <w:t>。</w:t>
      </w:r>
      <w:bookmarkStart w:id="342" w:name="_Hlk107247128"/>
    </w:p>
    <w:p w14:paraId="5E3F6ACC" w14:textId="02B2332F" w:rsidR="00D543CD" w:rsidRPr="00092862" w:rsidRDefault="000F6507" w:rsidP="00D543CD">
      <w:pPr>
        <w:adjustRightInd w:val="0"/>
        <w:snapToGrid w:val="0"/>
        <w:spacing w:line="360" w:lineRule="auto"/>
        <w:jc w:val="center"/>
        <w:rPr>
          <w:rFonts w:ascii="Times New Roman" w:hAnsi="Times New Roman" w:cs="Times New Roman"/>
          <w:b/>
          <w:color w:val="000000" w:themeColor="text1"/>
          <w:sz w:val="24"/>
        </w:rPr>
      </w:pPr>
      <w:r w:rsidRPr="00092862">
        <w:rPr>
          <w:rFonts w:ascii="Times New Roman" w:hAnsi="Times New Roman" w:cs="Times New Roman"/>
          <w:noProof/>
          <w:color w:val="000000" w:themeColor="text1"/>
        </w:rPr>
        <mc:AlternateContent>
          <mc:Choice Requires="wps">
            <w:drawing>
              <wp:anchor distT="0" distB="0" distL="114300" distR="114300" simplePos="0" relativeHeight="251956224" behindDoc="0" locked="0" layoutInCell="1" allowOverlap="1" wp14:anchorId="34099569" wp14:editId="555018AD">
                <wp:simplePos x="0" y="0"/>
                <wp:positionH relativeFrom="column">
                  <wp:posOffset>4034017</wp:posOffset>
                </wp:positionH>
                <wp:positionV relativeFrom="paragraph">
                  <wp:posOffset>618981</wp:posOffset>
                </wp:positionV>
                <wp:extent cx="506095" cy="376899"/>
                <wp:effectExtent l="0" t="0" r="27305" b="23495"/>
                <wp:wrapNone/>
                <wp:docPr id="1841" name="文本框 1841"/>
                <wp:cNvGraphicFramePr/>
                <a:graphic xmlns:a="http://schemas.openxmlformats.org/drawingml/2006/main">
                  <a:graphicData uri="http://schemas.microsoft.com/office/word/2010/wordprocessingShape">
                    <wps:wsp>
                      <wps:cNvSpPr txBox="1"/>
                      <wps:spPr bwMode="auto">
                        <a:xfrm>
                          <a:off x="0" y="0"/>
                          <a:ext cx="506095" cy="376899"/>
                        </a:xfrm>
                        <a:prstGeom prst="rect">
                          <a:avLst/>
                        </a:prstGeom>
                        <a:solidFill>
                          <a:srgbClr val="FFFFFF"/>
                        </a:solidFill>
                        <a:ln w="9525">
                          <a:solidFill>
                            <a:schemeClr val="bg1"/>
                          </a:solidFill>
                          <a:miter lim="800000"/>
                          <a:headEnd/>
                          <a:tailEnd/>
                        </a:ln>
                      </wps:spPr>
                      <wps:txbx>
                        <w:txbxContent>
                          <w:p w14:paraId="5E6C8527" w14:textId="088C043A" w:rsidR="00A56406" w:rsidRPr="00A56406" w:rsidRDefault="000F6507" w:rsidP="00A56406">
                            <w:pPr>
                              <w:rPr>
                                <w:sz w:val="15"/>
                                <w:szCs w:val="15"/>
                              </w:rPr>
                            </w:pPr>
                            <w:r w:rsidRPr="000F6507">
                              <w:rPr>
                                <w:rFonts w:hint="eastAsia"/>
                                <w:sz w:val="15"/>
                                <w:szCs w:val="15"/>
                              </w:rPr>
                              <w:t>赵家坝污水处理站</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99569" id="文本框 1841" o:spid="_x0000_s1070" type="#_x0000_t202" style="position:absolute;left:0;text-align:left;margin-left:317.65pt;margin-top:48.75pt;width:39.85pt;height:29.7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" strokecolor="white [3212]">
                <v:textbox inset="0,,0">
                  <w:txbxContent>
                    <w:p w14:paraId="5E6C8527" w14:textId="088C043A" w:rsidR="00A56406" w:rsidRPr="00A56406" w:rsidRDefault="000F6507" w:rsidP="00A56406">
                      <w:pPr>
                        <w:rPr>
                          <w:sz w:val="15"/>
                          <w:szCs w:val="15"/>
                        </w:rPr>
                      </w:pPr>
                      <w:r w:rsidRPr="000F6507">
                        <w:rPr>
                          <w:rFonts w:hint="eastAsia"/>
                          <w:sz w:val="15"/>
                          <w:szCs w:val="15"/>
                        </w:rPr>
                        <w:t>赵家坝污水处理站</w:t>
                      </w:r>
                    </w:p>
                  </w:txbxContent>
                </v:textbox>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62368" behindDoc="0" locked="0" layoutInCell="1" allowOverlap="1" wp14:anchorId="319F72E3" wp14:editId="64C91D8D">
                <wp:simplePos x="0" y="0"/>
                <wp:positionH relativeFrom="margin">
                  <wp:align>right</wp:align>
                </wp:positionH>
                <wp:positionV relativeFrom="paragraph">
                  <wp:posOffset>667108</wp:posOffset>
                </wp:positionV>
                <wp:extent cx="440012" cy="343759"/>
                <wp:effectExtent l="0" t="0" r="17780" b="18415"/>
                <wp:wrapNone/>
                <wp:docPr id="76" name="文本框 76"/>
                <wp:cNvGraphicFramePr/>
                <a:graphic xmlns:a="http://schemas.openxmlformats.org/drawingml/2006/main">
                  <a:graphicData uri="http://schemas.microsoft.com/office/word/2010/wordprocessingShape">
                    <wps:wsp>
                      <wps:cNvSpPr txBox="1"/>
                      <wps:spPr bwMode="auto">
                        <a:xfrm>
                          <a:off x="0" y="0"/>
                          <a:ext cx="440012" cy="343759"/>
                        </a:xfrm>
                        <a:prstGeom prst="rect">
                          <a:avLst/>
                        </a:prstGeom>
                        <a:solidFill>
                          <a:srgbClr val="FFFFFF"/>
                        </a:solidFill>
                        <a:ln w="9525">
                          <a:solidFill>
                            <a:schemeClr val="bg1"/>
                          </a:solidFill>
                          <a:miter lim="800000"/>
                          <a:headEnd/>
                          <a:tailEnd/>
                        </a:ln>
                      </wps:spPr>
                      <wps:txbx>
                        <w:txbxContent>
                          <w:p w14:paraId="049FF855" w14:textId="5CBF4EC6" w:rsidR="0077729A" w:rsidRPr="00A56406" w:rsidRDefault="000F6507" w:rsidP="0077729A">
                            <w:pPr>
                              <w:rPr>
                                <w:sz w:val="15"/>
                                <w:szCs w:val="15"/>
                              </w:rPr>
                            </w:pPr>
                            <w:r>
                              <w:rPr>
                                <w:rFonts w:hint="eastAsia"/>
                                <w:sz w:val="15"/>
                                <w:szCs w:val="15"/>
                              </w:rPr>
                              <w:t>普光1</w:t>
                            </w:r>
                            <w:r>
                              <w:rPr>
                                <w:sz w:val="15"/>
                                <w:szCs w:val="15"/>
                              </w:rPr>
                              <w:t>1</w:t>
                            </w:r>
                            <w:r w:rsidR="0077729A">
                              <w:rPr>
                                <w:rFonts w:hint="eastAsia"/>
                                <w:sz w:val="15"/>
                                <w:szCs w:val="15"/>
                              </w:rPr>
                              <w:t>井回注</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F72E3" id="文本框 76" o:spid="_x0000_s1071" type="#_x0000_t202" style="position:absolute;left:0;text-align:left;margin-left:-16.55pt;margin-top:52.55pt;width:34.65pt;height:27.05pt;z-index:25196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" strokecolor="white [3212]">
                <v:textbox inset="0,,0">
                  <w:txbxContent>
                    <w:p w14:paraId="049FF855" w14:textId="5CBF4EC6" w:rsidR="0077729A" w:rsidRPr="00A56406" w:rsidRDefault="000F6507" w:rsidP="0077729A">
                      <w:pPr>
                        <w:rPr>
                          <w:sz w:val="15"/>
                          <w:szCs w:val="15"/>
                        </w:rPr>
                      </w:pPr>
                      <w:r>
                        <w:rPr>
                          <w:rFonts w:hint="eastAsia"/>
                          <w:sz w:val="15"/>
                          <w:szCs w:val="15"/>
                        </w:rPr>
                        <w:t>普光1</w:t>
                      </w:r>
                      <w:r>
                        <w:rPr>
                          <w:sz w:val="15"/>
                          <w:szCs w:val="15"/>
                        </w:rPr>
                        <w:t>1</w:t>
                      </w:r>
                      <w:r w:rsidR="0077729A">
                        <w:rPr>
                          <w:rFonts w:hint="eastAsia"/>
                          <w:sz w:val="15"/>
                          <w:szCs w:val="15"/>
                        </w:rPr>
                        <w:t>井回注</w:t>
                      </w:r>
                    </w:p>
                  </w:txbxContent>
                </v:textbox>
                <w10:wrap anchorx="margin"/>
              </v:shape>
            </w:pict>
          </mc:Fallback>
        </mc:AlternateContent>
      </w:r>
      <w:r w:rsidR="00410014" w:rsidRPr="00092862">
        <w:rPr>
          <w:rFonts w:ascii="Times New Roman" w:hAnsi="Times New Roman" w:cs="Times New Roman"/>
          <w:noProof/>
          <w:color w:val="000000" w:themeColor="text1"/>
        </w:rPr>
        <mc:AlternateContent>
          <mc:Choice Requires="wps">
            <w:drawing>
              <wp:anchor distT="0" distB="0" distL="114300" distR="114300" simplePos="0" relativeHeight="251953152" behindDoc="0" locked="0" layoutInCell="1" allowOverlap="1" wp14:anchorId="0F0DBBD8" wp14:editId="09ADDAA6">
                <wp:simplePos x="0" y="0"/>
                <wp:positionH relativeFrom="column">
                  <wp:posOffset>3394710</wp:posOffset>
                </wp:positionH>
                <wp:positionV relativeFrom="paragraph">
                  <wp:posOffset>683441</wp:posOffset>
                </wp:positionV>
                <wp:extent cx="337185" cy="239395"/>
                <wp:effectExtent l="0" t="0" r="24765" b="27305"/>
                <wp:wrapNone/>
                <wp:docPr id="1838" name="文本框 1838"/>
                <wp:cNvGraphicFramePr/>
                <a:graphic xmlns:a="http://schemas.openxmlformats.org/drawingml/2006/main">
                  <a:graphicData uri="http://schemas.microsoft.com/office/word/2010/wordprocessingShape">
                    <wps:wsp>
                      <wps:cNvSpPr txBox="1"/>
                      <wps:spPr bwMode="auto">
                        <a:xfrm>
                          <a:off x="0" y="0"/>
                          <a:ext cx="337185" cy="239395"/>
                        </a:xfrm>
                        <a:prstGeom prst="rect">
                          <a:avLst/>
                        </a:prstGeom>
                        <a:solidFill>
                          <a:srgbClr val="FFFFFF"/>
                        </a:solidFill>
                        <a:ln w="9525">
                          <a:solidFill>
                            <a:schemeClr val="tx1"/>
                          </a:solidFill>
                          <a:miter lim="800000"/>
                          <a:headEnd/>
                          <a:tailEnd/>
                        </a:ln>
                      </wps:spPr>
                      <wps:txbx>
                        <w:txbxContent>
                          <w:p w14:paraId="12F17B44" w14:textId="11DD0D38" w:rsidR="00A56406" w:rsidRPr="00A56406" w:rsidRDefault="00410014" w:rsidP="00A56406">
                            <w:pPr>
                              <w:rPr>
                                <w:sz w:val="15"/>
                                <w:szCs w:val="15"/>
                              </w:rPr>
                            </w:pPr>
                            <w:r>
                              <w:rPr>
                                <w:rFonts w:hint="eastAsia"/>
                                <w:sz w:val="15"/>
                                <w:szCs w:val="15"/>
                              </w:rPr>
                              <w:t>放喷</w:t>
                            </w:r>
                            <w:r w:rsidR="00A56406">
                              <w:rPr>
                                <w:rFonts w:hint="eastAsia"/>
                                <w:sz w:val="15"/>
                                <w:szCs w:val="15"/>
                              </w:rPr>
                              <w:t>池</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DBBD8" id="文本框 1838" o:spid="_x0000_s1072" type="#_x0000_t202" style="position:absolute;left:0;text-align:left;margin-left:267.3pt;margin-top:53.8pt;width:26.55pt;height:18.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" strokecolor="black [3213]">
                <v:textbox inset="0,,0">
                  <w:txbxContent>
                    <w:p w14:paraId="12F17B44" w14:textId="11DD0D38" w:rsidR="00A56406" w:rsidRPr="00A56406" w:rsidRDefault="00410014" w:rsidP="00A56406">
                      <w:pPr>
                        <w:rPr>
                          <w:sz w:val="15"/>
                          <w:szCs w:val="15"/>
                        </w:rPr>
                      </w:pPr>
                      <w:r>
                        <w:rPr>
                          <w:rFonts w:hint="eastAsia"/>
                          <w:sz w:val="15"/>
                          <w:szCs w:val="15"/>
                        </w:rPr>
                        <w:t>放喷</w:t>
                      </w:r>
                      <w:r w:rsidR="00A56406">
                        <w:rPr>
                          <w:rFonts w:hint="eastAsia"/>
                          <w:sz w:val="15"/>
                          <w:szCs w:val="15"/>
                        </w:rPr>
                        <w:t>池</w:t>
                      </w:r>
                    </w:p>
                  </w:txbxContent>
                </v:textbox>
              </v:shape>
            </w:pict>
          </mc:Fallback>
        </mc:AlternateContent>
      </w:r>
      <w:r w:rsidR="00A945D1" w:rsidRPr="00092862">
        <w:rPr>
          <w:rFonts w:ascii="Times New Roman" w:hAnsi="Times New Roman" w:cs="Times New Roman"/>
          <w:noProof/>
          <w:color w:val="000000" w:themeColor="text1"/>
        </w:rPr>
        <mc:AlternateContent>
          <mc:Choice Requires="wps">
            <w:drawing>
              <wp:anchor distT="0" distB="0" distL="114300" distR="114300" simplePos="0" relativeHeight="251950080" behindDoc="0" locked="0" layoutInCell="1" allowOverlap="1" wp14:anchorId="27693D66" wp14:editId="44A5B840">
                <wp:simplePos x="0" y="0"/>
                <wp:positionH relativeFrom="column">
                  <wp:posOffset>2867891</wp:posOffset>
                </wp:positionH>
                <wp:positionV relativeFrom="paragraph">
                  <wp:posOffset>1096587</wp:posOffset>
                </wp:positionV>
                <wp:extent cx="1828800" cy="375103"/>
                <wp:effectExtent l="0" t="0" r="19050" b="25400"/>
                <wp:wrapNone/>
                <wp:docPr id="49" name="文本框 49"/>
                <wp:cNvGraphicFramePr/>
                <a:graphic xmlns:a="http://schemas.openxmlformats.org/drawingml/2006/main">
                  <a:graphicData uri="http://schemas.microsoft.com/office/word/2010/wordprocessingShape">
                    <wps:wsp>
                      <wps:cNvSpPr txBox="1"/>
                      <wps:spPr bwMode="auto">
                        <a:xfrm>
                          <a:off x="0" y="0"/>
                          <a:ext cx="1828800" cy="375103"/>
                        </a:xfrm>
                        <a:prstGeom prst="rect">
                          <a:avLst/>
                        </a:prstGeom>
                        <a:solidFill>
                          <a:srgbClr val="FFFFFF"/>
                        </a:solidFill>
                        <a:ln w="9525">
                          <a:solidFill>
                            <a:schemeClr val="bg1"/>
                          </a:solidFill>
                          <a:miter lim="800000"/>
                          <a:headEnd/>
                          <a:tailEnd/>
                        </a:ln>
                      </wps:spPr>
                      <wps:txbx>
                        <w:txbxContent>
                          <w:p w14:paraId="527A11E0" w14:textId="5677B18E" w:rsidR="00A56406" w:rsidRPr="00A56406" w:rsidRDefault="000408D0">
                            <w:pPr>
                              <w:rPr>
                                <w:sz w:val="15"/>
                                <w:szCs w:val="15"/>
                              </w:rPr>
                            </w:pPr>
                            <w:r w:rsidRPr="000408D0">
                              <w:rPr>
                                <w:rFonts w:hint="eastAsia"/>
                                <w:sz w:val="15"/>
                                <w:szCs w:val="15"/>
                              </w:rPr>
                              <w:t>达州地区环保手续齐全、环保设施稳定运行固废烧结厂进行烧结后综合利用</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3D66" id="文本框 49" o:spid="_x0000_s1073" type="#_x0000_t202" style="position:absolute;left:0;text-align:left;margin-left:225.8pt;margin-top:86.35pt;width:2in;height:29.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" strokecolor="white [3212]">
                <v:textbox>
                  <w:txbxContent>
                    <w:p w14:paraId="527A11E0" w14:textId="5677B18E" w:rsidR="00A56406" w:rsidRPr="00A56406" w:rsidRDefault="000408D0">
                      <w:pPr>
                        <w:rPr>
                          <w:sz w:val="15"/>
                          <w:szCs w:val="15"/>
                        </w:rPr>
                      </w:pPr>
                      <w:r w:rsidRPr="000408D0">
                        <w:rPr>
                          <w:rFonts w:hint="eastAsia"/>
                          <w:sz w:val="15"/>
                          <w:szCs w:val="15"/>
                        </w:rPr>
                        <w:t>达州地区环保手续齐全、环保设施稳定运行固废烧结厂进行烧结后综合利用</w:t>
                      </w:r>
                    </w:p>
                  </w:txbxContent>
                </v:textbox>
              </v:shape>
            </w:pict>
          </mc:Fallback>
        </mc:AlternateContent>
      </w:r>
      <w:r w:rsidR="00A945D1" w:rsidRPr="00092862">
        <w:rPr>
          <w:rFonts w:ascii="Times New Roman" w:hAnsi="Times New Roman" w:cs="Times New Roman"/>
          <w:noProof/>
          <w:color w:val="000000" w:themeColor="text1"/>
        </w:rPr>
        <mc:AlternateContent>
          <mc:Choice Requires="wps">
            <w:drawing>
              <wp:anchor distT="0" distB="0" distL="114300" distR="114300" simplePos="0" relativeHeight="251964416" behindDoc="0" locked="0" layoutInCell="1" allowOverlap="1" wp14:anchorId="26CAA4D5" wp14:editId="3FD86F13">
                <wp:simplePos x="0" y="0"/>
                <wp:positionH relativeFrom="column">
                  <wp:posOffset>4538798</wp:posOffset>
                </wp:positionH>
                <wp:positionV relativeFrom="paragraph">
                  <wp:posOffset>757464</wp:posOffset>
                </wp:positionV>
                <wp:extent cx="266700" cy="239486"/>
                <wp:effectExtent l="0" t="0" r="19050" b="27305"/>
                <wp:wrapNone/>
                <wp:docPr id="77" name="文本框 77"/>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headEnd/>
                          <a:tailEnd/>
                        </a:ln>
                      </wps:spPr>
                      <wps:txbx>
                        <w:txbxContent>
                          <w:p w14:paraId="77C1A097" w14:textId="0B752AD8" w:rsidR="0077729A" w:rsidRPr="00A56406" w:rsidRDefault="0077729A" w:rsidP="0077729A">
                            <w:pPr>
                              <w:rPr>
                                <w:sz w:val="15"/>
                                <w:szCs w:val="15"/>
                              </w:rPr>
                            </w:pPr>
                            <w:r>
                              <w:rPr>
                                <w:rFonts w:hint="eastAsia"/>
                                <w:sz w:val="15"/>
                                <w:szCs w:val="15"/>
                              </w:rPr>
                              <w:t>管输</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A4D5" id="文本框 77" o:spid="_x0000_s1074" type="#_x0000_t202" style="position:absolute;left:0;text-align:left;margin-left:357.4pt;margin-top:59.65pt;width:21pt;height:18.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" filled="f" strokecolor="white [3212]">
                <v:textbox inset="0,,0">
                  <w:txbxContent>
                    <w:p w14:paraId="77C1A097" w14:textId="0B752AD8" w:rsidR="0077729A" w:rsidRPr="00A56406" w:rsidRDefault="0077729A" w:rsidP="0077729A">
                      <w:pPr>
                        <w:rPr>
                          <w:sz w:val="15"/>
                          <w:szCs w:val="15"/>
                        </w:rPr>
                      </w:pPr>
                      <w:r>
                        <w:rPr>
                          <w:rFonts w:hint="eastAsia"/>
                          <w:sz w:val="15"/>
                          <w:szCs w:val="15"/>
                        </w:rPr>
                        <w:t>管输</w:t>
                      </w:r>
                    </w:p>
                  </w:txbxContent>
                </v:textbox>
              </v:shape>
            </w:pict>
          </mc:Fallback>
        </mc:AlternateContent>
      </w:r>
      <w:r w:rsidR="00A945D1" w:rsidRPr="00092862">
        <w:rPr>
          <w:rFonts w:ascii="Times New Roman" w:hAnsi="Times New Roman" w:cs="Times New Roman"/>
          <w:noProof/>
          <w:color w:val="000000" w:themeColor="text1"/>
        </w:rPr>
        <mc:AlternateContent>
          <mc:Choice Requires="wps">
            <w:drawing>
              <wp:anchor distT="0" distB="0" distL="114300" distR="114300" simplePos="0" relativeHeight="251960320" behindDoc="0" locked="0" layoutInCell="1" allowOverlap="1" wp14:anchorId="1281A75B" wp14:editId="43A4D8CD">
                <wp:simplePos x="0" y="0"/>
                <wp:positionH relativeFrom="column">
                  <wp:posOffset>4549865</wp:posOffset>
                </wp:positionH>
                <wp:positionV relativeFrom="paragraph">
                  <wp:posOffset>790212</wp:posOffset>
                </wp:positionV>
                <wp:extent cx="244928" cy="0"/>
                <wp:effectExtent l="0" t="57150" r="41275" b="76200"/>
                <wp:wrapNone/>
                <wp:docPr id="75" name="直接箭头连接符 75"/>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9C3DD9" id="_x0000_t32" coordsize="21600,21600" o:spt="32" o:oned="t" path="m,l21600,21600e" filled="f">
                <v:path arrowok="t" fillok="f" o:connecttype="none"/>
                <o:lock v:ext="edit" shapetype="t"/>
              </v:shapetype>
              <v:shape id="直接箭头连接符 75" o:spid="_x0000_s1026" type="#_x0000_t32" style="position:absolute;left:0;text-align:left;margin-left:358.25pt;margin-top:62.2pt;width:19.3pt;height:0;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" strokecolor="#92d050" strokeweight=".5pt">
                <v:stroke endarrow="block" endarrowwidth="narrow" joinstyle="miter"/>
              </v:shape>
            </w:pict>
          </mc:Fallback>
        </mc:AlternateContent>
      </w:r>
      <w:r w:rsidR="00A945D1" w:rsidRPr="00092862">
        <w:rPr>
          <w:rFonts w:ascii="Times New Roman" w:hAnsi="Times New Roman" w:cs="Times New Roman"/>
          <w:noProof/>
          <w:color w:val="000000" w:themeColor="text1"/>
        </w:rPr>
        <mc:AlternateContent>
          <mc:Choice Requires="wps">
            <w:drawing>
              <wp:anchor distT="0" distB="0" distL="114300" distR="114300" simplePos="0" relativeHeight="251958272" behindDoc="0" locked="0" layoutInCell="1" allowOverlap="1" wp14:anchorId="051F692B" wp14:editId="1B6202FD">
                <wp:simplePos x="0" y="0"/>
                <wp:positionH relativeFrom="column">
                  <wp:posOffset>3743235</wp:posOffset>
                </wp:positionH>
                <wp:positionV relativeFrom="paragraph">
                  <wp:posOffset>620486</wp:posOffset>
                </wp:positionV>
                <wp:extent cx="266700" cy="326390"/>
                <wp:effectExtent l="0" t="0" r="19050" b="16510"/>
                <wp:wrapNone/>
                <wp:docPr id="1842" name="文本框 1842"/>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headEnd/>
                          <a:tailEnd/>
                        </a:ln>
                      </wps:spPr>
                      <wps:txbx>
                        <w:txbxContent>
                          <w:p w14:paraId="1B2E0F85" w14:textId="3B5EE9C1" w:rsidR="0077729A" w:rsidRPr="00A56406" w:rsidRDefault="0077729A" w:rsidP="0077729A">
                            <w:pPr>
                              <w:rPr>
                                <w:sz w:val="15"/>
                                <w:szCs w:val="15"/>
                              </w:rPr>
                            </w:pPr>
                            <w:r>
                              <w:rPr>
                                <w:rFonts w:hint="eastAsia"/>
                                <w:sz w:val="15"/>
                                <w:szCs w:val="15"/>
                              </w:rPr>
                              <w:t>密闭罐车</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F692B" id="文本框 1842" o:spid="_x0000_s1075" type="#_x0000_t202" style="position:absolute;left:0;text-align:left;margin-left:294.75pt;margin-top:48.85pt;width:21pt;height:2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" filled="f" strokecolor="white [3212]">
                <v:textbox inset="0,,0">
                  <w:txbxContent>
                    <w:p w14:paraId="1B2E0F85" w14:textId="3B5EE9C1" w:rsidR="0077729A" w:rsidRPr="00A56406" w:rsidRDefault="0077729A" w:rsidP="0077729A">
                      <w:pPr>
                        <w:rPr>
                          <w:sz w:val="15"/>
                          <w:szCs w:val="15"/>
                        </w:rPr>
                      </w:pPr>
                      <w:r>
                        <w:rPr>
                          <w:rFonts w:hint="eastAsia"/>
                          <w:sz w:val="15"/>
                          <w:szCs w:val="15"/>
                        </w:rPr>
                        <w:t>密闭罐车</w:t>
                      </w:r>
                    </w:p>
                  </w:txbxContent>
                </v:textbox>
              </v:shape>
            </w:pict>
          </mc:Fallback>
        </mc:AlternateContent>
      </w:r>
      <w:r w:rsidR="00A945D1" w:rsidRPr="00092862">
        <w:rPr>
          <w:rFonts w:ascii="Times New Roman" w:hAnsi="Times New Roman" w:cs="Times New Roman"/>
          <w:noProof/>
          <w:color w:val="000000" w:themeColor="text1"/>
        </w:rPr>
        <mc:AlternateContent>
          <mc:Choice Requires="wps">
            <w:drawing>
              <wp:anchor distT="0" distB="0" distL="114300" distR="114300" simplePos="0" relativeHeight="251954176" behindDoc="0" locked="0" layoutInCell="1" allowOverlap="1" wp14:anchorId="31A969C2" wp14:editId="6FFFDEF2">
                <wp:simplePos x="0" y="0"/>
                <wp:positionH relativeFrom="column">
                  <wp:posOffset>3738971</wp:posOffset>
                </wp:positionH>
                <wp:positionV relativeFrom="paragraph">
                  <wp:posOffset>812256</wp:posOffset>
                </wp:positionV>
                <wp:extent cx="244928" cy="0"/>
                <wp:effectExtent l="0" t="57150" r="41275" b="76200"/>
                <wp:wrapNone/>
                <wp:docPr id="1839" name="直接箭头连接符 183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5D1106" id="_x0000_t32" coordsize="21600,21600" o:spt="32" o:oned="t" path="m,l21600,21600e" filled="f">
                <v:path arrowok="t" fillok="f" o:connecttype="none"/>
                <o:lock v:ext="edit" shapetype="t"/>
              </v:shapetype>
              <v:shape id="直接箭头连接符 1839" o:spid="_x0000_s1026" type="#_x0000_t32" style="position:absolute;left:0;text-align:left;margin-left:294.4pt;margin-top:63.95pt;width:19.3pt;height:0;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" strokecolor="#92d050" strokeweight=".5pt">
                <v:stroke endarrow="block" endarrowwidth="narrow" joinstyle="miter"/>
              </v:shape>
            </w:pict>
          </mc:Fallback>
        </mc:AlternateContent>
      </w:r>
      <w:r w:rsidR="00A945D1" w:rsidRPr="00092862">
        <w:rPr>
          <w:rFonts w:ascii="Times New Roman" w:hAnsi="Times New Roman" w:cs="Times New Roman"/>
          <w:noProof/>
          <w:color w:val="000000" w:themeColor="text1"/>
        </w:rPr>
        <mc:AlternateContent>
          <mc:Choice Requires="wps">
            <w:drawing>
              <wp:anchor distT="0" distB="0" distL="114300" distR="114300" simplePos="0" relativeHeight="251951104" behindDoc="0" locked="0" layoutInCell="1" allowOverlap="1" wp14:anchorId="2F7767D7" wp14:editId="28CE1186">
                <wp:simplePos x="0" y="0"/>
                <wp:positionH relativeFrom="column">
                  <wp:posOffset>3379742</wp:posOffset>
                </wp:positionH>
                <wp:positionV relativeFrom="paragraph">
                  <wp:posOffset>485231</wp:posOffset>
                </wp:positionV>
                <wp:extent cx="1806575" cy="598714"/>
                <wp:effectExtent l="0" t="0" r="3175" b="0"/>
                <wp:wrapNone/>
                <wp:docPr id="60" name="矩形 60"/>
                <wp:cNvGraphicFramePr/>
                <a:graphic xmlns:a="http://schemas.openxmlformats.org/drawingml/2006/main">
                  <a:graphicData uri="http://schemas.microsoft.com/office/word/2010/wordprocessingShape">
                    <wps:wsp>
                      <wps:cNvSpPr/>
                      <wps:spPr>
                        <a:xfrm>
                          <a:off x="0" y="0"/>
                          <a:ext cx="1806575" cy="5987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ED114C" id="矩形 60" o:spid="_x0000_s1026" style="position:absolute;left:0;text-align:left;margin-left:266.1pt;margin-top:38.2pt;width:142.25pt;height:47.15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" fillcolor="white [3212]" stroked="f" strokeweight="1pt"/>
            </w:pict>
          </mc:Fallback>
        </mc:AlternateContent>
      </w:r>
      <w:r w:rsidR="00D543CD" w:rsidRPr="00092862">
        <w:rPr>
          <w:rFonts w:ascii="Times New Roman" w:hAnsi="Times New Roman" w:cs="Times New Roman"/>
          <w:noProof/>
          <w:color w:val="000000" w:themeColor="text1"/>
        </w:rPr>
        <w:drawing>
          <wp:inline distT="0" distB="0" distL="0" distR="0" wp14:anchorId="0808D034" wp14:editId="4D7CE5EA">
            <wp:extent cx="5219227" cy="1778272"/>
            <wp:effectExtent l="0" t="0" r="635" b="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20">
                      <a:extLst>
                        <a:ext uri="{28A0092B-C50C-407E-A947-70E740481C1C}">
                          <a14:useLocalDpi xmlns:a14="http://schemas.microsoft.com/office/drawing/2010/main" val="0"/>
                        </a:ext>
                      </a:extLst>
                    </a:blip>
                    <a:srcRect t="6309"/>
                    <a:stretch/>
                  </pic:blipFill>
                  <pic:spPr bwMode="auto">
                    <a:xfrm>
                      <a:off x="0" y="0"/>
                      <a:ext cx="5220000" cy="1778535"/>
                    </a:xfrm>
                    <a:prstGeom prst="rect">
                      <a:avLst/>
                    </a:prstGeom>
                    <a:noFill/>
                    <a:ln>
                      <a:noFill/>
                    </a:ln>
                    <a:extLst>
                      <a:ext uri="{53640926-AAD7-44D8-BBD7-CCE9431645EC}">
                        <a14:shadowObscured xmlns:a14="http://schemas.microsoft.com/office/drawing/2010/main"/>
                      </a:ext>
                    </a:extLst>
                  </pic:spPr>
                </pic:pic>
              </a:graphicData>
            </a:graphic>
          </wp:inline>
        </w:drawing>
      </w:r>
    </w:p>
    <w:bookmarkEnd w:id="342"/>
    <w:p w14:paraId="41F0E9E7" w14:textId="30B10B3B" w:rsidR="00D543CD" w:rsidRPr="00092862" w:rsidRDefault="00D543CD" w:rsidP="00B07DF9">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704F23" w:rsidRPr="00092862">
        <w:rPr>
          <w:rFonts w:ascii="Times New Roman" w:eastAsia="黑体" w:hAnsi="Times New Roman" w:cs="Times New Roman"/>
          <w:color w:val="000000" w:themeColor="text1"/>
          <w:szCs w:val="21"/>
        </w:rPr>
        <w:t>7</w:t>
      </w:r>
      <w:r w:rsidRPr="00092862">
        <w:rPr>
          <w:rFonts w:ascii="Times New Roman" w:eastAsia="黑体" w:hAnsi="Times New Roman" w:cs="Times New Roman"/>
          <w:color w:val="000000" w:themeColor="text1"/>
          <w:szCs w:val="21"/>
        </w:rPr>
        <w:t xml:space="preserve">.1-1  </w:t>
      </w:r>
      <w:r w:rsidRPr="00092862">
        <w:rPr>
          <w:rFonts w:ascii="Times New Roman" w:eastAsia="黑体" w:hAnsi="Times New Roman" w:cs="Times New Roman"/>
          <w:color w:val="000000" w:themeColor="text1"/>
          <w:szCs w:val="21"/>
        </w:rPr>
        <w:t>项目钻井废水</w:t>
      </w:r>
      <w:r w:rsidR="00975B6C" w:rsidRPr="00092862">
        <w:rPr>
          <w:rFonts w:ascii="Times New Roman" w:eastAsia="黑体" w:hAnsi="Times New Roman" w:cs="Times New Roman"/>
          <w:color w:val="000000" w:themeColor="text1"/>
          <w:szCs w:val="21"/>
        </w:rPr>
        <w:t>与</w:t>
      </w:r>
      <w:r w:rsidRPr="00092862">
        <w:rPr>
          <w:rFonts w:ascii="Times New Roman" w:eastAsia="黑体" w:hAnsi="Times New Roman" w:cs="Times New Roman"/>
          <w:color w:val="000000" w:themeColor="text1"/>
          <w:szCs w:val="21"/>
        </w:rPr>
        <w:t>洗井废水回收利用工艺流程图</w:t>
      </w:r>
      <w:r w:rsidRPr="00092862">
        <w:rPr>
          <w:rFonts w:ascii="Times New Roman" w:eastAsia="黑体" w:hAnsi="Times New Roman" w:cs="Times New Roman"/>
          <w:noProof/>
          <w:color w:val="000000" w:themeColor="text1"/>
          <w:szCs w:val="21"/>
        </w:rPr>
        <mc:AlternateContent>
          <mc:Choice Requires="wps">
            <w:drawing>
              <wp:anchor distT="0" distB="0" distL="114300" distR="114300" simplePos="0" relativeHeight="251843584" behindDoc="0" locked="0" layoutInCell="1" allowOverlap="1" wp14:anchorId="7B5D4D98" wp14:editId="4576C405">
                <wp:simplePos x="0" y="0"/>
                <wp:positionH relativeFrom="column">
                  <wp:posOffset>-1923415</wp:posOffset>
                </wp:positionH>
                <wp:positionV relativeFrom="paragraph">
                  <wp:posOffset>601345</wp:posOffset>
                </wp:positionV>
                <wp:extent cx="467360" cy="635"/>
                <wp:effectExtent l="0" t="76200" r="27940" b="94615"/>
                <wp:wrapNone/>
                <wp:docPr id="1583" name="直接箭头连接符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635"/>
                        </a:xfrm>
                        <a:prstGeom prst="straightConnector1">
                          <a:avLst/>
                        </a:prstGeom>
                        <a:ln w="9525" cap="flat" cmpd="sng">
                          <a:solidFill>
                            <a:srgbClr val="00B0F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A54068F" id="直接箭头连接符 1583" o:spid="_x0000_s1026" type="#_x0000_t32" style="position:absolute;left:0;text-align:left;margin-left:-151.45pt;margin-top:47.35pt;width:36.8pt;height:.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" strokecolor="#00b0f0">
                <v:stroke endarrow="block"/>
                <o:lock v:ext="edit" shapetype="f"/>
              </v:shape>
            </w:pict>
          </mc:Fallback>
        </mc:AlternateContent>
      </w:r>
    </w:p>
    <w:p w14:paraId="524A1BEF" w14:textId="77777777" w:rsidR="00D543CD" w:rsidRPr="00092862" w:rsidRDefault="00D543CD" w:rsidP="00D543CD">
      <w:pPr>
        <w:adjustRightInd w:val="0"/>
        <w:snapToGrid w:val="0"/>
        <w:spacing w:line="360" w:lineRule="auto"/>
        <w:ind w:firstLineChars="200" w:firstLine="482"/>
        <w:rPr>
          <w:rFonts w:ascii="Times New Roman" w:eastAsia="宋体" w:hAnsi="Times New Roman" w:cs="Times New Roman"/>
          <w:b/>
          <w:color w:val="000000" w:themeColor="text1"/>
          <w:sz w:val="24"/>
          <w:szCs w:val="24"/>
        </w:rPr>
      </w:pPr>
      <w:r w:rsidRPr="00092862">
        <w:rPr>
          <w:rFonts w:ascii="Times New Roman" w:eastAsia="宋体" w:hAnsi="Times New Roman" w:cs="Times New Roman"/>
          <w:b/>
          <w:color w:val="000000" w:themeColor="text1"/>
          <w:sz w:val="24"/>
          <w:szCs w:val="24"/>
        </w:rPr>
        <w:t>（</w:t>
      </w:r>
      <w:r w:rsidRPr="00092862">
        <w:rPr>
          <w:rFonts w:ascii="Times New Roman" w:eastAsia="宋体" w:hAnsi="Times New Roman" w:cs="Times New Roman"/>
          <w:b/>
          <w:color w:val="000000" w:themeColor="text1"/>
          <w:sz w:val="24"/>
          <w:szCs w:val="24"/>
        </w:rPr>
        <w:t>2</w:t>
      </w:r>
      <w:r w:rsidRPr="00092862">
        <w:rPr>
          <w:rFonts w:ascii="Times New Roman" w:eastAsia="宋体" w:hAnsi="Times New Roman" w:cs="Times New Roman"/>
          <w:b/>
          <w:color w:val="000000" w:themeColor="text1"/>
          <w:sz w:val="24"/>
          <w:szCs w:val="24"/>
        </w:rPr>
        <w:t>）压裂返排液</w:t>
      </w:r>
    </w:p>
    <w:p w14:paraId="001E7193" w14:textId="1CA83D36" w:rsidR="00D543CD" w:rsidRPr="00092862" w:rsidRDefault="00843CAF" w:rsidP="00D543C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szCs w:val="24"/>
        </w:rPr>
        <w:t>加砂压裂返排液放喷时由放喷管排入压裂液储罐或放喷池，放喷池中压裂返排液全部通过泵抽入至压裂液储罐</w:t>
      </w:r>
      <w:r w:rsidR="00D543CD" w:rsidRPr="00092862">
        <w:rPr>
          <w:rFonts w:ascii="Times New Roman" w:eastAsia="宋体" w:hAnsi="Times New Roman" w:cs="Times New Roman"/>
          <w:color w:val="000000" w:themeColor="text1"/>
          <w:sz w:val="24"/>
          <w:szCs w:val="24"/>
        </w:rPr>
        <w:t>，</w:t>
      </w:r>
      <w:r w:rsidR="00CB1CAD" w:rsidRPr="00092862">
        <w:rPr>
          <w:rFonts w:ascii="Times New Roman" w:eastAsia="宋体" w:hAnsi="Times New Roman" w:cs="Times New Roman"/>
          <w:color w:val="000000" w:themeColor="text1"/>
          <w:sz w:val="24"/>
          <w:szCs w:val="24"/>
        </w:rPr>
        <w:t>多余废水</w:t>
      </w:r>
      <w:r w:rsidR="00D543CD" w:rsidRPr="00092862">
        <w:rPr>
          <w:rFonts w:ascii="Times New Roman" w:eastAsia="宋体" w:hAnsi="Times New Roman" w:cs="Times New Roman"/>
          <w:color w:val="000000" w:themeColor="text1"/>
          <w:sz w:val="24"/>
          <w:szCs w:val="24"/>
        </w:rPr>
        <w:t>用</w:t>
      </w:r>
      <w:r w:rsidR="00CB1CA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00D543CD" w:rsidRPr="00092862">
        <w:rPr>
          <w:rFonts w:ascii="Times New Roman" w:eastAsia="宋体" w:hAnsi="Times New Roman" w:cs="Times New Roman"/>
          <w:color w:val="000000" w:themeColor="text1"/>
          <w:sz w:val="24"/>
          <w:szCs w:val="24"/>
        </w:rPr>
        <w:t>。</w:t>
      </w:r>
    </w:p>
    <w:p w14:paraId="2AF7CE66" w14:textId="31DB629F" w:rsidR="00D543CD" w:rsidRPr="00092862" w:rsidRDefault="00975B6C" w:rsidP="00D543CD">
      <w:pPr>
        <w:tabs>
          <w:tab w:val="left" w:pos="2433"/>
          <w:tab w:val="center" w:pos="4673"/>
        </w:tabs>
        <w:spacing w:line="360" w:lineRule="auto"/>
        <w:jc w:val="center"/>
        <w:rPr>
          <w:rFonts w:ascii="Times New Roman" w:hAnsi="Times New Roman" w:cs="Times New Roman"/>
          <w:b/>
          <w:color w:val="000000" w:themeColor="text1"/>
          <w:szCs w:val="21"/>
        </w:rPr>
      </w:pPr>
      <w:r w:rsidRPr="00092862">
        <w:rPr>
          <w:rFonts w:ascii="Times New Roman" w:hAnsi="Times New Roman" w:cs="Times New Roman"/>
          <w:noProof/>
          <w:color w:val="000000" w:themeColor="text1"/>
        </w:rPr>
        <mc:AlternateContent>
          <mc:Choice Requires="wps">
            <w:drawing>
              <wp:anchor distT="0" distB="0" distL="114300" distR="114300" simplePos="0" relativeHeight="251976704" behindDoc="0" locked="0" layoutInCell="1" allowOverlap="1" wp14:anchorId="486336F7" wp14:editId="33267B96">
                <wp:simplePos x="0" y="0"/>
                <wp:positionH relativeFrom="column">
                  <wp:posOffset>4171520</wp:posOffset>
                </wp:positionH>
                <wp:positionV relativeFrom="paragraph">
                  <wp:posOffset>633410</wp:posOffset>
                </wp:positionV>
                <wp:extent cx="440012" cy="357510"/>
                <wp:effectExtent l="0" t="0" r="17780" b="23495"/>
                <wp:wrapNone/>
                <wp:docPr id="93" name="文本框 93"/>
                <wp:cNvGraphicFramePr/>
                <a:graphic xmlns:a="http://schemas.openxmlformats.org/drawingml/2006/main">
                  <a:graphicData uri="http://schemas.microsoft.com/office/word/2010/wordprocessingShape">
                    <wps:wsp>
                      <wps:cNvSpPr txBox="1"/>
                      <wps:spPr bwMode="auto">
                        <a:xfrm>
                          <a:off x="0" y="0"/>
                          <a:ext cx="440012" cy="357510"/>
                        </a:xfrm>
                        <a:prstGeom prst="rect">
                          <a:avLst/>
                        </a:prstGeom>
                        <a:solidFill>
                          <a:srgbClr val="FFFFFF"/>
                        </a:solidFill>
                        <a:ln w="9525">
                          <a:solidFill>
                            <a:schemeClr val="bg1"/>
                          </a:solidFill>
                          <a:miter lim="800000"/>
                          <a:headEnd/>
                          <a:tailEnd/>
                        </a:ln>
                      </wps:spPr>
                      <wps:txbx>
                        <w:txbxContent>
                          <w:p w14:paraId="2A0235EC" w14:textId="0CC8A16A" w:rsidR="00975B6C" w:rsidRPr="00A56406" w:rsidRDefault="000F6507" w:rsidP="00975B6C">
                            <w:pPr>
                              <w:rPr>
                                <w:sz w:val="15"/>
                                <w:szCs w:val="15"/>
                              </w:rPr>
                            </w:pPr>
                            <w:r>
                              <w:rPr>
                                <w:rFonts w:hint="eastAsia"/>
                                <w:sz w:val="15"/>
                                <w:szCs w:val="15"/>
                              </w:rPr>
                              <w:t>普光1</w:t>
                            </w:r>
                            <w:r>
                              <w:rPr>
                                <w:sz w:val="15"/>
                                <w:szCs w:val="15"/>
                              </w:rPr>
                              <w:t>1</w:t>
                            </w:r>
                            <w:r>
                              <w:rPr>
                                <w:rFonts w:hint="eastAsia"/>
                                <w:sz w:val="15"/>
                                <w:szCs w:val="15"/>
                              </w:rPr>
                              <w:t>井回注</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336F7" id="文本框 93" o:spid="_x0000_s1076" type="#_x0000_t202" style="position:absolute;left:0;text-align:left;margin-left:328.45pt;margin-top:49.85pt;width:34.65pt;height:28.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" strokecolor="white [3212]">
                <v:textbox inset="0,,0">
                  <w:txbxContent>
                    <w:p w14:paraId="2A0235EC" w14:textId="0CC8A16A" w:rsidR="00975B6C" w:rsidRPr="00A56406" w:rsidRDefault="000F6507" w:rsidP="00975B6C">
                      <w:pPr>
                        <w:rPr>
                          <w:sz w:val="15"/>
                          <w:szCs w:val="15"/>
                        </w:rPr>
                      </w:pPr>
                      <w:r>
                        <w:rPr>
                          <w:rFonts w:hint="eastAsia"/>
                          <w:sz w:val="15"/>
                          <w:szCs w:val="15"/>
                        </w:rPr>
                        <w:t>普光1</w:t>
                      </w:r>
                      <w:r>
                        <w:rPr>
                          <w:sz w:val="15"/>
                          <w:szCs w:val="15"/>
                        </w:rPr>
                        <w:t>1</w:t>
                      </w:r>
                      <w:r>
                        <w:rPr>
                          <w:rFonts w:hint="eastAsia"/>
                          <w:sz w:val="15"/>
                          <w:szCs w:val="15"/>
                        </w:rPr>
                        <w:t>井回注</w:t>
                      </w:r>
                    </w:p>
                  </w:txbxContent>
                </v:textbox>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74656" behindDoc="0" locked="0" layoutInCell="1" allowOverlap="1" wp14:anchorId="4C28E150" wp14:editId="51099043">
                <wp:simplePos x="0" y="0"/>
                <wp:positionH relativeFrom="column">
                  <wp:posOffset>3902529</wp:posOffset>
                </wp:positionH>
                <wp:positionV relativeFrom="paragraph">
                  <wp:posOffset>778147</wp:posOffset>
                </wp:positionV>
                <wp:extent cx="266700" cy="239486"/>
                <wp:effectExtent l="0" t="0" r="19050" b="27305"/>
                <wp:wrapNone/>
                <wp:docPr id="92" name="文本框 92"/>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headEnd/>
                          <a:tailEnd/>
                        </a:ln>
                      </wps:spPr>
                      <wps:txbx>
                        <w:txbxContent>
                          <w:p w14:paraId="03838F3E" w14:textId="77777777" w:rsidR="00975B6C" w:rsidRPr="00A56406" w:rsidRDefault="00975B6C" w:rsidP="00975B6C">
                            <w:pPr>
                              <w:rPr>
                                <w:sz w:val="15"/>
                                <w:szCs w:val="15"/>
                              </w:rPr>
                            </w:pPr>
                            <w:r>
                              <w:rPr>
                                <w:rFonts w:hint="eastAsia"/>
                                <w:sz w:val="15"/>
                                <w:szCs w:val="15"/>
                              </w:rPr>
                              <w:t>管输</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E150" id="文本框 92" o:spid="_x0000_s1077" type="#_x0000_t202" style="position:absolute;left:0;text-align:left;margin-left:307.3pt;margin-top:61.25pt;width:21pt;height:18.8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" filled="f" strokecolor="white [3212]">
                <v:textbox inset="0,,0">
                  <w:txbxContent>
                    <w:p w14:paraId="03838F3E" w14:textId="77777777" w:rsidR="00975B6C" w:rsidRPr="00A56406" w:rsidRDefault="00975B6C" w:rsidP="00975B6C">
                      <w:pPr>
                        <w:rPr>
                          <w:sz w:val="15"/>
                          <w:szCs w:val="15"/>
                        </w:rPr>
                      </w:pPr>
                      <w:r>
                        <w:rPr>
                          <w:rFonts w:hint="eastAsia"/>
                          <w:sz w:val="15"/>
                          <w:szCs w:val="15"/>
                        </w:rPr>
                        <w:t>管输</w:t>
                      </w:r>
                    </w:p>
                  </w:txbxContent>
                </v:textbox>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68512" behindDoc="0" locked="0" layoutInCell="1" allowOverlap="1" wp14:anchorId="280E5D1C" wp14:editId="4A5E449C">
                <wp:simplePos x="0" y="0"/>
                <wp:positionH relativeFrom="column">
                  <wp:posOffset>3896360</wp:posOffset>
                </wp:positionH>
                <wp:positionV relativeFrom="paragraph">
                  <wp:posOffset>809625</wp:posOffset>
                </wp:positionV>
                <wp:extent cx="244928" cy="0"/>
                <wp:effectExtent l="0" t="57150" r="41275" b="76200"/>
                <wp:wrapNone/>
                <wp:docPr id="89" name="直接箭头连接符 8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8E11AA" id="直接箭头连接符 89" o:spid="_x0000_s1026" type="#_x0000_t32" style="position:absolute;left:0;text-align:left;margin-left:306.8pt;margin-top:63.75pt;width:19.3pt;height:0;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" strokecolor="#92d050" strokeweight=".5pt">
                <v:stroke endarrow="block" endarrowwidth="narrow" joinstyle="miter"/>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72608" behindDoc="0" locked="0" layoutInCell="1" allowOverlap="1" wp14:anchorId="74499E89" wp14:editId="15C8C9D4">
                <wp:simplePos x="0" y="0"/>
                <wp:positionH relativeFrom="column">
                  <wp:posOffset>3129643</wp:posOffset>
                </wp:positionH>
                <wp:positionV relativeFrom="paragraph">
                  <wp:posOffset>647700</wp:posOffset>
                </wp:positionV>
                <wp:extent cx="266700" cy="326390"/>
                <wp:effectExtent l="0" t="0" r="19050" b="16510"/>
                <wp:wrapNone/>
                <wp:docPr id="91" name="文本框 91"/>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headEnd/>
                          <a:tailEnd/>
                        </a:ln>
                      </wps:spPr>
                      <wps:txbx>
                        <w:txbxContent>
                          <w:p w14:paraId="678CB2E4" w14:textId="77777777" w:rsidR="00975B6C" w:rsidRPr="00A56406" w:rsidRDefault="00975B6C" w:rsidP="00975B6C">
                            <w:pPr>
                              <w:rPr>
                                <w:sz w:val="15"/>
                                <w:szCs w:val="15"/>
                              </w:rPr>
                            </w:pPr>
                            <w:r>
                              <w:rPr>
                                <w:rFonts w:hint="eastAsia"/>
                                <w:sz w:val="15"/>
                                <w:szCs w:val="15"/>
                              </w:rPr>
                              <w:t>密闭罐车</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99E89" id="文本框 91" o:spid="_x0000_s1078" type="#_x0000_t202" style="position:absolute;left:0;text-align:left;margin-left:246.45pt;margin-top:51pt;width:21pt;height:25.7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" filled="f" strokecolor="white [3212]">
                <v:textbox inset="0,,0">
                  <w:txbxContent>
                    <w:p w14:paraId="678CB2E4" w14:textId="77777777" w:rsidR="00975B6C" w:rsidRPr="00A56406" w:rsidRDefault="00975B6C" w:rsidP="00975B6C">
                      <w:pPr>
                        <w:rPr>
                          <w:sz w:val="15"/>
                          <w:szCs w:val="15"/>
                        </w:rPr>
                      </w:pPr>
                      <w:r>
                        <w:rPr>
                          <w:rFonts w:hint="eastAsia"/>
                          <w:sz w:val="15"/>
                          <w:szCs w:val="15"/>
                        </w:rPr>
                        <w:t>密闭罐车</w:t>
                      </w:r>
                    </w:p>
                  </w:txbxContent>
                </v:textbox>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70560" behindDoc="0" locked="0" layoutInCell="1" allowOverlap="1" wp14:anchorId="0DACBAD7" wp14:editId="675EFDD7">
                <wp:simplePos x="0" y="0"/>
                <wp:positionH relativeFrom="column">
                  <wp:posOffset>3390537</wp:posOffset>
                </wp:positionH>
                <wp:positionV relativeFrom="paragraph">
                  <wp:posOffset>631190</wp:posOffset>
                </wp:positionV>
                <wp:extent cx="506186" cy="326390"/>
                <wp:effectExtent l="0" t="0" r="27305" b="16510"/>
                <wp:wrapNone/>
                <wp:docPr id="90" name="文本框 90"/>
                <wp:cNvGraphicFramePr/>
                <a:graphic xmlns:a="http://schemas.openxmlformats.org/drawingml/2006/main">
                  <a:graphicData uri="http://schemas.microsoft.com/office/word/2010/wordprocessingShape">
                    <wps:wsp>
                      <wps:cNvSpPr txBox="1"/>
                      <wps:spPr bwMode="auto">
                        <a:xfrm>
                          <a:off x="0" y="0"/>
                          <a:ext cx="506186" cy="326390"/>
                        </a:xfrm>
                        <a:prstGeom prst="rect">
                          <a:avLst/>
                        </a:prstGeom>
                        <a:solidFill>
                          <a:srgbClr val="FFFFFF"/>
                        </a:solidFill>
                        <a:ln w="9525">
                          <a:solidFill>
                            <a:schemeClr val="bg1"/>
                          </a:solidFill>
                          <a:miter lim="800000"/>
                          <a:headEnd/>
                          <a:tailEnd/>
                        </a:ln>
                      </wps:spPr>
                      <wps:txbx>
                        <w:txbxContent>
                          <w:p w14:paraId="1BEB938F" w14:textId="73315425" w:rsidR="00975B6C" w:rsidRPr="00A56406" w:rsidRDefault="000F6507" w:rsidP="00975B6C">
                            <w:pPr>
                              <w:rPr>
                                <w:sz w:val="15"/>
                                <w:szCs w:val="15"/>
                              </w:rPr>
                            </w:pPr>
                            <w:r w:rsidRPr="000F6507">
                              <w:rPr>
                                <w:rFonts w:hint="eastAsia"/>
                                <w:sz w:val="15"/>
                                <w:szCs w:val="15"/>
                              </w:rPr>
                              <w:t>赵家坝污水处理站</w:t>
                            </w:r>
                          </w:p>
                        </w:txbxContent>
                      </wps:txbx>
                      <wps:bodyPr rot="0" spcFirstLastPara="0" vertOverflow="overflow" horzOverflow="overflow" vert="horz" wrap="square" lIns="0" tIns="45720" rIns="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CBAD7" id="文本框 90" o:spid="_x0000_s1079" type="#_x0000_t202" style="position:absolute;left:0;text-align:left;margin-left:266.95pt;margin-top:49.7pt;width:39.85pt;height:25.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" strokecolor="white [3212]">
                <v:textbox inset="0,,0">
                  <w:txbxContent>
                    <w:p w14:paraId="1BEB938F" w14:textId="73315425" w:rsidR="00975B6C" w:rsidRPr="00A56406" w:rsidRDefault="000F6507" w:rsidP="00975B6C">
                      <w:pPr>
                        <w:rPr>
                          <w:sz w:val="15"/>
                          <w:szCs w:val="15"/>
                        </w:rPr>
                      </w:pPr>
                      <w:r w:rsidRPr="000F6507">
                        <w:rPr>
                          <w:rFonts w:hint="eastAsia"/>
                          <w:sz w:val="15"/>
                          <w:szCs w:val="15"/>
                        </w:rPr>
                        <w:t>赵家坝污水处理站</w:t>
                      </w:r>
                    </w:p>
                  </w:txbxContent>
                </v:textbox>
              </v:shape>
            </w:pict>
          </mc:Fallback>
        </mc:AlternateContent>
      </w:r>
      <w:r w:rsidRPr="00092862">
        <w:rPr>
          <w:rFonts w:ascii="Times New Roman" w:hAnsi="Times New Roman" w:cs="Times New Roman"/>
          <w:noProof/>
          <w:color w:val="000000" w:themeColor="text1"/>
        </w:rPr>
        <mc:AlternateContent>
          <mc:Choice Requires="wps">
            <w:drawing>
              <wp:anchor distT="0" distB="0" distL="114300" distR="114300" simplePos="0" relativeHeight="251966464" behindDoc="0" locked="0" layoutInCell="1" allowOverlap="1" wp14:anchorId="1ABAD48A" wp14:editId="117AE865">
                <wp:simplePos x="0" y="0"/>
                <wp:positionH relativeFrom="column">
                  <wp:posOffset>3352800</wp:posOffset>
                </wp:positionH>
                <wp:positionV relativeFrom="paragraph">
                  <wp:posOffset>479334</wp:posOffset>
                </wp:positionV>
                <wp:extent cx="1806575" cy="783772"/>
                <wp:effectExtent l="0" t="0" r="3175" b="0"/>
                <wp:wrapNone/>
                <wp:docPr id="88" name="矩形 88"/>
                <wp:cNvGraphicFramePr/>
                <a:graphic xmlns:a="http://schemas.openxmlformats.org/drawingml/2006/main">
                  <a:graphicData uri="http://schemas.microsoft.com/office/word/2010/wordprocessingShape">
                    <wps:wsp>
                      <wps:cNvSpPr/>
                      <wps:spPr>
                        <a:xfrm>
                          <a:off x="0" y="0"/>
                          <a:ext cx="1806575" cy="7837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A0515" id="矩形 88" o:spid="_x0000_s1026" style="position:absolute;left:0;text-align:left;margin-left:264pt;margin-top:37.75pt;width:142.25pt;height:61.7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" fillcolor="white [3212]" stroked="f" strokeweight="1pt"/>
            </w:pict>
          </mc:Fallback>
        </mc:AlternateContent>
      </w:r>
      <w:r w:rsidR="00843CAF" w:rsidRPr="00092862">
        <w:rPr>
          <w:rFonts w:ascii="Times New Roman" w:hAnsi="Times New Roman" w:cs="Times New Roman"/>
          <w:noProof/>
          <w:color w:val="000000" w:themeColor="text1"/>
        </w:rPr>
        <w:drawing>
          <wp:inline distT="0" distB="0" distL="0" distR="0" wp14:anchorId="7FC6AEDF" wp14:editId="175E1F61">
            <wp:extent cx="5276850" cy="1397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6850" cy="1397000"/>
                    </a:xfrm>
                    <a:prstGeom prst="rect">
                      <a:avLst/>
                    </a:prstGeom>
                    <a:noFill/>
                    <a:ln>
                      <a:noFill/>
                    </a:ln>
                  </pic:spPr>
                </pic:pic>
              </a:graphicData>
            </a:graphic>
          </wp:inline>
        </w:drawing>
      </w:r>
    </w:p>
    <w:p w14:paraId="7FB5E928" w14:textId="4F95DCA5" w:rsidR="00D543CD" w:rsidRPr="00092862" w:rsidRDefault="00D543CD" w:rsidP="00B07DF9">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704F23" w:rsidRPr="00092862">
        <w:rPr>
          <w:rFonts w:ascii="Times New Roman" w:eastAsia="黑体" w:hAnsi="Times New Roman" w:cs="Times New Roman"/>
          <w:color w:val="000000" w:themeColor="text1"/>
          <w:szCs w:val="21"/>
        </w:rPr>
        <w:t>7</w:t>
      </w:r>
      <w:r w:rsidRPr="00092862">
        <w:rPr>
          <w:rFonts w:ascii="Times New Roman" w:eastAsia="黑体" w:hAnsi="Times New Roman" w:cs="Times New Roman"/>
          <w:color w:val="000000" w:themeColor="text1"/>
          <w:szCs w:val="21"/>
        </w:rPr>
        <w:t xml:space="preserve">.1-2  </w:t>
      </w:r>
      <w:r w:rsidRPr="00092862">
        <w:rPr>
          <w:rFonts w:ascii="Times New Roman" w:eastAsia="黑体" w:hAnsi="Times New Roman" w:cs="Times New Roman"/>
          <w:color w:val="000000" w:themeColor="text1"/>
          <w:szCs w:val="21"/>
        </w:rPr>
        <w:t>项目压裂返排液回收利用工艺流程图</w:t>
      </w:r>
    </w:p>
    <w:p w14:paraId="00BEA469" w14:textId="77777777" w:rsidR="00D543CD" w:rsidRPr="00092862" w:rsidRDefault="00D543CD" w:rsidP="008D439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）生活污水</w:t>
      </w:r>
    </w:p>
    <w:p w14:paraId="2CB613CE" w14:textId="47A8FEA5" w:rsidR="00D543CD" w:rsidRPr="00092862" w:rsidRDefault="00D543CD" w:rsidP="008D439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钻井期间</w:t>
      </w:r>
      <w:r w:rsidR="00A56406" w:rsidRPr="00092862">
        <w:rPr>
          <w:rFonts w:ascii="Times New Roman" w:eastAsia="宋体" w:hAnsi="Times New Roman" w:cs="Times New Roman"/>
          <w:bCs/>
          <w:color w:val="000000" w:themeColor="text1"/>
          <w:sz w:val="24"/>
          <w:szCs w:val="24"/>
        </w:rPr>
        <w:t>钻井期生活污水</w:t>
      </w:r>
      <w:r w:rsidR="00271DF7" w:rsidRPr="00092862">
        <w:rPr>
          <w:rFonts w:ascii="Times New Roman" w:eastAsia="宋体" w:hAnsi="Times New Roman" w:cs="Times New Roman"/>
          <w:color w:val="000000" w:themeColor="text1"/>
          <w:sz w:val="24"/>
          <w:szCs w:val="24"/>
        </w:rPr>
        <w:t>经生态厕所收集后定期由密闭罐车拉运至周边生活污水处理厂处理</w:t>
      </w:r>
      <w:r w:rsidRPr="00092862">
        <w:rPr>
          <w:rFonts w:ascii="Times New Roman" w:eastAsia="宋体" w:hAnsi="Times New Roman" w:cs="Times New Roman"/>
          <w:color w:val="000000" w:themeColor="text1"/>
          <w:sz w:val="24"/>
          <w:szCs w:val="24"/>
        </w:rPr>
        <w:t>。</w:t>
      </w:r>
    </w:p>
    <w:p w14:paraId="6022A080" w14:textId="77777777" w:rsidR="00D543CD" w:rsidRPr="00092862" w:rsidRDefault="00D543CD" w:rsidP="008D439B">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4</w:t>
      </w:r>
      <w:r w:rsidRPr="00092862">
        <w:rPr>
          <w:rFonts w:ascii="Times New Roman" w:eastAsia="宋体" w:hAnsi="Times New Roman" w:cs="Times New Roman"/>
          <w:b/>
          <w:bCs/>
          <w:color w:val="000000" w:themeColor="text1"/>
          <w:sz w:val="24"/>
          <w:szCs w:val="24"/>
        </w:rPr>
        <w:t>）初期雨水</w:t>
      </w:r>
    </w:p>
    <w:p w14:paraId="2B742B9A" w14:textId="77777777" w:rsidR="00D543CD" w:rsidRPr="00092862" w:rsidRDefault="00D543CD" w:rsidP="008D439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外环沟由作业队伍从集水坑抽汲至泥浆不落地装置区或放喷池。</w:t>
      </w:r>
    </w:p>
    <w:p w14:paraId="22B96DB1" w14:textId="77777777" w:rsidR="008D439B" w:rsidRPr="00092862" w:rsidRDefault="00D543CD" w:rsidP="008D439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泥浆不落地装置和放喷池均比地面高且有遮雨篷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14:paraId="3EB1E25D" w14:textId="10D477B6" w:rsidR="00C24E91" w:rsidRPr="00092862" w:rsidRDefault="00C24E91" w:rsidP="00C24E9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由于项目拟建地周围</w:t>
      </w:r>
      <w:r w:rsidR="00A236F4" w:rsidRPr="00092862">
        <w:rPr>
          <w:rFonts w:ascii="Times New Roman" w:eastAsia="宋体" w:hAnsi="Times New Roman" w:cs="Times New Roman"/>
          <w:bCs/>
          <w:color w:val="000000" w:themeColor="text1"/>
          <w:sz w:val="24"/>
          <w:szCs w:val="24"/>
        </w:rPr>
        <w:t>有冲沟与河流</w:t>
      </w:r>
      <w:r w:rsidRPr="00092862">
        <w:rPr>
          <w:rFonts w:ascii="Times New Roman" w:eastAsia="宋体" w:hAnsi="Times New Roman" w:cs="Times New Roman"/>
          <w:bCs/>
          <w:color w:val="000000" w:themeColor="text1"/>
          <w:sz w:val="24"/>
          <w:szCs w:val="24"/>
        </w:rPr>
        <w:t>，为了进一步做好对附近</w:t>
      </w:r>
      <w:r w:rsidR="00A236F4" w:rsidRPr="00092862">
        <w:rPr>
          <w:rFonts w:ascii="Times New Roman" w:eastAsia="宋体" w:hAnsi="Times New Roman" w:cs="Times New Roman"/>
          <w:bCs/>
          <w:color w:val="000000" w:themeColor="text1"/>
          <w:sz w:val="24"/>
          <w:szCs w:val="24"/>
        </w:rPr>
        <w:t>冲沟、河流</w:t>
      </w:r>
      <w:r w:rsidRPr="00092862">
        <w:rPr>
          <w:rFonts w:ascii="Times New Roman" w:eastAsia="宋体" w:hAnsi="Times New Roman" w:cs="Times New Roman"/>
          <w:bCs/>
          <w:color w:val="000000" w:themeColor="text1"/>
          <w:sz w:val="24"/>
          <w:szCs w:val="24"/>
        </w:rPr>
        <w:t>的保护工作，建议建设单位做好以下应急环保工作：</w:t>
      </w:r>
    </w:p>
    <w:p w14:paraId="4945D311" w14:textId="77777777" w:rsidR="00C24E91" w:rsidRPr="00092862" w:rsidRDefault="00C24E91" w:rsidP="00C24E9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①</w:t>
      </w:r>
      <w:r w:rsidRPr="00092862">
        <w:rPr>
          <w:rFonts w:ascii="Times New Roman" w:eastAsia="宋体" w:hAnsi="Times New Roman" w:cs="Times New Roman"/>
          <w:bCs/>
          <w:color w:val="000000" w:themeColor="text1"/>
          <w:sz w:val="24"/>
          <w:szCs w:val="24"/>
        </w:rPr>
        <w:t>在钻井过程中应加强废水管理，尤其雨季时加强监管内外排水沟，确保污水不流出井场。</w:t>
      </w:r>
    </w:p>
    <w:p w14:paraId="16BEFF61" w14:textId="77777777" w:rsidR="00C24E91" w:rsidRPr="00092862" w:rsidRDefault="00C24E91" w:rsidP="00C24E9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②</w:t>
      </w:r>
      <w:r w:rsidRPr="00092862">
        <w:rPr>
          <w:rFonts w:ascii="Times New Roman" w:eastAsia="宋体" w:hAnsi="Times New Roman" w:cs="Times New Roman"/>
          <w:bCs/>
          <w:color w:val="000000" w:themeColor="text1"/>
          <w:sz w:val="24"/>
          <w:szCs w:val="24"/>
        </w:rPr>
        <w:t>在做好泥浆不落地装置区水罐和放喷池的清运工作同时，对集水坑进行及时清掏，做好防渗。</w:t>
      </w:r>
    </w:p>
    <w:p w14:paraId="3857FBAA" w14:textId="4481EEEC" w:rsidR="00C24E91" w:rsidRPr="00092862" w:rsidRDefault="00C24E91" w:rsidP="00C24E91">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③</w:t>
      </w:r>
      <w:r w:rsidRPr="00092862">
        <w:rPr>
          <w:rFonts w:ascii="Times New Roman" w:eastAsia="宋体" w:hAnsi="Times New Roman" w:cs="Times New Roman"/>
          <w:bCs/>
          <w:color w:val="000000" w:themeColor="text1"/>
          <w:sz w:val="24"/>
          <w:szCs w:val="24"/>
        </w:rPr>
        <w:t>废水在拉运过程中经过河渠</w:t>
      </w:r>
      <w:r w:rsidR="00A236F4" w:rsidRPr="00092862">
        <w:rPr>
          <w:rFonts w:ascii="Times New Roman" w:eastAsia="宋体" w:hAnsi="Times New Roman" w:cs="Times New Roman"/>
          <w:bCs/>
          <w:color w:val="000000" w:themeColor="text1"/>
          <w:sz w:val="24"/>
          <w:szCs w:val="24"/>
        </w:rPr>
        <w:t>与冲沟</w:t>
      </w:r>
      <w:r w:rsidRPr="00092862">
        <w:rPr>
          <w:rFonts w:ascii="Times New Roman" w:eastAsia="宋体" w:hAnsi="Times New Roman" w:cs="Times New Roman"/>
          <w:bCs/>
          <w:color w:val="000000" w:themeColor="text1"/>
          <w:sz w:val="24"/>
          <w:szCs w:val="24"/>
        </w:rPr>
        <w:t>附近时，应减缓车速，平稳通过。</w:t>
      </w:r>
    </w:p>
    <w:p w14:paraId="225E70EA" w14:textId="77777777" w:rsidR="00C24E91" w:rsidRPr="00092862" w:rsidRDefault="00C24E91" w:rsidP="00C24E9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color w:val="000000" w:themeColor="text1"/>
          <w:sz w:val="24"/>
          <w:szCs w:val="24"/>
        </w:rPr>
        <w:t>④</w:t>
      </w:r>
      <w:r w:rsidRPr="00092862">
        <w:rPr>
          <w:rFonts w:ascii="Times New Roman" w:eastAsia="宋体" w:hAnsi="Times New Roman" w:cs="Times New Roman"/>
          <w:color w:val="000000" w:themeColor="text1"/>
          <w:sz w:val="24"/>
          <w:szCs w:val="24"/>
        </w:rPr>
        <w:t>本次环评要求构建的地表水</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三级</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防控体系：具体如下：</w:t>
      </w:r>
    </w:p>
    <w:p w14:paraId="1C1E97C7" w14:textId="77777777" w:rsidR="00C24E91" w:rsidRPr="00092862" w:rsidRDefault="00C24E91" w:rsidP="00C24E9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第一级防控措施是对存放废水和原料的罐、池定期检查，确认罐、池容量不超过设计容量，并及时清空，确保废水暂存容量足够；</w:t>
      </w:r>
    </w:p>
    <w:p w14:paraId="5CB16DCE" w14:textId="77777777" w:rsidR="00C24E91" w:rsidRPr="00092862" w:rsidRDefault="00C24E91" w:rsidP="00C24E9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第二级防控措施是通过对可能发生废水泄露的罐、池区以及作业区等区域修建围堰，避免泄露废水散排进入井场其他区域；</w:t>
      </w:r>
    </w:p>
    <w:p w14:paraId="1DCE60BD" w14:textId="2C864A45" w:rsidR="00C24E91" w:rsidRPr="00092862" w:rsidRDefault="00C24E91" w:rsidP="00C24E9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第三级防控措施是内环沟集污坑、方井、井场四周集水坑等废水汇集处低进高出，同时设置水泵，将废水抽至泥浆不落地系统</w:t>
      </w:r>
      <w:r w:rsidR="00A236F4" w:rsidRPr="00092862">
        <w:rPr>
          <w:rFonts w:ascii="Times New Roman" w:eastAsia="宋体" w:hAnsi="Times New Roman" w:cs="Times New Roman"/>
          <w:color w:val="000000" w:themeColor="text1"/>
          <w:sz w:val="24"/>
          <w:szCs w:val="24"/>
        </w:rPr>
        <w:t>废水</w:t>
      </w:r>
      <w:r w:rsidRPr="00092862">
        <w:rPr>
          <w:rFonts w:ascii="Times New Roman" w:eastAsia="宋体" w:hAnsi="Times New Roman" w:cs="Times New Roman"/>
          <w:color w:val="000000" w:themeColor="text1"/>
          <w:sz w:val="24"/>
          <w:szCs w:val="24"/>
        </w:rPr>
        <w:t>罐或</w:t>
      </w:r>
      <w:r w:rsidR="00A236F4" w:rsidRPr="00092862">
        <w:rPr>
          <w:rFonts w:ascii="Times New Roman" w:eastAsia="宋体" w:hAnsi="Times New Roman" w:cs="Times New Roman"/>
          <w:color w:val="000000" w:themeColor="text1"/>
          <w:sz w:val="24"/>
          <w:szCs w:val="24"/>
        </w:rPr>
        <w:t>污水池</w:t>
      </w:r>
      <w:r w:rsidRPr="00092862">
        <w:rPr>
          <w:rFonts w:ascii="Times New Roman" w:eastAsia="宋体" w:hAnsi="Times New Roman" w:cs="Times New Roman"/>
          <w:color w:val="000000" w:themeColor="text1"/>
          <w:sz w:val="24"/>
          <w:szCs w:val="24"/>
        </w:rPr>
        <w:t>、放喷池，拦截可能流出井场外的废水，保持内环沟、集污坑、方井、</w:t>
      </w:r>
      <w:r w:rsidR="00BB7520" w:rsidRPr="00092862">
        <w:rPr>
          <w:rFonts w:ascii="Times New Roman" w:eastAsia="宋体" w:hAnsi="Times New Roman" w:cs="Times New Roman"/>
          <w:color w:val="000000" w:themeColor="text1"/>
          <w:sz w:val="24"/>
          <w:szCs w:val="24"/>
        </w:rPr>
        <w:t>放喷池</w:t>
      </w:r>
      <w:r w:rsidRPr="00092862">
        <w:rPr>
          <w:rFonts w:ascii="Times New Roman" w:eastAsia="宋体" w:hAnsi="Times New Roman" w:cs="Times New Roman"/>
          <w:color w:val="000000" w:themeColor="text1"/>
          <w:sz w:val="24"/>
          <w:szCs w:val="24"/>
        </w:rPr>
        <w:t>等常空</w:t>
      </w:r>
      <w:r w:rsidR="00BB7520" w:rsidRPr="00092862">
        <w:rPr>
          <w:rFonts w:ascii="Times New Roman" w:eastAsia="宋体" w:hAnsi="Times New Roman" w:cs="Times New Roman"/>
          <w:color w:val="000000" w:themeColor="text1"/>
          <w:sz w:val="24"/>
          <w:szCs w:val="24"/>
        </w:rPr>
        <w:t>，污水池有足够容积</w:t>
      </w:r>
      <w:r w:rsidRPr="00092862">
        <w:rPr>
          <w:rFonts w:ascii="Times New Roman" w:eastAsia="宋体" w:hAnsi="Times New Roman" w:cs="Times New Roman"/>
          <w:color w:val="000000" w:themeColor="text1"/>
          <w:sz w:val="24"/>
          <w:szCs w:val="24"/>
        </w:rPr>
        <w:t>。</w:t>
      </w:r>
    </w:p>
    <w:p w14:paraId="1161F187" w14:textId="36DBF203" w:rsidR="00C24E91" w:rsidRPr="00092862" w:rsidRDefault="00C24E91" w:rsidP="00C24E91">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在废水外溢事故发生，集水坑拦截失效时，在集水坑附近等低洼区域以及外溢口处采用沙包、装土编织袋等拦截措施阻止废水进入外环境，同时保持放</w:t>
      </w:r>
      <w:r w:rsidRPr="00092862">
        <w:rPr>
          <w:rFonts w:ascii="Times New Roman" w:eastAsia="宋体" w:hAnsi="Times New Roman" w:cs="Times New Roman"/>
          <w:color w:val="000000" w:themeColor="text1"/>
          <w:sz w:val="24"/>
          <w:szCs w:val="24"/>
        </w:rPr>
        <w:lastRenderedPageBreak/>
        <w:t>喷池常空</w:t>
      </w:r>
      <w:r w:rsidR="00A236F4" w:rsidRPr="00092862">
        <w:rPr>
          <w:rFonts w:ascii="Times New Roman" w:eastAsia="宋体" w:hAnsi="Times New Roman" w:cs="Times New Roman"/>
          <w:color w:val="000000" w:themeColor="text1"/>
          <w:sz w:val="24"/>
          <w:szCs w:val="24"/>
        </w:rPr>
        <w:t>，污水池有足够容积</w:t>
      </w:r>
      <w:r w:rsidRPr="00092862">
        <w:rPr>
          <w:rFonts w:ascii="Times New Roman" w:eastAsia="宋体" w:hAnsi="Times New Roman" w:cs="Times New Roman"/>
          <w:color w:val="000000" w:themeColor="text1"/>
          <w:sz w:val="24"/>
          <w:szCs w:val="24"/>
        </w:rPr>
        <w:t>，在沙包、装土编织袋等拦截措施失效时，通过泵将井场场内外溢废水引流至泥浆不落地区</w:t>
      </w:r>
      <w:r w:rsidR="00A236F4" w:rsidRPr="00092862">
        <w:rPr>
          <w:rFonts w:ascii="Times New Roman" w:eastAsia="宋体" w:hAnsi="Times New Roman" w:cs="Times New Roman"/>
          <w:color w:val="000000" w:themeColor="text1"/>
          <w:sz w:val="24"/>
          <w:szCs w:val="24"/>
        </w:rPr>
        <w:t>废水</w:t>
      </w:r>
      <w:r w:rsidRPr="00092862">
        <w:rPr>
          <w:rFonts w:ascii="Times New Roman" w:eastAsia="宋体" w:hAnsi="Times New Roman" w:cs="Times New Roman"/>
          <w:color w:val="000000" w:themeColor="text1"/>
          <w:sz w:val="24"/>
          <w:szCs w:val="24"/>
        </w:rPr>
        <w:t>罐</w:t>
      </w:r>
      <w:r w:rsidR="00A236F4" w:rsidRPr="00092862">
        <w:rPr>
          <w:rFonts w:ascii="Times New Roman" w:eastAsia="宋体" w:hAnsi="Times New Roman" w:cs="Times New Roman"/>
          <w:color w:val="000000" w:themeColor="text1"/>
          <w:sz w:val="24"/>
          <w:szCs w:val="24"/>
        </w:rPr>
        <w:t>、污水池</w:t>
      </w:r>
      <w:r w:rsidRPr="00092862">
        <w:rPr>
          <w:rFonts w:ascii="Times New Roman" w:eastAsia="宋体" w:hAnsi="Times New Roman" w:cs="Times New Roman"/>
          <w:color w:val="000000" w:themeColor="text1"/>
          <w:sz w:val="24"/>
          <w:szCs w:val="24"/>
        </w:rPr>
        <w:t>、放喷池并及时处理转运。</w:t>
      </w:r>
    </w:p>
    <w:p w14:paraId="757B8ABA" w14:textId="77777777" w:rsidR="00E8343D" w:rsidRPr="00092862" w:rsidRDefault="00E8343D" w:rsidP="00E8343D">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2</w:t>
      </w:r>
      <w:r w:rsidRPr="00092862">
        <w:rPr>
          <w:rFonts w:ascii="Times New Roman" w:eastAsia="黑体" w:hAnsi="Times New Roman" w:cs="Times New Roman"/>
          <w:color w:val="000000" w:themeColor="text1"/>
          <w:sz w:val="24"/>
          <w:szCs w:val="24"/>
        </w:rPr>
        <w:t>、污水收集处理设施可行性分析</w:t>
      </w:r>
    </w:p>
    <w:p w14:paraId="1F85F4BD" w14:textId="59323E08" w:rsidR="00E8343D" w:rsidRPr="00092862" w:rsidRDefault="00E8343D"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钻井过程中废水由泥浆不落地装置收集，泥浆不落地装置内放置有现场配备</w:t>
      </w:r>
      <w:r w:rsidR="00BB7520" w:rsidRPr="00092862">
        <w:rPr>
          <w:rFonts w:ascii="Times New Roman" w:eastAsia="宋体" w:hAnsi="Times New Roman" w:cs="Times New Roman"/>
          <w:color w:val="000000" w:themeColor="text1"/>
          <w:sz w:val="24"/>
          <w:szCs w:val="24"/>
        </w:rPr>
        <w:t>40m</w:t>
      </w:r>
      <w:r w:rsidR="00BB7520" w:rsidRPr="00092862">
        <w:rPr>
          <w:rFonts w:ascii="Times New Roman" w:eastAsia="宋体" w:hAnsi="Times New Roman" w:cs="Times New Roman"/>
          <w:color w:val="000000" w:themeColor="text1"/>
          <w:sz w:val="24"/>
          <w:szCs w:val="24"/>
          <w:vertAlign w:val="superscript"/>
        </w:rPr>
        <w:t>3</w:t>
      </w:r>
      <w:r w:rsidR="00BB7520" w:rsidRPr="00092862">
        <w:rPr>
          <w:rFonts w:ascii="Times New Roman" w:eastAsia="宋体" w:hAnsi="Times New Roman" w:cs="Times New Roman"/>
          <w:color w:val="000000" w:themeColor="text1"/>
          <w:sz w:val="24"/>
          <w:szCs w:val="24"/>
        </w:rPr>
        <w:t>废水罐</w:t>
      </w:r>
      <w:r w:rsidR="00BB7520" w:rsidRPr="00092862">
        <w:rPr>
          <w:rFonts w:ascii="Times New Roman" w:eastAsia="宋体" w:hAnsi="Times New Roman" w:cs="Times New Roman"/>
          <w:color w:val="000000" w:themeColor="text1"/>
          <w:sz w:val="24"/>
          <w:szCs w:val="24"/>
        </w:rPr>
        <w:t>4</w:t>
      </w:r>
      <w:r w:rsidR="00BB7520" w:rsidRPr="00092862">
        <w:rPr>
          <w:rFonts w:ascii="Times New Roman" w:eastAsia="宋体" w:hAnsi="Times New Roman" w:cs="Times New Roman"/>
          <w:color w:val="000000" w:themeColor="text1"/>
          <w:sz w:val="24"/>
          <w:szCs w:val="24"/>
        </w:rPr>
        <w:t>个（位于清洁化操作平台废水处理区，分为</w:t>
      </w:r>
      <w:r w:rsidR="00BB7520" w:rsidRPr="00092862">
        <w:rPr>
          <w:rFonts w:ascii="Times New Roman" w:eastAsia="宋体" w:hAnsi="Times New Roman" w:cs="Times New Roman"/>
          <w:color w:val="000000" w:themeColor="text1"/>
          <w:sz w:val="24"/>
          <w:szCs w:val="24"/>
        </w:rPr>
        <w:t>1</w:t>
      </w:r>
      <w:r w:rsidR="00BB7520" w:rsidRPr="00092862">
        <w:rPr>
          <w:rFonts w:ascii="Times New Roman" w:eastAsia="宋体" w:hAnsi="Times New Roman" w:cs="Times New Roman"/>
          <w:color w:val="000000" w:themeColor="text1"/>
          <w:sz w:val="24"/>
          <w:szCs w:val="24"/>
        </w:rPr>
        <w:t>个隔油罐、</w:t>
      </w:r>
      <w:r w:rsidR="00BB7520" w:rsidRPr="00092862">
        <w:rPr>
          <w:rFonts w:ascii="Times New Roman" w:eastAsia="宋体" w:hAnsi="Times New Roman" w:cs="Times New Roman"/>
          <w:color w:val="000000" w:themeColor="text1"/>
          <w:sz w:val="24"/>
          <w:szCs w:val="24"/>
        </w:rPr>
        <w:t>2</w:t>
      </w:r>
      <w:r w:rsidR="00BB7520" w:rsidRPr="00092862">
        <w:rPr>
          <w:rFonts w:ascii="Times New Roman" w:eastAsia="宋体" w:hAnsi="Times New Roman" w:cs="Times New Roman"/>
          <w:color w:val="000000" w:themeColor="text1"/>
          <w:sz w:val="24"/>
          <w:szCs w:val="24"/>
        </w:rPr>
        <w:t>个沉淀罐、</w:t>
      </w:r>
      <w:r w:rsidR="00BB7520" w:rsidRPr="00092862">
        <w:rPr>
          <w:rFonts w:ascii="Times New Roman" w:eastAsia="宋体" w:hAnsi="Times New Roman" w:cs="Times New Roman"/>
          <w:color w:val="000000" w:themeColor="text1"/>
          <w:sz w:val="24"/>
          <w:szCs w:val="24"/>
        </w:rPr>
        <w:t>1</w:t>
      </w:r>
      <w:r w:rsidR="00BB7520" w:rsidRPr="00092862">
        <w:rPr>
          <w:rFonts w:ascii="Times New Roman" w:eastAsia="宋体" w:hAnsi="Times New Roman" w:cs="Times New Roman"/>
          <w:color w:val="000000" w:themeColor="text1"/>
          <w:sz w:val="24"/>
          <w:szCs w:val="24"/>
        </w:rPr>
        <w:t>个回用罐）</w:t>
      </w:r>
      <w:r w:rsidRPr="00092862">
        <w:rPr>
          <w:rFonts w:ascii="Times New Roman" w:eastAsia="宋体" w:hAnsi="Times New Roman" w:cs="Times New Roman"/>
          <w:color w:val="000000" w:themeColor="text1"/>
          <w:sz w:val="24"/>
          <w:szCs w:val="24"/>
        </w:rPr>
        <w:t>，</w:t>
      </w:r>
      <w:r w:rsidR="00BB7520" w:rsidRPr="00092862">
        <w:rPr>
          <w:rFonts w:ascii="Times New Roman" w:eastAsia="宋体" w:hAnsi="Times New Roman" w:cs="Times New Roman"/>
          <w:color w:val="000000" w:themeColor="text1"/>
          <w:sz w:val="24"/>
          <w:szCs w:val="24"/>
        </w:rPr>
        <w:t>同时项目设置有</w:t>
      </w:r>
      <w:r w:rsidR="009D587F" w:rsidRPr="00092862">
        <w:rPr>
          <w:rFonts w:ascii="Times New Roman" w:eastAsia="宋体" w:hAnsi="Times New Roman" w:cs="Times New Roman"/>
          <w:color w:val="000000" w:themeColor="text1"/>
          <w:sz w:val="24"/>
          <w:szCs w:val="24"/>
        </w:rPr>
        <w:t>160</w:t>
      </w:r>
      <w:r w:rsidR="00BB7520" w:rsidRPr="00092862">
        <w:rPr>
          <w:rFonts w:ascii="Times New Roman" w:eastAsia="宋体" w:hAnsi="Times New Roman" w:cs="Times New Roman"/>
          <w:color w:val="000000" w:themeColor="text1"/>
          <w:sz w:val="24"/>
          <w:szCs w:val="24"/>
        </w:rPr>
        <w:t>0m</w:t>
      </w:r>
      <w:r w:rsidR="00BB7520" w:rsidRPr="00092862">
        <w:rPr>
          <w:rFonts w:ascii="Times New Roman" w:eastAsia="宋体" w:hAnsi="Times New Roman" w:cs="Times New Roman"/>
          <w:color w:val="000000" w:themeColor="text1"/>
          <w:sz w:val="24"/>
          <w:szCs w:val="24"/>
          <w:vertAlign w:val="superscript"/>
        </w:rPr>
        <w:t>3</w:t>
      </w:r>
      <w:r w:rsidR="00BB7520" w:rsidRPr="00092862">
        <w:rPr>
          <w:rFonts w:ascii="Times New Roman" w:eastAsia="宋体" w:hAnsi="Times New Roman" w:cs="Times New Roman"/>
          <w:color w:val="000000" w:themeColor="text1"/>
          <w:sz w:val="24"/>
          <w:szCs w:val="24"/>
        </w:rPr>
        <w:t>的污水池</w:t>
      </w:r>
      <w:r w:rsidR="00BB7520" w:rsidRPr="00092862">
        <w:rPr>
          <w:rFonts w:ascii="Times New Roman" w:eastAsia="宋体" w:hAnsi="Times New Roman" w:cs="Times New Roman"/>
          <w:color w:val="000000" w:themeColor="text1"/>
          <w:sz w:val="24"/>
          <w:szCs w:val="24"/>
        </w:rPr>
        <w:t>1</w:t>
      </w:r>
      <w:r w:rsidR="00BB7520" w:rsidRPr="00092862">
        <w:rPr>
          <w:rFonts w:ascii="Times New Roman" w:eastAsia="宋体" w:hAnsi="Times New Roman" w:cs="Times New Roman"/>
          <w:color w:val="000000" w:themeColor="text1"/>
          <w:sz w:val="24"/>
          <w:szCs w:val="24"/>
        </w:rPr>
        <w:t>个</w:t>
      </w:r>
      <w:r w:rsidRPr="00092862">
        <w:rPr>
          <w:rFonts w:ascii="Times New Roman" w:eastAsia="宋体" w:hAnsi="Times New Roman" w:cs="Times New Roman"/>
          <w:color w:val="000000" w:themeColor="text1"/>
          <w:sz w:val="24"/>
          <w:szCs w:val="24"/>
        </w:rPr>
        <w:t>，废水临时存放能力达到</w:t>
      </w:r>
      <w:r w:rsidR="009D587F" w:rsidRPr="00092862">
        <w:rPr>
          <w:rFonts w:ascii="Times New Roman" w:eastAsia="宋体" w:hAnsi="Times New Roman" w:cs="Times New Roman"/>
          <w:color w:val="000000" w:themeColor="text1"/>
          <w:sz w:val="24"/>
          <w:szCs w:val="24"/>
        </w:rPr>
        <w:t>176</w:t>
      </w:r>
      <w:r w:rsidRPr="00092862">
        <w:rPr>
          <w:rFonts w:ascii="Times New Roman" w:eastAsia="宋体" w:hAnsi="Times New Roman" w:cs="Times New Roman"/>
          <w:color w:val="000000" w:themeColor="text1"/>
          <w:sz w:val="24"/>
          <w:szCs w:val="24"/>
        </w:rPr>
        <w:t>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。本项目钻井期间污水经固控设备固液分离后，</w:t>
      </w:r>
      <w:r w:rsidR="00BB7520" w:rsidRPr="00092862">
        <w:rPr>
          <w:rFonts w:ascii="Times New Roman" w:eastAsia="宋体" w:hAnsi="Times New Roman" w:cs="Times New Roman"/>
          <w:color w:val="000000" w:themeColor="text1"/>
          <w:sz w:val="24"/>
          <w:szCs w:val="24"/>
        </w:rPr>
        <w:t>钻井</w:t>
      </w:r>
      <w:r w:rsidRPr="00092862">
        <w:rPr>
          <w:rFonts w:ascii="Times New Roman" w:eastAsia="宋体" w:hAnsi="Times New Roman" w:cs="Times New Roman"/>
          <w:color w:val="000000" w:themeColor="text1"/>
          <w:sz w:val="24"/>
          <w:szCs w:val="24"/>
        </w:rPr>
        <w:t>废水</w:t>
      </w:r>
      <w:r w:rsidR="00317F32" w:rsidRPr="00092862">
        <w:rPr>
          <w:rFonts w:ascii="Times New Roman" w:eastAsia="宋体" w:hAnsi="Times New Roman" w:cs="Times New Roman"/>
          <w:color w:val="000000" w:themeColor="text1"/>
          <w:sz w:val="24"/>
          <w:szCs w:val="24"/>
        </w:rPr>
        <w:t>2791.68</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，井站设立污水定期拉运机制，井场的泥浆不落地装置</w:t>
      </w:r>
      <w:r w:rsidR="00BB7520" w:rsidRPr="00092862">
        <w:rPr>
          <w:rFonts w:ascii="Times New Roman" w:eastAsia="宋体" w:hAnsi="Times New Roman" w:cs="Times New Roman"/>
          <w:color w:val="000000" w:themeColor="text1"/>
          <w:sz w:val="24"/>
          <w:szCs w:val="24"/>
        </w:rPr>
        <w:t>与污水池</w:t>
      </w:r>
      <w:r w:rsidRPr="00092862">
        <w:rPr>
          <w:rFonts w:ascii="Times New Roman" w:eastAsia="宋体" w:hAnsi="Times New Roman" w:cs="Times New Roman"/>
          <w:color w:val="000000" w:themeColor="text1"/>
          <w:sz w:val="24"/>
          <w:szCs w:val="24"/>
        </w:rPr>
        <w:t>的容量能满足井场整个钻井期的生产需求。</w:t>
      </w:r>
    </w:p>
    <w:p w14:paraId="710AB12D" w14:textId="45021917" w:rsidR="00E8343D" w:rsidRPr="00092862" w:rsidRDefault="00E8343D"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343" w:name="_Hlk89361389"/>
      <w:r w:rsidRPr="00092862">
        <w:rPr>
          <w:rFonts w:ascii="Times New Roman" w:eastAsia="宋体" w:hAnsi="Times New Roman" w:cs="Times New Roman"/>
          <w:color w:val="000000" w:themeColor="text1"/>
          <w:sz w:val="24"/>
          <w:szCs w:val="24"/>
        </w:rPr>
        <w:t>经固控设备固液分离后洗井废水产生量单井</w:t>
      </w:r>
      <w:r w:rsidR="00B7426D" w:rsidRPr="00092862">
        <w:rPr>
          <w:rFonts w:ascii="Times New Roman" w:eastAsia="宋体" w:hAnsi="Times New Roman" w:cs="Times New Roman"/>
          <w:color w:val="000000" w:themeColor="text1"/>
          <w:sz w:val="24"/>
          <w:szCs w:val="24"/>
        </w:rPr>
        <w:t>最大为</w:t>
      </w:r>
      <w:r w:rsidR="00380786" w:rsidRPr="00092862">
        <w:rPr>
          <w:rFonts w:ascii="Times New Roman" w:eastAsia="宋体" w:hAnsi="Times New Roman" w:cs="Times New Roman"/>
          <w:color w:val="000000" w:themeColor="text1"/>
          <w:sz w:val="24"/>
          <w:szCs w:val="24"/>
        </w:rPr>
        <w:t>100</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w:t>
      </w:r>
      <w:r w:rsidR="009D587F" w:rsidRPr="00092862">
        <w:rPr>
          <w:rFonts w:ascii="Times New Roman" w:eastAsia="宋体" w:hAnsi="Times New Roman" w:cs="Times New Roman"/>
          <w:color w:val="000000" w:themeColor="text1"/>
          <w:sz w:val="24"/>
          <w:szCs w:val="24"/>
        </w:rPr>
        <w:t>本项目</w:t>
      </w:r>
      <w:r w:rsidR="00EC70BF" w:rsidRPr="00092862">
        <w:rPr>
          <w:rFonts w:ascii="Times New Roman" w:eastAsia="宋体" w:hAnsi="Times New Roman" w:cs="Times New Roman"/>
          <w:color w:val="000000" w:themeColor="text1"/>
          <w:sz w:val="24"/>
          <w:szCs w:val="24"/>
        </w:rPr>
        <w:t>2</w:t>
      </w:r>
      <w:r w:rsidR="00EC70BF" w:rsidRPr="00092862">
        <w:rPr>
          <w:rFonts w:ascii="Times New Roman" w:eastAsia="宋体" w:hAnsi="Times New Roman" w:cs="Times New Roman"/>
          <w:color w:val="000000" w:themeColor="text1"/>
          <w:sz w:val="24"/>
          <w:szCs w:val="24"/>
        </w:rPr>
        <w:t>口井</w:t>
      </w:r>
      <w:r w:rsidR="009D587F" w:rsidRPr="00092862">
        <w:rPr>
          <w:rFonts w:ascii="Times New Roman" w:eastAsia="宋体" w:hAnsi="Times New Roman" w:cs="Times New Roman"/>
          <w:color w:val="000000" w:themeColor="text1"/>
          <w:sz w:val="24"/>
          <w:szCs w:val="24"/>
        </w:rPr>
        <w:t>最大产生量为</w:t>
      </w:r>
      <w:r w:rsidR="009D587F" w:rsidRPr="00092862">
        <w:rPr>
          <w:rFonts w:ascii="Times New Roman" w:eastAsia="宋体" w:hAnsi="Times New Roman" w:cs="Times New Roman"/>
          <w:color w:val="000000" w:themeColor="text1"/>
          <w:sz w:val="24"/>
          <w:szCs w:val="24"/>
        </w:rPr>
        <w:t>300m</w:t>
      </w:r>
      <w:r w:rsidR="009D587F" w:rsidRPr="00092862">
        <w:rPr>
          <w:rFonts w:ascii="Times New Roman" w:eastAsia="宋体" w:hAnsi="Times New Roman" w:cs="Times New Roman"/>
          <w:color w:val="000000" w:themeColor="text1"/>
          <w:sz w:val="24"/>
          <w:szCs w:val="24"/>
          <w:vertAlign w:val="superscript"/>
        </w:rPr>
        <w:t>3</w:t>
      </w:r>
      <w:r w:rsidR="009D587F"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洗井废水边处理边拉运回用，井场的泥浆不落地装置</w:t>
      </w:r>
      <w:r w:rsidR="00380786" w:rsidRPr="00092862">
        <w:rPr>
          <w:rFonts w:ascii="Times New Roman" w:eastAsia="宋体" w:hAnsi="Times New Roman" w:cs="Times New Roman"/>
          <w:color w:val="000000" w:themeColor="text1"/>
          <w:sz w:val="24"/>
          <w:szCs w:val="24"/>
        </w:rPr>
        <w:t>与污水池</w:t>
      </w:r>
      <w:r w:rsidRPr="00092862">
        <w:rPr>
          <w:rFonts w:ascii="Times New Roman" w:eastAsia="宋体" w:hAnsi="Times New Roman" w:cs="Times New Roman"/>
          <w:color w:val="000000" w:themeColor="text1"/>
          <w:sz w:val="24"/>
          <w:szCs w:val="24"/>
        </w:rPr>
        <w:t>的容量能满足井场洗井期的生产需求。</w:t>
      </w:r>
      <w:bookmarkEnd w:id="343"/>
    </w:p>
    <w:p w14:paraId="694BFE26" w14:textId="41B59950" w:rsidR="00D37B45" w:rsidRPr="00092862" w:rsidRDefault="00D37B45" w:rsidP="00D37B45">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344" w:name="_Hlk92200258"/>
      <w:r w:rsidRPr="00092862">
        <w:rPr>
          <w:rFonts w:ascii="Times New Roman" w:eastAsia="宋体" w:hAnsi="Times New Roman" w:cs="Times New Roman"/>
          <w:color w:val="000000" w:themeColor="text1"/>
          <w:sz w:val="24"/>
          <w:szCs w:val="24"/>
        </w:rPr>
        <w:t>完井测试分段压裂产生的加砂压裂返排液大部分进入压裂液储罐，少量进入放喷池，进入放喷池内的返排液全部泵入压裂液储罐。返排过程中压裂返排液及时</w:t>
      </w:r>
      <w:r w:rsidR="00CB1CAD" w:rsidRPr="00092862">
        <w:rPr>
          <w:rFonts w:ascii="Times New Roman" w:eastAsia="宋体" w:hAnsi="Times New Roman" w:cs="Times New Roman"/>
          <w:color w:val="000000" w:themeColor="text1"/>
          <w:sz w:val="24"/>
          <w:szCs w:val="24"/>
        </w:rPr>
        <w:t>用密闭罐车拉运至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color w:val="000000" w:themeColor="text1"/>
          <w:sz w:val="24"/>
          <w:szCs w:val="24"/>
        </w:rPr>
        <w:t>，现场需要暂存的压裂返排液量相对较小，压裂液返排前期可由已空置的压裂液储罐进行收集储存，由于地层吸收损耗及放喷蒸发，返排液量远小于入井液量，压裂液罐总容积大于压裂返排液返排量，</w:t>
      </w:r>
      <w:bookmarkStart w:id="345" w:name="_Hlk92200417"/>
      <w:r w:rsidRPr="00092862">
        <w:rPr>
          <w:rFonts w:ascii="Times New Roman" w:eastAsia="宋体" w:hAnsi="Times New Roman" w:cs="Times New Roman"/>
          <w:color w:val="000000" w:themeColor="text1"/>
          <w:sz w:val="24"/>
          <w:szCs w:val="24"/>
        </w:rPr>
        <w:t>满足储存要求。</w:t>
      </w:r>
      <w:bookmarkEnd w:id="345"/>
      <w:r w:rsidRPr="00092862">
        <w:rPr>
          <w:rFonts w:ascii="Times New Roman" w:eastAsia="宋体" w:hAnsi="Times New Roman" w:cs="Times New Roman"/>
          <w:color w:val="000000" w:themeColor="text1"/>
          <w:sz w:val="24"/>
          <w:szCs w:val="24"/>
        </w:rPr>
        <w:t>项目在井场周围设置了放喷池</w:t>
      </w:r>
      <w:r w:rsidR="00380786"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座，</w:t>
      </w:r>
      <w:r w:rsidR="00380786" w:rsidRPr="00092862">
        <w:rPr>
          <w:rFonts w:ascii="Times New Roman" w:eastAsia="宋体" w:hAnsi="Times New Roman" w:cs="Times New Roman"/>
          <w:color w:val="000000" w:themeColor="text1"/>
          <w:sz w:val="24"/>
          <w:szCs w:val="24"/>
        </w:rPr>
        <w:t>单个</w:t>
      </w:r>
      <w:r w:rsidRPr="00092862">
        <w:rPr>
          <w:rFonts w:ascii="Times New Roman" w:eastAsia="宋体" w:hAnsi="Times New Roman" w:cs="Times New Roman"/>
          <w:color w:val="000000" w:themeColor="text1"/>
          <w:sz w:val="24"/>
          <w:szCs w:val="24"/>
        </w:rPr>
        <w:t>放喷池容积为</w:t>
      </w:r>
      <w:r w:rsidR="00CB1CAD"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00m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由于放喷池主要起接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复合卷材）作防渗漏处理，防水卷材搭接长度不小于</w:t>
      </w:r>
      <w:r w:rsidRPr="00092862">
        <w:rPr>
          <w:rFonts w:ascii="Times New Roman" w:eastAsia="宋体" w:hAnsi="Times New Roman" w:cs="Times New Roman"/>
          <w:color w:val="000000" w:themeColor="text1"/>
          <w:sz w:val="24"/>
          <w:szCs w:val="24"/>
        </w:rPr>
        <w:t>150mm</w:t>
      </w:r>
      <w:r w:rsidRPr="00092862">
        <w:rPr>
          <w:rFonts w:ascii="Times New Roman" w:eastAsia="宋体" w:hAnsi="Times New Roman" w:cs="Times New Roman"/>
          <w:color w:val="000000" w:themeColor="text1"/>
          <w:sz w:val="24"/>
          <w:szCs w:val="24"/>
        </w:rPr>
        <w:t>，阴角处做处理，防止卷材折断。</w:t>
      </w:r>
    </w:p>
    <w:bookmarkEnd w:id="344"/>
    <w:p w14:paraId="13C7DB14" w14:textId="2036A712" w:rsidR="00E8343D" w:rsidRPr="00092862" w:rsidRDefault="00E8343D"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为防止在暴雨或连续降雨等极端天气条件下发生废水泄露，对初期雨水进行收集，</w:t>
      </w:r>
      <w:bookmarkStart w:id="346" w:name="_Hlk89363083"/>
      <w:r w:rsidRPr="00092862">
        <w:rPr>
          <w:rFonts w:ascii="Times New Roman" w:eastAsia="宋体" w:hAnsi="Times New Roman" w:cs="Times New Roman"/>
          <w:color w:val="000000" w:themeColor="text1"/>
          <w:sz w:val="24"/>
          <w:szCs w:val="24"/>
        </w:rPr>
        <w:t>本项目</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不落地</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处理装置</w:t>
      </w:r>
      <w:r w:rsidR="00380786" w:rsidRPr="00092862">
        <w:rPr>
          <w:rFonts w:ascii="Times New Roman" w:eastAsia="宋体" w:hAnsi="Times New Roman" w:cs="Times New Roman"/>
          <w:color w:val="000000" w:themeColor="text1"/>
          <w:sz w:val="24"/>
          <w:szCs w:val="24"/>
        </w:rPr>
        <w:t>与污水池</w:t>
      </w:r>
      <w:r w:rsidRPr="00092862">
        <w:rPr>
          <w:rFonts w:ascii="Times New Roman" w:eastAsia="宋体" w:hAnsi="Times New Roman" w:cs="Times New Roman"/>
          <w:color w:val="000000" w:themeColor="text1"/>
          <w:sz w:val="24"/>
          <w:szCs w:val="24"/>
        </w:rPr>
        <w:t>有效容积达到</w:t>
      </w:r>
      <w:r w:rsidR="009D587F" w:rsidRPr="00092862">
        <w:rPr>
          <w:rFonts w:ascii="Times New Roman" w:eastAsia="宋体" w:hAnsi="Times New Roman" w:cs="Times New Roman"/>
          <w:color w:val="000000" w:themeColor="text1"/>
          <w:sz w:val="24"/>
          <w:szCs w:val="24"/>
        </w:rPr>
        <w:t>176</w:t>
      </w:r>
      <w:r w:rsidRPr="00092862">
        <w:rPr>
          <w:rFonts w:ascii="Times New Roman" w:eastAsia="宋体" w:hAnsi="Times New Roman" w:cs="Times New Roman"/>
          <w:color w:val="000000" w:themeColor="text1"/>
          <w:sz w:val="24"/>
          <w:szCs w:val="24"/>
        </w:rPr>
        <w:t>0m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w:t>
      </w:r>
      <w:bookmarkEnd w:id="346"/>
      <w:r w:rsidRPr="00092862">
        <w:rPr>
          <w:rFonts w:ascii="Times New Roman" w:eastAsia="宋体" w:hAnsi="Times New Roman" w:cs="Times New Roman"/>
          <w:color w:val="000000" w:themeColor="text1"/>
          <w:sz w:val="24"/>
          <w:szCs w:val="24"/>
        </w:rPr>
        <w:t>能满足本项目应对暴雨或连续降雨等极端天气条件下初期雨水的收集需要（初期雨水量</w:t>
      </w:r>
      <w:r w:rsidR="00424DC5" w:rsidRPr="00092862">
        <w:rPr>
          <w:rFonts w:ascii="Times New Roman" w:eastAsia="宋体" w:hAnsi="Times New Roman" w:cs="Times New Roman"/>
          <w:color w:val="000000" w:themeColor="text1"/>
          <w:sz w:val="24"/>
          <w:szCs w:val="24"/>
        </w:rPr>
        <w:t>340.5m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），杜绝废水外溢污染事故。</w:t>
      </w:r>
    </w:p>
    <w:p w14:paraId="752C5957" w14:textId="714F68F4" w:rsidR="00E8343D" w:rsidRPr="00092862" w:rsidRDefault="00271DF7"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rPr>
        <w:t>钻井期生活污水经生态厕所收集后定期由密闭罐车拉运至周边生活污水处</w:t>
      </w:r>
      <w:r w:rsidRPr="00092862">
        <w:rPr>
          <w:rFonts w:ascii="Times New Roman" w:eastAsia="宋体" w:hAnsi="Times New Roman" w:cs="Times New Roman"/>
          <w:bCs/>
          <w:color w:val="000000" w:themeColor="text1"/>
          <w:sz w:val="24"/>
        </w:rPr>
        <w:lastRenderedPageBreak/>
        <w:t>理厂处理</w:t>
      </w:r>
      <w:r w:rsidR="00E8343D" w:rsidRPr="00092862">
        <w:rPr>
          <w:rFonts w:ascii="Times New Roman" w:eastAsia="宋体" w:hAnsi="Times New Roman" w:cs="Times New Roman"/>
          <w:color w:val="000000" w:themeColor="text1"/>
          <w:sz w:val="24"/>
          <w:szCs w:val="24"/>
        </w:rPr>
        <w:t>，钻井期</w:t>
      </w:r>
      <w:r w:rsidR="00166BDB" w:rsidRPr="00092862">
        <w:rPr>
          <w:rFonts w:ascii="Times New Roman" w:eastAsia="宋体" w:hAnsi="Times New Roman" w:cs="Times New Roman"/>
          <w:color w:val="000000" w:themeColor="text1"/>
          <w:sz w:val="24"/>
          <w:szCs w:val="24"/>
        </w:rPr>
        <w:t>生态</w:t>
      </w:r>
      <w:r w:rsidR="00E8343D" w:rsidRPr="00092862">
        <w:rPr>
          <w:rFonts w:ascii="Times New Roman" w:eastAsia="宋体" w:hAnsi="Times New Roman" w:cs="Times New Roman"/>
          <w:color w:val="000000" w:themeColor="text1"/>
          <w:sz w:val="24"/>
          <w:szCs w:val="24"/>
        </w:rPr>
        <w:t>厕所能满足</w:t>
      </w:r>
      <w:r w:rsidR="00E8343D" w:rsidRPr="00092862">
        <w:rPr>
          <w:rFonts w:ascii="Times New Roman" w:eastAsia="宋体" w:hAnsi="Times New Roman" w:cs="Times New Roman"/>
          <w:color w:val="000000" w:themeColor="text1"/>
          <w:sz w:val="24"/>
          <w:szCs w:val="24"/>
        </w:rPr>
        <w:t>50</w:t>
      </w:r>
      <w:r w:rsidR="00E8343D" w:rsidRPr="00092862">
        <w:rPr>
          <w:rFonts w:ascii="Times New Roman" w:eastAsia="宋体" w:hAnsi="Times New Roman" w:cs="Times New Roman"/>
          <w:color w:val="000000" w:themeColor="text1"/>
          <w:sz w:val="24"/>
          <w:szCs w:val="24"/>
        </w:rPr>
        <w:t>人入厕需求，本项目钻井期最多人员为</w:t>
      </w:r>
      <w:r w:rsidR="00E8343D" w:rsidRPr="00092862">
        <w:rPr>
          <w:rFonts w:ascii="Times New Roman" w:eastAsia="宋体" w:hAnsi="Times New Roman" w:cs="Times New Roman"/>
          <w:color w:val="000000" w:themeColor="text1"/>
          <w:sz w:val="24"/>
          <w:szCs w:val="24"/>
        </w:rPr>
        <w:t>45</w:t>
      </w:r>
      <w:r w:rsidR="00E8343D" w:rsidRPr="00092862">
        <w:rPr>
          <w:rFonts w:ascii="Times New Roman" w:eastAsia="宋体" w:hAnsi="Times New Roman" w:cs="Times New Roman"/>
          <w:color w:val="000000" w:themeColor="text1"/>
          <w:sz w:val="24"/>
          <w:szCs w:val="24"/>
        </w:rPr>
        <w:t>人，</w:t>
      </w:r>
      <w:r w:rsidR="00166BDB" w:rsidRPr="00092862">
        <w:rPr>
          <w:rFonts w:ascii="Times New Roman" w:eastAsia="宋体" w:hAnsi="Times New Roman" w:cs="Times New Roman"/>
          <w:color w:val="000000" w:themeColor="text1"/>
          <w:sz w:val="24"/>
          <w:szCs w:val="24"/>
        </w:rPr>
        <w:t>且加强管理，定期拉运后，生态</w:t>
      </w:r>
      <w:r w:rsidR="00E8343D" w:rsidRPr="00092862">
        <w:rPr>
          <w:rFonts w:ascii="Times New Roman" w:eastAsia="宋体" w:hAnsi="Times New Roman" w:cs="Times New Roman"/>
          <w:color w:val="000000" w:themeColor="text1"/>
          <w:sz w:val="24"/>
          <w:szCs w:val="24"/>
        </w:rPr>
        <w:t>厕所满足使用需求。</w:t>
      </w:r>
    </w:p>
    <w:p w14:paraId="416C5EF5" w14:textId="77777777" w:rsidR="00E8343D" w:rsidRPr="00092862" w:rsidRDefault="00E8343D" w:rsidP="00E8343D">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3</w:t>
      </w:r>
      <w:r w:rsidRPr="00092862">
        <w:rPr>
          <w:rFonts w:ascii="Times New Roman" w:eastAsia="黑体" w:hAnsi="Times New Roman" w:cs="Times New Roman"/>
          <w:color w:val="000000" w:themeColor="text1"/>
          <w:sz w:val="24"/>
          <w:szCs w:val="24"/>
        </w:rPr>
        <w:t>、泥浆不落地工艺可行性分析</w:t>
      </w:r>
    </w:p>
    <w:p w14:paraId="7583BCAF" w14:textId="37691DDF" w:rsidR="00E8343D" w:rsidRPr="00092862" w:rsidRDefault="00E8343D"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bookmarkStart w:id="347" w:name="_Hlk89363132"/>
      <w:r w:rsidRPr="00092862">
        <w:rPr>
          <w:rFonts w:ascii="Times New Roman" w:eastAsia="宋体" w:hAnsi="Times New Roman" w:cs="Times New Roman"/>
          <w:color w:val="000000" w:themeColor="text1"/>
          <w:sz w:val="24"/>
          <w:szCs w:val="24"/>
        </w:rPr>
        <w:t>随钻泥浆不落地能做到泥浆、岩屑</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不落地</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，对钻井过程中产生的污染物实行随钻处理，增大了废水利用率，同时降低道路运输风险。随钻处理污染物技术成熟、可靠，资源化处置得到的泥饼体积减小，固化后泥饼含水率约</w:t>
      </w:r>
      <w:r w:rsidRPr="00092862">
        <w:rPr>
          <w:rFonts w:ascii="Times New Roman" w:eastAsia="宋体" w:hAnsi="Times New Roman" w:cs="Times New Roman"/>
          <w:color w:val="000000" w:themeColor="text1"/>
          <w:sz w:val="24"/>
          <w:szCs w:val="24"/>
        </w:rPr>
        <w:t>60%</w:t>
      </w:r>
      <w:r w:rsidRPr="00092862">
        <w:rPr>
          <w:rFonts w:ascii="Times New Roman" w:eastAsia="宋体" w:hAnsi="Times New Roman" w:cs="Times New Roman"/>
          <w:color w:val="000000" w:themeColor="text1"/>
          <w:sz w:val="24"/>
          <w:szCs w:val="24"/>
        </w:rPr>
        <w:t>，运输方便，分离出液体大部分能回用钻井作业，在减少废物排放的同时节约了成本。尤为重要的是项目对污染物实现了综合利用，符合当前环保管理减量化、无害化、资源化的要求，属</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三废</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综合利用及治理工程，泥浆不落地工艺的实施，将大大提高废水回用率和降低固废产生量，降低环保风险，确保</w:t>
      </w:r>
      <w:r w:rsidR="00C575B8" w:rsidRPr="00092862">
        <w:rPr>
          <w:rFonts w:ascii="Times New Roman" w:eastAsia="宋体" w:hAnsi="Times New Roman" w:cs="Times New Roman"/>
          <w:color w:val="000000" w:themeColor="text1"/>
          <w:sz w:val="24"/>
          <w:szCs w:val="24"/>
        </w:rPr>
        <w:t>中原油田普光分公司</w:t>
      </w:r>
      <w:r w:rsidRPr="00092862">
        <w:rPr>
          <w:rFonts w:ascii="Times New Roman" w:eastAsia="宋体" w:hAnsi="Times New Roman" w:cs="Times New Roman"/>
          <w:color w:val="000000" w:themeColor="text1"/>
          <w:sz w:val="24"/>
          <w:szCs w:val="24"/>
        </w:rPr>
        <w:t>清洁生产、绿色开发和可持续发展。根据川</w:t>
      </w:r>
      <w:r w:rsidR="00C575B8"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地区配套的泥浆不落地系统处理经验，系统内正常运行</w:t>
      </w:r>
      <w:r w:rsidR="00C575B8" w:rsidRPr="00092862">
        <w:rPr>
          <w:rFonts w:ascii="Times New Roman" w:eastAsia="宋体" w:hAnsi="Times New Roman" w:cs="Times New Roman"/>
          <w:color w:val="000000" w:themeColor="text1"/>
          <w:sz w:val="24"/>
          <w:szCs w:val="24"/>
        </w:rPr>
        <w:t>设置</w:t>
      </w:r>
      <w:r w:rsidR="00C575B8" w:rsidRPr="00092862">
        <w:rPr>
          <w:rFonts w:ascii="Times New Roman" w:eastAsia="宋体" w:hAnsi="Times New Roman" w:cs="Times New Roman"/>
          <w:color w:val="000000" w:themeColor="text1"/>
          <w:sz w:val="24"/>
          <w:szCs w:val="24"/>
        </w:rPr>
        <w:t>40m</w:t>
      </w:r>
      <w:r w:rsidR="00C575B8" w:rsidRPr="00092862">
        <w:rPr>
          <w:rFonts w:ascii="Times New Roman" w:eastAsia="宋体" w:hAnsi="Times New Roman" w:cs="Times New Roman"/>
          <w:color w:val="000000" w:themeColor="text1"/>
          <w:sz w:val="24"/>
          <w:szCs w:val="24"/>
          <w:vertAlign w:val="superscript"/>
        </w:rPr>
        <w:t>3</w:t>
      </w:r>
      <w:r w:rsidR="00C575B8" w:rsidRPr="00092862">
        <w:rPr>
          <w:rFonts w:ascii="Times New Roman" w:eastAsia="宋体" w:hAnsi="Times New Roman" w:cs="Times New Roman"/>
          <w:color w:val="000000" w:themeColor="text1"/>
          <w:sz w:val="24"/>
          <w:szCs w:val="24"/>
        </w:rPr>
        <w:t>废水罐</w:t>
      </w:r>
      <w:r w:rsidR="00C575B8" w:rsidRPr="00092862">
        <w:rPr>
          <w:rFonts w:ascii="Times New Roman" w:eastAsia="宋体" w:hAnsi="Times New Roman" w:cs="Times New Roman"/>
          <w:color w:val="000000" w:themeColor="text1"/>
          <w:sz w:val="24"/>
          <w:szCs w:val="24"/>
        </w:rPr>
        <w:t>4</w:t>
      </w:r>
      <w:r w:rsidR="00C575B8" w:rsidRPr="00092862">
        <w:rPr>
          <w:rFonts w:ascii="Times New Roman" w:eastAsia="宋体" w:hAnsi="Times New Roman" w:cs="Times New Roman"/>
          <w:color w:val="000000" w:themeColor="text1"/>
          <w:sz w:val="24"/>
          <w:szCs w:val="24"/>
        </w:rPr>
        <w:t>个，</w:t>
      </w:r>
      <w:r w:rsidR="00C575B8" w:rsidRPr="00092862">
        <w:rPr>
          <w:rFonts w:ascii="Times New Roman" w:eastAsia="宋体" w:hAnsi="Times New Roman" w:cs="Times New Roman"/>
          <w:color w:val="000000" w:themeColor="text1"/>
          <w:sz w:val="24"/>
          <w:szCs w:val="24"/>
        </w:rPr>
        <w:t>20m</w:t>
      </w:r>
      <w:r w:rsidR="00C575B8" w:rsidRPr="00092862">
        <w:rPr>
          <w:rFonts w:ascii="Times New Roman" w:eastAsia="宋体" w:hAnsi="Times New Roman" w:cs="Times New Roman"/>
          <w:color w:val="000000" w:themeColor="text1"/>
          <w:sz w:val="24"/>
          <w:szCs w:val="24"/>
          <w:vertAlign w:val="superscript"/>
        </w:rPr>
        <w:t>3</w:t>
      </w:r>
      <w:r w:rsidR="00C575B8" w:rsidRPr="00092862">
        <w:rPr>
          <w:rFonts w:ascii="Times New Roman" w:eastAsia="宋体" w:hAnsi="Times New Roman" w:cs="Times New Roman"/>
          <w:color w:val="000000" w:themeColor="text1"/>
          <w:sz w:val="24"/>
          <w:szCs w:val="24"/>
        </w:rPr>
        <w:t>岩屑固化罐</w:t>
      </w:r>
      <w:r w:rsidR="00C575B8" w:rsidRPr="00092862">
        <w:rPr>
          <w:rFonts w:ascii="Times New Roman" w:eastAsia="宋体" w:hAnsi="Times New Roman" w:cs="Times New Roman"/>
          <w:color w:val="000000" w:themeColor="text1"/>
          <w:sz w:val="24"/>
          <w:szCs w:val="24"/>
        </w:rPr>
        <w:t>4</w:t>
      </w:r>
      <w:r w:rsidR="00C575B8" w:rsidRPr="00092862">
        <w:rPr>
          <w:rFonts w:ascii="Times New Roman" w:eastAsia="宋体" w:hAnsi="Times New Roman" w:cs="Times New Roman"/>
          <w:color w:val="000000" w:themeColor="text1"/>
          <w:sz w:val="24"/>
          <w:szCs w:val="24"/>
        </w:rPr>
        <w:t>个，</w:t>
      </w:r>
      <w:r w:rsidR="00C575B8" w:rsidRPr="00092862">
        <w:rPr>
          <w:rFonts w:ascii="Times New Roman" w:eastAsia="宋体" w:hAnsi="Times New Roman" w:cs="Times New Roman"/>
          <w:color w:val="000000" w:themeColor="text1"/>
          <w:sz w:val="24"/>
          <w:szCs w:val="24"/>
        </w:rPr>
        <w:t>3m</w:t>
      </w:r>
      <w:r w:rsidR="00C575B8" w:rsidRPr="00092862">
        <w:rPr>
          <w:rFonts w:ascii="Times New Roman" w:eastAsia="宋体" w:hAnsi="Times New Roman" w:cs="Times New Roman"/>
          <w:color w:val="000000" w:themeColor="text1"/>
          <w:sz w:val="24"/>
          <w:szCs w:val="24"/>
          <w:vertAlign w:val="superscript"/>
        </w:rPr>
        <w:t>3</w:t>
      </w:r>
      <w:r w:rsidR="00C575B8" w:rsidRPr="00092862">
        <w:rPr>
          <w:rFonts w:ascii="Times New Roman" w:eastAsia="宋体" w:hAnsi="Times New Roman" w:cs="Times New Roman"/>
          <w:color w:val="000000" w:themeColor="text1"/>
          <w:sz w:val="24"/>
          <w:szCs w:val="24"/>
        </w:rPr>
        <w:t>岩屑收集罐</w:t>
      </w:r>
      <w:r w:rsidR="00C575B8" w:rsidRPr="00092862">
        <w:rPr>
          <w:rFonts w:ascii="Times New Roman" w:eastAsia="宋体" w:hAnsi="Times New Roman" w:cs="Times New Roman"/>
          <w:color w:val="000000" w:themeColor="text1"/>
          <w:sz w:val="24"/>
          <w:szCs w:val="24"/>
        </w:rPr>
        <w:t>8</w:t>
      </w:r>
      <w:r w:rsidR="00C575B8" w:rsidRPr="00092862">
        <w:rPr>
          <w:rFonts w:ascii="Times New Roman" w:eastAsia="宋体" w:hAnsi="Times New Roman" w:cs="Times New Roman"/>
          <w:color w:val="000000" w:themeColor="text1"/>
          <w:sz w:val="24"/>
          <w:szCs w:val="24"/>
        </w:rPr>
        <w:t>个，化学品存放区</w:t>
      </w:r>
      <w:r w:rsidR="00C575B8" w:rsidRPr="00092862">
        <w:rPr>
          <w:rFonts w:ascii="Times New Roman" w:eastAsia="宋体" w:hAnsi="Times New Roman" w:cs="Times New Roman"/>
          <w:color w:val="000000" w:themeColor="text1"/>
          <w:sz w:val="24"/>
          <w:szCs w:val="24"/>
        </w:rPr>
        <w:t>1</w:t>
      </w:r>
      <w:r w:rsidR="00C575B8" w:rsidRPr="00092862">
        <w:rPr>
          <w:rFonts w:ascii="Times New Roman" w:eastAsia="宋体" w:hAnsi="Times New Roman" w:cs="Times New Roman"/>
          <w:color w:val="000000" w:themeColor="text1"/>
          <w:sz w:val="24"/>
          <w:szCs w:val="24"/>
        </w:rPr>
        <w:t>处</w:t>
      </w:r>
      <w:r w:rsidRPr="00092862">
        <w:rPr>
          <w:rFonts w:ascii="Times New Roman" w:eastAsia="宋体" w:hAnsi="Times New Roman" w:cs="Times New Roman"/>
          <w:color w:val="000000" w:themeColor="text1"/>
          <w:sz w:val="24"/>
          <w:szCs w:val="24"/>
        </w:rPr>
        <w:t>和</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套固废处理设备就能满足川</w:t>
      </w:r>
      <w:r w:rsidR="00C575B8"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地区单井泥浆不落地处理能力要求。本项目</w:t>
      </w:r>
      <w:r w:rsidR="00C575B8" w:rsidRPr="00092862">
        <w:rPr>
          <w:rFonts w:ascii="Times New Roman" w:eastAsia="宋体" w:hAnsi="Times New Roman" w:cs="Times New Roman"/>
          <w:color w:val="000000" w:themeColor="text1"/>
          <w:sz w:val="24"/>
          <w:szCs w:val="24"/>
        </w:rPr>
        <w:t>按照上述进行了设置</w:t>
      </w:r>
      <w:r w:rsidRPr="00092862">
        <w:rPr>
          <w:rFonts w:ascii="Times New Roman" w:eastAsia="宋体" w:hAnsi="Times New Roman" w:cs="Times New Roman"/>
          <w:color w:val="000000" w:themeColor="text1"/>
          <w:sz w:val="24"/>
          <w:szCs w:val="24"/>
        </w:rPr>
        <w:t>，同时本项目</w:t>
      </w:r>
      <w:r w:rsidR="009D587F" w:rsidRPr="00092862">
        <w:rPr>
          <w:rFonts w:ascii="Times New Roman" w:eastAsia="宋体" w:hAnsi="Times New Roman" w:cs="Times New Roman"/>
          <w:color w:val="000000" w:themeColor="text1"/>
          <w:sz w:val="24"/>
          <w:szCs w:val="24"/>
        </w:rPr>
        <w:t>单钻机依次</w:t>
      </w:r>
      <w:r w:rsidRPr="00092862">
        <w:rPr>
          <w:rFonts w:ascii="Times New Roman" w:eastAsia="宋体" w:hAnsi="Times New Roman" w:cs="Times New Roman"/>
          <w:color w:val="000000" w:themeColor="text1"/>
          <w:sz w:val="24"/>
          <w:szCs w:val="24"/>
        </w:rPr>
        <w:t>钻进，不同时钻进</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口井，故泥浆不落地装置处理能力满足本项目需求。因此，本项目采用随钻泥浆不落地工艺是可行的。</w:t>
      </w:r>
    </w:p>
    <w:bookmarkEnd w:id="347"/>
    <w:p w14:paraId="59EA840D" w14:textId="77777777" w:rsidR="00E8343D" w:rsidRPr="00092862" w:rsidRDefault="00E8343D" w:rsidP="004445DE">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4</w:t>
      </w:r>
      <w:r w:rsidRPr="00092862">
        <w:rPr>
          <w:rFonts w:ascii="Times New Roman" w:eastAsia="黑体" w:hAnsi="Times New Roman" w:cs="Times New Roman"/>
          <w:color w:val="000000" w:themeColor="text1"/>
          <w:sz w:val="24"/>
          <w:szCs w:val="24"/>
        </w:rPr>
        <w:t>、钻井废水、洗井废水、压裂返排液回用可行性分析</w:t>
      </w:r>
    </w:p>
    <w:p w14:paraId="14D8D7F1" w14:textId="77777777" w:rsidR="00E8343D" w:rsidRPr="00092862" w:rsidRDefault="00E8343D"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用于配置压裂液的液体经去除杂质、添加药剂等简单处理后即可重复使用，经泥浆不落地处理后的钻井废水、经固液分离后的洗井废水和压返液水质简单，悬浮物和油含量低，在配置压裂液前经简单预处理即符合压裂液配置要求。将钻井废水、洗井废水和压返液重复配置压裂液，已经属成熟工艺，在压裂施工中广泛使用。因此将钻井废水、洗井废水和压返液重复配置压裂液是可行的。</w:t>
      </w:r>
    </w:p>
    <w:p w14:paraId="5DE0FDA2" w14:textId="253264B8" w:rsidR="00E8343D" w:rsidRPr="00092862" w:rsidRDefault="00E8343D" w:rsidP="004445DE">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压裂返排液使用指标及回用要求如下：降阻水：固相含量</w:t>
      </w:r>
      <w:r w:rsidRPr="00092862">
        <w:rPr>
          <w:rFonts w:ascii="Times New Roman" w:eastAsia="宋体" w:hAnsi="Times New Roman" w:cs="Times New Roman"/>
          <w:color w:val="000000" w:themeColor="text1"/>
          <w:sz w:val="24"/>
          <w:szCs w:val="24"/>
        </w:rPr>
        <w:t>≤1000mg/L</w:t>
      </w:r>
      <w:r w:rsidRPr="00092862">
        <w:rPr>
          <w:rFonts w:ascii="Times New Roman" w:eastAsia="宋体" w:hAnsi="Times New Roman" w:cs="Times New Roman"/>
          <w:color w:val="000000" w:themeColor="text1"/>
          <w:sz w:val="24"/>
          <w:szCs w:val="24"/>
        </w:rPr>
        <w:t>、氯根含量</w:t>
      </w:r>
      <w:r w:rsidRPr="00092862">
        <w:rPr>
          <w:rFonts w:ascii="Times New Roman" w:eastAsia="宋体" w:hAnsi="Times New Roman" w:cs="Times New Roman"/>
          <w:color w:val="000000" w:themeColor="text1"/>
          <w:sz w:val="24"/>
          <w:szCs w:val="24"/>
        </w:rPr>
        <w:t>≤50000mg/L</w:t>
      </w:r>
      <w:r w:rsidRPr="00092862">
        <w:rPr>
          <w:rFonts w:ascii="Times New Roman" w:eastAsia="宋体" w:hAnsi="Times New Roman" w:cs="Times New Roman"/>
          <w:color w:val="000000" w:themeColor="text1"/>
          <w:sz w:val="24"/>
          <w:szCs w:val="24"/>
        </w:rPr>
        <w:t>、铁细菌</w:t>
      </w:r>
      <w:r w:rsidRPr="00092862">
        <w:rPr>
          <w:rFonts w:ascii="Times New Roman" w:eastAsia="宋体" w:hAnsi="Times New Roman" w:cs="Times New Roman"/>
          <w:color w:val="000000" w:themeColor="text1"/>
          <w:sz w:val="24"/>
          <w:szCs w:val="24"/>
        </w:rPr>
        <w:t>TGB≤2.5×10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个</w:t>
      </w:r>
      <w:r w:rsidRPr="00092862">
        <w:rPr>
          <w:rFonts w:ascii="Times New Roman" w:eastAsia="宋体" w:hAnsi="Times New Roman" w:cs="Times New Roman"/>
          <w:color w:val="000000" w:themeColor="text1"/>
          <w:sz w:val="24"/>
          <w:szCs w:val="24"/>
        </w:rPr>
        <w:t>/mg</w:t>
      </w:r>
      <w:r w:rsidRPr="00092862">
        <w:rPr>
          <w:rFonts w:ascii="Times New Roman" w:eastAsia="宋体" w:hAnsi="Times New Roman" w:cs="Times New Roman"/>
          <w:color w:val="000000" w:themeColor="text1"/>
          <w:sz w:val="24"/>
          <w:szCs w:val="24"/>
        </w:rPr>
        <w:t>、腐生菌</w:t>
      </w:r>
      <w:r w:rsidRPr="00092862">
        <w:rPr>
          <w:rFonts w:ascii="Times New Roman" w:eastAsia="宋体" w:hAnsi="Times New Roman" w:cs="Times New Roman"/>
          <w:color w:val="000000" w:themeColor="text1"/>
          <w:sz w:val="24"/>
          <w:szCs w:val="24"/>
        </w:rPr>
        <w:t>≤2.5×10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个</w:t>
      </w:r>
      <w:r w:rsidRPr="00092862">
        <w:rPr>
          <w:rFonts w:ascii="Times New Roman" w:eastAsia="宋体" w:hAnsi="Times New Roman" w:cs="Times New Roman"/>
          <w:color w:val="000000" w:themeColor="text1"/>
          <w:sz w:val="24"/>
          <w:szCs w:val="24"/>
        </w:rPr>
        <w:t>/mg</w:t>
      </w:r>
      <w:r w:rsidRPr="00092862">
        <w:rPr>
          <w:rFonts w:ascii="Times New Roman" w:eastAsia="宋体" w:hAnsi="Times New Roman" w:cs="Times New Roman"/>
          <w:color w:val="000000" w:themeColor="text1"/>
          <w:sz w:val="24"/>
          <w:szCs w:val="24"/>
        </w:rPr>
        <w:t>，瓜胶压裂返排液除上述指标外，增加以钙离子计算的总硬度</w:t>
      </w:r>
      <w:r w:rsidRPr="00092862">
        <w:rPr>
          <w:rFonts w:ascii="Times New Roman" w:eastAsia="宋体" w:hAnsi="Times New Roman" w:cs="Times New Roman"/>
          <w:color w:val="000000" w:themeColor="text1"/>
          <w:sz w:val="24"/>
          <w:szCs w:val="24"/>
        </w:rPr>
        <w:t>≤800mg/L</w:t>
      </w:r>
      <w:r w:rsidRPr="00092862">
        <w:rPr>
          <w:rFonts w:ascii="Times New Roman" w:eastAsia="宋体" w:hAnsi="Times New Roman" w:cs="Times New Roman"/>
          <w:color w:val="000000" w:themeColor="text1"/>
          <w:sz w:val="24"/>
          <w:szCs w:val="24"/>
        </w:rPr>
        <w:t>。本项目钻井废水、洗井废水和</w:t>
      </w:r>
      <w:r w:rsidR="00C575B8" w:rsidRPr="00092862">
        <w:rPr>
          <w:rFonts w:ascii="Times New Roman" w:eastAsia="宋体" w:hAnsi="Times New Roman" w:cs="Times New Roman"/>
          <w:color w:val="000000" w:themeColor="text1"/>
          <w:sz w:val="24"/>
          <w:szCs w:val="24"/>
        </w:rPr>
        <w:t>压裂返排</w:t>
      </w:r>
      <w:r w:rsidRPr="00092862">
        <w:rPr>
          <w:rFonts w:ascii="Times New Roman" w:eastAsia="宋体" w:hAnsi="Times New Roman" w:cs="Times New Roman"/>
          <w:color w:val="000000" w:themeColor="text1"/>
          <w:sz w:val="24"/>
          <w:szCs w:val="24"/>
        </w:rPr>
        <w:t>液中固相含量＜</w:t>
      </w:r>
      <w:r w:rsidRPr="00092862">
        <w:rPr>
          <w:rFonts w:ascii="Times New Roman" w:eastAsia="宋体" w:hAnsi="Times New Roman" w:cs="Times New Roman"/>
          <w:color w:val="000000" w:themeColor="text1"/>
          <w:sz w:val="24"/>
          <w:szCs w:val="24"/>
        </w:rPr>
        <w:t>500mg/L</w:t>
      </w:r>
      <w:r w:rsidRPr="00092862">
        <w:rPr>
          <w:rFonts w:ascii="Times New Roman" w:eastAsia="宋体" w:hAnsi="Times New Roman" w:cs="Times New Roman"/>
          <w:color w:val="000000" w:themeColor="text1"/>
          <w:sz w:val="24"/>
          <w:szCs w:val="24"/>
        </w:rPr>
        <w:t>、氯根含量</w:t>
      </w:r>
      <w:r w:rsidRPr="00092862">
        <w:rPr>
          <w:rFonts w:ascii="Times New Roman" w:eastAsia="宋体" w:hAnsi="Times New Roman" w:cs="Times New Roman"/>
          <w:color w:val="000000" w:themeColor="text1"/>
          <w:sz w:val="24"/>
          <w:szCs w:val="24"/>
        </w:rPr>
        <w:t>≤</w:t>
      </w:r>
      <w:r w:rsidR="004E588E"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000mg/L</w:t>
      </w:r>
      <w:r w:rsidRPr="00092862">
        <w:rPr>
          <w:rFonts w:ascii="Times New Roman" w:eastAsia="宋体" w:hAnsi="Times New Roman" w:cs="Times New Roman"/>
          <w:color w:val="000000" w:themeColor="text1"/>
          <w:sz w:val="24"/>
          <w:szCs w:val="24"/>
        </w:rPr>
        <w:t>、总硬度</w:t>
      </w:r>
      <w:r w:rsidRPr="00092862">
        <w:rPr>
          <w:rFonts w:ascii="Times New Roman" w:eastAsia="宋体" w:hAnsi="Times New Roman" w:cs="Times New Roman"/>
          <w:color w:val="000000" w:themeColor="text1"/>
          <w:sz w:val="24"/>
          <w:szCs w:val="24"/>
        </w:rPr>
        <w:t>≤800mg/L</w:t>
      </w:r>
      <w:r w:rsidRPr="00092862">
        <w:rPr>
          <w:rFonts w:ascii="Times New Roman" w:eastAsia="宋体" w:hAnsi="Times New Roman" w:cs="Times New Roman"/>
          <w:color w:val="000000" w:themeColor="text1"/>
          <w:sz w:val="24"/>
          <w:szCs w:val="24"/>
        </w:rPr>
        <w:t>，铁细菌</w:t>
      </w:r>
      <w:r w:rsidRPr="00092862">
        <w:rPr>
          <w:rFonts w:ascii="Times New Roman" w:eastAsia="宋体" w:hAnsi="Times New Roman" w:cs="Times New Roman"/>
          <w:color w:val="000000" w:themeColor="text1"/>
          <w:sz w:val="24"/>
          <w:szCs w:val="24"/>
        </w:rPr>
        <w:t>TGB</w:t>
      </w:r>
      <w:r w:rsidRPr="00092862">
        <w:rPr>
          <w:rFonts w:ascii="Times New Roman" w:eastAsia="宋体" w:hAnsi="Times New Roman" w:cs="Times New Roman"/>
          <w:color w:val="000000" w:themeColor="text1"/>
          <w:sz w:val="24"/>
          <w:szCs w:val="24"/>
        </w:rPr>
        <w:t>和腐生菌含量也符合要求，因此将钻井废水、洗井废水和压返液重复配置压裂液是可行的</w:t>
      </w:r>
      <w:r w:rsidR="004445DE" w:rsidRPr="00092862">
        <w:rPr>
          <w:rFonts w:ascii="Times New Roman" w:eastAsia="宋体" w:hAnsi="Times New Roman" w:cs="Times New Roman"/>
          <w:color w:val="000000" w:themeColor="text1"/>
          <w:sz w:val="24"/>
          <w:szCs w:val="24"/>
        </w:rPr>
        <w:t>。同时根据统计，同一口井可回用废水产生量远小于单井需要配置压裂返排液新水使用量，因此钻井、洗井废水量能全部用于区域内压裂液配置</w:t>
      </w:r>
      <w:r w:rsidRPr="00092862">
        <w:rPr>
          <w:rFonts w:ascii="Times New Roman" w:eastAsia="宋体" w:hAnsi="Times New Roman" w:cs="Times New Roman"/>
          <w:color w:val="000000" w:themeColor="text1"/>
          <w:sz w:val="24"/>
          <w:szCs w:val="24"/>
        </w:rPr>
        <w:t>。</w:t>
      </w:r>
      <w:r w:rsidR="004445DE" w:rsidRPr="00092862">
        <w:rPr>
          <w:rFonts w:ascii="Times New Roman" w:eastAsia="宋体" w:hAnsi="Times New Roman" w:cs="Times New Roman"/>
          <w:color w:val="000000" w:themeColor="text1"/>
          <w:sz w:val="24"/>
          <w:szCs w:val="24"/>
        </w:rPr>
        <w:t>将钻井废水、洗井废水和单井废弃的压返液返排</w:t>
      </w:r>
      <w:r w:rsidR="004445DE" w:rsidRPr="00092862">
        <w:rPr>
          <w:rFonts w:ascii="Times New Roman" w:eastAsia="宋体" w:hAnsi="Times New Roman" w:cs="Times New Roman"/>
          <w:color w:val="000000" w:themeColor="text1"/>
          <w:sz w:val="24"/>
          <w:szCs w:val="24"/>
        </w:rPr>
        <w:lastRenderedPageBreak/>
        <w:t>液重复配置压裂液，用于重复压裂，可以满足钻井作业废水的处置需求，符合《石油天然气开采业污染防治技术政策》中</w:t>
      </w:r>
      <w:r w:rsidR="004445DE" w:rsidRPr="00092862">
        <w:rPr>
          <w:rFonts w:ascii="Times New Roman" w:eastAsia="宋体" w:hAnsi="Times New Roman" w:cs="Times New Roman"/>
          <w:color w:val="000000" w:themeColor="text1"/>
          <w:sz w:val="24"/>
          <w:szCs w:val="24"/>
        </w:rPr>
        <w:t>“</w:t>
      </w:r>
      <w:r w:rsidR="004445DE" w:rsidRPr="00092862">
        <w:rPr>
          <w:rFonts w:ascii="Times New Roman" w:eastAsia="宋体" w:hAnsi="Times New Roman" w:cs="Times New Roman"/>
          <w:color w:val="000000" w:themeColor="text1"/>
          <w:sz w:val="24"/>
          <w:szCs w:val="24"/>
        </w:rPr>
        <w:t>在钻井和井下作业过程中，鼓励污油、污水进入生产流程循环利用</w:t>
      </w:r>
      <w:r w:rsidR="004445DE" w:rsidRPr="00092862">
        <w:rPr>
          <w:rFonts w:ascii="Times New Roman" w:eastAsia="宋体" w:hAnsi="Times New Roman" w:cs="Times New Roman"/>
          <w:color w:val="000000" w:themeColor="text1"/>
          <w:sz w:val="24"/>
          <w:szCs w:val="24"/>
        </w:rPr>
        <w:t>”</w:t>
      </w:r>
      <w:r w:rsidR="004445DE" w:rsidRPr="00092862">
        <w:rPr>
          <w:rFonts w:ascii="Times New Roman" w:eastAsia="宋体" w:hAnsi="Times New Roman" w:cs="Times New Roman"/>
          <w:color w:val="000000" w:themeColor="text1"/>
          <w:sz w:val="24"/>
          <w:szCs w:val="24"/>
        </w:rPr>
        <w:t>的要求，属清洁生产措施，已在钻井工程中得到广泛采用，技术较成熟，该措施技术有效、可行。</w:t>
      </w:r>
    </w:p>
    <w:p w14:paraId="1B6F1BD3" w14:textId="4C1D04B9" w:rsidR="00E8343D" w:rsidRPr="00092862" w:rsidRDefault="00E8343D" w:rsidP="004445DE">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5</w:t>
      </w:r>
      <w:r w:rsidRPr="00092862">
        <w:rPr>
          <w:rFonts w:ascii="Times New Roman" w:eastAsia="黑体" w:hAnsi="Times New Roman" w:cs="Times New Roman"/>
          <w:color w:val="000000" w:themeColor="text1"/>
          <w:sz w:val="24"/>
          <w:szCs w:val="24"/>
        </w:rPr>
        <w:t>、不可回用钻井废水、洗井废水、压裂返排液</w:t>
      </w:r>
      <w:r w:rsidR="004E30E4" w:rsidRPr="00092862">
        <w:rPr>
          <w:rFonts w:ascii="Times New Roman" w:eastAsia="黑体" w:hAnsi="Times New Roman" w:cs="Times New Roman"/>
          <w:color w:val="000000" w:themeColor="text1"/>
          <w:sz w:val="24"/>
          <w:szCs w:val="24"/>
        </w:rPr>
        <w:t>、气田水</w:t>
      </w:r>
      <w:r w:rsidRPr="00092862">
        <w:rPr>
          <w:rFonts w:ascii="Times New Roman" w:eastAsia="黑体" w:hAnsi="Times New Roman" w:cs="Times New Roman"/>
          <w:color w:val="000000" w:themeColor="text1"/>
          <w:sz w:val="24"/>
          <w:szCs w:val="24"/>
        </w:rPr>
        <w:t>转运预处理和回注可行性分析</w:t>
      </w:r>
    </w:p>
    <w:p w14:paraId="108B3DAE" w14:textId="2A5CDD65" w:rsidR="00E8343D" w:rsidRPr="00092862" w:rsidRDefault="00E8343D" w:rsidP="00E8343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不可回用钻井废水、洗井废水、压裂返排液</w:t>
      </w:r>
      <w:r w:rsidR="004E30E4" w:rsidRPr="00092862">
        <w:rPr>
          <w:rFonts w:ascii="Times New Roman" w:eastAsia="宋体" w:hAnsi="Times New Roman" w:cs="Times New Roman"/>
          <w:color w:val="000000" w:themeColor="text1"/>
          <w:sz w:val="24"/>
          <w:szCs w:val="24"/>
        </w:rPr>
        <w:t>、气田水</w:t>
      </w:r>
      <w:r w:rsidRPr="00092862">
        <w:rPr>
          <w:rFonts w:ascii="Times New Roman" w:eastAsia="宋体" w:hAnsi="Times New Roman" w:cs="Times New Roman"/>
          <w:color w:val="000000" w:themeColor="text1"/>
          <w:sz w:val="24"/>
          <w:szCs w:val="24"/>
        </w:rPr>
        <w:t>用</w:t>
      </w:r>
      <w:r w:rsidR="00CB1CA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color w:val="000000" w:themeColor="text1"/>
          <w:sz w:val="24"/>
          <w:szCs w:val="24"/>
        </w:rPr>
        <w:t>。</w:t>
      </w:r>
    </w:p>
    <w:p w14:paraId="5539EAF6" w14:textId="3DDDA2D2" w:rsidR="003E59EC" w:rsidRPr="00092862" w:rsidRDefault="004E30E4" w:rsidP="003E59E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）赵家坝产出水处理站依托可行性分析</w:t>
      </w:r>
    </w:p>
    <w:p w14:paraId="277B415D" w14:textId="16E11D9E" w:rsidR="003E59EC" w:rsidRPr="00092862" w:rsidRDefault="003E59EC" w:rsidP="003E59E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赵家坝产出水处理站位于天然气净化厂内，属于普光主体工程，赵家坝污水处理站设计处理能力</w:t>
      </w:r>
      <w:r w:rsidRPr="00092862">
        <w:rPr>
          <w:rFonts w:ascii="Times New Roman" w:eastAsia="宋体" w:hAnsi="Times New Roman" w:cs="Times New Roman"/>
          <w:bCs/>
          <w:color w:val="000000" w:themeColor="text1"/>
          <w:sz w:val="24"/>
          <w:szCs w:val="24"/>
        </w:rPr>
        <w:t>800m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，目前实际处理污水量为</w:t>
      </w:r>
      <w:r w:rsidRPr="00092862">
        <w:rPr>
          <w:rFonts w:ascii="Times New Roman" w:eastAsia="宋体" w:hAnsi="Times New Roman" w:cs="Times New Roman"/>
          <w:bCs/>
          <w:color w:val="000000" w:themeColor="text1"/>
          <w:sz w:val="24"/>
          <w:szCs w:val="24"/>
        </w:rPr>
        <w:t>350m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，处理后的污水进入普光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井回注，污水处理系统采用</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氧化除硫</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混凝沉降</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过滤</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工艺，出水水质能够满足《气田水回注方法》（</w:t>
      </w:r>
      <w:r w:rsidRPr="00092862">
        <w:rPr>
          <w:rFonts w:ascii="Times New Roman" w:eastAsia="宋体" w:hAnsi="Times New Roman" w:cs="Times New Roman"/>
          <w:bCs/>
          <w:color w:val="000000" w:themeColor="text1"/>
          <w:sz w:val="24"/>
          <w:szCs w:val="24"/>
        </w:rPr>
        <w:t>SY/T6596-2004</w:t>
      </w:r>
      <w:r w:rsidRPr="00092862">
        <w:rPr>
          <w:rFonts w:ascii="Times New Roman" w:eastAsia="宋体" w:hAnsi="Times New Roman" w:cs="Times New Roman"/>
          <w:bCs/>
          <w:color w:val="000000" w:themeColor="text1"/>
          <w:sz w:val="24"/>
          <w:szCs w:val="24"/>
        </w:rPr>
        <w:t>）表</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中标准。</w:t>
      </w:r>
    </w:p>
    <w:p w14:paraId="31627DC7" w14:textId="4142180E" w:rsidR="00B33A21" w:rsidRPr="00092862" w:rsidRDefault="003E59EC" w:rsidP="003E59E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赵家坝污水处理站目前剩余处理能力为</w:t>
      </w:r>
      <w:r w:rsidRPr="00092862">
        <w:rPr>
          <w:rFonts w:ascii="Times New Roman" w:eastAsia="宋体" w:hAnsi="Times New Roman" w:cs="Times New Roman"/>
          <w:bCs/>
          <w:color w:val="000000" w:themeColor="text1"/>
          <w:sz w:val="24"/>
          <w:szCs w:val="24"/>
        </w:rPr>
        <w:t>450m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，本项目未能回用的作业废水。根据产生量定期运输，根据周边钻井经验和采气期气田水产生情况，钻井期日运输量不超过</w:t>
      </w:r>
      <w:r w:rsidRPr="00092862">
        <w:rPr>
          <w:rFonts w:ascii="Times New Roman" w:eastAsia="宋体" w:hAnsi="Times New Roman" w:cs="Times New Roman"/>
          <w:bCs/>
          <w:color w:val="000000" w:themeColor="text1"/>
          <w:sz w:val="24"/>
          <w:szCs w:val="24"/>
        </w:rPr>
        <w:t>50m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，同时在建项目处理量按照</w:t>
      </w:r>
      <w:r w:rsidRPr="00092862">
        <w:rPr>
          <w:rFonts w:ascii="Times New Roman" w:eastAsia="宋体" w:hAnsi="Times New Roman" w:cs="Times New Roman"/>
          <w:bCs/>
          <w:color w:val="000000" w:themeColor="text1"/>
          <w:sz w:val="24"/>
          <w:szCs w:val="24"/>
        </w:rPr>
        <w:t>100m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计算，试采期该项目日产水量约为</w:t>
      </w:r>
      <w:r w:rsidR="004E30E4" w:rsidRPr="00092862">
        <w:rPr>
          <w:rFonts w:ascii="Times New Roman" w:eastAsia="宋体" w:hAnsi="Times New Roman" w:cs="Times New Roman"/>
          <w:bCs/>
          <w:color w:val="000000" w:themeColor="text1"/>
          <w:sz w:val="24"/>
          <w:szCs w:val="24"/>
        </w:rPr>
        <w:t>30</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004E30E4" w:rsidRPr="00092862">
        <w:rPr>
          <w:rFonts w:ascii="Times New Roman" w:eastAsia="宋体" w:hAnsi="Times New Roman" w:cs="Times New Roman"/>
          <w:bCs/>
          <w:color w:val="000000" w:themeColor="text1"/>
          <w:sz w:val="24"/>
          <w:szCs w:val="24"/>
        </w:rPr>
        <w:t>（最大量，将随着开采逐渐减少）</w:t>
      </w:r>
      <w:r w:rsidRPr="00092862">
        <w:rPr>
          <w:rFonts w:ascii="Times New Roman" w:eastAsia="宋体" w:hAnsi="Times New Roman" w:cs="Times New Roman"/>
          <w:bCs/>
          <w:color w:val="000000" w:themeColor="text1"/>
          <w:sz w:val="24"/>
          <w:szCs w:val="24"/>
        </w:rPr>
        <w:t>，故赵家坝污水处理站也完全有能力处理本项目钻井期未能回用的作业废水和试采期产生的气田水。</w:t>
      </w:r>
    </w:p>
    <w:p w14:paraId="4FC7910E" w14:textId="54F7D63A" w:rsidR="004E30E4" w:rsidRPr="00092862" w:rsidRDefault="004E30E4" w:rsidP="004E30E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井污水回注站</w:t>
      </w:r>
    </w:p>
    <w:p w14:paraId="3614A133" w14:textId="55A62ADF" w:rsidR="004E30E4" w:rsidRPr="00092862" w:rsidRDefault="004E30E4" w:rsidP="004E30E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本项目经赵家坝污水处理站处理后的作业废水经处理达标后均通过普光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井回注地层。普光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井位于达州市宣汉县普光镇，天然气净化厂东</w:t>
      </w:r>
      <w:r w:rsidRPr="00092862">
        <w:rPr>
          <w:rFonts w:ascii="Times New Roman" w:eastAsia="宋体" w:hAnsi="Times New Roman" w:cs="Times New Roman"/>
          <w:bCs/>
          <w:color w:val="000000" w:themeColor="text1"/>
          <w:sz w:val="24"/>
          <w:szCs w:val="24"/>
        </w:rPr>
        <w:t>1.6km</w:t>
      </w:r>
      <w:r w:rsidRPr="00092862">
        <w:rPr>
          <w:rFonts w:ascii="Times New Roman" w:eastAsia="宋体" w:hAnsi="Times New Roman" w:cs="Times New Roman"/>
          <w:bCs/>
          <w:color w:val="000000" w:themeColor="text1"/>
          <w:sz w:val="24"/>
          <w:szCs w:val="24"/>
        </w:rPr>
        <w:t>处，属于普光主体工程，普光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井主要接收赵家坝污水站来水，约为</w:t>
      </w:r>
      <w:r w:rsidRPr="00092862">
        <w:rPr>
          <w:rFonts w:ascii="Times New Roman" w:eastAsia="宋体" w:hAnsi="Times New Roman" w:cs="Times New Roman"/>
          <w:bCs/>
          <w:color w:val="000000" w:themeColor="text1"/>
          <w:sz w:val="24"/>
          <w:szCs w:val="24"/>
        </w:rPr>
        <w:t>350m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。该井站回注层位为</w:t>
      </w:r>
      <w:r w:rsidR="007A02DD">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（井段</w:t>
      </w:r>
      <w:r w:rsidRPr="00092862">
        <w:rPr>
          <w:rFonts w:ascii="Times New Roman" w:eastAsia="宋体" w:hAnsi="Times New Roman" w:cs="Times New Roman"/>
          <w:bCs/>
          <w:color w:val="000000" w:themeColor="text1"/>
          <w:sz w:val="24"/>
          <w:szCs w:val="24"/>
        </w:rPr>
        <w:t>5552m</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5716m</w:t>
      </w:r>
      <w:r w:rsidRPr="00092862">
        <w:rPr>
          <w:rFonts w:ascii="Times New Roman" w:eastAsia="宋体" w:hAnsi="Times New Roman" w:cs="Times New Roman"/>
          <w:bCs/>
          <w:color w:val="000000" w:themeColor="text1"/>
          <w:sz w:val="24"/>
          <w:szCs w:val="24"/>
        </w:rPr>
        <w:t>），回注水量储集空间为</w:t>
      </w:r>
      <w:r w:rsidRPr="00092862">
        <w:rPr>
          <w:rFonts w:ascii="Times New Roman" w:eastAsia="宋体" w:hAnsi="Times New Roman" w:cs="Times New Roman"/>
          <w:bCs/>
          <w:color w:val="000000" w:themeColor="text1"/>
          <w:sz w:val="24"/>
          <w:szCs w:val="24"/>
        </w:rPr>
        <w:t>132×10</w:t>
      </w:r>
      <w:r w:rsidRPr="00092862">
        <w:rPr>
          <w:rFonts w:ascii="Times New Roman" w:eastAsia="宋体" w:hAnsi="Times New Roman" w:cs="Times New Roman"/>
          <w:bCs/>
          <w:color w:val="000000" w:themeColor="text1"/>
          <w:sz w:val="24"/>
          <w:szCs w:val="24"/>
          <w:vertAlign w:val="superscript"/>
        </w:rPr>
        <w:t>4</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，井口高压管线设计压力为</w:t>
      </w:r>
      <w:r w:rsidRPr="00092862">
        <w:rPr>
          <w:rFonts w:ascii="Times New Roman" w:eastAsia="宋体" w:hAnsi="Times New Roman" w:cs="Times New Roman"/>
          <w:bCs/>
          <w:color w:val="000000" w:themeColor="text1"/>
          <w:sz w:val="24"/>
          <w:szCs w:val="24"/>
        </w:rPr>
        <w:t>35MPa</w:t>
      </w:r>
      <w:r w:rsidRPr="00092862">
        <w:rPr>
          <w:rFonts w:ascii="Times New Roman" w:eastAsia="宋体" w:hAnsi="Times New Roman" w:cs="Times New Roman"/>
          <w:bCs/>
          <w:color w:val="000000" w:themeColor="text1"/>
          <w:sz w:val="24"/>
          <w:szCs w:val="24"/>
        </w:rPr>
        <w:t>，目前回注压力</w:t>
      </w:r>
      <w:r w:rsidRPr="00092862">
        <w:rPr>
          <w:rFonts w:ascii="Times New Roman" w:eastAsia="宋体" w:hAnsi="Times New Roman" w:cs="Times New Roman"/>
          <w:bCs/>
          <w:color w:val="000000" w:themeColor="text1"/>
          <w:sz w:val="24"/>
          <w:szCs w:val="24"/>
        </w:rPr>
        <w:t>4.5MPa</w:t>
      </w:r>
      <w:r w:rsidRPr="00092862">
        <w:rPr>
          <w:rFonts w:ascii="Times New Roman" w:eastAsia="宋体" w:hAnsi="Times New Roman" w:cs="Times New Roman"/>
          <w:bCs/>
          <w:color w:val="000000" w:themeColor="text1"/>
          <w:sz w:val="24"/>
          <w:szCs w:val="24"/>
        </w:rPr>
        <w:t>，污水回注设计规模为</w:t>
      </w:r>
      <w:r w:rsidRPr="00092862">
        <w:rPr>
          <w:rFonts w:ascii="Times New Roman" w:eastAsia="宋体" w:hAnsi="Times New Roman" w:cs="Times New Roman"/>
          <w:bCs/>
          <w:color w:val="000000" w:themeColor="text1"/>
          <w:sz w:val="24"/>
          <w:szCs w:val="24"/>
        </w:rPr>
        <w:t>800m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，目前回注量为</w:t>
      </w:r>
      <w:r w:rsidRPr="00092862">
        <w:rPr>
          <w:rFonts w:ascii="Times New Roman" w:eastAsia="宋体" w:hAnsi="Times New Roman" w:cs="Times New Roman"/>
          <w:bCs/>
          <w:color w:val="000000" w:themeColor="text1"/>
          <w:sz w:val="24"/>
          <w:szCs w:val="24"/>
        </w:rPr>
        <w:t>350m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/d</w:t>
      </w:r>
      <w:r w:rsidRPr="00092862">
        <w:rPr>
          <w:rFonts w:ascii="Times New Roman" w:eastAsia="宋体" w:hAnsi="Times New Roman" w:cs="Times New Roman"/>
          <w:bCs/>
          <w:color w:val="000000" w:themeColor="text1"/>
          <w:sz w:val="24"/>
          <w:szCs w:val="24"/>
        </w:rPr>
        <w:t>。累计注水</w:t>
      </w:r>
      <w:r w:rsidRPr="00092862">
        <w:rPr>
          <w:rFonts w:ascii="Times New Roman" w:eastAsia="宋体" w:hAnsi="Times New Roman" w:cs="Times New Roman"/>
          <w:bCs/>
          <w:color w:val="000000" w:themeColor="text1"/>
          <w:sz w:val="24"/>
          <w:szCs w:val="24"/>
        </w:rPr>
        <w:t>65×10</w:t>
      </w:r>
      <w:r w:rsidRPr="00092862">
        <w:rPr>
          <w:rFonts w:ascii="Times New Roman" w:eastAsia="宋体" w:hAnsi="Times New Roman" w:cs="Times New Roman"/>
          <w:bCs/>
          <w:color w:val="000000" w:themeColor="text1"/>
          <w:sz w:val="24"/>
          <w:szCs w:val="24"/>
          <w:vertAlign w:val="superscript"/>
        </w:rPr>
        <w:t>4</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，剩余回注空间</w:t>
      </w:r>
      <w:r w:rsidRPr="00092862">
        <w:rPr>
          <w:rFonts w:ascii="Times New Roman" w:eastAsia="宋体" w:hAnsi="Times New Roman" w:cs="Times New Roman"/>
          <w:bCs/>
          <w:color w:val="000000" w:themeColor="text1"/>
          <w:sz w:val="24"/>
          <w:szCs w:val="24"/>
        </w:rPr>
        <w:t>67×10</w:t>
      </w:r>
      <w:r w:rsidRPr="00092862">
        <w:rPr>
          <w:rFonts w:ascii="Times New Roman" w:eastAsia="宋体" w:hAnsi="Times New Roman" w:cs="Times New Roman"/>
          <w:bCs/>
          <w:color w:val="000000" w:themeColor="text1"/>
          <w:sz w:val="24"/>
          <w:szCs w:val="24"/>
          <w:vertAlign w:val="superscript"/>
        </w:rPr>
        <w:t>4</w:t>
      </w:r>
      <w:r w:rsidRPr="00092862">
        <w:rPr>
          <w:rFonts w:ascii="Times New Roman" w:eastAsia="宋体" w:hAnsi="Times New Roman" w:cs="Times New Roman"/>
          <w:bCs/>
          <w:color w:val="000000" w:themeColor="text1"/>
          <w:sz w:val="24"/>
          <w:szCs w:val="24"/>
        </w:rPr>
        <w:t>m</w:t>
      </w:r>
      <w:r w:rsidRPr="00092862">
        <w:rPr>
          <w:rFonts w:ascii="Times New Roman" w:eastAsia="宋体" w:hAnsi="Times New Roman" w:cs="Times New Roman"/>
          <w:bCs/>
          <w:color w:val="000000" w:themeColor="text1"/>
          <w:sz w:val="24"/>
          <w:szCs w:val="24"/>
          <w:vertAlign w:val="superscript"/>
        </w:rPr>
        <w:t>3</w:t>
      </w:r>
      <w:r w:rsidRPr="00092862">
        <w:rPr>
          <w:rFonts w:ascii="Times New Roman" w:eastAsia="宋体" w:hAnsi="Times New Roman" w:cs="Times New Roman"/>
          <w:bCs/>
          <w:color w:val="000000" w:themeColor="text1"/>
          <w:sz w:val="24"/>
          <w:szCs w:val="24"/>
        </w:rPr>
        <w:t>。因此本项目钻井期间普光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井有相应的回注能力及空间。因此，本项目未能回用完的作业废水和气田水可由赵家坝污水处理站通过</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氧化除硫</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混凝沉降</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过滤</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工艺处理本项目废水，处理后能够满足《气田水回注方法》（</w:t>
      </w:r>
      <w:r w:rsidRPr="00092862">
        <w:rPr>
          <w:rFonts w:ascii="Times New Roman" w:eastAsia="宋体" w:hAnsi="Times New Roman" w:cs="Times New Roman"/>
          <w:bCs/>
          <w:color w:val="000000" w:themeColor="text1"/>
          <w:sz w:val="24"/>
          <w:szCs w:val="24"/>
        </w:rPr>
        <w:t>SY/T6596-2004</w:t>
      </w:r>
      <w:r w:rsidRPr="00092862">
        <w:rPr>
          <w:rFonts w:ascii="Times New Roman" w:eastAsia="宋体" w:hAnsi="Times New Roman" w:cs="Times New Roman"/>
          <w:bCs/>
          <w:color w:val="000000" w:themeColor="text1"/>
          <w:sz w:val="24"/>
          <w:szCs w:val="24"/>
        </w:rPr>
        <w:t>）表</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中标准，并且有足够处理能力，处理后能够通过普光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井回注地层，同时</w:t>
      </w:r>
      <w:r w:rsidRPr="00092862">
        <w:rPr>
          <w:rFonts w:ascii="Times New Roman" w:eastAsia="宋体" w:hAnsi="Times New Roman" w:cs="Times New Roman"/>
          <w:bCs/>
          <w:color w:val="000000" w:themeColor="text1"/>
          <w:sz w:val="24"/>
          <w:szCs w:val="24"/>
        </w:rPr>
        <w:lastRenderedPageBreak/>
        <w:t>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井已稳定运行</w:t>
      </w:r>
      <w:r w:rsidRPr="00092862">
        <w:rPr>
          <w:rFonts w:ascii="Times New Roman" w:eastAsia="宋体" w:hAnsi="Times New Roman" w:cs="Times New Roman"/>
          <w:bCs/>
          <w:color w:val="000000" w:themeColor="text1"/>
          <w:sz w:val="24"/>
          <w:szCs w:val="24"/>
        </w:rPr>
        <w:t>10</w:t>
      </w:r>
      <w:r w:rsidRPr="00092862">
        <w:rPr>
          <w:rFonts w:ascii="Times New Roman" w:eastAsia="宋体" w:hAnsi="Times New Roman" w:cs="Times New Roman"/>
          <w:bCs/>
          <w:color w:val="000000" w:themeColor="text1"/>
          <w:sz w:val="24"/>
          <w:szCs w:val="24"/>
        </w:rPr>
        <w:t>年，地下空间结构稳定，运行期间未检测到地下空间发生结构变化，剩余日回注量远大于本项目日气田水产生量，剩余储集空间较大，满足回注要求。</w:t>
      </w:r>
    </w:p>
    <w:p w14:paraId="7DF157DF" w14:textId="5C995A06" w:rsidR="00451387" w:rsidRPr="00092862" w:rsidRDefault="004E30E4" w:rsidP="004E30E4">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根据现场调查，</w:t>
      </w:r>
      <w:r w:rsidR="00520439" w:rsidRPr="00092862">
        <w:rPr>
          <w:rFonts w:ascii="Times New Roman" w:eastAsia="宋体" w:hAnsi="Times New Roman" w:cs="Times New Roman"/>
          <w:bCs/>
          <w:color w:val="000000" w:themeColor="text1"/>
          <w:sz w:val="24"/>
          <w:szCs w:val="24"/>
        </w:rPr>
        <w:t>老君</w:t>
      </w:r>
      <w:r w:rsidR="00520439" w:rsidRPr="00092862">
        <w:rPr>
          <w:rFonts w:ascii="Times New Roman" w:eastAsia="宋体" w:hAnsi="Times New Roman" w:cs="Times New Roman"/>
          <w:bCs/>
          <w:color w:val="000000" w:themeColor="text1"/>
          <w:sz w:val="24"/>
          <w:szCs w:val="24"/>
        </w:rPr>
        <w:t>701</w:t>
      </w:r>
      <w:r w:rsidRPr="00092862">
        <w:rPr>
          <w:rFonts w:ascii="Times New Roman" w:eastAsia="宋体" w:hAnsi="Times New Roman" w:cs="Times New Roman"/>
          <w:bCs/>
          <w:color w:val="000000" w:themeColor="text1"/>
          <w:sz w:val="24"/>
          <w:szCs w:val="24"/>
        </w:rPr>
        <w:t>集气站内三口侧井建成后所采天然气脱水分离产生的气田水暂存于火炬分液管中，然后通过密闭罐车拉运至赵家坝污水处理站达到《气田水回注方法》（</w:t>
      </w:r>
      <w:r w:rsidRPr="00092862">
        <w:rPr>
          <w:rFonts w:ascii="Times New Roman" w:eastAsia="宋体" w:hAnsi="Times New Roman" w:cs="Times New Roman"/>
          <w:bCs/>
          <w:color w:val="000000" w:themeColor="text1"/>
          <w:sz w:val="24"/>
          <w:szCs w:val="24"/>
        </w:rPr>
        <w:t>SY/T 6596-2016</w:t>
      </w:r>
      <w:r w:rsidRPr="00092862">
        <w:rPr>
          <w:rFonts w:ascii="Times New Roman" w:eastAsia="宋体" w:hAnsi="Times New Roman" w:cs="Times New Roman"/>
          <w:bCs/>
          <w:color w:val="000000" w:themeColor="text1"/>
          <w:sz w:val="24"/>
          <w:szCs w:val="24"/>
        </w:rPr>
        <w:t>）中注入水基本要求后管输至普光</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井回注站回注处理，不外排，能得到妥善处置，因此本气田水处置模式有效可行</w:t>
      </w:r>
      <w:r w:rsidR="00451387" w:rsidRPr="00092862">
        <w:rPr>
          <w:rFonts w:ascii="Times New Roman" w:eastAsia="宋体" w:hAnsi="Times New Roman" w:cs="Times New Roman"/>
          <w:bCs/>
          <w:color w:val="000000" w:themeColor="text1"/>
          <w:sz w:val="24"/>
          <w:szCs w:val="24"/>
        </w:rPr>
        <w:t>。</w:t>
      </w:r>
    </w:p>
    <w:p w14:paraId="6DB51111" w14:textId="02AA1685" w:rsidR="00E8343D" w:rsidRPr="00092862" w:rsidRDefault="00E8343D" w:rsidP="00C96853">
      <w:pPr>
        <w:adjustRightInd w:val="0"/>
        <w:snapToGrid w:val="0"/>
        <w:spacing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6</w:t>
      </w:r>
      <w:r w:rsidRPr="00092862">
        <w:rPr>
          <w:rFonts w:ascii="Times New Roman" w:eastAsia="黑体" w:hAnsi="Times New Roman" w:cs="Times New Roman"/>
          <w:color w:val="000000" w:themeColor="text1"/>
          <w:sz w:val="24"/>
          <w:szCs w:val="24"/>
        </w:rPr>
        <w:t>、施工期生活污水</w:t>
      </w:r>
      <w:r w:rsidR="00166BDB" w:rsidRPr="00092862">
        <w:rPr>
          <w:rFonts w:ascii="Times New Roman" w:eastAsia="黑体" w:hAnsi="Times New Roman" w:cs="Times New Roman"/>
          <w:color w:val="000000" w:themeColor="text1"/>
          <w:sz w:val="24"/>
          <w:szCs w:val="24"/>
        </w:rPr>
        <w:t>处置</w:t>
      </w:r>
      <w:r w:rsidRPr="00092862">
        <w:rPr>
          <w:rFonts w:ascii="Times New Roman" w:eastAsia="黑体" w:hAnsi="Times New Roman" w:cs="Times New Roman"/>
          <w:color w:val="000000" w:themeColor="text1"/>
          <w:sz w:val="24"/>
          <w:szCs w:val="24"/>
        </w:rPr>
        <w:t>的可行性分析</w:t>
      </w:r>
    </w:p>
    <w:p w14:paraId="565C99D5" w14:textId="37532250" w:rsidR="00C66CCB" w:rsidRPr="00092862" w:rsidRDefault="00E8343D" w:rsidP="00E8343D">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color w:val="000000" w:themeColor="text1"/>
          <w:sz w:val="24"/>
          <w:szCs w:val="24"/>
        </w:rPr>
        <w:t>项目位于</w:t>
      </w:r>
      <w:r w:rsidR="004E588E" w:rsidRPr="00092862">
        <w:rPr>
          <w:rFonts w:ascii="Times New Roman" w:eastAsia="宋体" w:hAnsi="Times New Roman" w:cs="Times New Roman"/>
          <w:color w:val="000000" w:themeColor="text1"/>
          <w:sz w:val="24"/>
          <w:szCs w:val="24"/>
        </w:rPr>
        <w:t>宣汉县</w:t>
      </w:r>
      <w:r w:rsidRPr="00092862">
        <w:rPr>
          <w:rFonts w:ascii="Times New Roman" w:eastAsia="宋体" w:hAnsi="Times New Roman" w:cs="Times New Roman"/>
          <w:color w:val="000000" w:themeColor="text1"/>
          <w:sz w:val="24"/>
          <w:szCs w:val="24"/>
        </w:rPr>
        <w:t>农村地区，项目钻前工程</w:t>
      </w:r>
      <w:r w:rsidRPr="00092862">
        <w:rPr>
          <w:rFonts w:ascii="Times New Roman" w:eastAsia="宋体" w:hAnsi="Times New Roman" w:cs="Times New Roman"/>
          <w:bCs/>
          <w:color w:val="000000" w:themeColor="text1"/>
          <w:sz w:val="24"/>
          <w:szCs w:val="24"/>
        </w:rPr>
        <w:t>施工人员为当地居民，其生活污水由自家厕所收集后农用，不会增加当地厕所及</w:t>
      </w:r>
      <w:r w:rsidR="004E588E" w:rsidRPr="00092862">
        <w:rPr>
          <w:rFonts w:ascii="Times New Roman" w:eastAsia="宋体" w:hAnsi="Times New Roman" w:cs="Times New Roman"/>
          <w:bCs/>
          <w:color w:val="000000" w:themeColor="text1"/>
          <w:sz w:val="24"/>
          <w:szCs w:val="24"/>
        </w:rPr>
        <w:t>林地等</w:t>
      </w:r>
      <w:r w:rsidRPr="00092862">
        <w:rPr>
          <w:rFonts w:ascii="Times New Roman" w:eastAsia="宋体" w:hAnsi="Times New Roman" w:cs="Times New Roman"/>
          <w:bCs/>
          <w:color w:val="000000" w:themeColor="text1"/>
          <w:sz w:val="24"/>
          <w:szCs w:val="24"/>
        </w:rPr>
        <w:t>的处理负荷。钻井期井队人员生活污水</w:t>
      </w:r>
      <w:r w:rsidR="00271DF7" w:rsidRPr="00092862">
        <w:rPr>
          <w:rFonts w:ascii="Times New Roman" w:eastAsia="宋体" w:hAnsi="Times New Roman" w:cs="Times New Roman"/>
          <w:color w:val="000000" w:themeColor="text1"/>
          <w:sz w:val="24"/>
        </w:rPr>
        <w:t>经生态厕所收集后定期由密闭罐车拉运至周边生活污水处理厂处理</w:t>
      </w:r>
      <w:r w:rsidR="004E588E" w:rsidRPr="00092862">
        <w:rPr>
          <w:rFonts w:ascii="Times New Roman" w:eastAsia="宋体" w:hAnsi="Times New Roman" w:cs="Times New Roman"/>
          <w:bCs/>
          <w:color w:val="000000" w:themeColor="text1"/>
          <w:sz w:val="24"/>
          <w:szCs w:val="24"/>
        </w:rPr>
        <w:t>，</w:t>
      </w:r>
      <w:r w:rsidR="00166BDB" w:rsidRPr="00092862">
        <w:rPr>
          <w:rFonts w:ascii="Times New Roman" w:eastAsia="宋体" w:hAnsi="Times New Roman" w:cs="Times New Roman"/>
          <w:bCs/>
          <w:color w:val="000000" w:themeColor="text1"/>
          <w:sz w:val="24"/>
          <w:szCs w:val="24"/>
        </w:rPr>
        <w:t>本项目所在地周边有较多的生活污水处理厂，本项目生活污水产生量较小，且主要施工人员均为该区域已有工作人员，所产生的少量生活污水用密闭罐车拉运至周边有富余处理能力的生活污水处理厂处理有效可行</w:t>
      </w:r>
      <w:r w:rsidRPr="00092862">
        <w:rPr>
          <w:rFonts w:ascii="Times New Roman" w:eastAsia="宋体" w:hAnsi="Times New Roman" w:cs="Times New Roman"/>
          <w:bCs/>
          <w:color w:val="000000" w:themeColor="text1"/>
          <w:sz w:val="24"/>
          <w:szCs w:val="24"/>
        </w:rPr>
        <w:t>。</w:t>
      </w:r>
    </w:p>
    <w:p w14:paraId="39866682" w14:textId="35D3CC5D" w:rsidR="00BD036A" w:rsidRPr="00092862" w:rsidRDefault="00BD036A" w:rsidP="00BD036A">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综上所述，本项目施工期各类废水处置措施在川</w:t>
      </w:r>
      <w:r w:rsidR="00451387"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地区钻采工程中已实施多年，具有较好的借鉴经验。</w:t>
      </w:r>
      <w:r w:rsidR="00451387" w:rsidRPr="00092862">
        <w:rPr>
          <w:rFonts w:ascii="Times New Roman" w:eastAsia="宋体" w:hAnsi="Times New Roman" w:cs="Times New Roman"/>
          <w:color w:val="000000" w:themeColor="text1"/>
          <w:sz w:val="24"/>
          <w:szCs w:val="24"/>
        </w:rPr>
        <w:t>项目附近的</w:t>
      </w:r>
      <w:r w:rsidRPr="00092862">
        <w:rPr>
          <w:rFonts w:ascii="Times New Roman" w:eastAsia="宋体" w:hAnsi="Times New Roman" w:cs="Times New Roman"/>
          <w:color w:val="000000" w:themeColor="text1"/>
          <w:sz w:val="24"/>
          <w:szCs w:val="24"/>
        </w:rPr>
        <w:t>中石化</w:t>
      </w:r>
      <w:r w:rsidR="00466A40" w:rsidRPr="00092862">
        <w:rPr>
          <w:rFonts w:ascii="Times New Roman" w:eastAsia="宋体" w:hAnsi="Times New Roman" w:cs="Times New Roman"/>
          <w:color w:val="000000" w:themeColor="text1"/>
          <w:sz w:val="24"/>
          <w:szCs w:val="24"/>
        </w:rPr>
        <w:t>川</w:t>
      </w:r>
      <w:r w:rsidR="00451387"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地区钻采工程采用相同污水处理措施，到目前为止，</w:t>
      </w:r>
      <w:r w:rsidR="00451387" w:rsidRPr="00092862">
        <w:rPr>
          <w:rFonts w:ascii="Times New Roman" w:eastAsia="宋体" w:hAnsi="Times New Roman" w:cs="Times New Roman"/>
          <w:color w:val="000000" w:themeColor="text1"/>
          <w:sz w:val="24"/>
          <w:szCs w:val="24"/>
        </w:rPr>
        <w:t>中原油田普光分公司</w:t>
      </w:r>
      <w:r w:rsidRPr="00092862">
        <w:rPr>
          <w:rFonts w:ascii="Times New Roman" w:eastAsia="宋体" w:hAnsi="Times New Roman" w:cs="Times New Roman"/>
          <w:color w:val="000000" w:themeColor="text1"/>
          <w:sz w:val="24"/>
          <w:szCs w:val="24"/>
        </w:rPr>
        <w:t>未收到钻井废水、洗井废水、压裂返排液等乱排乱放的环保投诉。因此，本项目施工期废水治理措施从经济和环保角度分析是合理、可行的。</w:t>
      </w:r>
    </w:p>
    <w:p w14:paraId="741752CE" w14:textId="6CD9FC20" w:rsidR="00DC446C" w:rsidRPr="00092862" w:rsidRDefault="00704F23" w:rsidP="00BD036A">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48" w:name="_Toc120173213"/>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.1.</w:t>
      </w:r>
      <w:r w:rsidR="00BD036A" w:rsidRPr="00092862">
        <w:rPr>
          <w:rFonts w:ascii="Times New Roman" w:eastAsia="黑体" w:hAnsi="Times New Roman"/>
          <w:b w:val="0"/>
          <w:color w:val="000000" w:themeColor="text1"/>
          <w:sz w:val="24"/>
          <w:szCs w:val="24"/>
          <w:lang w:eastAsia="zh-CN"/>
        </w:rPr>
        <w:t>4</w:t>
      </w:r>
      <w:r w:rsidR="003B1968" w:rsidRPr="00092862">
        <w:rPr>
          <w:rFonts w:ascii="Times New Roman" w:eastAsia="黑体" w:hAnsi="Times New Roman"/>
          <w:b w:val="0"/>
          <w:color w:val="000000" w:themeColor="text1"/>
          <w:sz w:val="24"/>
          <w:szCs w:val="24"/>
          <w:lang w:eastAsia="zh-CN"/>
        </w:rPr>
        <w:t>地下水防治措施及可行性分析</w:t>
      </w:r>
      <w:bookmarkEnd w:id="348"/>
    </w:p>
    <w:p w14:paraId="3DD090E9" w14:textId="77777777" w:rsidR="00DC446C" w:rsidRPr="00092862" w:rsidRDefault="00BD036A" w:rsidP="00BD036A">
      <w:pPr>
        <w:adjustRightInd w:val="0"/>
        <w:snapToGrid w:val="0"/>
        <w:spacing w:line="360" w:lineRule="auto"/>
        <w:ind w:firstLineChars="200" w:firstLine="480"/>
        <w:rPr>
          <w:rFonts w:ascii="Times New Roman" w:eastAsia="黑体" w:hAnsi="Times New Roman" w:cs="Times New Roman"/>
          <w:color w:val="000000" w:themeColor="text1"/>
          <w:sz w:val="24"/>
          <w:szCs w:val="24"/>
        </w:rPr>
      </w:pPr>
      <w:bookmarkStart w:id="349" w:name="_Toc14702842"/>
      <w:bookmarkStart w:id="350" w:name="_Toc1224"/>
      <w:r w:rsidRPr="00092862">
        <w:rPr>
          <w:rFonts w:ascii="Times New Roman" w:eastAsia="黑体" w:hAnsi="Times New Roman" w:cs="Times New Roman"/>
          <w:color w:val="000000" w:themeColor="text1"/>
          <w:sz w:val="24"/>
          <w:szCs w:val="24"/>
        </w:rPr>
        <w:t>1</w:t>
      </w:r>
      <w:r w:rsidRPr="00092862">
        <w:rPr>
          <w:rFonts w:ascii="Times New Roman" w:eastAsia="黑体" w:hAnsi="Times New Roman" w:cs="Times New Roman"/>
          <w:color w:val="000000" w:themeColor="text1"/>
          <w:sz w:val="24"/>
          <w:szCs w:val="24"/>
        </w:rPr>
        <w:t>、</w:t>
      </w:r>
      <w:r w:rsidR="003B1968" w:rsidRPr="00092862">
        <w:rPr>
          <w:rFonts w:ascii="Times New Roman" w:eastAsia="黑体" w:hAnsi="Times New Roman" w:cs="Times New Roman"/>
          <w:color w:val="000000" w:themeColor="text1"/>
          <w:sz w:val="24"/>
          <w:szCs w:val="24"/>
        </w:rPr>
        <w:t>钻井工艺选择</w:t>
      </w:r>
      <w:bookmarkEnd w:id="349"/>
      <w:bookmarkEnd w:id="350"/>
    </w:p>
    <w:p w14:paraId="05542007" w14:textId="79C37DE7" w:rsidR="00DC446C" w:rsidRPr="00092862" w:rsidRDefault="003B1968" w:rsidP="003D2EE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项目钻井选用全井段套管保护</w:t>
      </w:r>
      <w:r w:rsidR="00BD036A"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水泥固井工艺</w:t>
      </w:r>
      <w:r w:rsidR="00EB1D72" w:rsidRPr="00092862">
        <w:rPr>
          <w:rFonts w:ascii="Times New Roman" w:eastAsia="宋体" w:hAnsi="Times New Roman" w:cs="Times New Roman"/>
          <w:color w:val="000000" w:themeColor="text1"/>
          <w:sz w:val="24"/>
          <w:szCs w:val="24"/>
        </w:rPr>
        <w:t>。本项目仅涉及深层的</w:t>
      </w:r>
      <w:r w:rsidR="0019648E" w:rsidRPr="00092862">
        <w:rPr>
          <w:rFonts w:ascii="Times New Roman" w:eastAsia="宋体" w:hAnsi="Times New Roman" w:cs="Times New Roman"/>
          <w:color w:val="000000" w:themeColor="text1"/>
          <w:sz w:val="24"/>
          <w:szCs w:val="24"/>
        </w:rPr>
        <w:t>钻井</w:t>
      </w:r>
      <w:r w:rsidR="00EB1D72" w:rsidRPr="00092862">
        <w:rPr>
          <w:rFonts w:ascii="Times New Roman" w:eastAsia="宋体" w:hAnsi="Times New Roman" w:cs="Times New Roman"/>
          <w:color w:val="000000" w:themeColor="text1"/>
          <w:sz w:val="24"/>
          <w:szCs w:val="24"/>
        </w:rPr>
        <w:t>，开窗点</w:t>
      </w:r>
      <w:r w:rsidR="009D587F" w:rsidRPr="00092862">
        <w:rPr>
          <w:rFonts w:ascii="Times New Roman" w:eastAsia="宋体" w:hAnsi="Times New Roman" w:cs="Times New Roman"/>
          <w:color w:val="000000" w:themeColor="text1"/>
          <w:sz w:val="24"/>
          <w:szCs w:val="24"/>
        </w:rPr>
        <w:t>深度大于</w:t>
      </w:r>
      <w:r w:rsidR="009D587F" w:rsidRPr="00092862">
        <w:rPr>
          <w:rFonts w:ascii="Times New Roman" w:eastAsia="宋体" w:hAnsi="Times New Roman" w:cs="Times New Roman"/>
          <w:color w:val="000000" w:themeColor="text1"/>
          <w:sz w:val="24"/>
          <w:szCs w:val="24"/>
        </w:rPr>
        <w:t>40</w:t>
      </w:r>
      <w:r w:rsidR="00EB1D72" w:rsidRPr="00092862">
        <w:rPr>
          <w:rFonts w:ascii="Times New Roman" w:eastAsia="宋体" w:hAnsi="Times New Roman" w:cs="Times New Roman"/>
          <w:color w:val="000000" w:themeColor="text1"/>
          <w:sz w:val="24"/>
          <w:szCs w:val="24"/>
        </w:rPr>
        <w:t>00m</w:t>
      </w:r>
      <w:r w:rsidR="00EB1D72" w:rsidRPr="00092862">
        <w:rPr>
          <w:rFonts w:ascii="Times New Roman" w:eastAsia="宋体" w:hAnsi="Times New Roman" w:cs="Times New Roman"/>
          <w:color w:val="000000" w:themeColor="text1"/>
          <w:sz w:val="24"/>
          <w:szCs w:val="24"/>
        </w:rPr>
        <w:t>，</w:t>
      </w:r>
      <w:r w:rsidR="009D587F" w:rsidRPr="00092862">
        <w:rPr>
          <w:rFonts w:ascii="Times New Roman" w:eastAsia="宋体" w:hAnsi="Times New Roman" w:cs="Times New Roman"/>
          <w:color w:val="000000" w:themeColor="text1"/>
          <w:sz w:val="24"/>
          <w:szCs w:val="24"/>
        </w:rPr>
        <w:t>总进尺</w:t>
      </w:r>
      <w:r w:rsidR="007A02DD">
        <w:rPr>
          <w:rFonts w:ascii="Times New Roman" w:eastAsia="宋体" w:hAnsi="Times New Roman" w:cs="Times New Roman"/>
          <w:color w:val="000000" w:themeColor="text1"/>
          <w:sz w:val="24"/>
          <w:szCs w:val="24"/>
        </w:rPr>
        <w:t>****</w:t>
      </w:r>
      <w:r w:rsidR="00EB1D72"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rPr>
        <w:t>。</w:t>
      </w:r>
      <w:r w:rsidR="00EB1D72" w:rsidRPr="00092862">
        <w:rPr>
          <w:rFonts w:ascii="Times New Roman" w:eastAsia="宋体" w:hAnsi="Times New Roman" w:cs="Times New Roman"/>
          <w:color w:val="000000" w:themeColor="text1"/>
          <w:sz w:val="24"/>
          <w:szCs w:val="24"/>
        </w:rPr>
        <w:t>钻井时选用</w:t>
      </w:r>
      <w:r w:rsidRPr="00092862">
        <w:rPr>
          <w:rFonts w:ascii="Times New Roman" w:eastAsia="宋体" w:hAnsi="Times New Roman" w:cs="Times New Roman"/>
          <w:color w:val="000000" w:themeColor="text1"/>
          <w:sz w:val="24"/>
          <w:szCs w:val="24"/>
        </w:rPr>
        <w:t>较清洁的水基泥浆，</w:t>
      </w:r>
      <w:r w:rsidR="00FA43E5" w:rsidRPr="00092862">
        <w:rPr>
          <w:rFonts w:ascii="Times New Roman" w:eastAsia="宋体" w:hAnsi="Times New Roman" w:cs="Times New Roman"/>
          <w:color w:val="000000" w:themeColor="text1"/>
          <w:sz w:val="24"/>
          <w:szCs w:val="24"/>
        </w:rPr>
        <w:t>同时</w:t>
      </w:r>
      <w:r w:rsidRPr="00092862">
        <w:rPr>
          <w:rFonts w:ascii="Times New Roman" w:eastAsia="宋体" w:hAnsi="Times New Roman" w:cs="Times New Roman"/>
          <w:color w:val="000000" w:themeColor="text1"/>
          <w:sz w:val="24"/>
          <w:szCs w:val="24"/>
        </w:rPr>
        <w:t>采用套管和水泥固井防止地下水污染，并在设计中做好及时堵漏准备，</w:t>
      </w:r>
      <w:r w:rsidR="00FA43E5" w:rsidRPr="00092862">
        <w:rPr>
          <w:rFonts w:ascii="Times New Roman" w:eastAsia="宋体" w:hAnsi="Times New Roman" w:cs="Times New Roman"/>
          <w:color w:val="000000" w:themeColor="text1"/>
          <w:sz w:val="24"/>
          <w:szCs w:val="24"/>
        </w:rPr>
        <w:t>水基钻井液难以返回地面污染浅层含水层，能有效</w:t>
      </w:r>
      <w:r w:rsidRPr="00092862">
        <w:rPr>
          <w:rFonts w:ascii="Times New Roman" w:eastAsia="宋体" w:hAnsi="Times New Roman" w:cs="Times New Roman"/>
          <w:color w:val="000000" w:themeColor="text1"/>
          <w:sz w:val="24"/>
          <w:szCs w:val="24"/>
        </w:rPr>
        <w:t>防止泥浆流失进入地下水。上述工艺广泛应用于川渝地区气田开发，能有效保护井下地质环境，能进一步减少对浅层地下水环境的影响。</w:t>
      </w:r>
    </w:p>
    <w:p w14:paraId="075D56CE" w14:textId="77777777" w:rsidR="00DC446C" w:rsidRPr="00092862" w:rsidRDefault="00FA43E5" w:rsidP="00FA43E5">
      <w:pPr>
        <w:adjustRightInd w:val="0"/>
        <w:snapToGrid w:val="0"/>
        <w:spacing w:line="360" w:lineRule="auto"/>
        <w:ind w:firstLineChars="200" w:firstLine="480"/>
        <w:rPr>
          <w:rFonts w:ascii="Times New Roman" w:eastAsia="黑体" w:hAnsi="Times New Roman" w:cs="Times New Roman"/>
          <w:color w:val="000000" w:themeColor="text1"/>
          <w:sz w:val="24"/>
          <w:szCs w:val="24"/>
        </w:rPr>
      </w:pPr>
      <w:bookmarkStart w:id="351" w:name="_Toc14702843"/>
      <w:bookmarkStart w:id="352" w:name="_Toc3215"/>
      <w:r w:rsidRPr="00092862">
        <w:rPr>
          <w:rFonts w:ascii="Times New Roman" w:eastAsia="黑体" w:hAnsi="Times New Roman" w:cs="Times New Roman"/>
          <w:color w:val="000000" w:themeColor="text1"/>
          <w:sz w:val="24"/>
          <w:szCs w:val="24"/>
        </w:rPr>
        <w:t>2</w:t>
      </w:r>
      <w:r w:rsidRPr="00092862">
        <w:rPr>
          <w:rFonts w:ascii="Times New Roman" w:eastAsia="黑体" w:hAnsi="Times New Roman" w:cs="Times New Roman"/>
          <w:color w:val="000000" w:themeColor="text1"/>
          <w:sz w:val="24"/>
          <w:szCs w:val="24"/>
        </w:rPr>
        <w:t>、</w:t>
      </w:r>
      <w:r w:rsidR="003B1968" w:rsidRPr="00092862">
        <w:rPr>
          <w:rFonts w:ascii="Times New Roman" w:eastAsia="黑体" w:hAnsi="Times New Roman" w:cs="Times New Roman"/>
          <w:color w:val="000000" w:themeColor="text1"/>
          <w:sz w:val="24"/>
          <w:szCs w:val="24"/>
        </w:rPr>
        <w:t>钻井过程其他防护措施</w:t>
      </w:r>
      <w:bookmarkEnd w:id="351"/>
      <w:bookmarkEnd w:id="352"/>
    </w:p>
    <w:p w14:paraId="22D7E166" w14:textId="33C4DBA4"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）项目在施工建设前，应充分研究地质设计资料和钻井设计资料等，进</w:t>
      </w:r>
      <w:r w:rsidRPr="00092862">
        <w:rPr>
          <w:rFonts w:ascii="Times New Roman" w:eastAsia="宋体" w:hAnsi="Times New Roman" w:cs="Times New Roman"/>
          <w:color w:val="000000" w:themeColor="text1"/>
          <w:sz w:val="24"/>
          <w:szCs w:val="24"/>
        </w:rPr>
        <w:lastRenderedPageBreak/>
        <w:t>行充分的地下水</w:t>
      </w:r>
      <w:r w:rsidR="00EB1D72" w:rsidRPr="00092862">
        <w:rPr>
          <w:rFonts w:ascii="Times New Roman" w:eastAsia="宋体" w:hAnsi="Times New Roman" w:cs="Times New Roman"/>
          <w:color w:val="000000" w:themeColor="text1"/>
          <w:sz w:val="24"/>
          <w:szCs w:val="24"/>
        </w:rPr>
        <w:t>水</w:t>
      </w:r>
      <w:r w:rsidRPr="00092862">
        <w:rPr>
          <w:rFonts w:ascii="Times New Roman" w:eastAsia="宋体" w:hAnsi="Times New Roman" w:cs="Times New Roman"/>
          <w:color w:val="000000" w:themeColor="text1"/>
          <w:sz w:val="24"/>
          <w:szCs w:val="24"/>
        </w:rPr>
        <w:t>文地质勘察工作，在了解项目所在地地下水分布、埋藏深度及岩溶发育等基本情况并在此基础上优化钻井施工工艺、泥浆体系等。在钻井、压裂过程中应加强监控，防止泥浆、压裂液的扩散污染等。</w:t>
      </w:r>
    </w:p>
    <w:p w14:paraId="4EEEC13F" w14:textId="37BAA3D4"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）每开钻井结束后的固井作业可有效封隔底层和套管之间的环空，防止污染地下水。固井作业应提高固井质量，有效防止因为井漏事故造成的地下水环境污染。每开</w:t>
      </w:r>
      <w:r w:rsidR="00FE5317" w:rsidRPr="00092862">
        <w:rPr>
          <w:rFonts w:ascii="Times New Roman" w:eastAsia="宋体" w:hAnsi="Times New Roman" w:cs="Times New Roman"/>
          <w:color w:val="000000" w:themeColor="text1"/>
          <w:sz w:val="24"/>
          <w:szCs w:val="24"/>
        </w:rPr>
        <w:t>钻井</w:t>
      </w:r>
      <w:r w:rsidRPr="00092862">
        <w:rPr>
          <w:rFonts w:ascii="Times New Roman" w:eastAsia="宋体" w:hAnsi="Times New Roman" w:cs="Times New Roman"/>
          <w:color w:val="000000" w:themeColor="text1"/>
          <w:sz w:val="24"/>
          <w:szCs w:val="24"/>
        </w:rPr>
        <w:t>结束后下套管并在套管及地层间注入水泥浆进行固井，待固井质量达标后，再进行下一开钻井作业</w:t>
      </w:r>
      <w:r w:rsidR="00EB1D72" w:rsidRPr="00092862">
        <w:rPr>
          <w:rFonts w:ascii="Times New Roman" w:eastAsia="宋体" w:hAnsi="Times New Roman" w:cs="Times New Roman"/>
          <w:color w:val="000000" w:themeColor="text1"/>
          <w:sz w:val="24"/>
          <w:szCs w:val="24"/>
        </w:rPr>
        <w:t>（本项目仅涉及</w:t>
      </w:r>
      <w:r w:rsidR="00B46DA4" w:rsidRPr="00092862">
        <w:rPr>
          <w:rFonts w:ascii="Times New Roman" w:eastAsia="宋体" w:hAnsi="Times New Roman" w:cs="Times New Roman"/>
          <w:color w:val="000000" w:themeColor="text1"/>
          <w:sz w:val="24"/>
          <w:szCs w:val="24"/>
        </w:rPr>
        <w:t>深层</w:t>
      </w:r>
      <w:r w:rsidR="0019648E" w:rsidRPr="00092862">
        <w:rPr>
          <w:rFonts w:ascii="Times New Roman" w:eastAsia="宋体" w:hAnsi="Times New Roman" w:cs="Times New Roman"/>
          <w:color w:val="000000" w:themeColor="text1"/>
          <w:sz w:val="24"/>
          <w:szCs w:val="24"/>
        </w:rPr>
        <w:t>钻井</w:t>
      </w:r>
      <w:r w:rsidR="00EB1D72"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w:t>
      </w:r>
    </w:p>
    <w:p w14:paraId="38787AC2" w14:textId="19417CCA"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）加强钻井的完整性管理，确保固井质量。本项目完井作业采用</w:t>
      </w:r>
      <w:r w:rsidR="00EB1D72" w:rsidRPr="00092862">
        <w:rPr>
          <w:rFonts w:ascii="Times New Roman" w:eastAsia="宋体" w:hAnsi="Times New Roman" w:cs="Times New Roman"/>
          <w:color w:val="000000" w:themeColor="text1"/>
          <w:sz w:val="24"/>
          <w:szCs w:val="24"/>
        </w:rPr>
        <w:t>酸化</w:t>
      </w:r>
      <w:r w:rsidRPr="00092862">
        <w:rPr>
          <w:rFonts w:ascii="Times New Roman" w:eastAsia="宋体" w:hAnsi="Times New Roman" w:cs="Times New Roman"/>
          <w:color w:val="000000" w:themeColor="text1"/>
          <w:sz w:val="24"/>
          <w:szCs w:val="24"/>
        </w:rPr>
        <w:t>压裂作业的方式进行，在压裂作业前对固井质量等进行有效评估，并在压裂过程数值模拟期间要评估压裂液运移到含水层特别是水井的可能性；</w:t>
      </w:r>
    </w:p>
    <w:p w14:paraId="00956025" w14:textId="24529C81"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008B2AC9"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）项目井场建设时设置了雨污分流系统，实现了钻井废水和雨水的有效分流，可有效降低因暴雨等自然灾害而导致废水外溢污染浅层地下水风险。</w:t>
      </w:r>
    </w:p>
    <w:p w14:paraId="7D9625BC" w14:textId="1F81C1EC"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008B2AC9"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）项目实施过程中，应定期检查各防渗基础是否出现裂缝、防渗膜是否完好，并及时对出现破损的部位进行修复。</w:t>
      </w:r>
    </w:p>
    <w:p w14:paraId="04328EC7" w14:textId="28E6D754"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008B2AC9"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）平衡操作，避免因压力剂动和开泵过猛使泥浆憋入地层。</w:t>
      </w:r>
    </w:p>
    <w:p w14:paraId="229C1B9F" w14:textId="2BC42150" w:rsidR="00FA43E5" w:rsidRPr="00092862" w:rsidRDefault="00FA43E5" w:rsidP="00FA43E5">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008B2AC9"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钻井过程中密切注意钻井液的漏失情况，一旦出现漏失，立即采取堵漏措施，减少漏失量，防止钻井液的漏失污染地下水。堵漏剂的选取应考虑清洁、无毒、对人体无害，环境污染轻的种类，建议采用水泥堵漏。</w:t>
      </w:r>
    </w:p>
    <w:p w14:paraId="59DC667F" w14:textId="6EBE494D" w:rsidR="00FA43E5" w:rsidRPr="00092862" w:rsidRDefault="00FA43E5" w:rsidP="00AE18C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008B2AC9" w:rsidRPr="00092862">
        <w:rPr>
          <w:rFonts w:ascii="Times New Roman" w:eastAsia="宋体" w:hAnsi="Times New Roman" w:cs="Times New Roman"/>
          <w:color w:val="000000" w:themeColor="text1"/>
          <w:sz w:val="24"/>
          <w:szCs w:val="24"/>
        </w:rPr>
        <w:t>8</w:t>
      </w:r>
      <w:r w:rsidRPr="00092862">
        <w:rPr>
          <w:rFonts w:ascii="Times New Roman" w:eastAsia="宋体" w:hAnsi="Times New Roman" w:cs="Times New Roman"/>
          <w:color w:val="000000" w:themeColor="text1"/>
          <w:sz w:val="24"/>
          <w:szCs w:val="24"/>
        </w:rPr>
        <w:t>）采用符合《废矿物油回收利用污染控制技术规范》（</w:t>
      </w:r>
      <w:r w:rsidRPr="00092862">
        <w:rPr>
          <w:rFonts w:ascii="Times New Roman" w:eastAsia="宋体" w:hAnsi="Times New Roman" w:cs="Times New Roman"/>
          <w:color w:val="000000" w:themeColor="text1"/>
          <w:sz w:val="24"/>
          <w:szCs w:val="24"/>
        </w:rPr>
        <w:t>HJ607-2011</w:t>
      </w:r>
      <w:r w:rsidRPr="00092862">
        <w:rPr>
          <w:rFonts w:ascii="Times New Roman" w:eastAsia="宋体" w:hAnsi="Times New Roman" w:cs="Times New Roman"/>
          <w:color w:val="000000" w:themeColor="text1"/>
          <w:sz w:val="24"/>
          <w:szCs w:val="24"/>
        </w:rPr>
        <w:t>）和《危险废物收集贮存运输技术规范》（</w:t>
      </w:r>
      <w:r w:rsidRPr="00092862">
        <w:rPr>
          <w:rFonts w:ascii="Times New Roman" w:eastAsia="宋体" w:hAnsi="Times New Roman" w:cs="Times New Roman"/>
          <w:color w:val="000000" w:themeColor="text1"/>
          <w:sz w:val="24"/>
          <w:szCs w:val="24"/>
        </w:rPr>
        <w:t>HJ2025-2012</w:t>
      </w:r>
      <w:r w:rsidRPr="00092862">
        <w:rPr>
          <w:rFonts w:ascii="Times New Roman" w:eastAsia="宋体" w:hAnsi="Times New Roman" w:cs="Times New Roman"/>
          <w:color w:val="000000" w:themeColor="text1"/>
          <w:sz w:val="24"/>
          <w:szCs w:val="24"/>
        </w:rPr>
        <w:t>）的废油桶，并置于</w:t>
      </w:r>
      <w:r w:rsidR="008B2AC9" w:rsidRPr="00092862">
        <w:rPr>
          <w:rFonts w:ascii="Times New Roman" w:eastAsia="宋体" w:hAnsi="Times New Roman" w:cs="Times New Roman"/>
          <w:color w:val="000000" w:themeColor="text1"/>
          <w:sz w:val="24"/>
          <w:szCs w:val="24"/>
        </w:rPr>
        <w:t>泥浆不落地装置区</w:t>
      </w:r>
      <w:r w:rsidRPr="00092862">
        <w:rPr>
          <w:rFonts w:ascii="Times New Roman" w:eastAsia="宋体" w:hAnsi="Times New Roman" w:cs="Times New Roman"/>
          <w:color w:val="000000" w:themeColor="text1"/>
          <w:sz w:val="24"/>
          <w:szCs w:val="24"/>
        </w:rPr>
        <w:t>，做好</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防风、防雨、防晒、防渗漏</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的四防措施</w:t>
      </w:r>
      <w:r w:rsidR="00B46DA4" w:rsidRPr="00092862">
        <w:rPr>
          <w:rFonts w:ascii="Times New Roman" w:eastAsia="宋体" w:hAnsi="Times New Roman" w:cs="Times New Roman"/>
          <w:color w:val="000000" w:themeColor="text1"/>
          <w:sz w:val="24"/>
          <w:szCs w:val="24"/>
        </w:rPr>
        <w:t>。</w:t>
      </w:r>
    </w:p>
    <w:p w14:paraId="7754F7C4" w14:textId="741DEFA5" w:rsidR="00FA43E5" w:rsidRPr="00092862" w:rsidRDefault="00FA43E5" w:rsidP="00AE18C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008B2AC9" w:rsidRPr="00092862">
        <w:rPr>
          <w:rFonts w:ascii="Times New Roman" w:eastAsia="宋体" w:hAnsi="Times New Roman" w:cs="Times New Roman"/>
          <w:color w:val="000000" w:themeColor="text1"/>
          <w:sz w:val="24"/>
          <w:szCs w:val="24"/>
        </w:rPr>
        <w:t>9</w:t>
      </w:r>
      <w:r w:rsidRPr="00092862">
        <w:rPr>
          <w:rFonts w:ascii="Times New Roman" w:eastAsia="宋体" w:hAnsi="Times New Roman" w:cs="Times New Roman"/>
          <w:color w:val="000000" w:themeColor="text1"/>
          <w:sz w:val="24"/>
          <w:szCs w:val="24"/>
        </w:rPr>
        <w:t>）钻井过程中及时对钻井废水、压裂返排液、泥浆岩屑等进行及时转运处理，尽量缩短在现场放置时间。建议泥浆循环系统、固控系统</w:t>
      </w:r>
      <w:r w:rsidR="008B2AC9"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放喷池等均设置临时雨棚，采取各种措施防止废水外溢。</w:t>
      </w:r>
    </w:p>
    <w:p w14:paraId="11B20E0C" w14:textId="77777777" w:rsidR="00DC446C" w:rsidRPr="00092862" w:rsidRDefault="00FA43E5" w:rsidP="00AE18CC">
      <w:pPr>
        <w:adjustRightInd w:val="0"/>
        <w:snapToGrid w:val="0"/>
        <w:spacing w:line="360" w:lineRule="auto"/>
        <w:ind w:firstLineChars="200" w:firstLine="480"/>
        <w:rPr>
          <w:rFonts w:ascii="Times New Roman" w:eastAsia="黑体" w:hAnsi="Times New Roman" w:cs="Times New Roman"/>
          <w:color w:val="000000" w:themeColor="text1"/>
          <w:sz w:val="24"/>
          <w:szCs w:val="24"/>
        </w:rPr>
      </w:pPr>
      <w:bookmarkStart w:id="353" w:name="_Toc14702844"/>
      <w:r w:rsidRPr="00092862">
        <w:rPr>
          <w:rFonts w:ascii="Times New Roman" w:eastAsia="黑体" w:hAnsi="Times New Roman" w:cs="Times New Roman"/>
          <w:color w:val="000000" w:themeColor="text1"/>
          <w:sz w:val="24"/>
          <w:szCs w:val="24"/>
        </w:rPr>
        <w:t>3</w:t>
      </w:r>
      <w:r w:rsidRPr="00092862">
        <w:rPr>
          <w:rFonts w:ascii="Times New Roman" w:eastAsia="黑体" w:hAnsi="Times New Roman" w:cs="Times New Roman"/>
          <w:color w:val="000000" w:themeColor="text1"/>
          <w:sz w:val="24"/>
          <w:szCs w:val="24"/>
        </w:rPr>
        <w:t>、</w:t>
      </w:r>
      <w:r w:rsidR="003B1968" w:rsidRPr="00092862">
        <w:rPr>
          <w:rFonts w:ascii="Times New Roman" w:eastAsia="黑体" w:hAnsi="Times New Roman" w:cs="Times New Roman"/>
          <w:color w:val="000000" w:themeColor="text1"/>
          <w:sz w:val="24"/>
          <w:szCs w:val="24"/>
        </w:rPr>
        <w:t>清污分流</w:t>
      </w:r>
      <w:bookmarkEnd w:id="353"/>
    </w:p>
    <w:p w14:paraId="76D18EF0" w14:textId="03D542E5" w:rsidR="00AE18CC" w:rsidRPr="00092862" w:rsidRDefault="00AE18CC" w:rsidP="00AE18C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本项目在井场施工中使用清污分流设计，其具体做法是井场设置内外环沟，将其生产装置运行中产生的废水进行集中收集、排放在泥浆不落地装置区和放喷池中，井场内设置内环沟，配建集污坑，</w:t>
      </w:r>
      <w:r w:rsidRPr="00092862">
        <w:rPr>
          <w:rFonts w:ascii="Times New Roman" w:eastAsia="宋体" w:hAnsi="Times New Roman" w:cs="Times New Roman"/>
          <w:bCs/>
          <w:color w:val="000000" w:themeColor="text1"/>
          <w:sz w:val="24"/>
          <w:szCs w:val="24"/>
        </w:rPr>
        <w:t>井场外设置外环沟，并设置集水坑，初期雨水经内环沟收集后与钻井废水合并处理，后期雨水依靠井站设置的地面坡度和内外环沟的阀门控制，就地散排至外环沟，排出场外。若场内雨水被污</w:t>
      </w:r>
      <w:r w:rsidRPr="00092862">
        <w:rPr>
          <w:rFonts w:ascii="Times New Roman" w:eastAsia="宋体" w:hAnsi="Times New Roman" w:cs="Times New Roman"/>
          <w:bCs/>
          <w:color w:val="000000" w:themeColor="text1"/>
          <w:sz w:val="24"/>
          <w:szCs w:val="24"/>
        </w:rPr>
        <w:lastRenderedPageBreak/>
        <w:t>染流入外环沟，则需封闭外环沟由作业队伍从集水坑抽汲至泥浆不落地装置</w:t>
      </w:r>
      <w:r w:rsidR="00F12A78"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放喷池，</w:t>
      </w:r>
      <w:r w:rsidRPr="00092862">
        <w:rPr>
          <w:rFonts w:ascii="Times New Roman" w:eastAsia="宋体" w:hAnsi="Times New Roman" w:cs="Times New Roman"/>
          <w:color w:val="000000" w:themeColor="text1"/>
          <w:sz w:val="24"/>
          <w:szCs w:val="24"/>
        </w:rPr>
        <w:t>可以有效降低因暴雨等自然灾害而导致废水外溢的危险；另一方面，针对高危的柴油储油罐、泥浆循环系统、泥浆不落地装置区等，在罐体下方修建收集区，设置围堰，收集区该做好防渗处理，以防止意外情况下，柴油、泥浆等泄漏造成地下水、土壤污染。</w:t>
      </w:r>
    </w:p>
    <w:p w14:paraId="6065904F" w14:textId="77777777" w:rsidR="00DC446C" w:rsidRPr="00092862" w:rsidRDefault="00AE18CC" w:rsidP="00AE18CC">
      <w:pPr>
        <w:adjustRightInd w:val="0"/>
        <w:snapToGrid w:val="0"/>
        <w:spacing w:line="360" w:lineRule="auto"/>
        <w:ind w:firstLineChars="200" w:firstLine="480"/>
        <w:rPr>
          <w:rFonts w:ascii="Times New Roman" w:eastAsia="黑体" w:hAnsi="Times New Roman" w:cs="Times New Roman"/>
          <w:color w:val="000000" w:themeColor="text1"/>
          <w:sz w:val="24"/>
          <w:szCs w:val="24"/>
        </w:rPr>
      </w:pPr>
      <w:bookmarkStart w:id="354" w:name="_Toc24527"/>
      <w:bookmarkStart w:id="355" w:name="_Toc14702845"/>
      <w:r w:rsidRPr="00092862">
        <w:rPr>
          <w:rFonts w:ascii="Times New Roman" w:eastAsia="黑体" w:hAnsi="Times New Roman" w:cs="Times New Roman"/>
          <w:color w:val="000000" w:themeColor="text1"/>
          <w:sz w:val="24"/>
          <w:szCs w:val="24"/>
        </w:rPr>
        <w:t>4</w:t>
      </w:r>
      <w:r w:rsidRPr="00092862">
        <w:rPr>
          <w:rFonts w:ascii="Times New Roman" w:eastAsia="黑体" w:hAnsi="Times New Roman" w:cs="Times New Roman"/>
          <w:color w:val="000000" w:themeColor="text1"/>
          <w:sz w:val="24"/>
          <w:szCs w:val="24"/>
        </w:rPr>
        <w:t>、</w:t>
      </w:r>
      <w:r w:rsidR="003B1968" w:rsidRPr="00092862">
        <w:rPr>
          <w:rFonts w:ascii="Times New Roman" w:eastAsia="黑体" w:hAnsi="Times New Roman" w:cs="Times New Roman"/>
          <w:color w:val="000000" w:themeColor="text1"/>
          <w:sz w:val="24"/>
          <w:szCs w:val="24"/>
        </w:rPr>
        <w:t>分区防渗措施</w:t>
      </w:r>
      <w:bookmarkEnd w:id="354"/>
      <w:bookmarkEnd w:id="355"/>
    </w:p>
    <w:p w14:paraId="335E221B" w14:textId="5F908BEF" w:rsidR="00DC446C" w:rsidRPr="00092862" w:rsidRDefault="003B1968" w:rsidP="003D2EE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根据《环境影响评价技术导则</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地下水环境》（</w:t>
      </w:r>
      <w:r w:rsidRPr="00092862">
        <w:rPr>
          <w:rFonts w:ascii="Times New Roman" w:eastAsia="宋体" w:hAnsi="Times New Roman" w:cs="Times New Roman"/>
          <w:color w:val="000000" w:themeColor="text1"/>
          <w:sz w:val="24"/>
          <w:szCs w:val="24"/>
        </w:rPr>
        <w:t>HJ610-2016</w:t>
      </w:r>
      <w:r w:rsidRPr="00092862">
        <w:rPr>
          <w:rFonts w:ascii="Times New Roman" w:eastAsia="宋体" w:hAnsi="Times New Roman" w:cs="Times New Roman"/>
          <w:color w:val="000000" w:themeColor="text1"/>
          <w:sz w:val="24"/>
          <w:szCs w:val="24"/>
        </w:rPr>
        <w:t>）的建议，本工程充分参考《石油化工工程防渗技术规范》（</w:t>
      </w:r>
      <w:r w:rsidRPr="00092862">
        <w:rPr>
          <w:rFonts w:ascii="Times New Roman" w:eastAsia="宋体" w:hAnsi="Times New Roman" w:cs="Times New Roman"/>
          <w:color w:val="000000" w:themeColor="text1"/>
          <w:sz w:val="24"/>
          <w:szCs w:val="24"/>
        </w:rPr>
        <w:t>GB/T50934-2013</w:t>
      </w:r>
      <w:r w:rsidRPr="00092862">
        <w:rPr>
          <w:rFonts w:ascii="Times New Roman" w:eastAsia="宋体" w:hAnsi="Times New Roman" w:cs="Times New Roman"/>
          <w:color w:val="000000" w:themeColor="text1"/>
          <w:sz w:val="24"/>
          <w:szCs w:val="24"/>
        </w:rPr>
        <w:t>）中的相关要求，实施地下水污染防渗措施。本项目以水平防渗为主，项目所在地岩（土）层单层厚度</w:t>
      </w:r>
      <w:r w:rsidRPr="00092862">
        <w:rPr>
          <w:rFonts w:ascii="Times New Roman" w:eastAsia="宋体" w:hAnsi="Times New Roman" w:cs="Times New Roman"/>
          <w:color w:val="000000" w:themeColor="text1"/>
          <w:sz w:val="24"/>
          <w:szCs w:val="24"/>
        </w:rPr>
        <w:t>Mb</w:t>
      </w:r>
      <w:r w:rsidRPr="00092862">
        <w:rPr>
          <w:rFonts w:ascii="Times New Roman" w:eastAsia="宋体" w:hAnsi="Times New Roman" w:cs="Times New Roman"/>
          <w:color w:val="000000" w:themeColor="text1"/>
          <w:sz w:val="24"/>
          <w:szCs w:val="24"/>
        </w:rPr>
        <w:t>大于</w:t>
      </w:r>
      <w:r w:rsidRPr="00092862">
        <w:rPr>
          <w:rFonts w:ascii="Times New Roman" w:eastAsia="宋体" w:hAnsi="Times New Roman" w:cs="Times New Roman"/>
          <w:color w:val="000000" w:themeColor="text1"/>
          <w:sz w:val="24"/>
          <w:szCs w:val="24"/>
        </w:rPr>
        <w:t>1.0m</w:t>
      </w:r>
      <w:r w:rsidRPr="00092862">
        <w:rPr>
          <w:rFonts w:ascii="Times New Roman" w:eastAsia="宋体" w:hAnsi="Times New Roman" w:cs="Times New Roman"/>
          <w:color w:val="000000" w:themeColor="text1"/>
          <w:sz w:val="24"/>
          <w:szCs w:val="24"/>
        </w:rPr>
        <w:t>，渗透系数</w:t>
      </w:r>
      <w:r w:rsidRPr="00092862">
        <w:rPr>
          <w:rFonts w:ascii="Times New Roman" w:eastAsia="宋体" w:hAnsi="Times New Roman" w:cs="Times New Roman"/>
          <w:color w:val="000000" w:themeColor="text1"/>
          <w:sz w:val="24"/>
          <w:szCs w:val="24"/>
        </w:rPr>
        <w:t>1×10</w:t>
      </w:r>
      <w:r w:rsidRPr="00092862">
        <w:rPr>
          <w:rFonts w:ascii="Times New Roman" w:eastAsia="宋体" w:hAnsi="Times New Roman" w:cs="Times New Roman"/>
          <w:color w:val="000000" w:themeColor="text1"/>
          <w:sz w:val="24"/>
          <w:szCs w:val="24"/>
          <w:vertAlign w:val="superscript"/>
        </w:rPr>
        <w:t>-6</w:t>
      </w:r>
      <w:r w:rsidRPr="00092862">
        <w:rPr>
          <w:rFonts w:ascii="Times New Roman" w:eastAsia="宋体" w:hAnsi="Times New Roman" w:cs="Times New Roman"/>
          <w:color w:val="000000" w:themeColor="text1"/>
          <w:sz w:val="24"/>
          <w:szCs w:val="24"/>
        </w:rPr>
        <w:t xml:space="preserve">cm/s </w:t>
      </w: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K≤1×10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cm/s</w:t>
      </w:r>
      <w:r w:rsidRPr="00092862">
        <w:rPr>
          <w:rFonts w:ascii="Times New Roman" w:eastAsia="宋体" w:hAnsi="Times New Roman" w:cs="Times New Roman"/>
          <w:color w:val="000000" w:themeColor="text1"/>
          <w:sz w:val="24"/>
          <w:szCs w:val="24"/>
        </w:rPr>
        <w:t>，且分布连续、稳定，故天然包气带防污性能为中，项目可能泄露的废水中含有部分钻井液中使用的增粘剂等持久性有机污染物。</w:t>
      </w:r>
      <w:r w:rsidR="00F12A78" w:rsidRPr="00092862">
        <w:rPr>
          <w:rFonts w:ascii="Times New Roman" w:eastAsia="宋体" w:hAnsi="Times New Roman" w:cs="Times New Roman"/>
          <w:color w:val="000000" w:themeColor="text1"/>
          <w:sz w:val="24"/>
          <w:szCs w:val="24"/>
        </w:rPr>
        <w:t>场地内场地内</w:t>
      </w:r>
      <w:r w:rsidR="000C3512" w:rsidRPr="00092862">
        <w:rPr>
          <w:rFonts w:ascii="Times New Roman" w:eastAsia="宋体" w:hAnsi="Times New Roman" w:cs="Times New Roman"/>
          <w:color w:val="000000" w:themeColor="text1"/>
          <w:sz w:val="24"/>
          <w:szCs w:val="24"/>
        </w:rPr>
        <w:t>方井</w:t>
      </w:r>
      <w:r w:rsidR="00F12A78" w:rsidRPr="00092862">
        <w:rPr>
          <w:rFonts w:ascii="Times New Roman" w:eastAsia="宋体" w:hAnsi="Times New Roman" w:cs="Times New Roman"/>
          <w:color w:val="000000" w:themeColor="text1"/>
          <w:sz w:val="24"/>
          <w:szCs w:val="24"/>
        </w:rPr>
        <w:t>、泥浆循环系统区域</w:t>
      </w:r>
      <w:r w:rsidR="00CB1B02" w:rsidRPr="00092862">
        <w:rPr>
          <w:rFonts w:ascii="Times New Roman" w:eastAsia="宋体" w:hAnsi="Times New Roman" w:cs="Times New Roman"/>
          <w:color w:val="000000" w:themeColor="text1"/>
          <w:sz w:val="24"/>
          <w:szCs w:val="24"/>
        </w:rPr>
        <w:t>、泥浆不落地系统区域（含油桶堆放区）</w:t>
      </w:r>
      <w:r w:rsidR="00F12A78" w:rsidRPr="00092862">
        <w:rPr>
          <w:rFonts w:ascii="Times New Roman" w:eastAsia="宋体" w:hAnsi="Times New Roman" w:cs="Times New Roman"/>
          <w:color w:val="000000" w:themeColor="text1"/>
          <w:sz w:val="24"/>
          <w:szCs w:val="24"/>
        </w:rPr>
        <w:t>、泥浆储备罐区</w:t>
      </w:r>
      <w:r w:rsidR="00CB1B02" w:rsidRPr="00092862">
        <w:rPr>
          <w:rFonts w:ascii="Times New Roman" w:eastAsia="宋体" w:hAnsi="Times New Roman" w:cs="Times New Roman"/>
          <w:color w:val="000000" w:themeColor="text1"/>
          <w:sz w:val="24"/>
          <w:szCs w:val="24"/>
        </w:rPr>
        <w:t>、循环罐区</w:t>
      </w:r>
      <w:r w:rsidR="00F12A78" w:rsidRPr="00092862">
        <w:rPr>
          <w:rFonts w:ascii="Times New Roman" w:eastAsia="宋体" w:hAnsi="Times New Roman" w:cs="Times New Roman"/>
          <w:color w:val="000000" w:themeColor="text1"/>
          <w:sz w:val="24"/>
          <w:szCs w:val="24"/>
        </w:rPr>
        <w:t>、柴油罐区、放喷池、</w:t>
      </w:r>
      <w:r w:rsidR="00D774F2" w:rsidRPr="00092862">
        <w:rPr>
          <w:rFonts w:ascii="Times New Roman" w:eastAsia="宋体" w:hAnsi="Times New Roman" w:cs="Times New Roman"/>
          <w:color w:val="000000" w:themeColor="text1"/>
          <w:sz w:val="24"/>
          <w:szCs w:val="24"/>
        </w:rPr>
        <w:t>污水池</w:t>
      </w:r>
      <w:r w:rsidR="00006D9D" w:rsidRPr="00092862">
        <w:rPr>
          <w:rFonts w:ascii="Times New Roman" w:eastAsia="宋体" w:hAnsi="Times New Roman" w:cs="Times New Roman"/>
          <w:color w:val="000000" w:themeColor="text1"/>
          <w:sz w:val="24"/>
          <w:szCs w:val="24"/>
        </w:rPr>
        <w:t>、埋地管道</w:t>
      </w:r>
      <w:r w:rsidR="00F12A78" w:rsidRPr="00092862">
        <w:rPr>
          <w:rFonts w:ascii="Times New Roman" w:eastAsia="宋体" w:hAnsi="Times New Roman" w:cs="Times New Roman"/>
          <w:color w:val="000000" w:themeColor="text1"/>
          <w:sz w:val="24"/>
          <w:szCs w:val="24"/>
        </w:rPr>
        <w:t>等采取重点防渗措施；</w:t>
      </w:r>
      <w:r w:rsidR="0017502F" w:rsidRPr="00092862">
        <w:rPr>
          <w:rFonts w:ascii="Times New Roman" w:eastAsia="宋体" w:hAnsi="Times New Roman" w:cs="Times New Roman"/>
          <w:color w:val="000000" w:themeColor="text1"/>
          <w:sz w:val="24"/>
          <w:szCs w:val="24"/>
        </w:rPr>
        <w:t>井架基础、发电机房、钻井固废暂存区、气源房、材料棚、雨、污分流区域以及厕所等区域采取一般防渗措施</w:t>
      </w:r>
      <w:r w:rsidR="00F12A78" w:rsidRPr="00092862">
        <w:rPr>
          <w:rFonts w:ascii="Times New Roman" w:eastAsia="宋体" w:hAnsi="Times New Roman" w:cs="Times New Roman"/>
          <w:color w:val="000000" w:themeColor="text1"/>
          <w:sz w:val="24"/>
          <w:szCs w:val="24"/>
        </w:rPr>
        <w:t>；其他区域等采取简单防渗措施</w:t>
      </w:r>
      <w:r w:rsidR="00AE18CC" w:rsidRPr="00092862">
        <w:rPr>
          <w:rFonts w:ascii="Times New Roman" w:eastAsia="宋体" w:hAnsi="Times New Roman" w:cs="Times New Roman"/>
          <w:color w:val="000000" w:themeColor="text1"/>
          <w:sz w:val="24"/>
          <w:szCs w:val="24"/>
        </w:rPr>
        <w:t>。</w:t>
      </w:r>
    </w:p>
    <w:p w14:paraId="3D4F45DE" w14:textId="202899EB" w:rsidR="00DC446C" w:rsidRPr="00092862" w:rsidRDefault="003B1968" w:rsidP="003D2EE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本项目分区防渗布设情况及防渗系数要求见表</w:t>
      </w:r>
      <w:r w:rsidR="00704F23"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.1-</w:t>
      </w:r>
      <w:r w:rsidR="00AE18CC"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所示。</w:t>
      </w:r>
    </w:p>
    <w:p w14:paraId="25382A3F" w14:textId="7BA75127" w:rsidR="00AE18CC" w:rsidRPr="00092862" w:rsidRDefault="00AE18CC" w:rsidP="00AC7BA2">
      <w:pPr>
        <w:pStyle w:val="ac"/>
        <w:tabs>
          <w:tab w:val="left" w:pos="863"/>
        </w:tabs>
        <w:spacing w:before="0"/>
        <w:ind w:left="0"/>
        <w:jc w:val="center"/>
        <w:rPr>
          <w:rFonts w:ascii="Times New Roman" w:eastAsia="黑体" w:hAnsi="Times New Roman"/>
          <w:color w:val="000000" w:themeColor="text1"/>
          <w:sz w:val="21"/>
          <w:szCs w:val="21"/>
          <w:lang w:eastAsia="zh-CN"/>
        </w:rPr>
      </w:pPr>
      <w:bookmarkStart w:id="356" w:name="_Toc14702846"/>
      <w:bookmarkStart w:id="357" w:name="_Toc26241"/>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 xml:space="preserve">.1-1  </w:t>
      </w:r>
      <w:r w:rsidRPr="00092862">
        <w:rPr>
          <w:rFonts w:ascii="Times New Roman" w:eastAsia="黑体" w:hAnsi="Times New Roman"/>
          <w:color w:val="000000" w:themeColor="text1"/>
          <w:sz w:val="21"/>
          <w:szCs w:val="21"/>
          <w:lang w:eastAsia="zh-CN"/>
        </w:rPr>
        <w:t>分区防渗布设情况及防渗技术要求表</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223"/>
        <w:gridCol w:w="1165"/>
        <w:gridCol w:w="2002"/>
        <w:gridCol w:w="2167"/>
      </w:tblGrid>
      <w:tr w:rsidR="00697429" w:rsidRPr="00092862" w14:paraId="51C81B0E" w14:textId="77777777" w:rsidTr="003817F3">
        <w:trPr>
          <w:trHeight w:val="403"/>
          <w:jc w:val="center"/>
        </w:trPr>
        <w:tc>
          <w:tcPr>
            <w:tcW w:w="1327" w:type="dxa"/>
            <w:vAlign w:val="center"/>
          </w:tcPr>
          <w:p w14:paraId="31C0F2EB"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名称</w:t>
            </w:r>
          </w:p>
        </w:tc>
        <w:tc>
          <w:tcPr>
            <w:tcW w:w="2223" w:type="dxa"/>
            <w:vAlign w:val="center"/>
          </w:tcPr>
          <w:p w14:paraId="5233EE79"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防渗区域及部位</w:t>
            </w:r>
          </w:p>
        </w:tc>
        <w:tc>
          <w:tcPr>
            <w:tcW w:w="1165" w:type="dxa"/>
            <w:vAlign w:val="center"/>
          </w:tcPr>
          <w:p w14:paraId="2D506E47"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防渗分区</w:t>
            </w:r>
          </w:p>
        </w:tc>
        <w:tc>
          <w:tcPr>
            <w:tcW w:w="2002" w:type="dxa"/>
            <w:vAlign w:val="center"/>
          </w:tcPr>
          <w:p w14:paraId="01A356DD"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防渗技术要求</w:t>
            </w:r>
          </w:p>
        </w:tc>
        <w:tc>
          <w:tcPr>
            <w:tcW w:w="2167" w:type="dxa"/>
            <w:vAlign w:val="center"/>
          </w:tcPr>
          <w:p w14:paraId="7248112F"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采取的防渗措施</w:t>
            </w:r>
          </w:p>
        </w:tc>
      </w:tr>
      <w:tr w:rsidR="00697429" w:rsidRPr="00092862" w14:paraId="06E99C2A" w14:textId="77777777" w:rsidTr="003817F3">
        <w:trPr>
          <w:trHeight w:val="403"/>
          <w:jc w:val="center"/>
        </w:trPr>
        <w:tc>
          <w:tcPr>
            <w:tcW w:w="1327" w:type="dxa"/>
            <w:vAlign w:val="center"/>
          </w:tcPr>
          <w:p w14:paraId="04C2CB85"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放喷池</w:t>
            </w:r>
          </w:p>
        </w:tc>
        <w:tc>
          <w:tcPr>
            <w:tcW w:w="2223" w:type="dxa"/>
            <w:vAlign w:val="center"/>
          </w:tcPr>
          <w:p w14:paraId="40066237"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放喷池的池底及池壁</w:t>
            </w:r>
          </w:p>
        </w:tc>
        <w:tc>
          <w:tcPr>
            <w:tcW w:w="1165" w:type="dxa"/>
            <w:vMerge w:val="restart"/>
            <w:vAlign w:val="center"/>
          </w:tcPr>
          <w:p w14:paraId="4FF2BAF6"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重点防渗分区</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部位</w:t>
            </w:r>
          </w:p>
        </w:tc>
        <w:tc>
          <w:tcPr>
            <w:tcW w:w="2002" w:type="dxa"/>
            <w:vMerge w:val="restart"/>
            <w:vAlign w:val="center"/>
          </w:tcPr>
          <w:p w14:paraId="2DFB472F"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等效黏土防渗层</w:t>
            </w:r>
            <w:r w:rsidRPr="00092862">
              <w:rPr>
                <w:rFonts w:ascii="Times New Roman" w:eastAsia="宋体" w:hAnsi="Times New Roman" w:cs="Times New Roman"/>
                <w:color w:val="000000" w:themeColor="text1"/>
                <w:szCs w:val="21"/>
              </w:rPr>
              <w:t>Mb≥</w:t>
            </w:r>
            <w:smartTag w:uri="urn:schemas-microsoft-com:office:smarttags" w:element="chmetcnv">
              <w:smartTagPr>
                <w:attr w:name="TCSC" w:val="0"/>
                <w:attr w:name="NumberType" w:val="1"/>
                <w:attr w:name="Negative" w:val="False"/>
                <w:attr w:name="HasSpace" w:val="False"/>
                <w:attr w:name="SourceValue" w:val="6"/>
                <w:attr w:name="UnitName" w:val="m"/>
              </w:smartTagPr>
              <w:r w:rsidRPr="00092862">
                <w:rPr>
                  <w:rFonts w:ascii="Times New Roman" w:eastAsia="宋体" w:hAnsi="Times New Roman" w:cs="Times New Roman"/>
                  <w:color w:val="000000" w:themeColor="text1"/>
                  <w:szCs w:val="21"/>
                </w:rPr>
                <w:t>6.0m</w:t>
              </w:r>
            </w:smartTag>
            <w:r w:rsidRPr="00092862">
              <w:rPr>
                <w:rFonts w:ascii="Times New Roman" w:eastAsia="宋体" w:hAnsi="Times New Roman" w:cs="Times New Roman"/>
                <w:color w:val="000000" w:themeColor="text1"/>
                <w:szCs w:val="21"/>
              </w:rPr>
              <w:t>，防渗系数</w:t>
            </w:r>
            <w:r w:rsidRPr="00092862">
              <w:rPr>
                <w:rFonts w:ascii="Times New Roman" w:eastAsia="宋体" w:hAnsi="Times New Roman" w:cs="Times New Roman"/>
                <w:color w:val="000000" w:themeColor="text1"/>
                <w:szCs w:val="21"/>
              </w:rPr>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092862">
                <w:rPr>
                  <w:rFonts w:ascii="Times New Roman" w:eastAsia="宋体" w:hAnsi="Times New Roman" w:cs="Times New Roman"/>
                  <w:color w:val="000000" w:themeColor="text1"/>
                  <w:szCs w:val="21"/>
                  <w:vertAlign w:val="superscript"/>
                </w:rPr>
                <w:t>-7</w:t>
              </w:r>
              <w:r w:rsidRPr="00092862">
                <w:rPr>
                  <w:rFonts w:ascii="Times New Roman" w:eastAsia="宋体" w:hAnsi="Times New Roman" w:cs="Times New Roman"/>
                  <w:color w:val="000000" w:themeColor="text1"/>
                  <w:szCs w:val="21"/>
                </w:rPr>
                <w:t>cm</w:t>
              </w:r>
            </w:smartTag>
            <w:r w:rsidRPr="00092862">
              <w:rPr>
                <w:rFonts w:ascii="Times New Roman" w:eastAsia="宋体" w:hAnsi="Times New Roman" w:cs="Times New Roman"/>
                <w:color w:val="000000" w:themeColor="text1"/>
                <w:szCs w:val="21"/>
              </w:rPr>
              <w:t>/s</w:t>
            </w:r>
            <w:r w:rsidRPr="00092862">
              <w:rPr>
                <w:rFonts w:ascii="Times New Roman" w:eastAsia="宋体" w:hAnsi="Times New Roman" w:cs="Times New Roman"/>
                <w:color w:val="000000" w:themeColor="text1"/>
                <w:szCs w:val="21"/>
              </w:rPr>
              <w:t>，或参照</w:t>
            </w:r>
            <w:r w:rsidRPr="00092862">
              <w:rPr>
                <w:rFonts w:ascii="Times New Roman" w:eastAsia="宋体" w:hAnsi="Times New Roman" w:cs="Times New Roman"/>
                <w:color w:val="000000" w:themeColor="text1"/>
                <w:szCs w:val="21"/>
              </w:rPr>
              <w:t>GB18598</w:t>
            </w:r>
            <w:r w:rsidRPr="00092862">
              <w:rPr>
                <w:rFonts w:ascii="Times New Roman" w:eastAsia="宋体" w:hAnsi="Times New Roman" w:cs="Times New Roman"/>
                <w:color w:val="000000" w:themeColor="text1"/>
                <w:szCs w:val="21"/>
              </w:rPr>
              <w:t>执行</w:t>
            </w:r>
          </w:p>
        </w:tc>
        <w:tc>
          <w:tcPr>
            <w:tcW w:w="2167" w:type="dxa"/>
            <w:vMerge w:val="restart"/>
            <w:vAlign w:val="center"/>
          </w:tcPr>
          <w:p w14:paraId="1BE6AB6C"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混凝土</w:t>
            </w:r>
            <w:r w:rsidRPr="00092862">
              <w:rPr>
                <w:rFonts w:ascii="Times New Roman" w:eastAsia="宋体" w:hAnsi="Times New Roman" w:cs="Times New Roman"/>
                <w:color w:val="000000" w:themeColor="text1"/>
                <w:szCs w:val="21"/>
              </w:rPr>
              <w:t>+</w:t>
            </w:r>
            <w:smartTag w:uri="urn:schemas-microsoft-com:office:smarttags" w:element="chmetcnv">
              <w:smartTagPr>
                <w:attr w:name="TCSC" w:val="0"/>
                <w:attr w:name="NumberType" w:val="1"/>
                <w:attr w:name="Negative" w:val="False"/>
                <w:attr w:name="HasSpace" w:val="False"/>
                <w:attr w:name="SourceValue" w:val="2"/>
                <w:attr w:name="UnitName" w:val="mm"/>
              </w:smartTagPr>
              <w:r w:rsidRPr="00092862">
                <w:rPr>
                  <w:rFonts w:ascii="Times New Roman" w:eastAsia="宋体" w:hAnsi="Times New Roman" w:cs="Times New Roman"/>
                  <w:color w:val="000000" w:themeColor="text1"/>
                  <w:szCs w:val="21"/>
                </w:rPr>
                <w:t>2mm</w:t>
              </w:r>
            </w:smartTag>
            <w:r w:rsidRPr="00092862">
              <w:rPr>
                <w:rFonts w:ascii="Times New Roman" w:eastAsia="宋体" w:hAnsi="Times New Roman" w:cs="Times New Roman"/>
                <w:color w:val="000000" w:themeColor="text1"/>
                <w:szCs w:val="21"/>
              </w:rPr>
              <w:t>厚高密度聚乙烯膜处理或防渗系数</w:t>
            </w:r>
          </w:p>
          <w:p w14:paraId="7B4AFD70"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达到</w:t>
            </w:r>
            <w:r w:rsidRPr="00092862">
              <w:rPr>
                <w:rFonts w:ascii="Times New Roman" w:eastAsia="宋体" w:hAnsi="Times New Roman" w:cs="Times New Roman"/>
                <w:color w:val="000000" w:themeColor="text1"/>
                <w:szCs w:val="21"/>
              </w:rPr>
              <w:t>1.0×10</w:t>
            </w:r>
            <w:smartTag w:uri="urn:schemas-microsoft-com:office:smarttags" w:element="chmetcnv">
              <w:smartTagPr>
                <w:attr w:name="TCSC" w:val="0"/>
                <w:attr w:name="NumberType" w:val="1"/>
                <w:attr w:name="Negative" w:val="True"/>
                <w:attr w:name="HasSpace" w:val="False"/>
                <w:attr w:name="SourceValue" w:val="10"/>
                <w:attr w:name="UnitName" w:val="cm"/>
              </w:smartTagPr>
              <w:r w:rsidRPr="00092862">
                <w:rPr>
                  <w:rFonts w:ascii="Times New Roman" w:eastAsia="宋体" w:hAnsi="Times New Roman" w:cs="Times New Roman"/>
                  <w:color w:val="000000" w:themeColor="text1"/>
                  <w:szCs w:val="21"/>
                  <w:vertAlign w:val="superscript"/>
                </w:rPr>
                <w:t>-10</w:t>
              </w:r>
              <w:r w:rsidRPr="00092862">
                <w:rPr>
                  <w:rFonts w:ascii="Times New Roman" w:eastAsia="宋体" w:hAnsi="Times New Roman" w:cs="Times New Roman"/>
                  <w:color w:val="000000" w:themeColor="text1"/>
                  <w:szCs w:val="21"/>
                </w:rPr>
                <w:t>cm</w:t>
              </w:r>
            </w:smartTag>
            <w:r w:rsidRPr="00092862">
              <w:rPr>
                <w:rFonts w:ascii="Times New Roman" w:eastAsia="宋体" w:hAnsi="Times New Roman" w:cs="Times New Roman"/>
                <w:color w:val="000000" w:themeColor="text1"/>
                <w:szCs w:val="21"/>
              </w:rPr>
              <w:t>/s</w:t>
            </w:r>
            <w:r w:rsidRPr="00092862">
              <w:rPr>
                <w:rFonts w:ascii="Times New Roman" w:eastAsia="宋体" w:hAnsi="Times New Roman" w:cs="Times New Roman"/>
                <w:color w:val="000000" w:themeColor="text1"/>
                <w:szCs w:val="21"/>
              </w:rPr>
              <w:t>的防渗材料</w:t>
            </w:r>
          </w:p>
        </w:tc>
      </w:tr>
      <w:tr w:rsidR="00697429" w:rsidRPr="00092862" w14:paraId="2F873DA0" w14:textId="77777777" w:rsidTr="003817F3">
        <w:trPr>
          <w:trHeight w:val="403"/>
          <w:jc w:val="center"/>
        </w:trPr>
        <w:tc>
          <w:tcPr>
            <w:tcW w:w="1327" w:type="dxa"/>
            <w:vAlign w:val="center"/>
          </w:tcPr>
          <w:p w14:paraId="4B18AF14" w14:textId="7122E307"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方井</w:t>
            </w:r>
          </w:p>
        </w:tc>
        <w:tc>
          <w:tcPr>
            <w:tcW w:w="2223" w:type="dxa"/>
            <w:vAlign w:val="center"/>
          </w:tcPr>
          <w:p w14:paraId="0D017879" w14:textId="4552C7A0" w:rsidR="00D10F07" w:rsidRPr="00092862" w:rsidRDefault="00D10F07"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方井池壁和池底</w:t>
            </w:r>
          </w:p>
        </w:tc>
        <w:tc>
          <w:tcPr>
            <w:tcW w:w="1165" w:type="dxa"/>
            <w:vMerge/>
            <w:vAlign w:val="center"/>
          </w:tcPr>
          <w:p w14:paraId="0C776425"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5B499D08"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321A2196"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p>
        </w:tc>
      </w:tr>
      <w:tr w:rsidR="00697429" w:rsidRPr="00092862" w14:paraId="03F5B8E0" w14:textId="77777777" w:rsidTr="003817F3">
        <w:trPr>
          <w:trHeight w:val="403"/>
          <w:jc w:val="center"/>
        </w:trPr>
        <w:tc>
          <w:tcPr>
            <w:tcW w:w="1327" w:type="dxa"/>
            <w:vAlign w:val="center"/>
          </w:tcPr>
          <w:p w14:paraId="6428CCD6" w14:textId="2E22B745" w:rsidR="00D10F07" w:rsidRPr="00092862" w:rsidRDefault="00D774F2"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污水池</w:t>
            </w:r>
          </w:p>
        </w:tc>
        <w:tc>
          <w:tcPr>
            <w:tcW w:w="2223" w:type="dxa"/>
            <w:vAlign w:val="center"/>
          </w:tcPr>
          <w:p w14:paraId="0C47234F" w14:textId="4444558B" w:rsidR="00D10F07" w:rsidRPr="00092862" w:rsidRDefault="00D774F2"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w:t>
            </w:r>
            <w:r w:rsidR="00D10F07" w:rsidRPr="00092862">
              <w:rPr>
                <w:rFonts w:ascii="Times New Roman" w:eastAsia="宋体" w:hAnsi="Times New Roman" w:cs="Times New Roman"/>
                <w:color w:val="000000" w:themeColor="text1"/>
                <w:szCs w:val="21"/>
              </w:rPr>
              <w:t>水池壁和池底</w:t>
            </w:r>
          </w:p>
        </w:tc>
        <w:tc>
          <w:tcPr>
            <w:tcW w:w="1165" w:type="dxa"/>
            <w:vMerge/>
            <w:vAlign w:val="center"/>
          </w:tcPr>
          <w:p w14:paraId="202240F4"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5D228D68"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1197B489" w14:textId="77777777" w:rsidR="00D10F07" w:rsidRPr="00092862" w:rsidRDefault="00D10F07" w:rsidP="003817F3">
            <w:pPr>
              <w:spacing w:line="276" w:lineRule="auto"/>
              <w:jc w:val="center"/>
              <w:rPr>
                <w:rFonts w:ascii="Times New Roman" w:eastAsia="宋体" w:hAnsi="Times New Roman" w:cs="Times New Roman"/>
                <w:color w:val="000000" w:themeColor="text1"/>
                <w:szCs w:val="21"/>
              </w:rPr>
            </w:pPr>
          </w:p>
        </w:tc>
      </w:tr>
      <w:tr w:rsidR="00697429" w:rsidRPr="00092862" w14:paraId="6F2714A5" w14:textId="77777777" w:rsidTr="003817F3">
        <w:trPr>
          <w:trHeight w:val="403"/>
          <w:jc w:val="center"/>
        </w:trPr>
        <w:tc>
          <w:tcPr>
            <w:tcW w:w="1327" w:type="dxa"/>
            <w:vAlign w:val="center"/>
          </w:tcPr>
          <w:p w14:paraId="7DE1A1F0" w14:textId="5468F1AD"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油罐区、油桶堆放区</w:t>
            </w:r>
          </w:p>
        </w:tc>
        <w:tc>
          <w:tcPr>
            <w:tcW w:w="2223" w:type="dxa"/>
            <w:vAlign w:val="center"/>
          </w:tcPr>
          <w:p w14:paraId="540E669A" w14:textId="590C5E1A"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油罐区的池底及围堰、油桶区域及围堰</w:t>
            </w:r>
          </w:p>
        </w:tc>
        <w:tc>
          <w:tcPr>
            <w:tcW w:w="1165" w:type="dxa"/>
            <w:vMerge/>
            <w:vAlign w:val="center"/>
          </w:tcPr>
          <w:p w14:paraId="478309DF"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091E8762"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733C6622"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r>
      <w:tr w:rsidR="00697429" w:rsidRPr="00092862" w14:paraId="433DF2E8" w14:textId="77777777" w:rsidTr="003817F3">
        <w:trPr>
          <w:trHeight w:val="403"/>
          <w:jc w:val="center"/>
        </w:trPr>
        <w:tc>
          <w:tcPr>
            <w:tcW w:w="1327" w:type="dxa"/>
            <w:vAlign w:val="center"/>
          </w:tcPr>
          <w:p w14:paraId="70BA89E6" w14:textId="09F95C52"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泥浆循环系统</w:t>
            </w:r>
          </w:p>
        </w:tc>
        <w:tc>
          <w:tcPr>
            <w:tcW w:w="2223" w:type="dxa"/>
            <w:vAlign w:val="center"/>
          </w:tcPr>
          <w:p w14:paraId="3F493F28" w14:textId="3E577CBF"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重浆罐的池底、池壁围堰及泥浆泵基础</w:t>
            </w:r>
          </w:p>
        </w:tc>
        <w:tc>
          <w:tcPr>
            <w:tcW w:w="1165" w:type="dxa"/>
            <w:vMerge/>
            <w:vAlign w:val="center"/>
          </w:tcPr>
          <w:p w14:paraId="7808AC15"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7FBE9790"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4DC96BEB"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r>
      <w:tr w:rsidR="00697429" w:rsidRPr="00092862" w14:paraId="151250BE" w14:textId="77777777" w:rsidTr="003817F3">
        <w:trPr>
          <w:trHeight w:val="403"/>
          <w:jc w:val="center"/>
        </w:trPr>
        <w:tc>
          <w:tcPr>
            <w:tcW w:w="1327" w:type="dxa"/>
            <w:vAlign w:val="center"/>
          </w:tcPr>
          <w:p w14:paraId="03DAEBCF" w14:textId="1C60D1E4"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泥浆不落地系统</w:t>
            </w:r>
          </w:p>
        </w:tc>
        <w:tc>
          <w:tcPr>
            <w:tcW w:w="2223" w:type="dxa"/>
            <w:vAlign w:val="center"/>
          </w:tcPr>
          <w:p w14:paraId="00952611" w14:textId="4960D246"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整体基础</w:t>
            </w:r>
          </w:p>
        </w:tc>
        <w:tc>
          <w:tcPr>
            <w:tcW w:w="1165" w:type="dxa"/>
            <w:vMerge/>
            <w:vAlign w:val="center"/>
          </w:tcPr>
          <w:p w14:paraId="74E200B0"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1D4147B8"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6C690C86"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r>
      <w:tr w:rsidR="00697429" w:rsidRPr="00092862" w14:paraId="74F179A8" w14:textId="77777777" w:rsidTr="003817F3">
        <w:trPr>
          <w:trHeight w:val="403"/>
          <w:jc w:val="center"/>
        </w:trPr>
        <w:tc>
          <w:tcPr>
            <w:tcW w:w="1327" w:type="dxa"/>
            <w:vAlign w:val="center"/>
          </w:tcPr>
          <w:p w14:paraId="72D58538" w14:textId="21327F61"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循环罐、储备罐</w:t>
            </w:r>
          </w:p>
        </w:tc>
        <w:tc>
          <w:tcPr>
            <w:tcW w:w="2223" w:type="dxa"/>
            <w:vAlign w:val="center"/>
          </w:tcPr>
          <w:p w14:paraId="0464A763" w14:textId="3EEB3C5D" w:rsidR="00D10F07" w:rsidRPr="00092862" w:rsidRDefault="00D10F07"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循环罐、储备罐的池底及围堰</w:t>
            </w:r>
          </w:p>
        </w:tc>
        <w:tc>
          <w:tcPr>
            <w:tcW w:w="1165" w:type="dxa"/>
            <w:vMerge/>
            <w:vAlign w:val="center"/>
          </w:tcPr>
          <w:p w14:paraId="24764620"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686D0633"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3993C4CB"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r>
      <w:tr w:rsidR="00697429" w:rsidRPr="00092862" w14:paraId="4DBC3CDD" w14:textId="77777777" w:rsidTr="003817F3">
        <w:trPr>
          <w:trHeight w:val="403"/>
          <w:jc w:val="center"/>
        </w:trPr>
        <w:tc>
          <w:tcPr>
            <w:tcW w:w="1327" w:type="dxa"/>
            <w:vAlign w:val="center"/>
          </w:tcPr>
          <w:p w14:paraId="4E61AE1C" w14:textId="6CE46984" w:rsidR="00D10F07" w:rsidRPr="00092862" w:rsidRDefault="00006D9D"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埋地</w:t>
            </w:r>
            <w:r w:rsidR="00D10F07" w:rsidRPr="00092862">
              <w:rPr>
                <w:rFonts w:ascii="Times New Roman" w:eastAsia="宋体" w:hAnsi="Times New Roman" w:cs="Times New Roman"/>
                <w:color w:val="000000" w:themeColor="text1"/>
                <w:szCs w:val="21"/>
              </w:rPr>
              <w:t>管道</w:t>
            </w:r>
          </w:p>
        </w:tc>
        <w:tc>
          <w:tcPr>
            <w:tcW w:w="2223" w:type="dxa"/>
            <w:vAlign w:val="center"/>
          </w:tcPr>
          <w:p w14:paraId="14615472" w14:textId="40546B40" w:rsidR="00D10F07" w:rsidRPr="00092862" w:rsidRDefault="00006D9D"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管道本身</w:t>
            </w:r>
          </w:p>
        </w:tc>
        <w:tc>
          <w:tcPr>
            <w:tcW w:w="1165" w:type="dxa"/>
            <w:vMerge/>
            <w:vAlign w:val="center"/>
          </w:tcPr>
          <w:p w14:paraId="74F15EF2"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6AD45955" w14:textId="77777777" w:rsidR="00D10F07" w:rsidRPr="00092862" w:rsidRDefault="00D10F07" w:rsidP="00D0507F">
            <w:pPr>
              <w:spacing w:line="276" w:lineRule="auto"/>
              <w:jc w:val="center"/>
              <w:rPr>
                <w:rFonts w:ascii="Times New Roman" w:eastAsia="宋体" w:hAnsi="Times New Roman" w:cs="Times New Roman"/>
                <w:color w:val="000000" w:themeColor="text1"/>
                <w:szCs w:val="21"/>
              </w:rPr>
            </w:pPr>
          </w:p>
        </w:tc>
        <w:tc>
          <w:tcPr>
            <w:tcW w:w="2167" w:type="dxa"/>
            <w:vAlign w:val="center"/>
          </w:tcPr>
          <w:p w14:paraId="6F73EF9D" w14:textId="5D3749B7" w:rsidR="00D10F07" w:rsidRPr="00092862" w:rsidRDefault="00006D9D" w:rsidP="00D0507F">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选用符合重点防渗要求的管材</w:t>
            </w:r>
          </w:p>
        </w:tc>
      </w:tr>
      <w:tr w:rsidR="00697429" w:rsidRPr="00092862" w14:paraId="39CA1C57" w14:textId="77777777" w:rsidTr="003817F3">
        <w:trPr>
          <w:trHeight w:val="403"/>
          <w:jc w:val="center"/>
        </w:trPr>
        <w:tc>
          <w:tcPr>
            <w:tcW w:w="1327" w:type="dxa"/>
            <w:vAlign w:val="center"/>
          </w:tcPr>
          <w:p w14:paraId="7253FD90" w14:textId="343C2461"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发电机房及电传系统</w:t>
            </w:r>
          </w:p>
        </w:tc>
        <w:tc>
          <w:tcPr>
            <w:tcW w:w="2223" w:type="dxa"/>
            <w:vAlign w:val="center"/>
          </w:tcPr>
          <w:p w14:paraId="1B33605F" w14:textId="024C5C2F"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发电机房基础</w:t>
            </w:r>
          </w:p>
        </w:tc>
        <w:tc>
          <w:tcPr>
            <w:tcW w:w="1165" w:type="dxa"/>
            <w:vMerge w:val="restart"/>
            <w:vAlign w:val="center"/>
          </w:tcPr>
          <w:p w14:paraId="1D04D516" w14:textId="77777777"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一般防渗分区</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部位</w:t>
            </w:r>
          </w:p>
        </w:tc>
        <w:tc>
          <w:tcPr>
            <w:tcW w:w="2002" w:type="dxa"/>
            <w:vMerge w:val="restart"/>
            <w:vAlign w:val="center"/>
          </w:tcPr>
          <w:p w14:paraId="5D6F65C9" w14:textId="77777777"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等效黏土防渗层</w:t>
            </w:r>
            <w:r w:rsidRPr="00092862">
              <w:rPr>
                <w:rFonts w:ascii="Times New Roman" w:eastAsia="宋体" w:hAnsi="Times New Roman" w:cs="Times New Roman"/>
                <w:color w:val="000000" w:themeColor="text1"/>
                <w:szCs w:val="21"/>
              </w:rPr>
              <w:t>Mb≥</w:t>
            </w:r>
            <w:smartTag w:uri="urn:schemas-microsoft-com:office:smarttags" w:element="chmetcnv">
              <w:smartTagPr>
                <w:attr w:name="TCSC" w:val="0"/>
                <w:attr w:name="NumberType" w:val="1"/>
                <w:attr w:name="Negative" w:val="False"/>
                <w:attr w:name="HasSpace" w:val="False"/>
                <w:attr w:name="SourceValue" w:val="1.5"/>
                <w:attr w:name="UnitName" w:val="m"/>
              </w:smartTagPr>
              <w:r w:rsidRPr="00092862">
                <w:rPr>
                  <w:rFonts w:ascii="Times New Roman" w:eastAsia="宋体" w:hAnsi="Times New Roman" w:cs="Times New Roman"/>
                  <w:color w:val="000000" w:themeColor="text1"/>
                  <w:szCs w:val="21"/>
                </w:rPr>
                <w:t>1.5m</w:t>
              </w:r>
            </w:smartTag>
            <w:r w:rsidRPr="00092862">
              <w:rPr>
                <w:rFonts w:ascii="Times New Roman" w:eastAsia="宋体" w:hAnsi="Times New Roman" w:cs="Times New Roman"/>
                <w:color w:val="000000" w:themeColor="text1"/>
                <w:szCs w:val="21"/>
              </w:rPr>
              <w:t>，防渗系</w:t>
            </w:r>
            <w:r w:rsidRPr="00092862">
              <w:rPr>
                <w:rFonts w:ascii="Times New Roman" w:eastAsia="宋体" w:hAnsi="Times New Roman" w:cs="Times New Roman"/>
                <w:color w:val="000000" w:themeColor="text1"/>
                <w:szCs w:val="21"/>
              </w:rPr>
              <w:lastRenderedPageBreak/>
              <w:t>数</w:t>
            </w:r>
            <w:r w:rsidRPr="00092862">
              <w:rPr>
                <w:rFonts w:ascii="Times New Roman" w:eastAsia="宋体" w:hAnsi="Times New Roman" w:cs="Times New Roman"/>
                <w:color w:val="000000" w:themeColor="text1"/>
                <w:szCs w:val="21"/>
              </w:rPr>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092862">
                <w:rPr>
                  <w:rFonts w:ascii="Times New Roman" w:eastAsia="宋体" w:hAnsi="Times New Roman" w:cs="Times New Roman"/>
                  <w:color w:val="000000" w:themeColor="text1"/>
                  <w:szCs w:val="21"/>
                  <w:vertAlign w:val="superscript"/>
                </w:rPr>
                <w:t>-7</w:t>
              </w:r>
              <w:r w:rsidRPr="00092862">
                <w:rPr>
                  <w:rFonts w:ascii="Times New Roman" w:eastAsia="宋体" w:hAnsi="Times New Roman" w:cs="Times New Roman"/>
                  <w:color w:val="000000" w:themeColor="text1"/>
                  <w:szCs w:val="21"/>
                </w:rPr>
                <w:t>cm</w:t>
              </w:r>
            </w:smartTag>
            <w:r w:rsidRPr="00092862">
              <w:rPr>
                <w:rFonts w:ascii="Times New Roman" w:eastAsia="宋体" w:hAnsi="Times New Roman" w:cs="Times New Roman"/>
                <w:color w:val="000000" w:themeColor="text1"/>
                <w:szCs w:val="21"/>
              </w:rPr>
              <w:t>/s</w:t>
            </w:r>
            <w:r w:rsidRPr="00092862">
              <w:rPr>
                <w:rFonts w:ascii="Times New Roman" w:eastAsia="宋体" w:hAnsi="Times New Roman" w:cs="Times New Roman"/>
                <w:color w:val="000000" w:themeColor="text1"/>
                <w:szCs w:val="21"/>
              </w:rPr>
              <w:t>，或参照</w:t>
            </w:r>
            <w:r w:rsidRPr="00092862">
              <w:rPr>
                <w:rFonts w:ascii="Times New Roman" w:eastAsia="宋体" w:hAnsi="Times New Roman" w:cs="Times New Roman"/>
                <w:color w:val="000000" w:themeColor="text1"/>
                <w:szCs w:val="21"/>
              </w:rPr>
              <w:t>GB16889</w:t>
            </w:r>
            <w:r w:rsidRPr="00092862">
              <w:rPr>
                <w:rFonts w:ascii="Times New Roman" w:eastAsia="宋体" w:hAnsi="Times New Roman" w:cs="Times New Roman"/>
                <w:color w:val="000000" w:themeColor="text1"/>
                <w:szCs w:val="21"/>
              </w:rPr>
              <w:t>执行</w:t>
            </w:r>
          </w:p>
        </w:tc>
        <w:tc>
          <w:tcPr>
            <w:tcW w:w="2167" w:type="dxa"/>
            <w:vMerge w:val="restart"/>
            <w:vAlign w:val="center"/>
          </w:tcPr>
          <w:p w14:paraId="15A0C416" w14:textId="77777777" w:rsidR="00E92D58" w:rsidRPr="00092862" w:rsidRDefault="00E92D58" w:rsidP="00E92D58">
            <w:pPr>
              <w:spacing w:line="276" w:lineRule="auto"/>
              <w:jc w:val="center"/>
              <w:rPr>
                <w:rFonts w:ascii="Times New Roman" w:eastAsia="宋体" w:hAnsi="Times New Roman" w:cs="Times New Roman"/>
                <w:color w:val="000000" w:themeColor="text1"/>
                <w:szCs w:val="21"/>
              </w:rPr>
            </w:pPr>
            <w:bookmarkStart w:id="358" w:name="OLE_LINK7"/>
            <w:bookmarkStart w:id="359" w:name="OLE_LINK8"/>
            <w:r w:rsidRPr="00092862">
              <w:rPr>
                <w:rFonts w:ascii="Times New Roman" w:eastAsia="宋体" w:hAnsi="Times New Roman" w:cs="Times New Roman"/>
                <w:color w:val="000000" w:themeColor="text1"/>
                <w:szCs w:val="21"/>
              </w:rPr>
              <w:lastRenderedPageBreak/>
              <w:t>混凝土</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防渗系数</w:t>
            </w:r>
          </w:p>
          <w:p w14:paraId="538F4154" w14:textId="77777777"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达到</w:t>
            </w:r>
            <w:r w:rsidRPr="00092862">
              <w:rPr>
                <w:rFonts w:ascii="Times New Roman" w:eastAsia="宋体" w:hAnsi="Times New Roman" w:cs="Times New Roman"/>
                <w:color w:val="000000" w:themeColor="text1"/>
                <w:szCs w:val="21"/>
              </w:rPr>
              <w:t>1.0×10</w:t>
            </w:r>
            <w:smartTag w:uri="urn:schemas-microsoft-com:office:smarttags" w:element="chmetcnv">
              <w:smartTagPr>
                <w:attr w:name="TCSC" w:val="0"/>
                <w:attr w:name="NumberType" w:val="1"/>
                <w:attr w:name="Negative" w:val="True"/>
                <w:attr w:name="HasSpace" w:val="False"/>
                <w:attr w:name="SourceValue" w:val="7"/>
                <w:attr w:name="UnitName" w:val="cm"/>
              </w:smartTagPr>
              <w:r w:rsidRPr="00092862">
                <w:rPr>
                  <w:rFonts w:ascii="Times New Roman" w:eastAsia="宋体" w:hAnsi="Times New Roman" w:cs="Times New Roman"/>
                  <w:color w:val="000000" w:themeColor="text1"/>
                  <w:szCs w:val="21"/>
                  <w:vertAlign w:val="superscript"/>
                </w:rPr>
                <w:t>-7</w:t>
              </w:r>
              <w:r w:rsidRPr="00092862">
                <w:rPr>
                  <w:rFonts w:ascii="Times New Roman" w:eastAsia="宋体" w:hAnsi="Times New Roman" w:cs="Times New Roman"/>
                  <w:color w:val="000000" w:themeColor="text1"/>
                  <w:szCs w:val="21"/>
                </w:rPr>
                <w:t>cm</w:t>
              </w:r>
            </w:smartTag>
            <w:r w:rsidRPr="00092862">
              <w:rPr>
                <w:rFonts w:ascii="Times New Roman" w:eastAsia="宋体" w:hAnsi="Times New Roman" w:cs="Times New Roman"/>
                <w:color w:val="000000" w:themeColor="text1"/>
                <w:szCs w:val="21"/>
              </w:rPr>
              <w:t>/s</w:t>
            </w:r>
            <w:r w:rsidRPr="00092862">
              <w:rPr>
                <w:rFonts w:ascii="Times New Roman" w:eastAsia="宋体" w:hAnsi="Times New Roman" w:cs="Times New Roman"/>
                <w:color w:val="000000" w:themeColor="text1"/>
                <w:szCs w:val="21"/>
              </w:rPr>
              <w:t>的</w:t>
            </w:r>
            <w:r w:rsidRPr="00092862">
              <w:rPr>
                <w:rFonts w:ascii="Times New Roman" w:eastAsia="宋体" w:hAnsi="Times New Roman" w:cs="Times New Roman"/>
                <w:color w:val="000000" w:themeColor="text1"/>
                <w:szCs w:val="21"/>
              </w:rPr>
              <w:lastRenderedPageBreak/>
              <w:t>防渗材料</w:t>
            </w:r>
            <w:bookmarkEnd w:id="358"/>
            <w:bookmarkEnd w:id="359"/>
          </w:p>
        </w:tc>
      </w:tr>
      <w:tr w:rsidR="00697429" w:rsidRPr="00092862" w14:paraId="1BBCB729" w14:textId="77777777" w:rsidTr="003817F3">
        <w:trPr>
          <w:trHeight w:val="403"/>
          <w:jc w:val="center"/>
        </w:trPr>
        <w:tc>
          <w:tcPr>
            <w:tcW w:w="1327" w:type="dxa"/>
            <w:vAlign w:val="center"/>
          </w:tcPr>
          <w:p w14:paraId="7F85DA87" w14:textId="19C92404" w:rsidR="00CB1B02" w:rsidRPr="00092862" w:rsidRDefault="00CB1B02"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lastRenderedPageBreak/>
              <w:t>井架基础</w:t>
            </w:r>
          </w:p>
        </w:tc>
        <w:tc>
          <w:tcPr>
            <w:tcW w:w="2223" w:type="dxa"/>
            <w:vAlign w:val="center"/>
          </w:tcPr>
          <w:p w14:paraId="4D1D78C9" w14:textId="20D61C56" w:rsidR="00CB1B02" w:rsidRPr="00092862" w:rsidRDefault="00CB1B02"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钻井平台基础</w:t>
            </w:r>
          </w:p>
        </w:tc>
        <w:tc>
          <w:tcPr>
            <w:tcW w:w="1165" w:type="dxa"/>
            <w:vMerge/>
            <w:vAlign w:val="center"/>
          </w:tcPr>
          <w:p w14:paraId="7EAF87B7" w14:textId="77777777" w:rsidR="00CB1B02" w:rsidRPr="00092862" w:rsidRDefault="00CB1B02" w:rsidP="00E92D58">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2EF6695F" w14:textId="77777777" w:rsidR="00CB1B02" w:rsidRPr="00092862" w:rsidRDefault="00CB1B02" w:rsidP="00E92D58">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3E353EF3" w14:textId="77777777" w:rsidR="00CB1B02" w:rsidRPr="00092862" w:rsidRDefault="00CB1B02" w:rsidP="00E92D58">
            <w:pPr>
              <w:spacing w:line="276" w:lineRule="auto"/>
              <w:jc w:val="center"/>
              <w:rPr>
                <w:rFonts w:ascii="Times New Roman" w:eastAsia="宋体" w:hAnsi="Times New Roman" w:cs="Times New Roman"/>
                <w:color w:val="000000" w:themeColor="text1"/>
                <w:szCs w:val="21"/>
              </w:rPr>
            </w:pPr>
          </w:p>
        </w:tc>
      </w:tr>
      <w:tr w:rsidR="00697429" w:rsidRPr="00092862" w14:paraId="45868E7F" w14:textId="77777777" w:rsidTr="003817F3">
        <w:trPr>
          <w:trHeight w:val="403"/>
          <w:jc w:val="center"/>
        </w:trPr>
        <w:tc>
          <w:tcPr>
            <w:tcW w:w="1327" w:type="dxa"/>
            <w:vAlign w:val="center"/>
          </w:tcPr>
          <w:p w14:paraId="5BC47B2E" w14:textId="2005BF40" w:rsidR="0017502F" w:rsidRPr="00092862" w:rsidRDefault="0017502F"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钻井固废暂存区</w:t>
            </w:r>
          </w:p>
        </w:tc>
        <w:tc>
          <w:tcPr>
            <w:tcW w:w="2223" w:type="dxa"/>
            <w:vAlign w:val="center"/>
          </w:tcPr>
          <w:p w14:paraId="1BB67499" w14:textId="75C19F36" w:rsidR="0017502F" w:rsidRPr="00092862" w:rsidRDefault="0017502F"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整体基础</w:t>
            </w:r>
          </w:p>
        </w:tc>
        <w:tc>
          <w:tcPr>
            <w:tcW w:w="1165" w:type="dxa"/>
            <w:vMerge/>
            <w:vAlign w:val="center"/>
          </w:tcPr>
          <w:p w14:paraId="41A3BFBD" w14:textId="77777777" w:rsidR="0017502F" w:rsidRPr="00092862" w:rsidRDefault="0017502F" w:rsidP="00E92D58">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41FF8B4E" w14:textId="77777777" w:rsidR="0017502F" w:rsidRPr="00092862" w:rsidRDefault="0017502F" w:rsidP="00E92D58">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038FFA6B" w14:textId="77777777" w:rsidR="0017502F" w:rsidRPr="00092862" w:rsidRDefault="0017502F" w:rsidP="00E92D58">
            <w:pPr>
              <w:spacing w:line="276" w:lineRule="auto"/>
              <w:jc w:val="center"/>
              <w:rPr>
                <w:rFonts w:ascii="Times New Roman" w:eastAsia="宋体" w:hAnsi="Times New Roman" w:cs="Times New Roman"/>
                <w:color w:val="000000" w:themeColor="text1"/>
                <w:szCs w:val="21"/>
              </w:rPr>
            </w:pPr>
          </w:p>
        </w:tc>
      </w:tr>
      <w:tr w:rsidR="00697429" w:rsidRPr="00092862" w14:paraId="5D2E819B" w14:textId="77777777" w:rsidTr="003817F3">
        <w:trPr>
          <w:trHeight w:val="403"/>
          <w:jc w:val="center"/>
        </w:trPr>
        <w:tc>
          <w:tcPr>
            <w:tcW w:w="1327" w:type="dxa"/>
            <w:vAlign w:val="center"/>
          </w:tcPr>
          <w:p w14:paraId="76AE1803" w14:textId="10AF66C8" w:rsidR="00CB1B02" w:rsidRPr="00092862" w:rsidRDefault="0017502F"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气源房</w:t>
            </w:r>
            <w:r w:rsidR="00CB1B02" w:rsidRPr="00092862">
              <w:rPr>
                <w:rFonts w:ascii="Times New Roman" w:eastAsia="宋体" w:hAnsi="Times New Roman" w:cs="Times New Roman"/>
                <w:color w:val="000000" w:themeColor="text1"/>
                <w:szCs w:val="21"/>
              </w:rPr>
              <w:t>、材料棚、雨、污分流区域</w:t>
            </w:r>
          </w:p>
        </w:tc>
        <w:tc>
          <w:tcPr>
            <w:tcW w:w="2223" w:type="dxa"/>
            <w:vAlign w:val="center"/>
          </w:tcPr>
          <w:p w14:paraId="0FDC2B98" w14:textId="2D889852" w:rsidR="00CB1B02" w:rsidRPr="00092862" w:rsidRDefault="00CB1B02"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基础</w:t>
            </w:r>
          </w:p>
        </w:tc>
        <w:tc>
          <w:tcPr>
            <w:tcW w:w="1165" w:type="dxa"/>
            <w:vMerge/>
            <w:vAlign w:val="center"/>
          </w:tcPr>
          <w:p w14:paraId="0C812D7B" w14:textId="77777777" w:rsidR="00CB1B02" w:rsidRPr="00092862" w:rsidRDefault="00CB1B02" w:rsidP="00E92D58">
            <w:pPr>
              <w:spacing w:line="276" w:lineRule="auto"/>
              <w:jc w:val="center"/>
              <w:rPr>
                <w:rFonts w:ascii="Times New Roman" w:eastAsia="宋体" w:hAnsi="Times New Roman" w:cs="Times New Roman"/>
                <w:color w:val="000000" w:themeColor="text1"/>
                <w:szCs w:val="21"/>
              </w:rPr>
            </w:pPr>
          </w:p>
        </w:tc>
        <w:tc>
          <w:tcPr>
            <w:tcW w:w="2002" w:type="dxa"/>
            <w:vMerge/>
            <w:vAlign w:val="center"/>
          </w:tcPr>
          <w:p w14:paraId="52BA7131" w14:textId="77777777" w:rsidR="00CB1B02" w:rsidRPr="00092862" w:rsidRDefault="00CB1B02" w:rsidP="00E92D58">
            <w:pPr>
              <w:spacing w:line="276" w:lineRule="auto"/>
              <w:jc w:val="center"/>
              <w:rPr>
                <w:rFonts w:ascii="Times New Roman" w:eastAsia="宋体" w:hAnsi="Times New Roman" w:cs="Times New Roman"/>
                <w:color w:val="000000" w:themeColor="text1"/>
                <w:szCs w:val="21"/>
              </w:rPr>
            </w:pPr>
          </w:p>
        </w:tc>
        <w:tc>
          <w:tcPr>
            <w:tcW w:w="2167" w:type="dxa"/>
            <w:vMerge/>
            <w:vAlign w:val="center"/>
          </w:tcPr>
          <w:p w14:paraId="559556C4" w14:textId="77777777" w:rsidR="00CB1B02" w:rsidRPr="00092862" w:rsidRDefault="00CB1B02" w:rsidP="00E92D58">
            <w:pPr>
              <w:spacing w:line="276" w:lineRule="auto"/>
              <w:jc w:val="center"/>
              <w:rPr>
                <w:rFonts w:ascii="Times New Roman" w:eastAsia="宋体" w:hAnsi="Times New Roman" w:cs="Times New Roman"/>
                <w:color w:val="000000" w:themeColor="text1"/>
                <w:szCs w:val="21"/>
              </w:rPr>
            </w:pPr>
          </w:p>
        </w:tc>
      </w:tr>
      <w:tr w:rsidR="00697429" w:rsidRPr="00092862" w14:paraId="17E56507" w14:textId="77777777" w:rsidTr="003817F3">
        <w:trPr>
          <w:trHeight w:val="403"/>
          <w:jc w:val="center"/>
        </w:trPr>
        <w:tc>
          <w:tcPr>
            <w:tcW w:w="1327" w:type="dxa"/>
            <w:vAlign w:val="center"/>
          </w:tcPr>
          <w:p w14:paraId="19AE13DE" w14:textId="7A861046"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环保厕所</w:t>
            </w:r>
          </w:p>
        </w:tc>
        <w:tc>
          <w:tcPr>
            <w:tcW w:w="2223" w:type="dxa"/>
            <w:vAlign w:val="center"/>
          </w:tcPr>
          <w:p w14:paraId="463CF275" w14:textId="042B3A28" w:rsidR="00E92D58" w:rsidRPr="00092862" w:rsidRDefault="00E92D58" w:rsidP="00E92D58">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池底及池壁</w:t>
            </w:r>
          </w:p>
        </w:tc>
        <w:tc>
          <w:tcPr>
            <w:tcW w:w="1165" w:type="dxa"/>
            <w:vMerge/>
            <w:vAlign w:val="center"/>
          </w:tcPr>
          <w:p w14:paraId="2B2E3EEF" w14:textId="77777777" w:rsidR="00E92D58" w:rsidRPr="00092862" w:rsidRDefault="00E92D58" w:rsidP="00E92D58">
            <w:pPr>
              <w:snapToGrid w:val="0"/>
              <w:rPr>
                <w:rFonts w:ascii="Times New Roman" w:eastAsia="宋体" w:hAnsi="Times New Roman" w:cs="Times New Roman"/>
                <w:color w:val="000000" w:themeColor="text1"/>
                <w:szCs w:val="24"/>
              </w:rPr>
            </w:pPr>
          </w:p>
        </w:tc>
        <w:tc>
          <w:tcPr>
            <w:tcW w:w="2002" w:type="dxa"/>
            <w:vMerge/>
            <w:vAlign w:val="center"/>
          </w:tcPr>
          <w:p w14:paraId="283114CB" w14:textId="77777777" w:rsidR="00E92D58" w:rsidRPr="00092862" w:rsidRDefault="00E92D58" w:rsidP="00E92D58">
            <w:pPr>
              <w:snapToGrid w:val="0"/>
              <w:rPr>
                <w:rFonts w:ascii="Times New Roman" w:eastAsia="宋体" w:hAnsi="Times New Roman" w:cs="Times New Roman"/>
                <w:color w:val="000000" w:themeColor="text1"/>
                <w:szCs w:val="24"/>
              </w:rPr>
            </w:pPr>
          </w:p>
        </w:tc>
        <w:tc>
          <w:tcPr>
            <w:tcW w:w="2167" w:type="dxa"/>
            <w:vMerge/>
            <w:vAlign w:val="center"/>
          </w:tcPr>
          <w:p w14:paraId="7DF76B89" w14:textId="77777777" w:rsidR="00E92D58" w:rsidRPr="00092862" w:rsidRDefault="00E92D58" w:rsidP="00E92D58">
            <w:pPr>
              <w:snapToGrid w:val="0"/>
              <w:rPr>
                <w:rFonts w:ascii="Times New Roman" w:eastAsia="宋体" w:hAnsi="Times New Roman" w:cs="Times New Roman"/>
                <w:color w:val="000000" w:themeColor="text1"/>
                <w:szCs w:val="24"/>
              </w:rPr>
            </w:pPr>
          </w:p>
        </w:tc>
      </w:tr>
      <w:tr w:rsidR="00697429" w:rsidRPr="00092862" w14:paraId="46172FE7" w14:textId="77777777" w:rsidTr="003817F3">
        <w:trPr>
          <w:trHeight w:val="403"/>
          <w:jc w:val="center"/>
        </w:trPr>
        <w:tc>
          <w:tcPr>
            <w:tcW w:w="1327" w:type="dxa"/>
            <w:shd w:val="clear" w:color="auto" w:fill="auto"/>
            <w:vAlign w:val="center"/>
          </w:tcPr>
          <w:p w14:paraId="7C9ED41F"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水罐</w:t>
            </w:r>
          </w:p>
        </w:tc>
        <w:tc>
          <w:tcPr>
            <w:tcW w:w="2223" w:type="dxa"/>
            <w:shd w:val="clear" w:color="auto" w:fill="auto"/>
            <w:vAlign w:val="center"/>
          </w:tcPr>
          <w:p w14:paraId="743CABDC"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水罐周围地面</w:t>
            </w:r>
          </w:p>
        </w:tc>
        <w:tc>
          <w:tcPr>
            <w:tcW w:w="1165" w:type="dxa"/>
            <w:vMerge w:val="restart"/>
            <w:shd w:val="clear" w:color="auto" w:fill="auto"/>
            <w:vAlign w:val="center"/>
          </w:tcPr>
          <w:p w14:paraId="569A07D6"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简单防渗区</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部位</w:t>
            </w:r>
          </w:p>
        </w:tc>
        <w:tc>
          <w:tcPr>
            <w:tcW w:w="2002" w:type="dxa"/>
            <w:vMerge w:val="restart"/>
            <w:shd w:val="clear" w:color="auto" w:fill="auto"/>
            <w:vAlign w:val="center"/>
          </w:tcPr>
          <w:p w14:paraId="6E2B92C0"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一般地面硬化</w:t>
            </w:r>
          </w:p>
        </w:tc>
        <w:tc>
          <w:tcPr>
            <w:tcW w:w="2167" w:type="dxa"/>
            <w:vMerge w:val="restart"/>
            <w:shd w:val="clear" w:color="auto" w:fill="auto"/>
            <w:vAlign w:val="center"/>
          </w:tcPr>
          <w:p w14:paraId="18A9D32D"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水泥地面硬化或砂石黏土碾压</w:t>
            </w:r>
          </w:p>
        </w:tc>
      </w:tr>
      <w:tr w:rsidR="00697429" w:rsidRPr="00092862" w14:paraId="254710DC" w14:textId="77777777" w:rsidTr="003817F3">
        <w:trPr>
          <w:trHeight w:val="403"/>
          <w:jc w:val="center"/>
        </w:trPr>
        <w:tc>
          <w:tcPr>
            <w:tcW w:w="1327" w:type="dxa"/>
            <w:shd w:val="clear" w:color="auto" w:fill="auto"/>
            <w:vAlign w:val="center"/>
          </w:tcPr>
          <w:p w14:paraId="0295807F"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其他区域</w:t>
            </w:r>
          </w:p>
        </w:tc>
        <w:tc>
          <w:tcPr>
            <w:tcW w:w="2223" w:type="dxa"/>
            <w:shd w:val="clear" w:color="auto" w:fill="auto"/>
            <w:vAlign w:val="center"/>
          </w:tcPr>
          <w:p w14:paraId="3C6F37DE"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1165" w:type="dxa"/>
            <w:vMerge/>
            <w:shd w:val="clear" w:color="auto" w:fill="auto"/>
            <w:vAlign w:val="center"/>
          </w:tcPr>
          <w:p w14:paraId="11BF0E2E"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p>
        </w:tc>
        <w:tc>
          <w:tcPr>
            <w:tcW w:w="2002" w:type="dxa"/>
            <w:vMerge/>
            <w:shd w:val="clear" w:color="auto" w:fill="auto"/>
            <w:vAlign w:val="center"/>
          </w:tcPr>
          <w:p w14:paraId="698FAC9C"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p>
        </w:tc>
        <w:tc>
          <w:tcPr>
            <w:tcW w:w="2167" w:type="dxa"/>
            <w:vMerge/>
            <w:shd w:val="clear" w:color="auto" w:fill="auto"/>
            <w:vAlign w:val="center"/>
          </w:tcPr>
          <w:p w14:paraId="47DDDBD3" w14:textId="77777777" w:rsidR="00CC5146" w:rsidRPr="00092862" w:rsidRDefault="00CC5146" w:rsidP="003817F3">
            <w:pPr>
              <w:spacing w:line="276" w:lineRule="auto"/>
              <w:jc w:val="center"/>
              <w:rPr>
                <w:rFonts w:ascii="Times New Roman" w:eastAsia="宋体" w:hAnsi="Times New Roman" w:cs="Times New Roman"/>
                <w:color w:val="000000" w:themeColor="text1"/>
                <w:szCs w:val="21"/>
              </w:rPr>
            </w:pPr>
          </w:p>
        </w:tc>
      </w:tr>
    </w:tbl>
    <w:p w14:paraId="23C44E11" w14:textId="77777777" w:rsidR="00DC446C" w:rsidRPr="00092862" w:rsidRDefault="00AE18CC" w:rsidP="00AE18CC">
      <w:pPr>
        <w:adjustRightInd w:val="0"/>
        <w:snapToGrid w:val="0"/>
        <w:spacing w:beforeLines="50" w:before="120"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5</w:t>
      </w:r>
      <w:r w:rsidRPr="00092862">
        <w:rPr>
          <w:rFonts w:ascii="Times New Roman" w:eastAsia="黑体" w:hAnsi="Times New Roman" w:cs="Times New Roman"/>
          <w:color w:val="000000" w:themeColor="text1"/>
          <w:sz w:val="24"/>
          <w:szCs w:val="24"/>
        </w:rPr>
        <w:t>、</w:t>
      </w:r>
      <w:r w:rsidR="003B1968" w:rsidRPr="00092862">
        <w:rPr>
          <w:rFonts w:ascii="Times New Roman" w:eastAsia="黑体" w:hAnsi="Times New Roman" w:cs="Times New Roman"/>
          <w:color w:val="000000" w:themeColor="text1"/>
          <w:sz w:val="24"/>
          <w:szCs w:val="24"/>
        </w:rPr>
        <w:t>地下水环境监控</w:t>
      </w:r>
      <w:bookmarkEnd w:id="356"/>
      <w:bookmarkEnd w:id="357"/>
    </w:p>
    <w:p w14:paraId="3CF3B619" w14:textId="77777777" w:rsidR="00DC446C" w:rsidRPr="00092862" w:rsidRDefault="00AE18CC" w:rsidP="00AE18CC">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bookmarkStart w:id="360" w:name="_Toc14702847"/>
      <w:r w:rsidRPr="00092862">
        <w:rPr>
          <w:rFonts w:ascii="Times New Roman" w:eastAsia="宋体" w:hAnsi="Times New Roman" w:cs="Times New Roman"/>
          <w:b/>
          <w:bCs/>
          <w:color w:val="000000" w:themeColor="text1"/>
          <w:sz w:val="24"/>
          <w:szCs w:val="24"/>
        </w:rPr>
        <w:t>（</w:t>
      </w:r>
      <w:r w:rsidR="003B1968" w:rsidRPr="00092862">
        <w:rPr>
          <w:rFonts w:ascii="Times New Roman" w:eastAsia="宋体" w:hAnsi="Times New Roman" w:cs="Times New Roman"/>
          <w:b/>
          <w:bCs/>
          <w:color w:val="000000" w:themeColor="text1"/>
          <w:sz w:val="24"/>
          <w:szCs w:val="24"/>
        </w:rPr>
        <w:t>1</w:t>
      </w:r>
      <w:r w:rsidR="003B1968" w:rsidRPr="00092862">
        <w:rPr>
          <w:rFonts w:ascii="Times New Roman" w:eastAsia="宋体" w:hAnsi="Times New Roman" w:cs="Times New Roman"/>
          <w:b/>
          <w:bCs/>
          <w:color w:val="000000" w:themeColor="text1"/>
          <w:sz w:val="24"/>
          <w:szCs w:val="24"/>
        </w:rPr>
        <w:t>）地下水监控原则</w:t>
      </w:r>
      <w:bookmarkEnd w:id="360"/>
    </w:p>
    <w:p w14:paraId="0AAED192"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按照地下水环评导则及地下水监测技术规范等相关要求，地下水监测应按以下要求进行：</w:t>
      </w:r>
    </w:p>
    <w:p w14:paraId="6FAA8961"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①</w:t>
      </w:r>
      <w:r w:rsidRPr="00092862">
        <w:rPr>
          <w:rFonts w:ascii="Times New Roman" w:eastAsia="宋体" w:hAnsi="Times New Roman" w:cs="Times New Roman"/>
          <w:bCs/>
          <w:color w:val="000000" w:themeColor="text1"/>
          <w:sz w:val="24"/>
          <w:szCs w:val="24"/>
        </w:rPr>
        <w:t>在地下水水流上游方向应设不少于</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眼地下水背景</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或对照</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监控井；</w:t>
      </w:r>
    </w:p>
    <w:p w14:paraId="7C65490B"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②</w:t>
      </w:r>
      <w:r w:rsidRPr="00092862">
        <w:rPr>
          <w:rFonts w:ascii="Times New Roman" w:eastAsia="宋体" w:hAnsi="Times New Roman" w:cs="Times New Roman"/>
          <w:bCs/>
          <w:color w:val="000000" w:themeColor="text1"/>
          <w:sz w:val="24"/>
          <w:szCs w:val="24"/>
        </w:rPr>
        <w:t>在项目场地外可能受到影响的地下水环境敏感目标的上游应至少布设</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眼地下水污染监控井；</w:t>
      </w:r>
    </w:p>
    <w:p w14:paraId="54B0201C"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③</w:t>
      </w:r>
      <w:r w:rsidRPr="00092862">
        <w:rPr>
          <w:rFonts w:ascii="Times New Roman" w:eastAsia="宋体" w:hAnsi="Times New Roman" w:cs="Times New Roman"/>
          <w:bCs/>
          <w:color w:val="000000" w:themeColor="text1"/>
          <w:sz w:val="24"/>
          <w:szCs w:val="24"/>
        </w:rPr>
        <w:t>以取水层为监测目的层，以浅层潜水含水层为主，并应考虑可能受影响的承压含水层；</w:t>
      </w:r>
    </w:p>
    <w:p w14:paraId="03CCA86B"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④</w:t>
      </w:r>
      <w:r w:rsidRPr="00092862">
        <w:rPr>
          <w:rFonts w:ascii="Times New Roman" w:eastAsia="宋体" w:hAnsi="Times New Roman" w:cs="Times New Roman"/>
          <w:bCs/>
          <w:color w:val="000000" w:themeColor="text1"/>
          <w:sz w:val="24"/>
          <w:szCs w:val="24"/>
        </w:rPr>
        <w:t>在重点污染防治区加密监测；</w:t>
      </w:r>
    </w:p>
    <w:p w14:paraId="5D65C6F8"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⑤</w:t>
      </w:r>
      <w:r w:rsidRPr="00092862">
        <w:rPr>
          <w:rFonts w:ascii="Times New Roman" w:eastAsia="宋体" w:hAnsi="Times New Roman" w:cs="Times New Roman"/>
          <w:bCs/>
          <w:color w:val="000000" w:themeColor="text1"/>
          <w:sz w:val="24"/>
          <w:szCs w:val="24"/>
        </w:rPr>
        <w:t>根据各区块地下水环境影响预测与评价结果有针对性地布设监测井。</w:t>
      </w:r>
    </w:p>
    <w:p w14:paraId="248EF77B" w14:textId="77777777" w:rsidR="008265D6" w:rsidRPr="00092862" w:rsidRDefault="008265D6" w:rsidP="008265D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宋体" w:eastAsia="宋体" w:hAnsi="宋体" w:cs="宋体" w:hint="eastAsia"/>
          <w:bCs/>
          <w:color w:val="000000" w:themeColor="text1"/>
          <w:sz w:val="24"/>
          <w:szCs w:val="24"/>
        </w:rPr>
        <w:t>⑥</w:t>
      </w:r>
      <w:r w:rsidRPr="00092862">
        <w:rPr>
          <w:rFonts w:ascii="Times New Roman" w:eastAsia="宋体" w:hAnsi="Times New Roman" w:cs="Times New Roman"/>
          <w:bCs/>
          <w:color w:val="000000" w:themeColor="text1"/>
          <w:sz w:val="24"/>
          <w:szCs w:val="24"/>
        </w:rPr>
        <w:t>充分利用现有民井、监测井，污染事件发生后监测井可以作为地下水污染事故应急处置的抽水井；</w:t>
      </w:r>
    </w:p>
    <w:p w14:paraId="561DD618" w14:textId="3E6C4478" w:rsidR="00DC446C" w:rsidRPr="00092862" w:rsidRDefault="008265D6" w:rsidP="008265D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宋体" w:eastAsia="宋体" w:hAnsi="宋体" w:cs="宋体" w:hint="eastAsia"/>
          <w:bCs/>
          <w:color w:val="000000" w:themeColor="text1"/>
          <w:sz w:val="24"/>
          <w:szCs w:val="24"/>
        </w:rPr>
        <w:t>⑦</w:t>
      </w:r>
      <w:r w:rsidRPr="00092862">
        <w:rPr>
          <w:rFonts w:ascii="Times New Roman" w:eastAsia="宋体" w:hAnsi="Times New Roman" w:cs="Times New Roman"/>
          <w:bCs/>
          <w:color w:val="000000" w:themeColor="text1"/>
          <w:sz w:val="24"/>
          <w:szCs w:val="24"/>
        </w:rPr>
        <w:t>水质监测项目参照《地下水质量标准》</w:t>
      </w:r>
      <w:r w:rsidRPr="00092862">
        <w:rPr>
          <w:rFonts w:ascii="Times New Roman" w:eastAsia="宋体" w:hAnsi="Times New Roman" w:cs="Times New Roman"/>
          <w:bCs/>
          <w:color w:val="000000" w:themeColor="text1"/>
          <w:sz w:val="24"/>
          <w:szCs w:val="24"/>
        </w:rPr>
        <w:t>(GB/T 14848-2017)</w:t>
      </w:r>
      <w:r w:rsidRPr="00092862">
        <w:rPr>
          <w:rFonts w:ascii="Times New Roman" w:eastAsia="宋体" w:hAnsi="Times New Roman" w:cs="Times New Roman"/>
          <w:bCs/>
          <w:color w:val="000000" w:themeColor="text1"/>
          <w:sz w:val="24"/>
          <w:szCs w:val="24"/>
        </w:rPr>
        <w:t>相关要求和潜在污染源特征污染因子确定，各监测井可依据监测目的不同适当增加和减少监测项目。建设单位安全环保部门设立地下水动态监测小组，专人负责监测或者委托专业的机构分析</w:t>
      </w:r>
      <w:r w:rsidR="003B1968" w:rsidRPr="00092862">
        <w:rPr>
          <w:rFonts w:ascii="Times New Roman" w:eastAsia="宋体" w:hAnsi="Times New Roman" w:cs="Times New Roman"/>
          <w:color w:val="000000" w:themeColor="text1"/>
          <w:sz w:val="24"/>
          <w:szCs w:val="24"/>
        </w:rPr>
        <w:t>。</w:t>
      </w:r>
    </w:p>
    <w:p w14:paraId="51AB2C49" w14:textId="77777777" w:rsidR="00DC446C" w:rsidRPr="00092862" w:rsidRDefault="00AE18CC" w:rsidP="00AE18CC">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bookmarkStart w:id="361" w:name="_Toc14702848"/>
      <w:r w:rsidRPr="00092862">
        <w:rPr>
          <w:rFonts w:ascii="Times New Roman" w:eastAsia="宋体" w:hAnsi="Times New Roman" w:cs="Times New Roman"/>
          <w:b/>
          <w:bCs/>
          <w:color w:val="000000" w:themeColor="text1"/>
          <w:sz w:val="24"/>
          <w:szCs w:val="24"/>
        </w:rPr>
        <w:t>（</w:t>
      </w:r>
      <w:r w:rsidR="003B1968" w:rsidRPr="00092862">
        <w:rPr>
          <w:rFonts w:ascii="Times New Roman" w:eastAsia="宋体" w:hAnsi="Times New Roman" w:cs="Times New Roman"/>
          <w:b/>
          <w:bCs/>
          <w:color w:val="000000" w:themeColor="text1"/>
          <w:sz w:val="24"/>
          <w:szCs w:val="24"/>
        </w:rPr>
        <w:t>2</w:t>
      </w:r>
      <w:r w:rsidR="003B1968" w:rsidRPr="00092862">
        <w:rPr>
          <w:rFonts w:ascii="Times New Roman" w:eastAsia="宋体" w:hAnsi="Times New Roman" w:cs="Times New Roman"/>
          <w:b/>
          <w:bCs/>
          <w:color w:val="000000" w:themeColor="text1"/>
          <w:sz w:val="24"/>
          <w:szCs w:val="24"/>
        </w:rPr>
        <w:t>）监控井布置</w:t>
      </w:r>
      <w:bookmarkEnd w:id="361"/>
    </w:p>
    <w:p w14:paraId="2ECED6FE" w14:textId="4627022D" w:rsidR="00DC446C" w:rsidRPr="00092862" w:rsidRDefault="003B1968" w:rsidP="003D2EEB">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根据项目所在地区域地下水埋深、地下水走向、补径排关系以及监控井布设的难易程度，结合地形及位置关系，</w:t>
      </w:r>
      <w:r w:rsidR="00FA2743" w:rsidRPr="00092862">
        <w:rPr>
          <w:rFonts w:ascii="Times New Roman" w:eastAsia="宋体" w:hAnsi="Times New Roman" w:cs="Times New Roman"/>
          <w:color w:val="000000" w:themeColor="text1"/>
          <w:sz w:val="24"/>
          <w:szCs w:val="24"/>
        </w:rPr>
        <w:t>本项目</w:t>
      </w:r>
      <w:r w:rsidRPr="00092862">
        <w:rPr>
          <w:rFonts w:ascii="Times New Roman" w:eastAsia="宋体" w:hAnsi="Times New Roman" w:cs="Times New Roman"/>
          <w:color w:val="000000" w:themeColor="text1"/>
          <w:sz w:val="24"/>
          <w:szCs w:val="24"/>
        </w:rPr>
        <w:t>布置</w:t>
      </w:r>
      <w:r w:rsidR="00AE0D5E"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口居民水井作为地下水例行监测点，监测方案见下表</w:t>
      </w:r>
      <w:r w:rsidR="00704F23"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.1-</w:t>
      </w:r>
      <w:r w:rsidR="00AE18CC"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。环评建议施工期间加强对上述监测控制点的监控，若监测结果表明项目实施导致地下水污染，应采取临时供水措施（配送桶装水等）以保障居民的饮用水源安全。</w:t>
      </w:r>
    </w:p>
    <w:p w14:paraId="501AAC62" w14:textId="39DCA19A" w:rsidR="00DC446C" w:rsidRPr="00092862" w:rsidRDefault="003B1968"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704F23" w:rsidRPr="00092862">
        <w:rPr>
          <w:rFonts w:ascii="Times New Roman" w:eastAsia="黑体" w:hAnsi="Times New Roman"/>
          <w:color w:val="000000" w:themeColor="text1"/>
          <w:sz w:val="21"/>
          <w:szCs w:val="21"/>
          <w:lang w:eastAsia="zh-CN"/>
        </w:rPr>
        <w:t>7</w:t>
      </w:r>
      <w:r w:rsidRPr="00092862">
        <w:rPr>
          <w:rFonts w:ascii="Times New Roman" w:eastAsia="黑体" w:hAnsi="Times New Roman"/>
          <w:color w:val="000000" w:themeColor="text1"/>
          <w:sz w:val="21"/>
          <w:szCs w:val="21"/>
          <w:lang w:eastAsia="zh-CN"/>
        </w:rPr>
        <w:t>.1-</w:t>
      </w:r>
      <w:r w:rsidR="00AE18CC" w:rsidRPr="00092862">
        <w:rPr>
          <w:rFonts w:ascii="Times New Roman" w:eastAsia="黑体" w:hAnsi="Times New Roman"/>
          <w:color w:val="000000" w:themeColor="text1"/>
          <w:sz w:val="21"/>
          <w:szCs w:val="21"/>
          <w:lang w:eastAsia="zh-CN"/>
        </w:rPr>
        <w:t>2</w:t>
      </w:r>
      <w:r w:rsidRPr="00092862">
        <w:rPr>
          <w:rFonts w:ascii="Times New Roman" w:eastAsia="黑体" w:hAnsi="Times New Roman"/>
          <w:color w:val="000000" w:themeColor="text1"/>
          <w:sz w:val="21"/>
          <w:szCs w:val="21"/>
          <w:lang w:eastAsia="zh-CN"/>
        </w:rPr>
        <w:t xml:space="preserve">  </w:t>
      </w:r>
      <w:r w:rsidR="00AE18CC" w:rsidRPr="00092862">
        <w:rPr>
          <w:rFonts w:ascii="Times New Roman" w:eastAsia="黑体" w:hAnsi="Times New Roman"/>
          <w:color w:val="000000" w:themeColor="text1"/>
          <w:sz w:val="21"/>
          <w:szCs w:val="21"/>
          <w:lang w:eastAsia="zh-CN"/>
        </w:rPr>
        <w:t>施工</w:t>
      </w:r>
      <w:r w:rsidRPr="00092862">
        <w:rPr>
          <w:rFonts w:ascii="Times New Roman" w:eastAsia="黑体" w:hAnsi="Times New Roman"/>
          <w:color w:val="000000" w:themeColor="text1"/>
          <w:sz w:val="21"/>
          <w:szCs w:val="21"/>
          <w:lang w:eastAsia="zh-CN"/>
        </w:rPr>
        <w:t>期间地下水水质监测方案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2"/>
        <w:gridCol w:w="852"/>
        <w:gridCol w:w="993"/>
        <w:gridCol w:w="1135"/>
        <w:gridCol w:w="2208"/>
      </w:tblGrid>
      <w:tr w:rsidR="00697429" w:rsidRPr="00092862" w14:paraId="6FFB35C5" w14:textId="77777777" w:rsidTr="00AE0D5E">
        <w:trPr>
          <w:jc w:val="center"/>
        </w:trPr>
        <w:tc>
          <w:tcPr>
            <w:tcW w:w="1875" w:type="pct"/>
            <w:vMerge w:val="restart"/>
            <w:vAlign w:val="center"/>
          </w:tcPr>
          <w:p w14:paraId="2A540AD6"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监测井位与建设项目的位置关系</w:t>
            </w:r>
          </w:p>
        </w:tc>
        <w:tc>
          <w:tcPr>
            <w:tcW w:w="513" w:type="pct"/>
            <w:vMerge w:val="restart"/>
            <w:vAlign w:val="center"/>
          </w:tcPr>
          <w:p w14:paraId="75308869"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含水层</w:t>
            </w:r>
          </w:p>
        </w:tc>
        <w:tc>
          <w:tcPr>
            <w:tcW w:w="1282" w:type="pct"/>
            <w:gridSpan w:val="2"/>
            <w:vAlign w:val="center"/>
          </w:tcPr>
          <w:p w14:paraId="03AB2D7C"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监测项目</w:t>
            </w:r>
          </w:p>
        </w:tc>
        <w:tc>
          <w:tcPr>
            <w:tcW w:w="1330" w:type="pct"/>
            <w:vMerge w:val="restart"/>
            <w:vAlign w:val="center"/>
          </w:tcPr>
          <w:p w14:paraId="58FCA964"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监测频次</w:t>
            </w:r>
          </w:p>
        </w:tc>
      </w:tr>
      <w:tr w:rsidR="00697429" w:rsidRPr="00092862" w14:paraId="7DB23047" w14:textId="77777777" w:rsidTr="00AE0D5E">
        <w:trPr>
          <w:jc w:val="center"/>
        </w:trPr>
        <w:tc>
          <w:tcPr>
            <w:tcW w:w="1875" w:type="pct"/>
            <w:vMerge/>
            <w:vAlign w:val="center"/>
          </w:tcPr>
          <w:p w14:paraId="134ABB9C"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p>
        </w:tc>
        <w:tc>
          <w:tcPr>
            <w:tcW w:w="513" w:type="pct"/>
            <w:vMerge/>
            <w:vAlign w:val="center"/>
          </w:tcPr>
          <w:p w14:paraId="350BF8A9"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p>
        </w:tc>
        <w:tc>
          <w:tcPr>
            <w:tcW w:w="598" w:type="pct"/>
            <w:vAlign w:val="center"/>
          </w:tcPr>
          <w:p w14:paraId="236E2B05"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常规因子</w:t>
            </w:r>
          </w:p>
        </w:tc>
        <w:tc>
          <w:tcPr>
            <w:tcW w:w="684" w:type="pct"/>
            <w:vAlign w:val="center"/>
          </w:tcPr>
          <w:p w14:paraId="54751EF4"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特征因子</w:t>
            </w:r>
          </w:p>
        </w:tc>
        <w:tc>
          <w:tcPr>
            <w:tcW w:w="1330" w:type="pct"/>
            <w:vMerge/>
            <w:vAlign w:val="center"/>
          </w:tcPr>
          <w:p w14:paraId="2C316310" w14:textId="77777777" w:rsidR="009A6C81" w:rsidRPr="00092862" w:rsidRDefault="009A6C81" w:rsidP="003D2EEB">
            <w:pPr>
              <w:adjustRightInd w:val="0"/>
              <w:snapToGrid w:val="0"/>
              <w:jc w:val="center"/>
              <w:rPr>
                <w:rFonts w:ascii="Times New Roman" w:eastAsia="宋体" w:hAnsi="Times New Roman" w:cs="Times New Roman"/>
                <w:snapToGrid w:val="0"/>
                <w:color w:val="000000" w:themeColor="text1"/>
                <w:szCs w:val="21"/>
              </w:rPr>
            </w:pPr>
          </w:p>
        </w:tc>
      </w:tr>
      <w:tr w:rsidR="00697429" w:rsidRPr="00092862" w14:paraId="1723CA4B" w14:textId="77777777" w:rsidTr="00AE0D5E">
        <w:trPr>
          <w:jc w:val="center"/>
        </w:trPr>
        <w:tc>
          <w:tcPr>
            <w:tcW w:w="1875" w:type="pct"/>
            <w:shd w:val="clear" w:color="auto" w:fill="FFFFFF"/>
            <w:vAlign w:val="center"/>
          </w:tcPr>
          <w:p w14:paraId="37F32155" w14:textId="468EE8AA"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color w:val="000000" w:themeColor="text1"/>
                <w:szCs w:val="21"/>
              </w:rPr>
              <w:t>1#</w:t>
            </w:r>
            <w:r w:rsidR="00676047" w:rsidRPr="00092862">
              <w:rPr>
                <w:rFonts w:ascii="Times New Roman" w:eastAsia="宋体" w:hAnsi="Times New Roman" w:cs="Times New Roman"/>
                <w:color w:val="000000" w:themeColor="text1"/>
                <w:sz w:val="22"/>
              </w:rPr>
              <w:t>老君</w:t>
            </w:r>
            <w:r w:rsidR="00676047" w:rsidRPr="00092862">
              <w:rPr>
                <w:rFonts w:ascii="Times New Roman" w:eastAsia="宋体" w:hAnsi="Times New Roman" w:cs="Times New Roman"/>
                <w:color w:val="000000" w:themeColor="text1"/>
                <w:sz w:val="22"/>
              </w:rPr>
              <w:t>7011</w:t>
            </w:r>
            <w:r w:rsidR="00676047" w:rsidRPr="00092862">
              <w:rPr>
                <w:rFonts w:ascii="Times New Roman" w:eastAsia="宋体" w:hAnsi="Times New Roman" w:cs="Times New Roman"/>
                <w:color w:val="000000" w:themeColor="text1"/>
                <w:sz w:val="22"/>
              </w:rPr>
              <w:t>井台北侧</w:t>
            </w:r>
            <w:r w:rsidR="00676047" w:rsidRPr="00092862">
              <w:rPr>
                <w:rFonts w:ascii="Times New Roman" w:eastAsia="宋体" w:hAnsi="Times New Roman" w:cs="Times New Roman"/>
                <w:color w:val="000000" w:themeColor="text1"/>
                <w:szCs w:val="21"/>
              </w:rPr>
              <w:t>432</w:t>
            </w:r>
            <w:r w:rsidRPr="00092862">
              <w:rPr>
                <w:rFonts w:ascii="Times New Roman" w:eastAsia="宋体" w:hAnsi="Times New Roman" w:cs="Times New Roman"/>
                <w:color w:val="000000" w:themeColor="text1"/>
                <w:szCs w:val="21"/>
              </w:rPr>
              <w:t>m</w:t>
            </w:r>
            <w:r w:rsidRPr="00092862">
              <w:rPr>
                <w:rFonts w:ascii="Times New Roman" w:eastAsia="宋体" w:hAnsi="Times New Roman" w:cs="Times New Roman"/>
                <w:color w:val="000000" w:themeColor="text1"/>
                <w:szCs w:val="21"/>
              </w:rPr>
              <w:t>处居民水井</w:t>
            </w:r>
          </w:p>
        </w:tc>
        <w:tc>
          <w:tcPr>
            <w:tcW w:w="513" w:type="pct"/>
            <w:vAlign w:val="center"/>
          </w:tcPr>
          <w:p w14:paraId="0552985E" w14:textId="77777777"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潜水层</w:t>
            </w:r>
          </w:p>
        </w:tc>
        <w:tc>
          <w:tcPr>
            <w:tcW w:w="598" w:type="pct"/>
            <w:vMerge w:val="restart"/>
            <w:vAlign w:val="center"/>
          </w:tcPr>
          <w:p w14:paraId="7E0F058F" w14:textId="77777777"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pH</w:t>
            </w:r>
            <w:r w:rsidRPr="00092862">
              <w:rPr>
                <w:rFonts w:ascii="Times New Roman" w:eastAsia="宋体" w:hAnsi="Times New Roman" w:cs="Times New Roman"/>
                <w:snapToGrid w:val="0"/>
                <w:color w:val="000000" w:themeColor="text1"/>
                <w:szCs w:val="21"/>
              </w:rPr>
              <w:t>值、总硬度、六价铬、铁、锰、耗氧量</w:t>
            </w:r>
          </w:p>
        </w:tc>
        <w:tc>
          <w:tcPr>
            <w:tcW w:w="684" w:type="pct"/>
            <w:vMerge w:val="restart"/>
            <w:vAlign w:val="center"/>
          </w:tcPr>
          <w:p w14:paraId="21554AC5" w14:textId="77777777"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TDS</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COD</w:t>
            </w:r>
            <w:r w:rsidRPr="00092862">
              <w:rPr>
                <w:rFonts w:ascii="Times New Roman" w:eastAsia="宋体" w:hAnsi="Times New Roman" w:cs="Times New Roman"/>
                <w:snapToGrid w:val="0"/>
                <w:color w:val="000000" w:themeColor="text1"/>
                <w:szCs w:val="21"/>
              </w:rPr>
              <w:t>、石油类、氯化物（</w:t>
            </w:r>
            <w:r w:rsidRPr="00092862">
              <w:rPr>
                <w:rFonts w:ascii="Times New Roman" w:eastAsia="宋体" w:hAnsi="Times New Roman" w:cs="Times New Roman"/>
                <w:snapToGrid w:val="0"/>
                <w:color w:val="000000" w:themeColor="text1"/>
                <w:szCs w:val="21"/>
              </w:rPr>
              <w:t>Cl</w:t>
            </w:r>
            <w:r w:rsidRPr="00092862">
              <w:rPr>
                <w:rFonts w:ascii="Times New Roman" w:eastAsia="宋体" w:hAnsi="Times New Roman" w:cs="Times New Roman"/>
                <w:snapToGrid w:val="0"/>
                <w:color w:val="000000" w:themeColor="text1"/>
                <w:szCs w:val="21"/>
                <w:vertAlign w:val="superscript"/>
              </w:rPr>
              <w:t>-</w:t>
            </w:r>
            <w:r w:rsidRPr="00092862">
              <w:rPr>
                <w:rFonts w:ascii="Times New Roman" w:eastAsia="宋体" w:hAnsi="Times New Roman" w:cs="Times New Roman"/>
                <w:snapToGrid w:val="0"/>
                <w:color w:val="000000" w:themeColor="text1"/>
                <w:szCs w:val="21"/>
              </w:rPr>
              <w:t>）</w:t>
            </w:r>
          </w:p>
        </w:tc>
        <w:tc>
          <w:tcPr>
            <w:tcW w:w="1330" w:type="pct"/>
            <w:vMerge w:val="restart"/>
            <w:vAlign w:val="center"/>
          </w:tcPr>
          <w:p w14:paraId="602218F1" w14:textId="1B2F5021"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开工前</w:t>
            </w:r>
            <w:r w:rsidRPr="00092862">
              <w:rPr>
                <w:rFonts w:ascii="Times New Roman" w:eastAsia="宋体" w:hAnsi="Times New Roman" w:cs="Times New Roman"/>
                <w:snapToGrid w:val="0"/>
                <w:color w:val="000000" w:themeColor="text1"/>
                <w:szCs w:val="21"/>
              </w:rPr>
              <w:t>1</w:t>
            </w:r>
            <w:r w:rsidRPr="00092862">
              <w:rPr>
                <w:rFonts w:ascii="Times New Roman" w:eastAsia="宋体" w:hAnsi="Times New Roman" w:cs="Times New Roman"/>
                <w:snapToGrid w:val="0"/>
                <w:color w:val="000000" w:themeColor="text1"/>
                <w:szCs w:val="21"/>
              </w:rPr>
              <w:t>次，完钻后</w:t>
            </w:r>
            <w:r w:rsidRPr="00092862">
              <w:rPr>
                <w:rFonts w:ascii="Times New Roman" w:eastAsia="宋体" w:hAnsi="Times New Roman" w:cs="Times New Roman"/>
                <w:snapToGrid w:val="0"/>
                <w:color w:val="000000" w:themeColor="text1"/>
                <w:szCs w:val="21"/>
              </w:rPr>
              <w:t>1</w:t>
            </w:r>
            <w:r w:rsidRPr="00092862">
              <w:rPr>
                <w:rFonts w:ascii="Times New Roman" w:eastAsia="宋体" w:hAnsi="Times New Roman" w:cs="Times New Roman"/>
                <w:snapToGrid w:val="0"/>
                <w:color w:val="000000" w:themeColor="text1"/>
                <w:szCs w:val="21"/>
              </w:rPr>
              <w:t>次，发生事故时加密监测；试采期每年对</w:t>
            </w:r>
            <w:r w:rsidR="00AE0D5E" w:rsidRPr="00092862">
              <w:rPr>
                <w:rFonts w:ascii="Times New Roman" w:eastAsia="宋体" w:hAnsi="Times New Roman" w:cs="Times New Roman"/>
                <w:snapToGrid w:val="0"/>
                <w:color w:val="000000" w:themeColor="text1"/>
                <w:szCs w:val="21"/>
              </w:rPr>
              <w:t>2</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点位例行监测一次，事故时加密监测</w:t>
            </w:r>
          </w:p>
        </w:tc>
      </w:tr>
      <w:tr w:rsidR="00697429" w:rsidRPr="00092862" w14:paraId="698A3A96" w14:textId="77777777" w:rsidTr="00AE0D5E">
        <w:trPr>
          <w:jc w:val="center"/>
        </w:trPr>
        <w:tc>
          <w:tcPr>
            <w:tcW w:w="1875" w:type="pct"/>
            <w:shd w:val="clear" w:color="auto" w:fill="FFFFFF"/>
            <w:vAlign w:val="center"/>
          </w:tcPr>
          <w:p w14:paraId="48E647AE" w14:textId="0A4EA6D9" w:rsidR="002C5BCD" w:rsidRPr="00092862" w:rsidRDefault="00AE0D5E" w:rsidP="002C5BC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002C5BCD" w:rsidRPr="00092862">
              <w:rPr>
                <w:rFonts w:ascii="Times New Roman" w:eastAsia="宋体" w:hAnsi="Times New Roman" w:cs="Times New Roman"/>
                <w:color w:val="000000" w:themeColor="text1"/>
                <w:szCs w:val="21"/>
              </w:rPr>
              <w:t>#</w:t>
            </w:r>
            <w:r w:rsidR="00676047" w:rsidRPr="00092862">
              <w:rPr>
                <w:rFonts w:ascii="Times New Roman" w:eastAsia="宋体" w:hAnsi="Times New Roman" w:cs="Times New Roman"/>
                <w:color w:val="000000" w:themeColor="text1"/>
                <w:sz w:val="22"/>
              </w:rPr>
              <w:t>老君</w:t>
            </w:r>
            <w:r w:rsidR="00676047" w:rsidRPr="00092862">
              <w:rPr>
                <w:rFonts w:ascii="Times New Roman" w:eastAsia="宋体" w:hAnsi="Times New Roman" w:cs="Times New Roman"/>
                <w:color w:val="000000" w:themeColor="text1"/>
                <w:sz w:val="22"/>
              </w:rPr>
              <w:t>7011</w:t>
            </w:r>
            <w:r w:rsidR="00676047" w:rsidRPr="00092862">
              <w:rPr>
                <w:rFonts w:ascii="Times New Roman" w:eastAsia="宋体" w:hAnsi="Times New Roman" w:cs="Times New Roman"/>
                <w:color w:val="000000" w:themeColor="text1"/>
                <w:sz w:val="22"/>
              </w:rPr>
              <w:t>井台西南侧</w:t>
            </w:r>
            <w:r w:rsidR="00676047" w:rsidRPr="00092862">
              <w:rPr>
                <w:rFonts w:ascii="Times New Roman" w:eastAsia="宋体" w:hAnsi="Times New Roman" w:cs="Times New Roman"/>
                <w:color w:val="000000" w:themeColor="text1"/>
                <w:szCs w:val="21"/>
              </w:rPr>
              <w:t>930</w:t>
            </w:r>
            <w:r w:rsidR="002C5BCD" w:rsidRPr="00092862">
              <w:rPr>
                <w:rFonts w:ascii="Times New Roman" w:eastAsia="宋体" w:hAnsi="Times New Roman" w:cs="Times New Roman"/>
                <w:color w:val="000000" w:themeColor="text1"/>
                <w:szCs w:val="21"/>
              </w:rPr>
              <w:t>m</w:t>
            </w:r>
            <w:r w:rsidR="002C5BCD" w:rsidRPr="00092862">
              <w:rPr>
                <w:rFonts w:ascii="Times New Roman" w:eastAsia="宋体" w:hAnsi="Times New Roman" w:cs="Times New Roman"/>
                <w:color w:val="000000" w:themeColor="text1"/>
                <w:szCs w:val="21"/>
              </w:rPr>
              <w:t>处居民水井</w:t>
            </w:r>
          </w:p>
        </w:tc>
        <w:tc>
          <w:tcPr>
            <w:tcW w:w="513" w:type="pct"/>
            <w:vAlign w:val="center"/>
          </w:tcPr>
          <w:p w14:paraId="4558BA26" w14:textId="454928D2"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潜水层</w:t>
            </w:r>
          </w:p>
        </w:tc>
        <w:tc>
          <w:tcPr>
            <w:tcW w:w="598" w:type="pct"/>
            <w:vMerge/>
            <w:vAlign w:val="center"/>
          </w:tcPr>
          <w:p w14:paraId="77EA18C5" w14:textId="77777777"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p>
        </w:tc>
        <w:tc>
          <w:tcPr>
            <w:tcW w:w="684" w:type="pct"/>
            <w:vMerge/>
            <w:vAlign w:val="center"/>
          </w:tcPr>
          <w:p w14:paraId="6AC53D04" w14:textId="77777777"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p>
        </w:tc>
        <w:tc>
          <w:tcPr>
            <w:tcW w:w="1330" w:type="pct"/>
            <w:vMerge/>
            <w:vAlign w:val="center"/>
          </w:tcPr>
          <w:p w14:paraId="2BC2C19C" w14:textId="77777777" w:rsidR="002C5BCD" w:rsidRPr="00092862" w:rsidRDefault="002C5BCD" w:rsidP="002C5BCD">
            <w:pPr>
              <w:adjustRightInd w:val="0"/>
              <w:snapToGrid w:val="0"/>
              <w:jc w:val="center"/>
              <w:rPr>
                <w:rFonts w:ascii="Times New Roman" w:eastAsia="宋体" w:hAnsi="Times New Roman" w:cs="Times New Roman"/>
                <w:snapToGrid w:val="0"/>
                <w:color w:val="000000" w:themeColor="text1"/>
                <w:szCs w:val="21"/>
              </w:rPr>
            </w:pPr>
          </w:p>
        </w:tc>
      </w:tr>
    </w:tbl>
    <w:p w14:paraId="167A28F3" w14:textId="77777777" w:rsidR="007C3307" w:rsidRPr="00092862" w:rsidRDefault="007C3307" w:rsidP="007C3307">
      <w:pPr>
        <w:adjustRightInd w:val="0"/>
        <w:snapToGrid w:val="0"/>
        <w:spacing w:beforeLines="50" w:before="120" w:line="360" w:lineRule="auto"/>
        <w:ind w:firstLineChars="200" w:firstLine="480"/>
        <w:rPr>
          <w:rFonts w:ascii="Times New Roman" w:eastAsia="黑体" w:hAnsi="Times New Roman" w:cs="Times New Roman"/>
          <w:color w:val="000000" w:themeColor="text1"/>
          <w:sz w:val="24"/>
          <w:szCs w:val="24"/>
        </w:rPr>
      </w:pPr>
      <w:r w:rsidRPr="00092862">
        <w:rPr>
          <w:rFonts w:ascii="Times New Roman" w:eastAsia="黑体" w:hAnsi="Times New Roman" w:cs="Times New Roman"/>
          <w:color w:val="000000" w:themeColor="text1"/>
          <w:sz w:val="24"/>
          <w:szCs w:val="24"/>
        </w:rPr>
        <w:t>6</w:t>
      </w:r>
      <w:r w:rsidRPr="00092862">
        <w:rPr>
          <w:rFonts w:ascii="Times New Roman" w:eastAsia="黑体" w:hAnsi="Times New Roman" w:cs="Times New Roman"/>
          <w:color w:val="000000" w:themeColor="text1"/>
          <w:sz w:val="24"/>
          <w:szCs w:val="24"/>
        </w:rPr>
        <w:t>应急响应</w:t>
      </w:r>
    </w:p>
    <w:p w14:paraId="6781A108" w14:textId="4F6B50D2" w:rsidR="007C3307" w:rsidRPr="00092862" w:rsidRDefault="007C3307" w:rsidP="007C330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无论预防工作如何周密，地下水污染事故总是难以根本杜绝，制定地下水污染应急响应是要迅速而有效的将事故损失减至最小，应急响应如图</w:t>
      </w:r>
      <w:r w:rsidR="00704F23"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.1-</w:t>
      </w:r>
      <w:r w:rsidR="00E225BA"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w:t>
      </w:r>
    </w:p>
    <w:p w14:paraId="730B96EE" w14:textId="77777777" w:rsidR="007C3307" w:rsidRPr="00092862" w:rsidRDefault="007C3307" w:rsidP="007C3307">
      <w:pPr>
        <w:adjustRightInd w:val="0"/>
        <w:snapToGrid w:val="0"/>
        <w:spacing w:line="360" w:lineRule="auto"/>
        <w:jc w:val="center"/>
        <w:rPr>
          <w:rFonts w:ascii="Times New Roman" w:hAnsi="Times New Roman" w:cs="Times New Roman"/>
          <w:color w:val="000000" w:themeColor="text1"/>
          <w:szCs w:val="24"/>
        </w:rPr>
      </w:pPr>
      <w:r w:rsidRPr="00092862">
        <w:rPr>
          <w:rFonts w:ascii="Times New Roman" w:eastAsia="黑体" w:hAnsi="Times New Roman" w:cs="Times New Roman"/>
          <w:noProof/>
          <w:color w:val="000000" w:themeColor="text1"/>
          <w:szCs w:val="21"/>
        </w:rPr>
        <w:drawing>
          <wp:inline distT="0" distB="0" distL="0" distR="0" wp14:anchorId="0D5D9FA7" wp14:editId="5BC27D84">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23970" cy="4311015"/>
                    </a:xfrm>
                    <a:prstGeom prst="rect">
                      <a:avLst/>
                    </a:prstGeom>
                    <a:noFill/>
                    <a:ln>
                      <a:noFill/>
                    </a:ln>
                  </pic:spPr>
                </pic:pic>
              </a:graphicData>
            </a:graphic>
          </wp:inline>
        </w:drawing>
      </w:r>
    </w:p>
    <w:p w14:paraId="1EAA1F4D" w14:textId="53058508" w:rsidR="007C3307" w:rsidRPr="00092862" w:rsidRDefault="007C3307" w:rsidP="00B07DF9">
      <w:pPr>
        <w:adjustRightInd w:val="0"/>
        <w:snapToGrid w:val="0"/>
        <w:jc w:val="center"/>
        <w:rPr>
          <w:rFonts w:ascii="Times New Roman" w:eastAsia="黑体" w:hAnsi="Times New Roman" w:cs="Times New Roman"/>
          <w:color w:val="000000" w:themeColor="text1"/>
          <w:szCs w:val="21"/>
        </w:rPr>
      </w:pPr>
      <w:r w:rsidRPr="00092862">
        <w:rPr>
          <w:rFonts w:ascii="Times New Roman" w:eastAsia="黑体" w:hAnsi="Times New Roman" w:cs="Times New Roman"/>
          <w:color w:val="000000" w:themeColor="text1"/>
          <w:szCs w:val="21"/>
        </w:rPr>
        <w:t>图</w:t>
      </w:r>
      <w:r w:rsidR="00704F23" w:rsidRPr="00092862">
        <w:rPr>
          <w:rFonts w:ascii="Times New Roman" w:eastAsia="黑体" w:hAnsi="Times New Roman" w:cs="Times New Roman"/>
          <w:color w:val="000000" w:themeColor="text1"/>
          <w:szCs w:val="21"/>
        </w:rPr>
        <w:t>7</w:t>
      </w:r>
      <w:r w:rsidRPr="00092862">
        <w:rPr>
          <w:rFonts w:ascii="Times New Roman" w:eastAsia="黑体" w:hAnsi="Times New Roman" w:cs="Times New Roman"/>
          <w:color w:val="000000" w:themeColor="text1"/>
          <w:szCs w:val="21"/>
        </w:rPr>
        <w:t>.1-</w:t>
      </w:r>
      <w:r w:rsidR="00B07DF9" w:rsidRPr="00092862">
        <w:rPr>
          <w:rFonts w:ascii="Times New Roman" w:eastAsia="黑体" w:hAnsi="Times New Roman" w:cs="Times New Roman"/>
          <w:color w:val="000000" w:themeColor="text1"/>
          <w:szCs w:val="21"/>
        </w:rPr>
        <w:t>3</w:t>
      </w:r>
      <w:r w:rsidRPr="00092862">
        <w:rPr>
          <w:rFonts w:ascii="Times New Roman" w:eastAsia="黑体" w:hAnsi="Times New Roman" w:cs="Times New Roman"/>
          <w:color w:val="000000" w:themeColor="text1"/>
          <w:szCs w:val="21"/>
        </w:rPr>
        <w:t xml:space="preserve">  </w:t>
      </w:r>
      <w:r w:rsidRPr="00092862">
        <w:rPr>
          <w:rFonts w:ascii="Times New Roman" w:eastAsia="黑体" w:hAnsi="Times New Roman" w:cs="Times New Roman"/>
          <w:color w:val="000000" w:themeColor="text1"/>
          <w:szCs w:val="21"/>
        </w:rPr>
        <w:t>地下水污染应急响应程序图</w:t>
      </w:r>
    </w:p>
    <w:p w14:paraId="7F7F83BE" w14:textId="77777777" w:rsidR="007C3307" w:rsidRPr="00092862" w:rsidRDefault="007C3307" w:rsidP="007C3307">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1</w:t>
      </w:r>
      <w:r w:rsidRPr="00092862">
        <w:rPr>
          <w:rFonts w:ascii="Times New Roman" w:eastAsia="宋体" w:hAnsi="Times New Roman" w:cs="Times New Roman"/>
          <w:b/>
          <w:bCs/>
          <w:color w:val="000000" w:themeColor="text1"/>
          <w:sz w:val="24"/>
          <w:szCs w:val="24"/>
        </w:rPr>
        <w:t>）风险应急预案</w:t>
      </w:r>
    </w:p>
    <w:p w14:paraId="59EE07C2" w14:textId="77777777" w:rsidR="007C3307" w:rsidRPr="00092862" w:rsidRDefault="007C3307" w:rsidP="007C330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建设单位应根据《中华人民共和国水污染防治法》编制相应的应急方案，并按照《关于印发</w:t>
      </w:r>
      <w:r w:rsidRPr="00092862">
        <w:rPr>
          <w:rFonts w:ascii="Times New Roman" w:eastAsia="宋体" w:hAnsi="Times New Roman" w:cs="Times New Roman"/>
          <w:color w:val="000000" w:themeColor="text1"/>
          <w:sz w:val="24"/>
          <w:szCs w:val="24"/>
        </w:rPr>
        <w:t>&lt;</w:t>
      </w:r>
      <w:r w:rsidRPr="00092862">
        <w:rPr>
          <w:rFonts w:ascii="Times New Roman" w:eastAsia="宋体" w:hAnsi="Times New Roman" w:cs="Times New Roman"/>
          <w:color w:val="000000" w:themeColor="text1"/>
          <w:sz w:val="24"/>
          <w:szCs w:val="24"/>
        </w:rPr>
        <w:t>企业突发环境事件风险评估指南（试行）的通知</w:t>
      </w:r>
      <w:r w:rsidRPr="00092862">
        <w:rPr>
          <w:rFonts w:ascii="Times New Roman" w:eastAsia="宋体" w:hAnsi="Times New Roman" w:cs="Times New Roman"/>
          <w:color w:val="000000" w:themeColor="text1"/>
          <w:sz w:val="24"/>
          <w:szCs w:val="24"/>
        </w:rPr>
        <w:t>&gt;</w:t>
      </w:r>
      <w:r w:rsidRPr="00092862">
        <w:rPr>
          <w:rFonts w:ascii="Times New Roman" w:eastAsia="宋体" w:hAnsi="Times New Roman" w:cs="Times New Roman"/>
          <w:color w:val="000000" w:themeColor="text1"/>
          <w:sz w:val="24"/>
          <w:szCs w:val="24"/>
        </w:rPr>
        <w:t>》（环办</w:t>
      </w:r>
      <w:r w:rsidR="005C599D"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2014</w:t>
      </w:r>
      <w:r w:rsidR="005C599D"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34</w:t>
      </w:r>
      <w:r w:rsidRPr="00092862">
        <w:rPr>
          <w:rFonts w:ascii="Times New Roman" w:eastAsia="宋体" w:hAnsi="Times New Roman" w:cs="Times New Roman"/>
          <w:color w:val="000000" w:themeColor="text1"/>
          <w:sz w:val="24"/>
          <w:szCs w:val="24"/>
        </w:rPr>
        <w:t>号），将地下水风险纳入建设单位环境风险事故评估中，防止对周围地下水环境造成污染。</w:t>
      </w:r>
    </w:p>
    <w:p w14:paraId="1BAC8182" w14:textId="77777777" w:rsidR="007C3307" w:rsidRPr="00092862" w:rsidRDefault="007C3307" w:rsidP="007C3307">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2</w:t>
      </w:r>
      <w:r w:rsidRPr="00092862">
        <w:rPr>
          <w:rFonts w:ascii="Times New Roman" w:eastAsia="宋体" w:hAnsi="Times New Roman" w:cs="Times New Roman"/>
          <w:b/>
          <w:bCs/>
          <w:color w:val="000000" w:themeColor="text1"/>
          <w:sz w:val="24"/>
          <w:szCs w:val="24"/>
        </w:rPr>
        <w:t>）成立事故应急对策指挥中心</w:t>
      </w:r>
    </w:p>
    <w:p w14:paraId="43F11E82" w14:textId="77777777" w:rsidR="007C3307" w:rsidRPr="00092862" w:rsidRDefault="007C3307" w:rsidP="007C330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lastRenderedPageBreak/>
        <w:t>成立由多个部门组成的事故应急对策指挥中心，负责发生事故后进行统一指挥、协调处理好抢险工作。</w:t>
      </w:r>
    </w:p>
    <w:p w14:paraId="142C499B" w14:textId="77777777" w:rsidR="007C3307" w:rsidRPr="00092862" w:rsidRDefault="007C3307" w:rsidP="007C3307">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3</w:t>
      </w:r>
      <w:r w:rsidRPr="00092862">
        <w:rPr>
          <w:rFonts w:ascii="Times New Roman" w:eastAsia="宋体" w:hAnsi="Times New Roman" w:cs="Times New Roman"/>
          <w:b/>
          <w:bCs/>
          <w:color w:val="000000" w:themeColor="text1"/>
          <w:sz w:val="24"/>
          <w:szCs w:val="24"/>
        </w:rPr>
        <w:t>）建立事故应急通报网络</w:t>
      </w:r>
    </w:p>
    <w:p w14:paraId="021073C3" w14:textId="77777777" w:rsidR="007C3307" w:rsidRPr="00092862" w:rsidRDefault="007C3307" w:rsidP="007C330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发生事故后，现场操作人员应立即向负责人报警，第一时间通知相关部门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14:paraId="4C35B902" w14:textId="77777777" w:rsidR="007C3307" w:rsidRPr="00092862" w:rsidRDefault="007C3307" w:rsidP="007C3307">
      <w:pPr>
        <w:adjustRightInd w:val="0"/>
        <w:snapToGrid w:val="0"/>
        <w:spacing w:line="360" w:lineRule="auto"/>
        <w:ind w:firstLineChars="200" w:firstLine="482"/>
        <w:rPr>
          <w:rFonts w:ascii="Times New Roman" w:eastAsia="宋体" w:hAnsi="Times New Roman" w:cs="Times New Roman"/>
          <w:b/>
          <w:bCs/>
          <w:color w:val="000000" w:themeColor="text1"/>
          <w:sz w:val="24"/>
          <w:szCs w:val="24"/>
        </w:rPr>
      </w:pPr>
      <w:r w:rsidRPr="00092862">
        <w:rPr>
          <w:rFonts w:ascii="Times New Roman" w:eastAsia="宋体" w:hAnsi="Times New Roman" w:cs="Times New Roman"/>
          <w:b/>
          <w:bCs/>
          <w:color w:val="000000" w:themeColor="text1"/>
          <w:sz w:val="24"/>
          <w:szCs w:val="24"/>
        </w:rPr>
        <w:t>（</w:t>
      </w:r>
      <w:r w:rsidRPr="00092862">
        <w:rPr>
          <w:rFonts w:ascii="Times New Roman" w:eastAsia="宋体" w:hAnsi="Times New Roman" w:cs="Times New Roman"/>
          <w:b/>
          <w:bCs/>
          <w:color w:val="000000" w:themeColor="text1"/>
          <w:sz w:val="24"/>
          <w:szCs w:val="24"/>
        </w:rPr>
        <w:t>4</w:t>
      </w:r>
      <w:r w:rsidRPr="00092862">
        <w:rPr>
          <w:rFonts w:ascii="Times New Roman" w:eastAsia="宋体" w:hAnsi="Times New Roman" w:cs="Times New Roman"/>
          <w:b/>
          <w:bCs/>
          <w:color w:val="000000" w:themeColor="text1"/>
          <w:sz w:val="24"/>
          <w:szCs w:val="24"/>
        </w:rPr>
        <w:t>）应急措施</w:t>
      </w:r>
    </w:p>
    <w:p w14:paraId="44077245" w14:textId="2EC323E3" w:rsidR="00DC446C" w:rsidRPr="00092862" w:rsidRDefault="007C3307" w:rsidP="00672F3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一旦发生井漏等地下水污染事故，应立即启动应急预案，迅速控制项目污染现场，切断污染源，划定污染可能波及的范围，在划定圈内的群众在井中取水的，要求立即停止使用，严禁人畜饮用</w:t>
      </w:r>
      <w:r w:rsidR="005E600F" w:rsidRPr="00092862">
        <w:rPr>
          <w:rFonts w:ascii="Times New Roman" w:eastAsia="宋体" w:hAnsi="Times New Roman" w:cs="Times New Roman"/>
          <w:color w:val="000000" w:themeColor="text1"/>
          <w:sz w:val="24"/>
          <w:szCs w:val="24"/>
        </w:rPr>
        <w:t>（本项目地下水评价范围内无居民饮用水井）</w:t>
      </w:r>
      <w:r w:rsidRPr="00092862">
        <w:rPr>
          <w:rFonts w:ascii="Times New Roman" w:eastAsia="宋体" w:hAnsi="Times New Roman" w:cs="Times New Roman"/>
          <w:color w:val="000000" w:themeColor="text1"/>
          <w:sz w:val="24"/>
          <w:szCs w:val="24"/>
        </w:rPr>
        <w:t>，对水源进行监控，防止水污染中毒，并随时准备启动供水替代方案。同时根据本项目下伏含水层地下水水质进行跟踪监测，一旦发现地下水受到污染，应及时采取必要的水动力阻隔措施。</w:t>
      </w:r>
    </w:p>
    <w:p w14:paraId="6CB7AB2A" w14:textId="7025C985" w:rsidR="00C8419F" w:rsidRPr="00092862" w:rsidRDefault="00C8419F" w:rsidP="00C8419F">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综上所述，本项目施工期针对地下水环境采取的措施符合《环境影响评价技术导则</w:t>
      </w:r>
      <w:r w:rsidRPr="00092862">
        <w:rPr>
          <w:rFonts w:ascii="Times New Roman" w:eastAsia="宋体" w:hAnsi="Times New Roman" w:cs="Times New Roman"/>
          <w:color w:val="000000" w:themeColor="text1"/>
          <w:sz w:val="24"/>
          <w:szCs w:val="24"/>
        </w:rPr>
        <w:t xml:space="preserve"> </w:t>
      </w:r>
      <w:r w:rsidRPr="00092862">
        <w:rPr>
          <w:rFonts w:ascii="Times New Roman" w:eastAsia="宋体" w:hAnsi="Times New Roman" w:cs="Times New Roman"/>
          <w:color w:val="000000" w:themeColor="text1"/>
          <w:sz w:val="24"/>
          <w:szCs w:val="24"/>
        </w:rPr>
        <w:t>地下水环境》（</w:t>
      </w:r>
      <w:r w:rsidRPr="00092862">
        <w:rPr>
          <w:rFonts w:ascii="Times New Roman" w:eastAsia="宋体" w:hAnsi="Times New Roman" w:cs="Times New Roman"/>
          <w:color w:val="000000" w:themeColor="text1"/>
          <w:sz w:val="24"/>
          <w:szCs w:val="24"/>
        </w:rPr>
        <w:t>HJ610-2016</w:t>
      </w:r>
      <w:r w:rsidRPr="00092862">
        <w:rPr>
          <w:rFonts w:ascii="Times New Roman" w:eastAsia="宋体" w:hAnsi="Times New Roman" w:cs="Times New Roman"/>
          <w:color w:val="000000" w:themeColor="text1"/>
          <w:sz w:val="24"/>
          <w:szCs w:val="24"/>
        </w:rPr>
        <w:t>），在川</w:t>
      </w:r>
      <w:r w:rsidR="005E600F"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地区钻采工程中已实施多年，具有较好的借鉴经验。</w:t>
      </w:r>
      <w:r w:rsidR="00466A40" w:rsidRPr="00092862">
        <w:rPr>
          <w:rFonts w:ascii="Times New Roman" w:eastAsia="宋体" w:hAnsi="Times New Roman" w:cs="Times New Roman"/>
          <w:color w:val="000000" w:themeColor="text1"/>
          <w:sz w:val="24"/>
          <w:szCs w:val="24"/>
        </w:rPr>
        <w:t>根据本</w:t>
      </w:r>
      <w:r w:rsidR="005E600F" w:rsidRPr="00092862">
        <w:rPr>
          <w:rFonts w:ascii="Times New Roman" w:eastAsia="宋体" w:hAnsi="Times New Roman" w:cs="Times New Roman"/>
          <w:color w:val="000000" w:themeColor="text1"/>
          <w:sz w:val="24"/>
          <w:szCs w:val="24"/>
        </w:rPr>
        <w:t>井场</w:t>
      </w:r>
      <w:r w:rsidR="00466A40" w:rsidRPr="00092862">
        <w:rPr>
          <w:rFonts w:ascii="Times New Roman" w:eastAsia="宋体" w:hAnsi="Times New Roman" w:cs="Times New Roman"/>
          <w:color w:val="000000" w:themeColor="text1"/>
          <w:sz w:val="24"/>
          <w:szCs w:val="24"/>
        </w:rPr>
        <w:t>已经完钻</w:t>
      </w:r>
      <w:r w:rsidR="005E600F" w:rsidRPr="00092862">
        <w:rPr>
          <w:rFonts w:ascii="Times New Roman" w:eastAsia="宋体" w:hAnsi="Times New Roman" w:cs="Times New Roman"/>
          <w:color w:val="000000" w:themeColor="text1"/>
          <w:sz w:val="24"/>
          <w:szCs w:val="24"/>
        </w:rPr>
        <w:t>的</w:t>
      </w:r>
      <w:r w:rsidR="004D07D0" w:rsidRPr="00092862">
        <w:rPr>
          <w:rFonts w:ascii="Times New Roman" w:eastAsia="宋体" w:hAnsi="Times New Roman" w:cs="Times New Roman"/>
          <w:color w:val="000000" w:themeColor="text1"/>
          <w:sz w:val="24"/>
          <w:szCs w:val="24"/>
        </w:rPr>
        <w:t>原老君</w:t>
      </w:r>
      <w:r w:rsidR="004D07D0" w:rsidRPr="00092862">
        <w:rPr>
          <w:rFonts w:ascii="Times New Roman" w:eastAsia="宋体" w:hAnsi="Times New Roman" w:cs="Times New Roman"/>
          <w:color w:val="000000" w:themeColor="text1"/>
          <w:sz w:val="24"/>
          <w:szCs w:val="24"/>
        </w:rPr>
        <w:t>701</w:t>
      </w:r>
      <w:r w:rsidR="004D07D0" w:rsidRPr="00092862">
        <w:rPr>
          <w:rFonts w:ascii="Times New Roman" w:eastAsia="宋体" w:hAnsi="Times New Roman" w:cs="Times New Roman"/>
          <w:color w:val="000000" w:themeColor="text1"/>
          <w:sz w:val="24"/>
          <w:szCs w:val="24"/>
        </w:rPr>
        <w:t>集气站旁</w:t>
      </w:r>
      <w:r w:rsidR="00466A40" w:rsidRPr="00092862">
        <w:rPr>
          <w:rFonts w:ascii="Times New Roman" w:eastAsia="宋体" w:hAnsi="Times New Roman" w:cs="Times New Roman"/>
          <w:color w:val="000000" w:themeColor="text1"/>
          <w:sz w:val="24"/>
          <w:szCs w:val="24"/>
        </w:rPr>
        <w:t>和其他中石化川</w:t>
      </w:r>
      <w:r w:rsidR="005E600F" w:rsidRPr="00092862">
        <w:rPr>
          <w:rFonts w:ascii="Times New Roman" w:eastAsia="宋体" w:hAnsi="Times New Roman" w:cs="Times New Roman"/>
          <w:color w:val="000000" w:themeColor="text1"/>
          <w:sz w:val="24"/>
          <w:szCs w:val="24"/>
        </w:rPr>
        <w:t>东北</w:t>
      </w:r>
      <w:r w:rsidR="00466A40" w:rsidRPr="00092862">
        <w:rPr>
          <w:rFonts w:ascii="Times New Roman" w:eastAsia="宋体" w:hAnsi="Times New Roman" w:cs="Times New Roman"/>
          <w:color w:val="000000" w:themeColor="text1"/>
          <w:sz w:val="24"/>
          <w:szCs w:val="24"/>
        </w:rPr>
        <w:t>地区</w:t>
      </w:r>
      <w:r w:rsidRPr="00092862">
        <w:rPr>
          <w:rFonts w:ascii="Times New Roman" w:eastAsia="宋体" w:hAnsi="Times New Roman" w:cs="Times New Roman"/>
          <w:color w:val="000000" w:themeColor="text1"/>
          <w:sz w:val="24"/>
          <w:szCs w:val="24"/>
        </w:rPr>
        <w:t>钻采工程采用相同地下水污染防治措施，到目前为止，</w:t>
      </w:r>
      <w:r w:rsidR="005E600F" w:rsidRPr="00092862">
        <w:rPr>
          <w:rFonts w:ascii="Times New Roman" w:eastAsia="宋体" w:hAnsi="Times New Roman" w:cs="Times New Roman"/>
          <w:color w:val="000000" w:themeColor="text1"/>
          <w:sz w:val="24"/>
        </w:rPr>
        <w:t>中原油田普光分公司</w:t>
      </w:r>
      <w:r w:rsidRPr="00092862">
        <w:rPr>
          <w:rFonts w:ascii="Times New Roman" w:eastAsia="宋体" w:hAnsi="Times New Roman" w:cs="Times New Roman"/>
          <w:color w:val="000000" w:themeColor="text1"/>
          <w:sz w:val="24"/>
          <w:szCs w:val="24"/>
        </w:rPr>
        <w:t>未收到地下水污染方面的环保投诉。因此，本项目施工期地下水防治措施从经济和环保角度分析是合理、可行的。</w:t>
      </w:r>
    </w:p>
    <w:p w14:paraId="5D2E4BE3" w14:textId="7EFDF180"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62" w:name="6.1.3施工噪声防治措施及可行性分析"/>
      <w:bookmarkStart w:id="363" w:name="_Toc120173214"/>
      <w:bookmarkEnd w:id="362"/>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.1.</w:t>
      </w:r>
      <w:r w:rsidR="00672F3F" w:rsidRPr="00092862">
        <w:rPr>
          <w:rFonts w:ascii="Times New Roman" w:eastAsia="黑体" w:hAnsi="Times New Roman"/>
          <w:b w:val="0"/>
          <w:color w:val="000000" w:themeColor="text1"/>
          <w:sz w:val="24"/>
          <w:szCs w:val="24"/>
          <w:lang w:eastAsia="zh-CN"/>
        </w:rPr>
        <w:t>5</w:t>
      </w:r>
      <w:r w:rsidR="003B1968" w:rsidRPr="00092862">
        <w:rPr>
          <w:rFonts w:ascii="Times New Roman" w:eastAsia="黑体" w:hAnsi="Times New Roman"/>
          <w:b w:val="0"/>
          <w:color w:val="000000" w:themeColor="text1"/>
          <w:sz w:val="24"/>
          <w:szCs w:val="24"/>
          <w:lang w:eastAsia="zh-CN"/>
        </w:rPr>
        <w:t>施工噪声防治措施及可行性分析</w:t>
      </w:r>
      <w:bookmarkEnd w:id="363"/>
    </w:p>
    <w:p w14:paraId="54223761" w14:textId="77777777" w:rsidR="00C8419F" w:rsidRPr="00092862" w:rsidRDefault="00672F3F" w:rsidP="00C8419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对于钻井噪声，目前还没有针对声源的十分经济有效的防治措施，主要是选用低噪声设备，再通过合理的井场布局来减轻噪声的影响。为进一步降低噪声对周边居民的影响，施工期间建设单位应采取如下措施</w:t>
      </w:r>
      <w:r w:rsidR="003B1968" w:rsidRPr="00092862">
        <w:rPr>
          <w:rFonts w:ascii="Times New Roman" w:hAnsi="Times New Roman"/>
          <w:bCs/>
          <w:color w:val="000000" w:themeColor="text1"/>
          <w:kern w:val="2"/>
          <w:lang w:eastAsia="zh-CN"/>
        </w:rPr>
        <w:t>：</w:t>
      </w:r>
    </w:p>
    <w:p w14:paraId="3FB35E01" w14:textId="77777777" w:rsidR="00C8419F" w:rsidRPr="00092862" w:rsidRDefault="00672F3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w:t>
      </w:r>
      <w:r w:rsidR="00C8419F" w:rsidRPr="00092862">
        <w:rPr>
          <w:rFonts w:ascii="Times New Roman" w:hAnsi="Times New Roman"/>
          <w:bCs/>
          <w:color w:val="000000" w:themeColor="text1"/>
          <w:kern w:val="2"/>
          <w:lang w:eastAsia="zh-CN"/>
        </w:rPr>
        <w:t>本项目新钻井设备安装等少量</w:t>
      </w:r>
      <w:r w:rsidRPr="00092862">
        <w:rPr>
          <w:rFonts w:ascii="Times New Roman" w:hAnsi="Times New Roman"/>
          <w:bCs/>
          <w:color w:val="000000" w:themeColor="text1"/>
          <w:kern w:val="2"/>
          <w:lang w:eastAsia="zh-CN"/>
        </w:rPr>
        <w:t>钻前施工前应作好沟通工作，合理安排作业时间，尽量避免午间</w:t>
      </w:r>
      <w:r w:rsidRPr="00092862">
        <w:rPr>
          <w:rFonts w:ascii="Times New Roman" w:hAnsi="Times New Roman"/>
          <w:bCs/>
          <w:color w:val="000000" w:themeColor="text1"/>
          <w:kern w:val="2"/>
          <w:lang w:eastAsia="zh-CN"/>
        </w:rPr>
        <w:t>12:00~14:00</w:t>
      </w:r>
      <w:r w:rsidRPr="00092862">
        <w:rPr>
          <w:rFonts w:ascii="Times New Roman" w:hAnsi="Times New Roman"/>
          <w:bCs/>
          <w:color w:val="000000" w:themeColor="text1"/>
          <w:kern w:val="2"/>
          <w:lang w:eastAsia="zh-CN"/>
        </w:rPr>
        <w:t>和夜间</w:t>
      </w:r>
      <w:r w:rsidRPr="00092862">
        <w:rPr>
          <w:rFonts w:ascii="Times New Roman" w:hAnsi="Times New Roman"/>
          <w:bCs/>
          <w:color w:val="000000" w:themeColor="text1"/>
          <w:kern w:val="2"/>
          <w:lang w:eastAsia="zh-CN"/>
        </w:rPr>
        <w:t>22:00~7:00</w:t>
      </w:r>
      <w:r w:rsidRPr="00092862">
        <w:rPr>
          <w:rFonts w:ascii="Times New Roman" w:hAnsi="Times New Roman"/>
          <w:bCs/>
          <w:color w:val="000000" w:themeColor="text1"/>
          <w:kern w:val="2"/>
          <w:lang w:eastAsia="zh-CN"/>
        </w:rPr>
        <w:t>施工，并尽量缩短施工周期。</w:t>
      </w:r>
    </w:p>
    <w:p w14:paraId="5F2A1711" w14:textId="5775200C" w:rsidR="00C8419F" w:rsidRPr="00092862" w:rsidRDefault="00672F3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）合理布置主要噪声源，使其尽量远离农户居住地；</w:t>
      </w:r>
      <w:r w:rsidR="00C8419F" w:rsidRPr="00092862">
        <w:rPr>
          <w:rFonts w:ascii="Times New Roman" w:hAnsi="Times New Roman"/>
          <w:bCs/>
          <w:color w:val="000000" w:themeColor="text1"/>
          <w:kern w:val="2"/>
          <w:lang w:eastAsia="zh-CN"/>
        </w:rPr>
        <w:t>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14:paraId="6CC3C4AF" w14:textId="77777777" w:rsidR="00C8419F" w:rsidRPr="00092862" w:rsidRDefault="00672F3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建设单位应做好与地方供电部门的沟通工作，确保供电正常，尽量减少备用柴油机的启用。为办公及生活提供电力的备用发电机设置发电机房，采用特殊的减震，并安装吸声材料；泥浆泵设置泵房；为钻机提供动力的柴油机安装消声装置和设置减震基础</w:t>
      </w:r>
      <w:r w:rsidR="00C8419F" w:rsidRPr="00092862">
        <w:rPr>
          <w:rFonts w:ascii="Times New Roman" w:hAnsi="Times New Roman"/>
          <w:bCs/>
          <w:color w:val="000000" w:themeColor="text1"/>
          <w:kern w:val="2"/>
          <w:lang w:eastAsia="zh-CN"/>
        </w:rPr>
        <w:t>。</w:t>
      </w:r>
    </w:p>
    <w:p w14:paraId="2D5D61CA" w14:textId="77777777" w:rsidR="00C8419F" w:rsidRPr="00092862" w:rsidRDefault="00672F3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14:paraId="4CB55A7C" w14:textId="4984A9B7" w:rsidR="00672F3F" w:rsidRPr="00092862" w:rsidRDefault="00672F3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005E600F" w:rsidRPr="00092862">
        <w:rPr>
          <w:rFonts w:ascii="Times New Roman" w:hAnsi="Times New Roman"/>
          <w:bCs/>
          <w:color w:val="000000" w:themeColor="text1"/>
          <w:kern w:val="2"/>
          <w:lang w:eastAsia="zh-CN"/>
        </w:rPr>
        <w:t>5</w:t>
      </w:r>
      <w:r w:rsidRPr="00092862">
        <w:rPr>
          <w:rFonts w:ascii="Times New Roman" w:hAnsi="Times New Roman"/>
          <w:bCs/>
          <w:color w:val="000000" w:themeColor="text1"/>
          <w:kern w:val="2"/>
          <w:lang w:eastAsia="zh-CN"/>
        </w:rPr>
        <w:t>）运输车辆沿规定路线行驶，减少鸣笛，经过村庄等居民区时缓慢平稳行驶。</w:t>
      </w:r>
    </w:p>
    <w:p w14:paraId="645D2215" w14:textId="34CCD1CC" w:rsidR="00C8419F" w:rsidRPr="00092862" w:rsidRDefault="00C8419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005E600F" w:rsidRPr="00092862">
        <w:rPr>
          <w:rFonts w:ascii="Times New Roman" w:hAnsi="Times New Roman"/>
          <w:bCs/>
          <w:color w:val="000000" w:themeColor="text1"/>
          <w:kern w:val="2"/>
          <w:lang w:eastAsia="zh-CN"/>
        </w:rPr>
        <w:t>6</w:t>
      </w:r>
      <w:r w:rsidRPr="00092862">
        <w:rPr>
          <w:rFonts w:ascii="Times New Roman" w:hAnsi="Times New Roman"/>
          <w:bCs/>
          <w:color w:val="000000" w:themeColor="text1"/>
          <w:kern w:val="2"/>
          <w:lang w:eastAsia="zh-CN"/>
        </w:rPr>
        <w:t>）放喷池设置三面建</w:t>
      </w:r>
      <w:r w:rsidRPr="00092862">
        <w:rPr>
          <w:rFonts w:ascii="Times New Roman" w:hAnsi="Times New Roman"/>
          <w:bCs/>
          <w:color w:val="000000" w:themeColor="text1"/>
          <w:kern w:val="2"/>
          <w:lang w:eastAsia="zh-CN"/>
        </w:rPr>
        <w:t>3m</w:t>
      </w:r>
      <w:r w:rsidRPr="00092862">
        <w:rPr>
          <w:rFonts w:ascii="Times New Roman" w:hAnsi="Times New Roman"/>
          <w:bCs/>
          <w:color w:val="000000" w:themeColor="text1"/>
          <w:kern w:val="2"/>
          <w:lang w:eastAsia="zh-CN"/>
        </w:rPr>
        <w:t>的围墙，可以降低一定的噪声；</w:t>
      </w:r>
    </w:p>
    <w:p w14:paraId="63F17411" w14:textId="04C2AD4B" w:rsidR="00C8419F" w:rsidRPr="00092862" w:rsidRDefault="00C8419F" w:rsidP="0085013D">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005E600F" w:rsidRPr="00092862">
        <w:rPr>
          <w:rFonts w:ascii="Times New Roman" w:hAnsi="Times New Roman"/>
          <w:bCs/>
          <w:color w:val="000000" w:themeColor="text1"/>
          <w:kern w:val="2"/>
          <w:lang w:eastAsia="zh-CN"/>
        </w:rPr>
        <w:t>7</w:t>
      </w:r>
      <w:r w:rsidRPr="00092862">
        <w:rPr>
          <w:rFonts w:ascii="Times New Roman" w:hAnsi="Times New Roman"/>
          <w:bCs/>
          <w:color w:val="000000" w:themeColor="text1"/>
          <w:kern w:val="2"/>
          <w:lang w:eastAsia="zh-CN"/>
        </w:rPr>
        <w:t>）放喷测试前，建设方和当地政府应对距放喷口一定范围内（该距离根据行安全预评价预测结果来确定）的居民进行临时撤离并建立警戒点进行</w:t>
      </w:r>
      <w:r w:rsidRPr="00092862">
        <w:rPr>
          <w:rFonts w:ascii="Times New Roman" w:hAnsi="Times New Roman"/>
          <w:bCs/>
          <w:color w:val="000000" w:themeColor="text1"/>
          <w:kern w:val="2"/>
          <w:lang w:eastAsia="zh-CN"/>
        </w:rPr>
        <w:t>24h</w:t>
      </w:r>
      <w:r w:rsidRPr="00092862">
        <w:rPr>
          <w:rFonts w:ascii="Times New Roman" w:hAnsi="Times New Roman"/>
          <w:bCs/>
          <w:color w:val="000000" w:themeColor="text1"/>
          <w:kern w:val="2"/>
          <w:lang w:eastAsia="zh-CN"/>
        </w:rPr>
        <w:t>警戒，能有效避免测试放喷噪声对周边居民影响。</w:t>
      </w:r>
    </w:p>
    <w:p w14:paraId="40FE945B" w14:textId="427E1272" w:rsidR="00DE52E3" w:rsidRPr="00092862" w:rsidRDefault="00DE52E3" w:rsidP="0085013D">
      <w:pPr>
        <w:adjustRightInd w:val="0"/>
        <w:snapToGrid w:val="0"/>
        <w:spacing w:line="360" w:lineRule="auto"/>
        <w:ind w:firstLineChars="200" w:firstLine="480"/>
        <w:rPr>
          <w:rFonts w:ascii="Times New Roman" w:hAnsi="Times New Roman" w:cs="Times New Roman"/>
          <w:color w:val="000000" w:themeColor="text1"/>
          <w:sz w:val="24"/>
          <w:szCs w:val="24"/>
        </w:rPr>
      </w:pPr>
      <w:r w:rsidRPr="00092862">
        <w:rPr>
          <w:rFonts w:ascii="Times New Roman" w:hAnsi="Times New Roman" w:cs="Times New Roman"/>
          <w:color w:val="000000" w:themeColor="text1"/>
          <w:sz w:val="24"/>
          <w:szCs w:val="24"/>
        </w:rPr>
        <w:t>综上所述，本项目施工期声环境保护措施，在川</w:t>
      </w:r>
      <w:r w:rsidR="005E600F" w:rsidRPr="00092862">
        <w:rPr>
          <w:rFonts w:ascii="Times New Roman" w:hAnsi="Times New Roman" w:cs="Times New Roman"/>
          <w:color w:val="000000" w:themeColor="text1"/>
          <w:sz w:val="24"/>
          <w:szCs w:val="24"/>
        </w:rPr>
        <w:t>东北</w:t>
      </w:r>
      <w:r w:rsidRPr="00092862">
        <w:rPr>
          <w:rFonts w:ascii="Times New Roman" w:hAnsi="Times New Roman" w:cs="Times New Roman"/>
          <w:color w:val="000000" w:themeColor="text1"/>
          <w:sz w:val="24"/>
          <w:szCs w:val="24"/>
        </w:rPr>
        <w:t>地区钻采工程中已实施多年，具有较好的借鉴经验。</w:t>
      </w:r>
      <w:r w:rsidR="00466A40" w:rsidRPr="00092862">
        <w:rPr>
          <w:rFonts w:ascii="Times New Roman" w:hAnsi="Times New Roman" w:cs="Times New Roman"/>
          <w:color w:val="000000" w:themeColor="text1"/>
          <w:sz w:val="24"/>
          <w:szCs w:val="24"/>
        </w:rPr>
        <w:t>根据本</w:t>
      </w:r>
      <w:r w:rsidR="005E600F" w:rsidRPr="00092862">
        <w:rPr>
          <w:rFonts w:ascii="Times New Roman" w:hAnsi="Times New Roman" w:cs="Times New Roman"/>
          <w:color w:val="000000" w:themeColor="text1"/>
          <w:sz w:val="24"/>
          <w:szCs w:val="24"/>
        </w:rPr>
        <w:t>井场</w:t>
      </w:r>
      <w:r w:rsidR="00466A40" w:rsidRPr="00092862">
        <w:rPr>
          <w:rFonts w:ascii="Times New Roman" w:hAnsi="Times New Roman" w:cs="Times New Roman"/>
          <w:color w:val="000000" w:themeColor="text1"/>
          <w:sz w:val="24"/>
          <w:szCs w:val="24"/>
        </w:rPr>
        <w:t>已经完钻</w:t>
      </w:r>
      <w:r w:rsidR="005E600F" w:rsidRPr="00092862">
        <w:rPr>
          <w:rFonts w:ascii="Times New Roman" w:hAnsi="Times New Roman" w:cs="Times New Roman"/>
          <w:color w:val="000000" w:themeColor="text1"/>
          <w:sz w:val="24"/>
          <w:szCs w:val="24"/>
        </w:rPr>
        <w:t>的</w:t>
      </w:r>
      <w:r w:rsidR="004D07D0" w:rsidRPr="00092862">
        <w:rPr>
          <w:rFonts w:ascii="Times New Roman" w:hAnsi="Times New Roman" w:cs="Times New Roman"/>
          <w:color w:val="000000" w:themeColor="text1"/>
          <w:sz w:val="24"/>
          <w:szCs w:val="24"/>
        </w:rPr>
        <w:t>原老君</w:t>
      </w:r>
      <w:r w:rsidR="004D07D0" w:rsidRPr="00092862">
        <w:rPr>
          <w:rFonts w:ascii="Times New Roman" w:hAnsi="Times New Roman" w:cs="Times New Roman"/>
          <w:color w:val="000000" w:themeColor="text1"/>
          <w:sz w:val="24"/>
          <w:szCs w:val="24"/>
        </w:rPr>
        <w:t>701</w:t>
      </w:r>
      <w:r w:rsidR="004D07D0" w:rsidRPr="00092862">
        <w:rPr>
          <w:rFonts w:ascii="Times New Roman" w:hAnsi="Times New Roman" w:cs="Times New Roman"/>
          <w:color w:val="000000" w:themeColor="text1"/>
          <w:sz w:val="24"/>
          <w:szCs w:val="24"/>
        </w:rPr>
        <w:t>集气站旁</w:t>
      </w:r>
      <w:r w:rsidR="00466A40" w:rsidRPr="00092862">
        <w:rPr>
          <w:rFonts w:ascii="Times New Roman" w:hAnsi="Times New Roman" w:cs="Times New Roman"/>
          <w:color w:val="000000" w:themeColor="text1"/>
          <w:sz w:val="24"/>
          <w:szCs w:val="24"/>
        </w:rPr>
        <w:t>和其他中石化川</w:t>
      </w:r>
      <w:r w:rsidR="005C132F" w:rsidRPr="00092862">
        <w:rPr>
          <w:rFonts w:ascii="Times New Roman" w:hAnsi="Times New Roman" w:cs="Times New Roman"/>
          <w:color w:val="000000" w:themeColor="text1"/>
          <w:sz w:val="24"/>
          <w:szCs w:val="24"/>
        </w:rPr>
        <w:t>东北</w:t>
      </w:r>
      <w:r w:rsidR="00466A40" w:rsidRPr="00092862">
        <w:rPr>
          <w:rFonts w:ascii="Times New Roman" w:hAnsi="Times New Roman" w:cs="Times New Roman"/>
          <w:color w:val="000000" w:themeColor="text1"/>
          <w:sz w:val="24"/>
          <w:szCs w:val="24"/>
        </w:rPr>
        <w:t>地区</w:t>
      </w:r>
      <w:r w:rsidRPr="00092862">
        <w:rPr>
          <w:rFonts w:ascii="Times New Roman" w:hAnsi="Times New Roman" w:cs="Times New Roman"/>
          <w:color w:val="000000" w:themeColor="text1"/>
          <w:sz w:val="24"/>
          <w:szCs w:val="24"/>
        </w:rPr>
        <w:t>钻采工程采用相同噪声污染防治措施，</w:t>
      </w:r>
      <w:r w:rsidR="005C132F" w:rsidRPr="00092862">
        <w:rPr>
          <w:rFonts w:ascii="Times New Roman" w:hAnsi="Times New Roman" w:cs="Times New Roman"/>
          <w:color w:val="000000" w:themeColor="text1"/>
          <w:sz w:val="24"/>
          <w:szCs w:val="24"/>
        </w:rPr>
        <w:t>且项目井口周边</w:t>
      </w:r>
      <w:r w:rsidR="000C75C4" w:rsidRPr="00092862">
        <w:rPr>
          <w:rFonts w:ascii="Times New Roman" w:hAnsi="Times New Roman" w:cs="Times New Roman"/>
          <w:color w:val="000000" w:themeColor="text1"/>
          <w:sz w:val="24"/>
          <w:szCs w:val="24"/>
        </w:rPr>
        <w:t>3</w:t>
      </w:r>
      <w:r w:rsidR="005C132F" w:rsidRPr="00092862">
        <w:rPr>
          <w:rFonts w:ascii="Times New Roman" w:hAnsi="Times New Roman" w:cs="Times New Roman"/>
          <w:color w:val="000000" w:themeColor="text1"/>
          <w:sz w:val="24"/>
          <w:szCs w:val="24"/>
        </w:rPr>
        <w:t>00m</w:t>
      </w:r>
      <w:r w:rsidR="005C132F" w:rsidRPr="00092862">
        <w:rPr>
          <w:rFonts w:ascii="Times New Roman" w:hAnsi="Times New Roman" w:cs="Times New Roman"/>
          <w:color w:val="000000" w:themeColor="text1"/>
          <w:sz w:val="24"/>
          <w:szCs w:val="24"/>
        </w:rPr>
        <w:t>范围内无居民分布</w:t>
      </w:r>
      <w:r w:rsidRPr="00092862">
        <w:rPr>
          <w:rFonts w:ascii="Times New Roman" w:hAnsi="Times New Roman" w:cs="Times New Roman"/>
          <w:color w:val="000000" w:themeColor="text1"/>
          <w:sz w:val="24"/>
          <w:szCs w:val="24"/>
        </w:rPr>
        <w:t>。因此，本项目施工期</w:t>
      </w:r>
      <w:r w:rsidR="0085013D" w:rsidRPr="00092862">
        <w:rPr>
          <w:rFonts w:ascii="Times New Roman" w:hAnsi="Times New Roman" w:cs="Times New Roman"/>
          <w:color w:val="000000" w:themeColor="text1"/>
          <w:sz w:val="24"/>
          <w:szCs w:val="24"/>
        </w:rPr>
        <w:t>噪声污染</w:t>
      </w:r>
      <w:r w:rsidRPr="00092862">
        <w:rPr>
          <w:rFonts w:ascii="Times New Roman" w:hAnsi="Times New Roman" w:cs="Times New Roman"/>
          <w:color w:val="000000" w:themeColor="text1"/>
          <w:sz w:val="24"/>
          <w:szCs w:val="24"/>
        </w:rPr>
        <w:t>防治措施从经济和环保角度分析是合理、可行的。</w:t>
      </w:r>
    </w:p>
    <w:p w14:paraId="018E3B48" w14:textId="3BB9A894" w:rsidR="00295ABD" w:rsidRPr="00092862" w:rsidRDefault="00704F23" w:rsidP="00295ABD">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364" w:name="6.1.4固体废物污染防治措施"/>
      <w:bookmarkStart w:id="365" w:name="_Toc120173215"/>
      <w:bookmarkEnd w:id="364"/>
      <w:r w:rsidRPr="00092862">
        <w:rPr>
          <w:rFonts w:ascii="Times New Roman" w:eastAsia="黑体" w:hAnsi="Times New Roman"/>
          <w:b w:val="0"/>
          <w:color w:val="000000" w:themeColor="text1"/>
          <w:sz w:val="24"/>
          <w:szCs w:val="24"/>
          <w:lang w:eastAsia="zh-CN"/>
        </w:rPr>
        <w:t>7</w:t>
      </w:r>
      <w:r w:rsidR="00295ABD" w:rsidRPr="00092862">
        <w:rPr>
          <w:rFonts w:ascii="Times New Roman" w:eastAsia="黑体" w:hAnsi="Times New Roman"/>
          <w:b w:val="0"/>
          <w:color w:val="000000" w:themeColor="text1"/>
          <w:sz w:val="24"/>
          <w:szCs w:val="24"/>
          <w:lang w:eastAsia="zh-CN"/>
        </w:rPr>
        <w:t>.1.</w:t>
      </w:r>
      <w:r w:rsidR="009F445D" w:rsidRPr="00092862">
        <w:rPr>
          <w:rFonts w:ascii="Times New Roman" w:eastAsia="黑体" w:hAnsi="Times New Roman"/>
          <w:b w:val="0"/>
          <w:color w:val="000000" w:themeColor="text1"/>
          <w:sz w:val="24"/>
          <w:szCs w:val="24"/>
          <w:lang w:eastAsia="zh-CN"/>
        </w:rPr>
        <w:t>6</w:t>
      </w:r>
      <w:r w:rsidR="00295ABD" w:rsidRPr="00092862">
        <w:rPr>
          <w:rFonts w:ascii="Times New Roman" w:eastAsia="黑体" w:hAnsi="Times New Roman"/>
          <w:b w:val="0"/>
          <w:color w:val="000000" w:themeColor="text1"/>
          <w:sz w:val="24"/>
          <w:szCs w:val="24"/>
          <w:lang w:eastAsia="zh-CN"/>
        </w:rPr>
        <w:t>施工期</w:t>
      </w:r>
      <w:r w:rsidR="009F445D" w:rsidRPr="00092862">
        <w:rPr>
          <w:rFonts w:ascii="Times New Roman" w:eastAsia="黑体" w:hAnsi="Times New Roman"/>
          <w:b w:val="0"/>
          <w:color w:val="000000" w:themeColor="text1"/>
          <w:sz w:val="24"/>
          <w:szCs w:val="24"/>
          <w:lang w:eastAsia="zh-CN"/>
        </w:rPr>
        <w:t>土壤环境</w:t>
      </w:r>
      <w:r w:rsidR="00295ABD" w:rsidRPr="00092862">
        <w:rPr>
          <w:rFonts w:ascii="Times New Roman" w:eastAsia="黑体" w:hAnsi="Times New Roman"/>
          <w:b w:val="0"/>
          <w:color w:val="000000" w:themeColor="text1"/>
          <w:sz w:val="24"/>
          <w:szCs w:val="24"/>
          <w:lang w:eastAsia="zh-CN"/>
        </w:rPr>
        <w:t>污染防治措施</w:t>
      </w:r>
      <w:bookmarkEnd w:id="365"/>
    </w:p>
    <w:p w14:paraId="4884F2ED" w14:textId="77777777" w:rsidR="00295ABD" w:rsidRPr="00092862" w:rsidRDefault="00295ABD" w:rsidP="00295AB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w:t>
      </w:r>
      <w:r w:rsidR="009F445D" w:rsidRPr="00092862">
        <w:rPr>
          <w:rFonts w:ascii="Times New Roman" w:eastAsia="宋体" w:hAnsi="Times New Roman" w:cs="Times New Roman"/>
          <w:color w:val="000000" w:themeColor="text1"/>
          <w:sz w:val="24"/>
        </w:rPr>
        <w:t>源头控制措施</w:t>
      </w:r>
    </w:p>
    <w:p w14:paraId="2F6849AA" w14:textId="77777777"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14:paraId="4EDEBC59" w14:textId="77777777"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14:paraId="51EC8802" w14:textId="77777777"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、过程控制措施</w:t>
      </w:r>
    </w:p>
    <w:p w14:paraId="7A2AA138" w14:textId="77777777" w:rsidR="009F445D" w:rsidRPr="00092862" w:rsidRDefault="009F445D" w:rsidP="009F445D">
      <w:pPr>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）地面漫流污染途径治理措施</w:t>
      </w:r>
    </w:p>
    <w:p w14:paraId="5077E225" w14:textId="6DE7E408"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对泥浆不落地技术工艺区域及泥浆循环系统、泥浆料台区、油罐区、柴油机组区均设置了防雨棚，危险废物、发电机均设在活动房内，方井周边、放喷池</w:t>
      </w:r>
      <w:r w:rsidR="00AB4660" w:rsidRPr="00092862">
        <w:rPr>
          <w:rFonts w:ascii="Times New Roman" w:eastAsia="宋体" w:hAnsi="Times New Roman" w:cs="Times New Roman"/>
          <w:color w:val="000000" w:themeColor="text1"/>
          <w:sz w:val="24"/>
        </w:rPr>
        <w:t>、</w:t>
      </w:r>
      <w:r w:rsidR="00D774F2" w:rsidRPr="00092862">
        <w:rPr>
          <w:rFonts w:ascii="Times New Roman" w:eastAsia="宋体" w:hAnsi="Times New Roman" w:cs="Times New Roman"/>
          <w:color w:val="000000" w:themeColor="text1"/>
          <w:sz w:val="24"/>
        </w:rPr>
        <w:t>污水池</w:t>
      </w:r>
      <w:r w:rsidRPr="00092862">
        <w:rPr>
          <w:rFonts w:ascii="Times New Roman" w:eastAsia="宋体" w:hAnsi="Times New Roman" w:cs="Times New Roman"/>
          <w:color w:val="000000" w:themeColor="text1"/>
          <w:sz w:val="24"/>
        </w:rPr>
        <w:t>在雨天加盖篷布，避免暴雨引起废水、废油外溢形成地面漫流。并在废水收集罐周围设置</w:t>
      </w:r>
      <w:r w:rsidRPr="00092862">
        <w:rPr>
          <w:rFonts w:ascii="Times New Roman" w:eastAsia="宋体" w:hAnsi="Times New Roman" w:cs="Times New Roman"/>
          <w:color w:val="000000" w:themeColor="text1"/>
          <w:sz w:val="24"/>
        </w:rPr>
        <w:t>0.5m</w:t>
      </w:r>
      <w:r w:rsidRPr="00092862">
        <w:rPr>
          <w:rFonts w:ascii="Times New Roman" w:eastAsia="宋体" w:hAnsi="Times New Roman" w:cs="Times New Roman"/>
          <w:color w:val="000000" w:themeColor="text1"/>
          <w:sz w:val="24"/>
        </w:rPr>
        <w:t>高围堰，防止废水外溢；油罐区周围设置</w:t>
      </w:r>
      <w:r w:rsidRPr="00092862">
        <w:rPr>
          <w:rFonts w:ascii="Times New Roman" w:eastAsia="宋体" w:hAnsi="Times New Roman" w:cs="Times New Roman"/>
          <w:color w:val="000000" w:themeColor="text1"/>
          <w:sz w:val="24"/>
        </w:rPr>
        <w:t>0.15m</w:t>
      </w:r>
      <w:r w:rsidRPr="00092862">
        <w:rPr>
          <w:rFonts w:ascii="Times New Roman" w:eastAsia="宋体" w:hAnsi="Times New Roman" w:cs="Times New Roman"/>
          <w:color w:val="000000" w:themeColor="text1"/>
          <w:sz w:val="24"/>
        </w:rPr>
        <w:t>高围堰及集油池，防止泄露油料外溢；放喷池最低面墙设置不低于</w:t>
      </w:r>
      <w:r w:rsidRPr="00092862">
        <w:rPr>
          <w:rFonts w:ascii="Times New Roman" w:eastAsia="宋体" w:hAnsi="Times New Roman" w:cs="Times New Roman"/>
          <w:color w:val="000000" w:themeColor="text1"/>
          <w:sz w:val="24"/>
        </w:rPr>
        <w:t>0.5m</w:t>
      </w:r>
      <w:r w:rsidRPr="00092862">
        <w:rPr>
          <w:rFonts w:ascii="Times New Roman" w:eastAsia="宋体" w:hAnsi="Times New Roman" w:cs="Times New Roman"/>
          <w:color w:val="000000" w:themeColor="text1"/>
          <w:sz w:val="24"/>
        </w:rPr>
        <w:t>，避免</w:t>
      </w:r>
      <w:r w:rsidR="0080674B" w:rsidRPr="00092862">
        <w:rPr>
          <w:rFonts w:ascii="Times New Roman" w:eastAsia="宋体" w:hAnsi="Times New Roman" w:cs="Times New Roman"/>
          <w:color w:val="000000" w:themeColor="text1"/>
          <w:sz w:val="24"/>
        </w:rPr>
        <w:t>废水</w:t>
      </w:r>
      <w:r w:rsidRPr="00092862">
        <w:rPr>
          <w:rFonts w:ascii="Times New Roman" w:eastAsia="宋体" w:hAnsi="Times New Roman" w:cs="Times New Roman"/>
          <w:color w:val="000000" w:themeColor="text1"/>
          <w:sz w:val="24"/>
        </w:rPr>
        <w:t>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14:paraId="222B8893" w14:textId="77777777"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2</w:t>
      </w:r>
      <w:r w:rsidRPr="00092862">
        <w:rPr>
          <w:rFonts w:ascii="Times New Roman" w:eastAsia="宋体" w:hAnsi="Times New Roman" w:cs="Times New Roman"/>
          <w:color w:val="000000" w:themeColor="text1"/>
          <w:sz w:val="24"/>
        </w:rPr>
        <w:t>）垂直入渗污染途径治理措施</w:t>
      </w:r>
    </w:p>
    <w:p w14:paraId="7B232ECA" w14:textId="7BF2C708"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井场进行分区防渗，见地下水污染防治措施章节。对易泄漏的废水收集罐、废渣收集罐、泥浆储罐、泥浆循环罐、柴油罐、</w:t>
      </w:r>
      <w:r w:rsidR="00AB4660" w:rsidRPr="00092862">
        <w:rPr>
          <w:rFonts w:ascii="Times New Roman" w:eastAsia="宋体" w:hAnsi="Times New Roman" w:cs="Times New Roman"/>
          <w:color w:val="000000" w:themeColor="text1"/>
          <w:sz w:val="24"/>
        </w:rPr>
        <w:t>污水</w:t>
      </w:r>
      <w:r w:rsidRPr="00092862">
        <w:rPr>
          <w:rFonts w:ascii="Times New Roman" w:eastAsia="宋体" w:hAnsi="Times New Roman" w:cs="Times New Roman"/>
          <w:color w:val="000000" w:themeColor="text1"/>
          <w:sz w:val="24"/>
        </w:rPr>
        <w:t>罐等罐体采用防腐、不易破损的材质，防治罐体腐蚀破裂导致污染物泄露；井场设备、管道阀门宜采用密封性好、不易腐蚀的，防止污染物通过阀门泄漏到地面上。</w:t>
      </w:r>
    </w:p>
    <w:p w14:paraId="0FC6EEDA" w14:textId="1A8E9D1E" w:rsidR="009F445D" w:rsidRPr="00092862" w:rsidRDefault="009F445D" w:rsidP="009F445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总的来说，地下水和土壤污染防治措施应按照</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源头控制、分区防控、污染监控、应急响应</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相结合的原则，从污染物的产生、入渗、扩散、应急响应进行控制。这些措施</w:t>
      </w:r>
      <w:r w:rsidRPr="00092862">
        <w:rPr>
          <w:rFonts w:ascii="Times New Roman" w:eastAsia="宋体" w:hAnsi="Times New Roman" w:cs="Times New Roman"/>
          <w:color w:val="000000" w:themeColor="text1"/>
          <w:sz w:val="24"/>
          <w:szCs w:val="24"/>
        </w:rPr>
        <w:t>在川</w:t>
      </w:r>
      <w:r w:rsidR="00AB4660" w:rsidRPr="00092862">
        <w:rPr>
          <w:rFonts w:ascii="Times New Roman" w:eastAsia="宋体" w:hAnsi="Times New Roman" w:cs="Times New Roman"/>
          <w:color w:val="000000" w:themeColor="text1"/>
          <w:sz w:val="24"/>
          <w:szCs w:val="24"/>
        </w:rPr>
        <w:t>东北</w:t>
      </w:r>
      <w:r w:rsidRPr="00092862">
        <w:rPr>
          <w:rFonts w:ascii="Times New Roman" w:eastAsia="宋体" w:hAnsi="Times New Roman" w:cs="Times New Roman"/>
          <w:color w:val="000000" w:themeColor="text1"/>
          <w:sz w:val="24"/>
          <w:szCs w:val="24"/>
        </w:rPr>
        <w:t>地区钻采工程中已实施多年，具有较好的借鉴经验。</w:t>
      </w:r>
      <w:r w:rsidR="00466A40" w:rsidRPr="00092862">
        <w:rPr>
          <w:rFonts w:ascii="Times New Roman" w:eastAsia="宋体" w:hAnsi="Times New Roman" w:cs="Times New Roman"/>
          <w:color w:val="000000" w:themeColor="text1"/>
          <w:sz w:val="24"/>
          <w:szCs w:val="24"/>
        </w:rPr>
        <w:t>根据本</w:t>
      </w:r>
      <w:r w:rsidR="00AB4660" w:rsidRPr="00092862">
        <w:rPr>
          <w:rFonts w:ascii="Times New Roman" w:eastAsia="宋体" w:hAnsi="Times New Roman" w:cs="Times New Roman"/>
          <w:color w:val="000000" w:themeColor="text1"/>
          <w:sz w:val="24"/>
          <w:szCs w:val="24"/>
        </w:rPr>
        <w:t>井场</w:t>
      </w:r>
      <w:r w:rsidR="00466A40" w:rsidRPr="00092862">
        <w:rPr>
          <w:rFonts w:ascii="Times New Roman" w:eastAsia="宋体" w:hAnsi="Times New Roman" w:cs="Times New Roman"/>
          <w:color w:val="000000" w:themeColor="text1"/>
          <w:sz w:val="24"/>
          <w:szCs w:val="24"/>
        </w:rPr>
        <w:t>已经完钻</w:t>
      </w:r>
      <w:r w:rsidR="00AB4660" w:rsidRPr="00092862">
        <w:rPr>
          <w:rFonts w:ascii="Times New Roman" w:eastAsia="宋体" w:hAnsi="Times New Roman" w:cs="Times New Roman"/>
          <w:color w:val="000000" w:themeColor="text1"/>
          <w:sz w:val="24"/>
          <w:szCs w:val="24"/>
        </w:rPr>
        <w:t>的</w:t>
      </w:r>
      <w:r w:rsidR="004D07D0" w:rsidRPr="00092862">
        <w:rPr>
          <w:rFonts w:ascii="Times New Roman" w:eastAsia="宋体" w:hAnsi="Times New Roman" w:cs="Times New Roman"/>
          <w:color w:val="000000" w:themeColor="text1"/>
          <w:sz w:val="24"/>
          <w:szCs w:val="24"/>
        </w:rPr>
        <w:t>原老君</w:t>
      </w:r>
      <w:r w:rsidR="004D07D0" w:rsidRPr="00092862">
        <w:rPr>
          <w:rFonts w:ascii="Times New Roman" w:eastAsia="宋体" w:hAnsi="Times New Roman" w:cs="Times New Roman"/>
          <w:color w:val="000000" w:themeColor="text1"/>
          <w:sz w:val="24"/>
          <w:szCs w:val="24"/>
        </w:rPr>
        <w:t>701</w:t>
      </w:r>
      <w:r w:rsidR="004D07D0" w:rsidRPr="00092862">
        <w:rPr>
          <w:rFonts w:ascii="Times New Roman" w:eastAsia="宋体" w:hAnsi="Times New Roman" w:cs="Times New Roman"/>
          <w:color w:val="000000" w:themeColor="text1"/>
          <w:sz w:val="24"/>
          <w:szCs w:val="24"/>
        </w:rPr>
        <w:t>集气站旁</w:t>
      </w:r>
      <w:r w:rsidR="00466A40" w:rsidRPr="00092862">
        <w:rPr>
          <w:rFonts w:ascii="Times New Roman" w:eastAsia="宋体" w:hAnsi="Times New Roman" w:cs="Times New Roman"/>
          <w:color w:val="000000" w:themeColor="text1"/>
          <w:sz w:val="24"/>
          <w:szCs w:val="24"/>
        </w:rPr>
        <w:t>和其他中石化川</w:t>
      </w:r>
      <w:r w:rsidR="00AB4660" w:rsidRPr="00092862">
        <w:rPr>
          <w:rFonts w:ascii="Times New Roman" w:eastAsia="宋体" w:hAnsi="Times New Roman" w:cs="Times New Roman"/>
          <w:color w:val="000000" w:themeColor="text1"/>
          <w:sz w:val="24"/>
          <w:szCs w:val="24"/>
        </w:rPr>
        <w:t>东北</w:t>
      </w:r>
      <w:r w:rsidR="00466A40" w:rsidRPr="00092862">
        <w:rPr>
          <w:rFonts w:ascii="Times New Roman" w:eastAsia="宋体" w:hAnsi="Times New Roman" w:cs="Times New Roman"/>
          <w:color w:val="000000" w:themeColor="text1"/>
          <w:sz w:val="24"/>
          <w:szCs w:val="24"/>
        </w:rPr>
        <w:t>地区</w:t>
      </w:r>
      <w:r w:rsidRPr="00092862">
        <w:rPr>
          <w:rFonts w:ascii="Times New Roman" w:eastAsia="宋体" w:hAnsi="Times New Roman" w:cs="Times New Roman"/>
          <w:color w:val="000000" w:themeColor="text1"/>
          <w:sz w:val="24"/>
          <w:szCs w:val="24"/>
        </w:rPr>
        <w:t>钻采工程采用相同土壤污染防治措施，在加强管理和监控后，无</w:t>
      </w:r>
      <w:r w:rsidR="00EC1CFB" w:rsidRPr="00092862">
        <w:rPr>
          <w:rFonts w:ascii="Times New Roman" w:eastAsia="宋体" w:hAnsi="Times New Roman" w:cs="Times New Roman"/>
          <w:color w:val="000000" w:themeColor="text1"/>
          <w:sz w:val="24"/>
          <w:szCs w:val="24"/>
        </w:rPr>
        <w:t>土壤</w:t>
      </w:r>
      <w:r w:rsidRPr="00092862">
        <w:rPr>
          <w:rFonts w:ascii="Times New Roman" w:eastAsia="宋体" w:hAnsi="Times New Roman" w:cs="Times New Roman"/>
          <w:color w:val="000000" w:themeColor="text1"/>
          <w:sz w:val="24"/>
          <w:szCs w:val="24"/>
        </w:rPr>
        <w:t>污染现象和投诉发生。因此，本项目施工期土壤污染防治措施从经济和环保角度分析是合理、可行的。</w:t>
      </w:r>
    </w:p>
    <w:p w14:paraId="5DC5D139" w14:textId="7472E47B" w:rsidR="00DC446C" w:rsidRPr="00092862" w:rsidRDefault="00704F23" w:rsidP="00295ABD">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366" w:name="_Toc120173216"/>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.1</w:t>
      </w:r>
      <w:r w:rsidR="0085013D" w:rsidRPr="00092862">
        <w:rPr>
          <w:rFonts w:ascii="Times New Roman" w:eastAsia="黑体" w:hAnsi="Times New Roman"/>
          <w:b w:val="0"/>
          <w:color w:val="000000" w:themeColor="text1"/>
          <w:sz w:val="24"/>
          <w:szCs w:val="24"/>
          <w:lang w:eastAsia="zh-CN"/>
        </w:rPr>
        <w:t>.</w:t>
      </w:r>
      <w:r w:rsidR="00295ABD" w:rsidRPr="00092862">
        <w:rPr>
          <w:rFonts w:ascii="Times New Roman" w:eastAsia="黑体" w:hAnsi="Times New Roman"/>
          <w:b w:val="0"/>
          <w:color w:val="000000" w:themeColor="text1"/>
          <w:sz w:val="24"/>
          <w:szCs w:val="24"/>
          <w:lang w:eastAsia="zh-CN"/>
        </w:rPr>
        <w:t>7</w:t>
      </w:r>
      <w:r w:rsidR="0085013D" w:rsidRPr="00092862">
        <w:rPr>
          <w:rFonts w:ascii="Times New Roman" w:eastAsia="黑体" w:hAnsi="Times New Roman"/>
          <w:b w:val="0"/>
          <w:color w:val="000000" w:themeColor="text1"/>
          <w:sz w:val="24"/>
          <w:szCs w:val="24"/>
          <w:lang w:eastAsia="zh-CN"/>
        </w:rPr>
        <w:t>施工期</w:t>
      </w:r>
      <w:r w:rsidR="003B1968" w:rsidRPr="00092862">
        <w:rPr>
          <w:rFonts w:ascii="Times New Roman" w:eastAsia="黑体" w:hAnsi="Times New Roman"/>
          <w:b w:val="0"/>
          <w:color w:val="000000" w:themeColor="text1"/>
          <w:sz w:val="24"/>
          <w:szCs w:val="24"/>
          <w:lang w:eastAsia="zh-CN"/>
        </w:rPr>
        <w:t>固体废物污染防治措施</w:t>
      </w:r>
      <w:bookmarkEnd w:id="366"/>
    </w:p>
    <w:p w14:paraId="08F8621C" w14:textId="77777777" w:rsidR="0085013D" w:rsidRPr="00092862" w:rsidRDefault="0085013D" w:rsidP="0085013D">
      <w:pPr>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1</w:t>
      </w:r>
      <w:r w:rsidRPr="00092862">
        <w:rPr>
          <w:rFonts w:ascii="Times New Roman" w:eastAsia="黑体" w:hAnsi="Times New Roman" w:cs="Times New Roman"/>
          <w:color w:val="000000" w:themeColor="text1"/>
          <w:sz w:val="24"/>
        </w:rPr>
        <w:t>、治理措施</w:t>
      </w:r>
    </w:p>
    <w:p w14:paraId="3BD87CF3" w14:textId="77777777" w:rsidR="0085013D" w:rsidRPr="00092862" w:rsidRDefault="0085013D" w:rsidP="0085013D">
      <w:pPr>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1</w:t>
      </w:r>
      <w:r w:rsidRPr="00092862">
        <w:rPr>
          <w:rFonts w:ascii="Times New Roman" w:eastAsia="宋体" w:hAnsi="Times New Roman" w:cs="Times New Roman"/>
          <w:b/>
          <w:bCs/>
          <w:color w:val="000000" w:themeColor="text1"/>
          <w:sz w:val="24"/>
        </w:rPr>
        <w:t>）建筑垃圾</w:t>
      </w:r>
    </w:p>
    <w:p w14:paraId="7B3E59A1" w14:textId="77777777" w:rsidR="0085013D" w:rsidRPr="00092862" w:rsidRDefault="0085013D" w:rsidP="0085013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lastRenderedPageBreak/>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14:paraId="22017026" w14:textId="77777777" w:rsidR="0085013D" w:rsidRPr="00092862" w:rsidRDefault="0085013D" w:rsidP="0085013D">
      <w:pPr>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2</w:t>
      </w:r>
      <w:r w:rsidRPr="00092862">
        <w:rPr>
          <w:rFonts w:ascii="Times New Roman" w:eastAsia="宋体" w:hAnsi="Times New Roman" w:cs="Times New Roman"/>
          <w:b/>
          <w:bCs/>
          <w:color w:val="000000" w:themeColor="text1"/>
          <w:sz w:val="24"/>
        </w:rPr>
        <w:t>）生活垃圾</w:t>
      </w:r>
    </w:p>
    <w:p w14:paraId="2C38229F" w14:textId="77777777" w:rsidR="0085013D" w:rsidRPr="00092862" w:rsidRDefault="0085013D" w:rsidP="0085013D">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钻井期</w:t>
      </w:r>
      <w:r w:rsidRPr="00092862">
        <w:rPr>
          <w:rFonts w:ascii="Times New Roman" w:eastAsia="宋体" w:hAnsi="Times New Roman" w:cs="Times New Roman"/>
          <w:bCs/>
          <w:color w:val="000000" w:themeColor="text1"/>
          <w:sz w:val="24"/>
        </w:rPr>
        <w:t>井场设置垃圾桶进行收集，垃圾桶进行防雨防风处理，定期清运交由当地环卫部门统一处理。</w:t>
      </w:r>
    </w:p>
    <w:p w14:paraId="0094E5D0" w14:textId="77777777" w:rsidR="0085013D" w:rsidRPr="00092862" w:rsidRDefault="0085013D" w:rsidP="0085013D">
      <w:pPr>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Pr="00092862">
        <w:rPr>
          <w:rFonts w:ascii="Times New Roman" w:eastAsia="宋体" w:hAnsi="Times New Roman" w:cs="Times New Roman"/>
          <w:b/>
          <w:bCs/>
          <w:color w:val="000000" w:themeColor="text1"/>
          <w:sz w:val="24"/>
        </w:rPr>
        <w:t>3</w:t>
      </w:r>
      <w:r w:rsidRPr="00092862">
        <w:rPr>
          <w:rFonts w:ascii="Times New Roman" w:eastAsia="宋体" w:hAnsi="Times New Roman" w:cs="Times New Roman"/>
          <w:b/>
          <w:bCs/>
          <w:color w:val="000000" w:themeColor="text1"/>
          <w:sz w:val="24"/>
        </w:rPr>
        <w:t>）水基钻井固废</w:t>
      </w:r>
    </w:p>
    <w:p w14:paraId="6B410AF1" w14:textId="796423C0" w:rsidR="0085013D" w:rsidRPr="00092862" w:rsidRDefault="0085013D" w:rsidP="0085013D">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水基废弃泥浆和岩屑在钻井现场经泥浆不落地工艺经脱稳</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板框压滤进行固液分离后产生的固态</w:t>
      </w:r>
      <w:r w:rsidRPr="00092862">
        <w:rPr>
          <w:rFonts w:ascii="Times New Roman" w:eastAsia="宋体" w:hAnsi="Times New Roman" w:cs="Times New Roman"/>
          <w:bCs/>
          <w:color w:val="000000" w:themeColor="text1"/>
          <w:sz w:val="24"/>
        </w:rPr>
        <w:t>钻井固废</w:t>
      </w:r>
      <w:r w:rsidRPr="00092862">
        <w:rPr>
          <w:rFonts w:ascii="Times New Roman" w:eastAsia="宋体" w:hAnsi="Times New Roman" w:cs="Times New Roman"/>
          <w:color w:val="000000" w:themeColor="text1"/>
          <w:sz w:val="24"/>
        </w:rPr>
        <w:t>，</w:t>
      </w:r>
      <w:r w:rsidR="00C96A6A" w:rsidRPr="00092862">
        <w:rPr>
          <w:rFonts w:ascii="Times New Roman" w:eastAsia="宋体" w:hAnsi="Times New Roman" w:cs="Times New Roman"/>
          <w:color w:val="000000" w:themeColor="text1"/>
          <w:sz w:val="24"/>
        </w:rPr>
        <w:t>在</w:t>
      </w:r>
      <w:r w:rsidR="00C96A6A" w:rsidRPr="00092862">
        <w:rPr>
          <w:rFonts w:ascii="Times New Roman" w:eastAsia="宋体" w:hAnsi="Times New Roman" w:cs="Times New Roman"/>
          <w:color w:val="000000" w:themeColor="text1"/>
          <w:sz w:val="24"/>
          <w:szCs w:val="24"/>
        </w:rPr>
        <w:t>泥浆不落地装置附近设置钻井固废暂存区</w:t>
      </w:r>
      <w:r w:rsidR="00C96A6A" w:rsidRPr="00092862">
        <w:rPr>
          <w:rFonts w:ascii="Times New Roman" w:eastAsia="宋体" w:hAnsi="Times New Roman" w:cs="Times New Roman"/>
          <w:color w:val="000000" w:themeColor="text1"/>
          <w:sz w:val="24"/>
        </w:rPr>
        <w:t>由废渣收集罐收集后临时暂存，</w:t>
      </w:r>
      <w:r w:rsidR="009D4D68" w:rsidRPr="00092862">
        <w:rPr>
          <w:rFonts w:ascii="Times New Roman" w:eastAsia="宋体" w:hAnsi="Times New Roman" w:cs="Times New Roman"/>
          <w:color w:val="000000" w:themeColor="text1"/>
          <w:sz w:val="24"/>
        </w:rPr>
        <w:t>定期用密闭罐车</w:t>
      </w:r>
      <w:r w:rsidR="000408D0" w:rsidRPr="00092862">
        <w:rPr>
          <w:rFonts w:ascii="Times New Roman" w:eastAsia="宋体" w:hAnsi="Times New Roman" w:cs="Times New Roman"/>
          <w:color w:val="000000" w:themeColor="text1"/>
          <w:sz w:val="24"/>
        </w:rPr>
        <w:t>及时转运至达州地区环保手续齐全、环保设施稳定运行固废烧结厂进行烧结后综合利用</w:t>
      </w:r>
      <w:r w:rsidRPr="00092862">
        <w:rPr>
          <w:rFonts w:ascii="Times New Roman" w:eastAsia="宋体" w:hAnsi="Times New Roman" w:cs="Times New Roman"/>
          <w:color w:val="000000" w:themeColor="text1"/>
          <w:sz w:val="24"/>
        </w:rPr>
        <w:t>。</w:t>
      </w:r>
      <w:r w:rsidR="00916013" w:rsidRPr="00092862">
        <w:rPr>
          <w:rFonts w:ascii="Times New Roman" w:eastAsia="宋体" w:hAnsi="Times New Roman" w:cs="Times New Roman"/>
          <w:color w:val="000000" w:themeColor="text1"/>
          <w:sz w:val="24"/>
        </w:rPr>
        <w:t>本项目水基钻井固废产生量约</w:t>
      </w:r>
      <w:r w:rsidR="00EC70BF" w:rsidRPr="00092862">
        <w:rPr>
          <w:rFonts w:ascii="Times New Roman" w:eastAsia="宋体" w:hAnsi="Times New Roman" w:cs="Times New Roman"/>
          <w:color w:val="000000" w:themeColor="text1"/>
          <w:sz w:val="24"/>
        </w:rPr>
        <w:t>4216.39</w:t>
      </w:r>
      <w:r w:rsidR="00916013" w:rsidRPr="00092862">
        <w:rPr>
          <w:rFonts w:ascii="Times New Roman" w:eastAsia="宋体" w:hAnsi="Times New Roman" w:cs="Times New Roman"/>
          <w:color w:val="000000" w:themeColor="text1"/>
          <w:sz w:val="24"/>
        </w:rPr>
        <w:t>m</w:t>
      </w:r>
      <w:r w:rsidR="00916013" w:rsidRPr="00092862">
        <w:rPr>
          <w:rFonts w:ascii="Times New Roman" w:eastAsia="宋体" w:hAnsi="Times New Roman" w:cs="Times New Roman"/>
          <w:color w:val="000000" w:themeColor="text1"/>
          <w:sz w:val="24"/>
          <w:vertAlign w:val="superscript"/>
        </w:rPr>
        <w:t>3</w:t>
      </w:r>
      <w:r w:rsidR="00916013" w:rsidRPr="00092862">
        <w:rPr>
          <w:rFonts w:ascii="Times New Roman" w:eastAsia="宋体" w:hAnsi="Times New Roman" w:cs="Times New Roman"/>
          <w:color w:val="000000" w:themeColor="text1"/>
          <w:sz w:val="24"/>
        </w:rPr>
        <w:t>，项目设置在</w:t>
      </w:r>
      <w:r w:rsidR="00916013" w:rsidRPr="00092862">
        <w:rPr>
          <w:rFonts w:ascii="Times New Roman" w:eastAsia="宋体" w:hAnsi="Times New Roman" w:cs="Times New Roman"/>
          <w:color w:val="000000" w:themeColor="text1"/>
          <w:sz w:val="24"/>
          <w:szCs w:val="24"/>
        </w:rPr>
        <w:t>钻井固废暂存区</w:t>
      </w:r>
      <w:r w:rsidR="00916013" w:rsidRPr="00092862">
        <w:rPr>
          <w:rFonts w:ascii="Times New Roman" w:eastAsia="宋体" w:hAnsi="Times New Roman" w:cs="Times New Roman"/>
          <w:color w:val="000000" w:themeColor="text1"/>
          <w:sz w:val="24"/>
        </w:rPr>
        <w:t>的废渣收集罐容积约</w:t>
      </w:r>
      <w:r w:rsidR="00916013" w:rsidRPr="00092862">
        <w:rPr>
          <w:rFonts w:ascii="Times New Roman" w:eastAsia="宋体" w:hAnsi="Times New Roman" w:cs="Times New Roman"/>
          <w:color w:val="000000" w:themeColor="text1"/>
          <w:sz w:val="24"/>
        </w:rPr>
        <w:t>100m</w:t>
      </w:r>
      <w:r w:rsidR="00916013" w:rsidRPr="00092862">
        <w:rPr>
          <w:rFonts w:ascii="Times New Roman" w:eastAsia="宋体" w:hAnsi="Times New Roman" w:cs="Times New Roman"/>
          <w:color w:val="000000" w:themeColor="text1"/>
          <w:sz w:val="24"/>
          <w:vertAlign w:val="superscript"/>
        </w:rPr>
        <w:t>3</w:t>
      </w:r>
      <w:r w:rsidR="00916013" w:rsidRPr="00092862">
        <w:rPr>
          <w:rFonts w:ascii="Times New Roman" w:eastAsia="宋体" w:hAnsi="Times New Roman" w:cs="Times New Roman"/>
          <w:color w:val="000000" w:themeColor="text1"/>
          <w:sz w:val="24"/>
        </w:rPr>
        <w:t>，</w:t>
      </w:r>
      <w:r w:rsidR="003121FB" w:rsidRPr="00092862">
        <w:rPr>
          <w:rFonts w:ascii="Times New Roman" w:eastAsia="宋体" w:hAnsi="Times New Roman" w:cs="Times New Roman"/>
          <w:color w:val="000000" w:themeColor="text1"/>
          <w:sz w:val="24"/>
        </w:rPr>
        <w:t>在暂存容积剩余约</w:t>
      </w:r>
      <w:r w:rsidR="003121FB" w:rsidRPr="00092862">
        <w:rPr>
          <w:rFonts w:ascii="Times New Roman" w:eastAsia="宋体" w:hAnsi="Times New Roman" w:cs="Times New Roman"/>
          <w:color w:val="000000" w:themeColor="text1"/>
          <w:sz w:val="24"/>
        </w:rPr>
        <w:t>20</w:t>
      </w:r>
      <w:r w:rsidR="003121FB" w:rsidRPr="00092862">
        <w:rPr>
          <w:rFonts w:ascii="Times New Roman" w:eastAsia="宋体" w:hAnsi="Times New Roman" w:cs="Times New Roman"/>
          <w:color w:val="000000" w:themeColor="text1"/>
          <w:sz w:val="24"/>
        </w:rPr>
        <w:t>％前及时进行转运</w:t>
      </w:r>
      <w:r w:rsidR="000C75C4" w:rsidRPr="00092862">
        <w:rPr>
          <w:rFonts w:ascii="Times New Roman" w:eastAsia="宋体" w:hAnsi="Times New Roman" w:cs="Times New Roman"/>
          <w:color w:val="000000" w:themeColor="text1"/>
          <w:sz w:val="24"/>
        </w:rPr>
        <w:t>，</w:t>
      </w:r>
      <w:r w:rsidR="00916013" w:rsidRPr="00092862">
        <w:rPr>
          <w:rFonts w:ascii="Times New Roman" w:eastAsia="宋体" w:hAnsi="Times New Roman" w:cs="Times New Roman"/>
          <w:color w:val="000000" w:themeColor="text1"/>
          <w:sz w:val="24"/>
        </w:rPr>
        <w:t>能够</w:t>
      </w:r>
      <w:r w:rsidR="003121FB" w:rsidRPr="00092862">
        <w:rPr>
          <w:rFonts w:ascii="Times New Roman" w:eastAsia="宋体" w:hAnsi="Times New Roman" w:cs="Times New Roman"/>
          <w:color w:val="000000" w:themeColor="text1"/>
          <w:sz w:val="24"/>
        </w:rPr>
        <w:t>确保</w:t>
      </w:r>
      <w:r w:rsidR="00916013" w:rsidRPr="00092862">
        <w:rPr>
          <w:rFonts w:ascii="Times New Roman" w:eastAsia="宋体" w:hAnsi="Times New Roman" w:cs="Times New Roman"/>
          <w:color w:val="000000" w:themeColor="text1"/>
          <w:sz w:val="24"/>
        </w:rPr>
        <w:t>满足水基钻井固废的暂存，不会出现外溢的现象。</w:t>
      </w:r>
      <w:r w:rsidRPr="00092862">
        <w:rPr>
          <w:rFonts w:ascii="Times New Roman" w:eastAsia="宋体" w:hAnsi="Times New Roman" w:cs="Times New Roman"/>
          <w:color w:val="000000" w:themeColor="text1"/>
          <w:sz w:val="24"/>
        </w:rPr>
        <w:t>整个过程废泥浆和岩屑能实现</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不落地</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，收集和储存主要在罐中实现，最终需拉运资源化利用的为固相。由于其为第</w:t>
      </w:r>
      <w:r w:rsidRPr="00092862">
        <w:rPr>
          <w:rFonts w:ascii="Times New Roman" w:eastAsia="宋体" w:hAnsi="Times New Roman" w:cs="Times New Roman"/>
          <w:color w:val="000000" w:themeColor="text1"/>
          <w:sz w:val="24"/>
        </w:rPr>
        <w:t>Ⅱ</w:t>
      </w:r>
      <w:r w:rsidRPr="00092862">
        <w:rPr>
          <w:rFonts w:ascii="Times New Roman" w:eastAsia="宋体" w:hAnsi="Times New Roman" w:cs="Times New Roman"/>
          <w:color w:val="000000" w:themeColor="text1"/>
          <w:sz w:val="24"/>
        </w:rPr>
        <w:t>类一般工业固体废物，建设单位参照</w:t>
      </w:r>
      <w:r w:rsidRPr="00092862">
        <w:rPr>
          <w:rFonts w:ascii="Times New Roman" w:eastAsia="宋体" w:hAnsi="Times New Roman" w:cs="Times New Roman"/>
          <w:snapToGrid w:val="0"/>
          <w:color w:val="000000" w:themeColor="text1"/>
          <w:sz w:val="24"/>
        </w:rPr>
        <w:t>《一般工业固体废物贮存和填埋污染控制标准》</w:t>
      </w:r>
      <w:r w:rsidRPr="00092862">
        <w:rPr>
          <w:rFonts w:ascii="Times New Roman" w:eastAsia="宋体" w:hAnsi="Times New Roman" w:cs="Times New Roman"/>
          <w:snapToGrid w:val="0"/>
          <w:color w:val="000000" w:themeColor="text1"/>
          <w:sz w:val="24"/>
        </w:rPr>
        <w:t>GB18599-2020</w:t>
      </w:r>
      <w:r w:rsidRPr="00092862">
        <w:rPr>
          <w:rFonts w:ascii="Times New Roman" w:eastAsia="宋体" w:hAnsi="Times New Roman" w:cs="Times New Roman"/>
          <w:snapToGrid w:val="0"/>
          <w:color w:val="000000" w:themeColor="text1"/>
          <w:sz w:val="24"/>
        </w:rPr>
        <w:t>中对第</w:t>
      </w:r>
      <w:r w:rsidRPr="00092862">
        <w:rPr>
          <w:rFonts w:ascii="Times New Roman" w:eastAsia="宋体" w:hAnsi="Times New Roman" w:cs="Times New Roman"/>
          <w:snapToGrid w:val="0"/>
          <w:color w:val="000000" w:themeColor="text1"/>
          <w:sz w:val="24"/>
        </w:rPr>
        <w:t>Ⅱ</w:t>
      </w:r>
      <w:r w:rsidRPr="00092862">
        <w:rPr>
          <w:rFonts w:ascii="Times New Roman" w:eastAsia="宋体" w:hAnsi="Times New Roman" w:cs="Times New Roman"/>
          <w:snapToGrid w:val="0"/>
          <w:color w:val="000000" w:themeColor="text1"/>
          <w:sz w:val="24"/>
        </w:rPr>
        <w:t>类一般工业固体废物的处置要求以及参照《四川油气田钻井废弃物无害化处理技术规范》（</w:t>
      </w:r>
      <w:r w:rsidRPr="00092862">
        <w:rPr>
          <w:rFonts w:ascii="Times New Roman" w:eastAsia="宋体" w:hAnsi="Times New Roman" w:cs="Times New Roman"/>
          <w:snapToGrid w:val="0"/>
          <w:color w:val="000000" w:themeColor="text1"/>
          <w:sz w:val="24"/>
        </w:rPr>
        <w:t>Q/SY XN0276—2007</w:t>
      </w:r>
      <w:r w:rsidRPr="00092862">
        <w:rPr>
          <w:rFonts w:ascii="Times New Roman" w:eastAsia="宋体" w:hAnsi="Times New Roman" w:cs="Times New Roman"/>
          <w:snapToGrid w:val="0"/>
          <w:color w:val="000000" w:themeColor="text1"/>
          <w:sz w:val="24"/>
        </w:rPr>
        <w:t>）防渗要求</w:t>
      </w:r>
      <w:r w:rsidRPr="00092862">
        <w:rPr>
          <w:rFonts w:ascii="Times New Roman" w:eastAsia="宋体" w:hAnsi="Times New Roman" w:cs="Times New Roman"/>
          <w:color w:val="000000" w:themeColor="text1"/>
          <w:sz w:val="24"/>
        </w:rPr>
        <w:t>。</w:t>
      </w:r>
      <w:r w:rsidR="0014729F" w:rsidRPr="00092862">
        <w:rPr>
          <w:rFonts w:ascii="Times New Roman" w:eastAsia="宋体" w:hAnsi="Times New Roman" w:cs="Times New Roman"/>
          <w:color w:val="000000" w:themeColor="text1"/>
          <w:sz w:val="24"/>
        </w:rPr>
        <w:t>本项目水基钻井固废钻井过程中经泥浆不落地工艺进行固液分离后</w:t>
      </w:r>
      <w:r w:rsidR="00A02F80" w:rsidRPr="00092862">
        <w:rPr>
          <w:rFonts w:ascii="Times New Roman" w:eastAsia="宋体" w:hAnsi="Times New Roman" w:cs="Times New Roman"/>
          <w:color w:val="000000" w:themeColor="text1"/>
          <w:sz w:val="24"/>
        </w:rPr>
        <w:t>定期用密闭罐车</w:t>
      </w:r>
      <w:r w:rsidR="000408D0" w:rsidRPr="00092862">
        <w:rPr>
          <w:rFonts w:ascii="Times New Roman" w:eastAsia="宋体" w:hAnsi="Times New Roman" w:cs="Times New Roman"/>
          <w:color w:val="000000" w:themeColor="text1"/>
          <w:sz w:val="24"/>
        </w:rPr>
        <w:t>及时转运至达州地区环保手续齐全、环保设施稳定运行固废烧结厂进行烧结后综合利用</w:t>
      </w:r>
      <w:r w:rsidR="0014729F" w:rsidRPr="00092862">
        <w:rPr>
          <w:rFonts w:ascii="Times New Roman" w:eastAsia="宋体" w:hAnsi="Times New Roman" w:cs="Times New Roman"/>
          <w:color w:val="000000" w:themeColor="text1"/>
          <w:sz w:val="24"/>
          <w:shd w:val="clear" w:color="auto" w:fill="FFFFFF"/>
        </w:rPr>
        <w:t>，基本不在井场暂存</w:t>
      </w:r>
      <w:r w:rsidR="0014729F" w:rsidRPr="00092862">
        <w:rPr>
          <w:rFonts w:ascii="Times New Roman" w:eastAsia="宋体" w:hAnsi="Times New Roman" w:cs="Times New Roman"/>
          <w:color w:val="000000" w:themeColor="text1"/>
          <w:sz w:val="24"/>
        </w:rPr>
        <w:t>。同时</w:t>
      </w:r>
      <w:r w:rsidRPr="00092862">
        <w:rPr>
          <w:rFonts w:ascii="Times New Roman" w:eastAsia="宋体" w:hAnsi="Times New Roman" w:cs="Times New Roman"/>
          <w:color w:val="000000" w:themeColor="text1"/>
          <w:sz w:val="24"/>
        </w:rPr>
        <w:t>此举符合《水泥窑协同处置固体废物污染防治技术政策》</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环保部公告</w:t>
      </w:r>
      <w:r w:rsidRPr="00092862">
        <w:rPr>
          <w:rFonts w:ascii="Times New Roman" w:eastAsia="宋体" w:hAnsi="Times New Roman" w:cs="Times New Roman"/>
          <w:color w:val="000000" w:themeColor="text1"/>
          <w:sz w:val="24"/>
        </w:rPr>
        <w:t>2016</w:t>
      </w:r>
      <w:r w:rsidRPr="00092862">
        <w:rPr>
          <w:rFonts w:ascii="Times New Roman" w:eastAsia="宋体" w:hAnsi="Times New Roman" w:cs="Times New Roman"/>
          <w:color w:val="000000" w:themeColor="text1"/>
          <w:sz w:val="24"/>
        </w:rPr>
        <w:t>年第</w:t>
      </w:r>
      <w:r w:rsidRPr="00092862">
        <w:rPr>
          <w:rFonts w:ascii="Times New Roman" w:eastAsia="宋体" w:hAnsi="Times New Roman" w:cs="Times New Roman"/>
          <w:color w:val="000000" w:themeColor="text1"/>
          <w:sz w:val="24"/>
        </w:rPr>
        <w:t>72</w:t>
      </w:r>
      <w:r w:rsidRPr="00092862">
        <w:rPr>
          <w:rFonts w:ascii="Times New Roman" w:eastAsia="宋体" w:hAnsi="Times New Roman" w:cs="Times New Roman"/>
          <w:color w:val="000000" w:themeColor="text1"/>
          <w:sz w:val="24"/>
        </w:rPr>
        <w:t>号</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，属国家鼓励的污染物治理方式。</w:t>
      </w:r>
      <w:r w:rsidRPr="00092862">
        <w:rPr>
          <w:rFonts w:ascii="Times New Roman" w:eastAsia="宋体" w:hAnsi="Times New Roman" w:cs="Times New Roman"/>
          <w:bCs/>
          <w:color w:val="000000" w:themeColor="text1"/>
          <w:sz w:val="24"/>
        </w:rPr>
        <w:t>完钻后井筒内替换出来的泥浆经循环系统处理后与泥浆循环系统内剩余的合格钻井泥浆</w:t>
      </w:r>
      <w:r w:rsidR="00B8532F" w:rsidRPr="00092862">
        <w:rPr>
          <w:rFonts w:ascii="Times New Roman" w:eastAsia="宋体" w:hAnsi="Times New Roman" w:cs="Times New Roman"/>
          <w:bCs/>
          <w:color w:val="000000" w:themeColor="text1"/>
          <w:sz w:val="24"/>
        </w:rPr>
        <w:t>用于区块其他项目钻井</w:t>
      </w:r>
      <w:r w:rsidRPr="00092862">
        <w:rPr>
          <w:rFonts w:ascii="Times New Roman" w:eastAsia="宋体" w:hAnsi="Times New Roman" w:cs="Times New Roman"/>
          <w:bCs/>
          <w:color w:val="000000" w:themeColor="text1"/>
          <w:sz w:val="24"/>
        </w:rPr>
        <w:t>回用</w:t>
      </w:r>
      <w:r w:rsidRPr="00092862">
        <w:rPr>
          <w:rFonts w:ascii="Times New Roman" w:eastAsia="宋体" w:hAnsi="Times New Roman" w:cs="Times New Roman"/>
          <w:color w:val="000000" w:themeColor="text1"/>
          <w:sz w:val="24"/>
        </w:rPr>
        <w:t>。</w:t>
      </w:r>
    </w:p>
    <w:p w14:paraId="14ADBA18" w14:textId="21BA770C" w:rsidR="0085013D" w:rsidRPr="00092862" w:rsidRDefault="0085013D" w:rsidP="008D78B4">
      <w:pPr>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00CB1B02" w:rsidRPr="00092862">
        <w:rPr>
          <w:rFonts w:ascii="Times New Roman" w:eastAsia="宋体" w:hAnsi="Times New Roman" w:cs="Times New Roman"/>
          <w:b/>
          <w:bCs/>
          <w:color w:val="000000" w:themeColor="text1"/>
          <w:sz w:val="24"/>
        </w:rPr>
        <w:t>4</w:t>
      </w:r>
      <w:r w:rsidRPr="00092862">
        <w:rPr>
          <w:rFonts w:ascii="Times New Roman" w:eastAsia="宋体" w:hAnsi="Times New Roman" w:cs="Times New Roman"/>
          <w:b/>
          <w:bCs/>
          <w:color w:val="000000" w:themeColor="text1"/>
          <w:sz w:val="24"/>
        </w:rPr>
        <w:t>）废油及其他不能使用含油废物</w:t>
      </w:r>
    </w:p>
    <w:p w14:paraId="67C8EB14" w14:textId="16249E3A" w:rsidR="0085013D" w:rsidRPr="00092862" w:rsidRDefault="0020433E" w:rsidP="008D78B4">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产生的废油由施工单位统一收集并综合利用，若不能全部回用，不能综合利用的废油、不能继续使用的废油桶以及擦拭站场设备产生的</w:t>
      </w:r>
      <w:r w:rsidR="00425E5E" w:rsidRPr="00092862">
        <w:rPr>
          <w:rFonts w:ascii="Times New Roman" w:eastAsia="宋体" w:hAnsi="Times New Roman" w:cs="Times New Roman"/>
          <w:color w:val="000000" w:themeColor="text1"/>
          <w:sz w:val="24"/>
        </w:rPr>
        <w:t>其他含油固废</w:t>
      </w:r>
      <w:r w:rsidRPr="00092862">
        <w:rPr>
          <w:rFonts w:ascii="Times New Roman" w:eastAsia="宋体" w:hAnsi="Times New Roman" w:cs="Times New Roman"/>
          <w:color w:val="000000" w:themeColor="text1"/>
          <w:sz w:val="24"/>
        </w:rPr>
        <w:t>交由有资质的单位处理。废油的收集、贮存和运输应满足《危险废物收集、贮存、运输技术规范》（</w:t>
      </w:r>
      <w:r w:rsidRPr="00092862">
        <w:rPr>
          <w:rFonts w:ascii="Times New Roman" w:eastAsia="宋体" w:hAnsi="Times New Roman" w:cs="Times New Roman"/>
          <w:color w:val="000000" w:themeColor="text1"/>
          <w:sz w:val="24"/>
        </w:rPr>
        <w:t>HJ2025-2012</w:t>
      </w:r>
      <w:r w:rsidRPr="00092862">
        <w:rPr>
          <w:rFonts w:ascii="Times New Roman" w:eastAsia="宋体" w:hAnsi="Times New Roman" w:cs="Times New Roman"/>
          <w:color w:val="000000" w:themeColor="text1"/>
          <w:sz w:val="24"/>
        </w:rPr>
        <w:t>）及《废矿物油回收利用污染控制技术规范》</w:t>
      </w:r>
      <w:r w:rsidRPr="00092862">
        <w:rPr>
          <w:rFonts w:ascii="Times New Roman" w:eastAsia="宋体" w:hAnsi="Times New Roman" w:cs="Times New Roman"/>
          <w:color w:val="000000" w:themeColor="text1"/>
          <w:sz w:val="24"/>
        </w:rPr>
        <w:lastRenderedPageBreak/>
        <w:t>（</w:t>
      </w:r>
      <w:r w:rsidRPr="00092862">
        <w:rPr>
          <w:rFonts w:ascii="Times New Roman" w:eastAsia="宋体" w:hAnsi="Times New Roman" w:cs="Times New Roman"/>
          <w:color w:val="000000" w:themeColor="text1"/>
          <w:sz w:val="24"/>
        </w:rPr>
        <w:t>HJ607-2011</w:t>
      </w:r>
      <w:r w:rsidRPr="00092862">
        <w:rPr>
          <w:rFonts w:ascii="Times New Roman" w:eastAsia="宋体" w:hAnsi="Times New Roman" w:cs="Times New Roman"/>
          <w:color w:val="000000" w:themeColor="text1"/>
          <w:sz w:val="24"/>
        </w:rPr>
        <w:t>）相关规定。</w:t>
      </w:r>
    </w:p>
    <w:p w14:paraId="21EF5F98" w14:textId="077E9389" w:rsidR="0085013D" w:rsidRPr="00092862" w:rsidRDefault="0085013D" w:rsidP="008D78B4">
      <w:pPr>
        <w:spacing w:line="360" w:lineRule="auto"/>
        <w:ind w:firstLineChars="200" w:firstLine="482"/>
        <w:rPr>
          <w:rFonts w:ascii="Times New Roman" w:eastAsia="宋体" w:hAnsi="Times New Roman" w:cs="Times New Roman"/>
          <w:b/>
          <w:bCs/>
          <w:color w:val="000000" w:themeColor="text1"/>
          <w:sz w:val="24"/>
        </w:rPr>
      </w:pPr>
      <w:r w:rsidRPr="00092862">
        <w:rPr>
          <w:rFonts w:ascii="Times New Roman" w:eastAsia="宋体" w:hAnsi="Times New Roman" w:cs="Times New Roman"/>
          <w:b/>
          <w:bCs/>
          <w:color w:val="000000" w:themeColor="text1"/>
          <w:sz w:val="24"/>
        </w:rPr>
        <w:t>（</w:t>
      </w:r>
      <w:r w:rsidR="00CB1B02" w:rsidRPr="00092862">
        <w:rPr>
          <w:rFonts w:ascii="Times New Roman" w:eastAsia="宋体" w:hAnsi="Times New Roman" w:cs="Times New Roman"/>
          <w:b/>
          <w:bCs/>
          <w:color w:val="000000" w:themeColor="text1"/>
          <w:sz w:val="24"/>
        </w:rPr>
        <w:t>5</w:t>
      </w:r>
      <w:r w:rsidRPr="00092862">
        <w:rPr>
          <w:rFonts w:ascii="Times New Roman" w:eastAsia="宋体" w:hAnsi="Times New Roman" w:cs="Times New Roman"/>
          <w:b/>
          <w:bCs/>
          <w:color w:val="000000" w:themeColor="text1"/>
          <w:sz w:val="24"/>
        </w:rPr>
        <w:t>）废包装材料等其他一般固废</w:t>
      </w:r>
    </w:p>
    <w:p w14:paraId="77331153" w14:textId="77777777" w:rsidR="0085013D" w:rsidRPr="00092862" w:rsidRDefault="0085013D" w:rsidP="0020433E">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部分回收重复利用，不可回用部分经收集后暂处于井场内，定期送当地废品回收站处理。</w:t>
      </w:r>
    </w:p>
    <w:p w14:paraId="522F5547" w14:textId="0C7A25BA" w:rsidR="00923F6A" w:rsidRPr="00092862" w:rsidRDefault="00CB1CAD" w:rsidP="0020433E">
      <w:pPr>
        <w:adjustRightInd w:val="0"/>
        <w:snapToGrid w:val="0"/>
        <w:spacing w:line="360" w:lineRule="auto"/>
        <w:ind w:firstLineChars="200" w:firstLine="480"/>
        <w:rPr>
          <w:rFonts w:ascii="Times New Roman" w:hAnsi="Times New Roman" w:cs="Times New Roman"/>
          <w:color w:val="000000" w:themeColor="text1"/>
          <w:sz w:val="24"/>
        </w:rPr>
      </w:pPr>
      <w:r w:rsidRPr="00092862">
        <w:rPr>
          <w:rFonts w:ascii="Times New Roman" w:eastAsia="黑体" w:hAnsi="Times New Roman" w:cs="Times New Roman"/>
          <w:color w:val="000000" w:themeColor="text1"/>
          <w:sz w:val="24"/>
        </w:rPr>
        <w:t>2</w:t>
      </w:r>
      <w:r w:rsidR="00923F6A" w:rsidRPr="00092862">
        <w:rPr>
          <w:rFonts w:ascii="Times New Roman" w:eastAsia="黑体" w:hAnsi="Times New Roman" w:cs="Times New Roman"/>
          <w:color w:val="000000" w:themeColor="text1"/>
          <w:sz w:val="24"/>
        </w:rPr>
        <w:t>、水基钻井固废依托措施的可行性分析</w:t>
      </w:r>
    </w:p>
    <w:p w14:paraId="7CE75590" w14:textId="323D879A" w:rsidR="0085013D" w:rsidRPr="00092862" w:rsidRDefault="00923F6A" w:rsidP="009D4D68">
      <w:pPr>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本项目水基钻井固废属于第</w:t>
      </w:r>
      <w:r w:rsidRPr="00092862">
        <w:rPr>
          <w:rFonts w:ascii="Times New Roman" w:eastAsia="宋体" w:hAnsi="Times New Roman" w:cs="Times New Roman"/>
          <w:color w:val="000000" w:themeColor="text1"/>
          <w:sz w:val="24"/>
        </w:rPr>
        <w:t>Ⅱ</w:t>
      </w:r>
      <w:r w:rsidRPr="00092862">
        <w:rPr>
          <w:rFonts w:ascii="Times New Roman" w:eastAsia="宋体" w:hAnsi="Times New Roman" w:cs="Times New Roman"/>
          <w:color w:val="000000" w:themeColor="text1"/>
          <w:sz w:val="24"/>
        </w:rPr>
        <w:t>类一般固体废物，收集后</w:t>
      </w:r>
      <w:r w:rsidR="009D4D68" w:rsidRPr="00092862">
        <w:rPr>
          <w:rFonts w:ascii="Times New Roman" w:eastAsia="宋体" w:hAnsi="Times New Roman" w:cs="Times New Roman"/>
          <w:color w:val="000000" w:themeColor="text1"/>
          <w:sz w:val="24"/>
        </w:rPr>
        <w:t>定期用密闭罐车</w:t>
      </w:r>
      <w:r w:rsidR="000408D0" w:rsidRPr="00092862">
        <w:rPr>
          <w:rFonts w:ascii="Times New Roman" w:eastAsia="宋体" w:hAnsi="Times New Roman" w:cs="Times New Roman"/>
          <w:color w:val="000000" w:themeColor="text1"/>
          <w:sz w:val="24"/>
        </w:rPr>
        <w:t>及时转运至达州地区环保手续齐全、环保设施稳定运行固废烧结厂进行烧结后综合利用</w:t>
      </w:r>
      <w:r w:rsidRPr="00092862">
        <w:rPr>
          <w:rFonts w:ascii="Times New Roman" w:eastAsia="宋体" w:hAnsi="Times New Roman" w:cs="Times New Roman"/>
          <w:color w:val="000000" w:themeColor="text1"/>
          <w:sz w:val="24"/>
        </w:rPr>
        <w:t>。</w:t>
      </w:r>
      <w:r w:rsidR="009D4D68" w:rsidRPr="00092862">
        <w:rPr>
          <w:rFonts w:ascii="Times New Roman" w:eastAsia="宋体" w:hAnsi="Times New Roman" w:cs="Times New Roman"/>
          <w:color w:val="000000" w:themeColor="text1"/>
          <w:sz w:val="24"/>
        </w:rPr>
        <w:t>满足《达州市生态环境局办公室关于加强固体废物污染防治工作的通知》（达市环办发</w:t>
      </w:r>
      <w:r w:rsidR="009D4D68" w:rsidRPr="00092862">
        <w:rPr>
          <w:rFonts w:ascii="Times New Roman" w:eastAsia="宋体" w:hAnsi="Times New Roman" w:cs="Times New Roman"/>
          <w:color w:val="000000" w:themeColor="text1"/>
          <w:sz w:val="24"/>
        </w:rPr>
        <w:t>[2019]49</w:t>
      </w:r>
      <w:r w:rsidR="009D4D68" w:rsidRPr="00092862">
        <w:rPr>
          <w:rFonts w:ascii="Times New Roman" w:eastAsia="宋体" w:hAnsi="Times New Roman" w:cs="Times New Roman"/>
          <w:color w:val="000000" w:themeColor="text1"/>
          <w:sz w:val="24"/>
        </w:rPr>
        <w:t>号文件要求。</w:t>
      </w:r>
      <w:r w:rsidR="0085013D" w:rsidRPr="00092862">
        <w:rPr>
          <w:rFonts w:ascii="Times New Roman" w:eastAsia="宋体" w:hAnsi="Times New Roman" w:cs="Times New Roman"/>
          <w:bCs/>
          <w:color w:val="000000" w:themeColor="text1"/>
          <w:sz w:val="24"/>
        </w:rPr>
        <w:t>钻井废弃物中</w:t>
      </w:r>
      <w:r w:rsidR="0085013D" w:rsidRPr="00092862">
        <w:rPr>
          <w:rFonts w:ascii="Times New Roman" w:eastAsia="宋体" w:hAnsi="Times New Roman" w:cs="Times New Roman"/>
          <w:bCs/>
          <w:color w:val="000000" w:themeColor="text1"/>
          <w:sz w:val="24"/>
        </w:rPr>
        <w:t>SiO</w:t>
      </w:r>
      <w:r w:rsidR="0085013D" w:rsidRPr="00092862">
        <w:rPr>
          <w:rFonts w:ascii="Times New Roman" w:eastAsia="宋体" w:hAnsi="Times New Roman" w:cs="Times New Roman"/>
          <w:bCs/>
          <w:color w:val="000000" w:themeColor="text1"/>
          <w:sz w:val="24"/>
          <w:vertAlign w:val="subscript"/>
        </w:rPr>
        <w:t>2</w:t>
      </w:r>
      <w:r w:rsidR="0085013D" w:rsidRPr="00092862">
        <w:rPr>
          <w:rFonts w:ascii="Times New Roman" w:eastAsia="宋体" w:hAnsi="Times New Roman" w:cs="Times New Roman"/>
          <w:bCs/>
          <w:color w:val="000000" w:themeColor="text1"/>
          <w:sz w:val="24"/>
        </w:rPr>
        <w:t>、</w:t>
      </w:r>
      <w:r w:rsidR="0085013D" w:rsidRPr="00092862">
        <w:rPr>
          <w:rFonts w:ascii="Times New Roman" w:eastAsia="宋体" w:hAnsi="Times New Roman" w:cs="Times New Roman"/>
          <w:bCs/>
          <w:color w:val="000000" w:themeColor="text1"/>
          <w:sz w:val="24"/>
        </w:rPr>
        <w:t>Al</w:t>
      </w:r>
      <w:r w:rsidR="0085013D" w:rsidRPr="00092862">
        <w:rPr>
          <w:rFonts w:ascii="Times New Roman" w:eastAsia="宋体" w:hAnsi="Times New Roman" w:cs="Times New Roman"/>
          <w:bCs/>
          <w:color w:val="000000" w:themeColor="text1"/>
          <w:sz w:val="24"/>
          <w:vertAlign w:val="subscript"/>
        </w:rPr>
        <w:t>2</w:t>
      </w:r>
      <w:r w:rsidR="0085013D" w:rsidRPr="00092862">
        <w:rPr>
          <w:rFonts w:ascii="Times New Roman" w:eastAsia="宋体" w:hAnsi="Times New Roman" w:cs="Times New Roman"/>
          <w:bCs/>
          <w:color w:val="000000" w:themeColor="text1"/>
          <w:sz w:val="24"/>
        </w:rPr>
        <w:t>O</w:t>
      </w:r>
      <w:r w:rsidR="0085013D" w:rsidRPr="00092862">
        <w:rPr>
          <w:rFonts w:ascii="Times New Roman" w:eastAsia="宋体" w:hAnsi="Times New Roman" w:cs="Times New Roman"/>
          <w:bCs/>
          <w:color w:val="000000" w:themeColor="text1"/>
          <w:sz w:val="24"/>
          <w:vertAlign w:val="subscript"/>
        </w:rPr>
        <w:t>3</w:t>
      </w:r>
      <w:r w:rsidR="0085013D" w:rsidRPr="00092862">
        <w:rPr>
          <w:rFonts w:ascii="Times New Roman" w:eastAsia="宋体" w:hAnsi="Times New Roman" w:cs="Times New Roman"/>
          <w:bCs/>
          <w:color w:val="000000" w:themeColor="text1"/>
          <w:sz w:val="24"/>
        </w:rPr>
        <w:t>及</w:t>
      </w:r>
      <w:r w:rsidR="0085013D" w:rsidRPr="00092862">
        <w:rPr>
          <w:rFonts w:ascii="Times New Roman" w:eastAsia="宋体" w:hAnsi="Times New Roman" w:cs="Times New Roman"/>
          <w:bCs/>
          <w:color w:val="000000" w:themeColor="text1"/>
          <w:sz w:val="24"/>
        </w:rPr>
        <w:t>CaO</w:t>
      </w:r>
      <w:r w:rsidR="0085013D" w:rsidRPr="00092862">
        <w:rPr>
          <w:rFonts w:ascii="Times New Roman" w:eastAsia="宋体" w:hAnsi="Times New Roman" w:cs="Times New Roman"/>
          <w:bCs/>
          <w:color w:val="000000" w:themeColor="text1"/>
          <w:sz w:val="24"/>
        </w:rPr>
        <w:t>为其主要成份，其与砖、水泥生料成份有相似之处，类比</w:t>
      </w:r>
      <w:r w:rsidR="00062471" w:rsidRPr="00092862">
        <w:rPr>
          <w:rFonts w:ascii="Times New Roman" w:eastAsia="宋体" w:hAnsi="Times New Roman" w:cs="Times New Roman"/>
          <w:bCs/>
          <w:color w:val="000000" w:themeColor="text1"/>
          <w:sz w:val="24"/>
        </w:rPr>
        <w:t>固废烧结厂</w:t>
      </w:r>
      <w:r w:rsidR="0085013D" w:rsidRPr="00092862">
        <w:rPr>
          <w:rFonts w:ascii="Times New Roman" w:eastAsia="宋体" w:hAnsi="Times New Roman" w:cs="Times New Roman"/>
          <w:bCs/>
          <w:color w:val="000000" w:themeColor="text1"/>
          <w:sz w:val="24"/>
        </w:rPr>
        <w:t>钻井废弃物</w:t>
      </w:r>
      <w:r w:rsidR="00062471" w:rsidRPr="00092862">
        <w:rPr>
          <w:rFonts w:ascii="Times New Roman" w:eastAsia="宋体" w:hAnsi="Times New Roman" w:cs="Times New Roman"/>
          <w:bCs/>
          <w:color w:val="000000" w:themeColor="text1"/>
          <w:sz w:val="24"/>
        </w:rPr>
        <w:t>处置</w:t>
      </w:r>
      <w:r w:rsidR="0085013D" w:rsidRPr="00092862">
        <w:rPr>
          <w:rFonts w:ascii="Times New Roman" w:eastAsia="宋体" w:hAnsi="Times New Roman" w:cs="Times New Roman"/>
          <w:bCs/>
          <w:color w:val="000000" w:themeColor="text1"/>
          <w:sz w:val="24"/>
        </w:rPr>
        <w:t>项目，利用钻井废弃物</w:t>
      </w:r>
      <w:r w:rsidR="00062471" w:rsidRPr="00092862">
        <w:rPr>
          <w:rFonts w:ascii="Times New Roman" w:eastAsia="宋体" w:hAnsi="Times New Roman" w:cs="Times New Roman"/>
          <w:color w:val="000000" w:themeColor="text1"/>
          <w:sz w:val="24"/>
        </w:rPr>
        <w:t>烧结后综合利用</w:t>
      </w:r>
      <w:r w:rsidR="0085013D" w:rsidRPr="00092862">
        <w:rPr>
          <w:rFonts w:ascii="Times New Roman" w:eastAsia="宋体" w:hAnsi="Times New Roman" w:cs="Times New Roman"/>
          <w:color w:val="000000" w:themeColor="text1"/>
          <w:sz w:val="24"/>
        </w:rPr>
        <w:t>从技术上是可行的。与中石化合作的有资质单位均有接收本项目钻井固废的能力且接收能力很大，因此建设单位在钻井期应根据中石化</w:t>
      </w:r>
      <w:r w:rsidR="005E600F" w:rsidRPr="00092862">
        <w:rPr>
          <w:rFonts w:ascii="Times New Roman" w:eastAsia="宋体" w:hAnsi="Times New Roman" w:cs="Times New Roman"/>
          <w:color w:val="000000" w:themeColor="text1"/>
          <w:sz w:val="24"/>
        </w:rPr>
        <w:t>中原油田普光分公司</w:t>
      </w:r>
      <w:r w:rsidR="0085013D" w:rsidRPr="00092862">
        <w:rPr>
          <w:rFonts w:ascii="Times New Roman" w:eastAsia="宋体" w:hAnsi="Times New Roman" w:cs="Times New Roman"/>
          <w:color w:val="000000" w:themeColor="text1"/>
          <w:sz w:val="24"/>
        </w:rPr>
        <w:t>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14:paraId="51CA6E2C" w14:textId="77777777" w:rsidR="002753F7" w:rsidRPr="00092862" w:rsidRDefault="00923F6A" w:rsidP="00923F6A">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4</w:t>
      </w:r>
      <w:r w:rsidR="002753F7" w:rsidRPr="00092862">
        <w:rPr>
          <w:rFonts w:ascii="Times New Roman" w:eastAsia="黑体" w:hAnsi="Times New Roman" w:cs="Times New Roman"/>
          <w:color w:val="000000" w:themeColor="text1"/>
          <w:sz w:val="24"/>
        </w:rPr>
        <w:t>、</w:t>
      </w:r>
      <w:r w:rsidR="0020433E" w:rsidRPr="00092862">
        <w:rPr>
          <w:rFonts w:ascii="Times New Roman" w:eastAsia="黑体" w:hAnsi="Times New Roman" w:cs="Times New Roman"/>
          <w:color w:val="000000" w:themeColor="text1"/>
          <w:sz w:val="24"/>
        </w:rPr>
        <w:t>危险废物</w:t>
      </w:r>
      <w:r w:rsidR="002753F7" w:rsidRPr="00092862">
        <w:rPr>
          <w:rFonts w:ascii="Times New Roman" w:eastAsia="黑体" w:hAnsi="Times New Roman" w:cs="Times New Roman"/>
          <w:color w:val="000000" w:themeColor="text1"/>
          <w:sz w:val="24"/>
        </w:rPr>
        <w:t>依托措施的可行性分析</w:t>
      </w:r>
    </w:p>
    <w:p w14:paraId="48A50271" w14:textId="77777777" w:rsidR="006B6155" w:rsidRPr="00092862" w:rsidRDefault="006B6155" w:rsidP="00923F6A">
      <w:pPr>
        <w:pStyle w:val="ac"/>
        <w:adjustRightInd w:val="0"/>
        <w:snapToGrid w:val="0"/>
        <w:spacing w:before="0" w:line="360" w:lineRule="auto"/>
        <w:ind w:left="0" w:firstLineChars="200" w:firstLine="480"/>
        <w:jc w:val="both"/>
        <w:rPr>
          <w:rFonts w:ascii="Times New Roman" w:hAnsi="Times New Roman"/>
          <w:bCs/>
          <w:color w:val="000000" w:themeColor="text1"/>
          <w:lang w:eastAsia="zh-CN"/>
        </w:rPr>
      </w:pPr>
      <w:r w:rsidRPr="00092862">
        <w:rPr>
          <w:rFonts w:ascii="Times New Roman" w:hAnsi="Times New Roman"/>
          <w:color w:val="000000" w:themeColor="text1"/>
          <w:lang w:eastAsia="zh-CN"/>
        </w:rPr>
        <w:t>建设单位承诺对于本项目产生的危险废物，将严格按照</w:t>
      </w:r>
      <w:r w:rsidRPr="00092862">
        <w:rPr>
          <w:rFonts w:ascii="Times New Roman" w:hAnsi="Times New Roman"/>
          <w:bCs/>
          <w:color w:val="000000" w:themeColor="text1"/>
          <w:lang w:eastAsia="zh-CN"/>
        </w:rPr>
        <w:t>《危险废物贮存污染控制标准》（</w:t>
      </w:r>
      <w:r w:rsidRPr="00092862">
        <w:rPr>
          <w:rFonts w:ascii="Times New Roman" w:hAnsi="Times New Roman"/>
          <w:bCs/>
          <w:color w:val="000000" w:themeColor="text1"/>
          <w:lang w:eastAsia="zh-CN"/>
        </w:rPr>
        <w:t>GB18597</w:t>
      </w:r>
      <w:r w:rsidRPr="00092862">
        <w:rPr>
          <w:rFonts w:ascii="Times New Roman" w:hAnsi="Times New Roman"/>
          <w:bCs/>
          <w:color w:val="000000" w:themeColor="text1"/>
          <w:lang w:eastAsia="zh-CN"/>
        </w:rPr>
        <w:t>）、《危险废物产生单位管理计划制定指南》、《危险废物转移管理办法》、《危险废物收集</w:t>
      </w:r>
      <w:r w:rsidRPr="00092862">
        <w:rPr>
          <w:rFonts w:ascii="Times New Roman" w:hAnsi="Times New Roman"/>
          <w:bCs/>
          <w:color w:val="000000" w:themeColor="text1"/>
          <w:lang w:eastAsia="zh-CN"/>
        </w:rPr>
        <w:t xml:space="preserve"> </w:t>
      </w:r>
      <w:r w:rsidRPr="00092862">
        <w:rPr>
          <w:rFonts w:ascii="Times New Roman" w:hAnsi="Times New Roman"/>
          <w:bCs/>
          <w:color w:val="000000" w:themeColor="text1"/>
          <w:lang w:eastAsia="zh-CN"/>
        </w:rPr>
        <w:t>贮存</w:t>
      </w:r>
      <w:r w:rsidRPr="00092862">
        <w:rPr>
          <w:rFonts w:ascii="Times New Roman" w:hAnsi="Times New Roman"/>
          <w:bCs/>
          <w:color w:val="000000" w:themeColor="text1"/>
          <w:lang w:eastAsia="zh-CN"/>
        </w:rPr>
        <w:t xml:space="preserve"> </w:t>
      </w:r>
      <w:r w:rsidRPr="00092862">
        <w:rPr>
          <w:rFonts w:ascii="Times New Roman" w:hAnsi="Times New Roman"/>
          <w:bCs/>
          <w:color w:val="000000" w:themeColor="text1"/>
          <w:lang w:eastAsia="zh-CN"/>
        </w:rPr>
        <w:t>运输技术规范》（</w:t>
      </w:r>
      <w:r w:rsidRPr="00092862">
        <w:rPr>
          <w:rFonts w:ascii="Times New Roman" w:hAnsi="Times New Roman"/>
          <w:bCs/>
          <w:color w:val="000000" w:themeColor="text1"/>
          <w:lang w:eastAsia="zh-CN"/>
        </w:rPr>
        <w:t>HJ2025</w:t>
      </w:r>
      <w:r w:rsidRPr="00092862">
        <w:rPr>
          <w:rFonts w:ascii="Times New Roman" w:hAnsi="Times New Roman"/>
          <w:bCs/>
          <w:color w:val="000000" w:themeColor="text1"/>
          <w:lang w:eastAsia="zh-CN"/>
        </w:rPr>
        <w:t>）和《危险废物环境管理指南</w:t>
      </w:r>
      <w:r w:rsidRPr="00092862">
        <w:rPr>
          <w:rFonts w:ascii="Times New Roman" w:hAnsi="Times New Roman"/>
          <w:bCs/>
          <w:color w:val="000000" w:themeColor="text1"/>
          <w:lang w:eastAsia="zh-CN"/>
        </w:rPr>
        <w:t xml:space="preserve"> </w:t>
      </w:r>
      <w:r w:rsidRPr="00092862">
        <w:rPr>
          <w:rFonts w:ascii="Times New Roman" w:hAnsi="Times New Roman"/>
          <w:bCs/>
          <w:color w:val="000000" w:themeColor="text1"/>
          <w:lang w:eastAsia="zh-CN"/>
        </w:rPr>
        <w:t>陆上石油天然气开采》等要求采取管理，建立健全危险废物产生、收集、贮存、运输、利用、处置全过程的污染环境防治责任制度，确保各危险废物得到有效收集、贮存和处置，具体如下。</w:t>
      </w:r>
    </w:p>
    <w:p w14:paraId="5DF1675F" w14:textId="5E4643D4" w:rsidR="00923F6A" w:rsidRPr="00092862" w:rsidRDefault="00923F6A" w:rsidP="00923F6A">
      <w:pPr>
        <w:pStyle w:val="ac"/>
        <w:adjustRightInd w:val="0"/>
        <w:snapToGrid w:val="0"/>
        <w:spacing w:before="0" w:line="360" w:lineRule="auto"/>
        <w:ind w:left="0" w:firstLineChars="200" w:firstLine="482"/>
        <w:jc w:val="both"/>
        <w:rPr>
          <w:rFonts w:ascii="Times New Roman" w:hAnsi="Times New Roman"/>
          <w:b/>
          <w:bCs/>
          <w:color w:val="000000" w:themeColor="text1"/>
          <w:lang w:eastAsia="zh-CN"/>
        </w:rPr>
      </w:pPr>
      <w:r w:rsidRPr="00092862">
        <w:rPr>
          <w:rFonts w:ascii="Times New Roman" w:hAnsi="Times New Roman"/>
          <w:b/>
          <w:bCs/>
          <w:color w:val="000000" w:themeColor="text1"/>
          <w:lang w:eastAsia="zh-CN"/>
        </w:rPr>
        <w:t>（</w:t>
      </w:r>
      <w:r w:rsidRPr="00092862">
        <w:rPr>
          <w:rFonts w:ascii="Times New Roman" w:hAnsi="Times New Roman"/>
          <w:b/>
          <w:bCs/>
          <w:color w:val="000000" w:themeColor="text1"/>
          <w:lang w:eastAsia="zh-CN"/>
        </w:rPr>
        <w:t>1</w:t>
      </w:r>
      <w:r w:rsidRPr="00092862">
        <w:rPr>
          <w:rFonts w:ascii="Times New Roman" w:hAnsi="Times New Roman"/>
          <w:b/>
          <w:bCs/>
          <w:color w:val="000000" w:themeColor="text1"/>
          <w:lang w:eastAsia="zh-CN"/>
        </w:rPr>
        <w:t>）井场暂存的可行性分析</w:t>
      </w:r>
    </w:p>
    <w:p w14:paraId="51CC5D32" w14:textId="38EE31EF" w:rsidR="0020433E" w:rsidRPr="00092862" w:rsidRDefault="0020433E" w:rsidP="00923F6A">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废油及其他含油固废：井场内设置废油桶集中收集废油，废油桶置于</w:t>
      </w:r>
      <w:r w:rsidR="00F21C31" w:rsidRPr="00092862">
        <w:rPr>
          <w:rFonts w:ascii="Times New Roman" w:hAnsi="Times New Roman"/>
          <w:color w:val="000000" w:themeColor="text1"/>
          <w:lang w:eastAsia="zh-CN"/>
        </w:rPr>
        <w:t>泥浆不落地装置区</w:t>
      </w:r>
      <w:r w:rsidRPr="00092862">
        <w:rPr>
          <w:rFonts w:ascii="Times New Roman" w:hAnsi="Times New Roman"/>
          <w:color w:val="000000" w:themeColor="text1"/>
          <w:lang w:eastAsia="zh-CN"/>
        </w:rPr>
        <w:t>，并做</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防风、防雨、防晒、防渗漏</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等措施。</w:t>
      </w:r>
      <w:r w:rsidR="00F21C31" w:rsidRPr="00092862">
        <w:rPr>
          <w:rFonts w:ascii="Times New Roman" w:hAnsi="Times New Roman"/>
          <w:color w:val="000000" w:themeColor="text1"/>
          <w:lang w:eastAsia="zh-CN"/>
        </w:rPr>
        <w:t>暂存区</w:t>
      </w:r>
      <w:r w:rsidRPr="00092862">
        <w:rPr>
          <w:rFonts w:ascii="Times New Roman" w:hAnsi="Times New Roman"/>
          <w:color w:val="000000" w:themeColor="text1"/>
          <w:lang w:eastAsia="zh-CN"/>
        </w:rPr>
        <w:t>严格按照</w:t>
      </w:r>
      <w:r w:rsidRPr="00092862">
        <w:rPr>
          <w:rFonts w:ascii="Times New Roman" w:hAnsi="Times New Roman"/>
          <w:bCs/>
          <w:color w:val="000000" w:themeColor="text1"/>
          <w:lang w:eastAsia="zh-CN"/>
        </w:rPr>
        <w:t>《危险废物贮存污染控制标准》（</w:t>
      </w:r>
      <w:r w:rsidRPr="00092862">
        <w:rPr>
          <w:rFonts w:ascii="Times New Roman" w:hAnsi="Times New Roman"/>
          <w:bCs/>
          <w:color w:val="000000" w:themeColor="text1"/>
          <w:lang w:eastAsia="zh-CN"/>
        </w:rPr>
        <w:t>GB18597-2001</w:t>
      </w:r>
      <w:r w:rsidRPr="00092862">
        <w:rPr>
          <w:rFonts w:ascii="Times New Roman" w:hAnsi="Times New Roman"/>
          <w:bCs/>
          <w:color w:val="000000" w:themeColor="text1"/>
          <w:lang w:eastAsia="zh-CN"/>
        </w:rPr>
        <w:t>）</w:t>
      </w:r>
      <w:r w:rsidRPr="00092862">
        <w:rPr>
          <w:rFonts w:ascii="Times New Roman" w:hAnsi="Times New Roman"/>
          <w:color w:val="000000" w:themeColor="text1"/>
          <w:lang w:eastAsia="zh-CN"/>
        </w:rPr>
        <w:t>设置安全照明设施和观察窗口，钢结构房间地面无裂缝，废油用废油桶收集后放置于</w:t>
      </w:r>
      <w:r w:rsidR="00F21C31" w:rsidRPr="00092862">
        <w:rPr>
          <w:rFonts w:ascii="Times New Roman" w:hAnsi="Times New Roman"/>
          <w:color w:val="000000" w:themeColor="text1"/>
          <w:lang w:eastAsia="zh-CN"/>
        </w:rPr>
        <w:t>暂存区</w:t>
      </w:r>
      <w:r w:rsidRPr="00092862">
        <w:rPr>
          <w:rFonts w:ascii="Times New Roman" w:hAnsi="Times New Roman"/>
          <w:color w:val="000000" w:themeColor="text1"/>
          <w:lang w:eastAsia="zh-CN"/>
        </w:rPr>
        <w:t>内，</w:t>
      </w:r>
      <w:r w:rsidR="006B6155" w:rsidRPr="00092862">
        <w:rPr>
          <w:rFonts w:ascii="Times New Roman" w:hAnsi="Times New Roman"/>
          <w:color w:val="000000" w:themeColor="text1"/>
          <w:lang w:eastAsia="zh-CN"/>
        </w:rPr>
        <w:t>按照《环境保护图形标志</w:t>
      </w:r>
      <w:r w:rsidR="006B6155" w:rsidRPr="00092862">
        <w:rPr>
          <w:rFonts w:ascii="Times New Roman" w:hAnsi="Times New Roman"/>
          <w:color w:val="000000" w:themeColor="text1"/>
          <w:lang w:eastAsia="zh-CN"/>
        </w:rPr>
        <w:t xml:space="preserve"> </w:t>
      </w:r>
      <w:r w:rsidR="006B6155" w:rsidRPr="00092862">
        <w:rPr>
          <w:rFonts w:ascii="Times New Roman" w:hAnsi="Times New Roman"/>
          <w:color w:val="000000" w:themeColor="text1"/>
          <w:lang w:eastAsia="zh-CN"/>
        </w:rPr>
        <w:t>固体废物贮存（处置）场》（</w:t>
      </w:r>
      <w:r w:rsidR="006B6155" w:rsidRPr="00092862">
        <w:rPr>
          <w:rFonts w:ascii="Times New Roman" w:hAnsi="Times New Roman"/>
          <w:color w:val="000000" w:themeColor="text1"/>
          <w:lang w:eastAsia="zh-CN"/>
        </w:rPr>
        <w:t>GB 15562.2</w:t>
      </w:r>
      <w:r w:rsidR="006B6155" w:rsidRPr="00092862">
        <w:rPr>
          <w:rFonts w:ascii="Times New Roman" w:hAnsi="Times New Roman"/>
          <w:color w:val="000000" w:themeColor="text1"/>
          <w:lang w:eastAsia="zh-CN"/>
        </w:rPr>
        <w:t>）设置危险废物识别标志，</w:t>
      </w:r>
      <w:r w:rsidRPr="00092862">
        <w:rPr>
          <w:rFonts w:ascii="Times New Roman" w:hAnsi="Times New Roman"/>
          <w:color w:val="000000" w:themeColor="text1"/>
          <w:lang w:eastAsia="zh-CN"/>
        </w:rPr>
        <w:t>满足</w:t>
      </w:r>
      <w:r w:rsidRPr="00092862">
        <w:rPr>
          <w:rFonts w:ascii="Times New Roman" w:hAnsi="Times New Roman"/>
          <w:bCs/>
          <w:color w:val="000000" w:themeColor="text1"/>
          <w:lang w:eastAsia="zh-CN"/>
        </w:rPr>
        <w:t>《危险废物贮存污染控制标准》（</w:t>
      </w:r>
      <w:r w:rsidRPr="00092862">
        <w:rPr>
          <w:rFonts w:ascii="Times New Roman" w:hAnsi="Times New Roman"/>
          <w:bCs/>
          <w:color w:val="000000" w:themeColor="text1"/>
          <w:lang w:eastAsia="zh-CN"/>
        </w:rPr>
        <w:t>GB18597-2001</w:t>
      </w:r>
      <w:r w:rsidRPr="00092862">
        <w:rPr>
          <w:rFonts w:ascii="Times New Roman" w:hAnsi="Times New Roman"/>
          <w:bCs/>
          <w:color w:val="000000" w:themeColor="text1"/>
          <w:lang w:eastAsia="zh-CN"/>
        </w:rPr>
        <w:t>）设计要求。</w:t>
      </w:r>
      <w:r w:rsidRPr="00092862">
        <w:rPr>
          <w:rFonts w:ascii="Times New Roman" w:hAnsi="Times New Roman"/>
          <w:color w:val="000000" w:themeColor="text1"/>
          <w:lang w:eastAsia="zh-CN"/>
        </w:rPr>
        <w:t>暂存</w:t>
      </w:r>
      <w:r w:rsidRPr="00092862">
        <w:rPr>
          <w:rFonts w:ascii="Times New Roman" w:hAnsi="Times New Roman"/>
          <w:color w:val="000000" w:themeColor="text1"/>
          <w:lang w:eastAsia="zh-CN"/>
        </w:rPr>
        <w:lastRenderedPageBreak/>
        <w:t>期间做好废油管理记录，通过擦拭站场设备等方式回收综合利用，不能综合利用的废油、不能继续使用的废油桶以及擦拭站场设备产生的</w:t>
      </w:r>
      <w:r w:rsidR="00425E5E" w:rsidRPr="00092862">
        <w:rPr>
          <w:rFonts w:ascii="Times New Roman" w:hAnsi="Times New Roman"/>
          <w:color w:val="000000" w:themeColor="text1"/>
          <w:lang w:eastAsia="zh-CN"/>
        </w:rPr>
        <w:t>其他含油固废</w:t>
      </w:r>
      <w:r w:rsidRPr="00092862">
        <w:rPr>
          <w:rFonts w:ascii="Times New Roman" w:hAnsi="Times New Roman"/>
          <w:color w:val="000000" w:themeColor="text1"/>
          <w:lang w:eastAsia="zh-CN"/>
        </w:rPr>
        <w:t>交由有资质的单位处理，因此废油及其他含油井固废在井场内暂存可行。</w:t>
      </w:r>
    </w:p>
    <w:p w14:paraId="28203982" w14:textId="77777777" w:rsidR="00DC446C" w:rsidRPr="00092862" w:rsidRDefault="003B1968" w:rsidP="003D2EEB">
      <w:pPr>
        <w:pStyle w:val="2SLCON2"/>
        <w:tabs>
          <w:tab w:val="clear" w:pos="377"/>
        </w:tabs>
        <w:adjustRightInd w:val="0"/>
        <w:snapToGrid w:val="0"/>
        <w:ind w:firstLine="482"/>
        <w:rPr>
          <w:rFonts w:ascii="Times New Roman" w:hAnsi="Times New Roman" w:cs="Times New Roman"/>
          <w:bCs/>
          <w:color w:val="000000" w:themeColor="text1"/>
          <w:kern w:val="2"/>
          <w:szCs w:val="24"/>
          <w:lang w:eastAsia="zh-CN"/>
        </w:rPr>
      </w:pPr>
      <w:r w:rsidRPr="00092862">
        <w:rPr>
          <w:rFonts w:ascii="Times New Roman" w:hAnsi="Times New Roman" w:cs="Times New Roman"/>
          <w:b/>
          <w:color w:val="000000" w:themeColor="text1"/>
          <w:kern w:val="2"/>
          <w:szCs w:val="24"/>
          <w:lang w:eastAsia="zh-CN"/>
        </w:rPr>
        <w:t>（</w:t>
      </w:r>
      <w:r w:rsidR="00923F6A" w:rsidRPr="00092862">
        <w:rPr>
          <w:rFonts w:ascii="Times New Roman" w:hAnsi="Times New Roman" w:cs="Times New Roman"/>
          <w:b/>
          <w:bCs/>
          <w:color w:val="000000" w:themeColor="text1"/>
          <w:szCs w:val="24"/>
          <w:lang w:eastAsia="zh-CN"/>
        </w:rPr>
        <w:t>2</w:t>
      </w:r>
      <w:r w:rsidRPr="00092862">
        <w:rPr>
          <w:rFonts w:ascii="Times New Roman" w:hAnsi="Times New Roman" w:cs="Times New Roman"/>
          <w:b/>
          <w:bCs/>
          <w:color w:val="000000" w:themeColor="text1"/>
          <w:szCs w:val="24"/>
          <w:lang w:eastAsia="zh-CN"/>
        </w:rPr>
        <w:t>）</w:t>
      </w:r>
      <w:r w:rsidR="00923F6A" w:rsidRPr="00092862">
        <w:rPr>
          <w:rFonts w:ascii="Times New Roman" w:hAnsi="Times New Roman" w:cs="Times New Roman"/>
          <w:b/>
          <w:bCs/>
          <w:color w:val="000000" w:themeColor="text1"/>
          <w:szCs w:val="24"/>
          <w:lang w:eastAsia="zh-CN"/>
        </w:rPr>
        <w:t>危险废物贮存、处置环境管理</w:t>
      </w:r>
    </w:p>
    <w:p w14:paraId="774AEABE" w14:textId="6375BCEA" w:rsidR="0020433E" w:rsidRPr="00092862" w:rsidRDefault="0020433E" w:rsidP="0020433E">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本项目废油等其他含油固废采用油桶收集，整体转运方式转运，避免转运过程中的跑冒滴漏，严格按照《危险废物收集、贮存、运输集输规范》（</w:t>
      </w:r>
      <w:r w:rsidRPr="00092862">
        <w:rPr>
          <w:rFonts w:ascii="Times New Roman" w:hAnsi="Times New Roman" w:cs="Times New Roman"/>
          <w:bCs/>
          <w:color w:val="000000" w:themeColor="text1"/>
          <w:kern w:val="2"/>
          <w:szCs w:val="24"/>
          <w:lang w:eastAsia="zh-CN"/>
        </w:rPr>
        <w:t>HJ2025-2012</w:t>
      </w:r>
      <w:r w:rsidRPr="00092862">
        <w:rPr>
          <w:rFonts w:ascii="Times New Roman" w:hAnsi="Times New Roman" w:cs="Times New Roman"/>
          <w:bCs/>
          <w:color w:val="000000" w:themeColor="text1"/>
          <w:kern w:val="2"/>
          <w:szCs w:val="24"/>
          <w:lang w:eastAsia="zh-CN"/>
        </w:rPr>
        <w:t>）等危废运输管理各项规定予以落实，场内转运车辆按照预定线路转运，加强转运人员的环境风险防范意识教育，编制转运环境风险应急预案，场外转运委托危废资质单位专业转运，转运车辆环境管理措施可行。</w:t>
      </w:r>
    </w:p>
    <w:p w14:paraId="101C75E9" w14:textId="77777777" w:rsidR="0020433E" w:rsidRPr="00092862" w:rsidRDefault="0020433E" w:rsidP="0020433E">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14:paraId="1025B33B"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为加强危废的环境管理，本项目应严格按照《危险废物收集贮存运输技术规范》（</w:t>
      </w:r>
      <w:r w:rsidRPr="00092862">
        <w:rPr>
          <w:rFonts w:ascii="Times New Roman" w:hAnsi="Times New Roman" w:cs="Times New Roman"/>
          <w:bCs/>
          <w:color w:val="000000" w:themeColor="text1"/>
          <w:kern w:val="2"/>
          <w:szCs w:val="24"/>
          <w:lang w:eastAsia="zh-CN"/>
        </w:rPr>
        <w:t>HJ2025-2012</w:t>
      </w:r>
      <w:r w:rsidRPr="00092862">
        <w:rPr>
          <w:rFonts w:ascii="Times New Roman" w:hAnsi="Times New Roman" w:cs="Times New Roman"/>
          <w:bCs/>
          <w:color w:val="000000" w:themeColor="text1"/>
          <w:kern w:val="2"/>
          <w:szCs w:val="24"/>
          <w:lang w:eastAsia="zh-CN"/>
        </w:rPr>
        <w:t>）、《危险废物转移联单管理办法》（原国家环境保护总局令第</w:t>
      </w:r>
      <w:r w:rsidRPr="00092862">
        <w:rPr>
          <w:rFonts w:ascii="Times New Roman" w:hAnsi="Times New Roman" w:cs="Times New Roman"/>
          <w:bCs/>
          <w:color w:val="000000" w:themeColor="text1"/>
          <w:kern w:val="2"/>
          <w:szCs w:val="24"/>
          <w:lang w:eastAsia="zh-CN"/>
        </w:rPr>
        <w:t>5</w:t>
      </w:r>
      <w:r w:rsidRPr="00092862">
        <w:rPr>
          <w:rFonts w:ascii="Times New Roman" w:hAnsi="Times New Roman" w:cs="Times New Roman"/>
          <w:bCs/>
          <w:color w:val="000000" w:themeColor="text1"/>
          <w:kern w:val="2"/>
          <w:szCs w:val="24"/>
          <w:lang w:eastAsia="zh-CN"/>
        </w:rPr>
        <w:t>号）和</w:t>
      </w:r>
      <w:r w:rsidRPr="00092862">
        <w:rPr>
          <w:rFonts w:ascii="Times New Roman" w:hAnsi="Times New Roman" w:cs="Times New Roman"/>
          <w:bCs/>
          <w:color w:val="000000" w:themeColor="text1"/>
          <w:lang w:eastAsia="zh-CN"/>
        </w:rPr>
        <w:t>《危险废物环境管理指南</w:t>
      </w:r>
      <w:r w:rsidRPr="00092862">
        <w:rPr>
          <w:rFonts w:ascii="Times New Roman" w:hAnsi="Times New Roman" w:cs="Times New Roman"/>
          <w:bCs/>
          <w:color w:val="000000" w:themeColor="text1"/>
          <w:lang w:eastAsia="zh-CN"/>
        </w:rPr>
        <w:t xml:space="preserve"> </w:t>
      </w:r>
      <w:r w:rsidRPr="00092862">
        <w:rPr>
          <w:rFonts w:ascii="Times New Roman" w:hAnsi="Times New Roman" w:cs="Times New Roman"/>
          <w:bCs/>
          <w:color w:val="000000" w:themeColor="text1"/>
          <w:lang w:eastAsia="zh-CN"/>
        </w:rPr>
        <w:t>陆上石油天然气开采》</w:t>
      </w:r>
      <w:r w:rsidRPr="00092862">
        <w:rPr>
          <w:rFonts w:ascii="Times New Roman" w:hAnsi="Times New Roman" w:cs="Times New Roman"/>
          <w:bCs/>
          <w:color w:val="000000" w:themeColor="text1"/>
          <w:kern w:val="2"/>
          <w:szCs w:val="24"/>
          <w:lang w:eastAsia="zh-CN"/>
        </w:rPr>
        <w:t>等相关环境管理要求，做到如下环境管理。</w:t>
      </w:r>
    </w:p>
    <w:p w14:paraId="11598F24"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1</w:t>
      </w:r>
      <w:r w:rsidRPr="00092862">
        <w:rPr>
          <w:rFonts w:ascii="Times New Roman" w:hAnsi="Times New Roman" w:cs="Times New Roman"/>
          <w:bCs/>
          <w:color w:val="000000" w:themeColor="text1"/>
          <w:kern w:val="2"/>
          <w:szCs w:val="24"/>
          <w:lang w:eastAsia="zh-CN"/>
        </w:rPr>
        <w:t>）落实污染环境防治责任制度，建立健全工业危险废物产生、收集、贮存、运输、利用、处置全过程的污染环境防治责任制度。</w:t>
      </w:r>
    </w:p>
    <w:p w14:paraId="33D50E1A"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2</w:t>
      </w:r>
      <w:r w:rsidRPr="00092862">
        <w:rPr>
          <w:rFonts w:ascii="Times New Roman" w:hAnsi="Times New Roman" w:cs="Times New Roman"/>
          <w:bCs/>
          <w:color w:val="000000" w:themeColor="text1"/>
          <w:kern w:val="2"/>
          <w:szCs w:val="24"/>
          <w:lang w:eastAsia="zh-CN"/>
        </w:rPr>
        <w:t>）落实危险废物识别标志制度，按照《环境保护图形标志</w:t>
      </w:r>
      <w:r w:rsidRPr="00092862">
        <w:rPr>
          <w:rFonts w:ascii="Times New Roman" w:hAnsi="Times New Roman" w:cs="Times New Roman"/>
          <w:bCs/>
          <w:color w:val="000000" w:themeColor="text1"/>
          <w:kern w:val="2"/>
          <w:szCs w:val="24"/>
          <w:lang w:eastAsia="zh-CN"/>
        </w:rPr>
        <w:t xml:space="preserve"> </w:t>
      </w:r>
      <w:r w:rsidRPr="00092862">
        <w:rPr>
          <w:rFonts w:ascii="Times New Roman" w:hAnsi="Times New Roman" w:cs="Times New Roman"/>
          <w:bCs/>
          <w:color w:val="000000" w:themeColor="text1"/>
          <w:kern w:val="2"/>
          <w:szCs w:val="24"/>
          <w:lang w:eastAsia="zh-CN"/>
        </w:rPr>
        <w:t>固体废物贮存（处置）场》（</w:t>
      </w:r>
      <w:r w:rsidRPr="00092862">
        <w:rPr>
          <w:rFonts w:ascii="Times New Roman" w:hAnsi="Times New Roman" w:cs="Times New Roman"/>
          <w:bCs/>
          <w:color w:val="000000" w:themeColor="text1"/>
          <w:kern w:val="2"/>
          <w:szCs w:val="24"/>
          <w:lang w:eastAsia="zh-CN"/>
        </w:rPr>
        <w:t>GB15562.2</w:t>
      </w:r>
      <w:r w:rsidRPr="00092862">
        <w:rPr>
          <w:rFonts w:ascii="Times New Roman" w:hAnsi="Times New Roman" w:cs="Times New Roman"/>
          <w:bCs/>
          <w:color w:val="000000" w:themeColor="text1"/>
          <w:kern w:val="2"/>
          <w:szCs w:val="24"/>
          <w:lang w:eastAsia="zh-CN"/>
        </w:rPr>
        <w:t>）等有关规定，对危险废物的容器和包装物以及收集、贮存、运输、利用、处置危险废物的设施、场所设置危险废物识别标志。</w:t>
      </w:r>
    </w:p>
    <w:p w14:paraId="0F8AD3DD"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3</w:t>
      </w:r>
      <w:r w:rsidRPr="00092862">
        <w:rPr>
          <w:rFonts w:ascii="Times New Roman" w:hAnsi="Times New Roman" w:cs="Times New Roman"/>
          <w:bCs/>
          <w:color w:val="000000" w:themeColor="text1"/>
          <w:kern w:val="2"/>
          <w:szCs w:val="24"/>
          <w:lang w:eastAsia="zh-CN"/>
        </w:rPr>
        <w:t>）落实危险废物管理计划制度，按照《危险废物产生单位管理计划制定指南》等有关要求制定危险废物管理计划，并报所在地生态环境主管部门备案。</w:t>
      </w:r>
    </w:p>
    <w:p w14:paraId="5BEE85A6"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4</w:t>
      </w:r>
      <w:r w:rsidRPr="00092862">
        <w:rPr>
          <w:rFonts w:ascii="Times New Roman" w:hAnsi="Times New Roman" w:cs="Times New Roman"/>
          <w:bCs/>
          <w:color w:val="000000" w:themeColor="text1"/>
          <w:kern w:val="2"/>
          <w:szCs w:val="24"/>
          <w:lang w:eastAsia="zh-CN"/>
        </w:rPr>
        <w:t>）落实危险废物管理台账及申报制度，建立危险废物管理台账，如实记录有关信息，并通过国家危险废物信息管理系统向所在地生态环境主管部门申报危险废物的种类、产生量、流向、贮存、处置等有关资料。</w:t>
      </w:r>
    </w:p>
    <w:p w14:paraId="688A0C44"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5</w:t>
      </w:r>
      <w:r w:rsidRPr="00092862">
        <w:rPr>
          <w:rFonts w:ascii="Times New Roman" w:hAnsi="Times New Roman" w:cs="Times New Roman"/>
          <w:bCs/>
          <w:color w:val="000000" w:themeColor="text1"/>
          <w:kern w:val="2"/>
          <w:szCs w:val="24"/>
          <w:lang w:eastAsia="zh-CN"/>
        </w:rPr>
        <w:t>）落实危险废物经营许可证制度，禁止将危险废物提供或委托给无危险废物经营许可证的单位或者其他生产经营者从事收集、贮存、利用、处置活动。</w:t>
      </w:r>
    </w:p>
    <w:p w14:paraId="13057A2D" w14:textId="595323DF"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lastRenderedPageBreak/>
        <w:t>6</w:t>
      </w:r>
      <w:r w:rsidRPr="00092862">
        <w:rPr>
          <w:rFonts w:ascii="Times New Roman" w:hAnsi="Times New Roman" w:cs="Times New Roman"/>
          <w:bCs/>
          <w:color w:val="000000" w:themeColor="text1"/>
          <w:kern w:val="2"/>
          <w:szCs w:val="24"/>
          <w:lang w:eastAsia="zh-CN"/>
        </w:rPr>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14:paraId="542CD249"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7</w:t>
      </w:r>
      <w:r w:rsidRPr="00092862">
        <w:rPr>
          <w:rFonts w:ascii="Times New Roman" w:hAnsi="Times New Roman" w:cs="Times New Roman"/>
          <w:bCs/>
          <w:color w:val="000000" w:themeColor="text1"/>
          <w:kern w:val="2"/>
          <w:szCs w:val="24"/>
          <w:lang w:eastAsia="zh-CN"/>
        </w:rPr>
        <w:t>）落实排污许可制度。</w:t>
      </w:r>
    </w:p>
    <w:p w14:paraId="568C0E5D" w14:textId="659405BD"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8</w:t>
      </w:r>
      <w:r w:rsidRPr="00092862">
        <w:rPr>
          <w:rFonts w:ascii="Times New Roman" w:hAnsi="Times New Roman" w:cs="Times New Roman"/>
          <w:bCs/>
          <w:color w:val="000000" w:themeColor="text1"/>
          <w:kern w:val="2"/>
          <w:szCs w:val="24"/>
          <w:lang w:eastAsia="zh-CN"/>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w:t>
      </w:r>
      <w:r w:rsidRPr="00092862">
        <w:rPr>
          <w:rFonts w:ascii="Times New Roman" w:hAnsi="Times New Roman" w:cs="Times New Roman"/>
          <w:bCs/>
          <w:color w:val="000000" w:themeColor="text1"/>
          <w:kern w:val="2"/>
          <w:szCs w:val="24"/>
          <w:lang w:eastAsia="zh-CN"/>
        </w:rPr>
        <w:t>GB18597</w:t>
      </w:r>
      <w:r w:rsidRPr="00092862">
        <w:rPr>
          <w:rFonts w:ascii="Times New Roman" w:hAnsi="Times New Roman" w:cs="Times New Roman"/>
          <w:bCs/>
          <w:color w:val="000000" w:themeColor="text1"/>
          <w:kern w:val="2"/>
          <w:szCs w:val="24"/>
          <w:lang w:eastAsia="zh-CN"/>
        </w:rPr>
        <w:t>）《危险废物收集</w:t>
      </w:r>
      <w:r w:rsidRPr="00092862">
        <w:rPr>
          <w:rFonts w:ascii="Times New Roman" w:hAnsi="Times New Roman" w:cs="Times New Roman"/>
          <w:bCs/>
          <w:color w:val="000000" w:themeColor="text1"/>
          <w:kern w:val="2"/>
          <w:szCs w:val="24"/>
          <w:lang w:eastAsia="zh-CN"/>
        </w:rPr>
        <w:t xml:space="preserve"> </w:t>
      </w:r>
      <w:r w:rsidRPr="00092862">
        <w:rPr>
          <w:rFonts w:ascii="Times New Roman" w:hAnsi="Times New Roman" w:cs="Times New Roman"/>
          <w:bCs/>
          <w:color w:val="000000" w:themeColor="text1"/>
          <w:kern w:val="2"/>
          <w:szCs w:val="24"/>
          <w:lang w:eastAsia="zh-CN"/>
        </w:rPr>
        <w:t>贮存</w:t>
      </w:r>
      <w:r w:rsidRPr="00092862">
        <w:rPr>
          <w:rFonts w:ascii="Times New Roman" w:hAnsi="Times New Roman" w:cs="Times New Roman"/>
          <w:bCs/>
          <w:color w:val="000000" w:themeColor="text1"/>
          <w:kern w:val="2"/>
          <w:szCs w:val="24"/>
          <w:lang w:eastAsia="zh-CN"/>
        </w:rPr>
        <w:t xml:space="preserve"> </w:t>
      </w:r>
      <w:r w:rsidRPr="00092862">
        <w:rPr>
          <w:rFonts w:ascii="Times New Roman" w:hAnsi="Times New Roman" w:cs="Times New Roman"/>
          <w:bCs/>
          <w:color w:val="000000" w:themeColor="text1"/>
          <w:kern w:val="2"/>
          <w:szCs w:val="24"/>
          <w:lang w:eastAsia="zh-CN"/>
        </w:rPr>
        <w:t>运输技术规范》（</w:t>
      </w:r>
      <w:r w:rsidRPr="00092862">
        <w:rPr>
          <w:rFonts w:ascii="Times New Roman" w:hAnsi="Times New Roman" w:cs="Times New Roman"/>
          <w:bCs/>
          <w:color w:val="000000" w:themeColor="text1"/>
          <w:kern w:val="2"/>
          <w:szCs w:val="24"/>
          <w:lang w:eastAsia="zh-CN"/>
        </w:rPr>
        <w:t>HJ2025</w:t>
      </w:r>
      <w:r w:rsidRPr="00092862">
        <w:rPr>
          <w:rFonts w:ascii="Times New Roman" w:hAnsi="Times New Roman" w:cs="Times New Roman"/>
          <w:bCs/>
          <w:color w:val="000000" w:themeColor="text1"/>
          <w:kern w:val="2"/>
          <w:szCs w:val="24"/>
          <w:lang w:eastAsia="zh-CN"/>
        </w:rPr>
        <w:t>）等有关规定</w:t>
      </w:r>
      <w:r w:rsidR="00890AB1" w:rsidRPr="00092862">
        <w:rPr>
          <w:rFonts w:ascii="Times New Roman" w:hAnsi="Times New Roman" w:cs="Times New Roman"/>
          <w:bCs/>
          <w:color w:val="000000" w:themeColor="text1"/>
          <w:kern w:val="2"/>
          <w:szCs w:val="24"/>
          <w:lang w:eastAsia="zh-CN"/>
        </w:rPr>
        <w:t>。</w:t>
      </w:r>
    </w:p>
    <w:p w14:paraId="560FE970" w14:textId="6EDAD1B2"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9</w:t>
      </w:r>
      <w:r w:rsidRPr="00092862">
        <w:rPr>
          <w:rFonts w:ascii="Times New Roman" w:hAnsi="Times New Roman" w:cs="Times New Roman"/>
          <w:bCs/>
          <w:color w:val="000000" w:themeColor="text1"/>
          <w:kern w:val="2"/>
          <w:szCs w:val="24"/>
          <w:lang w:eastAsia="zh-CN"/>
        </w:rPr>
        <w:t>）落实环境影响评价制度及环境保护三同时制度，需要配套建设的危险废物贮存、利用和处置设施应当与主体工程同时设计、同时施工、同时投入使用。</w:t>
      </w:r>
    </w:p>
    <w:p w14:paraId="3B7B5DDB" w14:textId="77777777"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10</w:t>
      </w:r>
      <w:r w:rsidRPr="00092862">
        <w:rPr>
          <w:rFonts w:ascii="Times New Roman" w:hAnsi="Times New Roman" w:cs="Times New Roman"/>
          <w:bCs/>
          <w:color w:val="000000" w:themeColor="text1"/>
          <w:kern w:val="2"/>
          <w:szCs w:val="24"/>
          <w:lang w:eastAsia="zh-CN"/>
        </w:rPr>
        <w:t>）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14:paraId="6C1EA449" w14:textId="6CFF2044" w:rsidR="003250F9" w:rsidRPr="00092862" w:rsidRDefault="003250F9" w:rsidP="003250F9">
      <w:pPr>
        <w:pStyle w:val="2SLCON2"/>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1</w:t>
      </w:r>
      <w:r w:rsidR="00890AB1" w:rsidRPr="00092862">
        <w:rPr>
          <w:rFonts w:ascii="Times New Roman" w:hAnsi="Times New Roman" w:cs="Times New Roman"/>
          <w:bCs/>
          <w:color w:val="000000" w:themeColor="text1"/>
          <w:kern w:val="2"/>
          <w:szCs w:val="24"/>
          <w:lang w:eastAsia="zh-CN"/>
        </w:rPr>
        <w:t>1</w:t>
      </w:r>
      <w:r w:rsidRPr="00092862">
        <w:rPr>
          <w:rFonts w:ascii="Times New Roman" w:hAnsi="Times New Roman" w:cs="Times New Roman"/>
          <w:bCs/>
          <w:color w:val="000000" w:themeColor="text1"/>
          <w:kern w:val="2"/>
          <w:szCs w:val="24"/>
          <w:lang w:eastAsia="zh-CN"/>
        </w:rPr>
        <w:t>）井场设</w:t>
      </w:r>
      <w:r w:rsidR="00890AB1" w:rsidRPr="00092862">
        <w:rPr>
          <w:rFonts w:ascii="Times New Roman" w:hAnsi="Times New Roman" w:cs="Times New Roman"/>
          <w:bCs/>
          <w:color w:val="000000" w:themeColor="text1"/>
          <w:kern w:val="2"/>
          <w:szCs w:val="24"/>
          <w:lang w:eastAsia="zh-CN"/>
        </w:rPr>
        <w:t>专门的储存区</w:t>
      </w:r>
      <w:r w:rsidRPr="00092862">
        <w:rPr>
          <w:rFonts w:ascii="Times New Roman" w:hAnsi="Times New Roman" w:cs="Times New Roman"/>
          <w:bCs/>
          <w:color w:val="000000" w:themeColor="text1"/>
          <w:kern w:val="2"/>
          <w:szCs w:val="24"/>
          <w:lang w:eastAsia="zh-CN"/>
        </w:rPr>
        <w:t>贮存废润滑油、废含油抹布和劳保用品、含有或沾染矿物油的废弃包装物和容器等。</w:t>
      </w:r>
    </w:p>
    <w:p w14:paraId="7FE9C12C" w14:textId="77777777" w:rsidR="00DC446C" w:rsidRPr="00092862" w:rsidRDefault="0020433E" w:rsidP="0020433E">
      <w:pPr>
        <w:pStyle w:val="2SLCON2"/>
        <w:tabs>
          <w:tab w:val="clear" w:pos="377"/>
        </w:tabs>
        <w:adjustRightInd w:val="0"/>
        <w:snapToGrid w:val="0"/>
        <w:ind w:firstLine="482"/>
        <w:rPr>
          <w:rFonts w:ascii="Times New Roman" w:hAnsi="Times New Roman" w:cs="Times New Roman"/>
          <w:b/>
          <w:color w:val="000000" w:themeColor="text1"/>
          <w:kern w:val="2"/>
          <w:szCs w:val="24"/>
          <w:lang w:eastAsia="zh-CN"/>
        </w:rPr>
      </w:pPr>
      <w:r w:rsidRPr="00092862">
        <w:rPr>
          <w:rFonts w:ascii="Times New Roman" w:hAnsi="Times New Roman" w:cs="Times New Roman"/>
          <w:b/>
          <w:color w:val="000000" w:themeColor="text1"/>
          <w:kern w:val="2"/>
          <w:szCs w:val="24"/>
          <w:lang w:eastAsia="zh-CN"/>
        </w:rPr>
        <w:t>（</w:t>
      </w:r>
      <w:r w:rsidRPr="00092862">
        <w:rPr>
          <w:rFonts w:ascii="Times New Roman" w:hAnsi="Times New Roman" w:cs="Times New Roman"/>
          <w:b/>
          <w:color w:val="000000" w:themeColor="text1"/>
          <w:kern w:val="2"/>
          <w:szCs w:val="24"/>
          <w:lang w:eastAsia="zh-CN"/>
        </w:rPr>
        <w:t>3</w:t>
      </w:r>
      <w:r w:rsidRPr="00092862">
        <w:rPr>
          <w:rFonts w:ascii="Times New Roman" w:hAnsi="Times New Roman" w:cs="Times New Roman"/>
          <w:b/>
          <w:color w:val="000000" w:themeColor="text1"/>
          <w:kern w:val="2"/>
          <w:szCs w:val="24"/>
          <w:lang w:eastAsia="zh-CN"/>
        </w:rPr>
        <w:t>）</w:t>
      </w:r>
      <w:r w:rsidR="003B1968" w:rsidRPr="00092862">
        <w:rPr>
          <w:rFonts w:ascii="Times New Roman" w:hAnsi="Times New Roman" w:cs="Times New Roman"/>
          <w:b/>
          <w:color w:val="000000" w:themeColor="text1"/>
          <w:kern w:val="2"/>
          <w:szCs w:val="24"/>
          <w:lang w:eastAsia="zh-CN"/>
        </w:rPr>
        <w:t>危险废物处置可行性分析</w:t>
      </w:r>
    </w:p>
    <w:p w14:paraId="45A4B556" w14:textId="670222C6" w:rsidR="00672D50" w:rsidRPr="00092862" w:rsidRDefault="00672D50" w:rsidP="00672D50">
      <w:pPr>
        <w:pStyle w:val="2SLCON2"/>
        <w:adjustRightInd w:val="0"/>
        <w:snapToGrid w:val="0"/>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本项目钻井施工期危废主要为</w:t>
      </w:r>
      <w:r w:rsidRPr="00092862">
        <w:rPr>
          <w:rFonts w:ascii="Times New Roman" w:hAnsi="Times New Roman" w:cs="Times New Roman"/>
          <w:bCs/>
          <w:color w:val="000000" w:themeColor="text1"/>
          <w:kern w:val="2"/>
          <w:szCs w:val="24"/>
          <w:lang w:eastAsia="zh-CN"/>
        </w:rPr>
        <w:t>HW08 900-214-08</w:t>
      </w:r>
      <w:r w:rsidRPr="00092862">
        <w:rPr>
          <w:rFonts w:ascii="Times New Roman" w:hAnsi="Times New Roman" w:cs="Times New Roman"/>
          <w:bCs/>
          <w:color w:val="000000" w:themeColor="text1"/>
          <w:kern w:val="2"/>
          <w:szCs w:val="24"/>
          <w:lang w:eastAsia="zh-CN"/>
        </w:rPr>
        <w:t>废油危废，由于</w:t>
      </w:r>
      <w:r w:rsidRPr="00092862">
        <w:rPr>
          <w:rFonts w:ascii="Times New Roman" w:hAnsi="Times New Roman" w:cs="Times New Roman"/>
          <w:bCs/>
          <w:color w:val="000000" w:themeColor="text1"/>
          <w:kern w:val="2"/>
          <w:szCs w:val="24"/>
          <w:lang w:eastAsia="zh-CN"/>
        </w:rPr>
        <w:t>HW08 900-214-08</w:t>
      </w:r>
      <w:r w:rsidRPr="00092862">
        <w:rPr>
          <w:rFonts w:ascii="Times New Roman" w:hAnsi="Times New Roman" w:cs="Times New Roman"/>
          <w:bCs/>
          <w:color w:val="000000" w:themeColor="text1"/>
          <w:kern w:val="2"/>
          <w:szCs w:val="24"/>
          <w:lang w:eastAsia="zh-CN"/>
        </w:rPr>
        <w:t>废油危废产生量少，施工现场通过加强施工现场环境管理措施减少和控制废油产生，产生量进一步</w:t>
      </w:r>
      <w:r w:rsidR="00057D34" w:rsidRPr="00092862">
        <w:rPr>
          <w:rFonts w:ascii="Times New Roman" w:hAnsi="Times New Roman" w:cs="Times New Roman"/>
          <w:bCs/>
          <w:color w:val="000000" w:themeColor="text1"/>
          <w:kern w:val="2"/>
          <w:szCs w:val="24"/>
          <w:lang w:eastAsia="zh-CN"/>
        </w:rPr>
        <w:t>减</w:t>
      </w:r>
      <w:r w:rsidRPr="00092862">
        <w:rPr>
          <w:rFonts w:ascii="Times New Roman" w:hAnsi="Times New Roman" w:cs="Times New Roman"/>
          <w:bCs/>
          <w:color w:val="000000" w:themeColor="text1"/>
          <w:kern w:val="2"/>
          <w:szCs w:val="24"/>
          <w:lang w:eastAsia="zh-CN"/>
        </w:rPr>
        <w:t>小，一般不会超过周边危废处置单位处置能力，交由危废资质单位处置措施可行。</w:t>
      </w:r>
    </w:p>
    <w:p w14:paraId="6E3DC81B" w14:textId="77777777" w:rsidR="00DC446C" w:rsidRPr="00092862" w:rsidRDefault="00295ABD" w:rsidP="00295ABD">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5</w:t>
      </w:r>
      <w:r w:rsidRPr="00092862">
        <w:rPr>
          <w:rFonts w:ascii="Times New Roman" w:eastAsia="黑体" w:hAnsi="Times New Roman" w:cs="Times New Roman"/>
          <w:color w:val="000000" w:themeColor="text1"/>
          <w:sz w:val="24"/>
        </w:rPr>
        <w:t>、</w:t>
      </w:r>
      <w:r w:rsidR="003B1968" w:rsidRPr="00092862">
        <w:rPr>
          <w:rFonts w:ascii="Times New Roman" w:eastAsia="黑体" w:hAnsi="Times New Roman" w:cs="Times New Roman"/>
          <w:color w:val="000000" w:themeColor="text1"/>
          <w:sz w:val="24"/>
        </w:rPr>
        <w:t>生活垃圾处置措施</w:t>
      </w:r>
    </w:p>
    <w:p w14:paraId="5332B00A" w14:textId="77777777" w:rsidR="00DC446C" w:rsidRPr="00092862" w:rsidRDefault="003B1968" w:rsidP="0080674B">
      <w:pPr>
        <w:pStyle w:val="2SLCON2"/>
        <w:widowControl w:val="0"/>
        <w:tabs>
          <w:tab w:val="clear" w:pos="377"/>
        </w:tabs>
        <w:adjustRightInd w:val="0"/>
        <w:snapToGrid w:val="0"/>
        <w:jc w:val="both"/>
        <w:rPr>
          <w:rFonts w:ascii="Times New Roman" w:hAnsi="Times New Roman" w:cs="Times New Roman"/>
          <w:bCs/>
          <w:color w:val="000000" w:themeColor="text1"/>
          <w:kern w:val="2"/>
          <w:szCs w:val="24"/>
          <w:lang w:eastAsia="zh-CN"/>
        </w:rPr>
      </w:pPr>
      <w:r w:rsidRPr="00092862">
        <w:rPr>
          <w:rFonts w:ascii="Times New Roman" w:hAnsi="Times New Roman" w:cs="Times New Roman"/>
          <w:bCs/>
          <w:color w:val="000000" w:themeColor="text1"/>
          <w:kern w:val="2"/>
          <w:szCs w:val="24"/>
          <w:lang w:eastAsia="zh-CN"/>
        </w:rPr>
        <w:t>钻井队作业人员的生活垃圾储存于生活垃圾</w:t>
      </w:r>
      <w:r w:rsidR="00672D50" w:rsidRPr="00092862">
        <w:rPr>
          <w:rFonts w:ascii="Times New Roman" w:hAnsi="Times New Roman" w:cs="Times New Roman"/>
          <w:bCs/>
          <w:color w:val="000000" w:themeColor="text1"/>
          <w:kern w:val="2"/>
          <w:szCs w:val="24"/>
          <w:lang w:eastAsia="zh-CN"/>
        </w:rPr>
        <w:t>桶</w:t>
      </w:r>
      <w:r w:rsidRPr="00092862">
        <w:rPr>
          <w:rFonts w:ascii="Times New Roman" w:hAnsi="Times New Roman" w:cs="Times New Roman"/>
          <w:bCs/>
          <w:color w:val="000000" w:themeColor="text1"/>
          <w:kern w:val="2"/>
          <w:szCs w:val="24"/>
          <w:lang w:eastAsia="zh-CN"/>
        </w:rPr>
        <w:t>，交由当地环卫部门处理，措施可行。</w:t>
      </w:r>
    </w:p>
    <w:p w14:paraId="5A984FC4" w14:textId="77777777" w:rsidR="00DC446C" w:rsidRPr="00092862" w:rsidRDefault="00295ABD" w:rsidP="00295ABD">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6</w:t>
      </w:r>
      <w:r w:rsidRPr="00092862">
        <w:rPr>
          <w:rFonts w:ascii="Times New Roman" w:eastAsia="黑体" w:hAnsi="Times New Roman" w:cs="Times New Roman"/>
          <w:color w:val="000000" w:themeColor="text1"/>
          <w:sz w:val="24"/>
        </w:rPr>
        <w:t>、</w:t>
      </w:r>
      <w:r w:rsidR="003B1968" w:rsidRPr="00092862">
        <w:rPr>
          <w:rFonts w:ascii="Times New Roman" w:eastAsia="黑体" w:hAnsi="Times New Roman" w:cs="Times New Roman"/>
          <w:color w:val="000000" w:themeColor="text1"/>
          <w:sz w:val="24"/>
        </w:rPr>
        <w:t>废包装材料处置措施</w:t>
      </w:r>
    </w:p>
    <w:p w14:paraId="2038EDC5" w14:textId="77777777" w:rsidR="00DC446C"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钻井期间产生的废包装材料主要为各原辅材料的包装袋，为一般废物，集中收集后定期运至就近的废品回收站进行处理</w:t>
      </w:r>
      <w:r w:rsidR="00672D50" w:rsidRPr="00092862">
        <w:rPr>
          <w:rFonts w:ascii="Times New Roman" w:hAnsi="Times New Roman"/>
          <w:bCs/>
          <w:color w:val="000000" w:themeColor="text1"/>
          <w:kern w:val="2"/>
          <w:lang w:eastAsia="zh-CN"/>
        </w:rPr>
        <w:t>，措施可行</w:t>
      </w:r>
      <w:r w:rsidR="00EC1CFB" w:rsidRPr="00092862">
        <w:rPr>
          <w:rFonts w:ascii="Times New Roman" w:hAnsi="Times New Roman"/>
          <w:bCs/>
          <w:color w:val="000000" w:themeColor="text1"/>
          <w:kern w:val="2"/>
          <w:lang w:eastAsia="zh-CN"/>
        </w:rPr>
        <w:t>。</w:t>
      </w:r>
    </w:p>
    <w:p w14:paraId="430650B2" w14:textId="4834FAAE" w:rsidR="00EC1CFB" w:rsidRPr="00092862" w:rsidRDefault="00EC1CFB" w:rsidP="003D2EEB">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这些措施在川</w:t>
      </w:r>
      <w:r w:rsidR="00EE6BED" w:rsidRPr="00092862">
        <w:rPr>
          <w:rFonts w:ascii="Times New Roman" w:hAnsi="Times New Roman"/>
          <w:color w:val="000000" w:themeColor="text1"/>
          <w:lang w:eastAsia="zh-CN"/>
        </w:rPr>
        <w:t>东北</w:t>
      </w:r>
      <w:r w:rsidRPr="00092862">
        <w:rPr>
          <w:rFonts w:ascii="Times New Roman" w:hAnsi="Times New Roman"/>
          <w:color w:val="000000" w:themeColor="text1"/>
          <w:lang w:eastAsia="zh-CN"/>
        </w:rPr>
        <w:t>地区钻采工程中已实施多年，具有较好的借鉴经验。</w:t>
      </w:r>
      <w:r w:rsidR="00466A40" w:rsidRPr="00092862">
        <w:rPr>
          <w:rFonts w:ascii="Times New Roman" w:hAnsi="Times New Roman"/>
          <w:color w:val="000000" w:themeColor="text1"/>
          <w:lang w:eastAsia="zh-CN"/>
        </w:rPr>
        <w:t>根据本</w:t>
      </w:r>
      <w:r w:rsidR="00EE6BED" w:rsidRPr="00092862">
        <w:rPr>
          <w:rFonts w:ascii="Times New Roman" w:hAnsi="Times New Roman"/>
          <w:color w:val="000000" w:themeColor="text1"/>
          <w:lang w:eastAsia="zh-CN"/>
        </w:rPr>
        <w:t>井场</w:t>
      </w:r>
      <w:r w:rsidR="00466A40" w:rsidRPr="00092862">
        <w:rPr>
          <w:rFonts w:ascii="Times New Roman" w:hAnsi="Times New Roman"/>
          <w:color w:val="000000" w:themeColor="text1"/>
          <w:lang w:eastAsia="zh-CN"/>
        </w:rPr>
        <w:t>已经完钻</w:t>
      </w:r>
      <w:r w:rsidR="00EE6BED" w:rsidRPr="00092862">
        <w:rPr>
          <w:rFonts w:ascii="Times New Roman" w:hAnsi="Times New Roman"/>
          <w:color w:val="000000" w:themeColor="text1"/>
          <w:lang w:eastAsia="zh-CN"/>
        </w:rPr>
        <w:t>的</w:t>
      </w:r>
      <w:r w:rsidR="004D07D0" w:rsidRPr="00092862">
        <w:rPr>
          <w:rFonts w:ascii="Times New Roman" w:hAnsi="Times New Roman"/>
          <w:color w:val="000000" w:themeColor="text1"/>
          <w:lang w:eastAsia="zh-CN"/>
        </w:rPr>
        <w:t>原老君</w:t>
      </w:r>
      <w:r w:rsidR="004D07D0" w:rsidRPr="00092862">
        <w:rPr>
          <w:rFonts w:ascii="Times New Roman" w:hAnsi="Times New Roman"/>
          <w:color w:val="000000" w:themeColor="text1"/>
          <w:lang w:eastAsia="zh-CN"/>
        </w:rPr>
        <w:t>701</w:t>
      </w:r>
      <w:r w:rsidR="004D07D0" w:rsidRPr="00092862">
        <w:rPr>
          <w:rFonts w:ascii="Times New Roman" w:hAnsi="Times New Roman"/>
          <w:color w:val="000000" w:themeColor="text1"/>
          <w:lang w:eastAsia="zh-CN"/>
        </w:rPr>
        <w:t>集气站旁</w:t>
      </w:r>
      <w:r w:rsidR="00466A40" w:rsidRPr="00092862">
        <w:rPr>
          <w:rFonts w:ascii="Times New Roman" w:hAnsi="Times New Roman"/>
          <w:color w:val="000000" w:themeColor="text1"/>
          <w:lang w:eastAsia="zh-CN"/>
        </w:rPr>
        <w:t>和其他中石化川</w:t>
      </w:r>
      <w:r w:rsidR="00EE6BED" w:rsidRPr="00092862">
        <w:rPr>
          <w:rFonts w:ascii="Times New Roman" w:hAnsi="Times New Roman"/>
          <w:color w:val="000000" w:themeColor="text1"/>
          <w:lang w:eastAsia="zh-CN"/>
        </w:rPr>
        <w:t>东北</w:t>
      </w:r>
      <w:r w:rsidR="00466A40" w:rsidRPr="00092862">
        <w:rPr>
          <w:rFonts w:ascii="Times New Roman" w:hAnsi="Times New Roman"/>
          <w:color w:val="000000" w:themeColor="text1"/>
          <w:lang w:eastAsia="zh-CN"/>
        </w:rPr>
        <w:t>地区</w:t>
      </w:r>
      <w:r w:rsidRPr="00092862">
        <w:rPr>
          <w:rFonts w:ascii="Times New Roman" w:hAnsi="Times New Roman"/>
          <w:color w:val="000000" w:themeColor="text1"/>
          <w:lang w:eastAsia="zh-CN"/>
        </w:rPr>
        <w:t>钻采工程采用相同固废污染防治措施，在加强管理和及时转运后，无固废产生二次污染和投诉发生。因此，本项目施工期固废污染防治措施从经济和环保角度分析是合理、可行的。</w:t>
      </w:r>
    </w:p>
    <w:p w14:paraId="591D29A3" w14:textId="7D45C6E6" w:rsidR="000E020B" w:rsidRPr="00092862" w:rsidRDefault="00704F23" w:rsidP="000E020B">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367" w:name="_Toc120173217"/>
      <w:r w:rsidRPr="00092862">
        <w:rPr>
          <w:rFonts w:ascii="Times New Roman" w:eastAsia="黑体" w:hAnsi="Times New Roman"/>
          <w:b w:val="0"/>
          <w:color w:val="000000" w:themeColor="text1"/>
          <w:sz w:val="24"/>
          <w:szCs w:val="24"/>
          <w:lang w:eastAsia="zh-CN"/>
        </w:rPr>
        <w:t>7</w:t>
      </w:r>
      <w:r w:rsidR="000E020B" w:rsidRPr="00092862">
        <w:rPr>
          <w:rFonts w:ascii="Times New Roman" w:eastAsia="黑体" w:hAnsi="Times New Roman"/>
          <w:b w:val="0"/>
          <w:color w:val="000000" w:themeColor="text1"/>
          <w:sz w:val="24"/>
          <w:szCs w:val="24"/>
          <w:lang w:eastAsia="zh-CN"/>
        </w:rPr>
        <w:t>.1.8</w:t>
      </w:r>
      <w:r w:rsidR="000E020B" w:rsidRPr="00092862">
        <w:rPr>
          <w:rFonts w:ascii="Times New Roman" w:eastAsia="黑体" w:hAnsi="Times New Roman"/>
          <w:b w:val="0"/>
          <w:color w:val="000000" w:themeColor="text1"/>
          <w:sz w:val="24"/>
          <w:szCs w:val="24"/>
          <w:lang w:eastAsia="zh-CN"/>
        </w:rPr>
        <w:t>陆生生物及其生态系统保护措施</w:t>
      </w:r>
      <w:bookmarkEnd w:id="367"/>
    </w:p>
    <w:p w14:paraId="18D88C7F"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）土地与植被保护措施</w:t>
      </w:r>
    </w:p>
    <w:p w14:paraId="4692AFF7"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施工期间为充分的保护评价范围现有土地和植被，可采取如下保护措施：</w:t>
      </w:r>
    </w:p>
    <w:p w14:paraId="047569AE"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①</w:t>
      </w:r>
      <w:r w:rsidRPr="00092862">
        <w:rPr>
          <w:rFonts w:ascii="Times New Roman" w:hAnsi="Times New Roman"/>
          <w:color w:val="000000" w:themeColor="text1"/>
          <w:lang w:eastAsia="zh-CN"/>
        </w:rPr>
        <w:t>优先采用生态友好的工程建设技术、工艺及材料。</w:t>
      </w:r>
    </w:p>
    <w:p w14:paraId="2763EE9C"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②</w:t>
      </w:r>
      <w:r w:rsidRPr="00092862">
        <w:rPr>
          <w:rFonts w:ascii="Times New Roman" w:hAnsi="Times New Roman"/>
          <w:color w:val="000000" w:themeColor="text1"/>
          <w:lang w:eastAsia="zh-CN"/>
        </w:rPr>
        <w:t>施工前印发环境保护手册，对施工人员进行环保意识的宣传教育。</w:t>
      </w:r>
    </w:p>
    <w:p w14:paraId="3FC5AB91"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③</w:t>
      </w:r>
      <w:r w:rsidRPr="00092862">
        <w:rPr>
          <w:rFonts w:ascii="Times New Roman" w:hAnsi="Times New Roman"/>
          <w:color w:val="000000" w:themeColor="text1"/>
          <w:lang w:eastAsia="zh-CN"/>
        </w:rPr>
        <w:t>根据施工总体平面布置，确定施工用地范围，进行标桩划界，禁止施工人员进入非施工占地区，严禁任意越界破坏周围植被。</w:t>
      </w:r>
    </w:p>
    <w:p w14:paraId="1D53ABCD"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④</w:t>
      </w:r>
      <w:r w:rsidRPr="00092862">
        <w:rPr>
          <w:rFonts w:ascii="Times New Roman" w:hAnsi="Times New Roman"/>
          <w:color w:val="000000" w:themeColor="text1"/>
          <w:lang w:eastAsia="zh-CN"/>
        </w:rPr>
        <w:t>做好环卫工作，废弃物应合理堆放，及时处置，禁止乱丢垃圾和废弃物，严禁场内污水进入外环沟，确保周边环境不被污染。</w:t>
      </w:r>
      <w:r w:rsidRPr="00092862">
        <w:rPr>
          <w:rFonts w:ascii="Times New Roman" w:hAnsi="Times New Roman"/>
          <w:color w:val="000000" w:themeColor="text1"/>
          <w:lang w:eastAsia="zh-CN"/>
        </w:rPr>
        <w:t xml:space="preserve"> </w:t>
      </w:r>
    </w:p>
    <w:p w14:paraId="2DF28DF2"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⑤</w:t>
      </w:r>
      <w:r w:rsidRPr="00092862">
        <w:rPr>
          <w:rFonts w:ascii="Times New Roman" w:hAnsi="Times New Roman"/>
          <w:color w:val="000000" w:themeColor="text1"/>
          <w:lang w:eastAsia="zh-CN"/>
        </w:rPr>
        <w:t>在项目建设过程中，对可以恢复的临时占地及时进行植被恢复。</w:t>
      </w:r>
    </w:p>
    <w:p w14:paraId="4D3C58C7"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）土壤侵蚀的防治对策措施</w:t>
      </w:r>
    </w:p>
    <w:p w14:paraId="1F26984C"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①</w:t>
      </w:r>
      <w:r w:rsidRPr="00092862">
        <w:rPr>
          <w:rFonts w:ascii="Times New Roman" w:hAnsi="Times New Roman"/>
          <w:color w:val="000000" w:themeColor="text1"/>
          <w:lang w:eastAsia="zh-CN"/>
        </w:rPr>
        <w:t>在施工过程中合理安排施工进度，施工尽量避开雨天和大风天；分段施工，减少风蚀导致的水土流失。</w:t>
      </w:r>
    </w:p>
    <w:p w14:paraId="26AD5275"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②</w:t>
      </w:r>
      <w:r w:rsidRPr="00092862">
        <w:rPr>
          <w:rFonts w:ascii="Times New Roman" w:hAnsi="Times New Roman"/>
          <w:color w:val="000000" w:themeColor="text1"/>
          <w:lang w:eastAsia="zh-CN"/>
        </w:rPr>
        <w:t>划定施工作业范围和路线，不得扩大施工作业范围，尽可能减少对土壤和植被的破坏以及由此引发的水土流失。</w:t>
      </w:r>
    </w:p>
    <w:p w14:paraId="62412AD8"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③</w:t>
      </w:r>
      <w:r w:rsidRPr="00092862">
        <w:rPr>
          <w:rFonts w:ascii="Times New Roman" w:hAnsi="Times New Roman"/>
          <w:color w:val="000000" w:themeColor="text1"/>
          <w:lang w:eastAsia="zh-CN"/>
        </w:rPr>
        <w:t>在井场站场施工，设置一定围挡，减少施工过程中水土流失量。</w:t>
      </w:r>
    </w:p>
    <w:p w14:paraId="79158039"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④</w:t>
      </w:r>
      <w:r w:rsidRPr="00092862">
        <w:rPr>
          <w:rFonts w:ascii="Times New Roman" w:hAnsi="Times New Roman"/>
          <w:color w:val="000000" w:themeColor="text1"/>
          <w:lang w:eastAsia="zh-CN"/>
        </w:rPr>
        <w:t>在地面施工过程中，对于施工破坏区，施工完毕要及时平整土地及植被恢复，以防止发生新的土壤侵蚀。</w:t>
      </w:r>
    </w:p>
    <w:p w14:paraId="48E51027"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⑤</w:t>
      </w:r>
      <w:r w:rsidRPr="00092862">
        <w:rPr>
          <w:rFonts w:ascii="Times New Roman" w:hAnsi="Times New Roman"/>
          <w:color w:val="000000" w:themeColor="text1"/>
          <w:lang w:eastAsia="zh-CN"/>
        </w:rPr>
        <w:t>对于施工过程中产生的不能利用的废弃土石不得将任意裸露弃置，做到随挖随填，以免遇强降雨引起严重的水土流失。</w:t>
      </w:r>
    </w:p>
    <w:p w14:paraId="16A99557"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3</w:t>
      </w:r>
      <w:r w:rsidRPr="00092862">
        <w:rPr>
          <w:rFonts w:ascii="Times New Roman" w:hAnsi="Times New Roman"/>
          <w:color w:val="000000" w:themeColor="text1"/>
          <w:lang w:eastAsia="zh-CN"/>
        </w:rPr>
        <w:t>）对陆生动物保护措施</w:t>
      </w:r>
    </w:p>
    <w:p w14:paraId="02D2F709"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①</w:t>
      </w:r>
      <w:r w:rsidRPr="00092862">
        <w:rPr>
          <w:rFonts w:ascii="Times New Roman" w:hAnsi="Times New Roman"/>
          <w:color w:val="000000" w:themeColor="text1"/>
          <w:lang w:eastAsia="zh-CN"/>
        </w:rPr>
        <w:t>加强宣传野生动物保护法规，打击捕杀野生动物的行为</w:t>
      </w:r>
    </w:p>
    <w:p w14:paraId="725BD23C"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lastRenderedPageBreak/>
        <w:t>提高施工人员的保护意识，施工人员必须遵守《中华人民共和国野生动物保护法》，严禁捕猎保护动物，特别是重点保护野生动物。</w:t>
      </w:r>
    </w:p>
    <w:p w14:paraId="479D29F5"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②</w:t>
      </w:r>
      <w:r w:rsidRPr="00092862">
        <w:rPr>
          <w:rFonts w:ascii="Times New Roman" w:hAnsi="Times New Roman"/>
          <w:color w:val="000000" w:themeColor="text1"/>
          <w:lang w:eastAsia="zh-CN"/>
        </w:rPr>
        <w:t>防止动物生境污染</w:t>
      </w:r>
    </w:p>
    <w:p w14:paraId="735F649B"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14:paraId="2DA38EE3"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③</w:t>
      </w:r>
      <w:r w:rsidRPr="00092862">
        <w:rPr>
          <w:rFonts w:ascii="Times New Roman" w:hAnsi="Times New Roman"/>
          <w:color w:val="000000" w:themeColor="text1"/>
          <w:lang w:eastAsia="zh-CN"/>
        </w:rPr>
        <w:t>杜绝夜间施工，以保证自然生态系统和野生动物栖息地的稳定。</w:t>
      </w:r>
    </w:p>
    <w:p w14:paraId="76AD689D"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cs="宋体" w:hint="eastAsia"/>
          <w:color w:val="000000" w:themeColor="text1"/>
          <w:lang w:eastAsia="zh-CN"/>
        </w:rPr>
        <w:t>④</w:t>
      </w:r>
      <w:r w:rsidRPr="00092862">
        <w:rPr>
          <w:rFonts w:ascii="Times New Roman" w:hAnsi="Times New Roman"/>
          <w:color w:val="000000" w:themeColor="text1"/>
          <w:lang w:eastAsia="zh-CN"/>
        </w:rPr>
        <w:t>对野生动物具体保护方案</w:t>
      </w:r>
    </w:p>
    <w:p w14:paraId="75933A2E"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鸟类：</w:t>
      </w:r>
      <w:r w:rsidRPr="00092862">
        <w:rPr>
          <w:rFonts w:cs="宋体" w:hint="eastAsia"/>
          <w:color w:val="000000" w:themeColor="text1"/>
          <w:lang w:eastAsia="zh-CN"/>
        </w:rPr>
        <w:t>①</w:t>
      </w:r>
      <w:r w:rsidRPr="00092862">
        <w:rPr>
          <w:rFonts w:ascii="Times New Roman" w:hAnsi="Times New Roman"/>
          <w:color w:val="000000" w:themeColor="text1"/>
          <w:lang w:eastAsia="zh-CN"/>
        </w:rPr>
        <w:t>尽量减少施工对植被的破坏，保证施工后植被的恢复。</w:t>
      </w:r>
      <w:r w:rsidRPr="00092862">
        <w:rPr>
          <w:rFonts w:cs="宋体" w:hint="eastAsia"/>
          <w:color w:val="000000" w:themeColor="text1"/>
          <w:lang w:eastAsia="zh-CN"/>
        </w:rPr>
        <w:t>②</w:t>
      </w:r>
      <w:r w:rsidRPr="00092862">
        <w:rPr>
          <w:rFonts w:ascii="Times New Roman" w:hAnsi="Times New Roman"/>
          <w:color w:val="000000" w:themeColor="text1"/>
          <w:lang w:eastAsia="zh-CN"/>
        </w:rPr>
        <w:t>增强人们的环境保护意识，加强对重点保护野生动物的保护，严禁非法猎捕保护鸟类及对人类有益的鸟类。</w:t>
      </w:r>
    </w:p>
    <w:p w14:paraId="2C2BED53"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14:paraId="2C3C514F" w14:textId="77777777"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4</w:t>
      </w:r>
      <w:r w:rsidRPr="00092862">
        <w:rPr>
          <w:rFonts w:ascii="Times New Roman" w:hAnsi="Times New Roman"/>
          <w:color w:val="000000" w:themeColor="text1"/>
          <w:lang w:eastAsia="zh-CN"/>
        </w:rPr>
        <w:t>）生态恢复与补偿措施投资保障</w:t>
      </w:r>
    </w:p>
    <w:p w14:paraId="2F6D22AE" w14:textId="21081A78" w:rsidR="000E020B" w:rsidRPr="00092862" w:rsidRDefault="000E020B" w:rsidP="00916013">
      <w:pPr>
        <w:pStyle w:val="ac"/>
        <w:adjustRightInd w:val="0"/>
        <w:snapToGrid w:val="0"/>
        <w:spacing w:line="360" w:lineRule="auto"/>
        <w:ind w:left="0" w:firstLineChars="200" w:firstLine="480"/>
        <w:rPr>
          <w:rFonts w:ascii="Times New Roman" w:hAnsi="Times New Roman"/>
          <w:color w:val="000000" w:themeColor="text1"/>
          <w:lang w:eastAsia="zh-CN"/>
        </w:rPr>
      </w:pPr>
      <w:r w:rsidRPr="00092862">
        <w:rPr>
          <w:rFonts w:ascii="Times New Roman" w:hAnsi="Times New Roman"/>
          <w:color w:val="000000" w:themeColor="text1"/>
          <w:lang w:eastAsia="zh-CN"/>
        </w:rPr>
        <w:t>设立生态补偿专项经费，将野生动植物的保护和监测费用、工程地形地貌恢复费用纳入生态补偿费，确保生态恢复资金足额到位。</w:t>
      </w:r>
    </w:p>
    <w:p w14:paraId="645283FE" w14:textId="1CCCBA79" w:rsidR="00DC446C" w:rsidRPr="00092862" w:rsidRDefault="00704F23" w:rsidP="003D2EEB">
      <w:pPr>
        <w:pStyle w:val="2"/>
        <w:ind w:firstLine="480"/>
        <w:rPr>
          <w:color w:val="000000" w:themeColor="text1"/>
          <w:szCs w:val="24"/>
          <w:lang w:eastAsia="zh-CN"/>
        </w:rPr>
      </w:pPr>
      <w:bookmarkStart w:id="368" w:name="6.1.5生态环境保护措施"/>
      <w:bookmarkStart w:id="369" w:name="_bookmark33"/>
      <w:bookmarkStart w:id="370" w:name="6.2运营期环境保护措施及可行性分析"/>
      <w:bookmarkStart w:id="371" w:name="_Toc123682555"/>
      <w:bookmarkEnd w:id="368"/>
      <w:bookmarkEnd w:id="369"/>
      <w:bookmarkEnd w:id="370"/>
      <w:r w:rsidRPr="00092862">
        <w:rPr>
          <w:color w:val="000000" w:themeColor="text1"/>
          <w:szCs w:val="24"/>
          <w:lang w:eastAsia="zh-CN"/>
        </w:rPr>
        <w:t>7</w:t>
      </w:r>
      <w:r w:rsidR="003B1968" w:rsidRPr="00092862">
        <w:rPr>
          <w:color w:val="000000" w:themeColor="text1"/>
          <w:szCs w:val="24"/>
          <w:lang w:eastAsia="zh-CN"/>
        </w:rPr>
        <w:t>.2</w:t>
      </w:r>
      <w:r w:rsidR="001A6854" w:rsidRPr="00092862">
        <w:rPr>
          <w:color w:val="000000" w:themeColor="text1"/>
          <w:szCs w:val="24"/>
          <w:lang w:eastAsia="zh-CN"/>
        </w:rPr>
        <w:t>试采期</w:t>
      </w:r>
      <w:r w:rsidR="003B1968" w:rsidRPr="00092862">
        <w:rPr>
          <w:color w:val="000000" w:themeColor="text1"/>
          <w:szCs w:val="24"/>
          <w:lang w:eastAsia="zh-CN"/>
        </w:rPr>
        <w:t>环境保护措施及可行性分析</w:t>
      </w:r>
      <w:bookmarkStart w:id="372" w:name="6.2.1废水污染物防治措施"/>
      <w:bookmarkEnd w:id="371"/>
      <w:bookmarkEnd w:id="372"/>
    </w:p>
    <w:p w14:paraId="4C9EA47A" w14:textId="119FD7C2" w:rsidR="00EC1CFB" w:rsidRPr="00092862" w:rsidRDefault="00704F23" w:rsidP="00EC1CF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73" w:name="_Toc120173219"/>
      <w:r w:rsidRPr="00092862">
        <w:rPr>
          <w:rFonts w:ascii="Times New Roman" w:eastAsia="黑体" w:hAnsi="Times New Roman"/>
          <w:b w:val="0"/>
          <w:color w:val="000000" w:themeColor="text1"/>
          <w:sz w:val="24"/>
          <w:szCs w:val="24"/>
          <w:lang w:eastAsia="zh-CN"/>
        </w:rPr>
        <w:t>7</w:t>
      </w:r>
      <w:r w:rsidR="00EC1CFB" w:rsidRPr="00092862">
        <w:rPr>
          <w:rFonts w:ascii="Times New Roman" w:eastAsia="黑体" w:hAnsi="Times New Roman"/>
          <w:b w:val="0"/>
          <w:color w:val="000000" w:themeColor="text1"/>
          <w:sz w:val="24"/>
          <w:szCs w:val="24"/>
          <w:lang w:eastAsia="zh-CN"/>
        </w:rPr>
        <w:t>.2.1</w:t>
      </w:r>
      <w:r w:rsidR="001A6854" w:rsidRPr="00092862">
        <w:rPr>
          <w:rFonts w:ascii="Times New Roman" w:eastAsia="黑体" w:hAnsi="Times New Roman"/>
          <w:b w:val="0"/>
          <w:color w:val="000000" w:themeColor="text1"/>
          <w:sz w:val="24"/>
          <w:szCs w:val="24"/>
          <w:lang w:eastAsia="zh-CN"/>
        </w:rPr>
        <w:t>试采期</w:t>
      </w:r>
      <w:r w:rsidR="00EC1CFB" w:rsidRPr="00092862">
        <w:rPr>
          <w:rFonts w:ascii="Times New Roman" w:eastAsia="黑体" w:hAnsi="Times New Roman"/>
          <w:b w:val="0"/>
          <w:color w:val="000000" w:themeColor="text1"/>
          <w:sz w:val="24"/>
          <w:szCs w:val="24"/>
          <w:lang w:eastAsia="zh-CN"/>
        </w:rPr>
        <w:t>大气环境污染防治措施可行性分析</w:t>
      </w:r>
      <w:bookmarkEnd w:id="373"/>
    </w:p>
    <w:p w14:paraId="7D18CA29" w14:textId="29DECD69" w:rsidR="00EC1CFB" w:rsidRPr="00092862" w:rsidRDefault="00EC1CFB" w:rsidP="00EC1CF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1</w:t>
      </w:r>
      <w:r w:rsidRPr="00092862">
        <w:rPr>
          <w:rFonts w:ascii="Times New Roman" w:eastAsia="宋体" w:hAnsi="Times New Roman" w:cs="Times New Roman"/>
          <w:color w:val="000000" w:themeColor="text1"/>
          <w:sz w:val="24"/>
        </w:rPr>
        <w:t>、</w:t>
      </w:r>
      <w:r w:rsidR="00C26134" w:rsidRPr="00092862">
        <w:rPr>
          <w:rFonts w:ascii="Times New Roman" w:eastAsia="宋体" w:hAnsi="Times New Roman" w:cs="Times New Roman"/>
          <w:color w:val="000000" w:themeColor="text1"/>
          <w:sz w:val="24"/>
        </w:rPr>
        <w:t>水套加热炉</w:t>
      </w:r>
      <w:r w:rsidRPr="00092862">
        <w:rPr>
          <w:rFonts w:ascii="Times New Roman" w:eastAsia="宋体" w:hAnsi="Times New Roman" w:cs="Times New Roman"/>
          <w:color w:val="000000" w:themeColor="text1"/>
          <w:sz w:val="24"/>
        </w:rPr>
        <w:t>加热炉燃气废气治理措施</w:t>
      </w:r>
    </w:p>
    <w:p w14:paraId="3B109209" w14:textId="13322822" w:rsidR="00EC1CFB" w:rsidRPr="00092862" w:rsidRDefault="00E31BED" w:rsidP="0080674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本项目水套加热炉所用的燃料气为</w:t>
      </w:r>
      <w:r w:rsidR="003121FB" w:rsidRPr="00092862">
        <w:rPr>
          <w:rFonts w:ascii="Times New Roman" w:eastAsia="宋体" w:hAnsi="Times New Roman" w:cs="Times New Roman"/>
          <w:bCs/>
          <w:color w:val="000000" w:themeColor="text1"/>
          <w:sz w:val="24"/>
        </w:rPr>
        <w:t>集气总站反输</w:t>
      </w:r>
      <w:r w:rsidRPr="00092862">
        <w:rPr>
          <w:rFonts w:ascii="Times New Roman" w:eastAsia="宋体" w:hAnsi="Times New Roman" w:cs="Times New Roman"/>
          <w:bCs/>
          <w:color w:val="000000" w:themeColor="text1"/>
          <w:sz w:val="24"/>
        </w:rPr>
        <w:t>的燃料气</w:t>
      </w:r>
      <w:r w:rsidR="00EC1CFB"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为净化后硫化氢含量极低的</w:t>
      </w:r>
      <w:r w:rsidR="00EC1CFB" w:rsidRPr="00092862">
        <w:rPr>
          <w:rFonts w:ascii="Times New Roman" w:eastAsia="宋体" w:hAnsi="Times New Roman" w:cs="Times New Roman"/>
          <w:bCs/>
          <w:color w:val="000000" w:themeColor="text1"/>
          <w:sz w:val="24"/>
        </w:rPr>
        <w:t>天然气</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≤6mg/m</w:t>
      </w:r>
      <w:r w:rsidRPr="00092862">
        <w:rPr>
          <w:rFonts w:ascii="Times New Roman" w:eastAsia="宋体" w:hAnsi="Times New Roman" w:cs="Times New Roman"/>
          <w:bCs/>
          <w:color w:val="000000" w:themeColor="text1"/>
          <w:sz w:val="24"/>
          <w:vertAlign w:val="superscript"/>
        </w:rPr>
        <w:t>3</w:t>
      </w:r>
      <w:r w:rsidR="006E70A7" w:rsidRPr="00092862">
        <w:rPr>
          <w:rFonts w:ascii="Times New Roman" w:eastAsia="宋体" w:hAnsi="Times New Roman" w:cs="Times New Roman"/>
          <w:bCs/>
          <w:color w:val="000000" w:themeColor="text1"/>
          <w:sz w:val="24"/>
        </w:rPr>
        <w:t>，总硫含硫</w:t>
      </w:r>
      <w:r w:rsidR="006E70A7" w:rsidRPr="00092862">
        <w:rPr>
          <w:rFonts w:ascii="Times New Roman" w:eastAsia="宋体" w:hAnsi="Times New Roman" w:cs="Times New Roman"/>
          <w:bCs/>
          <w:color w:val="000000" w:themeColor="text1"/>
          <w:sz w:val="24"/>
        </w:rPr>
        <w:t>≤200mg/m</w:t>
      </w:r>
      <w:r w:rsidR="006E70A7"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w:t>
      </w:r>
      <w:r w:rsidR="00EC1CFB" w:rsidRPr="00092862">
        <w:rPr>
          <w:rFonts w:ascii="Times New Roman" w:eastAsia="宋体" w:hAnsi="Times New Roman" w:cs="Times New Roman"/>
          <w:bCs/>
          <w:color w:val="000000" w:themeColor="text1"/>
          <w:sz w:val="24"/>
        </w:rPr>
        <w:t>，废气产生量</w:t>
      </w:r>
      <w:r w:rsidRPr="00092862">
        <w:rPr>
          <w:rFonts w:ascii="Times New Roman" w:eastAsia="宋体" w:hAnsi="Times New Roman" w:cs="Times New Roman"/>
          <w:bCs/>
          <w:color w:val="000000" w:themeColor="text1"/>
          <w:sz w:val="24"/>
        </w:rPr>
        <w:t>较小，且通过自带的</w:t>
      </w:r>
      <w:r w:rsidRPr="00092862">
        <w:rPr>
          <w:rFonts w:ascii="Times New Roman" w:eastAsia="宋体" w:hAnsi="Times New Roman" w:cs="Times New Roman"/>
          <w:bCs/>
          <w:color w:val="000000" w:themeColor="text1"/>
          <w:sz w:val="24"/>
        </w:rPr>
        <w:t>8m</w:t>
      </w:r>
      <w:r w:rsidRPr="00092862">
        <w:rPr>
          <w:rFonts w:ascii="Times New Roman" w:eastAsia="宋体" w:hAnsi="Times New Roman" w:cs="Times New Roman"/>
          <w:bCs/>
          <w:color w:val="000000" w:themeColor="text1"/>
          <w:sz w:val="24"/>
        </w:rPr>
        <w:t>高排气筒排放</w:t>
      </w:r>
      <w:r w:rsidR="00EC1CFB" w:rsidRPr="00092862">
        <w:rPr>
          <w:rFonts w:ascii="Times New Roman" w:eastAsia="宋体" w:hAnsi="Times New Roman" w:cs="Times New Roman"/>
          <w:bCs/>
          <w:color w:val="000000" w:themeColor="text1"/>
          <w:sz w:val="24"/>
        </w:rPr>
        <w:t>，同时加强水套</w:t>
      </w:r>
      <w:r w:rsidRPr="00092862">
        <w:rPr>
          <w:rFonts w:ascii="Times New Roman" w:eastAsia="宋体" w:hAnsi="Times New Roman" w:cs="Times New Roman"/>
          <w:bCs/>
          <w:color w:val="000000" w:themeColor="text1"/>
          <w:sz w:val="24"/>
        </w:rPr>
        <w:t>加热</w:t>
      </w:r>
      <w:r w:rsidR="00EC1CFB" w:rsidRPr="00092862">
        <w:rPr>
          <w:rFonts w:ascii="Times New Roman" w:eastAsia="宋体" w:hAnsi="Times New Roman" w:cs="Times New Roman"/>
          <w:bCs/>
          <w:color w:val="000000" w:themeColor="text1"/>
          <w:sz w:val="24"/>
        </w:rPr>
        <w:t>炉的保养维护</w:t>
      </w:r>
      <w:r w:rsidR="00672A45" w:rsidRPr="00092862">
        <w:rPr>
          <w:rFonts w:ascii="Times New Roman" w:eastAsia="宋体" w:hAnsi="Times New Roman" w:cs="Times New Roman"/>
          <w:bCs/>
          <w:color w:val="000000" w:themeColor="text1"/>
          <w:sz w:val="24"/>
        </w:rPr>
        <w:t>，在采取上述措施后</w:t>
      </w:r>
      <w:r w:rsidR="00C26134" w:rsidRPr="00092862">
        <w:rPr>
          <w:rFonts w:ascii="Times New Roman" w:eastAsia="宋体" w:hAnsi="Times New Roman" w:cs="Times New Roman"/>
          <w:bCs/>
          <w:color w:val="000000" w:themeColor="text1"/>
          <w:sz w:val="24"/>
        </w:rPr>
        <w:t>水套加热炉</w:t>
      </w:r>
      <w:r w:rsidR="00672A45" w:rsidRPr="00092862">
        <w:rPr>
          <w:rFonts w:ascii="Times New Roman" w:eastAsia="宋体" w:hAnsi="Times New Roman" w:cs="Times New Roman"/>
          <w:bCs/>
          <w:color w:val="000000" w:themeColor="text1"/>
          <w:sz w:val="24"/>
        </w:rPr>
        <w:t>加热炉燃气废气治理措施有效可行</w:t>
      </w:r>
      <w:r w:rsidR="00EC1CFB" w:rsidRPr="00092862">
        <w:rPr>
          <w:rFonts w:ascii="Times New Roman" w:eastAsia="宋体" w:hAnsi="Times New Roman" w:cs="Times New Roman"/>
          <w:bCs/>
          <w:color w:val="000000" w:themeColor="text1"/>
          <w:sz w:val="24"/>
        </w:rPr>
        <w:t>。</w:t>
      </w:r>
    </w:p>
    <w:p w14:paraId="61D77C10" w14:textId="607A39AB" w:rsidR="00E71F08" w:rsidRPr="00092862" w:rsidRDefault="00E71F08" w:rsidP="00E71F08">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2</w:t>
      </w:r>
      <w:r w:rsidRPr="00092862">
        <w:rPr>
          <w:rFonts w:ascii="Times New Roman" w:eastAsia="黑体" w:hAnsi="Times New Roman" w:cs="Times New Roman"/>
          <w:color w:val="000000" w:themeColor="text1"/>
          <w:sz w:val="24"/>
        </w:rPr>
        <w:t>、火炬及放空系统长明灯燃烧废气治理措施</w:t>
      </w:r>
    </w:p>
    <w:p w14:paraId="23696D71" w14:textId="7EA8E7BF" w:rsidR="00E71F08" w:rsidRPr="00092862" w:rsidRDefault="00E71F08" w:rsidP="00E71F08">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FD6470" w:rsidRPr="00092862">
        <w:rPr>
          <w:rFonts w:ascii="Times New Roman" w:eastAsia="宋体" w:hAnsi="Times New Roman" w:cs="Times New Roman"/>
          <w:bCs/>
          <w:color w:val="000000" w:themeColor="text1"/>
          <w:sz w:val="24"/>
        </w:rPr>
        <w:t>火炬及放空系统长明灯</w:t>
      </w:r>
      <w:r w:rsidRPr="00092862">
        <w:rPr>
          <w:rFonts w:ascii="Times New Roman" w:eastAsia="宋体" w:hAnsi="Times New Roman" w:cs="Times New Roman"/>
          <w:bCs/>
          <w:color w:val="000000" w:themeColor="text1"/>
          <w:sz w:val="24"/>
        </w:rPr>
        <w:t>所用的燃料气为</w:t>
      </w:r>
      <w:r w:rsidR="003121FB" w:rsidRPr="00092862">
        <w:rPr>
          <w:rFonts w:ascii="Times New Roman" w:eastAsia="宋体" w:hAnsi="Times New Roman" w:cs="Times New Roman"/>
          <w:bCs/>
          <w:color w:val="000000" w:themeColor="text1"/>
          <w:sz w:val="24"/>
        </w:rPr>
        <w:t>集气总站反输的燃料气</w:t>
      </w:r>
      <w:r w:rsidRPr="00092862">
        <w:rPr>
          <w:rFonts w:ascii="Times New Roman" w:eastAsia="宋体" w:hAnsi="Times New Roman" w:cs="Times New Roman"/>
          <w:bCs/>
          <w:color w:val="000000" w:themeColor="text1"/>
          <w:sz w:val="24"/>
        </w:rPr>
        <w:t>，</w:t>
      </w:r>
      <w:r w:rsidR="006E70A7" w:rsidRPr="00092862">
        <w:rPr>
          <w:rFonts w:ascii="Times New Roman" w:eastAsia="宋体" w:hAnsi="Times New Roman" w:cs="Times New Roman"/>
          <w:bCs/>
          <w:color w:val="000000" w:themeColor="text1"/>
          <w:sz w:val="24"/>
        </w:rPr>
        <w:t>为净化后硫化氢含量极低的天然气（</w:t>
      </w:r>
      <w:r w:rsidR="006E70A7" w:rsidRPr="00092862">
        <w:rPr>
          <w:rFonts w:ascii="Times New Roman" w:eastAsia="宋体" w:hAnsi="Times New Roman" w:cs="Times New Roman"/>
          <w:bCs/>
          <w:color w:val="000000" w:themeColor="text1"/>
          <w:sz w:val="24"/>
        </w:rPr>
        <w:t>≤6mg/m</w:t>
      </w:r>
      <w:r w:rsidR="006E70A7" w:rsidRPr="00092862">
        <w:rPr>
          <w:rFonts w:ascii="Times New Roman" w:eastAsia="宋体" w:hAnsi="Times New Roman" w:cs="Times New Roman"/>
          <w:bCs/>
          <w:color w:val="000000" w:themeColor="text1"/>
          <w:sz w:val="24"/>
          <w:vertAlign w:val="superscript"/>
        </w:rPr>
        <w:t>3</w:t>
      </w:r>
      <w:r w:rsidR="006E70A7" w:rsidRPr="00092862">
        <w:rPr>
          <w:rFonts w:ascii="Times New Roman" w:eastAsia="宋体" w:hAnsi="Times New Roman" w:cs="Times New Roman"/>
          <w:bCs/>
          <w:color w:val="000000" w:themeColor="text1"/>
          <w:sz w:val="24"/>
        </w:rPr>
        <w:t>，总硫含硫</w:t>
      </w:r>
      <w:r w:rsidR="006E70A7" w:rsidRPr="00092862">
        <w:rPr>
          <w:rFonts w:ascii="Times New Roman" w:eastAsia="宋体" w:hAnsi="Times New Roman" w:cs="Times New Roman"/>
          <w:bCs/>
          <w:color w:val="000000" w:themeColor="text1"/>
          <w:sz w:val="24"/>
        </w:rPr>
        <w:t>≤200mg/m</w:t>
      </w:r>
      <w:r w:rsidR="006E70A7" w:rsidRPr="00092862">
        <w:rPr>
          <w:rFonts w:ascii="Times New Roman" w:eastAsia="宋体" w:hAnsi="Times New Roman" w:cs="Times New Roman"/>
          <w:bCs/>
          <w:color w:val="000000" w:themeColor="text1"/>
          <w:sz w:val="24"/>
          <w:vertAlign w:val="superscript"/>
        </w:rPr>
        <w:t>3</w:t>
      </w:r>
      <w:r w:rsidR="006E70A7"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，废气产生量较小，且通过</w:t>
      </w:r>
      <w:r w:rsidR="003121FB" w:rsidRPr="00092862">
        <w:rPr>
          <w:rFonts w:ascii="Times New Roman" w:eastAsia="宋体" w:hAnsi="Times New Roman" w:cs="Times New Roman"/>
          <w:bCs/>
          <w:color w:val="000000" w:themeColor="text1"/>
          <w:sz w:val="24"/>
        </w:rPr>
        <w:t>100</w:t>
      </w:r>
      <w:r w:rsidRPr="00092862">
        <w:rPr>
          <w:rFonts w:ascii="Times New Roman" w:eastAsia="宋体" w:hAnsi="Times New Roman" w:cs="Times New Roman"/>
          <w:bCs/>
          <w:color w:val="000000" w:themeColor="text1"/>
          <w:sz w:val="24"/>
        </w:rPr>
        <w:t>m</w:t>
      </w:r>
      <w:r w:rsidRPr="00092862">
        <w:rPr>
          <w:rFonts w:ascii="Times New Roman" w:eastAsia="宋体" w:hAnsi="Times New Roman" w:cs="Times New Roman"/>
          <w:bCs/>
          <w:color w:val="000000" w:themeColor="text1"/>
          <w:sz w:val="24"/>
        </w:rPr>
        <w:t>高</w:t>
      </w:r>
      <w:r w:rsidR="00FD6470" w:rsidRPr="00092862">
        <w:rPr>
          <w:rFonts w:ascii="Times New Roman" w:eastAsia="宋体" w:hAnsi="Times New Roman" w:cs="Times New Roman"/>
          <w:bCs/>
          <w:color w:val="000000" w:themeColor="text1"/>
          <w:sz w:val="24"/>
        </w:rPr>
        <w:t>的放空火炬</w:t>
      </w:r>
      <w:r w:rsidRPr="00092862">
        <w:rPr>
          <w:rFonts w:ascii="Times New Roman" w:eastAsia="宋体" w:hAnsi="Times New Roman" w:cs="Times New Roman"/>
          <w:bCs/>
          <w:color w:val="000000" w:themeColor="text1"/>
          <w:sz w:val="24"/>
        </w:rPr>
        <w:t>排放，在采取上述措施后</w:t>
      </w:r>
      <w:r w:rsidR="00FD6470" w:rsidRPr="00092862">
        <w:rPr>
          <w:rFonts w:ascii="Times New Roman" w:eastAsia="宋体" w:hAnsi="Times New Roman" w:cs="Times New Roman"/>
          <w:bCs/>
          <w:color w:val="000000" w:themeColor="text1"/>
          <w:sz w:val="24"/>
        </w:rPr>
        <w:t>火炬及放空系统长</w:t>
      </w:r>
      <w:r w:rsidR="00FD6470" w:rsidRPr="00092862">
        <w:rPr>
          <w:rFonts w:ascii="Times New Roman" w:eastAsia="宋体" w:hAnsi="Times New Roman" w:cs="Times New Roman"/>
          <w:bCs/>
          <w:color w:val="000000" w:themeColor="text1"/>
          <w:sz w:val="24"/>
        </w:rPr>
        <w:lastRenderedPageBreak/>
        <w:t>明灯燃烧废气</w:t>
      </w:r>
      <w:r w:rsidRPr="00092862">
        <w:rPr>
          <w:rFonts w:ascii="Times New Roman" w:eastAsia="宋体" w:hAnsi="Times New Roman" w:cs="Times New Roman"/>
          <w:bCs/>
          <w:color w:val="000000" w:themeColor="text1"/>
          <w:sz w:val="24"/>
        </w:rPr>
        <w:t>治理措施有效可行。</w:t>
      </w:r>
    </w:p>
    <w:p w14:paraId="05BF48F3" w14:textId="1B8E3919" w:rsidR="00EC1CFB" w:rsidRPr="00092862" w:rsidRDefault="00FD6470" w:rsidP="0080674B">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3</w:t>
      </w:r>
      <w:r w:rsidR="00EC1CFB" w:rsidRPr="00092862">
        <w:rPr>
          <w:rFonts w:ascii="Times New Roman" w:eastAsia="黑体" w:hAnsi="Times New Roman" w:cs="Times New Roman"/>
          <w:color w:val="000000" w:themeColor="text1"/>
          <w:sz w:val="24"/>
        </w:rPr>
        <w:t>、设备检修或系统超压时排放少量天然气</w:t>
      </w:r>
    </w:p>
    <w:p w14:paraId="165E586A" w14:textId="33C98B23" w:rsidR="00EC1CFB" w:rsidRPr="00092862" w:rsidRDefault="00EC1CFB" w:rsidP="0080674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项目设备检修排放的天然气，属间歇排放，</w:t>
      </w:r>
      <w:r w:rsidR="00FD6470" w:rsidRPr="00092862">
        <w:rPr>
          <w:rFonts w:ascii="Times New Roman" w:eastAsia="宋体" w:hAnsi="Times New Roman" w:cs="Times New Roman"/>
          <w:bCs/>
          <w:color w:val="000000" w:themeColor="text1"/>
          <w:sz w:val="24"/>
        </w:rPr>
        <w:t>通过</w:t>
      </w:r>
      <w:r w:rsidR="003121FB" w:rsidRPr="00092862">
        <w:rPr>
          <w:rFonts w:ascii="Times New Roman" w:eastAsia="宋体" w:hAnsi="Times New Roman" w:cs="Times New Roman"/>
          <w:bCs/>
          <w:color w:val="000000" w:themeColor="text1"/>
          <w:sz w:val="24"/>
        </w:rPr>
        <w:t>100</w:t>
      </w:r>
      <w:r w:rsidRPr="00092862">
        <w:rPr>
          <w:rFonts w:ascii="Times New Roman" w:eastAsia="宋体" w:hAnsi="Times New Roman" w:cs="Times New Roman"/>
          <w:bCs/>
          <w:color w:val="000000" w:themeColor="text1"/>
          <w:sz w:val="24"/>
        </w:rPr>
        <w:t>m</w:t>
      </w:r>
      <w:r w:rsidRPr="00092862">
        <w:rPr>
          <w:rFonts w:ascii="Times New Roman" w:eastAsia="宋体" w:hAnsi="Times New Roman" w:cs="Times New Roman"/>
          <w:bCs/>
          <w:color w:val="000000" w:themeColor="text1"/>
          <w:sz w:val="24"/>
        </w:rPr>
        <w:t>高的</w:t>
      </w:r>
      <w:r w:rsidR="00FD6470" w:rsidRPr="00092862">
        <w:rPr>
          <w:rFonts w:ascii="Times New Roman" w:eastAsia="宋体" w:hAnsi="Times New Roman" w:cs="Times New Roman"/>
          <w:bCs/>
          <w:color w:val="000000" w:themeColor="text1"/>
          <w:sz w:val="24"/>
        </w:rPr>
        <w:t>放空火炬</w:t>
      </w:r>
      <w:r w:rsidRPr="00092862">
        <w:rPr>
          <w:rFonts w:ascii="Times New Roman" w:eastAsia="宋体" w:hAnsi="Times New Roman" w:cs="Times New Roman"/>
          <w:bCs/>
          <w:color w:val="000000" w:themeColor="text1"/>
          <w:sz w:val="24"/>
        </w:rPr>
        <w:t>点火燃烧</w:t>
      </w:r>
      <w:r w:rsidRPr="00092862">
        <w:rPr>
          <w:rFonts w:ascii="Times New Roman" w:eastAsia="宋体" w:hAnsi="Times New Roman" w:cs="Times New Roman"/>
          <w:color w:val="000000" w:themeColor="text1"/>
          <w:sz w:val="24"/>
        </w:rPr>
        <w:t>，根据同行业经验和《石油天然气开采业污染防治技术政策》要求，本项目检测期间排放的天然气量远远低于油气集输损耗率</w:t>
      </w:r>
      <w:r w:rsidRPr="00092862">
        <w:rPr>
          <w:rFonts w:ascii="Times New Roman" w:eastAsia="宋体" w:hAnsi="Times New Roman" w:cs="Times New Roman"/>
          <w:color w:val="000000" w:themeColor="text1"/>
          <w:sz w:val="24"/>
        </w:rPr>
        <w:t>0.5%</w:t>
      </w:r>
      <w:r w:rsidR="003121FB"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根据《陆上石油天然气开采工业大气污染物排放标准》（</w:t>
      </w:r>
      <w:r w:rsidRPr="00092862">
        <w:rPr>
          <w:rFonts w:ascii="Times New Roman" w:eastAsia="宋体" w:hAnsi="Times New Roman" w:cs="Times New Roman"/>
          <w:color w:val="000000" w:themeColor="text1"/>
          <w:sz w:val="24"/>
        </w:rPr>
        <w:t>GB39728-2020</w:t>
      </w:r>
      <w:r w:rsidRPr="00092862">
        <w:rPr>
          <w:rFonts w:ascii="Times New Roman" w:eastAsia="宋体" w:hAnsi="Times New Roman" w:cs="Times New Roman"/>
          <w:color w:val="000000" w:themeColor="text1"/>
          <w:sz w:val="24"/>
        </w:rPr>
        <w:t>）相关要求，</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对油气田放空天然气应予以回收，不能回收或难以回收的，应经燃烧后放空；不能燃烧直接放空的，应报生态环境主管部门备案</w:t>
      </w:r>
      <w:r w:rsidRPr="00092862">
        <w:rPr>
          <w:rFonts w:ascii="Times New Roman" w:eastAsia="宋体" w:hAnsi="Times New Roman" w:cs="Times New Roman"/>
          <w:color w:val="000000" w:themeColor="text1"/>
          <w:sz w:val="24"/>
        </w:rPr>
        <w:t>”</w:t>
      </w:r>
      <w:r w:rsidRPr="00092862">
        <w:rPr>
          <w:rFonts w:ascii="Times New Roman" w:eastAsia="宋体" w:hAnsi="Times New Roman" w:cs="Times New Roman"/>
          <w:color w:val="000000" w:themeColor="text1"/>
          <w:sz w:val="24"/>
        </w:rPr>
        <w:t>，本项目放空天然气通过</w:t>
      </w:r>
      <w:r w:rsidR="003121FB" w:rsidRPr="00092862">
        <w:rPr>
          <w:rFonts w:ascii="Times New Roman" w:eastAsia="宋体" w:hAnsi="Times New Roman" w:cs="Times New Roman"/>
          <w:bCs/>
          <w:color w:val="000000" w:themeColor="text1"/>
          <w:sz w:val="24"/>
        </w:rPr>
        <w:t>100</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rPr>
        <w:t>高的</w:t>
      </w:r>
      <w:r w:rsidR="00FD6470" w:rsidRPr="00092862">
        <w:rPr>
          <w:rFonts w:ascii="Times New Roman" w:eastAsia="宋体" w:hAnsi="Times New Roman" w:cs="Times New Roman"/>
          <w:color w:val="000000" w:themeColor="text1"/>
          <w:sz w:val="24"/>
        </w:rPr>
        <w:t>放空火炬</w:t>
      </w:r>
      <w:r w:rsidRPr="00092862">
        <w:rPr>
          <w:rFonts w:ascii="Times New Roman" w:eastAsia="宋体" w:hAnsi="Times New Roman" w:cs="Times New Roman"/>
          <w:color w:val="000000" w:themeColor="text1"/>
          <w:sz w:val="24"/>
        </w:rPr>
        <w:t>点火燃烧，满足要求</w:t>
      </w: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color w:val="000000" w:themeColor="text1"/>
          <w:sz w:val="24"/>
        </w:rPr>
        <w:t>因此本项目对检修期间天然气采取</w:t>
      </w:r>
      <w:r w:rsidR="003121FB" w:rsidRPr="00092862">
        <w:rPr>
          <w:rFonts w:ascii="Times New Roman" w:eastAsia="宋体" w:hAnsi="Times New Roman" w:cs="Times New Roman"/>
          <w:bCs/>
          <w:color w:val="000000" w:themeColor="text1"/>
          <w:sz w:val="24"/>
        </w:rPr>
        <w:t>100</w:t>
      </w:r>
      <w:r w:rsidRPr="00092862">
        <w:rPr>
          <w:rFonts w:ascii="Times New Roman" w:eastAsia="宋体" w:hAnsi="Times New Roman" w:cs="Times New Roman"/>
          <w:color w:val="000000" w:themeColor="text1"/>
          <w:sz w:val="24"/>
        </w:rPr>
        <w:t>m</w:t>
      </w:r>
      <w:r w:rsidRPr="00092862">
        <w:rPr>
          <w:rFonts w:ascii="Times New Roman" w:eastAsia="宋体" w:hAnsi="Times New Roman" w:cs="Times New Roman"/>
          <w:color w:val="000000" w:themeColor="text1"/>
          <w:sz w:val="24"/>
        </w:rPr>
        <w:t>高的</w:t>
      </w:r>
      <w:r w:rsidR="004307BE" w:rsidRPr="00092862">
        <w:rPr>
          <w:rFonts w:ascii="Times New Roman" w:eastAsia="宋体" w:hAnsi="Times New Roman" w:cs="Times New Roman"/>
          <w:color w:val="000000" w:themeColor="text1"/>
          <w:sz w:val="24"/>
        </w:rPr>
        <w:t>放空火炬点</w:t>
      </w:r>
      <w:r w:rsidRPr="00092862">
        <w:rPr>
          <w:rFonts w:ascii="Times New Roman" w:eastAsia="宋体" w:hAnsi="Times New Roman" w:cs="Times New Roman"/>
          <w:color w:val="000000" w:themeColor="text1"/>
          <w:sz w:val="24"/>
        </w:rPr>
        <w:t>火燃烧是可行的。</w:t>
      </w:r>
    </w:p>
    <w:p w14:paraId="3C728E95" w14:textId="1D1AAC56" w:rsidR="00EC1CFB" w:rsidRPr="00092862" w:rsidRDefault="00EC1CFB" w:rsidP="0080674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bookmarkStart w:id="374" w:name="_Hlk88248100"/>
      <w:r w:rsidRPr="00092862">
        <w:rPr>
          <w:rFonts w:ascii="Times New Roman" w:hAnsi="Times New Roman"/>
          <w:bCs/>
          <w:color w:val="000000" w:themeColor="text1"/>
          <w:kern w:val="2"/>
          <w:lang w:eastAsia="zh-CN"/>
        </w:rPr>
        <w:t>本项目</w:t>
      </w:r>
      <w:r w:rsidR="004307BE" w:rsidRPr="00092862">
        <w:rPr>
          <w:rFonts w:ascii="Times New Roman" w:hAnsi="Times New Roman"/>
          <w:bCs/>
          <w:color w:val="000000" w:themeColor="text1"/>
          <w:kern w:val="2"/>
          <w:lang w:eastAsia="zh-CN"/>
        </w:rPr>
        <w:t>试采</w:t>
      </w:r>
      <w:r w:rsidRPr="00092862">
        <w:rPr>
          <w:rFonts w:ascii="Times New Roman" w:hAnsi="Times New Roman"/>
          <w:bCs/>
          <w:color w:val="000000" w:themeColor="text1"/>
          <w:kern w:val="2"/>
          <w:lang w:eastAsia="zh-CN"/>
        </w:rPr>
        <w:t>井站废气采用的处理措施均为天然气开发项目处理过程中常用的处置措施，已在建设单位同类型天然气</w:t>
      </w:r>
      <w:r w:rsidR="000210E0" w:rsidRPr="00092862">
        <w:rPr>
          <w:rFonts w:ascii="Times New Roman" w:hAnsi="Times New Roman"/>
          <w:bCs/>
          <w:color w:val="000000" w:themeColor="text1"/>
          <w:kern w:val="2"/>
          <w:lang w:eastAsia="zh-CN"/>
        </w:rPr>
        <w:t>试采井站</w:t>
      </w:r>
      <w:r w:rsidRPr="00092862">
        <w:rPr>
          <w:rFonts w:ascii="Times New Roman" w:hAnsi="Times New Roman"/>
          <w:bCs/>
          <w:color w:val="000000" w:themeColor="text1"/>
          <w:kern w:val="2"/>
          <w:lang w:eastAsia="zh-CN"/>
        </w:rPr>
        <w:t>工程项目中广泛应用，各节点废气均能做到达标排放，不会改变区域环境功能，废气处理措施合理、可行。</w:t>
      </w:r>
      <w:bookmarkEnd w:id="374"/>
    </w:p>
    <w:p w14:paraId="11D4CD30" w14:textId="6DB443DD"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75" w:name="_Toc120173220"/>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.2.</w:t>
      </w:r>
      <w:r w:rsidR="00EC1CFB" w:rsidRPr="00092862">
        <w:rPr>
          <w:rFonts w:ascii="Times New Roman" w:eastAsia="黑体" w:hAnsi="Times New Roman"/>
          <w:b w:val="0"/>
          <w:color w:val="000000" w:themeColor="text1"/>
          <w:sz w:val="24"/>
          <w:szCs w:val="24"/>
          <w:lang w:eastAsia="zh-CN"/>
        </w:rPr>
        <w:t>2</w:t>
      </w:r>
      <w:r w:rsidR="003B1968" w:rsidRPr="00092862">
        <w:rPr>
          <w:rFonts w:ascii="Times New Roman" w:eastAsia="黑体" w:hAnsi="Times New Roman"/>
          <w:b w:val="0"/>
          <w:color w:val="000000" w:themeColor="text1"/>
          <w:sz w:val="24"/>
          <w:szCs w:val="24"/>
          <w:lang w:eastAsia="zh-CN"/>
        </w:rPr>
        <w:t>废水污染物防治措施</w:t>
      </w:r>
      <w:bookmarkEnd w:id="375"/>
    </w:p>
    <w:p w14:paraId="2BD062DC" w14:textId="77777777" w:rsidR="00EC1CFB" w:rsidRPr="00092862" w:rsidRDefault="00EC1CFB" w:rsidP="0080674B">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1</w:t>
      </w:r>
      <w:r w:rsidRPr="00092862">
        <w:rPr>
          <w:rFonts w:ascii="Times New Roman" w:eastAsia="黑体" w:hAnsi="Times New Roman" w:cs="Times New Roman"/>
          <w:color w:val="000000" w:themeColor="text1"/>
          <w:sz w:val="24"/>
        </w:rPr>
        <w:t>、治理措施</w:t>
      </w:r>
    </w:p>
    <w:p w14:paraId="746D6324" w14:textId="77777777" w:rsidR="00EC1CFB" w:rsidRPr="00092862" w:rsidRDefault="00EC1CFB" w:rsidP="0080674B">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1</w:t>
      </w:r>
      <w:r w:rsidRPr="00092862">
        <w:rPr>
          <w:rFonts w:ascii="Times New Roman" w:eastAsia="宋体" w:hAnsi="Times New Roman" w:cs="Times New Roman"/>
          <w:b/>
          <w:color w:val="000000" w:themeColor="text1"/>
          <w:sz w:val="24"/>
        </w:rPr>
        <w:t>）生活污水</w:t>
      </w:r>
    </w:p>
    <w:p w14:paraId="23815863" w14:textId="787A6040" w:rsidR="00EC1CFB" w:rsidRPr="00092862" w:rsidRDefault="004307BE" w:rsidP="0080674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271DF7" w:rsidRPr="00092862">
        <w:rPr>
          <w:rFonts w:ascii="Times New Roman" w:eastAsia="宋体" w:hAnsi="Times New Roman" w:cs="Times New Roman"/>
          <w:color w:val="000000" w:themeColor="text1"/>
          <w:sz w:val="24"/>
          <w:szCs w:val="24"/>
        </w:rPr>
        <w:t>试采期工作人员生活污水经站场化粪池处理后定期由密闭罐车拉运至周边生活污水处理厂处理</w:t>
      </w:r>
      <w:r w:rsidR="00EC1CFB" w:rsidRPr="00092862">
        <w:rPr>
          <w:rFonts w:ascii="Times New Roman" w:eastAsia="宋体" w:hAnsi="Times New Roman" w:cs="Times New Roman"/>
          <w:bCs/>
          <w:color w:val="000000" w:themeColor="text1"/>
          <w:sz w:val="24"/>
        </w:rPr>
        <w:t>。</w:t>
      </w:r>
    </w:p>
    <w:p w14:paraId="34288EA1" w14:textId="77777777" w:rsidR="00EC1CFB" w:rsidRPr="00092862" w:rsidRDefault="00EC1CFB" w:rsidP="0080674B">
      <w:pPr>
        <w:adjustRightInd w:val="0"/>
        <w:snapToGrid w:val="0"/>
        <w:spacing w:line="360" w:lineRule="auto"/>
        <w:ind w:firstLineChars="200" w:firstLine="482"/>
        <w:rPr>
          <w:rFonts w:ascii="Times New Roman" w:eastAsia="宋体" w:hAnsi="Times New Roman" w:cs="Times New Roman"/>
          <w:b/>
          <w:color w:val="000000" w:themeColor="text1"/>
          <w:sz w:val="24"/>
        </w:rPr>
      </w:pPr>
      <w:r w:rsidRPr="00092862">
        <w:rPr>
          <w:rFonts w:ascii="Times New Roman" w:eastAsia="宋体" w:hAnsi="Times New Roman" w:cs="Times New Roman"/>
          <w:b/>
          <w:color w:val="000000" w:themeColor="text1"/>
          <w:sz w:val="24"/>
        </w:rPr>
        <w:t>（</w:t>
      </w:r>
      <w:r w:rsidRPr="00092862">
        <w:rPr>
          <w:rFonts w:ascii="Times New Roman" w:eastAsia="宋体" w:hAnsi="Times New Roman" w:cs="Times New Roman"/>
          <w:b/>
          <w:color w:val="000000" w:themeColor="text1"/>
          <w:sz w:val="24"/>
        </w:rPr>
        <w:t>2</w:t>
      </w:r>
      <w:r w:rsidRPr="00092862">
        <w:rPr>
          <w:rFonts w:ascii="Times New Roman" w:eastAsia="宋体" w:hAnsi="Times New Roman" w:cs="Times New Roman"/>
          <w:b/>
          <w:color w:val="000000" w:themeColor="text1"/>
          <w:sz w:val="24"/>
        </w:rPr>
        <w:t>）采气废水</w:t>
      </w:r>
    </w:p>
    <w:p w14:paraId="12F486F7" w14:textId="7A5C917A" w:rsidR="00EC1CFB" w:rsidRPr="00092862" w:rsidRDefault="00EC1CFB" w:rsidP="0080674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AC6F21" w:rsidRPr="00092862">
        <w:rPr>
          <w:rFonts w:ascii="Times New Roman" w:eastAsia="宋体" w:hAnsi="Times New Roman" w:cs="Times New Roman"/>
          <w:bCs/>
          <w:color w:val="000000" w:themeColor="text1"/>
          <w:sz w:val="24"/>
        </w:rPr>
        <w:t>试采</w:t>
      </w:r>
      <w:r w:rsidRPr="00092862">
        <w:rPr>
          <w:rFonts w:ascii="Times New Roman" w:eastAsia="宋体" w:hAnsi="Times New Roman" w:cs="Times New Roman"/>
          <w:bCs/>
          <w:color w:val="000000" w:themeColor="text1"/>
          <w:sz w:val="24"/>
        </w:rPr>
        <w:t>期地层水产生量预计</w:t>
      </w:r>
      <w:r w:rsidR="00837C2A" w:rsidRPr="00092862">
        <w:rPr>
          <w:rFonts w:ascii="Times New Roman" w:eastAsia="宋体" w:hAnsi="Times New Roman" w:cs="Times New Roman"/>
          <w:bCs/>
          <w:color w:val="000000" w:themeColor="text1"/>
          <w:sz w:val="24"/>
        </w:rPr>
        <w:t>最大</w:t>
      </w:r>
      <w:r w:rsidRPr="00092862">
        <w:rPr>
          <w:rFonts w:ascii="Times New Roman" w:eastAsia="宋体" w:hAnsi="Times New Roman" w:cs="Times New Roman"/>
          <w:bCs/>
          <w:color w:val="000000" w:themeColor="text1"/>
          <w:sz w:val="24"/>
        </w:rPr>
        <w:t>为</w:t>
      </w:r>
      <w:r w:rsidR="003121FB" w:rsidRPr="00092862">
        <w:rPr>
          <w:rFonts w:ascii="Times New Roman" w:eastAsia="宋体" w:hAnsi="Times New Roman" w:cs="Times New Roman"/>
          <w:bCs/>
          <w:color w:val="000000" w:themeColor="text1"/>
          <w:sz w:val="24"/>
        </w:rPr>
        <w:t>3</w:t>
      </w:r>
      <w:r w:rsidR="00AC6F21" w:rsidRPr="00092862">
        <w:rPr>
          <w:rFonts w:ascii="Times New Roman" w:eastAsia="宋体" w:hAnsi="Times New Roman" w:cs="Times New Roman"/>
          <w:bCs/>
          <w:color w:val="000000" w:themeColor="text1"/>
          <w:sz w:val="24"/>
        </w:rPr>
        <w:t>0</w:t>
      </w:r>
      <w:r w:rsidRPr="00092862">
        <w:rPr>
          <w:rFonts w:ascii="Times New Roman" w:eastAsia="宋体" w:hAnsi="Times New Roman" w:cs="Times New Roman"/>
          <w:bCs/>
          <w:color w:val="000000" w:themeColor="text1"/>
          <w:sz w:val="24"/>
        </w:rPr>
        <w:t>m</w:t>
      </w:r>
      <w:r w:rsidRPr="00092862">
        <w:rPr>
          <w:rFonts w:ascii="Times New Roman" w:eastAsia="宋体" w:hAnsi="Times New Roman" w:cs="Times New Roman"/>
          <w:bCs/>
          <w:color w:val="000000" w:themeColor="text1"/>
          <w:sz w:val="24"/>
          <w:vertAlign w:val="superscript"/>
        </w:rPr>
        <w:t>3</w:t>
      </w:r>
      <w:r w:rsidRPr="00092862">
        <w:rPr>
          <w:rFonts w:ascii="Times New Roman" w:eastAsia="宋体" w:hAnsi="Times New Roman" w:cs="Times New Roman"/>
          <w:bCs/>
          <w:color w:val="000000" w:themeColor="text1"/>
          <w:sz w:val="24"/>
        </w:rPr>
        <w:t>/d</w:t>
      </w:r>
      <w:r w:rsidRPr="00092862">
        <w:rPr>
          <w:rFonts w:ascii="Times New Roman" w:eastAsia="宋体" w:hAnsi="Times New Roman" w:cs="Times New Roman"/>
          <w:bCs/>
          <w:color w:val="000000" w:themeColor="text1"/>
          <w:sz w:val="24"/>
        </w:rPr>
        <w:t>，由站内</w:t>
      </w:r>
      <w:r w:rsidR="00DD4FA1"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个</w:t>
      </w:r>
      <w:r w:rsidR="00DD4FA1" w:rsidRPr="00092862">
        <w:rPr>
          <w:rFonts w:ascii="Times New Roman" w:eastAsia="宋体" w:hAnsi="Times New Roman" w:cs="Times New Roman"/>
          <w:bCs/>
          <w:color w:val="000000" w:themeColor="text1"/>
          <w:sz w:val="24"/>
        </w:rPr>
        <w:t>3</w:t>
      </w:r>
      <w:r w:rsidRPr="00092862">
        <w:rPr>
          <w:rFonts w:ascii="Times New Roman" w:eastAsia="宋体" w:hAnsi="Times New Roman" w:cs="Times New Roman"/>
          <w:bCs/>
          <w:color w:val="000000" w:themeColor="text1"/>
          <w:sz w:val="24"/>
        </w:rPr>
        <w:t>0m</w:t>
      </w:r>
      <w:r w:rsidRPr="00092862">
        <w:rPr>
          <w:rFonts w:ascii="Times New Roman" w:eastAsia="宋体" w:hAnsi="Times New Roman" w:cs="Times New Roman"/>
          <w:bCs/>
          <w:color w:val="000000" w:themeColor="text1"/>
          <w:sz w:val="24"/>
          <w:vertAlign w:val="superscript"/>
        </w:rPr>
        <w:t>3</w:t>
      </w:r>
      <w:r w:rsidR="00DD4FA1" w:rsidRPr="00092862">
        <w:rPr>
          <w:rFonts w:ascii="Times New Roman" w:eastAsia="宋体" w:hAnsi="Times New Roman" w:cs="Times New Roman"/>
          <w:bCs/>
          <w:color w:val="000000" w:themeColor="text1"/>
          <w:sz w:val="24"/>
        </w:rPr>
        <w:t>火炬分液</w:t>
      </w:r>
      <w:r w:rsidRPr="00092862">
        <w:rPr>
          <w:rFonts w:ascii="Times New Roman" w:eastAsia="宋体" w:hAnsi="Times New Roman" w:cs="Times New Roman"/>
          <w:bCs/>
          <w:color w:val="000000" w:themeColor="text1"/>
          <w:sz w:val="24"/>
        </w:rPr>
        <w:t>罐进行收集，定期拉运能保证井站污水罐对项目废水的收纳。井站设置</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于防渗区，做好</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的保养检查，杜绝污水泄露；本项目</w:t>
      </w:r>
      <w:r w:rsidR="00C568B4" w:rsidRPr="00092862">
        <w:rPr>
          <w:rFonts w:ascii="Times New Roman" w:eastAsia="宋体" w:hAnsi="Times New Roman" w:cs="Times New Roman"/>
          <w:color w:val="000000" w:themeColor="text1"/>
          <w:sz w:val="24"/>
        </w:rPr>
        <w:t>采气废水经</w:t>
      </w:r>
      <w:r w:rsidR="004B382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4B382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bCs/>
          <w:color w:val="000000" w:themeColor="text1"/>
          <w:sz w:val="24"/>
        </w:rPr>
        <w:t>，应做好采气废水转运计划，及时转运采气废水</w:t>
      </w:r>
      <w:r w:rsidR="005428C8" w:rsidRPr="00092862">
        <w:rPr>
          <w:rFonts w:ascii="Times New Roman" w:eastAsia="宋体" w:hAnsi="Times New Roman" w:cs="Times New Roman"/>
          <w:bCs/>
          <w:color w:val="000000" w:themeColor="text1"/>
          <w:sz w:val="24"/>
        </w:rPr>
        <w:t>，确保废水得到有效处置</w:t>
      </w:r>
      <w:r w:rsidRPr="00092862">
        <w:rPr>
          <w:rFonts w:ascii="Times New Roman" w:eastAsia="宋体" w:hAnsi="Times New Roman" w:cs="Times New Roman"/>
          <w:bCs/>
          <w:color w:val="000000" w:themeColor="text1"/>
          <w:sz w:val="24"/>
        </w:rPr>
        <w:t>。</w:t>
      </w:r>
    </w:p>
    <w:p w14:paraId="49EA685A" w14:textId="77777777" w:rsidR="00EC1CFB" w:rsidRPr="00092862" w:rsidRDefault="00EC1CFB" w:rsidP="0080674B">
      <w:pPr>
        <w:adjustRightInd w:val="0"/>
        <w:snapToGrid w:val="0"/>
        <w:spacing w:line="360" w:lineRule="auto"/>
        <w:ind w:firstLineChars="200" w:firstLine="480"/>
        <w:rPr>
          <w:rFonts w:ascii="Times New Roman" w:eastAsia="黑体" w:hAnsi="Times New Roman" w:cs="Times New Roman"/>
          <w:color w:val="000000" w:themeColor="text1"/>
          <w:sz w:val="24"/>
        </w:rPr>
      </w:pPr>
      <w:r w:rsidRPr="00092862">
        <w:rPr>
          <w:rFonts w:ascii="Times New Roman" w:eastAsia="黑体" w:hAnsi="Times New Roman" w:cs="Times New Roman"/>
          <w:color w:val="000000" w:themeColor="text1"/>
          <w:sz w:val="24"/>
        </w:rPr>
        <w:t>2</w:t>
      </w:r>
      <w:r w:rsidRPr="00092862">
        <w:rPr>
          <w:rFonts w:ascii="Times New Roman" w:eastAsia="黑体" w:hAnsi="Times New Roman" w:cs="Times New Roman"/>
          <w:color w:val="000000" w:themeColor="text1"/>
          <w:sz w:val="24"/>
        </w:rPr>
        <w:t>、采气废水依托措施的可行性分析</w:t>
      </w:r>
    </w:p>
    <w:p w14:paraId="40B22E7F" w14:textId="01BC348E" w:rsidR="00EC1CFB" w:rsidRPr="00092862" w:rsidRDefault="00EC1CFB" w:rsidP="0080674B">
      <w:pPr>
        <w:adjustRightInd w:val="0"/>
        <w:snapToGrid w:val="0"/>
        <w:spacing w:line="360" w:lineRule="auto"/>
        <w:ind w:firstLineChars="200" w:firstLine="480"/>
        <w:rPr>
          <w:rFonts w:ascii="Times New Roman" w:eastAsia="宋体" w:hAnsi="Times New Roman" w:cs="Times New Roman"/>
          <w:color w:val="000000" w:themeColor="text1"/>
          <w:sz w:val="24"/>
        </w:rPr>
      </w:pPr>
      <w:r w:rsidRPr="00092862">
        <w:rPr>
          <w:rFonts w:ascii="Times New Roman" w:eastAsia="宋体" w:hAnsi="Times New Roman" w:cs="Times New Roman"/>
          <w:color w:val="000000" w:themeColor="text1"/>
          <w:sz w:val="24"/>
        </w:rPr>
        <w:t>本项目采气废水经</w:t>
      </w:r>
      <w:r w:rsidR="004B382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4B382D"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rPr>
        <w:t>回注量小，根据前文分析，</w:t>
      </w:r>
      <w:r w:rsidR="000F6507" w:rsidRPr="00092862">
        <w:rPr>
          <w:rFonts w:ascii="Times New Roman" w:eastAsia="宋体" w:hAnsi="Times New Roman" w:cs="Times New Roman"/>
          <w:color w:val="000000" w:themeColor="text1"/>
          <w:sz w:val="24"/>
        </w:rPr>
        <w:t>赵家坝污水处理站</w:t>
      </w:r>
      <w:r w:rsidRPr="00092862">
        <w:rPr>
          <w:rFonts w:ascii="Times New Roman" w:eastAsia="宋体" w:hAnsi="Times New Roman" w:cs="Times New Roman"/>
          <w:color w:val="000000" w:themeColor="text1"/>
          <w:sz w:val="24"/>
        </w:rPr>
        <w:t>站和回注</w:t>
      </w:r>
      <w:r w:rsidR="004B382D" w:rsidRPr="00092862">
        <w:rPr>
          <w:rFonts w:ascii="Times New Roman" w:eastAsia="宋体" w:hAnsi="Times New Roman" w:cs="Times New Roman"/>
          <w:color w:val="000000" w:themeColor="text1"/>
          <w:sz w:val="24"/>
        </w:rPr>
        <w:t>站</w:t>
      </w:r>
      <w:r w:rsidRPr="00092862">
        <w:rPr>
          <w:rFonts w:ascii="Times New Roman" w:eastAsia="宋体" w:hAnsi="Times New Roman" w:cs="Times New Roman"/>
          <w:color w:val="000000" w:themeColor="text1"/>
          <w:sz w:val="24"/>
        </w:rPr>
        <w:t>接收处理能力满足</w:t>
      </w:r>
      <w:r w:rsidR="009C4CA7" w:rsidRPr="00092862">
        <w:rPr>
          <w:rFonts w:ascii="Times New Roman" w:eastAsia="宋体" w:hAnsi="Times New Roman" w:cs="Times New Roman"/>
          <w:color w:val="000000" w:themeColor="text1"/>
          <w:sz w:val="24"/>
        </w:rPr>
        <w:t>试采期</w:t>
      </w:r>
      <w:r w:rsidRPr="00092862">
        <w:rPr>
          <w:rFonts w:ascii="Times New Roman" w:eastAsia="宋体" w:hAnsi="Times New Roman" w:cs="Times New Roman"/>
          <w:color w:val="000000" w:themeColor="text1"/>
          <w:sz w:val="24"/>
        </w:rPr>
        <w:t>采气废水处理要求。</w:t>
      </w:r>
    </w:p>
    <w:p w14:paraId="59E52EF5" w14:textId="3184FCE8" w:rsidR="00DC446C" w:rsidRPr="00092862" w:rsidRDefault="005428C8" w:rsidP="002A0BC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w:t>
      </w:r>
      <w:r w:rsidR="000210E0" w:rsidRPr="00092862">
        <w:rPr>
          <w:rFonts w:ascii="Times New Roman" w:eastAsia="宋体" w:hAnsi="Times New Roman" w:cs="Times New Roman"/>
          <w:bCs/>
          <w:color w:val="000000" w:themeColor="text1"/>
          <w:sz w:val="24"/>
          <w:szCs w:val="24"/>
        </w:rPr>
        <w:t>试采井站</w:t>
      </w:r>
      <w:r w:rsidRPr="00092862">
        <w:rPr>
          <w:rFonts w:ascii="Times New Roman" w:eastAsia="宋体" w:hAnsi="Times New Roman" w:cs="Times New Roman"/>
          <w:bCs/>
          <w:color w:val="000000" w:themeColor="text1"/>
          <w:sz w:val="24"/>
          <w:szCs w:val="24"/>
        </w:rPr>
        <w:t>废水采用的处理措施为中石</w:t>
      </w:r>
      <w:r w:rsidR="00AC6F21" w:rsidRPr="00092862">
        <w:rPr>
          <w:rFonts w:ascii="Times New Roman" w:eastAsia="宋体" w:hAnsi="Times New Roman" w:cs="Times New Roman"/>
          <w:bCs/>
          <w:color w:val="000000" w:themeColor="text1"/>
          <w:sz w:val="24"/>
          <w:szCs w:val="24"/>
        </w:rPr>
        <w:t>化</w:t>
      </w:r>
      <w:r w:rsidRPr="00092862">
        <w:rPr>
          <w:rFonts w:ascii="Times New Roman" w:eastAsia="宋体" w:hAnsi="Times New Roman" w:cs="Times New Roman"/>
          <w:bCs/>
          <w:color w:val="000000" w:themeColor="text1"/>
          <w:sz w:val="24"/>
          <w:szCs w:val="24"/>
        </w:rPr>
        <w:t>在川</w:t>
      </w:r>
      <w:r w:rsidR="004B382D" w:rsidRPr="00092862">
        <w:rPr>
          <w:rFonts w:ascii="Times New Roman" w:eastAsia="宋体" w:hAnsi="Times New Roman" w:cs="Times New Roman"/>
          <w:bCs/>
          <w:color w:val="000000" w:themeColor="text1"/>
          <w:sz w:val="24"/>
          <w:szCs w:val="24"/>
        </w:rPr>
        <w:t>东北</w:t>
      </w:r>
      <w:r w:rsidRPr="00092862">
        <w:rPr>
          <w:rFonts w:ascii="Times New Roman" w:eastAsia="宋体" w:hAnsi="Times New Roman" w:cs="Times New Roman"/>
          <w:bCs/>
          <w:color w:val="000000" w:themeColor="text1"/>
          <w:sz w:val="24"/>
          <w:szCs w:val="24"/>
        </w:rPr>
        <w:t>地区常用的处置措施，已在建设单位同类型天然气</w:t>
      </w:r>
      <w:r w:rsidR="000210E0" w:rsidRPr="00092862">
        <w:rPr>
          <w:rFonts w:ascii="Times New Roman" w:eastAsia="宋体" w:hAnsi="Times New Roman" w:cs="Times New Roman"/>
          <w:bCs/>
          <w:color w:val="000000" w:themeColor="text1"/>
          <w:sz w:val="24"/>
          <w:szCs w:val="24"/>
        </w:rPr>
        <w:t>试采井站</w:t>
      </w:r>
      <w:r w:rsidRPr="00092862">
        <w:rPr>
          <w:rFonts w:ascii="Times New Roman" w:eastAsia="宋体" w:hAnsi="Times New Roman" w:cs="Times New Roman"/>
          <w:bCs/>
          <w:color w:val="000000" w:themeColor="text1"/>
          <w:sz w:val="24"/>
          <w:szCs w:val="24"/>
        </w:rPr>
        <w:t>工程项目中广泛应用，依托污水处理</w:t>
      </w:r>
      <w:r w:rsidRPr="00092862">
        <w:rPr>
          <w:rFonts w:ascii="Times New Roman" w:eastAsia="宋体" w:hAnsi="Times New Roman" w:cs="Times New Roman"/>
          <w:bCs/>
          <w:color w:val="000000" w:themeColor="text1"/>
          <w:sz w:val="24"/>
          <w:szCs w:val="24"/>
        </w:rPr>
        <w:lastRenderedPageBreak/>
        <w:t>站专门为中石化钻采项目服务，运行稳定可靠，废水均能做到达标排放或有效回注，因此，废水处理措施合理、可行。</w:t>
      </w:r>
    </w:p>
    <w:p w14:paraId="48474379" w14:textId="042C7E03"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76" w:name="6.2.2地下水防治措施可行性分析"/>
      <w:bookmarkStart w:id="377" w:name="_Toc120173221"/>
      <w:bookmarkEnd w:id="376"/>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.2.</w:t>
      </w:r>
      <w:r w:rsidR="005428C8" w:rsidRPr="00092862">
        <w:rPr>
          <w:rFonts w:ascii="Times New Roman" w:eastAsia="黑体" w:hAnsi="Times New Roman"/>
          <w:b w:val="0"/>
          <w:color w:val="000000" w:themeColor="text1"/>
          <w:sz w:val="24"/>
          <w:szCs w:val="24"/>
          <w:lang w:eastAsia="zh-CN"/>
        </w:rPr>
        <w:t>3</w:t>
      </w:r>
      <w:r w:rsidR="003B1968" w:rsidRPr="00092862">
        <w:rPr>
          <w:rFonts w:ascii="Times New Roman" w:eastAsia="黑体" w:hAnsi="Times New Roman"/>
          <w:b w:val="0"/>
          <w:color w:val="000000" w:themeColor="text1"/>
          <w:sz w:val="24"/>
          <w:szCs w:val="24"/>
          <w:lang w:eastAsia="zh-CN"/>
        </w:rPr>
        <w:t>地下水和土壤环境防治措施可行性分析</w:t>
      </w:r>
      <w:bookmarkEnd w:id="377"/>
    </w:p>
    <w:p w14:paraId="70F443F5" w14:textId="3E5AD91B" w:rsidR="00DC446C" w:rsidRPr="00092862" w:rsidRDefault="003B1968" w:rsidP="003D2EEB">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项目实施对地下水及土壤可能造成的影响主要发生在施工期间。</w:t>
      </w:r>
      <w:r w:rsidR="001A6854" w:rsidRPr="00092862">
        <w:rPr>
          <w:rFonts w:ascii="Times New Roman" w:eastAsia="宋体" w:hAnsi="Times New Roman" w:cs="Times New Roman"/>
          <w:bCs/>
          <w:color w:val="000000" w:themeColor="text1"/>
          <w:sz w:val="24"/>
          <w:szCs w:val="24"/>
        </w:rPr>
        <w:t>试采期</w:t>
      </w:r>
      <w:r w:rsidRPr="00092862">
        <w:rPr>
          <w:rFonts w:ascii="Times New Roman" w:eastAsia="宋体" w:hAnsi="Times New Roman" w:cs="Times New Roman"/>
          <w:bCs/>
          <w:color w:val="000000" w:themeColor="text1"/>
          <w:sz w:val="24"/>
          <w:szCs w:val="24"/>
        </w:rPr>
        <w:t>井站暂存废水等污染物较少，</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szCs w:val="24"/>
        </w:rPr>
        <w:t>区进行了防渗和设置围堰，废水难以泄露，有完善的防漏洒措施，难以对地下水和土壤环境造成影响。</w:t>
      </w:r>
    </w:p>
    <w:p w14:paraId="65E00763" w14:textId="60B94502" w:rsidR="00DC446C" w:rsidRPr="00092862" w:rsidRDefault="003B1968" w:rsidP="003D2EEB">
      <w:pPr>
        <w:pStyle w:val="ac"/>
        <w:adjustRightInd w:val="0"/>
        <w:snapToGrid w:val="0"/>
        <w:spacing w:before="0" w:line="360" w:lineRule="auto"/>
        <w:ind w:left="0" w:firstLine="482"/>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地下水和土壤污染防治措施坚持</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源头控制、末端防治、污染监控、应急响应相结合</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的原则，即采取主动控制和被动控制相结合的措施。本项目</w:t>
      </w:r>
      <w:r w:rsidR="001A6854" w:rsidRPr="00092862">
        <w:rPr>
          <w:rFonts w:ascii="Times New Roman" w:hAnsi="Times New Roman"/>
          <w:bCs/>
          <w:color w:val="000000" w:themeColor="text1"/>
          <w:kern w:val="2"/>
          <w:lang w:eastAsia="zh-CN"/>
        </w:rPr>
        <w:t>试采期</w:t>
      </w:r>
      <w:r w:rsidRPr="00092862">
        <w:rPr>
          <w:rFonts w:ascii="Times New Roman" w:hAnsi="Times New Roman"/>
          <w:bCs/>
          <w:color w:val="000000" w:themeColor="text1"/>
          <w:kern w:val="2"/>
          <w:lang w:eastAsia="zh-CN"/>
        </w:rPr>
        <w:t>方井、</w:t>
      </w:r>
      <w:r w:rsidR="00AC6F21" w:rsidRPr="00092862">
        <w:rPr>
          <w:rFonts w:ascii="Times New Roman" w:hAnsi="Times New Roman"/>
          <w:bCs/>
          <w:color w:val="000000" w:themeColor="text1"/>
          <w:lang w:eastAsia="zh-CN"/>
        </w:rPr>
        <w:t>火炬分液罐</w:t>
      </w:r>
      <w:r w:rsidRPr="00092862">
        <w:rPr>
          <w:rFonts w:ascii="Times New Roman" w:hAnsi="Times New Roman"/>
          <w:bCs/>
          <w:color w:val="000000" w:themeColor="text1"/>
          <w:kern w:val="2"/>
          <w:lang w:eastAsia="zh-CN"/>
        </w:rPr>
        <w:t>区和流程区进行了分区分级防渗清污分流等措施，同时对井站外临时占地进行了生态恢复，进行监测合格后复耕</w:t>
      </w:r>
      <w:r w:rsidR="00AC6F21" w:rsidRPr="00092862">
        <w:rPr>
          <w:rFonts w:ascii="Times New Roman" w:hAnsi="Times New Roman"/>
          <w:bCs/>
          <w:color w:val="000000" w:themeColor="text1"/>
          <w:kern w:val="2"/>
          <w:lang w:eastAsia="zh-CN"/>
        </w:rPr>
        <w:t>复植</w:t>
      </w:r>
      <w:r w:rsidRPr="00092862">
        <w:rPr>
          <w:rFonts w:ascii="Times New Roman" w:hAnsi="Times New Roman"/>
          <w:bCs/>
          <w:color w:val="000000" w:themeColor="text1"/>
          <w:kern w:val="2"/>
          <w:lang w:eastAsia="zh-CN"/>
        </w:rPr>
        <w:t>，井站内空地采取硬化，井站内清污分流，能有效避免项目对地下水和土壤环境造成影响。在方井或</w:t>
      </w:r>
      <w:r w:rsidR="00AC6F21" w:rsidRPr="00092862">
        <w:rPr>
          <w:rFonts w:ascii="Times New Roman" w:hAnsi="Times New Roman"/>
          <w:bCs/>
          <w:color w:val="000000" w:themeColor="text1"/>
          <w:lang w:eastAsia="zh-CN"/>
        </w:rPr>
        <w:t>火炬分液罐</w:t>
      </w:r>
      <w:r w:rsidRPr="00092862">
        <w:rPr>
          <w:rFonts w:ascii="Times New Roman" w:hAnsi="Times New Roman"/>
          <w:bCs/>
          <w:color w:val="000000" w:themeColor="text1"/>
          <w:kern w:val="2"/>
          <w:lang w:eastAsia="zh-CN"/>
        </w:rPr>
        <w:t>垮塌或外溢、泄漏，防渗失效等极端情况下，本项目一般应设置备用污水罐，封闭外环沟，及时将泄漏的污水转移至备用污水罐或罐车转运处理，同时对事故进行处理恢复，降低污染范围和影响。</w:t>
      </w:r>
    </w:p>
    <w:p w14:paraId="5E8844B1" w14:textId="304878B6" w:rsidR="005428C8" w:rsidRPr="00092862" w:rsidRDefault="005428C8" w:rsidP="005428C8">
      <w:pPr>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根据《环境影响评价技术导则</w:t>
      </w:r>
      <w:r w:rsidRPr="00092862">
        <w:rPr>
          <w:rFonts w:ascii="Times New Roman" w:eastAsia="宋体" w:hAnsi="Times New Roman" w:cs="Times New Roman"/>
          <w:bCs/>
          <w:color w:val="000000" w:themeColor="text1"/>
          <w:sz w:val="24"/>
        </w:rPr>
        <w:t xml:space="preserve"> </w:t>
      </w:r>
      <w:r w:rsidRPr="00092862">
        <w:rPr>
          <w:rFonts w:ascii="Times New Roman" w:eastAsia="宋体" w:hAnsi="Times New Roman" w:cs="Times New Roman"/>
          <w:bCs/>
          <w:color w:val="000000" w:themeColor="text1"/>
          <w:sz w:val="24"/>
        </w:rPr>
        <w:t>地下水环境》（</w:t>
      </w:r>
      <w:r w:rsidRPr="00092862">
        <w:rPr>
          <w:rFonts w:ascii="Times New Roman" w:eastAsia="宋体" w:hAnsi="Times New Roman" w:cs="Times New Roman"/>
          <w:bCs/>
          <w:color w:val="000000" w:themeColor="text1"/>
          <w:sz w:val="24"/>
        </w:rPr>
        <w:t>HJ610-2016</w:t>
      </w:r>
      <w:r w:rsidRPr="00092862">
        <w:rPr>
          <w:rFonts w:ascii="Times New Roman" w:eastAsia="宋体" w:hAnsi="Times New Roman" w:cs="Times New Roman"/>
          <w:bCs/>
          <w:color w:val="000000" w:themeColor="text1"/>
          <w:sz w:val="24"/>
        </w:rPr>
        <w:t>）中分区防控措施和《石油化工工程防渗技术规范》（</w:t>
      </w:r>
      <w:r w:rsidRPr="00092862">
        <w:rPr>
          <w:rFonts w:ascii="Times New Roman" w:eastAsia="宋体" w:hAnsi="Times New Roman" w:cs="Times New Roman"/>
          <w:bCs/>
          <w:color w:val="000000" w:themeColor="text1"/>
          <w:sz w:val="24"/>
        </w:rPr>
        <w:t>GB/T 50934</w:t>
      </w:r>
      <w:r w:rsidRPr="00092862">
        <w:rPr>
          <w:rFonts w:ascii="Times New Roman" w:eastAsia="宋体" w:hAnsi="Times New Roman" w:cs="Times New Roman"/>
          <w:bCs/>
          <w:color w:val="000000" w:themeColor="text1"/>
          <w:sz w:val="24"/>
        </w:rPr>
        <w:t>）中的有关要求，本项目</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和</w:t>
      </w:r>
      <w:r w:rsidRPr="00092862">
        <w:rPr>
          <w:rFonts w:ascii="Times New Roman" w:eastAsia="宋体" w:hAnsi="Times New Roman" w:cs="Times New Roman"/>
          <w:color w:val="000000" w:themeColor="text1"/>
          <w:sz w:val="24"/>
        </w:rPr>
        <w:t>生产流程区</w:t>
      </w:r>
      <w:r w:rsidRPr="00092862">
        <w:rPr>
          <w:rFonts w:ascii="Times New Roman" w:eastAsia="宋体" w:hAnsi="Times New Roman" w:cs="Times New Roman"/>
          <w:bCs/>
          <w:color w:val="000000" w:themeColor="text1"/>
          <w:sz w:val="24"/>
        </w:rPr>
        <w:t>置于地面上，污水泄露后可以及时发现处理，因此</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区、生产流程区属于一般防渗区，</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和生产流程区建设选在钻井井场进行了重点防渗或一般防渗的区域进行建设，若上诉防渗区无法满足建设时，应至少做一般防渗，并在</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罐区修建围堰，围堰内容积要足够储存</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泄露的污水。因此</w:t>
      </w:r>
      <w:r w:rsidR="00AC6F21" w:rsidRPr="00092862">
        <w:rPr>
          <w:rFonts w:ascii="Times New Roman" w:eastAsia="宋体" w:hAnsi="Times New Roman" w:cs="Times New Roman"/>
          <w:bCs/>
          <w:color w:val="000000" w:themeColor="text1"/>
          <w:sz w:val="24"/>
        </w:rPr>
        <w:t>火炬分液罐</w:t>
      </w:r>
      <w:r w:rsidRPr="00092862">
        <w:rPr>
          <w:rFonts w:ascii="Times New Roman" w:eastAsia="宋体" w:hAnsi="Times New Roman" w:cs="Times New Roman"/>
          <w:bCs/>
          <w:color w:val="000000" w:themeColor="text1"/>
          <w:sz w:val="24"/>
        </w:rPr>
        <w:t>的建设时可行有效的。</w:t>
      </w:r>
    </w:p>
    <w:p w14:paraId="2CC03170" w14:textId="20BDBC70" w:rsidR="002A0BCF" w:rsidRPr="00092862" w:rsidRDefault="002A0BCF" w:rsidP="002A0BCF">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w:t>
      </w:r>
      <w:r w:rsidR="000210E0" w:rsidRPr="00092862">
        <w:rPr>
          <w:rFonts w:ascii="Times New Roman" w:eastAsia="宋体" w:hAnsi="Times New Roman" w:cs="Times New Roman"/>
          <w:bCs/>
          <w:color w:val="000000" w:themeColor="text1"/>
          <w:sz w:val="24"/>
          <w:szCs w:val="24"/>
        </w:rPr>
        <w:t>试采井站</w:t>
      </w:r>
      <w:r w:rsidRPr="00092862">
        <w:rPr>
          <w:rFonts w:ascii="Times New Roman" w:eastAsia="宋体" w:hAnsi="Times New Roman" w:cs="Times New Roman"/>
          <w:bCs/>
          <w:color w:val="000000" w:themeColor="text1"/>
          <w:sz w:val="24"/>
          <w:szCs w:val="24"/>
        </w:rPr>
        <w:t>地下水土壤污染防治措施为中石化在川</w:t>
      </w:r>
      <w:r w:rsidR="004629A9" w:rsidRPr="00092862">
        <w:rPr>
          <w:rFonts w:ascii="Times New Roman" w:eastAsia="宋体" w:hAnsi="Times New Roman" w:cs="Times New Roman"/>
          <w:bCs/>
          <w:color w:val="000000" w:themeColor="text1"/>
          <w:sz w:val="24"/>
          <w:szCs w:val="24"/>
        </w:rPr>
        <w:t>东北</w:t>
      </w:r>
      <w:r w:rsidRPr="00092862">
        <w:rPr>
          <w:rFonts w:ascii="Times New Roman" w:eastAsia="宋体" w:hAnsi="Times New Roman" w:cs="Times New Roman"/>
          <w:bCs/>
          <w:color w:val="000000" w:themeColor="text1"/>
          <w:sz w:val="24"/>
          <w:szCs w:val="24"/>
        </w:rPr>
        <w:t>地区常用的处置措施，已在建设单位同类型天然气</w:t>
      </w:r>
      <w:r w:rsidR="000210E0" w:rsidRPr="00092862">
        <w:rPr>
          <w:rFonts w:ascii="Times New Roman" w:eastAsia="宋体" w:hAnsi="Times New Roman" w:cs="Times New Roman"/>
          <w:bCs/>
          <w:color w:val="000000" w:themeColor="text1"/>
          <w:sz w:val="24"/>
          <w:szCs w:val="24"/>
        </w:rPr>
        <w:t>试采井站</w:t>
      </w:r>
      <w:r w:rsidRPr="00092862">
        <w:rPr>
          <w:rFonts w:ascii="Times New Roman" w:eastAsia="宋体" w:hAnsi="Times New Roman" w:cs="Times New Roman"/>
          <w:bCs/>
          <w:color w:val="000000" w:themeColor="text1"/>
          <w:sz w:val="24"/>
          <w:szCs w:val="24"/>
        </w:rPr>
        <w:t>工程项目中广泛应用，采气</w:t>
      </w:r>
      <w:r w:rsidR="001A6854" w:rsidRPr="00092862">
        <w:rPr>
          <w:rFonts w:ascii="Times New Roman" w:eastAsia="宋体" w:hAnsi="Times New Roman" w:cs="Times New Roman"/>
          <w:bCs/>
          <w:color w:val="000000" w:themeColor="text1"/>
          <w:sz w:val="24"/>
          <w:szCs w:val="24"/>
        </w:rPr>
        <w:t>试采</w:t>
      </w:r>
      <w:r w:rsidRPr="00092862">
        <w:rPr>
          <w:rFonts w:ascii="Times New Roman" w:eastAsia="宋体" w:hAnsi="Times New Roman" w:cs="Times New Roman"/>
          <w:bCs/>
          <w:color w:val="000000" w:themeColor="text1"/>
          <w:sz w:val="24"/>
          <w:szCs w:val="24"/>
        </w:rPr>
        <w:t>未发生过地下水和土壤污染事故，因此，地下水和土壤防治处理措施合理、可行。</w:t>
      </w:r>
    </w:p>
    <w:p w14:paraId="6435682F" w14:textId="0406ADEA"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78" w:name="6.2.3噪声防治措施"/>
      <w:bookmarkStart w:id="379" w:name="_Toc120173222"/>
      <w:bookmarkEnd w:id="378"/>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.2.4</w:t>
      </w:r>
      <w:r w:rsidR="003B1968" w:rsidRPr="00092862">
        <w:rPr>
          <w:rFonts w:ascii="Times New Roman" w:eastAsia="黑体" w:hAnsi="Times New Roman"/>
          <w:b w:val="0"/>
          <w:color w:val="000000" w:themeColor="text1"/>
          <w:sz w:val="24"/>
          <w:szCs w:val="24"/>
          <w:lang w:eastAsia="zh-CN"/>
        </w:rPr>
        <w:t>噪声防治措施</w:t>
      </w:r>
      <w:bookmarkEnd w:id="379"/>
    </w:p>
    <w:p w14:paraId="6FEAAC63" w14:textId="77777777" w:rsidR="00DC446C" w:rsidRPr="00092862" w:rsidRDefault="003B1968" w:rsidP="002A0BC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根据泵的噪声频谱特性，采取的噪声控制措施为隔声、减震等，具体措施为：</w:t>
      </w:r>
    </w:p>
    <w:p w14:paraId="18E43F96" w14:textId="65664C20" w:rsidR="00DC446C" w:rsidRPr="00092862" w:rsidRDefault="002A0BCF" w:rsidP="002A0BC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1</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平面布置时进行合理布局，控制气流速度，减少站场工艺管线的弯头、三通等管件，降低</w:t>
      </w:r>
      <w:r w:rsidR="00F30AFD" w:rsidRPr="00092862">
        <w:rPr>
          <w:rFonts w:ascii="Times New Roman" w:eastAsia="宋体" w:hAnsi="Times New Roman" w:cs="Times New Roman"/>
          <w:bCs/>
          <w:color w:val="000000" w:themeColor="text1"/>
          <w:sz w:val="24"/>
          <w:szCs w:val="24"/>
        </w:rPr>
        <w:t>集气站</w:t>
      </w:r>
      <w:r w:rsidR="003B1968" w:rsidRPr="00092862">
        <w:rPr>
          <w:rFonts w:ascii="Times New Roman" w:eastAsia="宋体" w:hAnsi="Times New Roman" w:cs="Times New Roman"/>
          <w:bCs/>
          <w:color w:val="000000" w:themeColor="text1"/>
          <w:sz w:val="24"/>
          <w:szCs w:val="24"/>
        </w:rPr>
        <w:t>内噪声。</w:t>
      </w:r>
    </w:p>
    <w:p w14:paraId="07682D72" w14:textId="626F7C7A" w:rsidR="00DC446C" w:rsidRPr="00092862" w:rsidRDefault="002A0BCF" w:rsidP="002A0BC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lastRenderedPageBreak/>
        <w:t>（</w:t>
      </w:r>
      <w:r w:rsidRPr="00092862">
        <w:rPr>
          <w:rFonts w:ascii="Times New Roman" w:eastAsia="宋体" w:hAnsi="Times New Roman" w:cs="Times New Roman"/>
          <w:bCs/>
          <w:color w:val="000000" w:themeColor="text1"/>
          <w:sz w:val="24"/>
          <w:szCs w:val="24"/>
        </w:rPr>
        <w:t>2</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选用高效低噪声的</w:t>
      </w:r>
      <w:r w:rsidR="00C26134" w:rsidRPr="00092862">
        <w:rPr>
          <w:rFonts w:ascii="Times New Roman" w:eastAsia="宋体" w:hAnsi="Times New Roman" w:cs="Times New Roman"/>
          <w:bCs/>
          <w:color w:val="000000" w:themeColor="text1"/>
          <w:sz w:val="24"/>
          <w:szCs w:val="24"/>
        </w:rPr>
        <w:t>水套加热炉</w:t>
      </w:r>
      <w:r w:rsidR="003B1968" w:rsidRPr="00092862">
        <w:rPr>
          <w:rFonts w:ascii="Times New Roman" w:eastAsia="宋体" w:hAnsi="Times New Roman" w:cs="Times New Roman"/>
          <w:bCs/>
          <w:color w:val="000000" w:themeColor="text1"/>
          <w:sz w:val="24"/>
          <w:szCs w:val="24"/>
        </w:rPr>
        <w:t>、分离器和调压设备。</w:t>
      </w:r>
    </w:p>
    <w:p w14:paraId="42A41A9F" w14:textId="77777777" w:rsidR="00DC446C" w:rsidRPr="00092862" w:rsidRDefault="002A0BCF" w:rsidP="002A0BC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3</w:t>
      </w:r>
      <w:r w:rsidRPr="00092862">
        <w:rPr>
          <w:rFonts w:ascii="Times New Roman" w:eastAsia="宋体" w:hAnsi="Times New Roman" w:cs="Times New Roman"/>
          <w:bCs/>
          <w:color w:val="000000" w:themeColor="text1"/>
          <w:sz w:val="24"/>
          <w:szCs w:val="24"/>
        </w:rPr>
        <w:t>）</w:t>
      </w:r>
      <w:r w:rsidR="003B1968" w:rsidRPr="00092862">
        <w:rPr>
          <w:rFonts w:ascii="Times New Roman" w:eastAsia="宋体" w:hAnsi="Times New Roman" w:cs="Times New Roman"/>
          <w:bCs/>
          <w:color w:val="000000" w:themeColor="text1"/>
          <w:sz w:val="24"/>
          <w:szCs w:val="24"/>
        </w:rPr>
        <w:t>种植绿化隔声。</w:t>
      </w:r>
    </w:p>
    <w:p w14:paraId="2C9E260C" w14:textId="6514E0FA" w:rsidR="00DC446C" w:rsidRPr="00092862" w:rsidRDefault="001A6854" w:rsidP="002A0BCF">
      <w:pPr>
        <w:tabs>
          <w:tab w:val="left" w:pos="0"/>
        </w:tabs>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试采期</w:t>
      </w:r>
      <w:r w:rsidR="003B1968" w:rsidRPr="00092862">
        <w:rPr>
          <w:rFonts w:ascii="Times New Roman" w:eastAsia="宋体" w:hAnsi="Times New Roman" w:cs="Times New Roman"/>
          <w:bCs/>
          <w:color w:val="000000" w:themeColor="text1"/>
          <w:sz w:val="24"/>
          <w:szCs w:val="24"/>
        </w:rPr>
        <w:t>采取以上措施</w:t>
      </w:r>
      <w:r w:rsidR="002A0BCF" w:rsidRPr="00092862">
        <w:rPr>
          <w:rFonts w:ascii="Times New Roman" w:eastAsia="宋体" w:hAnsi="Times New Roman" w:cs="Times New Roman"/>
          <w:bCs/>
          <w:color w:val="000000" w:themeColor="text1"/>
          <w:sz w:val="24"/>
          <w:szCs w:val="24"/>
        </w:rPr>
        <w:t>为中石化在川</w:t>
      </w:r>
      <w:r w:rsidR="004629A9" w:rsidRPr="00092862">
        <w:rPr>
          <w:rFonts w:ascii="Times New Roman" w:eastAsia="宋体" w:hAnsi="Times New Roman" w:cs="Times New Roman"/>
          <w:bCs/>
          <w:color w:val="000000" w:themeColor="text1"/>
          <w:sz w:val="24"/>
          <w:szCs w:val="24"/>
        </w:rPr>
        <w:t>东北</w:t>
      </w:r>
      <w:r w:rsidR="002A0BCF" w:rsidRPr="00092862">
        <w:rPr>
          <w:rFonts w:ascii="Times New Roman" w:eastAsia="宋体" w:hAnsi="Times New Roman" w:cs="Times New Roman"/>
          <w:bCs/>
          <w:color w:val="000000" w:themeColor="text1"/>
          <w:sz w:val="24"/>
          <w:szCs w:val="24"/>
        </w:rPr>
        <w:t>地区常用的处置措施，类比已在建设单位同类型天然气</w:t>
      </w:r>
      <w:r w:rsidR="000210E0" w:rsidRPr="00092862">
        <w:rPr>
          <w:rFonts w:ascii="Times New Roman" w:eastAsia="宋体" w:hAnsi="Times New Roman" w:cs="Times New Roman"/>
          <w:bCs/>
          <w:color w:val="000000" w:themeColor="text1"/>
          <w:sz w:val="24"/>
          <w:szCs w:val="24"/>
        </w:rPr>
        <w:t>试采井站</w:t>
      </w:r>
      <w:r w:rsidR="002A0BCF" w:rsidRPr="00092862">
        <w:rPr>
          <w:rFonts w:ascii="Times New Roman" w:eastAsia="宋体" w:hAnsi="Times New Roman" w:cs="Times New Roman"/>
          <w:bCs/>
          <w:color w:val="000000" w:themeColor="text1"/>
          <w:sz w:val="24"/>
          <w:szCs w:val="24"/>
        </w:rPr>
        <w:t>工程，项目</w:t>
      </w:r>
      <w:r w:rsidRPr="00092862">
        <w:rPr>
          <w:rFonts w:ascii="Times New Roman" w:eastAsia="宋体" w:hAnsi="Times New Roman" w:cs="Times New Roman"/>
          <w:bCs/>
          <w:color w:val="000000" w:themeColor="text1"/>
          <w:sz w:val="24"/>
          <w:szCs w:val="24"/>
        </w:rPr>
        <w:t>试采期</w:t>
      </w:r>
      <w:r w:rsidR="002A0BCF" w:rsidRPr="00092862">
        <w:rPr>
          <w:rFonts w:ascii="Times New Roman" w:eastAsia="宋体" w:hAnsi="Times New Roman" w:cs="Times New Roman"/>
          <w:bCs/>
          <w:color w:val="000000" w:themeColor="text1"/>
          <w:sz w:val="24"/>
          <w:szCs w:val="24"/>
        </w:rPr>
        <w:t>不会对声环境和敏感点（农户）造成噪声污染影响，因此，</w:t>
      </w:r>
      <w:r w:rsidRPr="00092862">
        <w:rPr>
          <w:rFonts w:ascii="Times New Roman" w:eastAsia="宋体" w:hAnsi="Times New Roman" w:cs="Times New Roman"/>
          <w:bCs/>
          <w:color w:val="000000" w:themeColor="text1"/>
          <w:sz w:val="24"/>
          <w:szCs w:val="24"/>
        </w:rPr>
        <w:t>试采期</w:t>
      </w:r>
      <w:r w:rsidR="002A0BCF" w:rsidRPr="00092862">
        <w:rPr>
          <w:rFonts w:ascii="Times New Roman" w:eastAsia="宋体" w:hAnsi="Times New Roman" w:cs="Times New Roman"/>
          <w:bCs/>
          <w:color w:val="000000" w:themeColor="text1"/>
          <w:sz w:val="24"/>
          <w:szCs w:val="24"/>
        </w:rPr>
        <w:t>噪声污染防治措施合理、可行。</w:t>
      </w:r>
    </w:p>
    <w:p w14:paraId="4A265D7F" w14:textId="3A46A9B7"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80" w:name="6.2.4固体废弃物处置措施"/>
      <w:bookmarkStart w:id="381" w:name="_Toc120173223"/>
      <w:bookmarkEnd w:id="380"/>
      <w:r w:rsidRPr="00092862">
        <w:rPr>
          <w:rFonts w:ascii="Times New Roman" w:eastAsia="黑体" w:hAnsi="Times New Roman"/>
          <w:b w:val="0"/>
          <w:color w:val="000000" w:themeColor="text1"/>
          <w:sz w:val="24"/>
          <w:szCs w:val="24"/>
          <w:lang w:eastAsia="zh-CN"/>
        </w:rPr>
        <w:t>7</w:t>
      </w:r>
      <w:r w:rsidR="003B1968" w:rsidRPr="00092862">
        <w:rPr>
          <w:rFonts w:ascii="Times New Roman" w:eastAsia="黑体" w:hAnsi="Times New Roman"/>
          <w:b w:val="0"/>
          <w:color w:val="000000" w:themeColor="text1"/>
          <w:sz w:val="24"/>
          <w:szCs w:val="24"/>
          <w:lang w:eastAsia="zh-CN"/>
        </w:rPr>
        <w:t>.2.5</w:t>
      </w:r>
      <w:r w:rsidR="003B1968" w:rsidRPr="00092862">
        <w:rPr>
          <w:rFonts w:ascii="Times New Roman" w:eastAsia="黑体" w:hAnsi="Times New Roman"/>
          <w:b w:val="0"/>
          <w:color w:val="000000" w:themeColor="text1"/>
          <w:sz w:val="24"/>
          <w:szCs w:val="24"/>
          <w:lang w:eastAsia="zh-CN"/>
        </w:rPr>
        <w:t>固体废弃物处置措施</w:t>
      </w:r>
      <w:bookmarkEnd w:id="381"/>
    </w:p>
    <w:p w14:paraId="7CEBCB91" w14:textId="548689B5" w:rsidR="002A0BCF" w:rsidRPr="00092862" w:rsidRDefault="006D2328" w:rsidP="006D2328">
      <w:pPr>
        <w:adjustRightInd w:val="0"/>
        <w:snapToGrid w:val="0"/>
        <w:spacing w:line="360" w:lineRule="auto"/>
        <w:ind w:firstLineChars="200" w:firstLine="480"/>
        <w:rPr>
          <w:rFonts w:ascii="Times New Roman" w:hAnsi="Times New Roman" w:cs="Times New Roman"/>
          <w:bCs/>
          <w:color w:val="000000" w:themeColor="text1"/>
          <w:sz w:val="24"/>
        </w:rPr>
      </w:pPr>
      <w:r w:rsidRPr="00092862">
        <w:rPr>
          <w:rFonts w:ascii="Times New Roman" w:eastAsia="宋体" w:hAnsi="Times New Roman" w:cs="Times New Roman"/>
          <w:bCs/>
          <w:color w:val="000000" w:themeColor="text1"/>
          <w:sz w:val="24"/>
        </w:rPr>
        <w:t>本项目</w:t>
      </w:r>
      <w:r w:rsidR="001A6854" w:rsidRPr="00092862">
        <w:rPr>
          <w:rFonts w:ascii="Times New Roman" w:eastAsia="宋体" w:hAnsi="Times New Roman" w:cs="Times New Roman"/>
          <w:bCs/>
          <w:color w:val="000000" w:themeColor="text1"/>
          <w:sz w:val="24"/>
        </w:rPr>
        <w:t>试采期</w:t>
      </w:r>
      <w:r w:rsidRPr="00092862">
        <w:rPr>
          <w:rFonts w:ascii="Times New Roman" w:eastAsia="宋体" w:hAnsi="Times New Roman" w:cs="Times New Roman"/>
          <w:bCs/>
          <w:color w:val="000000" w:themeColor="text1"/>
          <w:sz w:val="24"/>
        </w:rPr>
        <w:t>无</w:t>
      </w:r>
      <w:r w:rsidR="003121FB" w:rsidRPr="00092862">
        <w:rPr>
          <w:rFonts w:ascii="Times New Roman" w:eastAsia="宋体" w:hAnsi="Times New Roman" w:cs="Times New Roman"/>
          <w:bCs/>
          <w:color w:val="000000" w:themeColor="text1"/>
          <w:sz w:val="24"/>
        </w:rPr>
        <w:t>新增</w:t>
      </w:r>
      <w:r w:rsidRPr="00092862">
        <w:rPr>
          <w:rFonts w:ascii="Times New Roman" w:eastAsia="宋体" w:hAnsi="Times New Roman" w:cs="Times New Roman"/>
          <w:bCs/>
          <w:color w:val="000000" w:themeColor="text1"/>
          <w:sz w:val="24"/>
        </w:rPr>
        <w:t>固体废弃物产生</w:t>
      </w:r>
      <w:r w:rsidR="002A0BCF" w:rsidRPr="00092862">
        <w:rPr>
          <w:rFonts w:ascii="Times New Roman" w:eastAsia="宋体" w:hAnsi="Times New Roman" w:cs="Times New Roman"/>
          <w:bCs/>
          <w:color w:val="000000" w:themeColor="text1"/>
          <w:sz w:val="24"/>
        </w:rPr>
        <w:t>。</w:t>
      </w:r>
      <w:r w:rsidR="003121FB" w:rsidRPr="00092862">
        <w:rPr>
          <w:rFonts w:ascii="Times New Roman" w:eastAsia="宋体" w:hAnsi="Times New Roman" w:cs="Times New Roman"/>
          <w:bCs/>
          <w:color w:val="000000" w:themeColor="text1"/>
          <w:sz w:val="24"/>
        </w:rPr>
        <w:t>依托的</w:t>
      </w:r>
      <w:r w:rsidR="003C3238" w:rsidRPr="00092862">
        <w:rPr>
          <w:rFonts w:ascii="Times New Roman" w:eastAsia="宋体" w:hAnsi="Times New Roman" w:cs="Times New Roman"/>
          <w:bCs/>
          <w:color w:val="000000" w:themeColor="text1"/>
          <w:sz w:val="24"/>
        </w:rPr>
        <w:t>老君</w:t>
      </w:r>
      <w:r w:rsidR="003C3238" w:rsidRPr="00092862">
        <w:rPr>
          <w:rFonts w:ascii="Times New Roman" w:eastAsia="宋体" w:hAnsi="Times New Roman" w:cs="Times New Roman"/>
          <w:bCs/>
          <w:color w:val="000000" w:themeColor="text1"/>
          <w:sz w:val="24"/>
        </w:rPr>
        <w:t>701</w:t>
      </w:r>
      <w:r w:rsidR="003121FB" w:rsidRPr="00092862">
        <w:rPr>
          <w:rFonts w:ascii="Times New Roman" w:eastAsia="宋体" w:hAnsi="Times New Roman" w:cs="Times New Roman"/>
          <w:bCs/>
          <w:color w:val="000000" w:themeColor="text1"/>
          <w:sz w:val="24"/>
        </w:rPr>
        <w:t>集气站产生的清管废渣清运集中无害化填埋，生活垃圾交由普光镇环卫部门处置</w:t>
      </w:r>
      <w:r w:rsidR="003121FB" w:rsidRPr="00092862">
        <w:rPr>
          <w:rFonts w:ascii="Times New Roman" w:hAnsi="Times New Roman" w:cs="Times New Roman"/>
          <w:bCs/>
          <w:color w:val="000000" w:themeColor="text1"/>
          <w:sz w:val="24"/>
        </w:rPr>
        <w:t>。</w:t>
      </w:r>
    </w:p>
    <w:p w14:paraId="4C31D5E9" w14:textId="73F43643" w:rsidR="000E020B" w:rsidRPr="00092862" w:rsidRDefault="00704F23" w:rsidP="000E020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82" w:name="_Toc120173224"/>
      <w:r w:rsidRPr="00092862">
        <w:rPr>
          <w:rFonts w:ascii="Times New Roman" w:eastAsia="黑体" w:hAnsi="Times New Roman"/>
          <w:b w:val="0"/>
          <w:color w:val="000000" w:themeColor="text1"/>
          <w:sz w:val="24"/>
          <w:szCs w:val="24"/>
          <w:lang w:eastAsia="zh-CN"/>
        </w:rPr>
        <w:t>7</w:t>
      </w:r>
      <w:r w:rsidR="000E020B" w:rsidRPr="00092862">
        <w:rPr>
          <w:rFonts w:ascii="Times New Roman" w:eastAsia="黑体" w:hAnsi="Times New Roman"/>
          <w:b w:val="0"/>
          <w:color w:val="000000" w:themeColor="text1"/>
          <w:sz w:val="24"/>
          <w:szCs w:val="24"/>
          <w:lang w:eastAsia="zh-CN"/>
        </w:rPr>
        <w:t>.2.6</w:t>
      </w:r>
      <w:r w:rsidR="000E020B" w:rsidRPr="00092862">
        <w:rPr>
          <w:rFonts w:ascii="Times New Roman" w:eastAsia="黑体" w:hAnsi="Times New Roman"/>
          <w:b w:val="0"/>
          <w:color w:val="000000" w:themeColor="text1"/>
          <w:sz w:val="24"/>
          <w:szCs w:val="24"/>
          <w:lang w:eastAsia="zh-CN"/>
        </w:rPr>
        <w:t>陆生生物及其生态系统保护措施</w:t>
      </w:r>
      <w:bookmarkEnd w:id="382"/>
    </w:p>
    <w:p w14:paraId="4EBC08BD" w14:textId="7A030BBA" w:rsidR="000E020B" w:rsidRPr="00092862" w:rsidRDefault="00444493" w:rsidP="000E020B">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试采</w:t>
      </w:r>
      <w:r w:rsidR="000E020B" w:rsidRPr="00092862">
        <w:rPr>
          <w:rFonts w:ascii="Times New Roman" w:eastAsia="宋体" w:hAnsi="Times New Roman" w:cs="Times New Roman"/>
          <w:bCs/>
          <w:color w:val="000000" w:themeColor="text1"/>
          <w:sz w:val="24"/>
        </w:rPr>
        <w:t>期不涉及新增占地，无</w:t>
      </w:r>
      <w:r w:rsidR="003121FB" w:rsidRPr="00092862">
        <w:rPr>
          <w:rFonts w:ascii="Times New Roman" w:eastAsia="宋体" w:hAnsi="Times New Roman" w:cs="Times New Roman"/>
          <w:bCs/>
          <w:color w:val="000000" w:themeColor="text1"/>
          <w:sz w:val="24"/>
        </w:rPr>
        <w:t>新增</w:t>
      </w:r>
      <w:r w:rsidR="000E020B" w:rsidRPr="00092862">
        <w:rPr>
          <w:rFonts w:ascii="Times New Roman" w:eastAsia="宋体" w:hAnsi="Times New Roman" w:cs="Times New Roman"/>
          <w:bCs/>
          <w:color w:val="000000" w:themeColor="text1"/>
          <w:sz w:val="24"/>
        </w:rPr>
        <w:t>固废和</w:t>
      </w:r>
      <w:r w:rsidR="003121FB" w:rsidRPr="00092862">
        <w:rPr>
          <w:rFonts w:ascii="Times New Roman" w:eastAsia="宋体" w:hAnsi="Times New Roman" w:cs="Times New Roman"/>
          <w:bCs/>
          <w:color w:val="000000" w:themeColor="text1"/>
          <w:sz w:val="24"/>
        </w:rPr>
        <w:t>新增</w:t>
      </w:r>
      <w:r w:rsidR="000E020B" w:rsidRPr="00092862">
        <w:rPr>
          <w:rFonts w:ascii="Times New Roman" w:eastAsia="宋体" w:hAnsi="Times New Roman" w:cs="Times New Roman"/>
          <w:bCs/>
          <w:color w:val="000000" w:themeColor="text1"/>
          <w:sz w:val="24"/>
        </w:rPr>
        <w:t>生活污水产生，因此</w:t>
      </w:r>
      <w:r w:rsidRPr="00092862">
        <w:rPr>
          <w:rFonts w:ascii="Times New Roman" w:eastAsia="宋体" w:hAnsi="Times New Roman" w:cs="Times New Roman"/>
          <w:bCs/>
          <w:color w:val="000000" w:themeColor="text1"/>
          <w:sz w:val="24"/>
        </w:rPr>
        <w:t>试采</w:t>
      </w:r>
      <w:r w:rsidR="000E020B" w:rsidRPr="00092862">
        <w:rPr>
          <w:rFonts w:ascii="Times New Roman" w:eastAsia="宋体" w:hAnsi="Times New Roman" w:cs="Times New Roman"/>
          <w:bCs/>
          <w:color w:val="000000" w:themeColor="text1"/>
          <w:sz w:val="24"/>
        </w:rPr>
        <w:t>期需管护好项目区植被恢复成效，防止新的水土流失情况发生。</w:t>
      </w:r>
    </w:p>
    <w:p w14:paraId="49160E31" w14:textId="7F1448C1" w:rsidR="004238CC" w:rsidRPr="00092862" w:rsidRDefault="00704F23" w:rsidP="004238CC">
      <w:pPr>
        <w:pStyle w:val="2"/>
        <w:ind w:firstLine="480"/>
        <w:rPr>
          <w:color w:val="000000" w:themeColor="text1"/>
          <w:szCs w:val="24"/>
          <w:lang w:eastAsia="zh-CN"/>
        </w:rPr>
      </w:pPr>
      <w:bookmarkStart w:id="383" w:name="_Toc123682556"/>
      <w:r w:rsidRPr="00092862">
        <w:rPr>
          <w:color w:val="000000" w:themeColor="text1"/>
          <w:szCs w:val="24"/>
          <w:lang w:eastAsia="zh-CN"/>
        </w:rPr>
        <w:t>7</w:t>
      </w:r>
      <w:r w:rsidR="004238CC" w:rsidRPr="00092862">
        <w:rPr>
          <w:color w:val="000000" w:themeColor="text1"/>
          <w:szCs w:val="24"/>
          <w:lang w:eastAsia="zh-CN"/>
        </w:rPr>
        <w:t>.3</w:t>
      </w:r>
      <w:r w:rsidR="004238CC" w:rsidRPr="00092862">
        <w:rPr>
          <w:color w:val="000000" w:themeColor="text1"/>
          <w:szCs w:val="24"/>
          <w:lang w:eastAsia="zh-CN"/>
        </w:rPr>
        <w:t>退役期环境保护措施及可行性分析</w:t>
      </w:r>
      <w:bookmarkEnd w:id="383"/>
    </w:p>
    <w:p w14:paraId="6E2B3787" w14:textId="04BD6705" w:rsidR="004238CC" w:rsidRPr="00092862" w:rsidRDefault="004238CC" w:rsidP="004238CC">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1</w:t>
      </w:r>
      <w:r w:rsidRPr="00092862">
        <w:rPr>
          <w:rFonts w:ascii="Times New Roman" w:eastAsia="宋体" w:hAnsi="Times New Roman" w:cs="Times New Roman"/>
          <w:bCs/>
          <w:color w:val="000000" w:themeColor="text1"/>
          <w:sz w:val="24"/>
        </w:rPr>
        <w:t>）对拆除地面设施过程中产生的垃圾及时外运，送至指定的垃圾填埋场处理。</w:t>
      </w:r>
    </w:p>
    <w:p w14:paraId="0AFE2C0F" w14:textId="77777777" w:rsidR="004238CC" w:rsidRPr="00092862" w:rsidRDefault="004238CC" w:rsidP="004238CC">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w:t>
      </w:r>
      <w:r w:rsidRPr="00092862">
        <w:rPr>
          <w:rFonts w:ascii="Times New Roman" w:eastAsia="宋体" w:hAnsi="Times New Roman" w:cs="Times New Roman"/>
          <w:bCs/>
          <w:color w:val="000000" w:themeColor="text1"/>
          <w:sz w:val="24"/>
        </w:rPr>
        <w:t>2</w:t>
      </w:r>
      <w:r w:rsidRPr="00092862">
        <w:rPr>
          <w:rFonts w:ascii="Times New Roman" w:eastAsia="宋体" w:hAnsi="Times New Roman" w:cs="Times New Roman"/>
          <w:bCs/>
          <w:color w:val="000000" w:themeColor="text1"/>
          <w:sz w:val="24"/>
        </w:rPr>
        <w:t>）保留各类绿化、生态保护设施，以保持评价区生态环境功能不变。</w:t>
      </w:r>
    </w:p>
    <w:p w14:paraId="53ECF239" w14:textId="77777777" w:rsidR="004238CC" w:rsidRPr="00092862" w:rsidRDefault="004238CC" w:rsidP="004238CC">
      <w:pPr>
        <w:adjustRightInd w:val="0"/>
        <w:snapToGrid w:val="0"/>
        <w:spacing w:line="360" w:lineRule="auto"/>
        <w:ind w:firstLineChars="200" w:firstLine="480"/>
        <w:rPr>
          <w:rFonts w:ascii="Times New Roman" w:eastAsia="宋体" w:hAnsi="Times New Roman" w:cs="Times New Roman"/>
          <w:bCs/>
          <w:color w:val="000000" w:themeColor="text1"/>
          <w:sz w:val="24"/>
        </w:rPr>
      </w:pPr>
      <w:r w:rsidRPr="00092862">
        <w:rPr>
          <w:rFonts w:ascii="Times New Roman" w:eastAsia="宋体" w:hAnsi="Times New Roman" w:cs="Times New Roman"/>
          <w:bCs/>
          <w:color w:val="000000" w:themeColor="text1"/>
          <w:sz w:val="24"/>
        </w:rPr>
        <w:t>评价认为，在采取了上述退役期污染防治措施后，可减缓退役期对环境的影响，措施可行。</w:t>
      </w:r>
    </w:p>
    <w:p w14:paraId="44154614" w14:textId="77777777" w:rsidR="004238CC" w:rsidRPr="00092862" w:rsidRDefault="004238CC"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sectPr w:rsidR="004238CC" w:rsidRPr="00092862" w:rsidSect="00C04A25">
          <w:pgSz w:w="11910" w:h="16840"/>
          <w:pgMar w:top="1440" w:right="1800" w:bottom="1440" w:left="1800" w:header="1213" w:footer="635" w:gutter="0"/>
          <w:cols w:space="720"/>
        </w:sectPr>
      </w:pPr>
      <w:bookmarkStart w:id="384" w:name="第七章_环境影响经济损益分析"/>
      <w:bookmarkStart w:id="385" w:name="_bookmark34"/>
      <w:bookmarkEnd w:id="384"/>
      <w:bookmarkEnd w:id="385"/>
    </w:p>
    <w:p w14:paraId="7F2E5124" w14:textId="28E94AC3" w:rsidR="00DC446C" w:rsidRPr="00092862" w:rsidRDefault="00704F23"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386" w:name="_Toc123682557"/>
      <w:r w:rsidRPr="00092862">
        <w:rPr>
          <w:rFonts w:ascii="Times New Roman" w:eastAsia="黑体" w:hAnsi="Times New Roman"/>
          <w:b w:val="0"/>
          <w:color w:val="000000" w:themeColor="text1"/>
          <w:sz w:val="28"/>
          <w:szCs w:val="28"/>
          <w:lang w:eastAsia="zh-CN"/>
        </w:rPr>
        <w:lastRenderedPageBreak/>
        <w:t>8</w:t>
      </w:r>
      <w:r w:rsidR="003B1968" w:rsidRPr="00092862">
        <w:rPr>
          <w:rFonts w:ascii="Times New Roman" w:eastAsia="黑体" w:hAnsi="Times New Roman"/>
          <w:b w:val="0"/>
          <w:color w:val="000000" w:themeColor="text1"/>
          <w:sz w:val="28"/>
          <w:szCs w:val="28"/>
          <w:lang w:eastAsia="zh-CN"/>
        </w:rPr>
        <w:t>环境影响经济损益分析</w:t>
      </w:r>
      <w:bookmarkEnd w:id="386"/>
    </w:p>
    <w:p w14:paraId="2EEBD727" w14:textId="77777777" w:rsidR="00DC446C"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14:paraId="28A9BD6C" w14:textId="47A3B77F" w:rsidR="00DC446C" w:rsidRPr="00092862" w:rsidRDefault="00704F23" w:rsidP="003D2EEB">
      <w:pPr>
        <w:pStyle w:val="2"/>
        <w:ind w:firstLine="480"/>
        <w:rPr>
          <w:color w:val="000000" w:themeColor="text1"/>
          <w:szCs w:val="24"/>
          <w:lang w:eastAsia="zh-CN"/>
        </w:rPr>
      </w:pPr>
      <w:bookmarkStart w:id="387" w:name="7.1环保投资估算"/>
      <w:bookmarkStart w:id="388" w:name="_bookmark35"/>
      <w:bookmarkStart w:id="389" w:name="_Toc123682558"/>
      <w:bookmarkEnd w:id="387"/>
      <w:bookmarkEnd w:id="388"/>
      <w:r w:rsidRPr="00092862">
        <w:rPr>
          <w:color w:val="000000" w:themeColor="text1"/>
          <w:szCs w:val="24"/>
          <w:lang w:eastAsia="zh-CN"/>
        </w:rPr>
        <w:t>8</w:t>
      </w:r>
      <w:r w:rsidR="003B1968" w:rsidRPr="00092862">
        <w:rPr>
          <w:color w:val="000000" w:themeColor="text1"/>
          <w:szCs w:val="24"/>
          <w:lang w:eastAsia="zh-CN"/>
        </w:rPr>
        <w:t>.1</w:t>
      </w:r>
      <w:r w:rsidR="003B1968" w:rsidRPr="00092862">
        <w:rPr>
          <w:color w:val="000000" w:themeColor="text1"/>
          <w:szCs w:val="24"/>
          <w:lang w:eastAsia="zh-CN"/>
        </w:rPr>
        <w:t>环保投资估算</w:t>
      </w:r>
      <w:bookmarkEnd w:id="389"/>
    </w:p>
    <w:p w14:paraId="12D4B24D" w14:textId="7B19ABDD" w:rsidR="00DC446C" w:rsidRPr="00092862" w:rsidRDefault="003B1968" w:rsidP="007C568D">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本项目总投资</w:t>
      </w:r>
      <w:r w:rsidR="007A02DD">
        <w:rPr>
          <w:rFonts w:ascii="Times New Roman" w:eastAsia="宋体" w:hAnsi="Times New Roman" w:cs="Times New Roman"/>
          <w:color w:val="000000" w:themeColor="text1"/>
          <w:sz w:val="24"/>
          <w:szCs w:val="24"/>
        </w:rPr>
        <w:t>****</w:t>
      </w:r>
      <w:r w:rsidR="00AE4A7F" w:rsidRPr="00092862">
        <w:rPr>
          <w:rFonts w:ascii="Times New Roman" w:eastAsia="宋体" w:hAnsi="Times New Roman" w:cs="Times New Roman"/>
          <w:color w:val="000000" w:themeColor="text1"/>
          <w:sz w:val="24"/>
          <w:szCs w:val="24"/>
        </w:rPr>
        <w:t>万元</w:t>
      </w:r>
      <w:r w:rsidRPr="00092862">
        <w:rPr>
          <w:rFonts w:ascii="Times New Roman" w:eastAsia="宋体" w:hAnsi="Times New Roman" w:cs="Times New Roman"/>
          <w:bCs/>
          <w:color w:val="000000" w:themeColor="text1"/>
          <w:sz w:val="24"/>
          <w:szCs w:val="24"/>
        </w:rPr>
        <w:t>，环保投资</w:t>
      </w:r>
      <w:r w:rsidR="007A02DD">
        <w:rPr>
          <w:rFonts w:ascii="Times New Roman" w:eastAsia="宋体" w:hAnsi="Times New Roman" w:cs="Times New Roman"/>
          <w:bCs/>
          <w:color w:val="000000" w:themeColor="text1"/>
          <w:sz w:val="24"/>
          <w:szCs w:val="24"/>
        </w:rPr>
        <w:t>****</w:t>
      </w:r>
      <w:r w:rsidR="00A935AE" w:rsidRPr="00092862">
        <w:rPr>
          <w:rFonts w:ascii="Times New Roman" w:eastAsia="宋体" w:hAnsi="Times New Roman" w:cs="Times New Roman"/>
          <w:bCs/>
          <w:color w:val="000000" w:themeColor="text1"/>
          <w:sz w:val="24"/>
          <w:szCs w:val="24"/>
        </w:rPr>
        <w:t>万</w:t>
      </w:r>
      <w:r w:rsidRPr="00092862">
        <w:rPr>
          <w:rFonts w:ascii="Times New Roman" w:eastAsia="宋体" w:hAnsi="Times New Roman" w:cs="Times New Roman"/>
          <w:bCs/>
          <w:color w:val="000000" w:themeColor="text1"/>
          <w:sz w:val="24"/>
          <w:szCs w:val="24"/>
        </w:rPr>
        <w:t>元，占总投资的</w:t>
      </w:r>
      <w:r w:rsidR="00D92D1A" w:rsidRPr="00092862">
        <w:rPr>
          <w:rFonts w:ascii="Times New Roman" w:eastAsia="宋体" w:hAnsi="Times New Roman" w:cs="Times New Roman"/>
          <w:bCs/>
          <w:color w:val="000000" w:themeColor="text1"/>
          <w:sz w:val="24"/>
          <w:szCs w:val="24"/>
        </w:rPr>
        <w:t>2.81%</w:t>
      </w:r>
      <w:r w:rsidRPr="00092862">
        <w:rPr>
          <w:rFonts w:ascii="Times New Roman" w:eastAsia="宋体" w:hAnsi="Times New Roman" w:cs="Times New Roman"/>
          <w:bCs/>
          <w:color w:val="000000" w:themeColor="text1"/>
          <w:sz w:val="24"/>
          <w:szCs w:val="24"/>
        </w:rPr>
        <w:t>。环保投资主要用于废水治理、固体废物处理、噪声污染防治，以及施工迹地生态恢复等，符合该项目的实际特点。具体情况见表</w:t>
      </w:r>
      <w:r w:rsidR="00704F23" w:rsidRPr="00092862">
        <w:rPr>
          <w:rFonts w:ascii="Times New Roman" w:eastAsia="宋体" w:hAnsi="Times New Roman" w:cs="Times New Roman"/>
          <w:bCs/>
          <w:color w:val="000000" w:themeColor="text1"/>
          <w:sz w:val="24"/>
          <w:szCs w:val="24"/>
        </w:rPr>
        <w:t>8</w:t>
      </w:r>
      <w:r w:rsidRPr="00092862">
        <w:rPr>
          <w:rFonts w:ascii="Times New Roman" w:eastAsia="宋体" w:hAnsi="Times New Roman" w:cs="Times New Roman"/>
          <w:bCs/>
          <w:color w:val="000000" w:themeColor="text1"/>
          <w:sz w:val="24"/>
          <w:szCs w:val="24"/>
        </w:rPr>
        <w:t>.1-1</w:t>
      </w:r>
      <w:r w:rsidRPr="00092862">
        <w:rPr>
          <w:rFonts w:ascii="Times New Roman" w:eastAsia="宋体" w:hAnsi="Times New Roman" w:cs="Times New Roman"/>
          <w:bCs/>
          <w:color w:val="000000" w:themeColor="text1"/>
          <w:sz w:val="24"/>
          <w:szCs w:val="24"/>
        </w:rPr>
        <w:t>。</w:t>
      </w:r>
    </w:p>
    <w:p w14:paraId="04C8F431" w14:textId="33DF8E1E" w:rsidR="00DC446C" w:rsidRPr="00092862" w:rsidRDefault="003B1968"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.1-1  </w:t>
      </w:r>
      <w:r w:rsidRPr="00092862">
        <w:rPr>
          <w:rFonts w:ascii="Times New Roman" w:eastAsia="黑体" w:hAnsi="Times New Roman"/>
          <w:color w:val="000000" w:themeColor="text1"/>
          <w:sz w:val="21"/>
          <w:szCs w:val="21"/>
          <w:lang w:eastAsia="zh-CN"/>
        </w:rPr>
        <w:t>本项目环保措施及投资估算一览表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980"/>
        <w:gridCol w:w="6245"/>
        <w:gridCol w:w="997"/>
      </w:tblGrid>
      <w:tr w:rsidR="00697429" w:rsidRPr="00092862" w14:paraId="34278D51" w14:textId="77777777" w:rsidTr="002C06F7">
        <w:trPr>
          <w:cantSplit/>
          <w:jc w:val="center"/>
        </w:trPr>
        <w:tc>
          <w:tcPr>
            <w:tcW w:w="980" w:type="dxa"/>
            <w:vAlign w:val="center"/>
          </w:tcPr>
          <w:p w14:paraId="2C4CA277"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项目</w:t>
            </w:r>
          </w:p>
        </w:tc>
        <w:tc>
          <w:tcPr>
            <w:tcW w:w="6245" w:type="dxa"/>
            <w:vAlign w:val="center"/>
          </w:tcPr>
          <w:p w14:paraId="13017E95"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内容</w:t>
            </w:r>
          </w:p>
        </w:tc>
        <w:tc>
          <w:tcPr>
            <w:tcW w:w="997" w:type="dxa"/>
            <w:vAlign w:val="center"/>
          </w:tcPr>
          <w:p w14:paraId="3B61DB51"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投资（万元）</w:t>
            </w:r>
          </w:p>
        </w:tc>
      </w:tr>
      <w:tr w:rsidR="00697429" w:rsidRPr="00092862" w14:paraId="055BD554" w14:textId="77777777" w:rsidTr="002C06F7">
        <w:trPr>
          <w:cantSplit/>
          <w:jc w:val="center"/>
        </w:trPr>
        <w:tc>
          <w:tcPr>
            <w:tcW w:w="980" w:type="dxa"/>
            <w:vMerge w:val="restart"/>
            <w:vAlign w:val="center"/>
          </w:tcPr>
          <w:p w14:paraId="6C651C90"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废气治理</w:t>
            </w:r>
          </w:p>
        </w:tc>
        <w:tc>
          <w:tcPr>
            <w:tcW w:w="6245" w:type="dxa"/>
            <w:vAlign w:val="center"/>
          </w:tcPr>
          <w:p w14:paraId="7E05ACBB" w14:textId="4F06F093"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施工期：土石方覆盖材料，洒水降尘；放喷设施（套）、放喷池</w:t>
            </w:r>
            <w:r w:rsidR="0085342E" w:rsidRPr="00092862">
              <w:rPr>
                <w:rFonts w:ascii="Times New Roman" w:eastAsia="宋体" w:hAnsi="Times New Roman" w:cs="Times New Roman"/>
                <w:color w:val="000000" w:themeColor="text1"/>
                <w:szCs w:val="21"/>
              </w:rPr>
              <w:t>（已建）</w:t>
            </w:r>
            <w:r w:rsidRPr="00092862">
              <w:rPr>
                <w:rFonts w:ascii="Times New Roman" w:eastAsia="宋体" w:hAnsi="Times New Roman" w:cs="Times New Roman"/>
                <w:color w:val="000000" w:themeColor="text1"/>
                <w:szCs w:val="21"/>
              </w:rPr>
              <w:t>等</w:t>
            </w:r>
          </w:p>
        </w:tc>
        <w:tc>
          <w:tcPr>
            <w:tcW w:w="997" w:type="dxa"/>
            <w:vAlign w:val="center"/>
          </w:tcPr>
          <w:p w14:paraId="3AC07BD8" w14:textId="77777777" w:rsidR="007C568D" w:rsidRPr="00092862" w:rsidRDefault="007C568D"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p>
        </w:tc>
      </w:tr>
      <w:tr w:rsidR="00697429" w:rsidRPr="00092862" w14:paraId="3D0306A3" w14:textId="77777777" w:rsidTr="002C06F7">
        <w:trPr>
          <w:cantSplit/>
          <w:jc w:val="center"/>
        </w:trPr>
        <w:tc>
          <w:tcPr>
            <w:tcW w:w="980" w:type="dxa"/>
            <w:vMerge/>
            <w:vAlign w:val="center"/>
          </w:tcPr>
          <w:p w14:paraId="2F13B269"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p>
        </w:tc>
        <w:tc>
          <w:tcPr>
            <w:tcW w:w="6245" w:type="dxa"/>
            <w:vAlign w:val="center"/>
          </w:tcPr>
          <w:p w14:paraId="21B03725" w14:textId="3279B5EF"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w:t>
            </w:r>
            <w:r w:rsidR="00C26134" w:rsidRPr="00092862">
              <w:rPr>
                <w:rFonts w:ascii="Times New Roman" w:eastAsia="宋体" w:hAnsi="Times New Roman" w:cs="Times New Roman"/>
                <w:color w:val="000000" w:themeColor="text1"/>
                <w:szCs w:val="21"/>
              </w:rPr>
              <w:t>水套加热炉</w:t>
            </w:r>
            <w:r w:rsidR="0085342E" w:rsidRPr="00092862">
              <w:rPr>
                <w:rFonts w:ascii="Times New Roman" w:eastAsia="宋体" w:hAnsi="Times New Roman" w:cs="Times New Roman"/>
                <w:color w:val="000000" w:themeColor="text1"/>
                <w:szCs w:val="21"/>
              </w:rPr>
              <w:t>、放空火炬</w:t>
            </w:r>
            <w:r w:rsidR="007C568D" w:rsidRPr="00092862">
              <w:rPr>
                <w:rFonts w:ascii="Times New Roman" w:eastAsia="宋体" w:hAnsi="Times New Roman" w:cs="Times New Roman"/>
                <w:color w:val="000000" w:themeColor="text1"/>
                <w:szCs w:val="21"/>
              </w:rPr>
              <w:t>保养维护</w:t>
            </w:r>
          </w:p>
        </w:tc>
        <w:tc>
          <w:tcPr>
            <w:tcW w:w="997" w:type="dxa"/>
            <w:vAlign w:val="center"/>
          </w:tcPr>
          <w:p w14:paraId="0040477C" w14:textId="78B49EA2" w:rsidR="007C568D" w:rsidRPr="00092862" w:rsidRDefault="0085342E"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r>
      <w:tr w:rsidR="00697429" w:rsidRPr="00092862" w14:paraId="3130E0A3" w14:textId="77777777" w:rsidTr="002C06F7">
        <w:trPr>
          <w:cantSplit/>
          <w:jc w:val="center"/>
        </w:trPr>
        <w:tc>
          <w:tcPr>
            <w:tcW w:w="980" w:type="dxa"/>
            <w:vMerge w:val="restart"/>
            <w:vAlign w:val="center"/>
          </w:tcPr>
          <w:p w14:paraId="38226399"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废水治理</w:t>
            </w:r>
          </w:p>
        </w:tc>
        <w:tc>
          <w:tcPr>
            <w:tcW w:w="6245" w:type="dxa"/>
            <w:vAlign w:val="center"/>
          </w:tcPr>
          <w:p w14:paraId="1A53B848" w14:textId="16079260"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施工期：新建环保厕所，钻前施工废水沉淀池，泥浆不落地系统，废水转运</w:t>
            </w:r>
            <w:r w:rsidR="00D774F2" w:rsidRPr="00092862">
              <w:rPr>
                <w:rFonts w:ascii="Times New Roman" w:eastAsia="宋体" w:hAnsi="Times New Roman" w:cs="Times New Roman"/>
                <w:color w:val="000000" w:themeColor="text1"/>
                <w:szCs w:val="21"/>
              </w:rPr>
              <w:t>，污水池（已建）</w:t>
            </w:r>
          </w:p>
        </w:tc>
        <w:tc>
          <w:tcPr>
            <w:tcW w:w="997" w:type="dxa"/>
            <w:vAlign w:val="center"/>
          </w:tcPr>
          <w:p w14:paraId="18D15183" w14:textId="5D5E5C23" w:rsidR="007C568D" w:rsidRPr="00092862" w:rsidRDefault="006C0AF4"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w:t>
            </w:r>
            <w:r w:rsidR="0085342E" w:rsidRPr="00092862">
              <w:rPr>
                <w:rFonts w:ascii="Times New Roman" w:eastAsia="宋体" w:hAnsi="Times New Roman" w:cs="Times New Roman"/>
                <w:color w:val="000000" w:themeColor="text1"/>
                <w:szCs w:val="21"/>
              </w:rPr>
              <w:t>0</w:t>
            </w:r>
          </w:p>
        </w:tc>
      </w:tr>
      <w:tr w:rsidR="00697429" w:rsidRPr="00092862" w14:paraId="5A2ED420" w14:textId="77777777" w:rsidTr="002C06F7">
        <w:trPr>
          <w:cantSplit/>
          <w:jc w:val="center"/>
        </w:trPr>
        <w:tc>
          <w:tcPr>
            <w:tcW w:w="980" w:type="dxa"/>
            <w:vMerge/>
            <w:vAlign w:val="center"/>
          </w:tcPr>
          <w:p w14:paraId="3B26A315"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p>
        </w:tc>
        <w:tc>
          <w:tcPr>
            <w:tcW w:w="6245" w:type="dxa"/>
            <w:vAlign w:val="center"/>
          </w:tcPr>
          <w:p w14:paraId="544B3C9C" w14:textId="26724D9B"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w:t>
            </w:r>
            <w:r w:rsidR="00AE0D5E" w:rsidRPr="00092862">
              <w:rPr>
                <w:rFonts w:ascii="Times New Roman" w:eastAsia="宋体" w:hAnsi="Times New Roman" w:cs="Times New Roman"/>
                <w:color w:val="000000" w:themeColor="text1"/>
                <w:szCs w:val="21"/>
              </w:rPr>
              <w:t>依托已建的</w:t>
            </w:r>
            <w:r w:rsidR="002C06F7" w:rsidRPr="00092862">
              <w:rPr>
                <w:rFonts w:ascii="Times New Roman" w:eastAsia="宋体" w:hAnsi="Times New Roman" w:cs="Times New Roman"/>
                <w:color w:val="000000" w:themeColor="text1"/>
                <w:szCs w:val="21"/>
              </w:rPr>
              <w:t>1</w:t>
            </w:r>
            <w:r w:rsidR="007C568D" w:rsidRPr="00092862">
              <w:rPr>
                <w:rFonts w:ascii="Times New Roman" w:eastAsia="宋体" w:hAnsi="Times New Roman" w:cs="Times New Roman"/>
                <w:color w:val="000000" w:themeColor="text1"/>
                <w:szCs w:val="21"/>
              </w:rPr>
              <w:t>个</w:t>
            </w:r>
            <w:r w:rsidR="00DD4FA1" w:rsidRPr="00092862">
              <w:rPr>
                <w:rFonts w:ascii="Times New Roman" w:eastAsia="宋体" w:hAnsi="Times New Roman" w:cs="Times New Roman"/>
                <w:color w:val="000000" w:themeColor="text1"/>
                <w:szCs w:val="21"/>
              </w:rPr>
              <w:t>3</w:t>
            </w:r>
            <w:r w:rsidR="007C568D" w:rsidRPr="00092862">
              <w:rPr>
                <w:rFonts w:ascii="Times New Roman" w:eastAsia="宋体" w:hAnsi="Times New Roman" w:cs="Times New Roman"/>
                <w:color w:val="000000" w:themeColor="text1"/>
                <w:szCs w:val="21"/>
              </w:rPr>
              <w:t>0m</w:t>
            </w:r>
            <w:r w:rsidR="007C568D" w:rsidRPr="00092862">
              <w:rPr>
                <w:rFonts w:ascii="Times New Roman" w:eastAsia="宋体" w:hAnsi="Times New Roman" w:cs="Times New Roman"/>
                <w:color w:val="000000" w:themeColor="text1"/>
                <w:szCs w:val="21"/>
                <w:vertAlign w:val="superscript"/>
              </w:rPr>
              <w:t>3</w:t>
            </w:r>
            <w:r w:rsidR="00DD4FA1" w:rsidRPr="00092862">
              <w:rPr>
                <w:rFonts w:ascii="Times New Roman" w:eastAsia="宋体" w:hAnsi="Times New Roman" w:cs="Times New Roman"/>
                <w:color w:val="000000" w:themeColor="text1"/>
                <w:szCs w:val="21"/>
              </w:rPr>
              <w:t>火炬分液</w:t>
            </w:r>
            <w:r w:rsidR="007C568D" w:rsidRPr="00092862">
              <w:rPr>
                <w:rFonts w:ascii="Times New Roman" w:eastAsia="宋体" w:hAnsi="Times New Roman" w:cs="Times New Roman"/>
                <w:color w:val="000000" w:themeColor="text1"/>
                <w:szCs w:val="21"/>
              </w:rPr>
              <w:t>罐，</w:t>
            </w:r>
            <w:r w:rsidR="00C833C3" w:rsidRPr="00092862">
              <w:rPr>
                <w:rFonts w:ascii="Times New Roman" w:eastAsia="宋体" w:hAnsi="Times New Roman" w:cs="Times New Roman"/>
                <w:color w:val="000000" w:themeColor="text1"/>
                <w:szCs w:val="21"/>
              </w:rPr>
              <w:t>火炬分液罐</w:t>
            </w:r>
            <w:r w:rsidR="007C568D" w:rsidRPr="00092862">
              <w:rPr>
                <w:rFonts w:ascii="Times New Roman" w:eastAsia="宋体" w:hAnsi="Times New Roman" w:cs="Times New Roman"/>
                <w:color w:val="000000" w:themeColor="text1"/>
                <w:szCs w:val="21"/>
              </w:rPr>
              <w:t>区防渗，废水</w:t>
            </w:r>
            <w:r w:rsidR="00AE0D5E" w:rsidRPr="00092862">
              <w:rPr>
                <w:rFonts w:ascii="Times New Roman" w:eastAsia="宋体" w:hAnsi="Times New Roman" w:cs="Times New Roman"/>
                <w:color w:val="000000" w:themeColor="text1"/>
                <w:szCs w:val="21"/>
              </w:rPr>
              <w:t>定期</w:t>
            </w:r>
            <w:r w:rsidR="007C568D" w:rsidRPr="00092862">
              <w:rPr>
                <w:rFonts w:ascii="Times New Roman" w:eastAsia="宋体" w:hAnsi="Times New Roman" w:cs="Times New Roman"/>
                <w:color w:val="000000" w:themeColor="text1"/>
                <w:szCs w:val="21"/>
              </w:rPr>
              <w:t>转运</w:t>
            </w:r>
          </w:p>
        </w:tc>
        <w:tc>
          <w:tcPr>
            <w:tcW w:w="997" w:type="dxa"/>
            <w:vAlign w:val="center"/>
          </w:tcPr>
          <w:p w14:paraId="656120A9" w14:textId="55AF3424" w:rsidR="007C568D" w:rsidRPr="00092862" w:rsidRDefault="00AE0D5E"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r w:rsidR="00C833C3" w:rsidRPr="00092862">
              <w:rPr>
                <w:rFonts w:ascii="Times New Roman" w:eastAsia="宋体" w:hAnsi="Times New Roman" w:cs="Times New Roman"/>
                <w:color w:val="000000" w:themeColor="text1"/>
                <w:szCs w:val="21"/>
              </w:rPr>
              <w:t>0</w:t>
            </w:r>
          </w:p>
        </w:tc>
      </w:tr>
      <w:tr w:rsidR="00697429" w:rsidRPr="00092862" w14:paraId="5C6A66A1" w14:textId="77777777" w:rsidTr="002C06F7">
        <w:trPr>
          <w:cantSplit/>
          <w:jc w:val="center"/>
        </w:trPr>
        <w:tc>
          <w:tcPr>
            <w:tcW w:w="980" w:type="dxa"/>
            <w:vMerge w:val="restart"/>
            <w:vAlign w:val="center"/>
          </w:tcPr>
          <w:p w14:paraId="518CBC92"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噪声治理</w:t>
            </w:r>
          </w:p>
        </w:tc>
        <w:tc>
          <w:tcPr>
            <w:tcW w:w="6245" w:type="dxa"/>
            <w:vAlign w:val="center"/>
          </w:tcPr>
          <w:p w14:paraId="1F2B0AED" w14:textId="63F4FA05"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施工期：合理安排施工作业时间；选用低噪声设备；发电机、泥浆泵等设置隔声、吸声棚；为柴油机安装消声器和减震基础等</w:t>
            </w:r>
          </w:p>
        </w:tc>
        <w:tc>
          <w:tcPr>
            <w:tcW w:w="997" w:type="dxa"/>
            <w:vAlign w:val="center"/>
          </w:tcPr>
          <w:p w14:paraId="514EF06D" w14:textId="72CCECBD" w:rsidR="007C568D" w:rsidRPr="00092862" w:rsidRDefault="00C833C3"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w:t>
            </w:r>
          </w:p>
        </w:tc>
      </w:tr>
      <w:tr w:rsidR="00697429" w:rsidRPr="00092862" w14:paraId="01E5EC6F" w14:textId="77777777" w:rsidTr="002C06F7">
        <w:trPr>
          <w:cantSplit/>
          <w:jc w:val="center"/>
        </w:trPr>
        <w:tc>
          <w:tcPr>
            <w:tcW w:w="980" w:type="dxa"/>
            <w:vMerge/>
            <w:vAlign w:val="center"/>
          </w:tcPr>
          <w:p w14:paraId="78F010F1"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p>
        </w:tc>
        <w:tc>
          <w:tcPr>
            <w:tcW w:w="6245" w:type="dxa"/>
            <w:vAlign w:val="center"/>
          </w:tcPr>
          <w:p w14:paraId="2CC6E151" w14:textId="57431DE1"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：合理布局，基础减振等</w:t>
            </w:r>
          </w:p>
        </w:tc>
        <w:tc>
          <w:tcPr>
            <w:tcW w:w="997" w:type="dxa"/>
            <w:vAlign w:val="center"/>
          </w:tcPr>
          <w:p w14:paraId="64BEAC54" w14:textId="77777777" w:rsidR="007C568D" w:rsidRPr="00092862" w:rsidRDefault="007C568D"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r>
      <w:tr w:rsidR="00697429" w:rsidRPr="00092862" w14:paraId="7A191186" w14:textId="77777777" w:rsidTr="002C06F7">
        <w:trPr>
          <w:cantSplit/>
          <w:jc w:val="center"/>
        </w:trPr>
        <w:tc>
          <w:tcPr>
            <w:tcW w:w="980" w:type="dxa"/>
            <w:vMerge w:val="restart"/>
            <w:vAlign w:val="center"/>
          </w:tcPr>
          <w:p w14:paraId="6CAC1099"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固废治理</w:t>
            </w:r>
          </w:p>
        </w:tc>
        <w:tc>
          <w:tcPr>
            <w:tcW w:w="6245" w:type="dxa"/>
            <w:vAlign w:val="center"/>
          </w:tcPr>
          <w:p w14:paraId="2005B938" w14:textId="77777777"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施工期：土石方回填；生活垃圾交市政环卫部门统一处理；施工废料由施工方回收利用或统一清运；泥浆不落地系统；钻井泥浆及钻井固废转运处置，废油桶收集及暂存</w:t>
            </w:r>
          </w:p>
        </w:tc>
        <w:tc>
          <w:tcPr>
            <w:tcW w:w="997" w:type="dxa"/>
            <w:vAlign w:val="center"/>
          </w:tcPr>
          <w:p w14:paraId="169F58A9" w14:textId="53C93E3B" w:rsidR="007C568D" w:rsidRPr="00092862" w:rsidRDefault="006C0AF4"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25</w:t>
            </w:r>
            <w:r w:rsidR="007C568D" w:rsidRPr="00092862">
              <w:rPr>
                <w:rFonts w:ascii="Times New Roman" w:eastAsia="宋体" w:hAnsi="Times New Roman" w:cs="Times New Roman"/>
                <w:color w:val="000000" w:themeColor="text1"/>
                <w:szCs w:val="21"/>
              </w:rPr>
              <w:t>0</w:t>
            </w:r>
          </w:p>
        </w:tc>
      </w:tr>
      <w:tr w:rsidR="00697429" w:rsidRPr="00092862" w14:paraId="716000AD" w14:textId="77777777" w:rsidTr="002C06F7">
        <w:trPr>
          <w:cantSplit/>
          <w:jc w:val="center"/>
        </w:trPr>
        <w:tc>
          <w:tcPr>
            <w:tcW w:w="980" w:type="dxa"/>
            <w:vMerge/>
            <w:vAlign w:val="center"/>
          </w:tcPr>
          <w:p w14:paraId="2EC2427C"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p>
        </w:tc>
        <w:tc>
          <w:tcPr>
            <w:tcW w:w="6245" w:type="dxa"/>
            <w:vAlign w:val="center"/>
          </w:tcPr>
          <w:p w14:paraId="6D7D4BD0" w14:textId="5F810454"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w:t>
            </w:r>
            <w:r w:rsidR="00AE0D5E" w:rsidRPr="00092862">
              <w:rPr>
                <w:rFonts w:ascii="Times New Roman" w:eastAsia="宋体" w:hAnsi="Times New Roman" w:cs="Times New Roman"/>
                <w:color w:val="000000" w:themeColor="text1"/>
                <w:szCs w:val="21"/>
              </w:rPr>
              <w:t>生活垃圾交当地环卫部门处置，原集气站清管废渣清运集中无害化填埋</w:t>
            </w:r>
          </w:p>
        </w:tc>
        <w:tc>
          <w:tcPr>
            <w:tcW w:w="997" w:type="dxa"/>
            <w:vAlign w:val="center"/>
          </w:tcPr>
          <w:p w14:paraId="7AD25050" w14:textId="77777777" w:rsidR="007C568D" w:rsidRPr="00092862" w:rsidRDefault="007C568D"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p>
        </w:tc>
      </w:tr>
      <w:tr w:rsidR="00697429" w:rsidRPr="00092862" w14:paraId="2C0F6C53" w14:textId="77777777" w:rsidTr="002C06F7">
        <w:trPr>
          <w:cantSplit/>
          <w:jc w:val="center"/>
        </w:trPr>
        <w:tc>
          <w:tcPr>
            <w:tcW w:w="980" w:type="dxa"/>
            <w:vAlign w:val="center"/>
          </w:tcPr>
          <w:p w14:paraId="0B06D12E"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地下水及土壤防治措施</w:t>
            </w:r>
          </w:p>
        </w:tc>
        <w:tc>
          <w:tcPr>
            <w:tcW w:w="6245" w:type="dxa"/>
            <w:vAlign w:val="center"/>
          </w:tcPr>
          <w:p w14:paraId="1F938D95" w14:textId="77777777"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施工期：清污分流，排水沟，弃土场覆盖围挡，分区分级防渗，污染监测</w:t>
            </w:r>
          </w:p>
          <w:p w14:paraId="7AAB459F" w14:textId="70156E4B"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：清污分流，分区分级防渗，污染监测</w:t>
            </w:r>
          </w:p>
        </w:tc>
        <w:tc>
          <w:tcPr>
            <w:tcW w:w="997" w:type="dxa"/>
            <w:vAlign w:val="center"/>
          </w:tcPr>
          <w:p w14:paraId="179AE352" w14:textId="6B97712E" w:rsidR="007C568D" w:rsidRPr="00092862" w:rsidRDefault="00AE0D5E"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r w:rsidR="00C833C3" w:rsidRPr="00092862">
              <w:rPr>
                <w:rFonts w:ascii="Times New Roman" w:eastAsia="宋体" w:hAnsi="Times New Roman" w:cs="Times New Roman"/>
                <w:color w:val="000000" w:themeColor="text1"/>
                <w:szCs w:val="21"/>
              </w:rPr>
              <w:t>0</w:t>
            </w:r>
          </w:p>
        </w:tc>
      </w:tr>
      <w:tr w:rsidR="00697429" w:rsidRPr="00092862" w14:paraId="1CA0691A" w14:textId="77777777" w:rsidTr="002C06F7">
        <w:trPr>
          <w:cantSplit/>
          <w:jc w:val="center"/>
        </w:trPr>
        <w:tc>
          <w:tcPr>
            <w:tcW w:w="980" w:type="dxa"/>
            <w:vAlign w:val="center"/>
          </w:tcPr>
          <w:p w14:paraId="66BB7415"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生态恢复</w:t>
            </w:r>
          </w:p>
        </w:tc>
        <w:tc>
          <w:tcPr>
            <w:tcW w:w="6245" w:type="dxa"/>
            <w:vAlign w:val="center"/>
          </w:tcPr>
          <w:p w14:paraId="406131DB" w14:textId="6A85B7BA"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青苗</w:t>
            </w:r>
            <w:r w:rsidR="001C4535" w:rsidRPr="00092862">
              <w:rPr>
                <w:rFonts w:ascii="Times New Roman" w:eastAsia="宋体" w:hAnsi="Times New Roman" w:cs="Times New Roman"/>
                <w:color w:val="000000" w:themeColor="text1"/>
                <w:szCs w:val="21"/>
              </w:rPr>
              <w:t>（林木）</w:t>
            </w:r>
            <w:r w:rsidRPr="00092862">
              <w:rPr>
                <w:rFonts w:ascii="Times New Roman" w:eastAsia="宋体" w:hAnsi="Times New Roman" w:cs="Times New Roman"/>
                <w:color w:val="000000" w:themeColor="text1"/>
                <w:szCs w:val="21"/>
              </w:rPr>
              <w:t>赔偿，临时占地施工迹地地表恢复等</w:t>
            </w:r>
          </w:p>
        </w:tc>
        <w:tc>
          <w:tcPr>
            <w:tcW w:w="997" w:type="dxa"/>
            <w:vAlign w:val="center"/>
          </w:tcPr>
          <w:p w14:paraId="6BC26B6F" w14:textId="77EAA58D" w:rsidR="007C568D" w:rsidRPr="00092862" w:rsidRDefault="00AE0D5E"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p>
        </w:tc>
      </w:tr>
      <w:tr w:rsidR="00697429" w:rsidRPr="00092862" w14:paraId="623CA6DA" w14:textId="77777777" w:rsidTr="002C06F7">
        <w:trPr>
          <w:cantSplit/>
          <w:jc w:val="center"/>
        </w:trPr>
        <w:tc>
          <w:tcPr>
            <w:tcW w:w="980" w:type="dxa"/>
            <w:vAlign w:val="center"/>
          </w:tcPr>
          <w:p w14:paraId="50ECD3F3"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污染监控</w:t>
            </w:r>
          </w:p>
        </w:tc>
        <w:tc>
          <w:tcPr>
            <w:tcW w:w="6245" w:type="dxa"/>
            <w:vAlign w:val="center"/>
          </w:tcPr>
          <w:p w14:paraId="288BF263" w14:textId="77777777"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施工期环境监测，正常时例行监测，污染发生时加密监测</w:t>
            </w:r>
          </w:p>
          <w:p w14:paraId="1BDE8307" w14:textId="71D28B36"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环境监测，正常时例行监测，污染发生时加密监测</w:t>
            </w:r>
          </w:p>
        </w:tc>
        <w:tc>
          <w:tcPr>
            <w:tcW w:w="997" w:type="dxa"/>
            <w:vAlign w:val="center"/>
          </w:tcPr>
          <w:p w14:paraId="42556CD3" w14:textId="77777777" w:rsidR="007C568D" w:rsidRPr="00092862" w:rsidRDefault="007C568D"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r>
      <w:tr w:rsidR="00697429" w:rsidRPr="00092862" w14:paraId="170C1BAF" w14:textId="77777777" w:rsidTr="002C06F7">
        <w:trPr>
          <w:cantSplit/>
          <w:jc w:val="center"/>
        </w:trPr>
        <w:tc>
          <w:tcPr>
            <w:tcW w:w="980" w:type="dxa"/>
            <w:vMerge w:val="restart"/>
            <w:vAlign w:val="center"/>
          </w:tcPr>
          <w:p w14:paraId="4BD9EEFB"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风险防控措施</w:t>
            </w:r>
          </w:p>
        </w:tc>
        <w:tc>
          <w:tcPr>
            <w:tcW w:w="6245" w:type="dxa"/>
            <w:vAlign w:val="center"/>
          </w:tcPr>
          <w:p w14:paraId="02B201B5" w14:textId="77777777"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施工期：地表水三级防控，分区防渗，测试放喷应急措施等</w:t>
            </w:r>
          </w:p>
          <w:p w14:paraId="01F82D29" w14:textId="13EF18E1" w:rsidR="007C568D" w:rsidRPr="00092862" w:rsidRDefault="001A6854"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试采期</w:t>
            </w:r>
            <w:r w:rsidR="007C568D" w:rsidRPr="00092862">
              <w:rPr>
                <w:rFonts w:ascii="Times New Roman" w:eastAsia="宋体" w:hAnsi="Times New Roman" w:cs="Times New Roman"/>
                <w:color w:val="000000" w:themeColor="text1"/>
                <w:szCs w:val="21"/>
              </w:rPr>
              <w:t>：</w:t>
            </w:r>
            <w:r w:rsidR="001C4535" w:rsidRPr="00092862">
              <w:rPr>
                <w:rFonts w:ascii="Times New Roman" w:eastAsia="宋体" w:hAnsi="Times New Roman" w:cs="Times New Roman"/>
                <w:color w:val="000000" w:themeColor="text1"/>
                <w:szCs w:val="21"/>
              </w:rPr>
              <w:t>火炬分液</w:t>
            </w:r>
            <w:r w:rsidR="007C568D" w:rsidRPr="00092862">
              <w:rPr>
                <w:rFonts w:ascii="Times New Roman" w:eastAsia="宋体" w:hAnsi="Times New Roman" w:cs="Times New Roman"/>
                <w:color w:val="000000" w:themeColor="text1"/>
                <w:szCs w:val="21"/>
              </w:rPr>
              <w:t>罐区设置围堰和防渗，污染监控</w:t>
            </w:r>
          </w:p>
        </w:tc>
        <w:tc>
          <w:tcPr>
            <w:tcW w:w="997" w:type="dxa"/>
            <w:vAlign w:val="center"/>
          </w:tcPr>
          <w:p w14:paraId="28E93E69" w14:textId="0180EC6F" w:rsidR="007C568D" w:rsidRPr="00092862" w:rsidRDefault="007C568D"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001C4535" w:rsidRPr="00092862">
              <w:rPr>
                <w:rFonts w:ascii="Times New Roman" w:eastAsia="宋体" w:hAnsi="Times New Roman" w:cs="Times New Roman"/>
                <w:color w:val="000000" w:themeColor="text1"/>
                <w:szCs w:val="21"/>
              </w:rPr>
              <w:t>5</w:t>
            </w:r>
          </w:p>
        </w:tc>
      </w:tr>
      <w:tr w:rsidR="00697429" w:rsidRPr="00092862" w14:paraId="6A6DD19B" w14:textId="77777777" w:rsidTr="002C06F7">
        <w:trPr>
          <w:cantSplit/>
          <w:jc w:val="center"/>
        </w:trPr>
        <w:tc>
          <w:tcPr>
            <w:tcW w:w="980" w:type="dxa"/>
            <w:vMerge/>
            <w:vAlign w:val="center"/>
          </w:tcPr>
          <w:p w14:paraId="468EB6BB"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p>
        </w:tc>
        <w:tc>
          <w:tcPr>
            <w:tcW w:w="6245" w:type="dxa"/>
            <w:vAlign w:val="center"/>
          </w:tcPr>
          <w:p w14:paraId="6C04F993" w14:textId="77777777" w:rsidR="007C568D" w:rsidRPr="00092862" w:rsidRDefault="007C568D" w:rsidP="007C568D">
            <w:pPr>
              <w:adjustRightInd w:val="0"/>
              <w:snapToGrid w:val="0"/>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风向标、环保管理、事故人员撤离等修订应急预案并定期演练，加强站内设备及管线的巡线</w:t>
            </w:r>
          </w:p>
        </w:tc>
        <w:tc>
          <w:tcPr>
            <w:tcW w:w="997" w:type="dxa"/>
            <w:vAlign w:val="center"/>
          </w:tcPr>
          <w:p w14:paraId="15E76DD9" w14:textId="0CC25FBF" w:rsidR="007C568D" w:rsidRPr="00092862" w:rsidRDefault="001C4535" w:rsidP="007C568D">
            <w:pPr>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8</w:t>
            </w:r>
          </w:p>
        </w:tc>
      </w:tr>
      <w:tr w:rsidR="00697429" w:rsidRPr="00092862" w14:paraId="071656AC" w14:textId="77777777" w:rsidTr="002C06F7">
        <w:trPr>
          <w:cantSplit/>
          <w:jc w:val="center"/>
        </w:trPr>
        <w:tc>
          <w:tcPr>
            <w:tcW w:w="980" w:type="dxa"/>
            <w:vAlign w:val="center"/>
          </w:tcPr>
          <w:p w14:paraId="120F14DB"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合计</w:t>
            </w:r>
          </w:p>
        </w:tc>
        <w:tc>
          <w:tcPr>
            <w:tcW w:w="6245" w:type="dxa"/>
            <w:vAlign w:val="center"/>
          </w:tcPr>
          <w:p w14:paraId="679FDE76" w14:textId="77777777" w:rsidR="007C568D" w:rsidRPr="00092862" w:rsidRDefault="007C568D" w:rsidP="007C568D">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997" w:type="dxa"/>
            <w:vAlign w:val="center"/>
          </w:tcPr>
          <w:p w14:paraId="7B264AF3" w14:textId="751528AC" w:rsidR="007C568D" w:rsidRPr="00092862" w:rsidRDefault="007A02DD" w:rsidP="007C568D">
            <w:pPr>
              <w:adjustRightInd w:val="0"/>
              <w:snapToGrid w:val="0"/>
              <w:jc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w:t>
            </w:r>
          </w:p>
        </w:tc>
      </w:tr>
    </w:tbl>
    <w:p w14:paraId="7F07CAD7" w14:textId="588D8C16" w:rsidR="00DC446C" w:rsidRPr="00092862" w:rsidRDefault="00704F23" w:rsidP="003D2EEB">
      <w:pPr>
        <w:pStyle w:val="2"/>
        <w:ind w:firstLine="480"/>
        <w:rPr>
          <w:color w:val="000000" w:themeColor="text1"/>
          <w:szCs w:val="24"/>
          <w:lang w:eastAsia="zh-CN"/>
        </w:rPr>
      </w:pPr>
      <w:bookmarkStart w:id="390" w:name="_bookmark36"/>
      <w:bookmarkStart w:id="391" w:name="7.2“三效益”分析"/>
      <w:bookmarkStart w:id="392" w:name="_Toc123682559"/>
      <w:bookmarkEnd w:id="390"/>
      <w:bookmarkEnd w:id="391"/>
      <w:r w:rsidRPr="00092862">
        <w:rPr>
          <w:color w:val="000000" w:themeColor="text1"/>
          <w:szCs w:val="24"/>
          <w:lang w:eastAsia="zh-CN"/>
        </w:rPr>
        <w:lastRenderedPageBreak/>
        <w:t>8</w:t>
      </w:r>
      <w:r w:rsidR="003B1968" w:rsidRPr="00092862">
        <w:rPr>
          <w:color w:val="000000" w:themeColor="text1"/>
          <w:szCs w:val="24"/>
          <w:lang w:eastAsia="zh-CN"/>
        </w:rPr>
        <w:t>.2“</w:t>
      </w:r>
      <w:r w:rsidR="003B1968" w:rsidRPr="00092862">
        <w:rPr>
          <w:color w:val="000000" w:themeColor="text1"/>
          <w:szCs w:val="24"/>
          <w:lang w:eastAsia="zh-CN"/>
        </w:rPr>
        <w:t>三效益</w:t>
      </w:r>
      <w:r w:rsidR="003B1968" w:rsidRPr="00092862">
        <w:rPr>
          <w:color w:val="000000" w:themeColor="text1"/>
          <w:szCs w:val="24"/>
          <w:lang w:eastAsia="zh-CN"/>
        </w:rPr>
        <w:t>”</w:t>
      </w:r>
      <w:r w:rsidR="003B1968" w:rsidRPr="00092862">
        <w:rPr>
          <w:color w:val="000000" w:themeColor="text1"/>
          <w:szCs w:val="24"/>
          <w:lang w:eastAsia="zh-CN"/>
        </w:rPr>
        <w:t>分析</w:t>
      </w:r>
      <w:bookmarkEnd w:id="392"/>
    </w:p>
    <w:p w14:paraId="68FD8972" w14:textId="51129988"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93" w:name="7.2.1经济效益"/>
      <w:bookmarkStart w:id="394" w:name="_Toc120173229"/>
      <w:bookmarkEnd w:id="393"/>
      <w:r w:rsidRPr="00092862">
        <w:rPr>
          <w:rFonts w:ascii="Times New Roman" w:eastAsia="黑体" w:hAnsi="Times New Roman"/>
          <w:b w:val="0"/>
          <w:color w:val="000000" w:themeColor="text1"/>
          <w:sz w:val="24"/>
          <w:szCs w:val="24"/>
          <w:lang w:eastAsia="zh-CN"/>
        </w:rPr>
        <w:t>8</w:t>
      </w:r>
      <w:r w:rsidR="003B1968" w:rsidRPr="00092862">
        <w:rPr>
          <w:rFonts w:ascii="Times New Roman" w:eastAsia="黑体" w:hAnsi="Times New Roman"/>
          <w:b w:val="0"/>
          <w:color w:val="000000" w:themeColor="text1"/>
          <w:sz w:val="24"/>
          <w:szCs w:val="24"/>
          <w:lang w:eastAsia="zh-CN"/>
        </w:rPr>
        <w:t>.2.1</w:t>
      </w:r>
      <w:r w:rsidR="003B1968" w:rsidRPr="00092862">
        <w:rPr>
          <w:rFonts w:ascii="Times New Roman" w:eastAsia="黑体" w:hAnsi="Times New Roman"/>
          <w:b w:val="0"/>
          <w:color w:val="000000" w:themeColor="text1"/>
          <w:sz w:val="24"/>
          <w:szCs w:val="24"/>
          <w:lang w:eastAsia="zh-CN"/>
        </w:rPr>
        <w:t>经济效益</w:t>
      </w:r>
      <w:bookmarkEnd w:id="394"/>
    </w:p>
    <w:p w14:paraId="618ED79E" w14:textId="02D355EF" w:rsidR="007C568D" w:rsidRPr="00092862" w:rsidRDefault="007C568D" w:rsidP="007C568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内部效益：中国石油化工股份有限公司</w:t>
      </w:r>
      <w:r w:rsidR="005E600F" w:rsidRPr="00092862">
        <w:rPr>
          <w:rFonts w:ascii="Times New Roman" w:eastAsia="宋体" w:hAnsi="Times New Roman" w:cs="Times New Roman"/>
          <w:color w:val="000000" w:themeColor="text1"/>
          <w:sz w:val="24"/>
        </w:rPr>
        <w:t>中原油田普光分公司</w:t>
      </w:r>
      <w:r w:rsidRPr="00092862">
        <w:rPr>
          <w:rFonts w:ascii="Times New Roman" w:eastAsia="宋体" w:hAnsi="Times New Roman" w:cs="Times New Roman"/>
          <w:color w:val="000000" w:themeColor="text1"/>
          <w:sz w:val="24"/>
          <w:szCs w:val="24"/>
        </w:rPr>
        <w:t>项目总投资</w:t>
      </w:r>
      <w:r w:rsidR="007A02DD">
        <w:rPr>
          <w:rFonts w:ascii="Times New Roman" w:eastAsia="宋体" w:hAnsi="Times New Roman" w:cs="Times New Roman"/>
          <w:color w:val="000000" w:themeColor="text1"/>
          <w:sz w:val="24"/>
          <w:szCs w:val="24"/>
        </w:rPr>
        <w:t>****</w:t>
      </w:r>
      <w:r w:rsidR="00AE4A7F" w:rsidRPr="00092862">
        <w:rPr>
          <w:rFonts w:ascii="Times New Roman" w:eastAsia="宋体" w:hAnsi="Times New Roman" w:cs="Times New Roman"/>
          <w:color w:val="000000" w:themeColor="text1"/>
          <w:sz w:val="24"/>
          <w:szCs w:val="24"/>
        </w:rPr>
        <w:t>万元</w:t>
      </w:r>
      <w:r w:rsidRPr="00092862">
        <w:rPr>
          <w:rFonts w:ascii="Times New Roman" w:eastAsia="宋体" w:hAnsi="Times New Roman" w:cs="Times New Roman"/>
          <w:color w:val="000000" w:themeColor="text1"/>
          <w:sz w:val="24"/>
          <w:szCs w:val="24"/>
        </w:rPr>
        <w:t>建设本项目，产</w:t>
      </w:r>
      <w:r w:rsidR="006250BC" w:rsidRPr="00092862">
        <w:rPr>
          <w:rFonts w:ascii="Times New Roman" w:eastAsia="宋体" w:hAnsi="Times New Roman" w:cs="Times New Roman"/>
          <w:color w:val="000000" w:themeColor="text1"/>
          <w:sz w:val="24"/>
          <w:szCs w:val="24"/>
        </w:rPr>
        <w:t>气</w:t>
      </w:r>
      <w:r w:rsidRPr="00092862">
        <w:rPr>
          <w:rFonts w:ascii="Times New Roman" w:eastAsia="宋体" w:hAnsi="Times New Roman" w:cs="Times New Roman"/>
          <w:color w:val="000000" w:themeColor="text1"/>
          <w:sz w:val="24"/>
          <w:szCs w:val="24"/>
        </w:rPr>
        <w:t>规模预计</w:t>
      </w:r>
      <w:r w:rsidR="00D92D1A" w:rsidRPr="00092862">
        <w:rPr>
          <w:rFonts w:ascii="Times New Roman" w:eastAsia="宋体" w:hAnsi="Times New Roman" w:cs="Times New Roman" w:hint="eastAsia"/>
          <w:color w:val="000000" w:themeColor="text1"/>
          <w:sz w:val="24"/>
          <w:szCs w:val="24"/>
        </w:rPr>
        <w:t>4</w:t>
      </w:r>
      <w:r w:rsidR="00AE0D5E" w:rsidRPr="00092862">
        <w:rPr>
          <w:rFonts w:ascii="Times New Roman" w:eastAsia="宋体" w:hAnsi="Times New Roman" w:cs="Times New Roman"/>
          <w:color w:val="000000" w:themeColor="text1"/>
          <w:sz w:val="24"/>
          <w:szCs w:val="24"/>
        </w:rPr>
        <w:t>0</w:t>
      </w:r>
      <w:r w:rsidRPr="00092862">
        <w:rPr>
          <w:rFonts w:ascii="Times New Roman" w:eastAsia="宋体" w:hAnsi="Times New Roman" w:cs="Times New Roman"/>
          <w:color w:val="000000" w:themeColor="text1"/>
          <w:sz w:val="24"/>
          <w:szCs w:val="24"/>
        </w:rPr>
        <w:t>×10</w:t>
      </w:r>
      <w:r w:rsidRPr="00092862">
        <w:rPr>
          <w:rFonts w:ascii="Times New Roman" w:eastAsia="宋体" w:hAnsi="Times New Roman" w:cs="Times New Roman"/>
          <w:color w:val="000000" w:themeColor="text1"/>
          <w:sz w:val="24"/>
          <w:szCs w:val="24"/>
          <w:vertAlign w:val="superscript"/>
        </w:rPr>
        <w:t>4</w:t>
      </w:r>
      <w:r w:rsidRPr="00092862">
        <w:rPr>
          <w:rFonts w:ascii="Times New Roman" w:eastAsia="宋体" w:hAnsi="Times New Roman" w:cs="Times New Roman"/>
          <w:color w:val="000000" w:themeColor="text1"/>
          <w:sz w:val="24"/>
          <w:szCs w:val="24"/>
        </w:rPr>
        <w:t>m</w:t>
      </w:r>
      <w:r w:rsidRPr="00092862">
        <w:rPr>
          <w:rFonts w:ascii="Times New Roman" w:eastAsia="宋体" w:hAnsi="Times New Roman" w:cs="Times New Roman"/>
          <w:color w:val="000000" w:themeColor="text1"/>
          <w:sz w:val="24"/>
          <w:szCs w:val="24"/>
          <w:vertAlign w:val="superscript"/>
        </w:rPr>
        <w:t>3</w:t>
      </w:r>
      <w:r w:rsidRPr="00092862">
        <w:rPr>
          <w:rFonts w:ascii="Times New Roman" w:eastAsia="宋体" w:hAnsi="Times New Roman" w:cs="Times New Roman"/>
          <w:color w:val="000000" w:themeColor="text1"/>
          <w:sz w:val="24"/>
          <w:szCs w:val="24"/>
        </w:rPr>
        <w:t>/d</w:t>
      </w:r>
      <w:r w:rsidRPr="00092862">
        <w:rPr>
          <w:rFonts w:ascii="Times New Roman" w:eastAsia="宋体" w:hAnsi="Times New Roman" w:cs="Times New Roman"/>
          <w:color w:val="000000" w:themeColor="text1"/>
          <w:sz w:val="24"/>
          <w:szCs w:val="24"/>
        </w:rPr>
        <w:t>，</w:t>
      </w:r>
      <w:r w:rsidR="00B54B90" w:rsidRPr="00092862">
        <w:rPr>
          <w:rFonts w:ascii="Times New Roman" w:eastAsia="宋体" w:hAnsi="Times New Roman" w:cs="Times New Roman"/>
          <w:color w:val="000000" w:themeColor="text1"/>
          <w:sz w:val="24"/>
          <w:szCs w:val="24"/>
        </w:rPr>
        <w:t>在天然气价格</w:t>
      </w:r>
      <w:r w:rsidR="00B54B90" w:rsidRPr="00092862">
        <w:rPr>
          <w:rFonts w:ascii="Times New Roman" w:eastAsia="宋体" w:hAnsi="Times New Roman" w:cs="Times New Roman"/>
          <w:color w:val="000000" w:themeColor="text1"/>
          <w:sz w:val="24"/>
          <w:szCs w:val="24"/>
        </w:rPr>
        <w:t>1324</w:t>
      </w:r>
      <w:r w:rsidR="00B54B90" w:rsidRPr="00092862">
        <w:rPr>
          <w:rFonts w:ascii="Times New Roman" w:eastAsia="宋体" w:hAnsi="Times New Roman" w:cs="Times New Roman"/>
          <w:color w:val="000000" w:themeColor="text1"/>
          <w:sz w:val="24"/>
          <w:szCs w:val="24"/>
        </w:rPr>
        <w:t>元</w:t>
      </w:r>
      <w:r w:rsidR="00B54B90" w:rsidRPr="00092862">
        <w:rPr>
          <w:rFonts w:ascii="Times New Roman" w:eastAsia="宋体" w:hAnsi="Times New Roman" w:cs="Times New Roman"/>
          <w:color w:val="000000" w:themeColor="text1"/>
          <w:sz w:val="24"/>
          <w:szCs w:val="24"/>
        </w:rPr>
        <w:t>/</w:t>
      </w:r>
      <w:r w:rsidR="00B54B90" w:rsidRPr="00092862">
        <w:rPr>
          <w:rFonts w:ascii="Times New Roman" w:eastAsia="宋体" w:hAnsi="Times New Roman" w:cs="Times New Roman"/>
          <w:color w:val="000000" w:themeColor="text1"/>
          <w:sz w:val="24"/>
          <w:szCs w:val="24"/>
        </w:rPr>
        <w:t>千</w:t>
      </w:r>
      <w:r w:rsidR="00B54B90" w:rsidRPr="00092862">
        <w:rPr>
          <w:rFonts w:ascii="Times New Roman" w:eastAsia="宋体" w:hAnsi="Times New Roman" w:cs="Times New Roman"/>
          <w:color w:val="000000" w:themeColor="text1"/>
          <w:sz w:val="24"/>
          <w:szCs w:val="24"/>
        </w:rPr>
        <w:t>m</w:t>
      </w:r>
      <w:r w:rsidR="00B54B90" w:rsidRPr="00092862">
        <w:rPr>
          <w:rFonts w:ascii="Times New Roman" w:eastAsia="宋体" w:hAnsi="Times New Roman" w:cs="Times New Roman"/>
          <w:color w:val="000000" w:themeColor="text1"/>
          <w:sz w:val="24"/>
          <w:szCs w:val="24"/>
          <w:vertAlign w:val="superscript"/>
        </w:rPr>
        <w:t>3</w:t>
      </w:r>
      <w:r w:rsidR="00B54B90" w:rsidRPr="00092862">
        <w:rPr>
          <w:rFonts w:ascii="Times New Roman" w:eastAsia="宋体" w:hAnsi="Times New Roman" w:cs="Times New Roman"/>
          <w:color w:val="000000" w:themeColor="text1"/>
          <w:sz w:val="24"/>
          <w:szCs w:val="24"/>
        </w:rPr>
        <w:t>、硫黄价格</w:t>
      </w:r>
      <w:r w:rsidR="00B54B90" w:rsidRPr="00092862">
        <w:rPr>
          <w:rFonts w:ascii="Times New Roman" w:eastAsia="宋体" w:hAnsi="Times New Roman" w:cs="Times New Roman"/>
          <w:color w:val="000000" w:themeColor="text1"/>
          <w:sz w:val="24"/>
          <w:szCs w:val="24"/>
        </w:rPr>
        <w:t>1100</w:t>
      </w:r>
      <w:r w:rsidR="00B54B90" w:rsidRPr="00092862">
        <w:rPr>
          <w:rFonts w:ascii="Times New Roman" w:eastAsia="宋体" w:hAnsi="Times New Roman" w:cs="Times New Roman"/>
          <w:color w:val="000000" w:themeColor="text1"/>
          <w:sz w:val="24"/>
          <w:szCs w:val="24"/>
        </w:rPr>
        <w:t>元</w:t>
      </w:r>
      <w:r w:rsidR="00B54B90" w:rsidRPr="00092862">
        <w:rPr>
          <w:rFonts w:ascii="Times New Roman" w:eastAsia="宋体" w:hAnsi="Times New Roman" w:cs="Times New Roman"/>
          <w:color w:val="000000" w:themeColor="text1"/>
          <w:sz w:val="24"/>
          <w:szCs w:val="24"/>
        </w:rPr>
        <w:t>/t</w:t>
      </w:r>
      <w:r w:rsidR="00B54B90" w:rsidRPr="00092862">
        <w:rPr>
          <w:rFonts w:ascii="Times New Roman" w:eastAsia="宋体" w:hAnsi="Times New Roman" w:cs="Times New Roman"/>
          <w:color w:val="000000" w:themeColor="text1"/>
          <w:sz w:val="24"/>
          <w:szCs w:val="24"/>
        </w:rPr>
        <w:t>条件下，项目整体税后内部收益率</w:t>
      </w:r>
      <w:r w:rsidR="00B54B90" w:rsidRPr="00092862">
        <w:rPr>
          <w:rFonts w:ascii="Times New Roman" w:eastAsia="宋体" w:hAnsi="Times New Roman" w:cs="Times New Roman"/>
          <w:color w:val="000000" w:themeColor="text1"/>
          <w:sz w:val="24"/>
          <w:szCs w:val="24"/>
        </w:rPr>
        <w:t>1</w:t>
      </w:r>
      <w:r w:rsidR="00272C92" w:rsidRPr="00092862">
        <w:rPr>
          <w:rFonts w:ascii="Times New Roman" w:eastAsia="宋体" w:hAnsi="Times New Roman" w:cs="Times New Roman"/>
          <w:color w:val="000000" w:themeColor="text1"/>
          <w:sz w:val="24"/>
          <w:szCs w:val="24"/>
        </w:rPr>
        <w:t>2.88</w:t>
      </w:r>
      <w:r w:rsidR="00B54B90" w:rsidRPr="00092862">
        <w:rPr>
          <w:rFonts w:ascii="Times New Roman" w:eastAsia="宋体" w:hAnsi="Times New Roman" w:cs="Times New Roman"/>
          <w:color w:val="000000" w:themeColor="text1"/>
          <w:sz w:val="24"/>
          <w:szCs w:val="24"/>
        </w:rPr>
        <w:t>%</w:t>
      </w:r>
      <w:r w:rsidR="00B54B90" w:rsidRPr="00092862">
        <w:rPr>
          <w:rFonts w:ascii="Times New Roman" w:eastAsia="宋体" w:hAnsi="Times New Roman" w:cs="Times New Roman"/>
          <w:color w:val="000000" w:themeColor="text1"/>
          <w:sz w:val="24"/>
          <w:szCs w:val="24"/>
        </w:rPr>
        <w:t>；开发成本</w:t>
      </w:r>
      <w:r w:rsidR="00272C92" w:rsidRPr="00092862">
        <w:rPr>
          <w:rFonts w:ascii="Times New Roman" w:eastAsia="宋体" w:hAnsi="Times New Roman" w:cs="Times New Roman"/>
          <w:color w:val="000000" w:themeColor="text1"/>
          <w:sz w:val="24"/>
          <w:szCs w:val="24"/>
        </w:rPr>
        <w:t>170</w:t>
      </w:r>
      <w:r w:rsidR="00B54B90" w:rsidRPr="00092862">
        <w:rPr>
          <w:rFonts w:ascii="Times New Roman" w:eastAsia="宋体" w:hAnsi="Times New Roman" w:cs="Times New Roman"/>
          <w:color w:val="000000" w:themeColor="text1"/>
          <w:sz w:val="24"/>
          <w:szCs w:val="24"/>
        </w:rPr>
        <w:t>元</w:t>
      </w:r>
      <w:r w:rsidR="00B54B90" w:rsidRPr="00092862">
        <w:rPr>
          <w:rFonts w:ascii="Times New Roman" w:eastAsia="宋体" w:hAnsi="Times New Roman" w:cs="Times New Roman"/>
          <w:color w:val="000000" w:themeColor="text1"/>
          <w:sz w:val="24"/>
          <w:szCs w:val="24"/>
        </w:rPr>
        <w:t>/</w:t>
      </w:r>
      <w:r w:rsidR="00B54B90" w:rsidRPr="00092862">
        <w:rPr>
          <w:rFonts w:ascii="Times New Roman" w:eastAsia="宋体" w:hAnsi="Times New Roman" w:cs="Times New Roman"/>
          <w:color w:val="000000" w:themeColor="text1"/>
          <w:sz w:val="24"/>
          <w:szCs w:val="24"/>
        </w:rPr>
        <w:t>千</w:t>
      </w:r>
      <w:r w:rsidR="00B54B90" w:rsidRPr="00092862">
        <w:rPr>
          <w:rFonts w:ascii="Times New Roman" w:eastAsia="宋体" w:hAnsi="Times New Roman" w:cs="Times New Roman"/>
          <w:color w:val="000000" w:themeColor="text1"/>
          <w:sz w:val="24"/>
          <w:szCs w:val="24"/>
        </w:rPr>
        <w:t>m</w:t>
      </w:r>
      <w:r w:rsidR="00B54B90" w:rsidRPr="00092862">
        <w:rPr>
          <w:rFonts w:ascii="Times New Roman" w:eastAsia="宋体" w:hAnsi="Times New Roman" w:cs="Times New Roman"/>
          <w:color w:val="000000" w:themeColor="text1"/>
          <w:sz w:val="24"/>
          <w:szCs w:val="24"/>
          <w:vertAlign w:val="superscript"/>
        </w:rPr>
        <w:t>3</w:t>
      </w:r>
      <w:r w:rsidR="00B54B90" w:rsidRPr="00092862">
        <w:rPr>
          <w:rFonts w:ascii="Times New Roman" w:eastAsia="宋体" w:hAnsi="Times New Roman" w:cs="Times New Roman"/>
          <w:color w:val="000000" w:themeColor="text1"/>
          <w:sz w:val="24"/>
          <w:szCs w:val="24"/>
        </w:rPr>
        <w:t>，十亿方</w:t>
      </w:r>
      <w:r w:rsidR="00272C92" w:rsidRPr="00092862">
        <w:rPr>
          <w:rFonts w:ascii="Times New Roman" w:eastAsia="宋体" w:hAnsi="Times New Roman" w:cs="Times New Roman"/>
          <w:color w:val="000000" w:themeColor="text1"/>
          <w:sz w:val="24"/>
          <w:szCs w:val="24"/>
        </w:rPr>
        <w:t>开采量</w:t>
      </w:r>
      <w:r w:rsidR="00B54B90" w:rsidRPr="00092862">
        <w:rPr>
          <w:rFonts w:ascii="Times New Roman" w:eastAsia="宋体" w:hAnsi="Times New Roman" w:cs="Times New Roman"/>
          <w:color w:val="000000" w:themeColor="text1"/>
          <w:sz w:val="24"/>
          <w:szCs w:val="24"/>
        </w:rPr>
        <w:t>建设投资</w:t>
      </w:r>
      <w:r w:rsidR="00272C92" w:rsidRPr="00092862">
        <w:rPr>
          <w:rFonts w:ascii="Times New Roman" w:eastAsia="宋体" w:hAnsi="Times New Roman" w:cs="Times New Roman"/>
          <w:color w:val="000000" w:themeColor="text1"/>
          <w:sz w:val="24"/>
          <w:szCs w:val="24"/>
        </w:rPr>
        <w:t>7.77</w:t>
      </w:r>
      <w:r w:rsidR="00B54B90" w:rsidRPr="00092862">
        <w:rPr>
          <w:rFonts w:ascii="Times New Roman" w:eastAsia="宋体" w:hAnsi="Times New Roman" w:cs="Times New Roman"/>
          <w:color w:val="000000" w:themeColor="text1"/>
          <w:sz w:val="24"/>
          <w:szCs w:val="24"/>
        </w:rPr>
        <w:t>亿元</w:t>
      </w:r>
      <w:r w:rsidRPr="00092862">
        <w:rPr>
          <w:rFonts w:ascii="Times New Roman" w:eastAsia="宋体" w:hAnsi="Times New Roman" w:cs="Times New Roman"/>
          <w:color w:val="000000" w:themeColor="text1"/>
          <w:sz w:val="24"/>
          <w:szCs w:val="24"/>
        </w:rPr>
        <w:t>。本项目经济效益较好，具有较强的盈利能力和偿债能力，在财务上是可行的。</w:t>
      </w:r>
    </w:p>
    <w:p w14:paraId="3FF2B63E" w14:textId="77777777" w:rsidR="007C568D" w:rsidRPr="00092862" w:rsidRDefault="007C568D" w:rsidP="007C568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外部效果：根据有关资料，每万立方天然气用于工业，平均可创产值</w:t>
      </w:r>
      <w:r w:rsidRPr="00092862">
        <w:rPr>
          <w:rFonts w:ascii="Times New Roman" w:eastAsia="宋体" w:hAnsi="Times New Roman" w:cs="Times New Roman"/>
          <w:color w:val="000000" w:themeColor="text1"/>
          <w:sz w:val="24"/>
          <w:szCs w:val="24"/>
        </w:rPr>
        <w:t>2.650</w:t>
      </w:r>
      <w:r w:rsidRPr="00092862">
        <w:rPr>
          <w:rFonts w:ascii="Times New Roman" w:eastAsia="宋体" w:hAnsi="Times New Roman" w:cs="Times New Roman"/>
          <w:color w:val="000000" w:themeColor="text1"/>
          <w:sz w:val="24"/>
          <w:szCs w:val="24"/>
        </w:rPr>
        <w:t>万元；每万立方天然气用于城市民用可节约城市供煤运费补贴</w:t>
      </w:r>
      <w:r w:rsidRPr="00092862">
        <w:rPr>
          <w:rFonts w:ascii="Times New Roman" w:eastAsia="宋体" w:hAnsi="Times New Roman" w:cs="Times New Roman"/>
          <w:color w:val="000000" w:themeColor="text1"/>
          <w:sz w:val="24"/>
          <w:szCs w:val="24"/>
        </w:rPr>
        <w:t>640</w:t>
      </w:r>
      <w:r w:rsidRPr="00092862">
        <w:rPr>
          <w:rFonts w:ascii="Times New Roman" w:eastAsia="宋体" w:hAnsi="Times New Roman" w:cs="Times New Roman"/>
          <w:color w:val="000000" w:themeColor="text1"/>
          <w:sz w:val="24"/>
          <w:szCs w:val="24"/>
        </w:rPr>
        <w:t>元。因此本项目实施可为社会创造工业产值和节约运煤补贴。</w:t>
      </w:r>
    </w:p>
    <w:p w14:paraId="5D464D4D" w14:textId="597BD47A" w:rsidR="00DC446C" w:rsidRPr="00092862" w:rsidRDefault="007C568D" w:rsidP="007C568D">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从内部经济效益和外部经济效益来看，该工程的投产将</w:t>
      </w:r>
      <w:r w:rsidR="00B54B90" w:rsidRPr="00092862">
        <w:rPr>
          <w:rFonts w:ascii="Times New Roman" w:eastAsia="宋体" w:hAnsi="Times New Roman" w:cs="Times New Roman"/>
          <w:color w:val="000000" w:themeColor="text1"/>
          <w:sz w:val="24"/>
          <w:szCs w:val="24"/>
        </w:rPr>
        <w:t>普光</w:t>
      </w:r>
      <w:r w:rsidRPr="00092862">
        <w:rPr>
          <w:rFonts w:ascii="Times New Roman" w:eastAsia="宋体" w:hAnsi="Times New Roman" w:cs="Times New Roman"/>
          <w:color w:val="000000" w:themeColor="text1"/>
          <w:sz w:val="24"/>
          <w:szCs w:val="24"/>
        </w:rPr>
        <w:t>气田内天然气资源的优势转化为经济优势，可大大增加地方利税收入，企业也将获得巨大的利润，为该地区带来巨大的天然气化工等方面经济效益。</w:t>
      </w:r>
    </w:p>
    <w:p w14:paraId="6D106893" w14:textId="71AFED92" w:rsidR="00DC446C" w:rsidRPr="00092862" w:rsidRDefault="00704F23" w:rsidP="00D639AF">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395" w:name="7.2.2社会效益"/>
      <w:bookmarkStart w:id="396" w:name="_Toc120173230"/>
      <w:bookmarkEnd w:id="395"/>
      <w:r w:rsidRPr="00092862">
        <w:rPr>
          <w:rFonts w:ascii="Times New Roman" w:eastAsia="黑体" w:hAnsi="Times New Roman"/>
          <w:b w:val="0"/>
          <w:color w:val="000000" w:themeColor="text1"/>
          <w:sz w:val="24"/>
          <w:szCs w:val="24"/>
          <w:lang w:eastAsia="zh-CN"/>
        </w:rPr>
        <w:t>8</w:t>
      </w:r>
      <w:r w:rsidR="003B1968" w:rsidRPr="00092862">
        <w:rPr>
          <w:rFonts w:ascii="Times New Roman" w:eastAsia="黑体" w:hAnsi="Times New Roman"/>
          <w:b w:val="0"/>
          <w:color w:val="000000" w:themeColor="text1"/>
          <w:sz w:val="24"/>
          <w:szCs w:val="24"/>
          <w:lang w:eastAsia="zh-CN"/>
        </w:rPr>
        <w:t>.2.2</w:t>
      </w:r>
      <w:r w:rsidR="003B1968" w:rsidRPr="00092862">
        <w:rPr>
          <w:rFonts w:ascii="Times New Roman" w:eastAsia="黑体" w:hAnsi="Times New Roman"/>
          <w:b w:val="0"/>
          <w:color w:val="000000" w:themeColor="text1"/>
          <w:sz w:val="24"/>
          <w:szCs w:val="24"/>
          <w:lang w:eastAsia="zh-CN"/>
        </w:rPr>
        <w:t>社会效益</w:t>
      </w:r>
      <w:bookmarkEnd w:id="396"/>
    </w:p>
    <w:p w14:paraId="2988B4EF" w14:textId="77777777" w:rsidR="00DC446C" w:rsidRPr="00092862" w:rsidRDefault="003B1968" w:rsidP="003D2EEB">
      <w:pPr>
        <w:adjustRightInd w:val="0"/>
        <w:snapToGrid w:val="0"/>
        <w:spacing w:line="360" w:lineRule="auto"/>
        <w:ind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根据项目</w:t>
      </w:r>
      <w:r w:rsidR="00D639AF" w:rsidRPr="00092862">
        <w:rPr>
          <w:rFonts w:ascii="Times New Roman" w:eastAsia="宋体" w:hAnsi="Times New Roman" w:cs="Times New Roman"/>
          <w:color w:val="000000" w:themeColor="text1"/>
          <w:sz w:val="24"/>
          <w:szCs w:val="24"/>
        </w:rPr>
        <w:t>建设</w:t>
      </w:r>
      <w:r w:rsidRPr="00092862">
        <w:rPr>
          <w:rFonts w:ascii="Times New Roman" w:eastAsia="宋体" w:hAnsi="Times New Roman" w:cs="Times New Roman"/>
          <w:color w:val="000000" w:themeColor="text1"/>
          <w:sz w:val="24"/>
          <w:szCs w:val="24"/>
        </w:rPr>
        <w:t>内容，社会环境影响分析见下表。</w:t>
      </w:r>
    </w:p>
    <w:p w14:paraId="7C91ED18" w14:textId="3930B95F" w:rsidR="00DC446C" w:rsidRPr="00092862" w:rsidRDefault="003B1968"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8</w:t>
      </w:r>
      <w:r w:rsidRPr="00092862">
        <w:rPr>
          <w:rFonts w:ascii="Times New Roman" w:eastAsia="黑体" w:hAnsi="Times New Roman"/>
          <w:color w:val="000000" w:themeColor="text1"/>
          <w:sz w:val="21"/>
          <w:szCs w:val="21"/>
          <w:lang w:eastAsia="zh-CN"/>
        </w:rPr>
        <w:t xml:space="preserve">.2-1   </w:t>
      </w:r>
      <w:r w:rsidRPr="00092862">
        <w:rPr>
          <w:rFonts w:ascii="Times New Roman" w:eastAsia="黑体" w:hAnsi="Times New Roman"/>
          <w:color w:val="000000" w:themeColor="text1"/>
          <w:sz w:val="21"/>
          <w:szCs w:val="21"/>
          <w:lang w:eastAsia="zh-CN"/>
        </w:rPr>
        <w:t>社会环境影响一览表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6"/>
        <w:gridCol w:w="4629"/>
        <w:gridCol w:w="3327"/>
      </w:tblGrid>
      <w:tr w:rsidR="00697429" w:rsidRPr="00092862" w14:paraId="2913B9D3" w14:textId="77777777" w:rsidTr="00324758">
        <w:trPr>
          <w:jc w:val="center"/>
        </w:trPr>
        <w:tc>
          <w:tcPr>
            <w:tcW w:w="4941" w:type="dxa"/>
            <w:gridSpan w:val="2"/>
            <w:vAlign w:val="center"/>
          </w:tcPr>
          <w:p w14:paraId="05419B5F"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环境影响因素</w:t>
            </w:r>
          </w:p>
        </w:tc>
        <w:tc>
          <w:tcPr>
            <w:tcW w:w="3281" w:type="dxa"/>
            <w:vAlign w:val="center"/>
          </w:tcPr>
          <w:p w14:paraId="40F2437C"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环保措施</w:t>
            </w:r>
          </w:p>
        </w:tc>
      </w:tr>
      <w:tr w:rsidR="00697429" w:rsidRPr="00092862" w14:paraId="04F6C839" w14:textId="77777777" w:rsidTr="00324758">
        <w:trPr>
          <w:jc w:val="center"/>
        </w:trPr>
        <w:tc>
          <w:tcPr>
            <w:tcW w:w="0" w:type="auto"/>
            <w:vMerge w:val="restart"/>
            <w:vAlign w:val="center"/>
          </w:tcPr>
          <w:p w14:paraId="74CC9BF5" w14:textId="77777777" w:rsidR="00D2337A" w:rsidRPr="00092862" w:rsidRDefault="00D2337A" w:rsidP="00D2337A">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负面影响</w:t>
            </w:r>
          </w:p>
        </w:tc>
        <w:tc>
          <w:tcPr>
            <w:tcW w:w="4675" w:type="dxa"/>
            <w:vAlign w:val="center"/>
          </w:tcPr>
          <w:p w14:paraId="6887EAB5" w14:textId="1E1BF78F" w:rsidR="00D2337A" w:rsidRPr="00092862" w:rsidRDefault="00D2337A" w:rsidP="00D2337A">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放喷管线出口位置修建放喷池，建挡墙减小热辐射影响。会对周边农作物产生轻度影响</w:t>
            </w:r>
            <w:r w:rsidR="00324758" w:rsidRPr="00092862">
              <w:rPr>
                <w:rFonts w:ascii="Times New Roman" w:hAnsi="Times New Roman"/>
                <w:color w:val="000000" w:themeColor="text1"/>
                <w:szCs w:val="21"/>
              </w:rPr>
              <w:t>，本项目放喷池周边的植被主要为杂书和灌木林地</w:t>
            </w:r>
            <w:r w:rsidRPr="00092862">
              <w:rPr>
                <w:rFonts w:ascii="Times New Roman" w:hAnsi="Times New Roman"/>
                <w:color w:val="000000" w:themeColor="text1"/>
                <w:szCs w:val="21"/>
              </w:rPr>
              <w:t>。</w:t>
            </w:r>
          </w:p>
        </w:tc>
        <w:tc>
          <w:tcPr>
            <w:tcW w:w="3281" w:type="dxa"/>
            <w:vAlign w:val="center"/>
          </w:tcPr>
          <w:p w14:paraId="68CFBF9D" w14:textId="35990969" w:rsidR="00D2337A" w:rsidRPr="00092862" w:rsidRDefault="00D2337A" w:rsidP="00D2337A">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对热辐射破坏的植被进行补偿。</w:t>
            </w:r>
          </w:p>
        </w:tc>
      </w:tr>
      <w:tr w:rsidR="00697429" w:rsidRPr="00092862" w14:paraId="006D0494" w14:textId="77777777" w:rsidTr="00324758">
        <w:trPr>
          <w:jc w:val="center"/>
        </w:trPr>
        <w:tc>
          <w:tcPr>
            <w:tcW w:w="0" w:type="auto"/>
            <w:vMerge/>
            <w:vAlign w:val="center"/>
          </w:tcPr>
          <w:p w14:paraId="1712F3F5" w14:textId="77777777" w:rsidR="00DC446C" w:rsidRPr="00092862" w:rsidRDefault="00DC446C" w:rsidP="00D639AF">
            <w:pPr>
              <w:pStyle w:val="a5"/>
              <w:snapToGrid w:val="0"/>
              <w:spacing w:line="240" w:lineRule="auto"/>
              <w:rPr>
                <w:rFonts w:ascii="Times New Roman" w:hAnsi="Times New Roman"/>
                <w:color w:val="000000" w:themeColor="text1"/>
                <w:szCs w:val="21"/>
              </w:rPr>
            </w:pPr>
          </w:p>
        </w:tc>
        <w:tc>
          <w:tcPr>
            <w:tcW w:w="4675" w:type="dxa"/>
            <w:vAlign w:val="center"/>
          </w:tcPr>
          <w:p w14:paraId="4D25B214" w14:textId="75A4567E"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钻井噪声影响、测试防喷影响需要以及钻遇含硫地层对居民进行临时撤离。对居民生产生活产生轻度的影响。雨水冲入</w:t>
            </w:r>
            <w:r w:rsidR="00324758" w:rsidRPr="00092862">
              <w:rPr>
                <w:rFonts w:ascii="Times New Roman" w:hAnsi="Times New Roman"/>
                <w:color w:val="000000" w:themeColor="text1"/>
                <w:szCs w:val="21"/>
              </w:rPr>
              <w:t>耕地或林地</w:t>
            </w:r>
            <w:r w:rsidRPr="00092862">
              <w:rPr>
                <w:rFonts w:ascii="Times New Roman" w:hAnsi="Times New Roman"/>
                <w:color w:val="000000" w:themeColor="text1"/>
                <w:szCs w:val="21"/>
              </w:rPr>
              <w:t>对农业生产</w:t>
            </w:r>
            <w:r w:rsidR="00324758" w:rsidRPr="00092862">
              <w:rPr>
                <w:rFonts w:ascii="Times New Roman" w:hAnsi="Times New Roman"/>
                <w:color w:val="000000" w:themeColor="text1"/>
                <w:szCs w:val="21"/>
              </w:rPr>
              <w:t>、植被生长</w:t>
            </w:r>
            <w:r w:rsidRPr="00092862">
              <w:rPr>
                <w:rFonts w:ascii="Times New Roman" w:hAnsi="Times New Roman"/>
                <w:color w:val="000000" w:themeColor="text1"/>
                <w:szCs w:val="21"/>
              </w:rPr>
              <w:t>产生轻度影响。</w:t>
            </w:r>
          </w:p>
        </w:tc>
        <w:tc>
          <w:tcPr>
            <w:tcW w:w="3281" w:type="dxa"/>
            <w:vAlign w:val="center"/>
          </w:tcPr>
          <w:p w14:paraId="3A2D8C52"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通过协调补偿方式解决。</w:t>
            </w:r>
          </w:p>
        </w:tc>
      </w:tr>
      <w:tr w:rsidR="00697429" w:rsidRPr="00092862" w14:paraId="1763BABE" w14:textId="77777777" w:rsidTr="00D639AF">
        <w:trPr>
          <w:jc w:val="center"/>
        </w:trPr>
        <w:tc>
          <w:tcPr>
            <w:tcW w:w="0" w:type="auto"/>
            <w:vMerge w:val="restart"/>
            <w:vAlign w:val="center"/>
          </w:tcPr>
          <w:p w14:paraId="71554C9F"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正面影响</w:t>
            </w:r>
          </w:p>
        </w:tc>
        <w:tc>
          <w:tcPr>
            <w:tcW w:w="0" w:type="auto"/>
            <w:gridSpan w:val="2"/>
            <w:vAlign w:val="center"/>
          </w:tcPr>
          <w:p w14:paraId="70696C11"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天然气属于清洁能源，天然气的开采可以缓解用气紧张，增加企业经济效益，促进社会、经济发展，增大区域清洁能源的使用，对调整能源结构、缓解地区能源缺口有积极意义。</w:t>
            </w:r>
          </w:p>
        </w:tc>
      </w:tr>
      <w:tr w:rsidR="00697429" w:rsidRPr="00092862" w14:paraId="09A4527C" w14:textId="77777777" w:rsidTr="00D639AF">
        <w:trPr>
          <w:jc w:val="center"/>
        </w:trPr>
        <w:tc>
          <w:tcPr>
            <w:tcW w:w="0" w:type="auto"/>
            <w:vMerge/>
            <w:vAlign w:val="center"/>
          </w:tcPr>
          <w:p w14:paraId="67FFDA85" w14:textId="77777777" w:rsidR="00DC446C" w:rsidRPr="00092862" w:rsidRDefault="00DC446C" w:rsidP="00D639AF">
            <w:pPr>
              <w:pStyle w:val="a5"/>
              <w:snapToGrid w:val="0"/>
              <w:spacing w:line="240" w:lineRule="auto"/>
              <w:rPr>
                <w:rFonts w:ascii="Times New Roman" w:hAnsi="Times New Roman"/>
                <w:color w:val="000000" w:themeColor="text1"/>
                <w:szCs w:val="21"/>
              </w:rPr>
            </w:pPr>
          </w:p>
        </w:tc>
        <w:tc>
          <w:tcPr>
            <w:tcW w:w="0" w:type="auto"/>
            <w:gridSpan w:val="2"/>
            <w:vAlign w:val="center"/>
          </w:tcPr>
          <w:p w14:paraId="5D6F15CD"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项目钻井前会对乡村公路做维护及改建，加强了当地交通基础设施建设，改善交通条件。</w:t>
            </w:r>
          </w:p>
        </w:tc>
      </w:tr>
      <w:tr w:rsidR="00697429" w:rsidRPr="00092862" w14:paraId="356B1097" w14:textId="77777777" w:rsidTr="00D639AF">
        <w:trPr>
          <w:jc w:val="center"/>
        </w:trPr>
        <w:tc>
          <w:tcPr>
            <w:tcW w:w="0" w:type="auto"/>
            <w:vMerge/>
            <w:vAlign w:val="center"/>
          </w:tcPr>
          <w:p w14:paraId="7FFD1FEE" w14:textId="77777777" w:rsidR="00DC446C" w:rsidRPr="00092862" w:rsidRDefault="00DC446C" w:rsidP="00D639AF">
            <w:pPr>
              <w:pStyle w:val="a5"/>
              <w:snapToGrid w:val="0"/>
              <w:spacing w:line="240" w:lineRule="auto"/>
              <w:rPr>
                <w:rFonts w:ascii="Times New Roman" w:hAnsi="Times New Roman"/>
                <w:color w:val="000000" w:themeColor="text1"/>
                <w:szCs w:val="21"/>
              </w:rPr>
            </w:pPr>
          </w:p>
        </w:tc>
        <w:tc>
          <w:tcPr>
            <w:tcW w:w="0" w:type="auto"/>
            <w:gridSpan w:val="2"/>
            <w:vAlign w:val="center"/>
          </w:tcPr>
          <w:p w14:paraId="2CBEF934" w14:textId="77777777" w:rsidR="00DC446C" w:rsidRPr="00092862" w:rsidRDefault="003B1968" w:rsidP="00D639AF">
            <w:pPr>
              <w:pStyle w:val="a5"/>
              <w:snapToGrid w:val="0"/>
              <w:spacing w:line="240" w:lineRule="auto"/>
              <w:rPr>
                <w:rFonts w:ascii="Times New Roman" w:hAnsi="Times New Roman"/>
                <w:color w:val="000000" w:themeColor="text1"/>
                <w:szCs w:val="21"/>
              </w:rPr>
            </w:pPr>
            <w:r w:rsidRPr="00092862">
              <w:rPr>
                <w:rFonts w:ascii="Times New Roman" w:hAnsi="Times New Roman"/>
                <w:color w:val="000000" w:themeColor="text1"/>
                <w:szCs w:val="21"/>
              </w:rPr>
              <w:t>拟建井站位于农村地区，有富余劳动力，本工程建设可带来一定的就业机会，解决当地部分人员就业，增加当地居民收入，促进本地经济发展。</w:t>
            </w:r>
          </w:p>
        </w:tc>
      </w:tr>
    </w:tbl>
    <w:p w14:paraId="67683C62" w14:textId="77777777" w:rsidR="00DC446C" w:rsidRPr="00092862" w:rsidRDefault="003B1968" w:rsidP="00D639AF">
      <w:pPr>
        <w:pStyle w:val="ac"/>
        <w:adjustRightInd w:val="0"/>
        <w:snapToGrid w:val="0"/>
        <w:spacing w:beforeLines="50" w:before="12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sidRPr="00092862">
        <w:rPr>
          <w:rFonts w:ascii="Times New Roman" w:hAnsi="Times New Roman"/>
          <w:bCs/>
          <w:color w:val="000000" w:themeColor="text1"/>
          <w:kern w:val="2"/>
          <w:lang w:eastAsia="zh-CN"/>
        </w:rPr>
        <w:t>。</w:t>
      </w:r>
    </w:p>
    <w:p w14:paraId="24E1590A" w14:textId="18091EE6" w:rsidR="00DC446C" w:rsidRPr="00092862" w:rsidRDefault="00704F23" w:rsidP="00D639AF">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397" w:name="7.2.3环境效益"/>
      <w:bookmarkStart w:id="398" w:name="_Toc120173231"/>
      <w:bookmarkEnd w:id="397"/>
      <w:r w:rsidRPr="00092862">
        <w:rPr>
          <w:rFonts w:ascii="Times New Roman" w:eastAsia="黑体" w:hAnsi="Times New Roman"/>
          <w:b w:val="0"/>
          <w:color w:val="000000" w:themeColor="text1"/>
          <w:sz w:val="24"/>
          <w:szCs w:val="24"/>
          <w:lang w:eastAsia="zh-CN"/>
        </w:rPr>
        <w:lastRenderedPageBreak/>
        <w:t>8</w:t>
      </w:r>
      <w:r w:rsidR="003B1968" w:rsidRPr="00092862">
        <w:rPr>
          <w:rFonts w:ascii="Times New Roman" w:eastAsia="黑体" w:hAnsi="Times New Roman"/>
          <w:b w:val="0"/>
          <w:color w:val="000000" w:themeColor="text1"/>
          <w:sz w:val="24"/>
          <w:szCs w:val="24"/>
          <w:lang w:eastAsia="zh-CN"/>
        </w:rPr>
        <w:t>.2.3</w:t>
      </w:r>
      <w:r w:rsidR="003B1968" w:rsidRPr="00092862">
        <w:rPr>
          <w:rFonts w:ascii="Times New Roman" w:eastAsia="黑体" w:hAnsi="Times New Roman"/>
          <w:b w:val="0"/>
          <w:color w:val="000000" w:themeColor="text1"/>
          <w:sz w:val="24"/>
          <w:szCs w:val="24"/>
          <w:lang w:eastAsia="zh-CN"/>
        </w:rPr>
        <w:t>环境效益</w:t>
      </w:r>
      <w:bookmarkEnd w:id="398"/>
    </w:p>
    <w:p w14:paraId="74219B83" w14:textId="77777777" w:rsidR="00D639AF" w:rsidRPr="00092862" w:rsidRDefault="00D639AF" w:rsidP="00D639A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天然气利用可以减少环境空气污染物的排放量，改善环境空气质量。本项目在减轻大气环境影响方面效益显著，与燃油和燃煤相比具有更高的环境效益。</w:t>
      </w:r>
    </w:p>
    <w:p w14:paraId="4857EA59" w14:textId="77777777" w:rsidR="00DC446C" w:rsidRPr="00092862" w:rsidRDefault="00D639AF" w:rsidP="00D639A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我国的能源结构以煤炭为主，以煤为主的能源结构是造成大气污染的主要原因。根据世界各国污染治理的经验，减轻大气污染措施之一就是用无污染或低污染的优质能源替代煤炭。燃烧天然气排放的</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NO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、灰分大大低于煤和原油的排放量。天然气燃烧可以节省</w:t>
      </w:r>
      <w:r w:rsidRPr="00092862">
        <w:rPr>
          <w:rFonts w:ascii="Times New Roman" w:hAnsi="Times New Roman"/>
          <w:bCs/>
          <w:color w:val="000000" w:themeColor="text1"/>
          <w:kern w:val="2"/>
          <w:lang w:eastAsia="zh-CN"/>
        </w:rPr>
        <w:t>NO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SO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、烟尘、固体废物等处理费用，减少燃煤灰渣引起的土地占用。因此本项目的建设将</w:t>
      </w:r>
      <w:r w:rsidR="003B1968" w:rsidRPr="00092862">
        <w:rPr>
          <w:rFonts w:ascii="Times New Roman" w:hAnsi="Times New Roman"/>
          <w:bCs/>
          <w:color w:val="000000" w:themeColor="text1"/>
          <w:kern w:val="2"/>
          <w:lang w:eastAsia="zh-CN"/>
        </w:rPr>
        <w:t>很大程度上减少了</w:t>
      </w:r>
      <w:r w:rsidRPr="00092862">
        <w:rPr>
          <w:rFonts w:ascii="Times New Roman" w:hAnsi="Times New Roman"/>
          <w:bCs/>
          <w:color w:val="000000" w:themeColor="text1"/>
          <w:kern w:val="2"/>
          <w:lang w:eastAsia="zh-CN"/>
        </w:rPr>
        <w:t>燃煤等</w:t>
      </w:r>
      <w:r w:rsidR="003B1968" w:rsidRPr="00092862">
        <w:rPr>
          <w:rFonts w:ascii="Times New Roman" w:hAnsi="Times New Roman"/>
          <w:bCs/>
          <w:color w:val="000000" w:themeColor="text1"/>
          <w:kern w:val="2"/>
          <w:lang w:eastAsia="zh-CN"/>
        </w:rPr>
        <w:t>对环境的污染影响，带来较好的环境效益。</w:t>
      </w:r>
    </w:p>
    <w:p w14:paraId="6FC6389D" w14:textId="7B1A2C75" w:rsidR="00DC446C" w:rsidRPr="00092862" w:rsidRDefault="00704F23" w:rsidP="00D639AF">
      <w:pPr>
        <w:pStyle w:val="2"/>
        <w:ind w:firstLine="480"/>
        <w:jc w:val="both"/>
        <w:rPr>
          <w:color w:val="000000" w:themeColor="text1"/>
          <w:szCs w:val="24"/>
          <w:lang w:eastAsia="zh-CN"/>
        </w:rPr>
      </w:pPr>
      <w:bookmarkStart w:id="399" w:name="7.3环境经济损益分析结论"/>
      <w:bookmarkStart w:id="400" w:name="_bookmark37"/>
      <w:bookmarkStart w:id="401" w:name="_Toc123682560"/>
      <w:bookmarkEnd w:id="399"/>
      <w:bookmarkEnd w:id="400"/>
      <w:r w:rsidRPr="00092862">
        <w:rPr>
          <w:color w:val="000000" w:themeColor="text1"/>
          <w:szCs w:val="24"/>
          <w:lang w:eastAsia="zh-CN"/>
        </w:rPr>
        <w:t>8</w:t>
      </w:r>
      <w:r w:rsidR="003B1968" w:rsidRPr="00092862">
        <w:rPr>
          <w:color w:val="000000" w:themeColor="text1"/>
          <w:szCs w:val="24"/>
          <w:lang w:eastAsia="zh-CN"/>
        </w:rPr>
        <w:t>.3</w:t>
      </w:r>
      <w:r w:rsidR="003B1968" w:rsidRPr="00092862">
        <w:rPr>
          <w:color w:val="000000" w:themeColor="text1"/>
          <w:szCs w:val="24"/>
          <w:lang w:eastAsia="zh-CN"/>
        </w:rPr>
        <w:t>环境经济损益分析结论</w:t>
      </w:r>
      <w:bookmarkEnd w:id="401"/>
    </w:p>
    <w:p w14:paraId="2276C889" w14:textId="77777777" w:rsidR="00DC446C" w:rsidRPr="00092862" w:rsidRDefault="00D639AF" w:rsidP="00D639A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14:paraId="41F80005" w14:textId="77777777" w:rsidR="00D639AF" w:rsidRPr="00092862" w:rsidRDefault="00D639AF" w:rsidP="00D639A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14:paraId="622587E5" w14:textId="77777777" w:rsidR="00280DAC" w:rsidRPr="00092862" w:rsidRDefault="00280DAC" w:rsidP="00280DAC">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sectPr w:rsidR="00280DAC" w:rsidRPr="00092862" w:rsidSect="00C04A25">
          <w:pgSz w:w="11910" w:h="16840"/>
          <w:pgMar w:top="1440" w:right="1800" w:bottom="1440" w:left="1800" w:header="1213" w:footer="635" w:gutter="0"/>
          <w:cols w:space="720"/>
        </w:sectPr>
      </w:pPr>
    </w:p>
    <w:p w14:paraId="54DB525A" w14:textId="4C60BAF3" w:rsidR="00280DAC" w:rsidRPr="00092862" w:rsidRDefault="00704F23" w:rsidP="00280DAC">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402" w:name="_Toc123682561"/>
      <w:r w:rsidRPr="00092862">
        <w:rPr>
          <w:rFonts w:ascii="Times New Roman" w:eastAsia="黑体" w:hAnsi="Times New Roman"/>
          <w:b w:val="0"/>
          <w:color w:val="000000" w:themeColor="text1"/>
          <w:sz w:val="28"/>
          <w:szCs w:val="28"/>
          <w:lang w:eastAsia="zh-CN"/>
        </w:rPr>
        <w:lastRenderedPageBreak/>
        <w:t>9</w:t>
      </w:r>
      <w:r w:rsidR="00280DAC" w:rsidRPr="00092862">
        <w:rPr>
          <w:rFonts w:ascii="Times New Roman" w:eastAsia="黑体" w:hAnsi="Times New Roman"/>
          <w:b w:val="0"/>
          <w:color w:val="000000" w:themeColor="text1"/>
          <w:sz w:val="28"/>
          <w:szCs w:val="28"/>
          <w:lang w:eastAsia="zh-CN"/>
        </w:rPr>
        <w:t>清洁生产与总量控制</w:t>
      </w:r>
      <w:bookmarkEnd w:id="402"/>
    </w:p>
    <w:p w14:paraId="7CF331B1" w14:textId="74F99B8E" w:rsidR="00280DAC" w:rsidRPr="00092862" w:rsidRDefault="00704F23" w:rsidP="00280DAC">
      <w:pPr>
        <w:pStyle w:val="2"/>
        <w:ind w:firstLine="480"/>
        <w:jc w:val="both"/>
        <w:rPr>
          <w:color w:val="000000" w:themeColor="text1"/>
          <w:szCs w:val="24"/>
          <w:lang w:eastAsia="zh-CN"/>
        </w:rPr>
      </w:pPr>
      <w:bookmarkStart w:id="403" w:name="_Toc123682562"/>
      <w:r w:rsidRPr="00092862">
        <w:rPr>
          <w:color w:val="000000" w:themeColor="text1"/>
          <w:szCs w:val="24"/>
          <w:lang w:eastAsia="zh-CN"/>
        </w:rPr>
        <w:t>9</w:t>
      </w:r>
      <w:r w:rsidR="00280DAC" w:rsidRPr="00092862">
        <w:rPr>
          <w:color w:val="000000" w:themeColor="text1"/>
          <w:szCs w:val="24"/>
          <w:lang w:eastAsia="zh-CN"/>
        </w:rPr>
        <w:t>.1</w:t>
      </w:r>
      <w:r w:rsidR="00280DAC" w:rsidRPr="00092862">
        <w:rPr>
          <w:color w:val="000000" w:themeColor="text1"/>
          <w:szCs w:val="24"/>
          <w:lang w:eastAsia="zh-CN"/>
        </w:rPr>
        <w:t>清洁生产分析</w:t>
      </w:r>
      <w:bookmarkEnd w:id="403"/>
    </w:p>
    <w:p w14:paraId="18C63BD4" w14:textId="08B4571C" w:rsidR="00280DAC" w:rsidRPr="00092862" w:rsidRDefault="00280DAC" w:rsidP="00280DAC">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目前，天然气开采业建设项目未被纳入环境保护部颁布的重点行业清洁生产标准目录中，根据对清洁生产评价评标体系查询，未发现针对天然气开采的清洁生产评价体系，故本评价从天然气</w:t>
      </w:r>
      <w:r w:rsidR="006250BC" w:rsidRPr="00092862">
        <w:rPr>
          <w:rFonts w:ascii="Times New Roman" w:hAnsi="Times New Roman"/>
          <w:bCs/>
          <w:color w:val="000000" w:themeColor="text1"/>
          <w:kern w:val="2"/>
          <w:lang w:eastAsia="zh-CN"/>
        </w:rPr>
        <w:t>开采</w:t>
      </w:r>
      <w:r w:rsidRPr="00092862">
        <w:rPr>
          <w:rFonts w:ascii="Times New Roman" w:hAnsi="Times New Roman"/>
          <w:bCs/>
          <w:color w:val="000000" w:themeColor="text1"/>
          <w:kern w:val="2"/>
          <w:lang w:eastAsia="zh-CN"/>
        </w:rPr>
        <w:t>建设的各个环节出发，对本项目的产品、原材料、工艺技术的清洁性以及三废治理工艺的先进性进行分析比较，并提出清洁生产措施和建议等。</w:t>
      </w:r>
    </w:p>
    <w:p w14:paraId="07F1F67B" w14:textId="52B4E7FE" w:rsidR="00280DAC" w:rsidRPr="00092862" w:rsidRDefault="00704F23" w:rsidP="00280DAC">
      <w:pPr>
        <w:pStyle w:val="3"/>
        <w:adjustRightInd w:val="0"/>
        <w:snapToGrid w:val="0"/>
        <w:spacing w:before="0" w:after="0" w:line="360" w:lineRule="auto"/>
        <w:ind w:firstLineChars="200" w:firstLine="480"/>
        <w:jc w:val="both"/>
        <w:rPr>
          <w:rFonts w:ascii="Times New Roman" w:hAnsi="Times New Roman"/>
          <w:color w:val="000000" w:themeColor="text1"/>
          <w:kern w:val="2"/>
          <w:lang w:eastAsia="zh-CN"/>
        </w:rPr>
      </w:pPr>
      <w:bookmarkStart w:id="404" w:name="_Toc120173235"/>
      <w:r w:rsidRPr="00092862">
        <w:rPr>
          <w:rFonts w:ascii="Times New Roman" w:eastAsia="黑体" w:hAnsi="Times New Roman"/>
          <w:b w:val="0"/>
          <w:color w:val="000000" w:themeColor="text1"/>
          <w:sz w:val="24"/>
          <w:szCs w:val="24"/>
          <w:lang w:eastAsia="zh-CN"/>
        </w:rPr>
        <w:t>9</w:t>
      </w:r>
      <w:r w:rsidR="00280DAC" w:rsidRPr="00092862">
        <w:rPr>
          <w:rFonts w:ascii="Times New Roman" w:eastAsia="黑体" w:hAnsi="Times New Roman"/>
          <w:b w:val="0"/>
          <w:color w:val="000000" w:themeColor="text1"/>
          <w:sz w:val="24"/>
          <w:szCs w:val="24"/>
          <w:lang w:eastAsia="zh-CN"/>
        </w:rPr>
        <w:t>.1.1</w:t>
      </w:r>
      <w:r w:rsidR="00280DAC" w:rsidRPr="00092862">
        <w:rPr>
          <w:rFonts w:ascii="Times New Roman" w:eastAsia="黑体" w:hAnsi="Times New Roman"/>
          <w:b w:val="0"/>
          <w:color w:val="000000" w:themeColor="text1"/>
          <w:sz w:val="24"/>
          <w:szCs w:val="24"/>
          <w:lang w:eastAsia="zh-CN"/>
        </w:rPr>
        <w:t>工艺技术选择合理性分析</w:t>
      </w:r>
      <w:bookmarkEnd w:id="404"/>
    </w:p>
    <w:p w14:paraId="68898494" w14:textId="77777777" w:rsidR="00280DAC" w:rsidRPr="00092862" w:rsidRDefault="00280DAC" w:rsidP="00280DAC">
      <w:pPr>
        <w:pStyle w:val="ac"/>
        <w:adjustRightInd w:val="0"/>
        <w:snapToGrid w:val="0"/>
        <w:spacing w:line="360" w:lineRule="auto"/>
        <w:ind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14:paraId="7EB00EEF" w14:textId="1A61BB16" w:rsidR="00280DAC" w:rsidRPr="00092862" w:rsidRDefault="00280DAC" w:rsidP="00280DAC">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钻井液采用较清洁的水基钻井液为主，不含重金属，并且可根据不同地层性质和地下压力进行组份调整，能较好地满足钻井需要。符合清洁生产的要求。</w:t>
      </w:r>
    </w:p>
    <w:p w14:paraId="4339D99D" w14:textId="4427F3AD" w:rsidR="00280DAC" w:rsidRPr="00092862" w:rsidRDefault="00280DAC" w:rsidP="00280DAC">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另外本项目</w:t>
      </w:r>
      <w:r w:rsidR="00DB2583" w:rsidRPr="00092862">
        <w:rPr>
          <w:rFonts w:ascii="Times New Roman" w:hAnsi="Times New Roman"/>
          <w:bCs/>
          <w:color w:val="000000" w:themeColor="text1"/>
          <w:kern w:val="2"/>
          <w:lang w:eastAsia="zh-CN"/>
        </w:rPr>
        <w:t>在</w:t>
      </w:r>
      <w:r w:rsidR="004D07D0" w:rsidRPr="00092862">
        <w:rPr>
          <w:rFonts w:ascii="Times New Roman" w:hAnsi="Times New Roman"/>
          <w:bCs/>
          <w:color w:val="000000" w:themeColor="text1"/>
          <w:kern w:val="2"/>
          <w:lang w:eastAsia="zh-CN"/>
        </w:rPr>
        <w:t>原老君</w:t>
      </w:r>
      <w:r w:rsidR="004D07D0" w:rsidRPr="00092862">
        <w:rPr>
          <w:rFonts w:ascii="Times New Roman" w:hAnsi="Times New Roman"/>
          <w:bCs/>
          <w:color w:val="000000" w:themeColor="text1"/>
          <w:kern w:val="2"/>
          <w:lang w:eastAsia="zh-CN"/>
        </w:rPr>
        <w:t>701</w:t>
      </w:r>
      <w:r w:rsidR="004D07D0" w:rsidRPr="00092862">
        <w:rPr>
          <w:rFonts w:ascii="Times New Roman" w:hAnsi="Times New Roman"/>
          <w:bCs/>
          <w:color w:val="000000" w:themeColor="text1"/>
          <w:kern w:val="2"/>
          <w:lang w:eastAsia="zh-CN"/>
        </w:rPr>
        <w:t>集气站旁</w:t>
      </w:r>
      <w:r w:rsidR="00DB2583" w:rsidRPr="00092862">
        <w:rPr>
          <w:rFonts w:ascii="Times New Roman" w:hAnsi="Times New Roman"/>
          <w:bCs/>
          <w:color w:val="000000" w:themeColor="text1"/>
          <w:kern w:val="2"/>
          <w:lang w:eastAsia="zh-CN"/>
        </w:rPr>
        <w:t>的基础上进行</w:t>
      </w:r>
      <w:r w:rsidR="0019648E" w:rsidRPr="00092862">
        <w:rPr>
          <w:rFonts w:ascii="Times New Roman" w:hAnsi="Times New Roman"/>
          <w:bCs/>
          <w:color w:val="000000" w:themeColor="text1"/>
          <w:kern w:val="2"/>
          <w:lang w:eastAsia="zh-CN"/>
        </w:rPr>
        <w:t>钻井</w:t>
      </w:r>
      <w:r w:rsidR="00DB2583" w:rsidRPr="00092862">
        <w:rPr>
          <w:rFonts w:ascii="Times New Roman" w:hAnsi="Times New Roman"/>
          <w:bCs/>
          <w:color w:val="000000" w:themeColor="text1"/>
          <w:kern w:val="2"/>
          <w:lang w:eastAsia="zh-CN"/>
        </w:rPr>
        <w:t>，可利用原井场、进场道路、</w:t>
      </w:r>
      <w:r w:rsidR="00D774F2" w:rsidRPr="00092862">
        <w:rPr>
          <w:rFonts w:ascii="Times New Roman" w:hAnsi="Times New Roman"/>
          <w:bCs/>
          <w:color w:val="000000" w:themeColor="text1"/>
          <w:kern w:val="2"/>
          <w:lang w:eastAsia="zh-CN"/>
        </w:rPr>
        <w:t>污</w:t>
      </w:r>
      <w:r w:rsidR="00693296" w:rsidRPr="00092862">
        <w:rPr>
          <w:rFonts w:ascii="Times New Roman" w:hAnsi="Times New Roman"/>
          <w:bCs/>
          <w:color w:val="000000" w:themeColor="text1"/>
          <w:kern w:val="2"/>
          <w:lang w:eastAsia="zh-CN"/>
        </w:rPr>
        <w:t>水池</w:t>
      </w:r>
      <w:r w:rsidR="00DB2583" w:rsidRPr="00092862">
        <w:rPr>
          <w:rFonts w:ascii="Times New Roman" w:hAnsi="Times New Roman"/>
          <w:bCs/>
          <w:color w:val="000000" w:themeColor="text1"/>
          <w:kern w:val="2"/>
          <w:lang w:eastAsia="zh-CN"/>
        </w:rPr>
        <w:t>等</w:t>
      </w:r>
      <w:r w:rsidRPr="00092862">
        <w:rPr>
          <w:rFonts w:ascii="Times New Roman" w:hAnsi="Times New Roman"/>
          <w:bCs/>
          <w:color w:val="000000" w:themeColor="text1"/>
          <w:kern w:val="2"/>
          <w:lang w:eastAsia="zh-CN"/>
        </w:rPr>
        <w:t>，可</w:t>
      </w:r>
      <w:r w:rsidR="00DB2583" w:rsidRPr="00092862">
        <w:rPr>
          <w:rFonts w:ascii="Times New Roman" w:hAnsi="Times New Roman"/>
          <w:bCs/>
          <w:color w:val="000000" w:themeColor="text1"/>
          <w:kern w:val="2"/>
          <w:lang w:eastAsia="zh-CN"/>
        </w:rPr>
        <w:t>有效</w:t>
      </w:r>
      <w:r w:rsidRPr="00092862">
        <w:rPr>
          <w:rFonts w:ascii="Times New Roman" w:hAnsi="Times New Roman"/>
          <w:bCs/>
          <w:color w:val="000000" w:themeColor="text1"/>
          <w:kern w:val="2"/>
          <w:lang w:eastAsia="zh-CN"/>
        </w:rPr>
        <w:t>减少井场等建设用地，有利于减小对生态环境的扰动。符合清洁生产的要求。</w:t>
      </w:r>
    </w:p>
    <w:p w14:paraId="1D5E405E" w14:textId="63ACA206" w:rsidR="00280DAC" w:rsidRPr="00092862" w:rsidRDefault="00704F23" w:rsidP="00280DAC">
      <w:pPr>
        <w:pStyle w:val="3"/>
        <w:adjustRightInd w:val="0"/>
        <w:snapToGrid w:val="0"/>
        <w:spacing w:before="0" w:after="0" w:line="360" w:lineRule="auto"/>
        <w:ind w:firstLineChars="200" w:firstLine="480"/>
        <w:jc w:val="both"/>
        <w:rPr>
          <w:rFonts w:ascii="Times New Roman" w:hAnsi="Times New Roman"/>
          <w:color w:val="000000" w:themeColor="text1"/>
          <w:kern w:val="2"/>
          <w:lang w:eastAsia="zh-CN"/>
        </w:rPr>
      </w:pPr>
      <w:bookmarkStart w:id="405" w:name="_Toc120173236"/>
      <w:r w:rsidRPr="00092862">
        <w:rPr>
          <w:rFonts w:ascii="Times New Roman" w:eastAsia="黑体" w:hAnsi="Times New Roman"/>
          <w:b w:val="0"/>
          <w:color w:val="000000" w:themeColor="text1"/>
          <w:sz w:val="24"/>
          <w:szCs w:val="24"/>
          <w:lang w:eastAsia="zh-CN"/>
        </w:rPr>
        <w:t>9</w:t>
      </w:r>
      <w:r w:rsidR="00280DAC" w:rsidRPr="00092862">
        <w:rPr>
          <w:rFonts w:ascii="Times New Roman" w:eastAsia="黑体" w:hAnsi="Times New Roman"/>
          <w:b w:val="0"/>
          <w:color w:val="000000" w:themeColor="text1"/>
          <w:sz w:val="24"/>
          <w:szCs w:val="24"/>
          <w:lang w:eastAsia="zh-CN"/>
        </w:rPr>
        <w:t>.1.2</w:t>
      </w:r>
      <w:r w:rsidR="00280DAC" w:rsidRPr="00092862">
        <w:rPr>
          <w:rFonts w:ascii="Times New Roman" w:eastAsia="黑体" w:hAnsi="Times New Roman"/>
          <w:b w:val="0"/>
          <w:color w:val="000000" w:themeColor="text1"/>
          <w:sz w:val="24"/>
          <w:szCs w:val="24"/>
          <w:lang w:eastAsia="zh-CN"/>
        </w:rPr>
        <w:t>产品的清洁性分析</w:t>
      </w:r>
      <w:bookmarkEnd w:id="405"/>
    </w:p>
    <w:p w14:paraId="43D811F1" w14:textId="77777777" w:rsidR="00280DAC" w:rsidRPr="00092862" w:rsidRDefault="00280DAC" w:rsidP="00280DAC">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项目产品为天然气，属清洁、优质、具有竞争力的能源和化工原料。天然气单位热量所产生的温室气体</w:t>
      </w:r>
      <w:r w:rsidRPr="00092862">
        <w:rPr>
          <w:rFonts w:ascii="Times New Roman" w:hAnsi="Times New Roman"/>
          <w:bCs/>
          <w:color w:val="000000" w:themeColor="text1"/>
          <w:kern w:val="2"/>
          <w:lang w:eastAsia="zh-CN"/>
        </w:rPr>
        <w:t>CO</w:t>
      </w:r>
      <w:r w:rsidRPr="00092862">
        <w:rPr>
          <w:rFonts w:ascii="Times New Roman" w:hAnsi="Times New Roman"/>
          <w:bCs/>
          <w:color w:val="000000" w:themeColor="text1"/>
          <w:kern w:val="2"/>
          <w:vertAlign w:val="subscript"/>
          <w:lang w:eastAsia="zh-CN"/>
        </w:rPr>
        <w:t>2</w:t>
      </w:r>
      <w:r w:rsidRPr="00092862">
        <w:rPr>
          <w:rFonts w:ascii="Times New Roman" w:hAnsi="Times New Roman"/>
          <w:bCs/>
          <w:color w:val="000000" w:themeColor="text1"/>
          <w:kern w:val="2"/>
          <w:lang w:eastAsia="zh-CN"/>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14:paraId="53352271" w14:textId="0FC55708" w:rsidR="00280DAC" w:rsidRPr="00092862" w:rsidRDefault="00704F23" w:rsidP="00280DAC">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406" w:name="_Toc120173237"/>
      <w:r w:rsidRPr="00092862">
        <w:rPr>
          <w:rFonts w:ascii="Times New Roman" w:eastAsia="黑体" w:hAnsi="Times New Roman"/>
          <w:b w:val="0"/>
          <w:color w:val="000000" w:themeColor="text1"/>
          <w:sz w:val="24"/>
          <w:szCs w:val="24"/>
          <w:lang w:eastAsia="zh-CN"/>
        </w:rPr>
        <w:t>9</w:t>
      </w:r>
      <w:r w:rsidR="00280DAC" w:rsidRPr="00092862">
        <w:rPr>
          <w:rFonts w:ascii="Times New Roman" w:eastAsia="黑体" w:hAnsi="Times New Roman"/>
          <w:b w:val="0"/>
          <w:color w:val="000000" w:themeColor="text1"/>
          <w:sz w:val="24"/>
          <w:szCs w:val="24"/>
          <w:lang w:eastAsia="zh-CN"/>
        </w:rPr>
        <w:t>.1.3</w:t>
      </w:r>
      <w:r w:rsidR="00280DAC" w:rsidRPr="00092862">
        <w:rPr>
          <w:rFonts w:ascii="Times New Roman" w:eastAsia="黑体" w:hAnsi="Times New Roman"/>
          <w:b w:val="0"/>
          <w:color w:val="000000" w:themeColor="text1"/>
          <w:sz w:val="24"/>
          <w:szCs w:val="24"/>
          <w:lang w:eastAsia="zh-CN"/>
        </w:rPr>
        <w:t>清洁生产措施</w:t>
      </w:r>
      <w:bookmarkEnd w:id="406"/>
    </w:p>
    <w:p w14:paraId="3877255D" w14:textId="77777777"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）废水处理措施</w:t>
      </w:r>
    </w:p>
    <w:p w14:paraId="4DE1323B" w14:textId="4FA053BA"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本项目钻井废水和压裂返排液通过在井场内或井场间回用实现最大程度回用，做到正常工况下无压裂液外排，若不能回用的压裂液全部</w:t>
      </w:r>
      <w:r w:rsidR="004B382D" w:rsidRPr="00092862">
        <w:rPr>
          <w:rFonts w:ascii="Times New Roman" w:hAnsi="Times New Roman"/>
          <w:color w:val="000000" w:themeColor="text1"/>
          <w:lang w:eastAsia="zh-CN"/>
        </w:rPr>
        <w:t>密闭罐车拉运至</w:t>
      </w:r>
      <w:r w:rsidR="005D5A22" w:rsidRPr="00092862">
        <w:rPr>
          <w:rFonts w:ascii="Times New Roman" w:hAnsi="Times New Roman"/>
          <w:color w:val="000000" w:themeColor="text1"/>
          <w:lang w:eastAsia="zh-CN"/>
        </w:rPr>
        <w:t>赵家坝污水处理站达标后管输至普光</w:t>
      </w:r>
      <w:r w:rsidR="005D5A22" w:rsidRPr="00092862">
        <w:rPr>
          <w:rFonts w:ascii="Times New Roman" w:hAnsi="Times New Roman"/>
          <w:color w:val="000000" w:themeColor="text1"/>
          <w:lang w:eastAsia="zh-CN"/>
        </w:rPr>
        <w:t>11</w:t>
      </w:r>
      <w:r w:rsidR="005D5A22" w:rsidRPr="00092862">
        <w:rPr>
          <w:rFonts w:ascii="Times New Roman" w:hAnsi="Times New Roman"/>
          <w:color w:val="000000" w:themeColor="text1"/>
          <w:lang w:eastAsia="zh-CN"/>
        </w:rPr>
        <w:t>井回注站回注</w:t>
      </w:r>
      <w:r w:rsidR="004B382D" w:rsidRPr="00092862">
        <w:rPr>
          <w:rFonts w:ascii="Times New Roman" w:hAnsi="Times New Roman"/>
          <w:color w:val="000000" w:themeColor="text1"/>
          <w:lang w:eastAsia="zh-CN"/>
        </w:rPr>
        <w:t>，不外排</w:t>
      </w:r>
      <w:r w:rsidRPr="00092862">
        <w:rPr>
          <w:rFonts w:ascii="Times New Roman" w:hAnsi="Times New Roman"/>
          <w:bCs/>
          <w:color w:val="000000" w:themeColor="text1"/>
          <w:kern w:val="2"/>
          <w:lang w:eastAsia="zh-CN"/>
        </w:rPr>
        <w:t>，对地表水和浅层地下水无影响。</w:t>
      </w:r>
    </w:p>
    <w:p w14:paraId="5350EC48" w14:textId="77777777"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）施工期生产生活污水</w:t>
      </w:r>
    </w:p>
    <w:p w14:paraId="628560BE" w14:textId="5D2FA023"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井场钻井建设施工阶段生活污水</w:t>
      </w:r>
      <w:r w:rsidR="00271DF7" w:rsidRPr="00092862">
        <w:rPr>
          <w:rFonts w:ascii="Times New Roman" w:hAnsi="Times New Roman"/>
          <w:color w:val="000000" w:themeColor="text1"/>
          <w:lang w:eastAsia="zh-CN"/>
        </w:rPr>
        <w:t>经生态厕所收集后定期由密闭罐车拉运至周边生活污水处理厂处理</w:t>
      </w:r>
      <w:r w:rsidRPr="00092862">
        <w:rPr>
          <w:rFonts w:ascii="Times New Roman" w:hAnsi="Times New Roman"/>
          <w:bCs/>
          <w:color w:val="000000" w:themeColor="text1"/>
          <w:kern w:val="2"/>
          <w:lang w:eastAsia="zh-CN"/>
        </w:rPr>
        <w:t>。</w:t>
      </w:r>
    </w:p>
    <w:p w14:paraId="31DD4A04" w14:textId="77777777"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）废气处置措施</w:t>
      </w:r>
    </w:p>
    <w:p w14:paraId="116D5200" w14:textId="79E54DC4"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本项目正常工况下均采取带压采输气，无废气外排，</w:t>
      </w:r>
      <w:bookmarkStart w:id="407" w:name="_Hlk91002276"/>
      <w:r w:rsidRPr="00092862">
        <w:rPr>
          <w:rFonts w:ascii="Times New Roman" w:hAnsi="Times New Roman"/>
          <w:bCs/>
          <w:color w:val="000000" w:themeColor="text1"/>
          <w:kern w:val="2"/>
          <w:lang w:eastAsia="zh-CN"/>
        </w:rPr>
        <w:t>紧急情况下的外排废气采用</w:t>
      </w:r>
      <w:r w:rsidR="007A6F25" w:rsidRPr="00092862">
        <w:rPr>
          <w:rFonts w:ascii="Times New Roman" w:hAnsi="Times New Roman"/>
          <w:bCs/>
          <w:color w:val="000000" w:themeColor="text1"/>
          <w:kern w:val="2"/>
          <w:lang w:eastAsia="zh-CN"/>
        </w:rPr>
        <w:t>引至</w:t>
      </w:r>
      <w:r w:rsidR="00676047" w:rsidRPr="00092862">
        <w:rPr>
          <w:rFonts w:ascii="Times New Roman" w:hAnsi="Times New Roman"/>
          <w:bCs/>
          <w:color w:val="000000" w:themeColor="text1"/>
          <w:kern w:val="2"/>
          <w:lang w:eastAsia="zh-CN"/>
        </w:rPr>
        <w:t>8</w:t>
      </w:r>
      <w:r w:rsidR="00882797" w:rsidRPr="00092862">
        <w:rPr>
          <w:rFonts w:ascii="Times New Roman" w:hAnsi="Times New Roman"/>
          <w:bCs/>
          <w:color w:val="000000" w:themeColor="text1"/>
          <w:kern w:val="2"/>
          <w:lang w:eastAsia="zh-CN"/>
        </w:rPr>
        <w:t>0</w:t>
      </w:r>
      <w:r w:rsidR="007A6F25" w:rsidRPr="00092862">
        <w:rPr>
          <w:rFonts w:ascii="Times New Roman" w:hAnsi="Times New Roman"/>
          <w:bCs/>
          <w:color w:val="000000" w:themeColor="text1"/>
          <w:kern w:val="2"/>
          <w:lang w:eastAsia="zh-CN"/>
        </w:rPr>
        <w:t>m</w:t>
      </w:r>
      <w:r w:rsidR="007A6F25" w:rsidRPr="00092862">
        <w:rPr>
          <w:rFonts w:ascii="Times New Roman" w:hAnsi="Times New Roman"/>
          <w:bCs/>
          <w:color w:val="000000" w:themeColor="text1"/>
          <w:kern w:val="2"/>
          <w:lang w:eastAsia="zh-CN"/>
        </w:rPr>
        <w:t>高的</w:t>
      </w:r>
      <w:r w:rsidR="00A4737C" w:rsidRPr="00092862">
        <w:rPr>
          <w:rFonts w:ascii="Times New Roman" w:hAnsi="Times New Roman"/>
          <w:bCs/>
          <w:color w:val="000000" w:themeColor="text1"/>
          <w:kern w:val="2"/>
          <w:lang w:eastAsia="zh-CN"/>
        </w:rPr>
        <w:t>放空火炬</w:t>
      </w:r>
      <w:r w:rsidR="007A6F25" w:rsidRPr="00092862">
        <w:rPr>
          <w:rFonts w:ascii="Times New Roman" w:hAnsi="Times New Roman"/>
          <w:bCs/>
          <w:color w:val="000000" w:themeColor="text1"/>
          <w:kern w:val="2"/>
          <w:lang w:eastAsia="zh-CN"/>
        </w:rPr>
        <w:t>点火燃烧</w:t>
      </w:r>
      <w:r w:rsidRPr="00092862">
        <w:rPr>
          <w:rFonts w:ascii="Times New Roman" w:hAnsi="Times New Roman"/>
          <w:bCs/>
          <w:color w:val="000000" w:themeColor="text1"/>
          <w:kern w:val="2"/>
          <w:lang w:eastAsia="zh-CN"/>
        </w:rPr>
        <w:t>方式</w:t>
      </w:r>
      <w:r w:rsidR="007A6F25" w:rsidRPr="00092862">
        <w:rPr>
          <w:rFonts w:ascii="Times New Roman" w:hAnsi="Times New Roman"/>
          <w:bCs/>
          <w:color w:val="000000" w:themeColor="text1"/>
          <w:kern w:val="2"/>
          <w:lang w:eastAsia="zh-CN"/>
        </w:rPr>
        <w:t>燃烧后</w:t>
      </w:r>
      <w:r w:rsidRPr="00092862">
        <w:rPr>
          <w:rFonts w:ascii="Times New Roman" w:hAnsi="Times New Roman"/>
          <w:bCs/>
          <w:color w:val="000000" w:themeColor="text1"/>
          <w:kern w:val="2"/>
          <w:lang w:eastAsia="zh-CN"/>
        </w:rPr>
        <w:t>排放。</w:t>
      </w:r>
      <w:bookmarkEnd w:id="407"/>
    </w:p>
    <w:p w14:paraId="29EF759C" w14:textId="77777777"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）固体废物处理措施</w:t>
      </w:r>
    </w:p>
    <w:p w14:paraId="627FB092" w14:textId="6860AF1E" w:rsidR="00280DAC" w:rsidRPr="00092862" w:rsidRDefault="00280DAC"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本项目钻井液采用水基泥浆，并采用钻井液闭环管理系统，对钻井泥浆进行循环使用，完井后产生的废泥浆和岩屑</w:t>
      </w:r>
      <w:r w:rsidR="00A4737C" w:rsidRPr="00092862">
        <w:rPr>
          <w:rFonts w:ascii="Times New Roman" w:hAnsi="Times New Roman"/>
          <w:color w:val="000000" w:themeColor="text1"/>
          <w:lang w:eastAsia="zh-CN"/>
        </w:rPr>
        <w:t>定期用密闭罐车</w:t>
      </w:r>
      <w:r w:rsidR="000408D0" w:rsidRPr="00092862">
        <w:rPr>
          <w:rFonts w:ascii="Times New Roman" w:hAnsi="Times New Roman"/>
          <w:color w:val="000000" w:themeColor="text1"/>
          <w:lang w:eastAsia="zh-CN"/>
        </w:rPr>
        <w:t>及时转运至达州地区环保手续齐全、环保设施稳定运行固废烧结厂进行烧结后综合利用</w:t>
      </w:r>
      <w:r w:rsidR="00155ABE"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整个过程产生的少量废油优先综合利用后交给具有相应资质的单位处理，无固废外排。</w:t>
      </w:r>
    </w:p>
    <w:p w14:paraId="57A5B524" w14:textId="7AEE647A" w:rsidR="00155ABE" w:rsidRPr="00092862" w:rsidRDefault="00704F23" w:rsidP="00155ABE">
      <w:pPr>
        <w:pStyle w:val="3"/>
        <w:adjustRightInd w:val="0"/>
        <w:snapToGrid w:val="0"/>
        <w:spacing w:before="0" w:after="0" w:line="360" w:lineRule="auto"/>
        <w:ind w:firstLineChars="200" w:firstLine="480"/>
        <w:jc w:val="both"/>
        <w:rPr>
          <w:rFonts w:ascii="Times New Roman" w:eastAsia="黑体" w:hAnsi="Times New Roman"/>
          <w:b w:val="0"/>
          <w:color w:val="000000" w:themeColor="text1"/>
          <w:sz w:val="24"/>
          <w:szCs w:val="24"/>
          <w:lang w:eastAsia="zh-CN"/>
        </w:rPr>
      </w:pPr>
      <w:bookmarkStart w:id="408" w:name="_Toc120173238"/>
      <w:r w:rsidRPr="00092862">
        <w:rPr>
          <w:rFonts w:ascii="Times New Roman" w:eastAsia="黑体" w:hAnsi="Times New Roman"/>
          <w:b w:val="0"/>
          <w:color w:val="000000" w:themeColor="text1"/>
          <w:sz w:val="24"/>
          <w:szCs w:val="24"/>
          <w:lang w:eastAsia="zh-CN"/>
        </w:rPr>
        <w:t>9</w:t>
      </w:r>
      <w:r w:rsidR="00155ABE" w:rsidRPr="00092862">
        <w:rPr>
          <w:rFonts w:ascii="Times New Roman" w:eastAsia="黑体" w:hAnsi="Times New Roman"/>
          <w:b w:val="0"/>
          <w:color w:val="000000" w:themeColor="text1"/>
          <w:sz w:val="24"/>
          <w:szCs w:val="24"/>
          <w:lang w:eastAsia="zh-CN"/>
        </w:rPr>
        <w:t>.1.4</w:t>
      </w:r>
      <w:r w:rsidR="00155ABE" w:rsidRPr="00092862">
        <w:rPr>
          <w:rFonts w:ascii="Times New Roman" w:eastAsia="黑体" w:hAnsi="Times New Roman"/>
          <w:b w:val="0"/>
          <w:color w:val="000000" w:themeColor="text1"/>
          <w:sz w:val="24"/>
          <w:szCs w:val="24"/>
          <w:lang w:eastAsia="zh-CN"/>
        </w:rPr>
        <w:t>清洁生产结论</w:t>
      </w:r>
      <w:bookmarkEnd w:id="408"/>
    </w:p>
    <w:p w14:paraId="0B2319B2" w14:textId="77777777" w:rsidR="00280DAC" w:rsidRPr="00092862" w:rsidRDefault="00155ABE" w:rsidP="00155ABE">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贯彻了清洁生产原则，符合清洁生产的要求及国家目前有关节能减排要求。为保持良好的清洁生产水平，鉴于钻井工程属高风险行业，本评价建议主要是加强管理，减少生产中的跑、冒、滴、漏现象，同时按照钻井行业规范做好井控和防喷措施，做好现场的应急措施。加强人员培训，提高职工清洁生产意识，尽可能的避免环境风险事故的发生，将本项目清洁生产维持在国内先进水平。</w:t>
      </w:r>
    </w:p>
    <w:p w14:paraId="5C9D7F8E" w14:textId="3C0348DB" w:rsidR="00280DAC" w:rsidRPr="00092862" w:rsidRDefault="00704F23" w:rsidP="00155ABE">
      <w:pPr>
        <w:pStyle w:val="2"/>
        <w:ind w:firstLine="480"/>
        <w:jc w:val="both"/>
        <w:rPr>
          <w:color w:val="000000" w:themeColor="text1"/>
          <w:szCs w:val="24"/>
          <w:lang w:eastAsia="zh-CN"/>
        </w:rPr>
      </w:pPr>
      <w:bookmarkStart w:id="409" w:name="_Toc123682563"/>
      <w:r w:rsidRPr="00092862">
        <w:rPr>
          <w:color w:val="000000" w:themeColor="text1"/>
          <w:szCs w:val="24"/>
          <w:lang w:eastAsia="zh-CN"/>
        </w:rPr>
        <w:t>9</w:t>
      </w:r>
      <w:r w:rsidR="00155ABE" w:rsidRPr="00092862">
        <w:rPr>
          <w:color w:val="000000" w:themeColor="text1"/>
          <w:szCs w:val="24"/>
          <w:lang w:eastAsia="zh-CN"/>
        </w:rPr>
        <w:t>.2</w:t>
      </w:r>
      <w:r w:rsidR="00155ABE" w:rsidRPr="00092862">
        <w:rPr>
          <w:color w:val="000000" w:themeColor="text1"/>
          <w:szCs w:val="24"/>
          <w:lang w:eastAsia="zh-CN"/>
        </w:rPr>
        <w:t>总量控制</w:t>
      </w:r>
      <w:bookmarkEnd w:id="409"/>
    </w:p>
    <w:p w14:paraId="213345C7" w14:textId="66ACC150" w:rsidR="00155ABE" w:rsidRPr="00092862" w:rsidRDefault="00155ABE" w:rsidP="00155ABE">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本项目为天然气开发</w:t>
      </w:r>
      <w:r w:rsidR="006250BC" w:rsidRPr="00092862">
        <w:rPr>
          <w:rFonts w:ascii="Times New Roman" w:eastAsia="宋体" w:hAnsi="Times New Roman" w:cs="Times New Roman"/>
          <w:bCs/>
          <w:color w:val="000000" w:themeColor="text1"/>
          <w:sz w:val="24"/>
          <w:szCs w:val="24"/>
        </w:rPr>
        <w:t>勘探</w:t>
      </w:r>
      <w:r w:rsidRPr="00092862">
        <w:rPr>
          <w:rFonts w:ascii="Times New Roman" w:eastAsia="宋体" w:hAnsi="Times New Roman" w:cs="Times New Roman"/>
          <w:bCs/>
          <w:color w:val="000000" w:themeColor="text1"/>
          <w:sz w:val="24"/>
          <w:szCs w:val="24"/>
        </w:rPr>
        <w:t>项目，根据《关于做好固定污染源排污许可清理整顿和</w:t>
      </w:r>
      <w:r w:rsidRPr="00092862">
        <w:rPr>
          <w:rFonts w:ascii="Times New Roman" w:eastAsia="宋体" w:hAnsi="Times New Roman" w:cs="Times New Roman"/>
          <w:bCs/>
          <w:color w:val="000000" w:themeColor="text1"/>
          <w:sz w:val="24"/>
          <w:szCs w:val="24"/>
        </w:rPr>
        <w:t>2020</w:t>
      </w:r>
      <w:r w:rsidRPr="00092862">
        <w:rPr>
          <w:rFonts w:ascii="Times New Roman" w:eastAsia="宋体" w:hAnsi="Times New Roman" w:cs="Times New Roman"/>
          <w:bCs/>
          <w:color w:val="000000" w:themeColor="text1"/>
          <w:sz w:val="24"/>
          <w:szCs w:val="24"/>
        </w:rPr>
        <w:t>年排污许可发证登记工作的通知》（环办环评函〔</w:t>
      </w:r>
      <w:r w:rsidRPr="00092862">
        <w:rPr>
          <w:rFonts w:ascii="Times New Roman" w:eastAsia="宋体" w:hAnsi="Times New Roman" w:cs="Times New Roman"/>
          <w:bCs/>
          <w:color w:val="000000" w:themeColor="text1"/>
          <w:sz w:val="24"/>
          <w:szCs w:val="24"/>
        </w:rPr>
        <w:t>2019</w:t>
      </w:r>
      <w:r w:rsidRPr="00092862">
        <w:rPr>
          <w:rFonts w:ascii="Times New Roman" w:eastAsia="宋体" w:hAnsi="Times New Roman" w:cs="Times New Roman"/>
          <w:bCs/>
          <w:color w:val="000000" w:themeColor="text1"/>
          <w:sz w:val="24"/>
          <w:szCs w:val="24"/>
        </w:rPr>
        <w:t>〕</w:t>
      </w:r>
      <w:r w:rsidRPr="00092862">
        <w:rPr>
          <w:rFonts w:ascii="Times New Roman" w:eastAsia="宋体" w:hAnsi="Times New Roman" w:cs="Times New Roman"/>
          <w:bCs/>
          <w:color w:val="000000" w:themeColor="text1"/>
          <w:sz w:val="24"/>
          <w:szCs w:val="24"/>
        </w:rPr>
        <w:t>939</w:t>
      </w:r>
      <w:r w:rsidRPr="00092862">
        <w:rPr>
          <w:rFonts w:ascii="Times New Roman" w:eastAsia="宋体" w:hAnsi="Times New Roman" w:cs="Times New Roman"/>
          <w:bCs/>
          <w:color w:val="000000" w:themeColor="text1"/>
          <w:sz w:val="24"/>
          <w:szCs w:val="24"/>
        </w:rPr>
        <w:t>号）和《固定污染源排污许可分类管理名录》（</w:t>
      </w:r>
      <w:r w:rsidRPr="00092862">
        <w:rPr>
          <w:rFonts w:ascii="Times New Roman" w:eastAsia="宋体" w:hAnsi="Times New Roman" w:cs="Times New Roman"/>
          <w:bCs/>
          <w:color w:val="000000" w:themeColor="text1"/>
          <w:sz w:val="24"/>
          <w:szCs w:val="24"/>
        </w:rPr>
        <w:t>2019</w:t>
      </w:r>
      <w:r w:rsidRPr="00092862">
        <w:rPr>
          <w:rFonts w:ascii="Times New Roman" w:eastAsia="宋体" w:hAnsi="Times New Roman" w:cs="Times New Roman"/>
          <w:bCs/>
          <w:color w:val="000000" w:themeColor="text1"/>
          <w:sz w:val="24"/>
          <w:szCs w:val="24"/>
        </w:rPr>
        <w:t>年版），本项目实行登记管理。中国石油化工股份有限公司</w:t>
      </w:r>
      <w:r w:rsidR="005E600F" w:rsidRPr="00092862">
        <w:rPr>
          <w:rFonts w:ascii="Times New Roman" w:eastAsia="宋体" w:hAnsi="Times New Roman" w:cs="Times New Roman"/>
          <w:bCs/>
          <w:color w:val="000000" w:themeColor="text1"/>
          <w:sz w:val="24"/>
          <w:szCs w:val="24"/>
        </w:rPr>
        <w:t>中原油田普光分公司</w:t>
      </w:r>
      <w:r w:rsidRPr="00092862">
        <w:rPr>
          <w:rFonts w:ascii="Times New Roman" w:eastAsia="宋体" w:hAnsi="Times New Roman" w:cs="Times New Roman"/>
          <w:bCs/>
          <w:color w:val="000000" w:themeColor="text1"/>
          <w:sz w:val="24"/>
          <w:szCs w:val="24"/>
        </w:rPr>
        <w:t>在</w:t>
      </w:r>
      <w:r w:rsidR="00A4737C" w:rsidRPr="00092862">
        <w:rPr>
          <w:rFonts w:ascii="Times New Roman" w:eastAsia="宋体" w:hAnsi="Times New Roman" w:cs="Times New Roman"/>
          <w:bCs/>
          <w:color w:val="000000" w:themeColor="text1"/>
          <w:sz w:val="24"/>
          <w:szCs w:val="24"/>
        </w:rPr>
        <w:t>达州</w:t>
      </w:r>
      <w:r w:rsidRPr="00092862">
        <w:rPr>
          <w:rFonts w:ascii="Times New Roman" w:eastAsia="宋体" w:hAnsi="Times New Roman" w:cs="Times New Roman"/>
          <w:bCs/>
          <w:color w:val="000000" w:themeColor="text1"/>
          <w:sz w:val="24"/>
          <w:szCs w:val="24"/>
        </w:rPr>
        <w:t>地区各个</w:t>
      </w:r>
      <w:r w:rsidR="00F30AFD" w:rsidRPr="00092862">
        <w:rPr>
          <w:rFonts w:ascii="Times New Roman" w:eastAsia="宋体" w:hAnsi="Times New Roman" w:cs="Times New Roman"/>
          <w:bCs/>
          <w:color w:val="000000" w:themeColor="text1"/>
          <w:sz w:val="24"/>
          <w:szCs w:val="24"/>
        </w:rPr>
        <w:t>集气站</w:t>
      </w:r>
      <w:r w:rsidR="00D10F07" w:rsidRPr="00092862">
        <w:rPr>
          <w:rFonts w:ascii="Times New Roman" w:eastAsia="宋体" w:hAnsi="Times New Roman" w:cs="Times New Roman"/>
          <w:bCs/>
          <w:color w:val="000000" w:themeColor="text1"/>
          <w:sz w:val="24"/>
          <w:szCs w:val="24"/>
        </w:rPr>
        <w:t>场</w:t>
      </w:r>
      <w:r w:rsidRPr="00092862">
        <w:rPr>
          <w:rFonts w:ascii="Times New Roman" w:eastAsia="宋体" w:hAnsi="Times New Roman" w:cs="Times New Roman"/>
          <w:bCs/>
          <w:color w:val="000000" w:themeColor="text1"/>
          <w:sz w:val="24"/>
          <w:szCs w:val="24"/>
        </w:rPr>
        <w:t>均无总量控制指标要求，水套加热炉、放散系统按要求缴纳环保税，因此本评价建议本项目不核定大气总量指标。</w:t>
      </w:r>
    </w:p>
    <w:p w14:paraId="470898F1" w14:textId="79E68060" w:rsidR="003B48C3" w:rsidRPr="00092862" w:rsidRDefault="003B48C3" w:rsidP="003B48C3">
      <w:pPr>
        <w:adjustRightInd w:val="0"/>
        <w:snapToGrid w:val="0"/>
        <w:spacing w:line="360" w:lineRule="auto"/>
        <w:ind w:firstLineChars="200" w:firstLine="480"/>
        <w:rPr>
          <w:rFonts w:ascii="Times New Roman" w:eastAsia="宋体" w:hAnsi="Times New Roman" w:cs="Times New Roman"/>
          <w:bCs/>
          <w:color w:val="000000" w:themeColor="text1"/>
        </w:rPr>
      </w:pPr>
      <w:bookmarkStart w:id="410" w:name="第八章_环境管理与环境监测"/>
      <w:bookmarkStart w:id="411" w:name="_bookmark38"/>
      <w:bookmarkEnd w:id="410"/>
      <w:bookmarkEnd w:id="411"/>
      <w:r w:rsidRPr="00092862">
        <w:rPr>
          <w:rFonts w:ascii="Times New Roman" w:eastAsia="宋体" w:hAnsi="Times New Roman" w:cs="Times New Roman"/>
          <w:bCs/>
          <w:color w:val="000000" w:themeColor="text1"/>
          <w:sz w:val="24"/>
          <w:szCs w:val="24"/>
        </w:rPr>
        <w:t>项目钻井废水、洗井废水和压裂返排液通过</w:t>
      </w:r>
      <w:r w:rsidR="004B382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w:t>
      </w:r>
      <w:r w:rsidR="005D5A22" w:rsidRPr="00092862">
        <w:rPr>
          <w:rFonts w:ascii="Times New Roman" w:eastAsia="宋体" w:hAnsi="Times New Roman" w:cs="Times New Roman"/>
          <w:color w:val="000000" w:themeColor="text1"/>
          <w:sz w:val="24"/>
          <w:szCs w:val="24"/>
        </w:rPr>
        <w:lastRenderedPageBreak/>
        <w:t>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4B382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bCs/>
          <w:color w:val="000000" w:themeColor="text1"/>
          <w:sz w:val="24"/>
          <w:szCs w:val="24"/>
        </w:rPr>
        <w:t>，采气废水</w:t>
      </w:r>
      <w:r w:rsidR="004B382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4B382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bCs/>
          <w:color w:val="000000" w:themeColor="text1"/>
          <w:sz w:val="24"/>
          <w:szCs w:val="24"/>
        </w:rPr>
        <w:t>。本项目处理后回注的废水不计算总量，处理后外排的废水的总量纳入依托的废水处理设施总量指标。</w:t>
      </w:r>
    </w:p>
    <w:p w14:paraId="2FE0317D" w14:textId="77777777" w:rsidR="00DC446C" w:rsidRPr="00092862" w:rsidRDefault="00DC446C" w:rsidP="003D2EEB">
      <w:pPr>
        <w:adjustRightInd w:val="0"/>
        <w:snapToGrid w:val="0"/>
        <w:spacing w:line="360" w:lineRule="auto"/>
        <w:ind w:firstLineChars="200" w:firstLine="480"/>
        <w:rPr>
          <w:rFonts w:ascii="Times New Roman" w:hAnsi="Times New Roman" w:cs="Times New Roman"/>
          <w:color w:val="000000" w:themeColor="text1"/>
          <w:sz w:val="24"/>
          <w:szCs w:val="24"/>
        </w:rPr>
        <w:sectPr w:rsidR="00DC446C" w:rsidRPr="00092862" w:rsidSect="00C04A25">
          <w:pgSz w:w="11910" w:h="16840"/>
          <w:pgMar w:top="1440" w:right="1800" w:bottom="1440" w:left="1800" w:header="1213" w:footer="635" w:gutter="0"/>
          <w:cols w:space="720"/>
        </w:sectPr>
      </w:pPr>
    </w:p>
    <w:p w14:paraId="46D75D61" w14:textId="04B9939C" w:rsidR="00DC446C" w:rsidRPr="00092862" w:rsidRDefault="00704F23"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412" w:name="_Toc123682564"/>
      <w:r w:rsidRPr="00092862">
        <w:rPr>
          <w:rFonts w:ascii="Times New Roman" w:eastAsia="黑体" w:hAnsi="Times New Roman"/>
          <w:b w:val="0"/>
          <w:color w:val="000000" w:themeColor="text1"/>
          <w:sz w:val="28"/>
          <w:szCs w:val="28"/>
          <w:lang w:eastAsia="zh-CN"/>
        </w:rPr>
        <w:lastRenderedPageBreak/>
        <w:t>10</w:t>
      </w:r>
      <w:r w:rsidR="003B1968" w:rsidRPr="00092862">
        <w:rPr>
          <w:rFonts w:ascii="Times New Roman" w:eastAsia="黑体" w:hAnsi="Times New Roman"/>
          <w:b w:val="0"/>
          <w:color w:val="000000" w:themeColor="text1"/>
          <w:sz w:val="28"/>
          <w:szCs w:val="28"/>
          <w:lang w:eastAsia="zh-CN"/>
        </w:rPr>
        <w:t>环境管理与环境监测</w:t>
      </w:r>
      <w:bookmarkEnd w:id="412"/>
    </w:p>
    <w:p w14:paraId="4F262B54" w14:textId="59CC1ADC" w:rsidR="00DC446C" w:rsidRPr="00092862" w:rsidRDefault="00704F23" w:rsidP="003D2EEB">
      <w:pPr>
        <w:pStyle w:val="2"/>
        <w:ind w:firstLine="480"/>
        <w:rPr>
          <w:color w:val="000000" w:themeColor="text1"/>
          <w:szCs w:val="24"/>
          <w:lang w:eastAsia="zh-CN"/>
        </w:rPr>
      </w:pPr>
      <w:bookmarkStart w:id="413" w:name="8.1环境管理"/>
      <w:bookmarkStart w:id="414" w:name="_bookmark39"/>
      <w:bookmarkStart w:id="415" w:name="_Toc123682565"/>
      <w:bookmarkEnd w:id="413"/>
      <w:bookmarkEnd w:id="414"/>
      <w:r w:rsidRPr="00092862">
        <w:rPr>
          <w:color w:val="000000" w:themeColor="text1"/>
          <w:szCs w:val="24"/>
          <w:lang w:eastAsia="zh-CN"/>
        </w:rPr>
        <w:t>10</w:t>
      </w:r>
      <w:r w:rsidR="003B1968" w:rsidRPr="00092862">
        <w:rPr>
          <w:color w:val="000000" w:themeColor="text1"/>
          <w:szCs w:val="24"/>
          <w:lang w:eastAsia="zh-CN"/>
        </w:rPr>
        <w:t>.1</w:t>
      </w:r>
      <w:r w:rsidR="003B1968" w:rsidRPr="00092862">
        <w:rPr>
          <w:color w:val="000000" w:themeColor="text1"/>
          <w:szCs w:val="24"/>
          <w:lang w:eastAsia="zh-CN"/>
        </w:rPr>
        <w:t>环境管理</w:t>
      </w:r>
      <w:bookmarkEnd w:id="415"/>
    </w:p>
    <w:p w14:paraId="06590E3C" w14:textId="1E9C1B5E"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416" w:name="8.1.1环境管理的目的和意义"/>
      <w:bookmarkStart w:id="417" w:name="_Toc120173242"/>
      <w:bookmarkEnd w:id="416"/>
      <w:r w:rsidRPr="00092862">
        <w:rPr>
          <w:rFonts w:ascii="Times New Roman" w:eastAsia="黑体" w:hAnsi="Times New Roman"/>
          <w:b w:val="0"/>
          <w:color w:val="000000" w:themeColor="text1"/>
          <w:sz w:val="24"/>
          <w:szCs w:val="24"/>
          <w:lang w:eastAsia="zh-CN"/>
        </w:rPr>
        <w:t>10</w:t>
      </w:r>
      <w:r w:rsidR="003B1968" w:rsidRPr="00092862">
        <w:rPr>
          <w:rFonts w:ascii="Times New Roman" w:eastAsia="黑体" w:hAnsi="Times New Roman"/>
          <w:b w:val="0"/>
          <w:color w:val="000000" w:themeColor="text1"/>
          <w:sz w:val="24"/>
          <w:szCs w:val="24"/>
          <w:lang w:eastAsia="zh-CN"/>
        </w:rPr>
        <w:t>.1.1</w:t>
      </w:r>
      <w:r w:rsidR="003B1968" w:rsidRPr="00092862">
        <w:rPr>
          <w:rFonts w:ascii="Times New Roman" w:eastAsia="黑体" w:hAnsi="Times New Roman"/>
          <w:b w:val="0"/>
          <w:color w:val="000000" w:themeColor="text1"/>
          <w:sz w:val="24"/>
          <w:szCs w:val="24"/>
          <w:lang w:eastAsia="zh-CN"/>
        </w:rPr>
        <w:t>环境管理的目的和意义</w:t>
      </w:r>
      <w:bookmarkEnd w:id="417"/>
    </w:p>
    <w:p w14:paraId="2183C9AC" w14:textId="77777777" w:rsidR="00DC446C"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14:paraId="57DC95F6" w14:textId="724E6643" w:rsidR="00DC446C"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项目建成后应加强环境管理工作，按照国家的环保政策，建立环境管理制度，治理污染源，减少污染物的排放，最大限度的减少项目施工期和</w:t>
      </w:r>
      <w:r w:rsidR="001A6854" w:rsidRPr="00092862">
        <w:rPr>
          <w:rFonts w:ascii="Times New Roman" w:hAnsi="Times New Roman"/>
          <w:bCs/>
          <w:color w:val="000000" w:themeColor="text1"/>
          <w:kern w:val="2"/>
          <w:lang w:eastAsia="zh-CN"/>
        </w:rPr>
        <w:t>试采期</w:t>
      </w:r>
      <w:r w:rsidRPr="00092862">
        <w:rPr>
          <w:rFonts w:ascii="Times New Roman" w:hAnsi="Times New Roman"/>
          <w:bCs/>
          <w:color w:val="000000" w:themeColor="text1"/>
          <w:kern w:val="2"/>
          <w:lang w:eastAsia="zh-CN"/>
        </w:rPr>
        <w:t>对周围环境的不利影响，实现经济效益、社会效益和环境效益的统一。</w:t>
      </w:r>
    </w:p>
    <w:p w14:paraId="1A43F9A3" w14:textId="2DC23C94" w:rsidR="00DC446C" w:rsidRPr="00092862" w:rsidRDefault="00704F23" w:rsidP="003D2EEB">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418" w:name="8.1.2环境管理机构及职责"/>
      <w:bookmarkStart w:id="419" w:name="_Toc120173243"/>
      <w:bookmarkEnd w:id="418"/>
      <w:r w:rsidRPr="00092862">
        <w:rPr>
          <w:rFonts w:ascii="Times New Roman" w:eastAsia="黑体" w:hAnsi="Times New Roman"/>
          <w:b w:val="0"/>
          <w:color w:val="000000" w:themeColor="text1"/>
          <w:sz w:val="24"/>
          <w:szCs w:val="24"/>
          <w:lang w:eastAsia="zh-CN"/>
        </w:rPr>
        <w:t>10</w:t>
      </w:r>
      <w:r w:rsidR="003B1968" w:rsidRPr="00092862">
        <w:rPr>
          <w:rFonts w:ascii="Times New Roman" w:eastAsia="黑体" w:hAnsi="Times New Roman"/>
          <w:b w:val="0"/>
          <w:color w:val="000000" w:themeColor="text1"/>
          <w:sz w:val="24"/>
          <w:szCs w:val="24"/>
          <w:lang w:eastAsia="zh-CN"/>
        </w:rPr>
        <w:t>.1.</w:t>
      </w:r>
      <w:r w:rsidR="00173435" w:rsidRPr="00092862">
        <w:rPr>
          <w:rFonts w:ascii="Times New Roman" w:eastAsia="黑体" w:hAnsi="Times New Roman"/>
          <w:b w:val="0"/>
          <w:color w:val="000000" w:themeColor="text1"/>
          <w:sz w:val="24"/>
          <w:szCs w:val="24"/>
          <w:lang w:eastAsia="zh-CN"/>
        </w:rPr>
        <w:t>2</w:t>
      </w:r>
      <w:r w:rsidR="003B1968" w:rsidRPr="00092862">
        <w:rPr>
          <w:rFonts w:ascii="Times New Roman" w:eastAsia="黑体" w:hAnsi="Times New Roman"/>
          <w:b w:val="0"/>
          <w:color w:val="000000" w:themeColor="text1"/>
          <w:sz w:val="24"/>
          <w:szCs w:val="24"/>
          <w:lang w:eastAsia="zh-CN"/>
        </w:rPr>
        <w:t>施工期环境管理</w:t>
      </w:r>
      <w:bookmarkEnd w:id="419"/>
    </w:p>
    <w:p w14:paraId="24FC852E"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bookmarkStart w:id="420" w:name="8.1.4运营期环境管理"/>
      <w:bookmarkEnd w:id="420"/>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、建立有效的环保措施落实监督检查机制</w:t>
      </w:r>
    </w:p>
    <w:p w14:paraId="068DFBB3"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14:paraId="0FFDA82B"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在钻井施工阶段重点监督检查如下环保措施：</w:t>
      </w:r>
    </w:p>
    <w:p w14:paraId="11293E8F"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）泥浆不落地处理环保措施的执行和运行情况，确保措施有效、可靠、可行；</w:t>
      </w:r>
    </w:p>
    <w:p w14:paraId="7651AB9E"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）按照环保设计和环评文件要求，监督检查废水、固废严禁外排措施的执行情况；</w:t>
      </w:r>
    </w:p>
    <w:p w14:paraId="3631CB07"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）监督检查环境风险防范措施、应急预案、应急演练、地下水跟踪监测计划等制度措施制定和执行情况。</w:t>
      </w:r>
    </w:p>
    <w:p w14:paraId="2F46A47C"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在压裂阶段重点监督检查如下环保措施：</w:t>
      </w:r>
    </w:p>
    <w:p w14:paraId="4420F3D3"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）阶段取水，避免对当地水资源的占用影响当地河流水体生境；</w:t>
      </w:r>
    </w:p>
    <w:p w14:paraId="3F36CA22"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）返排液收集、转运、处置措施执行情况；</w:t>
      </w:r>
    </w:p>
    <w:p w14:paraId="33F54415"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3</w:t>
      </w:r>
      <w:r w:rsidRPr="00092862">
        <w:rPr>
          <w:rFonts w:ascii="Times New Roman" w:hAnsi="Times New Roman"/>
          <w:bCs/>
          <w:color w:val="000000" w:themeColor="text1"/>
          <w:kern w:val="2"/>
          <w:lang w:eastAsia="zh-CN"/>
        </w:rPr>
        <w:t>）分区防渗措施可靠性情况，监督检查是否发生污染泄漏并及时整改。</w:t>
      </w:r>
    </w:p>
    <w:p w14:paraId="6341A947"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、建立有效的环境管理机构</w:t>
      </w:r>
    </w:p>
    <w:p w14:paraId="6907E5DA"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建设方应设专人负责各作业单元</w:t>
      </w:r>
      <w:r w:rsidRPr="00092862">
        <w:rPr>
          <w:rFonts w:ascii="Times New Roman" w:hAnsi="Times New Roman"/>
          <w:bCs/>
          <w:color w:val="000000" w:themeColor="text1"/>
          <w:kern w:val="2"/>
          <w:lang w:eastAsia="zh-CN"/>
        </w:rPr>
        <w:t>HSE</w:t>
      </w:r>
      <w:r w:rsidRPr="00092862">
        <w:rPr>
          <w:rFonts w:ascii="Times New Roman" w:hAnsi="Times New Roman"/>
          <w:bCs/>
          <w:color w:val="000000" w:themeColor="text1"/>
          <w:kern w:val="2"/>
          <w:lang w:eastAsia="zh-CN"/>
        </w:rPr>
        <w:t>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14:paraId="6F09CCF6"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、建立完善的环保工作计划</w:t>
      </w:r>
    </w:p>
    <w:p w14:paraId="6608E15E"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）在施工前制定环境保护规划</w:t>
      </w:r>
    </w:p>
    <w:p w14:paraId="7DBAB17B"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收集施工地区现有的自然生态环境、社会环境状况以及当地政府有关环境保护的法规等，作为制定规划的依据。重点考虑生态、野生动物、植物等。</w:t>
      </w:r>
    </w:p>
    <w:p w14:paraId="7E37AFD2"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）进行环境保护培训</w:t>
      </w:r>
    </w:p>
    <w:p w14:paraId="3960FA1C"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在施工前需对全体员工进行环境保护知识和环保意识培训，并结合施工计划提出具体的环保措施。</w:t>
      </w:r>
    </w:p>
    <w:p w14:paraId="5867D086"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）紧急情况处理计划</w:t>
      </w:r>
    </w:p>
    <w:p w14:paraId="21B7820B"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计划中要考虑施工中可能出现的紧急情况，并明确处理紧急情况的协调及提交相关的恢复措施报告。</w:t>
      </w:r>
    </w:p>
    <w:p w14:paraId="18049FEA"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）施工结束后的恢复计划</w:t>
      </w:r>
    </w:p>
    <w:p w14:paraId="0C155EFA" w14:textId="77777777" w:rsidR="00563834" w:rsidRPr="00092862" w:rsidRDefault="00563834" w:rsidP="00563834">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施工前必须制定恢复计划，主要包括：收集所有的施工材料废弃物和生活废弃物、填实污水坑并用土压实，尽量恢复工区内的自然排水通道，营地拆出后不留废弃物品，并对现场作业环境和营地环境恢复情况进行回访等。</w:t>
      </w:r>
    </w:p>
    <w:p w14:paraId="7BD5D45A" w14:textId="6DEE85D5" w:rsidR="00DC446C" w:rsidRPr="00092862" w:rsidRDefault="00704F23" w:rsidP="00563834">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421" w:name="_Toc120173244"/>
      <w:r w:rsidRPr="00092862">
        <w:rPr>
          <w:rFonts w:ascii="Times New Roman" w:eastAsia="黑体" w:hAnsi="Times New Roman"/>
          <w:b w:val="0"/>
          <w:color w:val="000000" w:themeColor="text1"/>
          <w:sz w:val="24"/>
          <w:szCs w:val="24"/>
          <w:lang w:eastAsia="zh-CN"/>
        </w:rPr>
        <w:t>10</w:t>
      </w:r>
      <w:r w:rsidR="003B1968" w:rsidRPr="00092862">
        <w:rPr>
          <w:rFonts w:ascii="Times New Roman" w:eastAsia="黑体" w:hAnsi="Times New Roman"/>
          <w:b w:val="0"/>
          <w:color w:val="000000" w:themeColor="text1"/>
          <w:sz w:val="24"/>
          <w:szCs w:val="24"/>
          <w:lang w:eastAsia="zh-CN"/>
        </w:rPr>
        <w:t>.1.</w:t>
      </w:r>
      <w:r w:rsidR="00173435" w:rsidRPr="00092862">
        <w:rPr>
          <w:rFonts w:ascii="Times New Roman" w:eastAsia="黑体" w:hAnsi="Times New Roman"/>
          <w:b w:val="0"/>
          <w:color w:val="000000" w:themeColor="text1"/>
          <w:sz w:val="24"/>
          <w:szCs w:val="24"/>
          <w:lang w:eastAsia="zh-CN"/>
        </w:rPr>
        <w:t>3</w:t>
      </w:r>
      <w:r w:rsidR="001A6854" w:rsidRPr="00092862">
        <w:rPr>
          <w:rFonts w:ascii="Times New Roman" w:eastAsia="黑体" w:hAnsi="Times New Roman"/>
          <w:b w:val="0"/>
          <w:color w:val="000000" w:themeColor="text1"/>
          <w:sz w:val="24"/>
          <w:szCs w:val="24"/>
          <w:lang w:eastAsia="zh-CN"/>
        </w:rPr>
        <w:t>试采期</w:t>
      </w:r>
      <w:r w:rsidR="003B1968" w:rsidRPr="00092862">
        <w:rPr>
          <w:rFonts w:ascii="Times New Roman" w:eastAsia="黑体" w:hAnsi="Times New Roman"/>
          <w:b w:val="0"/>
          <w:color w:val="000000" w:themeColor="text1"/>
          <w:sz w:val="24"/>
          <w:szCs w:val="24"/>
          <w:lang w:eastAsia="zh-CN"/>
        </w:rPr>
        <w:t>环境管理</w:t>
      </w:r>
      <w:bookmarkEnd w:id="421"/>
    </w:p>
    <w:p w14:paraId="4672C899" w14:textId="77777777" w:rsidR="00173435" w:rsidRPr="00092862" w:rsidRDefault="00173435" w:rsidP="001734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、加强环保设备的管理</w:t>
      </w:r>
    </w:p>
    <w:p w14:paraId="3C865D37" w14:textId="77777777" w:rsidR="00173435" w:rsidRPr="00092862" w:rsidRDefault="00173435" w:rsidP="001734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建立环保设备台帐，制定主要环保设备的操作规程及安排专门操作人员，建立重点处理设备的</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环保运行记录</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等。</w:t>
      </w:r>
    </w:p>
    <w:p w14:paraId="09B2D356" w14:textId="77777777" w:rsidR="00173435" w:rsidRPr="00092862" w:rsidRDefault="00173435" w:rsidP="001734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、落实管理制度</w:t>
      </w:r>
    </w:p>
    <w:p w14:paraId="2C62413E" w14:textId="77777777" w:rsidR="00173435" w:rsidRPr="00092862" w:rsidRDefault="00173435" w:rsidP="001734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除加强环保设备的基础管理外，尚需狠抓制度的落实，制定环保经济责任制考核制度，以提高各部门对环境保护的责任感。</w:t>
      </w:r>
    </w:p>
    <w:p w14:paraId="509D9BEA" w14:textId="564E3B7F" w:rsidR="00DC446C" w:rsidRPr="00092862" w:rsidRDefault="00173435" w:rsidP="0017343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在项目</w:t>
      </w:r>
      <w:r w:rsidR="00563834" w:rsidRPr="00092862">
        <w:rPr>
          <w:rFonts w:ascii="Times New Roman" w:hAnsi="Times New Roman"/>
          <w:bCs/>
          <w:color w:val="000000" w:themeColor="text1"/>
          <w:kern w:val="2"/>
          <w:lang w:eastAsia="zh-CN"/>
        </w:rPr>
        <w:t>试采</w:t>
      </w:r>
      <w:r w:rsidRPr="00092862">
        <w:rPr>
          <w:rFonts w:ascii="Times New Roman" w:hAnsi="Times New Roman"/>
          <w:bCs/>
          <w:color w:val="000000" w:themeColor="text1"/>
          <w:kern w:val="2"/>
          <w:lang w:eastAsia="zh-CN"/>
        </w:rPr>
        <w:t>期，环境管理除做好监督与检查站场各项环保设施的运行和维护等工作外，工作重点应针对</w:t>
      </w:r>
      <w:r w:rsidR="00CB219C" w:rsidRPr="00092862">
        <w:rPr>
          <w:rFonts w:ascii="Times New Roman" w:hAnsi="Times New Roman"/>
          <w:bCs/>
          <w:color w:val="000000" w:themeColor="text1"/>
          <w:kern w:val="2"/>
          <w:lang w:eastAsia="zh-CN"/>
        </w:rPr>
        <w:t>工艺装置或</w:t>
      </w:r>
      <w:r w:rsidRPr="00092862">
        <w:rPr>
          <w:rFonts w:ascii="Times New Roman" w:hAnsi="Times New Roman"/>
          <w:bCs/>
          <w:color w:val="000000" w:themeColor="text1"/>
          <w:kern w:val="2"/>
          <w:lang w:eastAsia="zh-CN"/>
        </w:rPr>
        <w:t>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r w:rsidR="00FD316E" w:rsidRPr="00092862">
        <w:rPr>
          <w:rFonts w:ascii="Times New Roman" w:hAnsi="Times New Roman"/>
          <w:bCs/>
          <w:color w:val="000000" w:themeColor="text1"/>
          <w:kern w:val="2"/>
          <w:lang w:eastAsia="zh-CN"/>
        </w:rPr>
        <w:t>。</w:t>
      </w:r>
    </w:p>
    <w:p w14:paraId="49733ABF" w14:textId="104FA416" w:rsidR="00DC446C" w:rsidRPr="00092862" w:rsidRDefault="00704F23" w:rsidP="003D2EEB">
      <w:pPr>
        <w:pStyle w:val="2"/>
        <w:ind w:firstLine="480"/>
        <w:rPr>
          <w:color w:val="000000" w:themeColor="text1"/>
          <w:szCs w:val="24"/>
          <w:lang w:eastAsia="zh-CN"/>
        </w:rPr>
      </w:pPr>
      <w:bookmarkStart w:id="422" w:name="_Toc123682566"/>
      <w:r w:rsidRPr="00092862">
        <w:rPr>
          <w:color w:val="000000" w:themeColor="text1"/>
          <w:szCs w:val="24"/>
          <w:lang w:eastAsia="zh-CN"/>
        </w:rPr>
        <w:t>10</w:t>
      </w:r>
      <w:r w:rsidR="003B1968" w:rsidRPr="00092862">
        <w:rPr>
          <w:color w:val="000000" w:themeColor="text1"/>
          <w:szCs w:val="24"/>
          <w:lang w:eastAsia="zh-CN"/>
        </w:rPr>
        <w:t>.2</w:t>
      </w:r>
      <w:r w:rsidR="003B1968" w:rsidRPr="00092862">
        <w:rPr>
          <w:color w:val="000000" w:themeColor="text1"/>
          <w:szCs w:val="24"/>
          <w:lang w:eastAsia="zh-CN"/>
        </w:rPr>
        <w:t>污染物排放清单</w:t>
      </w:r>
      <w:bookmarkEnd w:id="422"/>
    </w:p>
    <w:p w14:paraId="64A189F3" w14:textId="61C65970" w:rsidR="00DC446C"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根据《建设项目环境影响评价技术导则</w:t>
      </w:r>
      <w:r w:rsidRPr="00092862">
        <w:rPr>
          <w:rFonts w:ascii="Times New Roman" w:hAnsi="Times New Roman"/>
          <w:bCs/>
          <w:color w:val="000000" w:themeColor="text1"/>
          <w:kern w:val="2"/>
          <w:lang w:eastAsia="zh-CN"/>
        </w:rPr>
        <w:t xml:space="preserve"> </w:t>
      </w:r>
      <w:r w:rsidRPr="00092862">
        <w:rPr>
          <w:rFonts w:ascii="Times New Roman" w:hAnsi="Times New Roman"/>
          <w:bCs/>
          <w:color w:val="000000" w:themeColor="text1"/>
          <w:kern w:val="2"/>
          <w:lang w:eastAsia="zh-CN"/>
        </w:rPr>
        <w:t>总纲》（</w:t>
      </w:r>
      <w:r w:rsidRPr="00092862">
        <w:rPr>
          <w:rFonts w:ascii="Times New Roman" w:hAnsi="Times New Roman"/>
          <w:bCs/>
          <w:color w:val="000000" w:themeColor="text1"/>
          <w:kern w:val="2"/>
          <w:lang w:eastAsia="zh-CN"/>
        </w:rPr>
        <w:t>HJ2.1-2016</w:t>
      </w:r>
      <w:r w:rsidRPr="00092862">
        <w:rPr>
          <w:rFonts w:ascii="Times New Roman" w:hAnsi="Times New Roman"/>
          <w:bCs/>
          <w:color w:val="000000" w:themeColor="text1"/>
          <w:kern w:val="2"/>
          <w:lang w:eastAsia="zh-CN"/>
        </w:rPr>
        <w:t>）相关要求，建设目应给出污染物排放清单，明确污染物排放的管理要求。包括工程组成及原辅材料组分要求，建设项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表</w:t>
      </w:r>
      <w:r w:rsidR="00704F23" w:rsidRPr="00092862">
        <w:rPr>
          <w:rFonts w:ascii="Times New Roman" w:hAnsi="Times New Roman"/>
          <w:bCs/>
          <w:color w:val="000000" w:themeColor="text1"/>
          <w:kern w:val="2"/>
          <w:lang w:eastAsia="zh-CN"/>
        </w:rPr>
        <w:t>10</w:t>
      </w:r>
      <w:r w:rsidRPr="00092862">
        <w:rPr>
          <w:rFonts w:ascii="Times New Roman" w:hAnsi="Times New Roman"/>
          <w:bCs/>
          <w:color w:val="000000" w:themeColor="text1"/>
          <w:kern w:val="2"/>
          <w:lang w:eastAsia="zh-CN"/>
        </w:rPr>
        <w:t>.2-1</w:t>
      </w:r>
      <w:r w:rsidRPr="00092862">
        <w:rPr>
          <w:rFonts w:ascii="Times New Roman" w:hAnsi="Times New Roman"/>
          <w:bCs/>
          <w:color w:val="000000" w:themeColor="text1"/>
          <w:kern w:val="2"/>
          <w:lang w:eastAsia="zh-CN"/>
        </w:rPr>
        <w:t>。</w:t>
      </w:r>
    </w:p>
    <w:p w14:paraId="243623F1" w14:textId="77777777" w:rsidR="00DC446C" w:rsidRPr="00092862" w:rsidRDefault="00DC446C"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sectPr w:rsidR="00DC446C" w:rsidRPr="00092862" w:rsidSect="006C1E5A">
          <w:footerReference w:type="default" r:id="rId123"/>
          <w:pgSz w:w="11910" w:h="16840"/>
          <w:pgMar w:top="1440" w:right="1800" w:bottom="1440" w:left="1800" w:header="1297" w:footer="634" w:gutter="0"/>
          <w:cols w:space="720"/>
          <w:docGrid w:linePitch="299"/>
        </w:sectPr>
      </w:pPr>
    </w:p>
    <w:p w14:paraId="4C0DA745" w14:textId="4EF4F85D" w:rsidR="00DC446C" w:rsidRPr="00092862" w:rsidRDefault="003B1968"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704F23" w:rsidRPr="00092862">
        <w:rPr>
          <w:rFonts w:ascii="Times New Roman" w:eastAsia="黑体" w:hAnsi="Times New Roman"/>
          <w:color w:val="000000" w:themeColor="text1"/>
          <w:sz w:val="21"/>
          <w:szCs w:val="21"/>
          <w:lang w:eastAsia="zh-CN"/>
        </w:rPr>
        <w:t>10</w:t>
      </w:r>
      <w:r w:rsidRPr="00092862">
        <w:rPr>
          <w:rFonts w:ascii="Times New Roman" w:eastAsia="黑体" w:hAnsi="Times New Roman"/>
          <w:color w:val="000000" w:themeColor="text1"/>
          <w:sz w:val="21"/>
          <w:szCs w:val="21"/>
          <w:lang w:eastAsia="zh-CN"/>
        </w:rPr>
        <w:t xml:space="preserve">.2-1    </w:t>
      </w:r>
      <w:r w:rsidRPr="00092862">
        <w:rPr>
          <w:rFonts w:ascii="Times New Roman" w:eastAsia="黑体" w:hAnsi="Times New Roman"/>
          <w:color w:val="000000" w:themeColor="text1"/>
          <w:sz w:val="21"/>
          <w:szCs w:val="21"/>
          <w:lang w:eastAsia="zh-CN"/>
        </w:rPr>
        <w:t>本项目污染物排放清单一览表</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18"/>
        <w:gridCol w:w="1276"/>
        <w:gridCol w:w="881"/>
        <w:gridCol w:w="801"/>
        <w:gridCol w:w="869"/>
        <w:gridCol w:w="3402"/>
        <w:gridCol w:w="1276"/>
        <w:gridCol w:w="2122"/>
        <w:gridCol w:w="718"/>
      </w:tblGrid>
      <w:tr w:rsidR="00697429" w:rsidRPr="00092862" w14:paraId="061AB646" w14:textId="77777777" w:rsidTr="003D70E6">
        <w:trPr>
          <w:jc w:val="center"/>
        </w:trPr>
        <w:tc>
          <w:tcPr>
            <w:tcW w:w="562" w:type="dxa"/>
            <w:vAlign w:val="center"/>
          </w:tcPr>
          <w:p w14:paraId="42D6F049"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污染</w:t>
            </w:r>
            <w:r w:rsidRPr="00092862">
              <w:rPr>
                <w:rFonts w:ascii="Times New Roman" w:hAnsi="Times New Roman"/>
                <w:b/>
                <w:bCs/>
                <w:color w:val="000000" w:themeColor="text1"/>
                <w:w w:val="99"/>
                <w:sz w:val="21"/>
                <w:szCs w:val="21"/>
              </w:rPr>
              <w:t>物</w:t>
            </w:r>
          </w:p>
        </w:tc>
        <w:tc>
          <w:tcPr>
            <w:tcW w:w="2694" w:type="dxa"/>
            <w:gridSpan w:val="2"/>
            <w:vAlign w:val="center"/>
          </w:tcPr>
          <w:p w14:paraId="4ACD01C7"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污染物种类</w:t>
            </w:r>
          </w:p>
        </w:tc>
        <w:tc>
          <w:tcPr>
            <w:tcW w:w="881" w:type="dxa"/>
            <w:vAlign w:val="center"/>
          </w:tcPr>
          <w:p w14:paraId="35CA004B" w14:textId="43974172" w:rsidR="00DC446C" w:rsidRPr="00092862" w:rsidRDefault="003B1968" w:rsidP="00F54AAF">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排放浓度</w:t>
            </w:r>
            <w:r w:rsidR="00AC7BA2" w:rsidRPr="00092862">
              <w:rPr>
                <w:rFonts w:ascii="Times New Roman" w:hAnsi="Times New Roman"/>
                <w:b/>
                <w:bCs/>
                <w:color w:val="000000" w:themeColor="text1"/>
                <w:sz w:val="21"/>
                <w:szCs w:val="21"/>
              </w:rPr>
              <w:t>mg/m</w:t>
            </w:r>
            <w:r w:rsidR="00AC7BA2" w:rsidRPr="00092862">
              <w:rPr>
                <w:rFonts w:ascii="Times New Roman" w:hAnsi="Times New Roman"/>
                <w:b/>
                <w:bCs/>
                <w:color w:val="000000" w:themeColor="text1"/>
                <w:sz w:val="21"/>
                <w:szCs w:val="21"/>
                <w:vertAlign w:val="superscript"/>
              </w:rPr>
              <w:t>3</w:t>
            </w:r>
          </w:p>
        </w:tc>
        <w:tc>
          <w:tcPr>
            <w:tcW w:w="801" w:type="dxa"/>
            <w:vAlign w:val="center"/>
          </w:tcPr>
          <w:p w14:paraId="2179FE49" w14:textId="77777777" w:rsidR="00DC446C" w:rsidRPr="00092862" w:rsidRDefault="003B1968" w:rsidP="00F54AAF">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排放速率</w:t>
            </w:r>
            <w:r w:rsidRPr="00092862">
              <w:rPr>
                <w:rFonts w:ascii="Times New Roman" w:hAnsi="Times New Roman"/>
                <w:b/>
                <w:color w:val="000000" w:themeColor="text1"/>
                <w:sz w:val="21"/>
                <w:szCs w:val="21"/>
              </w:rPr>
              <w:t>kg/h</w:t>
            </w:r>
          </w:p>
        </w:tc>
        <w:tc>
          <w:tcPr>
            <w:tcW w:w="869" w:type="dxa"/>
            <w:vAlign w:val="center"/>
          </w:tcPr>
          <w:p w14:paraId="601D0378"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lang w:eastAsia="zh-CN"/>
              </w:rPr>
              <w:t>排放</w:t>
            </w:r>
            <w:r w:rsidRPr="00092862">
              <w:rPr>
                <w:rFonts w:ascii="Times New Roman" w:hAnsi="Times New Roman"/>
                <w:b/>
                <w:bCs/>
                <w:color w:val="000000" w:themeColor="text1"/>
                <w:sz w:val="21"/>
                <w:szCs w:val="21"/>
              </w:rPr>
              <w:t>量</w:t>
            </w:r>
            <w:r w:rsidRPr="00092862">
              <w:rPr>
                <w:rFonts w:ascii="Times New Roman" w:hAnsi="Times New Roman"/>
                <w:b/>
                <w:bCs/>
                <w:color w:val="000000" w:themeColor="text1"/>
                <w:sz w:val="21"/>
                <w:szCs w:val="21"/>
              </w:rPr>
              <w:t>t/a</w:t>
            </w:r>
          </w:p>
        </w:tc>
        <w:tc>
          <w:tcPr>
            <w:tcW w:w="3402" w:type="dxa"/>
            <w:vAlign w:val="center"/>
          </w:tcPr>
          <w:p w14:paraId="541B0156"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环保措施</w:t>
            </w:r>
          </w:p>
        </w:tc>
        <w:tc>
          <w:tcPr>
            <w:tcW w:w="1276" w:type="dxa"/>
            <w:vAlign w:val="center"/>
          </w:tcPr>
          <w:p w14:paraId="2B0F2BEA"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运行参数</w:t>
            </w:r>
          </w:p>
        </w:tc>
        <w:tc>
          <w:tcPr>
            <w:tcW w:w="2122" w:type="dxa"/>
            <w:vAlign w:val="center"/>
          </w:tcPr>
          <w:p w14:paraId="00148A87"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b/>
                <w:bCs/>
                <w:color w:val="000000" w:themeColor="text1"/>
                <w:spacing w:val="-4"/>
                <w:sz w:val="21"/>
                <w:szCs w:val="21"/>
                <w:lang w:eastAsia="zh-CN"/>
              </w:rPr>
              <w:t>处理效果、执行标准或拟达</w:t>
            </w:r>
            <w:r w:rsidRPr="00092862">
              <w:rPr>
                <w:rFonts w:ascii="Times New Roman" w:hAnsi="Times New Roman"/>
                <w:b/>
                <w:bCs/>
                <w:color w:val="000000" w:themeColor="text1"/>
                <w:sz w:val="21"/>
                <w:szCs w:val="21"/>
                <w:lang w:eastAsia="zh-CN"/>
              </w:rPr>
              <w:t>要求</w:t>
            </w:r>
          </w:p>
        </w:tc>
        <w:tc>
          <w:tcPr>
            <w:tcW w:w="718" w:type="dxa"/>
            <w:vAlign w:val="center"/>
          </w:tcPr>
          <w:p w14:paraId="2F12FA57" w14:textId="77777777" w:rsidR="00DC446C" w:rsidRPr="00092862" w:rsidRDefault="003B1968" w:rsidP="00F54AAF">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b/>
                <w:bCs/>
                <w:color w:val="000000" w:themeColor="text1"/>
                <w:sz w:val="21"/>
                <w:szCs w:val="21"/>
              </w:rPr>
              <w:t>总量控制</w:t>
            </w:r>
          </w:p>
        </w:tc>
      </w:tr>
      <w:tr w:rsidR="00697429" w:rsidRPr="00092862" w14:paraId="22C1E870" w14:textId="77777777" w:rsidTr="003D70E6">
        <w:trPr>
          <w:jc w:val="center"/>
        </w:trPr>
        <w:tc>
          <w:tcPr>
            <w:tcW w:w="562" w:type="dxa"/>
            <w:vMerge w:val="restart"/>
            <w:vAlign w:val="center"/>
          </w:tcPr>
          <w:p w14:paraId="49CF544D"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大气污染物</w:t>
            </w:r>
          </w:p>
        </w:tc>
        <w:tc>
          <w:tcPr>
            <w:tcW w:w="1418" w:type="dxa"/>
            <w:vAlign w:val="center"/>
          </w:tcPr>
          <w:p w14:paraId="31E1E2A5"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施工扬尘</w:t>
            </w:r>
          </w:p>
        </w:tc>
        <w:tc>
          <w:tcPr>
            <w:tcW w:w="1276" w:type="dxa"/>
            <w:vAlign w:val="center"/>
          </w:tcPr>
          <w:p w14:paraId="41C09128"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position w:val="2"/>
                <w:sz w:val="21"/>
                <w:szCs w:val="21"/>
              </w:rPr>
              <w:t>TSP</w:t>
            </w:r>
          </w:p>
        </w:tc>
        <w:tc>
          <w:tcPr>
            <w:tcW w:w="881" w:type="dxa"/>
            <w:vAlign w:val="center"/>
          </w:tcPr>
          <w:p w14:paraId="138D94BC"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398FA4AC"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56AD330C"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3402" w:type="dxa"/>
            <w:vAlign w:val="center"/>
          </w:tcPr>
          <w:p w14:paraId="4D8C4806"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定期洒水抑尘</w:t>
            </w:r>
          </w:p>
        </w:tc>
        <w:tc>
          <w:tcPr>
            <w:tcW w:w="1276" w:type="dxa"/>
            <w:vAlign w:val="center"/>
          </w:tcPr>
          <w:p w14:paraId="19B3E0E7"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施工期，白天</w:t>
            </w:r>
          </w:p>
        </w:tc>
        <w:tc>
          <w:tcPr>
            <w:tcW w:w="2122" w:type="dxa"/>
            <w:vAlign w:val="center"/>
          </w:tcPr>
          <w:p w14:paraId="24C7C5C7"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对周围环境影响很小</w:t>
            </w:r>
          </w:p>
        </w:tc>
        <w:tc>
          <w:tcPr>
            <w:tcW w:w="718" w:type="dxa"/>
            <w:vAlign w:val="center"/>
          </w:tcPr>
          <w:p w14:paraId="1EFB1E30"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无</w:t>
            </w:r>
          </w:p>
        </w:tc>
      </w:tr>
      <w:tr w:rsidR="00697429" w:rsidRPr="00092862" w14:paraId="78D9F610" w14:textId="77777777" w:rsidTr="003D70E6">
        <w:trPr>
          <w:jc w:val="center"/>
        </w:trPr>
        <w:tc>
          <w:tcPr>
            <w:tcW w:w="562" w:type="dxa"/>
            <w:vMerge/>
            <w:vAlign w:val="center"/>
          </w:tcPr>
          <w:p w14:paraId="03FED1BB" w14:textId="77777777" w:rsidR="00FD316E" w:rsidRPr="00092862" w:rsidRDefault="00FD316E" w:rsidP="00FD316E">
            <w:pPr>
              <w:adjustRightInd w:val="0"/>
              <w:snapToGrid w:val="0"/>
              <w:jc w:val="center"/>
              <w:rPr>
                <w:rFonts w:ascii="Times New Roman" w:eastAsia="宋体" w:hAnsi="Times New Roman" w:cs="Times New Roman"/>
                <w:color w:val="000000" w:themeColor="text1"/>
                <w:szCs w:val="21"/>
              </w:rPr>
            </w:pPr>
          </w:p>
        </w:tc>
        <w:tc>
          <w:tcPr>
            <w:tcW w:w="1418" w:type="dxa"/>
            <w:vAlign w:val="center"/>
          </w:tcPr>
          <w:p w14:paraId="61C09985"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施工机械和运输车辆尾气、压裂作业废气</w:t>
            </w:r>
          </w:p>
        </w:tc>
        <w:tc>
          <w:tcPr>
            <w:tcW w:w="1276" w:type="dxa"/>
            <w:vAlign w:val="center"/>
          </w:tcPr>
          <w:p w14:paraId="34CE7210"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CO</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NOx</w:t>
            </w:r>
            <w:r w:rsidRPr="00092862">
              <w:rPr>
                <w:rFonts w:ascii="Times New Roman" w:hAnsi="Times New Roman"/>
                <w:color w:val="000000" w:themeColor="text1"/>
                <w:sz w:val="21"/>
                <w:szCs w:val="21"/>
                <w:lang w:eastAsia="zh-CN"/>
              </w:rPr>
              <w:t>等</w:t>
            </w:r>
          </w:p>
        </w:tc>
        <w:tc>
          <w:tcPr>
            <w:tcW w:w="881" w:type="dxa"/>
            <w:vAlign w:val="center"/>
          </w:tcPr>
          <w:p w14:paraId="6EFA951E"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1E37A0C7"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571FB5F4"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3402" w:type="dxa"/>
            <w:tcBorders>
              <w:right w:val="single" w:sz="4" w:space="0" w:color="auto"/>
            </w:tcBorders>
            <w:vAlign w:val="center"/>
          </w:tcPr>
          <w:p w14:paraId="76942C4D" w14:textId="77777777" w:rsidR="00FD316E" w:rsidRPr="00092862" w:rsidRDefault="007A6924" w:rsidP="000C781E">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选用尾气排放达标机械车辆，加强保养维护</w:t>
            </w:r>
          </w:p>
        </w:tc>
        <w:tc>
          <w:tcPr>
            <w:tcW w:w="1276" w:type="dxa"/>
            <w:tcBorders>
              <w:top w:val="single" w:sz="4" w:space="0" w:color="auto"/>
              <w:left w:val="single" w:sz="4" w:space="0" w:color="auto"/>
              <w:bottom w:val="single" w:sz="4" w:space="0" w:color="auto"/>
              <w:right w:val="single" w:sz="4" w:space="0" w:color="auto"/>
            </w:tcBorders>
            <w:vAlign w:val="center"/>
          </w:tcPr>
          <w:p w14:paraId="2D747DEF" w14:textId="77777777" w:rsidR="00FD316E" w:rsidRPr="00092862" w:rsidRDefault="007A6924"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施工期，白天</w:t>
            </w:r>
          </w:p>
        </w:tc>
        <w:tc>
          <w:tcPr>
            <w:tcW w:w="2122" w:type="dxa"/>
            <w:tcBorders>
              <w:top w:val="single" w:sz="4" w:space="0" w:color="auto"/>
              <w:left w:val="single" w:sz="4" w:space="0" w:color="auto"/>
              <w:bottom w:val="single" w:sz="4" w:space="0" w:color="auto"/>
              <w:right w:val="single" w:sz="4" w:space="0" w:color="auto"/>
            </w:tcBorders>
            <w:vAlign w:val="center"/>
          </w:tcPr>
          <w:p w14:paraId="69100C51" w14:textId="77777777" w:rsidR="00FD316E" w:rsidRPr="00092862" w:rsidRDefault="007A6924"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对周围环境影响很小</w:t>
            </w:r>
          </w:p>
        </w:tc>
        <w:tc>
          <w:tcPr>
            <w:tcW w:w="718" w:type="dxa"/>
            <w:tcBorders>
              <w:left w:val="single" w:sz="4" w:space="0" w:color="auto"/>
            </w:tcBorders>
            <w:vAlign w:val="center"/>
          </w:tcPr>
          <w:p w14:paraId="27B57F1B" w14:textId="77777777" w:rsidR="00FD316E" w:rsidRPr="00092862" w:rsidRDefault="00FD316E"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7D96D79C" w14:textId="77777777" w:rsidTr="003D70E6">
        <w:trPr>
          <w:jc w:val="center"/>
        </w:trPr>
        <w:tc>
          <w:tcPr>
            <w:tcW w:w="562" w:type="dxa"/>
            <w:vMerge/>
            <w:vAlign w:val="center"/>
          </w:tcPr>
          <w:p w14:paraId="5CC1BA0C" w14:textId="77777777" w:rsidR="00DC446C" w:rsidRPr="00092862" w:rsidRDefault="00DC446C" w:rsidP="00FD316E">
            <w:pPr>
              <w:adjustRightInd w:val="0"/>
              <w:snapToGrid w:val="0"/>
              <w:jc w:val="center"/>
              <w:rPr>
                <w:rFonts w:ascii="Times New Roman" w:eastAsia="宋体" w:hAnsi="Times New Roman" w:cs="Times New Roman"/>
                <w:color w:val="000000" w:themeColor="text1"/>
                <w:szCs w:val="21"/>
              </w:rPr>
            </w:pPr>
          </w:p>
        </w:tc>
        <w:tc>
          <w:tcPr>
            <w:tcW w:w="1418" w:type="dxa"/>
            <w:vAlign w:val="center"/>
          </w:tcPr>
          <w:p w14:paraId="0F0B507A" w14:textId="274CCA14" w:rsidR="00DC446C" w:rsidRPr="00092862" w:rsidRDefault="00CF5667"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无组织挥发性废气</w:t>
            </w:r>
          </w:p>
        </w:tc>
        <w:tc>
          <w:tcPr>
            <w:tcW w:w="1276" w:type="dxa"/>
            <w:vAlign w:val="center"/>
          </w:tcPr>
          <w:p w14:paraId="401B244C" w14:textId="2472A8D3" w:rsidR="00DC446C" w:rsidRPr="00092862" w:rsidRDefault="00CF5667"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无组织挥发性有机物</w:t>
            </w:r>
          </w:p>
        </w:tc>
        <w:tc>
          <w:tcPr>
            <w:tcW w:w="881" w:type="dxa"/>
            <w:vAlign w:val="center"/>
          </w:tcPr>
          <w:p w14:paraId="6C4C587D" w14:textId="77777777" w:rsidR="00DC446C" w:rsidRPr="00092862" w:rsidRDefault="007A6924" w:rsidP="00FD316E">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47EBAE4B" w14:textId="77777777" w:rsidR="00DC446C" w:rsidRPr="00092862" w:rsidRDefault="007A6924"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w w:val="99"/>
                <w:sz w:val="21"/>
                <w:szCs w:val="21"/>
              </w:rPr>
              <w:t>—</w:t>
            </w:r>
          </w:p>
        </w:tc>
        <w:tc>
          <w:tcPr>
            <w:tcW w:w="869" w:type="dxa"/>
            <w:vAlign w:val="center"/>
          </w:tcPr>
          <w:p w14:paraId="378A48E4" w14:textId="67737149" w:rsidR="00DC446C" w:rsidRPr="00092862" w:rsidRDefault="00CF5667"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w w:val="99"/>
                <w:sz w:val="21"/>
                <w:szCs w:val="21"/>
              </w:rPr>
              <w:t>—</w:t>
            </w:r>
          </w:p>
        </w:tc>
        <w:tc>
          <w:tcPr>
            <w:tcW w:w="3402" w:type="dxa"/>
            <w:tcBorders>
              <w:right w:val="single" w:sz="4" w:space="0" w:color="auto"/>
            </w:tcBorders>
            <w:vAlign w:val="center"/>
          </w:tcPr>
          <w:p w14:paraId="4F1B1DE8" w14:textId="77777777" w:rsidR="00DC446C" w:rsidRPr="00092862" w:rsidRDefault="007A6924"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w w:val="99"/>
                <w:sz w:val="21"/>
                <w:szCs w:val="21"/>
              </w:rPr>
              <w:t>—</w:t>
            </w:r>
          </w:p>
        </w:tc>
        <w:tc>
          <w:tcPr>
            <w:tcW w:w="1276" w:type="dxa"/>
            <w:tcBorders>
              <w:top w:val="single" w:sz="4" w:space="0" w:color="auto"/>
              <w:left w:val="single" w:sz="4" w:space="0" w:color="auto"/>
              <w:right w:val="single" w:sz="4" w:space="0" w:color="auto"/>
            </w:tcBorders>
            <w:vAlign w:val="center"/>
          </w:tcPr>
          <w:p w14:paraId="5E572745" w14:textId="7CD241B3" w:rsidR="00DC446C" w:rsidRPr="00092862" w:rsidRDefault="007A6924" w:rsidP="00FD316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钻井期</w:t>
            </w:r>
          </w:p>
        </w:tc>
        <w:tc>
          <w:tcPr>
            <w:tcW w:w="2122" w:type="dxa"/>
            <w:tcBorders>
              <w:top w:val="single" w:sz="4" w:space="0" w:color="auto"/>
              <w:left w:val="single" w:sz="4" w:space="0" w:color="auto"/>
              <w:right w:val="single" w:sz="4" w:space="0" w:color="auto"/>
            </w:tcBorders>
            <w:vAlign w:val="center"/>
          </w:tcPr>
          <w:p w14:paraId="508A61AD" w14:textId="77777777" w:rsidR="00DC446C" w:rsidRPr="00092862" w:rsidRDefault="003B1968" w:rsidP="00FD316E">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满足</w:t>
            </w:r>
            <w:r w:rsidR="007A6924" w:rsidRPr="00092862">
              <w:rPr>
                <w:rFonts w:ascii="Times New Roman" w:eastAsia="宋体" w:hAnsi="Times New Roman" w:cs="Times New Roman"/>
                <w:color w:val="000000" w:themeColor="text1"/>
                <w:szCs w:val="21"/>
              </w:rPr>
              <w:t>《陆上石油天然气开采工业大气污染物排放标准》（</w:t>
            </w:r>
            <w:r w:rsidR="007A6924" w:rsidRPr="00092862">
              <w:rPr>
                <w:rFonts w:ascii="Times New Roman" w:eastAsia="宋体" w:hAnsi="Times New Roman" w:cs="Times New Roman"/>
                <w:color w:val="000000" w:themeColor="text1"/>
                <w:szCs w:val="21"/>
              </w:rPr>
              <w:t>GB39728—2020</w:t>
            </w:r>
            <w:r w:rsidR="007A6924" w:rsidRPr="00092862">
              <w:rPr>
                <w:rFonts w:ascii="Times New Roman" w:eastAsia="宋体" w:hAnsi="Times New Roman" w:cs="Times New Roman"/>
                <w:color w:val="000000" w:themeColor="text1"/>
                <w:szCs w:val="21"/>
              </w:rPr>
              <w:t>）要求</w:t>
            </w:r>
          </w:p>
        </w:tc>
        <w:tc>
          <w:tcPr>
            <w:tcW w:w="718" w:type="dxa"/>
            <w:tcBorders>
              <w:left w:val="single" w:sz="4" w:space="0" w:color="auto"/>
            </w:tcBorders>
            <w:vAlign w:val="center"/>
          </w:tcPr>
          <w:p w14:paraId="67D1FAFE" w14:textId="77777777" w:rsidR="00DC446C" w:rsidRPr="00092862" w:rsidRDefault="003B1968" w:rsidP="00FD316E">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0A217A75" w14:textId="77777777" w:rsidTr="003D70E6">
        <w:trPr>
          <w:jc w:val="center"/>
        </w:trPr>
        <w:tc>
          <w:tcPr>
            <w:tcW w:w="562" w:type="dxa"/>
            <w:vMerge/>
            <w:vAlign w:val="center"/>
          </w:tcPr>
          <w:p w14:paraId="1EDA66BF"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1418" w:type="dxa"/>
            <w:vMerge w:val="restart"/>
            <w:vAlign w:val="center"/>
          </w:tcPr>
          <w:p w14:paraId="3BA47698"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备用柴油发电机尾气</w:t>
            </w:r>
          </w:p>
        </w:tc>
        <w:tc>
          <w:tcPr>
            <w:tcW w:w="1276" w:type="dxa"/>
            <w:vAlign w:val="center"/>
          </w:tcPr>
          <w:p w14:paraId="2F666A74"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NOx</w:t>
            </w:r>
          </w:p>
        </w:tc>
        <w:tc>
          <w:tcPr>
            <w:tcW w:w="881" w:type="dxa"/>
            <w:vAlign w:val="center"/>
          </w:tcPr>
          <w:p w14:paraId="070EB7B1" w14:textId="37CFB764" w:rsidR="00AA5149" w:rsidRPr="00092862" w:rsidRDefault="002B62C1"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150</w:t>
            </w:r>
          </w:p>
        </w:tc>
        <w:tc>
          <w:tcPr>
            <w:tcW w:w="801" w:type="dxa"/>
            <w:vAlign w:val="center"/>
          </w:tcPr>
          <w:p w14:paraId="5AA9A2B8" w14:textId="273C740C" w:rsidR="00AA5149" w:rsidRPr="00092862" w:rsidRDefault="002B62C1"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1.17</w:t>
            </w:r>
          </w:p>
        </w:tc>
        <w:tc>
          <w:tcPr>
            <w:tcW w:w="869" w:type="dxa"/>
            <w:vAlign w:val="center"/>
          </w:tcPr>
          <w:p w14:paraId="38D44722"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3402" w:type="dxa"/>
            <w:vMerge w:val="restart"/>
            <w:tcBorders>
              <w:right w:val="single" w:sz="4" w:space="0" w:color="auto"/>
            </w:tcBorders>
            <w:vAlign w:val="center"/>
          </w:tcPr>
          <w:p w14:paraId="42B9B878"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自带消烟除尘装置处理后经</w:t>
            </w:r>
            <w:r w:rsidRPr="00092862">
              <w:rPr>
                <w:rFonts w:ascii="Times New Roman" w:hAnsi="Times New Roman"/>
                <w:color w:val="000000" w:themeColor="text1"/>
                <w:sz w:val="21"/>
                <w:szCs w:val="21"/>
                <w:lang w:eastAsia="zh-CN"/>
              </w:rPr>
              <w:t>6m</w:t>
            </w:r>
            <w:r w:rsidRPr="00092862">
              <w:rPr>
                <w:rFonts w:ascii="Times New Roman" w:hAnsi="Times New Roman"/>
                <w:color w:val="000000" w:themeColor="text1"/>
                <w:sz w:val="21"/>
                <w:szCs w:val="21"/>
                <w:lang w:eastAsia="zh-CN"/>
              </w:rPr>
              <w:t>高排气筒排放</w:t>
            </w:r>
          </w:p>
        </w:tc>
        <w:tc>
          <w:tcPr>
            <w:tcW w:w="1276" w:type="dxa"/>
            <w:vMerge w:val="restart"/>
            <w:tcBorders>
              <w:left w:val="single" w:sz="4" w:space="0" w:color="auto"/>
              <w:right w:val="single" w:sz="4" w:space="0" w:color="auto"/>
            </w:tcBorders>
            <w:vAlign w:val="center"/>
          </w:tcPr>
          <w:p w14:paraId="69E6BA9E"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偶尔</w:t>
            </w:r>
          </w:p>
        </w:tc>
        <w:tc>
          <w:tcPr>
            <w:tcW w:w="2122" w:type="dxa"/>
            <w:vMerge w:val="restart"/>
            <w:tcBorders>
              <w:left w:val="single" w:sz="4" w:space="0" w:color="auto"/>
              <w:right w:val="single" w:sz="4" w:space="0" w:color="auto"/>
            </w:tcBorders>
            <w:vAlign w:val="center"/>
          </w:tcPr>
          <w:p w14:paraId="5392363C"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对周围环境影响很小</w:t>
            </w:r>
          </w:p>
        </w:tc>
        <w:tc>
          <w:tcPr>
            <w:tcW w:w="718" w:type="dxa"/>
            <w:vMerge w:val="restart"/>
            <w:tcBorders>
              <w:left w:val="single" w:sz="4" w:space="0" w:color="auto"/>
            </w:tcBorders>
            <w:vAlign w:val="center"/>
          </w:tcPr>
          <w:p w14:paraId="2B3778C9"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45369D49" w14:textId="77777777" w:rsidTr="003D70E6">
        <w:trPr>
          <w:jc w:val="center"/>
        </w:trPr>
        <w:tc>
          <w:tcPr>
            <w:tcW w:w="562" w:type="dxa"/>
            <w:vMerge/>
            <w:vAlign w:val="center"/>
          </w:tcPr>
          <w:p w14:paraId="4163A043"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1418" w:type="dxa"/>
            <w:vMerge/>
            <w:vAlign w:val="center"/>
          </w:tcPr>
          <w:p w14:paraId="2608084D"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1D334346"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SO</w:t>
            </w:r>
            <w:r w:rsidRPr="00092862">
              <w:rPr>
                <w:rFonts w:ascii="Times New Roman" w:hAnsi="Times New Roman"/>
                <w:color w:val="000000" w:themeColor="text1"/>
                <w:sz w:val="21"/>
                <w:szCs w:val="21"/>
                <w:vertAlign w:val="subscript"/>
              </w:rPr>
              <w:t>2</w:t>
            </w:r>
          </w:p>
        </w:tc>
        <w:tc>
          <w:tcPr>
            <w:tcW w:w="881" w:type="dxa"/>
            <w:vAlign w:val="center"/>
          </w:tcPr>
          <w:p w14:paraId="52A88AFA" w14:textId="7C5978B8" w:rsidR="00AA5149" w:rsidRPr="00092862" w:rsidRDefault="002B62C1"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1.0</w:t>
            </w:r>
          </w:p>
        </w:tc>
        <w:tc>
          <w:tcPr>
            <w:tcW w:w="801" w:type="dxa"/>
            <w:vAlign w:val="center"/>
          </w:tcPr>
          <w:p w14:paraId="26E87BA7" w14:textId="0CC1E9EC" w:rsidR="00AA5149" w:rsidRPr="00092862" w:rsidRDefault="002B62C1"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0.008</w:t>
            </w:r>
          </w:p>
        </w:tc>
        <w:tc>
          <w:tcPr>
            <w:tcW w:w="869" w:type="dxa"/>
            <w:vAlign w:val="center"/>
          </w:tcPr>
          <w:p w14:paraId="3FDC7F8C"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3402" w:type="dxa"/>
            <w:vMerge/>
            <w:tcBorders>
              <w:right w:val="single" w:sz="4" w:space="0" w:color="auto"/>
            </w:tcBorders>
            <w:vAlign w:val="center"/>
          </w:tcPr>
          <w:p w14:paraId="0915FB73"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p>
        </w:tc>
        <w:tc>
          <w:tcPr>
            <w:tcW w:w="1276" w:type="dxa"/>
            <w:vMerge/>
            <w:tcBorders>
              <w:left w:val="single" w:sz="4" w:space="0" w:color="auto"/>
              <w:right w:val="single" w:sz="4" w:space="0" w:color="auto"/>
            </w:tcBorders>
            <w:vAlign w:val="center"/>
          </w:tcPr>
          <w:p w14:paraId="2B5C193C"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2122" w:type="dxa"/>
            <w:vMerge/>
            <w:tcBorders>
              <w:left w:val="single" w:sz="4" w:space="0" w:color="auto"/>
              <w:right w:val="single" w:sz="4" w:space="0" w:color="auto"/>
            </w:tcBorders>
            <w:vAlign w:val="center"/>
          </w:tcPr>
          <w:p w14:paraId="0740DDF4"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718" w:type="dxa"/>
            <w:vMerge/>
            <w:tcBorders>
              <w:left w:val="single" w:sz="4" w:space="0" w:color="auto"/>
            </w:tcBorders>
            <w:vAlign w:val="center"/>
          </w:tcPr>
          <w:p w14:paraId="5E8F943C"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p>
        </w:tc>
      </w:tr>
      <w:tr w:rsidR="00697429" w:rsidRPr="00092862" w14:paraId="4F366F21" w14:textId="77777777" w:rsidTr="003D70E6">
        <w:trPr>
          <w:jc w:val="center"/>
        </w:trPr>
        <w:tc>
          <w:tcPr>
            <w:tcW w:w="562" w:type="dxa"/>
            <w:vMerge/>
            <w:vAlign w:val="center"/>
          </w:tcPr>
          <w:p w14:paraId="5B3CCB0A"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1418" w:type="dxa"/>
            <w:vMerge/>
            <w:vAlign w:val="center"/>
          </w:tcPr>
          <w:p w14:paraId="46463073"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0DBD823F"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TSP</w:t>
            </w:r>
          </w:p>
        </w:tc>
        <w:tc>
          <w:tcPr>
            <w:tcW w:w="881" w:type="dxa"/>
            <w:vAlign w:val="center"/>
          </w:tcPr>
          <w:p w14:paraId="3A3A75E4" w14:textId="34DFEF6B" w:rsidR="00AA5149" w:rsidRPr="00092862" w:rsidRDefault="002B62C1"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41</w:t>
            </w:r>
          </w:p>
        </w:tc>
        <w:tc>
          <w:tcPr>
            <w:tcW w:w="801" w:type="dxa"/>
            <w:vAlign w:val="center"/>
          </w:tcPr>
          <w:p w14:paraId="6FC97ED9" w14:textId="0E78C056" w:rsidR="00AA5149" w:rsidRPr="00092862" w:rsidRDefault="002B62C1" w:rsidP="00AA5149">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0.33</w:t>
            </w:r>
          </w:p>
        </w:tc>
        <w:tc>
          <w:tcPr>
            <w:tcW w:w="869" w:type="dxa"/>
            <w:vAlign w:val="center"/>
          </w:tcPr>
          <w:p w14:paraId="20142E90"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3402" w:type="dxa"/>
            <w:vMerge/>
            <w:tcBorders>
              <w:right w:val="single" w:sz="4" w:space="0" w:color="auto"/>
            </w:tcBorders>
            <w:vAlign w:val="center"/>
          </w:tcPr>
          <w:p w14:paraId="414B1B29"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p>
        </w:tc>
        <w:tc>
          <w:tcPr>
            <w:tcW w:w="1276" w:type="dxa"/>
            <w:vMerge/>
            <w:tcBorders>
              <w:left w:val="single" w:sz="4" w:space="0" w:color="auto"/>
              <w:right w:val="single" w:sz="4" w:space="0" w:color="auto"/>
            </w:tcBorders>
            <w:vAlign w:val="center"/>
          </w:tcPr>
          <w:p w14:paraId="795DCD5B"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2122" w:type="dxa"/>
            <w:vMerge/>
            <w:tcBorders>
              <w:left w:val="single" w:sz="4" w:space="0" w:color="auto"/>
              <w:right w:val="single" w:sz="4" w:space="0" w:color="auto"/>
            </w:tcBorders>
            <w:vAlign w:val="center"/>
          </w:tcPr>
          <w:p w14:paraId="1E9C179E" w14:textId="77777777" w:rsidR="00AA5149" w:rsidRPr="00092862" w:rsidRDefault="00AA5149" w:rsidP="00AA5149">
            <w:pPr>
              <w:adjustRightInd w:val="0"/>
              <w:snapToGrid w:val="0"/>
              <w:jc w:val="center"/>
              <w:rPr>
                <w:rFonts w:ascii="Times New Roman" w:eastAsia="宋体" w:hAnsi="Times New Roman" w:cs="Times New Roman"/>
                <w:color w:val="000000" w:themeColor="text1"/>
                <w:szCs w:val="21"/>
              </w:rPr>
            </w:pPr>
          </w:p>
        </w:tc>
        <w:tc>
          <w:tcPr>
            <w:tcW w:w="718" w:type="dxa"/>
            <w:vMerge/>
            <w:tcBorders>
              <w:left w:val="single" w:sz="4" w:space="0" w:color="auto"/>
            </w:tcBorders>
            <w:vAlign w:val="center"/>
          </w:tcPr>
          <w:p w14:paraId="6542D01A" w14:textId="77777777" w:rsidR="00AA5149" w:rsidRPr="00092862" w:rsidRDefault="00AA5149" w:rsidP="00AA5149">
            <w:pPr>
              <w:pStyle w:val="TableParagraph"/>
              <w:adjustRightInd w:val="0"/>
              <w:snapToGrid w:val="0"/>
              <w:jc w:val="center"/>
              <w:rPr>
                <w:rFonts w:ascii="Times New Roman" w:hAnsi="Times New Roman"/>
                <w:color w:val="000000" w:themeColor="text1"/>
                <w:sz w:val="21"/>
                <w:szCs w:val="21"/>
                <w:lang w:eastAsia="zh-CN"/>
              </w:rPr>
            </w:pPr>
          </w:p>
        </w:tc>
      </w:tr>
      <w:tr w:rsidR="00697429" w:rsidRPr="00092862" w14:paraId="28970F35" w14:textId="77777777" w:rsidTr="003D70E6">
        <w:trPr>
          <w:jc w:val="center"/>
        </w:trPr>
        <w:tc>
          <w:tcPr>
            <w:tcW w:w="562" w:type="dxa"/>
            <w:vMerge/>
            <w:vAlign w:val="center"/>
          </w:tcPr>
          <w:p w14:paraId="76521E3A" w14:textId="77777777"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p>
        </w:tc>
        <w:tc>
          <w:tcPr>
            <w:tcW w:w="1418" w:type="dxa"/>
            <w:vMerge w:val="restart"/>
            <w:vAlign w:val="center"/>
          </w:tcPr>
          <w:p w14:paraId="475E7DB9" w14:textId="6071524F"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加热炉、火炬长明灯等燃烧产生的烟气</w:t>
            </w:r>
          </w:p>
        </w:tc>
        <w:tc>
          <w:tcPr>
            <w:tcW w:w="1276" w:type="dxa"/>
            <w:vAlign w:val="center"/>
          </w:tcPr>
          <w:p w14:paraId="0F09F65B" w14:textId="7CC034B1"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SO</w:t>
            </w:r>
            <w:r w:rsidRPr="00092862">
              <w:rPr>
                <w:rFonts w:ascii="Times New Roman" w:hAnsi="Times New Roman"/>
                <w:color w:val="000000" w:themeColor="text1"/>
                <w:sz w:val="21"/>
                <w:szCs w:val="21"/>
                <w:vertAlign w:val="subscript"/>
              </w:rPr>
              <w:t>2</w:t>
            </w:r>
          </w:p>
        </w:tc>
        <w:tc>
          <w:tcPr>
            <w:tcW w:w="881" w:type="dxa"/>
            <w:vAlign w:val="center"/>
          </w:tcPr>
          <w:p w14:paraId="0C3CB3DD" w14:textId="6CDCC1D0"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w w:val="99"/>
                <w:sz w:val="21"/>
                <w:szCs w:val="21"/>
              </w:rPr>
              <w:t>—</w:t>
            </w:r>
          </w:p>
        </w:tc>
        <w:tc>
          <w:tcPr>
            <w:tcW w:w="801" w:type="dxa"/>
            <w:vAlign w:val="center"/>
          </w:tcPr>
          <w:p w14:paraId="0FCCDE9C" w14:textId="6C0434E8"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w w:val="99"/>
                <w:szCs w:val="21"/>
              </w:rPr>
              <w:t>—</w:t>
            </w:r>
          </w:p>
        </w:tc>
        <w:tc>
          <w:tcPr>
            <w:tcW w:w="869" w:type="dxa"/>
            <w:vAlign w:val="center"/>
          </w:tcPr>
          <w:p w14:paraId="4184B86D" w14:textId="496A95E1"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0.7556t/a</w:t>
            </w:r>
          </w:p>
        </w:tc>
        <w:tc>
          <w:tcPr>
            <w:tcW w:w="3402" w:type="dxa"/>
            <w:vMerge w:val="restart"/>
            <w:tcBorders>
              <w:right w:val="single" w:sz="4" w:space="0" w:color="auto"/>
            </w:tcBorders>
            <w:vAlign w:val="center"/>
          </w:tcPr>
          <w:p w14:paraId="1BA3F874" w14:textId="29FB5912"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水套加热炉燃烧废气通过自带</w:t>
            </w:r>
            <w:r w:rsidRPr="00092862">
              <w:rPr>
                <w:rFonts w:ascii="Times New Roman" w:hAnsi="Times New Roman"/>
                <w:color w:val="000000" w:themeColor="text1"/>
                <w:sz w:val="21"/>
                <w:szCs w:val="21"/>
                <w:lang w:eastAsia="zh-CN"/>
              </w:rPr>
              <w:t>8m</w:t>
            </w:r>
            <w:r w:rsidRPr="00092862">
              <w:rPr>
                <w:rFonts w:ascii="Times New Roman" w:hAnsi="Times New Roman"/>
                <w:color w:val="000000" w:themeColor="text1"/>
                <w:sz w:val="21"/>
                <w:szCs w:val="21"/>
                <w:lang w:eastAsia="zh-CN"/>
              </w:rPr>
              <w:t>高排气筒排放；火炬长明灯等燃烧产生的烟气经</w:t>
            </w:r>
            <w:r w:rsidRPr="00092862">
              <w:rPr>
                <w:rFonts w:ascii="Times New Roman" w:hAnsi="Times New Roman"/>
                <w:color w:val="000000" w:themeColor="text1"/>
                <w:sz w:val="21"/>
                <w:szCs w:val="21"/>
                <w:lang w:eastAsia="zh-CN"/>
              </w:rPr>
              <w:t>100m</w:t>
            </w:r>
            <w:r w:rsidRPr="00092862">
              <w:rPr>
                <w:rFonts w:ascii="Times New Roman" w:hAnsi="Times New Roman"/>
                <w:color w:val="000000" w:themeColor="text1"/>
                <w:sz w:val="21"/>
                <w:szCs w:val="21"/>
                <w:lang w:eastAsia="zh-CN"/>
              </w:rPr>
              <w:t>高放空火炬点火燃烧排放</w:t>
            </w:r>
          </w:p>
        </w:tc>
        <w:tc>
          <w:tcPr>
            <w:tcW w:w="1276" w:type="dxa"/>
            <w:vMerge w:val="restart"/>
            <w:tcBorders>
              <w:left w:val="single" w:sz="4" w:space="0" w:color="auto"/>
              <w:right w:val="single" w:sz="4" w:space="0" w:color="auto"/>
            </w:tcBorders>
            <w:vAlign w:val="center"/>
          </w:tcPr>
          <w:p w14:paraId="7C7F3F39" w14:textId="4981225A" w:rsidR="003D70E6" w:rsidRPr="00092862" w:rsidRDefault="003D70E6" w:rsidP="003D70E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全年</w:t>
            </w:r>
          </w:p>
        </w:tc>
        <w:tc>
          <w:tcPr>
            <w:tcW w:w="2122" w:type="dxa"/>
            <w:vMerge w:val="restart"/>
            <w:tcBorders>
              <w:left w:val="single" w:sz="4" w:space="0" w:color="auto"/>
              <w:right w:val="single" w:sz="4" w:space="0" w:color="auto"/>
            </w:tcBorders>
            <w:vAlign w:val="center"/>
          </w:tcPr>
          <w:p w14:paraId="38A959AE" w14:textId="21956B48" w:rsidR="003D70E6" w:rsidRPr="00092862" w:rsidRDefault="003D70E6" w:rsidP="003D70E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《锅炉大气污染物排放标准》（</w:t>
            </w:r>
            <w:r w:rsidRPr="00092862">
              <w:rPr>
                <w:rFonts w:ascii="Times New Roman" w:eastAsia="宋体" w:hAnsi="Times New Roman" w:cs="Times New Roman"/>
                <w:color w:val="000000" w:themeColor="text1"/>
                <w:szCs w:val="21"/>
              </w:rPr>
              <w:t>GB13271-2014</w:t>
            </w:r>
            <w:r w:rsidRPr="00092862">
              <w:rPr>
                <w:rFonts w:ascii="Times New Roman" w:eastAsia="宋体" w:hAnsi="Times New Roman" w:cs="Times New Roman"/>
                <w:color w:val="000000" w:themeColor="text1"/>
                <w:szCs w:val="21"/>
              </w:rPr>
              <w:t>）与《大气污染物综合排放标准》</w:t>
            </w:r>
            <w:r w:rsidRPr="00092862">
              <w:rPr>
                <w:rFonts w:ascii="Times New Roman" w:eastAsia="宋体" w:hAnsi="Times New Roman" w:cs="Times New Roman"/>
                <w:color w:val="000000" w:themeColor="text1"/>
                <w:szCs w:val="21"/>
              </w:rPr>
              <w:t>(GB16297-1996)</w:t>
            </w:r>
          </w:p>
        </w:tc>
        <w:tc>
          <w:tcPr>
            <w:tcW w:w="718" w:type="dxa"/>
            <w:vMerge w:val="restart"/>
            <w:tcBorders>
              <w:left w:val="single" w:sz="4" w:space="0" w:color="auto"/>
            </w:tcBorders>
            <w:vAlign w:val="center"/>
          </w:tcPr>
          <w:p w14:paraId="53E2384F"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680DF468" w14:textId="77777777" w:rsidTr="003D70E6">
        <w:trPr>
          <w:jc w:val="center"/>
        </w:trPr>
        <w:tc>
          <w:tcPr>
            <w:tcW w:w="562" w:type="dxa"/>
            <w:vMerge/>
            <w:vAlign w:val="center"/>
          </w:tcPr>
          <w:p w14:paraId="7FF09914" w14:textId="77777777"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p>
        </w:tc>
        <w:tc>
          <w:tcPr>
            <w:tcW w:w="1418" w:type="dxa"/>
            <w:vMerge/>
            <w:vAlign w:val="center"/>
          </w:tcPr>
          <w:p w14:paraId="4C2D7DFD"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08473824" w14:textId="74B26A93" w:rsidR="003D70E6" w:rsidRPr="00092862" w:rsidRDefault="003D70E6" w:rsidP="003D70E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NOx</w:t>
            </w:r>
          </w:p>
        </w:tc>
        <w:tc>
          <w:tcPr>
            <w:tcW w:w="881" w:type="dxa"/>
            <w:vAlign w:val="center"/>
          </w:tcPr>
          <w:p w14:paraId="2F417FC4" w14:textId="786E9B4B" w:rsidR="003D70E6" w:rsidRPr="00092862" w:rsidRDefault="003D70E6" w:rsidP="003D70E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7ECF4F00" w14:textId="4648858E"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w w:val="99"/>
                <w:szCs w:val="21"/>
              </w:rPr>
              <w:t>—</w:t>
            </w:r>
          </w:p>
        </w:tc>
        <w:tc>
          <w:tcPr>
            <w:tcW w:w="869" w:type="dxa"/>
            <w:vAlign w:val="center"/>
          </w:tcPr>
          <w:p w14:paraId="7216BA2B" w14:textId="676E5BF8"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0.4198t/a</w:t>
            </w:r>
          </w:p>
        </w:tc>
        <w:tc>
          <w:tcPr>
            <w:tcW w:w="3402" w:type="dxa"/>
            <w:vMerge/>
            <w:tcBorders>
              <w:right w:val="single" w:sz="4" w:space="0" w:color="auto"/>
            </w:tcBorders>
            <w:vAlign w:val="center"/>
          </w:tcPr>
          <w:p w14:paraId="6CF0F788"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276" w:type="dxa"/>
            <w:vMerge/>
            <w:tcBorders>
              <w:left w:val="single" w:sz="4" w:space="0" w:color="auto"/>
              <w:right w:val="single" w:sz="4" w:space="0" w:color="auto"/>
            </w:tcBorders>
            <w:vAlign w:val="center"/>
          </w:tcPr>
          <w:p w14:paraId="73551C9B" w14:textId="77777777" w:rsidR="003D70E6" w:rsidRPr="00092862" w:rsidRDefault="003D70E6" w:rsidP="003D70E6">
            <w:pPr>
              <w:snapToGrid w:val="0"/>
              <w:jc w:val="center"/>
              <w:rPr>
                <w:rFonts w:ascii="Times New Roman" w:eastAsia="宋体" w:hAnsi="Times New Roman" w:cs="Times New Roman"/>
                <w:color w:val="000000" w:themeColor="text1"/>
                <w:szCs w:val="21"/>
              </w:rPr>
            </w:pPr>
          </w:p>
        </w:tc>
        <w:tc>
          <w:tcPr>
            <w:tcW w:w="2122" w:type="dxa"/>
            <w:vMerge/>
            <w:tcBorders>
              <w:left w:val="single" w:sz="4" w:space="0" w:color="auto"/>
              <w:right w:val="single" w:sz="4" w:space="0" w:color="auto"/>
            </w:tcBorders>
            <w:vAlign w:val="center"/>
          </w:tcPr>
          <w:p w14:paraId="23375E6C" w14:textId="77777777" w:rsidR="003D70E6" w:rsidRPr="00092862" w:rsidRDefault="003D70E6" w:rsidP="003D70E6">
            <w:pPr>
              <w:snapToGrid w:val="0"/>
              <w:jc w:val="center"/>
              <w:rPr>
                <w:rFonts w:ascii="Times New Roman" w:eastAsia="宋体" w:hAnsi="Times New Roman" w:cs="Times New Roman"/>
                <w:color w:val="000000" w:themeColor="text1"/>
                <w:szCs w:val="21"/>
              </w:rPr>
            </w:pPr>
          </w:p>
        </w:tc>
        <w:tc>
          <w:tcPr>
            <w:tcW w:w="718" w:type="dxa"/>
            <w:vMerge/>
            <w:tcBorders>
              <w:left w:val="single" w:sz="4" w:space="0" w:color="auto"/>
            </w:tcBorders>
            <w:vAlign w:val="center"/>
          </w:tcPr>
          <w:p w14:paraId="1E2E0F4E"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r>
      <w:tr w:rsidR="00697429" w:rsidRPr="00092862" w14:paraId="4CCB94A1" w14:textId="77777777" w:rsidTr="003D70E6">
        <w:trPr>
          <w:jc w:val="center"/>
        </w:trPr>
        <w:tc>
          <w:tcPr>
            <w:tcW w:w="562" w:type="dxa"/>
            <w:vMerge/>
            <w:vAlign w:val="center"/>
          </w:tcPr>
          <w:p w14:paraId="05C5954B" w14:textId="77777777"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p>
        </w:tc>
        <w:tc>
          <w:tcPr>
            <w:tcW w:w="1418" w:type="dxa"/>
            <w:vMerge/>
            <w:vAlign w:val="center"/>
          </w:tcPr>
          <w:p w14:paraId="07FD02F7"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1067715C" w14:textId="318CCD18" w:rsidR="003D70E6" w:rsidRPr="00092862" w:rsidRDefault="003D70E6" w:rsidP="003D70E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烟尘</w:t>
            </w:r>
          </w:p>
        </w:tc>
        <w:tc>
          <w:tcPr>
            <w:tcW w:w="881" w:type="dxa"/>
            <w:vAlign w:val="center"/>
          </w:tcPr>
          <w:p w14:paraId="6B748FAA" w14:textId="6738756C" w:rsidR="003D70E6" w:rsidRPr="00092862" w:rsidRDefault="003D70E6" w:rsidP="003D70E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71B86444" w14:textId="7BFD8C18"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w w:val="99"/>
                <w:szCs w:val="21"/>
              </w:rPr>
              <w:t>—</w:t>
            </w:r>
          </w:p>
        </w:tc>
        <w:tc>
          <w:tcPr>
            <w:tcW w:w="869" w:type="dxa"/>
            <w:vAlign w:val="center"/>
          </w:tcPr>
          <w:p w14:paraId="49EB7A1E" w14:textId="7F45AE1A"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0.0950t/a</w:t>
            </w:r>
          </w:p>
        </w:tc>
        <w:tc>
          <w:tcPr>
            <w:tcW w:w="3402" w:type="dxa"/>
            <w:vMerge/>
            <w:tcBorders>
              <w:right w:val="single" w:sz="4" w:space="0" w:color="auto"/>
            </w:tcBorders>
            <w:vAlign w:val="center"/>
          </w:tcPr>
          <w:p w14:paraId="69B89CA6"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276" w:type="dxa"/>
            <w:vMerge/>
            <w:tcBorders>
              <w:left w:val="single" w:sz="4" w:space="0" w:color="auto"/>
              <w:right w:val="single" w:sz="4" w:space="0" w:color="auto"/>
            </w:tcBorders>
            <w:vAlign w:val="center"/>
          </w:tcPr>
          <w:p w14:paraId="6A5E7EA5" w14:textId="77777777" w:rsidR="003D70E6" w:rsidRPr="00092862" w:rsidRDefault="003D70E6" w:rsidP="003D70E6">
            <w:pPr>
              <w:snapToGrid w:val="0"/>
              <w:jc w:val="center"/>
              <w:rPr>
                <w:rFonts w:ascii="Times New Roman" w:eastAsia="宋体" w:hAnsi="Times New Roman" w:cs="Times New Roman"/>
                <w:color w:val="000000" w:themeColor="text1"/>
                <w:szCs w:val="21"/>
              </w:rPr>
            </w:pPr>
          </w:p>
        </w:tc>
        <w:tc>
          <w:tcPr>
            <w:tcW w:w="2122" w:type="dxa"/>
            <w:vMerge/>
            <w:tcBorders>
              <w:left w:val="single" w:sz="4" w:space="0" w:color="auto"/>
              <w:right w:val="single" w:sz="4" w:space="0" w:color="auto"/>
            </w:tcBorders>
            <w:vAlign w:val="center"/>
          </w:tcPr>
          <w:p w14:paraId="462D60D3" w14:textId="77777777" w:rsidR="003D70E6" w:rsidRPr="00092862" w:rsidRDefault="003D70E6" w:rsidP="003D70E6">
            <w:pPr>
              <w:snapToGrid w:val="0"/>
              <w:jc w:val="center"/>
              <w:rPr>
                <w:rFonts w:ascii="Times New Roman" w:eastAsia="宋体" w:hAnsi="Times New Roman" w:cs="Times New Roman"/>
                <w:color w:val="000000" w:themeColor="text1"/>
                <w:szCs w:val="21"/>
              </w:rPr>
            </w:pPr>
          </w:p>
        </w:tc>
        <w:tc>
          <w:tcPr>
            <w:tcW w:w="718" w:type="dxa"/>
            <w:vMerge/>
            <w:tcBorders>
              <w:left w:val="single" w:sz="4" w:space="0" w:color="auto"/>
            </w:tcBorders>
            <w:vAlign w:val="center"/>
          </w:tcPr>
          <w:p w14:paraId="55E8532C"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r>
      <w:tr w:rsidR="00697429" w:rsidRPr="00092862" w14:paraId="2C0029CB" w14:textId="77777777" w:rsidTr="003D70E6">
        <w:trPr>
          <w:jc w:val="center"/>
        </w:trPr>
        <w:tc>
          <w:tcPr>
            <w:tcW w:w="562" w:type="dxa"/>
            <w:vMerge/>
            <w:vAlign w:val="center"/>
          </w:tcPr>
          <w:p w14:paraId="59042373" w14:textId="77777777"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p>
        </w:tc>
        <w:tc>
          <w:tcPr>
            <w:tcW w:w="1418" w:type="dxa"/>
            <w:vAlign w:val="center"/>
          </w:tcPr>
          <w:p w14:paraId="0ED0C6ED" w14:textId="32A51BDE"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无组织泄漏烃类气体</w:t>
            </w:r>
          </w:p>
        </w:tc>
        <w:tc>
          <w:tcPr>
            <w:tcW w:w="1276" w:type="dxa"/>
            <w:vAlign w:val="center"/>
          </w:tcPr>
          <w:p w14:paraId="7A6C24E5" w14:textId="1EBDBEEA"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kern w:val="2"/>
                <w:sz w:val="21"/>
              </w:rPr>
              <w:t>烃类气体</w:t>
            </w:r>
          </w:p>
        </w:tc>
        <w:tc>
          <w:tcPr>
            <w:tcW w:w="881" w:type="dxa"/>
            <w:vAlign w:val="center"/>
          </w:tcPr>
          <w:p w14:paraId="21D06B3E" w14:textId="12B99297"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w:t>
            </w:r>
          </w:p>
        </w:tc>
        <w:tc>
          <w:tcPr>
            <w:tcW w:w="801" w:type="dxa"/>
            <w:vAlign w:val="center"/>
          </w:tcPr>
          <w:p w14:paraId="53AEDB5A" w14:textId="7BD4A16A"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69" w:type="dxa"/>
            <w:vAlign w:val="center"/>
          </w:tcPr>
          <w:p w14:paraId="7621DD84" w14:textId="75AEC720"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rPr>
              <w:t>2.52t/a</w:t>
            </w:r>
          </w:p>
        </w:tc>
        <w:tc>
          <w:tcPr>
            <w:tcW w:w="3402" w:type="dxa"/>
            <w:tcBorders>
              <w:right w:val="single" w:sz="4" w:space="0" w:color="auto"/>
            </w:tcBorders>
            <w:vAlign w:val="center"/>
          </w:tcPr>
          <w:p w14:paraId="0C3BF848" w14:textId="2B97EA63" w:rsidR="00882797" w:rsidRPr="00092862" w:rsidRDefault="00FA2743"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无组织排放</w:t>
            </w:r>
          </w:p>
        </w:tc>
        <w:tc>
          <w:tcPr>
            <w:tcW w:w="1276" w:type="dxa"/>
            <w:tcBorders>
              <w:left w:val="single" w:sz="4" w:space="0" w:color="auto"/>
              <w:right w:val="single" w:sz="4" w:space="0" w:color="auto"/>
            </w:tcBorders>
            <w:vAlign w:val="center"/>
          </w:tcPr>
          <w:p w14:paraId="73B0A836" w14:textId="6BF3B77C" w:rsidR="00882797" w:rsidRPr="00092862" w:rsidRDefault="00882797" w:rsidP="0088279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全年</w:t>
            </w:r>
          </w:p>
        </w:tc>
        <w:tc>
          <w:tcPr>
            <w:tcW w:w="2122" w:type="dxa"/>
            <w:tcBorders>
              <w:left w:val="single" w:sz="4" w:space="0" w:color="auto"/>
              <w:right w:val="single" w:sz="4" w:space="0" w:color="auto"/>
            </w:tcBorders>
            <w:vAlign w:val="center"/>
          </w:tcPr>
          <w:p w14:paraId="5B321973" w14:textId="62431EE3" w:rsidR="00882797" w:rsidRPr="00092862" w:rsidRDefault="00882797" w:rsidP="0088279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《陆上石油天然气开采工业大气污染物排放标准》（</w:t>
            </w:r>
            <w:r w:rsidRPr="00092862">
              <w:rPr>
                <w:rFonts w:ascii="Times New Roman" w:eastAsia="宋体" w:hAnsi="Times New Roman" w:cs="Times New Roman"/>
                <w:color w:val="000000" w:themeColor="text1"/>
                <w:szCs w:val="21"/>
              </w:rPr>
              <w:t>GB 39728-2020</w:t>
            </w:r>
            <w:r w:rsidRPr="00092862">
              <w:rPr>
                <w:rFonts w:ascii="Times New Roman" w:eastAsia="宋体" w:hAnsi="Times New Roman" w:cs="Times New Roman"/>
                <w:color w:val="000000" w:themeColor="text1"/>
                <w:szCs w:val="21"/>
              </w:rPr>
              <w:t>）排放限值</w:t>
            </w:r>
          </w:p>
        </w:tc>
        <w:tc>
          <w:tcPr>
            <w:tcW w:w="718" w:type="dxa"/>
            <w:tcBorders>
              <w:left w:val="single" w:sz="4" w:space="0" w:color="auto"/>
            </w:tcBorders>
            <w:vAlign w:val="center"/>
          </w:tcPr>
          <w:p w14:paraId="2C07381B" w14:textId="4900A310"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57643288" w14:textId="77777777" w:rsidTr="003D70E6">
        <w:trPr>
          <w:jc w:val="center"/>
        </w:trPr>
        <w:tc>
          <w:tcPr>
            <w:tcW w:w="562" w:type="dxa"/>
            <w:vMerge/>
            <w:vAlign w:val="center"/>
          </w:tcPr>
          <w:p w14:paraId="462F3C4B" w14:textId="77777777"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p>
        </w:tc>
        <w:tc>
          <w:tcPr>
            <w:tcW w:w="1418" w:type="dxa"/>
            <w:vAlign w:val="center"/>
          </w:tcPr>
          <w:p w14:paraId="1D28F37F" w14:textId="1058771E"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设备检修或系统超压时排放少量天然气</w:t>
            </w:r>
          </w:p>
        </w:tc>
        <w:tc>
          <w:tcPr>
            <w:tcW w:w="1276" w:type="dxa"/>
            <w:vAlign w:val="center"/>
          </w:tcPr>
          <w:p w14:paraId="47121857" w14:textId="6C394BFE"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SO</w:t>
            </w:r>
            <w:r w:rsidRPr="00092862">
              <w:rPr>
                <w:rFonts w:ascii="Times New Roman" w:hAnsi="Times New Roman"/>
                <w:color w:val="000000" w:themeColor="text1"/>
                <w:sz w:val="21"/>
                <w:szCs w:val="21"/>
                <w:vertAlign w:val="subscript"/>
                <w:lang w:eastAsia="zh-CN"/>
              </w:rPr>
              <w:t>2</w:t>
            </w:r>
          </w:p>
        </w:tc>
        <w:tc>
          <w:tcPr>
            <w:tcW w:w="881" w:type="dxa"/>
            <w:vAlign w:val="center"/>
          </w:tcPr>
          <w:p w14:paraId="1C3CAD34" w14:textId="77777777"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w w:val="99"/>
                <w:sz w:val="21"/>
                <w:szCs w:val="21"/>
              </w:rPr>
              <w:t>—</w:t>
            </w:r>
          </w:p>
        </w:tc>
        <w:tc>
          <w:tcPr>
            <w:tcW w:w="801" w:type="dxa"/>
            <w:vAlign w:val="center"/>
          </w:tcPr>
          <w:p w14:paraId="5ECD776F" w14:textId="77777777"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c>
          <w:tcPr>
            <w:tcW w:w="869" w:type="dxa"/>
            <w:vAlign w:val="center"/>
          </w:tcPr>
          <w:p w14:paraId="0B6BCB79" w14:textId="7B49C796"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5.49t/h</w:t>
            </w:r>
          </w:p>
        </w:tc>
        <w:tc>
          <w:tcPr>
            <w:tcW w:w="3402" w:type="dxa"/>
            <w:tcBorders>
              <w:right w:val="single" w:sz="4" w:space="0" w:color="auto"/>
            </w:tcBorders>
            <w:vAlign w:val="center"/>
          </w:tcPr>
          <w:p w14:paraId="416994E2" w14:textId="7FFECD70"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经</w:t>
            </w:r>
            <w:r w:rsidRPr="00092862">
              <w:rPr>
                <w:rFonts w:ascii="Times New Roman" w:hAnsi="Times New Roman"/>
                <w:color w:val="000000" w:themeColor="text1"/>
                <w:sz w:val="21"/>
                <w:szCs w:val="21"/>
                <w:lang w:eastAsia="zh-CN"/>
              </w:rPr>
              <w:t>100m</w:t>
            </w:r>
            <w:r w:rsidRPr="00092862">
              <w:rPr>
                <w:rFonts w:ascii="Times New Roman" w:hAnsi="Times New Roman"/>
                <w:color w:val="000000" w:themeColor="text1"/>
                <w:sz w:val="21"/>
                <w:szCs w:val="21"/>
                <w:lang w:eastAsia="zh-CN"/>
              </w:rPr>
              <w:t>高放空火炬燃烧后排放</w:t>
            </w:r>
          </w:p>
        </w:tc>
        <w:tc>
          <w:tcPr>
            <w:tcW w:w="1276" w:type="dxa"/>
            <w:tcBorders>
              <w:left w:val="single" w:sz="4" w:space="0" w:color="auto"/>
              <w:right w:val="single" w:sz="4" w:space="0" w:color="auto"/>
            </w:tcBorders>
            <w:vAlign w:val="center"/>
          </w:tcPr>
          <w:p w14:paraId="0A817739" w14:textId="77777777" w:rsidR="00882797" w:rsidRPr="00092862" w:rsidRDefault="00882797" w:rsidP="00882797">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偶尔</w:t>
            </w:r>
          </w:p>
        </w:tc>
        <w:tc>
          <w:tcPr>
            <w:tcW w:w="2122" w:type="dxa"/>
            <w:tcBorders>
              <w:left w:val="single" w:sz="4" w:space="0" w:color="auto"/>
              <w:right w:val="single" w:sz="4" w:space="0" w:color="auto"/>
            </w:tcBorders>
            <w:vAlign w:val="center"/>
          </w:tcPr>
          <w:p w14:paraId="23C7865F" w14:textId="689C8434" w:rsidR="00882797" w:rsidRPr="00092862" w:rsidRDefault="00882797" w:rsidP="0088279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对周围环境影响较小</w:t>
            </w:r>
          </w:p>
        </w:tc>
        <w:tc>
          <w:tcPr>
            <w:tcW w:w="718" w:type="dxa"/>
            <w:tcBorders>
              <w:left w:val="single" w:sz="4" w:space="0" w:color="auto"/>
            </w:tcBorders>
            <w:vAlign w:val="center"/>
          </w:tcPr>
          <w:p w14:paraId="387ABAFC" w14:textId="77777777" w:rsidR="00882797" w:rsidRPr="00092862" w:rsidRDefault="00882797" w:rsidP="00882797">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6EB3ACFB" w14:textId="77777777" w:rsidTr="003D70E6">
        <w:trPr>
          <w:jc w:val="center"/>
        </w:trPr>
        <w:tc>
          <w:tcPr>
            <w:tcW w:w="562" w:type="dxa"/>
            <w:vMerge w:val="restart"/>
            <w:vAlign w:val="center"/>
          </w:tcPr>
          <w:p w14:paraId="39F37535"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水污染物</w:t>
            </w:r>
          </w:p>
        </w:tc>
        <w:tc>
          <w:tcPr>
            <w:tcW w:w="1418" w:type="dxa"/>
            <w:vAlign w:val="center"/>
          </w:tcPr>
          <w:p w14:paraId="4BE43803" w14:textId="77777777" w:rsidR="00CB4E76" w:rsidRPr="00092862" w:rsidRDefault="00CB4E7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钻井废水</w:t>
            </w:r>
          </w:p>
        </w:tc>
        <w:tc>
          <w:tcPr>
            <w:tcW w:w="1276" w:type="dxa"/>
            <w:vMerge w:val="restart"/>
            <w:vAlign w:val="center"/>
          </w:tcPr>
          <w:p w14:paraId="0D45A90E"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石油类、悬浮物、</w:t>
            </w:r>
            <w:r w:rsidRPr="00092862">
              <w:rPr>
                <w:rFonts w:ascii="Times New Roman" w:hAnsi="Times New Roman"/>
                <w:color w:val="000000" w:themeColor="text1"/>
                <w:sz w:val="21"/>
                <w:szCs w:val="21"/>
                <w:lang w:eastAsia="zh-CN"/>
              </w:rPr>
              <w:t>COD</w:t>
            </w:r>
            <w:r w:rsidRPr="00092862">
              <w:rPr>
                <w:rFonts w:ascii="Times New Roman" w:hAnsi="Times New Roman"/>
                <w:color w:val="000000" w:themeColor="text1"/>
                <w:sz w:val="21"/>
                <w:szCs w:val="21"/>
                <w:lang w:eastAsia="zh-CN"/>
              </w:rPr>
              <w:t>及氯化物等</w:t>
            </w:r>
          </w:p>
        </w:tc>
        <w:tc>
          <w:tcPr>
            <w:tcW w:w="881" w:type="dxa"/>
            <w:vAlign w:val="center"/>
          </w:tcPr>
          <w:p w14:paraId="44732905"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10F981BB"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4EF29F66" w14:textId="677838BB" w:rsidR="00CB4E76" w:rsidRPr="00092862" w:rsidRDefault="00317F32"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2791.68</w:t>
            </w:r>
            <w:r w:rsidR="00CB4E76" w:rsidRPr="00092862">
              <w:rPr>
                <w:rFonts w:ascii="Times New Roman" w:eastAsia="宋体" w:hAnsi="Times New Roman" w:cs="Times New Roman"/>
                <w:color w:val="000000" w:themeColor="text1"/>
                <w:szCs w:val="21"/>
              </w:rPr>
              <w:t>m</w:t>
            </w:r>
            <w:r w:rsidR="00CB4E76" w:rsidRPr="00092862">
              <w:rPr>
                <w:rFonts w:ascii="Times New Roman" w:eastAsia="宋体" w:hAnsi="Times New Roman" w:cs="Times New Roman"/>
                <w:color w:val="000000" w:themeColor="text1"/>
                <w:szCs w:val="21"/>
                <w:vertAlign w:val="superscript"/>
              </w:rPr>
              <w:t>3</w:t>
            </w:r>
          </w:p>
        </w:tc>
        <w:tc>
          <w:tcPr>
            <w:tcW w:w="3402" w:type="dxa"/>
            <w:vMerge w:val="restart"/>
            <w:vAlign w:val="center"/>
          </w:tcPr>
          <w:p w14:paraId="4CD9FC4C"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约</w:t>
            </w:r>
            <w:r w:rsidRPr="00092862">
              <w:rPr>
                <w:rFonts w:ascii="Times New Roman" w:hAnsi="Times New Roman"/>
                <w:color w:val="000000" w:themeColor="text1"/>
                <w:sz w:val="21"/>
                <w:szCs w:val="21"/>
                <w:lang w:eastAsia="zh-CN"/>
              </w:rPr>
              <w:t>90%</w:t>
            </w:r>
            <w:r w:rsidRPr="00092862">
              <w:rPr>
                <w:rFonts w:ascii="Times New Roman" w:hAnsi="Times New Roman"/>
                <w:color w:val="000000" w:themeColor="text1"/>
                <w:sz w:val="21"/>
                <w:szCs w:val="21"/>
                <w:lang w:eastAsia="zh-CN"/>
              </w:rPr>
              <w:t>回用于区块内钻井或压裂液配置，剩余的转运预处理后回注</w:t>
            </w:r>
          </w:p>
        </w:tc>
        <w:tc>
          <w:tcPr>
            <w:tcW w:w="1276" w:type="dxa"/>
            <w:vMerge w:val="restart"/>
            <w:vAlign w:val="center"/>
          </w:tcPr>
          <w:p w14:paraId="61B0CD31"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钻井期定期转运</w:t>
            </w:r>
          </w:p>
        </w:tc>
        <w:tc>
          <w:tcPr>
            <w:tcW w:w="2122" w:type="dxa"/>
            <w:vMerge w:val="restart"/>
            <w:vAlign w:val="center"/>
          </w:tcPr>
          <w:p w14:paraId="56BCCBFB"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污水全部回用或回注</w:t>
            </w:r>
          </w:p>
        </w:tc>
        <w:tc>
          <w:tcPr>
            <w:tcW w:w="718" w:type="dxa"/>
            <w:vAlign w:val="center"/>
          </w:tcPr>
          <w:p w14:paraId="23EA4DB4"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无</w:t>
            </w:r>
          </w:p>
        </w:tc>
      </w:tr>
      <w:tr w:rsidR="00697429" w:rsidRPr="00092862" w14:paraId="1533E5CD" w14:textId="77777777" w:rsidTr="003D70E6">
        <w:trPr>
          <w:jc w:val="center"/>
        </w:trPr>
        <w:tc>
          <w:tcPr>
            <w:tcW w:w="562" w:type="dxa"/>
            <w:vMerge/>
            <w:vAlign w:val="center"/>
          </w:tcPr>
          <w:p w14:paraId="7E001B08"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Align w:val="center"/>
          </w:tcPr>
          <w:p w14:paraId="6519F9DD" w14:textId="77777777" w:rsidR="00CB4E76" w:rsidRPr="00092862" w:rsidRDefault="00CB4E7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洗井废水</w:t>
            </w:r>
          </w:p>
        </w:tc>
        <w:tc>
          <w:tcPr>
            <w:tcW w:w="1276" w:type="dxa"/>
            <w:vMerge/>
            <w:vAlign w:val="center"/>
          </w:tcPr>
          <w:p w14:paraId="30938C25"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881" w:type="dxa"/>
            <w:vAlign w:val="center"/>
          </w:tcPr>
          <w:p w14:paraId="277440C2"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31E519BC"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3D19112C" w14:textId="1D72E67B" w:rsidR="00CB4E76" w:rsidRPr="00092862" w:rsidRDefault="00FA2743"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3</w:t>
            </w:r>
            <w:r w:rsidR="00A30905" w:rsidRPr="00092862">
              <w:rPr>
                <w:rFonts w:ascii="Times New Roman" w:eastAsia="宋体" w:hAnsi="Times New Roman" w:cs="Times New Roman"/>
                <w:color w:val="000000" w:themeColor="text1"/>
                <w:szCs w:val="21"/>
              </w:rPr>
              <w:t>00</w:t>
            </w:r>
            <w:r w:rsidR="00CB4E76" w:rsidRPr="00092862">
              <w:rPr>
                <w:rFonts w:ascii="Times New Roman" w:eastAsia="宋体" w:hAnsi="Times New Roman" w:cs="Times New Roman"/>
                <w:color w:val="000000" w:themeColor="text1"/>
                <w:szCs w:val="21"/>
              </w:rPr>
              <w:t>m</w:t>
            </w:r>
            <w:r w:rsidR="00CB4E76" w:rsidRPr="00092862">
              <w:rPr>
                <w:rFonts w:ascii="Times New Roman" w:eastAsia="宋体" w:hAnsi="Times New Roman" w:cs="Times New Roman"/>
                <w:color w:val="000000" w:themeColor="text1"/>
                <w:szCs w:val="21"/>
                <w:vertAlign w:val="superscript"/>
              </w:rPr>
              <w:t>3</w:t>
            </w:r>
          </w:p>
        </w:tc>
        <w:tc>
          <w:tcPr>
            <w:tcW w:w="3402" w:type="dxa"/>
            <w:vMerge/>
            <w:vAlign w:val="center"/>
          </w:tcPr>
          <w:p w14:paraId="05B49097"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1276" w:type="dxa"/>
            <w:vMerge/>
            <w:vAlign w:val="center"/>
          </w:tcPr>
          <w:p w14:paraId="7B1BAEE5" w14:textId="77777777" w:rsidR="00CB4E76" w:rsidRPr="00092862" w:rsidRDefault="00CB4E76" w:rsidP="00CB4E76">
            <w:pPr>
              <w:pStyle w:val="TableParagraph"/>
              <w:adjustRightInd w:val="0"/>
              <w:snapToGrid w:val="0"/>
              <w:jc w:val="center"/>
              <w:rPr>
                <w:rFonts w:ascii="Times New Roman" w:hAnsi="Times New Roman"/>
                <w:color w:val="000000" w:themeColor="text1"/>
                <w:w w:val="99"/>
                <w:sz w:val="21"/>
                <w:szCs w:val="21"/>
                <w:lang w:eastAsia="zh-CN"/>
              </w:rPr>
            </w:pPr>
          </w:p>
        </w:tc>
        <w:tc>
          <w:tcPr>
            <w:tcW w:w="2122" w:type="dxa"/>
            <w:vMerge/>
            <w:vAlign w:val="center"/>
          </w:tcPr>
          <w:p w14:paraId="70117050"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718" w:type="dxa"/>
            <w:vAlign w:val="center"/>
          </w:tcPr>
          <w:p w14:paraId="680EA745"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68E8A127" w14:textId="77777777" w:rsidTr="003D70E6">
        <w:trPr>
          <w:jc w:val="center"/>
        </w:trPr>
        <w:tc>
          <w:tcPr>
            <w:tcW w:w="562" w:type="dxa"/>
            <w:vMerge/>
            <w:vAlign w:val="center"/>
          </w:tcPr>
          <w:p w14:paraId="030393E3"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Align w:val="center"/>
          </w:tcPr>
          <w:p w14:paraId="3B4D1799" w14:textId="77777777" w:rsidR="00CB4E76" w:rsidRPr="00092862" w:rsidRDefault="00CB4E7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压裂返排液</w:t>
            </w:r>
          </w:p>
        </w:tc>
        <w:tc>
          <w:tcPr>
            <w:tcW w:w="1276" w:type="dxa"/>
            <w:vAlign w:val="center"/>
          </w:tcPr>
          <w:p w14:paraId="178F21E7"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石油类、悬浮物、</w:t>
            </w:r>
            <w:r w:rsidRPr="00092862">
              <w:rPr>
                <w:rFonts w:ascii="Times New Roman" w:hAnsi="Times New Roman"/>
                <w:color w:val="000000" w:themeColor="text1"/>
                <w:sz w:val="21"/>
                <w:szCs w:val="21"/>
                <w:lang w:eastAsia="zh-CN"/>
              </w:rPr>
              <w:t>COD</w:t>
            </w:r>
            <w:r w:rsidRPr="00092862">
              <w:rPr>
                <w:rFonts w:ascii="Times New Roman" w:hAnsi="Times New Roman"/>
                <w:color w:val="000000" w:themeColor="text1"/>
                <w:sz w:val="21"/>
                <w:szCs w:val="21"/>
                <w:lang w:eastAsia="zh-CN"/>
              </w:rPr>
              <w:t>等</w:t>
            </w:r>
          </w:p>
        </w:tc>
        <w:tc>
          <w:tcPr>
            <w:tcW w:w="881" w:type="dxa"/>
            <w:vAlign w:val="center"/>
          </w:tcPr>
          <w:p w14:paraId="691452D0"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4BB9E2BC"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353C12BA" w14:textId="24E429FE" w:rsidR="00CB4E76" w:rsidRPr="00092862" w:rsidRDefault="00F47E9A"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739.5m</w:t>
            </w:r>
            <w:r w:rsidR="00CB4E76" w:rsidRPr="00092862">
              <w:rPr>
                <w:rFonts w:ascii="Times New Roman" w:eastAsia="宋体" w:hAnsi="Times New Roman" w:cs="Times New Roman"/>
                <w:color w:val="000000" w:themeColor="text1"/>
                <w:szCs w:val="21"/>
                <w:vertAlign w:val="superscript"/>
              </w:rPr>
              <w:t>3</w:t>
            </w:r>
          </w:p>
        </w:tc>
        <w:tc>
          <w:tcPr>
            <w:tcW w:w="3402" w:type="dxa"/>
            <w:vMerge/>
            <w:vAlign w:val="center"/>
          </w:tcPr>
          <w:p w14:paraId="5CA72789"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1276" w:type="dxa"/>
            <w:vMerge/>
            <w:vAlign w:val="center"/>
          </w:tcPr>
          <w:p w14:paraId="13A494EE" w14:textId="77777777" w:rsidR="00CB4E76" w:rsidRPr="00092862" w:rsidRDefault="00CB4E76" w:rsidP="00CB4E76">
            <w:pPr>
              <w:pStyle w:val="TableParagraph"/>
              <w:adjustRightInd w:val="0"/>
              <w:snapToGrid w:val="0"/>
              <w:jc w:val="center"/>
              <w:rPr>
                <w:rFonts w:ascii="Times New Roman" w:hAnsi="Times New Roman"/>
                <w:color w:val="000000" w:themeColor="text1"/>
                <w:w w:val="99"/>
                <w:sz w:val="21"/>
                <w:szCs w:val="21"/>
                <w:lang w:eastAsia="zh-CN"/>
              </w:rPr>
            </w:pPr>
          </w:p>
        </w:tc>
        <w:tc>
          <w:tcPr>
            <w:tcW w:w="2122" w:type="dxa"/>
            <w:vMerge/>
            <w:vAlign w:val="center"/>
          </w:tcPr>
          <w:p w14:paraId="2BF21FFD"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718" w:type="dxa"/>
            <w:vAlign w:val="center"/>
          </w:tcPr>
          <w:p w14:paraId="02C2093A"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276CB1D1" w14:textId="77777777" w:rsidTr="003D70E6">
        <w:trPr>
          <w:jc w:val="center"/>
        </w:trPr>
        <w:tc>
          <w:tcPr>
            <w:tcW w:w="562" w:type="dxa"/>
            <w:vMerge/>
            <w:vAlign w:val="center"/>
          </w:tcPr>
          <w:p w14:paraId="3F7B4005"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Align w:val="center"/>
          </w:tcPr>
          <w:p w14:paraId="7653CB0B" w14:textId="77777777" w:rsidR="00665B87" w:rsidRPr="00092862" w:rsidRDefault="00665B87"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钻井生活污水</w:t>
            </w:r>
          </w:p>
        </w:tc>
        <w:tc>
          <w:tcPr>
            <w:tcW w:w="1276" w:type="dxa"/>
            <w:vMerge w:val="restart"/>
            <w:vAlign w:val="center"/>
          </w:tcPr>
          <w:p w14:paraId="07A14CED"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COD</w:t>
            </w:r>
            <w:r w:rsidRPr="00092862">
              <w:rPr>
                <w:rFonts w:ascii="Times New Roman" w:hAnsi="Times New Roman"/>
                <w:color w:val="000000" w:themeColor="text1"/>
                <w:sz w:val="21"/>
                <w:szCs w:val="21"/>
                <w:vertAlign w:val="subscript"/>
                <w:lang w:eastAsia="zh-CN"/>
              </w:rPr>
              <w:t>Cr</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BOD</w:t>
            </w:r>
            <w:r w:rsidRPr="00092862">
              <w:rPr>
                <w:rFonts w:ascii="Times New Roman" w:hAnsi="Times New Roman"/>
                <w:color w:val="000000" w:themeColor="text1"/>
                <w:sz w:val="21"/>
                <w:szCs w:val="21"/>
                <w:vertAlign w:val="subscript"/>
                <w:lang w:eastAsia="zh-CN"/>
              </w:rPr>
              <w:t>5</w:t>
            </w: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lang w:eastAsia="zh-CN"/>
              </w:rPr>
              <w:t>SS</w:t>
            </w:r>
            <w:r w:rsidRPr="00092862">
              <w:rPr>
                <w:rFonts w:ascii="Times New Roman" w:hAnsi="Times New Roman"/>
                <w:color w:val="000000" w:themeColor="text1"/>
                <w:sz w:val="21"/>
                <w:szCs w:val="21"/>
                <w:lang w:eastAsia="zh-CN"/>
              </w:rPr>
              <w:t>等</w:t>
            </w:r>
          </w:p>
        </w:tc>
        <w:tc>
          <w:tcPr>
            <w:tcW w:w="881" w:type="dxa"/>
            <w:vAlign w:val="center"/>
          </w:tcPr>
          <w:p w14:paraId="5210D12D"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6A358436"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221DF5CB" w14:textId="77777777" w:rsidR="00665B87" w:rsidRPr="00092862" w:rsidRDefault="00665B87"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2.88m</w:t>
            </w:r>
            <w:r w:rsidRPr="00092862">
              <w:rPr>
                <w:rFonts w:ascii="Times New Roman" w:eastAsia="宋体" w:hAnsi="Times New Roman" w:cs="Times New Roman"/>
                <w:color w:val="000000" w:themeColor="text1"/>
                <w:szCs w:val="21"/>
                <w:vertAlign w:val="superscript"/>
              </w:rPr>
              <w:t>3</w:t>
            </w:r>
            <w:r w:rsidRPr="00092862">
              <w:rPr>
                <w:rFonts w:ascii="Times New Roman" w:eastAsia="宋体" w:hAnsi="Times New Roman" w:cs="Times New Roman"/>
                <w:color w:val="000000" w:themeColor="text1"/>
                <w:szCs w:val="21"/>
              </w:rPr>
              <w:t>/d</w:t>
            </w:r>
          </w:p>
        </w:tc>
        <w:tc>
          <w:tcPr>
            <w:tcW w:w="3402" w:type="dxa"/>
            <w:vAlign w:val="center"/>
          </w:tcPr>
          <w:p w14:paraId="726B2EFB" w14:textId="2B7B8E81"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bCs/>
                <w:color w:val="000000" w:themeColor="text1"/>
                <w:sz w:val="21"/>
                <w:szCs w:val="21"/>
                <w:lang w:eastAsia="zh-CN"/>
              </w:rPr>
              <w:t>生活污水</w:t>
            </w:r>
            <w:r w:rsidR="00271DF7" w:rsidRPr="00092862">
              <w:rPr>
                <w:rFonts w:ascii="Times New Roman" w:hAnsi="Times New Roman"/>
                <w:bCs/>
                <w:color w:val="000000" w:themeColor="text1"/>
                <w:sz w:val="21"/>
                <w:szCs w:val="21"/>
                <w:lang w:eastAsia="zh-CN"/>
              </w:rPr>
              <w:t>经生态厕所收集后定期由密闭罐车拉运至周边生活污水处理厂处理</w:t>
            </w:r>
          </w:p>
        </w:tc>
        <w:tc>
          <w:tcPr>
            <w:tcW w:w="1276" w:type="dxa"/>
            <w:vMerge/>
            <w:vAlign w:val="center"/>
          </w:tcPr>
          <w:p w14:paraId="14F642E8" w14:textId="77777777" w:rsidR="00665B87" w:rsidRPr="00092862" w:rsidRDefault="00665B87" w:rsidP="00CB4E76">
            <w:pPr>
              <w:pStyle w:val="TableParagraph"/>
              <w:adjustRightInd w:val="0"/>
              <w:snapToGrid w:val="0"/>
              <w:jc w:val="center"/>
              <w:rPr>
                <w:rFonts w:ascii="Times New Roman" w:hAnsi="Times New Roman"/>
                <w:color w:val="000000" w:themeColor="text1"/>
                <w:w w:val="99"/>
                <w:sz w:val="21"/>
                <w:szCs w:val="21"/>
                <w:lang w:eastAsia="zh-CN"/>
              </w:rPr>
            </w:pPr>
          </w:p>
        </w:tc>
        <w:tc>
          <w:tcPr>
            <w:tcW w:w="2122" w:type="dxa"/>
            <w:vMerge w:val="restart"/>
            <w:vAlign w:val="center"/>
          </w:tcPr>
          <w:p w14:paraId="46716B2A"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有效收集处理，无乱排</w:t>
            </w:r>
          </w:p>
        </w:tc>
        <w:tc>
          <w:tcPr>
            <w:tcW w:w="718" w:type="dxa"/>
            <w:vAlign w:val="center"/>
          </w:tcPr>
          <w:p w14:paraId="0828FC88"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无</w:t>
            </w:r>
          </w:p>
        </w:tc>
      </w:tr>
      <w:tr w:rsidR="00697429" w:rsidRPr="00092862" w14:paraId="60417C2A" w14:textId="77777777" w:rsidTr="003D70E6">
        <w:trPr>
          <w:jc w:val="center"/>
        </w:trPr>
        <w:tc>
          <w:tcPr>
            <w:tcW w:w="562" w:type="dxa"/>
            <w:vMerge/>
            <w:vAlign w:val="center"/>
          </w:tcPr>
          <w:p w14:paraId="0FEE728D"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Align w:val="center"/>
          </w:tcPr>
          <w:p w14:paraId="49AD339C" w14:textId="77777777" w:rsidR="00665B87" w:rsidRPr="00092862" w:rsidRDefault="00665B87"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钻前生活污水</w:t>
            </w:r>
          </w:p>
        </w:tc>
        <w:tc>
          <w:tcPr>
            <w:tcW w:w="1276" w:type="dxa"/>
            <w:vMerge/>
            <w:vAlign w:val="center"/>
          </w:tcPr>
          <w:p w14:paraId="14A1BDD8"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p>
        </w:tc>
        <w:tc>
          <w:tcPr>
            <w:tcW w:w="881" w:type="dxa"/>
            <w:vAlign w:val="center"/>
          </w:tcPr>
          <w:p w14:paraId="1BFCB69A"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48F5EF16"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1DE2013A" w14:textId="77777777" w:rsidR="00665B87" w:rsidRPr="00092862" w:rsidRDefault="00665B87"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3402" w:type="dxa"/>
            <w:vAlign w:val="center"/>
          </w:tcPr>
          <w:p w14:paraId="0255C692"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利用农户已有的设施进行收集处置</w:t>
            </w:r>
          </w:p>
        </w:tc>
        <w:tc>
          <w:tcPr>
            <w:tcW w:w="1276" w:type="dxa"/>
            <w:vMerge/>
            <w:vAlign w:val="center"/>
          </w:tcPr>
          <w:p w14:paraId="2FAF80DE" w14:textId="77777777" w:rsidR="00665B87" w:rsidRPr="00092862" w:rsidRDefault="00665B87" w:rsidP="00CB4E76">
            <w:pPr>
              <w:pStyle w:val="TableParagraph"/>
              <w:adjustRightInd w:val="0"/>
              <w:snapToGrid w:val="0"/>
              <w:jc w:val="center"/>
              <w:rPr>
                <w:rFonts w:ascii="Times New Roman" w:hAnsi="Times New Roman"/>
                <w:color w:val="000000" w:themeColor="text1"/>
                <w:w w:val="99"/>
                <w:sz w:val="21"/>
                <w:szCs w:val="21"/>
                <w:lang w:eastAsia="zh-CN"/>
              </w:rPr>
            </w:pPr>
          </w:p>
        </w:tc>
        <w:tc>
          <w:tcPr>
            <w:tcW w:w="2122" w:type="dxa"/>
            <w:vMerge/>
            <w:vAlign w:val="center"/>
          </w:tcPr>
          <w:p w14:paraId="7AEF9678"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p>
        </w:tc>
        <w:tc>
          <w:tcPr>
            <w:tcW w:w="718" w:type="dxa"/>
            <w:vAlign w:val="center"/>
          </w:tcPr>
          <w:p w14:paraId="546C77EC"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025ED732" w14:textId="77777777" w:rsidTr="003D70E6">
        <w:trPr>
          <w:jc w:val="center"/>
        </w:trPr>
        <w:tc>
          <w:tcPr>
            <w:tcW w:w="562" w:type="dxa"/>
            <w:vMerge/>
            <w:vAlign w:val="center"/>
          </w:tcPr>
          <w:p w14:paraId="7EA6A638"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p>
        </w:tc>
        <w:tc>
          <w:tcPr>
            <w:tcW w:w="1418" w:type="dxa"/>
            <w:vAlign w:val="center"/>
          </w:tcPr>
          <w:p w14:paraId="5A43ABF3" w14:textId="77777777" w:rsidR="00665B87" w:rsidRPr="00092862" w:rsidRDefault="00665B87"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钻前施工废水</w:t>
            </w:r>
          </w:p>
        </w:tc>
        <w:tc>
          <w:tcPr>
            <w:tcW w:w="1276" w:type="dxa"/>
            <w:vAlign w:val="center"/>
          </w:tcPr>
          <w:p w14:paraId="712881FC"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SS</w:t>
            </w:r>
            <w:r w:rsidRPr="00092862">
              <w:rPr>
                <w:rFonts w:ascii="Times New Roman" w:hAnsi="Times New Roman"/>
                <w:color w:val="000000" w:themeColor="text1"/>
                <w:sz w:val="21"/>
                <w:szCs w:val="21"/>
                <w:lang w:eastAsia="zh-CN"/>
              </w:rPr>
              <w:t>和石油类</w:t>
            </w:r>
          </w:p>
        </w:tc>
        <w:tc>
          <w:tcPr>
            <w:tcW w:w="881" w:type="dxa"/>
            <w:vAlign w:val="center"/>
          </w:tcPr>
          <w:p w14:paraId="3A0F924A"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026BF089"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01F76E79" w14:textId="77777777" w:rsidR="00665B87" w:rsidRPr="00092862" w:rsidRDefault="00665B87"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3402" w:type="dxa"/>
            <w:vAlign w:val="center"/>
          </w:tcPr>
          <w:p w14:paraId="0C55BC01"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经隔油池沉淀处理后回用于洒水降尘</w:t>
            </w:r>
          </w:p>
        </w:tc>
        <w:tc>
          <w:tcPr>
            <w:tcW w:w="1276" w:type="dxa"/>
            <w:vAlign w:val="center"/>
          </w:tcPr>
          <w:p w14:paraId="501A24A3" w14:textId="77777777" w:rsidR="00665B87" w:rsidRPr="00092862" w:rsidRDefault="00665B87" w:rsidP="00CB4E76">
            <w:pPr>
              <w:pStyle w:val="TableParagraph"/>
              <w:adjustRightInd w:val="0"/>
              <w:snapToGrid w:val="0"/>
              <w:jc w:val="center"/>
              <w:rPr>
                <w:rFonts w:ascii="Times New Roman" w:hAnsi="Times New Roman"/>
                <w:bCs/>
                <w:color w:val="000000" w:themeColor="text1"/>
                <w:sz w:val="21"/>
                <w:szCs w:val="21"/>
                <w:lang w:eastAsia="zh-CN"/>
              </w:rPr>
            </w:pPr>
            <w:r w:rsidRPr="00092862">
              <w:rPr>
                <w:rFonts w:ascii="Times New Roman" w:hAnsi="Times New Roman"/>
                <w:bCs/>
                <w:color w:val="000000" w:themeColor="text1"/>
                <w:sz w:val="21"/>
                <w:szCs w:val="21"/>
                <w:lang w:eastAsia="zh-CN"/>
              </w:rPr>
              <w:t>施工期</w:t>
            </w:r>
          </w:p>
        </w:tc>
        <w:tc>
          <w:tcPr>
            <w:tcW w:w="2122" w:type="dxa"/>
            <w:vMerge/>
            <w:vAlign w:val="center"/>
          </w:tcPr>
          <w:p w14:paraId="15FC4EDD"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p>
        </w:tc>
        <w:tc>
          <w:tcPr>
            <w:tcW w:w="718" w:type="dxa"/>
            <w:vAlign w:val="center"/>
          </w:tcPr>
          <w:p w14:paraId="0B6A26CA" w14:textId="77777777" w:rsidR="00665B87" w:rsidRPr="00092862" w:rsidRDefault="00665B87"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1F1B86A2" w14:textId="77777777" w:rsidTr="003D70E6">
        <w:trPr>
          <w:jc w:val="center"/>
        </w:trPr>
        <w:tc>
          <w:tcPr>
            <w:tcW w:w="562" w:type="dxa"/>
            <w:vMerge/>
            <w:vAlign w:val="center"/>
          </w:tcPr>
          <w:p w14:paraId="0B725B67"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Align w:val="center"/>
          </w:tcPr>
          <w:p w14:paraId="3D2947C7" w14:textId="77777777" w:rsidR="00CB4E76" w:rsidRPr="00092862" w:rsidRDefault="00CB4E7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采气废水</w:t>
            </w:r>
          </w:p>
        </w:tc>
        <w:tc>
          <w:tcPr>
            <w:tcW w:w="1276" w:type="dxa"/>
            <w:vAlign w:val="center"/>
          </w:tcPr>
          <w:p w14:paraId="73B36117"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石油类、悬浮物、</w:t>
            </w:r>
            <w:r w:rsidRPr="00092862">
              <w:rPr>
                <w:rFonts w:ascii="Times New Roman" w:hAnsi="Times New Roman"/>
                <w:color w:val="000000" w:themeColor="text1"/>
                <w:sz w:val="21"/>
                <w:szCs w:val="21"/>
                <w:lang w:eastAsia="zh-CN"/>
              </w:rPr>
              <w:t>COD</w:t>
            </w:r>
            <w:r w:rsidRPr="00092862">
              <w:rPr>
                <w:rFonts w:ascii="Times New Roman" w:hAnsi="Times New Roman"/>
                <w:color w:val="000000" w:themeColor="text1"/>
                <w:sz w:val="21"/>
                <w:szCs w:val="21"/>
                <w:lang w:eastAsia="zh-CN"/>
              </w:rPr>
              <w:t>及氯化物等</w:t>
            </w:r>
          </w:p>
        </w:tc>
        <w:tc>
          <w:tcPr>
            <w:tcW w:w="881" w:type="dxa"/>
            <w:vAlign w:val="center"/>
          </w:tcPr>
          <w:p w14:paraId="43A0AF09"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01" w:type="dxa"/>
            <w:vAlign w:val="center"/>
          </w:tcPr>
          <w:p w14:paraId="0667B388"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869" w:type="dxa"/>
            <w:vAlign w:val="center"/>
          </w:tcPr>
          <w:p w14:paraId="535F11EA" w14:textId="2658BC17" w:rsidR="00CB4E76" w:rsidRPr="00092862" w:rsidRDefault="00FA2743"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3</w:t>
            </w:r>
            <w:r w:rsidR="00665B87" w:rsidRPr="00092862">
              <w:rPr>
                <w:rFonts w:ascii="Times New Roman" w:hAnsi="Times New Roman"/>
                <w:color w:val="000000" w:themeColor="text1"/>
                <w:sz w:val="21"/>
                <w:szCs w:val="21"/>
                <w:lang w:eastAsia="zh-CN"/>
              </w:rPr>
              <w:t>0</w:t>
            </w:r>
            <w:r w:rsidR="00CB4E76" w:rsidRPr="00092862">
              <w:rPr>
                <w:rFonts w:ascii="Times New Roman" w:hAnsi="Times New Roman"/>
                <w:color w:val="000000" w:themeColor="text1"/>
                <w:sz w:val="21"/>
                <w:szCs w:val="21"/>
                <w:lang w:eastAsia="zh-CN"/>
              </w:rPr>
              <w:t>m</w:t>
            </w:r>
            <w:r w:rsidR="00CB4E76" w:rsidRPr="00092862">
              <w:rPr>
                <w:rFonts w:ascii="Times New Roman" w:hAnsi="Times New Roman"/>
                <w:color w:val="000000" w:themeColor="text1"/>
                <w:sz w:val="21"/>
                <w:szCs w:val="21"/>
                <w:vertAlign w:val="superscript"/>
                <w:lang w:eastAsia="zh-CN"/>
              </w:rPr>
              <w:t>3</w:t>
            </w:r>
            <w:r w:rsidR="00CB4E76" w:rsidRPr="00092862">
              <w:rPr>
                <w:rFonts w:ascii="Times New Roman" w:hAnsi="Times New Roman"/>
                <w:color w:val="000000" w:themeColor="text1"/>
                <w:sz w:val="21"/>
                <w:szCs w:val="21"/>
                <w:lang w:eastAsia="zh-CN"/>
              </w:rPr>
              <w:t>/d</w:t>
            </w:r>
          </w:p>
        </w:tc>
        <w:tc>
          <w:tcPr>
            <w:tcW w:w="3402" w:type="dxa"/>
            <w:vAlign w:val="center"/>
          </w:tcPr>
          <w:p w14:paraId="013F2FFA" w14:textId="2E89D6E9"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密闭罐车拉运至</w:t>
            </w:r>
            <w:r w:rsidR="005D5A22" w:rsidRPr="00092862">
              <w:rPr>
                <w:rFonts w:ascii="Times New Roman" w:hAnsi="Times New Roman"/>
                <w:color w:val="000000" w:themeColor="text1"/>
                <w:sz w:val="21"/>
                <w:szCs w:val="21"/>
                <w:lang w:eastAsia="zh-CN"/>
              </w:rPr>
              <w:t>赵家坝污水处理站达标后管输至普光</w:t>
            </w:r>
            <w:r w:rsidR="005D5A22" w:rsidRPr="00092862">
              <w:rPr>
                <w:rFonts w:ascii="Times New Roman" w:hAnsi="Times New Roman"/>
                <w:color w:val="000000" w:themeColor="text1"/>
                <w:sz w:val="21"/>
                <w:szCs w:val="21"/>
                <w:lang w:eastAsia="zh-CN"/>
              </w:rPr>
              <w:t>11</w:t>
            </w:r>
            <w:r w:rsidR="005D5A22" w:rsidRPr="00092862">
              <w:rPr>
                <w:rFonts w:ascii="Times New Roman" w:hAnsi="Times New Roman"/>
                <w:color w:val="000000" w:themeColor="text1"/>
                <w:sz w:val="21"/>
                <w:szCs w:val="21"/>
                <w:lang w:eastAsia="zh-CN"/>
              </w:rPr>
              <w:t>井回注站回注</w:t>
            </w:r>
            <w:r w:rsidRPr="00092862">
              <w:rPr>
                <w:rFonts w:ascii="Times New Roman" w:hAnsi="Times New Roman"/>
                <w:color w:val="000000" w:themeColor="text1"/>
                <w:sz w:val="21"/>
                <w:szCs w:val="21"/>
                <w:lang w:eastAsia="zh-CN"/>
              </w:rPr>
              <w:t>，不外排</w:t>
            </w:r>
          </w:p>
        </w:tc>
        <w:tc>
          <w:tcPr>
            <w:tcW w:w="1276" w:type="dxa"/>
            <w:vAlign w:val="center"/>
          </w:tcPr>
          <w:p w14:paraId="702047DC" w14:textId="11E89FB5" w:rsidR="00CB4E76" w:rsidRPr="00092862" w:rsidRDefault="001A6854"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试采期</w:t>
            </w:r>
            <w:r w:rsidR="00CB4E76" w:rsidRPr="00092862">
              <w:rPr>
                <w:rFonts w:ascii="Times New Roman" w:hAnsi="Times New Roman"/>
                <w:color w:val="000000" w:themeColor="text1"/>
                <w:sz w:val="21"/>
                <w:szCs w:val="21"/>
                <w:lang w:eastAsia="zh-CN"/>
              </w:rPr>
              <w:t>定期转运</w:t>
            </w:r>
          </w:p>
        </w:tc>
        <w:tc>
          <w:tcPr>
            <w:tcW w:w="2122" w:type="dxa"/>
            <w:vAlign w:val="center"/>
          </w:tcPr>
          <w:p w14:paraId="2171AC0D" w14:textId="2488AA63"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污水全部回注</w:t>
            </w:r>
          </w:p>
        </w:tc>
        <w:tc>
          <w:tcPr>
            <w:tcW w:w="718" w:type="dxa"/>
            <w:vAlign w:val="center"/>
          </w:tcPr>
          <w:p w14:paraId="20E227BF"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无</w:t>
            </w:r>
          </w:p>
        </w:tc>
      </w:tr>
      <w:tr w:rsidR="00697429" w:rsidRPr="00092862" w14:paraId="781EE09D" w14:textId="77777777" w:rsidTr="003D70E6">
        <w:trPr>
          <w:jc w:val="center"/>
        </w:trPr>
        <w:tc>
          <w:tcPr>
            <w:tcW w:w="562" w:type="dxa"/>
            <w:vMerge w:val="restart"/>
            <w:vAlign w:val="center"/>
          </w:tcPr>
          <w:p w14:paraId="7E08A9D3"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rPr>
              <w:t>噪声</w:t>
            </w:r>
            <w:r w:rsidRPr="00092862">
              <w:rPr>
                <w:rFonts w:ascii="Times New Roman" w:hAnsi="Times New Roman"/>
                <w:color w:val="000000" w:themeColor="text1"/>
                <w:sz w:val="21"/>
                <w:szCs w:val="21"/>
                <w:lang w:eastAsia="zh-CN"/>
              </w:rPr>
              <w:t>污染物</w:t>
            </w:r>
          </w:p>
        </w:tc>
        <w:tc>
          <w:tcPr>
            <w:tcW w:w="1418" w:type="dxa"/>
            <w:vAlign w:val="center"/>
          </w:tcPr>
          <w:p w14:paraId="2D67ED9A"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施工期</w:t>
            </w:r>
            <w:r w:rsidRPr="00092862">
              <w:rPr>
                <w:rFonts w:ascii="Times New Roman" w:hAnsi="Times New Roman"/>
                <w:color w:val="000000" w:themeColor="text1"/>
                <w:sz w:val="21"/>
                <w:szCs w:val="21"/>
              </w:rPr>
              <w:t>设备噪声</w:t>
            </w:r>
          </w:p>
        </w:tc>
        <w:tc>
          <w:tcPr>
            <w:tcW w:w="1276" w:type="dxa"/>
            <w:vAlign w:val="center"/>
          </w:tcPr>
          <w:p w14:paraId="071300CB"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噪声</w:t>
            </w:r>
          </w:p>
        </w:tc>
        <w:tc>
          <w:tcPr>
            <w:tcW w:w="881" w:type="dxa"/>
            <w:vAlign w:val="center"/>
          </w:tcPr>
          <w:p w14:paraId="7F122909"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1670" w:type="dxa"/>
            <w:gridSpan w:val="2"/>
            <w:vAlign w:val="center"/>
          </w:tcPr>
          <w:p w14:paraId="76BD2E6F"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rPr>
              <w:t>75</w:t>
            </w:r>
            <w:r w:rsidRPr="00092862">
              <w:rPr>
                <w:rFonts w:ascii="Times New Roman" w:hAnsi="Times New Roman"/>
                <w:color w:val="000000" w:themeColor="text1"/>
                <w:sz w:val="21"/>
                <w:szCs w:val="21"/>
              </w:rPr>
              <w:t>～</w:t>
            </w:r>
            <w:r w:rsidRPr="00092862">
              <w:rPr>
                <w:rFonts w:ascii="Times New Roman" w:hAnsi="Times New Roman"/>
                <w:color w:val="000000" w:themeColor="text1"/>
                <w:sz w:val="21"/>
                <w:szCs w:val="21"/>
              </w:rPr>
              <w:t>103dB</w:t>
            </w:r>
            <w:r w:rsidRPr="00092862">
              <w:rPr>
                <w:rFonts w:ascii="Times New Roman" w:hAnsi="Times New Roman"/>
                <w:color w:val="000000" w:themeColor="text1"/>
                <w:sz w:val="21"/>
                <w:szCs w:val="21"/>
              </w:rPr>
              <w:t>（</w:t>
            </w:r>
            <w:r w:rsidRPr="00092862">
              <w:rPr>
                <w:rFonts w:ascii="Times New Roman" w:hAnsi="Times New Roman"/>
                <w:color w:val="000000" w:themeColor="text1"/>
                <w:sz w:val="21"/>
                <w:szCs w:val="21"/>
              </w:rPr>
              <w:t>A</w:t>
            </w:r>
            <w:r w:rsidRPr="00092862">
              <w:rPr>
                <w:rFonts w:ascii="Times New Roman" w:hAnsi="Times New Roman"/>
                <w:color w:val="000000" w:themeColor="text1"/>
                <w:sz w:val="21"/>
                <w:szCs w:val="21"/>
              </w:rPr>
              <w:t>）</w:t>
            </w:r>
          </w:p>
        </w:tc>
        <w:tc>
          <w:tcPr>
            <w:tcW w:w="3402" w:type="dxa"/>
            <w:vAlign w:val="center"/>
          </w:tcPr>
          <w:p w14:paraId="52AB5561"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选用低噪声设备、加强维护保养，置于钻井井场内，基础安装减振垫层，柴油发电机设置于室内</w:t>
            </w:r>
          </w:p>
        </w:tc>
        <w:tc>
          <w:tcPr>
            <w:tcW w:w="1276" w:type="dxa"/>
            <w:vAlign w:val="center"/>
          </w:tcPr>
          <w:p w14:paraId="11F74A39" w14:textId="77777777" w:rsidR="00CB4E76" w:rsidRPr="00092862" w:rsidRDefault="00CB4E7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连续</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间断</w:t>
            </w:r>
          </w:p>
        </w:tc>
        <w:tc>
          <w:tcPr>
            <w:tcW w:w="2122" w:type="dxa"/>
            <w:vAlign w:val="center"/>
          </w:tcPr>
          <w:p w14:paraId="56E73A55"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pacing w:val="-4"/>
                <w:sz w:val="21"/>
                <w:szCs w:val="21"/>
                <w:lang w:eastAsia="zh-CN"/>
              </w:rPr>
              <w:t>不扰民</w:t>
            </w:r>
          </w:p>
        </w:tc>
        <w:tc>
          <w:tcPr>
            <w:tcW w:w="718" w:type="dxa"/>
            <w:vAlign w:val="center"/>
          </w:tcPr>
          <w:p w14:paraId="7FB5AF9C" w14:textId="77777777" w:rsidR="00CB4E76" w:rsidRPr="00092862" w:rsidRDefault="00CB4E7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w:t>
            </w:r>
          </w:p>
        </w:tc>
      </w:tr>
      <w:tr w:rsidR="00697429" w:rsidRPr="00092862" w14:paraId="3DC158CA" w14:textId="77777777" w:rsidTr="003D70E6">
        <w:trPr>
          <w:jc w:val="center"/>
        </w:trPr>
        <w:tc>
          <w:tcPr>
            <w:tcW w:w="562" w:type="dxa"/>
            <w:vMerge/>
            <w:vAlign w:val="center"/>
          </w:tcPr>
          <w:p w14:paraId="539BEB6F"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p>
        </w:tc>
        <w:tc>
          <w:tcPr>
            <w:tcW w:w="1418" w:type="dxa"/>
            <w:vAlign w:val="center"/>
          </w:tcPr>
          <w:p w14:paraId="1FA3D9AB" w14:textId="524B6B8F" w:rsidR="00CB4E76" w:rsidRPr="00092862" w:rsidRDefault="001A6854"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试采期</w:t>
            </w:r>
            <w:r w:rsidR="00CB4E76" w:rsidRPr="00092862">
              <w:rPr>
                <w:rFonts w:ascii="Times New Roman" w:hAnsi="Times New Roman"/>
                <w:color w:val="000000" w:themeColor="text1"/>
                <w:sz w:val="21"/>
                <w:szCs w:val="21"/>
                <w:lang w:eastAsia="zh-CN"/>
              </w:rPr>
              <w:t>噪声</w:t>
            </w:r>
          </w:p>
        </w:tc>
        <w:tc>
          <w:tcPr>
            <w:tcW w:w="1276" w:type="dxa"/>
            <w:vAlign w:val="center"/>
          </w:tcPr>
          <w:p w14:paraId="6BE22E84"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噪声</w:t>
            </w:r>
          </w:p>
        </w:tc>
        <w:tc>
          <w:tcPr>
            <w:tcW w:w="881" w:type="dxa"/>
            <w:vAlign w:val="center"/>
          </w:tcPr>
          <w:p w14:paraId="5F1F5D09"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w w:val="99"/>
                <w:sz w:val="21"/>
                <w:szCs w:val="21"/>
              </w:rPr>
              <w:t>—</w:t>
            </w:r>
          </w:p>
        </w:tc>
        <w:tc>
          <w:tcPr>
            <w:tcW w:w="1670" w:type="dxa"/>
            <w:gridSpan w:val="2"/>
            <w:vAlign w:val="center"/>
          </w:tcPr>
          <w:p w14:paraId="51410F70"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rPr>
            </w:pPr>
            <w:r w:rsidRPr="00092862">
              <w:rPr>
                <w:rFonts w:ascii="Times New Roman" w:hAnsi="Times New Roman"/>
                <w:color w:val="000000" w:themeColor="text1"/>
                <w:sz w:val="21"/>
                <w:szCs w:val="21"/>
                <w:lang w:eastAsia="zh-CN"/>
              </w:rPr>
              <w:t>＜</w:t>
            </w:r>
            <w:r w:rsidRPr="00092862">
              <w:rPr>
                <w:rFonts w:ascii="Times New Roman" w:hAnsi="Times New Roman"/>
                <w:color w:val="000000" w:themeColor="text1"/>
                <w:sz w:val="21"/>
                <w:szCs w:val="21"/>
              </w:rPr>
              <w:t>55dB</w:t>
            </w:r>
            <w:r w:rsidRPr="00092862">
              <w:rPr>
                <w:rFonts w:ascii="Times New Roman" w:hAnsi="Times New Roman"/>
                <w:color w:val="000000" w:themeColor="text1"/>
                <w:sz w:val="21"/>
                <w:szCs w:val="21"/>
              </w:rPr>
              <w:t>（</w:t>
            </w:r>
            <w:r w:rsidRPr="00092862">
              <w:rPr>
                <w:rFonts w:ascii="Times New Roman" w:hAnsi="Times New Roman"/>
                <w:color w:val="000000" w:themeColor="text1"/>
                <w:sz w:val="21"/>
                <w:szCs w:val="21"/>
              </w:rPr>
              <w:t>A</w:t>
            </w:r>
            <w:r w:rsidRPr="00092862">
              <w:rPr>
                <w:rFonts w:ascii="Times New Roman" w:hAnsi="Times New Roman"/>
                <w:color w:val="000000" w:themeColor="text1"/>
                <w:sz w:val="21"/>
                <w:szCs w:val="21"/>
              </w:rPr>
              <w:t>）</w:t>
            </w:r>
          </w:p>
        </w:tc>
        <w:tc>
          <w:tcPr>
            <w:tcW w:w="3402" w:type="dxa"/>
            <w:vAlign w:val="center"/>
          </w:tcPr>
          <w:p w14:paraId="47FA2E7A" w14:textId="77777777" w:rsidR="00CB4E76" w:rsidRPr="00092862" w:rsidRDefault="00CB4E7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设备选型时选择低噪声设备，设置减震基础；站内工艺管道的设计考虑合理的流速，减少气流噪声；站内设备合理布局</w:t>
            </w:r>
          </w:p>
        </w:tc>
        <w:tc>
          <w:tcPr>
            <w:tcW w:w="1276" w:type="dxa"/>
            <w:vAlign w:val="center"/>
          </w:tcPr>
          <w:p w14:paraId="63D5E2A6" w14:textId="77777777" w:rsidR="00CB4E76" w:rsidRPr="00092862" w:rsidRDefault="00CB4E7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连续</w:t>
            </w:r>
          </w:p>
        </w:tc>
        <w:tc>
          <w:tcPr>
            <w:tcW w:w="2122" w:type="dxa"/>
            <w:vAlign w:val="center"/>
          </w:tcPr>
          <w:p w14:paraId="1F64DC77" w14:textId="77777777" w:rsidR="00CB4E76" w:rsidRPr="00092862" w:rsidRDefault="00CB4E76" w:rsidP="00CB4E76">
            <w:pPr>
              <w:pStyle w:val="TableParagraph"/>
              <w:adjustRightInd w:val="0"/>
              <w:snapToGrid w:val="0"/>
              <w:jc w:val="center"/>
              <w:rPr>
                <w:rFonts w:ascii="Times New Roman" w:hAnsi="Times New Roman"/>
                <w:color w:val="000000" w:themeColor="text1"/>
                <w:spacing w:val="-4"/>
                <w:sz w:val="21"/>
                <w:szCs w:val="21"/>
                <w:lang w:eastAsia="zh-CN"/>
              </w:rPr>
            </w:pPr>
            <w:r w:rsidRPr="00092862">
              <w:rPr>
                <w:rFonts w:ascii="Times New Roman" w:hAnsi="Times New Roman"/>
                <w:color w:val="000000" w:themeColor="text1"/>
                <w:spacing w:val="-4"/>
                <w:sz w:val="21"/>
                <w:szCs w:val="21"/>
                <w:lang w:eastAsia="zh-CN"/>
              </w:rPr>
              <w:t>《工业企业厂界环境噪声排放标准》（</w:t>
            </w:r>
            <w:r w:rsidRPr="00092862">
              <w:rPr>
                <w:rFonts w:ascii="Times New Roman" w:hAnsi="Times New Roman"/>
                <w:color w:val="000000" w:themeColor="text1"/>
                <w:spacing w:val="-4"/>
                <w:sz w:val="21"/>
                <w:szCs w:val="21"/>
                <w:lang w:eastAsia="zh-CN"/>
              </w:rPr>
              <w:t>GB12348-2008</w:t>
            </w:r>
            <w:r w:rsidRPr="00092862">
              <w:rPr>
                <w:rFonts w:ascii="Times New Roman" w:hAnsi="Times New Roman"/>
                <w:bCs/>
                <w:color w:val="000000" w:themeColor="text1"/>
                <w:spacing w:val="-4"/>
                <w:sz w:val="21"/>
                <w:szCs w:val="21"/>
                <w:lang w:eastAsia="zh-CN"/>
              </w:rPr>
              <w:t>）</w:t>
            </w:r>
            <w:r w:rsidRPr="00092862">
              <w:rPr>
                <w:rFonts w:ascii="Times New Roman" w:hAnsi="Times New Roman"/>
                <w:bCs/>
                <w:color w:val="000000" w:themeColor="text1"/>
                <w:spacing w:val="-4"/>
                <w:sz w:val="21"/>
                <w:szCs w:val="21"/>
                <w:lang w:eastAsia="zh-CN"/>
              </w:rPr>
              <w:t>2</w:t>
            </w:r>
            <w:r w:rsidRPr="00092862">
              <w:rPr>
                <w:rFonts w:ascii="Times New Roman" w:hAnsi="Times New Roman"/>
                <w:bCs/>
                <w:color w:val="000000" w:themeColor="text1"/>
                <w:spacing w:val="-4"/>
                <w:sz w:val="21"/>
                <w:szCs w:val="21"/>
                <w:lang w:eastAsia="zh-CN"/>
              </w:rPr>
              <w:t>类标准</w:t>
            </w:r>
          </w:p>
        </w:tc>
        <w:tc>
          <w:tcPr>
            <w:tcW w:w="718" w:type="dxa"/>
            <w:vAlign w:val="center"/>
          </w:tcPr>
          <w:p w14:paraId="7B6A72C1" w14:textId="77777777" w:rsidR="00CB4E76" w:rsidRPr="00092862" w:rsidRDefault="00CB4E7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无</w:t>
            </w:r>
          </w:p>
        </w:tc>
      </w:tr>
      <w:tr w:rsidR="00697429" w:rsidRPr="00092862" w14:paraId="5A9904B1" w14:textId="77777777" w:rsidTr="003D70E6">
        <w:trPr>
          <w:jc w:val="center"/>
        </w:trPr>
        <w:tc>
          <w:tcPr>
            <w:tcW w:w="562" w:type="dxa"/>
            <w:vMerge w:val="restart"/>
            <w:vAlign w:val="center"/>
          </w:tcPr>
          <w:p w14:paraId="3D780ED5"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固体废物</w:t>
            </w:r>
          </w:p>
        </w:tc>
        <w:tc>
          <w:tcPr>
            <w:tcW w:w="1418" w:type="dxa"/>
            <w:vMerge w:val="restart"/>
            <w:vAlign w:val="center"/>
          </w:tcPr>
          <w:p w14:paraId="41DDC5DD"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施工期固废</w:t>
            </w:r>
          </w:p>
        </w:tc>
        <w:tc>
          <w:tcPr>
            <w:tcW w:w="1276" w:type="dxa"/>
            <w:vAlign w:val="center"/>
          </w:tcPr>
          <w:p w14:paraId="73FC89DF"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水基钻井固废</w:t>
            </w:r>
          </w:p>
        </w:tc>
        <w:tc>
          <w:tcPr>
            <w:tcW w:w="2551" w:type="dxa"/>
            <w:gridSpan w:val="3"/>
            <w:vAlign w:val="center"/>
          </w:tcPr>
          <w:p w14:paraId="3A422101" w14:textId="478C327E" w:rsidR="003D70E6" w:rsidRPr="00092862" w:rsidRDefault="000B7444"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4216.39t</w:t>
            </w:r>
          </w:p>
        </w:tc>
        <w:tc>
          <w:tcPr>
            <w:tcW w:w="3402" w:type="dxa"/>
            <w:vAlign w:val="center"/>
          </w:tcPr>
          <w:p w14:paraId="15F8F9E9" w14:textId="075ABF41"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经泥浆不落地工艺进行固液分离后及时转运至达州地区环保手续齐全、环保设施稳定运行固废烧结厂进行烧结后综合利用</w:t>
            </w:r>
          </w:p>
        </w:tc>
        <w:tc>
          <w:tcPr>
            <w:tcW w:w="1276" w:type="dxa"/>
            <w:vMerge w:val="restart"/>
            <w:vAlign w:val="center"/>
          </w:tcPr>
          <w:p w14:paraId="0B980B42"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钻井期定期转运</w:t>
            </w:r>
          </w:p>
        </w:tc>
        <w:tc>
          <w:tcPr>
            <w:tcW w:w="2840" w:type="dxa"/>
            <w:gridSpan w:val="2"/>
            <w:vMerge w:val="restart"/>
            <w:vAlign w:val="center"/>
          </w:tcPr>
          <w:p w14:paraId="62F48B83"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妥善处置，不会对环境造成二次污染</w:t>
            </w:r>
          </w:p>
        </w:tc>
      </w:tr>
      <w:tr w:rsidR="00697429" w:rsidRPr="00092862" w14:paraId="39A36466" w14:textId="77777777" w:rsidTr="003D70E6">
        <w:trPr>
          <w:jc w:val="center"/>
        </w:trPr>
        <w:tc>
          <w:tcPr>
            <w:tcW w:w="562" w:type="dxa"/>
            <w:vMerge/>
            <w:vAlign w:val="center"/>
          </w:tcPr>
          <w:p w14:paraId="5FEC0D3E"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Merge/>
            <w:vAlign w:val="center"/>
          </w:tcPr>
          <w:p w14:paraId="7DC4F7F5"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08697C8D"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废油</w:t>
            </w:r>
          </w:p>
        </w:tc>
        <w:tc>
          <w:tcPr>
            <w:tcW w:w="2551" w:type="dxa"/>
            <w:gridSpan w:val="3"/>
            <w:vAlign w:val="center"/>
          </w:tcPr>
          <w:p w14:paraId="51DBDB27" w14:textId="211011FD"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1.2m</w:t>
            </w:r>
            <w:r w:rsidRPr="00092862">
              <w:rPr>
                <w:rFonts w:ascii="Times New Roman" w:eastAsia="宋体" w:hAnsi="Times New Roman" w:cs="Times New Roman"/>
                <w:color w:val="000000" w:themeColor="text1"/>
                <w:szCs w:val="21"/>
                <w:vertAlign w:val="superscript"/>
              </w:rPr>
              <w:t>3</w:t>
            </w:r>
          </w:p>
        </w:tc>
        <w:tc>
          <w:tcPr>
            <w:tcW w:w="3402" w:type="dxa"/>
            <w:vAlign w:val="center"/>
          </w:tcPr>
          <w:p w14:paraId="7A734E44" w14:textId="05957E43"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设置废油桶集中收集暂存于泥浆不落地装置区临时堆放区内，钻井队综合利用或交由有资质的单位处理</w:t>
            </w:r>
          </w:p>
        </w:tc>
        <w:tc>
          <w:tcPr>
            <w:tcW w:w="1276" w:type="dxa"/>
            <w:vMerge/>
            <w:vAlign w:val="center"/>
          </w:tcPr>
          <w:p w14:paraId="348E8482"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c>
          <w:tcPr>
            <w:tcW w:w="2840" w:type="dxa"/>
            <w:gridSpan w:val="2"/>
            <w:vMerge/>
            <w:vAlign w:val="center"/>
          </w:tcPr>
          <w:p w14:paraId="5A7E482A"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r>
      <w:tr w:rsidR="00697429" w:rsidRPr="00092862" w14:paraId="529DEE29" w14:textId="77777777" w:rsidTr="003D70E6">
        <w:trPr>
          <w:jc w:val="center"/>
        </w:trPr>
        <w:tc>
          <w:tcPr>
            <w:tcW w:w="562" w:type="dxa"/>
            <w:vMerge/>
            <w:vAlign w:val="center"/>
          </w:tcPr>
          <w:p w14:paraId="4C4F8188"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Merge/>
            <w:vAlign w:val="center"/>
          </w:tcPr>
          <w:p w14:paraId="21292E80"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43E9B426"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废包装材料</w:t>
            </w:r>
          </w:p>
        </w:tc>
        <w:tc>
          <w:tcPr>
            <w:tcW w:w="2551" w:type="dxa"/>
            <w:gridSpan w:val="3"/>
            <w:vAlign w:val="center"/>
          </w:tcPr>
          <w:p w14:paraId="77B0F2DD" w14:textId="0269D8F5"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6.0t</w:t>
            </w:r>
          </w:p>
        </w:tc>
        <w:tc>
          <w:tcPr>
            <w:tcW w:w="3402" w:type="dxa"/>
            <w:vAlign w:val="center"/>
          </w:tcPr>
          <w:p w14:paraId="5A61F90D"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集中收集后部分回用，剩余的送当地废品回收站处理</w:t>
            </w:r>
          </w:p>
        </w:tc>
        <w:tc>
          <w:tcPr>
            <w:tcW w:w="1276" w:type="dxa"/>
            <w:vMerge/>
            <w:vAlign w:val="center"/>
          </w:tcPr>
          <w:p w14:paraId="7B9C4FCB"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c>
          <w:tcPr>
            <w:tcW w:w="2840" w:type="dxa"/>
            <w:gridSpan w:val="2"/>
            <w:vMerge/>
            <w:vAlign w:val="center"/>
          </w:tcPr>
          <w:p w14:paraId="36AE2A6A"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r>
      <w:tr w:rsidR="00697429" w:rsidRPr="00092862" w14:paraId="5791EE11" w14:textId="77777777" w:rsidTr="003D70E6">
        <w:trPr>
          <w:jc w:val="center"/>
        </w:trPr>
        <w:tc>
          <w:tcPr>
            <w:tcW w:w="562" w:type="dxa"/>
            <w:vMerge/>
            <w:vAlign w:val="center"/>
          </w:tcPr>
          <w:p w14:paraId="0FC689F1"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Merge/>
            <w:vAlign w:val="center"/>
          </w:tcPr>
          <w:p w14:paraId="4EA69D5E"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68F00F8A"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2551" w:type="dxa"/>
            <w:gridSpan w:val="3"/>
            <w:vAlign w:val="center"/>
          </w:tcPr>
          <w:p w14:paraId="5C910CA7"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22.5kg/d</w:t>
            </w:r>
          </w:p>
        </w:tc>
        <w:tc>
          <w:tcPr>
            <w:tcW w:w="3402" w:type="dxa"/>
            <w:vAlign w:val="center"/>
          </w:tcPr>
          <w:p w14:paraId="439F559C"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集中收集，交由当地环卫部门处置</w:t>
            </w:r>
          </w:p>
        </w:tc>
        <w:tc>
          <w:tcPr>
            <w:tcW w:w="1276" w:type="dxa"/>
            <w:vMerge/>
            <w:vAlign w:val="center"/>
          </w:tcPr>
          <w:p w14:paraId="52A40D93"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c>
          <w:tcPr>
            <w:tcW w:w="2840" w:type="dxa"/>
            <w:gridSpan w:val="2"/>
            <w:vMerge/>
            <w:vAlign w:val="center"/>
          </w:tcPr>
          <w:p w14:paraId="7AA99A50"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r>
      <w:tr w:rsidR="00697429" w:rsidRPr="00092862" w14:paraId="529EAE17" w14:textId="77777777" w:rsidTr="003D70E6">
        <w:trPr>
          <w:jc w:val="center"/>
        </w:trPr>
        <w:tc>
          <w:tcPr>
            <w:tcW w:w="562" w:type="dxa"/>
            <w:vMerge/>
            <w:vAlign w:val="center"/>
          </w:tcPr>
          <w:p w14:paraId="1466D786"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418" w:type="dxa"/>
            <w:vMerge/>
            <w:vAlign w:val="center"/>
          </w:tcPr>
          <w:p w14:paraId="4866DEE2" w14:textId="77777777" w:rsidR="003D70E6" w:rsidRPr="00092862" w:rsidRDefault="003D70E6" w:rsidP="00CB4E7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2D816E93" w14:textId="26FB0A45"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钻前及完井搬迁及集气站复建建筑垃圾</w:t>
            </w:r>
          </w:p>
        </w:tc>
        <w:tc>
          <w:tcPr>
            <w:tcW w:w="2551" w:type="dxa"/>
            <w:gridSpan w:val="3"/>
            <w:vAlign w:val="center"/>
          </w:tcPr>
          <w:p w14:paraId="597BDB83"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少量</w:t>
            </w:r>
          </w:p>
        </w:tc>
        <w:tc>
          <w:tcPr>
            <w:tcW w:w="3402" w:type="dxa"/>
            <w:vAlign w:val="center"/>
          </w:tcPr>
          <w:p w14:paraId="7FA10FD2" w14:textId="77777777" w:rsidR="003D70E6" w:rsidRPr="00092862" w:rsidRDefault="003D70E6" w:rsidP="00CB4E76">
            <w:pPr>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施工队伍统一收集清运至政府指定地方</w:t>
            </w:r>
          </w:p>
        </w:tc>
        <w:tc>
          <w:tcPr>
            <w:tcW w:w="1276" w:type="dxa"/>
            <w:vAlign w:val="center"/>
          </w:tcPr>
          <w:p w14:paraId="60E8E652" w14:textId="2CC03E98"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完井搬迁期与集气站建设期</w:t>
            </w:r>
          </w:p>
        </w:tc>
        <w:tc>
          <w:tcPr>
            <w:tcW w:w="2840" w:type="dxa"/>
            <w:gridSpan w:val="2"/>
            <w:vMerge/>
            <w:vAlign w:val="center"/>
          </w:tcPr>
          <w:p w14:paraId="61D8BB84" w14:textId="77777777" w:rsidR="003D70E6" w:rsidRPr="00092862" w:rsidRDefault="003D70E6" w:rsidP="00CB4E76">
            <w:pPr>
              <w:adjustRightInd w:val="0"/>
              <w:snapToGrid w:val="0"/>
              <w:jc w:val="center"/>
              <w:rPr>
                <w:rFonts w:ascii="Times New Roman" w:eastAsia="宋体" w:hAnsi="Times New Roman" w:cs="Times New Roman"/>
                <w:color w:val="000000" w:themeColor="text1"/>
                <w:szCs w:val="21"/>
              </w:rPr>
            </w:pPr>
          </w:p>
        </w:tc>
      </w:tr>
      <w:tr w:rsidR="00697429" w:rsidRPr="00092862" w14:paraId="4F65170B" w14:textId="77777777" w:rsidTr="00C0594A">
        <w:trPr>
          <w:jc w:val="center"/>
        </w:trPr>
        <w:tc>
          <w:tcPr>
            <w:tcW w:w="562" w:type="dxa"/>
            <w:vMerge/>
            <w:vAlign w:val="center"/>
          </w:tcPr>
          <w:p w14:paraId="2C897ADA"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418" w:type="dxa"/>
            <w:vMerge w:val="restart"/>
            <w:vAlign w:val="center"/>
          </w:tcPr>
          <w:p w14:paraId="313AD683" w14:textId="2DFCFDF1"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r w:rsidRPr="00092862">
              <w:rPr>
                <w:rFonts w:ascii="Times New Roman" w:hAnsi="Times New Roman"/>
                <w:color w:val="000000" w:themeColor="text1"/>
                <w:sz w:val="21"/>
                <w:szCs w:val="21"/>
                <w:lang w:eastAsia="zh-CN"/>
              </w:rPr>
              <w:t>试采期固废</w:t>
            </w:r>
          </w:p>
        </w:tc>
        <w:tc>
          <w:tcPr>
            <w:tcW w:w="1276" w:type="dxa"/>
            <w:vAlign w:val="center"/>
          </w:tcPr>
          <w:p w14:paraId="7305FF7A" w14:textId="0A7993C8"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清管废渣</w:t>
            </w:r>
          </w:p>
        </w:tc>
        <w:tc>
          <w:tcPr>
            <w:tcW w:w="2551" w:type="dxa"/>
            <w:gridSpan w:val="3"/>
            <w:vAlign w:val="center"/>
          </w:tcPr>
          <w:p w14:paraId="221155DD" w14:textId="49AF4F66"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0.88kg/a</w:t>
            </w:r>
          </w:p>
        </w:tc>
        <w:tc>
          <w:tcPr>
            <w:tcW w:w="3402" w:type="dxa"/>
            <w:vAlign w:val="center"/>
          </w:tcPr>
          <w:p w14:paraId="0E17D3BC" w14:textId="4B507DD4"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清运集中无害化填埋</w:t>
            </w:r>
          </w:p>
        </w:tc>
        <w:tc>
          <w:tcPr>
            <w:tcW w:w="1276" w:type="dxa"/>
            <w:vMerge w:val="restart"/>
            <w:vAlign w:val="center"/>
          </w:tcPr>
          <w:p w14:paraId="0D1C9877" w14:textId="4F992519"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间断</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偶尔</w:t>
            </w:r>
          </w:p>
        </w:tc>
        <w:tc>
          <w:tcPr>
            <w:tcW w:w="2840" w:type="dxa"/>
            <w:gridSpan w:val="2"/>
            <w:vMerge/>
            <w:vAlign w:val="center"/>
          </w:tcPr>
          <w:p w14:paraId="1D11CFFE" w14:textId="77777777"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p>
        </w:tc>
      </w:tr>
      <w:tr w:rsidR="00697429" w:rsidRPr="00092862" w14:paraId="0E3545B7" w14:textId="77777777" w:rsidTr="005D0485">
        <w:trPr>
          <w:jc w:val="center"/>
        </w:trPr>
        <w:tc>
          <w:tcPr>
            <w:tcW w:w="562" w:type="dxa"/>
            <w:vMerge/>
            <w:vAlign w:val="center"/>
          </w:tcPr>
          <w:p w14:paraId="2A7A1B46"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418" w:type="dxa"/>
            <w:vMerge/>
            <w:vAlign w:val="center"/>
          </w:tcPr>
          <w:p w14:paraId="29750FA4" w14:textId="77777777" w:rsidR="003D70E6" w:rsidRPr="00092862" w:rsidRDefault="003D70E6" w:rsidP="003D70E6">
            <w:pPr>
              <w:pStyle w:val="TableParagraph"/>
              <w:adjustRightInd w:val="0"/>
              <w:snapToGrid w:val="0"/>
              <w:jc w:val="center"/>
              <w:rPr>
                <w:rFonts w:ascii="Times New Roman" w:hAnsi="Times New Roman"/>
                <w:color w:val="000000" w:themeColor="text1"/>
                <w:sz w:val="21"/>
                <w:szCs w:val="21"/>
                <w:lang w:eastAsia="zh-CN"/>
              </w:rPr>
            </w:pPr>
          </w:p>
        </w:tc>
        <w:tc>
          <w:tcPr>
            <w:tcW w:w="1276" w:type="dxa"/>
            <w:vAlign w:val="center"/>
          </w:tcPr>
          <w:p w14:paraId="1E49D3E5" w14:textId="3C4EBAA9"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生活垃圾</w:t>
            </w:r>
          </w:p>
        </w:tc>
        <w:tc>
          <w:tcPr>
            <w:tcW w:w="2551" w:type="dxa"/>
            <w:gridSpan w:val="3"/>
            <w:vAlign w:val="center"/>
          </w:tcPr>
          <w:p w14:paraId="717D3A91" w14:textId="5B8AF6EE"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2.01t/a</w:t>
            </w:r>
          </w:p>
        </w:tc>
        <w:tc>
          <w:tcPr>
            <w:tcW w:w="3402" w:type="dxa"/>
            <w:vAlign w:val="center"/>
          </w:tcPr>
          <w:p w14:paraId="6C3CB01A" w14:textId="69F806F4"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交由普光镇环卫部门处置</w:t>
            </w:r>
          </w:p>
        </w:tc>
        <w:tc>
          <w:tcPr>
            <w:tcW w:w="1276" w:type="dxa"/>
            <w:vMerge/>
            <w:vAlign w:val="center"/>
          </w:tcPr>
          <w:p w14:paraId="0AE5DDCC" w14:textId="43E0A65E"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p>
        </w:tc>
        <w:tc>
          <w:tcPr>
            <w:tcW w:w="2840" w:type="dxa"/>
            <w:gridSpan w:val="2"/>
            <w:vMerge/>
            <w:vAlign w:val="center"/>
          </w:tcPr>
          <w:p w14:paraId="2F7A9F12" w14:textId="77777777" w:rsidR="003D70E6" w:rsidRPr="00092862" w:rsidRDefault="003D70E6" w:rsidP="003D70E6">
            <w:pPr>
              <w:adjustRightInd w:val="0"/>
              <w:snapToGrid w:val="0"/>
              <w:jc w:val="center"/>
              <w:rPr>
                <w:rFonts w:ascii="Times New Roman" w:eastAsia="宋体" w:hAnsi="Times New Roman" w:cs="Times New Roman"/>
                <w:color w:val="000000" w:themeColor="text1"/>
                <w:szCs w:val="21"/>
              </w:rPr>
            </w:pPr>
          </w:p>
        </w:tc>
      </w:tr>
    </w:tbl>
    <w:p w14:paraId="51D4FF4F" w14:textId="77777777" w:rsidR="00DC446C" w:rsidRPr="00092862" w:rsidRDefault="00DC446C" w:rsidP="003D2EEB">
      <w:pPr>
        <w:pStyle w:val="2"/>
        <w:ind w:firstLine="480"/>
        <w:rPr>
          <w:color w:val="000000" w:themeColor="text1"/>
          <w:szCs w:val="24"/>
          <w:lang w:eastAsia="zh-CN"/>
        </w:rPr>
        <w:sectPr w:rsidR="00DC446C" w:rsidRPr="00092862" w:rsidSect="006C1E5A">
          <w:headerReference w:type="default" r:id="rId124"/>
          <w:pgSz w:w="16840" w:h="11910" w:orient="landscape"/>
          <w:pgMar w:top="1440" w:right="1800" w:bottom="1440" w:left="1800" w:header="1297" w:footer="634" w:gutter="0"/>
          <w:cols w:space="720"/>
          <w:docGrid w:linePitch="299"/>
        </w:sectPr>
      </w:pPr>
      <w:bookmarkStart w:id="423" w:name="8.2环境监测"/>
      <w:bookmarkStart w:id="424" w:name="_bookmark40"/>
      <w:bookmarkEnd w:id="423"/>
      <w:bookmarkEnd w:id="424"/>
    </w:p>
    <w:p w14:paraId="73534CDE" w14:textId="7364534C" w:rsidR="00DC446C" w:rsidRPr="00092862" w:rsidRDefault="00704F23" w:rsidP="00F54AAF">
      <w:pPr>
        <w:pStyle w:val="2"/>
        <w:spacing w:beforeLines="50" w:before="120"/>
        <w:ind w:firstLine="480"/>
        <w:jc w:val="both"/>
        <w:rPr>
          <w:color w:val="000000" w:themeColor="text1"/>
          <w:szCs w:val="24"/>
          <w:lang w:eastAsia="zh-CN"/>
        </w:rPr>
      </w:pPr>
      <w:bookmarkStart w:id="425" w:name="_Toc123682567"/>
      <w:r w:rsidRPr="00092862">
        <w:rPr>
          <w:color w:val="000000" w:themeColor="text1"/>
          <w:szCs w:val="24"/>
          <w:lang w:eastAsia="zh-CN"/>
        </w:rPr>
        <w:lastRenderedPageBreak/>
        <w:t>10</w:t>
      </w:r>
      <w:r w:rsidR="003B1968" w:rsidRPr="00092862">
        <w:rPr>
          <w:color w:val="000000" w:themeColor="text1"/>
          <w:szCs w:val="24"/>
          <w:lang w:eastAsia="zh-CN"/>
        </w:rPr>
        <w:t>.3</w:t>
      </w:r>
      <w:r w:rsidR="003B1968" w:rsidRPr="00092862">
        <w:rPr>
          <w:color w:val="000000" w:themeColor="text1"/>
          <w:szCs w:val="24"/>
          <w:lang w:eastAsia="zh-CN"/>
        </w:rPr>
        <w:t>环境监测</w:t>
      </w:r>
      <w:bookmarkEnd w:id="425"/>
    </w:p>
    <w:p w14:paraId="5DB8D250" w14:textId="5E1E0F19" w:rsidR="000C55CC" w:rsidRPr="00092862" w:rsidRDefault="00704F23" w:rsidP="000C55CC">
      <w:pPr>
        <w:pStyle w:val="3"/>
        <w:adjustRightInd w:val="0"/>
        <w:snapToGrid w:val="0"/>
        <w:spacing w:before="0" w:after="0" w:line="360" w:lineRule="auto"/>
        <w:ind w:firstLineChars="200" w:firstLine="480"/>
        <w:rPr>
          <w:rFonts w:ascii="Times New Roman" w:eastAsia="黑体" w:hAnsi="Times New Roman"/>
          <w:b w:val="0"/>
          <w:color w:val="000000" w:themeColor="text1"/>
          <w:sz w:val="24"/>
          <w:szCs w:val="24"/>
          <w:lang w:eastAsia="zh-CN"/>
        </w:rPr>
      </w:pPr>
      <w:bookmarkStart w:id="426" w:name="_Toc120173247"/>
      <w:r w:rsidRPr="00092862">
        <w:rPr>
          <w:rFonts w:ascii="Times New Roman" w:eastAsia="黑体" w:hAnsi="Times New Roman"/>
          <w:b w:val="0"/>
          <w:color w:val="000000" w:themeColor="text1"/>
          <w:sz w:val="24"/>
          <w:szCs w:val="24"/>
          <w:lang w:eastAsia="zh-CN"/>
        </w:rPr>
        <w:t>10</w:t>
      </w:r>
      <w:r w:rsidR="000C55CC" w:rsidRPr="00092862">
        <w:rPr>
          <w:rFonts w:ascii="Times New Roman" w:eastAsia="黑体" w:hAnsi="Times New Roman"/>
          <w:b w:val="0"/>
          <w:color w:val="000000" w:themeColor="text1"/>
          <w:sz w:val="24"/>
          <w:szCs w:val="24"/>
          <w:lang w:eastAsia="zh-CN"/>
        </w:rPr>
        <w:t>.3.1</w:t>
      </w:r>
      <w:r w:rsidR="000C55CC" w:rsidRPr="00092862">
        <w:rPr>
          <w:rFonts w:ascii="Times New Roman" w:eastAsia="黑体" w:hAnsi="Times New Roman"/>
          <w:b w:val="0"/>
          <w:color w:val="000000" w:themeColor="text1"/>
          <w:sz w:val="24"/>
          <w:szCs w:val="24"/>
          <w:lang w:eastAsia="zh-CN"/>
        </w:rPr>
        <w:t>监测计划</w:t>
      </w:r>
      <w:bookmarkEnd w:id="426"/>
    </w:p>
    <w:p w14:paraId="16693609" w14:textId="77777777" w:rsidR="00DC446C"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14:paraId="5D4AAB1E" w14:textId="30F8835D" w:rsidR="000D7B9B" w:rsidRPr="00092862" w:rsidRDefault="00F54AAF" w:rsidP="000D7B9B">
      <w:pPr>
        <w:pStyle w:val="af0"/>
        <w:adjustRightInd w:val="0"/>
        <w:snapToGrid w:val="0"/>
        <w:spacing w:line="360" w:lineRule="auto"/>
        <w:ind w:firstLineChars="200" w:firstLine="480"/>
        <w:rPr>
          <w:rFonts w:ascii="Times New Roman" w:hAnsi="Times New Roman"/>
          <w:bCs/>
          <w:color w:val="000000" w:themeColor="text1"/>
        </w:rPr>
      </w:pPr>
      <w:bookmarkStart w:id="427" w:name="8.2.1监测计划"/>
      <w:bookmarkEnd w:id="427"/>
      <w:r w:rsidRPr="00092862">
        <w:rPr>
          <w:rFonts w:ascii="Times New Roman" w:hAnsi="Times New Roman"/>
          <w:bCs/>
          <w:color w:val="000000" w:themeColor="text1"/>
        </w:rPr>
        <w:t>根据天然气</w:t>
      </w:r>
      <w:r w:rsidR="00625D3A" w:rsidRPr="00092862">
        <w:rPr>
          <w:rFonts w:ascii="Times New Roman" w:hAnsi="Times New Roman"/>
          <w:bCs/>
          <w:color w:val="000000" w:themeColor="text1"/>
        </w:rPr>
        <w:t>试采</w:t>
      </w:r>
      <w:r w:rsidRPr="00092862">
        <w:rPr>
          <w:rFonts w:ascii="Times New Roman" w:hAnsi="Times New Roman"/>
          <w:bCs/>
          <w:color w:val="000000" w:themeColor="text1"/>
        </w:rPr>
        <w:t>对区域环境可能产生的影响，确定本项目环境监测对象为土壤、水、气、声。监测范围一般根据各种污染因子对环境产生的影响范围而定，具体范围可参见环境影响范围</w:t>
      </w:r>
      <w:r w:rsidR="000D7B9B" w:rsidRPr="00092862">
        <w:rPr>
          <w:rFonts w:ascii="Times New Roman" w:hAnsi="Times New Roman"/>
          <w:bCs/>
          <w:color w:val="000000" w:themeColor="text1"/>
        </w:rPr>
        <w:t>。</w:t>
      </w:r>
    </w:p>
    <w:p w14:paraId="48D4650B" w14:textId="08697747" w:rsidR="00F35E98" w:rsidRPr="00092862" w:rsidRDefault="00F35E98" w:rsidP="00F35E98">
      <w:pPr>
        <w:pStyle w:val="af0"/>
        <w:adjustRightInd w:val="0"/>
        <w:snapToGrid w:val="0"/>
        <w:spacing w:line="360" w:lineRule="auto"/>
        <w:ind w:firstLineChars="200" w:firstLine="480"/>
        <w:rPr>
          <w:rFonts w:ascii="Times New Roman" w:hAnsi="Times New Roman"/>
          <w:bCs/>
          <w:color w:val="000000" w:themeColor="text1"/>
        </w:rPr>
      </w:pPr>
      <w:r w:rsidRPr="00092862">
        <w:rPr>
          <w:rFonts w:ascii="Times New Roman" w:hAnsi="Times New Roman"/>
          <w:bCs/>
          <w:color w:val="000000" w:themeColor="text1"/>
        </w:rPr>
        <w:t>本项目正常施工或生产期间开展定期监测，在事故时进行应急监测。参照《排污单位自行监测技术指南</w:t>
      </w:r>
      <w:r w:rsidRPr="00092862">
        <w:rPr>
          <w:rFonts w:ascii="Times New Roman" w:hAnsi="Times New Roman"/>
          <w:bCs/>
          <w:color w:val="000000" w:themeColor="text1"/>
        </w:rPr>
        <w:t xml:space="preserve"> </w:t>
      </w:r>
      <w:r w:rsidRPr="00092862">
        <w:rPr>
          <w:rFonts w:ascii="Times New Roman" w:hAnsi="Times New Roman"/>
          <w:bCs/>
          <w:color w:val="000000" w:themeColor="text1"/>
        </w:rPr>
        <w:t>总则》（</w:t>
      </w:r>
      <w:r w:rsidRPr="00092862">
        <w:rPr>
          <w:rFonts w:ascii="Times New Roman" w:hAnsi="Times New Roman"/>
          <w:bCs/>
          <w:color w:val="000000" w:themeColor="text1"/>
        </w:rPr>
        <w:t>HJ819-2017</w:t>
      </w:r>
      <w:r w:rsidRPr="00092862">
        <w:rPr>
          <w:rFonts w:ascii="Times New Roman" w:hAnsi="Times New Roman"/>
          <w:bCs/>
          <w:color w:val="000000" w:themeColor="text1"/>
        </w:rPr>
        <w:t>）</w:t>
      </w:r>
      <w:r w:rsidR="00DD47EC" w:rsidRPr="00092862">
        <w:rPr>
          <w:rFonts w:ascii="Times New Roman" w:hAnsi="Times New Roman"/>
          <w:bCs/>
          <w:color w:val="000000" w:themeColor="text1"/>
        </w:rPr>
        <w:t>、</w:t>
      </w:r>
      <w:r w:rsidRPr="00092862">
        <w:rPr>
          <w:rFonts w:ascii="Times New Roman" w:hAnsi="Times New Roman"/>
          <w:bCs/>
          <w:color w:val="000000" w:themeColor="text1"/>
        </w:rPr>
        <w:t>《工业企业土壤和地下水自行监测</w:t>
      </w:r>
      <w:r w:rsidRPr="00092862">
        <w:rPr>
          <w:rFonts w:ascii="Times New Roman" w:hAnsi="Times New Roman"/>
          <w:bCs/>
          <w:color w:val="000000" w:themeColor="text1"/>
        </w:rPr>
        <w:t xml:space="preserve"> </w:t>
      </w:r>
      <w:r w:rsidRPr="00092862">
        <w:rPr>
          <w:rFonts w:ascii="Times New Roman" w:hAnsi="Times New Roman"/>
          <w:bCs/>
          <w:color w:val="000000" w:themeColor="text1"/>
        </w:rPr>
        <w:t>技术指南（试行）》（</w:t>
      </w:r>
      <w:r w:rsidRPr="00092862">
        <w:rPr>
          <w:rFonts w:ascii="Times New Roman" w:hAnsi="Times New Roman"/>
          <w:bCs/>
          <w:color w:val="000000" w:themeColor="text1"/>
        </w:rPr>
        <w:t>HJ1209-2021</w:t>
      </w:r>
      <w:r w:rsidRPr="00092862">
        <w:rPr>
          <w:rFonts w:ascii="Times New Roman" w:hAnsi="Times New Roman"/>
          <w:bCs/>
          <w:color w:val="000000" w:themeColor="text1"/>
        </w:rPr>
        <w:t>）</w:t>
      </w:r>
      <w:r w:rsidR="00DD47EC" w:rsidRPr="00092862">
        <w:rPr>
          <w:rFonts w:ascii="Times New Roman" w:hAnsi="Times New Roman"/>
          <w:bCs/>
          <w:color w:val="000000" w:themeColor="text1"/>
        </w:rPr>
        <w:t>与《排污单位自行监测技术指南</w:t>
      </w:r>
      <w:r w:rsidR="00DD47EC" w:rsidRPr="00092862">
        <w:rPr>
          <w:rFonts w:ascii="Times New Roman" w:hAnsi="Times New Roman"/>
          <w:bCs/>
          <w:color w:val="000000" w:themeColor="text1"/>
        </w:rPr>
        <w:t xml:space="preserve"> </w:t>
      </w:r>
      <w:r w:rsidR="00DD47EC" w:rsidRPr="00092862">
        <w:rPr>
          <w:rFonts w:ascii="Times New Roman" w:hAnsi="Times New Roman"/>
          <w:bCs/>
          <w:color w:val="000000" w:themeColor="text1"/>
        </w:rPr>
        <w:t>陆上石油天然气开采工业》（</w:t>
      </w:r>
      <w:r w:rsidR="00DD47EC" w:rsidRPr="00092862">
        <w:rPr>
          <w:rFonts w:ascii="Times New Roman" w:hAnsi="Times New Roman"/>
          <w:bCs/>
          <w:color w:val="000000" w:themeColor="text1"/>
        </w:rPr>
        <w:t>HJ1248—2022</w:t>
      </w:r>
      <w:r w:rsidR="00DD47EC" w:rsidRPr="00092862">
        <w:rPr>
          <w:rFonts w:ascii="Times New Roman" w:hAnsi="Times New Roman"/>
          <w:bCs/>
          <w:color w:val="000000" w:themeColor="text1"/>
        </w:rPr>
        <w:t>）</w:t>
      </w:r>
      <w:r w:rsidRPr="00092862">
        <w:rPr>
          <w:rFonts w:ascii="Times New Roman" w:hAnsi="Times New Roman"/>
          <w:bCs/>
          <w:color w:val="000000" w:themeColor="text1"/>
        </w:rPr>
        <w:t>中的有关规定要求，针对本项目产排污特点，制定本项目的监测计划。</w:t>
      </w:r>
    </w:p>
    <w:p w14:paraId="1493926A" w14:textId="1F867C50" w:rsidR="000D7B9B" w:rsidRPr="00092862" w:rsidRDefault="000D7B9B" w:rsidP="000D7B9B">
      <w:pPr>
        <w:pStyle w:val="af0"/>
        <w:adjustRightInd w:val="0"/>
        <w:snapToGrid w:val="0"/>
        <w:spacing w:line="360" w:lineRule="auto"/>
        <w:ind w:firstLineChars="200" w:firstLine="480"/>
        <w:rPr>
          <w:rFonts w:ascii="Times New Roman" w:hAnsi="Times New Roman"/>
          <w:bCs/>
          <w:color w:val="000000" w:themeColor="text1"/>
        </w:rPr>
      </w:pPr>
      <w:r w:rsidRPr="00092862">
        <w:rPr>
          <w:rFonts w:ascii="Times New Roman" w:hAnsi="Times New Roman"/>
          <w:bCs/>
          <w:color w:val="000000" w:themeColor="text1"/>
        </w:rPr>
        <w:t>根据项目的特点，环境监测重点为井场场界噪声值、最近居民点的噪声值和场界周边</w:t>
      </w:r>
      <w:r w:rsidRPr="00092862">
        <w:rPr>
          <w:rFonts w:ascii="Times New Roman" w:hAnsi="Times New Roman"/>
          <w:bCs/>
          <w:color w:val="000000" w:themeColor="text1"/>
        </w:rPr>
        <w:t>CH</w:t>
      </w:r>
      <w:r w:rsidRPr="00092862">
        <w:rPr>
          <w:rFonts w:ascii="Times New Roman" w:hAnsi="Times New Roman"/>
          <w:bCs/>
          <w:color w:val="000000" w:themeColor="text1"/>
          <w:vertAlign w:val="subscript"/>
        </w:rPr>
        <w:t>4</w:t>
      </w:r>
      <w:r w:rsidR="00F0452E" w:rsidRPr="00092862">
        <w:rPr>
          <w:rFonts w:ascii="Times New Roman" w:hAnsi="Times New Roman"/>
          <w:bCs/>
          <w:color w:val="000000" w:themeColor="text1"/>
        </w:rPr>
        <w:t>、</w:t>
      </w:r>
      <w:r w:rsidR="00F0452E" w:rsidRPr="00092862">
        <w:rPr>
          <w:rFonts w:ascii="Times New Roman" w:hAnsi="Times New Roman"/>
          <w:bCs/>
          <w:color w:val="000000" w:themeColor="text1"/>
        </w:rPr>
        <w:t>H</w:t>
      </w:r>
      <w:r w:rsidR="00F0452E" w:rsidRPr="00092862">
        <w:rPr>
          <w:rFonts w:ascii="Times New Roman" w:hAnsi="Times New Roman"/>
          <w:bCs/>
          <w:color w:val="000000" w:themeColor="text1"/>
          <w:vertAlign w:val="subscript"/>
        </w:rPr>
        <w:t>2</w:t>
      </w:r>
      <w:r w:rsidR="00F0452E" w:rsidRPr="00092862">
        <w:rPr>
          <w:rFonts w:ascii="Times New Roman" w:hAnsi="Times New Roman"/>
          <w:bCs/>
          <w:color w:val="000000" w:themeColor="text1"/>
        </w:rPr>
        <w:t>S</w:t>
      </w:r>
      <w:r w:rsidRPr="00092862">
        <w:rPr>
          <w:rFonts w:ascii="Times New Roman" w:hAnsi="Times New Roman"/>
          <w:bCs/>
          <w:color w:val="000000" w:themeColor="text1"/>
        </w:rPr>
        <w:t>浓度。</w:t>
      </w:r>
    </w:p>
    <w:p w14:paraId="7C64B14A" w14:textId="0322D6CB" w:rsidR="000D7B9B" w:rsidRPr="00092862" w:rsidRDefault="000D7B9B" w:rsidP="000D7B9B">
      <w:pPr>
        <w:pStyle w:val="af0"/>
        <w:adjustRightInd w:val="0"/>
        <w:snapToGrid w:val="0"/>
        <w:spacing w:line="360" w:lineRule="auto"/>
        <w:ind w:firstLineChars="200" w:firstLine="480"/>
        <w:rPr>
          <w:rFonts w:ascii="Times New Roman" w:hAnsi="Times New Roman"/>
          <w:bCs/>
          <w:color w:val="000000" w:themeColor="text1"/>
        </w:rPr>
      </w:pPr>
      <w:r w:rsidRPr="00092862">
        <w:rPr>
          <w:rFonts w:ascii="Times New Roman" w:hAnsi="Times New Roman"/>
          <w:bCs/>
          <w:color w:val="000000" w:themeColor="text1"/>
        </w:rPr>
        <w:t>在钻入气层后根据钻井出现井喷、井漏、井涌、气侵等情况检测</w:t>
      </w:r>
      <w:r w:rsidRPr="00092862">
        <w:rPr>
          <w:rFonts w:ascii="Times New Roman" w:hAnsi="Times New Roman"/>
          <w:bCs/>
          <w:color w:val="000000" w:themeColor="text1"/>
        </w:rPr>
        <w:t>CH</w:t>
      </w:r>
      <w:r w:rsidRPr="00092862">
        <w:rPr>
          <w:rFonts w:ascii="Times New Roman" w:hAnsi="Times New Roman"/>
          <w:bCs/>
          <w:color w:val="000000" w:themeColor="text1"/>
          <w:vertAlign w:val="subscript"/>
        </w:rPr>
        <w:t>4</w:t>
      </w:r>
      <w:r w:rsidR="00F0452E" w:rsidRPr="00092862">
        <w:rPr>
          <w:rFonts w:ascii="Times New Roman" w:hAnsi="Times New Roman"/>
          <w:bCs/>
          <w:color w:val="000000" w:themeColor="text1"/>
        </w:rPr>
        <w:t>、</w:t>
      </w:r>
      <w:r w:rsidR="00F0452E" w:rsidRPr="00092862">
        <w:rPr>
          <w:rFonts w:ascii="Times New Roman" w:hAnsi="Times New Roman"/>
          <w:bCs/>
          <w:color w:val="000000" w:themeColor="text1"/>
        </w:rPr>
        <w:t>H</w:t>
      </w:r>
      <w:r w:rsidR="00F0452E" w:rsidRPr="00092862">
        <w:rPr>
          <w:rFonts w:ascii="Times New Roman" w:hAnsi="Times New Roman"/>
          <w:bCs/>
          <w:color w:val="000000" w:themeColor="text1"/>
          <w:vertAlign w:val="subscript"/>
        </w:rPr>
        <w:t>2</w:t>
      </w:r>
      <w:r w:rsidR="00F0452E" w:rsidRPr="00092862">
        <w:rPr>
          <w:rFonts w:ascii="Times New Roman" w:hAnsi="Times New Roman"/>
          <w:bCs/>
          <w:color w:val="000000" w:themeColor="text1"/>
        </w:rPr>
        <w:t>S</w:t>
      </w:r>
      <w:r w:rsidRPr="00092862">
        <w:rPr>
          <w:rFonts w:ascii="Times New Roman" w:hAnsi="Times New Roman"/>
          <w:bCs/>
          <w:color w:val="000000" w:themeColor="text1"/>
        </w:rPr>
        <w:t>浓度，测试和事故放喷时根据事故控制情况监测</w:t>
      </w:r>
      <w:r w:rsidRPr="00092862">
        <w:rPr>
          <w:rFonts w:ascii="Times New Roman" w:hAnsi="Times New Roman"/>
          <w:bCs/>
          <w:color w:val="000000" w:themeColor="text1"/>
        </w:rPr>
        <w:t>CH</w:t>
      </w:r>
      <w:r w:rsidRPr="00092862">
        <w:rPr>
          <w:rFonts w:ascii="Times New Roman" w:hAnsi="Times New Roman"/>
          <w:bCs/>
          <w:color w:val="000000" w:themeColor="text1"/>
          <w:vertAlign w:val="subscript"/>
        </w:rPr>
        <w:t>4</w:t>
      </w:r>
      <w:r w:rsidR="00F0452E" w:rsidRPr="00092862">
        <w:rPr>
          <w:rFonts w:ascii="Times New Roman" w:hAnsi="Times New Roman"/>
          <w:bCs/>
          <w:color w:val="000000" w:themeColor="text1"/>
        </w:rPr>
        <w:t>、</w:t>
      </w:r>
      <w:r w:rsidR="00F0452E" w:rsidRPr="00092862">
        <w:rPr>
          <w:rFonts w:ascii="Times New Roman" w:hAnsi="Times New Roman"/>
          <w:bCs/>
          <w:color w:val="000000" w:themeColor="text1"/>
        </w:rPr>
        <w:t>H</w:t>
      </w:r>
      <w:r w:rsidR="00F0452E" w:rsidRPr="00092862">
        <w:rPr>
          <w:rFonts w:ascii="Times New Roman" w:hAnsi="Times New Roman"/>
          <w:bCs/>
          <w:color w:val="000000" w:themeColor="text1"/>
          <w:vertAlign w:val="subscript"/>
        </w:rPr>
        <w:t>2</w:t>
      </w:r>
      <w:r w:rsidR="00F0452E" w:rsidRPr="00092862">
        <w:rPr>
          <w:rFonts w:ascii="Times New Roman" w:hAnsi="Times New Roman"/>
          <w:bCs/>
          <w:color w:val="000000" w:themeColor="text1"/>
        </w:rPr>
        <w:t>S</w:t>
      </w:r>
      <w:r w:rsidRPr="00092862">
        <w:rPr>
          <w:rFonts w:ascii="Times New Roman" w:hAnsi="Times New Roman"/>
          <w:bCs/>
          <w:color w:val="000000" w:themeColor="text1"/>
        </w:rPr>
        <w:t>浓度，监测点位设在井场场界、放喷口周围以及最近居民点处。</w:t>
      </w:r>
    </w:p>
    <w:p w14:paraId="3DF25A58" w14:textId="79BEAE0A" w:rsidR="000D7B9B" w:rsidRPr="00092862" w:rsidRDefault="000D7B9B" w:rsidP="000D7B9B">
      <w:pPr>
        <w:pStyle w:val="af0"/>
        <w:adjustRightInd w:val="0"/>
        <w:snapToGrid w:val="0"/>
        <w:spacing w:line="360" w:lineRule="auto"/>
        <w:ind w:firstLineChars="200" w:firstLine="480"/>
        <w:rPr>
          <w:rFonts w:ascii="Times New Roman" w:hAnsi="Times New Roman"/>
          <w:bCs/>
          <w:color w:val="000000" w:themeColor="text1"/>
        </w:rPr>
      </w:pPr>
      <w:r w:rsidRPr="00092862">
        <w:rPr>
          <w:rFonts w:ascii="Times New Roman" w:hAnsi="Times New Roman"/>
          <w:bCs/>
          <w:color w:val="000000" w:themeColor="text1"/>
        </w:rPr>
        <w:t>噪声监测设在场界处和最近居民点处</w:t>
      </w:r>
      <w:r w:rsidR="00682CE2" w:rsidRPr="00092862">
        <w:rPr>
          <w:rFonts w:ascii="Times New Roman" w:hAnsi="Times New Roman"/>
          <w:bCs/>
          <w:color w:val="000000" w:themeColor="text1"/>
        </w:rPr>
        <w:t>（井场周边</w:t>
      </w:r>
      <w:r w:rsidR="00682CE2" w:rsidRPr="00092862">
        <w:rPr>
          <w:rFonts w:ascii="Times New Roman" w:hAnsi="Times New Roman"/>
          <w:bCs/>
          <w:color w:val="000000" w:themeColor="text1"/>
        </w:rPr>
        <w:t>200m</w:t>
      </w:r>
      <w:r w:rsidR="00682CE2" w:rsidRPr="00092862">
        <w:rPr>
          <w:rFonts w:ascii="Times New Roman" w:hAnsi="Times New Roman"/>
          <w:bCs/>
          <w:color w:val="000000" w:themeColor="text1"/>
        </w:rPr>
        <w:t>范围内无居民点，因此可根据实际情况考虑是否对敏感点进行监测）</w:t>
      </w:r>
      <w:r w:rsidRPr="00092862">
        <w:rPr>
          <w:rFonts w:ascii="Times New Roman" w:hAnsi="Times New Roman"/>
          <w:bCs/>
          <w:color w:val="000000" w:themeColor="text1"/>
        </w:rPr>
        <w:t>，钻井期间分别监测</w:t>
      </w:r>
      <w:r w:rsidR="000C55CC" w:rsidRPr="00092862">
        <w:rPr>
          <w:rFonts w:ascii="Times New Roman" w:hAnsi="Times New Roman"/>
          <w:bCs/>
          <w:color w:val="000000" w:themeColor="text1"/>
        </w:rPr>
        <w:t>昼间、夜间</w:t>
      </w:r>
      <w:r w:rsidRPr="00092862">
        <w:rPr>
          <w:rFonts w:ascii="Times New Roman" w:hAnsi="Times New Roman"/>
          <w:bCs/>
          <w:color w:val="000000" w:themeColor="text1"/>
        </w:rPr>
        <w:t>各</w:t>
      </w:r>
      <w:r w:rsidRPr="00092862">
        <w:rPr>
          <w:rFonts w:ascii="Times New Roman" w:hAnsi="Times New Roman"/>
          <w:bCs/>
          <w:color w:val="000000" w:themeColor="text1"/>
        </w:rPr>
        <w:t>1</w:t>
      </w:r>
      <w:r w:rsidRPr="00092862">
        <w:rPr>
          <w:rFonts w:ascii="Times New Roman" w:hAnsi="Times New Roman"/>
          <w:bCs/>
          <w:color w:val="000000" w:themeColor="text1"/>
        </w:rPr>
        <w:t>次</w:t>
      </w:r>
      <w:r w:rsidR="000C55CC" w:rsidRPr="00092862">
        <w:rPr>
          <w:rFonts w:ascii="Times New Roman" w:hAnsi="Times New Roman"/>
          <w:bCs/>
          <w:color w:val="000000" w:themeColor="text1"/>
        </w:rPr>
        <w:t>，</w:t>
      </w:r>
      <w:r w:rsidR="001A6854" w:rsidRPr="00092862">
        <w:rPr>
          <w:rFonts w:ascii="Times New Roman" w:hAnsi="Times New Roman"/>
          <w:bCs/>
          <w:color w:val="000000" w:themeColor="text1"/>
        </w:rPr>
        <w:t>试采期</w:t>
      </w:r>
      <w:r w:rsidR="000C55CC" w:rsidRPr="00092862">
        <w:rPr>
          <w:rFonts w:ascii="Times New Roman" w:hAnsi="Times New Roman"/>
          <w:bCs/>
          <w:color w:val="000000" w:themeColor="text1"/>
        </w:rPr>
        <w:t>间每年昼间、夜间各监测</w:t>
      </w:r>
      <w:r w:rsidR="000C55CC" w:rsidRPr="00092862">
        <w:rPr>
          <w:rFonts w:ascii="Times New Roman" w:hAnsi="Times New Roman"/>
          <w:bCs/>
          <w:color w:val="000000" w:themeColor="text1"/>
        </w:rPr>
        <w:t>1</w:t>
      </w:r>
      <w:r w:rsidR="000C55CC" w:rsidRPr="00092862">
        <w:rPr>
          <w:rFonts w:ascii="Times New Roman" w:hAnsi="Times New Roman"/>
          <w:bCs/>
          <w:color w:val="000000" w:themeColor="text1"/>
        </w:rPr>
        <w:t>次</w:t>
      </w:r>
      <w:r w:rsidRPr="00092862">
        <w:rPr>
          <w:rFonts w:ascii="Times New Roman" w:hAnsi="Times New Roman"/>
          <w:bCs/>
          <w:color w:val="000000" w:themeColor="text1"/>
        </w:rPr>
        <w:t>。</w:t>
      </w:r>
    </w:p>
    <w:p w14:paraId="1580C28E" w14:textId="0AA6C017" w:rsidR="000D7B9B" w:rsidRPr="00092862" w:rsidRDefault="000D7B9B" w:rsidP="000D7B9B">
      <w:pPr>
        <w:pStyle w:val="af0"/>
        <w:adjustRightInd w:val="0"/>
        <w:snapToGrid w:val="0"/>
        <w:spacing w:line="360" w:lineRule="auto"/>
        <w:ind w:firstLineChars="200" w:firstLine="480"/>
        <w:rPr>
          <w:rFonts w:ascii="Times New Roman" w:hAnsi="Times New Roman"/>
          <w:bCs/>
          <w:color w:val="000000" w:themeColor="text1"/>
        </w:rPr>
      </w:pPr>
      <w:r w:rsidRPr="00092862">
        <w:rPr>
          <w:rFonts w:ascii="Times New Roman" w:hAnsi="Times New Roman"/>
          <w:bCs/>
          <w:color w:val="000000" w:themeColor="text1"/>
        </w:rPr>
        <w:t>本次评价建议建设单位开展土壤环境跟踪监测，主要设置下游监控点和上游背景点。</w:t>
      </w:r>
    </w:p>
    <w:p w14:paraId="07B47A3C" w14:textId="530A2BE2" w:rsidR="007856EF" w:rsidRPr="00092862" w:rsidRDefault="000D7B9B" w:rsidP="000D7B9B">
      <w:pPr>
        <w:pStyle w:val="af0"/>
        <w:adjustRightInd w:val="0"/>
        <w:snapToGrid w:val="0"/>
        <w:spacing w:line="360" w:lineRule="auto"/>
        <w:ind w:firstLineChars="200" w:firstLine="480"/>
        <w:rPr>
          <w:rFonts w:ascii="Times New Roman" w:hAnsi="Times New Roman"/>
          <w:bCs/>
          <w:color w:val="000000" w:themeColor="text1"/>
        </w:rPr>
      </w:pPr>
      <w:r w:rsidRPr="00092862">
        <w:rPr>
          <w:rFonts w:ascii="Times New Roman" w:hAnsi="Times New Roman"/>
          <w:bCs/>
          <w:color w:val="000000" w:themeColor="text1"/>
        </w:rPr>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w:t>
      </w:r>
      <w:r w:rsidR="007856EF" w:rsidRPr="00092862">
        <w:rPr>
          <w:rFonts w:ascii="Times New Roman" w:hAnsi="Times New Roman"/>
          <w:bCs/>
          <w:color w:val="000000" w:themeColor="text1"/>
        </w:rPr>
        <w:t>监测计划见表</w:t>
      </w:r>
      <w:r w:rsidR="00704F23" w:rsidRPr="00092862">
        <w:rPr>
          <w:rFonts w:ascii="Times New Roman" w:hAnsi="Times New Roman"/>
          <w:bCs/>
          <w:color w:val="000000" w:themeColor="text1"/>
        </w:rPr>
        <w:t>10</w:t>
      </w:r>
      <w:r w:rsidR="00F54AAF" w:rsidRPr="00092862">
        <w:rPr>
          <w:rFonts w:ascii="Times New Roman" w:hAnsi="Times New Roman"/>
          <w:bCs/>
          <w:color w:val="000000" w:themeColor="text1"/>
        </w:rPr>
        <w:t>.3</w:t>
      </w:r>
      <w:r w:rsidR="007856EF" w:rsidRPr="00092862">
        <w:rPr>
          <w:rFonts w:ascii="Times New Roman" w:hAnsi="Times New Roman"/>
          <w:bCs/>
          <w:color w:val="000000" w:themeColor="text1"/>
        </w:rPr>
        <w:t>-</w:t>
      </w:r>
      <w:r w:rsidR="00F54AAF" w:rsidRPr="00092862">
        <w:rPr>
          <w:rFonts w:ascii="Times New Roman" w:hAnsi="Times New Roman"/>
          <w:bCs/>
          <w:color w:val="000000" w:themeColor="text1"/>
        </w:rPr>
        <w:t>1</w:t>
      </w:r>
      <w:r w:rsidR="007856EF" w:rsidRPr="00092862">
        <w:rPr>
          <w:rFonts w:ascii="Times New Roman" w:hAnsi="Times New Roman"/>
          <w:bCs/>
          <w:color w:val="000000" w:themeColor="text1"/>
        </w:rPr>
        <w:t>。</w:t>
      </w:r>
    </w:p>
    <w:p w14:paraId="20B18FD9" w14:textId="77777777" w:rsidR="001E4151" w:rsidRPr="00092862" w:rsidRDefault="001E4151" w:rsidP="00AC7BA2">
      <w:pPr>
        <w:pStyle w:val="ac"/>
        <w:tabs>
          <w:tab w:val="left" w:pos="863"/>
        </w:tabs>
        <w:spacing w:before="0"/>
        <w:ind w:left="0"/>
        <w:jc w:val="center"/>
        <w:rPr>
          <w:rFonts w:ascii="Times New Roman" w:eastAsia="黑体" w:hAnsi="Times New Roman"/>
          <w:color w:val="000000" w:themeColor="text1"/>
          <w:sz w:val="21"/>
          <w:szCs w:val="21"/>
          <w:lang w:eastAsia="zh-CN"/>
        </w:rPr>
      </w:pPr>
    </w:p>
    <w:p w14:paraId="31C20F90" w14:textId="79AEC9EB" w:rsidR="007856EF" w:rsidRPr="00092862" w:rsidRDefault="007856EF"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lastRenderedPageBreak/>
        <w:t>表</w:t>
      </w:r>
      <w:r w:rsidR="00704F23" w:rsidRPr="00092862">
        <w:rPr>
          <w:rFonts w:ascii="Times New Roman" w:eastAsia="黑体" w:hAnsi="Times New Roman"/>
          <w:color w:val="000000" w:themeColor="text1"/>
          <w:sz w:val="21"/>
          <w:szCs w:val="21"/>
          <w:lang w:eastAsia="zh-CN"/>
        </w:rPr>
        <w:t>10</w:t>
      </w:r>
      <w:r w:rsidR="00F54AAF" w:rsidRPr="00092862">
        <w:rPr>
          <w:rFonts w:ascii="Times New Roman" w:eastAsia="黑体" w:hAnsi="Times New Roman"/>
          <w:color w:val="000000" w:themeColor="text1"/>
          <w:sz w:val="21"/>
          <w:szCs w:val="21"/>
          <w:lang w:eastAsia="zh-CN"/>
        </w:rPr>
        <w:t>.3-1</w:t>
      </w:r>
      <w:r w:rsidRPr="00092862">
        <w:rPr>
          <w:rFonts w:ascii="Times New Roman" w:eastAsia="黑体" w:hAnsi="Times New Roman"/>
          <w:color w:val="000000" w:themeColor="text1"/>
          <w:sz w:val="21"/>
          <w:szCs w:val="21"/>
          <w:lang w:eastAsia="zh-CN"/>
        </w:rPr>
        <w:t xml:space="preserve">  </w:t>
      </w:r>
      <w:r w:rsidRPr="00092862">
        <w:rPr>
          <w:rFonts w:ascii="Times New Roman" w:eastAsia="黑体" w:hAnsi="Times New Roman"/>
          <w:color w:val="000000" w:themeColor="text1"/>
          <w:sz w:val="21"/>
          <w:szCs w:val="21"/>
          <w:lang w:eastAsia="zh-CN"/>
        </w:rPr>
        <w:t>本项目</w:t>
      </w:r>
      <w:r w:rsidR="000D7B9B" w:rsidRPr="00092862">
        <w:rPr>
          <w:rFonts w:ascii="Times New Roman" w:eastAsia="黑体" w:hAnsi="Times New Roman"/>
          <w:color w:val="000000" w:themeColor="text1"/>
          <w:sz w:val="21"/>
          <w:szCs w:val="21"/>
          <w:lang w:eastAsia="zh-CN"/>
        </w:rPr>
        <w:t>环境</w:t>
      </w:r>
      <w:r w:rsidRPr="00092862">
        <w:rPr>
          <w:rFonts w:ascii="Times New Roman" w:eastAsia="黑体" w:hAnsi="Times New Roman"/>
          <w:color w:val="000000" w:themeColor="text1"/>
          <w:sz w:val="21"/>
          <w:szCs w:val="21"/>
          <w:lang w:eastAsia="zh-CN"/>
        </w:rPr>
        <w:t>监测计划</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6"/>
        <w:gridCol w:w="2261"/>
        <w:gridCol w:w="1701"/>
        <w:gridCol w:w="1855"/>
        <w:gridCol w:w="1269"/>
        <w:gridCol w:w="1269"/>
      </w:tblGrid>
      <w:tr w:rsidR="00697429" w:rsidRPr="00092862" w14:paraId="0263A39F" w14:textId="43BBF195" w:rsidTr="00827F40">
        <w:trPr>
          <w:jc w:val="center"/>
        </w:trPr>
        <w:tc>
          <w:tcPr>
            <w:tcW w:w="1136" w:type="dxa"/>
            <w:vAlign w:val="center"/>
          </w:tcPr>
          <w:p w14:paraId="7CDBD0E4"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环境要素</w:t>
            </w:r>
          </w:p>
        </w:tc>
        <w:tc>
          <w:tcPr>
            <w:tcW w:w="2261" w:type="dxa"/>
            <w:vAlign w:val="center"/>
          </w:tcPr>
          <w:p w14:paraId="17E9A2E8"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监测点位</w:t>
            </w:r>
          </w:p>
        </w:tc>
        <w:tc>
          <w:tcPr>
            <w:tcW w:w="1701" w:type="dxa"/>
            <w:vAlign w:val="center"/>
          </w:tcPr>
          <w:p w14:paraId="791B5D4B"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监测项目</w:t>
            </w:r>
          </w:p>
        </w:tc>
        <w:tc>
          <w:tcPr>
            <w:tcW w:w="1855" w:type="dxa"/>
            <w:vAlign w:val="center"/>
          </w:tcPr>
          <w:p w14:paraId="29D6FD3C"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监测频次</w:t>
            </w:r>
          </w:p>
        </w:tc>
        <w:tc>
          <w:tcPr>
            <w:tcW w:w="1269" w:type="dxa"/>
            <w:vAlign w:val="center"/>
          </w:tcPr>
          <w:p w14:paraId="37BDAB5B" w14:textId="7880562E"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监测时段</w:t>
            </w:r>
          </w:p>
        </w:tc>
        <w:tc>
          <w:tcPr>
            <w:tcW w:w="1269" w:type="dxa"/>
            <w:vAlign w:val="center"/>
          </w:tcPr>
          <w:p w14:paraId="1C2FAB16" w14:textId="0F6CF668"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依据</w:t>
            </w:r>
          </w:p>
        </w:tc>
      </w:tr>
      <w:tr w:rsidR="00697429" w:rsidRPr="00092862" w14:paraId="732073A5" w14:textId="6BC3292E" w:rsidTr="00827F40">
        <w:trPr>
          <w:trHeight w:val="2179"/>
          <w:jc w:val="center"/>
        </w:trPr>
        <w:tc>
          <w:tcPr>
            <w:tcW w:w="1136" w:type="dxa"/>
            <w:shd w:val="clear" w:color="auto" w:fill="FFFFFF"/>
            <w:vAlign w:val="center"/>
          </w:tcPr>
          <w:p w14:paraId="4388AAE8"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土壤</w:t>
            </w:r>
          </w:p>
        </w:tc>
        <w:tc>
          <w:tcPr>
            <w:tcW w:w="2261" w:type="dxa"/>
            <w:shd w:val="clear" w:color="auto" w:fill="FFFFFF"/>
            <w:vAlign w:val="center"/>
          </w:tcPr>
          <w:p w14:paraId="6D115D33" w14:textId="69DF3B56"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对于一类单元，本项目在污水池下游设置</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个深层土壤监测点，在污水池下游设置</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个表层土壤监测点。对于二类单元，本项目在放喷池下游处设置</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处表层土壤监测点</w:t>
            </w:r>
          </w:p>
        </w:tc>
        <w:tc>
          <w:tcPr>
            <w:tcW w:w="1701" w:type="dxa"/>
            <w:vAlign w:val="center"/>
          </w:tcPr>
          <w:p w14:paraId="4E3152FB" w14:textId="6F3239BF"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pH</w:t>
            </w:r>
            <w:r w:rsidRPr="00092862">
              <w:rPr>
                <w:rFonts w:ascii="Times New Roman" w:eastAsia="宋体" w:hAnsi="Times New Roman" w:cs="Times New Roman"/>
                <w:color w:val="000000" w:themeColor="text1"/>
                <w:szCs w:val="21"/>
              </w:rPr>
              <w:t>值、铜、六价铬、铅、镉、汞、砷、镍、石油烃（</w:t>
            </w:r>
            <w:r w:rsidRPr="00092862">
              <w:rPr>
                <w:rFonts w:ascii="Times New Roman" w:eastAsia="宋体" w:hAnsi="Times New Roman" w:cs="Times New Roman"/>
                <w:color w:val="000000" w:themeColor="text1"/>
                <w:szCs w:val="21"/>
              </w:rPr>
              <w:t>C10-C40</w:t>
            </w:r>
            <w:r w:rsidRPr="00092862">
              <w:rPr>
                <w:rFonts w:ascii="Times New Roman" w:eastAsia="宋体" w:hAnsi="Times New Roman" w:cs="Times New Roman"/>
                <w:color w:val="000000" w:themeColor="text1"/>
                <w:szCs w:val="21"/>
              </w:rPr>
              <w:t>）、全盐量等</w:t>
            </w:r>
          </w:p>
        </w:tc>
        <w:tc>
          <w:tcPr>
            <w:tcW w:w="1855" w:type="dxa"/>
            <w:vAlign w:val="center"/>
          </w:tcPr>
          <w:p w14:paraId="55493EEC" w14:textId="4BF8FE31"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其中表层土壤监测频次为</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次</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年，深层土壤为</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次</w:t>
            </w:r>
            <w:r w:rsidRPr="00092862">
              <w:rPr>
                <w:rFonts w:ascii="Times New Roman" w:eastAsia="宋体" w:hAnsi="Times New Roman" w:cs="Times New Roman"/>
                <w:color w:val="000000" w:themeColor="text1"/>
                <w:szCs w:val="21"/>
              </w:rPr>
              <w:t>/3</w:t>
            </w:r>
            <w:r w:rsidRPr="00092862">
              <w:rPr>
                <w:rFonts w:ascii="Times New Roman" w:eastAsia="宋体" w:hAnsi="Times New Roman" w:cs="Times New Roman"/>
                <w:color w:val="000000" w:themeColor="text1"/>
                <w:szCs w:val="21"/>
              </w:rPr>
              <w:t>年</w:t>
            </w:r>
          </w:p>
        </w:tc>
        <w:tc>
          <w:tcPr>
            <w:tcW w:w="1269" w:type="dxa"/>
            <w:vAlign w:val="center"/>
          </w:tcPr>
          <w:p w14:paraId="75FFD878" w14:textId="7544559A"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定期</w:t>
            </w:r>
          </w:p>
        </w:tc>
        <w:tc>
          <w:tcPr>
            <w:tcW w:w="1269" w:type="dxa"/>
            <w:vAlign w:val="center"/>
          </w:tcPr>
          <w:p w14:paraId="390FC0C6" w14:textId="4EF4758F" w:rsidR="00827F40" w:rsidRPr="00092862" w:rsidRDefault="003F4515"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HJ1209-2021</w:t>
            </w:r>
          </w:p>
        </w:tc>
      </w:tr>
      <w:tr w:rsidR="00697429" w:rsidRPr="00092862" w14:paraId="0E58D335" w14:textId="2C633789" w:rsidTr="00827F40">
        <w:trPr>
          <w:jc w:val="center"/>
        </w:trPr>
        <w:tc>
          <w:tcPr>
            <w:tcW w:w="1136" w:type="dxa"/>
            <w:vMerge w:val="restart"/>
            <w:shd w:val="clear" w:color="auto" w:fill="FFFFFF"/>
            <w:vAlign w:val="center"/>
          </w:tcPr>
          <w:p w14:paraId="2505D84C"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大气</w:t>
            </w:r>
          </w:p>
        </w:tc>
        <w:tc>
          <w:tcPr>
            <w:tcW w:w="2261" w:type="dxa"/>
            <w:shd w:val="clear" w:color="auto" w:fill="FFFFFF"/>
            <w:vAlign w:val="center"/>
          </w:tcPr>
          <w:p w14:paraId="6C47B42C"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井场场界、放喷口周围、最近居民点处</w:t>
            </w:r>
          </w:p>
        </w:tc>
        <w:tc>
          <w:tcPr>
            <w:tcW w:w="1701" w:type="dxa"/>
            <w:vAlign w:val="center"/>
          </w:tcPr>
          <w:p w14:paraId="15D7F0A7" w14:textId="47F33A96"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CH</w:t>
            </w:r>
            <w:r w:rsidRPr="00092862">
              <w:rPr>
                <w:rFonts w:ascii="Times New Roman" w:eastAsia="宋体" w:hAnsi="Times New Roman" w:cs="Times New Roman"/>
                <w:color w:val="000000" w:themeColor="text1"/>
                <w:szCs w:val="21"/>
                <w:vertAlign w:val="subscript"/>
              </w:rPr>
              <w:t>4</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H</w:t>
            </w:r>
            <w:r w:rsidRPr="00092862">
              <w:rPr>
                <w:rFonts w:ascii="Times New Roman" w:eastAsia="宋体" w:hAnsi="Times New Roman" w:cs="Times New Roman"/>
                <w:color w:val="000000" w:themeColor="text1"/>
                <w:szCs w:val="21"/>
                <w:vertAlign w:val="subscript"/>
              </w:rPr>
              <w:t>2</w:t>
            </w:r>
            <w:r w:rsidRPr="00092862">
              <w:rPr>
                <w:rFonts w:ascii="Times New Roman" w:eastAsia="宋体" w:hAnsi="Times New Roman" w:cs="Times New Roman"/>
                <w:color w:val="000000" w:themeColor="text1"/>
                <w:szCs w:val="21"/>
              </w:rPr>
              <w:t>S</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VOCs</w:t>
            </w:r>
          </w:p>
        </w:tc>
        <w:tc>
          <w:tcPr>
            <w:tcW w:w="1855" w:type="dxa"/>
            <w:vAlign w:val="center"/>
          </w:tcPr>
          <w:p w14:paraId="1837E31A"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测试和事故放喷时根据事故控制情况布置监测</w:t>
            </w:r>
          </w:p>
        </w:tc>
        <w:tc>
          <w:tcPr>
            <w:tcW w:w="1269" w:type="dxa"/>
            <w:vAlign w:val="center"/>
          </w:tcPr>
          <w:p w14:paraId="33102B45" w14:textId="1A378F54"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事故过程</w:t>
            </w:r>
          </w:p>
        </w:tc>
        <w:tc>
          <w:tcPr>
            <w:tcW w:w="1269" w:type="dxa"/>
            <w:vAlign w:val="center"/>
          </w:tcPr>
          <w:p w14:paraId="755640CF" w14:textId="0D429912"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280E0A78" w14:textId="09012E54" w:rsidTr="00827F40">
        <w:trPr>
          <w:jc w:val="center"/>
        </w:trPr>
        <w:tc>
          <w:tcPr>
            <w:tcW w:w="1136" w:type="dxa"/>
            <w:vMerge/>
            <w:shd w:val="clear" w:color="auto" w:fill="FFFFFF"/>
            <w:vAlign w:val="center"/>
          </w:tcPr>
          <w:p w14:paraId="02E6F344"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p>
        </w:tc>
        <w:tc>
          <w:tcPr>
            <w:tcW w:w="2261" w:type="dxa"/>
            <w:shd w:val="clear" w:color="auto" w:fill="FFFFFF"/>
            <w:vAlign w:val="center"/>
          </w:tcPr>
          <w:p w14:paraId="710F3418" w14:textId="54B48A79"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水套加热炉</w:t>
            </w:r>
          </w:p>
        </w:tc>
        <w:tc>
          <w:tcPr>
            <w:tcW w:w="1701" w:type="dxa"/>
            <w:vAlign w:val="center"/>
          </w:tcPr>
          <w:p w14:paraId="6F4E65FE" w14:textId="46ABA97D" w:rsidR="00827F40" w:rsidRPr="00092862" w:rsidRDefault="00827F40" w:rsidP="00893E9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颗粒物、二氧化硫、氮氧化物、林格曼黑度</w:t>
            </w:r>
          </w:p>
        </w:tc>
        <w:tc>
          <w:tcPr>
            <w:tcW w:w="1855" w:type="dxa"/>
            <w:vAlign w:val="center"/>
          </w:tcPr>
          <w:p w14:paraId="2DABB9FC" w14:textId="0EF7F0D4"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次</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年</w:t>
            </w:r>
          </w:p>
        </w:tc>
        <w:tc>
          <w:tcPr>
            <w:tcW w:w="1269" w:type="dxa"/>
            <w:vAlign w:val="center"/>
          </w:tcPr>
          <w:p w14:paraId="300AC400" w14:textId="45C0B73E"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定期（每年</w:t>
            </w:r>
            <w:r w:rsidRPr="00092862">
              <w:rPr>
                <w:rFonts w:ascii="Times New Roman" w:eastAsia="宋体" w:hAnsi="Times New Roman" w:cs="Times New Roman"/>
                <w:color w:val="000000" w:themeColor="text1"/>
                <w:szCs w:val="21"/>
              </w:rPr>
              <w:t>10</w:t>
            </w:r>
            <w:r w:rsidRPr="00092862">
              <w:rPr>
                <w:rFonts w:ascii="Times New Roman" w:eastAsia="宋体" w:hAnsi="Times New Roman" w:cs="Times New Roman"/>
                <w:color w:val="000000" w:themeColor="text1"/>
                <w:szCs w:val="21"/>
              </w:rPr>
              <w:t>％抽检）</w:t>
            </w:r>
          </w:p>
        </w:tc>
        <w:tc>
          <w:tcPr>
            <w:tcW w:w="1269" w:type="dxa"/>
            <w:vAlign w:val="center"/>
          </w:tcPr>
          <w:p w14:paraId="0D5AFA00" w14:textId="7AA6EEE2"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HJ1248—2022</w:t>
            </w:r>
          </w:p>
        </w:tc>
      </w:tr>
      <w:tr w:rsidR="00697429" w:rsidRPr="00092862" w14:paraId="2E9A25F9" w14:textId="76358F4A" w:rsidTr="00827F40">
        <w:trPr>
          <w:jc w:val="center"/>
        </w:trPr>
        <w:tc>
          <w:tcPr>
            <w:tcW w:w="1136" w:type="dxa"/>
            <w:shd w:val="clear" w:color="auto" w:fill="FFFFFF"/>
            <w:vAlign w:val="center"/>
          </w:tcPr>
          <w:p w14:paraId="00AB4344"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噪声</w:t>
            </w:r>
          </w:p>
        </w:tc>
        <w:tc>
          <w:tcPr>
            <w:tcW w:w="2261" w:type="dxa"/>
            <w:shd w:val="clear" w:color="auto" w:fill="FFFFFF"/>
            <w:vAlign w:val="center"/>
          </w:tcPr>
          <w:p w14:paraId="45404538" w14:textId="062448C3"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场界处</w:t>
            </w:r>
          </w:p>
        </w:tc>
        <w:tc>
          <w:tcPr>
            <w:tcW w:w="1701" w:type="dxa"/>
            <w:vAlign w:val="center"/>
          </w:tcPr>
          <w:p w14:paraId="4DAC540E" w14:textId="3908112B"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场界噪声</w:t>
            </w:r>
          </w:p>
        </w:tc>
        <w:tc>
          <w:tcPr>
            <w:tcW w:w="1855" w:type="dxa"/>
            <w:vAlign w:val="center"/>
          </w:tcPr>
          <w:p w14:paraId="672172CD" w14:textId="632743C7" w:rsidR="00827F40" w:rsidRPr="00092862" w:rsidRDefault="00827F40" w:rsidP="00893E90">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钻井期间分别监测昼间、夜间各</w:t>
            </w: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Cs w:val="21"/>
              </w:rPr>
              <w:t>次；</w:t>
            </w:r>
            <w:r w:rsidRPr="00092862">
              <w:rPr>
                <w:rFonts w:ascii="Times New Roman" w:eastAsia="宋体" w:hAnsi="Times New Roman" w:cs="Times New Roman"/>
                <w:snapToGrid w:val="0"/>
                <w:color w:val="000000" w:themeColor="text1"/>
                <w:szCs w:val="21"/>
              </w:rPr>
              <w:t>试采期每季度监测</w:t>
            </w:r>
            <w:r w:rsidRPr="00092862">
              <w:rPr>
                <w:rFonts w:ascii="Times New Roman" w:eastAsia="宋体" w:hAnsi="Times New Roman" w:cs="Times New Roman"/>
                <w:snapToGrid w:val="0"/>
                <w:color w:val="000000" w:themeColor="text1"/>
                <w:szCs w:val="21"/>
              </w:rPr>
              <w:t>1</w:t>
            </w:r>
            <w:r w:rsidRPr="00092862">
              <w:rPr>
                <w:rFonts w:ascii="Times New Roman" w:eastAsia="宋体" w:hAnsi="Times New Roman" w:cs="Times New Roman"/>
                <w:snapToGrid w:val="0"/>
                <w:color w:val="000000" w:themeColor="text1"/>
                <w:szCs w:val="21"/>
              </w:rPr>
              <w:t>次，根据监测结果，若场站内声源装置稳定运行且厂界环境噪声远低于标准限值的小型场站可不开展厂界环境噪声监测</w:t>
            </w:r>
          </w:p>
        </w:tc>
        <w:tc>
          <w:tcPr>
            <w:tcW w:w="1269" w:type="dxa"/>
            <w:vAlign w:val="center"/>
          </w:tcPr>
          <w:p w14:paraId="093E1AE3" w14:textId="77777777"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投诉时对投诉敏感点监测</w:t>
            </w:r>
          </w:p>
        </w:tc>
        <w:tc>
          <w:tcPr>
            <w:tcW w:w="1269" w:type="dxa"/>
            <w:vAlign w:val="center"/>
          </w:tcPr>
          <w:p w14:paraId="7FC6FA0C" w14:textId="47048260" w:rsidR="00827F40" w:rsidRPr="00092862" w:rsidRDefault="003F4515"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HJ1248—2022</w:t>
            </w:r>
            <w:r w:rsidRPr="00092862">
              <w:rPr>
                <w:rFonts w:ascii="Times New Roman" w:eastAsia="宋体" w:hAnsi="Times New Roman" w:cs="Times New Roman"/>
                <w:color w:val="000000" w:themeColor="text1"/>
                <w:szCs w:val="21"/>
              </w:rPr>
              <w:t>等</w:t>
            </w:r>
          </w:p>
        </w:tc>
      </w:tr>
      <w:tr w:rsidR="00697429" w:rsidRPr="00092862" w14:paraId="3D6E28A8" w14:textId="0F739B6B" w:rsidTr="00827F40">
        <w:trPr>
          <w:jc w:val="center"/>
        </w:trPr>
        <w:tc>
          <w:tcPr>
            <w:tcW w:w="1136" w:type="dxa"/>
            <w:shd w:val="clear" w:color="auto" w:fill="FFFFFF"/>
            <w:vAlign w:val="center"/>
          </w:tcPr>
          <w:p w14:paraId="3056F23B" w14:textId="461A79D1"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地表水</w:t>
            </w:r>
          </w:p>
        </w:tc>
        <w:tc>
          <w:tcPr>
            <w:tcW w:w="2261" w:type="dxa"/>
            <w:shd w:val="clear" w:color="auto" w:fill="FFFFFF"/>
            <w:vAlign w:val="center"/>
          </w:tcPr>
          <w:p w14:paraId="12979DAC" w14:textId="372F1C36"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废水泄露地表水体时被污染水体</w:t>
            </w:r>
          </w:p>
        </w:tc>
        <w:tc>
          <w:tcPr>
            <w:tcW w:w="1701" w:type="dxa"/>
            <w:vAlign w:val="center"/>
          </w:tcPr>
          <w:p w14:paraId="5D8899F6" w14:textId="3DB58E55"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pH</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rPr>
              <w:t>、</w:t>
            </w:r>
            <w:r w:rsidRPr="00092862">
              <w:rPr>
                <w:rFonts w:ascii="Times New Roman" w:eastAsia="宋体" w:hAnsi="Times New Roman" w:cs="Times New Roman"/>
                <w:color w:val="000000" w:themeColor="text1"/>
                <w:szCs w:val="21"/>
              </w:rPr>
              <w:t>BOD</w:t>
            </w:r>
            <w:r w:rsidRPr="00092862">
              <w:rPr>
                <w:rFonts w:ascii="Times New Roman" w:eastAsia="宋体" w:hAnsi="Times New Roman" w:cs="Times New Roman"/>
                <w:color w:val="000000" w:themeColor="text1"/>
                <w:szCs w:val="21"/>
                <w:vertAlign w:val="subscript"/>
              </w:rPr>
              <w:t>5</w:t>
            </w:r>
            <w:r w:rsidRPr="00092862">
              <w:rPr>
                <w:rFonts w:ascii="Times New Roman" w:eastAsia="宋体" w:hAnsi="Times New Roman" w:cs="Times New Roman"/>
                <w:color w:val="000000" w:themeColor="text1"/>
                <w:szCs w:val="21"/>
              </w:rPr>
              <w:t>、氨氮、硫化物、石油类、氯化物</w:t>
            </w:r>
            <w:r w:rsidRPr="00092862">
              <w:rPr>
                <w:rFonts w:ascii="Times New Roman" w:eastAsia="宋体" w:hAnsi="Times New Roman" w:cs="Times New Roman"/>
                <w:bCs/>
                <w:color w:val="000000" w:themeColor="text1"/>
                <w:szCs w:val="21"/>
              </w:rPr>
              <w:t>等</w:t>
            </w:r>
          </w:p>
        </w:tc>
        <w:tc>
          <w:tcPr>
            <w:tcW w:w="1855" w:type="dxa"/>
            <w:vAlign w:val="center"/>
          </w:tcPr>
          <w:p w14:paraId="5C876156" w14:textId="3533361D"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实时监控</w:t>
            </w:r>
          </w:p>
        </w:tc>
        <w:tc>
          <w:tcPr>
            <w:tcW w:w="1269" w:type="dxa"/>
            <w:vAlign w:val="center"/>
          </w:tcPr>
          <w:p w14:paraId="50ADFA75" w14:textId="298E7069"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事故过程</w:t>
            </w:r>
          </w:p>
        </w:tc>
        <w:tc>
          <w:tcPr>
            <w:tcW w:w="1269" w:type="dxa"/>
            <w:vAlign w:val="center"/>
          </w:tcPr>
          <w:p w14:paraId="611E117D" w14:textId="4EF70F52"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w:t>
            </w:r>
          </w:p>
        </w:tc>
      </w:tr>
      <w:tr w:rsidR="00697429" w:rsidRPr="00092862" w14:paraId="2A00C9B6" w14:textId="5991DC66" w:rsidTr="00827F40">
        <w:trPr>
          <w:jc w:val="center"/>
        </w:trPr>
        <w:tc>
          <w:tcPr>
            <w:tcW w:w="1136" w:type="dxa"/>
            <w:shd w:val="clear" w:color="auto" w:fill="FFFFFF"/>
            <w:vAlign w:val="center"/>
          </w:tcPr>
          <w:p w14:paraId="2833F2EF" w14:textId="7B47178A"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雨水</w:t>
            </w:r>
          </w:p>
        </w:tc>
        <w:tc>
          <w:tcPr>
            <w:tcW w:w="2261" w:type="dxa"/>
            <w:shd w:val="clear" w:color="auto" w:fill="FFFFFF"/>
            <w:vAlign w:val="center"/>
          </w:tcPr>
          <w:p w14:paraId="6BFB8886" w14:textId="678867E2"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雨水排放口</w:t>
            </w:r>
          </w:p>
        </w:tc>
        <w:tc>
          <w:tcPr>
            <w:tcW w:w="1701" w:type="dxa"/>
            <w:vAlign w:val="center"/>
          </w:tcPr>
          <w:p w14:paraId="2BB16462" w14:textId="4243B03D"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COD</w:t>
            </w:r>
            <w:r w:rsidRPr="00092862">
              <w:rPr>
                <w:rFonts w:ascii="Times New Roman" w:eastAsia="宋体" w:hAnsi="Times New Roman" w:cs="Times New Roman"/>
                <w:color w:val="000000" w:themeColor="text1"/>
                <w:szCs w:val="21"/>
              </w:rPr>
              <w:t>、石油类</w:t>
            </w:r>
          </w:p>
        </w:tc>
        <w:tc>
          <w:tcPr>
            <w:tcW w:w="3124" w:type="dxa"/>
            <w:gridSpan w:val="2"/>
            <w:vAlign w:val="center"/>
          </w:tcPr>
          <w:p w14:paraId="680F3212" w14:textId="38A6848F"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有流动水排放时按季度监测，如监测一年无异常情况，可放宽至每年开展一次监测</w:t>
            </w:r>
          </w:p>
        </w:tc>
        <w:tc>
          <w:tcPr>
            <w:tcW w:w="1269" w:type="dxa"/>
            <w:vAlign w:val="center"/>
          </w:tcPr>
          <w:p w14:paraId="4BC115C9" w14:textId="673029A0" w:rsidR="00827F40" w:rsidRPr="00092862" w:rsidRDefault="00827F40" w:rsidP="000D7B9B">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HJ1248—2022</w:t>
            </w:r>
          </w:p>
        </w:tc>
      </w:tr>
      <w:tr w:rsidR="00676047" w:rsidRPr="00092862" w14:paraId="55DE2898" w14:textId="496DACF7" w:rsidTr="00827F40">
        <w:trPr>
          <w:jc w:val="center"/>
        </w:trPr>
        <w:tc>
          <w:tcPr>
            <w:tcW w:w="1136" w:type="dxa"/>
            <w:vMerge w:val="restart"/>
            <w:shd w:val="clear" w:color="auto" w:fill="FFFFFF"/>
            <w:vAlign w:val="center"/>
          </w:tcPr>
          <w:p w14:paraId="6AAF7B13" w14:textId="77777777"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地下水</w:t>
            </w:r>
          </w:p>
        </w:tc>
        <w:tc>
          <w:tcPr>
            <w:tcW w:w="2261" w:type="dxa"/>
            <w:shd w:val="clear" w:color="auto" w:fill="FFFFFF"/>
            <w:vAlign w:val="center"/>
          </w:tcPr>
          <w:p w14:paraId="69117BE4" w14:textId="70896046" w:rsidR="00676047" w:rsidRPr="00092862" w:rsidRDefault="00676047" w:rsidP="00676047">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color w:val="000000" w:themeColor="text1"/>
                <w:szCs w:val="21"/>
              </w:rPr>
              <w:t>1#</w:t>
            </w:r>
            <w:r w:rsidRPr="00092862">
              <w:rPr>
                <w:rFonts w:ascii="Times New Roman" w:eastAsia="宋体" w:hAnsi="Times New Roman" w:cs="Times New Roman"/>
                <w:color w:val="000000" w:themeColor="text1"/>
                <w:sz w:val="22"/>
              </w:rPr>
              <w:t>老君</w:t>
            </w:r>
            <w:r w:rsidRPr="00092862">
              <w:rPr>
                <w:rFonts w:ascii="Times New Roman" w:eastAsia="宋体" w:hAnsi="Times New Roman" w:cs="Times New Roman"/>
                <w:color w:val="000000" w:themeColor="text1"/>
                <w:sz w:val="22"/>
              </w:rPr>
              <w:t>7011</w:t>
            </w:r>
            <w:r w:rsidRPr="00092862">
              <w:rPr>
                <w:rFonts w:ascii="Times New Roman" w:eastAsia="宋体" w:hAnsi="Times New Roman" w:cs="Times New Roman"/>
                <w:color w:val="000000" w:themeColor="text1"/>
                <w:sz w:val="22"/>
              </w:rPr>
              <w:t>井台北侧</w:t>
            </w:r>
            <w:r w:rsidRPr="00092862">
              <w:rPr>
                <w:rFonts w:ascii="Times New Roman" w:eastAsia="宋体" w:hAnsi="Times New Roman" w:cs="Times New Roman"/>
                <w:color w:val="000000" w:themeColor="text1"/>
                <w:szCs w:val="21"/>
              </w:rPr>
              <w:t>432m</w:t>
            </w:r>
            <w:r w:rsidRPr="00092862">
              <w:rPr>
                <w:rFonts w:ascii="Times New Roman" w:eastAsia="宋体" w:hAnsi="Times New Roman" w:cs="Times New Roman"/>
                <w:color w:val="000000" w:themeColor="text1"/>
                <w:szCs w:val="21"/>
              </w:rPr>
              <w:t>处居民水井</w:t>
            </w:r>
          </w:p>
        </w:tc>
        <w:tc>
          <w:tcPr>
            <w:tcW w:w="1701" w:type="dxa"/>
            <w:vMerge w:val="restart"/>
            <w:vAlign w:val="center"/>
          </w:tcPr>
          <w:p w14:paraId="5ECABA8F" w14:textId="77777777" w:rsidR="00676047" w:rsidRPr="00092862" w:rsidRDefault="00676047" w:rsidP="00676047">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pH</w:t>
            </w:r>
            <w:r w:rsidRPr="00092862">
              <w:rPr>
                <w:rFonts w:ascii="Times New Roman" w:eastAsia="宋体" w:hAnsi="Times New Roman" w:cs="Times New Roman"/>
                <w:snapToGrid w:val="0"/>
                <w:color w:val="000000" w:themeColor="text1"/>
                <w:szCs w:val="21"/>
              </w:rPr>
              <w:t>值、总硬度、六价铬、铁、锰、耗氧量、</w:t>
            </w:r>
            <w:r w:rsidRPr="00092862">
              <w:rPr>
                <w:rFonts w:ascii="Times New Roman" w:eastAsia="宋体" w:hAnsi="Times New Roman" w:cs="Times New Roman"/>
                <w:snapToGrid w:val="0"/>
                <w:color w:val="000000" w:themeColor="text1"/>
                <w:szCs w:val="21"/>
              </w:rPr>
              <w:t>TDS</w:t>
            </w:r>
            <w:r w:rsidRPr="00092862">
              <w:rPr>
                <w:rFonts w:ascii="Times New Roman" w:eastAsia="宋体" w:hAnsi="Times New Roman" w:cs="Times New Roman"/>
                <w:snapToGrid w:val="0"/>
                <w:color w:val="000000" w:themeColor="text1"/>
                <w:szCs w:val="21"/>
              </w:rPr>
              <w:t>、</w:t>
            </w:r>
            <w:r w:rsidRPr="00092862">
              <w:rPr>
                <w:rFonts w:ascii="Times New Roman" w:eastAsia="宋体" w:hAnsi="Times New Roman" w:cs="Times New Roman"/>
                <w:snapToGrid w:val="0"/>
                <w:color w:val="000000" w:themeColor="text1"/>
                <w:szCs w:val="21"/>
              </w:rPr>
              <w:t>COD</w:t>
            </w:r>
            <w:r w:rsidRPr="00092862">
              <w:rPr>
                <w:rFonts w:ascii="Times New Roman" w:eastAsia="宋体" w:hAnsi="Times New Roman" w:cs="Times New Roman"/>
                <w:snapToGrid w:val="0"/>
                <w:color w:val="000000" w:themeColor="text1"/>
                <w:szCs w:val="21"/>
              </w:rPr>
              <w:t>、石油类、氯化物</w:t>
            </w:r>
          </w:p>
        </w:tc>
        <w:tc>
          <w:tcPr>
            <w:tcW w:w="1855" w:type="dxa"/>
            <w:vMerge w:val="restart"/>
            <w:vAlign w:val="center"/>
          </w:tcPr>
          <w:p w14:paraId="2263ECE6" w14:textId="3A572C71" w:rsidR="00676047" w:rsidRPr="00092862" w:rsidRDefault="00676047" w:rsidP="00676047">
            <w:pPr>
              <w:adjustRightInd w:val="0"/>
              <w:snapToGrid w:val="0"/>
              <w:jc w:val="center"/>
              <w:rPr>
                <w:rFonts w:ascii="Times New Roman" w:eastAsia="宋体" w:hAnsi="Times New Roman" w:cs="Times New Roman"/>
                <w:snapToGrid w:val="0"/>
                <w:color w:val="000000" w:themeColor="text1"/>
                <w:szCs w:val="21"/>
              </w:rPr>
            </w:pPr>
            <w:r w:rsidRPr="00092862">
              <w:rPr>
                <w:rFonts w:ascii="Times New Roman" w:eastAsia="宋体" w:hAnsi="Times New Roman" w:cs="Times New Roman"/>
                <w:snapToGrid w:val="0"/>
                <w:color w:val="000000" w:themeColor="text1"/>
                <w:szCs w:val="21"/>
              </w:rPr>
              <w:t>开工前</w:t>
            </w:r>
            <w:r w:rsidRPr="00092862">
              <w:rPr>
                <w:rFonts w:ascii="Times New Roman" w:eastAsia="宋体" w:hAnsi="Times New Roman" w:cs="Times New Roman"/>
                <w:snapToGrid w:val="0"/>
                <w:color w:val="000000" w:themeColor="text1"/>
                <w:szCs w:val="21"/>
              </w:rPr>
              <w:t>1</w:t>
            </w:r>
            <w:r w:rsidRPr="00092862">
              <w:rPr>
                <w:rFonts w:ascii="Times New Roman" w:eastAsia="宋体" w:hAnsi="Times New Roman" w:cs="Times New Roman"/>
                <w:snapToGrid w:val="0"/>
                <w:color w:val="000000" w:themeColor="text1"/>
                <w:szCs w:val="21"/>
              </w:rPr>
              <w:t>次，完钻后</w:t>
            </w:r>
            <w:r w:rsidRPr="00092862">
              <w:rPr>
                <w:rFonts w:ascii="Times New Roman" w:eastAsia="宋体" w:hAnsi="Times New Roman" w:cs="Times New Roman"/>
                <w:snapToGrid w:val="0"/>
                <w:color w:val="000000" w:themeColor="text1"/>
                <w:szCs w:val="21"/>
              </w:rPr>
              <w:t>1</w:t>
            </w:r>
            <w:r w:rsidRPr="00092862">
              <w:rPr>
                <w:rFonts w:ascii="Times New Roman" w:eastAsia="宋体" w:hAnsi="Times New Roman" w:cs="Times New Roman"/>
                <w:snapToGrid w:val="0"/>
                <w:color w:val="000000" w:themeColor="text1"/>
                <w:szCs w:val="21"/>
              </w:rPr>
              <w:t>次，发生事故时加密监测；试采期每年对</w:t>
            </w:r>
            <w:r w:rsidRPr="00092862">
              <w:rPr>
                <w:rFonts w:ascii="Times New Roman" w:eastAsia="宋体" w:hAnsi="Times New Roman" w:cs="Times New Roman"/>
                <w:snapToGrid w:val="0"/>
                <w:color w:val="000000" w:themeColor="text1"/>
                <w:szCs w:val="21"/>
              </w:rPr>
              <w:t>2#</w:t>
            </w:r>
            <w:r w:rsidRPr="00092862">
              <w:rPr>
                <w:rFonts w:ascii="Times New Roman" w:eastAsia="宋体" w:hAnsi="Times New Roman" w:cs="Times New Roman"/>
                <w:snapToGrid w:val="0"/>
                <w:color w:val="000000" w:themeColor="text1"/>
                <w:szCs w:val="21"/>
              </w:rPr>
              <w:t>点位例行监测一次，事故时加密监测</w:t>
            </w:r>
          </w:p>
        </w:tc>
        <w:tc>
          <w:tcPr>
            <w:tcW w:w="1269" w:type="dxa"/>
            <w:vAlign w:val="center"/>
          </w:tcPr>
          <w:p w14:paraId="6E83EB13" w14:textId="59E8755A"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背景值监测点</w:t>
            </w:r>
          </w:p>
        </w:tc>
        <w:tc>
          <w:tcPr>
            <w:tcW w:w="1269" w:type="dxa"/>
            <w:vMerge w:val="restart"/>
            <w:vAlign w:val="center"/>
          </w:tcPr>
          <w:p w14:paraId="0F915D9E" w14:textId="229707D9"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HJ1209-2021</w:t>
            </w:r>
          </w:p>
        </w:tc>
      </w:tr>
      <w:tr w:rsidR="00676047" w:rsidRPr="00092862" w14:paraId="14D2F490" w14:textId="56C140BA" w:rsidTr="00827F40">
        <w:trPr>
          <w:trHeight w:val="58"/>
          <w:jc w:val="center"/>
        </w:trPr>
        <w:tc>
          <w:tcPr>
            <w:tcW w:w="1136" w:type="dxa"/>
            <w:vMerge/>
            <w:shd w:val="clear" w:color="auto" w:fill="FFFFFF"/>
            <w:vAlign w:val="center"/>
          </w:tcPr>
          <w:p w14:paraId="580356C8" w14:textId="77777777"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p>
        </w:tc>
        <w:tc>
          <w:tcPr>
            <w:tcW w:w="2261" w:type="dxa"/>
            <w:shd w:val="clear" w:color="auto" w:fill="FFFFFF"/>
            <w:vAlign w:val="center"/>
          </w:tcPr>
          <w:p w14:paraId="132520FC" w14:textId="552BF64A"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2#</w:t>
            </w:r>
            <w:r w:rsidRPr="00092862">
              <w:rPr>
                <w:rFonts w:ascii="Times New Roman" w:eastAsia="宋体" w:hAnsi="Times New Roman" w:cs="Times New Roman"/>
                <w:color w:val="000000" w:themeColor="text1"/>
                <w:sz w:val="22"/>
              </w:rPr>
              <w:t>老君</w:t>
            </w:r>
            <w:r w:rsidRPr="00092862">
              <w:rPr>
                <w:rFonts w:ascii="Times New Roman" w:eastAsia="宋体" w:hAnsi="Times New Roman" w:cs="Times New Roman"/>
                <w:color w:val="000000" w:themeColor="text1"/>
                <w:sz w:val="22"/>
              </w:rPr>
              <w:t>7011</w:t>
            </w:r>
            <w:r w:rsidRPr="00092862">
              <w:rPr>
                <w:rFonts w:ascii="Times New Roman" w:eastAsia="宋体" w:hAnsi="Times New Roman" w:cs="Times New Roman"/>
                <w:color w:val="000000" w:themeColor="text1"/>
                <w:sz w:val="22"/>
              </w:rPr>
              <w:t>井台西南侧</w:t>
            </w:r>
            <w:r w:rsidRPr="00092862">
              <w:rPr>
                <w:rFonts w:ascii="Times New Roman" w:eastAsia="宋体" w:hAnsi="Times New Roman" w:cs="Times New Roman"/>
                <w:color w:val="000000" w:themeColor="text1"/>
                <w:szCs w:val="21"/>
              </w:rPr>
              <w:t>930m</w:t>
            </w:r>
            <w:r w:rsidRPr="00092862">
              <w:rPr>
                <w:rFonts w:ascii="Times New Roman" w:eastAsia="宋体" w:hAnsi="Times New Roman" w:cs="Times New Roman"/>
                <w:color w:val="000000" w:themeColor="text1"/>
                <w:szCs w:val="21"/>
              </w:rPr>
              <w:t>处居民水井</w:t>
            </w:r>
          </w:p>
        </w:tc>
        <w:tc>
          <w:tcPr>
            <w:tcW w:w="1701" w:type="dxa"/>
            <w:vMerge/>
            <w:vAlign w:val="center"/>
          </w:tcPr>
          <w:p w14:paraId="126F0D5C" w14:textId="77777777" w:rsidR="00676047" w:rsidRPr="00092862" w:rsidRDefault="00676047" w:rsidP="00676047">
            <w:pPr>
              <w:adjustRightInd w:val="0"/>
              <w:snapToGrid w:val="0"/>
              <w:jc w:val="center"/>
              <w:rPr>
                <w:rFonts w:ascii="Times New Roman" w:eastAsia="宋体" w:hAnsi="Times New Roman" w:cs="Times New Roman"/>
                <w:snapToGrid w:val="0"/>
                <w:color w:val="000000" w:themeColor="text1"/>
                <w:szCs w:val="21"/>
              </w:rPr>
            </w:pPr>
          </w:p>
        </w:tc>
        <w:tc>
          <w:tcPr>
            <w:tcW w:w="1855" w:type="dxa"/>
            <w:vMerge/>
            <w:vAlign w:val="center"/>
          </w:tcPr>
          <w:p w14:paraId="49604389" w14:textId="77777777" w:rsidR="00676047" w:rsidRPr="00092862" w:rsidRDefault="00676047" w:rsidP="00676047">
            <w:pPr>
              <w:adjustRightInd w:val="0"/>
              <w:snapToGrid w:val="0"/>
              <w:jc w:val="center"/>
              <w:rPr>
                <w:rFonts w:ascii="Times New Roman" w:eastAsia="宋体" w:hAnsi="Times New Roman" w:cs="Times New Roman"/>
                <w:snapToGrid w:val="0"/>
                <w:color w:val="000000" w:themeColor="text1"/>
                <w:szCs w:val="21"/>
              </w:rPr>
            </w:pPr>
          </w:p>
        </w:tc>
        <w:tc>
          <w:tcPr>
            <w:tcW w:w="1269" w:type="dxa"/>
            <w:vAlign w:val="center"/>
          </w:tcPr>
          <w:p w14:paraId="0D0BB2B1" w14:textId="6B1CD779"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r w:rsidRPr="00092862">
              <w:rPr>
                <w:rFonts w:ascii="Times New Roman" w:eastAsia="宋体" w:hAnsi="Times New Roman" w:cs="Times New Roman"/>
                <w:color w:val="000000" w:themeColor="text1"/>
                <w:szCs w:val="21"/>
              </w:rPr>
              <w:t>监控点</w:t>
            </w:r>
          </w:p>
        </w:tc>
        <w:tc>
          <w:tcPr>
            <w:tcW w:w="1269" w:type="dxa"/>
            <w:vMerge/>
            <w:vAlign w:val="center"/>
          </w:tcPr>
          <w:p w14:paraId="4EDD009A" w14:textId="77777777" w:rsidR="00676047" w:rsidRPr="00092862" w:rsidRDefault="00676047" w:rsidP="00676047">
            <w:pPr>
              <w:adjustRightInd w:val="0"/>
              <w:snapToGrid w:val="0"/>
              <w:jc w:val="center"/>
              <w:rPr>
                <w:rFonts w:ascii="Times New Roman" w:eastAsia="宋体" w:hAnsi="Times New Roman" w:cs="Times New Roman"/>
                <w:color w:val="000000" w:themeColor="text1"/>
                <w:szCs w:val="21"/>
              </w:rPr>
            </w:pPr>
          </w:p>
        </w:tc>
      </w:tr>
    </w:tbl>
    <w:p w14:paraId="7A9BA251" w14:textId="20E17F2D" w:rsidR="00676047" w:rsidRPr="00092862" w:rsidRDefault="00676047" w:rsidP="00676047">
      <w:pPr>
        <w:adjustRightInd w:val="0"/>
        <w:snapToGrid w:val="0"/>
        <w:spacing w:line="360" w:lineRule="auto"/>
        <w:jc w:val="center"/>
        <w:rPr>
          <w:rFonts w:ascii="Times New Roman" w:eastAsia="黑体" w:hAnsi="Times New Roman" w:cs="Times New Roman"/>
          <w:color w:val="000000" w:themeColor="text1"/>
          <w:szCs w:val="21"/>
        </w:rPr>
      </w:pPr>
    </w:p>
    <w:p w14:paraId="7198CC87" w14:textId="4404F0D0" w:rsidR="000C55CC" w:rsidRPr="00092862" w:rsidRDefault="00704F23" w:rsidP="000C55CC">
      <w:pPr>
        <w:pStyle w:val="3"/>
        <w:adjustRightInd w:val="0"/>
        <w:snapToGrid w:val="0"/>
        <w:spacing w:beforeLines="50" w:before="120" w:after="0" w:line="360" w:lineRule="auto"/>
        <w:ind w:firstLineChars="200" w:firstLine="480"/>
        <w:rPr>
          <w:rFonts w:ascii="Times New Roman" w:eastAsia="黑体" w:hAnsi="Times New Roman"/>
          <w:b w:val="0"/>
          <w:color w:val="000000" w:themeColor="text1"/>
          <w:sz w:val="24"/>
          <w:szCs w:val="24"/>
          <w:lang w:eastAsia="zh-CN"/>
        </w:rPr>
      </w:pPr>
      <w:bookmarkStart w:id="428" w:name="_Toc120173248"/>
      <w:r w:rsidRPr="00092862">
        <w:rPr>
          <w:rFonts w:ascii="Times New Roman" w:eastAsia="黑体" w:hAnsi="Times New Roman"/>
          <w:b w:val="0"/>
          <w:color w:val="000000" w:themeColor="text1"/>
          <w:sz w:val="24"/>
          <w:szCs w:val="24"/>
          <w:lang w:eastAsia="zh-CN"/>
        </w:rPr>
        <w:t>10</w:t>
      </w:r>
      <w:r w:rsidR="000C55CC" w:rsidRPr="00092862">
        <w:rPr>
          <w:rFonts w:ascii="Times New Roman" w:eastAsia="黑体" w:hAnsi="Times New Roman"/>
          <w:b w:val="0"/>
          <w:color w:val="000000" w:themeColor="text1"/>
          <w:sz w:val="24"/>
          <w:szCs w:val="24"/>
          <w:lang w:eastAsia="zh-CN"/>
        </w:rPr>
        <w:t>.3.</w:t>
      </w:r>
      <w:r w:rsidR="001E4151" w:rsidRPr="00092862">
        <w:rPr>
          <w:rFonts w:ascii="Times New Roman" w:eastAsia="黑体" w:hAnsi="Times New Roman"/>
          <w:b w:val="0"/>
          <w:color w:val="000000" w:themeColor="text1"/>
          <w:sz w:val="24"/>
          <w:szCs w:val="24"/>
          <w:lang w:eastAsia="zh-CN"/>
        </w:rPr>
        <w:t>2</w:t>
      </w:r>
      <w:r w:rsidR="000C55CC" w:rsidRPr="00092862">
        <w:rPr>
          <w:rFonts w:ascii="Times New Roman" w:eastAsia="黑体" w:hAnsi="Times New Roman"/>
          <w:b w:val="0"/>
          <w:color w:val="000000" w:themeColor="text1"/>
          <w:sz w:val="24"/>
          <w:szCs w:val="24"/>
          <w:lang w:eastAsia="zh-CN"/>
        </w:rPr>
        <w:t>应急监测</w:t>
      </w:r>
      <w:bookmarkEnd w:id="428"/>
    </w:p>
    <w:p w14:paraId="0DEB50BB" w14:textId="329CED4A" w:rsidR="000C55CC" w:rsidRPr="00092862" w:rsidRDefault="000C55CC" w:rsidP="000C55C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本项目主要存在</w:t>
      </w:r>
      <w:r w:rsidR="00F30AFD" w:rsidRPr="00092862">
        <w:rPr>
          <w:rFonts w:ascii="Times New Roman" w:eastAsia="宋体" w:hAnsi="Times New Roman" w:cs="Times New Roman"/>
          <w:bCs/>
          <w:color w:val="000000" w:themeColor="text1"/>
          <w:sz w:val="24"/>
          <w:szCs w:val="24"/>
        </w:rPr>
        <w:t>集气站</w:t>
      </w:r>
      <w:r w:rsidR="00D10F07" w:rsidRPr="00092862">
        <w:rPr>
          <w:rFonts w:ascii="Times New Roman" w:eastAsia="宋体" w:hAnsi="Times New Roman" w:cs="Times New Roman"/>
          <w:bCs/>
          <w:color w:val="000000" w:themeColor="text1"/>
          <w:sz w:val="24"/>
          <w:szCs w:val="24"/>
        </w:rPr>
        <w:t>场</w:t>
      </w:r>
      <w:r w:rsidRPr="00092862">
        <w:rPr>
          <w:rFonts w:ascii="Times New Roman" w:eastAsia="宋体" w:hAnsi="Times New Roman" w:cs="Times New Roman"/>
          <w:bCs/>
          <w:color w:val="000000" w:themeColor="text1"/>
          <w:sz w:val="24"/>
          <w:szCs w:val="24"/>
        </w:rPr>
        <w:t>天然气泄漏（天然气泄漏或火灾、爆炸或重大环境污染）、污水泄漏、油类物质泄漏等事故。因此，在发生事故时应当进行应急监测。</w:t>
      </w:r>
    </w:p>
    <w:p w14:paraId="1784C8D0" w14:textId="77777777" w:rsidR="000C55CC" w:rsidRPr="00092862" w:rsidRDefault="000C55CC" w:rsidP="000C55CC">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应急监测包括污染纠纷的监测和污染事故的应急监测等。工程施工单位未落实环境保护措施发生污染事故或公众举报与投诉，以及风险事故发生时，环</w:t>
      </w:r>
      <w:r w:rsidRPr="00092862">
        <w:rPr>
          <w:rFonts w:ascii="Times New Roman" w:eastAsia="宋体" w:hAnsi="Times New Roman" w:cs="Times New Roman"/>
          <w:bCs/>
          <w:color w:val="000000" w:themeColor="text1"/>
          <w:sz w:val="24"/>
          <w:szCs w:val="24"/>
        </w:rPr>
        <w:lastRenderedPageBreak/>
        <w:t>境监测部门应立刻进行现场监测，并通知当地环保部门赴事故现场进行调查，做到及时提供事故监测分析报告，以便及时做出整改并采取补救措施，使事故造成的不良环境影响降至最低。</w:t>
      </w:r>
    </w:p>
    <w:p w14:paraId="5C1893D9" w14:textId="77777777" w:rsidR="007856EF" w:rsidRPr="00092862" w:rsidRDefault="000C55CC" w:rsidP="000C55CC">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bCs/>
          <w:color w:val="000000" w:themeColor="text1"/>
          <w:sz w:val="24"/>
          <w:szCs w:val="24"/>
        </w:rPr>
        <w:t>对事故监测可根据事故性质、事故影响大小等具体情况监测气、土壤、水等，并以监测报告的形式上报上级部门。</w:t>
      </w:r>
    </w:p>
    <w:p w14:paraId="35ECE631" w14:textId="229062E5" w:rsidR="005C7985" w:rsidRPr="00092862" w:rsidRDefault="00704F23" w:rsidP="005C7985">
      <w:pPr>
        <w:pStyle w:val="2"/>
        <w:ind w:firstLine="480"/>
        <w:jc w:val="both"/>
        <w:rPr>
          <w:color w:val="000000" w:themeColor="text1"/>
          <w:szCs w:val="24"/>
          <w:lang w:eastAsia="zh-CN"/>
        </w:rPr>
      </w:pPr>
      <w:bookmarkStart w:id="429" w:name="8.2.2监测实施单位"/>
      <w:bookmarkStart w:id="430" w:name="_bookmark41"/>
      <w:bookmarkStart w:id="431" w:name="8.3排污口规范化管理"/>
      <w:bookmarkStart w:id="432" w:name="_Toc123682568"/>
      <w:bookmarkEnd w:id="429"/>
      <w:bookmarkEnd w:id="430"/>
      <w:bookmarkEnd w:id="431"/>
      <w:r w:rsidRPr="00092862">
        <w:rPr>
          <w:color w:val="000000" w:themeColor="text1"/>
          <w:szCs w:val="24"/>
          <w:lang w:eastAsia="zh-CN"/>
        </w:rPr>
        <w:t>10</w:t>
      </w:r>
      <w:r w:rsidR="005C7985" w:rsidRPr="00092862">
        <w:rPr>
          <w:color w:val="000000" w:themeColor="text1"/>
          <w:szCs w:val="24"/>
          <w:lang w:eastAsia="zh-CN"/>
        </w:rPr>
        <w:t>.4</w:t>
      </w:r>
      <w:r w:rsidR="005C7985" w:rsidRPr="00092862">
        <w:rPr>
          <w:color w:val="000000" w:themeColor="text1"/>
          <w:szCs w:val="24"/>
          <w:lang w:eastAsia="zh-CN"/>
        </w:rPr>
        <w:t>排污许可申请</w:t>
      </w:r>
      <w:bookmarkEnd w:id="432"/>
    </w:p>
    <w:p w14:paraId="5C47B107" w14:textId="5D55F7AA" w:rsidR="005C7985" w:rsidRPr="00092862" w:rsidRDefault="005C7985" w:rsidP="005C7985">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本项目为天然气</w:t>
      </w:r>
      <w:r w:rsidR="00625D3A" w:rsidRPr="00092862">
        <w:rPr>
          <w:rFonts w:ascii="Times New Roman" w:hAnsi="Times New Roman"/>
          <w:bCs/>
          <w:color w:val="000000" w:themeColor="text1"/>
          <w:kern w:val="2"/>
          <w:lang w:eastAsia="zh-CN"/>
        </w:rPr>
        <w:t>试采</w:t>
      </w:r>
      <w:r w:rsidRPr="00092862">
        <w:rPr>
          <w:rFonts w:ascii="Times New Roman" w:hAnsi="Times New Roman"/>
          <w:bCs/>
          <w:color w:val="000000" w:themeColor="text1"/>
          <w:kern w:val="2"/>
          <w:lang w:eastAsia="zh-CN"/>
        </w:rPr>
        <w:t>项目，根据《固定污染源排污许可分类管理名录》（</w:t>
      </w:r>
      <w:r w:rsidRPr="00092862">
        <w:rPr>
          <w:rFonts w:ascii="Times New Roman" w:hAnsi="Times New Roman"/>
          <w:bCs/>
          <w:color w:val="000000" w:themeColor="text1"/>
          <w:kern w:val="2"/>
          <w:lang w:eastAsia="zh-CN"/>
        </w:rPr>
        <w:t>2019</w:t>
      </w:r>
      <w:r w:rsidRPr="00092862">
        <w:rPr>
          <w:rFonts w:ascii="Times New Roman" w:hAnsi="Times New Roman"/>
          <w:bCs/>
          <w:color w:val="000000" w:themeColor="text1"/>
          <w:kern w:val="2"/>
          <w:lang w:eastAsia="zh-CN"/>
        </w:rPr>
        <w:t>年版）可知，本项目为登记管理的行业，因此不需申请排污许可证，只需登记备案。</w:t>
      </w:r>
    </w:p>
    <w:p w14:paraId="455F4178" w14:textId="77B1ECE0" w:rsidR="00DC446C" w:rsidRPr="00092862" w:rsidRDefault="00704F23" w:rsidP="003D2EEB">
      <w:pPr>
        <w:pStyle w:val="2"/>
        <w:ind w:firstLine="480"/>
        <w:rPr>
          <w:color w:val="000000" w:themeColor="text1"/>
          <w:szCs w:val="24"/>
          <w:lang w:eastAsia="zh-CN"/>
        </w:rPr>
      </w:pPr>
      <w:bookmarkStart w:id="433" w:name="8.5环保设施竣工验收"/>
      <w:bookmarkStart w:id="434" w:name="_bookmark43"/>
      <w:bookmarkStart w:id="435" w:name="8.4环境监理"/>
      <w:bookmarkStart w:id="436" w:name="_Toc123682569"/>
      <w:bookmarkEnd w:id="433"/>
      <w:bookmarkEnd w:id="434"/>
      <w:bookmarkEnd w:id="435"/>
      <w:r w:rsidRPr="00092862">
        <w:rPr>
          <w:color w:val="000000" w:themeColor="text1"/>
          <w:szCs w:val="24"/>
          <w:lang w:eastAsia="zh-CN"/>
        </w:rPr>
        <w:t>10</w:t>
      </w:r>
      <w:r w:rsidR="003B1968" w:rsidRPr="00092862">
        <w:rPr>
          <w:color w:val="000000" w:themeColor="text1"/>
          <w:szCs w:val="24"/>
          <w:lang w:eastAsia="zh-CN"/>
        </w:rPr>
        <w:t>.5</w:t>
      </w:r>
      <w:r w:rsidR="003B1968" w:rsidRPr="00092862">
        <w:rPr>
          <w:color w:val="000000" w:themeColor="text1"/>
          <w:szCs w:val="24"/>
          <w:lang w:eastAsia="zh-CN"/>
        </w:rPr>
        <w:t>环保设施竣工验收</w:t>
      </w:r>
      <w:bookmarkEnd w:id="436"/>
    </w:p>
    <w:p w14:paraId="725F6FF5" w14:textId="77777777" w:rsidR="00577FAB" w:rsidRPr="00092862" w:rsidRDefault="003B1968" w:rsidP="003D2EEB">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为加强建设项目竣工环境保护验收管理，监督落实环境保护设施与建设项目主体工程同时设计、同时投产、同时使用，防治环境污染，根据《建设项目竣工环境保护验收暂行办法》（国环规环评</w:t>
      </w:r>
      <w:r w:rsidR="005C599D"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2017</w:t>
      </w:r>
      <w:r w:rsidR="005C599D"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号）等相关文件要求，建设单位应积极自主开展环境保护验收。</w:t>
      </w:r>
    </w:p>
    <w:p w14:paraId="52570243" w14:textId="43E46E40" w:rsidR="00DC446C" w:rsidRPr="00092862" w:rsidRDefault="003B1968"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10</w:t>
      </w:r>
      <w:r w:rsidRPr="00092862">
        <w:rPr>
          <w:rFonts w:ascii="Times New Roman" w:eastAsia="黑体" w:hAnsi="Times New Roman"/>
          <w:color w:val="000000" w:themeColor="text1"/>
          <w:sz w:val="21"/>
          <w:szCs w:val="21"/>
          <w:lang w:eastAsia="zh-CN"/>
        </w:rPr>
        <w:t xml:space="preserve">.5-1  </w:t>
      </w:r>
      <w:r w:rsidR="00ED4007" w:rsidRPr="00092862">
        <w:rPr>
          <w:rFonts w:ascii="Times New Roman" w:eastAsia="黑体" w:hAnsi="Times New Roman"/>
          <w:color w:val="000000" w:themeColor="text1"/>
          <w:sz w:val="21"/>
          <w:szCs w:val="21"/>
          <w:lang w:eastAsia="zh-CN"/>
        </w:rPr>
        <w:t>施工期竣工环保验收措施及要求一览表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553"/>
        <w:gridCol w:w="1264"/>
        <w:gridCol w:w="5555"/>
      </w:tblGrid>
      <w:tr w:rsidR="00697429" w:rsidRPr="00092862" w14:paraId="7C521A0E" w14:textId="77777777" w:rsidTr="00ED4007">
        <w:trPr>
          <w:jc w:val="center"/>
        </w:trPr>
        <w:tc>
          <w:tcPr>
            <w:tcW w:w="850" w:type="dxa"/>
            <w:vAlign w:val="center"/>
          </w:tcPr>
          <w:p w14:paraId="6EFEB2B5"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b/>
                <w:bCs/>
                <w:color w:val="000000" w:themeColor="text1"/>
                <w:szCs w:val="21"/>
              </w:rPr>
              <w:t>分项</w:t>
            </w:r>
          </w:p>
        </w:tc>
        <w:tc>
          <w:tcPr>
            <w:tcW w:w="1817" w:type="dxa"/>
            <w:gridSpan w:val="2"/>
            <w:vAlign w:val="center"/>
          </w:tcPr>
          <w:p w14:paraId="3C1AB8F3"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b/>
                <w:bCs/>
                <w:color w:val="000000" w:themeColor="text1"/>
                <w:szCs w:val="21"/>
              </w:rPr>
              <w:t>验收项目及位置</w:t>
            </w:r>
          </w:p>
        </w:tc>
        <w:tc>
          <w:tcPr>
            <w:tcW w:w="5555" w:type="dxa"/>
            <w:vAlign w:val="center"/>
          </w:tcPr>
          <w:p w14:paraId="68360B08"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b/>
                <w:bCs/>
                <w:color w:val="000000" w:themeColor="text1"/>
                <w:szCs w:val="21"/>
              </w:rPr>
              <w:t>验收指标及要求</w:t>
            </w:r>
          </w:p>
        </w:tc>
      </w:tr>
      <w:tr w:rsidR="00697429" w:rsidRPr="00092862" w14:paraId="41B3B7DF" w14:textId="77777777" w:rsidTr="00ED4007">
        <w:trPr>
          <w:jc w:val="center"/>
        </w:trPr>
        <w:tc>
          <w:tcPr>
            <w:tcW w:w="850" w:type="dxa"/>
            <w:vMerge w:val="restart"/>
            <w:vAlign w:val="center"/>
          </w:tcPr>
          <w:p w14:paraId="74BE775B"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环境</w:t>
            </w:r>
            <w:r w:rsidRPr="00092862">
              <w:rPr>
                <w:rFonts w:ascii="Times New Roman" w:hAnsi="Times New Roman"/>
                <w:color w:val="000000" w:themeColor="text1"/>
                <w:spacing w:val="-103"/>
                <w:szCs w:val="21"/>
              </w:rPr>
              <w:t xml:space="preserve"> </w:t>
            </w:r>
            <w:r w:rsidRPr="00092862">
              <w:rPr>
                <w:rFonts w:ascii="Times New Roman" w:hAnsi="Times New Roman"/>
                <w:color w:val="000000" w:themeColor="text1"/>
                <w:szCs w:val="21"/>
              </w:rPr>
              <w:t>管理</w:t>
            </w:r>
          </w:p>
        </w:tc>
        <w:tc>
          <w:tcPr>
            <w:tcW w:w="1817" w:type="dxa"/>
            <w:gridSpan w:val="2"/>
            <w:vAlign w:val="center"/>
          </w:tcPr>
          <w:p w14:paraId="49F5CA08"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环境管理制度</w:t>
            </w:r>
          </w:p>
        </w:tc>
        <w:tc>
          <w:tcPr>
            <w:tcW w:w="5555" w:type="dxa"/>
            <w:vAlign w:val="center"/>
          </w:tcPr>
          <w:p w14:paraId="75546500" w14:textId="5C2A1809"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8"/>
                <w:szCs w:val="21"/>
                <w:lang w:eastAsia="zh-CN"/>
              </w:rPr>
              <w:t>具有环保机构，环保资料和档案齐全。建立各类废水、岩屑、</w:t>
            </w:r>
            <w:r w:rsidRPr="00092862">
              <w:rPr>
                <w:rFonts w:ascii="Times New Roman" w:hAnsi="Times New Roman"/>
                <w:color w:val="000000" w:themeColor="text1"/>
                <w:spacing w:val="-58"/>
                <w:szCs w:val="21"/>
                <w:lang w:eastAsia="zh-CN"/>
              </w:rPr>
              <w:t xml:space="preserve"> </w:t>
            </w:r>
            <w:r w:rsidRPr="00092862">
              <w:rPr>
                <w:rFonts w:ascii="Times New Roman" w:hAnsi="Times New Roman"/>
                <w:color w:val="000000" w:themeColor="text1"/>
                <w:szCs w:val="21"/>
                <w:lang w:eastAsia="zh-CN"/>
              </w:rPr>
              <w:t>泥浆</w:t>
            </w:r>
            <w:r w:rsidR="00397A46" w:rsidRPr="00092862">
              <w:rPr>
                <w:rFonts w:ascii="Times New Roman" w:hAnsi="Times New Roman"/>
                <w:color w:val="000000" w:themeColor="text1"/>
                <w:szCs w:val="21"/>
                <w:lang w:eastAsia="zh-CN"/>
              </w:rPr>
              <w:t>等</w:t>
            </w:r>
            <w:r w:rsidRPr="00092862">
              <w:rPr>
                <w:rFonts w:ascii="Times New Roman" w:hAnsi="Times New Roman"/>
                <w:color w:val="000000" w:themeColor="text1"/>
                <w:szCs w:val="21"/>
                <w:lang w:eastAsia="zh-CN"/>
              </w:rPr>
              <w:t>转移联单制度，提供完整的交接清单资料备查</w:t>
            </w:r>
          </w:p>
        </w:tc>
      </w:tr>
      <w:tr w:rsidR="00697429" w:rsidRPr="00092862" w14:paraId="7EBEC5FD" w14:textId="77777777" w:rsidTr="00ED4007">
        <w:trPr>
          <w:jc w:val="center"/>
        </w:trPr>
        <w:tc>
          <w:tcPr>
            <w:tcW w:w="850" w:type="dxa"/>
            <w:vMerge/>
            <w:vAlign w:val="center"/>
          </w:tcPr>
          <w:p w14:paraId="26A1BE0E"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1817" w:type="dxa"/>
            <w:gridSpan w:val="2"/>
            <w:vAlign w:val="center"/>
          </w:tcPr>
          <w:p w14:paraId="2604E2F9"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环境风险管理</w:t>
            </w:r>
          </w:p>
        </w:tc>
        <w:tc>
          <w:tcPr>
            <w:tcW w:w="5555" w:type="dxa"/>
            <w:vAlign w:val="center"/>
          </w:tcPr>
          <w:p w14:paraId="248433AA" w14:textId="38A990F0"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3"/>
                <w:szCs w:val="21"/>
                <w:lang w:eastAsia="zh-CN"/>
              </w:rPr>
              <w:t>具备符合行业规范和环评要求的环境风险应急预案并定期</w:t>
            </w:r>
            <w:r w:rsidRPr="00092862">
              <w:rPr>
                <w:rFonts w:ascii="Times New Roman" w:hAnsi="Times New Roman"/>
                <w:color w:val="000000" w:themeColor="text1"/>
                <w:spacing w:val="-2"/>
                <w:szCs w:val="21"/>
                <w:lang w:eastAsia="zh-CN"/>
              </w:rPr>
              <w:t>培训、演练，建立与当地村、乡镇、县相关部门联动机制</w:t>
            </w:r>
          </w:p>
        </w:tc>
      </w:tr>
      <w:tr w:rsidR="00697429" w:rsidRPr="00092862" w14:paraId="754B8B78" w14:textId="77777777" w:rsidTr="00ED4007">
        <w:trPr>
          <w:jc w:val="center"/>
        </w:trPr>
        <w:tc>
          <w:tcPr>
            <w:tcW w:w="850" w:type="dxa"/>
            <w:vMerge w:val="restart"/>
            <w:vAlign w:val="center"/>
          </w:tcPr>
          <w:p w14:paraId="77BE74D1"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pacing w:val="2"/>
                <w:szCs w:val="21"/>
              </w:rPr>
              <w:t>污染防</w:t>
            </w:r>
            <w:r w:rsidRPr="00092862">
              <w:rPr>
                <w:rFonts w:ascii="Times New Roman" w:hAnsi="Times New Roman"/>
                <w:color w:val="000000" w:themeColor="text1"/>
                <w:szCs w:val="21"/>
              </w:rPr>
              <w:t>治措施</w:t>
            </w:r>
          </w:p>
        </w:tc>
        <w:tc>
          <w:tcPr>
            <w:tcW w:w="553" w:type="dxa"/>
            <w:vMerge w:val="restart"/>
            <w:vAlign w:val="center"/>
          </w:tcPr>
          <w:p w14:paraId="60946425"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废水</w:t>
            </w:r>
          </w:p>
        </w:tc>
        <w:tc>
          <w:tcPr>
            <w:tcW w:w="1264" w:type="dxa"/>
            <w:vAlign w:val="center"/>
          </w:tcPr>
          <w:p w14:paraId="37D2C0C6"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钻井废水、洗井废水、压裂返排液</w:t>
            </w:r>
          </w:p>
        </w:tc>
        <w:tc>
          <w:tcPr>
            <w:tcW w:w="5555" w:type="dxa"/>
            <w:vAlign w:val="center"/>
          </w:tcPr>
          <w:p w14:paraId="2B3A43E6" w14:textId="263775A9"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钻井废水、洗井废水、压裂返排液收集后及时拉运至有处理</w:t>
            </w:r>
            <w:r w:rsidRPr="00092862">
              <w:rPr>
                <w:rFonts w:ascii="Times New Roman" w:hAnsi="Times New Roman"/>
                <w:color w:val="000000" w:themeColor="text1"/>
                <w:szCs w:val="21"/>
                <w:lang w:eastAsia="zh-CN"/>
              </w:rPr>
              <w:t>能力和处理资质的单位进行处理</w:t>
            </w:r>
          </w:p>
        </w:tc>
      </w:tr>
      <w:tr w:rsidR="00697429" w:rsidRPr="00092862" w14:paraId="61CC8E83" w14:textId="77777777" w:rsidTr="00ED4007">
        <w:trPr>
          <w:jc w:val="center"/>
        </w:trPr>
        <w:tc>
          <w:tcPr>
            <w:tcW w:w="850" w:type="dxa"/>
            <w:vMerge/>
            <w:vAlign w:val="center"/>
          </w:tcPr>
          <w:p w14:paraId="6E326E48"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1FBDAB62"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4A647F61"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场地雨水</w:t>
            </w:r>
          </w:p>
        </w:tc>
        <w:tc>
          <w:tcPr>
            <w:tcW w:w="5555" w:type="dxa"/>
            <w:vAlign w:val="center"/>
          </w:tcPr>
          <w:p w14:paraId="0C778F99" w14:textId="393D5604"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井场清污分流，井场四周设置排水沟，并设置集污坑，雨水</w:t>
            </w:r>
            <w:r w:rsidRPr="00092862">
              <w:rPr>
                <w:rFonts w:ascii="Times New Roman" w:hAnsi="Times New Roman"/>
                <w:color w:val="000000" w:themeColor="text1"/>
                <w:spacing w:val="-2"/>
                <w:szCs w:val="21"/>
                <w:lang w:eastAsia="zh-CN"/>
              </w:rPr>
              <w:t>依靠井站设置的地面坡度，就地散排至排水沟，排出场外。</w:t>
            </w:r>
            <w:r w:rsidRPr="00092862">
              <w:rPr>
                <w:rFonts w:ascii="Times New Roman" w:hAnsi="Times New Roman"/>
                <w:color w:val="000000" w:themeColor="text1"/>
                <w:spacing w:val="-4"/>
                <w:szCs w:val="21"/>
                <w:lang w:eastAsia="zh-CN"/>
              </w:rPr>
              <w:t>若场内雨水被污染流入外环沟，则需封闭外环沟由作业队伍</w:t>
            </w:r>
            <w:r w:rsidRPr="00092862">
              <w:rPr>
                <w:rFonts w:ascii="Times New Roman" w:hAnsi="Times New Roman"/>
                <w:color w:val="000000" w:themeColor="text1"/>
                <w:szCs w:val="21"/>
                <w:lang w:eastAsia="zh-CN"/>
              </w:rPr>
              <w:t>从集水坑抽汲至废水收集罐或放喷池</w:t>
            </w:r>
          </w:p>
        </w:tc>
      </w:tr>
      <w:tr w:rsidR="00697429" w:rsidRPr="00092862" w14:paraId="16651DB5" w14:textId="77777777" w:rsidTr="00ED4007">
        <w:trPr>
          <w:jc w:val="center"/>
        </w:trPr>
        <w:tc>
          <w:tcPr>
            <w:tcW w:w="850" w:type="dxa"/>
            <w:vMerge/>
            <w:vAlign w:val="center"/>
          </w:tcPr>
          <w:p w14:paraId="7F841EB0"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0A9A43BF"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5B25A8F6"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生活污水</w:t>
            </w:r>
          </w:p>
        </w:tc>
        <w:tc>
          <w:tcPr>
            <w:tcW w:w="5555" w:type="dxa"/>
            <w:vAlign w:val="center"/>
          </w:tcPr>
          <w:p w14:paraId="4ECFD682" w14:textId="08D8B256" w:rsidR="00ED4007" w:rsidRPr="00092862" w:rsidRDefault="00271DF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经生态厕所收集后定期由密闭罐车拉运至周边生活污水处理厂处理</w:t>
            </w:r>
          </w:p>
        </w:tc>
      </w:tr>
      <w:tr w:rsidR="00697429" w:rsidRPr="00092862" w14:paraId="435C2CF9" w14:textId="77777777" w:rsidTr="00ED4007">
        <w:trPr>
          <w:jc w:val="center"/>
        </w:trPr>
        <w:tc>
          <w:tcPr>
            <w:tcW w:w="850" w:type="dxa"/>
            <w:vMerge/>
            <w:vAlign w:val="center"/>
          </w:tcPr>
          <w:p w14:paraId="4031727C"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1817" w:type="dxa"/>
            <w:gridSpan w:val="2"/>
            <w:vAlign w:val="center"/>
          </w:tcPr>
          <w:p w14:paraId="4401CEB2"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地下水</w:t>
            </w:r>
          </w:p>
        </w:tc>
        <w:tc>
          <w:tcPr>
            <w:tcW w:w="5555" w:type="dxa"/>
            <w:vAlign w:val="center"/>
          </w:tcPr>
          <w:p w14:paraId="14635FBA"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按要求分区防渗；按要求进行跟踪监测</w:t>
            </w:r>
          </w:p>
        </w:tc>
      </w:tr>
      <w:tr w:rsidR="00697429" w:rsidRPr="00092862" w14:paraId="6C31277C" w14:textId="77777777" w:rsidTr="00ED4007">
        <w:trPr>
          <w:jc w:val="center"/>
        </w:trPr>
        <w:tc>
          <w:tcPr>
            <w:tcW w:w="850" w:type="dxa"/>
            <w:vMerge/>
            <w:vAlign w:val="center"/>
          </w:tcPr>
          <w:p w14:paraId="42363475" w14:textId="77777777" w:rsidR="00ED4007" w:rsidRPr="00092862" w:rsidRDefault="00ED4007" w:rsidP="00ED4007">
            <w:pPr>
              <w:adjustRightInd w:val="0"/>
              <w:snapToGrid w:val="0"/>
              <w:jc w:val="center"/>
              <w:rPr>
                <w:rFonts w:ascii="Times New Roman" w:eastAsia="宋体" w:hAnsi="Times New Roman" w:cs="Times New Roman"/>
                <w:color w:val="000000" w:themeColor="text1"/>
                <w:lang w:eastAsia="zh-CN"/>
              </w:rPr>
            </w:pPr>
          </w:p>
        </w:tc>
        <w:tc>
          <w:tcPr>
            <w:tcW w:w="553" w:type="dxa"/>
            <w:vMerge w:val="restart"/>
            <w:vAlign w:val="center"/>
          </w:tcPr>
          <w:p w14:paraId="34874AD7"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废气</w:t>
            </w:r>
          </w:p>
        </w:tc>
        <w:tc>
          <w:tcPr>
            <w:tcW w:w="1264" w:type="dxa"/>
            <w:vAlign w:val="center"/>
          </w:tcPr>
          <w:p w14:paraId="454EE7E2"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施工扬尘</w:t>
            </w:r>
          </w:p>
        </w:tc>
        <w:tc>
          <w:tcPr>
            <w:tcW w:w="5555" w:type="dxa"/>
            <w:vAlign w:val="center"/>
          </w:tcPr>
          <w:p w14:paraId="7F229167" w14:textId="77777777" w:rsidR="00ED4007" w:rsidRPr="00092862" w:rsidRDefault="00ED4007" w:rsidP="00ED4007">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2"/>
                <w:szCs w:val="21"/>
                <w:lang w:eastAsia="zh-CN"/>
              </w:rPr>
              <w:t>施工场地围挡、洒水，运输车辆覆盖蓬布，施工营地内设</w:t>
            </w:r>
            <w:r w:rsidRPr="00092862">
              <w:rPr>
                <w:rFonts w:ascii="Times New Roman" w:hAnsi="Times New Roman"/>
                <w:color w:val="000000" w:themeColor="text1"/>
                <w:szCs w:val="21"/>
                <w:lang w:eastAsia="zh-CN"/>
              </w:rPr>
              <w:t>1</w:t>
            </w:r>
            <w:r w:rsidRPr="00092862">
              <w:rPr>
                <w:rFonts w:ascii="Times New Roman" w:hAnsi="Times New Roman"/>
                <w:color w:val="000000" w:themeColor="text1"/>
                <w:szCs w:val="21"/>
                <w:lang w:eastAsia="zh-CN"/>
              </w:rPr>
              <w:t>套车辆冲洗装置</w:t>
            </w:r>
          </w:p>
        </w:tc>
      </w:tr>
      <w:tr w:rsidR="00697429" w:rsidRPr="00092862" w14:paraId="70282D94" w14:textId="77777777" w:rsidTr="00ED4007">
        <w:trPr>
          <w:jc w:val="center"/>
        </w:trPr>
        <w:tc>
          <w:tcPr>
            <w:tcW w:w="850" w:type="dxa"/>
            <w:vMerge/>
            <w:vAlign w:val="center"/>
          </w:tcPr>
          <w:p w14:paraId="34C49EAF"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760862EF"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p>
        </w:tc>
        <w:tc>
          <w:tcPr>
            <w:tcW w:w="1264" w:type="dxa"/>
            <w:vAlign w:val="center"/>
          </w:tcPr>
          <w:p w14:paraId="3AC84FFA" w14:textId="77777777" w:rsidR="00577FAB" w:rsidRPr="00092862" w:rsidRDefault="00577FAB" w:rsidP="00577FAB">
            <w:pPr>
              <w:snapToGrid w:val="0"/>
              <w:jc w:val="center"/>
              <w:rPr>
                <w:rFonts w:ascii="Times New Roman" w:eastAsia="宋体" w:hAnsi="Times New Roman" w:cs="Times New Roman"/>
                <w:color w:val="000000" w:themeColor="text1"/>
                <w:szCs w:val="21"/>
                <w:lang w:eastAsia="zh-CN"/>
              </w:rPr>
            </w:pPr>
            <w:r w:rsidRPr="00092862">
              <w:rPr>
                <w:rFonts w:ascii="Times New Roman" w:eastAsia="宋体" w:hAnsi="Times New Roman" w:cs="Times New Roman"/>
                <w:color w:val="000000" w:themeColor="text1"/>
                <w:szCs w:val="21"/>
                <w:lang w:eastAsia="zh-CN"/>
              </w:rPr>
              <w:t>备用柴油发电机尾气</w:t>
            </w:r>
          </w:p>
        </w:tc>
        <w:tc>
          <w:tcPr>
            <w:tcW w:w="5555" w:type="dxa"/>
            <w:vAlign w:val="center"/>
          </w:tcPr>
          <w:p w14:paraId="31B10C0D" w14:textId="77777777" w:rsidR="00577FAB" w:rsidRPr="00092862" w:rsidRDefault="00577FAB" w:rsidP="00577FAB">
            <w:pPr>
              <w:pStyle w:val="TableParagraph"/>
              <w:adjustRightInd w:val="0"/>
              <w:snapToGrid w:val="0"/>
              <w:jc w:val="center"/>
              <w:rPr>
                <w:rFonts w:ascii="Times New Roman" w:hAnsi="Times New Roman"/>
                <w:color w:val="000000" w:themeColor="text1"/>
                <w:spacing w:val="-2"/>
                <w:szCs w:val="21"/>
                <w:lang w:eastAsia="zh-CN"/>
              </w:rPr>
            </w:pPr>
            <w:r w:rsidRPr="00092862">
              <w:rPr>
                <w:rFonts w:ascii="Times New Roman" w:hAnsi="Times New Roman"/>
                <w:color w:val="000000" w:themeColor="text1"/>
                <w:szCs w:val="21"/>
                <w:lang w:eastAsia="zh-CN"/>
              </w:rPr>
              <w:t>仅在网电无法使用时使用，自带消烟除尘装置处理后</w:t>
            </w:r>
            <w:r w:rsidRPr="00092862">
              <w:rPr>
                <w:rFonts w:ascii="Times New Roman" w:hAnsi="Times New Roman"/>
                <w:color w:val="000000" w:themeColor="text1"/>
                <w:szCs w:val="21"/>
                <w:lang w:eastAsia="zh-CN"/>
              </w:rPr>
              <w:t>6m</w:t>
            </w:r>
            <w:r w:rsidRPr="00092862">
              <w:rPr>
                <w:rFonts w:ascii="Times New Roman" w:hAnsi="Times New Roman"/>
                <w:color w:val="000000" w:themeColor="text1"/>
                <w:szCs w:val="21"/>
                <w:lang w:eastAsia="zh-CN"/>
              </w:rPr>
              <w:t>高排气筒排放</w:t>
            </w:r>
          </w:p>
        </w:tc>
      </w:tr>
      <w:tr w:rsidR="00697429" w:rsidRPr="00092862" w14:paraId="24501204" w14:textId="77777777" w:rsidTr="00ED4007">
        <w:trPr>
          <w:jc w:val="center"/>
        </w:trPr>
        <w:tc>
          <w:tcPr>
            <w:tcW w:w="850" w:type="dxa"/>
            <w:vMerge/>
            <w:vAlign w:val="center"/>
          </w:tcPr>
          <w:p w14:paraId="5095FFE5"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2586DFDE"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4246FBCC"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钻井废气、测试</w:t>
            </w:r>
          </w:p>
        </w:tc>
        <w:tc>
          <w:tcPr>
            <w:tcW w:w="5555" w:type="dxa"/>
            <w:vAlign w:val="center"/>
          </w:tcPr>
          <w:p w14:paraId="3836AB22" w14:textId="55E8EABC"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采用地面灼烧处理，建设放喷设施（套）、放喷池等，无固定、长期污染源，通过区域环境质量监测确保区域环境功能</w:t>
            </w:r>
            <w:r w:rsidRPr="00092862">
              <w:rPr>
                <w:rFonts w:ascii="Times New Roman" w:hAnsi="Times New Roman"/>
                <w:color w:val="000000" w:themeColor="text1"/>
                <w:szCs w:val="21"/>
                <w:lang w:eastAsia="zh-CN"/>
              </w:rPr>
              <w:t>未发生改变</w:t>
            </w:r>
          </w:p>
        </w:tc>
      </w:tr>
      <w:tr w:rsidR="00697429" w:rsidRPr="00092862" w14:paraId="04D19B37" w14:textId="77777777" w:rsidTr="00ED4007">
        <w:trPr>
          <w:jc w:val="center"/>
        </w:trPr>
        <w:tc>
          <w:tcPr>
            <w:tcW w:w="850" w:type="dxa"/>
            <w:vMerge/>
            <w:vAlign w:val="center"/>
          </w:tcPr>
          <w:p w14:paraId="2ECFF50D"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restart"/>
            <w:vAlign w:val="center"/>
          </w:tcPr>
          <w:p w14:paraId="7AF8C624"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固废</w:t>
            </w:r>
          </w:p>
        </w:tc>
        <w:tc>
          <w:tcPr>
            <w:tcW w:w="1264" w:type="dxa"/>
            <w:vAlign w:val="center"/>
          </w:tcPr>
          <w:p w14:paraId="34D64BCA"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水基钻井固废</w:t>
            </w:r>
          </w:p>
        </w:tc>
        <w:tc>
          <w:tcPr>
            <w:tcW w:w="5555" w:type="dxa"/>
            <w:vAlign w:val="center"/>
          </w:tcPr>
          <w:p w14:paraId="1C264FD7" w14:textId="7D3A25DF"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3"/>
                <w:szCs w:val="21"/>
                <w:lang w:eastAsia="zh-CN"/>
              </w:rPr>
              <w:t>经泥浆不落地工艺进行固液分离后</w:t>
            </w:r>
            <w:r w:rsidR="00D074AC" w:rsidRPr="00092862">
              <w:rPr>
                <w:rFonts w:ascii="Times New Roman" w:hAnsi="Times New Roman"/>
                <w:color w:val="000000" w:themeColor="text1"/>
                <w:spacing w:val="3"/>
                <w:szCs w:val="21"/>
                <w:lang w:eastAsia="zh-CN"/>
              </w:rPr>
              <w:t>定期用密闭罐车</w:t>
            </w:r>
            <w:r w:rsidR="000408D0" w:rsidRPr="00092862">
              <w:rPr>
                <w:rFonts w:ascii="Times New Roman" w:hAnsi="Times New Roman"/>
                <w:color w:val="000000" w:themeColor="text1"/>
                <w:spacing w:val="3"/>
                <w:szCs w:val="21"/>
                <w:lang w:eastAsia="zh-CN"/>
              </w:rPr>
              <w:t>及时转运至达州地区环保手续齐全、环保设施稳定运行固废烧结厂进行烧结后综合利用</w:t>
            </w:r>
          </w:p>
        </w:tc>
      </w:tr>
      <w:tr w:rsidR="00697429" w:rsidRPr="00092862" w14:paraId="05DC8991" w14:textId="77777777" w:rsidTr="00ED4007">
        <w:trPr>
          <w:jc w:val="center"/>
        </w:trPr>
        <w:tc>
          <w:tcPr>
            <w:tcW w:w="850" w:type="dxa"/>
            <w:vMerge/>
            <w:vAlign w:val="center"/>
          </w:tcPr>
          <w:p w14:paraId="71E7CDD8"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64D0C516"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3825D34E"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生活垃圾</w:t>
            </w:r>
          </w:p>
        </w:tc>
        <w:tc>
          <w:tcPr>
            <w:tcW w:w="5555" w:type="dxa"/>
            <w:vAlign w:val="center"/>
          </w:tcPr>
          <w:p w14:paraId="1E2829E9" w14:textId="5C2A631F"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按当地环卫部门要求妥善处理，现场无遗留</w:t>
            </w:r>
          </w:p>
        </w:tc>
      </w:tr>
      <w:tr w:rsidR="00697429" w:rsidRPr="00092862" w14:paraId="797F008C" w14:textId="77777777" w:rsidTr="00ED4007">
        <w:trPr>
          <w:jc w:val="center"/>
        </w:trPr>
        <w:tc>
          <w:tcPr>
            <w:tcW w:w="850" w:type="dxa"/>
            <w:vMerge/>
            <w:vAlign w:val="center"/>
          </w:tcPr>
          <w:p w14:paraId="789642CF"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378DF5D0"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5C1BF4B8"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废包装材料</w:t>
            </w:r>
          </w:p>
        </w:tc>
        <w:tc>
          <w:tcPr>
            <w:tcW w:w="5555" w:type="dxa"/>
            <w:vAlign w:val="center"/>
          </w:tcPr>
          <w:p w14:paraId="37880D9D" w14:textId="091A9748"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回收利用或送当地废品回收站，现场无遗留</w:t>
            </w:r>
          </w:p>
        </w:tc>
      </w:tr>
      <w:tr w:rsidR="00697429" w:rsidRPr="00092862" w14:paraId="0E431315" w14:textId="77777777" w:rsidTr="00ED4007">
        <w:trPr>
          <w:jc w:val="center"/>
        </w:trPr>
        <w:tc>
          <w:tcPr>
            <w:tcW w:w="850" w:type="dxa"/>
            <w:vMerge/>
            <w:vAlign w:val="center"/>
          </w:tcPr>
          <w:p w14:paraId="1844E3C3"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25E26EB5"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7ABDD870"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rPr>
              <w:t>废油</w:t>
            </w:r>
            <w:r w:rsidRPr="00092862">
              <w:rPr>
                <w:rFonts w:ascii="Times New Roman" w:hAnsi="Times New Roman"/>
                <w:color w:val="000000" w:themeColor="text1"/>
                <w:szCs w:val="21"/>
                <w:lang w:eastAsia="zh-CN"/>
              </w:rPr>
              <w:t>等含油固废</w:t>
            </w:r>
          </w:p>
        </w:tc>
        <w:tc>
          <w:tcPr>
            <w:tcW w:w="5555" w:type="dxa"/>
            <w:vAlign w:val="center"/>
          </w:tcPr>
          <w:p w14:paraId="602533DA" w14:textId="6C9772C3"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收集并综合利用，若不能全部回用，剩余废油和废油桶、含油抹布手套一起交有</w:t>
            </w:r>
            <w:r w:rsidRPr="00092862">
              <w:rPr>
                <w:rFonts w:ascii="Times New Roman" w:hAnsi="Times New Roman"/>
                <w:color w:val="000000" w:themeColor="text1"/>
                <w:szCs w:val="21"/>
                <w:lang w:eastAsia="zh-CN"/>
              </w:rPr>
              <w:t>资质的单位进行处理，现场无遗留</w:t>
            </w:r>
          </w:p>
        </w:tc>
      </w:tr>
      <w:tr w:rsidR="00697429" w:rsidRPr="00092862" w14:paraId="5AEF468A" w14:textId="77777777" w:rsidTr="00ED4007">
        <w:trPr>
          <w:jc w:val="center"/>
        </w:trPr>
        <w:tc>
          <w:tcPr>
            <w:tcW w:w="850" w:type="dxa"/>
            <w:vMerge/>
            <w:vAlign w:val="center"/>
          </w:tcPr>
          <w:p w14:paraId="3E3FBAC9"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Merge/>
            <w:vAlign w:val="center"/>
          </w:tcPr>
          <w:p w14:paraId="2DED86AA"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1264" w:type="dxa"/>
            <w:vAlign w:val="center"/>
          </w:tcPr>
          <w:p w14:paraId="0C53F2D7"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施工废料</w:t>
            </w:r>
          </w:p>
        </w:tc>
        <w:tc>
          <w:tcPr>
            <w:tcW w:w="5555" w:type="dxa"/>
            <w:vAlign w:val="center"/>
          </w:tcPr>
          <w:p w14:paraId="0B97D5BC" w14:textId="5718C702"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可回收利用部分收集后回用，剩余不可回收部分依托当地环</w:t>
            </w:r>
            <w:r w:rsidRPr="00092862">
              <w:rPr>
                <w:rFonts w:ascii="Times New Roman" w:hAnsi="Times New Roman"/>
                <w:color w:val="000000" w:themeColor="text1"/>
                <w:szCs w:val="21"/>
                <w:lang w:eastAsia="zh-CN"/>
              </w:rPr>
              <w:t>卫部门有偿清运</w:t>
            </w:r>
          </w:p>
        </w:tc>
      </w:tr>
      <w:tr w:rsidR="00697429" w:rsidRPr="00092862" w14:paraId="53C2741B" w14:textId="77777777" w:rsidTr="00ED4007">
        <w:trPr>
          <w:jc w:val="center"/>
        </w:trPr>
        <w:tc>
          <w:tcPr>
            <w:tcW w:w="850" w:type="dxa"/>
            <w:vMerge/>
            <w:vAlign w:val="center"/>
          </w:tcPr>
          <w:p w14:paraId="287213A5" w14:textId="77777777" w:rsidR="00577FAB" w:rsidRPr="00092862" w:rsidRDefault="00577FAB" w:rsidP="00577FAB">
            <w:pPr>
              <w:adjustRightInd w:val="0"/>
              <w:snapToGrid w:val="0"/>
              <w:jc w:val="center"/>
              <w:rPr>
                <w:rFonts w:ascii="Times New Roman" w:eastAsia="宋体" w:hAnsi="Times New Roman" w:cs="Times New Roman"/>
                <w:color w:val="000000" w:themeColor="text1"/>
                <w:lang w:eastAsia="zh-CN"/>
              </w:rPr>
            </w:pPr>
          </w:p>
        </w:tc>
        <w:tc>
          <w:tcPr>
            <w:tcW w:w="553" w:type="dxa"/>
            <w:vAlign w:val="center"/>
          </w:tcPr>
          <w:p w14:paraId="3B686FEB"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rPr>
            </w:pPr>
            <w:r w:rsidRPr="00092862">
              <w:rPr>
                <w:rFonts w:ascii="Times New Roman" w:hAnsi="Times New Roman"/>
                <w:color w:val="000000" w:themeColor="text1"/>
                <w:szCs w:val="21"/>
              </w:rPr>
              <w:t>噪声</w:t>
            </w:r>
          </w:p>
        </w:tc>
        <w:tc>
          <w:tcPr>
            <w:tcW w:w="1264" w:type="dxa"/>
            <w:vAlign w:val="center"/>
          </w:tcPr>
          <w:p w14:paraId="309A4F15"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钻井、压裂及测试放喷噪声</w:t>
            </w:r>
          </w:p>
        </w:tc>
        <w:tc>
          <w:tcPr>
            <w:tcW w:w="5555" w:type="dxa"/>
            <w:vAlign w:val="center"/>
          </w:tcPr>
          <w:p w14:paraId="2AD8A1C3"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pacing w:val="-4"/>
                <w:szCs w:val="21"/>
                <w:lang w:eastAsia="zh-CN"/>
              </w:rPr>
              <w:t>备用发电机设置发电机房，采用特殊的减震，并安装吸声材料；为钻机提供动力的柴油机安装消声</w:t>
            </w:r>
            <w:r w:rsidRPr="00092862">
              <w:rPr>
                <w:rFonts w:ascii="Times New Roman" w:hAnsi="Times New Roman"/>
                <w:color w:val="000000" w:themeColor="text1"/>
                <w:spacing w:val="-2"/>
                <w:szCs w:val="21"/>
                <w:lang w:eastAsia="zh-CN"/>
              </w:rPr>
              <w:t>装置和设置减震基础；钻井设备、泥浆泵基础设置减震垫；</w:t>
            </w:r>
            <w:r w:rsidRPr="00092862">
              <w:rPr>
                <w:rFonts w:ascii="Times New Roman" w:hAnsi="Times New Roman"/>
                <w:color w:val="000000" w:themeColor="text1"/>
                <w:spacing w:val="-55"/>
                <w:szCs w:val="21"/>
                <w:lang w:eastAsia="zh-CN"/>
              </w:rPr>
              <w:t xml:space="preserve"> </w:t>
            </w:r>
            <w:r w:rsidRPr="00092862">
              <w:rPr>
                <w:rFonts w:ascii="Times New Roman" w:hAnsi="Times New Roman"/>
                <w:color w:val="000000" w:themeColor="text1"/>
                <w:spacing w:val="-4"/>
                <w:szCs w:val="21"/>
                <w:lang w:eastAsia="zh-CN"/>
              </w:rPr>
              <w:t>空压机和增压机安装在房间内，隔声并安装减震垫层等防治</w:t>
            </w:r>
            <w:r w:rsidRPr="00092862">
              <w:rPr>
                <w:rFonts w:ascii="Times New Roman" w:hAnsi="Times New Roman"/>
                <w:color w:val="000000" w:themeColor="text1"/>
                <w:szCs w:val="21"/>
                <w:lang w:eastAsia="zh-CN"/>
              </w:rPr>
              <w:t>措施，做好沟通协调工作，取得居民谅解，避免噪声扰民和环保投诉</w:t>
            </w:r>
          </w:p>
        </w:tc>
      </w:tr>
      <w:tr w:rsidR="00697429" w:rsidRPr="00092862" w14:paraId="5F8505F6" w14:textId="77777777" w:rsidTr="00577FAB">
        <w:trPr>
          <w:jc w:val="center"/>
        </w:trPr>
        <w:tc>
          <w:tcPr>
            <w:tcW w:w="850" w:type="dxa"/>
            <w:vMerge w:val="restart"/>
            <w:vAlign w:val="center"/>
          </w:tcPr>
          <w:p w14:paraId="65ED0779"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生态保护措施</w:t>
            </w:r>
          </w:p>
        </w:tc>
        <w:tc>
          <w:tcPr>
            <w:tcW w:w="1817" w:type="dxa"/>
            <w:gridSpan w:val="2"/>
            <w:vAlign w:val="center"/>
          </w:tcPr>
          <w:p w14:paraId="51449ABA"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表土堆场</w:t>
            </w:r>
          </w:p>
        </w:tc>
        <w:tc>
          <w:tcPr>
            <w:tcW w:w="5555" w:type="dxa"/>
            <w:vAlign w:val="center"/>
          </w:tcPr>
          <w:p w14:paraId="4FF0AF61" w14:textId="6094DE00" w:rsidR="00577FAB" w:rsidRPr="00092862" w:rsidRDefault="00397A46"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本项目</w:t>
            </w:r>
            <w:r w:rsidR="00CA526D" w:rsidRPr="00092862">
              <w:rPr>
                <w:rFonts w:ascii="Times New Roman" w:hAnsi="Times New Roman"/>
                <w:color w:val="000000" w:themeColor="text1"/>
                <w:szCs w:val="21"/>
                <w:lang w:eastAsia="zh-CN"/>
              </w:rPr>
              <w:t>不涉及表土剥离，不设置表土堆场</w:t>
            </w:r>
          </w:p>
        </w:tc>
      </w:tr>
      <w:tr w:rsidR="00676047" w:rsidRPr="00092862" w14:paraId="44959B41" w14:textId="77777777" w:rsidTr="00577FAB">
        <w:trPr>
          <w:jc w:val="center"/>
        </w:trPr>
        <w:tc>
          <w:tcPr>
            <w:tcW w:w="850" w:type="dxa"/>
            <w:vMerge/>
            <w:vAlign w:val="center"/>
          </w:tcPr>
          <w:p w14:paraId="0D429386"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p>
        </w:tc>
        <w:tc>
          <w:tcPr>
            <w:tcW w:w="1817" w:type="dxa"/>
            <w:gridSpan w:val="2"/>
            <w:vAlign w:val="center"/>
          </w:tcPr>
          <w:p w14:paraId="4E223766" w14:textId="77777777"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场地水土流失控制措施</w:t>
            </w:r>
          </w:p>
        </w:tc>
        <w:tc>
          <w:tcPr>
            <w:tcW w:w="5555" w:type="dxa"/>
            <w:vAlign w:val="center"/>
          </w:tcPr>
          <w:p w14:paraId="11B414FB" w14:textId="4A159E56" w:rsidR="00577FAB" w:rsidRPr="00092862" w:rsidRDefault="00577FAB" w:rsidP="00577FAB">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井场表面铺一层碎石有效地防止雨水冲刷、场地四周修建排</w:t>
            </w:r>
            <w:r w:rsidRPr="00092862">
              <w:rPr>
                <w:rFonts w:ascii="Times New Roman" w:hAnsi="Times New Roman"/>
                <w:color w:val="000000" w:themeColor="text1"/>
                <w:szCs w:val="21"/>
                <w:lang w:eastAsia="zh-CN"/>
              </w:rPr>
              <w:t xml:space="preserve"> </w:t>
            </w:r>
            <w:r w:rsidRPr="00092862">
              <w:rPr>
                <w:rFonts w:ascii="Times New Roman" w:hAnsi="Times New Roman"/>
                <w:color w:val="000000" w:themeColor="text1"/>
                <w:szCs w:val="21"/>
                <w:lang w:eastAsia="zh-CN"/>
              </w:rPr>
              <w:t>水沟</w:t>
            </w:r>
            <w:r w:rsidR="00E164F6" w:rsidRPr="00092862">
              <w:rPr>
                <w:rFonts w:ascii="Times New Roman" w:hAnsi="Times New Roman"/>
                <w:color w:val="000000" w:themeColor="text1"/>
                <w:szCs w:val="21"/>
                <w:lang w:eastAsia="zh-CN"/>
              </w:rPr>
              <w:t>（已硬化区域除外）</w:t>
            </w:r>
            <w:r w:rsidRPr="00092862">
              <w:rPr>
                <w:rFonts w:ascii="Times New Roman" w:hAnsi="Times New Roman"/>
                <w:color w:val="000000" w:themeColor="text1"/>
                <w:szCs w:val="21"/>
                <w:lang w:eastAsia="zh-CN"/>
              </w:rPr>
              <w:t>；道路沿线修建可靠的护坡、堡坎、排水沟等水保措施</w:t>
            </w:r>
          </w:p>
        </w:tc>
      </w:tr>
    </w:tbl>
    <w:p w14:paraId="4E6C2B39" w14:textId="77777777" w:rsidR="00697AAB" w:rsidRPr="00092862" w:rsidRDefault="00697AAB" w:rsidP="00AC7BA2">
      <w:pPr>
        <w:pStyle w:val="ac"/>
        <w:tabs>
          <w:tab w:val="left" w:pos="863"/>
        </w:tabs>
        <w:spacing w:before="0"/>
        <w:ind w:left="0"/>
        <w:jc w:val="center"/>
        <w:rPr>
          <w:rFonts w:ascii="Times New Roman" w:eastAsia="黑体" w:hAnsi="Times New Roman"/>
          <w:color w:val="000000" w:themeColor="text1"/>
          <w:sz w:val="21"/>
          <w:szCs w:val="21"/>
          <w:lang w:eastAsia="zh-CN"/>
        </w:rPr>
      </w:pPr>
    </w:p>
    <w:p w14:paraId="3A71DDB0" w14:textId="5C9BC360" w:rsidR="00ED4007" w:rsidRPr="00092862" w:rsidRDefault="00ED4007" w:rsidP="00AC7BA2">
      <w:pPr>
        <w:pStyle w:val="ac"/>
        <w:tabs>
          <w:tab w:val="left" w:pos="863"/>
        </w:tabs>
        <w:spacing w:before="0"/>
        <w:ind w:left="0"/>
        <w:jc w:val="center"/>
        <w:rPr>
          <w:rFonts w:ascii="Times New Roman" w:eastAsia="黑体" w:hAnsi="Times New Roman"/>
          <w:color w:val="000000" w:themeColor="text1"/>
          <w:sz w:val="21"/>
          <w:szCs w:val="21"/>
          <w:lang w:eastAsia="zh-CN"/>
        </w:rPr>
      </w:pPr>
      <w:r w:rsidRPr="00092862">
        <w:rPr>
          <w:rFonts w:ascii="Times New Roman" w:eastAsia="黑体" w:hAnsi="Times New Roman"/>
          <w:color w:val="000000" w:themeColor="text1"/>
          <w:sz w:val="21"/>
          <w:szCs w:val="21"/>
          <w:lang w:eastAsia="zh-CN"/>
        </w:rPr>
        <w:t>表</w:t>
      </w:r>
      <w:r w:rsidR="00704F23" w:rsidRPr="00092862">
        <w:rPr>
          <w:rFonts w:ascii="Times New Roman" w:eastAsia="黑体" w:hAnsi="Times New Roman"/>
          <w:color w:val="000000" w:themeColor="text1"/>
          <w:sz w:val="21"/>
          <w:szCs w:val="21"/>
          <w:lang w:eastAsia="zh-CN"/>
        </w:rPr>
        <w:t>10</w:t>
      </w:r>
      <w:r w:rsidRPr="00092862">
        <w:rPr>
          <w:rFonts w:ascii="Times New Roman" w:eastAsia="黑体" w:hAnsi="Times New Roman"/>
          <w:color w:val="000000" w:themeColor="text1"/>
          <w:sz w:val="21"/>
          <w:szCs w:val="21"/>
          <w:lang w:eastAsia="zh-CN"/>
        </w:rPr>
        <w:t xml:space="preserve">.5-2  </w:t>
      </w:r>
      <w:r w:rsidR="00E164F6" w:rsidRPr="00092862">
        <w:rPr>
          <w:rFonts w:ascii="Times New Roman" w:eastAsia="黑体" w:hAnsi="Times New Roman"/>
          <w:color w:val="000000" w:themeColor="text1"/>
          <w:sz w:val="21"/>
          <w:szCs w:val="21"/>
          <w:lang w:eastAsia="zh-CN"/>
        </w:rPr>
        <w:t>试采</w:t>
      </w:r>
      <w:r w:rsidRPr="00092862">
        <w:rPr>
          <w:rFonts w:ascii="Times New Roman" w:eastAsia="黑体" w:hAnsi="Times New Roman"/>
          <w:color w:val="000000" w:themeColor="text1"/>
          <w:sz w:val="21"/>
          <w:szCs w:val="21"/>
          <w:lang w:eastAsia="zh-CN"/>
        </w:rPr>
        <w:t>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
        <w:gridCol w:w="714"/>
        <w:gridCol w:w="1100"/>
        <w:gridCol w:w="5545"/>
      </w:tblGrid>
      <w:tr w:rsidR="00697429" w:rsidRPr="00092862" w14:paraId="0C07B13B" w14:textId="77777777" w:rsidTr="00A216BF">
        <w:trPr>
          <w:jc w:val="center"/>
        </w:trPr>
        <w:tc>
          <w:tcPr>
            <w:tcW w:w="863" w:type="dxa"/>
            <w:vAlign w:val="center"/>
          </w:tcPr>
          <w:p w14:paraId="3D5270F2" w14:textId="77777777" w:rsidR="00577FAB" w:rsidRPr="00092862" w:rsidRDefault="00577FAB" w:rsidP="00A216BF">
            <w:pPr>
              <w:pStyle w:val="TableParagraph"/>
              <w:adjustRightInd w:val="0"/>
              <w:snapToGrid w:val="0"/>
              <w:jc w:val="center"/>
              <w:rPr>
                <w:rFonts w:ascii="Times New Roman" w:hAnsi="Times New Roman"/>
                <w:b/>
                <w:bCs/>
                <w:color w:val="000000" w:themeColor="text1"/>
                <w:szCs w:val="21"/>
                <w:lang w:eastAsia="zh-CN"/>
              </w:rPr>
            </w:pPr>
            <w:r w:rsidRPr="00092862">
              <w:rPr>
                <w:rFonts w:ascii="Times New Roman" w:hAnsi="Times New Roman"/>
                <w:b/>
                <w:bCs/>
                <w:color w:val="000000" w:themeColor="text1"/>
                <w:szCs w:val="21"/>
                <w:lang w:eastAsia="zh-CN"/>
              </w:rPr>
              <w:t>分项</w:t>
            </w:r>
          </w:p>
        </w:tc>
        <w:tc>
          <w:tcPr>
            <w:tcW w:w="1814" w:type="dxa"/>
            <w:gridSpan w:val="2"/>
            <w:vAlign w:val="center"/>
          </w:tcPr>
          <w:p w14:paraId="1EC3BCBF" w14:textId="77777777" w:rsidR="00577FAB" w:rsidRPr="00092862" w:rsidRDefault="00577FAB" w:rsidP="00A216BF">
            <w:pPr>
              <w:pStyle w:val="TableParagraph"/>
              <w:adjustRightInd w:val="0"/>
              <w:snapToGrid w:val="0"/>
              <w:jc w:val="center"/>
              <w:rPr>
                <w:rFonts w:ascii="Times New Roman" w:hAnsi="Times New Roman"/>
                <w:b/>
                <w:bCs/>
                <w:color w:val="000000" w:themeColor="text1"/>
                <w:szCs w:val="21"/>
                <w:lang w:eastAsia="zh-CN"/>
              </w:rPr>
            </w:pPr>
            <w:r w:rsidRPr="00092862">
              <w:rPr>
                <w:rFonts w:ascii="Times New Roman" w:hAnsi="Times New Roman"/>
                <w:b/>
                <w:bCs/>
                <w:color w:val="000000" w:themeColor="text1"/>
                <w:szCs w:val="21"/>
                <w:lang w:eastAsia="zh-CN"/>
              </w:rPr>
              <w:t>验收项目及位置</w:t>
            </w:r>
          </w:p>
        </w:tc>
        <w:tc>
          <w:tcPr>
            <w:tcW w:w="5545" w:type="dxa"/>
            <w:vAlign w:val="center"/>
          </w:tcPr>
          <w:p w14:paraId="562CB424" w14:textId="77777777" w:rsidR="00577FAB" w:rsidRPr="00092862" w:rsidRDefault="00577FAB" w:rsidP="00A216BF">
            <w:pPr>
              <w:pStyle w:val="TableParagraph"/>
              <w:adjustRightInd w:val="0"/>
              <w:snapToGrid w:val="0"/>
              <w:jc w:val="center"/>
              <w:rPr>
                <w:rFonts w:ascii="Times New Roman" w:hAnsi="Times New Roman"/>
                <w:b/>
                <w:bCs/>
                <w:color w:val="000000" w:themeColor="text1"/>
                <w:szCs w:val="21"/>
                <w:lang w:eastAsia="zh-CN"/>
              </w:rPr>
            </w:pPr>
            <w:r w:rsidRPr="00092862">
              <w:rPr>
                <w:rFonts w:ascii="Times New Roman" w:hAnsi="Times New Roman"/>
                <w:b/>
                <w:bCs/>
                <w:color w:val="000000" w:themeColor="text1"/>
                <w:szCs w:val="21"/>
                <w:lang w:eastAsia="zh-CN"/>
              </w:rPr>
              <w:t>验收指标及要求</w:t>
            </w:r>
          </w:p>
        </w:tc>
      </w:tr>
      <w:tr w:rsidR="00697429" w:rsidRPr="00092862" w14:paraId="51FD8D08" w14:textId="77777777" w:rsidTr="00A216BF">
        <w:trPr>
          <w:jc w:val="center"/>
        </w:trPr>
        <w:tc>
          <w:tcPr>
            <w:tcW w:w="863" w:type="dxa"/>
            <w:vMerge w:val="restart"/>
            <w:vAlign w:val="center"/>
          </w:tcPr>
          <w:p w14:paraId="1E26EA58"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环境管理</w:t>
            </w:r>
          </w:p>
        </w:tc>
        <w:tc>
          <w:tcPr>
            <w:tcW w:w="1814" w:type="dxa"/>
            <w:gridSpan w:val="2"/>
            <w:vAlign w:val="center"/>
          </w:tcPr>
          <w:p w14:paraId="55F8F780"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环境管理制度</w:t>
            </w:r>
          </w:p>
        </w:tc>
        <w:tc>
          <w:tcPr>
            <w:tcW w:w="5545" w:type="dxa"/>
            <w:vAlign w:val="center"/>
          </w:tcPr>
          <w:p w14:paraId="4B3BD8EB"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具有环保机构，环保资料和档案齐全。</w:t>
            </w:r>
          </w:p>
        </w:tc>
      </w:tr>
      <w:tr w:rsidR="00697429" w:rsidRPr="00092862" w14:paraId="3650F59A" w14:textId="77777777" w:rsidTr="00A216BF">
        <w:trPr>
          <w:jc w:val="center"/>
        </w:trPr>
        <w:tc>
          <w:tcPr>
            <w:tcW w:w="863" w:type="dxa"/>
            <w:vMerge/>
            <w:vAlign w:val="center"/>
          </w:tcPr>
          <w:p w14:paraId="071847B2"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p>
        </w:tc>
        <w:tc>
          <w:tcPr>
            <w:tcW w:w="1814" w:type="dxa"/>
            <w:gridSpan w:val="2"/>
            <w:vAlign w:val="center"/>
          </w:tcPr>
          <w:p w14:paraId="49833EB2"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环境风险管理</w:t>
            </w:r>
          </w:p>
        </w:tc>
        <w:tc>
          <w:tcPr>
            <w:tcW w:w="5545" w:type="dxa"/>
            <w:vAlign w:val="center"/>
          </w:tcPr>
          <w:p w14:paraId="4B0913FF" w14:textId="756F51F9"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具备符合行业规范和环评要求的环境风险应急预案并定期培训、演练，建立与当地村、乡镇、县相关部门联动机制。</w:t>
            </w:r>
          </w:p>
        </w:tc>
      </w:tr>
      <w:tr w:rsidR="00697429" w:rsidRPr="00092862" w14:paraId="38FE3749" w14:textId="77777777" w:rsidTr="00A216BF">
        <w:trPr>
          <w:jc w:val="center"/>
        </w:trPr>
        <w:tc>
          <w:tcPr>
            <w:tcW w:w="863" w:type="dxa"/>
            <w:vMerge w:val="restart"/>
            <w:vAlign w:val="center"/>
          </w:tcPr>
          <w:p w14:paraId="5AEAF839"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污染防治措施</w:t>
            </w:r>
          </w:p>
        </w:tc>
        <w:tc>
          <w:tcPr>
            <w:tcW w:w="714" w:type="dxa"/>
            <w:vAlign w:val="center"/>
          </w:tcPr>
          <w:p w14:paraId="03419666"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废水</w:t>
            </w:r>
          </w:p>
        </w:tc>
        <w:tc>
          <w:tcPr>
            <w:tcW w:w="1100" w:type="dxa"/>
            <w:vAlign w:val="center"/>
          </w:tcPr>
          <w:p w14:paraId="06338BEB"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气田水</w:t>
            </w:r>
          </w:p>
        </w:tc>
        <w:tc>
          <w:tcPr>
            <w:tcW w:w="5545" w:type="dxa"/>
            <w:vAlign w:val="center"/>
          </w:tcPr>
          <w:p w14:paraId="028B6715" w14:textId="083352F5"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暂存</w:t>
            </w:r>
            <w:r w:rsidR="00E164F6" w:rsidRPr="00092862">
              <w:rPr>
                <w:rFonts w:ascii="Times New Roman" w:hAnsi="Times New Roman"/>
                <w:color w:val="000000" w:themeColor="text1"/>
                <w:szCs w:val="21"/>
                <w:lang w:eastAsia="zh-CN"/>
              </w:rPr>
              <w:t>于火炬分液管</w:t>
            </w:r>
            <w:r w:rsidRPr="00092862">
              <w:rPr>
                <w:rFonts w:ascii="Times New Roman" w:hAnsi="Times New Roman"/>
                <w:color w:val="000000" w:themeColor="text1"/>
                <w:szCs w:val="21"/>
                <w:lang w:eastAsia="zh-CN"/>
              </w:rPr>
              <w:t>后及时通过</w:t>
            </w:r>
            <w:r w:rsidR="004B382D" w:rsidRPr="00092862">
              <w:rPr>
                <w:rFonts w:ascii="Times New Roman" w:hAnsi="Times New Roman"/>
                <w:color w:val="000000" w:themeColor="text1"/>
                <w:szCs w:val="21"/>
                <w:lang w:eastAsia="zh-CN"/>
              </w:rPr>
              <w:t>密闭罐车拉运至</w:t>
            </w:r>
            <w:r w:rsidR="005D5A22" w:rsidRPr="00092862">
              <w:rPr>
                <w:rFonts w:ascii="Times New Roman" w:hAnsi="Times New Roman"/>
                <w:color w:val="000000" w:themeColor="text1"/>
                <w:szCs w:val="21"/>
                <w:lang w:eastAsia="zh-CN"/>
              </w:rPr>
              <w:t>赵家坝污水处理站达标后管输至普光</w:t>
            </w:r>
            <w:r w:rsidR="005D5A22" w:rsidRPr="00092862">
              <w:rPr>
                <w:rFonts w:ascii="Times New Roman" w:hAnsi="Times New Roman"/>
                <w:color w:val="000000" w:themeColor="text1"/>
                <w:szCs w:val="21"/>
                <w:lang w:eastAsia="zh-CN"/>
              </w:rPr>
              <w:t>11</w:t>
            </w:r>
            <w:r w:rsidR="005D5A22" w:rsidRPr="00092862">
              <w:rPr>
                <w:rFonts w:ascii="Times New Roman" w:hAnsi="Times New Roman"/>
                <w:color w:val="000000" w:themeColor="text1"/>
                <w:szCs w:val="21"/>
                <w:lang w:eastAsia="zh-CN"/>
              </w:rPr>
              <w:t>井回注站回注</w:t>
            </w:r>
            <w:r w:rsidR="004B382D" w:rsidRPr="00092862">
              <w:rPr>
                <w:rFonts w:ascii="Times New Roman" w:hAnsi="Times New Roman"/>
                <w:color w:val="000000" w:themeColor="text1"/>
                <w:szCs w:val="21"/>
                <w:lang w:eastAsia="zh-CN"/>
              </w:rPr>
              <w:t>，</w:t>
            </w:r>
            <w:r w:rsidRPr="00092862">
              <w:rPr>
                <w:rFonts w:ascii="Times New Roman" w:hAnsi="Times New Roman"/>
                <w:color w:val="000000" w:themeColor="text1"/>
                <w:szCs w:val="21"/>
                <w:lang w:eastAsia="zh-CN"/>
              </w:rPr>
              <w:t>不排入附近地表水体</w:t>
            </w:r>
          </w:p>
        </w:tc>
      </w:tr>
      <w:tr w:rsidR="00697429" w:rsidRPr="00092862" w14:paraId="6309DE28" w14:textId="77777777" w:rsidTr="00A216BF">
        <w:trPr>
          <w:jc w:val="center"/>
        </w:trPr>
        <w:tc>
          <w:tcPr>
            <w:tcW w:w="863" w:type="dxa"/>
            <w:vMerge/>
            <w:vAlign w:val="center"/>
          </w:tcPr>
          <w:p w14:paraId="75C55769"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p>
        </w:tc>
        <w:tc>
          <w:tcPr>
            <w:tcW w:w="1814" w:type="dxa"/>
            <w:gridSpan w:val="2"/>
            <w:vAlign w:val="center"/>
          </w:tcPr>
          <w:p w14:paraId="2EB75FE4"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地下水</w:t>
            </w:r>
          </w:p>
        </w:tc>
        <w:tc>
          <w:tcPr>
            <w:tcW w:w="5545" w:type="dxa"/>
            <w:vAlign w:val="center"/>
          </w:tcPr>
          <w:p w14:paraId="4BE67456"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按要求分区防渗；按要求进行跟踪监测</w:t>
            </w:r>
          </w:p>
        </w:tc>
      </w:tr>
      <w:tr w:rsidR="00697429" w:rsidRPr="00092862" w14:paraId="1881700B" w14:textId="77777777" w:rsidTr="00A216BF">
        <w:trPr>
          <w:jc w:val="center"/>
        </w:trPr>
        <w:tc>
          <w:tcPr>
            <w:tcW w:w="863" w:type="dxa"/>
            <w:vMerge/>
            <w:vAlign w:val="center"/>
          </w:tcPr>
          <w:p w14:paraId="0C9C9959"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p>
        </w:tc>
        <w:tc>
          <w:tcPr>
            <w:tcW w:w="714" w:type="dxa"/>
            <w:vMerge w:val="restart"/>
            <w:vAlign w:val="center"/>
          </w:tcPr>
          <w:p w14:paraId="6EB3A5A0"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废气</w:t>
            </w:r>
          </w:p>
        </w:tc>
        <w:tc>
          <w:tcPr>
            <w:tcW w:w="1100" w:type="dxa"/>
            <w:vAlign w:val="center"/>
          </w:tcPr>
          <w:p w14:paraId="7CE5D119"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放散废气</w:t>
            </w:r>
          </w:p>
        </w:tc>
        <w:tc>
          <w:tcPr>
            <w:tcW w:w="5545" w:type="dxa"/>
            <w:vAlign w:val="center"/>
          </w:tcPr>
          <w:p w14:paraId="1793B487" w14:textId="29D898EC" w:rsidR="00577FAB" w:rsidRPr="00092862" w:rsidRDefault="00E164F6"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经</w:t>
            </w:r>
            <w:r w:rsidR="00FA2743" w:rsidRPr="00092862">
              <w:rPr>
                <w:rFonts w:ascii="Times New Roman" w:hAnsi="Times New Roman"/>
                <w:color w:val="000000" w:themeColor="text1"/>
                <w:szCs w:val="21"/>
                <w:lang w:eastAsia="zh-CN"/>
              </w:rPr>
              <w:t>100</w:t>
            </w:r>
            <w:r w:rsidRPr="00092862">
              <w:rPr>
                <w:rFonts w:ascii="Times New Roman" w:hAnsi="Times New Roman"/>
                <w:color w:val="000000" w:themeColor="text1"/>
                <w:szCs w:val="21"/>
                <w:lang w:eastAsia="zh-CN"/>
              </w:rPr>
              <w:t>m</w:t>
            </w:r>
            <w:r w:rsidRPr="00092862">
              <w:rPr>
                <w:rFonts w:ascii="Times New Roman" w:hAnsi="Times New Roman"/>
                <w:color w:val="000000" w:themeColor="text1"/>
                <w:szCs w:val="21"/>
                <w:lang w:eastAsia="zh-CN"/>
              </w:rPr>
              <w:t>高的放空火炬点火燃烧后外排</w:t>
            </w:r>
          </w:p>
        </w:tc>
      </w:tr>
      <w:tr w:rsidR="00697429" w:rsidRPr="00092862" w14:paraId="4E7DBF03" w14:textId="77777777" w:rsidTr="00A216BF">
        <w:trPr>
          <w:jc w:val="center"/>
        </w:trPr>
        <w:tc>
          <w:tcPr>
            <w:tcW w:w="863" w:type="dxa"/>
            <w:vMerge/>
            <w:vAlign w:val="center"/>
          </w:tcPr>
          <w:p w14:paraId="38B41709"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p>
        </w:tc>
        <w:tc>
          <w:tcPr>
            <w:tcW w:w="714" w:type="dxa"/>
            <w:vMerge/>
            <w:vAlign w:val="center"/>
          </w:tcPr>
          <w:p w14:paraId="6FE48138"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p>
        </w:tc>
        <w:tc>
          <w:tcPr>
            <w:tcW w:w="1100" w:type="dxa"/>
            <w:vAlign w:val="center"/>
          </w:tcPr>
          <w:p w14:paraId="2C3E3017" w14:textId="3A681824" w:rsidR="00577FAB" w:rsidRPr="00092862" w:rsidRDefault="00C26134"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水套加热炉</w:t>
            </w:r>
            <w:r w:rsidR="00577FAB" w:rsidRPr="00092862">
              <w:rPr>
                <w:rFonts w:ascii="Times New Roman" w:hAnsi="Times New Roman"/>
                <w:color w:val="000000" w:themeColor="text1"/>
                <w:szCs w:val="21"/>
                <w:lang w:eastAsia="zh-CN"/>
              </w:rPr>
              <w:t>燃烧废气</w:t>
            </w:r>
          </w:p>
        </w:tc>
        <w:tc>
          <w:tcPr>
            <w:tcW w:w="5545" w:type="dxa"/>
            <w:vAlign w:val="center"/>
          </w:tcPr>
          <w:p w14:paraId="68C7A7D0" w14:textId="5A302A1B" w:rsidR="00577FAB" w:rsidRPr="00092862" w:rsidRDefault="00C26134"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水套加热炉</w:t>
            </w:r>
            <w:r w:rsidR="00577FAB" w:rsidRPr="00092862">
              <w:rPr>
                <w:rFonts w:ascii="Times New Roman" w:hAnsi="Times New Roman"/>
                <w:color w:val="000000" w:themeColor="text1"/>
                <w:szCs w:val="21"/>
                <w:lang w:eastAsia="zh-CN"/>
              </w:rPr>
              <w:t>燃用</w:t>
            </w:r>
            <w:r w:rsidR="00E164F6" w:rsidRPr="00092862">
              <w:rPr>
                <w:rFonts w:ascii="Times New Roman" w:hAnsi="Times New Roman"/>
                <w:color w:val="000000" w:themeColor="text1"/>
                <w:szCs w:val="21"/>
                <w:lang w:eastAsia="zh-CN"/>
              </w:rPr>
              <w:t>净化后的反输天然气</w:t>
            </w:r>
            <w:r w:rsidR="00577FAB" w:rsidRPr="00092862">
              <w:rPr>
                <w:rFonts w:ascii="Times New Roman" w:hAnsi="Times New Roman"/>
                <w:color w:val="000000" w:themeColor="text1"/>
                <w:szCs w:val="21"/>
                <w:lang w:eastAsia="zh-CN"/>
              </w:rPr>
              <w:t>，</w:t>
            </w:r>
            <w:r w:rsidRPr="00092862">
              <w:rPr>
                <w:rFonts w:ascii="Times New Roman" w:hAnsi="Times New Roman"/>
                <w:color w:val="000000" w:themeColor="text1"/>
                <w:szCs w:val="21"/>
                <w:lang w:eastAsia="zh-CN"/>
              </w:rPr>
              <w:t>水套加热炉</w:t>
            </w:r>
            <w:r w:rsidR="00577FAB" w:rsidRPr="00092862">
              <w:rPr>
                <w:rFonts w:ascii="Times New Roman" w:hAnsi="Times New Roman"/>
                <w:color w:val="000000" w:themeColor="text1"/>
                <w:szCs w:val="21"/>
                <w:lang w:eastAsia="zh-CN"/>
              </w:rPr>
              <w:t>废气经自带排气筒排放，排气筒高度</w:t>
            </w:r>
            <w:r w:rsidR="00577FAB" w:rsidRPr="00092862">
              <w:rPr>
                <w:rFonts w:ascii="Times New Roman" w:hAnsi="Times New Roman"/>
                <w:color w:val="000000" w:themeColor="text1"/>
                <w:szCs w:val="21"/>
                <w:lang w:eastAsia="zh-CN"/>
              </w:rPr>
              <w:t>8m</w:t>
            </w:r>
          </w:p>
        </w:tc>
      </w:tr>
      <w:tr w:rsidR="00697429" w:rsidRPr="00092862" w14:paraId="7B08CC12" w14:textId="77777777" w:rsidTr="00A216BF">
        <w:trPr>
          <w:jc w:val="center"/>
        </w:trPr>
        <w:tc>
          <w:tcPr>
            <w:tcW w:w="863" w:type="dxa"/>
            <w:vMerge/>
            <w:vAlign w:val="center"/>
          </w:tcPr>
          <w:p w14:paraId="286FAEFD"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p>
        </w:tc>
        <w:tc>
          <w:tcPr>
            <w:tcW w:w="714" w:type="dxa"/>
            <w:vAlign w:val="center"/>
          </w:tcPr>
          <w:p w14:paraId="5F98E1FF"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噪声</w:t>
            </w:r>
          </w:p>
        </w:tc>
        <w:tc>
          <w:tcPr>
            <w:tcW w:w="1100" w:type="dxa"/>
            <w:vAlign w:val="center"/>
          </w:tcPr>
          <w:p w14:paraId="0722D56C" w14:textId="6F5504FE" w:rsidR="00577FAB" w:rsidRPr="00092862" w:rsidRDefault="001A6854"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试采期</w:t>
            </w:r>
            <w:r w:rsidR="00577FAB" w:rsidRPr="00092862">
              <w:rPr>
                <w:rFonts w:ascii="Times New Roman" w:hAnsi="Times New Roman"/>
                <w:color w:val="000000" w:themeColor="text1"/>
                <w:szCs w:val="21"/>
                <w:lang w:eastAsia="zh-CN"/>
              </w:rPr>
              <w:t>噪声</w:t>
            </w:r>
          </w:p>
        </w:tc>
        <w:tc>
          <w:tcPr>
            <w:tcW w:w="5545" w:type="dxa"/>
            <w:vAlign w:val="center"/>
          </w:tcPr>
          <w:p w14:paraId="5E624548"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泵机组和电机处设隔声罩，厂界噪声满足《工业企业厂界环</w:t>
            </w:r>
            <w:r w:rsidRPr="00092862">
              <w:rPr>
                <w:rFonts w:ascii="Times New Roman" w:hAnsi="Times New Roman"/>
                <w:color w:val="000000" w:themeColor="text1"/>
                <w:szCs w:val="21"/>
                <w:lang w:eastAsia="zh-CN"/>
              </w:rPr>
              <w:t xml:space="preserve"> </w:t>
            </w:r>
            <w:r w:rsidRPr="00092862">
              <w:rPr>
                <w:rFonts w:ascii="Times New Roman" w:hAnsi="Times New Roman"/>
                <w:color w:val="000000" w:themeColor="text1"/>
                <w:szCs w:val="21"/>
                <w:lang w:eastAsia="zh-CN"/>
              </w:rPr>
              <w:t>境噪声排放标准》（</w:t>
            </w:r>
            <w:r w:rsidRPr="00092862">
              <w:rPr>
                <w:rFonts w:ascii="Times New Roman" w:hAnsi="Times New Roman"/>
                <w:color w:val="000000" w:themeColor="text1"/>
                <w:szCs w:val="21"/>
                <w:lang w:eastAsia="zh-CN"/>
              </w:rPr>
              <w:t>GB12348-2008</w:t>
            </w:r>
            <w:r w:rsidRPr="00092862">
              <w:rPr>
                <w:rFonts w:ascii="Times New Roman" w:hAnsi="Times New Roman"/>
                <w:color w:val="000000" w:themeColor="text1"/>
                <w:szCs w:val="21"/>
                <w:lang w:eastAsia="zh-CN"/>
              </w:rPr>
              <w:t>）</w:t>
            </w:r>
            <w:r w:rsidRPr="00092862">
              <w:rPr>
                <w:rFonts w:ascii="Times New Roman" w:hAnsi="Times New Roman"/>
                <w:color w:val="000000" w:themeColor="text1"/>
                <w:szCs w:val="21"/>
                <w:lang w:eastAsia="zh-CN"/>
              </w:rPr>
              <w:t>2</w:t>
            </w:r>
            <w:r w:rsidRPr="00092862">
              <w:rPr>
                <w:rFonts w:ascii="Times New Roman" w:hAnsi="Times New Roman"/>
                <w:color w:val="000000" w:themeColor="text1"/>
                <w:szCs w:val="21"/>
                <w:lang w:eastAsia="zh-CN"/>
              </w:rPr>
              <w:t>类标准要求</w:t>
            </w:r>
            <w:r w:rsidRPr="00092862">
              <w:rPr>
                <w:rFonts w:ascii="Times New Roman" w:hAnsi="Times New Roman"/>
                <w:color w:val="000000" w:themeColor="text1"/>
                <w:szCs w:val="21"/>
                <w:lang w:eastAsia="zh-CN"/>
              </w:rPr>
              <w:t xml:space="preserve"> </w:t>
            </w:r>
          </w:p>
        </w:tc>
      </w:tr>
      <w:tr w:rsidR="00697429" w:rsidRPr="00092862" w14:paraId="70B29D50" w14:textId="77777777" w:rsidTr="00A216BF">
        <w:trPr>
          <w:jc w:val="center"/>
        </w:trPr>
        <w:tc>
          <w:tcPr>
            <w:tcW w:w="863" w:type="dxa"/>
            <w:vAlign w:val="center"/>
          </w:tcPr>
          <w:p w14:paraId="1B89C47B"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生态保护措施</w:t>
            </w:r>
          </w:p>
        </w:tc>
        <w:tc>
          <w:tcPr>
            <w:tcW w:w="1814" w:type="dxa"/>
            <w:gridSpan w:val="2"/>
            <w:vAlign w:val="center"/>
          </w:tcPr>
          <w:p w14:paraId="0F435291" w14:textId="77777777" w:rsidR="00577FAB" w:rsidRPr="00092862" w:rsidRDefault="00577FA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临时占地恢复</w:t>
            </w:r>
          </w:p>
        </w:tc>
        <w:tc>
          <w:tcPr>
            <w:tcW w:w="5545" w:type="dxa"/>
            <w:vAlign w:val="center"/>
          </w:tcPr>
          <w:p w14:paraId="24C33AC7" w14:textId="37F04300" w:rsidR="00577FAB" w:rsidRPr="00092862" w:rsidRDefault="007B1ADB" w:rsidP="00A216BF">
            <w:pPr>
              <w:pStyle w:val="TableParagraph"/>
              <w:adjustRightInd w:val="0"/>
              <w:snapToGrid w:val="0"/>
              <w:jc w:val="center"/>
              <w:rPr>
                <w:rFonts w:ascii="Times New Roman" w:hAnsi="Times New Roman"/>
                <w:color w:val="000000" w:themeColor="text1"/>
                <w:szCs w:val="21"/>
                <w:lang w:eastAsia="zh-CN"/>
              </w:rPr>
            </w:pPr>
            <w:r w:rsidRPr="00092862">
              <w:rPr>
                <w:rFonts w:ascii="Times New Roman" w:hAnsi="Times New Roman"/>
                <w:color w:val="000000" w:themeColor="text1"/>
                <w:szCs w:val="21"/>
                <w:lang w:eastAsia="zh-CN"/>
              </w:rPr>
              <w:t>本项目</w:t>
            </w:r>
            <w:r w:rsidR="00577FAB" w:rsidRPr="00092862">
              <w:rPr>
                <w:rFonts w:ascii="Times New Roman" w:hAnsi="Times New Roman"/>
                <w:color w:val="000000" w:themeColor="text1"/>
                <w:szCs w:val="21"/>
                <w:lang w:eastAsia="zh-CN"/>
              </w:rPr>
              <w:t>井场、放喷池</w:t>
            </w:r>
            <w:r w:rsidR="00357FF6" w:rsidRPr="00092862">
              <w:rPr>
                <w:rFonts w:ascii="Times New Roman" w:hAnsi="Times New Roman"/>
                <w:color w:val="000000" w:themeColor="text1"/>
                <w:szCs w:val="21"/>
                <w:lang w:eastAsia="zh-CN"/>
              </w:rPr>
              <w:t>、</w:t>
            </w:r>
            <w:r w:rsidR="00D774F2" w:rsidRPr="00092862">
              <w:rPr>
                <w:rFonts w:ascii="Times New Roman" w:hAnsi="Times New Roman"/>
                <w:color w:val="000000" w:themeColor="text1"/>
                <w:szCs w:val="21"/>
                <w:lang w:eastAsia="zh-CN"/>
              </w:rPr>
              <w:t>污水池</w:t>
            </w:r>
            <w:r w:rsidR="00CA526D" w:rsidRPr="00092862">
              <w:rPr>
                <w:rFonts w:ascii="Times New Roman" w:hAnsi="Times New Roman"/>
                <w:color w:val="000000" w:themeColor="text1"/>
                <w:szCs w:val="21"/>
                <w:lang w:eastAsia="zh-CN"/>
              </w:rPr>
              <w:t>、火炬区</w:t>
            </w:r>
            <w:r w:rsidR="00577FAB" w:rsidRPr="00092862">
              <w:rPr>
                <w:rFonts w:ascii="Times New Roman" w:hAnsi="Times New Roman"/>
                <w:color w:val="000000" w:themeColor="text1"/>
                <w:szCs w:val="21"/>
                <w:lang w:eastAsia="zh-CN"/>
              </w:rPr>
              <w:t>等</w:t>
            </w:r>
            <w:r w:rsidRPr="00092862">
              <w:rPr>
                <w:rFonts w:ascii="Times New Roman" w:hAnsi="Times New Roman"/>
                <w:color w:val="000000" w:themeColor="text1"/>
                <w:szCs w:val="21"/>
                <w:lang w:eastAsia="zh-CN"/>
              </w:rPr>
              <w:t>属于永久占地，</w:t>
            </w:r>
            <w:r w:rsidR="00CA526D" w:rsidRPr="00092862">
              <w:rPr>
                <w:rFonts w:ascii="Times New Roman" w:hAnsi="Times New Roman"/>
                <w:color w:val="000000" w:themeColor="text1"/>
                <w:szCs w:val="21"/>
                <w:lang w:eastAsia="zh-CN"/>
              </w:rPr>
              <w:t>仅施工期生活区为临时占地，施工结束后立即对施工期生活区进行复垦</w:t>
            </w:r>
          </w:p>
        </w:tc>
      </w:tr>
    </w:tbl>
    <w:p w14:paraId="0F49E8AC" w14:textId="77777777" w:rsidR="00A216BF" w:rsidRPr="00092862" w:rsidRDefault="00A216BF"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sectPr w:rsidR="00A216BF" w:rsidRPr="00092862" w:rsidSect="00345FFF">
          <w:headerReference w:type="default" r:id="rId125"/>
          <w:footerReference w:type="default" r:id="rId126"/>
          <w:pgSz w:w="11910" w:h="16840"/>
          <w:pgMar w:top="1440" w:right="1800" w:bottom="1440" w:left="1800" w:header="877" w:footer="1114" w:gutter="0"/>
          <w:cols w:space="720"/>
          <w:docGrid w:linePitch="299"/>
        </w:sectPr>
      </w:pPr>
      <w:bookmarkStart w:id="437" w:name="第十章_结论与建议"/>
      <w:bookmarkStart w:id="438" w:name="_bookmark47"/>
      <w:bookmarkEnd w:id="437"/>
      <w:bookmarkEnd w:id="438"/>
    </w:p>
    <w:p w14:paraId="216FC376" w14:textId="57EDA4AB" w:rsidR="00DC446C" w:rsidRPr="00092862" w:rsidRDefault="003B1968" w:rsidP="003D2EEB">
      <w:pPr>
        <w:pStyle w:val="1"/>
        <w:adjustRightInd w:val="0"/>
        <w:snapToGrid w:val="0"/>
        <w:spacing w:beforeLines="200" w:before="480" w:after="0" w:line="480" w:lineRule="auto"/>
        <w:jc w:val="center"/>
        <w:rPr>
          <w:rFonts w:ascii="Times New Roman" w:eastAsia="黑体" w:hAnsi="Times New Roman"/>
          <w:b w:val="0"/>
          <w:color w:val="000000" w:themeColor="text1"/>
          <w:sz w:val="28"/>
          <w:szCs w:val="28"/>
          <w:lang w:eastAsia="zh-CN"/>
        </w:rPr>
      </w:pPr>
      <w:bookmarkStart w:id="439" w:name="_Toc123682570"/>
      <w:r w:rsidRPr="00092862">
        <w:rPr>
          <w:rFonts w:ascii="Times New Roman" w:eastAsia="黑体" w:hAnsi="Times New Roman"/>
          <w:b w:val="0"/>
          <w:color w:val="000000" w:themeColor="text1"/>
          <w:sz w:val="28"/>
          <w:szCs w:val="28"/>
          <w:lang w:eastAsia="zh-CN"/>
        </w:rPr>
        <w:lastRenderedPageBreak/>
        <w:t>1</w:t>
      </w:r>
      <w:r w:rsidR="006B255A" w:rsidRPr="00092862">
        <w:rPr>
          <w:rFonts w:ascii="Times New Roman" w:eastAsia="黑体" w:hAnsi="Times New Roman"/>
          <w:b w:val="0"/>
          <w:color w:val="000000" w:themeColor="text1"/>
          <w:sz w:val="28"/>
          <w:szCs w:val="28"/>
          <w:lang w:eastAsia="zh-CN"/>
        </w:rPr>
        <w:t>1</w:t>
      </w:r>
      <w:r w:rsidRPr="00092862">
        <w:rPr>
          <w:rFonts w:ascii="Times New Roman" w:eastAsia="黑体" w:hAnsi="Times New Roman"/>
          <w:b w:val="0"/>
          <w:color w:val="000000" w:themeColor="text1"/>
          <w:sz w:val="28"/>
          <w:szCs w:val="28"/>
          <w:lang w:eastAsia="zh-CN"/>
        </w:rPr>
        <w:t>结论与建议</w:t>
      </w:r>
      <w:bookmarkEnd w:id="439"/>
    </w:p>
    <w:p w14:paraId="57AA4974" w14:textId="4E3CFB9E" w:rsidR="00DC446C" w:rsidRPr="00092862" w:rsidRDefault="003B1968" w:rsidP="00200906">
      <w:pPr>
        <w:pStyle w:val="2"/>
        <w:ind w:firstLine="480"/>
        <w:jc w:val="both"/>
        <w:rPr>
          <w:color w:val="000000" w:themeColor="text1"/>
          <w:szCs w:val="24"/>
          <w:lang w:eastAsia="zh-CN"/>
        </w:rPr>
      </w:pPr>
      <w:bookmarkStart w:id="440" w:name="_bookmark48"/>
      <w:bookmarkStart w:id="441" w:name="10.1项目概况"/>
      <w:bookmarkStart w:id="442" w:name="_Toc123682571"/>
      <w:bookmarkEnd w:id="440"/>
      <w:bookmarkEnd w:id="441"/>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.1</w:t>
      </w:r>
      <w:r w:rsidRPr="00092862">
        <w:rPr>
          <w:color w:val="000000" w:themeColor="text1"/>
          <w:szCs w:val="24"/>
          <w:lang w:eastAsia="zh-CN"/>
        </w:rPr>
        <w:t>项目概况</w:t>
      </w:r>
      <w:bookmarkEnd w:id="442"/>
    </w:p>
    <w:p w14:paraId="749C7975" w14:textId="71750CC4" w:rsidR="00281947" w:rsidRPr="00092862" w:rsidRDefault="000846B2" w:rsidP="00200906">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本项目位于达州市</w:t>
      </w:r>
      <w:r w:rsidR="00BD26E4" w:rsidRPr="00092862">
        <w:rPr>
          <w:rFonts w:ascii="Times New Roman" w:hAnsi="Times New Roman"/>
          <w:color w:val="000000" w:themeColor="text1"/>
          <w:lang w:eastAsia="zh-CN"/>
        </w:rPr>
        <w:t>宣汉县</w:t>
      </w:r>
      <w:r w:rsidR="00215953" w:rsidRPr="00092862">
        <w:rPr>
          <w:rFonts w:ascii="Times New Roman" w:hAnsi="Times New Roman"/>
          <w:color w:val="000000" w:themeColor="text1"/>
          <w:lang w:eastAsia="zh-CN"/>
        </w:rPr>
        <w:t>老君乡古楼村</w:t>
      </w:r>
      <w:r w:rsidR="00281947" w:rsidRPr="00092862">
        <w:rPr>
          <w:rFonts w:ascii="Times New Roman" w:hAnsi="Times New Roman"/>
          <w:color w:val="000000" w:themeColor="text1"/>
          <w:lang w:eastAsia="zh-CN"/>
        </w:rPr>
        <w:t>，以</w:t>
      </w:r>
      <w:r w:rsidR="00077A04" w:rsidRPr="00092862">
        <w:rPr>
          <w:rFonts w:ascii="Times New Roman" w:hAnsi="Times New Roman"/>
          <w:color w:val="000000" w:themeColor="text1"/>
          <w:lang w:eastAsia="zh-CN"/>
        </w:rPr>
        <w:t>长兴组</w:t>
      </w:r>
      <w:r w:rsidR="00281947" w:rsidRPr="00092862">
        <w:rPr>
          <w:rFonts w:ascii="Times New Roman" w:hAnsi="Times New Roman"/>
          <w:color w:val="000000" w:themeColor="text1"/>
          <w:lang w:eastAsia="zh-CN"/>
        </w:rPr>
        <w:t>为主要目的层，预计单井采气量约</w:t>
      </w:r>
      <w:r w:rsidR="00CA526D" w:rsidRPr="00092862">
        <w:rPr>
          <w:rFonts w:ascii="Times New Roman" w:hAnsi="Times New Roman"/>
          <w:color w:val="000000" w:themeColor="text1"/>
          <w:lang w:eastAsia="zh-CN"/>
        </w:rPr>
        <w:t>20</w:t>
      </w:r>
      <w:r w:rsidR="00281947" w:rsidRPr="00092862">
        <w:rPr>
          <w:rFonts w:ascii="Times New Roman" w:hAnsi="Times New Roman"/>
          <w:color w:val="000000" w:themeColor="text1"/>
          <w:lang w:eastAsia="zh-CN"/>
        </w:rPr>
        <w:t>×10</w:t>
      </w:r>
      <w:r w:rsidR="00281947" w:rsidRPr="00092862">
        <w:rPr>
          <w:rFonts w:ascii="Times New Roman" w:hAnsi="Times New Roman"/>
          <w:color w:val="000000" w:themeColor="text1"/>
          <w:vertAlign w:val="superscript"/>
          <w:lang w:eastAsia="zh-CN"/>
        </w:rPr>
        <w:t>4</w:t>
      </w:r>
      <w:r w:rsidR="00281947" w:rsidRPr="00092862">
        <w:rPr>
          <w:rFonts w:ascii="Times New Roman" w:hAnsi="Times New Roman"/>
          <w:color w:val="000000" w:themeColor="text1"/>
          <w:lang w:eastAsia="zh-CN"/>
        </w:rPr>
        <w:t>m</w:t>
      </w:r>
      <w:r w:rsidR="00281947" w:rsidRPr="00092862">
        <w:rPr>
          <w:rFonts w:ascii="Times New Roman" w:hAnsi="Times New Roman"/>
          <w:color w:val="000000" w:themeColor="text1"/>
          <w:vertAlign w:val="superscript"/>
          <w:lang w:eastAsia="zh-CN"/>
        </w:rPr>
        <w:t>3</w:t>
      </w:r>
      <w:r w:rsidR="00281947" w:rsidRPr="00092862">
        <w:rPr>
          <w:rFonts w:ascii="Times New Roman" w:hAnsi="Times New Roman"/>
          <w:color w:val="000000" w:themeColor="text1"/>
          <w:lang w:eastAsia="zh-CN"/>
        </w:rPr>
        <w:t>/d</w:t>
      </w:r>
      <w:r w:rsidR="00281947" w:rsidRPr="00092862">
        <w:rPr>
          <w:rFonts w:ascii="Times New Roman" w:hAnsi="Times New Roman"/>
          <w:color w:val="000000" w:themeColor="text1"/>
          <w:lang w:eastAsia="zh-CN"/>
        </w:rPr>
        <w:t>。</w:t>
      </w:r>
    </w:p>
    <w:p w14:paraId="31EC75EA" w14:textId="1C55E8FD" w:rsidR="00DC446C" w:rsidRPr="00092862" w:rsidRDefault="00281947"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本项目总投资</w:t>
      </w:r>
      <w:r w:rsidR="007A02DD">
        <w:rPr>
          <w:rFonts w:ascii="Times New Roman" w:hAnsi="Times New Roman"/>
          <w:color w:val="000000" w:themeColor="text1"/>
          <w:lang w:eastAsia="zh-CN"/>
        </w:rPr>
        <w:t>****</w:t>
      </w:r>
      <w:r w:rsidR="00AE4A7F" w:rsidRPr="00092862">
        <w:rPr>
          <w:rFonts w:ascii="Times New Roman" w:hAnsi="Times New Roman"/>
          <w:color w:val="000000" w:themeColor="text1"/>
          <w:lang w:eastAsia="zh-CN"/>
        </w:rPr>
        <w:t>万元</w:t>
      </w:r>
      <w:r w:rsidRPr="00092862">
        <w:rPr>
          <w:rFonts w:ascii="Times New Roman" w:hAnsi="Times New Roman"/>
          <w:color w:val="000000" w:themeColor="text1"/>
          <w:lang w:eastAsia="zh-CN"/>
        </w:rPr>
        <w:t>，环保投资</w:t>
      </w:r>
      <w:r w:rsidR="007A02DD">
        <w:rPr>
          <w:rFonts w:ascii="Times New Roman" w:hAnsi="Times New Roman"/>
          <w:color w:val="000000" w:themeColor="text1"/>
          <w:lang w:eastAsia="zh-CN"/>
        </w:rPr>
        <w:t>****</w:t>
      </w:r>
      <w:r w:rsidRPr="00092862">
        <w:rPr>
          <w:rFonts w:ascii="Times New Roman" w:hAnsi="Times New Roman"/>
          <w:color w:val="000000" w:themeColor="text1"/>
          <w:lang w:eastAsia="zh-CN"/>
        </w:rPr>
        <w:t>万元，环保投资占总投资的</w:t>
      </w:r>
      <w:r w:rsidR="00D92D1A" w:rsidRPr="00092862">
        <w:rPr>
          <w:rFonts w:ascii="Times New Roman" w:hAnsi="Times New Roman"/>
          <w:color w:val="000000" w:themeColor="text1"/>
          <w:lang w:eastAsia="zh-CN"/>
        </w:rPr>
        <w:t>2.81%</w:t>
      </w:r>
      <w:r w:rsidRPr="00092862">
        <w:rPr>
          <w:rFonts w:ascii="Times New Roman" w:hAnsi="Times New Roman"/>
          <w:color w:val="000000" w:themeColor="text1"/>
          <w:lang w:eastAsia="zh-CN"/>
        </w:rPr>
        <w:t>。</w:t>
      </w:r>
    </w:p>
    <w:p w14:paraId="577467F3" w14:textId="1A252463" w:rsidR="00DC446C" w:rsidRPr="00092862" w:rsidRDefault="003B1968" w:rsidP="00200906">
      <w:pPr>
        <w:pStyle w:val="2"/>
        <w:ind w:firstLine="480"/>
        <w:jc w:val="both"/>
        <w:rPr>
          <w:color w:val="000000" w:themeColor="text1"/>
          <w:szCs w:val="24"/>
          <w:lang w:eastAsia="zh-CN"/>
        </w:rPr>
      </w:pPr>
      <w:bookmarkStart w:id="443" w:name="10.2环境质量现状"/>
      <w:bookmarkStart w:id="444" w:name="_bookmark49"/>
      <w:bookmarkStart w:id="445" w:name="_Toc123682572"/>
      <w:bookmarkEnd w:id="443"/>
      <w:bookmarkEnd w:id="444"/>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.2</w:t>
      </w:r>
      <w:r w:rsidRPr="00092862">
        <w:rPr>
          <w:color w:val="000000" w:themeColor="text1"/>
          <w:szCs w:val="24"/>
          <w:lang w:eastAsia="zh-CN"/>
        </w:rPr>
        <w:t>环境质量现状</w:t>
      </w:r>
      <w:bookmarkEnd w:id="445"/>
    </w:p>
    <w:p w14:paraId="27C4BC3B" w14:textId="5A4C3511"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本项目所在区域属环境空气</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类区、地表水</w:t>
      </w:r>
      <w:r w:rsidRPr="00092862">
        <w:rPr>
          <w:rFonts w:ascii="Times New Roman" w:hAnsi="Times New Roman"/>
          <w:color w:val="000000" w:themeColor="text1"/>
          <w:lang w:eastAsia="zh-CN"/>
        </w:rPr>
        <w:t>Ⅲ</w:t>
      </w:r>
      <w:r w:rsidRPr="00092862">
        <w:rPr>
          <w:rFonts w:ascii="Times New Roman" w:hAnsi="Times New Roman"/>
          <w:color w:val="000000" w:themeColor="text1"/>
          <w:lang w:eastAsia="zh-CN"/>
        </w:rPr>
        <w:t>类水域功能区和声环境</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类功能区。根据本项目环境本底监测结果显示，本项目区域声环境质量满足《声环境质量标准》（</w:t>
      </w:r>
      <w:r w:rsidRPr="00092862">
        <w:rPr>
          <w:rFonts w:ascii="Times New Roman" w:hAnsi="Times New Roman"/>
          <w:color w:val="000000" w:themeColor="text1"/>
          <w:lang w:eastAsia="zh-CN"/>
        </w:rPr>
        <w:t>GB3096-2008</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类标准；根据《</w:t>
      </w:r>
      <w:r w:rsidR="00E610B0" w:rsidRPr="00092862">
        <w:rPr>
          <w:rFonts w:ascii="Times New Roman" w:hAnsi="Times New Roman"/>
          <w:color w:val="000000" w:themeColor="text1"/>
          <w:lang w:eastAsia="zh-CN"/>
        </w:rPr>
        <w:t>2020</w:t>
      </w:r>
      <w:r w:rsidR="00E610B0" w:rsidRPr="00092862">
        <w:rPr>
          <w:rFonts w:ascii="Times New Roman" w:hAnsi="Times New Roman"/>
          <w:color w:val="000000" w:themeColor="text1"/>
          <w:lang w:eastAsia="zh-CN"/>
        </w:rPr>
        <w:t>年</w:t>
      </w:r>
      <w:r w:rsidR="00077A04" w:rsidRPr="00092862">
        <w:rPr>
          <w:rFonts w:ascii="Times New Roman" w:hAnsi="Times New Roman"/>
          <w:color w:val="000000" w:themeColor="text1"/>
          <w:lang w:eastAsia="zh-CN"/>
        </w:rPr>
        <w:t>达州</w:t>
      </w:r>
      <w:r w:rsidR="00E610B0" w:rsidRPr="00092862">
        <w:rPr>
          <w:rFonts w:ascii="Times New Roman" w:hAnsi="Times New Roman"/>
          <w:color w:val="000000" w:themeColor="text1"/>
          <w:lang w:eastAsia="zh-CN"/>
        </w:rPr>
        <w:t>市生态环境状况公报</w:t>
      </w:r>
      <w:r w:rsidRPr="00092862">
        <w:rPr>
          <w:rFonts w:ascii="Times New Roman" w:hAnsi="Times New Roman"/>
          <w:color w:val="000000" w:themeColor="text1"/>
          <w:lang w:eastAsia="zh-CN"/>
        </w:rPr>
        <w:t>》，</w:t>
      </w:r>
      <w:r w:rsidRPr="00092862">
        <w:rPr>
          <w:rFonts w:ascii="Times New Roman" w:hAnsi="Times New Roman"/>
          <w:snapToGrid w:val="0"/>
          <w:color w:val="000000" w:themeColor="text1"/>
          <w:kern w:val="2"/>
          <w:lang w:eastAsia="zh-CN"/>
        </w:rPr>
        <w:t>本项目所在的</w:t>
      </w:r>
      <w:r w:rsidR="00077A04" w:rsidRPr="00092862">
        <w:rPr>
          <w:rFonts w:ascii="Times New Roman" w:hAnsi="Times New Roman"/>
          <w:snapToGrid w:val="0"/>
          <w:color w:val="000000" w:themeColor="text1"/>
          <w:kern w:val="2"/>
          <w:lang w:eastAsia="zh-CN"/>
        </w:rPr>
        <w:t>达州</w:t>
      </w:r>
      <w:r w:rsidRPr="00092862">
        <w:rPr>
          <w:rFonts w:ascii="Times New Roman" w:hAnsi="Times New Roman"/>
          <w:snapToGrid w:val="0"/>
          <w:color w:val="000000" w:themeColor="text1"/>
          <w:kern w:val="2"/>
          <w:lang w:eastAsia="zh-CN"/>
        </w:rPr>
        <w:t>市</w:t>
      </w:r>
      <w:r w:rsidR="00E610B0" w:rsidRPr="00092862">
        <w:rPr>
          <w:rFonts w:ascii="Times New Roman" w:hAnsi="Times New Roman"/>
          <w:snapToGrid w:val="0"/>
          <w:color w:val="000000" w:themeColor="text1"/>
          <w:kern w:val="2"/>
          <w:lang w:eastAsia="zh-CN"/>
        </w:rPr>
        <w:t>属于达标区</w:t>
      </w:r>
      <w:r w:rsidR="001B5B0B"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本项目位于</w:t>
      </w:r>
      <w:r w:rsidR="00077A04" w:rsidRPr="00092862">
        <w:rPr>
          <w:rFonts w:ascii="Times New Roman" w:hAnsi="Times New Roman"/>
          <w:color w:val="000000" w:themeColor="text1"/>
          <w:lang w:eastAsia="zh-CN"/>
        </w:rPr>
        <w:t>后</w:t>
      </w:r>
      <w:r w:rsidR="00E610B0" w:rsidRPr="00092862">
        <w:rPr>
          <w:rFonts w:ascii="Times New Roman" w:hAnsi="Times New Roman"/>
          <w:color w:val="000000" w:themeColor="text1"/>
          <w:lang w:eastAsia="zh-CN"/>
        </w:rPr>
        <w:t>河流域</w:t>
      </w:r>
      <w:r w:rsidRPr="00092862">
        <w:rPr>
          <w:rFonts w:ascii="Times New Roman" w:hAnsi="Times New Roman"/>
          <w:color w:val="000000" w:themeColor="text1"/>
          <w:lang w:eastAsia="zh-CN"/>
        </w:rPr>
        <w:t>，其水质良好；地下水</w:t>
      </w:r>
      <w:r w:rsidR="00E610B0" w:rsidRPr="00092862">
        <w:rPr>
          <w:rFonts w:ascii="Times New Roman" w:hAnsi="Times New Roman"/>
          <w:color w:val="000000" w:themeColor="text1"/>
          <w:lang w:eastAsia="zh-CN"/>
        </w:rPr>
        <w:t>监测</w:t>
      </w:r>
      <w:r w:rsidRPr="00092862">
        <w:rPr>
          <w:rFonts w:ascii="Times New Roman" w:hAnsi="Times New Roman"/>
          <w:color w:val="000000" w:themeColor="text1"/>
          <w:lang w:eastAsia="zh-CN"/>
        </w:rPr>
        <w:t>所有指标均未超过《地下水质量标准》（</w:t>
      </w:r>
      <w:r w:rsidRPr="00092862">
        <w:rPr>
          <w:rFonts w:ascii="Times New Roman" w:hAnsi="Times New Roman"/>
          <w:color w:val="000000" w:themeColor="text1"/>
          <w:lang w:eastAsia="zh-CN"/>
        </w:rPr>
        <w:t>GB/T14848-2017</w:t>
      </w:r>
      <w:r w:rsidRPr="00092862">
        <w:rPr>
          <w:rFonts w:ascii="Times New Roman" w:hAnsi="Times New Roman"/>
          <w:color w:val="000000" w:themeColor="text1"/>
          <w:lang w:eastAsia="zh-CN"/>
        </w:rPr>
        <w:t>）中的</w:t>
      </w:r>
      <w:r w:rsidRPr="00092862">
        <w:rPr>
          <w:rFonts w:ascii="Times New Roman" w:hAnsi="Times New Roman"/>
          <w:color w:val="000000" w:themeColor="text1"/>
          <w:lang w:eastAsia="zh-CN"/>
        </w:rPr>
        <w:t>Ⅲ</w:t>
      </w:r>
      <w:r w:rsidRPr="00092862">
        <w:rPr>
          <w:rFonts w:ascii="Times New Roman" w:hAnsi="Times New Roman"/>
          <w:color w:val="000000" w:themeColor="text1"/>
          <w:lang w:eastAsia="zh-CN"/>
        </w:rPr>
        <w:t>类标准限值要求；项目区域土壤以</w:t>
      </w:r>
      <w:r w:rsidR="00077A04" w:rsidRPr="00092862">
        <w:rPr>
          <w:rFonts w:ascii="Times New Roman" w:hAnsi="Times New Roman"/>
          <w:color w:val="000000" w:themeColor="text1"/>
          <w:lang w:eastAsia="zh-CN"/>
        </w:rPr>
        <w:t>林地</w:t>
      </w:r>
      <w:r w:rsidRPr="00092862">
        <w:rPr>
          <w:rFonts w:ascii="Times New Roman" w:hAnsi="Times New Roman"/>
          <w:color w:val="000000" w:themeColor="text1"/>
          <w:lang w:eastAsia="zh-CN"/>
        </w:rPr>
        <w:t>为主</w:t>
      </w:r>
      <w:r w:rsidR="00077A04" w:rsidRPr="00092862">
        <w:rPr>
          <w:rFonts w:ascii="Times New Roman" w:hAnsi="Times New Roman"/>
          <w:color w:val="000000" w:themeColor="text1"/>
          <w:lang w:eastAsia="zh-CN"/>
        </w:rPr>
        <w:t>，有少量果园地</w:t>
      </w:r>
      <w:r w:rsidRPr="00092862">
        <w:rPr>
          <w:rFonts w:ascii="Times New Roman" w:hAnsi="Times New Roman"/>
          <w:color w:val="000000" w:themeColor="text1"/>
          <w:lang w:eastAsia="zh-CN"/>
        </w:rPr>
        <w:t>，土壤环境所有指标均满足</w:t>
      </w:r>
      <w:r w:rsidRPr="00092862">
        <w:rPr>
          <w:rFonts w:ascii="Times New Roman" w:hAnsi="Times New Roman"/>
          <w:color w:val="000000" w:themeColor="text1"/>
          <w:szCs w:val="21"/>
          <w:lang w:eastAsia="zh-CN"/>
        </w:rPr>
        <w:t>《土壤环境质量</w:t>
      </w:r>
      <w:r w:rsidRPr="00092862">
        <w:rPr>
          <w:rFonts w:ascii="Times New Roman" w:hAnsi="Times New Roman"/>
          <w:color w:val="000000" w:themeColor="text1"/>
          <w:szCs w:val="21"/>
          <w:lang w:eastAsia="zh-CN"/>
        </w:rPr>
        <w:t xml:space="preserve"> </w:t>
      </w:r>
      <w:r w:rsidRPr="00092862">
        <w:rPr>
          <w:rFonts w:ascii="Times New Roman" w:hAnsi="Times New Roman"/>
          <w:color w:val="000000" w:themeColor="text1"/>
          <w:szCs w:val="21"/>
          <w:lang w:eastAsia="zh-CN"/>
        </w:rPr>
        <w:t>建设用地土壤污染风险管控标准（试行）</w:t>
      </w:r>
      <w:r w:rsidRPr="00092862">
        <w:rPr>
          <w:rFonts w:ascii="Times New Roman" w:hAnsi="Times New Roman"/>
          <w:color w:val="000000" w:themeColor="text1"/>
          <w:szCs w:val="21"/>
          <w:lang w:eastAsia="zh-CN"/>
        </w:rPr>
        <w:t>(GB36600—2018)</w:t>
      </w:r>
      <w:r w:rsidRPr="00092862">
        <w:rPr>
          <w:rFonts w:ascii="Times New Roman" w:hAnsi="Times New Roman"/>
          <w:color w:val="000000" w:themeColor="text1"/>
          <w:szCs w:val="21"/>
          <w:lang w:eastAsia="zh-CN"/>
        </w:rPr>
        <w:t>》和《土壤环境质量</w:t>
      </w:r>
      <w:r w:rsidRPr="00092862">
        <w:rPr>
          <w:rFonts w:ascii="Times New Roman" w:hAnsi="Times New Roman"/>
          <w:color w:val="000000" w:themeColor="text1"/>
          <w:szCs w:val="21"/>
          <w:lang w:eastAsia="zh-CN"/>
        </w:rPr>
        <w:t xml:space="preserve"> </w:t>
      </w:r>
      <w:r w:rsidRPr="00092862">
        <w:rPr>
          <w:rFonts w:ascii="Times New Roman" w:hAnsi="Times New Roman"/>
          <w:color w:val="000000" w:themeColor="text1"/>
          <w:szCs w:val="21"/>
          <w:lang w:eastAsia="zh-CN"/>
        </w:rPr>
        <w:t>农用地土壤污染风险管控标准（试行）</w:t>
      </w:r>
      <w:r w:rsidRPr="00092862">
        <w:rPr>
          <w:rFonts w:ascii="Times New Roman" w:hAnsi="Times New Roman"/>
          <w:color w:val="000000" w:themeColor="text1"/>
          <w:szCs w:val="21"/>
          <w:lang w:eastAsia="zh-CN"/>
        </w:rPr>
        <w:t>(GB15618—2018)</w:t>
      </w:r>
      <w:r w:rsidRPr="00092862">
        <w:rPr>
          <w:rFonts w:ascii="Times New Roman" w:hAnsi="Times New Roman"/>
          <w:color w:val="000000" w:themeColor="text1"/>
          <w:szCs w:val="21"/>
          <w:lang w:eastAsia="zh-CN"/>
        </w:rPr>
        <w:t>》中对应筛选值要求</w:t>
      </w:r>
      <w:r w:rsidRPr="00092862">
        <w:rPr>
          <w:rFonts w:ascii="Times New Roman" w:hAnsi="Times New Roman"/>
          <w:color w:val="000000" w:themeColor="text1"/>
          <w:lang w:eastAsia="zh-CN"/>
        </w:rPr>
        <w:t>。项目所在地环境质量现状良好</w:t>
      </w:r>
      <w:r w:rsidRPr="00092862">
        <w:rPr>
          <w:rFonts w:ascii="Times New Roman" w:hAnsi="Times New Roman"/>
          <w:bCs/>
          <w:color w:val="000000" w:themeColor="text1"/>
          <w:kern w:val="2"/>
          <w:lang w:eastAsia="zh-CN"/>
        </w:rPr>
        <w:t>。</w:t>
      </w:r>
    </w:p>
    <w:p w14:paraId="4175ECF0" w14:textId="5D7058D6" w:rsidR="00DC446C" w:rsidRPr="00092862" w:rsidRDefault="003B1968" w:rsidP="00200906">
      <w:pPr>
        <w:pStyle w:val="2"/>
        <w:ind w:firstLine="480"/>
        <w:jc w:val="both"/>
        <w:rPr>
          <w:color w:val="000000" w:themeColor="text1"/>
          <w:szCs w:val="24"/>
          <w:lang w:eastAsia="zh-CN"/>
        </w:rPr>
      </w:pPr>
      <w:bookmarkStart w:id="446" w:name="10.3项目产业政策符合性分析与选址合理性分析"/>
      <w:bookmarkStart w:id="447" w:name="_bookmark50"/>
      <w:bookmarkStart w:id="448" w:name="_Toc123682573"/>
      <w:bookmarkEnd w:id="446"/>
      <w:bookmarkEnd w:id="447"/>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.3</w:t>
      </w:r>
      <w:r w:rsidRPr="00092862">
        <w:rPr>
          <w:color w:val="000000" w:themeColor="text1"/>
          <w:szCs w:val="24"/>
          <w:lang w:eastAsia="zh-CN"/>
        </w:rPr>
        <w:t>项目产业政策符合性分析与选址合理性分析</w:t>
      </w:r>
      <w:bookmarkEnd w:id="448"/>
    </w:p>
    <w:p w14:paraId="640F944B" w14:textId="77777777" w:rsidR="001051D7" w:rsidRPr="00092862" w:rsidRDefault="001051D7" w:rsidP="001051D7">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bookmarkStart w:id="449" w:name="10.3.1项目产业政策符合性分析"/>
      <w:bookmarkEnd w:id="449"/>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1</w:t>
      </w:r>
      <w:r w:rsidRPr="00092862">
        <w:rPr>
          <w:rFonts w:ascii="Times New Roman" w:hAnsi="Times New Roman"/>
          <w:color w:val="000000" w:themeColor="text1"/>
          <w:lang w:eastAsia="zh-CN"/>
        </w:rPr>
        <w:t>）</w:t>
      </w:r>
      <w:r w:rsidR="003B1968" w:rsidRPr="00092862">
        <w:rPr>
          <w:rFonts w:ascii="Times New Roman" w:hAnsi="Times New Roman"/>
          <w:color w:val="000000" w:themeColor="text1"/>
          <w:lang w:eastAsia="zh-CN"/>
        </w:rPr>
        <w:t>项目产业政策符合性分析</w:t>
      </w:r>
    </w:p>
    <w:p w14:paraId="44B8EAAC" w14:textId="226974C5" w:rsidR="00DC446C" w:rsidRPr="00092862" w:rsidRDefault="003B1968" w:rsidP="001051D7">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根据</w:t>
      </w:r>
      <w:r w:rsidR="003D450D" w:rsidRPr="00092862">
        <w:rPr>
          <w:rFonts w:ascii="Times New Roman" w:hAnsi="Times New Roman"/>
          <w:color w:val="000000" w:themeColor="text1"/>
          <w:lang w:eastAsia="zh-CN"/>
        </w:rPr>
        <w:t>《产业结构调整指导目录（</w:t>
      </w:r>
      <w:r w:rsidR="003D450D" w:rsidRPr="00092862">
        <w:rPr>
          <w:rFonts w:ascii="Times New Roman" w:hAnsi="Times New Roman"/>
          <w:color w:val="000000" w:themeColor="text1"/>
          <w:lang w:eastAsia="zh-CN"/>
        </w:rPr>
        <w:t>2019</w:t>
      </w:r>
      <w:r w:rsidR="003D450D" w:rsidRPr="00092862">
        <w:rPr>
          <w:rFonts w:ascii="Times New Roman" w:hAnsi="Times New Roman"/>
          <w:color w:val="000000" w:themeColor="text1"/>
          <w:lang w:eastAsia="zh-CN"/>
        </w:rPr>
        <w:t>年本）》与《国家发展改革委关于修改</w:t>
      </w:r>
      <w:r w:rsidR="003D450D" w:rsidRPr="00092862">
        <w:rPr>
          <w:rFonts w:ascii="Times New Roman" w:hAnsi="Times New Roman"/>
          <w:color w:val="000000" w:themeColor="text1"/>
          <w:lang w:eastAsia="zh-CN"/>
        </w:rPr>
        <w:t>&lt;</w:t>
      </w:r>
      <w:r w:rsidR="003D450D" w:rsidRPr="00092862">
        <w:rPr>
          <w:rFonts w:ascii="Times New Roman" w:hAnsi="Times New Roman"/>
          <w:color w:val="000000" w:themeColor="text1"/>
          <w:lang w:eastAsia="zh-CN"/>
        </w:rPr>
        <w:t>产业结构调整指导目录（</w:t>
      </w:r>
      <w:r w:rsidR="003D450D" w:rsidRPr="00092862">
        <w:rPr>
          <w:rFonts w:ascii="Times New Roman" w:hAnsi="Times New Roman"/>
          <w:color w:val="000000" w:themeColor="text1"/>
          <w:lang w:eastAsia="zh-CN"/>
        </w:rPr>
        <w:t>2019</w:t>
      </w:r>
      <w:r w:rsidR="003D450D" w:rsidRPr="00092862">
        <w:rPr>
          <w:rFonts w:ascii="Times New Roman" w:hAnsi="Times New Roman"/>
          <w:color w:val="000000" w:themeColor="text1"/>
          <w:lang w:eastAsia="zh-CN"/>
        </w:rPr>
        <w:t>年本）</w:t>
      </w:r>
      <w:r w:rsidR="003D450D" w:rsidRPr="00092862">
        <w:rPr>
          <w:rFonts w:ascii="Times New Roman" w:hAnsi="Times New Roman"/>
          <w:color w:val="000000" w:themeColor="text1"/>
          <w:lang w:eastAsia="zh-CN"/>
        </w:rPr>
        <w:t>&gt;</w:t>
      </w:r>
      <w:r w:rsidR="003D450D" w:rsidRPr="00092862">
        <w:rPr>
          <w:rFonts w:ascii="Times New Roman" w:hAnsi="Times New Roman"/>
          <w:color w:val="000000" w:themeColor="text1"/>
          <w:lang w:eastAsia="zh-CN"/>
        </w:rPr>
        <w:t>的决定》</w:t>
      </w:r>
      <w:r w:rsidR="00485439" w:rsidRPr="00092862">
        <w:rPr>
          <w:rFonts w:ascii="Times New Roman" w:hAnsi="Times New Roman"/>
          <w:bCs/>
          <w:color w:val="000000" w:themeColor="text1"/>
          <w:kern w:val="2"/>
          <w:lang w:eastAsia="zh-CN"/>
        </w:rPr>
        <w:t>（</w:t>
      </w:r>
      <w:r w:rsidR="00485439" w:rsidRPr="00092862">
        <w:rPr>
          <w:rFonts w:ascii="Times New Roman" w:hAnsi="Times New Roman"/>
          <w:bCs/>
          <w:color w:val="000000" w:themeColor="text1"/>
          <w:kern w:val="2"/>
          <w:lang w:eastAsia="zh-CN"/>
        </w:rPr>
        <w:t>2021</w:t>
      </w:r>
      <w:r w:rsidR="00485439" w:rsidRPr="00092862">
        <w:rPr>
          <w:rFonts w:ascii="Times New Roman" w:hAnsi="Times New Roman"/>
          <w:bCs/>
          <w:color w:val="000000" w:themeColor="text1"/>
          <w:kern w:val="2"/>
          <w:lang w:eastAsia="zh-CN"/>
        </w:rPr>
        <w:t>年修订）</w:t>
      </w:r>
      <w:r w:rsidRPr="00092862">
        <w:rPr>
          <w:rFonts w:ascii="Times New Roman" w:hAnsi="Times New Roman"/>
          <w:color w:val="000000" w:themeColor="text1"/>
          <w:lang w:eastAsia="zh-CN"/>
        </w:rPr>
        <w:t>，该项目属于其中第一类</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鼓励类</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第七条</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石油类、天然气</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第一款</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常规石油、天然气勘探及开采</w:t>
      </w:r>
      <w:r w:rsidRPr="00092862">
        <w:rPr>
          <w:rFonts w:ascii="Times New Roman" w:hAnsi="Times New Roman"/>
          <w:color w:val="000000" w:themeColor="text1"/>
          <w:lang w:eastAsia="zh-CN"/>
        </w:rPr>
        <w:t>”</w:t>
      </w:r>
      <w:r w:rsidR="00200906" w:rsidRPr="00092862">
        <w:rPr>
          <w:rFonts w:ascii="Times New Roman" w:hAnsi="Times New Roman"/>
          <w:color w:val="000000" w:themeColor="text1"/>
          <w:lang w:eastAsia="zh-CN"/>
        </w:rPr>
        <w:t>，满足《石油天然气开采业污染防治技术政策》（</w:t>
      </w:r>
      <w:r w:rsidR="005C599D" w:rsidRPr="00092862">
        <w:rPr>
          <w:rFonts w:ascii="Times New Roman" w:hAnsi="Times New Roman"/>
          <w:color w:val="000000" w:themeColor="text1"/>
          <w:lang w:eastAsia="zh-CN"/>
        </w:rPr>
        <w:t>〔</w:t>
      </w:r>
      <w:r w:rsidR="00200906" w:rsidRPr="00092862">
        <w:rPr>
          <w:rFonts w:ascii="Times New Roman" w:hAnsi="Times New Roman"/>
          <w:color w:val="000000" w:themeColor="text1"/>
          <w:lang w:eastAsia="zh-CN"/>
        </w:rPr>
        <w:t>2012</w:t>
      </w:r>
      <w:r w:rsidR="005C599D" w:rsidRPr="00092862">
        <w:rPr>
          <w:rFonts w:ascii="Times New Roman" w:hAnsi="Times New Roman"/>
          <w:color w:val="000000" w:themeColor="text1"/>
          <w:lang w:eastAsia="zh-CN"/>
        </w:rPr>
        <w:t>〕</w:t>
      </w:r>
      <w:r w:rsidR="00200906" w:rsidRPr="00092862">
        <w:rPr>
          <w:rFonts w:ascii="Times New Roman" w:hAnsi="Times New Roman"/>
          <w:color w:val="000000" w:themeColor="text1"/>
          <w:lang w:eastAsia="zh-CN"/>
        </w:rPr>
        <w:t>18</w:t>
      </w:r>
      <w:r w:rsidR="00200906" w:rsidRPr="00092862">
        <w:rPr>
          <w:rFonts w:ascii="Times New Roman" w:hAnsi="Times New Roman"/>
          <w:color w:val="000000" w:themeColor="text1"/>
          <w:lang w:eastAsia="zh-CN"/>
        </w:rPr>
        <w:t>号）要求</w:t>
      </w:r>
      <w:r w:rsidRPr="00092862">
        <w:rPr>
          <w:rFonts w:ascii="Times New Roman" w:hAnsi="Times New Roman"/>
          <w:color w:val="000000" w:themeColor="text1"/>
          <w:lang w:eastAsia="zh-CN"/>
        </w:rPr>
        <w:t>；项目实施经中国石油化工股份有限公司</w:t>
      </w:r>
      <w:r w:rsidR="00077A04" w:rsidRPr="00092862">
        <w:rPr>
          <w:rFonts w:ascii="Times New Roman" w:hAnsi="Times New Roman"/>
          <w:color w:val="000000" w:themeColor="text1"/>
          <w:lang w:eastAsia="zh-CN"/>
        </w:rPr>
        <w:t>中原油田分公司</w:t>
      </w:r>
      <w:r w:rsidRPr="00092862">
        <w:rPr>
          <w:rFonts w:ascii="Times New Roman" w:hAnsi="Times New Roman"/>
          <w:color w:val="000000" w:themeColor="text1"/>
          <w:lang w:eastAsia="zh-CN"/>
        </w:rPr>
        <w:t>以</w:t>
      </w:r>
      <w:r w:rsidRPr="00092862">
        <w:rPr>
          <w:rFonts w:ascii="Times New Roman" w:hAnsi="Times New Roman"/>
          <w:color w:val="000000" w:themeColor="text1"/>
          <w:lang w:eastAsia="zh-CN"/>
        </w:rPr>
        <w:t>“</w:t>
      </w:r>
      <w:r w:rsidR="00077A04" w:rsidRPr="00092862">
        <w:rPr>
          <w:rFonts w:ascii="Times New Roman" w:hAnsi="Times New Roman"/>
          <w:color w:val="000000" w:themeColor="text1"/>
          <w:lang w:eastAsia="zh-CN"/>
        </w:rPr>
        <w:t>中原油分投资</w:t>
      </w:r>
      <w:r w:rsidR="006E53D9" w:rsidRPr="00092862">
        <w:rPr>
          <w:rFonts w:ascii="Times New Roman" w:hAnsi="Times New Roman"/>
          <w:color w:val="000000" w:themeColor="text1"/>
          <w:lang w:eastAsia="zh-CN"/>
        </w:rPr>
        <w:t>〔</w:t>
      </w:r>
      <w:r w:rsidR="006E53D9" w:rsidRPr="00092862">
        <w:rPr>
          <w:rFonts w:ascii="Times New Roman" w:hAnsi="Times New Roman"/>
          <w:color w:val="000000" w:themeColor="text1"/>
          <w:lang w:eastAsia="zh-CN"/>
        </w:rPr>
        <w:t>2022</w:t>
      </w:r>
      <w:r w:rsidR="006E53D9" w:rsidRPr="00092862">
        <w:rPr>
          <w:rFonts w:ascii="Times New Roman" w:hAnsi="Times New Roman"/>
          <w:color w:val="000000" w:themeColor="text1"/>
          <w:lang w:eastAsia="zh-CN"/>
        </w:rPr>
        <w:t>〕</w:t>
      </w:r>
      <w:r w:rsidR="006E53D9" w:rsidRPr="00092862">
        <w:rPr>
          <w:rFonts w:ascii="Times New Roman" w:hAnsi="Times New Roman"/>
          <w:color w:val="000000" w:themeColor="text1"/>
          <w:lang w:eastAsia="zh-CN"/>
        </w:rPr>
        <w:t>223</w:t>
      </w:r>
      <w:r w:rsidR="006E53D9" w:rsidRPr="00092862">
        <w:rPr>
          <w:rFonts w:ascii="Times New Roman" w:hAnsi="Times New Roman"/>
          <w:color w:val="000000" w:themeColor="text1"/>
          <w:lang w:eastAsia="zh-CN"/>
        </w:rPr>
        <w:t>号</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文</w:t>
      </w:r>
      <w:r w:rsidR="00AE2799" w:rsidRPr="00092862">
        <w:rPr>
          <w:rFonts w:ascii="Times New Roman" w:hAnsi="Times New Roman"/>
          <w:color w:val="000000" w:themeColor="text1"/>
          <w:lang w:eastAsia="zh-CN"/>
        </w:rPr>
        <w:t>出具</w:t>
      </w:r>
      <w:r w:rsidR="00077A04" w:rsidRPr="00092862">
        <w:rPr>
          <w:rFonts w:ascii="Times New Roman" w:hAnsi="Times New Roman"/>
          <w:color w:val="000000" w:themeColor="text1"/>
          <w:lang w:eastAsia="zh-CN"/>
        </w:rPr>
        <w:t>了可研批复</w:t>
      </w:r>
      <w:r w:rsidR="00200906"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因此，本项目符合国家产业政策。</w:t>
      </w:r>
    </w:p>
    <w:p w14:paraId="050F91C5" w14:textId="77777777" w:rsidR="00DC446C" w:rsidRPr="00092862" w:rsidRDefault="001051D7" w:rsidP="001051D7">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bookmarkStart w:id="450" w:name="_bookmark51"/>
      <w:bookmarkStart w:id="451" w:name="10.3.2项目选址合理性分析"/>
      <w:bookmarkEnd w:id="450"/>
      <w:bookmarkEnd w:id="451"/>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2</w:t>
      </w:r>
      <w:r w:rsidRPr="00092862">
        <w:rPr>
          <w:rFonts w:ascii="Times New Roman" w:hAnsi="Times New Roman"/>
          <w:color w:val="000000" w:themeColor="text1"/>
          <w:lang w:eastAsia="zh-CN"/>
        </w:rPr>
        <w:t>）</w:t>
      </w:r>
      <w:r w:rsidR="003B1968" w:rsidRPr="00092862">
        <w:rPr>
          <w:rFonts w:ascii="Times New Roman" w:hAnsi="Times New Roman"/>
          <w:color w:val="000000" w:themeColor="text1"/>
          <w:lang w:eastAsia="zh-CN"/>
        </w:rPr>
        <w:t>项目选址合理性分析</w:t>
      </w:r>
    </w:p>
    <w:p w14:paraId="4157D868" w14:textId="6291419E" w:rsidR="00DC446C" w:rsidRPr="00092862" w:rsidRDefault="00200906"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本项目建设符合石油天然气开发规划。不在城镇规划区域内，不属于城镇用地，项目所在地为农村地区，主要发展农业。本项目</w:t>
      </w:r>
      <w:r w:rsidR="00B25A5F" w:rsidRPr="00092862">
        <w:rPr>
          <w:rFonts w:ascii="Times New Roman" w:hAnsi="Times New Roman"/>
          <w:color w:val="000000" w:themeColor="text1"/>
          <w:lang w:eastAsia="zh-CN"/>
        </w:rPr>
        <w:t>利旧</w:t>
      </w:r>
      <w:r w:rsidR="003C3238" w:rsidRPr="00092862">
        <w:rPr>
          <w:rFonts w:ascii="Times New Roman" w:hAnsi="Times New Roman"/>
          <w:color w:val="000000" w:themeColor="text1"/>
          <w:lang w:eastAsia="zh-CN"/>
        </w:rPr>
        <w:t>老君</w:t>
      </w:r>
      <w:r w:rsidR="003C3238" w:rsidRPr="00092862">
        <w:rPr>
          <w:rFonts w:ascii="Times New Roman" w:hAnsi="Times New Roman"/>
          <w:color w:val="000000" w:themeColor="text1"/>
          <w:lang w:eastAsia="zh-CN"/>
        </w:rPr>
        <w:t>701</w:t>
      </w:r>
      <w:r w:rsidR="009B26F9" w:rsidRPr="00092862">
        <w:rPr>
          <w:rFonts w:ascii="Times New Roman" w:hAnsi="Times New Roman"/>
          <w:color w:val="000000" w:themeColor="text1"/>
          <w:lang w:eastAsia="zh-CN"/>
        </w:rPr>
        <w:t>集气站</w:t>
      </w:r>
      <w:r w:rsidR="00B25A5F" w:rsidRPr="00092862">
        <w:rPr>
          <w:rFonts w:ascii="Times New Roman" w:hAnsi="Times New Roman"/>
          <w:color w:val="000000" w:themeColor="text1"/>
          <w:lang w:eastAsia="zh-CN"/>
        </w:rPr>
        <w:t>占地区域进行建设，其选址</w:t>
      </w:r>
      <w:r w:rsidR="001B5B0B" w:rsidRPr="00092862">
        <w:rPr>
          <w:rFonts w:ascii="Times New Roman" w:hAnsi="Times New Roman"/>
          <w:color w:val="000000" w:themeColor="text1"/>
          <w:lang w:eastAsia="zh-CN"/>
        </w:rPr>
        <w:t>位于原井场内</w:t>
      </w:r>
      <w:r w:rsidR="00B25A5F" w:rsidRPr="00092862">
        <w:rPr>
          <w:rFonts w:ascii="Times New Roman" w:hAnsi="Times New Roman"/>
          <w:color w:val="000000" w:themeColor="text1"/>
          <w:lang w:eastAsia="zh-CN"/>
        </w:rPr>
        <w:t>，本项目建设不违背</w:t>
      </w:r>
      <w:r w:rsidR="00FA2743" w:rsidRPr="00092862">
        <w:rPr>
          <w:rFonts w:ascii="Times New Roman" w:hAnsi="Times New Roman"/>
          <w:color w:val="000000" w:themeColor="text1"/>
          <w:lang w:eastAsia="zh-CN"/>
        </w:rPr>
        <w:t>普光</w:t>
      </w:r>
      <w:r w:rsidR="00B25A5F" w:rsidRPr="00092862">
        <w:rPr>
          <w:rFonts w:ascii="Times New Roman" w:hAnsi="Times New Roman"/>
          <w:color w:val="000000" w:themeColor="text1"/>
          <w:lang w:eastAsia="zh-CN"/>
        </w:rPr>
        <w:t>镇规划要求</w:t>
      </w:r>
      <w:r w:rsidRPr="00092862">
        <w:rPr>
          <w:rFonts w:ascii="Times New Roman" w:hAnsi="Times New Roman"/>
          <w:color w:val="000000" w:themeColor="text1"/>
          <w:lang w:eastAsia="zh-CN"/>
        </w:rPr>
        <w:t>。</w:t>
      </w:r>
      <w:r w:rsidR="003B1968" w:rsidRPr="00092862">
        <w:rPr>
          <w:rFonts w:ascii="Times New Roman" w:hAnsi="Times New Roman"/>
          <w:color w:val="000000" w:themeColor="text1"/>
          <w:lang w:eastAsia="zh-CN"/>
        </w:rPr>
        <w:t>本项目</w:t>
      </w:r>
      <w:r w:rsidRPr="00092862">
        <w:rPr>
          <w:rFonts w:ascii="Times New Roman" w:hAnsi="Times New Roman"/>
          <w:color w:val="000000" w:themeColor="text1"/>
          <w:lang w:eastAsia="zh-CN"/>
        </w:rPr>
        <w:t>不涉及生态红线</w:t>
      </w:r>
      <w:r w:rsidR="003B1968"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符合</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三线一单</w:t>
      </w:r>
      <w:r w:rsidRPr="00092862">
        <w:rPr>
          <w:rFonts w:ascii="Times New Roman" w:hAnsi="Times New Roman"/>
          <w:color w:val="000000" w:themeColor="text1"/>
          <w:lang w:eastAsia="zh-CN"/>
        </w:rPr>
        <w:t>”</w:t>
      </w:r>
      <w:r w:rsidRPr="00092862">
        <w:rPr>
          <w:rFonts w:ascii="Times New Roman" w:hAnsi="Times New Roman"/>
          <w:color w:val="000000" w:themeColor="text1"/>
          <w:lang w:eastAsia="zh-CN"/>
        </w:rPr>
        <w:t>管控</w:t>
      </w:r>
      <w:r w:rsidR="00FE7CE5" w:rsidRPr="00092862">
        <w:rPr>
          <w:rFonts w:ascii="Times New Roman" w:hAnsi="Times New Roman"/>
          <w:color w:val="000000" w:themeColor="text1"/>
          <w:lang w:eastAsia="zh-CN"/>
        </w:rPr>
        <w:t>要</w:t>
      </w:r>
      <w:r w:rsidRPr="00092862">
        <w:rPr>
          <w:rFonts w:ascii="Times New Roman" w:hAnsi="Times New Roman"/>
          <w:color w:val="000000" w:themeColor="text1"/>
          <w:lang w:eastAsia="zh-CN"/>
        </w:rPr>
        <w:t>求，</w:t>
      </w:r>
      <w:r w:rsidR="003B1968" w:rsidRPr="00092862">
        <w:rPr>
          <w:rFonts w:ascii="Times New Roman" w:hAnsi="Times New Roman"/>
          <w:color w:val="000000" w:themeColor="text1"/>
          <w:lang w:eastAsia="zh-CN"/>
        </w:rPr>
        <w:t>井口周边</w:t>
      </w:r>
      <w:r w:rsidR="00CA526D" w:rsidRPr="00092862">
        <w:rPr>
          <w:rFonts w:ascii="Times New Roman" w:hAnsi="Times New Roman"/>
          <w:color w:val="000000" w:themeColor="text1"/>
          <w:lang w:eastAsia="zh-CN"/>
        </w:rPr>
        <w:t>3</w:t>
      </w:r>
      <w:r w:rsidR="003B1968" w:rsidRPr="00092862">
        <w:rPr>
          <w:rFonts w:ascii="Times New Roman" w:hAnsi="Times New Roman"/>
          <w:color w:val="000000" w:themeColor="text1"/>
          <w:lang w:eastAsia="zh-CN"/>
        </w:rPr>
        <w:t>00m</w:t>
      </w:r>
      <w:r w:rsidR="003B1968" w:rsidRPr="00092862">
        <w:rPr>
          <w:rFonts w:ascii="Times New Roman" w:hAnsi="Times New Roman"/>
          <w:color w:val="000000" w:themeColor="text1"/>
          <w:lang w:eastAsia="zh-CN"/>
        </w:rPr>
        <w:t>内</w:t>
      </w:r>
      <w:r w:rsidR="00CB1CAD" w:rsidRPr="00092862">
        <w:rPr>
          <w:rFonts w:ascii="Times New Roman" w:hAnsi="Times New Roman"/>
          <w:color w:val="000000" w:themeColor="text1"/>
          <w:lang w:eastAsia="zh-CN"/>
        </w:rPr>
        <w:t>无</w:t>
      </w:r>
      <w:r w:rsidR="003B1968" w:rsidRPr="00092862">
        <w:rPr>
          <w:rFonts w:ascii="Times New Roman" w:hAnsi="Times New Roman"/>
          <w:color w:val="000000" w:themeColor="text1"/>
          <w:lang w:eastAsia="zh-CN"/>
        </w:rPr>
        <w:t>农村分</w:t>
      </w:r>
      <w:r w:rsidR="003B1968" w:rsidRPr="00092862">
        <w:rPr>
          <w:rFonts w:ascii="Times New Roman" w:hAnsi="Times New Roman"/>
          <w:color w:val="000000" w:themeColor="text1"/>
          <w:lang w:eastAsia="zh-CN"/>
        </w:rPr>
        <w:lastRenderedPageBreak/>
        <w:t>散居民</w:t>
      </w:r>
      <w:r w:rsidR="00CA526D" w:rsidRPr="00092862">
        <w:rPr>
          <w:rFonts w:ascii="Times New Roman" w:hAnsi="Times New Roman"/>
          <w:color w:val="000000" w:themeColor="text1"/>
          <w:lang w:eastAsia="zh-CN"/>
        </w:rPr>
        <w:t>，</w:t>
      </w:r>
      <w:r w:rsidR="00CA526D" w:rsidRPr="00092862">
        <w:rPr>
          <w:rFonts w:ascii="Times New Roman" w:hAnsi="Times New Roman"/>
          <w:color w:val="000000" w:themeColor="text1"/>
          <w:lang w:eastAsia="zh-CN"/>
        </w:rPr>
        <w:t>500m</w:t>
      </w:r>
      <w:r w:rsidR="00CA526D" w:rsidRPr="00092862">
        <w:rPr>
          <w:rFonts w:ascii="Times New Roman" w:hAnsi="Times New Roman"/>
          <w:color w:val="000000" w:themeColor="text1"/>
          <w:lang w:eastAsia="zh-CN"/>
        </w:rPr>
        <w:t>范围内</w:t>
      </w:r>
      <w:r w:rsidR="003B1968" w:rsidRPr="00092862">
        <w:rPr>
          <w:rFonts w:ascii="Times New Roman" w:hAnsi="Times New Roman"/>
          <w:color w:val="000000" w:themeColor="text1"/>
          <w:lang w:eastAsia="zh-CN"/>
        </w:rPr>
        <w:t>无医院、学校等敏感目标，总体选址环境不敏感。本项目的平面布置执行《钻前工程及井场技术要求》（</w:t>
      </w:r>
      <w:r w:rsidR="003B1968" w:rsidRPr="00092862">
        <w:rPr>
          <w:rFonts w:ascii="Times New Roman" w:hAnsi="Times New Roman"/>
          <w:color w:val="000000" w:themeColor="text1"/>
          <w:lang w:eastAsia="zh-CN"/>
        </w:rPr>
        <w:t>SY/T 5466-2013</w:t>
      </w:r>
      <w:r w:rsidR="003B1968" w:rsidRPr="00092862">
        <w:rPr>
          <w:rFonts w:ascii="Times New Roman" w:hAnsi="Times New Roman"/>
          <w:color w:val="000000" w:themeColor="text1"/>
          <w:lang w:eastAsia="zh-CN"/>
        </w:rPr>
        <w:t>），总体上符合环保要求</w:t>
      </w:r>
      <w:r w:rsidR="003B1968" w:rsidRPr="00092862">
        <w:rPr>
          <w:rFonts w:ascii="Times New Roman" w:hAnsi="Times New Roman"/>
          <w:bCs/>
          <w:color w:val="000000" w:themeColor="text1"/>
          <w:kern w:val="2"/>
          <w:lang w:eastAsia="zh-CN"/>
        </w:rPr>
        <w:t>。</w:t>
      </w:r>
    </w:p>
    <w:p w14:paraId="6215DD34" w14:textId="1DB70375" w:rsidR="00DC446C" w:rsidRPr="00092862" w:rsidRDefault="003B1968" w:rsidP="00200906">
      <w:pPr>
        <w:pStyle w:val="2"/>
        <w:ind w:firstLine="480"/>
        <w:jc w:val="both"/>
        <w:rPr>
          <w:color w:val="000000" w:themeColor="text1"/>
          <w:szCs w:val="24"/>
          <w:lang w:eastAsia="zh-CN"/>
        </w:rPr>
      </w:pPr>
      <w:bookmarkStart w:id="452" w:name="10.4环境影响评价结论"/>
      <w:bookmarkStart w:id="453" w:name="_bookmark52"/>
      <w:bookmarkStart w:id="454" w:name="_Toc123682574"/>
      <w:bookmarkEnd w:id="452"/>
      <w:bookmarkEnd w:id="453"/>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.4</w:t>
      </w:r>
      <w:r w:rsidRPr="00092862">
        <w:rPr>
          <w:color w:val="000000" w:themeColor="text1"/>
          <w:szCs w:val="24"/>
          <w:lang w:eastAsia="zh-CN"/>
        </w:rPr>
        <w:t>环境影响评价结论</w:t>
      </w:r>
      <w:bookmarkEnd w:id="454"/>
    </w:p>
    <w:p w14:paraId="7BD40268" w14:textId="77777777" w:rsidR="00200906" w:rsidRPr="00092862" w:rsidRDefault="00200906"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1</w:t>
      </w:r>
      <w:r w:rsidRPr="00092862">
        <w:rPr>
          <w:rFonts w:ascii="Times New Roman" w:eastAsia="宋体" w:hAnsi="Times New Roman" w:cs="Times New Roman"/>
          <w:color w:val="000000" w:themeColor="text1"/>
          <w:sz w:val="24"/>
          <w:szCs w:val="24"/>
        </w:rPr>
        <w:t>）大气环境</w:t>
      </w:r>
    </w:p>
    <w:p w14:paraId="0F6D4CEA" w14:textId="4179F37D" w:rsidR="00DC446C" w:rsidRPr="00092862" w:rsidRDefault="003B1968"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钻井和天然气</w:t>
      </w:r>
      <w:r w:rsidR="00625D3A"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期，</w:t>
      </w:r>
      <w:r w:rsidR="00200906" w:rsidRPr="00092862">
        <w:rPr>
          <w:rFonts w:ascii="Times New Roman" w:eastAsia="宋体" w:hAnsi="Times New Roman" w:cs="Times New Roman"/>
          <w:color w:val="000000" w:themeColor="text1"/>
          <w:sz w:val="24"/>
          <w:szCs w:val="24"/>
        </w:rPr>
        <w:t>优先使用网电，</w:t>
      </w:r>
      <w:r w:rsidRPr="00092862">
        <w:rPr>
          <w:rFonts w:ascii="Times New Roman" w:eastAsia="宋体" w:hAnsi="Times New Roman" w:cs="Times New Roman"/>
          <w:color w:val="000000" w:themeColor="text1"/>
          <w:sz w:val="24"/>
          <w:szCs w:val="24"/>
        </w:rPr>
        <w:t>废气污染物排放量少</w:t>
      </w:r>
      <w:r w:rsidR="00200906" w:rsidRPr="00092862">
        <w:rPr>
          <w:rFonts w:ascii="Times New Roman" w:eastAsia="宋体" w:hAnsi="Times New Roman" w:cs="Times New Roman"/>
          <w:color w:val="000000" w:themeColor="text1"/>
          <w:sz w:val="24"/>
          <w:szCs w:val="24"/>
        </w:rPr>
        <w:t>，</w:t>
      </w:r>
      <w:r w:rsidR="00AE2799" w:rsidRPr="00092862">
        <w:rPr>
          <w:rFonts w:ascii="Times New Roman" w:eastAsia="宋体" w:hAnsi="Times New Roman" w:cs="Times New Roman"/>
          <w:color w:val="000000" w:themeColor="text1"/>
          <w:sz w:val="24"/>
          <w:szCs w:val="24"/>
        </w:rPr>
        <w:t>钻井期无组织挥发性有机物排放量小</w:t>
      </w:r>
      <w:r w:rsidR="00200906"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测试放喷采用放喷管线接至放喷池并经燃烧后放喷，</w:t>
      </w:r>
      <w:r w:rsidR="00625D3A" w:rsidRPr="00092862">
        <w:rPr>
          <w:rFonts w:ascii="Times New Roman" w:eastAsia="宋体" w:hAnsi="Times New Roman" w:cs="Times New Roman"/>
          <w:color w:val="000000" w:themeColor="text1"/>
          <w:sz w:val="24"/>
          <w:szCs w:val="24"/>
        </w:rPr>
        <w:t>试采</w:t>
      </w:r>
      <w:r w:rsidR="00955002" w:rsidRPr="00092862">
        <w:rPr>
          <w:rFonts w:ascii="Times New Roman" w:eastAsia="宋体" w:hAnsi="Times New Roman" w:cs="Times New Roman"/>
          <w:color w:val="000000" w:themeColor="text1"/>
          <w:sz w:val="24"/>
          <w:szCs w:val="24"/>
        </w:rPr>
        <w:t>期</w:t>
      </w:r>
      <w:r w:rsidR="00C26134" w:rsidRPr="00092862">
        <w:rPr>
          <w:rFonts w:ascii="Times New Roman" w:eastAsia="宋体" w:hAnsi="Times New Roman" w:cs="Times New Roman"/>
          <w:color w:val="000000" w:themeColor="text1"/>
          <w:sz w:val="24"/>
          <w:szCs w:val="24"/>
        </w:rPr>
        <w:t>水套加热炉</w:t>
      </w:r>
      <w:r w:rsidR="00AE2799" w:rsidRPr="00092862">
        <w:rPr>
          <w:rFonts w:ascii="Times New Roman" w:eastAsia="宋体" w:hAnsi="Times New Roman" w:cs="Times New Roman"/>
          <w:color w:val="000000" w:themeColor="text1"/>
          <w:sz w:val="24"/>
          <w:szCs w:val="24"/>
        </w:rPr>
        <w:t>与火炬长明灯</w:t>
      </w:r>
      <w:r w:rsidR="00955002" w:rsidRPr="00092862">
        <w:rPr>
          <w:rFonts w:ascii="Times New Roman" w:eastAsia="宋体" w:hAnsi="Times New Roman" w:cs="Times New Roman"/>
          <w:color w:val="000000" w:themeColor="text1"/>
          <w:sz w:val="24"/>
          <w:szCs w:val="24"/>
        </w:rPr>
        <w:t>使用</w:t>
      </w:r>
      <w:r w:rsidR="00AE2799" w:rsidRPr="00092862">
        <w:rPr>
          <w:rFonts w:ascii="Times New Roman" w:eastAsia="宋体" w:hAnsi="Times New Roman" w:cs="Times New Roman"/>
          <w:color w:val="000000" w:themeColor="text1"/>
          <w:sz w:val="24"/>
          <w:szCs w:val="24"/>
        </w:rPr>
        <w:t>的</w:t>
      </w:r>
      <w:r w:rsidR="00AE2799" w:rsidRPr="00092862">
        <w:rPr>
          <w:rFonts w:ascii="Times New Roman" w:eastAsia="宋体" w:hAnsi="Times New Roman" w:cs="Times New Roman"/>
          <w:bCs/>
          <w:color w:val="000000" w:themeColor="text1"/>
          <w:sz w:val="24"/>
        </w:rPr>
        <w:t>燃料气为</w:t>
      </w:r>
      <w:r w:rsidR="00CA526D" w:rsidRPr="00092862">
        <w:rPr>
          <w:rFonts w:ascii="Times New Roman" w:eastAsia="宋体" w:hAnsi="Times New Roman" w:cs="Times New Roman"/>
          <w:bCs/>
          <w:color w:val="000000" w:themeColor="text1"/>
          <w:sz w:val="24"/>
        </w:rPr>
        <w:t>区块</w:t>
      </w:r>
      <w:r w:rsidR="00AE2799" w:rsidRPr="00092862">
        <w:rPr>
          <w:rFonts w:ascii="Times New Roman" w:eastAsia="宋体" w:hAnsi="Times New Roman" w:cs="Times New Roman"/>
          <w:bCs/>
          <w:color w:val="000000" w:themeColor="text1"/>
          <w:sz w:val="24"/>
        </w:rPr>
        <w:t>返输的</w:t>
      </w:r>
      <w:r w:rsidR="00CA526D" w:rsidRPr="00092862">
        <w:rPr>
          <w:rFonts w:ascii="Times New Roman" w:eastAsia="宋体" w:hAnsi="Times New Roman" w:cs="Times New Roman"/>
          <w:bCs/>
          <w:color w:val="000000" w:themeColor="text1"/>
          <w:sz w:val="24"/>
        </w:rPr>
        <w:t>净化</w:t>
      </w:r>
      <w:r w:rsidR="00AE2799" w:rsidRPr="00092862">
        <w:rPr>
          <w:rFonts w:ascii="Times New Roman" w:eastAsia="宋体" w:hAnsi="Times New Roman" w:cs="Times New Roman"/>
          <w:bCs/>
          <w:color w:val="000000" w:themeColor="text1"/>
          <w:sz w:val="24"/>
        </w:rPr>
        <w:t>燃料气，为净化后硫化氢含量极低的天然气（</w:t>
      </w:r>
      <w:r w:rsidR="00AE2799" w:rsidRPr="00092862">
        <w:rPr>
          <w:rFonts w:ascii="Times New Roman" w:eastAsia="宋体" w:hAnsi="Times New Roman" w:cs="Times New Roman"/>
          <w:bCs/>
          <w:color w:val="000000" w:themeColor="text1"/>
          <w:sz w:val="24"/>
        </w:rPr>
        <w:t>≤6mg/m</w:t>
      </w:r>
      <w:r w:rsidR="00AE2799" w:rsidRPr="00092862">
        <w:rPr>
          <w:rFonts w:ascii="Times New Roman" w:eastAsia="宋体" w:hAnsi="Times New Roman" w:cs="Times New Roman"/>
          <w:bCs/>
          <w:color w:val="000000" w:themeColor="text1"/>
          <w:sz w:val="24"/>
          <w:vertAlign w:val="superscript"/>
        </w:rPr>
        <w:t>3</w:t>
      </w:r>
      <w:r w:rsidR="00AE2799" w:rsidRPr="00092862">
        <w:rPr>
          <w:rFonts w:ascii="Times New Roman" w:eastAsia="宋体" w:hAnsi="Times New Roman" w:cs="Times New Roman"/>
          <w:bCs/>
          <w:color w:val="000000" w:themeColor="text1"/>
          <w:sz w:val="24"/>
        </w:rPr>
        <w:t>）</w:t>
      </w:r>
      <w:r w:rsidR="00955002" w:rsidRPr="00092862">
        <w:rPr>
          <w:rFonts w:ascii="Times New Roman" w:eastAsia="宋体" w:hAnsi="Times New Roman" w:cs="Times New Roman"/>
          <w:color w:val="000000" w:themeColor="text1"/>
          <w:sz w:val="24"/>
          <w:szCs w:val="24"/>
        </w:rPr>
        <w:t>，废气能达标排放，设备检修废气通过</w:t>
      </w:r>
      <w:r w:rsidR="00AE2799" w:rsidRPr="00092862">
        <w:rPr>
          <w:rFonts w:ascii="Times New Roman" w:eastAsia="宋体" w:hAnsi="Times New Roman" w:cs="Times New Roman"/>
          <w:color w:val="000000" w:themeColor="text1"/>
          <w:sz w:val="24"/>
          <w:szCs w:val="24"/>
        </w:rPr>
        <w:t>放空火炬</w:t>
      </w:r>
      <w:r w:rsidR="00955002" w:rsidRPr="00092862">
        <w:rPr>
          <w:rFonts w:ascii="Times New Roman" w:eastAsia="宋体" w:hAnsi="Times New Roman" w:cs="Times New Roman"/>
          <w:color w:val="000000" w:themeColor="text1"/>
          <w:sz w:val="24"/>
          <w:szCs w:val="24"/>
        </w:rPr>
        <w:t>燃烧排放，且排放时间短，对所在地大气环境的影响是可接受的。</w:t>
      </w:r>
    </w:p>
    <w:p w14:paraId="6F2C6DAB" w14:textId="77777777" w:rsidR="00DC446C" w:rsidRPr="00092862" w:rsidRDefault="003B1968"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）地表水</w:t>
      </w:r>
    </w:p>
    <w:p w14:paraId="16782FF6" w14:textId="0119BC50" w:rsidR="00DC446C" w:rsidRPr="00092862" w:rsidRDefault="003B1968"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钻前施工废水回用于降尘，钻井期间，钻井废水和洗井废水经固控设备固液分离后满足要求的全部回用于钻井过程，剩余不可回用部分暂存于污水罐，定期通过</w:t>
      </w:r>
      <w:r w:rsidR="00CB1CA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00200906"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压裂返排液</w:t>
      </w:r>
      <w:r w:rsidR="00CB1CAD" w:rsidRPr="00092862">
        <w:rPr>
          <w:rFonts w:ascii="Times New Roman" w:eastAsia="宋体" w:hAnsi="Times New Roman" w:cs="Times New Roman"/>
          <w:color w:val="000000" w:themeColor="text1"/>
          <w:sz w:val="24"/>
          <w:szCs w:val="24"/>
        </w:rPr>
        <w:t>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color w:val="000000" w:themeColor="text1"/>
          <w:sz w:val="24"/>
          <w:szCs w:val="24"/>
        </w:rPr>
        <w:t>；天然气</w:t>
      </w:r>
      <w:r w:rsidR="00625D3A"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期间，产生的废水</w:t>
      </w:r>
      <w:r w:rsidR="00CB1CAD" w:rsidRPr="00092862">
        <w:rPr>
          <w:rFonts w:ascii="Times New Roman" w:eastAsia="宋体" w:hAnsi="Times New Roman" w:cs="Times New Roman"/>
          <w:color w:val="000000" w:themeColor="text1"/>
          <w:sz w:val="24"/>
          <w:szCs w:val="24"/>
        </w:rPr>
        <w:t>用密闭罐车拉运至</w:t>
      </w:r>
      <w:r w:rsidR="005D5A22" w:rsidRPr="00092862">
        <w:rPr>
          <w:rFonts w:ascii="Times New Roman" w:eastAsia="宋体" w:hAnsi="Times New Roman" w:cs="Times New Roman"/>
          <w:color w:val="000000" w:themeColor="text1"/>
          <w:sz w:val="24"/>
          <w:szCs w:val="24"/>
        </w:rPr>
        <w:t>赵家坝污水处理站达标后管输至普光</w:t>
      </w:r>
      <w:r w:rsidR="005D5A22" w:rsidRPr="00092862">
        <w:rPr>
          <w:rFonts w:ascii="Times New Roman" w:eastAsia="宋体" w:hAnsi="Times New Roman" w:cs="Times New Roman"/>
          <w:color w:val="000000" w:themeColor="text1"/>
          <w:sz w:val="24"/>
          <w:szCs w:val="24"/>
        </w:rPr>
        <w:t>11</w:t>
      </w:r>
      <w:r w:rsidR="005D5A22" w:rsidRPr="00092862">
        <w:rPr>
          <w:rFonts w:ascii="Times New Roman" w:eastAsia="宋体" w:hAnsi="Times New Roman" w:cs="Times New Roman"/>
          <w:color w:val="000000" w:themeColor="text1"/>
          <w:sz w:val="24"/>
          <w:szCs w:val="24"/>
        </w:rPr>
        <w:t>井回注站回注</w:t>
      </w:r>
      <w:r w:rsidR="00CB1CAD" w:rsidRPr="00092862">
        <w:rPr>
          <w:rFonts w:ascii="Times New Roman" w:eastAsia="宋体" w:hAnsi="Times New Roman" w:cs="Times New Roman"/>
          <w:color w:val="000000" w:themeColor="text1"/>
          <w:sz w:val="24"/>
          <w:szCs w:val="24"/>
        </w:rPr>
        <w:t>，不外排</w:t>
      </w:r>
      <w:r w:rsidRPr="00092862">
        <w:rPr>
          <w:rFonts w:ascii="Times New Roman" w:eastAsia="宋体" w:hAnsi="Times New Roman" w:cs="Times New Roman"/>
          <w:color w:val="000000" w:themeColor="text1"/>
          <w:sz w:val="24"/>
          <w:szCs w:val="24"/>
        </w:rPr>
        <w:t>。对区域</w:t>
      </w:r>
      <w:r w:rsidR="00AE2799" w:rsidRPr="00092862">
        <w:rPr>
          <w:rFonts w:ascii="Times New Roman" w:eastAsia="宋体" w:hAnsi="Times New Roman" w:cs="Times New Roman"/>
          <w:color w:val="000000" w:themeColor="text1"/>
          <w:sz w:val="24"/>
          <w:szCs w:val="24"/>
        </w:rPr>
        <w:t>地表水环境</w:t>
      </w:r>
      <w:r w:rsidRPr="00092862">
        <w:rPr>
          <w:rFonts w:ascii="Times New Roman" w:eastAsia="宋体" w:hAnsi="Times New Roman" w:cs="Times New Roman"/>
          <w:color w:val="000000" w:themeColor="text1"/>
          <w:sz w:val="24"/>
          <w:szCs w:val="24"/>
        </w:rPr>
        <w:t>影响甚微。</w:t>
      </w:r>
    </w:p>
    <w:p w14:paraId="1BD4A724" w14:textId="77777777" w:rsidR="00DC446C" w:rsidRPr="00092862" w:rsidRDefault="003B1968"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3</w:t>
      </w:r>
      <w:r w:rsidRPr="00092862">
        <w:rPr>
          <w:rFonts w:ascii="Times New Roman" w:eastAsia="宋体" w:hAnsi="Times New Roman" w:cs="Times New Roman"/>
          <w:color w:val="000000" w:themeColor="text1"/>
          <w:sz w:val="24"/>
          <w:szCs w:val="24"/>
        </w:rPr>
        <w:t>）声环境</w:t>
      </w:r>
    </w:p>
    <w:p w14:paraId="481CE173" w14:textId="6FBDB6E3" w:rsidR="00DC446C" w:rsidRPr="00092862" w:rsidRDefault="003B1968"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钻井期间噪声对周围环境的影响为短暂影响，采用噪声源合理布局，为产噪大的设备安装消声器和减震基础，随着工程的完工，噪声影响消失。通过对井场周围居民的影响预测可知，在采取合理措施后，</w:t>
      </w:r>
      <w:r w:rsidR="003A3D25" w:rsidRPr="00092862">
        <w:rPr>
          <w:rFonts w:ascii="Times New Roman" w:eastAsia="宋体" w:hAnsi="Times New Roman" w:cs="Times New Roman"/>
          <w:color w:val="000000" w:themeColor="text1"/>
          <w:sz w:val="24"/>
          <w:szCs w:val="24"/>
        </w:rPr>
        <w:t>井场周边居民等敏感目标均能满足</w:t>
      </w:r>
      <w:r w:rsidR="00CA526D" w:rsidRPr="00092862">
        <w:rPr>
          <w:rFonts w:ascii="Times New Roman" w:eastAsia="宋体" w:hAnsi="Times New Roman" w:cs="Times New Roman"/>
          <w:color w:val="000000" w:themeColor="text1"/>
        </w:rPr>
        <w:t>《声环境质量标准》（</w:t>
      </w:r>
      <w:r w:rsidR="00CA526D" w:rsidRPr="00092862">
        <w:rPr>
          <w:rFonts w:ascii="Times New Roman" w:eastAsia="宋体" w:hAnsi="Times New Roman" w:cs="Times New Roman"/>
          <w:color w:val="000000" w:themeColor="text1"/>
        </w:rPr>
        <w:t>GB3096-2008</w:t>
      </w:r>
      <w:r w:rsidR="00CA526D" w:rsidRPr="00092862">
        <w:rPr>
          <w:rFonts w:ascii="Times New Roman" w:eastAsia="宋体" w:hAnsi="Times New Roman" w:cs="Times New Roman"/>
          <w:color w:val="000000" w:themeColor="text1"/>
        </w:rPr>
        <w:t>）</w:t>
      </w:r>
      <w:r w:rsidR="003A3D25" w:rsidRPr="00092862">
        <w:rPr>
          <w:rFonts w:ascii="Times New Roman" w:eastAsia="宋体" w:hAnsi="Times New Roman" w:cs="Times New Roman"/>
          <w:color w:val="000000" w:themeColor="text1"/>
          <w:sz w:val="24"/>
          <w:szCs w:val="24"/>
        </w:rPr>
        <w:t>中</w:t>
      </w:r>
      <w:r w:rsidR="003A3D25" w:rsidRPr="00092862">
        <w:rPr>
          <w:rFonts w:ascii="Times New Roman" w:eastAsia="宋体" w:hAnsi="Times New Roman" w:cs="Times New Roman"/>
          <w:color w:val="000000" w:themeColor="text1"/>
          <w:sz w:val="24"/>
          <w:szCs w:val="24"/>
        </w:rPr>
        <w:t>2</w:t>
      </w:r>
      <w:r w:rsidR="003A3D25" w:rsidRPr="00092862">
        <w:rPr>
          <w:rFonts w:ascii="Times New Roman" w:eastAsia="宋体" w:hAnsi="Times New Roman" w:cs="Times New Roman"/>
          <w:color w:val="000000" w:themeColor="text1"/>
          <w:sz w:val="24"/>
          <w:szCs w:val="24"/>
        </w:rPr>
        <w:t>类标准要求</w:t>
      </w:r>
      <w:r w:rsidRPr="00092862">
        <w:rPr>
          <w:rFonts w:ascii="Times New Roman" w:eastAsia="宋体" w:hAnsi="Times New Roman" w:cs="Times New Roman"/>
          <w:color w:val="000000" w:themeColor="text1"/>
          <w:sz w:val="24"/>
          <w:szCs w:val="24"/>
        </w:rPr>
        <w:t>。</w:t>
      </w:r>
    </w:p>
    <w:p w14:paraId="1701DCA9" w14:textId="07F75065" w:rsidR="00DC446C" w:rsidRPr="00092862" w:rsidRDefault="003B1968" w:rsidP="001051D7">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天然气</w:t>
      </w:r>
      <w:r w:rsidR="00625D3A" w:rsidRPr="00092862">
        <w:rPr>
          <w:rFonts w:ascii="Times New Roman" w:eastAsia="宋体" w:hAnsi="Times New Roman" w:cs="Times New Roman"/>
          <w:color w:val="000000" w:themeColor="text1"/>
          <w:sz w:val="24"/>
          <w:szCs w:val="24"/>
        </w:rPr>
        <w:t>试采</w:t>
      </w:r>
      <w:r w:rsidRPr="00092862">
        <w:rPr>
          <w:rFonts w:ascii="Times New Roman" w:eastAsia="宋体" w:hAnsi="Times New Roman" w:cs="Times New Roman"/>
          <w:color w:val="000000" w:themeColor="text1"/>
          <w:sz w:val="24"/>
          <w:szCs w:val="24"/>
        </w:rPr>
        <w:t>期间，厂界噪声能实现达标排放，</w:t>
      </w:r>
      <w:r w:rsidR="003A3D25" w:rsidRPr="00092862">
        <w:rPr>
          <w:rFonts w:ascii="Times New Roman" w:eastAsia="宋体" w:hAnsi="Times New Roman" w:cs="Times New Roman"/>
          <w:color w:val="000000" w:themeColor="text1"/>
          <w:sz w:val="24"/>
          <w:szCs w:val="24"/>
        </w:rPr>
        <w:t>周边声环境</w:t>
      </w:r>
      <w:r w:rsidRPr="00092862">
        <w:rPr>
          <w:rFonts w:ascii="Times New Roman" w:eastAsia="宋体" w:hAnsi="Times New Roman" w:cs="Times New Roman"/>
          <w:color w:val="000000" w:themeColor="text1"/>
          <w:sz w:val="24"/>
          <w:szCs w:val="24"/>
        </w:rPr>
        <w:t>敏感点</w:t>
      </w:r>
      <w:r w:rsidR="003A3D25" w:rsidRPr="00092862">
        <w:rPr>
          <w:rFonts w:ascii="Times New Roman" w:eastAsia="宋体" w:hAnsi="Times New Roman" w:cs="Times New Roman"/>
          <w:color w:val="000000" w:themeColor="text1"/>
          <w:sz w:val="24"/>
          <w:szCs w:val="24"/>
        </w:rPr>
        <w:t>（均位于井口周边</w:t>
      </w:r>
      <w:r w:rsidR="00CA526D" w:rsidRPr="00092862">
        <w:rPr>
          <w:rFonts w:ascii="Times New Roman" w:eastAsia="宋体" w:hAnsi="Times New Roman" w:cs="Times New Roman"/>
          <w:color w:val="000000" w:themeColor="text1"/>
          <w:sz w:val="24"/>
          <w:szCs w:val="24"/>
        </w:rPr>
        <w:t>3</w:t>
      </w:r>
      <w:r w:rsidR="003A3D25" w:rsidRPr="00092862">
        <w:rPr>
          <w:rFonts w:ascii="Times New Roman" w:eastAsia="宋体" w:hAnsi="Times New Roman" w:cs="Times New Roman"/>
          <w:color w:val="000000" w:themeColor="text1"/>
          <w:sz w:val="24"/>
          <w:szCs w:val="24"/>
        </w:rPr>
        <w:t>00m</w:t>
      </w:r>
      <w:r w:rsidR="003A3D25" w:rsidRPr="00092862">
        <w:rPr>
          <w:rFonts w:ascii="Times New Roman" w:eastAsia="宋体" w:hAnsi="Times New Roman" w:cs="Times New Roman"/>
          <w:color w:val="000000" w:themeColor="text1"/>
          <w:sz w:val="24"/>
          <w:szCs w:val="24"/>
        </w:rPr>
        <w:t>范围外）</w:t>
      </w:r>
      <w:r w:rsidRPr="00092862">
        <w:rPr>
          <w:rFonts w:ascii="Times New Roman" w:eastAsia="宋体" w:hAnsi="Times New Roman" w:cs="Times New Roman"/>
          <w:color w:val="000000" w:themeColor="text1"/>
          <w:sz w:val="24"/>
          <w:szCs w:val="24"/>
        </w:rPr>
        <w:t>噪声能达到</w:t>
      </w:r>
      <w:r w:rsidR="00CA526D" w:rsidRPr="00092862">
        <w:rPr>
          <w:rFonts w:ascii="Times New Roman" w:eastAsia="宋体" w:hAnsi="Times New Roman" w:cs="Times New Roman"/>
          <w:color w:val="000000" w:themeColor="text1"/>
        </w:rPr>
        <w:t>《声环境质量标准》（</w:t>
      </w:r>
      <w:r w:rsidR="00CA526D" w:rsidRPr="00092862">
        <w:rPr>
          <w:rFonts w:ascii="Times New Roman" w:eastAsia="宋体" w:hAnsi="Times New Roman" w:cs="Times New Roman"/>
          <w:color w:val="000000" w:themeColor="text1"/>
        </w:rPr>
        <w:t>GB3096-2008</w:t>
      </w:r>
      <w:r w:rsidR="00CA526D" w:rsidRPr="00092862">
        <w:rPr>
          <w:rFonts w:ascii="Times New Roman" w:eastAsia="宋体" w:hAnsi="Times New Roman" w:cs="Times New Roman"/>
          <w:color w:val="000000" w:themeColor="text1"/>
        </w:rPr>
        <w:t>）</w:t>
      </w:r>
      <w:r w:rsidRPr="00092862">
        <w:rPr>
          <w:rFonts w:ascii="Times New Roman" w:eastAsia="宋体" w:hAnsi="Times New Roman" w:cs="Times New Roman"/>
          <w:color w:val="000000" w:themeColor="text1"/>
          <w:sz w:val="24"/>
          <w:szCs w:val="24"/>
        </w:rPr>
        <w:t>中</w:t>
      </w:r>
      <w:r w:rsidRPr="00092862">
        <w:rPr>
          <w:rFonts w:ascii="Times New Roman" w:eastAsia="宋体" w:hAnsi="Times New Roman" w:cs="Times New Roman"/>
          <w:color w:val="000000" w:themeColor="text1"/>
          <w:sz w:val="24"/>
          <w:szCs w:val="24"/>
        </w:rPr>
        <w:t>2</w:t>
      </w:r>
      <w:r w:rsidRPr="00092862">
        <w:rPr>
          <w:rFonts w:ascii="Times New Roman" w:eastAsia="宋体" w:hAnsi="Times New Roman" w:cs="Times New Roman"/>
          <w:color w:val="000000" w:themeColor="text1"/>
          <w:sz w:val="24"/>
          <w:szCs w:val="24"/>
        </w:rPr>
        <w:t>类标准要求，不会噪声扰民。</w:t>
      </w:r>
    </w:p>
    <w:p w14:paraId="3D7AF7BE" w14:textId="77777777" w:rsidR="00DC446C" w:rsidRPr="00092862" w:rsidRDefault="003B1968"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4</w:t>
      </w:r>
      <w:r w:rsidRPr="00092862">
        <w:rPr>
          <w:rFonts w:ascii="Times New Roman" w:eastAsia="宋体" w:hAnsi="Times New Roman" w:cs="Times New Roman"/>
          <w:color w:val="000000" w:themeColor="text1"/>
          <w:sz w:val="24"/>
          <w:szCs w:val="24"/>
        </w:rPr>
        <w:t>）固体废物</w:t>
      </w:r>
    </w:p>
    <w:p w14:paraId="317EFE47" w14:textId="0484BECF" w:rsidR="00DC446C" w:rsidRPr="00092862" w:rsidRDefault="003B1968"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项目产生弃土用于生态恢复，生活垃圾交由环卫部门处理，</w:t>
      </w:r>
      <w:r w:rsidR="001051D7" w:rsidRPr="00092862">
        <w:rPr>
          <w:rFonts w:ascii="Times New Roman" w:eastAsia="宋体" w:hAnsi="Times New Roman" w:cs="Times New Roman"/>
          <w:color w:val="000000" w:themeColor="text1"/>
          <w:sz w:val="24"/>
          <w:szCs w:val="24"/>
        </w:rPr>
        <w:t>水基钻井固废</w:t>
      </w:r>
      <w:r w:rsidRPr="00092862">
        <w:rPr>
          <w:rFonts w:ascii="Times New Roman" w:eastAsia="宋体" w:hAnsi="Times New Roman" w:cs="Times New Roman"/>
          <w:color w:val="000000" w:themeColor="text1"/>
          <w:sz w:val="24"/>
          <w:szCs w:val="24"/>
        </w:rPr>
        <w:t>收集后</w:t>
      </w:r>
      <w:r w:rsidR="00D074AC" w:rsidRPr="00092862">
        <w:rPr>
          <w:rFonts w:ascii="Times New Roman" w:eastAsia="宋体" w:hAnsi="Times New Roman" w:cs="Times New Roman"/>
          <w:color w:val="000000" w:themeColor="text1"/>
          <w:sz w:val="24"/>
          <w:szCs w:val="24"/>
        </w:rPr>
        <w:t>定期用密闭罐车</w:t>
      </w:r>
      <w:r w:rsidR="000408D0" w:rsidRPr="00092862">
        <w:rPr>
          <w:rFonts w:ascii="Times New Roman" w:eastAsia="宋体" w:hAnsi="Times New Roman" w:cs="Times New Roman"/>
          <w:color w:val="000000" w:themeColor="text1"/>
          <w:sz w:val="24"/>
          <w:szCs w:val="24"/>
        </w:rPr>
        <w:t>及时转运至达州地区环保手续齐全、环保设施稳定运行固废烧结厂进行烧结后综合利用</w:t>
      </w:r>
      <w:r w:rsidR="001051D7" w:rsidRPr="00092862">
        <w:rPr>
          <w:rFonts w:ascii="Times New Roman" w:eastAsia="宋体" w:hAnsi="Times New Roman" w:cs="Times New Roman"/>
          <w:color w:val="000000" w:themeColor="text1"/>
          <w:sz w:val="24"/>
          <w:szCs w:val="24"/>
        </w:rPr>
        <w:t>，</w:t>
      </w:r>
      <w:r w:rsidR="006D2328" w:rsidRPr="00092862">
        <w:rPr>
          <w:rFonts w:ascii="Times New Roman" w:eastAsia="宋体" w:hAnsi="Times New Roman" w:cs="Times New Roman"/>
          <w:color w:val="000000" w:themeColor="text1"/>
          <w:sz w:val="24"/>
          <w:szCs w:val="24"/>
        </w:rPr>
        <w:t>设置废油桶集中收集暂存于泥浆不落地装置</w:t>
      </w:r>
      <w:r w:rsidR="006D2328" w:rsidRPr="00092862">
        <w:rPr>
          <w:rFonts w:ascii="Times New Roman" w:eastAsia="宋体" w:hAnsi="Times New Roman" w:cs="Times New Roman"/>
          <w:color w:val="000000" w:themeColor="text1"/>
          <w:sz w:val="24"/>
          <w:szCs w:val="24"/>
        </w:rPr>
        <w:lastRenderedPageBreak/>
        <w:t>区临时堆放区内，钻井队综合利用或交由有资质的单位处理</w:t>
      </w:r>
      <w:r w:rsidRPr="00092862">
        <w:rPr>
          <w:rFonts w:ascii="Times New Roman" w:eastAsia="宋体" w:hAnsi="Times New Roman" w:cs="Times New Roman"/>
          <w:color w:val="000000" w:themeColor="text1"/>
          <w:sz w:val="24"/>
          <w:szCs w:val="24"/>
        </w:rPr>
        <w:t>。各类固体废物经分类收集，严格做好固体废物的暂存管理，并采取有效的处置措施，使固体废物均得以妥善处置，对环境不会造成污染影响。</w:t>
      </w:r>
    </w:p>
    <w:p w14:paraId="6FEDC3DB" w14:textId="77777777" w:rsidR="00DC446C" w:rsidRPr="00092862" w:rsidRDefault="003B1968"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5</w:t>
      </w:r>
      <w:r w:rsidRPr="00092862">
        <w:rPr>
          <w:rFonts w:ascii="Times New Roman" w:eastAsia="宋体" w:hAnsi="Times New Roman" w:cs="Times New Roman"/>
          <w:color w:val="000000" w:themeColor="text1"/>
          <w:sz w:val="24"/>
          <w:szCs w:val="24"/>
        </w:rPr>
        <w:t>）地下水</w:t>
      </w:r>
    </w:p>
    <w:p w14:paraId="0F7F8F24" w14:textId="35B6190F" w:rsidR="00DC446C" w:rsidRPr="00092862" w:rsidRDefault="003A3D25"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本项目不涉及浅层</w:t>
      </w:r>
      <w:r w:rsidR="003B1968" w:rsidRPr="00092862">
        <w:rPr>
          <w:rFonts w:ascii="Times New Roman" w:eastAsia="宋体" w:hAnsi="Times New Roman" w:cs="Times New Roman"/>
          <w:color w:val="000000" w:themeColor="text1"/>
          <w:sz w:val="24"/>
          <w:szCs w:val="24"/>
        </w:rPr>
        <w:t>钻</w:t>
      </w:r>
      <w:r w:rsidRPr="00092862">
        <w:rPr>
          <w:rFonts w:ascii="Times New Roman" w:eastAsia="宋体" w:hAnsi="Times New Roman" w:cs="Times New Roman"/>
          <w:color w:val="000000" w:themeColor="text1"/>
          <w:sz w:val="24"/>
          <w:szCs w:val="24"/>
        </w:rPr>
        <w:t>井，</w:t>
      </w:r>
      <w:r w:rsidR="003B1968" w:rsidRPr="00092862">
        <w:rPr>
          <w:rFonts w:ascii="Times New Roman" w:eastAsia="宋体" w:hAnsi="Times New Roman" w:cs="Times New Roman"/>
          <w:color w:val="000000" w:themeColor="text1"/>
          <w:sz w:val="24"/>
          <w:szCs w:val="24"/>
        </w:rPr>
        <w:t>对井场采取分区防渗</w:t>
      </w:r>
      <w:r w:rsidR="001051D7" w:rsidRPr="00092862">
        <w:rPr>
          <w:rFonts w:ascii="Times New Roman" w:eastAsia="宋体" w:hAnsi="Times New Roman" w:cs="Times New Roman"/>
          <w:color w:val="000000" w:themeColor="text1"/>
          <w:sz w:val="24"/>
          <w:szCs w:val="24"/>
        </w:rPr>
        <w:t>和加强污染监控</w:t>
      </w:r>
      <w:r w:rsidR="003B1968" w:rsidRPr="00092862">
        <w:rPr>
          <w:rFonts w:ascii="Times New Roman" w:eastAsia="宋体" w:hAnsi="Times New Roman" w:cs="Times New Roman"/>
          <w:color w:val="000000" w:themeColor="text1"/>
          <w:sz w:val="24"/>
          <w:szCs w:val="24"/>
        </w:rPr>
        <w:t>后，钻井期间发生污染地下水的可能性较小。若钻井过程中出现废水外溢等事件，将造成井场或井筒周围小范围内的地下</w:t>
      </w:r>
      <w:r w:rsidR="00CA526D" w:rsidRPr="00092862">
        <w:rPr>
          <w:rFonts w:ascii="Times New Roman" w:eastAsia="宋体" w:hAnsi="Times New Roman" w:cs="Times New Roman"/>
          <w:bCs/>
          <w:color w:val="000000" w:themeColor="text1"/>
          <w:sz w:val="24"/>
          <w:szCs w:val="24"/>
        </w:rPr>
        <w:t>耗氧量</w:t>
      </w:r>
      <w:r w:rsidR="00CA526D" w:rsidRPr="00092862">
        <w:rPr>
          <w:rFonts w:ascii="Times New Roman" w:eastAsia="宋体" w:hAnsi="Times New Roman" w:cs="Times New Roman"/>
          <w:color w:val="000000" w:themeColor="text1"/>
          <w:sz w:val="24"/>
          <w:szCs w:val="24"/>
        </w:rPr>
        <w:t>、</w:t>
      </w:r>
      <w:r w:rsidR="003B1968" w:rsidRPr="00092862">
        <w:rPr>
          <w:rFonts w:ascii="Times New Roman" w:eastAsia="宋体" w:hAnsi="Times New Roman" w:cs="Times New Roman"/>
          <w:color w:val="000000" w:themeColor="text1"/>
          <w:sz w:val="24"/>
          <w:szCs w:val="24"/>
        </w:rPr>
        <w:t>石油类超标，该范围以外的地区，地下水质量维持现状，对周边散居农户水井</w:t>
      </w:r>
      <w:r w:rsidRPr="00092862">
        <w:rPr>
          <w:rFonts w:ascii="Times New Roman" w:eastAsia="宋体" w:hAnsi="Times New Roman" w:cs="Times New Roman"/>
          <w:color w:val="000000" w:themeColor="text1"/>
          <w:sz w:val="24"/>
          <w:szCs w:val="24"/>
        </w:rPr>
        <w:t>（地下水评价范围内无居民饮用水井分布）</w:t>
      </w:r>
      <w:r w:rsidR="003B1968" w:rsidRPr="00092862">
        <w:rPr>
          <w:rFonts w:ascii="Times New Roman" w:eastAsia="宋体" w:hAnsi="Times New Roman" w:cs="Times New Roman"/>
          <w:color w:val="000000" w:themeColor="text1"/>
          <w:sz w:val="24"/>
          <w:szCs w:val="24"/>
        </w:rPr>
        <w:t>的影响较小。天然气</w:t>
      </w:r>
      <w:r w:rsidR="00625D3A" w:rsidRPr="00092862">
        <w:rPr>
          <w:rFonts w:ascii="Times New Roman" w:eastAsia="宋体" w:hAnsi="Times New Roman" w:cs="Times New Roman"/>
          <w:color w:val="000000" w:themeColor="text1"/>
          <w:sz w:val="24"/>
          <w:szCs w:val="24"/>
        </w:rPr>
        <w:t>试采</w:t>
      </w:r>
      <w:r w:rsidR="003B1968" w:rsidRPr="00092862">
        <w:rPr>
          <w:rFonts w:ascii="Times New Roman" w:eastAsia="宋体" w:hAnsi="Times New Roman" w:cs="Times New Roman"/>
          <w:color w:val="000000" w:themeColor="text1"/>
          <w:sz w:val="24"/>
          <w:szCs w:val="24"/>
        </w:rPr>
        <w:t>期间废水集中收集，不会对地下水造成影响。</w:t>
      </w:r>
    </w:p>
    <w:p w14:paraId="2BA2FED1" w14:textId="77777777" w:rsidR="00DC446C" w:rsidRPr="00092862" w:rsidRDefault="003B1968"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6</w:t>
      </w:r>
      <w:r w:rsidRPr="00092862">
        <w:rPr>
          <w:rFonts w:ascii="Times New Roman" w:eastAsia="宋体" w:hAnsi="Times New Roman" w:cs="Times New Roman"/>
          <w:color w:val="000000" w:themeColor="text1"/>
          <w:sz w:val="24"/>
          <w:szCs w:val="24"/>
        </w:rPr>
        <w:t>）土壤环境</w:t>
      </w:r>
    </w:p>
    <w:p w14:paraId="27166E3F" w14:textId="0808135F" w:rsidR="00DC446C" w:rsidRPr="00092862" w:rsidRDefault="00D851E8"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本项目仅施工期生活区临时占地为新增占地</w:t>
      </w:r>
      <w:r w:rsidR="003A3D25" w:rsidRPr="00092862">
        <w:rPr>
          <w:rFonts w:ascii="Times New Roman" w:eastAsia="宋体" w:hAnsi="Times New Roman" w:cs="Times New Roman"/>
          <w:color w:val="000000" w:themeColor="text1"/>
          <w:sz w:val="24"/>
          <w:szCs w:val="24"/>
        </w:rPr>
        <w:t>，其余均为利用原有占地</w:t>
      </w:r>
      <w:r w:rsidR="003B1968" w:rsidRPr="00092862">
        <w:rPr>
          <w:rFonts w:ascii="Times New Roman" w:eastAsia="宋体" w:hAnsi="Times New Roman" w:cs="Times New Roman"/>
          <w:color w:val="000000" w:themeColor="text1"/>
          <w:sz w:val="24"/>
          <w:szCs w:val="24"/>
        </w:rPr>
        <w:t>，采取了清污分流、分区分级防渗等措施，污染物进入土壤环境的可能性很小。根据类比调查，同地区天然气钻采项目均未出现过土壤环境污染现场和投诉，项目不会对土壤环境造成影响。</w:t>
      </w:r>
    </w:p>
    <w:p w14:paraId="229023F5" w14:textId="77777777" w:rsidR="00DC446C" w:rsidRPr="00092862" w:rsidRDefault="003B1968" w:rsidP="00200906">
      <w:pPr>
        <w:adjustRightInd w:val="0"/>
        <w:snapToGrid w:val="0"/>
        <w:spacing w:line="360" w:lineRule="auto"/>
        <w:ind w:firstLineChars="200" w:firstLine="480"/>
        <w:rPr>
          <w:rFonts w:ascii="Times New Roman" w:eastAsia="宋体" w:hAnsi="Times New Roman" w:cs="Times New Roman"/>
          <w:color w:val="000000" w:themeColor="text1"/>
          <w:sz w:val="24"/>
          <w:szCs w:val="24"/>
        </w:rPr>
      </w:pPr>
      <w:r w:rsidRPr="00092862">
        <w:rPr>
          <w:rFonts w:ascii="Times New Roman" w:eastAsia="宋体" w:hAnsi="Times New Roman" w:cs="Times New Roman"/>
          <w:color w:val="000000" w:themeColor="text1"/>
          <w:sz w:val="24"/>
          <w:szCs w:val="24"/>
        </w:rPr>
        <w:t>（</w:t>
      </w:r>
      <w:r w:rsidRPr="00092862">
        <w:rPr>
          <w:rFonts w:ascii="Times New Roman" w:eastAsia="宋体" w:hAnsi="Times New Roman" w:cs="Times New Roman"/>
          <w:color w:val="000000" w:themeColor="text1"/>
          <w:sz w:val="24"/>
          <w:szCs w:val="24"/>
        </w:rPr>
        <w:t>7</w:t>
      </w:r>
      <w:r w:rsidRPr="00092862">
        <w:rPr>
          <w:rFonts w:ascii="Times New Roman" w:eastAsia="宋体" w:hAnsi="Times New Roman" w:cs="Times New Roman"/>
          <w:color w:val="000000" w:themeColor="text1"/>
          <w:sz w:val="24"/>
          <w:szCs w:val="24"/>
        </w:rPr>
        <w:t>）生态环境</w:t>
      </w:r>
    </w:p>
    <w:p w14:paraId="0EC022E8" w14:textId="7CF4CDF3" w:rsidR="00DC446C" w:rsidRPr="00092862" w:rsidRDefault="001051D7" w:rsidP="00200906">
      <w:pPr>
        <w:pStyle w:val="ac"/>
        <w:adjustRightInd w:val="0"/>
        <w:snapToGrid w:val="0"/>
        <w:spacing w:before="0" w:line="360" w:lineRule="auto"/>
        <w:ind w:left="0" w:firstLineChars="200" w:firstLine="480"/>
        <w:jc w:val="both"/>
        <w:rPr>
          <w:rFonts w:ascii="Times New Roman" w:hAnsi="Times New Roman"/>
          <w:color w:val="000000" w:themeColor="text1"/>
          <w:lang w:eastAsia="zh-CN"/>
        </w:rPr>
      </w:pPr>
      <w:r w:rsidRPr="00092862">
        <w:rPr>
          <w:rFonts w:ascii="Times New Roman" w:hAnsi="Times New Roman"/>
          <w:color w:val="000000" w:themeColor="text1"/>
          <w:lang w:eastAsia="zh-CN"/>
        </w:rPr>
        <w:t>本项目</w:t>
      </w:r>
      <w:r w:rsidR="00A24FE3" w:rsidRPr="00092862">
        <w:rPr>
          <w:rFonts w:ascii="Times New Roman" w:hAnsi="Times New Roman"/>
          <w:color w:val="000000" w:themeColor="text1"/>
          <w:lang w:eastAsia="zh-CN"/>
        </w:rPr>
        <w:t>除</w:t>
      </w:r>
      <w:r w:rsidR="00CA526D" w:rsidRPr="00092862">
        <w:rPr>
          <w:rFonts w:ascii="Times New Roman" w:hAnsi="Times New Roman"/>
          <w:color w:val="000000" w:themeColor="text1"/>
          <w:lang w:eastAsia="zh-CN"/>
        </w:rPr>
        <w:t>施工期生活区临时占地</w:t>
      </w:r>
      <w:r w:rsidR="00A24FE3" w:rsidRPr="00092862">
        <w:rPr>
          <w:rFonts w:ascii="Times New Roman" w:hAnsi="Times New Roman"/>
          <w:color w:val="000000" w:themeColor="text1"/>
          <w:lang w:eastAsia="zh-CN"/>
        </w:rPr>
        <w:t>外均</w:t>
      </w:r>
      <w:r w:rsidRPr="00092862">
        <w:rPr>
          <w:rFonts w:ascii="Times New Roman" w:hAnsi="Times New Roman"/>
          <w:color w:val="000000" w:themeColor="text1"/>
          <w:lang w:eastAsia="zh-CN"/>
        </w:rPr>
        <w:t>已取得了</w:t>
      </w:r>
      <w:r w:rsidR="00A24FE3" w:rsidRPr="00092862">
        <w:rPr>
          <w:rFonts w:ascii="Times New Roman" w:hAnsi="Times New Roman"/>
          <w:color w:val="000000" w:themeColor="text1"/>
          <w:lang w:eastAsia="zh-CN"/>
        </w:rPr>
        <w:t>永久</w:t>
      </w:r>
      <w:r w:rsidRPr="00092862">
        <w:rPr>
          <w:rFonts w:ascii="Times New Roman" w:hAnsi="Times New Roman"/>
          <w:color w:val="000000" w:themeColor="text1"/>
          <w:lang w:eastAsia="zh-CN"/>
        </w:rPr>
        <w:t>用地手续，</w:t>
      </w:r>
      <w:r w:rsidR="003B1968" w:rsidRPr="00092862">
        <w:rPr>
          <w:rFonts w:ascii="Times New Roman" w:hAnsi="Times New Roman"/>
          <w:color w:val="000000" w:themeColor="text1"/>
          <w:lang w:eastAsia="zh-CN"/>
        </w:rPr>
        <w:t>临时占地在施工结束后进行恢复种植，永久占地后期进行植被修复，恢复当地生态，有效削弱了对生态环境的影响。</w:t>
      </w:r>
    </w:p>
    <w:p w14:paraId="7C07DAE5" w14:textId="20767D41" w:rsidR="00DC446C" w:rsidRPr="00092862" w:rsidRDefault="003B1968" w:rsidP="00200906">
      <w:pPr>
        <w:pStyle w:val="2"/>
        <w:ind w:firstLine="480"/>
        <w:jc w:val="both"/>
        <w:rPr>
          <w:color w:val="000000" w:themeColor="text1"/>
          <w:szCs w:val="24"/>
          <w:lang w:eastAsia="zh-CN"/>
        </w:rPr>
      </w:pPr>
      <w:bookmarkStart w:id="455" w:name="_bookmark53"/>
      <w:bookmarkStart w:id="456" w:name="10.5环境风险分析"/>
      <w:bookmarkStart w:id="457" w:name="_Toc123682575"/>
      <w:bookmarkEnd w:id="455"/>
      <w:bookmarkEnd w:id="456"/>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.5</w:t>
      </w:r>
      <w:r w:rsidRPr="00092862">
        <w:rPr>
          <w:color w:val="000000" w:themeColor="text1"/>
          <w:szCs w:val="24"/>
          <w:lang w:eastAsia="zh-CN"/>
        </w:rPr>
        <w:t>环境风险分析</w:t>
      </w:r>
      <w:bookmarkEnd w:id="457"/>
    </w:p>
    <w:p w14:paraId="5465815F" w14:textId="0F804FE4"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color w:val="000000" w:themeColor="text1"/>
          <w:lang w:eastAsia="zh-CN"/>
        </w:rPr>
        <w:t>本工程钻井和天然气</w:t>
      </w:r>
      <w:r w:rsidR="003A3D25" w:rsidRPr="00092862">
        <w:rPr>
          <w:rFonts w:ascii="Times New Roman" w:hAnsi="Times New Roman"/>
          <w:color w:val="000000" w:themeColor="text1"/>
          <w:lang w:eastAsia="zh-CN"/>
        </w:rPr>
        <w:t>试采</w:t>
      </w:r>
      <w:r w:rsidRPr="00092862">
        <w:rPr>
          <w:rFonts w:ascii="Times New Roman" w:hAnsi="Times New Roman"/>
          <w:color w:val="000000" w:themeColor="text1"/>
          <w:lang w:eastAsia="zh-CN"/>
        </w:rPr>
        <w:t>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sidRPr="00092862">
        <w:rPr>
          <w:rFonts w:ascii="Times New Roman" w:hAnsi="Times New Roman"/>
          <w:bCs/>
          <w:color w:val="000000" w:themeColor="text1"/>
          <w:kern w:val="2"/>
          <w:lang w:eastAsia="zh-CN"/>
        </w:rPr>
        <w:t>。</w:t>
      </w:r>
    </w:p>
    <w:p w14:paraId="5520EEDB" w14:textId="04FD4B9D" w:rsidR="00DC446C" w:rsidRPr="00092862" w:rsidRDefault="003B1968" w:rsidP="00200906">
      <w:pPr>
        <w:pStyle w:val="2"/>
        <w:ind w:firstLine="480"/>
        <w:jc w:val="both"/>
        <w:rPr>
          <w:color w:val="000000" w:themeColor="text1"/>
          <w:szCs w:val="24"/>
          <w:lang w:eastAsia="zh-CN"/>
        </w:rPr>
      </w:pPr>
      <w:bookmarkStart w:id="458" w:name="10.6总量控制"/>
      <w:bookmarkStart w:id="459" w:name="_bookmark54"/>
      <w:bookmarkStart w:id="460" w:name="_Toc123682576"/>
      <w:bookmarkEnd w:id="458"/>
      <w:bookmarkEnd w:id="459"/>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.6</w:t>
      </w:r>
      <w:r w:rsidR="001051D7" w:rsidRPr="00092862">
        <w:rPr>
          <w:color w:val="000000" w:themeColor="text1"/>
          <w:szCs w:val="24"/>
          <w:lang w:eastAsia="zh-CN"/>
        </w:rPr>
        <w:t>清洁生产和</w:t>
      </w:r>
      <w:r w:rsidRPr="00092862">
        <w:rPr>
          <w:color w:val="000000" w:themeColor="text1"/>
          <w:szCs w:val="24"/>
          <w:lang w:eastAsia="zh-CN"/>
        </w:rPr>
        <w:t>总量控制</w:t>
      </w:r>
      <w:bookmarkEnd w:id="460"/>
    </w:p>
    <w:p w14:paraId="6B781D20" w14:textId="77777777" w:rsidR="00DC446C" w:rsidRPr="00092862" w:rsidRDefault="003B1968" w:rsidP="0020090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其他新钻井工程。</w:t>
      </w:r>
    </w:p>
    <w:p w14:paraId="7A023F18" w14:textId="140EDED2"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由于本项</w:t>
      </w:r>
      <w:r w:rsidR="001051D7" w:rsidRPr="00092862">
        <w:rPr>
          <w:rFonts w:ascii="Times New Roman" w:hAnsi="Times New Roman"/>
          <w:bCs/>
          <w:color w:val="000000" w:themeColor="text1"/>
          <w:kern w:val="2"/>
          <w:lang w:eastAsia="zh-CN"/>
        </w:rPr>
        <w:t>目实行排污许可登记管理，</w:t>
      </w:r>
      <w:r w:rsidRPr="00092862">
        <w:rPr>
          <w:rFonts w:ascii="Times New Roman" w:hAnsi="Times New Roman"/>
          <w:bCs/>
          <w:color w:val="000000" w:themeColor="text1"/>
          <w:kern w:val="2"/>
          <w:lang w:eastAsia="zh-CN"/>
        </w:rPr>
        <w:t>施工期时间短且采用网电，</w:t>
      </w:r>
      <w:r w:rsidR="001A6854" w:rsidRPr="00092862">
        <w:rPr>
          <w:rFonts w:ascii="Times New Roman" w:hAnsi="Times New Roman"/>
          <w:bCs/>
          <w:color w:val="000000" w:themeColor="text1"/>
          <w:kern w:val="2"/>
          <w:lang w:eastAsia="zh-CN"/>
        </w:rPr>
        <w:t>试采期</w:t>
      </w:r>
      <w:r w:rsidR="00C26134" w:rsidRPr="00092862">
        <w:rPr>
          <w:rFonts w:ascii="Times New Roman" w:hAnsi="Times New Roman"/>
          <w:bCs/>
          <w:color w:val="000000" w:themeColor="text1"/>
          <w:kern w:val="2"/>
          <w:lang w:eastAsia="zh-CN"/>
        </w:rPr>
        <w:t>水套加热炉</w:t>
      </w:r>
      <w:r w:rsidR="003A3D25" w:rsidRPr="00092862">
        <w:rPr>
          <w:rFonts w:ascii="Times New Roman" w:hAnsi="Times New Roman"/>
          <w:bCs/>
          <w:color w:val="000000" w:themeColor="text1"/>
          <w:kern w:val="2"/>
          <w:lang w:eastAsia="zh-CN"/>
        </w:rPr>
        <w:t>与放空火炬长明灯均能做到达标排放</w:t>
      </w:r>
      <w:r w:rsidR="001051D7" w:rsidRPr="00092862">
        <w:rPr>
          <w:rFonts w:ascii="Times New Roman" w:hAnsi="Times New Roman"/>
          <w:bCs/>
          <w:color w:val="000000" w:themeColor="text1"/>
          <w:kern w:val="2"/>
          <w:lang w:eastAsia="zh-CN"/>
        </w:rPr>
        <w:t>，废水依托污水处理站或回注站</w:t>
      </w:r>
      <w:r w:rsidR="001051D7" w:rsidRPr="00092862">
        <w:rPr>
          <w:rFonts w:ascii="Times New Roman" w:hAnsi="Times New Roman"/>
          <w:bCs/>
          <w:color w:val="000000" w:themeColor="text1"/>
          <w:kern w:val="2"/>
          <w:lang w:eastAsia="zh-CN"/>
        </w:rPr>
        <w:lastRenderedPageBreak/>
        <w:t>回注，</w:t>
      </w:r>
      <w:r w:rsidR="001A6854" w:rsidRPr="00092862">
        <w:rPr>
          <w:rFonts w:ascii="Times New Roman" w:hAnsi="Times New Roman"/>
          <w:bCs/>
          <w:color w:val="000000" w:themeColor="text1"/>
          <w:kern w:val="2"/>
          <w:lang w:eastAsia="zh-CN"/>
        </w:rPr>
        <w:t>试采期</w:t>
      </w:r>
      <w:r w:rsidRPr="00092862">
        <w:rPr>
          <w:rFonts w:ascii="Times New Roman" w:hAnsi="Times New Roman"/>
          <w:bCs/>
          <w:color w:val="000000" w:themeColor="text1"/>
          <w:kern w:val="2"/>
          <w:lang w:eastAsia="zh-CN"/>
        </w:rPr>
        <w:t>间无其他常年稳定连续的污染物排放源，在满足</w:t>
      </w:r>
      <w:r w:rsidRPr="00092862">
        <w:rPr>
          <w:rFonts w:ascii="Times New Roman" w:hAnsi="Times New Roman"/>
          <w:color w:val="000000" w:themeColor="text1"/>
          <w:szCs w:val="22"/>
          <w:lang w:eastAsia="zh-CN"/>
        </w:rPr>
        <w:t>达标排放和环境功能区划达标的前提下，建议不核定总量指标</w:t>
      </w:r>
      <w:r w:rsidRPr="00092862">
        <w:rPr>
          <w:rFonts w:ascii="Times New Roman" w:hAnsi="Times New Roman"/>
          <w:bCs/>
          <w:color w:val="000000" w:themeColor="text1"/>
          <w:kern w:val="2"/>
          <w:lang w:eastAsia="zh-CN"/>
        </w:rPr>
        <w:t>。</w:t>
      </w:r>
    </w:p>
    <w:p w14:paraId="433B8044" w14:textId="36BFF84D" w:rsidR="001051D7" w:rsidRPr="00092862" w:rsidRDefault="001051D7" w:rsidP="001051D7">
      <w:pPr>
        <w:pStyle w:val="2"/>
        <w:ind w:firstLine="480"/>
        <w:jc w:val="both"/>
        <w:rPr>
          <w:color w:val="000000" w:themeColor="text1"/>
          <w:szCs w:val="24"/>
          <w:lang w:eastAsia="zh-CN"/>
        </w:rPr>
      </w:pPr>
      <w:bookmarkStart w:id="461" w:name="10.7公众参与调查结论"/>
      <w:bookmarkStart w:id="462" w:name="_bookmark55"/>
      <w:bookmarkStart w:id="463" w:name="_Toc123682577"/>
      <w:bookmarkEnd w:id="461"/>
      <w:bookmarkEnd w:id="462"/>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.7</w:t>
      </w:r>
      <w:r w:rsidRPr="00092862">
        <w:rPr>
          <w:color w:val="000000" w:themeColor="text1"/>
          <w:szCs w:val="24"/>
          <w:lang w:eastAsia="zh-CN"/>
        </w:rPr>
        <w:t>环境经济损益分析</w:t>
      </w:r>
      <w:bookmarkEnd w:id="463"/>
    </w:p>
    <w:p w14:paraId="5CB496FB" w14:textId="77777777" w:rsidR="001051D7" w:rsidRPr="00092862" w:rsidRDefault="001051D7" w:rsidP="001051D7">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本项目的建设具有较好的社会</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经济</w:t>
      </w: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14:paraId="1710F2B4" w14:textId="4C921A04" w:rsidR="00DC446C" w:rsidRPr="00092862" w:rsidRDefault="003B1968" w:rsidP="00200906">
      <w:pPr>
        <w:pStyle w:val="2"/>
        <w:ind w:firstLine="480"/>
        <w:jc w:val="both"/>
        <w:rPr>
          <w:color w:val="000000" w:themeColor="text1"/>
          <w:szCs w:val="24"/>
          <w:lang w:eastAsia="zh-CN"/>
        </w:rPr>
      </w:pPr>
      <w:bookmarkStart w:id="464" w:name="_Toc123682578"/>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w:t>
      </w:r>
      <w:r w:rsidR="001051D7" w:rsidRPr="00092862">
        <w:rPr>
          <w:color w:val="000000" w:themeColor="text1"/>
          <w:szCs w:val="24"/>
          <w:lang w:eastAsia="zh-CN"/>
        </w:rPr>
        <w:t>8</w:t>
      </w:r>
      <w:r w:rsidRPr="00092862">
        <w:rPr>
          <w:color w:val="000000" w:themeColor="text1"/>
          <w:szCs w:val="24"/>
          <w:lang w:eastAsia="zh-CN"/>
        </w:rPr>
        <w:t>公众参与调查结论</w:t>
      </w:r>
      <w:bookmarkEnd w:id="464"/>
    </w:p>
    <w:p w14:paraId="4FBDF72E" w14:textId="77777777" w:rsidR="00345FFF" w:rsidRPr="00092862" w:rsidRDefault="00345FFF" w:rsidP="00345FFF">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根据建设单位提供公众参与说明，本项目在</w:t>
      </w:r>
      <w:r w:rsidRPr="00092862">
        <w:rPr>
          <w:rFonts w:ascii="Times New Roman" w:hAnsi="Times New Roman"/>
          <w:color w:val="000000" w:themeColor="text1"/>
          <w:lang w:eastAsia="zh-CN"/>
        </w:rPr>
        <w:t>环境影响评价信息公示平台</w:t>
      </w:r>
      <w:r w:rsidRPr="00092862">
        <w:rPr>
          <w:rFonts w:ascii="Times New Roman" w:hAnsi="Times New Roman"/>
          <w:bCs/>
          <w:color w:val="000000" w:themeColor="text1"/>
          <w:kern w:val="2"/>
          <w:lang w:eastAsia="zh-CN"/>
        </w:rPr>
        <w:t>进行了建设项目首次环评信息公开，在</w:t>
      </w:r>
      <w:r w:rsidRPr="00092862">
        <w:rPr>
          <w:rFonts w:ascii="Times New Roman" w:hAnsi="Times New Roman"/>
          <w:color w:val="000000" w:themeColor="text1"/>
          <w:lang w:eastAsia="zh-CN"/>
        </w:rPr>
        <w:t>环境影响评价信息公示平台</w:t>
      </w:r>
      <w:r w:rsidRPr="00092862">
        <w:rPr>
          <w:rFonts w:ascii="Times New Roman" w:hAnsi="Times New Roman"/>
          <w:bCs/>
          <w:color w:val="000000" w:themeColor="text1"/>
          <w:kern w:val="2"/>
          <w:lang w:eastAsia="zh-CN"/>
        </w:rPr>
        <w:t>、报纸及张贴公告三种方式同步进行了第二次环境影响评价信息公开，在</w:t>
      </w:r>
      <w:r w:rsidRPr="00092862">
        <w:rPr>
          <w:rFonts w:ascii="Times New Roman" w:hAnsi="Times New Roman"/>
          <w:color w:val="000000" w:themeColor="text1"/>
          <w:lang w:eastAsia="zh-CN"/>
        </w:rPr>
        <w:t>环境影响评价信息公示平台进行了报批前公示，</w:t>
      </w:r>
      <w:r w:rsidRPr="00092862">
        <w:rPr>
          <w:rFonts w:ascii="Times New Roman" w:hAnsi="Times New Roman"/>
          <w:bCs/>
          <w:color w:val="000000" w:themeColor="text1"/>
          <w:kern w:val="2"/>
          <w:lang w:eastAsia="zh-CN"/>
        </w:rPr>
        <w:t>公示期间未收到任何反对意见，符合《环境影响评价公众参与办法》（生态环境部令第</w:t>
      </w:r>
      <w:r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号）的相关要求。</w:t>
      </w:r>
    </w:p>
    <w:p w14:paraId="09FD89FA" w14:textId="500C3EE2" w:rsidR="00DC446C" w:rsidRPr="00092862" w:rsidRDefault="003B1968" w:rsidP="00200906">
      <w:pPr>
        <w:pStyle w:val="2"/>
        <w:ind w:firstLine="480"/>
        <w:jc w:val="both"/>
        <w:rPr>
          <w:color w:val="000000" w:themeColor="text1"/>
          <w:szCs w:val="24"/>
          <w:lang w:eastAsia="zh-CN"/>
        </w:rPr>
      </w:pPr>
      <w:bookmarkStart w:id="465" w:name="_bookmark56"/>
      <w:bookmarkStart w:id="466" w:name="10.8环境经济损益分析"/>
      <w:bookmarkStart w:id="467" w:name="_bookmark57"/>
      <w:bookmarkStart w:id="468" w:name="10.9环境管理与监测计划"/>
      <w:bookmarkStart w:id="469" w:name="10.11评价总结论"/>
      <w:bookmarkStart w:id="470" w:name="_bookmark59"/>
      <w:bookmarkStart w:id="471" w:name="_Toc123682579"/>
      <w:bookmarkEnd w:id="465"/>
      <w:bookmarkEnd w:id="466"/>
      <w:bookmarkEnd w:id="467"/>
      <w:bookmarkEnd w:id="468"/>
      <w:bookmarkEnd w:id="469"/>
      <w:bookmarkEnd w:id="470"/>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w:t>
      </w:r>
      <w:r w:rsidR="001051D7" w:rsidRPr="00092862">
        <w:rPr>
          <w:color w:val="000000" w:themeColor="text1"/>
          <w:szCs w:val="24"/>
          <w:lang w:eastAsia="zh-CN"/>
        </w:rPr>
        <w:t>9</w:t>
      </w:r>
      <w:r w:rsidRPr="00092862">
        <w:rPr>
          <w:color w:val="000000" w:themeColor="text1"/>
          <w:szCs w:val="24"/>
          <w:lang w:eastAsia="zh-CN"/>
        </w:rPr>
        <w:t>评价总结论</w:t>
      </w:r>
      <w:bookmarkEnd w:id="471"/>
    </w:p>
    <w:p w14:paraId="5EA2FE6E" w14:textId="65D663D3" w:rsidR="00DC446C" w:rsidRPr="00092862" w:rsidRDefault="003B1968" w:rsidP="0020090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14:paraId="2E07BC89" w14:textId="6CC08EF5" w:rsidR="00DC446C" w:rsidRPr="00092862" w:rsidRDefault="003B1968" w:rsidP="00200906">
      <w:pPr>
        <w:adjustRightInd w:val="0"/>
        <w:snapToGrid w:val="0"/>
        <w:spacing w:line="360" w:lineRule="auto"/>
        <w:ind w:firstLineChars="200" w:firstLine="480"/>
        <w:rPr>
          <w:rFonts w:ascii="Times New Roman" w:eastAsia="宋体" w:hAnsi="Times New Roman" w:cs="Times New Roman"/>
          <w:bCs/>
          <w:color w:val="000000" w:themeColor="text1"/>
          <w:sz w:val="24"/>
          <w:szCs w:val="24"/>
        </w:rPr>
      </w:pPr>
      <w:r w:rsidRPr="00092862">
        <w:rPr>
          <w:rFonts w:ascii="Times New Roman" w:eastAsia="宋体" w:hAnsi="Times New Roman" w:cs="Times New Roman"/>
          <w:bCs/>
          <w:color w:val="000000" w:themeColor="text1"/>
          <w:sz w:val="24"/>
          <w:szCs w:val="24"/>
        </w:rPr>
        <w:t>评价区域环境空气质量、声环境质量、地下水质量现状总体较好；项目建设期间产生的污染物均做到达标排放或妥善处置，对生态环境、地表水、地下水、大气环境影响小，声环境影响产生短期影响，不改变区域的环境功能；该项目符合清洁生产要求，采用的环保措施可行，社会、经济效益十分显著；建设项目环境可行，选址合理。本项目井喷失控事故天然气泄流事故对环境的影响较小，且事故发生机率低，通过严格按行业规范和环评要求完善事故防范措施和制定较详尽有效的事故应急方案，环境风险值会大大的降低，环境风险可接受。</w:t>
      </w:r>
    </w:p>
    <w:p w14:paraId="79D8A49D" w14:textId="4D697617"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综上所述，在严格落实本项目钻井设计和本评价提出的各项环保措施和环境风险防范以及应急措施后，从环境保护角度分析，</w:t>
      </w:r>
      <w:r w:rsidR="00FA2743" w:rsidRPr="00092862">
        <w:rPr>
          <w:rFonts w:ascii="Times New Roman" w:hAnsi="Times New Roman"/>
          <w:bCs/>
          <w:color w:val="000000" w:themeColor="text1"/>
          <w:kern w:val="2"/>
          <w:lang w:eastAsia="zh-CN"/>
        </w:rPr>
        <w:t>本项目</w:t>
      </w:r>
      <w:r w:rsidRPr="00092862">
        <w:rPr>
          <w:rFonts w:ascii="Times New Roman" w:hAnsi="Times New Roman"/>
          <w:bCs/>
          <w:color w:val="000000" w:themeColor="text1"/>
          <w:kern w:val="2"/>
          <w:lang w:eastAsia="zh-CN"/>
        </w:rPr>
        <w:t>的建设是可行的。</w:t>
      </w:r>
    </w:p>
    <w:p w14:paraId="07301ADE" w14:textId="1073CFB1" w:rsidR="00DC446C" w:rsidRPr="00092862" w:rsidRDefault="003B1968" w:rsidP="00200906">
      <w:pPr>
        <w:pStyle w:val="2"/>
        <w:ind w:firstLine="480"/>
        <w:jc w:val="both"/>
        <w:rPr>
          <w:color w:val="000000" w:themeColor="text1"/>
          <w:szCs w:val="24"/>
          <w:lang w:eastAsia="zh-CN"/>
        </w:rPr>
      </w:pPr>
      <w:bookmarkStart w:id="472" w:name="_bookmark60"/>
      <w:bookmarkStart w:id="473" w:name="10.12建议"/>
      <w:bookmarkStart w:id="474" w:name="_Toc123682580"/>
      <w:bookmarkEnd w:id="472"/>
      <w:bookmarkEnd w:id="473"/>
      <w:r w:rsidRPr="00092862">
        <w:rPr>
          <w:color w:val="000000" w:themeColor="text1"/>
          <w:szCs w:val="24"/>
          <w:lang w:eastAsia="zh-CN"/>
        </w:rPr>
        <w:t>1</w:t>
      </w:r>
      <w:r w:rsidR="00704F23" w:rsidRPr="00092862">
        <w:rPr>
          <w:color w:val="000000" w:themeColor="text1"/>
          <w:szCs w:val="24"/>
          <w:lang w:eastAsia="zh-CN"/>
        </w:rPr>
        <w:t>1</w:t>
      </w:r>
      <w:r w:rsidRPr="00092862">
        <w:rPr>
          <w:color w:val="000000" w:themeColor="text1"/>
          <w:szCs w:val="24"/>
          <w:lang w:eastAsia="zh-CN"/>
        </w:rPr>
        <w:t>.1</w:t>
      </w:r>
      <w:r w:rsidR="00CB3744" w:rsidRPr="00092862">
        <w:rPr>
          <w:color w:val="000000" w:themeColor="text1"/>
          <w:szCs w:val="24"/>
          <w:lang w:eastAsia="zh-CN"/>
        </w:rPr>
        <w:t>0</w:t>
      </w:r>
      <w:r w:rsidRPr="00092862">
        <w:rPr>
          <w:color w:val="000000" w:themeColor="text1"/>
          <w:szCs w:val="24"/>
          <w:lang w:eastAsia="zh-CN"/>
        </w:rPr>
        <w:t>建议</w:t>
      </w:r>
      <w:bookmarkEnd w:id="474"/>
    </w:p>
    <w:p w14:paraId="5B8365A1" w14:textId="77777777"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Pr="00092862">
        <w:rPr>
          <w:rFonts w:ascii="Times New Roman" w:hAnsi="Times New Roman"/>
          <w:bCs/>
          <w:color w:val="000000" w:themeColor="text1"/>
          <w:kern w:val="2"/>
          <w:lang w:eastAsia="zh-CN"/>
        </w:rPr>
        <w:t>1</w:t>
      </w:r>
      <w:r w:rsidRPr="00092862">
        <w:rPr>
          <w:rFonts w:ascii="Times New Roman" w:hAnsi="Times New Roman"/>
          <w:bCs/>
          <w:color w:val="000000" w:themeColor="text1"/>
          <w:kern w:val="2"/>
          <w:lang w:eastAsia="zh-CN"/>
        </w:rPr>
        <w:t>）建设单位在工程实施期间，应加强对各项环保措施的建设、运转进行监理，以确保环保措施的有效性。</w:t>
      </w:r>
    </w:p>
    <w:p w14:paraId="2ABBAE90" w14:textId="031D2DF8"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lastRenderedPageBreak/>
        <w:t>（</w:t>
      </w:r>
      <w:r w:rsidR="003A3D25" w:rsidRPr="00092862">
        <w:rPr>
          <w:rFonts w:ascii="Times New Roman" w:hAnsi="Times New Roman"/>
          <w:bCs/>
          <w:color w:val="000000" w:themeColor="text1"/>
          <w:kern w:val="2"/>
          <w:lang w:eastAsia="zh-CN"/>
        </w:rPr>
        <w:t>2</w:t>
      </w:r>
      <w:r w:rsidRPr="00092862">
        <w:rPr>
          <w:rFonts w:ascii="Times New Roman" w:hAnsi="Times New Roman"/>
          <w:bCs/>
          <w:color w:val="000000" w:themeColor="text1"/>
          <w:kern w:val="2"/>
          <w:lang w:eastAsia="zh-CN"/>
        </w:rPr>
        <w:t>）妥善解决好占用土地、作物、植被等所造成的恢复赔偿问题。</w:t>
      </w:r>
    </w:p>
    <w:p w14:paraId="7D24820E" w14:textId="65215BF5" w:rsidR="00DC446C" w:rsidRPr="00092862" w:rsidRDefault="003B1968" w:rsidP="00200906">
      <w:pPr>
        <w:pStyle w:val="ac"/>
        <w:adjustRightInd w:val="0"/>
        <w:snapToGrid w:val="0"/>
        <w:spacing w:before="0" w:line="360" w:lineRule="auto"/>
        <w:ind w:left="0" w:firstLineChars="200" w:firstLine="480"/>
        <w:jc w:val="both"/>
        <w:rPr>
          <w:rFonts w:ascii="Times New Roman" w:hAnsi="Times New Roman"/>
          <w:bCs/>
          <w:color w:val="000000" w:themeColor="text1"/>
          <w:kern w:val="2"/>
          <w:lang w:eastAsia="zh-CN"/>
        </w:rPr>
      </w:pPr>
      <w:r w:rsidRPr="00092862">
        <w:rPr>
          <w:rFonts w:ascii="Times New Roman" w:hAnsi="Times New Roman"/>
          <w:bCs/>
          <w:color w:val="000000" w:themeColor="text1"/>
          <w:kern w:val="2"/>
          <w:lang w:eastAsia="zh-CN"/>
        </w:rPr>
        <w:t>（</w:t>
      </w:r>
      <w:r w:rsidR="003A3D25" w:rsidRPr="00092862">
        <w:rPr>
          <w:rFonts w:ascii="Times New Roman" w:hAnsi="Times New Roman"/>
          <w:bCs/>
          <w:color w:val="000000" w:themeColor="text1"/>
          <w:kern w:val="2"/>
          <w:lang w:eastAsia="zh-CN"/>
        </w:rPr>
        <w:t>3</w:t>
      </w:r>
      <w:r w:rsidRPr="00092862">
        <w:rPr>
          <w:rFonts w:ascii="Times New Roman" w:hAnsi="Times New Roman"/>
          <w:bCs/>
          <w:color w:val="000000" w:themeColor="text1"/>
          <w:kern w:val="2"/>
          <w:lang w:eastAsia="zh-CN"/>
        </w:rPr>
        <w:t>）</w:t>
      </w:r>
      <w:r w:rsidR="00255F20" w:rsidRPr="00092862">
        <w:rPr>
          <w:rFonts w:ascii="Times New Roman" w:hAnsi="Times New Roman"/>
          <w:bCs/>
          <w:color w:val="000000" w:themeColor="text1"/>
          <w:lang w:eastAsia="zh-CN"/>
        </w:rPr>
        <w:t>根据项目</w:t>
      </w:r>
      <w:r w:rsidR="001A6854" w:rsidRPr="00092862">
        <w:rPr>
          <w:rFonts w:ascii="Times New Roman" w:hAnsi="Times New Roman"/>
          <w:bCs/>
          <w:color w:val="000000" w:themeColor="text1"/>
          <w:lang w:eastAsia="zh-CN"/>
        </w:rPr>
        <w:t>试采</w:t>
      </w:r>
      <w:r w:rsidR="00255F20" w:rsidRPr="00092862">
        <w:rPr>
          <w:rFonts w:ascii="Times New Roman" w:hAnsi="Times New Roman"/>
          <w:bCs/>
          <w:color w:val="000000" w:themeColor="text1"/>
          <w:lang w:eastAsia="zh-CN"/>
        </w:rPr>
        <w:t>情况，满足验收条件后对项目进行验收，及时完善环保手续</w:t>
      </w:r>
      <w:r w:rsidRPr="00092862">
        <w:rPr>
          <w:rFonts w:ascii="Times New Roman" w:hAnsi="Times New Roman"/>
          <w:bCs/>
          <w:color w:val="000000" w:themeColor="text1"/>
          <w:kern w:val="2"/>
          <w:lang w:eastAsia="zh-CN"/>
        </w:rPr>
        <w:t>。</w:t>
      </w:r>
    </w:p>
    <w:p w14:paraId="7C9E58AE" w14:textId="4F17E6B4" w:rsidR="003D2EEB" w:rsidRPr="00676047" w:rsidRDefault="003B1968">
      <w:pPr>
        <w:pStyle w:val="ac"/>
        <w:adjustRightInd w:val="0"/>
        <w:snapToGrid w:val="0"/>
        <w:spacing w:before="0" w:line="360" w:lineRule="auto"/>
        <w:ind w:left="0" w:firstLineChars="200" w:firstLine="480"/>
        <w:jc w:val="both"/>
        <w:rPr>
          <w:rFonts w:ascii="Times New Roman" w:eastAsiaTheme="minorEastAsia" w:hAnsi="Times New Roman"/>
          <w:color w:val="000000" w:themeColor="text1"/>
          <w:lang w:eastAsia="zh-CN"/>
        </w:rPr>
      </w:pPr>
      <w:r w:rsidRPr="00092862">
        <w:rPr>
          <w:rFonts w:ascii="Times New Roman" w:hAnsi="Times New Roman"/>
          <w:bCs/>
          <w:color w:val="000000" w:themeColor="text1"/>
          <w:kern w:val="2"/>
          <w:lang w:eastAsia="zh-CN"/>
        </w:rPr>
        <w:t>（</w:t>
      </w:r>
      <w:r w:rsidR="003A3D25" w:rsidRPr="00092862">
        <w:rPr>
          <w:rFonts w:ascii="Times New Roman" w:hAnsi="Times New Roman"/>
          <w:bCs/>
          <w:color w:val="000000" w:themeColor="text1"/>
          <w:kern w:val="2"/>
          <w:lang w:eastAsia="zh-CN"/>
        </w:rPr>
        <w:t>4</w:t>
      </w:r>
      <w:r w:rsidRPr="00092862">
        <w:rPr>
          <w:rFonts w:ascii="Times New Roman" w:hAnsi="Times New Roman"/>
          <w:bCs/>
          <w:color w:val="000000" w:themeColor="text1"/>
          <w:kern w:val="2"/>
          <w:lang w:eastAsia="zh-CN"/>
        </w:rPr>
        <w:t>）项目完成后，对周围环境进行跟踪监测。</w:t>
      </w:r>
    </w:p>
    <w:sectPr w:rsidR="003D2EEB" w:rsidRPr="00676047" w:rsidSect="00A216BF">
      <w:pgSz w:w="11910" w:h="16840"/>
      <w:pgMar w:top="1440" w:right="1800" w:bottom="1440" w:left="1800" w:header="877" w:footer="11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69D3B5" w14:textId="77777777" w:rsidR="00937646" w:rsidRDefault="00937646">
      <w:r>
        <w:separator/>
      </w:r>
    </w:p>
  </w:endnote>
  <w:endnote w:type="continuationSeparator" w:id="0">
    <w:p w14:paraId="50E6E898" w14:textId="77777777" w:rsidR="00937646" w:rsidRDefault="009376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体">
    <w:altName w:val="宋体"/>
    <w:charset w:val="86"/>
    <w:family w:val="decorative"/>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Arial Unicode MS">
    <w:panose1 w:val="020B0604020202020204"/>
    <w:charset w:val="86"/>
    <w:family w:val="swiss"/>
    <w:pitch w:val="default"/>
    <w:sig w:usb0="00000000" w:usb1="00000000" w:usb2="0000003F" w:usb3="00000000" w:csb0="003F01FF" w:csb1="00000000"/>
  </w:font>
  <w:font w:name="楷体_GB2312">
    <w:altName w:val="楷体"/>
    <w:charset w:val="86"/>
    <w:family w:val="modern"/>
    <w:pitch w:val="default"/>
    <w:sig w:usb0="00000000" w:usb1="00000000" w:usb2="00000010" w:usb3="00000000" w:csb0="00040000" w:csb1="00000000"/>
  </w:font>
  <w:font w:name="ˎ̥">
    <w:altName w:val="Times New Roman"/>
    <w:charset w:val="00"/>
    <w:family w:val="roman"/>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Microsoft YaHei UI">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AD281" w14:textId="77777777" w:rsidR="003D2C8D" w:rsidRDefault="003D2C8D">
    <w:pPr>
      <w:spacing w:line="14" w:lineRule="auto"/>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492159"/>
    </w:sdtPr>
    <w:sdtEndPr>
      <w:rPr>
        <w:rFonts w:ascii="Times New Roman"/>
      </w:rPr>
    </w:sdtEndPr>
    <w:sdtContent>
      <w:p w14:paraId="3F89105A" w14:textId="77777777" w:rsidR="009C5B8E" w:rsidRDefault="009C5B8E">
        <w:pPr>
          <w:pStyle w:val="af4"/>
          <w:ind w:left="482"/>
          <w:rPr>
            <w:rFonts w:ascii="Times New Roman"/>
          </w:rPr>
        </w:pPr>
        <w:r>
          <w:rPr>
            <w:rFonts w:ascii="Times New Roman"/>
          </w:rPr>
          <w:fldChar w:fldCharType="begin"/>
        </w:r>
        <w:r>
          <w:rPr>
            <w:rFonts w:ascii="Times New Roman"/>
          </w:rPr>
          <w:instrText>PAGE   \* MERGEFORMAT</w:instrText>
        </w:r>
        <w:r>
          <w:rPr>
            <w:rFonts w:ascii="Times New Roman"/>
          </w:rPr>
          <w:fldChar w:fldCharType="separate"/>
        </w:r>
        <w:r>
          <w:rPr>
            <w:rFonts w:ascii="Times New Roman"/>
            <w:noProof/>
          </w:rPr>
          <w:t>70</w:t>
        </w:r>
        <w:r>
          <w:rPr>
            <w:rFonts w:ascii="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1236969"/>
      <w:docPartObj>
        <w:docPartGallery w:val="Page Numbers (Bottom of Page)"/>
        <w:docPartUnique/>
      </w:docPartObj>
    </w:sdtPr>
    <w:sdtContent>
      <w:p w14:paraId="70774764" w14:textId="50B521D6" w:rsidR="004044B8" w:rsidRDefault="004044B8">
        <w:pPr>
          <w:pStyle w:val="af4"/>
          <w:jc w:val="center"/>
        </w:pPr>
        <w:r>
          <w:fldChar w:fldCharType="begin"/>
        </w:r>
        <w:r>
          <w:instrText>PAGE   \* MERGEFORMAT</w:instrText>
        </w:r>
        <w:r>
          <w:fldChar w:fldCharType="separate"/>
        </w:r>
        <w:r>
          <w:rPr>
            <w:lang w:val="zh-CN" w:eastAsia="zh-CN"/>
          </w:rPr>
          <w:t>2</w:t>
        </w:r>
        <w:r>
          <w:fldChar w:fldCharType="end"/>
        </w:r>
      </w:p>
    </w:sdtContent>
  </w:sdt>
  <w:p w14:paraId="0138639A" w14:textId="71CA143C" w:rsidR="003D2C8D" w:rsidRDefault="003D2C8D">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257620"/>
    </w:sdtPr>
    <w:sdtContent>
      <w:p w14:paraId="39E08876" w14:textId="77777777" w:rsidR="003D2C8D" w:rsidRDefault="003D2C8D">
        <w:pPr>
          <w:pStyle w:val="af4"/>
          <w:jc w:val="center"/>
        </w:pPr>
        <w:r>
          <w:fldChar w:fldCharType="begin"/>
        </w:r>
        <w:r>
          <w:instrText>PAGE   \* MERGEFORMAT</w:instrText>
        </w:r>
        <w:r>
          <w:fldChar w:fldCharType="separate"/>
        </w:r>
        <w:r>
          <w:rPr>
            <w:lang w:val="zh-CN" w:eastAsia="zh-CN"/>
          </w:rPr>
          <w:t>2</w:t>
        </w:r>
        <w:r>
          <w:fldChar w:fldCharType="end"/>
        </w:r>
      </w:p>
    </w:sdtContent>
  </w:sdt>
  <w:p w14:paraId="75DFE085" w14:textId="77777777" w:rsidR="003D2C8D" w:rsidRDefault="003D2C8D">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8E52F" w14:textId="77777777" w:rsidR="003D2C8D" w:rsidRDefault="003D2C8D">
    <w:pPr>
      <w:spacing w:line="14" w:lineRule="auto"/>
      <w:rPr>
        <w:sz w:val="20"/>
        <w:szCs w:val="20"/>
      </w:rPr>
    </w:pPr>
    <w:r>
      <w:rPr>
        <w:noProof/>
      </w:rPr>
      <mc:AlternateContent>
        <mc:Choice Requires="wps">
          <w:drawing>
            <wp:anchor distT="0" distB="0" distL="114300" distR="114300" simplePos="0" relativeHeight="251660800" behindDoc="1" locked="0" layoutInCell="1" allowOverlap="1" wp14:anchorId="5E5673BB" wp14:editId="35A2C100">
              <wp:simplePos x="0" y="0"/>
              <wp:positionH relativeFrom="page">
                <wp:posOffset>3670300</wp:posOffset>
              </wp:positionH>
              <wp:positionV relativeFrom="page">
                <wp:posOffset>10150475</wp:posOffset>
              </wp:positionV>
              <wp:extent cx="222250" cy="139700"/>
              <wp:effectExtent l="3175" t="0" r="3175" b="0"/>
              <wp:wrapNone/>
              <wp:docPr id="1601" name="文本框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39700"/>
                      </a:xfrm>
                      <a:prstGeom prst="rect">
                        <a:avLst/>
                      </a:prstGeom>
                      <a:noFill/>
                      <a:ln>
                        <a:noFill/>
                      </a:ln>
                    </wps:spPr>
                    <wps:txbx>
                      <w:txbxContent>
                        <w:p w14:paraId="6AC54275"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wps:txbx>
                    <wps:bodyPr rot="0" vert="horz" wrap="square" lIns="0" tIns="0" rIns="0" bIns="0" anchor="t" anchorCtr="0" upright="1">
                      <a:noAutofit/>
                    </wps:bodyPr>
                  </wps:wsp>
                </a:graphicData>
              </a:graphic>
            </wp:anchor>
          </w:drawing>
        </mc:Choice>
        <mc:Fallback>
          <w:pict>
            <v:shapetype w14:anchorId="5E5673BB" id="_x0000_t202" coordsize="21600,21600" o:spt="202" path="m,l,21600r21600,l21600,xe">
              <v:stroke joinstyle="miter"/>
              <v:path gradientshapeok="t" o:connecttype="rect"/>
            </v:shapetype>
            <v:shape id="文本框 1601" o:spid="_x0000_s1084" type="#_x0000_t202" style="position:absolute;left:0;text-align:left;margin-left:289pt;margin-top:799.25pt;width:17.5pt;height:11pt;z-index:-2516556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" filled="f" stroked="f">
              <v:textbox inset="0,0,0,0">
                <w:txbxContent>
                  <w:p w14:paraId="6AC54275" w14:textId="77777777" w:rsidR="003D2C8D" w:rsidRDefault="003D2C8D">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579B33" w14:textId="77777777" w:rsidR="00937646" w:rsidRDefault="00937646">
      <w:r>
        <w:separator/>
      </w:r>
    </w:p>
  </w:footnote>
  <w:footnote w:type="continuationSeparator" w:id="0">
    <w:p w14:paraId="1EC31D76" w14:textId="77777777" w:rsidR="00937646" w:rsidRDefault="009376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5D0C1" w14:textId="7904FA14" w:rsidR="003D2C8D" w:rsidRPr="007B52EE" w:rsidRDefault="003D2C8D" w:rsidP="007B52EE">
    <w:pPr>
      <w:pStyle w:val="af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BAF61" w14:textId="79DCB082" w:rsidR="003D2C8D" w:rsidRDefault="003D2C8D">
    <w:pPr>
      <w:spacing w:line="14" w:lineRule="auto"/>
      <w:rPr>
        <w:sz w:val="18"/>
        <w:szCs w:val="18"/>
      </w:rPr>
    </w:pPr>
  </w:p>
  <w:p w14:paraId="34C3FE52" w14:textId="37824DCD" w:rsidR="003D2C8D" w:rsidRDefault="003D2C8D">
    <w:pPr>
      <w:spacing w:line="14" w:lineRule="auto"/>
      <w:rPr>
        <w:sz w:val="18"/>
        <w:szCs w:val="18"/>
      </w:rPr>
    </w:pPr>
    <w:r>
      <w:rPr>
        <w:noProof/>
      </w:rPr>
      <mc:AlternateContent>
        <mc:Choice Requires="wpg">
          <w:drawing>
            <wp:anchor distT="0" distB="0" distL="114300" distR="114300" simplePos="0" relativeHeight="251664896" behindDoc="1" locked="0" layoutInCell="1" allowOverlap="1" wp14:anchorId="2620D5DA" wp14:editId="2788CF7F">
              <wp:simplePos x="0" y="0"/>
              <wp:positionH relativeFrom="page">
                <wp:posOffset>1234440</wp:posOffset>
              </wp:positionH>
              <wp:positionV relativeFrom="page">
                <wp:posOffset>770445</wp:posOffset>
              </wp:positionV>
              <wp:extent cx="5141751" cy="47502"/>
              <wp:effectExtent l="0" t="0" r="0" b="0"/>
              <wp:wrapNone/>
              <wp:docPr id="108" name="Group 50"/>
              <wp:cNvGraphicFramePr/>
              <a:graphic xmlns:a="http://schemas.openxmlformats.org/drawingml/2006/main">
                <a:graphicData uri="http://schemas.microsoft.com/office/word/2010/wordprocessingGroup">
                  <wpg:wgp>
                    <wpg:cNvGrpSpPr/>
                    <wpg:grpSpPr>
                      <a:xfrm flipV="1">
                        <a:off x="0" y="0"/>
                        <a:ext cx="8792" cy="2"/>
                        <a:chOff x="1558" y="1092"/>
                        <a:chExt cx="8792" cy="2"/>
                      </a:xfrm>
                    </wpg:grpSpPr>
                    <wps:wsp>
                      <wps:cNvPr id="109"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71DB295" id="Group 50" o:spid="_x0000_s1026" style="position:absolute;left:0;text-align:left;margin-left:97.2pt;margin-top:60.65pt;width:404.85pt;height:3.75pt;flip:y;z-index:-25165158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" path="m,l8792,e" filled="f" strokeweight=".72pt">
                <v:path arrowok="t" o:connecttype="custom" o:connectlocs="0,0;8792,0" o:connectangles="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353B" w14:textId="77777777" w:rsidR="003D2C8D" w:rsidRDefault="003D2C8D">
    <w:pPr>
      <w:spacing w:line="14" w:lineRule="auto"/>
      <w:rPr>
        <w:sz w:val="18"/>
        <w:szCs w:val="18"/>
      </w:rPr>
    </w:pPr>
  </w:p>
  <w:p w14:paraId="3634E131" w14:textId="77777777" w:rsidR="003D2C8D" w:rsidRDefault="003D2C8D">
    <w:pPr>
      <w:spacing w:line="14" w:lineRule="auto"/>
      <w:rPr>
        <w:sz w:val="18"/>
        <w:szCs w:val="18"/>
      </w:rPr>
    </w:pPr>
    <w:r>
      <w:rPr>
        <w:noProof/>
      </w:rPr>
      <mc:AlternateContent>
        <mc:Choice Requires="wpg">
          <w:drawing>
            <wp:anchor distT="0" distB="0" distL="114300" distR="114300" simplePos="0" relativeHeight="251654656" behindDoc="1" locked="0" layoutInCell="1" allowOverlap="1" wp14:anchorId="4F180022" wp14:editId="66C9E54D">
              <wp:simplePos x="0" y="0"/>
              <wp:positionH relativeFrom="page">
                <wp:posOffset>1234440</wp:posOffset>
              </wp:positionH>
              <wp:positionV relativeFrom="page">
                <wp:posOffset>770445</wp:posOffset>
              </wp:positionV>
              <wp:extent cx="5141751" cy="47502"/>
              <wp:effectExtent l="0" t="0" r="0" b="0"/>
              <wp:wrapNone/>
              <wp:docPr id="113" name="Group 50"/>
              <wp:cNvGraphicFramePr/>
              <a:graphic xmlns:a="http://schemas.openxmlformats.org/drawingml/2006/main">
                <a:graphicData uri="http://schemas.microsoft.com/office/word/2010/wordprocessingGroup">
                  <wpg:wgp>
                    <wpg:cNvGrpSpPr/>
                    <wpg:grpSpPr>
                      <a:xfrm flipV="1">
                        <a:off x="0" y="0"/>
                        <a:ext cx="5141751" cy="47502"/>
                        <a:chOff x="1558" y="1092"/>
                        <a:chExt cx="8792" cy="2"/>
                      </a:xfrm>
                    </wpg:grpSpPr>
                    <wps:wsp>
                      <wps:cNvPr id="114"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FF9E4A" id="Group 50" o:spid="_x0000_s1026" style="position:absolute;left:0;text-align:left;margin-left:97.2pt;margin-top:60.65pt;width:404.85pt;height:3.75pt;flip:y;z-index:-25166182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" path="m,l8792,e" filled="f" strokeweight=".72pt">
                <v:path arrowok="t" o:connecttype="custom" o:connectlocs="0,0;8792,0" o:connectangles="0,0"/>
              </v:shape>
              <w10:wrap anchorx="page" anchory="page"/>
            </v:group>
          </w:pict>
        </mc:Fallback>
      </mc:AlternateContent>
    </w:r>
    <w:r>
      <w:rPr>
        <w:noProof/>
      </w:rPr>
      <mc:AlternateContent>
        <mc:Choice Requires="wps">
          <w:drawing>
            <wp:anchor distT="0" distB="0" distL="114300" distR="114300" simplePos="0" relativeHeight="251657728" behindDoc="1" locked="0" layoutInCell="1" allowOverlap="1" wp14:anchorId="6A6EA9B7" wp14:editId="3271BD27">
              <wp:simplePos x="0" y="0"/>
              <wp:positionH relativeFrom="page">
                <wp:posOffset>5317935</wp:posOffset>
              </wp:positionH>
              <wp:positionV relativeFrom="page">
                <wp:posOffset>615315</wp:posOffset>
              </wp:positionV>
              <wp:extent cx="1056640" cy="241044"/>
              <wp:effectExtent l="0" t="0" r="10160" b="6985"/>
              <wp:wrapNone/>
              <wp:docPr id="11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7A8E4E2B" w14:textId="77777777" w:rsidR="003D2C8D" w:rsidRDefault="003D2C8D">
                          <w:pPr>
                            <w:ind w:left="20"/>
                            <w:rPr>
                              <w:rFonts w:ascii="宋体" w:hAnsi="宋体" w:cs="宋体"/>
                              <w:szCs w:val="21"/>
                            </w:rPr>
                          </w:pPr>
                          <w:r>
                            <w:rPr>
                              <w:rFonts w:ascii="宋体" w:hAnsi="宋体" w:cs="宋体"/>
                              <w:szCs w:val="21"/>
                            </w:rPr>
                            <w:t>环境影响报告书</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6A6EA9B7" id="_x0000_t202" coordsize="21600,21600" o:spt="202" path="m,l,21600r21600,l21600,xe">
              <v:stroke joinstyle="miter"/>
              <v:path gradientshapeok="t" o:connecttype="rect"/>
            </v:shapetype>
            <v:shape id="Text Box 48" o:spid="_x0000_s1080" type="#_x0000_t202" style="position:absolute;left:0;text-align:left;margin-left:418.75pt;margin-top:48.45pt;width:83.2pt;height:19pt;z-index:-2516587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" filled="f" stroked="f">
              <v:textbox inset="0,0,0,0">
                <w:txbxContent>
                  <w:p w14:paraId="7A8E4E2B" w14:textId="77777777" w:rsidR="003D2C8D" w:rsidRDefault="003D2C8D">
                    <w:pPr>
                      <w:ind w:left="20"/>
                      <w:rPr>
                        <w:rFonts w:ascii="宋体" w:hAnsi="宋体" w:cs="宋体"/>
                        <w:szCs w:val="21"/>
                      </w:rPr>
                    </w:pPr>
                    <w:r>
                      <w:rPr>
                        <w:rFonts w:ascii="宋体" w:hAnsi="宋体" w:cs="宋体"/>
                        <w:szCs w:val="21"/>
                      </w:rPr>
                      <w:t>环境影响报告书</w:t>
                    </w:r>
                  </w:p>
                </w:txbxContent>
              </v:textbox>
              <w10:wrap anchorx="page" anchory="page"/>
            </v:shape>
          </w:pict>
        </mc:Fallback>
      </mc:AlternateContent>
    </w:r>
    <w:r>
      <w:rPr>
        <w:noProof/>
      </w:rPr>
      <mc:AlternateContent>
        <mc:Choice Requires="wps">
          <w:drawing>
            <wp:anchor distT="0" distB="0" distL="114300" distR="114300" simplePos="0" relativeHeight="251655680" behindDoc="1" locked="0" layoutInCell="1" allowOverlap="1" wp14:anchorId="50725BAE" wp14:editId="4E340C3C">
              <wp:simplePos x="0" y="0"/>
              <wp:positionH relativeFrom="margin">
                <wp:posOffset>9525</wp:posOffset>
              </wp:positionH>
              <wp:positionV relativeFrom="page">
                <wp:posOffset>608965</wp:posOffset>
              </wp:positionV>
              <wp:extent cx="3301365" cy="183515"/>
              <wp:effectExtent l="0" t="0" r="13970" b="6985"/>
              <wp:wrapNone/>
              <wp:docPr id="1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40" cy="183770"/>
                      </a:xfrm>
                      <a:prstGeom prst="rect">
                        <a:avLst/>
                      </a:prstGeom>
                      <a:noFill/>
                      <a:ln>
                        <a:noFill/>
                      </a:ln>
                    </wps:spPr>
                    <wps:txbx>
                      <w:txbxContent>
                        <w:p w14:paraId="4BB34519" w14:textId="6328083F" w:rsidR="003D2C8D" w:rsidRDefault="00D72D31">
                          <w:pPr>
                            <w:rPr>
                              <w:rFonts w:ascii="Times New Roman" w:hAnsi="Times New Roman"/>
                              <w:szCs w:val="21"/>
                            </w:rPr>
                          </w:pPr>
                          <w:r>
                            <w:rPr>
                              <w:rFonts w:ascii="Times New Roman" w:hAnsi="Times New Roman" w:hint="eastAsia"/>
                              <w:bCs/>
                              <w:szCs w:val="21"/>
                            </w:rPr>
                            <w:t>老君</w:t>
                          </w:r>
                          <w:r>
                            <w:rPr>
                              <w:rFonts w:ascii="Times New Roman" w:hAnsi="Times New Roman" w:hint="eastAsia"/>
                              <w:bCs/>
                              <w:szCs w:val="21"/>
                            </w:rPr>
                            <w:t>7</w:t>
                          </w:r>
                          <w:r>
                            <w:rPr>
                              <w:rFonts w:ascii="Times New Roman" w:hAnsi="Times New Roman"/>
                              <w:bCs/>
                              <w:szCs w:val="21"/>
                            </w:rPr>
                            <w:t>011</w:t>
                          </w:r>
                          <w:r w:rsidR="005F0388">
                            <w:rPr>
                              <w:rFonts w:ascii="Times New Roman" w:hAnsi="Times New Roman" w:hint="eastAsia"/>
                              <w:bCs/>
                              <w:szCs w:val="21"/>
                            </w:rPr>
                            <w:t>井台钻井及试采工程</w:t>
                          </w:r>
                        </w:p>
                      </w:txbxContent>
                    </wps:txbx>
                    <wps:bodyPr rot="0" vert="horz" wrap="square" lIns="0" tIns="0" rIns="0" bIns="0" anchor="t" anchorCtr="0" upright="1">
                      <a:noAutofit/>
                    </wps:bodyPr>
                  </wps:wsp>
                </a:graphicData>
              </a:graphic>
            </wp:anchor>
          </w:drawing>
        </mc:Choice>
        <mc:Fallback>
          <w:pict>
            <v:shape w14:anchorId="50725BAE" id="Text Box 49" o:spid="_x0000_s1081" type="#_x0000_t202" style="position:absolute;left:0;text-align:left;margin-left:.75pt;margin-top:47.95pt;width:259.95pt;height:14.45pt;z-index:-25166080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" filled="f" stroked="f">
              <v:textbox inset="0,0,0,0">
                <w:txbxContent>
                  <w:p w14:paraId="4BB34519" w14:textId="6328083F" w:rsidR="003D2C8D" w:rsidRDefault="00D72D31">
                    <w:pPr>
                      <w:rPr>
                        <w:rFonts w:ascii="Times New Roman" w:hAnsi="Times New Roman"/>
                        <w:szCs w:val="21"/>
                      </w:rPr>
                    </w:pPr>
                    <w:r>
                      <w:rPr>
                        <w:rFonts w:ascii="Times New Roman" w:hAnsi="Times New Roman" w:hint="eastAsia"/>
                        <w:bCs/>
                        <w:szCs w:val="21"/>
                      </w:rPr>
                      <w:t>老君</w:t>
                    </w:r>
                    <w:r>
                      <w:rPr>
                        <w:rFonts w:ascii="Times New Roman" w:hAnsi="Times New Roman" w:hint="eastAsia"/>
                        <w:bCs/>
                        <w:szCs w:val="21"/>
                      </w:rPr>
                      <w:t>7</w:t>
                    </w:r>
                    <w:r>
                      <w:rPr>
                        <w:rFonts w:ascii="Times New Roman" w:hAnsi="Times New Roman"/>
                        <w:bCs/>
                        <w:szCs w:val="21"/>
                      </w:rPr>
                      <w:t>011</w:t>
                    </w:r>
                    <w:r w:rsidR="005F0388">
                      <w:rPr>
                        <w:rFonts w:ascii="Times New Roman" w:hAnsi="Times New Roman" w:hint="eastAsia"/>
                        <w:bCs/>
                        <w:szCs w:val="21"/>
                      </w:rPr>
                      <w:t>井台钻井及试采工程</w:t>
                    </w:r>
                  </w:p>
                </w:txbxContent>
              </v:textbox>
              <w10:wrap anchorx="margin"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1F0A7" w14:textId="77777777" w:rsidR="007F3127" w:rsidRDefault="007F3127">
    <w:pPr>
      <w:spacing w:line="14" w:lineRule="auto"/>
      <w:rPr>
        <w:sz w:val="18"/>
        <w:szCs w:val="18"/>
      </w:rPr>
    </w:pPr>
  </w:p>
  <w:p w14:paraId="7C9A044A" w14:textId="77777777" w:rsidR="007F3127" w:rsidRDefault="007F3127">
    <w:pPr>
      <w:spacing w:line="14" w:lineRule="auto"/>
      <w:rPr>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6EF90" w14:textId="77777777" w:rsidR="003D2C8D" w:rsidRDefault="003D2C8D">
    <w:pPr>
      <w:spacing w:line="14" w:lineRule="auto"/>
      <w:rPr>
        <w:sz w:val="18"/>
        <w:szCs w:val="18"/>
      </w:rPr>
    </w:pPr>
  </w:p>
  <w:p w14:paraId="037154C9" w14:textId="77777777" w:rsidR="003D2C8D" w:rsidRDefault="003D2C8D">
    <w:pPr>
      <w:spacing w:line="14" w:lineRule="auto"/>
      <w:rPr>
        <w:sz w:val="18"/>
        <w:szCs w:val="18"/>
      </w:rPr>
    </w:pPr>
    <w:r>
      <w:rPr>
        <w:noProof/>
      </w:rPr>
      <mc:AlternateContent>
        <mc:Choice Requires="wps">
          <w:drawing>
            <wp:anchor distT="0" distB="0" distL="114300" distR="114300" simplePos="0" relativeHeight="251686400" behindDoc="1" locked="0" layoutInCell="1" allowOverlap="1" wp14:anchorId="5F234374" wp14:editId="66DF9A65">
              <wp:simplePos x="0" y="0"/>
              <wp:positionH relativeFrom="margin">
                <wp:posOffset>306408</wp:posOffset>
              </wp:positionH>
              <wp:positionV relativeFrom="page">
                <wp:posOffset>608965</wp:posOffset>
              </wp:positionV>
              <wp:extent cx="3301365" cy="183515"/>
              <wp:effectExtent l="0" t="0" r="13970" b="6985"/>
              <wp:wrapNone/>
              <wp:docPr id="175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183515"/>
                      </a:xfrm>
                      <a:prstGeom prst="rect">
                        <a:avLst/>
                      </a:prstGeom>
                      <a:noFill/>
                      <a:ln>
                        <a:noFill/>
                      </a:ln>
                    </wps:spPr>
                    <wps:txbx>
                      <w:txbxContent>
                        <w:p w14:paraId="5B279C55" w14:textId="02904D25" w:rsidR="003D2C8D" w:rsidRDefault="00D44E1E">
                          <w:pPr>
                            <w:rPr>
                              <w:rFonts w:ascii="Times New Roman" w:hAnsi="Times New Roman"/>
                              <w:szCs w:val="21"/>
                            </w:rPr>
                          </w:pPr>
                          <w:r>
                            <w:rPr>
                              <w:rFonts w:ascii="Times New Roman" w:hAnsi="Times New Roman" w:hint="eastAsia"/>
                              <w:bCs/>
                              <w:szCs w:val="21"/>
                            </w:rPr>
                            <w:t>老君</w:t>
                          </w:r>
                          <w:r>
                            <w:rPr>
                              <w:rFonts w:ascii="Times New Roman" w:hAnsi="Times New Roman" w:hint="eastAsia"/>
                              <w:bCs/>
                              <w:szCs w:val="21"/>
                            </w:rPr>
                            <w:t>7</w:t>
                          </w:r>
                          <w:r>
                            <w:rPr>
                              <w:rFonts w:ascii="Times New Roman" w:hAnsi="Times New Roman"/>
                              <w:bCs/>
                              <w:szCs w:val="21"/>
                            </w:rPr>
                            <w:t>011</w:t>
                          </w:r>
                          <w:r w:rsidR="005F0388">
                            <w:rPr>
                              <w:rFonts w:ascii="Times New Roman" w:hAnsi="Times New Roman" w:hint="eastAsia"/>
                              <w:bCs/>
                              <w:szCs w:val="21"/>
                            </w:rPr>
                            <w:t>井台钻井及试采工程</w:t>
                          </w:r>
                        </w:p>
                      </w:txbxContent>
                    </wps:txbx>
                    <wps:bodyPr rot="0" vert="horz" wrap="square" lIns="0" tIns="0" rIns="0" bIns="0" anchor="t" anchorCtr="0" upright="1">
                      <a:noAutofit/>
                    </wps:bodyPr>
                  </wps:wsp>
                </a:graphicData>
              </a:graphic>
            </wp:anchor>
          </w:drawing>
        </mc:Choice>
        <mc:Fallback>
          <w:pict>
            <v:shapetype w14:anchorId="5F234374" id="_x0000_t202" coordsize="21600,21600" o:spt="202" path="m,l,21600r21600,l21600,xe">
              <v:stroke joinstyle="miter"/>
              <v:path gradientshapeok="t" o:connecttype="rect"/>
            </v:shapetype>
            <v:shape id="_x0000_s1082" type="#_x0000_t202" style="position:absolute;left:0;text-align:left;margin-left:24.15pt;margin-top:47.95pt;width:259.95pt;height:14.45pt;z-index:-25163008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" filled="f" stroked="f">
              <v:textbox inset="0,0,0,0">
                <w:txbxContent>
                  <w:p w14:paraId="5B279C55" w14:textId="02904D25" w:rsidR="003D2C8D" w:rsidRDefault="00D44E1E">
                    <w:pPr>
                      <w:rPr>
                        <w:rFonts w:ascii="Times New Roman" w:hAnsi="Times New Roman"/>
                        <w:szCs w:val="21"/>
                      </w:rPr>
                    </w:pPr>
                    <w:r>
                      <w:rPr>
                        <w:rFonts w:ascii="Times New Roman" w:hAnsi="Times New Roman" w:hint="eastAsia"/>
                        <w:bCs/>
                        <w:szCs w:val="21"/>
                      </w:rPr>
                      <w:t>老君</w:t>
                    </w:r>
                    <w:r>
                      <w:rPr>
                        <w:rFonts w:ascii="Times New Roman" w:hAnsi="Times New Roman" w:hint="eastAsia"/>
                        <w:bCs/>
                        <w:szCs w:val="21"/>
                      </w:rPr>
                      <w:t>7</w:t>
                    </w:r>
                    <w:r>
                      <w:rPr>
                        <w:rFonts w:ascii="Times New Roman" w:hAnsi="Times New Roman"/>
                        <w:bCs/>
                        <w:szCs w:val="21"/>
                      </w:rPr>
                      <w:t>011</w:t>
                    </w:r>
                    <w:r w:rsidR="005F0388">
                      <w:rPr>
                        <w:rFonts w:ascii="Times New Roman" w:hAnsi="Times New Roman" w:hint="eastAsia"/>
                        <w:bCs/>
                        <w:szCs w:val="21"/>
                      </w:rPr>
                      <w:t>井台钻井及试采工程</w:t>
                    </w:r>
                  </w:p>
                </w:txbxContent>
              </v:textbox>
              <w10:wrap anchorx="margin" anchory="page"/>
            </v:shape>
          </w:pict>
        </mc:Fallback>
      </mc:AlternateContent>
    </w:r>
    <w:r>
      <w:rPr>
        <w:noProof/>
      </w:rPr>
      <mc:AlternateContent>
        <mc:Choice Requires="wpg">
          <w:drawing>
            <wp:anchor distT="0" distB="0" distL="114300" distR="114300" simplePos="0" relativeHeight="251685376" behindDoc="1" locked="0" layoutInCell="1" allowOverlap="1" wp14:anchorId="2B330C0E" wp14:editId="6062361F">
              <wp:simplePos x="0" y="0"/>
              <wp:positionH relativeFrom="page">
                <wp:posOffset>1235034</wp:posOffset>
              </wp:positionH>
              <wp:positionV relativeFrom="page">
                <wp:posOffset>771896</wp:posOffset>
              </wp:positionV>
              <wp:extent cx="8336478" cy="47501"/>
              <wp:effectExtent l="0" t="0" r="0" b="0"/>
              <wp:wrapNone/>
              <wp:docPr id="1750" name="Group 50"/>
              <wp:cNvGraphicFramePr/>
              <a:graphic xmlns:a="http://schemas.openxmlformats.org/drawingml/2006/main">
                <a:graphicData uri="http://schemas.microsoft.com/office/word/2010/wordprocessingGroup">
                  <wpg:wgp>
                    <wpg:cNvGrpSpPr/>
                    <wpg:grpSpPr>
                      <a:xfrm flipV="1">
                        <a:off x="0" y="0"/>
                        <a:ext cx="8336478" cy="47501"/>
                        <a:chOff x="1558" y="1092"/>
                        <a:chExt cx="8792" cy="2"/>
                      </a:xfrm>
                    </wpg:grpSpPr>
                    <wps:wsp>
                      <wps:cNvPr id="1751"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8BCF93" id="Group 50" o:spid="_x0000_s1026" style="position:absolute;left:0;text-align:left;margin-left:97.25pt;margin-top:60.8pt;width:656.4pt;height:3.75pt;flip:y;z-index:-251631104;mso-position-horizontal-relative:page;mso-position-vertical-relative:page;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" path="m,l8792,e" filled="f" strokeweight=".72pt">
                <v:path arrowok="t" o:connecttype="custom" o:connectlocs="0,0;8792,0" o:connectangles="0,0"/>
              </v:shape>
              <w10:wrap anchorx="page" anchory="page"/>
            </v:group>
          </w:pict>
        </mc:Fallback>
      </mc:AlternateContent>
    </w:r>
    <w:r>
      <w:rPr>
        <w:noProof/>
      </w:rPr>
      <mc:AlternateContent>
        <mc:Choice Requires="wps">
          <w:drawing>
            <wp:anchor distT="0" distB="0" distL="114300" distR="114300" simplePos="0" relativeHeight="251687424" behindDoc="1" locked="0" layoutInCell="1" allowOverlap="1" wp14:anchorId="32C33694" wp14:editId="06119426">
              <wp:simplePos x="0" y="0"/>
              <wp:positionH relativeFrom="page">
                <wp:posOffset>8476326</wp:posOffset>
              </wp:positionH>
              <wp:positionV relativeFrom="page">
                <wp:posOffset>639066</wp:posOffset>
              </wp:positionV>
              <wp:extent cx="1056640" cy="241044"/>
              <wp:effectExtent l="0" t="0" r="10160" b="6985"/>
              <wp:wrapNone/>
              <wp:docPr id="175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76FFBBDA" w14:textId="77777777" w:rsidR="003D2C8D" w:rsidRDefault="003D2C8D">
                          <w:pPr>
                            <w:ind w:left="20"/>
                            <w:rPr>
                              <w:rFonts w:ascii="宋体" w:hAnsi="宋体" w:cs="宋体"/>
                              <w:szCs w:val="21"/>
                            </w:rPr>
                          </w:pPr>
                          <w:r>
                            <w:rPr>
                              <w:rFonts w:ascii="宋体" w:hAnsi="宋体" w:cs="宋体"/>
                              <w:szCs w:val="21"/>
                            </w:rPr>
                            <w:t>环境影响报告书</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2C33694" id="_x0000_s1083" type="#_x0000_t202" style="position:absolute;left:0;text-align:left;margin-left:667.45pt;margin-top:50.3pt;width:83.2pt;height:19pt;z-index:-2516290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" filled="f" stroked="f">
              <v:textbox inset="0,0,0,0">
                <w:txbxContent>
                  <w:p w14:paraId="76FFBBDA" w14:textId="77777777" w:rsidR="003D2C8D" w:rsidRDefault="003D2C8D">
                    <w:pPr>
                      <w:ind w:left="20"/>
                      <w:rPr>
                        <w:rFonts w:ascii="宋体" w:hAnsi="宋体" w:cs="宋体"/>
                        <w:szCs w:val="21"/>
                      </w:rPr>
                    </w:pPr>
                    <w:r>
                      <w:rPr>
                        <w:rFonts w:ascii="宋体" w:hAnsi="宋体" w:cs="宋体"/>
                        <w:szCs w:val="21"/>
                      </w:rPr>
                      <w:t>环境影响报告书</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3DED9" w14:textId="7C1E1847" w:rsidR="003D2C8D" w:rsidRDefault="003D2C8D">
    <w:pPr>
      <w:spacing w:line="14" w:lineRule="auto"/>
      <w:rPr>
        <w:sz w:val="18"/>
        <w:szCs w:val="18"/>
      </w:rPr>
    </w:pPr>
  </w:p>
  <w:p w14:paraId="49890E7D" w14:textId="77777777" w:rsidR="003D2C8D" w:rsidRDefault="003D2C8D">
    <w:pPr>
      <w:spacing w:line="14" w:lineRule="auto"/>
      <w:rPr>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FD3C1" w14:textId="046EE72A" w:rsidR="003D2C8D" w:rsidRDefault="003D2C8D">
    <w:pPr>
      <w:spacing w:line="14" w:lineRule="auto"/>
      <w:rPr>
        <w:sz w:val="18"/>
        <w:szCs w:val="18"/>
      </w:rPr>
    </w:pPr>
    <w:r>
      <w:rPr>
        <w:noProof/>
      </w:rPr>
      <mc:AlternateContent>
        <mc:Choice Requires="wpg">
          <w:drawing>
            <wp:anchor distT="0" distB="0" distL="114300" distR="114300" simplePos="0" relativeHeight="251693568" behindDoc="1" locked="0" layoutInCell="1" allowOverlap="1" wp14:anchorId="43C795DF" wp14:editId="2DA6E204">
              <wp:simplePos x="0" y="0"/>
              <wp:positionH relativeFrom="margin">
                <wp:posOffset>103908</wp:posOffset>
              </wp:positionH>
              <wp:positionV relativeFrom="topMargin">
                <wp:align>bottom</wp:align>
              </wp:positionV>
              <wp:extent cx="8146473" cy="288166"/>
              <wp:effectExtent l="0" t="0" r="0" b="0"/>
              <wp:wrapNone/>
              <wp:docPr id="1592" name="Group 50"/>
              <wp:cNvGraphicFramePr/>
              <a:graphic xmlns:a="http://schemas.openxmlformats.org/drawingml/2006/main">
                <a:graphicData uri="http://schemas.microsoft.com/office/word/2010/wordprocessingGroup">
                  <wpg:wgp>
                    <wpg:cNvGrpSpPr/>
                    <wpg:grpSpPr>
                      <a:xfrm flipV="1">
                        <a:off x="0" y="0"/>
                        <a:ext cx="8146473" cy="288166"/>
                        <a:chOff x="1558" y="1092"/>
                        <a:chExt cx="8792" cy="2"/>
                      </a:xfrm>
                    </wpg:grpSpPr>
                    <wps:wsp>
                      <wps:cNvPr id="1593"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A9611B" id="Group 50" o:spid="_x0000_s1026" style="position:absolute;left:0;text-align:left;margin-left:8.2pt;margin-top:0;width:641.45pt;height:22.7pt;flip:y;z-index:-251622912;mso-position-horizontal-relative:margin;mso-position-vertical:bottom;mso-position-vertical-relative:top-margin-area;mso-width-relative:margin;mso-height-relative:margin" coordorigin="1558,1092" coordsize="8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">
              <v:shape id="Freeform 51" o:spid="_x0000_s1027" style="position:absolute;left:1558;top:1092;width:8792;height:2;visibility:visible;mso-wrap-style:square;v-text-anchor:top" coordsize="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" path="m,l8792,e" filled="f" strokeweight=".72pt">
                <v:path arrowok="t" o:connecttype="custom" o:connectlocs="0,0;8792,0" o:connectangles="0,0"/>
              </v:shape>
              <w10:wrap anchorx="margin" anchory="margin"/>
            </v:group>
          </w:pict>
        </mc:Fallback>
      </mc:AlternateContent>
    </w:r>
  </w:p>
  <w:p w14:paraId="306B6B15" w14:textId="681DBB27" w:rsidR="003D2C8D" w:rsidRDefault="003D2C8D">
    <w:pPr>
      <w:spacing w:line="14" w:lineRule="auto"/>
      <w:rPr>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C93D3" w14:textId="158BD790" w:rsidR="003D2C8D" w:rsidRDefault="003D2C8D">
    <w:pPr>
      <w:spacing w:line="14" w:lineRule="auto"/>
      <w:rPr>
        <w:sz w:val="18"/>
        <w:szCs w:val="18"/>
      </w:rPr>
    </w:pPr>
  </w:p>
  <w:p w14:paraId="11EFE4F7" w14:textId="30D95F0B" w:rsidR="003D2C8D" w:rsidRDefault="003D2C8D">
    <w:pPr>
      <w:spacing w:line="14" w:lineRule="aut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19F8B"/>
    <w:multiLevelType w:val="singleLevel"/>
    <w:tmpl w:val="83E19F8B"/>
    <w:lvl w:ilvl="0">
      <w:start w:val="4"/>
      <w:numFmt w:val="decimal"/>
      <w:suff w:val="nothing"/>
      <w:lvlText w:val="（%1）"/>
      <w:lvlJc w:val="left"/>
    </w:lvl>
  </w:abstractNum>
  <w:abstractNum w:abstractNumId="1" w15:restartNumberingAfterBreak="0">
    <w:nsid w:val="AAA58113"/>
    <w:multiLevelType w:val="singleLevel"/>
    <w:tmpl w:val="AAA58113"/>
    <w:lvl w:ilvl="0">
      <w:start w:val="1"/>
      <w:numFmt w:val="decimal"/>
      <w:suff w:val="nothing"/>
      <w:lvlText w:val="（%1）"/>
      <w:lvlJc w:val="left"/>
    </w:lvl>
  </w:abstractNum>
  <w:abstractNum w:abstractNumId="2" w15:restartNumberingAfterBreak="0">
    <w:nsid w:val="D71A5635"/>
    <w:multiLevelType w:val="singleLevel"/>
    <w:tmpl w:val="D71A5635"/>
    <w:lvl w:ilvl="0">
      <w:start w:val="1"/>
      <w:numFmt w:val="decimal"/>
      <w:suff w:val="nothing"/>
      <w:lvlText w:val="（%1）"/>
      <w:lvlJc w:val="left"/>
    </w:lvl>
  </w:abstractNum>
  <w:abstractNum w:abstractNumId="3" w15:restartNumberingAfterBreak="0">
    <w:nsid w:val="DC42DB00"/>
    <w:multiLevelType w:val="singleLevel"/>
    <w:tmpl w:val="DC42DB00"/>
    <w:lvl w:ilvl="0">
      <w:start w:val="2"/>
      <w:numFmt w:val="decimal"/>
      <w:suff w:val="nothing"/>
      <w:lvlText w:val="%1、"/>
      <w:lvlJc w:val="left"/>
    </w:lvl>
  </w:abstractNum>
  <w:abstractNum w:abstractNumId="4" w15:restartNumberingAfterBreak="0">
    <w:nsid w:val="EA502934"/>
    <w:multiLevelType w:val="singleLevel"/>
    <w:tmpl w:val="EA502934"/>
    <w:lvl w:ilvl="0">
      <w:start w:val="7"/>
      <w:numFmt w:val="decimal"/>
      <w:suff w:val="nothing"/>
      <w:lvlText w:val="（%1）"/>
      <w:lvlJc w:val="left"/>
    </w:lvl>
  </w:abstractNum>
  <w:abstractNum w:abstractNumId="5" w15:restartNumberingAfterBreak="0">
    <w:nsid w:val="F4B3680B"/>
    <w:multiLevelType w:val="singleLevel"/>
    <w:tmpl w:val="F4B3680B"/>
    <w:lvl w:ilvl="0">
      <w:start w:val="1"/>
      <w:numFmt w:val="decimal"/>
      <w:suff w:val="nothing"/>
      <w:lvlText w:val="(%1）"/>
      <w:lvlJc w:val="left"/>
    </w:lvl>
  </w:abstractNum>
  <w:abstractNum w:abstractNumId="6" w15:restartNumberingAfterBreak="0">
    <w:nsid w:val="FFFFFF7C"/>
    <w:multiLevelType w:val="singleLevel"/>
    <w:tmpl w:val="B7ACB9F6"/>
    <w:lvl w:ilvl="0">
      <w:start w:val="1"/>
      <w:numFmt w:val="decimal"/>
      <w:lvlText w:val="%1."/>
      <w:lvlJc w:val="left"/>
      <w:pPr>
        <w:tabs>
          <w:tab w:val="num" w:pos="2040"/>
        </w:tabs>
        <w:ind w:leftChars="800" w:left="2040" w:hangingChars="200" w:hanging="360"/>
      </w:pPr>
    </w:lvl>
  </w:abstractNum>
  <w:abstractNum w:abstractNumId="7" w15:restartNumberingAfterBreak="0">
    <w:nsid w:val="FFFFFF7D"/>
    <w:multiLevelType w:val="singleLevel"/>
    <w:tmpl w:val="8A7092E6"/>
    <w:lvl w:ilvl="0">
      <w:start w:val="1"/>
      <w:numFmt w:val="decimal"/>
      <w:lvlText w:val="%1."/>
      <w:lvlJc w:val="left"/>
      <w:pPr>
        <w:tabs>
          <w:tab w:val="num" w:pos="1620"/>
        </w:tabs>
        <w:ind w:leftChars="600" w:left="1620" w:hangingChars="200" w:hanging="360"/>
      </w:pPr>
    </w:lvl>
  </w:abstractNum>
  <w:abstractNum w:abstractNumId="8" w15:restartNumberingAfterBreak="0">
    <w:nsid w:val="FFFFFF7E"/>
    <w:multiLevelType w:val="singleLevel"/>
    <w:tmpl w:val="EE06E262"/>
    <w:lvl w:ilvl="0">
      <w:start w:val="1"/>
      <w:numFmt w:val="decimal"/>
      <w:lvlText w:val="%1."/>
      <w:lvlJc w:val="left"/>
      <w:pPr>
        <w:tabs>
          <w:tab w:val="num" w:pos="1200"/>
        </w:tabs>
        <w:ind w:leftChars="400" w:left="1200" w:hangingChars="200" w:hanging="360"/>
      </w:pPr>
    </w:lvl>
  </w:abstractNum>
  <w:abstractNum w:abstractNumId="9" w15:restartNumberingAfterBreak="0">
    <w:nsid w:val="FFFFFF7F"/>
    <w:multiLevelType w:val="singleLevel"/>
    <w:tmpl w:val="8EFAA47E"/>
    <w:lvl w:ilvl="0">
      <w:start w:val="1"/>
      <w:numFmt w:val="decimal"/>
      <w:lvlText w:val="%1."/>
      <w:lvlJc w:val="left"/>
      <w:pPr>
        <w:tabs>
          <w:tab w:val="num" w:pos="780"/>
        </w:tabs>
        <w:ind w:leftChars="200" w:left="780" w:hangingChars="200" w:hanging="360"/>
      </w:pPr>
    </w:lvl>
  </w:abstractNum>
  <w:abstractNum w:abstractNumId="10" w15:restartNumberingAfterBreak="0">
    <w:nsid w:val="FFFFFF80"/>
    <w:multiLevelType w:val="singleLevel"/>
    <w:tmpl w:val="6C22CAD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11" w15:restartNumberingAfterBreak="0">
    <w:nsid w:val="FFFFFF81"/>
    <w:multiLevelType w:val="singleLevel"/>
    <w:tmpl w:val="DD6E5362"/>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12" w15:restartNumberingAfterBreak="0">
    <w:nsid w:val="FFFFFF82"/>
    <w:multiLevelType w:val="singleLevel"/>
    <w:tmpl w:val="03067FD0"/>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3" w15:restartNumberingAfterBreak="0">
    <w:nsid w:val="FFFFFF83"/>
    <w:multiLevelType w:val="singleLevel"/>
    <w:tmpl w:val="7EF62282"/>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14" w15:restartNumberingAfterBreak="0">
    <w:nsid w:val="FFFFFF88"/>
    <w:multiLevelType w:val="singleLevel"/>
    <w:tmpl w:val="06AC473E"/>
    <w:lvl w:ilvl="0">
      <w:start w:val="1"/>
      <w:numFmt w:val="decimal"/>
      <w:lvlText w:val="%1."/>
      <w:lvlJc w:val="left"/>
      <w:pPr>
        <w:tabs>
          <w:tab w:val="num" w:pos="360"/>
        </w:tabs>
        <w:ind w:left="360" w:hangingChars="200" w:hanging="360"/>
      </w:pPr>
    </w:lvl>
  </w:abstractNum>
  <w:abstractNum w:abstractNumId="15" w15:restartNumberingAfterBreak="0">
    <w:nsid w:val="FFFFFF89"/>
    <w:multiLevelType w:val="singleLevel"/>
    <w:tmpl w:val="97D43AF6"/>
    <w:lvl w:ilvl="0">
      <w:start w:val="1"/>
      <w:numFmt w:val="bullet"/>
      <w:lvlText w:val=""/>
      <w:lvlJc w:val="left"/>
      <w:pPr>
        <w:tabs>
          <w:tab w:val="num" w:pos="360"/>
        </w:tabs>
        <w:ind w:left="360" w:hangingChars="200" w:hanging="360"/>
      </w:pPr>
      <w:rPr>
        <w:rFonts w:ascii="Wingdings" w:hAnsi="Wingdings" w:hint="default"/>
      </w:rPr>
    </w:lvl>
  </w:abstractNum>
  <w:abstractNum w:abstractNumId="16" w15:restartNumberingAfterBreak="0">
    <w:nsid w:val="031FFF01"/>
    <w:multiLevelType w:val="singleLevel"/>
    <w:tmpl w:val="031FFF01"/>
    <w:lvl w:ilvl="0">
      <w:start w:val="2"/>
      <w:numFmt w:val="decimal"/>
      <w:suff w:val="nothing"/>
      <w:lvlText w:val="%1、"/>
      <w:lvlJc w:val="left"/>
    </w:lvl>
  </w:abstractNum>
  <w:abstractNum w:abstractNumId="17" w15:restartNumberingAfterBreak="0">
    <w:nsid w:val="053F9A2D"/>
    <w:multiLevelType w:val="singleLevel"/>
    <w:tmpl w:val="053F9A2D"/>
    <w:lvl w:ilvl="0">
      <w:start w:val="2"/>
      <w:numFmt w:val="decimal"/>
      <w:suff w:val="nothing"/>
      <w:lvlText w:val="（%1）"/>
      <w:lvlJc w:val="left"/>
    </w:lvl>
  </w:abstractNum>
  <w:abstractNum w:abstractNumId="18" w15:restartNumberingAfterBreak="0">
    <w:nsid w:val="08251424"/>
    <w:multiLevelType w:val="hybridMultilevel"/>
    <w:tmpl w:val="65CCA846"/>
    <w:lvl w:ilvl="0" w:tplc="3AB6A13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0A3C5C23"/>
    <w:multiLevelType w:val="hybridMultilevel"/>
    <w:tmpl w:val="D062EA6C"/>
    <w:lvl w:ilvl="0" w:tplc="D198524E">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15:restartNumberingAfterBreak="0">
    <w:nsid w:val="0BB24DEA"/>
    <w:multiLevelType w:val="multilevel"/>
    <w:tmpl w:val="7C1CC506"/>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680"/>
        </w:tabs>
        <w:ind w:left="567" w:hanging="567"/>
      </w:pPr>
      <w:rPr>
        <w:rFonts w:hint="eastAsia"/>
      </w:rPr>
    </w:lvl>
    <w:lvl w:ilvl="2">
      <w:start w:val="1"/>
      <w:numFmt w:val="decimal"/>
      <w:lvlText w:val="%1.%2.%3"/>
      <w:lvlJc w:val="left"/>
      <w:pPr>
        <w:tabs>
          <w:tab w:val="num" w:pos="907"/>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1E063F19"/>
    <w:multiLevelType w:val="singleLevel"/>
    <w:tmpl w:val="1E063F19"/>
    <w:lvl w:ilvl="0">
      <w:start w:val="1"/>
      <w:numFmt w:val="decimal"/>
      <w:suff w:val="nothing"/>
      <w:lvlText w:val="%1、"/>
      <w:lvlJc w:val="left"/>
    </w:lvl>
  </w:abstractNum>
  <w:abstractNum w:abstractNumId="22" w15:restartNumberingAfterBreak="0">
    <w:nsid w:val="21AB7CAA"/>
    <w:multiLevelType w:val="singleLevel"/>
    <w:tmpl w:val="21AB7CAA"/>
    <w:lvl w:ilvl="0">
      <w:start w:val="4"/>
      <w:numFmt w:val="decimal"/>
      <w:suff w:val="nothing"/>
      <w:lvlText w:val="%1）"/>
      <w:lvlJc w:val="left"/>
    </w:lvl>
  </w:abstractNum>
  <w:abstractNum w:abstractNumId="23" w15:restartNumberingAfterBreak="0">
    <w:nsid w:val="30E570E3"/>
    <w:multiLevelType w:val="multilevel"/>
    <w:tmpl w:val="30E570E3"/>
    <w:lvl w:ilvl="0">
      <w:start w:val="1"/>
      <w:numFmt w:val="bullet"/>
      <w:pStyle w:val="5"/>
      <w:lvlText w:val=""/>
      <w:lvlJc w:val="left"/>
      <w:pPr>
        <w:ind w:left="207" w:hanging="181"/>
      </w:pPr>
      <w:rPr>
        <w:rFonts w:ascii="Symbol" w:eastAsia="Symbol" w:hAnsi="Symbol" w:hint="default"/>
        <w:w w:val="102"/>
        <w:sz w:val="24"/>
        <w:szCs w:val="24"/>
      </w:rPr>
    </w:lvl>
    <w:lvl w:ilvl="1">
      <w:start w:val="1"/>
      <w:numFmt w:val="bullet"/>
      <w:lvlText w:val="•"/>
      <w:lvlJc w:val="left"/>
      <w:pPr>
        <w:ind w:left="239" w:hanging="181"/>
      </w:pPr>
      <w:rPr>
        <w:rFonts w:hint="default"/>
      </w:rPr>
    </w:lvl>
    <w:lvl w:ilvl="2">
      <w:start w:val="1"/>
      <w:numFmt w:val="bullet"/>
      <w:lvlText w:val="•"/>
      <w:lvlJc w:val="left"/>
      <w:pPr>
        <w:ind w:left="279" w:hanging="181"/>
      </w:pPr>
      <w:rPr>
        <w:rFonts w:hint="default"/>
      </w:rPr>
    </w:lvl>
    <w:lvl w:ilvl="3">
      <w:start w:val="1"/>
      <w:numFmt w:val="bullet"/>
      <w:pStyle w:val="4"/>
      <w:lvlText w:val="•"/>
      <w:lvlJc w:val="left"/>
      <w:pPr>
        <w:ind w:left="319" w:hanging="181"/>
      </w:pPr>
      <w:rPr>
        <w:rFonts w:hint="default"/>
      </w:rPr>
    </w:lvl>
    <w:lvl w:ilvl="4">
      <w:start w:val="1"/>
      <w:numFmt w:val="bullet"/>
      <w:lvlText w:val="•"/>
      <w:lvlJc w:val="left"/>
      <w:pPr>
        <w:ind w:left="359" w:hanging="181"/>
      </w:pPr>
      <w:rPr>
        <w:rFonts w:hint="default"/>
      </w:rPr>
    </w:lvl>
    <w:lvl w:ilvl="5">
      <w:start w:val="1"/>
      <w:numFmt w:val="bullet"/>
      <w:lvlText w:val="•"/>
      <w:lvlJc w:val="left"/>
      <w:pPr>
        <w:ind w:left="398" w:hanging="181"/>
      </w:pPr>
      <w:rPr>
        <w:rFonts w:hint="default"/>
      </w:rPr>
    </w:lvl>
    <w:lvl w:ilvl="6">
      <w:start w:val="1"/>
      <w:numFmt w:val="bullet"/>
      <w:lvlText w:val="•"/>
      <w:lvlJc w:val="left"/>
      <w:pPr>
        <w:ind w:left="438" w:hanging="181"/>
      </w:pPr>
      <w:rPr>
        <w:rFonts w:hint="default"/>
      </w:rPr>
    </w:lvl>
    <w:lvl w:ilvl="7">
      <w:start w:val="1"/>
      <w:numFmt w:val="bullet"/>
      <w:lvlText w:val="•"/>
      <w:lvlJc w:val="left"/>
      <w:pPr>
        <w:ind w:left="478" w:hanging="181"/>
      </w:pPr>
      <w:rPr>
        <w:rFonts w:hint="default"/>
      </w:rPr>
    </w:lvl>
    <w:lvl w:ilvl="8">
      <w:start w:val="1"/>
      <w:numFmt w:val="bullet"/>
      <w:lvlText w:val="•"/>
      <w:lvlJc w:val="left"/>
      <w:pPr>
        <w:ind w:left="518" w:hanging="181"/>
      </w:pPr>
      <w:rPr>
        <w:rFonts w:hint="default"/>
      </w:rPr>
    </w:lvl>
  </w:abstractNum>
  <w:abstractNum w:abstractNumId="24" w15:restartNumberingAfterBreak="0">
    <w:nsid w:val="372105CC"/>
    <w:multiLevelType w:val="singleLevel"/>
    <w:tmpl w:val="372105CC"/>
    <w:lvl w:ilvl="0">
      <w:start w:val="3"/>
      <w:numFmt w:val="decimal"/>
      <w:suff w:val="nothing"/>
      <w:lvlText w:val="（%1）"/>
      <w:lvlJc w:val="left"/>
    </w:lvl>
  </w:abstractNum>
  <w:abstractNum w:abstractNumId="25" w15:restartNumberingAfterBreak="0">
    <w:nsid w:val="62912F32"/>
    <w:multiLevelType w:val="hybridMultilevel"/>
    <w:tmpl w:val="49ACB758"/>
    <w:lvl w:ilvl="0" w:tplc="2D3E0B78">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6" w15:restartNumberingAfterBreak="0">
    <w:nsid w:val="667FBB14"/>
    <w:multiLevelType w:val="singleLevel"/>
    <w:tmpl w:val="667FBB14"/>
    <w:lvl w:ilvl="0">
      <w:start w:val="1"/>
      <w:numFmt w:val="decimal"/>
      <w:lvlText w:val="%1."/>
      <w:lvlJc w:val="left"/>
      <w:pPr>
        <w:tabs>
          <w:tab w:val="num" w:pos="2040"/>
        </w:tabs>
        <w:ind w:left="2040" w:hanging="360"/>
      </w:pPr>
    </w:lvl>
  </w:abstractNum>
  <w:abstractNum w:abstractNumId="27" w15:restartNumberingAfterBreak="0">
    <w:nsid w:val="68472350"/>
    <w:multiLevelType w:val="singleLevel"/>
    <w:tmpl w:val="68472350"/>
    <w:lvl w:ilvl="0">
      <w:start w:val="5"/>
      <w:numFmt w:val="upperLetter"/>
      <w:suff w:val="nothing"/>
      <w:lvlText w:val="%1、"/>
      <w:lvlJc w:val="left"/>
    </w:lvl>
  </w:abstractNum>
  <w:abstractNum w:abstractNumId="28" w15:restartNumberingAfterBreak="0">
    <w:nsid w:val="712971A8"/>
    <w:multiLevelType w:val="hybridMultilevel"/>
    <w:tmpl w:val="C748B642"/>
    <w:lvl w:ilvl="0" w:tplc="0EB24948">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15:restartNumberingAfterBreak="0">
    <w:nsid w:val="7B20DE83"/>
    <w:multiLevelType w:val="singleLevel"/>
    <w:tmpl w:val="7B20DE83"/>
    <w:lvl w:ilvl="0">
      <w:start w:val="1"/>
      <w:numFmt w:val="decimal"/>
      <w:suff w:val="nothing"/>
      <w:lvlText w:val="%1、"/>
      <w:lvlJc w:val="left"/>
    </w:lvl>
  </w:abstractNum>
  <w:abstractNum w:abstractNumId="30" w15:restartNumberingAfterBreak="0">
    <w:nsid w:val="7B6CAF15"/>
    <w:multiLevelType w:val="singleLevel"/>
    <w:tmpl w:val="7B6CAF15"/>
    <w:lvl w:ilvl="0">
      <w:start w:val="1"/>
      <w:numFmt w:val="decimal"/>
      <w:suff w:val="nothing"/>
      <w:lvlText w:val="（%1）"/>
      <w:lvlJc w:val="left"/>
    </w:lvl>
  </w:abstractNum>
  <w:abstractNum w:abstractNumId="31" w15:restartNumberingAfterBreak="0">
    <w:nsid w:val="7B802383"/>
    <w:multiLevelType w:val="hybridMultilevel"/>
    <w:tmpl w:val="1F26695A"/>
    <w:lvl w:ilvl="0" w:tplc="FCC6E30C">
      <w:start w:val="1"/>
      <w:numFmt w:val="japaneseCounting"/>
      <w:lvlText w:val="（%1）"/>
      <w:lvlJc w:val="left"/>
      <w:pPr>
        <w:tabs>
          <w:tab w:val="num" w:pos="975"/>
        </w:tabs>
        <w:ind w:left="975" w:hanging="975"/>
      </w:pPr>
      <w:rPr>
        <w:rFonts w:hint="default"/>
        <w:lang w:val="en-US"/>
      </w:rPr>
    </w:lvl>
    <w:lvl w:ilvl="1" w:tplc="04090003" w:tentative="1">
      <w:start w:val="1"/>
      <w:numFmt w:val="lowerLetter"/>
      <w:lvlText w:val="%2)"/>
      <w:lvlJc w:val="left"/>
      <w:pPr>
        <w:tabs>
          <w:tab w:val="num" w:pos="-3634"/>
        </w:tabs>
        <w:ind w:left="-3634" w:hanging="420"/>
      </w:pPr>
    </w:lvl>
    <w:lvl w:ilvl="2" w:tplc="04090005">
      <w:start w:val="1"/>
      <w:numFmt w:val="lowerRoman"/>
      <w:lvlText w:val="%3."/>
      <w:lvlJc w:val="right"/>
      <w:pPr>
        <w:tabs>
          <w:tab w:val="num" w:pos="-3214"/>
        </w:tabs>
        <w:ind w:left="-3214" w:hanging="420"/>
      </w:pPr>
    </w:lvl>
    <w:lvl w:ilvl="3" w:tplc="04090001" w:tentative="1">
      <w:start w:val="1"/>
      <w:numFmt w:val="decimal"/>
      <w:lvlText w:val="%4."/>
      <w:lvlJc w:val="left"/>
      <w:pPr>
        <w:tabs>
          <w:tab w:val="num" w:pos="-2794"/>
        </w:tabs>
        <w:ind w:left="-2794" w:hanging="420"/>
      </w:pPr>
    </w:lvl>
    <w:lvl w:ilvl="4" w:tplc="04090003" w:tentative="1">
      <w:start w:val="1"/>
      <w:numFmt w:val="lowerLetter"/>
      <w:lvlText w:val="%5)"/>
      <w:lvlJc w:val="left"/>
      <w:pPr>
        <w:tabs>
          <w:tab w:val="num" w:pos="-2374"/>
        </w:tabs>
        <w:ind w:left="-2374" w:hanging="420"/>
      </w:pPr>
    </w:lvl>
    <w:lvl w:ilvl="5" w:tplc="04090005" w:tentative="1">
      <w:start w:val="1"/>
      <w:numFmt w:val="lowerRoman"/>
      <w:lvlText w:val="%6."/>
      <w:lvlJc w:val="right"/>
      <w:pPr>
        <w:tabs>
          <w:tab w:val="num" w:pos="-1954"/>
        </w:tabs>
        <w:ind w:left="-1954" w:hanging="420"/>
      </w:pPr>
    </w:lvl>
    <w:lvl w:ilvl="6" w:tplc="04090001" w:tentative="1">
      <w:start w:val="1"/>
      <w:numFmt w:val="decimal"/>
      <w:lvlText w:val="%7."/>
      <w:lvlJc w:val="left"/>
      <w:pPr>
        <w:tabs>
          <w:tab w:val="num" w:pos="-1534"/>
        </w:tabs>
        <w:ind w:left="-1534" w:hanging="420"/>
      </w:pPr>
    </w:lvl>
    <w:lvl w:ilvl="7" w:tplc="04090003" w:tentative="1">
      <w:start w:val="1"/>
      <w:numFmt w:val="lowerLetter"/>
      <w:lvlText w:val="%8)"/>
      <w:lvlJc w:val="left"/>
      <w:pPr>
        <w:tabs>
          <w:tab w:val="num" w:pos="-1114"/>
        </w:tabs>
        <w:ind w:left="-1114" w:hanging="420"/>
      </w:pPr>
    </w:lvl>
    <w:lvl w:ilvl="8" w:tplc="04090005" w:tentative="1">
      <w:start w:val="1"/>
      <w:numFmt w:val="lowerRoman"/>
      <w:lvlText w:val="%9."/>
      <w:lvlJc w:val="right"/>
      <w:pPr>
        <w:tabs>
          <w:tab w:val="num" w:pos="-694"/>
        </w:tabs>
        <w:ind w:left="-694" w:hanging="420"/>
      </w:pPr>
    </w:lvl>
  </w:abstractNum>
  <w:num w:numId="1" w16cid:durableId="967248468">
    <w:abstractNumId w:val="23"/>
  </w:num>
  <w:num w:numId="2" w16cid:durableId="435252733">
    <w:abstractNumId w:val="2"/>
  </w:num>
  <w:num w:numId="3" w16cid:durableId="902370704">
    <w:abstractNumId w:val="22"/>
  </w:num>
  <w:num w:numId="4" w16cid:durableId="432673000">
    <w:abstractNumId w:val="21"/>
  </w:num>
  <w:num w:numId="5" w16cid:durableId="835610898">
    <w:abstractNumId w:val="29"/>
  </w:num>
  <w:num w:numId="6" w16cid:durableId="878711513">
    <w:abstractNumId w:val="27"/>
  </w:num>
  <w:num w:numId="7" w16cid:durableId="1875651751">
    <w:abstractNumId w:val="16"/>
  </w:num>
  <w:num w:numId="8" w16cid:durableId="923996121">
    <w:abstractNumId w:val="14"/>
  </w:num>
  <w:num w:numId="9" w16cid:durableId="645161777">
    <w:abstractNumId w:val="9"/>
  </w:num>
  <w:num w:numId="10" w16cid:durableId="543178812">
    <w:abstractNumId w:val="8"/>
  </w:num>
  <w:num w:numId="11" w16cid:durableId="309481895">
    <w:abstractNumId w:val="7"/>
  </w:num>
  <w:num w:numId="12" w16cid:durableId="1143742116">
    <w:abstractNumId w:val="6"/>
  </w:num>
  <w:num w:numId="13" w16cid:durableId="967856792">
    <w:abstractNumId w:val="15"/>
  </w:num>
  <w:num w:numId="14" w16cid:durableId="1169562968">
    <w:abstractNumId w:val="13"/>
  </w:num>
  <w:num w:numId="15" w16cid:durableId="2141798492">
    <w:abstractNumId w:val="12"/>
  </w:num>
  <w:num w:numId="16" w16cid:durableId="1453281140">
    <w:abstractNumId w:val="11"/>
  </w:num>
  <w:num w:numId="17" w16cid:durableId="1436897262">
    <w:abstractNumId w:val="10"/>
  </w:num>
  <w:num w:numId="18" w16cid:durableId="905799440">
    <w:abstractNumId w:val="24"/>
  </w:num>
  <w:num w:numId="19" w16cid:durableId="808520392">
    <w:abstractNumId w:val="20"/>
    <w:lvlOverride w:ilvl="0">
      <w:lvl w:ilvl="0">
        <w:start w:val="1"/>
        <w:numFmt w:val="decimal"/>
        <w:lvlText w:val="%1"/>
        <w:lvlJc w:val="left"/>
        <w:pPr>
          <w:tabs>
            <w:tab w:val="num" w:pos="425"/>
          </w:tabs>
          <w:ind w:left="425" w:hanging="425"/>
        </w:pPr>
        <w:rPr>
          <w:rFonts w:hint="eastAsia"/>
        </w:rPr>
      </w:lvl>
    </w:lvlOverride>
    <w:lvlOverride w:ilvl="1">
      <w:lvl w:ilvl="1">
        <w:start w:val="1"/>
        <w:numFmt w:val="decimal"/>
        <w:lvlText w:val="%1.%2"/>
        <w:lvlJc w:val="left"/>
        <w:pPr>
          <w:tabs>
            <w:tab w:val="num" w:pos="680"/>
          </w:tabs>
          <w:ind w:left="567" w:hanging="567"/>
        </w:pPr>
        <w:rPr>
          <w:rFonts w:hint="eastAsia"/>
        </w:rPr>
      </w:lvl>
    </w:lvlOverride>
    <w:lvlOverride w:ilvl="2">
      <w:lvl w:ilvl="2">
        <w:start w:val="1"/>
        <w:numFmt w:val="decimal"/>
        <w:lvlText w:val="%1.%2.%3"/>
        <w:lvlJc w:val="left"/>
        <w:pPr>
          <w:tabs>
            <w:tab w:val="num" w:pos="680"/>
          </w:tabs>
          <w:ind w:left="709" w:hanging="709"/>
        </w:pPr>
        <w:rPr>
          <w:rFonts w:hint="eastAsia"/>
        </w:rPr>
      </w:lvl>
    </w:lvlOverride>
    <w:lvlOverride w:ilvl="3">
      <w:lvl w:ilvl="3">
        <w:start w:val="1"/>
        <w:numFmt w:val="decimal"/>
        <w:lvlText w:val="%1.%2.%3.%4."/>
        <w:lvlJc w:val="left"/>
        <w:pPr>
          <w:tabs>
            <w:tab w:val="num" w:pos="851"/>
          </w:tabs>
          <w:ind w:left="851" w:hanging="851"/>
        </w:pPr>
        <w:rPr>
          <w:rFonts w:hint="eastAsia"/>
        </w:rPr>
      </w:lvl>
    </w:lvlOverride>
    <w:lvlOverride w:ilvl="4">
      <w:lvl w:ilvl="4">
        <w:start w:val="1"/>
        <w:numFmt w:val="decimal"/>
        <w:lvlText w:val="%1.%2.%3.%4.%5."/>
        <w:lvlJc w:val="left"/>
        <w:pPr>
          <w:tabs>
            <w:tab w:val="num" w:pos="992"/>
          </w:tabs>
          <w:ind w:left="992" w:hanging="992"/>
        </w:pPr>
        <w:rPr>
          <w:rFonts w:hint="eastAsia"/>
        </w:rPr>
      </w:lvl>
    </w:lvlOverride>
    <w:lvlOverride w:ilvl="5">
      <w:lvl w:ilvl="5">
        <w:start w:val="1"/>
        <w:numFmt w:val="decimal"/>
        <w:lvlText w:val="%1.%2.%3.%4.%5.%6."/>
        <w:lvlJc w:val="left"/>
        <w:pPr>
          <w:tabs>
            <w:tab w:val="num" w:pos="1134"/>
          </w:tabs>
          <w:ind w:left="1134" w:hanging="1134"/>
        </w:pPr>
        <w:rPr>
          <w:rFonts w:hint="eastAsia"/>
        </w:rPr>
      </w:lvl>
    </w:lvlOverride>
    <w:lvlOverride w:ilvl="6">
      <w:lvl w:ilvl="6">
        <w:start w:val="1"/>
        <w:numFmt w:val="decimal"/>
        <w:lvlText w:val="%1.%2.%3.%4.%5.%6.%7."/>
        <w:lvlJc w:val="left"/>
        <w:pPr>
          <w:tabs>
            <w:tab w:val="num" w:pos="1276"/>
          </w:tabs>
          <w:ind w:left="1276" w:hanging="1276"/>
        </w:pPr>
        <w:rPr>
          <w:rFonts w:hint="eastAsia"/>
        </w:rPr>
      </w:lvl>
    </w:lvlOverride>
    <w:lvlOverride w:ilvl="7">
      <w:lvl w:ilvl="7">
        <w:start w:val="1"/>
        <w:numFmt w:val="decimal"/>
        <w:lvlText w:val="%1.%2.%3.%4.%5.%6.%7.%8."/>
        <w:lvlJc w:val="left"/>
        <w:pPr>
          <w:tabs>
            <w:tab w:val="num" w:pos="1418"/>
          </w:tabs>
          <w:ind w:left="1418" w:hanging="1418"/>
        </w:pPr>
        <w:rPr>
          <w:rFonts w:hint="eastAsia"/>
        </w:rPr>
      </w:lvl>
    </w:lvlOverride>
    <w:lvlOverride w:ilvl="8">
      <w:lvl w:ilvl="8">
        <w:start w:val="1"/>
        <w:numFmt w:val="decimal"/>
        <w:lvlText w:val="%1.%2.%3.%4.%5.%6.%7.%8.%9."/>
        <w:lvlJc w:val="left"/>
        <w:pPr>
          <w:tabs>
            <w:tab w:val="num" w:pos="1559"/>
          </w:tabs>
          <w:ind w:left="1559" w:hanging="1559"/>
        </w:pPr>
        <w:rPr>
          <w:rFonts w:hint="eastAsia"/>
        </w:rPr>
      </w:lvl>
    </w:lvlOverride>
  </w:num>
  <w:num w:numId="20" w16cid:durableId="1460107227">
    <w:abstractNumId w:val="18"/>
  </w:num>
  <w:num w:numId="21" w16cid:durableId="1658025308">
    <w:abstractNumId w:val="25"/>
  </w:num>
  <w:num w:numId="22" w16cid:durableId="672030784">
    <w:abstractNumId w:val="19"/>
  </w:num>
  <w:num w:numId="23" w16cid:durableId="1287393211">
    <w:abstractNumId w:val="28"/>
  </w:num>
  <w:num w:numId="24" w16cid:durableId="1028408384">
    <w:abstractNumId w:val="5"/>
  </w:num>
  <w:num w:numId="25" w16cid:durableId="1261790545">
    <w:abstractNumId w:val="26"/>
  </w:num>
  <w:num w:numId="26" w16cid:durableId="486824872">
    <w:abstractNumId w:val="1"/>
  </w:num>
  <w:num w:numId="27" w16cid:durableId="184100910">
    <w:abstractNumId w:val="17"/>
  </w:num>
  <w:num w:numId="28" w16cid:durableId="639270775">
    <w:abstractNumId w:val="0"/>
  </w:num>
  <w:num w:numId="29" w16cid:durableId="1516576306">
    <w:abstractNumId w:val="3"/>
  </w:num>
  <w:num w:numId="30" w16cid:durableId="487785957">
    <w:abstractNumId w:val="30"/>
  </w:num>
  <w:num w:numId="31" w16cid:durableId="780494874">
    <w:abstractNumId w:val="4"/>
  </w:num>
  <w:num w:numId="32" w16cid:durableId="47461406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defaultTabStop w:val="720"/>
  <w:drawingGridHorizontalSpacing w:val="11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3D"/>
    <w:rsid w:val="000005C9"/>
    <w:rsid w:val="0000129F"/>
    <w:rsid w:val="00002044"/>
    <w:rsid w:val="00003C78"/>
    <w:rsid w:val="00004562"/>
    <w:rsid w:val="00005E95"/>
    <w:rsid w:val="00005FE4"/>
    <w:rsid w:val="00006D9D"/>
    <w:rsid w:val="0000719A"/>
    <w:rsid w:val="0001015F"/>
    <w:rsid w:val="000107E1"/>
    <w:rsid w:val="000126F8"/>
    <w:rsid w:val="00012758"/>
    <w:rsid w:val="00012863"/>
    <w:rsid w:val="0001338D"/>
    <w:rsid w:val="000140A5"/>
    <w:rsid w:val="00015547"/>
    <w:rsid w:val="00015E0A"/>
    <w:rsid w:val="000210E0"/>
    <w:rsid w:val="0002110E"/>
    <w:rsid w:val="000211D4"/>
    <w:rsid w:val="00021604"/>
    <w:rsid w:val="00021A23"/>
    <w:rsid w:val="00022611"/>
    <w:rsid w:val="000226FB"/>
    <w:rsid w:val="00022ED3"/>
    <w:rsid w:val="00023579"/>
    <w:rsid w:val="0002567D"/>
    <w:rsid w:val="0002590C"/>
    <w:rsid w:val="00026C6E"/>
    <w:rsid w:val="000275B9"/>
    <w:rsid w:val="000276EE"/>
    <w:rsid w:val="00027E52"/>
    <w:rsid w:val="0003158D"/>
    <w:rsid w:val="000319AF"/>
    <w:rsid w:val="00032558"/>
    <w:rsid w:val="000325C8"/>
    <w:rsid w:val="00032757"/>
    <w:rsid w:val="000336CC"/>
    <w:rsid w:val="00034161"/>
    <w:rsid w:val="000342B9"/>
    <w:rsid w:val="00035523"/>
    <w:rsid w:val="0003568A"/>
    <w:rsid w:val="000358C4"/>
    <w:rsid w:val="00035B47"/>
    <w:rsid w:val="0003687F"/>
    <w:rsid w:val="0003790B"/>
    <w:rsid w:val="00037B88"/>
    <w:rsid w:val="0004037D"/>
    <w:rsid w:val="00040516"/>
    <w:rsid w:val="000408D0"/>
    <w:rsid w:val="00040CB2"/>
    <w:rsid w:val="00041EBC"/>
    <w:rsid w:val="00042DFF"/>
    <w:rsid w:val="00042F5B"/>
    <w:rsid w:val="000436DC"/>
    <w:rsid w:val="00043A4A"/>
    <w:rsid w:val="0004419B"/>
    <w:rsid w:val="00044D8D"/>
    <w:rsid w:val="000452D8"/>
    <w:rsid w:val="00045C09"/>
    <w:rsid w:val="00046943"/>
    <w:rsid w:val="00046D6F"/>
    <w:rsid w:val="00047733"/>
    <w:rsid w:val="0004783B"/>
    <w:rsid w:val="00047E3B"/>
    <w:rsid w:val="00050BE7"/>
    <w:rsid w:val="00051322"/>
    <w:rsid w:val="000519D4"/>
    <w:rsid w:val="00051CAE"/>
    <w:rsid w:val="00052A1C"/>
    <w:rsid w:val="000532D4"/>
    <w:rsid w:val="0005352E"/>
    <w:rsid w:val="0005395D"/>
    <w:rsid w:val="00053B30"/>
    <w:rsid w:val="00053E3D"/>
    <w:rsid w:val="00054513"/>
    <w:rsid w:val="00054FBE"/>
    <w:rsid w:val="000563A3"/>
    <w:rsid w:val="00056841"/>
    <w:rsid w:val="00057D34"/>
    <w:rsid w:val="00060556"/>
    <w:rsid w:val="00061D76"/>
    <w:rsid w:val="00062471"/>
    <w:rsid w:val="00062C5E"/>
    <w:rsid w:val="00064062"/>
    <w:rsid w:val="00064312"/>
    <w:rsid w:val="0006439B"/>
    <w:rsid w:val="00064C78"/>
    <w:rsid w:val="00065A7C"/>
    <w:rsid w:val="000664DD"/>
    <w:rsid w:val="00067195"/>
    <w:rsid w:val="00067A4D"/>
    <w:rsid w:val="00070A11"/>
    <w:rsid w:val="00071CF9"/>
    <w:rsid w:val="000723CB"/>
    <w:rsid w:val="00072752"/>
    <w:rsid w:val="00072FEA"/>
    <w:rsid w:val="000732EC"/>
    <w:rsid w:val="0007350F"/>
    <w:rsid w:val="00074BFA"/>
    <w:rsid w:val="00074CC3"/>
    <w:rsid w:val="00074E85"/>
    <w:rsid w:val="0007619E"/>
    <w:rsid w:val="00076223"/>
    <w:rsid w:val="00076930"/>
    <w:rsid w:val="00077A04"/>
    <w:rsid w:val="00077AF2"/>
    <w:rsid w:val="00077D71"/>
    <w:rsid w:val="00080119"/>
    <w:rsid w:val="00080305"/>
    <w:rsid w:val="00080A6C"/>
    <w:rsid w:val="00081457"/>
    <w:rsid w:val="00082EA8"/>
    <w:rsid w:val="000831AF"/>
    <w:rsid w:val="00083515"/>
    <w:rsid w:val="000846B2"/>
    <w:rsid w:val="000852FA"/>
    <w:rsid w:val="00085BC2"/>
    <w:rsid w:val="00087418"/>
    <w:rsid w:val="00087DD7"/>
    <w:rsid w:val="00087EB9"/>
    <w:rsid w:val="00090671"/>
    <w:rsid w:val="00091EE6"/>
    <w:rsid w:val="00092363"/>
    <w:rsid w:val="000925D8"/>
    <w:rsid w:val="00092862"/>
    <w:rsid w:val="00093B08"/>
    <w:rsid w:val="0009444A"/>
    <w:rsid w:val="00096D4A"/>
    <w:rsid w:val="000972F8"/>
    <w:rsid w:val="00097EEB"/>
    <w:rsid w:val="000A0EBA"/>
    <w:rsid w:val="000A1900"/>
    <w:rsid w:val="000A1A4C"/>
    <w:rsid w:val="000A2BF3"/>
    <w:rsid w:val="000A2FDE"/>
    <w:rsid w:val="000A4873"/>
    <w:rsid w:val="000A54E6"/>
    <w:rsid w:val="000A5BDB"/>
    <w:rsid w:val="000A6BB1"/>
    <w:rsid w:val="000A6CC7"/>
    <w:rsid w:val="000A7630"/>
    <w:rsid w:val="000B09F7"/>
    <w:rsid w:val="000B1CBB"/>
    <w:rsid w:val="000B1E75"/>
    <w:rsid w:val="000B2927"/>
    <w:rsid w:val="000B2ED1"/>
    <w:rsid w:val="000B3E74"/>
    <w:rsid w:val="000B4282"/>
    <w:rsid w:val="000B4666"/>
    <w:rsid w:val="000B5517"/>
    <w:rsid w:val="000B5DBB"/>
    <w:rsid w:val="000B6983"/>
    <w:rsid w:val="000B736C"/>
    <w:rsid w:val="000B7444"/>
    <w:rsid w:val="000B7D48"/>
    <w:rsid w:val="000C0113"/>
    <w:rsid w:val="000C1A72"/>
    <w:rsid w:val="000C1F81"/>
    <w:rsid w:val="000C273A"/>
    <w:rsid w:val="000C2EE6"/>
    <w:rsid w:val="000C313A"/>
    <w:rsid w:val="000C3146"/>
    <w:rsid w:val="000C3512"/>
    <w:rsid w:val="000C3942"/>
    <w:rsid w:val="000C4084"/>
    <w:rsid w:val="000C41FF"/>
    <w:rsid w:val="000C4CA7"/>
    <w:rsid w:val="000C55CC"/>
    <w:rsid w:val="000C5AF0"/>
    <w:rsid w:val="000C61B5"/>
    <w:rsid w:val="000C6296"/>
    <w:rsid w:val="000C6D8A"/>
    <w:rsid w:val="000C7123"/>
    <w:rsid w:val="000C75C4"/>
    <w:rsid w:val="000C781E"/>
    <w:rsid w:val="000C78D5"/>
    <w:rsid w:val="000D019D"/>
    <w:rsid w:val="000D0860"/>
    <w:rsid w:val="000D0F83"/>
    <w:rsid w:val="000D1065"/>
    <w:rsid w:val="000D120E"/>
    <w:rsid w:val="000D1626"/>
    <w:rsid w:val="000D181B"/>
    <w:rsid w:val="000D1CD4"/>
    <w:rsid w:val="000D401F"/>
    <w:rsid w:val="000D5816"/>
    <w:rsid w:val="000D664A"/>
    <w:rsid w:val="000D737E"/>
    <w:rsid w:val="000D76B8"/>
    <w:rsid w:val="000D7B9B"/>
    <w:rsid w:val="000E020B"/>
    <w:rsid w:val="000E0D00"/>
    <w:rsid w:val="000E137E"/>
    <w:rsid w:val="000E24DA"/>
    <w:rsid w:val="000E3DDF"/>
    <w:rsid w:val="000E4284"/>
    <w:rsid w:val="000E4933"/>
    <w:rsid w:val="000E4D35"/>
    <w:rsid w:val="000E5198"/>
    <w:rsid w:val="000E5A0D"/>
    <w:rsid w:val="000E6751"/>
    <w:rsid w:val="000E6B19"/>
    <w:rsid w:val="000E7B9A"/>
    <w:rsid w:val="000E7C99"/>
    <w:rsid w:val="000F0A8A"/>
    <w:rsid w:val="000F0CEF"/>
    <w:rsid w:val="000F0E12"/>
    <w:rsid w:val="000F0E25"/>
    <w:rsid w:val="000F151D"/>
    <w:rsid w:val="000F164F"/>
    <w:rsid w:val="000F2AA0"/>
    <w:rsid w:val="000F3B1E"/>
    <w:rsid w:val="000F3E53"/>
    <w:rsid w:val="000F44CB"/>
    <w:rsid w:val="000F4D98"/>
    <w:rsid w:val="000F580B"/>
    <w:rsid w:val="000F59EB"/>
    <w:rsid w:val="000F637A"/>
    <w:rsid w:val="000F6507"/>
    <w:rsid w:val="000F6876"/>
    <w:rsid w:val="000F6C0F"/>
    <w:rsid w:val="001001E6"/>
    <w:rsid w:val="00100248"/>
    <w:rsid w:val="00101D44"/>
    <w:rsid w:val="0010287F"/>
    <w:rsid w:val="00103122"/>
    <w:rsid w:val="001036F3"/>
    <w:rsid w:val="00104CA4"/>
    <w:rsid w:val="001051D7"/>
    <w:rsid w:val="00105AE9"/>
    <w:rsid w:val="00105EE1"/>
    <w:rsid w:val="00106614"/>
    <w:rsid w:val="00107A36"/>
    <w:rsid w:val="00107DF0"/>
    <w:rsid w:val="00110395"/>
    <w:rsid w:val="00111531"/>
    <w:rsid w:val="00111AB4"/>
    <w:rsid w:val="00111D11"/>
    <w:rsid w:val="00113A28"/>
    <w:rsid w:val="00113C7C"/>
    <w:rsid w:val="001159B3"/>
    <w:rsid w:val="001159F8"/>
    <w:rsid w:val="0011655C"/>
    <w:rsid w:val="00116889"/>
    <w:rsid w:val="001176F1"/>
    <w:rsid w:val="00117D0B"/>
    <w:rsid w:val="00120BC8"/>
    <w:rsid w:val="00120C33"/>
    <w:rsid w:val="00120E3E"/>
    <w:rsid w:val="001213B6"/>
    <w:rsid w:val="00121646"/>
    <w:rsid w:val="00122B31"/>
    <w:rsid w:val="00123427"/>
    <w:rsid w:val="001241CB"/>
    <w:rsid w:val="0012426B"/>
    <w:rsid w:val="00124512"/>
    <w:rsid w:val="00125053"/>
    <w:rsid w:val="0012569E"/>
    <w:rsid w:val="0012594E"/>
    <w:rsid w:val="00125C4D"/>
    <w:rsid w:val="00125FF7"/>
    <w:rsid w:val="00126252"/>
    <w:rsid w:val="00126943"/>
    <w:rsid w:val="00127C52"/>
    <w:rsid w:val="001303DA"/>
    <w:rsid w:val="00130658"/>
    <w:rsid w:val="00130CB8"/>
    <w:rsid w:val="00131614"/>
    <w:rsid w:val="00132548"/>
    <w:rsid w:val="001328D8"/>
    <w:rsid w:val="00132D73"/>
    <w:rsid w:val="001339EE"/>
    <w:rsid w:val="00133FF9"/>
    <w:rsid w:val="001343BC"/>
    <w:rsid w:val="00134672"/>
    <w:rsid w:val="001348A9"/>
    <w:rsid w:val="00134D9C"/>
    <w:rsid w:val="00135DFE"/>
    <w:rsid w:val="00136063"/>
    <w:rsid w:val="00136C78"/>
    <w:rsid w:val="001377F7"/>
    <w:rsid w:val="00140813"/>
    <w:rsid w:val="00140B13"/>
    <w:rsid w:val="00141815"/>
    <w:rsid w:val="00141E33"/>
    <w:rsid w:val="001428FE"/>
    <w:rsid w:val="00142B84"/>
    <w:rsid w:val="00143059"/>
    <w:rsid w:val="001444AF"/>
    <w:rsid w:val="001447AE"/>
    <w:rsid w:val="00145A1C"/>
    <w:rsid w:val="00145B12"/>
    <w:rsid w:val="00145BF6"/>
    <w:rsid w:val="00146BF2"/>
    <w:rsid w:val="0014729F"/>
    <w:rsid w:val="001475DB"/>
    <w:rsid w:val="00147764"/>
    <w:rsid w:val="00147F06"/>
    <w:rsid w:val="001500A8"/>
    <w:rsid w:val="00150BF1"/>
    <w:rsid w:val="00150C8F"/>
    <w:rsid w:val="00151E1B"/>
    <w:rsid w:val="00152344"/>
    <w:rsid w:val="0015263C"/>
    <w:rsid w:val="00153B3F"/>
    <w:rsid w:val="0015441C"/>
    <w:rsid w:val="00154FD3"/>
    <w:rsid w:val="0015504C"/>
    <w:rsid w:val="00155ABE"/>
    <w:rsid w:val="00157A51"/>
    <w:rsid w:val="00157C6A"/>
    <w:rsid w:val="0016053B"/>
    <w:rsid w:val="00161622"/>
    <w:rsid w:val="001619C8"/>
    <w:rsid w:val="00161BE2"/>
    <w:rsid w:val="00161DEE"/>
    <w:rsid w:val="00161EE9"/>
    <w:rsid w:val="001636B7"/>
    <w:rsid w:val="00163A62"/>
    <w:rsid w:val="001652CC"/>
    <w:rsid w:val="00166646"/>
    <w:rsid w:val="00166BDB"/>
    <w:rsid w:val="00170AB0"/>
    <w:rsid w:val="00170E67"/>
    <w:rsid w:val="00170F8C"/>
    <w:rsid w:val="00171690"/>
    <w:rsid w:val="00172F16"/>
    <w:rsid w:val="0017333D"/>
    <w:rsid w:val="00173435"/>
    <w:rsid w:val="00173E0E"/>
    <w:rsid w:val="0017502F"/>
    <w:rsid w:val="001751B1"/>
    <w:rsid w:val="0017532F"/>
    <w:rsid w:val="001758C3"/>
    <w:rsid w:val="001768E3"/>
    <w:rsid w:val="00181498"/>
    <w:rsid w:val="001814C0"/>
    <w:rsid w:val="0018197C"/>
    <w:rsid w:val="00181B1A"/>
    <w:rsid w:val="00182C63"/>
    <w:rsid w:val="00182FE6"/>
    <w:rsid w:val="001836D4"/>
    <w:rsid w:val="00183D00"/>
    <w:rsid w:val="00184B18"/>
    <w:rsid w:val="00184C62"/>
    <w:rsid w:val="0018619C"/>
    <w:rsid w:val="00186251"/>
    <w:rsid w:val="00187053"/>
    <w:rsid w:val="00187558"/>
    <w:rsid w:val="00190406"/>
    <w:rsid w:val="0019132C"/>
    <w:rsid w:val="001924B6"/>
    <w:rsid w:val="001925DC"/>
    <w:rsid w:val="001927D2"/>
    <w:rsid w:val="00192A0E"/>
    <w:rsid w:val="00192DFD"/>
    <w:rsid w:val="00193287"/>
    <w:rsid w:val="00193AC2"/>
    <w:rsid w:val="00194B21"/>
    <w:rsid w:val="00194B6D"/>
    <w:rsid w:val="001954C8"/>
    <w:rsid w:val="001955EC"/>
    <w:rsid w:val="0019648E"/>
    <w:rsid w:val="00196791"/>
    <w:rsid w:val="001978A3"/>
    <w:rsid w:val="00197984"/>
    <w:rsid w:val="00197EC9"/>
    <w:rsid w:val="001A000B"/>
    <w:rsid w:val="001A1EF4"/>
    <w:rsid w:val="001A207A"/>
    <w:rsid w:val="001A26FD"/>
    <w:rsid w:val="001A28BB"/>
    <w:rsid w:val="001A338F"/>
    <w:rsid w:val="001A3971"/>
    <w:rsid w:val="001A42D6"/>
    <w:rsid w:val="001A4D08"/>
    <w:rsid w:val="001A5053"/>
    <w:rsid w:val="001A53F7"/>
    <w:rsid w:val="001A5CE8"/>
    <w:rsid w:val="001A6854"/>
    <w:rsid w:val="001A7C7D"/>
    <w:rsid w:val="001B02D6"/>
    <w:rsid w:val="001B0600"/>
    <w:rsid w:val="001B1760"/>
    <w:rsid w:val="001B23D5"/>
    <w:rsid w:val="001B3749"/>
    <w:rsid w:val="001B3EDB"/>
    <w:rsid w:val="001B45BE"/>
    <w:rsid w:val="001B4764"/>
    <w:rsid w:val="001B5123"/>
    <w:rsid w:val="001B5B0B"/>
    <w:rsid w:val="001B5D31"/>
    <w:rsid w:val="001B6FBE"/>
    <w:rsid w:val="001B7497"/>
    <w:rsid w:val="001B7E4B"/>
    <w:rsid w:val="001B7E99"/>
    <w:rsid w:val="001B7F48"/>
    <w:rsid w:val="001C1A01"/>
    <w:rsid w:val="001C1CB7"/>
    <w:rsid w:val="001C1EAF"/>
    <w:rsid w:val="001C2D2D"/>
    <w:rsid w:val="001C30DA"/>
    <w:rsid w:val="001C382A"/>
    <w:rsid w:val="001C4535"/>
    <w:rsid w:val="001C4E9D"/>
    <w:rsid w:val="001C515E"/>
    <w:rsid w:val="001C6A2F"/>
    <w:rsid w:val="001C6BD7"/>
    <w:rsid w:val="001C7171"/>
    <w:rsid w:val="001C732D"/>
    <w:rsid w:val="001C7C3D"/>
    <w:rsid w:val="001C7E69"/>
    <w:rsid w:val="001D036E"/>
    <w:rsid w:val="001D0A6F"/>
    <w:rsid w:val="001D0D01"/>
    <w:rsid w:val="001D2631"/>
    <w:rsid w:val="001D2747"/>
    <w:rsid w:val="001D2B3A"/>
    <w:rsid w:val="001D306A"/>
    <w:rsid w:val="001D3EC9"/>
    <w:rsid w:val="001D3F6F"/>
    <w:rsid w:val="001D4437"/>
    <w:rsid w:val="001D48BD"/>
    <w:rsid w:val="001D4AE2"/>
    <w:rsid w:val="001D4E90"/>
    <w:rsid w:val="001D5E51"/>
    <w:rsid w:val="001D629B"/>
    <w:rsid w:val="001D6BD4"/>
    <w:rsid w:val="001D7037"/>
    <w:rsid w:val="001D78DB"/>
    <w:rsid w:val="001D7DD7"/>
    <w:rsid w:val="001E017E"/>
    <w:rsid w:val="001E0886"/>
    <w:rsid w:val="001E0F6E"/>
    <w:rsid w:val="001E110C"/>
    <w:rsid w:val="001E2759"/>
    <w:rsid w:val="001E32D2"/>
    <w:rsid w:val="001E350D"/>
    <w:rsid w:val="001E4151"/>
    <w:rsid w:val="001E4B87"/>
    <w:rsid w:val="001E4D73"/>
    <w:rsid w:val="001E56F9"/>
    <w:rsid w:val="001E5B4B"/>
    <w:rsid w:val="001E5B8F"/>
    <w:rsid w:val="001E6A51"/>
    <w:rsid w:val="001E7B0D"/>
    <w:rsid w:val="001F08C6"/>
    <w:rsid w:val="001F182E"/>
    <w:rsid w:val="001F280F"/>
    <w:rsid w:val="001F3EF5"/>
    <w:rsid w:val="001F416E"/>
    <w:rsid w:val="001F41E7"/>
    <w:rsid w:val="001F5ACB"/>
    <w:rsid w:val="001F6C3E"/>
    <w:rsid w:val="001F728D"/>
    <w:rsid w:val="00200560"/>
    <w:rsid w:val="00200906"/>
    <w:rsid w:val="00200F40"/>
    <w:rsid w:val="002021ED"/>
    <w:rsid w:val="002036CE"/>
    <w:rsid w:val="00203ECD"/>
    <w:rsid w:val="0020433E"/>
    <w:rsid w:val="00204CB8"/>
    <w:rsid w:val="00204FA6"/>
    <w:rsid w:val="002052AC"/>
    <w:rsid w:val="002058FC"/>
    <w:rsid w:val="0020644E"/>
    <w:rsid w:val="0021034A"/>
    <w:rsid w:val="00210876"/>
    <w:rsid w:val="00210DEE"/>
    <w:rsid w:val="0021226B"/>
    <w:rsid w:val="00213614"/>
    <w:rsid w:val="002147C5"/>
    <w:rsid w:val="00214E84"/>
    <w:rsid w:val="00215953"/>
    <w:rsid w:val="00215E8C"/>
    <w:rsid w:val="00215F80"/>
    <w:rsid w:val="00216B4F"/>
    <w:rsid w:val="00216E0F"/>
    <w:rsid w:val="00217FAF"/>
    <w:rsid w:val="00220F4C"/>
    <w:rsid w:val="00221591"/>
    <w:rsid w:val="002222E8"/>
    <w:rsid w:val="0022391E"/>
    <w:rsid w:val="00224BF1"/>
    <w:rsid w:val="002254A9"/>
    <w:rsid w:val="002256F6"/>
    <w:rsid w:val="002305D1"/>
    <w:rsid w:val="00230B64"/>
    <w:rsid w:val="00231A77"/>
    <w:rsid w:val="00231FE9"/>
    <w:rsid w:val="00233A79"/>
    <w:rsid w:val="00233E0D"/>
    <w:rsid w:val="00234948"/>
    <w:rsid w:val="00234DC3"/>
    <w:rsid w:val="00235E5C"/>
    <w:rsid w:val="00236492"/>
    <w:rsid w:val="00236DF3"/>
    <w:rsid w:val="002377A8"/>
    <w:rsid w:val="00241BE4"/>
    <w:rsid w:val="00242687"/>
    <w:rsid w:val="00242A50"/>
    <w:rsid w:val="002438F8"/>
    <w:rsid w:val="002445D5"/>
    <w:rsid w:val="00244A53"/>
    <w:rsid w:val="00244CB7"/>
    <w:rsid w:val="00244E39"/>
    <w:rsid w:val="00244E4C"/>
    <w:rsid w:val="002466E0"/>
    <w:rsid w:val="00246E41"/>
    <w:rsid w:val="00247409"/>
    <w:rsid w:val="00250390"/>
    <w:rsid w:val="002511D0"/>
    <w:rsid w:val="0025149A"/>
    <w:rsid w:val="00251AB3"/>
    <w:rsid w:val="002523FC"/>
    <w:rsid w:val="00252840"/>
    <w:rsid w:val="00253A79"/>
    <w:rsid w:val="002557D7"/>
    <w:rsid w:val="00255F20"/>
    <w:rsid w:val="00256898"/>
    <w:rsid w:val="00256B28"/>
    <w:rsid w:val="002579C0"/>
    <w:rsid w:val="002603F0"/>
    <w:rsid w:val="00260CB4"/>
    <w:rsid w:val="00260E30"/>
    <w:rsid w:val="0026113C"/>
    <w:rsid w:val="002616A2"/>
    <w:rsid w:val="002618F0"/>
    <w:rsid w:val="00261AB9"/>
    <w:rsid w:val="002621F2"/>
    <w:rsid w:val="00264208"/>
    <w:rsid w:val="00264C46"/>
    <w:rsid w:val="00266E52"/>
    <w:rsid w:val="00266E6D"/>
    <w:rsid w:val="002670AB"/>
    <w:rsid w:val="002670EF"/>
    <w:rsid w:val="0026765B"/>
    <w:rsid w:val="00267ABB"/>
    <w:rsid w:val="00270268"/>
    <w:rsid w:val="00271CF1"/>
    <w:rsid w:val="00271DF7"/>
    <w:rsid w:val="00272C92"/>
    <w:rsid w:val="00272C9F"/>
    <w:rsid w:val="00272E43"/>
    <w:rsid w:val="00273543"/>
    <w:rsid w:val="002738A7"/>
    <w:rsid w:val="00273994"/>
    <w:rsid w:val="002744E2"/>
    <w:rsid w:val="002753F7"/>
    <w:rsid w:val="00275415"/>
    <w:rsid w:val="0027557B"/>
    <w:rsid w:val="0027638E"/>
    <w:rsid w:val="0027662A"/>
    <w:rsid w:val="00276CB3"/>
    <w:rsid w:val="00277202"/>
    <w:rsid w:val="00277A98"/>
    <w:rsid w:val="00277C48"/>
    <w:rsid w:val="002807CB"/>
    <w:rsid w:val="00280D55"/>
    <w:rsid w:val="00280DAC"/>
    <w:rsid w:val="00280E0C"/>
    <w:rsid w:val="00280FD6"/>
    <w:rsid w:val="002818DE"/>
    <w:rsid w:val="00281947"/>
    <w:rsid w:val="00282C2A"/>
    <w:rsid w:val="00283832"/>
    <w:rsid w:val="002838A0"/>
    <w:rsid w:val="00284D91"/>
    <w:rsid w:val="00285424"/>
    <w:rsid w:val="00285B77"/>
    <w:rsid w:val="00286963"/>
    <w:rsid w:val="00286C64"/>
    <w:rsid w:val="0028707B"/>
    <w:rsid w:val="0028745C"/>
    <w:rsid w:val="00287B90"/>
    <w:rsid w:val="00290AF2"/>
    <w:rsid w:val="00290FFD"/>
    <w:rsid w:val="0029178F"/>
    <w:rsid w:val="00291F3E"/>
    <w:rsid w:val="0029285E"/>
    <w:rsid w:val="00293B0E"/>
    <w:rsid w:val="0029492E"/>
    <w:rsid w:val="00295ABD"/>
    <w:rsid w:val="002979DD"/>
    <w:rsid w:val="002A0BCF"/>
    <w:rsid w:val="002A0C41"/>
    <w:rsid w:val="002A1518"/>
    <w:rsid w:val="002A17B3"/>
    <w:rsid w:val="002A20A7"/>
    <w:rsid w:val="002A22B7"/>
    <w:rsid w:val="002A22C3"/>
    <w:rsid w:val="002A22EA"/>
    <w:rsid w:val="002A2D8C"/>
    <w:rsid w:val="002A34EA"/>
    <w:rsid w:val="002A379E"/>
    <w:rsid w:val="002A4AA3"/>
    <w:rsid w:val="002A794F"/>
    <w:rsid w:val="002B051E"/>
    <w:rsid w:val="002B1476"/>
    <w:rsid w:val="002B14DB"/>
    <w:rsid w:val="002B18D4"/>
    <w:rsid w:val="002B1AB0"/>
    <w:rsid w:val="002B1BB4"/>
    <w:rsid w:val="002B1C98"/>
    <w:rsid w:val="002B21E8"/>
    <w:rsid w:val="002B2757"/>
    <w:rsid w:val="002B2E54"/>
    <w:rsid w:val="002B340E"/>
    <w:rsid w:val="002B3A90"/>
    <w:rsid w:val="002B3BBC"/>
    <w:rsid w:val="002B3F19"/>
    <w:rsid w:val="002B468B"/>
    <w:rsid w:val="002B4D1D"/>
    <w:rsid w:val="002B5835"/>
    <w:rsid w:val="002B62C1"/>
    <w:rsid w:val="002B7020"/>
    <w:rsid w:val="002B7777"/>
    <w:rsid w:val="002C01EE"/>
    <w:rsid w:val="002C0559"/>
    <w:rsid w:val="002C06F7"/>
    <w:rsid w:val="002C1289"/>
    <w:rsid w:val="002C2A36"/>
    <w:rsid w:val="002C36B5"/>
    <w:rsid w:val="002C40AD"/>
    <w:rsid w:val="002C4161"/>
    <w:rsid w:val="002C478C"/>
    <w:rsid w:val="002C4ABB"/>
    <w:rsid w:val="002C5BCD"/>
    <w:rsid w:val="002C5D0C"/>
    <w:rsid w:val="002C77F6"/>
    <w:rsid w:val="002D0C5E"/>
    <w:rsid w:val="002D111E"/>
    <w:rsid w:val="002D264D"/>
    <w:rsid w:val="002D2EBE"/>
    <w:rsid w:val="002D30AC"/>
    <w:rsid w:val="002D3605"/>
    <w:rsid w:val="002D40CD"/>
    <w:rsid w:val="002D42F7"/>
    <w:rsid w:val="002D52E1"/>
    <w:rsid w:val="002D5451"/>
    <w:rsid w:val="002D58F0"/>
    <w:rsid w:val="002D72B5"/>
    <w:rsid w:val="002D763F"/>
    <w:rsid w:val="002E08DF"/>
    <w:rsid w:val="002E0C20"/>
    <w:rsid w:val="002E192E"/>
    <w:rsid w:val="002E1A1D"/>
    <w:rsid w:val="002E1D20"/>
    <w:rsid w:val="002E2486"/>
    <w:rsid w:val="002E2DF0"/>
    <w:rsid w:val="002E4525"/>
    <w:rsid w:val="002E516D"/>
    <w:rsid w:val="002E56B5"/>
    <w:rsid w:val="002E5817"/>
    <w:rsid w:val="002E646E"/>
    <w:rsid w:val="002E6AF6"/>
    <w:rsid w:val="002E6CC4"/>
    <w:rsid w:val="002F0533"/>
    <w:rsid w:val="002F0B29"/>
    <w:rsid w:val="002F0FBC"/>
    <w:rsid w:val="002F12C9"/>
    <w:rsid w:val="002F26E5"/>
    <w:rsid w:val="002F285F"/>
    <w:rsid w:val="002F3E59"/>
    <w:rsid w:val="002F51A0"/>
    <w:rsid w:val="002F5871"/>
    <w:rsid w:val="002F6EEA"/>
    <w:rsid w:val="002F733C"/>
    <w:rsid w:val="00300522"/>
    <w:rsid w:val="00300AB9"/>
    <w:rsid w:val="00300E09"/>
    <w:rsid w:val="003027E4"/>
    <w:rsid w:val="00302AAA"/>
    <w:rsid w:val="0030310A"/>
    <w:rsid w:val="00303433"/>
    <w:rsid w:val="00304489"/>
    <w:rsid w:val="0030523E"/>
    <w:rsid w:val="00305CDB"/>
    <w:rsid w:val="00306847"/>
    <w:rsid w:val="003069E8"/>
    <w:rsid w:val="0030712C"/>
    <w:rsid w:val="003073C2"/>
    <w:rsid w:val="0030793F"/>
    <w:rsid w:val="00310975"/>
    <w:rsid w:val="00310E7E"/>
    <w:rsid w:val="003121FB"/>
    <w:rsid w:val="00312ED1"/>
    <w:rsid w:val="00313350"/>
    <w:rsid w:val="00313593"/>
    <w:rsid w:val="00313701"/>
    <w:rsid w:val="00313A08"/>
    <w:rsid w:val="00316C1E"/>
    <w:rsid w:val="00316CBA"/>
    <w:rsid w:val="00317F32"/>
    <w:rsid w:val="00320609"/>
    <w:rsid w:val="0032155F"/>
    <w:rsid w:val="00323293"/>
    <w:rsid w:val="0032468C"/>
    <w:rsid w:val="00324758"/>
    <w:rsid w:val="003250F9"/>
    <w:rsid w:val="00327414"/>
    <w:rsid w:val="00327903"/>
    <w:rsid w:val="00331456"/>
    <w:rsid w:val="003323C5"/>
    <w:rsid w:val="003328B3"/>
    <w:rsid w:val="003349F5"/>
    <w:rsid w:val="00334A4F"/>
    <w:rsid w:val="003354C0"/>
    <w:rsid w:val="003358CF"/>
    <w:rsid w:val="0033604C"/>
    <w:rsid w:val="00336873"/>
    <w:rsid w:val="003369D4"/>
    <w:rsid w:val="00336E6A"/>
    <w:rsid w:val="00337E65"/>
    <w:rsid w:val="00341D2B"/>
    <w:rsid w:val="00342274"/>
    <w:rsid w:val="003427E7"/>
    <w:rsid w:val="00343BA6"/>
    <w:rsid w:val="00343BCC"/>
    <w:rsid w:val="003442F7"/>
    <w:rsid w:val="00344F4F"/>
    <w:rsid w:val="00345259"/>
    <w:rsid w:val="0034575F"/>
    <w:rsid w:val="00345A15"/>
    <w:rsid w:val="00345E93"/>
    <w:rsid w:val="00345FFF"/>
    <w:rsid w:val="003464C6"/>
    <w:rsid w:val="00347229"/>
    <w:rsid w:val="00347B65"/>
    <w:rsid w:val="00350CF0"/>
    <w:rsid w:val="00351393"/>
    <w:rsid w:val="00352F46"/>
    <w:rsid w:val="0035419C"/>
    <w:rsid w:val="0035419D"/>
    <w:rsid w:val="0035466A"/>
    <w:rsid w:val="00354E3C"/>
    <w:rsid w:val="00355F20"/>
    <w:rsid w:val="00356032"/>
    <w:rsid w:val="00356508"/>
    <w:rsid w:val="003566E8"/>
    <w:rsid w:val="00357C7B"/>
    <w:rsid w:val="00357FF6"/>
    <w:rsid w:val="00360A49"/>
    <w:rsid w:val="0036199E"/>
    <w:rsid w:val="0036249F"/>
    <w:rsid w:val="003626F4"/>
    <w:rsid w:val="00362A1A"/>
    <w:rsid w:val="0036381B"/>
    <w:rsid w:val="00363A96"/>
    <w:rsid w:val="00364F47"/>
    <w:rsid w:val="003651DD"/>
    <w:rsid w:val="00365F51"/>
    <w:rsid w:val="00366463"/>
    <w:rsid w:val="0036682F"/>
    <w:rsid w:val="00370432"/>
    <w:rsid w:val="00370D1F"/>
    <w:rsid w:val="003712D5"/>
    <w:rsid w:val="00371318"/>
    <w:rsid w:val="0037232B"/>
    <w:rsid w:val="00374603"/>
    <w:rsid w:val="003747E9"/>
    <w:rsid w:val="003752A4"/>
    <w:rsid w:val="00376080"/>
    <w:rsid w:val="0037695C"/>
    <w:rsid w:val="003775A0"/>
    <w:rsid w:val="0037785D"/>
    <w:rsid w:val="00380786"/>
    <w:rsid w:val="00380896"/>
    <w:rsid w:val="00380D42"/>
    <w:rsid w:val="00381A40"/>
    <w:rsid w:val="00382577"/>
    <w:rsid w:val="0038379B"/>
    <w:rsid w:val="003848BE"/>
    <w:rsid w:val="00387689"/>
    <w:rsid w:val="00387B0B"/>
    <w:rsid w:val="00387DF7"/>
    <w:rsid w:val="003906B6"/>
    <w:rsid w:val="00390774"/>
    <w:rsid w:val="003909FC"/>
    <w:rsid w:val="00390CDE"/>
    <w:rsid w:val="00391274"/>
    <w:rsid w:val="003929FC"/>
    <w:rsid w:val="00392B99"/>
    <w:rsid w:val="00393372"/>
    <w:rsid w:val="0039401D"/>
    <w:rsid w:val="00394209"/>
    <w:rsid w:val="00394EDB"/>
    <w:rsid w:val="003960FF"/>
    <w:rsid w:val="0039680A"/>
    <w:rsid w:val="00397A46"/>
    <w:rsid w:val="003A01A8"/>
    <w:rsid w:val="003A1C90"/>
    <w:rsid w:val="003A20A4"/>
    <w:rsid w:val="003A3D25"/>
    <w:rsid w:val="003A5165"/>
    <w:rsid w:val="003A5271"/>
    <w:rsid w:val="003A5D13"/>
    <w:rsid w:val="003A5FD0"/>
    <w:rsid w:val="003A698A"/>
    <w:rsid w:val="003A7540"/>
    <w:rsid w:val="003A7A77"/>
    <w:rsid w:val="003A7D22"/>
    <w:rsid w:val="003B039B"/>
    <w:rsid w:val="003B079A"/>
    <w:rsid w:val="003B07DA"/>
    <w:rsid w:val="003B0CCB"/>
    <w:rsid w:val="003B125E"/>
    <w:rsid w:val="003B1968"/>
    <w:rsid w:val="003B1FB3"/>
    <w:rsid w:val="003B2659"/>
    <w:rsid w:val="003B3EEE"/>
    <w:rsid w:val="003B412F"/>
    <w:rsid w:val="003B48C3"/>
    <w:rsid w:val="003B49A8"/>
    <w:rsid w:val="003B5668"/>
    <w:rsid w:val="003B59FD"/>
    <w:rsid w:val="003B63DE"/>
    <w:rsid w:val="003B6869"/>
    <w:rsid w:val="003B761C"/>
    <w:rsid w:val="003B7839"/>
    <w:rsid w:val="003C0038"/>
    <w:rsid w:val="003C06A9"/>
    <w:rsid w:val="003C0713"/>
    <w:rsid w:val="003C0850"/>
    <w:rsid w:val="003C2BBD"/>
    <w:rsid w:val="003C3238"/>
    <w:rsid w:val="003C3642"/>
    <w:rsid w:val="003C3813"/>
    <w:rsid w:val="003C386A"/>
    <w:rsid w:val="003C4443"/>
    <w:rsid w:val="003C5675"/>
    <w:rsid w:val="003C5C22"/>
    <w:rsid w:val="003C65AE"/>
    <w:rsid w:val="003C6CB7"/>
    <w:rsid w:val="003C702D"/>
    <w:rsid w:val="003C77D6"/>
    <w:rsid w:val="003D0256"/>
    <w:rsid w:val="003D1758"/>
    <w:rsid w:val="003D23F4"/>
    <w:rsid w:val="003D2C8D"/>
    <w:rsid w:val="003D2EEB"/>
    <w:rsid w:val="003D3086"/>
    <w:rsid w:val="003D32FE"/>
    <w:rsid w:val="003D41E0"/>
    <w:rsid w:val="003D450D"/>
    <w:rsid w:val="003D4A9F"/>
    <w:rsid w:val="003D4DAB"/>
    <w:rsid w:val="003D50E4"/>
    <w:rsid w:val="003D56BC"/>
    <w:rsid w:val="003D6713"/>
    <w:rsid w:val="003D70E6"/>
    <w:rsid w:val="003D77EF"/>
    <w:rsid w:val="003D7B61"/>
    <w:rsid w:val="003E0C74"/>
    <w:rsid w:val="003E2431"/>
    <w:rsid w:val="003E3333"/>
    <w:rsid w:val="003E3BC8"/>
    <w:rsid w:val="003E487D"/>
    <w:rsid w:val="003E59EC"/>
    <w:rsid w:val="003E5DED"/>
    <w:rsid w:val="003E5E6C"/>
    <w:rsid w:val="003E7661"/>
    <w:rsid w:val="003E796D"/>
    <w:rsid w:val="003F06F5"/>
    <w:rsid w:val="003F0D60"/>
    <w:rsid w:val="003F18E6"/>
    <w:rsid w:val="003F2E8B"/>
    <w:rsid w:val="003F40DC"/>
    <w:rsid w:val="003F449B"/>
    <w:rsid w:val="003F4515"/>
    <w:rsid w:val="003F5110"/>
    <w:rsid w:val="003F5780"/>
    <w:rsid w:val="003F58E8"/>
    <w:rsid w:val="003F7692"/>
    <w:rsid w:val="003F7A0D"/>
    <w:rsid w:val="00400A6A"/>
    <w:rsid w:val="00402F3D"/>
    <w:rsid w:val="00403CE0"/>
    <w:rsid w:val="00403F45"/>
    <w:rsid w:val="004041CA"/>
    <w:rsid w:val="00404248"/>
    <w:rsid w:val="004044B8"/>
    <w:rsid w:val="00404795"/>
    <w:rsid w:val="00405F6C"/>
    <w:rsid w:val="00405FBC"/>
    <w:rsid w:val="00406110"/>
    <w:rsid w:val="004074CB"/>
    <w:rsid w:val="00410014"/>
    <w:rsid w:val="004122FC"/>
    <w:rsid w:val="004128BE"/>
    <w:rsid w:val="00412931"/>
    <w:rsid w:val="00413457"/>
    <w:rsid w:val="00414603"/>
    <w:rsid w:val="00414DDD"/>
    <w:rsid w:val="004158E5"/>
    <w:rsid w:val="00415CA4"/>
    <w:rsid w:val="0041611B"/>
    <w:rsid w:val="00416354"/>
    <w:rsid w:val="004166DE"/>
    <w:rsid w:val="00416CDD"/>
    <w:rsid w:val="00420541"/>
    <w:rsid w:val="00420711"/>
    <w:rsid w:val="0042164E"/>
    <w:rsid w:val="004219D2"/>
    <w:rsid w:val="00421AB7"/>
    <w:rsid w:val="00421CD8"/>
    <w:rsid w:val="00423340"/>
    <w:rsid w:val="004238CC"/>
    <w:rsid w:val="0042456F"/>
    <w:rsid w:val="00424DC5"/>
    <w:rsid w:val="00425E5E"/>
    <w:rsid w:val="00426656"/>
    <w:rsid w:val="004307BE"/>
    <w:rsid w:val="0043083F"/>
    <w:rsid w:val="00432457"/>
    <w:rsid w:val="00432775"/>
    <w:rsid w:val="00433538"/>
    <w:rsid w:val="00433B25"/>
    <w:rsid w:val="004343F7"/>
    <w:rsid w:val="00434998"/>
    <w:rsid w:val="00434D9D"/>
    <w:rsid w:val="00434E1F"/>
    <w:rsid w:val="00434E7C"/>
    <w:rsid w:val="0043655F"/>
    <w:rsid w:val="00437F5F"/>
    <w:rsid w:val="004412AA"/>
    <w:rsid w:val="0044133D"/>
    <w:rsid w:val="00443FB9"/>
    <w:rsid w:val="00444405"/>
    <w:rsid w:val="00444493"/>
    <w:rsid w:val="004445DE"/>
    <w:rsid w:val="004449A9"/>
    <w:rsid w:val="00444B1E"/>
    <w:rsid w:val="00445107"/>
    <w:rsid w:val="0044514F"/>
    <w:rsid w:val="0044580B"/>
    <w:rsid w:val="0044592B"/>
    <w:rsid w:val="00445DAF"/>
    <w:rsid w:val="00445EC1"/>
    <w:rsid w:val="004464D2"/>
    <w:rsid w:val="0044673E"/>
    <w:rsid w:val="00450025"/>
    <w:rsid w:val="0045023A"/>
    <w:rsid w:val="00450ECF"/>
    <w:rsid w:val="00451387"/>
    <w:rsid w:val="004522ED"/>
    <w:rsid w:val="00452EFA"/>
    <w:rsid w:val="004551FB"/>
    <w:rsid w:val="0045552F"/>
    <w:rsid w:val="00455AE5"/>
    <w:rsid w:val="0045640C"/>
    <w:rsid w:val="004568E5"/>
    <w:rsid w:val="00456CFD"/>
    <w:rsid w:val="00456DA3"/>
    <w:rsid w:val="004570D7"/>
    <w:rsid w:val="004575FF"/>
    <w:rsid w:val="0045775A"/>
    <w:rsid w:val="00457AF4"/>
    <w:rsid w:val="0046183A"/>
    <w:rsid w:val="00462385"/>
    <w:rsid w:val="004629A9"/>
    <w:rsid w:val="00463124"/>
    <w:rsid w:val="00463B06"/>
    <w:rsid w:val="00463BF0"/>
    <w:rsid w:val="00464AFF"/>
    <w:rsid w:val="00465174"/>
    <w:rsid w:val="00466138"/>
    <w:rsid w:val="004661B4"/>
    <w:rsid w:val="00466415"/>
    <w:rsid w:val="00466A30"/>
    <w:rsid w:val="00466A40"/>
    <w:rsid w:val="00467606"/>
    <w:rsid w:val="00467DB4"/>
    <w:rsid w:val="00470F7F"/>
    <w:rsid w:val="00470FC1"/>
    <w:rsid w:val="0047167E"/>
    <w:rsid w:val="00471E87"/>
    <w:rsid w:val="0047306D"/>
    <w:rsid w:val="004737AC"/>
    <w:rsid w:val="00473D80"/>
    <w:rsid w:val="004740F3"/>
    <w:rsid w:val="004741C6"/>
    <w:rsid w:val="004750E4"/>
    <w:rsid w:val="0047510E"/>
    <w:rsid w:val="00476778"/>
    <w:rsid w:val="00477C46"/>
    <w:rsid w:val="00480CC0"/>
    <w:rsid w:val="00480F23"/>
    <w:rsid w:val="00481578"/>
    <w:rsid w:val="00482476"/>
    <w:rsid w:val="00482ACF"/>
    <w:rsid w:val="0048346D"/>
    <w:rsid w:val="004836C1"/>
    <w:rsid w:val="00483C50"/>
    <w:rsid w:val="004840B9"/>
    <w:rsid w:val="0048465F"/>
    <w:rsid w:val="00484AEA"/>
    <w:rsid w:val="00484F5E"/>
    <w:rsid w:val="0048503F"/>
    <w:rsid w:val="004850E0"/>
    <w:rsid w:val="00485151"/>
    <w:rsid w:val="00485439"/>
    <w:rsid w:val="004860E4"/>
    <w:rsid w:val="00486736"/>
    <w:rsid w:val="00486A97"/>
    <w:rsid w:val="004875AE"/>
    <w:rsid w:val="0049005E"/>
    <w:rsid w:val="00490063"/>
    <w:rsid w:val="004909EC"/>
    <w:rsid w:val="00490D90"/>
    <w:rsid w:val="00491C54"/>
    <w:rsid w:val="004924FC"/>
    <w:rsid w:val="0049380B"/>
    <w:rsid w:val="004950F9"/>
    <w:rsid w:val="00495A1D"/>
    <w:rsid w:val="00495CF7"/>
    <w:rsid w:val="00495F28"/>
    <w:rsid w:val="0049603A"/>
    <w:rsid w:val="00496F53"/>
    <w:rsid w:val="00497313"/>
    <w:rsid w:val="00497868"/>
    <w:rsid w:val="004978AD"/>
    <w:rsid w:val="004A0102"/>
    <w:rsid w:val="004A013D"/>
    <w:rsid w:val="004A1815"/>
    <w:rsid w:val="004A317C"/>
    <w:rsid w:val="004A31B2"/>
    <w:rsid w:val="004A332D"/>
    <w:rsid w:val="004A392A"/>
    <w:rsid w:val="004A4AB3"/>
    <w:rsid w:val="004A5690"/>
    <w:rsid w:val="004A588C"/>
    <w:rsid w:val="004A5E8F"/>
    <w:rsid w:val="004A62AC"/>
    <w:rsid w:val="004A6D52"/>
    <w:rsid w:val="004A71B6"/>
    <w:rsid w:val="004B0808"/>
    <w:rsid w:val="004B09F7"/>
    <w:rsid w:val="004B0BF1"/>
    <w:rsid w:val="004B1377"/>
    <w:rsid w:val="004B1DEA"/>
    <w:rsid w:val="004B3162"/>
    <w:rsid w:val="004B382D"/>
    <w:rsid w:val="004B3AC6"/>
    <w:rsid w:val="004B3D0D"/>
    <w:rsid w:val="004B4D44"/>
    <w:rsid w:val="004B4FA7"/>
    <w:rsid w:val="004B5DBF"/>
    <w:rsid w:val="004B5FCC"/>
    <w:rsid w:val="004B6A4F"/>
    <w:rsid w:val="004C2DF1"/>
    <w:rsid w:val="004C317E"/>
    <w:rsid w:val="004C56F1"/>
    <w:rsid w:val="004C58D1"/>
    <w:rsid w:val="004C5A3C"/>
    <w:rsid w:val="004C5B39"/>
    <w:rsid w:val="004C5C09"/>
    <w:rsid w:val="004C5D63"/>
    <w:rsid w:val="004C645C"/>
    <w:rsid w:val="004C7059"/>
    <w:rsid w:val="004C7300"/>
    <w:rsid w:val="004C730C"/>
    <w:rsid w:val="004C7408"/>
    <w:rsid w:val="004D07D0"/>
    <w:rsid w:val="004D2A67"/>
    <w:rsid w:val="004D3790"/>
    <w:rsid w:val="004D3835"/>
    <w:rsid w:val="004D389A"/>
    <w:rsid w:val="004D393F"/>
    <w:rsid w:val="004D3EC5"/>
    <w:rsid w:val="004D4E49"/>
    <w:rsid w:val="004D4F75"/>
    <w:rsid w:val="004D5014"/>
    <w:rsid w:val="004D535B"/>
    <w:rsid w:val="004D5F27"/>
    <w:rsid w:val="004D61E5"/>
    <w:rsid w:val="004D6606"/>
    <w:rsid w:val="004D6E22"/>
    <w:rsid w:val="004D7AB0"/>
    <w:rsid w:val="004D7D7D"/>
    <w:rsid w:val="004E0066"/>
    <w:rsid w:val="004E02EB"/>
    <w:rsid w:val="004E065F"/>
    <w:rsid w:val="004E0FA2"/>
    <w:rsid w:val="004E1CD5"/>
    <w:rsid w:val="004E28C8"/>
    <w:rsid w:val="004E2B17"/>
    <w:rsid w:val="004E2F58"/>
    <w:rsid w:val="004E30E4"/>
    <w:rsid w:val="004E461D"/>
    <w:rsid w:val="004E588E"/>
    <w:rsid w:val="004E63E3"/>
    <w:rsid w:val="004E6933"/>
    <w:rsid w:val="004E6E31"/>
    <w:rsid w:val="004F0865"/>
    <w:rsid w:val="004F0878"/>
    <w:rsid w:val="004F5F6B"/>
    <w:rsid w:val="004F6FB7"/>
    <w:rsid w:val="004F7035"/>
    <w:rsid w:val="004F771F"/>
    <w:rsid w:val="0050312F"/>
    <w:rsid w:val="005036A4"/>
    <w:rsid w:val="005037BF"/>
    <w:rsid w:val="0050517B"/>
    <w:rsid w:val="005056B1"/>
    <w:rsid w:val="005063D9"/>
    <w:rsid w:val="0050686C"/>
    <w:rsid w:val="00506C99"/>
    <w:rsid w:val="00507027"/>
    <w:rsid w:val="005070EB"/>
    <w:rsid w:val="00507764"/>
    <w:rsid w:val="00507AC2"/>
    <w:rsid w:val="00511010"/>
    <w:rsid w:val="00511026"/>
    <w:rsid w:val="005112CE"/>
    <w:rsid w:val="005119C1"/>
    <w:rsid w:val="005119EE"/>
    <w:rsid w:val="00511C61"/>
    <w:rsid w:val="00512C26"/>
    <w:rsid w:val="0051312F"/>
    <w:rsid w:val="00513868"/>
    <w:rsid w:val="00513C62"/>
    <w:rsid w:val="00513E1B"/>
    <w:rsid w:val="00513FCE"/>
    <w:rsid w:val="00516928"/>
    <w:rsid w:val="00516D85"/>
    <w:rsid w:val="00517505"/>
    <w:rsid w:val="00520439"/>
    <w:rsid w:val="0052065E"/>
    <w:rsid w:val="00521779"/>
    <w:rsid w:val="00522647"/>
    <w:rsid w:val="00522E21"/>
    <w:rsid w:val="00522FDD"/>
    <w:rsid w:val="00523B37"/>
    <w:rsid w:val="00523B8E"/>
    <w:rsid w:val="00524139"/>
    <w:rsid w:val="005253FD"/>
    <w:rsid w:val="00525BE3"/>
    <w:rsid w:val="005266EC"/>
    <w:rsid w:val="00526F49"/>
    <w:rsid w:val="005270CE"/>
    <w:rsid w:val="005278CD"/>
    <w:rsid w:val="00530846"/>
    <w:rsid w:val="00530979"/>
    <w:rsid w:val="00531A83"/>
    <w:rsid w:val="0053227B"/>
    <w:rsid w:val="00532685"/>
    <w:rsid w:val="00532E38"/>
    <w:rsid w:val="005346AF"/>
    <w:rsid w:val="00534E66"/>
    <w:rsid w:val="00535B91"/>
    <w:rsid w:val="00535DAD"/>
    <w:rsid w:val="00536C50"/>
    <w:rsid w:val="00536E40"/>
    <w:rsid w:val="00536FD9"/>
    <w:rsid w:val="0053718B"/>
    <w:rsid w:val="00540182"/>
    <w:rsid w:val="00540655"/>
    <w:rsid w:val="00540AF7"/>
    <w:rsid w:val="00540F3F"/>
    <w:rsid w:val="0054279F"/>
    <w:rsid w:val="005428C8"/>
    <w:rsid w:val="00542D3A"/>
    <w:rsid w:val="00543655"/>
    <w:rsid w:val="00543FEF"/>
    <w:rsid w:val="0054512B"/>
    <w:rsid w:val="00545325"/>
    <w:rsid w:val="005474F3"/>
    <w:rsid w:val="00550685"/>
    <w:rsid w:val="00551238"/>
    <w:rsid w:val="005514AD"/>
    <w:rsid w:val="00551F26"/>
    <w:rsid w:val="00552368"/>
    <w:rsid w:val="0055302D"/>
    <w:rsid w:val="005533ED"/>
    <w:rsid w:val="00554597"/>
    <w:rsid w:val="005550F6"/>
    <w:rsid w:val="00555AFB"/>
    <w:rsid w:val="00556348"/>
    <w:rsid w:val="00556951"/>
    <w:rsid w:val="00556F7D"/>
    <w:rsid w:val="0055750C"/>
    <w:rsid w:val="00557A00"/>
    <w:rsid w:val="00560A7F"/>
    <w:rsid w:val="0056129D"/>
    <w:rsid w:val="00561DFB"/>
    <w:rsid w:val="00562AA3"/>
    <w:rsid w:val="00562B12"/>
    <w:rsid w:val="00562FFA"/>
    <w:rsid w:val="00563722"/>
    <w:rsid w:val="0056381D"/>
    <w:rsid w:val="00563834"/>
    <w:rsid w:val="00564353"/>
    <w:rsid w:val="00564365"/>
    <w:rsid w:val="0056482F"/>
    <w:rsid w:val="00564C11"/>
    <w:rsid w:val="00564CD6"/>
    <w:rsid w:val="00564D67"/>
    <w:rsid w:val="00564DC0"/>
    <w:rsid w:val="0056606D"/>
    <w:rsid w:val="00566A95"/>
    <w:rsid w:val="00566C48"/>
    <w:rsid w:val="005674B0"/>
    <w:rsid w:val="005679E7"/>
    <w:rsid w:val="005709D7"/>
    <w:rsid w:val="00570CD2"/>
    <w:rsid w:val="005726E2"/>
    <w:rsid w:val="005735C7"/>
    <w:rsid w:val="0057367D"/>
    <w:rsid w:val="00573AD3"/>
    <w:rsid w:val="00573FA1"/>
    <w:rsid w:val="00574E5E"/>
    <w:rsid w:val="005759CD"/>
    <w:rsid w:val="00575F56"/>
    <w:rsid w:val="00576DE4"/>
    <w:rsid w:val="005770F2"/>
    <w:rsid w:val="00577FAB"/>
    <w:rsid w:val="00580873"/>
    <w:rsid w:val="0058092B"/>
    <w:rsid w:val="005810B5"/>
    <w:rsid w:val="00581D13"/>
    <w:rsid w:val="005825CB"/>
    <w:rsid w:val="00583413"/>
    <w:rsid w:val="005841BE"/>
    <w:rsid w:val="005848DC"/>
    <w:rsid w:val="005850CD"/>
    <w:rsid w:val="00585292"/>
    <w:rsid w:val="00585ADE"/>
    <w:rsid w:val="00586442"/>
    <w:rsid w:val="00586BC5"/>
    <w:rsid w:val="005873D7"/>
    <w:rsid w:val="0059008B"/>
    <w:rsid w:val="00590A46"/>
    <w:rsid w:val="00590B79"/>
    <w:rsid w:val="00590EAA"/>
    <w:rsid w:val="00592A33"/>
    <w:rsid w:val="00592C28"/>
    <w:rsid w:val="00592FC5"/>
    <w:rsid w:val="00593248"/>
    <w:rsid w:val="00593ED4"/>
    <w:rsid w:val="0059464E"/>
    <w:rsid w:val="00594DA3"/>
    <w:rsid w:val="00595A3C"/>
    <w:rsid w:val="00596C91"/>
    <w:rsid w:val="0059731A"/>
    <w:rsid w:val="00597A25"/>
    <w:rsid w:val="00597B63"/>
    <w:rsid w:val="005A090F"/>
    <w:rsid w:val="005A1173"/>
    <w:rsid w:val="005A11AE"/>
    <w:rsid w:val="005A1425"/>
    <w:rsid w:val="005A1D4A"/>
    <w:rsid w:val="005A2577"/>
    <w:rsid w:val="005A3A45"/>
    <w:rsid w:val="005A3B78"/>
    <w:rsid w:val="005A3FF4"/>
    <w:rsid w:val="005A46FA"/>
    <w:rsid w:val="005A569E"/>
    <w:rsid w:val="005A624C"/>
    <w:rsid w:val="005A6C46"/>
    <w:rsid w:val="005A7985"/>
    <w:rsid w:val="005B1E27"/>
    <w:rsid w:val="005B23DE"/>
    <w:rsid w:val="005B302A"/>
    <w:rsid w:val="005B3CA0"/>
    <w:rsid w:val="005B448F"/>
    <w:rsid w:val="005B5760"/>
    <w:rsid w:val="005B5783"/>
    <w:rsid w:val="005B6777"/>
    <w:rsid w:val="005B6F3E"/>
    <w:rsid w:val="005C009F"/>
    <w:rsid w:val="005C01E6"/>
    <w:rsid w:val="005C10ED"/>
    <w:rsid w:val="005C132F"/>
    <w:rsid w:val="005C17E9"/>
    <w:rsid w:val="005C20E8"/>
    <w:rsid w:val="005C2166"/>
    <w:rsid w:val="005C24A6"/>
    <w:rsid w:val="005C26F6"/>
    <w:rsid w:val="005C36CF"/>
    <w:rsid w:val="005C41DC"/>
    <w:rsid w:val="005C49ED"/>
    <w:rsid w:val="005C599D"/>
    <w:rsid w:val="005C5A67"/>
    <w:rsid w:val="005C5D91"/>
    <w:rsid w:val="005C61A6"/>
    <w:rsid w:val="005C6C03"/>
    <w:rsid w:val="005C7985"/>
    <w:rsid w:val="005D0B23"/>
    <w:rsid w:val="005D19B8"/>
    <w:rsid w:val="005D2464"/>
    <w:rsid w:val="005D2791"/>
    <w:rsid w:val="005D29B6"/>
    <w:rsid w:val="005D328E"/>
    <w:rsid w:val="005D33F9"/>
    <w:rsid w:val="005D3A6F"/>
    <w:rsid w:val="005D463C"/>
    <w:rsid w:val="005D49C5"/>
    <w:rsid w:val="005D4C5B"/>
    <w:rsid w:val="005D4F96"/>
    <w:rsid w:val="005D586F"/>
    <w:rsid w:val="005D5A22"/>
    <w:rsid w:val="005D5D29"/>
    <w:rsid w:val="005D61D2"/>
    <w:rsid w:val="005D7725"/>
    <w:rsid w:val="005D7E81"/>
    <w:rsid w:val="005E004D"/>
    <w:rsid w:val="005E0588"/>
    <w:rsid w:val="005E06C1"/>
    <w:rsid w:val="005E1D52"/>
    <w:rsid w:val="005E317C"/>
    <w:rsid w:val="005E3182"/>
    <w:rsid w:val="005E34E6"/>
    <w:rsid w:val="005E3C60"/>
    <w:rsid w:val="005E436C"/>
    <w:rsid w:val="005E47DF"/>
    <w:rsid w:val="005E4C48"/>
    <w:rsid w:val="005E5674"/>
    <w:rsid w:val="005E5CAD"/>
    <w:rsid w:val="005E5D91"/>
    <w:rsid w:val="005E600F"/>
    <w:rsid w:val="005E618A"/>
    <w:rsid w:val="005E6219"/>
    <w:rsid w:val="005E6B78"/>
    <w:rsid w:val="005F0388"/>
    <w:rsid w:val="005F1352"/>
    <w:rsid w:val="005F22D2"/>
    <w:rsid w:val="005F2567"/>
    <w:rsid w:val="005F28D0"/>
    <w:rsid w:val="005F2E29"/>
    <w:rsid w:val="005F316B"/>
    <w:rsid w:val="005F3388"/>
    <w:rsid w:val="005F3BCA"/>
    <w:rsid w:val="005F453E"/>
    <w:rsid w:val="005F4A9D"/>
    <w:rsid w:val="005F63CA"/>
    <w:rsid w:val="005F63FD"/>
    <w:rsid w:val="005F7F44"/>
    <w:rsid w:val="00601637"/>
    <w:rsid w:val="006018A6"/>
    <w:rsid w:val="00602761"/>
    <w:rsid w:val="00602C47"/>
    <w:rsid w:val="00602C6A"/>
    <w:rsid w:val="006039C9"/>
    <w:rsid w:val="006047F5"/>
    <w:rsid w:val="0060562C"/>
    <w:rsid w:val="00605804"/>
    <w:rsid w:val="006059E5"/>
    <w:rsid w:val="00606A85"/>
    <w:rsid w:val="00607A59"/>
    <w:rsid w:val="0061000A"/>
    <w:rsid w:val="00610916"/>
    <w:rsid w:val="00612E32"/>
    <w:rsid w:val="006138F7"/>
    <w:rsid w:val="006142B6"/>
    <w:rsid w:val="00614860"/>
    <w:rsid w:val="00614BB3"/>
    <w:rsid w:val="006156F6"/>
    <w:rsid w:val="0061587C"/>
    <w:rsid w:val="00615C1F"/>
    <w:rsid w:val="006172CA"/>
    <w:rsid w:val="00620D14"/>
    <w:rsid w:val="00621277"/>
    <w:rsid w:val="00621E86"/>
    <w:rsid w:val="00624E43"/>
    <w:rsid w:val="0062503B"/>
    <w:rsid w:val="006250BC"/>
    <w:rsid w:val="0062538B"/>
    <w:rsid w:val="00625782"/>
    <w:rsid w:val="00625D3A"/>
    <w:rsid w:val="00625FF3"/>
    <w:rsid w:val="006262F3"/>
    <w:rsid w:val="00626D88"/>
    <w:rsid w:val="00627D22"/>
    <w:rsid w:val="0063005D"/>
    <w:rsid w:val="006309B8"/>
    <w:rsid w:val="00630EC7"/>
    <w:rsid w:val="0063223D"/>
    <w:rsid w:val="006324AC"/>
    <w:rsid w:val="00632D65"/>
    <w:rsid w:val="006349BC"/>
    <w:rsid w:val="0063564C"/>
    <w:rsid w:val="00635899"/>
    <w:rsid w:val="00635CF6"/>
    <w:rsid w:val="00636033"/>
    <w:rsid w:val="006361A7"/>
    <w:rsid w:val="00636868"/>
    <w:rsid w:val="00636FFF"/>
    <w:rsid w:val="0063742A"/>
    <w:rsid w:val="006375C5"/>
    <w:rsid w:val="00637A97"/>
    <w:rsid w:val="00637E05"/>
    <w:rsid w:val="006413FF"/>
    <w:rsid w:val="0064169A"/>
    <w:rsid w:val="00641753"/>
    <w:rsid w:val="00642261"/>
    <w:rsid w:val="00642543"/>
    <w:rsid w:val="00642C3F"/>
    <w:rsid w:val="00642CF4"/>
    <w:rsid w:val="00643095"/>
    <w:rsid w:val="00643884"/>
    <w:rsid w:val="00644389"/>
    <w:rsid w:val="00644F03"/>
    <w:rsid w:val="00646892"/>
    <w:rsid w:val="006469A2"/>
    <w:rsid w:val="00646C10"/>
    <w:rsid w:val="00646D58"/>
    <w:rsid w:val="006472D4"/>
    <w:rsid w:val="0064738B"/>
    <w:rsid w:val="00647825"/>
    <w:rsid w:val="006478DC"/>
    <w:rsid w:val="00647FAA"/>
    <w:rsid w:val="0065076B"/>
    <w:rsid w:val="00650EEE"/>
    <w:rsid w:val="0065130E"/>
    <w:rsid w:val="006525D5"/>
    <w:rsid w:val="00652DE1"/>
    <w:rsid w:val="006535C4"/>
    <w:rsid w:val="00653910"/>
    <w:rsid w:val="00653D68"/>
    <w:rsid w:val="00655393"/>
    <w:rsid w:val="00655645"/>
    <w:rsid w:val="00655743"/>
    <w:rsid w:val="00655A69"/>
    <w:rsid w:val="00656684"/>
    <w:rsid w:val="00656AEB"/>
    <w:rsid w:val="006570A2"/>
    <w:rsid w:val="006602D8"/>
    <w:rsid w:val="00660507"/>
    <w:rsid w:val="006617A7"/>
    <w:rsid w:val="00661B79"/>
    <w:rsid w:val="00661FE7"/>
    <w:rsid w:val="00662F71"/>
    <w:rsid w:val="006635AB"/>
    <w:rsid w:val="00663761"/>
    <w:rsid w:val="00663F78"/>
    <w:rsid w:val="006640C1"/>
    <w:rsid w:val="006646E7"/>
    <w:rsid w:val="00665422"/>
    <w:rsid w:val="00665B87"/>
    <w:rsid w:val="00667C21"/>
    <w:rsid w:val="0067024F"/>
    <w:rsid w:val="006719CD"/>
    <w:rsid w:val="00672A45"/>
    <w:rsid w:val="00672A9F"/>
    <w:rsid w:val="00672D50"/>
    <w:rsid w:val="00672F3F"/>
    <w:rsid w:val="00673337"/>
    <w:rsid w:val="00675000"/>
    <w:rsid w:val="006759C2"/>
    <w:rsid w:val="00676047"/>
    <w:rsid w:val="00677F14"/>
    <w:rsid w:val="00680601"/>
    <w:rsid w:val="0068066B"/>
    <w:rsid w:val="0068135C"/>
    <w:rsid w:val="006815BC"/>
    <w:rsid w:val="0068174E"/>
    <w:rsid w:val="006820D6"/>
    <w:rsid w:val="00682CE2"/>
    <w:rsid w:val="00683D3A"/>
    <w:rsid w:val="006850C8"/>
    <w:rsid w:val="00685DF9"/>
    <w:rsid w:val="0068664D"/>
    <w:rsid w:val="00687264"/>
    <w:rsid w:val="006874D0"/>
    <w:rsid w:val="00687D8D"/>
    <w:rsid w:val="0069282E"/>
    <w:rsid w:val="0069295E"/>
    <w:rsid w:val="00693296"/>
    <w:rsid w:val="00693628"/>
    <w:rsid w:val="00693C1C"/>
    <w:rsid w:val="00694492"/>
    <w:rsid w:val="00694C62"/>
    <w:rsid w:val="00694DE4"/>
    <w:rsid w:val="006954E8"/>
    <w:rsid w:val="006960A6"/>
    <w:rsid w:val="0069617C"/>
    <w:rsid w:val="006965AC"/>
    <w:rsid w:val="006968FD"/>
    <w:rsid w:val="00697117"/>
    <w:rsid w:val="00697429"/>
    <w:rsid w:val="0069759B"/>
    <w:rsid w:val="006978D7"/>
    <w:rsid w:val="00697975"/>
    <w:rsid w:val="00697AAB"/>
    <w:rsid w:val="006A0583"/>
    <w:rsid w:val="006A0F40"/>
    <w:rsid w:val="006A0FF4"/>
    <w:rsid w:val="006A203F"/>
    <w:rsid w:val="006A23C5"/>
    <w:rsid w:val="006A28B2"/>
    <w:rsid w:val="006A361D"/>
    <w:rsid w:val="006A36C2"/>
    <w:rsid w:val="006A3C6A"/>
    <w:rsid w:val="006A3DDC"/>
    <w:rsid w:val="006A50B9"/>
    <w:rsid w:val="006A63DD"/>
    <w:rsid w:val="006A67B4"/>
    <w:rsid w:val="006A6E79"/>
    <w:rsid w:val="006B034D"/>
    <w:rsid w:val="006B0E03"/>
    <w:rsid w:val="006B1E6A"/>
    <w:rsid w:val="006B24A4"/>
    <w:rsid w:val="006B255A"/>
    <w:rsid w:val="006B303C"/>
    <w:rsid w:val="006B32E5"/>
    <w:rsid w:val="006B457D"/>
    <w:rsid w:val="006B4B65"/>
    <w:rsid w:val="006B4F69"/>
    <w:rsid w:val="006B5382"/>
    <w:rsid w:val="006B5A7D"/>
    <w:rsid w:val="006B6155"/>
    <w:rsid w:val="006B61EE"/>
    <w:rsid w:val="006B66B7"/>
    <w:rsid w:val="006B6B3B"/>
    <w:rsid w:val="006B6D9E"/>
    <w:rsid w:val="006B75AD"/>
    <w:rsid w:val="006B7992"/>
    <w:rsid w:val="006C0158"/>
    <w:rsid w:val="006C03A1"/>
    <w:rsid w:val="006C0707"/>
    <w:rsid w:val="006C085C"/>
    <w:rsid w:val="006C0AF4"/>
    <w:rsid w:val="006C1161"/>
    <w:rsid w:val="006C1E5A"/>
    <w:rsid w:val="006C2819"/>
    <w:rsid w:val="006C28EA"/>
    <w:rsid w:val="006C3020"/>
    <w:rsid w:val="006C3420"/>
    <w:rsid w:val="006C3F99"/>
    <w:rsid w:val="006C4F64"/>
    <w:rsid w:val="006C4F9A"/>
    <w:rsid w:val="006C5025"/>
    <w:rsid w:val="006C516D"/>
    <w:rsid w:val="006C5718"/>
    <w:rsid w:val="006C57CC"/>
    <w:rsid w:val="006C7495"/>
    <w:rsid w:val="006D00E4"/>
    <w:rsid w:val="006D09BB"/>
    <w:rsid w:val="006D1F98"/>
    <w:rsid w:val="006D2328"/>
    <w:rsid w:val="006D25F3"/>
    <w:rsid w:val="006D3047"/>
    <w:rsid w:val="006D4425"/>
    <w:rsid w:val="006D46BA"/>
    <w:rsid w:val="006D5290"/>
    <w:rsid w:val="006D5B5C"/>
    <w:rsid w:val="006D6261"/>
    <w:rsid w:val="006D6FAB"/>
    <w:rsid w:val="006D7869"/>
    <w:rsid w:val="006D7990"/>
    <w:rsid w:val="006E0BB1"/>
    <w:rsid w:val="006E1210"/>
    <w:rsid w:val="006E1A9B"/>
    <w:rsid w:val="006E269F"/>
    <w:rsid w:val="006E277E"/>
    <w:rsid w:val="006E2CF6"/>
    <w:rsid w:val="006E2E0B"/>
    <w:rsid w:val="006E307D"/>
    <w:rsid w:val="006E3559"/>
    <w:rsid w:val="006E38A8"/>
    <w:rsid w:val="006E46D0"/>
    <w:rsid w:val="006E484C"/>
    <w:rsid w:val="006E4A50"/>
    <w:rsid w:val="006E4D52"/>
    <w:rsid w:val="006E53D9"/>
    <w:rsid w:val="006E5969"/>
    <w:rsid w:val="006E5F7C"/>
    <w:rsid w:val="006E6007"/>
    <w:rsid w:val="006E6449"/>
    <w:rsid w:val="006E676A"/>
    <w:rsid w:val="006E69E1"/>
    <w:rsid w:val="006E70A7"/>
    <w:rsid w:val="006E7969"/>
    <w:rsid w:val="006F04B6"/>
    <w:rsid w:val="006F1AC7"/>
    <w:rsid w:val="006F235B"/>
    <w:rsid w:val="006F2FF9"/>
    <w:rsid w:val="006F58D5"/>
    <w:rsid w:val="006F5B71"/>
    <w:rsid w:val="006F609F"/>
    <w:rsid w:val="006F71AE"/>
    <w:rsid w:val="006F7CA2"/>
    <w:rsid w:val="00700700"/>
    <w:rsid w:val="00700936"/>
    <w:rsid w:val="007009E6"/>
    <w:rsid w:val="00700E11"/>
    <w:rsid w:val="00700F02"/>
    <w:rsid w:val="0070153C"/>
    <w:rsid w:val="007022AC"/>
    <w:rsid w:val="007029B3"/>
    <w:rsid w:val="00702B23"/>
    <w:rsid w:val="007030FD"/>
    <w:rsid w:val="007032A1"/>
    <w:rsid w:val="007039E2"/>
    <w:rsid w:val="0070431F"/>
    <w:rsid w:val="00704BC1"/>
    <w:rsid w:val="00704F23"/>
    <w:rsid w:val="007051DD"/>
    <w:rsid w:val="00706BEC"/>
    <w:rsid w:val="00706D96"/>
    <w:rsid w:val="00710491"/>
    <w:rsid w:val="00710AE7"/>
    <w:rsid w:val="00711004"/>
    <w:rsid w:val="007112D1"/>
    <w:rsid w:val="0071233A"/>
    <w:rsid w:val="0071270C"/>
    <w:rsid w:val="00713676"/>
    <w:rsid w:val="0071395D"/>
    <w:rsid w:val="00713CE1"/>
    <w:rsid w:val="00714263"/>
    <w:rsid w:val="00715552"/>
    <w:rsid w:val="00715A75"/>
    <w:rsid w:val="00715C15"/>
    <w:rsid w:val="00715EFB"/>
    <w:rsid w:val="007162B5"/>
    <w:rsid w:val="00716E30"/>
    <w:rsid w:val="007175BF"/>
    <w:rsid w:val="0071764F"/>
    <w:rsid w:val="00717A49"/>
    <w:rsid w:val="00720E84"/>
    <w:rsid w:val="00722E3E"/>
    <w:rsid w:val="0072373B"/>
    <w:rsid w:val="00723C79"/>
    <w:rsid w:val="007242B7"/>
    <w:rsid w:val="0072438A"/>
    <w:rsid w:val="0072464E"/>
    <w:rsid w:val="007249F0"/>
    <w:rsid w:val="00724EF0"/>
    <w:rsid w:val="0072517D"/>
    <w:rsid w:val="00725A8C"/>
    <w:rsid w:val="00725CA8"/>
    <w:rsid w:val="007269CC"/>
    <w:rsid w:val="00727476"/>
    <w:rsid w:val="0072749E"/>
    <w:rsid w:val="007274B4"/>
    <w:rsid w:val="00727A1A"/>
    <w:rsid w:val="00727B37"/>
    <w:rsid w:val="00730280"/>
    <w:rsid w:val="007306B9"/>
    <w:rsid w:val="00733220"/>
    <w:rsid w:val="00733C28"/>
    <w:rsid w:val="00734883"/>
    <w:rsid w:val="00734889"/>
    <w:rsid w:val="00736480"/>
    <w:rsid w:val="00736D4B"/>
    <w:rsid w:val="007402D2"/>
    <w:rsid w:val="007406F6"/>
    <w:rsid w:val="007410A8"/>
    <w:rsid w:val="00741A82"/>
    <w:rsid w:val="00741CFE"/>
    <w:rsid w:val="007427E4"/>
    <w:rsid w:val="00742A6C"/>
    <w:rsid w:val="00742E1A"/>
    <w:rsid w:val="00743A4C"/>
    <w:rsid w:val="00743B0D"/>
    <w:rsid w:val="00743C86"/>
    <w:rsid w:val="007440B9"/>
    <w:rsid w:val="0074438A"/>
    <w:rsid w:val="0074450A"/>
    <w:rsid w:val="00745CAF"/>
    <w:rsid w:val="007473E0"/>
    <w:rsid w:val="00747E31"/>
    <w:rsid w:val="007505EE"/>
    <w:rsid w:val="00750A6F"/>
    <w:rsid w:val="00750A79"/>
    <w:rsid w:val="0075160A"/>
    <w:rsid w:val="00751AC9"/>
    <w:rsid w:val="00751B66"/>
    <w:rsid w:val="00753EB7"/>
    <w:rsid w:val="0075446A"/>
    <w:rsid w:val="00754770"/>
    <w:rsid w:val="00754C59"/>
    <w:rsid w:val="0075523D"/>
    <w:rsid w:val="007552D4"/>
    <w:rsid w:val="00757287"/>
    <w:rsid w:val="00757C47"/>
    <w:rsid w:val="007614E0"/>
    <w:rsid w:val="0076177C"/>
    <w:rsid w:val="00761CE4"/>
    <w:rsid w:val="00762DC7"/>
    <w:rsid w:val="0076366E"/>
    <w:rsid w:val="0076373B"/>
    <w:rsid w:val="00763A8D"/>
    <w:rsid w:val="00763A93"/>
    <w:rsid w:val="00764247"/>
    <w:rsid w:val="00764411"/>
    <w:rsid w:val="00764C8F"/>
    <w:rsid w:val="0076593F"/>
    <w:rsid w:val="00771428"/>
    <w:rsid w:val="00771A28"/>
    <w:rsid w:val="00771A75"/>
    <w:rsid w:val="00772EF9"/>
    <w:rsid w:val="00773B50"/>
    <w:rsid w:val="00773B62"/>
    <w:rsid w:val="007740FA"/>
    <w:rsid w:val="0077481C"/>
    <w:rsid w:val="00774C3B"/>
    <w:rsid w:val="007753ED"/>
    <w:rsid w:val="00775740"/>
    <w:rsid w:val="00775BC5"/>
    <w:rsid w:val="00776EF9"/>
    <w:rsid w:val="0077729A"/>
    <w:rsid w:val="00777BCB"/>
    <w:rsid w:val="00777DEA"/>
    <w:rsid w:val="00777E69"/>
    <w:rsid w:val="00777F16"/>
    <w:rsid w:val="00780178"/>
    <w:rsid w:val="00780EFC"/>
    <w:rsid w:val="00781497"/>
    <w:rsid w:val="00782DBF"/>
    <w:rsid w:val="00782EA6"/>
    <w:rsid w:val="0078456C"/>
    <w:rsid w:val="00784887"/>
    <w:rsid w:val="00784CD2"/>
    <w:rsid w:val="00785021"/>
    <w:rsid w:val="007856EF"/>
    <w:rsid w:val="00785A62"/>
    <w:rsid w:val="007868F0"/>
    <w:rsid w:val="00786DEF"/>
    <w:rsid w:val="007878FB"/>
    <w:rsid w:val="00790976"/>
    <w:rsid w:val="00791516"/>
    <w:rsid w:val="00791602"/>
    <w:rsid w:val="00792092"/>
    <w:rsid w:val="0079308B"/>
    <w:rsid w:val="007930B9"/>
    <w:rsid w:val="00793A46"/>
    <w:rsid w:val="00793CB1"/>
    <w:rsid w:val="007942F3"/>
    <w:rsid w:val="00795A4F"/>
    <w:rsid w:val="00795CAD"/>
    <w:rsid w:val="00795FD8"/>
    <w:rsid w:val="0079604B"/>
    <w:rsid w:val="00797614"/>
    <w:rsid w:val="00797842"/>
    <w:rsid w:val="0079788D"/>
    <w:rsid w:val="007A002E"/>
    <w:rsid w:val="007A02DD"/>
    <w:rsid w:val="007A0AC7"/>
    <w:rsid w:val="007A0B4C"/>
    <w:rsid w:val="007A1530"/>
    <w:rsid w:val="007A1BE3"/>
    <w:rsid w:val="007A22B9"/>
    <w:rsid w:val="007A352E"/>
    <w:rsid w:val="007A3B3E"/>
    <w:rsid w:val="007A45EB"/>
    <w:rsid w:val="007A483A"/>
    <w:rsid w:val="007A4B69"/>
    <w:rsid w:val="007A5027"/>
    <w:rsid w:val="007A614F"/>
    <w:rsid w:val="007A6261"/>
    <w:rsid w:val="007A6924"/>
    <w:rsid w:val="007A6C35"/>
    <w:rsid w:val="007A6F25"/>
    <w:rsid w:val="007A7266"/>
    <w:rsid w:val="007B0218"/>
    <w:rsid w:val="007B192D"/>
    <w:rsid w:val="007B1ADB"/>
    <w:rsid w:val="007B24F7"/>
    <w:rsid w:val="007B2841"/>
    <w:rsid w:val="007B2FA4"/>
    <w:rsid w:val="007B497F"/>
    <w:rsid w:val="007B52EE"/>
    <w:rsid w:val="007B532A"/>
    <w:rsid w:val="007B672A"/>
    <w:rsid w:val="007B6E64"/>
    <w:rsid w:val="007B7044"/>
    <w:rsid w:val="007B72B8"/>
    <w:rsid w:val="007B7454"/>
    <w:rsid w:val="007C01C4"/>
    <w:rsid w:val="007C03BD"/>
    <w:rsid w:val="007C10B1"/>
    <w:rsid w:val="007C1C37"/>
    <w:rsid w:val="007C24A6"/>
    <w:rsid w:val="007C2776"/>
    <w:rsid w:val="007C2D34"/>
    <w:rsid w:val="007C3307"/>
    <w:rsid w:val="007C360D"/>
    <w:rsid w:val="007C377C"/>
    <w:rsid w:val="007C4838"/>
    <w:rsid w:val="007C4A72"/>
    <w:rsid w:val="007C52BF"/>
    <w:rsid w:val="007C568D"/>
    <w:rsid w:val="007C6120"/>
    <w:rsid w:val="007C6226"/>
    <w:rsid w:val="007C6571"/>
    <w:rsid w:val="007C756E"/>
    <w:rsid w:val="007C7927"/>
    <w:rsid w:val="007D069E"/>
    <w:rsid w:val="007D1848"/>
    <w:rsid w:val="007D1ADD"/>
    <w:rsid w:val="007D1E23"/>
    <w:rsid w:val="007D215F"/>
    <w:rsid w:val="007D2449"/>
    <w:rsid w:val="007D2BCF"/>
    <w:rsid w:val="007D2D7C"/>
    <w:rsid w:val="007D2DAB"/>
    <w:rsid w:val="007D43EF"/>
    <w:rsid w:val="007D4668"/>
    <w:rsid w:val="007D49DB"/>
    <w:rsid w:val="007D4DBE"/>
    <w:rsid w:val="007D5836"/>
    <w:rsid w:val="007D5BC5"/>
    <w:rsid w:val="007D641E"/>
    <w:rsid w:val="007D7009"/>
    <w:rsid w:val="007D7102"/>
    <w:rsid w:val="007D741E"/>
    <w:rsid w:val="007D7938"/>
    <w:rsid w:val="007E09BF"/>
    <w:rsid w:val="007E0D82"/>
    <w:rsid w:val="007E1744"/>
    <w:rsid w:val="007E1ED2"/>
    <w:rsid w:val="007E28FD"/>
    <w:rsid w:val="007E302D"/>
    <w:rsid w:val="007E3512"/>
    <w:rsid w:val="007E561D"/>
    <w:rsid w:val="007E57B9"/>
    <w:rsid w:val="007E5CE4"/>
    <w:rsid w:val="007E5DB8"/>
    <w:rsid w:val="007E691A"/>
    <w:rsid w:val="007E6DB4"/>
    <w:rsid w:val="007E6F77"/>
    <w:rsid w:val="007F02DC"/>
    <w:rsid w:val="007F03A2"/>
    <w:rsid w:val="007F0727"/>
    <w:rsid w:val="007F209A"/>
    <w:rsid w:val="007F2122"/>
    <w:rsid w:val="007F3005"/>
    <w:rsid w:val="007F3127"/>
    <w:rsid w:val="007F35F0"/>
    <w:rsid w:val="007F38C5"/>
    <w:rsid w:val="007F3B46"/>
    <w:rsid w:val="007F3D52"/>
    <w:rsid w:val="007F4CED"/>
    <w:rsid w:val="007F5310"/>
    <w:rsid w:val="007F5573"/>
    <w:rsid w:val="007F5B33"/>
    <w:rsid w:val="007F6237"/>
    <w:rsid w:val="007F7902"/>
    <w:rsid w:val="008000C3"/>
    <w:rsid w:val="00800790"/>
    <w:rsid w:val="00800D23"/>
    <w:rsid w:val="0080113F"/>
    <w:rsid w:val="00801901"/>
    <w:rsid w:val="00801AF5"/>
    <w:rsid w:val="008023B8"/>
    <w:rsid w:val="0080285C"/>
    <w:rsid w:val="008037D2"/>
    <w:rsid w:val="00803BB7"/>
    <w:rsid w:val="00803F6D"/>
    <w:rsid w:val="00804740"/>
    <w:rsid w:val="00805646"/>
    <w:rsid w:val="008064BC"/>
    <w:rsid w:val="00806627"/>
    <w:rsid w:val="0080674B"/>
    <w:rsid w:val="00807328"/>
    <w:rsid w:val="008077B5"/>
    <w:rsid w:val="00807DBF"/>
    <w:rsid w:val="00810533"/>
    <w:rsid w:val="008109ED"/>
    <w:rsid w:val="0081102E"/>
    <w:rsid w:val="00811039"/>
    <w:rsid w:val="008114E6"/>
    <w:rsid w:val="00811A55"/>
    <w:rsid w:val="00811DDF"/>
    <w:rsid w:val="008124DF"/>
    <w:rsid w:val="00812B76"/>
    <w:rsid w:val="00812C9C"/>
    <w:rsid w:val="00812D4F"/>
    <w:rsid w:val="00813B2A"/>
    <w:rsid w:val="00813CA5"/>
    <w:rsid w:val="00815781"/>
    <w:rsid w:val="00816E4C"/>
    <w:rsid w:val="00817190"/>
    <w:rsid w:val="00820403"/>
    <w:rsid w:val="00822F22"/>
    <w:rsid w:val="0082301F"/>
    <w:rsid w:val="008238C9"/>
    <w:rsid w:val="0082425F"/>
    <w:rsid w:val="008261D9"/>
    <w:rsid w:val="008261E3"/>
    <w:rsid w:val="008265D6"/>
    <w:rsid w:val="00826F01"/>
    <w:rsid w:val="00827500"/>
    <w:rsid w:val="00827D3E"/>
    <w:rsid w:val="00827F40"/>
    <w:rsid w:val="00830738"/>
    <w:rsid w:val="00831252"/>
    <w:rsid w:val="0083163B"/>
    <w:rsid w:val="00831B27"/>
    <w:rsid w:val="00831F72"/>
    <w:rsid w:val="00832703"/>
    <w:rsid w:val="0083271E"/>
    <w:rsid w:val="00832748"/>
    <w:rsid w:val="008335AB"/>
    <w:rsid w:val="008342C1"/>
    <w:rsid w:val="00834927"/>
    <w:rsid w:val="00834BB8"/>
    <w:rsid w:val="00834EBF"/>
    <w:rsid w:val="0083505E"/>
    <w:rsid w:val="0083509C"/>
    <w:rsid w:val="0083531A"/>
    <w:rsid w:val="0083746A"/>
    <w:rsid w:val="00837C2A"/>
    <w:rsid w:val="00840579"/>
    <w:rsid w:val="008408C1"/>
    <w:rsid w:val="00840FA7"/>
    <w:rsid w:val="00841E45"/>
    <w:rsid w:val="008437E4"/>
    <w:rsid w:val="008439D2"/>
    <w:rsid w:val="00843CAF"/>
    <w:rsid w:val="008449E8"/>
    <w:rsid w:val="00844AF0"/>
    <w:rsid w:val="00845498"/>
    <w:rsid w:val="00845D7A"/>
    <w:rsid w:val="00846944"/>
    <w:rsid w:val="00846C61"/>
    <w:rsid w:val="00847C56"/>
    <w:rsid w:val="0085013D"/>
    <w:rsid w:val="00850242"/>
    <w:rsid w:val="00850907"/>
    <w:rsid w:val="00850D78"/>
    <w:rsid w:val="00851FCE"/>
    <w:rsid w:val="00852062"/>
    <w:rsid w:val="00852A79"/>
    <w:rsid w:val="00852BFE"/>
    <w:rsid w:val="0085342E"/>
    <w:rsid w:val="008538D3"/>
    <w:rsid w:val="00853A0F"/>
    <w:rsid w:val="00854B7F"/>
    <w:rsid w:val="008554F7"/>
    <w:rsid w:val="0085696F"/>
    <w:rsid w:val="00856B7A"/>
    <w:rsid w:val="00856D37"/>
    <w:rsid w:val="00857368"/>
    <w:rsid w:val="0085757E"/>
    <w:rsid w:val="00857810"/>
    <w:rsid w:val="00857AA1"/>
    <w:rsid w:val="00857F0B"/>
    <w:rsid w:val="00860002"/>
    <w:rsid w:val="008618E4"/>
    <w:rsid w:val="008632E7"/>
    <w:rsid w:val="00863B50"/>
    <w:rsid w:val="00863BCC"/>
    <w:rsid w:val="00865197"/>
    <w:rsid w:val="00865342"/>
    <w:rsid w:val="00865ADE"/>
    <w:rsid w:val="00865FB1"/>
    <w:rsid w:val="008669C1"/>
    <w:rsid w:val="00866B8C"/>
    <w:rsid w:val="00870783"/>
    <w:rsid w:val="00870A55"/>
    <w:rsid w:val="0087116B"/>
    <w:rsid w:val="0087311E"/>
    <w:rsid w:val="00874662"/>
    <w:rsid w:val="00874DC9"/>
    <w:rsid w:val="00875906"/>
    <w:rsid w:val="00875C85"/>
    <w:rsid w:val="00875D0C"/>
    <w:rsid w:val="00876457"/>
    <w:rsid w:val="0087682F"/>
    <w:rsid w:val="008775DE"/>
    <w:rsid w:val="008804D3"/>
    <w:rsid w:val="00880A09"/>
    <w:rsid w:val="00880CFC"/>
    <w:rsid w:val="008813D8"/>
    <w:rsid w:val="00881F5B"/>
    <w:rsid w:val="00882797"/>
    <w:rsid w:val="00883032"/>
    <w:rsid w:val="00884376"/>
    <w:rsid w:val="00885B4D"/>
    <w:rsid w:val="00886FE1"/>
    <w:rsid w:val="00887083"/>
    <w:rsid w:val="008870B6"/>
    <w:rsid w:val="00887889"/>
    <w:rsid w:val="00890AB1"/>
    <w:rsid w:val="0089119C"/>
    <w:rsid w:val="008911C4"/>
    <w:rsid w:val="00891298"/>
    <w:rsid w:val="0089205A"/>
    <w:rsid w:val="008925C9"/>
    <w:rsid w:val="00892D2F"/>
    <w:rsid w:val="00893738"/>
    <w:rsid w:val="00893E90"/>
    <w:rsid w:val="008941BD"/>
    <w:rsid w:val="00894F20"/>
    <w:rsid w:val="0089521D"/>
    <w:rsid w:val="00895478"/>
    <w:rsid w:val="00895A98"/>
    <w:rsid w:val="00896400"/>
    <w:rsid w:val="00896CC0"/>
    <w:rsid w:val="00896F49"/>
    <w:rsid w:val="00897806"/>
    <w:rsid w:val="00897DB1"/>
    <w:rsid w:val="008A00EA"/>
    <w:rsid w:val="008A052A"/>
    <w:rsid w:val="008A0A57"/>
    <w:rsid w:val="008A186A"/>
    <w:rsid w:val="008A188D"/>
    <w:rsid w:val="008A1EDF"/>
    <w:rsid w:val="008A210C"/>
    <w:rsid w:val="008A21BE"/>
    <w:rsid w:val="008A21D2"/>
    <w:rsid w:val="008A2772"/>
    <w:rsid w:val="008A2799"/>
    <w:rsid w:val="008A3076"/>
    <w:rsid w:val="008A3329"/>
    <w:rsid w:val="008A4038"/>
    <w:rsid w:val="008A5221"/>
    <w:rsid w:val="008A61C5"/>
    <w:rsid w:val="008A6440"/>
    <w:rsid w:val="008A6501"/>
    <w:rsid w:val="008A6771"/>
    <w:rsid w:val="008A6850"/>
    <w:rsid w:val="008A7A52"/>
    <w:rsid w:val="008A7FA3"/>
    <w:rsid w:val="008A7FCD"/>
    <w:rsid w:val="008B0193"/>
    <w:rsid w:val="008B102C"/>
    <w:rsid w:val="008B1626"/>
    <w:rsid w:val="008B20D0"/>
    <w:rsid w:val="008B2AC9"/>
    <w:rsid w:val="008B37BB"/>
    <w:rsid w:val="008B3CBF"/>
    <w:rsid w:val="008B40CC"/>
    <w:rsid w:val="008B442C"/>
    <w:rsid w:val="008B51C5"/>
    <w:rsid w:val="008B55AD"/>
    <w:rsid w:val="008B5F3B"/>
    <w:rsid w:val="008B65CA"/>
    <w:rsid w:val="008B69F4"/>
    <w:rsid w:val="008B732E"/>
    <w:rsid w:val="008C0065"/>
    <w:rsid w:val="008C00B1"/>
    <w:rsid w:val="008C05FD"/>
    <w:rsid w:val="008C15CE"/>
    <w:rsid w:val="008C28E1"/>
    <w:rsid w:val="008C2B39"/>
    <w:rsid w:val="008C2F82"/>
    <w:rsid w:val="008C3987"/>
    <w:rsid w:val="008C3CCA"/>
    <w:rsid w:val="008C5718"/>
    <w:rsid w:val="008C5AB0"/>
    <w:rsid w:val="008C5DC6"/>
    <w:rsid w:val="008C6DFA"/>
    <w:rsid w:val="008C735C"/>
    <w:rsid w:val="008C73CE"/>
    <w:rsid w:val="008D1A91"/>
    <w:rsid w:val="008D2E61"/>
    <w:rsid w:val="008D3476"/>
    <w:rsid w:val="008D3A89"/>
    <w:rsid w:val="008D4387"/>
    <w:rsid w:val="008D439B"/>
    <w:rsid w:val="008D47A7"/>
    <w:rsid w:val="008D4BD3"/>
    <w:rsid w:val="008D65C6"/>
    <w:rsid w:val="008D6FEB"/>
    <w:rsid w:val="008D78B4"/>
    <w:rsid w:val="008E0CFF"/>
    <w:rsid w:val="008E1BBD"/>
    <w:rsid w:val="008E1CA1"/>
    <w:rsid w:val="008E2643"/>
    <w:rsid w:val="008E2B77"/>
    <w:rsid w:val="008E4753"/>
    <w:rsid w:val="008E5D42"/>
    <w:rsid w:val="008E6F13"/>
    <w:rsid w:val="008E78EB"/>
    <w:rsid w:val="008E7B30"/>
    <w:rsid w:val="008F0613"/>
    <w:rsid w:val="008F1BF2"/>
    <w:rsid w:val="008F2556"/>
    <w:rsid w:val="008F5AFD"/>
    <w:rsid w:val="008F5DBF"/>
    <w:rsid w:val="008F6821"/>
    <w:rsid w:val="008F6AE4"/>
    <w:rsid w:val="008F6E52"/>
    <w:rsid w:val="008F7640"/>
    <w:rsid w:val="008F76F1"/>
    <w:rsid w:val="008F79C1"/>
    <w:rsid w:val="00900D38"/>
    <w:rsid w:val="00903150"/>
    <w:rsid w:val="009035A3"/>
    <w:rsid w:val="00903E7D"/>
    <w:rsid w:val="00904B0E"/>
    <w:rsid w:val="00905090"/>
    <w:rsid w:val="00905402"/>
    <w:rsid w:val="00905A28"/>
    <w:rsid w:val="00906C0D"/>
    <w:rsid w:val="00906FEA"/>
    <w:rsid w:val="0090766E"/>
    <w:rsid w:val="00907B85"/>
    <w:rsid w:val="009108ED"/>
    <w:rsid w:val="00910B69"/>
    <w:rsid w:val="0091105E"/>
    <w:rsid w:val="00912620"/>
    <w:rsid w:val="00913DD6"/>
    <w:rsid w:val="00914E6F"/>
    <w:rsid w:val="00915DF5"/>
    <w:rsid w:val="00916013"/>
    <w:rsid w:val="00916BFE"/>
    <w:rsid w:val="00917831"/>
    <w:rsid w:val="00920350"/>
    <w:rsid w:val="00921089"/>
    <w:rsid w:val="009212EC"/>
    <w:rsid w:val="0092144B"/>
    <w:rsid w:val="00921461"/>
    <w:rsid w:val="00921B96"/>
    <w:rsid w:val="009226AE"/>
    <w:rsid w:val="0092378D"/>
    <w:rsid w:val="00923B1E"/>
    <w:rsid w:val="00923B26"/>
    <w:rsid w:val="00923F6A"/>
    <w:rsid w:val="009243B8"/>
    <w:rsid w:val="009252F8"/>
    <w:rsid w:val="00926944"/>
    <w:rsid w:val="00927D27"/>
    <w:rsid w:val="00927D6B"/>
    <w:rsid w:val="009307C3"/>
    <w:rsid w:val="00930C31"/>
    <w:rsid w:val="00931284"/>
    <w:rsid w:val="009315E6"/>
    <w:rsid w:val="00932303"/>
    <w:rsid w:val="00932459"/>
    <w:rsid w:val="00932772"/>
    <w:rsid w:val="00932B71"/>
    <w:rsid w:val="00935E91"/>
    <w:rsid w:val="009374E6"/>
    <w:rsid w:val="00937646"/>
    <w:rsid w:val="009377B0"/>
    <w:rsid w:val="00937AD8"/>
    <w:rsid w:val="00937FFA"/>
    <w:rsid w:val="00940761"/>
    <w:rsid w:val="00943A6A"/>
    <w:rsid w:val="0094447D"/>
    <w:rsid w:val="0094644D"/>
    <w:rsid w:val="009466D3"/>
    <w:rsid w:val="00946B43"/>
    <w:rsid w:val="00947D53"/>
    <w:rsid w:val="00950DE7"/>
    <w:rsid w:val="009510D5"/>
    <w:rsid w:val="0095148F"/>
    <w:rsid w:val="00951610"/>
    <w:rsid w:val="00951718"/>
    <w:rsid w:val="009524E5"/>
    <w:rsid w:val="009526BE"/>
    <w:rsid w:val="00954222"/>
    <w:rsid w:val="00954671"/>
    <w:rsid w:val="009546E4"/>
    <w:rsid w:val="00955002"/>
    <w:rsid w:val="00955793"/>
    <w:rsid w:val="009561F0"/>
    <w:rsid w:val="00956D21"/>
    <w:rsid w:val="00960F11"/>
    <w:rsid w:val="00962372"/>
    <w:rsid w:val="0096295B"/>
    <w:rsid w:val="00962B1C"/>
    <w:rsid w:val="00963B72"/>
    <w:rsid w:val="0096420C"/>
    <w:rsid w:val="00964A71"/>
    <w:rsid w:val="00964EDB"/>
    <w:rsid w:val="00965545"/>
    <w:rsid w:val="00965A02"/>
    <w:rsid w:val="009666CF"/>
    <w:rsid w:val="00966BE7"/>
    <w:rsid w:val="009670A8"/>
    <w:rsid w:val="0096724B"/>
    <w:rsid w:val="009674B2"/>
    <w:rsid w:val="009709FA"/>
    <w:rsid w:val="00970D31"/>
    <w:rsid w:val="009712F8"/>
    <w:rsid w:val="009715D2"/>
    <w:rsid w:val="009722F2"/>
    <w:rsid w:val="00972EC6"/>
    <w:rsid w:val="00973234"/>
    <w:rsid w:val="009748F7"/>
    <w:rsid w:val="00975B6C"/>
    <w:rsid w:val="00975CB6"/>
    <w:rsid w:val="0097641A"/>
    <w:rsid w:val="009771EF"/>
    <w:rsid w:val="009776F4"/>
    <w:rsid w:val="009804A9"/>
    <w:rsid w:val="009805C5"/>
    <w:rsid w:val="009814F0"/>
    <w:rsid w:val="00981BD1"/>
    <w:rsid w:val="00982307"/>
    <w:rsid w:val="00982DD7"/>
    <w:rsid w:val="0098328F"/>
    <w:rsid w:val="00984446"/>
    <w:rsid w:val="00984E1D"/>
    <w:rsid w:val="0098593D"/>
    <w:rsid w:val="00985E16"/>
    <w:rsid w:val="0098631F"/>
    <w:rsid w:val="009876A9"/>
    <w:rsid w:val="009879B7"/>
    <w:rsid w:val="009879F1"/>
    <w:rsid w:val="00987B54"/>
    <w:rsid w:val="009904D6"/>
    <w:rsid w:val="00990992"/>
    <w:rsid w:val="00991E36"/>
    <w:rsid w:val="009926F0"/>
    <w:rsid w:val="00993F06"/>
    <w:rsid w:val="0099481D"/>
    <w:rsid w:val="00994A6F"/>
    <w:rsid w:val="00996889"/>
    <w:rsid w:val="0099745F"/>
    <w:rsid w:val="00997C2E"/>
    <w:rsid w:val="00997F9A"/>
    <w:rsid w:val="009A0147"/>
    <w:rsid w:val="009A08B1"/>
    <w:rsid w:val="009A0A46"/>
    <w:rsid w:val="009A197C"/>
    <w:rsid w:val="009A1D37"/>
    <w:rsid w:val="009A1E3A"/>
    <w:rsid w:val="009A3067"/>
    <w:rsid w:val="009A399D"/>
    <w:rsid w:val="009A4C03"/>
    <w:rsid w:val="009A4ECA"/>
    <w:rsid w:val="009A51A6"/>
    <w:rsid w:val="009A69AC"/>
    <w:rsid w:val="009A6C81"/>
    <w:rsid w:val="009A6E78"/>
    <w:rsid w:val="009A7390"/>
    <w:rsid w:val="009A7AD5"/>
    <w:rsid w:val="009B05B5"/>
    <w:rsid w:val="009B0D13"/>
    <w:rsid w:val="009B15BC"/>
    <w:rsid w:val="009B16AF"/>
    <w:rsid w:val="009B18A4"/>
    <w:rsid w:val="009B1DA9"/>
    <w:rsid w:val="009B26F9"/>
    <w:rsid w:val="009B2F31"/>
    <w:rsid w:val="009B45C9"/>
    <w:rsid w:val="009B5062"/>
    <w:rsid w:val="009B7006"/>
    <w:rsid w:val="009B7B20"/>
    <w:rsid w:val="009C03D5"/>
    <w:rsid w:val="009C0A80"/>
    <w:rsid w:val="009C286D"/>
    <w:rsid w:val="009C2F7C"/>
    <w:rsid w:val="009C3ED0"/>
    <w:rsid w:val="009C4926"/>
    <w:rsid w:val="009C4CA7"/>
    <w:rsid w:val="009C5245"/>
    <w:rsid w:val="009C55B8"/>
    <w:rsid w:val="009C5B8E"/>
    <w:rsid w:val="009C690B"/>
    <w:rsid w:val="009C6FEA"/>
    <w:rsid w:val="009C7136"/>
    <w:rsid w:val="009D083C"/>
    <w:rsid w:val="009D0D1F"/>
    <w:rsid w:val="009D15CE"/>
    <w:rsid w:val="009D278E"/>
    <w:rsid w:val="009D38CE"/>
    <w:rsid w:val="009D47FF"/>
    <w:rsid w:val="009D4D68"/>
    <w:rsid w:val="009D587F"/>
    <w:rsid w:val="009D647D"/>
    <w:rsid w:val="009D6570"/>
    <w:rsid w:val="009D690E"/>
    <w:rsid w:val="009D6E6A"/>
    <w:rsid w:val="009D6F8F"/>
    <w:rsid w:val="009D714C"/>
    <w:rsid w:val="009D7326"/>
    <w:rsid w:val="009D7BA8"/>
    <w:rsid w:val="009D7EC8"/>
    <w:rsid w:val="009D7FE7"/>
    <w:rsid w:val="009E13C2"/>
    <w:rsid w:val="009E1AC2"/>
    <w:rsid w:val="009E1D42"/>
    <w:rsid w:val="009E1F3C"/>
    <w:rsid w:val="009E22D1"/>
    <w:rsid w:val="009E3260"/>
    <w:rsid w:val="009E4715"/>
    <w:rsid w:val="009E4D67"/>
    <w:rsid w:val="009E6599"/>
    <w:rsid w:val="009E6A4E"/>
    <w:rsid w:val="009E71B6"/>
    <w:rsid w:val="009E732F"/>
    <w:rsid w:val="009E78EA"/>
    <w:rsid w:val="009F00FF"/>
    <w:rsid w:val="009F0309"/>
    <w:rsid w:val="009F0543"/>
    <w:rsid w:val="009F05D9"/>
    <w:rsid w:val="009F0DE4"/>
    <w:rsid w:val="009F1AC4"/>
    <w:rsid w:val="009F2FB7"/>
    <w:rsid w:val="009F423B"/>
    <w:rsid w:val="009F43D7"/>
    <w:rsid w:val="009F445D"/>
    <w:rsid w:val="009F4E51"/>
    <w:rsid w:val="009F587F"/>
    <w:rsid w:val="009F614C"/>
    <w:rsid w:val="009F6FA7"/>
    <w:rsid w:val="009F7962"/>
    <w:rsid w:val="009F7A7B"/>
    <w:rsid w:val="00A00128"/>
    <w:rsid w:val="00A007F0"/>
    <w:rsid w:val="00A01C4F"/>
    <w:rsid w:val="00A02F80"/>
    <w:rsid w:val="00A03638"/>
    <w:rsid w:val="00A042A9"/>
    <w:rsid w:val="00A0487F"/>
    <w:rsid w:val="00A05273"/>
    <w:rsid w:val="00A0558D"/>
    <w:rsid w:val="00A058C6"/>
    <w:rsid w:val="00A06AF3"/>
    <w:rsid w:val="00A074A4"/>
    <w:rsid w:val="00A07675"/>
    <w:rsid w:val="00A1010D"/>
    <w:rsid w:val="00A1017D"/>
    <w:rsid w:val="00A10560"/>
    <w:rsid w:val="00A108E2"/>
    <w:rsid w:val="00A12168"/>
    <w:rsid w:val="00A123BE"/>
    <w:rsid w:val="00A139CA"/>
    <w:rsid w:val="00A144B3"/>
    <w:rsid w:val="00A14714"/>
    <w:rsid w:val="00A15EBD"/>
    <w:rsid w:val="00A17B57"/>
    <w:rsid w:val="00A17CE6"/>
    <w:rsid w:val="00A20B73"/>
    <w:rsid w:val="00A216BF"/>
    <w:rsid w:val="00A2208F"/>
    <w:rsid w:val="00A22108"/>
    <w:rsid w:val="00A22874"/>
    <w:rsid w:val="00A22CD8"/>
    <w:rsid w:val="00A23490"/>
    <w:rsid w:val="00A236F4"/>
    <w:rsid w:val="00A23856"/>
    <w:rsid w:val="00A24FE3"/>
    <w:rsid w:val="00A2560D"/>
    <w:rsid w:val="00A2578A"/>
    <w:rsid w:val="00A25E98"/>
    <w:rsid w:val="00A2647D"/>
    <w:rsid w:val="00A2697E"/>
    <w:rsid w:val="00A272DC"/>
    <w:rsid w:val="00A2797C"/>
    <w:rsid w:val="00A30905"/>
    <w:rsid w:val="00A30E3B"/>
    <w:rsid w:val="00A31899"/>
    <w:rsid w:val="00A32347"/>
    <w:rsid w:val="00A32449"/>
    <w:rsid w:val="00A32989"/>
    <w:rsid w:val="00A32CD2"/>
    <w:rsid w:val="00A32DB8"/>
    <w:rsid w:val="00A34051"/>
    <w:rsid w:val="00A34229"/>
    <w:rsid w:val="00A3460B"/>
    <w:rsid w:val="00A34671"/>
    <w:rsid w:val="00A36251"/>
    <w:rsid w:val="00A364AF"/>
    <w:rsid w:val="00A36AF7"/>
    <w:rsid w:val="00A37449"/>
    <w:rsid w:val="00A37A0E"/>
    <w:rsid w:val="00A37A5A"/>
    <w:rsid w:val="00A41173"/>
    <w:rsid w:val="00A41B2B"/>
    <w:rsid w:val="00A422AD"/>
    <w:rsid w:val="00A422FA"/>
    <w:rsid w:val="00A431B1"/>
    <w:rsid w:val="00A43BA1"/>
    <w:rsid w:val="00A44666"/>
    <w:rsid w:val="00A4737C"/>
    <w:rsid w:val="00A47B9F"/>
    <w:rsid w:val="00A5122B"/>
    <w:rsid w:val="00A522FD"/>
    <w:rsid w:val="00A52C5C"/>
    <w:rsid w:val="00A54D9F"/>
    <w:rsid w:val="00A54F2D"/>
    <w:rsid w:val="00A55D87"/>
    <w:rsid w:val="00A56406"/>
    <w:rsid w:val="00A56D8D"/>
    <w:rsid w:val="00A57796"/>
    <w:rsid w:val="00A6185B"/>
    <w:rsid w:val="00A61D31"/>
    <w:rsid w:val="00A6273F"/>
    <w:rsid w:val="00A63D11"/>
    <w:rsid w:val="00A646FD"/>
    <w:rsid w:val="00A65922"/>
    <w:rsid w:val="00A65C27"/>
    <w:rsid w:val="00A66FCE"/>
    <w:rsid w:val="00A701B5"/>
    <w:rsid w:val="00A704EA"/>
    <w:rsid w:val="00A706F6"/>
    <w:rsid w:val="00A70D18"/>
    <w:rsid w:val="00A7499F"/>
    <w:rsid w:val="00A756B0"/>
    <w:rsid w:val="00A76DB7"/>
    <w:rsid w:val="00A76E94"/>
    <w:rsid w:val="00A76EED"/>
    <w:rsid w:val="00A774EC"/>
    <w:rsid w:val="00A7766A"/>
    <w:rsid w:val="00A77698"/>
    <w:rsid w:val="00A77972"/>
    <w:rsid w:val="00A80937"/>
    <w:rsid w:val="00A809F3"/>
    <w:rsid w:val="00A80C3B"/>
    <w:rsid w:val="00A80D37"/>
    <w:rsid w:val="00A81C7A"/>
    <w:rsid w:val="00A82375"/>
    <w:rsid w:val="00A8251A"/>
    <w:rsid w:val="00A83EBB"/>
    <w:rsid w:val="00A84E4F"/>
    <w:rsid w:val="00A8567D"/>
    <w:rsid w:val="00A908FE"/>
    <w:rsid w:val="00A918EF"/>
    <w:rsid w:val="00A91D14"/>
    <w:rsid w:val="00A91F0E"/>
    <w:rsid w:val="00A935AE"/>
    <w:rsid w:val="00A93F87"/>
    <w:rsid w:val="00A945C3"/>
    <w:rsid w:val="00A945D1"/>
    <w:rsid w:val="00A94A24"/>
    <w:rsid w:val="00A94CD0"/>
    <w:rsid w:val="00A95E85"/>
    <w:rsid w:val="00A963D1"/>
    <w:rsid w:val="00A9762F"/>
    <w:rsid w:val="00A97932"/>
    <w:rsid w:val="00AA14D0"/>
    <w:rsid w:val="00AA20B1"/>
    <w:rsid w:val="00AA3CE0"/>
    <w:rsid w:val="00AA452B"/>
    <w:rsid w:val="00AA475C"/>
    <w:rsid w:val="00AA493B"/>
    <w:rsid w:val="00AA4BEA"/>
    <w:rsid w:val="00AA5027"/>
    <w:rsid w:val="00AA5149"/>
    <w:rsid w:val="00AA5360"/>
    <w:rsid w:val="00AA643B"/>
    <w:rsid w:val="00AA6EBB"/>
    <w:rsid w:val="00AA706A"/>
    <w:rsid w:val="00AA76E3"/>
    <w:rsid w:val="00AA7BFF"/>
    <w:rsid w:val="00AA7C5D"/>
    <w:rsid w:val="00AA7F87"/>
    <w:rsid w:val="00AB0A51"/>
    <w:rsid w:val="00AB0DDF"/>
    <w:rsid w:val="00AB0F91"/>
    <w:rsid w:val="00AB2643"/>
    <w:rsid w:val="00AB2FA6"/>
    <w:rsid w:val="00AB313F"/>
    <w:rsid w:val="00AB3392"/>
    <w:rsid w:val="00AB372C"/>
    <w:rsid w:val="00AB3A5C"/>
    <w:rsid w:val="00AB3ED0"/>
    <w:rsid w:val="00AB4660"/>
    <w:rsid w:val="00AB5105"/>
    <w:rsid w:val="00AB51CD"/>
    <w:rsid w:val="00AB58DC"/>
    <w:rsid w:val="00AB5B6F"/>
    <w:rsid w:val="00AB6425"/>
    <w:rsid w:val="00AB6C00"/>
    <w:rsid w:val="00AB6F7F"/>
    <w:rsid w:val="00AC1B26"/>
    <w:rsid w:val="00AC1EFF"/>
    <w:rsid w:val="00AC283A"/>
    <w:rsid w:val="00AC31CC"/>
    <w:rsid w:val="00AC382B"/>
    <w:rsid w:val="00AC6165"/>
    <w:rsid w:val="00AC673E"/>
    <w:rsid w:val="00AC6F21"/>
    <w:rsid w:val="00AC7BA2"/>
    <w:rsid w:val="00AC7C9A"/>
    <w:rsid w:val="00AD0E84"/>
    <w:rsid w:val="00AD224B"/>
    <w:rsid w:val="00AD2C44"/>
    <w:rsid w:val="00AD3675"/>
    <w:rsid w:val="00AD37AE"/>
    <w:rsid w:val="00AD44BA"/>
    <w:rsid w:val="00AD5561"/>
    <w:rsid w:val="00AD5F36"/>
    <w:rsid w:val="00AD609C"/>
    <w:rsid w:val="00AD6E2E"/>
    <w:rsid w:val="00AD721D"/>
    <w:rsid w:val="00AD783F"/>
    <w:rsid w:val="00AE0004"/>
    <w:rsid w:val="00AE0D5E"/>
    <w:rsid w:val="00AE0E8E"/>
    <w:rsid w:val="00AE1894"/>
    <w:rsid w:val="00AE18CC"/>
    <w:rsid w:val="00AE1B95"/>
    <w:rsid w:val="00AE20E3"/>
    <w:rsid w:val="00AE2799"/>
    <w:rsid w:val="00AE369F"/>
    <w:rsid w:val="00AE3847"/>
    <w:rsid w:val="00AE3D8F"/>
    <w:rsid w:val="00AE41B3"/>
    <w:rsid w:val="00AE42F4"/>
    <w:rsid w:val="00AE437A"/>
    <w:rsid w:val="00AE4A7F"/>
    <w:rsid w:val="00AE5B32"/>
    <w:rsid w:val="00AE6087"/>
    <w:rsid w:val="00AE6997"/>
    <w:rsid w:val="00AE69C4"/>
    <w:rsid w:val="00AE6A4E"/>
    <w:rsid w:val="00AE6C0F"/>
    <w:rsid w:val="00AE6E5A"/>
    <w:rsid w:val="00AE7DC9"/>
    <w:rsid w:val="00AF05FB"/>
    <w:rsid w:val="00AF09C6"/>
    <w:rsid w:val="00AF1701"/>
    <w:rsid w:val="00AF482F"/>
    <w:rsid w:val="00AF57EB"/>
    <w:rsid w:val="00AF6BDE"/>
    <w:rsid w:val="00AF6CF2"/>
    <w:rsid w:val="00AF72CC"/>
    <w:rsid w:val="00B00014"/>
    <w:rsid w:val="00B003B5"/>
    <w:rsid w:val="00B02069"/>
    <w:rsid w:val="00B024EA"/>
    <w:rsid w:val="00B02608"/>
    <w:rsid w:val="00B02823"/>
    <w:rsid w:val="00B02B53"/>
    <w:rsid w:val="00B02DE1"/>
    <w:rsid w:val="00B0346A"/>
    <w:rsid w:val="00B03482"/>
    <w:rsid w:val="00B03C65"/>
    <w:rsid w:val="00B0483B"/>
    <w:rsid w:val="00B04989"/>
    <w:rsid w:val="00B04C28"/>
    <w:rsid w:val="00B057ED"/>
    <w:rsid w:val="00B05A6E"/>
    <w:rsid w:val="00B067A0"/>
    <w:rsid w:val="00B06D38"/>
    <w:rsid w:val="00B06F69"/>
    <w:rsid w:val="00B0735C"/>
    <w:rsid w:val="00B07360"/>
    <w:rsid w:val="00B07487"/>
    <w:rsid w:val="00B07DF9"/>
    <w:rsid w:val="00B10ED6"/>
    <w:rsid w:val="00B10FA8"/>
    <w:rsid w:val="00B115BE"/>
    <w:rsid w:val="00B11C5D"/>
    <w:rsid w:val="00B11F3B"/>
    <w:rsid w:val="00B12CCD"/>
    <w:rsid w:val="00B1328B"/>
    <w:rsid w:val="00B137C8"/>
    <w:rsid w:val="00B1441C"/>
    <w:rsid w:val="00B1461F"/>
    <w:rsid w:val="00B14D68"/>
    <w:rsid w:val="00B14DEB"/>
    <w:rsid w:val="00B156B0"/>
    <w:rsid w:val="00B164EC"/>
    <w:rsid w:val="00B16AFE"/>
    <w:rsid w:val="00B16C28"/>
    <w:rsid w:val="00B16CCE"/>
    <w:rsid w:val="00B16E3B"/>
    <w:rsid w:val="00B20013"/>
    <w:rsid w:val="00B203B6"/>
    <w:rsid w:val="00B205A2"/>
    <w:rsid w:val="00B20D06"/>
    <w:rsid w:val="00B20EAE"/>
    <w:rsid w:val="00B2105C"/>
    <w:rsid w:val="00B21854"/>
    <w:rsid w:val="00B22232"/>
    <w:rsid w:val="00B22771"/>
    <w:rsid w:val="00B22C9A"/>
    <w:rsid w:val="00B22DF3"/>
    <w:rsid w:val="00B250EE"/>
    <w:rsid w:val="00B25A5F"/>
    <w:rsid w:val="00B261C4"/>
    <w:rsid w:val="00B26405"/>
    <w:rsid w:val="00B26425"/>
    <w:rsid w:val="00B26A99"/>
    <w:rsid w:val="00B303B3"/>
    <w:rsid w:val="00B308C3"/>
    <w:rsid w:val="00B31F4A"/>
    <w:rsid w:val="00B32494"/>
    <w:rsid w:val="00B33A21"/>
    <w:rsid w:val="00B35AF8"/>
    <w:rsid w:val="00B361E3"/>
    <w:rsid w:val="00B36B0E"/>
    <w:rsid w:val="00B370B9"/>
    <w:rsid w:val="00B3751A"/>
    <w:rsid w:val="00B4028D"/>
    <w:rsid w:val="00B40D7D"/>
    <w:rsid w:val="00B40E2E"/>
    <w:rsid w:val="00B42D85"/>
    <w:rsid w:val="00B4339E"/>
    <w:rsid w:val="00B44C6D"/>
    <w:rsid w:val="00B4520B"/>
    <w:rsid w:val="00B4534D"/>
    <w:rsid w:val="00B46DA4"/>
    <w:rsid w:val="00B4742F"/>
    <w:rsid w:val="00B47DC7"/>
    <w:rsid w:val="00B50382"/>
    <w:rsid w:val="00B50CC0"/>
    <w:rsid w:val="00B51C0F"/>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60C26"/>
    <w:rsid w:val="00B6139A"/>
    <w:rsid w:val="00B620D3"/>
    <w:rsid w:val="00B625E4"/>
    <w:rsid w:val="00B62F92"/>
    <w:rsid w:val="00B6459C"/>
    <w:rsid w:val="00B65D17"/>
    <w:rsid w:val="00B66396"/>
    <w:rsid w:val="00B665DC"/>
    <w:rsid w:val="00B66B50"/>
    <w:rsid w:val="00B672FF"/>
    <w:rsid w:val="00B6798C"/>
    <w:rsid w:val="00B67CB3"/>
    <w:rsid w:val="00B67DC8"/>
    <w:rsid w:val="00B70A10"/>
    <w:rsid w:val="00B7128B"/>
    <w:rsid w:val="00B722FD"/>
    <w:rsid w:val="00B72EC7"/>
    <w:rsid w:val="00B7426D"/>
    <w:rsid w:val="00B76007"/>
    <w:rsid w:val="00B76943"/>
    <w:rsid w:val="00B77437"/>
    <w:rsid w:val="00B77EF9"/>
    <w:rsid w:val="00B80FC4"/>
    <w:rsid w:val="00B811F4"/>
    <w:rsid w:val="00B81B3E"/>
    <w:rsid w:val="00B81B47"/>
    <w:rsid w:val="00B82F26"/>
    <w:rsid w:val="00B8303D"/>
    <w:rsid w:val="00B83207"/>
    <w:rsid w:val="00B8329E"/>
    <w:rsid w:val="00B836CB"/>
    <w:rsid w:val="00B83AE0"/>
    <w:rsid w:val="00B8532F"/>
    <w:rsid w:val="00B858D6"/>
    <w:rsid w:val="00B85CAD"/>
    <w:rsid w:val="00B861B6"/>
    <w:rsid w:val="00B86B94"/>
    <w:rsid w:val="00B86E90"/>
    <w:rsid w:val="00B86F77"/>
    <w:rsid w:val="00B874DC"/>
    <w:rsid w:val="00B90A59"/>
    <w:rsid w:val="00B90AF2"/>
    <w:rsid w:val="00B90D35"/>
    <w:rsid w:val="00B912DB"/>
    <w:rsid w:val="00B915CD"/>
    <w:rsid w:val="00B91DAA"/>
    <w:rsid w:val="00B930B4"/>
    <w:rsid w:val="00B9357C"/>
    <w:rsid w:val="00B94944"/>
    <w:rsid w:val="00B949D8"/>
    <w:rsid w:val="00B953A6"/>
    <w:rsid w:val="00B95D8C"/>
    <w:rsid w:val="00B962D3"/>
    <w:rsid w:val="00B967A8"/>
    <w:rsid w:val="00B96815"/>
    <w:rsid w:val="00B97047"/>
    <w:rsid w:val="00B9730A"/>
    <w:rsid w:val="00B9742E"/>
    <w:rsid w:val="00B97430"/>
    <w:rsid w:val="00B97B53"/>
    <w:rsid w:val="00B97C03"/>
    <w:rsid w:val="00BA0067"/>
    <w:rsid w:val="00BA00B7"/>
    <w:rsid w:val="00BA061B"/>
    <w:rsid w:val="00BA0A82"/>
    <w:rsid w:val="00BA0DFA"/>
    <w:rsid w:val="00BA0EC4"/>
    <w:rsid w:val="00BA15AF"/>
    <w:rsid w:val="00BA2AA3"/>
    <w:rsid w:val="00BA36F1"/>
    <w:rsid w:val="00BA67AB"/>
    <w:rsid w:val="00BA69A8"/>
    <w:rsid w:val="00BB01C2"/>
    <w:rsid w:val="00BB0B1C"/>
    <w:rsid w:val="00BB111E"/>
    <w:rsid w:val="00BB19B4"/>
    <w:rsid w:val="00BB219F"/>
    <w:rsid w:val="00BB21A4"/>
    <w:rsid w:val="00BB3134"/>
    <w:rsid w:val="00BB395D"/>
    <w:rsid w:val="00BB3DE4"/>
    <w:rsid w:val="00BB3DEE"/>
    <w:rsid w:val="00BB4559"/>
    <w:rsid w:val="00BB5EDB"/>
    <w:rsid w:val="00BB611D"/>
    <w:rsid w:val="00BB6396"/>
    <w:rsid w:val="00BB7520"/>
    <w:rsid w:val="00BC143B"/>
    <w:rsid w:val="00BC2FCA"/>
    <w:rsid w:val="00BC30CC"/>
    <w:rsid w:val="00BC3AEA"/>
    <w:rsid w:val="00BC40A9"/>
    <w:rsid w:val="00BC4A05"/>
    <w:rsid w:val="00BC4E3C"/>
    <w:rsid w:val="00BC4FE4"/>
    <w:rsid w:val="00BC4FFF"/>
    <w:rsid w:val="00BC50B6"/>
    <w:rsid w:val="00BC512A"/>
    <w:rsid w:val="00BC5A38"/>
    <w:rsid w:val="00BC74E0"/>
    <w:rsid w:val="00BC7EFA"/>
    <w:rsid w:val="00BD0133"/>
    <w:rsid w:val="00BD0241"/>
    <w:rsid w:val="00BD036A"/>
    <w:rsid w:val="00BD2245"/>
    <w:rsid w:val="00BD26E4"/>
    <w:rsid w:val="00BD31EB"/>
    <w:rsid w:val="00BD472F"/>
    <w:rsid w:val="00BD4779"/>
    <w:rsid w:val="00BD6067"/>
    <w:rsid w:val="00BD71B9"/>
    <w:rsid w:val="00BD78DF"/>
    <w:rsid w:val="00BD791F"/>
    <w:rsid w:val="00BD7B0C"/>
    <w:rsid w:val="00BD7B1E"/>
    <w:rsid w:val="00BE19F2"/>
    <w:rsid w:val="00BE1B6C"/>
    <w:rsid w:val="00BE306A"/>
    <w:rsid w:val="00BE31B6"/>
    <w:rsid w:val="00BE3483"/>
    <w:rsid w:val="00BE3BA6"/>
    <w:rsid w:val="00BE507B"/>
    <w:rsid w:val="00BE618D"/>
    <w:rsid w:val="00BE65B2"/>
    <w:rsid w:val="00BE6C34"/>
    <w:rsid w:val="00BE79FF"/>
    <w:rsid w:val="00BE7C4B"/>
    <w:rsid w:val="00BF08DB"/>
    <w:rsid w:val="00BF0A26"/>
    <w:rsid w:val="00BF15D8"/>
    <w:rsid w:val="00BF1715"/>
    <w:rsid w:val="00BF2AC1"/>
    <w:rsid w:val="00BF2B81"/>
    <w:rsid w:val="00BF2E2F"/>
    <w:rsid w:val="00BF38B7"/>
    <w:rsid w:val="00BF3A2C"/>
    <w:rsid w:val="00BF4DD1"/>
    <w:rsid w:val="00BF569E"/>
    <w:rsid w:val="00BF6143"/>
    <w:rsid w:val="00BF642B"/>
    <w:rsid w:val="00BF652C"/>
    <w:rsid w:val="00BF70F7"/>
    <w:rsid w:val="00C01503"/>
    <w:rsid w:val="00C0157D"/>
    <w:rsid w:val="00C028DB"/>
    <w:rsid w:val="00C0315B"/>
    <w:rsid w:val="00C03449"/>
    <w:rsid w:val="00C045E7"/>
    <w:rsid w:val="00C04A25"/>
    <w:rsid w:val="00C05E06"/>
    <w:rsid w:val="00C06DEC"/>
    <w:rsid w:val="00C07365"/>
    <w:rsid w:val="00C108E4"/>
    <w:rsid w:val="00C10E20"/>
    <w:rsid w:val="00C11FB5"/>
    <w:rsid w:val="00C1271B"/>
    <w:rsid w:val="00C13A91"/>
    <w:rsid w:val="00C13AD4"/>
    <w:rsid w:val="00C14FA3"/>
    <w:rsid w:val="00C15413"/>
    <w:rsid w:val="00C15611"/>
    <w:rsid w:val="00C15CAE"/>
    <w:rsid w:val="00C1631B"/>
    <w:rsid w:val="00C16CAB"/>
    <w:rsid w:val="00C17127"/>
    <w:rsid w:val="00C17D4F"/>
    <w:rsid w:val="00C20427"/>
    <w:rsid w:val="00C22B4A"/>
    <w:rsid w:val="00C24826"/>
    <w:rsid w:val="00C24E91"/>
    <w:rsid w:val="00C255D4"/>
    <w:rsid w:val="00C26134"/>
    <w:rsid w:val="00C2649B"/>
    <w:rsid w:val="00C2672E"/>
    <w:rsid w:val="00C26DA6"/>
    <w:rsid w:val="00C26EC7"/>
    <w:rsid w:val="00C27A8C"/>
    <w:rsid w:val="00C30327"/>
    <w:rsid w:val="00C30BD8"/>
    <w:rsid w:val="00C31076"/>
    <w:rsid w:val="00C312D1"/>
    <w:rsid w:val="00C314DA"/>
    <w:rsid w:val="00C32220"/>
    <w:rsid w:val="00C32A28"/>
    <w:rsid w:val="00C32BC7"/>
    <w:rsid w:val="00C3514D"/>
    <w:rsid w:val="00C352C2"/>
    <w:rsid w:val="00C36DC0"/>
    <w:rsid w:val="00C37C21"/>
    <w:rsid w:val="00C41D8D"/>
    <w:rsid w:val="00C4253A"/>
    <w:rsid w:val="00C428C5"/>
    <w:rsid w:val="00C42D4C"/>
    <w:rsid w:val="00C431B0"/>
    <w:rsid w:val="00C431C2"/>
    <w:rsid w:val="00C43601"/>
    <w:rsid w:val="00C442D2"/>
    <w:rsid w:val="00C4462C"/>
    <w:rsid w:val="00C452EA"/>
    <w:rsid w:val="00C46494"/>
    <w:rsid w:val="00C46D2A"/>
    <w:rsid w:val="00C47B89"/>
    <w:rsid w:val="00C5004A"/>
    <w:rsid w:val="00C50226"/>
    <w:rsid w:val="00C5113B"/>
    <w:rsid w:val="00C51DC9"/>
    <w:rsid w:val="00C51FF3"/>
    <w:rsid w:val="00C52BEA"/>
    <w:rsid w:val="00C53277"/>
    <w:rsid w:val="00C55037"/>
    <w:rsid w:val="00C55263"/>
    <w:rsid w:val="00C5572B"/>
    <w:rsid w:val="00C56152"/>
    <w:rsid w:val="00C564B8"/>
    <w:rsid w:val="00C568B4"/>
    <w:rsid w:val="00C56B8F"/>
    <w:rsid w:val="00C575B8"/>
    <w:rsid w:val="00C57887"/>
    <w:rsid w:val="00C57DD8"/>
    <w:rsid w:val="00C60799"/>
    <w:rsid w:val="00C60850"/>
    <w:rsid w:val="00C60D2A"/>
    <w:rsid w:val="00C60D55"/>
    <w:rsid w:val="00C61434"/>
    <w:rsid w:val="00C6296A"/>
    <w:rsid w:val="00C62994"/>
    <w:rsid w:val="00C632E2"/>
    <w:rsid w:val="00C64087"/>
    <w:rsid w:val="00C65278"/>
    <w:rsid w:val="00C65644"/>
    <w:rsid w:val="00C65A06"/>
    <w:rsid w:val="00C66074"/>
    <w:rsid w:val="00C66106"/>
    <w:rsid w:val="00C66696"/>
    <w:rsid w:val="00C66750"/>
    <w:rsid w:val="00C66CCB"/>
    <w:rsid w:val="00C67343"/>
    <w:rsid w:val="00C67F07"/>
    <w:rsid w:val="00C70344"/>
    <w:rsid w:val="00C707E3"/>
    <w:rsid w:val="00C716C7"/>
    <w:rsid w:val="00C72636"/>
    <w:rsid w:val="00C73E1E"/>
    <w:rsid w:val="00C74ABE"/>
    <w:rsid w:val="00C759CC"/>
    <w:rsid w:val="00C75F42"/>
    <w:rsid w:val="00C7639F"/>
    <w:rsid w:val="00C76FEF"/>
    <w:rsid w:val="00C8039F"/>
    <w:rsid w:val="00C805DD"/>
    <w:rsid w:val="00C806AF"/>
    <w:rsid w:val="00C815C0"/>
    <w:rsid w:val="00C81FE0"/>
    <w:rsid w:val="00C820DD"/>
    <w:rsid w:val="00C82861"/>
    <w:rsid w:val="00C833C3"/>
    <w:rsid w:val="00C8419F"/>
    <w:rsid w:val="00C859D8"/>
    <w:rsid w:val="00C85BAA"/>
    <w:rsid w:val="00C861DE"/>
    <w:rsid w:val="00C8630C"/>
    <w:rsid w:val="00C86932"/>
    <w:rsid w:val="00C902FF"/>
    <w:rsid w:val="00C90463"/>
    <w:rsid w:val="00C90E31"/>
    <w:rsid w:val="00C929D2"/>
    <w:rsid w:val="00C93C65"/>
    <w:rsid w:val="00C94305"/>
    <w:rsid w:val="00C94307"/>
    <w:rsid w:val="00C9445F"/>
    <w:rsid w:val="00C9516B"/>
    <w:rsid w:val="00C95247"/>
    <w:rsid w:val="00C954BB"/>
    <w:rsid w:val="00C95A50"/>
    <w:rsid w:val="00C95A69"/>
    <w:rsid w:val="00C96853"/>
    <w:rsid w:val="00C96A6A"/>
    <w:rsid w:val="00C96FA5"/>
    <w:rsid w:val="00CA0228"/>
    <w:rsid w:val="00CA0D83"/>
    <w:rsid w:val="00CA116F"/>
    <w:rsid w:val="00CA20DF"/>
    <w:rsid w:val="00CA2BF8"/>
    <w:rsid w:val="00CA2C2A"/>
    <w:rsid w:val="00CA2DB5"/>
    <w:rsid w:val="00CA32D7"/>
    <w:rsid w:val="00CA39CD"/>
    <w:rsid w:val="00CA438C"/>
    <w:rsid w:val="00CA4590"/>
    <w:rsid w:val="00CA46E2"/>
    <w:rsid w:val="00CA4962"/>
    <w:rsid w:val="00CA4DB6"/>
    <w:rsid w:val="00CA526D"/>
    <w:rsid w:val="00CA694A"/>
    <w:rsid w:val="00CA7777"/>
    <w:rsid w:val="00CB0025"/>
    <w:rsid w:val="00CB01E1"/>
    <w:rsid w:val="00CB0D0A"/>
    <w:rsid w:val="00CB14D8"/>
    <w:rsid w:val="00CB1B02"/>
    <w:rsid w:val="00CB1CAD"/>
    <w:rsid w:val="00CB219C"/>
    <w:rsid w:val="00CB273E"/>
    <w:rsid w:val="00CB2A60"/>
    <w:rsid w:val="00CB3744"/>
    <w:rsid w:val="00CB3AAE"/>
    <w:rsid w:val="00CB4E76"/>
    <w:rsid w:val="00CB645D"/>
    <w:rsid w:val="00CB6644"/>
    <w:rsid w:val="00CB66BA"/>
    <w:rsid w:val="00CB6A31"/>
    <w:rsid w:val="00CB74C7"/>
    <w:rsid w:val="00CB77C7"/>
    <w:rsid w:val="00CC0125"/>
    <w:rsid w:val="00CC03E6"/>
    <w:rsid w:val="00CC1E35"/>
    <w:rsid w:val="00CC20A0"/>
    <w:rsid w:val="00CC2FED"/>
    <w:rsid w:val="00CC3163"/>
    <w:rsid w:val="00CC326B"/>
    <w:rsid w:val="00CC3871"/>
    <w:rsid w:val="00CC3E22"/>
    <w:rsid w:val="00CC4CC7"/>
    <w:rsid w:val="00CC5146"/>
    <w:rsid w:val="00CC5F23"/>
    <w:rsid w:val="00CC6D02"/>
    <w:rsid w:val="00CC72AC"/>
    <w:rsid w:val="00CC7755"/>
    <w:rsid w:val="00CC7CEE"/>
    <w:rsid w:val="00CD02D5"/>
    <w:rsid w:val="00CD0CD1"/>
    <w:rsid w:val="00CD1270"/>
    <w:rsid w:val="00CD128B"/>
    <w:rsid w:val="00CD181F"/>
    <w:rsid w:val="00CD1828"/>
    <w:rsid w:val="00CD305E"/>
    <w:rsid w:val="00CD3770"/>
    <w:rsid w:val="00CD3B93"/>
    <w:rsid w:val="00CD49F7"/>
    <w:rsid w:val="00CD4DBE"/>
    <w:rsid w:val="00CD4EAA"/>
    <w:rsid w:val="00CD526D"/>
    <w:rsid w:val="00CD5B6F"/>
    <w:rsid w:val="00CD5B9F"/>
    <w:rsid w:val="00CD6482"/>
    <w:rsid w:val="00CD6930"/>
    <w:rsid w:val="00CD6B96"/>
    <w:rsid w:val="00CE0485"/>
    <w:rsid w:val="00CE0918"/>
    <w:rsid w:val="00CE0CDA"/>
    <w:rsid w:val="00CE1BB4"/>
    <w:rsid w:val="00CE2B68"/>
    <w:rsid w:val="00CE4D28"/>
    <w:rsid w:val="00CE5489"/>
    <w:rsid w:val="00CE6386"/>
    <w:rsid w:val="00CE6594"/>
    <w:rsid w:val="00CE6628"/>
    <w:rsid w:val="00CE7A36"/>
    <w:rsid w:val="00CE7C83"/>
    <w:rsid w:val="00CF1DF2"/>
    <w:rsid w:val="00CF2312"/>
    <w:rsid w:val="00CF29A2"/>
    <w:rsid w:val="00CF2F23"/>
    <w:rsid w:val="00CF3579"/>
    <w:rsid w:val="00CF3E31"/>
    <w:rsid w:val="00CF4B3D"/>
    <w:rsid w:val="00CF4B82"/>
    <w:rsid w:val="00CF54B3"/>
    <w:rsid w:val="00CF55F4"/>
    <w:rsid w:val="00CF5667"/>
    <w:rsid w:val="00CF68B9"/>
    <w:rsid w:val="00CF6E41"/>
    <w:rsid w:val="00CF7738"/>
    <w:rsid w:val="00CF7ABD"/>
    <w:rsid w:val="00CF7D5E"/>
    <w:rsid w:val="00CF7E66"/>
    <w:rsid w:val="00CF7EFC"/>
    <w:rsid w:val="00D008B7"/>
    <w:rsid w:val="00D00B6B"/>
    <w:rsid w:val="00D0111B"/>
    <w:rsid w:val="00D01B49"/>
    <w:rsid w:val="00D01DF1"/>
    <w:rsid w:val="00D01EF2"/>
    <w:rsid w:val="00D03D1F"/>
    <w:rsid w:val="00D044C1"/>
    <w:rsid w:val="00D0507F"/>
    <w:rsid w:val="00D058C6"/>
    <w:rsid w:val="00D0682C"/>
    <w:rsid w:val="00D074AC"/>
    <w:rsid w:val="00D07BE8"/>
    <w:rsid w:val="00D07C67"/>
    <w:rsid w:val="00D10522"/>
    <w:rsid w:val="00D10C17"/>
    <w:rsid w:val="00D10F07"/>
    <w:rsid w:val="00D11570"/>
    <w:rsid w:val="00D12522"/>
    <w:rsid w:val="00D134AE"/>
    <w:rsid w:val="00D139A2"/>
    <w:rsid w:val="00D143FA"/>
    <w:rsid w:val="00D14913"/>
    <w:rsid w:val="00D14E3F"/>
    <w:rsid w:val="00D15CA7"/>
    <w:rsid w:val="00D164BE"/>
    <w:rsid w:val="00D210D8"/>
    <w:rsid w:val="00D229E0"/>
    <w:rsid w:val="00D2337A"/>
    <w:rsid w:val="00D23412"/>
    <w:rsid w:val="00D23C08"/>
    <w:rsid w:val="00D244AB"/>
    <w:rsid w:val="00D25A33"/>
    <w:rsid w:val="00D26362"/>
    <w:rsid w:val="00D26489"/>
    <w:rsid w:val="00D30AA8"/>
    <w:rsid w:val="00D31457"/>
    <w:rsid w:val="00D32317"/>
    <w:rsid w:val="00D3237D"/>
    <w:rsid w:val="00D32E58"/>
    <w:rsid w:val="00D33AE6"/>
    <w:rsid w:val="00D34012"/>
    <w:rsid w:val="00D34CDC"/>
    <w:rsid w:val="00D34D0E"/>
    <w:rsid w:val="00D35EC4"/>
    <w:rsid w:val="00D37600"/>
    <w:rsid w:val="00D37B45"/>
    <w:rsid w:val="00D37ED1"/>
    <w:rsid w:val="00D4137F"/>
    <w:rsid w:val="00D432F5"/>
    <w:rsid w:val="00D439B2"/>
    <w:rsid w:val="00D43B1D"/>
    <w:rsid w:val="00D44445"/>
    <w:rsid w:val="00D44E1E"/>
    <w:rsid w:val="00D4593E"/>
    <w:rsid w:val="00D4635A"/>
    <w:rsid w:val="00D4664B"/>
    <w:rsid w:val="00D46C65"/>
    <w:rsid w:val="00D4705A"/>
    <w:rsid w:val="00D47588"/>
    <w:rsid w:val="00D47B5D"/>
    <w:rsid w:val="00D47BDE"/>
    <w:rsid w:val="00D50AC7"/>
    <w:rsid w:val="00D51206"/>
    <w:rsid w:val="00D51531"/>
    <w:rsid w:val="00D525D6"/>
    <w:rsid w:val="00D52951"/>
    <w:rsid w:val="00D52DB5"/>
    <w:rsid w:val="00D532F9"/>
    <w:rsid w:val="00D5340F"/>
    <w:rsid w:val="00D537B6"/>
    <w:rsid w:val="00D5380F"/>
    <w:rsid w:val="00D543CD"/>
    <w:rsid w:val="00D54C71"/>
    <w:rsid w:val="00D553FF"/>
    <w:rsid w:val="00D555BD"/>
    <w:rsid w:val="00D555EC"/>
    <w:rsid w:val="00D563E6"/>
    <w:rsid w:val="00D56AA6"/>
    <w:rsid w:val="00D57091"/>
    <w:rsid w:val="00D57F5E"/>
    <w:rsid w:val="00D601AE"/>
    <w:rsid w:val="00D60A1F"/>
    <w:rsid w:val="00D611B7"/>
    <w:rsid w:val="00D616C5"/>
    <w:rsid w:val="00D6175E"/>
    <w:rsid w:val="00D6322D"/>
    <w:rsid w:val="00D635EB"/>
    <w:rsid w:val="00D639AF"/>
    <w:rsid w:val="00D64837"/>
    <w:rsid w:val="00D66268"/>
    <w:rsid w:val="00D66566"/>
    <w:rsid w:val="00D66A9F"/>
    <w:rsid w:val="00D67D24"/>
    <w:rsid w:val="00D70E87"/>
    <w:rsid w:val="00D713D7"/>
    <w:rsid w:val="00D718EE"/>
    <w:rsid w:val="00D719C8"/>
    <w:rsid w:val="00D72757"/>
    <w:rsid w:val="00D72D31"/>
    <w:rsid w:val="00D74C11"/>
    <w:rsid w:val="00D75672"/>
    <w:rsid w:val="00D75831"/>
    <w:rsid w:val="00D774F2"/>
    <w:rsid w:val="00D808BF"/>
    <w:rsid w:val="00D80BF1"/>
    <w:rsid w:val="00D813DB"/>
    <w:rsid w:val="00D81EF8"/>
    <w:rsid w:val="00D8307F"/>
    <w:rsid w:val="00D845ED"/>
    <w:rsid w:val="00D851E8"/>
    <w:rsid w:val="00D852AA"/>
    <w:rsid w:val="00D863DD"/>
    <w:rsid w:val="00D86461"/>
    <w:rsid w:val="00D86913"/>
    <w:rsid w:val="00D87027"/>
    <w:rsid w:val="00D87618"/>
    <w:rsid w:val="00D879D9"/>
    <w:rsid w:val="00D905DD"/>
    <w:rsid w:val="00D9111A"/>
    <w:rsid w:val="00D912B5"/>
    <w:rsid w:val="00D91B78"/>
    <w:rsid w:val="00D92458"/>
    <w:rsid w:val="00D92584"/>
    <w:rsid w:val="00D9292E"/>
    <w:rsid w:val="00D92ABB"/>
    <w:rsid w:val="00D92D1A"/>
    <w:rsid w:val="00D92DCE"/>
    <w:rsid w:val="00D9312F"/>
    <w:rsid w:val="00D9435A"/>
    <w:rsid w:val="00DA0C9D"/>
    <w:rsid w:val="00DA0F85"/>
    <w:rsid w:val="00DA1387"/>
    <w:rsid w:val="00DA1A1D"/>
    <w:rsid w:val="00DA2155"/>
    <w:rsid w:val="00DA2703"/>
    <w:rsid w:val="00DA4216"/>
    <w:rsid w:val="00DA5F69"/>
    <w:rsid w:val="00DA605A"/>
    <w:rsid w:val="00DA7E2E"/>
    <w:rsid w:val="00DB07F9"/>
    <w:rsid w:val="00DB16CA"/>
    <w:rsid w:val="00DB2583"/>
    <w:rsid w:val="00DB2C6C"/>
    <w:rsid w:val="00DB3A2F"/>
    <w:rsid w:val="00DB4026"/>
    <w:rsid w:val="00DB483E"/>
    <w:rsid w:val="00DB4D6C"/>
    <w:rsid w:val="00DB5379"/>
    <w:rsid w:val="00DB5B3E"/>
    <w:rsid w:val="00DB62D6"/>
    <w:rsid w:val="00DB692B"/>
    <w:rsid w:val="00DB798B"/>
    <w:rsid w:val="00DC0E01"/>
    <w:rsid w:val="00DC1016"/>
    <w:rsid w:val="00DC1473"/>
    <w:rsid w:val="00DC15D1"/>
    <w:rsid w:val="00DC21B0"/>
    <w:rsid w:val="00DC2286"/>
    <w:rsid w:val="00DC2465"/>
    <w:rsid w:val="00DC2B24"/>
    <w:rsid w:val="00DC446C"/>
    <w:rsid w:val="00DC4962"/>
    <w:rsid w:val="00DC4F5B"/>
    <w:rsid w:val="00DC6306"/>
    <w:rsid w:val="00DC676E"/>
    <w:rsid w:val="00DC75F8"/>
    <w:rsid w:val="00DC7A02"/>
    <w:rsid w:val="00DC7E1F"/>
    <w:rsid w:val="00DD0CF6"/>
    <w:rsid w:val="00DD124E"/>
    <w:rsid w:val="00DD2048"/>
    <w:rsid w:val="00DD47EC"/>
    <w:rsid w:val="00DD4FA1"/>
    <w:rsid w:val="00DD547A"/>
    <w:rsid w:val="00DD62B4"/>
    <w:rsid w:val="00DD6D87"/>
    <w:rsid w:val="00DE096B"/>
    <w:rsid w:val="00DE14CC"/>
    <w:rsid w:val="00DE1950"/>
    <w:rsid w:val="00DE4566"/>
    <w:rsid w:val="00DE505C"/>
    <w:rsid w:val="00DE52E3"/>
    <w:rsid w:val="00DE5763"/>
    <w:rsid w:val="00DE7010"/>
    <w:rsid w:val="00DF0A2D"/>
    <w:rsid w:val="00DF1E25"/>
    <w:rsid w:val="00DF2518"/>
    <w:rsid w:val="00DF369A"/>
    <w:rsid w:val="00DF4248"/>
    <w:rsid w:val="00DF4938"/>
    <w:rsid w:val="00DF4DE8"/>
    <w:rsid w:val="00DF4DF3"/>
    <w:rsid w:val="00DF5936"/>
    <w:rsid w:val="00DF5978"/>
    <w:rsid w:val="00DF5B9E"/>
    <w:rsid w:val="00DF62FF"/>
    <w:rsid w:val="00DF631A"/>
    <w:rsid w:val="00DF6730"/>
    <w:rsid w:val="00DF771F"/>
    <w:rsid w:val="00DF7845"/>
    <w:rsid w:val="00E004BF"/>
    <w:rsid w:val="00E01061"/>
    <w:rsid w:val="00E010E5"/>
    <w:rsid w:val="00E01807"/>
    <w:rsid w:val="00E01873"/>
    <w:rsid w:val="00E02022"/>
    <w:rsid w:val="00E021E3"/>
    <w:rsid w:val="00E02DC9"/>
    <w:rsid w:val="00E02EE8"/>
    <w:rsid w:val="00E02F0A"/>
    <w:rsid w:val="00E031D5"/>
    <w:rsid w:val="00E04CD0"/>
    <w:rsid w:val="00E0523C"/>
    <w:rsid w:val="00E0542B"/>
    <w:rsid w:val="00E0546B"/>
    <w:rsid w:val="00E054F3"/>
    <w:rsid w:val="00E073DD"/>
    <w:rsid w:val="00E07E42"/>
    <w:rsid w:val="00E07EE5"/>
    <w:rsid w:val="00E10DFC"/>
    <w:rsid w:val="00E11070"/>
    <w:rsid w:val="00E112FE"/>
    <w:rsid w:val="00E11DD2"/>
    <w:rsid w:val="00E11FA4"/>
    <w:rsid w:val="00E120DD"/>
    <w:rsid w:val="00E12DD4"/>
    <w:rsid w:val="00E133B4"/>
    <w:rsid w:val="00E137D7"/>
    <w:rsid w:val="00E151CB"/>
    <w:rsid w:val="00E15ED3"/>
    <w:rsid w:val="00E15FED"/>
    <w:rsid w:val="00E16117"/>
    <w:rsid w:val="00E164F6"/>
    <w:rsid w:val="00E16766"/>
    <w:rsid w:val="00E16959"/>
    <w:rsid w:val="00E16E22"/>
    <w:rsid w:val="00E171E4"/>
    <w:rsid w:val="00E171FC"/>
    <w:rsid w:val="00E173EF"/>
    <w:rsid w:val="00E202C7"/>
    <w:rsid w:val="00E22226"/>
    <w:rsid w:val="00E223A0"/>
    <w:rsid w:val="00E225BA"/>
    <w:rsid w:val="00E24112"/>
    <w:rsid w:val="00E25179"/>
    <w:rsid w:val="00E259D9"/>
    <w:rsid w:val="00E25EC1"/>
    <w:rsid w:val="00E2605F"/>
    <w:rsid w:val="00E26702"/>
    <w:rsid w:val="00E26A3C"/>
    <w:rsid w:val="00E27429"/>
    <w:rsid w:val="00E275A8"/>
    <w:rsid w:val="00E27787"/>
    <w:rsid w:val="00E27993"/>
    <w:rsid w:val="00E27B77"/>
    <w:rsid w:val="00E30453"/>
    <w:rsid w:val="00E31BE9"/>
    <w:rsid w:val="00E31BED"/>
    <w:rsid w:val="00E32890"/>
    <w:rsid w:val="00E3295F"/>
    <w:rsid w:val="00E34BE9"/>
    <w:rsid w:val="00E352AF"/>
    <w:rsid w:val="00E35A65"/>
    <w:rsid w:val="00E35FCA"/>
    <w:rsid w:val="00E360D9"/>
    <w:rsid w:val="00E364B3"/>
    <w:rsid w:val="00E40EF0"/>
    <w:rsid w:val="00E411B0"/>
    <w:rsid w:val="00E41C25"/>
    <w:rsid w:val="00E41D19"/>
    <w:rsid w:val="00E41D91"/>
    <w:rsid w:val="00E4247B"/>
    <w:rsid w:val="00E424DA"/>
    <w:rsid w:val="00E428BE"/>
    <w:rsid w:val="00E429E5"/>
    <w:rsid w:val="00E43157"/>
    <w:rsid w:val="00E43830"/>
    <w:rsid w:val="00E43E78"/>
    <w:rsid w:val="00E44693"/>
    <w:rsid w:val="00E44EAC"/>
    <w:rsid w:val="00E45DD6"/>
    <w:rsid w:val="00E460BC"/>
    <w:rsid w:val="00E471CC"/>
    <w:rsid w:val="00E47342"/>
    <w:rsid w:val="00E47407"/>
    <w:rsid w:val="00E477EC"/>
    <w:rsid w:val="00E47F8F"/>
    <w:rsid w:val="00E513AD"/>
    <w:rsid w:val="00E51925"/>
    <w:rsid w:val="00E51D58"/>
    <w:rsid w:val="00E52BE0"/>
    <w:rsid w:val="00E52F99"/>
    <w:rsid w:val="00E5370A"/>
    <w:rsid w:val="00E5380D"/>
    <w:rsid w:val="00E541AB"/>
    <w:rsid w:val="00E541FE"/>
    <w:rsid w:val="00E54287"/>
    <w:rsid w:val="00E54E07"/>
    <w:rsid w:val="00E55A49"/>
    <w:rsid w:val="00E604C8"/>
    <w:rsid w:val="00E6107A"/>
    <w:rsid w:val="00E610B0"/>
    <w:rsid w:val="00E61894"/>
    <w:rsid w:val="00E61D59"/>
    <w:rsid w:val="00E62488"/>
    <w:rsid w:val="00E62A49"/>
    <w:rsid w:val="00E62C3F"/>
    <w:rsid w:val="00E62C83"/>
    <w:rsid w:val="00E6345B"/>
    <w:rsid w:val="00E63D01"/>
    <w:rsid w:val="00E65F3A"/>
    <w:rsid w:val="00E66EBD"/>
    <w:rsid w:val="00E67C84"/>
    <w:rsid w:val="00E67F2B"/>
    <w:rsid w:val="00E67F48"/>
    <w:rsid w:val="00E700F1"/>
    <w:rsid w:val="00E70139"/>
    <w:rsid w:val="00E7021F"/>
    <w:rsid w:val="00E70ABE"/>
    <w:rsid w:val="00E70EE1"/>
    <w:rsid w:val="00E70F5F"/>
    <w:rsid w:val="00E71F08"/>
    <w:rsid w:val="00E72872"/>
    <w:rsid w:val="00E738FA"/>
    <w:rsid w:val="00E73B78"/>
    <w:rsid w:val="00E75309"/>
    <w:rsid w:val="00E75591"/>
    <w:rsid w:val="00E7593D"/>
    <w:rsid w:val="00E75E6A"/>
    <w:rsid w:val="00E76214"/>
    <w:rsid w:val="00E76291"/>
    <w:rsid w:val="00E76585"/>
    <w:rsid w:val="00E7742E"/>
    <w:rsid w:val="00E779D3"/>
    <w:rsid w:val="00E77F1B"/>
    <w:rsid w:val="00E81734"/>
    <w:rsid w:val="00E82C4C"/>
    <w:rsid w:val="00E8343D"/>
    <w:rsid w:val="00E839EA"/>
    <w:rsid w:val="00E83B1E"/>
    <w:rsid w:val="00E8478F"/>
    <w:rsid w:val="00E85041"/>
    <w:rsid w:val="00E8620D"/>
    <w:rsid w:val="00E863DB"/>
    <w:rsid w:val="00E8690B"/>
    <w:rsid w:val="00E86F14"/>
    <w:rsid w:val="00E87B7E"/>
    <w:rsid w:val="00E87D66"/>
    <w:rsid w:val="00E90117"/>
    <w:rsid w:val="00E90DA4"/>
    <w:rsid w:val="00E915A3"/>
    <w:rsid w:val="00E92D58"/>
    <w:rsid w:val="00E92E71"/>
    <w:rsid w:val="00E93443"/>
    <w:rsid w:val="00E93891"/>
    <w:rsid w:val="00E946C3"/>
    <w:rsid w:val="00E960B0"/>
    <w:rsid w:val="00E96918"/>
    <w:rsid w:val="00E96FD3"/>
    <w:rsid w:val="00EA0390"/>
    <w:rsid w:val="00EA10C9"/>
    <w:rsid w:val="00EA2B6F"/>
    <w:rsid w:val="00EA2DF5"/>
    <w:rsid w:val="00EA4054"/>
    <w:rsid w:val="00EA7555"/>
    <w:rsid w:val="00EB00D7"/>
    <w:rsid w:val="00EB10DE"/>
    <w:rsid w:val="00EB1D72"/>
    <w:rsid w:val="00EB378F"/>
    <w:rsid w:val="00EB3AF4"/>
    <w:rsid w:val="00EB4B1A"/>
    <w:rsid w:val="00EB4B8D"/>
    <w:rsid w:val="00EB4CB6"/>
    <w:rsid w:val="00EB5A7F"/>
    <w:rsid w:val="00EB63B4"/>
    <w:rsid w:val="00EB666C"/>
    <w:rsid w:val="00EB7A6C"/>
    <w:rsid w:val="00EC0374"/>
    <w:rsid w:val="00EC1835"/>
    <w:rsid w:val="00EC1CFB"/>
    <w:rsid w:val="00EC1F28"/>
    <w:rsid w:val="00EC2476"/>
    <w:rsid w:val="00EC247B"/>
    <w:rsid w:val="00EC42AD"/>
    <w:rsid w:val="00EC5B96"/>
    <w:rsid w:val="00EC5F7F"/>
    <w:rsid w:val="00EC619E"/>
    <w:rsid w:val="00EC61F3"/>
    <w:rsid w:val="00EC636F"/>
    <w:rsid w:val="00EC6BE2"/>
    <w:rsid w:val="00EC70BF"/>
    <w:rsid w:val="00EC730B"/>
    <w:rsid w:val="00EC7522"/>
    <w:rsid w:val="00EC7EBF"/>
    <w:rsid w:val="00ED0379"/>
    <w:rsid w:val="00ED08B5"/>
    <w:rsid w:val="00ED0C82"/>
    <w:rsid w:val="00ED302F"/>
    <w:rsid w:val="00ED4007"/>
    <w:rsid w:val="00ED4815"/>
    <w:rsid w:val="00ED4D40"/>
    <w:rsid w:val="00ED4F93"/>
    <w:rsid w:val="00ED67F3"/>
    <w:rsid w:val="00ED6B5F"/>
    <w:rsid w:val="00ED6B6C"/>
    <w:rsid w:val="00EE0606"/>
    <w:rsid w:val="00EE121D"/>
    <w:rsid w:val="00EE1947"/>
    <w:rsid w:val="00EE1A37"/>
    <w:rsid w:val="00EE1B3B"/>
    <w:rsid w:val="00EE228A"/>
    <w:rsid w:val="00EE281B"/>
    <w:rsid w:val="00EE2F4B"/>
    <w:rsid w:val="00EE33E5"/>
    <w:rsid w:val="00EE38E7"/>
    <w:rsid w:val="00EE3F7A"/>
    <w:rsid w:val="00EE4BBB"/>
    <w:rsid w:val="00EE503B"/>
    <w:rsid w:val="00EE5237"/>
    <w:rsid w:val="00EE5569"/>
    <w:rsid w:val="00EE6BED"/>
    <w:rsid w:val="00EE77D5"/>
    <w:rsid w:val="00EF0762"/>
    <w:rsid w:val="00EF0E41"/>
    <w:rsid w:val="00EF0F95"/>
    <w:rsid w:val="00EF1C18"/>
    <w:rsid w:val="00EF24E7"/>
    <w:rsid w:val="00EF462A"/>
    <w:rsid w:val="00EF476D"/>
    <w:rsid w:val="00EF5730"/>
    <w:rsid w:val="00EF62ED"/>
    <w:rsid w:val="00EF6EED"/>
    <w:rsid w:val="00EF74A8"/>
    <w:rsid w:val="00F00260"/>
    <w:rsid w:val="00F008A3"/>
    <w:rsid w:val="00F00CF2"/>
    <w:rsid w:val="00F01A6D"/>
    <w:rsid w:val="00F03435"/>
    <w:rsid w:val="00F0452E"/>
    <w:rsid w:val="00F060AD"/>
    <w:rsid w:val="00F06226"/>
    <w:rsid w:val="00F07454"/>
    <w:rsid w:val="00F07492"/>
    <w:rsid w:val="00F07A6C"/>
    <w:rsid w:val="00F10265"/>
    <w:rsid w:val="00F11333"/>
    <w:rsid w:val="00F12A78"/>
    <w:rsid w:val="00F132A8"/>
    <w:rsid w:val="00F14046"/>
    <w:rsid w:val="00F1449E"/>
    <w:rsid w:val="00F14FA9"/>
    <w:rsid w:val="00F15172"/>
    <w:rsid w:val="00F157C0"/>
    <w:rsid w:val="00F158BC"/>
    <w:rsid w:val="00F15E99"/>
    <w:rsid w:val="00F17532"/>
    <w:rsid w:val="00F17630"/>
    <w:rsid w:val="00F17802"/>
    <w:rsid w:val="00F17A43"/>
    <w:rsid w:val="00F17EC1"/>
    <w:rsid w:val="00F17FC3"/>
    <w:rsid w:val="00F17FC8"/>
    <w:rsid w:val="00F20A7F"/>
    <w:rsid w:val="00F21C31"/>
    <w:rsid w:val="00F21F84"/>
    <w:rsid w:val="00F22054"/>
    <w:rsid w:val="00F23DD5"/>
    <w:rsid w:val="00F240FA"/>
    <w:rsid w:val="00F24779"/>
    <w:rsid w:val="00F25424"/>
    <w:rsid w:val="00F2593D"/>
    <w:rsid w:val="00F26BBE"/>
    <w:rsid w:val="00F306D9"/>
    <w:rsid w:val="00F30AFD"/>
    <w:rsid w:val="00F30E8A"/>
    <w:rsid w:val="00F31E40"/>
    <w:rsid w:val="00F320A0"/>
    <w:rsid w:val="00F33188"/>
    <w:rsid w:val="00F3345F"/>
    <w:rsid w:val="00F3357C"/>
    <w:rsid w:val="00F33665"/>
    <w:rsid w:val="00F3446B"/>
    <w:rsid w:val="00F347B1"/>
    <w:rsid w:val="00F34D1F"/>
    <w:rsid w:val="00F34E0C"/>
    <w:rsid w:val="00F35E98"/>
    <w:rsid w:val="00F3603A"/>
    <w:rsid w:val="00F36277"/>
    <w:rsid w:val="00F362AE"/>
    <w:rsid w:val="00F36479"/>
    <w:rsid w:val="00F36920"/>
    <w:rsid w:val="00F36FE1"/>
    <w:rsid w:val="00F40728"/>
    <w:rsid w:val="00F40BF9"/>
    <w:rsid w:val="00F42D4D"/>
    <w:rsid w:val="00F4304A"/>
    <w:rsid w:val="00F43423"/>
    <w:rsid w:val="00F44923"/>
    <w:rsid w:val="00F44C00"/>
    <w:rsid w:val="00F45A2B"/>
    <w:rsid w:val="00F466CA"/>
    <w:rsid w:val="00F470E3"/>
    <w:rsid w:val="00F4786C"/>
    <w:rsid w:val="00F47AB3"/>
    <w:rsid w:val="00F47E9A"/>
    <w:rsid w:val="00F505E8"/>
    <w:rsid w:val="00F5075D"/>
    <w:rsid w:val="00F513E4"/>
    <w:rsid w:val="00F516DB"/>
    <w:rsid w:val="00F5176A"/>
    <w:rsid w:val="00F521DD"/>
    <w:rsid w:val="00F525A4"/>
    <w:rsid w:val="00F531C4"/>
    <w:rsid w:val="00F53230"/>
    <w:rsid w:val="00F548F3"/>
    <w:rsid w:val="00F54950"/>
    <w:rsid w:val="00F54AAF"/>
    <w:rsid w:val="00F55E13"/>
    <w:rsid w:val="00F55F50"/>
    <w:rsid w:val="00F568E5"/>
    <w:rsid w:val="00F570CC"/>
    <w:rsid w:val="00F57974"/>
    <w:rsid w:val="00F579A0"/>
    <w:rsid w:val="00F57B51"/>
    <w:rsid w:val="00F60357"/>
    <w:rsid w:val="00F60AC4"/>
    <w:rsid w:val="00F6244B"/>
    <w:rsid w:val="00F62FDF"/>
    <w:rsid w:val="00F63403"/>
    <w:rsid w:val="00F63425"/>
    <w:rsid w:val="00F63BDE"/>
    <w:rsid w:val="00F64969"/>
    <w:rsid w:val="00F64CD6"/>
    <w:rsid w:val="00F64CF6"/>
    <w:rsid w:val="00F6553F"/>
    <w:rsid w:val="00F659C5"/>
    <w:rsid w:val="00F66024"/>
    <w:rsid w:val="00F6733C"/>
    <w:rsid w:val="00F677A4"/>
    <w:rsid w:val="00F70006"/>
    <w:rsid w:val="00F704D7"/>
    <w:rsid w:val="00F71C62"/>
    <w:rsid w:val="00F7311E"/>
    <w:rsid w:val="00F73396"/>
    <w:rsid w:val="00F743DB"/>
    <w:rsid w:val="00F74B04"/>
    <w:rsid w:val="00F751E4"/>
    <w:rsid w:val="00F7603C"/>
    <w:rsid w:val="00F77930"/>
    <w:rsid w:val="00F80CC3"/>
    <w:rsid w:val="00F80DBA"/>
    <w:rsid w:val="00F824B1"/>
    <w:rsid w:val="00F8323B"/>
    <w:rsid w:val="00F834AF"/>
    <w:rsid w:val="00F83A93"/>
    <w:rsid w:val="00F84CC6"/>
    <w:rsid w:val="00F8574D"/>
    <w:rsid w:val="00F85763"/>
    <w:rsid w:val="00F857C2"/>
    <w:rsid w:val="00F865F9"/>
    <w:rsid w:val="00F86789"/>
    <w:rsid w:val="00F868C7"/>
    <w:rsid w:val="00F86B72"/>
    <w:rsid w:val="00F86BFD"/>
    <w:rsid w:val="00F873B1"/>
    <w:rsid w:val="00F87FA9"/>
    <w:rsid w:val="00F90684"/>
    <w:rsid w:val="00F928C1"/>
    <w:rsid w:val="00F947C6"/>
    <w:rsid w:val="00F947D0"/>
    <w:rsid w:val="00F95150"/>
    <w:rsid w:val="00F95418"/>
    <w:rsid w:val="00F95A48"/>
    <w:rsid w:val="00F95A86"/>
    <w:rsid w:val="00F95CE3"/>
    <w:rsid w:val="00F95D44"/>
    <w:rsid w:val="00F96410"/>
    <w:rsid w:val="00F9667E"/>
    <w:rsid w:val="00F969E1"/>
    <w:rsid w:val="00F96AFF"/>
    <w:rsid w:val="00F96BDD"/>
    <w:rsid w:val="00F96F41"/>
    <w:rsid w:val="00F979E6"/>
    <w:rsid w:val="00F97BCE"/>
    <w:rsid w:val="00F97FB3"/>
    <w:rsid w:val="00FA0B53"/>
    <w:rsid w:val="00FA10CA"/>
    <w:rsid w:val="00FA16A0"/>
    <w:rsid w:val="00FA1CF1"/>
    <w:rsid w:val="00FA2246"/>
    <w:rsid w:val="00FA22CD"/>
    <w:rsid w:val="00FA2743"/>
    <w:rsid w:val="00FA3DF2"/>
    <w:rsid w:val="00FA43E5"/>
    <w:rsid w:val="00FA53A5"/>
    <w:rsid w:val="00FA793F"/>
    <w:rsid w:val="00FA7B03"/>
    <w:rsid w:val="00FB0278"/>
    <w:rsid w:val="00FB146A"/>
    <w:rsid w:val="00FB1DF9"/>
    <w:rsid w:val="00FB1FFA"/>
    <w:rsid w:val="00FB30A8"/>
    <w:rsid w:val="00FB39A2"/>
    <w:rsid w:val="00FB5169"/>
    <w:rsid w:val="00FB5442"/>
    <w:rsid w:val="00FB5A59"/>
    <w:rsid w:val="00FB63D1"/>
    <w:rsid w:val="00FB6D2F"/>
    <w:rsid w:val="00FB783B"/>
    <w:rsid w:val="00FB7A2D"/>
    <w:rsid w:val="00FB7F8D"/>
    <w:rsid w:val="00FC0437"/>
    <w:rsid w:val="00FC32C6"/>
    <w:rsid w:val="00FC333B"/>
    <w:rsid w:val="00FC401C"/>
    <w:rsid w:val="00FC49D1"/>
    <w:rsid w:val="00FC5F62"/>
    <w:rsid w:val="00FC6B5E"/>
    <w:rsid w:val="00FC740D"/>
    <w:rsid w:val="00FD08C5"/>
    <w:rsid w:val="00FD0912"/>
    <w:rsid w:val="00FD1095"/>
    <w:rsid w:val="00FD19F1"/>
    <w:rsid w:val="00FD2F4F"/>
    <w:rsid w:val="00FD316E"/>
    <w:rsid w:val="00FD31F1"/>
    <w:rsid w:val="00FD39CD"/>
    <w:rsid w:val="00FD3F48"/>
    <w:rsid w:val="00FD4035"/>
    <w:rsid w:val="00FD4A92"/>
    <w:rsid w:val="00FD5178"/>
    <w:rsid w:val="00FD5D94"/>
    <w:rsid w:val="00FD6438"/>
    <w:rsid w:val="00FD6470"/>
    <w:rsid w:val="00FD7270"/>
    <w:rsid w:val="00FD79A6"/>
    <w:rsid w:val="00FE1F4B"/>
    <w:rsid w:val="00FE2A28"/>
    <w:rsid w:val="00FE3795"/>
    <w:rsid w:val="00FE3BB4"/>
    <w:rsid w:val="00FE4033"/>
    <w:rsid w:val="00FE4B41"/>
    <w:rsid w:val="00FE5317"/>
    <w:rsid w:val="00FE60A0"/>
    <w:rsid w:val="00FE652F"/>
    <w:rsid w:val="00FE66D0"/>
    <w:rsid w:val="00FE67D7"/>
    <w:rsid w:val="00FE67E8"/>
    <w:rsid w:val="00FE7CE5"/>
    <w:rsid w:val="00FF029B"/>
    <w:rsid w:val="00FF0EB6"/>
    <w:rsid w:val="00FF1099"/>
    <w:rsid w:val="00FF1168"/>
    <w:rsid w:val="00FF16AD"/>
    <w:rsid w:val="00FF1762"/>
    <w:rsid w:val="00FF1AE7"/>
    <w:rsid w:val="00FF28F1"/>
    <w:rsid w:val="00FF29EF"/>
    <w:rsid w:val="00FF2D45"/>
    <w:rsid w:val="00FF312D"/>
    <w:rsid w:val="00FF32AF"/>
    <w:rsid w:val="00FF3821"/>
    <w:rsid w:val="00FF408D"/>
    <w:rsid w:val="00FF547F"/>
    <w:rsid w:val="00FF6063"/>
    <w:rsid w:val="00FF6D0A"/>
    <w:rsid w:val="00FF6F91"/>
    <w:rsid w:val="00FF7A6A"/>
    <w:rsid w:val="073262BE"/>
    <w:rsid w:val="084028C1"/>
    <w:rsid w:val="09573AC5"/>
    <w:rsid w:val="0A7713FF"/>
    <w:rsid w:val="0B9171DD"/>
    <w:rsid w:val="0D48115C"/>
    <w:rsid w:val="0E9656DB"/>
    <w:rsid w:val="0F531D3C"/>
    <w:rsid w:val="137F63B4"/>
    <w:rsid w:val="1A104801"/>
    <w:rsid w:val="1EBD2E56"/>
    <w:rsid w:val="1F4A48CC"/>
    <w:rsid w:val="1F5C4098"/>
    <w:rsid w:val="201A7212"/>
    <w:rsid w:val="269144D8"/>
    <w:rsid w:val="28132F8E"/>
    <w:rsid w:val="2A2D247C"/>
    <w:rsid w:val="2A6549D8"/>
    <w:rsid w:val="2ADB571C"/>
    <w:rsid w:val="2D536238"/>
    <w:rsid w:val="2E46732E"/>
    <w:rsid w:val="35883AD8"/>
    <w:rsid w:val="3C1E0EE9"/>
    <w:rsid w:val="3E8C1FCF"/>
    <w:rsid w:val="410240EC"/>
    <w:rsid w:val="41207E31"/>
    <w:rsid w:val="416200AE"/>
    <w:rsid w:val="432F0696"/>
    <w:rsid w:val="438D2007"/>
    <w:rsid w:val="43AD15B6"/>
    <w:rsid w:val="47C1088D"/>
    <w:rsid w:val="48C75639"/>
    <w:rsid w:val="49665FA1"/>
    <w:rsid w:val="49B321F5"/>
    <w:rsid w:val="49D840AA"/>
    <w:rsid w:val="4CD75F98"/>
    <w:rsid w:val="4E10608B"/>
    <w:rsid w:val="4E261535"/>
    <w:rsid w:val="50FC6F9E"/>
    <w:rsid w:val="57AF6C74"/>
    <w:rsid w:val="59223DB2"/>
    <w:rsid w:val="5D555CF6"/>
    <w:rsid w:val="5D8C56AA"/>
    <w:rsid w:val="6CFC41A6"/>
    <w:rsid w:val="73C17D49"/>
    <w:rsid w:val="76A6312F"/>
    <w:rsid w:val="76C42FF8"/>
    <w:rsid w:val="79B0603F"/>
    <w:rsid w:val="7E985D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50" fillcolor="white">
      <v:fill color="white"/>
    </o:shapedefaults>
    <o:shapelayout v:ext="edit">
      <o:idmap v:ext="edit" data="2"/>
    </o:shapelayout>
  </w:shapeDefaults>
  <w:decimalSymbol w:val="."/>
  <w:listSeparator w:val=","/>
  <w14:docId w14:val="1B7EE908"/>
  <w15:docId w15:val="{599AF27F-7072-4264-8833-86E6758E6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unhideWhenUsed="1" w:qFormat="1"/>
    <w:lsdException w:name="heading 6" w:uiPriority="9"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iPriority="0" w:qFormat="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uiPriority="0" w:qFormat="1"/>
    <w:lsdException w:name="List" w:uiPriority="0" w:qFormat="1"/>
    <w:lsdException w:name="List Bullet" w:semiHidden="1" w:unhideWhenUsed="1"/>
    <w:lsdException w:name="List Number" w:semiHidden="1" w:unhideWhenUsed="1"/>
    <w:lsdException w:name="List 2" w:semiHidden="1" w:uiPriority="0" w:unhideWhenUsed="1"/>
    <w:lsdException w:name="List 3" w:semiHidden="1" w:uiPriority="0" w:unhideWhenUsed="1" w:qFormat="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qFormat="1"/>
    <w:lsdException w:name="Date" w:semiHidden="1" w:uiPriority="0" w:unhideWhenUsed="1"/>
    <w:lsdException w:name="Body Text First Indent" w:semiHidden="1" w:uiPriority="0" w:unhideWhenUsed="1"/>
    <w:lsdException w:name="Body Text First Indent 2" w:semiHidden="1" w:uiPriority="0" w:unhideWhenUsed="1" w:qFormat="1"/>
    <w:lsdException w:name="Note Heading" w:semiHidden="1" w:uiPriority="0"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iPriority="0" w:unhideWhenUsed="1"/>
    <w:lsdException w:name="Hyperlink" w:unhideWhenUsed="1" w:qFormat="1"/>
    <w:lsdException w:name="FollowedHyperlink" w:uiPriority="0" w:qFormat="1"/>
    <w:lsdException w:name="Strong" w:uiPriority="0" w:qFormat="1"/>
    <w:lsdException w:name="Emphasis" w:uiPriority="0" w:qFormat="1"/>
    <w:lsdException w:name="Document Map" w:uiPriority="0" w:unhideWhenUsed="1" w:qFormat="1"/>
    <w:lsdException w:name="Plain Text" w:uiPriority="0" w:unhideWhenUsed="1"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iPriority="0" w:unhideWhenUsed="1" w:qFormat="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40182"/>
    <w:pPr>
      <w:widowControl w:val="0"/>
      <w:jc w:val="both"/>
    </w:pPr>
    <w:rPr>
      <w:rFonts w:asciiTheme="minorHAnsi" w:eastAsiaTheme="minorEastAsia" w:hAnsiTheme="minorHAnsi" w:cstheme="minorBidi"/>
      <w:kern w:val="2"/>
      <w:sz w:val="21"/>
      <w:szCs w:val="22"/>
    </w:rPr>
  </w:style>
  <w:style w:type="paragraph" w:styleId="1">
    <w:name w:val="heading 1"/>
    <w:aliases w:val="一级标题V"/>
    <w:basedOn w:val="a"/>
    <w:next w:val="a"/>
    <w:link w:val="10"/>
    <w:qFormat/>
    <w:pPr>
      <w:keepNext/>
      <w:keepLines/>
      <w:widowControl/>
      <w:spacing w:before="340" w:after="330" w:line="578" w:lineRule="auto"/>
      <w:jc w:val="left"/>
      <w:outlineLvl w:val="0"/>
    </w:pPr>
    <w:rPr>
      <w:rFonts w:ascii="Calibri" w:eastAsia="宋体" w:hAnsi="Calibri" w:cs="Times New Roman"/>
      <w:b/>
      <w:bCs/>
      <w:kern w:val="44"/>
      <w:sz w:val="44"/>
      <w:szCs w:val="44"/>
      <w:lang w:eastAsia="en-US"/>
    </w:rPr>
  </w:style>
  <w:style w:type="paragraph" w:styleId="2">
    <w:name w:val="heading 2"/>
    <w:aliases w:val="二级标题V"/>
    <w:basedOn w:val="a"/>
    <w:next w:val="a"/>
    <w:link w:val="20"/>
    <w:unhideWhenUsed/>
    <w:qFormat/>
    <w:pPr>
      <w:keepNext/>
      <w:keepLines/>
      <w:widowControl/>
      <w:adjustRightInd w:val="0"/>
      <w:snapToGrid w:val="0"/>
      <w:spacing w:line="360" w:lineRule="auto"/>
      <w:ind w:firstLineChars="200" w:firstLine="560"/>
      <w:jc w:val="left"/>
      <w:outlineLvl w:val="1"/>
    </w:pPr>
    <w:rPr>
      <w:rFonts w:ascii="Times New Roman" w:eastAsia="黑体" w:hAnsi="Times New Roman" w:cs="Times New Roman"/>
      <w:bCs/>
      <w:kern w:val="0"/>
      <w:sz w:val="24"/>
      <w:szCs w:val="32"/>
      <w:lang w:eastAsia="en-US"/>
    </w:rPr>
  </w:style>
  <w:style w:type="paragraph" w:styleId="3">
    <w:name w:val="heading 3"/>
    <w:aliases w:val="三级标题V"/>
    <w:basedOn w:val="a"/>
    <w:next w:val="a"/>
    <w:link w:val="30"/>
    <w:unhideWhenUsed/>
    <w:qFormat/>
    <w:pPr>
      <w:keepNext/>
      <w:keepLines/>
      <w:widowControl/>
      <w:spacing w:before="260" w:after="260" w:line="416" w:lineRule="auto"/>
      <w:jc w:val="left"/>
      <w:outlineLvl w:val="2"/>
    </w:pPr>
    <w:rPr>
      <w:rFonts w:ascii="Calibri" w:eastAsia="宋体" w:hAnsi="Calibri" w:cs="Times New Roman"/>
      <w:b/>
      <w:bCs/>
      <w:kern w:val="0"/>
      <w:sz w:val="32"/>
      <w:szCs w:val="32"/>
      <w:lang w:eastAsia="en-US"/>
    </w:rPr>
  </w:style>
  <w:style w:type="paragraph" w:styleId="4">
    <w:name w:val="heading 4"/>
    <w:aliases w:val="四级标题V"/>
    <w:basedOn w:val="a"/>
    <w:next w:val="a"/>
    <w:link w:val="40"/>
    <w:qFormat/>
    <w:pPr>
      <w:keepNext/>
      <w:keepLines/>
      <w:numPr>
        <w:ilvl w:val="3"/>
        <w:numId w:val="1"/>
      </w:numPr>
      <w:spacing w:before="60"/>
      <w:outlineLvl w:val="3"/>
    </w:pPr>
    <w:rPr>
      <w:rFonts w:ascii="Times New Roman" w:eastAsia="宋体" w:hAnsi="Times New Roman" w:cs="Times New Roman"/>
      <w:b/>
      <w:bCs/>
      <w:szCs w:val="24"/>
    </w:rPr>
  </w:style>
  <w:style w:type="paragraph" w:styleId="50">
    <w:name w:val="heading 5"/>
    <w:basedOn w:val="a"/>
    <w:next w:val="a"/>
    <w:link w:val="51"/>
    <w:unhideWhenUsed/>
    <w:qFormat/>
    <w:pPr>
      <w:keepNext/>
      <w:keepLines/>
      <w:widowControl/>
      <w:spacing w:before="280" w:after="290" w:line="376" w:lineRule="auto"/>
      <w:jc w:val="left"/>
      <w:outlineLvl w:val="4"/>
    </w:pPr>
    <w:rPr>
      <w:rFonts w:ascii="Calibri" w:eastAsia="宋体" w:hAnsi="Calibri" w:cs="Times New Roman"/>
      <w:b/>
      <w:bCs/>
      <w:kern w:val="0"/>
      <w:sz w:val="28"/>
      <w:szCs w:val="28"/>
      <w:lang w:eastAsia="en-US"/>
    </w:rPr>
  </w:style>
  <w:style w:type="paragraph" w:styleId="6">
    <w:name w:val="heading 6"/>
    <w:basedOn w:val="a"/>
    <w:next w:val="a"/>
    <w:link w:val="60"/>
    <w:uiPriority w:val="9"/>
    <w:qFormat/>
    <w:pPr>
      <w:ind w:left="740"/>
      <w:outlineLvl w:val="5"/>
    </w:pPr>
    <w:rPr>
      <w:rFonts w:ascii="宋体" w:eastAsia="宋体" w:hAnsi="宋体" w:cs="宋体"/>
      <w:b/>
      <w:bCs/>
      <w:sz w:val="24"/>
      <w:szCs w:val="24"/>
      <w:lang w:val="zh-CN" w:bidi="zh-CN"/>
    </w:rPr>
  </w:style>
  <w:style w:type="paragraph" w:styleId="7">
    <w:name w:val="heading 7"/>
    <w:basedOn w:val="a"/>
    <w:next w:val="a"/>
    <w:link w:val="70"/>
    <w:qFormat/>
    <w:rsid w:val="00F96F41"/>
    <w:pPr>
      <w:keepNext/>
      <w:keepLines/>
      <w:spacing w:before="240" w:after="64" w:line="319" w:lineRule="auto"/>
      <w:outlineLvl w:val="6"/>
    </w:pPr>
    <w:rPr>
      <w:rFonts w:ascii="Times New Roman" w:eastAsia="宋体"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aliases w:val="二级标题V 字符"/>
    <w:link w:val="2"/>
    <w:qFormat/>
    <w:rPr>
      <w:rFonts w:ascii="Times New Roman" w:eastAsia="黑体" w:hAnsi="Times New Roman" w:cs="Times New Roman"/>
      <w:bCs/>
      <w:sz w:val="24"/>
      <w:szCs w:val="32"/>
    </w:rPr>
  </w:style>
  <w:style w:type="character" w:customStyle="1" w:styleId="10">
    <w:name w:val="标题 1 字符"/>
    <w:aliases w:val="一级标题V 字符"/>
    <w:link w:val="1"/>
    <w:qFormat/>
    <w:rPr>
      <w:b/>
      <w:bCs/>
      <w:kern w:val="44"/>
      <w:sz w:val="44"/>
      <w:szCs w:val="44"/>
    </w:rPr>
  </w:style>
  <w:style w:type="character" w:customStyle="1" w:styleId="30">
    <w:name w:val="标题 3 字符"/>
    <w:aliases w:val="三级标题V 字符"/>
    <w:link w:val="3"/>
    <w:qFormat/>
    <w:rPr>
      <w:b/>
      <w:bCs/>
      <w:sz w:val="32"/>
      <w:szCs w:val="32"/>
    </w:rPr>
  </w:style>
  <w:style w:type="character" w:customStyle="1" w:styleId="40">
    <w:name w:val="标题 4 字符"/>
    <w:aliases w:val="四级标题V 字符"/>
    <w:basedOn w:val="a0"/>
    <w:link w:val="4"/>
    <w:qFormat/>
    <w:rPr>
      <w:rFonts w:ascii="Times New Roman" w:hAnsi="Times New Roman"/>
      <w:b/>
      <w:bCs/>
      <w:kern w:val="2"/>
      <w:sz w:val="21"/>
      <w:szCs w:val="24"/>
    </w:rPr>
  </w:style>
  <w:style w:type="character" w:customStyle="1" w:styleId="51">
    <w:name w:val="标题 5 字符"/>
    <w:basedOn w:val="a0"/>
    <w:link w:val="50"/>
    <w:qFormat/>
    <w:rPr>
      <w:b/>
      <w:bCs/>
      <w:sz w:val="28"/>
      <w:szCs w:val="28"/>
      <w:lang w:eastAsia="en-US"/>
    </w:rPr>
  </w:style>
  <w:style w:type="character" w:customStyle="1" w:styleId="60">
    <w:name w:val="标题 6 字符"/>
    <w:basedOn w:val="a0"/>
    <w:link w:val="6"/>
    <w:uiPriority w:val="9"/>
    <w:qFormat/>
    <w:rPr>
      <w:rFonts w:ascii="宋体" w:hAnsi="宋体" w:cs="宋体"/>
      <w:b/>
      <w:bCs/>
      <w:kern w:val="2"/>
      <w:sz w:val="24"/>
      <w:szCs w:val="24"/>
      <w:lang w:val="zh-CN" w:bidi="zh-CN"/>
    </w:rPr>
  </w:style>
  <w:style w:type="paragraph" w:styleId="TOC7">
    <w:name w:val="toc 7"/>
    <w:basedOn w:val="a"/>
    <w:next w:val="a"/>
    <w:uiPriority w:val="39"/>
    <w:unhideWhenUsed/>
    <w:qFormat/>
    <w:pPr>
      <w:ind w:leftChars="1200" w:left="2520"/>
    </w:pPr>
    <w:rPr>
      <w:rFonts w:ascii="等线" w:eastAsia="等线" w:hAnsi="等线" w:cs="Times New Roman"/>
    </w:rPr>
  </w:style>
  <w:style w:type="paragraph" w:styleId="a3">
    <w:name w:val="Normal Indent"/>
    <w:basedOn w:val="a"/>
    <w:link w:val="a4"/>
    <w:qFormat/>
    <w:pPr>
      <w:ind w:firstLine="420"/>
    </w:pPr>
    <w:rPr>
      <w:rFonts w:ascii="Times New Roman" w:eastAsia="宋体" w:hAnsi="Times New Roman" w:cs="Times New Roman"/>
      <w:szCs w:val="24"/>
    </w:rPr>
  </w:style>
  <w:style w:type="character" w:customStyle="1" w:styleId="a4">
    <w:name w:val="正文缩进 字符"/>
    <w:link w:val="a3"/>
    <w:qFormat/>
    <w:rPr>
      <w:rFonts w:ascii="Times New Roman" w:hAnsi="Times New Roman"/>
      <w:kern w:val="2"/>
      <w:sz w:val="21"/>
      <w:szCs w:val="24"/>
    </w:rPr>
  </w:style>
  <w:style w:type="paragraph" w:styleId="a5">
    <w:name w:val="caption"/>
    <w:basedOn w:val="a"/>
    <w:next w:val="a"/>
    <w:link w:val="a6"/>
    <w:qFormat/>
    <w:pPr>
      <w:adjustRightInd w:val="0"/>
      <w:spacing w:line="360" w:lineRule="auto"/>
      <w:jc w:val="center"/>
    </w:pPr>
    <w:rPr>
      <w:rFonts w:ascii="Calibri" w:eastAsia="宋体" w:hAnsi="Calibri" w:cs="Times New Roman"/>
      <w:szCs w:val="24"/>
    </w:rPr>
  </w:style>
  <w:style w:type="character" w:customStyle="1" w:styleId="a6">
    <w:name w:val="题注 字符"/>
    <w:link w:val="a5"/>
    <w:qFormat/>
    <w:rPr>
      <w:kern w:val="2"/>
      <w:sz w:val="21"/>
      <w:szCs w:val="24"/>
    </w:rPr>
  </w:style>
  <w:style w:type="paragraph" w:styleId="a7">
    <w:name w:val="Document Map"/>
    <w:basedOn w:val="a"/>
    <w:link w:val="a8"/>
    <w:unhideWhenUsed/>
    <w:qFormat/>
    <w:pPr>
      <w:widowControl/>
      <w:jc w:val="left"/>
    </w:pPr>
    <w:rPr>
      <w:rFonts w:ascii="宋体" w:eastAsia="宋体" w:hAnsi="Calibri" w:cs="Times New Roman"/>
      <w:kern w:val="0"/>
      <w:sz w:val="18"/>
      <w:szCs w:val="18"/>
      <w:lang w:eastAsia="en-US"/>
    </w:rPr>
  </w:style>
  <w:style w:type="character" w:customStyle="1" w:styleId="a8">
    <w:name w:val="文档结构图 字符"/>
    <w:link w:val="a7"/>
    <w:qFormat/>
    <w:rPr>
      <w:rFonts w:ascii="宋体" w:eastAsia="宋体"/>
      <w:sz w:val="18"/>
      <w:szCs w:val="18"/>
    </w:rPr>
  </w:style>
  <w:style w:type="paragraph" w:styleId="a9">
    <w:name w:val="toa heading"/>
    <w:basedOn w:val="a"/>
    <w:next w:val="a"/>
    <w:qFormat/>
    <w:pPr>
      <w:spacing w:before="120"/>
    </w:pPr>
    <w:rPr>
      <w:rFonts w:ascii="Arial" w:eastAsia="宋体" w:hAnsi="Arial" w:cs="Arial"/>
      <w:szCs w:val="24"/>
    </w:rPr>
  </w:style>
  <w:style w:type="paragraph" w:styleId="aa">
    <w:name w:val="annotation text"/>
    <w:basedOn w:val="a"/>
    <w:link w:val="ab"/>
    <w:unhideWhenUsed/>
    <w:qFormat/>
    <w:pPr>
      <w:widowControl/>
      <w:jc w:val="left"/>
    </w:pPr>
    <w:rPr>
      <w:rFonts w:ascii="Calibri" w:eastAsia="宋体" w:hAnsi="Calibri" w:cs="Times New Roman"/>
      <w:kern w:val="0"/>
      <w:sz w:val="22"/>
      <w:lang w:eastAsia="en-US"/>
    </w:rPr>
  </w:style>
  <w:style w:type="character" w:customStyle="1" w:styleId="ab">
    <w:name w:val="批注文字 字符"/>
    <w:basedOn w:val="a0"/>
    <w:link w:val="aa"/>
    <w:qFormat/>
  </w:style>
  <w:style w:type="paragraph" w:styleId="31">
    <w:name w:val="Body Text 3"/>
    <w:basedOn w:val="a"/>
    <w:link w:val="32"/>
    <w:qFormat/>
    <w:pPr>
      <w:spacing w:after="120"/>
    </w:pPr>
    <w:rPr>
      <w:rFonts w:ascii="Times New Roman" w:eastAsia="宋体" w:hAnsi="Times New Roman" w:cs="Times New Roman"/>
      <w:sz w:val="16"/>
      <w:szCs w:val="16"/>
    </w:rPr>
  </w:style>
  <w:style w:type="character" w:customStyle="1" w:styleId="32">
    <w:name w:val="正文文本 3 字符"/>
    <w:basedOn w:val="a0"/>
    <w:link w:val="31"/>
    <w:qFormat/>
    <w:rPr>
      <w:rFonts w:ascii="Times New Roman" w:hAnsi="Times New Roman"/>
      <w:kern w:val="2"/>
      <w:sz w:val="16"/>
      <w:szCs w:val="16"/>
    </w:rPr>
  </w:style>
  <w:style w:type="paragraph" w:styleId="ac">
    <w:name w:val="Body Text"/>
    <w:basedOn w:val="a"/>
    <w:link w:val="ad"/>
    <w:qFormat/>
    <w:pPr>
      <w:widowControl/>
      <w:spacing w:before="35"/>
      <w:ind w:left="138"/>
      <w:jc w:val="left"/>
    </w:pPr>
    <w:rPr>
      <w:rFonts w:ascii="宋体" w:eastAsia="宋体" w:hAnsi="宋体" w:cs="Times New Roman"/>
      <w:kern w:val="0"/>
      <w:sz w:val="24"/>
      <w:szCs w:val="24"/>
      <w:lang w:eastAsia="en-US"/>
    </w:rPr>
  </w:style>
  <w:style w:type="character" w:customStyle="1" w:styleId="ad">
    <w:name w:val="正文文本 字符"/>
    <w:link w:val="ac"/>
    <w:qFormat/>
    <w:rPr>
      <w:rFonts w:ascii="宋体" w:hAnsi="宋体"/>
      <w:sz w:val="24"/>
      <w:szCs w:val="24"/>
      <w:lang w:eastAsia="en-US"/>
    </w:rPr>
  </w:style>
  <w:style w:type="paragraph" w:styleId="ae">
    <w:name w:val="Body Text Indent"/>
    <w:basedOn w:val="a"/>
    <w:link w:val="af"/>
    <w:unhideWhenUsed/>
    <w:qFormat/>
    <w:pPr>
      <w:widowControl/>
      <w:spacing w:after="120"/>
      <w:ind w:leftChars="200" w:left="420"/>
      <w:jc w:val="left"/>
    </w:pPr>
    <w:rPr>
      <w:rFonts w:ascii="Calibri" w:eastAsia="宋体" w:hAnsi="Calibri" w:cs="Times New Roman"/>
      <w:kern w:val="0"/>
      <w:sz w:val="22"/>
      <w:lang w:eastAsia="en-US"/>
    </w:rPr>
  </w:style>
  <w:style w:type="character" w:customStyle="1" w:styleId="af">
    <w:name w:val="正文文本缩进 字符"/>
    <w:basedOn w:val="a0"/>
    <w:link w:val="ae"/>
    <w:qFormat/>
  </w:style>
  <w:style w:type="paragraph" w:styleId="TOC5">
    <w:name w:val="toc 5"/>
    <w:basedOn w:val="a"/>
    <w:next w:val="a"/>
    <w:uiPriority w:val="39"/>
    <w:unhideWhenUsed/>
    <w:qFormat/>
    <w:pPr>
      <w:ind w:leftChars="800" w:left="1680"/>
    </w:pPr>
    <w:rPr>
      <w:rFonts w:ascii="等线" w:eastAsia="等线" w:hAnsi="等线" w:cs="Times New Roman"/>
    </w:rPr>
  </w:style>
  <w:style w:type="paragraph" w:styleId="TOC3">
    <w:name w:val="toc 3"/>
    <w:basedOn w:val="a"/>
    <w:next w:val="a"/>
    <w:uiPriority w:val="39"/>
    <w:unhideWhenUsed/>
    <w:qFormat/>
    <w:pPr>
      <w:widowControl/>
      <w:ind w:leftChars="400" w:left="840"/>
      <w:jc w:val="left"/>
    </w:pPr>
    <w:rPr>
      <w:rFonts w:ascii="Calibri" w:eastAsia="宋体" w:hAnsi="Calibri" w:cs="Times New Roman"/>
      <w:kern w:val="0"/>
      <w:sz w:val="22"/>
      <w:lang w:eastAsia="en-US"/>
    </w:rPr>
  </w:style>
  <w:style w:type="paragraph" w:styleId="af0">
    <w:name w:val="Plain Text"/>
    <w:aliases w:val="普通文字 Char Char,普通文字 Char,普通文字 Char Char Char Char Char Char Char Char,普通文字 Char Char Char Char Char Char Char Char Char C,普通文字,普通文字 Char Char Char Char Char Char Char Char Char C Char Char Char Char Char,普通文字 Char Char Char Char Char Char,文字缩进,图表说"/>
    <w:basedOn w:val="a"/>
    <w:next w:val="a"/>
    <w:link w:val="af1"/>
    <w:unhideWhenUsed/>
    <w:qFormat/>
    <w:rPr>
      <w:rFonts w:ascii="宋体" w:eastAsia="宋体" w:hAnsi="Courier New" w:cs="Times New Roman"/>
      <w:sz w:val="24"/>
      <w:szCs w:val="20"/>
    </w:rPr>
  </w:style>
  <w:style w:type="character" w:customStyle="1" w:styleId="af1">
    <w:name w:val="纯文本 字符"/>
    <w:aliases w:val="普通文字 Char Char 字符,普通文字 Char 字符,普通文字 Char Char Char Char Char Char Char Char 字符,普通文字 Char Char Char Char Char Char Char Char Char C 字符,普通文字 字符,普通文字 Char Char Char Char Char Char Char Char Char C Char Char Char Char Char 字符,文字缩进 字符,图表说 字符"/>
    <w:basedOn w:val="a0"/>
    <w:link w:val="af0"/>
    <w:qFormat/>
    <w:rPr>
      <w:rFonts w:ascii="宋体" w:hAnsi="Courier New"/>
      <w:kern w:val="2"/>
      <w:sz w:val="24"/>
    </w:rPr>
  </w:style>
  <w:style w:type="paragraph" w:styleId="TOC8">
    <w:name w:val="toc 8"/>
    <w:basedOn w:val="a"/>
    <w:next w:val="a"/>
    <w:uiPriority w:val="39"/>
    <w:unhideWhenUsed/>
    <w:qFormat/>
    <w:pPr>
      <w:ind w:leftChars="1400" w:left="2940"/>
    </w:pPr>
    <w:rPr>
      <w:rFonts w:ascii="等线" w:eastAsia="等线" w:hAnsi="等线" w:cs="Times New Roman"/>
    </w:rPr>
  </w:style>
  <w:style w:type="paragraph" w:styleId="21">
    <w:name w:val="Body Text Indent 2"/>
    <w:basedOn w:val="a"/>
    <w:link w:val="22"/>
    <w:qFormat/>
    <w:pPr>
      <w:spacing w:line="300" w:lineRule="auto"/>
      <w:ind w:firstLine="480"/>
    </w:pPr>
    <w:rPr>
      <w:rFonts w:ascii="仿宋体" w:eastAsia="仿宋体" w:hAnsi="Times New Roman" w:cs="Times New Roman"/>
      <w:b/>
      <w:bCs/>
      <w:sz w:val="24"/>
      <w:szCs w:val="24"/>
    </w:rPr>
  </w:style>
  <w:style w:type="character" w:customStyle="1" w:styleId="22">
    <w:name w:val="正文文本缩进 2 字符"/>
    <w:basedOn w:val="a0"/>
    <w:link w:val="21"/>
    <w:qFormat/>
    <w:rPr>
      <w:rFonts w:ascii="仿宋体" w:eastAsia="仿宋体" w:hAnsi="Times New Roman"/>
      <w:b/>
      <w:bCs/>
      <w:kern w:val="2"/>
      <w:sz w:val="24"/>
      <w:szCs w:val="24"/>
    </w:rPr>
  </w:style>
  <w:style w:type="paragraph" w:styleId="af2">
    <w:name w:val="Balloon Text"/>
    <w:basedOn w:val="a"/>
    <w:link w:val="af3"/>
    <w:unhideWhenUsed/>
    <w:qFormat/>
    <w:pPr>
      <w:widowControl/>
      <w:jc w:val="left"/>
    </w:pPr>
    <w:rPr>
      <w:rFonts w:ascii="Calibri" w:eastAsia="宋体" w:hAnsi="Calibri" w:cs="Times New Roman"/>
      <w:kern w:val="0"/>
      <w:sz w:val="18"/>
      <w:szCs w:val="18"/>
      <w:lang w:eastAsia="en-US"/>
    </w:rPr>
  </w:style>
  <w:style w:type="character" w:customStyle="1" w:styleId="af3">
    <w:name w:val="批注框文本 字符"/>
    <w:link w:val="af2"/>
    <w:qFormat/>
    <w:rPr>
      <w:sz w:val="18"/>
      <w:szCs w:val="18"/>
    </w:rPr>
  </w:style>
  <w:style w:type="paragraph" w:styleId="af4">
    <w:name w:val="footer"/>
    <w:basedOn w:val="a"/>
    <w:link w:val="af5"/>
    <w:unhideWhenUsed/>
    <w:qFormat/>
    <w:pPr>
      <w:widowControl/>
      <w:tabs>
        <w:tab w:val="center" w:pos="4153"/>
        <w:tab w:val="right" w:pos="8306"/>
      </w:tabs>
      <w:snapToGrid w:val="0"/>
      <w:jc w:val="left"/>
    </w:pPr>
    <w:rPr>
      <w:rFonts w:ascii="Calibri" w:eastAsia="宋体" w:hAnsi="Calibri" w:cs="Times New Roman"/>
      <w:kern w:val="0"/>
      <w:sz w:val="18"/>
      <w:szCs w:val="18"/>
      <w:lang w:eastAsia="en-US"/>
    </w:rPr>
  </w:style>
  <w:style w:type="character" w:customStyle="1" w:styleId="af5">
    <w:name w:val="页脚 字符"/>
    <w:link w:val="af4"/>
    <w:qFormat/>
    <w:rPr>
      <w:sz w:val="18"/>
      <w:szCs w:val="18"/>
    </w:rPr>
  </w:style>
  <w:style w:type="paragraph" w:styleId="af6">
    <w:name w:val="header"/>
    <w:basedOn w:val="a"/>
    <w:link w:val="af7"/>
    <w:unhideWhenUsed/>
    <w:qFormat/>
    <w:pPr>
      <w:widowControl/>
      <w:pBdr>
        <w:bottom w:val="single" w:sz="6" w:space="1" w:color="auto"/>
      </w:pBdr>
      <w:tabs>
        <w:tab w:val="center" w:pos="4153"/>
        <w:tab w:val="right" w:pos="8306"/>
      </w:tabs>
      <w:snapToGrid w:val="0"/>
      <w:jc w:val="center"/>
    </w:pPr>
    <w:rPr>
      <w:rFonts w:ascii="Calibri" w:eastAsia="宋体" w:hAnsi="Calibri" w:cs="Times New Roman"/>
      <w:kern w:val="0"/>
      <w:sz w:val="18"/>
      <w:szCs w:val="18"/>
      <w:lang w:eastAsia="en-US"/>
    </w:rPr>
  </w:style>
  <w:style w:type="character" w:customStyle="1" w:styleId="af7">
    <w:name w:val="页眉 字符"/>
    <w:link w:val="af6"/>
    <w:qFormat/>
    <w:rPr>
      <w:sz w:val="18"/>
      <w:szCs w:val="18"/>
    </w:rPr>
  </w:style>
  <w:style w:type="paragraph" w:styleId="TOC1">
    <w:name w:val="toc 1"/>
    <w:basedOn w:val="a"/>
    <w:next w:val="a"/>
    <w:uiPriority w:val="39"/>
    <w:unhideWhenUsed/>
    <w:qFormat/>
    <w:pPr>
      <w:widowControl/>
      <w:jc w:val="left"/>
    </w:pPr>
    <w:rPr>
      <w:rFonts w:ascii="Calibri" w:eastAsia="宋体" w:hAnsi="Calibri" w:cs="Times New Roman"/>
      <w:kern w:val="0"/>
      <w:sz w:val="22"/>
      <w:lang w:eastAsia="en-US"/>
    </w:rPr>
  </w:style>
  <w:style w:type="paragraph" w:styleId="TOC4">
    <w:name w:val="toc 4"/>
    <w:basedOn w:val="a"/>
    <w:next w:val="a"/>
    <w:uiPriority w:val="39"/>
    <w:unhideWhenUsed/>
    <w:qFormat/>
    <w:pPr>
      <w:ind w:leftChars="600" w:left="1260"/>
    </w:pPr>
    <w:rPr>
      <w:rFonts w:ascii="等线" w:eastAsia="等线" w:hAnsi="等线" w:cs="Times New Roman"/>
    </w:rPr>
  </w:style>
  <w:style w:type="paragraph" w:styleId="af8">
    <w:name w:val="List"/>
    <w:basedOn w:val="a"/>
    <w:qFormat/>
    <w:pPr>
      <w:ind w:left="200" w:hangingChars="200" w:hanging="200"/>
    </w:pPr>
    <w:rPr>
      <w:rFonts w:ascii="Times New Roman" w:eastAsia="宋体" w:hAnsi="Times New Roman" w:cs="Times New Roman"/>
      <w:szCs w:val="24"/>
    </w:rPr>
  </w:style>
  <w:style w:type="paragraph" w:styleId="af9">
    <w:name w:val="footnote text"/>
    <w:basedOn w:val="a"/>
    <w:link w:val="afa"/>
    <w:semiHidden/>
    <w:qFormat/>
    <w:pPr>
      <w:snapToGrid w:val="0"/>
      <w:jc w:val="left"/>
    </w:pPr>
    <w:rPr>
      <w:rFonts w:ascii="Times New Roman" w:eastAsia="宋体" w:hAnsi="Times New Roman" w:cs="Times New Roman"/>
      <w:sz w:val="18"/>
      <w:szCs w:val="18"/>
    </w:rPr>
  </w:style>
  <w:style w:type="character" w:customStyle="1" w:styleId="afa">
    <w:name w:val="脚注文本 字符"/>
    <w:basedOn w:val="a0"/>
    <w:link w:val="af9"/>
    <w:semiHidden/>
    <w:qFormat/>
    <w:rPr>
      <w:rFonts w:ascii="Times New Roman" w:hAnsi="Times New Roman"/>
      <w:kern w:val="2"/>
      <w:sz w:val="18"/>
      <w:szCs w:val="18"/>
    </w:rPr>
  </w:style>
  <w:style w:type="paragraph" w:styleId="TOC6">
    <w:name w:val="toc 6"/>
    <w:basedOn w:val="a"/>
    <w:next w:val="a"/>
    <w:uiPriority w:val="39"/>
    <w:unhideWhenUsed/>
    <w:qFormat/>
    <w:pPr>
      <w:ind w:leftChars="1000" w:left="2100"/>
    </w:pPr>
    <w:rPr>
      <w:rFonts w:ascii="等线" w:eastAsia="等线" w:hAnsi="等线" w:cs="Times New Roman"/>
    </w:rPr>
  </w:style>
  <w:style w:type="paragraph" w:styleId="33">
    <w:name w:val="Body Text Indent 3"/>
    <w:basedOn w:val="a"/>
    <w:link w:val="34"/>
    <w:qFormat/>
    <w:pPr>
      <w:spacing w:after="120"/>
      <w:ind w:leftChars="200" w:left="420"/>
    </w:pPr>
    <w:rPr>
      <w:rFonts w:ascii="Times New Roman" w:eastAsia="宋体" w:hAnsi="Times New Roman" w:cs="Times New Roman"/>
      <w:sz w:val="16"/>
      <w:szCs w:val="16"/>
    </w:rPr>
  </w:style>
  <w:style w:type="character" w:customStyle="1" w:styleId="34">
    <w:name w:val="正文文本缩进 3 字符"/>
    <w:basedOn w:val="a0"/>
    <w:link w:val="33"/>
    <w:qFormat/>
    <w:rPr>
      <w:rFonts w:ascii="Times New Roman" w:hAnsi="Times New Roman"/>
      <w:kern w:val="2"/>
      <w:sz w:val="16"/>
      <w:szCs w:val="16"/>
    </w:rPr>
  </w:style>
  <w:style w:type="paragraph" w:styleId="TOC2">
    <w:name w:val="toc 2"/>
    <w:basedOn w:val="a"/>
    <w:next w:val="a"/>
    <w:uiPriority w:val="39"/>
    <w:unhideWhenUsed/>
    <w:qFormat/>
    <w:pPr>
      <w:widowControl/>
      <w:ind w:leftChars="200" w:left="420"/>
      <w:jc w:val="left"/>
    </w:pPr>
    <w:rPr>
      <w:rFonts w:ascii="Calibri" w:eastAsia="宋体" w:hAnsi="Calibri" w:cs="Times New Roman"/>
      <w:kern w:val="0"/>
      <w:sz w:val="22"/>
      <w:lang w:eastAsia="en-US"/>
    </w:rPr>
  </w:style>
  <w:style w:type="paragraph" w:styleId="TOC9">
    <w:name w:val="toc 9"/>
    <w:basedOn w:val="a"/>
    <w:next w:val="a"/>
    <w:uiPriority w:val="39"/>
    <w:unhideWhenUsed/>
    <w:qFormat/>
    <w:pPr>
      <w:ind w:leftChars="1600" w:left="3360"/>
    </w:pPr>
    <w:rPr>
      <w:rFonts w:ascii="等线" w:eastAsia="等线" w:hAnsi="等线" w:cs="Times New Roman"/>
    </w:rPr>
  </w:style>
  <w:style w:type="paragraph" w:styleId="23">
    <w:name w:val="Body Text 2"/>
    <w:basedOn w:val="a"/>
    <w:link w:val="210"/>
    <w:qFormat/>
    <w:pPr>
      <w:spacing w:after="120" w:line="480" w:lineRule="auto"/>
    </w:pPr>
    <w:rPr>
      <w:rFonts w:ascii="Times New Roman" w:eastAsia="宋体" w:hAnsi="Times New Roman" w:cs="Times New Roman"/>
      <w:szCs w:val="24"/>
    </w:rPr>
  </w:style>
  <w:style w:type="character" w:customStyle="1" w:styleId="210">
    <w:name w:val="正文文本 2 字符1"/>
    <w:link w:val="23"/>
    <w:qFormat/>
    <w:rPr>
      <w:rFonts w:ascii="Times New Roman" w:hAnsi="Times New Roman"/>
      <w:kern w:val="2"/>
      <w:sz w:val="21"/>
      <w:szCs w:val="24"/>
    </w:rPr>
  </w:style>
  <w:style w:type="paragraph" w:styleId="afb">
    <w:name w:val="Normal (Web)"/>
    <w:basedOn w:val="a"/>
    <w:link w:val="afc"/>
    <w:qFormat/>
    <w:pPr>
      <w:widowControl/>
      <w:spacing w:before="100" w:beforeAutospacing="1" w:after="100" w:afterAutospacing="1"/>
      <w:jc w:val="left"/>
    </w:pPr>
    <w:rPr>
      <w:rFonts w:ascii="宋体" w:eastAsia="宋体" w:hAnsi="宋体" w:cs="Times New Roman"/>
      <w:kern w:val="0"/>
      <w:sz w:val="24"/>
      <w:szCs w:val="24"/>
    </w:rPr>
  </w:style>
  <w:style w:type="character" w:customStyle="1" w:styleId="afc">
    <w:name w:val="普通(网站) 字符"/>
    <w:link w:val="afb"/>
    <w:qFormat/>
    <w:rPr>
      <w:rFonts w:ascii="宋体" w:hAnsi="宋体"/>
      <w:sz w:val="24"/>
      <w:szCs w:val="24"/>
    </w:rPr>
  </w:style>
  <w:style w:type="paragraph" w:styleId="11">
    <w:name w:val="index 1"/>
    <w:basedOn w:val="a"/>
    <w:next w:val="a"/>
    <w:qFormat/>
    <w:pPr>
      <w:jc w:val="center"/>
    </w:pPr>
    <w:rPr>
      <w:rFonts w:ascii="Times New Roman" w:eastAsia="宋体" w:hAnsi="Times New Roman" w:cs="Times New Roman"/>
      <w:szCs w:val="24"/>
    </w:rPr>
  </w:style>
  <w:style w:type="paragraph" w:styleId="afd">
    <w:name w:val="annotation subject"/>
    <w:basedOn w:val="aa"/>
    <w:next w:val="aa"/>
    <w:link w:val="afe"/>
    <w:unhideWhenUsed/>
    <w:qFormat/>
    <w:rPr>
      <w:b/>
      <w:bCs/>
    </w:rPr>
  </w:style>
  <w:style w:type="character" w:customStyle="1" w:styleId="afe">
    <w:name w:val="批注主题 字符"/>
    <w:link w:val="afd"/>
    <w:qFormat/>
    <w:rPr>
      <w:b/>
      <w:bCs/>
    </w:rPr>
  </w:style>
  <w:style w:type="paragraph" w:styleId="24">
    <w:name w:val="Body Text First Indent 2"/>
    <w:basedOn w:val="ae"/>
    <w:link w:val="25"/>
    <w:unhideWhenUsed/>
    <w:qFormat/>
    <w:pPr>
      <w:ind w:firstLineChars="200" w:firstLine="420"/>
    </w:pPr>
  </w:style>
  <w:style w:type="character" w:customStyle="1" w:styleId="25">
    <w:name w:val="正文文本首行缩进 2 字符"/>
    <w:basedOn w:val="af"/>
    <w:link w:val="24"/>
    <w:qFormat/>
    <w:rPr>
      <w:sz w:val="22"/>
      <w:szCs w:val="22"/>
      <w:lang w:eastAsia="en-US"/>
    </w:rPr>
  </w:style>
  <w:style w:type="table" w:styleId="aff">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0">
    <w:name w:val="Table Theme"/>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Strong"/>
    <w:basedOn w:val="a0"/>
    <w:qFormat/>
    <w:rPr>
      <w:b/>
    </w:rPr>
  </w:style>
  <w:style w:type="character" w:styleId="aff2">
    <w:name w:val="page number"/>
    <w:basedOn w:val="a0"/>
    <w:qFormat/>
  </w:style>
  <w:style w:type="character" w:styleId="aff3">
    <w:name w:val="FollowedHyperlink"/>
    <w:qFormat/>
    <w:rPr>
      <w:color w:val="800080"/>
      <w:u w:val="single"/>
    </w:rPr>
  </w:style>
  <w:style w:type="character" w:styleId="aff4">
    <w:name w:val="Emphasis"/>
    <w:basedOn w:val="a0"/>
    <w:qFormat/>
    <w:rPr>
      <w:i/>
    </w:rPr>
  </w:style>
  <w:style w:type="character" w:styleId="aff5">
    <w:name w:val="Hyperlink"/>
    <w:uiPriority w:val="99"/>
    <w:unhideWhenUsed/>
    <w:qFormat/>
    <w:rPr>
      <w:color w:val="0000FF"/>
      <w:u w:val="single"/>
    </w:rPr>
  </w:style>
  <w:style w:type="character" w:styleId="aff6">
    <w:name w:val="annotation reference"/>
    <w:unhideWhenUsed/>
    <w:qFormat/>
    <w:rPr>
      <w:sz w:val="21"/>
      <w:szCs w:val="21"/>
    </w:rPr>
  </w:style>
  <w:style w:type="table" w:customStyle="1" w:styleId="TableNormal">
    <w:name w:val="Table Normal"/>
    <w:unhideWhenUsed/>
    <w:qFormat/>
    <w:rPr>
      <w:sz w:val="22"/>
      <w:szCs w:val="22"/>
      <w:lang w:eastAsia="en-US"/>
    </w:rPr>
    <w:tblPr>
      <w:tblCellMar>
        <w:top w:w="0" w:type="dxa"/>
        <w:left w:w="0" w:type="dxa"/>
        <w:bottom w:w="0" w:type="dxa"/>
        <w:right w:w="0" w:type="dxa"/>
      </w:tblCellMar>
    </w:tblPr>
  </w:style>
  <w:style w:type="paragraph" w:customStyle="1" w:styleId="TOC11">
    <w:name w:val="TOC 11"/>
    <w:basedOn w:val="a"/>
    <w:uiPriority w:val="39"/>
    <w:qFormat/>
    <w:pPr>
      <w:widowControl/>
      <w:spacing w:before="102"/>
      <w:jc w:val="left"/>
    </w:pPr>
    <w:rPr>
      <w:rFonts w:ascii="宋体" w:eastAsia="宋体" w:hAnsi="宋体" w:cs="Times New Roman"/>
      <w:b/>
      <w:bCs/>
      <w:kern w:val="0"/>
      <w:sz w:val="20"/>
      <w:szCs w:val="20"/>
      <w:lang w:eastAsia="en-US"/>
    </w:rPr>
  </w:style>
  <w:style w:type="paragraph" w:customStyle="1" w:styleId="TOC21">
    <w:name w:val="TOC 21"/>
    <w:basedOn w:val="a"/>
    <w:uiPriority w:val="39"/>
    <w:qFormat/>
    <w:pPr>
      <w:widowControl/>
      <w:ind w:left="387"/>
      <w:jc w:val="left"/>
    </w:pPr>
    <w:rPr>
      <w:rFonts w:ascii="宋体" w:eastAsia="宋体" w:hAnsi="宋体" w:cs="Times New Roman"/>
      <w:kern w:val="0"/>
      <w:sz w:val="20"/>
      <w:szCs w:val="20"/>
      <w:lang w:eastAsia="en-US"/>
    </w:rPr>
  </w:style>
  <w:style w:type="paragraph" w:customStyle="1" w:styleId="110">
    <w:name w:val="标题 11"/>
    <w:basedOn w:val="a"/>
    <w:uiPriority w:val="1"/>
    <w:qFormat/>
    <w:pPr>
      <w:widowControl/>
      <w:jc w:val="left"/>
      <w:outlineLvl w:val="1"/>
    </w:pPr>
    <w:rPr>
      <w:rFonts w:ascii="Times New Roman" w:eastAsia="Times New Roman" w:hAnsi="Times New Roman" w:cs="Times New Roman"/>
      <w:kern w:val="0"/>
      <w:sz w:val="29"/>
      <w:szCs w:val="29"/>
      <w:lang w:eastAsia="en-US"/>
    </w:rPr>
  </w:style>
  <w:style w:type="paragraph" w:customStyle="1" w:styleId="211">
    <w:name w:val="标题 21"/>
    <w:basedOn w:val="a"/>
    <w:uiPriority w:val="1"/>
    <w:qFormat/>
    <w:pPr>
      <w:widowControl/>
      <w:spacing w:before="13"/>
      <w:ind w:left="138"/>
      <w:jc w:val="left"/>
      <w:outlineLvl w:val="2"/>
    </w:pPr>
    <w:rPr>
      <w:rFonts w:ascii="黑体" w:eastAsia="黑体" w:hAnsi="黑体" w:cs="Times New Roman"/>
      <w:kern w:val="0"/>
      <w:sz w:val="28"/>
      <w:szCs w:val="28"/>
      <w:lang w:eastAsia="en-US"/>
    </w:rPr>
  </w:style>
  <w:style w:type="paragraph" w:customStyle="1" w:styleId="310">
    <w:name w:val="标题 31"/>
    <w:basedOn w:val="a"/>
    <w:uiPriority w:val="1"/>
    <w:qFormat/>
    <w:pPr>
      <w:widowControl/>
      <w:spacing w:before="134"/>
      <w:ind w:left="620"/>
      <w:jc w:val="left"/>
      <w:outlineLvl w:val="3"/>
    </w:pPr>
    <w:rPr>
      <w:rFonts w:ascii="宋体" w:eastAsia="宋体" w:hAnsi="宋体" w:cs="Times New Roman"/>
      <w:b/>
      <w:bCs/>
      <w:kern w:val="0"/>
      <w:sz w:val="24"/>
      <w:szCs w:val="24"/>
      <w:lang w:eastAsia="en-US"/>
    </w:rPr>
  </w:style>
  <w:style w:type="paragraph" w:styleId="aff7">
    <w:name w:val="List Paragraph"/>
    <w:basedOn w:val="a"/>
    <w:uiPriority w:val="34"/>
    <w:qFormat/>
    <w:pPr>
      <w:widowControl/>
      <w:jc w:val="left"/>
    </w:pPr>
    <w:rPr>
      <w:rFonts w:ascii="Calibri" w:eastAsia="宋体" w:hAnsi="Calibri" w:cs="Times New Roman"/>
      <w:kern w:val="0"/>
      <w:sz w:val="22"/>
      <w:lang w:eastAsia="en-US"/>
    </w:rPr>
  </w:style>
  <w:style w:type="paragraph" w:customStyle="1" w:styleId="TableParagraph">
    <w:name w:val="Table Paragraph"/>
    <w:basedOn w:val="a"/>
    <w:uiPriority w:val="1"/>
    <w:qFormat/>
    <w:pPr>
      <w:widowControl/>
      <w:jc w:val="left"/>
    </w:pPr>
    <w:rPr>
      <w:rFonts w:ascii="Calibri" w:eastAsia="宋体" w:hAnsi="Calibri" w:cs="Times New Roman"/>
      <w:kern w:val="0"/>
      <w:sz w:val="22"/>
      <w:lang w:eastAsia="en-US"/>
    </w:rPr>
  </w:style>
  <w:style w:type="paragraph" w:customStyle="1" w:styleId="TOC31">
    <w:name w:val="TOC 31"/>
    <w:basedOn w:val="a"/>
    <w:uiPriority w:val="39"/>
    <w:qFormat/>
    <w:pPr>
      <w:widowControl/>
      <w:spacing w:before="147"/>
      <w:ind w:left="638"/>
      <w:jc w:val="left"/>
    </w:pPr>
    <w:rPr>
      <w:rFonts w:ascii="宋体" w:eastAsia="宋体" w:hAnsi="宋体" w:cs="Times New Roman"/>
      <w:b/>
      <w:bCs/>
      <w:kern w:val="0"/>
      <w:sz w:val="24"/>
      <w:szCs w:val="24"/>
      <w:lang w:eastAsia="en-US"/>
    </w:rPr>
  </w:style>
  <w:style w:type="table" w:customStyle="1" w:styleId="TableNormal1">
    <w:name w:val="Table Normal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
    <w:name w:val="Table Normal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3">
    <w:name w:val="Table Normal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4">
    <w:name w:val="Table Normal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5">
    <w:name w:val="Table Normal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6">
    <w:name w:val="Table Normal6"/>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TOC10">
    <w:name w:val="TOC 标题1"/>
    <w:basedOn w:val="1"/>
    <w:next w:val="a"/>
    <w:uiPriority w:val="39"/>
    <w:unhideWhenUsed/>
    <w:qFormat/>
    <w:pPr>
      <w:spacing w:before="480" w:after="0" w:line="276" w:lineRule="auto"/>
      <w:outlineLvl w:val="9"/>
    </w:pPr>
    <w:rPr>
      <w:rFonts w:ascii="Cambria" w:hAnsi="Cambria"/>
      <w:color w:val="365F91"/>
      <w:kern w:val="0"/>
      <w:sz w:val="28"/>
      <w:szCs w:val="28"/>
      <w:lang w:eastAsia="zh-CN"/>
    </w:rPr>
  </w:style>
  <w:style w:type="table" w:customStyle="1" w:styleId="TableNormal7">
    <w:name w:val="Table Normal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9">
    <w:name w:val="Table Normal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0">
    <w:name w:val="Table Normal1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1">
    <w:name w:val="Table Normal1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2">
    <w:name w:val="Table Normal1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3">
    <w:name w:val="Table Normal1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4">
    <w:name w:val="Table Normal1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5">
    <w:name w:val="Table Normal1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6">
    <w:name w:val="Table Normal16"/>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7">
    <w:name w:val="Table Normal1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8">
    <w:name w:val="Table Normal1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9">
    <w:name w:val="Table Normal1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0">
    <w:name w:val="Table Normal2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1">
    <w:name w:val="Table Normal2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2">
    <w:name w:val="Table Normal2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3">
    <w:name w:val="Table Normal23"/>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0">
    <w:name w:val="0正文"/>
    <w:basedOn w:val="a"/>
    <w:link w:val="0Char"/>
    <w:qFormat/>
    <w:pPr>
      <w:spacing w:line="360" w:lineRule="auto"/>
      <w:ind w:firstLineChars="200" w:firstLine="480"/>
    </w:pPr>
    <w:rPr>
      <w:rFonts w:ascii="Times New Roman" w:eastAsia="宋体" w:hAnsi="Times New Roman" w:cs="Times New Roman"/>
      <w:sz w:val="24"/>
      <w:szCs w:val="24"/>
    </w:rPr>
  </w:style>
  <w:style w:type="character" w:customStyle="1" w:styleId="0Char">
    <w:name w:val="0正文 Char"/>
    <w:link w:val="0"/>
    <w:qFormat/>
    <w:rPr>
      <w:rFonts w:ascii="Times New Roman" w:hAnsi="Times New Roman"/>
      <w:kern w:val="2"/>
      <w:sz w:val="24"/>
      <w:szCs w:val="24"/>
    </w:rPr>
  </w:style>
  <w:style w:type="paragraph" w:customStyle="1" w:styleId="00">
    <w:name w:val="0表/图标题"/>
    <w:basedOn w:val="0"/>
    <w:link w:val="0Char0"/>
    <w:qFormat/>
    <w:pPr>
      <w:spacing w:line="240" w:lineRule="auto"/>
      <w:ind w:firstLineChars="0" w:firstLine="0"/>
      <w:jc w:val="center"/>
    </w:pPr>
    <w:rPr>
      <w:b/>
      <w:sz w:val="21"/>
    </w:rPr>
  </w:style>
  <w:style w:type="character" w:customStyle="1" w:styleId="0Char0">
    <w:name w:val="0表/图标题 Char"/>
    <w:link w:val="00"/>
    <w:qFormat/>
    <w:rPr>
      <w:rFonts w:ascii="Times New Roman" w:hAnsi="Times New Roman"/>
      <w:b/>
      <w:kern w:val="2"/>
      <w:sz w:val="21"/>
      <w:szCs w:val="24"/>
    </w:rPr>
  </w:style>
  <w:style w:type="paragraph" w:customStyle="1" w:styleId="01">
    <w:name w:val="0 表格"/>
    <w:basedOn w:val="0"/>
    <w:link w:val="0Char1"/>
    <w:qFormat/>
    <w:pPr>
      <w:spacing w:line="240" w:lineRule="auto"/>
      <w:ind w:firstLineChars="0" w:firstLine="0"/>
      <w:jc w:val="center"/>
    </w:pPr>
    <w:rPr>
      <w:sz w:val="21"/>
      <w:szCs w:val="21"/>
    </w:rPr>
  </w:style>
  <w:style w:type="character" w:customStyle="1" w:styleId="0Char1">
    <w:name w:val="0 表格 Char"/>
    <w:link w:val="01"/>
    <w:qFormat/>
    <w:rPr>
      <w:rFonts w:ascii="Times New Roman" w:hAnsi="Times New Roman"/>
      <w:kern w:val="2"/>
      <w:sz w:val="21"/>
      <w:szCs w:val="21"/>
    </w:rPr>
  </w:style>
  <w:style w:type="character" w:customStyle="1" w:styleId="12">
    <w:name w:val="未处理的提及1"/>
    <w:uiPriority w:val="99"/>
    <w:semiHidden/>
    <w:unhideWhenUsed/>
    <w:qFormat/>
    <w:rPr>
      <w:color w:val="605E5C"/>
      <w:shd w:val="clear" w:color="auto" w:fill="E1DFDD"/>
    </w:rPr>
  </w:style>
  <w:style w:type="paragraph" w:customStyle="1" w:styleId="41">
    <w:name w:val="4"/>
    <w:basedOn w:val="a"/>
    <w:qFormat/>
    <w:rPr>
      <w:rFonts w:ascii="Times New Roman" w:eastAsia="宋体" w:hAnsi="Times New Roman" w:cs="Times New Roman"/>
      <w:szCs w:val="20"/>
    </w:rPr>
  </w:style>
  <w:style w:type="paragraph" w:customStyle="1" w:styleId="aff8">
    <w:name w:val="小表文居中"/>
    <w:basedOn w:val="a"/>
    <w:qFormat/>
    <w:pPr>
      <w:spacing w:before="20"/>
      <w:jc w:val="center"/>
    </w:pPr>
    <w:rPr>
      <w:rFonts w:ascii="Times New Roman" w:eastAsia="宋体" w:hAnsi="Times New Roman" w:cs="Times New Roman"/>
      <w:sz w:val="18"/>
      <w:szCs w:val="24"/>
    </w:rPr>
  </w:style>
  <w:style w:type="character" w:customStyle="1" w:styleId="Char">
    <w:name w:val="报告书正文 Char"/>
    <w:basedOn w:val="a0"/>
    <w:link w:val="aff9"/>
    <w:qFormat/>
    <w:rPr>
      <w:kern w:val="2"/>
      <w:sz w:val="24"/>
    </w:rPr>
  </w:style>
  <w:style w:type="paragraph" w:customStyle="1" w:styleId="aff9">
    <w:name w:val="报告书正文"/>
    <w:basedOn w:val="a"/>
    <w:link w:val="Char"/>
    <w:qFormat/>
    <w:pPr>
      <w:spacing w:line="300" w:lineRule="auto"/>
      <w:ind w:firstLineChars="200" w:firstLine="200"/>
    </w:pPr>
    <w:rPr>
      <w:rFonts w:ascii="Calibri" w:eastAsia="宋体" w:hAnsi="Calibri" w:cs="Times New Roman"/>
      <w:sz w:val="24"/>
      <w:szCs w:val="20"/>
    </w:rPr>
  </w:style>
  <w:style w:type="paragraph" w:customStyle="1" w:styleId="26">
    <w:name w:val="样式2"/>
    <w:basedOn w:val="a"/>
    <w:link w:val="2Char"/>
    <w:qFormat/>
    <w:pPr>
      <w:tabs>
        <w:tab w:val="left" w:pos="1935"/>
      </w:tabs>
      <w:jc w:val="left"/>
    </w:pPr>
    <w:rPr>
      <w:rFonts w:ascii="Times New Roman" w:eastAsia="宋体" w:hAnsi="Times New Roman" w:cs="Times New Roman"/>
      <w:color w:val="000000"/>
      <w:sz w:val="28"/>
      <w:szCs w:val="28"/>
      <w:lang w:val="zh-CN"/>
    </w:rPr>
  </w:style>
  <w:style w:type="paragraph" w:customStyle="1" w:styleId="42">
    <w:name w:val="样式4"/>
    <w:basedOn w:val="26"/>
    <w:link w:val="4Char"/>
    <w:qFormat/>
    <w:pPr>
      <w:tabs>
        <w:tab w:val="left" w:pos="567"/>
      </w:tabs>
      <w:ind w:firstLineChars="200" w:firstLine="480"/>
      <w:jc w:val="both"/>
    </w:pPr>
    <w:rPr>
      <w:bCs/>
      <w:color w:val="auto"/>
      <w:sz w:val="24"/>
      <w:szCs w:val="24"/>
    </w:rPr>
  </w:style>
  <w:style w:type="paragraph" w:customStyle="1" w:styleId="Default">
    <w:name w:val="Default"/>
    <w:next w:val="220"/>
    <w:qFormat/>
    <w:pPr>
      <w:widowControl w:val="0"/>
      <w:autoSpaceDE w:val="0"/>
      <w:autoSpaceDN w:val="0"/>
      <w:adjustRightInd w:val="0"/>
    </w:pPr>
    <w:rPr>
      <w:rFonts w:ascii="仿宋_GB2312" w:eastAsia="仿宋_GB2312" w:cs="仿宋_GB2312"/>
      <w:color w:val="000000"/>
      <w:sz w:val="24"/>
      <w:szCs w:val="24"/>
    </w:rPr>
  </w:style>
  <w:style w:type="paragraph" w:customStyle="1" w:styleId="220">
    <w:name w:val="样式 样式 首行缩进:  2 字符 + 首行缩进:  2 字符"/>
    <w:basedOn w:val="a"/>
    <w:next w:val="TOC1"/>
    <w:qFormat/>
    <w:pPr>
      <w:snapToGrid w:val="0"/>
      <w:spacing w:line="360" w:lineRule="auto"/>
      <w:ind w:firstLineChars="200" w:firstLine="560"/>
    </w:pPr>
    <w:rPr>
      <w:rFonts w:ascii="Times New Roman" w:eastAsia="宋体" w:hAnsi="Times New Roman" w:cs="Times New Roman"/>
      <w:sz w:val="28"/>
      <w:szCs w:val="24"/>
    </w:rPr>
  </w:style>
  <w:style w:type="paragraph" w:customStyle="1" w:styleId="ma">
    <w:name w:val="表ma"/>
    <w:basedOn w:val="a"/>
    <w:qFormat/>
    <w:pPr>
      <w:widowControl/>
    </w:pPr>
    <w:rPr>
      <w:rFonts w:ascii="Times New Roman" w:eastAsia="宋体" w:hAnsi="Times New Roman" w:cs="Times New Roman"/>
      <w:kern w:val="0"/>
      <w:sz w:val="24"/>
      <w:szCs w:val="20"/>
    </w:rPr>
  </w:style>
  <w:style w:type="paragraph" w:customStyle="1" w:styleId="affa">
    <w:name w:val="小表文"/>
    <w:basedOn w:val="a"/>
    <w:qFormat/>
    <w:pPr>
      <w:spacing w:before="20"/>
    </w:pPr>
    <w:rPr>
      <w:rFonts w:ascii="Times New Roman" w:eastAsia="宋体" w:hAnsi="Times New Roman" w:cs="Times New Roman"/>
      <w:sz w:val="18"/>
      <w:szCs w:val="24"/>
    </w:rPr>
  </w:style>
  <w:style w:type="paragraph" w:customStyle="1" w:styleId="affb">
    <w:name w:val="最新表格"/>
    <w:basedOn w:val="a"/>
    <w:qFormat/>
    <w:pPr>
      <w:snapToGrid w:val="0"/>
      <w:jc w:val="center"/>
    </w:pPr>
    <w:rPr>
      <w:rFonts w:ascii="Times New Roman" w:eastAsia="宋体" w:hAnsi="Times New Roman" w:cs="Times New Roman"/>
      <w:szCs w:val="21"/>
    </w:rPr>
  </w:style>
  <w:style w:type="paragraph" w:customStyle="1" w:styleId="affc">
    <w:name w:val="表文"/>
    <w:basedOn w:val="a"/>
    <w:link w:val="Char0"/>
    <w:qFormat/>
    <w:pPr>
      <w:spacing w:before="20"/>
      <w:jc w:val="center"/>
    </w:pPr>
    <w:rPr>
      <w:rFonts w:ascii="Times New Roman" w:eastAsia="宋体" w:hAnsi="Times New Roman" w:cs="Times New Roman"/>
      <w:bCs/>
      <w:sz w:val="18"/>
      <w:szCs w:val="24"/>
    </w:rPr>
  </w:style>
  <w:style w:type="character" w:customStyle="1" w:styleId="Char0">
    <w:name w:val="表文 Char"/>
    <w:link w:val="affc"/>
    <w:qFormat/>
    <w:rPr>
      <w:rFonts w:ascii="Times New Roman" w:hAnsi="Times New Roman"/>
      <w:bCs/>
      <w:kern w:val="2"/>
      <w:sz w:val="18"/>
      <w:szCs w:val="24"/>
    </w:rPr>
  </w:style>
  <w:style w:type="paragraph" w:customStyle="1" w:styleId="affd">
    <w:name w:val="表号"/>
    <w:basedOn w:val="a"/>
    <w:link w:val="Char1"/>
    <w:qFormat/>
    <w:pPr>
      <w:overflowPunct w:val="0"/>
      <w:ind w:firstLine="113"/>
      <w:outlineLvl w:val="6"/>
    </w:pPr>
    <w:rPr>
      <w:rFonts w:ascii="Times New Roman" w:eastAsia="宋体" w:hAnsi="Times New Roman" w:cs="Times New Roman"/>
      <w:szCs w:val="24"/>
    </w:rPr>
  </w:style>
  <w:style w:type="paragraph" w:customStyle="1" w:styleId="G">
    <w:name w:val="G（正文）"/>
    <w:basedOn w:val="ac"/>
    <w:qFormat/>
    <w:pPr>
      <w:widowControl w:val="0"/>
      <w:tabs>
        <w:tab w:val="left" w:pos="4530"/>
      </w:tabs>
      <w:spacing w:before="0" w:line="480" w:lineRule="exact"/>
      <w:ind w:left="0" w:firstLineChars="200" w:firstLine="200"/>
      <w:jc w:val="both"/>
    </w:pPr>
    <w:rPr>
      <w:rFonts w:ascii="Times New Roman" w:hAnsi="Times New Roman"/>
      <w:kern w:val="2"/>
      <w:sz w:val="28"/>
      <w:szCs w:val="28"/>
      <w:lang w:eastAsia="zh-CN"/>
    </w:rPr>
  </w:style>
  <w:style w:type="paragraph" w:customStyle="1" w:styleId="head">
    <w:name w:val="！表head"/>
    <w:basedOn w:val="a"/>
    <w:qFormat/>
    <w:pPr>
      <w:ind w:leftChars="-50" w:left="-100"/>
    </w:pPr>
    <w:rPr>
      <w:rFonts w:ascii="宋体" w:eastAsia="黑体" w:hAnsi="宋体" w:cs="宋体"/>
      <w:color w:val="000000"/>
      <w:kern w:val="0"/>
      <w:sz w:val="24"/>
      <w:szCs w:val="20"/>
    </w:rPr>
  </w:style>
  <w:style w:type="paragraph" w:customStyle="1" w:styleId="p0">
    <w:name w:val="p0"/>
    <w:basedOn w:val="a"/>
    <w:qFormat/>
    <w:pPr>
      <w:widowControl/>
    </w:pPr>
    <w:rPr>
      <w:rFonts w:ascii="Times New Roman" w:eastAsia="宋体" w:hAnsi="Times New Roman" w:cs="Times New Roman"/>
      <w:szCs w:val="21"/>
    </w:rPr>
  </w:style>
  <w:style w:type="paragraph" w:customStyle="1" w:styleId="affe">
    <w:name w:val="表名"/>
    <w:basedOn w:val="a"/>
    <w:qFormat/>
    <w:pPr>
      <w:spacing w:before="163"/>
      <w:jc w:val="center"/>
    </w:pPr>
    <w:rPr>
      <w:rFonts w:ascii="Arial" w:eastAsia="黑体" w:hAnsi="Arial" w:cs="Times New Roman"/>
      <w:szCs w:val="24"/>
    </w:rPr>
  </w:style>
  <w:style w:type="paragraph" w:customStyle="1" w:styleId="z-1">
    <w:name w:val="z-窗体顶端1"/>
    <w:basedOn w:val="a"/>
    <w:link w:val="z-"/>
    <w:qFormat/>
    <w:pPr>
      <w:spacing w:line="500" w:lineRule="exact"/>
      <w:ind w:firstLine="420"/>
    </w:pPr>
    <w:rPr>
      <w:rFonts w:ascii="Calibri" w:eastAsia="仿宋_GB2312" w:hAnsi="Calibri" w:cs="Times New Roman"/>
      <w:sz w:val="28"/>
    </w:rPr>
  </w:style>
  <w:style w:type="character" w:customStyle="1" w:styleId="z-">
    <w:name w:val="z-窗体顶端 字符"/>
    <w:basedOn w:val="a0"/>
    <w:link w:val="z-1"/>
    <w:qFormat/>
    <w:rPr>
      <w:rFonts w:eastAsia="仿宋_GB2312"/>
      <w:kern w:val="2"/>
      <w:sz w:val="28"/>
      <w:szCs w:val="22"/>
    </w:rPr>
  </w:style>
  <w:style w:type="paragraph" w:customStyle="1" w:styleId="afff">
    <w:name w:val="表左对齐"/>
    <w:basedOn w:val="ma"/>
    <w:qFormat/>
    <w:pPr>
      <w:widowControl w:val="0"/>
      <w:jc w:val="left"/>
    </w:pPr>
    <w:rPr>
      <w:rFonts w:cs="宋体"/>
      <w:sz w:val="21"/>
    </w:rPr>
  </w:style>
  <w:style w:type="paragraph" w:customStyle="1" w:styleId="27">
    <w:name w:val="首行缩进:2 字符"/>
    <w:basedOn w:val="a"/>
    <w:qFormat/>
    <w:pPr>
      <w:spacing w:line="360" w:lineRule="auto"/>
      <w:ind w:firstLineChars="200" w:firstLine="560"/>
    </w:pPr>
    <w:rPr>
      <w:rFonts w:ascii="Times New Roman" w:eastAsia="宋体" w:hAnsi="Times New Roman" w:cs="Times New Roman"/>
      <w:sz w:val="28"/>
      <w:szCs w:val="20"/>
    </w:rPr>
  </w:style>
  <w:style w:type="paragraph" w:customStyle="1" w:styleId="xl30">
    <w:name w:val="xl30"/>
    <w:basedOn w:val="a"/>
    <w:qFormat/>
    <w:pPr>
      <w:widowControl/>
      <w:spacing w:before="100" w:beforeAutospacing="1" w:after="100" w:afterAutospacing="1"/>
      <w:jc w:val="center"/>
      <w:textAlignment w:val="center"/>
    </w:pPr>
    <w:rPr>
      <w:rFonts w:ascii="Arial Unicode MS" w:eastAsia="Arial Unicode MS" w:hAnsi="Arial Unicode MS" w:cs="Arial Unicode MS"/>
      <w:szCs w:val="21"/>
    </w:rPr>
  </w:style>
  <w:style w:type="paragraph" w:customStyle="1" w:styleId="afff0">
    <w:name w:val="正文(小)"/>
    <w:basedOn w:val="a"/>
    <w:qFormat/>
    <w:pPr>
      <w:spacing w:before="20"/>
    </w:pPr>
    <w:rPr>
      <w:rFonts w:ascii="Times New Roman" w:eastAsia="宋体" w:hAnsi="Times New Roman" w:cs="Times New Roman"/>
      <w:sz w:val="18"/>
      <w:szCs w:val="24"/>
    </w:rPr>
  </w:style>
  <w:style w:type="paragraph" w:customStyle="1" w:styleId="HH">
    <w:name w:val="HH"/>
    <w:basedOn w:val="a"/>
    <w:qFormat/>
    <w:pPr>
      <w:spacing w:line="360" w:lineRule="auto"/>
      <w:ind w:firstLineChars="200" w:firstLine="480"/>
    </w:pPr>
    <w:rPr>
      <w:rFonts w:ascii="Times New Roman" w:eastAsia="宋体" w:hAnsi="Times New Roman" w:cs="宋体"/>
      <w:sz w:val="24"/>
      <w:szCs w:val="24"/>
    </w:rPr>
  </w:style>
  <w:style w:type="paragraph" w:customStyle="1" w:styleId="43">
    <w:name w:val="标题4"/>
    <w:basedOn w:val="4"/>
    <w:qFormat/>
  </w:style>
  <w:style w:type="table" w:customStyle="1" w:styleId="afff1">
    <w:name w:val="报告表格式新建"/>
    <w:basedOn w:val="a1"/>
    <w:uiPriority w:val="99"/>
    <w:qFormat/>
    <w:pPr>
      <w:jc w:val="center"/>
    </w:pPr>
    <w:rPr>
      <w:sz w:val="18"/>
    </w:rPr>
    <w:tblPr>
      <w:tblBorders>
        <w:top w:val="single" w:sz="12" w:space="0" w:color="auto"/>
        <w:bottom w:val="single" w:sz="12" w:space="0" w:color="auto"/>
        <w:insideH w:val="single" w:sz="8" w:space="0" w:color="auto"/>
        <w:insideV w:val="single" w:sz="8" w:space="0" w:color="auto"/>
      </w:tblBorders>
    </w:tblPr>
    <w:tcPr>
      <w:vAlign w:val="center"/>
    </w:tcPr>
  </w:style>
  <w:style w:type="paragraph" w:customStyle="1" w:styleId="afff2">
    <w:name w:val="报告表格内容"/>
    <w:basedOn w:val="a"/>
    <w:next w:val="a"/>
    <w:qFormat/>
    <w:pPr>
      <w:autoSpaceDE w:val="0"/>
      <w:autoSpaceDN w:val="0"/>
      <w:jc w:val="center"/>
      <w:textAlignment w:val="bottom"/>
    </w:pPr>
    <w:rPr>
      <w:rFonts w:ascii="Times New Roman" w:eastAsia="宋体" w:hAnsi="Times New Roman" w:cs="Times New Roman"/>
      <w:kern w:val="0"/>
      <w:szCs w:val="20"/>
    </w:rPr>
  </w:style>
  <w:style w:type="paragraph" w:customStyle="1" w:styleId="afff3">
    <w:name w:val="空行样式"/>
    <w:basedOn w:val="a"/>
    <w:next w:val="a"/>
    <w:qFormat/>
    <w:pPr>
      <w:adjustRightInd w:val="0"/>
      <w:snapToGrid w:val="0"/>
    </w:pPr>
    <w:rPr>
      <w:rFonts w:ascii="Times New Roman" w:eastAsia="宋体" w:hAnsi="Times New Roman" w:cs="Times New Roman"/>
      <w:szCs w:val="20"/>
    </w:rPr>
  </w:style>
  <w:style w:type="character" w:customStyle="1" w:styleId="7Char">
    <w:name w:val="样式7 Char"/>
    <w:link w:val="71"/>
    <w:qFormat/>
    <w:rPr>
      <w:kern w:val="2"/>
      <w:sz w:val="26"/>
      <w:szCs w:val="26"/>
    </w:rPr>
  </w:style>
  <w:style w:type="paragraph" w:customStyle="1" w:styleId="71">
    <w:name w:val="样式7"/>
    <w:basedOn w:val="a"/>
    <w:link w:val="7Char"/>
    <w:qFormat/>
    <w:pPr>
      <w:widowControl/>
      <w:spacing w:line="480" w:lineRule="exact"/>
      <w:ind w:firstLineChars="200" w:firstLine="200"/>
      <w:jc w:val="center"/>
    </w:pPr>
    <w:rPr>
      <w:rFonts w:ascii="Calibri" w:eastAsia="宋体" w:hAnsi="Calibri" w:cs="Times New Roman"/>
      <w:sz w:val="26"/>
      <w:szCs w:val="26"/>
    </w:rPr>
  </w:style>
  <w:style w:type="paragraph" w:customStyle="1" w:styleId="afff4">
    <w:name w:val="表格样式"/>
    <w:basedOn w:val="a"/>
    <w:qFormat/>
    <w:pPr>
      <w:adjustRightInd w:val="0"/>
      <w:snapToGrid w:val="0"/>
      <w:jc w:val="center"/>
      <w:textAlignment w:val="center"/>
    </w:pPr>
    <w:rPr>
      <w:rFonts w:ascii="Times New Roman" w:eastAsia="宋体" w:hAnsi="Times New Roman" w:cs="Times New Roman"/>
      <w:sz w:val="28"/>
      <w:szCs w:val="24"/>
    </w:rPr>
  </w:style>
  <w:style w:type="paragraph" w:customStyle="1" w:styleId="afff5">
    <w:name w:val="图表名称"/>
    <w:basedOn w:val="a"/>
    <w:next w:val="a"/>
    <w:link w:val="afff6"/>
    <w:uiPriority w:val="99"/>
    <w:qFormat/>
    <w:pPr>
      <w:spacing w:beforeLines="50"/>
      <w:jc w:val="center"/>
    </w:pPr>
    <w:rPr>
      <w:rFonts w:ascii="Times New Roman" w:eastAsia="仿宋_GB2312" w:hAnsi="Times New Roman" w:cs="Times New Roman"/>
      <w:b/>
      <w:sz w:val="24"/>
      <w:szCs w:val="28"/>
    </w:rPr>
  </w:style>
  <w:style w:type="character" w:customStyle="1" w:styleId="afff6">
    <w:name w:val="图表名称 字符"/>
    <w:basedOn w:val="a0"/>
    <w:link w:val="afff5"/>
    <w:qFormat/>
    <w:rPr>
      <w:rFonts w:ascii="Times New Roman" w:eastAsia="仿宋_GB2312" w:hAnsi="Times New Roman"/>
      <w:b/>
      <w:kern w:val="2"/>
      <w:sz w:val="24"/>
      <w:szCs w:val="28"/>
    </w:rPr>
  </w:style>
  <w:style w:type="paragraph" w:styleId="afff7">
    <w:name w:val="No Spacing"/>
    <w:basedOn w:val="a"/>
    <w:next w:val="a"/>
    <w:link w:val="afff8"/>
    <w:uiPriority w:val="99"/>
    <w:qFormat/>
    <w:pPr>
      <w:spacing w:line="240" w:lineRule="exact"/>
      <w:jc w:val="center"/>
    </w:pPr>
    <w:rPr>
      <w:rFonts w:ascii="Times New Roman" w:eastAsia="仿宋_GB2312" w:hAnsi="Times New Roman" w:cs="Times New Roman"/>
      <w:sz w:val="18"/>
      <w:szCs w:val="28"/>
    </w:rPr>
  </w:style>
  <w:style w:type="character" w:customStyle="1" w:styleId="afff8">
    <w:name w:val="无间隔 字符"/>
    <w:basedOn w:val="a0"/>
    <w:link w:val="afff7"/>
    <w:uiPriority w:val="1"/>
    <w:qFormat/>
    <w:rPr>
      <w:rFonts w:ascii="Times New Roman" w:eastAsia="仿宋_GB2312" w:hAnsi="Times New Roman"/>
      <w:kern w:val="2"/>
      <w:sz w:val="18"/>
      <w:szCs w:val="28"/>
    </w:rPr>
  </w:style>
  <w:style w:type="table" w:customStyle="1" w:styleId="afff9">
    <w:name w:val="基本表"/>
    <w:basedOn w:val="a1"/>
    <w:uiPriority w:val="99"/>
    <w:qFormat/>
    <w:pPr>
      <w:spacing w:line="240" w:lineRule="atLeast"/>
      <w:jc w:val="center"/>
    </w:pPr>
    <w:rPr>
      <w:rFonts w:cstheme="minorBidi"/>
      <w:kern w:val="2"/>
      <w:sz w:val="18"/>
      <w:szCs w:val="22"/>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style>
  <w:style w:type="paragraph" w:customStyle="1" w:styleId="afffa">
    <w:name w:val="表头"/>
    <w:basedOn w:val="a"/>
    <w:link w:val="CharChar"/>
    <w:qFormat/>
    <w:pPr>
      <w:adjustRightInd w:val="0"/>
      <w:spacing w:beforeLines="50" w:before="50"/>
      <w:jc w:val="center"/>
    </w:pPr>
    <w:rPr>
      <w:rFonts w:ascii="Times New Roman" w:eastAsia="宋体" w:hAnsi="Times New Roman" w:cs="Times New Roman"/>
      <w:b/>
      <w:szCs w:val="21"/>
    </w:rPr>
  </w:style>
  <w:style w:type="character" w:customStyle="1" w:styleId="CharChar">
    <w:name w:val="表头 Char Char"/>
    <w:link w:val="afffa"/>
    <w:qFormat/>
    <w:rPr>
      <w:rFonts w:ascii="Times New Roman" w:hAnsi="Times New Roman"/>
      <w:b/>
      <w:kern w:val="2"/>
      <w:sz w:val="21"/>
      <w:szCs w:val="21"/>
    </w:rPr>
  </w:style>
  <w:style w:type="paragraph" w:customStyle="1" w:styleId="afffb">
    <w:name w:val="表格内文字"/>
    <w:basedOn w:val="a"/>
    <w:qFormat/>
    <w:pPr>
      <w:jc w:val="center"/>
    </w:pPr>
    <w:rPr>
      <w:rFonts w:ascii="Times New Roman" w:eastAsia="宋体" w:hAnsi="Times New Roman" w:cs="Times New Roman"/>
      <w:szCs w:val="21"/>
    </w:rPr>
  </w:style>
  <w:style w:type="character" w:customStyle="1" w:styleId="28">
    <w:name w:val="未处理的提及2"/>
    <w:basedOn w:val="a0"/>
    <w:uiPriority w:val="99"/>
    <w:semiHidden/>
    <w:unhideWhenUsed/>
    <w:qFormat/>
    <w:rPr>
      <w:color w:val="605E5C"/>
      <w:shd w:val="clear" w:color="auto" w:fill="E1DFDD"/>
    </w:rPr>
  </w:style>
  <w:style w:type="paragraph" w:customStyle="1" w:styleId="Char2">
    <w:name w:val="段落 Char"/>
    <w:basedOn w:val="a"/>
    <w:qFormat/>
    <w:pPr>
      <w:topLinePunct/>
      <w:snapToGrid w:val="0"/>
      <w:spacing w:line="360" w:lineRule="auto"/>
      <w:ind w:firstLineChars="200" w:firstLine="200"/>
    </w:pPr>
    <w:rPr>
      <w:rFonts w:ascii="Times New Roman" w:eastAsia="宋体" w:hAnsi="Times New Roman" w:cs="Times New Roman"/>
      <w:sz w:val="24"/>
      <w:szCs w:val="24"/>
    </w:rPr>
  </w:style>
  <w:style w:type="character" w:customStyle="1" w:styleId="Char3">
    <w:name w:val="纯文本 Char"/>
    <w:aliases w:val="纯文本1 Char"/>
    <w:qFormat/>
    <w:rPr>
      <w:rFonts w:ascii="宋体" w:hAnsi="Courier New" w:cs="Courier New"/>
      <w:kern w:val="2"/>
      <w:sz w:val="21"/>
      <w:szCs w:val="21"/>
    </w:rPr>
  </w:style>
  <w:style w:type="character" w:customStyle="1" w:styleId="description">
    <w:name w:val="description"/>
    <w:basedOn w:val="a0"/>
    <w:qFormat/>
  </w:style>
  <w:style w:type="character" w:customStyle="1" w:styleId="afffc">
    <w:name w:val="样式 宋体 小三 加粗"/>
    <w:qFormat/>
    <w:rPr>
      <w:rFonts w:ascii="宋体" w:eastAsia="黑体" w:hAnsi="宋体"/>
      <w:b/>
      <w:bCs/>
      <w:spacing w:val="6"/>
      <w:kern w:val="2"/>
      <w:position w:val="10"/>
      <w:sz w:val="30"/>
      <w:lang w:val="en-US" w:eastAsia="zh-CN" w:bidi="ar-SA"/>
    </w:rPr>
  </w:style>
  <w:style w:type="character" w:customStyle="1" w:styleId="13">
    <w:name w:val="页码1"/>
    <w:basedOn w:val="a0"/>
    <w:qFormat/>
  </w:style>
  <w:style w:type="character" w:customStyle="1" w:styleId="CharChar0">
    <w:name w:val="报告正文（小四） Char Char"/>
    <w:link w:val="afffd"/>
    <w:qFormat/>
    <w:rPr>
      <w:rFonts w:ascii="宋体" w:hAnsi="宋体" w:cs="宋体"/>
      <w:kern w:val="2"/>
      <w:sz w:val="24"/>
      <w:szCs w:val="24"/>
    </w:rPr>
  </w:style>
  <w:style w:type="paragraph" w:customStyle="1" w:styleId="afffd">
    <w:name w:val="报告正文（小四）"/>
    <w:basedOn w:val="a"/>
    <w:link w:val="CharChar0"/>
    <w:qFormat/>
    <w:pPr>
      <w:spacing w:line="360" w:lineRule="auto"/>
      <w:ind w:firstLineChars="200" w:firstLine="480"/>
    </w:pPr>
    <w:rPr>
      <w:rFonts w:ascii="宋体" w:eastAsia="宋体" w:hAnsi="宋体" w:cs="宋体"/>
      <w:sz w:val="24"/>
      <w:szCs w:val="24"/>
    </w:rPr>
  </w:style>
  <w:style w:type="character" w:customStyle="1" w:styleId="Char4">
    <w:name w:val="报告表正文 Char"/>
    <w:link w:val="afffe"/>
    <w:qFormat/>
    <w:rPr>
      <w:sz w:val="24"/>
    </w:rPr>
  </w:style>
  <w:style w:type="paragraph" w:customStyle="1" w:styleId="afffe">
    <w:name w:val="报告表正文"/>
    <w:basedOn w:val="a"/>
    <w:link w:val="Char4"/>
    <w:qFormat/>
    <w:pPr>
      <w:adjustRightInd w:val="0"/>
      <w:spacing w:line="312" w:lineRule="auto"/>
      <w:ind w:left="113" w:right="113" w:firstLine="482"/>
      <w:jc w:val="left"/>
      <w:textAlignment w:val="baseline"/>
    </w:pPr>
    <w:rPr>
      <w:rFonts w:ascii="Calibri" w:eastAsia="宋体" w:hAnsi="Calibri" w:cs="Times New Roman"/>
      <w:kern w:val="0"/>
      <w:sz w:val="24"/>
      <w:szCs w:val="20"/>
    </w:rPr>
  </w:style>
  <w:style w:type="character" w:customStyle="1" w:styleId="2Char0">
    <w:name w:val="标题 2 Char"/>
    <w:qFormat/>
    <w:rPr>
      <w:rFonts w:ascii="宋体" w:eastAsia="宋体" w:hAnsi="宋体"/>
      <w:kern w:val="2"/>
      <w:sz w:val="28"/>
      <w:szCs w:val="24"/>
      <w:lang w:val="en-US" w:eastAsia="zh-CN" w:bidi="ar-SA"/>
    </w:rPr>
  </w:style>
  <w:style w:type="character" w:customStyle="1" w:styleId="Char5">
    <w:name w:val="正文文本缩进 Char"/>
    <w:qFormat/>
    <w:rPr>
      <w:rFonts w:eastAsia="宋体"/>
      <w:kern w:val="2"/>
      <w:sz w:val="21"/>
      <w:szCs w:val="24"/>
      <w:lang w:val="en-US" w:eastAsia="zh-CN" w:bidi="ar-SA"/>
    </w:rPr>
  </w:style>
  <w:style w:type="character" w:customStyle="1" w:styleId="CharChar1">
    <w:name w:val="表格文字 Char Char"/>
    <w:qFormat/>
    <w:rPr>
      <w:rFonts w:ascii="宋体"/>
      <w:color w:val="000000"/>
      <w:sz w:val="24"/>
      <w:lang w:val="en-US" w:eastAsia="zh-CN" w:bidi="ar-SA"/>
    </w:rPr>
  </w:style>
  <w:style w:type="character" w:customStyle="1" w:styleId="858D7CFB-ED40-4347-BF05-701D383B685F">
    <w:name w:val="表中文字[858D7CFB-ED40-4347-BF05-701D383B685F]"/>
    <w:link w:val="affff"/>
    <w:qFormat/>
    <w:rPr>
      <w:kern w:val="2"/>
      <w:sz w:val="21"/>
    </w:rPr>
  </w:style>
  <w:style w:type="paragraph" w:customStyle="1" w:styleId="affff">
    <w:name w:val="表中文字"/>
    <w:basedOn w:val="a"/>
    <w:link w:val="858D7CFB-ED40-4347-BF05-701D383B685F"/>
    <w:qFormat/>
    <w:pPr>
      <w:adjustRightInd w:val="0"/>
      <w:snapToGrid w:val="0"/>
      <w:jc w:val="center"/>
    </w:pPr>
    <w:rPr>
      <w:rFonts w:ascii="Calibri" w:eastAsia="宋体" w:hAnsi="Calibri" w:cs="Times New Roman"/>
      <w:szCs w:val="20"/>
    </w:rPr>
  </w:style>
  <w:style w:type="character" w:customStyle="1" w:styleId="content1">
    <w:name w:val="content1"/>
    <w:qFormat/>
    <w:rPr>
      <w:rFonts w:ascii="宋体" w:eastAsia="宋体" w:hAnsi="宋体" w:hint="eastAsia"/>
      <w:color w:val="333333"/>
      <w:sz w:val="21"/>
      <w:szCs w:val="21"/>
    </w:rPr>
  </w:style>
  <w:style w:type="character" w:customStyle="1" w:styleId="2Char1">
    <w:name w:val="表格文字2 Char"/>
    <w:link w:val="29"/>
    <w:qFormat/>
    <w:rPr>
      <w:rFonts w:ascii="宋体"/>
      <w:sz w:val="24"/>
    </w:rPr>
  </w:style>
  <w:style w:type="paragraph" w:customStyle="1" w:styleId="29">
    <w:name w:val="表格文字2"/>
    <w:basedOn w:val="afff7"/>
    <w:link w:val="2Char1"/>
    <w:qFormat/>
    <w:pPr>
      <w:adjustRightInd w:val="0"/>
      <w:spacing w:before="60" w:line="240" w:lineRule="auto"/>
      <w:textAlignment w:val="baseline"/>
    </w:pPr>
    <w:rPr>
      <w:rFonts w:ascii="宋体" w:eastAsia="宋体" w:hAnsi="Calibri"/>
      <w:kern w:val="0"/>
      <w:sz w:val="24"/>
      <w:szCs w:val="20"/>
    </w:rPr>
  </w:style>
  <w:style w:type="character" w:customStyle="1" w:styleId="Char6">
    <w:name w:val="报告书 Char"/>
    <w:link w:val="affff0"/>
    <w:qFormat/>
    <w:rPr>
      <w:rFonts w:ascii="宋体" w:hAnsi="宋体" w:cs="宋体"/>
      <w:color w:val="0000FF"/>
      <w:sz w:val="24"/>
    </w:rPr>
  </w:style>
  <w:style w:type="paragraph" w:customStyle="1" w:styleId="affff0">
    <w:name w:val="报告书"/>
    <w:basedOn w:val="a"/>
    <w:link w:val="Char6"/>
    <w:qFormat/>
    <w:pPr>
      <w:autoSpaceDE w:val="0"/>
      <w:autoSpaceDN w:val="0"/>
      <w:adjustRightInd w:val="0"/>
      <w:spacing w:line="520" w:lineRule="exact"/>
      <w:ind w:firstLineChars="200" w:firstLine="480"/>
      <w:jc w:val="left"/>
      <w:textAlignment w:val="bottom"/>
    </w:pPr>
    <w:rPr>
      <w:rFonts w:ascii="宋体" w:eastAsia="宋体" w:hAnsi="宋体" w:cs="宋体"/>
      <w:color w:val="0000FF"/>
      <w:kern w:val="0"/>
      <w:sz w:val="24"/>
      <w:szCs w:val="20"/>
    </w:rPr>
  </w:style>
  <w:style w:type="character" w:customStyle="1" w:styleId="unnamed2">
    <w:name w:val="unnamed2"/>
    <w:basedOn w:val="a0"/>
    <w:qFormat/>
  </w:style>
  <w:style w:type="character" w:customStyle="1" w:styleId="Char7">
    <w:name w:val="文本 Char"/>
    <w:link w:val="affff1"/>
    <w:qFormat/>
    <w:rPr>
      <w:kern w:val="2"/>
      <w:sz w:val="24"/>
      <w:szCs w:val="24"/>
    </w:rPr>
  </w:style>
  <w:style w:type="paragraph" w:customStyle="1" w:styleId="affff1">
    <w:name w:val="文本"/>
    <w:basedOn w:val="a"/>
    <w:next w:val="21"/>
    <w:link w:val="Char7"/>
    <w:qFormat/>
    <w:pPr>
      <w:spacing w:line="360" w:lineRule="auto"/>
      <w:ind w:firstLine="495"/>
    </w:pPr>
    <w:rPr>
      <w:rFonts w:ascii="Calibri" w:eastAsia="宋体" w:hAnsi="Calibri" w:cs="Times New Roman"/>
      <w:sz w:val="24"/>
      <w:szCs w:val="24"/>
    </w:rPr>
  </w:style>
  <w:style w:type="paragraph" w:customStyle="1" w:styleId="14">
    <w:name w:val="段落1"/>
    <w:basedOn w:val="a"/>
    <w:qFormat/>
    <w:pPr>
      <w:spacing w:line="480" w:lineRule="exact"/>
      <w:ind w:firstLineChars="200" w:firstLine="200"/>
    </w:pPr>
    <w:rPr>
      <w:rFonts w:ascii="Times New Roman" w:eastAsia="楷体_GB2312" w:hAnsi="Times New Roman" w:cs="Times New Roman"/>
      <w:spacing w:val="6"/>
      <w:sz w:val="28"/>
      <w:szCs w:val="24"/>
    </w:rPr>
  </w:style>
  <w:style w:type="paragraph" w:customStyle="1" w:styleId="affff2">
    <w:name w:val="表"/>
    <w:basedOn w:val="a"/>
    <w:qFormat/>
    <w:pPr>
      <w:snapToGrid w:val="0"/>
      <w:spacing w:line="360" w:lineRule="auto"/>
      <w:jc w:val="center"/>
    </w:pPr>
    <w:rPr>
      <w:rFonts w:ascii="Times New Roman" w:eastAsia="黑体" w:hAnsi="宋体" w:cs="Times New Roman"/>
      <w:color w:val="000000"/>
      <w:szCs w:val="24"/>
    </w:rPr>
  </w:style>
  <w:style w:type="paragraph" w:customStyle="1" w:styleId="CharCharCharChar">
    <w:name w:val="Char Char Char Char"/>
    <w:basedOn w:val="a"/>
    <w:semiHidden/>
    <w:qFormat/>
    <w:pPr>
      <w:spacing w:line="540" w:lineRule="exact"/>
    </w:pPr>
    <w:rPr>
      <w:rFonts w:ascii="楷体_GB2312" w:eastAsia="楷体_GB2312" w:hAnsi="Times New Roman" w:cs="Times New Roman"/>
      <w:kern w:val="0"/>
      <w:szCs w:val="24"/>
    </w:rPr>
  </w:style>
  <w:style w:type="paragraph" w:customStyle="1" w:styleId="affff3">
    <w:name w:val="报告书表格"/>
    <w:basedOn w:val="a"/>
    <w:qFormat/>
    <w:pPr>
      <w:adjustRightInd w:val="0"/>
      <w:spacing w:before="60" w:after="60" w:line="240" w:lineRule="atLeast"/>
      <w:jc w:val="center"/>
      <w:textAlignment w:val="baseline"/>
    </w:pPr>
    <w:rPr>
      <w:rFonts w:ascii="Times New Roman" w:eastAsia="宋体" w:hAnsi="Times New Roman" w:cs="Times New Roman"/>
      <w:kern w:val="0"/>
      <w:szCs w:val="20"/>
    </w:rPr>
  </w:style>
  <w:style w:type="paragraph" w:customStyle="1" w:styleId="Char10">
    <w:name w:val="Char1"/>
    <w:basedOn w:val="a"/>
    <w:qFormat/>
    <w:pPr>
      <w:spacing w:line="360" w:lineRule="auto"/>
      <w:ind w:firstLineChars="200" w:firstLine="200"/>
    </w:pPr>
    <w:rPr>
      <w:rFonts w:ascii="Times New Roman" w:eastAsia="宋体" w:hAnsi="Times New Roman" w:cs="Times New Roman"/>
      <w:szCs w:val="24"/>
    </w:rPr>
  </w:style>
  <w:style w:type="paragraph" w:customStyle="1" w:styleId="affff4">
    <w:name w:val="表格式"/>
    <w:basedOn w:val="af8"/>
    <w:qFormat/>
    <w:pPr>
      <w:spacing w:line="400" w:lineRule="exact"/>
      <w:ind w:left="0" w:firstLineChars="0" w:firstLine="0"/>
      <w:jc w:val="center"/>
    </w:pPr>
    <w:rPr>
      <w:rFonts w:ascii="宋体"/>
      <w:szCs w:val="20"/>
    </w:rPr>
  </w:style>
  <w:style w:type="paragraph" w:customStyle="1" w:styleId="152">
    <w:name w:val="样式 样式 行距: 1.5 倍行距 + 首行缩进:  2 字符"/>
    <w:basedOn w:val="a"/>
    <w:qFormat/>
    <w:pPr>
      <w:spacing w:line="360" w:lineRule="auto"/>
      <w:ind w:firstLineChars="200" w:firstLine="420"/>
    </w:pPr>
    <w:rPr>
      <w:rFonts w:ascii="Times New Roman" w:eastAsia="宋体" w:hAnsi="Times New Roman" w:cs="宋体"/>
      <w:sz w:val="24"/>
      <w:szCs w:val="20"/>
    </w:rPr>
  </w:style>
  <w:style w:type="paragraph" w:customStyle="1" w:styleId="Char40">
    <w:name w:val="Char4"/>
    <w:basedOn w:val="a"/>
    <w:qFormat/>
    <w:pPr>
      <w:spacing w:line="360" w:lineRule="auto"/>
      <w:ind w:firstLineChars="200" w:firstLine="200"/>
    </w:pPr>
    <w:rPr>
      <w:rFonts w:ascii="Times New Roman" w:eastAsia="宋体" w:hAnsi="Times New Roman" w:cs="Times New Roman"/>
      <w:sz w:val="28"/>
      <w:szCs w:val="20"/>
    </w:rPr>
  </w:style>
  <w:style w:type="paragraph" w:customStyle="1" w:styleId="affff5">
    <w:name w:val="图表标题"/>
    <w:basedOn w:val="a"/>
    <w:next w:val="affff6"/>
    <w:qFormat/>
    <w:pPr>
      <w:adjustRightInd w:val="0"/>
      <w:snapToGrid w:val="0"/>
      <w:spacing w:line="560" w:lineRule="exact"/>
      <w:jc w:val="center"/>
      <w:textAlignment w:val="baseline"/>
    </w:pPr>
    <w:rPr>
      <w:rFonts w:ascii="黑体" w:eastAsia="黑体" w:hAnsi="Times New Roman" w:cs="Times New Roman"/>
      <w:szCs w:val="21"/>
    </w:rPr>
  </w:style>
  <w:style w:type="paragraph" w:customStyle="1" w:styleId="affff6">
    <w:name w:val="报告表格"/>
    <w:basedOn w:val="a"/>
    <w:qFormat/>
    <w:pPr>
      <w:autoSpaceDE w:val="0"/>
      <w:autoSpaceDN w:val="0"/>
      <w:adjustRightInd w:val="0"/>
      <w:spacing w:before="40" w:after="40"/>
      <w:jc w:val="center"/>
      <w:textAlignment w:val="bottom"/>
    </w:pPr>
    <w:rPr>
      <w:rFonts w:ascii="Times New Roman" w:eastAsia="宋体" w:hAnsi="Times New Roman" w:cs="Times New Roman"/>
      <w:kern w:val="0"/>
      <w:szCs w:val="20"/>
    </w:rPr>
  </w:style>
  <w:style w:type="paragraph" w:customStyle="1" w:styleId="affff7">
    <w:name w:val="+正文"/>
    <w:basedOn w:val="a"/>
    <w:qFormat/>
    <w:pPr>
      <w:spacing w:line="360" w:lineRule="auto"/>
      <w:ind w:firstLineChars="200" w:firstLine="200"/>
    </w:pPr>
    <w:rPr>
      <w:rFonts w:ascii="Times New Roman" w:eastAsia="宋体" w:hAnsi="Times New Roman" w:cs="Times New Roman"/>
      <w:sz w:val="24"/>
      <w:szCs w:val="24"/>
    </w:rPr>
  </w:style>
  <w:style w:type="paragraph" w:customStyle="1" w:styleId="15">
    <w:name w:val="1"/>
    <w:basedOn w:val="a"/>
    <w:qFormat/>
    <w:pPr>
      <w:spacing w:line="360" w:lineRule="auto"/>
      <w:ind w:firstLineChars="192" w:firstLine="538"/>
    </w:pPr>
    <w:rPr>
      <w:rFonts w:ascii="宋体" w:eastAsia="宋体" w:hAnsi="宋体" w:cs="Times New Roman"/>
      <w:bCs/>
      <w:sz w:val="28"/>
      <w:szCs w:val="28"/>
    </w:rPr>
  </w:style>
  <w:style w:type="paragraph" w:customStyle="1" w:styleId="Char8">
    <w:name w:val="Char"/>
    <w:basedOn w:val="a"/>
    <w:qFormat/>
    <w:rPr>
      <w:rFonts w:ascii="Times New Roman" w:eastAsia="宋体" w:hAnsi="Times New Roman" w:cs="Times New Roman"/>
      <w:szCs w:val="24"/>
    </w:rPr>
  </w:style>
  <w:style w:type="paragraph" w:customStyle="1" w:styleId="edri-">
    <w:name w:val="edri-正文"/>
    <w:basedOn w:val="a"/>
    <w:qFormat/>
    <w:pPr>
      <w:adjustRightInd w:val="0"/>
      <w:jc w:val="center"/>
      <w:textAlignment w:val="baseline"/>
    </w:pPr>
    <w:rPr>
      <w:rFonts w:ascii="黑体" w:eastAsia="黑体" w:hAnsi="Times New Roman" w:cs="Times New Roman"/>
      <w:snapToGrid w:val="0"/>
      <w:kern w:val="0"/>
      <w:szCs w:val="20"/>
    </w:rPr>
  </w:style>
  <w:style w:type="paragraph" w:customStyle="1" w:styleId="ParaCharCharCharChar">
    <w:name w:val="默认段落字体 Para Char Char Char Char"/>
    <w:basedOn w:val="a"/>
    <w:qFormat/>
    <w:rPr>
      <w:rFonts w:ascii="Times New Roman" w:eastAsia="宋体" w:hAnsi="Times New Roman" w:cs="Times New Roman"/>
      <w:szCs w:val="24"/>
    </w:rPr>
  </w:style>
  <w:style w:type="paragraph" w:customStyle="1" w:styleId="16">
    <w:name w:val="1表格"/>
    <w:basedOn w:val="a"/>
    <w:qFormat/>
    <w:pPr>
      <w:snapToGrid w:val="0"/>
      <w:spacing w:line="160" w:lineRule="atLeast"/>
      <w:jc w:val="center"/>
    </w:pPr>
    <w:rPr>
      <w:rFonts w:ascii="Times New Roman" w:eastAsia="仿宋_GB2312" w:hAnsi="Times New Roman" w:cs="Times New Roman"/>
      <w:szCs w:val="20"/>
    </w:rPr>
  </w:style>
  <w:style w:type="paragraph" w:customStyle="1" w:styleId="CharCharCharCharCharChar1Char">
    <w:name w:val="Char Char Char Char Char Char1 Char"/>
    <w:basedOn w:val="a"/>
    <w:qFormat/>
    <w:pPr>
      <w:widowControl/>
      <w:spacing w:after="160" w:line="240" w:lineRule="exact"/>
      <w:jc w:val="left"/>
    </w:pPr>
    <w:rPr>
      <w:rFonts w:ascii="Times New Roman" w:eastAsia="宋体" w:hAnsi="Times New Roman" w:cs="Times New Roman"/>
      <w:szCs w:val="24"/>
    </w:rPr>
  </w:style>
  <w:style w:type="paragraph" w:customStyle="1" w:styleId="affff8">
    <w:name w:val="报告"/>
    <w:basedOn w:val="a"/>
    <w:qFormat/>
    <w:pPr>
      <w:adjustRightInd w:val="0"/>
      <w:spacing w:line="360" w:lineRule="auto"/>
      <w:ind w:firstLine="505"/>
      <w:textAlignment w:val="baseline"/>
    </w:pPr>
    <w:rPr>
      <w:rFonts w:ascii="Times New Roman" w:eastAsia="宋体" w:hAnsi="Times New Roman" w:cs="Times New Roman"/>
      <w:kern w:val="0"/>
      <w:sz w:val="24"/>
      <w:szCs w:val="20"/>
    </w:rPr>
  </w:style>
  <w:style w:type="paragraph" w:customStyle="1" w:styleId="Char1CharCharChar">
    <w:name w:val="Char1 Char Char Char"/>
    <w:basedOn w:val="a"/>
    <w:qFormat/>
    <w:rPr>
      <w:rFonts w:ascii="Times New Roman" w:eastAsia="宋体" w:hAnsi="Times New Roman" w:cs="Times New Roman"/>
      <w:szCs w:val="24"/>
    </w:rPr>
  </w:style>
  <w:style w:type="paragraph" w:customStyle="1" w:styleId="char9">
    <w:name w:val="char"/>
    <w:basedOn w:val="a"/>
    <w:qFormat/>
    <w:pPr>
      <w:widowControl/>
      <w:spacing w:after="160" w:line="240" w:lineRule="exact"/>
      <w:jc w:val="left"/>
    </w:pPr>
    <w:rPr>
      <w:rFonts w:ascii="Times New Roman" w:eastAsia="宋体" w:hAnsi="Times New Roman" w:cs="Times New Roman"/>
      <w:szCs w:val="24"/>
    </w:rPr>
  </w:style>
  <w:style w:type="paragraph" w:customStyle="1" w:styleId="affff9">
    <w:name w:val="正文(首行缩进)宋旭峰"/>
    <w:basedOn w:val="a3"/>
    <w:uiPriority w:val="99"/>
    <w:qFormat/>
    <w:pPr>
      <w:spacing w:line="360" w:lineRule="auto"/>
      <w:ind w:firstLine="0"/>
    </w:pPr>
    <w:rPr>
      <w:snapToGrid w:val="0"/>
      <w:sz w:val="24"/>
      <w:szCs w:val="20"/>
    </w:rPr>
  </w:style>
  <w:style w:type="paragraph" w:customStyle="1" w:styleId="17">
    <w:name w:val="列表段落1"/>
    <w:basedOn w:val="a"/>
    <w:uiPriority w:val="34"/>
    <w:qFormat/>
    <w:pPr>
      <w:ind w:firstLineChars="200" w:firstLine="420"/>
    </w:pPr>
    <w:rPr>
      <w:rFonts w:ascii="Times New Roman" w:eastAsia="宋体" w:hAnsi="Times New Roman" w:cs="Times New Roman"/>
      <w:szCs w:val="24"/>
    </w:rPr>
  </w:style>
  <w:style w:type="character" w:customStyle="1" w:styleId="Char11">
    <w:name w:val="纯文本 Char1"/>
    <w:qFormat/>
    <w:rPr>
      <w:rFonts w:ascii="宋体" w:hAnsi="Courier New" w:cs="Courier New"/>
      <w:kern w:val="2"/>
      <w:sz w:val="21"/>
      <w:szCs w:val="21"/>
    </w:rPr>
  </w:style>
  <w:style w:type="character" w:customStyle="1" w:styleId="2a">
    <w:name w:val="正文文本 2 字符"/>
    <w:basedOn w:val="a0"/>
    <w:qFormat/>
    <w:rPr>
      <w:sz w:val="22"/>
      <w:szCs w:val="22"/>
      <w:lang w:eastAsia="en-US"/>
    </w:rPr>
  </w:style>
  <w:style w:type="character" w:customStyle="1" w:styleId="Chara">
    <w:name w:val="题注 Char"/>
    <w:qFormat/>
    <w:rPr>
      <w:rFonts w:ascii="Calibri" w:hAnsi="Calibri" w:cs="黑体"/>
      <w:kern w:val="2"/>
      <w:sz w:val="21"/>
      <w:szCs w:val="24"/>
      <w:lang w:val="en-US" w:eastAsia="zh-CN" w:bidi="ar-SA"/>
    </w:rPr>
  </w:style>
  <w:style w:type="character" w:customStyle="1" w:styleId="lh151">
    <w:name w:val="lh151"/>
    <w:basedOn w:val="a0"/>
    <w:qFormat/>
  </w:style>
  <w:style w:type="character" w:customStyle="1" w:styleId="18">
    <w:name w:val="正文文本 字符1"/>
    <w:semiHidden/>
    <w:qFormat/>
    <w:rPr>
      <w:rFonts w:ascii="Times New Roman" w:eastAsia="宋体" w:hAnsi="Times New Roman" w:cs="Times New Roman"/>
      <w:sz w:val="24"/>
      <w:szCs w:val="24"/>
    </w:rPr>
  </w:style>
  <w:style w:type="paragraph" w:customStyle="1" w:styleId="affffa">
    <w:name w:val="本正文"/>
    <w:basedOn w:val="ac"/>
    <w:qFormat/>
    <w:pPr>
      <w:spacing w:line="300" w:lineRule="auto"/>
      <w:ind w:firstLine="420"/>
    </w:pPr>
    <w:rPr>
      <w:szCs w:val="21"/>
    </w:rPr>
  </w:style>
  <w:style w:type="character" w:customStyle="1" w:styleId="fontstyle01">
    <w:name w:val="fontstyle01"/>
    <w:basedOn w:val="a0"/>
    <w:qFormat/>
    <w:rPr>
      <w:rFonts w:ascii="仿宋_GB2312" w:eastAsia="仿宋_GB2312" w:hAnsi="仿宋_GB2312" w:cs="仿宋_GB2312"/>
      <w:color w:val="000000"/>
      <w:sz w:val="28"/>
      <w:szCs w:val="28"/>
    </w:rPr>
  </w:style>
  <w:style w:type="character" w:customStyle="1" w:styleId="fontstyle21">
    <w:name w:val="fontstyle21"/>
    <w:basedOn w:val="a0"/>
    <w:qFormat/>
    <w:rPr>
      <w:rFonts w:ascii="Calibri" w:hAnsi="Calibri" w:cs="Calibri"/>
      <w:color w:val="000000"/>
      <w:sz w:val="22"/>
      <w:szCs w:val="22"/>
    </w:rPr>
  </w:style>
  <w:style w:type="paragraph" w:customStyle="1" w:styleId="02">
    <w:name w:val="0环评标题2"/>
    <w:basedOn w:val="2"/>
    <w:qFormat/>
    <w:pPr>
      <w:adjustRightInd/>
      <w:spacing w:line="480" w:lineRule="exact"/>
      <w:ind w:firstLine="200"/>
    </w:pPr>
    <w:rPr>
      <w:rFonts w:ascii="ˎ̥" w:eastAsia="Arial" w:hAnsi="ˎ̥" w:cs="Arial"/>
      <w:kern w:val="2"/>
      <w:sz w:val="26"/>
    </w:rPr>
  </w:style>
  <w:style w:type="paragraph" w:customStyle="1" w:styleId="2SLCON2">
    <w:name w:val="样式 正文 首行缩进:  2 字符 SL CON + 首行缩进:  2 字符"/>
    <w:basedOn w:val="2SLCON"/>
    <w:qFormat/>
    <w:pPr>
      <w:ind w:firstLine="480"/>
    </w:pPr>
  </w:style>
  <w:style w:type="paragraph" w:customStyle="1" w:styleId="2SLCON">
    <w:name w:val="正文 首行缩进:  2 字符 SL CON"/>
    <w:basedOn w:val="a"/>
    <w:qFormat/>
    <w:pPr>
      <w:widowControl/>
      <w:tabs>
        <w:tab w:val="left" w:pos="377"/>
      </w:tabs>
      <w:spacing w:line="360" w:lineRule="auto"/>
      <w:ind w:firstLineChars="200" w:firstLine="200"/>
      <w:jc w:val="left"/>
    </w:pPr>
    <w:rPr>
      <w:rFonts w:ascii="宋体" w:eastAsia="宋体" w:hAnsi="Calibri" w:cs="宋体"/>
      <w:kern w:val="0"/>
      <w:sz w:val="24"/>
      <w:lang w:eastAsia="en-US"/>
    </w:rPr>
  </w:style>
  <w:style w:type="paragraph" w:customStyle="1" w:styleId="affffb">
    <w:name w:val="图名使用"/>
    <w:basedOn w:val="a"/>
    <w:qFormat/>
    <w:pPr>
      <w:widowControl/>
      <w:spacing w:line="440" w:lineRule="exact"/>
      <w:jc w:val="center"/>
    </w:pPr>
    <w:rPr>
      <w:rFonts w:ascii="Calibri" w:eastAsia="黑体" w:hAnsi="Calibri" w:cs="Times New Roman"/>
      <w:sz w:val="22"/>
      <w:szCs w:val="21"/>
      <w:lang w:eastAsia="en-US"/>
    </w:rPr>
  </w:style>
  <w:style w:type="paragraph" w:customStyle="1" w:styleId="BodyText22">
    <w:name w:val="Body Text 22"/>
    <w:basedOn w:val="a"/>
    <w:qFormat/>
    <w:pPr>
      <w:widowControl/>
      <w:spacing w:line="440" w:lineRule="atLeast"/>
      <w:ind w:firstLine="480"/>
      <w:jc w:val="left"/>
    </w:pPr>
    <w:rPr>
      <w:rFonts w:ascii="仿宋_GB2312" w:eastAsia="ˎ̥" w:hAnsi="仿宋_GB2312" w:cs="仿宋_GB2312"/>
      <w:sz w:val="22"/>
      <w:lang w:eastAsia="en-US"/>
    </w:rPr>
  </w:style>
  <w:style w:type="paragraph" w:customStyle="1" w:styleId="03">
    <w:name w:val="0环评正文"/>
    <w:basedOn w:val="a"/>
    <w:qFormat/>
    <w:pPr>
      <w:widowControl/>
      <w:spacing w:line="480" w:lineRule="exact"/>
      <w:ind w:firstLineChars="200" w:firstLine="200"/>
      <w:jc w:val="left"/>
    </w:pPr>
    <w:rPr>
      <w:rFonts w:ascii="Calibri" w:eastAsia="宋体" w:hAnsi="Calibri" w:cs="Times New Roman"/>
      <w:sz w:val="26"/>
      <w:lang w:eastAsia="en-US"/>
    </w:rPr>
  </w:style>
  <w:style w:type="paragraph" w:customStyle="1" w:styleId="affffc">
    <w:name w:val="二级无标题条"/>
    <w:basedOn w:val="a"/>
    <w:pPr>
      <w:widowControl/>
      <w:jc w:val="left"/>
    </w:pPr>
    <w:rPr>
      <w:rFonts w:ascii="Calibri" w:eastAsia="宋体" w:hAnsi="Calibri" w:cs="Times New Roman"/>
      <w:lang w:eastAsia="en-US"/>
    </w:rPr>
  </w:style>
  <w:style w:type="paragraph" w:customStyle="1" w:styleId="affffd">
    <w:name w:val="表头使用"/>
    <w:basedOn w:val="a"/>
    <w:qFormat/>
    <w:pPr>
      <w:widowControl/>
      <w:jc w:val="right"/>
    </w:pPr>
    <w:rPr>
      <w:rFonts w:ascii="Calibri" w:eastAsia="黑体" w:hAnsi="Calibri" w:cs="Times New Roman"/>
      <w:kern w:val="0"/>
      <w:sz w:val="22"/>
      <w:szCs w:val="24"/>
      <w:lang w:eastAsia="en-US"/>
    </w:rPr>
  </w:style>
  <w:style w:type="paragraph" w:customStyle="1" w:styleId="2b">
    <w:name w:val="纯文本2"/>
    <w:basedOn w:val="a"/>
    <w:qFormat/>
    <w:pPr>
      <w:widowControl/>
      <w:jc w:val="left"/>
    </w:pPr>
    <w:rPr>
      <w:rFonts w:ascii="宋体" w:eastAsia="宋体" w:hAnsi="Courier New" w:cs="Courier New"/>
      <w:kern w:val="0"/>
      <w:sz w:val="20"/>
      <w:szCs w:val="21"/>
      <w:lang w:eastAsia="en-US"/>
    </w:rPr>
  </w:style>
  <w:style w:type="paragraph" w:customStyle="1" w:styleId="affffe">
    <w:name w:val="正文（科宏）"/>
    <w:pPr>
      <w:widowControl w:val="0"/>
      <w:spacing w:line="360" w:lineRule="auto"/>
      <w:ind w:firstLineChars="200" w:firstLine="200"/>
      <w:jc w:val="both"/>
    </w:pPr>
    <w:rPr>
      <w:rFonts w:ascii="Arial" w:eastAsia="仿宋_GB2312" w:hAnsi="Arial"/>
      <w:sz w:val="28"/>
    </w:rPr>
  </w:style>
  <w:style w:type="character" w:customStyle="1" w:styleId="2SLCON2CharCharChar">
    <w:name w:val="样式 样式 正文 首行缩进:  2 字符 SL CON + 首行缩进:  2 字符 + 宋体 Char Char Char"/>
    <w:qFormat/>
    <w:rPr>
      <w:kern w:val="2"/>
      <w:sz w:val="24"/>
      <w:szCs w:val="21"/>
    </w:rPr>
  </w:style>
  <w:style w:type="paragraph" w:customStyle="1" w:styleId="2SLCON20">
    <w:name w:val="样式 样式 正文 首行缩进:  2 字符 SL CON + 首行缩进:  2 字符 + 宋体"/>
    <w:basedOn w:val="2SLCON2"/>
    <w:qFormat/>
    <w:rPr>
      <w:rFonts w:ascii="Calibri"/>
    </w:rPr>
  </w:style>
  <w:style w:type="paragraph" w:customStyle="1" w:styleId="2c">
    <w:name w:val="普通(网站)2"/>
    <w:basedOn w:val="a"/>
    <w:rsid w:val="00434E1F"/>
    <w:pPr>
      <w:widowControl/>
      <w:spacing w:before="100" w:beforeAutospacing="1" w:after="100" w:afterAutospacing="1"/>
      <w:jc w:val="left"/>
    </w:pPr>
    <w:rPr>
      <w:rFonts w:ascii="宋体" w:eastAsia="宋体" w:hAnsi="宋体" w:cs="Times New Roman"/>
      <w:sz w:val="24"/>
      <w:szCs w:val="20"/>
    </w:rPr>
  </w:style>
  <w:style w:type="character" w:customStyle="1" w:styleId="CharChar2">
    <w:name w:val="样式 小四 Char Char"/>
    <w:link w:val="afffff"/>
    <w:qFormat/>
    <w:rsid w:val="00434E1F"/>
    <w:rPr>
      <w:szCs w:val="24"/>
      <w:lang w:val="zh-CN"/>
    </w:rPr>
  </w:style>
  <w:style w:type="paragraph" w:customStyle="1" w:styleId="afffff">
    <w:name w:val="样式 小四"/>
    <w:basedOn w:val="a"/>
    <w:link w:val="CharChar2"/>
    <w:qFormat/>
    <w:rsid w:val="00434E1F"/>
    <w:pPr>
      <w:spacing w:line="360" w:lineRule="auto"/>
      <w:ind w:firstLine="480"/>
    </w:pPr>
    <w:rPr>
      <w:rFonts w:ascii="Times New Roman" w:eastAsia="宋体" w:hAnsi="Times New Roman" w:cs="Times New Roman"/>
      <w:kern w:val="0"/>
      <w:sz w:val="20"/>
      <w:szCs w:val="24"/>
      <w:lang w:val="zh-CN"/>
    </w:rPr>
  </w:style>
  <w:style w:type="paragraph" w:customStyle="1" w:styleId="C">
    <w:name w:val="C正文"/>
    <w:basedOn w:val="a"/>
    <w:qFormat/>
    <w:rsid w:val="00434E1F"/>
    <w:pPr>
      <w:spacing w:line="360" w:lineRule="auto"/>
      <w:ind w:firstLineChars="200" w:firstLine="200"/>
      <w:contextualSpacing/>
    </w:pPr>
    <w:rPr>
      <w:rFonts w:ascii="Times New Roman" w:eastAsia="宋体" w:hAnsi="Times New Roman" w:cs="Times New Roman"/>
      <w:szCs w:val="24"/>
    </w:rPr>
  </w:style>
  <w:style w:type="paragraph" w:customStyle="1" w:styleId="C0">
    <w:name w:val="C表格"/>
    <w:basedOn w:val="a"/>
    <w:next w:val="C"/>
    <w:qFormat/>
    <w:rsid w:val="00434E1F"/>
    <w:pPr>
      <w:spacing w:line="360" w:lineRule="auto"/>
      <w:ind w:firstLineChars="200" w:firstLine="480"/>
      <w:contextualSpacing/>
      <w:jc w:val="center"/>
    </w:pPr>
    <w:rPr>
      <w:rFonts w:ascii="Times New Roman" w:eastAsia="黑体" w:hAnsi="Times New Roman" w:cs="Times New Roman"/>
      <w:szCs w:val="24"/>
    </w:rPr>
  </w:style>
  <w:style w:type="character" w:customStyle="1" w:styleId="CharChar3">
    <w:name w:val="泸县焦化三级标题 Char Char"/>
    <w:link w:val="afffff0"/>
    <w:qFormat/>
    <w:rsid w:val="00516D85"/>
    <w:rPr>
      <w:b/>
      <w:bCs/>
      <w:sz w:val="24"/>
      <w:szCs w:val="24"/>
    </w:rPr>
  </w:style>
  <w:style w:type="paragraph" w:customStyle="1" w:styleId="afffff0">
    <w:name w:val="泸县焦化三级标题"/>
    <w:basedOn w:val="a"/>
    <w:link w:val="CharChar3"/>
    <w:rsid w:val="00516D85"/>
    <w:pPr>
      <w:keepNext/>
      <w:keepLines/>
      <w:autoSpaceDE w:val="0"/>
      <w:autoSpaceDN w:val="0"/>
      <w:adjustRightInd w:val="0"/>
      <w:snapToGrid w:val="0"/>
      <w:spacing w:line="360" w:lineRule="auto"/>
      <w:outlineLvl w:val="2"/>
    </w:pPr>
    <w:rPr>
      <w:rFonts w:ascii="Times New Roman" w:eastAsia="宋体" w:hAnsi="Times New Roman" w:cs="Times New Roman"/>
      <w:b/>
      <w:bCs/>
      <w:kern w:val="0"/>
      <w:sz w:val="24"/>
      <w:szCs w:val="24"/>
    </w:rPr>
  </w:style>
  <w:style w:type="paragraph" w:customStyle="1" w:styleId="pMsoNormal">
    <w:name w:val="p_MsoNormal"/>
    <w:basedOn w:val="a"/>
    <w:rsid w:val="00FF312D"/>
    <w:pPr>
      <w:widowControl/>
      <w:autoSpaceDE w:val="0"/>
      <w:autoSpaceDN w:val="0"/>
      <w:adjustRightInd w:val="0"/>
      <w:spacing w:line="400" w:lineRule="atLeast"/>
      <w:ind w:firstLine="482"/>
      <w:jc w:val="left"/>
      <w:textAlignment w:val="baseline"/>
    </w:pPr>
    <w:rPr>
      <w:rFonts w:ascii="宋体" w:eastAsia="宋体" w:hAnsi="宋体" w:cs="宋体"/>
      <w:kern w:val="0"/>
      <w:sz w:val="24"/>
      <w:szCs w:val="24"/>
    </w:rPr>
  </w:style>
  <w:style w:type="character" w:customStyle="1" w:styleId="Char12">
    <w:name w:val="批注文字 Char1"/>
    <w:rsid w:val="004E6933"/>
    <w:rPr>
      <w:rFonts w:ascii="Times New Roman" w:eastAsia="宋体" w:hAnsi="Times New Roman" w:cs="Times New Roman"/>
      <w:szCs w:val="24"/>
    </w:rPr>
  </w:style>
  <w:style w:type="paragraph" w:styleId="afffff1">
    <w:name w:val="Title"/>
    <w:basedOn w:val="a"/>
    <w:link w:val="afffff2"/>
    <w:qFormat/>
    <w:rsid w:val="00EC1CFB"/>
    <w:pPr>
      <w:adjustRightInd w:val="0"/>
      <w:spacing w:before="240" w:after="60" w:line="312" w:lineRule="atLeast"/>
      <w:jc w:val="center"/>
      <w:textAlignment w:val="baseline"/>
      <w:outlineLvl w:val="0"/>
    </w:pPr>
    <w:rPr>
      <w:rFonts w:ascii="Arial" w:eastAsia="宋体" w:hAnsi="Arial" w:cs="Times New Roman"/>
      <w:b/>
      <w:kern w:val="0"/>
      <w:sz w:val="32"/>
      <w:szCs w:val="20"/>
    </w:rPr>
  </w:style>
  <w:style w:type="character" w:customStyle="1" w:styleId="afffff2">
    <w:name w:val="标题 字符"/>
    <w:basedOn w:val="a0"/>
    <w:link w:val="afffff1"/>
    <w:qFormat/>
    <w:rsid w:val="00EC1CFB"/>
    <w:rPr>
      <w:rFonts w:ascii="Arial" w:hAnsi="Arial"/>
      <w:b/>
      <w:sz w:val="32"/>
    </w:rPr>
  </w:style>
  <w:style w:type="character" w:customStyle="1" w:styleId="sub">
    <w:name w:val="sub"/>
    <w:qFormat/>
    <w:rsid w:val="00CC326B"/>
    <w:rPr>
      <w:rFonts w:ascii="宋体" w:eastAsia="宋体" w:hAnsi="宋体" w:cs="宋体"/>
      <w:color w:val="000000"/>
      <w:sz w:val="18"/>
      <w:szCs w:val="18"/>
    </w:rPr>
  </w:style>
  <w:style w:type="character" w:customStyle="1" w:styleId="sup">
    <w:name w:val="sup"/>
    <w:rsid w:val="00C22B4A"/>
    <w:rPr>
      <w:rFonts w:ascii="宋体" w:eastAsia="宋体" w:hAnsi="宋体" w:cs="宋体"/>
      <w:color w:val="000000"/>
      <w:sz w:val="18"/>
      <w:szCs w:val="18"/>
    </w:rPr>
  </w:style>
  <w:style w:type="paragraph" w:customStyle="1" w:styleId="afffff3">
    <w:name w:val="表格内格式"/>
    <w:basedOn w:val="a"/>
    <w:next w:val="a"/>
    <w:qFormat/>
    <w:rsid w:val="005E317C"/>
    <w:pPr>
      <w:autoSpaceDE w:val="0"/>
      <w:autoSpaceDN w:val="0"/>
      <w:adjustRightInd w:val="0"/>
      <w:jc w:val="center"/>
      <w:textAlignment w:val="baseline"/>
    </w:pPr>
    <w:rPr>
      <w:rFonts w:ascii="Times New Roman" w:eastAsia="宋体" w:hAnsi="Times New Roman" w:cs="Times New Roman"/>
      <w:kern w:val="0"/>
      <w:szCs w:val="20"/>
    </w:rPr>
  </w:style>
  <w:style w:type="paragraph" w:customStyle="1" w:styleId="afffff4">
    <w:name w:val="正文格式"/>
    <w:basedOn w:val="a"/>
    <w:qFormat/>
    <w:rsid w:val="00960F11"/>
    <w:pPr>
      <w:autoSpaceDE w:val="0"/>
      <w:autoSpaceDN w:val="0"/>
      <w:adjustRightInd w:val="0"/>
      <w:spacing w:line="360" w:lineRule="auto"/>
      <w:ind w:firstLineChars="200" w:firstLine="480"/>
      <w:textAlignment w:val="baseline"/>
    </w:pPr>
    <w:rPr>
      <w:rFonts w:ascii="Times New Roman" w:eastAsia="宋体" w:hAnsi="Times New Roman" w:cs="Times New Roman"/>
      <w:kern w:val="0"/>
      <w:sz w:val="24"/>
      <w:szCs w:val="20"/>
    </w:rPr>
  </w:style>
  <w:style w:type="character" w:styleId="afffff5">
    <w:name w:val="Unresolved Mention"/>
    <w:basedOn w:val="a0"/>
    <w:uiPriority w:val="99"/>
    <w:semiHidden/>
    <w:unhideWhenUsed/>
    <w:rsid w:val="00F240FA"/>
    <w:rPr>
      <w:color w:val="605E5C"/>
      <w:shd w:val="clear" w:color="auto" w:fill="E1DFDD"/>
    </w:rPr>
  </w:style>
  <w:style w:type="paragraph" w:customStyle="1" w:styleId="afffff6">
    <w:name w:val="正文（川油）"/>
    <w:qFormat/>
    <w:rsid w:val="00812C9C"/>
    <w:pPr>
      <w:widowControl w:val="0"/>
      <w:spacing w:line="360" w:lineRule="auto"/>
      <w:ind w:firstLineChars="200" w:firstLine="200"/>
      <w:jc w:val="both"/>
    </w:pPr>
    <w:rPr>
      <w:sz w:val="24"/>
    </w:rPr>
  </w:style>
  <w:style w:type="paragraph" w:customStyle="1" w:styleId="afffff7">
    <w:name w:val="表标题名"/>
    <w:basedOn w:val="affe"/>
    <w:link w:val="Charb"/>
    <w:rsid w:val="00C65644"/>
    <w:pPr>
      <w:tabs>
        <w:tab w:val="left" w:pos="1350"/>
      </w:tabs>
      <w:autoSpaceDE w:val="0"/>
      <w:autoSpaceDN w:val="0"/>
      <w:adjustRightInd w:val="0"/>
      <w:snapToGrid w:val="0"/>
      <w:spacing w:before="0"/>
    </w:pPr>
    <w:rPr>
      <w:rFonts w:ascii="Times New Roman" w:eastAsia="宋体" w:hAnsi="Times New Roman"/>
      <w:shd w:val="clear" w:color="auto" w:fill="FFFFFF"/>
    </w:rPr>
  </w:style>
  <w:style w:type="character" w:customStyle="1" w:styleId="Charb">
    <w:name w:val="表标题名 Char"/>
    <w:link w:val="afffff7"/>
    <w:rsid w:val="00C65644"/>
    <w:rPr>
      <w:kern w:val="2"/>
      <w:sz w:val="21"/>
      <w:szCs w:val="24"/>
    </w:rPr>
  </w:style>
  <w:style w:type="paragraph" w:customStyle="1" w:styleId="04">
    <w:name w:val="0表格正文"/>
    <w:link w:val="05"/>
    <w:qFormat/>
    <w:rsid w:val="00894F20"/>
    <w:pPr>
      <w:jc w:val="center"/>
    </w:pPr>
    <w:rPr>
      <w:rFonts w:cstheme="minorBidi"/>
      <w:sz w:val="21"/>
      <w:szCs w:val="21"/>
    </w:rPr>
  </w:style>
  <w:style w:type="character" w:customStyle="1" w:styleId="05">
    <w:name w:val="0表格正文 字符"/>
    <w:basedOn w:val="a0"/>
    <w:link w:val="04"/>
    <w:rsid w:val="00894F20"/>
    <w:rPr>
      <w:rFonts w:cstheme="minorBidi"/>
      <w:sz w:val="21"/>
      <w:szCs w:val="21"/>
    </w:rPr>
  </w:style>
  <w:style w:type="character" w:customStyle="1" w:styleId="Charc">
    <w:name w:val="【表内字】 Char"/>
    <w:link w:val="afffff8"/>
    <w:qFormat/>
    <w:rsid w:val="0079308B"/>
    <w:rPr>
      <w:sz w:val="21"/>
      <w:szCs w:val="24"/>
    </w:rPr>
  </w:style>
  <w:style w:type="paragraph" w:customStyle="1" w:styleId="afffff8">
    <w:name w:val="【表内字】"/>
    <w:basedOn w:val="a"/>
    <w:link w:val="Charc"/>
    <w:qFormat/>
    <w:rsid w:val="0079308B"/>
    <w:pPr>
      <w:jc w:val="center"/>
    </w:pPr>
    <w:rPr>
      <w:rFonts w:ascii="Times New Roman" w:eastAsia="宋体" w:hAnsi="Times New Roman" w:cs="Times New Roman"/>
      <w:kern w:val="0"/>
      <w:szCs w:val="24"/>
    </w:rPr>
  </w:style>
  <w:style w:type="paragraph" w:styleId="afffff9">
    <w:name w:val="Date"/>
    <w:basedOn w:val="a"/>
    <w:next w:val="a"/>
    <w:link w:val="afffffa"/>
    <w:unhideWhenUsed/>
    <w:rsid w:val="009C5B8E"/>
    <w:pPr>
      <w:topLinePunct/>
      <w:adjustRightInd w:val="0"/>
      <w:spacing w:line="360" w:lineRule="auto"/>
      <w:ind w:leftChars="2500" w:left="100" w:firstLineChars="200" w:firstLine="200"/>
    </w:pPr>
    <w:rPr>
      <w:rFonts w:ascii="宋体" w:hAnsi="Times New Roman" w:cs="宋体"/>
      <w:kern w:val="0"/>
      <w:sz w:val="24"/>
      <w:szCs w:val="24"/>
    </w:rPr>
  </w:style>
  <w:style w:type="character" w:customStyle="1" w:styleId="afffffa">
    <w:name w:val="日期 字符"/>
    <w:basedOn w:val="a0"/>
    <w:link w:val="afffff9"/>
    <w:qFormat/>
    <w:rsid w:val="009C5B8E"/>
    <w:rPr>
      <w:rFonts w:ascii="宋体" w:eastAsiaTheme="minorEastAsia" w:cs="宋体"/>
      <w:sz w:val="24"/>
      <w:szCs w:val="24"/>
    </w:rPr>
  </w:style>
  <w:style w:type="paragraph" w:customStyle="1" w:styleId="1L">
    <w:name w:val="1、L表名、图名"/>
    <w:basedOn w:val="a"/>
    <w:qFormat/>
    <w:rsid w:val="009C5B8E"/>
    <w:pPr>
      <w:adjustRightInd w:val="0"/>
      <w:snapToGrid w:val="0"/>
      <w:jc w:val="center"/>
    </w:pPr>
    <w:rPr>
      <w:rFonts w:ascii="Times New Roman" w:eastAsia="宋体" w:hAnsi="Times New Roman" w:cs="Times New Roman"/>
      <w:bCs/>
      <w:szCs w:val="18"/>
    </w:rPr>
  </w:style>
  <w:style w:type="paragraph" w:customStyle="1" w:styleId="Normal0">
    <w:name w:val="Normal_0"/>
    <w:qFormat/>
    <w:rsid w:val="009C5B8E"/>
    <w:pPr>
      <w:widowControl w:val="0"/>
      <w:spacing w:line="360" w:lineRule="auto"/>
      <w:ind w:firstLineChars="200" w:firstLine="200"/>
      <w:jc w:val="both"/>
    </w:pPr>
    <w:rPr>
      <w:rFonts w:eastAsia="仿宋"/>
      <w:kern w:val="2"/>
      <w:sz w:val="28"/>
      <w:szCs w:val="21"/>
    </w:rPr>
  </w:style>
  <w:style w:type="paragraph" w:customStyle="1" w:styleId="Normal00">
    <w:name w:val="Normal_0_0"/>
    <w:qFormat/>
    <w:rsid w:val="009C5B8E"/>
    <w:pPr>
      <w:widowControl w:val="0"/>
      <w:spacing w:line="360" w:lineRule="auto"/>
      <w:ind w:firstLineChars="200" w:firstLine="200"/>
      <w:jc w:val="both"/>
    </w:pPr>
    <w:rPr>
      <w:rFonts w:eastAsia="仿宋"/>
      <w:kern w:val="2"/>
      <w:sz w:val="28"/>
      <w:szCs w:val="21"/>
    </w:rPr>
  </w:style>
  <w:style w:type="table" w:customStyle="1" w:styleId="S">
    <w:name w:val="S表格正文"/>
    <w:basedOn w:val="a1"/>
    <w:uiPriority w:val="99"/>
    <w:rsid w:val="0054512B"/>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06">
    <w:name w:val="0表头"/>
    <w:basedOn w:val="04"/>
    <w:link w:val="07"/>
    <w:qFormat/>
    <w:rsid w:val="0054512B"/>
    <w:rPr>
      <w:rFonts w:eastAsia="黑体"/>
      <w:b/>
    </w:rPr>
  </w:style>
  <w:style w:type="character" w:customStyle="1" w:styleId="07">
    <w:name w:val="0表头 字符"/>
    <w:basedOn w:val="05"/>
    <w:link w:val="06"/>
    <w:rsid w:val="0054512B"/>
    <w:rPr>
      <w:rFonts w:eastAsia="黑体" w:cstheme="minorBidi"/>
      <w:b/>
      <w:sz w:val="21"/>
      <w:szCs w:val="21"/>
    </w:rPr>
  </w:style>
  <w:style w:type="character" w:customStyle="1" w:styleId="SSEC">
    <w:name w:val="SSEC 表字居中 字符"/>
    <w:link w:val="SSEC0"/>
    <w:qFormat/>
    <w:rsid w:val="00521779"/>
    <w:rPr>
      <w:rFonts w:ascii="宋体"/>
      <w:kern w:val="2"/>
      <w:sz w:val="21"/>
      <w:szCs w:val="21"/>
    </w:rPr>
  </w:style>
  <w:style w:type="paragraph" w:customStyle="1" w:styleId="1CharCharCharChar">
    <w:name w:val="1 Char Char Char Char"/>
    <w:basedOn w:val="a"/>
    <w:qFormat/>
    <w:rsid w:val="00521779"/>
    <w:rPr>
      <w:rFonts w:ascii="Times New Roman" w:eastAsia="宋体" w:hAnsi="Times New Roman" w:cs="Times New Roman"/>
      <w:szCs w:val="24"/>
    </w:rPr>
  </w:style>
  <w:style w:type="paragraph" w:customStyle="1" w:styleId="SSEC0">
    <w:name w:val="SSEC 表字居中"/>
    <w:link w:val="SSEC"/>
    <w:qFormat/>
    <w:rsid w:val="00521779"/>
    <w:pPr>
      <w:widowControl w:val="0"/>
      <w:adjustRightInd w:val="0"/>
      <w:snapToGrid w:val="0"/>
      <w:jc w:val="center"/>
      <w:textAlignment w:val="center"/>
    </w:pPr>
    <w:rPr>
      <w:rFonts w:ascii="宋体"/>
      <w:kern w:val="2"/>
      <w:sz w:val="21"/>
      <w:szCs w:val="21"/>
    </w:rPr>
  </w:style>
  <w:style w:type="character" w:customStyle="1" w:styleId="SSEC20150323Char">
    <w:name w:val="SSEC表字居中 20150323 Char"/>
    <w:link w:val="SSEC20150323"/>
    <w:qFormat/>
    <w:locked/>
    <w:rsid w:val="00927D6B"/>
    <w:rPr>
      <w:rFonts w:ascii="宋体" w:hAnsi="宋体"/>
      <w:kern w:val="2"/>
      <w:sz w:val="21"/>
      <w:szCs w:val="21"/>
    </w:rPr>
  </w:style>
  <w:style w:type="paragraph" w:customStyle="1" w:styleId="SSEC20150323">
    <w:name w:val="SSEC表字居中 20150323"/>
    <w:link w:val="SSEC20150323Char"/>
    <w:qFormat/>
    <w:rsid w:val="00927D6B"/>
    <w:pPr>
      <w:adjustRightInd w:val="0"/>
      <w:snapToGrid w:val="0"/>
      <w:jc w:val="center"/>
    </w:pPr>
    <w:rPr>
      <w:rFonts w:ascii="宋体" w:hAnsi="宋体"/>
      <w:kern w:val="2"/>
      <w:sz w:val="21"/>
      <w:szCs w:val="21"/>
    </w:rPr>
  </w:style>
  <w:style w:type="character" w:customStyle="1" w:styleId="CharChar4">
    <w:name w:val="【正文】 Char Char"/>
    <w:rsid w:val="0012594E"/>
    <w:rPr>
      <w:sz w:val="24"/>
      <w:lang w:bidi="ar-SA"/>
    </w:rPr>
  </w:style>
  <w:style w:type="paragraph" w:customStyle="1" w:styleId="TOC110">
    <w:name w:val="TOC 标题11"/>
    <w:next w:val="a"/>
    <w:uiPriority w:val="39"/>
    <w:unhideWhenUsed/>
    <w:qFormat/>
    <w:rsid w:val="00673337"/>
    <w:pPr>
      <w:spacing w:line="360" w:lineRule="auto"/>
      <w:jc w:val="center"/>
    </w:pPr>
    <w:rPr>
      <w:rFonts w:eastAsia="Times New Roman" w:cstheme="majorBidi"/>
      <w:b/>
      <w:bCs/>
      <w:sz w:val="21"/>
      <w:szCs w:val="28"/>
    </w:rPr>
  </w:style>
  <w:style w:type="table" w:customStyle="1" w:styleId="S0">
    <w:name w:val="S表格样式"/>
    <w:basedOn w:val="a1"/>
    <w:uiPriority w:val="99"/>
    <w:rsid w:val="00C30BD8"/>
    <w:rPr>
      <w:rFonts w:eastAsiaTheme="minorEastAsia"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jc w:val="center"/>
    </w:trPr>
    <w:tcPr>
      <w:vAlign w:val="center"/>
    </w:tcPr>
  </w:style>
  <w:style w:type="table" w:customStyle="1" w:styleId="afffffb">
    <w:name w:val="表格正文"/>
    <w:basedOn w:val="aff"/>
    <w:uiPriority w:val="99"/>
    <w:rsid w:val="00C30BD8"/>
    <w:pPr>
      <w:jc w:val="center"/>
    </w:pPr>
    <w:rPr>
      <w:rFonts w:eastAsiaTheme="minorEastAsia" w:cstheme="minorBidi"/>
      <w:sz w:val="21"/>
      <w:szCs w:val="21"/>
    </w:rPr>
    <w:tblPr>
      <w:jc w:val="center"/>
    </w:tblPr>
    <w:trPr>
      <w:jc w:val="center"/>
    </w:trPr>
    <w:tcPr>
      <w:vAlign w:val="center"/>
    </w:tcPr>
  </w:style>
  <w:style w:type="table" w:customStyle="1" w:styleId="19">
    <w:name w:val="样式1"/>
    <w:basedOn w:val="a1"/>
    <w:uiPriority w:val="99"/>
    <w:rsid w:val="00C30BD8"/>
    <w:rPr>
      <w:rFonts w:asciiTheme="minorHAnsi" w:eastAsiaTheme="minorEastAsia" w:hAnsiTheme="minorHAnsi" w:cstheme="minorBidi"/>
      <w:kern w:val="2"/>
      <w:sz w:val="21"/>
      <w:szCs w:val="21"/>
    </w:rPr>
    <w:tblPr/>
    <w:tblStylePr w:type="firstRow">
      <w:rPr>
        <w:rFonts w:ascii="Times New Roman" w:eastAsia="宋体" w:hAnsi="Times New Roman"/>
        <w:b/>
        <w:i w:val="0"/>
        <w:sz w:val="21"/>
      </w:rPr>
      <w:tblPr>
        <w:jc w:val="center"/>
      </w:tblPr>
      <w:trPr>
        <w:jc w:val="center"/>
      </w:trPr>
      <w:tcPr>
        <w:vAlign w:val="center"/>
      </w:tcPr>
    </w:tblStylePr>
  </w:style>
  <w:style w:type="table" w:customStyle="1" w:styleId="afffffc">
    <w:name w:val="表格标题行"/>
    <w:basedOn w:val="a1"/>
    <w:uiPriority w:val="99"/>
    <w:rsid w:val="00C30BD8"/>
    <w:rPr>
      <w:rFonts w:asciiTheme="minorHAnsi" w:eastAsiaTheme="minorEastAsia" w:hAnsiTheme="minorHAnsi" w:cstheme="minorBidi"/>
      <w:kern w:val="2"/>
      <w:sz w:val="21"/>
      <w:szCs w:val="21"/>
    </w:rPr>
    <w:tblPr/>
    <w:tblStylePr w:type="firstRow">
      <w:pPr>
        <w:wordWrap/>
        <w:spacing w:line="240" w:lineRule="auto"/>
      </w:pPr>
      <w:rPr>
        <w:rFonts w:ascii="Times New Roman" w:eastAsia="宋体" w:hAnsi="Times New Roman"/>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afffffd">
    <w:name w:val="表格标题"/>
    <w:basedOn w:val="a"/>
    <w:link w:val="afffffe"/>
    <w:rsid w:val="00C30BD8"/>
    <w:pPr>
      <w:spacing w:line="360" w:lineRule="auto"/>
      <w:jc w:val="center"/>
    </w:pPr>
    <w:rPr>
      <w:rFonts w:ascii="Times New Roman" w:eastAsia="宋体" w:hAnsi="Times New Roman"/>
      <w:kern w:val="0"/>
      <w:sz w:val="24"/>
      <w:szCs w:val="21"/>
    </w:rPr>
  </w:style>
  <w:style w:type="character" w:customStyle="1" w:styleId="afffffe">
    <w:name w:val="表格标题 字符"/>
    <w:basedOn w:val="a0"/>
    <w:link w:val="afffffd"/>
    <w:rsid w:val="00C30BD8"/>
    <w:rPr>
      <w:rFonts w:cstheme="minorBidi"/>
      <w:sz w:val="24"/>
      <w:szCs w:val="21"/>
    </w:rPr>
  </w:style>
  <w:style w:type="paragraph" w:customStyle="1" w:styleId="affffff">
    <w:name w:val="文本框"/>
    <w:basedOn w:val="af0"/>
    <w:qFormat/>
    <w:rsid w:val="00C30BD8"/>
    <w:pPr>
      <w:framePr w:wrap="around" w:vAnchor="text" w:hAnchor="text" w:y="1"/>
    </w:pPr>
    <w:rPr>
      <w:rFonts w:ascii="Times New Roman" w:eastAsia="华文仿宋" w:hAnsi="Times New Roman"/>
      <w:kern w:val="0"/>
      <w:szCs w:val="21"/>
    </w:rPr>
  </w:style>
  <w:style w:type="paragraph" w:customStyle="1" w:styleId="1a">
    <w:name w:val="正文_1"/>
    <w:qFormat/>
    <w:rsid w:val="00C30BD8"/>
    <w:pPr>
      <w:widowControl w:val="0"/>
      <w:jc w:val="both"/>
    </w:pPr>
    <w:rPr>
      <w:kern w:val="2"/>
      <w:sz w:val="21"/>
      <w:szCs w:val="24"/>
    </w:rPr>
  </w:style>
  <w:style w:type="table" w:customStyle="1" w:styleId="V">
    <w:name w:val="表格内容V"/>
    <w:basedOn w:val="a1"/>
    <w:uiPriority w:val="99"/>
    <w:rsid w:val="00C30BD8"/>
    <w:rPr>
      <w:rFonts w:asciiTheme="minorHAnsi" w:eastAsiaTheme="minorEastAsia" w:hAnsiTheme="minorHAnsi" w:cstheme="minorBidi"/>
      <w:kern w:val="2"/>
      <w:sz w:val="21"/>
      <w:szCs w:val="21"/>
    </w:rPr>
    <w:tblPr>
      <w:jc w:val="center"/>
      <w:tblCellSpacing w:w="11" w:type="dxa"/>
    </w:tblPr>
    <w:trPr>
      <w:tblCellSpacing w:w="11" w:type="dxa"/>
      <w:jc w:val="center"/>
    </w:trPr>
    <w:tcPr>
      <w:vAlign w:val="center"/>
    </w:tcPr>
  </w:style>
  <w:style w:type="table" w:customStyle="1" w:styleId="08">
    <w:name w:val="0表格内容"/>
    <w:basedOn w:val="a1"/>
    <w:uiPriority w:val="99"/>
    <w:rsid w:val="00C30BD8"/>
    <w:rPr>
      <w:rFonts w:cstheme="minorBidi"/>
      <w:sz w:val="21"/>
      <w:szCs w:val="21"/>
    </w:rPr>
    <w:tblPr>
      <w:jc w:val="center"/>
    </w:tblPr>
    <w:trPr>
      <w:jc w:val="center"/>
    </w:trPr>
    <w:tcPr>
      <w:vAlign w:val="center"/>
    </w:tcPr>
  </w:style>
  <w:style w:type="table" w:customStyle="1" w:styleId="1b">
    <w:name w:val="表格正文1"/>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styleId="affffff0">
    <w:name w:val="Placeholder Text"/>
    <w:basedOn w:val="a0"/>
    <w:uiPriority w:val="99"/>
    <w:semiHidden/>
    <w:rsid w:val="00C30BD8"/>
    <w:rPr>
      <w:color w:val="808080"/>
    </w:rPr>
  </w:style>
  <w:style w:type="table" w:customStyle="1" w:styleId="1c">
    <w:name w:val="网格型1"/>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网格型2"/>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网格型3"/>
    <w:basedOn w:val="a1"/>
    <w:next w:val="aff"/>
    <w:uiPriority w:val="39"/>
    <w:rsid w:val="00C30BD8"/>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1">
    <w:name w:val="S表格正文1"/>
    <w:basedOn w:val="a1"/>
    <w:uiPriority w:val="99"/>
    <w:rsid w:val="00C30BD8"/>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TOC">
    <w:name w:val="TOC Heading"/>
    <w:basedOn w:val="1"/>
    <w:next w:val="a"/>
    <w:uiPriority w:val="39"/>
    <w:unhideWhenUsed/>
    <w:qFormat/>
    <w:rsid w:val="00C30BD8"/>
    <w:pPr>
      <w:spacing w:beforeLines="100"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customStyle="1" w:styleId="09">
    <w:name w:val="正文_0"/>
    <w:qFormat/>
    <w:rsid w:val="00C30BD8"/>
    <w:pPr>
      <w:widowControl w:val="0"/>
      <w:spacing w:line="360" w:lineRule="auto"/>
      <w:jc w:val="both"/>
    </w:pPr>
    <w:rPr>
      <w:kern w:val="2"/>
      <w:sz w:val="21"/>
      <w:szCs w:val="24"/>
    </w:rPr>
  </w:style>
  <w:style w:type="paragraph" w:customStyle="1" w:styleId="Normal2">
    <w:name w:val="Normal_2"/>
    <w:qFormat/>
    <w:rsid w:val="00C30BD8"/>
    <w:pPr>
      <w:widowControl w:val="0"/>
      <w:jc w:val="both"/>
    </w:pPr>
    <w:rPr>
      <w:kern w:val="2"/>
      <w:sz w:val="21"/>
      <w:szCs w:val="24"/>
    </w:rPr>
  </w:style>
  <w:style w:type="table" w:customStyle="1" w:styleId="2e">
    <w:name w:val="表格正文2"/>
    <w:basedOn w:val="aff"/>
    <w:uiPriority w:val="99"/>
    <w:rsid w:val="00C30BD8"/>
    <w:pPr>
      <w:jc w:val="center"/>
    </w:pPr>
    <w:rPr>
      <w:rFonts w:eastAsiaTheme="minorEastAsia" w:cstheme="minorBidi"/>
      <w:sz w:val="21"/>
      <w:szCs w:val="21"/>
    </w:rPr>
    <w:tblPr>
      <w:jc w:val="center"/>
    </w:tblPr>
    <w:trPr>
      <w:jc w:val="center"/>
    </w:trPr>
    <w:tcPr>
      <w:vAlign w:val="center"/>
    </w:tcPr>
  </w:style>
  <w:style w:type="character" w:customStyle="1" w:styleId="CharChar5">
    <w:name w:val="表格 Char Char"/>
    <w:link w:val="affffff1"/>
    <w:qFormat/>
    <w:rsid w:val="00C30BD8"/>
    <w:rPr>
      <w:rFonts w:ascii="宋体" w:hAnsi="宋体" w:cs="宋体"/>
      <w:sz w:val="24"/>
    </w:rPr>
  </w:style>
  <w:style w:type="paragraph" w:customStyle="1" w:styleId="affffff1">
    <w:name w:val="表格"/>
    <w:basedOn w:val="a"/>
    <w:link w:val="CharChar5"/>
    <w:qFormat/>
    <w:rsid w:val="00C30BD8"/>
    <w:pPr>
      <w:widowControl/>
      <w:adjustRightInd w:val="0"/>
      <w:jc w:val="center"/>
      <w:textAlignment w:val="baseline"/>
    </w:pPr>
    <w:rPr>
      <w:rFonts w:ascii="宋体" w:eastAsia="宋体" w:hAnsi="宋体" w:cs="宋体"/>
      <w:kern w:val="0"/>
      <w:sz w:val="24"/>
      <w:szCs w:val="20"/>
    </w:rPr>
  </w:style>
  <w:style w:type="paragraph" w:customStyle="1" w:styleId="affffff2">
    <w:name w:val="表内文字"/>
    <w:basedOn w:val="a"/>
    <w:qFormat/>
    <w:rsid w:val="00C30BD8"/>
    <w:pPr>
      <w:widowControl/>
      <w:ind w:left="57" w:right="57"/>
      <w:jc w:val="center"/>
    </w:pPr>
    <w:rPr>
      <w:rFonts w:ascii="Times" w:eastAsia="宋体" w:hAnsi="Times" w:cs="Times"/>
      <w:snapToGrid w:val="0"/>
      <w:spacing w:val="-20"/>
      <w:kern w:val="0"/>
      <w:sz w:val="24"/>
      <w:szCs w:val="21"/>
    </w:rPr>
  </w:style>
  <w:style w:type="paragraph" w:customStyle="1" w:styleId="L-">
    <w:name w:val="L-正文"/>
    <w:basedOn w:val="a"/>
    <w:qFormat/>
    <w:rsid w:val="00C30BD8"/>
    <w:pPr>
      <w:ind w:firstLine="480"/>
    </w:pPr>
    <w:rPr>
      <w:rFonts w:ascii="宋体" w:eastAsia="宋体" w:hAnsi="Times New Roman" w:cs="Tahoma"/>
      <w:color w:val="444444"/>
      <w:kern w:val="0"/>
      <w:sz w:val="24"/>
      <w:szCs w:val="27"/>
      <w:shd w:val="clear" w:color="auto" w:fill="FFFFFF"/>
    </w:rPr>
  </w:style>
  <w:style w:type="paragraph" w:customStyle="1" w:styleId="affffff3">
    <w:name w:val="图表内容"/>
    <w:basedOn w:val="a"/>
    <w:next w:val="ac"/>
    <w:qFormat/>
    <w:rsid w:val="00C30BD8"/>
    <w:pPr>
      <w:adjustRightInd w:val="0"/>
      <w:jc w:val="center"/>
      <w:textAlignment w:val="baseline"/>
    </w:pPr>
    <w:rPr>
      <w:rFonts w:ascii="宋体" w:cs="Times New Roman"/>
      <w:szCs w:val="20"/>
    </w:rPr>
  </w:style>
  <w:style w:type="table" w:customStyle="1" w:styleId="ZHJICIA1">
    <w:name w:val="网格型ZHJICIA1"/>
    <w:basedOn w:val="a1"/>
    <w:uiPriority w:val="59"/>
    <w:qFormat/>
    <w:rsid w:val="00C30BD8"/>
    <w:pPr>
      <w:widowControl w:val="0"/>
      <w:spacing w:before="120" w:after="120" w:line="360" w:lineRule="exact"/>
      <w:ind w:firstLine="482"/>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标题 7 字符"/>
    <w:basedOn w:val="a0"/>
    <w:link w:val="7"/>
    <w:rsid w:val="00F96F41"/>
    <w:rPr>
      <w:b/>
      <w:bCs/>
      <w:kern w:val="2"/>
      <w:sz w:val="24"/>
      <w:szCs w:val="24"/>
    </w:rPr>
  </w:style>
  <w:style w:type="paragraph" w:styleId="affffff4">
    <w:name w:val="table of figures"/>
    <w:basedOn w:val="a"/>
    <w:next w:val="a"/>
    <w:semiHidden/>
    <w:rsid w:val="00F96F41"/>
    <w:pPr>
      <w:ind w:left="420" w:hanging="420"/>
      <w:jc w:val="left"/>
    </w:pPr>
    <w:rPr>
      <w:rFonts w:ascii="Times New Roman" w:eastAsia="宋体" w:hAnsi="Times New Roman" w:cs="Times New Roman"/>
      <w:smallCaps/>
      <w:sz w:val="20"/>
      <w:szCs w:val="20"/>
    </w:rPr>
  </w:style>
  <w:style w:type="paragraph" w:styleId="36">
    <w:name w:val="List 3"/>
    <w:basedOn w:val="a"/>
    <w:next w:val="a"/>
    <w:qFormat/>
    <w:rsid w:val="00F96F41"/>
    <w:pPr>
      <w:autoSpaceDE w:val="0"/>
      <w:autoSpaceDN w:val="0"/>
      <w:adjustRightInd w:val="0"/>
      <w:spacing w:line="288" w:lineRule="auto"/>
      <w:ind w:left="1260" w:hanging="420"/>
      <w:textAlignment w:val="baseline"/>
    </w:pPr>
    <w:rPr>
      <w:rFonts w:ascii="Calibri" w:eastAsia="仿宋" w:hAnsi="Calibri" w:cs="宋体"/>
      <w:szCs w:val="20"/>
    </w:rPr>
  </w:style>
  <w:style w:type="paragraph" w:styleId="affffff5">
    <w:name w:val="table of authorities"/>
    <w:basedOn w:val="a"/>
    <w:next w:val="a"/>
    <w:rsid w:val="00F96F41"/>
    <w:pPr>
      <w:ind w:leftChars="200" w:left="420"/>
    </w:pPr>
    <w:rPr>
      <w:rFonts w:ascii="Times New Roman" w:eastAsia="宋体" w:hAnsi="Times New Roman" w:cs="Times New Roman"/>
      <w:szCs w:val="24"/>
    </w:rPr>
  </w:style>
  <w:style w:type="paragraph" w:styleId="affffff6">
    <w:name w:val="Note Heading"/>
    <w:basedOn w:val="a"/>
    <w:next w:val="a"/>
    <w:link w:val="affffff7"/>
    <w:rsid w:val="00F96F41"/>
    <w:pPr>
      <w:adjustRightInd w:val="0"/>
      <w:snapToGrid w:val="0"/>
      <w:spacing w:line="360" w:lineRule="auto"/>
      <w:jc w:val="center"/>
    </w:pPr>
    <w:rPr>
      <w:rFonts w:ascii="Times New Roman" w:eastAsia="宋体" w:hAnsi="Times New Roman" w:cs="Times New Roman"/>
      <w:sz w:val="30"/>
      <w:szCs w:val="20"/>
    </w:rPr>
  </w:style>
  <w:style w:type="character" w:customStyle="1" w:styleId="affffff7">
    <w:name w:val="注释标题 字符"/>
    <w:basedOn w:val="a0"/>
    <w:link w:val="affffff6"/>
    <w:rsid w:val="00F96F41"/>
    <w:rPr>
      <w:kern w:val="2"/>
      <w:sz w:val="30"/>
    </w:rPr>
  </w:style>
  <w:style w:type="paragraph" w:styleId="37">
    <w:name w:val="List Bullet 3"/>
    <w:basedOn w:val="a"/>
    <w:rsid w:val="00F96F41"/>
    <w:pPr>
      <w:tabs>
        <w:tab w:val="left" w:pos="1280"/>
      </w:tabs>
      <w:ind w:left="1280" w:hanging="720"/>
    </w:pPr>
    <w:rPr>
      <w:rFonts w:ascii="Times New Roman" w:eastAsia="宋体" w:hAnsi="Times New Roman" w:cs="Times New Roman"/>
      <w:szCs w:val="20"/>
    </w:rPr>
  </w:style>
  <w:style w:type="paragraph" w:styleId="2f">
    <w:name w:val="List 2"/>
    <w:basedOn w:val="a"/>
    <w:rsid w:val="00F96F41"/>
    <w:pPr>
      <w:ind w:left="840" w:hanging="420"/>
    </w:pPr>
    <w:rPr>
      <w:rFonts w:ascii="Times New Roman" w:eastAsia="宋体" w:hAnsi="Times New Roman" w:cs="Times New Roman"/>
      <w:sz w:val="26"/>
      <w:szCs w:val="20"/>
    </w:rPr>
  </w:style>
  <w:style w:type="paragraph" w:styleId="affffff8">
    <w:name w:val="Block Text"/>
    <w:basedOn w:val="a"/>
    <w:rsid w:val="00F96F41"/>
    <w:pPr>
      <w:ind w:leftChars="342" w:left="718" w:rightChars="324" w:right="680"/>
    </w:pPr>
    <w:rPr>
      <w:rFonts w:ascii="宋体" w:eastAsia="宋体" w:hAnsi="宋体" w:cs="Times New Roman"/>
      <w:szCs w:val="24"/>
    </w:rPr>
  </w:style>
  <w:style w:type="paragraph" w:customStyle="1" w:styleId="1d">
    <w:name w:val="正文1"/>
    <w:basedOn w:val="ae"/>
    <w:rsid w:val="00F96F41"/>
    <w:pPr>
      <w:widowControl w:val="0"/>
      <w:adjustRightInd w:val="0"/>
      <w:snapToGrid w:val="0"/>
      <w:spacing w:line="500" w:lineRule="exact"/>
      <w:ind w:firstLineChars="200" w:firstLine="520"/>
      <w:jc w:val="both"/>
    </w:pPr>
    <w:rPr>
      <w:rFonts w:ascii="Times New Roman" w:hAnsi="Times New Roman"/>
      <w:kern w:val="2"/>
      <w:sz w:val="26"/>
      <w:szCs w:val="26"/>
      <w:lang w:eastAsia="zh-CN"/>
    </w:rPr>
  </w:style>
  <w:style w:type="paragraph" w:customStyle="1" w:styleId="affffff9">
    <w:name w:val="报告正文"/>
    <w:basedOn w:val="affffffa"/>
    <w:qFormat/>
    <w:rsid w:val="00F96F41"/>
    <w:pPr>
      <w:spacing w:line="360" w:lineRule="auto"/>
      <w:ind w:firstLineChars="200" w:firstLine="480"/>
    </w:pPr>
    <w:rPr>
      <w:rFonts w:ascii="宋体" w:hAnsi="宋体"/>
      <w:sz w:val="24"/>
    </w:rPr>
  </w:style>
  <w:style w:type="paragraph" w:styleId="affffffa">
    <w:name w:val="Body Text First Indent"/>
    <w:basedOn w:val="ac"/>
    <w:link w:val="affffffb"/>
    <w:rsid w:val="00F96F41"/>
    <w:pPr>
      <w:widowControl w:val="0"/>
      <w:spacing w:before="0" w:after="120"/>
      <w:ind w:left="0" w:firstLineChars="100" w:firstLine="420"/>
      <w:jc w:val="both"/>
    </w:pPr>
    <w:rPr>
      <w:rFonts w:ascii="Times New Roman" w:hAnsi="Times New Roman"/>
      <w:kern w:val="2"/>
      <w:sz w:val="21"/>
      <w:lang w:eastAsia="zh-CN"/>
    </w:rPr>
  </w:style>
  <w:style w:type="character" w:customStyle="1" w:styleId="affffffb">
    <w:name w:val="正文文本首行缩进 字符"/>
    <w:basedOn w:val="ad"/>
    <w:link w:val="affffffa"/>
    <w:rsid w:val="00F96F41"/>
    <w:rPr>
      <w:rFonts w:ascii="宋体" w:hAnsi="宋体"/>
      <w:kern w:val="2"/>
      <w:sz w:val="21"/>
      <w:szCs w:val="24"/>
      <w:lang w:eastAsia="en-US"/>
    </w:rPr>
  </w:style>
  <w:style w:type="paragraph" w:styleId="5">
    <w:name w:val="List Number 5"/>
    <w:basedOn w:val="a"/>
    <w:rsid w:val="00F96F41"/>
    <w:pPr>
      <w:numPr>
        <w:numId w:val="1"/>
      </w:numPr>
      <w:tabs>
        <w:tab w:val="left" w:pos="2040"/>
      </w:tabs>
    </w:pPr>
    <w:rPr>
      <w:rFonts w:ascii="Times New Roman" w:eastAsia="宋体" w:hAnsi="Times New Roman" w:cs="Times New Roman"/>
      <w:szCs w:val="24"/>
    </w:rPr>
  </w:style>
  <w:style w:type="paragraph" w:styleId="HTML">
    <w:name w:val="HTML Preformatted"/>
    <w:basedOn w:val="a"/>
    <w:link w:val="HTML0"/>
    <w:rsid w:val="00F96F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eastAsia="宋体" w:hAnsi="Arial" w:cs="Arial"/>
      <w:kern w:val="0"/>
      <w:sz w:val="24"/>
      <w:szCs w:val="24"/>
    </w:rPr>
  </w:style>
  <w:style w:type="character" w:customStyle="1" w:styleId="HTML0">
    <w:name w:val="HTML 预设格式 字符"/>
    <w:basedOn w:val="a0"/>
    <w:link w:val="HTML"/>
    <w:rsid w:val="00F96F41"/>
    <w:rPr>
      <w:rFonts w:ascii="Arial" w:hAnsi="Arial" w:cs="Arial"/>
      <w:sz w:val="24"/>
      <w:szCs w:val="24"/>
    </w:rPr>
  </w:style>
  <w:style w:type="table" w:styleId="52">
    <w:name w:val="Table Grid 5"/>
    <w:basedOn w:val="a1"/>
    <w:rsid w:val="00F96F41"/>
    <w:pPr>
      <w:widowControl w:val="0"/>
      <w:adjustRightInd w:val="0"/>
      <w:snapToGrid w:val="0"/>
      <w:spacing w:line="460" w:lineRule="exact"/>
      <w:ind w:firstLineChars="200" w:firstLine="520"/>
      <w:jc w:val="both"/>
    </w:p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HTML1">
    <w:name w:val="HTML Cite"/>
    <w:rsid w:val="00F96F41"/>
    <w:rPr>
      <w:i w:val="0"/>
      <w:color w:val="008000"/>
    </w:rPr>
  </w:style>
  <w:style w:type="character" w:customStyle="1" w:styleId="Char4CharCharCharTimesNewRomanChar">
    <w:name w:val="样式 Char4 Char Char Char + Times New Roman Char"/>
    <w:link w:val="Char4CharCharCharTimesNewRoman"/>
    <w:rsid w:val="00F96F41"/>
    <w:rPr>
      <w:rFonts w:cs="宋体"/>
      <w:kern w:val="2"/>
      <w:sz w:val="24"/>
      <w:szCs w:val="26"/>
    </w:rPr>
  </w:style>
  <w:style w:type="paragraph" w:customStyle="1" w:styleId="Char4CharCharCharTimesNewRoman">
    <w:name w:val="样式 Char4 Char Char Char + Times New Roman"/>
    <w:basedOn w:val="Char4CharCharChar"/>
    <w:link w:val="Char4CharCharCharTimesNewRomanChar"/>
    <w:rsid w:val="00F96F41"/>
    <w:rPr>
      <w:rFonts w:ascii="Times New Roman" w:hAnsi="Times New Roman"/>
    </w:rPr>
  </w:style>
  <w:style w:type="paragraph" w:customStyle="1" w:styleId="Char4CharCharChar">
    <w:name w:val="Char4 Char Char Char"/>
    <w:basedOn w:val="a"/>
    <w:rsid w:val="00F96F41"/>
    <w:pPr>
      <w:adjustRightInd w:val="0"/>
      <w:snapToGrid w:val="0"/>
      <w:spacing w:line="400" w:lineRule="exact"/>
      <w:ind w:firstLineChars="200" w:firstLine="200"/>
    </w:pPr>
    <w:rPr>
      <w:rFonts w:ascii="宋体" w:eastAsia="宋体" w:hAnsi="宋体" w:cs="宋体"/>
      <w:sz w:val="24"/>
      <w:szCs w:val="26"/>
    </w:rPr>
  </w:style>
  <w:style w:type="character" w:customStyle="1" w:styleId="CharChar6">
    <w:name w:val="标准样式 Char Char"/>
    <w:rsid w:val="00F96F41"/>
    <w:rPr>
      <w:rFonts w:eastAsia="宋体"/>
      <w:kern w:val="2"/>
      <w:sz w:val="28"/>
      <w:lang w:val="en-US" w:eastAsia="zh-CN" w:bidi="ar-SA"/>
    </w:rPr>
  </w:style>
  <w:style w:type="character" w:customStyle="1" w:styleId="105Char">
    <w:name w:val="样式105 Char"/>
    <w:link w:val="105"/>
    <w:rsid w:val="00F96F41"/>
    <w:rPr>
      <w:rFonts w:ascii="宋体" w:hAnsi="宋体" w:cs="宋体"/>
      <w:sz w:val="26"/>
      <w:szCs w:val="26"/>
    </w:rPr>
  </w:style>
  <w:style w:type="paragraph" w:customStyle="1" w:styleId="105">
    <w:name w:val="样式105"/>
    <w:link w:val="105Char"/>
    <w:qFormat/>
    <w:rsid w:val="00F96F41"/>
    <w:pPr>
      <w:adjustRightInd w:val="0"/>
      <w:snapToGrid w:val="0"/>
      <w:spacing w:line="460" w:lineRule="exact"/>
      <w:ind w:firstLineChars="200" w:firstLine="520"/>
    </w:pPr>
    <w:rPr>
      <w:rFonts w:ascii="宋体" w:hAnsi="宋体" w:cs="宋体"/>
      <w:sz w:val="26"/>
      <w:szCs w:val="26"/>
    </w:rPr>
  </w:style>
  <w:style w:type="character" w:customStyle="1" w:styleId="1Char">
    <w:name w:val="样式1 Char"/>
    <w:rsid w:val="00F96F41"/>
    <w:rPr>
      <w:rFonts w:eastAsia="黑体"/>
      <w:kern w:val="2"/>
      <w:sz w:val="28"/>
      <w:lang w:val="en-US" w:eastAsia="zh-CN" w:bidi="ar-SA"/>
    </w:rPr>
  </w:style>
  <w:style w:type="character" w:customStyle="1" w:styleId="fontstyle11">
    <w:name w:val="fontstyle11"/>
    <w:rsid w:val="00F96F41"/>
    <w:rPr>
      <w:rFonts w:ascii="Times New Roman" w:hAnsi="Times New Roman" w:cs="Times New Roman" w:hint="default"/>
      <w:b w:val="0"/>
      <w:bCs w:val="0"/>
      <w:i w:val="0"/>
      <w:iCs w:val="0"/>
      <w:color w:val="000000"/>
      <w:sz w:val="22"/>
      <w:szCs w:val="22"/>
    </w:rPr>
  </w:style>
  <w:style w:type="character" w:customStyle="1" w:styleId="font01">
    <w:name w:val="font01"/>
    <w:rsid w:val="00F96F41"/>
    <w:rPr>
      <w:rFonts w:ascii="宋体" w:eastAsia="宋体" w:hAnsi="宋体" w:cs="宋体" w:hint="eastAsia"/>
      <w:i w:val="0"/>
      <w:color w:val="000000"/>
      <w:sz w:val="24"/>
      <w:szCs w:val="24"/>
      <w:u w:val="none"/>
      <w:vertAlign w:val="superscript"/>
    </w:rPr>
  </w:style>
  <w:style w:type="character" w:customStyle="1" w:styleId="Char13">
    <w:name w:val="标准样式 Char1"/>
    <w:link w:val="affffffc"/>
    <w:rsid w:val="00F96F41"/>
    <w:rPr>
      <w:rFonts w:ascii="宋体"/>
      <w:sz w:val="28"/>
    </w:rPr>
  </w:style>
  <w:style w:type="paragraph" w:customStyle="1" w:styleId="affffffc">
    <w:name w:val="标准样式"/>
    <w:link w:val="Char13"/>
    <w:rsid w:val="00F96F41"/>
    <w:pPr>
      <w:widowControl w:val="0"/>
      <w:spacing w:line="600" w:lineRule="exact"/>
      <w:ind w:firstLine="567"/>
      <w:jc w:val="both"/>
    </w:pPr>
    <w:rPr>
      <w:rFonts w:ascii="宋体"/>
      <w:sz w:val="28"/>
    </w:rPr>
  </w:style>
  <w:style w:type="character" w:customStyle="1" w:styleId="Chard">
    <w:name w:val="标题节 Char"/>
    <w:aliases w:val="标题 2 Char Char Char,1.1标题 2 Char,1.1 Char,MB2 Char,h2 Char,2 Char,Header 2nd Page Char,A.B.C. Char,h2 main heading Char,A Char,l2 Char,2nd level Char,Titre2 Char,Header 2 Char,Se Char,节标题 Char,H2 Char,UNDERRUBRIK 1-2 Char,一级节名 Char,章 Char"/>
    <w:rsid w:val="00F96F41"/>
    <w:rPr>
      <w:rFonts w:eastAsia="宋体"/>
      <w:b/>
      <w:kern w:val="2"/>
      <w:sz w:val="26"/>
      <w:szCs w:val="32"/>
      <w:lang w:val="en-US" w:eastAsia="zh-CN" w:bidi="ar-SA"/>
    </w:rPr>
  </w:style>
  <w:style w:type="character" w:customStyle="1" w:styleId="2f0">
    <w:name w:val="页码2"/>
    <w:basedOn w:val="a0"/>
    <w:rsid w:val="00F96F41"/>
  </w:style>
  <w:style w:type="character" w:customStyle="1" w:styleId="Chare">
    <w:name w:val="三级标题 Char"/>
    <w:rsid w:val="00F96F41"/>
    <w:rPr>
      <w:rFonts w:eastAsia="宋体"/>
      <w:b/>
      <w:kern w:val="2"/>
      <w:sz w:val="26"/>
      <w:szCs w:val="26"/>
      <w:lang w:val="en-US" w:eastAsia="zh-CN" w:bidi="ar-SA"/>
    </w:rPr>
  </w:style>
  <w:style w:type="character" w:customStyle="1" w:styleId="apple-style-span">
    <w:name w:val="apple-style-span"/>
    <w:basedOn w:val="a0"/>
    <w:rsid w:val="00F96F41"/>
  </w:style>
  <w:style w:type="character" w:customStyle="1" w:styleId="2Char2">
    <w:name w:val="正文（首行缩进2字） Char"/>
    <w:link w:val="2f1"/>
    <w:rsid w:val="00F96F41"/>
    <w:rPr>
      <w:kern w:val="2"/>
      <w:sz w:val="28"/>
      <w:szCs w:val="30"/>
    </w:rPr>
  </w:style>
  <w:style w:type="paragraph" w:customStyle="1" w:styleId="2f1">
    <w:name w:val="正文（首行缩进2字）"/>
    <w:basedOn w:val="a"/>
    <w:link w:val="2Char2"/>
    <w:rsid w:val="00F96F41"/>
    <w:pPr>
      <w:spacing w:line="500" w:lineRule="exact"/>
      <w:ind w:firstLineChars="200" w:firstLine="560"/>
    </w:pPr>
    <w:rPr>
      <w:rFonts w:ascii="Times New Roman" w:eastAsia="宋体" w:hAnsi="Times New Roman" w:cs="Times New Roman"/>
      <w:sz w:val="28"/>
      <w:szCs w:val="30"/>
    </w:rPr>
  </w:style>
  <w:style w:type="character" w:customStyle="1" w:styleId="Charf">
    <w:name w:val="引用 Char"/>
    <w:aliases w:val="备注 Char"/>
    <w:link w:val="1e"/>
    <w:rsid w:val="00F96F41"/>
    <w:rPr>
      <w:iCs/>
      <w:color w:val="000000"/>
      <w:kern w:val="2"/>
      <w:sz w:val="22"/>
      <w:szCs w:val="24"/>
    </w:rPr>
  </w:style>
  <w:style w:type="paragraph" w:customStyle="1" w:styleId="1e">
    <w:name w:val="引用1"/>
    <w:basedOn w:val="a"/>
    <w:next w:val="a"/>
    <w:link w:val="Charf"/>
    <w:qFormat/>
    <w:rsid w:val="00F96F41"/>
    <w:pPr>
      <w:ind w:firstLineChars="200" w:firstLine="200"/>
    </w:pPr>
    <w:rPr>
      <w:rFonts w:ascii="Times New Roman" w:eastAsia="宋体" w:hAnsi="Times New Roman" w:cs="Times New Roman"/>
      <w:iCs/>
      <w:color w:val="000000"/>
      <w:sz w:val="22"/>
      <w:szCs w:val="24"/>
    </w:rPr>
  </w:style>
  <w:style w:type="character" w:customStyle="1" w:styleId="115Char">
    <w:name w:val="样式 标题 1 + 段后: 1.5 行 Char"/>
    <w:rsid w:val="00F96F41"/>
    <w:rPr>
      <w:rFonts w:ascii="宋体" w:eastAsia="宋体" w:hAnsi="宋体" w:cs="宋体"/>
      <w:b/>
      <w:bCs/>
      <w:kern w:val="44"/>
      <w:sz w:val="32"/>
      <w:szCs w:val="44"/>
      <w:lang w:val="en-US" w:eastAsia="zh-CN" w:bidi="ar-SA"/>
    </w:rPr>
  </w:style>
  <w:style w:type="character" w:customStyle="1" w:styleId="style81">
    <w:name w:val="style81"/>
    <w:rsid w:val="00F96F41"/>
    <w:rPr>
      <w:sz w:val="20"/>
      <w:szCs w:val="20"/>
    </w:rPr>
  </w:style>
  <w:style w:type="character" w:customStyle="1" w:styleId="Charf0">
    <w:name w:val="表头排版 Char"/>
    <w:link w:val="affffffd"/>
    <w:rsid w:val="00F96F41"/>
    <w:rPr>
      <w:kern w:val="2"/>
      <w:sz w:val="26"/>
      <w:szCs w:val="21"/>
    </w:rPr>
  </w:style>
  <w:style w:type="paragraph" w:customStyle="1" w:styleId="affffffd">
    <w:name w:val="表头排版"/>
    <w:basedOn w:val="a"/>
    <w:link w:val="Charf0"/>
    <w:qFormat/>
    <w:rsid w:val="00F96F41"/>
    <w:pPr>
      <w:spacing w:line="480" w:lineRule="exact"/>
      <w:ind w:firstLineChars="200" w:firstLine="200"/>
      <w:jc w:val="right"/>
    </w:pPr>
    <w:rPr>
      <w:rFonts w:ascii="Times New Roman" w:eastAsia="宋体" w:hAnsi="Times New Roman" w:cs="Times New Roman"/>
      <w:sz w:val="26"/>
      <w:szCs w:val="21"/>
    </w:rPr>
  </w:style>
  <w:style w:type="character" w:customStyle="1" w:styleId="style61">
    <w:name w:val="style61"/>
    <w:rsid w:val="00F96F41"/>
    <w:rPr>
      <w:color w:val="333333"/>
      <w:sz w:val="21"/>
      <w:szCs w:val="21"/>
    </w:rPr>
  </w:style>
  <w:style w:type="character" w:customStyle="1" w:styleId="f91">
    <w:name w:val="f91"/>
    <w:rsid w:val="00F96F41"/>
    <w:rPr>
      <w:rFonts w:hint="default"/>
      <w:sz w:val="18"/>
      <w:szCs w:val="18"/>
    </w:rPr>
  </w:style>
  <w:style w:type="character" w:customStyle="1" w:styleId="1f">
    <w:name w:val="标题1"/>
    <w:basedOn w:val="a0"/>
    <w:rsid w:val="00F96F41"/>
  </w:style>
  <w:style w:type="character" w:customStyle="1" w:styleId="2CharChar">
    <w:name w:val="样式2 Char Char"/>
    <w:rsid w:val="00F96F41"/>
    <w:rPr>
      <w:rFonts w:ascii="黑体" w:eastAsia="黑体" w:hAnsi="宋体"/>
      <w:b/>
      <w:kern w:val="2"/>
      <w:sz w:val="28"/>
      <w:szCs w:val="28"/>
      <w:lang w:val="en-US" w:eastAsia="zh-CN" w:bidi="ar-SA"/>
    </w:rPr>
  </w:style>
  <w:style w:type="character" w:customStyle="1" w:styleId="92Char">
    <w:name w:val="样式92 Char"/>
    <w:link w:val="92"/>
    <w:rsid w:val="00F96F41"/>
    <w:rPr>
      <w:rFonts w:cs="宋体"/>
      <w:sz w:val="26"/>
      <w:szCs w:val="26"/>
    </w:rPr>
  </w:style>
  <w:style w:type="paragraph" w:customStyle="1" w:styleId="92">
    <w:name w:val="样式92"/>
    <w:basedOn w:val="a"/>
    <w:link w:val="92Char"/>
    <w:rsid w:val="00F96F41"/>
    <w:pPr>
      <w:widowControl/>
      <w:adjustRightInd w:val="0"/>
      <w:snapToGrid w:val="0"/>
      <w:spacing w:line="460" w:lineRule="exact"/>
      <w:ind w:firstLineChars="218" w:firstLine="567"/>
      <w:jc w:val="left"/>
    </w:pPr>
    <w:rPr>
      <w:rFonts w:ascii="Times New Roman" w:eastAsia="宋体" w:hAnsi="Times New Roman" w:cs="宋体"/>
      <w:kern w:val="0"/>
      <w:sz w:val="26"/>
      <w:szCs w:val="26"/>
    </w:rPr>
  </w:style>
  <w:style w:type="character" w:customStyle="1" w:styleId="Charf1">
    <w:name w:val="正文首行缩进 Char"/>
    <w:rsid w:val="00F96F41"/>
    <w:rPr>
      <w:rFonts w:eastAsia="宋体"/>
      <w:kern w:val="2"/>
      <w:sz w:val="28"/>
      <w:szCs w:val="28"/>
      <w:lang w:val="en-US" w:eastAsia="zh-CN" w:bidi="ar-SA"/>
    </w:rPr>
  </w:style>
  <w:style w:type="character" w:customStyle="1" w:styleId="txtbreak">
    <w:name w:val="txtbreak"/>
    <w:basedOn w:val="a0"/>
    <w:rsid w:val="00F96F41"/>
  </w:style>
  <w:style w:type="character" w:customStyle="1" w:styleId="UserStyle0">
    <w:name w:val="UserStyle_0"/>
    <w:qFormat/>
    <w:rsid w:val="00F96F41"/>
    <w:rPr>
      <w:rFonts w:ascii="宋体" w:eastAsia="宋体" w:hAnsi="宋体"/>
      <w:color w:val="000000"/>
      <w:sz w:val="24"/>
      <w:szCs w:val="24"/>
      <w:vertAlign w:val="superscript"/>
    </w:rPr>
  </w:style>
  <w:style w:type="character" w:customStyle="1" w:styleId="Charf2">
    <w:name w:val="表格 Char"/>
    <w:rsid w:val="00F96F41"/>
    <w:rPr>
      <w:kern w:val="2"/>
      <w:sz w:val="22"/>
      <w:szCs w:val="22"/>
      <w:lang w:val="en-US" w:eastAsia="zh-CN" w:bidi="ar-SA"/>
    </w:rPr>
  </w:style>
  <w:style w:type="character" w:customStyle="1" w:styleId="2Char">
    <w:name w:val="样式2 Char"/>
    <w:link w:val="26"/>
    <w:rsid w:val="00F96F41"/>
    <w:rPr>
      <w:color w:val="000000"/>
      <w:kern w:val="2"/>
      <w:sz w:val="28"/>
      <w:szCs w:val="28"/>
      <w:lang w:val="zh-CN"/>
    </w:rPr>
  </w:style>
  <w:style w:type="paragraph" w:customStyle="1" w:styleId="22CharChar2">
    <w:name w:val="样式 标题 2标题节标题 2 Char Char + 段前: 2 行"/>
    <w:basedOn w:val="2"/>
    <w:next w:val="a"/>
    <w:rsid w:val="00F96F41"/>
    <w:pPr>
      <w:widowControl w:val="0"/>
      <w:spacing w:beforeLines="50" w:before="156" w:line="460" w:lineRule="exact"/>
      <w:ind w:firstLine="200"/>
      <w:jc w:val="both"/>
    </w:pPr>
    <w:rPr>
      <w:rFonts w:hAnsi="Arial"/>
      <w:b/>
      <w:bCs w:val="0"/>
      <w:kern w:val="2"/>
      <w:sz w:val="26"/>
      <w:szCs w:val="20"/>
      <w:lang w:eastAsia="zh-CN"/>
    </w:rPr>
  </w:style>
  <w:style w:type="character" w:customStyle="1" w:styleId="Charf3">
    <w:name w:val="排版正文 Char"/>
    <w:rsid w:val="00F96F41"/>
    <w:rPr>
      <w:szCs w:val="24"/>
    </w:rPr>
  </w:style>
  <w:style w:type="character" w:customStyle="1" w:styleId="Char14">
    <w:name w:val="表头 Char1"/>
    <w:rsid w:val="00F96F41"/>
    <w:rPr>
      <w:rFonts w:eastAsia="宋体"/>
      <w:spacing w:val="2"/>
      <w:kern w:val="2"/>
      <w:sz w:val="26"/>
      <w:szCs w:val="26"/>
      <w:lang w:val="en-US" w:eastAsia="zh-CN" w:bidi="ar-SA"/>
    </w:rPr>
  </w:style>
  <w:style w:type="character" w:customStyle="1" w:styleId="t141">
    <w:name w:val="t141"/>
    <w:rsid w:val="00F96F41"/>
    <w:rPr>
      <w:rFonts w:ascii="ˎ̥" w:hAnsi="ˎ̥" w:hint="default"/>
      <w:sz w:val="21"/>
      <w:szCs w:val="21"/>
    </w:rPr>
  </w:style>
  <w:style w:type="character" w:customStyle="1" w:styleId="1Char0">
    <w:name w:val="标准样式1 Char"/>
    <w:link w:val="1f0"/>
    <w:rsid w:val="00F96F41"/>
    <w:rPr>
      <w:rFonts w:ascii="宋体" w:hAnsi="宋体"/>
      <w:bCs/>
      <w:kern w:val="2"/>
      <w:sz w:val="28"/>
      <w:szCs w:val="24"/>
    </w:rPr>
  </w:style>
  <w:style w:type="paragraph" w:customStyle="1" w:styleId="1f0">
    <w:name w:val="标准样式1"/>
    <w:basedOn w:val="a"/>
    <w:link w:val="1Char0"/>
    <w:rsid w:val="00F96F41"/>
    <w:pPr>
      <w:spacing w:line="600" w:lineRule="exact"/>
      <w:ind w:firstLineChars="150" w:firstLine="150"/>
    </w:pPr>
    <w:rPr>
      <w:rFonts w:ascii="宋体" w:eastAsia="宋体" w:hAnsi="宋体" w:cs="Times New Roman"/>
      <w:bCs/>
      <w:sz w:val="28"/>
      <w:szCs w:val="24"/>
    </w:rPr>
  </w:style>
  <w:style w:type="character" w:customStyle="1" w:styleId="title10">
    <w:name w:val="title10"/>
    <w:basedOn w:val="a0"/>
    <w:rsid w:val="00F96F41"/>
  </w:style>
  <w:style w:type="character" w:customStyle="1" w:styleId="Charf4">
    <w:name w:val="表文字 Char"/>
    <w:link w:val="affffffe"/>
    <w:rsid w:val="00F96F41"/>
    <w:rPr>
      <w:kern w:val="2"/>
      <w:sz w:val="21"/>
      <w:szCs w:val="21"/>
    </w:rPr>
  </w:style>
  <w:style w:type="paragraph" w:customStyle="1" w:styleId="affffffe">
    <w:name w:val="表文字"/>
    <w:basedOn w:val="a"/>
    <w:link w:val="Charf4"/>
    <w:rsid w:val="00F96F41"/>
    <w:pPr>
      <w:topLinePunct/>
      <w:adjustRightInd w:val="0"/>
      <w:spacing w:line="240" w:lineRule="exact"/>
      <w:textAlignment w:val="baseline"/>
    </w:pPr>
    <w:rPr>
      <w:rFonts w:ascii="Times New Roman" w:eastAsia="宋体" w:hAnsi="Times New Roman" w:cs="Times New Roman"/>
      <w:szCs w:val="21"/>
    </w:rPr>
  </w:style>
  <w:style w:type="character" w:customStyle="1" w:styleId="Charf5">
    <w:name w:val="环评证文 Char"/>
    <w:link w:val="afffffff"/>
    <w:rsid w:val="00F96F41"/>
    <w:rPr>
      <w:rFonts w:ascii="宋体" w:hAnsi="宋体"/>
      <w:color w:val="000000"/>
      <w:kern w:val="2"/>
      <w:sz w:val="24"/>
      <w:szCs w:val="24"/>
    </w:rPr>
  </w:style>
  <w:style w:type="paragraph" w:customStyle="1" w:styleId="afffffff">
    <w:name w:val="环评证文"/>
    <w:basedOn w:val="a"/>
    <w:link w:val="Charf5"/>
    <w:rsid w:val="00F96F41"/>
    <w:pPr>
      <w:spacing w:line="440" w:lineRule="exact"/>
      <w:ind w:firstLineChars="200" w:firstLine="480"/>
    </w:pPr>
    <w:rPr>
      <w:rFonts w:ascii="宋体" w:eastAsia="宋体" w:hAnsi="宋体" w:cs="Times New Roman"/>
      <w:color w:val="000000"/>
      <w:sz w:val="24"/>
      <w:szCs w:val="24"/>
    </w:rPr>
  </w:style>
  <w:style w:type="character" w:customStyle="1" w:styleId="Charf6">
    <w:name w:val="环评正文 Char"/>
    <w:link w:val="afffffff0"/>
    <w:rsid w:val="00F96F41"/>
    <w:rPr>
      <w:rFonts w:ascii="宋体" w:hAnsi="宋体"/>
      <w:color w:val="000000"/>
      <w:kern w:val="2"/>
      <w:sz w:val="24"/>
      <w:szCs w:val="24"/>
    </w:rPr>
  </w:style>
  <w:style w:type="paragraph" w:customStyle="1" w:styleId="afffffff0">
    <w:name w:val="环评正文"/>
    <w:basedOn w:val="a"/>
    <w:link w:val="Charf6"/>
    <w:rsid w:val="00F96F41"/>
    <w:pPr>
      <w:adjustRightInd w:val="0"/>
      <w:snapToGrid w:val="0"/>
      <w:spacing w:line="440" w:lineRule="exact"/>
      <w:ind w:firstLineChars="200" w:firstLine="200"/>
    </w:pPr>
    <w:rPr>
      <w:rFonts w:ascii="宋体" w:eastAsia="宋体" w:hAnsi="宋体" w:cs="Times New Roman"/>
      <w:color w:val="000000"/>
      <w:sz w:val="24"/>
      <w:szCs w:val="24"/>
    </w:rPr>
  </w:style>
  <w:style w:type="character" w:customStyle="1" w:styleId="5CharChar">
    <w:name w:val="样式5 Char Char"/>
    <w:rsid w:val="00F96F41"/>
    <w:rPr>
      <w:rFonts w:eastAsia="宋体"/>
      <w:color w:val="FF0000"/>
      <w:kern w:val="2"/>
      <w:sz w:val="24"/>
      <w:lang w:val="en-US" w:eastAsia="zh-CN" w:bidi="ar-SA"/>
    </w:rPr>
  </w:style>
  <w:style w:type="character" w:customStyle="1" w:styleId="NormalCharacter">
    <w:name w:val="NormalCharacter"/>
    <w:semiHidden/>
    <w:qFormat/>
    <w:rsid w:val="00F96F41"/>
  </w:style>
  <w:style w:type="character" w:customStyle="1" w:styleId="CharChar7">
    <w:name w:val="表内字 Char Char"/>
    <w:link w:val="afffffff1"/>
    <w:qFormat/>
    <w:rsid w:val="00F96F41"/>
    <w:rPr>
      <w:rFonts w:ascii="Tahoma" w:hAnsi="Tahoma"/>
      <w:sz w:val="21"/>
      <w:szCs w:val="21"/>
    </w:rPr>
  </w:style>
  <w:style w:type="paragraph" w:customStyle="1" w:styleId="afffffff1">
    <w:name w:val="表内字"/>
    <w:basedOn w:val="af8"/>
    <w:link w:val="CharChar7"/>
    <w:rsid w:val="00F96F41"/>
    <w:pPr>
      <w:autoSpaceDE w:val="0"/>
      <w:autoSpaceDN w:val="0"/>
      <w:adjustRightInd w:val="0"/>
      <w:snapToGrid w:val="0"/>
      <w:ind w:left="0" w:firstLineChars="0" w:firstLine="0"/>
      <w:jc w:val="center"/>
    </w:pPr>
    <w:rPr>
      <w:rFonts w:ascii="Tahoma" w:hAnsi="Tahoma"/>
      <w:kern w:val="0"/>
      <w:szCs w:val="21"/>
    </w:rPr>
  </w:style>
  <w:style w:type="character" w:customStyle="1" w:styleId="Char1">
    <w:name w:val="表号 Char"/>
    <w:link w:val="affd"/>
    <w:locked/>
    <w:rsid w:val="00F96F41"/>
    <w:rPr>
      <w:kern w:val="2"/>
      <w:sz w:val="21"/>
      <w:szCs w:val="24"/>
    </w:rPr>
  </w:style>
  <w:style w:type="character" w:customStyle="1" w:styleId="1Char1">
    <w:name w:val="正文1 Char"/>
    <w:aliases w:val="正文缩进 Char1,四号 Char,正文缩进 Char Char,正文（首行缩进两字） Char Char Char Char Char Char Char,正文（首行缩进两字） Char Char Char Char Char Char1,正文（首行缩进两字） Char Char Char Char Char1,段1 Char,缩进 Char,ALT+Z Char,特点标题 Char"/>
    <w:rsid w:val="00F96F41"/>
    <w:rPr>
      <w:rFonts w:eastAsia="宋体"/>
      <w:kern w:val="2"/>
      <w:sz w:val="26"/>
      <w:szCs w:val="26"/>
      <w:lang w:val="en-US" w:eastAsia="zh-CN" w:bidi="ar-SA"/>
    </w:rPr>
  </w:style>
  <w:style w:type="character" w:customStyle="1" w:styleId="Charf7">
    <w:name w:val="标准样式 Char"/>
    <w:rsid w:val="00F96F41"/>
    <w:rPr>
      <w:rFonts w:ascii="宋体" w:eastAsia="宋体"/>
      <w:sz w:val="28"/>
      <w:szCs w:val="28"/>
      <w:lang w:val="en-US" w:eastAsia="zh-CN" w:bidi="ar-SA"/>
    </w:rPr>
  </w:style>
  <w:style w:type="character" w:customStyle="1" w:styleId="115Char0">
    <w:name w:val="样式115 Char"/>
    <w:link w:val="115"/>
    <w:rsid w:val="00F96F41"/>
    <w:rPr>
      <w:rFonts w:cs="宋体"/>
      <w:sz w:val="26"/>
      <w:szCs w:val="26"/>
    </w:rPr>
  </w:style>
  <w:style w:type="paragraph" w:customStyle="1" w:styleId="115">
    <w:name w:val="样式115"/>
    <w:basedOn w:val="a"/>
    <w:link w:val="115Char0"/>
    <w:rsid w:val="00F96F41"/>
    <w:pPr>
      <w:widowControl/>
      <w:adjustRightInd w:val="0"/>
      <w:snapToGrid w:val="0"/>
      <w:spacing w:line="460" w:lineRule="exact"/>
      <w:ind w:firstLineChars="218" w:firstLine="567"/>
      <w:jc w:val="left"/>
    </w:pPr>
    <w:rPr>
      <w:rFonts w:ascii="Times New Roman" w:eastAsia="宋体" w:hAnsi="Times New Roman" w:cs="宋体"/>
      <w:kern w:val="0"/>
      <w:sz w:val="26"/>
      <w:szCs w:val="26"/>
    </w:rPr>
  </w:style>
  <w:style w:type="character" w:customStyle="1" w:styleId="1323Char">
    <w:name w:val="样式 13 磅 行距: 固定值 23 磅 Char"/>
    <w:rsid w:val="00F96F41"/>
    <w:rPr>
      <w:rFonts w:eastAsia="宋体" w:cs="宋体"/>
      <w:kern w:val="2"/>
      <w:sz w:val="26"/>
      <w:lang w:val="en-US" w:eastAsia="zh-CN" w:bidi="ar-SA"/>
    </w:rPr>
  </w:style>
  <w:style w:type="character" w:customStyle="1" w:styleId="Charf8">
    <w:name w:val="样式 表头 + 小四 Char"/>
    <w:link w:val="afffffff2"/>
    <w:rsid w:val="00F96F41"/>
    <w:rPr>
      <w:b/>
      <w:bCs/>
      <w:spacing w:val="2"/>
      <w:kern w:val="2"/>
      <w:sz w:val="24"/>
      <w:szCs w:val="24"/>
    </w:rPr>
  </w:style>
  <w:style w:type="paragraph" w:customStyle="1" w:styleId="afffffff2">
    <w:name w:val="样式 表头 + 小四"/>
    <w:basedOn w:val="afffa"/>
    <w:link w:val="Charf8"/>
    <w:rsid w:val="00F96F41"/>
    <w:pPr>
      <w:tabs>
        <w:tab w:val="left" w:pos="2040"/>
      </w:tabs>
      <w:adjustRightInd/>
      <w:spacing w:afterLines="50" w:after="50"/>
      <w:ind w:firstLineChars="200" w:firstLine="420"/>
    </w:pPr>
    <w:rPr>
      <w:bCs/>
      <w:spacing w:val="2"/>
      <w:sz w:val="24"/>
      <w:szCs w:val="24"/>
    </w:rPr>
  </w:style>
  <w:style w:type="character" w:customStyle="1" w:styleId="18CharChar">
    <w:name w:val="样式18 Char Char"/>
    <w:rsid w:val="00F96F41"/>
    <w:rPr>
      <w:sz w:val="26"/>
      <w:szCs w:val="26"/>
    </w:rPr>
  </w:style>
  <w:style w:type="character" w:customStyle="1" w:styleId="afffffff3">
    <w:name w:val="样式 四号"/>
    <w:rsid w:val="00F96F41"/>
    <w:rPr>
      <w:rFonts w:eastAsia="仿宋_GB2312"/>
      <w:sz w:val="28"/>
    </w:rPr>
  </w:style>
  <w:style w:type="character" w:customStyle="1" w:styleId="3CharCharChar">
    <w:name w:val="标题 3 Char Char Char"/>
    <w:rsid w:val="00F96F41"/>
    <w:rPr>
      <w:rFonts w:eastAsia="宋体"/>
      <w:b/>
      <w:sz w:val="26"/>
      <w:szCs w:val="28"/>
      <w:lang w:val="en-US" w:eastAsia="zh-CN" w:bidi="ar-SA"/>
    </w:rPr>
  </w:style>
  <w:style w:type="character" w:customStyle="1" w:styleId="txt1">
    <w:name w:val="txt1"/>
    <w:rsid w:val="00F96F41"/>
    <w:rPr>
      <w:spacing w:val="60"/>
      <w:sz w:val="14"/>
      <w:szCs w:val="14"/>
    </w:rPr>
  </w:style>
  <w:style w:type="character" w:customStyle="1" w:styleId="fontstyle31">
    <w:name w:val="fontstyle31"/>
    <w:rsid w:val="00F96F41"/>
    <w:rPr>
      <w:rFonts w:ascii="Times New Roman" w:hAnsi="Times New Roman" w:cs="Times New Roman" w:hint="default"/>
      <w:b/>
      <w:bCs/>
      <w:i w:val="0"/>
      <w:iCs w:val="0"/>
      <w:color w:val="000000"/>
      <w:sz w:val="24"/>
      <w:szCs w:val="24"/>
    </w:rPr>
  </w:style>
  <w:style w:type="character" w:customStyle="1" w:styleId="Charf9">
    <w:name w:val="表头 Char"/>
    <w:rsid w:val="00F96F41"/>
    <w:rPr>
      <w:rFonts w:eastAsia="宋体"/>
      <w:spacing w:val="2"/>
      <w:kern w:val="2"/>
      <w:sz w:val="26"/>
      <w:szCs w:val="26"/>
      <w:lang w:val="en-US" w:eastAsia="zh-CN" w:bidi="ar-SA"/>
    </w:rPr>
  </w:style>
  <w:style w:type="character" w:customStyle="1" w:styleId="c-">
    <w:name w:val="câ-¹"/>
    <w:basedOn w:val="a0"/>
    <w:rsid w:val="00F96F41"/>
  </w:style>
  <w:style w:type="character" w:customStyle="1" w:styleId="1323Char1">
    <w:name w:val="样式 13 磅 行距: 固定值 23 磅 Char1"/>
    <w:rsid w:val="00F96F41"/>
    <w:rPr>
      <w:rFonts w:eastAsia="宋体" w:cs="宋体"/>
      <w:kern w:val="2"/>
      <w:sz w:val="26"/>
      <w:lang w:val="en-US" w:eastAsia="zh-CN" w:bidi="ar-SA"/>
    </w:rPr>
  </w:style>
  <w:style w:type="character" w:customStyle="1" w:styleId="111">
    <w:name w:val="标题11"/>
    <w:basedOn w:val="a0"/>
    <w:rsid w:val="00F96F41"/>
  </w:style>
  <w:style w:type="character" w:customStyle="1" w:styleId="5Char">
    <w:name w:val="样式5 Char"/>
    <w:link w:val="53"/>
    <w:rsid w:val="00F96F41"/>
    <w:rPr>
      <w:kern w:val="2"/>
      <w:sz w:val="24"/>
    </w:rPr>
  </w:style>
  <w:style w:type="paragraph" w:customStyle="1" w:styleId="53">
    <w:name w:val="样式5"/>
    <w:basedOn w:val="21"/>
    <w:link w:val="5Char"/>
    <w:rsid w:val="00F96F41"/>
    <w:pPr>
      <w:adjustRightInd w:val="0"/>
      <w:snapToGrid w:val="0"/>
      <w:spacing w:line="500" w:lineRule="exact"/>
      <w:ind w:firstLineChars="200" w:firstLine="200"/>
    </w:pPr>
    <w:rPr>
      <w:rFonts w:ascii="Times New Roman" w:eastAsia="宋体"/>
      <w:b w:val="0"/>
      <w:bCs w:val="0"/>
      <w:szCs w:val="20"/>
    </w:rPr>
  </w:style>
  <w:style w:type="character" w:customStyle="1" w:styleId="CharCharChar">
    <w:name w:val="环评证文 Char Char Char"/>
    <w:rsid w:val="00F96F41"/>
    <w:rPr>
      <w:rFonts w:ascii="宋体" w:eastAsia="宋体" w:hAnsi="宋体"/>
      <w:color w:val="000000"/>
      <w:kern w:val="2"/>
      <w:sz w:val="24"/>
      <w:szCs w:val="24"/>
      <w:lang w:val="en-US" w:eastAsia="zh-CN" w:bidi="ar-SA"/>
    </w:rPr>
  </w:style>
  <w:style w:type="character" w:customStyle="1" w:styleId="zhou11">
    <w:name w:val="zhou11"/>
    <w:rsid w:val="00F96F41"/>
    <w:rPr>
      <w:color w:val="000000"/>
      <w:sz w:val="21"/>
      <w:szCs w:val="21"/>
    </w:rPr>
  </w:style>
  <w:style w:type="character" w:customStyle="1" w:styleId="3Char1">
    <w:name w:val="标题 3 Char1"/>
    <w:aliases w:val="标题 3 Char Char,1.1.1标题 3 Char"/>
    <w:rsid w:val="00F96F41"/>
    <w:rPr>
      <w:rFonts w:eastAsia="宋体"/>
      <w:b/>
      <w:sz w:val="26"/>
      <w:szCs w:val="28"/>
      <w:lang w:val="en-US" w:eastAsia="zh-CN" w:bidi="ar-SA"/>
    </w:rPr>
  </w:style>
  <w:style w:type="character" w:customStyle="1" w:styleId="Charfa">
    <w:name w:val="标题 Char"/>
    <w:rsid w:val="00F96F41"/>
    <w:rPr>
      <w:rFonts w:ascii="Arial" w:hAnsi="Arial"/>
      <w:bCs/>
      <w:kern w:val="2"/>
      <w:sz w:val="24"/>
      <w:szCs w:val="32"/>
    </w:rPr>
  </w:style>
  <w:style w:type="character" w:customStyle="1" w:styleId="Char4CharCharCharTimesNewRomanChar0">
    <w:name w:val="样式 样式 Char4 Char Char Char + Times New Roman + (符号) 宋体 Char"/>
    <w:link w:val="Char4CharCharCharTimesNewRoman0"/>
    <w:rsid w:val="00F96F41"/>
    <w:rPr>
      <w:rFonts w:cs="宋体"/>
      <w:kern w:val="2"/>
      <w:sz w:val="24"/>
      <w:szCs w:val="26"/>
    </w:rPr>
  </w:style>
  <w:style w:type="paragraph" w:customStyle="1" w:styleId="Char4CharCharCharTimesNewRoman0">
    <w:name w:val="样式 样式 Char4 Char Char Char + Times New Roman + (符号) 宋体"/>
    <w:basedOn w:val="a"/>
    <w:link w:val="Char4CharCharCharTimesNewRomanChar0"/>
    <w:rsid w:val="00F96F41"/>
    <w:pPr>
      <w:adjustRightInd w:val="0"/>
      <w:snapToGrid w:val="0"/>
      <w:spacing w:line="400" w:lineRule="exact"/>
      <w:ind w:firstLineChars="200" w:firstLine="480"/>
    </w:pPr>
    <w:rPr>
      <w:rFonts w:ascii="Times New Roman" w:eastAsia="宋体" w:hAnsi="Times New Roman" w:cs="宋体"/>
      <w:sz w:val="24"/>
      <w:szCs w:val="26"/>
    </w:rPr>
  </w:style>
  <w:style w:type="character" w:customStyle="1" w:styleId="content3">
    <w:name w:val="content3"/>
    <w:basedOn w:val="a0"/>
    <w:rsid w:val="00F96F41"/>
  </w:style>
  <w:style w:type="character" w:customStyle="1" w:styleId="Char15">
    <w:name w:val="普通文字 Char1"/>
    <w:rsid w:val="00F96F41"/>
    <w:rPr>
      <w:rFonts w:ascii="宋体" w:eastAsia="宋体" w:hAnsi="Courier New"/>
      <w:kern w:val="2"/>
      <w:sz w:val="21"/>
      <w:lang w:val="en-US" w:eastAsia="zh-CN" w:bidi="ar-SA"/>
    </w:rPr>
  </w:style>
  <w:style w:type="character" w:customStyle="1" w:styleId="apple-converted-space">
    <w:name w:val="apple-converted-space"/>
    <w:basedOn w:val="a0"/>
    <w:rsid w:val="00F96F41"/>
  </w:style>
  <w:style w:type="character" w:customStyle="1" w:styleId="18Char">
    <w:name w:val="样式18 Char"/>
    <w:link w:val="180"/>
    <w:rsid w:val="00F96F41"/>
    <w:rPr>
      <w:sz w:val="26"/>
      <w:szCs w:val="26"/>
    </w:rPr>
  </w:style>
  <w:style w:type="paragraph" w:customStyle="1" w:styleId="180">
    <w:name w:val="样式18"/>
    <w:basedOn w:val="115"/>
    <w:link w:val="18Char"/>
    <w:rsid w:val="00F96F41"/>
    <w:rPr>
      <w:rFonts w:cs="Times New Roman"/>
    </w:rPr>
  </w:style>
  <w:style w:type="character" w:customStyle="1" w:styleId="4Char">
    <w:name w:val="样式4 Char"/>
    <w:link w:val="42"/>
    <w:rsid w:val="00F96F41"/>
    <w:rPr>
      <w:bCs/>
      <w:kern w:val="2"/>
      <w:sz w:val="24"/>
      <w:szCs w:val="24"/>
      <w:lang w:val="zh-CN"/>
    </w:rPr>
  </w:style>
  <w:style w:type="character" w:customStyle="1" w:styleId="shareChar">
    <w:name w:val="share Char"/>
    <w:link w:val="share"/>
    <w:rsid w:val="00F96F41"/>
    <w:rPr>
      <w:b/>
      <w:kern w:val="2"/>
      <w:sz w:val="24"/>
      <w:szCs w:val="24"/>
    </w:rPr>
  </w:style>
  <w:style w:type="paragraph" w:customStyle="1" w:styleId="share">
    <w:name w:val="share"/>
    <w:basedOn w:val="a"/>
    <w:link w:val="shareChar"/>
    <w:rsid w:val="00F96F41"/>
    <w:pPr>
      <w:spacing w:line="400" w:lineRule="exact"/>
      <w:ind w:firstLineChars="200" w:firstLine="482"/>
    </w:pPr>
    <w:rPr>
      <w:rFonts w:ascii="Times New Roman" w:eastAsia="宋体" w:hAnsi="Times New Roman" w:cs="Times New Roman"/>
      <w:b/>
      <w:sz w:val="24"/>
      <w:szCs w:val="24"/>
    </w:rPr>
  </w:style>
  <w:style w:type="character" w:customStyle="1" w:styleId="2Char3">
    <w:name w:val="正文 首行缩进:  2 字符 Char"/>
    <w:link w:val="2f2"/>
    <w:rsid w:val="00F96F41"/>
    <w:rPr>
      <w:kern w:val="2"/>
      <w:sz w:val="28"/>
    </w:rPr>
  </w:style>
  <w:style w:type="paragraph" w:customStyle="1" w:styleId="2f2">
    <w:name w:val="正文 首行缩进:  2 字符"/>
    <w:basedOn w:val="a"/>
    <w:link w:val="2Char3"/>
    <w:rsid w:val="00F96F41"/>
    <w:pPr>
      <w:ind w:firstLineChars="200" w:firstLine="579"/>
    </w:pPr>
    <w:rPr>
      <w:rFonts w:ascii="Times New Roman" w:eastAsia="宋体" w:hAnsi="Times New Roman" w:cs="Times New Roman"/>
      <w:sz w:val="28"/>
      <w:szCs w:val="20"/>
    </w:rPr>
  </w:style>
  <w:style w:type="character" w:customStyle="1" w:styleId="1Char2">
    <w:name w:val="标题 1 Char"/>
    <w:rsid w:val="00F96F41"/>
    <w:rPr>
      <w:rFonts w:ascii="宋体" w:eastAsia="宋体" w:hAnsi="宋体"/>
      <w:b/>
      <w:bCs/>
      <w:kern w:val="2"/>
      <w:sz w:val="36"/>
      <w:szCs w:val="24"/>
      <w:lang w:val="en-US" w:eastAsia="zh-CN" w:bidi="ar-SA"/>
    </w:rPr>
  </w:style>
  <w:style w:type="character" w:customStyle="1" w:styleId="Char20">
    <w:name w:val="纯文本 Char2"/>
    <w:rsid w:val="00F96F41"/>
    <w:rPr>
      <w:rFonts w:ascii="宋体" w:eastAsia="宋体" w:hAnsi="Courier New"/>
      <w:kern w:val="2"/>
      <w:sz w:val="24"/>
      <w:lang w:val="en-US" w:eastAsia="zh-CN" w:bidi="ar-SA"/>
    </w:rPr>
  </w:style>
  <w:style w:type="character" w:customStyle="1" w:styleId="CharChar8">
    <w:name w:val="正文文字 Char Char"/>
    <w:rsid w:val="00F96F41"/>
    <w:rPr>
      <w:rFonts w:eastAsia="宋体"/>
      <w:kern w:val="2"/>
      <w:sz w:val="26"/>
      <w:szCs w:val="26"/>
      <w:lang w:val="en-US" w:eastAsia="zh-CN" w:bidi="ar-SA"/>
    </w:rPr>
  </w:style>
  <w:style w:type="character" w:customStyle="1" w:styleId="CharChar10">
    <w:name w:val="正文缩进 Char Char1"/>
    <w:aliases w:val="表格标题 Char,s4 Char,表正文 Char,正文非缩进 Char1,标题4 Char1,正文缩进 Char1 Char,文本条款 Char,正文不缩进 Char,正文缩进 Char Char Char,标题4 Char Char,标题4 Char Char Char Char1,标题4 Char Char Char Char Char,特点 Char,正文非缩进 Char Char,正文（首行缩进两字） Char Char Char Char,文本 Char1"/>
    <w:rsid w:val="00F96F41"/>
    <w:rPr>
      <w:rFonts w:eastAsia="宋体"/>
      <w:kern w:val="2"/>
      <w:sz w:val="26"/>
      <w:lang w:val="en-US" w:eastAsia="zh-CN" w:bidi="ar-SA"/>
    </w:rPr>
  </w:style>
  <w:style w:type="character" w:customStyle="1" w:styleId="font21">
    <w:name w:val="font21"/>
    <w:basedOn w:val="a0"/>
    <w:qFormat/>
    <w:rsid w:val="00F96F41"/>
    <w:rPr>
      <w:rFonts w:ascii="Times New Roman" w:hAnsi="Times New Roman" w:cs="Times New Roman" w:hint="default"/>
      <w:i w:val="0"/>
      <w:color w:val="000000"/>
      <w:sz w:val="18"/>
      <w:szCs w:val="18"/>
      <w:u w:val="none"/>
    </w:rPr>
  </w:style>
  <w:style w:type="character" w:customStyle="1" w:styleId="20Char">
    <w:name w:val="样式20 Char"/>
    <w:link w:val="200"/>
    <w:rsid w:val="00F96F41"/>
    <w:rPr>
      <w:sz w:val="26"/>
      <w:szCs w:val="26"/>
    </w:rPr>
  </w:style>
  <w:style w:type="paragraph" w:customStyle="1" w:styleId="200">
    <w:name w:val="样式20"/>
    <w:basedOn w:val="a"/>
    <w:link w:val="20Char"/>
    <w:rsid w:val="00F96F41"/>
    <w:pPr>
      <w:keepNext/>
      <w:widowControl/>
      <w:tabs>
        <w:tab w:val="left" w:pos="630"/>
      </w:tabs>
      <w:spacing w:line="460" w:lineRule="exact"/>
      <w:jc w:val="center"/>
      <w:outlineLvl w:val="5"/>
    </w:pPr>
    <w:rPr>
      <w:rFonts w:ascii="Times New Roman" w:eastAsia="宋体" w:hAnsi="Times New Roman" w:cs="Times New Roman"/>
      <w:kern w:val="0"/>
      <w:sz w:val="26"/>
      <w:szCs w:val="26"/>
    </w:rPr>
  </w:style>
  <w:style w:type="paragraph" w:customStyle="1" w:styleId="afffffff4">
    <w:name w:val="章"/>
    <w:basedOn w:val="1150"/>
    <w:rsid w:val="00F96F41"/>
    <w:pPr>
      <w:tabs>
        <w:tab w:val="clear" w:pos="2160"/>
      </w:tabs>
      <w:spacing w:beforeLines="0" w:before="0" w:afterLines="0" w:after="0" w:line="360" w:lineRule="auto"/>
    </w:pPr>
    <w:rPr>
      <w:rFonts w:hAnsi="宋体" w:cs="Times New Roman"/>
      <w:bCs w:val="0"/>
      <w:szCs w:val="32"/>
    </w:rPr>
  </w:style>
  <w:style w:type="paragraph" w:customStyle="1" w:styleId="1150">
    <w:name w:val="样式 标题 1 + 段后: 1.5 行"/>
    <w:basedOn w:val="1"/>
    <w:rsid w:val="00F96F41"/>
    <w:pPr>
      <w:widowControl w:val="0"/>
      <w:tabs>
        <w:tab w:val="left" w:pos="2160"/>
      </w:tabs>
      <w:adjustRightInd w:val="0"/>
      <w:snapToGrid w:val="0"/>
      <w:spacing w:beforeLines="100" w:before="312" w:afterLines="100" w:after="312" w:line="460" w:lineRule="exact"/>
      <w:jc w:val="center"/>
    </w:pPr>
    <w:rPr>
      <w:rFonts w:ascii="黑体" w:eastAsia="黑体" w:hAnsi="Arial" w:cs="Arial"/>
      <w:sz w:val="32"/>
      <w:szCs w:val="20"/>
      <w:lang w:eastAsia="zh-CN"/>
    </w:rPr>
  </w:style>
  <w:style w:type="paragraph" w:customStyle="1" w:styleId="afffffff5">
    <w:name w:val="中文报告书样式"/>
    <w:basedOn w:val="a"/>
    <w:rsid w:val="00F96F41"/>
    <w:pPr>
      <w:adjustRightInd w:val="0"/>
      <w:spacing w:line="480" w:lineRule="atLeast"/>
      <w:ind w:firstLine="482"/>
      <w:textAlignment w:val="baseline"/>
    </w:pPr>
    <w:rPr>
      <w:rFonts w:ascii="Times New Roman" w:eastAsia="宋体" w:hAnsi="Times New Roman" w:cs="Times New Roman"/>
      <w:kern w:val="24"/>
      <w:sz w:val="24"/>
      <w:szCs w:val="20"/>
    </w:rPr>
  </w:style>
  <w:style w:type="paragraph" w:customStyle="1" w:styleId="CharCharCharCharCharCharCharCharCharCharCharCharCharCharCharChar">
    <w:name w:val="Char Char Char Char Char Char Char Char Char Char Char Char Char Char Char Char"/>
    <w:basedOn w:val="a"/>
    <w:next w:val="a"/>
    <w:rsid w:val="00F96F41"/>
    <w:pPr>
      <w:spacing w:line="360" w:lineRule="auto"/>
      <w:ind w:firstLineChars="200" w:firstLine="200"/>
    </w:pPr>
    <w:rPr>
      <w:rFonts w:ascii="Times New Roman" w:eastAsia="宋体" w:hAnsi="Times New Roman" w:cs="Times New Roman"/>
      <w:szCs w:val="24"/>
    </w:rPr>
  </w:style>
  <w:style w:type="paragraph" w:customStyle="1" w:styleId="afffffff6">
    <w:name w:val="排版正文"/>
    <w:basedOn w:val="a"/>
    <w:rsid w:val="00F96F41"/>
    <w:pPr>
      <w:adjustRightInd w:val="0"/>
      <w:snapToGrid w:val="0"/>
      <w:spacing w:line="460" w:lineRule="exact"/>
      <w:ind w:firstLineChars="200" w:firstLine="560"/>
    </w:pPr>
    <w:rPr>
      <w:rFonts w:ascii="Times New Roman" w:eastAsia="宋体" w:hAnsi="Times New Roman" w:cs="Times New Roman"/>
      <w:color w:val="000000"/>
      <w:sz w:val="28"/>
      <w:szCs w:val="24"/>
    </w:rPr>
  </w:style>
  <w:style w:type="paragraph" w:customStyle="1" w:styleId="20015">
    <w:name w:val="样式 标题 2节 + (西文) 宋体 (中文) 宋体 小四 段前: 0 磅 段后: 0 磅 行距: 1.5 倍行距"/>
    <w:basedOn w:val="2"/>
    <w:rsid w:val="00F96F41"/>
    <w:pPr>
      <w:widowControl w:val="0"/>
      <w:adjustRightInd/>
      <w:snapToGrid/>
      <w:spacing w:line="480" w:lineRule="exact"/>
      <w:ind w:firstLineChars="0" w:firstLine="0"/>
      <w:jc w:val="both"/>
    </w:pPr>
    <w:rPr>
      <w:rFonts w:ascii="黑体" w:hAnsi="宋体" w:cs="宋体"/>
      <w:b/>
      <w:kern w:val="2"/>
      <w:sz w:val="28"/>
      <w:szCs w:val="28"/>
      <w:lang w:eastAsia="zh-CN"/>
    </w:rPr>
  </w:style>
  <w:style w:type="paragraph" w:customStyle="1" w:styleId="4CharCharCharCharCharCharCharCharCharCharCharCharCharCharCharCharCharChar">
    <w:name w:val="4 Char Char Char Char Char Char Char Char Char Char Char Char Char Char Char Char Char Char"/>
    <w:basedOn w:val="a"/>
    <w:semiHidden/>
    <w:rsid w:val="00F96F41"/>
    <w:pPr>
      <w:adjustRightInd w:val="0"/>
      <w:snapToGrid w:val="0"/>
      <w:spacing w:line="360" w:lineRule="auto"/>
      <w:ind w:firstLineChars="200" w:firstLine="200"/>
    </w:pPr>
    <w:rPr>
      <w:rFonts w:ascii="宋体" w:eastAsia="宋体" w:hAnsi="宋体" w:cs="宋体"/>
      <w:sz w:val="30"/>
      <w:szCs w:val="30"/>
    </w:rPr>
  </w:style>
  <w:style w:type="paragraph" w:customStyle="1" w:styleId="20025">
    <w:name w:val="样式 标题 2节 + (西文) 宋体 (中文) 宋体 四号 段前: 0 磅 段后: 0 磅 行距: 固定值 25 磅"/>
    <w:basedOn w:val="2"/>
    <w:rsid w:val="00F96F41"/>
    <w:pPr>
      <w:widowControl w:val="0"/>
      <w:adjustRightInd/>
      <w:snapToGrid/>
      <w:spacing w:line="480" w:lineRule="exact"/>
      <w:ind w:firstLineChars="0" w:firstLine="0"/>
      <w:jc w:val="both"/>
    </w:pPr>
    <w:rPr>
      <w:rFonts w:ascii="宋体" w:hAnsi="宋体" w:cs="宋体"/>
      <w:b/>
      <w:kern w:val="2"/>
      <w:sz w:val="28"/>
      <w:szCs w:val="28"/>
      <w:lang w:eastAsia="zh-CN"/>
    </w:rPr>
  </w:style>
  <w:style w:type="paragraph" w:customStyle="1" w:styleId="CharCharCharChar0">
    <w:name w:val="样式 正文缩进首行缩进两字特点 Char正文缩进 Char正文（首行缩进两字） Char正文（首行缩进两字） Char..."/>
    <w:basedOn w:val="a"/>
    <w:rsid w:val="00F96F41"/>
    <w:pPr>
      <w:spacing w:line="360" w:lineRule="auto"/>
      <w:ind w:firstLineChars="200" w:firstLine="480"/>
    </w:pPr>
    <w:rPr>
      <w:rFonts w:ascii="Times New Roman" w:eastAsia="宋体" w:hAnsi="Times New Roman" w:cs="Times New Roman"/>
      <w:sz w:val="24"/>
      <w:szCs w:val="24"/>
    </w:rPr>
  </w:style>
  <w:style w:type="paragraph" w:customStyle="1" w:styleId="Heading1">
    <w:name w:val="Heading1"/>
    <w:basedOn w:val="a"/>
    <w:next w:val="a"/>
    <w:qFormat/>
    <w:rsid w:val="00F96F41"/>
    <w:pPr>
      <w:keepNext/>
      <w:keepLines/>
      <w:tabs>
        <w:tab w:val="left" w:pos="1230"/>
      </w:tabs>
      <w:spacing w:before="240" w:after="120"/>
      <w:ind w:left="1230" w:hanging="1230"/>
      <w:jc w:val="center"/>
    </w:pPr>
    <w:rPr>
      <w:rFonts w:ascii="Times New Roman" w:eastAsia="黑体" w:hAnsi="Times New Roman" w:cs="Times New Roman"/>
      <w:b/>
      <w:kern w:val="44"/>
      <w:sz w:val="42"/>
      <w:szCs w:val="24"/>
    </w:rPr>
  </w:style>
  <w:style w:type="paragraph" w:customStyle="1" w:styleId="pic-info">
    <w:name w:val="pic-info"/>
    <w:basedOn w:val="a"/>
    <w:rsid w:val="00F96F41"/>
    <w:pPr>
      <w:widowControl/>
      <w:spacing w:before="100" w:beforeAutospacing="1" w:after="100" w:afterAutospacing="1"/>
      <w:jc w:val="left"/>
    </w:pPr>
    <w:rPr>
      <w:rFonts w:ascii="宋体" w:eastAsia="宋体" w:hAnsi="宋体" w:cs="宋体"/>
      <w:kern w:val="0"/>
      <w:sz w:val="24"/>
      <w:szCs w:val="24"/>
    </w:rPr>
  </w:style>
  <w:style w:type="paragraph" w:customStyle="1" w:styleId="Char21">
    <w:name w:val="Char2"/>
    <w:basedOn w:val="a"/>
    <w:rsid w:val="00F96F41"/>
    <w:pPr>
      <w:snapToGrid w:val="0"/>
      <w:spacing w:line="360" w:lineRule="auto"/>
      <w:ind w:firstLineChars="200" w:firstLine="200"/>
    </w:pPr>
    <w:rPr>
      <w:rFonts w:ascii="Times New Roman" w:eastAsia="宋体" w:hAnsi="Times New Roman" w:cs="Times New Roman"/>
      <w:color w:val="000000"/>
      <w:kern w:val="0"/>
      <w:szCs w:val="21"/>
      <w:lang w:val="zh-CN"/>
    </w:rPr>
  </w:style>
  <w:style w:type="paragraph" w:customStyle="1" w:styleId="111111111111111111222">
    <w:name w:val="111111111111111111222"/>
    <w:basedOn w:val="a"/>
    <w:rsid w:val="00F96F41"/>
    <w:pPr>
      <w:spacing w:line="440" w:lineRule="exact"/>
      <w:ind w:firstLineChars="200" w:firstLine="480"/>
    </w:pPr>
    <w:rPr>
      <w:rFonts w:ascii="宋体" w:eastAsia="宋体" w:hAnsi="宋体" w:cs="Times New Roman"/>
      <w:sz w:val="24"/>
      <w:szCs w:val="24"/>
    </w:rPr>
  </w:style>
  <w:style w:type="paragraph" w:customStyle="1" w:styleId="116">
    <w:name w:val="样式116"/>
    <w:basedOn w:val="92"/>
    <w:rsid w:val="00F96F41"/>
    <w:pPr>
      <w:spacing w:line="240" w:lineRule="exact"/>
    </w:pPr>
  </w:style>
  <w:style w:type="paragraph" w:customStyle="1" w:styleId="22CharChar214">
    <w:name w:val="样式 样式 标题 2标题节标题 2 Char Char + 段前: 2 行 + 左侧:  1 字符4"/>
    <w:basedOn w:val="22CharChar2"/>
    <w:rsid w:val="00F96F41"/>
    <w:pPr>
      <w:spacing w:beforeLines="0" w:before="50" w:after="50"/>
    </w:pPr>
    <w:rPr>
      <w:rFonts w:eastAsia="宋体" w:hAnsi="Times New Roman" w:cs="宋体"/>
      <w:bCs/>
    </w:rPr>
  </w:style>
  <w:style w:type="paragraph" w:customStyle="1" w:styleId="zCharCharChar">
    <w:name w:val="z正文 Char Char Char"/>
    <w:basedOn w:val="a"/>
    <w:rsid w:val="00F96F41"/>
    <w:pPr>
      <w:spacing w:line="360" w:lineRule="auto"/>
      <w:ind w:firstLineChars="200" w:firstLine="200"/>
    </w:pPr>
    <w:rPr>
      <w:rFonts w:ascii="宋体" w:eastAsia="仿宋_GB2312" w:hAnsi="宋体" w:cs="宋体"/>
      <w:sz w:val="28"/>
      <w:szCs w:val="28"/>
    </w:rPr>
  </w:style>
  <w:style w:type="paragraph" w:customStyle="1" w:styleId="afffffff7">
    <w:name w:val="表文排版"/>
    <w:basedOn w:val="ac"/>
    <w:next w:val="a"/>
    <w:qFormat/>
    <w:rsid w:val="00F96F41"/>
    <w:pPr>
      <w:widowControl w:val="0"/>
      <w:adjustRightInd w:val="0"/>
      <w:snapToGrid w:val="0"/>
      <w:spacing w:before="0"/>
      <w:ind w:left="0"/>
      <w:jc w:val="center"/>
    </w:pPr>
    <w:rPr>
      <w:rFonts w:ascii="Times New Roman" w:hAnsi="Times New Roman"/>
      <w:kern w:val="2"/>
      <w:sz w:val="22"/>
      <w:lang w:eastAsia="zh-CN"/>
    </w:rPr>
  </w:style>
  <w:style w:type="paragraph" w:customStyle="1" w:styleId="UserStyle3">
    <w:name w:val="UserStyle_3"/>
    <w:basedOn w:val="Heading2"/>
    <w:next w:val="a"/>
    <w:qFormat/>
    <w:rsid w:val="00F96F41"/>
    <w:pPr>
      <w:keepLines/>
      <w:snapToGrid w:val="0"/>
      <w:spacing w:line="460" w:lineRule="exact"/>
      <w:ind w:firstLineChars="200" w:firstLine="200"/>
    </w:pPr>
    <w:rPr>
      <w:rFonts w:ascii="Times New Roman"/>
      <w:sz w:val="26"/>
      <w:szCs w:val="20"/>
    </w:rPr>
  </w:style>
  <w:style w:type="paragraph" w:customStyle="1" w:styleId="Heading2">
    <w:name w:val="Heading2"/>
    <w:basedOn w:val="a"/>
    <w:next w:val="a"/>
    <w:rsid w:val="00F96F41"/>
    <w:pPr>
      <w:keepNext/>
      <w:spacing w:before="156" w:line="440" w:lineRule="exact"/>
      <w:ind w:firstLineChars="196" w:firstLine="472"/>
    </w:pPr>
    <w:rPr>
      <w:rFonts w:ascii="Arial" w:eastAsia="黑体" w:hAnsi="Arial" w:cs="Times New Roman"/>
      <w:b/>
      <w:color w:val="000000"/>
      <w:sz w:val="24"/>
      <w:szCs w:val="24"/>
    </w:rPr>
  </w:style>
  <w:style w:type="paragraph" w:customStyle="1" w:styleId="38">
    <w:name w:val="样式 标题 3 + 四号"/>
    <w:basedOn w:val="3"/>
    <w:rsid w:val="00F96F41"/>
    <w:pPr>
      <w:widowControl w:val="0"/>
      <w:spacing w:before="100" w:after="100" w:line="460" w:lineRule="exact"/>
      <w:jc w:val="both"/>
    </w:pPr>
    <w:rPr>
      <w:rFonts w:ascii="宋体" w:hAnsi="宋体"/>
      <w:b w:val="0"/>
      <w:kern w:val="2"/>
      <w:sz w:val="26"/>
      <w:szCs w:val="28"/>
      <w:lang w:eastAsia="zh-CN"/>
    </w:rPr>
  </w:style>
  <w:style w:type="paragraph" w:customStyle="1" w:styleId="NormalIndent">
    <w:name w:val="NormalIndent"/>
    <w:basedOn w:val="a"/>
    <w:next w:val="a"/>
    <w:rsid w:val="00F96F41"/>
    <w:pPr>
      <w:ind w:firstLineChars="200" w:firstLine="420"/>
    </w:pPr>
    <w:rPr>
      <w:rFonts w:ascii="Times New Roman" w:eastAsia="宋体" w:hAnsi="Times New Roman" w:cs="Times New Roman"/>
      <w:szCs w:val="24"/>
    </w:rPr>
  </w:style>
  <w:style w:type="paragraph" w:customStyle="1" w:styleId="BodyText21">
    <w:name w:val="Body Text 21"/>
    <w:basedOn w:val="a"/>
    <w:rsid w:val="00F96F41"/>
    <w:pPr>
      <w:adjustRightInd w:val="0"/>
      <w:snapToGrid w:val="0"/>
      <w:spacing w:line="312" w:lineRule="auto"/>
      <w:textAlignment w:val="baseline"/>
    </w:pPr>
    <w:rPr>
      <w:rFonts w:ascii="Times New Roman" w:eastAsia="宋体" w:hAnsi="Times New Roman" w:cs="Times New Roman"/>
      <w:kern w:val="0"/>
      <w:sz w:val="28"/>
      <w:szCs w:val="20"/>
    </w:rPr>
  </w:style>
  <w:style w:type="paragraph" w:customStyle="1" w:styleId="afffffff8">
    <w:name w:val="何家沟正文"/>
    <w:basedOn w:val="a"/>
    <w:qFormat/>
    <w:rsid w:val="00F96F41"/>
    <w:pPr>
      <w:spacing w:line="360" w:lineRule="auto"/>
      <w:ind w:firstLineChars="200" w:firstLine="460"/>
    </w:pPr>
    <w:rPr>
      <w:rFonts w:ascii="Times New Roman" w:eastAsia="宋体" w:hAnsi="宋体" w:cs="宋体"/>
      <w:sz w:val="23"/>
      <w:szCs w:val="23"/>
    </w:rPr>
  </w:style>
  <w:style w:type="paragraph" w:customStyle="1" w:styleId="200150">
    <w:name w:val="样式 标题 2节 + (西文) 宋体 (中文) 宋体 四号 段前: 0 磅 段后: 0 磅 行距: 1.5 倍行距"/>
    <w:basedOn w:val="2"/>
    <w:rsid w:val="00F96F41"/>
    <w:pPr>
      <w:widowControl w:val="0"/>
      <w:adjustRightInd/>
      <w:snapToGrid/>
      <w:spacing w:line="500" w:lineRule="exact"/>
      <w:ind w:firstLineChars="0" w:firstLine="0"/>
      <w:jc w:val="both"/>
    </w:pPr>
    <w:rPr>
      <w:rFonts w:ascii="宋体" w:eastAsia="宋体" w:hAnsi="宋体" w:cs="宋体"/>
      <w:b/>
      <w:kern w:val="2"/>
      <w:sz w:val="28"/>
      <w:szCs w:val="28"/>
      <w:lang w:eastAsia="zh-CN"/>
    </w:rPr>
  </w:style>
  <w:style w:type="paragraph" w:customStyle="1" w:styleId="22CharChar22051">
    <w:name w:val="样式 样式 标题 2标题节标题 2 Char Char + 段前: 2 行 + 首行缩进:  2 字符 段前: 0.5 行 ...1"/>
    <w:basedOn w:val="22CharChar2"/>
    <w:next w:val="a"/>
    <w:rsid w:val="00F96F41"/>
    <w:pPr>
      <w:spacing w:beforeLines="0" w:before="0" w:line="240" w:lineRule="auto"/>
      <w:ind w:firstLine="482"/>
    </w:pPr>
    <w:rPr>
      <w:rFonts w:ascii="Arial"/>
      <w:bCs/>
      <w:sz w:val="24"/>
      <w:szCs w:val="24"/>
    </w:rPr>
  </w:style>
  <w:style w:type="paragraph" w:customStyle="1" w:styleId="afffffff9">
    <w:name w:val="正文(首行缩进)"/>
    <w:basedOn w:val="a"/>
    <w:rsid w:val="00F96F41"/>
    <w:pPr>
      <w:spacing w:line="360" w:lineRule="auto"/>
      <w:ind w:firstLine="510"/>
    </w:pPr>
    <w:rPr>
      <w:rFonts w:ascii="宋体" w:eastAsia="宋体" w:hAnsi="宋体" w:cs="Times New Roman"/>
      <w:snapToGrid w:val="0"/>
      <w:kern w:val="0"/>
      <w:sz w:val="24"/>
      <w:szCs w:val="20"/>
    </w:rPr>
  </w:style>
  <w:style w:type="paragraph" w:customStyle="1" w:styleId="1f1">
    <w:name w:val="标书标题1"/>
    <w:basedOn w:val="1"/>
    <w:rsid w:val="00F96F41"/>
    <w:pPr>
      <w:keepNext w:val="0"/>
      <w:keepLines w:val="0"/>
      <w:widowControl w:val="0"/>
      <w:tabs>
        <w:tab w:val="left" w:pos="360"/>
      </w:tabs>
      <w:adjustRightInd w:val="0"/>
      <w:snapToGrid w:val="0"/>
      <w:spacing w:beforeLines="100" w:before="480" w:afterLines="100" w:after="240" w:line="460" w:lineRule="exact"/>
      <w:ind w:left="284" w:hanging="284"/>
      <w:jc w:val="center"/>
    </w:pPr>
    <w:rPr>
      <w:rFonts w:ascii="Arial Narrow" w:eastAsia="黑体" w:hAnsi="Arial Narrow"/>
      <w:b w:val="0"/>
      <w:bCs w:val="0"/>
      <w:snapToGrid w:val="0"/>
      <w:kern w:val="0"/>
      <w:sz w:val="30"/>
      <w:lang w:eastAsia="zh-CN"/>
    </w:rPr>
  </w:style>
  <w:style w:type="paragraph" w:customStyle="1" w:styleId="150">
    <w:name w:val="样式15"/>
    <w:basedOn w:val="a"/>
    <w:rsid w:val="00F96F41"/>
    <w:pPr>
      <w:keepNext/>
      <w:keepLines/>
      <w:widowControl/>
      <w:adjustRightInd w:val="0"/>
      <w:snapToGrid w:val="0"/>
      <w:spacing w:before="360" w:after="360" w:line="360" w:lineRule="auto"/>
      <w:jc w:val="center"/>
      <w:outlineLvl w:val="0"/>
    </w:pPr>
    <w:rPr>
      <w:rFonts w:ascii="Times New Roman" w:eastAsia="宋体" w:hAnsi="Times New Roman" w:cs="Times New Roman"/>
      <w:b/>
      <w:bCs/>
      <w:sz w:val="32"/>
      <w:szCs w:val="32"/>
    </w:rPr>
  </w:style>
  <w:style w:type="paragraph" w:customStyle="1" w:styleId="Char210">
    <w:name w:val="Char21"/>
    <w:basedOn w:val="a"/>
    <w:rsid w:val="00F96F41"/>
    <w:pPr>
      <w:spacing w:line="360" w:lineRule="auto"/>
      <w:ind w:firstLineChars="200" w:firstLine="200"/>
    </w:pPr>
    <w:rPr>
      <w:rFonts w:ascii="Times New Roman" w:eastAsia="宋体" w:hAnsi="Times New Roman" w:cs="Times New Roman"/>
      <w:sz w:val="30"/>
      <w:szCs w:val="20"/>
    </w:rPr>
  </w:style>
  <w:style w:type="paragraph" w:customStyle="1" w:styleId="xl31">
    <w:name w:val="xl31"/>
    <w:basedOn w:val="a"/>
    <w:semiHidden/>
    <w:rsid w:val="00F96F41"/>
    <w:pPr>
      <w:widowControl/>
      <w:spacing w:before="100" w:beforeAutospacing="1" w:after="100" w:afterAutospacing="1"/>
      <w:jc w:val="center"/>
    </w:pPr>
    <w:rPr>
      <w:rFonts w:ascii="Times New Roman" w:eastAsia="宋体" w:hAnsi="Times New Roman" w:cs="Times New Roman"/>
      <w:kern w:val="0"/>
      <w:sz w:val="24"/>
      <w:szCs w:val="24"/>
    </w:rPr>
  </w:style>
  <w:style w:type="paragraph" w:customStyle="1" w:styleId="212">
    <w:name w:val="样式 首行缩进:  2 字符1"/>
    <w:basedOn w:val="a"/>
    <w:rsid w:val="00F96F41"/>
    <w:pPr>
      <w:spacing w:before="120" w:line="440" w:lineRule="atLeast"/>
      <w:ind w:firstLineChars="207" w:firstLine="497"/>
    </w:pPr>
    <w:rPr>
      <w:rFonts w:ascii="Arial" w:eastAsia="宋体" w:hAnsi="宋体" w:cs="Arial"/>
      <w:sz w:val="24"/>
      <w:szCs w:val="24"/>
    </w:rPr>
  </w:style>
  <w:style w:type="paragraph" w:customStyle="1" w:styleId="22CharChar205051">
    <w:name w:val="样式 样式 标题 2标题节标题 2 Char Char + 段前: 2 行 + 段前: 0.5 行 段后: 0.5 行1"/>
    <w:basedOn w:val="22CharChar2"/>
    <w:rsid w:val="00F96F41"/>
  </w:style>
  <w:style w:type="paragraph" w:customStyle="1" w:styleId="a30">
    <w:name w:val="a3"/>
    <w:basedOn w:val="a"/>
    <w:rsid w:val="00F96F41"/>
    <w:pPr>
      <w:spacing w:line="288" w:lineRule="auto"/>
      <w:jc w:val="center"/>
    </w:pPr>
    <w:rPr>
      <w:rFonts w:ascii="Times New Roman" w:eastAsia="宋体" w:hAnsi="Times New Roman" w:cs="Times New Roman"/>
      <w:szCs w:val="24"/>
    </w:rPr>
  </w:style>
  <w:style w:type="paragraph" w:customStyle="1" w:styleId="39">
    <w:name w:val="样式3"/>
    <w:basedOn w:val="af0"/>
    <w:rsid w:val="00F96F41"/>
    <w:pPr>
      <w:spacing w:line="500" w:lineRule="exact"/>
      <w:ind w:firstLineChars="150" w:firstLine="360"/>
    </w:pPr>
    <w:rPr>
      <w:rFonts w:hAnsi="宋体" w:cs="宋体"/>
      <w:b/>
      <w:szCs w:val="24"/>
    </w:rPr>
  </w:style>
  <w:style w:type="paragraph" w:customStyle="1" w:styleId="22CharChar213">
    <w:name w:val="样式 样式 标题 2标题节标题 2 Char Char + 段前: 2 行 + 左侧:  1 字符3"/>
    <w:basedOn w:val="22CharChar2"/>
    <w:rsid w:val="00F96F41"/>
    <w:pPr>
      <w:spacing w:beforeLines="0" w:before="50" w:after="50"/>
    </w:pPr>
    <w:rPr>
      <w:rFonts w:eastAsia="宋体" w:hAnsi="Times New Roman" w:cs="宋体"/>
      <w:bCs/>
    </w:rPr>
  </w:style>
  <w:style w:type="paragraph" w:customStyle="1" w:styleId="44">
    <w:name w:val="标书标题4"/>
    <w:basedOn w:val="4"/>
    <w:rsid w:val="00F96F41"/>
    <w:pPr>
      <w:keepNext w:val="0"/>
      <w:keepLines w:val="0"/>
      <w:numPr>
        <w:ilvl w:val="0"/>
        <w:numId w:val="0"/>
      </w:numPr>
      <w:tabs>
        <w:tab w:val="left" w:pos="851"/>
      </w:tabs>
      <w:adjustRightInd w:val="0"/>
      <w:snapToGrid w:val="0"/>
      <w:spacing w:before="0" w:line="300" w:lineRule="auto"/>
      <w:ind w:left="851" w:firstLineChars="200" w:hanging="851"/>
    </w:pPr>
    <w:rPr>
      <w:rFonts w:ascii="Arial Narrow" w:eastAsia="仿宋_GB2312" w:hAnsi="Arial Narrow"/>
      <w:b w:val="0"/>
      <w:bCs w:val="0"/>
      <w:kern w:val="0"/>
      <w:sz w:val="28"/>
      <w:szCs w:val="20"/>
    </w:rPr>
  </w:style>
  <w:style w:type="paragraph" w:customStyle="1" w:styleId="Char4CharCharChar2">
    <w:name w:val="Char4 Char Char Char2"/>
    <w:basedOn w:val="a"/>
    <w:semiHidden/>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3a">
    <w:name w:val="标书标题3"/>
    <w:basedOn w:val="3"/>
    <w:rsid w:val="00F96F41"/>
    <w:pPr>
      <w:keepNext w:val="0"/>
      <w:keepLines w:val="0"/>
      <w:widowControl w:val="0"/>
      <w:adjustRightInd w:val="0"/>
      <w:snapToGrid w:val="0"/>
      <w:spacing w:before="120" w:after="60" w:line="300" w:lineRule="auto"/>
      <w:ind w:firstLineChars="200" w:firstLine="522"/>
      <w:jc w:val="both"/>
    </w:pPr>
    <w:rPr>
      <w:rFonts w:ascii="宋体" w:hAnsi="宋体"/>
      <w:color w:val="000000"/>
      <w:sz w:val="26"/>
      <w:szCs w:val="26"/>
      <w:lang w:eastAsia="zh-CN"/>
    </w:rPr>
  </w:style>
  <w:style w:type="paragraph" w:customStyle="1" w:styleId="A222">
    <w:name w:val="样式 样式 样式 样式 样式 正文A + 首行缩进:  2 字符 + 首行缩进:  2 字符 + 两端对齐 首行缩进:  2 字..."/>
    <w:basedOn w:val="a"/>
    <w:rsid w:val="00F96F41"/>
    <w:pPr>
      <w:tabs>
        <w:tab w:val="left" w:pos="578"/>
        <w:tab w:val="left" w:pos="1074"/>
        <w:tab w:val="left" w:pos="1595"/>
        <w:tab w:val="left" w:pos="2073"/>
        <w:tab w:val="left" w:pos="2507"/>
        <w:tab w:val="left" w:pos="3025"/>
        <w:tab w:val="left" w:pos="3991"/>
      </w:tabs>
      <w:spacing w:line="360" w:lineRule="auto"/>
      <w:ind w:firstLineChars="200" w:firstLine="480"/>
    </w:pPr>
    <w:rPr>
      <w:rFonts w:ascii="Times New Roman" w:eastAsia="宋体" w:hAnsi="Times New Roman" w:cs="宋体"/>
      <w:kern w:val="0"/>
      <w:sz w:val="24"/>
      <w:szCs w:val="20"/>
    </w:rPr>
  </w:style>
  <w:style w:type="paragraph" w:customStyle="1" w:styleId="2f3">
    <w:name w:val="标书标题2"/>
    <w:basedOn w:val="2"/>
    <w:rsid w:val="00F96F41"/>
    <w:pPr>
      <w:keepNext w:val="0"/>
      <w:keepLines w:val="0"/>
      <w:widowControl w:val="0"/>
      <w:tabs>
        <w:tab w:val="left" w:pos="574"/>
      </w:tabs>
      <w:spacing w:before="240" w:after="120" w:line="300" w:lineRule="auto"/>
      <w:ind w:firstLine="200"/>
    </w:pPr>
    <w:rPr>
      <w:rFonts w:ascii="Arial Narrow" w:eastAsia="宋体" w:hAnsi="Arial Narrow"/>
      <w:b/>
      <w:bCs w:val="0"/>
      <w:sz w:val="28"/>
      <w:lang w:eastAsia="zh-CN"/>
    </w:rPr>
  </w:style>
  <w:style w:type="paragraph" w:customStyle="1" w:styleId="ygs">
    <w:name w:val="ygs正文"/>
    <w:basedOn w:val="a"/>
    <w:rsid w:val="00F96F41"/>
    <w:pPr>
      <w:spacing w:line="440" w:lineRule="exact"/>
      <w:ind w:firstLineChars="200" w:firstLine="480"/>
    </w:pPr>
    <w:rPr>
      <w:rFonts w:ascii="宋体" w:eastAsia="宋体" w:hAnsi="宋体" w:cs="Times New Roman"/>
      <w:bCs/>
      <w:sz w:val="24"/>
      <w:szCs w:val="24"/>
    </w:rPr>
  </w:style>
  <w:style w:type="paragraph" w:customStyle="1" w:styleId="CharCharCharCharChar2Char">
    <w:name w:val="Char Char Char Char Char2 Char"/>
    <w:basedOn w:val="a"/>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declear">
    <w:name w:val="declear"/>
    <w:basedOn w:val="a"/>
    <w:rsid w:val="00F96F41"/>
    <w:pPr>
      <w:widowControl/>
      <w:spacing w:before="100" w:beforeAutospacing="1" w:after="100" w:afterAutospacing="1"/>
      <w:jc w:val="left"/>
    </w:pPr>
    <w:rPr>
      <w:rFonts w:ascii="宋体" w:eastAsia="宋体" w:hAnsi="宋体" w:cs="宋体"/>
      <w:kern w:val="0"/>
      <w:sz w:val="24"/>
      <w:szCs w:val="24"/>
    </w:rPr>
  </w:style>
  <w:style w:type="paragraph" w:customStyle="1" w:styleId="afffffffa">
    <w:name w:val="正 文"/>
    <w:basedOn w:val="a"/>
    <w:qFormat/>
    <w:rsid w:val="00F96F41"/>
    <w:pPr>
      <w:spacing w:line="440" w:lineRule="exact"/>
    </w:pPr>
    <w:rPr>
      <w:rFonts w:ascii="Times New Roman" w:eastAsia="宋体" w:hAnsi="宋体" w:cs="Times New Roman"/>
      <w:szCs w:val="24"/>
    </w:rPr>
  </w:style>
  <w:style w:type="paragraph" w:customStyle="1" w:styleId="1f2">
    <w:name w:val="正文   1"/>
    <w:basedOn w:val="a"/>
    <w:qFormat/>
    <w:rsid w:val="00F96F41"/>
    <w:pPr>
      <w:snapToGrid w:val="0"/>
      <w:spacing w:line="460" w:lineRule="atLeast"/>
      <w:ind w:firstLineChars="200" w:firstLine="520"/>
    </w:pPr>
    <w:rPr>
      <w:rFonts w:ascii="Times New Roman" w:eastAsia="宋体" w:hAnsi="Times New Roman" w:cs="Times New Roman"/>
      <w:bCs/>
      <w:sz w:val="26"/>
      <w:szCs w:val="24"/>
    </w:rPr>
  </w:style>
  <w:style w:type="paragraph" w:customStyle="1" w:styleId="afffffffb">
    <w:name w:val="表格中的文字"/>
    <w:basedOn w:val="a"/>
    <w:qFormat/>
    <w:rsid w:val="00F96F41"/>
    <w:pPr>
      <w:snapToGrid w:val="0"/>
      <w:jc w:val="center"/>
    </w:pPr>
    <w:rPr>
      <w:rFonts w:ascii="Times New Roman" w:eastAsia="宋体" w:hAnsi="Times New Roman" w:cs="Times New Roman"/>
    </w:rPr>
  </w:style>
  <w:style w:type="paragraph" w:customStyle="1" w:styleId="afffffffc">
    <w:name w:val="表格体"/>
    <w:basedOn w:val="afff7"/>
    <w:qFormat/>
    <w:rsid w:val="00F96F41"/>
    <w:pPr>
      <w:spacing w:line="240" w:lineRule="auto"/>
    </w:pPr>
    <w:rPr>
      <w:rFonts w:eastAsia="宋体"/>
      <w:sz w:val="21"/>
      <w:szCs w:val="22"/>
    </w:rPr>
  </w:style>
  <w:style w:type="paragraph" w:customStyle="1" w:styleId="61">
    <w:name w:val="6表格"/>
    <w:basedOn w:val="a"/>
    <w:rsid w:val="00F96F41"/>
    <w:pPr>
      <w:adjustRightInd w:val="0"/>
      <w:snapToGrid w:val="0"/>
      <w:spacing w:before="120"/>
      <w:jc w:val="center"/>
    </w:pPr>
    <w:rPr>
      <w:rFonts w:ascii="Times New Roman" w:eastAsia="宋体" w:hAnsi="Times New Roman" w:cs="Times New Roman"/>
      <w:kern w:val="0"/>
      <w:szCs w:val="20"/>
    </w:rPr>
  </w:style>
  <w:style w:type="paragraph" w:customStyle="1" w:styleId="CharChar2CharCharCharCharCharChar">
    <w:name w:val="Char Char2 Char Char Char Char Char Char"/>
    <w:basedOn w:val="a"/>
    <w:semiHidden/>
    <w:rsid w:val="00F96F41"/>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22CharChar2111">
    <w:name w:val="样式 样式 标题 2标题节标题 2 Char Char + 段前: 2 行 + 左侧:  1 字符 右侧:  1 字符1"/>
    <w:basedOn w:val="22CharChar2"/>
    <w:rsid w:val="00F96F41"/>
    <w:pPr>
      <w:spacing w:beforeLines="0" w:before="50" w:after="50"/>
    </w:pPr>
    <w:rPr>
      <w:rFonts w:eastAsia="宋体" w:hAnsi="Times New Roman" w:cs="宋体"/>
      <w:bCs/>
    </w:rPr>
  </w:style>
  <w:style w:type="paragraph" w:customStyle="1" w:styleId="190">
    <w:name w:val="样式19"/>
    <w:basedOn w:val="a"/>
    <w:rsid w:val="00F96F41"/>
    <w:pPr>
      <w:keepNext/>
      <w:keepLines/>
      <w:widowControl/>
      <w:adjustRightInd w:val="0"/>
      <w:snapToGrid w:val="0"/>
      <w:spacing w:line="460" w:lineRule="exact"/>
      <w:jc w:val="left"/>
      <w:textAlignment w:val="baseline"/>
      <w:outlineLvl w:val="2"/>
    </w:pPr>
    <w:rPr>
      <w:rFonts w:ascii="Times New Roman" w:eastAsia="宋体" w:hAnsi="Times New Roman" w:cs="Times New Roman"/>
      <w:b/>
      <w:kern w:val="0"/>
      <w:sz w:val="26"/>
      <w:szCs w:val="26"/>
    </w:rPr>
  </w:style>
  <w:style w:type="paragraph" w:customStyle="1" w:styleId="22CharChar212">
    <w:name w:val="样式 样式 标题 2标题节标题 2 Char Char + 段前: 2 行 + 左侧:  1 字符2"/>
    <w:basedOn w:val="22CharChar2"/>
    <w:rsid w:val="00F96F41"/>
    <w:pPr>
      <w:spacing w:beforeLines="0" w:before="50" w:after="50"/>
    </w:pPr>
    <w:rPr>
      <w:rFonts w:eastAsia="宋体" w:hAnsi="Times New Roman" w:cs="宋体"/>
      <w:bCs/>
    </w:rPr>
  </w:style>
  <w:style w:type="paragraph" w:customStyle="1" w:styleId="b">
    <w:name w:val="b"/>
    <w:basedOn w:val="2"/>
    <w:rsid w:val="00F96F41"/>
    <w:pPr>
      <w:keepNext w:val="0"/>
      <w:keepLines w:val="0"/>
      <w:spacing w:beforeLines="50" w:before="50" w:afterLines="50" w:after="50" w:line="240" w:lineRule="auto"/>
      <w:ind w:firstLineChars="0" w:firstLine="0"/>
      <w:jc w:val="both"/>
      <w:textAlignment w:val="baseline"/>
    </w:pPr>
    <w:rPr>
      <w:rFonts w:eastAsia="仿宋_GB2312"/>
      <w:b/>
      <w:color w:val="000000"/>
      <w:sz w:val="32"/>
      <w:lang w:eastAsia="zh-CN"/>
    </w:rPr>
  </w:style>
  <w:style w:type="paragraph" w:customStyle="1" w:styleId="xl65">
    <w:name w:val="xl65"/>
    <w:basedOn w:val="a"/>
    <w:rsid w:val="00F96F41"/>
    <w:pPr>
      <w:widowControl/>
      <w:pBdr>
        <w:left w:val="single" w:sz="4" w:space="0" w:color="auto"/>
      </w:pBdr>
      <w:spacing w:before="100" w:beforeAutospacing="1" w:after="100" w:afterAutospacing="1"/>
    </w:pPr>
    <w:rPr>
      <w:rFonts w:ascii="Arial Unicode MS" w:eastAsia="Arial Unicode MS" w:hAnsi="Arial Unicode MS" w:cs="Arial Unicode MS"/>
      <w:kern w:val="0"/>
      <w:szCs w:val="21"/>
    </w:rPr>
  </w:style>
  <w:style w:type="paragraph" w:customStyle="1" w:styleId="2CharCharCharCharCharCharChar">
    <w:name w:val="样式 正文缩进正文缩进2正文缩进 Char Char正文缩进 Char Char Char Char正文缩进 Char ..."/>
    <w:basedOn w:val="a3"/>
    <w:qFormat/>
    <w:rsid w:val="00F96F41"/>
    <w:pPr>
      <w:spacing w:line="360" w:lineRule="auto"/>
      <w:ind w:firstLineChars="200" w:firstLine="200"/>
    </w:pPr>
    <w:rPr>
      <w:rFonts w:cs="宋体"/>
      <w:sz w:val="24"/>
    </w:rPr>
  </w:style>
  <w:style w:type="paragraph" w:customStyle="1" w:styleId="123">
    <w:name w:val="123"/>
    <w:basedOn w:val="a"/>
    <w:next w:val="a"/>
    <w:rsid w:val="00F96F41"/>
    <w:pPr>
      <w:spacing w:line="360" w:lineRule="auto"/>
      <w:ind w:firstLineChars="200" w:firstLine="562"/>
    </w:pPr>
    <w:rPr>
      <w:rFonts w:ascii="Times New Roman" w:eastAsia="宋体" w:hAnsi="Times New Roman" w:cs="Times New Roman"/>
      <w:b/>
      <w:bCs/>
      <w:color w:val="000000"/>
      <w:sz w:val="28"/>
      <w:szCs w:val="24"/>
    </w:rPr>
  </w:style>
  <w:style w:type="paragraph" w:customStyle="1" w:styleId="1323">
    <w:name w:val="样式 13 磅 行距: 固定值 23 磅"/>
    <w:basedOn w:val="a"/>
    <w:rsid w:val="00F96F41"/>
    <w:pPr>
      <w:spacing w:line="460" w:lineRule="exact"/>
      <w:ind w:firstLineChars="200" w:firstLine="520"/>
    </w:pPr>
    <w:rPr>
      <w:rFonts w:ascii="Times New Roman" w:eastAsia="宋体" w:hAnsi="Times New Roman" w:cs="Times New Roman"/>
      <w:sz w:val="26"/>
      <w:szCs w:val="20"/>
    </w:rPr>
  </w:style>
  <w:style w:type="paragraph" w:customStyle="1" w:styleId="6565656">
    <w:name w:val="样式6565656"/>
    <w:basedOn w:val="a"/>
    <w:qFormat/>
    <w:rsid w:val="00F96F41"/>
    <w:pPr>
      <w:adjustRightInd w:val="0"/>
      <w:snapToGrid w:val="0"/>
      <w:spacing w:line="460" w:lineRule="atLeast"/>
      <w:ind w:firstLineChars="200" w:firstLine="480"/>
    </w:pPr>
    <w:rPr>
      <w:rFonts w:ascii="Times New Roman" w:eastAsia="宋体" w:hAnsi="Times New Roman" w:cs="Times New Roman"/>
      <w:bCs/>
      <w:szCs w:val="24"/>
    </w:rPr>
  </w:style>
  <w:style w:type="paragraph" w:customStyle="1" w:styleId="22CharChar20505">
    <w:name w:val="样式 样式 标题 2标题节标题 2 Char Char + 段前: 2 行 + 段前: 0.5 行 段后: 0.5 行"/>
    <w:basedOn w:val="22CharChar2"/>
    <w:next w:val="a"/>
    <w:rsid w:val="00F96F41"/>
    <w:pPr>
      <w:spacing w:beforeLines="0" w:before="120" w:after="120"/>
    </w:pPr>
    <w:rPr>
      <w:rFonts w:eastAsia="宋体" w:hAnsi="Times New Roman" w:cs="宋体"/>
      <w:bCs/>
    </w:rPr>
  </w:style>
  <w:style w:type="paragraph" w:customStyle="1" w:styleId="afffffffd">
    <w:name w:val="二级标题"/>
    <w:basedOn w:val="a"/>
    <w:next w:val="a"/>
    <w:rsid w:val="00F96F41"/>
    <w:pPr>
      <w:adjustRightInd w:val="0"/>
      <w:snapToGrid w:val="0"/>
      <w:spacing w:beforeLines="50" w:before="156" w:afterLines="50" w:after="156" w:line="460" w:lineRule="exact"/>
      <w:outlineLvl w:val="1"/>
    </w:pPr>
    <w:rPr>
      <w:rFonts w:ascii="Times New Roman" w:eastAsia="宋体" w:hAnsi="Times New Roman" w:cs="Times New Roman"/>
      <w:b/>
      <w:bCs/>
      <w:sz w:val="30"/>
      <w:szCs w:val="30"/>
    </w:rPr>
  </w:style>
  <w:style w:type="paragraph" w:customStyle="1" w:styleId="0858">
    <w:name w:val="样式 首行缩进:  0.85 厘米8"/>
    <w:basedOn w:val="a"/>
    <w:rsid w:val="00F96F41"/>
    <w:pPr>
      <w:adjustRightInd w:val="0"/>
      <w:snapToGrid w:val="0"/>
      <w:spacing w:line="288" w:lineRule="auto"/>
      <w:ind w:firstLineChars="200" w:firstLine="482"/>
    </w:pPr>
    <w:rPr>
      <w:rFonts w:ascii="Times New Roman" w:eastAsia="宋体" w:hAnsi="Times New Roman" w:cs="宋体"/>
      <w:sz w:val="24"/>
      <w:szCs w:val="26"/>
    </w:rPr>
  </w:style>
  <w:style w:type="paragraph" w:customStyle="1" w:styleId="CharCharChar3CharCharChar2Char">
    <w:name w:val="Char Char Char3 Char Char Char2 Char"/>
    <w:basedOn w:val="a"/>
    <w:semiHidden/>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afffffffe">
    <w:name w:val="编号正文"/>
    <w:basedOn w:val="a"/>
    <w:rsid w:val="00F96F41"/>
    <w:pPr>
      <w:tabs>
        <w:tab w:val="left" w:pos="1260"/>
      </w:tabs>
      <w:adjustRightInd w:val="0"/>
      <w:snapToGrid w:val="0"/>
      <w:spacing w:afterLines="50" w:after="50" w:line="300" w:lineRule="auto"/>
      <w:ind w:left="1260" w:firstLineChars="200" w:hanging="806"/>
    </w:pPr>
    <w:rPr>
      <w:rFonts w:ascii="Arial Narrow" w:eastAsia="仿宋_GB2312" w:hAnsi="Arial Narrow" w:cs="Times New Roman"/>
      <w:sz w:val="28"/>
      <w:szCs w:val="28"/>
    </w:rPr>
  </w:style>
  <w:style w:type="paragraph" w:customStyle="1" w:styleId="Char30">
    <w:name w:val="Char3"/>
    <w:basedOn w:val="a"/>
    <w:rsid w:val="00F96F41"/>
    <w:rPr>
      <w:rFonts w:ascii="Times New Roman" w:eastAsia="宋体" w:hAnsi="Times New Roman" w:cs="Times New Roman"/>
      <w:szCs w:val="24"/>
    </w:rPr>
  </w:style>
  <w:style w:type="paragraph" w:customStyle="1" w:styleId="affffffff">
    <w:name w:val="表格文字居中"/>
    <w:basedOn w:val="a"/>
    <w:next w:val="a"/>
    <w:rsid w:val="00F96F41"/>
    <w:pPr>
      <w:adjustRightInd w:val="0"/>
      <w:snapToGrid w:val="0"/>
      <w:spacing w:line="460" w:lineRule="exact"/>
      <w:ind w:firstLineChars="200" w:firstLine="200"/>
      <w:jc w:val="center"/>
    </w:pPr>
    <w:rPr>
      <w:rFonts w:ascii="Times New Roman" w:eastAsia="宋体" w:hAnsi="Times New Roman" w:cs="Times New Roman"/>
      <w:color w:val="000000"/>
      <w:sz w:val="22"/>
    </w:rPr>
  </w:style>
  <w:style w:type="paragraph" w:customStyle="1" w:styleId="2TimesNewRoman">
    <w:name w:val="样式 标题 2 + Times New Roman 非加粗"/>
    <w:basedOn w:val="2"/>
    <w:qFormat/>
    <w:rsid w:val="00F96F41"/>
    <w:pPr>
      <w:keepLines w:val="0"/>
      <w:widowControl w:val="0"/>
      <w:adjustRightInd/>
      <w:snapToGrid/>
      <w:spacing w:beforeLines="50" w:before="156" w:line="240" w:lineRule="auto"/>
      <w:ind w:firstLineChars="196" w:firstLine="472"/>
      <w:jc w:val="both"/>
    </w:pPr>
    <w:rPr>
      <w:bCs w:val="0"/>
      <w:color w:val="000000"/>
      <w:kern w:val="2"/>
      <w:szCs w:val="24"/>
      <w:lang w:eastAsia="zh-CN"/>
    </w:rPr>
  </w:style>
  <w:style w:type="paragraph" w:customStyle="1" w:styleId="xl27">
    <w:name w:val="xl27"/>
    <w:basedOn w:val="a"/>
    <w:rsid w:val="00F96F41"/>
    <w:pPr>
      <w:widowControl/>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Times New Roman"/>
      <w:color w:val="000000"/>
      <w:kern w:val="0"/>
      <w:szCs w:val="20"/>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Z7">
    <w:name w:val="Z7[图表]"/>
    <w:next w:val="a"/>
    <w:rsid w:val="00F96F41"/>
    <w:pPr>
      <w:jc w:val="center"/>
    </w:pPr>
    <w:rPr>
      <w:rFonts w:eastAsia="仿宋_GB2312"/>
      <w:bCs/>
      <w:sz w:val="21"/>
      <w:szCs w:val="44"/>
    </w:rPr>
  </w:style>
  <w:style w:type="paragraph" w:customStyle="1" w:styleId="HtmlNormal">
    <w:name w:val="HtmlNormal"/>
    <w:basedOn w:val="a"/>
    <w:qFormat/>
    <w:rsid w:val="00F96F41"/>
    <w:pPr>
      <w:spacing w:before="100" w:beforeAutospacing="1" w:after="100" w:afterAutospacing="1" w:line="384" w:lineRule="auto"/>
      <w:jc w:val="left"/>
    </w:pPr>
    <w:rPr>
      <w:rFonts w:ascii="Arial Unicode MS" w:eastAsia="Times New Roman" w:hAnsi="Arial Unicode MS" w:cs="Times New Roman"/>
      <w:color w:val="000000"/>
      <w:kern w:val="0"/>
      <w:szCs w:val="21"/>
    </w:rPr>
  </w:style>
  <w:style w:type="paragraph" w:customStyle="1" w:styleId="13230">
    <w:name w:val="样式 13 磅 黑色 行距: 固定值 23 磅"/>
    <w:basedOn w:val="a"/>
    <w:rsid w:val="00F96F41"/>
    <w:pPr>
      <w:adjustRightInd w:val="0"/>
      <w:snapToGrid w:val="0"/>
      <w:spacing w:line="440" w:lineRule="exact"/>
      <w:jc w:val="center"/>
    </w:pPr>
    <w:rPr>
      <w:rFonts w:ascii="宋体" w:eastAsia="宋体" w:hAnsi="宋体" w:cs="Arial"/>
      <w:sz w:val="24"/>
      <w:szCs w:val="24"/>
    </w:rPr>
  </w:style>
  <w:style w:type="paragraph" w:customStyle="1" w:styleId="22CharChar2205">
    <w:name w:val="样式 样式 标题 2标题节标题 2 Char Char + 段前: 2 行 + 首行缩进:  2 字符 段前: 0.5 行 ..."/>
    <w:basedOn w:val="22CharChar2"/>
    <w:rsid w:val="00F96F41"/>
    <w:pPr>
      <w:spacing w:beforeLines="0" w:before="0"/>
      <w:ind w:firstLineChars="0" w:firstLine="0"/>
    </w:pPr>
    <w:rPr>
      <w:rFonts w:eastAsia="宋体" w:hAnsi="Times New Roman" w:cs="宋体"/>
      <w:bCs/>
    </w:rPr>
  </w:style>
  <w:style w:type="paragraph" w:customStyle="1" w:styleId="xl24">
    <w:name w:val="xl24"/>
    <w:basedOn w:val="a"/>
    <w:rsid w:val="00F96F41"/>
    <w:pPr>
      <w:widowControl/>
      <w:spacing w:before="100" w:beforeAutospacing="1" w:after="100" w:afterAutospacing="1"/>
      <w:jc w:val="center"/>
      <w:textAlignment w:val="center"/>
    </w:pPr>
    <w:rPr>
      <w:rFonts w:ascii="Arial Unicode MS" w:eastAsia="Arial Unicode MS" w:hAnsi="Arial Unicode MS" w:cs="Times New Roman"/>
      <w:kern w:val="0"/>
      <w:sz w:val="22"/>
    </w:rPr>
  </w:style>
  <w:style w:type="paragraph" w:customStyle="1" w:styleId="xl26">
    <w:name w:val="xl26"/>
    <w:basedOn w:val="a"/>
    <w:rsid w:val="00F96F41"/>
    <w:pPr>
      <w:widowControl/>
      <w:pBdr>
        <w:bottom w:val="single" w:sz="4" w:space="0" w:color="auto"/>
        <w:right w:val="single" w:sz="4" w:space="0" w:color="auto"/>
      </w:pBdr>
      <w:spacing w:before="100" w:beforeAutospacing="1" w:after="100" w:afterAutospacing="1"/>
      <w:textAlignment w:val="top"/>
    </w:pPr>
    <w:rPr>
      <w:rFonts w:ascii="宋体" w:eastAsia="宋体" w:hAnsi="宋体" w:cs="Times New Roman"/>
      <w:kern w:val="0"/>
      <w:szCs w:val="21"/>
    </w:rPr>
  </w:style>
  <w:style w:type="paragraph" w:customStyle="1" w:styleId="Z2">
    <w:name w:val="Z2[封面]"/>
    <w:next w:val="a"/>
    <w:rsid w:val="00F96F41"/>
    <w:pPr>
      <w:spacing w:line="360" w:lineRule="auto"/>
      <w:jc w:val="center"/>
    </w:pPr>
    <w:rPr>
      <w:rFonts w:eastAsia="楷体_GB2312"/>
      <w:bCs/>
      <w:sz w:val="32"/>
      <w:szCs w:val="44"/>
    </w:rPr>
  </w:style>
  <w:style w:type="paragraph" w:customStyle="1" w:styleId="UserStyle5">
    <w:name w:val="UserStyle_5"/>
    <w:rsid w:val="00F96F41"/>
    <w:pPr>
      <w:spacing w:line="600" w:lineRule="exact"/>
      <w:ind w:firstLine="567"/>
      <w:jc w:val="both"/>
      <w:textAlignment w:val="baseline"/>
    </w:pPr>
    <w:rPr>
      <w:rFonts w:ascii="宋体"/>
      <w:sz w:val="28"/>
    </w:rPr>
  </w:style>
  <w:style w:type="paragraph" w:customStyle="1" w:styleId="ParaChar">
    <w:name w:val="默认段落字体 Para Char"/>
    <w:basedOn w:val="a"/>
    <w:next w:val="a"/>
    <w:rsid w:val="00F96F41"/>
    <w:pPr>
      <w:spacing w:line="360" w:lineRule="auto"/>
      <w:ind w:firstLineChars="200" w:firstLine="200"/>
    </w:pPr>
    <w:rPr>
      <w:rFonts w:ascii="Times New Roman" w:eastAsia="宋体" w:hAnsi="Times New Roman" w:cs="Times New Roman"/>
      <w:szCs w:val="24"/>
    </w:rPr>
  </w:style>
  <w:style w:type="paragraph" w:customStyle="1" w:styleId="affffffff0">
    <w:name w:val="正"/>
    <w:qFormat/>
    <w:rsid w:val="00F96F41"/>
    <w:pPr>
      <w:spacing w:line="480" w:lineRule="exact"/>
      <w:ind w:firstLineChars="196" w:firstLine="470"/>
    </w:pPr>
    <w:rPr>
      <w:bCs/>
      <w:kern w:val="2"/>
      <w:sz w:val="24"/>
      <w:szCs w:val="24"/>
    </w:rPr>
  </w:style>
  <w:style w:type="paragraph" w:customStyle="1" w:styleId="Z5">
    <w:name w:val="Z5[附件]"/>
    <w:next w:val="a"/>
    <w:rsid w:val="00F96F41"/>
    <w:pPr>
      <w:spacing w:line="360" w:lineRule="auto"/>
      <w:ind w:firstLineChars="200" w:firstLine="200"/>
    </w:pPr>
    <w:rPr>
      <w:rFonts w:eastAsia="仿宋_GB2312"/>
      <w:b/>
      <w:sz w:val="28"/>
      <w:szCs w:val="24"/>
    </w:rPr>
  </w:style>
  <w:style w:type="paragraph" w:customStyle="1" w:styleId="xl25">
    <w:name w:val="xl25"/>
    <w:basedOn w:val="a"/>
    <w:semiHidden/>
    <w:rsid w:val="00F96F41"/>
    <w:pPr>
      <w:widowControl/>
      <w:spacing w:before="100" w:after="100"/>
      <w:jc w:val="center"/>
    </w:pPr>
    <w:rPr>
      <w:rFonts w:ascii="Times New Roman" w:eastAsia="Arial Unicode MS" w:hAnsi="Times New Roman" w:cs="Times New Roman"/>
      <w:kern w:val="0"/>
      <w:sz w:val="24"/>
      <w:szCs w:val="20"/>
    </w:rPr>
  </w:style>
  <w:style w:type="paragraph" w:customStyle="1" w:styleId="282">
    <w:name w:val="样式 四号 行距: 固定值 28 磅 首行缩进:  2 字符"/>
    <w:basedOn w:val="a"/>
    <w:rsid w:val="00F96F41"/>
    <w:pPr>
      <w:spacing w:line="560" w:lineRule="exact"/>
      <w:ind w:firstLineChars="200" w:firstLine="560"/>
    </w:pPr>
    <w:rPr>
      <w:rFonts w:ascii="Times New Roman" w:eastAsia="宋体" w:hAnsi="Times New Roman" w:cs="宋体"/>
      <w:sz w:val="28"/>
      <w:szCs w:val="20"/>
    </w:rPr>
  </w:style>
  <w:style w:type="paragraph" w:customStyle="1" w:styleId="22CharChar21">
    <w:name w:val="样式 样式 标题 2标题节标题 2 Char Char + 段前: 2 行 + 左侧:  1 字符"/>
    <w:basedOn w:val="22CharChar2"/>
    <w:rsid w:val="00F96F41"/>
    <w:pPr>
      <w:spacing w:beforeLines="0" w:before="0"/>
    </w:pPr>
    <w:rPr>
      <w:rFonts w:eastAsia="宋体" w:hAnsi="Times New Roman" w:cs="宋体"/>
      <w:bCs/>
    </w:rPr>
  </w:style>
  <w:style w:type="paragraph" w:customStyle="1" w:styleId="CharCharChar0">
    <w:name w:val="Char Char Char"/>
    <w:basedOn w:val="a"/>
    <w:rsid w:val="00F96F41"/>
    <w:rPr>
      <w:rFonts w:ascii="Times New Roman" w:eastAsia="宋体" w:hAnsi="Times New Roman" w:cs="Times New Roman"/>
      <w:sz w:val="24"/>
      <w:szCs w:val="20"/>
    </w:rPr>
  </w:style>
  <w:style w:type="paragraph" w:customStyle="1" w:styleId="101">
    <w:name w:val="样式 左 首行缩进:  1.01 厘米"/>
    <w:basedOn w:val="a"/>
    <w:rsid w:val="00F96F41"/>
    <w:pPr>
      <w:adjustRightInd w:val="0"/>
      <w:snapToGrid w:val="0"/>
      <w:spacing w:line="460" w:lineRule="exact"/>
      <w:ind w:firstLineChars="200" w:firstLine="200"/>
    </w:pPr>
    <w:rPr>
      <w:rFonts w:ascii="Times New Roman" w:eastAsia="宋体" w:hAnsi="Times New Roman" w:cs="宋体"/>
      <w:sz w:val="26"/>
      <w:szCs w:val="26"/>
    </w:rPr>
  </w:style>
  <w:style w:type="paragraph" w:customStyle="1" w:styleId="13232">
    <w:name w:val="样式 13 磅 行距: 固定值 23 磅 首行缩进:  2 字符"/>
    <w:basedOn w:val="a"/>
    <w:rsid w:val="00F96F41"/>
    <w:pPr>
      <w:spacing w:line="460" w:lineRule="exact"/>
      <w:ind w:firstLineChars="200" w:firstLine="520"/>
    </w:pPr>
    <w:rPr>
      <w:rFonts w:ascii="Times New Roman" w:eastAsia="宋体" w:hAnsi="Times New Roman" w:cs="宋体"/>
      <w:sz w:val="26"/>
      <w:szCs w:val="20"/>
    </w:rPr>
  </w:style>
  <w:style w:type="paragraph" w:customStyle="1" w:styleId="-hao-">
    <w:name w:val="表格文字-hao-居中"/>
    <w:uiPriority w:val="99"/>
    <w:qFormat/>
    <w:rsid w:val="00F96F41"/>
    <w:pPr>
      <w:adjustRightInd w:val="0"/>
      <w:snapToGrid w:val="0"/>
      <w:spacing w:beforeLines="20" w:afterLines="10" w:line="264" w:lineRule="auto"/>
      <w:jc w:val="center"/>
      <w:textAlignment w:val="center"/>
    </w:pPr>
    <w:rPr>
      <w:szCs w:val="24"/>
    </w:rPr>
  </w:style>
  <w:style w:type="paragraph" w:customStyle="1" w:styleId="Z1">
    <w:name w:val="Z1[封面]"/>
    <w:next w:val="a"/>
    <w:rsid w:val="00F96F41"/>
    <w:pPr>
      <w:spacing w:line="360" w:lineRule="auto"/>
      <w:jc w:val="center"/>
    </w:pPr>
    <w:rPr>
      <w:rFonts w:eastAsia="华文中宋"/>
      <w:b/>
      <w:bCs/>
      <w:sz w:val="44"/>
      <w:szCs w:val="44"/>
    </w:rPr>
  </w:style>
  <w:style w:type="paragraph" w:customStyle="1" w:styleId="CharCharCharChar1">
    <w:name w:val="Char Char Char Char1"/>
    <w:basedOn w:val="a"/>
    <w:rsid w:val="00F96F41"/>
    <w:pPr>
      <w:spacing w:line="360" w:lineRule="auto"/>
    </w:pPr>
    <w:rPr>
      <w:rFonts w:ascii="仿宋_GB2312" w:eastAsia="仿宋_GB2312" w:hAnsi="Tahoma" w:cs="Times New Roman"/>
      <w:szCs w:val="21"/>
    </w:rPr>
  </w:style>
  <w:style w:type="paragraph" w:customStyle="1" w:styleId="1f3">
    <w:name w:val="表格1"/>
    <w:basedOn w:val="a"/>
    <w:rsid w:val="00F96F41"/>
    <w:pPr>
      <w:spacing w:line="360" w:lineRule="exact"/>
      <w:jc w:val="center"/>
    </w:pPr>
    <w:rPr>
      <w:rFonts w:ascii="Times New Roman" w:eastAsia="宋体" w:hAnsi="Times New Roman" w:cs="Times New Roman"/>
      <w:color w:val="000000"/>
      <w:sz w:val="24"/>
      <w:szCs w:val="24"/>
    </w:rPr>
  </w:style>
  <w:style w:type="paragraph" w:customStyle="1" w:styleId="affffffff1">
    <w:name w:val="正文（首行缩进两字）"/>
    <w:basedOn w:val="a"/>
    <w:rsid w:val="00F96F41"/>
    <w:rPr>
      <w:rFonts w:ascii="Times New Roman" w:eastAsia="宋体" w:hAnsi="Times New Roman" w:cs="Times New Roman"/>
      <w:szCs w:val="21"/>
    </w:rPr>
  </w:style>
  <w:style w:type="paragraph" w:customStyle="1" w:styleId="BodyTextIndent2">
    <w:name w:val="BodyTextIndent2"/>
    <w:basedOn w:val="a"/>
    <w:qFormat/>
    <w:rsid w:val="00F96F41"/>
    <w:pPr>
      <w:spacing w:after="120" w:line="480" w:lineRule="auto"/>
      <w:ind w:leftChars="200" w:left="420"/>
    </w:pPr>
    <w:rPr>
      <w:rFonts w:ascii="Times New Roman" w:eastAsia="宋体" w:hAnsi="Times New Roman" w:cs="Times New Roman"/>
      <w:szCs w:val="24"/>
    </w:rPr>
  </w:style>
  <w:style w:type="paragraph" w:customStyle="1" w:styleId="affffffff2">
    <w:name w:val="三级标题"/>
    <w:basedOn w:val="a"/>
    <w:next w:val="a"/>
    <w:semiHidden/>
    <w:rsid w:val="00F96F41"/>
    <w:pPr>
      <w:snapToGrid w:val="0"/>
      <w:outlineLvl w:val="2"/>
    </w:pPr>
    <w:rPr>
      <w:rFonts w:ascii="Times New Roman" w:eastAsia="宋体" w:hAnsi="Times New Roman" w:cs="Times New Roman"/>
      <w:b/>
      <w:sz w:val="26"/>
      <w:szCs w:val="26"/>
    </w:rPr>
  </w:style>
  <w:style w:type="paragraph" w:customStyle="1" w:styleId="ggbody">
    <w:name w:val="gg_body"/>
    <w:basedOn w:val="a"/>
    <w:rsid w:val="00F96F41"/>
    <w:pPr>
      <w:spacing w:line="460" w:lineRule="exact"/>
      <w:ind w:firstLine="200"/>
    </w:pPr>
    <w:rPr>
      <w:rFonts w:ascii="宋体" w:eastAsia="宋体" w:hAnsi="宋体" w:cs="Times New Roman"/>
      <w:sz w:val="24"/>
      <w:szCs w:val="20"/>
    </w:rPr>
  </w:style>
  <w:style w:type="paragraph" w:customStyle="1" w:styleId="xl52">
    <w:name w:val="xl52"/>
    <w:basedOn w:val="a"/>
    <w:rsid w:val="00F96F41"/>
    <w:pPr>
      <w:widowControl/>
      <w:pBdr>
        <w:left w:val="single" w:sz="8" w:space="0" w:color="auto"/>
      </w:pBdr>
      <w:spacing w:before="100" w:beforeAutospacing="1" w:after="100" w:afterAutospacing="1"/>
      <w:jc w:val="center"/>
      <w:textAlignment w:val="center"/>
    </w:pPr>
    <w:rPr>
      <w:rFonts w:ascii="Arial Unicode MS" w:eastAsia="Arial Unicode MS" w:hAnsi="Arial Unicode MS" w:cs="Arial Unicode MS"/>
      <w:kern w:val="0"/>
      <w:sz w:val="24"/>
      <w:szCs w:val="24"/>
    </w:rPr>
  </w:style>
  <w:style w:type="paragraph" w:customStyle="1" w:styleId="8">
    <w:name w:val="样式8"/>
    <w:basedOn w:val="3"/>
    <w:rsid w:val="00F96F41"/>
    <w:pPr>
      <w:widowControl w:val="0"/>
      <w:adjustRightInd w:val="0"/>
      <w:snapToGrid w:val="0"/>
      <w:spacing w:before="0" w:after="0" w:line="480" w:lineRule="exact"/>
      <w:jc w:val="both"/>
    </w:pPr>
    <w:rPr>
      <w:rFonts w:ascii="Times New Roman" w:hAnsi="Times New Roman"/>
      <w:kern w:val="2"/>
      <w:sz w:val="26"/>
      <w:szCs w:val="24"/>
      <w:lang w:eastAsia="zh-CN"/>
    </w:rPr>
  </w:style>
  <w:style w:type="paragraph" w:customStyle="1" w:styleId="affffffff3">
    <w:name w:val="样式 正文文本缩进 + 宋体"/>
    <w:basedOn w:val="ae"/>
    <w:rsid w:val="00F96F41"/>
    <w:pPr>
      <w:widowControl w:val="0"/>
      <w:spacing w:beforeLines="30" w:before="93" w:afterLines="30" w:after="93" w:line="460" w:lineRule="exact"/>
      <w:ind w:left="0" w:firstLineChars="200" w:firstLine="560"/>
      <w:jc w:val="both"/>
    </w:pPr>
    <w:rPr>
      <w:rFonts w:ascii="宋体" w:hAnsi="宋体"/>
      <w:kern w:val="2"/>
      <w:sz w:val="21"/>
      <w:szCs w:val="28"/>
      <w:lang w:eastAsia="zh-CN"/>
    </w:rPr>
  </w:style>
  <w:style w:type="paragraph" w:customStyle="1" w:styleId="22CharChar211">
    <w:name w:val="样式 样式 标题 2标题节标题 2 Char Char + 段前: 2 行 + 左侧:  1 字符 右侧:  1 字符"/>
    <w:basedOn w:val="22CharChar2"/>
    <w:rsid w:val="00F96F41"/>
    <w:rPr>
      <w:szCs w:val="26"/>
    </w:rPr>
  </w:style>
  <w:style w:type="paragraph" w:customStyle="1" w:styleId="00000000000000000000000Char">
    <w:name w:val="00000000000000000000000 Char"/>
    <w:basedOn w:val="a"/>
    <w:rsid w:val="00F96F41"/>
    <w:pPr>
      <w:spacing w:line="360" w:lineRule="auto"/>
      <w:ind w:firstLine="510"/>
    </w:pPr>
    <w:rPr>
      <w:rFonts w:ascii="Times New Roman" w:eastAsia="宋体" w:hAnsi="Times New Roman" w:cs="Times New Roman"/>
      <w:color w:val="000000"/>
      <w:szCs w:val="24"/>
      <w:lang w:val="zh-CN"/>
    </w:rPr>
  </w:style>
  <w:style w:type="paragraph" w:customStyle="1" w:styleId="CharCharChar2CharCharCharCharCharCharCharCharCharChar">
    <w:name w:val="Char Char Char2 Char Char Char Char Char Char Char Char Char Char"/>
    <w:basedOn w:val="a"/>
    <w:semiHidden/>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170">
    <w:name w:val="样式17"/>
    <w:basedOn w:val="a"/>
    <w:rsid w:val="00F96F41"/>
    <w:pPr>
      <w:keepNext/>
      <w:keepLines/>
      <w:widowControl/>
      <w:adjustRightInd w:val="0"/>
      <w:snapToGrid w:val="0"/>
      <w:spacing w:before="80" w:line="460" w:lineRule="exact"/>
      <w:jc w:val="left"/>
      <w:outlineLvl w:val="1"/>
    </w:pPr>
    <w:rPr>
      <w:rFonts w:ascii="Times New Roman" w:eastAsia="黑体" w:hAnsi="Times New Roman" w:cs="Times New Roman"/>
      <w:b/>
      <w:bCs/>
      <w:kern w:val="0"/>
      <w:sz w:val="28"/>
      <w:szCs w:val="28"/>
    </w:rPr>
  </w:style>
  <w:style w:type="paragraph" w:customStyle="1" w:styleId="affffffff4">
    <w:name w:val="简单回函地址"/>
    <w:basedOn w:val="a"/>
    <w:rsid w:val="00F96F41"/>
    <w:rPr>
      <w:rFonts w:ascii="Times New Roman" w:eastAsia="宋体" w:hAnsi="Times New Roman" w:cs="Times New Roman"/>
      <w:szCs w:val="20"/>
    </w:rPr>
  </w:style>
  <w:style w:type="paragraph" w:customStyle="1" w:styleId="Heading3">
    <w:name w:val="Heading3"/>
    <w:basedOn w:val="a"/>
    <w:next w:val="a"/>
    <w:qFormat/>
    <w:rsid w:val="00F96F41"/>
    <w:pPr>
      <w:keepNext/>
      <w:keepLines/>
      <w:spacing w:before="156" w:line="440" w:lineRule="exact"/>
      <w:ind w:firstLineChars="196" w:firstLine="472"/>
    </w:pPr>
    <w:rPr>
      <w:rFonts w:ascii="Arial" w:eastAsia="黑体" w:hAnsi="Arial" w:cs="Times New Roman"/>
      <w:b/>
      <w:color w:val="000000"/>
      <w:kern w:val="0"/>
      <w:sz w:val="24"/>
      <w:szCs w:val="24"/>
    </w:rPr>
  </w:style>
  <w:style w:type="paragraph" w:customStyle="1" w:styleId="22CharChar2105">
    <w:name w:val="样式 样式 样式 标题 2标题节标题 2 Char Char + 段前: 2 行 + 左侧:  1 字符 + 段前: 0.5 行..."/>
    <w:basedOn w:val="a"/>
    <w:rsid w:val="00F96F41"/>
    <w:pPr>
      <w:keepNext/>
      <w:keepLines/>
      <w:adjustRightInd w:val="0"/>
      <w:snapToGrid w:val="0"/>
      <w:spacing w:line="460" w:lineRule="exact"/>
      <w:ind w:firstLineChars="200" w:firstLine="200"/>
      <w:outlineLvl w:val="1"/>
    </w:pPr>
    <w:rPr>
      <w:rFonts w:ascii="Times New Roman" w:eastAsia="宋体" w:hAnsi="Times New Roman" w:cs="宋体"/>
      <w:b/>
      <w:bCs/>
      <w:sz w:val="26"/>
      <w:szCs w:val="26"/>
    </w:rPr>
  </w:style>
  <w:style w:type="paragraph" w:customStyle="1" w:styleId="affffffff5">
    <w:name w:val="一级标题"/>
    <w:basedOn w:val="a"/>
    <w:next w:val="a"/>
    <w:rsid w:val="00F96F41"/>
    <w:pPr>
      <w:adjustRightInd w:val="0"/>
      <w:snapToGrid w:val="0"/>
      <w:spacing w:before="100" w:beforeAutospacing="1" w:afterLines="50" w:after="156" w:line="460" w:lineRule="exact"/>
      <w:jc w:val="center"/>
      <w:outlineLvl w:val="0"/>
    </w:pPr>
    <w:rPr>
      <w:rFonts w:ascii="Times New Roman" w:eastAsia="宋体" w:hAnsi="Times New Roman" w:cs="Times New Roman"/>
      <w:b/>
      <w:bCs/>
      <w:sz w:val="32"/>
      <w:szCs w:val="32"/>
    </w:rPr>
  </w:style>
  <w:style w:type="paragraph" w:customStyle="1" w:styleId="UserStyle1">
    <w:name w:val="UserStyle_1"/>
    <w:rsid w:val="00F96F41"/>
    <w:pPr>
      <w:spacing w:line="480" w:lineRule="exact"/>
      <w:ind w:firstLineChars="196" w:firstLine="470"/>
      <w:textAlignment w:val="baseline"/>
    </w:pPr>
    <w:rPr>
      <w:bCs/>
      <w:kern w:val="2"/>
      <w:sz w:val="24"/>
      <w:szCs w:val="24"/>
    </w:rPr>
  </w:style>
  <w:style w:type="paragraph" w:customStyle="1" w:styleId="affffffff6">
    <w:name w:val="环评表头"/>
    <w:basedOn w:val="a"/>
    <w:rsid w:val="00F96F41"/>
    <w:pPr>
      <w:spacing w:line="440" w:lineRule="exact"/>
      <w:jc w:val="center"/>
    </w:pPr>
    <w:rPr>
      <w:rFonts w:ascii="黑体" w:eastAsia="黑体" w:hAnsi="Arial" w:cs="Arial"/>
      <w:b/>
      <w:color w:val="000000"/>
      <w:sz w:val="24"/>
      <w:szCs w:val="24"/>
    </w:rPr>
  </w:style>
  <w:style w:type="paragraph" w:customStyle="1" w:styleId="UserStyle6">
    <w:name w:val="UserStyle_6"/>
    <w:basedOn w:val="UserStyle4"/>
    <w:qFormat/>
    <w:rsid w:val="00F96F41"/>
  </w:style>
  <w:style w:type="paragraph" w:customStyle="1" w:styleId="UserStyle4">
    <w:name w:val="UserStyle_4"/>
    <w:basedOn w:val="a"/>
    <w:qFormat/>
    <w:rsid w:val="00F96F41"/>
    <w:pPr>
      <w:snapToGrid w:val="0"/>
      <w:spacing w:line="460" w:lineRule="exact"/>
      <w:ind w:firstLineChars="218" w:firstLine="567"/>
      <w:jc w:val="left"/>
    </w:pPr>
    <w:rPr>
      <w:rFonts w:ascii="Times New Roman" w:eastAsia="宋体" w:hAnsi="Times New Roman" w:cs="Times New Roman"/>
      <w:kern w:val="0"/>
      <w:sz w:val="26"/>
      <w:szCs w:val="26"/>
    </w:rPr>
  </w:style>
  <w:style w:type="paragraph" w:customStyle="1" w:styleId="affffffff7">
    <w:name w:val="环评标题"/>
    <w:basedOn w:val="afffffff0"/>
    <w:rsid w:val="00F96F41"/>
    <w:pPr>
      <w:ind w:firstLine="482"/>
    </w:pPr>
    <w:rPr>
      <w:rFonts w:ascii="黑体" w:eastAsia="黑体"/>
      <w:b/>
    </w:rPr>
  </w:style>
  <w:style w:type="paragraph" w:customStyle="1" w:styleId="CharCharCharCharCharCharChar">
    <w:name w:val="Char Char Char Char Char Char Char"/>
    <w:basedOn w:val="a"/>
    <w:next w:val="a"/>
    <w:rsid w:val="00F96F41"/>
    <w:pPr>
      <w:spacing w:line="360" w:lineRule="auto"/>
      <w:ind w:firstLineChars="200" w:firstLine="200"/>
    </w:pPr>
    <w:rPr>
      <w:rFonts w:ascii="Times New Roman" w:eastAsia="宋体" w:hAnsi="Times New Roman" w:cs="Times New Roman"/>
      <w:szCs w:val="24"/>
    </w:rPr>
  </w:style>
  <w:style w:type="paragraph" w:customStyle="1" w:styleId="CharCharCharCharChar2CharCharCharChar">
    <w:name w:val="Char Char Char Char Char2 Char Char Char Char"/>
    <w:basedOn w:val="a"/>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CharCharChar1CharCharCharChar">
    <w:name w:val="Char Char Char1 Char Char Char Char"/>
    <w:basedOn w:val="a"/>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affffffff8">
    <w:name w:val="样式 正文（首行缩进两字） + 宋体"/>
    <w:basedOn w:val="a3"/>
    <w:rsid w:val="00F96F41"/>
    <w:pPr>
      <w:adjustRightInd w:val="0"/>
      <w:snapToGrid w:val="0"/>
      <w:ind w:firstLine="567"/>
    </w:pPr>
    <w:rPr>
      <w:rFonts w:ascii="宋体" w:hAnsi="宋体"/>
      <w:sz w:val="28"/>
      <w:szCs w:val="20"/>
    </w:rPr>
  </w:style>
  <w:style w:type="paragraph" w:customStyle="1" w:styleId="affffffff9">
    <w:name w:val="正文四号"/>
    <w:basedOn w:val="a"/>
    <w:qFormat/>
    <w:rsid w:val="00F96F41"/>
    <w:pPr>
      <w:spacing w:line="360" w:lineRule="auto"/>
      <w:ind w:firstLineChars="200" w:firstLine="200"/>
    </w:pPr>
    <w:rPr>
      <w:rFonts w:ascii="宋体" w:eastAsia="宋体" w:hAnsi="Times New Roman" w:cs="宋体"/>
      <w:kern w:val="0"/>
      <w:sz w:val="24"/>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
    <w:rsid w:val="00F96F41"/>
    <w:pPr>
      <w:widowControl/>
      <w:spacing w:after="160" w:line="240" w:lineRule="exact"/>
      <w:jc w:val="left"/>
    </w:pPr>
    <w:rPr>
      <w:rFonts w:ascii="Verdana" w:eastAsia="仿宋_GB2312" w:hAnsi="Verdana" w:cs="Verdana"/>
      <w:color w:val="000000"/>
      <w:kern w:val="0"/>
      <w:sz w:val="24"/>
      <w:szCs w:val="21"/>
      <w:lang w:eastAsia="en-US"/>
    </w:rPr>
  </w:style>
  <w:style w:type="paragraph" w:customStyle="1" w:styleId="CharCharChar1CharCharCharChar1">
    <w:name w:val="Char Char Char1 Char Char Char Char1"/>
    <w:basedOn w:val="a"/>
    <w:semiHidden/>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affffffffa">
    <w:name w:val="表格文字"/>
    <w:basedOn w:val="a3"/>
    <w:next w:val="a"/>
    <w:rsid w:val="00F96F41"/>
    <w:pPr>
      <w:snapToGrid w:val="0"/>
      <w:spacing w:before="60" w:after="60" w:line="460" w:lineRule="exact"/>
      <w:ind w:firstLineChars="200" w:firstLine="200"/>
    </w:pPr>
    <w:rPr>
      <w:sz w:val="26"/>
      <w:szCs w:val="20"/>
    </w:rPr>
  </w:style>
  <w:style w:type="paragraph" w:customStyle="1" w:styleId="3b">
    <w:name w:val="标题3"/>
    <w:basedOn w:val="a"/>
    <w:qFormat/>
    <w:rsid w:val="00F96F41"/>
    <w:pPr>
      <w:spacing w:line="360" w:lineRule="auto"/>
      <w:ind w:firstLineChars="200" w:firstLine="482"/>
    </w:pPr>
    <w:rPr>
      <w:rFonts w:ascii="仿宋_GB2312" w:eastAsia="仿宋_GB2312" w:hAnsi="Times New Roman" w:cs="Times New Roman"/>
      <w:b/>
      <w:sz w:val="24"/>
      <w:szCs w:val="24"/>
    </w:rPr>
  </w:style>
  <w:style w:type="paragraph" w:customStyle="1" w:styleId="11CharCharCharCharCh">
    <w:name w:val="样式 正文缩进表格标题正文（首行缩进两字）1正文缩进1正文（首行缩进两字） Char Char Char Char Ch..."/>
    <w:basedOn w:val="a3"/>
    <w:qFormat/>
    <w:rsid w:val="00F96F41"/>
    <w:pPr>
      <w:spacing w:line="440" w:lineRule="exact"/>
      <w:ind w:firstLine="200"/>
    </w:pPr>
    <w:rPr>
      <w:rFonts w:cs="宋体"/>
      <w:b/>
      <w:bCs/>
      <w:sz w:val="28"/>
      <w:szCs w:val="20"/>
    </w:rPr>
  </w:style>
  <w:style w:type="paragraph" w:customStyle="1" w:styleId="030">
    <w:name w:val="标题03"/>
    <w:basedOn w:val="a"/>
    <w:next w:val="a"/>
    <w:rsid w:val="00F96F41"/>
    <w:pPr>
      <w:adjustRightInd w:val="0"/>
      <w:snapToGrid w:val="0"/>
      <w:spacing w:line="480" w:lineRule="atLeast"/>
      <w:ind w:firstLineChars="200" w:firstLine="480"/>
    </w:pPr>
    <w:rPr>
      <w:rFonts w:ascii="Times New Roman" w:eastAsia="宋体" w:hAnsi="Times New Roman" w:cs="Times New Roman"/>
      <w:b/>
      <w:sz w:val="24"/>
      <w:szCs w:val="20"/>
    </w:rPr>
  </w:style>
  <w:style w:type="paragraph" w:customStyle="1" w:styleId="Char4CharCharChar1">
    <w:name w:val="Char4 Char Char Char1"/>
    <w:basedOn w:val="a"/>
    <w:rsid w:val="00F96F41"/>
    <w:pPr>
      <w:adjustRightInd w:val="0"/>
      <w:snapToGrid w:val="0"/>
      <w:spacing w:line="360" w:lineRule="auto"/>
      <w:ind w:firstLineChars="200" w:firstLine="200"/>
    </w:pPr>
    <w:rPr>
      <w:rFonts w:ascii="宋体" w:eastAsia="宋体" w:hAnsi="宋体" w:cs="宋体"/>
      <w:sz w:val="24"/>
      <w:szCs w:val="26"/>
    </w:rPr>
  </w:style>
  <w:style w:type="paragraph" w:customStyle="1" w:styleId="22CharChar2110">
    <w:name w:val="样式 样式 标题 2标题节标题 2 Char Char + 段前: 2 行 + 左侧:  1 字符1"/>
    <w:basedOn w:val="22CharChar2"/>
    <w:rsid w:val="00F96F41"/>
    <w:pPr>
      <w:spacing w:beforeLines="0" w:before="50" w:after="50"/>
    </w:pPr>
    <w:rPr>
      <w:rFonts w:eastAsia="宋体" w:hAnsi="Times New Roman" w:cs="宋体"/>
      <w:bCs/>
    </w:rPr>
  </w:style>
  <w:style w:type="paragraph" w:customStyle="1" w:styleId="xl54">
    <w:name w:val="xl54"/>
    <w:basedOn w:val="a"/>
    <w:rsid w:val="00F96F41"/>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Times New Roman"/>
      <w:b/>
      <w:kern w:val="0"/>
      <w:sz w:val="24"/>
      <w:szCs w:val="20"/>
    </w:rPr>
  </w:style>
  <w:style w:type="paragraph" w:customStyle="1" w:styleId="22CharChar205050">
    <w:name w:val="样式 样式 样式 标题 2标题节标题 2 Char Char + 段前: 2 行 + 段前: 0.5 行 段后: 0.5 行 +..."/>
    <w:basedOn w:val="22CharChar20505"/>
    <w:next w:val="a"/>
    <w:rsid w:val="00F96F41"/>
    <w:pPr>
      <w:spacing w:before="50" w:after="50"/>
      <w:ind w:firstLineChars="0" w:firstLine="0"/>
    </w:pPr>
  </w:style>
  <w:style w:type="paragraph" w:customStyle="1" w:styleId="1CharCharCharCharCharCharChar1">
    <w:name w:val="样式 正文缩进正文缩进1正文（首行缩进两字） Char Char Char Char Char Char Char文本条款...1"/>
    <w:basedOn w:val="a3"/>
    <w:rsid w:val="00F96F41"/>
    <w:pPr>
      <w:tabs>
        <w:tab w:val="left" w:pos="540"/>
        <w:tab w:val="left" w:pos="1050"/>
        <w:tab w:val="left" w:pos="1260"/>
        <w:tab w:val="left" w:pos="1800"/>
      </w:tabs>
      <w:spacing w:line="500" w:lineRule="exact"/>
      <w:ind w:firstLineChars="200" w:firstLine="560"/>
    </w:pPr>
    <w:rPr>
      <w:rFonts w:cs="宋体"/>
      <w:kern w:val="24"/>
      <w:sz w:val="28"/>
      <w:szCs w:val="28"/>
    </w:rPr>
  </w:style>
  <w:style w:type="paragraph" w:customStyle="1" w:styleId="affffffffb">
    <w:name w:val="样式 五号 居中 行距: 单倍行距"/>
    <w:basedOn w:val="a"/>
    <w:rsid w:val="00F96F41"/>
    <w:pPr>
      <w:adjustRightInd w:val="0"/>
      <w:snapToGrid w:val="0"/>
      <w:jc w:val="center"/>
    </w:pPr>
    <w:rPr>
      <w:rFonts w:ascii="Times New Roman" w:eastAsia="宋体" w:hAnsi="Times New Roman" w:cs="宋体"/>
      <w:kern w:val="0"/>
      <w:szCs w:val="21"/>
    </w:rPr>
  </w:style>
  <w:style w:type="paragraph" w:customStyle="1" w:styleId="CharCharCharCharCharCharChar1">
    <w:name w:val="Char Char Char Char Char Char Char1"/>
    <w:basedOn w:val="a"/>
    <w:rsid w:val="00F96F41"/>
    <w:pPr>
      <w:tabs>
        <w:tab w:val="left" w:pos="600"/>
      </w:tabs>
      <w:ind w:left="600" w:hanging="600"/>
    </w:pPr>
    <w:rPr>
      <w:rFonts w:ascii="Times New Roman" w:eastAsia="宋体" w:hAnsi="Times New Roman" w:cs="Times New Roman"/>
      <w:sz w:val="28"/>
      <w:szCs w:val="20"/>
    </w:rPr>
  </w:style>
  <w:style w:type="paragraph" w:customStyle="1" w:styleId="200122">
    <w:name w:val="样式 样式 2001 + 首行缩进:  2 字符 + 首行缩进:  2 字符"/>
    <w:basedOn w:val="a"/>
    <w:qFormat/>
    <w:rsid w:val="00F96F41"/>
    <w:pPr>
      <w:spacing w:line="360" w:lineRule="exact"/>
      <w:ind w:firstLineChars="200" w:firstLine="560"/>
    </w:pPr>
    <w:rPr>
      <w:rFonts w:ascii="Times New Roman" w:eastAsia="宋体" w:hAnsi="Times New Roman" w:cs="Times New Roman"/>
      <w:spacing w:val="20"/>
      <w:kern w:val="0"/>
      <w:sz w:val="24"/>
      <w:szCs w:val="20"/>
    </w:rPr>
  </w:style>
  <w:style w:type="paragraph" w:customStyle="1" w:styleId="33Char11">
    <w:name w:val="样式 标题 3标题 3 Char + 左侧:  1 字符 右侧:  1 字符"/>
    <w:basedOn w:val="3"/>
    <w:rsid w:val="00F96F41"/>
    <w:pPr>
      <w:adjustRightInd w:val="0"/>
      <w:snapToGrid w:val="0"/>
      <w:spacing w:beforeLines="50" w:before="156" w:after="0" w:line="460" w:lineRule="exact"/>
      <w:ind w:firstLineChars="200" w:firstLine="200"/>
      <w:jc w:val="both"/>
    </w:pPr>
    <w:rPr>
      <w:rFonts w:ascii="Times New Roman" w:eastAsia="黑体" w:hAnsi="Times New Roman"/>
      <w:bCs w:val="0"/>
      <w:color w:val="000000"/>
      <w:sz w:val="26"/>
      <w:szCs w:val="26"/>
      <w:lang w:eastAsia="zh-CN"/>
    </w:rPr>
  </w:style>
  <w:style w:type="paragraph" w:customStyle="1" w:styleId="affffffffc">
    <w:name w:val="表标题"/>
    <w:basedOn w:val="50"/>
    <w:rsid w:val="00F96F41"/>
    <w:pPr>
      <w:widowControl w:val="0"/>
      <w:adjustRightInd w:val="0"/>
      <w:snapToGrid w:val="0"/>
      <w:spacing w:before="60" w:after="60" w:line="377" w:lineRule="auto"/>
      <w:ind w:firstLineChars="200" w:firstLine="520"/>
      <w:jc w:val="center"/>
    </w:pPr>
    <w:rPr>
      <w:rFonts w:ascii="Times New Roman" w:eastAsia="黑体" w:hAnsi="Times New Roman"/>
      <w:kern w:val="2"/>
      <w:sz w:val="24"/>
      <w:lang w:eastAsia="zh-CN"/>
    </w:rPr>
  </w:style>
  <w:style w:type="paragraph" w:customStyle="1" w:styleId="350">
    <w:name w:val="样式35"/>
    <w:basedOn w:val="a"/>
    <w:rsid w:val="00F96F41"/>
    <w:pPr>
      <w:adjustRightInd w:val="0"/>
      <w:spacing w:line="312" w:lineRule="auto"/>
      <w:ind w:firstLine="567"/>
    </w:pPr>
    <w:rPr>
      <w:rFonts w:ascii="宋体" w:eastAsia="宋体" w:hAnsi="Times New Roman" w:cs="Times New Roman"/>
      <w:kern w:val="0"/>
      <w:sz w:val="28"/>
      <w:szCs w:val="20"/>
    </w:rPr>
  </w:style>
  <w:style w:type="paragraph" w:customStyle="1" w:styleId="311">
    <w:name w:val="样式31"/>
    <w:basedOn w:val="a"/>
    <w:qFormat/>
    <w:rsid w:val="00F96F41"/>
    <w:pPr>
      <w:widowControl/>
      <w:jc w:val="center"/>
    </w:pPr>
    <w:rPr>
      <w:rFonts w:ascii="宋体" w:eastAsia="宋体" w:hAnsi="宋体" w:cs="宋体"/>
      <w:kern w:val="0"/>
      <w:sz w:val="22"/>
    </w:rPr>
  </w:style>
  <w:style w:type="paragraph" w:customStyle="1" w:styleId="CharChar20">
    <w:name w:val="标准样式 Char Char2"/>
    <w:basedOn w:val="a"/>
    <w:rsid w:val="00F96F41"/>
    <w:pPr>
      <w:spacing w:line="600" w:lineRule="exact"/>
      <w:ind w:firstLine="567"/>
    </w:pPr>
    <w:rPr>
      <w:rFonts w:ascii="宋体" w:eastAsia="宋体" w:hAnsi="宋体" w:cs="Times New Roman"/>
      <w:sz w:val="28"/>
      <w:szCs w:val="20"/>
    </w:rPr>
  </w:style>
  <w:style w:type="paragraph" w:customStyle="1" w:styleId="font0">
    <w:name w:val="font0"/>
    <w:basedOn w:val="a"/>
    <w:rsid w:val="00F96F41"/>
    <w:pPr>
      <w:widowControl/>
      <w:spacing w:before="100" w:beforeAutospacing="1" w:after="100" w:afterAutospacing="1"/>
      <w:jc w:val="left"/>
    </w:pPr>
    <w:rPr>
      <w:rFonts w:ascii="宋体" w:eastAsia="宋体" w:hAnsi="宋体" w:cs="Times New Roman" w:hint="eastAsia"/>
      <w:kern w:val="0"/>
      <w:sz w:val="24"/>
      <w:szCs w:val="24"/>
    </w:rPr>
  </w:style>
  <w:style w:type="paragraph" w:customStyle="1" w:styleId="affffffffd">
    <w:name w:val="图"/>
    <w:basedOn w:val="affff2"/>
    <w:rsid w:val="00F96F41"/>
    <w:pPr>
      <w:adjustRightInd w:val="0"/>
      <w:spacing w:line="240" w:lineRule="auto"/>
    </w:pPr>
    <w:rPr>
      <w:rFonts w:hAnsi="Times New Roman"/>
      <w:bCs/>
      <w:color w:val="auto"/>
      <w:sz w:val="24"/>
      <w:szCs w:val="22"/>
    </w:rPr>
  </w:style>
  <w:style w:type="paragraph" w:customStyle="1" w:styleId="CharCharChar1">
    <w:name w:val="Char Char Char1"/>
    <w:basedOn w:val="a"/>
    <w:rsid w:val="00F96F41"/>
    <w:rPr>
      <w:rFonts w:ascii="Times New Roman" w:eastAsia="宋体" w:hAnsi="Times New Roman" w:cs="Times New Roman"/>
      <w:sz w:val="24"/>
      <w:szCs w:val="20"/>
    </w:rPr>
  </w:style>
  <w:style w:type="paragraph" w:customStyle="1" w:styleId="affffffffe">
    <w:name w:val="表签"/>
    <w:basedOn w:val="a"/>
    <w:qFormat/>
    <w:rsid w:val="00F96F41"/>
    <w:pPr>
      <w:adjustRightInd w:val="0"/>
      <w:snapToGrid w:val="0"/>
      <w:jc w:val="center"/>
    </w:pPr>
    <w:rPr>
      <w:rFonts w:ascii="Times New Roman" w:eastAsia="宋体" w:hAnsi="Times New Roman" w:cs="Times New Roman"/>
      <w:b/>
      <w:sz w:val="24"/>
      <w:szCs w:val="24"/>
    </w:rPr>
  </w:style>
  <w:style w:type="paragraph" w:customStyle="1" w:styleId="1f4">
    <w:name w:val="表格样式1"/>
    <w:basedOn w:val="affffffa"/>
    <w:qFormat/>
    <w:rsid w:val="00F96F41"/>
    <w:pPr>
      <w:spacing w:after="0"/>
      <w:ind w:firstLineChars="0" w:firstLine="0"/>
      <w:jc w:val="center"/>
    </w:pPr>
    <w:rPr>
      <w:color w:val="000000"/>
      <w:kern w:val="0"/>
      <w:sz w:val="24"/>
      <w:lang w:bidi="en-US"/>
    </w:rPr>
  </w:style>
  <w:style w:type="paragraph" w:customStyle="1" w:styleId="1f5">
    <w:name w:val="表格文字1"/>
    <w:basedOn w:val="afffff1"/>
    <w:qFormat/>
    <w:rsid w:val="00F96F41"/>
    <w:pPr>
      <w:spacing w:before="0" w:after="0" w:line="240" w:lineRule="auto"/>
      <w:jc w:val="left"/>
      <w:outlineLvl w:val="9"/>
    </w:pPr>
    <w:rPr>
      <w:b w:val="0"/>
      <w:kern w:val="72"/>
      <w:sz w:val="21"/>
      <w:szCs w:val="72"/>
    </w:rPr>
  </w:style>
  <w:style w:type="paragraph" w:customStyle="1" w:styleId="afffffffff">
    <w:name w:val="表体"/>
    <w:basedOn w:val="a"/>
    <w:qFormat/>
    <w:rsid w:val="00F96F41"/>
    <w:pPr>
      <w:adjustRightInd w:val="0"/>
      <w:snapToGrid w:val="0"/>
      <w:spacing w:line="240" w:lineRule="atLeast"/>
      <w:ind w:leftChars="-30" w:left="-63" w:rightChars="-30" w:right="-63"/>
      <w:jc w:val="center"/>
    </w:pPr>
    <w:rPr>
      <w:rFonts w:ascii="Times New Roman" w:eastAsia="宋体" w:hAnsi="Times New Roman" w:cs="Times New Roman"/>
      <w:color w:val="000000"/>
      <w:kern w:val="0"/>
      <w:sz w:val="18"/>
      <w:szCs w:val="18"/>
    </w:rPr>
  </w:style>
  <w:style w:type="paragraph" w:customStyle="1" w:styleId="11111111">
    <w:name w:val="正文11111111"/>
    <w:basedOn w:val="a"/>
    <w:qFormat/>
    <w:rsid w:val="00F96F41"/>
    <w:pPr>
      <w:spacing w:line="440" w:lineRule="exact"/>
      <w:ind w:firstLineChars="200" w:firstLine="200"/>
    </w:pPr>
    <w:rPr>
      <w:rFonts w:ascii="Times New Roman" w:eastAsia="宋体" w:hAnsi="Times New Roman" w:cs="宋体"/>
      <w:sz w:val="24"/>
      <w:szCs w:val="24"/>
    </w:rPr>
  </w:style>
  <w:style w:type="character" w:customStyle="1" w:styleId="searchcontent1">
    <w:name w:val="search_content1"/>
    <w:qFormat/>
    <w:rsid w:val="00F96F41"/>
    <w:rPr>
      <w:sz w:val="16"/>
      <w:szCs w:val="16"/>
    </w:rPr>
  </w:style>
  <w:style w:type="paragraph" w:customStyle="1" w:styleId="L">
    <w:name w:val="L正文"/>
    <w:basedOn w:val="a"/>
    <w:qFormat/>
    <w:rsid w:val="00F96F41"/>
    <w:pPr>
      <w:adjustRightInd w:val="0"/>
      <w:snapToGrid w:val="0"/>
      <w:spacing w:line="360" w:lineRule="auto"/>
      <w:ind w:firstLineChars="200" w:firstLine="200"/>
    </w:pPr>
    <w:rPr>
      <w:rFonts w:ascii="Times New Roman" w:eastAsia="宋体" w:hAnsi="Times New Roman" w:cs="Times New Roman"/>
      <w:sz w:val="24"/>
      <w:szCs w:val="24"/>
    </w:rPr>
  </w:style>
  <w:style w:type="paragraph" w:customStyle="1" w:styleId="-L">
    <w:name w:val="表内容-L"/>
    <w:basedOn w:val="afffffffff0"/>
    <w:qFormat/>
    <w:rsid w:val="00F96F41"/>
    <w:rPr>
      <w:kern w:val="0"/>
    </w:rPr>
  </w:style>
  <w:style w:type="paragraph" w:customStyle="1" w:styleId="afffffffff0">
    <w:name w:val="表格内居中"/>
    <w:basedOn w:val="a"/>
    <w:qFormat/>
    <w:rsid w:val="00F96F41"/>
    <w:pPr>
      <w:jc w:val="center"/>
    </w:pPr>
    <w:rPr>
      <w:rFonts w:ascii="Times New Roman" w:eastAsia="宋体" w:hAnsi="Times New Roman" w:cs="Times New Roman"/>
      <w:szCs w:val="20"/>
    </w:rPr>
  </w:style>
  <w:style w:type="paragraph" w:customStyle="1" w:styleId="--L">
    <w:name w:val="表-表图题-L"/>
    <w:basedOn w:val="a"/>
    <w:qFormat/>
    <w:rsid w:val="00F96F41"/>
    <w:pPr>
      <w:jc w:val="center"/>
    </w:pPr>
    <w:rPr>
      <w:rFonts w:ascii="Times New Roman" w:eastAsia="宋体" w:hAnsi="Times New Roman" w:cs="Times New Roman"/>
      <w:b/>
      <w:szCs w:val="24"/>
    </w:rPr>
  </w:style>
  <w:style w:type="paragraph" w:customStyle="1" w:styleId="3c">
    <w:name w:val="样式 标题 3 + 小四 黑色"/>
    <w:basedOn w:val="3"/>
    <w:qFormat/>
    <w:rsid w:val="00F96F41"/>
    <w:pPr>
      <w:widowControl w:val="0"/>
      <w:spacing w:before="100" w:beforeAutospacing="1" w:after="100" w:afterAutospacing="1" w:line="240" w:lineRule="auto"/>
      <w:ind w:firstLineChars="196" w:firstLine="472"/>
      <w:jc w:val="both"/>
    </w:pPr>
    <w:rPr>
      <w:rFonts w:ascii="Arial" w:eastAsia="仿宋_GB2312" w:hAnsi="Arial"/>
      <w:color w:val="000000"/>
      <w:sz w:val="28"/>
      <w:lang w:eastAsia="zh-CN"/>
    </w:rPr>
  </w:style>
  <w:style w:type="paragraph" w:customStyle="1" w:styleId="1-L">
    <w:name w:val="1正文-L"/>
    <w:basedOn w:val="a"/>
    <w:qFormat/>
    <w:rsid w:val="00F96F41"/>
    <w:pPr>
      <w:ind w:firstLine="480"/>
    </w:pPr>
    <w:rPr>
      <w:rFonts w:ascii="Times New Roman" w:eastAsia="宋体" w:hAnsi="Times New Roman" w:cs="Times New Roman"/>
      <w:sz w:val="24"/>
      <w:szCs w:val="24"/>
    </w:rPr>
  </w:style>
  <w:style w:type="paragraph" w:customStyle="1" w:styleId="Default1">
    <w:name w:val="Default1"/>
    <w:uiPriority w:val="99"/>
    <w:qFormat/>
    <w:rsid w:val="00F96F41"/>
    <w:pPr>
      <w:widowControl w:val="0"/>
      <w:autoSpaceDE w:val="0"/>
      <w:autoSpaceDN w:val="0"/>
      <w:adjustRightInd w:val="0"/>
    </w:pPr>
    <w:rPr>
      <w:rFonts w:ascii="宋体" w:cs="宋体"/>
      <w:color w:val="000000"/>
      <w:sz w:val="24"/>
      <w:szCs w:val="24"/>
    </w:rPr>
  </w:style>
  <w:style w:type="paragraph" w:customStyle="1" w:styleId="TOC12">
    <w:name w:val="TOC 标题12"/>
    <w:next w:val="a"/>
    <w:uiPriority w:val="39"/>
    <w:unhideWhenUsed/>
    <w:qFormat/>
    <w:rsid w:val="00844AF0"/>
    <w:pPr>
      <w:spacing w:line="360" w:lineRule="auto"/>
      <w:jc w:val="center"/>
    </w:pPr>
    <w:rPr>
      <w:rFonts w:eastAsia="Times New Roman"/>
      <w:b/>
      <w:bCs/>
      <w:sz w:val="21"/>
      <w:szCs w:val="28"/>
    </w:rPr>
  </w:style>
  <w:style w:type="character" w:customStyle="1" w:styleId="1f6">
    <w:name w:val="正文缩进 字符1"/>
    <w:rsid w:val="008941BD"/>
    <w:rPr>
      <w:rFonts w:eastAsia="宋体"/>
    </w:rPr>
  </w:style>
  <w:style w:type="paragraph" w:customStyle="1" w:styleId="afffffffff1">
    <w:name w:val="【表名】"/>
    <w:basedOn w:val="a"/>
    <w:qFormat/>
    <w:rsid w:val="005E0588"/>
    <w:pPr>
      <w:widowControl/>
      <w:adjustRightInd w:val="0"/>
      <w:snapToGrid w:val="0"/>
      <w:spacing w:beforeLines="50"/>
      <w:jc w:val="center"/>
    </w:pPr>
    <w:rPr>
      <w:rFonts w:ascii="Times New Roman" w:eastAsia="宋体" w:hAnsi="Times New Roman" w:cs="Arial"/>
      <w:b/>
      <w:kern w:val="0"/>
      <w:szCs w:val="21"/>
      <w:lang w:bidi="en-US"/>
    </w:rPr>
  </w:style>
  <w:style w:type="table" w:customStyle="1" w:styleId="afffffffff2">
    <w:name w:val="常用"/>
    <w:basedOn w:val="a1"/>
    <w:uiPriority w:val="99"/>
    <w:qFormat/>
    <w:rsid w:val="007F3127"/>
    <w:pPr>
      <w:jc w:val="center"/>
    </w:pPr>
    <w:rPr>
      <w:rFonts w:eastAsia="Times New Roman"/>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610">
    <w:name w:val="样式61"/>
    <w:basedOn w:val="a1"/>
    <w:uiPriority w:val="99"/>
    <w:qFormat/>
    <w:rsid w:val="007F3127"/>
    <w:pPr>
      <w:jc w:val="center"/>
    </w:pPr>
    <w:rPr>
      <w:rFonts w:ascii="Calibri" w:eastAsia="Times New Roman" w:hAnsi="Calibri"/>
      <w:kern w:val="2"/>
      <w:sz w:val="21"/>
      <w:szCs w:val="22"/>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LLL">
    <w:name w:val="表格样式LLL"/>
    <w:basedOn w:val="3d"/>
    <w:qFormat/>
    <w:rsid w:val="007A4B69"/>
    <w:pPr>
      <w:widowControl w:val="0"/>
      <w:jc w:val="center"/>
    </w:pPr>
    <w:tblPr>
      <w:tblBorders>
        <w:top w:val="single" w:sz="12" w:space="0" w:color="auto"/>
        <w:bottom w:val="single" w:sz="12" w:space="0" w:color="auto"/>
        <w:insideH w:val="single" w:sz="2" w:space="0" w:color="auto"/>
        <w:insideV w:val="single" w:sz="2" w:space="0" w:color="auto"/>
      </w:tblBorders>
    </w:tblPr>
    <w:tcPr>
      <w:shd w:val="clear" w:color="auto" w:fill="auto"/>
      <w:vAlign w:val="center"/>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3d">
    <w:name w:val="Table List 3"/>
    <w:basedOn w:val="a1"/>
    <w:uiPriority w:val="99"/>
    <w:semiHidden/>
    <w:unhideWhenUsed/>
    <w:rsid w:val="007A4B6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Afffffffff3">
    <w:name w:val="A正文居中"/>
    <w:basedOn w:val="a"/>
    <w:qFormat/>
    <w:rsid w:val="007A4B69"/>
    <w:pPr>
      <w:adjustRightInd w:val="0"/>
      <w:snapToGrid w:val="0"/>
      <w:spacing w:line="360" w:lineRule="auto"/>
      <w:jc w:val="center"/>
    </w:pPr>
    <w:rPr>
      <w:rFonts w:ascii="Times New Roman" w:eastAsia="宋体" w:hAnsi="Times New Roman" w:cs="Times New Roman"/>
      <w:sz w:val="24"/>
      <w:szCs w:val="24"/>
    </w:rPr>
  </w:style>
  <w:style w:type="character" w:customStyle="1" w:styleId="CharCharChar2">
    <w:name w:val="普通文字 Char Char Char2"/>
    <w:qFormat/>
    <w:rsid w:val="00A1010D"/>
    <w:rPr>
      <w:rFonts w:ascii="宋体" w:hAnsi="Courier New" w:cs="Courier New"/>
      <w:kern w:val="2"/>
      <w:sz w:val="21"/>
      <w:szCs w:val="21"/>
    </w:rPr>
  </w:style>
  <w:style w:type="paragraph" w:customStyle="1" w:styleId="afffffffff4">
    <w:name w:val="正文样式"/>
    <w:basedOn w:val="a"/>
    <w:link w:val="CharChar9"/>
    <w:qFormat/>
    <w:rsid w:val="00951610"/>
    <w:pPr>
      <w:tabs>
        <w:tab w:val="left" w:pos="1440"/>
        <w:tab w:val="left" w:pos="4368"/>
      </w:tabs>
      <w:spacing w:line="360" w:lineRule="auto"/>
      <w:ind w:firstLine="493"/>
    </w:pPr>
    <w:rPr>
      <w:rFonts w:ascii="Times New Roman" w:eastAsia="宋体" w:hAnsi="Times New Roman" w:cs="Times New Roman"/>
      <w:color w:val="000000"/>
      <w:sz w:val="24"/>
      <w:szCs w:val="24"/>
    </w:rPr>
  </w:style>
  <w:style w:type="paragraph" w:customStyle="1" w:styleId="WJ">
    <w:name w:val="WJ表头文字"/>
    <w:basedOn w:val="a"/>
    <w:link w:val="WJChar"/>
    <w:qFormat/>
    <w:rsid w:val="00E10DFC"/>
    <w:pPr>
      <w:widowControl/>
      <w:adjustRightInd w:val="0"/>
      <w:snapToGrid w:val="0"/>
      <w:spacing w:line="480" w:lineRule="exact"/>
      <w:jc w:val="center"/>
    </w:pPr>
    <w:rPr>
      <w:rFonts w:ascii="黑体" w:eastAsia="黑体" w:hAnsi="黑体" w:cs="Times New Roman"/>
      <w:kern w:val="0"/>
      <w:sz w:val="24"/>
      <w:szCs w:val="24"/>
    </w:rPr>
  </w:style>
  <w:style w:type="character" w:customStyle="1" w:styleId="WJChar">
    <w:name w:val="WJ表头文字 Char"/>
    <w:link w:val="WJ"/>
    <w:qFormat/>
    <w:rsid w:val="00E10DFC"/>
    <w:rPr>
      <w:rFonts w:ascii="黑体" w:eastAsia="黑体" w:hAnsi="黑体"/>
      <w:sz w:val="24"/>
      <w:szCs w:val="24"/>
    </w:rPr>
  </w:style>
  <w:style w:type="paragraph" w:customStyle="1" w:styleId="WJ0">
    <w:name w:val="WJ表文字"/>
    <w:basedOn w:val="a"/>
    <w:link w:val="WJChar0"/>
    <w:qFormat/>
    <w:rsid w:val="00E10DFC"/>
    <w:pPr>
      <w:adjustRightInd w:val="0"/>
      <w:snapToGrid w:val="0"/>
      <w:spacing w:line="360" w:lineRule="exact"/>
      <w:jc w:val="center"/>
    </w:pPr>
    <w:rPr>
      <w:rFonts w:ascii="宋体" w:eastAsia="宋体" w:hAnsi="宋体" w:cs="Times New Roman"/>
      <w:bCs/>
      <w:szCs w:val="21"/>
    </w:rPr>
  </w:style>
  <w:style w:type="character" w:customStyle="1" w:styleId="WJChar0">
    <w:name w:val="WJ表文字 Char"/>
    <w:link w:val="WJ0"/>
    <w:qFormat/>
    <w:rsid w:val="00E10DFC"/>
    <w:rPr>
      <w:rFonts w:ascii="宋体" w:hAnsi="宋体"/>
      <w:bCs/>
      <w:kern w:val="2"/>
      <w:sz w:val="21"/>
      <w:szCs w:val="21"/>
    </w:rPr>
  </w:style>
  <w:style w:type="paragraph" w:customStyle="1" w:styleId="-">
    <w:name w:val="正文-欣欣"/>
    <w:basedOn w:val="a"/>
    <w:link w:val="-Char"/>
    <w:qFormat/>
    <w:rsid w:val="008439D2"/>
    <w:pPr>
      <w:adjustRightInd w:val="0"/>
      <w:spacing w:line="360" w:lineRule="auto"/>
      <w:ind w:firstLineChars="200" w:firstLine="200"/>
    </w:pPr>
    <w:rPr>
      <w:rFonts w:ascii="宋体" w:eastAsia="宋体" w:hAnsi="Times New Roman" w:cs="Times New Roman"/>
      <w:kern w:val="0"/>
      <w:sz w:val="24"/>
      <w:szCs w:val="30"/>
    </w:rPr>
  </w:style>
  <w:style w:type="character" w:customStyle="1" w:styleId="-Char">
    <w:name w:val="正文-欣欣 Char"/>
    <w:link w:val="-"/>
    <w:qFormat/>
    <w:rsid w:val="008439D2"/>
    <w:rPr>
      <w:rFonts w:ascii="宋体"/>
      <w:sz w:val="24"/>
      <w:szCs w:val="30"/>
    </w:rPr>
  </w:style>
  <w:style w:type="paragraph" w:customStyle="1" w:styleId="afffffffff5">
    <w:name w:val="三级标题样式"/>
    <w:basedOn w:val="a"/>
    <w:next w:val="a"/>
    <w:link w:val="Charfb"/>
    <w:qFormat/>
    <w:rsid w:val="00602761"/>
    <w:pPr>
      <w:adjustRightInd w:val="0"/>
      <w:snapToGrid w:val="0"/>
      <w:spacing w:line="360" w:lineRule="auto"/>
      <w:jc w:val="left"/>
    </w:pPr>
    <w:rPr>
      <w:rFonts w:ascii="宋体" w:eastAsia="黑体" w:hAnsi="Times New Roman" w:cs="Times New Roman"/>
      <w:kern w:val="0"/>
      <w:sz w:val="30"/>
      <w:szCs w:val="20"/>
    </w:rPr>
  </w:style>
  <w:style w:type="character" w:customStyle="1" w:styleId="Charfb">
    <w:name w:val="三级标题样式 Char"/>
    <w:link w:val="afffffffff5"/>
    <w:qFormat/>
    <w:rsid w:val="00602761"/>
    <w:rPr>
      <w:rFonts w:ascii="宋体" w:eastAsia="黑体"/>
      <w:sz w:val="30"/>
    </w:rPr>
  </w:style>
  <w:style w:type="character" w:customStyle="1" w:styleId="CharChar9">
    <w:name w:val="正文样式 Char Char"/>
    <w:link w:val="afffffffff4"/>
    <w:qFormat/>
    <w:rsid w:val="004A71B6"/>
    <w:rPr>
      <w:color w:val="000000"/>
      <w:kern w:val="2"/>
      <w:sz w:val="24"/>
      <w:szCs w:val="24"/>
    </w:rPr>
  </w:style>
  <w:style w:type="paragraph" w:styleId="afffffffff6">
    <w:name w:val="Salutation"/>
    <w:basedOn w:val="a"/>
    <w:next w:val="a"/>
    <w:link w:val="afffffffff7"/>
    <w:qFormat/>
    <w:rsid w:val="009E4715"/>
    <w:pPr>
      <w:widowControl/>
      <w:adjustRightInd w:val="0"/>
      <w:snapToGrid w:val="0"/>
      <w:spacing w:line="300" w:lineRule="auto"/>
      <w:ind w:firstLineChars="200" w:firstLine="200"/>
      <w:jc w:val="left"/>
      <w:textAlignment w:val="baseline"/>
    </w:pPr>
    <w:rPr>
      <w:rFonts w:ascii="宋体" w:eastAsia="宋体" w:hAnsi="Times New Roman" w:cs="Times New Roman"/>
      <w:sz w:val="28"/>
      <w:szCs w:val="28"/>
    </w:rPr>
  </w:style>
  <w:style w:type="character" w:customStyle="1" w:styleId="afffffffff7">
    <w:name w:val="称呼 字符"/>
    <w:basedOn w:val="a0"/>
    <w:link w:val="afffffffff6"/>
    <w:rsid w:val="009E4715"/>
    <w:rPr>
      <w:rFonts w:ascii="宋体"/>
      <w:kern w:val="2"/>
      <w:sz w:val="28"/>
      <w:szCs w:val="28"/>
    </w:rPr>
  </w:style>
  <w:style w:type="paragraph" w:customStyle="1" w:styleId="1f7">
    <w:name w:val="纯文本1"/>
    <w:basedOn w:val="a"/>
    <w:uiPriority w:val="99"/>
    <w:qFormat/>
    <w:rsid w:val="009E4715"/>
    <w:pPr>
      <w:autoSpaceDE w:val="0"/>
      <w:autoSpaceDN w:val="0"/>
      <w:adjustRightInd w:val="0"/>
      <w:textAlignment w:val="baseline"/>
    </w:pPr>
    <w:rPr>
      <w:rFonts w:ascii="宋体" w:eastAsia="宋体" w:hAnsi="Times New Roman" w:cs="Times New Roman"/>
      <w:szCs w:val="20"/>
    </w:rPr>
  </w:style>
  <w:style w:type="character" w:customStyle="1" w:styleId="3e">
    <w:name w:val="页码3"/>
    <w:basedOn w:val="a0"/>
    <w:rsid w:val="009E4715"/>
  </w:style>
  <w:style w:type="character" w:customStyle="1" w:styleId="2f4">
    <w:name w:val="标题2"/>
    <w:basedOn w:val="a0"/>
    <w:semiHidden/>
    <w:rsid w:val="009E4715"/>
  </w:style>
  <w:style w:type="paragraph" w:customStyle="1" w:styleId="CharCharCharCharCharCharCharCharCharCharCharCharCharCharCharChar0">
    <w:name w:val="Char Char Char Char Char Char Char Char Char Char Char Char Char Char Char Char"/>
    <w:basedOn w:val="a"/>
    <w:next w:val="a"/>
    <w:rsid w:val="009E4715"/>
    <w:pPr>
      <w:spacing w:line="360" w:lineRule="auto"/>
      <w:ind w:firstLineChars="200" w:firstLine="200"/>
    </w:pPr>
    <w:rPr>
      <w:rFonts w:ascii="Times New Roman" w:eastAsia="宋体" w:hAnsi="Times New Roman" w:cs="Times New Roman"/>
      <w:szCs w:val="24"/>
    </w:rPr>
  </w:style>
  <w:style w:type="paragraph" w:customStyle="1" w:styleId="Char22">
    <w:name w:val="Char2"/>
    <w:basedOn w:val="a"/>
    <w:rsid w:val="009E4715"/>
    <w:pPr>
      <w:spacing w:line="360" w:lineRule="auto"/>
      <w:ind w:firstLineChars="200" w:firstLine="200"/>
    </w:pPr>
    <w:rPr>
      <w:rFonts w:ascii="Times New Roman" w:eastAsia="宋体" w:hAnsi="Times New Roman" w:cs="Times New Roman"/>
      <w:sz w:val="30"/>
      <w:szCs w:val="20"/>
    </w:rPr>
  </w:style>
  <w:style w:type="paragraph" w:customStyle="1" w:styleId="Char4CharCharChar0">
    <w:name w:val="Char4 Char Char Char"/>
    <w:basedOn w:val="a"/>
    <w:semiHidden/>
    <w:rsid w:val="009E4715"/>
    <w:pPr>
      <w:adjustRightInd w:val="0"/>
      <w:snapToGrid w:val="0"/>
      <w:spacing w:line="360" w:lineRule="auto"/>
      <w:ind w:firstLineChars="200" w:firstLine="200"/>
    </w:pPr>
    <w:rPr>
      <w:rFonts w:ascii="宋体" w:eastAsia="宋体" w:hAnsi="宋体" w:cs="宋体"/>
      <w:sz w:val="24"/>
      <w:szCs w:val="26"/>
    </w:rPr>
  </w:style>
  <w:style w:type="paragraph" w:customStyle="1" w:styleId="CharChar2CharCharCharCharCharChar0">
    <w:name w:val="Char Char2 Char Char Char Char Char Char"/>
    <w:basedOn w:val="a"/>
    <w:semiHidden/>
    <w:rsid w:val="009E4715"/>
    <w:pPr>
      <w:adjustRightInd w:val="0"/>
      <w:snapToGrid w:val="0"/>
      <w:spacing w:line="360" w:lineRule="auto"/>
      <w:ind w:firstLineChars="200" w:firstLine="200"/>
    </w:pPr>
    <w:rPr>
      <w:rFonts w:ascii="Times New Roman" w:eastAsia="宋体" w:hAnsi="Times New Roman" w:cs="宋体"/>
      <w:sz w:val="24"/>
      <w:szCs w:val="26"/>
    </w:rPr>
  </w:style>
  <w:style w:type="paragraph" w:customStyle="1" w:styleId="CharCharChar3CharCharChar2Char0">
    <w:name w:val="Char Char Char3 Char Char Char2 Char"/>
    <w:basedOn w:val="a"/>
    <w:semiHidden/>
    <w:rsid w:val="009E4715"/>
    <w:pPr>
      <w:adjustRightInd w:val="0"/>
      <w:snapToGrid w:val="0"/>
      <w:spacing w:line="360" w:lineRule="auto"/>
      <w:ind w:firstLineChars="200" w:firstLine="200"/>
    </w:pPr>
    <w:rPr>
      <w:rFonts w:ascii="宋体" w:eastAsia="宋体" w:hAnsi="宋体" w:cs="宋体"/>
      <w:sz w:val="24"/>
      <w:szCs w:val="26"/>
    </w:rPr>
  </w:style>
  <w:style w:type="paragraph" w:customStyle="1" w:styleId="Charfc">
    <w:name w:val="Char"/>
    <w:basedOn w:val="a"/>
    <w:rsid w:val="009E4715"/>
    <w:rPr>
      <w:rFonts w:ascii="Times New Roman" w:eastAsia="宋体" w:hAnsi="Times New Roman" w:cs="Times New Roman"/>
      <w:szCs w:val="24"/>
    </w:rPr>
  </w:style>
  <w:style w:type="paragraph" w:customStyle="1" w:styleId="CharCharCharChar2">
    <w:name w:val="Char Char Char Char"/>
    <w:basedOn w:val="a"/>
    <w:rsid w:val="009E4715"/>
    <w:pPr>
      <w:spacing w:line="360" w:lineRule="auto"/>
    </w:pPr>
    <w:rPr>
      <w:rFonts w:ascii="仿宋_GB2312" w:eastAsia="仿宋_GB2312" w:hAnsi="Tahoma" w:cs="Times New Roman"/>
      <w:szCs w:val="21"/>
    </w:rPr>
  </w:style>
  <w:style w:type="paragraph" w:customStyle="1" w:styleId="CharCharChar2CharCharCharCharCharCharCharCharCharChar0">
    <w:name w:val="Char Char Char2 Char Char Char Char Char Char Char Char Char Char"/>
    <w:basedOn w:val="a"/>
    <w:semiHidden/>
    <w:rsid w:val="009E4715"/>
    <w:pPr>
      <w:adjustRightInd w:val="0"/>
      <w:snapToGrid w:val="0"/>
      <w:spacing w:line="360" w:lineRule="auto"/>
      <w:ind w:firstLineChars="200" w:firstLine="200"/>
    </w:pPr>
    <w:rPr>
      <w:rFonts w:ascii="宋体" w:eastAsia="宋体" w:hAnsi="宋体" w:cs="宋体"/>
      <w:sz w:val="24"/>
      <w:szCs w:val="26"/>
    </w:rPr>
  </w:style>
  <w:style w:type="paragraph" w:customStyle="1" w:styleId="CharCharCharCharCharCharChar0">
    <w:name w:val="Char Char Char Char Char Char Char"/>
    <w:basedOn w:val="a"/>
    <w:next w:val="a"/>
    <w:rsid w:val="009E4715"/>
    <w:pPr>
      <w:spacing w:line="360" w:lineRule="auto"/>
      <w:ind w:firstLineChars="200" w:firstLine="200"/>
    </w:pPr>
    <w:rPr>
      <w:rFonts w:ascii="Times New Roman" w:eastAsia="宋体" w:hAnsi="Times New Roman" w:cs="Times New Roman"/>
      <w:szCs w:val="24"/>
    </w:rPr>
  </w:style>
  <w:style w:type="paragraph" w:customStyle="1" w:styleId="CharCharChar1CharCharCharChar0">
    <w:name w:val="Char Char Char1 Char Char Char Char"/>
    <w:basedOn w:val="a"/>
    <w:semiHidden/>
    <w:rsid w:val="009E4715"/>
    <w:pPr>
      <w:adjustRightInd w:val="0"/>
      <w:snapToGrid w:val="0"/>
      <w:spacing w:line="360" w:lineRule="auto"/>
      <w:ind w:firstLineChars="200" w:firstLine="200"/>
    </w:pPr>
    <w:rPr>
      <w:rFonts w:ascii="宋体" w:eastAsia="宋体" w:hAnsi="宋体" w:cs="宋体"/>
      <w:sz w:val="24"/>
      <w:szCs w:val="26"/>
    </w:rPr>
  </w:style>
  <w:style w:type="paragraph" w:customStyle="1" w:styleId="CharCharChar3">
    <w:name w:val="Char Char Char"/>
    <w:basedOn w:val="a"/>
    <w:rsid w:val="009E4715"/>
    <w:rPr>
      <w:rFonts w:ascii="Times New Roman" w:eastAsia="宋体" w:hAnsi="Times New Roman" w:cs="Times New Roman"/>
      <w:sz w:val="24"/>
      <w:szCs w:val="20"/>
    </w:rPr>
  </w:style>
  <w:style w:type="paragraph" w:customStyle="1" w:styleId="sun">
    <w:name w:val="正文sun"/>
    <w:basedOn w:val="a"/>
    <w:semiHidden/>
    <w:qFormat/>
    <w:rsid w:val="009E4715"/>
    <w:pPr>
      <w:spacing w:line="360" w:lineRule="auto"/>
      <w:ind w:firstLineChars="200" w:firstLine="200"/>
    </w:pPr>
    <w:rPr>
      <w:rFonts w:ascii="Times New Roman" w:eastAsia="宋体" w:hAnsi="Times New Roman" w:cs="Times New Roman"/>
      <w:sz w:val="24"/>
      <w:szCs w:val="24"/>
    </w:rPr>
  </w:style>
  <w:style w:type="paragraph" w:customStyle="1" w:styleId="33CharCharH3ReHead3WSAh332311Re11Hea">
    <w:name w:val="样式 标题 3标题 3 Char CharH3ReHead 3 WSAh3标题 32标题 311Re11Hea..."/>
    <w:basedOn w:val="3"/>
    <w:qFormat/>
    <w:rsid w:val="009E4715"/>
    <w:pPr>
      <w:keepNext w:val="0"/>
      <w:keepLines w:val="0"/>
      <w:widowControl w:val="0"/>
      <w:tabs>
        <w:tab w:val="left" w:pos="0"/>
        <w:tab w:val="left" w:pos="2160"/>
      </w:tabs>
      <w:adjustRightInd w:val="0"/>
      <w:snapToGrid w:val="0"/>
      <w:spacing w:beforeLines="50" w:before="156" w:after="0" w:line="360" w:lineRule="auto"/>
      <w:ind w:firstLineChars="196" w:firstLine="472"/>
      <w:jc w:val="both"/>
    </w:pPr>
    <w:rPr>
      <w:rFonts w:ascii="Arial" w:eastAsia="黑体" w:hAnsi="Arial"/>
      <w:bCs w:val="0"/>
      <w:color w:val="000000"/>
      <w:kern w:val="44"/>
      <w:sz w:val="24"/>
      <w:szCs w:val="20"/>
      <w:lang w:eastAsia="zh-CN"/>
    </w:rPr>
  </w:style>
  <w:style w:type="paragraph" w:customStyle="1" w:styleId="WPSOffice1">
    <w:name w:val="WPSOffice手动目录 1"/>
    <w:rsid w:val="009E4715"/>
  </w:style>
  <w:style w:type="paragraph" w:customStyle="1" w:styleId="WPSOffice2">
    <w:name w:val="WPSOffice手动目录 2"/>
    <w:rsid w:val="009E4715"/>
    <w:pPr>
      <w:ind w:leftChars="200" w:left="200"/>
    </w:pPr>
  </w:style>
  <w:style w:type="character" w:customStyle="1" w:styleId="font11">
    <w:name w:val="font11"/>
    <w:basedOn w:val="a0"/>
    <w:rsid w:val="009E4715"/>
    <w:rPr>
      <w:rFonts w:ascii="宋体" w:eastAsia="宋体" w:hAnsi="宋体" w:cs="宋体" w:hint="eastAsia"/>
      <w:i w:val="0"/>
      <w:iCs w:val="0"/>
      <w:color w:val="0000FF"/>
      <w:sz w:val="21"/>
      <w:szCs w:val="21"/>
      <w:u w:val="none"/>
    </w:rPr>
  </w:style>
  <w:style w:type="numbering" w:customStyle="1" w:styleId="1f8">
    <w:name w:val="无列表1"/>
    <w:next w:val="a2"/>
    <w:uiPriority w:val="99"/>
    <w:semiHidden/>
    <w:unhideWhenUsed/>
    <w:rsid w:val="009E4715"/>
  </w:style>
  <w:style w:type="table" w:customStyle="1" w:styleId="45">
    <w:name w:val="网格型4"/>
    <w:basedOn w:val="a1"/>
    <w:next w:val="aff"/>
    <w:rsid w:val="009E4715"/>
    <w:pPr>
      <w:widowControl w:val="0"/>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网格型 51"/>
    <w:basedOn w:val="a1"/>
    <w:next w:val="52"/>
    <w:rsid w:val="009E4715"/>
    <w:pPr>
      <w:widowControl w:val="0"/>
      <w:adjustRightInd w:val="0"/>
      <w:snapToGrid w:val="0"/>
      <w:spacing w:line="460" w:lineRule="exact"/>
      <w:ind w:firstLineChars="200" w:firstLine="520"/>
      <w:jc w:val="both"/>
    </w:p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TableNormal24">
    <w:name w:val="Table Normal24"/>
    <w:unhideWhenUsed/>
    <w:qFormat/>
    <w:rsid w:val="009E4715"/>
    <w:tblPr>
      <w:tblCellMar>
        <w:top w:w="0" w:type="dxa"/>
        <w:left w:w="0" w:type="dxa"/>
        <w:bottom w:w="0" w:type="dxa"/>
        <w:right w:w="0" w:type="dxa"/>
      </w:tblCellMar>
    </w:tblPr>
  </w:style>
  <w:style w:type="character" w:customStyle="1" w:styleId="cf01">
    <w:name w:val="cf01"/>
    <w:basedOn w:val="a0"/>
    <w:rsid w:val="00F95A48"/>
    <w:rPr>
      <w:rFonts w:ascii="Microsoft YaHei UI" w:eastAsia="Microsoft YaHei UI" w:hAnsi="Microsoft YaHei UI" w:hint="eastAsia"/>
      <w:sz w:val="18"/>
      <w:szCs w:val="18"/>
    </w:rPr>
  </w:style>
  <w:style w:type="character" w:customStyle="1" w:styleId="cf11">
    <w:name w:val="cf11"/>
    <w:basedOn w:val="a0"/>
    <w:rsid w:val="00F95A48"/>
    <w:rPr>
      <w:rFonts w:ascii="Microsoft YaHei UI" w:eastAsia="Microsoft YaHei UI" w:hAnsi="Microsoft YaHei UI" w:hint="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37167">
      <w:bodyDiv w:val="1"/>
      <w:marLeft w:val="0"/>
      <w:marRight w:val="0"/>
      <w:marTop w:val="0"/>
      <w:marBottom w:val="0"/>
      <w:divBdr>
        <w:top w:val="none" w:sz="0" w:space="0" w:color="auto"/>
        <w:left w:val="none" w:sz="0" w:space="0" w:color="auto"/>
        <w:bottom w:val="none" w:sz="0" w:space="0" w:color="auto"/>
        <w:right w:val="none" w:sz="0" w:space="0" w:color="auto"/>
      </w:divBdr>
    </w:div>
    <w:div w:id="77024258">
      <w:bodyDiv w:val="1"/>
      <w:marLeft w:val="0"/>
      <w:marRight w:val="0"/>
      <w:marTop w:val="0"/>
      <w:marBottom w:val="0"/>
      <w:divBdr>
        <w:top w:val="none" w:sz="0" w:space="0" w:color="auto"/>
        <w:left w:val="none" w:sz="0" w:space="0" w:color="auto"/>
        <w:bottom w:val="none" w:sz="0" w:space="0" w:color="auto"/>
        <w:right w:val="none" w:sz="0" w:space="0" w:color="auto"/>
      </w:divBdr>
    </w:div>
    <w:div w:id="213930161">
      <w:bodyDiv w:val="1"/>
      <w:marLeft w:val="0"/>
      <w:marRight w:val="0"/>
      <w:marTop w:val="0"/>
      <w:marBottom w:val="0"/>
      <w:divBdr>
        <w:top w:val="none" w:sz="0" w:space="0" w:color="auto"/>
        <w:left w:val="none" w:sz="0" w:space="0" w:color="auto"/>
        <w:bottom w:val="none" w:sz="0" w:space="0" w:color="auto"/>
        <w:right w:val="none" w:sz="0" w:space="0" w:color="auto"/>
      </w:divBdr>
    </w:div>
    <w:div w:id="214050547">
      <w:bodyDiv w:val="1"/>
      <w:marLeft w:val="0"/>
      <w:marRight w:val="0"/>
      <w:marTop w:val="0"/>
      <w:marBottom w:val="0"/>
      <w:divBdr>
        <w:top w:val="none" w:sz="0" w:space="0" w:color="auto"/>
        <w:left w:val="none" w:sz="0" w:space="0" w:color="auto"/>
        <w:bottom w:val="none" w:sz="0" w:space="0" w:color="auto"/>
        <w:right w:val="none" w:sz="0" w:space="0" w:color="auto"/>
      </w:divBdr>
    </w:div>
    <w:div w:id="226184174">
      <w:bodyDiv w:val="1"/>
      <w:marLeft w:val="0"/>
      <w:marRight w:val="0"/>
      <w:marTop w:val="0"/>
      <w:marBottom w:val="0"/>
      <w:divBdr>
        <w:top w:val="none" w:sz="0" w:space="0" w:color="auto"/>
        <w:left w:val="none" w:sz="0" w:space="0" w:color="auto"/>
        <w:bottom w:val="none" w:sz="0" w:space="0" w:color="auto"/>
        <w:right w:val="none" w:sz="0" w:space="0" w:color="auto"/>
      </w:divBdr>
    </w:div>
    <w:div w:id="256522597">
      <w:bodyDiv w:val="1"/>
      <w:marLeft w:val="0"/>
      <w:marRight w:val="0"/>
      <w:marTop w:val="0"/>
      <w:marBottom w:val="0"/>
      <w:divBdr>
        <w:top w:val="none" w:sz="0" w:space="0" w:color="auto"/>
        <w:left w:val="none" w:sz="0" w:space="0" w:color="auto"/>
        <w:bottom w:val="none" w:sz="0" w:space="0" w:color="auto"/>
        <w:right w:val="none" w:sz="0" w:space="0" w:color="auto"/>
      </w:divBdr>
    </w:div>
    <w:div w:id="310332045">
      <w:bodyDiv w:val="1"/>
      <w:marLeft w:val="0"/>
      <w:marRight w:val="0"/>
      <w:marTop w:val="0"/>
      <w:marBottom w:val="0"/>
      <w:divBdr>
        <w:top w:val="none" w:sz="0" w:space="0" w:color="auto"/>
        <w:left w:val="none" w:sz="0" w:space="0" w:color="auto"/>
        <w:bottom w:val="none" w:sz="0" w:space="0" w:color="auto"/>
        <w:right w:val="none" w:sz="0" w:space="0" w:color="auto"/>
      </w:divBdr>
    </w:div>
    <w:div w:id="366180038">
      <w:bodyDiv w:val="1"/>
      <w:marLeft w:val="0"/>
      <w:marRight w:val="0"/>
      <w:marTop w:val="0"/>
      <w:marBottom w:val="0"/>
      <w:divBdr>
        <w:top w:val="none" w:sz="0" w:space="0" w:color="auto"/>
        <w:left w:val="none" w:sz="0" w:space="0" w:color="auto"/>
        <w:bottom w:val="none" w:sz="0" w:space="0" w:color="auto"/>
        <w:right w:val="none" w:sz="0" w:space="0" w:color="auto"/>
      </w:divBdr>
    </w:div>
    <w:div w:id="371999141">
      <w:bodyDiv w:val="1"/>
      <w:marLeft w:val="0"/>
      <w:marRight w:val="0"/>
      <w:marTop w:val="0"/>
      <w:marBottom w:val="0"/>
      <w:divBdr>
        <w:top w:val="none" w:sz="0" w:space="0" w:color="auto"/>
        <w:left w:val="none" w:sz="0" w:space="0" w:color="auto"/>
        <w:bottom w:val="none" w:sz="0" w:space="0" w:color="auto"/>
        <w:right w:val="none" w:sz="0" w:space="0" w:color="auto"/>
      </w:divBdr>
    </w:div>
    <w:div w:id="506211837">
      <w:bodyDiv w:val="1"/>
      <w:marLeft w:val="0"/>
      <w:marRight w:val="0"/>
      <w:marTop w:val="0"/>
      <w:marBottom w:val="0"/>
      <w:divBdr>
        <w:top w:val="none" w:sz="0" w:space="0" w:color="auto"/>
        <w:left w:val="none" w:sz="0" w:space="0" w:color="auto"/>
        <w:bottom w:val="none" w:sz="0" w:space="0" w:color="auto"/>
        <w:right w:val="none" w:sz="0" w:space="0" w:color="auto"/>
      </w:divBdr>
    </w:div>
    <w:div w:id="566494738">
      <w:bodyDiv w:val="1"/>
      <w:marLeft w:val="0"/>
      <w:marRight w:val="0"/>
      <w:marTop w:val="0"/>
      <w:marBottom w:val="0"/>
      <w:divBdr>
        <w:top w:val="none" w:sz="0" w:space="0" w:color="auto"/>
        <w:left w:val="none" w:sz="0" w:space="0" w:color="auto"/>
        <w:bottom w:val="none" w:sz="0" w:space="0" w:color="auto"/>
        <w:right w:val="none" w:sz="0" w:space="0" w:color="auto"/>
      </w:divBdr>
    </w:div>
    <w:div w:id="634264342">
      <w:bodyDiv w:val="1"/>
      <w:marLeft w:val="0"/>
      <w:marRight w:val="0"/>
      <w:marTop w:val="0"/>
      <w:marBottom w:val="0"/>
      <w:divBdr>
        <w:top w:val="none" w:sz="0" w:space="0" w:color="auto"/>
        <w:left w:val="none" w:sz="0" w:space="0" w:color="auto"/>
        <w:bottom w:val="none" w:sz="0" w:space="0" w:color="auto"/>
        <w:right w:val="none" w:sz="0" w:space="0" w:color="auto"/>
      </w:divBdr>
    </w:div>
    <w:div w:id="1000430648">
      <w:bodyDiv w:val="1"/>
      <w:marLeft w:val="0"/>
      <w:marRight w:val="0"/>
      <w:marTop w:val="0"/>
      <w:marBottom w:val="0"/>
      <w:divBdr>
        <w:top w:val="none" w:sz="0" w:space="0" w:color="auto"/>
        <w:left w:val="none" w:sz="0" w:space="0" w:color="auto"/>
        <w:bottom w:val="none" w:sz="0" w:space="0" w:color="auto"/>
        <w:right w:val="none" w:sz="0" w:space="0" w:color="auto"/>
      </w:divBdr>
    </w:div>
    <w:div w:id="1017730924">
      <w:bodyDiv w:val="1"/>
      <w:marLeft w:val="0"/>
      <w:marRight w:val="0"/>
      <w:marTop w:val="0"/>
      <w:marBottom w:val="0"/>
      <w:divBdr>
        <w:top w:val="none" w:sz="0" w:space="0" w:color="auto"/>
        <w:left w:val="none" w:sz="0" w:space="0" w:color="auto"/>
        <w:bottom w:val="none" w:sz="0" w:space="0" w:color="auto"/>
        <w:right w:val="none" w:sz="0" w:space="0" w:color="auto"/>
      </w:divBdr>
    </w:div>
    <w:div w:id="1371346852">
      <w:bodyDiv w:val="1"/>
      <w:marLeft w:val="0"/>
      <w:marRight w:val="0"/>
      <w:marTop w:val="0"/>
      <w:marBottom w:val="0"/>
      <w:divBdr>
        <w:top w:val="none" w:sz="0" w:space="0" w:color="auto"/>
        <w:left w:val="none" w:sz="0" w:space="0" w:color="auto"/>
        <w:bottom w:val="none" w:sz="0" w:space="0" w:color="auto"/>
        <w:right w:val="none" w:sz="0" w:space="0" w:color="auto"/>
      </w:divBdr>
    </w:div>
    <w:div w:id="1418404348">
      <w:bodyDiv w:val="1"/>
      <w:marLeft w:val="0"/>
      <w:marRight w:val="0"/>
      <w:marTop w:val="0"/>
      <w:marBottom w:val="0"/>
      <w:divBdr>
        <w:top w:val="none" w:sz="0" w:space="0" w:color="auto"/>
        <w:left w:val="none" w:sz="0" w:space="0" w:color="auto"/>
        <w:bottom w:val="none" w:sz="0" w:space="0" w:color="auto"/>
        <w:right w:val="none" w:sz="0" w:space="0" w:color="auto"/>
      </w:divBdr>
    </w:div>
    <w:div w:id="1418597395">
      <w:bodyDiv w:val="1"/>
      <w:marLeft w:val="0"/>
      <w:marRight w:val="0"/>
      <w:marTop w:val="0"/>
      <w:marBottom w:val="0"/>
      <w:divBdr>
        <w:top w:val="none" w:sz="0" w:space="0" w:color="auto"/>
        <w:left w:val="none" w:sz="0" w:space="0" w:color="auto"/>
        <w:bottom w:val="none" w:sz="0" w:space="0" w:color="auto"/>
        <w:right w:val="none" w:sz="0" w:space="0" w:color="auto"/>
      </w:divBdr>
    </w:div>
    <w:div w:id="1426070225">
      <w:bodyDiv w:val="1"/>
      <w:marLeft w:val="0"/>
      <w:marRight w:val="0"/>
      <w:marTop w:val="0"/>
      <w:marBottom w:val="0"/>
      <w:divBdr>
        <w:top w:val="none" w:sz="0" w:space="0" w:color="auto"/>
        <w:left w:val="none" w:sz="0" w:space="0" w:color="auto"/>
        <w:bottom w:val="none" w:sz="0" w:space="0" w:color="auto"/>
        <w:right w:val="none" w:sz="0" w:space="0" w:color="auto"/>
      </w:divBdr>
    </w:div>
    <w:div w:id="1440099462">
      <w:bodyDiv w:val="1"/>
      <w:marLeft w:val="0"/>
      <w:marRight w:val="0"/>
      <w:marTop w:val="0"/>
      <w:marBottom w:val="0"/>
      <w:divBdr>
        <w:top w:val="none" w:sz="0" w:space="0" w:color="auto"/>
        <w:left w:val="none" w:sz="0" w:space="0" w:color="auto"/>
        <w:bottom w:val="none" w:sz="0" w:space="0" w:color="auto"/>
        <w:right w:val="none" w:sz="0" w:space="0" w:color="auto"/>
      </w:divBdr>
    </w:div>
    <w:div w:id="1454597812">
      <w:bodyDiv w:val="1"/>
      <w:marLeft w:val="0"/>
      <w:marRight w:val="0"/>
      <w:marTop w:val="0"/>
      <w:marBottom w:val="0"/>
      <w:divBdr>
        <w:top w:val="none" w:sz="0" w:space="0" w:color="auto"/>
        <w:left w:val="none" w:sz="0" w:space="0" w:color="auto"/>
        <w:bottom w:val="none" w:sz="0" w:space="0" w:color="auto"/>
        <w:right w:val="none" w:sz="0" w:space="0" w:color="auto"/>
      </w:divBdr>
    </w:div>
    <w:div w:id="1691835336">
      <w:bodyDiv w:val="1"/>
      <w:marLeft w:val="0"/>
      <w:marRight w:val="0"/>
      <w:marTop w:val="0"/>
      <w:marBottom w:val="0"/>
      <w:divBdr>
        <w:top w:val="none" w:sz="0" w:space="0" w:color="auto"/>
        <w:left w:val="none" w:sz="0" w:space="0" w:color="auto"/>
        <w:bottom w:val="none" w:sz="0" w:space="0" w:color="auto"/>
        <w:right w:val="none" w:sz="0" w:space="0" w:color="auto"/>
      </w:divBdr>
    </w:div>
    <w:div w:id="2111467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2.png"/><Relationship Id="rId21" Type="http://schemas.openxmlformats.org/officeDocument/2006/relationships/header" Target="header3.xml"/><Relationship Id="rId42" Type="http://schemas.openxmlformats.org/officeDocument/2006/relationships/hyperlink" Target="http://baike.baidu.com/view/2376304.htm" TargetMode="External"/><Relationship Id="rId47" Type="http://schemas.openxmlformats.org/officeDocument/2006/relationships/image" Target="media/image26.png"/><Relationship Id="rId63" Type="http://schemas.openxmlformats.org/officeDocument/2006/relationships/image" Target="media/image40.jpeg"/><Relationship Id="rId68" Type="http://schemas.openxmlformats.org/officeDocument/2006/relationships/image" Target="media/image45.wmf"/><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png"/><Relationship Id="rId16" Type="http://schemas.openxmlformats.org/officeDocument/2006/relationships/image" Target="media/image5.png"/><Relationship Id="rId107" Type="http://schemas.openxmlformats.org/officeDocument/2006/relationships/image" Target="media/image82.png"/><Relationship Id="rId11" Type="http://schemas.openxmlformats.org/officeDocument/2006/relationships/image" Target="media/image1.jpeg"/><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9.wmf"/><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footer" Target="footer4.xm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hyperlink" Target="http://baike.baidu.com/view/94622.htm" TargetMode="External"/><Relationship Id="rId48" Type="http://schemas.openxmlformats.org/officeDocument/2006/relationships/header" Target="header6.xml"/><Relationship Id="rId64" Type="http://schemas.openxmlformats.org/officeDocument/2006/relationships/image" Target="media/image41.jpeg"/><Relationship Id="rId69" Type="http://schemas.openxmlformats.org/officeDocument/2006/relationships/oleObject" Target="embeddings/oleObject3.bin"/><Relationship Id="rId113" Type="http://schemas.openxmlformats.org/officeDocument/2006/relationships/image" Target="media/image88.png"/><Relationship Id="rId118" Type="http://schemas.openxmlformats.org/officeDocument/2006/relationships/image" Target="media/image93.png"/><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header" Target="header2.xml"/><Relationship Id="rId17" Type="http://schemas.openxmlformats.org/officeDocument/2006/relationships/image" Target="media/image6.jpeg"/><Relationship Id="rId33" Type="http://schemas.openxmlformats.org/officeDocument/2006/relationships/image" Target="media/image19.wmf"/><Relationship Id="rId38" Type="http://schemas.openxmlformats.org/officeDocument/2006/relationships/header" Target="header5.xml"/><Relationship Id="rId59" Type="http://schemas.openxmlformats.org/officeDocument/2006/relationships/image" Target="media/image36.jpe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header" Target="header7.xml"/><Relationship Id="rId54" Type="http://schemas.openxmlformats.org/officeDocument/2006/relationships/image" Target="media/image31.png"/><Relationship Id="rId70" Type="http://schemas.openxmlformats.org/officeDocument/2006/relationships/image" Target="media/image46.wmf"/><Relationship Id="rId75" Type="http://schemas.openxmlformats.org/officeDocument/2006/relationships/image" Target="media/image50.wmf"/><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footer" Target="footer3.xml"/><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hyperlink" Target="http://baike.baidu.com/view/2326697.htm" TargetMode="External"/><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6.wmf"/><Relationship Id="rId86" Type="http://schemas.openxmlformats.org/officeDocument/2006/relationships/image" Target="media/image6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image" Target="media/image84.png"/><Relationship Id="rId34" Type="http://schemas.openxmlformats.org/officeDocument/2006/relationships/image" Target="media/image20.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1.jpe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header" Target="header8.xml"/><Relationship Id="rId7" Type="http://schemas.openxmlformats.org/officeDocument/2006/relationships/footnotes" Target="footnotes.xml"/><Relationship Id="rId71" Type="http://schemas.openxmlformats.org/officeDocument/2006/relationships/oleObject" Target="embeddings/oleObject4.bin"/><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6.wmf"/><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4.png"/><Relationship Id="rId66" Type="http://schemas.openxmlformats.org/officeDocument/2006/relationships/image" Target="media/image43.jpe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jpeg"/><Relationship Id="rId61" Type="http://schemas.openxmlformats.org/officeDocument/2006/relationships/image" Target="media/image38.jpeg"/><Relationship Id="rId82" Type="http://schemas.openxmlformats.org/officeDocument/2006/relationships/image" Target="media/image57.pn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oleObject" Target="embeddings/oleObject1.bin"/><Relationship Id="rId35" Type="http://schemas.openxmlformats.org/officeDocument/2006/relationships/oleObject" Target="embeddings/oleObject2.bin"/><Relationship Id="rId56" Type="http://schemas.openxmlformats.org/officeDocument/2006/relationships/image" Target="media/image33.jpeg"/><Relationship Id="rId77" Type="http://schemas.openxmlformats.org/officeDocument/2006/relationships/image" Target="media/image52.jpe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7.wmf"/><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emf"/><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5.png"/><Relationship Id="rId67" Type="http://schemas.openxmlformats.org/officeDocument/2006/relationships/image" Target="media/image44.jpeg"/><Relationship Id="rId116" Type="http://schemas.openxmlformats.org/officeDocument/2006/relationships/image" Target="media/image91.png"/><Relationship Id="rId20" Type="http://schemas.openxmlformats.org/officeDocument/2006/relationships/footer" Target="footer2.xml"/><Relationship Id="rId41" Type="http://schemas.openxmlformats.org/officeDocument/2006/relationships/hyperlink" Target="http://baike.baidu.com/view/1231512.htm" TargetMode="External"/><Relationship Id="rId62" Type="http://schemas.openxmlformats.org/officeDocument/2006/relationships/image" Target="media/image39.jpe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5" Type="http://schemas.openxmlformats.org/officeDocument/2006/relationships/image" Target="media/image4.png"/><Relationship Id="rId36" Type="http://schemas.openxmlformats.org/officeDocument/2006/relationships/header" Target="header4.xml"/><Relationship Id="rId57" Type="http://schemas.openxmlformats.org/officeDocument/2006/relationships/image" Target="media/image34.jpeg"/><Relationship Id="rId106" Type="http://schemas.openxmlformats.org/officeDocument/2006/relationships/image" Target="media/image81.png"/><Relationship Id="rId12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7.wmf"/><Relationship Id="rId52" Type="http://schemas.openxmlformats.org/officeDocument/2006/relationships/image" Target="media/image29.jpeg"/><Relationship Id="rId73" Type="http://schemas.openxmlformats.org/officeDocument/2006/relationships/image" Target="media/image48.wmf"/><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Info spid="_x0000_s2050"/>
    <customShpInfo spid="_x0000_s2051"/>
    <customShpInfo spid="_x0000_s2052" textRotate="1"/>
    <customShpInfo spid="_x0000_s2053"/>
    <customShpInfo spid="_x0000_s2054"/>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44429</TotalTime>
  <Pages>359</Pages>
  <Words>43799</Words>
  <Characters>249660</Characters>
  <Application>Microsoft Office Word</Application>
  <DocSecurity>0</DocSecurity>
  <Lines>2080</Lines>
  <Paragraphs>585</Paragraphs>
  <ScaleCrop>false</ScaleCrop>
  <Company>Microsoft</Company>
  <LinksUpToDate>false</LinksUpToDate>
  <CharactersWithSpaces>292874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duanjiuliang123@outlook.com</cp:lastModifiedBy>
  <cp:revision>217</cp:revision>
  <cp:lastPrinted>2022-10-17T01:08:00Z</cp:lastPrinted>
  <dcterms:created xsi:type="dcterms:W3CDTF">2021-11-12T04:08:00Z</dcterms:created>
  <dcterms:modified xsi:type="dcterms:W3CDTF">2023-01-10T03:19:00Z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2052-11.1.0.10938</vt:lpwstr>
  </property>
  <property fmtid="{D5CDD505-2E9C-101B-9397-08002B2CF9AE}" pid="6" name="ICV">
    <vt:lpwstr>89222A47533745559E6EC13470EDC062</vt:lpwstr>
  </property>
</Properties>
</file>